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8C" w:rsidRDefault="00EA218C" w:rsidP="00EA218C">
      <w:pPr>
        <w:rPr>
          <w:rFonts w:ascii="黑体" w:eastAsia="黑体" w:hAnsi="黑体"/>
          <w:sz w:val="32"/>
          <w:szCs w:val="32"/>
        </w:rPr>
      </w:pPr>
      <w:r>
        <w:rPr>
          <w:rFonts w:ascii="黑体" w:eastAsia="黑体" w:hAnsi="黑体" w:hint="eastAsia"/>
          <w:sz w:val="32"/>
          <w:szCs w:val="32"/>
        </w:rPr>
        <w:t>附件3</w:t>
      </w:r>
    </w:p>
    <w:p w:rsidR="00EA218C" w:rsidRDefault="00EA218C" w:rsidP="00EA218C">
      <w:pPr>
        <w:jc w:val="center"/>
        <w:rPr>
          <w:rFonts w:ascii="方正小标宋简体" w:eastAsia="方正小标宋简体"/>
          <w:sz w:val="44"/>
          <w:szCs w:val="44"/>
        </w:rPr>
      </w:pPr>
      <w:r>
        <w:rPr>
          <w:rFonts w:ascii="方正小标宋简体" w:eastAsia="方正小标宋简体" w:hint="eastAsia"/>
          <w:sz w:val="44"/>
          <w:szCs w:val="44"/>
        </w:rPr>
        <w:t>利州区医疗器械经营单位日常监督检查表</w:t>
      </w:r>
    </w:p>
    <w:p w:rsidR="00EA218C" w:rsidRDefault="00EA218C" w:rsidP="00EA218C">
      <w:pPr>
        <w:spacing w:line="520" w:lineRule="exact"/>
        <w:rPr>
          <w:rFonts w:ascii="宋体" w:eastAsia="宋体" w:hAnsi="宋体"/>
          <w:sz w:val="32"/>
          <w:szCs w:val="32"/>
          <w:u w:val="single"/>
        </w:rPr>
      </w:pPr>
      <w:r w:rsidRPr="00A33208">
        <w:rPr>
          <w:rFonts w:ascii="宋体" w:eastAsia="宋体" w:hAnsi="宋体"/>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302.95pt;margin-top:20.35pt;width:145.5pt;height:0;z-index:251660288" o:connectortype="straight"/>
        </w:pict>
      </w:r>
      <w:r>
        <w:rPr>
          <w:rFonts w:ascii="宋体" w:eastAsia="宋体" w:hAnsi="宋体" w:hint="eastAsia"/>
          <w:sz w:val="32"/>
          <w:szCs w:val="32"/>
        </w:rPr>
        <w:t>单位名称：</w:t>
      </w:r>
      <w:r>
        <w:rPr>
          <w:rFonts w:ascii="宋体" w:eastAsia="宋体" w:hAnsi="宋体" w:hint="eastAsia"/>
          <w:sz w:val="32"/>
          <w:szCs w:val="32"/>
          <w:u w:val="single"/>
        </w:rPr>
        <w:t xml:space="preserve">                   </w:t>
      </w:r>
      <w:r>
        <w:rPr>
          <w:rFonts w:ascii="宋体" w:eastAsia="宋体" w:hAnsi="宋体" w:hint="eastAsia"/>
          <w:sz w:val="32"/>
          <w:szCs w:val="32"/>
        </w:rPr>
        <w:t>经营地址：</w:t>
      </w:r>
    </w:p>
    <w:p w:rsidR="00EA218C" w:rsidRDefault="00EA218C" w:rsidP="00EA218C">
      <w:pPr>
        <w:spacing w:line="520" w:lineRule="exact"/>
        <w:rPr>
          <w:rFonts w:ascii="宋体" w:eastAsia="宋体" w:hAnsi="宋体"/>
          <w:sz w:val="32"/>
          <w:szCs w:val="32"/>
        </w:rPr>
      </w:pPr>
      <w:r>
        <w:rPr>
          <w:rFonts w:ascii="宋体" w:eastAsia="宋体" w:hAnsi="宋体"/>
          <w:sz w:val="32"/>
          <w:szCs w:val="32"/>
        </w:rPr>
        <w:pict>
          <v:shape id="_x0000_s1027" type="#_x0000_t32" style="position:absolute;left:0;text-align:left;margin-left:303.7pt;margin-top:20.35pt;width:145.5pt;height:0;z-index:251661312" o:connectortype="straight"/>
        </w:pict>
      </w:r>
      <w:r>
        <w:rPr>
          <w:rFonts w:ascii="宋体" w:eastAsia="宋体" w:hAnsi="宋体" w:hint="eastAsia"/>
          <w:sz w:val="32"/>
          <w:szCs w:val="32"/>
        </w:rPr>
        <w:t>法定代表人：</w:t>
      </w:r>
      <w:r>
        <w:rPr>
          <w:rFonts w:ascii="宋体" w:eastAsia="宋体" w:hAnsi="宋体" w:hint="eastAsia"/>
          <w:sz w:val="32"/>
          <w:szCs w:val="32"/>
          <w:u w:val="single"/>
        </w:rPr>
        <w:t xml:space="preserve">                 </w:t>
      </w:r>
      <w:r>
        <w:rPr>
          <w:rFonts w:ascii="宋体" w:eastAsia="宋体" w:hAnsi="宋体" w:hint="eastAsia"/>
          <w:sz w:val="32"/>
          <w:szCs w:val="32"/>
        </w:rPr>
        <w:t>联系电话：</w:t>
      </w:r>
    </w:p>
    <w:p w:rsidR="00EA218C" w:rsidRDefault="00EA218C" w:rsidP="00EA218C">
      <w:pPr>
        <w:spacing w:line="520" w:lineRule="exact"/>
        <w:rPr>
          <w:rFonts w:asciiTheme="minorEastAsia" w:hAnsiTheme="minorEastAsia"/>
          <w:sz w:val="32"/>
          <w:szCs w:val="32"/>
        </w:rPr>
      </w:pPr>
      <w:r>
        <w:rPr>
          <w:rFonts w:asciiTheme="minorEastAsia" w:hAnsiTheme="minorEastAsia" w:hint="eastAsia"/>
          <w:sz w:val="32"/>
          <w:szCs w:val="32"/>
        </w:rPr>
        <w:t>检查时间：</w:t>
      </w:r>
      <w:r>
        <w:rPr>
          <w:rFonts w:asciiTheme="minorEastAsia" w:hAnsiTheme="minorEastAsia" w:hint="eastAsia"/>
          <w:sz w:val="32"/>
          <w:szCs w:val="32"/>
          <w:u w:val="single"/>
        </w:rPr>
        <w:t xml:space="preserve">     </w:t>
      </w:r>
      <w:r>
        <w:rPr>
          <w:rFonts w:asciiTheme="minorEastAsia" w:hAnsiTheme="minorEastAsia" w:hint="eastAsia"/>
          <w:sz w:val="32"/>
          <w:szCs w:val="32"/>
        </w:rPr>
        <w:t>年</w:t>
      </w:r>
      <w:r>
        <w:rPr>
          <w:rFonts w:asciiTheme="minorEastAsia" w:hAnsiTheme="minorEastAsia" w:hint="eastAsia"/>
          <w:sz w:val="32"/>
          <w:szCs w:val="32"/>
          <w:u w:val="single"/>
        </w:rPr>
        <w:t xml:space="preserve">   </w:t>
      </w:r>
      <w:r>
        <w:rPr>
          <w:rFonts w:asciiTheme="minorEastAsia" w:hAnsiTheme="minorEastAsia" w:hint="eastAsia"/>
          <w:sz w:val="32"/>
          <w:szCs w:val="32"/>
        </w:rPr>
        <w:t>月</w:t>
      </w:r>
      <w:r>
        <w:rPr>
          <w:rFonts w:asciiTheme="minorEastAsia" w:hAnsiTheme="minorEastAsia" w:hint="eastAsia"/>
          <w:sz w:val="32"/>
          <w:szCs w:val="32"/>
          <w:u w:val="single"/>
        </w:rPr>
        <w:t xml:space="preserve">   </w:t>
      </w:r>
      <w:r>
        <w:rPr>
          <w:rFonts w:asciiTheme="minorEastAsia" w:hAnsiTheme="minorEastAsia" w:hint="eastAsia"/>
          <w:sz w:val="32"/>
          <w:szCs w:val="32"/>
        </w:rPr>
        <w:t>日</w:t>
      </w:r>
      <w:r>
        <w:rPr>
          <w:rFonts w:asciiTheme="minorEastAsia" w:hAnsiTheme="minorEastAsia" w:hint="eastAsia"/>
          <w:sz w:val="32"/>
          <w:szCs w:val="32"/>
          <w:u w:val="single"/>
        </w:rPr>
        <w:t xml:space="preserve">   </w:t>
      </w:r>
      <w:r>
        <w:rPr>
          <w:rFonts w:asciiTheme="minorEastAsia" w:hAnsiTheme="minorEastAsia" w:hint="eastAsia"/>
          <w:sz w:val="32"/>
          <w:szCs w:val="32"/>
        </w:rPr>
        <w:t>时</w:t>
      </w:r>
      <w:r>
        <w:rPr>
          <w:rFonts w:asciiTheme="minorEastAsia" w:hAnsiTheme="minorEastAsia" w:hint="eastAsia"/>
          <w:sz w:val="32"/>
          <w:szCs w:val="32"/>
          <w:u w:val="single"/>
        </w:rPr>
        <w:t xml:space="preserve">   </w:t>
      </w:r>
      <w:r>
        <w:rPr>
          <w:rFonts w:asciiTheme="minorEastAsia" w:hAnsiTheme="minorEastAsia" w:hint="eastAsia"/>
          <w:sz w:val="32"/>
          <w:szCs w:val="32"/>
        </w:rPr>
        <w:t>分至</w:t>
      </w:r>
      <w:r>
        <w:rPr>
          <w:rFonts w:asciiTheme="minorEastAsia" w:hAnsiTheme="minorEastAsia" w:hint="eastAsia"/>
          <w:sz w:val="32"/>
          <w:szCs w:val="32"/>
          <w:u w:val="single"/>
        </w:rPr>
        <w:t xml:space="preserve">   </w:t>
      </w:r>
      <w:r>
        <w:rPr>
          <w:rFonts w:asciiTheme="minorEastAsia" w:hAnsiTheme="minorEastAsia" w:hint="eastAsia"/>
          <w:sz w:val="32"/>
          <w:szCs w:val="32"/>
        </w:rPr>
        <w:t>时</w:t>
      </w:r>
      <w:r>
        <w:rPr>
          <w:rFonts w:asciiTheme="minorEastAsia" w:hAnsiTheme="minorEastAsia" w:hint="eastAsia"/>
          <w:sz w:val="32"/>
          <w:szCs w:val="32"/>
          <w:u w:val="single"/>
        </w:rPr>
        <w:t xml:space="preserve">   </w:t>
      </w:r>
      <w:r>
        <w:rPr>
          <w:rFonts w:asciiTheme="minorEastAsia" w:hAnsiTheme="minorEastAsia" w:hint="eastAsia"/>
          <w:sz w:val="32"/>
          <w:szCs w:val="32"/>
        </w:rPr>
        <w:t>分</w:t>
      </w:r>
    </w:p>
    <w:tbl>
      <w:tblPr>
        <w:tblStyle w:val="a3"/>
        <w:tblpPr w:leftFromText="180" w:rightFromText="180" w:vertAnchor="text" w:horzAnchor="page" w:tblpX="1087" w:tblpY="261"/>
        <w:tblOverlap w:val="never"/>
        <w:tblW w:w="9889" w:type="dxa"/>
        <w:tblLayout w:type="fixed"/>
        <w:tblLook w:val="04A0"/>
      </w:tblPr>
      <w:tblGrid>
        <w:gridCol w:w="959"/>
        <w:gridCol w:w="7229"/>
        <w:gridCol w:w="1701"/>
      </w:tblGrid>
      <w:tr w:rsidR="00EA218C" w:rsidTr="0041513A">
        <w:trPr>
          <w:trHeight w:val="553"/>
        </w:trPr>
        <w:tc>
          <w:tcPr>
            <w:tcW w:w="959" w:type="dxa"/>
            <w:vAlign w:val="center"/>
          </w:tcPr>
          <w:p w:rsidR="00EA218C" w:rsidRDefault="00EA218C" w:rsidP="0041513A">
            <w:pPr>
              <w:spacing w:line="360" w:lineRule="exact"/>
              <w:jc w:val="center"/>
              <w:rPr>
                <w:rFonts w:ascii="黑体" w:eastAsia="黑体" w:hAnsi="黑体"/>
                <w:sz w:val="24"/>
                <w:szCs w:val="24"/>
              </w:rPr>
            </w:pPr>
            <w:r>
              <w:rPr>
                <w:rFonts w:ascii="黑体" w:eastAsia="黑体" w:hAnsi="黑体" w:hint="eastAsia"/>
                <w:sz w:val="24"/>
                <w:szCs w:val="24"/>
              </w:rPr>
              <w:t>序号</w:t>
            </w:r>
          </w:p>
        </w:tc>
        <w:tc>
          <w:tcPr>
            <w:tcW w:w="7229" w:type="dxa"/>
            <w:vAlign w:val="center"/>
          </w:tcPr>
          <w:p w:rsidR="00EA218C" w:rsidRDefault="00EA218C" w:rsidP="0041513A">
            <w:pPr>
              <w:spacing w:line="360" w:lineRule="exact"/>
              <w:jc w:val="center"/>
              <w:rPr>
                <w:rFonts w:ascii="黑体" w:eastAsia="黑体" w:hAnsi="黑体"/>
                <w:sz w:val="24"/>
                <w:szCs w:val="24"/>
              </w:rPr>
            </w:pPr>
            <w:r>
              <w:rPr>
                <w:rFonts w:ascii="黑体" w:eastAsia="黑体" w:hAnsi="黑体" w:hint="eastAsia"/>
                <w:sz w:val="24"/>
                <w:szCs w:val="24"/>
              </w:rPr>
              <w:t>检查项目</w:t>
            </w:r>
          </w:p>
        </w:tc>
        <w:tc>
          <w:tcPr>
            <w:tcW w:w="1701" w:type="dxa"/>
            <w:vAlign w:val="center"/>
          </w:tcPr>
          <w:p w:rsidR="00EA218C" w:rsidRDefault="00EA218C" w:rsidP="0041513A">
            <w:pPr>
              <w:spacing w:line="360" w:lineRule="exact"/>
              <w:jc w:val="center"/>
              <w:rPr>
                <w:rFonts w:ascii="黑体" w:eastAsia="黑体" w:hAnsi="黑体"/>
                <w:sz w:val="24"/>
                <w:szCs w:val="24"/>
              </w:rPr>
            </w:pPr>
            <w:r>
              <w:rPr>
                <w:rFonts w:ascii="黑体" w:eastAsia="黑体" w:hAnsi="黑体" w:hint="eastAsia"/>
                <w:sz w:val="24"/>
                <w:szCs w:val="24"/>
              </w:rPr>
              <w:t>检查结果</w:t>
            </w:r>
          </w:p>
        </w:tc>
      </w:tr>
      <w:tr w:rsidR="00EA218C" w:rsidTr="0041513A">
        <w:trPr>
          <w:trHeight w:val="778"/>
        </w:trPr>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1</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是否持有效《医疗器械经营许可证》或备案凭证。</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2</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是否伪造、变造、买卖、出租、出借《医疗器械经营许可证》或备案凭证。</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3</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是否存在超范围经营。</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787"/>
        </w:trPr>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第三类医疗器械经营企业质量负责人是否具备医疗器械相关专业大专以上学历或中级以上专业技术职称。</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558"/>
        </w:trPr>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第三类医疗器械经营企业从事质量管理工作的人员是否在职在岗。</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是否对质量负责人及各岗位人员开展培训，建立培训档案。</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直接接触医疗器械岗位人员是否持健康合格证明上岗。</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605"/>
        </w:trPr>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是否建立覆盖经营全过程的质量管理制度。</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575"/>
        </w:trPr>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是否建有采购记录、验收记录、销售记录。</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845"/>
        </w:trPr>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经营第三类医疗器械是否具有符合医疗器械质量管理要求的计算机信息管理系统。</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710"/>
        </w:trPr>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是否擅自改变经营场所、库房地址、设立库房。</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是否有避光、通风、防潮、防虫、防鼠、防火等设施。</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13</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温湿度监测设备是否检定，温湿度监测记录是否及时、完整。</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*14</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医疗器械经营企业是否从具有资质的生产企业或者经营企业购进医疗器械。</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15</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采购前是否审核供货单位合法资质并索取相关证明文件。</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585"/>
        </w:trPr>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16</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是否与供货</w:t>
            </w:r>
            <w:proofErr w:type="gramStart"/>
            <w:r>
              <w:rPr>
                <w:rFonts w:asciiTheme="minorEastAsia" w:eastAsiaTheme="minorEastAsia" w:hAnsiTheme="minorEastAsia" w:hint="eastAsia"/>
                <w:sz w:val="24"/>
                <w:szCs w:val="24"/>
              </w:rPr>
              <w:t>者签署</w:t>
            </w:r>
            <w:proofErr w:type="gramEnd"/>
            <w:r>
              <w:rPr>
                <w:rFonts w:asciiTheme="minorEastAsia" w:eastAsiaTheme="minorEastAsia" w:hAnsiTheme="minorEastAsia" w:hint="eastAsia"/>
                <w:sz w:val="24"/>
                <w:szCs w:val="24"/>
              </w:rPr>
              <w:t>采购合同或者协议。</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540"/>
        </w:trPr>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*17</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进口的医疗器械是否有中文说明书、中文标签。</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lastRenderedPageBreak/>
              <w:t>18</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医疗器械贮存作业区是否和办公区、生活区分开或有效隔离。</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*19</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是否按说明书和标签标示要求运输、贮存医疗器械。</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医疗器械库房是否设置待验区（黄色）、合格品区、发货区（绿色）、不合格品区（红色），退货产品是否单独存放。</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505"/>
        </w:trPr>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医疗器械是否分区陈列并有醒目标识。</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860"/>
        </w:trPr>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医疗器械与地面、内墙、顶、灯、温度调控设备及管道等是否保留足够空间。</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23</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是否经营无医疗器械注册证、无合格证明文件、过期、失效、淘汰的医疗器械案。</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*24</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医疗器械批发企业是否销售给不具有资质的经营企业或者使用单位。</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615"/>
        </w:trPr>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25</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销售医疗器械是否开具销售凭证。</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EA218C" w:rsidTr="0041513A">
        <w:trPr>
          <w:trHeight w:val="698"/>
        </w:trPr>
        <w:tc>
          <w:tcPr>
            <w:tcW w:w="959" w:type="dxa"/>
            <w:vAlign w:val="center"/>
          </w:tcPr>
          <w:p w:rsidR="00EA218C" w:rsidRDefault="00EA218C" w:rsidP="0041513A">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26</w:t>
            </w:r>
          </w:p>
        </w:tc>
        <w:tc>
          <w:tcPr>
            <w:tcW w:w="7229" w:type="dxa"/>
            <w:vAlign w:val="center"/>
          </w:tcPr>
          <w:p w:rsidR="00EA218C" w:rsidRDefault="00EA218C" w:rsidP="004151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是否落实专兼职人员负责医疗器械不良事件监测和报告。</w:t>
            </w:r>
          </w:p>
        </w:tc>
        <w:tc>
          <w:tcPr>
            <w:tcW w:w="1701" w:type="dxa"/>
            <w:vAlign w:val="center"/>
          </w:tcPr>
          <w:p w:rsidR="00EA218C" w:rsidRDefault="00EA218C"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bl>
    <w:p w:rsidR="00EA218C" w:rsidRDefault="00EA218C" w:rsidP="00EA218C">
      <w:pPr>
        <w:spacing w:line="600" w:lineRule="exact"/>
        <w:rPr>
          <w:rFonts w:ascii="宋体" w:hAnsi="宋体"/>
          <w:sz w:val="24"/>
          <w:szCs w:val="24"/>
        </w:rPr>
      </w:pPr>
    </w:p>
    <w:p w:rsidR="00EA218C" w:rsidRDefault="00EA218C" w:rsidP="00EA218C">
      <w:pPr>
        <w:spacing w:line="400" w:lineRule="exact"/>
        <w:rPr>
          <w:rFonts w:asciiTheme="minorEastAsia" w:hAnsiTheme="minorEastAsia"/>
          <w:sz w:val="24"/>
          <w:szCs w:val="24"/>
        </w:rPr>
      </w:pPr>
      <w:r>
        <w:rPr>
          <w:rFonts w:ascii="宋体" w:eastAsia="宋体" w:hAnsi="宋体" w:hint="eastAsia"/>
          <w:sz w:val="24"/>
          <w:szCs w:val="24"/>
        </w:rPr>
        <w:t xml:space="preserve">执法人员（签名）：                     </w:t>
      </w:r>
      <w:r>
        <w:rPr>
          <w:rFonts w:asciiTheme="minorEastAsia" w:hAnsiTheme="minorEastAsia" w:hint="eastAsia"/>
          <w:sz w:val="24"/>
          <w:szCs w:val="24"/>
        </w:rPr>
        <w:t xml:space="preserve">    被检查单位（盖章）：</w:t>
      </w:r>
    </w:p>
    <w:p w:rsidR="007933CA" w:rsidRDefault="00EA218C" w:rsidP="00EA218C">
      <w:r>
        <w:rPr>
          <w:rFonts w:asciiTheme="minorEastAsia" w:hAnsiTheme="minorEastAsia" w:hint="eastAsia"/>
          <w:sz w:val="24"/>
          <w:szCs w:val="24"/>
        </w:rPr>
        <w:t xml:space="preserve">                                             年    月   日</w:t>
      </w:r>
    </w:p>
    <w:sectPr w:rsidR="007933CA" w:rsidSect="007933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218C"/>
    <w:rsid w:val="002C24B4"/>
    <w:rsid w:val="007933CA"/>
    <w:rsid w:val="00EA2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EA218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Company>Lenovo</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区市场监督管理局:区市场监督管理局</dc:creator>
  <cp:lastModifiedBy>区市场监督管理局:区市场监督管理局</cp:lastModifiedBy>
  <cp:revision>1</cp:revision>
  <dcterms:created xsi:type="dcterms:W3CDTF">2023-02-13T09:28:00Z</dcterms:created>
  <dcterms:modified xsi:type="dcterms:W3CDTF">2023-02-13T09:28:00Z</dcterms:modified>
</cp:coreProperties>
</file>