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beforeLines="0" w:line="1100" w:lineRule="exact"/>
        <w:jc w:val="both"/>
      </w:pPr>
    </w:p>
    <w:p>
      <w:pPr>
        <w:adjustRightInd w:val="0"/>
        <w:snapToGrid w:val="0"/>
        <w:spacing w:line="840" w:lineRule="exact"/>
        <w:jc w:val="center"/>
        <w:rPr>
          <w:rFonts w:ascii="方正小标宋简体" w:hAnsi="方正小标宋简体" w:eastAsia="方正小标宋简体" w:cs="方正小标宋简体"/>
          <w:b/>
          <w:bCs/>
          <w:sz w:val="60"/>
          <w:szCs w:val="60"/>
        </w:rPr>
      </w:pPr>
      <w:r>
        <w:rPr>
          <w:rFonts w:hint="eastAsia" w:ascii="方正小标宋简体" w:hAnsi="方正小标宋简体" w:eastAsia="方正小标宋简体" w:cs="方正小标宋简体"/>
          <w:b/>
          <w:bCs/>
          <w:sz w:val="60"/>
          <w:szCs w:val="60"/>
        </w:rPr>
        <w:t>四川省广元市利州区人民政府</w:t>
      </w:r>
    </w:p>
    <w:p>
      <w:pPr>
        <w:adjustRightInd w:val="0"/>
        <w:snapToGrid w:val="0"/>
        <w:spacing w:line="840" w:lineRule="exact"/>
        <w:jc w:val="center"/>
        <w:rPr>
          <w:rFonts w:ascii="方正小标宋简体" w:hAnsi="方正小标宋简体" w:eastAsia="方正小标宋简体" w:cs="方正小标宋简体"/>
          <w:b/>
          <w:bCs/>
          <w:sz w:val="60"/>
          <w:szCs w:val="60"/>
        </w:rPr>
      </w:pPr>
      <w:r>
        <w:rPr>
          <w:rFonts w:hint="eastAsia" w:ascii="方正小标宋简体" w:hAnsi="方正小标宋简体" w:eastAsia="方正小标宋简体" w:cs="方正小标宋简体"/>
          <w:b/>
          <w:bCs/>
          <w:sz w:val="60"/>
          <w:szCs w:val="60"/>
        </w:rPr>
        <w:t>雪峰街道办事处</w:t>
      </w:r>
    </w:p>
    <w:p>
      <w:pPr>
        <w:pStyle w:val="7"/>
        <w:spacing w:before="175"/>
        <w:jc w:val="both"/>
        <w:rPr>
          <w:b/>
          <w:bCs/>
        </w:rPr>
      </w:pPr>
    </w:p>
    <w:p>
      <w:pPr>
        <w:pStyle w:val="7"/>
        <w:spacing w:before="175"/>
        <w:jc w:val="both"/>
        <w:rPr>
          <w:b/>
          <w:bCs/>
        </w:rPr>
      </w:pPr>
    </w:p>
    <w:p>
      <w:pPr>
        <w:adjustRightInd w:val="0"/>
        <w:snapToGrid w:val="0"/>
        <w:jc w:val="center"/>
        <w:rPr>
          <w:rFonts w:ascii="方正魏碑_GBK" w:hAnsi="方正小标宋简体" w:eastAsia="方正魏碑_GBK" w:cs="方正小标宋简体"/>
          <w:b/>
          <w:bCs/>
          <w:sz w:val="96"/>
          <w:szCs w:val="96"/>
        </w:rPr>
      </w:pPr>
      <w:r>
        <w:rPr>
          <w:rFonts w:hint="eastAsia" w:ascii="方正魏碑_GBK" w:hAnsi="方正小标宋简体" w:eastAsia="方正魏碑_GBK" w:cs="方正小标宋简体"/>
          <w:b/>
          <w:bCs/>
          <w:sz w:val="96"/>
          <w:szCs w:val="96"/>
        </w:rPr>
        <w:t>部</w:t>
      </w:r>
    </w:p>
    <w:p>
      <w:pPr>
        <w:adjustRightInd w:val="0"/>
        <w:snapToGrid w:val="0"/>
        <w:spacing w:line="1860" w:lineRule="exact"/>
        <w:jc w:val="center"/>
        <w:rPr>
          <w:rFonts w:ascii="方正魏碑_GBK" w:hAnsi="方正小标宋简体" w:eastAsia="方正魏碑_GBK" w:cs="方正小标宋简体"/>
          <w:b/>
          <w:bCs/>
          <w:sz w:val="96"/>
          <w:szCs w:val="96"/>
        </w:rPr>
      </w:pPr>
      <w:r>
        <w:rPr>
          <w:rFonts w:hint="eastAsia" w:ascii="方正魏碑_GBK" w:hAnsi="方正小标宋简体" w:eastAsia="方正魏碑_GBK" w:cs="方正小标宋简体"/>
          <w:b/>
          <w:bCs/>
          <w:sz w:val="96"/>
          <w:szCs w:val="96"/>
        </w:rPr>
        <w:t>门</w:t>
      </w:r>
    </w:p>
    <w:p>
      <w:pPr>
        <w:adjustRightInd w:val="0"/>
        <w:snapToGrid w:val="0"/>
        <w:spacing w:line="1860" w:lineRule="exact"/>
        <w:jc w:val="center"/>
        <w:rPr>
          <w:rFonts w:ascii="方正魏碑_GBK" w:hAnsi="方正小标宋简体" w:eastAsia="方正魏碑_GBK" w:cs="方正小标宋简体"/>
          <w:b/>
          <w:bCs/>
          <w:sz w:val="96"/>
          <w:szCs w:val="96"/>
        </w:rPr>
      </w:pPr>
      <w:r>
        <w:rPr>
          <w:rFonts w:hint="eastAsia" w:ascii="方正魏碑_GBK" w:hAnsi="方正小标宋简体" w:eastAsia="方正魏碑_GBK" w:cs="方正小标宋简体"/>
          <w:b/>
          <w:bCs/>
          <w:sz w:val="96"/>
          <w:szCs w:val="96"/>
        </w:rPr>
        <w:t>决</w:t>
      </w:r>
    </w:p>
    <w:p>
      <w:pPr>
        <w:adjustRightInd w:val="0"/>
        <w:snapToGrid w:val="0"/>
        <w:spacing w:line="1860" w:lineRule="exact"/>
        <w:jc w:val="center"/>
        <w:rPr>
          <w:rFonts w:ascii="方正魏碑_GBK" w:hAnsi="方正小标宋简体" w:eastAsia="方正魏碑_GBK" w:cs="方正小标宋简体"/>
          <w:b/>
          <w:bCs/>
          <w:sz w:val="96"/>
          <w:szCs w:val="96"/>
        </w:rPr>
      </w:pPr>
      <w:r>
        <w:rPr>
          <w:rFonts w:hint="eastAsia" w:ascii="方正魏碑_GBK" w:hAnsi="方正小标宋简体" w:eastAsia="方正魏碑_GBK" w:cs="方正小标宋简体"/>
          <w:b/>
          <w:bCs/>
          <w:sz w:val="96"/>
          <w:szCs w:val="96"/>
        </w:rPr>
        <w:t>算</w:t>
      </w:r>
    </w:p>
    <w:p>
      <w:pPr>
        <w:pStyle w:val="7"/>
        <w:spacing w:before="175"/>
        <w:jc w:val="center"/>
        <w:rPr>
          <w:b/>
          <w:bCs/>
        </w:rPr>
      </w:pPr>
    </w:p>
    <w:p>
      <w:pPr>
        <w:pStyle w:val="7"/>
        <w:spacing w:before="175"/>
        <w:jc w:val="both"/>
        <w:rPr>
          <w:b/>
          <w:bCs/>
        </w:rPr>
      </w:pPr>
    </w:p>
    <w:p>
      <w:pPr>
        <w:adjustRightInd w:val="0"/>
        <w:snapToGrid w:val="0"/>
        <w:jc w:val="center"/>
        <w:rPr>
          <w:rFonts w:hint="eastAsia" w:ascii="方正黑体简体" w:hAnsi="方正黑体简体" w:eastAsia="方正黑体简体" w:cs="方正黑体简体"/>
          <w:b/>
          <w:bCs/>
          <w:sz w:val="40"/>
          <w:szCs w:val="40"/>
        </w:rPr>
      </w:pPr>
      <w:r>
        <w:rPr>
          <w:rFonts w:hint="eastAsia" w:ascii="方正黑体简体" w:hAnsi="方正黑体简体" w:eastAsia="方正黑体简体" w:cs="方正黑体简体"/>
          <w:b/>
          <w:bCs/>
          <w:sz w:val="40"/>
          <w:szCs w:val="40"/>
          <w:lang w:eastAsia="zh-CN"/>
        </w:rPr>
        <w:t>2024</w:t>
      </w:r>
      <w:r>
        <w:rPr>
          <w:rFonts w:hint="eastAsia" w:ascii="方正黑体简体" w:hAnsi="方正黑体简体" w:eastAsia="方正黑体简体" w:cs="方正黑体简体"/>
          <w:b/>
          <w:bCs/>
          <w:sz w:val="40"/>
          <w:szCs w:val="40"/>
        </w:rPr>
        <w:t>年度</w:t>
      </w:r>
      <w:bookmarkStart w:id="0" w:name="_Toc15396599"/>
      <w:bookmarkStart w:id="1" w:name="_Toc15377196"/>
    </w:p>
    <w:p>
      <w:pPr>
        <w:pStyle w:val="2"/>
        <w:rPr>
          <w:rFonts w:hint="eastAsia" w:ascii="方正黑体简体" w:hAnsi="方正黑体简体" w:eastAsia="方正黑体简体" w:cs="方正黑体简体"/>
          <w:b/>
          <w:bCs/>
          <w:sz w:val="40"/>
          <w:szCs w:val="40"/>
        </w:rPr>
      </w:pPr>
    </w:p>
    <w:p/>
    <w:sdt>
      <w:sdtPr>
        <w:rPr>
          <w:rFonts w:ascii="宋体" w:hAnsi="宋体" w:eastAsia="楷体"/>
          <w:sz w:val="28"/>
          <w:szCs w:val="28"/>
        </w:rPr>
        <w:id w:val="147461642"/>
        <w15:color w:val="DBDBDB"/>
        <w:docPartObj>
          <w:docPartGallery w:val="Table of Contents"/>
          <w:docPartUnique/>
        </w:docPartObj>
      </w:sdtPr>
      <w:sdtEndPr>
        <w:rPr>
          <w:rFonts w:hint="eastAsia" w:ascii="楷体" w:hAnsi="楷体" w:eastAsia="楷体" w:cs="楷体"/>
          <w:sz w:val="28"/>
          <w:szCs w:val="28"/>
        </w:rPr>
      </w:sdtEndPr>
      <w:sdtContent>
        <w:p>
          <w:pPr>
            <w:keepNext w:val="0"/>
            <w:keepLines w:val="0"/>
            <w:pageBreakBefore w:val="0"/>
            <w:widowControl w:val="0"/>
            <w:tabs>
              <w:tab w:val="right" w:pos="8820"/>
            </w:tabs>
            <w:kinsoku/>
            <w:wordWrap/>
            <w:overflowPunct w:val="0"/>
            <w:topLinePunct w:val="0"/>
            <w:autoSpaceDE/>
            <w:autoSpaceDN/>
            <w:bidi w:val="0"/>
            <w:adjustRightInd w:val="0"/>
            <w:snapToGrid w:val="0"/>
            <w:spacing w:line="576" w:lineRule="exact"/>
            <w:jc w:val="center"/>
            <w:textAlignment w:val="auto"/>
            <w:rPr>
              <w:rFonts w:ascii="黑体" w:hAnsi="黑体" w:eastAsia="黑体"/>
              <w:sz w:val="44"/>
              <w:szCs w:val="44"/>
            </w:rPr>
          </w:pPr>
          <w:r>
            <w:rPr>
              <w:rFonts w:ascii="黑体" w:hAnsi="黑体" w:eastAsia="黑体"/>
              <w:sz w:val="44"/>
              <w:szCs w:val="44"/>
            </w:rPr>
            <w:t>目</w:t>
          </w:r>
          <w:r>
            <w:rPr>
              <w:rFonts w:hint="eastAsia" w:ascii="黑体" w:hAnsi="黑体" w:eastAsia="黑体"/>
              <w:sz w:val="44"/>
              <w:szCs w:val="44"/>
              <w:lang w:val="en-US" w:eastAsia="zh-CN"/>
            </w:rPr>
            <w:t xml:space="preserve">  </w:t>
          </w:r>
          <w:r>
            <w:rPr>
              <w:rFonts w:ascii="黑体" w:hAnsi="黑体" w:eastAsia="黑体"/>
              <w:sz w:val="44"/>
              <w:szCs w:val="44"/>
            </w:rPr>
            <w:t>录</w:t>
          </w:r>
        </w:p>
        <w:p>
          <w:pPr>
            <w:pStyle w:val="2"/>
            <w:tabs>
              <w:tab w:val="right" w:pos="8820"/>
            </w:tabs>
            <w:overflowPunct w:val="0"/>
            <w:adjustRightInd w:val="0"/>
            <w:snapToGrid w:val="0"/>
            <w:spacing w:after="0" w:line="494" w:lineRule="exact"/>
            <w:ind w:left="0" w:leftChars="0" w:firstLine="0" w:firstLineChars="0"/>
            <w:jc w:val="center"/>
            <w:rPr>
              <w:rFonts w:ascii="宋体" w:hAnsi="宋体" w:eastAsia="楷体"/>
              <w:sz w:val="28"/>
              <w:szCs w:val="28"/>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18</w:t>
          </w:r>
          <w:r>
            <w:rPr>
              <w:rFonts w:hint="eastAsia"/>
              <w:color w:val="auto"/>
              <w:highlight w:val="none"/>
            </w:rPr>
            <w:t>日</w:t>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TOC \o "1-3" \h \u </w:instrText>
          </w:r>
          <w:r>
            <w:rPr>
              <w:rFonts w:hint="eastAsia" w:ascii="楷体" w:hAnsi="楷体" w:eastAsia="楷体" w:cs="楷体"/>
              <w:sz w:val="28"/>
              <w:szCs w:val="28"/>
            </w:rPr>
            <w:fldChar w:fldCharType="separate"/>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"_Toc146619317" </w:instrText>
          </w:r>
          <w:r>
            <w:rPr>
              <w:rFonts w:hint="eastAsia" w:ascii="黑体" w:hAnsi="黑体" w:eastAsia="黑体" w:cs="黑体"/>
              <w:sz w:val="28"/>
              <w:szCs w:val="28"/>
            </w:rPr>
            <w:fldChar w:fldCharType="separate"/>
          </w:r>
          <w:r>
            <w:rPr>
              <w:rFonts w:hint="eastAsia" w:ascii="黑体" w:hAnsi="黑体" w:eastAsia="黑体" w:cs="黑体"/>
              <w:sz w:val="28"/>
              <w:szCs w:val="28"/>
            </w:rPr>
            <w:t>第一部分</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部门概况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_Toc146619317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"_Toc146619318" </w:instrText>
          </w:r>
          <w:r>
            <w:rPr>
              <w:rFonts w:hint="eastAsia" w:ascii="楷体" w:hAnsi="楷体" w:eastAsia="楷体" w:cs="楷体"/>
              <w:sz w:val="28"/>
              <w:szCs w:val="28"/>
            </w:rPr>
            <w:fldChar w:fldCharType="separate"/>
          </w:r>
          <w:r>
            <w:rPr>
              <w:rFonts w:hint="eastAsia" w:ascii="楷体" w:hAnsi="楷体" w:eastAsia="楷体" w:cs="楷体"/>
              <w:sz w:val="28"/>
              <w:szCs w:val="28"/>
            </w:rPr>
            <w:t>一、部门职责</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_Toc146619318 \h </w:instrText>
          </w:r>
          <w:r>
            <w:rPr>
              <w:rFonts w:hint="eastAsia" w:ascii="楷体" w:hAnsi="楷体" w:eastAsia="楷体" w:cs="楷体"/>
              <w:sz w:val="28"/>
              <w:szCs w:val="28"/>
            </w:rPr>
            <w:fldChar w:fldCharType="separate"/>
          </w:r>
          <w:r>
            <w:rPr>
              <w:rFonts w:hint="eastAsia" w:ascii="楷体" w:hAnsi="楷体" w:eastAsia="楷体" w:cs="楷体"/>
              <w:sz w:val="28"/>
              <w:szCs w:val="28"/>
            </w:rPr>
            <w:t>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"_Toc146619319" </w:instrText>
          </w:r>
          <w:r>
            <w:rPr>
              <w:rFonts w:hint="eastAsia" w:ascii="楷体" w:hAnsi="楷体" w:eastAsia="楷体" w:cs="楷体"/>
              <w:sz w:val="28"/>
              <w:szCs w:val="28"/>
            </w:rPr>
            <w:fldChar w:fldCharType="separate"/>
          </w:r>
          <w:r>
            <w:rPr>
              <w:rFonts w:hint="eastAsia" w:ascii="楷体" w:hAnsi="楷体" w:eastAsia="楷体" w:cs="楷体"/>
              <w:sz w:val="28"/>
              <w:szCs w:val="28"/>
            </w:rPr>
            <w:t>二、机构设置</w:t>
          </w:r>
          <w:r>
            <w:rPr>
              <w:rFonts w:hint="eastAsia" w:ascii="楷体" w:hAnsi="楷体" w:eastAsia="楷体" w:cs="楷体"/>
              <w:sz w:val="28"/>
              <w:szCs w:val="28"/>
            </w:rPr>
            <w:tab/>
          </w:r>
          <w:r>
            <w:rPr>
              <w:rFonts w:hint="eastAsia" w:ascii="楷体" w:hAnsi="楷体" w:eastAsia="楷体" w:cs="楷体"/>
              <w:sz w:val="28"/>
              <w:szCs w:val="28"/>
              <w:lang w:val="en-US" w:eastAsia="zh-CN"/>
            </w:rPr>
            <w:t>5</w:t>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"_Toc146619320" </w:instrText>
          </w:r>
          <w:r>
            <w:rPr>
              <w:rFonts w:hint="eastAsia" w:ascii="黑体" w:hAnsi="黑体" w:eastAsia="黑体" w:cs="黑体"/>
              <w:sz w:val="28"/>
              <w:szCs w:val="28"/>
            </w:rPr>
            <w:fldChar w:fldCharType="separate"/>
          </w:r>
          <w:r>
            <w:rPr>
              <w:rFonts w:hint="eastAsia" w:ascii="黑体" w:hAnsi="黑体" w:eastAsia="黑体" w:cs="黑体"/>
              <w:sz w:val="28"/>
              <w:szCs w:val="28"/>
            </w:rPr>
            <w:t>第二部分</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2024</w:t>
          </w:r>
          <w:r>
            <w:rPr>
              <w:rFonts w:hint="eastAsia" w:ascii="黑体" w:hAnsi="黑体" w:eastAsia="黑体" w:cs="黑体"/>
              <w:sz w:val="28"/>
              <w:szCs w:val="28"/>
            </w:rPr>
            <w:t>年度部门决算情况说明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_Toc146619320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"_Toc146619321" </w:instrText>
          </w:r>
          <w:r>
            <w:rPr>
              <w:rFonts w:hint="eastAsia" w:ascii="楷体" w:hAnsi="楷体" w:eastAsia="楷体" w:cs="楷体"/>
              <w:sz w:val="28"/>
              <w:szCs w:val="28"/>
            </w:rPr>
            <w:fldChar w:fldCharType="separate"/>
          </w:r>
          <w:r>
            <w:rPr>
              <w:rFonts w:hint="eastAsia" w:ascii="楷体" w:hAnsi="楷体" w:eastAsia="楷体" w:cs="楷体"/>
              <w:sz w:val="28"/>
              <w:szCs w:val="28"/>
            </w:rPr>
            <w:t>一、收入支出决算总体情况说明</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_Toc146619321 \h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"_Toc146619322" </w:instrText>
          </w:r>
          <w:r>
            <w:rPr>
              <w:rFonts w:hint="eastAsia" w:ascii="楷体" w:hAnsi="楷体" w:eastAsia="楷体" w:cs="楷体"/>
              <w:sz w:val="28"/>
              <w:szCs w:val="28"/>
            </w:rPr>
            <w:fldChar w:fldCharType="separate"/>
          </w:r>
          <w:r>
            <w:rPr>
              <w:rFonts w:hint="eastAsia" w:ascii="楷体" w:hAnsi="楷体" w:eastAsia="楷体" w:cs="楷体"/>
              <w:sz w:val="28"/>
              <w:szCs w:val="28"/>
            </w:rPr>
            <w:t>二、收入决算情况说明</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_Toc146619322 \h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"_Toc146619323" </w:instrText>
          </w:r>
          <w:r>
            <w:rPr>
              <w:rFonts w:hint="eastAsia" w:ascii="楷体" w:hAnsi="楷体" w:eastAsia="楷体" w:cs="楷体"/>
              <w:sz w:val="28"/>
              <w:szCs w:val="28"/>
            </w:rPr>
            <w:fldChar w:fldCharType="separate"/>
          </w:r>
          <w:r>
            <w:rPr>
              <w:rFonts w:hint="eastAsia" w:ascii="楷体" w:hAnsi="楷体" w:eastAsia="楷体" w:cs="楷体"/>
              <w:sz w:val="28"/>
              <w:szCs w:val="28"/>
            </w:rPr>
            <w:t>三、支出决算情况说明</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_Toc146619323 \h </w:instrText>
          </w:r>
          <w:r>
            <w:rPr>
              <w:rFonts w:hint="eastAsia" w:ascii="楷体" w:hAnsi="楷体" w:eastAsia="楷体" w:cs="楷体"/>
              <w:sz w:val="28"/>
              <w:szCs w:val="28"/>
            </w:rPr>
            <w:fldChar w:fldCharType="separate"/>
          </w:r>
          <w:r>
            <w:rPr>
              <w:rFonts w:hint="eastAsia" w:ascii="楷体" w:hAnsi="楷体" w:eastAsia="楷体" w:cs="楷体"/>
              <w:sz w:val="28"/>
              <w:szCs w:val="28"/>
            </w:rPr>
            <w:t>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"_Toc146619324" </w:instrText>
          </w:r>
          <w:r>
            <w:rPr>
              <w:rFonts w:hint="eastAsia" w:ascii="楷体" w:hAnsi="楷体" w:eastAsia="楷体" w:cs="楷体"/>
              <w:sz w:val="28"/>
              <w:szCs w:val="28"/>
            </w:rPr>
            <w:fldChar w:fldCharType="separate"/>
          </w:r>
          <w:r>
            <w:rPr>
              <w:rFonts w:hint="eastAsia" w:ascii="楷体" w:hAnsi="楷体" w:eastAsia="楷体" w:cs="楷体"/>
              <w:sz w:val="28"/>
              <w:szCs w:val="28"/>
            </w:rPr>
            <w:t>四、财政拨款收入支出决算总体情况说明</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_Toc146619324 \h </w:instrText>
          </w:r>
          <w:r>
            <w:rPr>
              <w:rFonts w:hint="eastAsia" w:ascii="楷体" w:hAnsi="楷体" w:eastAsia="楷体" w:cs="楷体"/>
              <w:sz w:val="28"/>
              <w:szCs w:val="28"/>
            </w:rPr>
            <w:fldChar w:fldCharType="separate"/>
          </w:r>
          <w:r>
            <w:rPr>
              <w:rFonts w:hint="eastAsia" w:ascii="楷体" w:hAnsi="楷体" w:eastAsia="楷体" w:cs="楷体"/>
              <w:sz w:val="28"/>
              <w:szCs w:val="28"/>
            </w:rPr>
            <w:t>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"_Toc146619325" </w:instrText>
          </w:r>
          <w:r>
            <w:rPr>
              <w:rFonts w:hint="eastAsia" w:ascii="楷体" w:hAnsi="楷体" w:eastAsia="楷体" w:cs="楷体"/>
              <w:sz w:val="28"/>
              <w:szCs w:val="28"/>
            </w:rPr>
            <w:fldChar w:fldCharType="separate"/>
          </w:r>
          <w:r>
            <w:rPr>
              <w:rFonts w:hint="eastAsia" w:ascii="楷体" w:hAnsi="楷体" w:eastAsia="楷体" w:cs="楷体"/>
              <w:sz w:val="28"/>
              <w:szCs w:val="28"/>
            </w:rPr>
            <w:t>五、一般公共预算财政拨款支出决算情况说明</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_Toc146619325 \h </w:instrText>
          </w:r>
          <w:r>
            <w:rPr>
              <w:rFonts w:hint="eastAsia" w:ascii="楷体" w:hAnsi="楷体" w:eastAsia="楷体" w:cs="楷体"/>
              <w:sz w:val="28"/>
              <w:szCs w:val="28"/>
            </w:rPr>
            <w:fldChar w:fldCharType="separate"/>
          </w:r>
          <w:r>
            <w:rPr>
              <w:rFonts w:hint="eastAsia" w:ascii="楷体" w:hAnsi="楷体" w:eastAsia="楷体" w:cs="楷体"/>
              <w:sz w:val="28"/>
              <w:szCs w:val="28"/>
            </w:rPr>
            <w:t>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"_Toc146619326" </w:instrText>
          </w:r>
          <w:r>
            <w:rPr>
              <w:rFonts w:hint="eastAsia" w:ascii="楷体" w:hAnsi="楷体" w:eastAsia="楷体" w:cs="楷体"/>
              <w:sz w:val="28"/>
              <w:szCs w:val="28"/>
            </w:rPr>
            <w:fldChar w:fldCharType="separate"/>
          </w:r>
          <w:r>
            <w:rPr>
              <w:rFonts w:hint="eastAsia" w:ascii="楷体" w:hAnsi="楷体" w:eastAsia="楷体" w:cs="楷体"/>
              <w:sz w:val="28"/>
              <w:szCs w:val="28"/>
            </w:rPr>
            <w:t>（一）一般公共预算财政拨款支出决算总体情况</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_Toc146619326 \h </w:instrText>
          </w:r>
          <w:r>
            <w:rPr>
              <w:rFonts w:hint="eastAsia" w:ascii="楷体" w:hAnsi="楷体" w:eastAsia="楷体" w:cs="楷体"/>
              <w:sz w:val="28"/>
              <w:szCs w:val="28"/>
            </w:rPr>
            <w:fldChar w:fldCharType="separate"/>
          </w:r>
          <w:r>
            <w:rPr>
              <w:rFonts w:hint="eastAsia" w:ascii="楷体" w:hAnsi="楷体" w:eastAsia="楷体" w:cs="楷体"/>
              <w:sz w:val="28"/>
              <w:szCs w:val="28"/>
            </w:rPr>
            <w:t>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"_Toc146619327" </w:instrText>
          </w:r>
          <w:r>
            <w:rPr>
              <w:rFonts w:hint="eastAsia" w:ascii="楷体" w:hAnsi="楷体" w:eastAsia="楷体" w:cs="楷体"/>
              <w:sz w:val="28"/>
              <w:szCs w:val="28"/>
            </w:rPr>
            <w:fldChar w:fldCharType="separate"/>
          </w:r>
          <w:r>
            <w:rPr>
              <w:rFonts w:hint="eastAsia" w:ascii="楷体" w:hAnsi="楷体" w:eastAsia="楷体" w:cs="楷体"/>
              <w:sz w:val="28"/>
              <w:szCs w:val="28"/>
            </w:rPr>
            <w:t>（二）一般公共预算财政拨款支出决算结构情况</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_Toc146619327 \h </w:instrText>
          </w:r>
          <w:r>
            <w:rPr>
              <w:rFonts w:hint="eastAsia" w:ascii="楷体" w:hAnsi="楷体" w:eastAsia="楷体" w:cs="楷体"/>
              <w:sz w:val="28"/>
              <w:szCs w:val="28"/>
            </w:rPr>
            <w:fldChar w:fldCharType="separate"/>
          </w:r>
          <w:r>
            <w:rPr>
              <w:rFonts w:hint="eastAsia" w:ascii="楷体" w:hAnsi="楷体" w:eastAsia="楷体" w:cs="楷体"/>
              <w:sz w:val="28"/>
              <w:szCs w:val="28"/>
            </w:rPr>
            <w:t>9</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"_Toc146619328" </w:instrText>
          </w:r>
          <w:r>
            <w:rPr>
              <w:rFonts w:hint="eastAsia" w:ascii="楷体" w:hAnsi="楷体" w:eastAsia="楷体" w:cs="楷体"/>
              <w:sz w:val="28"/>
              <w:szCs w:val="28"/>
            </w:rPr>
            <w:fldChar w:fldCharType="separate"/>
          </w:r>
          <w:r>
            <w:rPr>
              <w:rFonts w:hint="eastAsia" w:ascii="楷体" w:hAnsi="楷体" w:eastAsia="楷体" w:cs="楷体"/>
              <w:sz w:val="28"/>
              <w:szCs w:val="28"/>
            </w:rPr>
            <w:t>（三）一般公共预算财政拨款支出决算具体情况</w:t>
          </w:r>
          <w:r>
            <w:rPr>
              <w:rFonts w:hint="eastAsia" w:ascii="楷体" w:hAnsi="楷体" w:eastAsia="楷体" w:cs="楷体"/>
              <w:sz w:val="28"/>
              <w:szCs w:val="28"/>
            </w:rPr>
            <w:tab/>
          </w:r>
          <w:r>
            <w:rPr>
              <w:rFonts w:hint="eastAsia" w:ascii="楷体" w:hAnsi="楷体" w:eastAsia="楷体" w:cs="楷体"/>
              <w:sz w:val="28"/>
              <w:szCs w:val="28"/>
              <w:lang w:val="en-US" w:eastAsia="zh-CN"/>
            </w:rPr>
            <w:t>1</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0</w:t>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"_Toc146619329" </w:instrText>
          </w:r>
          <w:r>
            <w:rPr>
              <w:rFonts w:hint="eastAsia" w:ascii="楷体" w:hAnsi="楷体" w:eastAsia="楷体" w:cs="楷体"/>
              <w:sz w:val="28"/>
              <w:szCs w:val="28"/>
            </w:rPr>
            <w:fldChar w:fldCharType="separate"/>
          </w:r>
          <w:r>
            <w:rPr>
              <w:rFonts w:hint="eastAsia" w:ascii="楷体" w:hAnsi="楷体" w:eastAsia="楷体" w:cs="楷体"/>
              <w:sz w:val="28"/>
              <w:szCs w:val="28"/>
            </w:rPr>
            <w:t>六、一般公共预算财政拨款基本支出决算情况说明</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_Toc146619329 \h </w:instrText>
          </w:r>
          <w:r>
            <w:rPr>
              <w:rFonts w:hint="eastAsia" w:ascii="楷体" w:hAnsi="楷体" w:eastAsia="楷体" w:cs="楷体"/>
              <w:sz w:val="28"/>
              <w:szCs w:val="28"/>
            </w:rPr>
            <w:fldChar w:fldCharType="separate"/>
          </w:r>
          <w:r>
            <w:rPr>
              <w:rFonts w:hint="eastAsia" w:ascii="楷体" w:hAnsi="楷体" w:eastAsia="楷体" w:cs="楷体"/>
              <w:sz w:val="28"/>
              <w:szCs w:val="28"/>
            </w:rPr>
            <w:t>12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"_Toc146619330" </w:instrText>
          </w:r>
          <w:r>
            <w:rPr>
              <w:rFonts w:hint="eastAsia" w:ascii="楷体" w:hAnsi="楷体" w:eastAsia="楷体" w:cs="楷体"/>
              <w:sz w:val="28"/>
              <w:szCs w:val="28"/>
            </w:rPr>
            <w:fldChar w:fldCharType="separate"/>
          </w:r>
          <w:r>
            <w:rPr>
              <w:rFonts w:hint="eastAsia" w:ascii="楷体" w:hAnsi="楷体" w:eastAsia="楷体" w:cs="楷体"/>
              <w:sz w:val="28"/>
              <w:szCs w:val="28"/>
            </w:rPr>
            <w:t>七、财政拨款“三公”经费支出决算情况说明</w:t>
          </w:r>
          <w:r>
            <w:rPr>
              <w:rFonts w:hint="eastAsia" w:ascii="楷体" w:hAnsi="楷体" w:eastAsia="楷体" w:cs="楷体"/>
              <w:sz w:val="28"/>
              <w:szCs w:val="28"/>
            </w:rPr>
            <w:tab/>
          </w:r>
          <w:r>
            <w:rPr>
              <w:rFonts w:hint="eastAsia" w:ascii="楷体" w:hAnsi="楷体" w:eastAsia="楷体" w:cs="楷体"/>
              <w:sz w:val="28"/>
              <w:szCs w:val="28"/>
              <w:lang w:val="en-US" w:eastAsia="zh-CN"/>
            </w:rPr>
            <w:t>1</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3</w:t>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"_Toc146619331" </w:instrText>
          </w:r>
          <w:r>
            <w:rPr>
              <w:rFonts w:hint="eastAsia" w:ascii="楷体" w:hAnsi="楷体" w:eastAsia="楷体" w:cs="楷体"/>
              <w:sz w:val="28"/>
              <w:szCs w:val="28"/>
            </w:rPr>
            <w:fldChar w:fldCharType="separate"/>
          </w:r>
          <w:r>
            <w:rPr>
              <w:rFonts w:hint="eastAsia" w:ascii="楷体" w:hAnsi="楷体" w:eastAsia="楷体" w:cs="楷体"/>
              <w:sz w:val="28"/>
              <w:szCs w:val="28"/>
            </w:rPr>
            <w:t>（一）“三公”经费财政拨款支出决算总体情况说明</w:t>
          </w:r>
          <w:r>
            <w:rPr>
              <w:rFonts w:hint="eastAsia" w:ascii="楷体" w:hAnsi="楷体" w:eastAsia="楷体" w:cs="楷体"/>
              <w:sz w:val="28"/>
              <w:szCs w:val="28"/>
            </w:rPr>
            <w:tab/>
          </w:r>
          <w:r>
            <w:rPr>
              <w:rFonts w:hint="eastAsia" w:ascii="楷体" w:hAnsi="楷体" w:eastAsia="楷体" w:cs="楷体"/>
              <w:sz w:val="28"/>
              <w:szCs w:val="28"/>
              <w:lang w:val="en-US" w:eastAsia="zh-CN"/>
            </w:rPr>
            <w:t>1</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3</w:t>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"_Toc146619332" </w:instrText>
          </w:r>
          <w:r>
            <w:rPr>
              <w:rFonts w:hint="eastAsia" w:ascii="楷体" w:hAnsi="楷体" w:eastAsia="楷体" w:cs="楷体"/>
              <w:sz w:val="28"/>
              <w:szCs w:val="28"/>
            </w:rPr>
            <w:fldChar w:fldCharType="separate"/>
          </w:r>
          <w:r>
            <w:rPr>
              <w:rFonts w:hint="eastAsia" w:ascii="楷体" w:hAnsi="楷体" w:eastAsia="楷体" w:cs="楷体"/>
              <w:sz w:val="28"/>
              <w:szCs w:val="28"/>
            </w:rPr>
            <w:t>（二）“三公”经费财政拨款支出决算具体情况说明</w:t>
          </w:r>
          <w:r>
            <w:rPr>
              <w:rFonts w:hint="eastAsia" w:ascii="楷体" w:hAnsi="楷体" w:eastAsia="楷体" w:cs="楷体"/>
              <w:sz w:val="28"/>
              <w:szCs w:val="28"/>
            </w:rPr>
            <w:tab/>
          </w:r>
          <w:r>
            <w:rPr>
              <w:rFonts w:hint="eastAsia" w:ascii="楷体" w:hAnsi="楷体" w:eastAsia="楷体" w:cs="楷体"/>
              <w:sz w:val="28"/>
              <w:szCs w:val="28"/>
              <w:lang w:val="en-US" w:eastAsia="zh-CN"/>
            </w:rPr>
            <w:t>1</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3</w:t>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"_Toc146619333" </w:instrText>
          </w:r>
          <w:r>
            <w:rPr>
              <w:rFonts w:hint="eastAsia" w:ascii="楷体" w:hAnsi="楷体" w:eastAsia="楷体" w:cs="楷体"/>
              <w:sz w:val="28"/>
              <w:szCs w:val="28"/>
            </w:rPr>
            <w:fldChar w:fldCharType="separate"/>
          </w:r>
          <w:r>
            <w:rPr>
              <w:rFonts w:hint="eastAsia" w:ascii="楷体" w:hAnsi="楷体" w:eastAsia="楷体" w:cs="楷体"/>
              <w:sz w:val="28"/>
              <w:szCs w:val="28"/>
            </w:rPr>
            <w:t>八、政府性基金预算支出决算情况说明</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_Toc146619333 \h </w:instrText>
          </w:r>
          <w:r>
            <w:rPr>
              <w:rFonts w:hint="eastAsia" w:ascii="楷体" w:hAnsi="楷体" w:eastAsia="楷体" w:cs="楷体"/>
              <w:sz w:val="28"/>
              <w:szCs w:val="28"/>
            </w:rPr>
            <w:fldChar w:fldCharType="separate"/>
          </w:r>
          <w:r>
            <w:rPr>
              <w:rFonts w:hint="eastAsia" w:ascii="楷体" w:hAnsi="楷体" w:eastAsia="楷体" w:cs="楷体"/>
              <w:sz w:val="28"/>
              <w:szCs w:val="28"/>
            </w:rPr>
            <w:t>13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"_Toc146619334" </w:instrText>
          </w:r>
          <w:r>
            <w:rPr>
              <w:rFonts w:hint="eastAsia" w:ascii="楷体" w:hAnsi="楷体" w:eastAsia="楷体" w:cs="楷体"/>
              <w:sz w:val="28"/>
              <w:szCs w:val="28"/>
            </w:rPr>
            <w:fldChar w:fldCharType="separate"/>
          </w:r>
          <w:r>
            <w:rPr>
              <w:rFonts w:hint="eastAsia" w:ascii="楷体" w:hAnsi="楷体" w:eastAsia="楷体" w:cs="楷体"/>
              <w:sz w:val="28"/>
              <w:szCs w:val="28"/>
            </w:rPr>
            <w:t>九、国有资本经营预算支出决算情况说明</w:t>
          </w:r>
          <w:r>
            <w:rPr>
              <w:rFonts w:hint="eastAsia" w:ascii="楷体" w:hAnsi="楷体" w:eastAsia="楷体" w:cs="楷体"/>
              <w:sz w:val="28"/>
              <w:szCs w:val="28"/>
            </w:rPr>
            <w:tab/>
          </w:r>
          <w:r>
            <w:rPr>
              <w:rFonts w:hint="eastAsia" w:ascii="楷体" w:hAnsi="楷体" w:eastAsia="楷体" w:cs="楷体"/>
              <w:sz w:val="28"/>
              <w:szCs w:val="28"/>
              <w:lang w:val="en-US" w:eastAsia="zh-CN"/>
            </w:rPr>
            <w:t>1</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4</w:t>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"_Toc146619335" </w:instrText>
          </w:r>
          <w:r>
            <w:rPr>
              <w:rFonts w:hint="eastAsia" w:ascii="楷体" w:hAnsi="楷体" w:eastAsia="楷体" w:cs="楷体"/>
              <w:sz w:val="28"/>
              <w:szCs w:val="28"/>
            </w:rPr>
            <w:fldChar w:fldCharType="separate"/>
          </w:r>
          <w:r>
            <w:rPr>
              <w:rFonts w:hint="eastAsia" w:ascii="楷体" w:hAnsi="楷体" w:eastAsia="楷体" w:cs="楷体"/>
              <w:sz w:val="28"/>
              <w:szCs w:val="28"/>
            </w:rPr>
            <w:t>十、其他重要事项的情况说明</w:t>
          </w:r>
          <w:r>
            <w:rPr>
              <w:rFonts w:hint="eastAsia" w:ascii="楷体" w:hAnsi="楷体" w:eastAsia="楷体" w:cs="楷体"/>
              <w:sz w:val="28"/>
              <w:szCs w:val="28"/>
            </w:rPr>
            <w:tab/>
          </w:r>
          <w:r>
            <w:rPr>
              <w:rFonts w:hint="eastAsia" w:ascii="楷体" w:hAnsi="楷体" w:eastAsia="楷体" w:cs="楷体"/>
              <w:sz w:val="28"/>
              <w:szCs w:val="28"/>
              <w:lang w:val="en-US" w:eastAsia="zh-CN"/>
            </w:rPr>
            <w:t>1</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4</w:t>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"_Toc146619336" </w:instrText>
          </w:r>
          <w:r>
            <w:rPr>
              <w:rFonts w:hint="eastAsia" w:ascii="楷体" w:hAnsi="楷体" w:eastAsia="楷体" w:cs="楷体"/>
              <w:sz w:val="28"/>
              <w:szCs w:val="28"/>
            </w:rPr>
            <w:fldChar w:fldCharType="separate"/>
          </w:r>
          <w:r>
            <w:rPr>
              <w:rFonts w:hint="eastAsia" w:ascii="楷体" w:hAnsi="楷体" w:eastAsia="楷体" w:cs="楷体"/>
              <w:sz w:val="28"/>
              <w:szCs w:val="28"/>
            </w:rPr>
            <w:t>（一）机关运行经费支出情况</w:t>
          </w:r>
          <w:r>
            <w:rPr>
              <w:rFonts w:hint="eastAsia" w:ascii="楷体" w:hAnsi="楷体" w:eastAsia="楷体" w:cs="楷体"/>
              <w:sz w:val="28"/>
              <w:szCs w:val="28"/>
            </w:rPr>
            <w:tab/>
          </w:r>
          <w:r>
            <w:rPr>
              <w:rFonts w:hint="eastAsia" w:ascii="楷体" w:hAnsi="楷体" w:eastAsia="楷体" w:cs="楷体"/>
              <w:sz w:val="28"/>
              <w:szCs w:val="28"/>
              <w:lang w:val="en-US" w:eastAsia="zh-CN"/>
            </w:rPr>
            <w:t>1</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4</w:t>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"_Toc146619337" </w:instrText>
          </w:r>
          <w:r>
            <w:rPr>
              <w:rFonts w:hint="eastAsia" w:ascii="楷体" w:hAnsi="楷体" w:eastAsia="楷体" w:cs="楷体"/>
              <w:sz w:val="28"/>
              <w:szCs w:val="28"/>
            </w:rPr>
            <w:fldChar w:fldCharType="separate"/>
          </w:r>
          <w:r>
            <w:rPr>
              <w:rFonts w:hint="eastAsia" w:ascii="楷体" w:hAnsi="楷体" w:eastAsia="楷体" w:cs="楷体"/>
              <w:sz w:val="28"/>
              <w:szCs w:val="28"/>
            </w:rPr>
            <w:t>（二）政府采购支出情况</w:t>
          </w:r>
          <w:r>
            <w:rPr>
              <w:rFonts w:hint="eastAsia" w:ascii="楷体" w:hAnsi="楷体" w:eastAsia="楷体" w:cs="楷体"/>
              <w:sz w:val="28"/>
              <w:szCs w:val="28"/>
            </w:rPr>
            <w:tab/>
          </w:r>
          <w:r>
            <w:rPr>
              <w:rFonts w:hint="eastAsia" w:ascii="楷体" w:hAnsi="楷体" w:eastAsia="楷体" w:cs="楷体"/>
              <w:sz w:val="28"/>
              <w:szCs w:val="28"/>
              <w:lang w:val="en-US" w:eastAsia="zh-CN"/>
            </w:rPr>
            <w:t>1</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4</w:t>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"_Toc146619338" </w:instrText>
          </w:r>
          <w:r>
            <w:rPr>
              <w:rFonts w:hint="eastAsia" w:ascii="楷体" w:hAnsi="楷体" w:eastAsia="楷体" w:cs="楷体"/>
              <w:sz w:val="28"/>
              <w:szCs w:val="28"/>
            </w:rPr>
            <w:fldChar w:fldCharType="separate"/>
          </w:r>
          <w:r>
            <w:rPr>
              <w:rFonts w:hint="eastAsia" w:ascii="楷体" w:hAnsi="楷体" w:eastAsia="楷体" w:cs="楷体"/>
              <w:sz w:val="28"/>
              <w:szCs w:val="28"/>
            </w:rPr>
            <w:t>（三）国有资产占有使用情况</w:t>
          </w:r>
          <w:r>
            <w:rPr>
              <w:rFonts w:hint="eastAsia" w:ascii="楷体" w:hAnsi="楷体" w:eastAsia="楷体" w:cs="楷体"/>
              <w:sz w:val="28"/>
              <w:szCs w:val="28"/>
            </w:rPr>
            <w:tab/>
          </w:r>
          <w:r>
            <w:rPr>
              <w:rFonts w:hint="eastAsia" w:ascii="楷体" w:hAnsi="楷体" w:eastAsia="楷体" w:cs="楷体"/>
              <w:sz w:val="28"/>
              <w:szCs w:val="28"/>
              <w:lang w:val="en-US" w:eastAsia="zh-CN"/>
            </w:rPr>
            <w:t>1</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4</w:t>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lang w:val="en-US" w:eastAsia="zh-CN"/>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"_Toc146619339" </w:instrText>
          </w:r>
          <w:r>
            <w:rPr>
              <w:rFonts w:hint="eastAsia" w:ascii="楷体" w:hAnsi="楷体" w:eastAsia="楷体" w:cs="楷体"/>
              <w:sz w:val="28"/>
              <w:szCs w:val="28"/>
            </w:rPr>
            <w:fldChar w:fldCharType="separate"/>
          </w:r>
          <w:r>
            <w:rPr>
              <w:rFonts w:hint="eastAsia" w:ascii="楷体" w:hAnsi="楷体" w:eastAsia="楷体" w:cs="楷体"/>
              <w:sz w:val="28"/>
              <w:szCs w:val="28"/>
            </w:rPr>
            <w:t>（四）预算绩效管理情况</w:t>
          </w:r>
          <w:r>
            <w:rPr>
              <w:rFonts w:hint="eastAsia" w:ascii="楷体" w:hAnsi="楷体" w:eastAsia="楷体" w:cs="楷体"/>
              <w:sz w:val="28"/>
              <w:szCs w:val="28"/>
            </w:rPr>
            <w:tab/>
          </w:r>
          <w:r>
            <w:rPr>
              <w:rFonts w:hint="eastAsia" w:ascii="楷体" w:hAnsi="楷体" w:eastAsia="楷体" w:cs="楷体"/>
              <w:sz w:val="28"/>
              <w:szCs w:val="28"/>
              <w:lang w:val="en-US" w:eastAsia="zh-CN"/>
            </w:rPr>
            <w:t>1</w:t>
          </w:r>
          <w:r>
            <w:rPr>
              <w:rFonts w:hint="eastAsia" w:ascii="楷体" w:hAnsi="楷体" w:eastAsia="楷体" w:cs="楷体"/>
              <w:sz w:val="28"/>
              <w:szCs w:val="28"/>
            </w:rPr>
            <w:fldChar w:fldCharType="end"/>
          </w:r>
          <w:r>
            <w:rPr>
              <w:rFonts w:hint="eastAsia" w:ascii="楷体" w:hAnsi="楷体" w:eastAsia="楷体" w:cs="楷体"/>
              <w:sz w:val="28"/>
              <w:szCs w:val="28"/>
              <w:lang w:val="en-US" w:eastAsia="zh-CN"/>
            </w:rPr>
            <w:t>4</w:t>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"_Toc146619340" </w:instrText>
          </w:r>
          <w:r>
            <w:rPr>
              <w:rFonts w:hint="eastAsia" w:ascii="黑体" w:hAnsi="黑体" w:eastAsia="黑体" w:cs="黑体"/>
              <w:sz w:val="28"/>
              <w:szCs w:val="28"/>
            </w:rPr>
            <w:fldChar w:fldCharType="separate"/>
          </w:r>
          <w:r>
            <w:rPr>
              <w:rFonts w:hint="eastAsia" w:ascii="黑体" w:hAnsi="黑体" w:eastAsia="黑体" w:cs="黑体"/>
              <w:sz w:val="28"/>
              <w:szCs w:val="28"/>
            </w:rPr>
            <w:t>第三部分</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名词解释</w:t>
          </w:r>
          <w:r>
            <w:rPr>
              <w:rFonts w:hint="eastAsia" w:ascii="黑体" w:hAnsi="黑体" w:eastAsia="黑体" w:cs="黑体"/>
              <w:sz w:val="28"/>
              <w:szCs w:val="28"/>
            </w:rPr>
            <w:tab/>
          </w:r>
          <w:r>
            <w:rPr>
              <w:rFonts w:hint="eastAsia" w:ascii="黑体" w:hAnsi="黑体" w:eastAsia="黑体" w:cs="黑体"/>
              <w:sz w:val="28"/>
              <w:szCs w:val="28"/>
              <w:lang w:val="en-US" w:eastAsia="zh-CN"/>
            </w:rPr>
            <w:t>1</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6</w:t>
          </w:r>
        </w:p>
        <w:p>
          <w:pPr>
            <w:pStyle w:val="15"/>
            <w:tabs>
              <w:tab w:val="right" w:leader="dot" w:pos="8820"/>
              <w:tab w:val="clear" w:pos="8296"/>
            </w:tabs>
            <w:overflowPunct w:val="0"/>
            <w:adjustRightInd w:val="0"/>
            <w:snapToGrid w:val="0"/>
            <w:spacing w:line="494" w:lineRule="exact"/>
            <w:ind w:left="0" w:leftChars="0"/>
            <w:jc w:val="both"/>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"_Toc146619341" </w:instrText>
          </w:r>
          <w:r>
            <w:rPr>
              <w:rFonts w:hint="eastAsia" w:ascii="黑体" w:hAnsi="黑体" w:eastAsia="黑体" w:cs="黑体"/>
              <w:sz w:val="28"/>
              <w:szCs w:val="28"/>
            </w:rPr>
            <w:fldChar w:fldCharType="separate"/>
          </w:r>
          <w:r>
            <w:rPr>
              <w:rFonts w:hint="eastAsia" w:ascii="黑体" w:hAnsi="黑体" w:eastAsia="黑体" w:cs="黑体"/>
              <w:sz w:val="28"/>
              <w:szCs w:val="28"/>
            </w:rPr>
            <w:t>第四部分</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附件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_Toc146619341 \h </w:instrText>
          </w:r>
          <w:r>
            <w:rPr>
              <w:rFonts w:hint="eastAsia" w:ascii="黑体" w:hAnsi="黑体" w:eastAsia="黑体" w:cs="黑体"/>
              <w:sz w:val="28"/>
              <w:szCs w:val="28"/>
            </w:rPr>
            <w:fldChar w:fldCharType="separate"/>
          </w:r>
          <w:r>
            <w:rPr>
              <w:rFonts w:hint="eastAsia" w:ascii="黑体" w:hAnsi="黑体" w:eastAsia="黑体" w:cs="黑体"/>
              <w:sz w:val="28"/>
              <w:szCs w:val="28"/>
            </w:rPr>
            <w:t>20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default"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2024年</w:t>
          </w:r>
          <w:r>
            <w:rPr>
              <w:rFonts w:hint="eastAsia" w:ascii="楷体" w:hAnsi="楷体" w:eastAsia="楷体" w:cs="楷体"/>
              <w:sz w:val="28"/>
              <w:szCs w:val="28"/>
              <w:highlight w:val="none"/>
              <w:lang w:val="en-US"/>
            </w:rPr>
            <w:t>部门</w:t>
          </w:r>
          <w:r>
            <w:rPr>
              <w:rFonts w:hint="eastAsia" w:ascii="楷体" w:hAnsi="楷体" w:eastAsia="楷体" w:cs="楷体"/>
              <w:sz w:val="28"/>
              <w:szCs w:val="28"/>
              <w:highlight w:val="none"/>
              <w:lang w:val="en-US" w:eastAsia="zh-CN"/>
            </w:rPr>
            <w:t>预算</w:t>
          </w:r>
          <w:r>
            <w:rPr>
              <w:rFonts w:hint="eastAsia" w:ascii="楷体" w:hAnsi="楷体" w:eastAsia="楷体" w:cs="楷体"/>
              <w:sz w:val="28"/>
              <w:szCs w:val="28"/>
              <w:highlight w:val="none"/>
              <w:lang w:val="en-US"/>
            </w:rPr>
            <w:t>绩效</w:t>
          </w:r>
          <w:r>
            <w:rPr>
              <w:rFonts w:hint="eastAsia" w:ascii="楷体" w:hAnsi="楷体" w:eastAsia="楷体" w:cs="楷体"/>
              <w:sz w:val="28"/>
              <w:szCs w:val="28"/>
              <w:highlight w:val="none"/>
              <w:lang w:val="en-US" w:eastAsia="zh-CN"/>
            </w:rPr>
            <w:t>自评</w:t>
          </w:r>
          <w:r>
            <w:rPr>
              <w:rFonts w:hint="eastAsia" w:ascii="楷体" w:hAnsi="楷体" w:eastAsia="楷体" w:cs="楷体"/>
              <w:sz w:val="28"/>
              <w:szCs w:val="28"/>
              <w:highlight w:val="none"/>
              <w:lang w:val="en-US"/>
            </w:rPr>
            <w:t>报告</w:t>
          </w:r>
          <w:r>
            <w:rPr>
              <w:rFonts w:hint="eastAsia" w:ascii="楷体" w:hAnsi="楷体" w:eastAsia="楷体" w:cs="楷体"/>
              <w:sz w:val="28"/>
              <w:szCs w:val="28"/>
              <w:highlight w:val="none"/>
              <w:lang w:val="en-US" w:eastAsia="zh-CN"/>
            </w:rPr>
            <w:t>................</w:t>
          </w:r>
          <w:r>
            <w:rPr>
              <w:rFonts w:hint="eastAsia" w:ascii="楷体" w:hAnsi="楷体" w:eastAsia="楷体" w:cs="楷体"/>
              <w:sz w:val="28"/>
              <w:szCs w:val="28"/>
              <w:highlight w:val="none"/>
            </w:rPr>
            <w:tab/>
          </w:r>
          <w:r>
            <w:rPr>
              <w:rFonts w:hint="eastAsia" w:ascii="楷体" w:hAnsi="楷体" w:eastAsia="楷体" w:cs="楷体"/>
              <w:sz w:val="28"/>
              <w:szCs w:val="28"/>
              <w:highlight w:val="none"/>
              <w:lang w:val="en-US" w:eastAsia="zh-CN"/>
            </w:rPr>
            <w:t>21</w:t>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highlight w:val="none"/>
            </w:rPr>
          </w:pPr>
          <w:r>
            <w:rPr>
              <w:rFonts w:hint="eastAsia" w:ascii="楷体" w:hAnsi="楷体" w:eastAsia="楷体" w:cs="楷体"/>
              <w:sz w:val="28"/>
              <w:szCs w:val="28"/>
              <w:highlight w:val="none"/>
            </w:rPr>
            <w:t>公共图书馆、美术馆、文化馆（站）免费开放补助资金</w:t>
          </w:r>
          <w:r>
            <w:rPr>
              <w:rFonts w:hint="eastAsia" w:ascii="楷体" w:hAnsi="楷体" w:eastAsia="楷体" w:cs="楷体"/>
              <w:sz w:val="28"/>
              <w:szCs w:val="28"/>
              <w:highlight w:val="none"/>
              <w:lang w:eastAsia="zh-CN"/>
            </w:rPr>
            <w:t>绩效自评报告</w:t>
          </w:r>
          <w:r>
            <w:rPr>
              <w:rFonts w:hint="eastAsia" w:ascii="楷体" w:hAnsi="楷体" w:eastAsia="楷体" w:cs="楷体"/>
              <w:sz w:val="28"/>
              <w:szCs w:val="28"/>
              <w:highlight w:val="none"/>
            </w:rPr>
            <w:tab/>
          </w:r>
          <w:r>
            <w:rPr>
              <w:rFonts w:hint="eastAsia" w:ascii="楷体" w:hAnsi="楷体" w:eastAsia="楷体" w:cs="楷体"/>
              <w:sz w:val="28"/>
              <w:szCs w:val="28"/>
              <w:highlight w:val="none"/>
              <w:lang w:val="en-US" w:eastAsia="zh-CN"/>
            </w:rPr>
            <w:t>2</w:t>
          </w:r>
          <w:r>
            <w:rPr>
              <w:rFonts w:hint="eastAsia" w:ascii="楷体" w:hAnsi="楷体" w:eastAsia="楷体" w:cs="楷体"/>
              <w:sz w:val="28"/>
              <w:szCs w:val="28"/>
              <w:highlight w:val="none"/>
            </w:rPr>
            <w:t>7</w:t>
          </w:r>
        </w:p>
        <w:p>
          <w:pPr>
            <w:pStyle w:val="15"/>
            <w:tabs>
              <w:tab w:val="right" w:leader="dot" w:pos="8820"/>
              <w:tab w:val="clear" w:pos="8296"/>
            </w:tabs>
            <w:overflowPunct w:val="0"/>
            <w:adjustRightInd w:val="0"/>
            <w:snapToGrid w:val="0"/>
            <w:spacing w:line="494" w:lineRule="exact"/>
            <w:ind w:left="0" w:leftChars="0"/>
            <w:jc w:val="both"/>
            <w:rPr>
              <w:rFonts w:hint="default" w:ascii="楷体" w:hAnsi="楷体" w:eastAsia="楷体" w:cs="楷体"/>
              <w:sz w:val="28"/>
              <w:szCs w:val="28"/>
              <w:highlight w:val="none"/>
              <w:lang w:val="en-US" w:eastAsia="zh-CN"/>
            </w:rPr>
          </w:pPr>
          <w:r>
            <w:rPr>
              <w:rFonts w:hint="eastAsia" w:ascii="楷体" w:hAnsi="楷体" w:eastAsia="楷体" w:cs="楷体"/>
              <w:sz w:val="28"/>
              <w:szCs w:val="28"/>
              <w:highlight w:val="none"/>
            </w:rPr>
            <w:t>2024年第二批文明城市创建经费</w:t>
          </w:r>
          <w:r>
            <w:rPr>
              <w:rFonts w:hint="eastAsia" w:ascii="楷体" w:hAnsi="楷体" w:eastAsia="楷体" w:cs="楷体"/>
              <w:sz w:val="28"/>
              <w:szCs w:val="28"/>
              <w:highlight w:val="none"/>
              <w:lang w:eastAsia="zh-CN"/>
            </w:rPr>
            <w:t>绩效自评报告</w:t>
          </w:r>
          <w:r>
            <w:rPr>
              <w:rFonts w:hint="eastAsia" w:ascii="楷体" w:hAnsi="楷体" w:eastAsia="楷体" w:cs="楷体"/>
              <w:sz w:val="28"/>
              <w:szCs w:val="28"/>
              <w:highlight w:val="none"/>
            </w:rPr>
            <w:tab/>
          </w:r>
          <w:r>
            <w:rPr>
              <w:rFonts w:hint="eastAsia" w:ascii="楷体" w:hAnsi="楷体" w:eastAsia="楷体" w:cs="楷体"/>
              <w:sz w:val="28"/>
              <w:szCs w:val="28"/>
              <w:highlight w:val="none"/>
              <w:lang w:val="en-US" w:eastAsia="zh-CN"/>
            </w:rPr>
            <w:t>32</w:t>
          </w:r>
        </w:p>
        <w:p>
          <w:pPr>
            <w:pStyle w:val="15"/>
            <w:tabs>
              <w:tab w:val="right" w:leader="dot" w:pos="8820"/>
              <w:tab w:val="clear" w:pos="8296"/>
            </w:tabs>
            <w:overflowPunct w:val="0"/>
            <w:adjustRightInd w:val="0"/>
            <w:snapToGrid w:val="0"/>
            <w:spacing w:line="494" w:lineRule="exact"/>
            <w:ind w:left="0" w:leftChars="0"/>
            <w:jc w:val="both"/>
            <w:rPr>
              <w:rFonts w:hint="default" w:ascii="楷体" w:hAnsi="楷体" w:eastAsia="楷体" w:cs="楷体"/>
              <w:sz w:val="28"/>
              <w:szCs w:val="28"/>
              <w:highlight w:val="none"/>
              <w:lang w:val="en-US" w:eastAsia="zh-CN"/>
            </w:rPr>
          </w:pPr>
          <w:r>
            <w:rPr>
              <w:rFonts w:hint="eastAsia" w:ascii="楷体" w:hAnsi="楷体" w:eastAsia="楷体" w:cs="楷体"/>
              <w:sz w:val="28"/>
              <w:szCs w:val="28"/>
              <w:highlight w:val="none"/>
            </w:rPr>
            <w:t>金山村六组暴雨洪涝灾害灾后应急恢复项目绩效自评报告</w:t>
          </w:r>
          <w:r>
            <w:rPr>
              <w:rFonts w:hint="eastAsia" w:ascii="楷体" w:hAnsi="楷体" w:eastAsia="楷体" w:cs="楷体"/>
              <w:sz w:val="28"/>
              <w:szCs w:val="28"/>
              <w:highlight w:val="none"/>
            </w:rPr>
            <w:tab/>
          </w:r>
          <w:r>
            <w:rPr>
              <w:rFonts w:hint="eastAsia" w:ascii="楷体" w:hAnsi="楷体" w:eastAsia="楷体" w:cs="楷体"/>
              <w:sz w:val="28"/>
              <w:szCs w:val="28"/>
              <w:highlight w:val="none"/>
              <w:lang w:val="en-US" w:eastAsia="zh-CN"/>
            </w:rPr>
            <w:t>37</w:t>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"_Toc146619342" </w:instrText>
          </w:r>
          <w:r>
            <w:rPr>
              <w:rFonts w:hint="eastAsia" w:ascii="黑体" w:hAnsi="黑体" w:eastAsia="黑体" w:cs="黑体"/>
              <w:sz w:val="28"/>
              <w:szCs w:val="28"/>
            </w:rPr>
            <w:fldChar w:fldCharType="separate"/>
          </w:r>
          <w:r>
            <w:rPr>
              <w:rFonts w:hint="eastAsia" w:ascii="黑体" w:hAnsi="黑体" w:eastAsia="黑体" w:cs="黑体"/>
              <w:sz w:val="28"/>
              <w:szCs w:val="28"/>
            </w:rPr>
            <w:t>第五部分</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附表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_Toc146619342 \h </w:instrText>
          </w:r>
          <w:r>
            <w:rPr>
              <w:rFonts w:hint="eastAsia" w:ascii="黑体" w:hAnsi="黑体" w:eastAsia="黑体" w:cs="黑体"/>
              <w:sz w:val="28"/>
              <w:szCs w:val="28"/>
            </w:rPr>
            <w:fldChar w:fldCharType="separate"/>
          </w:r>
          <w:r>
            <w:rPr>
              <w:rFonts w:hint="eastAsia" w:ascii="黑体" w:hAnsi="黑体" w:eastAsia="黑体" w:cs="黑体"/>
              <w:sz w:val="28"/>
              <w:szCs w:val="28"/>
            </w:rPr>
            <w:t>42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"_Toc146619343" </w:instrText>
          </w:r>
          <w:r>
            <w:rPr>
              <w:rFonts w:hint="eastAsia" w:ascii="楷体" w:hAnsi="楷体" w:eastAsia="楷体" w:cs="楷体"/>
              <w:sz w:val="28"/>
              <w:szCs w:val="28"/>
            </w:rPr>
            <w:fldChar w:fldCharType="separate"/>
          </w:r>
          <w:r>
            <w:rPr>
              <w:rFonts w:hint="eastAsia" w:ascii="楷体" w:hAnsi="楷体" w:eastAsia="楷体" w:cs="楷体"/>
              <w:sz w:val="28"/>
              <w:szCs w:val="28"/>
            </w:rPr>
            <w:t>一、收入支出决算总表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_Toc146619343 \h </w:instrText>
          </w:r>
          <w:r>
            <w:rPr>
              <w:rFonts w:hint="eastAsia" w:ascii="楷体" w:hAnsi="楷体" w:eastAsia="楷体" w:cs="楷体"/>
              <w:sz w:val="28"/>
              <w:szCs w:val="28"/>
            </w:rPr>
            <w:fldChar w:fldCharType="separate"/>
          </w:r>
          <w:r>
            <w:rPr>
              <w:rFonts w:hint="eastAsia" w:ascii="楷体" w:hAnsi="楷体" w:eastAsia="楷体" w:cs="楷体"/>
              <w:sz w:val="28"/>
              <w:szCs w:val="28"/>
            </w:rPr>
            <w:t>42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"_Toc146619344" </w:instrText>
          </w:r>
          <w:r>
            <w:rPr>
              <w:rFonts w:hint="eastAsia" w:ascii="楷体" w:hAnsi="楷体" w:eastAsia="楷体" w:cs="楷体"/>
              <w:sz w:val="28"/>
              <w:szCs w:val="28"/>
            </w:rPr>
            <w:fldChar w:fldCharType="separate"/>
          </w:r>
          <w:r>
            <w:rPr>
              <w:rFonts w:hint="eastAsia" w:ascii="楷体" w:hAnsi="楷体" w:eastAsia="楷体" w:cs="楷体"/>
              <w:sz w:val="28"/>
              <w:szCs w:val="28"/>
            </w:rPr>
            <w:t>二、收入决算表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_Toc146619344 \h </w:instrText>
          </w:r>
          <w:r>
            <w:rPr>
              <w:rFonts w:hint="eastAsia" w:ascii="楷体" w:hAnsi="楷体" w:eastAsia="楷体" w:cs="楷体"/>
              <w:sz w:val="28"/>
              <w:szCs w:val="28"/>
            </w:rPr>
            <w:fldChar w:fldCharType="separate"/>
          </w:r>
          <w:r>
            <w:rPr>
              <w:rFonts w:hint="eastAsia" w:ascii="楷体" w:hAnsi="楷体" w:eastAsia="楷体" w:cs="楷体"/>
              <w:sz w:val="28"/>
              <w:szCs w:val="28"/>
            </w:rPr>
            <w:t>42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"_Toc146619345" </w:instrText>
          </w:r>
          <w:r>
            <w:rPr>
              <w:rFonts w:hint="eastAsia" w:ascii="楷体" w:hAnsi="楷体" w:eastAsia="楷体" w:cs="楷体"/>
              <w:sz w:val="28"/>
              <w:szCs w:val="28"/>
            </w:rPr>
            <w:fldChar w:fldCharType="separate"/>
          </w:r>
          <w:r>
            <w:rPr>
              <w:rFonts w:hint="eastAsia" w:ascii="楷体" w:hAnsi="楷体" w:eastAsia="楷体" w:cs="楷体"/>
              <w:sz w:val="28"/>
              <w:szCs w:val="28"/>
            </w:rPr>
            <w:t>三、支出决算表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_Toc146619345 \h </w:instrText>
          </w:r>
          <w:r>
            <w:rPr>
              <w:rFonts w:hint="eastAsia" w:ascii="楷体" w:hAnsi="楷体" w:eastAsia="楷体" w:cs="楷体"/>
              <w:sz w:val="28"/>
              <w:szCs w:val="28"/>
            </w:rPr>
            <w:fldChar w:fldCharType="separate"/>
          </w:r>
          <w:r>
            <w:rPr>
              <w:rFonts w:hint="eastAsia" w:ascii="楷体" w:hAnsi="楷体" w:eastAsia="楷体" w:cs="楷体"/>
              <w:sz w:val="28"/>
              <w:szCs w:val="28"/>
            </w:rPr>
            <w:t>42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"_Toc146619346" </w:instrText>
          </w:r>
          <w:r>
            <w:rPr>
              <w:rFonts w:hint="eastAsia" w:ascii="楷体" w:hAnsi="楷体" w:eastAsia="楷体" w:cs="楷体"/>
              <w:sz w:val="28"/>
              <w:szCs w:val="28"/>
            </w:rPr>
            <w:fldChar w:fldCharType="separate"/>
          </w:r>
          <w:r>
            <w:rPr>
              <w:rFonts w:hint="eastAsia" w:ascii="楷体" w:hAnsi="楷体" w:eastAsia="楷体" w:cs="楷体"/>
              <w:sz w:val="28"/>
              <w:szCs w:val="28"/>
            </w:rPr>
            <w:t>四、财政拨款收入支出决算总表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_Toc146619346 \h </w:instrText>
          </w:r>
          <w:r>
            <w:rPr>
              <w:rFonts w:hint="eastAsia" w:ascii="楷体" w:hAnsi="楷体" w:eastAsia="楷体" w:cs="楷体"/>
              <w:sz w:val="28"/>
              <w:szCs w:val="28"/>
            </w:rPr>
            <w:fldChar w:fldCharType="separate"/>
          </w:r>
          <w:r>
            <w:rPr>
              <w:rFonts w:hint="eastAsia" w:ascii="楷体" w:hAnsi="楷体" w:eastAsia="楷体" w:cs="楷体"/>
              <w:sz w:val="28"/>
              <w:szCs w:val="28"/>
            </w:rPr>
            <w:t>42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"_Toc146619347" </w:instrText>
          </w:r>
          <w:r>
            <w:rPr>
              <w:rFonts w:hint="eastAsia" w:ascii="楷体" w:hAnsi="楷体" w:eastAsia="楷体" w:cs="楷体"/>
              <w:sz w:val="28"/>
              <w:szCs w:val="28"/>
            </w:rPr>
            <w:fldChar w:fldCharType="separate"/>
          </w:r>
          <w:r>
            <w:rPr>
              <w:rFonts w:hint="eastAsia" w:ascii="楷体" w:hAnsi="楷体" w:eastAsia="楷体" w:cs="楷体"/>
              <w:sz w:val="28"/>
              <w:szCs w:val="28"/>
            </w:rPr>
            <w:t>五、财政拨款支出决算明细表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_Toc146619347 \h </w:instrText>
          </w:r>
          <w:r>
            <w:rPr>
              <w:rFonts w:hint="eastAsia" w:ascii="楷体" w:hAnsi="楷体" w:eastAsia="楷体" w:cs="楷体"/>
              <w:sz w:val="28"/>
              <w:szCs w:val="28"/>
            </w:rPr>
            <w:fldChar w:fldCharType="separate"/>
          </w:r>
          <w:r>
            <w:rPr>
              <w:rFonts w:hint="eastAsia" w:ascii="楷体" w:hAnsi="楷体" w:eastAsia="楷体" w:cs="楷体"/>
              <w:sz w:val="28"/>
              <w:szCs w:val="28"/>
            </w:rPr>
            <w:t>42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"_Toc146619348" </w:instrText>
          </w:r>
          <w:r>
            <w:rPr>
              <w:rFonts w:hint="eastAsia" w:ascii="楷体" w:hAnsi="楷体" w:eastAsia="楷体" w:cs="楷体"/>
              <w:sz w:val="28"/>
              <w:szCs w:val="28"/>
            </w:rPr>
            <w:fldChar w:fldCharType="separate"/>
          </w:r>
          <w:r>
            <w:rPr>
              <w:rFonts w:hint="eastAsia" w:ascii="楷体" w:hAnsi="楷体" w:eastAsia="楷体" w:cs="楷体"/>
              <w:sz w:val="28"/>
              <w:szCs w:val="28"/>
            </w:rPr>
            <w:t>六、一般公共预算财政拨款支出决算表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_Toc146619348 \h </w:instrText>
          </w:r>
          <w:r>
            <w:rPr>
              <w:rFonts w:hint="eastAsia" w:ascii="楷体" w:hAnsi="楷体" w:eastAsia="楷体" w:cs="楷体"/>
              <w:sz w:val="28"/>
              <w:szCs w:val="28"/>
            </w:rPr>
            <w:fldChar w:fldCharType="separate"/>
          </w:r>
          <w:r>
            <w:rPr>
              <w:rFonts w:hint="eastAsia" w:ascii="楷体" w:hAnsi="楷体" w:eastAsia="楷体" w:cs="楷体"/>
              <w:sz w:val="28"/>
              <w:szCs w:val="28"/>
            </w:rPr>
            <w:t>42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"_Toc146619349" </w:instrText>
          </w:r>
          <w:r>
            <w:rPr>
              <w:rFonts w:hint="eastAsia" w:ascii="楷体" w:hAnsi="楷体" w:eastAsia="楷体" w:cs="楷体"/>
              <w:sz w:val="28"/>
              <w:szCs w:val="28"/>
            </w:rPr>
            <w:fldChar w:fldCharType="separate"/>
          </w:r>
          <w:r>
            <w:rPr>
              <w:rFonts w:hint="eastAsia" w:ascii="楷体" w:hAnsi="楷体" w:eastAsia="楷体" w:cs="楷体"/>
              <w:sz w:val="28"/>
              <w:szCs w:val="28"/>
            </w:rPr>
            <w:t>七、一般公共预算财政拨款支出决算明细表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_Toc146619349 \h </w:instrText>
          </w:r>
          <w:r>
            <w:rPr>
              <w:rFonts w:hint="eastAsia" w:ascii="楷体" w:hAnsi="楷体" w:eastAsia="楷体" w:cs="楷体"/>
              <w:sz w:val="28"/>
              <w:szCs w:val="28"/>
            </w:rPr>
            <w:fldChar w:fldCharType="separate"/>
          </w:r>
          <w:r>
            <w:rPr>
              <w:rFonts w:hint="eastAsia" w:ascii="楷体" w:hAnsi="楷体" w:eastAsia="楷体" w:cs="楷体"/>
              <w:sz w:val="28"/>
              <w:szCs w:val="28"/>
            </w:rPr>
            <w:t>42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"_Toc146619350" </w:instrText>
          </w:r>
          <w:r>
            <w:rPr>
              <w:rFonts w:hint="eastAsia" w:ascii="楷体" w:hAnsi="楷体" w:eastAsia="楷体" w:cs="楷体"/>
              <w:sz w:val="28"/>
              <w:szCs w:val="28"/>
            </w:rPr>
            <w:fldChar w:fldCharType="separate"/>
          </w:r>
          <w:r>
            <w:rPr>
              <w:rFonts w:hint="eastAsia" w:ascii="楷体" w:hAnsi="楷体" w:eastAsia="楷体" w:cs="楷体"/>
              <w:sz w:val="28"/>
              <w:szCs w:val="28"/>
            </w:rPr>
            <w:t>八、一般公共预算财政拨款基本支出决算表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_Toc146619350 \h </w:instrText>
          </w:r>
          <w:r>
            <w:rPr>
              <w:rFonts w:hint="eastAsia" w:ascii="楷体" w:hAnsi="楷体" w:eastAsia="楷体" w:cs="楷体"/>
              <w:sz w:val="28"/>
              <w:szCs w:val="28"/>
            </w:rPr>
            <w:fldChar w:fldCharType="separate"/>
          </w:r>
          <w:r>
            <w:rPr>
              <w:rFonts w:hint="eastAsia" w:ascii="楷体" w:hAnsi="楷体" w:eastAsia="楷体" w:cs="楷体"/>
              <w:sz w:val="28"/>
              <w:szCs w:val="28"/>
            </w:rPr>
            <w:t>42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"_Toc146619351" </w:instrText>
          </w:r>
          <w:r>
            <w:rPr>
              <w:rFonts w:hint="eastAsia" w:ascii="楷体" w:hAnsi="楷体" w:eastAsia="楷体" w:cs="楷体"/>
              <w:sz w:val="28"/>
              <w:szCs w:val="28"/>
            </w:rPr>
            <w:fldChar w:fldCharType="separate"/>
          </w:r>
          <w:r>
            <w:rPr>
              <w:rFonts w:hint="eastAsia" w:ascii="楷体" w:hAnsi="楷体" w:eastAsia="楷体" w:cs="楷体"/>
              <w:sz w:val="28"/>
              <w:szCs w:val="28"/>
            </w:rPr>
            <w:t>九、一般公共预算财政拨款项目支出决算表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_Toc146619351 \h </w:instrText>
          </w:r>
          <w:r>
            <w:rPr>
              <w:rFonts w:hint="eastAsia" w:ascii="楷体" w:hAnsi="楷体" w:eastAsia="楷体" w:cs="楷体"/>
              <w:sz w:val="28"/>
              <w:szCs w:val="28"/>
            </w:rPr>
            <w:fldChar w:fldCharType="separate"/>
          </w:r>
          <w:r>
            <w:rPr>
              <w:rFonts w:hint="eastAsia" w:ascii="楷体" w:hAnsi="楷体" w:eastAsia="楷体" w:cs="楷体"/>
              <w:sz w:val="28"/>
              <w:szCs w:val="28"/>
            </w:rPr>
            <w:t>42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"_Toc146619352" </w:instrText>
          </w:r>
          <w:r>
            <w:rPr>
              <w:rFonts w:hint="eastAsia" w:ascii="楷体" w:hAnsi="楷体" w:eastAsia="楷体" w:cs="楷体"/>
              <w:sz w:val="28"/>
              <w:szCs w:val="28"/>
            </w:rPr>
            <w:fldChar w:fldCharType="separate"/>
          </w:r>
          <w:r>
            <w:rPr>
              <w:rFonts w:hint="eastAsia" w:ascii="楷体" w:hAnsi="楷体" w:eastAsia="楷体" w:cs="楷体"/>
              <w:sz w:val="28"/>
              <w:szCs w:val="28"/>
            </w:rPr>
            <w:t>十、政府性基金预算财政拨款收入支出决算表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_Toc146619352 \h </w:instrText>
          </w:r>
          <w:r>
            <w:rPr>
              <w:rFonts w:hint="eastAsia" w:ascii="楷体" w:hAnsi="楷体" w:eastAsia="楷体" w:cs="楷体"/>
              <w:sz w:val="28"/>
              <w:szCs w:val="28"/>
            </w:rPr>
            <w:fldChar w:fldCharType="separate"/>
          </w:r>
          <w:r>
            <w:rPr>
              <w:rFonts w:hint="eastAsia" w:ascii="楷体" w:hAnsi="楷体" w:eastAsia="楷体" w:cs="楷体"/>
              <w:sz w:val="28"/>
              <w:szCs w:val="28"/>
            </w:rPr>
            <w:t>42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"_Toc146619353" </w:instrText>
          </w:r>
          <w:r>
            <w:rPr>
              <w:rFonts w:hint="eastAsia" w:ascii="楷体" w:hAnsi="楷体" w:eastAsia="楷体" w:cs="楷体"/>
              <w:sz w:val="28"/>
              <w:szCs w:val="28"/>
            </w:rPr>
            <w:fldChar w:fldCharType="separate"/>
          </w:r>
          <w:r>
            <w:rPr>
              <w:rFonts w:hint="eastAsia" w:ascii="楷体" w:hAnsi="楷体" w:eastAsia="楷体" w:cs="楷体"/>
              <w:sz w:val="28"/>
              <w:szCs w:val="28"/>
            </w:rPr>
            <w:t>十一、国有资本经营预算财政拨款收入支出决算表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_Toc146619353 \h </w:instrText>
          </w:r>
          <w:r>
            <w:rPr>
              <w:rFonts w:hint="eastAsia" w:ascii="楷体" w:hAnsi="楷体" w:eastAsia="楷体" w:cs="楷体"/>
              <w:sz w:val="28"/>
              <w:szCs w:val="28"/>
            </w:rPr>
            <w:fldChar w:fldCharType="separate"/>
          </w:r>
          <w:r>
            <w:rPr>
              <w:rFonts w:hint="eastAsia" w:ascii="楷体" w:hAnsi="楷体" w:eastAsia="楷体" w:cs="楷体"/>
              <w:sz w:val="28"/>
              <w:szCs w:val="28"/>
            </w:rPr>
            <w:t>42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"_Toc146619354" </w:instrText>
          </w:r>
          <w:r>
            <w:rPr>
              <w:rFonts w:hint="eastAsia" w:ascii="楷体" w:hAnsi="楷体" w:eastAsia="楷体" w:cs="楷体"/>
              <w:sz w:val="28"/>
              <w:szCs w:val="28"/>
            </w:rPr>
            <w:fldChar w:fldCharType="separate"/>
          </w:r>
          <w:r>
            <w:rPr>
              <w:rFonts w:hint="eastAsia" w:ascii="楷体" w:hAnsi="楷体" w:eastAsia="楷体" w:cs="楷体"/>
              <w:sz w:val="28"/>
              <w:szCs w:val="28"/>
            </w:rPr>
            <w:t>十二、国有资本经营预算财政拨款支出决算表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_Toc146619354 \h </w:instrText>
          </w:r>
          <w:r>
            <w:rPr>
              <w:rFonts w:hint="eastAsia" w:ascii="楷体" w:hAnsi="楷体" w:eastAsia="楷体" w:cs="楷体"/>
              <w:sz w:val="28"/>
              <w:szCs w:val="28"/>
            </w:rPr>
            <w:fldChar w:fldCharType="separate"/>
          </w:r>
          <w:r>
            <w:rPr>
              <w:rFonts w:hint="eastAsia" w:ascii="楷体" w:hAnsi="楷体" w:eastAsia="楷体" w:cs="楷体"/>
              <w:sz w:val="28"/>
              <w:szCs w:val="28"/>
            </w:rPr>
            <w:t>42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8820"/>
              <w:tab w:val="clear" w:pos="8296"/>
            </w:tabs>
            <w:overflowPunct w:val="0"/>
            <w:adjustRightInd w:val="0"/>
            <w:snapToGrid w:val="0"/>
            <w:spacing w:line="494" w:lineRule="exact"/>
            <w:ind w:left="0" w:leftChars="0"/>
            <w:jc w:val="both"/>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"_Toc146619355" </w:instrText>
          </w:r>
          <w:r>
            <w:rPr>
              <w:rFonts w:hint="eastAsia" w:ascii="楷体" w:hAnsi="楷体" w:eastAsia="楷体" w:cs="楷体"/>
              <w:sz w:val="28"/>
              <w:szCs w:val="28"/>
            </w:rPr>
            <w:fldChar w:fldCharType="separate"/>
          </w:r>
          <w:r>
            <w:rPr>
              <w:rFonts w:hint="eastAsia" w:ascii="楷体" w:hAnsi="楷体" w:eastAsia="楷体" w:cs="楷体"/>
              <w:sz w:val="28"/>
              <w:szCs w:val="28"/>
            </w:rPr>
            <w:t>十三、财政拨款“三公”经费支出决算表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_Toc146619355 \h </w:instrText>
          </w:r>
          <w:r>
            <w:rPr>
              <w:rFonts w:hint="eastAsia" w:ascii="楷体" w:hAnsi="楷体" w:eastAsia="楷体" w:cs="楷体"/>
              <w:sz w:val="28"/>
              <w:szCs w:val="28"/>
            </w:rPr>
            <w:fldChar w:fldCharType="separate"/>
          </w:r>
          <w:r>
            <w:rPr>
              <w:rFonts w:hint="eastAsia" w:ascii="楷体" w:hAnsi="楷体" w:eastAsia="楷体" w:cs="楷体"/>
              <w:sz w:val="28"/>
              <w:szCs w:val="28"/>
            </w:rPr>
            <w:t>42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sdtContent>
    </w:sdt>
    <w:p>
      <w:pPr>
        <w:pStyle w:val="4"/>
        <w:keepNext w:val="0"/>
        <w:keepLines w:val="0"/>
        <w:pageBreakBefore w:val="0"/>
        <w:widowControl w:val="0"/>
        <w:kinsoku/>
        <w:wordWrap/>
        <w:overflowPunct w:val="0"/>
        <w:topLinePunct w:val="0"/>
        <w:autoSpaceDE/>
        <w:autoSpaceDN/>
        <w:bidi w:val="0"/>
        <w:adjustRightInd w:val="0"/>
        <w:snapToGrid/>
        <w:spacing w:before="0" w:after="0" w:line="576" w:lineRule="exact"/>
        <w:jc w:val="center"/>
        <w:textAlignment w:val="auto"/>
        <w:rPr>
          <w:rFonts w:hint="eastAsia" w:ascii="黑体" w:hAnsi="黑体" w:eastAsia="黑体" w:cs="黑体"/>
          <w:b w:val="0"/>
          <w:bCs w:val="0"/>
        </w:rPr>
        <w:sectPr>
          <w:footerReference r:id="rId3" w:type="default"/>
          <w:pgSz w:w="11906" w:h="16838"/>
          <w:pgMar w:top="2098" w:right="1474" w:bottom="1417" w:left="1587" w:header="850" w:footer="1247" w:gutter="0"/>
          <w:pgNumType w:fmt="decimal"/>
          <w:cols w:space="425" w:num="1"/>
          <w:titlePg/>
          <w:docGrid w:linePitch="435" w:charSpace="0"/>
        </w:sectPr>
      </w:pPr>
      <w:bookmarkStart w:id="2" w:name="_Toc146619317"/>
    </w:p>
    <w:p>
      <w:pPr>
        <w:pStyle w:val="4"/>
        <w:keepNext w:val="0"/>
        <w:keepLines w:val="0"/>
        <w:pageBreakBefore w:val="0"/>
        <w:widowControl w:val="0"/>
        <w:kinsoku/>
        <w:wordWrap/>
        <w:overflowPunct w:val="0"/>
        <w:topLinePunct w:val="0"/>
        <w:autoSpaceDE/>
        <w:autoSpaceDN/>
        <w:bidi w:val="0"/>
        <w:adjustRightInd w:val="0"/>
        <w:snapToGrid/>
        <w:spacing w:before="0" w:after="0" w:line="576" w:lineRule="exact"/>
        <w:jc w:val="center"/>
        <w:textAlignment w:val="auto"/>
        <w:rPr>
          <w:rFonts w:ascii="黑体" w:hAnsi="黑体" w:eastAsia="黑体" w:cs="黑体"/>
          <w:b w:val="0"/>
          <w:bCs w:val="0"/>
        </w:rPr>
      </w:pPr>
      <w:r>
        <w:rPr>
          <w:rFonts w:hint="eastAsia" w:ascii="黑体" w:hAnsi="黑体" w:eastAsia="黑体" w:cs="黑体"/>
          <w:b w:val="0"/>
          <w:bCs w:val="0"/>
        </w:rPr>
        <w:t>第一部分</w:t>
      </w:r>
      <w:r>
        <w:rPr>
          <w:rFonts w:hint="eastAsia" w:ascii="黑体" w:hAnsi="黑体" w:eastAsia="黑体" w:cs="黑体"/>
          <w:b w:val="0"/>
          <w:bCs w:val="0"/>
          <w:lang w:val="en-US" w:eastAsia="zh-CN"/>
        </w:rPr>
        <w:t xml:space="preserve">  </w:t>
      </w:r>
      <w:r>
        <w:rPr>
          <w:rFonts w:hint="eastAsia" w:ascii="黑体" w:hAnsi="黑体" w:eastAsia="黑体" w:cs="黑体"/>
          <w:b w:val="0"/>
          <w:bCs w:val="0"/>
        </w:rPr>
        <w:t>部门概况</w:t>
      </w:r>
      <w:bookmarkEnd w:id="0"/>
      <w:bookmarkEnd w:id="1"/>
      <w:bookmarkEnd w:id="2"/>
    </w:p>
    <w:p>
      <w:pPr>
        <w:overflowPunct w:val="0"/>
        <w:adjustRightInd w:val="0"/>
        <w:jc w:val="both"/>
        <w:rPr>
          <w:sz w:val="32"/>
          <w:szCs w:val="32"/>
        </w:rPr>
      </w:pPr>
    </w:p>
    <w:p>
      <w:pPr>
        <w:pStyle w:val="5"/>
        <w:keepNext w:val="0"/>
        <w:keepLines w:val="0"/>
        <w:pageBreakBefore w:val="0"/>
        <w:widowControl w:val="0"/>
        <w:numPr>
          <w:ilvl w:val="0"/>
          <w:numId w:val="1"/>
        </w:numPr>
        <w:kinsoku/>
        <w:wordWrap/>
        <w:overflowPunct w:val="0"/>
        <w:topLinePunct w:val="0"/>
        <w:autoSpaceDE/>
        <w:autoSpaceDN/>
        <w:bidi w:val="0"/>
        <w:adjustRightInd w:val="0"/>
        <w:snapToGrid/>
        <w:spacing w:before="0" w:after="0" w:line="576" w:lineRule="exact"/>
        <w:ind w:left="0" w:firstLine="640" w:firstLineChars="200"/>
        <w:jc w:val="both"/>
        <w:textAlignment w:val="auto"/>
        <w:rPr>
          <w:rFonts w:ascii="黑体" w:hAnsi="黑体" w:eastAsia="黑体"/>
          <w:b w:val="0"/>
        </w:rPr>
      </w:pPr>
      <w:bookmarkStart w:id="3" w:name="_Toc146619318"/>
      <w:r>
        <w:rPr>
          <w:rFonts w:hint="eastAsia" w:ascii="黑体" w:hAnsi="黑体" w:eastAsia="黑体"/>
          <w:b w:val="0"/>
        </w:rPr>
        <w:t>部门职责</w:t>
      </w:r>
      <w:bookmarkEnd w:id="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bookmarkStart w:id="4" w:name="_Toc15377200"/>
      <w:bookmarkStart w:id="5" w:name="_Toc146619319"/>
      <w:bookmarkStart w:id="6" w:name="_Toc1539660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落实关于辖区发展的重大决策部署，制定并执行辖区经济和社会发展计划，做好公共服务设施布局，负责产业发展、</w:t>
      </w:r>
      <w:r>
        <w:rPr>
          <w:rFonts w:hint="eastAsia" w:ascii="仿宋" w:hAnsi="仿宋" w:eastAsia="仿宋" w:cs="仿宋"/>
          <w:color w:val="auto"/>
          <w:sz w:val="32"/>
          <w:szCs w:val="32"/>
          <w:lang w:eastAsia="zh-CN"/>
        </w:rPr>
        <w:t>招</w:t>
      </w:r>
      <w:r>
        <w:rPr>
          <w:rFonts w:hint="eastAsia" w:ascii="仿宋" w:hAnsi="仿宋" w:eastAsia="仿宋" w:cs="仿宋"/>
          <w:color w:val="auto"/>
          <w:sz w:val="32"/>
          <w:szCs w:val="32"/>
        </w:rPr>
        <w:t>商引资等工作，推动经济社会健康、有序、可持续发展。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负责辖区的经济、教育、科学、文化、卫生、体育等事业和财政、民政、社会保障、住房保障、安全生产、行政审批、司法行政、退役军人、残疾人等行政工作。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组织实施辖区的市容环境、秩序治理、物业管理、应急管理等城市管理工作，营造辖区良好发展环境。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负责平安建设工作，组织动员辖区单位和各类社会组织参与基层治理，预防、排查和化解矛盾纠纷，维护社会和谐稳定。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推进社区发展建设，指导村(居)民委员会工作，支持和促进居民依法自治，完善社区服务功能，提升社区治理水平。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保护各种经济组织的合法权益，保护社会主义的全民所有的财产和劳动群众集体所有的财产，保护公民私人所有的合法财产，维护社会秩序，保障公民的人身权利、民主权利和其他权利</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铸牢中华民族共同体意识，促进各民族广泛交往交流交融，保障少数民族的合法权利和利益，保障少数民族保持或者改革自己的风俗习惯的自由。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保障宪法和法律赋予的男女平等、同工同酬和婚姻自由等各项权利。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全面依法正确行使法律、法规和规章赋予的职权，落实法定行政权力事项清单、属地事项责任清单和赋予县级行政权力事项清单。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完成区委、区人民政府交办的其他任务。</w:t>
      </w:r>
    </w:p>
    <w:p>
      <w:pPr>
        <w:pStyle w:val="5"/>
        <w:keepNext w:val="0"/>
        <w:keepLines w:val="0"/>
        <w:pageBreakBefore w:val="0"/>
        <w:widowControl w:val="0"/>
        <w:numPr>
          <w:ilvl w:val="0"/>
          <w:numId w:val="1"/>
        </w:numPr>
        <w:kinsoku/>
        <w:wordWrap/>
        <w:overflowPunct w:val="0"/>
        <w:topLinePunct w:val="0"/>
        <w:autoSpaceDE/>
        <w:autoSpaceDN/>
        <w:bidi w:val="0"/>
        <w:adjustRightInd w:val="0"/>
        <w:snapToGrid/>
        <w:spacing w:before="0" w:after="0" w:line="576" w:lineRule="exact"/>
        <w:ind w:left="0" w:firstLine="640" w:firstLineChars="200"/>
        <w:jc w:val="both"/>
        <w:textAlignment w:val="auto"/>
        <w:rPr>
          <w:rStyle w:val="32"/>
          <w:rFonts w:ascii="宋体" w:hAnsi="宋体"/>
          <w:b w:val="0"/>
          <w:bCs w:val="0"/>
        </w:rPr>
      </w:pPr>
      <w:r>
        <w:rPr>
          <w:rFonts w:hint="eastAsia" w:ascii="宋体" w:hAnsi="宋体" w:eastAsia="黑体"/>
          <w:b w:val="0"/>
        </w:rPr>
        <w:t>机</w:t>
      </w:r>
      <w:r>
        <w:rPr>
          <w:rStyle w:val="32"/>
          <w:rFonts w:hint="eastAsia" w:ascii="宋体" w:hAnsi="宋体" w:eastAsia="黑体"/>
          <w:b w:val="0"/>
          <w:bCs w:val="0"/>
        </w:rPr>
        <w:t>构设置</w:t>
      </w:r>
      <w:bookmarkEnd w:id="4"/>
      <w:bookmarkEnd w:id="5"/>
      <w:bookmarkEnd w:id="6"/>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雪峰街道设置7个内设机构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分别是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党政综合办公室、党建工作办公室、</w:t>
      </w:r>
      <w:r>
        <w:rPr>
          <w:rFonts w:hint="eastAsia" w:ascii="仿宋" w:hAnsi="仿宋" w:eastAsia="仿宋" w:cs="仿宋"/>
          <w:sz w:val="32"/>
          <w:szCs w:val="32"/>
        </w:rPr>
        <w:t>社会事务和社会治理办公室</w:t>
      </w:r>
      <w:r>
        <w:rPr>
          <w:rFonts w:hint="eastAsia" w:ascii="仿宋" w:hAnsi="仿宋" w:eastAsia="仿宋" w:cs="仿宋"/>
          <w:color w:val="auto"/>
          <w:sz w:val="32"/>
          <w:szCs w:val="32"/>
        </w:rPr>
        <w:t>、经济发展办公室、应急管理办公室</w:t>
      </w:r>
      <w:r>
        <w:rPr>
          <w:rFonts w:hint="eastAsia" w:ascii="仿宋" w:hAnsi="仿宋" w:eastAsia="仿宋" w:cs="仿宋"/>
          <w:color w:val="auto"/>
          <w:sz w:val="32"/>
          <w:szCs w:val="32"/>
          <w:lang w:eastAsia="zh-CN"/>
        </w:rPr>
        <w:t>、</w:t>
      </w:r>
      <w:r>
        <w:rPr>
          <w:rFonts w:hint="eastAsia" w:ascii="仿宋" w:hAnsi="仿宋" w:eastAsia="仿宋" w:cs="仿宋"/>
          <w:sz w:val="32"/>
          <w:szCs w:val="32"/>
        </w:rPr>
        <w:t>综合行政执法办公室</w:t>
      </w:r>
      <w:r>
        <w:rPr>
          <w:rFonts w:hint="eastAsia" w:ascii="仿宋" w:hAnsi="仿宋" w:eastAsia="仿宋" w:cs="仿宋"/>
          <w:sz w:val="32"/>
          <w:szCs w:val="32"/>
          <w:lang w:eastAsia="zh-CN"/>
        </w:rPr>
        <w:t>、</w:t>
      </w:r>
      <w:r>
        <w:rPr>
          <w:rFonts w:hint="eastAsia" w:ascii="仿宋" w:hAnsi="仿宋" w:eastAsia="仿宋" w:cs="仿宋"/>
          <w:color w:val="auto"/>
          <w:sz w:val="32"/>
          <w:szCs w:val="32"/>
        </w:rPr>
        <w:t>财政所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设置3个一类事业单位，分别是：便民服务中心（退役军人服务站）、社区治理和农业综合服务中心（新时代文明实践所）、社会治安</w:t>
      </w:r>
      <w:r>
        <w:rPr>
          <w:rFonts w:hint="eastAsia" w:ascii="仿宋" w:hAnsi="仿宋" w:eastAsia="仿宋" w:cs="仿宋"/>
          <w:color w:val="auto"/>
          <w:sz w:val="32"/>
          <w:szCs w:val="32"/>
          <w:lang w:eastAsia="zh-CN"/>
        </w:rPr>
        <w:t>综合</w:t>
      </w:r>
      <w:r>
        <w:rPr>
          <w:rFonts w:hint="eastAsia" w:ascii="仿宋" w:hAnsi="仿宋" w:eastAsia="仿宋" w:cs="仿宋"/>
          <w:color w:val="auto"/>
          <w:sz w:val="32"/>
          <w:szCs w:val="32"/>
        </w:rPr>
        <w:t>治理中心。</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bookmarkStart w:id="7" w:name="_Toc15377204"/>
      <w:bookmarkStart w:id="8" w:name="_Toc15396602"/>
      <w:r>
        <w:rPr>
          <w:rFonts w:hint="eastAsia" w:ascii="仿宋" w:hAnsi="仿宋" w:eastAsia="仿宋" w:cs="仿宋"/>
          <w:sz w:val="32"/>
          <w:szCs w:val="32"/>
        </w:rPr>
        <w:t>雪峰街道机关核定行政编制23名，事业编制22名，机关工勤编制2名。202</w:t>
      </w:r>
      <w:r>
        <w:rPr>
          <w:rFonts w:hint="eastAsia" w:ascii="仿宋" w:hAnsi="仿宋" w:eastAsia="仿宋" w:cs="仿宋"/>
          <w:sz w:val="32"/>
          <w:szCs w:val="32"/>
          <w:lang w:val="en-US" w:eastAsia="zh-CN"/>
        </w:rPr>
        <w:t>4</w:t>
      </w:r>
      <w:r>
        <w:rPr>
          <w:rFonts w:hint="eastAsia" w:ascii="仿宋" w:hAnsi="仿宋" w:eastAsia="仿宋" w:cs="仿宋"/>
          <w:sz w:val="32"/>
          <w:szCs w:val="32"/>
        </w:rPr>
        <w:t>年底雪峰街道机关在编的行政编制2</w:t>
      </w:r>
      <w:r>
        <w:rPr>
          <w:rFonts w:hint="eastAsia" w:ascii="仿宋" w:hAnsi="仿宋" w:eastAsia="仿宋" w:cs="仿宋"/>
          <w:sz w:val="32"/>
          <w:szCs w:val="32"/>
          <w:lang w:val="en-US" w:eastAsia="zh-CN"/>
        </w:rPr>
        <w:t>1</w:t>
      </w:r>
      <w:r>
        <w:rPr>
          <w:rFonts w:hint="eastAsia" w:ascii="仿宋" w:hAnsi="仿宋" w:eastAsia="仿宋" w:cs="仿宋"/>
          <w:sz w:val="32"/>
          <w:szCs w:val="32"/>
        </w:rPr>
        <w:t>名，事业编制22名；机关工勤人员事业编制</w:t>
      </w:r>
      <w:r>
        <w:rPr>
          <w:rFonts w:hint="eastAsia" w:ascii="仿宋" w:hAnsi="仿宋" w:eastAsia="仿宋" w:cs="仿宋"/>
          <w:sz w:val="32"/>
          <w:szCs w:val="32"/>
          <w:lang w:val="en-US" w:eastAsia="zh-CN"/>
        </w:rPr>
        <w:t>1</w:t>
      </w:r>
      <w:r>
        <w:rPr>
          <w:rFonts w:hint="eastAsia" w:ascii="仿宋" w:hAnsi="仿宋" w:eastAsia="仿宋" w:cs="仿宋"/>
          <w:sz w:val="32"/>
          <w:szCs w:val="32"/>
        </w:rPr>
        <w:t>名；退休人员</w:t>
      </w:r>
      <w:r>
        <w:rPr>
          <w:rFonts w:hint="eastAsia" w:ascii="仿宋" w:hAnsi="仿宋" w:eastAsia="仿宋" w:cs="仿宋"/>
          <w:sz w:val="32"/>
          <w:szCs w:val="32"/>
          <w:lang w:val="en-US" w:eastAsia="zh-CN"/>
        </w:rPr>
        <w:t>20</w:t>
      </w:r>
      <w:r>
        <w:rPr>
          <w:rFonts w:hint="eastAsia" w:ascii="仿宋" w:hAnsi="仿宋" w:eastAsia="仿宋" w:cs="仿宋"/>
          <w:sz w:val="32"/>
          <w:szCs w:val="32"/>
        </w:rPr>
        <w:t>名。</w:t>
      </w:r>
      <w:r>
        <w:rPr>
          <w:rFonts w:hint="eastAsia" w:ascii="仿宋" w:hAnsi="仿宋" w:eastAsia="仿宋" w:cs="仿宋"/>
          <w:sz w:val="32"/>
          <w:szCs w:val="32"/>
          <w:lang w:val="en-US" w:eastAsia="zh-CN"/>
        </w:rPr>
        <w:t>2024年招考进入1名公务员，1名事业干部退休，1名公务员退休,1名机关工勤退休。</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lang w:val="en-US" w:eastAsia="zh-CN"/>
        </w:rPr>
      </w:pPr>
    </w:p>
    <w:p>
      <w:pPr>
        <w:pStyle w:val="2"/>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pStyle w:val="2"/>
        <w:ind w:left="0" w:leftChars="0" w:firstLine="0" w:firstLineChars="0"/>
        <w:jc w:val="both"/>
      </w:pPr>
    </w:p>
    <w:p>
      <w:pPr>
        <w:pStyle w:val="4"/>
        <w:keepNext w:val="0"/>
        <w:keepLines w:val="0"/>
        <w:pageBreakBefore w:val="0"/>
        <w:widowControl w:val="0"/>
        <w:kinsoku/>
        <w:wordWrap/>
        <w:overflowPunct w:val="0"/>
        <w:topLinePunct w:val="0"/>
        <w:autoSpaceDE/>
        <w:autoSpaceDN/>
        <w:bidi w:val="0"/>
        <w:adjustRightInd w:val="0"/>
        <w:snapToGrid/>
        <w:spacing w:before="0" w:after="0" w:line="576" w:lineRule="exact"/>
        <w:jc w:val="center"/>
        <w:textAlignment w:val="auto"/>
        <w:rPr>
          <w:rFonts w:ascii="黑体" w:hAnsi="黑体" w:eastAsia="黑体" w:cs="黑体"/>
          <w:b w:val="0"/>
          <w:bCs w:val="0"/>
        </w:rPr>
      </w:pPr>
      <w:bookmarkStart w:id="9" w:name="_Toc146619320"/>
      <w:r>
        <w:rPr>
          <w:rFonts w:hint="eastAsia" w:ascii="黑体" w:hAnsi="黑体" w:eastAsia="黑体" w:cs="黑体"/>
          <w:b w:val="0"/>
          <w:bCs w:val="0"/>
          <w:sz w:val="44"/>
          <w:szCs w:val="44"/>
        </w:rPr>
        <w:t>第二部分</w:t>
      </w:r>
      <w:r>
        <w:rPr>
          <w:rFonts w:hint="eastAsia" w:ascii="黑体" w:hAnsi="黑体" w:eastAsia="黑体" w:cs="黑体"/>
          <w:b w:val="0"/>
          <w:bCs w:val="0"/>
          <w:sz w:val="44"/>
          <w:szCs w:val="44"/>
          <w:lang w:val="en-US" w:eastAsia="zh-CN"/>
        </w:rPr>
        <w:t xml:space="preserve">  </w:t>
      </w:r>
      <w:r>
        <w:rPr>
          <w:rFonts w:hint="eastAsia" w:ascii="黑体" w:hAnsi="黑体" w:eastAsia="黑体" w:cs="黑体"/>
          <w:b w:val="0"/>
          <w:bCs w:val="0"/>
          <w:sz w:val="44"/>
          <w:szCs w:val="44"/>
          <w:lang w:eastAsia="zh-CN"/>
        </w:rPr>
        <w:t>2024</w:t>
      </w:r>
      <w:r>
        <w:rPr>
          <w:rFonts w:hint="eastAsia" w:ascii="黑体" w:hAnsi="黑体" w:eastAsia="黑体" w:cs="黑体"/>
          <w:b w:val="0"/>
          <w:bCs w:val="0"/>
          <w:sz w:val="44"/>
          <w:szCs w:val="44"/>
        </w:rPr>
        <w:t>年度部门决算情况说明</w:t>
      </w:r>
      <w:bookmarkEnd w:id="7"/>
      <w:bookmarkEnd w:id="8"/>
      <w:bookmarkEnd w:id="9"/>
    </w:p>
    <w:p>
      <w:pPr>
        <w:overflowPunct w:val="0"/>
        <w:adjustRightInd w:val="0"/>
        <w:jc w:val="both"/>
        <w:rPr>
          <w:rFonts w:ascii="宋体" w:hAnsi="宋体"/>
          <w:sz w:val="32"/>
          <w:szCs w:val="32"/>
        </w:rPr>
      </w:pPr>
    </w:p>
    <w:p>
      <w:pPr>
        <w:pStyle w:val="5"/>
        <w:keepNext w:val="0"/>
        <w:keepLines w:val="0"/>
        <w:pageBreakBefore w:val="0"/>
        <w:widowControl w:val="0"/>
        <w:numPr>
          <w:ilvl w:val="0"/>
          <w:numId w:val="2"/>
        </w:numPr>
        <w:kinsoku/>
        <w:wordWrap/>
        <w:overflowPunct w:val="0"/>
        <w:topLinePunct w:val="0"/>
        <w:autoSpaceDE/>
        <w:autoSpaceDN/>
        <w:bidi w:val="0"/>
        <w:adjustRightInd w:val="0"/>
        <w:snapToGrid/>
        <w:spacing w:before="0" w:after="0" w:line="576" w:lineRule="exact"/>
        <w:ind w:firstLine="640" w:firstLineChars="200"/>
        <w:jc w:val="both"/>
        <w:textAlignment w:val="auto"/>
        <w:rPr>
          <w:rFonts w:ascii="宋体" w:hAnsi="宋体" w:eastAsia="黑体" w:cs="黑体"/>
          <w:b w:val="0"/>
          <w:bCs w:val="0"/>
        </w:rPr>
      </w:pPr>
      <w:bookmarkStart w:id="10" w:name="_Toc15377205"/>
      <w:bookmarkStart w:id="11" w:name="_Toc15396603"/>
      <w:bookmarkStart w:id="12" w:name="_Toc146619321"/>
      <w:r>
        <w:rPr>
          <w:rFonts w:hint="eastAsia" w:ascii="宋体" w:hAnsi="宋体" w:eastAsia="黑体" w:cs="黑体"/>
          <w:b w:val="0"/>
          <w:bCs w:val="0"/>
        </w:rPr>
        <w:t>收入支出决算总体情况说明</w:t>
      </w:r>
      <w:bookmarkEnd w:id="10"/>
      <w:bookmarkEnd w:id="11"/>
      <w:bookmarkEnd w:id="12"/>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pacing w:val="-4"/>
          <w:sz w:val="32"/>
          <w:szCs w:val="32"/>
        </w:rPr>
      </w:pPr>
      <w:r>
        <w:rPr>
          <w:rFonts w:hint="eastAsia" w:ascii="仿宋" w:hAnsi="仿宋" w:eastAsia="仿宋" w:cs="仿宋"/>
          <w:sz w:val="32"/>
          <w:szCs w:val="32"/>
          <w:lang w:eastAsia="zh-CN"/>
        </w:rPr>
        <w:t>2024</w:t>
      </w:r>
      <w:r>
        <w:rPr>
          <w:rFonts w:hint="eastAsia" w:ascii="仿宋" w:hAnsi="仿宋" w:eastAsia="仿宋" w:cs="仿宋"/>
          <w:spacing w:val="-4"/>
          <w:sz w:val="32"/>
          <w:szCs w:val="32"/>
        </w:rPr>
        <w:t>年度收、支出总计</w:t>
      </w:r>
      <w:r>
        <w:rPr>
          <w:rFonts w:hint="eastAsia" w:ascii="仿宋" w:hAnsi="仿宋" w:eastAsia="仿宋" w:cs="仿宋"/>
          <w:spacing w:val="-4"/>
          <w:sz w:val="32"/>
          <w:szCs w:val="32"/>
          <w:lang w:val="en-US" w:eastAsia="zh-CN"/>
        </w:rPr>
        <w:t>1369.61</w:t>
      </w:r>
      <w:r>
        <w:rPr>
          <w:rFonts w:hint="eastAsia" w:ascii="仿宋" w:hAnsi="仿宋" w:eastAsia="仿宋" w:cs="仿宋"/>
          <w:spacing w:val="-4"/>
          <w:sz w:val="32"/>
          <w:szCs w:val="32"/>
        </w:rPr>
        <w:t>万元</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与</w:t>
      </w:r>
      <w:r>
        <w:rPr>
          <w:rFonts w:hint="eastAsia" w:ascii="仿宋" w:hAnsi="仿宋" w:eastAsia="仿宋" w:cs="仿宋"/>
          <w:spacing w:val="-4"/>
          <w:sz w:val="32"/>
          <w:szCs w:val="32"/>
          <w:lang w:eastAsia="zh-CN"/>
        </w:rPr>
        <w:t>2023</w:t>
      </w:r>
      <w:r>
        <w:rPr>
          <w:rFonts w:hint="eastAsia" w:ascii="仿宋" w:hAnsi="仿宋" w:eastAsia="仿宋" w:cs="仿宋"/>
          <w:spacing w:val="-4"/>
          <w:sz w:val="32"/>
          <w:szCs w:val="32"/>
        </w:rPr>
        <w:t>年</w:t>
      </w:r>
      <w:r>
        <w:rPr>
          <w:rFonts w:hint="eastAsia" w:ascii="仿宋" w:hAnsi="仿宋" w:eastAsia="仿宋" w:cs="仿宋"/>
          <w:spacing w:val="-4"/>
          <w:sz w:val="32"/>
          <w:szCs w:val="32"/>
          <w:lang w:val="en-US" w:eastAsia="zh-CN"/>
        </w:rPr>
        <w:t>1442.04</w:t>
      </w:r>
      <w:r>
        <w:rPr>
          <w:rFonts w:hint="eastAsia" w:ascii="仿宋" w:hAnsi="仿宋" w:eastAsia="仿宋" w:cs="仿宋"/>
          <w:spacing w:val="-4"/>
          <w:sz w:val="32"/>
          <w:szCs w:val="32"/>
        </w:rPr>
        <w:t>万元相比，收、支总计</w:t>
      </w:r>
      <w:r>
        <w:rPr>
          <w:rFonts w:hint="eastAsia" w:ascii="仿宋" w:hAnsi="仿宋" w:eastAsia="仿宋" w:cs="仿宋"/>
          <w:spacing w:val="-4"/>
          <w:sz w:val="32"/>
          <w:szCs w:val="32"/>
          <w:lang w:eastAsia="zh-CN"/>
        </w:rPr>
        <w:t>减少</w:t>
      </w:r>
      <w:r>
        <w:rPr>
          <w:rFonts w:hint="eastAsia" w:ascii="仿宋" w:hAnsi="仿宋" w:eastAsia="仿宋" w:cs="仿宋"/>
          <w:spacing w:val="-4"/>
          <w:sz w:val="32"/>
          <w:szCs w:val="32"/>
          <w:lang w:val="en-US" w:eastAsia="zh-CN"/>
        </w:rPr>
        <w:t>72.43</w:t>
      </w:r>
      <w:r>
        <w:rPr>
          <w:rFonts w:hint="eastAsia" w:ascii="仿宋" w:hAnsi="仿宋" w:eastAsia="仿宋" w:cs="仿宋"/>
          <w:spacing w:val="-4"/>
          <w:sz w:val="32"/>
          <w:szCs w:val="32"/>
        </w:rPr>
        <w:t>万元，收、支</w:t>
      </w:r>
      <w:r>
        <w:rPr>
          <w:rFonts w:hint="eastAsia" w:ascii="仿宋" w:hAnsi="仿宋" w:eastAsia="仿宋" w:cs="仿宋"/>
          <w:spacing w:val="-4"/>
          <w:sz w:val="32"/>
          <w:szCs w:val="32"/>
          <w:lang w:eastAsia="zh-CN"/>
        </w:rPr>
        <w:t>下降</w:t>
      </w:r>
      <w:r>
        <w:rPr>
          <w:rFonts w:hint="eastAsia" w:ascii="仿宋" w:hAnsi="仿宋" w:eastAsia="仿宋" w:cs="仿宋"/>
          <w:spacing w:val="-4"/>
          <w:sz w:val="32"/>
          <w:szCs w:val="32"/>
          <w:lang w:val="en-US" w:eastAsia="zh-CN"/>
        </w:rPr>
        <w:t>5.02</w:t>
      </w:r>
      <w:r>
        <w:rPr>
          <w:rFonts w:hint="eastAsia" w:ascii="仿宋" w:hAnsi="仿宋" w:eastAsia="仿宋" w:cs="仿宋"/>
          <w:spacing w:val="-4"/>
          <w:sz w:val="32"/>
          <w:szCs w:val="32"/>
        </w:rPr>
        <w:t>%</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主要原因是</w:t>
      </w:r>
      <w:r>
        <w:rPr>
          <w:rFonts w:hint="eastAsia" w:ascii="仿宋" w:hAnsi="仿宋" w:eastAsia="仿宋" w:cs="仿宋"/>
          <w:spacing w:val="-4"/>
          <w:sz w:val="32"/>
          <w:szCs w:val="32"/>
          <w:lang w:eastAsia="zh-CN"/>
        </w:rPr>
        <w:t>人员减少</w:t>
      </w:r>
      <w:r>
        <w:rPr>
          <w:rFonts w:hint="eastAsia" w:ascii="仿宋" w:hAnsi="仿宋" w:eastAsia="仿宋" w:cs="仿宋"/>
          <w:spacing w:val="-4"/>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（图1：收、支决算总计变动情况图）</w:t>
      </w:r>
    </w:p>
    <w:p>
      <w:pPr>
        <w:pStyle w:val="7"/>
        <w:overflowPunct w:val="0"/>
        <w:adjustRightInd w:val="0"/>
        <w:spacing w:beforeLines="0"/>
        <w:jc w:val="center"/>
        <w:rPr>
          <w:rFonts w:ascii="宋体" w:hAnsi="宋体" w:eastAsia="仿宋"/>
          <w:sz w:val="32"/>
          <w:szCs w:val="32"/>
        </w:rPr>
      </w:pPr>
      <w:r>
        <w:rPr>
          <w:rFonts w:ascii="宋体" w:hAnsi="宋体"/>
          <w:color w:val="000000"/>
          <w:sz w:val="32"/>
          <w:szCs w:val="32"/>
        </w:rPr>
        <w:drawing>
          <wp:inline distT="0" distB="0" distL="0" distR="0">
            <wp:extent cx="4859655" cy="2863215"/>
            <wp:effectExtent l="4445" t="4445" r="12700" b="889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7"/>
        <w:overflowPunct w:val="0"/>
        <w:adjustRightInd w:val="0"/>
        <w:spacing w:beforeLines="0"/>
        <w:jc w:val="both"/>
        <w:rPr>
          <w:rFonts w:ascii="宋体" w:hAnsi="宋体" w:eastAsia="仿宋"/>
          <w:sz w:val="32"/>
          <w:szCs w:val="32"/>
        </w:rPr>
      </w:pPr>
    </w:p>
    <w:p>
      <w:pPr>
        <w:pStyle w:val="5"/>
        <w:keepNext w:val="0"/>
        <w:keepLines w:val="0"/>
        <w:pageBreakBefore w:val="0"/>
        <w:widowControl w:val="0"/>
        <w:numPr>
          <w:ilvl w:val="0"/>
          <w:numId w:val="2"/>
        </w:numPr>
        <w:kinsoku/>
        <w:wordWrap/>
        <w:overflowPunct w:val="0"/>
        <w:topLinePunct w:val="0"/>
        <w:autoSpaceDE/>
        <w:autoSpaceDN/>
        <w:bidi w:val="0"/>
        <w:adjustRightInd w:val="0"/>
        <w:snapToGrid/>
        <w:spacing w:before="0" w:after="0" w:line="576" w:lineRule="exact"/>
        <w:ind w:firstLine="640" w:firstLineChars="200"/>
        <w:jc w:val="both"/>
        <w:textAlignment w:val="auto"/>
        <w:rPr>
          <w:rFonts w:ascii="宋体" w:hAnsi="宋体" w:eastAsia="黑体" w:cs="黑体"/>
          <w:b w:val="0"/>
          <w:bCs w:val="0"/>
        </w:rPr>
      </w:pPr>
      <w:bookmarkStart w:id="13" w:name="_Toc15396604"/>
      <w:bookmarkStart w:id="14" w:name="_Toc146619322"/>
      <w:bookmarkStart w:id="15" w:name="_Toc15377206"/>
      <w:r>
        <w:rPr>
          <w:rFonts w:hint="eastAsia" w:ascii="宋体" w:hAnsi="宋体" w:eastAsia="黑体" w:cs="黑体"/>
          <w:b w:val="0"/>
          <w:bCs w:val="0"/>
        </w:rPr>
        <w:t>收入决算情况说明</w:t>
      </w:r>
      <w:bookmarkEnd w:id="13"/>
      <w:bookmarkEnd w:id="14"/>
      <w:bookmarkEnd w:id="15"/>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年本年收入合计</w:t>
      </w:r>
      <w:r>
        <w:rPr>
          <w:rFonts w:hint="eastAsia" w:ascii="仿宋" w:hAnsi="仿宋" w:eastAsia="仿宋" w:cs="仿宋"/>
          <w:sz w:val="32"/>
          <w:szCs w:val="32"/>
          <w:lang w:val="en-US" w:eastAsia="zh-CN"/>
        </w:rPr>
        <w:t>1369.61</w:t>
      </w:r>
      <w:r>
        <w:rPr>
          <w:rFonts w:hint="eastAsia" w:ascii="仿宋" w:hAnsi="仿宋" w:eastAsia="仿宋" w:cs="仿宋"/>
          <w:sz w:val="32"/>
          <w:szCs w:val="32"/>
        </w:rPr>
        <w:t>万元，其中：一般公共预算财政拨款收入</w:t>
      </w:r>
      <w:r>
        <w:rPr>
          <w:rFonts w:hint="eastAsia" w:ascii="仿宋" w:hAnsi="仿宋" w:eastAsia="仿宋" w:cs="仿宋"/>
          <w:sz w:val="32"/>
          <w:szCs w:val="32"/>
          <w:lang w:val="en-US" w:eastAsia="zh-CN"/>
        </w:rPr>
        <w:t>1342.61</w:t>
      </w:r>
      <w:r>
        <w:rPr>
          <w:rFonts w:hint="eastAsia" w:ascii="仿宋" w:hAnsi="仿宋" w:eastAsia="仿宋" w:cs="仿宋"/>
          <w:sz w:val="32"/>
          <w:szCs w:val="32"/>
        </w:rPr>
        <w:t>万元，占</w:t>
      </w:r>
      <w:r>
        <w:rPr>
          <w:rFonts w:hint="eastAsia" w:ascii="仿宋" w:hAnsi="仿宋" w:eastAsia="仿宋" w:cs="仿宋"/>
          <w:sz w:val="32"/>
          <w:szCs w:val="32"/>
          <w:lang w:val="en-US" w:eastAsia="zh-CN"/>
        </w:rPr>
        <w:t>98.03</w:t>
      </w:r>
      <w:r>
        <w:rPr>
          <w:rFonts w:hint="eastAsia" w:ascii="仿宋" w:hAnsi="仿宋" w:eastAsia="仿宋" w:cs="仿宋"/>
          <w:sz w:val="32"/>
          <w:szCs w:val="32"/>
        </w:rPr>
        <w:t>%；政府性基金预算财政拨款收入</w:t>
      </w:r>
      <w:r>
        <w:rPr>
          <w:rFonts w:hint="eastAsia" w:ascii="仿宋" w:hAnsi="仿宋" w:eastAsia="仿宋" w:cs="仿宋"/>
          <w:sz w:val="32"/>
          <w:szCs w:val="32"/>
          <w:lang w:val="en-US" w:eastAsia="zh-CN"/>
        </w:rPr>
        <w:t>27</w:t>
      </w:r>
      <w:r>
        <w:rPr>
          <w:rFonts w:hint="eastAsia" w:ascii="仿宋" w:hAnsi="仿宋" w:eastAsia="仿宋" w:cs="仿宋"/>
          <w:sz w:val="32"/>
          <w:szCs w:val="32"/>
        </w:rPr>
        <w:t>万元，占</w:t>
      </w:r>
      <w:r>
        <w:rPr>
          <w:rFonts w:hint="eastAsia" w:ascii="仿宋" w:hAnsi="仿宋" w:eastAsia="仿宋" w:cs="仿宋"/>
          <w:sz w:val="32"/>
          <w:szCs w:val="32"/>
          <w:lang w:val="en-US" w:eastAsia="zh-CN"/>
        </w:rPr>
        <w:t>1.97</w:t>
      </w:r>
      <w:r>
        <w:rPr>
          <w:rFonts w:hint="eastAsia" w:ascii="仿宋" w:hAnsi="仿宋" w:eastAsia="仿宋" w:cs="仿宋"/>
          <w:sz w:val="32"/>
          <w:szCs w:val="32"/>
        </w:rPr>
        <w:t>%。</w:t>
      </w:r>
    </w:p>
    <w:p>
      <w:pPr>
        <w:jc w:val="both"/>
        <w:rPr>
          <w:rFonts w:hint="eastAsia"/>
        </w:rPr>
      </w:pPr>
    </w:p>
    <w:p>
      <w:pPr>
        <w:overflowPunct w:val="0"/>
        <w:adjustRightInd w:val="0"/>
        <w:jc w:val="center"/>
        <w:rPr>
          <w:rFonts w:hint="eastAsia" w:ascii="宋体" w:hAnsi="宋体" w:eastAsia="仿宋"/>
          <w:sz w:val="32"/>
          <w:szCs w:val="32"/>
        </w:rPr>
      </w:pP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（图2：收入决算结构图）</w:t>
      </w:r>
    </w:p>
    <w:p>
      <w:pPr>
        <w:pStyle w:val="7"/>
        <w:overflowPunct w:val="0"/>
        <w:adjustRightInd w:val="0"/>
        <w:spacing w:beforeLines="0"/>
        <w:jc w:val="center"/>
        <w:rPr>
          <w:rFonts w:ascii="宋体" w:hAnsi="宋体"/>
          <w:color w:val="000000"/>
          <w:sz w:val="32"/>
          <w:szCs w:val="32"/>
        </w:rPr>
      </w:pPr>
      <w:r>
        <w:rPr>
          <w:rFonts w:ascii="宋体" w:hAnsi="宋体"/>
          <w:color w:val="000000"/>
          <w:sz w:val="32"/>
          <w:szCs w:val="32"/>
        </w:rPr>
        <w:drawing>
          <wp:inline distT="0" distB="0" distL="0" distR="0">
            <wp:extent cx="4859655" cy="2522855"/>
            <wp:effectExtent l="0" t="0" r="17145" b="1079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7"/>
        <w:overflowPunct w:val="0"/>
        <w:adjustRightInd w:val="0"/>
        <w:spacing w:beforeLines="0"/>
        <w:jc w:val="both"/>
        <w:rPr>
          <w:rFonts w:ascii="宋体" w:hAnsi="宋体"/>
          <w:color w:val="000000"/>
          <w:sz w:val="32"/>
          <w:szCs w:val="32"/>
        </w:rPr>
      </w:pPr>
    </w:p>
    <w:p>
      <w:pPr>
        <w:keepNext w:val="0"/>
        <w:keepLines w:val="0"/>
        <w:pageBreakBefore w:val="0"/>
        <w:widowControl w:val="0"/>
        <w:numPr>
          <w:ilvl w:val="0"/>
          <w:numId w:val="2"/>
        </w:numPr>
        <w:kinsoku/>
        <w:wordWrap/>
        <w:overflowPunct w:val="0"/>
        <w:topLinePunct w:val="0"/>
        <w:autoSpaceDE/>
        <w:autoSpaceDN/>
        <w:bidi w:val="0"/>
        <w:adjustRightInd w:val="0"/>
        <w:snapToGrid/>
        <w:spacing w:line="576" w:lineRule="exact"/>
        <w:ind w:firstLine="640" w:firstLineChars="200"/>
        <w:jc w:val="both"/>
        <w:textAlignment w:val="auto"/>
        <w:outlineLvl w:val="1"/>
        <w:rPr>
          <w:rStyle w:val="32"/>
          <w:rFonts w:ascii="宋体" w:hAnsi="宋体" w:eastAsia="黑体"/>
          <w:b w:val="0"/>
        </w:rPr>
      </w:pPr>
      <w:bookmarkStart w:id="16" w:name="_Toc15377207"/>
      <w:bookmarkStart w:id="17" w:name="_Toc146619323"/>
      <w:bookmarkStart w:id="18" w:name="_Toc15396605"/>
      <w:r>
        <w:rPr>
          <w:rStyle w:val="32"/>
          <w:rFonts w:hint="eastAsia" w:ascii="宋体" w:hAnsi="宋体" w:eastAsia="黑体"/>
          <w:b w:val="0"/>
        </w:rPr>
        <w:t>支出决算情况说明</w:t>
      </w:r>
      <w:bookmarkEnd w:id="16"/>
      <w:bookmarkEnd w:id="17"/>
      <w:bookmarkEnd w:id="18"/>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年本年支出合计</w:t>
      </w:r>
      <w:r>
        <w:rPr>
          <w:rFonts w:hint="eastAsia" w:ascii="仿宋" w:hAnsi="仿宋" w:eastAsia="仿宋" w:cs="仿宋"/>
          <w:sz w:val="32"/>
          <w:szCs w:val="32"/>
          <w:lang w:val="en-US" w:eastAsia="zh-CN"/>
        </w:rPr>
        <w:t>1369.61</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1219.4</w:t>
      </w:r>
      <w:r>
        <w:rPr>
          <w:rFonts w:hint="eastAsia" w:ascii="仿宋" w:hAnsi="仿宋" w:eastAsia="仿宋" w:cs="仿宋"/>
          <w:sz w:val="32"/>
          <w:szCs w:val="32"/>
        </w:rPr>
        <w:t>万元，占</w:t>
      </w:r>
      <w:r>
        <w:rPr>
          <w:rFonts w:hint="eastAsia" w:ascii="仿宋" w:hAnsi="仿宋" w:eastAsia="仿宋" w:cs="仿宋"/>
          <w:sz w:val="32"/>
          <w:szCs w:val="32"/>
          <w:lang w:val="en-US" w:eastAsia="zh-CN"/>
        </w:rPr>
        <w:t>89.03</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150.21</w:t>
      </w:r>
      <w:r>
        <w:rPr>
          <w:rFonts w:hint="eastAsia" w:ascii="仿宋" w:hAnsi="仿宋" w:eastAsia="仿宋" w:cs="仿宋"/>
          <w:sz w:val="32"/>
          <w:szCs w:val="32"/>
        </w:rPr>
        <w:t>万元，占</w:t>
      </w:r>
      <w:r>
        <w:rPr>
          <w:rFonts w:hint="eastAsia" w:ascii="仿宋" w:hAnsi="仿宋" w:eastAsia="仿宋" w:cs="仿宋"/>
          <w:sz w:val="32"/>
          <w:szCs w:val="32"/>
          <w:lang w:val="en-US" w:eastAsia="zh-CN"/>
        </w:rPr>
        <w:t>10.97</w:t>
      </w:r>
      <w:r>
        <w:rPr>
          <w:rFonts w:hint="eastAsia" w:ascii="仿宋" w:hAnsi="仿宋" w:eastAsia="仿宋" w:cs="仿宋"/>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（图3：支出决算结构图）</w:t>
      </w:r>
    </w:p>
    <w:p>
      <w:pPr>
        <w:pStyle w:val="7"/>
        <w:overflowPunct w:val="0"/>
        <w:adjustRightInd w:val="0"/>
        <w:spacing w:beforeLines="0"/>
        <w:jc w:val="center"/>
        <w:rPr>
          <w:rFonts w:ascii="宋体" w:hAnsi="宋体"/>
          <w:color w:val="000000"/>
          <w:sz w:val="32"/>
          <w:szCs w:val="32"/>
        </w:rPr>
      </w:pPr>
      <w:r>
        <w:rPr>
          <w:rFonts w:ascii="宋体" w:hAnsi="宋体"/>
          <w:color w:val="000000"/>
          <w:sz w:val="32"/>
          <w:szCs w:val="32"/>
        </w:rPr>
        <w:drawing>
          <wp:inline distT="0" distB="0" distL="0" distR="0">
            <wp:extent cx="4859655" cy="2469515"/>
            <wp:effectExtent l="4445" t="4445" r="12700" b="21590"/>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7"/>
        <w:overflowPunct w:val="0"/>
        <w:adjustRightInd w:val="0"/>
        <w:spacing w:beforeLines="0"/>
        <w:jc w:val="both"/>
        <w:rPr>
          <w:rFonts w:ascii="宋体" w:hAnsi="宋体"/>
          <w:color w:val="000000"/>
          <w:sz w:val="32"/>
          <w:szCs w:val="32"/>
        </w:rPr>
      </w:pPr>
    </w:p>
    <w:p>
      <w:pPr>
        <w:pStyle w:val="5"/>
        <w:keepNext w:val="0"/>
        <w:keepLines w:val="0"/>
        <w:pageBreakBefore w:val="0"/>
        <w:widowControl w:val="0"/>
        <w:numPr>
          <w:ilvl w:val="0"/>
          <w:numId w:val="2"/>
        </w:numPr>
        <w:kinsoku/>
        <w:wordWrap/>
        <w:overflowPunct w:val="0"/>
        <w:topLinePunct w:val="0"/>
        <w:autoSpaceDE/>
        <w:autoSpaceDN/>
        <w:bidi w:val="0"/>
        <w:adjustRightInd w:val="0"/>
        <w:snapToGrid/>
        <w:spacing w:before="0" w:after="0" w:line="576" w:lineRule="exact"/>
        <w:ind w:firstLine="640" w:firstLineChars="200"/>
        <w:jc w:val="both"/>
        <w:textAlignment w:val="auto"/>
        <w:rPr>
          <w:rStyle w:val="32"/>
          <w:rFonts w:ascii="宋体" w:hAnsi="宋体" w:eastAsia="黑体"/>
          <w:b w:val="0"/>
          <w:bCs/>
        </w:rPr>
      </w:pPr>
      <w:bookmarkStart w:id="19" w:name="_Toc15396606"/>
      <w:bookmarkStart w:id="20" w:name="_Toc146619324"/>
      <w:bookmarkStart w:id="21" w:name="_Toc15377208"/>
      <w:r>
        <w:rPr>
          <w:rFonts w:hint="eastAsia" w:ascii="宋体" w:hAnsi="宋体" w:eastAsia="黑体"/>
          <w:b w:val="0"/>
          <w:bCs w:val="0"/>
        </w:rPr>
        <w:t>财</w:t>
      </w:r>
      <w:r>
        <w:rPr>
          <w:rStyle w:val="32"/>
          <w:rFonts w:hint="eastAsia" w:ascii="宋体" w:hAnsi="宋体" w:eastAsia="黑体"/>
          <w:b w:val="0"/>
          <w:bCs w:val="0"/>
        </w:rPr>
        <w:t>政拨款收入支出决算总体情况说明</w:t>
      </w:r>
      <w:bookmarkEnd w:id="19"/>
      <w:bookmarkEnd w:id="20"/>
      <w:bookmarkEnd w:id="21"/>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年财政拨款收、支</w:t>
      </w:r>
      <w:r>
        <w:rPr>
          <w:rFonts w:hint="eastAsia" w:ascii="仿宋" w:hAnsi="仿宋" w:eastAsia="仿宋" w:cs="仿宋"/>
          <w:sz w:val="32"/>
          <w:szCs w:val="32"/>
          <w:lang w:val="en-US" w:eastAsia="zh-CN"/>
        </w:rPr>
        <w:t>1342.61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与</w:t>
      </w:r>
      <w:r>
        <w:rPr>
          <w:rFonts w:hint="eastAsia" w:ascii="仿宋" w:hAnsi="仿宋" w:eastAsia="仿宋" w:cs="仿宋"/>
          <w:sz w:val="32"/>
          <w:szCs w:val="32"/>
          <w:lang w:eastAsia="zh-CN"/>
        </w:rPr>
        <w:t>2023</w:t>
      </w:r>
      <w:r>
        <w:rPr>
          <w:rFonts w:hint="eastAsia" w:ascii="仿宋" w:hAnsi="仿宋" w:eastAsia="仿宋" w:cs="仿宋"/>
          <w:sz w:val="32"/>
          <w:szCs w:val="32"/>
        </w:rPr>
        <w:t>年</w:t>
      </w:r>
      <w:r>
        <w:rPr>
          <w:rFonts w:hint="eastAsia" w:ascii="仿宋" w:hAnsi="仿宋" w:eastAsia="仿宋" w:cs="仿宋"/>
          <w:sz w:val="32"/>
          <w:szCs w:val="32"/>
          <w:lang w:val="en-US" w:eastAsia="zh-CN"/>
        </w:rPr>
        <w:t>1411.87</w:t>
      </w:r>
      <w:r>
        <w:rPr>
          <w:rFonts w:hint="eastAsia" w:ascii="仿宋" w:hAnsi="仿宋" w:eastAsia="仿宋" w:cs="仿宋"/>
          <w:sz w:val="32"/>
          <w:szCs w:val="32"/>
        </w:rPr>
        <w:t>万元相比，收、支总计各</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69.26</w:t>
      </w:r>
      <w:r>
        <w:rPr>
          <w:rFonts w:hint="eastAsia" w:ascii="仿宋" w:hAnsi="仿宋" w:eastAsia="仿宋" w:cs="仿宋"/>
          <w:sz w:val="32"/>
          <w:szCs w:val="32"/>
        </w:rPr>
        <w:t>万元，收、支</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4.91</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主要变动原因是</w:t>
      </w:r>
      <w:r>
        <w:rPr>
          <w:rFonts w:hint="eastAsia" w:ascii="仿宋" w:hAnsi="仿宋" w:eastAsia="仿宋" w:cs="仿宋"/>
          <w:spacing w:val="-4"/>
          <w:sz w:val="32"/>
          <w:szCs w:val="32"/>
          <w:lang w:eastAsia="zh-CN"/>
        </w:rPr>
        <w:t>人员减少</w:t>
      </w:r>
      <w:r>
        <w:rPr>
          <w:rFonts w:hint="eastAsia" w:ascii="仿宋" w:hAnsi="仿宋" w:eastAsia="仿宋" w:cs="仿宋"/>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0" w:firstLineChars="0"/>
        <w:jc w:val="center"/>
        <w:textAlignment w:val="auto"/>
        <w:rPr>
          <w:rFonts w:ascii="宋体" w:hAnsi="宋体" w:eastAsia="仿宋"/>
          <w:sz w:val="32"/>
          <w:szCs w:val="32"/>
        </w:rPr>
      </w:pPr>
      <w:r>
        <w:rPr>
          <w:rFonts w:hint="eastAsia" w:ascii="仿宋" w:hAnsi="仿宋" w:eastAsia="仿宋" w:cs="仿宋"/>
          <w:sz w:val="32"/>
          <w:szCs w:val="32"/>
        </w:rPr>
        <w:t>（图4：财政拨款收、支决算总计变动情况）</w:t>
      </w:r>
    </w:p>
    <w:p>
      <w:pPr>
        <w:overflowPunct w:val="0"/>
        <w:adjustRightInd w:val="0"/>
        <w:jc w:val="center"/>
        <w:rPr>
          <w:rFonts w:ascii="宋体" w:hAnsi="宋体" w:eastAsia="仿宋_GB2312"/>
          <w:color w:val="000000"/>
          <w:sz w:val="32"/>
          <w:szCs w:val="32"/>
        </w:rPr>
      </w:pPr>
      <w:r>
        <w:rPr>
          <w:rFonts w:ascii="宋体" w:hAnsi="宋体" w:eastAsia="仿宋_GB2312"/>
          <w:color w:val="000000"/>
          <w:sz w:val="32"/>
          <w:szCs w:val="32"/>
        </w:rPr>
        <w:drawing>
          <wp:inline distT="0" distB="0" distL="0" distR="0">
            <wp:extent cx="4859655" cy="2518410"/>
            <wp:effectExtent l="4445" t="4445" r="12700" b="10795"/>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both"/>
      </w:pPr>
    </w:p>
    <w:p>
      <w:pPr>
        <w:pStyle w:val="5"/>
        <w:keepNext w:val="0"/>
        <w:keepLines w:val="0"/>
        <w:pageBreakBefore w:val="0"/>
        <w:widowControl w:val="0"/>
        <w:numPr>
          <w:ilvl w:val="0"/>
          <w:numId w:val="2"/>
        </w:numPr>
        <w:kinsoku/>
        <w:wordWrap/>
        <w:overflowPunct w:val="0"/>
        <w:topLinePunct w:val="0"/>
        <w:autoSpaceDE/>
        <w:autoSpaceDN/>
        <w:bidi w:val="0"/>
        <w:adjustRightInd w:val="0"/>
        <w:snapToGrid/>
        <w:spacing w:before="0" w:after="0" w:line="576" w:lineRule="exact"/>
        <w:ind w:firstLine="640" w:firstLineChars="200"/>
        <w:jc w:val="both"/>
        <w:textAlignment w:val="auto"/>
        <w:rPr>
          <w:rStyle w:val="32"/>
          <w:rFonts w:ascii="宋体" w:hAnsi="宋体" w:eastAsia="黑体"/>
          <w:b w:val="0"/>
          <w:bCs/>
        </w:rPr>
      </w:pPr>
      <w:bookmarkStart w:id="22" w:name="_Toc15396607"/>
      <w:bookmarkStart w:id="23" w:name="_Toc146619325"/>
      <w:bookmarkStart w:id="24" w:name="_Toc15377209"/>
      <w:r>
        <w:rPr>
          <w:rFonts w:hint="eastAsia" w:ascii="宋体" w:hAnsi="宋体" w:eastAsia="黑体"/>
          <w:b w:val="0"/>
          <w:bCs w:val="0"/>
        </w:rPr>
        <w:t>一</w:t>
      </w:r>
      <w:r>
        <w:rPr>
          <w:rStyle w:val="32"/>
          <w:rFonts w:hint="eastAsia" w:ascii="宋体" w:hAnsi="宋体" w:eastAsia="黑体"/>
          <w:b w:val="0"/>
          <w:bCs w:val="0"/>
        </w:rPr>
        <w:t>般公共预算财政拨款支出决算情况说明</w:t>
      </w:r>
      <w:bookmarkEnd w:id="22"/>
      <w:bookmarkEnd w:id="23"/>
      <w:bookmarkEnd w:id="24"/>
    </w:p>
    <w:p>
      <w:pPr>
        <w:pStyle w:val="6"/>
        <w:keepNext w:val="0"/>
        <w:keepLines w:val="0"/>
        <w:pageBreakBefore w:val="0"/>
        <w:widowControl w:val="0"/>
        <w:numPr>
          <w:ilvl w:val="0"/>
          <w:numId w:val="3"/>
        </w:numPr>
        <w:kinsoku/>
        <w:wordWrap/>
        <w:overflowPunct w:val="0"/>
        <w:topLinePunct w:val="0"/>
        <w:autoSpaceDE/>
        <w:autoSpaceDN/>
        <w:bidi w:val="0"/>
        <w:adjustRightInd w:val="0"/>
        <w:snapToGrid/>
        <w:spacing w:before="0" w:after="0" w:line="576" w:lineRule="exact"/>
        <w:ind w:left="0" w:firstLine="640" w:firstLineChars="200"/>
        <w:jc w:val="both"/>
        <w:textAlignment w:val="auto"/>
        <w:rPr>
          <w:rFonts w:ascii="宋体" w:hAnsi="宋体" w:eastAsia="楷体" w:cs="楷体"/>
          <w:b w:val="0"/>
          <w:bCs w:val="0"/>
        </w:rPr>
      </w:pPr>
      <w:bookmarkStart w:id="25" w:name="_Toc146619326"/>
      <w:bookmarkStart w:id="26" w:name="_Toc15377210"/>
      <w:r>
        <w:rPr>
          <w:rFonts w:hint="eastAsia" w:ascii="宋体" w:hAnsi="宋体" w:eastAsia="楷体" w:cs="楷体"/>
          <w:b w:val="0"/>
          <w:bCs w:val="0"/>
        </w:rPr>
        <w:t>一般公共预算财政拨款支出决算总体情况</w:t>
      </w:r>
      <w:bookmarkEnd w:id="25"/>
      <w:bookmarkEnd w:id="26"/>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年一般公共预算财政拨款支出</w:t>
      </w:r>
      <w:r>
        <w:rPr>
          <w:rFonts w:hint="eastAsia" w:ascii="仿宋" w:hAnsi="仿宋" w:eastAsia="仿宋" w:cs="仿宋"/>
          <w:sz w:val="32"/>
          <w:szCs w:val="32"/>
          <w:lang w:val="en-US" w:eastAsia="zh-CN"/>
        </w:rPr>
        <w:t>1342.61</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98.03</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与</w:t>
      </w:r>
      <w:r>
        <w:rPr>
          <w:rFonts w:hint="eastAsia" w:ascii="仿宋" w:hAnsi="仿宋" w:eastAsia="仿宋" w:cs="仿宋"/>
          <w:sz w:val="32"/>
          <w:szCs w:val="32"/>
          <w:lang w:eastAsia="zh-CN"/>
        </w:rPr>
        <w:t>2023</w:t>
      </w:r>
      <w:r>
        <w:rPr>
          <w:rFonts w:hint="eastAsia" w:ascii="仿宋" w:hAnsi="仿宋" w:eastAsia="仿宋" w:cs="仿宋"/>
          <w:sz w:val="32"/>
          <w:szCs w:val="32"/>
        </w:rPr>
        <w:t>年</w:t>
      </w:r>
      <w:r>
        <w:rPr>
          <w:rFonts w:hint="eastAsia" w:ascii="仿宋" w:hAnsi="仿宋" w:eastAsia="仿宋" w:cs="仿宋"/>
          <w:sz w:val="32"/>
          <w:szCs w:val="32"/>
          <w:lang w:val="en-US" w:eastAsia="zh-CN"/>
        </w:rPr>
        <w:t>1411.87</w:t>
      </w:r>
      <w:r>
        <w:rPr>
          <w:rFonts w:hint="eastAsia" w:ascii="仿宋" w:hAnsi="仿宋" w:eastAsia="仿宋" w:cs="仿宋"/>
          <w:sz w:val="32"/>
          <w:szCs w:val="32"/>
        </w:rPr>
        <w:t>万元相比，一般公共预算财政拨款支出</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69.26</w:t>
      </w:r>
      <w:r>
        <w:rPr>
          <w:rFonts w:hint="eastAsia" w:ascii="仿宋" w:hAnsi="仿宋" w:eastAsia="仿宋" w:cs="仿宋"/>
          <w:sz w:val="32"/>
          <w:szCs w:val="32"/>
        </w:rPr>
        <w:t>万元，</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4.91</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主要变动原因是</w:t>
      </w:r>
      <w:r>
        <w:rPr>
          <w:rFonts w:hint="eastAsia" w:ascii="仿宋" w:hAnsi="仿宋" w:eastAsia="仿宋" w:cs="仿宋"/>
          <w:spacing w:val="-4"/>
          <w:sz w:val="32"/>
          <w:szCs w:val="32"/>
          <w:lang w:eastAsia="zh-CN"/>
        </w:rPr>
        <w:t>人员减少</w:t>
      </w:r>
      <w:r>
        <w:rPr>
          <w:rFonts w:hint="eastAsia" w:ascii="仿宋" w:hAnsi="仿宋" w:eastAsia="仿宋" w:cs="仿宋"/>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rPr>
          <w:rFonts w:ascii="宋体" w:hAnsi="宋体" w:eastAsia="仿宋"/>
          <w:sz w:val="32"/>
          <w:szCs w:val="32"/>
        </w:rPr>
      </w:pPr>
      <w:r>
        <w:rPr>
          <w:rFonts w:hint="eastAsia" w:ascii="仿宋" w:hAnsi="仿宋" w:eastAsia="仿宋" w:cs="仿宋"/>
          <w:sz w:val="32"/>
          <w:szCs w:val="32"/>
        </w:rPr>
        <w:t>（图5：一般公共预算财政拨款支出决算变动情况）</w:t>
      </w:r>
    </w:p>
    <w:p>
      <w:pPr>
        <w:overflowPunct w:val="0"/>
        <w:adjustRightInd w:val="0"/>
        <w:jc w:val="center"/>
        <w:rPr>
          <w:rFonts w:ascii="宋体" w:hAnsi="宋体" w:eastAsia="仿宋_GB2312"/>
          <w:color w:val="000000"/>
          <w:sz w:val="32"/>
          <w:szCs w:val="32"/>
        </w:rPr>
      </w:pPr>
      <w:r>
        <w:rPr>
          <w:rFonts w:ascii="宋体" w:hAnsi="宋体" w:eastAsia="仿宋_GB2312"/>
          <w:color w:val="000000"/>
          <w:sz w:val="32"/>
          <w:szCs w:val="32"/>
        </w:rPr>
        <w:drawing>
          <wp:inline distT="0" distB="0" distL="0" distR="0">
            <wp:extent cx="4859655" cy="2837815"/>
            <wp:effectExtent l="0" t="0" r="17145" b="635"/>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pPr>
    </w:p>
    <w:p>
      <w:pPr>
        <w:pStyle w:val="6"/>
        <w:keepNext w:val="0"/>
        <w:keepLines w:val="0"/>
        <w:pageBreakBefore w:val="0"/>
        <w:widowControl w:val="0"/>
        <w:numPr>
          <w:ilvl w:val="0"/>
          <w:numId w:val="3"/>
        </w:numPr>
        <w:kinsoku/>
        <w:wordWrap/>
        <w:overflowPunct w:val="0"/>
        <w:topLinePunct w:val="0"/>
        <w:autoSpaceDE/>
        <w:autoSpaceDN/>
        <w:bidi w:val="0"/>
        <w:adjustRightInd w:val="0"/>
        <w:snapToGrid/>
        <w:spacing w:before="0" w:after="0" w:line="576" w:lineRule="exact"/>
        <w:ind w:left="0" w:firstLine="640" w:firstLineChars="200"/>
        <w:jc w:val="both"/>
        <w:textAlignment w:val="auto"/>
        <w:rPr>
          <w:rFonts w:ascii="宋体" w:hAnsi="宋体" w:eastAsia="楷体" w:cs="楷体"/>
          <w:b w:val="0"/>
          <w:bCs w:val="0"/>
        </w:rPr>
      </w:pPr>
      <w:bookmarkStart w:id="27" w:name="_Toc15377211"/>
      <w:bookmarkStart w:id="28" w:name="_Toc146619327"/>
      <w:r>
        <w:rPr>
          <w:rFonts w:hint="eastAsia" w:ascii="宋体" w:hAnsi="宋体" w:eastAsia="楷体" w:cs="楷体"/>
          <w:b w:val="0"/>
          <w:bCs w:val="0"/>
        </w:rPr>
        <w:t>一般公共预算财政拨款支出决算结构情况</w:t>
      </w:r>
      <w:bookmarkEnd w:id="27"/>
      <w:bookmarkEnd w:id="28"/>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年一般公共预算财政拨款支出</w:t>
      </w:r>
      <w:r>
        <w:rPr>
          <w:rFonts w:hint="eastAsia" w:ascii="仿宋" w:hAnsi="仿宋" w:eastAsia="仿宋" w:cs="仿宋"/>
          <w:sz w:val="32"/>
          <w:szCs w:val="32"/>
          <w:lang w:val="en-US" w:eastAsia="zh-CN"/>
        </w:rPr>
        <w:t>1342.61</w:t>
      </w:r>
      <w:r>
        <w:rPr>
          <w:rFonts w:hint="eastAsia" w:ascii="仿宋" w:hAnsi="仿宋" w:eastAsia="仿宋" w:cs="仿宋"/>
          <w:sz w:val="32"/>
          <w:szCs w:val="32"/>
        </w:rPr>
        <w:t>万元，主要用于以下方面：</w:t>
      </w:r>
      <w:r>
        <w:rPr>
          <w:rFonts w:hint="eastAsia" w:ascii="仿宋" w:hAnsi="仿宋" w:eastAsia="仿宋" w:cs="仿宋"/>
          <w:b/>
          <w:sz w:val="32"/>
          <w:szCs w:val="32"/>
        </w:rPr>
        <w:t>一般公共服务</w:t>
      </w:r>
      <w:r>
        <w:rPr>
          <w:rFonts w:hint="eastAsia" w:ascii="仿宋" w:hAnsi="仿宋" w:eastAsia="仿宋" w:cs="仿宋"/>
          <w:b/>
          <w:bCs/>
          <w:sz w:val="32"/>
          <w:szCs w:val="32"/>
        </w:rPr>
        <w:t>支出</w:t>
      </w:r>
      <w:r>
        <w:rPr>
          <w:rFonts w:hint="eastAsia" w:ascii="仿宋" w:hAnsi="仿宋" w:eastAsia="仿宋" w:cs="仿宋"/>
          <w:sz w:val="32"/>
          <w:szCs w:val="32"/>
          <w:lang w:val="en-US" w:eastAsia="zh-CN"/>
        </w:rPr>
        <w:t>245.95</w:t>
      </w:r>
      <w:r>
        <w:rPr>
          <w:rFonts w:hint="eastAsia" w:ascii="仿宋" w:hAnsi="仿宋" w:eastAsia="仿宋" w:cs="仿宋"/>
          <w:sz w:val="32"/>
          <w:szCs w:val="32"/>
        </w:rPr>
        <w:t>万元，占</w:t>
      </w:r>
      <w:r>
        <w:rPr>
          <w:rFonts w:hint="eastAsia" w:ascii="仿宋" w:hAnsi="仿宋" w:eastAsia="仿宋" w:cs="仿宋"/>
          <w:sz w:val="32"/>
          <w:szCs w:val="32"/>
          <w:lang w:val="en-US" w:eastAsia="zh-CN"/>
        </w:rPr>
        <w:t>18.32</w:t>
      </w:r>
      <w:r>
        <w:rPr>
          <w:rFonts w:hint="eastAsia" w:ascii="仿宋" w:hAnsi="仿宋" w:eastAsia="仿宋" w:cs="仿宋"/>
          <w:sz w:val="32"/>
          <w:szCs w:val="32"/>
        </w:rPr>
        <w:t>%；</w:t>
      </w:r>
      <w:r>
        <w:rPr>
          <w:rFonts w:hint="eastAsia" w:ascii="仿宋" w:hAnsi="仿宋" w:eastAsia="仿宋" w:cs="仿宋"/>
          <w:b/>
          <w:bCs/>
          <w:sz w:val="32"/>
          <w:szCs w:val="32"/>
        </w:rPr>
        <w:t>文化旅游体育与传媒支出</w:t>
      </w:r>
      <w:r>
        <w:rPr>
          <w:rFonts w:hint="eastAsia" w:ascii="仿宋" w:hAnsi="仿宋" w:eastAsia="仿宋" w:cs="仿宋"/>
          <w:sz w:val="32"/>
          <w:szCs w:val="32"/>
          <w:lang w:val="en-US" w:eastAsia="zh-CN"/>
        </w:rPr>
        <w:t>5.2</w:t>
      </w:r>
      <w:r>
        <w:rPr>
          <w:rFonts w:hint="eastAsia" w:ascii="仿宋" w:hAnsi="仿宋" w:eastAsia="仿宋" w:cs="仿宋"/>
          <w:sz w:val="32"/>
          <w:szCs w:val="32"/>
        </w:rPr>
        <w:t>万元，占</w:t>
      </w:r>
      <w:r>
        <w:rPr>
          <w:rFonts w:hint="eastAsia" w:ascii="仿宋" w:hAnsi="仿宋" w:eastAsia="仿宋" w:cs="仿宋"/>
          <w:sz w:val="32"/>
          <w:szCs w:val="32"/>
          <w:lang w:val="en-US" w:eastAsia="zh-CN"/>
        </w:rPr>
        <w:t>0.39</w:t>
      </w:r>
      <w:r>
        <w:rPr>
          <w:rFonts w:hint="eastAsia" w:ascii="仿宋" w:hAnsi="仿宋" w:eastAsia="仿宋" w:cs="仿宋"/>
          <w:sz w:val="32"/>
          <w:szCs w:val="32"/>
        </w:rPr>
        <w:t>%；</w:t>
      </w:r>
      <w:r>
        <w:rPr>
          <w:rFonts w:hint="eastAsia" w:ascii="仿宋" w:hAnsi="仿宋" w:eastAsia="仿宋" w:cs="仿宋"/>
          <w:b/>
          <w:bCs/>
          <w:sz w:val="32"/>
          <w:szCs w:val="32"/>
        </w:rPr>
        <w:t>城乡社区支出</w:t>
      </w:r>
      <w:r>
        <w:rPr>
          <w:rFonts w:hint="eastAsia" w:ascii="仿宋" w:hAnsi="仿宋" w:eastAsia="仿宋" w:cs="仿宋"/>
          <w:sz w:val="32"/>
          <w:szCs w:val="32"/>
          <w:lang w:val="en-US" w:eastAsia="zh-CN"/>
        </w:rPr>
        <w:t>524.29</w:t>
      </w:r>
      <w:r>
        <w:rPr>
          <w:rFonts w:hint="eastAsia" w:ascii="仿宋" w:hAnsi="仿宋" w:eastAsia="仿宋" w:cs="仿宋"/>
          <w:sz w:val="32"/>
          <w:szCs w:val="32"/>
        </w:rPr>
        <w:t>万元，占</w:t>
      </w:r>
      <w:r>
        <w:rPr>
          <w:rFonts w:hint="eastAsia" w:ascii="仿宋" w:hAnsi="仿宋" w:eastAsia="仿宋" w:cs="仿宋"/>
          <w:sz w:val="32"/>
          <w:szCs w:val="32"/>
          <w:lang w:val="en-US" w:eastAsia="zh-CN"/>
        </w:rPr>
        <w:t>39.05</w:t>
      </w:r>
      <w:r>
        <w:rPr>
          <w:rFonts w:hint="eastAsia" w:ascii="仿宋" w:hAnsi="仿宋" w:eastAsia="仿宋" w:cs="仿宋"/>
          <w:sz w:val="32"/>
          <w:szCs w:val="32"/>
        </w:rPr>
        <w:t>%；</w:t>
      </w:r>
      <w:r>
        <w:rPr>
          <w:rFonts w:hint="eastAsia" w:ascii="仿宋" w:hAnsi="仿宋" w:eastAsia="仿宋" w:cs="仿宋"/>
          <w:b/>
          <w:sz w:val="32"/>
          <w:szCs w:val="32"/>
        </w:rPr>
        <w:t>社会保障和就业</w:t>
      </w:r>
      <w:r>
        <w:rPr>
          <w:rFonts w:hint="eastAsia" w:ascii="仿宋" w:hAnsi="仿宋" w:eastAsia="仿宋" w:cs="仿宋"/>
          <w:b/>
          <w:bCs/>
          <w:sz w:val="32"/>
          <w:szCs w:val="32"/>
        </w:rPr>
        <w:t>支出</w:t>
      </w:r>
      <w:r>
        <w:rPr>
          <w:rFonts w:hint="eastAsia" w:ascii="仿宋" w:hAnsi="仿宋" w:eastAsia="仿宋" w:cs="仿宋"/>
          <w:sz w:val="32"/>
          <w:szCs w:val="32"/>
          <w:lang w:val="en-US" w:eastAsia="zh-CN"/>
        </w:rPr>
        <w:t>99.17</w:t>
      </w:r>
      <w:r>
        <w:rPr>
          <w:rFonts w:hint="eastAsia" w:ascii="仿宋" w:hAnsi="仿宋" w:eastAsia="仿宋" w:cs="仿宋"/>
          <w:sz w:val="32"/>
          <w:szCs w:val="32"/>
        </w:rPr>
        <w:t>万元，占</w:t>
      </w:r>
      <w:r>
        <w:rPr>
          <w:rFonts w:hint="eastAsia" w:ascii="仿宋" w:hAnsi="仿宋" w:eastAsia="仿宋" w:cs="仿宋"/>
          <w:sz w:val="32"/>
          <w:szCs w:val="32"/>
          <w:lang w:val="en-US" w:eastAsia="zh-CN"/>
        </w:rPr>
        <w:t>7.39</w:t>
      </w:r>
      <w:r>
        <w:rPr>
          <w:rFonts w:hint="eastAsia" w:ascii="仿宋" w:hAnsi="仿宋" w:eastAsia="仿宋" w:cs="仿宋"/>
          <w:sz w:val="32"/>
          <w:szCs w:val="32"/>
        </w:rPr>
        <w:t>%；</w:t>
      </w:r>
      <w:r>
        <w:rPr>
          <w:rFonts w:hint="eastAsia" w:ascii="仿宋" w:hAnsi="仿宋" w:eastAsia="仿宋" w:cs="仿宋"/>
          <w:b/>
          <w:bCs/>
          <w:sz w:val="32"/>
          <w:szCs w:val="32"/>
        </w:rPr>
        <w:t>卫生健康支出</w:t>
      </w:r>
      <w:r>
        <w:rPr>
          <w:rFonts w:hint="eastAsia" w:ascii="仿宋" w:hAnsi="仿宋" w:eastAsia="仿宋" w:cs="仿宋"/>
          <w:sz w:val="32"/>
          <w:szCs w:val="32"/>
          <w:lang w:val="en-US" w:eastAsia="zh-CN"/>
        </w:rPr>
        <w:t>24.04</w:t>
      </w:r>
      <w:r>
        <w:rPr>
          <w:rFonts w:hint="eastAsia" w:ascii="仿宋" w:hAnsi="仿宋" w:eastAsia="仿宋" w:cs="仿宋"/>
          <w:sz w:val="32"/>
          <w:szCs w:val="32"/>
        </w:rPr>
        <w:t>万元，占</w:t>
      </w:r>
      <w:r>
        <w:rPr>
          <w:rFonts w:hint="eastAsia" w:ascii="仿宋" w:hAnsi="仿宋" w:eastAsia="仿宋" w:cs="仿宋"/>
          <w:sz w:val="32"/>
          <w:szCs w:val="32"/>
          <w:lang w:val="en-US" w:eastAsia="zh-CN"/>
        </w:rPr>
        <w:t>1.79</w:t>
      </w:r>
      <w:r>
        <w:rPr>
          <w:rFonts w:hint="eastAsia" w:ascii="仿宋" w:hAnsi="仿宋" w:eastAsia="仿宋" w:cs="仿宋"/>
          <w:sz w:val="32"/>
          <w:szCs w:val="32"/>
        </w:rPr>
        <w:t>%；</w:t>
      </w:r>
      <w:r>
        <w:rPr>
          <w:rFonts w:hint="eastAsia" w:ascii="仿宋" w:hAnsi="仿宋" w:eastAsia="仿宋" w:cs="仿宋"/>
          <w:b/>
          <w:bCs/>
          <w:sz w:val="32"/>
          <w:szCs w:val="32"/>
        </w:rPr>
        <w:t>住房保障支出</w:t>
      </w:r>
      <w:r>
        <w:rPr>
          <w:rFonts w:hint="eastAsia" w:ascii="仿宋" w:hAnsi="仿宋" w:eastAsia="仿宋" w:cs="仿宋"/>
          <w:sz w:val="32"/>
          <w:szCs w:val="32"/>
          <w:lang w:val="en-US" w:eastAsia="zh-CN"/>
        </w:rPr>
        <w:t>56.34</w:t>
      </w:r>
      <w:r>
        <w:rPr>
          <w:rFonts w:hint="eastAsia" w:ascii="仿宋" w:hAnsi="仿宋" w:eastAsia="仿宋" w:cs="仿宋"/>
          <w:sz w:val="32"/>
          <w:szCs w:val="32"/>
        </w:rPr>
        <w:t>万元，占</w:t>
      </w:r>
      <w:r>
        <w:rPr>
          <w:rFonts w:hint="eastAsia" w:ascii="仿宋" w:hAnsi="仿宋" w:eastAsia="仿宋" w:cs="仿宋"/>
          <w:sz w:val="32"/>
          <w:szCs w:val="32"/>
          <w:lang w:val="en-US" w:eastAsia="zh-CN"/>
        </w:rPr>
        <w:t>4.2</w:t>
      </w:r>
      <w:r>
        <w:rPr>
          <w:rFonts w:hint="eastAsia" w:ascii="仿宋" w:hAnsi="仿宋" w:eastAsia="仿宋" w:cs="仿宋"/>
          <w:sz w:val="32"/>
          <w:szCs w:val="32"/>
        </w:rPr>
        <w:t>%；</w:t>
      </w:r>
      <w:r>
        <w:rPr>
          <w:rFonts w:hint="eastAsia" w:ascii="仿宋" w:hAnsi="仿宋" w:eastAsia="仿宋" w:cs="仿宋"/>
          <w:b/>
          <w:bCs/>
          <w:sz w:val="32"/>
          <w:szCs w:val="32"/>
        </w:rPr>
        <w:t>农林水支出</w:t>
      </w:r>
      <w:r>
        <w:rPr>
          <w:rFonts w:hint="eastAsia" w:ascii="仿宋" w:hAnsi="仿宋" w:eastAsia="仿宋" w:cs="仿宋"/>
          <w:sz w:val="32"/>
          <w:szCs w:val="32"/>
          <w:lang w:val="en-US" w:eastAsia="zh-CN"/>
        </w:rPr>
        <w:t>386.62</w:t>
      </w:r>
      <w:r>
        <w:rPr>
          <w:rFonts w:hint="eastAsia" w:ascii="仿宋" w:hAnsi="仿宋" w:eastAsia="仿宋" w:cs="仿宋"/>
          <w:sz w:val="32"/>
          <w:szCs w:val="32"/>
        </w:rPr>
        <w:t>万元，占</w:t>
      </w:r>
      <w:r>
        <w:rPr>
          <w:rFonts w:hint="eastAsia" w:ascii="仿宋" w:hAnsi="仿宋" w:eastAsia="仿宋" w:cs="仿宋"/>
          <w:sz w:val="32"/>
          <w:szCs w:val="32"/>
          <w:lang w:val="en-US" w:eastAsia="zh-CN"/>
        </w:rPr>
        <w:t>28.79</w:t>
      </w:r>
      <w:r>
        <w:rPr>
          <w:rFonts w:hint="eastAsia" w:ascii="仿宋" w:hAnsi="仿宋" w:eastAsia="仿宋" w:cs="仿宋"/>
          <w:sz w:val="32"/>
          <w:szCs w:val="32"/>
        </w:rPr>
        <w:t>%，</w:t>
      </w:r>
      <w:r>
        <w:rPr>
          <w:rFonts w:hint="eastAsia" w:ascii="仿宋" w:hAnsi="仿宋" w:eastAsia="仿宋" w:cs="仿宋"/>
          <w:b/>
          <w:bCs/>
          <w:sz w:val="32"/>
          <w:szCs w:val="32"/>
          <w:lang w:eastAsia="zh-CN"/>
        </w:rPr>
        <w:t>自然资源海洋气象等支出</w:t>
      </w:r>
      <w:r>
        <w:rPr>
          <w:rFonts w:hint="eastAsia" w:ascii="仿宋" w:hAnsi="仿宋" w:eastAsia="仿宋" w:cs="仿宋"/>
          <w:sz w:val="32"/>
          <w:szCs w:val="32"/>
          <w:lang w:val="en-US" w:eastAsia="zh-CN"/>
        </w:rPr>
        <w:t>1</w:t>
      </w:r>
      <w:r>
        <w:rPr>
          <w:rFonts w:hint="eastAsia" w:ascii="仿宋" w:hAnsi="仿宋" w:eastAsia="仿宋" w:cs="仿宋"/>
          <w:sz w:val="32"/>
          <w:szCs w:val="32"/>
        </w:rPr>
        <w:t>万元，占</w:t>
      </w:r>
      <w:r>
        <w:rPr>
          <w:rFonts w:hint="eastAsia" w:ascii="仿宋" w:hAnsi="仿宋" w:eastAsia="仿宋" w:cs="仿宋"/>
          <w:sz w:val="32"/>
          <w:szCs w:val="32"/>
          <w:lang w:val="en-US" w:eastAsia="zh-CN"/>
        </w:rPr>
        <w:t>0.07</w:t>
      </w:r>
      <w:r>
        <w:rPr>
          <w:rFonts w:hint="eastAsia" w:ascii="仿宋" w:hAnsi="仿宋" w:eastAsia="仿宋" w:cs="仿宋"/>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（图6：一般公共预算财政拨款支出决算结构）</w:t>
      </w:r>
    </w:p>
    <w:p>
      <w:pPr>
        <w:overflowPunct w:val="0"/>
        <w:adjustRightInd w:val="0"/>
        <w:jc w:val="center"/>
        <w:rPr>
          <w:rFonts w:ascii="宋体" w:hAnsi="宋体" w:eastAsia="仿宋"/>
          <w:sz w:val="32"/>
          <w:szCs w:val="32"/>
        </w:rPr>
      </w:pPr>
      <w:r>
        <w:rPr>
          <w:rFonts w:ascii="宋体" w:hAnsi="宋体" w:eastAsia="仿宋_GB2312"/>
          <w:color w:val="000000"/>
          <w:sz w:val="32"/>
          <w:szCs w:val="32"/>
        </w:rPr>
        <w:drawing>
          <wp:inline distT="0" distB="0" distL="0" distR="0">
            <wp:extent cx="4859655" cy="3218180"/>
            <wp:effectExtent l="4445" t="4445" r="12700" b="15875"/>
            <wp:docPr id="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6"/>
        <w:keepNext w:val="0"/>
        <w:keepLines w:val="0"/>
        <w:pageBreakBefore w:val="0"/>
        <w:widowControl w:val="0"/>
        <w:numPr>
          <w:ilvl w:val="0"/>
          <w:numId w:val="3"/>
        </w:numPr>
        <w:kinsoku/>
        <w:wordWrap/>
        <w:overflowPunct w:val="0"/>
        <w:topLinePunct w:val="0"/>
        <w:autoSpaceDE/>
        <w:autoSpaceDN/>
        <w:bidi w:val="0"/>
        <w:adjustRightInd w:val="0"/>
        <w:snapToGrid/>
        <w:spacing w:before="0" w:after="0" w:line="576" w:lineRule="exact"/>
        <w:ind w:left="0" w:firstLine="640" w:firstLineChars="200"/>
        <w:jc w:val="both"/>
        <w:textAlignment w:val="auto"/>
        <w:rPr>
          <w:rFonts w:ascii="宋体" w:hAnsi="宋体" w:eastAsia="楷体" w:cs="楷体"/>
          <w:b w:val="0"/>
          <w:bCs w:val="0"/>
        </w:rPr>
      </w:pPr>
      <w:bookmarkStart w:id="29" w:name="_Toc15377212"/>
      <w:bookmarkStart w:id="30" w:name="_Toc146619328"/>
      <w:r>
        <w:rPr>
          <w:rFonts w:hint="eastAsia" w:ascii="宋体" w:hAnsi="宋体" w:eastAsia="楷体" w:cs="楷体"/>
          <w:b w:val="0"/>
          <w:bCs w:val="0"/>
        </w:rPr>
        <w:t>一般公共预算财政拨款支出决算具体情况</w:t>
      </w:r>
      <w:bookmarkEnd w:id="29"/>
      <w:bookmarkEnd w:id="30"/>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bookmarkStart w:id="31" w:name="_Toc15378460"/>
      <w:bookmarkStart w:id="32" w:name="_Toc15377444"/>
      <w:bookmarkStart w:id="33" w:name="_Toc15377213"/>
      <w:r>
        <w:rPr>
          <w:rFonts w:hint="eastAsia" w:ascii="仿宋" w:hAnsi="仿宋" w:eastAsia="仿宋" w:cs="仿宋"/>
          <w:b/>
          <w:sz w:val="32"/>
          <w:szCs w:val="32"/>
          <w:lang w:eastAsia="zh-CN"/>
        </w:rPr>
        <w:t>2024</w:t>
      </w:r>
      <w:r>
        <w:rPr>
          <w:rFonts w:hint="eastAsia" w:ascii="仿宋" w:hAnsi="仿宋" w:eastAsia="仿宋" w:cs="仿宋"/>
          <w:b/>
          <w:sz w:val="32"/>
          <w:szCs w:val="32"/>
        </w:rPr>
        <w:t>年一般公共预算支出决算数为</w:t>
      </w:r>
      <w:r>
        <w:rPr>
          <w:rFonts w:hint="eastAsia" w:ascii="仿宋" w:hAnsi="仿宋" w:eastAsia="仿宋" w:cs="仿宋"/>
          <w:b/>
          <w:sz w:val="32"/>
          <w:szCs w:val="32"/>
          <w:lang w:val="en-US" w:eastAsia="zh-CN"/>
        </w:rPr>
        <w:t>1342.61</w:t>
      </w:r>
      <w:r>
        <w:rPr>
          <w:rFonts w:hint="eastAsia" w:ascii="仿宋" w:hAnsi="仿宋" w:eastAsia="仿宋" w:cs="仿宋"/>
          <w:b/>
          <w:sz w:val="32"/>
          <w:szCs w:val="32"/>
        </w:rPr>
        <w:t>万元</w:t>
      </w:r>
      <w:r>
        <w:rPr>
          <w:rFonts w:hint="eastAsia" w:ascii="仿宋" w:hAnsi="仿宋" w:eastAsia="仿宋" w:cs="仿宋"/>
          <w:sz w:val="32"/>
          <w:szCs w:val="32"/>
        </w:rPr>
        <w:t>，</w:t>
      </w:r>
      <w:r>
        <w:rPr>
          <w:rStyle w:val="19"/>
          <w:rFonts w:hint="eastAsia" w:ascii="仿宋" w:hAnsi="仿宋" w:eastAsia="仿宋" w:cs="仿宋"/>
          <w:bCs/>
          <w:sz w:val="32"/>
          <w:szCs w:val="32"/>
        </w:rPr>
        <w:t>完成预算1</w:t>
      </w:r>
      <w:r>
        <w:rPr>
          <w:rStyle w:val="19"/>
          <w:rFonts w:hint="eastAsia" w:ascii="仿宋" w:hAnsi="仿宋" w:eastAsia="仿宋" w:cs="仿宋"/>
          <w:bCs/>
          <w:sz w:val="32"/>
          <w:szCs w:val="32"/>
          <w:lang w:val="en-US" w:eastAsia="zh-CN"/>
        </w:rPr>
        <w:t>00</w:t>
      </w:r>
      <w:r>
        <w:rPr>
          <w:rStyle w:val="19"/>
          <w:rFonts w:hint="eastAsia" w:ascii="仿宋" w:hAnsi="仿宋" w:eastAsia="仿宋" w:cs="仿宋"/>
          <w:bCs/>
          <w:sz w:val="32"/>
          <w:szCs w:val="32"/>
        </w:rPr>
        <w:t>%。其中：</w:t>
      </w:r>
      <w:bookmarkEnd w:id="31"/>
      <w:bookmarkEnd w:id="32"/>
      <w:bookmarkEnd w:id="33"/>
    </w:p>
    <w:p>
      <w:pPr>
        <w:keepNext w:val="0"/>
        <w:keepLines w:val="0"/>
        <w:pageBreakBefore w:val="0"/>
        <w:widowControl w:val="0"/>
        <w:numPr>
          <w:ilvl w:val="0"/>
          <w:numId w:val="4"/>
        </w:numPr>
        <w:kinsoku/>
        <w:wordWrap/>
        <w:overflowPunct w:val="0"/>
        <w:topLinePunct w:val="0"/>
        <w:autoSpaceDE/>
        <w:autoSpaceDN/>
        <w:bidi w:val="0"/>
        <w:adjustRightInd w:val="0"/>
        <w:snapToGrid/>
        <w:spacing w:line="576" w:lineRule="exact"/>
        <w:ind w:left="0" w:firstLine="640" w:firstLineChars="200"/>
        <w:jc w:val="both"/>
        <w:textAlignment w:val="auto"/>
        <w:rPr>
          <w:rStyle w:val="19"/>
          <w:rFonts w:hint="eastAsia" w:ascii="仿宋" w:hAnsi="仿宋" w:eastAsia="仿宋" w:cs="仿宋"/>
          <w:b w:val="0"/>
          <w:bCs/>
          <w:sz w:val="32"/>
          <w:szCs w:val="32"/>
        </w:rPr>
      </w:pPr>
      <w:r>
        <w:rPr>
          <w:rStyle w:val="19"/>
          <w:rFonts w:hint="eastAsia" w:ascii="仿宋" w:hAnsi="仿宋" w:eastAsia="仿宋" w:cs="仿宋"/>
          <w:bCs/>
          <w:sz w:val="32"/>
          <w:szCs w:val="32"/>
        </w:rPr>
        <w:t>一般公共服务</w:t>
      </w:r>
      <w:r>
        <w:rPr>
          <w:rStyle w:val="19"/>
          <w:rFonts w:hint="eastAsia" w:ascii="仿宋" w:hAnsi="仿宋" w:eastAsia="仿宋" w:cs="仿宋"/>
          <w:bCs/>
          <w:sz w:val="32"/>
          <w:szCs w:val="32"/>
          <w:lang w:eastAsia="zh-CN"/>
        </w:rPr>
        <w:t>支出</w:t>
      </w:r>
      <w:r>
        <w:rPr>
          <w:rStyle w:val="19"/>
          <w:rFonts w:hint="eastAsia" w:ascii="仿宋" w:hAnsi="仿宋" w:eastAsia="仿宋" w:cs="仿宋"/>
          <w:bCs/>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rPr>
        <w:t>一般公共服务支出(类)</w:t>
      </w:r>
      <w:r>
        <w:rPr>
          <w:rFonts w:hint="eastAsia" w:ascii="仿宋" w:hAnsi="仿宋" w:eastAsia="仿宋" w:cs="仿宋"/>
          <w:sz w:val="32"/>
          <w:szCs w:val="32"/>
          <w:lang w:eastAsia="zh-CN"/>
        </w:rPr>
        <w:t>人大事务</w:t>
      </w:r>
      <w:r>
        <w:rPr>
          <w:rFonts w:hint="eastAsia" w:ascii="仿宋" w:hAnsi="仿宋" w:eastAsia="仿宋" w:cs="仿宋"/>
          <w:sz w:val="32"/>
          <w:szCs w:val="32"/>
        </w:rPr>
        <w:t>(款)</w:t>
      </w:r>
      <w:r>
        <w:rPr>
          <w:rFonts w:hint="eastAsia" w:ascii="仿宋" w:hAnsi="仿宋" w:eastAsia="仿宋" w:cs="仿宋"/>
          <w:sz w:val="32"/>
          <w:szCs w:val="32"/>
          <w:lang w:eastAsia="zh-CN"/>
        </w:rPr>
        <w:t>代表工作</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Fonts w:hint="eastAsia" w:ascii="仿宋" w:hAnsi="仿宋" w:eastAsia="仿宋" w:cs="仿宋"/>
          <w:color w:val="000000"/>
          <w:sz w:val="32"/>
          <w:szCs w:val="32"/>
          <w:lang w:val="en-US" w:eastAsia="zh-CN"/>
        </w:rPr>
        <w:t>2.65</w:t>
      </w:r>
      <w:r>
        <w:rPr>
          <w:rFonts w:hint="eastAsia" w:ascii="仿宋" w:hAnsi="仿宋" w:eastAsia="仿宋" w:cs="仿宋"/>
          <w:color w:val="000000"/>
          <w:sz w:val="32"/>
          <w:szCs w:val="32"/>
        </w:rPr>
        <w:t>万元,完成预算的</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w:t>
      </w:r>
      <w:r>
        <w:rPr>
          <w:rFonts w:hint="eastAsia" w:ascii="仿宋" w:hAnsi="仿宋" w:eastAsia="仿宋" w:cs="仿宋"/>
          <w:color w:val="000000"/>
          <w:sz w:val="32"/>
          <w:szCs w:val="32"/>
          <w:highlight w:val="none"/>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一般公共服务支出(类)政府办公厅（室）</w:t>
      </w:r>
      <w:r>
        <w:rPr>
          <w:rFonts w:hint="eastAsia" w:ascii="仿宋" w:hAnsi="仿宋" w:eastAsia="仿宋" w:cs="仿宋"/>
          <w:sz w:val="32"/>
          <w:szCs w:val="32"/>
          <w:lang w:eastAsia="zh-CN"/>
        </w:rPr>
        <w:t>及相关机构事务</w:t>
      </w:r>
      <w:r>
        <w:rPr>
          <w:rFonts w:hint="eastAsia" w:ascii="仿宋" w:hAnsi="仿宋" w:eastAsia="仿宋" w:cs="仿宋"/>
          <w:sz w:val="32"/>
          <w:szCs w:val="32"/>
        </w:rPr>
        <w:t>(款)</w:t>
      </w:r>
      <w:r>
        <w:rPr>
          <w:rFonts w:hint="eastAsia" w:ascii="仿宋" w:hAnsi="仿宋" w:eastAsia="仿宋" w:cs="仿宋"/>
          <w:sz w:val="32"/>
          <w:szCs w:val="32"/>
          <w:lang w:eastAsia="zh-CN"/>
        </w:rPr>
        <w:t>事业运行</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217.31</w:t>
      </w:r>
      <w:r>
        <w:rPr>
          <w:rFonts w:hint="eastAsia" w:ascii="仿宋" w:hAnsi="仿宋" w:eastAsia="仿宋" w:cs="仿宋"/>
          <w:sz w:val="32"/>
          <w:szCs w:val="32"/>
        </w:rPr>
        <w:t>万元</w:t>
      </w:r>
      <w:r>
        <w:rPr>
          <w:rFonts w:hint="eastAsia" w:ascii="仿宋" w:hAnsi="仿宋" w:eastAsia="仿宋" w:cs="仿宋"/>
          <w:color w:val="000000"/>
          <w:sz w:val="32"/>
          <w:szCs w:val="32"/>
        </w:rPr>
        <w:t>,完成预算的100%。</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一般公共服务支出(类)</w:t>
      </w:r>
      <w:r>
        <w:rPr>
          <w:rFonts w:hint="eastAsia" w:ascii="仿宋" w:hAnsi="仿宋" w:eastAsia="仿宋" w:cs="仿宋"/>
          <w:sz w:val="32"/>
          <w:szCs w:val="32"/>
          <w:lang w:eastAsia="zh-CN"/>
        </w:rPr>
        <w:t>党委</w:t>
      </w:r>
      <w:r>
        <w:rPr>
          <w:rFonts w:hint="eastAsia" w:ascii="仿宋" w:hAnsi="仿宋" w:eastAsia="仿宋" w:cs="仿宋"/>
          <w:sz w:val="32"/>
          <w:szCs w:val="32"/>
        </w:rPr>
        <w:t>办公厅（室）</w:t>
      </w:r>
      <w:r>
        <w:rPr>
          <w:rFonts w:hint="eastAsia" w:ascii="仿宋" w:hAnsi="仿宋" w:eastAsia="仿宋" w:cs="仿宋"/>
          <w:sz w:val="32"/>
          <w:szCs w:val="32"/>
          <w:lang w:eastAsia="zh-CN"/>
        </w:rPr>
        <w:t>及相关机构事务</w:t>
      </w:r>
      <w:r>
        <w:rPr>
          <w:rFonts w:hint="eastAsia" w:ascii="仿宋" w:hAnsi="仿宋" w:eastAsia="仿宋" w:cs="仿宋"/>
          <w:sz w:val="32"/>
          <w:szCs w:val="32"/>
        </w:rPr>
        <w:t>(款)</w:t>
      </w:r>
      <w:r>
        <w:rPr>
          <w:rFonts w:hint="eastAsia" w:ascii="仿宋" w:hAnsi="仿宋" w:eastAsia="仿宋" w:cs="仿宋"/>
          <w:sz w:val="32"/>
          <w:szCs w:val="32"/>
          <w:lang w:eastAsia="zh-CN"/>
        </w:rPr>
        <w:t>专项业务</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7.82</w:t>
      </w:r>
      <w:r>
        <w:rPr>
          <w:rFonts w:hint="eastAsia" w:ascii="仿宋" w:hAnsi="仿宋" w:eastAsia="仿宋" w:cs="仿宋"/>
          <w:sz w:val="32"/>
          <w:szCs w:val="32"/>
        </w:rPr>
        <w:t>万元</w:t>
      </w:r>
      <w:r>
        <w:rPr>
          <w:rFonts w:hint="eastAsia" w:ascii="仿宋" w:hAnsi="仿宋" w:eastAsia="仿宋" w:cs="仿宋"/>
          <w:color w:val="000000"/>
          <w:sz w:val="32"/>
          <w:szCs w:val="32"/>
        </w:rPr>
        <w:t>,完成预算的</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一般公共服务支出(类)</w:t>
      </w:r>
      <w:r>
        <w:rPr>
          <w:rFonts w:hint="eastAsia" w:ascii="仿宋" w:hAnsi="仿宋" w:eastAsia="仿宋" w:cs="仿宋"/>
          <w:sz w:val="32"/>
          <w:szCs w:val="32"/>
          <w:lang w:eastAsia="zh-CN"/>
        </w:rPr>
        <w:t>党委</w:t>
      </w:r>
      <w:r>
        <w:rPr>
          <w:rFonts w:hint="eastAsia" w:ascii="仿宋" w:hAnsi="仿宋" w:eastAsia="仿宋" w:cs="仿宋"/>
          <w:sz w:val="32"/>
          <w:szCs w:val="32"/>
        </w:rPr>
        <w:t>办公厅（室）</w:t>
      </w:r>
      <w:r>
        <w:rPr>
          <w:rFonts w:hint="eastAsia" w:ascii="仿宋" w:hAnsi="仿宋" w:eastAsia="仿宋" w:cs="仿宋"/>
          <w:sz w:val="32"/>
          <w:szCs w:val="32"/>
          <w:lang w:eastAsia="zh-CN"/>
        </w:rPr>
        <w:t>及相关机构事务</w:t>
      </w:r>
      <w:r>
        <w:rPr>
          <w:rFonts w:hint="eastAsia" w:ascii="仿宋" w:hAnsi="仿宋" w:eastAsia="仿宋" w:cs="仿宋"/>
          <w:sz w:val="32"/>
          <w:szCs w:val="32"/>
        </w:rPr>
        <w:t>(款)</w:t>
      </w:r>
      <w:r>
        <w:rPr>
          <w:rFonts w:hint="eastAsia" w:ascii="仿宋" w:hAnsi="仿宋" w:eastAsia="仿宋" w:cs="仿宋"/>
          <w:sz w:val="32"/>
          <w:szCs w:val="32"/>
          <w:lang w:eastAsia="zh-CN"/>
        </w:rPr>
        <w:t>事业运行</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18.17</w:t>
      </w:r>
      <w:r>
        <w:rPr>
          <w:rFonts w:hint="eastAsia" w:ascii="仿宋" w:hAnsi="仿宋" w:eastAsia="仿宋" w:cs="仿宋"/>
          <w:sz w:val="32"/>
          <w:szCs w:val="32"/>
        </w:rPr>
        <w:t>万元</w:t>
      </w:r>
      <w:r>
        <w:rPr>
          <w:rFonts w:hint="eastAsia" w:ascii="仿宋" w:hAnsi="仿宋" w:eastAsia="仿宋" w:cs="仿宋"/>
          <w:color w:val="000000"/>
          <w:sz w:val="32"/>
          <w:szCs w:val="32"/>
        </w:rPr>
        <w:t>,完成预算的100%。</w:t>
      </w:r>
    </w:p>
    <w:p>
      <w:pPr>
        <w:keepNext w:val="0"/>
        <w:keepLines w:val="0"/>
        <w:pageBreakBefore w:val="0"/>
        <w:widowControl w:val="0"/>
        <w:numPr>
          <w:ilvl w:val="0"/>
          <w:numId w:val="4"/>
        </w:numPr>
        <w:kinsoku/>
        <w:wordWrap/>
        <w:overflowPunct w:val="0"/>
        <w:topLinePunct w:val="0"/>
        <w:autoSpaceDE/>
        <w:autoSpaceDN/>
        <w:bidi w:val="0"/>
        <w:adjustRightInd w:val="0"/>
        <w:snapToGrid/>
        <w:spacing w:line="576" w:lineRule="exact"/>
        <w:ind w:left="0" w:firstLine="640" w:firstLineChars="200"/>
        <w:jc w:val="both"/>
        <w:textAlignment w:val="auto"/>
        <w:rPr>
          <w:rStyle w:val="19"/>
          <w:rFonts w:hint="eastAsia" w:ascii="仿宋" w:hAnsi="仿宋" w:eastAsia="仿宋" w:cs="仿宋"/>
          <w:bCs/>
          <w:sz w:val="32"/>
          <w:szCs w:val="32"/>
        </w:rPr>
      </w:pPr>
      <w:r>
        <w:rPr>
          <w:rStyle w:val="19"/>
          <w:rFonts w:hint="eastAsia" w:ascii="仿宋" w:hAnsi="仿宋" w:eastAsia="仿宋" w:cs="仿宋"/>
          <w:bCs/>
          <w:sz w:val="32"/>
          <w:szCs w:val="32"/>
        </w:rPr>
        <w:t>文化旅游体育与传媒</w:t>
      </w:r>
      <w:r>
        <w:rPr>
          <w:rStyle w:val="19"/>
          <w:rFonts w:hint="eastAsia" w:ascii="仿宋" w:hAnsi="仿宋" w:eastAsia="仿宋" w:cs="仿宋"/>
          <w:bCs/>
          <w:sz w:val="32"/>
          <w:szCs w:val="32"/>
          <w:lang w:eastAsia="zh-CN"/>
        </w:rPr>
        <w:t>支出</w:t>
      </w:r>
      <w:r>
        <w:rPr>
          <w:rStyle w:val="19"/>
          <w:rFonts w:hint="eastAsia" w:ascii="仿宋" w:hAnsi="仿宋" w:eastAsia="仿宋" w:cs="仿宋"/>
          <w:bCs/>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Style w:val="19"/>
          <w:rFonts w:hint="eastAsia" w:ascii="仿宋" w:hAnsi="仿宋" w:eastAsia="仿宋" w:cs="仿宋"/>
          <w:b w:val="0"/>
          <w:bCs/>
          <w:sz w:val="32"/>
          <w:szCs w:val="32"/>
        </w:rPr>
      </w:pPr>
      <w:r>
        <w:rPr>
          <w:rStyle w:val="19"/>
          <w:rFonts w:hint="eastAsia" w:ascii="仿宋" w:hAnsi="仿宋" w:eastAsia="仿宋" w:cs="仿宋"/>
          <w:b w:val="0"/>
          <w:sz w:val="32"/>
          <w:szCs w:val="32"/>
        </w:rPr>
        <w:t>文化旅游体育与传媒支出(类)其他文化旅游体育与传媒支出</w:t>
      </w:r>
      <w:r>
        <w:rPr>
          <w:rFonts w:hint="eastAsia" w:ascii="仿宋" w:hAnsi="仿宋" w:eastAsia="仿宋" w:cs="仿宋"/>
          <w:sz w:val="32"/>
          <w:szCs w:val="32"/>
        </w:rPr>
        <w:t>(款)</w:t>
      </w:r>
      <w:r>
        <w:rPr>
          <w:rStyle w:val="19"/>
          <w:rFonts w:hint="eastAsia" w:ascii="仿宋" w:hAnsi="仿宋" w:eastAsia="仿宋" w:cs="仿宋"/>
          <w:b w:val="0"/>
          <w:sz w:val="32"/>
          <w:szCs w:val="32"/>
        </w:rPr>
        <w:t>其他文化旅游体育与传媒</w:t>
      </w:r>
      <w:r>
        <w:rPr>
          <w:rStyle w:val="19"/>
          <w:rFonts w:hint="eastAsia" w:ascii="仿宋" w:hAnsi="仿宋" w:eastAsia="仿宋" w:cs="仿宋"/>
          <w:b w:val="0"/>
          <w:sz w:val="32"/>
          <w:szCs w:val="32"/>
          <w:lang w:eastAsia="zh-CN"/>
        </w:rPr>
        <w:t>支出</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Style w:val="19"/>
          <w:rFonts w:hint="eastAsia" w:ascii="仿宋" w:hAnsi="仿宋" w:eastAsia="仿宋" w:cs="仿宋"/>
          <w:b w:val="0"/>
          <w:sz w:val="32"/>
          <w:szCs w:val="32"/>
          <w:lang w:val="en-US" w:eastAsia="zh-CN"/>
        </w:rPr>
        <w:t>5.2</w:t>
      </w:r>
      <w:r>
        <w:rPr>
          <w:rStyle w:val="19"/>
          <w:rFonts w:hint="eastAsia" w:ascii="仿宋" w:hAnsi="仿宋" w:eastAsia="仿宋" w:cs="仿宋"/>
          <w:b w:val="0"/>
          <w:sz w:val="32"/>
          <w:szCs w:val="32"/>
        </w:rPr>
        <w:t>万</w:t>
      </w:r>
      <w:r>
        <w:rPr>
          <w:rStyle w:val="19"/>
          <w:rFonts w:hint="eastAsia" w:ascii="仿宋" w:hAnsi="仿宋" w:eastAsia="仿宋" w:cs="仿宋"/>
          <w:b w:val="0"/>
          <w:bCs/>
          <w:sz w:val="32"/>
          <w:szCs w:val="32"/>
        </w:rPr>
        <w:t>元，完成预算</w:t>
      </w:r>
      <w:r>
        <w:rPr>
          <w:rStyle w:val="19"/>
          <w:rFonts w:hint="eastAsia" w:ascii="仿宋" w:hAnsi="仿宋" w:eastAsia="仿宋" w:cs="仿宋"/>
          <w:b w:val="0"/>
          <w:bCs/>
          <w:sz w:val="32"/>
          <w:szCs w:val="32"/>
          <w:lang w:eastAsia="zh-CN"/>
        </w:rPr>
        <w:t>的</w:t>
      </w:r>
      <w:r>
        <w:rPr>
          <w:rStyle w:val="19"/>
          <w:rFonts w:hint="eastAsia" w:ascii="仿宋" w:hAnsi="仿宋" w:eastAsia="仿宋" w:cs="仿宋"/>
          <w:b w:val="0"/>
          <w:bCs/>
          <w:sz w:val="32"/>
          <w:szCs w:val="32"/>
          <w:lang w:val="en-US" w:eastAsia="zh-CN"/>
        </w:rPr>
        <w:t>100</w:t>
      </w:r>
      <w:r>
        <w:rPr>
          <w:rStyle w:val="19"/>
          <w:rFonts w:hint="eastAsia" w:ascii="仿宋" w:hAnsi="仿宋" w:eastAsia="仿宋" w:cs="仿宋"/>
          <w:b w:val="0"/>
          <w:bCs/>
          <w:sz w:val="32"/>
          <w:szCs w:val="32"/>
        </w:rPr>
        <w:t>%。</w:t>
      </w:r>
    </w:p>
    <w:p>
      <w:pPr>
        <w:pStyle w:val="30"/>
        <w:keepNext w:val="0"/>
        <w:keepLines w:val="0"/>
        <w:pageBreakBefore w:val="0"/>
        <w:widowControl w:val="0"/>
        <w:numPr>
          <w:ilvl w:val="0"/>
          <w:numId w:val="4"/>
        </w:numPr>
        <w:kinsoku/>
        <w:wordWrap/>
        <w:overflowPunct w:val="0"/>
        <w:topLinePunct w:val="0"/>
        <w:autoSpaceDE/>
        <w:autoSpaceDN/>
        <w:bidi w:val="0"/>
        <w:adjustRightInd w:val="0"/>
        <w:snapToGrid/>
        <w:spacing w:line="576" w:lineRule="exact"/>
        <w:ind w:left="0" w:firstLine="643"/>
        <w:jc w:val="both"/>
        <w:textAlignment w:val="auto"/>
        <w:rPr>
          <w:rFonts w:hint="eastAsia" w:ascii="仿宋" w:hAnsi="仿宋" w:eastAsia="仿宋" w:cs="仿宋"/>
          <w:b/>
          <w:sz w:val="32"/>
          <w:szCs w:val="32"/>
        </w:rPr>
      </w:pPr>
      <w:r>
        <w:rPr>
          <w:rStyle w:val="19"/>
          <w:rFonts w:hint="eastAsia" w:ascii="仿宋" w:hAnsi="仿宋" w:eastAsia="仿宋" w:cs="仿宋"/>
          <w:sz w:val="32"/>
          <w:szCs w:val="32"/>
        </w:rPr>
        <w:t>社会保障和就业</w:t>
      </w:r>
      <w:r>
        <w:rPr>
          <w:rStyle w:val="19"/>
          <w:rFonts w:hint="eastAsia" w:ascii="仿宋" w:hAnsi="仿宋" w:eastAsia="仿宋" w:cs="仿宋"/>
          <w:sz w:val="32"/>
          <w:szCs w:val="32"/>
          <w:lang w:eastAsia="zh-CN"/>
        </w:rPr>
        <w:t>支出</w:t>
      </w:r>
      <w:r>
        <w:rPr>
          <w:rStyle w:val="19"/>
          <w:rFonts w:hint="eastAsia" w:ascii="仿宋" w:hAnsi="仿宋" w:eastAsia="仿宋" w:cs="仿宋"/>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color w:val="000000"/>
          <w:sz w:val="32"/>
          <w:szCs w:val="32"/>
          <w:highlight w:val="yellow"/>
        </w:rPr>
      </w:pPr>
      <w:r>
        <w:rPr>
          <w:rStyle w:val="19"/>
          <w:rFonts w:hint="eastAsia" w:ascii="仿宋" w:hAnsi="仿宋" w:eastAsia="仿宋" w:cs="仿宋"/>
          <w:b w:val="0"/>
          <w:bCs/>
          <w:sz w:val="32"/>
          <w:szCs w:val="32"/>
        </w:rPr>
        <w:t>社会保障和就业支出(类)</w:t>
      </w:r>
      <w:r>
        <w:rPr>
          <w:rStyle w:val="19"/>
          <w:rFonts w:hint="eastAsia" w:ascii="仿宋" w:hAnsi="仿宋" w:eastAsia="仿宋" w:cs="仿宋"/>
          <w:b w:val="0"/>
          <w:bCs/>
          <w:sz w:val="32"/>
          <w:szCs w:val="32"/>
          <w:lang w:eastAsia="zh-CN"/>
        </w:rPr>
        <w:t>行政</w:t>
      </w:r>
      <w:r>
        <w:rPr>
          <w:rStyle w:val="19"/>
          <w:rFonts w:hint="eastAsia" w:ascii="仿宋" w:hAnsi="仿宋" w:eastAsia="仿宋" w:cs="仿宋"/>
          <w:b w:val="0"/>
          <w:bCs/>
          <w:sz w:val="32"/>
          <w:szCs w:val="32"/>
        </w:rPr>
        <w:t>事业单位养老支出</w:t>
      </w:r>
      <w:r>
        <w:rPr>
          <w:rFonts w:hint="eastAsia" w:ascii="仿宋" w:hAnsi="仿宋" w:eastAsia="仿宋" w:cs="仿宋"/>
          <w:sz w:val="32"/>
          <w:szCs w:val="32"/>
        </w:rPr>
        <w:t>(款)</w:t>
      </w:r>
      <w:r>
        <w:rPr>
          <w:rStyle w:val="19"/>
          <w:rFonts w:hint="eastAsia" w:ascii="仿宋" w:hAnsi="仿宋" w:eastAsia="仿宋" w:cs="仿宋"/>
          <w:b w:val="0"/>
          <w:bCs/>
          <w:sz w:val="32"/>
          <w:szCs w:val="32"/>
        </w:rPr>
        <w:t>机关事业单位基本养老保险缴费支出</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Style w:val="19"/>
          <w:rFonts w:hint="eastAsia" w:ascii="仿宋" w:hAnsi="仿宋" w:eastAsia="仿宋" w:cs="仿宋"/>
          <w:b w:val="0"/>
          <w:bCs/>
          <w:sz w:val="32"/>
          <w:szCs w:val="32"/>
          <w:lang w:val="en-US" w:eastAsia="zh-CN"/>
        </w:rPr>
        <w:t>83.96</w:t>
      </w:r>
      <w:r>
        <w:rPr>
          <w:rStyle w:val="19"/>
          <w:rFonts w:hint="eastAsia" w:ascii="仿宋" w:hAnsi="仿宋" w:eastAsia="仿宋" w:cs="仿宋"/>
          <w:b w:val="0"/>
          <w:bCs/>
          <w:sz w:val="32"/>
          <w:szCs w:val="32"/>
        </w:rPr>
        <w:t>万元,完成预算</w:t>
      </w:r>
      <w:r>
        <w:rPr>
          <w:rStyle w:val="19"/>
          <w:rFonts w:hint="eastAsia" w:ascii="仿宋" w:hAnsi="仿宋" w:eastAsia="仿宋" w:cs="仿宋"/>
          <w:b w:val="0"/>
          <w:bCs/>
          <w:sz w:val="32"/>
          <w:szCs w:val="32"/>
          <w:lang w:eastAsia="zh-CN"/>
        </w:rPr>
        <w:t>的</w:t>
      </w:r>
      <w:r>
        <w:rPr>
          <w:rStyle w:val="19"/>
          <w:rFonts w:hint="eastAsia" w:ascii="仿宋" w:hAnsi="仿宋" w:eastAsia="仿宋" w:cs="仿宋"/>
          <w:b w:val="0"/>
          <w:bCs/>
          <w:sz w:val="32"/>
          <w:szCs w:val="32"/>
          <w:lang w:val="en-US" w:eastAsia="zh-CN"/>
        </w:rPr>
        <w:t>100</w:t>
      </w:r>
      <w:r>
        <w:rPr>
          <w:rStyle w:val="19"/>
          <w:rFonts w:hint="eastAsia" w:ascii="仿宋" w:hAnsi="仿宋" w:eastAsia="仿宋" w:cs="仿宋"/>
          <w:b w:val="0"/>
          <w:bCs/>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color w:val="000000"/>
          <w:sz w:val="32"/>
          <w:szCs w:val="32"/>
          <w:highlight w:val="yellow"/>
        </w:rPr>
      </w:pPr>
      <w:r>
        <w:rPr>
          <w:rStyle w:val="19"/>
          <w:rFonts w:hint="eastAsia" w:ascii="仿宋" w:hAnsi="仿宋" w:eastAsia="仿宋" w:cs="仿宋"/>
          <w:b w:val="0"/>
          <w:bCs/>
          <w:sz w:val="32"/>
          <w:szCs w:val="32"/>
        </w:rPr>
        <w:t>社会保障和就业支出(类)行政事业单位养老支出</w:t>
      </w:r>
      <w:r>
        <w:rPr>
          <w:rFonts w:hint="eastAsia" w:ascii="仿宋" w:hAnsi="仿宋" w:eastAsia="仿宋" w:cs="仿宋"/>
          <w:sz w:val="32"/>
          <w:szCs w:val="32"/>
        </w:rPr>
        <w:t>(款)</w:t>
      </w:r>
      <w:r>
        <w:rPr>
          <w:rStyle w:val="19"/>
          <w:rFonts w:hint="eastAsia" w:ascii="仿宋" w:hAnsi="仿宋" w:eastAsia="仿宋" w:cs="仿宋"/>
          <w:b w:val="0"/>
          <w:bCs/>
          <w:sz w:val="32"/>
          <w:szCs w:val="32"/>
        </w:rPr>
        <w:t>机关事业单位职业年金</w:t>
      </w:r>
      <w:r>
        <w:rPr>
          <w:rStyle w:val="19"/>
          <w:rFonts w:hint="eastAsia" w:ascii="仿宋" w:hAnsi="仿宋" w:eastAsia="仿宋" w:cs="仿宋"/>
          <w:b w:val="0"/>
          <w:bCs/>
          <w:sz w:val="32"/>
          <w:szCs w:val="32"/>
          <w:lang w:eastAsia="zh-CN"/>
        </w:rPr>
        <w:t>缴费</w:t>
      </w:r>
      <w:r>
        <w:rPr>
          <w:rFonts w:hint="eastAsia" w:ascii="仿宋" w:hAnsi="仿宋" w:eastAsia="仿宋" w:cs="仿宋"/>
          <w:sz w:val="32"/>
          <w:szCs w:val="32"/>
        </w:rPr>
        <w:t>支出（项）</w:t>
      </w:r>
      <w:r>
        <w:rPr>
          <w:rFonts w:hint="eastAsia" w:ascii="仿宋" w:hAnsi="仿宋" w:eastAsia="仿宋" w:cs="仿宋"/>
          <w:sz w:val="32"/>
          <w:szCs w:val="32"/>
          <w:lang w:eastAsia="zh-CN"/>
        </w:rPr>
        <w:t>支出</w:t>
      </w:r>
      <w:r>
        <w:rPr>
          <w:rStyle w:val="19"/>
          <w:rFonts w:hint="eastAsia" w:ascii="仿宋" w:hAnsi="仿宋" w:eastAsia="仿宋" w:cs="仿宋"/>
          <w:b w:val="0"/>
          <w:bCs/>
          <w:sz w:val="32"/>
          <w:szCs w:val="32"/>
          <w:lang w:val="en-US" w:eastAsia="zh-CN"/>
        </w:rPr>
        <w:t>13.77</w:t>
      </w:r>
      <w:r>
        <w:rPr>
          <w:rStyle w:val="19"/>
          <w:rFonts w:hint="eastAsia" w:ascii="仿宋" w:hAnsi="仿宋" w:eastAsia="仿宋" w:cs="仿宋"/>
          <w:b w:val="0"/>
          <w:bCs/>
          <w:sz w:val="32"/>
          <w:szCs w:val="32"/>
        </w:rPr>
        <w:t>万元，完成预算</w:t>
      </w:r>
      <w:r>
        <w:rPr>
          <w:rStyle w:val="19"/>
          <w:rFonts w:hint="eastAsia" w:ascii="仿宋" w:hAnsi="仿宋" w:eastAsia="仿宋" w:cs="仿宋"/>
          <w:b w:val="0"/>
          <w:bCs/>
          <w:sz w:val="32"/>
          <w:szCs w:val="32"/>
          <w:lang w:eastAsia="zh-CN"/>
        </w:rPr>
        <w:t>的</w:t>
      </w:r>
      <w:r>
        <w:rPr>
          <w:rStyle w:val="19"/>
          <w:rFonts w:hint="eastAsia" w:ascii="仿宋" w:hAnsi="仿宋" w:eastAsia="仿宋" w:cs="仿宋"/>
          <w:b w:val="0"/>
          <w:bCs/>
          <w:sz w:val="32"/>
          <w:szCs w:val="32"/>
          <w:lang w:val="en-US" w:eastAsia="zh-CN"/>
        </w:rPr>
        <w:t>100</w:t>
      </w:r>
      <w:r>
        <w:rPr>
          <w:rStyle w:val="19"/>
          <w:rFonts w:hint="eastAsia" w:ascii="仿宋" w:hAnsi="仿宋" w:eastAsia="仿宋" w:cs="仿宋"/>
          <w:b w:val="0"/>
          <w:bCs/>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Style w:val="19"/>
          <w:rFonts w:hint="eastAsia" w:ascii="仿宋" w:hAnsi="仿宋" w:eastAsia="仿宋" w:cs="仿宋"/>
          <w:b w:val="0"/>
          <w:bCs/>
          <w:sz w:val="32"/>
          <w:szCs w:val="32"/>
        </w:rPr>
        <w:t>社会保障和就业支出(类)其他社会保障和就业支出</w:t>
      </w:r>
      <w:r>
        <w:rPr>
          <w:rFonts w:hint="eastAsia" w:ascii="仿宋" w:hAnsi="仿宋" w:eastAsia="仿宋" w:cs="仿宋"/>
          <w:sz w:val="32"/>
          <w:szCs w:val="32"/>
        </w:rPr>
        <w:t>(款)</w:t>
      </w:r>
      <w:r>
        <w:rPr>
          <w:rStyle w:val="19"/>
          <w:rFonts w:hint="eastAsia" w:ascii="仿宋" w:hAnsi="仿宋" w:eastAsia="仿宋" w:cs="仿宋"/>
          <w:b w:val="0"/>
          <w:bCs/>
          <w:sz w:val="32"/>
          <w:szCs w:val="32"/>
        </w:rPr>
        <w:t>其他社会保障和就业支出</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Style w:val="19"/>
          <w:rFonts w:hint="eastAsia" w:ascii="仿宋" w:hAnsi="仿宋" w:eastAsia="仿宋" w:cs="仿宋"/>
          <w:b w:val="0"/>
          <w:bCs/>
          <w:sz w:val="32"/>
          <w:szCs w:val="32"/>
          <w:lang w:val="en-US" w:eastAsia="zh-CN"/>
        </w:rPr>
        <w:t>1.44</w:t>
      </w:r>
      <w:r>
        <w:rPr>
          <w:rStyle w:val="19"/>
          <w:rFonts w:hint="eastAsia" w:ascii="仿宋" w:hAnsi="仿宋" w:eastAsia="仿宋" w:cs="仿宋"/>
          <w:b w:val="0"/>
          <w:bCs/>
          <w:sz w:val="32"/>
          <w:szCs w:val="32"/>
        </w:rPr>
        <w:t>万元，完成预算</w:t>
      </w:r>
      <w:r>
        <w:rPr>
          <w:rStyle w:val="19"/>
          <w:rFonts w:hint="eastAsia" w:ascii="仿宋" w:hAnsi="仿宋" w:eastAsia="仿宋" w:cs="仿宋"/>
          <w:b w:val="0"/>
          <w:bCs/>
          <w:sz w:val="32"/>
          <w:szCs w:val="32"/>
          <w:lang w:eastAsia="zh-CN"/>
        </w:rPr>
        <w:t>的</w:t>
      </w:r>
      <w:r>
        <w:rPr>
          <w:rStyle w:val="19"/>
          <w:rFonts w:hint="eastAsia" w:ascii="仿宋" w:hAnsi="仿宋" w:eastAsia="仿宋" w:cs="仿宋"/>
          <w:b w:val="0"/>
          <w:bCs/>
          <w:sz w:val="32"/>
          <w:szCs w:val="32"/>
        </w:rPr>
        <w:t>100%。</w:t>
      </w:r>
    </w:p>
    <w:p>
      <w:pPr>
        <w:pStyle w:val="30"/>
        <w:keepNext w:val="0"/>
        <w:keepLines w:val="0"/>
        <w:pageBreakBefore w:val="0"/>
        <w:widowControl w:val="0"/>
        <w:numPr>
          <w:ilvl w:val="0"/>
          <w:numId w:val="4"/>
        </w:numPr>
        <w:kinsoku/>
        <w:wordWrap/>
        <w:overflowPunct w:val="0"/>
        <w:topLinePunct w:val="0"/>
        <w:autoSpaceDE/>
        <w:autoSpaceDN/>
        <w:bidi w:val="0"/>
        <w:adjustRightInd w:val="0"/>
        <w:snapToGrid/>
        <w:spacing w:line="576" w:lineRule="exact"/>
        <w:ind w:left="0" w:firstLine="643"/>
        <w:jc w:val="both"/>
        <w:textAlignment w:val="auto"/>
        <w:rPr>
          <w:rFonts w:hint="eastAsia" w:ascii="仿宋" w:hAnsi="仿宋" w:eastAsia="仿宋" w:cs="仿宋"/>
          <w:sz w:val="32"/>
          <w:szCs w:val="32"/>
        </w:rPr>
      </w:pPr>
      <w:r>
        <w:rPr>
          <w:rFonts w:hint="eastAsia" w:ascii="仿宋" w:hAnsi="仿宋" w:eastAsia="仿宋" w:cs="仿宋"/>
          <w:b/>
          <w:bCs/>
          <w:sz w:val="32"/>
          <w:szCs w:val="32"/>
        </w:rPr>
        <w:t>卫生健康</w:t>
      </w:r>
      <w:r>
        <w:rPr>
          <w:rFonts w:hint="eastAsia" w:ascii="仿宋" w:hAnsi="仿宋" w:eastAsia="仿宋" w:cs="仿宋"/>
          <w:b/>
          <w:bCs/>
          <w:sz w:val="32"/>
          <w:szCs w:val="32"/>
          <w:lang w:eastAsia="zh-CN"/>
        </w:rPr>
        <w:t>支出</w:t>
      </w:r>
      <w:r>
        <w:rPr>
          <w:rFonts w:hint="eastAsia" w:ascii="仿宋" w:hAnsi="仿宋" w:eastAsia="仿宋" w:cs="仿宋"/>
          <w:b/>
          <w:bCs/>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Style w:val="19"/>
          <w:rFonts w:hint="eastAsia" w:ascii="仿宋" w:hAnsi="仿宋" w:eastAsia="仿宋" w:cs="仿宋"/>
          <w:b w:val="0"/>
          <w:sz w:val="32"/>
          <w:szCs w:val="32"/>
        </w:rPr>
      </w:pPr>
      <w:r>
        <w:rPr>
          <w:rStyle w:val="19"/>
          <w:rFonts w:hint="eastAsia" w:ascii="仿宋" w:hAnsi="仿宋" w:eastAsia="仿宋" w:cs="仿宋"/>
          <w:b w:val="0"/>
          <w:sz w:val="32"/>
          <w:szCs w:val="32"/>
        </w:rPr>
        <w:t>卫生健康支出(类)</w:t>
      </w:r>
      <w:r>
        <w:rPr>
          <w:rStyle w:val="19"/>
          <w:rFonts w:hint="eastAsia" w:ascii="仿宋" w:hAnsi="仿宋" w:eastAsia="仿宋" w:cs="仿宋"/>
          <w:b w:val="0"/>
          <w:sz w:val="32"/>
          <w:szCs w:val="32"/>
          <w:lang w:eastAsia="zh-CN"/>
        </w:rPr>
        <w:t>行政事业单位医疗</w:t>
      </w:r>
      <w:r>
        <w:rPr>
          <w:rFonts w:hint="eastAsia" w:ascii="仿宋" w:hAnsi="仿宋" w:eastAsia="仿宋" w:cs="仿宋"/>
          <w:sz w:val="32"/>
          <w:szCs w:val="32"/>
        </w:rPr>
        <w:t>(款)</w:t>
      </w:r>
      <w:r>
        <w:rPr>
          <w:rStyle w:val="19"/>
          <w:rFonts w:hint="eastAsia" w:ascii="仿宋" w:hAnsi="仿宋" w:eastAsia="仿宋" w:cs="仿宋"/>
          <w:b w:val="0"/>
          <w:sz w:val="32"/>
          <w:szCs w:val="32"/>
          <w:lang w:eastAsia="zh-CN"/>
        </w:rPr>
        <w:t>行政单位医疗</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Style w:val="19"/>
          <w:rFonts w:hint="eastAsia" w:ascii="仿宋" w:hAnsi="仿宋" w:eastAsia="仿宋" w:cs="仿宋"/>
          <w:b w:val="0"/>
          <w:sz w:val="32"/>
          <w:szCs w:val="32"/>
          <w:lang w:val="en-US" w:eastAsia="zh-CN"/>
        </w:rPr>
        <w:t>24.04</w:t>
      </w:r>
      <w:r>
        <w:rPr>
          <w:rStyle w:val="19"/>
          <w:rFonts w:hint="eastAsia" w:ascii="仿宋" w:hAnsi="仿宋" w:eastAsia="仿宋" w:cs="仿宋"/>
          <w:b w:val="0"/>
          <w:sz w:val="32"/>
          <w:szCs w:val="32"/>
        </w:rPr>
        <w:t>万元，</w:t>
      </w:r>
      <w:r>
        <w:rPr>
          <w:rStyle w:val="19"/>
          <w:rFonts w:hint="eastAsia" w:ascii="仿宋" w:hAnsi="仿宋" w:eastAsia="仿宋" w:cs="仿宋"/>
          <w:b w:val="0"/>
          <w:bCs/>
          <w:sz w:val="32"/>
          <w:szCs w:val="32"/>
        </w:rPr>
        <w:t>完成预算</w:t>
      </w:r>
      <w:r>
        <w:rPr>
          <w:rStyle w:val="19"/>
          <w:rFonts w:hint="eastAsia" w:ascii="仿宋" w:hAnsi="仿宋" w:eastAsia="仿宋" w:cs="仿宋"/>
          <w:b w:val="0"/>
          <w:bCs/>
          <w:sz w:val="32"/>
          <w:szCs w:val="32"/>
          <w:lang w:eastAsia="zh-CN"/>
        </w:rPr>
        <w:t>的</w:t>
      </w:r>
      <w:r>
        <w:rPr>
          <w:rStyle w:val="19"/>
          <w:rFonts w:hint="eastAsia" w:ascii="仿宋" w:hAnsi="仿宋" w:eastAsia="仿宋" w:cs="仿宋"/>
          <w:b w:val="0"/>
          <w:bCs/>
          <w:sz w:val="32"/>
          <w:szCs w:val="32"/>
        </w:rPr>
        <w:t>100%。</w:t>
      </w:r>
    </w:p>
    <w:p>
      <w:pPr>
        <w:keepNext w:val="0"/>
        <w:keepLines w:val="0"/>
        <w:pageBreakBefore w:val="0"/>
        <w:widowControl w:val="0"/>
        <w:numPr>
          <w:ilvl w:val="0"/>
          <w:numId w:val="4"/>
        </w:numPr>
        <w:kinsoku/>
        <w:wordWrap/>
        <w:overflowPunct w:val="0"/>
        <w:topLinePunct w:val="0"/>
        <w:autoSpaceDE/>
        <w:autoSpaceDN/>
        <w:bidi w:val="0"/>
        <w:adjustRightInd w:val="0"/>
        <w:snapToGrid/>
        <w:spacing w:line="576" w:lineRule="exact"/>
        <w:ind w:left="0" w:firstLine="640" w:firstLineChars="200"/>
        <w:jc w:val="both"/>
        <w:textAlignment w:val="auto"/>
        <w:rPr>
          <w:rStyle w:val="19"/>
          <w:rFonts w:hint="eastAsia" w:ascii="仿宋" w:hAnsi="仿宋" w:eastAsia="仿宋" w:cs="仿宋"/>
          <w:bCs/>
          <w:sz w:val="32"/>
          <w:szCs w:val="32"/>
        </w:rPr>
      </w:pPr>
      <w:r>
        <w:rPr>
          <w:rStyle w:val="19"/>
          <w:rFonts w:hint="eastAsia" w:ascii="仿宋" w:hAnsi="仿宋" w:eastAsia="仿宋" w:cs="仿宋"/>
          <w:bCs/>
          <w:sz w:val="32"/>
          <w:szCs w:val="32"/>
        </w:rPr>
        <w:t>城乡社区</w:t>
      </w:r>
      <w:r>
        <w:rPr>
          <w:rStyle w:val="19"/>
          <w:rFonts w:hint="eastAsia" w:ascii="仿宋" w:hAnsi="仿宋" w:eastAsia="仿宋" w:cs="仿宋"/>
          <w:bCs/>
          <w:sz w:val="32"/>
          <w:szCs w:val="32"/>
          <w:lang w:eastAsia="zh-CN"/>
        </w:rPr>
        <w:t>支出</w:t>
      </w:r>
      <w:r>
        <w:rPr>
          <w:rStyle w:val="19"/>
          <w:rFonts w:hint="eastAsia" w:ascii="仿宋" w:hAnsi="仿宋" w:eastAsia="仿宋" w:cs="仿宋"/>
          <w:bCs/>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Style w:val="19"/>
          <w:rFonts w:hint="eastAsia" w:ascii="仿宋" w:hAnsi="仿宋" w:eastAsia="仿宋" w:cs="仿宋"/>
          <w:b w:val="0"/>
          <w:bCs/>
          <w:sz w:val="32"/>
          <w:szCs w:val="32"/>
        </w:rPr>
      </w:pPr>
      <w:r>
        <w:rPr>
          <w:rFonts w:hint="eastAsia" w:ascii="仿宋" w:hAnsi="仿宋" w:eastAsia="仿宋" w:cs="仿宋"/>
          <w:sz w:val="32"/>
          <w:szCs w:val="32"/>
        </w:rPr>
        <w:t>城乡社区支出(类)城乡社区管理事务(款)</w:t>
      </w:r>
      <w:r>
        <w:rPr>
          <w:rFonts w:hint="eastAsia" w:ascii="仿宋" w:hAnsi="仿宋" w:eastAsia="仿宋" w:cs="仿宋"/>
          <w:sz w:val="32"/>
          <w:szCs w:val="32"/>
          <w:lang w:eastAsia="zh-CN"/>
        </w:rPr>
        <w:t>行政运行</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422.3</w:t>
      </w:r>
      <w:r>
        <w:rPr>
          <w:rFonts w:hint="eastAsia" w:ascii="仿宋" w:hAnsi="仿宋" w:eastAsia="仿宋" w:cs="仿宋"/>
          <w:sz w:val="32"/>
          <w:szCs w:val="32"/>
        </w:rPr>
        <w:t>万元，</w:t>
      </w:r>
      <w:r>
        <w:rPr>
          <w:rStyle w:val="19"/>
          <w:rFonts w:hint="eastAsia" w:ascii="仿宋" w:hAnsi="仿宋" w:eastAsia="仿宋" w:cs="仿宋"/>
          <w:b w:val="0"/>
          <w:bCs/>
          <w:sz w:val="32"/>
          <w:szCs w:val="32"/>
        </w:rPr>
        <w:t>完成预算</w:t>
      </w:r>
      <w:r>
        <w:rPr>
          <w:rStyle w:val="19"/>
          <w:rFonts w:hint="eastAsia" w:ascii="仿宋" w:hAnsi="仿宋" w:eastAsia="仿宋" w:cs="仿宋"/>
          <w:b w:val="0"/>
          <w:bCs/>
          <w:sz w:val="32"/>
          <w:szCs w:val="32"/>
          <w:lang w:eastAsia="zh-CN"/>
        </w:rPr>
        <w:t>的</w:t>
      </w:r>
      <w:r>
        <w:rPr>
          <w:rStyle w:val="19"/>
          <w:rFonts w:hint="eastAsia" w:ascii="仿宋" w:hAnsi="仿宋" w:eastAsia="仿宋" w:cs="仿宋"/>
          <w:b w:val="0"/>
          <w:bCs/>
          <w:sz w:val="32"/>
          <w:szCs w:val="32"/>
        </w:rPr>
        <w:t>1</w:t>
      </w:r>
      <w:r>
        <w:rPr>
          <w:rStyle w:val="19"/>
          <w:rFonts w:hint="eastAsia" w:ascii="仿宋" w:hAnsi="仿宋" w:eastAsia="仿宋" w:cs="仿宋"/>
          <w:b w:val="0"/>
          <w:bCs/>
          <w:sz w:val="32"/>
          <w:szCs w:val="32"/>
          <w:lang w:val="en-US" w:eastAsia="zh-CN"/>
        </w:rPr>
        <w:t>00</w:t>
      </w:r>
      <w:r>
        <w:rPr>
          <w:rStyle w:val="19"/>
          <w:rFonts w:hint="eastAsia" w:ascii="仿宋" w:hAnsi="仿宋" w:eastAsia="仿宋" w:cs="仿宋"/>
          <w:b w:val="0"/>
          <w:bCs/>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城乡社区支出(类)城乡社区管理事务(款)</w:t>
      </w:r>
      <w:r>
        <w:rPr>
          <w:rFonts w:hint="eastAsia" w:ascii="仿宋" w:hAnsi="仿宋" w:eastAsia="仿宋" w:cs="仿宋"/>
          <w:sz w:val="32"/>
          <w:szCs w:val="32"/>
          <w:lang w:eastAsia="zh-CN"/>
        </w:rPr>
        <w:t>一般行政管理事务</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81.03</w:t>
      </w:r>
      <w:r>
        <w:rPr>
          <w:rFonts w:hint="eastAsia" w:ascii="仿宋" w:hAnsi="仿宋" w:eastAsia="仿宋" w:cs="仿宋"/>
          <w:sz w:val="32"/>
          <w:szCs w:val="32"/>
        </w:rPr>
        <w:t>万元，</w:t>
      </w:r>
      <w:r>
        <w:rPr>
          <w:rStyle w:val="19"/>
          <w:rFonts w:hint="eastAsia" w:ascii="仿宋" w:hAnsi="仿宋" w:eastAsia="仿宋" w:cs="仿宋"/>
          <w:b w:val="0"/>
          <w:bCs/>
          <w:sz w:val="32"/>
          <w:szCs w:val="32"/>
        </w:rPr>
        <w:t>完成预算</w:t>
      </w:r>
      <w:r>
        <w:rPr>
          <w:rStyle w:val="19"/>
          <w:rFonts w:hint="eastAsia" w:ascii="仿宋" w:hAnsi="仿宋" w:eastAsia="仿宋" w:cs="仿宋"/>
          <w:b w:val="0"/>
          <w:bCs/>
          <w:sz w:val="32"/>
          <w:szCs w:val="32"/>
          <w:lang w:eastAsia="zh-CN"/>
        </w:rPr>
        <w:t>的</w:t>
      </w:r>
      <w:r>
        <w:rPr>
          <w:rStyle w:val="19"/>
          <w:rFonts w:hint="eastAsia" w:ascii="仿宋" w:hAnsi="仿宋" w:eastAsia="仿宋" w:cs="仿宋"/>
          <w:b w:val="0"/>
          <w:bCs/>
          <w:sz w:val="32"/>
          <w:szCs w:val="32"/>
          <w:lang w:val="en-US" w:eastAsia="zh-CN"/>
        </w:rPr>
        <w:t>100</w:t>
      </w:r>
      <w:r>
        <w:rPr>
          <w:rStyle w:val="19"/>
          <w:rFonts w:hint="eastAsia" w:ascii="仿宋" w:hAnsi="仿宋" w:eastAsia="仿宋" w:cs="仿宋"/>
          <w:b w:val="0"/>
          <w:bCs/>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Style w:val="19"/>
          <w:rFonts w:hint="eastAsia" w:ascii="仿宋" w:hAnsi="仿宋" w:eastAsia="仿宋" w:cs="仿宋"/>
          <w:b w:val="0"/>
          <w:bCs/>
          <w:sz w:val="32"/>
          <w:szCs w:val="32"/>
          <w:highlight w:val="yellow"/>
          <w:lang w:val="en-US" w:eastAsia="zh-CN"/>
        </w:rPr>
      </w:pPr>
      <w:r>
        <w:rPr>
          <w:rFonts w:hint="eastAsia" w:ascii="仿宋" w:hAnsi="仿宋" w:eastAsia="仿宋" w:cs="仿宋"/>
          <w:sz w:val="32"/>
          <w:szCs w:val="32"/>
        </w:rPr>
        <w:t>城乡社区支出(类)城乡社区环境卫生(款)城乡社区环境卫生（项）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20.96</w:t>
      </w:r>
      <w:r>
        <w:rPr>
          <w:rFonts w:hint="eastAsia" w:ascii="仿宋" w:hAnsi="仿宋" w:eastAsia="仿宋" w:cs="仿宋"/>
          <w:sz w:val="32"/>
          <w:szCs w:val="32"/>
        </w:rPr>
        <w:t>万元</w:t>
      </w:r>
      <w:r>
        <w:rPr>
          <w:rStyle w:val="19"/>
          <w:rFonts w:hint="eastAsia" w:ascii="仿宋" w:hAnsi="仿宋" w:eastAsia="仿宋" w:cs="仿宋"/>
          <w:b w:val="0"/>
          <w:bCs/>
          <w:sz w:val="32"/>
          <w:szCs w:val="32"/>
        </w:rPr>
        <w:t>，完成预算</w:t>
      </w:r>
      <w:r>
        <w:rPr>
          <w:rStyle w:val="19"/>
          <w:rFonts w:hint="eastAsia" w:ascii="仿宋" w:hAnsi="仿宋" w:eastAsia="仿宋" w:cs="仿宋"/>
          <w:b w:val="0"/>
          <w:bCs/>
          <w:sz w:val="32"/>
          <w:szCs w:val="32"/>
          <w:lang w:eastAsia="zh-CN"/>
        </w:rPr>
        <w:t>的</w:t>
      </w:r>
      <w:r>
        <w:rPr>
          <w:rStyle w:val="19"/>
          <w:rFonts w:hint="eastAsia" w:ascii="仿宋" w:hAnsi="仿宋" w:eastAsia="仿宋" w:cs="仿宋"/>
          <w:b w:val="0"/>
          <w:bCs/>
          <w:sz w:val="32"/>
          <w:szCs w:val="32"/>
          <w:lang w:val="en-US" w:eastAsia="zh-CN"/>
        </w:rPr>
        <w:t>100</w:t>
      </w:r>
      <w:r>
        <w:rPr>
          <w:rStyle w:val="19"/>
          <w:rFonts w:hint="eastAsia" w:ascii="仿宋" w:hAnsi="仿宋" w:eastAsia="仿宋" w:cs="仿宋"/>
          <w:b w:val="0"/>
          <w:bCs/>
          <w:sz w:val="32"/>
          <w:szCs w:val="32"/>
        </w:rPr>
        <w:t>%</w:t>
      </w:r>
      <w:r>
        <w:rPr>
          <w:rStyle w:val="19"/>
          <w:rFonts w:hint="eastAsia" w:ascii="仿宋" w:hAnsi="仿宋" w:eastAsia="仿宋" w:cs="仿宋"/>
          <w:b w:val="0"/>
          <w:bCs/>
          <w:sz w:val="32"/>
          <w:szCs w:val="32"/>
          <w:lang w:eastAsia="zh-CN"/>
        </w:rPr>
        <w:t>。</w:t>
      </w:r>
    </w:p>
    <w:p>
      <w:pPr>
        <w:keepNext w:val="0"/>
        <w:keepLines w:val="0"/>
        <w:pageBreakBefore w:val="0"/>
        <w:widowControl w:val="0"/>
        <w:numPr>
          <w:ilvl w:val="0"/>
          <w:numId w:val="4"/>
        </w:numPr>
        <w:kinsoku/>
        <w:wordWrap/>
        <w:overflowPunct w:val="0"/>
        <w:topLinePunct w:val="0"/>
        <w:autoSpaceDE/>
        <w:autoSpaceDN/>
        <w:bidi w:val="0"/>
        <w:adjustRightInd w:val="0"/>
        <w:snapToGrid/>
        <w:spacing w:line="576" w:lineRule="exact"/>
        <w:ind w:left="0" w:firstLine="640" w:firstLineChars="200"/>
        <w:jc w:val="both"/>
        <w:textAlignment w:val="auto"/>
        <w:rPr>
          <w:rStyle w:val="19"/>
          <w:rFonts w:hint="eastAsia" w:ascii="仿宋" w:hAnsi="仿宋" w:eastAsia="仿宋" w:cs="仿宋"/>
          <w:bCs/>
          <w:sz w:val="32"/>
          <w:szCs w:val="32"/>
        </w:rPr>
      </w:pPr>
      <w:r>
        <w:rPr>
          <w:rFonts w:hint="eastAsia" w:ascii="仿宋" w:hAnsi="仿宋" w:eastAsia="仿宋" w:cs="仿宋"/>
          <w:b/>
          <w:bCs/>
          <w:sz w:val="32"/>
          <w:szCs w:val="32"/>
        </w:rPr>
        <w:t>农林水</w:t>
      </w:r>
      <w:r>
        <w:rPr>
          <w:rFonts w:hint="eastAsia" w:ascii="仿宋" w:hAnsi="仿宋" w:eastAsia="仿宋" w:cs="仿宋"/>
          <w:b/>
          <w:bCs/>
          <w:sz w:val="32"/>
          <w:szCs w:val="32"/>
          <w:lang w:eastAsia="zh-CN"/>
        </w:rPr>
        <w:t>支出</w:t>
      </w:r>
      <w:r>
        <w:rPr>
          <w:rStyle w:val="19"/>
          <w:rFonts w:hint="eastAsia" w:ascii="仿宋" w:hAnsi="仿宋" w:eastAsia="仿宋" w:cs="仿宋"/>
          <w:bCs/>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农林水支出(类)林业和草原(款)林业草原防灾减灾（项）</w:t>
      </w:r>
      <w:r>
        <w:rPr>
          <w:rFonts w:hint="eastAsia" w:ascii="仿宋" w:hAnsi="仿宋" w:eastAsia="仿宋" w:cs="仿宋"/>
          <w:sz w:val="32"/>
          <w:szCs w:val="32"/>
          <w:lang w:eastAsia="zh-CN"/>
        </w:rPr>
        <w:t>支出</w:t>
      </w:r>
      <w:r>
        <w:rPr>
          <w:rFonts w:hint="eastAsia" w:ascii="仿宋" w:hAnsi="仿宋" w:eastAsia="仿宋" w:cs="仿宋"/>
          <w:sz w:val="32"/>
          <w:szCs w:val="32"/>
        </w:rPr>
        <w:t>3万元，</w:t>
      </w:r>
      <w:r>
        <w:rPr>
          <w:rStyle w:val="19"/>
          <w:rFonts w:hint="eastAsia" w:ascii="仿宋" w:hAnsi="仿宋" w:eastAsia="仿宋" w:cs="仿宋"/>
          <w:b w:val="0"/>
          <w:bCs/>
          <w:sz w:val="32"/>
          <w:szCs w:val="32"/>
        </w:rPr>
        <w:t>完成预算</w:t>
      </w:r>
      <w:r>
        <w:rPr>
          <w:rStyle w:val="19"/>
          <w:rFonts w:hint="eastAsia" w:ascii="仿宋" w:hAnsi="仿宋" w:eastAsia="仿宋" w:cs="仿宋"/>
          <w:b w:val="0"/>
          <w:bCs/>
          <w:sz w:val="32"/>
          <w:szCs w:val="32"/>
          <w:lang w:eastAsia="zh-CN"/>
        </w:rPr>
        <w:t>的</w:t>
      </w:r>
      <w:r>
        <w:rPr>
          <w:rStyle w:val="19"/>
          <w:rFonts w:hint="eastAsia" w:ascii="仿宋" w:hAnsi="仿宋" w:eastAsia="仿宋" w:cs="仿宋"/>
          <w:b w:val="0"/>
          <w:bCs/>
          <w:sz w:val="32"/>
          <w:szCs w:val="32"/>
        </w:rPr>
        <w:t>100%。</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Style w:val="19"/>
          <w:rFonts w:hint="eastAsia" w:ascii="仿宋" w:hAnsi="仿宋" w:eastAsia="仿宋" w:cs="仿宋"/>
          <w:b w:val="0"/>
          <w:bCs/>
          <w:sz w:val="32"/>
          <w:szCs w:val="32"/>
          <w:highlight w:val="yellow"/>
          <w:lang w:eastAsia="zh-CN"/>
        </w:rPr>
      </w:pPr>
      <w:r>
        <w:rPr>
          <w:rFonts w:hint="eastAsia" w:ascii="仿宋" w:hAnsi="仿宋" w:eastAsia="仿宋" w:cs="仿宋"/>
          <w:sz w:val="32"/>
          <w:szCs w:val="32"/>
        </w:rPr>
        <w:t>农林水支出(类)</w:t>
      </w:r>
      <w:r>
        <w:rPr>
          <w:rFonts w:hint="eastAsia" w:ascii="仿宋" w:hAnsi="仿宋" w:eastAsia="仿宋" w:cs="仿宋"/>
          <w:sz w:val="32"/>
          <w:szCs w:val="32"/>
          <w:lang w:eastAsia="zh-CN"/>
        </w:rPr>
        <w:t>农业农村</w:t>
      </w:r>
      <w:r>
        <w:rPr>
          <w:rFonts w:hint="eastAsia" w:ascii="仿宋" w:hAnsi="仿宋" w:eastAsia="仿宋" w:cs="仿宋"/>
          <w:sz w:val="32"/>
          <w:szCs w:val="32"/>
        </w:rPr>
        <w:t>(款)</w:t>
      </w:r>
      <w:r>
        <w:rPr>
          <w:rFonts w:hint="eastAsia" w:ascii="仿宋" w:hAnsi="仿宋" w:eastAsia="仿宋" w:cs="仿宋"/>
          <w:sz w:val="32"/>
          <w:szCs w:val="32"/>
          <w:lang w:eastAsia="zh-CN"/>
        </w:rPr>
        <w:t>其他农业农村支出</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1.55</w:t>
      </w:r>
      <w:r>
        <w:rPr>
          <w:rFonts w:hint="eastAsia" w:ascii="仿宋" w:hAnsi="仿宋" w:eastAsia="仿宋" w:cs="仿宋"/>
          <w:sz w:val="32"/>
          <w:szCs w:val="32"/>
        </w:rPr>
        <w:t>万元，</w:t>
      </w:r>
      <w:r>
        <w:rPr>
          <w:rStyle w:val="19"/>
          <w:rFonts w:hint="eastAsia" w:ascii="仿宋" w:hAnsi="仿宋" w:eastAsia="仿宋" w:cs="仿宋"/>
          <w:b w:val="0"/>
          <w:bCs/>
          <w:sz w:val="32"/>
          <w:szCs w:val="32"/>
        </w:rPr>
        <w:t>完成预算</w:t>
      </w:r>
      <w:r>
        <w:rPr>
          <w:rStyle w:val="19"/>
          <w:rFonts w:hint="eastAsia" w:ascii="仿宋" w:hAnsi="仿宋" w:eastAsia="仿宋" w:cs="仿宋"/>
          <w:b w:val="0"/>
          <w:bCs/>
          <w:sz w:val="32"/>
          <w:szCs w:val="32"/>
          <w:lang w:eastAsia="zh-CN"/>
        </w:rPr>
        <w:t>的</w:t>
      </w:r>
      <w:r>
        <w:rPr>
          <w:rStyle w:val="19"/>
          <w:rFonts w:hint="eastAsia" w:ascii="仿宋" w:hAnsi="仿宋" w:eastAsia="仿宋" w:cs="仿宋"/>
          <w:b w:val="0"/>
          <w:bCs/>
          <w:sz w:val="32"/>
          <w:szCs w:val="32"/>
        </w:rPr>
        <w:t>100%</w:t>
      </w:r>
      <w:r>
        <w:rPr>
          <w:rStyle w:val="19"/>
          <w:rFonts w:hint="eastAsia" w:ascii="仿宋" w:hAnsi="仿宋" w:eastAsia="仿宋" w:cs="仿宋"/>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Style w:val="19"/>
          <w:rFonts w:hint="eastAsia" w:ascii="仿宋" w:hAnsi="仿宋" w:eastAsia="仿宋" w:cs="仿宋"/>
          <w:b w:val="0"/>
          <w:bCs/>
          <w:sz w:val="32"/>
          <w:szCs w:val="32"/>
        </w:rPr>
      </w:pPr>
      <w:r>
        <w:rPr>
          <w:rFonts w:hint="eastAsia" w:ascii="仿宋" w:hAnsi="仿宋" w:eastAsia="仿宋" w:cs="仿宋"/>
          <w:sz w:val="32"/>
          <w:szCs w:val="32"/>
        </w:rPr>
        <w:t>农林水支出(类)农村综合改革(款)对村民委员会和村党支部的补助（项）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382.07</w:t>
      </w:r>
      <w:r>
        <w:rPr>
          <w:rFonts w:hint="eastAsia" w:ascii="仿宋" w:hAnsi="仿宋" w:eastAsia="仿宋" w:cs="仿宋"/>
          <w:sz w:val="32"/>
          <w:szCs w:val="32"/>
        </w:rPr>
        <w:t>万元</w:t>
      </w:r>
      <w:r>
        <w:rPr>
          <w:rStyle w:val="19"/>
          <w:rFonts w:hint="eastAsia" w:ascii="仿宋" w:hAnsi="仿宋" w:eastAsia="仿宋" w:cs="仿宋"/>
          <w:b w:val="0"/>
          <w:bCs/>
          <w:sz w:val="32"/>
          <w:szCs w:val="32"/>
        </w:rPr>
        <w:t>，完成预算</w:t>
      </w:r>
      <w:r>
        <w:rPr>
          <w:rStyle w:val="19"/>
          <w:rFonts w:hint="eastAsia" w:ascii="仿宋" w:hAnsi="仿宋" w:eastAsia="仿宋" w:cs="仿宋"/>
          <w:b w:val="0"/>
          <w:bCs/>
          <w:sz w:val="32"/>
          <w:szCs w:val="32"/>
          <w:lang w:eastAsia="zh-CN"/>
        </w:rPr>
        <w:t>的</w:t>
      </w:r>
      <w:r>
        <w:rPr>
          <w:rStyle w:val="19"/>
          <w:rFonts w:hint="eastAsia" w:ascii="仿宋" w:hAnsi="仿宋" w:eastAsia="仿宋" w:cs="仿宋"/>
          <w:b w:val="0"/>
          <w:bCs/>
          <w:sz w:val="32"/>
          <w:szCs w:val="32"/>
          <w:lang w:val="en-US" w:eastAsia="zh-CN"/>
        </w:rPr>
        <w:t>100</w:t>
      </w:r>
      <w:r>
        <w:rPr>
          <w:rStyle w:val="19"/>
          <w:rFonts w:hint="eastAsia" w:ascii="仿宋" w:hAnsi="仿宋" w:eastAsia="仿宋" w:cs="仿宋"/>
          <w:b w:val="0"/>
          <w:bCs/>
          <w:sz w:val="32"/>
          <w:szCs w:val="32"/>
        </w:rPr>
        <w:t>%。</w:t>
      </w:r>
    </w:p>
    <w:p>
      <w:pPr>
        <w:pStyle w:val="29"/>
        <w:keepNext w:val="0"/>
        <w:keepLines w:val="0"/>
        <w:pageBreakBefore w:val="0"/>
        <w:widowControl w:val="0"/>
        <w:numPr>
          <w:ilvl w:val="0"/>
          <w:numId w:val="4"/>
        </w:numPr>
        <w:kinsoku/>
        <w:wordWrap/>
        <w:overflowPunct w:val="0"/>
        <w:topLinePunct w:val="0"/>
        <w:autoSpaceDE/>
        <w:autoSpaceDN/>
        <w:bidi w:val="0"/>
        <w:adjustRightInd w:val="0"/>
        <w:snapToGrid/>
        <w:spacing w:line="576" w:lineRule="exact"/>
        <w:ind w:left="0" w:firstLine="640" w:firstLineChars="200"/>
        <w:jc w:val="both"/>
        <w:textAlignment w:val="auto"/>
        <w:rPr>
          <w:rStyle w:val="19"/>
          <w:rFonts w:hint="eastAsia" w:ascii="仿宋" w:hAnsi="仿宋" w:eastAsia="仿宋" w:cs="仿宋"/>
          <w:b w:val="0"/>
          <w:bCs/>
          <w:color w:val="auto"/>
          <w:sz w:val="32"/>
          <w:szCs w:val="32"/>
        </w:rPr>
      </w:pPr>
      <w:r>
        <w:rPr>
          <w:rFonts w:hint="eastAsia" w:ascii="仿宋" w:hAnsi="仿宋" w:eastAsia="仿宋" w:cs="仿宋"/>
          <w:b/>
          <w:bCs/>
          <w:color w:val="auto"/>
          <w:sz w:val="32"/>
          <w:szCs w:val="32"/>
        </w:rPr>
        <w:t>住房保障支出</w:t>
      </w:r>
      <w:r>
        <w:rPr>
          <w:rStyle w:val="19"/>
          <w:rFonts w:hint="eastAsia" w:ascii="仿宋" w:hAnsi="仿宋" w:eastAsia="仿宋" w:cs="仿宋"/>
          <w:bCs/>
          <w:color w:val="auto"/>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住房保障支出(类)住房改革支出(款)住房公积金（项）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56.34</w:t>
      </w:r>
      <w:r>
        <w:rPr>
          <w:rFonts w:hint="eastAsia" w:ascii="仿宋" w:hAnsi="仿宋" w:eastAsia="仿宋" w:cs="仿宋"/>
          <w:sz w:val="32"/>
          <w:szCs w:val="32"/>
        </w:rPr>
        <w:t>万元，完成预算</w:t>
      </w:r>
      <w:r>
        <w:rPr>
          <w:rFonts w:hint="eastAsia" w:ascii="仿宋" w:hAnsi="仿宋" w:eastAsia="仿宋" w:cs="仿宋"/>
          <w:sz w:val="32"/>
          <w:szCs w:val="32"/>
          <w:lang w:eastAsia="zh-CN"/>
        </w:rPr>
        <w:t>的</w:t>
      </w:r>
      <w:r>
        <w:rPr>
          <w:rFonts w:hint="eastAsia" w:ascii="仿宋" w:hAnsi="仿宋" w:eastAsia="仿宋" w:cs="仿宋"/>
          <w:sz w:val="32"/>
          <w:szCs w:val="32"/>
        </w:rPr>
        <w:t>100%。</w:t>
      </w:r>
    </w:p>
    <w:p>
      <w:pPr>
        <w:pStyle w:val="30"/>
        <w:keepNext w:val="0"/>
        <w:keepLines w:val="0"/>
        <w:pageBreakBefore w:val="0"/>
        <w:widowControl w:val="0"/>
        <w:numPr>
          <w:ilvl w:val="0"/>
          <w:numId w:val="4"/>
        </w:numPr>
        <w:kinsoku/>
        <w:wordWrap/>
        <w:overflowPunct w:val="0"/>
        <w:topLinePunct w:val="0"/>
        <w:autoSpaceDE/>
        <w:autoSpaceDN/>
        <w:bidi w:val="0"/>
        <w:adjustRightInd w:val="0"/>
        <w:snapToGrid/>
        <w:spacing w:line="576" w:lineRule="exact"/>
        <w:ind w:left="0" w:firstLine="643"/>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自然资源海洋气象等支出</w:t>
      </w:r>
      <w:r>
        <w:rPr>
          <w:rFonts w:hint="eastAsia" w:ascii="仿宋" w:hAnsi="仿宋" w:eastAsia="仿宋" w:cs="仿宋"/>
          <w:b/>
          <w:bCs/>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Style w:val="19"/>
          <w:rFonts w:ascii="宋体" w:hAnsi="宋体" w:eastAsia="仿宋" w:cs="仿宋"/>
          <w:b w:val="0"/>
          <w:bCs/>
          <w:sz w:val="32"/>
          <w:szCs w:val="32"/>
        </w:rPr>
      </w:pPr>
      <w:r>
        <w:rPr>
          <w:rFonts w:hint="eastAsia" w:ascii="仿宋" w:hAnsi="仿宋" w:eastAsia="仿宋" w:cs="仿宋"/>
          <w:sz w:val="32"/>
          <w:szCs w:val="32"/>
          <w:lang w:eastAsia="zh-CN"/>
        </w:rPr>
        <w:t>自然资源海洋气象等支出</w:t>
      </w:r>
      <w:r>
        <w:rPr>
          <w:rFonts w:hint="eastAsia" w:ascii="仿宋" w:hAnsi="仿宋" w:eastAsia="仿宋" w:cs="仿宋"/>
          <w:sz w:val="32"/>
          <w:szCs w:val="32"/>
        </w:rPr>
        <w:t>(类)自然</w:t>
      </w:r>
      <w:r>
        <w:rPr>
          <w:rFonts w:hint="eastAsia" w:ascii="仿宋" w:hAnsi="仿宋" w:eastAsia="仿宋" w:cs="仿宋"/>
          <w:sz w:val="32"/>
          <w:szCs w:val="32"/>
          <w:lang w:eastAsia="zh-CN"/>
        </w:rPr>
        <w:t>资源事务</w:t>
      </w:r>
      <w:r>
        <w:rPr>
          <w:rFonts w:hint="eastAsia" w:ascii="仿宋" w:hAnsi="仿宋" w:eastAsia="仿宋" w:cs="仿宋"/>
          <w:sz w:val="32"/>
          <w:szCs w:val="32"/>
        </w:rPr>
        <w:t>(款)自然</w:t>
      </w:r>
      <w:r>
        <w:rPr>
          <w:rFonts w:hint="eastAsia" w:ascii="仿宋" w:hAnsi="仿宋" w:eastAsia="仿宋" w:cs="仿宋"/>
          <w:sz w:val="32"/>
          <w:szCs w:val="32"/>
          <w:lang w:eastAsia="zh-CN"/>
        </w:rPr>
        <w:t>资源利用与保护</w:t>
      </w:r>
      <w:r>
        <w:rPr>
          <w:rFonts w:hint="eastAsia" w:ascii="仿宋" w:hAnsi="仿宋" w:eastAsia="仿宋" w:cs="仿宋"/>
          <w:sz w:val="32"/>
          <w:szCs w:val="32"/>
        </w:rPr>
        <w:t>（项）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1</w:t>
      </w:r>
      <w:r>
        <w:rPr>
          <w:rFonts w:hint="eastAsia" w:ascii="仿宋" w:hAnsi="仿宋" w:eastAsia="仿宋" w:cs="仿宋"/>
          <w:sz w:val="32"/>
          <w:szCs w:val="32"/>
        </w:rPr>
        <w:t>万元，</w:t>
      </w:r>
      <w:r>
        <w:rPr>
          <w:rStyle w:val="19"/>
          <w:rFonts w:hint="eastAsia" w:ascii="仿宋" w:hAnsi="仿宋" w:eastAsia="仿宋" w:cs="仿宋"/>
          <w:b w:val="0"/>
          <w:bCs/>
          <w:sz w:val="32"/>
          <w:szCs w:val="32"/>
        </w:rPr>
        <w:t>完成预算</w:t>
      </w:r>
      <w:r>
        <w:rPr>
          <w:rStyle w:val="19"/>
          <w:rFonts w:hint="eastAsia" w:ascii="仿宋" w:hAnsi="仿宋" w:eastAsia="仿宋" w:cs="仿宋"/>
          <w:b w:val="0"/>
          <w:bCs/>
          <w:sz w:val="32"/>
          <w:szCs w:val="32"/>
          <w:lang w:eastAsia="zh-CN"/>
        </w:rPr>
        <w:t>的</w:t>
      </w:r>
      <w:r>
        <w:rPr>
          <w:rStyle w:val="19"/>
          <w:rFonts w:hint="eastAsia" w:ascii="仿宋" w:hAnsi="仿宋" w:eastAsia="仿宋" w:cs="仿宋"/>
          <w:b w:val="0"/>
          <w:bCs/>
          <w:sz w:val="32"/>
          <w:szCs w:val="32"/>
          <w:lang w:val="en-US" w:eastAsia="zh-CN"/>
        </w:rPr>
        <w:t>100</w:t>
      </w:r>
      <w:r>
        <w:rPr>
          <w:rStyle w:val="19"/>
          <w:rFonts w:hint="eastAsia" w:ascii="仿宋" w:hAnsi="仿宋" w:eastAsia="仿宋" w:cs="仿宋"/>
          <w:b w:val="0"/>
          <w:bCs/>
          <w:sz w:val="32"/>
          <w:szCs w:val="32"/>
        </w:rPr>
        <w:t>%。</w:t>
      </w:r>
    </w:p>
    <w:p>
      <w:pPr>
        <w:pStyle w:val="5"/>
        <w:keepNext w:val="0"/>
        <w:keepLines w:val="0"/>
        <w:pageBreakBefore w:val="0"/>
        <w:widowControl w:val="0"/>
        <w:numPr>
          <w:ilvl w:val="0"/>
          <w:numId w:val="2"/>
        </w:numPr>
        <w:kinsoku/>
        <w:wordWrap/>
        <w:overflowPunct w:val="0"/>
        <w:topLinePunct w:val="0"/>
        <w:autoSpaceDE/>
        <w:autoSpaceDN/>
        <w:bidi w:val="0"/>
        <w:adjustRightInd w:val="0"/>
        <w:snapToGrid/>
        <w:spacing w:before="0" w:after="0" w:line="576" w:lineRule="exact"/>
        <w:ind w:firstLine="640" w:firstLineChars="200"/>
        <w:jc w:val="both"/>
        <w:textAlignment w:val="auto"/>
        <w:rPr>
          <w:rFonts w:ascii="宋体" w:hAnsi="宋体" w:eastAsia="黑体" w:cs="黑体"/>
          <w:b w:val="0"/>
          <w:bCs w:val="0"/>
        </w:rPr>
      </w:pPr>
      <w:bookmarkStart w:id="34" w:name="_Toc15396608"/>
      <w:bookmarkStart w:id="35" w:name="_Toc146619329"/>
      <w:bookmarkStart w:id="36" w:name="_Toc15377214"/>
      <w:r>
        <w:rPr>
          <w:rFonts w:hint="eastAsia" w:ascii="宋体" w:hAnsi="宋体" w:eastAsia="黑体" w:cs="黑体"/>
          <w:b w:val="0"/>
          <w:bCs w:val="0"/>
        </w:rPr>
        <w:t>一般公共预算财政拨款基本支出决算情况说明</w:t>
      </w:r>
      <w:bookmarkEnd w:id="34"/>
      <w:bookmarkEnd w:id="35"/>
      <w:bookmarkEnd w:id="36"/>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年一般公共预算财政拨款基本支出</w:t>
      </w:r>
      <w:r>
        <w:rPr>
          <w:rFonts w:hint="eastAsia" w:ascii="仿宋" w:hAnsi="仿宋" w:eastAsia="仿宋" w:cs="仿宋"/>
          <w:sz w:val="32"/>
          <w:szCs w:val="32"/>
          <w:lang w:val="en-US" w:eastAsia="zh-CN"/>
        </w:rPr>
        <w:t>1219.4</w:t>
      </w:r>
      <w:r>
        <w:rPr>
          <w:rFonts w:hint="eastAsia" w:ascii="仿宋" w:hAnsi="仿宋" w:eastAsia="仿宋" w:cs="仿宋"/>
          <w:sz w:val="32"/>
          <w:szCs w:val="32"/>
        </w:rPr>
        <w:t>万元，其中：</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人员经费</w:t>
      </w:r>
      <w:r>
        <w:rPr>
          <w:rFonts w:hint="eastAsia" w:ascii="仿宋" w:hAnsi="仿宋" w:eastAsia="仿宋" w:cs="仿宋"/>
          <w:sz w:val="32"/>
          <w:szCs w:val="32"/>
          <w:lang w:val="en-US" w:eastAsia="zh-CN"/>
        </w:rPr>
        <w:t>996.26</w:t>
      </w:r>
      <w:r>
        <w:rPr>
          <w:rFonts w:hint="eastAsia" w:ascii="仿宋" w:hAnsi="仿宋" w:eastAsia="仿宋" w:cs="仿宋"/>
          <w:sz w:val="32"/>
          <w:szCs w:val="32"/>
        </w:rPr>
        <w:t>万元，主要包括：基本工资</w:t>
      </w:r>
      <w:r>
        <w:rPr>
          <w:rFonts w:hint="eastAsia" w:ascii="仿宋" w:hAnsi="仿宋" w:eastAsia="仿宋" w:cs="仿宋"/>
          <w:sz w:val="32"/>
          <w:szCs w:val="32"/>
          <w:lang w:val="en-US" w:eastAsia="zh-CN"/>
        </w:rPr>
        <w:t>211.24</w:t>
      </w:r>
      <w:r>
        <w:rPr>
          <w:rFonts w:hint="eastAsia" w:ascii="仿宋" w:hAnsi="仿宋" w:eastAsia="仿宋" w:cs="仿宋"/>
          <w:sz w:val="32"/>
          <w:szCs w:val="32"/>
        </w:rPr>
        <w:t>万元、津贴补贴</w:t>
      </w:r>
      <w:r>
        <w:rPr>
          <w:rFonts w:hint="eastAsia" w:ascii="仿宋" w:hAnsi="仿宋" w:eastAsia="仿宋" w:cs="仿宋"/>
          <w:sz w:val="32"/>
          <w:szCs w:val="32"/>
          <w:lang w:val="en-US" w:eastAsia="zh-CN"/>
        </w:rPr>
        <w:t>70.49</w:t>
      </w:r>
      <w:r>
        <w:rPr>
          <w:rFonts w:hint="eastAsia" w:ascii="仿宋" w:hAnsi="仿宋" w:eastAsia="仿宋" w:cs="仿宋"/>
          <w:sz w:val="32"/>
          <w:szCs w:val="32"/>
        </w:rPr>
        <w:t>万元、奖金</w:t>
      </w:r>
      <w:r>
        <w:rPr>
          <w:rFonts w:hint="eastAsia" w:ascii="仿宋" w:hAnsi="仿宋" w:eastAsia="仿宋" w:cs="仿宋"/>
          <w:sz w:val="32"/>
          <w:szCs w:val="32"/>
          <w:lang w:val="en-US" w:eastAsia="zh-CN"/>
        </w:rPr>
        <w:t>164.66</w:t>
      </w:r>
      <w:r>
        <w:rPr>
          <w:rFonts w:hint="eastAsia" w:ascii="仿宋" w:hAnsi="仿宋" w:eastAsia="仿宋" w:cs="仿宋"/>
          <w:sz w:val="32"/>
          <w:szCs w:val="32"/>
        </w:rPr>
        <w:t>万元、绩效工资</w:t>
      </w:r>
      <w:r>
        <w:rPr>
          <w:rFonts w:hint="eastAsia" w:ascii="仿宋" w:hAnsi="仿宋" w:eastAsia="仿宋" w:cs="仿宋"/>
          <w:sz w:val="32"/>
          <w:szCs w:val="32"/>
          <w:lang w:val="en-US" w:eastAsia="zh-CN"/>
        </w:rPr>
        <w:t>58.92</w:t>
      </w:r>
      <w:r>
        <w:rPr>
          <w:rFonts w:hint="eastAsia" w:ascii="仿宋" w:hAnsi="仿宋" w:eastAsia="仿宋" w:cs="仿宋"/>
          <w:sz w:val="32"/>
          <w:szCs w:val="32"/>
        </w:rPr>
        <w:t>万元、机关事业单位基本养老保险缴费</w:t>
      </w:r>
      <w:r>
        <w:rPr>
          <w:rFonts w:hint="eastAsia" w:ascii="仿宋" w:hAnsi="仿宋" w:eastAsia="仿宋" w:cs="仿宋"/>
          <w:sz w:val="32"/>
          <w:szCs w:val="32"/>
          <w:lang w:val="en-US" w:eastAsia="zh-CN"/>
        </w:rPr>
        <w:t>83.96</w:t>
      </w:r>
      <w:r>
        <w:rPr>
          <w:rFonts w:hint="eastAsia" w:ascii="仿宋" w:hAnsi="仿宋" w:eastAsia="仿宋" w:cs="仿宋"/>
          <w:sz w:val="32"/>
          <w:szCs w:val="32"/>
        </w:rPr>
        <w:t>万元、职业年金缴费</w:t>
      </w:r>
      <w:r>
        <w:rPr>
          <w:rFonts w:hint="eastAsia" w:ascii="仿宋" w:hAnsi="仿宋" w:eastAsia="仿宋" w:cs="仿宋"/>
          <w:sz w:val="32"/>
          <w:szCs w:val="32"/>
          <w:lang w:val="en-US" w:eastAsia="zh-CN"/>
        </w:rPr>
        <w:t>13.77</w:t>
      </w:r>
      <w:r>
        <w:rPr>
          <w:rFonts w:hint="eastAsia" w:ascii="仿宋" w:hAnsi="仿宋" w:eastAsia="仿宋" w:cs="仿宋"/>
          <w:sz w:val="32"/>
          <w:szCs w:val="32"/>
        </w:rPr>
        <w:t>万元、其他社会保障缴费</w:t>
      </w:r>
      <w:r>
        <w:rPr>
          <w:rFonts w:hint="eastAsia" w:ascii="仿宋" w:hAnsi="仿宋" w:eastAsia="仿宋" w:cs="仿宋"/>
          <w:sz w:val="32"/>
          <w:szCs w:val="32"/>
          <w:lang w:val="en-US" w:eastAsia="zh-CN"/>
        </w:rPr>
        <w:t>1.44</w:t>
      </w:r>
      <w:r>
        <w:rPr>
          <w:rFonts w:hint="eastAsia" w:ascii="仿宋" w:hAnsi="仿宋" w:eastAsia="仿宋" w:cs="仿宋"/>
          <w:sz w:val="32"/>
          <w:szCs w:val="32"/>
        </w:rPr>
        <w:t>万元、</w:t>
      </w:r>
      <w:r>
        <w:rPr>
          <w:rFonts w:hint="eastAsia" w:ascii="仿宋" w:hAnsi="仿宋" w:eastAsia="仿宋" w:cs="仿宋"/>
          <w:sz w:val="32"/>
          <w:szCs w:val="32"/>
          <w:lang w:eastAsia="zh-CN"/>
        </w:rPr>
        <w:t>职工基本医疗保险缴费</w:t>
      </w:r>
      <w:r>
        <w:rPr>
          <w:rFonts w:hint="eastAsia" w:ascii="仿宋" w:hAnsi="仿宋" w:eastAsia="仿宋" w:cs="仿宋"/>
          <w:sz w:val="32"/>
          <w:szCs w:val="32"/>
          <w:lang w:val="en-US" w:eastAsia="zh-CN"/>
        </w:rPr>
        <w:t>24.04、</w:t>
      </w:r>
      <w:r>
        <w:rPr>
          <w:rFonts w:hint="eastAsia" w:ascii="仿宋" w:hAnsi="仿宋" w:eastAsia="仿宋" w:cs="仿宋"/>
          <w:sz w:val="32"/>
          <w:szCs w:val="32"/>
        </w:rPr>
        <w:t>生活补助</w:t>
      </w:r>
      <w:r>
        <w:rPr>
          <w:rFonts w:hint="eastAsia" w:ascii="仿宋" w:hAnsi="仿宋" w:eastAsia="仿宋" w:cs="仿宋"/>
          <w:sz w:val="32"/>
          <w:szCs w:val="32"/>
          <w:lang w:val="en-US" w:eastAsia="zh-CN"/>
        </w:rPr>
        <w:t>305.81</w:t>
      </w:r>
      <w:r>
        <w:rPr>
          <w:rFonts w:hint="eastAsia" w:ascii="仿宋" w:hAnsi="仿宋" w:eastAsia="仿宋" w:cs="仿宋"/>
          <w:sz w:val="32"/>
          <w:szCs w:val="32"/>
        </w:rPr>
        <w:t>万元、奖励金</w:t>
      </w:r>
      <w:r>
        <w:rPr>
          <w:rFonts w:hint="eastAsia" w:ascii="仿宋" w:hAnsi="仿宋" w:eastAsia="仿宋" w:cs="仿宋"/>
          <w:sz w:val="32"/>
          <w:szCs w:val="32"/>
          <w:lang w:val="en-US" w:eastAsia="zh-CN"/>
        </w:rPr>
        <w:t>5.59</w:t>
      </w:r>
      <w:r>
        <w:rPr>
          <w:rFonts w:hint="eastAsia" w:ascii="仿宋" w:hAnsi="仿宋" w:eastAsia="仿宋" w:cs="仿宋"/>
          <w:sz w:val="32"/>
          <w:szCs w:val="32"/>
        </w:rPr>
        <w:t>万元、住房公积金</w:t>
      </w:r>
      <w:r>
        <w:rPr>
          <w:rFonts w:hint="eastAsia" w:ascii="仿宋" w:hAnsi="仿宋" w:eastAsia="仿宋" w:cs="仿宋"/>
          <w:sz w:val="32"/>
          <w:szCs w:val="32"/>
          <w:lang w:val="en-US" w:eastAsia="zh-CN"/>
        </w:rPr>
        <w:t>56.34</w:t>
      </w:r>
      <w:r>
        <w:rPr>
          <w:rFonts w:hint="eastAsia" w:ascii="仿宋" w:hAnsi="仿宋" w:eastAsia="仿宋" w:cs="仿宋"/>
          <w:sz w:val="32"/>
          <w:szCs w:val="32"/>
        </w:rPr>
        <w:t>万元等。</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公用经费</w:t>
      </w:r>
      <w:r>
        <w:rPr>
          <w:rFonts w:hint="eastAsia" w:ascii="仿宋" w:hAnsi="仿宋" w:eastAsia="仿宋" w:cs="仿宋"/>
          <w:sz w:val="32"/>
          <w:szCs w:val="32"/>
          <w:lang w:val="en-US" w:eastAsia="zh-CN"/>
        </w:rPr>
        <w:t>223.14</w:t>
      </w:r>
      <w:r>
        <w:rPr>
          <w:rFonts w:hint="eastAsia" w:ascii="仿宋" w:hAnsi="仿宋" w:eastAsia="仿宋" w:cs="仿宋"/>
          <w:sz w:val="32"/>
          <w:szCs w:val="32"/>
        </w:rPr>
        <w:t>万元，主要包括：办公费</w:t>
      </w:r>
      <w:r>
        <w:rPr>
          <w:rFonts w:hint="eastAsia" w:ascii="仿宋" w:hAnsi="仿宋" w:eastAsia="仿宋" w:cs="仿宋"/>
          <w:sz w:val="32"/>
          <w:szCs w:val="32"/>
          <w:lang w:val="en-US" w:eastAsia="zh-CN"/>
        </w:rPr>
        <w:t>148.41</w:t>
      </w:r>
      <w:r>
        <w:rPr>
          <w:rFonts w:hint="eastAsia" w:ascii="仿宋" w:hAnsi="仿宋" w:eastAsia="仿宋" w:cs="仿宋"/>
          <w:sz w:val="32"/>
          <w:szCs w:val="32"/>
        </w:rPr>
        <w:t>万元、</w:t>
      </w:r>
      <w:r>
        <w:rPr>
          <w:rFonts w:hint="eastAsia" w:ascii="仿宋" w:hAnsi="仿宋" w:eastAsia="仿宋" w:cs="仿宋"/>
          <w:sz w:val="32"/>
          <w:szCs w:val="32"/>
          <w:lang w:eastAsia="zh-CN"/>
        </w:rPr>
        <w:t>水费</w:t>
      </w:r>
      <w:r>
        <w:rPr>
          <w:rFonts w:hint="eastAsia" w:ascii="仿宋" w:hAnsi="仿宋" w:eastAsia="仿宋" w:cs="仿宋"/>
          <w:sz w:val="32"/>
          <w:szCs w:val="32"/>
          <w:lang w:val="en-US" w:eastAsia="zh-CN"/>
        </w:rPr>
        <w:t>0.73</w:t>
      </w:r>
      <w:r>
        <w:rPr>
          <w:rFonts w:hint="eastAsia" w:ascii="仿宋" w:hAnsi="仿宋" w:eastAsia="仿宋" w:cs="仿宋"/>
          <w:sz w:val="32"/>
          <w:szCs w:val="32"/>
        </w:rPr>
        <w:t>万元、</w:t>
      </w:r>
      <w:r>
        <w:rPr>
          <w:rFonts w:hint="eastAsia" w:ascii="仿宋" w:hAnsi="仿宋" w:eastAsia="仿宋" w:cs="仿宋"/>
          <w:sz w:val="32"/>
          <w:szCs w:val="32"/>
          <w:lang w:eastAsia="zh-CN"/>
        </w:rPr>
        <w:t>电费</w:t>
      </w:r>
      <w:r>
        <w:rPr>
          <w:rFonts w:hint="eastAsia" w:ascii="仿宋" w:hAnsi="仿宋" w:eastAsia="仿宋" w:cs="仿宋"/>
          <w:sz w:val="32"/>
          <w:szCs w:val="32"/>
          <w:lang w:val="en-US" w:eastAsia="zh-CN"/>
        </w:rPr>
        <w:t>5.72万元、</w:t>
      </w:r>
      <w:r>
        <w:rPr>
          <w:rFonts w:hint="eastAsia" w:ascii="仿宋" w:hAnsi="仿宋" w:eastAsia="仿宋" w:cs="仿宋"/>
          <w:sz w:val="32"/>
          <w:szCs w:val="32"/>
        </w:rPr>
        <w:t>邮电费</w:t>
      </w:r>
      <w:r>
        <w:rPr>
          <w:rFonts w:hint="eastAsia" w:ascii="仿宋" w:hAnsi="仿宋" w:eastAsia="仿宋" w:cs="仿宋"/>
          <w:sz w:val="32"/>
          <w:szCs w:val="32"/>
          <w:lang w:val="en-US" w:eastAsia="zh-CN"/>
        </w:rPr>
        <w:t>10.76</w:t>
      </w:r>
      <w:r>
        <w:rPr>
          <w:rFonts w:hint="eastAsia" w:ascii="仿宋" w:hAnsi="仿宋" w:eastAsia="仿宋" w:cs="仿宋"/>
          <w:sz w:val="32"/>
          <w:szCs w:val="32"/>
        </w:rPr>
        <w:t>万元、物业管理费</w:t>
      </w:r>
      <w:r>
        <w:rPr>
          <w:rFonts w:hint="eastAsia" w:ascii="仿宋" w:hAnsi="仿宋" w:eastAsia="仿宋" w:cs="仿宋"/>
          <w:sz w:val="32"/>
          <w:szCs w:val="32"/>
          <w:lang w:val="en-US" w:eastAsia="zh-CN"/>
        </w:rPr>
        <w:t>18.25</w:t>
      </w:r>
      <w:r>
        <w:rPr>
          <w:rFonts w:hint="eastAsia" w:ascii="仿宋" w:hAnsi="仿宋" w:eastAsia="仿宋" w:cs="仿宋"/>
          <w:sz w:val="32"/>
          <w:szCs w:val="32"/>
        </w:rPr>
        <w:t>万元、差旅费</w:t>
      </w:r>
      <w:r>
        <w:rPr>
          <w:rFonts w:hint="eastAsia" w:ascii="仿宋" w:hAnsi="仿宋" w:eastAsia="仿宋" w:cs="仿宋"/>
          <w:sz w:val="32"/>
          <w:szCs w:val="32"/>
          <w:lang w:val="en-US" w:eastAsia="zh-CN"/>
        </w:rPr>
        <w:t>8.74</w:t>
      </w:r>
      <w:r>
        <w:rPr>
          <w:rFonts w:hint="eastAsia" w:ascii="仿宋" w:hAnsi="仿宋" w:eastAsia="仿宋" w:cs="仿宋"/>
          <w:sz w:val="32"/>
          <w:szCs w:val="32"/>
        </w:rPr>
        <w:t>万元、福利费</w:t>
      </w:r>
      <w:r>
        <w:rPr>
          <w:rFonts w:hint="eastAsia" w:ascii="仿宋" w:hAnsi="仿宋" w:eastAsia="仿宋" w:cs="仿宋"/>
          <w:sz w:val="32"/>
          <w:szCs w:val="32"/>
          <w:lang w:val="en-US" w:eastAsia="zh-CN"/>
        </w:rPr>
        <w:t>14.02</w:t>
      </w:r>
      <w:r>
        <w:rPr>
          <w:rFonts w:hint="eastAsia" w:ascii="仿宋" w:hAnsi="仿宋" w:eastAsia="仿宋" w:cs="仿宋"/>
          <w:sz w:val="32"/>
          <w:szCs w:val="32"/>
        </w:rPr>
        <w:t>万元、其他交通费</w:t>
      </w:r>
      <w:r>
        <w:rPr>
          <w:rFonts w:hint="eastAsia" w:ascii="仿宋" w:hAnsi="仿宋" w:eastAsia="仿宋" w:cs="仿宋"/>
          <w:sz w:val="32"/>
          <w:szCs w:val="32"/>
          <w:lang w:val="en-US" w:eastAsia="zh-CN"/>
        </w:rPr>
        <w:t>16.5</w:t>
      </w:r>
      <w:r>
        <w:rPr>
          <w:rFonts w:hint="eastAsia" w:ascii="仿宋" w:hAnsi="仿宋" w:eastAsia="仿宋" w:cs="仿宋"/>
          <w:sz w:val="32"/>
          <w:szCs w:val="32"/>
        </w:rPr>
        <w:t>万元。</w:t>
      </w:r>
    </w:p>
    <w:p>
      <w:pPr>
        <w:pStyle w:val="5"/>
        <w:keepNext w:val="0"/>
        <w:keepLines w:val="0"/>
        <w:pageBreakBefore w:val="0"/>
        <w:widowControl w:val="0"/>
        <w:numPr>
          <w:ilvl w:val="0"/>
          <w:numId w:val="2"/>
        </w:numPr>
        <w:kinsoku/>
        <w:wordWrap/>
        <w:overflowPunct w:val="0"/>
        <w:topLinePunct w:val="0"/>
        <w:autoSpaceDE/>
        <w:autoSpaceDN/>
        <w:bidi w:val="0"/>
        <w:adjustRightInd w:val="0"/>
        <w:snapToGrid/>
        <w:spacing w:before="0" w:after="0" w:line="576" w:lineRule="exact"/>
        <w:ind w:firstLine="640" w:firstLineChars="200"/>
        <w:jc w:val="both"/>
        <w:textAlignment w:val="auto"/>
        <w:rPr>
          <w:rFonts w:ascii="宋体" w:hAnsi="宋体" w:eastAsia="黑体" w:cs="黑体"/>
          <w:b w:val="0"/>
          <w:bCs w:val="0"/>
        </w:rPr>
      </w:pPr>
      <w:bookmarkStart w:id="37" w:name="_Toc15396609"/>
      <w:bookmarkStart w:id="38" w:name="_Toc146619330"/>
      <w:bookmarkStart w:id="39" w:name="_Toc15377215"/>
      <w:r>
        <w:rPr>
          <w:rFonts w:hint="eastAsia" w:ascii="宋体" w:hAnsi="宋体" w:eastAsia="黑体" w:cs="黑体"/>
          <w:b w:val="0"/>
          <w:bCs w:val="0"/>
        </w:rPr>
        <w:t>财政拨款“三公”经费支出决算情况说明</w:t>
      </w:r>
      <w:bookmarkEnd w:id="37"/>
      <w:bookmarkEnd w:id="38"/>
      <w:bookmarkEnd w:id="39"/>
    </w:p>
    <w:p>
      <w:pPr>
        <w:pStyle w:val="6"/>
        <w:keepNext w:val="0"/>
        <w:keepLines w:val="0"/>
        <w:pageBreakBefore w:val="0"/>
        <w:widowControl w:val="0"/>
        <w:numPr>
          <w:ilvl w:val="0"/>
          <w:numId w:val="5"/>
        </w:numPr>
        <w:kinsoku/>
        <w:wordWrap/>
        <w:overflowPunct w:val="0"/>
        <w:topLinePunct w:val="0"/>
        <w:autoSpaceDE/>
        <w:autoSpaceDN/>
        <w:bidi w:val="0"/>
        <w:adjustRightInd w:val="0"/>
        <w:snapToGrid/>
        <w:spacing w:before="0" w:after="0" w:line="576" w:lineRule="exact"/>
        <w:ind w:firstLine="640" w:firstLineChars="200"/>
        <w:jc w:val="both"/>
        <w:textAlignment w:val="auto"/>
        <w:rPr>
          <w:rFonts w:ascii="宋体" w:hAnsi="宋体" w:eastAsia="楷体" w:cs="楷体"/>
          <w:b w:val="0"/>
          <w:bCs w:val="0"/>
        </w:rPr>
      </w:pPr>
      <w:bookmarkStart w:id="40" w:name="_Toc146619331"/>
      <w:bookmarkStart w:id="41" w:name="_Toc15377216"/>
      <w:r>
        <w:rPr>
          <w:rFonts w:hint="eastAsia" w:ascii="宋体" w:hAnsi="宋体" w:eastAsia="楷体" w:cs="楷体"/>
          <w:b w:val="0"/>
          <w:bCs w:val="0"/>
        </w:rPr>
        <w:t>“三公”经费财政拨款支出决算总体情况说明</w:t>
      </w:r>
      <w:bookmarkEnd w:id="40"/>
      <w:bookmarkEnd w:id="41"/>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ascii="宋体" w:hAnsi="宋体" w:eastAsia="仿宋"/>
          <w:b/>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年“三公”经费财政拨款支出决算为0万元，决算数与预算数持平。</w:t>
      </w:r>
    </w:p>
    <w:p>
      <w:pPr>
        <w:pStyle w:val="6"/>
        <w:keepNext w:val="0"/>
        <w:keepLines w:val="0"/>
        <w:pageBreakBefore w:val="0"/>
        <w:widowControl w:val="0"/>
        <w:numPr>
          <w:ilvl w:val="0"/>
          <w:numId w:val="5"/>
        </w:numPr>
        <w:kinsoku/>
        <w:wordWrap/>
        <w:overflowPunct w:val="0"/>
        <w:topLinePunct w:val="0"/>
        <w:autoSpaceDE/>
        <w:autoSpaceDN/>
        <w:bidi w:val="0"/>
        <w:adjustRightInd w:val="0"/>
        <w:snapToGrid/>
        <w:spacing w:before="0" w:after="0" w:line="576" w:lineRule="exact"/>
        <w:ind w:firstLine="640" w:firstLineChars="200"/>
        <w:jc w:val="both"/>
        <w:textAlignment w:val="auto"/>
        <w:rPr>
          <w:rFonts w:ascii="宋体" w:hAnsi="宋体" w:eastAsia="楷体" w:cs="楷体"/>
          <w:b w:val="0"/>
          <w:bCs w:val="0"/>
        </w:rPr>
      </w:pPr>
      <w:bookmarkStart w:id="42" w:name="_Toc15377217"/>
      <w:bookmarkStart w:id="43" w:name="_Toc146619332"/>
      <w:r>
        <w:rPr>
          <w:rFonts w:hint="eastAsia" w:ascii="宋体" w:hAnsi="宋体" w:eastAsia="楷体" w:cs="楷体"/>
          <w:b w:val="0"/>
          <w:bCs w:val="0"/>
        </w:rPr>
        <w:t>“三公”经费财政拨款支出决算具体情况说明</w:t>
      </w:r>
      <w:bookmarkEnd w:id="42"/>
      <w:bookmarkEnd w:id="43"/>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年“三公”经费财政拨款支出决算中，因公出国（境）费支出决算0万元;公务用车购置及运行维护费支出决算0万元；公务接待费支出决算0万元。</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1.因公出国（境）经费支出</w:t>
      </w:r>
      <w:r>
        <w:rPr>
          <w:rFonts w:hint="eastAsia" w:ascii="仿宋" w:hAnsi="仿宋" w:eastAsia="仿宋" w:cs="仿宋"/>
          <w:sz w:val="32"/>
          <w:szCs w:val="32"/>
        </w:rPr>
        <w:t>0万元，支出决算与</w:t>
      </w:r>
      <w:r>
        <w:rPr>
          <w:rFonts w:hint="eastAsia" w:ascii="仿宋" w:hAnsi="仿宋" w:eastAsia="仿宋" w:cs="仿宋"/>
          <w:sz w:val="32"/>
          <w:szCs w:val="32"/>
          <w:lang w:eastAsia="zh-CN"/>
        </w:rPr>
        <w:t>2023</w:t>
      </w:r>
      <w:r>
        <w:rPr>
          <w:rFonts w:hint="eastAsia" w:ascii="仿宋" w:hAnsi="仿宋" w:eastAsia="仿宋" w:cs="仿宋"/>
          <w:sz w:val="32"/>
          <w:szCs w:val="32"/>
        </w:rPr>
        <w:t>年持平</w:t>
      </w:r>
      <w:r>
        <w:rPr>
          <w:rStyle w:val="19"/>
          <w:rFonts w:hint="eastAsia" w:ascii="仿宋" w:hAnsi="仿宋" w:eastAsia="仿宋" w:cs="仿宋"/>
          <w:b w:val="0"/>
          <w:bCs/>
          <w:sz w:val="32"/>
          <w:szCs w:val="32"/>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2.公务用车购置及运行维护费支出</w:t>
      </w:r>
      <w:r>
        <w:rPr>
          <w:rFonts w:hint="eastAsia" w:ascii="仿宋" w:hAnsi="仿宋" w:eastAsia="仿宋" w:cs="仿宋"/>
          <w:sz w:val="32"/>
          <w:szCs w:val="32"/>
        </w:rPr>
        <w:t>0万元，支出决算与</w:t>
      </w:r>
      <w:r>
        <w:rPr>
          <w:rFonts w:hint="eastAsia" w:ascii="仿宋" w:hAnsi="仿宋" w:eastAsia="仿宋" w:cs="仿宋"/>
          <w:sz w:val="32"/>
          <w:szCs w:val="32"/>
          <w:lang w:eastAsia="zh-CN"/>
        </w:rPr>
        <w:t>2023</w:t>
      </w:r>
      <w:r>
        <w:rPr>
          <w:rFonts w:hint="eastAsia" w:ascii="仿宋" w:hAnsi="仿宋" w:eastAsia="仿宋" w:cs="仿宋"/>
          <w:sz w:val="32"/>
          <w:szCs w:val="32"/>
        </w:rPr>
        <w:t>年持平。</w:t>
      </w:r>
      <w:r>
        <w:rPr>
          <w:rFonts w:hint="eastAsia" w:ascii="仿宋" w:hAnsi="仿宋" w:eastAsia="仿宋" w:cs="仿宋"/>
          <w:b/>
          <w:sz w:val="32"/>
          <w:szCs w:val="32"/>
        </w:rPr>
        <w:t>公务用车运行维护费支出</w:t>
      </w:r>
      <w:r>
        <w:rPr>
          <w:rFonts w:hint="eastAsia" w:ascii="仿宋" w:hAnsi="仿宋" w:eastAsia="仿宋" w:cs="仿宋"/>
          <w:sz w:val="32"/>
          <w:szCs w:val="32"/>
        </w:rPr>
        <w:t>0万元，截止</w:t>
      </w:r>
      <w:r>
        <w:rPr>
          <w:rFonts w:hint="eastAsia" w:ascii="仿宋" w:hAnsi="仿宋" w:eastAsia="仿宋" w:cs="仿宋"/>
          <w:sz w:val="32"/>
          <w:szCs w:val="32"/>
          <w:lang w:eastAsia="zh-CN"/>
        </w:rPr>
        <w:t>2024</w:t>
      </w:r>
      <w:r>
        <w:rPr>
          <w:rFonts w:hint="eastAsia" w:ascii="仿宋" w:hAnsi="仿宋" w:eastAsia="仿宋" w:cs="仿宋"/>
          <w:sz w:val="32"/>
          <w:szCs w:val="32"/>
        </w:rPr>
        <w:t>年12月底，单位有公务用车0辆。</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3.公务接待费支出</w:t>
      </w:r>
      <w:r>
        <w:rPr>
          <w:rFonts w:hint="eastAsia" w:ascii="仿宋" w:hAnsi="仿宋" w:eastAsia="仿宋" w:cs="仿宋"/>
          <w:sz w:val="32"/>
          <w:szCs w:val="32"/>
        </w:rPr>
        <w:t>0万元</w:t>
      </w:r>
      <w:r>
        <w:rPr>
          <w:rStyle w:val="19"/>
          <w:rFonts w:hint="eastAsia" w:ascii="仿宋" w:hAnsi="仿宋" w:eastAsia="仿宋" w:cs="仿宋"/>
          <w:b w:val="0"/>
          <w:bCs/>
          <w:sz w:val="32"/>
          <w:szCs w:val="32"/>
        </w:rPr>
        <w:t>。</w:t>
      </w:r>
      <w:r>
        <w:rPr>
          <w:rFonts w:hint="eastAsia" w:ascii="仿宋" w:hAnsi="仿宋" w:eastAsia="仿宋" w:cs="仿宋"/>
          <w:sz w:val="32"/>
          <w:szCs w:val="32"/>
        </w:rPr>
        <w:t>支出决算与</w:t>
      </w:r>
      <w:r>
        <w:rPr>
          <w:rFonts w:hint="eastAsia" w:ascii="仿宋" w:hAnsi="仿宋" w:eastAsia="仿宋" w:cs="仿宋"/>
          <w:sz w:val="32"/>
          <w:szCs w:val="32"/>
          <w:lang w:eastAsia="zh-CN"/>
        </w:rPr>
        <w:t>2023</w:t>
      </w:r>
      <w:r>
        <w:rPr>
          <w:rFonts w:hint="eastAsia" w:ascii="仿宋" w:hAnsi="仿宋" w:eastAsia="仿宋" w:cs="仿宋"/>
          <w:sz w:val="32"/>
          <w:szCs w:val="32"/>
        </w:rPr>
        <w:t>年持平。</w:t>
      </w:r>
      <w:r>
        <w:rPr>
          <w:rFonts w:hint="eastAsia" w:ascii="仿宋" w:hAnsi="仿宋" w:eastAsia="仿宋" w:cs="仿宋"/>
          <w:b/>
          <w:sz w:val="32"/>
          <w:szCs w:val="32"/>
        </w:rPr>
        <w:t>国内公务接待支出</w:t>
      </w:r>
      <w:r>
        <w:rPr>
          <w:rFonts w:hint="eastAsia" w:ascii="仿宋" w:hAnsi="仿宋" w:eastAsia="仿宋" w:cs="仿宋"/>
          <w:sz w:val="32"/>
          <w:szCs w:val="32"/>
        </w:rPr>
        <w:t>0万元，</w:t>
      </w:r>
      <w:r>
        <w:rPr>
          <w:rFonts w:hint="eastAsia" w:ascii="仿宋" w:hAnsi="仿宋" w:eastAsia="仿宋" w:cs="仿宋"/>
          <w:b/>
          <w:sz w:val="32"/>
          <w:szCs w:val="32"/>
        </w:rPr>
        <w:t>外事接待支出</w:t>
      </w:r>
      <w:r>
        <w:rPr>
          <w:rFonts w:hint="eastAsia" w:ascii="仿宋" w:hAnsi="仿宋" w:eastAsia="仿宋" w:cs="仿宋"/>
          <w:sz w:val="32"/>
          <w:szCs w:val="32"/>
        </w:rPr>
        <w:t>0万元</w:t>
      </w:r>
      <w:bookmarkStart w:id="44" w:name="_Toc15396610"/>
      <w:bookmarkStart w:id="45" w:name="_Toc15377218"/>
      <w:r>
        <w:rPr>
          <w:rFonts w:hint="eastAsia" w:ascii="仿宋" w:hAnsi="仿宋" w:eastAsia="仿宋" w:cs="仿宋"/>
          <w:sz w:val="32"/>
          <w:szCs w:val="32"/>
        </w:rPr>
        <w:t>。</w:t>
      </w:r>
    </w:p>
    <w:p>
      <w:pPr>
        <w:keepNext w:val="0"/>
        <w:keepLines w:val="0"/>
        <w:pageBreakBefore w:val="0"/>
        <w:widowControl w:val="0"/>
        <w:numPr>
          <w:ilvl w:val="0"/>
          <w:numId w:val="2"/>
        </w:numPr>
        <w:kinsoku/>
        <w:wordWrap/>
        <w:overflowPunct w:val="0"/>
        <w:topLinePunct w:val="0"/>
        <w:autoSpaceDE/>
        <w:autoSpaceDN/>
        <w:bidi w:val="0"/>
        <w:adjustRightInd w:val="0"/>
        <w:snapToGrid/>
        <w:spacing w:line="576" w:lineRule="exact"/>
        <w:ind w:firstLine="640" w:firstLineChars="200"/>
        <w:jc w:val="both"/>
        <w:textAlignment w:val="auto"/>
        <w:outlineLvl w:val="1"/>
        <w:rPr>
          <w:rStyle w:val="32"/>
          <w:rFonts w:ascii="宋体" w:hAnsi="宋体" w:eastAsia="黑体"/>
        </w:rPr>
      </w:pPr>
      <w:bookmarkStart w:id="46" w:name="_Toc146619333"/>
      <w:r>
        <w:rPr>
          <w:rStyle w:val="32"/>
          <w:rFonts w:hint="eastAsia" w:ascii="宋体" w:hAnsi="宋体" w:eastAsia="黑体"/>
          <w:b w:val="0"/>
        </w:rPr>
        <w:t>政府性基金预算支出决算情况说明</w:t>
      </w:r>
      <w:bookmarkEnd w:id="44"/>
      <w:bookmarkEnd w:id="45"/>
      <w:bookmarkEnd w:id="46"/>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年政府性基金预算财政拨款支出</w:t>
      </w:r>
      <w:r>
        <w:rPr>
          <w:rFonts w:hint="eastAsia" w:ascii="仿宋" w:hAnsi="仿宋" w:eastAsia="仿宋" w:cs="仿宋"/>
          <w:sz w:val="32"/>
          <w:szCs w:val="32"/>
          <w:lang w:val="en-US" w:eastAsia="zh-CN"/>
        </w:rPr>
        <w:t>27</w:t>
      </w:r>
      <w:r>
        <w:rPr>
          <w:rFonts w:hint="eastAsia" w:ascii="仿宋" w:hAnsi="仿宋" w:eastAsia="仿宋" w:cs="仿宋"/>
          <w:sz w:val="32"/>
          <w:szCs w:val="32"/>
        </w:rPr>
        <w:t>万元，用于支付债务资金，决算数与预算数持平。</w:t>
      </w:r>
      <w:bookmarkStart w:id="47" w:name="_Toc15396611"/>
      <w:bookmarkStart w:id="48" w:name="_Toc15377219"/>
    </w:p>
    <w:p>
      <w:pPr>
        <w:pStyle w:val="5"/>
        <w:keepNext w:val="0"/>
        <w:keepLines w:val="0"/>
        <w:pageBreakBefore w:val="0"/>
        <w:widowControl w:val="0"/>
        <w:numPr>
          <w:ilvl w:val="0"/>
          <w:numId w:val="2"/>
        </w:numPr>
        <w:kinsoku/>
        <w:wordWrap/>
        <w:overflowPunct w:val="0"/>
        <w:topLinePunct w:val="0"/>
        <w:autoSpaceDE/>
        <w:autoSpaceDN/>
        <w:bidi w:val="0"/>
        <w:adjustRightInd w:val="0"/>
        <w:snapToGrid/>
        <w:spacing w:before="0" w:after="0" w:line="576" w:lineRule="exact"/>
        <w:ind w:firstLine="640" w:firstLineChars="200"/>
        <w:jc w:val="both"/>
        <w:textAlignment w:val="auto"/>
        <w:rPr>
          <w:rFonts w:ascii="宋体" w:hAnsi="宋体" w:eastAsia="黑体" w:cs="黑体"/>
          <w:b w:val="0"/>
          <w:bCs w:val="0"/>
        </w:rPr>
      </w:pPr>
      <w:bookmarkStart w:id="49" w:name="_Toc146619334"/>
      <w:r>
        <w:rPr>
          <w:rFonts w:hint="eastAsia" w:ascii="宋体" w:hAnsi="宋体" w:eastAsia="黑体" w:cs="黑体"/>
          <w:b w:val="0"/>
          <w:bCs w:val="0"/>
        </w:rPr>
        <w:t>国有资本经营预算支出决算情况说明</w:t>
      </w:r>
      <w:bookmarkEnd w:id="47"/>
      <w:bookmarkEnd w:id="48"/>
      <w:bookmarkEnd w:id="49"/>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ascii="宋体" w:hAnsi="宋体" w:eastAsia="方正小标宋简体" w:cs="方正小标宋简体"/>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年国有资本经营预算财政拨款支出0万元。</w:t>
      </w:r>
    </w:p>
    <w:p>
      <w:pPr>
        <w:pStyle w:val="5"/>
        <w:keepNext w:val="0"/>
        <w:keepLines w:val="0"/>
        <w:pageBreakBefore w:val="0"/>
        <w:widowControl w:val="0"/>
        <w:numPr>
          <w:ilvl w:val="0"/>
          <w:numId w:val="2"/>
        </w:numPr>
        <w:kinsoku/>
        <w:wordWrap/>
        <w:overflowPunct w:val="0"/>
        <w:topLinePunct w:val="0"/>
        <w:autoSpaceDE/>
        <w:autoSpaceDN/>
        <w:bidi w:val="0"/>
        <w:adjustRightInd w:val="0"/>
        <w:snapToGrid/>
        <w:spacing w:before="0" w:after="0" w:line="576" w:lineRule="exact"/>
        <w:ind w:firstLine="640" w:firstLineChars="200"/>
        <w:jc w:val="both"/>
        <w:textAlignment w:val="auto"/>
        <w:rPr>
          <w:rFonts w:ascii="宋体" w:hAnsi="宋体" w:eastAsia="黑体" w:cs="黑体"/>
          <w:b w:val="0"/>
          <w:bCs w:val="0"/>
        </w:rPr>
      </w:pPr>
      <w:bookmarkStart w:id="50" w:name="_Toc146619335"/>
      <w:bookmarkStart w:id="51" w:name="_Toc15396612"/>
      <w:bookmarkStart w:id="52" w:name="_Toc15377221"/>
      <w:r>
        <w:rPr>
          <w:rFonts w:hint="eastAsia" w:ascii="宋体" w:hAnsi="宋体" w:eastAsia="黑体" w:cs="黑体"/>
          <w:b w:val="0"/>
          <w:bCs w:val="0"/>
        </w:rPr>
        <w:t>其他重要事项的情况说明</w:t>
      </w:r>
      <w:bookmarkEnd w:id="50"/>
      <w:bookmarkEnd w:id="51"/>
      <w:bookmarkEnd w:id="52"/>
    </w:p>
    <w:p>
      <w:pPr>
        <w:keepNext w:val="0"/>
        <w:keepLines w:val="0"/>
        <w:pageBreakBefore w:val="0"/>
        <w:widowControl w:val="0"/>
        <w:numPr>
          <w:ilvl w:val="0"/>
          <w:numId w:val="6"/>
        </w:numPr>
        <w:kinsoku/>
        <w:wordWrap/>
        <w:overflowPunct w:val="0"/>
        <w:topLinePunct w:val="0"/>
        <w:autoSpaceDE/>
        <w:autoSpaceDN/>
        <w:bidi w:val="0"/>
        <w:adjustRightInd w:val="0"/>
        <w:snapToGrid/>
        <w:spacing w:line="576" w:lineRule="exact"/>
        <w:ind w:firstLine="640" w:firstLineChars="200"/>
        <w:jc w:val="both"/>
        <w:textAlignment w:val="auto"/>
        <w:outlineLvl w:val="2"/>
        <w:rPr>
          <w:rFonts w:ascii="宋体" w:hAnsi="宋体" w:eastAsia="仿宋"/>
          <w:sz w:val="32"/>
          <w:szCs w:val="32"/>
        </w:rPr>
      </w:pPr>
      <w:bookmarkStart w:id="53" w:name="_Toc15377222"/>
      <w:bookmarkStart w:id="54" w:name="_Toc146619336"/>
      <w:r>
        <w:rPr>
          <w:rStyle w:val="35"/>
          <w:rFonts w:hint="eastAsia" w:ascii="宋体" w:hAnsi="宋体" w:eastAsia="楷体" w:cs="楷体"/>
          <w:b w:val="0"/>
          <w:bCs w:val="0"/>
        </w:rPr>
        <w:t>机关运行经费支出情况</w:t>
      </w:r>
      <w:bookmarkEnd w:id="53"/>
      <w:bookmarkEnd w:id="54"/>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宋体" w:hAnsi="宋体" w:eastAsia="仿宋" w:cs="仿宋"/>
          <w:sz w:val="32"/>
          <w:szCs w:val="32"/>
          <w:highlight w:val="none"/>
          <w:lang w:eastAsia="zh-CN"/>
        </w:rPr>
      </w:pPr>
      <w:r>
        <w:rPr>
          <w:rFonts w:hint="eastAsia" w:ascii="仿宋" w:hAnsi="仿宋" w:eastAsia="仿宋" w:cs="仿宋"/>
          <w:sz w:val="32"/>
          <w:szCs w:val="32"/>
          <w:lang w:eastAsia="zh-CN"/>
        </w:rPr>
        <w:t>2024</w:t>
      </w:r>
      <w:r>
        <w:rPr>
          <w:rFonts w:hint="eastAsia" w:ascii="仿宋" w:hAnsi="仿宋" w:eastAsia="仿宋" w:cs="仿宋"/>
          <w:sz w:val="32"/>
          <w:szCs w:val="32"/>
        </w:rPr>
        <w:t>年，雪峰街道机关运行经费支出</w:t>
      </w:r>
      <w:r>
        <w:rPr>
          <w:rFonts w:hint="eastAsia" w:ascii="仿宋" w:hAnsi="仿宋" w:eastAsia="仿宋" w:cs="仿宋"/>
          <w:sz w:val="32"/>
          <w:szCs w:val="32"/>
          <w:lang w:val="en-US" w:eastAsia="zh-CN"/>
        </w:rPr>
        <w:t>223.14</w:t>
      </w:r>
      <w:r>
        <w:rPr>
          <w:rFonts w:hint="eastAsia" w:ascii="仿宋" w:hAnsi="仿宋" w:eastAsia="仿宋" w:cs="仿宋"/>
          <w:sz w:val="32"/>
          <w:szCs w:val="32"/>
        </w:rPr>
        <w:t>万元，比</w:t>
      </w:r>
      <w:r>
        <w:rPr>
          <w:rFonts w:hint="eastAsia" w:ascii="仿宋" w:hAnsi="仿宋" w:eastAsia="仿宋" w:cs="仿宋"/>
          <w:sz w:val="32"/>
          <w:szCs w:val="32"/>
          <w:lang w:eastAsia="zh-CN"/>
        </w:rPr>
        <w:t>2023</w:t>
      </w:r>
      <w:r>
        <w:rPr>
          <w:rFonts w:hint="eastAsia" w:ascii="仿宋" w:hAnsi="仿宋" w:eastAsia="仿宋" w:cs="仿宋"/>
          <w:sz w:val="32"/>
          <w:szCs w:val="32"/>
        </w:rPr>
        <w:t>年</w:t>
      </w:r>
      <w:r>
        <w:rPr>
          <w:rFonts w:hint="eastAsia" w:ascii="仿宋" w:hAnsi="仿宋" w:eastAsia="仿宋" w:cs="仿宋"/>
          <w:sz w:val="32"/>
          <w:szCs w:val="32"/>
          <w:lang w:val="en-US" w:eastAsia="zh-CN"/>
        </w:rPr>
        <w:t>176.34</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46.8</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26.54</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主要原因</w:t>
      </w:r>
      <w:r>
        <w:rPr>
          <w:rFonts w:hint="eastAsia" w:ascii="仿宋" w:hAnsi="仿宋" w:eastAsia="仿宋" w:cs="仿宋"/>
          <w:sz w:val="32"/>
          <w:szCs w:val="32"/>
          <w:highlight w:val="none"/>
          <w:lang w:eastAsia="zh-CN"/>
        </w:rPr>
        <w:t>日常公用经费增加。</w:t>
      </w:r>
    </w:p>
    <w:p>
      <w:pPr>
        <w:pStyle w:val="6"/>
        <w:keepNext w:val="0"/>
        <w:keepLines w:val="0"/>
        <w:pageBreakBefore w:val="0"/>
        <w:widowControl w:val="0"/>
        <w:numPr>
          <w:ilvl w:val="0"/>
          <w:numId w:val="6"/>
        </w:numPr>
        <w:kinsoku/>
        <w:wordWrap/>
        <w:overflowPunct w:val="0"/>
        <w:topLinePunct w:val="0"/>
        <w:autoSpaceDE/>
        <w:autoSpaceDN/>
        <w:bidi w:val="0"/>
        <w:adjustRightInd w:val="0"/>
        <w:snapToGrid/>
        <w:spacing w:before="0" w:after="0" w:line="576" w:lineRule="exact"/>
        <w:ind w:firstLine="640" w:firstLineChars="200"/>
        <w:jc w:val="both"/>
        <w:textAlignment w:val="auto"/>
        <w:rPr>
          <w:rFonts w:ascii="宋体" w:hAnsi="宋体" w:eastAsia="楷体" w:cs="楷体"/>
          <w:b w:val="0"/>
          <w:bCs w:val="0"/>
        </w:rPr>
      </w:pPr>
      <w:bookmarkStart w:id="55" w:name="_Toc15377223"/>
      <w:bookmarkStart w:id="56" w:name="_Toc146619337"/>
      <w:r>
        <w:rPr>
          <w:rFonts w:hint="eastAsia" w:ascii="宋体" w:hAnsi="宋体" w:eastAsia="楷体" w:cs="楷体"/>
          <w:b w:val="0"/>
          <w:bCs w:val="0"/>
        </w:rPr>
        <w:t>政府采购支出情况</w:t>
      </w:r>
      <w:bookmarkEnd w:id="55"/>
      <w:bookmarkEnd w:id="56"/>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年，雪峰街道政府采购支出总额0万元。</w:t>
      </w:r>
    </w:p>
    <w:p>
      <w:pPr>
        <w:keepNext w:val="0"/>
        <w:keepLines w:val="0"/>
        <w:pageBreakBefore w:val="0"/>
        <w:widowControl w:val="0"/>
        <w:numPr>
          <w:ilvl w:val="0"/>
          <w:numId w:val="6"/>
        </w:numPr>
        <w:kinsoku/>
        <w:wordWrap/>
        <w:overflowPunct w:val="0"/>
        <w:topLinePunct w:val="0"/>
        <w:autoSpaceDE/>
        <w:autoSpaceDN/>
        <w:bidi w:val="0"/>
        <w:adjustRightInd w:val="0"/>
        <w:snapToGrid/>
        <w:spacing w:line="576" w:lineRule="exact"/>
        <w:ind w:firstLine="640" w:firstLineChars="200"/>
        <w:jc w:val="both"/>
        <w:textAlignment w:val="auto"/>
        <w:outlineLvl w:val="2"/>
        <w:rPr>
          <w:rFonts w:ascii="宋体" w:hAnsi="宋体" w:eastAsia="仿宋"/>
          <w:b/>
          <w:sz w:val="32"/>
          <w:szCs w:val="32"/>
        </w:rPr>
      </w:pPr>
      <w:bookmarkStart w:id="57" w:name="_Toc146619338"/>
      <w:bookmarkStart w:id="58" w:name="_Toc15377224"/>
      <w:r>
        <w:rPr>
          <w:rStyle w:val="35"/>
          <w:rFonts w:hint="eastAsia" w:ascii="宋体" w:hAnsi="宋体" w:eastAsia="楷体" w:cs="楷体"/>
          <w:b w:val="0"/>
          <w:bCs w:val="0"/>
        </w:rPr>
        <w:t>国有资产占有使用情况</w:t>
      </w:r>
      <w:bookmarkEnd w:id="57"/>
      <w:bookmarkEnd w:id="58"/>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截至</w:t>
      </w:r>
      <w:r>
        <w:rPr>
          <w:rFonts w:hint="eastAsia" w:ascii="仿宋" w:hAnsi="仿宋" w:eastAsia="仿宋" w:cs="仿宋"/>
          <w:sz w:val="32"/>
          <w:szCs w:val="32"/>
          <w:lang w:eastAsia="zh-CN"/>
        </w:rPr>
        <w:t>2024</w:t>
      </w:r>
      <w:r>
        <w:rPr>
          <w:rFonts w:hint="eastAsia" w:ascii="仿宋" w:hAnsi="仿宋" w:eastAsia="仿宋" w:cs="仿宋"/>
          <w:sz w:val="32"/>
          <w:szCs w:val="32"/>
        </w:rPr>
        <w:t>年12月31日，雪峰街道共有车辆0辆，单价100万以上专用设备0台（套）。</w:t>
      </w:r>
    </w:p>
    <w:p>
      <w:pPr>
        <w:keepNext w:val="0"/>
        <w:keepLines w:val="0"/>
        <w:pageBreakBefore w:val="0"/>
        <w:widowControl w:val="0"/>
        <w:numPr>
          <w:ilvl w:val="0"/>
          <w:numId w:val="6"/>
        </w:numPr>
        <w:kinsoku/>
        <w:wordWrap/>
        <w:overflowPunct w:val="0"/>
        <w:topLinePunct w:val="0"/>
        <w:autoSpaceDE/>
        <w:autoSpaceDN/>
        <w:bidi w:val="0"/>
        <w:adjustRightInd w:val="0"/>
        <w:snapToGrid/>
        <w:spacing w:line="576" w:lineRule="exact"/>
        <w:ind w:firstLine="640" w:firstLineChars="200"/>
        <w:jc w:val="both"/>
        <w:textAlignment w:val="auto"/>
        <w:outlineLvl w:val="2"/>
        <w:rPr>
          <w:rStyle w:val="35"/>
          <w:rFonts w:ascii="宋体" w:hAnsi="宋体" w:eastAsia="楷体" w:cs="楷体"/>
          <w:b w:val="0"/>
          <w:bCs w:val="0"/>
          <w:color w:val="auto"/>
          <w:highlight w:val="none"/>
        </w:rPr>
      </w:pPr>
      <w:bookmarkStart w:id="59" w:name="_Toc146619339"/>
      <w:r>
        <w:rPr>
          <w:rStyle w:val="35"/>
          <w:rFonts w:hint="eastAsia" w:ascii="宋体" w:hAnsi="宋体" w:eastAsia="楷体" w:cs="楷体"/>
          <w:b w:val="0"/>
          <w:bCs w:val="0"/>
          <w:color w:val="auto"/>
          <w:highlight w:val="none"/>
        </w:rPr>
        <w:t>预算绩效管理情况</w:t>
      </w:r>
      <w:bookmarkEnd w:id="59"/>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kern w:val="0"/>
          <w:sz w:val="32"/>
          <w:szCs w:val="32"/>
          <w:shd w:val="clear" w:color="auto" w:fill="FFFFFF"/>
          <w:lang w:val="zh-CN" w:eastAsia="zh-CN"/>
        </w:rPr>
      </w:pPr>
      <w:r>
        <w:rPr>
          <w:rFonts w:hint="eastAsia" w:ascii="仿宋" w:hAnsi="仿宋" w:eastAsia="仿宋" w:cs="仿宋"/>
          <w:sz w:val="32"/>
          <w:szCs w:val="32"/>
        </w:rPr>
        <w:t>根据预算绩效管理要求，本部门在</w:t>
      </w:r>
      <w:r>
        <w:rPr>
          <w:rFonts w:hint="eastAsia" w:ascii="仿宋" w:hAnsi="仿宋" w:eastAsia="仿宋" w:cs="仿宋"/>
          <w:sz w:val="32"/>
          <w:szCs w:val="32"/>
          <w:lang w:eastAsia="zh-CN"/>
        </w:rPr>
        <w:t>2024</w:t>
      </w:r>
      <w:r>
        <w:rPr>
          <w:rFonts w:hint="eastAsia" w:ascii="仿宋" w:hAnsi="仿宋" w:eastAsia="仿宋" w:cs="仿宋"/>
          <w:sz w:val="32"/>
          <w:szCs w:val="32"/>
        </w:rPr>
        <w:t>年度预算编制阶段，组织对</w:t>
      </w:r>
      <w:r>
        <w:rPr>
          <w:rFonts w:hint="eastAsia" w:ascii="仿宋" w:hAnsi="仿宋" w:eastAsia="仿宋" w:cs="仿宋"/>
          <w:sz w:val="32"/>
          <w:szCs w:val="32"/>
          <w:lang w:eastAsia="zh-CN"/>
        </w:rPr>
        <w:t>西部志愿者经费</w:t>
      </w:r>
      <w:r>
        <w:rPr>
          <w:rFonts w:hint="eastAsia" w:ascii="仿宋" w:hAnsi="仿宋" w:eastAsia="仿宋" w:cs="仿宋"/>
          <w:sz w:val="32"/>
          <w:szCs w:val="32"/>
        </w:rPr>
        <w:t>等</w:t>
      </w:r>
      <w:r>
        <w:rPr>
          <w:rFonts w:hint="eastAsia" w:ascii="仿宋" w:hAnsi="仿宋" w:eastAsia="仿宋" w:cs="仿宋"/>
          <w:sz w:val="32"/>
          <w:szCs w:val="32"/>
          <w:lang w:val="en-US" w:eastAsia="zh-CN"/>
        </w:rPr>
        <w:t>27</w:t>
      </w:r>
      <w:r>
        <w:rPr>
          <w:rFonts w:hint="eastAsia" w:ascii="仿宋" w:hAnsi="仿宋" w:eastAsia="仿宋" w:cs="仿宋"/>
          <w:sz w:val="32"/>
          <w:szCs w:val="32"/>
        </w:rPr>
        <w:t>个项目开展了预算事前绩效评估，对</w:t>
      </w:r>
      <w:r>
        <w:rPr>
          <w:rFonts w:hint="eastAsia" w:ascii="仿宋" w:hAnsi="仿宋" w:eastAsia="仿宋" w:cs="仿宋"/>
          <w:sz w:val="32"/>
          <w:szCs w:val="32"/>
          <w:lang w:val="en-US" w:eastAsia="zh-CN"/>
        </w:rPr>
        <w:t>27</w:t>
      </w:r>
      <w:r>
        <w:rPr>
          <w:rFonts w:hint="eastAsia" w:ascii="仿宋" w:hAnsi="仿宋" w:eastAsia="仿宋" w:cs="仿宋"/>
          <w:sz w:val="32"/>
          <w:szCs w:val="32"/>
        </w:rPr>
        <w:t>个项目编制了绩效目标，预算执行过程中，选取</w:t>
      </w:r>
      <w:r>
        <w:rPr>
          <w:rFonts w:hint="eastAsia" w:ascii="仿宋" w:hAnsi="仿宋" w:eastAsia="仿宋" w:cs="仿宋"/>
          <w:sz w:val="32"/>
          <w:szCs w:val="32"/>
          <w:lang w:val="en-US" w:eastAsia="zh-CN"/>
        </w:rPr>
        <w:t>27</w:t>
      </w:r>
      <w:r>
        <w:rPr>
          <w:rFonts w:hint="eastAsia" w:ascii="仿宋" w:hAnsi="仿宋" w:eastAsia="仿宋" w:cs="仿宋"/>
          <w:sz w:val="32"/>
          <w:szCs w:val="32"/>
        </w:rPr>
        <w:t>个项目开展绩效监控。组织对</w:t>
      </w:r>
      <w:r>
        <w:rPr>
          <w:rFonts w:hint="eastAsia" w:ascii="仿宋" w:hAnsi="仿宋" w:eastAsia="仿宋" w:cs="仿宋"/>
          <w:sz w:val="32"/>
          <w:szCs w:val="32"/>
          <w:lang w:eastAsia="zh-CN"/>
        </w:rPr>
        <w:t>2024</w:t>
      </w:r>
      <w:r>
        <w:rPr>
          <w:rFonts w:hint="eastAsia" w:ascii="仿宋" w:hAnsi="仿宋" w:eastAsia="仿宋" w:cs="仿宋"/>
          <w:sz w:val="32"/>
          <w:szCs w:val="32"/>
        </w:rPr>
        <w:t>年度一般公共预算、政府性基金预算、国有资本经营预算、社会保险基金预算以及资本资产、债券资金等全面开展绩效自评，形成雪峰街道部门</w:t>
      </w:r>
      <w:r>
        <w:rPr>
          <w:rFonts w:hint="eastAsia" w:ascii="仿宋" w:hAnsi="仿宋" w:eastAsia="仿宋" w:cs="仿宋"/>
          <w:sz w:val="32"/>
          <w:szCs w:val="32"/>
          <w:lang w:eastAsia="zh-CN"/>
        </w:rPr>
        <w:t>预算</w:t>
      </w:r>
      <w:r>
        <w:rPr>
          <w:rFonts w:hint="eastAsia" w:ascii="仿宋" w:hAnsi="仿宋" w:eastAsia="仿宋" w:cs="仿宋"/>
          <w:sz w:val="32"/>
          <w:szCs w:val="32"/>
        </w:rPr>
        <w:t>绩效自评报告、</w:t>
      </w:r>
      <w:r>
        <w:rPr>
          <w:rFonts w:hint="eastAsia" w:ascii="仿宋" w:hAnsi="仿宋" w:eastAsia="仿宋" w:cs="仿宋"/>
          <w:sz w:val="32"/>
          <w:szCs w:val="32"/>
          <w:lang w:val="en-US" w:eastAsia="zh-CN"/>
        </w:rPr>
        <w:t>2024</w:t>
      </w:r>
      <w:r>
        <w:rPr>
          <w:rFonts w:hint="eastAsia" w:ascii="仿宋" w:hAnsi="仿宋" w:eastAsia="仿宋" w:cs="仿宋"/>
          <w:sz w:val="32"/>
          <w:szCs w:val="32"/>
          <w:lang w:val="en-US"/>
        </w:rPr>
        <w:t>年</w:t>
      </w:r>
      <w:r>
        <w:rPr>
          <w:rFonts w:hint="eastAsia" w:ascii="仿宋" w:hAnsi="仿宋" w:eastAsia="仿宋" w:cs="仿宋"/>
          <w:sz w:val="32"/>
          <w:szCs w:val="32"/>
          <w:lang w:val="en-US" w:eastAsia="zh-CN"/>
        </w:rPr>
        <w:t>雪峰街道文化图书室免费开放项目支出绩效自评报告</w:t>
      </w:r>
      <w:r>
        <w:rPr>
          <w:rFonts w:hint="eastAsia" w:ascii="仿宋" w:hAnsi="仿宋" w:eastAsia="仿宋" w:cs="仿宋"/>
          <w:sz w:val="32"/>
          <w:szCs w:val="32"/>
        </w:rPr>
        <w:t>等专项预算项目绩效自评报告，其中，雪峰街道部门</w:t>
      </w:r>
      <w:r>
        <w:rPr>
          <w:rFonts w:hint="eastAsia" w:ascii="仿宋" w:hAnsi="仿宋" w:eastAsia="仿宋" w:cs="仿宋"/>
          <w:sz w:val="32"/>
          <w:szCs w:val="32"/>
          <w:lang w:eastAsia="zh-CN"/>
        </w:rPr>
        <w:t>预算</w:t>
      </w:r>
      <w:r>
        <w:rPr>
          <w:rFonts w:hint="eastAsia" w:ascii="仿宋" w:hAnsi="仿宋" w:eastAsia="仿宋" w:cs="仿宋"/>
          <w:sz w:val="32"/>
          <w:szCs w:val="32"/>
        </w:rPr>
        <w:t>绩效自评得分为</w:t>
      </w:r>
      <w:r>
        <w:rPr>
          <w:rFonts w:hint="eastAsia" w:ascii="仿宋" w:hAnsi="仿宋" w:eastAsia="仿宋" w:cs="仿宋"/>
          <w:sz w:val="32"/>
          <w:szCs w:val="32"/>
          <w:highlight w:val="none"/>
          <w:lang w:val="en-US" w:eastAsia="zh-CN"/>
        </w:rPr>
        <w:t>96.4</w:t>
      </w:r>
      <w:r>
        <w:rPr>
          <w:rFonts w:hint="eastAsia" w:ascii="仿宋" w:hAnsi="仿宋" w:eastAsia="仿宋" w:cs="仿宋"/>
          <w:sz w:val="32"/>
          <w:szCs w:val="32"/>
        </w:rPr>
        <w:t>分，绩效自评综述：</w:t>
      </w:r>
      <w:r>
        <w:rPr>
          <w:rFonts w:hint="eastAsia" w:ascii="仿宋" w:hAnsi="仿宋" w:eastAsia="仿宋" w:cs="仿宋"/>
          <w:sz w:val="32"/>
          <w:szCs w:val="32"/>
          <w:lang w:val="en-US" w:eastAsia="zh-CN"/>
        </w:rPr>
        <w:t>总体来看，我办预算执行规范，资金使用效率较高，全年无结转结余，重点项目如森林防火、老党员补助等均按计划完成，民生支出保障到位。但在资产管理精细化、预算编制精准性方面仍有提升空间。2024文化图书室免费开放项目支出绩效自评</w:t>
      </w:r>
      <w:r>
        <w:rPr>
          <w:rFonts w:hint="eastAsia" w:ascii="仿宋" w:hAnsi="仿宋" w:eastAsia="仿宋" w:cs="仿宋"/>
          <w:sz w:val="32"/>
          <w:szCs w:val="32"/>
        </w:rPr>
        <w:t>得分为94分，绩效自评综述：</w:t>
      </w:r>
      <w:r>
        <w:rPr>
          <w:rFonts w:hint="eastAsia" w:ascii="仿宋" w:hAnsi="仿宋" w:eastAsia="仿宋" w:cs="仿宋"/>
          <w:sz w:val="32"/>
          <w:szCs w:val="32"/>
          <w:lang w:eastAsia="zh-CN"/>
        </w:rPr>
        <w:t>该</w:t>
      </w:r>
      <w:r>
        <w:rPr>
          <w:rFonts w:hint="eastAsia" w:ascii="宋体" w:hAnsi="宋体" w:eastAsia="方正仿宋简体" w:cs="仿宋_GB2312"/>
          <w:sz w:val="32"/>
          <w:szCs w:val="32"/>
          <w:lang w:val="zh-CN"/>
        </w:rPr>
        <w:t>项目有效保障了社区文化设施的免费开放，年度开展文化活动</w:t>
      </w:r>
      <w:r>
        <w:rPr>
          <w:rFonts w:hint="eastAsia" w:ascii="宋体" w:hAnsi="宋体" w:eastAsia="方正仿宋简体" w:cs="仿宋_GB2312"/>
          <w:sz w:val="32"/>
          <w:szCs w:val="32"/>
          <w:lang w:val="en-US" w:eastAsia="zh-CN"/>
        </w:rPr>
        <w:t>3</w:t>
      </w:r>
      <w:r>
        <w:rPr>
          <w:rFonts w:hint="eastAsia" w:ascii="宋体" w:hAnsi="宋体" w:eastAsia="方正仿宋简体" w:cs="仿宋_GB2312"/>
          <w:sz w:val="32"/>
          <w:szCs w:val="32"/>
          <w:lang w:val="zh-CN"/>
        </w:rPr>
        <w:t>场，惠及居民</w:t>
      </w:r>
      <w:r>
        <w:rPr>
          <w:rFonts w:hint="eastAsia" w:ascii="宋体" w:hAnsi="宋体" w:eastAsia="方正仿宋简体" w:cs="仿宋_GB2312"/>
          <w:sz w:val="32"/>
          <w:szCs w:val="32"/>
          <w:lang w:val="en-US" w:eastAsia="zh-CN"/>
        </w:rPr>
        <w:t>20</w:t>
      </w:r>
      <w:r>
        <w:rPr>
          <w:rFonts w:hint="eastAsia" w:ascii="宋体" w:hAnsi="宋体" w:eastAsia="方正仿宋简体" w:cs="仿宋_GB2312"/>
          <w:sz w:val="32"/>
          <w:szCs w:val="32"/>
          <w:lang w:val="zh-CN"/>
        </w:rPr>
        <w:t>00余人次。群众满意度高，基层文化服务能力显著提升，但偏远村社资源覆盖和活动频次仍需加强。</w:t>
      </w:r>
      <w:r>
        <w:rPr>
          <w:rFonts w:hint="eastAsia" w:ascii="仿宋" w:hAnsi="仿宋" w:eastAsia="仿宋" w:cs="仿宋"/>
          <w:color w:val="000000"/>
          <w:kern w:val="0"/>
          <w:sz w:val="32"/>
          <w:szCs w:val="32"/>
          <w:lang w:val="en-US" w:eastAsia="zh-CN" w:bidi="ar"/>
        </w:rPr>
        <w:t>2024</w:t>
      </w:r>
      <w:r>
        <w:rPr>
          <w:rFonts w:hint="eastAsia" w:ascii="仿宋" w:hAnsi="仿宋" w:eastAsia="仿宋" w:cs="仿宋"/>
          <w:sz w:val="32"/>
          <w:szCs w:val="32"/>
          <w:lang w:val="en-US" w:eastAsia="zh-CN"/>
        </w:rPr>
        <w:t>年雪峰街道金山村六组暴雨洪涝灾害灾后应急恢复项目</w:t>
      </w:r>
      <w:r>
        <w:rPr>
          <w:rFonts w:hint="eastAsia" w:ascii="仿宋" w:hAnsi="仿宋" w:eastAsia="仿宋" w:cs="仿宋"/>
          <w:kern w:val="0"/>
          <w:sz w:val="32"/>
          <w:szCs w:val="32"/>
          <w:shd w:val="clear" w:color="auto" w:fill="FFFFFF"/>
          <w:lang w:val="zh-CN" w:eastAsia="zh-CN"/>
        </w:rPr>
        <w:t>自评得分95分，</w:t>
      </w:r>
      <w:r>
        <w:rPr>
          <w:rFonts w:hint="eastAsia" w:ascii="仿宋" w:hAnsi="仿宋" w:eastAsia="仿宋" w:cs="仿宋"/>
          <w:sz w:val="32"/>
          <w:szCs w:val="32"/>
        </w:rPr>
        <w:t>绩效自评综述：</w:t>
      </w:r>
      <w:r>
        <w:rPr>
          <w:rFonts w:hint="eastAsia" w:ascii="仿宋" w:hAnsi="仿宋" w:eastAsia="仿宋" w:cs="仿宋"/>
          <w:kern w:val="0"/>
          <w:sz w:val="32"/>
          <w:szCs w:val="32"/>
          <w:shd w:val="clear" w:color="auto" w:fill="FFFFFF"/>
          <w:lang w:val="zh-CN" w:eastAsia="zh-CN"/>
        </w:rPr>
        <w:t>项目总体实施效果良好，资金使用合规，目标完成率100%，道路恢复及时保障了村民安全出行。</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绩效自评报告详见附件。</w:t>
      </w:r>
    </w:p>
    <w:p>
      <w:pPr>
        <w:pStyle w:val="2"/>
        <w:keepNext w:val="0"/>
        <w:keepLines w:val="0"/>
        <w:pageBreakBefore w:val="0"/>
        <w:kinsoku/>
        <w:wordWrap/>
        <w:topLinePunct w:val="0"/>
        <w:autoSpaceDE/>
        <w:autoSpaceDN/>
        <w:bidi w:val="0"/>
        <w:snapToGrid/>
        <w:spacing w:line="576" w:lineRule="exact"/>
        <w:jc w:val="both"/>
        <w:textAlignment w:val="auto"/>
      </w:pPr>
    </w:p>
    <w:p/>
    <w:p>
      <w:pPr>
        <w:pStyle w:val="2"/>
        <w:ind w:left="0" w:leftChars="0" w:firstLine="0" w:firstLineChars="0"/>
      </w:pPr>
    </w:p>
    <w:p/>
    <w:p>
      <w:pPr>
        <w:pStyle w:val="2"/>
      </w:pPr>
    </w:p>
    <w:p/>
    <w:p>
      <w:pPr>
        <w:pStyle w:val="2"/>
      </w:pPr>
    </w:p>
    <w:p/>
    <w:p>
      <w:pPr>
        <w:pStyle w:val="2"/>
      </w:pPr>
    </w:p>
    <w:p/>
    <w:p>
      <w:pPr>
        <w:pStyle w:val="4"/>
        <w:keepNext w:val="0"/>
        <w:keepLines w:val="0"/>
        <w:pageBreakBefore w:val="0"/>
        <w:widowControl w:val="0"/>
        <w:numPr>
          <w:ilvl w:val="0"/>
          <w:numId w:val="7"/>
        </w:numPr>
        <w:kinsoku/>
        <w:wordWrap/>
        <w:overflowPunct w:val="0"/>
        <w:topLinePunct w:val="0"/>
        <w:autoSpaceDE/>
        <w:autoSpaceDN/>
        <w:bidi w:val="0"/>
        <w:adjustRightInd w:val="0"/>
        <w:snapToGrid/>
        <w:spacing w:before="0" w:after="0" w:line="576" w:lineRule="exact"/>
        <w:jc w:val="center"/>
        <w:textAlignment w:val="auto"/>
        <w:rPr>
          <w:rFonts w:hint="eastAsia" w:ascii="宋体" w:hAnsi="宋体" w:eastAsia="黑体" w:cs="黑体"/>
          <w:b w:val="0"/>
          <w:bCs w:val="0"/>
          <w:highlight w:val="none"/>
        </w:rPr>
      </w:pPr>
      <w:bookmarkStart w:id="60" w:name="_Toc15396613"/>
      <w:bookmarkStart w:id="61" w:name="_Toc146619340"/>
      <w:bookmarkStart w:id="62" w:name="_Toc15377225"/>
      <w:r>
        <w:rPr>
          <w:rFonts w:hint="eastAsia" w:ascii="宋体" w:hAnsi="宋体" w:eastAsia="黑体" w:cs="黑体"/>
          <w:b w:val="0"/>
          <w:bCs w:val="0"/>
          <w:highlight w:val="none"/>
          <w:lang w:val="en-US" w:eastAsia="zh-CN"/>
        </w:rPr>
        <w:t xml:space="preserve"> </w:t>
      </w:r>
      <w:r>
        <w:rPr>
          <w:rFonts w:hint="eastAsia" w:ascii="宋体" w:hAnsi="宋体" w:eastAsia="黑体" w:cs="黑体"/>
          <w:b w:val="0"/>
          <w:bCs w:val="0"/>
          <w:highlight w:val="none"/>
        </w:rPr>
        <w:t>名词解释</w:t>
      </w:r>
      <w:bookmarkEnd w:id="60"/>
      <w:bookmarkEnd w:id="61"/>
      <w:bookmarkEnd w:id="62"/>
    </w:p>
    <w:p>
      <w:pPr>
        <w:numPr>
          <w:ilvl w:val="0"/>
          <w:numId w:val="0"/>
        </w:numPr>
      </w:pPr>
    </w:p>
    <w:p>
      <w:pPr>
        <w:keepNext w:val="0"/>
        <w:keepLines w:val="0"/>
        <w:pageBreakBefore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pacing w:val="-10"/>
          <w:sz w:val="32"/>
          <w:szCs w:val="32"/>
        </w:rPr>
        <w:t>.财政拨款收入：指单位从同级财政部门取得的财政预算资金。</w:t>
      </w:r>
    </w:p>
    <w:p>
      <w:pPr>
        <w:pStyle w:val="29"/>
        <w:keepNext w:val="0"/>
        <w:keepLines w:val="0"/>
        <w:pageBreakBefore w:val="0"/>
        <w:kinsoku/>
        <w:wordWrap/>
        <w:overflowPunct w:val="0"/>
        <w:topLinePunct w:val="0"/>
        <w:autoSpaceDE/>
        <w:autoSpaceDN/>
        <w:bidi w:val="0"/>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2.其他收入：指单位取得的除</w:t>
      </w:r>
      <w:r>
        <w:rPr>
          <w:rFonts w:hint="eastAsia" w:ascii="仿宋" w:hAnsi="仿宋" w:eastAsia="仿宋" w:cs="仿宋"/>
          <w:color w:val="auto"/>
          <w:sz w:val="32"/>
          <w:szCs w:val="32"/>
          <w:lang w:eastAsia="zh-CN"/>
        </w:rPr>
        <w:t>财政拨款</w:t>
      </w:r>
      <w:r>
        <w:rPr>
          <w:rFonts w:hint="eastAsia" w:ascii="仿宋" w:hAnsi="仿宋" w:eastAsia="仿宋" w:cs="仿宋"/>
          <w:color w:val="auto"/>
          <w:sz w:val="32"/>
          <w:szCs w:val="32"/>
        </w:rPr>
        <w:t>收入</w:t>
      </w:r>
      <w:r>
        <w:rPr>
          <w:rFonts w:hint="eastAsia" w:ascii="仿宋" w:hAnsi="仿宋" w:eastAsia="仿宋" w:cs="仿宋"/>
          <w:color w:val="auto"/>
          <w:sz w:val="32"/>
          <w:szCs w:val="32"/>
          <w:lang w:eastAsia="zh-CN"/>
        </w:rPr>
        <w:t>、事业收入、经营收入</w:t>
      </w:r>
      <w:r>
        <w:rPr>
          <w:rFonts w:hint="eastAsia" w:ascii="仿宋" w:hAnsi="仿宋" w:eastAsia="仿宋" w:cs="仿宋"/>
          <w:color w:val="auto"/>
          <w:sz w:val="32"/>
          <w:szCs w:val="32"/>
        </w:rPr>
        <w:t>以外的各项收入。</w:t>
      </w:r>
    </w:p>
    <w:p>
      <w:pPr>
        <w:pStyle w:val="29"/>
        <w:keepNext w:val="0"/>
        <w:keepLines w:val="0"/>
        <w:pageBreakBefore w:val="0"/>
        <w:kinsoku/>
        <w:wordWrap/>
        <w:overflowPunct w:val="0"/>
        <w:topLinePunct w:val="0"/>
        <w:autoSpaceDE/>
        <w:autoSpaceDN/>
        <w:bidi w:val="0"/>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3.年初结转和结余：</w:t>
      </w:r>
      <w:r>
        <w:rPr>
          <w:rFonts w:hint="eastAsia" w:ascii="仿宋" w:hAnsi="仿宋" w:eastAsia="仿宋" w:cs="仿宋"/>
          <w:color w:val="auto"/>
          <w:sz w:val="32"/>
          <w:szCs w:val="32"/>
          <w:highlight w:val="none"/>
        </w:rPr>
        <w:t>指以前年度尚未完成、结转到本年按有关规定继续使用的资金。</w:t>
      </w:r>
    </w:p>
    <w:p>
      <w:pPr>
        <w:pStyle w:val="29"/>
        <w:keepNext w:val="0"/>
        <w:keepLines w:val="0"/>
        <w:pageBreakBefore w:val="0"/>
        <w:kinsoku/>
        <w:wordWrap/>
        <w:overflowPunct w:val="0"/>
        <w:topLinePunct w:val="0"/>
        <w:autoSpaceDE/>
        <w:autoSpaceDN/>
        <w:bidi w:val="0"/>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bookmarkStart w:id="63" w:name="_Toc15396614"/>
      <w:bookmarkStart w:id="64" w:name="_Toc15377226"/>
      <w:r>
        <w:rPr>
          <w:rFonts w:hint="eastAsia" w:ascii="仿宋" w:hAnsi="仿宋" w:eastAsia="仿宋" w:cs="仿宋"/>
          <w:color w:val="auto"/>
          <w:sz w:val="32"/>
          <w:szCs w:val="32"/>
        </w:rPr>
        <w:t>一般公共服务：</w:t>
      </w:r>
    </w:p>
    <w:p>
      <w:pPr>
        <w:keepNext w:val="0"/>
        <w:keepLines w:val="0"/>
        <w:pageBreakBefore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一般公共服务支出(类)</w:t>
      </w:r>
      <w:r>
        <w:rPr>
          <w:rFonts w:hint="eastAsia" w:ascii="仿宋" w:hAnsi="仿宋" w:eastAsia="仿宋" w:cs="仿宋"/>
          <w:sz w:val="32"/>
          <w:szCs w:val="32"/>
          <w:lang w:eastAsia="zh-CN"/>
        </w:rPr>
        <w:t>人大事务</w:t>
      </w:r>
      <w:r>
        <w:rPr>
          <w:rFonts w:hint="eastAsia" w:ascii="仿宋" w:hAnsi="仿宋" w:eastAsia="仿宋" w:cs="仿宋"/>
          <w:sz w:val="32"/>
          <w:szCs w:val="32"/>
        </w:rPr>
        <w:t>(款)</w:t>
      </w:r>
      <w:r>
        <w:rPr>
          <w:rFonts w:hint="eastAsia" w:ascii="仿宋" w:hAnsi="仿宋" w:eastAsia="仿宋" w:cs="仿宋"/>
          <w:sz w:val="32"/>
          <w:szCs w:val="32"/>
          <w:lang w:eastAsia="zh-CN"/>
        </w:rPr>
        <w:t>代表工作</w:t>
      </w:r>
      <w:r>
        <w:rPr>
          <w:rFonts w:hint="eastAsia" w:ascii="仿宋" w:hAnsi="仿宋" w:eastAsia="仿宋" w:cs="仿宋"/>
          <w:sz w:val="32"/>
          <w:szCs w:val="32"/>
        </w:rPr>
        <w:t>（项）：指</w:t>
      </w:r>
      <w:r>
        <w:rPr>
          <w:rFonts w:hint="eastAsia" w:ascii="仿宋" w:hAnsi="仿宋" w:eastAsia="仿宋" w:cs="仿宋"/>
          <w:sz w:val="32"/>
          <w:szCs w:val="32"/>
          <w:lang w:eastAsia="zh-CN"/>
        </w:rPr>
        <w:t>人大代表开展各类工作等方面的支出；</w:t>
      </w:r>
    </w:p>
    <w:p>
      <w:pPr>
        <w:keepNext w:val="0"/>
        <w:keepLines w:val="0"/>
        <w:pageBreakBefore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一般公共服务支出(类)政府办公厅（室）</w:t>
      </w:r>
      <w:r>
        <w:rPr>
          <w:rFonts w:hint="eastAsia" w:ascii="仿宋" w:hAnsi="仿宋" w:eastAsia="仿宋" w:cs="仿宋"/>
          <w:sz w:val="32"/>
          <w:szCs w:val="32"/>
          <w:lang w:eastAsia="zh-CN"/>
        </w:rPr>
        <w:t>及相关机构事务</w:t>
      </w:r>
      <w:r>
        <w:rPr>
          <w:rFonts w:hint="eastAsia" w:ascii="仿宋" w:hAnsi="仿宋" w:eastAsia="仿宋" w:cs="仿宋"/>
          <w:sz w:val="32"/>
          <w:szCs w:val="32"/>
        </w:rPr>
        <w:t>(款)</w:t>
      </w:r>
      <w:r>
        <w:rPr>
          <w:rFonts w:hint="eastAsia" w:ascii="仿宋" w:hAnsi="仿宋" w:eastAsia="仿宋" w:cs="仿宋"/>
          <w:sz w:val="32"/>
          <w:szCs w:val="32"/>
          <w:lang w:eastAsia="zh-CN"/>
        </w:rPr>
        <w:t>事业运行</w:t>
      </w:r>
      <w:r>
        <w:rPr>
          <w:rFonts w:hint="eastAsia" w:ascii="仿宋" w:hAnsi="仿宋" w:eastAsia="仿宋" w:cs="仿宋"/>
          <w:sz w:val="32"/>
          <w:szCs w:val="32"/>
        </w:rPr>
        <w:t>（项）：指事业</w:t>
      </w:r>
      <w:r>
        <w:rPr>
          <w:rFonts w:hint="eastAsia" w:ascii="仿宋" w:hAnsi="仿宋" w:eastAsia="仿宋" w:cs="仿宋"/>
          <w:sz w:val="32"/>
          <w:szCs w:val="32"/>
          <w:lang w:eastAsia="zh-CN"/>
        </w:rPr>
        <w:t>单位基本支出</w:t>
      </w:r>
      <w:r>
        <w:rPr>
          <w:rFonts w:hint="eastAsia" w:ascii="仿宋" w:hAnsi="仿宋" w:eastAsia="仿宋" w:cs="仿宋"/>
          <w:sz w:val="32"/>
          <w:szCs w:val="32"/>
        </w:rPr>
        <w:t>；</w:t>
      </w:r>
    </w:p>
    <w:p>
      <w:pPr>
        <w:keepNext w:val="0"/>
        <w:keepLines w:val="0"/>
        <w:pageBreakBefore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一般公共服务支出(类)</w:t>
      </w:r>
      <w:r>
        <w:rPr>
          <w:rFonts w:hint="eastAsia" w:ascii="仿宋" w:hAnsi="仿宋" w:eastAsia="仿宋" w:cs="仿宋"/>
          <w:sz w:val="32"/>
          <w:szCs w:val="32"/>
          <w:lang w:eastAsia="zh-CN"/>
        </w:rPr>
        <w:t>党委</w:t>
      </w:r>
      <w:r>
        <w:rPr>
          <w:rFonts w:hint="eastAsia" w:ascii="仿宋" w:hAnsi="仿宋" w:eastAsia="仿宋" w:cs="仿宋"/>
          <w:sz w:val="32"/>
          <w:szCs w:val="32"/>
        </w:rPr>
        <w:t>办公厅（室）</w:t>
      </w:r>
      <w:r>
        <w:rPr>
          <w:rFonts w:hint="eastAsia" w:ascii="仿宋" w:hAnsi="仿宋" w:eastAsia="仿宋" w:cs="仿宋"/>
          <w:sz w:val="32"/>
          <w:szCs w:val="32"/>
          <w:lang w:eastAsia="zh-CN"/>
        </w:rPr>
        <w:t>及相关机构事务</w:t>
      </w:r>
      <w:r>
        <w:rPr>
          <w:rFonts w:hint="eastAsia" w:ascii="仿宋" w:hAnsi="仿宋" w:eastAsia="仿宋" w:cs="仿宋"/>
          <w:sz w:val="32"/>
          <w:szCs w:val="32"/>
        </w:rPr>
        <w:t>(款)</w:t>
      </w:r>
      <w:r>
        <w:rPr>
          <w:rFonts w:hint="eastAsia" w:ascii="仿宋" w:hAnsi="仿宋" w:eastAsia="仿宋" w:cs="仿宋"/>
          <w:sz w:val="32"/>
          <w:szCs w:val="32"/>
          <w:lang w:eastAsia="zh-CN"/>
        </w:rPr>
        <w:t>专项业务</w:t>
      </w:r>
      <w:r>
        <w:rPr>
          <w:rFonts w:hint="eastAsia" w:ascii="仿宋" w:hAnsi="仿宋" w:eastAsia="仿宋" w:cs="仿宋"/>
          <w:sz w:val="32"/>
          <w:szCs w:val="32"/>
        </w:rPr>
        <w:t>（项）:指党委办公厅（室）及相关机构开展专项业务所发生的支出。</w:t>
      </w:r>
    </w:p>
    <w:p>
      <w:pPr>
        <w:pStyle w:val="2"/>
        <w:keepNext w:val="0"/>
        <w:keepLines w:val="0"/>
        <w:pageBreakBefore w:val="0"/>
        <w:kinsoku/>
        <w:wordWrap/>
        <w:topLinePunct w:val="0"/>
        <w:autoSpaceDE/>
        <w:autoSpaceDN/>
        <w:bidi w:val="0"/>
        <w:snapToGrid/>
        <w:spacing w:line="576" w:lineRule="exact"/>
        <w:ind w:left="0" w:leftChars="0" w:firstLine="640" w:firstLineChars="200"/>
        <w:textAlignment w:val="auto"/>
        <w:rPr>
          <w:rFonts w:hint="eastAsia"/>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一般公共服务支出(类)</w:t>
      </w:r>
      <w:r>
        <w:rPr>
          <w:rFonts w:hint="eastAsia" w:ascii="仿宋" w:hAnsi="仿宋" w:eastAsia="仿宋" w:cs="仿宋"/>
          <w:sz w:val="32"/>
          <w:szCs w:val="32"/>
          <w:lang w:eastAsia="zh-CN"/>
        </w:rPr>
        <w:t>党委</w:t>
      </w:r>
      <w:r>
        <w:rPr>
          <w:rFonts w:hint="eastAsia" w:ascii="仿宋" w:hAnsi="仿宋" w:eastAsia="仿宋" w:cs="仿宋"/>
          <w:sz w:val="32"/>
          <w:szCs w:val="32"/>
        </w:rPr>
        <w:t>办公厅（室）</w:t>
      </w:r>
      <w:r>
        <w:rPr>
          <w:rFonts w:hint="eastAsia" w:ascii="仿宋" w:hAnsi="仿宋" w:eastAsia="仿宋" w:cs="仿宋"/>
          <w:sz w:val="32"/>
          <w:szCs w:val="32"/>
          <w:lang w:eastAsia="zh-CN"/>
        </w:rPr>
        <w:t>及相关机构事务</w:t>
      </w:r>
      <w:r>
        <w:rPr>
          <w:rFonts w:hint="eastAsia" w:ascii="仿宋" w:hAnsi="仿宋" w:eastAsia="仿宋" w:cs="仿宋"/>
          <w:sz w:val="32"/>
          <w:szCs w:val="32"/>
        </w:rPr>
        <w:t>(款)</w:t>
      </w:r>
      <w:r>
        <w:rPr>
          <w:rFonts w:hint="eastAsia" w:ascii="仿宋" w:hAnsi="仿宋" w:eastAsia="仿宋" w:cs="仿宋"/>
          <w:sz w:val="32"/>
          <w:szCs w:val="32"/>
          <w:lang w:eastAsia="zh-CN"/>
        </w:rPr>
        <w:t>事业运行</w:t>
      </w:r>
      <w:r>
        <w:rPr>
          <w:rFonts w:hint="eastAsia" w:ascii="仿宋" w:hAnsi="仿宋" w:eastAsia="仿宋" w:cs="仿宋"/>
          <w:sz w:val="32"/>
          <w:szCs w:val="32"/>
        </w:rPr>
        <w:t>（项）:</w:t>
      </w:r>
      <w:r>
        <w:rPr>
          <w:rFonts w:hint="eastAsia" w:ascii="仿宋" w:hAnsi="仿宋" w:eastAsia="仿宋" w:cs="仿宋"/>
          <w:sz w:val="32"/>
          <w:szCs w:val="32"/>
          <w:lang w:eastAsia="zh-CN"/>
        </w:rPr>
        <w:t>指事业单位基本支出，不包括行政单位后勤服务中心、医疗室等附属事业单位</w:t>
      </w:r>
      <w:r>
        <w:rPr>
          <w:rFonts w:hint="eastAsia" w:ascii="仿宋" w:hAnsi="仿宋" w:eastAsia="仿宋" w:cs="仿宋"/>
          <w:sz w:val="32"/>
          <w:szCs w:val="32"/>
        </w:rPr>
        <w:t>。</w:t>
      </w:r>
    </w:p>
    <w:p>
      <w:pPr>
        <w:pStyle w:val="2"/>
        <w:keepNext w:val="0"/>
        <w:keepLines w:val="0"/>
        <w:pageBreakBefore w:val="0"/>
        <w:kinsoku/>
        <w:wordWrap/>
        <w:topLinePunct w:val="0"/>
        <w:autoSpaceDE/>
        <w:autoSpaceDN/>
        <w:bidi w:val="0"/>
        <w:snapToGrid/>
        <w:spacing w:line="576"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文化旅游体育与传媒：指政府在文化、文物、体育、广播影视、新闻出版等方面的支出</w:t>
      </w:r>
      <w:r>
        <w:rPr>
          <w:rFonts w:hint="eastAsia" w:ascii="仿宋" w:hAnsi="仿宋" w:eastAsia="仿宋" w:cs="仿宋"/>
          <w:sz w:val="32"/>
          <w:szCs w:val="32"/>
          <w:lang w:eastAsia="zh-CN"/>
        </w:rPr>
        <w:t>。</w:t>
      </w:r>
    </w:p>
    <w:p>
      <w:pPr>
        <w:pStyle w:val="2"/>
        <w:keepNext w:val="0"/>
        <w:keepLines w:val="0"/>
        <w:pageBreakBefore w:val="0"/>
        <w:kinsoku/>
        <w:wordWrap/>
        <w:topLinePunct w:val="0"/>
        <w:autoSpaceDE/>
        <w:autoSpaceDN/>
        <w:bidi w:val="0"/>
        <w:snapToGrid/>
        <w:spacing w:line="576" w:lineRule="exact"/>
        <w:ind w:left="0" w:leftChars="0" w:firstLine="640" w:firstLineChars="200"/>
        <w:jc w:val="both"/>
        <w:textAlignment w:val="auto"/>
        <w:rPr>
          <w:rFonts w:hint="eastAsia" w:ascii="仿宋" w:hAnsi="仿宋" w:eastAsia="仿宋" w:cs="仿宋"/>
          <w:sz w:val="32"/>
          <w:szCs w:val="32"/>
          <w:lang w:eastAsia="zh-CN"/>
        </w:rPr>
      </w:pPr>
      <w:r>
        <w:rPr>
          <w:rStyle w:val="19"/>
          <w:rFonts w:hint="eastAsia" w:ascii="仿宋" w:hAnsi="仿宋" w:eastAsia="仿宋" w:cs="仿宋"/>
          <w:b w:val="0"/>
          <w:sz w:val="32"/>
          <w:szCs w:val="32"/>
          <w:lang w:eastAsia="zh-CN"/>
        </w:rPr>
        <w:t>（</w:t>
      </w:r>
      <w:r>
        <w:rPr>
          <w:rStyle w:val="19"/>
          <w:rFonts w:hint="eastAsia" w:ascii="仿宋" w:hAnsi="仿宋" w:eastAsia="仿宋" w:cs="仿宋"/>
          <w:b w:val="0"/>
          <w:sz w:val="32"/>
          <w:szCs w:val="32"/>
          <w:lang w:val="en-US" w:eastAsia="zh-CN"/>
        </w:rPr>
        <w:t>1</w:t>
      </w:r>
      <w:r>
        <w:rPr>
          <w:rStyle w:val="19"/>
          <w:rFonts w:hint="eastAsia" w:ascii="仿宋" w:hAnsi="仿宋" w:eastAsia="仿宋" w:cs="仿宋"/>
          <w:b w:val="0"/>
          <w:sz w:val="32"/>
          <w:szCs w:val="32"/>
          <w:lang w:eastAsia="zh-CN"/>
        </w:rPr>
        <w:t>）</w:t>
      </w:r>
      <w:r>
        <w:rPr>
          <w:rStyle w:val="19"/>
          <w:rFonts w:hint="eastAsia" w:ascii="仿宋" w:hAnsi="仿宋" w:eastAsia="仿宋" w:cs="仿宋"/>
          <w:b w:val="0"/>
          <w:sz w:val="32"/>
          <w:szCs w:val="32"/>
        </w:rPr>
        <w:t>文化旅游体育与传媒支出(类)其他文化旅游体育与传媒支出</w:t>
      </w:r>
      <w:r>
        <w:rPr>
          <w:rFonts w:hint="eastAsia" w:ascii="仿宋" w:hAnsi="仿宋" w:eastAsia="仿宋" w:cs="仿宋"/>
          <w:sz w:val="32"/>
          <w:szCs w:val="32"/>
        </w:rPr>
        <w:t>(款)</w:t>
      </w:r>
      <w:r>
        <w:rPr>
          <w:rStyle w:val="19"/>
          <w:rFonts w:hint="eastAsia" w:ascii="仿宋" w:hAnsi="仿宋" w:eastAsia="仿宋" w:cs="仿宋"/>
          <w:b w:val="0"/>
          <w:sz w:val="32"/>
          <w:szCs w:val="32"/>
        </w:rPr>
        <w:t>其他文化旅游体育与传媒</w:t>
      </w:r>
      <w:r>
        <w:rPr>
          <w:rStyle w:val="19"/>
          <w:rFonts w:hint="eastAsia" w:ascii="仿宋" w:hAnsi="仿宋" w:eastAsia="仿宋" w:cs="仿宋"/>
          <w:b w:val="0"/>
          <w:sz w:val="32"/>
          <w:szCs w:val="32"/>
          <w:lang w:eastAsia="zh-CN"/>
        </w:rPr>
        <w:t>支出</w:t>
      </w:r>
      <w:r>
        <w:rPr>
          <w:rFonts w:hint="eastAsia" w:ascii="仿宋" w:hAnsi="仿宋" w:eastAsia="仿宋" w:cs="仿宋"/>
          <w:sz w:val="32"/>
          <w:szCs w:val="32"/>
        </w:rPr>
        <w:t>（项）：指文化体育与传媒支出所列项目以外的其他用于文化体育与传媒方面的支出</w:t>
      </w:r>
      <w:r>
        <w:rPr>
          <w:rFonts w:hint="eastAsia" w:ascii="仿宋" w:hAnsi="仿宋" w:eastAsia="仿宋" w:cs="仿宋"/>
          <w:sz w:val="32"/>
          <w:szCs w:val="32"/>
          <w:lang w:eastAsia="zh-CN"/>
        </w:rPr>
        <w:t>；</w:t>
      </w:r>
    </w:p>
    <w:p>
      <w:pPr>
        <w:keepNext w:val="0"/>
        <w:keepLines w:val="0"/>
        <w:pageBreakBefore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社会保障和就业：指政府在社会保障和就业方面的支出。</w:t>
      </w:r>
    </w:p>
    <w:p>
      <w:pPr>
        <w:keepNext w:val="0"/>
        <w:keepLines w:val="0"/>
        <w:pageBreakBefore w:val="0"/>
        <w:widowControl w:val="0"/>
        <w:numPr>
          <w:ilvl w:val="0"/>
          <w:numId w:val="0"/>
        </w:numPr>
        <w:kinsoku/>
        <w:wordWrap/>
        <w:overflowPunct w:val="0"/>
        <w:topLinePunct w:val="0"/>
        <w:autoSpaceDE/>
        <w:autoSpaceDN/>
        <w:bidi w:val="0"/>
        <w:adjustRightInd w:val="0"/>
        <w:snapToGrid/>
        <w:spacing w:line="576" w:lineRule="exact"/>
        <w:ind w:firstLine="640" w:firstLineChars="200"/>
        <w:jc w:val="both"/>
        <w:textAlignment w:val="auto"/>
        <w:rPr>
          <w:rStyle w:val="19"/>
          <w:rFonts w:hint="eastAsia" w:ascii="仿宋" w:hAnsi="仿宋" w:eastAsia="仿宋" w:cs="仿宋"/>
          <w:b w:val="0"/>
          <w:bCs/>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Style w:val="19"/>
          <w:rFonts w:hint="eastAsia" w:ascii="仿宋" w:hAnsi="仿宋" w:eastAsia="仿宋" w:cs="仿宋"/>
          <w:b w:val="0"/>
          <w:bCs/>
          <w:sz w:val="32"/>
          <w:szCs w:val="32"/>
        </w:rPr>
        <w:t>社会保障和就业支出(类)</w:t>
      </w:r>
      <w:r>
        <w:rPr>
          <w:rStyle w:val="19"/>
          <w:rFonts w:hint="eastAsia" w:ascii="仿宋" w:hAnsi="仿宋" w:eastAsia="仿宋" w:cs="仿宋"/>
          <w:b w:val="0"/>
          <w:bCs/>
          <w:sz w:val="32"/>
          <w:szCs w:val="32"/>
          <w:lang w:eastAsia="zh-CN"/>
        </w:rPr>
        <w:t>行政</w:t>
      </w:r>
      <w:r>
        <w:rPr>
          <w:rStyle w:val="19"/>
          <w:rFonts w:hint="eastAsia" w:ascii="仿宋" w:hAnsi="仿宋" w:eastAsia="仿宋" w:cs="仿宋"/>
          <w:b w:val="0"/>
          <w:bCs/>
          <w:sz w:val="32"/>
          <w:szCs w:val="32"/>
        </w:rPr>
        <w:t>事业单位养老支出</w:t>
      </w:r>
      <w:r>
        <w:rPr>
          <w:rFonts w:hint="eastAsia" w:ascii="仿宋" w:hAnsi="仿宋" w:eastAsia="仿宋" w:cs="仿宋"/>
          <w:sz w:val="32"/>
          <w:szCs w:val="32"/>
        </w:rPr>
        <w:t>(款)</w:t>
      </w:r>
      <w:r>
        <w:rPr>
          <w:rStyle w:val="19"/>
          <w:rFonts w:hint="eastAsia" w:ascii="仿宋" w:hAnsi="仿宋" w:eastAsia="仿宋" w:cs="仿宋"/>
          <w:b w:val="0"/>
          <w:bCs/>
          <w:sz w:val="32"/>
          <w:szCs w:val="32"/>
        </w:rPr>
        <w:t>机关事业单位基本养老保险缴费支出</w:t>
      </w:r>
      <w:r>
        <w:rPr>
          <w:rFonts w:hint="eastAsia" w:ascii="仿宋" w:hAnsi="仿宋" w:eastAsia="仿宋" w:cs="仿宋"/>
          <w:sz w:val="32"/>
          <w:szCs w:val="32"/>
        </w:rPr>
        <w:t>（项）：指机关干部基本养老支出；</w:t>
      </w:r>
    </w:p>
    <w:p>
      <w:pPr>
        <w:keepNext w:val="0"/>
        <w:keepLines w:val="0"/>
        <w:pageBreakBefore w:val="0"/>
        <w:widowControl w:val="0"/>
        <w:numPr>
          <w:ilvl w:val="0"/>
          <w:numId w:val="0"/>
        </w:numPr>
        <w:kinsoku/>
        <w:wordWrap/>
        <w:overflowPunct w:val="0"/>
        <w:topLinePunct w:val="0"/>
        <w:autoSpaceDE/>
        <w:autoSpaceDN/>
        <w:bidi w:val="0"/>
        <w:adjustRightInd w:val="0"/>
        <w:snapToGrid/>
        <w:spacing w:line="576" w:lineRule="exact"/>
        <w:ind w:firstLine="640" w:firstLineChars="200"/>
        <w:jc w:val="both"/>
        <w:textAlignment w:val="auto"/>
        <w:rPr>
          <w:rStyle w:val="19"/>
          <w:rFonts w:hint="eastAsia" w:ascii="仿宋" w:hAnsi="仿宋" w:eastAsia="仿宋" w:cs="仿宋"/>
          <w:b w:val="0"/>
          <w:bCs/>
          <w:sz w:val="32"/>
          <w:szCs w:val="32"/>
          <w:lang w:eastAsia="zh-CN"/>
        </w:rPr>
      </w:pPr>
      <w:r>
        <w:rPr>
          <w:rStyle w:val="19"/>
          <w:rFonts w:hint="eastAsia" w:ascii="仿宋" w:hAnsi="仿宋" w:eastAsia="仿宋" w:cs="仿宋"/>
          <w:b w:val="0"/>
          <w:bCs/>
          <w:sz w:val="32"/>
          <w:szCs w:val="32"/>
          <w:lang w:eastAsia="zh-CN"/>
        </w:rPr>
        <w:t>（</w:t>
      </w:r>
      <w:r>
        <w:rPr>
          <w:rStyle w:val="19"/>
          <w:rFonts w:hint="eastAsia" w:ascii="仿宋" w:hAnsi="仿宋" w:eastAsia="仿宋" w:cs="仿宋"/>
          <w:b w:val="0"/>
          <w:bCs/>
          <w:sz w:val="32"/>
          <w:szCs w:val="32"/>
          <w:lang w:val="en-US" w:eastAsia="zh-CN"/>
        </w:rPr>
        <w:t>2</w:t>
      </w:r>
      <w:r>
        <w:rPr>
          <w:rStyle w:val="19"/>
          <w:rFonts w:hint="eastAsia" w:ascii="仿宋" w:hAnsi="仿宋" w:eastAsia="仿宋" w:cs="仿宋"/>
          <w:b w:val="0"/>
          <w:bCs/>
          <w:sz w:val="32"/>
          <w:szCs w:val="32"/>
          <w:lang w:eastAsia="zh-CN"/>
        </w:rPr>
        <w:t>）</w:t>
      </w:r>
      <w:r>
        <w:rPr>
          <w:rStyle w:val="19"/>
          <w:rFonts w:hint="eastAsia" w:ascii="仿宋" w:hAnsi="仿宋" w:eastAsia="仿宋" w:cs="仿宋"/>
          <w:b w:val="0"/>
          <w:bCs/>
          <w:sz w:val="32"/>
          <w:szCs w:val="32"/>
        </w:rPr>
        <w:t>社会保障和就业支出(类)行政事业单位养老支出</w:t>
      </w:r>
      <w:r>
        <w:rPr>
          <w:rFonts w:hint="eastAsia" w:ascii="仿宋" w:hAnsi="仿宋" w:eastAsia="仿宋" w:cs="仿宋"/>
          <w:sz w:val="32"/>
          <w:szCs w:val="32"/>
        </w:rPr>
        <w:t>(款)</w:t>
      </w:r>
      <w:r>
        <w:rPr>
          <w:rStyle w:val="19"/>
          <w:rFonts w:hint="eastAsia" w:ascii="仿宋" w:hAnsi="仿宋" w:eastAsia="仿宋" w:cs="仿宋"/>
          <w:b w:val="0"/>
          <w:bCs/>
          <w:sz w:val="32"/>
          <w:szCs w:val="32"/>
        </w:rPr>
        <w:t>机关事业单位职业年金</w:t>
      </w:r>
      <w:r>
        <w:rPr>
          <w:rStyle w:val="19"/>
          <w:rFonts w:hint="eastAsia" w:ascii="仿宋" w:hAnsi="仿宋" w:eastAsia="仿宋" w:cs="仿宋"/>
          <w:b w:val="0"/>
          <w:bCs/>
          <w:sz w:val="32"/>
          <w:szCs w:val="32"/>
          <w:lang w:eastAsia="zh-CN"/>
        </w:rPr>
        <w:t>缴费</w:t>
      </w:r>
      <w:r>
        <w:rPr>
          <w:rFonts w:hint="eastAsia" w:ascii="仿宋" w:hAnsi="仿宋" w:eastAsia="仿宋" w:cs="仿宋"/>
          <w:sz w:val="32"/>
          <w:szCs w:val="32"/>
        </w:rPr>
        <w:t>支出（项）</w:t>
      </w:r>
      <w:r>
        <w:rPr>
          <w:rFonts w:hint="eastAsia" w:ascii="仿宋" w:hAnsi="仿宋" w:eastAsia="仿宋" w:cs="仿宋"/>
          <w:sz w:val="32"/>
          <w:szCs w:val="32"/>
          <w:lang w:eastAsia="zh-CN"/>
        </w:rPr>
        <w:t>：</w:t>
      </w:r>
      <w:r>
        <w:rPr>
          <w:rFonts w:hint="eastAsia" w:ascii="仿宋" w:hAnsi="仿宋" w:eastAsia="仿宋" w:cs="仿宋"/>
          <w:sz w:val="32"/>
          <w:szCs w:val="32"/>
        </w:rPr>
        <w:t>指机关干部职业年金缴费支出</w:t>
      </w:r>
      <w:r>
        <w:rPr>
          <w:rFonts w:hint="eastAsia" w:ascii="仿宋" w:hAnsi="仿宋" w:eastAsia="仿宋" w:cs="仿宋"/>
          <w:sz w:val="32"/>
          <w:szCs w:val="32"/>
          <w:lang w:eastAsia="zh-CN"/>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Style w:val="19"/>
          <w:rFonts w:hint="eastAsia" w:ascii="仿宋" w:hAnsi="仿宋" w:eastAsia="仿宋" w:cs="仿宋"/>
          <w:b w:val="0"/>
          <w:bCs/>
          <w:sz w:val="32"/>
          <w:szCs w:val="32"/>
        </w:rPr>
        <w:t>社会保障和就业支出(类)其他社会保障和就业支出</w:t>
      </w:r>
      <w:r>
        <w:rPr>
          <w:rFonts w:hint="eastAsia" w:ascii="仿宋" w:hAnsi="仿宋" w:eastAsia="仿宋" w:cs="仿宋"/>
          <w:sz w:val="32"/>
          <w:szCs w:val="32"/>
        </w:rPr>
        <w:t>(款)</w:t>
      </w:r>
      <w:r>
        <w:rPr>
          <w:rStyle w:val="19"/>
          <w:rFonts w:hint="eastAsia" w:ascii="仿宋" w:hAnsi="仿宋" w:eastAsia="仿宋" w:cs="仿宋"/>
          <w:b w:val="0"/>
          <w:bCs/>
          <w:sz w:val="32"/>
          <w:szCs w:val="32"/>
        </w:rPr>
        <w:t>其他社会保障和就业支出</w:t>
      </w:r>
      <w:r>
        <w:rPr>
          <w:rFonts w:hint="eastAsia" w:ascii="仿宋" w:hAnsi="仿宋" w:eastAsia="仿宋" w:cs="仿宋"/>
          <w:sz w:val="32"/>
          <w:szCs w:val="32"/>
        </w:rPr>
        <w:t>（项）</w:t>
      </w:r>
      <w:r>
        <w:rPr>
          <w:rFonts w:hint="eastAsia" w:ascii="仿宋" w:hAnsi="仿宋" w:eastAsia="仿宋" w:cs="仿宋"/>
          <w:sz w:val="32"/>
          <w:szCs w:val="32"/>
          <w:lang w:val="en-US" w:eastAsia="zh-CN"/>
        </w:rPr>
        <w:t>:</w:t>
      </w:r>
      <w:r>
        <w:rPr>
          <w:rFonts w:hint="eastAsia" w:ascii="仿宋" w:hAnsi="仿宋" w:eastAsia="仿宋" w:cs="仿宋"/>
          <w:sz w:val="32"/>
          <w:szCs w:val="32"/>
        </w:rPr>
        <w:t>指除社会保障和就业支出项目以外其他用于社会保障和就业方面的支出；</w:t>
      </w:r>
    </w:p>
    <w:p>
      <w:pPr>
        <w:pStyle w:val="2"/>
        <w:keepNext w:val="0"/>
        <w:keepLines w:val="0"/>
        <w:pageBreakBefore w:val="0"/>
        <w:kinsoku/>
        <w:wordWrap/>
        <w:topLinePunct w:val="0"/>
        <w:autoSpaceDE/>
        <w:autoSpaceDN/>
        <w:bidi w:val="0"/>
        <w:snapToGrid/>
        <w:spacing w:line="576" w:lineRule="exact"/>
        <w:ind w:left="0" w:leftChars="0" w:firstLine="60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pacing w:val="-10"/>
          <w:sz w:val="32"/>
          <w:szCs w:val="32"/>
          <w:lang w:val="en-US" w:eastAsia="zh-CN"/>
        </w:rPr>
        <w:t>7.</w:t>
      </w:r>
      <w:r>
        <w:rPr>
          <w:rFonts w:hint="eastAsia" w:ascii="仿宋" w:hAnsi="仿宋" w:eastAsia="仿宋" w:cs="仿宋"/>
          <w:spacing w:val="-10"/>
          <w:sz w:val="32"/>
          <w:szCs w:val="32"/>
        </w:rPr>
        <w:t>卫生健康支出：指卫生健康支出及计划生育管理方面的支出</w:t>
      </w:r>
      <w:r>
        <w:rPr>
          <w:rFonts w:hint="eastAsia" w:ascii="仿宋" w:hAnsi="仿宋" w:eastAsia="仿宋" w:cs="仿宋"/>
          <w:spacing w:val="-10"/>
          <w:sz w:val="32"/>
          <w:szCs w:val="32"/>
          <w:lang w:eastAsia="zh-CN"/>
        </w:rPr>
        <w:t>。</w:t>
      </w:r>
    </w:p>
    <w:p>
      <w:pPr>
        <w:keepNext w:val="0"/>
        <w:keepLines w:val="0"/>
        <w:pageBreakBefore w:val="0"/>
        <w:kinsoku/>
        <w:wordWrap/>
        <w:overflowPunct w:val="0"/>
        <w:topLinePunct w:val="0"/>
        <w:autoSpaceDE/>
        <w:autoSpaceDN/>
        <w:bidi w:val="0"/>
        <w:adjustRightInd w:val="0"/>
        <w:snapToGrid/>
        <w:spacing w:line="576" w:lineRule="exact"/>
        <w:ind w:firstLine="640" w:firstLineChars="200"/>
        <w:jc w:val="both"/>
        <w:textAlignment w:val="auto"/>
        <w:rPr>
          <w:rStyle w:val="19"/>
          <w:rFonts w:hint="eastAsia" w:ascii="仿宋" w:hAnsi="仿宋" w:eastAsia="仿宋" w:cs="仿宋"/>
          <w:b w:val="0"/>
          <w:sz w:val="32"/>
          <w:szCs w:val="32"/>
        </w:rPr>
      </w:pPr>
      <w:r>
        <w:rPr>
          <w:rStyle w:val="19"/>
          <w:rFonts w:hint="eastAsia" w:ascii="仿宋" w:hAnsi="仿宋" w:eastAsia="仿宋" w:cs="仿宋"/>
          <w:b w:val="0"/>
          <w:sz w:val="32"/>
          <w:szCs w:val="32"/>
          <w:lang w:eastAsia="zh-CN"/>
        </w:rPr>
        <w:t>（</w:t>
      </w:r>
      <w:r>
        <w:rPr>
          <w:rStyle w:val="19"/>
          <w:rFonts w:hint="eastAsia" w:ascii="仿宋" w:hAnsi="仿宋" w:eastAsia="仿宋" w:cs="仿宋"/>
          <w:b w:val="0"/>
          <w:sz w:val="32"/>
          <w:szCs w:val="32"/>
          <w:lang w:val="en-US" w:eastAsia="zh-CN"/>
        </w:rPr>
        <w:t>1）</w:t>
      </w:r>
      <w:r>
        <w:rPr>
          <w:rStyle w:val="19"/>
          <w:rFonts w:hint="eastAsia" w:ascii="仿宋" w:hAnsi="仿宋" w:eastAsia="仿宋" w:cs="仿宋"/>
          <w:b w:val="0"/>
          <w:sz w:val="32"/>
          <w:szCs w:val="32"/>
        </w:rPr>
        <w:t>卫生健康支出(类)</w:t>
      </w:r>
      <w:r>
        <w:rPr>
          <w:rStyle w:val="19"/>
          <w:rFonts w:hint="eastAsia" w:ascii="仿宋" w:hAnsi="仿宋" w:eastAsia="仿宋" w:cs="仿宋"/>
          <w:b w:val="0"/>
          <w:sz w:val="32"/>
          <w:szCs w:val="32"/>
          <w:lang w:eastAsia="zh-CN"/>
        </w:rPr>
        <w:t>行政事业单位医疗</w:t>
      </w:r>
      <w:r>
        <w:rPr>
          <w:rFonts w:hint="eastAsia" w:ascii="仿宋" w:hAnsi="仿宋" w:eastAsia="仿宋" w:cs="仿宋"/>
          <w:sz w:val="32"/>
          <w:szCs w:val="32"/>
        </w:rPr>
        <w:t>(款)</w:t>
      </w:r>
      <w:r>
        <w:rPr>
          <w:rStyle w:val="19"/>
          <w:rFonts w:hint="eastAsia" w:ascii="仿宋" w:hAnsi="仿宋" w:eastAsia="仿宋" w:cs="仿宋"/>
          <w:b w:val="0"/>
          <w:sz w:val="32"/>
          <w:szCs w:val="32"/>
          <w:lang w:eastAsia="zh-CN"/>
        </w:rPr>
        <w:t>行政单位医疗</w:t>
      </w:r>
      <w:r>
        <w:rPr>
          <w:rFonts w:hint="eastAsia" w:ascii="仿宋" w:hAnsi="仿宋" w:eastAsia="仿宋" w:cs="仿宋"/>
          <w:sz w:val="32"/>
          <w:szCs w:val="32"/>
        </w:rPr>
        <w:t>（项）</w:t>
      </w:r>
      <w:r>
        <w:rPr>
          <w:rFonts w:hint="eastAsia" w:ascii="仿宋" w:hAnsi="仿宋" w:eastAsia="仿宋" w:cs="仿宋"/>
          <w:sz w:val="32"/>
          <w:szCs w:val="32"/>
          <w:lang w:eastAsia="zh-CN"/>
        </w:rPr>
        <w:t>：</w:t>
      </w:r>
      <w:r>
        <w:rPr>
          <w:rFonts w:hint="eastAsia" w:ascii="仿宋" w:hAnsi="仿宋" w:eastAsia="仿宋" w:cs="仿宋"/>
          <w:sz w:val="32"/>
          <w:szCs w:val="32"/>
        </w:rPr>
        <w:t>指机关干部医疗保险单位部分缴费。</w:t>
      </w:r>
    </w:p>
    <w:p>
      <w:pPr>
        <w:keepNext w:val="0"/>
        <w:keepLines w:val="0"/>
        <w:pageBreakBefore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城乡社区支出：指政府城乡社区管理事务方面的支出</w:t>
      </w:r>
      <w:r>
        <w:rPr>
          <w:rFonts w:hint="eastAsia" w:ascii="仿宋" w:hAnsi="仿宋" w:eastAsia="仿宋" w:cs="仿宋"/>
          <w:sz w:val="32"/>
          <w:szCs w:val="32"/>
          <w:lang w:eastAsia="zh-CN"/>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Style w:val="19"/>
          <w:rFonts w:hint="eastAsia" w:ascii="仿宋" w:hAnsi="仿宋" w:eastAsia="仿宋" w:cs="仿宋"/>
          <w:b w:val="0"/>
          <w:bCs/>
          <w:sz w:val="32"/>
          <w:szCs w:val="32"/>
        </w:rPr>
      </w:pPr>
      <w:r>
        <w:rPr>
          <w:rStyle w:val="19"/>
          <w:rFonts w:hint="eastAsia" w:ascii="仿宋" w:hAnsi="仿宋" w:eastAsia="仿宋" w:cs="仿宋"/>
          <w:b w:val="0"/>
          <w:sz w:val="32"/>
          <w:szCs w:val="32"/>
          <w:lang w:eastAsia="zh-CN"/>
        </w:rPr>
        <w:t>（</w:t>
      </w:r>
      <w:r>
        <w:rPr>
          <w:rStyle w:val="19"/>
          <w:rFonts w:hint="eastAsia" w:ascii="仿宋" w:hAnsi="仿宋" w:eastAsia="仿宋" w:cs="仿宋"/>
          <w:b w:val="0"/>
          <w:sz w:val="32"/>
          <w:szCs w:val="32"/>
          <w:lang w:val="en-US" w:eastAsia="zh-CN"/>
        </w:rPr>
        <w:t>1）</w:t>
      </w:r>
      <w:r>
        <w:rPr>
          <w:rFonts w:hint="eastAsia" w:ascii="仿宋" w:hAnsi="仿宋" w:eastAsia="仿宋" w:cs="仿宋"/>
          <w:sz w:val="32"/>
          <w:szCs w:val="32"/>
        </w:rPr>
        <w:t>城乡社区支出(类)城乡社区管理事务(款)</w:t>
      </w:r>
      <w:r>
        <w:rPr>
          <w:rFonts w:hint="eastAsia" w:ascii="仿宋" w:hAnsi="仿宋" w:eastAsia="仿宋" w:cs="仿宋"/>
          <w:sz w:val="32"/>
          <w:szCs w:val="32"/>
          <w:lang w:eastAsia="zh-CN"/>
        </w:rPr>
        <w:t>行政运行</w:t>
      </w:r>
      <w:r>
        <w:rPr>
          <w:rFonts w:hint="eastAsia" w:ascii="仿宋" w:hAnsi="仿宋" w:eastAsia="仿宋" w:cs="仿宋"/>
          <w:sz w:val="32"/>
          <w:szCs w:val="32"/>
        </w:rPr>
        <w:t>（项）</w:t>
      </w:r>
      <w:r>
        <w:rPr>
          <w:rFonts w:hint="eastAsia" w:ascii="仿宋" w:hAnsi="仿宋" w:eastAsia="仿宋" w:cs="仿宋"/>
          <w:sz w:val="32"/>
          <w:szCs w:val="32"/>
          <w:lang w:eastAsia="zh-CN"/>
        </w:rPr>
        <w:t>：</w:t>
      </w:r>
      <w:r>
        <w:rPr>
          <w:rFonts w:hint="eastAsia" w:ascii="仿宋" w:hAnsi="仿宋" w:eastAsia="仿宋" w:cs="仿宋"/>
          <w:sz w:val="32"/>
          <w:szCs w:val="32"/>
        </w:rPr>
        <w:t>指行政单位的基本支出</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Style w:val="19"/>
          <w:rFonts w:hint="eastAsia" w:ascii="仿宋" w:hAnsi="仿宋" w:eastAsia="仿宋" w:cs="仿宋"/>
          <w:b w:val="0"/>
          <w:sz w:val="32"/>
          <w:szCs w:val="32"/>
          <w:lang w:eastAsia="zh-CN"/>
        </w:rPr>
        <w:t>（</w:t>
      </w:r>
      <w:r>
        <w:rPr>
          <w:rStyle w:val="19"/>
          <w:rFonts w:hint="eastAsia" w:ascii="仿宋" w:hAnsi="仿宋" w:eastAsia="仿宋" w:cs="仿宋"/>
          <w:b w:val="0"/>
          <w:sz w:val="32"/>
          <w:szCs w:val="32"/>
          <w:lang w:val="en-US" w:eastAsia="zh-CN"/>
        </w:rPr>
        <w:t>2）</w:t>
      </w:r>
      <w:r>
        <w:rPr>
          <w:rFonts w:hint="eastAsia" w:ascii="仿宋" w:hAnsi="仿宋" w:eastAsia="仿宋" w:cs="仿宋"/>
          <w:sz w:val="32"/>
          <w:szCs w:val="32"/>
        </w:rPr>
        <w:t>城乡社区支出(类)城乡社区管理事务(款)</w:t>
      </w:r>
      <w:r>
        <w:rPr>
          <w:rFonts w:hint="eastAsia" w:ascii="仿宋" w:hAnsi="仿宋" w:eastAsia="仿宋" w:cs="仿宋"/>
          <w:sz w:val="32"/>
          <w:szCs w:val="32"/>
          <w:lang w:eastAsia="zh-CN"/>
        </w:rPr>
        <w:t>一般行政管理事务</w:t>
      </w:r>
      <w:r>
        <w:rPr>
          <w:rFonts w:hint="eastAsia" w:ascii="仿宋" w:hAnsi="仿宋" w:eastAsia="仿宋" w:cs="仿宋"/>
          <w:sz w:val="32"/>
          <w:szCs w:val="32"/>
        </w:rPr>
        <w:t>（项）</w:t>
      </w:r>
      <w:r>
        <w:rPr>
          <w:rFonts w:hint="eastAsia" w:ascii="仿宋" w:hAnsi="仿宋" w:eastAsia="仿宋" w:cs="仿宋"/>
          <w:sz w:val="32"/>
          <w:szCs w:val="32"/>
          <w:lang w:eastAsia="zh-CN"/>
        </w:rPr>
        <w:t>：</w:t>
      </w:r>
      <w:r>
        <w:rPr>
          <w:rFonts w:hint="eastAsia" w:ascii="仿宋" w:hAnsi="仿宋" w:eastAsia="仿宋" w:cs="仿宋"/>
          <w:sz w:val="32"/>
          <w:szCs w:val="32"/>
        </w:rPr>
        <w:t>指行政单位未单独设置项级科目的其他项目支出；</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Style w:val="19"/>
          <w:rFonts w:hint="eastAsia" w:ascii="仿宋" w:hAnsi="仿宋" w:eastAsia="仿宋" w:cs="仿宋"/>
          <w:b w:val="0"/>
          <w:sz w:val="32"/>
          <w:szCs w:val="32"/>
          <w:lang w:eastAsia="zh-CN"/>
        </w:rPr>
        <w:t>（</w:t>
      </w:r>
      <w:r>
        <w:rPr>
          <w:rStyle w:val="19"/>
          <w:rFonts w:hint="eastAsia" w:ascii="仿宋" w:hAnsi="仿宋" w:eastAsia="仿宋" w:cs="仿宋"/>
          <w:b w:val="0"/>
          <w:sz w:val="32"/>
          <w:szCs w:val="32"/>
          <w:lang w:val="en-US" w:eastAsia="zh-CN"/>
        </w:rPr>
        <w:t>3）</w:t>
      </w:r>
      <w:r>
        <w:rPr>
          <w:rFonts w:hint="eastAsia" w:ascii="仿宋" w:hAnsi="仿宋" w:eastAsia="仿宋" w:cs="仿宋"/>
          <w:sz w:val="32"/>
          <w:szCs w:val="32"/>
        </w:rPr>
        <w:t>城乡社区支出(类)城乡社区环境卫生(款)城乡社区环境卫生支出（项）</w:t>
      </w:r>
      <w:r>
        <w:rPr>
          <w:rFonts w:hint="eastAsia" w:ascii="仿宋" w:hAnsi="仿宋" w:eastAsia="仿宋" w:cs="仿宋"/>
          <w:sz w:val="32"/>
          <w:szCs w:val="32"/>
          <w:lang w:eastAsia="zh-CN"/>
        </w:rPr>
        <w:t>：</w:t>
      </w:r>
      <w:r>
        <w:rPr>
          <w:rFonts w:hint="eastAsia" w:ascii="仿宋" w:hAnsi="仿宋" w:eastAsia="仿宋" w:cs="仿宋"/>
          <w:sz w:val="32"/>
          <w:szCs w:val="32"/>
        </w:rPr>
        <w:t>指用于城乡社区环境卫生相关支出。</w:t>
      </w:r>
    </w:p>
    <w:p>
      <w:pPr>
        <w:pStyle w:val="2"/>
        <w:keepNext w:val="0"/>
        <w:keepLines w:val="0"/>
        <w:pageBreakBefore w:val="0"/>
        <w:kinsoku/>
        <w:wordWrap/>
        <w:topLinePunct w:val="0"/>
        <w:autoSpaceDE/>
        <w:autoSpaceDN/>
        <w:bidi w:val="0"/>
        <w:snapToGrid/>
        <w:spacing w:line="576"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农林水支出：指政府农林水事务方面的支出</w:t>
      </w:r>
      <w:r>
        <w:rPr>
          <w:rFonts w:hint="eastAsia" w:ascii="仿宋" w:hAnsi="仿宋" w:eastAsia="仿宋" w:cs="仿宋"/>
          <w:sz w:val="32"/>
          <w:szCs w:val="32"/>
          <w:lang w:eastAsia="zh-CN"/>
        </w:rPr>
        <w:t>。</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Style w:val="19"/>
          <w:rFonts w:hint="eastAsia" w:ascii="仿宋" w:hAnsi="仿宋" w:eastAsia="仿宋" w:cs="仿宋"/>
          <w:b w:val="0"/>
          <w:sz w:val="32"/>
          <w:szCs w:val="32"/>
          <w:lang w:eastAsia="zh-CN"/>
        </w:rPr>
        <w:t>（</w:t>
      </w:r>
      <w:r>
        <w:rPr>
          <w:rStyle w:val="19"/>
          <w:rFonts w:hint="eastAsia" w:ascii="仿宋" w:hAnsi="仿宋" w:eastAsia="仿宋" w:cs="仿宋"/>
          <w:b w:val="0"/>
          <w:sz w:val="32"/>
          <w:szCs w:val="32"/>
          <w:lang w:val="en-US" w:eastAsia="zh-CN"/>
        </w:rPr>
        <w:t>1）</w:t>
      </w:r>
      <w:r>
        <w:rPr>
          <w:rFonts w:hint="eastAsia" w:ascii="仿宋" w:hAnsi="仿宋" w:eastAsia="仿宋" w:cs="仿宋"/>
          <w:sz w:val="32"/>
          <w:szCs w:val="32"/>
        </w:rPr>
        <w:t>农林水支出(类)林业和草原(款)林业草原防灾减灾（项）</w:t>
      </w:r>
      <w:r>
        <w:rPr>
          <w:rFonts w:hint="eastAsia" w:ascii="仿宋" w:hAnsi="仿宋" w:eastAsia="仿宋" w:cs="仿宋"/>
          <w:sz w:val="32"/>
          <w:szCs w:val="32"/>
          <w:lang w:eastAsia="zh-CN"/>
        </w:rPr>
        <w:t>：</w:t>
      </w:r>
      <w:r>
        <w:rPr>
          <w:rFonts w:hint="eastAsia" w:ascii="仿宋" w:hAnsi="仿宋" w:eastAsia="仿宋" w:cs="仿宋"/>
          <w:sz w:val="32"/>
          <w:szCs w:val="32"/>
        </w:rPr>
        <w:t>指森林防灭火支出；</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lang w:eastAsia="zh-CN"/>
        </w:rPr>
      </w:pPr>
      <w:r>
        <w:rPr>
          <w:rStyle w:val="19"/>
          <w:rFonts w:hint="eastAsia" w:ascii="仿宋" w:hAnsi="仿宋" w:eastAsia="仿宋" w:cs="仿宋"/>
          <w:b w:val="0"/>
          <w:sz w:val="32"/>
          <w:szCs w:val="32"/>
          <w:lang w:eastAsia="zh-CN"/>
        </w:rPr>
        <w:t>（</w:t>
      </w:r>
      <w:r>
        <w:rPr>
          <w:rStyle w:val="19"/>
          <w:rFonts w:hint="eastAsia" w:ascii="仿宋" w:hAnsi="仿宋" w:eastAsia="仿宋" w:cs="仿宋"/>
          <w:b w:val="0"/>
          <w:sz w:val="32"/>
          <w:szCs w:val="32"/>
          <w:lang w:val="en-US" w:eastAsia="zh-CN"/>
        </w:rPr>
        <w:t>2）</w:t>
      </w:r>
      <w:r>
        <w:rPr>
          <w:rFonts w:hint="eastAsia" w:ascii="仿宋" w:hAnsi="仿宋" w:eastAsia="仿宋" w:cs="仿宋"/>
          <w:sz w:val="32"/>
          <w:szCs w:val="32"/>
        </w:rPr>
        <w:t>农林水支出(类)</w:t>
      </w:r>
      <w:r>
        <w:rPr>
          <w:rFonts w:hint="eastAsia" w:ascii="仿宋" w:hAnsi="仿宋" w:eastAsia="仿宋" w:cs="仿宋"/>
          <w:sz w:val="32"/>
          <w:szCs w:val="32"/>
          <w:lang w:eastAsia="zh-CN"/>
        </w:rPr>
        <w:t>农业农村</w:t>
      </w:r>
      <w:r>
        <w:rPr>
          <w:rFonts w:hint="eastAsia" w:ascii="仿宋" w:hAnsi="仿宋" w:eastAsia="仿宋" w:cs="仿宋"/>
          <w:sz w:val="32"/>
          <w:szCs w:val="32"/>
        </w:rPr>
        <w:t>(款)</w:t>
      </w:r>
      <w:r>
        <w:rPr>
          <w:rFonts w:hint="eastAsia" w:ascii="仿宋" w:hAnsi="仿宋" w:eastAsia="仿宋" w:cs="仿宋"/>
          <w:sz w:val="32"/>
          <w:szCs w:val="32"/>
          <w:lang w:eastAsia="zh-CN"/>
        </w:rPr>
        <w:t>其他农业农村支出</w:t>
      </w:r>
      <w:r>
        <w:rPr>
          <w:rFonts w:hint="eastAsia" w:ascii="仿宋" w:hAnsi="仿宋" w:eastAsia="仿宋" w:cs="仿宋"/>
          <w:sz w:val="32"/>
          <w:szCs w:val="32"/>
        </w:rPr>
        <w:t>（项）</w:t>
      </w:r>
      <w:r>
        <w:rPr>
          <w:rFonts w:hint="eastAsia" w:ascii="仿宋" w:hAnsi="仿宋" w:eastAsia="仿宋" w:cs="仿宋"/>
          <w:sz w:val="32"/>
          <w:szCs w:val="32"/>
          <w:lang w:eastAsia="zh-CN"/>
        </w:rPr>
        <w:t>：</w:t>
      </w:r>
      <w:r>
        <w:rPr>
          <w:rFonts w:hint="eastAsia" w:ascii="仿宋" w:hAnsi="仿宋" w:eastAsia="仿宋" w:cs="仿宋"/>
          <w:sz w:val="32"/>
          <w:szCs w:val="32"/>
        </w:rPr>
        <w:t>指</w:t>
      </w:r>
      <w:r>
        <w:rPr>
          <w:rFonts w:hint="eastAsia" w:ascii="仿宋" w:hAnsi="仿宋" w:eastAsia="仿宋" w:cs="仿宋"/>
          <w:sz w:val="32"/>
          <w:szCs w:val="32"/>
          <w:lang w:eastAsia="zh-CN"/>
        </w:rPr>
        <w:t>用于农业农村方面的支出。</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lang w:val="en-US" w:eastAsia="zh-CN"/>
        </w:rPr>
      </w:pPr>
      <w:r>
        <w:rPr>
          <w:rStyle w:val="19"/>
          <w:rFonts w:hint="eastAsia" w:ascii="仿宋" w:hAnsi="仿宋" w:eastAsia="仿宋" w:cs="仿宋"/>
          <w:b w:val="0"/>
          <w:sz w:val="32"/>
          <w:szCs w:val="32"/>
          <w:lang w:eastAsia="zh-CN"/>
        </w:rPr>
        <w:t>（</w:t>
      </w:r>
      <w:r>
        <w:rPr>
          <w:rStyle w:val="19"/>
          <w:rFonts w:hint="eastAsia" w:ascii="仿宋" w:hAnsi="仿宋" w:eastAsia="仿宋" w:cs="仿宋"/>
          <w:b w:val="0"/>
          <w:sz w:val="32"/>
          <w:szCs w:val="32"/>
          <w:lang w:val="en-US" w:eastAsia="zh-CN"/>
        </w:rPr>
        <w:t>3）</w:t>
      </w:r>
      <w:r>
        <w:rPr>
          <w:rFonts w:hint="eastAsia" w:ascii="仿宋" w:hAnsi="仿宋" w:eastAsia="仿宋" w:cs="仿宋"/>
          <w:sz w:val="32"/>
          <w:szCs w:val="32"/>
        </w:rPr>
        <w:t>农林水支出(类)农村综合改革(款)对村民委员会和村党支部的补助（项）</w:t>
      </w:r>
      <w:r>
        <w:rPr>
          <w:rFonts w:hint="eastAsia" w:ascii="仿宋" w:hAnsi="仿宋" w:eastAsia="仿宋" w:cs="仿宋"/>
          <w:sz w:val="32"/>
          <w:szCs w:val="32"/>
          <w:lang w:val="en-US" w:eastAsia="zh-CN"/>
        </w:rPr>
        <w:t>:</w:t>
      </w:r>
      <w:r>
        <w:rPr>
          <w:rFonts w:hint="eastAsia" w:ascii="仿宋" w:hAnsi="仿宋" w:eastAsia="仿宋" w:cs="仿宋"/>
          <w:sz w:val="32"/>
          <w:szCs w:val="32"/>
        </w:rPr>
        <w:t>指对村民委员会和村党支部的补助</w:t>
      </w:r>
      <w:r>
        <w:rPr>
          <w:rFonts w:hint="eastAsia" w:ascii="仿宋" w:hAnsi="仿宋" w:eastAsia="仿宋" w:cs="仿宋"/>
          <w:sz w:val="32"/>
          <w:szCs w:val="32"/>
          <w:lang w:val="en-US" w:eastAsia="zh-CN"/>
        </w:rPr>
        <w:t>;</w:t>
      </w:r>
    </w:p>
    <w:p>
      <w:pPr>
        <w:keepNext w:val="0"/>
        <w:keepLines w:val="0"/>
        <w:pageBreakBefore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kern w:val="2"/>
          <w:sz w:val="32"/>
          <w:szCs w:val="32"/>
          <w:lang w:val="en-US" w:eastAsia="zh-CN"/>
        </w:rPr>
        <w:t>10.住</w:t>
      </w:r>
      <w:r>
        <w:rPr>
          <w:rFonts w:hint="eastAsia" w:ascii="仿宋" w:hAnsi="仿宋" w:eastAsia="仿宋" w:cs="仿宋"/>
          <w:color w:val="auto"/>
          <w:kern w:val="2"/>
          <w:sz w:val="32"/>
          <w:szCs w:val="32"/>
        </w:rPr>
        <w:t>房保障支出(类)住房改革支出(款)住房公积金支出（项）</w:t>
      </w:r>
      <w:r>
        <w:rPr>
          <w:rFonts w:hint="eastAsia" w:ascii="仿宋" w:hAnsi="仿宋" w:eastAsia="仿宋" w:cs="仿宋"/>
          <w:color w:val="auto"/>
          <w:kern w:val="2"/>
          <w:sz w:val="32"/>
          <w:szCs w:val="32"/>
          <w:lang w:eastAsia="zh-CN"/>
        </w:rPr>
        <w:t>：</w:t>
      </w:r>
      <w:r>
        <w:rPr>
          <w:rFonts w:hint="eastAsia" w:ascii="仿宋" w:hAnsi="仿宋" w:eastAsia="仿宋" w:cs="仿宋"/>
          <w:sz w:val="32"/>
          <w:szCs w:val="32"/>
        </w:rPr>
        <w:t>指行政事业单位按人力资源和社会保障部、财政部规定的基本工资和津贴补贴以及规定比例为职工缴纳的住房公积金。</w:t>
      </w:r>
    </w:p>
    <w:p>
      <w:pPr>
        <w:keepNext w:val="0"/>
        <w:keepLines w:val="0"/>
        <w:pageBreakBefore w:val="0"/>
        <w:kinsoku/>
        <w:wordWrap/>
        <w:overflowPunct w:val="0"/>
        <w:topLinePunct w:val="0"/>
        <w:autoSpaceDE/>
        <w:autoSpaceDN/>
        <w:bidi w:val="0"/>
        <w:adjustRightInd w:val="0"/>
        <w:snapToGrid/>
        <w:spacing w:line="576"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自然资源海洋气象等支出</w:t>
      </w:r>
      <w:r>
        <w:rPr>
          <w:rFonts w:hint="eastAsia" w:ascii="仿宋" w:hAnsi="仿宋" w:eastAsia="仿宋" w:cs="仿宋"/>
          <w:sz w:val="32"/>
          <w:szCs w:val="32"/>
        </w:rPr>
        <w:t>(类)自然</w:t>
      </w:r>
      <w:r>
        <w:rPr>
          <w:rFonts w:hint="eastAsia" w:ascii="仿宋" w:hAnsi="仿宋" w:eastAsia="仿宋" w:cs="仿宋"/>
          <w:sz w:val="32"/>
          <w:szCs w:val="32"/>
          <w:lang w:eastAsia="zh-CN"/>
        </w:rPr>
        <w:t>资源事务</w:t>
      </w:r>
      <w:r>
        <w:rPr>
          <w:rFonts w:hint="eastAsia" w:ascii="仿宋" w:hAnsi="仿宋" w:eastAsia="仿宋" w:cs="仿宋"/>
          <w:sz w:val="32"/>
          <w:szCs w:val="32"/>
        </w:rPr>
        <w:t>(款)自然</w:t>
      </w:r>
      <w:r>
        <w:rPr>
          <w:rFonts w:hint="eastAsia" w:ascii="仿宋" w:hAnsi="仿宋" w:eastAsia="仿宋" w:cs="仿宋"/>
          <w:sz w:val="32"/>
          <w:szCs w:val="32"/>
          <w:lang w:eastAsia="zh-CN"/>
        </w:rPr>
        <w:t>资源利用与保护</w:t>
      </w:r>
      <w:r>
        <w:rPr>
          <w:rFonts w:hint="eastAsia" w:ascii="仿宋" w:hAnsi="仿宋" w:eastAsia="仿宋" w:cs="仿宋"/>
          <w:sz w:val="32"/>
          <w:szCs w:val="32"/>
        </w:rPr>
        <w:t>（项）</w:t>
      </w:r>
      <w:r>
        <w:rPr>
          <w:rFonts w:hint="eastAsia" w:ascii="仿宋" w:hAnsi="仿宋" w:eastAsia="仿宋" w:cs="仿宋"/>
          <w:sz w:val="32"/>
          <w:szCs w:val="32"/>
          <w:lang w:eastAsia="zh-CN"/>
        </w:rPr>
        <w:t>：</w:t>
      </w:r>
      <w:r>
        <w:rPr>
          <w:rFonts w:hint="eastAsia" w:ascii="仿宋" w:hAnsi="仿宋" w:eastAsia="仿宋" w:cs="仿宋"/>
          <w:color w:val="000000"/>
          <w:sz w:val="32"/>
          <w:szCs w:val="32"/>
        </w:rPr>
        <w:t>指</w:t>
      </w:r>
      <w:r>
        <w:rPr>
          <w:rFonts w:hint="eastAsia" w:ascii="仿宋" w:hAnsi="仿宋" w:eastAsia="仿宋" w:cs="仿宋"/>
          <w:color w:val="000000"/>
          <w:sz w:val="32"/>
          <w:szCs w:val="32"/>
          <w:lang w:eastAsia="zh-CN"/>
        </w:rPr>
        <w:t>用于自然资源有偿使用与合理开发利用，国土空间生态修复，国土整治，耕地保护等方面的支出。</w:t>
      </w:r>
    </w:p>
    <w:p>
      <w:pPr>
        <w:keepNext w:val="0"/>
        <w:keepLines w:val="0"/>
        <w:pageBreakBefore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12.基本支出：指为保障机构正常运转、完成日常工作任务而发生的人员支出和公用支出。</w:t>
      </w:r>
    </w:p>
    <w:p>
      <w:pPr>
        <w:keepNext w:val="0"/>
        <w:keepLines w:val="0"/>
        <w:pageBreakBefore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13.项目支出：指在基本支出之外为完成特定行政任务和事业发展目标所发生的支出。</w:t>
      </w:r>
    </w:p>
    <w:p>
      <w:pPr>
        <w:keepNext w:val="0"/>
        <w:keepLines w:val="0"/>
        <w:pageBreakBefore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kinsoku/>
        <w:wordWrap/>
        <w:topLinePunct w:val="0"/>
        <w:autoSpaceDE/>
        <w:autoSpaceDN/>
        <w:bidi w:val="0"/>
        <w:snapToGrid/>
        <w:spacing w:line="576" w:lineRule="exact"/>
        <w:ind w:firstLine="640" w:firstLineChars="200"/>
        <w:jc w:val="both"/>
        <w:textAlignment w:val="auto"/>
        <w:rPr>
          <w:rFonts w:hint="eastAsia" w:ascii="宋体" w:hAnsi="宋体" w:eastAsia="仿宋" w:cs="仿宋"/>
          <w:sz w:val="32"/>
          <w:szCs w:val="32"/>
        </w:rPr>
      </w:pPr>
      <w:bookmarkStart w:id="65" w:name="_Toc4914"/>
      <w:r>
        <w:rPr>
          <w:rFonts w:hint="eastAsia" w:ascii="仿宋" w:hAnsi="仿宋" w:eastAsia="仿宋" w:cs="仿宋"/>
          <w:sz w:val="32"/>
          <w:szCs w:val="32"/>
        </w:rPr>
        <w:t>15.机关运行经费：</w:t>
      </w:r>
      <w:r>
        <w:rPr>
          <w:rFonts w:hint="eastAsia" w:ascii="仿宋" w:hAnsi="仿宋" w:eastAsia="仿宋" w:cs="仿宋"/>
          <w:sz w:val="32"/>
          <w:szCs w:val="32"/>
          <w:lang w:eastAsia="zh-CN"/>
        </w:rPr>
        <w:t>指</w:t>
      </w:r>
      <w:r>
        <w:rPr>
          <w:rFonts w:hint="eastAsia" w:ascii="仿宋" w:hAnsi="仿宋" w:eastAsia="仿宋" w:cs="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65"/>
    </w:p>
    <w:p>
      <w:pPr>
        <w:pStyle w:val="2"/>
        <w:keepNext w:val="0"/>
        <w:keepLines w:val="0"/>
        <w:pageBreakBefore w:val="0"/>
        <w:kinsoku/>
        <w:wordWrap/>
        <w:topLinePunct w:val="0"/>
        <w:autoSpaceDE/>
        <w:autoSpaceDN/>
        <w:bidi w:val="0"/>
        <w:snapToGrid/>
        <w:spacing w:line="576" w:lineRule="exact"/>
        <w:jc w:val="both"/>
        <w:textAlignment w:val="auto"/>
        <w:rPr>
          <w:rFonts w:hint="eastAsia" w:ascii="宋体" w:hAnsi="宋体" w:eastAsia="仿宋" w:cs="仿宋"/>
          <w:sz w:val="32"/>
          <w:szCs w:val="32"/>
        </w:rPr>
      </w:pPr>
    </w:p>
    <w:p>
      <w:pPr>
        <w:jc w:val="both"/>
        <w:rPr>
          <w:rFonts w:hint="eastAsia" w:ascii="宋体" w:hAnsi="宋体" w:eastAsia="仿宋" w:cs="仿宋"/>
          <w:sz w:val="32"/>
          <w:szCs w:val="32"/>
        </w:rPr>
      </w:pPr>
    </w:p>
    <w:p>
      <w:pPr>
        <w:pStyle w:val="2"/>
        <w:jc w:val="both"/>
        <w:rPr>
          <w:rFonts w:hint="eastAsia" w:ascii="宋体" w:hAnsi="宋体" w:eastAsia="仿宋" w:cs="仿宋"/>
          <w:sz w:val="32"/>
          <w:szCs w:val="32"/>
        </w:rPr>
      </w:pPr>
    </w:p>
    <w:p>
      <w:pPr>
        <w:jc w:val="both"/>
        <w:rPr>
          <w:rFonts w:hint="eastAsia" w:ascii="宋体" w:hAnsi="宋体" w:eastAsia="仿宋" w:cs="仿宋"/>
          <w:sz w:val="32"/>
          <w:szCs w:val="32"/>
        </w:rPr>
      </w:pPr>
    </w:p>
    <w:p>
      <w:pPr>
        <w:pStyle w:val="2"/>
        <w:jc w:val="both"/>
        <w:rPr>
          <w:rFonts w:hint="eastAsia" w:ascii="宋体" w:hAnsi="宋体" w:eastAsia="仿宋" w:cs="仿宋"/>
          <w:sz w:val="32"/>
          <w:szCs w:val="32"/>
        </w:rPr>
      </w:pPr>
    </w:p>
    <w:p>
      <w:pPr>
        <w:jc w:val="both"/>
        <w:rPr>
          <w:rFonts w:hint="eastAsia" w:ascii="宋体" w:hAnsi="宋体" w:eastAsia="仿宋" w:cs="仿宋"/>
          <w:sz w:val="32"/>
          <w:szCs w:val="32"/>
        </w:rPr>
      </w:pPr>
    </w:p>
    <w:p>
      <w:pPr>
        <w:pStyle w:val="2"/>
        <w:jc w:val="both"/>
        <w:rPr>
          <w:rFonts w:hint="eastAsia" w:ascii="宋体" w:hAnsi="宋体" w:eastAsia="仿宋" w:cs="仿宋"/>
          <w:sz w:val="32"/>
          <w:szCs w:val="32"/>
        </w:rPr>
      </w:pPr>
    </w:p>
    <w:p>
      <w:pPr>
        <w:keepNext w:val="0"/>
        <w:keepLines w:val="0"/>
        <w:pageBreakBefore w:val="0"/>
        <w:widowControl w:val="0"/>
        <w:kinsoku/>
        <w:wordWrap/>
        <w:overflowPunct w:val="0"/>
        <w:topLinePunct w:val="0"/>
        <w:autoSpaceDE/>
        <w:autoSpaceDN/>
        <w:bidi w:val="0"/>
        <w:adjustRightInd w:val="0"/>
        <w:snapToGrid/>
        <w:spacing w:line="576" w:lineRule="exact"/>
        <w:jc w:val="both"/>
        <w:textAlignment w:val="auto"/>
        <w:outlineLvl w:val="0"/>
        <w:rPr>
          <w:rStyle w:val="31"/>
          <w:rFonts w:hint="eastAsia" w:ascii="宋体" w:hAnsi="宋体" w:eastAsia="黑体" w:cs="黑体"/>
          <w:b w:val="0"/>
          <w:bCs w:val="0"/>
        </w:rPr>
      </w:pPr>
      <w:bookmarkStart w:id="66" w:name="_Toc146619341"/>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outlineLvl w:val="0"/>
        <w:rPr>
          <w:rStyle w:val="31"/>
          <w:rFonts w:hint="eastAsia" w:ascii="宋体" w:hAnsi="宋体" w:eastAsia="黑体" w:cs="黑体"/>
          <w:b w:val="0"/>
          <w:bCs w:val="0"/>
          <w:sz w:val="44"/>
          <w:szCs w:val="44"/>
        </w:rPr>
      </w:pP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outlineLvl w:val="0"/>
        <w:rPr>
          <w:rStyle w:val="31"/>
          <w:rFonts w:hint="eastAsia" w:ascii="宋体" w:hAnsi="宋体" w:eastAsia="黑体" w:cs="黑体"/>
          <w:b w:val="0"/>
          <w:bCs w:val="0"/>
          <w:sz w:val="44"/>
          <w:szCs w:val="44"/>
        </w:rPr>
      </w:pP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outlineLvl w:val="0"/>
        <w:rPr>
          <w:rStyle w:val="31"/>
          <w:rFonts w:hint="eastAsia" w:ascii="宋体" w:hAnsi="宋体" w:eastAsia="黑体" w:cs="黑体"/>
          <w:b w:val="0"/>
          <w:bCs w:val="0"/>
          <w:sz w:val="44"/>
          <w:szCs w:val="44"/>
        </w:rPr>
      </w:pP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outlineLvl w:val="0"/>
        <w:rPr>
          <w:rStyle w:val="31"/>
          <w:rFonts w:hint="eastAsia" w:ascii="宋体" w:hAnsi="宋体" w:eastAsia="黑体" w:cs="黑体"/>
          <w:b w:val="0"/>
          <w:bCs w:val="0"/>
          <w:sz w:val="44"/>
          <w:szCs w:val="44"/>
        </w:rPr>
      </w:pP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outlineLvl w:val="0"/>
        <w:rPr>
          <w:rStyle w:val="31"/>
          <w:rFonts w:hint="eastAsia" w:ascii="宋体" w:hAnsi="宋体" w:eastAsia="黑体" w:cs="黑体"/>
          <w:b w:val="0"/>
          <w:bCs w:val="0"/>
          <w:sz w:val="44"/>
          <w:szCs w:val="44"/>
        </w:rPr>
      </w:pPr>
    </w:p>
    <w:p>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outlineLvl w:val="0"/>
        <w:rPr>
          <w:rStyle w:val="31"/>
          <w:rFonts w:ascii="宋体" w:hAnsi="宋体" w:eastAsia="黑体" w:cs="黑体"/>
          <w:b w:val="0"/>
          <w:bCs w:val="0"/>
        </w:rPr>
      </w:pPr>
      <w:r>
        <w:rPr>
          <w:rStyle w:val="31"/>
          <w:rFonts w:hint="eastAsia" w:ascii="宋体" w:hAnsi="宋体" w:eastAsia="黑体" w:cs="黑体"/>
          <w:b w:val="0"/>
          <w:bCs w:val="0"/>
          <w:sz w:val="44"/>
          <w:szCs w:val="44"/>
        </w:rPr>
        <w:t>第四部分</w:t>
      </w:r>
      <w:r>
        <w:rPr>
          <w:rStyle w:val="31"/>
          <w:rFonts w:hint="eastAsia" w:ascii="宋体" w:hAnsi="宋体" w:eastAsia="黑体" w:cs="黑体"/>
          <w:b w:val="0"/>
          <w:bCs w:val="0"/>
          <w:sz w:val="44"/>
          <w:szCs w:val="44"/>
          <w:lang w:val="en-US" w:eastAsia="zh-CN"/>
        </w:rPr>
        <w:t xml:space="preserve">  </w:t>
      </w:r>
      <w:r>
        <w:rPr>
          <w:rStyle w:val="31"/>
          <w:rFonts w:hint="eastAsia" w:ascii="宋体" w:hAnsi="宋体" w:eastAsia="黑体" w:cs="黑体"/>
          <w:b w:val="0"/>
          <w:bCs w:val="0"/>
          <w:sz w:val="44"/>
          <w:szCs w:val="44"/>
        </w:rPr>
        <w:t>附件</w:t>
      </w:r>
      <w:bookmarkEnd w:id="66"/>
    </w:p>
    <w:p>
      <w:pPr>
        <w:pStyle w:val="2"/>
        <w:overflowPunct w:val="0"/>
        <w:adjustRightInd w:val="0"/>
        <w:spacing w:after="0"/>
        <w:ind w:left="0" w:leftChars="0" w:firstLine="0" w:firstLineChars="0"/>
        <w:jc w:val="both"/>
        <w:rPr>
          <w:rStyle w:val="31"/>
          <w:rFonts w:ascii="宋体" w:hAnsi="宋体" w:eastAsia="仿宋" w:cs="仿宋"/>
          <w:b w:val="0"/>
          <w:bCs w:val="0"/>
          <w:sz w:val="32"/>
          <w:szCs w:val="32"/>
        </w:rPr>
      </w:pPr>
    </w:p>
    <w:p>
      <w:pPr>
        <w:pStyle w:val="37"/>
        <w:keepNext w:val="0"/>
        <w:keepLines w:val="0"/>
        <w:pageBreakBefore w:val="0"/>
        <w:widowControl w:val="0"/>
        <w:kinsoku/>
        <w:wordWrap/>
        <w:overflowPunct w:val="0"/>
        <w:topLinePunct w:val="0"/>
        <w:autoSpaceDE/>
        <w:autoSpaceDN/>
        <w:bidi w:val="0"/>
        <w:adjustRightInd w:val="0"/>
        <w:snapToGrid w:val="0"/>
        <w:spacing w:line="576" w:lineRule="exact"/>
        <w:ind w:firstLine="0" w:firstLineChars="0"/>
        <w:jc w:val="center"/>
        <w:textAlignment w:val="auto"/>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广元市利州区人民政府雪峰街道办事处</w:t>
      </w:r>
    </w:p>
    <w:p>
      <w:pPr>
        <w:pStyle w:val="37"/>
        <w:keepNext w:val="0"/>
        <w:keepLines w:val="0"/>
        <w:pageBreakBefore w:val="0"/>
        <w:widowControl w:val="0"/>
        <w:kinsoku/>
        <w:wordWrap/>
        <w:overflowPunct w:val="0"/>
        <w:topLinePunct w:val="0"/>
        <w:autoSpaceDE/>
        <w:autoSpaceDN/>
        <w:bidi w:val="0"/>
        <w:adjustRightInd w:val="0"/>
        <w:snapToGrid w:val="0"/>
        <w:spacing w:line="576" w:lineRule="exact"/>
        <w:ind w:firstLine="0" w:firstLineChars="0"/>
        <w:jc w:val="center"/>
        <w:textAlignment w:val="auto"/>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eastAsia="zh-CN"/>
        </w:rPr>
        <w:t>2024年</w:t>
      </w:r>
      <w:r>
        <w:rPr>
          <w:rFonts w:hint="eastAsia" w:ascii="方正小标宋简体" w:hAnsi="方正小标宋简体" w:eastAsia="方正小标宋简体" w:cs="方正小标宋简体"/>
          <w:color w:val="auto"/>
          <w:kern w:val="2"/>
          <w:sz w:val="44"/>
          <w:szCs w:val="44"/>
          <w:lang w:val="en-US"/>
        </w:rPr>
        <w:t>部门</w:t>
      </w:r>
      <w:r>
        <w:rPr>
          <w:rFonts w:hint="eastAsia" w:ascii="方正小标宋简体" w:hAnsi="方正小标宋简体" w:eastAsia="方正小标宋简体" w:cs="方正小标宋简体"/>
          <w:color w:val="auto"/>
          <w:kern w:val="2"/>
          <w:sz w:val="44"/>
          <w:szCs w:val="44"/>
          <w:lang w:val="en-US" w:eastAsia="zh-CN"/>
        </w:rPr>
        <w:t>预算</w:t>
      </w:r>
      <w:r>
        <w:rPr>
          <w:rFonts w:hint="eastAsia" w:ascii="方正小标宋简体" w:hAnsi="方正小标宋简体" w:eastAsia="方正小标宋简体" w:cs="方正小标宋简体"/>
          <w:color w:val="auto"/>
          <w:kern w:val="2"/>
          <w:sz w:val="44"/>
          <w:szCs w:val="44"/>
          <w:lang w:val="en-US"/>
        </w:rPr>
        <w:t>绩效</w:t>
      </w:r>
      <w:r>
        <w:rPr>
          <w:rFonts w:hint="eastAsia" w:ascii="方正小标宋简体" w:hAnsi="方正小标宋简体" w:eastAsia="方正小标宋简体" w:cs="方正小标宋简体"/>
          <w:color w:val="auto"/>
          <w:kern w:val="2"/>
          <w:sz w:val="44"/>
          <w:szCs w:val="44"/>
          <w:lang w:val="en-US" w:eastAsia="zh-CN"/>
        </w:rPr>
        <w:t>自评</w:t>
      </w:r>
      <w:r>
        <w:rPr>
          <w:rFonts w:hint="eastAsia" w:ascii="方正小标宋简体" w:hAnsi="方正小标宋简体" w:eastAsia="方正小标宋简体" w:cs="方正小标宋简体"/>
          <w:color w:val="auto"/>
          <w:kern w:val="2"/>
          <w:sz w:val="44"/>
          <w:szCs w:val="44"/>
          <w:lang w:val="en-US"/>
        </w:rPr>
        <w:t>报告</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kern w:val="0"/>
          <w:sz w:val="32"/>
          <w:szCs w:val="32"/>
          <w:highlight w:val="none"/>
          <w:shd w:val="clear" w:color="auto" w:fill="FFFFFF"/>
          <w:lang w:val="zh-CN"/>
        </w:rPr>
        <w:t>一、部门基本情况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（一）机构组成。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b w:val="0"/>
          <w:bCs w:val="0"/>
          <w:color w:val="auto"/>
          <w:kern w:val="0"/>
          <w:sz w:val="32"/>
          <w:szCs w:val="32"/>
          <w:highlight w:val="none"/>
          <w:shd w:val="clear" w:color="auto" w:fill="FFFFFF"/>
          <w:lang w:val="zh-CN"/>
        </w:rPr>
        <w:t>雪峰街道党工委是区委派出机关，根据区委的授权，在辖区内发挥总揽全局、协调各方的领导核心作用，对经济建设、政治建设、文化建设、社会建设、生态文明建设实行全面领导。街道办事处是区政府的派出机关，在街道党工委的领导下，依法在辖区内履行相应的政府服务和管理职能，</w:t>
      </w:r>
      <w:r>
        <w:rPr>
          <w:rFonts w:hint="eastAsia" w:ascii="仿宋" w:hAnsi="仿宋" w:eastAsia="仿宋" w:cs="仿宋"/>
          <w:color w:val="auto"/>
          <w:sz w:val="32"/>
          <w:szCs w:val="32"/>
        </w:rPr>
        <w:t>雪峰街道设置7个内设机构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分别是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党政综合办公室、党建工作办公室、</w:t>
      </w:r>
      <w:r>
        <w:rPr>
          <w:rFonts w:hint="eastAsia" w:ascii="仿宋" w:hAnsi="仿宋" w:eastAsia="仿宋" w:cs="仿宋"/>
          <w:sz w:val="32"/>
          <w:szCs w:val="32"/>
        </w:rPr>
        <w:t>社会事务和社会治理办公室</w:t>
      </w:r>
      <w:r>
        <w:rPr>
          <w:rFonts w:hint="eastAsia" w:ascii="仿宋" w:hAnsi="仿宋" w:eastAsia="仿宋" w:cs="仿宋"/>
          <w:color w:val="auto"/>
          <w:sz w:val="32"/>
          <w:szCs w:val="32"/>
        </w:rPr>
        <w:t>、经济发展办公室、应急管理办公室</w:t>
      </w:r>
      <w:r>
        <w:rPr>
          <w:rFonts w:hint="eastAsia" w:ascii="仿宋" w:hAnsi="仿宋" w:eastAsia="仿宋" w:cs="仿宋"/>
          <w:color w:val="auto"/>
          <w:sz w:val="32"/>
          <w:szCs w:val="32"/>
          <w:lang w:eastAsia="zh-CN"/>
        </w:rPr>
        <w:t>、</w:t>
      </w:r>
      <w:r>
        <w:rPr>
          <w:rFonts w:hint="eastAsia" w:ascii="仿宋" w:hAnsi="仿宋" w:eastAsia="仿宋" w:cs="仿宋"/>
          <w:sz w:val="32"/>
          <w:szCs w:val="32"/>
        </w:rPr>
        <w:t>综合行政执法办公室</w:t>
      </w:r>
      <w:r>
        <w:rPr>
          <w:rFonts w:hint="eastAsia" w:ascii="仿宋" w:hAnsi="仿宋" w:eastAsia="仿宋" w:cs="仿宋"/>
          <w:sz w:val="32"/>
          <w:szCs w:val="32"/>
          <w:lang w:eastAsia="zh-CN"/>
        </w:rPr>
        <w:t>、</w:t>
      </w:r>
      <w:r>
        <w:rPr>
          <w:rFonts w:hint="eastAsia" w:ascii="仿宋" w:hAnsi="仿宋" w:eastAsia="仿宋" w:cs="仿宋"/>
          <w:color w:val="auto"/>
          <w:sz w:val="32"/>
          <w:szCs w:val="32"/>
        </w:rPr>
        <w:t>财政所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设置3个一类事业单位，分别是：便民服务中心（退役军人服务站）、社区治理和农业综合服务中心（新时代文明实践所）、社会治安</w:t>
      </w:r>
      <w:r>
        <w:rPr>
          <w:rFonts w:hint="eastAsia" w:ascii="仿宋" w:hAnsi="仿宋" w:eastAsia="仿宋" w:cs="仿宋"/>
          <w:color w:val="auto"/>
          <w:sz w:val="32"/>
          <w:szCs w:val="32"/>
          <w:lang w:eastAsia="zh-CN"/>
        </w:rPr>
        <w:t>综合</w:t>
      </w:r>
      <w:r>
        <w:rPr>
          <w:rFonts w:hint="eastAsia" w:ascii="仿宋" w:hAnsi="仿宋" w:eastAsia="仿宋" w:cs="仿宋"/>
          <w:color w:val="auto"/>
          <w:sz w:val="32"/>
          <w:szCs w:val="32"/>
        </w:rPr>
        <w:t>治理中心。</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机构职能。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)落实关于辖区发展的重大决策部署，制定并执行辖区经济和社会发展计划，做好公共服务设施布局，负责产业发展、</w:t>
      </w:r>
      <w:r>
        <w:rPr>
          <w:rFonts w:hint="eastAsia" w:ascii="仿宋" w:hAnsi="仿宋" w:eastAsia="仿宋" w:cs="仿宋"/>
          <w:color w:val="auto"/>
          <w:sz w:val="32"/>
          <w:szCs w:val="32"/>
          <w:lang w:eastAsia="zh-CN"/>
        </w:rPr>
        <w:t>招</w:t>
      </w:r>
      <w:r>
        <w:rPr>
          <w:rFonts w:hint="eastAsia" w:ascii="仿宋" w:hAnsi="仿宋" w:eastAsia="仿宋" w:cs="仿宋"/>
          <w:color w:val="auto"/>
          <w:sz w:val="32"/>
          <w:szCs w:val="32"/>
        </w:rPr>
        <w:t>商引资等工作，推动经济社会健康、有序、可持续发展。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)负责辖区的经济、教育、科学、文化、卫生、体育等事业和财政、民政、社会保障、住房保障、安全生产、行政审批、司法行政、退役军人、残疾人等行政工作。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)组织实施辖区的市容环境、秩序治理、物业管理、应急管理等城市管理工作，营造辖区良好发展环境。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)负责平安建设工作，组织动员辖区单位和各类社会组织参与基层治理，预防、排查和化解矛盾纠纷，维护社会和谐稳定。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)推进社区发展建设，指导村(居)民委员会工作，支持和促进居民依法自治，完善社区服务功能，提升社区治理水平。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)保护各种经济组织的合法权益，保护社会主义的全民所有的财产和劳动群众集体所有的财产，保护公民私人所有的合法财产，维护社会秩序，保障公民的人身权利、民主权利和其他权利</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)铸牢中华民族共同体意识，促进各民族广泛交往交流交融，保障少数民族的合法权利和利益，保障少数民族保持或者改革自己的风俗习惯的自由。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)保障宪法和法律赋予的男女平等、同工同酬和婚姻自由等各项权利。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)全面依法正确行使法律、法规和规章赋予的职权，落实法定行政权力事项清单、属地事项责任清单和赋予县级行政权力事项清单。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)完成区委、区人民政府交办的其他任务。</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（三）人员概况。</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 w:hAnsi="仿宋" w:eastAsia="仿宋" w:cs="仿宋"/>
          <w:sz w:val="32"/>
          <w:szCs w:val="32"/>
        </w:rPr>
        <w:t>雪峰街道机关核定行政编制23名，事业编制22名，机关工勤编制2名。202</w:t>
      </w:r>
      <w:r>
        <w:rPr>
          <w:rFonts w:hint="eastAsia" w:ascii="仿宋" w:hAnsi="仿宋" w:eastAsia="仿宋" w:cs="仿宋"/>
          <w:sz w:val="32"/>
          <w:szCs w:val="32"/>
          <w:lang w:val="en-US" w:eastAsia="zh-CN"/>
        </w:rPr>
        <w:t>4</w:t>
      </w:r>
      <w:r>
        <w:rPr>
          <w:rFonts w:hint="eastAsia" w:ascii="仿宋" w:hAnsi="仿宋" w:eastAsia="仿宋" w:cs="仿宋"/>
          <w:sz w:val="32"/>
          <w:szCs w:val="32"/>
        </w:rPr>
        <w:t>年底雪峰街道机关在编的行政编制2</w:t>
      </w:r>
      <w:r>
        <w:rPr>
          <w:rFonts w:hint="eastAsia" w:ascii="仿宋" w:hAnsi="仿宋" w:eastAsia="仿宋" w:cs="仿宋"/>
          <w:sz w:val="32"/>
          <w:szCs w:val="32"/>
          <w:lang w:val="en-US" w:eastAsia="zh-CN"/>
        </w:rPr>
        <w:t>1</w:t>
      </w:r>
      <w:r>
        <w:rPr>
          <w:rFonts w:hint="eastAsia" w:ascii="仿宋" w:hAnsi="仿宋" w:eastAsia="仿宋" w:cs="仿宋"/>
          <w:sz w:val="32"/>
          <w:szCs w:val="32"/>
        </w:rPr>
        <w:t>名，事业编制22名；机关工勤人员事业编制</w:t>
      </w:r>
      <w:r>
        <w:rPr>
          <w:rFonts w:hint="eastAsia" w:ascii="仿宋" w:hAnsi="仿宋" w:eastAsia="仿宋" w:cs="仿宋"/>
          <w:sz w:val="32"/>
          <w:szCs w:val="32"/>
          <w:lang w:val="en-US" w:eastAsia="zh-CN"/>
        </w:rPr>
        <w:t>1</w:t>
      </w:r>
      <w:r>
        <w:rPr>
          <w:rFonts w:hint="eastAsia" w:ascii="仿宋" w:hAnsi="仿宋" w:eastAsia="仿宋" w:cs="仿宋"/>
          <w:sz w:val="32"/>
          <w:szCs w:val="32"/>
        </w:rPr>
        <w:t>名；退休人员</w:t>
      </w:r>
      <w:r>
        <w:rPr>
          <w:rFonts w:hint="eastAsia" w:ascii="仿宋" w:hAnsi="仿宋" w:eastAsia="仿宋" w:cs="仿宋"/>
          <w:sz w:val="32"/>
          <w:szCs w:val="32"/>
          <w:lang w:val="en-US" w:eastAsia="zh-CN"/>
        </w:rPr>
        <w:t>20</w:t>
      </w:r>
      <w:r>
        <w:rPr>
          <w:rFonts w:hint="eastAsia" w:ascii="仿宋" w:hAnsi="仿宋" w:eastAsia="仿宋" w:cs="仿宋"/>
          <w:sz w:val="32"/>
          <w:szCs w:val="32"/>
        </w:rPr>
        <w:t>名。</w:t>
      </w:r>
      <w:r>
        <w:rPr>
          <w:rFonts w:hint="eastAsia" w:ascii="仿宋" w:hAnsi="仿宋" w:eastAsia="仿宋" w:cs="仿宋"/>
          <w:sz w:val="32"/>
          <w:szCs w:val="32"/>
          <w:lang w:val="en-US" w:eastAsia="zh-CN"/>
        </w:rPr>
        <w:t>2024年招考进入1名公务员，1名事业干部退休，1名公务员退休,1名机关工勤退休。</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黑体" w:hAnsi="黑体" w:eastAsia="黑体" w:cs="黑体"/>
          <w:b w:val="0"/>
          <w:bCs w:val="0"/>
          <w:color w:val="auto"/>
          <w:kern w:val="0"/>
          <w:sz w:val="32"/>
          <w:szCs w:val="32"/>
          <w:highlight w:val="none"/>
          <w:shd w:val="clear" w:color="auto" w:fill="FFFFFF"/>
        </w:rPr>
      </w:pPr>
      <w:r>
        <w:rPr>
          <w:rFonts w:hint="eastAsia" w:ascii="黑体" w:hAnsi="黑体" w:eastAsia="黑体" w:cs="黑体"/>
          <w:b w:val="0"/>
          <w:bCs w:val="0"/>
          <w:color w:val="auto"/>
          <w:kern w:val="0"/>
          <w:sz w:val="32"/>
          <w:szCs w:val="32"/>
          <w:highlight w:val="none"/>
          <w:shd w:val="clear" w:color="auto" w:fill="FFFFFF"/>
        </w:rPr>
        <w:t>二、</w:t>
      </w:r>
      <w:r>
        <w:rPr>
          <w:rFonts w:hint="eastAsia" w:ascii="黑体" w:hAnsi="黑体" w:eastAsia="黑体" w:cs="黑体"/>
          <w:b w:val="0"/>
          <w:bCs w:val="0"/>
          <w:color w:val="auto"/>
          <w:kern w:val="0"/>
          <w:sz w:val="32"/>
          <w:szCs w:val="32"/>
          <w:highlight w:val="none"/>
          <w:shd w:val="clear" w:color="auto" w:fill="FFFFFF"/>
          <w:lang w:eastAsia="zh-CN"/>
        </w:rPr>
        <w:t>部门</w:t>
      </w:r>
      <w:r>
        <w:rPr>
          <w:rFonts w:hint="eastAsia" w:ascii="黑体" w:hAnsi="黑体" w:eastAsia="黑体" w:cs="黑体"/>
          <w:b w:val="0"/>
          <w:bCs w:val="0"/>
          <w:color w:val="auto"/>
          <w:kern w:val="0"/>
          <w:sz w:val="32"/>
          <w:szCs w:val="32"/>
          <w:highlight w:val="none"/>
          <w:shd w:val="clear" w:color="auto" w:fill="FFFFFF"/>
        </w:rPr>
        <w:t>资金收支情况</w:t>
      </w:r>
    </w:p>
    <w:p>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both"/>
        <w:textAlignment w:val="auto"/>
        <w:rPr>
          <w:rFonts w:hint="eastAsia" w:ascii="宋体" w:hAnsi="宋体" w:eastAsia="仿宋"/>
          <w:spacing w:val="-4"/>
          <w:sz w:val="32"/>
          <w:szCs w:val="32"/>
          <w:highlight w:val="none"/>
        </w:rPr>
      </w:pPr>
      <w:r>
        <w:rPr>
          <w:rFonts w:hint="eastAsia" w:ascii="楷体_GB2312" w:hAnsi="楷体_GB2312" w:eastAsia="楷体_GB2312" w:cs="楷体_GB2312"/>
          <w:b w:val="0"/>
          <w:bCs w:val="0"/>
          <w:color w:val="auto"/>
          <w:kern w:val="0"/>
          <w:sz w:val="32"/>
          <w:szCs w:val="32"/>
          <w:highlight w:val="none"/>
          <w:shd w:val="clear" w:color="auto" w:fill="FFFFFF"/>
          <w:lang w:val="zh-CN"/>
        </w:rPr>
        <w:t>（一）收入情况。</w:t>
      </w:r>
      <w:r>
        <w:rPr>
          <w:rFonts w:hint="eastAsia" w:ascii="仿宋" w:hAnsi="仿宋" w:eastAsia="仿宋" w:cs="仿宋"/>
          <w:sz w:val="32"/>
          <w:szCs w:val="32"/>
          <w:lang w:eastAsia="zh-CN"/>
        </w:rPr>
        <w:t>2024</w:t>
      </w:r>
      <w:r>
        <w:rPr>
          <w:rFonts w:hint="eastAsia" w:ascii="仿宋" w:hAnsi="仿宋" w:eastAsia="仿宋" w:cs="仿宋"/>
          <w:sz w:val="32"/>
          <w:szCs w:val="32"/>
        </w:rPr>
        <w:t>年度总收入</w:t>
      </w:r>
      <w:r>
        <w:rPr>
          <w:rFonts w:hint="eastAsia" w:ascii="仿宋" w:hAnsi="仿宋" w:eastAsia="仿宋" w:cs="仿宋"/>
          <w:sz w:val="32"/>
          <w:szCs w:val="32"/>
          <w:lang w:val="en-US" w:eastAsia="zh-CN"/>
        </w:rPr>
        <w:t>1369.61万</w:t>
      </w:r>
      <w:r>
        <w:rPr>
          <w:rFonts w:hint="eastAsia" w:ascii="仿宋" w:hAnsi="仿宋" w:eastAsia="仿宋" w:cs="仿宋"/>
          <w:sz w:val="32"/>
          <w:szCs w:val="32"/>
        </w:rPr>
        <w:t>元，其中：一般公共预算财政拨款收入</w:t>
      </w:r>
      <w:r>
        <w:rPr>
          <w:rFonts w:hint="eastAsia" w:ascii="仿宋" w:hAnsi="仿宋" w:eastAsia="仿宋" w:cs="仿宋"/>
          <w:sz w:val="32"/>
          <w:szCs w:val="32"/>
          <w:lang w:val="en-US" w:eastAsia="zh-CN"/>
        </w:rPr>
        <w:t>1342.61万</w:t>
      </w:r>
      <w:r>
        <w:rPr>
          <w:rFonts w:hint="eastAsia" w:ascii="仿宋" w:hAnsi="仿宋" w:eastAsia="仿宋" w:cs="仿宋"/>
          <w:sz w:val="32"/>
          <w:szCs w:val="32"/>
        </w:rPr>
        <w:t>元，占总收入的</w:t>
      </w:r>
      <w:r>
        <w:rPr>
          <w:rFonts w:hint="eastAsia" w:ascii="仿宋" w:hAnsi="仿宋" w:eastAsia="仿宋" w:cs="仿宋"/>
          <w:sz w:val="32"/>
          <w:szCs w:val="32"/>
          <w:lang w:val="en-US" w:eastAsia="zh-CN"/>
        </w:rPr>
        <w:t>98.03</w:t>
      </w:r>
      <w:r>
        <w:rPr>
          <w:rFonts w:hint="eastAsia" w:ascii="仿宋" w:hAnsi="仿宋" w:eastAsia="仿宋" w:cs="仿宋"/>
          <w:sz w:val="32"/>
          <w:szCs w:val="32"/>
        </w:rPr>
        <w:t>%；政府性基金预算财政拨款收入</w:t>
      </w:r>
      <w:r>
        <w:rPr>
          <w:rFonts w:hint="eastAsia" w:ascii="仿宋" w:hAnsi="仿宋" w:eastAsia="仿宋" w:cs="仿宋"/>
          <w:sz w:val="32"/>
          <w:szCs w:val="32"/>
          <w:lang w:val="en-US" w:eastAsia="zh-CN"/>
        </w:rPr>
        <w:t>27万</w:t>
      </w:r>
      <w:r>
        <w:rPr>
          <w:rFonts w:hint="eastAsia" w:ascii="仿宋" w:hAnsi="仿宋" w:eastAsia="仿宋" w:cs="仿宋"/>
          <w:sz w:val="32"/>
          <w:szCs w:val="32"/>
        </w:rPr>
        <w:t>元，占总收入的</w:t>
      </w:r>
      <w:r>
        <w:rPr>
          <w:rFonts w:hint="eastAsia" w:ascii="仿宋" w:hAnsi="仿宋" w:eastAsia="仿宋" w:cs="仿宋"/>
          <w:sz w:val="32"/>
          <w:szCs w:val="32"/>
          <w:lang w:val="en-US" w:eastAsia="zh-CN"/>
        </w:rPr>
        <w:t>1.97</w:t>
      </w:r>
      <w:r>
        <w:rPr>
          <w:rFonts w:hint="eastAsia" w:ascii="仿宋" w:hAnsi="仿宋" w:eastAsia="仿宋" w:cs="仿宋"/>
          <w:sz w:val="32"/>
          <w:szCs w:val="32"/>
        </w:rPr>
        <w:t>%</w:t>
      </w:r>
      <w:r>
        <w:rPr>
          <w:rFonts w:hint="eastAsia" w:ascii="宋体" w:hAnsi="宋体" w:eastAsia="仿宋"/>
          <w:spacing w:val="-4"/>
          <w:sz w:val="32"/>
          <w:szCs w:val="32"/>
          <w:highlight w:val="none"/>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（二）支出情况。</w:t>
      </w:r>
      <w:r>
        <w:rPr>
          <w:rFonts w:hint="eastAsia" w:ascii="仿宋" w:hAnsi="仿宋" w:eastAsia="仿宋" w:cs="仿宋"/>
          <w:color w:val="000000"/>
          <w:sz w:val="32"/>
          <w:szCs w:val="32"/>
          <w:lang w:eastAsia="zh-CN"/>
        </w:rPr>
        <w:t>2024</w:t>
      </w:r>
      <w:r>
        <w:rPr>
          <w:rFonts w:hint="eastAsia" w:ascii="仿宋" w:hAnsi="仿宋" w:eastAsia="仿宋" w:cs="仿宋"/>
          <w:color w:val="000000"/>
          <w:sz w:val="32"/>
          <w:szCs w:val="32"/>
        </w:rPr>
        <w:t>年度总支出</w:t>
      </w:r>
      <w:r>
        <w:rPr>
          <w:rFonts w:hint="eastAsia" w:ascii="仿宋" w:hAnsi="仿宋" w:eastAsia="仿宋" w:cs="仿宋"/>
          <w:sz w:val="32"/>
          <w:szCs w:val="32"/>
          <w:lang w:val="en-US" w:eastAsia="zh-CN"/>
        </w:rPr>
        <w:t>1369.61万</w:t>
      </w:r>
      <w:r>
        <w:rPr>
          <w:rFonts w:hint="eastAsia" w:ascii="仿宋" w:hAnsi="仿宋" w:eastAsia="仿宋" w:cs="仿宋"/>
          <w:color w:val="000000"/>
          <w:sz w:val="32"/>
          <w:szCs w:val="32"/>
        </w:rPr>
        <w:t>元（基本支出</w:t>
      </w:r>
      <w:r>
        <w:rPr>
          <w:rFonts w:hint="eastAsia" w:ascii="仿宋" w:hAnsi="仿宋" w:eastAsia="仿宋" w:cs="仿宋"/>
          <w:color w:val="000000"/>
          <w:sz w:val="32"/>
          <w:szCs w:val="32"/>
          <w:lang w:val="en-US" w:eastAsia="zh-CN"/>
        </w:rPr>
        <w:t>1219.4万</w:t>
      </w:r>
      <w:r>
        <w:rPr>
          <w:rFonts w:hint="eastAsia" w:ascii="仿宋" w:hAnsi="仿宋" w:eastAsia="仿宋" w:cs="仿宋"/>
          <w:color w:val="000000"/>
          <w:sz w:val="32"/>
          <w:szCs w:val="32"/>
        </w:rPr>
        <w:t>元，项目支出</w:t>
      </w:r>
      <w:r>
        <w:rPr>
          <w:rFonts w:hint="eastAsia" w:ascii="仿宋" w:hAnsi="仿宋" w:eastAsia="仿宋" w:cs="仿宋"/>
          <w:color w:val="000000"/>
          <w:sz w:val="32"/>
          <w:szCs w:val="32"/>
          <w:lang w:val="en-US" w:eastAsia="zh-CN"/>
        </w:rPr>
        <w:t>150.21万</w:t>
      </w:r>
      <w:r>
        <w:rPr>
          <w:rFonts w:hint="eastAsia" w:ascii="仿宋" w:hAnsi="仿宋" w:eastAsia="仿宋" w:cs="仿宋"/>
          <w:color w:val="000000"/>
          <w:sz w:val="32"/>
          <w:szCs w:val="32"/>
        </w:rPr>
        <w:t>元）。其中：工资福利支出为</w:t>
      </w:r>
      <w:r>
        <w:rPr>
          <w:rFonts w:hint="eastAsia" w:ascii="仿宋" w:hAnsi="仿宋" w:eastAsia="仿宋" w:cs="仿宋"/>
          <w:color w:val="000000"/>
          <w:sz w:val="32"/>
          <w:szCs w:val="32"/>
          <w:lang w:val="en-US" w:eastAsia="zh-CN"/>
        </w:rPr>
        <w:t>684.87万</w:t>
      </w:r>
      <w:r>
        <w:rPr>
          <w:rFonts w:hint="eastAsia" w:ascii="仿宋" w:hAnsi="仿宋" w:eastAsia="仿宋" w:cs="仿宋"/>
          <w:color w:val="000000"/>
          <w:sz w:val="32"/>
          <w:szCs w:val="32"/>
        </w:rPr>
        <w:t>元，占总支出</w:t>
      </w:r>
      <w:r>
        <w:rPr>
          <w:rFonts w:hint="eastAsia" w:ascii="仿宋" w:hAnsi="仿宋" w:eastAsia="仿宋" w:cs="仿宋"/>
          <w:sz w:val="32"/>
          <w:szCs w:val="32"/>
          <w:lang w:val="en-US" w:eastAsia="zh-CN"/>
        </w:rPr>
        <w:t>50</w:t>
      </w:r>
      <w:r>
        <w:rPr>
          <w:rFonts w:hint="eastAsia" w:ascii="仿宋" w:hAnsi="仿宋" w:eastAsia="仿宋" w:cs="仿宋"/>
          <w:color w:val="000000"/>
          <w:sz w:val="32"/>
          <w:szCs w:val="32"/>
        </w:rPr>
        <w:t>%；商品和服务支出</w:t>
      </w:r>
      <w:r>
        <w:rPr>
          <w:rFonts w:hint="eastAsia" w:ascii="仿宋" w:hAnsi="仿宋" w:eastAsia="仿宋" w:cs="仿宋"/>
          <w:color w:val="000000"/>
          <w:sz w:val="32"/>
          <w:szCs w:val="32"/>
          <w:lang w:val="en-US" w:eastAsia="zh-CN"/>
        </w:rPr>
        <w:t>318.95万</w:t>
      </w:r>
      <w:r>
        <w:rPr>
          <w:rFonts w:hint="eastAsia" w:ascii="仿宋" w:hAnsi="仿宋" w:eastAsia="仿宋" w:cs="仿宋"/>
          <w:color w:val="000000"/>
          <w:sz w:val="32"/>
          <w:szCs w:val="32"/>
        </w:rPr>
        <w:t>元，占总支出</w:t>
      </w:r>
      <w:r>
        <w:rPr>
          <w:rFonts w:hint="eastAsia" w:ascii="仿宋" w:hAnsi="仿宋" w:eastAsia="仿宋" w:cs="仿宋"/>
          <w:color w:val="000000"/>
          <w:sz w:val="32"/>
          <w:szCs w:val="32"/>
          <w:lang w:val="en-US" w:eastAsia="zh-CN"/>
        </w:rPr>
        <w:t>23.29</w:t>
      </w:r>
      <w:r>
        <w:rPr>
          <w:rFonts w:hint="eastAsia" w:ascii="仿宋" w:hAnsi="仿宋" w:eastAsia="仿宋" w:cs="仿宋"/>
          <w:color w:val="000000"/>
          <w:sz w:val="32"/>
          <w:szCs w:val="32"/>
        </w:rPr>
        <w:t>%；对个人和家庭的补助支出</w:t>
      </w:r>
      <w:r>
        <w:rPr>
          <w:rFonts w:hint="eastAsia" w:ascii="仿宋" w:hAnsi="仿宋" w:eastAsia="仿宋" w:cs="仿宋"/>
          <w:color w:val="000000"/>
          <w:sz w:val="32"/>
          <w:szCs w:val="32"/>
          <w:lang w:val="en-US" w:eastAsia="zh-CN"/>
        </w:rPr>
        <w:t>338.79万</w:t>
      </w:r>
      <w:r>
        <w:rPr>
          <w:rFonts w:hint="eastAsia" w:ascii="仿宋" w:hAnsi="仿宋" w:eastAsia="仿宋" w:cs="仿宋"/>
          <w:color w:val="000000"/>
          <w:sz w:val="32"/>
          <w:szCs w:val="32"/>
        </w:rPr>
        <w:t>元，占总支出</w:t>
      </w:r>
      <w:r>
        <w:rPr>
          <w:rFonts w:hint="eastAsia" w:ascii="仿宋" w:hAnsi="仿宋" w:eastAsia="仿宋" w:cs="仿宋"/>
          <w:color w:val="000000"/>
          <w:sz w:val="32"/>
          <w:szCs w:val="32"/>
          <w:lang w:val="en-US" w:eastAsia="zh-CN"/>
        </w:rPr>
        <w:t>24.74</w:t>
      </w:r>
      <w:r>
        <w:rPr>
          <w:rFonts w:hint="eastAsia" w:ascii="仿宋" w:hAnsi="仿宋" w:eastAsia="仿宋" w:cs="仿宋"/>
          <w:color w:val="000000"/>
          <w:sz w:val="32"/>
          <w:szCs w:val="32"/>
        </w:rPr>
        <w:t>%；资本性支出</w:t>
      </w:r>
      <w:r>
        <w:rPr>
          <w:rFonts w:hint="eastAsia" w:ascii="仿宋" w:hAnsi="仿宋" w:eastAsia="仿宋" w:cs="仿宋"/>
          <w:color w:val="000000"/>
          <w:sz w:val="32"/>
          <w:szCs w:val="32"/>
          <w:lang w:val="en-US" w:eastAsia="zh-CN"/>
        </w:rPr>
        <w:t>27万</w:t>
      </w:r>
      <w:r>
        <w:rPr>
          <w:rFonts w:hint="eastAsia" w:ascii="仿宋" w:hAnsi="仿宋" w:eastAsia="仿宋" w:cs="仿宋"/>
          <w:color w:val="000000"/>
          <w:sz w:val="32"/>
          <w:szCs w:val="32"/>
        </w:rPr>
        <w:t>元，占总支出</w:t>
      </w:r>
      <w:r>
        <w:rPr>
          <w:rFonts w:hint="eastAsia" w:ascii="仿宋" w:hAnsi="仿宋" w:eastAsia="仿宋" w:cs="仿宋"/>
          <w:color w:val="000000"/>
          <w:sz w:val="32"/>
          <w:szCs w:val="32"/>
          <w:lang w:val="en-US" w:eastAsia="zh-CN"/>
        </w:rPr>
        <w:t>1.97</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rPr>
      </w:pPr>
      <w:r>
        <w:rPr>
          <w:rFonts w:hint="eastAsia" w:ascii="楷体_GB2312" w:hAnsi="楷体_GB2312" w:eastAsia="楷体_GB2312" w:cs="楷体_GB2312"/>
          <w:b w:val="0"/>
          <w:bCs w:val="0"/>
          <w:color w:val="auto"/>
          <w:kern w:val="0"/>
          <w:sz w:val="32"/>
          <w:szCs w:val="32"/>
          <w:highlight w:val="none"/>
          <w:shd w:val="clear" w:color="auto" w:fill="FFFFFF"/>
          <w:lang w:val="zh-CN"/>
        </w:rPr>
        <w:t>（三）结余分配和结转结余情况</w:t>
      </w:r>
      <w:r>
        <w:rPr>
          <w:rFonts w:hint="eastAsia" w:ascii="楷体_GB2312" w:hAnsi="楷体_GB2312" w:eastAsia="楷体_GB2312" w:cs="楷体_GB2312"/>
          <w:b w:val="0"/>
          <w:bCs w:val="0"/>
          <w:color w:val="auto"/>
          <w:kern w:val="0"/>
          <w:sz w:val="32"/>
          <w:szCs w:val="32"/>
          <w:highlight w:val="none"/>
          <w:shd w:val="clear" w:color="auto" w:fill="FFFFFF"/>
          <w:lang w:val="zh-CN" w:eastAsia="zh-CN"/>
        </w:rPr>
        <w:t>。</w:t>
      </w:r>
      <w:r>
        <w:rPr>
          <w:rFonts w:hint="eastAsia" w:ascii="仿宋" w:hAnsi="仿宋" w:eastAsia="仿宋" w:cs="仿宋"/>
          <w:sz w:val="32"/>
          <w:szCs w:val="32"/>
        </w:rPr>
        <w:t>2024年度，雪峰街道办事处无年末结转和结余资金，所有资金均已按照预算执行完毕</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黑体" w:hAnsi="黑体" w:eastAsia="黑体" w:cs="黑体"/>
          <w:b w:val="0"/>
          <w:bCs w:val="0"/>
          <w:color w:val="auto"/>
          <w:kern w:val="0"/>
          <w:sz w:val="32"/>
          <w:szCs w:val="32"/>
          <w:highlight w:val="none"/>
          <w:shd w:val="clear" w:color="auto" w:fill="FFFFFF"/>
        </w:rPr>
      </w:pPr>
      <w:r>
        <w:rPr>
          <w:rFonts w:hint="eastAsia" w:ascii="黑体" w:hAnsi="黑体" w:eastAsia="黑体" w:cs="黑体"/>
          <w:b w:val="0"/>
          <w:bCs w:val="0"/>
          <w:color w:val="auto"/>
          <w:kern w:val="0"/>
          <w:sz w:val="32"/>
          <w:szCs w:val="32"/>
          <w:highlight w:val="none"/>
          <w:shd w:val="clear" w:color="auto" w:fill="FFFFFF"/>
        </w:rPr>
        <w:t>三</w:t>
      </w:r>
      <w:r>
        <w:rPr>
          <w:rFonts w:hint="eastAsia" w:ascii="黑体" w:hAnsi="黑体" w:eastAsia="黑体" w:cs="黑体"/>
          <w:b w:val="0"/>
          <w:bCs w:val="0"/>
          <w:color w:val="auto"/>
          <w:kern w:val="0"/>
          <w:sz w:val="32"/>
          <w:szCs w:val="32"/>
          <w:highlight w:val="none"/>
          <w:shd w:val="clear" w:color="auto" w:fill="FFFFFF"/>
          <w:lang w:eastAsia="zh-CN"/>
        </w:rPr>
        <w:t>、</w:t>
      </w:r>
      <w:r>
        <w:rPr>
          <w:rFonts w:hint="eastAsia" w:ascii="黑体" w:hAnsi="黑体" w:eastAsia="黑体" w:cs="黑体"/>
          <w:b w:val="0"/>
          <w:bCs w:val="0"/>
          <w:color w:val="auto"/>
          <w:kern w:val="0"/>
          <w:sz w:val="32"/>
          <w:szCs w:val="32"/>
          <w:highlight w:val="none"/>
          <w:shd w:val="clear" w:color="auto" w:fill="FFFFFF"/>
        </w:rPr>
        <w:t>部门</w:t>
      </w:r>
      <w:r>
        <w:rPr>
          <w:rFonts w:hint="eastAsia" w:ascii="黑体" w:hAnsi="黑体" w:eastAsia="黑体" w:cs="黑体"/>
          <w:b w:val="0"/>
          <w:bCs w:val="0"/>
          <w:color w:val="auto"/>
          <w:kern w:val="0"/>
          <w:sz w:val="32"/>
          <w:szCs w:val="32"/>
          <w:highlight w:val="none"/>
          <w:shd w:val="clear" w:color="auto" w:fill="FFFFFF"/>
          <w:lang w:eastAsia="zh-CN"/>
        </w:rPr>
        <w:t>预算</w:t>
      </w:r>
      <w:r>
        <w:rPr>
          <w:rFonts w:hint="eastAsia" w:ascii="黑体" w:hAnsi="黑体" w:eastAsia="黑体" w:cs="黑体"/>
          <w:b w:val="0"/>
          <w:bCs w:val="0"/>
          <w:color w:val="auto"/>
          <w:kern w:val="0"/>
          <w:sz w:val="32"/>
          <w:szCs w:val="32"/>
          <w:highlight w:val="none"/>
          <w:shd w:val="clear" w:color="auto" w:fill="FFFFFF"/>
        </w:rPr>
        <w:t>绩效</w:t>
      </w:r>
      <w:r>
        <w:rPr>
          <w:rFonts w:hint="eastAsia" w:ascii="黑体" w:hAnsi="黑体" w:eastAsia="黑体" w:cs="黑体"/>
          <w:b w:val="0"/>
          <w:bCs w:val="0"/>
          <w:color w:val="auto"/>
          <w:kern w:val="0"/>
          <w:sz w:val="32"/>
          <w:szCs w:val="32"/>
          <w:highlight w:val="none"/>
          <w:shd w:val="clear" w:color="auto" w:fill="FFFFFF"/>
          <w:lang w:eastAsia="zh-CN"/>
        </w:rPr>
        <w:t>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val="zh-CN" w:eastAsia="zh-CN"/>
        </w:rPr>
      </w:pPr>
      <w:r>
        <w:rPr>
          <w:rFonts w:hint="eastAsia" w:ascii="楷体" w:hAnsi="楷体" w:eastAsia="楷体" w:cs="楷体"/>
          <w:sz w:val="32"/>
          <w:szCs w:val="32"/>
          <w:lang w:val="zh-CN"/>
        </w:rPr>
        <w:t>（一）部门预算总</w:t>
      </w:r>
      <w:r>
        <w:rPr>
          <w:rFonts w:hint="eastAsia" w:ascii="楷体" w:hAnsi="楷体" w:eastAsia="楷体" w:cs="楷体"/>
          <w:b w:val="0"/>
          <w:bCs w:val="0"/>
          <w:color w:val="auto"/>
          <w:kern w:val="0"/>
          <w:sz w:val="32"/>
          <w:szCs w:val="32"/>
          <w:highlight w:val="none"/>
          <w:shd w:val="clear" w:color="auto" w:fill="FFFFFF"/>
          <w:lang w:val="zh-CN"/>
        </w:rPr>
        <w:t>体绩效分析。</w:t>
      </w:r>
      <w:r>
        <w:rPr>
          <w:rFonts w:hint="eastAsia" w:ascii="仿宋" w:hAnsi="仿宋" w:eastAsia="仿宋" w:cs="仿宋"/>
          <w:b w:val="0"/>
          <w:bCs w:val="0"/>
          <w:color w:val="auto"/>
          <w:kern w:val="0"/>
          <w:position w:val="0"/>
          <w:sz w:val="32"/>
          <w:szCs w:val="32"/>
          <w:highlight w:val="none"/>
          <w:lang w:val="zh-CN" w:eastAsia="zh-CN" w:bidi="ar-SA"/>
        </w:rPr>
        <w:t>根</w:t>
      </w:r>
      <w:r>
        <w:rPr>
          <w:rFonts w:hint="eastAsia" w:ascii="仿宋" w:hAnsi="仿宋" w:eastAsia="仿宋" w:cs="仿宋"/>
          <w:sz w:val="32"/>
          <w:szCs w:val="32"/>
          <w:lang w:val="zh-CN" w:eastAsia="zh-CN"/>
        </w:rPr>
        <w:t>据《部门预算绩效自评打分表》，从履职效能、预算管理、财务管理、资产管理、采购管理五个方面对2024年度部门整体支出绩效进行逐项分析，具体如下：</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1.履职效能（15分/自评15分）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第一书记履职效果：完成驻村帮扶任务，推动村集体经济增收，得分3分；西部志愿者履职效果：组织社区服务活动，服务覆盖率达90%，得分3分；两新指导员履职效果：指导非公企业党建规范化建设，得分3分；文明劝导员履职效果：全年劝导不文明行为，辖区投诉率下降，得分3分；伙食团履职效果：职工就餐满意度高，成本控制优，得分3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2.预算管理（25分/自评23分）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预算编制质量（8分/自评7分）：财政拨款预算偏离度低于目标偏离度，扣1分；支出执行进度（6分/自评5分）：1-6月执行率低于目标执行率，扣1分；预算年终结余（5分/自评5分）：全年无结转结余资金，得满分；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严控一般性支出（6分/自评6分）：无“三公”经费支出。</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3.财务管理（10分/自评10分）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财务管理制度（4分）：修订完善《雪峰街道财务管理办法》，落实内控责任，得分4分；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财务岗位设置（2分）：设置会计、出纳岗位，职责分离明确，得分2分；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资金使用规范（4分）：全年无违规支出，得分4分。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4.资产管理（9分/自评8.4分）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人均资产变化率（3分/自评3分）：人均资产无变化，得满分；资产利用率（3分/自评</w:t>
      </w:r>
      <w:r>
        <w:rPr>
          <w:rFonts w:hint="eastAsia" w:ascii="仿宋" w:hAnsi="仿宋" w:eastAsia="仿宋" w:cs="仿宋"/>
          <w:sz w:val="32"/>
          <w:szCs w:val="32"/>
          <w:lang w:val="en-US" w:eastAsia="zh-CN"/>
        </w:rPr>
        <w:t>3</w:t>
      </w:r>
      <w:r>
        <w:rPr>
          <w:rFonts w:hint="eastAsia" w:ascii="仿宋" w:hAnsi="仿宋" w:eastAsia="仿宋" w:cs="仿宋"/>
          <w:sz w:val="32"/>
          <w:szCs w:val="32"/>
          <w:lang w:val="zh-CN" w:eastAsia="zh-CN"/>
        </w:rPr>
        <w:t>分）：办公设备超期利用率高，得满分；资产盘活率（3分/自评</w:t>
      </w:r>
      <w:r>
        <w:rPr>
          <w:rFonts w:hint="eastAsia" w:ascii="仿宋" w:hAnsi="仿宋" w:eastAsia="仿宋" w:cs="仿宋"/>
          <w:sz w:val="32"/>
          <w:szCs w:val="32"/>
          <w:lang w:val="en-US" w:eastAsia="zh-CN"/>
        </w:rPr>
        <w:t>2.4</w:t>
      </w:r>
      <w:r>
        <w:rPr>
          <w:rFonts w:hint="eastAsia" w:ascii="仿宋" w:hAnsi="仿宋" w:eastAsia="仿宋" w:cs="仿宋"/>
          <w:sz w:val="32"/>
          <w:szCs w:val="32"/>
          <w:lang w:val="zh-CN" w:eastAsia="zh-CN"/>
        </w:rPr>
        <w:t>分）：闲置资产盘活率低，扣</w:t>
      </w:r>
      <w:r>
        <w:rPr>
          <w:rFonts w:hint="eastAsia" w:ascii="仿宋" w:hAnsi="仿宋" w:eastAsia="仿宋" w:cs="仿宋"/>
          <w:sz w:val="32"/>
          <w:szCs w:val="32"/>
          <w:lang w:val="en-US" w:eastAsia="zh-CN"/>
        </w:rPr>
        <w:t>0.6分</w:t>
      </w:r>
      <w:r>
        <w:rPr>
          <w:rFonts w:hint="eastAsia" w:ascii="仿宋" w:hAnsi="仿宋" w:eastAsia="仿宋" w:cs="仿宋"/>
          <w:sz w:val="32"/>
          <w:szCs w:val="32"/>
          <w:lang w:val="zh-CN"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5.采购管理（6分/自评6分）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支持中小企业发展（3分）：政府采购项目预留中小企业份额，得3分；采购执行率（3分）：政府采购资金按时支付，得3分。</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（二）部门预算项目绩效分析。</w:t>
      </w:r>
      <w:r>
        <w:rPr>
          <w:rFonts w:hint="eastAsia" w:ascii="仿宋" w:hAnsi="仿宋" w:eastAsia="仿宋" w:cs="仿宋"/>
          <w:b w:val="0"/>
          <w:bCs w:val="0"/>
          <w:color w:val="auto"/>
          <w:kern w:val="0"/>
          <w:position w:val="0"/>
          <w:sz w:val="32"/>
          <w:szCs w:val="32"/>
          <w:highlight w:val="none"/>
          <w:lang w:val="zh-CN" w:eastAsia="zh-CN" w:bidi="ar-SA"/>
        </w:rPr>
        <w:t>2024年度共实施项目</w:t>
      </w:r>
      <w:r>
        <w:rPr>
          <w:rFonts w:hint="eastAsia" w:ascii="仿宋" w:hAnsi="仿宋" w:eastAsia="仿宋" w:cs="仿宋"/>
          <w:b w:val="0"/>
          <w:bCs w:val="0"/>
          <w:color w:val="auto"/>
          <w:kern w:val="0"/>
          <w:position w:val="0"/>
          <w:sz w:val="32"/>
          <w:szCs w:val="32"/>
          <w:highlight w:val="none"/>
          <w:lang w:val="en-US" w:eastAsia="zh-CN" w:bidi="ar-SA"/>
        </w:rPr>
        <w:t>27</w:t>
      </w:r>
      <w:r>
        <w:rPr>
          <w:rFonts w:hint="eastAsia" w:ascii="仿宋" w:hAnsi="仿宋" w:eastAsia="仿宋" w:cs="仿宋"/>
          <w:b w:val="0"/>
          <w:bCs w:val="0"/>
          <w:color w:val="auto"/>
          <w:kern w:val="0"/>
          <w:position w:val="0"/>
          <w:sz w:val="32"/>
          <w:szCs w:val="32"/>
          <w:highlight w:val="none"/>
          <w:lang w:val="zh-CN" w:eastAsia="zh-CN" w:bidi="ar-SA"/>
        </w:rPr>
        <w:t>个，涉及预算资金</w:t>
      </w:r>
      <w:r>
        <w:rPr>
          <w:rFonts w:hint="eastAsia" w:ascii="仿宋" w:hAnsi="仿宋" w:eastAsia="仿宋" w:cs="仿宋"/>
          <w:b w:val="0"/>
          <w:bCs w:val="0"/>
          <w:color w:val="auto"/>
          <w:kern w:val="0"/>
          <w:position w:val="0"/>
          <w:sz w:val="32"/>
          <w:szCs w:val="32"/>
          <w:highlight w:val="none"/>
          <w:lang w:val="en-US" w:eastAsia="zh-CN" w:bidi="ar-SA"/>
        </w:rPr>
        <w:t>240.35</w:t>
      </w:r>
      <w:r>
        <w:rPr>
          <w:rFonts w:hint="eastAsia" w:ascii="仿宋" w:hAnsi="仿宋" w:eastAsia="仿宋" w:cs="仿宋"/>
          <w:b w:val="0"/>
          <w:bCs w:val="0"/>
          <w:color w:val="auto"/>
          <w:kern w:val="0"/>
          <w:position w:val="0"/>
          <w:sz w:val="32"/>
          <w:szCs w:val="32"/>
          <w:highlight w:val="none"/>
          <w:lang w:val="zh-CN" w:eastAsia="zh-CN" w:bidi="ar-SA"/>
        </w:rPr>
        <w:t>万元，全年执行率100%，无结余。根据项目类型分类分析如下：</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zh-CN" w:eastAsia="zh-CN" w:bidi="ar-SA"/>
        </w:rPr>
      </w:pPr>
      <w:r>
        <w:rPr>
          <w:rFonts w:hint="eastAsia" w:ascii="仿宋" w:hAnsi="仿宋" w:eastAsia="仿宋" w:cs="仿宋"/>
          <w:b w:val="0"/>
          <w:bCs w:val="0"/>
          <w:color w:val="auto"/>
          <w:kern w:val="0"/>
          <w:position w:val="0"/>
          <w:sz w:val="32"/>
          <w:szCs w:val="32"/>
          <w:highlight w:val="none"/>
          <w:lang w:val="zh-CN" w:eastAsia="zh-CN" w:bidi="ar-SA"/>
        </w:rPr>
        <w:t>1.常年项目绩效分析</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zh-CN" w:eastAsia="zh-CN" w:bidi="ar-SA"/>
        </w:rPr>
      </w:pPr>
      <w:r>
        <w:rPr>
          <w:rFonts w:hint="eastAsia" w:ascii="仿宋" w:hAnsi="仿宋" w:eastAsia="仿宋" w:cs="仿宋"/>
          <w:b w:val="0"/>
          <w:bCs w:val="0"/>
          <w:color w:val="auto"/>
          <w:kern w:val="0"/>
          <w:position w:val="0"/>
          <w:sz w:val="32"/>
          <w:szCs w:val="32"/>
          <w:highlight w:val="none"/>
          <w:lang w:val="zh-CN" w:eastAsia="zh-CN" w:bidi="ar-SA"/>
        </w:rPr>
        <w:t>项目名称：80岁老党员生活补助、森林防火专项经费等；</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zh-CN" w:eastAsia="zh-CN" w:bidi="ar-SA"/>
        </w:rPr>
      </w:pPr>
      <w:r>
        <w:rPr>
          <w:rFonts w:hint="eastAsia" w:ascii="仿宋" w:hAnsi="仿宋" w:eastAsia="仿宋" w:cs="仿宋"/>
          <w:b w:val="0"/>
          <w:bCs w:val="0"/>
          <w:color w:val="auto"/>
          <w:kern w:val="0"/>
          <w:position w:val="0"/>
          <w:sz w:val="32"/>
          <w:szCs w:val="32"/>
          <w:highlight w:val="none"/>
          <w:lang w:val="zh-CN" w:eastAsia="zh-CN" w:bidi="ar-SA"/>
        </w:rPr>
        <w:t>预算总金额：</w:t>
      </w:r>
      <w:r>
        <w:rPr>
          <w:rFonts w:hint="eastAsia" w:ascii="仿宋" w:hAnsi="仿宋" w:eastAsia="仿宋" w:cs="仿宋"/>
          <w:b w:val="0"/>
          <w:bCs w:val="0"/>
          <w:color w:val="auto"/>
          <w:kern w:val="0"/>
          <w:position w:val="0"/>
          <w:sz w:val="32"/>
          <w:szCs w:val="32"/>
          <w:highlight w:val="none"/>
          <w:lang w:val="en-US" w:eastAsia="zh-CN" w:bidi="ar-SA"/>
        </w:rPr>
        <w:t>84.76</w:t>
      </w:r>
      <w:r>
        <w:rPr>
          <w:rFonts w:hint="eastAsia" w:ascii="仿宋" w:hAnsi="仿宋" w:eastAsia="仿宋" w:cs="仿宋"/>
          <w:b w:val="0"/>
          <w:bCs w:val="0"/>
          <w:color w:val="auto"/>
          <w:kern w:val="0"/>
          <w:position w:val="0"/>
          <w:sz w:val="32"/>
          <w:szCs w:val="32"/>
          <w:highlight w:val="none"/>
          <w:lang w:val="zh-CN" w:eastAsia="zh-CN" w:bidi="ar-SA"/>
        </w:rPr>
        <w:t>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zh-CN" w:eastAsia="zh-CN" w:bidi="ar-SA"/>
        </w:rPr>
      </w:pPr>
      <w:r>
        <w:rPr>
          <w:rFonts w:hint="eastAsia" w:ascii="仿宋" w:hAnsi="仿宋" w:eastAsia="仿宋" w:cs="仿宋"/>
          <w:b w:val="0"/>
          <w:bCs w:val="0"/>
          <w:color w:val="auto"/>
          <w:kern w:val="0"/>
          <w:position w:val="0"/>
          <w:sz w:val="32"/>
          <w:szCs w:val="32"/>
          <w:highlight w:val="none"/>
          <w:lang w:val="zh-CN" w:eastAsia="zh-CN" w:bidi="ar-SA"/>
        </w:rPr>
        <w:t>执行进度：全年执行率100%；</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zh-CN" w:eastAsia="zh-CN" w:bidi="ar-SA"/>
        </w:rPr>
      </w:pPr>
      <w:r>
        <w:rPr>
          <w:rFonts w:hint="eastAsia" w:ascii="仿宋" w:hAnsi="仿宋" w:eastAsia="仿宋" w:cs="仿宋"/>
          <w:b w:val="0"/>
          <w:bCs w:val="0"/>
          <w:color w:val="auto"/>
          <w:kern w:val="0"/>
          <w:position w:val="0"/>
          <w:sz w:val="32"/>
          <w:szCs w:val="32"/>
          <w:highlight w:val="none"/>
          <w:lang w:val="zh-CN" w:eastAsia="zh-CN" w:bidi="ar-SA"/>
        </w:rPr>
        <w:t>绩效目标实现：老党员补助覆盖率100%，发放及时率100%；森林防火检查覆盖率100%，全年未发生重大火情。</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zh-CN" w:eastAsia="zh-CN" w:bidi="ar-SA"/>
        </w:rPr>
      </w:pPr>
      <w:r>
        <w:rPr>
          <w:rFonts w:hint="eastAsia" w:ascii="仿宋" w:hAnsi="仿宋" w:eastAsia="仿宋" w:cs="仿宋"/>
          <w:b w:val="0"/>
          <w:bCs w:val="0"/>
          <w:color w:val="auto"/>
          <w:kern w:val="0"/>
          <w:position w:val="0"/>
          <w:sz w:val="32"/>
          <w:szCs w:val="32"/>
          <w:highlight w:val="none"/>
          <w:lang w:val="en-US" w:eastAsia="zh-CN" w:bidi="ar-SA"/>
        </w:rPr>
        <w:t>2.</w:t>
      </w:r>
      <w:r>
        <w:rPr>
          <w:rFonts w:hint="eastAsia" w:ascii="仿宋" w:hAnsi="仿宋" w:eastAsia="仿宋" w:cs="仿宋"/>
          <w:b w:val="0"/>
          <w:bCs w:val="0"/>
          <w:color w:val="auto"/>
          <w:kern w:val="0"/>
          <w:position w:val="0"/>
          <w:sz w:val="32"/>
          <w:szCs w:val="32"/>
          <w:highlight w:val="none"/>
          <w:lang w:val="zh-CN" w:eastAsia="zh-CN" w:bidi="ar-SA"/>
        </w:rPr>
        <w:t>阶段（含一次性）项目绩效分析</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zh-CN" w:eastAsia="zh-CN" w:bidi="ar-SA"/>
        </w:rPr>
      </w:pPr>
      <w:r>
        <w:rPr>
          <w:rFonts w:hint="eastAsia" w:ascii="仿宋" w:hAnsi="仿宋" w:eastAsia="仿宋" w:cs="仿宋"/>
          <w:b w:val="0"/>
          <w:bCs w:val="0"/>
          <w:color w:val="auto"/>
          <w:kern w:val="0"/>
          <w:position w:val="0"/>
          <w:sz w:val="32"/>
          <w:szCs w:val="32"/>
          <w:highlight w:val="none"/>
          <w:lang w:val="zh-CN" w:eastAsia="zh-CN" w:bidi="ar-SA"/>
        </w:rPr>
        <w:t>项目名称：国资金融局农房重建贷款清收工作经费、盘活存量资金等；</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en-US" w:eastAsia="zh-CN" w:bidi="ar-SA"/>
        </w:rPr>
      </w:pPr>
      <w:r>
        <w:rPr>
          <w:rFonts w:hint="eastAsia" w:ascii="仿宋" w:hAnsi="仿宋" w:eastAsia="仿宋" w:cs="仿宋"/>
          <w:b w:val="0"/>
          <w:bCs w:val="0"/>
          <w:color w:val="auto"/>
          <w:kern w:val="0"/>
          <w:position w:val="0"/>
          <w:sz w:val="32"/>
          <w:szCs w:val="32"/>
          <w:highlight w:val="none"/>
          <w:lang w:val="zh-CN" w:eastAsia="zh-CN" w:bidi="ar-SA"/>
        </w:rPr>
        <w:t>预算总金额：</w:t>
      </w:r>
      <w:r>
        <w:rPr>
          <w:rFonts w:hint="eastAsia" w:ascii="仿宋" w:hAnsi="仿宋" w:eastAsia="仿宋" w:cs="仿宋"/>
          <w:b w:val="0"/>
          <w:bCs w:val="0"/>
          <w:color w:val="auto"/>
          <w:kern w:val="0"/>
          <w:position w:val="0"/>
          <w:sz w:val="32"/>
          <w:szCs w:val="32"/>
          <w:highlight w:val="none"/>
          <w:lang w:val="en-US" w:eastAsia="zh-CN" w:bidi="ar-SA"/>
        </w:rPr>
        <w:t>155.59万元；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zh-CN" w:eastAsia="zh-CN" w:bidi="ar-SA"/>
        </w:rPr>
      </w:pPr>
      <w:r>
        <w:rPr>
          <w:rFonts w:hint="eastAsia" w:ascii="仿宋" w:hAnsi="仿宋" w:eastAsia="仿宋" w:cs="仿宋"/>
          <w:b w:val="0"/>
          <w:bCs w:val="0"/>
          <w:color w:val="auto"/>
          <w:kern w:val="0"/>
          <w:position w:val="0"/>
          <w:sz w:val="32"/>
          <w:szCs w:val="32"/>
          <w:highlight w:val="none"/>
          <w:lang w:val="zh-CN" w:eastAsia="zh-CN" w:bidi="ar-SA"/>
        </w:rPr>
        <w:t>执行进度：12月底前全部完成支付；</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zh-CN" w:eastAsia="zh-CN" w:bidi="ar-SA"/>
        </w:rPr>
      </w:pPr>
      <w:r>
        <w:rPr>
          <w:rFonts w:hint="eastAsia" w:ascii="仿宋" w:hAnsi="仿宋" w:eastAsia="仿宋" w:cs="仿宋"/>
          <w:b w:val="0"/>
          <w:bCs w:val="0"/>
          <w:color w:val="auto"/>
          <w:kern w:val="0"/>
          <w:position w:val="0"/>
          <w:sz w:val="32"/>
          <w:szCs w:val="32"/>
          <w:highlight w:val="none"/>
          <w:lang w:val="zh-CN" w:eastAsia="zh-CN" w:bidi="ar-SA"/>
        </w:rPr>
        <w:t>绩效目标实现：开展法治宣传活动</w:t>
      </w:r>
      <w:r>
        <w:rPr>
          <w:rFonts w:hint="eastAsia" w:ascii="仿宋" w:hAnsi="仿宋" w:eastAsia="仿宋" w:cs="仿宋"/>
          <w:b w:val="0"/>
          <w:bCs w:val="0"/>
          <w:color w:val="auto"/>
          <w:kern w:val="0"/>
          <w:position w:val="0"/>
          <w:sz w:val="32"/>
          <w:szCs w:val="32"/>
          <w:highlight w:val="none"/>
          <w:lang w:val="en-US" w:eastAsia="zh-CN" w:bidi="ar-SA"/>
        </w:rPr>
        <w:t>3</w:t>
      </w:r>
      <w:r>
        <w:rPr>
          <w:rFonts w:hint="eastAsia" w:ascii="仿宋" w:hAnsi="仿宋" w:eastAsia="仿宋" w:cs="仿宋"/>
          <w:b w:val="0"/>
          <w:bCs w:val="0"/>
          <w:color w:val="auto"/>
          <w:kern w:val="0"/>
          <w:position w:val="0"/>
          <w:sz w:val="32"/>
          <w:szCs w:val="32"/>
          <w:highlight w:val="none"/>
          <w:lang w:val="zh-CN" w:eastAsia="zh-CN" w:bidi="ar-SA"/>
        </w:rPr>
        <w:t>场次，居民知晓率提升至90%；民兵训练达标率100%，征兵任务完成率100%。</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zh-CN" w:eastAsia="zh-CN" w:bidi="ar-SA"/>
        </w:rPr>
      </w:pPr>
      <w:r>
        <w:rPr>
          <w:rFonts w:hint="eastAsia" w:ascii="仿宋" w:hAnsi="仿宋" w:eastAsia="仿宋" w:cs="仿宋"/>
          <w:b w:val="0"/>
          <w:bCs w:val="0"/>
          <w:color w:val="auto"/>
          <w:kern w:val="0"/>
          <w:position w:val="0"/>
          <w:sz w:val="32"/>
          <w:szCs w:val="32"/>
          <w:highlight w:val="none"/>
          <w:lang w:val="en-US" w:eastAsia="zh-CN" w:bidi="ar-SA"/>
        </w:rPr>
        <w:t>3.</w:t>
      </w:r>
      <w:r>
        <w:rPr>
          <w:rFonts w:hint="eastAsia" w:ascii="仿宋" w:hAnsi="仿宋" w:eastAsia="仿宋" w:cs="仿宋"/>
          <w:b w:val="0"/>
          <w:bCs w:val="0"/>
          <w:color w:val="auto"/>
          <w:kern w:val="0"/>
          <w:position w:val="0"/>
          <w:sz w:val="32"/>
          <w:szCs w:val="32"/>
          <w:highlight w:val="none"/>
          <w:lang w:val="zh-CN" w:eastAsia="zh-CN" w:bidi="ar-SA"/>
        </w:rPr>
        <w:t>重点领域绩效分析</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zh-CN" w:eastAsia="zh-CN" w:bidi="ar-SA"/>
        </w:rPr>
      </w:pPr>
      <w:r>
        <w:rPr>
          <w:rFonts w:hint="eastAsia" w:ascii="仿宋" w:hAnsi="仿宋" w:eastAsia="仿宋" w:cs="仿宋"/>
          <w:b w:val="0"/>
          <w:bCs w:val="0"/>
          <w:color w:val="auto"/>
          <w:kern w:val="0"/>
          <w:position w:val="0"/>
          <w:sz w:val="32"/>
          <w:szCs w:val="32"/>
          <w:highlight w:val="none"/>
          <w:lang w:val="zh-CN" w:eastAsia="zh-CN" w:bidi="ar-SA"/>
        </w:rPr>
        <w:t>政府采购项目：无相关项目；</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zh-CN" w:eastAsia="zh-CN" w:bidi="ar-SA"/>
        </w:rPr>
      </w:pPr>
      <w:r>
        <w:rPr>
          <w:rFonts w:hint="eastAsia" w:ascii="仿宋" w:hAnsi="仿宋" w:eastAsia="仿宋" w:cs="仿宋"/>
          <w:b w:val="0"/>
          <w:bCs w:val="0"/>
          <w:color w:val="auto"/>
          <w:kern w:val="0"/>
          <w:position w:val="0"/>
          <w:sz w:val="32"/>
          <w:szCs w:val="32"/>
          <w:highlight w:val="none"/>
          <w:lang w:val="zh-CN" w:eastAsia="zh-CN" w:bidi="ar-SA"/>
        </w:rPr>
        <w:t>债券资金项目：无相关项目；</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 w:hAnsi="仿宋" w:eastAsia="仿宋" w:cs="仿宋"/>
          <w:b w:val="0"/>
          <w:bCs w:val="0"/>
          <w:color w:val="auto"/>
          <w:kern w:val="0"/>
          <w:position w:val="0"/>
          <w:sz w:val="32"/>
          <w:szCs w:val="32"/>
          <w:highlight w:val="none"/>
          <w:lang w:val="zh-CN" w:eastAsia="zh-CN" w:bidi="ar-SA"/>
        </w:rPr>
        <w:t>国有资本管理：街道无经营性资产，不涉及此项。</w:t>
      </w:r>
    </w:p>
    <w:p>
      <w:pPr>
        <w:keepNext w:val="0"/>
        <w:keepLines w:val="0"/>
        <w:pageBreakBefore w:val="0"/>
        <w:widowControl w:val="0"/>
        <w:numPr>
          <w:ilvl w:val="0"/>
          <w:numId w:val="8"/>
        </w:numPr>
        <w:kinsoku/>
        <w:wordWrap/>
        <w:overflowPunct w:val="0"/>
        <w:topLinePunct w:val="0"/>
        <w:autoSpaceDE/>
        <w:autoSpaceDN/>
        <w:bidi w:val="0"/>
        <w:snapToGrid w:val="0"/>
        <w:spacing w:line="576"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绩效结果应用情况。</w:t>
      </w:r>
    </w:p>
    <w:p>
      <w:pPr>
        <w:keepNext w:val="0"/>
        <w:keepLines w:val="0"/>
        <w:pageBreakBefore w:val="0"/>
        <w:widowControl w:val="0"/>
        <w:numPr>
          <w:ilvl w:val="0"/>
          <w:numId w:val="0"/>
        </w:numPr>
        <w:kinsoku/>
        <w:wordWrap/>
        <w:overflowPunct w:val="0"/>
        <w:topLinePunct w:val="0"/>
        <w:autoSpaceDE/>
        <w:autoSpaceDN/>
        <w:bidi w:val="0"/>
        <w:adjustRightInd/>
        <w:snapToGrid w:val="0"/>
        <w:spacing w:line="576" w:lineRule="exact"/>
        <w:ind w:firstLine="640" w:firstLineChars="200"/>
        <w:jc w:val="both"/>
        <w:textAlignment w:val="auto"/>
        <w:rPr>
          <w:rFonts w:hint="eastAsia" w:ascii="仿宋" w:hAnsi="仿宋" w:eastAsia="仿宋" w:cs="仿宋"/>
          <w:b w:val="0"/>
          <w:bCs w:val="0"/>
          <w:color w:val="auto"/>
          <w:kern w:val="0"/>
          <w:position w:val="0"/>
          <w:sz w:val="32"/>
          <w:szCs w:val="32"/>
          <w:highlight w:val="none"/>
          <w:lang w:val="zh-CN" w:eastAsia="zh-CN" w:bidi="ar-SA"/>
        </w:rPr>
      </w:pPr>
      <w:r>
        <w:rPr>
          <w:rFonts w:hint="eastAsia" w:ascii="仿宋" w:hAnsi="仿宋" w:eastAsia="仿宋" w:cs="仿宋"/>
          <w:b w:val="0"/>
          <w:bCs w:val="0"/>
          <w:color w:val="auto"/>
          <w:kern w:val="0"/>
          <w:position w:val="0"/>
          <w:sz w:val="32"/>
          <w:szCs w:val="32"/>
          <w:highlight w:val="none"/>
          <w:lang w:val="zh-CN" w:eastAsia="zh-CN" w:bidi="ar-SA"/>
        </w:rPr>
        <w:t>1.内部应用：将绩效评价结果纳入街道年度考核，对预算执行率低的项目扣减次年预算；</w:t>
      </w:r>
    </w:p>
    <w:p>
      <w:pPr>
        <w:keepNext w:val="0"/>
        <w:keepLines w:val="0"/>
        <w:pageBreakBefore w:val="0"/>
        <w:widowControl w:val="0"/>
        <w:kinsoku/>
        <w:wordWrap/>
        <w:overflowPunct w:val="0"/>
        <w:topLinePunct w:val="0"/>
        <w:autoSpaceDE/>
        <w:autoSpaceDN/>
        <w:bidi w:val="0"/>
        <w:adjustRightInd/>
        <w:snapToGrid w:val="0"/>
        <w:spacing w:line="576" w:lineRule="exact"/>
        <w:ind w:left="0" w:leftChars="0" w:firstLine="640" w:firstLineChars="200"/>
        <w:jc w:val="both"/>
        <w:textAlignment w:val="auto"/>
        <w:rPr>
          <w:rFonts w:hint="eastAsia" w:ascii="仿宋" w:hAnsi="仿宋" w:eastAsia="仿宋" w:cs="仿宋"/>
          <w:b w:val="0"/>
          <w:bCs w:val="0"/>
          <w:color w:val="auto"/>
          <w:kern w:val="0"/>
          <w:position w:val="0"/>
          <w:sz w:val="32"/>
          <w:szCs w:val="32"/>
          <w:highlight w:val="none"/>
          <w:lang w:val="zh-CN" w:eastAsia="zh-CN" w:bidi="ar-SA"/>
        </w:rPr>
      </w:pPr>
      <w:r>
        <w:rPr>
          <w:rFonts w:hint="eastAsia" w:ascii="仿宋" w:hAnsi="仿宋" w:eastAsia="仿宋" w:cs="仿宋"/>
          <w:b w:val="0"/>
          <w:bCs w:val="0"/>
          <w:color w:val="auto"/>
          <w:kern w:val="0"/>
          <w:position w:val="0"/>
          <w:sz w:val="32"/>
          <w:szCs w:val="32"/>
          <w:highlight w:val="none"/>
          <w:lang w:val="zh-CN" w:eastAsia="zh-CN" w:bidi="ar-SA"/>
        </w:rPr>
        <w:t>2.信息公开：通过街道政务公开栏公示绩效自评报告，接受社会监督；</w:t>
      </w:r>
    </w:p>
    <w:p>
      <w:pPr>
        <w:keepNext w:val="0"/>
        <w:keepLines w:val="0"/>
        <w:pageBreakBefore w:val="0"/>
        <w:widowControl w:val="0"/>
        <w:kinsoku/>
        <w:wordWrap/>
        <w:overflowPunct w:val="0"/>
        <w:topLinePunct w:val="0"/>
        <w:autoSpaceDE/>
        <w:autoSpaceDN/>
        <w:bidi w:val="0"/>
        <w:adjustRightInd/>
        <w:snapToGrid w:val="0"/>
        <w:spacing w:line="576" w:lineRule="exact"/>
        <w:ind w:left="0" w:leftChars="0" w:firstLine="640" w:firstLineChars="200"/>
        <w:jc w:val="both"/>
        <w:textAlignment w:val="auto"/>
        <w:rPr>
          <w:rFonts w:hint="eastAsia" w:ascii="仿宋" w:hAnsi="仿宋" w:eastAsia="仿宋" w:cs="仿宋"/>
          <w:b w:val="0"/>
          <w:bCs w:val="0"/>
          <w:color w:val="auto"/>
          <w:kern w:val="0"/>
          <w:position w:val="0"/>
          <w:sz w:val="32"/>
          <w:szCs w:val="32"/>
          <w:highlight w:val="none"/>
          <w:lang w:val="zh-CN" w:eastAsia="zh-CN" w:bidi="ar-SA"/>
        </w:rPr>
      </w:pPr>
      <w:r>
        <w:rPr>
          <w:rFonts w:hint="eastAsia" w:ascii="仿宋" w:hAnsi="仿宋" w:eastAsia="仿宋" w:cs="仿宋"/>
          <w:b w:val="0"/>
          <w:bCs w:val="0"/>
          <w:color w:val="auto"/>
          <w:kern w:val="0"/>
          <w:position w:val="0"/>
          <w:sz w:val="32"/>
          <w:szCs w:val="32"/>
          <w:highlight w:val="none"/>
          <w:lang w:val="zh-CN" w:eastAsia="zh-CN" w:bidi="ar-SA"/>
        </w:rPr>
        <w:t>3.整改反馈：针对资产管理效率不足问题，制定《2025年资产盘点计划》，明确设备报废更新节点。</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黑体" w:hAnsi="黑体" w:eastAsia="黑体" w:cs="黑体"/>
          <w:b w:val="0"/>
          <w:bCs w:val="0"/>
          <w:color w:val="auto"/>
          <w:kern w:val="0"/>
          <w:sz w:val="32"/>
          <w:szCs w:val="32"/>
          <w:highlight w:val="none"/>
          <w:shd w:val="clear" w:color="auto" w:fill="FFFFFF"/>
        </w:rPr>
      </w:pPr>
      <w:r>
        <w:rPr>
          <w:rFonts w:hint="eastAsia" w:ascii="黑体" w:hAnsi="黑体" w:eastAsia="黑体" w:cs="黑体"/>
          <w:b w:val="0"/>
          <w:bCs w:val="0"/>
          <w:color w:val="auto"/>
          <w:kern w:val="0"/>
          <w:sz w:val="32"/>
          <w:szCs w:val="32"/>
          <w:highlight w:val="none"/>
          <w:shd w:val="clear" w:color="auto" w:fill="FFFFFF"/>
          <w:lang w:eastAsia="zh-CN"/>
        </w:rPr>
        <w:t>四、</w:t>
      </w:r>
      <w:r>
        <w:rPr>
          <w:rFonts w:hint="eastAsia" w:ascii="黑体" w:hAnsi="黑体" w:eastAsia="黑体" w:cs="黑体"/>
          <w:b w:val="0"/>
          <w:bCs w:val="0"/>
          <w:color w:val="auto"/>
          <w:kern w:val="0"/>
          <w:sz w:val="32"/>
          <w:szCs w:val="32"/>
          <w:highlight w:val="none"/>
          <w:shd w:val="clear" w:color="auto" w:fill="FFFFFF"/>
        </w:rPr>
        <w:t>评价结论及建议</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rPr>
        <w:t>（一）评价结论。</w:t>
      </w:r>
      <w:r>
        <w:rPr>
          <w:rFonts w:hint="eastAsia" w:ascii="仿宋" w:hAnsi="仿宋" w:eastAsia="仿宋" w:cs="仿宋"/>
          <w:b w:val="0"/>
          <w:bCs w:val="0"/>
          <w:color w:val="auto"/>
          <w:kern w:val="0"/>
          <w:position w:val="0"/>
          <w:sz w:val="32"/>
          <w:szCs w:val="32"/>
          <w:highlight w:val="none"/>
          <w:lang w:val="en-US" w:eastAsia="zh-CN" w:bidi="ar-SA"/>
        </w:rPr>
        <w:t>根据2024年度部门预算绩效自评结果，雪峰街道总体绩效得分为96.4分（满分100分），其中：</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en-US" w:eastAsia="zh-CN" w:bidi="ar-SA"/>
        </w:rPr>
      </w:pPr>
      <w:r>
        <w:rPr>
          <w:rFonts w:hint="eastAsia" w:ascii="仿宋" w:hAnsi="仿宋" w:eastAsia="仿宋" w:cs="仿宋"/>
          <w:b w:val="0"/>
          <w:bCs w:val="0"/>
          <w:color w:val="auto"/>
          <w:kern w:val="0"/>
          <w:position w:val="0"/>
          <w:sz w:val="32"/>
          <w:szCs w:val="32"/>
          <w:highlight w:val="none"/>
          <w:lang w:val="en-US" w:eastAsia="zh-CN" w:bidi="ar-SA"/>
        </w:rPr>
        <w:t>总体绩效（65分）：自评得分62.4分（履职效能15分、预算管理23分、财务管理10分、资产管理8.4分、采购管理6分）；</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en-US" w:eastAsia="zh-CN" w:bidi="ar-SA"/>
        </w:rPr>
      </w:pPr>
      <w:r>
        <w:rPr>
          <w:rFonts w:hint="eastAsia" w:ascii="仿宋" w:hAnsi="仿宋" w:eastAsia="仿宋" w:cs="仿宋"/>
          <w:b w:val="0"/>
          <w:bCs w:val="0"/>
          <w:color w:val="auto"/>
          <w:kern w:val="0"/>
          <w:position w:val="0"/>
          <w:sz w:val="32"/>
          <w:szCs w:val="32"/>
          <w:highlight w:val="none"/>
          <w:lang w:val="en-US" w:eastAsia="zh-CN" w:bidi="ar-SA"/>
        </w:rPr>
        <w:t>项目绩效（35分）：自评得分34分（项目决策12分、项目执行12分、目标实现10分）；</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en-US" w:eastAsia="zh-CN" w:bidi="ar-SA"/>
        </w:rPr>
      </w:pPr>
      <w:r>
        <w:rPr>
          <w:rFonts w:hint="eastAsia" w:ascii="仿宋" w:hAnsi="仿宋" w:eastAsia="仿宋" w:cs="仿宋"/>
          <w:b w:val="0"/>
          <w:bCs w:val="0"/>
          <w:color w:val="auto"/>
          <w:kern w:val="0"/>
          <w:position w:val="0"/>
          <w:sz w:val="32"/>
          <w:szCs w:val="32"/>
          <w:highlight w:val="none"/>
          <w:lang w:val="en-US" w:eastAsia="zh-CN" w:bidi="ar-SA"/>
        </w:rPr>
        <w:t>扣分项：无扣分。</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 w:hAnsi="仿宋" w:eastAsia="仿宋" w:cs="仿宋"/>
          <w:b w:val="0"/>
          <w:bCs w:val="0"/>
          <w:color w:val="auto"/>
          <w:kern w:val="0"/>
          <w:position w:val="0"/>
          <w:sz w:val="32"/>
          <w:szCs w:val="32"/>
          <w:highlight w:val="none"/>
          <w:lang w:val="en-US" w:eastAsia="zh-CN" w:bidi="ar-SA"/>
        </w:rPr>
        <w:t>总体来看，我办预算执行规范，资金使用效率较高，全年无结转结余，重点项目如森林防火、老党员补助等均按计划完成，民生支出保障到位。但在资产管理精细化、预算编制精准性方面仍有提升空间。</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楷体_GB2312" w:hAnsi="楷体_GB2312" w:eastAsia="楷体_GB2312" w:cs="楷体_GB2312"/>
          <w:b w:val="0"/>
          <w:bCs w:val="0"/>
          <w:color w:val="auto"/>
          <w:spacing w:val="6"/>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w:t>
      </w:r>
      <w:r>
        <w:rPr>
          <w:rFonts w:hint="eastAsia" w:ascii="楷体_GB2312" w:hAnsi="楷体_GB2312" w:eastAsia="楷体_GB2312" w:cs="楷体_GB2312"/>
          <w:b w:val="0"/>
          <w:bCs w:val="0"/>
          <w:color w:val="auto"/>
          <w:spacing w:val="6"/>
          <w:kern w:val="0"/>
          <w:sz w:val="32"/>
          <w:szCs w:val="32"/>
          <w:highlight w:val="none"/>
          <w:shd w:val="clear" w:color="auto" w:fill="FFFFFF"/>
          <w:lang w:val="zh-CN"/>
        </w:rPr>
        <w:t>存在问题。</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64" w:firstLineChars="200"/>
        <w:contextualSpacing/>
        <w:jc w:val="both"/>
        <w:textAlignment w:val="auto"/>
        <w:outlineLvl w:val="9"/>
        <w:rPr>
          <w:rFonts w:hint="eastAsia" w:ascii="仿宋" w:hAnsi="仿宋" w:eastAsia="仿宋" w:cs="仿宋"/>
          <w:b w:val="0"/>
          <w:bCs w:val="0"/>
          <w:color w:val="auto"/>
          <w:spacing w:val="6"/>
          <w:kern w:val="0"/>
          <w:position w:val="0"/>
          <w:sz w:val="32"/>
          <w:szCs w:val="32"/>
          <w:highlight w:val="none"/>
          <w:lang w:val="en-US" w:eastAsia="zh-CN" w:bidi="ar-SA"/>
        </w:rPr>
      </w:pPr>
      <w:r>
        <w:rPr>
          <w:rFonts w:hint="eastAsia" w:ascii="仿宋" w:hAnsi="仿宋" w:eastAsia="仿宋" w:cs="仿宋"/>
          <w:b w:val="0"/>
          <w:bCs w:val="0"/>
          <w:color w:val="auto"/>
          <w:spacing w:val="6"/>
          <w:kern w:val="0"/>
          <w:position w:val="0"/>
          <w:sz w:val="32"/>
          <w:szCs w:val="32"/>
          <w:highlight w:val="none"/>
          <w:lang w:val="en-US" w:eastAsia="zh-CN" w:bidi="ar-SA"/>
        </w:rPr>
        <w:t>（1）预算编制科学性与精准性不足，部分项目预算编制与实际支出存在偏差；</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64" w:firstLineChars="200"/>
        <w:contextualSpacing/>
        <w:jc w:val="both"/>
        <w:textAlignment w:val="auto"/>
        <w:outlineLvl w:val="9"/>
        <w:rPr>
          <w:rFonts w:hint="eastAsia" w:ascii="仿宋" w:hAnsi="仿宋" w:eastAsia="仿宋" w:cs="仿宋"/>
          <w:b w:val="0"/>
          <w:bCs w:val="0"/>
          <w:color w:val="auto"/>
          <w:spacing w:val="6"/>
          <w:kern w:val="0"/>
          <w:position w:val="0"/>
          <w:sz w:val="32"/>
          <w:szCs w:val="32"/>
          <w:highlight w:val="none"/>
          <w:lang w:val="en-US" w:eastAsia="zh-CN" w:bidi="ar-SA"/>
        </w:rPr>
      </w:pPr>
      <w:r>
        <w:rPr>
          <w:rFonts w:hint="eastAsia" w:ascii="仿宋" w:hAnsi="仿宋" w:eastAsia="仿宋" w:cs="仿宋"/>
          <w:b w:val="0"/>
          <w:bCs w:val="0"/>
          <w:color w:val="auto"/>
          <w:spacing w:val="6"/>
          <w:kern w:val="0"/>
          <w:position w:val="0"/>
          <w:sz w:val="32"/>
          <w:szCs w:val="32"/>
          <w:highlight w:val="none"/>
          <w:lang w:val="en-US" w:eastAsia="zh-CN" w:bidi="ar-SA"/>
        </w:rPr>
        <w:t>（2）资产盘活率待提升，部分设备闲置未及时盘活；</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64" w:firstLineChars="200"/>
        <w:contextualSpacing/>
        <w:jc w:val="both"/>
        <w:textAlignment w:val="auto"/>
        <w:outlineLvl w:val="9"/>
        <w:rPr>
          <w:rFonts w:hint="eastAsia" w:ascii="仿宋" w:hAnsi="仿宋" w:eastAsia="仿宋" w:cs="仿宋"/>
          <w:b w:val="0"/>
          <w:bCs w:val="0"/>
          <w:color w:val="auto"/>
          <w:spacing w:val="6"/>
          <w:kern w:val="0"/>
          <w:position w:val="0"/>
          <w:sz w:val="32"/>
          <w:szCs w:val="32"/>
          <w:highlight w:val="none"/>
          <w:lang w:val="en-US" w:eastAsia="zh-CN" w:bidi="ar-SA"/>
        </w:rPr>
      </w:pPr>
      <w:r>
        <w:rPr>
          <w:rFonts w:hint="eastAsia" w:ascii="仿宋" w:hAnsi="仿宋" w:eastAsia="仿宋" w:cs="仿宋"/>
          <w:b w:val="0"/>
          <w:bCs w:val="0"/>
          <w:color w:val="auto"/>
          <w:spacing w:val="6"/>
          <w:kern w:val="0"/>
          <w:position w:val="0"/>
          <w:sz w:val="32"/>
          <w:szCs w:val="32"/>
          <w:highlight w:val="none"/>
          <w:lang w:val="en-US" w:eastAsia="zh-CN" w:bidi="ar-SA"/>
        </w:rPr>
        <w:t>（3）支出执行进度不均衡，1-6月预算执行率较低；</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64" w:firstLineChars="200"/>
        <w:contextualSpacing/>
        <w:jc w:val="both"/>
        <w:textAlignment w:val="auto"/>
        <w:outlineLvl w:val="9"/>
        <w:rPr>
          <w:rFonts w:hint="eastAsia" w:ascii="仿宋" w:hAnsi="仿宋" w:eastAsia="仿宋" w:cs="仿宋"/>
          <w:b w:val="0"/>
          <w:bCs w:val="0"/>
          <w:color w:val="auto"/>
          <w:spacing w:val="6"/>
          <w:kern w:val="0"/>
          <w:position w:val="0"/>
          <w:sz w:val="32"/>
          <w:szCs w:val="32"/>
          <w:highlight w:val="none"/>
          <w:lang w:val="en-US" w:eastAsia="zh-CN" w:bidi="ar-SA"/>
        </w:rPr>
      </w:pPr>
      <w:r>
        <w:rPr>
          <w:rFonts w:hint="eastAsia" w:ascii="仿宋" w:hAnsi="仿宋" w:eastAsia="仿宋" w:cs="仿宋"/>
          <w:b w:val="0"/>
          <w:bCs w:val="0"/>
          <w:color w:val="auto"/>
          <w:spacing w:val="6"/>
          <w:kern w:val="0"/>
          <w:position w:val="0"/>
          <w:sz w:val="32"/>
          <w:szCs w:val="32"/>
          <w:highlight w:val="none"/>
          <w:lang w:val="en-US" w:eastAsia="zh-CN" w:bidi="ar-SA"/>
        </w:rPr>
        <w:t>（4）绩效目标量化程度不足，部分效益指标（如“文明程度提升”）定性描述为主，缺乏可量化的考核标准，影响评价客观性。</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rPr>
        <w:t>（三）改进建议。</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en-US" w:eastAsia="zh-CN" w:bidi="ar-SA"/>
        </w:rPr>
      </w:pPr>
      <w:r>
        <w:rPr>
          <w:rFonts w:hint="eastAsia" w:ascii="仿宋" w:hAnsi="仿宋" w:eastAsia="仿宋" w:cs="仿宋"/>
          <w:b w:val="0"/>
          <w:bCs w:val="0"/>
          <w:color w:val="auto"/>
          <w:kern w:val="0"/>
          <w:position w:val="0"/>
          <w:sz w:val="32"/>
          <w:szCs w:val="32"/>
          <w:highlight w:val="none"/>
          <w:lang w:val="en-US" w:eastAsia="zh-CN" w:bidi="ar-SA"/>
        </w:rPr>
        <w:t>(1)强化预算编制精准化：建立“财政所+街道各办公室”联动机制，结合往年执行数据细化项目需求测算，减少预算偏离；</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en-US" w:eastAsia="zh-CN" w:bidi="ar-SA"/>
        </w:rPr>
      </w:pPr>
      <w:r>
        <w:rPr>
          <w:rFonts w:hint="eastAsia" w:ascii="仿宋" w:hAnsi="仿宋" w:eastAsia="仿宋" w:cs="仿宋"/>
          <w:b w:val="0"/>
          <w:bCs w:val="0"/>
          <w:color w:val="auto"/>
          <w:kern w:val="0"/>
          <w:position w:val="0"/>
          <w:sz w:val="32"/>
          <w:szCs w:val="32"/>
          <w:highlight w:val="none"/>
          <w:lang w:val="en-US" w:eastAsia="zh-CN" w:bidi="ar-SA"/>
        </w:rPr>
        <w:t>(2)优化资产管理效能：开展资产清查专项行动，对超期设备制定更新计划，闲置资产通过盘活，提高利用率；</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en-US" w:eastAsia="zh-CN" w:bidi="ar-SA"/>
        </w:rPr>
      </w:pPr>
      <w:r>
        <w:rPr>
          <w:rFonts w:hint="eastAsia" w:ascii="仿宋" w:hAnsi="仿宋" w:eastAsia="仿宋" w:cs="仿宋"/>
          <w:b w:val="0"/>
          <w:bCs w:val="0"/>
          <w:color w:val="auto"/>
          <w:kern w:val="0"/>
          <w:position w:val="0"/>
          <w:sz w:val="32"/>
          <w:szCs w:val="32"/>
          <w:highlight w:val="none"/>
          <w:lang w:val="en-US" w:eastAsia="zh-CN" w:bidi="ar-SA"/>
        </w:rPr>
        <w:t>(3)加快支出执行进度：确保资金支付时效性；</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contextualSpacing/>
        <w:jc w:val="both"/>
        <w:textAlignment w:val="auto"/>
        <w:outlineLvl w:val="9"/>
        <w:rPr>
          <w:rFonts w:hint="eastAsia" w:ascii="仿宋" w:hAnsi="仿宋" w:eastAsia="仿宋" w:cs="仿宋"/>
          <w:b w:val="0"/>
          <w:bCs w:val="0"/>
          <w:color w:val="auto"/>
          <w:kern w:val="0"/>
          <w:position w:val="0"/>
          <w:sz w:val="32"/>
          <w:szCs w:val="32"/>
          <w:highlight w:val="none"/>
          <w:lang w:val="en-US" w:eastAsia="zh-CN" w:bidi="ar-SA"/>
        </w:rPr>
      </w:pPr>
      <w:r>
        <w:rPr>
          <w:rFonts w:hint="eastAsia" w:ascii="仿宋" w:hAnsi="仿宋" w:eastAsia="仿宋" w:cs="仿宋"/>
          <w:b w:val="0"/>
          <w:bCs w:val="0"/>
          <w:color w:val="auto"/>
          <w:kern w:val="0"/>
          <w:position w:val="0"/>
          <w:sz w:val="32"/>
          <w:szCs w:val="32"/>
          <w:highlight w:val="none"/>
          <w:lang w:val="en-US" w:eastAsia="zh-CN" w:bidi="ar-SA"/>
        </w:rPr>
        <w:t>(4)完善绩效指标体系：将定性指标转化为量化标准（如“文明程度”可通过居民投诉率、志愿服务参与率等衡量）；同时加强绩效目标与预算安排的匹配性审核，确保目标可考核、可追溯；</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color w:val="auto"/>
          <w:kern w:val="2"/>
          <w:sz w:val="32"/>
          <w:szCs w:val="32"/>
          <w:lang w:val="en-US"/>
        </w:rPr>
      </w:pPr>
      <w:r>
        <w:rPr>
          <w:rFonts w:hint="eastAsia" w:ascii="仿宋" w:hAnsi="仿宋" w:eastAsia="仿宋" w:cs="仿宋"/>
          <w:b w:val="0"/>
          <w:bCs w:val="0"/>
          <w:color w:val="auto"/>
          <w:kern w:val="0"/>
          <w:position w:val="0"/>
          <w:sz w:val="32"/>
          <w:szCs w:val="32"/>
          <w:highlight w:val="none"/>
          <w:lang w:val="en-US" w:eastAsia="zh-CN" w:bidi="ar-SA"/>
        </w:rPr>
        <w:t>(5)加强内控与监督：定期开展财务人员专题培训，规范资金审批流程，杜绝“先支后批”现象</w:t>
      </w:r>
    </w:p>
    <w:p>
      <w:pPr>
        <w:pStyle w:val="37"/>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color w:val="auto"/>
          <w:kern w:val="2"/>
          <w:sz w:val="44"/>
          <w:szCs w:val="44"/>
          <w:lang w:val="en-US"/>
        </w:rPr>
      </w:pPr>
    </w:p>
    <w:p>
      <w:pPr>
        <w:pStyle w:val="37"/>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color w:val="auto"/>
          <w:kern w:val="2"/>
          <w:sz w:val="44"/>
          <w:szCs w:val="44"/>
          <w:lang w:val="en-US"/>
        </w:rPr>
      </w:pPr>
    </w:p>
    <w:p>
      <w:pPr>
        <w:pStyle w:val="37"/>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广元市利州区人民政府雪峰街道办事处</w:t>
      </w:r>
    </w:p>
    <w:p>
      <w:pPr>
        <w:pStyle w:val="37"/>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文化图书室免费开放项目支出绩效自评报告</w:t>
      </w:r>
    </w:p>
    <w:p>
      <w:pPr>
        <w:pStyle w:val="37"/>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宋体" w:hAnsi="仿宋_GB2312" w:eastAsia="方正仿宋简体" w:cs="仿宋_GB2312"/>
          <w:color w:val="auto"/>
          <w:sz w:val="32"/>
          <w:szCs w:val="32"/>
          <w:shd w:val="clear" w:color="auto" w:fill="FFFFFF"/>
          <w:lang w:val="en-US"/>
        </w:rPr>
      </w:pP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contextualSpacing/>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 w:hAnsi="仿宋" w:eastAsia="仿宋" w:cs="仿宋"/>
          <w:sz w:val="32"/>
          <w:szCs w:val="32"/>
        </w:rPr>
      </w:pPr>
      <w:r>
        <w:rPr>
          <w:rFonts w:hint="eastAsia" w:ascii="仿宋" w:hAnsi="仿宋" w:eastAsia="仿宋" w:cs="仿宋"/>
          <w:b w:val="0"/>
          <w:bCs w:val="0"/>
          <w:color w:val="auto"/>
          <w:sz w:val="32"/>
          <w:szCs w:val="32"/>
          <w:highlight w:val="none"/>
          <w:u w:val="none"/>
          <w:lang w:val="en-US" w:eastAsia="zh-CN"/>
        </w:rPr>
        <w:t>1.</w:t>
      </w:r>
      <w:r>
        <w:rPr>
          <w:rFonts w:hint="eastAsia" w:ascii="仿宋" w:hAnsi="仿宋" w:eastAsia="仿宋" w:cs="仿宋"/>
          <w:kern w:val="0"/>
          <w:sz w:val="32"/>
          <w:szCs w:val="32"/>
          <w:shd w:val="clear" w:color="auto" w:fill="FFFFFF"/>
        </w:rPr>
        <w:t>文化室和图书室免费开放项目是由</w:t>
      </w:r>
      <w:r>
        <w:rPr>
          <w:rFonts w:hint="eastAsia" w:ascii="仿宋" w:hAnsi="仿宋" w:eastAsia="仿宋" w:cs="仿宋"/>
          <w:kern w:val="0"/>
          <w:sz w:val="32"/>
          <w:szCs w:val="32"/>
          <w:shd w:val="clear" w:color="auto" w:fill="FFFFFF"/>
          <w:lang w:eastAsia="zh-CN"/>
        </w:rPr>
        <w:t>社会事务</w:t>
      </w:r>
      <w:r>
        <w:rPr>
          <w:rFonts w:hint="eastAsia" w:ascii="仿宋" w:hAnsi="仿宋" w:eastAsia="仿宋" w:cs="仿宋"/>
          <w:kern w:val="0"/>
          <w:sz w:val="32"/>
          <w:szCs w:val="32"/>
          <w:shd w:val="clear" w:color="auto" w:fill="FFFFFF"/>
        </w:rPr>
        <w:t>服务中心具体负责实施，主要用于辖区村（社区）文化室和图书室购买图书、</w:t>
      </w:r>
      <w:r>
        <w:rPr>
          <w:rFonts w:hint="eastAsia" w:ascii="仿宋" w:hAnsi="仿宋" w:eastAsia="仿宋" w:cs="仿宋"/>
          <w:bCs/>
          <w:sz w:val="32"/>
          <w:szCs w:val="32"/>
          <w:lang w:bidi="ar"/>
        </w:rPr>
        <w:t>报刊，杂志及图书室水电，日常维修维护等费用</w:t>
      </w:r>
      <w:r>
        <w:rPr>
          <w:rFonts w:hint="eastAsia" w:ascii="仿宋" w:hAnsi="仿宋" w:eastAsia="仿宋" w:cs="仿宋"/>
          <w:kern w:val="0"/>
          <w:sz w:val="32"/>
          <w:szCs w:val="32"/>
          <w:shd w:val="clear" w:color="auto" w:fill="FFFFFF"/>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kern w:val="0"/>
          <w:sz w:val="32"/>
          <w:szCs w:val="32"/>
          <w:shd w:val="clear" w:color="auto" w:fill="FFFFFF"/>
          <w:lang w:val="zh-CN"/>
        </w:rPr>
        <w:t>2．项目</w:t>
      </w:r>
      <w:r>
        <w:rPr>
          <w:rFonts w:hint="eastAsia" w:ascii="仿宋" w:hAnsi="仿宋" w:eastAsia="仿宋" w:cs="仿宋"/>
          <w:kern w:val="0"/>
          <w:sz w:val="32"/>
          <w:szCs w:val="32"/>
          <w:highlight w:val="none"/>
          <w:shd w:val="clear" w:color="auto" w:fill="FFFFFF"/>
          <w:lang w:val="zh-CN"/>
        </w:rPr>
        <w:t>根据</w:t>
      </w:r>
      <w:r>
        <w:rPr>
          <w:rFonts w:hint="eastAsia" w:ascii="仿宋" w:hAnsi="仿宋" w:eastAsia="仿宋" w:cs="仿宋"/>
          <w:color w:val="auto"/>
          <w:kern w:val="0"/>
          <w:sz w:val="32"/>
          <w:szCs w:val="32"/>
          <w:highlight w:val="none"/>
          <w:shd w:val="clear" w:color="auto" w:fill="FFFFFF"/>
          <w:lang w:val="zh-CN" w:eastAsia="zh-CN"/>
        </w:rPr>
        <w:t>广利财教下</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val="en-US" w:eastAsia="zh-CN"/>
        </w:rPr>
        <w:t>0.4</w:t>
      </w:r>
      <w:r>
        <w:rPr>
          <w:rFonts w:hint="eastAsia" w:ascii="仿宋" w:hAnsi="仿宋" w:eastAsia="仿宋" w:cs="仿宋"/>
          <w:color w:val="auto"/>
          <w:sz w:val="32"/>
          <w:szCs w:val="32"/>
          <w:highlight w:val="none"/>
        </w:rPr>
        <w:t>万元），</w:t>
      </w:r>
      <w:r>
        <w:rPr>
          <w:rFonts w:hint="eastAsia" w:ascii="仿宋" w:hAnsi="仿宋" w:eastAsia="仿宋" w:cs="仿宋"/>
          <w:color w:val="auto"/>
          <w:kern w:val="0"/>
          <w:sz w:val="32"/>
          <w:szCs w:val="32"/>
          <w:highlight w:val="none"/>
          <w:shd w:val="clear" w:color="auto" w:fill="FFFFFF"/>
          <w:lang w:val="zh-CN"/>
        </w:rPr>
        <w:t>广利财教下</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号（0.</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kern w:val="0"/>
          <w:sz w:val="32"/>
          <w:szCs w:val="32"/>
          <w:highlight w:val="none"/>
          <w:shd w:val="clear" w:color="auto" w:fill="FFFFFF"/>
          <w:lang w:val="zh-CN" w:eastAsia="zh-CN"/>
        </w:rPr>
        <w:t>广利财教下</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val="en-US" w:eastAsia="zh-CN"/>
        </w:rPr>
        <w:t>3.6</w:t>
      </w:r>
      <w:r>
        <w:rPr>
          <w:rFonts w:hint="eastAsia" w:ascii="仿宋" w:hAnsi="仿宋" w:eastAsia="仿宋" w:cs="仿宋"/>
          <w:color w:val="auto"/>
          <w:sz w:val="32"/>
          <w:szCs w:val="32"/>
          <w:highlight w:val="none"/>
        </w:rPr>
        <w:t>万元）的项目资金</w:t>
      </w:r>
      <w:r>
        <w:rPr>
          <w:rFonts w:hint="eastAsia" w:ascii="仿宋" w:hAnsi="仿宋" w:eastAsia="仿宋" w:cs="仿宋"/>
          <w:color w:val="auto"/>
          <w:kern w:val="0"/>
          <w:sz w:val="32"/>
          <w:szCs w:val="32"/>
          <w:highlight w:val="none"/>
          <w:shd w:val="clear" w:color="auto" w:fill="FFFFFF"/>
        </w:rPr>
        <w:t>。</w:t>
      </w:r>
    </w:p>
    <w:p>
      <w:pPr>
        <w:keepNext w:val="0"/>
        <w:keepLines w:val="0"/>
        <w:pageBreakBefore w:val="0"/>
        <w:widowControl w:val="0"/>
        <w:numPr>
          <w:ilvl w:val="0"/>
          <w:numId w:val="0"/>
        </w:numPr>
        <w:tabs>
          <w:tab w:val="right" w:pos="8204"/>
        </w:tabs>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numPr>
          <w:ilvl w:val="0"/>
          <w:numId w:val="0"/>
        </w:numPr>
        <w:tabs>
          <w:tab w:val="right" w:pos="8204"/>
        </w:tabs>
        <w:kinsoku/>
        <w:wordWrap/>
        <w:overflowPunct w:val="0"/>
        <w:topLinePunct w:val="0"/>
        <w:autoSpaceDE/>
        <w:autoSpaceDN/>
        <w:bidi w:val="0"/>
        <w:adjustRightInd w:val="0"/>
        <w:snapToGrid w:val="0"/>
        <w:spacing w:line="576" w:lineRule="exact"/>
        <w:ind w:firstLine="640" w:firstLineChars="200"/>
        <w:jc w:val="both"/>
        <w:textAlignment w:val="auto"/>
        <w:outlineLvl w:val="9"/>
        <w:rPr>
          <w:rFonts w:ascii="宋体" w:hAnsi="宋体" w:eastAsia="方正仿宋简体"/>
          <w:sz w:val="32"/>
          <w:szCs w:val="32"/>
        </w:rPr>
      </w:pPr>
      <w:r>
        <w:rPr>
          <w:rFonts w:hint="eastAsia" w:ascii="宋体" w:hAnsi="宋体" w:eastAsia="方正仿宋简体"/>
          <w:bCs/>
          <w:color w:val="000000"/>
          <w:sz w:val="32"/>
          <w:szCs w:val="32"/>
        </w:rPr>
        <w:t>村</w:t>
      </w:r>
      <w:r>
        <w:rPr>
          <w:rFonts w:hint="eastAsia" w:ascii="宋体" w:hAnsi="宋体" w:eastAsia="方正仿宋简体"/>
          <w:bCs/>
          <w:color w:val="000000"/>
          <w:sz w:val="32"/>
          <w:szCs w:val="32"/>
          <w:lang w:val="en-US" w:eastAsia="zh-CN"/>
        </w:rPr>
        <w:t>(</w:t>
      </w:r>
      <w:r>
        <w:rPr>
          <w:rFonts w:hint="eastAsia" w:ascii="宋体" w:hAnsi="宋体" w:eastAsia="方正仿宋简体"/>
          <w:bCs/>
          <w:color w:val="000000"/>
          <w:sz w:val="32"/>
          <w:szCs w:val="32"/>
        </w:rPr>
        <w:t>社</w:t>
      </w:r>
      <w:r>
        <w:rPr>
          <w:rFonts w:hint="eastAsia" w:ascii="宋体" w:hAnsi="宋体" w:eastAsia="方正仿宋简体"/>
          <w:bCs/>
          <w:color w:val="000000"/>
          <w:sz w:val="32"/>
          <w:szCs w:val="32"/>
          <w:lang w:eastAsia="zh-CN"/>
        </w:rPr>
        <w:t>区</w:t>
      </w:r>
      <w:r>
        <w:rPr>
          <w:rFonts w:hint="eastAsia" w:ascii="宋体" w:hAnsi="宋体" w:eastAsia="方正仿宋简体"/>
          <w:bCs/>
          <w:color w:val="000000"/>
          <w:sz w:val="32"/>
          <w:szCs w:val="32"/>
          <w:lang w:val="en-US" w:eastAsia="zh-CN"/>
        </w:rPr>
        <w:t>)</w:t>
      </w:r>
      <w:r>
        <w:rPr>
          <w:rFonts w:hint="eastAsia" w:ascii="宋体" w:hAnsi="宋体" w:eastAsia="方正仿宋简体"/>
          <w:bCs/>
          <w:color w:val="000000"/>
          <w:sz w:val="32"/>
          <w:szCs w:val="32"/>
        </w:rPr>
        <w:t>图书室是基层精神文明建设的主要基地，能有效利用书刊宣传党的方针政策，政策法规</w:t>
      </w:r>
      <w:r>
        <w:rPr>
          <w:rFonts w:hint="eastAsia" w:ascii="宋体" w:hAnsi="宋体" w:eastAsia="方正仿宋简体"/>
          <w:bCs/>
          <w:color w:val="000000"/>
          <w:sz w:val="32"/>
          <w:szCs w:val="32"/>
          <w:lang w:eastAsia="zh-CN"/>
        </w:rPr>
        <w:t>，</w:t>
      </w:r>
      <w:r>
        <w:rPr>
          <w:rFonts w:hint="eastAsia" w:ascii="宋体" w:hAnsi="宋体" w:eastAsia="方正仿宋简体"/>
          <w:bCs/>
          <w:color w:val="000000"/>
          <w:sz w:val="32"/>
          <w:szCs w:val="32"/>
        </w:rPr>
        <w:t>是传播信息科学知识的主阵地，即可以丰富居民精神活动，还可以加快基层致富步伐</w:t>
      </w:r>
      <w:r>
        <w:rPr>
          <w:rFonts w:hint="eastAsia" w:ascii="宋体" w:hAnsi="宋体" w:eastAsia="方正仿宋简体"/>
          <w:bCs/>
          <w:color w:val="000000"/>
          <w:sz w:val="32"/>
          <w:szCs w:val="32"/>
          <w:lang w:eastAsia="zh-CN"/>
        </w:rPr>
        <w:t>，</w:t>
      </w:r>
      <w:r>
        <w:rPr>
          <w:rFonts w:hint="eastAsia" w:ascii="宋体" w:hAnsi="宋体" w:eastAsia="方正仿宋简体"/>
          <w:bCs/>
          <w:color w:val="000000"/>
          <w:sz w:val="32"/>
          <w:szCs w:val="32"/>
        </w:rPr>
        <w:t>也是提高居民整体素质和继续教育的重要课堂，是基层文化娱乐的重要场所。</w:t>
      </w:r>
    </w:p>
    <w:p>
      <w:pPr>
        <w:keepNext w:val="0"/>
        <w:keepLines w:val="0"/>
        <w:pageBreakBefore w:val="0"/>
        <w:widowControl w:val="0"/>
        <w:numPr>
          <w:ilvl w:val="0"/>
          <w:numId w:val="9"/>
        </w:numPr>
        <w:kinsoku/>
        <w:wordWrap/>
        <w:overflowPunct w:val="0"/>
        <w:topLinePunct w:val="0"/>
        <w:autoSpaceDE/>
        <w:autoSpaceDN/>
        <w:bidi w:val="0"/>
        <w:adjustRightInd w:val="0"/>
        <w:snapToGrid w:val="0"/>
        <w:spacing w:line="576" w:lineRule="exact"/>
        <w:ind w:firstLine="640" w:firstLineChars="200"/>
        <w:contextualSpacing/>
        <w:jc w:val="both"/>
        <w:textAlignment w:val="auto"/>
        <w:outlineLvl w:val="9"/>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 w:hAnsi="仿宋" w:eastAsia="仿宋" w:cs="仿宋"/>
          <w:kern w:val="0"/>
          <w:sz w:val="32"/>
          <w:szCs w:val="32"/>
          <w:shd w:val="clear" w:color="auto" w:fill="FFFFFF"/>
          <w:lang w:val="zh-CN"/>
        </w:rPr>
      </w:pPr>
      <w:r>
        <w:rPr>
          <w:rFonts w:hint="eastAsia" w:ascii="宋体" w:hAnsi="宋体" w:eastAsia="方正仿宋简体"/>
          <w:sz w:val="32"/>
          <w:szCs w:val="32"/>
        </w:rPr>
        <w:t>该项目共计投入</w:t>
      </w:r>
      <w:r>
        <w:rPr>
          <w:rFonts w:hint="eastAsia" w:ascii="宋体" w:hAnsi="宋体" w:eastAsia="方正仿宋简体"/>
          <w:sz w:val="32"/>
          <w:szCs w:val="32"/>
          <w:lang w:val="en-US" w:eastAsia="zh-CN"/>
        </w:rPr>
        <w:t>4.5</w:t>
      </w:r>
      <w:r>
        <w:rPr>
          <w:rFonts w:hint="eastAsia" w:ascii="宋体" w:hAnsi="宋体" w:eastAsia="方正仿宋简体"/>
          <w:sz w:val="32"/>
          <w:szCs w:val="32"/>
        </w:rPr>
        <w:t>万元，</w:t>
      </w:r>
      <w:r>
        <w:rPr>
          <w:rFonts w:hint="eastAsia" w:ascii="仿宋" w:hAnsi="仿宋" w:eastAsia="仿宋" w:cs="仿宋"/>
          <w:kern w:val="0"/>
          <w:sz w:val="32"/>
          <w:szCs w:val="32"/>
          <w:shd w:val="clear" w:color="auto" w:fill="FFFFFF"/>
          <w:lang w:val="zh-CN"/>
        </w:rPr>
        <w:t>雪峰街道制定了《财务管理制度》，明确了项目资金使用范围和使用流程。项目财政资金指标下达至单位后，单位按预算指标支付对应费用。项目资金支付专户管理、专项核算、专款专用和区财政国库集中拨付，财务处理和会计核算真实、完整、及时、规范。根据量入为出，突出重点、注重绩效、专款专用原则，考虑各类费用因素所占比重与部门预算支出经济分类科目相结合的分配方式。</w:t>
      </w:r>
    </w:p>
    <w:p>
      <w:pPr>
        <w:keepNext w:val="0"/>
        <w:keepLines w:val="0"/>
        <w:pageBreakBefore w:val="0"/>
        <w:widowControl w:val="0"/>
        <w:numPr>
          <w:ilvl w:val="0"/>
          <w:numId w:val="9"/>
        </w:numPr>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项目共设置绩效目标</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个，其中产出指标共</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个，效益指标</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个，满意度指标1个。具体如下：</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产出指标：辖区图书室</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个，图书室管理</w:t>
      </w:r>
      <w:r>
        <w:rPr>
          <w:rFonts w:hint="eastAsia" w:ascii="仿宋" w:hAnsi="仿宋" w:eastAsia="仿宋" w:cs="仿宋"/>
          <w:bCs/>
          <w:color w:val="auto"/>
          <w:sz w:val="32"/>
          <w:szCs w:val="32"/>
          <w:lang w:eastAsia="zh-CN"/>
        </w:rPr>
        <w:t>员≥</w:t>
      </w:r>
      <w:r>
        <w:rPr>
          <w:rFonts w:hint="eastAsia" w:ascii="仿宋" w:hAnsi="仿宋" w:eastAsia="仿宋" w:cs="仿宋"/>
          <w:bCs/>
          <w:color w:val="auto"/>
          <w:sz w:val="32"/>
          <w:szCs w:val="32"/>
          <w:lang w:val="en-US" w:eastAsia="zh-CN"/>
        </w:rPr>
        <w:t>4人，图书室免费开放知晓率高于80%，当年完成相关工作任务</w:t>
      </w:r>
      <w:r>
        <w:rPr>
          <w:rFonts w:hint="eastAsia" w:ascii="仿宋" w:hAnsi="仿宋" w:eastAsia="仿宋" w:cs="仿宋"/>
          <w:bCs/>
          <w:color w:val="auto"/>
          <w:sz w:val="32"/>
          <w:szCs w:val="32"/>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效益指标：满足百姓精神文化需求，丰富百姓日常生活及爱好，提高居民整体素质，促进地方经济发展。</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 w:hAnsi="仿宋" w:eastAsia="仿宋" w:cs="仿宋"/>
          <w:b w:val="0"/>
          <w:bCs w:val="0"/>
          <w:color w:val="auto"/>
          <w:kern w:val="0"/>
          <w:sz w:val="32"/>
          <w:szCs w:val="32"/>
          <w:highlight w:val="none"/>
          <w:u w:val="none"/>
          <w:shd w:val="clear" w:color="auto" w:fill="FFFFFF"/>
          <w:lang w:val="zh-CN" w:eastAsia="zh-CN"/>
        </w:rPr>
      </w:pPr>
      <w:r>
        <w:rPr>
          <w:rFonts w:hint="eastAsia" w:ascii="仿宋" w:hAnsi="仿宋" w:eastAsia="仿宋" w:cs="仿宋"/>
          <w:bCs/>
          <w:color w:val="auto"/>
          <w:sz w:val="32"/>
          <w:szCs w:val="32"/>
        </w:rPr>
        <w:t>满意度指标：阅读人员满意度</w:t>
      </w:r>
      <w:r>
        <w:rPr>
          <w:rFonts w:hint="eastAsia" w:ascii="仿宋" w:hAnsi="仿宋" w:eastAsia="仿宋" w:cs="仿宋"/>
          <w:bCs/>
          <w:color w:val="auto"/>
          <w:sz w:val="32"/>
          <w:szCs w:val="32"/>
          <w:lang w:val="en-US" w:eastAsia="zh-CN"/>
        </w:rPr>
        <w:t>80%以上</w:t>
      </w:r>
      <w:r>
        <w:rPr>
          <w:rFonts w:hint="eastAsia" w:ascii="仿宋" w:hAnsi="仿宋" w:eastAsia="仿宋" w:cs="仿宋"/>
          <w:bCs/>
          <w:color w:val="auto"/>
          <w:sz w:val="32"/>
          <w:szCs w:val="32"/>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通过绩效自评，全面评估雪峰街道公共文化设施免费开放补助资金的执行效果，确保资金使用规范、高效，提升基层文化服务质量，为优化后续预算安排提供数据支持，促进公共文化资源均衡覆盖和可持续发展。</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（二）预设问题及评价重点。</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预设问题</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资金分配是否精准匹配各社区需求？图书购置、维护费用是否严格控制在预算范围内？文化活动开展频次与居民参与度是否达标？设施开放时间与服务质量是否符合预期？</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2.评价重点</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 w:hAnsi="仿宋" w:eastAsia="仿宋" w:cs="仿宋"/>
          <w:b w:val="0"/>
          <w:bCs w:val="0"/>
          <w:color w:val="auto"/>
          <w:sz w:val="32"/>
          <w:szCs w:val="32"/>
        </w:rPr>
        <w:t>资金使用的合规性、经济性；绩效目标完成度（如新购图书数量、设施维护达标率）；群众满意度及社会效益实现情况。</w:t>
      </w:r>
    </w:p>
    <w:p>
      <w:pPr>
        <w:keepNext w:val="0"/>
        <w:keepLines w:val="0"/>
        <w:pageBreakBefore w:val="0"/>
        <w:widowControl w:val="0"/>
        <w:numPr>
          <w:ilvl w:val="0"/>
          <w:numId w:val="10"/>
        </w:numPr>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1.抽样点位</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雪峰寺社区文化图书室，五洲社区文化图书室，共计覆盖专项资金分配额度50%以上。</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2.选点依据</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覆盖高、中、低人口密度的社区；反映资金分配的区域均衡性。</w:t>
      </w:r>
    </w:p>
    <w:p>
      <w:pPr>
        <w:keepNext w:val="0"/>
        <w:keepLines w:val="0"/>
        <w:pageBreakBefore w:val="0"/>
        <w:widowControl w:val="0"/>
        <w:numPr>
          <w:ilvl w:val="0"/>
          <w:numId w:val="10"/>
        </w:numPr>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zh-CN"/>
        </w:rPr>
        <w:t>该项目采取自评与他评相结合方式，结合评价内容，做到有计划、有安排，扎实开展本次自评工作。</w:t>
      </w:r>
    </w:p>
    <w:p>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（五）评价组织。</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highlight w:val="none"/>
          <w:u w:val="none"/>
          <w:lang w:val="en-US" w:eastAsia="zh-CN"/>
        </w:rPr>
        <w:t>1.</w:t>
      </w:r>
      <w:r>
        <w:rPr>
          <w:rFonts w:hint="eastAsia" w:ascii="仿宋" w:hAnsi="仿宋" w:eastAsia="仿宋" w:cs="仿宋"/>
          <w:b w:val="0"/>
          <w:bCs w:val="0"/>
          <w:color w:val="auto"/>
          <w:sz w:val="32"/>
          <w:szCs w:val="32"/>
        </w:rPr>
        <w:t>人员构成</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组长：街道财政</w:t>
      </w:r>
      <w:r>
        <w:rPr>
          <w:rFonts w:hint="eastAsia" w:ascii="仿宋" w:hAnsi="仿宋" w:eastAsia="仿宋" w:cs="仿宋"/>
          <w:b w:val="0"/>
          <w:bCs w:val="0"/>
          <w:color w:val="auto"/>
          <w:sz w:val="32"/>
          <w:szCs w:val="32"/>
          <w:lang w:eastAsia="zh-CN"/>
        </w:rPr>
        <w:t>所负责人</w:t>
      </w:r>
      <w:r>
        <w:rPr>
          <w:rFonts w:hint="eastAsia" w:ascii="仿宋" w:hAnsi="仿宋" w:eastAsia="仿宋" w:cs="仿宋"/>
          <w:b w:val="0"/>
          <w:bCs w:val="0"/>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组员：文化站负责人、社区代表（2人）。</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2.职责分工</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财政</w:t>
      </w:r>
      <w:r>
        <w:rPr>
          <w:rFonts w:hint="eastAsia" w:ascii="仿宋" w:hAnsi="仿宋" w:eastAsia="仿宋" w:cs="仿宋"/>
          <w:b w:val="0"/>
          <w:bCs w:val="0"/>
          <w:color w:val="auto"/>
          <w:sz w:val="32"/>
          <w:szCs w:val="32"/>
          <w:lang w:eastAsia="zh-CN"/>
        </w:rPr>
        <w:t>所</w:t>
      </w:r>
      <w:r>
        <w:rPr>
          <w:rFonts w:hint="eastAsia" w:ascii="仿宋" w:hAnsi="仿宋" w:eastAsia="仿宋" w:cs="仿宋"/>
          <w:b w:val="0"/>
          <w:bCs w:val="0"/>
          <w:color w:val="auto"/>
          <w:sz w:val="32"/>
          <w:szCs w:val="32"/>
        </w:rPr>
        <w:t>：审核资金使用合规性；文化</w:t>
      </w:r>
      <w:r>
        <w:rPr>
          <w:rFonts w:hint="eastAsia" w:ascii="仿宋" w:hAnsi="仿宋" w:eastAsia="仿宋" w:cs="仿宋"/>
          <w:b w:val="0"/>
          <w:bCs w:val="0"/>
          <w:color w:val="auto"/>
          <w:sz w:val="32"/>
          <w:szCs w:val="32"/>
          <w:lang w:eastAsia="zh-CN"/>
        </w:rPr>
        <w:t>室</w:t>
      </w:r>
      <w:r>
        <w:rPr>
          <w:rFonts w:hint="eastAsia" w:ascii="仿宋" w:hAnsi="仿宋" w:eastAsia="仿宋" w:cs="仿宋"/>
          <w:b w:val="0"/>
          <w:bCs w:val="0"/>
          <w:color w:val="auto"/>
          <w:sz w:val="32"/>
          <w:szCs w:val="32"/>
        </w:rPr>
        <w:t>：评估文化活动成效</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1.项目决策（18分/得分18）</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决策程序符合</w:t>
      </w:r>
      <w:r>
        <w:rPr>
          <w:rFonts w:hint="eastAsia" w:ascii="仿宋" w:hAnsi="仿宋" w:eastAsia="仿宋" w:cs="仿宋"/>
          <w:color w:val="auto"/>
          <w:kern w:val="0"/>
          <w:sz w:val="32"/>
          <w:szCs w:val="32"/>
          <w:highlight w:val="none"/>
          <w:shd w:val="clear" w:color="auto" w:fill="FFFFFF"/>
          <w:lang w:val="zh-CN" w:eastAsia="zh-CN"/>
        </w:rPr>
        <w:t>广利财教下</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号，</w:t>
      </w:r>
      <w:r>
        <w:rPr>
          <w:rFonts w:hint="eastAsia" w:ascii="仿宋" w:hAnsi="仿宋" w:eastAsia="仿宋" w:cs="仿宋"/>
          <w:color w:val="auto"/>
          <w:kern w:val="0"/>
          <w:sz w:val="32"/>
          <w:szCs w:val="32"/>
          <w:highlight w:val="none"/>
          <w:shd w:val="clear" w:color="auto" w:fill="FFFFFF"/>
          <w:lang w:val="zh-CN"/>
        </w:rPr>
        <w:t>广利财教下</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kern w:val="0"/>
          <w:sz w:val="32"/>
          <w:szCs w:val="32"/>
          <w:highlight w:val="none"/>
          <w:shd w:val="clear" w:color="auto" w:fill="FFFFFF"/>
          <w:lang w:val="zh-CN" w:eastAsia="zh-CN"/>
        </w:rPr>
        <w:t>广利财教下</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号</w:t>
      </w:r>
      <w:r>
        <w:rPr>
          <w:rFonts w:hint="eastAsia" w:ascii="仿宋" w:hAnsi="仿宋" w:eastAsia="仿宋" w:cs="仿宋"/>
          <w:b w:val="0"/>
          <w:bCs w:val="0"/>
          <w:color w:val="auto"/>
          <w:sz w:val="32"/>
          <w:szCs w:val="32"/>
          <w:lang w:val="en-US" w:eastAsia="zh-CN"/>
        </w:rPr>
        <w:t>文件要求，资金投向聚焦基层文化服务，无交叉重复项目。</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2.项目管理（18分/得分18）</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制度健全，项目绩效监管按要求开展，对下指导有力有效。</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3.项目实施（9分/得分9）</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资金拨付率100%，无截留挪用现象。</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4.项目结果（9分/得分7）</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完成8个图书室开放目标，但1个社区维修未按期完成（扣2分）。</w:t>
      </w:r>
    </w:p>
    <w:p>
      <w:pPr>
        <w:keepNext w:val="0"/>
        <w:keepLines w:val="0"/>
        <w:pageBreakBefore w:val="0"/>
        <w:widowControl w:val="0"/>
        <w:numPr>
          <w:ilvl w:val="0"/>
          <w:numId w:val="11"/>
        </w:numPr>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1.区域均衡性（10分/得分</w:t>
      </w: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lang w:val="zh-CN"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2.对象精准性（10分/得分</w:t>
      </w: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lang w:val="zh-CN"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资金100%用于居民文化服务，无偏离用途情况。</w:t>
      </w:r>
    </w:p>
    <w:p>
      <w:pPr>
        <w:keepNext w:val="0"/>
        <w:keepLines w:val="0"/>
        <w:pageBreakBefore w:val="0"/>
        <w:widowControl w:val="0"/>
        <w:numPr>
          <w:ilvl w:val="0"/>
          <w:numId w:val="11"/>
        </w:numPr>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1.图书室日均开放时长（5分/得分5）</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所有点位均达</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val="zh-CN" w:eastAsia="zh-CN"/>
        </w:rPr>
        <w:t>小时/天，超额完成目标。</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2.文化活动月均频次（5分/得分4）</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 w:hAnsi="仿宋" w:eastAsia="仿宋" w:cs="仿宋"/>
          <w:b w:val="0"/>
          <w:bCs w:val="0"/>
          <w:color w:val="auto"/>
          <w:sz w:val="32"/>
          <w:szCs w:val="32"/>
          <w:lang w:val="zh-CN" w:eastAsia="zh-CN"/>
        </w:rPr>
        <w:t>平均每季度</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lang w:val="zh-CN" w:eastAsia="zh-CN"/>
        </w:rPr>
        <w:t>场，未达到</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val="zh-CN" w:eastAsia="zh-CN"/>
        </w:rPr>
        <w:t>场目标（扣1分）。</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outlineLvl w:val="9"/>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outlineLvl w:val="9"/>
        <w:rPr>
          <w:rFonts w:hint="eastAsia" w:ascii="宋体" w:hAnsi="宋体" w:eastAsia="方正仿宋简体" w:cs="仿宋_GB2312"/>
          <w:sz w:val="32"/>
          <w:szCs w:val="32"/>
          <w:lang w:val="zh-CN"/>
        </w:rPr>
      </w:pPr>
      <w:r>
        <w:rPr>
          <w:rFonts w:hint="eastAsia" w:ascii="宋体" w:hAnsi="宋体" w:eastAsia="方正仿宋简体" w:cs="仿宋_GB2312"/>
          <w:sz w:val="32"/>
          <w:szCs w:val="32"/>
          <w:lang w:val="zh-CN"/>
        </w:rPr>
        <w:t>综合得分：</w:t>
      </w:r>
      <w:r>
        <w:rPr>
          <w:rFonts w:hint="eastAsia" w:ascii="宋体" w:hAnsi="宋体" w:eastAsia="方正仿宋简体" w:cs="仿宋_GB2312"/>
          <w:sz w:val="32"/>
          <w:szCs w:val="32"/>
          <w:lang w:val="en-US" w:eastAsia="zh-CN"/>
        </w:rPr>
        <w:t>93</w:t>
      </w:r>
      <w:r>
        <w:rPr>
          <w:rFonts w:hint="eastAsia" w:ascii="宋体" w:hAnsi="宋体" w:eastAsia="方正仿宋简体" w:cs="仿宋_GB2312"/>
          <w:sz w:val="32"/>
          <w:szCs w:val="32"/>
          <w:lang w:val="zh-CN"/>
        </w:rPr>
        <w:t>分，评估等级为“优”。项目有效保障了</w:t>
      </w:r>
      <w:r>
        <w:rPr>
          <w:rFonts w:hint="eastAsia" w:ascii="宋体" w:hAnsi="宋体" w:eastAsia="方正仿宋简体" w:cs="仿宋_GB2312"/>
          <w:sz w:val="32"/>
          <w:szCs w:val="32"/>
          <w:lang w:val="en-US" w:eastAsia="zh-CN"/>
        </w:rPr>
        <w:t>4</w:t>
      </w:r>
      <w:r>
        <w:rPr>
          <w:rFonts w:hint="eastAsia" w:ascii="宋体" w:hAnsi="宋体" w:eastAsia="方正仿宋简体" w:cs="仿宋_GB2312"/>
          <w:sz w:val="32"/>
          <w:szCs w:val="32"/>
          <w:lang w:val="zh-CN"/>
        </w:rPr>
        <w:t>个社区文化设施的免费开放，年度开展文化活动</w:t>
      </w:r>
      <w:r>
        <w:rPr>
          <w:rFonts w:hint="eastAsia" w:ascii="宋体" w:hAnsi="宋体" w:eastAsia="方正仿宋简体" w:cs="仿宋_GB2312"/>
          <w:sz w:val="32"/>
          <w:szCs w:val="32"/>
          <w:lang w:val="en-US" w:eastAsia="zh-CN"/>
        </w:rPr>
        <w:t>3</w:t>
      </w:r>
      <w:r>
        <w:rPr>
          <w:rFonts w:hint="eastAsia" w:ascii="宋体" w:hAnsi="宋体" w:eastAsia="方正仿宋简体" w:cs="仿宋_GB2312"/>
          <w:sz w:val="32"/>
          <w:szCs w:val="32"/>
          <w:lang w:val="zh-CN"/>
        </w:rPr>
        <w:t>场，惠及居民</w:t>
      </w:r>
      <w:r>
        <w:rPr>
          <w:rFonts w:hint="eastAsia" w:ascii="宋体" w:hAnsi="宋体" w:eastAsia="方正仿宋简体" w:cs="仿宋_GB2312"/>
          <w:sz w:val="32"/>
          <w:szCs w:val="32"/>
          <w:lang w:val="en-US" w:eastAsia="zh-CN"/>
        </w:rPr>
        <w:t>20</w:t>
      </w:r>
      <w:r>
        <w:rPr>
          <w:rFonts w:hint="eastAsia" w:ascii="宋体" w:hAnsi="宋体" w:eastAsia="方正仿宋简体" w:cs="仿宋_GB2312"/>
          <w:sz w:val="32"/>
          <w:szCs w:val="32"/>
          <w:lang w:val="zh-CN"/>
        </w:rPr>
        <w:t>00余人次。群众满意度达</w:t>
      </w:r>
      <w:r>
        <w:rPr>
          <w:rFonts w:hint="eastAsia" w:ascii="宋体" w:hAnsi="宋体" w:eastAsia="方正仿宋简体" w:cs="仿宋_GB2312"/>
          <w:sz w:val="32"/>
          <w:szCs w:val="32"/>
          <w:lang w:val="en-US" w:eastAsia="zh-CN"/>
        </w:rPr>
        <w:t>8</w:t>
      </w:r>
      <w:bookmarkStart w:id="91" w:name="_GoBack"/>
      <w:bookmarkEnd w:id="91"/>
      <w:r>
        <w:rPr>
          <w:rFonts w:hint="eastAsia" w:ascii="宋体" w:hAnsi="宋体" w:eastAsia="方正仿宋简体" w:cs="仿宋_GB2312"/>
          <w:sz w:val="32"/>
          <w:szCs w:val="32"/>
          <w:lang w:val="en-US" w:eastAsia="zh-CN"/>
        </w:rPr>
        <w:t>0</w:t>
      </w:r>
      <w:r>
        <w:rPr>
          <w:rFonts w:hint="eastAsia" w:ascii="宋体" w:hAnsi="宋体" w:eastAsia="方正仿宋简体" w:cs="仿宋_GB2312"/>
          <w:sz w:val="32"/>
          <w:szCs w:val="32"/>
          <w:lang w:val="zh-CN"/>
        </w:rPr>
        <w:t>%，基层文化服务能力显著提升，但偏远村社资源覆盖和活动频次仍需加强。</w:t>
      </w:r>
    </w:p>
    <w:p>
      <w:pPr>
        <w:pStyle w:val="7"/>
        <w:keepNext w:val="0"/>
        <w:keepLines w:val="0"/>
        <w:pageBreakBefore w:val="0"/>
        <w:widowControl w:val="0"/>
        <w:numPr>
          <w:ilvl w:val="0"/>
          <w:numId w:val="12"/>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outlineLvl w:val="9"/>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存在主要问题</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firstLine="640" w:firstLineChars="200"/>
        <w:jc w:val="both"/>
        <w:textAlignment w:val="auto"/>
        <w:outlineLvl w:val="9"/>
        <w:rPr>
          <w:rFonts w:hint="eastAsia" w:ascii="仿宋" w:hAnsi="仿宋" w:eastAsia="仿宋" w:cs="仿宋"/>
          <w:b w:val="0"/>
          <w:bCs w:val="0"/>
          <w:color w:val="auto"/>
          <w:sz w:val="32"/>
          <w:szCs w:val="32"/>
          <w:highlight w:val="none"/>
          <w:u w:val="none"/>
          <w:lang w:eastAsia="zh-CN"/>
        </w:rPr>
      </w:pPr>
      <w:r>
        <w:rPr>
          <w:rFonts w:hint="eastAsia" w:ascii="仿宋" w:hAnsi="仿宋" w:eastAsia="仿宋" w:cs="仿宋"/>
          <w:b w:val="0"/>
          <w:bCs w:val="0"/>
          <w:color w:val="auto"/>
          <w:sz w:val="32"/>
          <w:szCs w:val="32"/>
          <w:highlight w:val="none"/>
          <w:u w:val="none"/>
          <w:lang w:eastAsia="zh-CN"/>
        </w:rPr>
        <w:t>活动参与度待提升：部分活动宣传不足，年轻群体参与率低。</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outlineLvl w:val="9"/>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tabs>
          <w:tab w:val="left" w:pos="1911"/>
        </w:tabs>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 w:hAnsi="仿宋" w:eastAsia="仿宋" w:cs="仿宋"/>
          <w:b w:val="0"/>
          <w:bCs w:val="0"/>
          <w:color w:val="auto"/>
          <w:kern w:val="0"/>
          <w:position w:val="0"/>
          <w:sz w:val="32"/>
          <w:szCs w:val="32"/>
          <w:highlight w:val="none"/>
          <w:lang w:val="en" w:eastAsia="zh-CN" w:bidi="ar-SA"/>
        </w:rPr>
      </w:pPr>
      <w:r>
        <w:rPr>
          <w:rFonts w:hint="eastAsia" w:ascii="仿宋" w:hAnsi="仿宋" w:eastAsia="仿宋" w:cs="仿宋"/>
          <w:b w:val="0"/>
          <w:bCs w:val="0"/>
          <w:color w:val="auto"/>
          <w:kern w:val="0"/>
          <w:position w:val="0"/>
          <w:sz w:val="32"/>
          <w:szCs w:val="32"/>
          <w:highlight w:val="none"/>
          <w:lang w:val="en-US" w:eastAsia="zh-CN" w:bidi="ar-SA"/>
        </w:rPr>
        <w:t>结合居民需求增设“亲子阅读周”等特色活动，吸引年轻群体。</w:t>
      </w:r>
    </w:p>
    <w:p>
      <w:pPr>
        <w:pStyle w:val="37"/>
        <w:pageBreakBefore w:val="0"/>
        <w:kinsoku/>
        <w:wordWrap/>
        <w:overflowPunct w:val="0"/>
        <w:topLinePunct w:val="0"/>
        <w:autoSpaceDE/>
        <w:autoSpaceDN/>
        <w:bidi w:val="0"/>
        <w:adjustRightInd w:val="0"/>
        <w:snapToGrid w:val="0"/>
        <w:spacing w:line="576" w:lineRule="exact"/>
        <w:jc w:val="both"/>
        <w:textAlignment w:val="auto"/>
        <w:rPr>
          <w:rFonts w:ascii="宋体" w:hAnsi="方正小标宋简体" w:eastAsia="方正仿宋简体" w:cs="方正小标宋简体"/>
          <w:color w:val="auto"/>
          <w:kern w:val="2"/>
          <w:sz w:val="32"/>
          <w:szCs w:val="44"/>
          <w:lang w:val="en-US"/>
        </w:rPr>
      </w:pPr>
    </w:p>
    <w:p>
      <w:pPr>
        <w:pageBreakBefore w:val="0"/>
        <w:kinsoku/>
        <w:wordWrap/>
        <w:overflowPunct w:val="0"/>
        <w:topLinePunct w:val="0"/>
        <w:autoSpaceDE/>
        <w:autoSpaceDN/>
        <w:bidi w:val="0"/>
        <w:adjustRightInd w:val="0"/>
        <w:snapToGrid w:val="0"/>
        <w:spacing w:line="576" w:lineRule="exact"/>
        <w:jc w:val="both"/>
        <w:textAlignment w:val="auto"/>
        <w:rPr>
          <w:rFonts w:hint="eastAsia" w:ascii="方正小标宋简体" w:hAnsi="宋体" w:eastAsia="方正小标宋简体"/>
          <w:sz w:val="44"/>
          <w:szCs w:val="44"/>
        </w:rPr>
      </w:pPr>
    </w:p>
    <w:p>
      <w:pPr>
        <w:pStyle w:val="37"/>
        <w:pageBreakBefore w:val="0"/>
        <w:kinsoku/>
        <w:wordWrap/>
        <w:overflowPunct w:val="0"/>
        <w:topLinePunct w:val="0"/>
        <w:autoSpaceDE/>
        <w:autoSpaceDN/>
        <w:bidi w:val="0"/>
        <w:adjustRightInd w:val="0"/>
        <w:snapToGrid w:val="0"/>
        <w:spacing w:line="576" w:lineRule="exact"/>
        <w:jc w:val="both"/>
        <w:textAlignment w:val="auto"/>
        <w:rPr>
          <w:rFonts w:hint="eastAsia" w:ascii="方正小标宋简体" w:hAnsi="方正小标宋简体" w:eastAsia="方正小标宋简体" w:cs="方正小标宋简体"/>
          <w:color w:val="auto"/>
          <w:kern w:val="2"/>
          <w:sz w:val="44"/>
          <w:szCs w:val="44"/>
          <w:lang w:val="en-US"/>
        </w:rPr>
      </w:pPr>
    </w:p>
    <w:p>
      <w:pPr>
        <w:keepNext w:val="0"/>
        <w:keepLines w:val="0"/>
        <w:pageBreakBefore w:val="0"/>
        <w:widowControl w:val="0"/>
        <w:kinsoku/>
        <w:wordWrap/>
        <w:overflowPunct/>
        <w:topLinePunct w:val="0"/>
        <w:autoSpaceDE/>
        <w:autoSpaceDN/>
        <w:bidi w:val="0"/>
        <w:adjustRightInd w:val="0"/>
        <w:snapToGrid w:val="0"/>
        <w:spacing w:line="576" w:lineRule="exact"/>
        <w:ind w:right="0"/>
        <w:jc w:val="center"/>
        <w:textAlignment w:val="auto"/>
        <w:rPr>
          <w:rFonts w:hint="eastAsia" w:ascii="方正小标宋简体" w:hAnsi="方正小标宋简体" w:eastAsia="方正小标宋简体" w:cs="方正小标宋简体"/>
          <w:color w:val="auto"/>
          <w:spacing w:val="-6"/>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right="0"/>
        <w:jc w:val="center"/>
        <w:textAlignment w:val="auto"/>
        <w:rPr>
          <w:rFonts w:hint="eastAsia" w:ascii="方正小标宋简体" w:hAnsi="方正小标宋简体" w:eastAsia="方正小标宋简体" w:cs="方正小标宋简体"/>
          <w:color w:val="auto"/>
          <w:spacing w:val="-6"/>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right="0"/>
        <w:jc w:val="center"/>
        <w:textAlignment w:val="auto"/>
        <w:rPr>
          <w:rFonts w:hint="eastAsia" w:ascii="方正小标宋简体" w:hAnsi="方正小标宋简体" w:eastAsia="方正小标宋简体" w:cs="方正小标宋简体"/>
          <w:color w:val="auto"/>
          <w:spacing w:val="-6"/>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right="0"/>
        <w:jc w:val="center"/>
        <w:textAlignment w:val="auto"/>
        <w:rPr>
          <w:rFonts w:hint="eastAsia" w:ascii="方正小标宋简体" w:hAnsi="方正小标宋简体" w:eastAsia="方正小标宋简体" w:cs="方正小标宋简体"/>
          <w:color w:val="auto"/>
          <w:spacing w:val="-6"/>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right="0"/>
        <w:jc w:val="center"/>
        <w:textAlignment w:val="auto"/>
        <w:rPr>
          <w:rFonts w:hint="eastAsia" w:ascii="方正小标宋简体" w:hAnsi="方正小标宋简体" w:eastAsia="方正小标宋简体" w:cs="方正小标宋简体"/>
          <w:color w:val="auto"/>
          <w:spacing w:val="-6"/>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right="0"/>
        <w:jc w:val="center"/>
        <w:textAlignment w:val="auto"/>
        <w:rPr>
          <w:rFonts w:hint="eastAsia" w:ascii="方正小标宋简体" w:hAnsi="方正小标宋简体" w:eastAsia="方正小标宋简体" w:cs="方正小标宋简体"/>
          <w:color w:val="auto"/>
          <w:spacing w:val="-6"/>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right="0"/>
        <w:jc w:val="center"/>
        <w:textAlignment w:val="auto"/>
        <w:rPr>
          <w:rFonts w:hint="eastAsia" w:ascii="方正小标宋简体" w:hAnsi="方正小标宋简体" w:eastAsia="方正小标宋简体" w:cs="方正小标宋简体"/>
          <w:color w:val="auto"/>
          <w:spacing w:val="-6"/>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right="0"/>
        <w:jc w:val="center"/>
        <w:textAlignment w:val="auto"/>
        <w:rPr>
          <w:rFonts w:hint="eastAsia" w:ascii="方正小标宋简体" w:hAnsi="方正小标宋简体" w:eastAsia="方正小标宋简体" w:cs="方正小标宋简体"/>
          <w:color w:val="auto"/>
          <w:spacing w:val="-6"/>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right="0"/>
        <w:jc w:val="center"/>
        <w:textAlignment w:val="auto"/>
        <w:rPr>
          <w:rFonts w:hint="eastAsia" w:ascii="方正小标宋简体" w:hAnsi="方正小标宋简体" w:eastAsia="方正小标宋简体" w:cs="方正小标宋简体"/>
          <w:color w:val="auto"/>
          <w:spacing w:val="-6"/>
          <w:sz w:val="44"/>
          <w:szCs w:val="4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right="0" w:firstLine="0" w:firstLineChars="0"/>
        <w:jc w:val="center"/>
        <w:textAlignment w:val="auto"/>
        <w:outlineLvl w:val="9"/>
        <w:rPr>
          <w:rFonts w:hint="eastAsia" w:ascii="方正小标宋简体" w:hAnsi="方正小标宋简体" w:eastAsia="方正小标宋简体" w:cs="方正小标宋简体"/>
          <w:color w:val="auto"/>
          <w:spacing w:val="-6"/>
          <w:sz w:val="44"/>
          <w:szCs w:val="44"/>
          <w:lang w:val="en-US" w:eastAsia="zh-CN"/>
        </w:rPr>
      </w:pPr>
      <w:r>
        <w:rPr>
          <w:rFonts w:hint="eastAsia" w:ascii="方正小标宋简体" w:hAnsi="方正小标宋简体" w:eastAsia="方正小标宋简体" w:cs="方正小标宋简体"/>
          <w:color w:val="auto"/>
          <w:spacing w:val="-6"/>
          <w:sz w:val="44"/>
          <w:szCs w:val="44"/>
          <w:lang w:val="en-US" w:eastAsia="zh-CN"/>
        </w:rPr>
        <w:t>广元市利州区人民政府雪峰街道办事处</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pacing w:val="-6"/>
          <w:sz w:val="44"/>
          <w:szCs w:val="44"/>
          <w:lang w:val="en-US" w:eastAsia="zh-CN"/>
        </w:rPr>
        <w:t>2024年第二批文明城市创建经费市级专项资金</w:t>
      </w:r>
      <w:r>
        <w:rPr>
          <w:rFonts w:hint="eastAsia" w:ascii="方正小标宋简体" w:hAnsi="方正小标宋简体" w:eastAsia="方正小标宋简体" w:cs="方正小标宋简体"/>
          <w:sz w:val="44"/>
          <w:szCs w:val="44"/>
          <w:lang w:val="en-US" w:eastAsia="zh-CN"/>
        </w:rPr>
        <w:t>预算绩效自评报告</w:t>
      </w:r>
    </w:p>
    <w:p>
      <w:pPr>
        <w:pStyle w:val="37"/>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全国文明城市是体现城市综合竞争力的重要品牌。雪峰街道作为广元市利州区文明创建的重点区域，始终以“提升市民素质、优化城市治理”为核心目标。2024年第二批文明城市创建经费项目为延续性项目，旨在巩固前期创建成果，进一步深化街道公共文化服务能力，推动物质文明、政治文明、精神文明协调发展。项目内容涵盖社区环境整治、文明宣传、志愿服务等日常事务性工作，符合区委区政府关于文明城市创建的决策部署，属于公共财政支出范畴。</w:t>
      </w:r>
    </w:p>
    <w:p>
      <w:pPr>
        <w:keepNext w:val="0"/>
        <w:keepLines w:val="0"/>
        <w:pageBreakBefore w:val="0"/>
        <w:widowControl w:val="0"/>
        <w:numPr>
          <w:ilvl w:val="0"/>
          <w:numId w:val="13"/>
        </w:numPr>
        <w:kinsoku/>
        <w:wordWrap/>
        <w:overflowPunct w:val="0"/>
        <w:topLinePunct w:val="0"/>
        <w:autoSpaceDE/>
        <w:autoSpaceDN/>
        <w:bidi w:val="0"/>
        <w:adjustRightInd w:val="0"/>
        <w:snapToGrid w:val="0"/>
        <w:spacing w:line="576" w:lineRule="exact"/>
        <w:ind w:left="0" w:lef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项目目标是通过专项经费支持，全面提升街道辖区内的文明程度和居民综合素质。重点支持方向包括：</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1.社区环境优化：修缮公共设施、整治卫生死角、增设文明标语等；</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2.文明宣传推广：开展文明礼仪讲座、公益广告投放、文化活动进社区；</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3.志愿服务体系建设：组织志愿者队伍参与文明劝导、弱势群体帮扶等。</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项目资金全部来源于财政拨款，实行专账核算、专款专用，确保资金精准投入。</w:t>
      </w:r>
    </w:p>
    <w:p>
      <w:pPr>
        <w:keepNext w:val="0"/>
        <w:keepLines w:val="0"/>
        <w:pageBreakBefore w:val="0"/>
        <w:widowControl w:val="0"/>
        <w:numPr>
          <w:ilvl w:val="0"/>
          <w:numId w:val="13"/>
        </w:numPr>
        <w:kinsoku/>
        <w:wordWrap/>
        <w:overflowPunct/>
        <w:topLinePunct w:val="0"/>
        <w:autoSpaceDE/>
        <w:autoSpaceDN/>
        <w:bidi w:val="0"/>
        <w:adjustRightInd w:val="0"/>
        <w:snapToGrid w:val="0"/>
        <w:spacing w:line="576" w:lineRule="exact"/>
        <w:ind w:left="0" w:leftChars="0" w:right="0" w:firstLine="640" w:firstLineChars="200"/>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总预算资金7万元，按需分配至6个社区（芸香、华山路、雪峰寺、泡石、五洲、九华），分配依据为各社区人口规模、基础设施现状及前期创建成效。资金拨付严格遵循财政国库管理制度，采用银行转账方式，杜绝现金支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1.产出目标：资金拨付率100%，项目执行周期控制在1年内；</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2.社会效益目标：居民文明素养显著提升，社区满意度≥90%；</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3.可持续发展目标：健全街道公共文化服务体系，形成长效管理机制。</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通过绩效自评，检验资金使用效率、项目实施效果及目标达成度，为后续资金分配和优化管理提供依据。</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（二）预设问题及评价重点。</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1.资金拨付是否及时、规范；</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2.社区创建活动是否按计划开展；</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3.居民参与度及满意度是否达标。</w:t>
      </w:r>
    </w:p>
    <w:p>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（三）评价选点。</w:t>
      </w:r>
    </w:p>
    <w:p>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 w:hAnsi="仿宋" w:eastAsia="仿宋" w:cs="仿宋"/>
          <w:b w:val="0"/>
          <w:bCs w:val="0"/>
          <w:color w:val="auto"/>
          <w:kern w:val="2"/>
          <w:sz w:val="32"/>
          <w:szCs w:val="32"/>
          <w:lang w:val="zh-CN" w:eastAsia="zh-CN" w:bidi="ar-SA"/>
        </w:rPr>
        <w:t>选取华山路社区、五洲社区作为实地踏勘点位（占资金分配总额的</w:t>
      </w:r>
      <w:r>
        <w:rPr>
          <w:rFonts w:hint="eastAsia" w:ascii="仿宋" w:hAnsi="仿宋" w:eastAsia="仿宋" w:cs="仿宋"/>
          <w:b w:val="0"/>
          <w:bCs w:val="0"/>
          <w:color w:val="auto"/>
          <w:kern w:val="2"/>
          <w:sz w:val="32"/>
          <w:szCs w:val="32"/>
          <w:lang w:val="en-US" w:eastAsia="zh-CN" w:bidi="ar-SA"/>
        </w:rPr>
        <w:t>86</w:t>
      </w:r>
      <w:r>
        <w:rPr>
          <w:rFonts w:hint="eastAsia" w:ascii="仿宋" w:hAnsi="仿宋" w:eastAsia="仿宋" w:cs="仿宋"/>
          <w:b w:val="0"/>
          <w:bCs w:val="0"/>
          <w:color w:val="auto"/>
          <w:kern w:val="2"/>
          <w:sz w:val="32"/>
          <w:szCs w:val="32"/>
          <w:lang w:val="zh-CN" w:eastAsia="zh-CN" w:bidi="ar-SA"/>
        </w:rPr>
        <w:t>%），重点核查资金使用台账、活动记录及居民反馈。</w:t>
      </w:r>
    </w:p>
    <w:p>
      <w:pPr>
        <w:keepNext w:val="0"/>
        <w:keepLines w:val="0"/>
        <w:pageBreakBefore w:val="0"/>
        <w:widowControl w:val="0"/>
        <w:numPr>
          <w:ilvl w:val="0"/>
          <w:numId w:val="13"/>
        </w:numPr>
        <w:kinsoku/>
        <w:wordWrap/>
        <w:overflowPunct w:val="0"/>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 w:hAnsi="仿宋" w:eastAsia="仿宋" w:cs="仿宋"/>
          <w:b w:val="0"/>
          <w:bCs w:val="0"/>
          <w:color w:val="auto"/>
          <w:kern w:val="2"/>
          <w:sz w:val="32"/>
          <w:szCs w:val="32"/>
          <w:lang w:val="zh-CN" w:eastAsia="zh-CN" w:bidi="ar-SA"/>
        </w:rPr>
        <w:t>采用“案卷研究法”核查财务资料，“实地勘察法”核验硬件设施建设情况。</w:t>
      </w:r>
    </w:p>
    <w:p>
      <w:pPr>
        <w:keepNext w:val="0"/>
        <w:keepLines w:val="0"/>
        <w:pageBreakBefore w:val="0"/>
        <w:widowControl w:val="0"/>
        <w:numPr>
          <w:ilvl w:val="0"/>
          <w:numId w:val="13"/>
        </w:numPr>
        <w:kinsoku/>
        <w:wordWrap/>
        <w:overflowPunct w:val="0"/>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评价组织。</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 w:hAnsi="仿宋" w:eastAsia="仿宋" w:cs="仿宋"/>
          <w:b w:val="0"/>
          <w:bCs w:val="0"/>
          <w:color w:val="auto"/>
          <w:kern w:val="2"/>
          <w:sz w:val="32"/>
          <w:szCs w:val="32"/>
          <w:lang w:val="zh-CN" w:eastAsia="zh-CN" w:bidi="ar-SA"/>
        </w:rPr>
        <w:t>成立专项评价组，由街道财政办、党建办组成，分工负责资金审计、成效评估和数据分析。</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1.项目决策（得分18/18）</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立项程序合规，规划论证充分，资金投向精准聚焦文明城市创建核心任务。</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2.项目管理（得分18/18）</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建立专账管理制度，资金分配公开透明，无截留挪用现象。</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3.项目实施（得分9/9）</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资金拨付率100%，五洲社区执行率高于预期。</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4.项目结果（得分9/9）</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完成年度目标，社区满意度达92%。</w:t>
      </w:r>
    </w:p>
    <w:p>
      <w:pPr>
        <w:keepNext w:val="0"/>
        <w:keepLines w:val="0"/>
        <w:pageBreakBefore w:val="0"/>
        <w:widowControl w:val="0"/>
        <w:numPr>
          <w:ilvl w:val="0"/>
          <w:numId w:val="14"/>
        </w:numPr>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1.民生保障类（得分20/16）</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资金分配均衡，但雪峰寺社区因人口密集，人均投入需进一步优化。</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2.行政运转类（得分16/16）</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用途合规，但个别社区报销凭证存在瑕疵，需加强财务培训。</w:t>
      </w:r>
    </w:p>
    <w:p>
      <w:pPr>
        <w:keepNext w:val="0"/>
        <w:keepLines w:val="0"/>
        <w:pageBreakBefore w:val="0"/>
        <w:widowControl w:val="0"/>
        <w:numPr>
          <w:ilvl w:val="0"/>
          <w:numId w:val="14"/>
        </w:numPr>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kern w:val="2"/>
          <w:sz w:val="32"/>
          <w:szCs w:val="32"/>
          <w:lang w:val="zh-CN" w:eastAsia="zh-CN" w:bidi="ar-SA"/>
        </w:rPr>
      </w:pPr>
      <w:r>
        <w:rPr>
          <w:rFonts w:hint="eastAsia" w:ascii="仿宋" w:hAnsi="仿宋" w:eastAsia="仿宋" w:cs="仿宋"/>
          <w:b w:val="0"/>
          <w:bCs w:val="0"/>
          <w:color w:val="auto"/>
          <w:kern w:val="2"/>
          <w:sz w:val="32"/>
          <w:szCs w:val="32"/>
          <w:lang w:val="zh-CN" w:eastAsia="zh-CN" w:bidi="ar-SA"/>
        </w:rPr>
        <w:t>增设“社区参与活跃度”指标，评估结果显示：90%的社区每月开展文明活动≥</w:t>
      </w: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color w:val="auto"/>
          <w:kern w:val="2"/>
          <w:sz w:val="32"/>
          <w:szCs w:val="32"/>
          <w:lang w:val="zh-CN" w:eastAsia="zh-CN" w:bidi="ar-SA"/>
        </w:rPr>
        <w:t>次，超额完成预期。</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项目综合得分96分（满分100），总体绩效优良。资金使用规范，社会效益显著，居民满意度达标，但在执行效率及区域均衡性上需改进。</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rPr>
          <w:rFonts w:hint="eastAsia" w:ascii="仿宋" w:hAnsi="仿宋" w:eastAsia="仿宋" w:cs="仿宋"/>
          <w:b w:val="0"/>
          <w:bCs w:val="0"/>
          <w:color w:val="auto"/>
          <w:kern w:val="0"/>
          <w:position w:val="0"/>
          <w:sz w:val="32"/>
          <w:szCs w:val="32"/>
          <w:highlight w:val="none"/>
          <w:lang w:val="en-US" w:eastAsia="zh-CN" w:bidi="ar-SA"/>
        </w:rPr>
      </w:pPr>
      <w:r>
        <w:rPr>
          <w:rFonts w:hint="eastAsia" w:ascii="仿宋" w:hAnsi="仿宋" w:eastAsia="仿宋" w:cs="仿宋"/>
          <w:b w:val="0"/>
          <w:bCs w:val="0"/>
          <w:color w:val="auto"/>
          <w:kern w:val="0"/>
          <w:position w:val="0"/>
          <w:sz w:val="32"/>
          <w:szCs w:val="32"/>
          <w:highlight w:val="none"/>
          <w:lang w:val="en-US" w:eastAsia="zh-CN" w:bidi="ar-SA"/>
        </w:rPr>
        <w:t>1.执行时效性不足：部分社区活动因协调问题延迟开展；</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 w:hAnsi="仿宋" w:eastAsia="仿宋" w:cs="仿宋"/>
          <w:b w:val="0"/>
          <w:bCs w:val="0"/>
          <w:color w:val="auto"/>
          <w:kern w:val="0"/>
          <w:position w:val="0"/>
          <w:sz w:val="32"/>
          <w:szCs w:val="32"/>
          <w:highlight w:val="none"/>
          <w:lang w:val="en-US" w:eastAsia="zh-CN" w:bidi="ar-SA"/>
        </w:rPr>
        <w:t>2.财务规范性待提升：个别社区报销材料不完整。</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rPr>
          <w:rFonts w:hint="eastAsia" w:ascii="仿宋" w:hAnsi="仿宋" w:eastAsia="仿宋" w:cs="仿宋"/>
          <w:b w:val="0"/>
          <w:bCs w:val="0"/>
          <w:color w:val="auto"/>
          <w:kern w:val="0"/>
          <w:position w:val="0"/>
          <w:sz w:val="32"/>
          <w:szCs w:val="32"/>
          <w:highlight w:val="none"/>
          <w:lang w:val="en-US" w:eastAsia="zh-CN" w:bidi="ar-SA"/>
        </w:rPr>
      </w:pPr>
      <w:r>
        <w:rPr>
          <w:rFonts w:hint="eastAsia" w:ascii="仿宋" w:hAnsi="仿宋" w:eastAsia="仿宋" w:cs="仿宋"/>
          <w:b w:val="0"/>
          <w:bCs w:val="0"/>
          <w:color w:val="auto"/>
          <w:kern w:val="0"/>
          <w:position w:val="0"/>
          <w:sz w:val="32"/>
          <w:szCs w:val="32"/>
          <w:highlight w:val="none"/>
          <w:lang w:val="en-US" w:eastAsia="zh-CN" w:bidi="ar-SA"/>
        </w:rPr>
        <w:t>1.优化资金分配机制：按社区实际需求动态调整预算，向老旧小区倾斜；</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rPr>
          <w:rFonts w:hint="eastAsia" w:ascii="仿宋" w:hAnsi="仿宋" w:eastAsia="仿宋" w:cs="仿宋"/>
          <w:b w:val="0"/>
          <w:bCs w:val="0"/>
          <w:color w:val="auto"/>
          <w:kern w:val="0"/>
          <w:position w:val="0"/>
          <w:sz w:val="32"/>
          <w:szCs w:val="32"/>
          <w:highlight w:val="none"/>
          <w:lang w:val="en-US" w:eastAsia="zh-CN" w:bidi="ar-SA"/>
        </w:rPr>
      </w:pPr>
      <w:r>
        <w:rPr>
          <w:rFonts w:hint="eastAsia" w:ascii="仿宋" w:hAnsi="仿宋" w:eastAsia="仿宋" w:cs="仿宋"/>
          <w:b w:val="0"/>
          <w:bCs w:val="0"/>
          <w:color w:val="auto"/>
          <w:kern w:val="0"/>
          <w:position w:val="0"/>
          <w:sz w:val="32"/>
          <w:szCs w:val="32"/>
          <w:highlight w:val="none"/>
          <w:lang w:val="en-US" w:eastAsia="zh-CN" w:bidi="ar-SA"/>
        </w:rPr>
        <w:t>2.加强财务培训：组织社区经办人员学习专项资金管理办法，规范报销流程；</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rPr>
          <w:rFonts w:hint="eastAsia" w:ascii="仿宋" w:hAnsi="仿宋" w:eastAsia="仿宋" w:cs="仿宋"/>
          <w:b w:val="0"/>
          <w:bCs w:val="0"/>
          <w:color w:val="auto"/>
          <w:kern w:val="0"/>
          <w:position w:val="0"/>
          <w:sz w:val="32"/>
          <w:szCs w:val="32"/>
          <w:highlight w:val="none"/>
          <w:lang w:val="en" w:eastAsia="zh-CN" w:bidi="ar-SA"/>
        </w:rPr>
      </w:pPr>
      <w:r>
        <w:rPr>
          <w:rFonts w:hint="eastAsia" w:ascii="仿宋" w:hAnsi="仿宋" w:eastAsia="仿宋" w:cs="仿宋"/>
          <w:b w:val="0"/>
          <w:bCs w:val="0"/>
          <w:color w:val="auto"/>
          <w:kern w:val="0"/>
          <w:position w:val="0"/>
          <w:sz w:val="32"/>
          <w:szCs w:val="32"/>
          <w:highlight w:val="none"/>
          <w:lang w:val="en-US" w:eastAsia="zh-CN" w:bidi="ar-SA"/>
        </w:rPr>
        <w:t>3.深化居民参与：增设“文明积分奖励”制度，激发群众积极性。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宋体" w:cs="宋体"/>
          <w:b w:val="0"/>
          <w:bCs w:val="0"/>
          <w:color w:val="auto"/>
          <w:sz w:val="32"/>
          <w:szCs w:val="32"/>
          <w:highlight w:val="none"/>
          <w:u w:val="none"/>
          <w:vertAlign w:val="baseline"/>
          <w:lang w:val="en-US" w:eastAsia="zh-CN"/>
        </w:rPr>
      </w:pPr>
    </w:p>
    <w:p>
      <w:pPr>
        <w:pStyle w:val="2"/>
        <w:rPr>
          <w:rFonts w:hint="eastAsia" w:ascii="宋体" w:hAnsi="宋体" w:eastAsia="宋体" w:cs="宋体"/>
          <w:b w:val="0"/>
          <w:bCs w:val="0"/>
          <w:color w:val="auto"/>
          <w:sz w:val="21"/>
          <w:szCs w:val="21"/>
          <w:highlight w:val="none"/>
          <w:u w:val="none"/>
          <w:vertAlign w:val="baseline"/>
          <w:lang w:val="en-US" w:eastAsia="zh-CN"/>
        </w:rPr>
      </w:pPr>
    </w:p>
    <w:p>
      <w:pPr>
        <w:rPr>
          <w:rFonts w:hint="eastAsia" w:ascii="宋体" w:hAnsi="宋体" w:eastAsia="宋体" w:cs="宋体"/>
          <w:b w:val="0"/>
          <w:bCs w:val="0"/>
          <w:color w:val="auto"/>
          <w:sz w:val="21"/>
          <w:szCs w:val="21"/>
          <w:highlight w:val="none"/>
          <w:u w:val="none"/>
          <w:vertAlign w:val="baseline"/>
          <w:lang w:val="en-US" w:eastAsia="zh-CN"/>
        </w:rPr>
      </w:pPr>
    </w:p>
    <w:p>
      <w:pPr>
        <w:pStyle w:val="2"/>
        <w:rPr>
          <w:rFonts w:hint="eastAsia" w:ascii="宋体" w:hAnsi="宋体" w:eastAsia="宋体" w:cs="宋体"/>
          <w:b w:val="0"/>
          <w:bCs w:val="0"/>
          <w:color w:val="auto"/>
          <w:sz w:val="21"/>
          <w:szCs w:val="21"/>
          <w:highlight w:val="none"/>
          <w:u w:val="none"/>
          <w:vertAlign w:val="baseline"/>
          <w:lang w:val="en-US" w:eastAsia="zh-CN"/>
        </w:rPr>
      </w:pPr>
    </w:p>
    <w:p>
      <w:pPr>
        <w:rPr>
          <w:rFonts w:hint="eastAsia" w:ascii="宋体" w:hAnsi="宋体" w:eastAsia="宋体" w:cs="宋体"/>
          <w:b w:val="0"/>
          <w:bCs w:val="0"/>
          <w:color w:val="auto"/>
          <w:sz w:val="21"/>
          <w:szCs w:val="21"/>
          <w:highlight w:val="none"/>
          <w:u w:val="none"/>
          <w:vertAlign w:val="baseline"/>
          <w:lang w:val="en-US" w:eastAsia="zh-CN"/>
        </w:rPr>
      </w:pPr>
    </w:p>
    <w:p>
      <w:pPr>
        <w:pStyle w:val="2"/>
        <w:rPr>
          <w:rFonts w:hint="eastAsia" w:ascii="宋体" w:hAnsi="宋体" w:eastAsia="宋体" w:cs="宋体"/>
          <w:b w:val="0"/>
          <w:bCs w:val="0"/>
          <w:color w:val="auto"/>
          <w:sz w:val="21"/>
          <w:szCs w:val="21"/>
          <w:highlight w:val="none"/>
          <w:u w:val="none"/>
          <w:vertAlign w:val="baseline"/>
          <w:lang w:val="en-US" w:eastAsia="zh-CN"/>
        </w:rPr>
      </w:pPr>
    </w:p>
    <w:p>
      <w:pPr>
        <w:rPr>
          <w:rFonts w:hint="eastAsia" w:ascii="宋体" w:hAnsi="宋体" w:eastAsia="宋体" w:cs="宋体"/>
          <w:b w:val="0"/>
          <w:bCs w:val="0"/>
          <w:color w:val="auto"/>
          <w:sz w:val="21"/>
          <w:szCs w:val="21"/>
          <w:highlight w:val="none"/>
          <w:u w:val="none"/>
          <w:vertAlign w:val="baseline"/>
          <w:lang w:val="en-US" w:eastAsia="zh-CN"/>
        </w:rPr>
      </w:pPr>
    </w:p>
    <w:p>
      <w:pPr>
        <w:pStyle w:val="2"/>
        <w:rPr>
          <w:rFonts w:hint="eastAsia" w:ascii="宋体" w:hAnsi="宋体" w:eastAsia="宋体" w:cs="宋体"/>
          <w:b w:val="0"/>
          <w:bCs w:val="0"/>
          <w:color w:val="auto"/>
          <w:sz w:val="21"/>
          <w:szCs w:val="21"/>
          <w:highlight w:val="none"/>
          <w:u w:val="none"/>
          <w:vertAlign w:val="baseline"/>
          <w:lang w:val="en-US" w:eastAsia="zh-CN"/>
        </w:rPr>
      </w:pPr>
    </w:p>
    <w:p>
      <w:pPr>
        <w:rPr>
          <w:rFonts w:hint="eastAsia" w:ascii="宋体" w:hAnsi="宋体" w:eastAsia="宋体" w:cs="宋体"/>
          <w:b w:val="0"/>
          <w:bCs w:val="0"/>
          <w:color w:val="auto"/>
          <w:sz w:val="21"/>
          <w:szCs w:val="21"/>
          <w:highlight w:val="none"/>
          <w:u w:val="none"/>
          <w:vertAlign w:val="baseline"/>
          <w:lang w:val="en-US" w:eastAsia="zh-CN"/>
        </w:rPr>
      </w:pPr>
    </w:p>
    <w:p>
      <w:pPr>
        <w:pStyle w:val="2"/>
        <w:rPr>
          <w:rFonts w:hint="eastAsia" w:ascii="宋体" w:hAnsi="宋体" w:eastAsia="宋体" w:cs="宋体"/>
          <w:b w:val="0"/>
          <w:bCs w:val="0"/>
          <w:color w:val="auto"/>
          <w:sz w:val="21"/>
          <w:szCs w:val="21"/>
          <w:highlight w:val="none"/>
          <w:u w:val="none"/>
          <w:vertAlign w:val="baseline"/>
          <w:lang w:val="en-US" w:eastAsia="zh-CN"/>
        </w:rPr>
      </w:pPr>
    </w:p>
    <w:p>
      <w:pPr>
        <w:rPr>
          <w:rFonts w:hint="eastAsia" w:ascii="宋体" w:hAnsi="宋体" w:eastAsia="宋体" w:cs="宋体"/>
          <w:b w:val="0"/>
          <w:bCs w:val="0"/>
          <w:color w:val="auto"/>
          <w:sz w:val="21"/>
          <w:szCs w:val="21"/>
          <w:highlight w:val="none"/>
          <w:u w:val="none"/>
          <w:vertAlign w:val="baseline"/>
          <w:lang w:val="en-US" w:eastAsia="zh-CN"/>
        </w:rPr>
      </w:pPr>
    </w:p>
    <w:p>
      <w:pPr>
        <w:pStyle w:val="2"/>
        <w:rPr>
          <w:rFonts w:hint="eastAsia" w:ascii="宋体" w:hAnsi="宋体" w:eastAsia="宋体" w:cs="宋体"/>
          <w:b w:val="0"/>
          <w:bCs w:val="0"/>
          <w:color w:val="auto"/>
          <w:sz w:val="21"/>
          <w:szCs w:val="21"/>
          <w:highlight w:val="none"/>
          <w:u w:val="none"/>
          <w:vertAlign w:val="baseline"/>
          <w:lang w:val="en-US" w:eastAsia="zh-CN"/>
        </w:rPr>
      </w:pPr>
    </w:p>
    <w:p>
      <w:pPr>
        <w:rPr>
          <w:rFonts w:hint="eastAsia" w:ascii="宋体" w:hAnsi="宋体" w:eastAsia="宋体" w:cs="宋体"/>
          <w:b w:val="0"/>
          <w:bCs w:val="0"/>
          <w:color w:val="auto"/>
          <w:sz w:val="21"/>
          <w:szCs w:val="21"/>
          <w:highlight w:val="none"/>
          <w:u w:val="none"/>
          <w:vertAlign w:val="baseline"/>
          <w:lang w:val="en-US" w:eastAsia="zh-CN"/>
        </w:rPr>
      </w:pPr>
    </w:p>
    <w:p>
      <w:pPr>
        <w:pStyle w:val="2"/>
        <w:rPr>
          <w:rFonts w:hint="eastAsia" w:ascii="宋体" w:hAnsi="宋体" w:eastAsia="宋体" w:cs="宋体"/>
          <w:b w:val="0"/>
          <w:bCs w:val="0"/>
          <w:color w:val="auto"/>
          <w:sz w:val="21"/>
          <w:szCs w:val="21"/>
          <w:highlight w:val="none"/>
          <w:u w:val="none"/>
          <w:vertAlign w:val="baseline"/>
          <w:lang w:val="en-US" w:eastAsia="zh-CN"/>
        </w:rPr>
      </w:pPr>
    </w:p>
    <w:p>
      <w:pPr>
        <w:rPr>
          <w:rFonts w:hint="eastAsia" w:ascii="宋体" w:hAnsi="宋体" w:eastAsia="宋体" w:cs="宋体"/>
          <w:b w:val="0"/>
          <w:bCs w:val="0"/>
          <w:color w:val="auto"/>
          <w:sz w:val="21"/>
          <w:szCs w:val="21"/>
          <w:highlight w:val="none"/>
          <w:u w:val="none"/>
          <w:vertAlign w:val="baseline"/>
          <w:lang w:val="en-US" w:eastAsia="zh-CN"/>
        </w:rPr>
      </w:pPr>
    </w:p>
    <w:p>
      <w:pPr>
        <w:pStyle w:val="2"/>
        <w:rPr>
          <w:rFonts w:hint="eastAsia"/>
          <w:lang w:val="en-US" w:eastAsia="zh-CN"/>
        </w:rPr>
      </w:pPr>
    </w:p>
    <w:p>
      <w:pPr>
        <w:pStyle w:val="2"/>
        <w:pageBreakBefore w:val="0"/>
        <w:kinsoku/>
        <w:wordWrap/>
        <w:topLinePunct w:val="0"/>
        <w:autoSpaceDE/>
        <w:autoSpaceDN/>
        <w:bidi w:val="0"/>
        <w:spacing w:line="576" w:lineRule="exact"/>
        <w:ind w:left="0" w:leftChars="0" w:firstLine="0" w:firstLineChars="0"/>
        <w:jc w:val="both"/>
        <w:textAlignment w:val="auto"/>
        <w:rPr>
          <w:rFonts w:ascii="方正小标宋简体" w:hAnsi="宋体" w:eastAsia="方正小标宋简体"/>
          <w:sz w:val="32"/>
          <w:szCs w:val="32"/>
        </w:rPr>
      </w:pPr>
    </w:p>
    <w:p/>
    <w:p>
      <w:pPr>
        <w:keepNext w:val="0"/>
        <w:keepLines w:val="0"/>
        <w:pageBreakBefore w:val="0"/>
        <w:widowControl/>
        <w:kinsoku/>
        <w:wordWrap/>
        <w:overflowPunct/>
        <w:topLinePunct w:val="0"/>
        <w:autoSpaceDE/>
        <w:autoSpaceDN/>
        <w:bidi w:val="0"/>
        <w:spacing w:line="576" w:lineRule="exact"/>
        <w:jc w:val="center"/>
        <w:textAlignment w:val="auto"/>
        <w:rPr>
          <w:rFonts w:hint="eastAsia" w:eastAsia="方正小标宋简体"/>
          <w:color w:val="000000"/>
          <w:sz w:val="44"/>
          <w:szCs w:val="44"/>
          <w:lang w:val="en-US" w:eastAsia="zh-CN"/>
        </w:rPr>
      </w:pPr>
      <w:r>
        <w:rPr>
          <w:rFonts w:hint="eastAsia" w:eastAsia="方正小标宋简体"/>
          <w:color w:val="000000"/>
          <w:sz w:val="44"/>
          <w:szCs w:val="44"/>
        </w:rPr>
        <w:t>广元市利州区人民政府</w:t>
      </w:r>
      <w:r>
        <w:rPr>
          <w:rFonts w:hint="eastAsia" w:eastAsia="方正小标宋简体"/>
          <w:color w:val="000000"/>
          <w:sz w:val="44"/>
          <w:szCs w:val="44"/>
          <w:lang w:eastAsia="zh-CN"/>
        </w:rPr>
        <w:t>雪峰街道办事处</w:t>
      </w:r>
    </w:p>
    <w:p>
      <w:pPr>
        <w:keepNext w:val="0"/>
        <w:keepLines w:val="0"/>
        <w:pageBreakBefore w:val="0"/>
        <w:widowControl/>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eastAsia="方正小标宋简体"/>
          <w:color w:val="000000"/>
          <w:sz w:val="44"/>
          <w:szCs w:val="44"/>
          <w:lang w:eastAsia="zh-CN"/>
        </w:rPr>
        <w:t>暴雨洪涝灾害灾后应急恢复</w:t>
      </w:r>
      <w:r>
        <w:rPr>
          <w:rFonts w:hint="eastAsia" w:eastAsia="方正小标宋简体"/>
          <w:color w:val="000000"/>
          <w:sz w:val="44"/>
          <w:szCs w:val="44"/>
        </w:rPr>
        <w:t>项目</w:t>
      </w:r>
      <w:r>
        <w:rPr>
          <w:rFonts w:hint="eastAsia" w:ascii="方正小标宋简体" w:hAnsi="方正小标宋简体" w:eastAsia="方正小标宋简体" w:cs="方正小标宋简体"/>
          <w:sz w:val="44"/>
          <w:szCs w:val="44"/>
          <w:lang w:val="en-US" w:eastAsia="zh-CN"/>
        </w:rPr>
        <w:t>专项预算</w:t>
      </w:r>
    </w:p>
    <w:p>
      <w:pPr>
        <w:keepNext w:val="0"/>
        <w:keepLines w:val="0"/>
        <w:pageBreakBefore w:val="0"/>
        <w:widowControl/>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绩效自评报告</w:t>
      </w:r>
    </w:p>
    <w:p>
      <w:pPr>
        <w:pStyle w:val="37"/>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 w:hAnsi="仿宋" w:eastAsia="仿宋" w:cs="仿宋"/>
          <w:color w:val="auto"/>
          <w:sz w:val="32"/>
          <w:szCs w:val="32"/>
          <w:shd w:val="clear" w:color="auto" w:fill="FFFFFF"/>
          <w:lang w:val="en-US"/>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highlight w:val="none"/>
          <w:u w:val="none"/>
          <w:lang w:val="zh-CN" w:eastAsia="zh-CN"/>
        </w:rPr>
      </w:pPr>
      <w:r>
        <w:rPr>
          <w:rFonts w:hint="eastAsia" w:ascii="仿宋" w:hAnsi="仿宋" w:eastAsia="仿宋" w:cs="仿宋"/>
          <w:b w:val="0"/>
          <w:bCs w:val="0"/>
          <w:color w:val="auto"/>
          <w:sz w:val="32"/>
          <w:szCs w:val="32"/>
          <w:highlight w:val="none"/>
          <w:u w:val="none"/>
          <w:lang w:val="zh-CN" w:eastAsia="zh-CN"/>
        </w:rPr>
        <w:t>2024年汛期，金山村六组因持续强降雨引发山体垮塌和道路损毁，导致交通中断，严重影响村民生产生活安全。本项目旨在通过应急恢复资金10万元，修复受损堡坎、清理垮方体，抢通中断道路及附属设施，保障公路安全畅通。</w:t>
      </w:r>
    </w:p>
    <w:p>
      <w:pPr>
        <w:keepNext w:val="0"/>
        <w:keepLines w:val="0"/>
        <w:pageBreakBefore w:val="0"/>
        <w:widowControl w:val="0"/>
        <w:numPr>
          <w:ilvl w:val="0"/>
          <w:numId w:val="15"/>
        </w:numPr>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1.实施目的：快速恢复受灾区域基础设施，确保群众出行安全，稳定生产生活秩序，提升群众安全感和满意度。</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zh-CN"/>
        </w:rPr>
      </w:pPr>
      <w:r>
        <w:rPr>
          <w:rFonts w:hint="eastAsia" w:ascii="仿宋" w:hAnsi="仿宋" w:eastAsia="仿宋" w:cs="仿宋"/>
          <w:b w:val="0"/>
          <w:bCs w:val="0"/>
          <w:color w:val="auto"/>
          <w:sz w:val="32"/>
          <w:szCs w:val="32"/>
          <w:highlight w:val="none"/>
          <w:u w:val="none"/>
          <w:lang w:val="en-US" w:eastAsia="zh-CN"/>
        </w:rPr>
        <w:t>2.支持方向：专项资金重点用于工程抢修（堡坎修复、垮方清理）、道路疏通及设施恢复，确保资金精准投向灾后重建关键环节。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1.预算安排：项目总资金10万元，全部为财政拨款，由雪峰街道办事处统筹管理。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 w:hAnsi="仿宋" w:eastAsia="仿宋" w:cs="仿宋"/>
          <w:b w:val="0"/>
          <w:bCs w:val="0"/>
          <w:color w:val="auto"/>
          <w:sz w:val="32"/>
          <w:szCs w:val="32"/>
          <w:highlight w:val="none"/>
          <w:u w:val="none"/>
          <w:lang w:val="en-US" w:eastAsia="zh-CN"/>
        </w:rPr>
        <w:t>2.分配管理：严格执行《广利财投下（2024）19号》资金管理办法，采用“因素法与项目法相结合”分配方式，确保资金使用合规高效。</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 w:hAnsi="仿宋" w:eastAsia="仿宋" w:cs="仿宋"/>
          <w:b w:val="0"/>
          <w:bCs w:val="0"/>
          <w:color w:val="auto"/>
          <w:sz w:val="32"/>
          <w:szCs w:val="32"/>
          <w:highlight w:val="none"/>
          <w:u w:val="none"/>
          <w:lang w:val="zh-CN" w:eastAsia="zh-CN"/>
        </w:rPr>
        <w:t>设定以下绩效目标：</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highlight w:val="none"/>
          <w:u w:val="none"/>
          <w:lang w:val="zh-CN" w:eastAsia="zh-CN"/>
        </w:rPr>
      </w:pPr>
      <w:r>
        <w:rPr>
          <w:rFonts w:hint="eastAsia" w:ascii="仿宋" w:hAnsi="仿宋" w:eastAsia="仿宋" w:cs="仿宋"/>
          <w:b w:val="0"/>
          <w:bCs w:val="0"/>
          <w:color w:val="auto"/>
          <w:sz w:val="32"/>
          <w:szCs w:val="32"/>
          <w:highlight w:val="none"/>
          <w:u w:val="none"/>
          <w:lang w:val="zh-CN" w:eastAsia="zh-CN"/>
        </w:rPr>
        <w:t>数量指标：应急恢复资金</w:t>
      </w:r>
      <w:r>
        <w:rPr>
          <w:rFonts w:hint="eastAsia" w:ascii="仿宋" w:hAnsi="仿宋" w:eastAsia="仿宋" w:cs="仿宋"/>
          <w:b w:val="0"/>
          <w:bCs w:val="0"/>
          <w:color w:val="auto"/>
          <w:sz w:val="32"/>
          <w:szCs w:val="32"/>
          <w:highlight w:val="none"/>
          <w:u w:val="none"/>
          <w:lang w:val="en-US" w:eastAsia="zh-CN"/>
        </w:rPr>
        <w:t>10万元，</w:t>
      </w:r>
      <w:r>
        <w:rPr>
          <w:rFonts w:hint="eastAsia" w:ascii="仿宋" w:hAnsi="仿宋" w:eastAsia="仿宋" w:cs="仿宋"/>
          <w:b w:val="0"/>
          <w:bCs w:val="0"/>
          <w:color w:val="auto"/>
          <w:sz w:val="32"/>
          <w:szCs w:val="32"/>
          <w:highlight w:val="none"/>
          <w:u w:val="none"/>
          <w:lang w:val="zh-CN" w:eastAsia="zh-CN"/>
        </w:rPr>
        <w:t>拨付率100%，拨付时间≤6个月。</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highlight w:val="none"/>
          <w:u w:val="none"/>
          <w:lang w:val="zh-CN" w:eastAsia="zh-CN"/>
        </w:rPr>
      </w:pPr>
      <w:r>
        <w:rPr>
          <w:rFonts w:hint="eastAsia" w:ascii="仿宋" w:hAnsi="仿宋" w:eastAsia="仿宋" w:cs="仿宋"/>
          <w:b w:val="0"/>
          <w:bCs w:val="0"/>
          <w:color w:val="auto"/>
          <w:sz w:val="32"/>
          <w:szCs w:val="32"/>
          <w:highlight w:val="none"/>
          <w:u w:val="none"/>
          <w:lang w:val="zh-CN" w:eastAsia="zh-CN"/>
        </w:rPr>
        <w:t>质量指标：工程验收合格率≥95%。</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 w:hAnsi="仿宋" w:eastAsia="仿宋" w:cs="仿宋"/>
          <w:b w:val="0"/>
          <w:bCs w:val="0"/>
          <w:color w:val="auto"/>
          <w:sz w:val="32"/>
          <w:szCs w:val="32"/>
          <w:highlight w:val="none"/>
          <w:u w:val="none"/>
          <w:lang w:val="zh-CN" w:eastAsia="zh-CN"/>
        </w:rPr>
      </w:pPr>
      <w:r>
        <w:rPr>
          <w:rFonts w:hint="eastAsia" w:ascii="仿宋" w:hAnsi="仿宋" w:eastAsia="仿宋" w:cs="仿宋"/>
          <w:b w:val="0"/>
          <w:bCs w:val="0"/>
          <w:color w:val="auto"/>
          <w:sz w:val="32"/>
          <w:szCs w:val="32"/>
          <w:highlight w:val="none"/>
          <w:u w:val="none"/>
          <w:lang w:val="zh-CN" w:eastAsia="zh-CN"/>
        </w:rPr>
        <w:t>时效指标：灾后恢复完成时间≤3个月。</w:t>
      </w:r>
    </w:p>
    <w:p>
      <w:pPr>
        <w:keepNext w:val="0"/>
        <w:keepLines w:val="0"/>
        <w:pageBreakBefore w:val="0"/>
        <w:widowControl w:val="0"/>
        <w:kinsoku/>
        <w:wordWrap/>
        <w:overflowPunct w:val="0"/>
        <w:topLinePunct w:val="0"/>
        <w:autoSpaceDE/>
        <w:autoSpaceDN/>
        <w:bidi w:val="0"/>
        <w:adjustRightInd w:val="0"/>
        <w:snapToGrid w:val="0"/>
        <w:spacing w:line="576" w:lineRule="exact"/>
        <w:ind w:left="638" w:leftChars="304" w:firstLine="640" w:firstLineChars="200"/>
        <w:jc w:val="both"/>
        <w:textAlignment w:val="auto"/>
        <w:outlineLvl w:val="9"/>
        <w:rPr>
          <w:rFonts w:hint="eastAsia" w:ascii="仿宋" w:hAnsi="仿宋" w:eastAsia="仿宋" w:cs="仿宋"/>
          <w:b w:val="0"/>
          <w:bCs w:val="0"/>
          <w:color w:val="auto"/>
          <w:sz w:val="32"/>
          <w:szCs w:val="32"/>
          <w:highlight w:val="none"/>
          <w:u w:val="none"/>
          <w:lang w:val="zh-CN" w:eastAsia="zh-CN"/>
        </w:rPr>
      </w:pPr>
      <w:r>
        <w:rPr>
          <w:rFonts w:hint="eastAsia" w:ascii="仿宋" w:hAnsi="仿宋" w:eastAsia="仿宋" w:cs="仿宋"/>
          <w:b w:val="0"/>
          <w:bCs w:val="0"/>
          <w:color w:val="auto"/>
          <w:sz w:val="32"/>
          <w:szCs w:val="32"/>
          <w:highlight w:val="none"/>
          <w:u w:val="none"/>
          <w:lang w:val="zh-CN" w:eastAsia="zh-CN"/>
        </w:rPr>
        <w:t>社会效益：保障村民生产生活恢复率≥90%，满意度≥95%。</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numPr>
          <w:ilvl w:val="0"/>
          <w:numId w:val="0"/>
        </w:numPr>
        <w:kinsoku/>
        <w:wordWrap/>
        <w:overflowPunct w:val="0"/>
        <w:topLinePunct w:val="0"/>
        <w:autoSpaceDE/>
        <w:autoSpaceDN/>
        <w:bidi w:val="0"/>
        <w:spacing w:line="576" w:lineRule="exact"/>
        <w:ind w:firstLine="320" w:firstLineChars="100"/>
        <w:jc w:val="both"/>
        <w:textAlignment w:val="auto"/>
        <w:outlineLvl w:val="9"/>
        <w:rPr>
          <w:rFonts w:hint="eastAsia" w:ascii="楷体" w:hAnsi="楷体" w:eastAsia="楷体" w:cs="楷体"/>
          <w:b w:val="0"/>
          <w:bCs w:val="0"/>
          <w:color w:val="auto"/>
          <w:sz w:val="32"/>
          <w:szCs w:val="32"/>
          <w:highlight w:val="none"/>
          <w:u w:val="none"/>
          <w:lang w:val="zh-CN"/>
        </w:rPr>
      </w:pPr>
      <w:r>
        <w:rPr>
          <w:rFonts w:hint="eastAsia" w:ascii="楷体" w:hAnsi="楷体" w:eastAsia="楷体" w:cs="楷体"/>
          <w:b w:val="0"/>
          <w:bCs w:val="0"/>
          <w:color w:val="auto"/>
          <w:sz w:val="32"/>
          <w:szCs w:val="32"/>
          <w:highlight w:val="none"/>
          <w:u w:val="none"/>
          <w:lang w:val="zh-CN"/>
        </w:rPr>
        <w:t>（</w:t>
      </w:r>
      <w:r>
        <w:rPr>
          <w:rFonts w:hint="eastAsia" w:ascii="楷体" w:hAnsi="楷体" w:eastAsia="楷体" w:cs="楷体"/>
          <w:b w:val="0"/>
          <w:bCs w:val="0"/>
          <w:color w:val="auto"/>
          <w:sz w:val="32"/>
          <w:szCs w:val="32"/>
          <w:highlight w:val="none"/>
          <w:u w:val="none"/>
          <w:lang w:val="en-US" w:eastAsia="zh-CN"/>
        </w:rPr>
        <w:t>一）</w:t>
      </w:r>
      <w:r>
        <w:rPr>
          <w:rFonts w:hint="eastAsia" w:ascii="楷体" w:hAnsi="楷体" w:eastAsia="楷体" w:cs="楷体"/>
          <w:b w:val="0"/>
          <w:bCs w:val="0"/>
          <w:color w:val="auto"/>
          <w:sz w:val="32"/>
          <w:szCs w:val="32"/>
          <w:highlight w:val="none"/>
          <w:u w:val="none"/>
          <w:lang w:val="zh-CN"/>
        </w:rPr>
        <w:t>评价目的。</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通过自评检验资金使用效率、项目实施效果及目标达成度，为后续预算优化和灾后管理提供依据。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320" w:firstLineChars="1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w:t>
      </w:r>
      <w:r>
        <w:rPr>
          <w:rFonts w:hint="eastAsia" w:ascii="楷体_GB2312" w:hAnsi="楷体_GB2312" w:eastAsia="楷体_GB2312" w:cs="楷体_GB2312"/>
          <w:b w:val="0"/>
          <w:bCs w:val="0"/>
          <w:color w:val="auto"/>
          <w:sz w:val="32"/>
          <w:szCs w:val="32"/>
          <w:highlight w:val="none"/>
          <w:u w:val="none"/>
          <w:lang w:val="en-US" w:eastAsia="zh-CN"/>
        </w:rPr>
        <w:t>二）</w:t>
      </w: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1.预设问题：资金拨付时效性、工程质量合规性、群众满意度偏差。</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2.评价重点：资金分配合理性、工程进度、目标完成率及社会效益。</w:t>
      </w:r>
    </w:p>
    <w:p>
      <w:pPr>
        <w:keepNext w:val="0"/>
        <w:keepLines w:val="0"/>
        <w:pageBreakBefore w:val="0"/>
        <w:widowControl w:val="0"/>
        <w:kinsoku/>
        <w:wordWrap/>
        <w:overflowPunct w:val="0"/>
        <w:topLinePunct w:val="0"/>
        <w:autoSpaceDE/>
        <w:autoSpaceDN/>
        <w:bidi w:val="0"/>
        <w:adjustRightInd w:val="0"/>
        <w:snapToGrid w:val="0"/>
        <w:spacing w:line="576" w:lineRule="exact"/>
        <w:ind w:firstLine="320" w:firstLineChars="1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（三）评价选点。</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选取金山村六组核心受灾区域（占比资金分配60%）及附属设施修复点位，共3处进行实地踏勘（附表2）。</w:t>
      </w:r>
    </w:p>
    <w:p>
      <w:pPr>
        <w:keepNext w:val="0"/>
        <w:keepLines w:val="0"/>
        <w:pageBreakBefore w:val="0"/>
        <w:widowControl w:val="0"/>
        <w:numPr>
          <w:ilvl w:val="0"/>
          <w:numId w:val="0"/>
        </w:numPr>
        <w:kinsoku/>
        <w:wordWrap/>
        <w:overflowPunct w:val="0"/>
        <w:topLinePunct w:val="0"/>
        <w:autoSpaceDE/>
        <w:autoSpaceDN/>
        <w:bidi w:val="0"/>
        <w:spacing w:line="576" w:lineRule="exact"/>
        <w:ind w:firstLine="320" w:firstLineChars="1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（四）评价方法。</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采用“案卷研究法”核查资金台账，通过“实地勘察法”评估工程质量。</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highlight w:val="none"/>
          <w:u w:val="none"/>
          <w:lang w:val="zh-CN"/>
        </w:rPr>
        <w:t>（五）评价组织。</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成立专项评价组（5人），分工如下：</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组长：统筹协调及报告审核；</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财政所：资金使用合规性核查；</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应急办：实地验收工程质量；</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 w:hAnsi="仿宋" w:eastAsia="仿宋" w:cs="仿宋"/>
          <w:b w:val="0"/>
          <w:bCs w:val="0"/>
          <w:color w:val="auto"/>
          <w:sz w:val="32"/>
          <w:szCs w:val="32"/>
          <w:lang w:val="zh-CN" w:eastAsia="zh-CN"/>
        </w:rPr>
        <w:t>党政办：群众满意度调查。</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1.项目决策（18分/18分）</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决策程序符合政策要求，资金投向精准聚焦灾后重建，得分18分。</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2.项目管理（18分/18分）</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资金分配流程规范。</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3.项目实施（9分/8分）</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资金拨付率90%，扣1分，得分8分。</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4.项目结果（9分/9分）</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目标完成率100%，工程质量达标，得分9分。</w:t>
      </w:r>
    </w:p>
    <w:p>
      <w:pPr>
        <w:keepNext w:val="0"/>
        <w:keepLines w:val="0"/>
        <w:pageBreakBefore w:val="0"/>
        <w:widowControl w:val="0"/>
        <w:numPr>
          <w:ilvl w:val="0"/>
          <w:numId w:val="15"/>
        </w:numPr>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1.工程进度：按计划完成抢通任务，资金拨付与工程进度匹配，得10分。</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2.项目验收：验收及时合格，得10分。</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3.功能实现：修复后道路通行能力恢复至灾前水平，得分10分。</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4.后续管护：未建立后续管理维护制度机制，未实现有效维护。扣2分，得8分。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群众参与度：未通过村民代表会议公示项目进展，得分</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val="zh-CN" w:eastAsia="zh-CN"/>
        </w:rPr>
        <w:t>分。</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outlineLvl w:val="9"/>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 w:hAnsi="仿宋" w:eastAsia="仿宋" w:cs="仿宋"/>
          <w:b w:val="0"/>
          <w:bCs w:val="0"/>
          <w:color w:val="auto"/>
          <w:kern w:val="2"/>
          <w:sz w:val="32"/>
          <w:szCs w:val="32"/>
          <w:lang w:val="en-US" w:eastAsia="zh-CN" w:bidi="ar-SA"/>
        </w:rPr>
        <w:t>项目自评得分95分，项目总体实施效果良好，资金使用合规，目标完成率100%，道路恢复及时保障了村民安全出行。</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outlineLvl w:val="9"/>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1.资金审批时效性不足：部分资金拨付因审批环节延迟，影响工程初期进度。</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2.配套管理机制不完善：灾后重建后续管护责任未明确，存在设施维护盲区。</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3.信息公示透明度待提升：部分村民对资金分配细节了解不足，影响满意度。</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outlineLvl w:val="9"/>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1.优化审批流程：压缩资金拨付周期，确保应急项目快速启动。</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2.健全管护机制：与村委会签订管护协议，明确设施维护责任。</w:t>
      </w:r>
    </w:p>
    <w:p>
      <w:pPr>
        <w:pStyle w:val="7"/>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3.加强信息公开：通过村务公开栏、微信群等多渠道公示资金使用明细，提升群众知情权。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0" w:leftChars="0"/>
        <w:jc w:val="both"/>
        <w:textAlignment w:val="auto"/>
      </w:pPr>
    </w:p>
    <w:p>
      <w:pPr>
        <w:pStyle w:val="37"/>
        <w:pageBreakBefore w:val="0"/>
        <w:kinsoku/>
        <w:wordWrap/>
        <w:overflowPunct w:val="0"/>
        <w:topLinePunct w:val="0"/>
        <w:autoSpaceDE/>
        <w:autoSpaceDN/>
        <w:bidi w:val="0"/>
        <w:adjustRightInd w:val="0"/>
        <w:snapToGrid w:val="0"/>
        <w:spacing w:line="576" w:lineRule="exact"/>
        <w:jc w:val="both"/>
        <w:textAlignment w:val="auto"/>
        <w:rPr>
          <w:rFonts w:ascii="宋体" w:hAnsi="宋体" w:eastAsia="方正仿宋简体" w:cs="方正小标宋简体"/>
          <w:color w:val="auto"/>
          <w:kern w:val="2"/>
          <w:sz w:val="32"/>
          <w:szCs w:val="32"/>
          <w:lang w:val="en-US"/>
        </w:rPr>
      </w:pPr>
    </w:p>
    <w:p>
      <w:pPr>
        <w:pStyle w:val="2"/>
        <w:pageBreakBefore w:val="0"/>
        <w:kinsoku/>
        <w:wordWrap/>
        <w:overflowPunct w:val="0"/>
        <w:topLinePunct w:val="0"/>
        <w:autoSpaceDE/>
        <w:autoSpaceDN/>
        <w:bidi w:val="0"/>
        <w:adjustRightInd w:val="0"/>
        <w:snapToGrid w:val="0"/>
        <w:spacing w:after="0" w:line="576" w:lineRule="exact"/>
        <w:ind w:left="0" w:leftChars="0" w:firstLine="0" w:firstLineChars="0"/>
        <w:jc w:val="both"/>
        <w:textAlignment w:val="auto"/>
      </w:pPr>
    </w:p>
    <w:p>
      <w:pPr>
        <w:pageBreakBefore w:val="0"/>
        <w:kinsoku/>
        <w:wordWrap/>
        <w:topLinePunct w:val="0"/>
        <w:autoSpaceDE/>
        <w:autoSpaceDN/>
        <w:bidi w:val="0"/>
        <w:spacing w:line="576" w:lineRule="exact"/>
        <w:jc w:val="both"/>
        <w:textAlignment w:val="auto"/>
      </w:pPr>
    </w:p>
    <w:p>
      <w:pPr>
        <w:pStyle w:val="2"/>
        <w:pageBreakBefore w:val="0"/>
        <w:kinsoku/>
        <w:wordWrap/>
        <w:topLinePunct w:val="0"/>
        <w:autoSpaceDE/>
        <w:autoSpaceDN/>
        <w:bidi w:val="0"/>
        <w:spacing w:line="576" w:lineRule="exact"/>
        <w:jc w:val="both"/>
        <w:textAlignment w:val="auto"/>
      </w:pPr>
    </w:p>
    <w:p/>
    <w:p>
      <w:pPr>
        <w:pStyle w:val="2"/>
      </w:pPr>
    </w:p>
    <w:p/>
    <w:p>
      <w:pPr>
        <w:pStyle w:val="2"/>
      </w:pPr>
    </w:p>
    <w:p/>
    <w:p>
      <w:pPr>
        <w:pStyle w:val="2"/>
      </w:pPr>
    </w:p>
    <w:p/>
    <w:p>
      <w:pPr>
        <w:pStyle w:val="2"/>
      </w:pPr>
    </w:p>
    <w:p/>
    <w:p>
      <w:pPr>
        <w:pStyle w:val="2"/>
      </w:pPr>
    </w:p>
    <w:p/>
    <w:bookmarkEnd w:id="63"/>
    <w:p>
      <w:pPr>
        <w:pStyle w:val="4"/>
        <w:keepNext/>
        <w:keepLines/>
        <w:pageBreakBefore w:val="0"/>
        <w:widowControl w:val="0"/>
        <w:kinsoku/>
        <w:wordWrap/>
        <w:overflowPunct/>
        <w:topLinePunct w:val="0"/>
        <w:autoSpaceDE/>
        <w:autoSpaceDN/>
        <w:bidi w:val="0"/>
        <w:adjustRightInd w:val="0"/>
        <w:snapToGrid w:val="0"/>
        <w:spacing w:before="0" w:after="0" w:line="576" w:lineRule="exact"/>
        <w:jc w:val="center"/>
        <w:textAlignment w:val="auto"/>
        <w:rPr>
          <w:rFonts w:hint="eastAsia" w:ascii="黑体" w:hAnsi="黑体" w:eastAsia="黑体" w:cs="黑体"/>
          <w:b w:val="0"/>
          <w:bCs w:val="0"/>
        </w:rPr>
      </w:pPr>
      <w:bookmarkStart w:id="67" w:name="_Toc15396618"/>
      <w:bookmarkStart w:id="68" w:name="_Toc146619342"/>
      <w:r>
        <w:rPr>
          <w:rFonts w:hint="eastAsia" w:ascii="黑体" w:hAnsi="黑体" w:eastAsia="黑体" w:cs="黑体"/>
          <w:b w:val="0"/>
          <w:bCs w:val="0"/>
        </w:rPr>
        <w:t>第五部分</w:t>
      </w:r>
      <w:r>
        <w:rPr>
          <w:rFonts w:hint="eastAsia" w:ascii="黑体" w:hAnsi="黑体" w:eastAsia="黑体" w:cs="黑体"/>
          <w:b w:val="0"/>
          <w:bCs w:val="0"/>
          <w:lang w:val="en-US" w:eastAsia="zh-CN"/>
        </w:rPr>
        <w:t xml:space="preserve">  </w:t>
      </w:r>
      <w:r>
        <w:rPr>
          <w:rFonts w:hint="eastAsia" w:ascii="黑体" w:hAnsi="黑体" w:eastAsia="黑体" w:cs="黑体"/>
          <w:b w:val="0"/>
          <w:bCs w:val="0"/>
        </w:rPr>
        <w:t>附表</w:t>
      </w:r>
      <w:bookmarkEnd w:id="64"/>
      <w:bookmarkEnd w:id="67"/>
      <w:bookmarkEnd w:id="68"/>
      <w:bookmarkStart w:id="69" w:name="_Toc15396619"/>
    </w:p>
    <w:p>
      <w:pPr>
        <w:overflowPunct w:val="0"/>
        <w:adjustRightInd w:val="0"/>
        <w:snapToGrid w:val="0"/>
        <w:spacing w:line="580" w:lineRule="exact"/>
        <w:jc w:val="both"/>
        <w:rPr>
          <w:sz w:val="32"/>
          <w:szCs w:val="32"/>
        </w:rPr>
      </w:pPr>
    </w:p>
    <w:p>
      <w:pPr>
        <w:pStyle w:val="5"/>
        <w:keepNext w:val="0"/>
        <w:keepLines w:val="0"/>
        <w:pageBreakBefore w:val="0"/>
        <w:widowControl w:val="0"/>
        <w:numPr>
          <w:ilvl w:val="0"/>
          <w:numId w:val="16"/>
        </w:numPr>
        <w:kinsoku/>
        <w:wordWrap/>
        <w:overflowPunct w:val="0"/>
        <w:topLinePunct w:val="0"/>
        <w:autoSpaceDE/>
        <w:autoSpaceDN/>
        <w:bidi w:val="0"/>
        <w:adjustRightInd w:val="0"/>
        <w:snapToGrid w:val="0"/>
        <w:spacing w:before="0" w:after="0" w:line="576" w:lineRule="exact"/>
        <w:ind w:firstLine="640" w:firstLineChars="200"/>
        <w:jc w:val="both"/>
        <w:textAlignment w:val="auto"/>
        <w:rPr>
          <w:rFonts w:ascii="黑体" w:hAnsi="黑体" w:eastAsia="黑体" w:cs="黑体"/>
          <w:b w:val="0"/>
          <w:bCs w:val="0"/>
        </w:rPr>
      </w:pPr>
      <w:bookmarkStart w:id="70" w:name="_Toc146619343"/>
      <w:r>
        <w:rPr>
          <w:rFonts w:hint="eastAsia" w:ascii="黑体" w:hAnsi="黑体" w:eastAsia="黑体" w:cs="黑体"/>
          <w:b w:val="0"/>
          <w:bCs w:val="0"/>
        </w:rPr>
        <w:t>收入支出决算总表</w:t>
      </w:r>
      <w:bookmarkEnd w:id="69"/>
      <w:bookmarkEnd w:id="70"/>
    </w:p>
    <w:p>
      <w:pPr>
        <w:pStyle w:val="5"/>
        <w:keepNext w:val="0"/>
        <w:keepLines w:val="0"/>
        <w:pageBreakBefore w:val="0"/>
        <w:widowControl w:val="0"/>
        <w:numPr>
          <w:ilvl w:val="0"/>
          <w:numId w:val="16"/>
        </w:numPr>
        <w:kinsoku/>
        <w:wordWrap/>
        <w:overflowPunct w:val="0"/>
        <w:topLinePunct w:val="0"/>
        <w:autoSpaceDE/>
        <w:autoSpaceDN/>
        <w:bidi w:val="0"/>
        <w:adjustRightInd w:val="0"/>
        <w:snapToGrid w:val="0"/>
        <w:spacing w:before="0" w:after="0" w:line="576" w:lineRule="exact"/>
        <w:ind w:firstLine="640" w:firstLineChars="200"/>
        <w:jc w:val="both"/>
        <w:textAlignment w:val="auto"/>
        <w:rPr>
          <w:rFonts w:ascii="黑体" w:hAnsi="黑体" w:eastAsia="黑体" w:cs="黑体"/>
          <w:b w:val="0"/>
          <w:bCs w:val="0"/>
        </w:rPr>
      </w:pPr>
      <w:bookmarkStart w:id="71" w:name="_Toc15396620"/>
      <w:bookmarkStart w:id="72" w:name="_Toc146619344"/>
      <w:r>
        <w:rPr>
          <w:rFonts w:hint="eastAsia" w:ascii="黑体" w:hAnsi="黑体" w:eastAsia="黑体" w:cs="黑体"/>
          <w:b w:val="0"/>
          <w:bCs w:val="0"/>
        </w:rPr>
        <w:t>收入决算表</w:t>
      </w:r>
      <w:bookmarkEnd w:id="71"/>
      <w:bookmarkEnd w:id="72"/>
    </w:p>
    <w:p>
      <w:pPr>
        <w:pStyle w:val="5"/>
        <w:keepNext w:val="0"/>
        <w:keepLines w:val="0"/>
        <w:pageBreakBefore w:val="0"/>
        <w:widowControl w:val="0"/>
        <w:numPr>
          <w:ilvl w:val="0"/>
          <w:numId w:val="16"/>
        </w:numPr>
        <w:kinsoku/>
        <w:wordWrap/>
        <w:overflowPunct w:val="0"/>
        <w:topLinePunct w:val="0"/>
        <w:autoSpaceDE/>
        <w:autoSpaceDN/>
        <w:bidi w:val="0"/>
        <w:adjustRightInd w:val="0"/>
        <w:snapToGrid w:val="0"/>
        <w:spacing w:before="0" w:after="0" w:line="576" w:lineRule="exact"/>
        <w:ind w:firstLine="640" w:firstLineChars="200"/>
        <w:jc w:val="both"/>
        <w:textAlignment w:val="auto"/>
        <w:rPr>
          <w:rFonts w:ascii="黑体" w:hAnsi="黑体" w:eastAsia="黑体" w:cs="黑体"/>
          <w:b w:val="0"/>
          <w:bCs w:val="0"/>
        </w:rPr>
      </w:pPr>
      <w:bookmarkStart w:id="73" w:name="_Toc15396621"/>
      <w:bookmarkStart w:id="74" w:name="_Toc146619345"/>
      <w:r>
        <w:rPr>
          <w:rFonts w:hint="eastAsia" w:ascii="黑体" w:hAnsi="黑体" w:eastAsia="黑体" w:cs="黑体"/>
          <w:b w:val="0"/>
          <w:bCs w:val="0"/>
        </w:rPr>
        <w:t>支出决算表</w:t>
      </w:r>
      <w:bookmarkEnd w:id="73"/>
      <w:bookmarkEnd w:id="74"/>
    </w:p>
    <w:p>
      <w:pPr>
        <w:pStyle w:val="5"/>
        <w:keepNext w:val="0"/>
        <w:keepLines w:val="0"/>
        <w:pageBreakBefore w:val="0"/>
        <w:widowControl w:val="0"/>
        <w:numPr>
          <w:ilvl w:val="0"/>
          <w:numId w:val="16"/>
        </w:numPr>
        <w:kinsoku/>
        <w:wordWrap/>
        <w:overflowPunct w:val="0"/>
        <w:topLinePunct w:val="0"/>
        <w:autoSpaceDE/>
        <w:autoSpaceDN/>
        <w:bidi w:val="0"/>
        <w:adjustRightInd w:val="0"/>
        <w:snapToGrid w:val="0"/>
        <w:spacing w:before="0" w:after="0" w:line="576" w:lineRule="exact"/>
        <w:ind w:firstLine="640" w:firstLineChars="200"/>
        <w:jc w:val="both"/>
        <w:textAlignment w:val="auto"/>
        <w:rPr>
          <w:rFonts w:ascii="黑体" w:hAnsi="黑体" w:eastAsia="黑体" w:cs="黑体"/>
          <w:b w:val="0"/>
          <w:bCs w:val="0"/>
        </w:rPr>
      </w:pPr>
      <w:bookmarkStart w:id="75" w:name="_Toc15396622"/>
      <w:bookmarkStart w:id="76" w:name="_Toc146619346"/>
      <w:r>
        <w:rPr>
          <w:rFonts w:hint="eastAsia" w:ascii="黑体" w:hAnsi="黑体" w:eastAsia="黑体" w:cs="黑体"/>
          <w:b w:val="0"/>
          <w:bCs w:val="0"/>
        </w:rPr>
        <w:t>财政拨款收入支出决算总表</w:t>
      </w:r>
      <w:bookmarkEnd w:id="75"/>
      <w:bookmarkEnd w:id="76"/>
    </w:p>
    <w:p>
      <w:pPr>
        <w:pStyle w:val="5"/>
        <w:keepNext w:val="0"/>
        <w:keepLines w:val="0"/>
        <w:pageBreakBefore w:val="0"/>
        <w:widowControl w:val="0"/>
        <w:numPr>
          <w:ilvl w:val="0"/>
          <w:numId w:val="16"/>
        </w:numPr>
        <w:kinsoku/>
        <w:wordWrap/>
        <w:overflowPunct w:val="0"/>
        <w:topLinePunct w:val="0"/>
        <w:autoSpaceDE/>
        <w:autoSpaceDN/>
        <w:bidi w:val="0"/>
        <w:adjustRightInd w:val="0"/>
        <w:snapToGrid w:val="0"/>
        <w:spacing w:before="0" w:after="0" w:line="576" w:lineRule="exact"/>
        <w:ind w:firstLine="640" w:firstLineChars="200"/>
        <w:jc w:val="both"/>
        <w:textAlignment w:val="auto"/>
        <w:rPr>
          <w:rFonts w:ascii="黑体" w:hAnsi="黑体" w:eastAsia="黑体" w:cs="黑体"/>
          <w:b w:val="0"/>
          <w:bCs w:val="0"/>
        </w:rPr>
      </w:pPr>
      <w:bookmarkStart w:id="77" w:name="_Toc15396623"/>
      <w:bookmarkStart w:id="78" w:name="_Toc146619347"/>
      <w:r>
        <w:rPr>
          <w:rFonts w:hint="eastAsia" w:ascii="黑体" w:hAnsi="黑体" w:eastAsia="黑体" w:cs="黑体"/>
          <w:b w:val="0"/>
          <w:bCs w:val="0"/>
        </w:rPr>
        <w:t>财政拨款支出决算明细表</w:t>
      </w:r>
      <w:bookmarkEnd w:id="77"/>
      <w:bookmarkEnd w:id="78"/>
      <w:bookmarkStart w:id="79" w:name="_Toc15396624"/>
    </w:p>
    <w:p>
      <w:pPr>
        <w:pStyle w:val="5"/>
        <w:keepNext w:val="0"/>
        <w:keepLines w:val="0"/>
        <w:pageBreakBefore w:val="0"/>
        <w:widowControl w:val="0"/>
        <w:numPr>
          <w:ilvl w:val="0"/>
          <w:numId w:val="16"/>
        </w:numPr>
        <w:kinsoku/>
        <w:wordWrap/>
        <w:overflowPunct w:val="0"/>
        <w:topLinePunct w:val="0"/>
        <w:autoSpaceDE/>
        <w:autoSpaceDN/>
        <w:bidi w:val="0"/>
        <w:adjustRightInd w:val="0"/>
        <w:snapToGrid w:val="0"/>
        <w:spacing w:before="0" w:after="0" w:line="576" w:lineRule="exact"/>
        <w:ind w:firstLine="640" w:firstLineChars="200"/>
        <w:jc w:val="both"/>
        <w:textAlignment w:val="auto"/>
        <w:rPr>
          <w:rFonts w:ascii="黑体" w:hAnsi="黑体" w:eastAsia="黑体" w:cs="黑体"/>
          <w:b w:val="0"/>
          <w:bCs w:val="0"/>
        </w:rPr>
      </w:pPr>
      <w:bookmarkStart w:id="80" w:name="_Toc146619348"/>
      <w:r>
        <w:rPr>
          <w:rFonts w:hint="eastAsia" w:ascii="黑体" w:hAnsi="黑体" w:eastAsia="黑体" w:cs="黑体"/>
          <w:b w:val="0"/>
          <w:bCs w:val="0"/>
        </w:rPr>
        <w:t>一般公共预算财政拨款支出决算表</w:t>
      </w:r>
      <w:bookmarkEnd w:id="79"/>
      <w:bookmarkEnd w:id="80"/>
    </w:p>
    <w:p>
      <w:pPr>
        <w:pStyle w:val="5"/>
        <w:keepNext w:val="0"/>
        <w:keepLines w:val="0"/>
        <w:pageBreakBefore w:val="0"/>
        <w:widowControl w:val="0"/>
        <w:numPr>
          <w:ilvl w:val="0"/>
          <w:numId w:val="16"/>
        </w:numPr>
        <w:kinsoku/>
        <w:wordWrap/>
        <w:overflowPunct w:val="0"/>
        <w:topLinePunct w:val="0"/>
        <w:autoSpaceDE/>
        <w:autoSpaceDN/>
        <w:bidi w:val="0"/>
        <w:adjustRightInd w:val="0"/>
        <w:snapToGrid w:val="0"/>
        <w:spacing w:before="0" w:after="0" w:line="576" w:lineRule="exact"/>
        <w:ind w:firstLine="640" w:firstLineChars="200"/>
        <w:jc w:val="both"/>
        <w:textAlignment w:val="auto"/>
        <w:rPr>
          <w:rFonts w:ascii="黑体" w:hAnsi="黑体" w:eastAsia="黑体" w:cs="黑体"/>
          <w:b w:val="0"/>
          <w:bCs w:val="0"/>
        </w:rPr>
      </w:pPr>
      <w:bookmarkStart w:id="81" w:name="_Toc146619349"/>
      <w:bookmarkStart w:id="82" w:name="_Toc15396625"/>
      <w:r>
        <w:rPr>
          <w:rFonts w:hint="eastAsia" w:ascii="黑体" w:hAnsi="黑体" w:eastAsia="黑体" w:cs="黑体"/>
          <w:b w:val="0"/>
          <w:bCs w:val="0"/>
        </w:rPr>
        <w:t>一般公共预算财政拨款支出决算明细表</w:t>
      </w:r>
      <w:bookmarkEnd w:id="81"/>
      <w:bookmarkEnd w:id="82"/>
    </w:p>
    <w:p>
      <w:pPr>
        <w:pStyle w:val="5"/>
        <w:keepNext w:val="0"/>
        <w:keepLines w:val="0"/>
        <w:pageBreakBefore w:val="0"/>
        <w:widowControl w:val="0"/>
        <w:numPr>
          <w:ilvl w:val="0"/>
          <w:numId w:val="16"/>
        </w:numPr>
        <w:kinsoku/>
        <w:wordWrap/>
        <w:overflowPunct w:val="0"/>
        <w:topLinePunct w:val="0"/>
        <w:autoSpaceDE/>
        <w:autoSpaceDN/>
        <w:bidi w:val="0"/>
        <w:adjustRightInd w:val="0"/>
        <w:snapToGrid w:val="0"/>
        <w:spacing w:before="0" w:after="0" w:line="576" w:lineRule="exact"/>
        <w:ind w:firstLine="640" w:firstLineChars="200"/>
        <w:jc w:val="both"/>
        <w:textAlignment w:val="auto"/>
        <w:rPr>
          <w:rFonts w:ascii="黑体" w:hAnsi="黑体" w:eastAsia="黑体" w:cs="黑体"/>
          <w:b w:val="0"/>
          <w:bCs w:val="0"/>
        </w:rPr>
      </w:pPr>
      <w:bookmarkStart w:id="83" w:name="_Toc146619350"/>
      <w:bookmarkStart w:id="84" w:name="_Toc15396626"/>
      <w:r>
        <w:rPr>
          <w:rFonts w:hint="eastAsia" w:ascii="黑体" w:hAnsi="黑体" w:eastAsia="黑体" w:cs="黑体"/>
          <w:b w:val="0"/>
          <w:bCs w:val="0"/>
        </w:rPr>
        <w:t>一般公共预算财政拨款基本支出决算表</w:t>
      </w:r>
      <w:bookmarkEnd w:id="83"/>
      <w:bookmarkEnd w:id="84"/>
    </w:p>
    <w:p>
      <w:pPr>
        <w:pStyle w:val="5"/>
        <w:keepNext w:val="0"/>
        <w:keepLines w:val="0"/>
        <w:pageBreakBefore w:val="0"/>
        <w:widowControl w:val="0"/>
        <w:numPr>
          <w:ilvl w:val="0"/>
          <w:numId w:val="16"/>
        </w:numPr>
        <w:kinsoku/>
        <w:wordWrap/>
        <w:overflowPunct w:val="0"/>
        <w:topLinePunct w:val="0"/>
        <w:autoSpaceDE/>
        <w:autoSpaceDN/>
        <w:bidi w:val="0"/>
        <w:adjustRightInd w:val="0"/>
        <w:snapToGrid w:val="0"/>
        <w:spacing w:before="0" w:after="0" w:line="576" w:lineRule="exact"/>
        <w:ind w:firstLine="640" w:firstLineChars="200"/>
        <w:jc w:val="both"/>
        <w:textAlignment w:val="auto"/>
        <w:rPr>
          <w:rFonts w:ascii="黑体" w:hAnsi="黑体" w:eastAsia="黑体" w:cs="黑体"/>
          <w:b w:val="0"/>
          <w:bCs w:val="0"/>
        </w:rPr>
      </w:pPr>
      <w:bookmarkStart w:id="85" w:name="_Toc146619351"/>
      <w:bookmarkStart w:id="86" w:name="_Toc15396627"/>
      <w:r>
        <w:rPr>
          <w:rFonts w:hint="eastAsia" w:ascii="黑体" w:hAnsi="黑体" w:eastAsia="黑体" w:cs="黑体"/>
          <w:b w:val="0"/>
          <w:bCs w:val="0"/>
        </w:rPr>
        <w:t>一般公共预算财政拨款项目支出决算表</w:t>
      </w:r>
      <w:bookmarkEnd w:id="85"/>
      <w:bookmarkEnd w:id="86"/>
    </w:p>
    <w:p>
      <w:pPr>
        <w:pStyle w:val="5"/>
        <w:keepNext w:val="0"/>
        <w:keepLines w:val="0"/>
        <w:pageBreakBefore w:val="0"/>
        <w:widowControl w:val="0"/>
        <w:numPr>
          <w:ilvl w:val="0"/>
          <w:numId w:val="16"/>
        </w:numPr>
        <w:kinsoku/>
        <w:wordWrap/>
        <w:overflowPunct w:val="0"/>
        <w:topLinePunct w:val="0"/>
        <w:autoSpaceDE/>
        <w:autoSpaceDN/>
        <w:bidi w:val="0"/>
        <w:adjustRightInd w:val="0"/>
        <w:snapToGrid w:val="0"/>
        <w:spacing w:before="0" w:after="0" w:line="576" w:lineRule="exact"/>
        <w:ind w:firstLine="640" w:firstLineChars="200"/>
        <w:jc w:val="both"/>
        <w:textAlignment w:val="auto"/>
        <w:rPr>
          <w:rFonts w:ascii="黑体" w:hAnsi="黑体" w:eastAsia="黑体" w:cs="黑体"/>
          <w:b w:val="0"/>
          <w:bCs w:val="0"/>
        </w:rPr>
      </w:pPr>
      <w:bookmarkStart w:id="87" w:name="_Toc146619352"/>
      <w:r>
        <w:rPr>
          <w:rFonts w:hint="eastAsia" w:ascii="黑体" w:hAnsi="黑体" w:eastAsia="黑体" w:cs="黑体"/>
          <w:b w:val="0"/>
          <w:bCs w:val="0"/>
        </w:rPr>
        <w:t>政府性基金预算财政拨款收入支出决算表</w:t>
      </w:r>
      <w:bookmarkEnd w:id="87"/>
    </w:p>
    <w:p>
      <w:pPr>
        <w:pStyle w:val="5"/>
        <w:keepNext w:val="0"/>
        <w:keepLines w:val="0"/>
        <w:pageBreakBefore w:val="0"/>
        <w:widowControl w:val="0"/>
        <w:numPr>
          <w:ilvl w:val="0"/>
          <w:numId w:val="16"/>
        </w:numPr>
        <w:kinsoku/>
        <w:wordWrap/>
        <w:overflowPunct w:val="0"/>
        <w:topLinePunct w:val="0"/>
        <w:autoSpaceDE/>
        <w:autoSpaceDN/>
        <w:bidi w:val="0"/>
        <w:adjustRightInd w:val="0"/>
        <w:snapToGrid w:val="0"/>
        <w:spacing w:before="0" w:after="0" w:line="576" w:lineRule="exact"/>
        <w:ind w:firstLine="640" w:firstLineChars="200"/>
        <w:jc w:val="both"/>
        <w:textAlignment w:val="auto"/>
        <w:rPr>
          <w:rFonts w:ascii="黑体" w:hAnsi="黑体" w:eastAsia="黑体" w:cs="黑体"/>
          <w:b w:val="0"/>
          <w:bCs w:val="0"/>
        </w:rPr>
      </w:pPr>
      <w:bookmarkStart w:id="88" w:name="_Toc146619353"/>
      <w:r>
        <w:rPr>
          <w:rFonts w:hint="eastAsia" w:ascii="黑体" w:hAnsi="黑体" w:eastAsia="黑体" w:cs="黑体"/>
          <w:b w:val="0"/>
          <w:bCs w:val="0"/>
        </w:rPr>
        <w:t>国有资本经营预算财政拨款收入支出决算表</w:t>
      </w:r>
      <w:bookmarkEnd w:id="88"/>
    </w:p>
    <w:p>
      <w:pPr>
        <w:pStyle w:val="5"/>
        <w:keepNext w:val="0"/>
        <w:keepLines w:val="0"/>
        <w:pageBreakBefore w:val="0"/>
        <w:widowControl w:val="0"/>
        <w:numPr>
          <w:ilvl w:val="0"/>
          <w:numId w:val="16"/>
        </w:numPr>
        <w:kinsoku/>
        <w:wordWrap/>
        <w:overflowPunct w:val="0"/>
        <w:topLinePunct w:val="0"/>
        <w:autoSpaceDE/>
        <w:autoSpaceDN/>
        <w:bidi w:val="0"/>
        <w:adjustRightInd w:val="0"/>
        <w:snapToGrid w:val="0"/>
        <w:spacing w:before="0" w:after="0" w:line="576" w:lineRule="exact"/>
        <w:ind w:firstLine="640" w:firstLineChars="200"/>
        <w:jc w:val="both"/>
        <w:textAlignment w:val="auto"/>
        <w:rPr>
          <w:rFonts w:ascii="黑体" w:hAnsi="黑体" w:eastAsia="黑体" w:cs="黑体"/>
          <w:b w:val="0"/>
          <w:bCs w:val="0"/>
        </w:rPr>
      </w:pPr>
      <w:bookmarkStart w:id="89" w:name="_Toc146619354"/>
      <w:r>
        <w:rPr>
          <w:rFonts w:hint="eastAsia" w:ascii="黑体" w:hAnsi="黑体" w:eastAsia="黑体" w:cs="黑体"/>
          <w:b w:val="0"/>
          <w:bCs w:val="0"/>
        </w:rPr>
        <w:t>国有资本经营预算财政拨款支出决算表</w:t>
      </w:r>
      <w:bookmarkEnd w:id="89"/>
    </w:p>
    <w:p>
      <w:pPr>
        <w:pStyle w:val="5"/>
        <w:keepNext w:val="0"/>
        <w:keepLines w:val="0"/>
        <w:pageBreakBefore w:val="0"/>
        <w:widowControl w:val="0"/>
        <w:numPr>
          <w:ilvl w:val="0"/>
          <w:numId w:val="16"/>
        </w:numPr>
        <w:kinsoku/>
        <w:wordWrap/>
        <w:overflowPunct w:val="0"/>
        <w:topLinePunct w:val="0"/>
        <w:autoSpaceDE/>
        <w:autoSpaceDN/>
        <w:bidi w:val="0"/>
        <w:adjustRightInd w:val="0"/>
        <w:snapToGrid w:val="0"/>
        <w:spacing w:before="0" w:after="0" w:line="576" w:lineRule="exact"/>
        <w:ind w:firstLine="640" w:firstLineChars="200"/>
        <w:jc w:val="both"/>
        <w:textAlignment w:val="auto"/>
        <w:rPr>
          <w:rFonts w:ascii="黑体" w:hAnsi="黑体" w:eastAsia="黑体" w:cs="黑体"/>
          <w:b w:val="0"/>
          <w:bCs w:val="0"/>
        </w:rPr>
      </w:pPr>
      <w:bookmarkStart w:id="90" w:name="_Toc146619355"/>
      <w:r>
        <w:rPr>
          <w:rFonts w:hint="eastAsia" w:ascii="黑体" w:hAnsi="黑体" w:eastAsia="黑体" w:cs="黑体"/>
          <w:b w:val="0"/>
          <w:bCs w:val="0"/>
        </w:rPr>
        <w:t>财政拨款“三公”经费支出决算表</w:t>
      </w:r>
      <w:bookmarkEnd w:id="90"/>
    </w:p>
    <w:sectPr>
      <w:footerReference r:id="rId4" w:type="default"/>
      <w:pgSz w:w="11906" w:h="16838"/>
      <w:pgMar w:top="2098" w:right="1474" w:bottom="1417" w:left="1588" w:header="851" w:footer="1247" w:gutter="0"/>
      <w:pgNumType w:fmt="decimal"/>
      <w:cols w:space="425" w:num="1"/>
      <w:docGrid w:type="linesAndChar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230518-6E5D-485F-83D7-D8EC0001FC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B6A8509-07D5-4989-82B6-BF807F89B198}"/>
  </w:font>
  <w:font w:name="仿宋">
    <w:panose1 w:val="02010609060101010101"/>
    <w:charset w:val="86"/>
    <w:family w:val="modern"/>
    <w:pitch w:val="default"/>
    <w:sig w:usb0="800002BF" w:usb1="38CF7CFA" w:usb2="00000016" w:usb3="00000000" w:csb0="00040001" w:csb1="00000000"/>
    <w:embedRegular r:id="rId3" w:fontKey="{564924B3-D328-48B7-B473-0F5019316813}"/>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4" w:fontKey="{124B145C-22C8-4224-A319-66CC1AF6F9F9}"/>
  </w:font>
  <w:font w:name="方正魏碑_GBK">
    <w:panose1 w:val="03000509000000000000"/>
    <w:charset w:val="86"/>
    <w:family w:val="script"/>
    <w:pitch w:val="default"/>
    <w:sig w:usb0="00000001" w:usb1="080E0000" w:usb2="00000000" w:usb3="00000000" w:csb0="00040000" w:csb1="00000000"/>
    <w:embedRegular r:id="rId5" w:fontKey="{37C2DC4A-B898-44F8-A105-4F7F1B748ECA}"/>
  </w:font>
  <w:font w:name="方正黑体简体">
    <w:panose1 w:val="03000509000000000000"/>
    <w:charset w:val="86"/>
    <w:family w:val="script"/>
    <w:pitch w:val="default"/>
    <w:sig w:usb0="00000001" w:usb1="080E0000" w:usb2="00000000" w:usb3="00000000" w:csb0="00040000" w:csb1="00000000"/>
    <w:embedRegular r:id="rId6" w:fontKey="{C7459490-DD3D-490B-8B7B-C78875D127DA}"/>
  </w:font>
  <w:font w:name="楷体">
    <w:panose1 w:val="02010609060101010101"/>
    <w:charset w:val="86"/>
    <w:family w:val="modern"/>
    <w:pitch w:val="default"/>
    <w:sig w:usb0="800002BF" w:usb1="38CF7CFA" w:usb2="00000016" w:usb3="00000000" w:csb0="00040001" w:csb1="00000000"/>
    <w:embedRegular r:id="rId7" w:fontKey="{CF4A0DCD-0FAF-4236-AF97-DF7F7D42B5C9}"/>
  </w:font>
  <w:font w:name="方正仿宋简体">
    <w:panose1 w:val="03000509000000000000"/>
    <w:charset w:val="86"/>
    <w:family w:val="auto"/>
    <w:pitch w:val="default"/>
    <w:sig w:usb0="00000001" w:usb1="080E0000" w:usb2="00000000" w:usb3="00000000" w:csb0="00040000" w:csb1="00000000"/>
    <w:embedRegular r:id="rId8" w:fontKey="{913F30C7-3099-483A-B799-9B8AB2DFDE79}"/>
  </w:font>
  <w:font w:name="楷体_GB2312">
    <w:altName w:val="楷体"/>
    <w:panose1 w:val="02010609030101010101"/>
    <w:charset w:val="86"/>
    <w:family w:val="modern"/>
    <w:pitch w:val="default"/>
    <w:sig w:usb0="00000000" w:usb1="00000000" w:usb2="00000000" w:usb3="00000000" w:csb0="00040000" w:csb1="00000000"/>
    <w:embedRegular r:id="rId9" w:fontKey="{0E2C8972-733E-42F6-B693-6EBEE3C5D9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rPr>
                        <w:rFonts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t>—</w:t>
                    </w:r>
                    <w:r>
                      <w:fldChar w:fldCharType="begin"/>
                    </w:r>
                    <w:r>
                      <w:instrText xml:space="preserve"> PAGE  \* MERGEFORMAT </w:instrText>
                    </w:r>
                    <w:r>
                      <w:fldChar w:fldCharType="separate"/>
                    </w:r>
                    <w:r>
                      <w:t>1</w:t>
                    </w:r>
                    <w:r>
                      <w:fldChar w:fldCharType="end"/>
                    </w:r>
                    <w:r>
                      <w:t>—</w:t>
                    </w:r>
                  </w:p>
                </w:txbxContent>
              </v:textbox>
            </v:shape>
          </w:pict>
        </mc:Fallback>
      </mc:AlternateContent>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19242"/>
    <w:multiLevelType w:val="singleLevel"/>
    <w:tmpl w:val="95C19242"/>
    <w:lvl w:ilvl="0" w:tentative="0">
      <w:start w:val="1"/>
      <w:numFmt w:val="chineseCounting"/>
      <w:suff w:val="nothing"/>
      <w:lvlText w:val="%1、"/>
      <w:lvlJc w:val="left"/>
      <w:pPr>
        <w:ind w:left="210" w:firstLine="420"/>
      </w:pPr>
      <w:rPr>
        <w:rFonts w:hint="eastAsia" w:ascii="黑体" w:hAnsi="黑体" w:eastAsia="黑体"/>
        <w:sz w:val="32"/>
        <w:szCs w:val="32"/>
        <w:lang w:val="en-US"/>
      </w:rPr>
    </w:lvl>
  </w:abstractNum>
  <w:abstractNum w:abstractNumId="1">
    <w:nsid w:val="AB512D20"/>
    <w:multiLevelType w:val="singleLevel"/>
    <w:tmpl w:val="AB512D20"/>
    <w:lvl w:ilvl="0" w:tentative="0">
      <w:start w:val="2"/>
      <w:numFmt w:val="chineseCounting"/>
      <w:suff w:val="nothing"/>
      <w:lvlText w:val="（%1）"/>
      <w:lvlJc w:val="left"/>
      <w:rPr>
        <w:rFonts w:hint="eastAsia"/>
      </w:rPr>
    </w:lvl>
  </w:abstractNum>
  <w:abstractNum w:abstractNumId="2">
    <w:nsid w:val="AC1BD51C"/>
    <w:multiLevelType w:val="singleLevel"/>
    <w:tmpl w:val="AC1BD51C"/>
    <w:lvl w:ilvl="0" w:tentative="0">
      <w:start w:val="1"/>
      <w:numFmt w:val="chineseCounting"/>
      <w:suff w:val="nothing"/>
      <w:lvlText w:val="%1、"/>
      <w:lvlJc w:val="left"/>
      <w:pPr>
        <w:ind w:left="0" w:firstLine="420"/>
      </w:pPr>
      <w:rPr>
        <w:rFonts w:hint="eastAsia" w:ascii="黑体" w:hAnsi="黑体" w:eastAsia="黑体" w:cs="黑体"/>
        <w:b w:val="0"/>
        <w:bCs w:val="0"/>
        <w:sz w:val="32"/>
        <w:szCs w:val="32"/>
      </w:rPr>
    </w:lvl>
  </w:abstractNum>
  <w:abstractNum w:abstractNumId="3">
    <w:nsid w:val="B1621C58"/>
    <w:multiLevelType w:val="singleLevel"/>
    <w:tmpl w:val="B1621C58"/>
    <w:lvl w:ilvl="0" w:tentative="0">
      <w:start w:val="3"/>
      <w:numFmt w:val="chineseCounting"/>
      <w:suff w:val="nothing"/>
      <w:lvlText w:val="（%1）"/>
      <w:lvlJc w:val="left"/>
      <w:rPr>
        <w:rFonts w:hint="eastAsia"/>
      </w:rPr>
    </w:lvl>
  </w:abstractNum>
  <w:abstractNum w:abstractNumId="4">
    <w:nsid w:val="BE51B223"/>
    <w:multiLevelType w:val="singleLevel"/>
    <w:tmpl w:val="BE51B223"/>
    <w:lvl w:ilvl="0" w:tentative="0">
      <w:start w:val="2"/>
      <w:numFmt w:val="chineseCounting"/>
      <w:suff w:val="nothing"/>
      <w:lvlText w:val="（%1）"/>
      <w:lvlJc w:val="left"/>
      <w:rPr>
        <w:rFonts w:hint="eastAsia"/>
      </w:rPr>
    </w:lvl>
  </w:abstractNum>
  <w:abstractNum w:abstractNumId="5">
    <w:nsid w:val="C33FE0DD"/>
    <w:multiLevelType w:val="singleLevel"/>
    <w:tmpl w:val="C33FE0DD"/>
    <w:lvl w:ilvl="0" w:tentative="0">
      <w:start w:val="2"/>
      <w:numFmt w:val="chineseCounting"/>
      <w:suff w:val="nothing"/>
      <w:lvlText w:val="（%1）"/>
      <w:lvlJc w:val="left"/>
      <w:rPr>
        <w:rFonts w:hint="eastAsia"/>
      </w:rPr>
    </w:lvl>
  </w:abstractNum>
  <w:abstractNum w:abstractNumId="6">
    <w:nsid w:val="D292107D"/>
    <w:multiLevelType w:val="singleLevel"/>
    <w:tmpl w:val="D292107D"/>
    <w:lvl w:ilvl="0" w:tentative="0">
      <w:start w:val="2"/>
      <w:numFmt w:val="chineseCounting"/>
      <w:suff w:val="nothing"/>
      <w:lvlText w:val="（%1）"/>
      <w:lvlJc w:val="left"/>
      <w:rPr>
        <w:rFonts w:hint="eastAsia"/>
      </w:rPr>
    </w:lvl>
  </w:abstractNum>
  <w:abstractNum w:abstractNumId="7">
    <w:nsid w:val="F81EBF6C"/>
    <w:multiLevelType w:val="singleLevel"/>
    <w:tmpl w:val="F81EBF6C"/>
    <w:lvl w:ilvl="0" w:tentative="0">
      <w:start w:val="3"/>
      <w:numFmt w:val="chineseCounting"/>
      <w:suff w:val="space"/>
      <w:lvlText w:val="第%1部分"/>
      <w:lvlJc w:val="left"/>
      <w:rPr>
        <w:rFonts w:hint="eastAsia" w:ascii="黑体" w:hAnsi="黑体" w:eastAsia="黑体" w:cs="黑体"/>
        <w:sz w:val="44"/>
        <w:szCs w:val="44"/>
      </w:rPr>
    </w:lvl>
  </w:abstractNum>
  <w:abstractNum w:abstractNumId="8">
    <w:nsid w:val="0403B5E3"/>
    <w:multiLevelType w:val="singleLevel"/>
    <w:tmpl w:val="0403B5E3"/>
    <w:lvl w:ilvl="0" w:tentative="0">
      <w:start w:val="1"/>
      <w:numFmt w:val="chineseCounting"/>
      <w:suff w:val="nothing"/>
      <w:lvlText w:val="%1、"/>
      <w:lvlJc w:val="left"/>
      <w:pPr>
        <w:ind w:left="0" w:firstLine="420"/>
      </w:pPr>
      <w:rPr>
        <w:rFonts w:hint="eastAsia" w:ascii="黑体" w:hAnsi="黑体" w:eastAsia="黑体" w:cs="黑体"/>
        <w:sz w:val="32"/>
        <w:szCs w:val="32"/>
      </w:rPr>
    </w:lvl>
  </w:abstractNum>
  <w:abstractNum w:abstractNumId="9">
    <w:nsid w:val="1F2D49D5"/>
    <w:multiLevelType w:val="singleLevel"/>
    <w:tmpl w:val="1F2D49D5"/>
    <w:lvl w:ilvl="0" w:tentative="0">
      <w:start w:val="2"/>
      <w:numFmt w:val="chineseCounting"/>
      <w:suff w:val="nothing"/>
      <w:lvlText w:val="（%1）"/>
      <w:lvlJc w:val="left"/>
      <w:rPr>
        <w:rFonts w:hint="eastAsia"/>
      </w:rPr>
    </w:lvl>
  </w:abstractNum>
  <w:abstractNum w:abstractNumId="10">
    <w:nsid w:val="4D697B1B"/>
    <w:multiLevelType w:val="singleLevel"/>
    <w:tmpl w:val="4D697B1B"/>
    <w:lvl w:ilvl="0" w:tentative="0">
      <w:start w:val="3"/>
      <w:numFmt w:val="chineseCounting"/>
      <w:suff w:val="nothing"/>
      <w:lvlText w:val="（%1）"/>
      <w:lvlJc w:val="left"/>
      <w:rPr>
        <w:rFonts w:hint="eastAsia"/>
      </w:rPr>
    </w:lvl>
  </w:abstractNum>
  <w:abstractNum w:abstractNumId="11">
    <w:nsid w:val="51A39721"/>
    <w:multiLevelType w:val="singleLevel"/>
    <w:tmpl w:val="51A39721"/>
    <w:lvl w:ilvl="0" w:tentative="0">
      <w:start w:val="1"/>
      <w:numFmt w:val="decimal"/>
      <w:suff w:val="nothing"/>
      <w:lvlText w:val="%1."/>
      <w:lvlJc w:val="left"/>
      <w:pPr>
        <w:ind w:left="420" w:hanging="420"/>
      </w:pPr>
      <w:rPr>
        <w:rFonts w:hint="default" w:ascii="仿宋" w:hAnsi="仿宋" w:eastAsia="仿宋" w:cs="仿宋"/>
        <w:b/>
        <w:bCs/>
        <w:sz w:val="32"/>
        <w:szCs w:val="32"/>
      </w:rPr>
    </w:lvl>
  </w:abstractNum>
  <w:abstractNum w:abstractNumId="12">
    <w:nsid w:val="56CBB815"/>
    <w:multiLevelType w:val="singleLevel"/>
    <w:tmpl w:val="56CBB815"/>
    <w:lvl w:ilvl="0" w:tentative="0">
      <w:start w:val="1"/>
      <w:numFmt w:val="chineseCounting"/>
      <w:suff w:val="nothing"/>
      <w:lvlText w:val="（%1）"/>
      <w:lvlJc w:val="left"/>
      <w:pPr>
        <w:ind w:left="420" w:firstLine="420"/>
      </w:pPr>
      <w:rPr>
        <w:rFonts w:hint="eastAsia" w:ascii="楷体" w:hAnsi="楷体" w:eastAsia="楷体" w:cs="楷体"/>
        <w:sz w:val="32"/>
        <w:szCs w:val="32"/>
      </w:rPr>
    </w:lvl>
  </w:abstractNum>
  <w:abstractNum w:abstractNumId="13">
    <w:nsid w:val="66BE18BE"/>
    <w:multiLevelType w:val="singleLevel"/>
    <w:tmpl w:val="66BE18BE"/>
    <w:lvl w:ilvl="0" w:tentative="0">
      <w:start w:val="1"/>
      <w:numFmt w:val="chineseCounting"/>
      <w:suff w:val="nothing"/>
      <w:lvlText w:val="（%1）"/>
      <w:lvlJc w:val="left"/>
      <w:pPr>
        <w:ind w:left="0" w:firstLine="420"/>
      </w:pPr>
      <w:rPr>
        <w:rFonts w:hint="eastAsia" w:ascii="宋体" w:hAnsi="宋体" w:eastAsia="楷体"/>
        <w:b w:val="0"/>
        <w:bCs/>
        <w:sz w:val="32"/>
        <w:szCs w:val="32"/>
      </w:rPr>
    </w:lvl>
  </w:abstractNum>
  <w:abstractNum w:abstractNumId="14">
    <w:nsid w:val="6BE2F83A"/>
    <w:multiLevelType w:val="singleLevel"/>
    <w:tmpl w:val="6BE2F83A"/>
    <w:lvl w:ilvl="0" w:tentative="0">
      <w:start w:val="5"/>
      <w:numFmt w:val="chineseCounting"/>
      <w:suff w:val="nothing"/>
      <w:lvlText w:val="%1、"/>
      <w:lvlJc w:val="left"/>
      <w:rPr>
        <w:rFonts w:hint="eastAsia"/>
      </w:rPr>
    </w:lvl>
  </w:abstractNum>
  <w:abstractNum w:abstractNumId="15">
    <w:nsid w:val="78FC5B2C"/>
    <w:multiLevelType w:val="singleLevel"/>
    <w:tmpl w:val="78FC5B2C"/>
    <w:lvl w:ilvl="0" w:tentative="0">
      <w:start w:val="1"/>
      <w:numFmt w:val="chineseCounting"/>
      <w:suff w:val="nothing"/>
      <w:lvlText w:val="（%1）"/>
      <w:lvlJc w:val="left"/>
      <w:pPr>
        <w:ind w:left="0" w:firstLine="420"/>
      </w:pPr>
      <w:rPr>
        <w:rFonts w:hint="eastAsia" w:ascii="楷体" w:hAnsi="楷体" w:eastAsia="楷体" w:cs="楷体"/>
        <w:sz w:val="32"/>
        <w:szCs w:val="32"/>
      </w:rPr>
    </w:lvl>
  </w:abstractNum>
  <w:num w:numId="1">
    <w:abstractNumId w:val="0"/>
  </w:num>
  <w:num w:numId="2">
    <w:abstractNumId w:val="2"/>
  </w:num>
  <w:num w:numId="3">
    <w:abstractNumId w:val="12"/>
  </w:num>
  <w:num w:numId="4">
    <w:abstractNumId w:val="11"/>
  </w:num>
  <w:num w:numId="5">
    <w:abstractNumId w:val="15"/>
  </w:num>
  <w:num w:numId="6">
    <w:abstractNumId w:val="13"/>
  </w:num>
  <w:num w:numId="7">
    <w:abstractNumId w:val="7"/>
  </w:num>
  <w:num w:numId="8">
    <w:abstractNumId w:val="9"/>
  </w:num>
  <w:num w:numId="9">
    <w:abstractNumId w:val="3"/>
  </w:num>
  <w:num w:numId="10">
    <w:abstractNumId w:val="10"/>
  </w:num>
  <w:num w:numId="11">
    <w:abstractNumId w:val="4"/>
  </w:num>
  <w:num w:numId="12">
    <w:abstractNumId w:val="14"/>
  </w:num>
  <w:num w:numId="13">
    <w:abstractNumId w:val="1"/>
  </w:num>
  <w:num w:numId="14">
    <w:abstractNumId w:val="5"/>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292"/>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xMTZkZmRiZGFjZjhmNmY5ZjQxZTdlYWQzOGUwZDE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240"/>
    <w:rsid w:val="000B047F"/>
    <w:rsid w:val="000B5923"/>
    <w:rsid w:val="000B5A48"/>
    <w:rsid w:val="000B6FF3"/>
    <w:rsid w:val="000C3467"/>
    <w:rsid w:val="000C3CA6"/>
    <w:rsid w:val="000D1267"/>
    <w:rsid w:val="000D1D50"/>
    <w:rsid w:val="000D5782"/>
    <w:rsid w:val="000E6613"/>
    <w:rsid w:val="000E7119"/>
    <w:rsid w:val="00114E9B"/>
    <w:rsid w:val="0013388C"/>
    <w:rsid w:val="00142216"/>
    <w:rsid w:val="00144D6A"/>
    <w:rsid w:val="0014729F"/>
    <w:rsid w:val="00157BAB"/>
    <w:rsid w:val="001654D1"/>
    <w:rsid w:val="00172A27"/>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169E"/>
    <w:rsid w:val="00220536"/>
    <w:rsid w:val="00235629"/>
    <w:rsid w:val="00260C38"/>
    <w:rsid w:val="002616C0"/>
    <w:rsid w:val="00265372"/>
    <w:rsid w:val="002662AA"/>
    <w:rsid w:val="002663BF"/>
    <w:rsid w:val="00280496"/>
    <w:rsid w:val="00294DC9"/>
    <w:rsid w:val="00295495"/>
    <w:rsid w:val="002A31DE"/>
    <w:rsid w:val="002B2613"/>
    <w:rsid w:val="002D6D05"/>
    <w:rsid w:val="002F1818"/>
    <w:rsid w:val="002F567B"/>
    <w:rsid w:val="003216A9"/>
    <w:rsid w:val="00335A74"/>
    <w:rsid w:val="0036561B"/>
    <w:rsid w:val="0037013F"/>
    <w:rsid w:val="00380C92"/>
    <w:rsid w:val="003855F7"/>
    <w:rsid w:val="00396EAD"/>
    <w:rsid w:val="003A484F"/>
    <w:rsid w:val="003A4883"/>
    <w:rsid w:val="003B0BE0"/>
    <w:rsid w:val="003B0C1B"/>
    <w:rsid w:val="003B688C"/>
    <w:rsid w:val="003C0291"/>
    <w:rsid w:val="003C39AE"/>
    <w:rsid w:val="003C7B60"/>
    <w:rsid w:val="003D0C0F"/>
    <w:rsid w:val="003D1FB2"/>
    <w:rsid w:val="003D66DA"/>
    <w:rsid w:val="003E1310"/>
    <w:rsid w:val="003E6F55"/>
    <w:rsid w:val="003F56C0"/>
    <w:rsid w:val="00406254"/>
    <w:rsid w:val="00407E35"/>
    <w:rsid w:val="004223DE"/>
    <w:rsid w:val="00434489"/>
    <w:rsid w:val="00437085"/>
    <w:rsid w:val="004403BD"/>
    <w:rsid w:val="00443880"/>
    <w:rsid w:val="004464F4"/>
    <w:rsid w:val="00471401"/>
    <w:rsid w:val="00473F31"/>
    <w:rsid w:val="0048263A"/>
    <w:rsid w:val="00487E5D"/>
    <w:rsid w:val="004A711F"/>
    <w:rsid w:val="004B199D"/>
    <w:rsid w:val="004B380D"/>
    <w:rsid w:val="004B4690"/>
    <w:rsid w:val="004B639B"/>
    <w:rsid w:val="004B739D"/>
    <w:rsid w:val="004E0A2D"/>
    <w:rsid w:val="004E206B"/>
    <w:rsid w:val="004E6DF7"/>
    <w:rsid w:val="004F0FBD"/>
    <w:rsid w:val="00505A47"/>
    <w:rsid w:val="00512FDA"/>
    <w:rsid w:val="00520DA0"/>
    <w:rsid w:val="005664BB"/>
    <w:rsid w:val="00566FFA"/>
    <w:rsid w:val="0057481D"/>
    <w:rsid w:val="0058486E"/>
    <w:rsid w:val="00585B33"/>
    <w:rsid w:val="0059014D"/>
    <w:rsid w:val="005944D3"/>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073E4"/>
    <w:rsid w:val="007127B7"/>
    <w:rsid w:val="0071798E"/>
    <w:rsid w:val="007416B6"/>
    <w:rsid w:val="00746F48"/>
    <w:rsid w:val="0075404D"/>
    <w:rsid w:val="0076182A"/>
    <w:rsid w:val="00767B7E"/>
    <w:rsid w:val="007770C3"/>
    <w:rsid w:val="00784D24"/>
    <w:rsid w:val="00785FBA"/>
    <w:rsid w:val="00786E4A"/>
    <w:rsid w:val="007875EB"/>
    <w:rsid w:val="00792909"/>
    <w:rsid w:val="0079426B"/>
    <w:rsid w:val="007D1682"/>
    <w:rsid w:val="007D312A"/>
    <w:rsid w:val="007D3F19"/>
    <w:rsid w:val="007E23B0"/>
    <w:rsid w:val="007E23E5"/>
    <w:rsid w:val="007F1991"/>
    <w:rsid w:val="007F2C2F"/>
    <w:rsid w:val="007F55FC"/>
    <w:rsid w:val="007F5665"/>
    <w:rsid w:val="00800112"/>
    <w:rsid w:val="00813348"/>
    <w:rsid w:val="00823304"/>
    <w:rsid w:val="008253BB"/>
    <w:rsid w:val="0083706E"/>
    <w:rsid w:val="008408F6"/>
    <w:rsid w:val="008423A5"/>
    <w:rsid w:val="008425AE"/>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4173"/>
    <w:rsid w:val="0097483F"/>
    <w:rsid w:val="00977FD5"/>
    <w:rsid w:val="0098660A"/>
    <w:rsid w:val="00991C7D"/>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6E8F"/>
    <w:rsid w:val="00A40A00"/>
    <w:rsid w:val="00A4142F"/>
    <w:rsid w:val="00A422EB"/>
    <w:rsid w:val="00A45BB7"/>
    <w:rsid w:val="00A56DF2"/>
    <w:rsid w:val="00A56E6E"/>
    <w:rsid w:val="00A67AB5"/>
    <w:rsid w:val="00A733B2"/>
    <w:rsid w:val="00A741C2"/>
    <w:rsid w:val="00A91760"/>
    <w:rsid w:val="00A93B00"/>
    <w:rsid w:val="00A93C21"/>
    <w:rsid w:val="00A975F7"/>
    <w:rsid w:val="00AB64C9"/>
    <w:rsid w:val="00AC3A0B"/>
    <w:rsid w:val="00AC3C6A"/>
    <w:rsid w:val="00AC4B5E"/>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03FA"/>
    <w:rsid w:val="00BB35F8"/>
    <w:rsid w:val="00BB4DF0"/>
    <w:rsid w:val="00BC289F"/>
    <w:rsid w:val="00BC2D50"/>
    <w:rsid w:val="00BC5361"/>
    <w:rsid w:val="00BC5460"/>
    <w:rsid w:val="00BC6B50"/>
    <w:rsid w:val="00BD0E25"/>
    <w:rsid w:val="00BF5BD6"/>
    <w:rsid w:val="00C02998"/>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84D"/>
    <w:rsid w:val="00CC09B6"/>
    <w:rsid w:val="00CC666F"/>
    <w:rsid w:val="00CD1E3F"/>
    <w:rsid w:val="00CE44F6"/>
    <w:rsid w:val="00CE49DA"/>
    <w:rsid w:val="00CE7B61"/>
    <w:rsid w:val="00D00095"/>
    <w:rsid w:val="00D004A5"/>
    <w:rsid w:val="00D114F0"/>
    <w:rsid w:val="00D20620"/>
    <w:rsid w:val="00D254F7"/>
    <w:rsid w:val="00D26091"/>
    <w:rsid w:val="00D2685C"/>
    <w:rsid w:val="00D31232"/>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54C9"/>
    <w:rsid w:val="00E07ACF"/>
    <w:rsid w:val="00E21E9A"/>
    <w:rsid w:val="00E331A1"/>
    <w:rsid w:val="00E33202"/>
    <w:rsid w:val="00E336A9"/>
    <w:rsid w:val="00E472B1"/>
    <w:rsid w:val="00E50624"/>
    <w:rsid w:val="00E568DF"/>
    <w:rsid w:val="00E64269"/>
    <w:rsid w:val="00E82267"/>
    <w:rsid w:val="00E853CE"/>
    <w:rsid w:val="00E867B6"/>
    <w:rsid w:val="00E86AAB"/>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688E"/>
    <w:rsid w:val="00F36D8F"/>
    <w:rsid w:val="00F417B1"/>
    <w:rsid w:val="00F45853"/>
    <w:rsid w:val="00F602DF"/>
    <w:rsid w:val="00F754A1"/>
    <w:rsid w:val="00F81FD9"/>
    <w:rsid w:val="00F841AA"/>
    <w:rsid w:val="00F84A94"/>
    <w:rsid w:val="00F87E96"/>
    <w:rsid w:val="00FA23E8"/>
    <w:rsid w:val="00FC4D52"/>
    <w:rsid w:val="00FD3CC1"/>
    <w:rsid w:val="00FF1E02"/>
    <w:rsid w:val="00FF30B4"/>
    <w:rsid w:val="010611C3"/>
    <w:rsid w:val="015975B8"/>
    <w:rsid w:val="02143E91"/>
    <w:rsid w:val="02184733"/>
    <w:rsid w:val="029F0ACB"/>
    <w:rsid w:val="02E15153"/>
    <w:rsid w:val="03905064"/>
    <w:rsid w:val="03EC0177"/>
    <w:rsid w:val="040532EE"/>
    <w:rsid w:val="04157C2F"/>
    <w:rsid w:val="04401D14"/>
    <w:rsid w:val="04CB41A1"/>
    <w:rsid w:val="04E914AF"/>
    <w:rsid w:val="053D2DA9"/>
    <w:rsid w:val="05892281"/>
    <w:rsid w:val="058B64C8"/>
    <w:rsid w:val="05F065E8"/>
    <w:rsid w:val="066E0107"/>
    <w:rsid w:val="06CE3F39"/>
    <w:rsid w:val="07996F6E"/>
    <w:rsid w:val="09092710"/>
    <w:rsid w:val="09AD097A"/>
    <w:rsid w:val="09C40340"/>
    <w:rsid w:val="0A2032A3"/>
    <w:rsid w:val="0A716C35"/>
    <w:rsid w:val="0AF35B39"/>
    <w:rsid w:val="0B4905C9"/>
    <w:rsid w:val="0B6E1EE8"/>
    <w:rsid w:val="0B92327A"/>
    <w:rsid w:val="0CB74A94"/>
    <w:rsid w:val="0E3B3BD2"/>
    <w:rsid w:val="0F595652"/>
    <w:rsid w:val="0F7B36BB"/>
    <w:rsid w:val="0F852730"/>
    <w:rsid w:val="0F98263C"/>
    <w:rsid w:val="0FA07BB5"/>
    <w:rsid w:val="101860EC"/>
    <w:rsid w:val="10C055FF"/>
    <w:rsid w:val="118107EC"/>
    <w:rsid w:val="118B05B1"/>
    <w:rsid w:val="11A77B1B"/>
    <w:rsid w:val="11E02885"/>
    <w:rsid w:val="13D50BC4"/>
    <w:rsid w:val="155F6321"/>
    <w:rsid w:val="159403F8"/>
    <w:rsid w:val="162C099A"/>
    <w:rsid w:val="167C0DF1"/>
    <w:rsid w:val="1688192D"/>
    <w:rsid w:val="169F6B64"/>
    <w:rsid w:val="16AB19E4"/>
    <w:rsid w:val="16BB723D"/>
    <w:rsid w:val="183124D8"/>
    <w:rsid w:val="197A42D8"/>
    <w:rsid w:val="19DE6B1D"/>
    <w:rsid w:val="19EC0AFA"/>
    <w:rsid w:val="1A450661"/>
    <w:rsid w:val="1B97001A"/>
    <w:rsid w:val="1BE8440E"/>
    <w:rsid w:val="1CDC2AF4"/>
    <w:rsid w:val="1D155CEE"/>
    <w:rsid w:val="1D474E97"/>
    <w:rsid w:val="1EEA2B7B"/>
    <w:rsid w:val="1F11456A"/>
    <w:rsid w:val="1F62240C"/>
    <w:rsid w:val="1F716BD5"/>
    <w:rsid w:val="1FF35744"/>
    <w:rsid w:val="21D83924"/>
    <w:rsid w:val="21E44B37"/>
    <w:rsid w:val="23860B96"/>
    <w:rsid w:val="240371BF"/>
    <w:rsid w:val="24280B1A"/>
    <w:rsid w:val="2455632B"/>
    <w:rsid w:val="24B66149"/>
    <w:rsid w:val="25063A96"/>
    <w:rsid w:val="25074C4E"/>
    <w:rsid w:val="2549505A"/>
    <w:rsid w:val="25C30677"/>
    <w:rsid w:val="26CA66F6"/>
    <w:rsid w:val="27251757"/>
    <w:rsid w:val="27362EA9"/>
    <w:rsid w:val="293C1115"/>
    <w:rsid w:val="298638C2"/>
    <w:rsid w:val="29BE10C5"/>
    <w:rsid w:val="29FD04D3"/>
    <w:rsid w:val="2B675518"/>
    <w:rsid w:val="2BDF5E62"/>
    <w:rsid w:val="2BEC6A86"/>
    <w:rsid w:val="2C8A61B5"/>
    <w:rsid w:val="2D273C6C"/>
    <w:rsid w:val="2DCD4C4F"/>
    <w:rsid w:val="2DDB69E3"/>
    <w:rsid w:val="2DDC4CDC"/>
    <w:rsid w:val="2DF04E50"/>
    <w:rsid w:val="2DF16DCB"/>
    <w:rsid w:val="2E7926D4"/>
    <w:rsid w:val="2F040D46"/>
    <w:rsid w:val="2F477D4E"/>
    <w:rsid w:val="319F7F4E"/>
    <w:rsid w:val="32016C28"/>
    <w:rsid w:val="3304709D"/>
    <w:rsid w:val="33A05842"/>
    <w:rsid w:val="340803CC"/>
    <w:rsid w:val="340946C6"/>
    <w:rsid w:val="34387BE4"/>
    <w:rsid w:val="346C776E"/>
    <w:rsid w:val="35226D00"/>
    <w:rsid w:val="35975C0E"/>
    <w:rsid w:val="35DE1E1F"/>
    <w:rsid w:val="369D791A"/>
    <w:rsid w:val="36AA5135"/>
    <w:rsid w:val="376D39B2"/>
    <w:rsid w:val="376D6B94"/>
    <w:rsid w:val="37D01583"/>
    <w:rsid w:val="37D76782"/>
    <w:rsid w:val="37E16F03"/>
    <w:rsid w:val="381F1690"/>
    <w:rsid w:val="38A33DC8"/>
    <w:rsid w:val="38D469F0"/>
    <w:rsid w:val="3A912821"/>
    <w:rsid w:val="3B5B06AA"/>
    <w:rsid w:val="3B72303E"/>
    <w:rsid w:val="3C991BF1"/>
    <w:rsid w:val="3C9F0B9A"/>
    <w:rsid w:val="3CF11F86"/>
    <w:rsid w:val="3CF2238C"/>
    <w:rsid w:val="3D0F3D63"/>
    <w:rsid w:val="3D407D4D"/>
    <w:rsid w:val="3D4D69E4"/>
    <w:rsid w:val="3D98207C"/>
    <w:rsid w:val="3DBF3C2B"/>
    <w:rsid w:val="3E5D49B7"/>
    <w:rsid w:val="3E657613"/>
    <w:rsid w:val="3E78745D"/>
    <w:rsid w:val="3E866F63"/>
    <w:rsid w:val="40154395"/>
    <w:rsid w:val="402A03E0"/>
    <w:rsid w:val="40AF562D"/>
    <w:rsid w:val="42AA24CC"/>
    <w:rsid w:val="431F0C53"/>
    <w:rsid w:val="435934DA"/>
    <w:rsid w:val="44727FF3"/>
    <w:rsid w:val="44DC5862"/>
    <w:rsid w:val="44DE337D"/>
    <w:rsid w:val="44E268DA"/>
    <w:rsid w:val="44F326C8"/>
    <w:rsid w:val="46CF5DC5"/>
    <w:rsid w:val="47127D68"/>
    <w:rsid w:val="47A77C43"/>
    <w:rsid w:val="484674F2"/>
    <w:rsid w:val="48A37F28"/>
    <w:rsid w:val="48C03FE9"/>
    <w:rsid w:val="48CB67CA"/>
    <w:rsid w:val="48D32C81"/>
    <w:rsid w:val="4912143C"/>
    <w:rsid w:val="4964389E"/>
    <w:rsid w:val="4A627F82"/>
    <w:rsid w:val="4AA07BCF"/>
    <w:rsid w:val="4B0E749A"/>
    <w:rsid w:val="4B4F25DA"/>
    <w:rsid w:val="4BCA0A37"/>
    <w:rsid w:val="4BE068DB"/>
    <w:rsid w:val="4BE20D9D"/>
    <w:rsid w:val="4CB9150E"/>
    <w:rsid w:val="4D173D4E"/>
    <w:rsid w:val="4D577224"/>
    <w:rsid w:val="4D9D62E8"/>
    <w:rsid w:val="4DFC4229"/>
    <w:rsid w:val="4E344E05"/>
    <w:rsid w:val="4E566916"/>
    <w:rsid w:val="4E8F3CF9"/>
    <w:rsid w:val="4EAB630A"/>
    <w:rsid w:val="4EC023B8"/>
    <w:rsid w:val="4ECE2238"/>
    <w:rsid w:val="4F1B1292"/>
    <w:rsid w:val="4FA32D35"/>
    <w:rsid w:val="50283E04"/>
    <w:rsid w:val="507D459D"/>
    <w:rsid w:val="5087673B"/>
    <w:rsid w:val="51282C6F"/>
    <w:rsid w:val="521E3FA7"/>
    <w:rsid w:val="52BF4AEA"/>
    <w:rsid w:val="537E6D0A"/>
    <w:rsid w:val="53A63CE9"/>
    <w:rsid w:val="53B3219A"/>
    <w:rsid w:val="53E87EAC"/>
    <w:rsid w:val="54BB6ED8"/>
    <w:rsid w:val="561A41FA"/>
    <w:rsid w:val="56450B34"/>
    <w:rsid w:val="56510C77"/>
    <w:rsid w:val="565250AC"/>
    <w:rsid w:val="571C5A38"/>
    <w:rsid w:val="574738C2"/>
    <w:rsid w:val="587E6DD1"/>
    <w:rsid w:val="58833802"/>
    <w:rsid w:val="58A40BF7"/>
    <w:rsid w:val="58D73BD9"/>
    <w:rsid w:val="59DF6FED"/>
    <w:rsid w:val="5A3771DE"/>
    <w:rsid w:val="5A4934F4"/>
    <w:rsid w:val="5AB37B69"/>
    <w:rsid w:val="5AF92295"/>
    <w:rsid w:val="5B042151"/>
    <w:rsid w:val="5C122EF2"/>
    <w:rsid w:val="5CBF69AB"/>
    <w:rsid w:val="5CD71FC4"/>
    <w:rsid w:val="5CF777A4"/>
    <w:rsid w:val="5D6D4DAE"/>
    <w:rsid w:val="5EB04575"/>
    <w:rsid w:val="605D5151"/>
    <w:rsid w:val="616A3AE0"/>
    <w:rsid w:val="619C0E29"/>
    <w:rsid w:val="61AA5BBF"/>
    <w:rsid w:val="64A543D7"/>
    <w:rsid w:val="64FA7F5C"/>
    <w:rsid w:val="657A6A22"/>
    <w:rsid w:val="67226772"/>
    <w:rsid w:val="67237D09"/>
    <w:rsid w:val="672E734E"/>
    <w:rsid w:val="675B04ED"/>
    <w:rsid w:val="677A0EB9"/>
    <w:rsid w:val="693675AE"/>
    <w:rsid w:val="6ABC311D"/>
    <w:rsid w:val="6C4A05C8"/>
    <w:rsid w:val="6CE5125A"/>
    <w:rsid w:val="6E7E3605"/>
    <w:rsid w:val="6E8F3CCD"/>
    <w:rsid w:val="6F291DFE"/>
    <w:rsid w:val="6FF5CC65"/>
    <w:rsid w:val="70826D41"/>
    <w:rsid w:val="70902FC0"/>
    <w:rsid w:val="715C0E4B"/>
    <w:rsid w:val="72734D90"/>
    <w:rsid w:val="72D770E7"/>
    <w:rsid w:val="73215093"/>
    <w:rsid w:val="73AD73D5"/>
    <w:rsid w:val="73B6EB34"/>
    <w:rsid w:val="73C80D84"/>
    <w:rsid w:val="73DF4F68"/>
    <w:rsid w:val="73EE2108"/>
    <w:rsid w:val="744731E5"/>
    <w:rsid w:val="7496615F"/>
    <w:rsid w:val="76E3355F"/>
    <w:rsid w:val="778769C8"/>
    <w:rsid w:val="77E6350D"/>
    <w:rsid w:val="77E81D5F"/>
    <w:rsid w:val="788C277B"/>
    <w:rsid w:val="78E04259"/>
    <w:rsid w:val="793C15CD"/>
    <w:rsid w:val="79EE5BA4"/>
    <w:rsid w:val="79F861D0"/>
    <w:rsid w:val="7A894339"/>
    <w:rsid w:val="7B0E5FF1"/>
    <w:rsid w:val="7B9A054D"/>
    <w:rsid w:val="7BAA42D3"/>
    <w:rsid w:val="7E79074B"/>
    <w:rsid w:val="7EC313C5"/>
    <w:rsid w:val="7EDF4F9C"/>
    <w:rsid w:val="7EEF11D3"/>
    <w:rsid w:val="7EFA305E"/>
    <w:rsid w:val="7F736E50"/>
    <w:rsid w:val="7FA10B29"/>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Body Text"/>
    <w:basedOn w:val="1"/>
    <w:next w:val="1"/>
    <w:link w:val="28"/>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Date"/>
    <w:basedOn w:val="1"/>
    <w:next w:val="1"/>
    <w:link w:val="42"/>
    <w:semiHidden/>
    <w:unhideWhenUsed/>
    <w:qFormat/>
    <w:uiPriority w:val="99"/>
    <w:pPr>
      <w:ind w:left="100" w:leftChars="2500"/>
    </w:pPr>
  </w:style>
  <w:style w:type="paragraph" w:styleId="10">
    <w:name w:val="Body Text Indent 2"/>
    <w:basedOn w:val="1"/>
    <w:qFormat/>
    <w:uiPriority w:val="0"/>
    <w:pPr>
      <w:spacing w:line="540" w:lineRule="exact"/>
      <w:ind w:firstLine="600"/>
    </w:pPr>
    <w:rPr>
      <w:rFonts w:ascii="Times New Roman" w:hAnsi="Times New Roman" w:eastAsia="仿宋_GB2312"/>
      <w:sz w:val="30"/>
    </w:r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page number"/>
    <w:basedOn w:val="18"/>
    <w:unhideWhenUsed/>
    <w:qFormat/>
    <w:uiPriority w:val="0"/>
    <w:rPr>
      <w:rFonts w:hint="default"/>
      <w:sz w:val="24"/>
      <w:szCs w:val="24"/>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字符"/>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字符"/>
    <w:link w:val="12"/>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字符"/>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8"/>
    <w:link w:val="4"/>
    <w:qFormat/>
    <w:uiPriority w:val="9"/>
    <w:rPr>
      <w:rFonts w:ascii="Times New Roman" w:hAnsi="Times New Roman"/>
      <w:b/>
      <w:bCs/>
      <w:kern w:val="44"/>
      <w:sz w:val="44"/>
      <w:szCs w:val="44"/>
    </w:rPr>
  </w:style>
  <w:style w:type="character" w:customStyle="1" w:styleId="32">
    <w:name w:val="标题 2 字符"/>
    <w:basedOn w:val="18"/>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8"/>
    <w:link w:val="11"/>
    <w:semiHidden/>
    <w:qFormat/>
    <w:uiPriority w:val="99"/>
    <w:rPr>
      <w:rFonts w:ascii="Times New Roman" w:hAnsi="Times New Roman"/>
      <w:kern w:val="2"/>
      <w:sz w:val="18"/>
      <w:szCs w:val="18"/>
    </w:rPr>
  </w:style>
  <w:style w:type="character" w:customStyle="1" w:styleId="35">
    <w:name w:val="标题 3 字符"/>
    <w:basedOn w:val="18"/>
    <w:link w:val="6"/>
    <w:qFormat/>
    <w:uiPriority w:val="9"/>
    <w:rPr>
      <w:rFonts w:ascii="Times New Roman" w:hAnsi="Times New Roman"/>
      <w:b/>
      <w:bCs/>
      <w:kern w:val="2"/>
      <w:sz w:val="32"/>
      <w:szCs w:val="32"/>
    </w:rPr>
  </w:style>
  <w:style w:type="paragraph" w:customStyle="1" w:styleId="36">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table" w:customStyle="1" w:styleId="38">
    <w:name w:val="网格型1"/>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2">
    <w:name w:val="日期 字符"/>
    <w:basedOn w:val="18"/>
    <w:link w:val="9"/>
    <w:semiHidden/>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1442.04</c:v>
                </c:pt>
                <c:pt idx="1">
                  <c:v>1442.04</c:v>
                </c:pt>
              </c:numCache>
            </c:numRef>
          </c:val>
        </c:ser>
        <c:ser>
          <c:idx val="1"/>
          <c:order val="1"/>
          <c:tx>
            <c:strRef>
              <c:f>Sheet1!$C$1</c:f>
              <c:strCache>
                <c:ptCount val="1"/>
                <c:pt idx="0">
                  <c:v>2024年</c:v>
                </c:pt>
              </c:strCache>
            </c:strRef>
          </c:tx>
          <c:spPr>
            <a:solidFill>
              <a:schemeClr val="accent2"/>
            </a:solidFill>
            <a:ln>
              <a:noFill/>
            </a:ln>
            <a:effectLst/>
          </c:spPr>
          <c:invertIfNegative val="0"/>
          <c:dLbls>
            <c:dLbl>
              <c:idx val="0"/>
              <c:layout/>
              <c:tx>
                <c:rich>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r>
                      <a:rPr lang="en-US" altLang="zh-CN"/>
                      <a:t>1369.61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r>
                      <a:rPr lang="en-US" altLang="zh-CN"/>
                      <a:t>1369.61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1369.61</c:v>
                </c:pt>
                <c:pt idx="1">
                  <c:v>1369.61</c:v>
                </c:pt>
              </c:numCache>
            </c:numRef>
          </c:val>
        </c:ser>
        <c:dLbls>
          <c:showLegendKey val="0"/>
          <c:showVal val="1"/>
          <c:showCatName val="0"/>
          <c:showSerName val="0"/>
          <c:showPercent val="0"/>
          <c:showBubbleSize val="0"/>
        </c:dLbls>
        <c:gapWidth val="219"/>
        <c:overlap val="-27"/>
        <c:axId val="134730496"/>
        <c:axId val="134738688"/>
      </c:barChart>
      <c:catAx>
        <c:axId val="13473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134738688"/>
        <c:crosses val="autoZero"/>
        <c:auto val="1"/>
        <c:lblAlgn val="ctr"/>
        <c:lblOffset val="100"/>
        <c:noMultiLvlLbl val="0"/>
      </c:catAx>
      <c:valAx>
        <c:axId val="1347386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13473049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1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18819712910314"/>
          <c:y val="0.147783364481907"/>
          <c:w val="0.391941391941392"/>
          <c:h val="0.8359375"/>
        </c:manualLayout>
      </c:layout>
      <c:pieChart>
        <c:varyColors val="1"/>
        <c:ser>
          <c:idx val="0"/>
          <c:order val="0"/>
          <c:tx>
            <c:strRef>
              <c:f>Sheet1!$B$1</c:f>
              <c:strCache>
                <c:ptCount val="1"/>
                <c:pt idx="0">
                  <c:v>2024年</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313301315615643"/>
                  <c:y val="-0.226087581523263"/>
                </c:manualLayout>
              </c:layout>
              <c:tx>
                <c:rich>
                  <a:bodyPr rot="0" spcFirstLastPara="1"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lang="en-US" altLang="zh-CN"/>
                      <a:t>1342.61</a:t>
                    </a:r>
                    <a:r>
                      <a:t>, </a:t>
                    </a:r>
                    <a:r>
                      <a:rPr lang="en-US" altLang="zh-CN"/>
                      <a:t>98.03</a:t>
                    </a:r>
                    <a:r>
                      <a:t>%</a:t>
                    </a:r>
                  </a:p>
                </c:rich>
              </c:tx>
              <c:dLblPos val="bestFit"/>
              <c:showLegendKey val="1"/>
              <c:showVal val="1"/>
              <c:showCatName val="0"/>
              <c:showSerName val="0"/>
              <c:showPercent val="1"/>
              <c:showBubbleSize val="0"/>
              <c:extLst>
                <c:ext xmlns:c15="http://schemas.microsoft.com/office/drawing/2012/chart" uri="{CE6537A1-D6FC-4f65-9D91-7224C49458BB}">
                  <c15:layout/>
                </c:ext>
              </c:extLst>
            </c:dLbl>
            <c:dLbl>
              <c:idx val="1"/>
              <c:layout>
                <c:manualLayout>
                  <c:x val="-0.123226052413259"/>
                  <c:y val="0.00851923959149328"/>
                </c:manualLayout>
              </c:layout>
              <c:tx>
                <c:rich>
                  <a:bodyPr rot="0" spcFirstLastPara="1"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lang="en-US" altLang="zh-CN"/>
                      <a:t>27</a:t>
                    </a:r>
                    <a:r>
                      <a:t>, </a:t>
                    </a:r>
                    <a:r>
                      <a:rPr lang="en-US" altLang="zh-CN"/>
                      <a:t>1.97</a:t>
                    </a:r>
                    <a:r>
                      <a:t>%</a:t>
                    </a:r>
                  </a:p>
                </c:rich>
              </c:tx>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1342.61</c:v>
                </c:pt>
                <c:pt idx="1">
                  <c:v>27</c:v>
                </c:pt>
              </c:numCache>
            </c:numRef>
          </c:val>
        </c:ser>
        <c:dLbls>
          <c:showLegendKey val="1"/>
          <c:showVal val="1"/>
          <c:showCatName val="0"/>
          <c:showSerName val="0"/>
          <c:showPercent val="1"/>
          <c:showBubbleSize val="0"/>
          <c:showLeaderLines val="1"/>
        </c:dLbls>
        <c:firstSliceAng val="0"/>
      </c:pieChart>
      <c:spPr>
        <a:noFill/>
        <a:ln>
          <a:noFill/>
        </a:ln>
        <a:effectLst/>
      </c:spPr>
    </c:plotArea>
    <c:legend>
      <c:legendPos val="r"/>
      <c:layout>
        <c:manualLayout>
          <c:xMode val="edge"/>
          <c:yMode val="edge"/>
          <c:x val="0.517959078107937"/>
          <c:y val="0.351037614131609"/>
          <c:w val="0.446325650899477"/>
          <c:h val="0.328128251524564"/>
        </c:manualLayout>
      </c:layout>
      <c:overlay val="0"/>
      <c:spPr>
        <a:noFill/>
        <a:ln>
          <a:noFill/>
        </a:ln>
        <a:effectLst/>
      </c:spPr>
      <c:txPr>
        <a:bodyPr rot="0" spcFirstLastPara="1"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1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4139194139195"/>
          <c:y val="0.0864661654135338"/>
          <c:w val="0.412087912087913"/>
          <c:h val="0.845864661654136"/>
        </c:manualLayout>
      </c:layout>
      <c:pieChart>
        <c:varyColors val="1"/>
        <c:ser>
          <c:idx val="0"/>
          <c:order val="0"/>
          <c:tx>
            <c:strRef>
              <c:f>Sheet1!$B$1</c:f>
              <c:strCache>
                <c:ptCount val="1"/>
                <c:pt idx="0">
                  <c:v>2024年</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925218897293233"/>
                  <c:y val="0.0219428973964981"/>
                </c:manualLayout>
              </c:layout>
              <c:tx>
                <c:rich>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r>
                      <a:rPr lang="en-US" altLang="zh-CN"/>
                      <a:t>1219.4</a:t>
                    </a:r>
                    <a:r>
                      <a:rPr lang="en-US"/>
                      <a:t> </a:t>
                    </a:r>
                    <a:endParaRPr lang="en-US"/>
                  </a:p>
                  <a:p>
                    <a:pPr>
                      <a:defRPr lang="zh-CN" sz="1100" b="0" i="0" u="none" strike="noStrike" kern="1200" baseline="0">
                        <a:solidFill>
                          <a:schemeClr val="tx1">
                            <a:lumMod val="75000"/>
                            <a:lumOff val="25000"/>
                          </a:schemeClr>
                        </a:solidFill>
                        <a:latin typeface="+mn-lt"/>
                        <a:ea typeface="+mn-ea"/>
                        <a:cs typeface="+mn-cs"/>
                      </a:defRPr>
                    </a:pPr>
                    <a:r>
                      <a:rPr lang="en-US" altLang="zh-CN"/>
                      <a:t>89.03</a:t>
                    </a:r>
                    <a:r>
                      <a:rPr lang="en-US"/>
                      <a:t>%</a:t>
                    </a:r>
                    <a:endParaRPr lang="en-US"/>
                  </a:p>
                </c:rich>
              </c:tx>
              <c:dLblPos val="bestFit"/>
              <c:showLegendKey val="1"/>
              <c:showVal val="1"/>
              <c:showCatName val="0"/>
              <c:showSerName val="0"/>
              <c:showPercent val="1"/>
              <c:showBubbleSize val="0"/>
              <c:extLst>
                <c:ext xmlns:c15="http://schemas.microsoft.com/office/drawing/2012/chart" uri="{CE6537A1-D6FC-4f65-9D91-7224C49458BB}">
                  <c15:layout/>
                </c:ext>
              </c:extLst>
            </c:dLbl>
            <c:dLbl>
              <c:idx val="1"/>
              <c:layout>
                <c:manualLayout>
                  <c:x val="0.0916048386254594"/>
                  <c:y val="-0.000416751219205736"/>
                </c:manualLayout>
              </c:layout>
              <c:tx>
                <c:rich>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r>
                      <a:rPr lang="en-US" altLang="zh-CN"/>
                      <a:t>150.21</a:t>
                    </a:r>
                    <a:r>
                      <a:rPr lang="en-US"/>
                      <a:t> </a:t>
                    </a:r>
                    <a:endParaRPr lang="en-US"/>
                  </a:p>
                  <a:p>
                    <a:pPr>
                      <a:defRPr lang="zh-CN" sz="1100" b="0" i="0" u="none" strike="noStrike" kern="1200" baseline="0">
                        <a:solidFill>
                          <a:schemeClr val="tx1">
                            <a:lumMod val="75000"/>
                            <a:lumOff val="25000"/>
                          </a:schemeClr>
                        </a:solidFill>
                        <a:latin typeface="+mn-lt"/>
                        <a:ea typeface="+mn-ea"/>
                        <a:cs typeface="+mn-cs"/>
                      </a:defRPr>
                    </a:pPr>
                    <a:r>
                      <a:rPr lang="en-US" altLang="zh-CN"/>
                      <a:t>10.97%</a:t>
                    </a:r>
                    <a:endParaRPr lang="en-US" altLang="zh-CN"/>
                  </a:p>
                </c:rich>
              </c:tx>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1246.4</c:v>
                </c:pt>
                <c:pt idx="1">
                  <c:v>150.21</c:v>
                </c:pt>
              </c:numCache>
            </c:numRef>
          </c:val>
        </c:ser>
        <c:dLbls>
          <c:showLegendKey val="1"/>
          <c:showVal val="1"/>
          <c:showCatName val="0"/>
          <c:showSerName val="0"/>
          <c:showPercent val="1"/>
          <c:showBubbleSize val="0"/>
          <c:showLeaderLines val="1"/>
        </c:dLbls>
        <c:firstSliceAng val="180"/>
      </c:pieChart>
      <c:spPr>
        <a:noFill/>
        <a:ln>
          <a:noFill/>
        </a:ln>
        <a:effectLst/>
      </c:spPr>
    </c:plotArea>
    <c:legend>
      <c:legendPos val="r"/>
      <c:layout>
        <c:manualLayout>
          <c:xMode val="edge"/>
          <c:yMode val="edge"/>
          <c:x val="0.694955840373968"/>
          <c:y val="0.372599454960704"/>
          <c:w val="0.224601988620036"/>
          <c:h val="0.182940690128833"/>
        </c:manualLayout>
      </c:layout>
      <c:overlay val="0"/>
      <c:spPr>
        <a:noFill/>
        <a:ln>
          <a:noFill/>
        </a:ln>
        <a:effectLst/>
      </c:spPr>
      <c:txPr>
        <a:bodyPr rot="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1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274670958101"/>
          <c:y val="0.0578241543219003"/>
          <c:w val="0.56043956043956"/>
          <c:h val="0.837209302325585"/>
        </c:manualLayout>
      </c:layout>
      <c:barChart>
        <c:barDir val="col"/>
        <c:grouping val="clustered"/>
        <c:varyColors val="0"/>
        <c:ser>
          <c:idx val="0"/>
          <c:order val="0"/>
          <c:tx>
            <c:strRef>
              <c:f>Sheet1!$A$2</c:f>
              <c:strCache>
                <c:ptCount val="1"/>
                <c:pt idx="0">
                  <c:v>2023年财政拨款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Sheet1!$B$1:$C$1</c:f>
              <c:strCache>
                <c:ptCount val="2"/>
                <c:pt idx="0">
                  <c:v>收入</c:v>
                </c:pt>
                <c:pt idx="1">
                  <c:v>支出</c:v>
                </c:pt>
              </c:strCache>
            </c:strRef>
          </c:cat>
          <c:val>
            <c:numRef>
              <c:f>Sheet1!$B$2:$C$2</c:f>
              <c:numCache>
                <c:formatCode>General</c:formatCode>
                <c:ptCount val="2"/>
                <c:pt idx="0">
                  <c:v>1411.87</c:v>
                </c:pt>
                <c:pt idx="1">
                  <c:v>1411.87</c:v>
                </c:pt>
              </c:numCache>
            </c:numRef>
          </c:val>
        </c:ser>
        <c:ser>
          <c:idx val="1"/>
          <c:order val="1"/>
          <c:tx>
            <c:strRef>
              <c:f>Sheet1!$A$3</c:f>
              <c:strCache>
                <c:ptCount val="1"/>
                <c:pt idx="0">
                  <c:v>2024年财政拨款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Sheet1!$B$1:$C$1</c:f>
              <c:strCache>
                <c:ptCount val="2"/>
                <c:pt idx="0">
                  <c:v>收入</c:v>
                </c:pt>
                <c:pt idx="1">
                  <c:v>支出</c:v>
                </c:pt>
              </c:strCache>
            </c:strRef>
          </c:cat>
          <c:val>
            <c:numRef>
              <c:f>Sheet1!$B$3:$C$3</c:f>
              <c:numCache>
                <c:formatCode>General</c:formatCode>
                <c:ptCount val="2"/>
                <c:pt idx="0">
                  <c:v>1342.61</c:v>
                </c:pt>
                <c:pt idx="1">
                  <c:v>1342.61</c:v>
                </c:pt>
              </c:numCache>
            </c:numRef>
          </c:val>
        </c:ser>
        <c:dLbls>
          <c:showLegendKey val="0"/>
          <c:showVal val="1"/>
          <c:showCatName val="0"/>
          <c:showSerName val="0"/>
          <c:showPercent val="0"/>
          <c:showBubbleSize val="0"/>
        </c:dLbls>
        <c:gapWidth val="219"/>
        <c:overlap val="-27"/>
        <c:axId val="106529920"/>
        <c:axId val="106531456"/>
      </c:barChart>
      <c:catAx>
        <c:axId val="10652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106531456"/>
        <c:crosses val="autoZero"/>
        <c:auto val="1"/>
        <c:lblAlgn val="ctr"/>
        <c:lblOffset val="100"/>
        <c:tickLblSkip val="1"/>
        <c:noMultiLvlLbl val="0"/>
      </c:catAx>
      <c:valAx>
        <c:axId val="1065314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106529920"/>
        <c:crosses val="autoZero"/>
        <c:crossBetween val="between"/>
      </c:valAx>
      <c:spPr>
        <a:noFill/>
        <a:ln>
          <a:noFill/>
        </a:ln>
        <a:effectLst/>
      </c:spPr>
    </c:plotArea>
    <c:legend>
      <c:legendPos val="r"/>
      <c:layout>
        <c:manualLayout>
          <c:xMode val="edge"/>
          <c:yMode val="edge"/>
          <c:x val="0.71204283771098"/>
          <c:y val="0.423170620452308"/>
          <c:w val="0.256361093549438"/>
          <c:h val="0.153658525115179"/>
        </c:manualLayout>
      </c:layout>
      <c:overlay val="0"/>
      <c:spPr>
        <a:noFill/>
        <a:ln>
          <a:noFill/>
        </a:ln>
        <a:effectLst/>
      </c:spPr>
      <c:txPr>
        <a:bodyPr rot="0" spcFirstLastPara="1"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1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97237389122"/>
          <c:y val="0.073089815771291"/>
          <c:w val="0.614061152939824"/>
          <c:h val="0.863132833663172"/>
        </c:manualLayout>
      </c:layout>
      <c:barChart>
        <c:barDir val="col"/>
        <c:grouping val="clustered"/>
        <c:varyColors val="0"/>
        <c:ser>
          <c:idx val="0"/>
          <c:order val="0"/>
          <c:tx>
            <c:strRef>
              <c:f>Sheet1!$A$2</c:f>
              <c:strCache>
                <c:ptCount val="1"/>
                <c:pt idx="0">
                  <c:v>2023年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Sheet1!$B$1:$B$1</c:f>
              <c:strCache>
                <c:ptCount val="1"/>
                <c:pt idx="0">
                  <c:v>一般公共预算财政拨款支出</c:v>
                </c:pt>
              </c:strCache>
            </c:strRef>
          </c:cat>
          <c:val>
            <c:numRef>
              <c:f>Sheet1!$B$2:$B$2</c:f>
              <c:numCache>
                <c:formatCode>General</c:formatCode>
                <c:ptCount val="1"/>
                <c:pt idx="0">
                  <c:v>1411.87</c:v>
                </c:pt>
              </c:numCache>
            </c:numRef>
          </c:val>
        </c:ser>
        <c:ser>
          <c:idx val="1"/>
          <c:order val="1"/>
          <c:tx>
            <c:strRef>
              <c:f>Sheet1!$A$3</c:f>
              <c:strCache>
                <c:ptCount val="1"/>
                <c:pt idx="0">
                  <c:v>2024年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Sheet1!$B$1:$B$1</c:f>
              <c:strCache>
                <c:ptCount val="1"/>
                <c:pt idx="0">
                  <c:v>一般公共预算财政拨款支出</c:v>
                </c:pt>
              </c:strCache>
            </c:strRef>
          </c:cat>
          <c:val>
            <c:numRef>
              <c:f>Sheet1!$B$3:$B$3</c:f>
              <c:numCache>
                <c:formatCode>General</c:formatCode>
                <c:ptCount val="1"/>
                <c:pt idx="0">
                  <c:v>1342.61</c:v>
                </c:pt>
              </c:numCache>
            </c:numRef>
          </c:val>
        </c:ser>
        <c:dLbls>
          <c:showLegendKey val="0"/>
          <c:showVal val="1"/>
          <c:showCatName val="0"/>
          <c:showSerName val="0"/>
          <c:showPercent val="0"/>
          <c:showBubbleSize val="0"/>
        </c:dLbls>
        <c:gapWidth val="219"/>
        <c:overlap val="-27"/>
        <c:axId val="106636032"/>
        <c:axId val="106637568"/>
      </c:barChart>
      <c:catAx>
        <c:axId val="106636032"/>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1100" b="0" i="0" u="none" strike="noStrike" kern="1200" baseline="0">
                <a:solidFill>
                  <a:schemeClr val="tx1"/>
                </a:solidFill>
                <a:latin typeface="+mn-lt"/>
                <a:ea typeface="+mn-ea"/>
                <a:cs typeface="+mn-cs"/>
              </a:defRPr>
            </a:pPr>
          </a:p>
        </c:txPr>
        <c:crossAx val="106637568"/>
        <c:crosses val="autoZero"/>
        <c:auto val="1"/>
        <c:lblAlgn val="ctr"/>
        <c:lblOffset val="100"/>
        <c:tickLblSkip val="1"/>
        <c:noMultiLvlLbl val="0"/>
      </c:catAx>
      <c:valAx>
        <c:axId val="1066375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106636032"/>
        <c:crosses val="autoZero"/>
        <c:crossBetween val="between"/>
      </c:valAx>
      <c:spPr>
        <a:noFill/>
        <a:ln>
          <a:noFill/>
        </a:ln>
        <a:effectLst/>
      </c:spPr>
    </c:plotArea>
    <c:legend>
      <c:legendPos val="r"/>
      <c:layout>
        <c:manualLayout>
          <c:xMode val="edge"/>
          <c:yMode val="edge"/>
          <c:x val="0.792245722934268"/>
          <c:y val="0.416178673799572"/>
          <c:w val="0.193155736919746"/>
          <c:h val="0.167642652400856"/>
        </c:manualLayout>
      </c:layout>
      <c:overlay val="0"/>
      <c:spPr>
        <a:noFill/>
        <a:ln>
          <a:noFill/>
        </a:ln>
        <a:effectLst/>
      </c:spPr>
      <c:txPr>
        <a:bodyPr rot="0" spcFirstLastPara="1" vertOverflow="ellipsis" vert="horz" wrap="square" anchor="ctr" anchorCtr="1"/>
        <a:lstStyle/>
        <a:p>
          <a:pPr algn="just">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1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5736153418779"/>
          <c:y val="0.14607435728565"/>
          <c:w val="0.463748682874495"/>
          <c:h val="0.705406027614424"/>
        </c:manualLayout>
      </c:layout>
      <c:pieChart>
        <c:varyColors val="1"/>
        <c:ser>
          <c:idx val="0"/>
          <c:order val="0"/>
          <c:tx>
            <c:strRef>
              <c:f>Sheet1!$A$2</c:f>
              <c:strCache>
                <c:ptCount val="1"/>
                <c:pt idx="0">
                  <c:v>2024年支出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dPt>
          <c:dPt>
            <c:idx val="6"/>
            <c:bubble3D val="0"/>
          </c:dPt>
          <c:dPt>
            <c:idx val="7"/>
            <c:bubble3D val="0"/>
          </c:dPt>
          <c:dLbls>
            <c:dLbl>
              <c:idx val="0"/>
              <c:layout>
                <c:manualLayout>
                  <c:x val="0.0197456403798212"/>
                  <c:y val="-0.0798880112361645"/>
                </c:manualLayout>
              </c:layout>
              <c:tx>
                <c:rich>
                  <a:bodyPr rot="0" spcFirstLastPara="1"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t>一般公共服务, 245.9</a:t>
                    </a:r>
                    <a:r>
                      <a:rPr lang="en-US" altLang="zh-CN"/>
                      <a:t>5</a:t>
                    </a:r>
                    <a:r>
                      <a:t>, 18.32%</a:t>
                    </a:r>
                  </a:p>
                </c:rich>
              </c:tx>
              <c:numFmt formatCode="0.00%" sourceLinked="0"/>
              <c:spPr>
                <a:noFill/>
                <a:ln>
                  <a:noFill/>
                </a:ln>
                <a:effectLst/>
              </c:spPr>
              <c:txPr>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5.94207958821984e-17"/>
                  <c:y val="-0.180266952128222"/>
                </c:manualLayout>
              </c:layout>
              <c:tx>
                <c:rich>
                  <a:bodyPr rot="0" spcFirstLastPara="1"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t>社会保障和就业支出, </a:t>
                    </a:r>
                    <a:r>
                      <a:rPr lang="en-US" altLang="zh-CN"/>
                      <a:t>99.17</a:t>
                    </a:r>
                    <a:r>
                      <a:t>, </a:t>
                    </a:r>
                    <a:r>
                      <a:rPr lang="en-US" altLang="zh-CN"/>
                      <a:t>7.39</a:t>
                    </a:r>
                    <a:r>
                      <a:t>%</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296175551556643"/>
                      <c:h val="0.121946566071506"/>
                    </c:manualLayout>
                  </c15:layout>
                </c:ext>
              </c:extLst>
            </c:dLbl>
            <c:dLbl>
              <c:idx val="2"/>
              <c:layout>
                <c:manualLayout>
                  <c:x val="0.0542668035211743"/>
                  <c:y val="-0.101615137471742"/>
                </c:manualLayout>
              </c:layout>
              <c:tx>
                <c:rich>
                  <a:bodyPr rot="0" spcFirstLastPara="1"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t>卫生健康, </a:t>
                    </a:r>
                    <a:r>
                      <a:rPr lang="en-US" altLang="zh-CN"/>
                      <a:t>24.04</a:t>
                    </a:r>
                    <a:r>
                      <a:t>,</a:t>
                    </a:r>
                    <a:r>
                      <a:rPr lang="en-US" altLang="zh-CN"/>
                      <a:t>1.79</a:t>
                    </a:r>
                    <a:r>
                      <a:t>%</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170129361034888"/>
                      <c:h val="0.117403314917127"/>
                    </c:manualLayout>
                  </c15:layout>
                </c:ext>
              </c:extLst>
            </c:dLbl>
            <c:dLbl>
              <c:idx val="3"/>
              <c:layout>
                <c:manualLayout>
                  <c:x val="0.0640710791498548"/>
                  <c:y val="0.00323237602484847"/>
                </c:manualLayout>
              </c:layout>
              <c:tx>
                <c:rich>
                  <a:bodyPr rot="0" spcFirstLastPara="1"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t>住房保障, </a:t>
                    </a:r>
                    <a:r>
                      <a:rPr lang="en-US" altLang="zh-CN"/>
                      <a:t>56.34</a:t>
                    </a:r>
                    <a:r>
                      <a:t>, </a:t>
                    </a:r>
                    <a:r>
                      <a:rPr lang="en-US" altLang="zh-CN"/>
                      <a:t>4.2</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218497609398198"/>
                  <c:y val="-0.0873238520743761"/>
                </c:manualLayout>
              </c:layout>
              <c:tx>
                <c:rich>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r>
                      <a:rPr lang="zh-CN" altLang="en-US"/>
                      <a:t>农林水 </a:t>
                    </a:r>
                    <a:endParaRPr lang="zh-CN" altLang="en-US"/>
                  </a:p>
                  <a:p>
                    <a:pPr>
                      <a:defRPr lang="zh-CN" sz="1100" b="0" i="0" u="none" strike="noStrike" kern="1200" baseline="0">
                        <a:solidFill>
                          <a:schemeClr val="tx1">
                            <a:lumMod val="75000"/>
                            <a:lumOff val="25000"/>
                          </a:schemeClr>
                        </a:solidFill>
                        <a:latin typeface="+mn-lt"/>
                        <a:ea typeface="+mn-ea"/>
                        <a:cs typeface="+mn-cs"/>
                      </a:defRPr>
                    </a:pPr>
                    <a:r>
                      <a:rPr lang="en-US" altLang="zh-CN"/>
                      <a:t>386.62 </a:t>
                    </a:r>
                    <a:r>
                      <a:rPr altLang="en-US"/>
                      <a:t>，</a:t>
                    </a:r>
                    <a:r>
                      <a:rPr lang="en-US" altLang="zh-CN"/>
                      <a:t>28.79%</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manualLayout>
                      <c:w val="0.245655298575722"/>
                      <c:h val="0.168508287292818"/>
                    </c:manualLayout>
                  </c15:layout>
                </c:ext>
              </c:extLst>
            </c:dLbl>
            <c:dLbl>
              <c:idx val="5"/>
              <c:layout>
                <c:manualLayout>
                  <c:x val="-0.190221939623286"/>
                  <c:y val="0.128606230850978"/>
                </c:manualLayout>
              </c:layout>
              <c:tx>
                <c:rich>
                  <a:bodyPr rot="0" spcFirstLastPara="1"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t>城乡社区, </a:t>
                    </a:r>
                    <a:r>
                      <a:rPr lang="en-US" altLang="zh-CN"/>
                      <a:t>524.29</a:t>
                    </a:r>
                    <a:r>
                      <a:t>, </a:t>
                    </a:r>
                    <a:r>
                      <a:rPr lang="en-US" altLang="zh-CN"/>
                      <a:t>39.05</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0.307684804785525"/>
                  <c:y val="0.031813478425694"/>
                </c:manualLayout>
              </c:layout>
              <c:tx>
                <c:rich>
                  <a:bodyPr rot="0" spcFirstLastPara="1"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t>自然资源海洋气象,</a:t>
                    </a:r>
                    <a:r>
                      <a:rPr lang="en-US" altLang="zh-CN"/>
                      <a:t>1</a:t>
                    </a:r>
                    <a:r>
                      <a:t>, 0</a:t>
                    </a:r>
                    <a:r>
                      <a:rPr lang="en-US" altLang="zh-CN"/>
                      <a:t>.07</a:t>
                    </a:r>
                    <a:r>
                      <a:t>%</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409251274010192"/>
                      <c:h val="0.0580110497237569"/>
                    </c:manualLayout>
                  </c15:layout>
                </c:ext>
              </c:extLst>
            </c:dLbl>
            <c:dLbl>
              <c:idx val="7"/>
              <c:layout>
                <c:manualLayout>
                  <c:x val="-0.29012254985179"/>
                  <c:y val="-0.0421895294856099"/>
                </c:manualLayout>
              </c:layout>
              <c:tx>
                <c:rich>
                  <a:bodyPr rot="0" spcFirstLastPara="1"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t>文化旅游体育与传媒, </a:t>
                    </a:r>
                    <a:r>
                      <a:rPr lang="en-US" altLang="zh-CN"/>
                      <a:t>5.2</a:t>
                    </a:r>
                    <a:r>
                      <a:t>, </a:t>
                    </a:r>
                    <a:r>
                      <a:rPr lang="en-US" altLang="zh-CN"/>
                      <a:t>0.39</a:t>
                    </a:r>
                    <a:r>
                      <a:t>%</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441656866588266"/>
                      <c:h val="0.0694554064719811"/>
                    </c:manualLayout>
                  </c15:layout>
                </c:ext>
              </c:extLst>
            </c:dLbl>
            <c:numFmt formatCode="0%" sourceLinked="0"/>
            <c:spPr>
              <a:noFill/>
              <a:ln>
                <a:noFill/>
              </a:ln>
              <a:effectLst/>
            </c:spPr>
            <c:txPr>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Sheet1!$B$1:$I$1</c:f>
              <c:strCache>
                <c:ptCount val="8"/>
                <c:pt idx="0">
                  <c:v>一般公共服务</c:v>
                </c:pt>
                <c:pt idx="1">
                  <c:v>社会保障和就业支出</c:v>
                </c:pt>
                <c:pt idx="2">
                  <c:v>卫生健康</c:v>
                </c:pt>
                <c:pt idx="3">
                  <c:v>住房保障</c:v>
                </c:pt>
                <c:pt idx="4">
                  <c:v>农林水</c:v>
                </c:pt>
                <c:pt idx="5">
                  <c:v>城乡社区</c:v>
                </c:pt>
                <c:pt idx="6">
                  <c:v>自然资源海洋气象</c:v>
                </c:pt>
                <c:pt idx="7">
                  <c:v>文化旅游体育与传媒</c:v>
                </c:pt>
              </c:strCache>
            </c:strRef>
          </c:cat>
          <c:val>
            <c:numRef>
              <c:f>Sheet1!$B$2:$I$2</c:f>
              <c:numCache>
                <c:formatCode>General</c:formatCode>
                <c:ptCount val="8"/>
                <c:pt idx="0">
                  <c:v>245.94</c:v>
                </c:pt>
                <c:pt idx="1">
                  <c:v>99.17</c:v>
                </c:pt>
                <c:pt idx="2">
                  <c:v>24.04</c:v>
                </c:pt>
                <c:pt idx="3">
                  <c:v>56.34</c:v>
                </c:pt>
                <c:pt idx="4">
                  <c:v>386.62</c:v>
                </c:pt>
                <c:pt idx="5">
                  <c:v>524.29</c:v>
                </c:pt>
                <c:pt idx="6">
                  <c:v>1</c:v>
                </c:pt>
                <c:pt idx="7">
                  <c:v>5.2</c:v>
                </c:pt>
              </c:numCache>
            </c:numRef>
          </c:val>
        </c:ser>
        <c:dLbls>
          <c:showLegendKey val="0"/>
          <c:showVal val="1"/>
          <c:showCatName val="0"/>
          <c:showSerName val="0"/>
          <c:showPercent val="1"/>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100"/>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66</Pages>
  <Words>23426</Words>
  <Characters>24898</Characters>
  <Lines>232</Lines>
  <Paragraphs>65</Paragraphs>
  <TotalTime>26</TotalTime>
  <ScaleCrop>false</ScaleCrop>
  <LinksUpToDate>false</LinksUpToDate>
  <CharactersWithSpaces>25264</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忆友.叹流年</cp:lastModifiedBy>
  <cp:lastPrinted>2025-09-15T08:09:00Z</cp:lastPrinted>
  <dcterms:modified xsi:type="dcterms:W3CDTF">2025-09-18T02:12:08Z</dcterms:modified>
  <dc:title>四川省***</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5E314F1493F7469A87913F1455D9017E</vt:lpwstr>
  </property>
</Properties>
</file>