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color w:val="000000"/>
          <w:w w:val="90"/>
          <w:sz w:val="72"/>
          <w:szCs w:val="72"/>
        </w:rPr>
      </w:pPr>
      <w:bookmarkStart w:id="1" w:name="_Toc15378441"/>
      <w:bookmarkStart w:id="2" w:name="_Toc15377425"/>
      <w:bookmarkStart w:id="3" w:name="_Toc15377193"/>
      <w:bookmarkStart w:id="4" w:name="_Toc15396597"/>
      <w:bookmarkStart w:id="5" w:name="_Toc15396475"/>
      <w:r>
        <w:rPr>
          <w:rFonts w:ascii="黑体" w:hAnsi="黑体" w:eastAsia="黑体"/>
          <w:color w:val="000000"/>
          <w:w w:val="90"/>
          <w:sz w:val="72"/>
          <w:szCs w:val="72"/>
        </w:rPr>
        <w:t>2020</w:t>
      </w:r>
      <w:r>
        <w:rPr>
          <w:rFonts w:hint="eastAsia" w:ascii="方正小标宋简体" w:hAnsi="宋体" w:eastAsia="方正小标宋简体"/>
          <w:color w:val="000000"/>
          <w:w w:val="9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pacing w:val="-11"/>
          <w:w w:val="90"/>
          <w:sz w:val="72"/>
          <w:szCs w:val="72"/>
        </w:rPr>
      </w:pPr>
      <w:bookmarkStart w:id="6" w:name="_Toc15306268"/>
      <w:bookmarkStart w:id="7" w:name="_Toc15378442"/>
      <w:bookmarkStart w:id="8" w:name="_Toc15377194"/>
      <w:bookmarkStart w:id="9" w:name="_Toc15396598"/>
      <w:bookmarkStart w:id="10" w:name="_Toc15396476"/>
      <w:bookmarkStart w:id="11" w:name="_Toc15377426"/>
      <w:r>
        <w:rPr>
          <w:rFonts w:hint="eastAsia" w:ascii="方正小标宋简体" w:hAnsi="宋体" w:eastAsia="方正小标宋简体"/>
          <w:color w:val="000000"/>
          <w:spacing w:val="-11"/>
          <w:w w:val="90"/>
          <w:sz w:val="72"/>
          <w:szCs w:val="72"/>
        </w:rPr>
        <w:t>广元市利州区三堆国凡幼儿园</w:t>
      </w:r>
    </w:p>
    <w:p>
      <w:pPr>
        <w:adjustRightInd w:val="0"/>
        <w:snapToGrid w:val="0"/>
        <w:spacing w:line="360" w:lineRule="auto"/>
        <w:jc w:val="center"/>
        <w:outlineLvl w:val="0"/>
        <w:rPr>
          <w:rFonts w:ascii="方正小标宋简体" w:hAnsi="宋体" w:eastAsia="方正小标宋简体"/>
          <w:color w:val="000000"/>
          <w:w w:val="90"/>
          <w:sz w:val="72"/>
          <w:szCs w:val="72"/>
        </w:rPr>
      </w:pPr>
      <w:r>
        <w:rPr>
          <w:rFonts w:hint="eastAsia" w:ascii="方正小标宋简体" w:hAnsi="宋体" w:eastAsia="方正小标宋简体"/>
          <w:color w:val="000000"/>
          <w:w w:val="90"/>
          <w:sz w:val="72"/>
          <w:szCs w:val="72"/>
        </w:rPr>
        <w:t>部 门 决 算</w:t>
      </w:r>
      <w:bookmarkEnd w:id="6"/>
      <w:bookmarkEnd w:id="7"/>
      <w:bookmarkEnd w:id="8"/>
      <w:bookmarkEnd w:id="9"/>
      <w:bookmarkEnd w:id="10"/>
      <w:bookmarkEnd w:id="11"/>
    </w:p>
    <w:p>
      <w:pPr>
        <w:widowControl/>
        <w:jc w:val="center"/>
        <w:rPr>
          <w:rFonts w:ascii="方正小标宋简体" w:hAnsi="方正小标宋简体" w:eastAsia="方正小标宋简体" w:cs="方正小标宋简体"/>
          <w:color w:val="000000"/>
          <w:sz w:val="44"/>
          <w:szCs w:val="44"/>
        </w:rPr>
        <w:sectPr>
          <w:footerReference r:id="rId5" w:type="first"/>
          <w:headerReference r:id="rId3" w:type="default"/>
          <w:footerReference r:id="rId4" w:type="default"/>
          <w:pgSz w:w="11906" w:h="16838"/>
          <w:pgMar w:top="1701" w:right="1474" w:bottom="1701" w:left="1587" w:header="851" w:footer="1304" w:gutter="0"/>
          <w:pgNumType w:start="1"/>
          <w:cols w:space="0" w:num="1"/>
          <w:docGrid w:type="lines" w:linePitch="312" w:charSpace="0"/>
        </w:sectPr>
      </w:pPr>
      <w:bookmarkStart w:id="12" w:name="_Toc15377196"/>
      <w:bookmarkStart w:id="13" w:name="_Toc19089861"/>
    </w:p>
    <w:p>
      <w:pPr>
        <w:widowControl/>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snapToGrid w:val="0"/>
        <w:spacing w:line="520" w:lineRule="exact"/>
        <w:rPr>
          <w:rFonts w:ascii="仿宋" w:hAnsi="仿宋" w:eastAsia="仿宋" w:cs="仿宋"/>
          <w:sz w:val="28"/>
          <w:szCs w:val="28"/>
        </w:rPr>
      </w:pPr>
    </w:p>
    <w:p>
      <w:pPr>
        <w:pStyle w:val="10"/>
        <w:adjustRightInd w:val="0"/>
        <w:snapToGrid w:val="0"/>
        <w:spacing w:before="0" w:line="520" w:lineRule="exact"/>
        <w:ind w:firstLine="560" w:firstLineChars="200"/>
        <w:jc w:val="left"/>
        <w:rPr>
          <w:rFonts w:ascii="黑体" w:hAnsi="黑体" w:eastAsia="黑体" w:cs="黑体"/>
        </w:rPr>
      </w:pPr>
      <w:r>
        <w:rPr>
          <w:rFonts w:hint="eastAsia" w:ascii="黑体" w:hAnsi="黑体" w:eastAsia="黑体" w:cs="黑体"/>
        </w:rPr>
        <w:t>第一部分 部门概况</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一、基本职能及主要工作…………………………………………</w:t>
      </w:r>
      <w:r>
        <w:rPr>
          <w:rFonts w:cs="仿宋"/>
          <w:sz w:val="28"/>
          <w:szCs w:val="28"/>
        </w:rPr>
        <w:t>4</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二、机构设置…………………………………………………………</w:t>
      </w:r>
      <w:r>
        <w:rPr>
          <w:rFonts w:cs="仿宋"/>
          <w:sz w:val="28"/>
          <w:szCs w:val="28"/>
        </w:rPr>
        <w:t>6</w:t>
      </w:r>
    </w:p>
    <w:p>
      <w:pPr>
        <w:pStyle w:val="10"/>
        <w:adjustRightInd w:val="0"/>
        <w:snapToGrid w:val="0"/>
        <w:spacing w:before="0" w:line="520" w:lineRule="exact"/>
        <w:ind w:firstLine="560" w:firstLineChars="200"/>
        <w:jc w:val="left"/>
        <w:rPr>
          <w:rFonts w:ascii="黑体" w:hAnsi="黑体" w:eastAsia="黑体" w:cs="黑体"/>
        </w:rPr>
      </w:pPr>
      <w:r>
        <w:rPr>
          <w:rFonts w:hint="eastAsia" w:ascii="黑体" w:hAnsi="黑体" w:eastAsia="黑体" w:cs="黑体"/>
        </w:rPr>
        <w:t>第二部分  2020年度部门决算情况说明</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一、收入支出决算总体情况说明……………………………………</w:t>
      </w:r>
      <w:r>
        <w:rPr>
          <w:rFonts w:cs="仿宋"/>
          <w:sz w:val="28"/>
          <w:szCs w:val="28"/>
        </w:rPr>
        <w:t>7</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二、收入决算情况说明………………………………………………</w:t>
      </w:r>
      <w:r>
        <w:rPr>
          <w:rFonts w:cs="仿宋"/>
          <w:sz w:val="28"/>
          <w:szCs w:val="28"/>
        </w:rPr>
        <w:t>7</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三、支出决算情况说明…………………………………………………</w:t>
      </w:r>
      <w:r>
        <w:rPr>
          <w:rFonts w:cs="仿宋"/>
          <w:sz w:val="28"/>
          <w:szCs w:val="28"/>
        </w:rPr>
        <w:t>8</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四、财政拨款收入支出决算总体情况说明…………………………</w:t>
      </w:r>
      <w:r>
        <w:rPr>
          <w:rFonts w:cs="仿宋"/>
          <w:sz w:val="28"/>
          <w:szCs w:val="28"/>
        </w:rPr>
        <w:t>9</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五、一般公共预算财政拨款支出决算情况说明……………………</w:t>
      </w:r>
      <w:r>
        <w:rPr>
          <w:rFonts w:cs="仿宋"/>
          <w:sz w:val="28"/>
          <w:szCs w:val="28"/>
        </w:rPr>
        <w:t>10</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六、一般公共预算财政拨款基本支出决算情况说明………………1</w:t>
      </w:r>
      <w:r>
        <w:rPr>
          <w:rFonts w:cs="仿宋"/>
          <w:sz w:val="28"/>
          <w:szCs w:val="28"/>
        </w:rPr>
        <w:t>2</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七、“三公”经费财政拨款支出决算情况说明……………………1</w:t>
      </w:r>
      <w:r>
        <w:rPr>
          <w:rFonts w:cs="仿宋"/>
          <w:sz w:val="28"/>
          <w:szCs w:val="28"/>
        </w:rPr>
        <w:t>2</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八、政府性基金预算支出决算情况说明…………………………1</w:t>
      </w:r>
      <w:r>
        <w:rPr>
          <w:rFonts w:cs="仿宋"/>
          <w:sz w:val="28"/>
          <w:szCs w:val="28"/>
        </w:rPr>
        <w:t>3</w:t>
      </w:r>
    </w:p>
    <w:p>
      <w:pPr>
        <w:pStyle w:val="11"/>
        <w:adjustRightInd w:val="0"/>
        <w:snapToGrid w:val="0"/>
        <w:spacing w:line="520" w:lineRule="exact"/>
        <w:ind w:left="0" w:leftChars="0" w:firstLine="560" w:firstLineChars="200"/>
        <w:jc w:val="distribute"/>
        <w:rPr>
          <w:rFonts w:cs="仿宋"/>
          <w:sz w:val="28"/>
          <w:szCs w:val="28"/>
        </w:rPr>
      </w:pPr>
      <w:r>
        <w:rPr>
          <w:rFonts w:hint="eastAsia" w:cs="仿宋"/>
          <w:sz w:val="28"/>
          <w:szCs w:val="28"/>
        </w:rPr>
        <w:t>九、国有资本经营预算支出决算情况说明……………………1</w:t>
      </w:r>
      <w:r>
        <w:rPr>
          <w:rFonts w:cs="仿宋"/>
          <w:sz w:val="28"/>
          <w:szCs w:val="28"/>
        </w:rPr>
        <w:t>3</w:t>
      </w:r>
    </w:p>
    <w:p>
      <w:pPr>
        <w:rPr>
          <w:rFonts w:ascii="仿宋" w:hAnsi="仿宋" w:eastAsia="仿宋" w:cs="仿宋"/>
          <w:sz w:val="28"/>
          <w:szCs w:val="28"/>
        </w:rPr>
      </w:pPr>
      <w:r>
        <w:rPr>
          <w:rFonts w:hint="eastAsia" w:ascii="仿宋" w:hAnsi="仿宋" w:eastAsia="仿宋" w:cs="仿宋"/>
          <w:sz w:val="28"/>
          <w:szCs w:val="28"/>
        </w:rPr>
        <w:t xml:space="preserve">    十、预算绩效情况说明…………………………………………………1</w:t>
      </w:r>
      <w:r>
        <w:rPr>
          <w:rFonts w:ascii="仿宋" w:hAnsi="仿宋" w:eastAsia="仿宋" w:cs="仿宋"/>
          <w:sz w:val="28"/>
          <w:szCs w:val="28"/>
        </w:rPr>
        <w:t>3</w:t>
      </w:r>
    </w:p>
    <w:p>
      <w:pPr>
        <w:adjustRightInd w:val="0"/>
        <w:snapToGrid w:val="0"/>
        <w:spacing w:line="520" w:lineRule="exact"/>
        <w:ind w:firstLine="560" w:firstLineChars="200"/>
        <w:jc w:val="distribute"/>
        <w:rPr>
          <w:rFonts w:ascii="仿宋" w:hAnsi="仿宋" w:eastAsia="仿宋" w:cs="仿宋"/>
          <w:sz w:val="28"/>
          <w:szCs w:val="28"/>
        </w:rPr>
      </w:pPr>
      <w:r>
        <w:rPr>
          <w:rStyle w:val="16"/>
          <w:rFonts w:hint="eastAsia" w:ascii="仿宋" w:hAnsi="仿宋" w:eastAsia="仿宋" w:cs="仿宋"/>
          <w:color w:val="000000"/>
          <w:sz w:val="28"/>
          <w:szCs w:val="28"/>
          <w:u w:val="none"/>
        </w:rPr>
        <w:t>十一、</w:t>
      </w:r>
      <w:r>
        <w:rPr>
          <w:rFonts w:hint="eastAsia" w:ascii="仿宋" w:hAnsi="仿宋" w:eastAsia="仿宋" w:cs="仿宋"/>
          <w:sz w:val="28"/>
          <w:szCs w:val="28"/>
        </w:rPr>
        <w:t>其他重要事项的情况说明……………………………………1</w:t>
      </w:r>
      <w:r>
        <w:rPr>
          <w:rFonts w:ascii="仿宋" w:hAnsi="仿宋" w:eastAsia="仿宋" w:cs="仿宋"/>
          <w:sz w:val="28"/>
          <w:szCs w:val="28"/>
        </w:rPr>
        <w:t>4</w:t>
      </w:r>
    </w:p>
    <w:p>
      <w:pPr>
        <w:pStyle w:val="10"/>
        <w:adjustRightInd w:val="0"/>
        <w:snapToGrid w:val="0"/>
        <w:spacing w:before="0" w:line="520" w:lineRule="exact"/>
        <w:ind w:firstLine="560" w:firstLineChars="200"/>
        <w:jc w:val="left"/>
        <w:rPr>
          <w:rFonts w:ascii="黑体" w:hAnsi="黑体" w:eastAsia="黑体" w:cs="黑体"/>
        </w:rPr>
      </w:pPr>
      <w:r>
        <w:rPr>
          <w:rFonts w:hint="eastAsia" w:ascii="黑体" w:hAnsi="黑体" w:eastAsia="黑体" w:cs="黑体"/>
        </w:rPr>
        <w:t>第三部分 名词解释……………………………………………………1</w:t>
      </w:r>
      <w:r>
        <w:rPr>
          <w:rFonts w:ascii="黑体" w:hAnsi="黑体" w:eastAsia="黑体" w:cs="黑体"/>
        </w:rPr>
        <w:t>9</w:t>
      </w:r>
    </w:p>
    <w:p>
      <w:pPr>
        <w:pStyle w:val="10"/>
        <w:adjustRightInd w:val="0"/>
        <w:snapToGrid w:val="0"/>
        <w:spacing w:before="0" w:line="520" w:lineRule="exact"/>
        <w:ind w:firstLine="560" w:firstLineChars="200"/>
        <w:jc w:val="left"/>
        <w:rPr>
          <w:rFonts w:ascii="黑体" w:hAnsi="黑体" w:eastAsia="黑体" w:cs="黑体"/>
        </w:rPr>
      </w:pPr>
      <w:r>
        <w:rPr>
          <w:rFonts w:hint="eastAsia" w:ascii="黑体" w:hAnsi="黑体" w:eastAsia="黑体" w:cs="黑体"/>
        </w:rPr>
        <w:t>第四部分 附件…………………………………………………………1</w:t>
      </w:r>
      <w:r>
        <w:rPr>
          <w:rFonts w:ascii="黑体" w:hAnsi="黑体" w:eastAsia="黑体" w:cs="黑体"/>
        </w:rPr>
        <w:t>9</w:t>
      </w:r>
    </w:p>
    <w:p>
      <w:pPr>
        <w:widowControl/>
        <w:ind w:firstLine="640" w:firstLineChars="200"/>
        <w:jc w:val="left"/>
        <w:rPr>
          <w:rFonts w:ascii="仿宋" w:hAnsi="仿宋" w:eastAsia="仿宋"/>
          <w:sz w:val="32"/>
          <w:szCs w:val="32"/>
        </w:rPr>
      </w:pPr>
      <w:r>
        <w:rPr>
          <w:rFonts w:hint="eastAsia" w:ascii="仿宋" w:hAnsi="仿宋" w:eastAsia="仿宋"/>
          <w:sz w:val="32"/>
          <w:szCs w:val="32"/>
        </w:rPr>
        <w:t>附件1 2020年部门整体支出绩效评价报告</w:t>
      </w:r>
      <w:r>
        <w:rPr>
          <w:rFonts w:hint="eastAsia" w:ascii="仿宋" w:hAnsi="仿宋" w:eastAsia="仿宋" w:cs="仿宋"/>
          <w:sz w:val="28"/>
          <w:szCs w:val="28"/>
        </w:rPr>
        <w:t>…………………</w:t>
      </w:r>
      <w:r>
        <w:rPr>
          <w:rFonts w:hint="eastAsia" w:ascii="仿宋" w:hAnsi="仿宋" w:eastAsia="仿宋"/>
          <w:sz w:val="32"/>
          <w:szCs w:val="32"/>
        </w:rPr>
        <w:t>1</w:t>
      </w:r>
      <w:r>
        <w:rPr>
          <w:rFonts w:ascii="仿宋" w:hAnsi="仿宋" w:eastAsia="仿宋"/>
          <w:sz w:val="32"/>
          <w:szCs w:val="32"/>
        </w:rPr>
        <w:t>9</w:t>
      </w:r>
    </w:p>
    <w:p>
      <w:pPr>
        <w:pStyle w:val="11"/>
        <w:adjustRightInd w:val="0"/>
        <w:snapToGrid w:val="0"/>
        <w:spacing w:line="520" w:lineRule="exact"/>
        <w:ind w:left="0" w:leftChars="0" w:firstLine="560" w:firstLineChars="200"/>
        <w:jc w:val="left"/>
        <w:rPr>
          <w:rFonts w:cs="仿宋"/>
          <w:sz w:val="28"/>
          <w:szCs w:val="28"/>
        </w:rPr>
      </w:pPr>
      <w:r>
        <w:rPr>
          <w:rFonts w:hint="eastAsia" w:cs="仿宋"/>
          <w:sz w:val="28"/>
          <w:szCs w:val="28"/>
        </w:rPr>
        <w:t xml:space="preserve"> 附件2 2020年学前教育减免保教费资助支出绩效评价报告………2</w:t>
      </w:r>
      <w:r>
        <w:rPr>
          <w:rFonts w:cs="仿宋"/>
          <w:sz w:val="28"/>
          <w:szCs w:val="28"/>
        </w:rPr>
        <w:t>3</w:t>
      </w:r>
    </w:p>
    <w:p>
      <w:pPr>
        <w:pStyle w:val="10"/>
        <w:adjustRightInd w:val="0"/>
        <w:snapToGrid w:val="0"/>
        <w:spacing w:before="0" w:line="520" w:lineRule="exact"/>
        <w:ind w:firstLine="560" w:firstLineChars="200"/>
        <w:jc w:val="left"/>
        <w:rPr>
          <w:rFonts w:ascii="黑体" w:hAnsi="黑体" w:eastAsia="黑体" w:cs="黑体"/>
        </w:rPr>
      </w:pPr>
      <w:r>
        <w:rPr>
          <w:rFonts w:hint="eastAsia" w:ascii="黑体" w:hAnsi="黑体" w:eastAsia="黑体" w:cs="黑体"/>
        </w:rPr>
        <w:t>第五部分 附表…………………………………………………………2</w:t>
      </w:r>
      <w:r>
        <w:rPr>
          <w:rFonts w:ascii="黑体" w:hAnsi="黑体" w:eastAsia="黑体" w:cs="黑体"/>
        </w:rPr>
        <w:t>7</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一、收入支出决算总表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二、收入总表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三、支出总表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四、财政拨款收入支出决算总表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五、财政拨款支出决算明细表（政府经济分类科目）</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六、一般公共预算财政拨款支出决算表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七、一般公共预算财政拨款支出决算明细表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八、一般公共预算财政拨款基本支出决算表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九、一般公共预算财政拨款项目支出决算表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十、一般公共预算财政拨款“三公”经费支出决算表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十一、政府性基金预算财政拨款收入支出决算表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十二、政府性基金预算财政拨款“三公”经费支出决算表</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十三、国有资本经营预算支出决算表</w:t>
      </w:r>
    </w:p>
    <w:p>
      <w:pPr>
        <w:pStyle w:val="11"/>
        <w:adjustRightInd w:val="0"/>
        <w:snapToGrid w:val="0"/>
        <w:spacing w:line="520" w:lineRule="exact"/>
        <w:ind w:left="0" w:leftChars="0" w:firstLine="560" w:firstLineChars="200"/>
        <w:jc w:val="distribute"/>
        <w:rPr>
          <w:rFonts w:cs="仿宋"/>
          <w:sz w:val="28"/>
          <w:szCs w:val="28"/>
        </w:rPr>
      </w:pPr>
    </w:p>
    <w:p>
      <w:pPr>
        <w:widowControl/>
        <w:jc w:val="center"/>
        <w:rPr>
          <w:rStyle w:val="30"/>
          <w:rFonts w:ascii="方正小标宋简体" w:hAnsi="方正小标宋简体" w:eastAsia="方正小标宋简体" w:cs="方正小标宋简体"/>
          <w:b w:val="0"/>
        </w:rPr>
      </w:pPr>
      <w:r>
        <w:rPr>
          <w:rFonts w:ascii="仿宋" w:hAnsi="仿宋" w:eastAsia="仿宋"/>
          <w:b/>
          <w:sz w:val="24"/>
        </w:rPr>
        <w:br w:type="page"/>
      </w:r>
      <w:bookmarkEnd w:id="12"/>
      <w:bookmarkEnd w:id="13"/>
      <w:bookmarkStart w:id="14" w:name="_Toc19089864"/>
      <w:bookmarkStart w:id="15" w:name="_Toc15377204"/>
      <w:r>
        <w:rPr>
          <w:rFonts w:hint="eastAsia" w:ascii="方正小标宋简体" w:hAnsi="方正小标宋简体" w:eastAsia="方正小标宋简体" w:cs="方正小标宋简体"/>
          <w:bCs/>
          <w:sz w:val="44"/>
          <w:szCs w:val="44"/>
        </w:rPr>
        <w:t xml:space="preserve">第一部分 </w:t>
      </w:r>
      <w:r>
        <w:rPr>
          <w:rStyle w:val="30"/>
          <w:rFonts w:hint="eastAsia" w:ascii="方正小标宋简体" w:hAnsi="方正小标宋简体" w:eastAsia="方正小标宋简体" w:cs="方正小标宋简体"/>
          <w:b w:val="0"/>
        </w:rPr>
        <w:t>部门概况</w:t>
      </w:r>
    </w:p>
    <w:p>
      <w:pPr>
        <w:snapToGrid w:val="0"/>
        <w:spacing w:line="540" w:lineRule="exact"/>
        <w:ind w:firstLine="560" w:firstLineChars="200"/>
        <w:rPr>
          <w:rFonts w:ascii="黑体" w:eastAsia="黑体"/>
          <w:color w:val="000000"/>
          <w:sz w:val="28"/>
          <w:szCs w:val="28"/>
        </w:rPr>
      </w:pPr>
    </w:p>
    <w:p>
      <w:pPr>
        <w:pStyle w:val="3"/>
        <w:snapToGrid w:val="0"/>
        <w:spacing w:before="0" w:after="0" w:line="540" w:lineRule="exact"/>
        <w:ind w:firstLine="560" w:firstLineChars="200"/>
        <w:rPr>
          <w:rStyle w:val="31"/>
          <w:rFonts w:ascii="仿宋" w:hAnsi="仿宋" w:eastAsia="仿宋"/>
          <w:b w:val="0"/>
          <w:bCs w:val="0"/>
          <w:sz w:val="28"/>
          <w:szCs w:val="28"/>
        </w:rPr>
      </w:pPr>
      <w:bookmarkStart w:id="16" w:name="_Toc15396600"/>
      <w:bookmarkStart w:id="17" w:name="_Toc15377197"/>
      <w:r>
        <w:rPr>
          <w:rFonts w:hint="eastAsia" w:ascii="黑体" w:hAnsi="黑体" w:eastAsia="黑体"/>
          <w:b w:val="0"/>
          <w:color w:val="000000"/>
          <w:sz w:val="28"/>
          <w:szCs w:val="28"/>
        </w:rPr>
        <w:t>一、基</w:t>
      </w:r>
      <w:r>
        <w:rPr>
          <w:rStyle w:val="31"/>
          <w:rFonts w:hint="eastAsia" w:ascii="黑体" w:hAnsi="黑体" w:eastAsia="黑体"/>
          <w:b w:val="0"/>
          <w:bCs w:val="0"/>
          <w:sz w:val="28"/>
          <w:szCs w:val="28"/>
        </w:rPr>
        <w:t>本职能及主要工作</w:t>
      </w:r>
      <w:bookmarkEnd w:id="16"/>
      <w:bookmarkEnd w:id="17"/>
    </w:p>
    <w:p>
      <w:pPr>
        <w:pStyle w:val="5"/>
        <w:adjustRightInd w:val="0"/>
        <w:snapToGrid w:val="0"/>
        <w:spacing w:beforeLines="0" w:line="540" w:lineRule="exact"/>
        <w:ind w:firstLine="560" w:firstLineChars="200"/>
        <w:outlineLvl w:val="2"/>
        <w:rPr>
          <w:rFonts w:ascii="楷体" w:hAnsi="楷体" w:eastAsia="楷体" w:cs="楷体"/>
          <w:bCs/>
          <w:color w:val="000000"/>
          <w:sz w:val="28"/>
          <w:szCs w:val="28"/>
        </w:rPr>
      </w:pPr>
      <w:bookmarkStart w:id="18" w:name="_Toc15378445"/>
      <w:bookmarkStart w:id="19" w:name="_Toc15377198"/>
      <w:r>
        <w:rPr>
          <w:rFonts w:hint="eastAsia" w:ascii="楷体" w:hAnsi="楷体" w:eastAsia="楷体" w:cs="楷体"/>
          <w:bCs/>
          <w:color w:val="000000"/>
          <w:sz w:val="28"/>
          <w:szCs w:val="28"/>
        </w:rPr>
        <w:t>（一）主要职能。</w:t>
      </w:r>
      <w:bookmarkEnd w:id="18"/>
      <w:bookmarkEnd w:id="19"/>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1.贯彻执行党和国家有关幼儿教育的方针、政策以及教育法规、规章，坚持正确的办园方向。</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2.执行上级的指示和决议；贯彻执行《幼儿教育纲要》和《幼儿园工作规程》，深化改革，强化管理，使各项工作程序化，规范化，制度化，不断提高保教水平。</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3.严格执行上级部门关于教育经费、教育拨款、教育基建的办法和方案；贯彻执行上级部门有关学生资助工作方针和政策，落实本园贫困家庭幼儿的资助工作。</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4.实行保育和教育相结合的原则，对幼儿实施体、智、德、美等方面全面发展的教育，促进其身心和谐发展。为家长解除后顾之忧，热忱为家长服务。</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5.严格执行幼儿园教师资格证书制度；统筹规划幼儿园教师和管理人员队伍建设；负责幼儿园全体教师的继续教育和培训工作，加强幼儿园人才队伍建设。</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6.严格执行幼儿园安全、卫生保健制度，保证幼儿身心健康和生命安全。充分利用幼儿和社区的资源优势，面向家长开展多种形式的早期教育宣传、指导等服务，促进家庭教育质量的不断提高。</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7.以《幼儿园教育指导纲要》、《幼儿园工作规程》、《3-6岁儿童学习与发展指南》为依据，结合幼儿的年龄特点、发展经验和需要制定适合幼儿身心健康发展的教育活动。</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8.尊重幼儿的人格尊严和基本权利，尊重幼儿身心发展的特点和规律，为幼儿提供健康、丰富的生活和活动环境。合理组织幼儿一日生活活动和其它活动，促进幼儿体智德美等和谐发展，全面实施素质教育。</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9.贯彻幼儿教育法规、传播科学教育理念、开展教育科学研究、培训师资，推动三堆片区学前教育的良性发展。</w:t>
      </w:r>
    </w:p>
    <w:p>
      <w:pPr>
        <w:snapToGrid w:val="0"/>
        <w:spacing w:line="540" w:lineRule="exact"/>
        <w:ind w:firstLine="560" w:firstLineChars="200"/>
        <w:rPr>
          <w:rFonts w:ascii="楷体" w:hAnsi="楷体" w:eastAsia="楷体" w:cs="楷体"/>
          <w:sz w:val="28"/>
          <w:szCs w:val="28"/>
        </w:rPr>
      </w:pPr>
      <w:bookmarkStart w:id="20" w:name="_Toc15378446"/>
      <w:bookmarkStart w:id="21" w:name="_Toc15377199"/>
      <w:r>
        <w:rPr>
          <w:rFonts w:hint="eastAsia" w:ascii="楷体" w:hAnsi="楷体" w:eastAsia="楷体" w:cs="楷体"/>
          <w:sz w:val="28"/>
          <w:szCs w:val="28"/>
        </w:rPr>
        <w:t>（二）2020年重点工作完成情况。</w:t>
      </w:r>
      <w:bookmarkEnd w:id="20"/>
      <w:bookmarkEnd w:id="21"/>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1.团结一心，精准抗疫，确保师生零感染。加大防疫宣传和资金保障。理性对待疫情，不造谣，不惊慌，大力宣传科学防控知识。确保经费投入，备足抗疫物质，建立健全防疫台账。设置规范的隔离室、消毒防护物质、监测器材、宣传标志等。</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2.德育工作和素质教育进一步加强：开展“不忘初心</w:t>
      </w:r>
      <w:r>
        <w:rPr>
          <w:rFonts w:hint="eastAsia" w:ascii="仿宋" w:hAnsi="仿宋" w:eastAsia="仿宋"/>
          <w:sz w:val="28"/>
          <w:szCs w:val="28"/>
          <w:lang w:eastAsia="zh-CN"/>
        </w:rPr>
        <w:t>、</w:t>
      </w:r>
      <w:bookmarkStart w:id="74" w:name="_GoBack"/>
      <w:bookmarkEnd w:id="74"/>
      <w:r>
        <w:rPr>
          <w:rFonts w:hint="eastAsia" w:ascii="仿宋" w:hAnsi="仿宋" w:eastAsia="仿宋"/>
          <w:sz w:val="28"/>
          <w:szCs w:val="28"/>
        </w:rPr>
        <w:t>牢记使命”主题教育。组织全园职工深入学习十九大精神、观看《为了和平》、《这就是中国》爱国主题专题片。</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3.师德建设树新风，提升专业促发展。结合区教育局的要求，扎实开展了“师德师风”团建活动、“师德师风”专题培训、“师德师风”演讲比赛、“做一名师德高尚的幼儿教师”主题征文等活动。教育科研有力推进，教师教育教学能力进一步提高，加强我园科教研组建设，积极组织教师参加培训。</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4.精准识别建档立卡贫困幼儿，走访入户，上门进行政策宣讲，了解政策享受情况，为建档立卡幼儿减免保教费，确保每位孩子都能受到优质教育。继续做好“十大类”、留守等儿童的关心关爱工作，通过家访，电话等形式为这些孩子送去关心与关爱，确保贫困家庭的孩子一个都不能少的走进幼儿园。</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5.安全管理工作进一步加强：全面落实安全工作“一岗双责”制，坚持校园及周边安全隐患整治长效机制，加强校园安全保卫，加强幼儿及家长安全教育宣传，组织家长和教师开展“反恐防暴安全知识培训”活动，组织幼儿开展“防震演练”“消防演练”等活动，加强学校、社会、家庭安全网络建设，假期幼儿实现零伤亡指标。</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6.严格执行收支两条线、以收定支的财务管理制度，做到收支明晰、合理、合规；严把开支关，精打细算，杜绝浪费；按规定做好年度预算、决算，事业年报、人事年报、工资年报、调资调标，高质量报送各类报表，财务资料规范整齐，归档及时。认真并及时为教职工办好医疗、养老、失业、工伤、生育保险、住房公积金的上报工作，解决教职工的后顾之忧。</w:t>
      </w:r>
    </w:p>
    <w:p>
      <w:pPr>
        <w:pStyle w:val="3"/>
        <w:snapToGrid w:val="0"/>
        <w:spacing w:before="0" w:after="0" w:line="540" w:lineRule="exact"/>
        <w:ind w:firstLine="560" w:firstLineChars="200"/>
        <w:rPr>
          <w:rStyle w:val="31"/>
          <w:b w:val="0"/>
          <w:bCs w:val="0"/>
          <w:sz w:val="28"/>
          <w:szCs w:val="28"/>
        </w:rPr>
      </w:pPr>
      <w:bookmarkStart w:id="22" w:name="_Toc15377200"/>
      <w:bookmarkStart w:id="23" w:name="_Toc15396601"/>
      <w:r>
        <w:rPr>
          <w:rFonts w:hint="eastAsia" w:ascii="黑体" w:eastAsia="黑体"/>
          <w:b w:val="0"/>
          <w:color w:val="000000"/>
          <w:sz w:val="28"/>
          <w:szCs w:val="28"/>
        </w:rPr>
        <w:t>二、</w:t>
      </w:r>
      <w:r>
        <w:rPr>
          <w:rFonts w:hint="eastAsia" w:ascii="黑体" w:hAnsi="黑体" w:eastAsia="黑体"/>
          <w:b w:val="0"/>
          <w:color w:val="000000"/>
          <w:sz w:val="28"/>
          <w:szCs w:val="28"/>
        </w:rPr>
        <w:t>机</w:t>
      </w:r>
      <w:r>
        <w:rPr>
          <w:rStyle w:val="31"/>
          <w:rFonts w:hint="eastAsia" w:ascii="黑体" w:hAnsi="黑体" w:eastAsia="黑体"/>
          <w:b w:val="0"/>
          <w:bCs w:val="0"/>
          <w:sz w:val="28"/>
          <w:szCs w:val="28"/>
        </w:rPr>
        <w:t>构设置</w:t>
      </w:r>
      <w:bookmarkEnd w:id="22"/>
      <w:bookmarkEnd w:id="23"/>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我单位为广元市利州区教育局所属二级预算单位，内设部门4个（办公室、财务室、园务室、后勤处）。</w:t>
      </w:r>
    </w:p>
    <w:p>
      <w:pPr>
        <w:widowControl/>
        <w:ind w:firstLine="640" w:firstLineChars="200"/>
        <w:jc w:val="left"/>
        <w:rPr>
          <w:rFonts w:ascii="仿宋" w:hAnsi="仿宋" w:eastAsia="仿宋"/>
          <w:sz w:val="32"/>
          <w:szCs w:val="32"/>
        </w:rPr>
      </w:pPr>
    </w:p>
    <w:p>
      <w:pPr>
        <w:widowControl/>
        <w:ind w:firstLine="640" w:firstLineChars="200"/>
        <w:jc w:val="left"/>
        <w:rPr>
          <w:rFonts w:ascii="仿宋" w:hAnsi="仿宋" w:eastAsia="仿宋"/>
          <w:sz w:val="32"/>
          <w:szCs w:val="32"/>
        </w:rPr>
      </w:pPr>
    </w:p>
    <w:p>
      <w:pPr>
        <w:widowControl/>
        <w:ind w:firstLine="640" w:firstLineChars="200"/>
        <w:jc w:val="left"/>
        <w:rPr>
          <w:rFonts w:ascii="仿宋" w:hAnsi="仿宋" w:eastAsia="仿宋"/>
          <w:sz w:val="32"/>
          <w:szCs w:val="32"/>
        </w:rPr>
      </w:pPr>
    </w:p>
    <w:p>
      <w:pPr>
        <w:widowControl/>
        <w:ind w:firstLine="640" w:firstLineChars="200"/>
        <w:jc w:val="left"/>
        <w:rPr>
          <w:rFonts w:ascii="仿宋" w:hAnsi="仿宋" w:eastAsia="仿宋"/>
          <w:sz w:val="32"/>
          <w:szCs w:val="32"/>
        </w:rPr>
      </w:pPr>
    </w:p>
    <w:p>
      <w:pPr>
        <w:widowControl/>
        <w:ind w:firstLine="640" w:firstLineChars="200"/>
        <w:jc w:val="left"/>
        <w:rPr>
          <w:rFonts w:ascii="仿宋" w:hAnsi="仿宋" w:eastAsia="仿宋"/>
          <w:sz w:val="32"/>
          <w:szCs w:val="32"/>
        </w:rPr>
      </w:pPr>
    </w:p>
    <w:p>
      <w:pPr>
        <w:widowControl/>
        <w:ind w:firstLine="640" w:firstLineChars="200"/>
        <w:jc w:val="left"/>
        <w:rPr>
          <w:rFonts w:ascii="仿宋" w:hAnsi="仿宋" w:eastAsia="仿宋"/>
          <w:sz w:val="32"/>
          <w:szCs w:val="32"/>
        </w:rPr>
      </w:pPr>
    </w:p>
    <w:p>
      <w:pPr>
        <w:widowControl/>
        <w:ind w:firstLine="640" w:firstLineChars="200"/>
        <w:jc w:val="left"/>
        <w:rPr>
          <w:rFonts w:ascii="仿宋" w:hAnsi="仿宋" w:eastAsia="仿宋"/>
          <w:sz w:val="32"/>
          <w:szCs w:val="32"/>
        </w:rPr>
      </w:pPr>
    </w:p>
    <w:p>
      <w:pPr>
        <w:widowControl/>
        <w:ind w:firstLine="640" w:firstLineChars="200"/>
        <w:jc w:val="left"/>
        <w:rPr>
          <w:rFonts w:ascii="仿宋" w:hAnsi="仿宋" w:eastAsia="仿宋"/>
          <w:sz w:val="32"/>
          <w:szCs w:val="32"/>
        </w:rPr>
      </w:pPr>
    </w:p>
    <w:p>
      <w:pPr>
        <w:widowControl/>
        <w:ind w:firstLine="640" w:firstLineChars="200"/>
        <w:jc w:val="left"/>
        <w:rPr>
          <w:rFonts w:ascii="仿宋" w:hAnsi="仿宋" w:eastAsia="仿宋"/>
          <w:sz w:val="32"/>
          <w:szCs w:val="32"/>
        </w:rPr>
      </w:pPr>
    </w:p>
    <w:p>
      <w:pPr>
        <w:rPr>
          <w:rFonts w:ascii="黑体" w:hAnsi="黑体" w:eastAsia="黑体"/>
        </w:rPr>
      </w:pPr>
    </w:p>
    <w:p>
      <w:pPr>
        <w:pStyle w:val="2"/>
        <w:ind w:right="440"/>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rPr>
        <w:t>第二部分</w:t>
      </w:r>
      <w:r>
        <w:rPr>
          <w:rFonts w:hint="eastAsia" w:ascii="方正小标宋简体" w:hAnsi="方正小标宋简体" w:eastAsia="方正小标宋简体" w:cs="方正小标宋简体"/>
        </w:rPr>
        <w:t xml:space="preserve"> </w:t>
      </w:r>
      <w:r>
        <w:rPr>
          <w:rStyle w:val="25"/>
          <w:rFonts w:hint="eastAsia" w:ascii="方正小标宋简体" w:hAnsi="方正小标宋简体" w:eastAsia="方正小标宋简体" w:cs="方正小标宋简体"/>
          <w:b w:val="0"/>
          <w:bCs w:val="0"/>
        </w:rPr>
        <w:t>2020年度部门决算情况说明</w:t>
      </w:r>
      <w:bookmarkEnd w:id="14"/>
      <w:bookmarkEnd w:id="15"/>
    </w:p>
    <w:p>
      <w:pPr>
        <w:pStyle w:val="24"/>
        <w:numPr>
          <w:ilvl w:val="0"/>
          <w:numId w:val="1"/>
        </w:numPr>
        <w:snapToGrid w:val="0"/>
        <w:spacing w:line="540" w:lineRule="exact"/>
        <w:ind w:left="0" w:firstLine="560"/>
        <w:outlineLvl w:val="1"/>
        <w:rPr>
          <w:rStyle w:val="31"/>
          <w:rFonts w:ascii="黑体" w:hAnsi="黑体" w:eastAsia="黑体"/>
          <w:b w:val="0"/>
          <w:bCs w:val="0"/>
          <w:color w:val="000000"/>
          <w:sz w:val="28"/>
          <w:szCs w:val="28"/>
        </w:rPr>
      </w:pPr>
      <w:bookmarkStart w:id="24" w:name="_Toc15396603"/>
      <w:bookmarkStart w:id="25" w:name="_Toc15377205"/>
      <w:r>
        <w:rPr>
          <w:rFonts w:hint="eastAsia" w:ascii="黑体" w:hAnsi="黑体" w:eastAsia="黑体"/>
          <w:color w:val="000000"/>
          <w:sz w:val="28"/>
          <w:szCs w:val="28"/>
        </w:rPr>
        <w:t>收</w:t>
      </w:r>
      <w:r>
        <w:rPr>
          <w:rStyle w:val="31"/>
          <w:rFonts w:hint="eastAsia" w:ascii="黑体" w:hAnsi="黑体" w:eastAsia="黑体"/>
          <w:b w:val="0"/>
          <w:bCs w:val="0"/>
          <w:color w:val="000000"/>
          <w:sz w:val="28"/>
          <w:szCs w:val="28"/>
        </w:rPr>
        <w:t>入支出决算总体情况说明</w:t>
      </w:r>
      <w:bookmarkEnd w:id="24"/>
      <w:bookmarkEnd w:id="25"/>
    </w:p>
    <w:p>
      <w:pPr>
        <w:snapToGrid w:val="0"/>
        <w:spacing w:line="540" w:lineRule="exact"/>
        <w:ind w:firstLine="560" w:firstLineChars="200"/>
        <w:rPr>
          <w:rFonts w:ascii="仿宋" w:hAnsi="仿宋" w:eastAsia="仿宋"/>
          <w:color w:val="000000"/>
          <w:sz w:val="28"/>
          <w:szCs w:val="28"/>
        </w:rPr>
      </w:pPr>
      <w:r>
        <w:rPr>
          <w:rFonts w:ascii="仿宋" w:hAnsi="仿宋" w:eastAsia="仿宋"/>
          <w:color w:val="000000"/>
          <w:sz w:val="28"/>
          <w:szCs w:val="28"/>
        </w:rPr>
        <w:t>2020</w:t>
      </w:r>
      <w:r>
        <w:rPr>
          <w:rFonts w:hint="eastAsia" w:ascii="仿宋" w:hAnsi="仿宋" w:eastAsia="仿宋"/>
          <w:color w:val="000000"/>
          <w:sz w:val="28"/>
          <w:szCs w:val="28"/>
        </w:rPr>
        <w:t>年度收入总计160.09万元。与</w:t>
      </w:r>
      <w:r>
        <w:rPr>
          <w:rFonts w:ascii="仿宋" w:hAnsi="仿宋" w:eastAsia="仿宋"/>
          <w:color w:val="000000"/>
          <w:sz w:val="28"/>
          <w:szCs w:val="28"/>
        </w:rPr>
        <w:t>2019</w:t>
      </w:r>
      <w:r>
        <w:rPr>
          <w:rFonts w:hint="eastAsia" w:ascii="仿宋" w:hAnsi="仿宋" w:eastAsia="仿宋"/>
          <w:color w:val="000000"/>
          <w:sz w:val="28"/>
          <w:szCs w:val="28"/>
        </w:rPr>
        <w:t>年相比，收入总计增加5.78万元，增长3.75</w:t>
      </w:r>
      <w:r>
        <w:rPr>
          <w:rFonts w:ascii="仿宋" w:hAnsi="仿宋" w:eastAsia="仿宋"/>
          <w:color w:val="000000"/>
          <w:sz w:val="28"/>
          <w:szCs w:val="28"/>
        </w:rPr>
        <w:t>%</w:t>
      </w:r>
      <w:r>
        <w:rPr>
          <w:rFonts w:hint="eastAsia" w:ascii="仿宋" w:hAnsi="仿宋" w:eastAsia="仿宋"/>
          <w:color w:val="000000"/>
          <w:sz w:val="28"/>
          <w:szCs w:val="28"/>
        </w:rPr>
        <w:t>。主要变动原因是2020年受新冠疫情影响，财政拨款增多。</w:t>
      </w:r>
    </w:p>
    <w:p>
      <w:pPr>
        <w:snapToGrid w:val="0"/>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2020年度支出合计141.60万元，与2019年相比，支出减少89.40万元，减少38.70%。支出主要变动原因一是2020年上半年受疫情影响，日常费用、办公费用减少；二是项目支出减少。</w:t>
      </w:r>
    </w:p>
    <w:p>
      <w:pPr>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（图</w:t>
      </w:r>
      <w:r>
        <w:rPr>
          <w:rFonts w:ascii="仿宋" w:hAnsi="仿宋" w:eastAsia="仿宋"/>
          <w:sz w:val="28"/>
          <w:szCs w:val="28"/>
        </w:rPr>
        <w:t>1</w:t>
      </w:r>
      <w:r>
        <w:rPr>
          <w:rFonts w:hint="eastAsia" w:ascii="仿宋" w:hAnsi="仿宋" w:eastAsia="仿宋"/>
          <w:sz w:val="28"/>
          <w:szCs w:val="28"/>
        </w:rPr>
        <w:t>：收、支决算总计变动情况图）（柱状图）</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drawing>
          <wp:anchor distT="0" distB="0" distL="114935" distR="114935" simplePos="0" relativeHeight="251664384" behindDoc="0" locked="0" layoutInCell="1" allowOverlap="1">
            <wp:simplePos x="0" y="0"/>
            <wp:positionH relativeFrom="column">
              <wp:posOffset>78105</wp:posOffset>
            </wp:positionH>
            <wp:positionV relativeFrom="paragraph">
              <wp:posOffset>243205</wp:posOffset>
            </wp:positionV>
            <wp:extent cx="5211445" cy="3351530"/>
            <wp:effectExtent l="4445" t="4445" r="22860" b="15875"/>
            <wp:wrapNone/>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p>
    <w:p>
      <w:pPr>
        <w:snapToGrid w:val="0"/>
        <w:spacing w:line="360" w:lineRule="auto"/>
        <w:ind w:firstLine="560" w:firstLineChars="200"/>
        <w:rPr>
          <w:rFonts w:ascii="仿宋" w:hAnsi="仿宋" w:eastAsia="仿宋"/>
          <w:sz w:val="28"/>
          <w:szCs w:val="28"/>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1670685</wp:posOffset>
                </wp:positionH>
                <wp:positionV relativeFrom="paragraph">
                  <wp:posOffset>20320</wp:posOffset>
                </wp:positionV>
                <wp:extent cx="618490" cy="275590"/>
                <wp:effectExtent l="5080" t="4445" r="5080" b="5715"/>
                <wp:wrapNone/>
                <wp:docPr id="20" name="文本框 20"/>
                <wp:cNvGraphicFramePr/>
                <a:graphic xmlns:a="http://schemas.openxmlformats.org/drawingml/2006/main">
                  <a:graphicData uri="http://schemas.microsoft.com/office/word/2010/wordprocessingShape">
                    <wps:wsp>
                      <wps:cNvSpPr txBox="true"/>
                      <wps:spPr>
                        <a:xfrm>
                          <a:off x="3108960" y="2004695"/>
                          <a:ext cx="618490" cy="2755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231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1.55pt;margin-top:1.6pt;height:21.7pt;width:48.7pt;z-index:251666432;mso-width-relative:page;mso-height-relative:page;" fillcolor="#FFFFFF [3201]" filled="t" stroked="t" coordsize="21600,21600" o:gfxdata="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MEM&#10;DyXXAAAACAEAAA8AAAAAAAAAAQAgAAAAOAAAAGRycy9kb3ducmV2LnhtbFBLAQIUABQAAAAIAIdO&#10;4kA0X9UARwIAAIkEAAAOAAAAAAAAAAEAIAAAADwBAABkcnMvZTJvRG9jLnhtbFBLBQYAAAAABgAG&#10;AFkBAAD1BQAAAAA=&#10;">
                <v:fill on="t" focussize="0,0"/>
                <v:stroke weight="0.5pt" color="#FFFFFF [3212]" joinstyle="round"/>
                <v:imagedata o:title=""/>
                <o:lock v:ext="edit" aspectratio="f"/>
                <v:textbox>
                  <w:txbxContent>
                    <w:p>
                      <w:r>
                        <w:rPr>
                          <w:rFonts w:hint="eastAsia"/>
                        </w:rPr>
                        <w:t>231</w:t>
                      </w:r>
                    </w:p>
                  </w:txbxContent>
                </v:textbox>
              </v:shape>
            </w:pict>
          </mc:Fallback>
        </mc:AlternateContent>
      </w:r>
    </w:p>
    <w:p>
      <w:pPr>
        <w:snapToGrid w:val="0"/>
        <w:spacing w:line="360" w:lineRule="auto"/>
        <w:ind w:firstLine="560" w:firstLineChars="200"/>
        <w:jc w:val="left"/>
        <w:rPr>
          <w:rFonts w:ascii="黑体" w:hAnsi="黑体" w:eastAsia="黑体"/>
          <w:sz w:val="28"/>
          <w:szCs w:val="28"/>
        </w:rPr>
      </w:pPr>
      <w:bookmarkStart w:id="26" w:name="_Toc15377206"/>
    </w:p>
    <w:p>
      <w:pPr>
        <w:snapToGrid w:val="0"/>
        <w:spacing w:line="360" w:lineRule="auto"/>
        <w:ind w:firstLine="560" w:firstLineChars="200"/>
        <w:jc w:val="left"/>
        <w:rPr>
          <w:rFonts w:ascii="黑体" w:hAnsi="黑体" w:eastAsia="黑体"/>
          <w:sz w:val="28"/>
          <w:szCs w:val="28"/>
        </w:rPr>
      </w:pPr>
      <w:r>
        <w:rPr>
          <w:sz w:val="28"/>
          <w:szCs w:val="28"/>
        </w:rPr>
        <mc:AlternateContent>
          <mc:Choice Requires="wps">
            <w:drawing>
              <wp:anchor distT="0" distB="0" distL="114300" distR="114300" simplePos="0" relativeHeight="251668480" behindDoc="0" locked="0" layoutInCell="1" allowOverlap="1">
                <wp:simplePos x="0" y="0"/>
                <wp:positionH relativeFrom="column">
                  <wp:posOffset>4080510</wp:posOffset>
                </wp:positionH>
                <wp:positionV relativeFrom="paragraph">
                  <wp:posOffset>138430</wp:posOffset>
                </wp:positionV>
                <wp:extent cx="751840" cy="285750"/>
                <wp:effectExtent l="4445" t="4445" r="5715" b="14605"/>
                <wp:wrapNone/>
                <wp:docPr id="22" name="文本框 22"/>
                <wp:cNvGraphicFramePr/>
                <a:graphic xmlns:a="http://schemas.openxmlformats.org/drawingml/2006/main">
                  <a:graphicData uri="http://schemas.microsoft.com/office/word/2010/wordprocessingShape">
                    <wps:wsp>
                      <wps:cNvSpPr txBox="true"/>
                      <wps:spPr>
                        <a:xfrm>
                          <a:off x="5318760" y="1671320"/>
                          <a:ext cx="751840" cy="2857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141.60</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1.3pt;margin-top:10.9pt;height:22.5pt;width:59.2pt;z-index:251668480;mso-width-relative:page;mso-height-relative:page;" fillcolor="#FFFFFF [3201]" filled="t" stroked="t" coordsize="21600,21600" o:gfxdata="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Kv2lZvW&#10;AAAACQEAAA8AAAAAAAAAAQAgAAAAOAAAAGRycy9kb3ducmV2LnhtbFBLAQIUABQAAAAIAIdO4kCG&#10;TUCeRQIAAIkEAAAOAAAAAAAAAAEAIAAAADsBAABkcnMvZTJvRG9jLnhtbFBLBQYAAAAABgAGAFkB&#10;AADyBQAAAAA=&#10;">
                <v:fill on="t" focussize="0,0"/>
                <v:stroke weight="0.5pt" color="#FFFFFF [3212]" joinstyle="round"/>
                <v:imagedata o:title=""/>
                <o:lock v:ext="edit" aspectratio="f"/>
                <v:textbox>
                  <w:txbxContent>
                    <w:p>
                      <w:r>
                        <w:rPr>
                          <w:rFonts w:hint="eastAsia"/>
                        </w:rPr>
                        <w:t>141.60</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3366135</wp:posOffset>
                </wp:positionH>
                <wp:positionV relativeFrom="paragraph">
                  <wp:posOffset>20320</wp:posOffset>
                </wp:positionV>
                <wp:extent cx="590550" cy="294640"/>
                <wp:effectExtent l="5080" t="4445" r="13970" b="5715"/>
                <wp:wrapNone/>
                <wp:docPr id="21" name="文本框 21"/>
                <wp:cNvGraphicFramePr/>
                <a:graphic xmlns:a="http://schemas.openxmlformats.org/drawingml/2006/main">
                  <a:graphicData uri="http://schemas.microsoft.com/office/word/2010/wordprocessingShape">
                    <wps:wsp>
                      <wps:cNvSpPr txBox="true"/>
                      <wps:spPr>
                        <a:xfrm>
                          <a:off x="4547235" y="2109470"/>
                          <a:ext cx="590550" cy="2946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160.09</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5.05pt;margin-top:1.6pt;height:23.2pt;width:46.5pt;z-index:251667456;mso-width-relative:page;mso-height-relative:page;" fillcolor="#FFFFFF [3201]" filled="t" stroked="t" coordsize="21600,21600" o:gfxdata="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NoSqjrW&#10;AAAACAEAAA8AAAAAAAAAAQAgAAAAOAAAAGRycy9kb3ducmV2LnhtbFBLAQIUABQAAAAIAIdO4kB+&#10;y8PIRQIAAIkEAAAOAAAAAAAAAAEAIAAAADsBAABkcnMvZTJvRG9jLnhtbFBLBQYAAAAABgAGAFkB&#10;AADyBQAAAAA=&#10;">
                <v:fill on="t" focussize="0,0"/>
                <v:stroke weight="0.5pt" color="#FFFFFF [3212]" joinstyle="round"/>
                <v:imagedata o:title=""/>
                <o:lock v:ext="edit" aspectratio="f"/>
                <v:textbox>
                  <w:txbxContent>
                    <w:p>
                      <w:r>
                        <w:rPr>
                          <w:rFonts w:hint="eastAsia"/>
                        </w:rPr>
                        <w:t>160.09</w:t>
                      </w:r>
                    </w:p>
                  </w:txbxContent>
                </v:textbox>
              </v:shape>
            </w:pict>
          </mc:Fallback>
        </mc:AlternateConten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956310</wp:posOffset>
                </wp:positionH>
                <wp:positionV relativeFrom="paragraph">
                  <wp:posOffset>81280</wp:posOffset>
                </wp:positionV>
                <wp:extent cx="590550" cy="247650"/>
                <wp:effectExtent l="4445" t="4445" r="14605" b="14605"/>
                <wp:wrapNone/>
                <wp:docPr id="19" name="文本框 19"/>
                <wp:cNvGraphicFramePr/>
                <a:graphic xmlns:a="http://schemas.openxmlformats.org/drawingml/2006/main">
                  <a:graphicData uri="http://schemas.microsoft.com/office/word/2010/wordprocessingShape">
                    <wps:wsp>
                      <wps:cNvSpPr txBox="true"/>
                      <wps:spPr>
                        <a:xfrm>
                          <a:off x="2308860" y="1957070"/>
                          <a:ext cx="59055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154.31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5.3pt;margin-top:6.4pt;height:19.5pt;width:46.5pt;z-index:251665408;mso-width-relative:page;mso-height-relative:page;" fillcolor="#FFFFFF [3201]" filled="t" stroked="t" coordsize="21600,21600" o:gfxdata="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HFsEoTWAAAA&#10;CQEAAA8AAAAAAAAAAQAgAAAAOAAAAGRycy9kb3ducmV2LnhtbFBLAQIUABQAAAAIAIdO4kAYar74&#10;QgIAAIkEAAAOAAAAAAAAAAEAIAAAADsBAABkcnMvZTJvRG9jLnhtbFBLBQYAAAAABgAGAFkBAADv&#10;BQAAAAA=&#10;">
                <v:fill on="t" focussize="0,0"/>
                <v:stroke weight="0.5pt" color="#FFFFFF [3212]" joinstyle="round"/>
                <v:imagedata o:title=""/>
                <o:lock v:ext="edit" aspectratio="f"/>
                <v:textbox>
                  <w:txbxContent>
                    <w:p>
                      <w:r>
                        <w:rPr>
                          <w:rFonts w:hint="eastAsia"/>
                        </w:rPr>
                        <w:t>154.31</w:t>
                      </w:r>
                    </w:p>
                  </w:txbxContent>
                </v:textbox>
              </v:shape>
            </w:pict>
          </mc:Fallback>
        </mc:AlternateContent>
      </w:r>
    </w:p>
    <w:p>
      <w:pPr>
        <w:snapToGrid w:val="0"/>
        <w:spacing w:line="360" w:lineRule="auto"/>
        <w:ind w:firstLine="560" w:firstLineChars="200"/>
        <w:jc w:val="left"/>
        <w:rPr>
          <w:rFonts w:ascii="黑体" w:hAnsi="黑体" w:eastAsia="黑体"/>
          <w:sz w:val="28"/>
          <w:szCs w:val="28"/>
        </w:rPr>
      </w:pPr>
    </w:p>
    <w:p>
      <w:pPr>
        <w:snapToGrid w:val="0"/>
        <w:spacing w:line="360" w:lineRule="auto"/>
        <w:ind w:firstLine="560" w:firstLineChars="200"/>
        <w:jc w:val="left"/>
        <w:rPr>
          <w:rFonts w:ascii="黑体" w:hAnsi="黑体" w:eastAsia="黑体"/>
          <w:sz w:val="28"/>
          <w:szCs w:val="28"/>
        </w:rPr>
      </w:pPr>
    </w:p>
    <w:p>
      <w:pPr>
        <w:snapToGrid w:val="0"/>
        <w:spacing w:line="360" w:lineRule="auto"/>
        <w:ind w:firstLine="560" w:firstLineChars="200"/>
        <w:jc w:val="left"/>
        <w:rPr>
          <w:rFonts w:ascii="黑体" w:hAnsi="黑体" w:eastAsia="黑体"/>
          <w:sz w:val="28"/>
          <w:szCs w:val="28"/>
        </w:rPr>
      </w:pPr>
    </w:p>
    <w:p>
      <w:pPr>
        <w:snapToGrid w:val="0"/>
        <w:spacing w:line="360" w:lineRule="auto"/>
        <w:ind w:firstLine="560" w:firstLineChars="200"/>
        <w:jc w:val="left"/>
        <w:rPr>
          <w:rFonts w:ascii="黑体" w:hAnsi="黑体" w:eastAsia="黑体"/>
          <w:sz w:val="28"/>
          <w:szCs w:val="28"/>
        </w:rPr>
      </w:pPr>
    </w:p>
    <w:p>
      <w:pPr>
        <w:snapToGrid w:val="0"/>
        <w:spacing w:line="360" w:lineRule="auto"/>
        <w:ind w:firstLine="560" w:firstLineChars="200"/>
        <w:jc w:val="left"/>
        <w:rPr>
          <w:rFonts w:ascii="黑体" w:hAnsi="黑体" w:eastAsia="黑体"/>
          <w:sz w:val="28"/>
          <w:szCs w:val="28"/>
        </w:rPr>
      </w:pPr>
    </w:p>
    <w:p>
      <w:pPr>
        <w:snapToGrid w:val="0"/>
        <w:spacing w:line="360" w:lineRule="auto"/>
        <w:ind w:firstLine="560" w:firstLineChars="200"/>
        <w:jc w:val="left"/>
        <w:rPr>
          <w:rStyle w:val="26"/>
          <w:rFonts w:ascii="黑体" w:hAnsi="黑体" w:eastAsia="黑体"/>
          <w:b w:val="0"/>
          <w:bCs w:val="0"/>
          <w:sz w:val="28"/>
          <w:szCs w:val="28"/>
        </w:rPr>
      </w:pPr>
      <w:r>
        <w:rPr>
          <w:rFonts w:hint="eastAsia" w:ascii="黑体" w:hAnsi="黑体" w:eastAsia="黑体"/>
          <w:sz w:val="28"/>
          <w:szCs w:val="28"/>
        </w:rPr>
        <w:t>二、收</w:t>
      </w:r>
      <w:r>
        <w:rPr>
          <w:rStyle w:val="26"/>
          <w:rFonts w:hint="eastAsia" w:ascii="黑体" w:hAnsi="黑体" w:eastAsia="黑体"/>
          <w:b w:val="0"/>
          <w:bCs w:val="0"/>
          <w:sz w:val="28"/>
          <w:szCs w:val="28"/>
        </w:rPr>
        <w:t>入决算情况说明</w:t>
      </w:r>
      <w:bookmarkEnd w:id="26"/>
    </w:p>
    <w:p>
      <w:pPr>
        <w:snapToGrid w:val="0"/>
        <w:spacing w:line="540" w:lineRule="exact"/>
        <w:ind w:firstLine="560" w:firstLineChars="200"/>
        <w:outlineLvl w:val="1"/>
        <w:rPr>
          <w:rFonts w:ascii="仿宋" w:hAnsi="仿宋" w:eastAsia="仿宋"/>
          <w:sz w:val="28"/>
          <w:szCs w:val="28"/>
        </w:rPr>
      </w:pPr>
      <w:bookmarkStart w:id="27" w:name="_Toc19089866"/>
      <w:r>
        <w:rPr>
          <w:rFonts w:ascii="仿宋" w:hAnsi="仿宋" w:eastAsia="仿宋"/>
          <w:sz w:val="28"/>
          <w:szCs w:val="28"/>
        </w:rPr>
        <w:t>20</w:t>
      </w:r>
      <w:r>
        <w:rPr>
          <w:rFonts w:hint="eastAsia" w:ascii="仿宋" w:hAnsi="仿宋" w:eastAsia="仿宋"/>
          <w:sz w:val="28"/>
          <w:szCs w:val="28"/>
        </w:rPr>
        <w:t>20年本年收入合计</w:t>
      </w:r>
      <w:r>
        <w:rPr>
          <w:rFonts w:hint="eastAsia" w:ascii="仿宋" w:hAnsi="仿宋" w:eastAsia="仿宋"/>
          <w:color w:val="000000" w:themeColor="text1"/>
          <w:sz w:val="28"/>
          <w:szCs w:val="28"/>
          <w14:textFill>
            <w14:solidFill>
              <w14:schemeClr w14:val="tx1"/>
            </w14:solidFill>
          </w14:textFill>
        </w:rPr>
        <w:t>160.09</w:t>
      </w:r>
      <w:r>
        <w:rPr>
          <w:rFonts w:hint="eastAsia" w:ascii="仿宋" w:hAnsi="仿宋" w:eastAsia="仿宋"/>
          <w:sz w:val="28"/>
          <w:szCs w:val="28"/>
        </w:rPr>
        <w:t>万元，其中：</w:t>
      </w:r>
      <w:r>
        <w:rPr>
          <w:rFonts w:hint="eastAsia" w:ascii="仿宋" w:hAnsi="仿宋" w:eastAsia="仿宋"/>
          <w:color w:val="000000"/>
          <w:sz w:val="28"/>
          <w:szCs w:val="28"/>
        </w:rPr>
        <w:t>其中：一般公共预算财政拨款收入147.29万元，占92</w:t>
      </w:r>
      <w:r>
        <w:rPr>
          <w:rFonts w:ascii="仿宋" w:hAnsi="仿宋" w:eastAsia="仿宋"/>
          <w:color w:val="000000"/>
          <w:sz w:val="28"/>
          <w:szCs w:val="28"/>
        </w:rPr>
        <w:t>%</w:t>
      </w:r>
      <w:r>
        <w:rPr>
          <w:rFonts w:hint="eastAsia" w:ascii="仿宋" w:hAnsi="仿宋" w:eastAsia="仿宋"/>
          <w:color w:val="000000"/>
          <w:sz w:val="28"/>
          <w:szCs w:val="28"/>
        </w:rPr>
        <w:t>；</w:t>
      </w:r>
      <w:r>
        <w:rPr>
          <w:rFonts w:hint="eastAsia" w:ascii="仿宋" w:hAnsi="仿宋" w:eastAsia="仿宋"/>
          <w:sz w:val="28"/>
          <w:szCs w:val="28"/>
        </w:rPr>
        <w:t>政府性基金预算财政拨款收入0.00万元，占比0.00%；上级补助收入0.00万元，占比0.00</w:t>
      </w:r>
      <w:r>
        <w:rPr>
          <w:rFonts w:ascii="仿宋" w:hAnsi="仿宋" w:eastAsia="仿宋"/>
          <w:sz w:val="28"/>
          <w:szCs w:val="28"/>
        </w:rPr>
        <w:t>%</w:t>
      </w:r>
      <w:r>
        <w:rPr>
          <w:rFonts w:hint="eastAsia" w:ascii="仿宋" w:hAnsi="仿宋" w:eastAsia="仿宋"/>
          <w:sz w:val="28"/>
          <w:szCs w:val="28"/>
        </w:rPr>
        <w:t>；事业收入0.00万元，占0.00</w:t>
      </w:r>
      <w:r>
        <w:rPr>
          <w:rFonts w:ascii="仿宋" w:hAnsi="仿宋" w:eastAsia="仿宋"/>
          <w:sz w:val="28"/>
          <w:szCs w:val="28"/>
        </w:rPr>
        <w:t>%</w:t>
      </w:r>
      <w:r>
        <w:rPr>
          <w:rFonts w:hint="eastAsia" w:ascii="仿宋" w:hAnsi="仿宋" w:eastAsia="仿宋"/>
          <w:sz w:val="28"/>
          <w:szCs w:val="28"/>
        </w:rPr>
        <w:t>；经营收入0.00万元，占0.00</w:t>
      </w:r>
      <w:r>
        <w:rPr>
          <w:rFonts w:ascii="仿宋" w:hAnsi="仿宋" w:eastAsia="仿宋"/>
          <w:sz w:val="28"/>
          <w:szCs w:val="28"/>
        </w:rPr>
        <w:t>%</w:t>
      </w:r>
      <w:r>
        <w:rPr>
          <w:rFonts w:hint="eastAsia" w:ascii="仿宋" w:hAnsi="仿宋" w:eastAsia="仿宋"/>
          <w:sz w:val="28"/>
          <w:szCs w:val="28"/>
        </w:rPr>
        <w:t>；附属单位上缴收入0.00万元，占0.00</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color w:val="000000"/>
          <w:sz w:val="28"/>
          <w:szCs w:val="28"/>
        </w:rPr>
        <w:t>其他收入12.80万元，占8</w:t>
      </w:r>
      <w:r>
        <w:rPr>
          <w:rFonts w:ascii="仿宋" w:hAnsi="仿宋" w:eastAsia="仿宋"/>
          <w:color w:val="000000"/>
          <w:sz w:val="28"/>
          <w:szCs w:val="28"/>
        </w:rPr>
        <w:t>%</w:t>
      </w:r>
      <w:r>
        <w:rPr>
          <w:rFonts w:hint="eastAsia" w:ascii="仿宋" w:hAnsi="仿宋" w:eastAsia="仿宋"/>
          <w:color w:val="000000"/>
          <w:sz w:val="28"/>
          <w:szCs w:val="28"/>
        </w:rPr>
        <w:t>。</w:t>
      </w:r>
      <w:bookmarkEnd w:id="27"/>
      <w:r>
        <w:rPr>
          <w:rFonts w:hint="eastAsia" w:ascii="仿宋" w:hAnsi="仿宋" w:eastAsia="仿宋"/>
          <w:color w:val="000000"/>
          <w:sz w:val="28"/>
          <w:szCs w:val="28"/>
        </w:rPr>
        <w:t>（注：数据来源于财决</w:t>
      </w:r>
      <w:r>
        <w:rPr>
          <w:rFonts w:ascii="仿宋" w:hAnsi="仿宋" w:eastAsia="仿宋"/>
          <w:color w:val="000000"/>
          <w:sz w:val="28"/>
          <w:szCs w:val="28"/>
        </w:rPr>
        <w:t>01</w:t>
      </w:r>
      <w:r>
        <w:rPr>
          <w:rFonts w:hint="eastAsia" w:ascii="仿宋" w:hAnsi="仿宋" w:eastAsia="仿宋"/>
          <w:color w:val="000000"/>
          <w:sz w:val="28"/>
          <w:szCs w:val="28"/>
        </w:rPr>
        <w:t>表）</w:t>
      </w:r>
    </w:p>
    <w:p>
      <w:pPr>
        <w:snapToGrid w:val="0"/>
        <w:spacing w:line="360" w:lineRule="auto"/>
        <w:ind w:firstLine="560" w:firstLineChars="200"/>
        <w:rPr>
          <w:rFonts w:ascii="仿宋_GB2312" w:eastAsia="仿宋_GB2312"/>
          <w:sz w:val="28"/>
          <w:szCs w:val="28"/>
        </w:rPr>
      </w:pPr>
      <w:r>
        <w:rPr>
          <w:rFonts w:hint="eastAsia" w:ascii="仿宋" w:hAnsi="仿宋" w:eastAsia="仿宋"/>
          <w:sz w:val="28"/>
          <w:szCs w:val="28"/>
        </w:rPr>
        <w:t>（图2：收入决算结构图）（饼状图）</w:t>
      </w:r>
    </w:p>
    <w:p>
      <w:pPr>
        <w:snapToGrid w:val="0"/>
        <w:spacing w:line="360" w:lineRule="auto"/>
        <w:ind w:firstLine="560" w:firstLineChars="200"/>
        <w:rPr>
          <w:rFonts w:ascii="黑体" w:hAnsi="黑体" w:eastAsia="黑体"/>
          <w:sz w:val="28"/>
          <w:szCs w:val="28"/>
        </w:rPr>
      </w:pPr>
      <w:r>
        <w:rPr>
          <w:rFonts w:ascii="仿宋_GB2312" w:eastAsia="仿宋_GB2312"/>
          <w:sz w:val="28"/>
          <w:szCs w:val="28"/>
        </w:rPr>
        <w:drawing>
          <wp:anchor distT="0" distB="0" distL="114300" distR="114300" simplePos="0" relativeHeight="251669504" behindDoc="0" locked="0" layoutInCell="1" allowOverlap="1">
            <wp:simplePos x="0" y="0"/>
            <wp:positionH relativeFrom="column">
              <wp:posOffset>13970</wp:posOffset>
            </wp:positionH>
            <wp:positionV relativeFrom="paragraph">
              <wp:posOffset>156845</wp:posOffset>
            </wp:positionV>
            <wp:extent cx="5369560" cy="3362960"/>
            <wp:effectExtent l="4445" t="5080" r="17145" b="228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28" w:name="_Toc19089867"/>
      <w:bookmarkStart w:id="29" w:name="_Toc15377207"/>
    </w:p>
    <w:p>
      <w:pPr>
        <w:snapToGrid w:val="0"/>
        <w:spacing w:line="360" w:lineRule="auto"/>
        <w:ind w:firstLine="560" w:firstLineChars="200"/>
        <w:outlineLvl w:val="1"/>
        <w:rPr>
          <w:rStyle w:val="26"/>
          <w:rFonts w:ascii="黑体" w:hAnsi="黑体" w:eastAsia="黑体"/>
          <w:b w:val="0"/>
          <w:bCs w:val="0"/>
          <w:sz w:val="28"/>
          <w:szCs w:val="28"/>
        </w:rPr>
      </w:pPr>
      <w:r>
        <w:rPr>
          <w:rFonts w:hint="eastAsia" w:ascii="黑体" w:hAnsi="黑体" w:eastAsia="黑体"/>
          <w:sz w:val="28"/>
          <w:szCs w:val="28"/>
        </w:rPr>
        <w:t>三、支</w:t>
      </w:r>
      <w:r>
        <w:rPr>
          <w:rStyle w:val="26"/>
          <w:rFonts w:hint="eastAsia" w:ascii="黑体" w:hAnsi="黑体" w:eastAsia="黑体"/>
          <w:b w:val="0"/>
          <w:bCs w:val="0"/>
          <w:sz w:val="28"/>
          <w:szCs w:val="28"/>
        </w:rPr>
        <w:t>出决算情况说明</w:t>
      </w:r>
      <w:bookmarkEnd w:id="28"/>
      <w:bookmarkEnd w:id="29"/>
    </w:p>
    <w:p>
      <w:pPr>
        <w:snapToGrid w:val="0"/>
        <w:spacing w:line="540" w:lineRule="exact"/>
        <w:ind w:firstLine="560" w:firstLineChars="200"/>
        <w:outlineLvl w:val="1"/>
        <w:rPr>
          <w:rFonts w:ascii="仿宋" w:hAnsi="仿宋" w:eastAsia="仿宋"/>
          <w:sz w:val="28"/>
          <w:szCs w:val="28"/>
        </w:rPr>
      </w:pPr>
      <w:r>
        <w:rPr>
          <w:rFonts w:ascii="仿宋" w:hAnsi="仿宋" w:eastAsia="仿宋"/>
          <w:color w:val="000000"/>
          <w:sz w:val="28"/>
          <w:szCs w:val="28"/>
        </w:rPr>
        <w:t>2020</w:t>
      </w:r>
      <w:r>
        <w:rPr>
          <w:rFonts w:hint="eastAsia" w:ascii="仿宋" w:hAnsi="仿宋" w:eastAsia="仿宋"/>
          <w:color w:val="000000"/>
          <w:sz w:val="28"/>
          <w:szCs w:val="28"/>
        </w:rPr>
        <w:t>年本年支出合计141.60万元</w:t>
      </w:r>
      <w:r>
        <w:rPr>
          <w:rFonts w:hint="eastAsia" w:ascii="仿宋" w:hAnsi="仿宋" w:eastAsia="仿宋"/>
          <w:color w:val="000000" w:themeColor="text1"/>
          <w:sz w:val="28"/>
          <w:szCs w:val="28"/>
          <w14:textFill>
            <w14:solidFill>
              <w14:schemeClr w14:val="tx1"/>
            </w14:solidFill>
          </w14:textFill>
        </w:rPr>
        <w:t>，其中：基本支出</w:t>
      </w:r>
      <w:r>
        <w:rPr>
          <w:rFonts w:hint="eastAsia" w:ascii="仿宋" w:hAnsi="仿宋" w:eastAsia="仿宋"/>
          <w:color w:val="000000"/>
          <w:sz w:val="28"/>
          <w:szCs w:val="28"/>
        </w:rPr>
        <w:t>128.89</w:t>
      </w:r>
      <w:r>
        <w:rPr>
          <w:rFonts w:hint="eastAsia" w:ascii="仿宋" w:hAnsi="仿宋" w:eastAsia="仿宋"/>
          <w:color w:val="000000" w:themeColor="text1"/>
          <w:sz w:val="28"/>
          <w:szCs w:val="28"/>
          <w14:textFill>
            <w14:solidFill>
              <w14:schemeClr w14:val="tx1"/>
            </w14:solidFill>
          </w14:textFill>
        </w:rPr>
        <w:t>万元，占</w:t>
      </w:r>
      <w:r>
        <w:rPr>
          <w:rFonts w:hint="eastAsia" w:ascii="仿宋" w:hAnsi="仿宋" w:eastAsia="仿宋"/>
          <w:color w:val="000000"/>
          <w:sz w:val="28"/>
          <w:szCs w:val="28"/>
        </w:rPr>
        <w:t>91.02</w:t>
      </w:r>
      <w:r>
        <w:rPr>
          <w:rFonts w:hint="eastAsia" w:ascii="仿宋" w:hAnsi="仿宋" w:eastAsia="仿宋"/>
          <w:color w:val="000000" w:themeColor="text1"/>
          <w:sz w:val="28"/>
          <w:szCs w:val="28"/>
          <w14:textFill>
            <w14:solidFill>
              <w14:schemeClr w14:val="tx1"/>
            </w14:solidFill>
          </w14:textFill>
        </w:rPr>
        <w:t>%；项目支出</w:t>
      </w:r>
      <w:r>
        <w:rPr>
          <w:rFonts w:hint="eastAsia" w:ascii="仿宋" w:hAnsi="仿宋" w:eastAsia="仿宋"/>
          <w:color w:val="000000"/>
          <w:sz w:val="28"/>
          <w:szCs w:val="28"/>
        </w:rPr>
        <w:t>12.71</w:t>
      </w:r>
      <w:r>
        <w:rPr>
          <w:rFonts w:hint="eastAsia" w:ascii="仿宋" w:hAnsi="仿宋" w:eastAsia="仿宋"/>
          <w:color w:val="000000" w:themeColor="text1"/>
          <w:sz w:val="28"/>
          <w:szCs w:val="28"/>
          <w14:textFill>
            <w14:solidFill>
              <w14:schemeClr w14:val="tx1"/>
            </w14:solidFill>
          </w14:textFill>
        </w:rPr>
        <w:t>万元，占</w:t>
      </w:r>
      <w:r>
        <w:rPr>
          <w:rFonts w:hint="eastAsia" w:ascii="仿宋" w:hAnsi="仿宋" w:eastAsia="仿宋"/>
          <w:color w:val="000000"/>
          <w:sz w:val="28"/>
          <w:szCs w:val="28"/>
        </w:rPr>
        <w:t>8.98</w:t>
      </w:r>
      <w:r>
        <w:rPr>
          <w:rFonts w:hint="eastAsia" w:ascii="仿宋" w:hAnsi="仿宋" w:eastAsia="仿宋"/>
          <w:color w:val="000000" w:themeColor="text1"/>
          <w:sz w:val="28"/>
          <w:szCs w:val="28"/>
          <w14:textFill>
            <w14:solidFill>
              <w14:schemeClr w14:val="tx1"/>
            </w14:solidFill>
          </w14:textFill>
        </w:rPr>
        <w:t>%；上缴上级支出0.00万元，占0.00</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；经营支出0.00万元，占0.00</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；对附属单位补助支出0.00万元，占0.00</w:t>
      </w:r>
      <w:r>
        <w:rPr>
          <w:rFonts w:ascii="仿宋" w:hAnsi="仿宋" w:eastAsia="仿宋"/>
          <w:sz w:val="28"/>
          <w:szCs w:val="28"/>
        </w:rPr>
        <w:t>%</w:t>
      </w:r>
      <w:r>
        <w:rPr>
          <w:rFonts w:hint="eastAsia" w:ascii="仿宋" w:hAnsi="仿宋" w:eastAsia="仿宋"/>
          <w:sz w:val="28"/>
          <w:szCs w:val="28"/>
        </w:rPr>
        <w:t>。</w:t>
      </w:r>
      <w:r>
        <w:rPr>
          <w:rFonts w:hint="eastAsia" w:ascii="仿宋" w:hAnsi="仿宋" w:eastAsia="仿宋"/>
          <w:color w:val="000000"/>
          <w:sz w:val="28"/>
          <w:szCs w:val="28"/>
        </w:rPr>
        <w:t>（注：数据来源于财决</w:t>
      </w:r>
      <w:r>
        <w:rPr>
          <w:rFonts w:ascii="仿宋" w:hAnsi="仿宋" w:eastAsia="仿宋"/>
          <w:color w:val="000000"/>
          <w:sz w:val="28"/>
          <w:szCs w:val="28"/>
        </w:rPr>
        <w:t>0</w:t>
      </w:r>
      <w:r>
        <w:rPr>
          <w:rFonts w:hint="eastAsia" w:ascii="仿宋" w:hAnsi="仿宋" w:eastAsia="仿宋"/>
          <w:color w:val="000000"/>
          <w:sz w:val="28"/>
          <w:szCs w:val="28"/>
        </w:rPr>
        <w:t>3表）</w:t>
      </w:r>
    </w:p>
    <w:p>
      <w:pPr>
        <w:snapToGrid w:val="0"/>
        <w:spacing w:line="360" w:lineRule="auto"/>
        <w:ind w:firstLine="560" w:firstLineChars="200"/>
        <w:rPr>
          <w:rFonts w:ascii="黑体" w:hAnsi="黑体" w:eastAsia="黑体"/>
          <w:sz w:val="28"/>
          <w:szCs w:val="28"/>
        </w:rPr>
      </w:pPr>
      <w:r>
        <w:rPr>
          <w:rFonts w:hint="eastAsia" w:ascii="仿宋" w:hAnsi="仿宋" w:eastAsia="仿宋"/>
          <w:sz w:val="28"/>
          <w:szCs w:val="28"/>
        </w:rPr>
        <w:t>（图3：支出决算结构图）（饼状图）</w:t>
      </w:r>
      <w:bookmarkStart w:id="30" w:name="_Toc15377208"/>
      <w:bookmarkStart w:id="31" w:name="_Toc19089868"/>
    </w:p>
    <w:p>
      <w:pPr>
        <w:snapToGrid w:val="0"/>
        <w:spacing w:line="360" w:lineRule="auto"/>
        <w:ind w:firstLine="560" w:firstLineChars="200"/>
        <w:outlineLvl w:val="1"/>
        <w:rPr>
          <w:rFonts w:ascii="黑体" w:hAnsi="黑体" w:eastAsia="黑体"/>
          <w:sz w:val="28"/>
          <w:szCs w:val="28"/>
        </w:rPr>
      </w:pPr>
      <w:r>
        <w:rPr>
          <w:rFonts w:ascii="仿宋_GB2312" w:eastAsia="仿宋_GB2312"/>
          <w:sz w:val="28"/>
          <w:szCs w:val="28"/>
        </w:rPr>
        <w:drawing>
          <wp:anchor distT="0" distB="0" distL="114300" distR="114300" simplePos="0" relativeHeight="251670528" behindDoc="0" locked="0" layoutInCell="1" allowOverlap="1">
            <wp:simplePos x="0" y="0"/>
            <wp:positionH relativeFrom="column">
              <wp:posOffset>-33020</wp:posOffset>
            </wp:positionH>
            <wp:positionV relativeFrom="paragraph">
              <wp:posOffset>118745</wp:posOffset>
            </wp:positionV>
            <wp:extent cx="5340985" cy="3600450"/>
            <wp:effectExtent l="4445" t="4445" r="762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napToGrid w:val="0"/>
        <w:spacing w:line="432" w:lineRule="auto"/>
        <w:ind w:firstLine="560" w:firstLineChars="200"/>
        <w:outlineLvl w:val="1"/>
        <w:rPr>
          <w:rStyle w:val="26"/>
          <w:rFonts w:ascii="黑体" w:hAnsi="黑体" w:eastAsia="黑体"/>
          <w:b w:val="0"/>
          <w:bCs w:val="0"/>
          <w:sz w:val="28"/>
          <w:szCs w:val="28"/>
        </w:rPr>
      </w:pPr>
      <w:r>
        <w:rPr>
          <w:rFonts w:hint="eastAsia" w:ascii="黑体" w:hAnsi="黑体" w:eastAsia="黑体"/>
          <w:sz w:val="28"/>
          <w:szCs w:val="28"/>
        </w:rPr>
        <w:t>四、财</w:t>
      </w:r>
      <w:r>
        <w:rPr>
          <w:rStyle w:val="26"/>
          <w:rFonts w:hint="eastAsia" w:ascii="黑体" w:hAnsi="黑体" w:eastAsia="黑体"/>
          <w:b w:val="0"/>
          <w:bCs w:val="0"/>
          <w:sz w:val="28"/>
          <w:szCs w:val="28"/>
        </w:rPr>
        <w:t>政拨款收入支出决算总体情况说明</w:t>
      </w:r>
      <w:bookmarkEnd w:id="30"/>
      <w:bookmarkEnd w:id="31"/>
    </w:p>
    <w:p>
      <w:pPr>
        <w:snapToGrid w:val="0"/>
        <w:spacing w:line="540" w:lineRule="exact"/>
        <w:ind w:firstLine="560" w:firstLineChars="200"/>
        <w:rPr>
          <w:rFonts w:ascii="仿宋" w:hAnsi="仿宋" w:eastAsia="仿宋"/>
          <w:color w:val="000000"/>
          <w:sz w:val="28"/>
          <w:szCs w:val="28"/>
        </w:rPr>
      </w:pPr>
      <w:r>
        <w:rPr>
          <w:rFonts w:ascii="仿宋" w:hAnsi="仿宋" w:eastAsia="仿宋"/>
          <w:color w:val="000000"/>
          <w:sz w:val="28"/>
          <w:szCs w:val="28"/>
        </w:rPr>
        <w:t>2020</w:t>
      </w:r>
      <w:r>
        <w:rPr>
          <w:rFonts w:hint="eastAsia" w:ascii="仿宋" w:hAnsi="仿宋" w:eastAsia="仿宋"/>
          <w:color w:val="000000"/>
          <w:sz w:val="28"/>
          <w:szCs w:val="28"/>
        </w:rPr>
        <w:t>年财政拨款收入总计147.29万元</w:t>
      </w:r>
      <w:r>
        <w:rPr>
          <w:rFonts w:hint="eastAsia" w:ascii="仿宋" w:hAnsi="仿宋" w:eastAsia="仿宋"/>
          <w:sz w:val="28"/>
          <w:szCs w:val="28"/>
        </w:rPr>
        <w:t>。与2019年相比（116.47万元），财政拨款收入总计增加30.82万元，增涨26.46%。</w:t>
      </w:r>
      <w:r>
        <w:rPr>
          <w:rFonts w:hint="eastAsia" w:ascii="仿宋" w:hAnsi="仿宋" w:eastAsia="仿宋"/>
          <w:color w:val="000000"/>
          <w:sz w:val="28"/>
          <w:szCs w:val="28"/>
        </w:rPr>
        <w:t>主要变动原因是受疫情影响，财政拨款收入增多。</w:t>
      </w:r>
    </w:p>
    <w:p>
      <w:pPr>
        <w:snapToGrid w:val="0"/>
        <w:spacing w:line="540" w:lineRule="exact"/>
        <w:ind w:firstLine="560" w:firstLineChars="200"/>
        <w:rPr>
          <w:rFonts w:ascii="仿宋" w:hAnsi="仿宋" w:eastAsia="仿宋"/>
          <w:sz w:val="28"/>
          <w:szCs w:val="28"/>
        </w:rPr>
      </w:pPr>
      <w:r>
        <w:rPr>
          <w:rFonts w:ascii="仿宋" w:hAnsi="仿宋" w:eastAsia="仿宋"/>
          <w:color w:val="000000"/>
          <w:sz w:val="28"/>
          <w:szCs w:val="28"/>
        </w:rPr>
        <w:t>2020</w:t>
      </w:r>
      <w:r>
        <w:rPr>
          <w:rFonts w:hint="eastAsia" w:ascii="仿宋" w:hAnsi="仿宋" w:eastAsia="仿宋"/>
          <w:color w:val="000000"/>
          <w:sz w:val="28"/>
          <w:szCs w:val="28"/>
        </w:rPr>
        <w:t>年财政拨款支出总计128.81万元</w:t>
      </w:r>
      <w:r>
        <w:rPr>
          <w:rFonts w:hint="eastAsia" w:ascii="仿宋" w:hAnsi="仿宋" w:eastAsia="仿宋"/>
          <w:sz w:val="28"/>
          <w:szCs w:val="28"/>
        </w:rPr>
        <w:t>。与2019年相比（193.16万元），财政拨款支出总计减少64.35万元，减少</w:t>
      </w:r>
      <w:r>
        <w:rPr>
          <w:rFonts w:hint="eastAsia" w:ascii="仿宋" w:hAnsi="仿宋" w:eastAsia="仿宋"/>
          <w:color w:val="000000"/>
          <w:sz w:val="28"/>
          <w:szCs w:val="28"/>
        </w:rPr>
        <w:t>33.31</w:t>
      </w:r>
      <w:r>
        <w:rPr>
          <w:rFonts w:hint="eastAsia" w:ascii="仿宋" w:hAnsi="仿宋" w:eastAsia="仿宋"/>
          <w:sz w:val="28"/>
          <w:szCs w:val="28"/>
        </w:rPr>
        <w:t>%。</w:t>
      </w:r>
      <w:r>
        <w:rPr>
          <w:rFonts w:hint="eastAsia" w:ascii="仿宋_GB2312" w:eastAsia="仿宋_GB2312"/>
          <w:kern w:val="0"/>
          <w:sz w:val="28"/>
          <w:szCs w:val="28"/>
        </w:rPr>
        <w:t>主要变动原因</w:t>
      </w:r>
      <w:r>
        <w:rPr>
          <w:rFonts w:hint="eastAsia" w:ascii="仿宋" w:hAnsi="仿宋" w:eastAsia="仿宋"/>
          <w:color w:val="000000"/>
          <w:sz w:val="28"/>
          <w:szCs w:val="28"/>
        </w:rPr>
        <w:t>2020年总开支减少。</w:t>
      </w:r>
    </w:p>
    <w:p>
      <w:pPr>
        <w:snapToGrid w:val="0"/>
        <w:spacing w:line="432" w:lineRule="auto"/>
        <w:ind w:firstLine="560" w:firstLineChars="200"/>
        <w:rPr>
          <w:rFonts w:ascii="仿宋" w:hAnsi="仿宋" w:eastAsia="仿宋"/>
          <w:sz w:val="28"/>
          <w:szCs w:val="28"/>
        </w:rPr>
      </w:pPr>
      <w:r>
        <w:rPr>
          <w:rFonts w:hint="eastAsia" w:ascii="仿宋" w:hAnsi="仿宋" w:eastAsia="仿宋"/>
          <w:sz w:val="28"/>
          <w:szCs w:val="28"/>
        </w:rPr>
        <w:t>（图4：财政拨款收、支决算总计变动情况）（柱状图）</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drawing>
          <wp:anchor distT="0" distB="0" distL="114300" distR="114300" simplePos="0" relativeHeight="251661312" behindDoc="0" locked="0" layoutInCell="1" allowOverlap="1">
            <wp:simplePos x="0" y="0"/>
            <wp:positionH relativeFrom="column">
              <wp:posOffset>92075</wp:posOffset>
            </wp:positionH>
            <wp:positionV relativeFrom="paragraph">
              <wp:posOffset>127000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28"/>
          <w:szCs w:val="28"/>
        </w:rPr>
        <w:t>（注：除国有资本经营预算外，数据来源于财决</w:t>
      </w:r>
      <w:r>
        <w:rPr>
          <w:rFonts w:ascii="仿宋" w:hAnsi="仿宋" w:eastAsia="仿宋"/>
          <w:sz w:val="28"/>
          <w:szCs w:val="28"/>
        </w:rPr>
        <w:t>Z01-1</w:t>
      </w:r>
      <w:r>
        <w:rPr>
          <w:rFonts w:hint="eastAsia" w:ascii="仿宋" w:hAnsi="仿宋" w:eastAsia="仿宋"/>
          <w:sz w:val="28"/>
          <w:szCs w:val="28"/>
        </w:rPr>
        <w:t>表，口径为“总计”数+国有资本经营预算）</w:t>
      </w:r>
    </w:p>
    <w:p>
      <w:pPr>
        <w:snapToGrid w:val="0"/>
        <w:spacing w:line="360" w:lineRule="auto"/>
        <w:ind w:firstLine="560" w:firstLineChars="200"/>
        <w:outlineLvl w:val="1"/>
        <w:rPr>
          <w:rStyle w:val="26"/>
          <w:rFonts w:ascii="黑体" w:hAnsi="黑体" w:eastAsia="黑体"/>
          <w:b w:val="0"/>
          <w:bCs w:val="0"/>
          <w:sz w:val="28"/>
          <w:szCs w:val="28"/>
        </w:rPr>
      </w:pPr>
      <w:bookmarkStart w:id="32" w:name="_Toc19089869"/>
      <w:bookmarkStart w:id="33" w:name="_Toc15377209"/>
      <w:r>
        <w:rPr>
          <w:rFonts w:hint="eastAsia" w:ascii="黑体" w:hAnsi="黑体" w:eastAsia="黑体"/>
          <w:sz w:val="28"/>
          <w:szCs w:val="28"/>
        </w:rPr>
        <w:t>五、一</w:t>
      </w:r>
      <w:r>
        <w:rPr>
          <w:rStyle w:val="26"/>
          <w:rFonts w:hint="eastAsia" w:ascii="黑体" w:hAnsi="黑体" w:eastAsia="黑体"/>
          <w:b w:val="0"/>
          <w:bCs w:val="0"/>
          <w:sz w:val="28"/>
          <w:szCs w:val="28"/>
        </w:rPr>
        <w:t>般公共预算财政拨款支出决算情况说明</w:t>
      </w:r>
      <w:bookmarkEnd w:id="32"/>
      <w:bookmarkEnd w:id="33"/>
    </w:p>
    <w:p>
      <w:pPr>
        <w:snapToGrid w:val="0"/>
        <w:spacing w:line="360" w:lineRule="auto"/>
        <w:ind w:firstLine="560" w:firstLineChars="200"/>
        <w:outlineLvl w:val="2"/>
        <w:rPr>
          <w:rFonts w:ascii="楷体" w:hAnsi="楷体" w:eastAsia="楷体" w:cs="楷体"/>
          <w:sz w:val="28"/>
          <w:szCs w:val="28"/>
        </w:rPr>
      </w:pPr>
      <w:bookmarkStart w:id="34" w:name="_Toc15377210"/>
      <w:r>
        <w:rPr>
          <w:rFonts w:hint="eastAsia" w:ascii="楷体" w:hAnsi="楷体" w:eastAsia="楷体" w:cs="楷体"/>
          <w:sz w:val="28"/>
          <w:szCs w:val="28"/>
        </w:rPr>
        <w:t>（一）一般公共预算财政拨款支出决算总体情况</w:t>
      </w:r>
      <w:bookmarkEnd w:id="34"/>
    </w:p>
    <w:p>
      <w:pPr>
        <w:snapToGrid w:val="0"/>
        <w:spacing w:line="360" w:lineRule="auto"/>
        <w:ind w:firstLine="560" w:firstLineChars="200"/>
        <w:rPr>
          <w:rFonts w:ascii="仿宋" w:hAnsi="仿宋" w:eastAsia="仿宋"/>
          <w:sz w:val="28"/>
          <w:szCs w:val="28"/>
        </w:rPr>
      </w:pPr>
      <w:r>
        <w:rPr>
          <w:rFonts w:ascii="仿宋" w:hAnsi="仿宋" w:eastAsia="仿宋"/>
          <w:color w:val="000000"/>
          <w:sz w:val="28"/>
          <w:szCs w:val="28"/>
        </w:rPr>
        <w:t>2020</w:t>
      </w:r>
      <w:r>
        <w:rPr>
          <w:rFonts w:hint="eastAsia" w:ascii="仿宋" w:hAnsi="仿宋" w:eastAsia="仿宋"/>
          <w:color w:val="000000"/>
          <w:sz w:val="28"/>
          <w:szCs w:val="28"/>
        </w:rPr>
        <w:t>年一般公共预算财政拨款支出128.81万元</w:t>
      </w:r>
      <w:r>
        <w:rPr>
          <w:rFonts w:hint="eastAsia" w:ascii="仿宋" w:hAnsi="仿宋" w:eastAsia="仿宋"/>
          <w:color w:val="000000" w:themeColor="text1"/>
          <w:sz w:val="28"/>
          <w:szCs w:val="28"/>
          <w14:textFill>
            <w14:solidFill>
              <w14:schemeClr w14:val="tx1"/>
            </w14:solidFill>
          </w14:textFill>
        </w:rPr>
        <w:t>，占本年支出合计（141.60</w:t>
      </w:r>
      <w:r>
        <w:rPr>
          <w:rFonts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sz w:val="28"/>
          <w:szCs w:val="28"/>
        </w:rPr>
        <w:t>90.97</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。与</w:t>
      </w:r>
      <w:r>
        <w:rPr>
          <w:rFonts w:ascii="仿宋" w:hAnsi="仿宋" w:eastAsia="仿宋"/>
          <w:color w:val="000000" w:themeColor="text1"/>
          <w:sz w:val="28"/>
          <w:szCs w:val="28"/>
          <w14:textFill>
            <w14:solidFill>
              <w14:schemeClr w14:val="tx1"/>
            </w14:solidFill>
          </w14:textFill>
        </w:rPr>
        <w:t>201</w:t>
      </w:r>
      <w:r>
        <w:rPr>
          <w:rFonts w:hint="eastAsia" w:ascii="仿宋" w:hAnsi="仿宋" w:eastAsia="仿宋"/>
          <w:color w:val="000000" w:themeColor="text1"/>
          <w:sz w:val="28"/>
          <w:szCs w:val="28"/>
          <w14:textFill>
            <w14:solidFill>
              <w14:schemeClr w14:val="tx1"/>
            </w14:solidFill>
          </w14:textFill>
        </w:rPr>
        <w:t>9年相比（193.16万元），一般公共预算财政拨款支出减少64.35万元，</w:t>
      </w:r>
      <w:r>
        <w:rPr>
          <w:rFonts w:hint="eastAsia" w:ascii="仿宋" w:hAnsi="仿宋" w:eastAsia="仿宋"/>
          <w:sz w:val="28"/>
          <w:szCs w:val="28"/>
        </w:rPr>
        <w:t>减少33.31</w:t>
      </w:r>
      <w:r>
        <w:rPr>
          <w:rFonts w:ascii="仿宋" w:hAnsi="仿宋" w:eastAsia="仿宋"/>
          <w:sz w:val="28"/>
          <w:szCs w:val="28"/>
        </w:rPr>
        <w:t>%</w:t>
      </w:r>
      <w:r>
        <w:rPr>
          <w:rFonts w:hint="eastAsia" w:ascii="仿宋" w:hAnsi="仿宋" w:eastAsia="仿宋"/>
          <w:sz w:val="28"/>
          <w:szCs w:val="28"/>
        </w:rPr>
        <w:t>。主要变动原因幼儿园整体开支减少。</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drawing>
          <wp:anchor distT="0" distB="0" distL="114300" distR="114300" simplePos="0" relativeHeight="251663360" behindDoc="0" locked="0" layoutInCell="1" allowOverlap="1">
            <wp:simplePos x="0" y="0"/>
            <wp:positionH relativeFrom="column">
              <wp:posOffset>118110</wp:posOffset>
            </wp:positionH>
            <wp:positionV relativeFrom="paragraph">
              <wp:posOffset>408305</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28"/>
          <w:szCs w:val="28"/>
        </w:rPr>
        <w:t>（图5：一般公共预算财政拨款支出决算变动情况）（柱状图）</w:t>
      </w:r>
    </w:p>
    <w:p>
      <w:pPr>
        <w:snapToGrid w:val="0"/>
        <w:spacing w:line="360" w:lineRule="auto"/>
        <w:ind w:firstLine="560" w:firstLineChars="200"/>
        <w:outlineLvl w:val="2"/>
        <w:rPr>
          <w:rFonts w:ascii="楷体" w:hAnsi="楷体" w:eastAsia="楷体" w:cs="楷体"/>
          <w:sz w:val="28"/>
          <w:szCs w:val="28"/>
        </w:rPr>
      </w:pPr>
      <w:bookmarkStart w:id="35" w:name="_Toc15377211"/>
      <w:r>
        <w:rPr>
          <w:rFonts w:hint="eastAsia" w:ascii="楷体" w:hAnsi="楷体" w:eastAsia="楷体" w:cs="楷体"/>
          <w:sz w:val="28"/>
          <w:szCs w:val="28"/>
        </w:rPr>
        <w:t>（二）一般公共预算财政拨款支出决算结构情况</w:t>
      </w:r>
      <w:bookmarkEnd w:id="35"/>
    </w:p>
    <w:p>
      <w:pPr>
        <w:snapToGrid w:val="0"/>
        <w:spacing w:line="360" w:lineRule="auto"/>
        <w:ind w:firstLine="560" w:firstLineChars="200"/>
        <w:rPr>
          <w:rFonts w:ascii="仿宋" w:hAnsi="仿宋" w:eastAsia="仿宋"/>
          <w:color w:val="000000"/>
          <w:sz w:val="28"/>
          <w:szCs w:val="28"/>
        </w:rPr>
      </w:pPr>
      <w:r>
        <w:rPr>
          <w:rFonts w:ascii="仿宋" w:hAnsi="仿宋" w:eastAsia="仿宋"/>
          <w:sz w:val="28"/>
          <w:szCs w:val="28"/>
        </w:rPr>
        <w:t>20</w:t>
      </w:r>
      <w:r>
        <w:rPr>
          <w:rFonts w:hint="eastAsia" w:ascii="仿宋" w:hAnsi="仿宋" w:eastAsia="仿宋"/>
          <w:sz w:val="28"/>
          <w:szCs w:val="28"/>
        </w:rPr>
        <w:t>20年一般公共预算财政拨款支出128.81万元，主要用于以下方面</w:t>
      </w:r>
      <w:r>
        <w:rPr>
          <w:rFonts w:ascii="仿宋" w:hAnsi="仿宋" w:eastAsia="仿宋"/>
          <w:sz w:val="28"/>
          <w:szCs w:val="28"/>
        </w:rPr>
        <w:t>:</w:t>
      </w:r>
      <w:r>
        <w:rPr>
          <w:rFonts w:hint="eastAsia" w:ascii="仿宋" w:hAnsi="仿宋" w:eastAsia="仿宋"/>
          <w:color w:val="000000"/>
          <w:sz w:val="28"/>
          <w:szCs w:val="28"/>
        </w:rPr>
        <w:t>一般公共服务（类）支出0万元，占0</w:t>
      </w:r>
      <w:r>
        <w:rPr>
          <w:rFonts w:ascii="仿宋" w:hAnsi="仿宋" w:eastAsia="仿宋"/>
          <w:color w:val="000000"/>
          <w:sz w:val="28"/>
          <w:szCs w:val="28"/>
        </w:rPr>
        <w:t>%</w:t>
      </w:r>
      <w:r>
        <w:rPr>
          <w:rFonts w:hint="eastAsia" w:ascii="仿宋" w:hAnsi="仿宋" w:eastAsia="仿宋"/>
          <w:color w:val="000000"/>
          <w:sz w:val="28"/>
          <w:szCs w:val="28"/>
        </w:rPr>
        <w:t>；教育支出（类）105.57万元，占81.96</w:t>
      </w:r>
      <w:r>
        <w:rPr>
          <w:rFonts w:ascii="仿宋" w:hAnsi="仿宋" w:eastAsia="仿宋"/>
          <w:color w:val="000000"/>
          <w:sz w:val="28"/>
          <w:szCs w:val="28"/>
        </w:rPr>
        <w:t>%</w:t>
      </w:r>
      <w:r>
        <w:rPr>
          <w:rFonts w:hint="eastAsia" w:ascii="仿宋" w:hAnsi="仿宋" w:eastAsia="仿宋"/>
          <w:color w:val="000000"/>
          <w:sz w:val="28"/>
          <w:szCs w:val="28"/>
        </w:rPr>
        <w:t>；科学技术（类）支出0万元，占0</w:t>
      </w:r>
      <w:r>
        <w:rPr>
          <w:rFonts w:ascii="仿宋" w:hAnsi="仿宋" w:eastAsia="仿宋"/>
          <w:color w:val="000000"/>
          <w:sz w:val="28"/>
          <w:szCs w:val="28"/>
        </w:rPr>
        <w:t>%</w:t>
      </w:r>
      <w:r>
        <w:rPr>
          <w:rFonts w:hint="eastAsia" w:ascii="仿宋" w:hAnsi="仿宋" w:eastAsia="仿宋"/>
          <w:color w:val="000000"/>
          <w:sz w:val="28"/>
          <w:szCs w:val="28"/>
        </w:rPr>
        <w:t>；文化旅游体育与传媒（类）支出0万元，占0</w:t>
      </w:r>
      <w:r>
        <w:rPr>
          <w:rFonts w:ascii="仿宋" w:hAnsi="仿宋" w:eastAsia="仿宋"/>
          <w:color w:val="000000"/>
          <w:sz w:val="28"/>
          <w:szCs w:val="28"/>
        </w:rPr>
        <w:t>%</w:t>
      </w:r>
      <w:r>
        <w:rPr>
          <w:rFonts w:hint="eastAsia" w:ascii="仿宋" w:hAnsi="仿宋" w:eastAsia="仿宋"/>
          <w:color w:val="000000"/>
          <w:sz w:val="28"/>
          <w:szCs w:val="28"/>
        </w:rPr>
        <w:t>；社会保障和就业（类）支出13.39万元，占10.40</w:t>
      </w:r>
      <w:r>
        <w:rPr>
          <w:rFonts w:ascii="仿宋" w:hAnsi="仿宋" w:eastAsia="仿宋"/>
          <w:color w:val="000000"/>
          <w:sz w:val="28"/>
          <w:szCs w:val="28"/>
        </w:rPr>
        <w:t>%</w:t>
      </w:r>
      <w:r>
        <w:rPr>
          <w:rFonts w:hint="eastAsia" w:ascii="仿宋" w:hAnsi="仿宋" w:eastAsia="仿宋"/>
          <w:color w:val="000000"/>
          <w:sz w:val="28"/>
          <w:szCs w:val="28"/>
        </w:rPr>
        <w:t>；卫生健康支出9.85万元，占7.64</w:t>
      </w:r>
      <w:r>
        <w:rPr>
          <w:rFonts w:ascii="仿宋" w:hAnsi="仿宋" w:eastAsia="仿宋"/>
          <w:color w:val="000000"/>
          <w:sz w:val="28"/>
          <w:szCs w:val="28"/>
        </w:rPr>
        <w:t>%</w:t>
      </w:r>
      <w:r>
        <w:rPr>
          <w:rFonts w:hint="eastAsia" w:ascii="仿宋" w:hAnsi="仿宋" w:eastAsia="仿宋"/>
          <w:color w:val="000000"/>
          <w:sz w:val="28"/>
          <w:szCs w:val="28"/>
        </w:rPr>
        <w:t>；住房保障支出0万元，占0</w:t>
      </w:r>
      <w:r>
        <w:rPr>
          <w:rFonts w:ascii="仿宋" w:hAnsi="仿宋" w:eastAsia="仿宋"/>
          <w:color w:val="000000"/>
          <w:sz w:val="28"/>
          <w:szCs w:val="28"/>
        </w:rPr>
        <w:t>%</w:t>
      </w:r>
      <w:r>
        <w:rPr>
          <w:rFonts w:hint="eastAsia" w:ascii="仿宋" w:hAnsi="仿宋" w:eastAsia="仿宋"/>
          <w:color w:val="000000"/>
          <w:sz w:val="28"/>
          <w:szCs w:val="28"/>
        </w:rPr>
        <w:t>。</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（图6：一般公共预算财政拨款支出决算结构）（饼状图）</w:t>
      </w:r>
    </w:p>
    <w:p>
      <w:pPr>
        <w:snapToGrid w:val="0"/>
        <w:spacing w:line="360" w:lineRule="auto"/>
        <w:ind w:firstLine="560" w:firstLineChars="200"/>
        <w:rPr>
          <w:rFonts w:ascii="仿宋" w:hAnsi="仿宋" w:eastAsia="仿宋"/>
          <w:sz w:val="28"/>
          <w:szCs w:val="28"/>
        </w:rPr>
      </w:pPr>
      <w:r>
        <w:rPr>
          <w:rFonts w:ascii="仿宋" w:hAnsi="仿宋" w:eastAsia="仿宋"/>
          <w:sz w:val="28"/>
          <w:szCs w:val="28"/>
        </w:rPr>
        <w:drawing>
          <wp:anchor distT="0" distB="0" distL="114300" distR="114300" simplePos="0" relativeHeight="251662336" behindDoc="0" locked="0" layoutInCell="1" allowOverlap="1">
            <wp:simplePos x="0" y="0"/>
            <wp:positionH relativeFrom="column">
              <wp:posOffset>-158750</wp:posOffset>
            </wp:positionH>
            <wp:positionV relativeFrom="paragraph">
              <wp:posOffset>327025</wp:posOffset>
            </wp:positionV>
            <wp:extent cx="5496560" cy="2834640"/>
            <wp:effectExtent l="4445" t="4445" r="23495" b="184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napToGrid w:val="0"/>
        <w:spacing w:line="360" w:lineRule="auto"/>
        <w:ind w:firstLine="560" w:firstLineChars="200"/>
        <w:outlineLvl w:val="2"/>
        <w:rPr>
          <w:rFonts w:ascii="楷体" w:hAnsi="楷体" w:eastAsia="楷体" w:cs="楷体"/>
          <w:sz w:val="28"/>
          <w:szCs w:val="28"/>
        </w:rPr>
      </w:pPr>
      <w:bookmarkStart w:id="36" w:name="_Toc15377212"/>
      <w:r>
        <w:rPr>
          <w:rFonts w:hint="eastAsia" w:ascii="楷体" w:hAnsi="楷体" w:eastAsia="楷体" w:cs="楷体"/>
          <w:sz w:val="28"/>
          <w:szCs w:val="28"/>
        </w:rPr>
        <w:t>（三）一般公共预算财政拨款支出决算具体情况</w:t>
      </w:r>
      <w:bookmarkEnd w:id="36"/>
    </w:p>
    <w:p>
      <w:pPr>
        <w:snapToGrid w:val="0"/>
        <w:spacing w:line="540" w:lineRule="exact"/>
        <w:ind w:firstLine="560" w:firstLineChars="200"/>
        <w:outlineLvl w:val="2"/>
        <w:rPr>
          <w:rStyle w:val="15"/>
          <w:rFonts w:ascii="仿宋" w:hAnsi="仿宋" w:eastAsia="仿宋"/>
          <w:b w:val="0"/>
          <w:color w:val="000000"/>
          <w:sz w:val="28"/>
          <w:szCs w:val="28"/>
        </w:rPr>
      </w:pPr>
      <w:bookmarkStart w:id="37" w:name="_Toc15377213"/>
      <w:bookmarkStart w:id="38" w:name="_Toc15377444"/>
      <w:bookmarkStart w:id="39" w:name="_Toc15378460"/>
      <w:bookmarkStart w:id="40" w:name="_Toc15377214"/>
      <w:r>
        <w:rPr>
          <w:rFonts w:ascii="仿宋" w:hAnsi="仿宋" w:eastAsia="仿宋"/>
          <w:color w:val="000000"/>
          <w:sz w:val="28"/>
          <w:szCs w:val="28"/>
        </w:rPr>
        <w:t>2020</w:t>
      </w:r>
      <w:r>
        <w:rPr>
          <w:rFonts w:hint="eastAsia" w:ascii="仿宋" w:hAnsi="仿宋" w:eastAsia="仿宋"/>
          <w:color w:val="000000"/>
          <w:sz w:val="28"/>
          <w:szCs w:val="28"/>
        </w:rPr>
        <w:t>年一般公共预算支出决算数为128.81万元，</w:t>
      </w:r>
      <w:r>
        <w:rPr>
          <w:rStyle w:val="15"/>
          <w:rFonts w:hint="eastAsia" w:ascii="仿宋" w:hAnsi="仿宋" w:eastAsia="仿宋"/>
          <w:b w:val="0"/>
          <w:color w:val="000000"/>
          <w:sz w:val="28"/>
          <w:szCs w:val="28"/>
        </w:rPr>
        <w:t>完成预算66.70</w:t>
      </w:r>
      <w:r>
        <w:rPr>
          <w:rStyle w:val="15"/>
          <w:rFonts w:ascii="仿宋" w:hAnsi="仿宋" w:eastAsia="仿宋"/>
          <w:b w:val="0"/>
          <w:color w:val="000000"/>
          <w:sz w:val="28"/>
          <w:szCs w:val="28"/>
        </w:rPr>
        <w:t>%</w:t>
      </w:r>
      <w:r>
        <w:rPr>
          <w:rStyle w:val="15"/>
          <w:rFonts w:hint="eastAsia" w:ascii="仿宋" w:hAnsi="仿宋" w:eastAsia="仿宋"/>
          <w:b w:val="0"/>
          <w:color w:val="000000"/>
          <w:sz w:val="28"/>
          <w:szCs w:val="28"/>
        </w:rPr>
        <w:t>。其中：</w:t>
      </w:r>
      <w:bookmarkEnd w:id="37"/>
      <w:bookmarkEnd w:id="38"/>
      <w:bookmarkEnd w:id="39"/>
    </w:p>
    <w:p>
      <w:pPr>
        <w:snapToGrid w:val="0"/>
        <w:spacing w:line="540" w:lineRule="exact"/>
        <w:ind w:firstLine="560" w:firstLineChars="200"/>
        <w:rPr>
          <w:rFonts w:ascii="仿宋" w:hAnsi="仿宋" w:eastAsia="仿宋"/>
          <w:color w:val="000000"/>
          <w:sz w:val="28"/>
          <w:szCs w:val="28"/>
        </w:rPr>
      </w:pPr>
      <w:r>
        <w:rPr>
          <w:rStyle w:val="15"/>
          <w:rFonts w:hint="eastAsia" w:ascii="仿宋" w:hAnsi="仿宋" w:eastAsia="仿宋"/>
          <w:b w:val="0"/>
          <w:color w:val="000000"/>
          <w:sz w:val="28"/>
          <w:szCs w:val="28"/>
        </w:rPr>
        <w:t>1</w:t>
      </w:r>
      <w:r>
        <w:rPr>
          <w:rStyle w:val="15"/>
          <w:rFonts w:ascii="仿宋" w:hAnsi="仿宋" w:eastAsia="仿宋"/>
          <w:b w:val="0"/>
          <w:color w:val="000000"/>
          <w:sz w:val="28"/>
          <w:szCs w:val="28"/>
        </w:rPr>
        <w:t>.</w:t>
      </w:r>
      <w:r>
        <w:rPr>
          <w:rStyle w:val="15"/>
          <w:rFonts w:hint="eastAsia" w:ascii="仿宋" w:hAnsi="仿宋" w:eastAsia="仿宋"/>
          <w:b w:val="0"/>
          <w:color w:val="000000"/>
          <w:sz w:val="28"/>
          <w:szCs w:val="28"/>
        </w:rPr>
        <w:t>教育（类）普通教育（款）学前教育（项）</w:t>
      </w:r>
      <w:r>
        <w:rPr>
          <w:rStyle w:val="15"/>
          <w:rFonts w:ascii="仿宋" w:hAnsi="仿宋" w:eastAsia="仿宋"/>
          <w:b w:val="0"/>
          <w:color w:val="000000"/>
          <w:sz w:val="28"/>
          <w:szCs w:val="28"/>
        </w:rPr>
        <w:t xml:space="preserve">: </w:t>
      </w:r>
      <w:r>
        <w:rPr>
          <w:rStyle w:val="15"/>
          <w:rFonts w:hint="eastAsia" w:ascii="仿宋" w:hAnsi="仿宋" w:eastAsia="仿宋"/>
          <w:b w:val="0"/>
          <w:color w:val="000000"/>
          <w:sz w:val="28"/>
          <w:szCs w:val="28"/>
        </w:rPr>
        <w:t>支出决算为105.57万元，完成预算62.37</w:t>
      </w:r>
      <w:r>
        <w:rPr>
          <w:rStyle w:val="15"/>
          <w:rFonts w:ascii="仿宋" w:hAnsi="仿宋" w:eastAsia="仿宋"/>
          <w:b w:val="0"/>
          <w:color w:val="000000"/>
          <w:sz w:val="28"/>
          <w:szCs w:val="28"/>
        </w:rPr>
        <w:t>%</w:t>
      </w:r>
      <w:r>
        <w:rPr>
          <w:rStyle w:val="15"/>
          <w:rFonts w:hint="eastAsia" w:ascii="仿宋" w:hAnsi="仿宋" w:eastAsia="仿宋"/>
          <w:b w:val="0"/>
          <w:color w:val="000000"/>
          <w:sz w:val="28"/>
          <w:szCs w:val="28"/>
        </w:rPr>
        <w:t>，决算数小于预算数的主要原因是受疫情影响，部分工作未按计划开展。</w:t>
      </w:r>
    </w:p>
    <w:p>
      <w:pPr>
        <w:snapToGrid w:val="0"/>
        <w:spacing w:line="540" w:lineRule="exact"/>
        <w:ind w:firstLine="560" w:firstLineChars="200"/>
        <w:rPr>
          <w:rFonts w:ascii="仿宋" w:hAnsi="仿宋" w:eastAsia="仿宋"/>
          <w:color w:val="000000"/>
          <w:sz w:val="28"/>
          <w:szCs w:val="28"/>
        </w:rPr>
      </w:pPr>
      <w:r>
        <w:rPr>
          <w:rStyle w:val="15"/>
          <w:rFonts w:hint="eastAsia" w:ascii="仿宋" w:hAnsi="仿宋" w:eastAsia="仿宋"/>
          <w:b w:val="0"/>
          <w:color w:val="000000"/>
          <w:sz w:val="28"/>
          <w:szCs w:val="28"/>
        </w:rPr>
        <w:t>2.社会保障和就业（类）其他社会保障和就业支出（款）其他社会保障和就业支出（项）</w:t>
      </w:r>
      <w:r>
        <w:rPr>
          <w:rStyle w:val="15"/>
          <w:rFonts w:ascii="仿宋" w:hAnsi="仿宋" w:eastAsia="仿宋"/>
          <w:b w:val="0"/>
          <w:color w:val="000000"/>
          <w:sz w:val="28"/>
          <w:szCs w:val="28"/>
        </w:rPr>
        <w:t>:</w:t>
      </w:r>
      <w:r>
        <w:rPr>
          <w:rStyle w:val="15"/>
          <w:rFonts w:hint="eastAsia" w:ascii="仿宋" w:hAnsi="仿宋" w:eastAsia="仿宋"/>
          <w:b w:val="0"/>
          <w:color w:val="000000"/>
          <w:sz w:val="28"/>
          <w:szCs w:val="28"/>
        </w:rPr>
        <w:t>支出决算数为13.39万元，完成预算100</w:t>
      </w:r>
      <w:r>
        <w:rPr>
          <w:rStyle w:val="15"/>
          <w:rFonts w:ascii="仿宋" w:hAnsi="仿宋" w:eastAsia="仿宋"/>
          <w:b w:val="0"/>
          <w:color w:val="000000"/>
          <w:sz w:val="28"/>
          <w:szCs w:val="28"/>
        </w:rPr>
        <w:t>%</w:t>
      </w:r>
      <w:r>
        <w:rPr>
          <w:rStyle w:val="15"/>
          <w:rFonts w:hint="eastAsia" w:ascii="仿宋" w:hAnsi="仿宋" w:eastAsia="仿宋"/>
          <w:b w:val="0"/>
          <w:color w:val="000000"/>
          <w:sz w:val="28"/>
          <w:szCs w:val="28"/>
        </w:rPr>
        <w:t>。</w:t>
      </w:r>
    </w:p>
    <w:p>
      <w:pPr>
        <w:snapToGrid w:val="0"/>
        <w:spacing w:line="540" w:lineRule="exact"/>
        <w:ind w:firstLine="560" w:firstLineChars="200"/>
        <w:rPr>
          <w:rStyle w:val="15"/>
          <w:rFonts w:ascii="仿宋" w:hAnsi="仿宋" w:eastAsia="仿宋"/>
          <w:b w:val="0"/>
          <w:color w:val="000000"/>
          <w:sz w:val="28"/>
          <w:szCs w:val="28"/>
        </w:rPr>
      </w:pPr>
      <w:r>
        <w:rPr>
          <w:rFonts w:hint="eastAsia" w:ascii="仿宋" w:hAnsi="仿宋" w:eastAsia="仿宋"/>
          <w:color w:val="000000"/>
          <w:sz w:val="28"/>
          <w:szCs w:val="28"/>
        </w:rPr>
        <w:t>3.卫生健康</w:t>
      </w:r>
      <w:r>
        <w:rPr>
          <w:rStyle w:val="15"/>
          <w:rFonts w:hint="eastAsia" w:ascii="仿宋" w:hAnsi="仿宋" w:eastAsia="仿宋"/>
          <w:b w:val="0"/>
          <w:color w:val="000000"/>
          <w:sz w:val="28"/>
          <w:szCs w:val="28"/>
        </w:rPr>
        <w:t>（类）行政事业单位医疗（款）事业单位医疗（项）</w:t>
      </w:r>
      <w:r>
        <w:rPr>
          <w:rStyle w:val="15"/>
          <w:rFonts w:ascii="仿宋" w:hAnsi="仿宋" w:eastAsia="仿宋"/>
          <w:b w:val="0"/>
          <w:color w:val="000000"/>
          <w:sz w:val="28"/>
          <w:szCs w:val="28"/>
        </w:rPr>
        <w:t>:</w:t>
      </w:r>
      <w:r>
        <w:rPr>
          <w:rStyle w:val="15"/>
          <w:rFonts w:hint="eastAsia" w:ascii="仿宋" w:hAnsi="仿宋" w:eastAsia="仿宋"/>
          <w:b w:val="0"/>
          <w:color w:val="000000"/>
          <w:sz w:val="28"/>
          <w:szCs w:val="28"/>
        </w:rPr>
        <w:t>支出决算为9.85万元，完成预算100</w:t>
      </w:r>
      <w:r>
        <w:rPr>
          <w:rStyle w:val="15"/>
          <w:rFonts w:ascii="仿宋" w:hAnsi="仿宋" w:eastAsia="仿宋"/>
          <w:b w:val="0"/>
          <w:color w:val="000000"/>
          <w:sz w:val="28"/>
          <w:szCs w:val="28"/>
        </w:rPr>
        <w:t>%</w:t>
      </w:r>
      <w:r>
        <w:rPr>
          <w:rStyle w:val="15"/>
          <w:rFonts w:hint="eastAsia" w:ascii="仿宋" w:hAnsi="仿宋" w:eastAsia="仿宋"/>
          <w:b w:val="0"/>
          <w:color w:val="000000"/>
          <w:sz w:val="28"/>
          <w:szCs w:val="28"/>
        </w:rPr>
        <w:t>。</w:t>
      </w:r>
    </w:p>
    <w:p>
      <w:pPr>
        <w:snapToGrid w:val="0"/>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（注：数据来源于财决Z01-1表，罗列全部功能分类科目至项级。上述“预算”口径为调整预算数。增减变动原因为决算数</w:t>
      </w:r>
      <w:r>
        <w:rPr>
          <w:rFonts w:ascii="仿宋" w:hAnsi="仿宋" w:eastAsia="仿宋"/>
          <w:color w:val="000000"/>
          <w:sz w:val="28"/>
          <w:szCs w:val="28"/>
        </w:rPr>
        <w:t>&lt;</w:t>
      </w:r>
      <w:r>
        <w:rPr>
          <w:rFonts w:hint="eastAsia" w:ascii="仿宋" w:hAnsi="仿宋" w:eastAsia="仿宋"/>
          <w:color w:val="000000"/>
          <w:sz w:val="28"/>
          <w:szCs w:val="28"/>
        </w:rPr>
        <w:t>项级</w:t>
      </w:r>
      <w:r>
        <w:rPr>
          <w:rFonts w:ascii="仿宋" w:hAnsi="仿宋" w:eastAsia="仿宋"/>
          <w:color w:val="000000"/>
          <w:sz w:val="28"/>
          <w:szCs w:val="28"/>
        </w:rPr>
        <w:t>&gt;</w:t>
      </w:r>
      <w:r>
        <w:rPr>
          <w:rFonts w:hint="eastAsia" w:ascii="仿宋" w:hAnsi="仿宋" w:eastAsia="仿宋"/>
          <w:color w:val="000000"/>
          <w:sz w:val="28"/>
          <w:szCs w:val="28"/>
        </w:rPr>
        <w:t>和调整预算数</w:t>
      </w:r>
      <w:r>
        <w:rPr>
          <w:rFonts w:ascii="仿宋" w:hAnsi="仿宋" w:eastAsia="仿宋"/>
          <w:color w:val="000000"/>
          <w:sz w:val="28"/>
          <w:szCs w:val="28"/>
        </w:rPr>
        <w:t>&lt;</w:t>
      </w:r>
      <w:r>
        <w:rPr>
          <w:rFonts w:hint="eastAsia" w:ascii="仿宋" w:hAnsi="仿宋" w:eastAsia="仿宋"/>
          <w:color w:val="000000"/>
          <w:sz w:val="28"/>
          <w:szCs w:val="28"/>
        </w:rPr>
        <w:t>项级</w:t>
      </w:r>
      <w:r>
        <w:rPr>
          <w:rFonts w:ascii="仿宋" w:hAnsi="仿宋" w:eastAsia="仿宋"/>
          <w:color w:val="000000"/>
          <w:sz w:val="28"/>
          <w:szCs w:val="28"/>
        </w:rPr>
        <w:t>&gt;</w:t>
      </w:r>
      <w:r>
        <w:rPr>
          <w:rFonts w:hint="eastAsia" w:ascii="仿宋" w:hAnsi="仿宋" w:eastAsia="仿宋"/>
          <w:color w:val="000000"/>
          <w:sz w:val="28"/>
          <w:szCs w:val="28"/>
        </w:rPr>
        <w:t>比较，与预算数持平可以不写原因。）</w:t>
      </w:r>
    </w:p>
    <w:p>
      <w:pPr>
        <w:snapToGrid w:val="0"/>
        <w:spacing w:line="360" w:lineRule="auto"/>
        <w:ind w:firstLine="560" w:firstLineChars="200"/>
        <w:rPr>
          <w:rStyle w:val="26"/>
          <w:b w:val="0"/>
          <w:bCs w:val="0"/>
          <w:sz w:val="28"/>
          <w:szCs w:val="28"/>
        </w:rPr>
      </w:pPr>
      <w:r>
        <w:rPr>
          <w:rFonts w:hint="eastAsia" w:ascii="黑体" w:eastAsia="黑体"/>
          <w:sz w:val="28"/>
          <w:szCs w:val="28"/>
        </w:rPr>
        <w:t>六、</w:t>
      </w:r>
      <w:r>
        <w:rPr>
          <w:rFonts w:hint="eastAsia" w:ascii="黑体" w:hAnsi="黑体" w:eastAsia="黑体"/>
          <w:sz w:val="28"/>
          <w:szCs w:val="28"/>
        </w:rPr>
        <w:t>一</w:t>
      </w:r>
      <w:r>
        <w:rPr>
          <w:rStyle w:val="26"/>
          <w:rFonts w:hint="eastAsia" w:ascii="黑体" w:hAnsi="黑体" w:eastAsia="黑体"/>
          <w:b w:val="0"/>
          <w:bCs w:val="0"/>
          <w:sz w:val="28"/>
          <w:szCs w:val="28"/>
        </w:rPr>
        <w:t>般公共预算财政拨款基本支出决算情况说明</w:t>
      </w:r>
      <w:bookmarkEnd w:id="40"/>
      <w:r>
        <w:rPr>
          <w:rStyle w:val="26"/>
          <w:rFonts w:ascii="黑体" w:hAnsi="黑体" w:eastAsia="黑体"/>
          <w:b w:val="0"/>
          <w:bCs w:val="0"/>
          <w:sz w:val="28"/>
          <w:szCs w:val="28"/>
        </w:rPr>
        <w:tab/>
      </w:r>
    </w:p>
    <w:p>
      <w:pPr>
        <w:snapToGrid w:val="0"/>
        <w:spacing w:line="540" w:lineRule="exact"/>
        <w:ind w:firstLine="560" w:firstLineChars="200"/>
        <w:rPr>
          <w:rFonts w:ascii="仿宋" w:hAnsi="仿宋" w:eastAsia="仿宋"/>
          <w:color w:val="000000"/>
          <w:sz w:val="28"/>
          <w:szCs w:val="28"/>
        </w:rPr>
      </w:pPr>
      <w:bookmarkStart w:id="41" w:name="_Toc19089870"/>
      <w:bookmarkStart w:id="42" w:name="_Toc15377215"/>
      <w:r>
        <w:rPr>
          <w:rFonts w:ascii="仿宋" w:hAnsi="仿宋" w:eastAsia="仿宋"/>
          <w:color w:val="000000"/>
          <w:sz w:val="28"/>
          <w:szCs w:val="28"/>
        </w:rPr>
        <w:t>2020</w:t>
      </w:r>
      <w:r>
        <w:rPr>
          <w:rFonts w:hint="eastAsia" w:ascii="仿宋" w:hAnsi="仿宋" w:eastAsia="仿宋"/>
          <w:color w:val="000000"/>
          <w:sz w:val="28"/>
          <w:szCs w:val="28"/>
        </w:rPr>
        <w:t>年一般公共预算财政拨款基本支出116.10万元，其中：</w:t>
      </w:r>
    </w:p>
    <w:p>
      <w:pPr>
        <w:snapToGrid w:val="0"/>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人员经费91.90万元，主要包括：基本工资26万元、津贴补贴2.67万元、绩效工资18.74万元、机关事业单位基本养老保险缴费11.42万元其他社会保障缴费1.97万元、其他工资福利支出15.83万元、职工基本医疗保险缴费9.85万元、住房公积金5.42万元。</w:t>
      </w:r>
    </w:p>
    <w:p>
      <w:pPr>
        <w:snapToGrid w:val="0"/>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日常公用经费24.20万元，主要包括：办公费5.67万元、水费0.33万元、电费0.76万元、邮电费0.15万元、差旅费0.22万元、维修（护）费0.78万元、培训费1.20万元、劳务费13.20万元、工会经费0.47万元、福利费1.42万元。</w:t>
      </w:r>
    </w:p>
    <w:p>
      <w:pPr>
        <w:snapToGrid w:val="0"/>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（注：数据来源于财决</w:t>
      </w:r>
      <w:r>
        <w:rPr>
          <w:rFonts w:ascii="仿宋" w:hAnsi="仿宋" w:eastAsia="仿宋"/>
          <w:color w:val="000000"/>
          <w:sz w:val="28"/>
          <w:szCs w:val="28"/>
        </w:rPr>
        <w:t>07</w:t>
      </w:r>
      <w:r>
        <w:rPr>
          <w:rFonts w:hint="eastAsia" w:ascii="仿宋" w:hAnsi="仿宋" w:eastAsia="仿宋"/>
          <w:color w:val="000000"/>
          <w:sz w:val="28"/>
          <w:szCs w:val="28"/>
        </w:rPr>
        <w:t>表，根据本部门实际支出情况罗列全部经济分类科目。）</w:t>
      </w:r>
    </w:p>
    <w:p>
      <w:pPr>
        <w:snapToGrid w:val="0"/>
        <w:spacing w:line="360" w:lineRule="auto"/>
        <w:ind w:firstLine="560" w:firstLineChars="200"/>
        <w:outlineLvl w:val="1"/>
        <w:rPr>
          <w:rStyle w:val="26"/>
          <w:rFonts w:ascii="黑体" w:hAnsi="黑体" w:eastAsia="黑体"/>
          <w:b w:val="0"/>
          <w:bCs w:val="0"/>
          <w:sz w:val="28"/>
          <w:szCs w:val="28"/>
        </w:rPr>
      </w:pPr>
      <w:r>
        <w:rPr>
          <w:rFonts w:hint="eastAsia" w:ascii="黑体" w:eastAsia="黑体"/>
          <w:sz w:val="28"/>
          <w:szCs w:val="28"/>
        </w:rPr>
        <w:t>七、</w:t>
      </w:r>
      <w:r>
        <w:rPr>
          <w:rStyle w:val="26"/>
          <w:rFonts w:hint="eastAsia" w:ascii="黑体" w:hAnsi="黑体" w:eastAsia="黑体"/>
          <w:b w:val="0"/>
          <w:bCs w:val="0"/>
          <w:sz w:val="28"/>
          <w:szCs w:val="28"/>
        </w:rPr>
        <w:t>“三公”经费财政拨款支出决算情况说明</w:t>
      </w:r>
      <w:bookmarkEnd w:id="41"/>
      <w:bookmarkEnd w:id="42"/>
    </w:p>
    <w:p>
      <w:pPr>
        <w:snapToGrid w:val="0"/>
        <w:spacing w:line="540" w:lineRule="exact"/>
        <w:ind w:firstLine="560" w:firstLineChars="200"/>
        <w:outlineLvl w:val="2"/>
        <w:rPr>
          <w:rFonts w:ascii="楷体" w:hAnsi="楷体" w:eastAsia="楷体" w:cs="楷体"/>
          <w:color w:val="000000"/>
          <w:sz w:val="28"/>
          <w:szCs w:val="28"/>
        </w:rPr>
      </w:pPr>
      <w:bookmarkStart w:id="43" w:name="_Toc15377216"/>
      <w:bookmarkStart w:id="44" w:name="_Toc19089871"/>
      <w:bookmarkStart w:id="45" w:name="_Toc15377218"/>
      <w:r>
        <w:rPr>
          <w:rFonts w:hint="eastAsia" w:ascii="楷体" w:hAnsi="楷体" w:eastAsia="楷体" w:cs="楷体"/>
          <w:color w:val="000000"/>
          <w:sz w:val="28"/>
          <w:szCs w:val="28"/>
        </w:rPr>
        <w:t>（一）“三公”经费财政拨款支出决算总体情况说明</w:t>
      </w:r>
      <w:bookmarkEnd w:id="43"/>
    </w:p>
    <w:p>
      <w:pPr>
        <w:snapToGrid w:val="0"/>
        <w:spacing w:line="540" w:lineRule="exact"/>
        <w:ind w:firstLine="560" w:firstLineChars="200"/>
        <w:rPr>
          <w:rFonts w:ascii="仿宋" w:hAnsi="仿宋" w:eastAsia="仿宋"/>
          <w:color w:val="000000"/>
          <w:sz w:val="28"/>
          <w:szCs w:val="28"/>
        </w:rPr>
      </w:pPr>
      <w:r>
        <w:rPr>
          <w:rFonts w:ascii="仿宋" w:hAnsi="仿宋" w:eastAsia="仿宋"/>
          <w:color w:val="000000"/>
          <w:sz w:val="28"/>
          <w:szCs w:val="28"/>
        </w:rPr>
        <w:t>2020</w:t>
      </w:r>
      <w:r>
        <w:rPr>
          <w:rFonts w:hint="eastAsia" w:ascii="仿宋" w:hAnsi="仿宋" w:eastAsia="仿宋"/>
          <w:color w:val="000000"/>
          <w:sz w:val="28"/>
          <w:szCs w:val="28"/>
        </w:rPr>
        <w:t>年“三公”经费财政拨款支出决算为0万元。</w:t>
      </w:r>
    </w:p>
    <w:p>
      <w:pPr>
        <w:snapToGrid w:val="0"/>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（注：上述“预算”口径为调整预算数，包括政府性基金支出决算情况。）</w:t>
      </w:r>
    </w:p>
    <w:p>
      <w:pPr>
        <w:snapToGrid w:val="0"/>
        <w:spacing w:line="540" w:lineRule="exact"/>
        <w:ind w:firstLine="560" w:firstLineChars="200"/>
        <w:outlineLvl w:val="2"/>
        <w:rPr>
          <w:rFonts w:ascii="楷体" w:hAnsi="楷体" w:eastAsia="楷体" w:cs="楷体"/>
          <w:color w:val="000000"/>
          <w:sz w:val="28"/>
          <w:szCs w:val="28"/>
        </w:rPr>
      </w:pPr>
      <w:bookmarkStart w:id="46" w:name="_Toc15377217"/>
      <w:r>
        <w:rPr>
          <w:rFonts w:hint="eastAsia" w:ascii="楷体" w:hAnsi="楷体" w:eastAsia="楷体" w:cs="楷体"/>
          <w:color w:val="000000"/>
          <w:sz w:val="28"/>
          <w:szCs w:val="28"/>
        </w:rPr>
        <w:t>（二）“三公”经费财政拨款支出决算具体情况说明</w:t>
      </w:r>
      <w:bookmarkEnd w:id="46"/>
    </w:p>
    <w:p>
      <w:pPr>
        <w:snapToGrid w:val="0"/>
        <w:spacing w:line="540" w:lineRule="exact"/>
        <w:ind w:firstLine="560" w:firstLineChars="200"/>
        <w:rPr>
          <w:rFonts w:ascii="黑体" w:eastAsia="黑体"/>
          <w:color w:val="000000"/>
          <w:sz w:val="28"/>
          <w:szCs w:val="28"/>
        </w:rPr>
      </w:pPr>
      <w:r>
        <w:rPr>
          <w:rFonts w:ascii="仿宋" w:hAnsi="仿宋" w:eastAsia="仿宋"/>
          <w:color w:val="000000"/>
          <w:sz w:val="28"/>
          <w:szCs w:val="28"/>
        </w:rPr>
        <w:t>2020</w:t>
      </w:r>
      <w:r>
        <w:rPr>
          <w:rFonts w:hint="eastAsia" w:ascii="仿宋" w:hAnsi="仿宋" w:eastAsia="仿宋"/>
          <w:color w:val="000000"/>
          <w:sz w:val="28"/>
          <w:szCs w:val="28"/>
        </w:rPr>
        <w:t>年“三公”经费财政拨款支出决算中，因公出国（境）费支出决算0万元，占0.00%；公务用车购置及运行维护费支出决算0万元，占0.00%；公务接待费支出决算0万元，占0.00%。</w:t>
      </w:r>
    </w:p>
    <w:p>
      <w:pPr>
        <w:snapToGrid w:val="0"/>
        <w:spacing w:line="360" w:lineRule="auto"/>
        <w:ind w:firstLine="560" w:firstLineChars="200"/>
        <w:outlineLvl w:val="1"/>
        <w:rPr>
          <w:rStyle w:val="26"/>
          <w:rFonts w:ascii="黑体" w:hAnsi="黑体" w:eastAsia="黑体"/>
          <w:b w:val="0"/>
          <w:bCs w:val="0"/>
          <w:sz w:val="28"/>
          <w:szCs w:val="28"/>
        </w:rPr>
      </w:pPr>
      <w:r>
        <w:rPr>
          <w:rFonts w:hint="eastAsia" w:ascii="黑体" w:eastAsia="黑体"/>
          <w:sz w:val="28"/>
          <w:szCs w:val="28"/>
        </w:rPr>
        <w:t>八、</w:t>
      </w:r>
      <w:r>
        <w:rPr>
          <w:rStyle w:val="26"/>
          <w:rFonts w:hint="eastAsia" w:ascii="黑体" w:hAnsi="黑体" w:eastAsia="黑体"/>
          <w:b w:val="0"/>
          <w:bCs w:val="0"/>
          <w:sz w:val="28"/>
          <w:szCs w:val="28"/>
        </w:rPr>
        <w:t>政府性基金预算支出决算情况说明</w:t>
      </w:r>
      <w:bookmarkEnd w:id="44"/>
      <w:bookmarkEnd w:id="45"/>
    </w:p>
    <w:p>
      <w:pPr>
        <w:snapToGrid w:val="0"/>
        <w:spacing w:line="360" w:lineRule="auto"/>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20年政府性基金预算拨款支出0.00万元。</w:t>
      </w:r>
    </w:p>
    <w:p>
      <w:pPr>
        <w:numPr>
          <w:ilvl w:val="0"/>
          <w:numId w:val="2"/>
        </w:numPr>
        <w:snapToGrid w:val="0"/>
        <w:spacing w:line="360" w:lineRule="auto"/>
        <w:ind w:firstLine="560" w:firstLineChars="200"/>
        <w:outlineLvl w:val="1"/>
        <w:rPr>
          <w:rStyle w:val="26"/>
          <w:rFonts w:ascii="黑体" w:hAnsi="黑体" w:eastAsia="黑体"/>
          <w:b w:val="0"/>
          <w:bCs w:val="0"/>
          <w:sz w:val="28"/>
          <w:szCs w:val="28"/>
        </w:rPr>
      </w:pPr>
      <w:bookmarkStart w:id="47" w:name="_Toc19089872"/>
      <w:bookmarkStart w:id="48" w:name="_Toc15377219"/>
      <w:r>
        <w:rPr>
          <w:rStyle w:val="26"/>
          <w:rFonts w:hint="eastAsia" w:ascii="黑体" w:hAnsi="黑体" w:eastAsia="黑体"/>
          <w:b w:val="0"/>
          <w:bCs w:val="0"/>
          <w:sz w:val="28"/>
          <w:szCs w:val="28"/>
        </w:rPr>
        <w:t>国有资本经营预算支出决算情况说明</w:t>
      </w:r>
      <w:bookmarkEnd w:id="47"/>
      <w:bookmarkEnd w:id="48"/>
    </w:p>
    <w:p>
      <w:pPr>
        <w:snapToGrid w:val="0"/>
        <w:spacing w:line="360" w:lineRule="auto"/>
        <w:ind w:firstLine="560" w:firstLineChars="200"/>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20年国有资本经营预算拨款支出0.00万元。</w:t>
      </w:r>
    </w:p>
    <w:p>
      <w:pPr>
        <w:pStyle w:val="24"/>
        <w:numPr>
          <w:ilvl w:val="0"/>
          <w:numId w:val="3"/>
        </w:numPr>
        <w:snapToGrid w:val="0"/>
        <w:spacing w:line="360" w:lineRule="auto"/>
        <w:ind w:left="0" w:firstLine="560"/>
        <w:rPr>
          <w:rStyle w:val="26"/>
          <w:rFonts w:ascii="黑体" w:hAnsi="黑体" w:eastAsia="黑体"/>
          <w:b w:val="0"/>
          <w:bCs w:val="0"/>
          <w:sz w:val="28"/>
          <w:szCs w:val="28"/>
        </w:rPr>
      </w:pPr>
      <w:bookmarkStart w:id="49" w:name="_Toc19089873"/>
      <w:r>
        <w:rPr>
          <w:rStyle w:val="26"/>
          <w:rFonts w:hint="eastAsia" w:ascii="黑体" w:hAnsi="黑体" w:eastAsia="黑体"/>
          <w:b w:val="0"/>
          <w:bCs w:val="0"/>
          <w:sz w:val="28"/>
          <w:szCs w:val="28"/>
        </w:rPr>
        <w:t>预算绩效情况说明</w:t>
      </w:r>
      <w:bookmarkEnd w:id="49"/>
    </w:p>
    <w:p>
      <w:pPr>
        <w:snapToGrid w:val="0"/>
        <w:spacing w:line="360" w:lineRule="auto"/>
        <w:ind w:firstLine="560" w:firstLineChars="200"/>
        <w:outlineLvl w:val="2"/>
        <w:rPr>
          <w:rFonts w:ascii="楷体" w:hAnsi="楷体" w:eastAsia="楷体" w:cs="楷体"/>
          <w:sz w:val="28"/>
          <w:szCs w:val="28"/>
        </w:rPr>
      </w:pPr>
      <w:r>
        <w:rPr>
          <w:rFonts w:hint="eastAsia" w:ascii="楷体" w:hAnsi="楷体" w:eastAsia="楷体" w:cs="楷体"/>
          <w:sz w:val="28"/>
          <w:szCs w:val="28"/>
        </w:rPr>
        <w:t>（一）预算绩效管理工作开展情况</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按要求对2020年部门整体支出开展绩效自评，从评价情况来看本单位整体支出绩效评价自评结果良好，全年基本支出保障了部分的正常运行和日常工作的正常开展，项目支出保障了重点工作的开展，各项支出均达到了预期的绩效管理目标。</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存在的问题：一是绩效评价管理工作制度建设有待进一步加强，绩效管理缺乏系统性；二是缺乏绩效评价专业人才，系统现有评价工作人员的知识体系和业务技能还需进一步提高，以适应绩效评价工作相关要求。</w:t>
      </w:r>
    </w:p>
    <w:p>
      <w:pPr>
        <w:snapToGrid w:val="0"/>
        <w:spacing w:line="360" w:lineRule="auto"/>
        <w:ind w:firstLine="560" w:firstLineChars="200"/>
        <w:rPr>
          <w:rFonts w:ascii="华文仿宋" w:hAnsi="华文仿宋" w:eastAsia="华文仿宋"/>
          <w:sz w:val="28"/>
          <w:szCs w:val="28"/>
        </w:rPr>
      </w:pPr>
      <w:r>
        <w:rPr>
          <w:rFonts w:hint="eastAsia" w:ascii="仿宋" w:hAnsi="仿宋" w:eastAsia="仿宋"/>
          <w:sz w:val="28"/>
          <w:szCs w:val="28"/>
        </w:rPr>
        <w:t>下一步改进措施：一是进一步加强绩效评价管理制度建设；二是建立有效的绩效管理体系；三是强化绩效管理数据分析，强化绩效管理数据运用；四是强化绩效评价专业技能的培训；五是探索与预算编制相结合的财政绩效管理，奖绩效评价逐步从事后评价延伸至事前、事中评价</w:t>
      </w:r>
      <w:r>
        <w:rPr>
          <w:rFonts w:hint="eastAsia" w:ascii="华文仿宋" w:hAnsi="华文仿宋" w:eastAsia="华文仿宋"/>
          <w:sz w:val="28"/>
          <w:szCs w:val="28"/>
        </w:rPr>
        <w:t>。</w:t>
      </w:r>
    </w:p>
    <w:p>
      <w:pPr>
        <w:snapToGrid w:val="0"/>
        <w:spacing w:line="360" w:lineRule="auto"/>
        <w:ind w:firstLine="560" w:firstLineChars="200"/>
        <w:outlineLvl w:val="2"/>
        <w:rPr>
          <w:rFonts w:ascii="仿宋" w:hAnsi="仿宋" w:eastAsia="仿宋"/>
          <w:sz w:val="28"/>
          <w:szCs w:val="28"/>
        </w:rPr>
      </w:pPr>
      <w:r>
        <w:rPr>
          <w:rFonts w:hint="eastAsia" w:ascii="楷体" w:hAnsi="楷体" w:eastAsia="楷体" w:cs="楷体"/>
          <w:sz w:val="28"/>
          <w:szCs w:val="28"/>
        </w:rPr>
        <w:t>（二）项目绩效目标完成情况</w:t>
      </w:r>
      <w:r>
        <w:rPr>
          <w:rFonts w:hint="eastAsia" w:ascii="楷体" w:hAnsi="楷体" w:eastAsia="楷体" w:cs="楷体"/>
          <w:sz w:val="28"/>
          <w:szCs w:val="28"/>
        </w:rPr>
        <w:br w:type="textWrapping"/>
      </w:r>
      <w:r>
        <w:rPr>
          <w:rFonts w:hint="eastAsia" w:ascii="仿宋_GB2312" w:hAnsi="仿宋_GB2312" w:eastAsia="仿宋_GB2312" w:cs="仿宋_GB2312"/>
          <w:sz w:val="28"/>
          <w:szCs w:val="28"/>
        </w:rPr>
        <w:t xml:space="preserve">    </w:t>
      </w:r>
      <w:r>
        <w:rPr>
          <w:rFonts w:hint="eastAsia" w:ascii="仿宋" w:hAnsi="仿宋" w:eastAsia="仿宋"/>
          <w:sz w:val="28"/>
          <w:szCs w:val="28"/>
        </w:rPr>
        <w:t>学前教育免保教费项目绩效目标完成情况综述。项目全年预算数12.71万元，执行数为12.71万元，完成预算的100%。通过项目实施，贯彻落实了学前教育免保教费的资助政策，进一步减轻了贫困家庭子女教育的经济负担，确保幼儿顺利完成入园。发现的主要问题：政策知晓率不够，幼儿受助账户信息不完整。下一步改进措施：要求教师进一步加强政策宣传，力争政策知晓率达到100%。幼儿受助账户统一使用幼儿本人社保卡发放。</w:t>
      </w:r>
    </w:p>
    <w:p>
      <w:pPr>
        <w:snapToGrid w:val="0"/>
        <w:spacing w:line="360" w:lineRule="auto"/>
        <w:ind w:firstLine="560" w:firstLineChars="200"/>
        <w:outlineLvl w:val="2"/>
        <w:rPr>
          <w:rFonts w:ascii="楷体" w:hAnsi="楷体" w:eastAsia="楷体" w:cs="楷体"/>
          <w:sz w:val="28"/>
          <w:szCs w:val="28"/>
        </w:rPr>
      </w:pPr>
      <w:r>
        <w:rPr>
          <w:rFonts w:hint="eastAsia" w:ascii="楷体" w:hAnsi="楷体" w:eastAsia="楷体" w:cs="楷体"/>
          <w:sz w:val="28"/>
          <w:szCs w:val="28"/>
        </w:rPr>
        <w:t>（三）单位开展绩效评价结果。</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本单位按要求对2020年单位整体支出绩效评价情况开展自评，《广元市利州区三堆国凡幼儿园2020年部门整体支出绩效评价报告》见附件。</w:t>
      </w:r>
    </w:p>
    <w:p>
      <w:pPr>
        <w:snapToGrid w:val="0"/>
        <w:spacing w:line="360" w:lineRule="auto"/>
        <w:ind w:firstLine="560" w:firstLineChars="200"/>
        <w:outlineLvl w:val="1"/>
        <w:rPr>
          <w:rStyle w:val="26"/>
          <w:rFonts w:ascii="黑体" w:hAnsi="黑体" w:eastAsia="黑体"/>
          <w:b w:val="0"/>
          <w:bCs w:val="0"/>
          <w:color w:val="000000" w:themeColor="text1"/>
          <w:sz w:val="28"/>
          <w:szCs w:val="28"/>
          <w14:textFill>
            <w14:solidFill>
              <w14:schemeClr w14:val="tx1"/>
            </w14:solidFill>
          </w14:textFill>
        </w:rPr>
      </w:pPr>
      <w:bookmarkStart w:id="50" w:name="_Toc19089874"/>
      <w:bookmarkStart w:id="51" w:name="_Toc15377221"/>
      <w:r>
        <w:rPr>
          <w:rFonts w:hint="eastAsia" w:ascii="黑体" w:hAnsi="黑体" w:eastAsia="黑体"/>
          <w:color w:val="000000" w:themeColor="text1"/>
          <w:sz w:val="28"/>
          <w:szCs w:val="28"/>
          <w14:textFill>
            <w14:solidFill>
              <w14:schemeClr w14:val="tx1"/>
            </w14:solidFill>
          </w14:textFill>
        </w:rPr>
        <w:t>十</w:t>
      </w:r>
      <w:r>
        <w:rPr>
          <w:rStyle w:val="26"/>
          <w:rFonts w:hint="eastAsia" w:ascii="黑体" w:hAnsi="黑体" w:eastAsia="黑体"/>
          <w:b w:val="0"/>
          <w:bCs w:val="0"/>
          <w:color w:val="000000" w:themeColor="text1"/>
          <w:sz w:val="28"/>
          <w:szCs w:val="28"/>
          <w14:textFill>
            <w14:solidFill>
              <w14:schemeClr w14:val="tx1"/>
            </w14:solidFill>
          </w14:textFill>
        </w:rPr>
        <w:t>一、其他重要事项的情况说明</w:t>
      </w:r>
      <w:bookmarkEnd w:id="50"/>
      <w:bookmarkEnd w:id="51"/>
    </w:p>
    <w:p>
      <w:pPr>
        <w:snapToGrid w:val="0"/>
        <w:spacing w:line="540" w:lineRule="exact"/>
        <w:ind w:firstLine="560" w:firstLineChars="200"/>
        <w:outlineLvl w:val="2"/>
        <w:rPr>
          <w:rFonts w:ascii="楷体" w:hAnsi="楷体" w:eastAsia="楷体" w:cs="楷体"/>
          <w:color w:val="000000"/>
          <w:sz w:val="28"/>
          <w:szCs w:val="28"/>
        </w:rPr>
      </w:pPr>
      <w:bookmarkStart w:id="52" w:name="_Toc15377222"/>
      <w:bookmarkStart w:id="53" w:name="_Toc19089875"/>
      <w:bookmarkStart w:id="54" w:name="_Toc15377225"/>
      <w:r>
        <w:rPr>
          <w:rFonts w:hint="eastAsia" w:ascii="楷体" w:hAnsi="楷体" w:eastAsia="楷体" w:cs="楷体"/>
          <w:color w:val="000000"/>
          <w:sz w:val="28"/>
          <w:szCs w:val="28"/>
        </w:rPr>
        <w:t>（一）机关运行经费支出情况</w:t>
      </w:r>
      <w:bookmarkEnd w:id="52"/>
    </w:p>
    <w:p>
      <w:pPr>
        <w:snapToGrid w:val="0"/>
        <w:spacing w:line="540" w:lineRule="exact"/>
        <w:ind w:firstLine="560" w:firstLineChars="200"/>
        <w:rPr>
          <w:rFonts w:ascii="仿宋_GB2312" w:eastAsia="仿宋_GB2312"/>
          <w:color w:val="000000"/>
          <w:sz w:val="28"/>
          <w:szCs w:val="28"/>
        </w:rPr>
      </w:pPr>
      <w:r>
        <w:rPr>
          <w:rFonts w:ascii="仿宋_GB2312" w:eastAsia="仿宋_GB2312"/>
          <w:color w:val="000000"/>
          <w:sz w:val="28"/>
          <w:szCs w:val="28"/>
        </w:rPr>
        <w:t>2020</w:t>
      </w:r>
      <w:r>
        <w:rPr>
          <w:rFonts w:hint="eastAsia" w:ascii="仿宋_GB2312" w:eastAsia="仿宋_GB2312"/>
          <w:color w:val="000000"/>
          <w:sz w:val="28"/>
          <w:szCs w:val="28"/>
        </w:rPr>
        <w:t>年，本单位机关运行经费支出0万元。</w:t>
      </w:r>
    </w:p>
    <w:p>
      <w:pPr>
        <w:snapToGrid w:val="0"/>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（注：数据来源于财决CS05表）</w:t>
      </w:r>
    </w:p>
    <w:p>
      <w:pPr>
        <w:snapToGrid w:val="0"/>
        <w:spacing w:line="540" w:lineRule="exact"/>
        <w:ind w:firstLine="560" w:firstLineChars="200"/>
        <w:outlineLvl w:val="2"/>
        <w:rPr>
          <w:rFonts w:ascii="楷体" w:hAnsi="楷体" w:eastAsia="楷体" w:cs="楷体"/>
          <w:color w:val="000000"/>
          <w:sz w:val="28"/>
          <w:szCs w:val="28"/>
        </w:rPr>
      </w:pPr>
      <w:bookmarkStart w:id="55" w:name="_Toc15377223"/>
      <w:r>
        <w:rPr>
          <w:rFonts w:hint="eastAsia" w:ascii="楷体" w:hAnsi="楷体" w:eastAsia="楷体" w:cs="楷体"/>
          <w:color w:val="000000"/>
          <w:sz w:val="28"/>
          <w:szCs w:val="28"/>
        </w:rPr>
        <w:t>（二）政府采购支出情况</w:t>
      </w:r>
      <w:bookmarkEnd w:id="55"/>
    </w:p>
    <w:p>
      <w:pPr>
        <w:snapToGrid w:val="0"/>
        <w:spacing w:line="5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2020年，本单位采购支出总额0.00万元，其中：政府</w:t>
      </w:r>
      <w:r>
        <w:rPr>
          <w:rFonts w:hint="eastAsia" w:ascii="仿宋_GB2312" w:eastAsiaTheme="minorEastAsia"/>
          <w:color w:val="000000"/>
          <w:sz w:val="28"/>
          <w:szCs w:val="28"/>
        </w:rPr>
        <w:t>采购货物</w:t>
      </w:r>
      <w:r>
        <w:rPr>
          <w:rFonts w:ascii="仿宋_GB2312" w:eastAsiaTheme="minorEastAsia"/>
          <w:color w:val="000000"/>
          <w:sz w:val="28"/>
          <w:szCs w:val="28"/>
        </w:rPr>
        <w:t>支出</w:t>
      </w:r>
      <w:r>
        <w:rPr>
          <w:rFonts w:hint="eastAsia" w:ascii="仿宋_GB2312" w:eastAsia="仿宋_GB2312"/>
          <w:color w:val="000000"/>
          <w:sz w:val="28"/>
          <w:szCs w:val="28"/>
        </w:rPr>
        <w:t>0.00万元、政府采购工程支出0.00万元、政府采购服务支出0.00万元。</w:t>
      </w:r>
    </w:p>
    <w:p>
      <w:pPr>
        <w:snapToGrid w:val="0"/>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（注：数据来源于财决CS06表）</w:t>
      </w:r>
    </w:p>
    <w:p>
      <w:pPr>
        <w:snapToGrid w:val="0"/>
        <w:spacing w:line="540" w:lineRule="exact"/>
        <w:ind w:firstLine="560" w:firstLineChars="200"/>
        <w:outlineLvl w:val="2"/>
        <w:rPr>
          <w:rFonts w:ascii="楷体" w:hAnsi="楷体" w:eastAsia="楷体" w:cs="楷体"/>
          <w:color w:val="000000"/>
          <w:sz w:val="28"/>
          <w:szCs w:val="28"/>
        </w:rPr>
      </w:pPr>
      <w:bookmarkStart w:id="56" w:name="_Toc15377224"/>
      <w:r>
        <w:rPr>
          <w:rFonts w:hint="eastAsia" w:ascii="楷体" w:hAnsi="楷体" w:eastAsia="楷体" w:cs="楷体"/>
          <w:color w:val="000000"/>
          <w:sz w:val="28"/>
          <w:szCs w:val="28"/>
        </w:rPr>
        <w:t>（三）国有资产占有使用情况</w:t>
      </w:r>
      <w:bookmarkEnd w:id="56"/>
    </w:p>
    <w:p>
      <w:pPr>
        <w:autoSpaceDE w:val="0"/>
        <w:autoSpaceDN w:val="0"/>
        <w:adjustRightInd w:val="0"/>
        <w:snapToGrid w:val="0"/>
        <w:spacing w:line="5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截至2020年12月31日，本单位共有车辆0辆，单价50万元以上通用</w:t>
      </w:r>
      <w:r>
        <w:rPr>
          <w:rFonts w:hint="eastAsia" w:ascii="仿宋_GB2312" w:eastAsiaTheme="minorEastAsia"/>
          <w:color w:val="000000"/>
          <w:sz w:val="28"/>
          <w:szCs w:val="28"/>
        </w:rPr>
        <w:t>设备</w:t>
      </w:r>
      <w:r>
        <w:rPr>
          <w:rFonts w:hint="eastAsia" w:ascii="仿宋_GB2312" w:eastAsia="仿宋_GB2312"/>
          <w:color w:val="000000"/>
          <w:sz w:val="28"/>
          <w:szCs w:val="28"/>
        </w:rPr>
        <w:t>0台（套），单价100万元以上</w:t>
      </w:r>
      <w:r>
        <w:rPr>
          <w:rFonts w:hint="eastAsia" w:ascii="仿宋_GB2312" w:eastAsiaTheme="minorEastAsia"/>
          <w:color w:val="000000"/>
          <w:sz w:val="28"/>
          <w:szCs w:val="28"/>
        </w:rPr>
        <w:t>专用设备</w:t>
      </w:r>
      <w:r>
        <w:rPr>
          <w:rFonts w:hint="eastAsia" w:ascii="仿宋_GB2312" w:eastAsia="仿宋_GB2312"/>
          <w:color w:val="000000"/>
          <w:sz w:val="28"/>
          <w:szCs w:val="28"/>
        </w:rPr>
        <w:t>0台（套）。</w:t>
      </w:r>
    </w:p>
    <w:p>
      <w:pPr>
        <w:autoSpaceDE w:val="0"/>
        <w:autoSpaceDN w:val="0"/>
        <w:adjustRightInd w:val="0"/>
        <w:snapToGrid w:val="0"/>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（注：数据来源财决CS05表，按部门决算报表填报数据罗列车辆情况。）</w:t>
      </w:r>
    </w:p>
    <w:p>
      <w:pPr>
        <w:autoSpaceDE w:val="0"/>
        <w:autoSpaceDN w:val="0"/>
        <w:adjustRightInd w:val="0"/>
        <w:snapToGrid w:val="0"/>
        <w:spacing w:line="540" w:lineRule="exact"/>
        <w:ind w:firstLine="560" w:firstLineChars="200"/>
        <w:rPr>
          <w:rFonts w:ascii="仿宋" w:hAnsi="仿宋" w:eastAsia="仿宋"/>
          <w:color w:val="000000"/>
          <w:sz w:val="28"/>
          <w:szCs w:val="28"/>
        </w:rPr>
      </w:pPr>
    </w:p>
    <w:p>
      <w:pPr>
        <w:widowControl/>
        <w:jc w:val="left"/>
        <w:rPr>
          <w:rFonts w:ascii="仿宋" w:hAnsi="仿宋" w:eastAsia="仿宋"/>
          <w:color w:val="000000"/>
          <w:sz w:val="28"/>
          <w:szCs w:val="28"/>
        </w:rPr>
      </w:pPr>
      <w:r>
        <w:rPr>
          <w:rFonts w:ascii="仿宋" w:hAnsi="仿宋" w:eastAsia="仿宋"/>
          <w:color w:val="000000"/>
          <w:sz w:val="28"/>
          <w:szCs w:val="28"/>
        </w:rPr>
        <w:br w:type="page"/>
      </w:r>
    </w:p>
    <w:p>
      <w:pPr>
        <w:autoSpaceDE w:val="0"/>
        <w:autoSpaceDN w:val="0"/>
        <w:adjustRightInd w:val="0"/>
        <w:snapToGrid w:val="0"/>
        <w:spacing w:line="540" w:lineRule="exact"/>
        <w:ind w:firstLine="560" w:firstLineChars="200"/>
        <w:rPr>
          <w:rFonts w:ascii="仿宋" w:hAnsi="仿宋" w:eastAsia="仿宋"/>
          <w:color w:val="000000"/>
          <w:sz w:val="28"/>
          <w:szCs w:val="28"/>
        </w:rPr>
      </w:pPr>
    </w:p>
    <w:p>
      <w:pPr>
        <w:numPr>
          <w:ilvl w:val="0"/>
          <w:numId w:val="4"/>
        </w:numPr>
        <w:spacing w:line="600" w:lineRule="exact"/>
        <w:ind w:firstLine="660" w:firstLineChars="150"/>
        <w:jc w:val="center"/>
        <w:outlineLvl w:val="0"/>
        <w:rPr>
          <w:rFonts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sz w:val="44"/>
          <w:szCs w:val="44"/>
        </w:rPr>
        <w:t>名</w:t>
      </w:r>
      <w:r>
        <w:rPr>
          <w:rStyle w:val="25"/>
          <w:rFonts w:hint="eastAsia" w:ascii="方正小标宋简体" w:hAnsi="方正小标宋简体" w:eastAsia="方正小标宋简体" w:cs="方正小标宋简体"/>
          <w:b w:val="0"/>
        </w:rPr>
        <w:t>词解释</w:t>
      </w:r>
      <w:bookmarkEnd w:id="53"/>
      <w:bookmarkEnd w:id="54"/>
    </w:p>
    <w:p>
      <w:pPr>
        <w:tabs>
          <w:tab w:val="left" w:pos="312"/>
        </w:tabs>
        <w:snapToGrid w:val="0"/>
        <w:spacing w:line="500" w:lineRule="exact"/>
        <w:ind w:firstLine="560" w:firstLineChars="200"/>
        <w:rPr>
          <w:rFonts w:ascii="仿宋" w:hAnsi="仿宋" w:eastAsia="仿宋"/>
          <w:sz w:val="28"/>
          <w:szCs w:val="28"/>
        </w:rPr>
      </w:pPr>
      <w:bookmarkStart w:id="57" w:name="_Toc19089876"/>
      <w:bookmarkStart w:id="58" w:name="_Toc15377226"/>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1.财政拨款收入：指单位从同级财政部门取得的财政预算资金。</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2.事业收入：指事业单位开展专业业务活动及辅助活动取得的收入。</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3.经营收入：指事业单位在专业业务活动及其辅助活动之外开展非独立核算经营活动取得的收入。。</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4.其他收入：指单位取得的除上述收入以外的各项收入。主要是学前教育保育教育费收入、银行存款利息收入等。 </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6.年初结转和结余：指以前年度尚未完成、结转到本年按有关规定继续使用的资金。 </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7.结余分配：指事业单位按照事业单位会计制度的规定从非财政补助结余中分配的事业基金和职工福利基金等。</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8.年末结转和结余：指单位按有关规定结转到下年或以后年度继续使用的资金。</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9.教育支出（类）教育管理事务（款）行政运行（项）:反映教育行政单位（包括实行公务员管理的事业单位）的基本支出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10. 教育支出（类）教育管理事务（款）一般行政管理事务（项）:反映行政单位（包括实行公务员管理的事业单位）未单独设置项级科目的其它项目支出。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11. 教育支出（类）教育管理事务（款）其它教育管理事务支出（项）:反映除上述项目以外其它用户教育管理事务方面的支出。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12. 教育支出（类）普通教育（款）学前教育（项）:反映各部门举办的学前教育支出。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13. 教育支出（类）普通教育（款）小学教育（项）:反映各部门举办的小学教育支出。政府各部门对社会中介组织等举办的小学的资助，如各类捐赠、补贴等，也在本科目中反映。</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14. 教育支出（类）普通教育（款）初中教育（项）: 反映各部门举办的初中教育支出。政府各部门对社会中介组织等举办的初中教育的资助，如捐赠、补贴等，也在本科目中反映。</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15. 教育支出（类）普通教育（款）高中教育（项）: 反映各部门举办的高级中学教育支出。政府各部门对社会中介组织等举办的高级中学的资助，如捐赠、补贴等，也在本科目中反映。</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16. 教育支出（类）普通教育（款）其它普通教育（项）: 反映除上述项目以外其他用于普通教育方面的支出。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17. 教育支出（类）职业教育（款）职业高中教育（项）: 反映各部门举办的职业中学、农业中学（含普通高中改制的）、半工（农）半读中学的支出或补助费</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18. 教育支出（类）职业教育（款）高等职业教育（项）:反映经国家批准设立的高等职业大学、专科职业教育等方面的支出。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19. 教育支出（类）特殊教育（款）特殊学校教育（项）: 指各部门举办的盲童学校、聋哑学校、智力落后儿童学校、其它生理缺陷儿童学校的支出。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20. 教育支出（类）特殊教育（款）工读学校教育（项）:指各部门举办的工读学校的支出。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21. 教育支出（类）教育附加费安排的支出（款）农村中小学校舍建设（项）:反映教育附加费安排用于农村中小学校舍新建、改建、修缮和维护的支出。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22. 教育支出（类）教育附加费安排的支出（款）城市中小学校舍建设（项）: 反映教育附加费安排用于城市中小学校舍新建、改建、修缮和维护的支出。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23. 教育支出（类）教育附加费安排的支出（款）其它教育附加费安排的支出（项）: 指除上述项目以外的教育附加费支出。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24. 教育支出（类）其它教育支出（款）其他教育支出（项）: 指上述项目以外其他用于教育方面的支出。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25. 社会保障和就业支出（类）行政事业单位离退休（款）机关事业单位基本养老保险缴费支出（项）: 指机关事业单位实施养老保险制度由单位缴纳的基本养老保险费支出。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26. 社会保障和就业支出（类）行政事业单位离退休（款）机关事业单位职业年金缴费支出（项）: 指机关事业单位实施养老保险制度由单位实际缴纳的职业年金支出。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27. 社会保障和就业支出（类）抚恤（款）死亡抚恤（项）: 指按规定用于烈士和牺牲、病故人员家属的一次性和定期抚恤金以及丧葬补助费。</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30. 农林水支出（类）扶贫（款）其它扶贫支出（项）: 指除上述项目以外其他用于扶贫方面的支出。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31. 住房保障支出（类）住房改革支出（款）住房公积金（项）: 指行政事业单位按人力资源和社会保障部、财政部规定的基本工资和津贴补贴以及规定比例为职工缴纳的住房公积金。</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32. 其他支出（类）其他支出（款）其他支出（项）: 指上述项目以外其他不能划分到具体功能科目中的支出项目。</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33.基本支出：指为保障机构正常运转、完成日常工作任务而发生的人员支出和公用支出。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34.项目支出：指在基本支出之外为完成特定行政任务和事业发展目标所发生的支出。 </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35.经营支出：指事业单位在专业业务活动及其辅助活动之外开展非独立核算经营活动发生的支出。</w:t>
      </w:r>
    </w:p>
    <w:p>
      <w:pPr>
        <w:tabs>
          <w:tab w:val="left" w:pos="312"/>
        </w:tabs>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312"/>
        </w:tabs>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Style w:val="25"/>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5"/>
          <w:rFonts w:hint="eastAsia" w:ascii="方正小标宋简体" w:hAnsi="方正小标宋简体" w:eastAsia="方正小标宋简体" w:cs="方正小标宋简体"/>
          <w:b w:val="0"/>
        </w:rPr>
        <w:t>四部分 附件</w:t>
      </w:r>
      <w:bookmarkEnd w:id="57"/>
    </w:p>
    <w:p>
      <w:pPr>
        <w:widowControl/>
        <w:jc w:val="left"/>
        <w:rPr>
          <w:rFonts w:ascii="仿宋" w:hAnsi="仿宋" w:eastAsia="仿宋"/>
          <w:kern w:val="44"/>
          <w:sz w:val="28"/>
          <w:szCs w:val="28"/>
        </w:rPr>
      </w:pPr>
      <w:bookmarkStart w:id="59" w:name="_Toc19089877"/>
      <w:r>
        <w:rPr>
          <w:rFonts w:hint="eastAsia" w:ascii="仿宋" w:hAnsi="仿宋" w:eastAsia="仿宋"/>
          <w:kern w:val="44"/>
          <w:sz w:val="28"/>
          <w:szCs w:val="28"/>
        </w:rPr>
        <w:t>附件1</w:t>
      </w:r>
      <w:bookmarkEnd w:id="59"/>
    </w:p>
    <w:p>
      <w:pPr>
        <w:spacing w:line="600" w:lineRule="exact"/>
        <w:jc w:val="center"/>
        <w:rPr>
          <w:rFonts w:ascii="黑体" w:hAnsi="黑体" w:eastAsia="黑体" w:cs="黑体"/>
          <w:color w:val="000000"/>
          <w:kern w:val="0"/>
          <w:sz w:val="40"/>
          <w:szCs w:val="44"/>
        </w:rPr>
      </w:pPr>
      <w:bookmarkStart w:id="60" w:name="_Toc19089885"/>
      <w:r>
        <w:rPr>
          <w:rFonts w:hint="eastAsia" w:ascii="黑体" w:hAnsi="黑体" w:eastAsia="黑体" w:cs="黑体"/>
          <w:color w:val="000000"/>
          <w:kern w:val="0"/>
          <w:sz w:val="40"/>
          <w:szCs w:val="44"/>
        </w:rPr>
        <w:t>广元市利州区三堆国凡幼儿园</w:t>
      </w:r>
    </w:p>
    <w:p>
      <w:pPr>
        <w:spacing w:line="600" w:lineRule="exact"/>
        <w:jc w:val="center"/>
        <w:rPr>
          <w:rFonts w:ascii="黑体" w:hAnsi="黑体" w:eastAsia="黑体" w:cs="黑体"/>
          <w:color w:val="000000"/>
          <w:kern w:val="0"/>
          <w:sz w:val="40"/>
          <w:szCs w:val="44"/>
          <w:lang w:val="zh-CN"/>
        </w:rPr>
      </w:pPr>
      <w:r>
        <w:rPr>
          <w:rFonts w:hint="eastAsia" w:ascii="黑体" w:hAnsi="黑体" w:eastAsia="黑体" w:cs="黑体"/>
          <w:color w:val="000000"/>
          <w:kern w:val="0"/>
          <w:sz w:val="40"/>
          <w:szCs w:val="44"/>
        </w:rPr>
        <w:t>2020年部门</w:t>
      </w:r>
      <w:r>
        <w:rPr>
          <w:rFonts w:hint="eastAsia" w:ascii="黑体" w:hAnsi="黑体" w:eastAsia="黑体" w:cs="黑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00" w:lineRule="exact"/>
        <w:ind w:firstLine="560" w:firstLineChars="200"/>
        <w:contextualSpacing/>
        <w:rPr>
          <w:rFonts w:ascii="黑体" w:hAnsi="宋体" w:eastAsia="黑体" w:cs="宋体"/>
          <w:color w:val="000000"/>
          <w:kern w:val="0"/>
          <w:sz w:val="28"/>
          <w:szCs w:val="28"/>
          <w:shd w:val="clear" w:color="auto" w:fill="FFFFFF"/>
          <w:lang w:val="zh-CN"/>
        </w:rPr>
      </w:pPr>
      <w:r>
        <w:rPr>
          <w:rFonts w:hint="eastAsia" w:ascii="黑体" w:hAnsi="宋体" w:eastAsia="黑体" w:cs="宋体"/>
          <w:color w:val="000000"/>
          <w:kern w:val="0"/>
          <w:sz w:val="28"/>
          <w:szCs w:val="28"/>
          <w:shd w:val="clear" w:color="auto" w:fill="FFFFFF"/>
        </w:rPr>
        <w:t>一、</w:t>
      </w:r>
      <w:r>
        <w:rPr>
          <w:rFonts w:hint="eastAsia" w:ascii="黑体" w:hAnsi="宋体" w:eastAsia="黑体" w:cs="宋体"/>
          <w:color w:val="000000"/>
          <w:kern w:val="0"/>
          <w:sz w:val="28"/>
          <w:szCs w:val="28"/>
          <w:shd w:val="clear" w:color="auto" w:fill="FFFFFF"/>
          <w:lang w:val="zh-CN"/>
        </w:rPr>
        <w:t>部门（单位）概况</w:t>
      </w:r>
    </w:p>
    <w:p>
      <w:pPr>
        <w:widowControl/>
        <w:adjustRightInd w:val="0"/>
        <w:snapToGrid w:val="0"/>
        <w:spacing w:line="500" w:lineRule="exact"/>
        <w:ind w:firstLine="560" w:firstLineChars="200"/>
        <w:contextualSpacing/>
        <w:rPr>
          <w:rFonts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（一）机构组成</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我单位为广元市利州区教育局所属二级预算单位，内设部门4个（办公室、财务室、园务室、后勤处）。</w:t>
      </w:r>
    </w:p>
    <w:p>
      <w:pPr>
        <w:widowControl/>
        <w:adjustRightInd w:val="0"/>
        <w:snapToGrid w:val="0"/>
        <w:spacing w:line="500" w:lineRule="exact"/>
        <w:ind w:firstLine="560" w:firstLineChars="200"/>
        <w:contextualSpacing/>
        <w:rPr>
          <w:rFonts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（二）机构职能</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1.贯彻执行党和国家有关幼儿教育的方针、政策以及教育法规、规章，坚持正确的办园方向。</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2.执行上级的指示和决议；贯彻执行《幼儿教育纲要》和《幼儿园工作规程》，深化改革，强化管理，使各项工作程序化，规范化，制度化，不断提高保教水平。</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3.严格执行上级部门关于教育经费、教育拨款、教育基建的办法和方案；贯彻执行上级部门有关学生资助工作方针和政策，落实本园贫困家庭幼儿的资助工作。</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4.实行保育和教育相结合的原则，对幼儿实施体、智、德、美等方面全面发展的教育，促进其身心和谐发展。为家长解除后顾之忧，热忱为家长服务。</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5.严格执行幼儿园教师资格证书制度；统筹规划幼儿园教师和管理人员队伍建设；负责幼儿园全体教师的继续教育和培训工作，加强幼儿园人才队伍建设。</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6.严格执行幼儿园安全、卫生保健制度，保证幼儿身心健康和生命安全。充分利用幼儿和社区的资源优势，面向家长开展多种形式的早期教育宣传、指导等服务，促进家庭教育质量的不断提高。</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7.以《幼儿园教育指导纲要》、《幼儿园工作规程》、《3-6岁儿童学习与发展指南》为依据，结合幼儿的年龄特点、发展经验和需要制定适合幼儿身心健康发展的教育活动。</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8.尊重幼儿的人格尊严和基本权利，尊重幼儿身心发展的特点和规律，为幼儿提供健康、丰富的生活和活动环境。合理组织幼儿一日生活活动和其它活动，促进幼儿体智德美等和谐发展，全面实施素质教育。</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9.贯彻幼儿教育法规、传播科学教育理念、开展教育科学研究、培训师资，推动三堆片区学前教育的良性发展。</w:t>
      </w:r>
    </w:p>
    <w:p>
      <w:pPr>
        <w:widowControl/>
        <w:adjustRightInd w:val="0"/>
        <w:snapToGrid w:val="0"/>
        <w:spacing w:line="500" w:lineRule="exact"/>
        <w:ind w:firstLine="560" w:firstLineChars="200"/>
        <w:contextualSpacing/>
        <w:rPr>
          <w:rFonts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（三）人员概况</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广元市利州区三堆国凡幼儿园共有编制10名，其中行政编制0人，全额财政补助事业编制10人。截至20</w:t>
      </w:r>
      <w:r>
        <w:rPr>
          <w:rFonts w:hint="eastAsia" w:ascii="仿宋_GB2312" w:hAnsi="宋体" w:eastAsia="仿宋_GB2312" w:cs="宋体"/>
          <w:color w:val="000000"/>
          <w:kern w:val="0"/>
          <w:sz w:val="28"/>
          <w:szCs w:val="28"/>
          <w:shd w:val="clear" w:color="auto" w:fill="FFFFFF"/>
        </w:rPr>
        <w:t>20</w:t>
      </w:r>
      <w:r>
        <w:rPr>
          <w:rFonts w:hint="eastAsia" w:ascii="仿宋_GB2312" w:hAnsi="宋体" w:eastAsia="仿宋_GB2312" w:cs="宋体"/>
          <w:color w:val="000000"/>
          <w:kern w:val="0"/>
          <w:sz w:val="28"/>
          <w:szCs w:val="28"/>
          <w:shd w:val="clear" w:color="auto" w:fill="FFFFFF"/>
          <w:lang w:val="zh-CN"/>
        </w:rPr>
        <w:t>年末，实有在职人员</w:t>
      </w:r>
      <w:r>
        <w:rPr>
          <w:rFonts w:hint="eastAsia" w:ascii="仿宋_GB2312" w:hAnsi="宋体" w:eastAsia="仿宋_GB2312" w:cs="宋体"/>
          <w:color w:val="000000"/>
          <w:kern w:val="0"/>
          <w:sz w:val="28"/>
          <w:szCs w:val="28"/>
          <w:shd w:val="clear" w:color="auto" w:fill="FFFFFF"/>
        </w:rPr>
        <w:t>10</w:t>
      </w:r>
      <w:r>
        <w:rPr>
          <w:rFonts w:hint="eastAsia" w:ascii="仿宋_GB2312" w:hAnsi="宋体" w:eastAsia="仿宋_GB2312" w:cs="宋体"/>
          <w:color w:val="000000"/>
          <w:kern w:val="0"/>
          <w:sz w:val="28"/>
          <w:szCs w:val="28"/>
          <w:shd w:val="clear" w:color="auto" w:fill="FFFFFF"/>
          <w:lang w:val="zh-CN"/>
        </w:rPr>
        <w:t>人（其中：本年调出1人，公招</w:t>
      </w:r>
      <w:r>
        <w:rPr>
          <w:rFonts w:hint="eastAsia" w:ascii="仿宋_GB2312" w:hAnsi="宋体" w:eastAsia="仿宋_GB2312" w:cs="宋体"/>
          <w:color w:val="000000"/>
          <w:kern w:val="0"/>
          <w:sz w:val="28"/>
          <w:szCs w:val="28"/>
          <w:shd w:val="clear" w:color="auto" w:fill="FFFFFF"/>
        </w:rPr>
        <w:t>3</w:t>
      </w:r>
      <w:r>
        <w:rPr>
          <w:rFonts w:hint="eastAsia" w:ascii="仿宋_GB2312" w:hAnsi="宋体" w:eastAsia="仿宋_GB2312" w:cs="宋体"/>
          <w:color w:val="000000"/>
          <w:kern w:val="0"/>
          <w:sz w:val="28"/>
          <w:szCs w:val="28"/>
          <w:shd w:val="clear" w:color="auto" w:fill="FFFFFF"/>
          <w:lang w:val="zh-CN"/>
        </w:rPr>
        <w:t>人），临聘教职工</w:t>
      </w:r>
      <w:r>
        <w:rPr>
          <w:rFonts w:hint="eastAsia" w:ascii="仿宋_GB2312" w:hAnsi="宋体" w:eastAsia="仿宋_GB2312" w:cs="宋体"/>
          <w:color w:val="000000"/>
          <w:kern w:val="0"/>
          <w:sz w:val="28"/>
          <w:szCs w:val="28"/>
          <w:shd w:val="clear" w:color="auto" w:fill="FFFFFF"/>
        </w:rPr>
        <w:t>22</w:t>
      </w:r>
      <w:r>
        <w:rPr>
          <w:rFonts w:hint="eastAsia" w:ascii="仿宋_GB2312" w:hAnsi="宋体" w:eastAsia="仿宋_GB2312" w:cs="宋体"/>
          <w:color w:val="000000"/>
          <w:kern w:val="0"/>
          <w:sz w:val="28"/>
          <w:szCs w:val="28"/>
          <w:shd w:val="clear" w:color="auto" w:fill="FFFFFF"/>
          <w:lang w:val="zh-CN"/>
        </w:rPr>
        <w:t>人，安保人员2人。教学班7个，在园幼儿</w:t>
      </w:r>
      <w:r>
        <w:rPr>
          <w:rFonts w:hint="eastAsia" w:ascii="仿宋_GB2312" w:hAnsi="宋体" w:eastAsia="仿宋_GB2312" w:cs="宋体"/>
          <w:color w:val="000000"/>
          <w:kern w:val="0"/>
          <w:sz w:val="28"/>
          <w:szCs w:val="28"/>
          <w:shd w:val="clear" w:color="auto" w:fill="FFFFFF"/>
        </w:rPr>
        <w:t>162</w:t>
      </w:r>
      <w:r>
        <w:rPr>
          <w:rFonts w:hint="eastAsia" w:ascii="仿宋_GB2312" w:hAnsi="宋体" w:eastAsia="仿宋_GB2312" w:cs="宋体"/>
          <w:color w:val="000000"/>
          <w:kern w:val="0"/>
          <w:sz w:val="28"/>
          <w:szCs w:val="28"/>
          <w:shd w:val="clear" w:color="auto" w:fill="FFFFFF"/>
          <w:lang w:val="zh-CN"/>
        </w:rPr>
        <w:t>人。</w:t>
      </w:r>
    </w:p>
    <w:p>
      <w:pPr>
        <w:widowControl/>
        <w:adjustRightInd w:val="0"/>
        <w:snapToGrid w:val="0"/>
        <w:spacing w:line="500" w:lineRule="exact"/>
        <w:ind w:firstLine="560" w:firstLineChars="200"/>
        <w:contextualSpacing/>
        <w:rPr>
          <w:rFonts w:ascii="黑体" w:hAnsi="宋体" w:eastAsia="黑体" w:cs="宋体"/>
          <w:color w:val="000000"/>
          <w:kern w:val="0"/>
          <w:sz w:val="28"/>
          <w:szCs w:val="28"/>
          <w:shd w:val="clear" w:color="auto" w:fill="FFFFFF"/>
        </w:rPr>
      </w:pPr>
      <w:r>
        <w:rPr>
          <w:rFonts w:hint="eastAsia" w:ascii="黑体" w:hAnsi="宋体" w:eastAsia="黑体" w:cs="宋体"/>
          <w:color w:val="000000"/>
          <w:kern w:val="0"/>
          <w:sz w:val="28"/>
          <w:szCs w:val="28"/>
          <w:shd w:val="clear" w:color="auto" w:fill="FFFFFF"/>
        </w:rPr>
        <w:t>二、部门财政资金收支情况</w:t>
      </w:r>
    </w:p>
    <w:p>
      <w:pPr>
        <w:widowControl/>
        <w:adjustRightInd w:val="0"/>
        <w:snapToGrid w:val="0"/>
        <w:spacing w:line="500" w:lineRule="exact"/>
        <w:ind w:firstLine="560" w:firstLineChars="200"/>
        <w:contextualSpacing/>
        <w:rPr>
          <w:rFonts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（一）部门财政资金收入情况。</w:t>
      </w:r>
    </w:p>
    <w:p>
      <w:pPr>
        <w:snapToGrid w:val="0"/>
        <w:spacing w:line="500" w:lineRule="exact"/>
        <w:ind w:firstLine="640"/>
        <w:rPr>
          <w:rFonts w:ascii="仿宋" w:hAnsi="仿宋" w:eastAsia="仿宋"/>
          <w:color w:val="000000"/>
          <w:sz w:val="28"/>
          <w:szCs w:val="28"/>
        </w:rPr>
      </w:pPr>
      <w:r>
        <w:rPr>
          <w:rFonts w:ascii="仿宋" w:hAnsi="仿宋" w:eastAsia="仿宋"/>
          <w:color w:val="000000"/>
          <w:sz w:val="28"/>
          <w:szCs w:val="28"/>
        </w:rPr>
        <w:t>2020</w:t>
      </w:r>
      <w:r>
        <w:rPr>
          <w:rFonts w:hint="eastAsia" w:ascii="仿宋" w:hAnsi="仿宋" w:eastAsia="仿宋"/>
          <w:color w:val="000000"/>
          <w:sz w:val="28"/>
          <w:szCs w:val="28"/>
        </w:rPr>
        <w:t>年财政拨款收入总计147.29万元。与</w:t>
      </w:r>
      <w:r>
        <w:rPr>
          <w:rFonts w:ascii="仿宋" w:hAnsi="仿宋" w:eastAsia="仿宋"/>
          <w:color w:val="000000"/>
          <w:sz w:val="28"/>
          <w:szCs w:val="28"/>
        </w:rPr>
        <w:t>2019</w:t>
      </w:r>
      <w:r>
        <w:rPr>
          <w:rFonts w:hint="eastAsia" w:ascii="仿宋" w:hAnsi="仿宋" w:eastAsia="仿宋"/>
          <w:color w:val="000000"/>
          <w:sz w:val="28"/>
          <w:szCs w:val="28"/>
        </w:rPr>
        <w:t>年相比，财政拨款收入总计增加30.82万元，增长26.46</w:t>
      </w:r>
      <w:r>
        <w:rPr>
          <w:rFonts w:ascii="仿宋" w:hAnsi="仿宋" w:eastAsia="仿宋"/>
          <w:color w:val="000000"/>
          <w:sz w:val="28"/>
          <w:szCs w:val="28"/>
        </w:rPr>
        <w:t>%</w:t>
      </w:r>
      <w:r>
        <w:rPr>
          <w:rFonts w:hint="eastAsia" w:ascii="仿宋" w:hAnsi="仿宋" w:eastAsia="仿宋"/>
          <w:color w:val="000000"/>
          <w:sz w:val="28"/>
          <w:szCs w:val="28"/>
        </w:rPr>
        <w:t>。主要变动原因是受疫情影响，财政拨款收入增多。</w:t>
      </w:r>
    </w:p>
    <w:p>
      <w:pPr>
        <w:widowControl/>
        <w:adjustRightInd w:val="0"/>
        <w:snapToGrid w:val="0"/>
        <w:spacing w:line="500" w:lineRule="exact"/>
        <w:ind w:firstLine="560" w:firstLineChars="200"/>
        <w:contextualSpacing/>
        <w:rPr>
          <w:rFonts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（二）部门财政资金支出情况。</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rPr>
      </w:pPr>
      <w:r>
        <w:rPr>
          <w:rFonts w:hint="eastAsia" w:ascii="仿宋_GB2312" w:hAnsi="宋体" w:eastAsia="仿宋_GB2312" w:cs="宋体"/>
          <w:color w:val="000000"/>
          <w:kern w:val="0"/>
          <w:sz w:val="28"/>
          <w:szCs w:val="28"/>
          <w:shd w:val="clear" w:color="auto" w:fill="FFFFFF"/>
        </w:rPr>
        <w:t>2020年财政拨款支出总计128.81万元。与2019年相比，财政拨款支出总计减少64.35万元，减少33.31%。主要变动原样是2020年总开支减少。</w:t>
      </w:r>
    </w:p>
    <w:p>
      <w:pPr>
        <w:widowControl/>
        <w:adjustRightInd w:val="0"/>
        <w:snapToGrid w:val="0"/>
        <w:spacing w:line="500" w:lineRule="exact"/>
        <w:ind w:firstLine="560" w:firstLineChars="200"/>
        <w:contextualSpacing/>
        <w:rPr>
          <w:rFonts w:ascii="黑体" w:hAnsi="宋体" w:eastAsia="黑体" w:cs="宋体"/>
          <w:color w:val="000000"/>
          <w:kern w:val="0"/>
          <w:sz w:val="28"/>
          <w:szCs w:val="28"/>
          <w:shd w:val="clear" w:color="auto" w:fill="FFFFFF"/>
        </w:rPr>
      </w:pPr>
      <w:r>
        <w:rPr>
          <w:rFonts w:hint="eastAsia" w:ascii="黑体" w:hAnsi="宋体" w:eastAsia="黑体" w:cs="宋体"/>
          <w:color w:val="000000"/>
          <w:kern w:val="0"/>
          <w:sz w:val="28"/>
          <w:szCs w:val="28"/>
          <w:shd w:val="clear" w:color="auto" w:fill="FFFFFF"/>
        </w:rPr>
        <w:t>三、部门整体预算绩效管理情况</w:t>
      </w:r>
    </w:p>
    <w:p>
      <w:pPr>
        <w:widowControl/>
        <w:adjustRightInd w:val="0"/>
        <w:snapToGrid w:val="0"/>
        <w:spacing w:line="500" w:lineRule="exact"/>
        <w:ind w:firstLine="560" w:firstLineChars="200"/>
        <w:contextualSpacing/>
        <w:rPr>
          <w:rFonts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（一）部门预算管理。</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包括部门绩效目标制定、目标实现、预算编制准确、支出控制、预算动态调整、执行进度、预算完成情况和违规记录等情况。</w:t>
      </w:r>
    </w:p>
    <w:p>
      <w:pPr>
        <w:widowControl/>
        <w:adjustRightInd w:val="0"/>
        <w:snapToGrid w:val="0"/>
        <w:spacing w:line="500" w:lineRule="exact"/>
        <w:ind w:firstLine="560" w:firstLineChars="200"/>
        <w:contextualSpacing/>
        <w:rPr>
          <w:rFonts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（二）结果应用情况。</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包括绩效自评公开、评价结果整改和应用结果反馈等情况。</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（一）部门预算管理</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1.部门绩效目标制定</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（1）部门绩效目标充分考虑到各项资金的使用内容、范围、方向和预期效果，符合国民经济和社会发展规划，符合部门职能及事业发展规划。</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（2）部门绩效目标从数量、质量、成本、时效以及经济效益、社会效益、生态效益、可持续影响、满意度等方面进行了细化和定量表述，具有可衡量性。</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（3）绩效目标的设定经过了调查研究和科学论证，符合客观实际，能够在一定期限内如期实现。</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（4）绩效目标相关指标设定与预算安排金额相对应，未超预算安排资金。</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2.预算编制和执行</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（1）部门预算报送时间严格按照区教育局财政部门预算编制要求的时间及时报送部门预算。预算编制完整、准确，基础信息和科目使用准确。</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2）基本支出主要用于日常工作运转开支，包括人员的工资福利支出、一般商品和服务支出、对个人和家庭的补助支出。人员经费的开支主要是按照区组织和人事部门审批执行，公用经费按照厉行节约的原则规范资金使用流程。</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（3）按时送部门决算，决算数据真实准确、账表一致，部门决算编制人员与供养人员系统一致。</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（二）专项预算管理。</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1.专项预算编制情况</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各项专项预算的编制严格按照“二上二下”的程序，先由幼儿园根据年度工作目标提出当年的专项预算项目建议方案，经分管领导审核后由财务室汇总编制并呈园长批准上报区教育局计财股。根据区教育局计财股下达的年度各类专项资金年度预算指标，分解下达各支出部门，进一步完善专项预算方案。方案完善后，财务室统一汇总再次上报区教育局计财股。财政最终批复后，财务股将各类专项预算指标分解下达各下属学校。</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2.专项预算执行</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对于上级或区本级下达的各类专项预算支出，严格按照预算批复的开支范围和标准执行，不准擅自调项、扩项、缩项，更不准拆借、挪用、挤占和随意扣压；资金拨付动向，按不同专项资金的要求执行，不准任意改变。</w:t>
      </w:r>
    </w:p>
    <w:p>
      <w:pPr>
        <w:widowControl/>
        <w:adjustRightInd w:val="0"/>
        <w:snapToGrid w:val="0"/>
        <w:spacing w:line="500" w:lineRule="exact"/>
        <w:ind w:firstLine="560" w:firstLineChars="200"/>
        <w:contextualSpacing/>
        <w:rPr>
          <w:rFonts w:ascii="黑体" w:hAnsi="宋体" w:eastAsia="黑体" w:cs="宋体"/>
          <w:color w:val="000000"/>
          <w:kern w:val="0"/>
          <w:sz w:val="28"/>
          <w:szCs w:val="28"/>
          <w:shd w:val="clear" w:color="auto" w:fill="FFFFFF"/>
        </w:rPr>
      </w:pPr>
      <w:r>
        <w:rPr>
          <w:rFonts w:hint="eastAsia" w:ascii="黑体" w:hAnsi="宋体" w:eastAsia="黑体" w:cs="宋体"/>
          <w:color w:val="000000"/>
          <w:kern w:val="0"/>
          <w:sz w:val="28"/>
          <w:szCs w:val="28"/>
          <w:shd w:val="clear" w:color="auto" w:fill="FFFFFF"/>
        </w:rPr>
        <w:t>四、评价结论及建议</w:t>
      </w:r>
    </w:p>
    <w:p>
      <w:pPr>
        <w:widowControl/>
        <w:adjustRightInd w:val="0"/>
        <w:snapToGrid w:val="0"/>
        <w:spacing w:line="500" w:lineRule="exact"/>
        <w:ind w:firstLine="560" w:firstLineChars="200"/>
        <w:contextualSpacing/>
        <w:rPr>
          <w:rFonts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（一）评价结论。</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w:t>
      </w:r>
    </w:p>
    <w:p>
      <w:pPr>
        <w:widowControl/>
        <w:adjustRightInd w:val="0"/>
        <w:snapToGrid w:val="0"/>
        <w:spacing w:line="500" w:lineRule="exact"/>
        <w:ind w:firstLine="560" w:firstLineChars="200"/>
        <w:contextualSpacing/>
        <w:rPr>
          <w:rFonts w:ascii="楷体" w:hAnsi="楷体" w:eastAsia="楷体" w:cs="楷体"/>
          <w:color w:val="000000"/>
          <w:kern w:val="0"/>
          <w:sz w:val="28"/>
          <w:szCs w:val="28"/>
          <w:shd w:val="clear" w:color="auto" w:fill="FFFFFF"/>
          <w:lang w:val="zh-CN"/>
        </w:rPr>
      </w:pPr>
      <w:r>
        <w:rPr>
          <w:rFonts w:hint="eastAsia" w:ascii="楷体" w:hAnsi="楷体" w:eastAsia="楷体" w:cs="楷体"/>
          <w:color w:val="000000"/>
          <w:kern w:val="0"/>
          <w:sz w:val="28"/>
          <w:szCs w:val="28"/>
          <w:shd w:val="clear" w:color="auto" w:fill="FFFFFF"/>
          <w:lang w:val="zh-CN"/>
        </w:rPr>
        <w:t>（二）存在问题及改进建议。</w:t>
      </w:r>
    </w:p>
    <w:p>
      <w:pPr>
        <w:widowControl/>
        <w:adjustRightInd w:val="0"/>
        <w:snapToGrid w:val="0"/>
        <w:spacing w:line="500" w:lineRule="exact"/>
        <w:ind w:firstLine="560" w:firstLineChars="200"/>
        <w:contextualSpacing/>
        <w:rPr>
          <w:rFonts w:ascii="仿宋_GB2312" w:hAnsi="宋体" w:eastAsia="仿宋_GB2312" w:cs="宋体"/>
          <w:color w:val="000000"/>
          <w:kern w:val="0"/>
          <w:sz w:val="28"/>
          <w:szCs w:val="28"/>
          <w:shd w:val="clear" w:color="auto" w:fill="FFFFFF"/>
          <w:lang w:val="zh-CN"/>
        </w:rPr>
      </w:pPr>
      <w:r>
        <w:rPr>
          <w:rFonts w:hint="eastAsia" w:ascii="仿宋_GB2312" w:hAnsi="宋体" w:eastAsia="仿宋_GB2312" w:cs="宋体"/>
          <w:color w:val="000000"/>
          <w:kern w:val="0"/>
          <w:sz w:val="28"/>
          <w:szCs w:val="28"/>
          <w:shd w:val="clear" w:color="auto" w:fill="FFFFFF"/>
          <w:lang w:val="zh-CN"/>
        </w:rPr>
        <w:t>1.进一步完善项目支出的支出标准，严格按项目和进度执行预算，增强预算的约束力和严肃性。</w:t>
      </w:r>
    </w:p>
    <w:p>
      <w:pPr>
        <w:widowControl/>
        <w:adjustRightInd w:val="0"/>
        <w:snapToGrid w:val="0"/>
        <w:spacing w:line="500" w:lineRule="exact"/>
        <w:ind w:firstLine="560" w:firstLineChars="200"/>
        <w:contextualSpacing/>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28"/>
          <w:szCs w:val="28"/>
          <w:shd w:val="clear" w:color="auto" w:fill="FFFFFF"/>
          <w:lang w:val="zh-CN"/>
        </w:rPr>
        <w:t>2.落实预算执行分析，及时了解预算执行差异，合理调整、纠正预算执行偏差，切实提高部门预算收支管理水平。</w:t>
      </w: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widowControl/>
        <w:jc w:val="left"/>
        <w:rPr>
          <w:rFonts w:ascii="仿宋" w:hAnsi="仿宋" w:eastAsia="仿宋"/>
          <w:kern w:val="44"/>
          <w:sz w:val="28"/>
          <w:szCs w:val="28"/>
        </w:rPr>
      </w:pPr>
      <w:r>
        <w:rPr>
          <w:rFonts w:hint="eastAsia" w:ascii="仿宋" w:hAnsi="仿宋" w:eastAsia="仿宋"/>
          <w:kern w:val="44"/>
          <w:sz w:val="28"/>
          <w:szCs w:val="28"/>
        </w:rPr>
        <w:t>附件2</w:t>
      </w:r>
    </w:p>
    <w:p>
      <w:pPr>
        <w:spacing w:line="600" w:lineRule="exact"/>
        <w:jc w:val="center"/>
        <w:rPr>
          <w:rFonts w:ascii="黑体" w:hAnsi="黑体" w:eastAsia="黑体" w:cs="黑体"/>
          <w:color w:val="000000"/>
          <w:kern w:val="0"/>
          <w:sz w:val="40"/>
          <w:szCs w:val="44"/>
        </w:rPr>
      </w:pPr>
      <w:r>
        <w:rPr>
          <w:rFonts w:hint="eastAsia" w:ascii="黑体" w:hAnsi="黑体" w:eastAsia="黑体" w:cs="黑体"/>
          <w:color w:val="000000"/>
          <w:kern w:val="0"/>
          <w:sz w:val="40"/>
          <w:szCs w:val="44"/>
        </w:rPr>
        <w:t>广元市利州区三堆国凡幼儿园</w:t>
      </w:r>
    </w:p>
    <w:p>
      <w:pPr>
        <w:spacing w:line="600" w:lineRule="exact"/>
        <w:jc w:val="center"/>
        <w:rPr>
          <w:rFonts w:ascii="黑体" w:hAnsi="黑体" w:eastAsia="黑体" w:cs="黑体"/>
          <w:color w:val="000000"/>
          <w:kern w:val="0"/>
          <w:sz w:val="40"/>
          <w:szCs w:val="44"/>
        </w:rPr>
      </w:pPr>
      <w:r>
        <w:rPr>
          <w:rFonts w:hint="eastAsia" w:ascii="黑体" w:hAnsi="黑体" w:eastAsia="黑体" w:cs="黑体"/>
          <w:color w:val="000000"/>
          <w:kern w:val="0"/>
          <w:sz w:val="40"/>
          <w:szCs w:val="44"/>
        </w:rPr>
        <w:t>学前教育减免保教费资助支出绩效评价报告</w:t>
      </w:r>
    </w:p>
    <w:p>
      <w:pPr>
        <w:spacing w:line="350" w:lineRule="auto"/>
        <w:rPr>
          <w:rFonts w:ascii="Arial"/>
        </w:rPr>
      </w:pPr>
    </w:p>
    <w:p>
      <w:pPr>
        <w:spacing w:line="350" w:lineRule="auto"/>
        <w:rPr>
          <w:rFonts w:ascii="Arial"/>
        </w:rPr>
      </w:pPr>
    </w:p>
    <w:p>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一、评价工作开展及项目情况</w:t>
      </w:r>
    </w:p>
    <w:p>
      <w:pPr>
        <w:spacing w:line="580" w:lineRule="exact"/>
        <w:ind w:firstLine="560" w:firstLineChars="200"/>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（一）项目选点</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本次绩效评价期间为2020年度。</w:t>
      </w:r>
    </w:p>
    <w:p>
      <w:pPr>
        <w:spacing w:line="58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项目主要对建档立卡贫困家庭幼儿按政策标准进行资助，使建档立卡贫困家庭幼儿减轻经济负担，保障幼儿能够顺利完成学业，提高建档立卡贫困家庭送子女就读幼儿园的积极性。通过实施“学前教育减免保教费资助项目”，全面推进脱贫攻坚，坚持扶贫先扶智、治穷先治愚，阻断贫困代际传递，实现脱贫奔康。</w:t>
      </w:r>
    </w:p>
    <w:p>
      <w:pPr>
        <w:spacing w:line="580" w:lineRule="exact"/>
        <w:ind w:firstLine="560" w:firstLineChars="200"/>
        <w:rPr>
          <w:rFonts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（二）绩效评价指标体系</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绩效评价指标是指衡量绩效目标实现程度的考核工具。绩效评价指标的确定应当遵循以下原则：相关性原则、重要性原则、可比性原则、系统性原则、经济性原则。绩效评价指标分为共性指标和个性指标，共性指标由财政部门统一制定，个性指标由财政部门会同预算部门制定。</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被评价项目绩效评价指标体系设置三个一级指标、八个二级指标、十二个三级指标。</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（1）一级指标：项目设置项目完成、项目效益、满意度指标三个。</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（2）二级指标：项目完成设置数量目标、质量指标、时效指标和成本指标四个，项目效益设置经济效益、社会效益和可持续影响指标三个，满意度指标设置社会满意度指标一个。</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三级指标：数量指标设置资助总数和受助幼儿完成率2个，质量指标设置幼儿受助比例指标1个；时效指标设置资金足额发放比例指标1个，成本指标执行设置执行标准1个，经济效益指标设置增收指标1个；社会效益设置救助足额、群众知晓率指标2个；可持续影响指标设置资助年限、可持续发展影响指标2个；社会满意度指标设置学生满意度、家长满意度指标2个。</w:t>
      </w:r>
    </w:p>
    <w:p>
      <w:pPr>
        <w:spacing w:line="580" w:lineRule="exact"/>
        <w:ind w:firstLine="560" w:firstLineChars="200"/>
        <w:rPr>
          <w:rFonts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（三）评价标准和评价方法</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1.评价标准</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绩效评价标准是指衡量财政支出绩效目标完成程度的尺度。绩效评价标准具体包括：计划标准、行业标准、历史标准、其他经财政部门确认的标准。</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2.评价方法</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绩效评价方法主要采用成本效益分析法、比较法、因素分析法、最低成本法、公众评判法等。</w:t>
      </w:r>
    </w:p>
    <w:p>
      <w:pPr>
        <w:spacing w:line="58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二、评价结论及绩效分析</w:t>
      </w:r>
    </w:p>
    <w:p>
      <w:pPr>
        <w:spacing w:line="580" w:lineRule="exact"/>
        <w:ind w:firstLine="560" w:firstLineChars="200"/>
        <w:rPr>
          <w:rFonts w:ascii="方正楷体简体" w:hAnsi="方正楷体简体" w:eastAsia="方正楷体简体" w:cs="方正楷体简体"/>
          <w:color w:val="000000" w:themeColor="text1"/>
          <w:sz w:val="28"/>
          <w:szCs w:val="28"/>
          <w14:textFill>
            <w14:solidFill>
              <w14:schemeClr w14:val="tx1"/>
            </w14:solidFill>
          </w14:textFill>
        </w:rPr>
      </w:pPr>
      <w:r>
        <w:rPr>
          <w:rFonts w:hint="eastAsia" w:ascii="方正楷体简体" w:hAnsi="方正楷体简体" w:eastAsia="方正楷体简体" w:cs="方正楷体简体"/>
          <w:color w:val="000000" w:themeColor="text1"/>
          <w:sz w:val="28"/>
          <w:szCs w:val="28"/>
          <w14:textFill>
            <w14:solidFill>
              <w14:schemeClr w14:val="tx1"/>
            </w14:solidFill>
          </w14:textFill>
        </w:rPr>
        <w:t>（一）评价结论</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总体上看， “学前教育减免保教费资助项目”财政支出目标明确具体，决策程序科学有效，项目管理较为完善，基本达成了项目目标和效果。</w:t>
      </w:r>
    </w:p>
    <w:p>
      <w:pPr>
        <w:spacing w:line="580" w:lineRule="exact"/>
        <w:ind w:firstLine="560" w:firstLineChars="200"/>
        <w:rPr>
          <w:rFonts w:ascii="方正楷体简体" w:hAnsi="方正楷体简体" w:eastAsia="方正楷体简体" w:cs="方正楷体简体"/>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w:t>
      </w:r>
      <w:r>
        <w:rPr>
          <w:rFonts w:hint="eastAsia" w:ascii="方正楷体简体" w:hAnsi="方正楷体简体" w:eastAsia="方正楷体简体" w:cs="方正楷体简体"/>
          <w:color w:val="000000" w:themeColor="text1"/>
          <w:sz w:val="28"/>
          <w:szCs w:val="28"/>
          <w14:textFill>
            <w14:solidFill>
              <w14:schemeClr w14:val="tx1"/>
            </w14:solidFill>
          </w14:textFill>
        </w:rPr>
        <w:t>二）绩效分析</w:t>
      </w:r>
    </w:p>
    <w:p>
      <w:pPr>
        <w:spacing w:line="580" w:lineRule="exact"/>
        <w:ind w:firstLine="840" w:firstLineChars="30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1</w:t>
      </w:r>
      <w:r>
        <w:rPr>
          <w:rFonts w:hint="eastAsia" w:ascii="仿宋" w:hAnsi="仿宋" w:eastAsia="仿宋" w:cs="仿宋_GB2312"/>
          <w:color w:val="000000" w:themeColor="text1"/>
          <w:sz w:val="28"/>
          <w:szCs w:val="28"/>
          <w14:textFill>
            <w14:solidFill>
              <w14:schemeClr w14:val="tx1"/>
            </w14:solidFill>
          </w14:textFill>
        </w:rPr>
        <w:t>.</w:t>
      </w:r>
      <w:r>
        <w:rPr>
          <w:rFonts w:ascii="仿宋" w:hAnsi="仿宋" w:eastAsia="仿宋" w:cs="仿宋_GB2312"/>
          <w:color w:val="000000" w:themeColor="text1"/>
          <w:sz w:val="28"/>
          <w:szCs w:val="28"/>
          <w14:textFill>
            <w14:solidFill>
              <w14:schemeClr w14:val="tx1"/>
            </w14:solidFill>
          </w14:textFill>
        </w:rPr>
        <w:t>项目决策</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（1）必要性：通过实施该项目能够提高贫困家庭送子女就读幼儿园的积极性，减轻贫困家庭经济负担。</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可行性：广元市利州区教育局制定了《广元市利州区教育局关于进一步做好教育扶贫资助工作的通知》（广利教函【2017】211号）、《广元市利州区教育局关于印发教育系统财务项目资助工作易发问题清单的通知》广利教函</w:t>
      </w:r>
      <w:r>
        <w:rPr>
          <w:rFonts w:hint="eastAsia" w:ascii="宋体" w:hAnsi="宋体" w:cs="宋体"/>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2019</w:t>
      </w:r>
      <w:r>
        <w:rPr>
          <w:rFonts w:hint="eastAsia" w:ascii="宋体" w:hAnsi="宋体" w:cs="宋体"/>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219号）为项目可行性给予了具体指导意见及管理办法。</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w:t>
      </w:r>
      <w:r>
        <w:rPr>
          <w:rFonts w:ascii="仿宋" w:hAnsi="仿宋" w:eastAsia="仿宋" w:cs="仿宋_GB2312"/>
          <w:color w:val="000000" w:themeColor="text1"/>
          <w:sz w:val="28"/>
          <w:szCs w:val="28"/>
          <w14:textFill>
            <w14:solidFill>
              <w14:schemeClr w14:val="tx1"/>
            </w14:solidFill>
          </w14:textFill>
        </w:rPr>
        <w:t>绩效目标设置情况</w:t>
      </w:r>
      <w:r>
        <w:rPr>
          <w:rFonts w:hint="eastAsia" w:ascii="仿宋" w:hAnsi="仿宋" w:eastAsia="仿宋" w:cs="仿宋_GB2312"/>
          <w:color w:val="000000" w:themeColor="text1"/>
          <w:sz w:val="28"/>
          <w:szCs w:val="28"/>
          <w14:textFill>
            <w14:solidFill>
              <w14:schemeClr w14:val="tx1"/>
            </w14:solidFill>
          </w14:textFill>
        </w:rPr>
        <w:t>：</w:t>
      </w:r>
    </w:p>
    <w:p>
      <w:pPr>
        <w:spacing w:line="580" w:lineRule="exact"/>
        <w:ind w:firstLine="700" w:firstLineChars="25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一是明确性：按照标准对建档立卡贫困家进行庭学生资助，按照资金使用范围和要求，切实做到公开、公正，不虚报冒领，及时发放，确保资助工作顺利开展，绩效目标明确。二是合理性：通过该项目的实施，按政策规定标准资助建档立卡贫困家庭学生。项目实施符合省教育厅、财政厅统一安排部署，绩效目标设定符合实际需求，合理可行。</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2</w:t>
      </w:r>
      <w:r>
        <w:rPr>
          <w:rFonts w:hint="eastAsia" w:ascii="仿宋" w:hAnsi="仿宋" w:eastAsia="仿宋" w:cs="仿宋_GB2312"/>
          <w:color w:val="000000" w:themeColor="text1"/>
          <w:sz w:val="28"/>
          <w:szCs w:val="28"/>
          <w14:textFill>
            <w14:solidFill>
              <w14:schemeClr w14:val="tx1"/>
            </w14:solidFill>
          </w14:textFill>
        </w:rPr>
        <w:t>.</w:t>
      </w:r>
      <w:r>
        <w:rPr>
          <w:rFonts w:ascii="仿宋" w:hAnsi="仿宋" w:eastAsia="仿宋" w:cs="仿宋_GB2312"/>
          <w:color w:val="000000" w:themeColor="text1"/>
          <w:sz w:val="28"/>
          <w:szCs w:val="28"/>
          <w14:textFill>
            <w14:solidFill>
              <w14:schemeClr w14:val="tx1"/>
            </w14:solidFill>
          </w14:textFill>
        </w:rPr>
        <w:t>项目管理</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（1）资金分配：被评价项目2020年共计支出资金12.71万元。</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（2）资金使用：项目支出真实、完整、合法，支付依据符合规定，不存在大额现金支付、虚列经费等情况。</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3</w:t>
      </w:r>
      <w:r>
        <w:rPr>
          <w:rFonts w:hint="eastAsia" w:ascii="仿宋" w:hAnsi="仿宋" w:eastAsia="仿宋" w:cs="仿宋_GB2312"/>
          <w:color w:val="000000" w:themeColor="text1"/>
          <w:sz w:val="28"/>
          <w:szCs w:val="28"/>
          <w14:textFill>
            <w14:solidFill>
              <w14:schemeClr w14:val="tx1"/>
            </w14:solidFill>
          </w14:textFill>
        </w:rPr>
        <w:t>.</w:t>
      </w:r>
      <w:r>
        <w:rPr>
          <w:rFonts w:ascii="仿宋" w:hAnsi="仿宋" w:eastAsia="仿宋" w:cs="仿宋_GB2312"/>
          <w:color w:val="000000" w:themeColor="text1"/>
          <w:sz w:val="28"/>
          <w:szCs w:val="28"/>
          <w14:textFill>
            <w14:solidFill>
              <w14:schemeClr w14:val="tx1"/>
            </w14:solidFill>
          </w14:textFill>
        </w:rPr>
        <w:t>项目绩效</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（1）项目目标完成情况</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完成数量方面：按照广元市利州区财政局下达的资金及幼儿自主申请情况，按计划完成了2020年学前教育贫困家庭幼儿特别资助相关工作。截止2020年12月，资助幼儿174人次（春季63人次；秋季111人次，含井田幼儿27人）。</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完成时效方面：项目资金于春季和秋季全额支付给资助对象，资助相对及时。但由于极个别学生社保卡未开通银行收付款功能，导致个别资助资金到账延后。</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（2）项目效益情况</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资助及时：本项目自资助对象确定后区财政及时下达资金预算并及时到位配套资金，发放及时。</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救助标准：按建档立卡幼儿1200元/期/生，其他贫困幼儿500元/期/生标准足额发放到个人账户。</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群众知晓率：区教育局通过多项措施加强政策宣传，受助学生和家长政策知晓率达到99%。</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服务对象满意度：通过部分采集市内受助对象满意度信息，整体满意度平均得分为95 %分，受助对象满意度为：满意。</w:t>
      </w:r>
    </w:p>
    <w:p>
      <w:pPr>
        <w:spacing w:line="58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三、存在主要问题</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资助对象信息采购不够准确，导致部分资助资金发放延迟。该项资金由受助学生本人通过资助平台网站申报后，经学校、主管部门审核后使用“广元市惠民惠农财政补贴资金社会保障卡一卡通发放监管系统”发放。但由于个别学生社保卡未开通银行收付款功能导致资助资金无法按时拨付到位。</w:t>
      </w:r>
    </w:p>
    <w:p>
      <w:pPr>
        <w:spacing w:line="580" w:lineRule="exact"/>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四、相关措施建议</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14:textFill>
            <w14:solidFill>
              <w14:schemeClr w14:val="tx1"/>
            </w14:solidFill>
          </w14:textFill>
        </w:rPr>
        <w:t>要求辖区学校进一步加强政策宣传，力争政策知晓率达到100%。</w:t>
      </w:r>
    </w:p>
    <w:p>
      <w:pPr>
        <w:spacing w:line="58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（二）加强学生资助账户信息核实工作。建议省资助平台进一步完善申报信息采集功能，在个人申报阶段对社保卡开通状态进行验证，保证资助资金按时到位。</w:t>
      </w:r>
    </w:p>
    <w:p>
      <w:pPr>
        <w:widowControl/>
        <w:jc w:val="left"/>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br w:type="page"/>
      </w:r>
    </w:p>
    <w:p>
      <w:pPr>
        <w:spacing w:line="600" w:lineRule="exact"/>
        <w:jc w:val="center"/>
        <w:outlineLvl w:val="0"/>
        <w:rPr>
          <w:rStyle w:val="25"/>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5"/>
          <w:rFonts w:hint="eastAsia" w:ascii="方正小标宋简体" w:hAnsi="方正小标宋简体" w:eastAsia="方正小标宋简体" w:cs="方正小标宋简体"/>
          <w:b w:val="0"/>
        </w:rPr>
        <w:t>五部分  附表</w:t>
      </w:r>
      <w:bookmarkEnd w:id="58"/>
      <w:bookmarkEnd w:id="60"/>
      <w:bookmarkStart w:id="61" w:name="_Toc19089886"/>
    </w:p>
    <w:p>
      <w:pPr>
        <w:spacing w:line="600" w:lineRule="exact"/>
        <w:jc w:val="center"/>
        <w:outlineLvl w:val="0"/>
        <w:rPr>
          <w:rStyle w:val="25"/>
          <w:rFonts w:ascii="方正小标宋简体" w:hAnsi="方正小标宋简体" w:eastAsia="方正小标宋简体" w:cs="方正小标宋简体"/>
          <w:b w:val="0"/>
        </w:rPr>
      </w:pPr>
    </w:p>
    <w:p>
      <w:pPr>
        <w:tabs>
          <w:tab w:val="left" w:pos="312"/>
        </w:tabs>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一、收入支出决算总表</w:t>
      </w:r>
      <w:bookmarkEnd w:id="61"/>
    </w:p>
    <w:p>
      <w:pPr>
        <w:tabs>
          <w:tab w:val="left" w:pos="312"/>
        </w:tabs>
        <w:snapToGrid w:val="0"/>
        <w:spacing w:line="360" w:lineRule="auto"/>
        <w:ind w:firstLine="560" w:firstLineChars="200"/>
        <w:rPr>
          <w:rFonts w:ascii="仿宋" w:hAnsi="仿宋" w:eastAsia="仿宋"/>
          <w:sz w:val="28"/>
          <w:szCs w:val="28"/>
        </w:rPr>
      </w:pPr>
      <w:bookmarkStart w:id="62" w:name="_Toc19089887"/>
      <w:r>
        <w:rPr>
          <w:rFonts w:hint="eastAsia" w:ascii="仿宋" w:hAnsi="仿宋" w:eastAsia="仿宋"/>
          <w:sz w:val="28"/>
          <w:szCs w:val="28"/>
        </w:rPr>
        <w:t>二、收入总表</w:t>
      </w:r>
      <w:bookmarkEnd w:id="62"/>
    </w:p>
    <w:p>
      <w:pPr>
        <w:tabs>
          <w:tab w:val="left" w:pos="312"/>
        </w:tabs>
        <w:snapToGrid w:val="0"/>
        <w:spacing w:line="360" w:lineRule="auto"/>
        <w:ind w:firstLine="560" w:firstLineChars="200"/>
        <w:rPr>
          <w:rFonts w:ascii="仿宋" w:hAnsi="仿宋" w:eastAsia="仿宋"/>
          <w:sz w:val="28"/>
          <w:szCs w:val="28"/>
        </w:rPr>
      </w:pPr>
      <w:bookmarkStart w:id="63" w:name="_Toc19089888"/>
      <w:r>
        <w:rPr>
          <w:rFonts w:hint="eastAsia" w:ascii="仿宋" w:hAnsi="仿宋" w:eastAsia="仿宋"/>
          <w:sz w:val="28"/>
          <w:szCs w:val="28"/>
        </w:rPr>
        <w:t>三、支出总表</w:t>
      </w:r>
      <w:bookmarkEnd w:id="63"/>
    </w:p>
    <w:p>
      <w:pPr>
        <w:tabs>
          <w:tab w:val="left" w:pos="312"/>
        </w:tabs>
        <w:snapToGrid w:val="0"/>
        <w:spacing w:line="360" w:lineRule="auto"/>
        <w:ind w:firstLine="560" w:firstLineChars="200"/>
        <w:rPr>
          <w:rFonts w:ascii="仿宋" w:hAnsi="仿宋" w:eastAsia="仿宋"/>
          <w:sz w:val="28"/>
          <w:szCs w:val="28"/>
        </w:rPr>
      </w:pPr>
      <w:bookmarkStart w:id="64" w:name="_Toc19089889"/>
      <w:r>
        <w:rPr>
          <w:rFonts w:hint="eastAsia" w:ascii="仿宋" w:hAnsi="仿宋" w:eastAsia="仿宋"/>
          <w:sz w:val="28"/>
          <w:szCs w:val="28"/>
        </w:rPr>
        <w:t>四、财政拨款收入支出决算总表</w:t>
      </w:r>
      <w:bookmarkEnd w:id="64"/>
    </w:p>
    <w:p>
      <w:pPr>
        <w:tabs>
          <w:tab w:val="left" w:pos="312"/>
        </w:tabs>
        <w:snapToGrid w:val="0"/>
        <w:spacing w:line="360" w:lineRule="auto"/>
        <w:ind w:firstLine="560" w:firstLineChars="200"/>
        <w:rPr>
          <w:rFonts w:ascii="仿宋" w:hAnsi="仿宋" w:eastAsia="仿宋"/>
          <w:sz w:val="28"/>
          <w:szCs w:val="28"/>
        </w:rPr>
      </w:pPr>
      <w:bookmarkStart w:id="65" w:name="_Toc19089890"/>
      <w:r>
        <w:rPr>
          <w:rFonts w:hint="eastAsia" w:ascii="仿宋" w:hAnsi="仿宋" w:eastAsia="仿宋"/>
          <w:sz w:val="28"/>
          <w:szCs w:val="28"/>
        </w:rPr>
        <w:t>五、财政拨款支出决算明细表（政府经济分类科目）</w:t>
      </w:r>
      <w:bookmarkEnd w:id="65"/>
    </w:p>
    <w:p>
      <w:pPr>
        <w:tabs>
          <w:tab w:val="left" w:pos="312"/>
        </w:tabs>
        <w:snapToGrid w:val="0"/>
        <w:spacing w:line="360" w:lineRule="auto"/>
        <w:ind w:firstLine="560" w:firstLineChars="200"/>
        <w:rPr>
          <w:rFonts w:ascii="仿宋" w:hAnsi="仿宋" w:eastAsia="仿宋"/>
          <w:sz w:val="28"/>
          <w:szCs w:val="28"/>
        </w:rPr>
      </w:pPr>
      <w:bookmarkStart w:id="66" w:name="_Toc19089891"/>
      <w:r>
        <w:rPr>
          <w:rFonts w:hint="eastAsia" w:ascii="仿宋" w:hAnsi="仿宋" w:eastAsia="仿宋"/>
          <w:sz w:val="28"/>
          <w:szCs w:val="28"/>
        </w:rPr>
        <w:t>六、一般公共预算财政拨款支出决算表</w:t>
      </w:r>
      <w:bookmarkEnd w:id="66"/>
    </w:p>
    <w:p>
      <w:pPr>
        <w:tabs>
          <w:tab w:val="left" w:pos="312"/>
        </w:tabs>
        <w:snapToGrid w:val="0"/>
        <w:spacing w:line="360" w:lineRule="auto"/>
        <w:ind w:firstLine="560" w:firstLineChars="200"/>
        <w:rPr>
          <w:rFonts w:ascii="仿宋" w:hAnsi="仿宋" w:eastAsia="仿宋"/>
          <w:sz w:val="28"/>
          <w:szCs w:val="28"/>
        </w:rPr>
      </w:pPr>
      <w:bookmarkStart w:id="67" w:name="_Toc19089892"/>
      <w:r>
        <w:rPr>
          <w:rFonts w:hint="eastAsia" w:ascii="仿宋" w:hAnsi="仿宋" w:eastAsia="仿宋"/>
          <w:sz w:val="28"/>
          <w:szCs w:val="28"/>
        </w:rPr>
        <w:t>七、一般公共预算财政拨款支出决算明细表</w:t>
      </w:r>
      <w:bookmarkEnd w:id="67"/>
    </w:p>
    <w:p>
      <w:pPr>
        <w:tabs>
          <w:tab w:val="left" w:pos="312"/>
        </w:tabs>
        <w:snapToGrid w:val="0"/>
        <w:spacing w:line="360" w:lineRule="auto"/>
        <w:ind w:firstLine="560" w:firstLineChars="200"/>
        <w:rPr>
          <w:rFonts w:ascii="仿宋" w:hAnsi="仿宋" w:eastAsia="仿宋"/>
          <w:sz w:val="28"/>
          <w:szCs w:val="28"/>
        </w:rPr>
      </w:pPr>
      <w:bookmarkStart w:id="68" w:name="_Toc19089893"/>
      <w:r>
        <w:rPr>
          <w:rFonts w:hint="eastAsia" w:ascii="仿宋" w:hAnsi="仿宋" w:eastAsia="仿宋"/>
          <w:sz w:val="28"/>
          <w:szCs w:val="28"/>
        </w:rPr>
        <w:t>八、一般公共预算财政拨款基本支出决算表</w:t>
      </w:r>
      <w:bookmarkEnd w:id="68"/>
    </w:p>
    <w:p>
      <w:pPr>
        <w:tabs>
          <w:tab w:val="left" w:pos="312"/>
        </w:tabs>
        <w:snapToGrid w:val="0"/>
        <w:spacing w:line="360" w:lineRule="auto"/>
        <w:ind w:firstLine="560" w:firstLineChars="200"/>
        <w:rPr>
          <w:rFonts w:ascii="仿宋" w:hAnsi="仿宋" w:eastAsia="仿宋"/>
          <w:sz w:val="28"/>
          <w:szCs w:val="28"/>
        </w:rPr>
      </w:pPr>
      <w:bookmarkStart w:id="69" w:name="_Toc19089894"/>
      <w:r>
        <w:rPr>
          <w:rFonts w:hint="eastAsia" w:ascii="仿宋" w:hAnsi="仿宋" w:eastAsia="仿宋"/>
          <w:sz w:val="28"/>
          <w:szCs w:val="28"/>
        </w:rPr>
        <w:t>九、一般公共预算财政拨款项目支出决算表</w:t>
      </w:r>
      <w:bookmarkEnd w:id="69"/>
    </w:p>
    <w:p>
      <w:pPr>
        <w:tabs>
          <w:tab w:val="left" w:pos="312"/>
        </w:tabs>
        <w:snapToGrid w:val="0"/>
        <w:spacing w:line="360" w:lineRule="auto"/>
        <w:ind w:firstLine="560" w:firstLineChars="200"/>
        <w:rPr>
          <w:rFonts w:ascii="仿宋" w:hAnsi="仿宋" w:eastAsia="仿宋"/>
          <w:sz w:val="28"/>
          <w:szCs w:val="28"/>
        </w:rPr>
      </w:pPr>
      <w:bookmarkStart w:id="70" w:name="_Toc19089895"/>
      <w:r>
        <w:rPr>
          <w:rFonts w:hint="eastAsia" w:ascii="仿宋" w:hAnsi="仿宋" w:eastAsia="仿宋"/>
          <w:sz w:val="28"/>
          <w:szCs w:val="28"/>
        </w:rPr>
        <w:t>十、一般公共预算财政拨款“三公”经费支出决算表</w:t>
      </w:r>
      <w:bookmarkEnd w:id="70"/>
    </w:p>
    <w:p>
      <w:pPr>
        <w:tabs>
          <w:tab w:val="left" w:pos="312"/>
        </w:tabs>
        <w:snapToGrid w:val="0"/>
        <w:spacing w:line="360" w:lineRule="auto"/>
        <w:ind w:firstLine="560" w:firstLineChars="200"/>
        <w:rPr>
          <w:rFonts w:ascii="仿宋" w:hAnsi="仿宋" w:eastAsia="仿宋"/>
          <w:sz w:val="28"/>
          <w:szCs w:val="28"/>
        </w:rPr>
      </w:pPr>
      <w:bookmarkStart w:id="71" w:name="_Toc19089896"/>
      <w:r>
        <w:rPr>
          <w:rFonts w:hint="eastAsia" w:ascii="仿宋" w:hAnsi="仿宋" w:eastAsia="仿宋"/>
          <w:sz w:val="28"/>
          <w:szCs w:val="28"/>
        </w:rPr>
        <w:t>十一、政府性基金预算财政拨款收入支出决算表</w:t>
      </w:r>
      <w:bookmarkEnd w:id="71"/>
    </w:p>
    <w:p>
      <w:pPr>
        <w:tabs>
          <w:tab w:val="left" w:pos="312"/>
        </w:tabs>
        <w:snapToGrid w:val="0"/>
        <w:spacing w:line="360" w:lineRule="auto"/>
        <w:ind w:firstLine="560" w:firstLineChars="200"/>
        <w:rPr>
          <w:rFonts w:ascii="仿宋" w:hAnsi="仿宋" w:eastAsia="仿宋"/>
          <w:sz w:val="28"/>
          <w:szCs w:val="28"/>
        </w:rPr>
      </w:pPr>
      <w:bookmarkStart w:id="72" w:name="_Toc19089897"/>
      <w:r>
        <w:rPr>
          <w:rFonts w:hint="eastAsia" w:ascii="仿宋" w:hAnsi="仿宋" w:eastAsia="仿宋"/>
          <w:sz w:val="28"/>
          <w:szCs w:val="28"/>
        </w:rPr>
        <w:t>十二、政府性基金预算财政拨款“三公”经费支出决算表</w:t>
      </w:r>
      <w:bookmarkEnd w:id="72"/>
    </w:p>
    <w:p>
      <w:pPr>
        <w:tabs>
          <w:tab w:val="left" w:pos="312"/>
        </w:tabs>
        <w:snapToGrid w:val="0"/>
        <w:spacing w:line="360" w:lineRule="auto"/>
        <w:ind w:firstLine="560" w:firstLineChars="200"/>
        <w:rPr>
          <w:rFonts w:ascii="仿宋" w:hAnsi="仿宋" w:eastAsia="仿宋"/>
          <w:sz w:val="28"/>
          <w:szCs w:val="28"/>
        </w:rPr>
      </w:pPr>
      <w:bookmarkStart w:id="73" w:name="_Toc19089898"/>
      <w:r>
        <w:rPr>
          <w:rFonts w:hint="eastAsia" w:ascii="仿宋" w:hAnsi="仿宋" w:eastAsia="仿宋"/>
          <w:sz w:val="28"/>
          <w:szCs w:val="28"/>
        </w:rPr>
        <w:t>十三、国有资本经营预算支出决算表</w:t>
      </w:r>
      <w:bookmarkEnd w:id="73"/>
    </w:p>
    <w:sectPr>
      <w:footerReference r:id="rId6" w:type="default"/>
      <w:pgSz w:w="11906" w:h="16838"/>
      <w:pgMar w:top="1701" w:right="1474" w:bottom="1701" w:left="1587" w:header="85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方正楷体简体">
    <w:altName w:val="方正楷体_GBK"/>
    <w:panose1 w:val="00000000000000000000"/>
    <w:charset w:val="86"/>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821F5"/>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305B"/>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4F17AE"/>
    <w:rsid w:val="0050300A"/>
    <w:rsid w:val="00505A47"/>
    <w:rsid w:val="00512FDA"/>
    <w:rsid w:val="00520DA0"/>
    <w:rsid w:val="005450AB"/>
    <w:rsid w:val="005664BB"/>
    <w:rsid w:val="0057481D"/>
    <w:rsid w:val="0058486E"/>
    <w:rsid w:val="005B2CA1"/>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761D5"/>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B4E81"/>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AF2B11"/>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51939"/>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11D27"/>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3656"/>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B9C"/>
    <w:rsid w:val="00FF1E02"/>
    <w:rsid w:val="00FF30B4"/>
    <w:rsid w:val="10C055FF"/>
    <w:rsid w:val="144E2BD5"/>
    <w:rsid w:val="16BB723D"/>
    <w:rsid w:val="1BF15163"/>
    <w:rsid w:val="1D287879"/>
    <w:rsid w:val="1E147BE1"/>
    <w:rsid w:val="240371BF"/>
    <w:rsid w:val="28C11FAF"/>
    <w:rsid w:val="29FD04D3"/>
    <w:rsid w:val="2B665F16"/>
    <w:rsid w:val="3130645C"/>
    <w:rsid w:val="319F7F4E"/>
    <w:rsid w:val="326B32B3"/>
    <w:rsid w:val="36D84B79"/>
    <w:rsid w:val="36F026B9"/>
    <w:rsid w:val="37A57D49"/>
    <w:rsid w:val="39233B37"/>
    <w:rsid w:val="3A787772"/>
    <w:rsid w:val="409501C5"/>
    <w:rsid w:val="430B7EF7"/>
    <w:rsid w:val="473F0EBD"/>
    <w:rsid w:val="48314501"/>
    <w:rsid w:val="48384D73"/>
    <w:rsid w:val="4BB000AC"/>
    <w:rsid w:val="4F746E67"/>
    <w:rsid w:val="4F9D79CF"/>
    <w:rsid w:val="53A85A72"/>
    <w:rsid w:val="53C52CC6"/>
    <w:rsid w:val="5977A83D"/>
    <w:rsid w:val="5BF9406A"/>
    <w:rsid w:val="5E457C90"/>
    <w:rsid w:val="65871AC3"/>
    <w:rsid w:val="69E564D9"/>
    <w:rsid w:val="7050757E"/>
    <w:rsid w:val="74074734"/>
    <w:rsid w:val="747C5337"/>
    <w:rsid w:val="760F32FB"/>
    <w:rsid w:val="76240B61"/>
    <w:rsid w:val="BF3F4F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qFormat/>
    <w:uiPriority w:val="9"/>
    <w:rPr>
      <w:rFonts w:ascii="Times New Roman" w:hAnsi="Times New Roman"/>
      <w:b/>
      <w:bCs/>
      <w:kern w:val="44"/>
      <w:sz w:val="44"/>
      <w:szCs w:val="44"/>
    </w:rPr>
  </w:style>
  <w:style w:type="character" w:customStyle="1" w:styleId="26">
    <w:name w:val="标题 2 Char"/>
    <w:basedOn w:val="14"/>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 w:type="character" w:customStyle="1" w:styleId="30">
    <w:name w:val="标题 1 字符"/>
    <w:basedOn w:val="14"/>
    <w:link w:val="2"/>
    <w:qFormat/>
    <w:locked/>
    <w:uiPriority w:val="9"/>
    <w:rPr>
      <w:rFonts w:ascii="Times New Roman" w:hAnsi="Times New Roman" w:cs="Times New Roman"/>
      <w:b/>
      <w:bCs/>
      <w:kern w:val="44"/>
      <w:sz w:val="44"/>
      <w:szCs w:val="44"/>
    </w:rPr>
  </w:style>
  <w:style w:type="character" w:customStyle="1" w:styleId="31">
    <w:name w:val="标题 2 字符"/>
    <w:basedOn w:val="14"/>
    <w:link w:val="3"/>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44575"/>
          <c:y val="0.287833333333333"/>
          <c:w val="0.927925"/>
          <c:h val="0.555733333333333"/>
        </c:manualLayout>
      </c:layout>
      <c:barChart>
        <c:barDir val="col"/>
        <c:grouping val="clustered"/>
        <c:varyColors val="false"/>
        <c:ser>
          <c:idx val="0"/>
          <c:order val="0"/>
          <c:tx>
            <c:strRef>
              <c:f>Sheet1!$B$1</c:f>
              <c:strCache>
                <c:ptCount val="1"/>
                <c:pt idx="0">
                  <c:v>总收入</c:v>
                </c:pt>
              </c:strCache>
            </c:strRef>
          </c:tx>
          <c:spPr>
            <a:solidFill>
              <a:schemeClr val="accent1"/>
            </a:solidFill>
            <a:ln>
              <a:noFill/>
            </a:ln>
            <a:effectLst/>
          </c:spPr>
          <c:invertIfNegative val="false"/>
          <c:dLbls>
            <c:delete val="true"/>
          </c:dLbls>
          <c:cat>
            <c:strRef>
              <c:f>Sheet1!$A$2:$A$5</c:f>
              <c:strCache>
                <c:ptCount val="2"/>
                <c:pt idx="0">
                  <c:v>2019年</c:v>
                </c:pt>
                <c:pt idx="1">
                  <c:v>2020年</c:v>
                </c:pt>
              </c:strCache>
            </c:strRef>
          </c:cat>
          <c:val>
            <c:numRef>
              <c:f>Sheet1!$B$2:$B$5</c:f>
              <c:numCache>
                <c:formatCode>General</c:formatCode>
                <c:ptCount val="2"/>
                <c:pt idx="0">
                  <c:v>154.31</c:v>
                </c:pt>
                <c:pt idx="1">
                  <c:v>160.09</c:v>
                </c:pt>
              </c:numCache>
            </c:numRef>
          </c:val>
        </c:ser>
        <c:ser>
          <c:idx val="1"/>
          <c:order val="1"/>
          <c:tx>
            <c:strRef>
              <c:f>Sheet1!$C$1</c:f>
              <c:strCache>
                <c:ptCount val="1"/>
                <c:pt idx="0">
                  <c:v>总支出</c:v>
                </c:pt>
              </c:strCache>
            </c:strRef>
          </c:tx>
          <c:spPr>
            <a:solidFill>
              <a:schemeClr val="accent2"/>
            </a:solidFill>
            <a:ln>
              <a:noFill/>
            </a:ln>
            <a:effectLst/>
          </c:spPr>
          <c:invertIfNegative val="false"/>
          <c:dLbls>
            <c:delete val="true"/>
          </c:dLbls>
          <c:cat>
            <c:strRef>
              <c:f>Sheet1!$A$2:$A$5</c:f>
              <c:strCache>
                <c:ptCount val="2"/>
                <c:pt idx="0">
                  <c:v>2019年</c:v>
                </c:pt>
                <c:pt idx="1">
                  <c:v>2020年</c:v>
                </c:pt>
              </c:strCache>
            </c:strRef>
          </c:cat>
          <c:val>
            <c:numRef>
              <c:f>Sheet1!$C$2:$C$5</c:f>
              <c:numCache>
                <c:formatCode>General</c:formatCode>
                <c:ptCount val="2"/>
                <c:pt idx="0">
                  <c:v>231</c:v>
                </c:pt>
                <c:pt idx="1">
                  <c:v>141.6</c:v>
                </c:pt>
              </c:numCache>
            </c:numRef>
          </c:val>
        </c:ser>
        <c:dLbls>
          <c:showLegendKey val="false"/>
          <c:showVal val="false"/>
          <c:showCatName val="false"/>
          <c:showSerName val="false"/>
          <c:showPercent val="false"/>
          <c:showBubbleSize val="false"/>
        </c:dLbls>
        <c:gapWidth val="219"/>
        <c:overlap val="-27"/>
        <c:axId val="387839664"/>
        <c:axId val="387840056"/>
      </c:barChart>
      <c:catAx>
        <c:axId val="387839664"/>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7840056"/>
        <c:crosses val="autoZero"/>
        <c:auto val="true"/>
        <c:lblAlgn val="ctr"/>
        <c:lblOffset val="100"/>
        <c:noMultiLvlLbl val="false"/>
      </c:catAx>
      <c:valAx>
        <c:axId val="38784005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7839664"/>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收入额（万元）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dLbl>
              <c:idx val="1"/>
              <c:layout>
                <c:manualLayout>
                  <c:x val="-0.201160558945801"/>
                  <c:y val="0.01927750773087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2"/>
              <c:layout>
                <c:manualLayout>
                  <c:x val="-0.205212311595655"/>
                  <c:y val="-0.117564457847063"/>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3"/>
              <c:layout>
                <c:manualLayout>
                  <c:x val="-0.203255763574355"/>
                  <c:y val="-0.0526583605669152"/>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4"/>
              <c:layout>
                <c:manualLayout>
                  <c:x val="-0.0562773790240408"/>
                  <c:y val="-0.119044427825484"/>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dLbl>
              <c:idx val="6"/>
              <c:layout>
                <c:manualLayout>
                  <c:x val="0.118159581300967"/>
                  <c:y val="0.055591618698616"/>
                </c:manualLayout>
              </c:layout>
              <c:dLblPos val="bestFit"/>
              <c:showLegendKey val="false"/>
              <c:showVal val="tru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147.29</c:v>
                </c:pt>
                <c:pt idx="1">
                  <c:v>0</c:v>
                </c:pt>
                <c:pt idx="2">
                  <c:v>0</c:v>
                </c:pt>
                <c:pt idx="3">
                  <c:v>0</c:v>
                </c:pt>
                <c:pt idx="4">
                  <c:v>0</c:v>
                </c:pt>
                <c:pt idx="6">
                  <c:v>12.8</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16982112090352"/>
                  <c:y val="-0.19783995824124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102242815315956"/>
                  <c:y val="0.160022450706058"/>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layout>
                <c:manualLayout>
                  <c:x val="-0.225138281323621"/>
                  <c:y val="0.0703923673979255"/>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3"/>
              <c:layout>
                <c:manualLayout>
                  <c:x val="0.506853253942267"/>
                  <c:y val="0.0267342843882355"/>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4"/>
              <c:layout>
                <c:manualLayout>
                  <c:x val="-0.223381170708385"/>
                  <c:y val="-0.065173748942539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128.89</c:v>
                </c:pt>
                <c:pt idx="1">
                  <c:v>12.71</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财政拨款收入</c:v>
                </c:pt>
              </c:strCache>
            </c:strRef>
          </c:tx>
          <c:invertIfNegative val="false"/>
          <c:dLbls>
            <c:dLbl>
              <c:idx val="0"/>
              <c:layout>
                <c:manualLayout>
                  <c:x val="2.20615181077603e-17"/>
                  <c:y val="0.0165289256198347"/>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Sheet1!$B$2:$B$3</c:f>
              <c:numCache>
                <c:formatCode>General</c:formatCode>
                <c:ptCount val="2"/>
                <c:pt idx="0">
                  <c:v>116.47</c:v>
                </c:pt>
                <c:pt idx="1">
                  <c:v>147.29</c:v>
                </c:pt>
              </c:numCache>
            </c:numRef>
          </c:val>
        </c:ser>
        <c:ser>
          <c:idx val="1"/>
          <c:order val="1"/>
          <c:tx>
            <c:strRef>
              <c:f>Sheet1!$C$1</c:f>
              <c:strCache>
                <c:ptCount val="1"/>
                <c:pt idx="0">
                  <c:v>财政拨款支出</c:v>
                </c:pt>
              </c:strCache>
            </c:strRef>
          </c:tx>
          <c:invertIfNegative val="false"/>
          <c:dLbls>
            <c:dLbl>
              <c:idx val="0"/>
              <c:layout>
                <c:manualLayout>
                  <c:x val="-0.106563390737503"/>
                  <c:y val="0"/>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0192539109506619"/>
                  <c:y val="-0.00826446280991736"/>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2019年</c:v>
                </c:pt>
                <c:pt idx="1">
                  <c:v>2020年</c:v>
                </c:pt>
              </c:strCache>
            </c:strRef>
          </c:cat>
          <c:val>
            <c:numRef>
              <c:f>Sheet1!$C$2:$C$3</c:f>
              <c:numCache>
                <c:formatCode>General</c:formatCode>
                <c:ptCount val="2"/>
                <c:pt idx="0">
                  <c:v>193.16</c:v>
                </c:pt>
                <c:pt idx="1">
                  <c:v>128.81</c:v>
                </c:pt>
              </c:numCache>
            </c:numRef>
          </c:val>
        </c:ser>
        <c:dLbls>
          <c:showLegendKey val="false"/>
          <c:showVal val="false"/>
          <c:showCatName val="false"/>
          <c:showSerName val="false"/>
          <c:showPercent val="false"/>
          <c:showBubbleSize val="false"/>
        </c:dLbls>
        <c:gapWidth val="150"/>
        <c:axId val="393518024"/>
        <c:axId val="393518416"/>
      </c:barChart>
      <c:catAx>
        <c:axId val="393518024"/>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93518416"/>
        <c:crosses val="autoZero"/>
        <c:auto val="true"/>
        <c:lblAlgn val="ctr"/>
        <c:lblOffset val="100"/>
        <c:noMultiLvlLbl val="false"/>
      </c:catAx>
      <c:valAx>
        <c:axId val="39351841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93518024"/>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5233052764956"/>
          <c:y val="0.0405858267716535"/>
          <c:w val="0.800284188614354"/>
          <c:h val="0.78886209223847"/>
        </c:manualLayout>
      </c:layout>
      <c:barChart>
        <c:barDir val="col"/>
        <c:grouping val="clustered"/>
        <c:varyColors val="false"/>
        <c:ser>
          <c:idx val="0"/>
          <c:order val="0"/>
          <c:tx>
            <c:strRef>
              <c:f>Sheet1!$B$1</c:f>
              <c:strCache>
                <c:ptCount val="1"/>
                <c:pt idx="0">
                  <c:v>一般公共预算财政拨款支出</c:v>
                </c:pt>
              </c:strCache>
            </c:strRef>
          </c:tx>
          <c:invertIfNegative val="false"/>
          <c:dLbls>
            <c:dLbl>
              <c:idx val="0"/>
              <c:layout>
                <c:manualLayout>
                  <c:x val="-0.00766283524904215"/>
                  <c:y val="0.0514705882352941"/>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
                  <c:y val="0.205882352941176"/>
                </c:manualLayout>
              </c:layout>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trendline>
            <c:trendlineType val="exp"/>
            <c:dispRSqr val="false"/>
            <c:dispEq val="false"/>
          </c:trendline>
          <c:cat>
            <c:strRef>
              <c:f>Sheet1!$A$2:$A$3</c:f>
              <c:strCache>
                <c:ptCount val="2"/>
                <c:pt idx="0">
                  <c:v>2019年</c:v>
                </c:pt>
                <c:pt idx="1">
                  <c:v>2020年</c:v>
                </c:pt>
              </c:strCache>
            </c:strRef>
          </c:cat>
          <c:val>
            <c:numRef>
              <c:f>Sheet1!$B$2:$B$3</c:f>
              <c:numCache>
                <c:formatCode>General</c:formatCode>
                <c:ptCount val="2"/>
                <c:pt idx="0">
                  <c:v>193.16</c:v>
                </c:pt>
                <c:pt idx="1">
                  <c:v>128.81</c:v>
                </c:pt>
              </c:numCache>
            </c:numRef>
          </c:val>
        </c:ser>
        <c:dLbls>
          <c:showLegendKey val="false"/>
          <c:showVal val="false"/>
          <c:showCatName val="false"/>
          <c:showSerName val="false"/>
          <c:showPercent val="false"/>
          <c:showBubbleSize val="false"/>
        </c:dLbls>
        <c:gapWidth val="150"/>
        <c:axId val="393519200"/>
        <c:axId val="393519592"/>
      </c:barChart>
      <c:catAx>
        <c:axId val="393519200"/>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93519592"/>
        <c:crosses val="autoZero"/>
        <c:auto val="true"/>
        <c:lblAlgn val="ctr"/>
        <c:lblOffset val="100"/>
        <c:noMultiLvlLbl val="false"/>
      </c:catAx>
      <c:valAx>
        <c:axId val="39351959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93519200"/>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一般公共预算财政拨款支出（万元）</c:v>
                </c:pt>
              </c:strCache>
            </c:strRef>
          </c:tx>
          <c:explosion val="0"/>
          <c:dPt>
            <c:idx val="0"/>
            <c:bubble3D val="false"/>
          </c:dPt>
          <c:dPt>
            <c:idx val="1"/>
            <c:bubble3D val="false"/>
            <c:explosion val="32"/>
          </c:dPt>
          <c:dPt>
            <c:idx val="2"/>
            <c:bubble3D val="false"/>
          </c:dPt>
          <c:dPt>
            <c:idx val="3"/>
            <c:bubble3D val="false"/>
          </c:dPt>
          <c:dPt>
            <c:idx val="4"/>
            <c:bubble3D val="false"/>
          </c:dPt>
          <c:dPt>
            <c:idx val="5"/>
            <c:bubble3D val="false"/>
          </c:dPt>
          <c:dPt>
            <c:idx val="6"/>
            <c:bubble3D val="false"/>
          </c:dPt>
          <c:dPt>
            <c:idx val="7"/>
            <c:bubble3D val="false"/>
          </c:dPt>
          <c:dLbls>
            <c:dLbl>
              <c:idx val="0"/>
              <c:delete val="true"/>
            </c:dLbl>
            <c:dLbl>
              <c:idx val="1"/>
              <c:layout>
                <c:manualLayout>
                  <c:x val="-0.0801756007393718"/>
                  <c:y val="-0.20421164532184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delete val="true"/>
            </c:dLbl>
            <c:dLbl>
              <c:idx val="3"/>
              <c:layout>
                <c:manualLayout>
                  <c:x val="-0.106962761587261"/>
                  <c:y val="0.099326519859524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4"/>
              <c:layout>
                <c:manualLayout>
                  <c:x val="-0.2300556659837"/>
                  <c:y val="-0.054845707300156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5"/>
              <c:layout>
                <c:manualLayout>
                  <c:x val="0.0173964454443195"/>
                  <c:y val="0.030230779693805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6"/>
              <c:layout>
                <c:manualLayout>
                  <c:x val="0.544493138357706"/>
                  <c:y val="-0.024816600420149"/>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7"/>
              <c:layout>
                <c:manualLayout>
                  <c:x val="0.508143523325757"/>
                  <c:y val="0.0953619193925433"/>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manualLayout>
                      <c:w val="0.190850277264325"/>
                      <c:h val="0.128360215053763"/>
                    </c:manualLayout>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7">
                  <c:v>其它支出</c:v>
                </c:pt>
              </c:strCache>
            </c:strRef>
          </c:cat>
          <c:val>
            <c:numRef>
              <c:f>Sheet1!$B$2:$B$9</c:f>
              <c:numCache>
                <c:formatCode>General</c:formatCode>
                <c:ptCount val="8"/>
                <c:pt idx="0">
                  <c:v>0</c:v>
                </c:pt>
                <c:pt idx="1">
                  <c:v>105.57</c:v>
                </c:pt>
                <c:pt idx="2">
                  <c:v>0</c:v>
                </c:pt>
                <c:pt idx="3">
                  <c:v>13.39</c:v>
                </c:pt>
                <c:pt idx="4">
                  <c:v>9.85</c:v>
                </c:pt>
                <c:pt idx="7">
                  <c:v>0</c:v>
                </c:pt>
              </c:numCache>
            </c:numRef>
          </c:val>
        </c:ser>
        <c:dLbls>
          <c:showLegendKey val="false"/>
          <c:showVal val="false"/>
          <c:showCatName val="false"/>
          <c:showSerName val="false"/>
          <c:showPercent val="false"/>
          <c:showBubbleSize val="false"/>
          <c:showLeaderLines val="true"/>
        </c:dLbls>
        <c:firstSliceAng val="0"/>
      </c:pieChart>
    </c:plotArea>
    <c:legend>
      <c:legendPos val="r"/>
      <c:legendEntry>
        <c:idx val="5"/>
        <c:delete val="true"/>
      </c:legendEntry>
      <c:legendEntry>
        <c:idx val="6"/>
        <c:delete val="true"/>
      </c:legendEntry>
      <c:layout>
        <c:manualLayout>
          <c:xMode val="edge"/>
          <c:yMode val="edge"/>
          <c:x val="0.743761552680222"/>
          <c:y val="0.464518846072857"/>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1889</Words>
  <Characters>10769</Characters>
  <Lines>89</Lines>
  <Paragraphs>25</Paragraphs>
  <TotalTime>15</TotalTime>
  <ScaleCrop>false</ScaleCrop>
  <LinksUpToDate>false</LinksUpToDate>
  <CharactersWithSpaces>12633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2019-09-09T16:46:00Z</dcterms:created>
  <dc:creator>张彬茜</dc:creator>
  <cp:lastModifiedBy>user</cp:lastModifiedBy>
  <cp:lastPrinted>2022-06-17T08:15:00Z</cp:lastPrinted>
  <dcterms:modified xsi:type="dcterms:W3CDTF">2022-11-14T17:41:54Z</dcterms:modified>
  <dc:title>四川省***</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790B470BF6654DE3BE372FC66361691D</vt:lpwstr>
  </property>
</Properties>
</file>