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widowControl w:val="0"/>
        <w:kinsoku/>
        <w:wordWrap/>
        <w:overflowPunct/>
        <w:topLinePunct w:val="0"/>
        <w:bidi w:val="0"/>
        <w:adjustRightInd w:val="0"/>
        <w:snapToGrid w:val="0"/>
        <w:spacing w:line="576" w:lineRule="exact"/>
        <w:ind w:firstLineChars="200" w:firstLine="880"/>
        <w:jc w:val="center"/>
        <w:outlineLvl w:val="0"/>
        <w:rPr>
          <w:rFonts w:ascii="方正黑体简体" w:eastAsia="方正黑体简体" w:cs="方正黑体简体" w:hint="eastAsia"/>
          <w:color w:val="auto"/>
          <w:sz w:val="44"/>
          <w:szCs w:val="44"/>
        </w:rPr>
      </w:pPr>
      <w:bookmarkStart w:id="0" w:name="_Toc15396475"/>
      <w:bookmarkStart w:id="1" w:name="_Toc15378441"/>
      <w:bookmarkStart w:id="2" w:name="_Toc15396597"/>
      <w:bookmarkStart w:id="3" w:name="_Toc15377425"/>
      <w:bookmarkStart w:id="4" w:name="_Toc15377193"/>
      <w:bookmarkStart w:id="5" w:name="_Toc15306267"/>
    </w:p>
    <w:p>
      <w:pPr>
        <w:pageBreakBefore w:val="0"/>
        <w:widowControl w:val="0"/>
        <w:kinsoku/>
        <w:wordWrap/>
        <w:overflowPunct/>
        <w:topLinePunct w:val="0"/>
        <w:bidi w:val="0"/>
        <w:adjustRightInd w:val="0"/>
        <w:snapToGrid w:val="0"/>
        <w:spacing w:line="576" w:lineRule="exact"/>
        <w:ind w:firstLineChars="200" w:firstLine="880"/>
        <w:jc w:val="center"/>
        <w:outlineLvl w:val="0"/>
        <w:rPr>
          <w:rFonts w:ascii="方正黑体简体" w:eastAsia="方正黑体简体" w:cs="方正黑体简体" w:hint="eastAsia"/>
          <w:color w:val="auto"/>
          <w:sz w:val="44"/>
          <w:szCs w:val="44"/>
        </w:rPr>
      </w:pPr>
    </w:p>
    <w:p>
      <w:pPr>
        <w:pageBreakBefore w:val="0"/>
        <w:widowControl w:val="0"/>
        <w:kinsoku/>
        <w:wordWrap/>
        <w:overflowPunct/>
        <w:topLinePunct w:val="0"/>
        <w:bidi w:val="0"/>
        <w:adjustRightInd w:val="0"/>
        <w:snapToGrid w:val="0"/>
        <w:spacing w:line="576" w:lineRule="exact"/>
        <w:ind w:firstLineChars="200" w:firstLine="880"/>
        <w:jc w:val="center"/>
        <w:outlineLvl w:val="0"/>
        <w:rPr>
          <w:rFonts w:ascii="方正黑体简体" w:eastAsia="方正黑体简体" w:cs="方正黑体简体" w:hint="eastAsia"/>
          <w:color w:val="auto"/>
          <w:sz w:val="44"/>
          <w:szCs w:val="44"/>
        </w:rPr>
      </w:pPr>
    </w:p>
    <w:p>
      <w:pPr>
        <w:pageBreakBefore w:val="0"/>
        <w:widowControl w:val="0"/>
        <w:kinsoku/>
        <w:wordWrap/>
        <w:overflowPunct/>
        <w:topLinePunct w:val="0"/>
        <w:bidi w:val="0"/>
        <w:adjustRightInd w:val="0"/>
        <w:snapToGrid w:val="0"/>
        <w:spacing w:line="576" w:lineRule="exact"/>
        <w:ind w:firstLineChars="200" w:firstLine="880"/>
        <w:jc w:val="center"/>
        <w:outlineLvl w:val="0"/>
        <w:rPr>
          <w:rFonts w:ascii="方正黑体简体" w:eastAsia="方正黑体简体" w:cs="方正黑体简体" w:hint="eastAsia"/>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eastAsia="方正小标宋简体" w:cs="方正小标宋简体" w:hint="eastAsia"/>
          <w:color w:val="auto"/>
          <w:sz w:val="48"/>
          <w:szCs w:val="48"/>
        </w:rPr>
      </w:pPr>
      <w:r>
        <w:rPr>
          <w:rFonts w:ascii="方正小标宋简体" w:eastAsia="方正小标宋简体" w:cs="方正小标宋简体" w:hint="eastAsia"/>
          <w:color w:val="auto"/>
          <w:sz w:val="48"/>
          <w:szCs w:val="48"/>
        </w:rPr>
        <w:t>20</w:t>
      </w:r>
      <w:r>
        <w:rPr>
          <w:rFonts w:ascii="方正小标宋简体" w:eastAsia="方正小标宋简体" w:cs="方正小标宋简体" w:hint="eastAsia"/>
          <w:color w:val="auto"/>
          <w:sz w:val="48"/>
          <w:szCs w:val="48"/>
          <w:lang w:val="en-US" w:eastAsia="zh-CN"/>
        </w:rPr>
        <w:t>20</w:t>
      </w:r>
      <w:r>
        <w:rPr>
          <w:rFonts w:ascii="方正小标宋简体" w:eastAsia="方正小标宋简体" w:cs="方正小标宋简体" w:hint="eastAsia"/>
          <w:color w:val="auto"/>
          <w:sz w:val="48"/>
          <w:szCs w:val="48"/>
        </w:rPr>
        <w:t>年度</w:t>
      </w:r>
      <w:bookmarkStart w:id="6" w:name="_Toc15377426"/>
      <w:bookmarkStart w:id="7" w:name="_Toc15396476"/>
      <w:bookmarkStart w:id="8" w:name="_Toc15378442"/>
      <w:bookmarkStart w:id="9" w:name="_Toc15377194"/>
      <w:bookmarkStart w:id="10" w:name="_Toc15396598"/>
      <w:bookmarkEnd w:id="0"/>
      <w:bookmarkEnd w:id="1"/>
      <w:bookmarkEnd w:id="2"/>
      <w:bookmarkEnd w:id="3"/>
      <w:bookmarkEnd w:id="4"/>
    </w:p>
    <w:p>
      <w:pPr>
        <w:pageBreakBefore w:val="0"/>
        <w:widowControl w:val="0"/>
        <w:kinsoku/>
        <w:wordWrap/>
        <w:overflowPunct/>
        <w:topLinePunct w:val="0"/>
        <w:bidi w:val="0"/>
        <w:adjustRightInd w:val="0"/>
        <w:snapToGrid w:val="0"/>
        <w:spacing w:line="576" w:lineRule="exact"/>
        <w:jc w:val="center"/>
        <w:outlineLvl w:val="0"/>
        <w:rPr>
          <w:rFonts w:ascii="方正小标宋简体" w:eastAsia="方正小标宋简体" w:cs="方正小标宋简体" w:hint="eastAsia"/>
          <w:color w:val="auto"/>
          <w:sz w:val="48"/>
          <w:szCs w:val="48"/>
        </w:rPr>
      </w:pPr>
      <w:r>
        <w:rPr>
          <w:rFonts w:ascii="方正小标宋简体" w:eastAsia="方正小标宋简体" w:cs="方正小标宋简体" w:hint="eastAsia"/>
          <w:color w:val="auto"/>
          <w:sz w:val="48"/>
          <w:szCs w:val="48"/>
        </w:rPr>
        <w:t>广元市利州区</w:t>
      </w:r>
      <w:bookmarkStart w:id="11" w:name="_Toc15306268"/>
      <w:bookmarkEnd w:id="5"/>
      <w:r>
        <w:rPr>
          <w:rFonts w:ascii="方正小标宋简体" w:eastAsia="方正小标宋简体" w:cs="方正小标宋简体" w:hint="eastAsia"/>
          <w:color w:val="auto"/>
          <w:sz w:val="48"/>
          <w:szCs w:val="48"/>
          <w:lang w:eastAsia="zh-CN"/>
        </w:rPr>
        <w:t>杨家岩</w:t>
      </w:r>
      <w:r>
        <w:rPr>
          <w:rFonts w:ascii="方正小标宋简体" w:eastAsia="方正小标宋简体" w:cs="方正小标宋简体" w:hint="eastAsia"/>
          <w:color w:val="auto"/>
          <w:sz w:val="48"/>
          <w:szCs w:val="48"/>
        </w:rPr>
        <w:t>社区卫生服务中心</w:t>
      </w:r>
    </w:p>
    <w:p>
      <w:pPr>
        <w:pageBreakBefore w:val="0"/>
        <w:widowControl w:val="0"/>
        <w:kinsoku/>
        <w:wordWrap/>
        <w:overflowPunct/>
        <w:topLinePunct w:val="0"/>
        <w:bidi w:val="0"/>
        <w:adjustRightInd w:val="0"/>
        <w:snapToGrid w:val="0"/>
        <w:spacing w:line="576" w:lineRule="exact"/>
        <w:jc w:val="center"/>
        <w:outlineLvl w:val="0"/>
        <w:rPr>
          <w:rFonts w:ascii="方正小标宋简体" w:eastAsia="方正小标宋简体" w:cs="方正小标宋简体" w:hint="eastAsia"/>
          <w:color w:val="auto"/>
          <w:sz w:val="48"/>
          <w:szCs w:val="48"/>
        </w:rPr>
      </w:pPr>
      <w:r>
        <w:rPr>
          <w:rFonts w:ascii="方正小标宋简体" w:eastAsia="方正小标宋简体" w:cs="方正小标宋简体" w:hint="eastAsia"/>
          <w:color w:val="auto"/>
          <w:sz w:val="48"/>
          <w:szCs w:val="48"/>
        </w:rPr>
        <w:t>部门决算</w:t>
      </w:r>
      <w:bookmarkEnd w:id="6"/>
      <w:bookmarkEnd w:id="7"/>
      <w:bookmarkEnd w:id="8"/>
      <w:bookmarkEnd w:id="9"/>
      <w:bookmarkEnd w:id="10"/>
      <w:bookmarkEnd w:id="11"/>
    </w:p>
    <w:p>
      <w:pPr>
        <w:pageBreakBefore w:val="0"/>
        <w:widowControl w:val="0"/>
        <w:kinsoku/>
        <w:wordWrap/>
        <w:overflowPunct/>
        <w:topLinePunct w:val="0"/>
        <w:bidi w:val="0"/>
        <w:adjustRightInd w:val="0"/>
        <w:snapToGrid w:val="0"/>
        <w:spacing w:line="576" w:lineRule="exact"/>
        <w:ind w:firstLineChars="200" w:firstLine="880"/>
        <w:jc w:val="center"/>
        <w:outlineLvl w:val="0"/>
        <w:rPr>
          <w:rFonts w:ascii="方正小标宋简体" w:eastAsia="方正小标宋简体"/>
          <w:color w:val="auto"/>
          <w:sz w:val="44"/>
          <w:szCs w:val="44"/>
        </w:rPr>
      </w:pPr>
    </w:p>
    <w:p>
      <w:pPr>
        <w:pageBreakBefore w:val="0"/>
        <w:widowControl/>
        <w:kinsoku/>
        <w:wordWrap/>
        <w:overflowPunct/>
        <w:topLinePunct w:val="0"/>
        <w:autoSpaceDE/>
        <w:autoSpaceDN/>
        <w:bidi w:val="0"/>
        <w:spacing w:line="576" w:lineRule="exact"/>
        <w:ind w:left="0" w:right="0" w:firstLineChars="200" w:firstLine="720"/>
        <w:jc w:val="center"/>
        <w:textAlignment w:val="auto"/>
        <w:rPr>
          <w:rFonts w:ascii="方正小标宋简体" w:eastAsia="方正小标宋简体" w:cs="方正小标宋简体" w:hint="eastAsia"/>
          <w:color w:val="auto"/>
          <w:sz w:val="44"/>
          <w:szCs w:val="44"/>
        </w:rPr>
      </w:pPr>
      <w:r>
        <w:rPr>
          <w:rFonts w:ascii="方正小标宋简体" w:eastAsia="方正小标宋简体"/>
          <w:color w:val="auto"/>
          <w:sz w:val="36"/>
          <w:szCs w:val="36"/>
        </w:rPr>
        <w:br w:type="page"/>
      </w:r>
      <w:r>
        <w:rPr>
          <w:rFonts w:ascii="方正小标宋简体" w:eastAsia="方正小标宋简体" w:cs="方正小标宋简体" w:hint="eastAsia"/>
          <w:color w:val="auto"/>
          <w:sz w:val="44"/>
          <w:szCs w:val="44"/>
        </w:rPr>
        <w:t>目</w:t>
      </w:r>
      <w:r>
        <w:rPr>
          <w:rFonts w:ascii="方正小标宋简体" w:eastAsia="方正小标宋简体" w:cs="方正小标宋简体" w:hint="eastAsia"/>
          <w:color w:val="auto"/>
          <w:sz w:val="44"/>
          <w:szCs w:val="44"/>
          <w:lang w:val="en-US" w:eastAsia="zh-CN"/>
        </w:rPr>
        <w:t xml:space="preserve">  </w:t>
      </w:r>
      <w:r>
        <w:rPr>
          <w:rFonts w:ascii="方正小标宋简体" w:eastAsia="方正小标宋简体" w:cs="方正小标宋简体" w:hint="eastAsia"/>
          <w:color w:val="auto"/>
          <w:sz w:val="44"/>
          <w:szCs w:val="44"/>
        </w:rPr>
        <w:t>录</w:t>
      </w:r>
    </w:p>
    <w:p>
      <w:pPr>
        <w:pStyle w:val="22"/>
        <w:pageBreakBefore w:val="0"/>
        <w:widowControl w:val="0"/>
        <w:tabs>
          <w:tab w:val="right" w:leader="dot" w:pos="8296"/>
        </w:tabs>
        <w:kinsoku/>
        <w:wordWrap/>
        <w:overflowPunct/>
        <w:topLinePunct w:val="0"/>
        <w:autoSpaceDE/>
        <w:autoSpaceDN/>
        <w:bidi w:val="0"/>
        <w:spacing w:before="0" w:line="576" w:lineRule="exact"/>
        <w:ind w:left="0" w:right="0" w:firstLineChars="200" w:firstLine="640"/>
        <w:textAlignment w:val="auto"/>
        <w:rPr>
          <w:rFonts w:ascii="方正楷体简体" w:eastAsia="方正楷体简体" w:cs="方正楷体简体" w:hint="eastAsia"/>
          <w:color w:val="auto"/>
          <w:sz w:val="32"/>
          <w:szCs w:val="32"/>
        </w:rPr>
      </w:pPr>
      <w:r>
        <w:rPr>
          <w:rFonts w:ascii="方正楷体简体" w:eastAsia="方正楷体简体" w:cs="方正楷体简体" w:hint="eastAsia"/>
          <w:color w:val="auto"/>
          <w:sz w:val="32"/>
          <w:szCs w:val="32"/>
        </w:rPr>
        <w:t>公开时间：202</w:t>
      </w:r>
      <w:r>
        <w:rPr>
          <w:rFonts w:ascii="方正楷体简体" w:eastAsia="方正楷体简体" w:cs="方正楷体简体" w:hint="eastAsia"/>
          <w:color w:val="auto"/>
          <w:sz w:val="32"/>
          <w:szCs w:val="32"/>
          <w:lang w:val="en-US" w:eastAsia="zh-CN"/>
        </w:rPr>
        <w:t>1</w:t>
      </w:r>
      <w:r>
        <w:rPr>
          <w:rFonts w:ascii="方正楷体简体" w:eastAsia="方正楷体简体" w:cs="方正楷体简体" w:hint="eastAsia"/>
          <w:color w:val="auto"/>
          <w:sz w:val="32"/>
          <w:szCs w:val="32"/>
        </w:rPr>
        <w:t>年</w:t>
      </w:r>
      <w:r>
        <w:rPr>
          <w:rFonts w:ascii="方正楷体简体" w:eastAsia="方正楷体简体" w:cs="方正楷体简体" w:hint="eastAsia"/>
          <w:color w:val="auto"/>
          <w:sz w:val="32"/>
          <w:szCs w:val="32"/>
          <w:lang w:val="en-US" w:eastAsia="zh-CN"/>
        </w:rPr>
        <w:t>10</w:t>
      </w:r>
      <w:r>
        <w:rPr>
          <w:rFonts w:ascii="方正楷体简体" w:eastAsia="方正楷体简体" w:cs="方正楷体简体" w:hint="eastAsia"/>
          <w:color w:val="auto"/>
          <w:sz w:val="32"/>
          <w:szCs w:val="32"/>
        </w:rPr>
        <w:t>月</w:t>
      </w:r>
      <w:r>
        <w:rPr>
          <w:rFonts w:ascii="方正楷体简体" w:eastAsia="方正楷体简体" w:cs="方正楷体简体" w:hint="eastAsia"/>
          <w:color w:val="auto"/>
          <w:sz w:val="32"/>
          <w:szCs w:val="32"/>
          <w:lang w:val="en-US" w:eastAsia="zh-CN"/>
        </w:rPr>
        <w:t>14</w:t>
      </w:r>
      <w:r>
        <w:rPr>
          <w:rFonts w:ascii="方正楷体简体" w:eastAsia="方正楷体简体" w:cs="方正楷体简体" w:hint="eastAsia"/>
          <w:color w:val="auto"/>
          <w:sz w:val="32"/>
          <w:szCs w:val="32"/>
        </w:rPr>
        <w:t>日</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int="eastAsia"/>
          <w:color w:val="auto"/>
          <w:sz w:val="32"/>
          <w:szCs w:val="32"/>
          <w:lang w:val="en-US" w:eastAsia="zh-CN"/>
        </w:rPr>
      </w:pPr>
      <w:r>
        <w:rPr>
          <w:rFonts w:ascii="方正黑体简体" w:eastAsia="方正黑体简体" w:cs="方正黑体简体" w:hint="eastAsia"/>
          <w:color w:val="auto"/>
          <w:sz w:val="32"/>
          <w:szCs w:val="32"/>
        </w:rPr>
        <w:t>第一部分 部门</w:t>
      </w:r>
      <w:r>
        <w:rPr>
          <w:rFonts w:ascii="方正黑体简体" w:eastAsia="方正黑体简体" w:cs="方正黑体简体" w:hint="eastAsia"/>
          <w:color w:val="auto"/>
          <w:sz w:val="32"/>
          <w:szCs w:val="32"/>
          <w:lang w:eastAsia="zh-CN"/>
        </w:rPr>
        <w:t>概</w:t>
      </w:r>
      <w:r>
        <w:rPr>
          <w:rFonts w:ascii="方正黑体简体" w:eastAsia="方正黑体简体" w:cs="方正黑体简体" w:hint="eastAsia"/>
          <w:color w:val="auto"/>
          <w:sz w:val="32"/>
          <w:szCs w:val="32"/>
        </w:rPr>
        <w:t>况</w:t>
      </w:r>
      <w:r>
        <w:rPr>
          <w:rFonts w:ascii="方正黑体简体" w:eastAsia="方正黑体简体" w:cs="方正黑体简体" w:hint="eastAsia"/>
          <w:color w:val="auto"/>
          <w:sz w:val="32"/>
          <w:szCs w:val="32"/>
          <w:lang w:val="en-US" w:eastAsia="zh-CN"/>
        </w:rPr>
        <w:t>.................................................04</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一、基本职能及主要工作</w:t>
      </w:r>
      <w:r>
        <w:rPr>
          <w:rFonts w:ascii="方正仿宋简体" w:eastAsia="方正仿宋简体" w:cs="方正仿宋简体" w:hint="eastAsia"/>
          <w:color w:val="auto"/>
          <w:sz w:val="32"/>
          <w:szCs w:val="32"/>
          <w:lang w:val="en-US" w:eastAsia="zh-CN"/>
        </w:rPr>
        <w:t>..............................................04</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color w:val="auto"/>
          <w:sz w:val="32"/>
          <w:szCs w:val="32"/>
          <w:lang w:val="en-US" w:eastAsia="zh-CN"/>
        </w:rPr>
      </w:pPr>
      <w:r>
        <w:rPr>
          <w:rFonts w:ascii="方正仿宋简体" w:eastAsia="方正仿宋简体" w:cs="方正仿宋简体" w:hint="eastAsia"/>
          <w:color w:val="auto"/>
          <w:sz w:val="32"/>
          <w:szCs w:val="32"/>
        </w:rPr>
        <w:t>二、机构设置</w:t>
      </w:r>
      <w:r>
        <w:rPr>
          <w:rFonts w:ascii="方正仿宋简体" w:eastAsia="方正仿宋简体" w:cs="方正仿宋简体" w:hint="eastAsia"/>
          <w:color w:val="auto"/>
          <w:sz w:val="32"/>
          <w:szCs w:val="32"/>
          <w:lang w:val="en-US" w:eastAsia="zh-CN"/>
        </w:rPr>
        <w:t>...............................................................10</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int="eastAsia"/>
          <w:color w:val="auto"/>
          <w:sz w:val="32"/>
          <w:szCs w:val="32"/>
          <w:lang w:val="en-US" w:eastAsia="zh-CN"/>
        </w:rPr>
      </w:pPr>
      <w:r>
        <w:rPr>
          <w:rFonts w:ascii="方正黑体简体" w:eastAsia="方正黑体简体" w:cs="方正黑体简体" w:hint="eastAsia"/>
          <w:color w:val="auto"/>
          <w:sz w:val="32"/>
          <w:szCs w:val="32"/>
        </w:rPr>
        <w:t>第二部分</w:t>
      </w:r>
      <w:r>
        <w:rPr>
          <w:rFonts w:ascii="方正黑体简体" w:eastAsia="方正黑体简体" w:cs="方正黑体简体" w:hint="eastAsia"/>
          <w:color w:val="auto"/>
          <w:sz w:val="32"/>
          <w:szCs w:val="32"/>
          <w:lang w:val="en-US" w:eastAsia="zh-CN"/>
        </w:rPr>
        <w:t xml:space="preserve"> </w:t>
      </w:r>
      <w:r>
        <w:rPr>
          <w:rFonts w:ascii="方正黑体简体" w:eastAsia="方正黑体简体" w:cs="方正黑体简体" w:hint="eastAsia"/>
          <w:color w:val="auto"/>
          <w:sz w:val="32"/>
          <w:szCs w:val="32"/>
        </w:rPr>
        <w:t>部门决算情况</w:t>
      </w:r>
      <w:r>
        <w:rPr>
          <w:rFonts w:ascii="方正黑体简体" w:eastAsia="方正黑体简体" w:cs="方正黑体简体" w:hint="eastAsia"/>
          <w:color w:val="auto"/>
          <w:sz w:val="32"/>
          <w:szCs w:val="32"/>
          <w:lang w:eastAsia="zh-CN"/>
        </w:rPr>
        <w:t>说</w:t>
      </w:r>
      <w:r>
        <w:rPr>
          <w:rFonts w:ascii="方正黑体简体" w:eastAsia="方正黑体简体" w:cs="方正黑体简体" w:hint="eastAsia"/>
          <w:color w:val="auto"/>
          <w:sz w:val="32"/>
          <w:szCs w:val="32"/>
        </w:rPr>
        <w:t>明</w:t>
      </w:r>
      <w:r>
        <w:rPr>
          <w:rFonts w:ascii="方正黑体简体" w:eastAsia="方正黑体简体" w:cs="方正黑体简体" w:hint="eastAsia"/>
          <w:color w:val="auto"/>
          <w:sz w:val="32"/>
          <w:szCs w:val="32"/>
          <w:lang w:val="en-US" w:eastAsia="zh-CN"/>
        </w:rPr>
        <w:t>.......................................11</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一、收入支出决算总体情况说明</w:t>
      </w:r>
      <w:r>
        <w:rPr>
          <w:rFonts w:ascii="方正仿宋简体" w:eastAsia="方正仿宋简体" w:cs="方正仿宋简体" w:hint="eastAsia"/>
          <w:color w:val="auto"/>
          <w:sz w:val="32"/>
          <w:szCs w:val="32"/>
          <w:lang w:val="en-US" w:eastAsia="zh-CN"/>
        </w:rPr>
        <w:t>....................................11</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二、收入决算情况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..................................................12</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三、支出决算情况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..................................................13</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四、财政拨款收入支出决算总体情况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.......................13</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五、一般公共预算财政拨款支出决算情况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................14</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六、一般公共预算财政拨款基本支出决算情况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.........16</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七、“三公”经费财政拨款支出决算情况说明</w:t>
      </w:r>
      <w:r>
        <w:rPr>
          <w:rFonts w:ascii="方正仿宋简体" w:eastAsia="方正仿宋简体" w:cs="方正仿宋简体" w:hint="eastAsia"/>
          <w:color w:val="auto"/>
          <w:sz w:val="32"/>
          <w:szCs w:val="32"/>
          <w:lang w:val="en-US" w:eastAsia="zh-CN"/>
        </w:rPr>
        <w:t>....................17</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八、政府性基金预算支出决算情况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..........................18</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九、 国有资本经营预算支出决算情况</w:t>
      </w:r>
      <w:r>
        <w:rPr>
          <w:rFonts w:ascii="方正仿宋简体" w:eastAsia="方正仿宋简体" w:cs="方正仿宋简体" w:hint="eastAsia"/>
          <w:color w:val="auto"/>
          <w:sz w:val="32"/>
          <w:szCs w:val="32"/>
          <w:lang w:eastAsia="zh-CN"/>
        </w:rPr>
        <w:t>说</w:t>
      </w:r>
      <w:r>
        <w:rPr>
          <w:rFonts w:ascii="方正仿宋简体" w:eastAsia="方正仿宋简体" w:cs="方正仿宋简体" w:hint="eastAsia"/>
          <w:color w:val="auto"/>
          <w:sz w:val="32"/>
          <w:szCs w:val="32"/>
        </w:rPr>
        <w:t>明</w:t>
      </w:r>
      <w:r>
        <w:rPr>
          <w:rFonts w:ascii="方正仿宋简体" w:eastAsia="方正仿宋简体" w:cs="方正仿宋简体" w:hint="eastAsia"/>
          <w:color w:val="auto"/>
          <w:sz w:val="32"/>
          <w:szCs w:val="32"/>
          <w:lang w:val="en-US" w:eastAsia="zh-CN"/>
        </w:rPr>
        <w:t>....................18</w:t>
      </w:r>
    </w:p>
    <w:p>
      <w:pPr>
        <w:pageBreakBefore w:val="0"/>
        <w:widowControl w:val="0"/>
        <w:kinsoku/>
        <w:wordWrap/>
        <w:overflowPunct/>
        <w:topLinePunct w:val="0"/>
        <w:autoSpaceDE/>
        <w:autoSpaceDN/>
        <w:bidi w:val="0"/>
        <w:adjustRightInd w:val="0"/>
        <w:snapToGrid w:val="0"/>
        <w:spacing w:line="576" w:lineRule="exact"/>
        <w:ind w:left="0" w:right="0" w:firstLineChars="200" w:firstLine="640"/>
        <w:jc w:val="distribute"/>
        <w:textAlignment w:val="auto"/>
        <w:rPr>
          <w:rFonts w:ascii="方正仿宋简体" w:eastAsia="方正仿宋简体" w:cs="方正仿宋简体"/>
          <w:color w:val="auto"/>
          <w:sz w:val="32"/>
          <w:szCs w:val="32"/>
          <w:lang w:val="en-US" w:eastAsia="zh-CN"/>
        </w:rPr>
      </w:pPr>
      <w:r>
        <w:rPr>
          <w:rStyle w:val="26"/>
          <w:rFonts w:ascii="方正仿宋简体" w:eastAsia="方正仿宋简体" w:cs="方正仿宋简体" w:hint="eastAsia"/>
          <w:color w:val="auto"/>
          <w:sz w:val="32"/>
          <w:szCs w:val="32"/>
          <w:u w:val="none"/>
        </w:rPr>
        <w:t>十、</w:t>
      </w:r>
      <w:r>
        <w:rPr>
          <w:rFonts w:ascii="方正仿宋简体" w:eastAsia="方正仿宋简体" w:cs="方正仿宋简体" w:hint="eastAsia"/>
          <w:color w:val="auto"/>
          <w:sz w:val="32"/>
          <w:szCs w:val="32"/>
        </w:rPr>
        <w:t>其他重要事项的情况说明</w:t>
      </w:r>
      <w:r>
        <w:rPr>
          <w:rFonts w:ascii="方正仿宋简体" w:eastAsia="方正仿宋简体" w:cs="方正仿宋简体" w:hint="eastAsia"/>
          <w:color w:val="auto"/>
          <w:sz w:val="32"/>
          <w:szCs w:val="32"/>
          <w:lang w:val="en-US" w:eastAsia="zh-CN"/>
        </w:rPr>
        <w:t>...................................18</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int="eastAsia"/>
          <w:color w:val="auto"/>
          <w:sz w:val="32"/>
          <w:szCs w:val="32"/>
          <w:lang w:val="en-US" w:eastAsia="zh-CN"/>
        </w:rPr>
      </w:pPr>
      <w:r>
        <w:rPr>
          <w:rFonts w:ascii="方正黑体简体" w:eastAsia="方正黑体简体" w:cs="方正黑体简体" w:hint="eastAsia"/>
          <w:color w:val="auto"/>
          <w:sz w:val="32"/>
          <w:szCs w:val="32"/>
        </w:rPr>
        <w:t>第三部分</w:t>
      </w:r>
      <w:r>
        <w:rPr>
          <w:rFonts w:ascii="方正黑体简体" w:eastAsia="方正黑体简体" w:cs="方正黑体简体" w:hint="eastAsia"/>
          <w:color w:val="auto"/>
          <w:sz w:val="32"/>
          <w:szCs w:val="32"/>
          <w:lang w:val="en-US" w:eastAsia="zh-CN"/>
        </w:rPr>
        <w:t xml:space="preserve">  </w:t>
      </w:r>
      <w:r>
        <w:rPr>
          <w:rFonts w:ascii="方正黑体简体" w:eastAsia="方正黑体简体" w:cs="方正黑体简体" w:hint="eastAsia"/>
          <w:color w:val="auto"/>
          <w:sz w:val="32"/>
          <w:szCs w:val="32"/>
        </w:rPr>
        <w:t>名词</w:t>
      </w:r>
      <w:r>
        <w:rPr>
          <w:rFonts w:ascii="方正黑体简体" w:eastAsia="方正黑体简体" w:cs="方正黑体简体" w:hint="eastAsia"/>
          <w:color w:val="auto"/>
          <w:sz w:val="32"/>
          <w:szCs w:val="32"/>
          <w:lang w:eastAsia="zh-CN"/>
        </w:rPr>
        <w:t>解释</w:t>
      </w:r>
      <w:r>
        <w:rPr>
          <w:rFonts w:ascii="方正黑体简体" w:eastAsia="方正黑体简体" w:cs="方正黑体简体" w:hint="eastAsia"/>
          <w:color w:val="auto"/>
          <w:sz w:val="32"/>
          <w:szCs w:val="32"/>
          <w:lang w:val="en-US" w:eastAsia="zh-CN"/>
        </w:rPr>
        <w:t>..................................................26</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color w:val="auto"/>
          <w:sz w:val="32"/>
          <w:szCs w:val="32"/>
          <w:lang w:val="en-US" w:eastAsia="zh-CN"/>
        </w:rPr>
      </w:pPr>
      <w:r>
        <w:rPr>
          <w:rFonts w:ascii="方正黑体简体" w:eastAsia="方正黑体简体" w:cs="方正黑体简体" w:hint="eastAsia"/>
          <w:color w:val="auto"/>
          <w:sz w:val="32"/>
          <w:szCs w:val="32"/>
        </w:rPr>
        <w:t>第四部分</w:t>
      </w:r>
      <w:r>
        <w:rPr>
          <w:rFonts w:ascii="方正黑体简体" w:eastAsia="方正黑体简体" w:cs="方正黑体简体" w:hint="eastAsia"/>
          <w:color w:val="auto"/>
          <w:sz w:val="32"/>
          <w:szCs w:val="32"/>
          <w:lang w:val="en-US" w:eastAsia="zh-CN"/>
        </w:rPr>
        <w:t xml:space="preserve">  </w:t>
      </w:r>
      <w:r>
        <w:rPr>
          <w:rFonts w:ascii="方正黑体简体" w:eastAsia="方正黑体简体" w:cs="方正黑体简体" w:hint="eastAsia"/>
          <w:color w:val="auto"/>
          <w:sz w:val="32"/>
          <w:szCs w:val="32"/>
          <w:lang w:eastAsia="zh-CN"/>
        </w:rPr>
        <w:t>附件</w:t>
      </w:r>
      <w:r>
        <w:rPr>
          <w:rFonts w:ascii="方正黑体简体" w:eastAsia="方正黑体简体" w:cs="方正黑体简体" w:hint="eastAsia"/>
          <w:color w:val="auto"/>
          <w:sz w:val="32"/>
          <w:szCs w:val="32"/>
          <w:lang w:val="en-US" w:eastAsia="zh-CN"/>
        </w:rPr>
        <w:t>....................................................29</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color w:val="auto"/>
          <w:sz w:val="32"/>
          <w:szCs w:val="32"/>
          <w:lang w:val="en-US" w:eastAsia="zh-CN"/>
        </w:rPr>
      </w:pPr>
      <w:r>
        <w:rPr>
          <w:rFonts w:ascii="方正仿宋简体" w:eastAsia="方正仿宋简体" w:cs="方正仿宋简体" w:hint="eastAsia"/>
          <w:color w:val="auto"/>
          <w:sz w:val="32"/>
          <w:szCs w:val="32"/>
          <w:lang w:eastAsia="zh-CN"/>
        </w:rPr>
        <w:t>附件</w:t>
      </w:r>
      <w:r>
        <w:rPr>
          <w:rFonts w:ascii="方正仿宋简体" w:eastAsia="方正仿宋简体" w:cs="方正仿宋简体" w:hint="eastAsia"/>
          <w:color w:val="auto"/>
          <w:sz w:val="32"/>
          <w:szCs w:val="32"/>
        </w:rPr>
        <w:t>1</w:t>
      </w:r>
      <w:r>
        <w:rPr>
          <w:rFonts w:ascii="方正仿宋简体" w:eastAsia="方正仿宋简体" w:cs="方正仿宋简体" w:hint="eastAsia"/>
          <w:color w:val="auto"/>
          <w:sz w:val="32"/>
          <w:szCs w:val="32"/>
          <w:lang w:val="en-US" w:eastAsia="zh-CN"/>
        </w:rPr>
        <w:t>............................................................30</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distribute"/>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附</w:t>
      </w:r>
      <w:r>
        <w:rPr>
          <w:rFonts w:ascii="方正仿宋简体" w:eastAsia="方正仿宋简体" w:cs="方正仿宋简体" w:hint="eastAsia"/>
          <w:color w:val="auto"/>
          <w:sz w:val="32"/>
          <w:szCs w:val="32"/>
          <w:lang w:eastAsia="zh-CN"/>
        </w:rPr>
        <w:t>件</w:t>
      </w:r>
      <w:r>
        <w:rPr>
          <w:rFonts w:ascii="方正仿宋简体" w:eastAsia="方正仿宋简体" w:cs="方正仿宋简体" w:hint="eastAsia"/>
          <w:color w:val="auto"/>
          <w:sz w:val="32"/>
          <w:szCs w:val="32"/>
        </w:rPr>
        <w:t>2</w:t>
      </w:r>
      <w:r>
        <w:rPr>
          <w:rFonts w:ascii="方正仿宋简体" w:eastAsia="方正仿宋简体" w:cs="方正仿宋简体" w:hint="eastAsia"/>
          <w:color w:val="auto"/>
          <w:sz w:val="32"/>
          <w:szCs w:val="32"/>
          <w:lang w:val="en-US" w:eastAsia="zh-CN"/>
        </w:rPr>
        <w:t>........................................................................34</w:t>
      </w:r>
    </w:p>
    <w:p>
      <w:pPr>
        <w:pStyle w:val="22"/>
        <w:pageBreakBefore w:val="0"/>
        <w:widowControl w:val="0"/>
        <w:tabs>
          <w:tab w:val="right" w:leader="dot" w:pos="8296"/>
        </w:tabs>
        <w:kinsoku/>
        <w:wordWrap/>
        <w:overflowPunct/>
        <w:topLinePunct w:val="0"/>
        <w:autoSpaceDE/>
        <w:autoSpaceDN/>
        <w:bidi w:val="0"/>
        <w:adjustRightInd w:val="0"/>
        <w:snapToGrid w:val="0"/>
        <w:spacing w:before="0" w:line="576" w:lineRule="exact"/>
        <w:ind w:left="0" w:right="0" w:firstLineChars="200" w:firstLine="640"/>
        <w:jc w:val="distribute"/>
        <w:textAlignment w:val="auto"/>
        <w:rPr>
          <w:rFonts w:ascii="方正黑体简体" w:eastAsia="方正黑体简体" w:cs="方正黑体简体" w:hint="eastAsia"/>
          <w:color w:val="auto"/>
          <w:sz w:val="32"/>
          <w:szCs w:val="32"/>
          <w:lang w:val="en-US" w:eastAsia="zh-CN"/>
        </w:rPr>
      </w:pPr>
      <w:r>
        <w:rPr>
          <w:rFonts w:ascii="方正黑体简体" w:eastAsia="方正黑体简体" w:cs="方正黑体简体" w:hint="eastAsia"/>
          <w:color w:val="auto"/>
          <w:sz w:val="32"/>
          <w:szCs w:val="32"/>
        </w:rPr>
        <w:t>第五部分</w:t>
      </w:r>
      <w:r>
        <w:rPr>
          <w:rFonts w:ascii="方正黑体简体" w:eastAsia="方正黑体简体" w:cs="方正黑体简体" w:hint="eastAsia"/>
          <w:color w:val="auto"/>
          <w:sz w:val="32"/>
          <w:szCs w:val="32"/>
          <w:lang w:val="en-US" w:eastAsia="zh-CN"/>
        </w:rPr>
        <w:t xml:space="preserve">  </w:t>
      </w:r>
      <w:r>
        <w:rPr>
          <w:rFonts w:ascii="方正黑体简体" w:eastAsia="方正黑体简体" w:cs="方正黑体简体" w:hint="eastAsia"/>
          <w:color w:val="auto"/>
          <w:sz w:val="32"/>
          <w:szCs w:val="32"/>
          <w:lang w:eastAsia="zh-CN"/>
        </w:rPr>
        <w:t>附</w:t>
      </w:r>
      <w:r>
        <w:rPr>
          <w:rFonts w:ascii="方正黑体简体" w:eastAsia="方正黑体简体" w:cs="方正黑体简体" w:hint="eastAsia"/>
          <w:color w:val="auto"/>
          <w:sz w:val="32"/>
          <w:szCs w:val="32"/>
        </w:rPr>
        <w:t>表</w:t>
      </w:r>
      <w:r>
        <w:rPr>
          <w:rFonts w:ascii="方正黑体简体" w:eastAsia="方正黑体简体" w:cs="方正黑体简体" w:hint="eastAsia"/>
          <w:color w:val="auto"/>
          <w:sz w:val="32"/>
          <w:szCs w:val="32"/>
          <w:lang w:val="en-US" w:eastAsia="zh-CN"/>
        </w:rPr>
        <w:t>....................................................47</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int="eastAsia"/>
          <w:sz w:val="32"/>
          <w:szCs w:val="32"/>
        </w:rPr>
      </w:pPr>
      <w:r>
        <w:rPr>
          <w:rFonts w:ascii="方正仿宋简体" w:eastAsia="方正仿宋简体" w:cs="方正仿宋简体" w:hint="eastAsia"/>
          <w:sz w:val="32"/>
          <w:szCs w:val="32"/>
        </w:rPr>
        <w:t>一、收入支出决算总表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int="eastAsia"/>
          <w:sz w:val="32"/>
          <w:szCs w:val="32"/>
        </w:rPr>
      </w:pPr>
      <w:r>
        <w:rPr>
          <w:rFonts w:ascii="方正仿宋简体" w:eastAsia="方正仿宋简体" w:cs="方正仿宋简体" w:hint="eastAsia"/>
          <w:sz w:val="32"/>
          <w:szCs w:val="32"/>
        </w:rPr>
        <w:t>二、收入决算表</w:t>
      </w:r>
    </w:p>
    <w:p>
      <w:pPr>
        <w:pageBreakBefore w:val="0"/>
        <w:widowControl w:val="0"/>
        <w:kinsoku/>
        <w:wordWrap/>
        <w:overflowPunct/>
        <w:topLinePunct w:val="0"/>
        <w:autoSpaceDE/>
        <w:autoSpaceDN/>
        <w:bidi w:val="0"/>
        <w:spacing w:line="576" w:lineRule="exact"/>
        <w:ind w:right="0" w:firstLineChars="200" w:firstLine="640"/>
        <w:jc w:val="both"/>
        <w:textAlignment w:val="auto"/>
        <w:rPr>
          <w:rFonts w:ascii="方正仿宋简体" w:eastAsia="方正仿宋简体" w:cs="方正仿宋简体" w:hint="eastAsia"/>
          <w:sz w:val="32"/>
          <w:szCs w:val="32"/>
        </w:rPr>
      </w:pPr>
      <w:r>
        <w:rPr>
          <w:rFonts w:ascii="方正仿宋简体" w:eastAsia="方正仿宋简体" w:cs="方正仿宋简体" w:hint="eastAsia"/>
          <w:sz w:val="32"/>
          <w:szCs w:val="32"/>
        </w:rPr>
        <w:t>三、支出决算表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四、财政拨款收入支出决算</w:t>
      </w:r>
      <w:r>
        <w:rPr>
          <w:rFonts w:ascii="方正仿宋简体" w:eastAsia="方正仿宋简体" w:cs="方正仿宋简体" w:hint="eastAsia"/>
          <w:color w:val="auto"/>
          <w:sz w:val="32"/>
          <w:szCs w:val="32"/>
          <w:lang w:eastAsia="zh-CN"/>
        </w:rPr>
        <w:t>总</w:t>
      </w:r>
      <w:r>
        <w:rPr>
          <w:rFonts w:ascii="方正仿宋简体" w:eastAsia="方正仿宋简体" w:cs="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五、财政拨款支出决算明</w:t>
      </w:r>
      <w:r>
        <w:rPr>
          <w:rFonts w:ascii="方正仿宋简体" w:eastAsia="方正仿宋简体" w:cs="方正仿宋简体" w:hint="eastAsia"/>
          <w:color w:val="auto"/>
          <w:sz w:val="32"/>
          <w:szCs w:val="32"/>
          <w:lang w:eastAsia="zh-CN"/>
        </w:rPr>
        <w:t>细</w:t>
      </w:r>
      <w:r>
        <w:rPr>
          <w:rFonts w:ascii="方正仿宋简体" w:eastAsia="方正仿宋简体" w:cs="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六、一般公共预算财政拨款支出决</w:t>
      </w:r>
      <w:r>
        <w:rPr>
          <w:rFonts w:ascii="方正仿宋简体" w:eastAsia="方正仿宋简体" w:cs="方正仿宋简体" w:hint="eastAsia"/>
          <w:color w:val="auto"/>
          <w:sz w:val="32"/>
          <w:szCs w:val="32"/>
          <w:lang w:eastAsia="zh-CN"/>
        </w:rPr>
        <w:t>算</w:t>
      </w:r>
      <w:r>
        <w:rPr>
          <w:rFonts w:ascii="方正仿宋简体" w:eastAsia="方正仿宋简体" w:cs="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七、一般公共预算财政拨款支出决算明</w:t>
      </w:r>
      <w:r>
        <w:rPr>
          <w:rFonts w:ascii="方正仿宋简体" w:eastAsia="方正仿宋简体" w:cs="方正仿宋简体" w:hint="eastAsia"/>
          <w:color w:val="auto"/>
          <w:sz w:val="32"/>
          <w:szCs w:val="32"/>
          <w:lang w:eastAsia="zh-CN"/>
        </w:rPr>
        <w:t>细</w:t>
      </w:r>
      <w:r>
        <w:rPr>
          <w:rFonts w:ascii="方正仿宋简体" w:eastAsia="方正仿宋简体" w:cs="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八、一般公共预算财政拨款基本支出决算表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九、一般公共预算财政拨款项目支出决算表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十、一般公共预算财政拨款“三公”经费支出决算表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十一、政府性基金预算财政拨款收入支出决</w:t>
      </w:r>
      <w:r>
        <w:rPr>
          <w:rFonts w:ascii="方正仿宋简体" w:eastAsia="方正仿宋简体" w:cs="方正仿宋简体" w:hint="eastAsia"/>
          <w:color w:val="auto"/>
          <w:sz w:val="32"/>
          <w:szCs w:val="32"/>
          <w:lang w:eastAsia="zh-CN"/>
        </w:rPr>
        <w:t>算</w:t>
      </w:r>
      <w:r>
        <w:rPr>
          <w:rFonts w:ascii="方正仿宋简体" w:eastAsia="方正仿宋简体" w:cs="方正仿宋简体" w:hint="eastAsia"/>
          <w:color w:val="auto"/>
          <w:sz w:val="32"/>
          <w:szCs w:val="32"/>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十二、政府性基金预算财政拨款“三公”经费支出决算表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lang w:eastAsia="zh-CN"/>
        </w:rPr>
      </w:pPr>
      <w:r>
        <w:rPr>
          <w:rFonts w:ascii="方正仿宋简体" w:eastAsia="方正仿宋简体" w:cs="方正仿宋简体" w:hint="eastAsia"/>
          <w:color w:val="auto"/>
          <w:sz w:val="32"/>
          <w:szCs w:val="32"/>
        </w:rPr>
        <w:t>十三、国有资本经营预算</w:t>
      </w:r>
      <w:r>
        <w:rPr>
          <w:rFonts w:ascii="方正仿宋简体" w:eastAsia="方正仿宋简体" w:cs="方正仿宋简体" w:hint="eastAsia"/>
          <w:color w:val="auto"/>
          <w:sz w:val="32"/>
          <w:szCs w:val="32"/>
          <w:lang w:eastAsia="zh-CN"/>
        </w:rPr>
        <w:t>财政收入拨款收入</w:t>
      </w:r>
      <w:r>
        <w:rPr>
          <w:rFonts w:ascii="方正仿宋简体" w:eastAsia="方正仿宋简体" w:cs="方正仿宋简体" w:hint="eastAsia"/>
          <w:color w:val="auto"/>
          <w:sz w:val="32"/>
          <w:szCs w:val="32"/>
        </w:rPr>
        <w:t>支出决算</w:t>
      </w:r>
      <w:r>
        <w:rPr>
          <w:rFonts w:ascii="方正仿宋简体" w:eastAsia="方正仿宋简体" w:cs="方正仿宋简体" w:hint="eastAsia"/>
          <w:color w:val="auto"/>
          <w:sz w:val="32"/>
          <w:szCs w:val="32"/>
          <w:lang w:eastAsia="zh-CN"/>
        </w:rPr>
        <w:t>表</w:t>
      </w:r>
    </w:p>
    <w:p>
      <w:pPr>
        <w:pStyle w:val="23"/>
        <w:pageBreakBefore w:val="0"/>
        <w:widowControl w:val="0"/>
        <w:tabs>
          <w:tab w:val="right" w:leader="dot" w:pos="8296"/>
        </w:tabs>
        <w:kinsoku/>
        <w:wordWrap/>
        <w:overflowPunct/>
        <w:topLinePunct w:val="0"/>
        <w:autoSpaceDE/>
        <w:autoSpaceDN/>
        <w:bidi w:val="0"/>
        <w:adjustRightInd w:val="0"/>
        <w:snapToGrid w:val="0"/>
        <w:spacing w:line="576" w:lineRule="exact"/>
        <w:ind w:leftChars="0" w:left="0" w:right="0" w:firstLineChars="200" w:firstLine="640"/>
        <w:jc w:val="both"/>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十</w:t>
      </w:r>
      <w:r>
        <w:rPr>
          <w:rFonts w:ascii="方正仿宋简体" w:eastAsia="方正仿宋简体" w:cs="方正仿宋简体" w:hint="eastAsia"/>
          <w:color w:val="auto"/>
          <w:sz w:val="32"/>
          <w:szCs w:val="32"/>
          <w:lang w:eastAsia="zh-CN"/>
        </w:rPr>
        <w:t>四</w:t>
      </w:r>
      <w:r>
        <w:rPr>
          <w:rFonts w:ascii="方正仿宋简体" w:eastAsia="方正仿宋简体" w:cs="方正仿宋简体" w:hint="eastAsia"/>
          <w:color w:val="auto"/>
          <w:sz w:val="32"/>
          <w:szCs w:val="32"/>
        </w:rPr>
        <w:t>、国有资本经营预算</w:t>
      </w:r>
      <w:r>
        <w:rPr>
          <w:rFonts w:ascii="方正仿宋简体" w:eastAsia="方正仿宋简体" w:cs="方正仿宋简体" w:hint="eastAsia"/>
          <w:color w:val="auto"/>
          <w:sz w:val="32"/>
          <w:szCs w:val="32"/>
          <w:lang w:eastAsia="zh-CN"/>
        </w:rPr>
        <w:t>财政拨款</w:t>
      </w:r>
      <w:r>
        <w:rPr>
          <w:rFonts w:ascii="方正仿宋简体" w:eastAsia="方正仿宋简体" w:cs="方正仿宋简体" w:hint="eastAsia"/>
          <w:color w:val="auto"/>
          <w:sz w:val="32"/>
          <w:szCs w:val="32"/>
        </w:rPr>
        <w:t>支出决算</w:t>
      </w:r>
      <w:r>
        <w:rPr>
          <w:rFonts w:ascii="方正仿宋简体" w:eastAsia="方正仿宋简体" w:cs="方正仿宋简体" w:hint="eastAsia"/>
          <w:color w:val="auto"/>
          <w:sz w:val="32"/>
          <w:szCs w:val="32"/>
          <w:lang w:eastAsia="zh-CN"/>
        </w:rPr>
        <w:t>表</w:t>
      </w:r>
    </w:p>
    <w:p>
      <w:pPr>
        <w:pageBreakBefore w:val="0"/>
        <w:widowControl/>
        <w:kinsoku/>
        <w:wordWrap/>
        <w:overflowPunct/>
        <w:topLinePunct w:val="0"/>
        <w:autoSpaceDE/>
        <w:autoSpaceDN/>
        <w:bidi w:val="0"/>
        <w:spacing w:line="576" w:lineRule="exact"/>
        <w:ind w:left="0" w:right="0" w:firstLineChars="200" w:firstLine="640"/>
        <w:jc w:val="both"/>
        <w:textAlignment w:val="auto"/>
        <w:rPr>
          <w:rFonts w:ascii="方正仿宋简体" w:eastAsia="方正仿宋简体" w:cs="方正仿宋简体" w:hint="eastAsia"/>
          <w:bCs/>
          <w:color w:val="auto"/>
          <w:kern w:val="44"/>
          <w:sz w:val="32"/>
          <w:szCs w:val="32"/>
        </w:rPr>
      </w:pPr>
      <w:bookmarkStart w:id="12" w:name="_Toc15377196"/>
      <w:bookmarkStart w:id="13" w:name="_Toc15396599"/>
      <w:r>
        <w:rPr>
          <w:rFonts w:ascii="方正仿宋简体" w:eastAsia="方正仿宋简体" w:cs="方正仿宋简体" w:hint="eastAsia"/>
          <w:b/>
          <w:color w:val="auto"/>
          <w:sz w:val="32"/>
          <w:szCs w:val="32"/>
        </w:rPr>
        <w:br w:type="page"/>
      </w:r>
    </w:p>
    <w:p>
      <w:pPr>
        <w:pStyle w:val="1"/>
        <w:keepNext/>
        <w:keepLines/>
        <w:pageBreakBefore w:val="0"/>
        <w:widowControl w:val="0"/>
        <w:kinsoku/>
        <w:wordWrap/>
        <w:overflowPunct/>
        <w:topLinePunct w:val="0"/>
        <w:autoSpaceDE/>
        <w:autoSpaceDN/>
        <w:bidi w:val="0"/>
        <w:spacing w:before="0" w:after="0" w:line="576" w:lineRule="exact"/>
        <w:ind w:left="0" w:right="0" w:firstLineChars="200" w:firstLine="960"/>
        <w:jc w:val="center"/>
        <w:textAlignment w:val="auto"/>
        <w:rPr>
          <w:rStyle w:val="1Char"/>
          <w:rFonts w:ascii="方正小标宋简体" w:eastAsia="方正小标宋简体" w:cs="方正小标宋简体" w:hint="eastAsia"/>
          <w:b/>
          <w:bCs w:val="0"/>
          <w:color w:val="auto"/>
          <w:sz w:val="48"/>
          <w:szCs w:val="48"/>
        </w:rPr>
      </w:pPr>
      <w:bookmarkEnd w:id="12"/>
      <w:bookmarkEnd w:id="13"/>
      <w:r>
        <w:rPr>
          <w:rFonts w:ascii="方正小标宋简体" w:eastAsia="方正小标宋简体" w:cs="方正小标宋简体" w:hint="eastAsia"/>
          <w:b w:val="0"/>
          <w:color w:val="auto"/>
          <w:sz w:val="48"/>
          <w:szCs w:val="48"/>
        </w:rPr>
        <w:t xml:space="preserve">第一部分 </w:t>
      </w:r>
      <w:r>
        <w:rPr>
          <w:rStyle w:val="1Char"/>
          <w:rFonts w:ascii="方正小标宋简体" w:eastAsia="方正小标宋简体" w:cs="方正小标宋简体" w:hint="eastAsia"/>
          <w:b w:val="0"/>
          <w:bCs w:val="0"/>
          <w:color w:val="auto"/>
          <w:sz w:val="48"/>
          <w:szCs w:val="48"/>
        </w:rPr>
        <w:t>部门概况</w:t>
      </w:r>
    </w:p>
    <w:p>
      <w:pPr>
        <w:pageBreakBefore w:val="0"/>
        <w:widowControl/>
        <w:kinsoku/>
        <w:wordWrap/>
        <w:overflowPunct/>
        <w:topLinePunct w:val="0"/>
        <w:autoSpaceDE/>
        <w:autoSpaceDN/>
        <w:bidi w:val="0"/>
        <w:spacing w:line="576" w:lineRule="exact"/>
        <w:ind w:left="0" w:right="0" w:firstLineChars="200" w:firstLine="640"/>
        <w:jc w:val="left"/>
        <w:textAlignment w:val="auto"/>
        <w:rPr>
          <w:rFonts w:ascii="方正仿宋简体" w:eastAsia="方正仿宋简体" w:cs="方正仿宋简体" w:hint="eastAsia"/>
          <w:color w:val="auto"/>
          <w:sz w:val="32"/>
          <w:szCs w:val="32"/>
        </w:rPr>
      </w:pP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Style w:val="2Char"/>
          <w:rFonts w:ascii="方正黑体简体" w:eastAsia="方正黑体简体" w:cs="方正黑体简体" w:hint="eastAsia"/>
          <w:b w:val="0"/>
          <w:bCs/>
          <w:color w:val="auto"/>
          <w:sz w:val="32"/>
          <w:szCs w:val="32"/>
        </w:rPr>
      </w:pPr>
      <w:bookmarkStart w:id="14" w:name="_Toc15377197"/>
      <w:bookmarkStart w:id="15" w:name="_Toc15396600"/>
      <w:r>
        <w:rPr>
          <w:rFonts w:ascii="方正黑体简体" w:eastAsia="方正黑体简体" w:cs="方正黑体简体" w:hint="eastAsia"/>
          <w:b w:val="0"/>
          <w:bCs/>
          <w:color w:val="auto"/>
          <w:sz w:val="32"/>
          <w:szCs w:val="32"/>
          <w:lang w:eastAsia="zh-CN"/>
        </w:rPr>
        <w:t>一、</w:t>
      </w:r>
      <w:r>
        <w:rPr>
          <w:rFonts w:ascii="方正黑体简体" w:eastAsia="方正黑体简体" w:cs="方正黑体简体" w:hint="eastAsia"/>
          <w:b w:val="0"/>
          <w:bCs/>
          <w:color w:val="auto"/>
          <w:sz w:val="32"/>
          <w:szCs w:val="32"/>
        </w:rPr>
        <w:t>基</w:t>
      </w:r>
      <w:r>
        <w:rPr>
          <w:rStyle w:val="2Char"/>
          <w:rFonts w:ascii="方正黑体简体" w:eastAsia="方正黑体简体" w:cs="方正黑体简体" w:hint="eastAsia"/>
          <w:b w:val="0"/>
          <w:bCs/>
          <w:color w:val="auto"/>
          <w:sz w:val="32"/>
          <w:szCs w:val="32"/>
        </w:rPr>
        <w:t>本职能及主要工作</w:t>
      </w:r>
      <w:bookmarkStart w:id="16" w:name="_Toc15377198"/>
      <w:bookmarkStart w:id="17" w:name="_Toc15378445"/>
      <w:bookmarkEnd w:id="14"/>
      <w:bookmarkEnd w:id="15"/>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rPr>
      </w:pPr>
      <w:r>
        <w:rPr>
          <w:rFonts w:ascii="方正楷体简体" w:eastAsia="方正楷体简体" w:cs="方正楷体简体" w:hint="eastAsia"/>
          <w:b w:val="0"/>
          <w:bCs w:val="0"/>
          <w:color w:val="auto"/>
          <w:sz w:val="32"/>
          <w:szCs w:val="32"/>
          <w:lang w:eastAsia="zh-CN"/>
        </w:rPr>
        <w:t>（一）</w:t>
      </w:r>
      <w:r>
        <w:rPr>
          <w:rFonts w:ascii="方正楷体简体" w:eastAsia="方正楷体简体" w:cs="方正楷体简体" w:hint="eastAsia"/>
          <w:b w:val="0"/>
          <w:bCs w:val="0"/>
          <w:color w:val="auto"/>
          <w:sz w:val="32"/>
          <w:szCs w:val="32"/>
        </w:rPr>
        <w:t>主要职能</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仿宋简体" w:eastAsia="方正仿宋简体" w:cs="方正仿宋简体" w:hint="eastAsia"/>
          <w:b w:val="0"/>
          <w:bCs w:val="0"/>
          <w:color w:val="auto"/>
          <w:sz w:val="32"/>
          <w:szCs w:val="32"/>
        </w:rPr>
      </w:pPr>
      <w:r>
        <w:rPr>
          <w:rFonts w:ascii="方正仿宋简体" w:eastAsia="方正仿宋简体" w:cs="方正仿宋简体" w:hint="eastAsia"/>
          <w:b w:val="0"/>
          <w:bCs w:val="0"/>
          <w:color w:val="auto"/>
          <w:sz w:val="32"/>
          <w:szCs w:val="32"/>
        </w:rPr>
        <w:t>是在政府、</w:t>
      </w:r>
      <w:r>
        <w:rPr>
          <w:rFonts w:ascii="方正仿宋简体" w:eastAsia="方正仿宋简体" w:cs="方正仿宋简体" w:hint="eastAsia"/>
          <w:b w:val="0"/>
          <w:bCs w:val="0"/>
          <w:color w:val="auto"/>
          <w:sz w:val="32"/>
          <w:szCs w:val="32"/>
          <w:lang w:eastAsia="zh-CN"/>
        </w:rPr>
        <w:t>区</w:t>
      </w:r>
      <w:r>
        <w:rPr>
          <w:rFonts w:ascii="方正仿宋简体" w:eastAsia="方正仿宋简体" w:cs="方正仿宋简体" w:hint="eastAsia"/>
          <w:b w:val="0"/>
          <w:bCs w:val="0"/>
          <w:color w:val="auto"/>
          <w:sz w:val="32"/>
          <w:szCs w:val="32"/>
        </w:rPr>
        <w:t>卫生</w:t>
      </w:r>
      <w:r>
        <w:rPr>
          <w:rFonts w:ascii="方正仿宋简体" w:eastAsia="方正仿宋简体" w:cs="方正仿宋简体" w:hint="eastAsia"/>
          <w:b w:val="0"/>
          <w:bCs w:val="0"/>
          <w:color w:val="auto"/>
          <w:sz w:val="32"/>
          <w:szCs w:val="32"/>
          <w:lang w:eastAsia="zh-CN"/>
        </w:rPr>
        <w:t>健康局领导</w:t>
      </w:r>
      <w:r>
        <w:rPr>
          <w:rFonts w:ascii="方正仿宋简体" w:eastAsia="方正仿宋简体" w:cs="方正仿宋简体" w:hint="eastAsia"/>
          <w:b w:val="0"/>
          <w:bCs w:val="0"/>
          <w:color w:val="auto"/>
          <w:sz w:val="32"/>
          <w:szCs w:val="32"/>
        </w:rPr>
        <w:t>下，</w:t>
      </w:r>
      <w:r>
        <w:rPr>
          <w:rFonts w:ascii="方正仿宋简体" w:eastAsia="方正仿宋简体" w:cs="方正仿宋简体" w:hint="eastAsia"/>
          <w:b w:val="0"/>
          <w:bCs w:val="0"/>
          <w:color w:val="auto"/>
          <w:sz w:val="32"/>
          <w:szCs w:val="32"/>
          <w:lang w:eastAsia="zh-CN"/>
        </w:rPr>
        <w:t>为辖区内人民群众提供公共卫生服务</w:t>
      </w:r>
      <w:r>
        <w:rPr>
          <w:rFonts w:ascii="方正仿宋简体" w:eastAsia="方正仿宋简体" w:cs="方正仿宋简体" w:hint="eastAsia"/>
          <w:b w:val="0"/>
          <w:bCs w:val="0"/>
          <w:color w:val="auto"/>
          <w:sz w:val="32"/>
          <w:szCs w:val="32"/>
          <w:lang w:val="en-US" w:eastAsia="zh-CN"/>
        </w:rPr>
        <w:t>,</w:t>
      </w:r>
      <w:r>
        <w:rPr>
          <w:rFonts w:ascii="方正仿宋简体" w:eastAsia="方正仿宋简体" w:cs="方正仿宋简体" w:hint="eastAsia"/>
          <w:b w:val="0"/>
          <w:bCs w:val="0"/>
          <w:color w:val="auto"/>
          <w:sz w:val="32"/>
          <w:szCs w:val="32"/>
          <w:lang w:eastAsia="zh-CN"/>
        </w:rPr>
        <w:t>提供基本医疗服务</w:t>
      </w:r>
      <w:r>
        <w:rPr>
          <w:rFonts w:ascii="方正仿宋简体" w:eastAsia="方正仿宋简体" w:cs="方正仿宋简体" w:hint="eastAsia"/>
          <w:b w:val="0"/>
          <w:bCs w:val="0"/>
          <w:color w:val="auto"/>
          <w:sz w:val="32"/>
          <w:szCs w:val="32"/>
          <w:lang w:val="en-US" w:eastAsia="zh-CN"/>
        </w:rPr>
        <w:t>,</w:t>
      </w:r>
      <w:r>
        <w:rPr>
          <w:rFonts w:ascii="方正仿宋简体" w:eastAsia="方正仿宋简体" w:cs="方正仿宋简体" w:hint="eastAsia"/>
          <w:b w:val="0"/>
          <w:bCs w:val="0"/>
          <w:color w:val="auto"/>
          <w:sz w:val="32"/>
          <w:szCs w:val="32"/>
          <w:lang w:eastAsia="zh-CN"/>
        </w:rPr>
        <w:t>承担公共卫生管理</w:t>
      </w:r>
      <w:r>
        <w:rPr>
          <w:rFonts w:ascii="方正仿宋简体" w:eastAsia="方正仿宋简体" w:cs="方正仿宋简体" w:hint="eastAsia"/>
          <w:b w:val="0"/>
          <w:bCs w:val="0"/>
          <w:color w:val="auto"/>
          <w:sz w:val="32"/>
          <w:szCs w:val="32"/>
          <w:lang w:val="en-US" w:eastAsia="zh-CN"/>
        </w:rPr>
        <w:t>,</w:t>
      </w:r>
      <w:r>
        <w:rPr>
          <w:rFonts w:ascii="方正仿宋简体" w:eastAsia="方正仿宋简体" w:cs="方正仿宋简体" w:hint="eastAsia"/>
          <w:b w:val="0"/>
          <w:bCs w:val="0"/>
          <w:color w:val="auto"/>
          <w:sz w:val="32"/>
          <w:szCs w:val="32"/>
          <w:lang w:eastAsia="zh-CN"/>
        </w:rPr>
        <w:t>卫生行政管理。</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18" w:name="_Toc15378446"/>
      <w:bookmarkStart w:id="19" w:name="_Toc15377199"/>
      <w:bookmarkEnd w:id="16"/>
      <w:bookmarkEnd w:id="17"/>
      <w:r>
        <w:rPr>
          <w:rFonts w:ascii="方正楷体简体" w:eastAsia="方正楷体简体" w:cs="方正楷体简体" w:hint="eastAsia"/>
          <w:b w:val="0"/>
          <w:bCs w:val="0"/>
          <w:color w:val="auto"/>
          <w:sz w:val="32"/>
          <w:szCs w:val="32"/>
          <w:lang w:eastAsia="zh-CN"/>
        </w:rPr>
        <w:t>（二）20</w:t>
      </w:r>
      <w:r>
        <w:rPr>
          <w:rFonts w:ascii="方正楷体简体" w:eastAsia="方正楷体简体" w:cs="方正楷体简体" w:hint="eastAsia"/>
          <w:b w:val="0"/>
          <w:bCs w:val="0"/>
          <w:color w:val="auto"/>
          <w:sz w:val="32"/>
          <w:szCs w:val="32"/>
          <w:lang w:val="en-US" w:eastAsia="zh-CN"/>
        </w:rPr>
        <w:t>20</w:t>
      </w:r>
      <w:r>
        <w:rPr>
          <w:rFonts w:ascii="方正楷体简体" w:eastAsia="方正楷体简体" w:cs="方正楷体简体" w:hint="eastAsia"/>
          <w:b w:val="0"/>
          <w:bCs w:val="0"/>
          <w:color w:val="auto"/>
          <w:sz w:val="32"/>
          <w:szCs w:val="32"/>
          <w:lang w:eastAsia="zh-CN"/>
        </w:rPr>
        <w:t>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val="0"/>
          <w:color w:val="auto"/>
          <w:sz w:val="32"/>
          <w:szCs w:val="32"/>
          <w:lang w:val="en-US" w:eastAsia="zh-CN"/>
        </w:rPr>
      </w:pPr>
      <w:r>
        <w:rPr>
          <w:rFonts w:ascii="方正仿宋简体" w:eastAsia="方正仿宋简体" w:cs="方正仿宋简体" w:hint="eastAsia"/>
          <w:b/>
          <w:bCs w:val="0"/>
          <w:color w:val="auto"/>
          <w:sz w:val="32"/>
          <w:szCs w:val="32"/>
          <w:lang w:val="en-US" w:eastAsia="zh-CN"/>
        </w:rPr>
        <w:t>1.新冠肺炎疫情防控工作</w:t>
      </w:r>
    </w:p>
    <w:p>
      <w:pPr>
        <w:keepNext w:val="0"/>
        <w:keepLines w:val="0"/>
        <w:pageBreakBefore w:val="0"/>
        <w:widowControl w:val="0"/>
        <w:tabs>
          <w:tab w:val="left" w:pos="420"/>
        </w:tabs>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color w:val="auto"/>
          <w:sz w:val="32"/>
          <w:szCs w:val="32"/>
          <w:lang w:val="en-US" w:eastAsia="zh-CN"/>
        </w:rPr>
        <w:t>第一时间成立疫情防控领导小组，细化并落实各项举措，</w:t>
      </w:r>
      <w:r>
        <w:rPr>
          <w:rFonts w:ascii="方正仿宋简体" w:eastAsia="方正仿宋简体" w:cs="方正仿宋简体" w:hint="eastAsia"/>
          <w:color w:val="auto"/>
          <w:sz w:val="32"/>
          <w:szCs w:val="32"/>
        </w:rPr>
        <w:t>制定了疫情防控工作方案、疫情防控工作应急预案及病区管理制度等多项制度。开展各种形式的全员防控知识培训近20场次，</w:t>
      </w:r>
      <w:r>
        <w:rPr>
          <w:rFonts w:ascii="方正仿宋简体" w:eastAsia="方正仿宋简体" w:cs="方正仿宋简体" w:hint="eastAsia"/>
          <w:color w:val="auto"/>
          <w:sz w:val="32"/>
          <w:szCs w:val="32"/>
          <w:lang w:eastAsia="zh-CN"/>
        </w:rPr>
        <w:t>组织中心职工及村医开展疫情防控演练</w:t>
      </w:r>
      <w:r>
        <w:rPr>
          <w:rFonts w:ascii="方正仿宋简体" w:eastAsia="方正仿宋简体" w:cs="方正仿宋简体" w:hint="eastAsia"/>
          <w:color w:val="auto"/>
          <w:sz w:val="32"/>
          <w:szCs w:val="32"/>
          <w:lang w:val="en-US" w:eastAsia="zh-CN"/>
        </w:rPr>
        <w:t>2次，通过微信、QQ等渠道及时推送疫情防控和健康教育信息，进一步提高中心职工疫情防控知识和防控技能。</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认真落实“三区两通道”要求，</w:t>
      </w:r>
      <w:r>
        <w:rPr>
          <w:rFonts w:ascii="方正仿宋简体" w:eastAsia="方正仿宋简体" w:cs="方正仿宋简体" w:hint="eastAsia"/>
          <w:color w:val="auto"/>
          <w:sz w:val="32"/>
          <w:szCs w:val="32"/>
        </w:rPr>
        <w:t>规范了发热哨点诊室和发热病人就诊流程。严格落实</w:t>
      </w:r>
      <w:r>
        <w:rPr>
          <w:rFonts w:ascii="方正仿宋简体" w:eastAsia="方正仿宋简体" w:cs="方正仿宋简体" w:hint="eastAsia"/>
          <w:color w:val="auto"/>
          <w:sz w:val="32"/>
          <w:szCs w:val="32"/>
          <w:lang w:eastAsia="zh-CN"/>
        </w:rPr>
        <w:t>各</w:t>
      </w:r>
      <w:r>
        <w:rPr>
          <w:rFonts w:ascii="方正仿宋简体" w:eastAsia="方正仿宋简体" w:cs="方正仿宋简体" w:hint="eastAsia"/>
          <w:color w:val="auto"/>
          <w:sz w:val="32"/>
          <w:szCs w:val="32"/>
        </w:rPr>
        <w:t>项制度，</w:t>
      </w:r>
      <w:r>
        <w:rPr>
          <w:rFonts w:ascii="方正仿宋简体" w:eastAsia="方正仿宋简体" w:cs="方正仿宋简体" w:hint="eastAsia"/>
          <w:color w:val="auto"/>
          <w:sz w:val="32"/>
          <w:szCs w:val="32"/>
          <w:lang w:val="en-US" w:eastAsia="zh-CN"/>
        </w:rPr>
        <w:t>做到一人一诊室、1米间隔距离，增设了留观病房、核酸采样间，严格落实“应检尽检”要求，</w:t>
      </w:r>
      <w:r>
        <w:rPr>
          <w:rFonts w:ascii="方正仿宋简体" w:eastAsia="方正仿宋简体" w:cs="方正仿宋简体" w:hint="eastAsia"/>
          <w:color w:val="auto"/>
          <w:sz w:val="32"/>
          <w:szCs w:val="32"/>
        </w:rPr>
        <w:t>调整了新入院患者入院流程，加强了对陪护和探视人员管理，严格落实陪护人员戴口罩、测量体温的防控要求。同时，建立了院内感控督查员工作制度，对重点科室和重点环节的院感管理，指定专人负责院感防控工作，按规定配备足够的院感督查员，协助落实院感防控措施，严防院内感染发生。</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color w:val="auto"/>
          <w:sz w:val="32"/>
          <w:szCs w:val="32"/>
        </w:rPr>
        <w:t>医院加大疫情知识普及，通过LED 显示屏滚动播放、拉挂横幅、印发疫情知识宣传单等方式，宣传新型冠状病毒感染的肺炎疫情知识，共发放宣传资料</w:t>
      </w:r>
      <w:r>
        <w:rPr>
          <w:rFonts w:ascii="方正仿宋简体" w:eastAsia="方正仿宋简体" w:cs="方正仿宋简体" w:hint="eastAsia"/>
          <w:color w:val="auto"/>
          <w:sz w:val="32"/>
          <w:szCs w:val="32"/>
          <w:lang w:val="en-US" w:eastAsia="zh-CN"/>
        </w:rPr>
        <w:t>18余种，共计7万余份，</w:t>
      </w:r>
      <w:r>
        <w:rPr>
          <w:rFonts w:ascii="方正仿宋简体" w:eastAsia="方正仿宋简体" w:cs="方正仿宋简体" w:hint="eastAsia"/>
          <w:color w:val="auto"/>
          <w:sz w:val="32"/>
          <w:szCs w:val="32"/>
        </w:rPr>
        <w:t>提高群众的自我防疫意识。</w:t>
      </w:r>
    </w:p>
    <w:p>
      <w:pPr>
        <w:keepNext w:val="0"/>
        <w:keepLines w:val="0"/>
        <w:pageBreakBefore w:val="0"/>
        <w:widowControl/>
        <w:suppressLineNumbers w:val="0"/>
        <w:kinsoku/>
        <w:wordWrap/>
        <w:overflowPunct/>
        <w:topLinePunct w:val="0"/>
        <w:autoSpaceDE/>
        <w:autoSpaceDN/>
        <w:bidi w:val="0"/>
        <w:adjustRightInd/>
        <w:snapToGrid/>
        <w:spacing w:line="576" w:lineRule="exact"/>
        <w:ind w:left="0" w:right="0" w:firstLineChars="200" w:firstLine="640"/>
        <w:jc w:val="left"/>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中心明确分工，积极配合街道社区开展外市返广人员排查管理工作，开展健康监测，卡口设点值守、企业复工复产人员健康体检及外出务工人员健康证明开具、公共区域的巡查及消杀工作指导、学校复课防疫督导。做到情况清、底数明，有针对性的采取防控措施。外市返广人员累计面访1020人，健康服务4986人，开具绿色出行健康服务卡1027份，企业复工复产健康体检349人，外出务工健康证明1648份,公共区域巡查30次，对辖区两所小学，两所幼儿园复课前开展了疫情防控督导，并对开学后的学校进行每周3次巡查。</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2.医疗业务工作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b w:val="0"/>
          <w:bCs w:val="0"/>
          <w:color w:val="auto"/>
          <w:sz w:val="32"/>
          <w:szCs w:val="32"/>
          <w:lang w:val="en-US" w:eastAsia="zh-CN"/>
        </w:rPr>
        <w:t>进一步加强医疗质量管理与服务水平。</w:t>
      </w:r>
      <w:r>
        <w:rPr>
          <w:rFonts w:ascii="方正仿宋简体" w:eastAsia="方正仿宋简体" w:cs="方正仿宋简体" w:hint="eastAsia"/>
          <w:color w:val="auto"/>
          <w:sz w:val="32"/>
          <w:szCs w:val="32"/>
        </w:rPr>
        <w:t>紧紧围绕基层服务能力提升的总目标，进一步优化各功能区域，添置必要的设施设备，</w:t>
      </w:r>
      <w:r>
        <w:rPr>
          <w:rFonts w:ascii="方正仿宋简体" w:eastAsia="方正仿宋简体" w:cs="方正仿宋简体" w:hint="eastAsia"/>
          <w:color w:val="auto"/>
          <w:sz w:val="32"/>
          <w:szCs w:val="32"/>
          <w:lang w:val="en-US" w:eastAsia="zh-CN"/>
        </w:rPr>
        <w:t>完成了放射科的改造，</w:t>
      </w:r>
      <w:r>
        <w:rPr>
          <w:rFonts w:ascii="方正仿宋简体" w:eastAsia="方正仿宋简体" w:cs="方正仿宋简体" w:hint="eastAsia"/>
          <w:color w:val="auto"/>
          <w:sz w:val="32"/>
          <w:szCs w:val="32"/>
        </w:rPr>
        <w:t>进一步完善相关制度、优化就医流程、拓宽服务范围，不断满足辖区群众的医疗服务需求。坚持每月开展业务学习与医疗质量通报，</w:t>
      </w:r>
      <w:r>
        <w:rPr>
          <w:rFonts w:ascii="方正仿宋简体" w:eastAsia="方正仿宋简体" w:cs="方正仿宋简体" w:hint="eastAsia"/>
          <w:color w:val="auto"/>
          <w:sz w:val="32"/>
          <w:szCs w:val="32"/>
          <w:lang w:val="en-US" w:eastAsia="zh-CN"/>
        </w:rPr>
        <w:t>医疗质量考核小组严格按考核方案进行指导检查，</w:t>
      </w:r>
      <w:r>
        <w:rPr>
          <w:rFonts w:ascii="方正仿宋简体" w:eastAsia="方正仿宋简体" w:cs="方正仿宋简体" w:hint="eastAsia"/>
          <w:color w:val="auto"/>
          <w:sz w:val="32"/>
          <w:szCs w:val="32"/>
        </w:rPr>
        <w:t>医疗服务行为进一步规范，医疗服务质量得到进一步提升。</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lang w:eastAsia="zh-CN"/>
        </w:rPr>
      </w:pPr>
      <w:r>
        <w:rPr>
          <w:rFonts w:ascii="方正仿宋简体" w:eastAsia="方正仿宋简体" w:cs="方正仿宋简体" w:hint="eastAsia"/>
          <w:b w:val="0"/>
          <w:bCs w:val="0"/>
          <w:color w:val="auto"/>
          <w:sz w:val="32"/>
          <w:szCs w:val="32"/>
          <w:lang w:val="en-US" w:eastAsia="zh-CN"/>
        </w:rPr>
        <w:t>加强基层医疗队伍人才建设。强化了院感工作，实施分级诊疗。</w:t>
      </w:r>
      <w:r>
        <w:rPr>
          <w:rFonts w:ascii="方正仿宋简体" w:eastAsia="方正仿宋简体" w:cs="方正仿宋简体" w:hint="eastAsia"/>
          <w:color w:val="auto"/>
          <w:sz w:val="32"/>
          <w:szCs w:val="32"/>
        </w:rPr>
        <w:t>继续推进分级诊疗工作，在深入推进双向转诊工作的同时，充分利用对口支援的契机，大力加强自身服务能力建设，让患者享受到安全、便捷、价廉、质优的医疗卫生服务。继续巩固“全国基层中医药工作先进单位”创建成果，大力推广中医药适宜技术，充分体现中医药健康服务简、便、廉的特点，发挥中医药在防病治病工作中的积极作用，大力提高中医药参与率，积极发挥中医药在疫情防控中的作用</w:t>
      </w:r>
      <w:r>
        <w:rPr>
          <w:rFonts w:ascii="方正仿宋简体" w:eastAsia="方正仿宋简体" w:cs="方正仿宋简体" w:hint="eastAsia"/>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3.行业领域突出问题系统治理工作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为确保行业领域突出问题系统治理工作落到实处，成立以中心主任为组长、各相关科室负责人为成员的工作领导小组，实行统一组织、分级实施的方法进行。</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通过召开全院卫生健康行业领域突出问题系统治理工作专题会议，传达学习上级行业领域突出问题系统治理会议精神和工作方案、工作要求，让全院干部职工充分认识系统治理工作的重要意义，动员全院职工主动参与。同时，通过张贴宣传海报、发放宣传折页、设置举报箱、公布举报电话等多种形式广泛开展宣传，有效提高服务对象的参与度，主动接受服务对象和社会监督。</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坚持问题导向，紧紧围绕“大处方、泛耗材、违规招投标、欺诈骗保”等突出问题，深入开展自查自纠工作。认真执行国家药品价格政策医疗服务收费标准，严格执行药品网上招标采购制度和临床用药制度，提高收费透明度，主动接受社会和病人对医疗费用的监督。认真贯彻落实《医院医务人员医德医风考评实施办法》的规定，不断改善医疗服务态度、优化医疗服务环境、规范医疗服务行为和提高医疗服务质量。</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4.公共卫生服务</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val="0"/>
          <w:bCs w:val="0"/>
          <w:color w:val="auto"/>
          <w:sz w:val="32"/>
          <w:szCs w:val="32"/>
          <w:lang w:val="en-US" w:eastAsia="zh-CN"/>
        </w:rPr>
      </w:pPr>
      <w:r>
        <w:rPr>
          <w:rFonts w:ascii="方正仿宋简体" w:eastAsia="方正仿宋简体" w:cs="方正仿宋简体" w:hint="eastAsia"/>
          <w:b w:val="0"/>
          <w:bCs w:val="0"/>
          <w:color w:val="auto"/>
          <w:sz w:val="32"/>
          <w:szCs w:val="32"/>
          <w:lang w:val="en-US" w:eastAsia="zh-CN"/>
        </w:rPr>
        <w:t xml:space="preserve"> </w:t>
      </w:r>
      <w:r>
        <w:rPr>
          <w:rFonts w:ascii="方正仿宋简体" w:eastAsia="方正仿宋简体" w:cs="方正仿宋简体" w:hint="eastAsia"/>
          <w:b w:val="0"/>
          <w:bCs w:val="0"/>
          <w:color w:val="auto"/>
          <w:sz w:val="32"/>
          <w:szCs w:val="32"/>
        </w:rPr>
        <w:t>我</w:t>
      </w:r>
      <w:r>
        <w:rPr>
          <w:rFonts w:ascii="方正仿宋简体" w:eastAsia="方正仿宋简体" w:cs="方正仿宋简体" w:hint="eastAsia"/>
          <w:b w:val="0"/>
          <w:bCs w:val="0"/>
          <w:color w:val="auto"/>
          <w:sz w:val="32"/>
          <w:szCs w:val="32"/>
          <w:lang w:eastAsia="zh-CN"/>
        </w:rPr>
        <w:t>中心</w:t>
      </w:r>
      <w:r>
        <w:rPr>
          <w:rFonts w:ascii="方正仿宋简体" w:eastAsia="方正仿宋简体" w:cs="方正仿宋简体" w:hint="eastAsia"/>
          <w:b w:val="0"/>
          <w:bCs w:val="0"/>
          <w:color w:val="auto"/>
          <w:sz w:val="32"/>
          <w:szCs w:val="32"/>
        </w:rPr>
        <w:t>为辖区内群众提供基本公共卫生服务</w:t>
      </w:r>
      <w:r>
        <w:rPr>
          <w:rFonts w:ascii="方正仿宋简体" w:eastAsia="方正仿宋简体" w:cs="方正仿宋简体" w:hint="eastAsia"/>
          <w:b w:val="0"/>
          <w:bCs w:val="0"/>
          <w:color w:val="auto"/>
          <w:sz w:val="32"/>
          <w:szCs w:val="32"/>
          <w:lang w:eastAsia="zh-CN"/>
        </w:rPr>
        <w:t>，</w:t>
      </w:r>
      <w:r>
        <w:rPr>
          <w:rFonts w:ascii="方正仿宋简体" w:eastAsia="方正仿宋简体" w:cs="方正仿宋简体" w:hint="eastAsia"/>
          <w:b w:val="0"/>
          <w:bCs w:val="0"/>
          <w:color w:val="auto"/>
          <w:sz w:val="32"/>
          <w:szCs w:val="32"/>
          <w:lang w:val="en-US" w:eastAsia="zh-CN"/>
        </w:rPr>
        <w:t>逐步改变辖区居民的陈旧观念有效提升了辖区内居民的健康行为意识。</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eastAsia="zh-CN"/>
        </w:rPr>
      </w:pPr>
      <w:r>
        <w:rPr>
          <w:rFonts w:ascii="方正仿宋简体" w:eastAsia="方正仿宋简体" w:cs="方正仿宋简体" w:hint="eastAsia"/>
          <w:b/>
          <w:bCs/>
          <w:color w:val="auto"/>
          <w:sz w:val="32"/>
          <w:szCs w:val="32"/>
          <w:lang w:val="en-US" w:eastAsia="zh-CN"/>
        </w:rPr>
        <w:t>5.</w:t>
      </w:r>
      <w:r>
        <w:rPr>
          <w:rFonts w:ascii="方正仿宋简体" w:eastAsia="方正仿宋简体" w:cs="方正仿宋简体" w:hint="eastAsia"/>
          <w:b/>
          <w:bCs/>
          <w:color w:val="auto"/>
          <w:sz w:val="32"/>
          <w:szCs w:val="32"/>
          <w:lang w:eastAsia="zh-CN"/>
        </w:rPr>
        <w:t>健康扶贫工作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lang w:eastAsia="zh-CN"/>
        </w:rPr>
      </w:pPr>
      <w:r>
        <w:rPr>
          <w:rFonts w:ascii="方正仿宋简体" w:eastAsia="方正仿宋简体" w:cs="方正仿宋简体" w:hint="eastAsia"/>
          <w:b w:val="0"/>
          <w:bCs w:val="0"/>
          <w:color w:val="auto"/>
          <w:sz w:val="32"/>
          <w:szCs w:val="32"/>
          <w:lang w:val="en-US" w:eastAsia="zh-CN"/>
        </w:rPr>
        <w:t>积极开展了健康扶贫工作，辖区贫困人口家庭医生签约服务达100%，中心上门巡诊、体检、健康指导覆盖人群100%。</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6.安全生产工作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Cs/>
          <w:color w:val="auto"/>
          <w:sz w:val="32"/>
          <w:szCs w:val="32"/>
        </w:rPr>
      </w:pPr>
      <w:r>
        <w:rPr>
          <w:rFonts w:ascii="方正仿宋简体" w:eastAsia="方正仿宋简体" w:cs="方正仿宋简体" w:hint="eastAsia"/>
          <w:color w:val="auto"/>
          <w:sz w:val="32"/>
          <w:szCs w:val="32"/>
          <w:lang w:val="en-US" w:eastAsia="zh-CN"/>
        </w:rPr>
        <w:t>（1）提高认识，加强领导。层层落实安全生产责任制。</w:t>
      </w:r>
      <w:r>
        <w:rPr>
          <w:rFonts w:ascii="方正仿宋简体" w:eastAsia="方正仿宋简体" w:cs="方正仿宋简体" w:hint="eastAsia"/>
          <w:bCs/>
          <w:color w:val="auto"/>
          <w:sz w:val="32"/>
          <w:szCs w:val="32"/>
        </w:rPr>
        <w:t>落实了安全生产责任制，层层签订了安全生产目标责任书，及时修订和调整了各种安全生产工作预案、领导小组和值班值守等工作制。</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lang w:eastAsia="zh-CN"/>
        </w:rPr>
      </w:pPr>
      <w:r>
        <w:rPr>
          <w:rFonts w:ascii="方正仿宋简体" w:eastAsia="方正仿宋简体" w:cs="方正仿宋简体" w:hint="eastAsia"/>
          <w:color w:val="auto"/>
          <w:sz w:val="32"/>
          <w:szCs w:val="32"/>
          <w:lang w:val="en-US" w:eastAsia="zh-CN"/>
        </w:rPr>
        <w:t>（2）强化安全宣传教育，增强安全意识。</w:t>
      </w:r>
      <w:r>
        <w:rPr>
          <w:rFonts w:ascii="方正仿宋简体" w:eastAsia="方正仿宋简体" w:cs="方正仿宋简体" w:hint="eastAsia"/>
          <w:bCs/>
          <w:color w:val="auto"/>
          <w:sz w:val="32"/>
          <w:szCs w:val="32"/>
        </w:rPr>
        <w:t>开展消防安全知识培训讲座2期，消防演练</w:t>
      </w:r>
      <w:r>
        <w:rPr>
          <w:rFonts w:ascii="方正仿宋简体" w:eastAsia="方正仿宋简体" w:cs="方正仿宋简体" w:hint="eastAsia"/>
          <w:bCs/>
          <w:color w:val="auto"/>
          <w:sz w:val="32"/>
          <w:szCs w:val="32"/>
          <w:lang w:val="en-US" w:eastAsia="zh-CN"/>
        </w:rPr>
        <w:t>2</w:t>
      </w:r>
      <w:r>
        <w:rPr>
          <w:rFonts w:ascii="方正仿宋简体" w:eastAsia="方正仿宋简体" w:cs="方正仿宋简体" w:hint="eastAsia"/>
          <w:bCs/>
          <w:color w:val="auto"/>
          <w:sz w:val="32"/>
          <w:szCs w:val="32"/>
        </w:rPr>
        <w:t>次</w:t>
      </w:r>
      <w:r>
        <w:rPr>
          <w:rFonts w:ascii="方正仿宋简体" w:eastAsia="方正仿宋简体" w:cs="方正仿宋简体" w:hint="eastAsia"/>
          <w:bCs/>
          <w:color w:val="auto"/>
          <w:sz w:val="32"/>
          <w:szCs w:val="32"/>
          <w:lang w:eastAsia="zh-CN"/>
        </w:rPr>
        <w:t>。</w:t>
      </w:r>
      <w:r>
        <w:rPr>
          <w:rFonts w:ascii="方正仿宋简体" w:eastAsia="方正仿宋简体" w:cs="方正仿宋简体" w:hint="eastAsia"/>
          <w:color w:val="auto"/>
          <w:sz w:val="32"/>
          <w:szCs w:val="32"/>
        </w:rPr>
        <w:t>积极开展“安全生产警示教育月”</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kern w:val="0"/>
          <w:sz w:val="32"/>
          <w:szCs w:val="32"/>
        </w:rPr>
        <w:t>“安全生产月”</w:t>
      </w:r>
      <w:r>
        <w:rPr>
          <w:rFonts w:ascii="方正仿宋简体" w:eastAsia="方正仿宋简体" w:cs="方正仿宋简体" w:hint="eastAsia"/>
          <w:color w:val="auto"/>
          <w:kern w:val="0"/>
          <w:sz w:val="32"/>
          <w:szCs w:val="32"/>
          <w:lang w:eastAsia="zh-CN"/>
        </w:rPr>
        <w:t>、“</w:t>
      </w:r>
      <w:r>
        <w:rPr>
          <w:rFonts w:ascii="方正仿宋简体" w:eastAsia="方正仿宋简体" w:cs="方正仿宋简体" w:hint="eastAsia"/>
          <w:color w:val="auto"/>
          <w:kern w:val="0"/>
          <w:sz w:val="32"/>
          <w:szCs w:val="32"/>
          <w:lang w:val="en-US" w:eastAsia="zh-CN"/>
        </w:rPr>
        <w:t>119消防日</w:t>
      </w:r>
      <w:r>
        <w:rPr>
          <w:rFonts w:ascii="方正仿宋简体" w:eastAsia="方正仿宋简体" w:cs="方正仿宋简体" w:hint="eastAsia"/>
          <w:color w:val="auto"/>
          <w:kern w:val="0"/>
          <w:sz w:val="32"/>
          <w:szCs w:val="32"/>
          <w:lang w:eastAsia="zh-CN"/>
        </w:rPr>
        <w:t>”消防演练活动，</w:t>
      </w:r>
      <w:r>
        <w:rPr>
          <w:rFonts w:ascii="方正仿宋简体" w:eastAsia="方正仿宋简体" w:cs="方正仿宋简体" w:hint="eastAsia"/>
          <w:color w:val="auto"/>
          <w:sz w:val="32"/>
          <w:szCs w:val="32"/>
        </w:rPr>
        <w:t>认真开展</w:t>
      </w:r>
      <w:r>
        <w:rPr>
          <w:rFonts w:ascii="方正仿宋简体" w:eastAsia="方正仿宋简体" w:cs="方正仿宋简体" w:hint="eastAsia"/>
          <w:color w:val="auto"/>
          <w:kern w:val="0"/>
          <w:sz w:val="32"/>
          <w:szCs w:val="32"/>
        </w:rPr>
        <w:t>宣传教育，通过宣传警示，</w:t>
      </w:r>
      <w:r>
        <w:rPr>
          <w:rFonts w:ascii="方正仿宋简体" w:eastAsia="方正仿宋简体" w:cs="方正仿宋简体" w:hint="eastAsia"/>
          <w:color w:val="auto"/>
          <w:sz w:val="32"/>
          <w:szCs w:val="32"/>
        </w:rPr>
        <w:t>进一步强化了干部职工的安全意识</w:t>
      </w:r>
      <w:r>
        <w:rPr>
          <w:rFonts w:ascii="方正仿宋简体" w:eastAsia="方正仿宋简体" w:cs="方正仿宋简体" w:hint="eastAsia"/>
          <w:color w:val="auto"/>
          <w:sz w:val="32"/>
          <w:szCs w:val="32"/>
          <w:lang w:eastAsia="zh-CN"/>
        </w:rPr>
        <w:t>和自我防护能力。</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eastAsia="zh-CN"/>
        </w:rPr>
      </w:pPr>
      <w:r>
        <w:rPr>
          <w:rFonts w:ascii="方正仿宋简体" w:eastAsia="方正仿宋简体" w:cs="方正仿宋简体" w:hint="eastAsia"/>
          <w:color w:val="auto"/>
          <w:sz w:val="32"/>
          <w:szCs w:val="32"/>
          <w:lang w:val="en-US" w:eastAsia="zh-CN"/>
        </w:rPr>
        <w:t>（3）认真落实隐患排查整改制度。</w:t>
      </w:r>
      <w:r>
        <w:rPr>
          <w:rFonts w:ascii="方正仿宋简体" w:eastAsia="方正仿宋简体" w:cs="方正仿宋简体" w:hint="eastAsia"/>
          <w:bCs/>
          <w:color w:val="auto"/>
          <w:sz w:val="32"/>
          <w:szCs w:val="32"/>
          <w:lang w:eastAsia="zh-CN"/>
        </w:rPr>
        <w:t>建立健全了双重预防机制，</w:t>
      </w:r>
      <w:r>
        <w:rPr>
          <w:rFonts w:ascii="方正仿宋简体" w:eastAsia="方正仿宋简体" w:cs="方正仿宋简体" w:hint="eastAsia"/>
          <w:color w:val="auto"/>
          <w:sz w:val="32"/>
          <w:szCs w:val="32"/>
        </w:rPr>
        <w:t>坚持安全生产全覆盖，又突出重点，中心坚持对医疗、护理、药房、放射、检验、配电室等重点岗位和重点环节进行日常巡查检查，做到及时发现隐患，及时整改排除，确保人身、财产安全，履行好维护稳定的职责。</w:t>
      </w:r>
      <w:r>
        <w:rPr>
          <w:rFonts w:ascii="方正仿宋简体" w:eastAsia="方正仿宋简体" w:cs="方正仿宋简体" w:hint="eastAsia"/>
          <w:color w:val="auto"/>
          <w:sz w:val="32"/>
          <w:szCs w:val="32"/>
          <w:lang w:eastAsia="zh-CN"/>
        </w:rPr>
        <w:t>认真开展</w:t>
      </w:r>
      <w:r>
        <w:rPr>
          <w:rFonts w:ascii="方正仿宋简体" w:eastAsia="方正仿宋简体" w:cs="方正仿宋简体" w:hint="eastAsia"/>
          <w:color w:val="auto"/>
          <w:sz w:val="32"/>
          <w:szCs w:val="32"/>
          <w:lang w:val="en-US" w:eastAsia="zh-CN"/>
        </w:rPr>
        <w:t>“排险隐患”集中整治工作，</w:t>
      </w:r>
      <w:r>
        <w:rPr>
          <w:rFonts w:ascii="方正仿宋简体" w:eastAsia="方正仿宋简体" w:cs="方正仿宋简体" w:hint="eastAsia"/>
          <w:color w:val="auto"/>
          <w:sz w:val="32"/>
          <w:szCs w:val="32"/>
        </w:rPr>
        <w:t>开展安全生产大检查</w:t>
      </w:r>
      <w:r>
        <w:rPr>
          <w:rFonts w:ascii="方正仿宋简体" w:eastAsia="方正仿宋简体" w:cs="方正仿宋简体" w:hint="eastAsia"/>
          <w:color w:val="auto"/>
          <w:sz w:val="32"/>
          <w:szCs w:val="32"/>
          <w:lang w:val="en-US" w:eastAsia="zh-CN"/>
        </w:rPr>
        <w:t>12</w:t>
      </w:r>
      <w:r>
        <w:rPr>
          <w:rFonts w:ascii="方正仿宋简体" w:eastAsia="方正仿宋简体" w:cs="方正仿宋简体" w:hint="eastAsia"/>
          <w:color w:val="auto"/>
          <w:sz w:val="32"/>
          <w:szCs w:val="32"/>
        </w:rPr>
        <w:t>次</w:t>
      </w:r>
      <w:r>
        <w:rPr>
          <w:rFonts w:ascii="方正仿宋简体" w:eastAsia="方正仿宋简体" w:cs="方正仿宋简体" w:hint="eastAsia"/>
          <w:color w:val="auto"/>
          <w:sz w:val="32"/>
          <w:szCs w:val="32"/>
          <w:lang w:eastAsia="zh-CN"/>
        </w:rPr>
        <w:t>。发现隐患及时维修整改。</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7.党建与党风廉政建设工作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Cs/>
          <w:color w:val="auto"/>
          <w:sz w:val="32"/>
          <w:szCs w:val="32"/>
        </w:rPr>
      </w:pPr>
      <w:r>
        <w:rPr>
          <w:rFonts w:ascii="方正仿宋简体" w:eastAsia="方正仿宋简体" w:cs="方正仿宋简体" w:hint="eastAsia"/>
          <w:color w:val="auto"/>
          <w:sz w:val="32"/>
          <w:szCs w:val="32"/>
        </w:rPr>
        <w:t>按照《中共广元市委组织部广元市医院党建工作指导委员会关于印发&lt;2020年全市公立医院党建工作重点任务工作清单&gt;的通知》（广卫党组发〔2020〕48号）精神，深入贯彻落实习近平新时代中国特色社会主义思想和党的十九大精神，全面落实新时代党的建设总要求和新时代党的组织路线，</w:t>
      </w:r>
      <w:r>
        <w:rPr>
          <w:rFonts w:ascii="方正仿宋简体" w:eastAsia="方正仿宋简体" w:cs="方正仿宋简体" w:hint="eastAsia"/>
          <w:bCs/>
          <w:color w:val="auto"/>
          <w:sz w:val="32"/>
          <w:szCs w:val="32"/>
        </w:rPr>
        <w:t>深入推进“两学一做”学习教育，严格落实党风廉政建设责任制、“三会一课”、主题党日等党内工作制度，严格落实底线管理，</w:t>
      </w:r>
      <w:r>
        <w:rPr>
          <w:rFonts w:ascii="方正仿宋简体" w:eastAsia="方正仿宋简体" w:cs="方正仿宋简体" w:hint="eastAsia"/>
          <w:color w:val="auto"/>
          <w:sz w:val="32"/>
          <w:szCs w:val="32"/>
        </w:rPr>
        <w:t>党建各项工作任务有序推进，支部召开党员大会、上党课与主题党日融合开展8次，新</w:t>
      </w:r>
      <w:r>
        <w:rPr>
          <w:rFonts w:ascii="方正仿宋简体" w:eastAsia="方正仿宋简体" w:cs="方正仿宋简体" w:hint="eastAsia"/>
          <w:bCs/>
          <w:color w:val="auto"/>
          <w:sz w:val="32"/>
          <w:szCs w:val="32"/>
        </w:rPr>
        <w:t>发展预备党员1名。</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8.意识形态工作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24"/>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pacing w:val="-4"/>
          <w:sz w:val="32"/>
          <w:szCs w:val="32"/>
          <w:lang w:val="en-US" w:eastAsia="zh-CN"/>
        </w:rPr>
        <w:t>一是</w:t>
      </w:r>
      <w:r>
        <w:rPr>
          <w:rFonts w:ascii="方正仿宋简体" w:eastAsia="方正仿宋简体" w:cs="方正仿宋简体" w:hint="eastAsia"/>
          <w:color w:val="auto"/>
          <w:spacing w:val="-4"/>
          <w:sz w:val="32"/>
          <w:szCs w:val="32"/>
        </w:rPr>
        <w:t>强化组织领导</w:t>
      </w:r>
      <w:r>
        <w:rPr>
          <w:rFonts w:ascii="方正仿宋简体" w:eastAsia="方正仿宋简体" w:cs="方正仿宋简体" w:hint="eastAsia"/>
          <w:color w:val="auto"/>
          <w:spacing w:val="-4"/>
          <w:sz w:val="32"/>
          <w:szCs w:val="32"/>
          <w:lang w:eastAsia="zh-CN"/>
        </w:rPr>
        <w:t>，</w:t>
      </w:r>
      <w:r>
        <w:rPr>
          <w:rFonts w:ascii="方正仿宋简体" w:eastAsia="方正仿宋简体" w:cs="方正仿宋简体" w:hint="eastAsia"/>
          <w:color w:val="auto"/>
          <w:spacing w:val="-4"/>
          <w:sz w:val="32"/>
          <w:szCs w:val="32"/>
        </w:rPr>
        <w:t>充分认识意识形态工作的极端重要性,守好意识形态工作这块“责任田”,高度重视意识形态工作,把意识形态工作纳入综合考评中并认真落实党</w:t>
      </w:r>
      <w:r>
        <w:rPr>
          <w:rFonts w:ascii="方正仿宋简体" w:eastAsia="方正仿宋简体" w:cs="方正仿宋简体" w:hint="eastAsia"/>
          <w:color w:val="auto"/>
          <w:spacing w:val="-4"/>
          <w:sz w:val="32"/>
          <w:szCs w:val="32"/>
          <w:lang w:eastAsia="zh-CN"/>
        </w:rPr>
        <w:t>的</w:t>
      </w:r>
      <w:r>
        <w:rPr>
          <w:rFonts w:ascii="方正仿宋简体" w:eastAsia="方正仿宋简体" w:cs="方正仿宋简体" w:hint="eastAsia"/>
          <w:color w:val="auto"/>
          <w:spacing w:val="-4"/>
          <w:sz w:val="32"/>
          <w:szCs w:val="32"/>
        </w:rPr>
        <w:t>意识形态工作述职制度, 实行“一把手”负总责,班子成员各负其责</w:t>
      </w:r>
      <w:r>
        <w:rPr>
          <w:rFonts w:ascii="方正仿宋简体" w:eastAsia="方正仿宋简体" w:cs="方正仿宋简体" w:hint="eastAsia"/>
          <w:color w:val="auto"/>
          <w:spacing w:val="-4"/>
          <w:sz w:val="32"/>
          <w:szCs w:val="32"/>
          <w:lang w:eastAsia="zh-CN"/>
        </w:rPr>
        <w:t>。二是</w:t>
      </w:r>
      <w:r>
        <w:rPr>
          <w:rFonts w:ascii="方正仿宋简体" w:eastAsia="方正仿宋简体" w:cs="方正仿宋简体" w:hint="eastAsia"/>
          <w:color w:val="auto"/>
          <w:sz w:val="32"/>
          <w:szCs w:val="32"/>
        </w:rPr>
        <w:t>狠抓学习教育。将意识形态工作纳入学习计划,及时传达学习党中央和省、市、区和</w:t>
      </w:r>
      <w:r>
        <w:rPr>
          <w:rFonts w:ascii="方正仿宋简体" w:eastAsia="方正仿宋简体" w:cs="方正仿宋简体" w:hint="eastAsia"/>
          <w:color w:val="auto"/>
          <w:sz w:val="32"/>
          <w:szCs w:val="32"/>
          <w:lang w:eastAsia="zh-CN"/>
        </w:rPr>
        <w:t>街道</w:t>
      </w:r>
      <w:r>
        <w:rPr>
          <w:rFonts w:ascii="方正仿宋简体" w:eastAsia="方正仿宋简体" w:cs="方正仿宋简体" w:hint="eastAsia"/>
          <w:color w:val="auto"/>
          <w:sz w:val="32"/>
          <w:szCs w:val="32"/>
        </w:rPr>
        <w:t>党委及主管部门关于意识形态工作的决策部署及指示精神,认真学习党的十九大精神及习近平总书记系列</w:t>
      </w:r>
      <w:r>
        <w:rPr>
          <w:rFonts w:ascii="方正仿宋简体" w:eastAsia="方正仿宋简体" w:cs="方正仿宋简体" w:hint="eastAsia"/>
          <w:color w:val="auto"/>
          <w:sz w:val="32"/>
          <w:szCs w:val="32"/>
          <w:lang w:eastAsia="zh-CN"/>
        </w:rPr>
        <w:t>重要</w:t>
      </w:r>
      <w:r>
        <w:rPr>
          <w:rFonts w:ascii="方正仿宋简体" w:eastAsia="方正仿宋简体" w:cs="方正仿宋简体" w:hint="eastAsia"/>
          <w:color w:val="auto"/>
          <w:sz w:val="32"/>
          <w:szCs w:val="32"/>
        </w:rPr>
        <w:t>讲话,大力培育和践行社会主义核心价值观。牢牢把握正确的政治方向,严守政治纪律和政治规矩,严守组织纪律和宣传纪律,坚决维护中央权威,在思想上行动上同以习近平同志为核心的党中央保持高度一致。</w:t>
      </w:r>
      <w:r>
        <w:rPr>
          <w:rFonts w:ascii="方正仿宋简体" w:eastAsia="方正仿宋简体" w:cs="方正仿宋简体" w:hint="eastAsia"/>
          <w:color w:val="auto"/>
          <w:sz w:val="32"/>
          <w:szCs w:val="32"/>
          <w:lang w:eastAsia="zh-CN"/>
        </w:rPr>
        <w:t>三是</w:t>
      </w:r>
      <w:r>
        <w:rPr>
          <w:rFonts w:ascii="方正仿宋简体" w:eastAsia="方正仿宋简体" w:cs="方正仿宋简体" w:hint="eastAsia"/>
          <w:color w:val="auto"/>
          <w:sz w:val="32"/>
          <w:szCs w:val="32"/>
        </w:rPr>
        <w:t>扎实推进学习型党组织建设</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持续抓好全体干部职工集中学习以及“两学一做”学习教育常态化制度化化,突出理想信念教育,提高政治鉴别力。</w:t>
      </w:r>
      <w:r>
        <w:rPr>
          <w:rFonts w:ascii="方正仿宋简体" w:eastAsia="方正仿宋简体" w:cs="方正仿宋简体" w:hint="eastAsia"/>
          <w:color w:val="auto"/>
          <w:sz w:val="32"/>
          <w:szCs w:val="32"/>
          <w:lang w:eastAsia="zh-CN"/>
        </w:rPr>
        <w:t>四是</w:t>
      </w:r>
      <w:r>
        <w:rPr>
          <w:rFonts w:ascii="方正仿宋简体" w:eastAsia="方正仿宋简体" w:cs="方正仿宋简体" w:hint="eastAsia"/>
          <w:color w:val="auto"/>
          <w:spacing w:val="-4"/>
          <w:sz w:val="32"/>
          <w:szCs w:val="32"/>
        </w:rPr>
        <w:t>坚持正确舆论导向</w:t>
      </w:r>
      <w:r>
        <w:rPr>
          <w:rFonts w:ascii="方正仿宋简体" w:eastAsia="方正仿宋简体" w:cs="方正仿宋简体" w:hint="eastAsia"/>
          <w:color w:val="auto"/>
          <w:spacing w:val="-4"/>
          <w:sz w:val="32"/>
          <w:szCs w:val="32"/>
          <w:lang w:eastAsia="zh-CN"/>
        </w:rPr>
        <w:t>，</w:t>
      </w:r>
      <w:r>
        <w:rPr>
          <w:rFonts w:ascii="方正仿宋简体" w:eastAsia="方正仿宋简体" w:cs="方正仿宋简体" w:hint="eastAsia"/>
          <w:color w:val="auto"/>
          <w:spacing w:val="-4"/>
          <w:sz w:val="32"/>
          <w:szCs w:val="32"/>
        </w:rPr>
        <w:t>加强舆论引导和舆论斗争。是牢牢掌控网络意识形态主导权</w:t>
      </w:r>
      <w:r>
        <w:rPr>
          <w:rFonts w:ascii="方正仿宋简体" w:eastAsia="方正仿宋简体" w:cs="方正仿宋简体" w:hint="eastAsia"/>
          <w:color w:val="auto"/>
          <w:spacing w:val="-4"/>
          <w:sz w:val="32"/>
          <w:szCs w:val="32"/>
          <w:lang w:eastAsia="zh-CN"/>
        </w:rPr>
        <w:t>，</w:t>
      </w:r>
      <w:r>
        <w:rPr>
          <w:rFonts w:ascii="方正仿宋简体" w:eastAsia="方正仿宋简体" w:cs="方正仿宋简体" w:hint="eastAsia"/>
          <w:color w:val="auto"/>
          <w:spacing w:val="-4"/>
          <w:sz w:val="32"/>
          <w:szCs w:val="32"/>
        </w:rPr>
        <w:t>切实维护网络意识形态安全</w:t>
      </w:r>
      <w:r>
        <w:rPr>
          <w:rFonts w:ascii="方正仿宋简体" w:eastAsia="方正仿宋简体" w:cs="方正仿宋简体" w:hint="eastAsia"/>
          <w:color w:val="auto"/>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9.扫黑除恶工作</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Cs/>
          <w:color w:val="auto"/>
          <w:sz w:val="32"/>
          <w:szCs w:val="32"/>
          <w:lang w:val="en-US" w:eastAsia="zh-CN"/>
        </w:rPr>
      </w:pPr>
      <w:r>
        <w:rPr>
          <w:rFonts w:ascii="方正仿宋简体" w:eastAsia="方正仿宋简体" w:cs="方正仿宋简体" w:hint="eastAsia"/>
          <w:bCs/>
          <w:color w:val="auto"/>
          <w:sz w:val="32"/>
          <w:szCs w:val="32"/>
        </w:rPr>
        <w:t>把扫黑除恶、治理医疗行业乱象与安全生产和规范医疗行为维护医保基金安全相结合，</w:t>
      </w:r>
      <w:r>
        <w:rPr>
          <w:rFonts w:ascii="方正仿宋简体" w:eastAsia="方正仿宋简体" w:cs="方正仿宋简体" w:hint="eastAsia"/>
          <w:color w:val="auto"/>
          <w:sz w:val="32"/>
          <w:szCs w:val="32"/>
        </w:rPr>
        <w:t>对摸排出的涉黑涉恶线索进一步深挖，坚持对涉黑涉恶行为“零容忍”态度，加强与公安等各部门之间的沟通配合，把扫黑、除恶、治乱与日常工作中有机结合，营造一个稳定和谐的社会环境。</w:t>
      </w:r>
      <w:r>
        <w:rPr>
          <w:rFonts w:ascii="方正仿宋简体" w:eastAsia="方正仿宋简体" w:cs="方正仿宋简体" w:hint="eastAsia"/>
          <w:bCs/>
          <w:color w:val="auto"/>
          <w:sz w:val="32"/>
          <w:szCs w:val="32"/>
        </w:rPr>
        <w:t>年内上报医疗乱象</w:t>
      </w:r>
      <w:r>
        <w:rPr>
          <w:rFonts w:ascii="方正仿宋简体" w:eastAsia="方正仿宋简体" w:cs="方正仿宋简体" w:hint="eastAsia"/>
          <w:bCs/>
          <w:color w:val="auto"/>
          <w:sz w:val="32"/>
          <w:szCs w:val="32"/>
          <w:lang w:val="en-US" w:eastAsia="zh-CN"/>
        </w:rPr>
        <w:t>2</w:t>
      </w:r>
      <w:r>
        <w:rPr>
          <w:rFonts w:ascii="方正仿宋简体" w:eastAsia="方正仿宋简体" w:cs="方正仿宋简体" w:hint="eastAsia"/>
          <w:bCs/>
          <w:color w:val="auto"/>
          <w:sz w:val="32"/>
          <w:szCs w:val="32"/>
        </w:rPr>
        <w:t>例</w:t>
      </w:r>
      <w:r>
        <w:rPr>
          <w:rFonts w:ascii="方正仿宋简体" w:eastAsia="方正仿宋简体" w:cs="方正仿宋简体" w:hint="eastAsia"/>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10.项目建设</w:t>
      </w:r>
    </w:p>
    <w:p>
      <w:pPr>
        <w:keepNext w:val="0"/>
        <w:keepLines w:val="0"/>
        <w:pageBreakBefore w:val="0"/>
        <w:widowControl w:val="0"/>
        <w:kinsoku/>
        <w:wordWrap/>
        <w:overflowPunct/>
        <w:topLinePunct w:val="0"/>
        <w:autoSpaceDE/>
        <w:autoSpaceDN/>
        <w:bidi w:val="0"/>
        <w:adjustRightInd/>
        <w:snapToGrid/>
        <w:spacing w:line="576" w:lineRule="exact"/>
        <w:ind w:left="0" w:right="0"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rPr>
        <w:t>因疫情防控工作的需要，年内完成了预检分诊室的维修改造工作，同时，为落实《四川省医疗机构出入管理制度》要求，完成了电动伸缩大门的维修，特别国债资金的救护车购置、康复能力建设设备采购、基层能力提升项目设备采购与房屋漏水维修</w:t>
      </w:r>
      <w:r>
        <w:rPr>
          <w:rFonts w:ascii="方正仿宋简体" w:eastAsia="方正仿宋简体" w:cs="方正仿宋简体" w:hint="eastAsia"/>
          <w:color w:val="auto"/>
          <w:sz w:val="32"/>
          <w:szCs w:val="32"/>
          <w:lang w:eastAsia="zh-CN"/>
        </w:rPr>
        <w:t>及窗户更换，进一步优化就医流程、改善就医环境、提升医疗服务能力。</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20" w:name="_Toc15396601"/>
      <w:bookmarkStart w:id="21" w:name="_Toc15377200"/>
      <w:r>
        <w:rPr>
          <w:rFonts w:ascii="方正黑体简体" w:eastAsia="方正黑体简体" w:cs="方正黑体简体" w:hint="eastAsia"/>
          <w:b w:val="0"/>
          <w:bCs/>
          <w:color w:val="auto"/>
          <w:sz w:val="32"/>
          <w:szCs w:val="32"/>
          <w:lang w:eastAsia="zh-CN"/>
        </w:rPr>
        <w:t>二、</w:t>
      </w:r>
      <w:r>
        <w:rPr>
          <w:rFonts w:ascii="方正黑体简体" w:eastAsia="方正黑体简体" w:cs="方正黑体简体" w:hint="eastAsia"/>
          <w:b w:val="0"/>
          <w:bCs/>
          <w:color w:val="auto"/>
          <w:sz w:val="32"/>
          <w:szCs w:val="32"/>
        </w:rPr>
        <w:t>机</w:t>
      </w:r>
      <w:r>
        <w:rPr>
          <w:rStyle w:val="2Char"/>
          <w:rFonts w:ascii="方正黑体简体" w:eastAsia="方正黑体简体" w:cs="方正黑体简体" w:hint="eastAsia"/>
          <w:b w:val="0"/>
          <w:bCs/>
          <w:color w:val="auto"/>
          <w:sz w:val="32"/>
          <w:szCs w:val="32"/>
        </w:rPr>
        <w:t>构设置</w:t>
      </w:r>
      <w:bookmarkEnd w:id="20"/>
      <w:bookmarkEnd w:id="21"/>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仿宋简体" w:eastAsia="方正仿宋简体" w:cs="方正仿宋简体" w:hint="eastAsia"/>
          <w:b w:val="0"/>
          <w:bCs w:val="0"/>
          <w:color w:val="auto"/>
          <w:sz w:val="32"/>
          <w:szCs w:val="32"/>
          <w:lang w:eastAsia="zh-CN"/>
        </w:rPr>
      </w:pPr>
      <w:r>
        <w:rPr>
          <w:rFonts w:ascii="方正仿宋简体" w:eastAsia="方正仿宋简体" w:cs="方正仿宋简体" w:hint="eastAsia"/>
          <w:b w:val="0"/>
          <w:bCs w:val="0"/>
          <w:color w:val="auto"/>
          <w:sz w:val="32"/>
          <w:szCs w:val="32"/>
          <w:lang w:eastAsia="zh-CN"/>
        </w:rPr>
        <w:t>广元市利州区杨家岩社区卫生服务中心</w:t>
      </w:r>
      <w:r>
        <w:rPr>
          <w:rFonts w:ascii="方正仿宋简体" w:eastAsia="方正仿宋简体" w:cs="方正仿宋简体" w:hint="eastAsia"/>
          <w:b w:val="0"/>
          <w:bCs w:val="0"/>
          <w:color w:val="auto"/>
          <w:sz w:val="32"/>
          <w:szCs w:val="32"/>
          <w:lang w:val="en-US" w:eastAsia="zh-CN"/>
        </w:rPr>
        <w:t>无</w:t>
      </w:r>
      <w:r>
        <w:rPr>
          <w:rFonts w:ascii="方正仿宋简体" w:eastAsia="方正仿宋简体" w:cs="方正仿宋简体" w:hint="eastAsia"/>
          <w:b w:val="0"/>
          <w:bCs w:val="0"/>
          <w:color w:val="auto"/>
          <w:sz w:val="32"/>
          <w:szCs w:val="32"/>
        </w:rPr>
        <w:t>下属二级单位</w:t>
      </w:r>
      <w:r>
        <w:rPr>
          <w:rFonts w:ascii="方正仿宋简体" w:eastAsia="方正仿宋简体" w:cs="方正仿宋简体" w:hint="eastAsia"/>
          <w:b w:val="0"/>
          <w:bCs w:val="0"/>
          <w:color w:val="auto"/>
          <w:sz w:val="32"/>
          <w:szCs w:val="32"/>
          <w:lang w:eastAsia="zh-CN"/>
        </w:rPr>
        <w:t>。</w:t>
      </w:r>
    </w:p>
    <w:p>
      <w:pPr>
        <w:pStyle w:val="17"/>
        <w:pageBreakBefore w:val="0"/>
        <w:widowControl w:val="0"/>
        <w:kinsoku/>
        <w:wordWrap/>
        <w:overflowPunct/>
        <w:topLinePunct w:val="0"/>
        <w:autoSpaceDE/>
        <w:autoSpaceDN/>
        <w:bidi w:val="0"/>
        <w:adjustRightInd w:val="0"/>
        <w:snapToGrid w:val="0"/>
        <w:spacing w:beforeLines="0" w:before="30" w:line="576" w:lineRule="exact"/>
        <w:ind w:left="0" w:righ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纳入</w:t>
      </w:r>
      <w:r>
        <w:rPr>
          <w:rFonts w:ascii="方正仿宋简体" w:eastAsia="方正仿宋简体" w:cs="方正仿宋简体" w:hint="eastAsia"/>
          <w:color w:val="auto"/>
          <w:sz w:val="32"/>
          <w:szCs w:val="32"/>
          <w:lang w:eastAsia="zh-CN"/>
        </w:rPr>
        <w:t>广元市利州区杨家岩社区卫生服务中心</w:t>
      </w:r>
      <w:r>
        <w:rPr>
          <w:rFonts w:ascii="方正仿宋简体" w:eastAsia="方正仿宋简体" w:cs="方正仿宋简体" w:hint="eastAsia"/>
          <w:color w:val="auto"/>
          <w:sz w:val="32"/>
          <w:szCs w:val="32"/>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年度部门决算编制范围的二级预算单位</w:t>
      </w:r>
      <w:bookmarkStart w:id="22" w:name="_Toc15378449"/>
      <w:bookmarkStart w:id="23" w:name="_Toc15306276"/>
      <w:bookmarkStart w:id="24" w:name="_Toc15377433"/>
      <w:bookmarkStart w:id="25" w:name="_Toc15377202"/>
      <w:r>
        <w:rPr>
          <w:rFonts w:ascii="方正仿宋简体" w:eastAsia="方正仿宋简体" w:cs="方正仿宋简体" w:hint="eastAsia"/>
          <w:color w:val="auto"/>
          <w:sz w:val="32"/>
          <w:szCs w:val="32"/>
          <w:lang w:val="en-US" w:eastAsia="zh-CN"/>
        </w:rPr>
        <w:t>:</w:t>
      </w:r>
      <w:r>
        <w:rPr>
          <w:rFonts w:ascii="方正仿宋简体" w:eastAsia="方正仿宋简体" w:cs="方正仿宋简体" w:hint="eastAsia"/>
          <w:color w:val="auto"/>
          <w:sz w:val="32"/>
          <w:szCs w:val="32"/>
          <w:lang w:eastAsia="zh-CN"/>
        </w:rPr>
        <w:t>无</w:t>
      </w:r>
      <w:bookmarkEnd w:id="22"/>
      <w:bookmarkEnd w:id="23"/>
      <w:bookmarkEnd w:id="24"/>
      <w:bookmarkEnd w:id="25"/>
      <w:r>
        <w:rPr>
          <w:rFonts w:ascii="方正仿宋简体" w:eastAsia="方正仿宋简体" w:cs="方正仿宋简体" w:hint="eastAsia"/>
          <w:color w:val="auto"/>
          <w:sz w:val="32"/>
          <w:szCs w:val="32"/>
          <w:lang w:eastAsia="zh-CN"/>
        </w:rPr>
        <w:t>。</w:t>
      </w:r>
    </w:p>
    <w:p>
      <w:pPr>
        <w:pageBreakBefore w:val="0"/>
        <w:widowControl/>
        <w:kinsoku/>
        <w:wordWrap/>
        <w:overflowPunct/>
        <w:topLinePunct w:val="0"/>
        <w:autoSpaceDE/>
        <w:autoSpaceDN/>
        <w:bidi w:val="0"/>
        <w:spacing w:line="576" w:lineRule="exact"/>
        <w:ind w:left="0" w:right="0" w:firstLineChars="200" w:firstLine="640"/>
        <w:jc w:val="left"/>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sz w:val="32"/>
          <w:szCs w:val="32"/>
        </w:rPr>
        <w:br w:type="page"/>
      </w:r>
    </w:p>
    <w:p>
      <w:pPr>
        <w:pStyle w:val="1"/>
        <w:keepNext/>
        <w:keepLines/>
        <w:pageBreakBefore w:val="0"/>
        <w:widowControl w:val="0"/>
        <w:kinsoku/>
        <w:wordWrap/>
        <w:overflowPunct/>
        <w:topLinePunct w:val="0"/>
        <w:autoSpaceDE/>
        <w:autoSpaceDN/>
        <w:bidi w:val="0"/>
        <w:spacing w:before="0" w:after="0" w:line="576" w:lineRule="exact"/>
        <w:ind w:right="0"/>
        <w:jc w:val="center"/>
        <w:textAlignment w:val="auto"/>
        <w:rPr>
          <w:rFonts w:ascii="方正小标宋简体" w:eastAsia="方正小标宋简体" w:cs="方正小标宋简体" w:hint="eastAsia"/>
          <w:b w:val="0"/>
          <w:color w:val="auto"/>
          <w:sz w:val="48"/>
          <w:szCs w:val="48"/>
        </w:rPr>
      </w:pPr>
      <w:bookmarkStart w:id="26" w:name="_Toc15396602"/>
      <w:bookmarkStart w:id="27" w:name="_Toc15377204"/>
      <w:r>
        <w:rPr>
          <w:rFonts w:ascii="方正小标宋简体" w:eastAsia="方正小标宋简体" w:cs="方正小标宋简体" w:hint="eastAsia"/>
          <w:b w:val="0"/>
          <w:color w:val="auto"/>
          <w:sz w:val="48"/>
          <w:szCs w:val="48"/>
        </w:rPr>
        <w:t>第二部分 20</w:t>
      </w:r>
      <w:r>
        <w:rPr>
          <w:rFonts w:ascii="方正小标宋简体" w:eastAsia="方正小标宋简体" w:cs="方正小标宋简体" w:hint="eastAsia"/>
          <w:b w:val="0"/>
          <w:color w:val="auto"/>
          <w:sz w:val="48"/>
          <w:szCs w:val="48"/>
          <w:lang w:val="en-US" w:eastAsia="zh-CN"/>
        </w:rPr>
        <w:t>20</w:t>
      </w:r>
      <w:r>
        <w:rPr>
          <w:rFonts w:ascii="方正小标宋简体" w:eastAsia="方正小标宋简体" w:cs="方正小标宋简体" w:hint="eastAsia"/>
          <w:b w:val="0"/>
          <w:color w:val="auto"/>
          <w:sz w:val="48"/>
          <w:szCs w:val="48"/>
        </w:rPr>
        <w:t>年度部门决算情况说明</w:t>
      </w:r>
      <w:bookmarkEnd w:id="26"/>
      <w:bookmarkEnd w:id="27"/>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28" w:name="_Toc15396603"/>
      <w:bookmarkStart w:id="29" w:name="_Toc15377205"/>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r>
        <w:rPr>
          <w:rFonts w:ascii="方正黑体简体" w:eastAsia="方正黑体简体" w:cs="方正黑体简体" w:hint="eastAsia"/>
          <w:b w:val="0"/>
          <w:bCs/>
          <w:color w:val="auto"/>
          <w:sz w:val="32"/>
          <w:szCs w:val="32"/>
          <w:lang w:eastAsia="zh-CN"/>
        </w:rPr>
        <w:t>一、收入支出决算总体情况说明</w:t>
      </w:r>
      <w:bookmarkEnd w:id="28"/>
      <w:bookmarkEnd w:id="29"/>
    </w:p>
    <w:p>
      <w:pPr>
        <w:pageBreakBefore w:val="0"/>
        <w:widowControl w:val="0"/>
        <w:kinsoku/>
        <w:wordWrap/>
        <w:overflowPunct/>
        <w:topLinePunct w:val="0"/>
        <w:bidi w:val="0"/>
        <w:spacing w:line="576" w:lineRule="exact"/>
        <w:jc w:val="center"/>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lang w:val="en-US" w:eastAsia="zh-CN"/>
        </w:rPr>
        <w:t xml:space="preserve">    </w:t>
      </w: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年度收</w:t>
      </w:r>
      <w:r>
        <w:rPr>
          <w:rFonts w:ascii="方正仿宋简体" w:eastAsia="方正仿宋简体" w:cs="方正仿宋简体" w:hint="eastAsia"/>
          <w:b w:val="0"/>
          <w:bCs/>
          <w:color w:val="auto"/>
          <w:sz w:val="32"/>
          <w:szCs w:val="32"/>
          <w:lang w:eastAsia="zh-CN"/>
        </w:rPr>
        <w:t>入、支出总计分别是</w:t>
      </w:r>
      <w:r>
        <w:rPr>
          <w:rFonts w:ascii="方正仿宋简体" w:eastAsia="方正仿宋简体" w:cs="方正仿宋简体" w:hint="eastAsia"/>
          <w:b w:val="0"/>
          <w:bCs/>
          <w:color w:val="auto"/>
          <w:sz w:val="32"/>
          <w:szCs w:val="32"/>
          <w:lang w:val="en-US" w:eastAsia="zh-CN"/>
        </w:rPr>
        <w:t>673.34万元</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val="en-US" w:eastAsia="zh-CN"/>
        </w:rPr>
        <w:t>667.09</w:t>
      </w:r>
      <w:r>
        <w:rPr>
          <w:rFonts w:ascii="方正仿宋简体" w:eastAsia="方正仿宋简体" w:cs="方正仿宋简体" w:hint="eastAsia"/>
          <w:b w:val="0"/>
          <w:bCs/>
          <w:color w:val="auto"/>
          <w:sz w:val="32"/>
          <w:szCs w:val="32"/>
        </w:rPr>
        <w:t>万元。与201</w:t>
      </w:r>
      <w:r>
        <w:rPr>
          <w:rFonts w:ascii="方正仿宋简体" w:eastAsia="方正仿宋简体" w:cs="方正仿宋简体" w:hint="eastAsia"/>
          <w:b w:val="0"/>
          <w:bCs/>
          <w:color w:val="auto"/>
          <w:sz w:val="32"/>
          <w:szCs w:val="32"/>
          <w:lang w:val="en-US" w:eastAsia="zh-CN"/>
        </w:rPr>
        <w:t>9</w:t>
      </w:r>
      <w:r>
        <w:rPr>
          <w:rFonts w:ascii="方正仿宋简体" w:eastAsia="方正仿宋简体" w:cs="方正仿宋简体" w:hint="eastAsia"/>
          <w:b w:val="0"/>
          <w:bCs/>
          <w:color w:val="auto"/>
          <w:sz w:val="32"/>
          <w:szCs w:val="32"/>
        </w:rPr>
        <w:t>年</w:t>
      </w:r>
      <w:r>
        <w:rPr>
          <w:rFonts w:ascii="方正仿宋简体" w:eastAsia="方正仿宋简体" w:cs="方正仿宋简体" w:hint="eastAsia"/>
          <w:b w:val="0"/>
          <w:bCs/>
          <w:color w:val="auto"/>
          <w:sz w:val="32"/>
          <w:szCs w:val="32"/>
          <w:lang w:eastAsia="zh-CN"/>
        </w:rPr>
        <w:t>（</w:t>
      </w:r>
      <w:r>
        <w:rPr>
          <w:rFonts w:ascii="方正仿宋简体" w:eastAsia="方正仿宋简体" w:cs="方正仿宋简体" w:hint="eastAsia"/>
          <w:b w:val="0"/>
          <w:bCs/>
          <w:color w:val="auto"/>
          <w:sz w:val="32"/>
          <w:szCs w:val="32"/>
          <w:lang w:val="en-US" w:eastAsia="zh-CN"/>
        </w:rPr>
        <w:t>568.03万元、568.85万元</w:t>
      </w:r>
      <w:r>
        <w:rPr>
          <w:rFonts w:ascii="方正仿宋简体" w:eastAsia="方正仿宋简体" w:cs="方正仿宋简体" w:hint="eastAsia"/>
          <w:b w:val="0"/>
          <w:bCs/>
          <w:color w:val="auto"/>
          <w:sz w:val="32"/>
          <w:szCs w:val="32"/>
          <w:lang w:eastAsia="zh-CN"/>
        </w:rPr>
        <w:t>）</w:t>
      </w:r>
      <w:r>
        <w:rPr>
          <w:rFonts w:ascii="方正仿宋简体" w:eastAsia="方正仿宋简体" w:cs="方正仿宋简体" w:hint="eastAsia"/>
          <w:b w:val="0"/>
          <w:bCs/>
          <w:color w:val="auto"/>
          <w:sz w:val="32"/>
          <w:szCs w:val="32"/>
        </w:rPr>
        <w:t>相比，收</w:t>
      </w:r>
      <w:r>
        <w:rPr>
          <w:rFonts w:ascii="方正仿宋简体" w:eastAsia="方正仿宋简体" w:cs="方正仿宋简体" w:hint="eastAsia"/>
          <w:b w:val="0"/>
          <w:bCs/>
          <w:color w:val="auto"/>
          <w:sz w:val="32"/>
          <w:szCs w:val="32"/>
          <w:lang w:eastAsia="zh-CN"/>
        </w:rPr>
        <w:t>入增加</w:t>
      </w:r>
      <w:r>
        <w:rPr>
          <w:rFonts w:ascii="方正仿宋简体" w:eastAsia="方正仿宋简体" w:cs="方正仿宋简体" w:hint="eastAsia"/>
          <w:b w:val="0"/>
          <w:bCs/>
          <w:color w:val="auto"/>
          <w:sz w:val="32"/>
          <w:szCs w:val="32"/>
          <w:lang w:val="en-US" w:eastAsia="zh-CN"/>
        </w:rPr>
        <w:t>105.31万元，增长18.54%</w:t>
      </w:r>
      <w:r>
        <w:rPr>
          <w:rFonts w:ascii="方正仿宋简体" w:eastAsia="方正仿宋简体" w:cs="方正仿宋简体" w:hint="eastAsia"/>
          <w:b w:val="0"/>
          <w:bCs/>
          <w:color w:val="auto"/>
          <w:sz w:val="32"/>
          <w:szCs w:val="32"/>
        </w:rPr>
        <w:t>、支</w:t>
      </w:r>
      <w:r>
        <w:rPr>
          <w:rFonts w:ascii="方正仿宋简体" w:eastAsia="方正仿宋简体" w:cs="方正仿宋简体" w:hint="eastAsia"/>
          <w:b w:val="0"/>
          <w:bCs/>
          <w:color w:val="auto"/>
          <w:sz w:val="32"/>
          <w:szCs w:val="32"/>
          <w:lang w:eastAsia="zh-CN"/>
        </w:rPr>
        <w:t>出</w:t>
      </w:r>
      <w:r>
        <w:rPr>
          <w:rFonts w:ascii="方正仿宋简体" w:eastAsia="方正仿宋简体" w:cs="方正仿宋简体" w:hint="eastAsia"/>
          <w:b w:val="0"/>
          <w:bCs/>
          <w:color w:val="auto"/>
          <w:sz w:val="32"/>
          <w:szCs w:val="32"/>
        </w:rPr>
        <w:t>增加</w:t>
      </w:r>
      <w:r>
        <w:rPr>
          <w:rFonts w:ascii="方正仿宋简体" w:eastAsia="方正仿宋简体" w:cs="方正仿宋简体" w:hint="eastAsia"/>
          <w:b w:val="0"/>
          <w:bCs/>
          <w:color w:val="auto"/>
          <w:sz w:val="32"/>
          <w:szCs w:val="32"/>
          <w:lang w:val="en-US" w:eastAsia="zh-CN"/>
        </w:rPr>
        <w:t>98.24</w:t>
      </w:r>
      <w:r>
        <w:rPr>
          <w:rFonts w:ascii="方正仿宋简体" w:eastAsia="方正仿宋简体" w:cs="方正仿宋简体" w:hint="eastAsia"/>
          <w:b w:val="0"/>
          <w:bCs/>
          <w:color w:val="auto"/>
          <w:sz w:val="32"/>
          <w:szCs w:val="32"/>
        </w:rPr>
        <w:t>万元，</w:t>
      </w:r>
      <w:r>
        <w:rPr>
          <w:rFonts w:ascii="方正仿宋简体" w:eastAsia="方正仿宋简体" w:cs="方正仿宋简体" w:hint="eastAsia"/>
          <w:b w:val="0"/>
          <w:bCs/>
          <w:color w:val="auto"/>
          <w:sz w:val="32"/>
          <w:szCs w:val="32"/>
          <w:lang w:val="en-US" w:eastAsia="zh-CN"/>
        </w:rPr>
        <w:t>增长17.27%</w:t>
      </w:r>
      <w:r>
        <w:rPr>
          <w:rFonts w:ascii="方正仿宋简体" w:eastAsia="方正仿宋简体" w:cs="方正仿宋简体" w:hint="eastAsia"/>
          <w:b w:val="0"/>
          <w:bCs/>
          <w:color w:val="auto"/>
          <w:sz w:val="32"/>
          <w:szCs w:val="32"/>
        </w:rPr>
        <w:t>。主要变动原因是：随着医药卫生体制改革的不断深入，20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年，中央、省、市、区财政对基本公共卫生服务及取消药品加成补偿经费</w:t>
      </w:r>
      <w:r>
        <w:rPr>
          <w:rFonts w:ascii="方正仿宋简体" w:eastAsia="方正仿宋简体" w:cs="方正仿宋简体" w:hint="eastAsia"/>
          <w:b w:val="0"/>
          <w:bCs/>
          <w:color w:val="auto"/>
          <w:sz w:val="32"/>
          <w:szCs w:val="32"/>
          <w:lang w:eastAsia="zh-CN"/>
        </w:rPr>
        <w:t>和中央对重大疫情防控救治体系</w:t>
      </w:r>
      <w:r>
        <w:rPr>
          <w:rFonts w:ascii="方正仿宋简体" w:eastAsia="方正仿宋简体" w:cs="方正仿宋简体" w:hint="eastAsia"/>
          <w:b w:val="0"/>
          <w:bCs/>
          <w:color w:val="auto"/>
          <w:sz w:val="32"/>
          <w:szCs w:val="32"/>
        </w:rPr>
        <w:t>投入</w:t>
      </w:r>
      <w:r>
        <w:rPr>
          <w:rFonts w:ascii="方正仿宋简体" w:eastAsia="方正仿宋简体" w:cs="方正仿宋简体" w:hint="eastAsia"/>
          <w:b w:val="0"/>
          <w:bCs/>
          <w:color w:val="auto"/>
          <w:sz w:val="32"/>
          <w:szCs w:val="32"/>
          <w:lang w:eastAsia="zh-CN"/>
        </w:rPr>
        <w:t>增加，</w:t>
      </w:r>
      <w:r>
        <w:rPr>
          <w:rFonts w:ascii="方正仿宋简体" w:eastAsia="方正仿宋简体" w:cs="方正仿宋简体" w:hint="eastAsia"/>
          <w:b w:val="0"/>
          <w:bCs/>
          <w:color w:val="auto"/>
          <w:sz w:val="32"/>
          <w:szCs w:val="32"/>
        </w:rPr>
        <w:t>由于单位人员增加及实施绩效工资后职工工资平均水平增高致使工资福利支出增加；20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年为提高</w:t>
      </w:r>
      <w:r>
        <w:rPr>
          <w:rFonts w:ascii="方正仿宋简体" w:eastAsia="方正仿宋简体" w:cs="方正仿宋简体" w:hint="eastAsia"/>
          <w:b w:val="0"/>
          <w:bCs/>
          <w:color w:val="auto"/>
          <w:sz w:val="32"/>
          <w:szCs w:val="32"/>
          <w:lang w:eastAsia="zh-CN"/>
        </w:rPr>
        <w:t>重大疫情防控救治能力和</w:t>
      </w:r>
      <w:r>
        <w:rPr>
          <w:rFonts w:ascii="方正仿宋简体" w:eastAsia="方正仿宋简体" w:cs="方正仿宋简体" w:hint="eastAsia"/>
          <w:b w:val="0"/>
          <w:bCs/>
          <w:color w:val="auto"/>
          <w:sz w:val="32"/>
          <w:szCs w:val="32"/>
        </w:rPr>
        <w:t>医疗服务能力购置了专用设备导致其他资本性支出在20</w:t>
      </w:r>
      <w:r>
        <w:rPr>
          <w:rFonts w:ascii="方正仿宋简体" w:eastAsia="方正仿宋简体" w:cs="方正仿宋简体" w:hint="eastAsia"/>
          <w:b w:val="0"/>
          <w:bCs/>
          <w:color w:val="auto"/>
          <w:sz w:val="32"/>
          <w:szCs w:val="32"/>
          <w:lang w:val="en-US" w:eastAsia="zh-CN"/>
        </w:rPr>
        <w:t>19</w:t>
      </w:r>
      <w:r>
        <w:rPr>
          <w:rFonts w:ascii="方正仿宋简体" w:eastAsia="方正仿宋简体" w:cs="方正仿宋简体" w:hint="eastAsia"/>
          <w:b w:val="0"/>
          <w:bCs/>
          <w:color w:val="auto"/>
          <w:sz w:val="32"/>
          <w:szCs w:val="32"/>
        </w:rPr>
        <w:t>年的基础上有所增长。</w:t>
      </w:r>
    </w:p>
    <w:p>
      <w:pPr>
        <w:pageBreakBefore w:val="0"/>
        <w:widowControl w:val="0"/>
        <w:kinsoku/>
        <w:wordWrap/>
        <w:overflowPunct/>
        <w:topLinePunct w:val="0"/>
        <w:bidi w:val="0"/>
        <w:spacing w:line="576" w:lineRule="exact"/>
        <w:jc w:val="center"/>
        <w:outlineLvl w:val="2"/>
        <w:rPr>
          <w:rFonts w:ascii="方正楷体简体" w:eastAsia="方正楷体简体" w:cs="方正楷体简体" w:hint="eastAsia"/>
          <w:b/>
          <w:bCs w:val="0"/>
          <w:color w:val="auto"/>
          <w:sz w:val="28"/>
          <w:szCs w:val="28"/>
        </w:rPr>
      </w:pPr>
      <w:r>
        <w:rPr>
          <w:rFonts w:ascii="方正楷体简体" w:eastAsia="方正楷体简体" w:cs="方正楷体简体" w:hint="eastAsia"/>
          <w:b/>
          <w:bCs w:val="0"/>
          <w:color w:val="auto"/>
          <w:sz w:val="28"/>
          <w:szCs w:val="28"/>
        </w:rPr>
        <w:t>（图1：收、支决算总计变动情况图）（柱状图）</w:t>
      </w:r>
    </w:p>
    <w:p>
      <w:pPr>
        <w:pageBreakBefore w:val="0"/>
        <w:widowControl w:val="0"/>
        <w:kinsoku/>
        <w:wordWrap/>
        <w:overflowPunct/>
        <w:topLinePunct w:val="0"/>
        <w:bidi w:val="0"/>
        <w:spacing w:line="576" w:lineRule="exact"/>
        <w:ind w:firstLineChars="200" w:firstLine="420"/>
        <w:outlineLvl w:val="2"/>
        <w:rPr>
          <w:rFonts w:ascii="方正仿宋简体" w:eastAsia="方正仿宋简体" w:cs="方正仿宋简体" w:hint="eastAsia"/>
          <w:b w:val="0"/>
          <w:bCs/>
          <w:color w:val="auto"/>
          <w:sz w:val="32"/>
          <w:szCs w:val="32"/>
        </w:rPr>
      </w:pPr>
      <w:r>
        <w:rPr>
          <w:color w:val="auto"/>
        </w:rPr>
        <w:drawing>
          <wp:anchor distT="0" distB="0" distL="114300" distR="114300" simplePos="0" relativeHeight="36" behindDoc="0" locked="0" layoutInCell="1" hidden="0" allowOverlap="1">
            <wp:simplePos x="0" y="0"/>
            <wp:positionH relativeFrom="column">
              <wp:posOffset>414020</wp:posOffset>
            </wp:positionH>
            <wp:positionV relativeFrom="paragraph">
              <wp:posOffset>161925</wp:posOffset>
            </wp:positionV>
            <wp:extent cx="4518660" cy="2635250"/>
            <wp:effectExtent l="0" t="0" r="0" b="0"/>
            <wp:wrapTopAndBottom/>
            <wp:docPr id="7"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pageBreakBefore w:val="0"/>
        <w:widowControl w:val="0"/>
        <w:kinsoku/>
        <w:wordWrap/>
        <w:overflowPunct/>
        <w:topLinePunct w:val="0"/>
        <w:bidi w:val="0"/>
        <w:spacing w:line="576" w:lineRule="exact"/>
        <w:jc w:val="left"/>
        <w:rPr>
          <w:rFonts w:ascii="方正仿宋简体" w:eastAsia="方正仿宋简体" w:cs="方正仿宋简体" w:hint="eastAsia"/>
          <w:b/>
          <w:bCs/>
          <w:color w:val="auto"/>
          <w:sz w:val="32"/>
          <w:szCs w:val="32"/>
          <w:lang w:eastAsia="zh-CN"/>
        </w:rPr>
      </w:pPr>
      <w:bookmarkStart w:id="30" w:name="_Toc15377206"/>
      <w:bookmarkStart w:id="31" w:name="_Toc15396604"/>
      <w:r>
        <w:rPr>
          <w:color w:val="auto"/>
        </w:rPr>
        <w:drawing>
          <wp:anchor distT="0" distB="0" distL="114300" distR="114300" simplePos="0" relativeHeight="26" behindDoc="0" locked="0" layoutInCell="1" hidden="0" allowOverlap="1">
            <wp:simplePos x="0" y="0"/>
            <wp:positionH relativeFrom="column">
              <wp:posOffset>347980</wp:posOffset>
            </wp:positionH>
            <wp:positionV relativeFrom="paragraph">
              <wp:posOffset>146050</wp:posOffset>
            </wp:positionV>
            <wp:extent cx="4671060" cy="2159635"/>
            <wp:effectExtent l="0" t="0" r="0" b="0"/>
            <wp:wrapTopAndBottom/>
            <wp:docPr id="8" name="图表 2"/>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r>
        <w:rPr>
          <w:rFonts w:ascii="方正黑体简体" w:eastAsia="方正黑体简体" w:cs="方正黑体简体" w:hint="eastAsia"/>
          <w:b w:val="0"/>
          <w:bCs/>
          <w:color w:val="auto"/>
          <w:sz w:val="32"/>
          <w:szCs w:val="32"/>
          <w:lang w:eastAsia="zh-CN"/>
        </w:rPr>
        <w:t>二、收入决算情况说明</w:t>
      </w:r>
      <w:bookmarkEnd w:id="30"/>
      <w:bookmarkEnd w:id="31"/>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年本年收入合计</w:t>
      </w:r>
      <w:r>
        <w:rPr>
          <w:rFonts w:ascii="方正仿宋简体" w:eastAsia="方正仿宋简体" w:cs="方正仿宋简体" w:hint="eastAsia"/>
          <w:b w:val="0"/>
          <w:bCs/>
          <w:color w:val="auto"/>
          <w:sz w:val="32"/>
          <w:szCs w:val="32"/>
          <w:lang w:val="en-US" w:eastAsia="zh-CN"/>
        </w:rPr>
        <w:t>673.34</w:t>
      </w:r>
      <w:r>
        <w:rPr>
          <w:rFonts w:ascii="方正仿宋简体" w:eastAsia="方正仿宋简体" w:cs="方正仿宋简体" w:hint="eastAsia"/>
          <w:b w:val="0"/>
          <w:bCs/>
          <w:color w:val="auto"/>
          <w:sz w:val="32"/>
          <w:szCs w:val="32"/>
        </w:rPr>
        <w:t>万元，其中：一般公共预算财政拨款收入</w:t>
      </w:r>
      <w:r>
        <w:rPr>
          <w:rFonts w:ascii="方正仿宋简体" w:eastAsia="方正仿宋简体" w:cs="方正仿宋简体" w:hint="eastAsia"/>
          <w:b w:val="0"/>
          <w:bCs/>
          <w:color w:val="auto"/>
          <w:sz w:val="32"/>
          <w:szCs w:val="32"/>
          <w:lang w:val="en-US" w:eastAsia="zh-CN"/>
        </w:rPr>
        <w:t>369</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54.8</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eastAsia="zh-CN"/>
        </w:rPr>
        <w:t>政府性基金预算财政拨款收入</w:t>
      </w:r>
      <w:r>
        <w:rPr>
          <w:rFonts w:ascii="方正仿宋简体" w:eastAsia="方正仿宋简体" w:cs="方正仿宋简体" w:hint="eastAsia"/>
          <w:b w:val="0"/>
          <w:bCs/>
          <w:color w:val="auto"/>
          <w:sz w:val="32"/>
          <w:szCs w:val="32"/>
          <w:lang w:val="en-US" w:eastAsia="zh-CN"/>
        </w:rPr>
        <w:t>108.42万元，占16.1%；</w:t>
      </w:r>
      <w:r>
        <w:rPr>
          <w:rFonts w:ascii="方正仿宋简体" w:eastAsia="方正仿宋简体" w:cs="方正仿宋简体" w:hint="eastAsia"/>
          <w:b w:val="0"/>
          <w:bCs/>
          <w:color w:val="auto"/>
          <w:sz w:val="32"/>
          <w:szCs w:val="32"/>
        </w:rPr>
        <w:t>事业收入</w:t>
      </w:r>
      <w:r>
        <w:rPr>
          <w:rFonts w:ascii="方正仿宋简体" w:eastAsia="方正仿宋简体" w:cs="方正仿宋简体" w:hint="eastAsia"/>
          <w:b w:val="0"/>
          <w:bCs/>
          <w:color w:val="auto"/>
          <w:sz w:val="32"/>
          <w:szCs w:val="32"/>
          <w:lang w:val="en-US" w:eastAsia="zh-CN"/>
        </w:rPr>
        <w:t>194.64</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28.9</w:t>
      </w:r>
      <w:r>
        <w:rPr>
          <w:rFonts w:ascii="方正仿宋简体" w:eastAsia="方正仿宋简体" w:cs="方正仿宋简体" w:hint="eastAsia"/>
          <w:b w:val="0"/>
          <w:bCs/>
          <w:color w:val="auto"/>
          <w:sz w:val="32"/>
          <w:szCs w:val="32"/>
        </w:rPr>
        <w:t>%；其他收入</w:t>
      </w:r>
      <w:r>
        <w:rPr>
          <w:rFonts w:ascii="方正仿宋简体" w:eastAsia="方正仿宋简体" w:cs="方正仿宋简体" w:hint="eastAsia"/>
          <w:b w:val="0"/>
          <w:bCs/>
          <w:color w:val="auto"/>
          <w:sz w:val="32"/>
          <w:szCs w:val="32"/>
          <w:lang w:val="en-US" w:eastAsia="zh-CN"/>
        </w:rPr>
        <w:t>1.28</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0.2</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jc w:val="center"/>
        <w:outlineLvl w:val="2"/>
        <w:rPr>
          <w:rFonts w:ascii="方正楷体简体" w:eastAsia="方正楷体简体" w:cs="方正楷体简体" w:hint="eastAsia"/>
          <w:b/>
          <w:bCs w:val="0"/>
          <w:color w:val="auto"/>
          <w:sz w:val="28"/>
          <w:szCs w:val="28"/>
        </w:rPr>
      </w:pPr>
      <w:r>
        <w:rPr>
          <w:rFonts w:ascii="方正楷体简体" w:eastAsia="方正楷体简体" w:cs="方正楷体简体" w:hint="eastAsia"/>
          <w:b/>
          <w:bCs w:val="0"/>
          <w:color w:val="auto"/>
          <w:sz w:val="28"/>
          <w:szCs w:val="28"/>
          <w:lang w:val="en-US" w:eastAsia="zh-CN"/>
        </w:rPr>
        <w:t>（</w:t>
      </w:r>
      <w:r>
        <w:rPr>
          <w:rFonts w:ascii="方正楷体简体" w:eastAsia="方正楷体简体" w:cs="方正楷体简体" w:hint="eastAsia"/>
          <w:b/>
          <w:bCs w:val="0"/>
          <w:color w:val="auto"/>
          <w:sz w:val="28"/>
          <w:szCs w:val="28"/>
        </w:rPr>
        <w:t>图2：收入决算结构图）（饼状图）</w:t>
      </w:r>
    </w:p>
    <w:p>
      <w:pPr>
        <w:pageBreakBefore w:val="0"/>
        <w:widowControl w:val="0"/>
        <w:kinsoku/>
        <w:wordWrap/>
        <w:overflowPunct/>
        <w:topLinePunct w:val="0"/>
        <w:bidi w:val="0"/>
        <w:spacing w:line="576" w:lineRule="exact"/>
        <w:ind w:firstLineChars="500" w:firstLine="1050"/>
        <w:rPr>
          <w:color w:val="auto"/>
        </w:rPr>
      </w:pPr>
      <w:r>
        <w:rPr>
          <w:color w:val="auto"/>
        </w:rPr>
        <w:drawing>
          <wp:anchor distT="0" distB="0" distL="114300" distR="114300" simplePos="0" relativeHeight="28" behindDoc="0" locked="0" layoutInCell="1" hidden="0" allowOverlap="1">
            <wp:simplePos x="0" y="0"/>
            <wp:positionH relativeFrom="column">
              <wp:posOffset>109855</wp:posOffset>
            </wp:positionH>
            <wp:positionV relativeFrom="paragraph">
              <wp:posOffset>65405</wp:posOffset>
            </wp:positionV>
            <wp:extent cx="5066665" cy="2400935"/>
            <wp:effectExtent l="0" t="0" r="0" b="0"/>
            <wp:wrapTopAndBottom/>
            <wp:docPr id="9" name="图表 3"/>
            <wp:cNvGraphicFramePr>
              <a:graphicFrameLocks noChangeAspect="0"/>
            </wp:cNvGraphicFramePr>
            <a:graphic>
              <a:graphicData uri="http://schemas.openxmlformats.org/drawingml/2006/chart">
                <c:chart xmlns:c="http://schemas.openxmlformats.org/drawingml/2006/chart" r:id="rId8"/>
              </a:graphicData>
            </a:graphic>
          </wp:anchor>
        </w:drawing>
      </w:r>
      <w:bookmarkStart w:id="32" w:name="_Toc15396605"/>
      <w:bookmarkStart w:id="33" w:name="_Toc15377207"/>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r>
        <w:rPr>
          <w:rFonts w:ascii="方正黑体简体" w:eastAsia="方正黑体简体" w:cs="方正黑体简体" w:hint="eastAsia"/>
          <w:b w:val="0"/>
          <w:bCs/>
          <w:color w:val="auto"/>
          <w:sz w:val="32"/>
          <w:szCs w:val="32"/>
          <w:lang w:eastAsia="zh-CN"/>
        </w:rPr>
        <w:t>三、支出决算情况说明</w:t>
      </w:r>
      <w:bookmarkEnd w:id="32"/>
      <w:bookmarkEnd w:id="33"/>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eastAsia="zh-CN"/>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年本年支出合计</w:t>
      </w:r>
      <w:r>
        <w:rPr>
          <w:rFonts w:ascii="方正仿宋简体" w:eastAsia="方正仿宋简体" w:cs="方正仿宋简体" w:hint="eastAsia"/>
          <w:b w:val="0"/>
          <w:bCs/>
          <w:color w:val="auto"/>
          <w:sz w:val="32"/>
          <w:szCs w:val="32"/>
          <w:lang w:val="en-US" w:eastAsia="zh-CN"/>
        </w:rPr>
        <w:t>667.09</w:t>
      </w:r>
      <w:r>
        <w:rPr>
          <w:rFonts w:ascii="方正仿宋简体" w:eastAsia="方正仿宋简体" w:cs="方正仿宋简体" w:hint="eastAsia"/>
          <w:b w:val="0"/>
          <w:bCs/>
          <w:color w:val="auto"/>
          <w:sz w:val="32"/>
          <w:szCs w:val="32"/>
        </w:rPr>
        <w:t>万元，其中：基本支出</w:t>
      </w:r>
      <w:r>
        <w:rPr>
          <w:rFonts w:ascii="方正仿宋简体" w:eastAsia="方正仿宋简体" w:cs="方正仿宋简体" w:hint="eastAsia"/>
          <w:b w:val="0"/>
          <w:bCs/>
          <w:color w:val="auto"/>
          <w:sz w:val="32"/>
          <w:szCs w:val="32"/>
          <w:lang w:val="en-US" w:eastAsia="zh-CN"/>
        </w:rPr>
        <w:t>418.13</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62.68</w:t>
      </w:r>
      <w:r>
        <w:rPr>
          <w:rFonts w:ascii="方正仿宋简体" w:eastAsia="方正仿宋简体" w:cs="方正仿宋简体" w:hint="eastAsia"/>
          <w:b w:val="0"/>
          <w:bCs/>
          <w:color w:val="auto"/>
          <w:sz w:val="32"/>
          <w:szCs w:val="32"/>
        </w:rPr>
        <w:t>%；项目支出</w:t>
      </w:r>
      <w:r>
        <w:rPr>
          <w:rFonts w:ascii="方正仿宋简体" w:eastAsia="方正仿宋简体" w:cs="方正仿宋简体" w:hint="eastAsia"/>
          <w:b w:val="0"/>
          <w:bCs/>
          <w:color w:val="auto"/>
          <w:sz w:val="32"/>
          <w:szCs w:val="32"/>
          <w:lang w:val="en-US" w:eastAsia="zh-CN"/>
        </w:rPr>
        <w:t>248.96</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37.32</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ascii="方正楷体简体" w:eastAsia="方正楷体简体" w:cs="方正楷体简体" w:hint="eastAsia"/>
          <w:b/>
          <w:bCs w:val="0"/>
          <w:color w:val="auto"/>
          <w:sz w:val="28"/>
          <w:szCs w:val="28"/>
          <w:lang w:val="en-US" w:eastAsia="zh-CN"/>
        </w:rPr>
      </w:pPr>
      <w:r>
        <w:rPr>
          <w:rFonts w:ascii="方正楷体简体" w:eastAsia="方正楷体简体" w:cs="方正楷体简体" w:hint="eastAsia"/>
          <w:b/>
          <w:bCs w:val="0"/>
          <w:color w:val="auto"/>
          <w:sz w:val="28"/>
          <w:szCs w:val="28"/>
          <w:lang w:val="en-US" w:eastAsia="zh-CN"/>
        </w:rPr>
        <w:t>（图3：支出决算结构图）（饼状图）</w:t>
      </w:r>
    </w:p>
    <w:p>
      <w:pPr>
        <w:pStyle w:val="2"/>
        <w:keepNext/>
        <w:keepLines/>
        <w:pageBreakBefore w:val="0"/>
        <w:widowControl w:val="0"/>
        <w:kinsoku/>
        <w:wordWrap/>
        <w:overflowPunct/>
        <w:topLinePunct w:val="0"/>
        <w:autoSpaceDE/>
        <w:autoSpaceDN/>
        <w:bidi w:val="0"/>
        <w:adjustRightInd/>
        <w:snapToGrid/>
        <w:spacing w:before="0" w:after="0" w:line="500"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r>
        <w:rPr>
          <w:rFonts w:ascii="方正黑体简体" w:eastAsia="方正黑体简体" w:cs="方正黑体简体" w:hint="eastAsia"/>
          <w:b w:val="0"/>
          <w:bCs/>
          <w:color w:val="auto"/>
          <w:sz w:val="32"/>
          <w:szCs w:val="32"/>
          <w:lang w:eastAsia="zh-CN"/>
        </w:rPr>
        <w:drawing>
          <wp:anchor distT="0" distB="0" distL="114300" distR="114300" simplePos="0" relativeHeight="30" behindDoc="0" locked="0" layoutInCell="1" hidden="0" allowOverlap="1">
            <wp:simplePos x="0" y="0"/>
            <wp:positionH relativeFrom="column">
              <wp:posOffset>147320</wp:posOffset>
            </wp:positionH>
            <wp:positionV relativeFrom="paragraph">
              <wp:posOffset>97155</wp:posOffset>
            </wp:positionV>
            <wp:extent cx="5076825" cy="2353310"/>
            <wp:effectExtent l="0" t="0" r="0" b="0"/>
            <wp:wrapTopAndBottom/>
            <wp:docPr id="10" name="图表 4"/>
            <wp:cNvGraphicFramePr>
              <a:graphicFrameLocks noChangeAspect="0"/>
            </wp:cNvGraphicFramePr>
            <a:graphic>
              <a:graphicData uri="http://schemas.openxmlformats.org/drawingml/2006/chart">
                <c:chart xmlns:c="http://schemas.openxmlformats.org/drawingml/2006/chart" r:id="rId9"/>
              </a:graphicData>
            </a:graphic>
          </wp:anchor>
        </w:drawing>
      </w:r>
      <w:bookmarkStart w:id="34" w:name="_Toc15377208"/>
      <w:bookmarkStart w:id="35" w:name="_Toc15396606"/>
      <w:r>
        <w:rPr>
          <w:rFonts w:ascii="方正黑体简体" w:eastAsia="方正黑体简体" w:cs="方正黑体简体" w:hint="eastAsia"/>
          <w:b w:val="0"/>
          <w:bCs/>
          <w:color w:val="auto"/>
          <w:sz w:val="32"/>
          <w:szCs w:val="32"/>
          <w:lang w:eastAsia="zh-CN"/>
        </w:rPr>
        <w:t>四、财政拨款收入支出决算总体情况说明</w:t>
      </w:r>
      <w:bookmarkEnd w:id="34"/>
      <w:bookmarkEnd w:id="35"/>
    </w:p>
    <w:p>
      <w:pPr>
        <w:pageBreakBefore w:val="0"/>
        <w:widowControl w:val="0"/>
        <w:kinsoku/>
        <w:wordWrap/>
        <w:overflowPunct/>
        <w:topLinePunct w:val="0"/>
        <w:autoSpaceDE/>
        <w:autoSpaceDN/>
        <w:bidi w:val="0"/>
        <w:adjustRightInd/>
        <w:snapToGrid/>
        <w:spacing w:line="500" w:lineRule="exact"/>
        <w:ind w:firstLineChars="200" w:firstLine="640"/>
        <w:textAlignment w:val="auto"/>
        <w:outlineLvl w:val="2"/>
        <w:rPr>
          <w:rFonts w:ascii="方正仿宋简体" w:eastAsia="方正仿宋简体" w:cs="方正仿宋简体" w:hint="eastAsia"/>
          <w:b w:val="0"/>
          <w:bCs/>
          <w:color w:val="auto"/>
          <w:sz w:val="32"/>
          <w:szCs w:val="32"/>
          <w:lang w:eastAsia="zh-CN"/>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年财政拨款收</w:t>
      </w:r>
      <w:r>
        <w:rPr>
          <w:rFonts w:ascii="方正仿宋简体" w:eastAsia="方正仿宋简体" w:cs="方正仿宋简体" w:hint="eastAsia"/>
          <w:b w:val="0"/>
          <w:bCs/>
          <w:color w:val="auto"/>
          <w:sz w:val="32"/>
          <w:szCs w:val="32"/>
          <w:lang w:eastAsia="zh-CN"/>
        </w:rPr>
        <w:t>入、支出总计分别是</w:t>
      </w:r>
      <w:r>
        <w:rPr>
          <w:rFonts w:ascii="方正仿宋简体" w:eastAsia="方正仿宋简体" w:cs="方正仿宋简体" w:hint="eastAsia"/>
          <w:b w:val="0"/>
          <w:bCs/>
          <w:color w:val="auto"/>
          <w:sz w:val="32"/>
          <w:szCs w:val="32"/>
          <w:lang w:val="en-US" w:eastAsia="zh-CN"/>
        </w:rPr>
        <w:t>477.43万元</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val="en-US" w:eastAsia="zh-CN"/>
        </w:rPr>
        <w:t>471.18</w:t>
      </w:r>
      <w:r>
        <w:rPr>
          <w:rFonts w:ascii="方正仿宋简体" w:eastAsia="方正仿宋简体" w:cs="方正仿宋简体" w:hint="eastAsia"/>
          <w:b w:val="0"/>
          <w:bCs/>
          <w:color w:val="auto"/>
          <w:sz w:val="32"/>
          <w:szCs w:val="32"/>
        </w:rPr>
        <w:t>万元。与201</w:t>
      </w:r>
      <w:r>
        <w:rPr>
          <w:rFonts w:ascii="方正仿宋简体" w:eastAsia="方正仿宋简体" w:cs="方正仿宋简体" w:hint="eastAsia"/>
          <w:b w:val="0"/>
          <w:bCs/>
          <w:color w:val="auto"/>
          <w:sz w:val="32"/>
          <w:szCs w:val="32"/>
          <w:lang w:val="en-US" w:eastAsia="zh-CN"/>
        </w:rPr>
        <w:t>9</w:t>
      </w:r>
      <w:r>
        <w:rPr>
          <w:rFonts w:ascii="方正仿宋简体" w:eastAsia="方正仿宋简体" w:cs="方正仿宋简体" w:hint="eastAsia"/>
          <w:b w:val="0"/>
          <w:bCs/>
          <w:color w:val="auto"/>
          <w:sz w:val="32"/>
          <w:szCs w:val="32"/>
        </w:rPr>
        <w:t>年</w:t>
      </w:r>
      <w:r>
        <w:rPr>
          <w:rFonts w:ascii="方正仿宋简体" w:eastAsia="方正仿宋简体" w:cs="方正仿宋简体" w:hint="eastAsia"/>
          <w:b w:val="0"/>
          <w:bCs/>
          <w:color w:val="auto"/>
          <w:sz w:val="32"/>
          <w:szCs w:val="32"/>
          <w:lang w:eastAsia="zh-CN"/>
        </w:rPr>
        <w:t>（</w:t>
      </w:r>
      <w:r>
        <w:rPr>
          <w:rFonts w:ascii="方正仿宋简体" w:eastAsia="方正仿宋简体" w:cs="方正仿宋简体" w:hint="eastAsia"/>
          <w:b w:val="0"/>
          <w:bCs/>
          <w:color w:val="auto"/>
          <w:sz w:val="32"/>
          <w:szCs w:val="32"/>
          <w:lang w:val="en-US" w:eastAsia="zh-CN"/>
        </w:rPr>
        <w:t>360.53万元、361.35万元</w:t>
      </w:r>
      <w:r>
        <w:rPr>
          <w:rFonts w:ascii="方正仿宋简体" w:eastAsia="方正仿宋简体" w:cs="方正仿宋简体" w:hint="eastAsia"/>
          <w:b w:val="0"/>
          <w:bCs/>
          <w:color w:val="auto"/>
          <w:sz w:val="32"/>
          <w:szCs w:val="32"/>
          <w:lang w:eastAsia="zh-CN"/>
        </w:rPr>
        <w:t>）</w:t>
      </w:r>
      <w:r>
        <w:rPr>
          <w:rFonts w:ascii="方正仿宋简体" w:eastAsia="方正仿宋简体" w:cs="方正仿宋简体" w:hint="eastAsia"/>
          <w:b w:val="0"/>
          <w:bCs/>
          <w:color w:val="auto"/>
          <w:sz w:val="32"/>
          <w:szCs w:val="32"/>
        </w:rPr>
        <w:t>相比，财政拨款收</w:t>
      </w:r>
      <w:r>
        <w:rPr>
          <w:rFonts w:ascii="方正仿宋简体" w:eastAsia="方正仿宋简体" w:cs="方正仿宋简体" w:hint="eastAsia"/>
          <w:b w:val="0"/>
          <w:bCs/>
          <w:color w:val="auto"/>
          <w:sz w:val="32"/>
          <w:szCs w:val="32"/>
          <w:lang w:eastAsia="zh-CN"/>
        </w:rPr>
        <w:t>入总计增加</w:t>
      </w:r>
      <w:r>
        <w:rPr>
          <w:rFonts w:ascii="方正仿宋简体" w:eastAsia="方正仿宋简体" w:cs="方正仿宋简体" w:hint="eastAsia"/>
          <w:b w:val="0"/>
          <w:bCs/>
          <w:color w:val="auto"/>
          <w:sz w:val="32"/>
          <w:szCs w:val="32"/>
          <w:lang w:val="en-US" w:eastAsia="zh-CN"/>
        </w:rPr>
        <w:t>116.9万元、增长32.43%，</w:t>
      </w:r>
      <w:r>
        <w:rPr>
          <w:rFonts w:ascii="方正仿宋简体" w:eastAsia="方正仿宋简体" w:cs="方正仿宋简体" w:hint="eastAsia"/>
          <w:b w:val="0"/>
          <w:bCs/>
          <w:color w:val="auto"/>
          <w:sz w:val="32"/>
          <w:szCs w:val="32"/>
        </w:rPr>
        <w:t>支</w:t>
      </w:r>
      <w:r>
        <w:rPr>
          <w:rFonts w:ascii="方正仿宋简体" w:eastAsia="方正仿宋简体" w:cs="方正仿宋简体" w:hint="eastAsia"/>
          <w:b w:val="0"/>
          <w:bCs/>
          <w:color w:val="auto"/>
          <w:sz w:val="32"/>
          <w:szCs w:val="32"/>
          <w:lang w:eastAsia="zh-CN"/>
        </w:rPr>
        <w:t>出</w:t>
      </w:r>
      <w:r>
        <w:rPr>
          <w:rFonts w:ascii="方正仿宋简体" w:eastAsia="方正仿宋简体" w:cs="方正仿宋简体" w:hint="eastAsia"/>
          <w:b w:val="0"/>
          <w:bCs/>
          <w:color w:val="auto"/>
          <w:sz w:val="32"/>
          <w:szCs w:val="32"/>
        </w:rPr>
        <w:t>总计增加</w:t>
      </w:r>
      <w:r>
        <w:rPr>
          <w:rFonts w:ascii="方正仿宋简体" w:eastAsia="方正仿宋简体" w:cs="方正仿宋简体" w:hint="eastAsia"/>
          <w:b w:val="0"/>
          <w:bCs/>
          <w:color w:val="auto"/>
          <w:sz w:val="32"/>
          <w:szCs w:val="32"/>
          <w:lang w:val="en-US" w:eastAsia="zh-CN"/>
        </w:rPr>
        <w:t>109.83万元</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eastAsia="zh-CN"/>
        </w:rPr>
        <w:t>增长</w:t>
      </w:r>
      <w:r>
        <w:rPr>
          <w:rFonts w:ascii="方正仿宋简体" w:eastAsia="方正仿宋简体" w:cs="方正仿宋简体" w:hint="eastAsia"/>
          <w:b w:val="0"/>
          <w:bCs/>
          <w:color w:val="auto"/>
          <w:sz w:val="32"/>
          <w:szCs w:val="32"/>
          <w:lang w:val="en-US" w:eastAsia="zh-CN"/>
        </w:rPr>
        <w:t>30.39%</w:t>
      </w:r>
      <w:r>
        <w:rPr>
          <w:rFonts w:ascii="方正仿宋简体" w:eastAsia="方正仿宋简体" w:cs="方正仿宋简体" w:hint="eastAsia"/>
          <w:b w:val="0"/>
          <w:bCs/>
          <w:color w:val="auto"/>
          <w:sz w:val="32"/>
          <w:szCs w:val="32"/>
        </w:rPr>
        <w:t>。主要变动原因</w:t>
      </w:r>
      <w:r>
        <w:rPr>
          <w:rFonts w:ascii="方正仿宋简体" w:eastAsia="方正仿宋简体" w:cs="方正仿宋简体" w:hint="eastAsia"/>
          <w:b w:val="0"/>
          <w:bCs/>
          <w:color w:val="auto"/>
          <w:sz w:val="32"/>
          <w:szCs w:val="32"/>
          <w:lang w:eastAsia="zh-CN"/>
        </w:rPr>
        <w:t>是对重大疫情防控救治体系</w:t>
      </w:r>
      <w:r>
        <w:rPr>
          <w:rFonts w:ascii="方正仿宋简体" w:eastAsia="方正仿宋简体" w:cs="方正仿宋简体" w:hint="eastAsia"/>
          <w:b w:val="0"/>
          <w:bCs/>
          <w:color w:val="auto"/>
          <w:sz w:val="32"/>
          <w:szCs w:val="32"/>
        </w:rPr>
        <w:t>投入</w:t>
      </w:r>
      <w:r>
        <w:rPr>
          <w:rFonts w:ascii="方正仿宋简体" w:eastAsia="方正仿宋简体" w:cs="方正仿宋简体" w:hint="eastAsia"/>
          <w:b w:val="0"/>
          <w:bCs/>
          <w:color w:val="auto"/>
          <w:sz w:val="32"/>
          <w:szCs w:val="32"/>
          <w:lang w:eastAsia="zh-CN"/>
        </w:rPr>
        <w:t>增加和新入职人员经费增加，本年度调增基本工资，增加职工社会保险经费。</w:t>
      </w:r>
    </w:p>
    <w:p>
      <w:pPr>
        <w:pageBreakBefore w:val="0"/>
        <w:widowControl w:val="0"/>
        <w:kinsoku/>
        <w:wordWrap/>
        <w:overflowPunct/>
        <w:topLinePunct w:val="0"/>
        <w:autoSpaceDE/>
        <w:autoSpaceDN/>
        <w:bidi w:val="0"/>
        <w:adjustRightInd/>
        <w:snapToGrid/>
        <w:spacing w:line="500" w:lineRule="exact"/>
        <w:jc w:val="center"/>
        <w:textAlignment w:val="auto"/>
        <w:outlineLvl w:val="2"/>
        <w:rPr>
          <w:rFonts w:ascii="方正楷体简体" w:eastAsia="方正楷体简体" w:cs="方正楷体简体" w:hint="eastAsia"/>
          <w:b/>
          <w:bCs w:val="0"/>
          <w:color w:val="auto"/>
          <w:sz w:val="28"/>
          <w:szCs w:val="28"/>
          <w:lang w:val="en-US" w:eastAsia="zh-CN"/>
        </w:rPr>
      </w:pPr>
      <w:r>
        <w:rPr>
          <w:rFonts w:ascii="方正楷体简体" w:eastAsia="方正楷体简体" w:cs="方正楷体简体" w:hint="eastAsia"/>
          <w:b/>
          <w:bCs w:val="0"/>
          <w:color w:val="auto"/>
          <w:sz w:val="28"/>
          <w:szCs w:val="28"/>
          <w:lang w:val="en-US" w:eastAsia="zh-CN"/>
        </w:rPr>
        <w:drawing>
          <wp:anchor distT="0" distB="0" distL="114300" distR="114300" simplePos="0" relativeHeight="32" behindDoc="0" locked="0" layoutInCell="1" hidden="0" allowOverlap="1">
            <wp:simplePos x="0" y="0"/>
            <wp:positionH relativeFrom="column">
              <wp:posOffset>213360</wp:posOffset>
            </wp:positionH>
            <wp:positionV relativeFrom="paragraph">
              <wp:posOffset>539750</wp:posOffset>
            </wp:positionV>
            <wp:extent cx="4991735" cy="2000885"/>
            <wp:effectExtent l="0" t="0" r="0" b="0"/>
            <wp:wrapTopAndBottom/>
            <wp:docPr id="11" name="图表 5"/>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方正楷体简体" w:eastAsia="方正楷体简体" w:cs="方正楷体简体" w:hint="eastAsia"/>
          <w:b/>
          <w:bCs w:val="0"/>
          <w:color w:val="auto"/>
          <w:sz w:val="28"/>
          <w:szCs w:val="28"/>
          <w:lang w:val="en-US" w:eastAsia="zh-CN"/>
        </w:rPr>
        <w:t>（图4：财政拨款收、支决算总计变动情况）（柱状图）</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36" w:name="_Toc15396607"/>
      <w:bookmarkStart w:id="37" w:name="_Toc15377209"/>
      <w:r>
        <w:rPr>
          <w:rFonts w:ascii="方正黑体简体" w:eastAsia="方正黑体简体" w:cs="方正黑体简体" w:hint="eastAsia"/>
          <w:b w:val="0"/>
          <w:bCs/>
          <w:color w:val="auto"/>
          <w:sz w:val="32"/>
          <w:szCs w:val="32"/>
          <w:lang w:eastAsia="zh-CN"/>
        </w:rPr>
        <w:t>五、一般公共预算财政拨款支出决算情况说明</w:t>
      </w:r>
      <w:bookmarkEnd w:id="36"/>
      <w:bookmarkEnd w:id="37"/>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38" w:name="_Toc15377210"/>
      <w:r>
        <w:rPr>
          <w:rFonts w:ascii="方正楷体简体" w:eastAsia="方正楷体简体" w:cs="方正楷体简体" w:hint="eastAsia"/>
          <w:b w:val="0"/>
          <w:bCs w:val="0"/>
          <w:color w:val="auto"/>
          <w:sz w:val="32"/>
          <w:szCs w:val="32"/>
          <w:lang w:eastAsia="zh-CN"/>
        </w:rPr>
        <w:t>（一）一般公共预算财政拨款支出决算总体情况</w:t>
      </w:r>
      <w:bookmarkEnd w:id="38"/>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年一般公共预算财政拨款支出</w:t>
      </w:r>
      <w:r>
        <w:rPr>
          <w:rFonts w:ascii="方正仿宋简体" w:eastAsia="方正仿宋简体" w:cs="方正仿宋简体" w:hint="eastAsia"/>
          <w:b w:val="0"/>
          <w:bCs/>
          <w:color w:val="auto"/>
          <w:sz w:val="32"/>
          <w:szCs w:val="32"/>
          <w:lang w:val="en-US" w:eastAsia="zh-CN"/>
        </w:rPr>
        <w:t>362.76</w:t>
      </w:r>
      <w:r>
        <w:rPr>
          <w:rFonts w:ascii="方正仿宋简体" w:eastAsia="方正仿宋简体" w:cs="方正仿宋简体" w:hint="eastAsia"/>
          <w:b w:val="0"/>
          <w:bCs/>
          <w:color w:val="auto"/>
          <w:sz w:val="32"/>
          <w:szCs w:val="32"/>
        </w:rPr>
        <w:t>万元，占本年支出合计的</w:t>
      </w:r>
      <w:r>
        <w:rPr>
          <w:rFonts w:ascii="方正仿宋简体" w:eastAsia="方正仿宋简体" w:cs="方正仿宋简体" w:hint="eastAsia"/>
          <w:b w:val="0"/>
          <w:bCs/>
          <w:color w:val="auto"/>
          <w:sz w:val="32"/>
          <w:szCs w:val="32"/>
          <w:lang w:val="en-US" w:eastAsia="zh-CN"/>
        </w:rPr>
        <w:t>54.38</w:t>
      </w:r>
      <w:r>
        <w:rPr>
          <w:rFonts w:ascii="方正仿宋简体" w:eastAsia="方正仿宋简体" w:cs="方正仿宋简体" w:hint="eastAsia"/>
          <w:b w:val="0"/>
          <w:bCs/>
          <w:color w:val="auto"/>
          <w:sz w:val="32"/>
          <w:szCs w:val="32"/>
        </w:rPr>
        <w:t>%。与201</w:t>
      </w:r>
      <w:r>
        <w:rPr>
          <w:rFonts w:ascii="方正仿宋简体" w:eastAsia="方正仿宋简体" w:cs="方正仿宋简体" w:hint="eastAsia"/>
          <w:b w:val="0"/>
          <w:bCs/>
          <w:color w:val="auto"/>
          <w:sz w:val="32"/>
          <w:szCs w:val="32"/>
          <w:lang w:val="en-US" w:eastAsia="zh-CN"/>
        </w:rPr>
        <w:t>9</w:t>
      </w:r>
      <w:r>
        <w:rPr>
          <w:rFonts w:ascii="方正仿宋简体" w:eastAsia="方正仿宋简体" w:cs="方正仿宋简体" w:hint="eastAsia"/>
          <w:b w:val="0"/>
          <w:bCs/>
          <w:color w:val="auto"/>
          <w:sz w:val="32"/>
          <w:szCs w:val="32"/>
        </w:rPr>
        <w:t>年相比，一般公共预算财政拨款</w:t>
      </w:r>
      <w:r>
        <w:rPr>
          <w:rFonts w:ascii="方正仿宋简体" w:eastAsia="方正仿宋简体" w:cs="方正仿宋简体" w:hint="eastAsia"/>
          <w:b w:val="0"/>
          <w:bCs/>
          <w:color w:val="auto"/>
          <w:sz w:val="32"/>
          <w:szCs w:val="32"/>
          <w:lang w:eastAsia="zh-CN"/>
        </w:rPr>
        <w:t>支出</w:t>
      </w:r>
      <w:r>
        <w:rPr>
          <w:rFonts w:ascii="方正仿宋简体" w:eastAsia="方正仿宋简体" w:cs="方正仿宋简体" w:hint="eastAsia"/>
          <w:b w:val="0"/>
          <w:bCs/>
          <w:color w:val="auto"/>
          <w:sz w:val="32"/>
          <w:szCs w:val="32"/>
        </w:rPr>
        <w:t>增加</w:t>
      </w:r>
      <w:r>
        <w:rPr>
          <w:rFonts w:ascii="方正仿宋简体" w:eastAsia="方正仿宋简体" w:cs="方正仿宋简体" w:hint="eastAsia"/>
          <w:b w:val="0"/>
          <w:bCs/>
          <w:color w:val="auto"/>
          <w:sz w:val="32"/>
          <w:szCs w:val="32"/>
          <w:lang w:val="en-US" w:eastAsia="zh-CN"/>
        </w:rPr>
        <w:t>1.41</w:t>
      </w:r>
      <w:r>
        <w:rPr>
          <w:rFonts w:ascii="方正仿宋简体" w:eastAsia="方正仿宋简体" w:cs="方正仿宋简体" w:hint="eastAsia"/>
          <w:b w:val="0"/>
          <w:bCs/>
          <w:color w:val="auto"/>
          <w:sz w:val="32"/>
          <w:szCs w:val="32"/>
        </w:rPr>
        <w:t>万元，增长</w:t>
      </w:r>
      <w:r>
        <w:rPr>
          <w:rFonts w:ascii="方正仿宋简体" w:eastAsia="方正仿宋简体" w:cs="方正仿宋简体" w:hint="eastAsia"/>
          <w:b w:val="0"/>
          <w:bCs/>
          <w:color w:val="auto"/>
          <w:sz w:val="32"/>
          <w:szCs w:val="32"/>
          <w:lang w:val="en-US" w:eastAsia="zh-CN"/>
        </w:rPr>
        <w:t>0.39</w:t>
      </w:r>
      <w:r>
        <w:rPr>
          <w:rFonts w:ascii="方正仿宋简体" w:eastAsia="方正仿宋简体" w:cs="方正仿宋简体" w:hint="eastAsia"/>
          <w:b w:val="0"/>
          <w:bCs/>
          <w:color w:val="auto"/>
          <w:sz w:val="32"/>
          <w:szCs w:val="32"/>
        </w:rPr>
        <w:t>%。主要变动原因是</w:t>
      </w:r>
      <w:r>
        <w:rPr>
          <w:rFonts w:ascii="方正仿宋简体" w:eastAsia="方正仿宋简体" w:cs="方正仿宋简体" w:hint="eastAsia"/>
          <w:b w:val="0"/>
          <w:bCs/>
          <w:color w:val="auto"/>
          <w:sz w:val="32"/>
          <w:szCs w:val="32"/>
          <w:lang w:eastAsia="zh-CN"/>
        </w:rPr>
        <w:t>新入职人员增加，政策性调增以及中心全面开展业务运行成本增加。</w:t>
      </w:r>
    </w:p>
    <w:p>
      <w:pPr>
        <w:pageBreakBefore w:val="0"/>
        <w:widowControl w:val="0"/>
        <w:kinsoku/>
        <w:wordWrap/>
        <w:overflowPunct/>
        <w:topLinePunct w:val="0"/>
        <w:bidi w:val="0"/>
        <w:spacing w:line="576" w:lineRule="exact"/>
        <w:jc w:val="center"/>
        <w:outlineLvl w:val="2"/>
        <w:rPr>
          <w:rFonts w:ascii="方正楷体简体" w:eastAsia="方正楷体简体" w:cs="方正楷体简体" w:hint="eastAsia"/>
          <w:b/>
          <w:bCs w:val="0"/>
          <w:color w:val="auto"/>
          <w:sz w:val="28"/>
          <w:szCs w:val="28"/>
          <w:lang w:val="en-US" w:eastAsia="zh-CN"/>
        </w:rPr>
      </w:pPr>
      <w:r>
        <w:rPr>
          <w:rFonts w:ascii="方正楷体简体" w:eastAsia="方正楷体简体" w:cs="方正楷体简体" w:hint="eastAsia"/>
          <w:b/>
          <w:bCs w:val="0"/>
          <w:color w:val="auto"/>
          <w:sz w:val="28"/>
          <w:szCs w:val="28"/>
          <w:lang w:val="en-US" w:eastAsia="zh-CN"/>
        </w:rPr>
        <w:t>（图5：一般公共预算财政拨款支出决算变动情况）（柱状图）</w:t>
      </w:r>
    </w:p>
    <w:p>
      <w:pPr>
        <w:pStyle w:val="16"/>
        <w:rPr>
          <w:color w:val="auto"/>
        </w:rPr>
      </w:pPr>
      <w:r>
        <w:rPr>
          <w:color w:val="auto"/>
        </w:rPr>
        <w:drawing>
          <wp:anchor distT="0" distB="0" distL="114300" distR="114300" simplePos="0" relativeHeight="34" behindDoc="0" locked="0" layoutInCell="1" hidden="0" allowOverlap="1">
            <wp:simplePos x="0" y="0"/>
            <wp:positionH relativeFrom="column">
              <wp:posOffset>480695</wp:posOffset>
            </wp:positionH>
            <wp:positionV relativeFrom="paragraph">
              <wp:posOffset>140970</wp:posOffset>
            </wp:positionV>
            <wp:extent cx="4752340" cy="2771775"/>
            <wp:effectExtent l="0" t="0" r="0" b="0"/>
            <wp:wrapTopAndBottom/>
            <wp:docPr id="12" name="图表 7"/>
            <wp:cNvGraphicFramePr>
              <a:graphicFrameLocks noChangeAspect="0"/>
            </wp:cNvGraphicFramePr>
            <a:graphic>
              <a:graphicData uri="http://schemas.openxmlformats.org/drawingml/2006/chart">
                <c:chart xmlns:c="http://schemas.openxmlformats.org/drawingml/2006/chart" r:id="rId11"/>
              </a:graphicData>
            </a:graphic>
          </wp:anchor>
        </w:drawing>
      </w:r>
      <w:bookmarkStart w:id="39" w:name="_Toc15377211"/>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r>
        <w:rPr>
          <w:rFonts w:ascii="方正楷体简体" w:eastAsia="方正楷体简体" w:cs="方正楷体简体" w:hint="eastAsia"/>
          <w:b w:val="0"/>
          <w:bCs w:val="0"/>
          <w:color w:val="auto"/>
          <w:sz w:val="32"/>
          <w:szCs w:val="32"/>
          <w:lang w:eastAsia="zh-CN"/>
        </w:rPr>
        <w:t>（二）一般公共预算财政拨款支出决算结构情况</w:t>
      </w:r>
      <w:bookmarkEnd w:id="39"/>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年一般公共预算财政拨款支出</w:t>
      </w:r>
      <w:r>
        <w:rPr>
          <w:rFonts w:ascii="方正仿宋简体" w:eastAsia="方正仿宋简体" w:cs="方正仿宋简体" w:hint="eastAsia"/>
          <w:b w:val="0"/>
          <w:bCs/>
          <w:color w:val="auto"/>
          <w:sz w:val="32"/>
          <w:szCs w:val="32"/>
          <w:lang w:val="en-US" w:eastAsia="zh-CN"/>
        </w:rPr>
        <w:t>362.76</w:t>
      </w:r>
      <w:r>
        <w:rPr>
          <w:rFonts w:ascii="方正仿宋简体" w:eastAsia="方正仿宋简体" w:cs="方正仿宋简体" w:hint="eastAsia"/>
          <w:b w:val="0"/>
          <w:bCs/>
          <w:color w:val="auto"/>
          <w:sz w:val="32"/>
          <w:szCs w:val="32"/>
        </w:rPr>
        <w:t>万元，主要用于以下方面:一般公共服务（类）支出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%；教育支出（类）</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%；科学技术（类）支出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%；文化旅游体育与传媒（类）支出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%；社会保障和就业（</w:t>
      </w:r>
      <w:r>
        <w:rPr>
          <w:rFonts w:ascii="方正仿宋简体" w:eastAsia="方正仿宋简体" w:cs="方正仿宋简体" w:hint="eastAsia"/>
          <w:b w:val="0"/>
          <w:bCs/>
          <w:color w:val="auto"/>
          <w:sz w:val="32"/>
          <w:szCs w:val="32"/>
          <w:lang w:val="en-US" w:eastAsia="zh-CN"/>
        </w:rPr>
        <w:t>208</w:t>
      </w:r>
      <w:r>
        <w:rPr>
          <w:rFonts w:ascii="方正仿宋简体" w:eastAsia="方正仿宋简体" w:cs="方正仿宋简体" w:hint="eastAsia"/>
          <w:b w:val="0"/>
          <w:bCs/>
          <w:color w:val="auto"/>
          <w:sz w:val="32"/>
          <w:szCs w:val="32"/>
        </w:rPr>
        <w:t>类）支出</w:t>
      </w:r>
      <w:r>
        <w:rPr>
          <w:rFonts w:ascii="方正仿宋简体" w:eastAsia="方正仿宋简体" w:cs="方正仿宋简体" w:hint="eastAsia"/>
          <w:b w:val="0"/>
          <w:bCs/>
          <w:color w:val="auto"/>
          <w:sz w:val="32"/>
          <w:szCs w:val="32"/>
          <w:lang w:val="en-US" w:eastAsia="zh-CN"/>
        </w:rPr>
        <w:t>26.59</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7.32</w:t>
      </w:r>
      <w:r>
        <w:rPr>
          <w:rFonts w:ascii="方正仿宋简体" w:eastAsia="方正仿宋简体" w:cs="方正仿宋简体" w:hint="eastAsia"/>
          <w:b w:val="0"/>
          <w:bCs/>
          <w:color w:val="auto"/>
          <w:sz w:val="32"/>
          <w:szCs w:val="32"/>
        </w:rPr>
        <w:t>%；卫生健康（</w:t>
      </w:r>
      <w:r>
        <w:rPr>
          <w:rFonts w:ascii="方正仿宋简体" w:eastAsia="方正仿宋简体" w:cs="方正仿宋简体" w:hint="eastAsia"/>
          <w:b w:val="0"/>
          <w:bCs/>
          <w:color w:val="auto"/>
          <w:sz w:val="32"/>
          <w:szCs w:val="32"/>
          <w:lang w:val="en-US" w:eastAsia="zh-CN"/>
        </w:rPr>
        <w:t>210</w:t>
      </w:r>
      <w:r>
        <w:rPr>
          <w:rFonts w:ascii="方正仿宋简体" w:eastAsia="方正仿宋简体" w:cs="方正仿宋简体" w:hint="eastAsia"/>
          <w:b w:val="0"/>
          <w:bCs/>
          <w:color w:val="auto"/>
          <w:sz w:val="32"/>
          <w:szCs w:val="32"/>
        </w:rPr>
        <w:t>类）支出</w:t>
      </w:r>
      <w:r>
        <w:rPr>
          <w:rFonts w:ascii="方正仿宋简体" w:eastAsia="方正仿宋简体" w:cs="方正仿宋简体" w:hint="eastAsia"/>
          <w:b w:val="0"/>
          <w:bCs/>
          <w:color w:val="auto"/>
          <w:sz w:val="32"/>
          <w:szCs w:val="32"/>
          <w:lang w:val="en-US" w:eastAsia="zh-CN"/>
        </w:rPr>
        <w:t>318.05</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87.68</w:t>
      </w:r>
      <w:r>
        <w:rPr>
          <w:rFonts w:ascii="方正仿宋简体" w:eastAsia="方正仿宋简体" w:cs="方正仿宋简体" w:hint="eastAsia"/>
          <w:b w:val="0"/>
          <w:bCs/>
          <w:color w:val="auto"/>
          <w:sz w:val="32"/>
          <w:szCs w:val="32"/>
        </w:rPr>
        <w:t>%；住房保障支出</w:t>
      </w:r>
      <w:r>
        <w:rPr>
          <w:rFonts w:ascii="方正仿宋简体" w:eastAsia="方正仿宋简体" w:cs="方正仿宋简体" w:hint="eastAsia"/>
          <w:b w:val="0"/>
          <w:bCs/>
          <w:color w:val="auto"/>
          <w:sz w:val="32"/>
          <w:szCs w:val="32"/>
          <w:lang w:val="en-US" w:eastAsia="zh-CN"/>
        </w:rPr>
        <w:t>(221类)支出18.12万元。</w:t>
      </w:r>
    </w:p>
    <w:p>
      <w:pPr>
        <w:pageBreakBefore w:val="0"/>
        <w:widowControl w:val="0"/>
        <w:kinsoku/>
        <w:wordWrap/>
        <w:overflowPunct/>
        <w:topLinePunct w:val="0"/>
        <w:bidi w:val="0"/>
        <w:spacing w:line="576" w:lineRule="exact"/>
        <w:jc w:val="center"/>
        <w:outlineLvl w:val="2"/>
        <w:rPr>
          <w:rFonts w:ascii="方正楷体简体" w:eastAsia="方正楷体简体" w:cs="方正楷体简体" w:hint="eastAsia"/>
          <w:b/>
          <w:bCs w:val="0"/>
          <w:color w:val="auto"/>
          <w:sz w:val="28"/>
          <w:szCs w:val="28"/>
          <w:lang w:val="en-US" w:eastAsia="zh-CN"/>
        </w:rPr>
      </w:pPr>
      <w:r>
        <w:rPr>
          <w:rFonts w:ascii="方正楷体简体" w:eastAsia="方正楷体简体" w:cs="方正楷体简体" w:hint="eastAsia"/>
          <w:b/>
          <w:bCs w:val="0"/>
          <w:color w:val="auto"/>
          <w:sz w:val="28"/>
          <w:szCs w:val="28"/>
          <w:lang w:val="en-US" w:eastAsia="zh-CN"/>
        </w:rPr>
        <w:t>（图6：一般公共预算财政拨款支出决算结构）（饼状图)</w:t>
      </w:r>
    </w:p>
    <w:p>
      <w:pPr>
        <w:pageBreakBefore w:val="0"/>
        <w:widowControl w:val="0"/>
        <w:kinsoku/>
        <w:wordWrap/>
        <w:overflowPunct/>
        <w:topLinePunct w:val="0"/>
        <w:bidi w:val="0"/>
        <w:spacing w:line="576" w:lineRule="exact"/>
        <w:ind w:firstLineChars="200" w:firstLine="420"/>
        <w:rPr>
          <w:rFonts w:ascii="仿宋" w:eastAsia="仿宋" w:cs="仿宋" w:hint="eastAsia"/>
          <w:color w:val="auto"/>
          <w:sz w:val="32"/>
          <w:szCs w:val="32"/>
        </w:rPr>
      </w:pPr>
      <w:r>
        <w:rPr>
          <w:color w:val="auto"/>
        </w:rPr>
        <w:drawing>
          <wp:anchor distT="0" distB="0" distL="114300" distR="114300" simplePos="0" relativeHeight="22" behindDoc="0" locked="0" layoutInCell="1" hidden="0" allowOverlap="1">
            <wp:simplePos x="0" y="0"/>
            <wp:positionH relativeFrom="column">
              <wp:posOffset>366395</wp:posOffset>
            </wp:positionH>
            <wp:positionV relativeFrom="paragraph">
              <wp:posOffset>195580</wp:posOffset>
            </wp:positionV>
            <wp:extent cx="5128260" cy="2263140"/>
            <wp:effectExtent l="0" t="0" r="0" b="0"/>
            <wp:wrapSquare wrapText="bothSides"/>
            <wp:docPr id="13" name="Chart 13"/>
            <wp:cNvGraphicFramePr>
              <a:graphicFrameLocks noChangeAspect="0"/>
            </wp:cNvGraphicFramePr>
            <a:graphic>
              <a:graphicData uri="http://schemas.openxmlformats.org/drawingml/2006/chart">
                <c:chart xmlns:c="http://schemas.openxmlformats.org/drawingml/2006/chart" r:id="rId12"/>
              </a:graphicData>
            </a:graphic>
          </wp:anchor>
        </w:drawing>
      </w:r>
    </w:p>
    <w:p>
      <w:pPr>
        <w:pageBreakBefore w:val="0"/>
        <w:widowControl w:val="0"/>
        <w:kinsoku/>
        <w:wordWrap/>
        <w:overflowPunct/>
        <w:topLinePunct w:val="0"/>
        <w:bidi w:val="0"/>
        <w:spacing w:line="576" w:lineRule="exact"/>
        <w:ind w:firstLineChars="200" w:firstLine="640"/>
        <w:rPr>
          <w:rFonts w:ascii="仿宋" w:eastAsia="仿宋" w:cs="仿宋" w:hint="eastAsia"/>
          <w:color w:val="auto"/>
          <w:sz w:val="32"/>
          <w:szCs w:val="32"/>
        </w:rPr>
      </w:pPr>
    </w:p>
    <w:p>
      <w:pPr>
        <w:pageBreakBefore w:val="0"/>
        <w:widowControl w:val="0"/>
        <w:kinsoku/>
        <w:wordWrap/>
        <w:overflowPunct/>
        <w:topLinePunct w:val="0"/>
        <w:bidi w:val="0"/>
        <w:spacing w:line="576" w:lineRule="exact"/>
        <w:ind w:firstLineChars="200" w:firstLine="640"/>
        <w:outlineLvl w:val="2"/>
        <w:rPr>
          <w:rFonts w:ascii="仿宋" w:eastAsia="仿宋" w:cs="仿宋" w:hint="eastAsia"/>
          <w:b/>
          <w:color w:val="auto"/>
          <w:sz w:val="32"/>
          <w:szCs w:val="32"/>
        </w:rPr>
      </w:pPr>
      <w:bookmarkStart w:id="40" w:name="_Toc15377212"/>
      <w:r>
        <w:rPr>
          <w:rFonts w:ascii="仿宋" w:eastAsia="仿宋" w:cs="仿宋" w:hint="eastAsia"/>
          <w:b/>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仿宋" w:eastAsia="仿宋" w:cs="仿宋" w:hint="eastAsia"/>
          <w:b/>
          <w:color w:val="auto"/>
          <w:sz w:val="32"/>
          <w:szCs w:val="32"/>
        </w:rPr>
      </w:pPr>
    </w:p>
    <w:p>
      <w:pPr>
        <w:pageBreakBefore w:val="0"/>
        <w:widowControl w:val="0"/>
        <w:kinsoku/>
        <w:wordWrap/>
        <w:overflowPunct/>
        <w:topLinePunct w:val="0"/>
        <w:bidi w:val="0"/>
        <w:spacing w:line="576" w:lineRule="exact"/>
        <w:ind w:firstLineChars="200" w:firstLine="640"/>
        <w:outlineLvl w:val="2"/>
        <w:rPr>
          <w:rFonts w:ascii="仿宋" w:eastAsia="仿宋" w:cs="仿宋" w:hint="eastAsia"/>
          <w:b/>
          <w:color w:val="auto"/>
          <w:sz w:val="32"/>
          <w:szCs w:val="32"/>
        </w:rPr>
      </w:pPr>
    </w:p>
    <w:p>
      <w:pPr>
        <w:pageBreakBefore w:val="0"/>
        <w:widowControl w:val="0"/>
        <w:kinsoku/>
        <w:wordWrap/>
        <w:overflowPunct/>
        <w:topLinePunct w:val="0"/>
        <w:bidi w:val="0"/>
        <w:spacing w:line="576" w:lineRule="exact"/>
        <w:ind w:firstLineChars="200" w:firstLine="640"/>
        <w:outlineLvl w:val="2"/>
        <w:rPr>
          <w:rFonts w:ascii="仿宋" w:eastAsia="仿宋" w:cs="仿宋" w:hint="eastAsia"/>
          <w:b/>
          <w:color w:val="auto"/>
          <w:sz w:val="32"/>
          <w:szCs w:val="32"/>
        </w:rPr>
      </w:pPr>
    </w:p>
    <w:p>
      <w:pPr>
        <w:pageBreakBefore w:val="0"/>
        <w:widowControl w:val="0"/>
        <w:kinsoku/>
        <w:wordWrap/>
        <w:overflowPunct/>
        <w:topLinePunct w:val="0"/>
        <w:bidi w:val="0"/>
        <w:spacing w:line="576" w:lineRule="exact"/>
        <w:outlineLvl w:val="2"/>
        <w:rPr>
          <w:rFonts w:ascii="仿宋" w:eastAsia="仿宋" w:cs="仿宋" w:hint="eastAsia"/>
          <w:b/>
          <w:color w:val="auto"/>
          <w:sz w:val="32"/>
          <w:szCs w:val="32"/>
          <w:lang w:eastAsia="zh-CN"/>
        </w:rPr>
      </w:pPr>
    </w:p>
    <w:p>
      <w:pPr>
        <w:pageBreakBefore w:val="0"/>
        <w:widowControl w:val="0"/>
        <w:kinsoku/>
        <w:wordWrap/>
        <w:overflowPunct/>
        <w:topLinePunct w:val="0"/>
        <w:bidi w:val="0"/>
        <w:spacing w:line="576" w:lineRule="exact"/>
        <w:ind w:firstLineChars="200" w:firstLine="640"/>
        <w:outlineLvl w:val="2"/>
        <w:rPr>
          <w:rFonts w:ascii="仿宋" w:eastAsia="仿宋" w:cs="仿宋" w:hint="eastAsia"/>
          <w:b/>
          <w:color w:val="auto"/>
          <w:sz w:val="32"/>
          <w:szCs w:val="32"/>
          <w:lang w:eastAsia="zh-CN"/>
        </w:rPr>
      </w:pP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r>
        <w:rPr>
          <w:rFonts w:ascii="方正楷体简体" w:eastAsia="方正楷体简体" w:cs="方正楷体简体" w:hint="eastAsia"/>
          <w:b w:val="0"/>
          <w:bCs w:val="0"/>
          <w:color w:val="auto"/>
          <w:sz w:val="32"/>
          <w:szCs w:val="32"/>
          <w:lang w:eastAsia="zh-CN"/>
        </w:rPr>
        <w:t>（三）一般公共预算财政拨款支出决算具体情况</w:t>
      </w:r>
      <w:bookmarkEnd w:id="40"/>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bookmarkStart w:id="41" w:name="_Toc15377213"/>
      <w:bookmarkStart w:id="42" w:name="_Toc15378460"/>
      <w:bookmarkStart w:id="43" w:name="_Toc15377444"/>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w:t>
      </w:r>
      <w:r>
        <w:rPr>
          <w:rFonts w:ascii="方正仿宋简体" w:eastAsia="方正仿宋简体" w:cs="方正仿宋简体" w:hint="eastAsia"/>
          <w:b w:val="0"/>
          <w:bCs/>
          <w:color w:val="auto"/>
          <w:sz w:val="32"/>
          <w:szCs w:val="32"/>
          <w:lang w:eastAsia="zh-CN"/>
        </w:rPr>
        <w:t>一</w:t>
      </w:r>
      <w:r>
        <w:rPr>
          <w:rFonts w:ascii="方正仿宋简体" w:eastAsia="方正仿宋简体" w:cs="方正仿宋简体" w:hint="eastAsia"/>
          <w:b w:val="0"/>
          <w:bCs/>
          <w:color w:val="auto"/>
          <w:sz w:val="32"/>
          <w:szCs w:val="32"/>
        </w:rPr>
        <w:t>般公共预算支出决算数为</w:t>
      </w:r>
      <w:r>
        <w:rPr>
          <w:rFonts w:ascii="方正仿宋简体" w:eastAsia="方正仿宋简体" w:cs="方正仿宋简体" w:hint="eastAsia"/>
          <w:b w:val="0"/>
          <w:bCs/>
          <w:color w:val="auto"/>
          <w:sz w:val="32"/>
          <w:szCs w:val="32"/>
          <w:lang w:val="en-US" w:eastAsia="zh-CN"/>
        </w:rPr>
        <w:t>362.76万元</w:t>
      </w:r>
      <w:r>
        <w:rPr>
          <w:rFonts w:ascii="方正仿宋简体" w:eastAsia="方正仿宋简体" w:cs="方正仿宋简体" w:hint="eastAsia"/>
          <w:b w:val="0"/>
          <w:bCs/>
          <w:color w:val="auto"/>
          <w:sz w:val="32"/>
          <w:szCs w:val="32"/>
        </w:rPr>
        <w:t>，完成预算</w:t>
      </w:r>
      <w:r>
        <w:rPr>
          <w:rFonts w:ascii="方正仿宋简体" w:eastAsia="方正仿宋简体" w:cs="方正仿宋简体" w:hint="eastAsia"/>
          <w:b w:val="0"/>
          <w:bCs/>
          <w:color w:val="auto"/>
          <w:sz w:val="32"/>
          <w:szCs w:val="32"/>
          <w:lang w:val="en-US" w:eastAsia="zh-CN"/>
        </w:rPr>
        <w:t>100%</w:t>
      </w:r>
      <w:r>
        <w:rPr>
          <w:rFonts w:ascii="方正仿宋简体" w:eastAsia="方正仿宋简体" w:cs="方正仿宋简体" w:hint="eastAsia"/>
          <w:b w:val="0"/>
          <w:bCs/>
          <w:color w:val="auto"/>
          <w:sz w:val="32"/>
          <w:szCs w:val="32"/>
        </w:rPr>
        <w:t>。其中：</w:t>
      </w:r>
      <w:bookmarkEnd w:id="41"/>
      <w:bookmarkEnd w:id="42"/>
      <w:bookmarkEnd w:id="43"/>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1.一般公共服务（类）***（款）***（项）: 支出决算为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2.教育（类）***（款）***（项）: 支出决算为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3.科学技术（类）***（款）***（项）: 支出决算为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4.文化旅游体育与传媒（类）***（款）***（项）: 支出决算为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5.社会保障和就业（208类）</w:t>
      </w:r>
      <w:r>
        <w:rPr>
          <w:rFonts w:ascii="方正仿宋简体" w:eastAsia="方正仿宋简体" w:cs="方正仿宋简体" w:hint="eastAsia"/>
          <w:b w:val="0"/>
          <w:bCs/>
          <w:color w:val="auto"/>
          <w:sz w:val="32"/>
          <w:szCs w:val="32"/>
          <w:lang w:eastAsia="zh-CN"/>
        </w:rPr>
        <w:t>行政事业单位离退休（</w:t>
      </w:r>
      <w:r>
        <w:rPr>
          <w:rFonts w:ascii="方正仿宋简体" w:eastAsia="方正仿宋简体" w:cs="方正仿宋简体" w:hint="eastAsia"/>
          <w:b w:val="0"/>
          <w:bCs/>
          <w:color w:val="auto"/>
          <w:sz w:val="32"/>
          <w:szCs w:val="32"/>
          <w:lang w:val="en-US" w:eastAsia="zh-CN"/>
        </w:rPr>
        <w:t>20805款</w:t>
      </w:r>
      <w:r>
        <w:rPr>
          <w:rFonts w:ascii="方正仿宋简体" w:eastAsia="方正仿宋简体" w:cs="方正仿宋简体" w:hint="eastAsia"/>
          <w:b w:val="0"/>
          <w:bCs/>
          <w:color w:val="auto"/>
          <w:sz w:val="32"/>
          <w:szCs w:val="32"/>
          <w:lang w:eastAsia="zh-CN"/>
        </w:rPr>
        <w:t>）机关事业单位基本养老保险缴费支出（</w:t>
      </w:r>
      <w:r>
        <w:rPr>
          <w:rFonts w:ascii="方正仿宋简体" w:eastAsia="方正仿宋简体" w:cs="方正仿宋简体" w:hint="eastAsia"/>
          <w:b w:val="0"/>
          <w:bCs/>
          <w:color w:val="auto"/>
          <w:sz w:val="32"/>
          <w:szCs w:val="32"/>
          <w:lang w:val="en-US" w:eastAsia="zh-CN"/>
        </w:rPr>
        <w:t>2080505项</w:t>
      </w:r>
      <w:r>
        <w:rPr>
          <w:rFonts w:ascii="方正仿宋简体" w:eastAsia="方正仿宋简体" w:cs="方正仿宋简体" w:hint="eastAsia"/>
          <w:b w:val="0"/>
          <w:bCs/>
          <w:color w:val="auto"/>
          <w:sz w:val="32"/>
          <w:szCs w:val="32"/>
          <w:lang w:eastAsia="zh-CN"/>
        </w:rPr>
        <w:t>）：支出决算为</w:t>
      </w:r>
      <w:r>
        <w:rPr>
          <w:rFonts w:ascii="方正仿宋简体" w:eastAsia="方正仿宋简体" w:cs="方正仿宋简体" w:hint="eastAsia"/>
          <w:b w:val="0"/>
          <w:bCs/>
          <w:color w:val="auto"/>
          <w:sz w:val="32"/>
          <w:szCs w:val="32"/>
          <w:lang w:val="en-US" w:eastAsia="zh-CN"/>
        </w:rPr>
        <w:t>24.29万元，完成预算100%。其他社会保障和就业支出（20899款）其他社会保障和就业支出（2089901项）支出决算为2.3万元，完成预算100%。</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6.卫生健康支出（210类）基层医疗卫生机构（21003款）城市社区卫生机构（2100301项）支出决算为166.19万元，完成预算100%。其他基层医疗卫生机构支出（2100399项）支出决算为34.05万元，完成预算100%。公共卫生（21004款）基本公共卫生服务（2100408项）支出决算为101.19万元，完成预算100%。重大公共卫生专项（2100409项）支出决算为5.3万元，完成预算100%。行政事业单位医疗（21011款）事业单位医疗(2101102项)支出决算为11.32万元，完成预算100%。</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7.住房保障支出（221类）住房改革支出（22102款）住房公积金（2210201项）支出决算为18.12万元，完成预算100%。</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44" w:name="_Toc15396608"/>
      <w:bookmarkStart w:id="45" w:name="_Toc15377214"/>
      <w:r>
        <w:rPr>
          <w:rFonts w:ascii="方正黑体简体" w:eastAsia="方正黑体简体" w:cs="方正黑体简体" w:hint="eastAsia"/>
          <w:b w:val="0"/>
          <w:bCs/>
          <w:color w:val="auto"/>
          <w:sz w:val="32"/>
          <w:szCs w:val="32"/>
          <w:lang w:eastAsia="zh-CN"/>
        </w:rPr>
        <w:t>六、一般公共预算财政拨款基本支出决算情况说明</w:t>
      </w:r>
      <w:bookmarkEnd w:id="44"/>
      <w:bookmarkEnd w:id="45"/>
      <w:r>
        <w:rPr>
          <w:rFonts w:ascii="方正黑体简体" w:eastAsia="方正黑体简体" w:cs="方正黑体简体" w:hint="eastAsia"/>
          <w:b w:val="0"/>
          <w:bCs/>
          <w:color w:val="auto"/>
          <w:sz w:val="32"/>
          <w:szCs w:val="32"/>
          <w:lang w:eastAsia="zh-CN"/>
        </w:rPr>
        <w:tab/>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年一般公共预算财政拨款基本支出</w:t>
      </w:r>
      <w:r>
        <w:rPr>
          <w:rFonts w:ascii="方正仿宋简体" w:eastAsia="方正仿宋简体" w:cs="方正仿宋简体" w:hint="eastAsia"/>
          <w:b w:val="0"/>
          <w:bCs/>
          <w:color w:val="auto"/>
          <w:sz w:val="32"/>
          <w:szCs w:val="32"/>
          <w:lang w:val="en-US" w:eastAsia="zh-CN"/>
        </w:rPr>
        <w:t>222.20</w:t>
      </w:r>
      <w:r>
        <w:rPr>
          <w:rFonts w:ascii="方正仿宋简体" w:eastAsia="方正仿宋简体" w:cs="方正仿宋简体" w:hint="eastAsia"/>
          <w:b w:val="0"/>
          <w:bCs/>
          <w:color w:val="auto"/>
          <w:sz w:val="32"/>
          <w:szCs w:val="32"/>
        </w:rPr>
        <w:t>万元，其中：</w:t>
      </w:r>
    </w:p>
    <w:p>
      <w:pPr>
        <w:pageBreakBefore w:val="0"/>
        <w:widowControl w:val="0"/>
        <w:kinsoku/>
        <w:wordWrap/>
        <w:overflowPunct/>
        <w:topLinePunct w:val="0"/>
        <w:bidi w:val="0"/>
        <w:spacing w:line="576" w:lineRule="exact"/>
        <w:ind w:firstLineChars="200" w:firstLine="640"/>
        <w:outlineLvl w:val="2"/>
        <w:rPr>
          <w:rFonts w:ascii="仿宋" w:eastAsia="仿宋"/>
          <w:color w:val="auto"/>
          <w:sz w:val="32"/>
          <w:szCs w:val="32"/>
        </w:rPr>
      </w:pPr>
      <w:r>
        <w:rPr>
          <w:rFonts w:ascii="方正仿宋简体" w:eastAsia="方正仿宋简体" w:cs="方正仿宋简体" w:hint="eastAsia"/>
          <w:b w:val="0"/>
          <w:bCs/>
          <w:color w:val="auto"/>
          <w:sz w:val="32"/>
          <w:szCs w:val="32"/>
        </w:rPr>
        <w:t>人员经费</w:t>
      </w:r>
      <w:r>
        <w:rPr>
          <w:rFonts w:ascii="方正仿宋简体" w:eastAsia="方正仿宋简体" w:cs="方正仿宋简体" w:hint="eastAsia"/>
          <w:b w:val="0"/>
          <w:bCs/>
          <w:color w:val="auto"/>
          <w:sz w:val="32"/>
          <w:szCs w:val="32"/>
          <w:lang w:val="en-US" w:eastAsia="zh-CN"/>
        </w:rPr>
        <w:t>216.01</w:t>
      </w:r>
      <w:r>
        <w:rPr>
          <w:rFonts w:ascii="方正仿宋简体" w:eastAsia="方正仿宋简体" w:cs="方正仿宋简体" w:hint="eastAsia"/>
          <w:b w:val="0"/>
          <w:bCs/>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br/>
        <w:t>　　日常公用经费</w:t>
      </w:r>
      <w:r>
        <w:rPr>
          <w:rFonts w:ascii="方正仿宋简体" w:eastAsia="方正仿宋简体" w:cs="方正仿宋简体" w:hint="eastAsia"/>
          <w:b w:val="0"/>
          <w:bCs/>
          <w:color w:val="auto"/>
          <w:sz w:val="32"/>
          <w:szCs w:val="32"/>
          <w:lang w:val="en-US" w:eastAsia="zh-CN"/>
        </w:rPr>
        <w:t>6.19</w:t>
      </w:r>
      <w:r>
        <w:rPr>
          <w:rFonts w:ascii="方正仿宋简体" w:eastAsia="方正仿宋简体" w:cs="方正仿宋简体" w:hint="eastAsia"/>
          <w:b w:val="0"/>
          <w:bCs/>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46" w:name="_Toc15377215"/>
      <w:bookmarkStart w:id="47" w:name="_Toc15396609"/>
      <w:r>
        <w:rPr>
          <w:rFonts w:ascii="方正黑体简体" w:eastAsia="方正黑体简体" w:cs="方正黑体简体" w:hint="eastAsia"/>
          <w:b w:val="0"/>
          <w:bCs/>
          <w:color w:val="auto"/>
          <w:sz w:val="32"/>
          <w:szCs w:val="32"/>
          <w:lang w:eastAsia="zh-CN"/>
        </w:rPr>
        <w:t>七、“三公”经费财政拨款支出决算情况说明</w:t>
      </w:r>
      <w:bookmarkEnd w:id="46"/>
      <w:bookmarkEnd w:id="47"/>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48" w:name="_Toc15377216"/>
      <w:r>
        <w:rPr>
          <w:rFonts w:ascii="方正楷体简体" w:eastAsia="方正楷体简体" w:cs="方正楷体简体" w:hint="eastAsia"/>
          <w:b w:val="0"/>
          <w:bCs w:val="0"/>
          <w:color w:val="auto"/>
          <w:sz w:val="32"/>
          <w:szCs w:val="32"/>
          <w:lang w:eastAsia="zh-CN"/>
        </w:rPr>
        <w:t>（一）“三公”经费财政拨款支出决算总体情况说明</w:t>
      </w:r>
      <w:bookmarkEnd w:id="48"/>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lang w:eastAsia="zh-CN"/>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年“三公”经费财政拨款支出决算为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r>
        <w:rPr>
          <w:rFonts w:ascii="方正仿宋简体" w:eastAsia="方正仿宋简体" w:cs="方正仿宋简体" w:hint="eastAsia"/>
          <w:b w:val="0"/>
          <w:bCs/>
          <w:color w:val="auto"/>
          <w:sz w:val="32"/>
          <w:szCs w:val="32"/>
          <w:lang w:eastAsia="zh-CN"/>
        </w:rPr>
        <w:t>。</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49" w:name="_Toc15377217"/>
      <w:r>
        <w:rPr>
          <w:rFonts w:ascii="方正楷体简体" w:eastAsia="方正楷体简体" w:cs="方正楷体简体" w:hint="eastAsia"/>
          <w:b w:val="0"/>
          <w:bCs w:val="0"/>
          <w:color w:val="auto"/>
          <w:sz w:val="32"/>
          <w:szCs w:val="32"/>
          <w:lang w:eastAsia="zh-CN"/>
        </w:rPr>
        <w:t>（二）“三公”经费财政拨款支出决算具体情况说明</w:t>
      </w:r>
      <w:bookmarkEnd w:id="49"/>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年“三公”经费财政拨款支出决算中，因公出国（境）费支出决算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%；公务用车购置及运行维护费支出决算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%；公务接待费支出决算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万元，占</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%。具体情况如下：</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lang w:val="en-US" w:eastAsia="zh-CN"/>
        </w:rPr>
        <w:t>1.</w:t>
      </w:r>
      <w:r>
        <w:rPr>
          <w:rFonts w:ascii="方正仿宋简体" w:eastAsia="方正仿宋简体" w:cs="方正仿宋简体" w:hint="eastAsia"/>
          <w:b w:val="0"/>
          <w:bCs/>
          <w:color w:val="auto"/>
          <w:sz w:val="32"/>
          <w:szCs w:val="32"/>
        </w:rPr>
        <w:t>因公出国（境）经费支出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%。全年安排因公出国（境）团组</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次，出国（境）</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人</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w:t>
      </w:r>
      <w:r>
        <w:rPr>
          <w:rFonts w:ascii="方正仿宋简体" w:eastAsia="方正仿宋简体" w:cs="方正仿宋简体" w:hint="eastAsia"/>
          <w:b w:val="0"/>
          <w:bCs/>
          <w:color w:val="auto"/>
          <w:sz w:val="32"/>
          <w:szCs w:val="32"/>
          <w:lang w:eastAsia="zh-CN"/>
        </w:rPr>
        <w:t>.</w:t>
      </w:r>
      <w:r>
        <w:rPr>
          <w:rFonts w:ascii="方正仿宋简体" w:eastAsia="方正仿宋简体" w:cs="方正仿宋简体" w:hint="eastAsia"/>
          <w:b w:val="0"/>
          <w:bCs/>
          <w:color w:val="auto"/>
          <w:sz w:val="32"/>
          <w:szCs w:val="32"/>
        </w:rPr>
        <w:t>公务用车购置及运行维护费支出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lang w:val="en-US" w:eastAsia="zh-CN"/>
        </w:rPr>
        <w:t>3.</w:t>
      </w:r>
      <w:r>
        <w:rPr>
          <w:rFonts w:ascii="方正仿宋简体" w:eastAsia="方正仿宋简体" w:cs="方正仿宋简体" w:hint="eastAsia"/>
          <w:b w:val="0"/>
          <w:bCs/>
          <w:color w:val="auto"/>
          <w:sz w:val="32"/>
          <w:szCs w:val="32"/>
        </w:rPr>
        <w:t>公务接待费支出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万元，完成预算</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国内公务接待支出</w:t>
      </w:r>
      <w:r>
        <w:rPr>
          <w:rFonts w:ascii="方正仿宋简体" w:eastAsia="方正仿宋简体" w:cs="方正仿宋简体" w:hint="eastAsia"/>
          <w:b w:val="0"/>
          <w:bCs/>
          <w:color w:val="auto"/>
          <w:sz w:val="32"/>
          <w:szCs w:val="32"/>
          <w:lang w:val="en-US" w:eastAsia="zh-CN"/>
        </w:rPr>
        <w:t>:</w:t>
      </w:r>
      <w:r>
        <w:rPr>
          <w:rFonts w:ascii="方正仿宋简体" w:eastAsia="方正仿宋简体" w:cs="方正仿宋简体" w:hint="eastAsia"/>
          <w:b w:val="0"/>
          <w:bCs/>
          <w:color w:val="auto"/>
          <w:sz w:val="32"/>
          <w:szCs w:val="32"/>
        </w:rPr>
        <w:t>无</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外事接待支出</w:t>
      </w:r>
      <w:r>
        <w:rPr>
          <w:rFonts w:ascii="方正仿宋简体" w:eastAsia="方正仿宋简体" w:cs="方正仿宋简体" w:hint="eastAsia"/>
          <w:b w:val="0"/>
          <w:bCs/>
          <w:color w:val="auto"/>
          <w:sz w:val="32"/>
          <w:szCs w:val="32"/>
          <w:lang w:val="en-US" w:eastAsia="zh-CN"/>
        </w:rPr>
        <w:t>:</w:t>
      </w:r>
      <w:r>
        <w:rPr>
          <w:rFonts w:ascii="方正仿宋简体" w:eastAsia="方正仿宋简体" w:cs="方正仿宋简体" w:hint="eastAsia"/>
          <w:b w:val="0"/>
          <w:bCs/>
          <w:color w:val="auto"/>
          <w:sz w:val="32"/>
          <w:szCs w:val="32"/>
        </w:rPr>
        <w:t>无</w:t>
      </w:r>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50" w:name="_Toc15396610"/>
      <w:bookmarkStart w:id="51" w:name="_Toc15377218"/>
      <w:r>
        <w:rPr>
          <w:rFonts w:ascii="方正黑体简体" w:eastAsia="方正黑体简体" w:cs="方正黑体简体" w:hint="eastAsia"/>
          <w:b w:val="0"/>
          <w:bCs/>
          <w:color w:val="auto"/>
          <w:sz w:val="32"/>
          <w:szCs w:val="32"/>
          <w:lang w:eastAsia="zh-CN"/>
        </w:rPr>
        <w:t>八、政府性基金预算支出决算情况说明</w:t>
      </w:r>
      <w:bookmarkEnd w:id="50"/>
      <w:bookmarkEnd w:id="51"/>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年政府性基金预算拨款支出</w:t>
      </w:r>
      <w:r>
        <w:rPr>
          <w:rFonts w:ascii="方正仿宋简体" w:eastAsia="方正仿宋简体" w:cs="方正仿宋简体" w:hint="eastAsia"/>
          <w:b w:val="0"/>
          <w:bCs/>
          <w:color w:val="auto"/>
          <w:sz w:val="32"/>
          <w:szCs w:val="32"/>
          <w:lang w:val="en-US" w:eastAsia="zh-CN"/>
        </w:rPr>
        <w:t>108.42</w:t>
      </w:r>
      <w:r>
        <w:rPr>
          <w:rFonts w:ascii="方正仿宋简体" w:eastAsia="方正仿宋简体" w:cs="方正仿宋简体" w:hint="eastAsia"/>
          <w:b w:val="0"/>
          <w:bCs/>
          <w:color w:val="auto"/>
          <w:sz w:val="32"/>
          <w:szCs w:val="32"/>
        </w:rPr>
        <w:t>万元</w:t>
      </w:r>
      <w:r>
        <w:rPr>
          <w:rFonts w:ascii="方正仿宋简体" w:eastAsia="方正仿宋简体" w:cs="方正仿宋简体" w:hint="eastAsia"/>
          <w:b w:val="0"/>
          <w:bCs/>
          <w:color w:val="auto"/>
          <w:sz w:val="32"/>
          <w:szCs w:val="32"/>
          <w:lang w:eastAsia="zh-CN"/>
        </w:rPr>
        <w:t>，完成预算</w:t>
      </w:r>
      <w:r>
        <w:rPr>
          <w:rFonts w:ascii="方正仿宋简体" w:eastAsia="方正仿宋简体" w:cs="方正仿宋简体" w:hint="eastAsia"/>
          <w:b w:val="0"/>
          <w:bCs/>
          <w:color w:val="auto"/>
          <w:sz w:val="32"/>
          <w:szCs w:val="32"/>
          <w:lang w:val="en-US" w:eastAsia="zh-CN"/>
        </w:rPr>
        <w:t>100%</w:t>
      </w:r>
      <w:r>
        <w:rPr>
          <w:rFonts w:ascii="方正仿宋简体" w:eastAsia="方正仿宋简体" w:cs="方正仿宋简体" w:hint="eastAsia"/>
          <w:b w:val="0"/>
          <w:bCs/>
          <w:color w:val="auto"/>
          <w:sz w:val="32"/>
          <w:szCs w:val="32"/>
        </w:rPr>
        <w:t>。</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52" w:name="_Toc15396611"/>
      <w:bookmarkStart w:id="53" w:name="_Toc15377219"/>
      <w:r>
        <w:rPr>
          <w:rFonts w:ascii="方正黑体简体" w:eastAsia="方正黑体简体" w:cs="方正黑体简体" w:hint="eastAsia"/>
          <w:b w:val="0"/>
          <w:bCs/>
          <w:color w:val="auto"/>
          <w:sz w:val="32"/>
          <w:szCs w:val="32"/>
          <w:lang w:eastAsia="zh-CN"/>
        </w:rPr>
        <w:t>九、国有资本经营预算支出决算情况说明</w:t>
      </w:r>
      <w:bookmarkEnd w:id="52"/>
      <w:bookmarkEnd w:id="53"/>
    </w:p>
    <w:p>
      <w:pPr>
        <w:pageBreakBefore w:val="0"/>
        <w:widowControl w:val="0"/>
        <w:kinsoku/>
        <w:wordWrap/>
        <w:overflowPunct/>
        <w:topLinePunct w:val="0"/>
        <w:bidi w:val="0"/>
        <w:spacing w:line="576" w:lineRule="exact"/>
        <w:ind w:firstLineChars="200" w:firstLine="640"/>
        <w:outlineLvl w:val="2"/>
        <w:rPr>
          <w:rFonts w:ascii="方正仿宋简体" w:eastAsia="方正仿宋简体" w:cs="方正仿宋简体" w:hint="eastAsia"/>
          <w:b w:val="0"/>
          <w:bCs/>
          <w:color w:val="auto"/>
          <w:sz w:val="32"/>
          <w:szCs w:val="32"/>
        </w:rPr>
      </w:pPr>
      <w:r>
        <w:rPr>
          <w:rFonts w:ascii="方正仿宋简体" w:eastAsia="方正仿宋简体" w:cs="方正仿宋简体" w:hint="eastAsia"/>
          <w:b w:val="0"/>
          <w:bCs/>
          <w:color w:val="auto"/>
          <w:sz w:val="32"/>
          <w:szCs w:val="32"/>
        </w:rPr>
        <w:t>20</w:t>
      </w:r>
      <w:r>
        <w:rPr>
          <w:rFonts w:ascii="方正仿宋简体" w:eastAsia="方正仿宋简体" w:cs="方正仿宋简体" w:hint="eastAsia"/>
          <w:b w:val="0"/>
          <w:bCs/>
          <w:color w:val="auto"/>
          <w:sz w:val="32"/>
          <w:szCs w:val="32"/>
          <w:lang w:val="en-US" w:eastAsia="zh-CN"/>
        </w:rPr>
        <w:t>20</w:t>
      </w:r>
      <w:r>
        <w:rPr>
          <w:rFonts w:ascii="方正仿宋简体" w:eastAsia="方正仿宋简体" w:cs="方正仿宋简体" w:hint="eastAsia"/>
          <w:b w:val="0"/>
          <w:bCs/>
          <w:color w:val="auto"/>
          <w:sz w:val="32"/>
          <w:szCs w:val="32"/>
        </w:rPr>
        <w:t>年国有资本经营预算拨款支出</w:t>
      </w:r>
      <w:r>
        <w:rPr>
          <w:rFonts w:ascii="方正仿宋简体" w:eastAsia="方正仿宋简体" w:cs="方正仿宋简体" w:hint="eastAsia"/>
          <w:b w:val="0"/>
          <w:bCs/>
          <w:color w:val="auto"/>
          <w:sz w:val="32"/>
          <w:szCs w:val="32"/>
          <w:lang w:val="en-US" w:eastAsia="zh-CN"/>
        </w:rPr>
        <w:t>0</w:t>
      </w:r>
      <w:r>
        <w:rPr>
          <w:rFonts w:ascii="方正仿宋简体" w:eastAsia="方正仿宋简体" w:cs="方正仿宋简体" w:hint="eastAsia"/>
          <w:b w:val="0"/>
          <w:bCs/>
          <w:color w:val="auto"/>
          <w:sz w:val="32"/>
          <w:szCs w:val="32"/>
        </w:rPr>
        <w:t>万元。</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黑体简体" w:eastAsia="方正黑体简体" w:cs="方正黑体简体" w:hint="eastAsia"/>
          <w:b w:val="0"/>
          <w:bCs/>
          <w:color w:val="auto"/>
          <w:sz w:val="32"/>
          <w:szCs w:val="32"/>
          <w:lang w:eastAsia="zh-CN"/>
        </w:rPr>
      </w:pPr>
      <w:bookmarkStart w:id="54" w:name="_Toc15377221"/>
      <w:bookmarkStart w:id="55" w:name="_Toc15396612"/>
      <w:r>
        <w:rPr>
          <w:rFonts w:ascii="方正黑体简体" w:eastAsia="方正黑体简体" w:cs="方正黑体简体" w:hint="eastAsia"/>
          <w:b w:val="0"/>
          <w:bCs/>
          <w:color w:val="auto"/>
          <w:sz w:val="32"/>
          <w:szCs w:val="32"/>
          <w:lang w:eastAsia="zh-CN"/>
        </w:rPr>
        <w:t>十、其他重要事项的情况说明</w:t>
      </w:r>
      <w:bookmarkEnd w:id="54"/>
      <w:bookmarkEnd w:id="55"/>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56" w:name="_Toc15377222"/>
      <w:r>
        <w:rPr>
          <w:rFonts w:ascii="方正楷体简体" w:eastAsia="方正楷体简体" w:cs="方正楷体简体" w:hint="eastAsia"/>
          <w:b w:val="0"/>
          <w:bCs w:val="0"/>
          <w:color w:val="auto"/>
          <w:sz w:val="32"/>
          <w:szCs w:val="32"/>
          <w:lang w:eastAsia="zh-CN"/>
        </w:rPr>
        <w:t>（一）机关运行经费支出情况</w:t>
      </w:r>
      <w:bookmarkEnd w:id="56"/>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lang w:eastAsia="zh-CN"/>
        </w:rPr>
      </w:pPr>
      <w:r>
        <w:rPr>
          <w:rFonts w:ascii="方正仿宋简体" w:eastAsia="方正仿宋简体" w:cs="方正仿宋简体" w:hint="eastAsia"/>
          <w:color w:val="auto"/>
          <w:sz w:val="32"/>
          <w:szCs w:val="32"/>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w:t>
      </w:r>
      <w:r>
        <w:rPr>
          <w:rFonts w:ascii="方正仿宋简体" w:eastAsia="方正仿宋简体" w:cs="方正仿宋简体" w:hint="eastAsia"/>
          <w:color w:val="auto"/>
          <w:sz w:val="32"/>
          <w:szCs w:val="32"/>
          <w:lang w:eastAsia="zh-CN"/>
        </w:rPr>
        <w:t>杨家岩社区卫生服务中心</w:t>
      </w:r>
      <w:r>
        <w:rPr>
          <w:rFonts w:ascii="方正仿宋简体" w:eastAsia="方正仿宋简体" w:cs="方正仿宋简体" w:hint="eastAsia"/>
          <w:color w:val="auto"/>
          <w:sz w:val="32"/>
          <w:szCs w:val="32"/>
        </w:rPr>
        <w:t>机关运行经费支出</w:t>
      </w:r>
      <w:r>
        <w:rPr>
          <w:rFonts w:ascii="方正仿宋简体" w:eastAsia="方正仿宋简体" w:cs="方正仿宋简体" w:hint="eastAsia"/>
          <w:color w:val="auto"/>
          <w:sz w:val="32"/>
          <w:szCs w:val="32"/>
          <w:lang w:eastAsia="zh-CN"/>
        </w:rPr>
        <w:t>无。</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57" w:name="_Toc15377223"/>
      <w:r>
        <w:rPr>
          <w:rFonts w:ascii="方正楷体简体" w:eastAsia="方正楷体简体" w:cs="方正楷体简体" w:hint="eastAsia"/>
          <w:b w:val="0"/>
          <w:bCs w:val="0"/>
          <w:color w:val="auto"/>
          <w:sz w:val="32"/>
          <w:szCs w:val="32"/>
          <w:lang w:eastAsia="zh-CN"/>
        </w:rPr>
        <w:t>（二）政府采购支出情况</w:t>
      </w:r>
      <w:bookmarkEnd w:id="57"/>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w:t>
      </w:r>
      <w:r>
        <w:rPr>
          <w:rFonts w:ascii="方正仿宋简体" w:eastAsia="方正仿宋简体" w:cs="方正仿宋简体" w:hint="eastAsia"/>
          <w:color w:val="auto"/>
          <w:sz w:val="32"/>
          <w:szCs w:val="32"/>
          <w:lang w:eastAsia="zh-CN"/>
        </w:rPr>
        <w:t>杨家岩社区卫生服务中心</w:t>
      </w:r>
      <w:r>
        <w:rPr>
          <w:rFonts w:ascii="方正仿宋简体" w:eastAsia="方正仿宋简体" w:cs="方正仿宋简体" w:hint="eastAsia"/>
          <w:color w:val="auto"/>
          <w:sz w:val="32"/>
          <w:szCs w:val="32"/>
        </w:rPr>
        <w:t>政府采购支出总额</w:t>
      </w:r>
      <w:r>
        <w:rPr>
          <w:rFonts w:ascii="方正仿宋简体" w:eastAsia="方正仿宋简体" w:cs="方正仿宋简体" w:hint="eastAsia"/>
          <w:color w:val="auto"/>
          <w:sz w:val="32"/>
          <w:szCs w:val="32"/>
          <w:lang w:val="en-US" w:eastAsia="zh-CN"/>
        </w:rPr>
        <w:t>90.78</w:t>
      </w:r>
      <w:r>
        <w:rPr>
          <w:rFonts w:ascii="方正仿宋简体" w:eastAsia="方正仿宋简体" w:cs="方正仿宋简体" w:hint="eastAsia"/>
          <w:color w:val="auto"/>
          <w:sz w:val="32"/>
          <w:szCs w:val="32"/>
        </w:rPr>
        <w:t>万元，其中：政府采购货物支出</w:t>
      </w:r>
      <w:r>
        <w:rPr>
          <w:rFonts w:ascii="方正仿宋简体" w:eastAsia="方正仿宋简体" w:cs="方正仿宋简体" w:hint="eastAsia"/>
          <w:color w:val="auto"/>
          <w:sz w:val="32"/>
          <w:szCs w:val="32"/>
          <w:lang w:val="en-US" w:eastAsia="zh-CN"/>
        </w:rPr>
        <w:t>90.78</w:t>
      </w:r>
      <w:r>
        <w:rPr>
          <w:rFonts w:ascii="方正仿宋简体" w:eastAsia="方正仿宋简体" w:cs="方正仿宋简体" w:hint="eastAsia"/>
          <w:color w:val="auto"/>
          <w:sz w:val="32"/>
          <w:szCs w:val="32"/>
        </w:rPr>
        <w:t>万元、政府采购工程支出</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万元、政府采购服务支出</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万元。主要用于提高</w:t>
      </w:r>
      <w:r>
        <w:rPr>
          <w:rFonts w:ascii="方正仿宋简体" w:eastAsia="方正仿宋简体" w:cs="方正仿宋简体" w:hint="eastAsia"/>
          <w:color w:val="auto"/>
          <w:sz w:val="32"/>
          <w:szCs w:val="32"/>
          <w:lang w:eastAsia="zh-CN"/>
        </w:rPr>
        <w:t>重大疫情防控救治能力</w:t>
      </w:r>
      <w:r>
        <w:rPr>
          <w:rFonts w:ascii="方正仿宋简体" w:eastAsia="方正仿宋简体" w:cs="方正仿宋简体" w:hint="eastAsia"/>
          <w:color w:val="auto"/>
          <w:sz w:val="32"/>
          <w:szCs w:val="32"/>
        </w:rPr>
        <w:t>。授予中小企业合同金额</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万元，占政府采购支出总额的</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%，其中：授予小微企业合同金额</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万元，占政府采购支出总额的</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bookmarkStart w:id="58" w:name="_Toc15377224"/>
      <w:r>
        <w:rPr>
          <w:rFonts w:ascii="方正楷体简体" w:eastAsia="方正楷体简体" w:cs="方正楷体简体" w:hint="eastAsia"/>
          <w:b w:val="0"/>
          <w:bCs w:val="0"/>
          <w:color w:val="auto"/>
          <w:sz w:val="32"/>
          <w:szCs w:val="32"/>
          <w:lang w:eastAsia="zh-CN"/>
        </w:rPr>
        <w:t>（三）国有资产占有使用情况</w:t>
      </w:r>
      <w:bookmarkEnd w:id="58"/>
    </w:p>
    <w:p>
      <w:pPr>
        <w:pageBreakBefore w:val="0"/>
        <w:widowControl w:val="0"/>
        <w:kinsoku/>
        <w:wordWrap/>
        <w:overflowPunct/>
        <w:topLinePunct w:val="0"/>
        <w:autoSpaceDE w:val="0"/>
        <w:autoSpaceDN w:val="0"/>
        <w:bidi w:val="0"/>
        <w:adjustRightInd w:val="0"/>
        <w:spacing w:line="576" w:lineRule="exact"/>
        <w:ind w:firstLineChars="200" w:firstLine="640"/>
        <w:jc w:val="left"/>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截至20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年12月31日，</w:t>
      </w:r>
      <w:r>
        <w:rPr>
          <w:rFonts w:ascii="方正仿宋简体" w:eastAsia="方正仿宋简体" w:cs="方正仿宋简体" w:hint="eastAsia"/>
          <w:color w:val="auto"/>
          <w:sz w:val="32"/>
          <w:szCs w:val="32"/>
          <w:lang w:eastAsia="zh-CN"/>
        </w:rPr>
        <w:t>杨家岩社区卫生服务中心</w:t>
      </w:r>
      <w:r>
        <w:rPr>
          <w:rFonts w:ascii="方正仿宋简体" w:eastAsia="方正仿宋简体" w:cs="方正仿宋简体" w:hint="eastAsia"/>
          <w:color w:val="auto"/>
          <w:sz w:val="32"/>
          <w:szCs w:val="32"/>
        </w:rPr>
        <w:t>共有车辆</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辆，其中：主要领导干部用车</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辆、机要通信用车</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辆、应急保障用车</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辆、</w:t>
      </w:r>
      <w:r>
        <w:rPr>
          <w:rFonts w:ascii="方正仿宋简体" w:eastAsia="方正仿宋简体" w:cs="方正仿宋简体" w:hint="eastAsia"/>
          <w:color w:val="auto"/>
          <w:sz w:val="32"/>
          <w:szCs w:val="32"/>
          <w:lang w:eastAsia="zh-CN"/>
        </w:rPr>
        <w:t>特种专业技术用车</w:t>
      </w:r>
      <w:r>
        <w:rPr>
          <w:rFonts w:ascii="方正仿宋简体" w:eastAsia="方正仿宋简体" w:cs="方正仿宋简体" w:hint="eastAsia"/>
          <w:color w:val="auto"/>
          <w:sz w:val="32"/>
          <w:szCs w:val="32"/>
          <w:lang w:val="en-US" w:eastAsia="zh-CN"/>
        </w:rPr>
        <w:t>2辆，主要用于医疗救治及社区巡诊。</w:t>
      </w:r>
      <w:r>
        <w:rPr>
          <w:rFonts w:ascii="方正仿宋简体" w:eastAsia="方正仿宋简体" w:cs="方正仿宋简体" w:hint="eastAsia"/>
          <w:color w:val="auto"/>
          <w:sz w:val="32"/>
          <w:szCs w:val="32"/>
        </w:rPr>
        <w:t>单价50万元以上通用设备</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台（套），单价100万元以上专用设备</w:t>
      </w:r>
      <w:r>
        <w:rPr>
          <w:rFonts w:ascii="方正仿宋简体" w:eastAsia="方正仿宋简体" w:cs="方正仿宋简体" w:hint="eastAsia"/>
          <w:color w:val="auto"/>
          <w:sz w:val="32"/>
          <w:szCs w:val="32"/>
          <w:lang w:val="en-US" w:eastAsia="zh-CN"/>
        </w:rPr>
        <w:t>0</w:t>
      </w:r>
      <w:r>
        <w:rPr>
          <w:rFonts w:ascii="方正仿宋简体" w:eastAsia="方正仿宋简体" w:cs="方正仿宋简体" w:hint="eastAsia"/>
          <w:color w:val="auto"/>
          <w:sz w:val="32"/>
          <w:szCs w:val="32"/>
        </w:rPr>
        <w:t>台（套）。</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eastAsia="zh-CN"/>
        </w:rPr>
      </w:pPr>
      <w:r>
        <w:rPr>
          <w:rFonts w:ascii="方正楷体简体" w:eastAsia="方正楷体简体" w:cs="方正楷体简体" w:hint="eastAsia"/>
          <w:b w:val="0"/>
          <w:bCs w:val="0"/>
          <w:color w:val="auto"/>
          <w:sz w:val="32"/>
          <w:szCs w:val="32"/>
          <w:lang w:eastAsia="zh-CN"/>
        </w:rPr>
        <w:t>（四）预算绩效管理情况</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根据预算绩效管理要求，本单位在年初预算编制阶段，组织对基本公共卫生服务等项目开展了预算事前绩效评估，对</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个项目编制了绩效目标，预算执行过程中，选取</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个项目开展绩效监控，年终执行完毕后，对</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个项目开展了绩效目标完成情况自评。</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本</w:t>
      </w:r>
      <w:r>
        <w:rPr>
          <w:rFonts w:ascii="方正仿宋简体" w:eastAsia="方正仿宋简体" w:cs="方正仿宋简体" w:hint="eastAsia"/>
          <w:color w:val="auto"/>
          <w:sz w:val="32"/>
          <w:szCs w:val="32"/>
          <w:lang w:eastAsia="zh-CN"/>
        </w:rPr>
        <w:t>单位</w:t>
      </w:r>
      <w:r>
        <w:rPr>
          <w:rFonts w:ascii="方正仿宋简体" w:eastAsia="方正仿宋简体" w:cs="方正仿宋简体" w:hint="eastAsia"/>
          <w:color w:val="auto"/>
          <w:sz w:val="32"/>
          <w:szCs w:val="32"/>
        </w:rPr>
        <w:t>按要求对20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年部门整体支出开展绩效自评，从评价情况来看，我中心积极建立健全财务管理制度和约束机制，依法有效地分配、使用财政资金，提高资金使用效率，保证中心工作</w:t>
      </w:r>
      <w:r>
        <w:rPr>
          <w:rFonts w:ascii="方正仿宋简体" w:eastAsia="方正仿宋简体" w:cs="方正仿宋简体" w:hint="eastAsia"/>
          <w:color w:val="auto"/>
          <w:sz w:val="32"/>
          <w:szCs w:val="32"/>
          <w:lang w:eastAsia="zh-CN"/>
        </w:rPr>
        <w:t>高</w:t>
      </w:r>
      <w:r>
        <w:rPr>
          <w:rFonts w:ascii="方正仿宋简体" w:eastAsia="方正仿宋简体" w:cs="方正仿宋简体" w:hint="eastAsia"/>
          <w:color w:val="auto"/>
          <w:sz w:val="32"/>
          <w:szCs w:val="32"/>
        </w:rPr>
        <w:t>效有序地运行，对中心整体支出进行了有效控制和节约，合理安排部门整体经费支出，严格执行中央厉行节约禁止铺张浪费的</w:t>
      </w:r>
      <w:r>
        <w:rPr>
          <w:rFonts w:ascii="方正仿宋简体" w:eastAsia="方正仿宋简体" w:cs="方正仿宋简体" w:hint="eastAsia"/>
          <w:color w:val="auto"/>
          <w:sz w:val="32"/>
          <w:szCs w:val="32"/>
          <w:lang w:eastAsia="zh-CN"/>
        </w:rPr>
        <w:t>规定</w:t>
      </w:r>
      <w:r>
        <w:rPr>
          <w:rFonts w:ascii="方正仿宋简体" w:eastAsia="方正仿宋简体" w:cs="方正仿宋简体" w:hint="eastAsia"/>
          <w:color w:val="auto"/>
          <w:sz w:val="32"/>
          <w:szCs w:val="32"/>
        </w:rPr>
        <w:t>，无“三公经费”超标情况。本</w:t>
      </w: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还自行组织了</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个项目支出绩效评价，从评价情况来看各项目运行情况良好。严格资金使用与管理，加大监管力度，做到专款专用，合理有效使用资金，进一步提高了中心服务能力和水平。</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b/>
          <w:bCs/>
          <w:color w:val="auto"/>
          <w:sz w:val="32"/>
          <w:szCs w:val="32"/>
        </w:rPr>
        <w:t>1.项目绩效目标完成情况</w:t>
      </w:r>
      <w:r>
        <w:rPr>
          <w:rFonts w:ascii="方正仿宋简体" w:eastAsia="方正仿宋简体" w:cs="方正仿宋简体" w:hint="eastAsia"/>
          <w:color w:val="auto"/>
          <w:sz w:val="32"/>
          <w:szCs w:val="32"/>
        </w:rPr>
        <w:br/>
        <w:t xml:space="preserve">    本</w:t>
      </w:r>
      <w:r>
        <w:rPr>
          <w:rFonts w:ascii="方正仿宋简体" w:eastAsia="方正仿宋简体" w:cs="方正仿宋简体" w:hint="eastAsia"/>
          <w:color w:val="auto"/>
          <w:sz w:val="32"/>
          <w:szCs w:val="32"/>
          <w:lang w:eastAsia="zh-CN"/>
        </w:rPr>
        <w:t>单位</w:t>
      </w:r>
      <w:r>
        <w:rPr>
          <w:rFonts w:ascii="方正仿宋简体" w:eastAsia="方正仿宋简体" w:cs="方正仿宋简体" w:hint="eastAsia"/>
          <w:color w:val="auto"/>
          <w:sz w:val="32"/>
          <w:szCs w:val="32"/>
        </w:rPr>
        <w:t>在20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年度部门决算中反映“基本公共卫生服务”</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基层医疗卫生机构实施基本药物制度”</w:t>
      </w: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rPr>
        <w:t>个项目绩效目标实际完成情况。</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（1）基本公共卫生服务项目绩效目标完成情况综述。项目全年预算数</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rPr>
        <w:t>万元，执行数为</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rPr>
        <w:t>万元，完成预算的100%。通过项目实施，以“政府主导、部门配合、专业机构技术支撑、全社会参与的”运行模式，使辖区重点人群发现、分类干预、患者自我管理和健康教育与健康教育促进等各项工作得到了有效推进，收到了较好的效果。</w:t>
      </w:r>
    </w:p>
    <w:p>
      <w:pPr>
        <w:pageBreakBefore w:val="0"/>
        <w:widowControl/>
        <w:kinsoku/>
        <w:wordWrap/>
        <w:overflowPunct/>
        <w:topLinePunct w:val="0"/>
        <w:bidi w:val="0"/>
        <w:spacing w:line="576" w:lineRule="exact"/>
        <w:ind w:firstLineChars="200" w:firstLine="640"/>
        <w:jc w:val="both"/>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sz w:val="32"/>
          <w:szCs w:val="32"/>
        </w:rPr>
        <w:t>发现的主要问题：</w:t>
      </w:r>
      <w:r>
        <w:rPr>
          <w:rFonts w:ascii="方正仿宋简体" w:eastAsia="方正仿宋简体" w:cs="方正仿宋简体" w:hint="eastAsia"/>
          <w:b/>
          <w:bCs/>
          <w:color w:val="auto"/>
          <w:sz w:val="32"/>
          <w:szCs w:val="32"/>
        </w:rPr>
        <w:t>一是</w:t>
      </w:r>
      <w:r>
        <w:rPr>
          <w:rFonts w:ascii="方正仿宋简体" w:eastAsia="方正仿宋简体" w:cs="方正仿宋简体" w:hint="eastAsia"/>
          <w:color w:val="auto"/>
          <w:sz w:val="32"/>
          <w:szCs w:val="32"/>
        </w:rPr>
        <w:t>重性精神病患者管理难度大。主要是家属不配合，基层单位没有专业精神卫生人员。</w:t>
      </w:r>
      <w:r>
        <w:rPr>
          <w:rFonts w:ascii="方正仿宋简体" w:eastAsia="方正仿宋简体" w:cs="方正仿宋简体" w:hint="eastAsia"/>
          <w:b/>
          <w:bCs/>
          <w:color w:val="auto"/>
          <w:sz w:val="32"/>
          <w:szCs w:val="32"/>
        </w:rPr>
        <w:t>二是</w:t>
      </w:r>
      <w:r>
        <w:rPr>
          <w:rFonts w:ascii="方正仿宋简体" w:eastAsia="方正仿宋简体" w:cs="方正仿宋简体" w:hint="eastAsia"/>
          <w:color w:val="auto"/>
          <w:sz w:val="32"/>
          <w:szCs w:val="32"/>
        </w:rPr>
        <w:t>群众认识度不高。</w:t>
      </w:r>
      <w:r>
        <w:rPr>
          <w:rFonts w:ascii="方正仿宋简体" w:eastAsia="方正仿宋简体" w:cs="方正仿宋简体" w:hint="eastAsia"/>
          <w:color w:val="auto"/>
          <w:kern w:val="0"/>
          <w:sz w:val="32"/>
          <w:szCs w:val="32"/>
        </w:rPr>
        <w:t>居民对国家基本公共卫生服务认识不够</w:t>
      </w:r>
      <w:r>
        <w:rPr>
          <w:rFonts w:ascii="方正仿宋简体" w:eastAsia="方正仿宋简体" w:cs="方正仿宋简体" w:hint="eastAsia"/>
          <w:color w:val="auto"/>
          <w:kern w:val="0"/>
          <w:sz w:val="32"/>
          <w:szCs w:val="32"/>
          <w:lang w:eastAsia="zh-CN"/>
        </w:rPr>
        <w:t>、</w:t>
      </w:r>
      <w:r>
        <w:rPr>
          <w:rFonts w:ascii="方正仿宋简体" w:eastAsia="方正仿宋简体" w:cs="方正仿宋简体" w:hint="eastAsia"/>
          <w:color w:val="auto"/>
          <w:kern w:val="0"/>
          <w:sz w:val="32"/>
          <w:szCs w:val="32"/>
        </w:rPr>
        <w:t>上门建档和随访</w:t>
      </w:r>
      <w:r>
        <w:rPr>
          <w:rFonts w:ascii="方正仿宋简体" w:eastAsia="方正仿宋简体" w:cs="方正仿宋简体" w:hint="eastAsia"/>
          <w:color w:val="auto"/>
          <w:kern w:val="0"/>
          <w:sz w:val="32"/>
          <w:szCs w:val="32"/>
          <w:lang w:eastAsia="zh-CN"/>
        </w:rPr>
        <w:t>的</w:t>
      </w:r>
      <w:r>
        <w:rPr>
          <w:rFonts w:ascii="方正仿宋简体" w:eastAsia="方正仿宋简体" w:cs="方正仿宋简体" w:hint="eastAsia"/>
          <w:color w:val="auto"/>
          <w:kern w:val="0"/>
          <w:sz w:val="32"/>
          <w:szCs w:val="32"/>
        </w:rPr>
        <w:t>主动配合存在一定困难，特别是城区居民入户难。</w:t>
      </w:r>
      <w:r>
        <w:rPr>
          <w:rFonts w:ascii="方正仿宋简体" w:eastAsia="方正仿宋简体" w:cs="方正仿宋简体" w:hint="eastAsia"/>
          <w:b/>
          <w:bCs/>
          <w:color w:val="auto"/>
          <w:kern w:val="0"/>
          <w:sz w:val="32"/>
          <w:szCs w:val="32"/>
          <w:lang w:eastAsia="zh-CN"/>
        </w:rPr>
        <w:t>三是</w:t>
      </w:r>
      <w:r>
        <w:rPr>
          <w:rFonts w:ascii="方正仿宋简体" w:eastAsia="方正仿宋简体" w:cs="方正仿宋简体" w:hint="eastAsia"/>
          <w:color w:val="auto"/>
          <w:kern w:val="0"/>
          <w:sz w:val="32"/>
          <w:szCs w:val="32"/>
        </w:rPr>
        <w:t>基层公共卫生力量薄弱。由于农村卫生技术人员缺乏，相当一部分公卫人员都是兼职，特别是多数村卫生室公卫工作只有一个人，集预防、医疗等多项职能于一身，面对公共卫生服务、突发公共卫生事件预防等方面的工作处置力量薄弱。</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sz w:val="32"/>
          <w:szCs w:val="32"/>
        </w:rPr>
        <w:t>下一步改进措施：</w:t>
      </w:r>
      <w:r>
        <w:rPr>
          <w:rFonts w:ascii="方正仿宋简体" w:eastAsia="方正仿宋简体" w:cs="方正仿宋简体" w:hint="eastAsia"/>
          <w:color w:val="auto"/>
          <w:kern w:val="0"/>
          <w:sz w:val="32"/>
          <w:szCs w:val="32"/>
        </w:rPr>
        <w:t>强化工作措施，加强培训。</w:t>
      </w:r>
      <w:r>
        <w:rPr>
          <w:rFonts w:ascii="方正仿宋简体" w:eastAsia="方正仿宋简体" w:cs="方正仿宋简体" w:hint="eastAsia"/>
          <w:b/>
          <w:bCs/>
          <w:color w:val="auto"/>
          <w:kern w:val="0"/>
          <w:sz w:val="32"/>
          <w:szCs w:val="32"/>
        </w:rPr>
        <w:t>一是</w:t>
      </w:r>
      <w:r>
        <w:rPr>
          <w:rFonts w:ascii="方正仿宋简体" w:eastAsia="方正仿宋简体" w:cs="方正仿宋简体" w:hint="eastAsia"/>
          <w:color w:val="auto"/>
          <w:kern w:val="0"/>
          <w:sz w:val="32"/>
          <w:szCs w:val="32"/>
        </w:rPr>
        <w:t>进一步加强管理，严格绩效考核办法和经费管理办法；</w:t>
      </w:r>
      <w:r>
        <w:rPr>
          <w:rFonts w:ascii="方正仿宋简体" w:eastAsia="方正仿宋简体" w:cs="方正仿宋简体" w:hint="eastAsia"/>
          <w:b/>
          <w:bCs/>
          <w:color w:val="auto"/>
          <w:kern w:val="0"/>
          <w:sz w:val="32"/>
          <w:szCs w:val="32"/>
        </w:rPr>
        <w:t>二是</w:t>
      </w:r>
      <w:r>
        <w:rPr>
          <w:rFonts w:ascii="方正仿宋简体" w:eastAsia="方正仿宋简体" w:cs="方正仿宋简体" w:hint="eastAsia"/>
          <w:color w:val="auto"/>
          <w:kern w:val="0"/>
          <w:sz w:val="32"/>
          <w:szCs w:val="32"/>
        </w:rPr>
        <w:t>及时充实单位管理人员，配置必要的设备和场所，建立可持续的良性内部分配机制，增强公共卫生人员工作积极性和责任心，使其全身心地投入到工作中；</w:t>
      </w:r>
      <w:r>
        <w:rPr>
          <w:rFonts w:ascii="方正仿宋简体" w:eastAsia="方正仿宋简体" w:cs="方正仿宋简体" w:hint="eastAsia"/>
          <w:b/>
          <w:bCs/>
          <w:color w:val="auto"/>
          <w:kern w:val="0"/>
          <w:sz w:val="32"/>
          <w:szCs w:val="32"/>
        </w:rPr>
        <w:t>三是</w:t>
      </w:r>
      <w:r>
        <w:rPr>
          <w:rFonts w:ascii="方正仿宋简体" w:eastAsia="方正仿宋简体" w:cs="方正仿宋简体" w:hint="eastAsia"/>
          <w:color w:val="auto"/>
          <w:kern w:val="0"/>
          <w:sz w:val="32"/>
          <w:szCs w:val="32"/>
        </w:rPr>
        <w:t>加大对重点人群的筛查力度，认真开展好健康管理服务，提高管理率；</w:t>
      </w:r>
      <w:r>
        <w:rPr>
          <w:rFonts w:ascii="方正仿宋简体" w:eastAsia="方正仿宋简体" w:cs="方正仿宋简体" w:hint="eastAsia"/>
          <w:b/>
          <w:bCs/>
          <w:color w:val="auto"/>
          <w:kern w:val="0"/>
          <w:sz w:val="32"/>
          <w:szCs w:val="32"/>
        </w:rPr>
        <w:t>四是</w:t>
      </w:r>
      <w:r>
        <w:rPr>
          <w:rFonts w:ascii="方正仿宋简体" w:eastAsia="方正仿宋简体" w:cs="方正仿宋简体" w:hint="eastAsia"/>
          <w:color w:val="auto"/>
          <w:kern w:val="0"/>
          <w:sz w:val="32"/>
          <w:szCs w:val="32"/>
        </w:rPr>
        <w:t>依据绩效考核办法，逗硬考核，扎实开展工作。</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（2）“基层医疗卫生机构实施基本药物制度”项目绩效目标完成情况综述。项目全年预算数</w:t>
      </w:r>
      <w:r>
        <w:rPr>
          <w:rFonts w:ascii="方正仿宋简体" w:eastAsia="方正仿宋简体" w:cs="方正仿宋简体" w:hint="eastAsia"/>
          <w:color w:val="auto"/>
          <w:sz w:val="32"/>
          <w:szCs w:val="32"/>
          <w:lang w:val="en-US" w:eastAsia="zh-CN"/>
        </w:rPr>
        <w:t>38.13</w:t>
      </w:r>
      <w:r>
        <w:rPr>
          <w:rFonts w:ascii="方正仿宋简体" w:eastAsia="方正仿宋简体" w:cs="方正仿宋简体" w:hint="eastAsia"/>
          <w:color w:val="auto"/>
          <w:sz w:val="32"/>
          <w:szCs w:val="32"/>
        </w:rPr>
        <w:t>万元，执行数为</w:t>
      </w:r>
      <w:r>
        <w:rPr>
          <w:rFonts w:ascii="方正仿宋简体" w:eastAsia="方正仿宋简体" w:cs="方正仿宋简体" w:hint="eastAsia"/>
          <w:color w:val="auto"/>
          <w:sz w:val="32"/>
          <w:szCs w:val="32"/>
          <w:lang w:val="en-US" w:eastAsia="zh-CN"/>
        </w:rPr>
        <w:t>34.05</w:t>
      </w:r>
      <w:r>
        <w:rPr>
          <w:rFonts w:ascii="方正仿宋简体" w:eastAsia="方正仿宋简体" w:cs="方正仿宋简体" w:hint="eastAsia"/>
          <w:color w:val="auto"/>
          <w:sz w:val="32"/>
          <w:szCs w:val="32"/>
        </w:rPr>
        <w:t>万元，完成预算的</w:t>
      </w:r>
      <w:r>
        <w:rPr>
          <w:rFonts w:ascii="方正仿宋简体" w:eastAsia="方正仿宋简体" w:cs="方正仿宋简体" w:hint="eastAsia"/>
          <w:color w:val="auto"/>
          <w:sz w:val="32"/>
          <w:szCs w:val="32"/>
          <w:lang w:val="en-US" w:eastAsia="zh-CN"/>
        </w:rPr>
        <w:t>89.3</w:t>
      </w:r>
      <w:r>
        <w:rPr>
          <w:rFonts w:ascii="方正仿宋简体" w:eastAsia="方正仿宋简体" w:cs="方正仿宋简体" w:hint="eastAsia"/>
          <w:color w:val="auto"/>
          <w:sz w:val="32"/>
          <w:szCs w:val="32"/>
        </w:rPr>
        <w:t>%。通过项目实施，基层医疗机构、村卫生室覆盖率、网采率、目录药品质量合格率均为100%，从根本上降低了患者的药品费用支出，群众满意度及建档立卡贫困户人口满意度均在95%以上。</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kern w:val="0"/>
          <w:sz w:val="32"/>
          <w:szCs w:val="32"/>
          <w:lang w:val="en-US" w:eastAsia="zh-CN"/>
        </w:rPr>
      </w:pPr>
      <w:r>
        <w:rPr>
          <w:rFonts w:ascii="方正仿宋简体" w:eastAsia="方正仿宋简体" w:cs="方正仿宋简体" w:hint="eastAsia"/>
          <w:color w:val="auto"/>
          <w:sz w:val="32"/>
          <w:szCs w:val="32"/>
        </w:rPr>
        <w:t>发现的主要问题：</w:t>
      </w:r>
      <w:r>
        <w:rPr>
          <w:rFonts w:ascii="方正仿宋简体" w:eastAsia="方正仿宋简体" w:cs="方正仿宋简体" w:hint="eastAsia"/>
          <w:color w:val="auto"/>
          <w:kern w:val="0"/>
          <w:sz w:val="32"/>
          <w:szCs w:val="32"/>
        </w:rPr>
        <w:t>中心医生的用药习惯与国家基本药物目录内部份药品不相适应</w:t>
      </w:r>
      <w:r>
        <w:rPr>
          <w:rFonts w:ascii="方正仿宋简体" w:eastAsia="方正仿宋简体" w:cs="方正仿宋简体" w:hint="eastAsia"/>
          <w:color w:val="auto"/>
          <w:kern w:val="0"/>
          <w:sz w:val="32"/>
          <w:szCs w:val="32"/>
          <w:lang w:eastAsia="zh-CN"/>
        </w:rPr>
        <w:t>。</w:t>
      </w:r>
    </w:p>
    <w:p>
      <w:pPr>
        <w:pageBreakBefore w:val="0"/>
        <w:widowControl w:val="0"/>
        <w:kinsoku/>
        <w:wordWrap/>
        <w:overflowPunct/>
        <w:topLinePunct w:val="0"/>
        <w:bidi w:val="0"/>
        <w:spacing w:line="576" w:lineRule="exact"/>
        <w:ind w:firstLineChars="200" w:firstLine="640"/>
        <w:rPr>
          <w:rStyle w:val="1Char"/>
          <w:rFonts w:ascii="方正仿宋简体" w:eastAsia="方正仿宋简体" w:cs="方正仿宋简体" w:hint="eastAsia"/>
          <w:b w:val="0"/>
          <w:bCs w:val="0"/>
          <w:color w:val="auto"/>
          <w:sz w:val="32"/>
          <w:szCs w:val="32"/>
        </w:rPr>
      </w:pPr>
      <w:r>
        <w:rPr>
          <w:rFonts w:ascii="方正仿宋简体" w:eastAsia="方正仿宋简体" w:cs="方正仿宋简体" w:hint="eastAsia"/>
          <w:color w:val="auto"/>
          <w:sz w:val="32"/>
          <w:szCs w:val="32"/>
        </w:rPr>
        <w:t>下一步改进措施：</w:t>
      </w:r>
      <w:r>
        <w:rPr>
          <w:rFonts w:ascii="方正仿宋简体" w:eastAsia="方正仿宋简体" w:cs="方正仿宋简体" w:hint="eastAsia"/>
          <w:color w:val="auto"/>
          <w:kern w:val="0"/>
          <w:sz w:val="32"/>
          <w:szCs w:val="32"/>
        </w:rPr>
        <w:t>加强医务工作人员的业务学习培训，改变用药习惯，适应国家基本药物目录；严格资金使用与管理，加大监管力度，杜绝经费的不合理使用和套取资金，充分发挥资金的使用效益。</w:t>
      </w:r>
    </w:p>
    <w:p>
      <w:pPr>
        <w:pageBreakBefore w:val="0"/>
        <w:widowControl w:val="0"/>
        <w:kinsoku/>
        <w:wordWrap/>
        <w:overflowPunct/>
        <w:topLinePunct w:val="0"/>
        <w:bidi w:val="0"/>
        <w:spacing w:line="576" w:lineRule="exact"/>
        <w:ind w:firstLineChars="200" w:firstLine="640"/>
        <w:rPr>
          <w:rFonts w:ascii="仿宋" w:eastAsia="仿宋" w:cs="仿宋" w:hint="eastAsia"/>
          <w:color w:val="auto"/>
          <w:sz w:val="32"/>
          <w:szCs w:val="32"/>
        </w:rPr>
      </w:pPr>
    </w:p>
    <w:p>
      <w:pPr>
        <w:pageBreakBefore w:val="0"/>
        <w:widowControl w:val="0"/>
        <w:kinsoku/>
        <w:wordWrap/>
        <w:overflowPunct/>
        <w:topLinePunct w:val="0"/>
        <w:bidi w:val="0"/>
        <w:spacing w:line="576" w:lineRule="exact"/>
        <w:ind w:firstLineChars="200" w:firstLine="720"/>
        <w:rPr>
          <w:rFonts w:ascii="宋体" w:cs="宋体" w:hint="eastAsia"/>
          <w:b/>
          <w:bCs/>
          <w:color w:val="auto"/>
          <w:kern w:val="0"/>
          <w:sz w:val="36"/>
          <w:szCs w:val="36"/>
        </w:rPr>
      </w:pPr>
    </w:p>
    <w:p>
      <w:pPr>
        <w:pageBreakBefore w:val="0"/>
        <w:widowControl w:val="0"/>
        <w:kinsoku/>
        <w:wordWrap/>
        <w:overflowPunct/>
        <w:topLinePunct w:val="0"/>
        <w:bidi w:val="0"/>
        <w:spacing w:line="576" w:lineRule="exact"/>
        <w:ind w:firstLineChars="200" w:firstLine="720"/>
        <w:rPr>
          <w:rFonts w:ascii="宋体" w:cs="宋体" w:hint="eastAsia"/>
          <w:b/>
          <w:bCs/>
          <w:color w:val="auto"/>
          <w:kern w:val="0"/>
          <w:sz w:val="36"/>
          <w:szCs w:val="36"/>
        </w:rPr>
      </w:pPr>
    </w:p>
    <w:p>
      <w:pPr>
        <w:pageBreakBefore w:val="0"/>
        <w:widowControl w:val="0"/>
        <w:kinsoku/>
        <w:wordWrap/>
        <w:overflowPunct/>
        <w:topLinePunct w:val="0"/>
        <w:bidi w:val="0"/>
        <w:spacing w:line="576" w:lineRule="exact"/>
        <w:ind w:firstLineChars="200" w:firstLine="720"/>
        <w:rPr>
          <w:rFonts w:ascii="宋体" w:cs="宋体" w:hint="eastAsia"/>
          <w:b/>
          <w:bCs/>
          <w:color w:val="auto"/>
          <w:kern w:val="0"/>
          <w:sz w:val="36"/>
          <w:szCs w:val="36"/>
        </w:rPr>
      </w:pPr>
    </w:p>
    <w:p>
      <w:pPr>
        <w:pageBreakBefore w:val="0"/>
        <w:widowControl w:val="0"/>
        <w:kinsoku/>
        <w:wordWrap/>
        <w:overflowPunct/>
        <w:topLinePunct w:val="0"/>
        <w:bidi w:val="0"/>
        <w:spacing w:line="576" w:lineRule="exact"/>
        <w:ind w:firstLineChars="200" w:firstLine="720"/>
        <w:rPr>
          <w:rFonts w:ascii="宋体" w:cs="宋体" w:hint="eastAsia"/>
          <w:b/>
          <w:bCs/>
          <w:color w:val="auto"/>
          <w:kern w:val="0"/>
          <w:sz w:val="36"/>
          <w:szCs w:val="36"/>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Style w:val="16"/>
        <w:rPr>
          <w:rFonts w:ascii="仿宋" w:eastAsia="仿宋" w:cs="仿宋" w:hint="eastAsia"/>
          <w:color w:val="auto"/>
          <w:sz w:val="32"/>
          <w:szCs w:val="32"/>
        </w:rPr>
      </w:pPr>
    </w:p>
    <w:p>
      <w:pPr>
        <w:pageBreakBefore w:val="0"/>
        <w:widowControl w:val="0"/>
        <w:kinsoku/>
        <w:wordWrap/>
        <w:overflowPunct/>
        <w:topLinePunct w:val="0"/>
        <w:bidi w:val="0"/>
        <w:spacing w:line="576" w:lineRule="exact"/>
        <w:jc w:val="center"/>
        <w:rPr>
          <w:rFonts w:ascii="方正楷体简体" w:eastAsia="方正楷体简体" w:cs="方正楷体简体" w:hint="eastAsia"/>
          <w:b w:val="0"/>
          <w:bCs w:val="0"/>
          <w:color w:val="auto"/>
          <w:sz w:val="32"/>
          <w:szCs w:val="32"/>
        </w:rPr>
      </w:pPr>
      <w:r>
        <w:rPr>
          <w:rFonts w:ascii="方正小标宋简体" w:eastAsia="方正小标宋简体" w:cs="方正小标宋简体" w:hint="eastAsia"/>
          <w:b w:val="0"/>
          <w:bCs w:val="0"/>
          <w:color w:val="auto"/>
          <w:kern w:val="0"/>
          <w:sz w:val="44"/>
          <w:szCs w:val="44"/>
        </w:rPr>
        <w:t>项目绩效目标完成情况表</w:t>
      </w:r>
      <w:r>
        <w:rPr>
          <w:rFonts w:ascii="方正小标宋简体" w:eastAsia="方正小标宋简体" w:cs="方正小标宋简体" w:hint="eastAsia"/>
          <w:b w:val="0"/>
          <w:bCs w:val="0"/>
          <w:color w:val="auto"/>
          <w:kern w:val="0"/>
          <w:sz w:val="44"/>
          <w:szCs w:val="44"/>
          <w:lang w:val="en-US" w:eastAsia="zh-CN"/>
        </w:rPr>
        <w:t>1</w:t>
      </w:r>
      <w:r>
        <w:rPr>
          <w:rFonts w:ascii="方正小标宋简体" w:eastAsia="方正小标宋简体" w:cs="方正小标宋简体" w:hint="eastAsia"/>
          <w:b w:val="0"/>
          <w:bCs w:val="0"/>
          <w:color w:val="auto"/>
          <w:kern w:val="0"/>
          <w:sz w:val="44"/>
          <w:szCs w:val="44"/>
        </w:rPr>
        <w:br/>
      </w:r>
      <w:r>
        <w:rPr>
          <w:rFonts w:ascii="方正楷体简体" w:eastAsia="方正楷体简体" w:cs="方正楷体简体" w:hint="eastAsia"/>
          <w:b w:val="0"/>
          <w:bCs w:val="0"/>
          <w:color w:val="auto"/>
          <w:kern w:val="0"/>
          <w:sz w:val="32"/>
          <w:szCs w:val="32"/>
          <w:lang w:eastAsia="zh-CN"/>
        </w:rPr>
        <w:t>（</w:t>
      </w:r>
      <w:r>
        <w:rPr>
          <w:rFonts w:ascii="方正楷体简体" w:eastAsia="方正楷体简体" w:cs="方正楷体简体" w:hint="eastAsia"/>
          <w:b w:val="0"/>
          <w:bCs w:val="0"/>
          <w:color w:val="auto"/>
          <w:kern w:val="0"/>
          <w:sz w:val="32"/>
          <w:szCs w:val="32"/>
        </w:rPr>
        <w:t>20</w:t>
      </w:r>
      <w:r>
        <w:rPr>
          <w:rFonts w:ascii="方正楷体简体" w:eastAsia="方正楷体简体" w:cs="方正楷体简体" w:hint="eastAsia"/>
          <w:b w:val="0"/>
          <w:bCs w:val="0"/>
          <w:color w:val="auto"/>
          <w:kern w:val="0"/>
          <w:sz w:val="32"/>
          <w:szCs w:val="32"/>
          <w:lang w:val="en-US" w:eastAsia="zh-CN"/>
        </w:rPr>
        <w:t>20</w:t>
      </w:r>
      <w:r>
        <w:rPr>
          <w:rFonts w:ascii="方正楷体简体" w:eastAsia="方正楷体简体" w:cs="方正楷体简体" w:hint="eastAsia"/>
          <w:b w:val="0"/>
          <w:bCs w:val="0"/>
          <w:color w:val="auto"/>
          <w:kern w:val="0"/>
          <w:sz w:val="32"/>
          <w:szCs w:val="32"/>
        </w:rPr>
        <w:t>年度</w:t>
      </w:r>
      <w:r>
        <w:rPr>
          <w:rFonts w:ascii="方正楷体简体" w:eastAsia="方正楷体简体" w:cs="方正楷体简体" w:hint="eastAsia"/>
          <w:b w:val="0"/>
          <w:bCs w:val="0"/>
          <w:color w:val="auto"/>
          <w:kern w:val="0"/>
          <w:sz w:val="32"/>
          <w:szCs w:val="32"/>
          <w:lang w:eastAsia="zh-CN"/>
        </w:rPr>
        <w:t>）</w:t>
      </w:r>
    </w:p>
    <w:tbl>
      <w:tblPr>
        <w:tblpPr w:leftFromText="180" w:rightFromText="180" w:vertAnchor="text" w:horzAnchor="page" w:tblpX="1237" w:tblpY="312"/>
        <w:tblOverlap w:val="never"/>
        <w:tblW w:w="950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44"/>
        <w:gridCol w:w="1303"/>
        <w:gridCol w:w="1185"/>
        <w:gridCol w:w="1831"/>
        <w:gridCol w:w="2130"/>
        <w:gridCol w:w="2609"/>
      </w:tblGrid>
      <w:tr>
        <w:trPr>
          <w:trHeight w:val="684"/>
        </w:trPr>
        <w:tc>
          <w:tcPr>
            <w:tcW w:w="293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项目名称</w:t>
            </w:r>
          </w:p>
        </w:tc>
        <w:tc>
          <w:tcPr>
            <w:tcW w:w="65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 xml:space="preserve">基本公共卫生服务 </w:t>
            </w:r>
          </w:p>
        </w:tc>
      </w:tr>
      <w:tr>
        <w:trPr>
          <w:trHeight w:val="733"/>
        </w:trPr>
        <w:tc>
          <w:tcPr>
            <w:tcW w:w="293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预算单位</w:t>
            </w:r>
          </w:p>
        </w:tc>
        <w:tc>
          <w:tcPr>
            <w:tcW w:w="657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广元市利州区</w:t>
            </w:r>
            <w:r>
              <w:rPr>
                <w:rFonts w:ascii="宋体" w:eastAsia="宋体" w:cs="宋体" w:hint="eastAsia"/>
                <w:color w:val="auto"/>
                <w:sz w:val="21"/>
                <w:szCs w:val="21"/>
                <w:lang w:eastAsia="zh-CN"/>
              </w:rPr>
              <w:t>杨家岩</w:t>
            </w:r>
            <w:r>
              <w:rPr>
                <w:rFonts w:ascii="宋体" w:eastAsia="宋体" w:cs="宋体" w:hint="eastAsia"/>
                <w:color w:val="auto"/>
                <w:sz w:val="21"/>
                <w:szCs w:val="21"/>
              </w:rPr>
              <w:t>社区卫生服务中心</w:t>
            </w:r>
          </w:p>
        </w:tc>
      </w:tr>
      <w:tr>
        <w:trPr>
          <w:trHeight w:val="775"/>
        </w:trPr>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预算执行情况(万元)</w:t>
            </w:r>
          </w:p>
        </w:tc>
        <w:tc>
          <w:tcPr>
            <w:tcW w:w="2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预算数:</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100" w:firstLine="210"/>
              <w:jc w:val="center"/>
              <w:textAlignment w:val="center"/>
              <w:rPr>
                <w:rFonts w:ascii="宋体" w:eastAsia="宋体" w:cs="宋体" w:hint="eastAsia"/>
                <w:color w:val="auto"/>
                <w:sz w:val="21"/>
                <w:szCs w:val="21"/>
              </w:rPr>
            </w:pPr>
            <w:r>
              <w:rPr>
                <w:rFonts w:ascii="宋体" w:eastAsia="宋体" w:cs="宋体" w:hint="eastAsia"/>
                <w:color w:val="auto"/>
                <w:sz w:val="21"/>
                <w:szCs w:val="21"/>
                <w:lang w:val="en-US" w:eastAsia="zh-CN"/>
              </w:rPr>
              <w:t>101.19</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执行数:</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lang w:val="en-US" w:eastAsia="zh-CN"/>
              </w:rPr>
              <w:t>101.19</w:t>
            </w:r>
          </w:p>
        </w:tc>
      </w:tr>
      <w:tr>
        <w:trPr>
          <w:trHeight w:val="862"/>
        </w:trPr>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tc>
        <w:tc>
          <w:tcPr>
            <w:tcW w:w="2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100" w:firstLine="21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其中-财政拨款:</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100" w:firstLine="210"/>
              <w:jc w:val="center"/>
              <w:textAlignment w:val="center"/>
              <w:rPr>
                <w:rFonts w:ascii="宋体" w:eastAsia="宋体" w:cs="宋体" w:hint="eastAsia"/>
                <w:color w:val="auto"/>
                <w:sz w:val="21"/>
                <w:szCs w:val="21"/>
              </w:rPr>
            </w:pPr>
            <w:r>
              <w:rPr>
                <w:rFonts w:ascii="宋体" w:eastAsia="宋体" w:cs="宋体" w:hint="eastAsia"/>
                <w:color w:val="auto"/>
                <w:sz w:val="21"/>
                <w:szCs w:val="21"/>
                <w:lang w:val="en-US" w:eastAsia="zh-CN"/>
              </w:rPr>
              <w:t>101.19</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100" w:firstLine="21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其中-财政拨款:</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lang w:val="en-US" w:eastAsia="zh-CN"/>
              </w:rPr>
            </w:pPr>
            <w:r>
              <w:rPr>
                <w:rFonts w:ascii="宋体" w:eastAsia="宋体" w:cs="宋体" w:hint="eastAsia"/>
                <w:color w:val="auto"/>
                <w:sz w:val="21"/>
                <w:szCs w:val="21"/>
                <w:lang w:val="en-US" w:eastAsia="zh-CN"/>
              </w:rPr>
              <w:t>101.19</w:t>
            </w:r>
          </w:p>
        </w:tc>
      </w:tr>
      <w:tr>
        <w:trPr>
          <w:trHeight w:val="614"/>
        </w:trPr>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tc>
        <w:tc>
          <w:tcPr>
            <w:tcW w:w="24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其它资金:</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0</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其它资金:</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rPr>
                <w:rFonts w:ascii="宋体" w:eastAsia="宋体" w:cs="宋体" w:hint="eastAsia"/>
                <w:color w:val="auto"/>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rPr>
                <w:rFonts w:ascii="宋体" w:eastAsia="宋体" w:cs="宋体" w:hint="eastAsia"/>
                <w:color w:val="auto"/>
                <w:sz w:val="21"/>
                <w:szCs w:val="21"/>
                <w:lang w:val="en-US" w:eastAsia="zh-CN"/>
              </w:rPr>
            </w:pPr>
            <w:r>
              <w:rPr>
                <w:rFonts w:ascii="宋体" w:eastAsia="宋体" w:cs="宋体" w:hint="eastAsia"/>
                <w:color w:val="auto"/>
                <w:sz w:val="21"/>
                <w:szCs w:val="21"/>
                <w:lang w:val="en-US" w:eastAsia="zh-CN"/>
              </w:rPr>
              <w:t>0</w:t>
            </w:r>
          </w:p>
        </w:tc>
      </w:tr>
      <w:tr>
        <w:trPr>
          <w:trHeight w:val="276"/>
        </w:trPr>
        <w:tc>
          <w:tcPr>
            <w:tcW w:w="44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年度目标完成情况</w:t>
            </w:r>
          </w:p>
        </w:tc>
        <w:tc>
          <w:tcPr>
            <w:tcW w:w="43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预期目标</w:t>
            </w:r>
          </w:p>
        </w:tc>
        <w:tc>
          <w:tcPr>
            <w:tcW w:w="47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实际完成目标</w:t>
            </w:r>
          </w:p>
        </w:tc>
      </w:tr>
      <w:tr>
        <w:trPr>
          <w:trHeight w:val="1159"/>
        </w:trPr>
        <w:tc>
          <w:tcPr>
            <w:tcW w:w="44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tc>
        <w:tc>
          <w:tcPr>
            <w:tcW w:w="431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sz w:val="21"/>
                <w:szCs w:val="21"/>
              </w:rPr>
              <w:t>提高基本公共卫生服务项目均等化水平，规范公共卫生服务行为，推进基本公共卫生服务项目开展，加强孕产妇健康管理和儿童健康管理，把孕产妇和婴儿死亡率控制在指标范围内，全面完成20</w:t>
            </w:r>
            <w:r>
              <w:rPr>
                <w:rFonts w:ascii="宋体" w:eastAsia="宋体" w:cs="宋体" w:hint="eastAsia"/>
                <w:color w:val="auto"/>
                <w:sz w:val="21"/>
                <w:szCs w:val="21"/>
                <w:lang w:val="en-US" w:eastAsia="zh-CN"/>
              </w:rPr>
              <w:t>20</w:t>
            </w:r>
            <w:r>
              <w:rPr>
                <w:rFonts w:ascii="宋体" w:eastAsia="宋体" w:cs="宋体" w:hint="eastAsia"/>
                <w:color w:val="auto"/>
                <w:sz w:val="21"/>
                <w:szCs w:val="21"/>
              </w:rPr>
              <w:t>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c>
          <w:tcPr>
            <w:tcW w:w="473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sz w:val="21"/>
                <w:szCs w:val="21"/>
              </w:rPr>
              <w:t>提高基本公共卫生服务项目均等化水平，规范公共卫生服务行为，推进基本公共卫生服务项目开展，加强孕产妇健康管理和儿童健康管理，把孕产妇和婴儿死亡率控制在指标范围内，全面完成20</w:t>
            </w:r>
            <w:r>
              <w:rPr>
                <w:rFonts w:ascii="宋体" w:eastAsia="宋体" w:cs="宋体" w:hint="eastAsia"/>
                <w:color w:val="auto"/>
                <w:sz w:val="21"/>
                <w:szCs w:val="21"/>
                <w:lang w:val="en-US" w:eastAsia="zh-CN"/>
              </w:rPr>
              <w:t>20</w:t>
            </w:r>
            <w:r>
              <w:rPr>
                <w:rFonts w:ascii="宋体" w:eastAsia="宋体" w:cs="宋体" w:hint="eastAsia"/>
                <w:color w:val="auto"/>
                <w:sz w:val="21"/>
                <w:szCs w:val="21"/>
              </w:rPr>
              <w:t>年度家庭医生签约服务、城乡居民健康档案、0-6岁儿童健康管理、孕产妇健康管理、免费婚前医学检查、新生儿遗传代谢性疾病筛查、新生儿听力筛查、免疫规划、65岁及以上老年人健康管理、健康教育、原发性高血压患者健康管理、2型糖尿病患者健康管理、严重精神障碍患者管理、传染病和突发公共卫生事件报告处理、结核病防治、卫生监督协管、中医药健康管理服务各项任务目标。</w:t>
            </w:r>
          </w:p>
        </w:tc>
      </w:tr>
      <w:tr>
        <w:trPr>
          <w:trHeight w:val="879"/>
        </w:trPr>
        <w:tc>
          <w:tcPr>
            <w:tcW w:w="444" w:type="dxa"/>
            <w:vMerge w:val="restart"/>
            <w:tcBorders>
              <w:top w:val="single" w:sz="4" w:space="0" w:color="000000"/>
              <w:left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sz w:val="21"/>
                <w:szCs w:val="21"/>
              </w:rPr>
              <w:t>绩效指标完成情况</w:t>
            </w: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lang w:eastAsia="zh-CN"/>
              </w:rPr>
            </w:pPr>
            <w:r>
              <w:rPr>
                <w:rFonts w:ascii="宋体" w:eastAsia="宋体" w:cs="宋体" w:hint="eastAsia"/>
                <w:color w:val="auto"/>
                <w:kern w:val="0"/>
                <w:sz w:val="21"/>
                <w:szCs w:val="21"/>
              </w:rPr>
              <w:t>一</w:t>
            </w:r>
            <w:r>
              <w:rPr>
                <w:rFonts w:ascii="宋体" w:eastAsia="宋体" w:cs="宋体" w:hint="eastAsia"/>
                <w:color w:val="auto"/>
                <w:kern w:val="0"/>
                <w:sz w:val="21"/>
                <w:szCs w:val="21"/>
                <w:lang w:eastAsia="zh-CN"/>
              </w:rPr>
              <w:t>级</w:t>
            </w:r>
            <w:r>
              <w:rPr>
                <w:rFonts w:ascii="宋体" w:eastAsia="宋体" w:cs="宋体" w:hint="eastAsia"/>
                <w:color w:val="auto"/>
                <w:kern w:val="0"/>
                <w:sz w:val="21"/>
                <w:szCs w:val="21"/>
              </w:rPr>
              <w:t>指</w:t>
            </w:r>
            <w:r>
              <w:rPr>
                <w:rFonts w:ascii="宋体" w:eastAsia="宋体" w:cs="宋体" w:hint="eastAsia"/>
                <w:color w:val="auto"/>
                <w:kern w:val="0"/>
                <w:sz w:val="21"/>
                <w:szCs w:val="21"/>
                <w:lang w:eastAsia="zh-CN"/>
              </w:rPr>
              <w:t>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lang w:val="en-US" w:eastAsia="zh-CN"/>
              </w:rPr>
            </w:pPr>
            <w:r>
              <w:rPr>
                <w:rFonts w:ascii="宋体" w:eastAsia="宋体" w:cs="宋体" w:hint="eastAsia"/>
                <w:color w:val="auto"/>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二级指标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三级指标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kern w:val="0"/>
                <w:sz w:val="21"/>
                <w:szCs w:val="21"/>
              </w:rPr>
              <w:t>预期指标值(包含数字及文字描述)</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kern w:val="0"/>
                <w:sz w:val="21"/>
                <w:szCs w:val="21"/>
              </w:rPr>
              <w:t>实际完成指标值(包含数字及文字描述)</w:t>
            </w:r>
          </w:p>
        </w:tc>
      </w:tr>
      <w:tr>
        <w:trPr>
          <w:trHeight w:val="895"/>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kern w:val="0"/>
                <w:sz w:val="21"/>
                <w:szCs w:val="21"/>
                <w:lang w:eastAsia="zh-CN"/>
              </w:rPr>
            </w:pP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lang w:eastAsia="zh-CN"/>
              </w:rPr>
            </w:pPr>
            <w:r>
              <w:rPr>
                <w:rFonts w:ascii="宋体" w:eastAsia="宋体" w:cs="宋体" w:hint="eastAsia"/>
                <w:color w:val="auto"/>
                <w:kern w:val="0"/>
                <w:sz w:val="21"/>
                <w:szCs w:val="21"/>
                <w:lang w:eastAsia="zh-CN"/>
              </w:rPr>
              <w:t>国家免疫疫苗报告接种率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≥99%</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≥99%</w:t>
            </w:r>
          </w:p>
        </w:tc>
      </w:tr>
      <w:tr>
        <w:trPr>
          <w:trHeight w:val="853"/>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kern w:val="0"/>
                <w:sz w:val="21"/>
                <w:szCs w:val="21"/>
              </w:rPr>
              <w:t>老年人健康管理率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≥70%</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sz w:val="21"/>
                <w:szCs w:val="21"/>
              </w:rPr>
            </w:pPr>
            <w:r>
              <w:rPr>
                <w:rFonts w:ascii="宋体" w:eastAsia="宋体" w:cs="宋体" w:hint="eastAsia"/>
                <w:color w:val="auto"/>
                <w:sz w:val="21"/>
                <w:szCs w:val="21"/>
              </w:rPr>
              <w:t>≥</w:t>
            </w:r>
            <w:r>
              <w:rPr>
                <w:rFonts w:ascii="宋体" w:eastAsia="宋体" w:cs="宋体" w:hint="eastAsia"/>
                <w:color w:val="auto"/>
                <w:sz w:val="21"/>
                <w:szCs w:val="21"/>
                <w:lang w:val="en-US" w:eastAsia="zh-CN"/>
              </w:rPr>
              <w:t>70</w:t>
            </w:r>
            <w:r>
              <w:rPr>
                <w:rFonts w:ascii="宋体" w:eastAsia="宋体" w:cs="宋体" w:hint="eastAsia"/>
                <w:color w:val="auto"/>
                <w:sz w:val="21"/>
                <w:szCs w:val="21"/>
              </w:rPr>
              <w:t>%</w:t>
            </w:r>
          </w:p>
        </w:tc>
      </w:tr>
      <w:tr>
        <w:trPr>
          <w:trHeight w:val="808"/>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kern w:val="0"/>
                <w:sz w:val="21"/>
                <w:szCs w:val="21"/>
              </w:rPr>
            </w:pPr>
          </w:p>
          <w:p>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ascii="宋体" w:eastAsia="宋体" w:cs="宋体" w:hint="eastAsia"/>
                <w:color w:val="auto"/>
                <w:sz w:val="21"/>
                <w:szCs w:val="21"/>
              </w:rPr>
            </w:pPr>
            <w:r>
              <w:rPr>
                <w:rFonts w:ascii="宋体" w:eastAsia="宋体" w:cs="宋体" w:hint="eastAsia"/>
                <w:color w:val="auto"/>
                <w:kern w:val="0"/>
                <w:sz w:val="21"/>
                <w:szCs w:val="21"/>
              </w:rPr>
              <w:t>高血压患者健康</w:t>
            </w:r>
            <w:r>
              <w:rPr>
                <w:rFonts w:ascii="宋体" w:eastAsia="宋体" w:cs="宋体" w:hint="eastAsia"/>
                <w:color w:val="auto"/>
                <w:kern w:val="0"/>
                <w:sz w:val="21"/>
                <w:szCs w:val="21"/>
                <w:lang w:eastAsia="zh-CN"/>
              </w:rPr>
              <w:t>规范</w:t>
            </w:r>
            <w:r>
              <w:rPr>
                <w:rFonts w:ascii="宋体" w:eastAsia="宋体" w:cs="宋体" w:hint="eastAsia"/>
                <w:color w:val="auto"/>
                <w:kern w:val="0"/>
                <w:sz w:val="21"/>
                <w:szCs w:val="21"/>
              </w:rPr>
              <w:t>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≥70%</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center"/>
              <w:textAlignment w:val="center"/>
              <w:rPr>
                <w:rFonts w:ascii="宋体" w:eastAsia="宋体" w:cs="宋体" w:hint="eastAsia"/>
                <w:color w:val="auto"/>
                <w:sz w:val="21"/>
                <w:szCs w:val="21"/>
              </w:rPr>
            </w:pPr>
            <w:r>
              <w:rPr>
                <w:rFonts w:ascii="宋体" w:eastAsia="宋体" w:cs="宋体" w:hint="eastAsia"/>
                <w:color w:val="auto"/>
                <w:sz w:val="21"/>
                <w:szCs w:val="21"/>
              </w:rPr>
              <w:t>≥</w:t>
            </w:r>
            <w:r>
              <w:rPr>
                <w:rFonts w:ascii="宋体" w:eastAsia="宋体" w:cs="宋体" w:hint="eastAsia"/>
                <w:color w:val="auto"/>
                <w:sz w:val="21"/>
                <w:szCs w:val="21"/>
                <w:lang w:val="en-US" w:eastAsia="zh-CN"/>
              </w:rPr>
              <w:t>94</w:t>
            </w:r>
            <w:r>
              <w:rPr>
                <w:rFonts w:ascii="宋体" w:eastAsia="宋体" w:cs="宋体" w:hint="eastAsia"/>
                <w:color w:val="auto"/>
                <w:sz w:val="21"/>
                <w:szCs w:val="21"/>
              </w:rPr>
              <w:t>%</w:t>
            </w:r>
          </w:p>
        </w:tc>
      </w:tr>
      <w:tr>
        <w:trPr>
          <w:trHeight w:val="934"/>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糖尿病患者健康</w:t>
            </w:r>
            <w:r>
              <w:rPr>
                <w:rFonts w:ascii="宋体" w:eastAsia="宋体" w:cs="宋体" w:hint="eastAsia"/>
                <w:color w:val="auto"/>
                <w:kern w:val="0"/>
                <w:sz w:val="21"/>
                <w:szCs w:val="21"/>
                <w:lang w:eastAsia="zh-CN"/>
              </w:rPr>
              <w:t>规范</w:t>
            </w:r>
            <w:r>
              <w:rPr>
                <w:rFonts w:ascii="宋体" w:eastAsia="宋体" w:cs="宋体" w:hint="eastAsia"/>
                <w:color w:val="auto"/>
                <w:kern w:val="0"/>
                <w:sz w:val="21"/>
                <w:szCs w:val="21"/>
              </w:rPr>
              <w:t>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sz w:val="21"/>
                <w:szCs w:val="21"/>
              </w:rPr>
              <w:t>≥60%</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sz w:val="21"/>
                <w:szCs w:val="21"/>
              </w:rPr>
              <w:t>≥</w:t>
            </w:r>
            <w:r>
              <w:rPr>
                <w:rFonts w:ascii="宋体" w:eastAsia="宋体" w:cs="宋体" w:hint="eastAsia"/>
                <w:color w:val="auto"/>
                <w:sz w:val="21"/>
                <w:szCs w:val="21"/>
                <w:lang w:val="en-US" w:eastAsia="zh-CN"/>
              </w:rPr>
              <w:t>94</w:t>
            </w:r>
            <w:r>
              <w:rPr>
                <w:rFonts w:ascii="宋体" w:eastAsia="宋体" w:cs="宋体" w:hint="eastAsia"/>
                <w:color w:val="auto"/>
                <w:sz w:val="21"/>
                <w:szCs w:val="21"/>
              </w:rPr>
              <w:t>%</w:t>
            </w:r>
          </w:p>
        </w:tc>
      </w:tr>
      <w:tr>
        <w:trPr>
          <w:trHeight w:val="938"/>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严重精神障碍患者管理率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r>
      <w:tr>
        <w:trPr>
          <w:trHeight w:val="955"/>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传染病</w:t>
            </w:r>
            <w:r>
              <w:rPr>
                <w:rFonts w:ascii="宋体" w:eastAsia="宋体" w:cs="宋体" w:hint="eastAsia"/>
                <w:color w:val="auto"/>
                <w:kern w:val="0"/>
                <w:sz w:val="21"/>
                <w:szCs w:val="21"/>
                <w:lang w:eastAsia="zh-CN"/>
              </w:rPr>
              <w:t>报告率和网络直报覆盖率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sz w:val="21"/>
                <w:szCs w:val="21"/>
              </w:rPr>
              <w:t>100%</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sz w:val="21"/>
                <w:szCs w:val="21"/>
              </w:rPr>
              <w:t>100%</w:t>
            </w:r>
          </w:p>
        </w:tc>
      </w:tr>
      <w:tr>
        <w:trPr>
          <w:trHeight w:val="1123"/>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效益指标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结核病患者健康管理率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w:t>
            </w:r>
            <w:r>
              <w:rPr>
                <w:rFonts w:ascii="宋体" w:eastAsia="宋体" w:cs="宋体" w:hint="eastAsia"/>
                <w:color w:val="auto"/>
                <w:kern w:val="0"/>
                <w:sz w:val="21"/>
                <w:szCs w:val="21"/>
                <w:lang w:val="en-US" w:eastAsia="zh-CN"/>
              </w:rPr>
              <w:t>0</w:t>
            </w:r>
            <w:r>
              <w:rPr>
                <w:rFonts w:ascii="宋体" w:eastAsia="宋体" w:cs="宋体" w:hint="eastAsia"/>
                <w:color w:val="auto"/>
                <w:kern w:val="0"/>
                <w:sz w:val="21"/>
                <w:szCs w:val="21"/>
              </w:rPr>
              <w:t>%</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sz w:val="21"/>
                <w:szCs w:val="21"/>
              </w:rPr>
              <w:t>100%</w:t>
            </w:r>
          </w:p>
        </w:tc>
      </w:tr>
      <w:tr>
        <w:trPr>
          <w:trHeight w:val="1153"/>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效益指标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居民健康档案建档管理率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w:t>
            </w:r>
            <w:r>
              <w:rPr>
                <w:rFonts w:ascii="宋体" w:eastAsia="宋体" w:cs="宋体" w:hint="eastAsia"/>
                <w:color w:val="auto"/>
                <w:kern w:val="0"/>
                <w:sz w:val="21"/>
                <w:szCs w:val="21"/>
                <w:lang w:val="en-US" w:eastAsia="zh-CN"/>
              </w:rPr>
              <w:t>0</w:t>
            </w:r>
            <w:r>
              <w:rPr>
                <w:rFonts w:ascii="宋体" w:eastAsia="宋体" w:cs="宋体" w:hint="eastAsia"/>
                <w:color w:val="auto"/>
                <w:kern w:val="0"/>
                <w:sz w:val="21"/>
                <w:szCs w:val="21"/>
              </w:rPr>
              <w:t>%</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w:t>
            </w:r>
            <w:r>
              <w:rPr>
                <w:rFonts w:ascii="宋体" w:eastAsia="宋体" w:cs="宋体" w:hint="eastAsia"/>
                <w:color w:val="auto"/>
                <w:kern w:val="0"/>
                <w:sz w:val="21"/>
                <w:szCs w:val="21"/>
                <w:lang w:val="en-US" w:eastAsia="zh-CN"/>
              </w:rPr>
              <w:t>8</w:t>
            </w:r>
            <w:r>
              <w:rPr>
                <w:rFonts w:ascii="宋体" w:eastAsia="宋体" w:cs="宋体" w:hint="eastAsia"/>
                <w:color w:val="auto"/>
                <w:kern w:val="0"/>
                <w:sz w:val="21"/>
                <w:szCs w:val="21"/>
              </w:rPr>
              <w:t>%</w:t>
            </w:r>
          </w:p>
        </w:tc>
      </w:tr>
      <w:tr>
        <w:trPr>
          <w:trHeight w:val="1038"/>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效益指标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lang w:eastAsia="zh-CN"/>
              </w:rPr>
              <w:t>新生儿访视率和</w:t>
            </w:r>
            <w:r>
              <w:rPr>
                <w:rFonts w:ascii="宋体" w:eastAsia="宋体" w:cs="宋体" w:hint="eastAsia"/>
                <w:color w:val="auto"/>
                <w:kern w:val="0"/>
                <w:sz w:val="21"/>
                <w:szCs w:val="21"/>
              </w:rPr>
              <w:t>儿童健康管理率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85</w:t>
            </w:r>
            <w:r>
              <w:rPr>
                <w:rFonts w:ascii="宋体" w:eastAsia="宋体" w:cs="宋体" w:hint="eastAsia"/>
                <w:color w:val="auto"/>
                <w:kern w:val="0"/>
                <w:sz w:val="21"/>
                <w:szCs w:val="21"/>
              </w:rPr>
              <w:t>%</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≥9</w:t>
            </w:r>
            <w:r>
              <w:rPr>
                <w:rFonts w:ascii="宋体" w:eastAsia="宋体" w:cs="宋体" w:hint="eastAsia"/>
                <w:color w:val="auto"/>
                <w:kern w:val="0"/>
                <w:sz w:val="21"/>
                <w:szCs w:val="21"/>
                <w:lang w:val="en-US" w:eastAsia="zh-CN"/>
              </w:rPr>
              <w:t>0</w:t>
            </w:r>
            <w:r>
              <w:rPr>
                <w:rFonts w:ascii="宋体" w:eastAsia="宋体" w:cs="宋体" w:hint="eastAsia"/>
                <w:color w:val="auto"/>
                <w:kern w:val="0"/>
                <w:sz w:val="21"/>
                <w:szCs w:val="21"/>
              </w:rPr>
              <w:t>%</w:t>
            </w:r>
          </w:p>
        </w:tc>
      </w:tr>
      <w:tr>
        <w:trPr>
          <w:trHeight w:val="1055"/>
        </w:trPr>
        <w:tc>
          <w:tcPr>
            <w:tcW w:w="444" w:type="dxa"/>
            <w:vMerge/>
            <w:tcBorders>
              <w:left w:val="single" w:sz="4" w:space="0" w:color="000000"/>
              <w:right w:val="single" w:sz="4" w:space="0" w:color="000000"/>
            </w:tcBorders>
            <w:tcMar>
              <w:top w:w="15" w:type="dxa"/>
              <w:left w:w="15" w:type="dxa"/>
              <w:right w:w="15" w:type="dxa"/>
            </w:tcMar>
          </w:tc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满意度指标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both"/>
              <w:rPr>
                <w:rFonts w:ascii="宋体" w:eastAsia="宋体" w:cs="宋体" w:hint="eastAsia"/>
                <w:color w:val="auto"/>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sz w:val="21"/>
                <w:szCs w:val="21"/>
                <w:lang w:eastAsia="zh-CN"/>
              </w:rPr>
            </w:pPr>
            <w:r>
              <w:rPr>
                <w:rFonts w:ascii="宋体" w:eastAsia="宋体" w:cs="宋体" w:hint="eastAsia"/>
                <w:color w:val="auto"/>
                <w:kern w:val="0"/>
                <w:sz w:val="21"/>
                <w:szCs w:val="21"/>
                <w:lang w:eastAsia="zh-CN"/>
              </w:rPr>
              <w:t>早孕建册和产后访视率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8</w:t>
            </w:r>
            <w:r>
              <w:rPr>
                <w:rFonts w:ascii="宋体" w:eastAsia="宋体" w:cs="宋体" w:hint="eastAsia"/>
                <w:color w:val="auto"/>
                <w:kern w:val="0"/>
                <w:sz w:val="21"/>
                <w:szCs w:val="21"/>
              </w:rPr>
              <w:t>5%</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90</w:t>
            </w:r>
            <w:r>
              <w:rPr>
                <w:rFonts w:ascii="宋体" w:eastAsia="宋体" w:cs="宋体" w:hint="eastAsia"/>
                <w:color w:val="auto"/>
                <w:kern w:val="0"/>
                <w:sz w:val="21"/>
                <w:szCs w:val="21"/>
              </w:rPr>
              <w:t>%</w:t>
            </w:r>
          </w:p>
        </w:tc>
      </w:tr>
      <w:tr>
        <w:trPr>
          <w:trHeight w:val="1378"/>
        </w:trPr>
        <w:tc>
          <w:tcPr>
            <w:tcW w:w="444" w:type="dxa"/>
            <w:tcBorders>
              <w:left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满意度指标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both"/>
              <w:rPr>
                <w:rFonts w:ascii="宋体" w:eastAsia="宋体" w:cs="宋体" w:hint="eastAsia"/>
                <w:color w:val="auto"/>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卫生监督协管</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lang w:eastAsia="zh-CN"/>
              </w:rPr>
            </w:pPr>
            <w:r>
              <w:rPr>
                <w:rFonts w:ascii="宋体" w:eastAsia="宋体" w:cs="宋体" w:hint="eastAsia"/>
                <w:color w:val="auto"/>
                <w:kern w:val="0"/>
                <w:sz w:val="21"/>
                <w:szCs w:val="21"/>
                <w:lang w:eastAsia="zh-CN"/>
              </w:rPr>
              <w:t>有专职卫生监督协管员，规范开展卫生监督协管工作</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lang w:eastAsia="zh-CN"/>
              </w:rPr>
              <w:t>有专职卫生监督协管员，规范开展卫生监督协管工作</w:t>
            </w:r>
          </w:p>
        </w:tc>
      </w:tr>
      <w:tr>
        <w:trPr>
          <w:trHeight w:val="1312"/>
        </w:trPr>
        <w:tc>
          <w:tcPr>
            <w:tcW w:w="444" w:type="dxa"/>
            <w:tcBorders>
              <w:left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满意度指标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rPr>
                <w:rFonts w:ascii="宋体" w:eastAsia="宋体" w:cs="宋体" w:hint="eastAsia"/>
                <w:color w:val="auto"/>
                <w:sz w:val="21"/>
                <w:szCs w:val="21"/>
              </w:rPr>
            </w:pPr>
          </w:p>
          <w:p>
            <w:pPr>
              <w:keepNext w:val="0"/>
              <w:keepLines w:val="0"/>
              <w:pageBreakBefore w:val="0"/>
              <w:widowControl/>
              <w:kinsoku/>
              <w:wordWrap/>
              <w:overflowPunct/>
              <w:topLinePunct w:val="0"/>
              <w:autoSpaceDE/>
              <w:autoSpaceDN/>
              <w:bidi w:val="0"/>
              <w:adjustRightInd/>
              <w:snapToGrid/>
              <w:spacing w:line="240" w:lineRule="atLeast"/>
              <w:jc w:val="both"/>
              <w:rPr>
                <w:rFonts w:ascii="宋体" w:eastAsia="宋体" w:cs="宋体" w:hint="eastAsia"/>
                <w:color w:val="auto"/>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中医药</w:t>
            </w:r>
            <w:r>
              <w:rPr>
                <w:rFonts w:ascii="宋体" w:eastAsia="宋体" w:cs="宋体" w:hint="eastAsia"/>
                <w:color w:val="auto"/>
                <w:kern w:val="0"/>
                <w:sz w:val="21"/>
                <w:szCs w:val="21"/>
                <w:lang w:eastAsia="zh-CN"/>
              </w:rPr>
              <w:t>健康管理覆盖率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7</w:t>
            </w:r>
            <w:r>
              <w:rPr>
                <w:rFonts w:ascii="宋体" w:eastAsia="宋体" w:cs="宋体" w:hint="eastAsia"/>
                <w:color w:val="auto"/>
                <w:kern w:val="0"/>
                <w:sz w:val="21"/>
                <w:szCs w:val="21"/>
              </w:rPr>
              <w:t>5%</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7</w:t>
            </w:r>
            <w:r>
              <w:rPr>
                <w:rFonts w:ascii="宋体" w:eastAsia="宋体" w:cs="宋体" w:hint="eastAsia"/>
                <w:color w:val="auto"/>
                <w:kern w:val="0"/>
                <w:sz w:val="21"/>
                <w:szCs w:val="21"/>
              </w:rPr>
              <w:t>5%</w:t>
            </w:r>
          </w:p>
        </w:tc>
      </w:tr>
      <w:tr>
        <w:trPr>
          <w:trHeight w:val="1145"/>
        </w:trPr>
        <w:tc>
          <w:tcPr>
            <w:tcW w:w="444" w:type="dxa"/>
            <w:tcBorders>
              <w:left w:val="single" w:sz="4" w:space="0" w:color="000000"/>
              <w:right w:val="single" w:sz="4" w:space="0" w:color="000000"/>
            </w:tcBorders>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center"/>
              <w:textAlignment w:val="center"/>
              <w:rPr>
                <w:rFonts w:ascii="宋体" w:eastAsia="宋体" w:cs="宋体" w:hint="eastAsia"/>
                <w:color w:val="auto"/>
                <w:sz w:val="21"/>
                <w:szCs w:val="21"/>
              </w:rPr>
            </w:pPr>
          </w:p>
        </w:tc>
        <w:tc>
          <w:tcPr>
            <w:tcW w:w="13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满意度指标</w:t>
            </w:r>
          </w:p>
        </w:tc>
        <w:tc>
          <w:tcPr>
            <w:tcW w:w="11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rPr>
                <w:rFonts w:ascii="宋体" w:eastAsia="宋体" w:cs="宋体" w:hint="eastAsia"/>
                <w:color w:val="auto"/>
                <w:sz w:val="21"/>
                <w:szCs w:val="21"/>
              </w:rPr>
            </w:pPr>
            <w:r>
              <w:rPr>
                <w:rFonts w:ascii="宋体" w:eastAsia="宋体" w:cs="宋体" w:hint="eastAsia"/>
                <w:color w:val="auto"/>
                <w:sz w:val="21"/>
                <w:szCs w:val="21"/>
              </w:rPr>
              <w:t>质量指标</w:t>
            </w:r>
          </w:p>
        </w:tc>
        <w:tc>
          <w:tcPr>
            <w:tcW w:w="1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both"/>
              <w:textAlignment w:val="center"/>
              <w:rPr>
                <w:rFonts w:ascii="宋体" w:eastAsia="宋体" w:cs="宋体" w:hint="eastAsia"/>
                <w:color w:val="auto"/>
                <w:kern w:val="0"/>
                <w:sz w:val="21"/>
                <w:szCs w:val="21"/>
                <w:lang w:eastAsia="zh-CN"/>
              </w:rPr>
            </w:pPr>
            <w:r>
              <w:rPr>
                <w:rFonts w:ascii="宋体" w:eastAsia="宋体" w:cs="宋体" w:hint="eastAsia"/>
                <w:color w:val="auto"/>
                <w:kern w:val="0"/>
                <w:sz w:val="21"/>
                <w:szCs w:val="21"/>
                <w:lang w:eastAsia="zh-CN"/>
              </w:rPr>
              <w:t>电子建档率</w:t>
            </w:r>
          </w:p>
        </w:tc>
        <w:tc>
          <w:tcPr>
            <w:tcW w:w="21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200" w:firstLine="420"/>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93</w:t>
            </w:r>
            <w:r>
              <w:rPr>
                <w:rFonts w:ascii="宋体" w:eastAsia="宋体" w:cs="宋体" w:hint="eastAsia"/>
                <w:color w:val="auto"/>
                <w:kern w:val="0"/>
                <w:sz w:val="21"/>
                <w:szCs w:val="21"/>
              </w:rPr>
              <w:t>%</w:t>
            </w:r>
          </w:p>
        </w:tc>
        <w:tc>
          <w:tcPr>
            <w:tcW w:w="26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tLeast"/>
              <w:ind w:firstLineChars="300" w:firstLine="630"/>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w:t>
            </w:r>
            <w:r>
              <w:rPr>
                <w:rFonts w:ascii="宋体" w:eastAsia="宋体" w:cs="宋体" w:hint="eastAsia"/>
                <w:color w:val="auto"/>
                <w:kern w:val="0"/>
                <w:sz w:val="21"/>
                <w:szCs w:val="21"/>
                <w:lang w:val="en-US" w:eastAsia="zh-CN"/>
              </w:rPr>
              <w:t>93</w:t>
            </w:r>
            <w:r>
              <w:rPr>
                <w:rFonts w:ascii="宋体" w:eastAsia="宋体" w:cs="宋体" w:hint="eastAsia"/>
                <w:color w:val="auto"/>
                <w:kern w:val="0"/>
                <w:sz w:val="21"/>
                <w:szCs w:val="21"/>
              </w:rPr>
              <w:t>%</w:t>
            </w:r>
          </w:p>
        </w:tc>
      </w:tr>
    </w:tbl>
    <w:tbl>
      <w:tblPr>
        <w:tblpPr w:leftFromText="180" w:rightFromText="180" w:vertAnchor="text" w:horzAnchor="page" w:tblpX="1372" w:tblpY="126"/>
        <w:tblOverlap w:val="never"/>
        <w:tblW w:w="915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53"/>
        <w:gridCol w:w="1085"/>
        <w:gridCol w:w="1630"/>
        <w:gridCol w:w="2013"/>
        <w:gridCol w:w="1977"/>
        <w:gridCol w:w="2100"/>
      </w:tblGrid>
      <w:tr>
        <w:trPr>
          <w:trHeight w:val="1034"/>
        </w:trPr>
        <w:tc>
          <w:tcPr>
            <w:tcW w:w="9158"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方正小标宋简体" w:eastAsia="方正小标宋简体" w:cs="方正小标宋简体" w:hint="eastAsia"/>
                <w:b w:val="0"/>
                <w:bCs w:val="0"/>
                <w:color w:val="auto"/>
                <w:kern w:val="0"/>
                <w:sz w:val="44"/>
                <w:szCs w:val="44"/>
                <w:lang w:val="en-US" w:eastAsia="zh-CN"/>
              </w:rPr>
            </w:pPr>
            <w:r>
              <w:rPr>
                <w:rFonts w:ascii="方正小标宋简体" w:eastAsia="方正小标宋简体" w:cs="方正小标宋简体" w:hint="eastAsia"/>
                <w:b w:val="0"/>
                <w:bCs w:val="0"/>
                <w:color w:val="auto"/>
                <w:kern w:val="0"/>
                <w:sz w:val="44"/>
                <w:szCs w:val="44"/>
              </w:rPr>
              <w:t>项目绩效目标完成情况表</w:t>
            </w:r>
            <w:r>
              <w:rPr>
                <w:rFonts w:ascii="方正小标宋简体" w:eastAsia="方正小标宋简体" w:cs="方正小标宋简体" w:hint="eastAsia"/>
                <w:b w:val="0"/>
                <w:bCs w:val="0"/>
                <w:color w:val="auto"/>
                <w:kern w:val="0"/>
                <w:sz w:val="44"/>
                <w:szCs w:val="44"/>
                <w:lang w:val="en-US" w:eastAsia="zh-CN"/>
              </w:rPr>
              <w:t>2</w:t>
            </w:r>
          </w:p>
          <w:p>
            <w:pPr>
              <w:pageBreakBefore w:val="0"/>
              <w:widowControl/>
              <w:kinsoku/>
              <w:wordWrap/>
              <w:overflowPunct/>
              <w:topLinePunct w:val="0"/>
              <w:bidi w:val="0"/>
              <w:spacing w:line="576" w:lineRule="exact"/>
              <w:ind w:firstLineChars="1100" w:firstLine="3520"/>
              <w:jc w:val="both"/>
              <w:textAlignment w:val="center"/>
              <w:rPr>
                <w:rFonts w:ascii="宋体" w:cs="宋体"/>
                <w:color w:val="auto"/>
                <w:sz w:val="36"/>
                <w:szCs w:val="36"/>
              </w:rPr>
            </w:pPr>
            <w:r>
              <w:rPr>
                <w:rFonts w:ascii="方正楷体简体" w:eastAsia="方正楷体简体" w:cs="方正楷体简体" w:hint="eastAsia"/>
                <w:b w:val="0"/>
                <w:bCs w:val="0"/>
                <w:color w:val="auto"/>
                <w:kern w:val="0"/>
                <w:sz w:val="32"/>
                <w:szCs w:val="32"/>
                <w:lang w:eastAsia="zh-CN"/>
              </w:rPr>
              <w:t>（20</w:t>
            </w:r>
            <w:r>
              <w:rPr>
                <w:rFonts w:ascii="方正楷体简体" w:eastAsia="方正楷体简体" w:cs="方正楷体简体" w:hint="eastAsia"/>
                <w:b w:val="0"/>
                <w:bCs w:val="0"/>
                <w:color w:val="auto"/>
                <w:kern w:val="0"/>
                <w:sz w:val="32"/>
                <w:szCs w:val="32"/>
                <w:lang w:val="en-US" w:eastAsia="zh-CN"/>
              </w:rPr>
              <w:t>20</w:t>
            </w:r>
            <w:r>
              <w:rPr>
                <w:rFonts w:ascii="方正楷体简体" w:eastAsia="方正楷体简体" w:cs="方正楷体简体" w:hint="eastAsia"/>
                <w:b w:val="0"/>
                <w:bCs w:val="0"/>
                <w:color w:val="auto"/>
                <w:kern w:val="0"/>
                <w:sz w:val="32"/>
                <w:szCs w:val="32"/>
                <w:lang w:eastAsia="zh-CN"/>
              </w:rPr>
              <w:t>年度）</w:t>
            </w:r>
          </w:p>
        </w:tc>
      </w:tr>
      <w:tr>
        <w:trPr>
          <w:trHeight w:val="531"/>
        </w:trPr>
        <w:tc>
          <w:tcPr>
            <w:tcW w:w="30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项目名称</w:t>
            </w:r>
          </w:p>
        </w:tc>
        <w:tc>
          <w:tcPr>
            <w:tcW w:w="609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lang w:eastAsia="zh-CN"/>
              </w:rPr>
            </w:pPr>
            <w:r>
              <w:rPr>
                <w:rFonts w:ascii="宋体" w:eastAsia="宋体" w:cs="宋体" w:hint="eastAsia"/>
                <w:color w:val="auto"/>
                <w:sz w:val="21"/>
                <w:szCs w:val="21"/>
              </w:rPr>
              <w:t>基层医疗卫生机构实施基本药物制度</w:t>
            </w:r>
          </w:p>
        </w:tc>
      </w:tr>
      <w:tr>
        <w:trPr>
          <w:trHeight w:val="465"/>
        </w:trPr>
        <w:tc>
          <w:tcPr>
            <w:tcW w:w="30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预算单位</w:t>
            </w:r>
          </w:p>
        </w:tc>
        <w:tc>
          <w:tcPr>
            <w:tcW w:w="609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广元市利州</w:t>
            </w:r>
            <w:r>
              <w:rPr>
                <w:rFonts w:ascii="宋体" w:eastAsia="宋体" w:cs="宋体" w:hint="eastAsia"/>
                <w:color w:val="auto"/>
                <w:sz w:val="21"/>
                <w:szCs w:val="21"/>
                <w:lang w:eastAsia="zh-CN"/>
              </w:rPr>
              <w:t>区杨家岩</w:t>
            </w:r>
            <w:r>
              <w:rPr>
                <w:rFonts w:ascii="宋体" w:eastAsia="宋体" w:cs="宋体" w:hint="eastAsia"/>
                <w:color w:val="auto"/>
                <w:sz w:val="21"/>
                <w:szCs w:val="21"/>
              </w:rPr>
              <w:t>社区卫生服务中心</w:t>
            </w:r>
          </w:p>
        </w:tc>
      </w:tr>
      <w:tr>
        <w:trPr>
          <w:trHeight w:val="602"/>
        </w:trPr>
        <w:tc>
          <w:tcPr>
            <w:tcW w:w="3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预算执行情况(万元)</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预算数:</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21"/>
                <w:szCs w:val="21"/>
                <w:lang w:val="en-US"/>
              </w:rPr>
            </w:pPr>
            <w:r>
              <w:rPr>
                <w:rFonts w:ascii="宋体" w:cs="宋体" w:hint="eastAsia"/>
                <w:color w:val="auto"/>
                <w:sz w:val="21"/>
                <w:szCs w:val="21"/>
                <w:lang w:val="en-US" w:eastAsia="zh-CN"/>
              </w:rPr>
              <w:t>38.13</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执行数:</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sz w:val="21"/>
                <w:szCs w:val="21"/>
                <w:lang w:val="en-US" w:eastAsia="zh-CN"/>
              </w:rPr>
              <w:t>34.05</w:t>
            </w:r>
          </w:p>
        </w:tc>
      </w:tr>
      <w:tr>
        <w:trPr>
          <w:trHeight w:val="620"/>
        </w:trPr>
        <w:tc>
          <w:tcPr>
            <w:tcW w:w="3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其中-财政拨款:</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color w:val="auto"/>
                <w:sz w:val="21"/>
                <w:szCs w:val="21"/>
                <w:lang w:val="en-US"/>
              </w:rPr>
            </w:pPr>
            <w:r>
              <w:rPr>
                <w:rFonts w:ascii="宋体" w:cs="宋体" w:hint="eastAsia"/>
                <w:color w:val="auto"/>
                <w:sz w:val="21"/>
                <w:szCs w:val="21"/>
                <w:lang w:val="en-US" w:eastAsia="zh-CN"/>
              </w:rPr>
              <w:t>38.13</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其中-财政拨款:</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lang w:val="en-US" w:eastAsia="zh-CN"/>
              </w:rPr>
            </w:pPr>
            <w:r>
              <w:rPr>
                <w:rFonts w:ascii="宋体" w:eastAsia="宋体" w:cs="宋体" w:hint="eastAsia"/>
                <w:color w:val="auto"/>
                <w:sz w:val="21"/>
                <w:szCs w:val="21"/>
                <w:lang w:val="en-US" w:eastAsia="zh-CN"/>
              </w:rPr>
              <w:t>34.05</w:t>
            </w:r>
          </w:p>
        </w:tc>
      </w:tr>
      <w:tr>
        <w:trPr>
          <w:trHeight w:val="411"/>
        </w:trPr>
        <w:tc>
          <w:tcPr>
            <w:tcW w:w="3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其它资金:</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sz w:val="21"/>
                <w:szCs w:val="21"/>
              </w:rPr>
              <w:t>0</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其它资金:</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firstLineChars="200" w:firstLine="420"/>
              <w:jc w:val="center"/>
              <w:rPr>
                <w:rFonts w:ascii="宋体" w:eastAsia="宋体" w:cs="宋体" w:hint="eastAsia"/>
                <w:color w:val="auto"/>
                <w:sz w:val="21"/>
                <w:szCs w:val="21"/>
                <w:lang w:val="en-US" w:eastAsia="zh-CN"/>
              </w:rPr>
            </w:pPr>
            <w:r>
              <w:rPr>
                <w:rFonts w:ascii="宋体" w:eastAsia="宋体" w:cs="宋体" w:hint="eastAsia"/>
                <w:color w:val="auto"/>
                <w:sz w:val="21"/>
                <w:szCs w:val="21"/>
                <w:lang w:val="en-US" w:eastAsia="zh-CN"/>
              </w:rPr>
              <w:t>0</w:t>
            </w:r>
          </w:p>
        </w:tc>
      </w:tr>
      <w:tr>
        <w:trPr>
          <w:trHeight w:val="481"/>
        </w:trPr>
        <w:tc>
          <w:tcPr>
            <w:tcW w:w="35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年度目标完成情况</w:t>
            </w:r>
          </w:p>
        </w:tc>
        <w:tc>
          <w:tcPr>
            <w:tcW w:w="47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预期目标</w:t>
            </w:r>
          </w:p>
        </w:tc>
        <w:tc>
          <w:tcPr>
            <w:tcW w:w="4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实际完成目标</w:t>
            </w:r>
          </w:p>
        </w:tc>
      </w:tr>
      <w:tr>
        <w:trPr>
          <w:trHeight w:val="1161"/>
        </w:trPr>
        <w:tc>
          <w:tcPr>
            <w:tcW w:w="35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2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firstLineChars="200" w:firstLine="420"/>
              <w:jc w:val="left"/>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基层医疗卫生机构实施国家基本药物制度；</w:t>
            </w:r>
          </w:p>
          <w:p>
            <w:pPr>
              <w:keepNext w:val="0"/>
              <w:keepLines w:val="0"/>
              <w:pageBreakBefore w:val="0"/>
              <w:widowControl/>
              <w:kinsoku/>
              <w:wordWrap/>
              <w:overflowPunct/>
              <w:topLinePunct w:val="0"/>
              <w:autoSpaceDE/>
              <w:autoSpaceDN/>
              <w:bidi w:val="0"/>
              <w:adjustRightInd/>
              <w:snapToGrid/>
              <w:spacing w:line="240" w:lineRule="exact"/>
              <w:ind w:left="0" w:firstLineChars="200" w:firstLine="420"/>
              <w:jc w:val="left"/>
              <w:textAlignment w:val="center"/>
              <w:rPr>
                <w:rFonts w:ascii="宋体" w:eastAsia="宋体" w:cs="宋体" w:hint="eastAsia"/>
                <w:color w:val="auto"/>
                <w:sz w:val="21"/>
                <w:szCs w:val="21"/>
                <w:lang w:eastAsia="zh-CN"/>
              </w:rPr>
            </w:pPr>
            <w:r>
              <w:rPr>
                <w:rFonts w:ascii="宋体" w:eastAsia="宋体" w:cs="宋体" w:hint="eastAsia"/>
                <w:color w:val="auto"/>
                <w:kern w:val="0"/>
                <w:sz w:val="21"/>
                <w:szCs w:val="21"/>
              </w:rPr>
              <w:t>2、巩固基本药物制度，推进综合改革顺</w:t>
            </w:r>
            <w:r>
              <w:rPr>
                <w:rFonts w:ascii="宋体" w:eastAsia="宋体" w:cs="宋体" w:hint="eastAsia"/>
                <w:color w:val="auto"/>
                <w:kern w:val="0"/>
                <w:sz w:val="21"/>
                <w:szCs w:val="21"/>
                <w:lang w:eastAsia="zh-CN"/>
              </w:rPr>
              <w:t>利进行。</w:t>
            </w:r>
          </w:p>
        </w:tc>
        <w:tc>
          <w:tcPr>
            <w:tcW w:w="407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eastAsia="宋体" w:cs="宋体" w:hint="eastAsia"/>
                <w:color w:val="auto"/>
                <w:sz w:val="21"/>
                <w:szCs w:val="21"/>
              </w:rPr>
            </w:pPr>
            <w:r>
              <w:rPr>
                <w:rFonts w:ascii="宋体" w:eastAsia="宋体" w:cs="宋体" w:hint="eastAsia"/>
                <w:color w:val="auto"/>
                <w:sz w:val="21"/>
                <w:szCs w:val="21"/>
              </w:rPr>
              <w:t>1、巩固基本药物制度，推进综合改革顺利进行；2、加强卫生服务体系建设，不断提升服务能力和水平，筑牢中心医疗卫生服务网底，实现医改“保基本、强基层、建机制”的目标。</w:t>
            </w:r>
          </w:p>
        </w:tc>
      </w:tr>
      <w:tr>
        <w:trPr>
          <w:trHeight w:val="581"/>
        </w:trPr>
        <w:tc>
          <w:tcPr>
            <w:tcW w:w="35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eastAsia="宋体" w:cs="宋体" w:hint="eastAsia"/>
                <w:color w:val="auto"/>
                <w:sz w:val="21"/>
                <w:szCs w:val="21"/>
              </w:rPr>
            </w:pPr>
            <w:r>
              <w:rPr>
                <w:rFonts w:ascii="宋体" w:eastAsia="宋体" w:cs="宋体" w:hint="eastAsia"/>
                <w:color w:val="auto"/>
                <w:sz w:val="21"/>
                <w:szCs w:val="21"/>
              </w:rPr>
              <w:t>绩效指标完成情况</w:t>
            </w: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一级指标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二级指标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三级指标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预期指标值(包含数字及文字描述)</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实际完成指标值(包含数字及文字描述)</w:t>
            </w:r>
          </w:p>
        </w:tc>
      </w:tr>
      <w:tr>
        <w:trPr>
          <w:trHeight w:val="772"/>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sz w:val="21"/>
                <w:szCs w:val="21"/>
              </w:rPr>
              <w:t>数量指标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政府办基层医疗卫生机构基本药物制度覆盖率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r>
      <w:tr>
        <w:trPr>
          <w:trHeight w:val="645"/>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项目完成指标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sz w:val="21"/>
                <w:szCs w:val="21"/>
              </w:rPr>
              <w:t>数量指标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基层医疗卫生机构基本药物网采率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r>
      <w:tr>
        <w:trPr>
          <w:trHeight w:val="687"/>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项目完成指标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sz w:val="21"/>
                <w:szCs w:val="21"/>
              </w:rPr>
              <w:t>质量指标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目录药品质量合格率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r>
      <w:tr>
        <w:trPr>
          <w:trHeight w:val="697"/>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效益指标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社会效益</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基本药物零差</w:t>
            </w:r>
            <w:r>
              <w:rPr>
                <w:rFonts w:ascii="宋体" w:eastAsia="宋体" w:cs="宋体" w:hint="eastAsia"/>
                <w:color w:val="auto"/>
                <w:kern w:val="0"/>
                <w:sz w:val="21"/>
                <w:szCs w:val="21"/>
                <w:lang w:eastAsia="zh-CN"/>
              </w:rPr>
              <w:t>价</w:t>
            </w:r>
            <w:r>
              <w:rPr>
                <w:rFonts w:ascii="宋体" w:eastAsia="宋体" w:cs="宋体" w:hint="eastAsia"/>
                <w:color w:val="auto"/>
                <w:kern w:val="0"/>
                <w:sz w:val="21"/>
                <w:szCs w:val="21"/>
              </w:rPr>
              <w:t>销售率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100%</w:t>
            </w:r>
          </w:p>
        </w:tc>
      </w:tr>
      <w:tr>
        <w:trPr>
          <w:trHeight w:val="672"/>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效益指标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可持续影响指标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降低患者的医疗费用</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有效</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有效</w:t>
            </w:r>
          </w:p>
        </w:tc>
      </w:tr>
      <w:tr>
        <w:trPr>
          <w:trHeight w:val="656"/>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效益指标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可持续影响指标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保证药品安全、有效、经济</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长期</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长期</w:t>
            </w:r>
          </w:p>
        </w:tc>
      </w:tr>
      <w:tr>
        <w:trPr>
          <w:trHeight w:val="602"/>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kern w:val="0"/>
                <w:sz w:val="21"/>
                <w:szCs w:val="21"/>
              </w:rPr>
            </w:pPr>
            <w:r>
              <w:rPr>
                <w:rFonts w:ascii="宋体" w:eastAsia="宋体" w:cs="宋体" w:hint="eastAsia"/>
                <w:color w:val="auto"/>
                <w:kern w:val="0"/>
                <w:sz w:val="21"/>
                <w:szCs w:val="21"/>
              </w:rPr>
              <w:t>满意度指标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服务对象满意度指标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受益群众满意度</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r>
      <w:tr>
        <w:trPr>
          <w:trHeight w:val="842"/>
        </w:trPr>
        <w:tc>
          <w:tcPr>
            <w:tcW w:w="353" w:type="dxa"/>
            <w:vMerge/>
            <w:tcBorders>
              <w:left w:val="single" w:sz="4" w:space="0" w:color="000000"/>
              <w:right w:val="single" w:sz="4" w:space="0" w:color="000000"/>
            </w:tcBorders>
            <w:tcMar>
              <w:top w:w="15" w:type="dxa"/>
              <w:left w:w="15" w:type="dxa"/>
              <w:right w:w="15" w:type="dxa"/>
            </w:tcMar>
            <w:vAlign w:val="center"/>
          </w:tcPr>
          <w:p/>
        </w:tc>
        <w:tc>
          <w:tcPr>
            <w:tcW w:w="1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满意度指标</w:t>
            </w:r>
          </w:p>
        </w:tc>
        <w:tc>
          <w:tcPr>
            <w:tcW w:w="1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服务对象满意度指标</w:t>
            </w:r>
          </w:p>
        </w:tc>
        <w:tc>
          <w:tcPr>
            <w:tcW w:w="20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ascii="宋体" w:eastAsia="宋体" w:cs="宋体" w:hint="eastAsia"/>
                <w:color w:val="auto"/>
                <w:sz w:val="21"/>
                <w:szCs w:val="21"/>
              </w:rPr>
            </w:pPr>
            <w:r>
              <w:rPr>
                <w:rFonts w:ascii="宋体" w:eastAsia="宋体" w:cs="宋体" w:hint="eastAsia"/>
                <w:color w:val="auto"/>
                <w:kern w:val="0"/>
                <w:sz w:val="21"/>
                <w:szCs w:val="21"/>
              </w:rPr>
              <w:t>受益建档立卡贫困人口满意度</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c>
          <w:tcPr>
            <w:tcW w:w="2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Chars="200" w:firstLine="420"/>
              <w:jc w:val="center"/>
              <w:textAlignment w:val="center"/>
              <w:rPr>
                <w:rFonts w:ascii="宋体" w:eastAsia="宋体" w:cs="宋体" w:hint="eastAsia"/>
                <w:color w:val="auto"/>
                <w:sz w:val="21"/>
                <w:szCs w:val="21"/>
              </w:rPr>
            </w:pPr>
            <w:r>
              <w:rPr>
                <w:rFonts w:ascii="宋体" w:eastAsia="宋体" w:cs="宋体" w:hint="eastAsia"/>
                <w:color w:val="auto"/>
                <w:kern w:val="0"/>
                <w:sz w:val="21"/>
                <w:szCs w:val="21"/>
              </w:rPr>
              <w:t>≥95%</w:t>
            </w:r>
          </w:p>
        </w:tc>
      </w:tr>
    </w:tbl>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部门绩效评价结果</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广元市利州区</w:t>
      </w:r>
      <w:r>
        <w:rPr>
          <w:rFonts w:ascii="方正仿宋简体" w:eastAsia="方正仿宋简体" w:cs="方正仿宋简体" w:hint="eastAsia"/>
          <w:color w:val="auto"/>
          <w:sz w:val="32"/>
          <w:szCs w:val="32"/>
          <w:lang w:eastAsia="zh-CN"/>
        </w:rPr>
        <w:t>杨家岩</w:t>
      </w:r>
      <w:r>
        <w:rPr>
          <w:rFonts w:ascii="方正仿宋简体" w:eastAsia="方正仿宋简体" w:cs="方正仿宋简体" w:hint="eastAsia"/>
          <w:color w:val="auto"/>
          <w:sz w:val="32"/>
          <w:szCs w:val="32"/>
        </w:rPr>
        <w:t>社区卫生服务中心按要求对20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年部门整体支出绩效评价情况开展自评，《广元市利州区</w:t>
      </w:r>
      <w:r>
        <w:rPr>
          <w:rFonts w:ascii="方正仿宋简体" w:eastAsia="方正仿宋简体" w:cs="方正仿宋简体" w:hint="eastAsia"/>
          <w:color w:val="auto"/>
          <w:sz w:val="32"/>
          <w:szCs w:val="32"/>
          <w:lang w:eastAsia="zh-CN"/>
        </w:rPr>
        <w:t>杨家岩</w:t>
      </w:r>
      <w:r>
        <w:rPr>
          <w:rFonts w:ascii="方正仿宋简体" w:eastAsia="方正仿宋简体" w:cs="方正仿宋简体" w:hint="eastAsia"/>
          <w:color w:val="auto"/>
          <w:sz w:val="32"/>
          <w:szCs w:val="32"/>
        </w:rPr>
        <w:t>社区卫生服务中心2</w:t>
      </w:r>
      <w:r>
        <w:rPr>
          <w:rFonts w:ascii="方正仿宋简体" w:eastAsia="方正仿宋简体" w:cs="方正仿宋简体" w:hint="eastAsia"/>
          <w:color w:val="auto"/>
          <w:sz w:val="32"/>
          <w:szCs w:val="32"/>
          <w:lang w:val="en-US" w:eastAsia="zh-CN"/>
        </w:rPr>
        <w:t>020</w:t>
      </w:r>
      <w:r>
        <w:rPr>
          <w:rFonts w:ascii="方正仿宋简体" w:eastAsia="方正仿宋简体" w:cs="方正仿宋简体" w:hint="eastAsia"/>
          <w:color w:val="auto"/>
          <w:sz w:val="32"/>
          <w:szCs w:val="32"/>
        </w:rPr>
        <w:t>年部门整体支出绩效评价报告》见附件（附件1）。</w:t>
      </w:r>
    </w:p>
    <w:p>
      <w:pPr>
        <w:pageBreakBefore w:val="0"/>
        <w:widowControl/>
        <w:kinsoku/>
        <w:wordWrap/>
        <w:overflowPunct/>
        <w:topLinePunct w:val="0"/>
        <w:bidi w:val="0"/>
        <w:spacing w:line="576" w:lineRule="exact"/>
        <w:ind w:firstLineChars="200" w:firstLine="640"/>
        <w:jc w:val="left"/>
        <w:rPr>
          <w:rFonts w:ascii="方正仿宋简体" w:eastAsia="方正仿宋简体" w:cs="方正仿宋简体" w:hint="eastAsia"/>
          <w:b/>
          <w:color w:val="auto"/>
          <w:sz w:val="32"/>
          <w:szCs w:val="32"/>
        </w:rPr>
      </w:pPr>
      <w:r>
        <w:rPr>
          <w:rFonts w:ascii="方正仿宋简体" w:eastAsia="方正仿宋简体" w:cs="方正仿宋简体" w:hint="eastAsia"/>
          <w:color w:val="auto"/>
          <w:sz w:val="32"/>
          <w:szCs w:val="32"/>
        </w:rPr>
        <w:t>广元市利州区</w:t>
      </w:r>
      <w:r>
        <w:rPr>
          <w:rFonts w:ascii="方正仿宋简体" w:eastAsia="方正仿宋简体" w:cs="方正仿宋简体" w:hint="eastAsia"/>
          <w:color w:val="auto"/>
          <w:sz w:val="32"/>
          <w:szCs w:val="32"/>
          <w:lang w:eastAsia="zh-CN"/>
        </w:rPr>
        <w:t>杨家岩</w:t>
      </w:r>
      <w:r>
        <w:rPr>
          <w:rFonts w:ascii="方正仿宋简体" w:eastAsia="方正仿宋简体" w:cs="方正仿宋简体" w:hint="eastAsia"/>
          <w:color w:val="auto"/>
          <w:sz w:val="32"/>
          <w:szCs w:val="32"/>
        </w:rPr>
        <w:t>社区卫生服务中心自行组织对基本公共卫生服务、基层医疗卫生机构实施基本药物制度等开展了绩效评价，《项目20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年绩效评价报告》见附件（附件2）。</w:t>
      </w: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ageBreakBefore w:val="0"/>
        <w:widowControl w:val="0"/>
        <w:kinsoku/>
        <w:wordWrap/>
        <w:overflowPunct/>
        <w:topLinePunct w:val="0"/>
        <w:bidi w:val="0"/>
        <w:spacing w:line="576" w:lineRule="exact"/>
        <w:ind w:left="0" w:firstLineChars="200" w:firstLine="640"/>
        <w:jc w:val="both"/>
        <w:outlineLvl w:val="0"/>
        <w:rPr>
          <w:rFonts w:ascii="方正仿宋简体" w:eastAsia="方正仿宋简体" w:cs="方正仿宋简体" w:hint="eastAsia"/>
          <w:color w:val="auto"/>
          <w:sz w:val="32"/>
          <w:szCs w:val="32"/>
          <w:lang w:eastAsia="zh-CN"/>
        </w:rPr>
      </w:pPr>
    </w:p>
    <w:p>
      <w:pPr>
        <w:pStyle w:val="1"/>
        <w:keepNext/>
        <w:keepLines/>
        <w:pageBreakBefore w:val="0"/>
        <w:widowControl w:val="0"/>
        <w:kinsoku/>
        <w:wordWrap/>
        <w:overflowPunct/>
        <w:topLinePunct w:val="0"/>
        <w:autoSpaceDE/>
        <w:autoSpaceDN/>
        <w:bidi w:val="0"/>
        <w:spacing w:before="0" w:after="0" w:line="576" w:lineRule="exact"/>
        <w:ind w:right="0"/>
        <w:jc w:val="center"/>
        <w:textAlignment w:val="auto"/>
        <w:rPr>
          <w:rFonts w:ascii="方正小标宋简体" w:eastAsia="方正小标宋简体" w:cs="方正小标宋简体" w:hint="eastAsia"/>
          <w:b w:val="0"/>
          <w:color w:val="auto"/>
          <w:sz w:val="48"/>
          <w:szCs w:val="48"/>
        </w:rPr>
      </w:pPr>
      <w:r>
        <w:rPr>
          <w:rFonts w:ascii="方正小标宋简体" w:eastAsia="方正小标宋简体" w:cs="方正小标宋简体" w:hint="eastAsia"/>
          <w:b w:val="0"/>
          <w:color w:val="auto"/>
          <w:sz w:val="48"/>
          <w:szCs w:val="48"/>
          <w:lang w:eastAsia="zh-CN"/>
        </w:rPr>
        <w:t>第三部分</w:t>
      </w:r>
      <w:r>
        <w:rPr>
          <w:rFonts w:ascii="方正小标宋简体" w:eastAsia="方正小标宋简体" w:cs="方正小标宋简体" w:hint="eastAsia"/>
          <w:b w:val="0"/>
          <w:color w:val="auto"/>
          <w:sz w:val="48"/>
          <w:szCs w:val="48"/>
          <w:lang w:val="en-US" w:eastAsia="zh-CN"/>
        </w:rPr>
        <w:t xml:space="preserve">  </w:t>
      </w:r>
      <w:r>
        <w:rPr>
          <w:rFonts w:ascii="方正小标宋简体" w:eastAsia="方正小标宋简体" w:cs="方正小标宋简体" w:hint="eastAsia"/>
          <w:b w:val="0"/>
          <w:color w:val="auto"/>
          <w:sz w:val="48"/>
          <w:szCs w:val="48"/>
        </w:rPr>
        <w:t>名词解释</w:t>
      </w:r>
    </w:p>
    <w:p>
      <w:pPr>
        <w:pageBreakBefore w:val="0"/>
        <w:widowControl w:val="0"/>
        <w:kinsoku/>
        <w:wordWrap/>
        <w:overflowPunct/>
        <w:topLinePunct w:val="0"/>
        <w:bidi w:val="0"/>
        <w:spacing w:line="576" w:lineRule="exact"/>
        <w:ind w:firstLineChars="200" w:firstLine="640"/>
        <w:jc w:val="left"/>
        <w:rPr>
          <w:rFonts w:ascii="方正仿宋简体" w:eastAsia="方正仿宋简体" w:cs="方正仿宋简体" w:hint="eastAsia"/>
          <w:b/>
          <w:color w:val="auto"/>
          <w:sz w:val="32"/>
          <w:szCs w:val="32"/>
        </w:rPr>
      </w:pP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1.财政拨款收入：指单位从同级财政部门取得的财政预算资金。</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2.事业收入：指事业单位开展专业业务活动及辅助活动取得的收入。</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3.经营收入：指事业单位在专业业务活动及其辅助活动之外开展非独立核算经营活动取得的收入。</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4.其他收入：指单位取得的除上述收入以外的各项收入。</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6.年初结转和结余：指以前年度尚未完成、结转到本年按有关规定继续使用的资金。</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7.结余分配：指事业单位按照事业单位会计制度的规定从非财政补助结余中分配的事业基金和职工福利基金等。</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8</w:t>
      </w:r>
      <w:r>
        <w:rPr>
          <w:rFonts w:ascii="方正仿宋简体" w:eastAsia="方正仿宋简体" w:cs="方正仿宋简体" w:hint="eastAsia"/>
          <w:color w:val="auto"/>
          <w:sz w:val="32"/>
          <w:szCs w:val="32"/>
          <w:lang w:val="en-US" w:eastAsia="zh-CN"/>
        </w:rPr>
        <w:t>.</w:t>
      </w:r>
      <w:r>
        <w:rPr>
          <w:rFonts w:ascii="方正仿宋简体" w:eastAsia="方正仿宋简体" w:cs="方正仿宋简体" w:hint="eastAsia"/>
          <w:color w:val="auto"/>
          <w:sz w:val="32"/>
          <w:szCs w:val="32"/>
        </w:rPr>
        <w:t>年末结转和结余：指单位按有关规定结转到下年或以后年度继续使用的资金。</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lang w:eastAsia="zh-CN"/>
        </w:rPr>
      </w:pPr>
      <w:r>
        <w:rPr>
          <w:rFonts w:ascii="方正仿宋简体" w:eastAsia="方正仿宋简体" w:cs="方正仿宋简体" w:hint="eastAsia"/>
          <w:color w:val="auto"/>
          <w:sz w:val="32"/>
          <w:szCs w:val="32"/>
          <w:lang w:eastAsia="zh-CN"/>
        </w:rPr>
        <w:t>９</w:t>
      </w:r>
      <w:r>
        <w:rPr>
          <w:rFonts w:ascii="方正仿宋简体" w:eastAsia="方正仿宋简体" w:cs="方正仿宋简体" w:hint="eastAsia"/>
          <w:color w:val="auto"/>
          <w:sz w:val="32"/>
          <w:szCs w:val="32"/>
          <w:lang w:val="en-US" w:eastAsia="zh-CN"/>
        </w:rPr>
        <w:t>.</w:t>
      </w:r>
      <w:r>
        <w:rPr>
          <w:rFonts w:ascii="方正仿宋简体" w:eastAsia="方正仿宋简体" w:cs="方正仿宋简体" w:hint="eastAsia"/>
          <w:color w:val="auto"/>
          <w:sz w:val="32"/>
          <w:szCs w:val="32"/>
        </w:rPr>
        <w:t>社会保障和就业208（类）05（款）05（项）机关事业单位基本养老保险缴费支出：指事业单位实施养老保险制度由单位缴纳的基本养老保险费支出</w:t>
      </w:r>
      <w:r>
        <w:rPr>
          <w:rFonts w:ascii="方正仿宋简体" w:eastAsia="方正仿宋简体" w:cs="方正仿宋简体" w:hint="eastAsia"/>
          <w:color w:val="auto"/>
          <w:sz w:val="32"/>
          <w:szCs w:val="32"/>
          <w:lang w:eastAsia="zh-CN"/>
        </w:rPr>
        <w:t>。</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10.</w:t>
      </w:r>
      <w:r>
        <w:rPr>
          <w:rFonts w:ascii="方正仿宋简体" w:eastAsia="方正仿宋简体" w:cs="方正仿宋简体" w:hint="eastAsia"/>
          <w:color w:val="auto"/>
          <w:sz w:val="32"/>
          <w:szCs w:val="32"/>
        </w:rPr>
        <w:t>卫生健康支出210（类）</w:t>
      </w:r>
      <w:r>
        <w:rPr>
          <w:rFonts w:ascii="方正仿宋简体" w:eastAsia="方正仿宋简体" w:cs="方正仿宋简体" w:hint="eastAsia"/>
          <w:color w:val="auto"/>
          <w:sz w:val="32"/>
          <w:szCs w:val="32"/>
          <w:lang w:eastAsia="zh-CN"/>
        </w:rPr>
        <w:t>基层医疗卫生机构</w:t>
      </w:r>
      <w:r>
        <w:rPr>
          <w:rFonts w:ascii="方正仿宋简体" w:eastAsia="方正仿宋简体" w:cs="方正仿宋简体" w:hint="eastAsia"/>
          <w:color w:val="auto"/>
          <w:sz w:val="32"/>
          <w:szCs w:val="32"/>
          <w:lang w:val="en-US" w:eastAsia="zh-CN"/>
        </w:rPr>
        <w:t>03</w:t>
      </w:r>
      <w:r>
        <w:rPr>
          <w:rFonts w:ascii="方正仿宋简体" w:eastAsia="方正仿宋简体" w:cs="方正仿宋简体" w:hint="eastAsia"/>
          <w:color w:val="auto"/>
          <w:sz w:val="32"/>
          <w:szCs w:val="32"/>
          <w:lang w:eastAsia="zh-CN"/>
        </w:rPr>
        <w:t>（款）</w:t>
      </w:r>
      <w:r>
        <w:rPr>
          <w:rFonts w:ascii="方正仿宋简体" w:eastAsia="方正仿宋简体" w:cs="方正仿宋简体" w:hint="eastAsia"/>
          <w:color w:val="auto"/>
          <w:sz w:val="32"/>
          <w:szCs w:val="32"/>
          <w:lang w:val="en-US" w:eastAsia="zh-CN"/>
        </w:rPr>
        <w:t>01（项） 城市社区卫生机构：指用于城市社区卫生机构的支出。</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11.</w:t>
      </w:r>
      <w:r>
        <w:rPr>
          <w:rFonts w:ascii="方正仿宋简体" w:eastAsia="方正仿宋简体" w:cs="方正仿宋简体" w:hint="eastAsia"/>
          <w:color w:val="auto"/>
          <w:sz w:val="32"/>
          <w:szCs w:val="32"/>
        </w:rPr>
        <w:t>卫生健康支出210（类）04（款）08（项）基本公共卫生服务：指基本公共卫生支出。</w:t>
        <w:br/>
      </w:r>
      <w:r>
        <w:rPr>
          <w:rFonts w:ascii="方正仿宋简体" w:eastAsia="方正仿宋简体" w:cs="方正仿宋简体" w:hint="eastAsia"/>
          <w:color w:val="auto"/>
          <w:sz w:val="32"/>
          <w:szCs w:val="32"/>
          <w:lang w:val="en-US" w:eastAsia="zh-CN"/>
        </w:rPr>
        <w:t xml:space="preserve">   12.</w:t>
      </w:r>
      <w:r>
        <w:rPr>
          <w:rFonts w:ascii="方正仿宋简体" w:eastAsia="方正仿宋简体" w:cs="方正仿宋简体" w:hint="eastAsia"/>
          <w:color w:val="auto"/>
          <w:sz w:val="32"/>
          <w:szCs w:val="32"/>
        </w:rPr>
        <w:t>卫生健康支出210（类）04（款）09（项）重大公共卫生专项：指重大疾病预防控制等重大公共卫生服务项目支出。</w:t>
        <w:br/>
      </w:r>
      <w:r>
        <w:rPr>
          <w:rFonts w:ascii="方正仿宋简体" w:eastAsia="方正仿宋简体" w:cs="方正仿宋简体" w:hint="eastAsia"/>
          <w:color w:val="auto"/>
          <w:sz w:val="32"/>
          <w:szCs w:val="32"/>
          <w:lang w:val="en-US" w:eastAsia="zh-CN"/>
        </w:rPr>
        <w:t xml:space="preserve">   </w:t>
      </w:r>
      <w:r>
        <w:rPr>
          <w:rFonts w:ascii="方正仿宋简体" w:eastAsia="方正仿宋简体" w:cs="方正仿宋简体" w:hint="eastAsia"/>
          <w:color w:val="auto"/>
          <w:sz w:val="32"/>
          <w:szCs w:val="32"/>
        </w:rPr>
        <w:t>1</w:t>
      </w:r>
      <w:r>
        <w:rPr>
          <w:rFonts w:ascii="方正仿宋简体" w:eastAsia="方正仿宋简体" w:cs="方正仿宋简体" w:hint="eastAsia"/>
          <w:color w:val="auto"/>
          <w:sz w:val="32"/>
          <w:szCs w:val="32"/>
          <w:lang w:val="en-US" w:eastAsia="zh-CN"/>
        </w:rPr>
        <w:t>3.</w:t>
      </w:r>
      <w:r>
        <w:rPr>
          <w:rFonts w:ascii="方正仿宋简体" w:eastAsia="方正仿宋简体" w:cs="方正仿宋简体" w:hint="eastAsia"/>
          <w:color w:val="auto"/>
          <w:sz w:val="32"/>
          <w:szCs w:val="32"/>
        </w:rPr>
        <w:t>卫生健康支出210（类）11（款）02（项）行政事业单位医疗：指财政部门安排的事业单位基本医疗保险缴费经费</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lang w:val="en-US" w:eastAsia="zh-CN"/>
        </w:rPr>
        <w:t xml:space="preserve">  </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b/>
          <w:color w:val="auto"/>
          <w:sz w:val="32"/>
          <w:szCs w:val="32"/>
        </w:rPr>
      </w:pPr>
      <w:r>
        <w:rPr>
          <w:rFonts w:ascii="方正仿宋简体" w:eastAsia="方正仿宋简体" w:cs="方正仿宋简体" w:hint="eastAsia"/>
          <w:color w:val="auto"/>
          <w:sz w:val="32"/>
          <w:szCs w:val="32"/>
        </w:rPr>
        <w:t>1</w:t>
      </w:r>
      <w:r>
        <w:rPr>
          <w:rFonts w:ascii="方正仿宋简体" w:eastAsia="方正仿宋简体" w:cs="方正仿宋简体" w:hint="eastAsia"/>
          <w:color w:val="auto"/>
          <w:sz w:val="32"/>
          <w:szCs w:val="32"/>
          <w:lang w:val="en-US" w:eastAsia="zh-CN"/>
        </w:rPr>
        <w:t>4.</w:t>
      </w:r>
      <w:r>
        <w:rPr>
          <w:rFonts w:ascii="方正仿宋简体" w:eastAsia="方正仿宋简体" w:cs="方正仿宋简体" w:hint="eastAsia"/>
          <w:color w:val="auto"/>
          <w:sz w:val="32"/>
          <w:szCs w:val="32"/>
        </w:rPr>
        <w:t>住房保障221（类）02（款）01（项）住房公积金：指</w:t>
      </w:r>
      <w:r>
        <w:rPr>
          <w:rFonts w:ascii="方正仿宋简体" w:eastAsia="方正仿宋简体" w:cs="方正仿宋简体" w:hint="eastAsia"/>
          <w:color w:val="auto"/>
          <w:sz w:val="32"/>
          <w:szCs w:val="32"/>
          <w:lang w:eastAsia="zh-CN"/>
        </w:rPr>
        <w:t>按</w:t>
      </w:r>
      <w:r>
        <w:rPr>
          <w:rFonts w:ascii="方正仿宋简体" w:eastAsia="方正仿宋简体" w:cs="方正仿宋简体" w:hint="eastAsia"/>
          <w:color w:val="auto"/>
          <w:sz w:val="32"/>
          <w:szCs w:val="32"/>
        </w:rPr>
        <w:t>规定比例为职工缴纳的住房公积金。</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15</w:t>
      </w:r>
      <w:r>
        <w:rPr>
          <w:rFonts w:ascii="方正仿宋简体" w:eastAsia="方正仿宋简体" w:cs="方正仿宋简体" w:hint="eastAsia"/>
          <w:color w:val="auto"/>
          <w:sz w:val="32"/>
          <w:szCs w:val="32"/>
        </w:rPr>
        <w:t>.基本支出：指为保障机构正常运转、完成日常工作任务而发生的人员支出和公用支出。</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16</w:t>
      </w:r>
      <w:r>
        <w:rPr>
          <w:rFonts w:ascii="方正仿宋简体" w:eastAsia="方正仿宋简体" w:cs="方正仿宋简体" w:hint="eastAsia"/>
          <w:color w:val="auto"/>
          <w:sz w:val="32"/>
          <w:szCs w:val="32"/>
        </w:rPr>
        <w:t>.项目支出：指在基本支出之外为完成特定行政任务和事业发展目标所发生的支出。</w:t>
      </w:r>
    </w:p>
    <w:p>
      <w:pPr>
        <w:pageBreakBefore w:val="0"/>
        <w:widowControl w:val="0"/>
        <w:kinsoku/>
        <w:wordWrap/>
        <w:overflowPunct/>
        <w:topLinePunct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17</w:t>
      </w:r>
      <w:r>
        <w:rPr>
          <w:rFonts w:ascii="方正仿宋简体" w:eastAsia="方正仿宋简体" w:cs="方正仿宋简体" w:hint="eastAsia"/>
          <w:color w:val="auto"/>
          <w:sz w:val="32"/>
          <w:szCs w:val="32"/>
        </w:rPr>
        <w:t>.经营支出：指事业单位在专业业务活动及其辅助活动之外开展非独立核算经营活动发生的支出。</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18</w:t>
      </w:r>
      <w:r>
        <w:rPr>
          <w:rFonts w:ascii="方正仿宋简体" w:eastAsia="方正仿宋简体" w:cs="方正仿宋简体"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0"/>
        <w:pageBreakBefore w:val="0"/>
        <w:widowControl w:val="0"/>
        <w:kinsoku/>
        <w:wordWrap/>
        <w:overflowPunct/>
        <w:topLinePunct w:val="0"/>
        <w:autoSpaceDE w:val="0"/>
        <w:autoSpaceDN w:val="0"/>
        <w:bidi w:val="0"/>
        <w:spacing w:line="576" w:lineRule="exact"/>
        <w:ind w:firstLineChars="200" w:firstLine="640"/>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19</w:t>
      </w:r>
      <w:r>
        <w:rPr>
          <w:rFonts w:ascii="方正仿宋简体" w:eastAsia="方正仿宋简体" w:cs="方正仿宋简体"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Style w:val="16"/>
        <w:rPr>
          <w:rFonts w:ascii="方正仿宋简体" w:eastAsia="方正仿宋简体" w:cs="方正仿宋简体" w:hint="eastAsia"/>
          <w:color w:val="auto"/>
          <w:sz w:val="32"/>
          <w:szCs w:val="32"/>
        </w:rPr>
      </w:pPr>
    </w:p>
    <w:p>
      <w:pPr>
        <w:pStyle w:val="16"/>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ageBreakBefore w:val="0"/>
        <w:widowControl w:val="0"/>
        <w:kinsoku/>
        <w:wordWrap/>
        <w:overflowPunct/>
        <w:topLinePunct w:val="0"/>
        <w:bidi w:val="0"/>
        <w:spacing w:line="576" w:lineRule="exact"/>
        <w:ind w:firstLineChars="200" w:firstLine="640"/>
        <w:jc w:val="center"/>
        <w:outlineLvl w:val="0"/>
        <w:rPr>
          <w:rFonts w:ascii="方正仿宋简体" w:eastAsia="方正仿宋简体" w:cs="方正仿宋简体" w:hint="eastAsia"/>
          <w:color w:val="auto"/>
          <w:sz w:val="32"/>
          <w:szCs w:val="32"/>
        </w:rPr>
      </w:pPr>
    </w:p>
    <w:p>
      <w:pPr>
        <w:pStyle w:val="1"/>
        <w:keepNext/>
        <w:keepLines/>
        <w:pageBreakBefore w:val="0"/>
        <w:widowControl w:val="0"/>
        <w:numPr>
          <w:ilvl w:val="0"/>
          <w:numId w:val="2"/>
        </w:numPr>
        <w:kinsoku/>
        <w:wordWrap/>
        <w:overflowPunct/>
        <w:topLinePunct w:val="0"/>
        <w:autoSpaceDE/>
        <w:autoSpaceDN/>
        <w:bidi w:val="0"/>
        <w:spacing w:before="0" w:after="0" w:line="576" w:lineRule="exact"/>
        <w:ind w:right="0"/>
        <w:jc w:val="center"/>
        <w:textAlignment w:val="auto"/>
        <w:rPr>
          <w:rFonts w:ascii="方正小标宋简体" w:eastAsia="方正小标宋简体" w:cs="方正小标宋简体" w:hint="eastAsia"/>
          <w:b w:val="0"/>
          <w:color w:val="auto"/>
          <w:sz w:val="48"/>
          <w:szCs w:val="48"/>
          <w:lang w:eastAsia="zh-CN"/>
        </w:rPr>
      </w:pPr>
      <w:r>
        <w:rPr>
          <w:rFonts w:ascii="方正小标宋简体" w:eastAsia="方正小标宋简体" w:cs="方正小标宋简体" w:hint="eastAsia"/>
          <w:b w:val="0"/>
          <w:color w:val="auto"/>
          <w:sz w:val="48"/>
          <w:szCs w:val="48"/>
          <w:lang w:eastAsia="zh-CN"/>
        </w:rPr>
        <w:t>附件</w:t>
      </w:r>
    </w:p>
    <w:p>
      <w:pPr>
        <w:widowControl w:val="0"/>
        <w:jc w:val="both"/>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ind w:leftChars="0" w:left="0" w:firstLineChars="0" w:firstLine="0"/>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Style w:val="16"/>
        <w:rPr>
          <w:rFonts w:hint="eastAsia"/>
          <w:color w:val="auto"/>
          <w:lang w:eastAsia="zh-CN"/>
        </w:rPr>
      </w:pPr>
    </w:p>
    <w:p>
      <w:pPr>
        <w:pageBreakBefore w:val="0"/>
        <w:widowControl w:val="0"/>
        <w:kinsoku/>
        <w:wordWrap/>
        <w:overflowPunct/>
        <w:topLinePunct w:val="0"/>
        <w:bidi w:val="0"/>
        <w:spacing w:line="576" w:lineRule="exact"/>
        <w:jc w:val="left"/>
        <w:outlineLvl w:val="0"/>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附件1</w:t>
      </w:r>
    </w:p>
    <w:p>
      <w:pPr>
        <w:pageBreakBefore w:val="0"/>
        <w:widowControl w:val="0"/>
        <w:kinsoku/>
        <w:wordWrap/>
        <w:overflowPunct/>
        <w:topLinePunct w:val="0"/>
        <w:bidi w:val="0"/>
        <w:spacing w:line="576" w:lineRule="exact"/>
        <w:ind w:firstLineChars="200" w:firstLine="640"/>
        <w:jc w:val="center"/>
        <w:rPr>
          <w:rFonts w:ascii="方正仿宋简体" w:eastAsia="方正仿宋简体" w:cs="方正仿宋简体" w:hint="eastAsia"/>
          <w:b w:val="0"/>
          <w:bCs w:val="0"/>
          <w:color w:val="auto"/>
          <w:sz w:val="32"/>
          <w:szCs w:val="32"/>
        </w:rPr>
      </w:pPr>
    </w:p>
    <w:p>
      <w:pPr>
        <w:pageBreakBefore w:val="0"/>
        <w:widowControl w:val="0"/>
        <w:kinsoku/>
        <w:wordWrap/>
        <w:overflowPunct/>
        <w:topLinePunct w:val="0"/>
        <w:autoSpaceDE/>
        <w:autoSpaceDN/>
        <w:bidi w:val="0"/>
        <w:spacing w:line="576" w:lineRule="exact"/>
        <w:ind w:firstLineChars="200" w:firstLine="880"/>
        <w:jc w:val="center"/>
        <w:textAlignment w:val="auto"/>
        <w:rPr>
          <w:rFonts w:ascii="方正小标宋简体" w:eastAsia="方正小标宋简体" w:cs="方正小标宋简体" w:hint="eastAsia"/>
          <w:b w:val="0"/>
          <w:bCs w:val="0"/>
          <w:color w:val="auto"/>
          <w:kern w:val="0"/>
          <w:sz w:val="44"/>
          <w:szCs w:val="44"/>
        </w:rPr>
      </w:pPr>
      <w:r>
        <w:rPr>
          <w:rFonts w:ascii="方正小标宋简体" w:eastAsia="方正小标宋简体" w:cs="方正小标宋简体" w:hint="eastAsia"/>
          <w:b w:val="0"/>
          <w:bCs w:val="0"/>
          <w:color w:val="auto"/>
          <w:kern w:val="0"/>
          <w:sz w:val="44"/>
          <w:szCs w:val="44"/>
        </w:rPr>
        <w:t>广元市利州区</w:t>
      </w:r>
      <w:r>
        <w:rPr>
          <w:rFonts w:ascii="方正小标宋简体" w:eastAsia="方正小标宋简体" w:cs="方正小标宋简体" w:hint="eastAsia"/>
          <w:b w:val="0"/>
          <w:bCs w:val="0"/>
          <w:color w:val="auto"/>
          <w:kern w:val="0"/>
          <w:sz w:val="44"/>
          <w:szCs w:val="44"/>
          <w:lang w:eastAsia="zh-CN"/>
        </w:rPr>
        <w:t>杨家岩</w:t>
      </w:r>
      <w:r>
        <w:rPr>
          <w:rFonts w:ascii="方正小标宋简体" w:eastAsia="方正小标宋简体" w:cs="方正小标宋简体" w:hint="eastAsia"/>
          <w:b w:val="0"/>
          <w:bCs w:val="0"/>
          <w:color w:val="auto"/>
          <w:kern w:val="0"/>
          <w:sz w:val="44"/>
          <w:szCs w:val="44"/>
        </w:rPr>
        <w:t>社区卫生服务中心</w:t>
      </w:r>
    </w:p>
    <w:p>
      <w:pPr>
        <w:pageBreakBefore w:val="0"/>
        <w:widowControl w:val="0"/>
        <w:kinsoku/>
        <w:wordWrap/>
        <w:overflowPunct/>
        <w:topLinePunct w:val="0"/>
        <w:autoSpaceDE/>
        <w:autoSpaceDN/>
        <w:bidi w:val="0"/>
        <w:spacing w:line="576" w:lineRule="exact"/>
        <w:ind w:firstLineChars="200" w:firstLine="880"/>
        <w:jc w:val="center"/>
        <w:textAlignment w:val="auto"/>
        <w:rPr>
          <w:rFonts w:ascii="方正小标宋简体" w:eastAsia="方正小标宋简体" w:cs="方正小标宋简体" w:hint="eastAsia"/>
          <w:b w:val="0"/>
          <w:bCs w:val="0"/>
          <w:color w:val="auto"/>
          <w:kern w:val="0"/>
          <w:sz w:val="44"/>
          <w:szCs w:val="44"/>
          <w:lang w:val="zh-CN"/>
        </w:rPr>
      </w:pPr>
      <w:r>
        <w:rPr>
          <w:rFonts w:ascii="方正小标宋简体" w:eastAsia="方正小标宋简体" w:cs="方正小标宋简体" w:hint="eastAsia"/>
          <w:b w:val="0"/>
          <w:bCs w:val="0"/>
          <w:color w:val="auto"/>
          <w:kern w:val="0"/>
          <w:sz w:val="44"/>
          <w:szCs w:val="44"/>
        </w:rPr>
        <w:t>20</w:t>
      </w:r>
      <w:r>
        <w:rPr>
          <w:rFonts w:ascii="方正小标宋简体" w:eastAsia="方正小标宋简体" w:cs="方正小标宋简体" w:hint="eastAsia"/>
          <w:b w:val="0"/>
          <w:bCs w:val="0"/>
          <w:color w:val="auto"/>
          <w:kern w:val="0"/>
          <w:sz w:val="44"/>
          <w:szCs w:val="44"/>
          <w:lang w:val="en-US" w:eastAsia="zh-CN"/>
        </w:rPr>
        <w:t>20</w:t>
      </w:r>
      <w:r>
        <w:rPr>
          <w:rFonts w:ascii="方正小标宋简体" w:eastAsia="方正小标宋简体" w:cs="方正小标宋简体" w:hint="eastAsia"/>
          <w:b w:val="0"/>
          <w:bCs w:val="0"/>
          <w:color w:val="auto"/>
          <w:kern w:val="0"/>
          <w:sz w:val="44"/>
          <w:szCs w:val="44"/>
        </w:rPr>
        <w:t>年部门</w:t>
      </w:r>
      <w:r>
        <w:rPr>
          <w:rFonts w:ascii="方正小标宋简体" w:eastAsia="方正小标宋简体" w:cs="方正小标宋简体" w:hint="eastAsia"/>
          <w:b w:val="0"/>
          <w:bCs w:val="0"/>
          <w:color w:val="auto"/>
          <w:kern w:val="0"/>
          <w:sz w:val="44"/>
          <w:szCs w:val="44"/>
          <w:lang w:val="zh-CN"/>
        </w:rPr>
        <w:t>整体支出绩效评价报告</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ascii="方正仿宋简体" w:eastAsia="方正仿宋简体" w:cs="方正仿宋简体" w:hint="eastAsia"/>
          <w:color w:val="auto"/>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方正黑体简体" w:eastAsia="方正黑体简体" w:cs="方正黑体简体" w:hint="eastAsia"/>
          <w:color w:val="auto"/>
          <w:kern w:val="0"/>
          <w:sz w:val="32"/>
          <w:szCs w:val="32"/>
          <w:shd w:val="clear" w:color="auto" w:fill="FFFFFF"/>
          <w:lang w:val="zh-CN"/>
        </w:rPr>
      </w:pPr>
      <w:r>
        <w:rPr>
          <w:rFonts w:ascii="方正黑体简体" w:eastAsia="方正黑体简体" w:cs="方正黑体简体" w:hint="eastAsia"/>
          <w:color w:val="auto"/>
          <w:kern w:val="0"/>
          <w:sz w:val="32"/>
          <w:szCs w:val="32"/>
          <w:shd w:val="clear" w:color="auto" w:fill="FFFFFF"/>
          <w:lang w:val="zh-CN"/>
        </w:rPr>
        <w:t>一、单位概况</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（一）机构组成</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kern w:val="0"/>
          <w:sz w:val="32"/>
          <w:szCs w:val="32"/>
          <w:shd w:val="clear" w:color="auto" w:fill="FFFFFF"/>
          <w:lang w:val="zh-CN"/>
        </w:rPr>
      </w:pPr>
      <w:r>
        <w:rPr>
          <w:rFonts w:ascii="方正仿宋简体" w:eastAsia="方正仿宋简体" w:cs="方正仿宋简体" w:hint="eastAsia"/>
          <w:color w:val="auto"/>
          <w:kern w:val="0"/>
          <w:sz w:val="32"/>
          <w:szCs w:val="32"/>
          <w:shd w:val="clear" w:color="auto" w:fill="FFFFFF"/>
          <w:lang w:val="zh-CN"/>
        </w:rPr>
        <w:t>广元市利州区杨家岩社区卫生服务中心</w:t>
      </w:r>
      <w:r>
        <w:rPr>
          <w:rFonts w:ascii="方正仿宋简体" w:eastAsia="方正仿宋简体" w:cs="方正仿宋简体" w:hint="eastAsia"/>
          <w:color w:val="auto"/>
          <w:kern w:val="0"/>
          <w:sz w:val="32"/>
          <w:szCs w:val="32"/>
          <w:shd w:val="clear" w:color="auto" w:fill="FFFFFF"/>
          <w:lang w:val="zh-CN" w:eastAsia="zh-CN"/>
        </w:rPr>
        <w:t>和</w:t>
      </w:r>
      <w:r>
        <w:rPr>
          <w:rFonts w:ascii="方正仿宋简体" w:eastAsia="方正仿宋简体" w:cs="方正仿宋简体" w:hint="eastAsia"/>
          <w:color w:val="auto"/>
          <w:kern w:val="0"/>
          <w:sz w:val="32"/>
          <w:szCs w:val="32"/>
          <w:shd w:val="clear" w:color="auto" w:fill="FFFFFF"/>
          <w:lang w:val="en-US" w:eastAsia="zh-CN"/>
        </w:rPr>
        <w:t>4个</w:t>
      </w:r>
      <w:r>
        <w:rPr>
          <w:rFonts w:ascii="方正仿宋简体" w:eastAsia="方正仿宋简体" w:cs="方正仿宋简体" w:hint="eastAsia"/>
          <w:color w:val="auto"/>
          <w:kern w:val="0"/>
          <w:sz w:val="32"/>
          <w:szCs w:val="32"/>
          <w:shd w:val="clear" w:color="auto" w:fill="FFFFFF"/>
          <w:lang w:val="zh-CN"/>
        </w:rPr>
        <w:t>村卫生室组成。</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（二）机构职能</w:t>
      </w:r>
    </w:p>
    <w:p>
      <w:pPr>
        <w:pStyle w:val="2"/>
        <w:keepNext/>
        <w:keepLines/>
        <w:pageBreakBefore w:val="0"/>
        <w:widowControl w:val="0"/>
        <w:kinsoku/>
        <w:wordWrap/>
        <w:overflowPunct/>
        <w:topLinePunct w:val="0"/>
        <w:autoSpaceDE/>
        <w:autoSpaceDN/>
        <w:bidi w:val="0"/>
        <w:spacing w:before="0" w:after="0" w:line="576" w:lineRule="exact"/>
        <w:ind w:left="0" w:firstLineChars="200" w:firstLine="640"/>
        <w:textAlignment w:val="auto"/>
        <w:rPr>
          <w:rFonts w:ascii="方正仿宋简体" w:eastAsia="方正仿宋简体" w:cs="方正仿宋简体" w:hint="eastAsia"/>
          <w:b w:val="0"/>
          <w:bCs w:val="0"/>
          <w:color w:val="auto"/>
          <w:sz w:val="32"/>
          <w:szCs w:val="32"/>
          <w:lang w:eastAsia="zh-CN"/>
        </w:rPr>
      </w:pPr>
      <w:r>
        <w:rPr>
          <w:rFonts w:ascii="方正仿宋简体" w:eastAsia="方正仿宋简体" w:cs="方正仿宋简体" w:hint="eastAsia"/>
          <w:b w:val="0"/>
          <w:bCs w:val="0"/>
          <w:color w:val="auto"/>
          <w:sz w:val="32"/>
          <w:szCs w:val="32"/>
        </w:rPr>
        <w:t>是在政府、</w:t>
      </w:r>
      <w:r>
        <w:rPr>
          <w:rFonts w:ascii="方正仿宋简体" w:eastAsia="方正仿宋简体" w:cs="方正仿宋简体" w:hint="eastAsia"/>
          <w:b w:val="0"/>
          <w:bCs w:val="0"/>
          <w:color w:val="auto"/>
          <w:sz w:val="32"/>
          <w:szCs w:val="32"/>
          <w:lang w:eastAsia="zh-CN"/>
        </w:rPr>
        <w:t>区</w:t>
      </w:r>
      <w:r>
        <w:rPr>
          <w:rFonts w:ascii="方正仿宋简体" w:eastAsia="方正仿宋简体" w:cs="方正仿宋简体" w:hint="eastAsia"/>
          <w:b w:val="0"/>
          <w:bCs w:val="0"/>
          <w:color w:val="auto"/>
          <w:sz w:val="32"/>
          <w:szCs w:val="32"/>
        </w:rPr>
        <w:t>卫生</w:t>
      </w:r>
      <w:r>
        <w:rPr>
          <w:rFonts w:ascii="方正仿宋简体" w:eastAsia="方正仿宋简体" w:cs="方正仿宋简体" w:hint="eastAsia"/>
          <w:b w:val="0"/>
          <w:bCs w:val="0"/>
          <w:color w:val="auto"/>
          <w:sz w:val="32"/>
          <w:szCs w:val="32"/>
          <w:lang w:eastAsia="zh-CN"/>
        </w:rPr>
        <w:t>健康局领导</w:t>
      </w:r>
      <w:r>
        <w:rPr>
          <w:rFonts w:ascii="方正仿宋简体" w:eastAsia="方正仿宋简体" w:cs="方正仿宋简体" w:hint="eastAsia"/>
          <w:b w:val="0"/>
          <w:bCs w:val="0"/>
          <w:color w:val="auto"/>
          <w:sz w:val="32"/>
          <w:szCs w:val="32"/>
        </w:rPr>
        <w:t>下，</w:t>
      </w:r>
      <w:r>
        <w:rPr>
          <w:rFonts w:ascii="方正仿宋简体" w:eastAsia="方正仿宋简体" w:cs="方正仿宋简体" w:hint="eastAsia"/>
          <w:b w:val="0"/>
          <w:bCs w:val="0"/>
          <w:color w:val="auto"/>
          <w:sz w:val="32"/>
          <w:szCs w:val="32"/>
          <w:lang w:eastAsia="zh-CN"/>
        </w:rPr>
        <w:t>为辖区内人民群众提供公共卫生服务、提供基本医疗服务、承担公共卫生管理、卫生行政管理。</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（三）人员概况</w:t>
      </w:r>
    </w:p>
    <w:p>
      <w:pPr>
        <w:pageBreakBefore w:val="0"/>
        <w:widowControl w:val="0"/>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int="eastAsia"/>
          <w:color w:val="auto"/>
          <w:sz w:val="32"/>
          <w:szCs w:val="32"/>
          <w:lang w:val="en-US"/>
        </w:rPr>
      </w:pPr>
      <w:r>
        <w:rPr>
          <w:rFonts w:ascii="方正仿宋简体" w:eastAsia="方正仿宋简体" w:cs="方正仿宋简体" w:hint="eastAsia"/>
          <w:b w:val="0"/>
          <w:bCs w:val="0"/>
          <w:color w:val="auto"/>
          <w:sz w:val="32"/>
          <w:szCs w:val="32"/>
          <w:lang w:eastAsia="zh-CN"/>
        </w:rPr>
        <w:t>中心</w:t>
      </w:r>
      <w:r>
        <w:rPr>
          <w:rFonts w:ascii="方正仿宋简体" w:eastAsia="方正仿宋简体" w:cs="方正仿宋简体" w:hint="eastAsia"/>
          <w:b w:val="0"/>
          <w:bCs w:val="0"/>
          <w:color w:val="auto"/>
          <w:sz w:val="32"/>
          <w:szCs w:val="32"/>
        </w:rPr>
        <w:t>人员编制</w:t>
      </w:r>
      <w:r>
        <w:rPr>
          <w:rFonts w:ascii="方正仿宋简体" w:eastAsia="方正仿宋简体" w:cs="方正仿宋简体" w:hint="eastAsia"/>
          <w:b w:val="0"/>
          <w:bCs w:val="0"/>
          <w:color w:val="auto"/>
          <w:sz w:val="32"/>
          <w:szCs w:val="32"/>
          <w:lang w:eastAsia="zh-CN"/>
        </w:rPr>
        <w:t>人数</w:t>
      </w:r>
      <w:r>
        <w:rPr>
          <w:rFonts w:ascii="方正仿宋简体" w:eastAsia="方正仿宋简体" w:cs="方正仿宋简体" w:hint="eastAsia"/>
          <w:b w:val="0"/>
          <w:bCs w:val="0"/>
          <w:color w:val="auto"/>
          <w:sz w:val="32"/>
          <w:szCs w:val="32"/>
        </w:rPr>
        <w:t>26人</w:t>
      </w:r>
      <w:r>
        <w:rPr>
          <w:rFonts w:ascii="方正仿宋简体" w:eastAsia="方正仿宋简体" w:cs="方正仿宋简体" w:hint="eastAsia"/>
          <w:b w:val="0"/>
          <w:bCs w:val="0"/>
          <w:color w:val="auto"/>
          <w:sz w:val="32"/>
          <w:szCs w:val="32"/>
          <w:lang w:eastAsia="zh-CN"/>
        </w:rPr>
        <w:t>，现有职工</w:t>
      </w:r>
      <w:r>
        <w:rPr>
          <w:rFonts w:ascii="方正仿宋简体" w:eastAsia="方正仿宋简体" w:cs="方正仿宋简体" w:hint="eastAsia"/>
          <w:b w:val="0"/>
          <w:bCs w:val="0"/>
          <w:color w:val="auto"/>
          <w:sz w:val="32"/>
          <w:szCs w:val="32"/>
          <w:lang w:val="en-US" w:eastAsia="zh-CN"/>
        </w:rPr>
        <w:t>35人。其中：卫生专业技术人员30人，占总人数85.71%；高级职称3人、中级职称9人，占卫生专业技术人员总数的40%。</w:t>
      </w:r>
    </w:p>
    <w:p>
      <w:pPr>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方正黑体简体" w:eastAsia="方正黑体简体" w:cs="方正黑体简体" w:hint="eastAsia"/>
          <w:color w:val="auto"/>
          <w:kern w:val="0"/>
          <w:sz w:val="32"/>
          <w:szCs w:val="32"/>
          <w:shd w:val="clear" w:color="auto" w:fill="FFFFFF"/>
          <w:lang w:val="zh-CN"/>
        </w:rPr>
      </w:pPr>
      <w:r>
        <w:rPr>
          <w:rFonts w:ascii="方正黑体简体" w:eastAsia="方正黑体简体" w:cs="方正黑体简体" w:hint="eastAsia"/>
          <w:color w:val="auto"/>
          <w:kern w:val="0"/>
          <w:sz w:val="32"/>
          <w:szCs w:val="32"/>
          <w:shd w:val="clear" w:color="auto" w:fill="FFFFFF"/>
          <w:lang w:val="zh-CN"/>
        </w:rPr>
        <w:t>二、部门财政资金收支情况</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（一）部门财政资金收入情况</w:t>
      </w:r>
    </w:p>
    <w:p>
      <w:pPr>
        <w:pStyle w:val="16"/>
        <w:pageBreakBefore w:val="0"/>
        <w:widowControl w:val="0"/>
        <w:kinsoku/>
        <w:wordWrap/>
        <w:overflowPunct/>
        <w:topLinePunct w:val="0"/>
        <w:autoSpaceDE/>
        <w:autoSpaceDN/>
        <w:bidi w:val="0"/>
        <w:spacing w:line="576" w:lineRule="exact"/>
        <w:ind w:leftChars="0" w:left="0"/>
        <w:textAlignment w:val="auto"/>
        <w:rPr>
          <w:rFonts w:ascii="方正仿宋简体" w:eastAsia="方正仿宋简体" w:cs="方正仿宋简体" w:hint="eastAsia"/>
          <w:sz w:val="32"/>
          <w:szCs w:val="32"/>
          <w:highlight w:val="auto"/>
        </w:rPr>
      </w:pPr>
      <w:r>
        <w:rPr>
          <w:rFonts w:ascii="方正仿宋简体" w:eastAsia="方正仿宋简体" w:cs="方正仿宋简体" w:hint="eastAsia"/>
          <w:sz w:val="32"/>
          <w:szCs w:val="32"/>
        </w:rPr>
        <w:t>2</w:t>
      </w:r>
      <w:r>
        <w:rPr>
          <w:rFonts w:ascii="方正仿宋简体" w:eastAsia="方正仿宋简体" w:cs="方正仿宋简体" w:hint="eastAsia"/>
          <w:kern w:val="2"/>
          <w:sz w:val="32"/>
          <w:szCs w:val="32"/>
          <w:lang w:val="en-US" w:eastAsia="zh-CN" w:bidi="ar-SA"/>
        </w:rPr>
        <w:t>020年，利州区</w:t>
      </w:r>
      <w:r>
        <w:rPr>
          <w:rFonts w:ascii="方正仿宋简体" w:eastAsia="方正仿宋简体" w:cs="方正仿宋简体" w:hint="eastAsia"/>
          <w:color w:val="auto"/>
          <w:kern w:val="0"/>
          <w:sz w:val="32"/>
          <w:szCs w:val="32"/>
          <w:shd w:val="clear" w:color="auto" w:fill="FFFFFF"/>
          <w:lang w:val="zh-CN"/>
        </w:rPr>
        <w:t>杨家岩社区卫生服务中心</w:t>
      </w:r>
      <w:r>
        <w:rPr>
          <w:rFonts w:ascii="方正仿宋简体" w:eastAsia="方正仿宋简体" w:cs="方正仿宋简体" w:hint="eastAsia"/>
          <w:kern w:val="2"/>
          <w:sz w:val="32"/>
          <w:szCs w:val="32"/>
          <w:lang w:val="en-US" w:eastAsia="zh-CN" w:bidi="ar-SA"/>
        </w:rPr>
        <w:t>财政资金拨款收入总计477.42万元</w:t>
      </w:r>
      <w:r>
        <w:rPr>
          <w:rFonts w:ascii="方正仿宋简体" w:eastAsia="方正仿宋简体" w:cs="方正仿宋简体" w:hint="eastAsia"/>
          <w:color w:val="000000"/>
          <w:kern w:val="0"/>
          <w:sz w:val="32"/>
          <w:szCs w:val="32"/>
          <w:shd w:val="clear" w:color="auto" w:fill="FFFFFF"/>
          <w:lang w:eastAsia="zh-CN"/>
          <w:highlight w:val="auto"/>
        </w:rPr>
        <w:t>。其中，</w:t>
      </w:r>
      <w:r>
        <w:rPr>
          <w:rFonts w:ascii="方正仿宋简体" w:eastAsia="方正仿宋简体" w:cs="方正仿宋简体" w:hint="eastAsia"/>
          <w:color w:val="000000"/>
          <w:kern w:val="0"/>
          <w:sz w:val="32"/>
          <w:szCs w:val="32"/>
          <w:shd w:val="clear" w:color="auto" w:fill="FFFFFF"/>
          <w:highlight w:val="auto"/>
        </w:rPr>
        <w:t>一般公共预算财政拨款收入</w:t>
      </w:r>
      <w:r>
        <w:rPr>
          <w:rFonts w:ascii="方正仿宋简体" w:eastAsia="方正仿宋简体" w:cs="方正仿宋简体" w:hint="eastAsia"/>
          <w:color w:val="000000"/>
          <w:kern w:val="0"/>
          <w:sz w:val="32"/>
          <w:szCs w:val="32"/>
          <w:shd w:val="clear" w:color="auto" w:fill="FFFFFF"/>
          <w:lang w:val="en-US" w:eastAsia="zh-CN"/>
          <w:highlight w:val="auto"/>
        </w:rPr>
        <w:t>369</w:t>
      </w:r>
      <w:r>
        <w:rPr>
          <w:rFonts w:ascii="方正仿宋简体" w:eastAsia="方正仿宋简体" w:cs="方正仿宋简体" w:hint="eastAsia"/>
          <w:color w:val="000000"/>
          <w:kern w:val="0"/>
          <w:sz w:val="32"/>
          <w:szCs w:val="32"/>
          <w:shd w:val="clear" w:color="auto" w:fill="FFFFFF"/>
          <w:highlight w:val="auto"/>
        </w:rPr>
        <w:t>万元</w:t>
      </w:r>
      <w:r>
        <w:rPr>
          <w:rFonts w:ascii="方正仿宋简体" w:eastAsia="方正仿宋简体" w:cs="方正仿宋简体" w:hint="eastAsia"/>
          <w:color w:val="000000"/>
          <w:kern w:val="0"/>
          <w:sz w:val="32"/>
          <w:szCs w:val="32"/>
          <w:shd w:val="clear" w:color="auto" w:fill="FFFFFF"/>
          <w:lang w:eastAsia="zh-CN"/>
          <w:highlight w:val="auto"/>
        </w:rPr>
        <w:t>，</w:t>
      </w:r>
      <w:r>
        <w:rPr>
          <w:rFonts w:ascii="方正仿宋简体" w:eastAsia="方正仿宋简体" w:cs="方正仿宋简体" w:hint="eastAsia"/>
          <w:kern w:val="2"/>
          <w:sz w:val="32"/>
          <w:szCs w:val="32"/>
          <w:lang w:val="en-US" w:eastAsia="zh-CN" w:bidi="ar-SA"/>
        </w:rPr>
        <w:t>政府性基金预算财政拨款收入108.42万元</w:t>
      </w:r>
      <w:r>
        <w:rPr>
          <w:rFonts w:ascii="方正仿宋简体" w:eastAsia="方正仿宋简体" w:cs="方正仿宋简体" w:hint="eastAsia"/>
          <w:color w:val="000000"/>
          <w:kern w:val="0"/>
          <w:sz w:val="32"/>
          <w:szCs w:val="32"/>
          <w:shd w:val="clear" w:color="auto" w:fill="FFFFFF"/>
          <w:highlight w:val="auto"/>
        </w:rPr>
        <w:t>。</w:t>
      </w:r>
    </w:p>
    <w:p>
      <w:pPr>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方正仿宋简体" w:eastAsia="方正仿宋简体" w:cs="方正仿宋简体" w:hint="eastAsia"/>
          <w:color w:val="auto"/>
          <w:kern w:val="0"/>
          <w:sz w:val="32"/>
          <w:szCs w:val="32"/>
          <w:shd w:val="clear" w:color="auto" w:fill="FFFFFF"/>
          <w:lang w:val="zh-CN"/>
        </w:rPr>
      </w:pP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（二）部门财政资金支出情况</w:t>
      </w:r>
    </w:p>
    <w:p>
      <w:pPr>
        <w:pStyle w:val="16"/>
        <w:pageBreakBefore w:val="0"/>
        <w:widowControl w:val="0"/>
        <w:kinsoku/>
        <w:wordWrap/>
        <w:overflowPunct/>
        <w:topLinePunct w:val="0"/>
        <w:autoSpaceDE/>
        <w:autoSpaceDN/>
        <w:bidi w:val="0"/>
        <w:spacing w:line="576" w:lineRule="exact"/>
        <w:ind w:leftChars="0" w:left="0" w:firstLineChars="200" w:firstLine="640"/>
        <w:textAlignment w:val="auto"/>
        <w:rPr>
          <w:rFonts w:ascii="方正仿宋简体" w:eastAsia="方正仿宋简体" w:cs="方正仿宋简体" w:hint="eastAsia"/>
          <w:color w:val="000000"/>
          <w:kern w:val="0"/>
          <w:sz w:val="32"/>
          <w:szCs w:val="32"/>
          <w:shd w:val="clear" w:color="auto" w:fill="FFFFFF"/>
          <w:highlight w:val="auto"/>
        </w:rPr>
      </w:pPr>
      <w:r>
        <w:rPr>
          <w:rFonts w:ascii="方正仿宋简体" w:eastAsia="方正仿宋简体" w:cs="方正仿宋简体" w:hint="eastAsia"/>
          <w:sz w:val="32"/>
          <w:szCs w:val="32"/>
        </w:rPr>
        <w:t>2</w:t>
      </w:r>
      <w:r>
        <w:rPr>
          <w:rFonts w:ascii="方正仿宋简体" w:eastAsia="方正仿宋简体" w:cs="方正仿宋简体" w:hint="eastAsia"/>
          <w:kern w:val="2"/>
          <w:sz w:val="32"/>
          <w:szCs w:val="32"/>
          <w:lang w:val="en-US" w:eastAsia="zh-CN" w:bidi="ar-SA"/>
        </w:rPr>
        <w:t>020年，利州区</w:t>
      </w:r>
      <w:r>
        <w:rPr>
          <w:rFonts w:ascii="方正仿宋简体" w:eastAsia="方正仿宋简体" w:cs="方正仿宋简体" w:hint="eastAsia"/>
          <w:color w:val="auto"/>
          <w:kern w:val="0"/>
          <w:sz w:val="32"/>
          <w:szCs w:val="32"/>
          <w:shd w:val="clear" w:color="auto" w:fill="FFFFFF"/>
          <w:lang w:val="zh-CN"/>
        </w:rPr>
        <w:t>杨家岩社区卫生服务中心</w:t>
      </w:r>
      <w:r>
        <w:rPr>
          <w:rFonts w:ascii="方正仿宋简体" w:eastAsia="方正仿宋简体" w:cs="方正仿宋简体" w:hint="eastAsia"/>
          <w:kern w:val="2"/>
          <w:sz w:val="32"/>
          <w:szCs w:val="32"/>
          <w:lang w:val="en-US" w:eastAsia="zh-CN" w:bidi="ar-SA"/>
        </w:rPr>
        <w:t>财政资金拨款支出总计471.18万元</w:t>
      </w:r>
      <w:r>
        <w:rPr>
          <w:rFonts w:ascii="方正仿宋简体" w:eastAsia="方正仿宋简体" w:cs="方正仿宋简体" w:hint="eastAsia"/>
          <w:color w:val="000000"/>
          <w:kern w:val="0"/>
          <w:sz w:val="32"/>
          <w:szCs w:val="32"/>
          <w:shd w:val="clear" w:color="auto" w:fill="FFFFFF"/>
          <w:lang w:eastAsia="zh-CN"/>
          <w:highlight w:val="auto"/>
        </w:rPr>
        <w:t>。其中：</w:t>
      </w:r>
      <w:r>
        <w:rPr>
          <w:rFonts w:ascii="方正仿宋简体" w:eastAsia="方正仿宋简体" w:cs="方正仿宋简体" w:hint="eastAsia"/>
          <w:color w:val="000000"/>
          <w:kern w:val="0"/>
          <w:sz w:val="32"/>
          <w:szCs w:val="32"/>
          <w:shd w:val="clear" w:color="auto" w:fill="FFFFFF"/>
          <w:highlight w:val="auto"/>
        </w:rPr>
        <w:t>一般公共预算财政拨款支出</w:t>
      </w:r>
      <w:r>
        <w:rPr>
          <w:rFonts w:ascii="方正仿宋简体" w:eastAsia="方正仿宋简体" w:cs="方正仿宋简体" w:hint="eastAsia"/>
          <w:color w:val="000000"/>
          <w:kern w:val="0"/>
          <w:sz w:val="32"/>
          <w:szCs w:val="32"/>
          <w:shd w:val="clear" w:color="auto" w:fill="FFFFFF"/>
          <w:lang w:val="en-US" w:eastAsia="zh-CN"/>
          <w:highlight w:val="auto"/>
        </w:rPr>
        <w:t>362.76</w:t>
      </w:r>
      <w:r>
        <w:rPr>
          <w:rFonts w:ascii="方正仿宋简体" w:eastAsia="方正仿宋简体" w:cs="方正仿宋简体" w:hint="eastAsia"/>
          <w:color w:val="000000"/>
          <w:kern w:val="0"/>
          <w:sz w:val="32"/>
          <w:szCs w:val="32"/>
          <w:shd w:val="clear" w:color="auto" w:fill="FFFFFF"/>
          <w:highlight w:val="auto"/>
        </w:rPr>
        <w:t>万元</w:t>
      </w:r>
      <w:r>
        <w:rPr>
          <w:rFonts w:ascii="方正仿宋简体" w:eastAsia="方正仿宋简体" w:cs="方正仿宋简体" w:hint="eastAsia"/>
          <w:color w:val="000000"/>
          <w:kern w:val="0"/>
          <w:sz w:val="32"/>
          <w:szCs w:val="32"/>
          <w:shd w:val="clear" w:color="auto" w:fill="FFFFFF"/>
          <w:lang w:eastAsia="zh-CN"/>
          <w:highlight w:val="auto"/>
        </w:rPr>
        <w:t>，</w:t>
      </w:r>
      <w:r>
        <w:rPr>
          <w:rFonts w:ascii="方正仿宋简体" w:eastAsia="方正仿宋简体" w:cs="方正仿宋简体" w:hint="eastAsia"/>
          <w:kern w:val="2"/>
          <w:sz w:val="32"/>
          <w:szCs w:val="32"/>
          <w:lang w:val="en-US" w:eastAsia="zh-CN" w:bidi="ar-SA"/>
        </w:rPr>
        <w:t>政府性基金预算财政拨款支出108.42万元</w:t>
      </w:r>
      <w:r>
        <w:rPr>
          <w:rFonts w:ascii="方正仿宋简体" w:eastAsia="方正仿宋简体" w:cs="方正仿宋简体" w:hint="eastAsia"/>
          <w:color w:val="000000"/>
          <w:kern w:val="0"/>
          <w:sz w:val="32"/>
          <w:szCs w:val="32"/>
          <w:shd w:val="clear" w:color="auto" w:fill="FFFFFF"/>
          <w:highlight w:val="auto"/>
        </w:rPr>
        <w:t>。</w:t>
      </w:r>
    </w:p>
    <w:p>
      <w:pPr>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方正仿宋简体" w:eastAsia="方正仿宋简体" w:cs="方正仿宋简体" w:hint="eastAsia"/>
          <w:color w:val="auto"/>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方正黑体简体" w:eastAsia="方正黑体简体" w:cs="方正黑体简体" w:hint="eastAsia"/>
          <w:color w:val="auto"/>
          <w:kern w:val="0"/>
          <w:sz w:val="32"/>
          <w:szCs w:val="32"/>
          <w:shd w:val="clear" w:color="auto" w:fill="FFFFFF"/>
          <w:lang w:val="zh-CN"/>
        </w:rPr>
      </w:pPr>
      <w:r>
        <w:rPr>
          <w:rFonts w:ascii="方正黑体简体" w:eastAsia="方正黑体简体" w:cs="方正黑体简体" w:hint="eastAsia"/>
          <w:color w:val="auto"/>
          <w:kern w:val="0"/>
          <w:sz w:val="32"/>
          <w:szCs w:val="32"/>
          <w:shd w:val="clear" w:color="auto" w:fill="FFFFFF"/>
          <w:lang w:val="zh-CN"/>
        </w:rPr>
        <w:t>三、部门整体预算绩效管理情况</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（一）部门预算管理</w:t>
      </w:r>
    </w:p>
    <w:p>
      <w:pPr>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方正仿宋简体" w:eastAsia="方正仿宋简体" w:cs="方正仿宋简体" w:hint="eastAsia"/>
          <w:color w:val="auto"/>
          <w:kern w:val="0"/>
          <w:sz w:val="32"/>
          <w:szCs w:val="32"/>
          <w:shd w:val="clear" w:color="auto" w:fill="FFFFFF"/>
          <w:lang w:val="zh-CN"/>
        </w:rPr>
      </w:pPr>
      <w:r>
        <w:rPr>
          <w:rFonts w:ascii="方正仿宋简体" w:eastAsia="方正仿宋简体" w:cs="方正仿宋简体" w:hint="eastAsia"/>
          <w:color w:val="auto"/>
          <w:kern w:val="0"/>
          <w:sz w:val="32"/>
          <w:szCs w:val="32"/>
          <w:shd w:val="clear" w:color="auto" w:fill="FFFFFF"/>
          <w:lang w:val="zh-CN"/>
        </w:rPr>
        <w:t>广元市利州区杨家岩社区卫生服务中心积极建立健全财务管理制度和约束机制，依法有效地分配、使用财政资金，提高资金使用效率，保证卫生健康工作有效有序</w:t>
      </w:r>
      <w:r>
        <w:rPr>
          <w:rFonts w:ascii="方正仿宋简体" w:eastAsia="方正仿宋简体" w:cs="方正仿宋简体" w:hint="eastAsia"/>
          <w:color w:val="auto"/>
          <w:kern w:val="0"/>
          <w:sz w:val="32"/>
          <w:szCs w:val="32"/>
          <w:shd w:val="clear" w:color="auto" w:fill="FFFFFF"/>
          <w:lang w:val="zh-CN" w:eastAsia="zh-CN"/>
        </w:rPr>
        <w:t>的</w:t>
      </w:r>
      <w:r>
        <w:rPr>
          <w:rFonts w:ascii="方正仿宋简体" w:eastAsia="方正仿宋简体" w:cs="方正仿宋简体" w:hint="eastAsia"/>
          <w:color w:val="auto"/>
          <w:kern w:val="0"/>
          <w:sz w:val="32"/>
          <w:szCs w:val="32"/>
          <w:shd w:val="clear" w:color="auto" w:fill="FFFFFF"/>
          <w:lang w:val="zh-CN"/>
        </w:rPr>
        <w:t>运行，对中心整体支出进行了有效控制和节约，合理安排中心整体经费支出，严格执行中央厉行节约禁止铺张浪费的要求，无“三公经费”超标情况。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b/>
          <w:bCs/>
          <w:color w:val="auto"/>
          <w:sz w:val="32"/>
          <w:szCs w:val="32"/>
        </w:rPr>
        <w:t>基本支出</w:t>
      </w:r>
      <w:r>
        <w:rPr>
          <w:rFonts w:ascii="方正仿宋简体" w:eastAsia="方正仿宋简体" w:cs="方正仿宋简体" w:hint="eastAsia"/>
          <w:color w:val="auto"/>
          <w:sz w:val="32"/>
          <w:szCs w:val="32"/>
        </w:rPr>
        <w:t>：为贯彻落实节约、降低事业运行经费的要求，根据各级财政部门的相关政策文件规定，我中心制定了财务管理制度、固定资产管理实施办法、中心工会财务管理办法、物资采购管理办法、精简会议规定、中心单位货币资金及发票的管理办法等相关制度；加强了中心资金的使用管理，坚持勤俭节约，反对奢侈浪费，按制度办事，确保每一分钱都落到实处，每一环节按程序进行，中心财务管理工作做到了细、严、实。基本支出用于发放人员工资、</w:t>
      </w:r>
      <w:r>
        <w:rPr>
          <w:rFonts w:ascii="方正仿宋简体" w:eastAsia="方正仿宋简体" w:cs="方正仿宋简体" w:hint="eastAsia"/>
          <w:color w:val="auto"/>
          <w:sz w:val="32"/>
          <w:szCs w:val="32"/>
          <w:lang w:eastAsia="zh-CN"/>
        </w:rPr>
        <w:t>日常公用</w:t>
      </w:r>
      <w:r>
        <w:rPr>
          <w:rFonts w:ascii="方正仿宋简体" w:eastAsia="方正仿宋简体" w:cs="方正仿宋简体" w:hint="eastAsia"/>
          <w:color w:val="auto"/>
          <w:sz w:val="32"/>
          <w:szCs w:val="32"/>
        </w:rPr>
        <w:t>支出，20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年共支出</w:t>
      </w:r>
      <w:r>
        <w:rPr>
          <w:rFonts w:ascii="方正仿宋简体" w:eastAsia="方正仿宋简体" w:cs="方正仿宋简体" w:hint="eastAsia"/>
          <w:color w:val="auto"/>
          <w:sz w:val="32"/>
          <w:szCs w:val="32"/>
          <w:lang w:val="en-US" w:eastAsia="zh-CN"/>
        </w:rPr>
        <w:t>222.22</w:t>
      </w:r>
      <w:r>
        <w:rPr>
          <w:rFonts w:ascii="方正仿宋简体" w:eastAsia="方正仿宋简体" w:cs="方正仿宋简体" w:hint="eastAsia"/>
          <w:color w:val="auto"/>
          <w:sz w:val="32"/>
          <w:szCs w:val="32"/>
        </w:rPr>
        <w:t>万元。其中：工资福利支出</w:t>
      </w:r>
      <w:r>
        <w:rPr>
          <w:rFonts w:ascii="方正仿宋简体" w:eastAsia="方正仿宋简体" w:cs="方正仿宋简体" w:hint="eastAsia"/>
          <w:color w:val="auto"/>
          <w:sz w:val="32"/>
          <w:szCs w:val="32"/>
          <w:lang w:val="en-US" w:eastAsia="zh-CN"/>
        </w:rPr>
        <w:t>214.55</w:t>
      </w:r>
      <w:r>
        <w:rPr>
          <w:rFonts w:ascii="方正仿宋简体" w:eastAsia="方正仿宋简体" w:cs="方正仿宋简体" w:hint="eastAsia"/>
          <w:color w:val="auto"/>
          <w:sz w:val="32"/>
          <w:szCs w:val="32"/>
        </w:rPr>
        <w:t>万元；商品和服务支出为</w:t>
      </w:r>
      <w:r>
        <w:rPr>
          <w:rFonts w:ascii="方正仿宋简体" w:eastAsia="方正仿宋简体" w:cs="方正仿宋简体" w:hint="eastAsia"/>
          <w:color w:val="auto"/>
          <w:sz w:val="32"/>
          <w:szCs w:val="32"/>
          <w:lang w:val="en-US" w:eastAsia="zh-CN"/>
        </w:rPr>
        <w:t>6.19</w:t>
      </w:r>
      <w:r>
        <w:rPr>
          <w:rFonts w:ascii="方正仿宋简体" w:eastAsia="方正仿宋简体" w:cs="方正仿宋简体" w:hint="eastAsia"/>
          <w:color w:val="auto"/>
          <w:sz w:val="32"/>
          <w:szCs w:val="32"/>
        </w:rPr>
        <w:t>万元；对个人和家庭的补助</w:t>
      </w:r>
      <w:r>
        <w:rPr>
          <w:rFonts w:ascii="方正仿宋简体" w:eastAsia="方正仿宋简体" w:cs="方正仿宋简体" w:hint="eastAsia"/>
          <w:color w:val="auto"/>
          <w:sz w:val="32"/>
          <w:szCs w:val="32"/>
          <w:lang w:val="en-US" w:eastAsia="zh-CN"/>
        </w:rPr>
        <w:t>1.48</w:t>
      </w:r>
      <w:r>
        <w:rPr>
          <w:rFonts w:ascii="方正仿宋简体" w:eastAsia="方正仿宋简体" w:cs="方正仿宋简体" w:hint="eastAsia"/>
          <w:color w:val="auto"/>
          <w:sz w:val="32"/>
          <w:szCs w:val="32"/>
        </w:rPr>
        <w:t>万元。</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b/>
          <w:bCs/>
          <w:color w:val="auto"/>
          <w:sz w:val="32"/>
          <w:szCs w:val="32"/>
        </w:rPr>
        <w:t>项目支出</w:t>
      </w:r>
      <w:r>
        <w:rPr>
          <w:rFonts w:ascii="方正仿宋简体" w:eastAsia="方正仿宋简体" w:cs="方正仿宋简体" w:hint="eastAsia"/>
          <w:color w:val="auto"/>
          <w:sz w:val="32"/>
          <w:szCs w:val="32"/>
        </w:rPr>
        <w:t>：为把财政拨付的专项资金管理好，我中心制定了专项资金管理办法，确保各项目资金专款专用。20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年项目资金共支出</w:t>
      </w:r>
      <w:r>
        <w:rPr>
          <w:rFonts w:ascii="方正仿宋简体" w:eastAsia="方正仿宋简体" w:cs="方正仿宋简体" w:hint="eastAsia"/>
          <w:color w:val="auto"/>
          <w:sz w:val="32"/>
          <w:szCs w:val="32"/>
          <w:lang w:val="en-US" w:eastAsia="zh-CN"/>
        </w:rPr>
        <w:t>248.96</w:t>
      </w:r>
      <w:r>
        <w:rPr>
          <w:rFonts w:ascii="方正仿宋简体" w:eastAsia="方正仿宋简体" w:cs="方正仿宋简体" w:hint="eastAsia"/>
          <w:color w:val="auto"/>
          <w:sz w:val="32"/>
          <w:szCs w:val="32"/>
        </w:rPr>
        <w:t>万元。其中：商品和服务支出</w:t>
      </w:r>
      <w:r>
        <w:rPr>
          <w:rFonts w:ascii="方正仿宋简体" w:eastAsia="方正仿宋简体" w:cs="方正仿宋简体" w:hint="eastAsia"/>
          <w:color w:val="auto"/>
          <w:sz w:val="32"/>
          <w:szCs w:val="32"/>
          <w:lang w:val="en-US" w:eastAsia="zh-CN"/>
        </w:rPr>
        <w:t>248.96</w:t>
      </w:r>
      <w:r>
        <w:rPr>
          <w:rFonts w:ascii="方正仿宋简体" w:eastAsia="方正仿宋简体" w:cs="方正仿宋简体" w:hint="eastAsia"/>
          <w:color w:val="auto"/>
          <w:sz w:val="32"/>
          <w:szCs w:val="32"/>
        </w:rPr>
        <w:t>万元。</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（二）结果应用情况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根据自评结果，20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年度广元市利州区</w:t>
      </w:r>
      <w:r>
        <w:rPr>
          <w:rFonts w:ascii="方正仿宋简体" w:eastAsia="方正仿宋简体" w:cs="方正仿宋简体" w:hint="eastAsia"/>
          <w:color w:val="auto"/>
          <w:sz w:val="32"/>
          <w:szCs w:val="32"/>
          <w:lang w:eastAsia="zh-CN"/>
        </w:rPr>
        <w:t>杨家岩</w:t>
      </w:r>
      <w:r>
        <w:rPr>
          <w:rFonts w:ascii="方正仿宋简体" w:eastAsia="方正仿宋简体" w:cs="方正仿宋简体" w:hint="eastAsia"/>
          <w:color w:val="auto"/>
          <w:sz w:val="32"/>
          <w:szCs w:val="32"/>
        </w:rPr>
        <w:t>社区卫生服务中心整体预算绩效质量好，既保障了中心正常办公和生活秩序，又顺利完成各项工作任务，严格履行法定职责，圆满完成了上级业务主管部门的工作任务，准确评价了各项指标的完成情况，群众满意度很高。</w:t>
      </w:r>
    </w:p>
    <w:p>
      <w:pPr>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方正黑体简体" w:eastAsia="方正黑体简体" w:cs="方正黑体简体" w:hint="eastAsia"/>
          <w:color w:val="auto"/>
          <w:kern w:val="0"/>
          <w:sz w:val="32"/>
          <w:szCs w:val="32"/>
          <w:shd w:val="clear" w:color="auto" w:fill="FFFFFF"/>
          <w:lang w:val="zh-CN"/>
        </w:rPr>
      </w:pPr>
      <w:r>
        <w:rPr>
          <w:rFonts w:ascii="方正黑体简体" w:eastAsia="方正黑体简体" w:cs="方正黑体简体" w:hint="eastAsia"/>
          <w:color w:val="auto"/>
          <w:kern w:val="0"/>
          <w:sz w:val="32"/>
          <w:szCs w:val="32"/>
          <w:shd w:val="clear" w:color="auto" w:fill="FFFFFF"/>
          <w:lang w:val="zh-CN"/>
        </w:rPr>
        <w:t>四、评价结论及建议</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（一）评价结论</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及时、准确、优质地完成了预算编制；预算执行情况良好，支出管理规范，资金管理制度较为完善，会计核算和账务处理规范，会计资料完整。</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（二）存在问题</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1</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预算不够明确和细化，预算编制的合理性不够。预算执行力度还要进一步加强。</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预算编制的前瞻度不够,对当年度新情况、新问题加强前瞻性、针对性研究不多，预算和实际支出调整较大。</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3</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财务管理水平有待提高。财务工作按部就班，缺乏创新，在精度和深度上欠缺，还需要进一步完善，尤其在项目建设方面还需要进一步严格。</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（三）改进建议</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1</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细化预算编制工作，将进一步重视预算的编制工作，加强单位内部机构的预算管理意识，科学规划预算编制的精确度，提高财政资金使用效率，加强内部预算编制的审核和预算控制指标的下达，尽量减少预算资金的调整、结转和结余的情形。</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建议财政部门加强对财务人员财务工作的指导和培训。</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3</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进一步完善和落实相关管理制度，</w:t>
      </w: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上下应加强学习内部控制管理制度，严格遵照相关制度贯彻落实到位，做到精细化管理。</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方正仿宋简体" w:eastAsia="方正仿宋简体" w:cs="方正仿宋简体" w:hint="eastAsia"/>
          <w:color w:val="auto"/>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方正仿宋简体" w:eastAsia="方正仿宋简体" w:cs="方正仿宋简体" w:hint="eastAsia"/>
          <w:color w:val="auto"/>
          <w:kern w:val="0"/>
          <w:sz w:val="32"/>
          <w:szCs w:val="32"/>
          <w:shd w:val="clear" w:color="auto" w:fill="FFFFFF"/>
          <w:lang w:val="zh-CN"/>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textAlignment w:val="auto"/>
        <w:rPr>
          <w:rFonts w:ascii="方正仿宋简体" w:eastAsia="方正仿宋简体" w:cs="方正仿宋简体" w:hint="eastAsia"/>
          <w:color w:val="auto"/>
          <w:sz w:val="32"/>
          <w:szCs w:val="32"/>
        </w:rPr>
      </w:pP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p>
    <w:p>
      <w:pPr>
        <w:pStyle w:val="16"/>
        <w:rPr>
          <w:rFonts w:hint="eastAsia"/>
        </w:rPr>
      </w:pPr>
    </w:p>
    <w:p>
      <w:pPr>
        <w:pageBreakBefore w:val="0"/>
        <w:widowControl w:val="0"/>
        <w:kinsoku/>
        <w:wordWrap/>
        <w:overflowPunct/>
        <w:topLinePunct w:val="0"/>
        <w:bidi w:val="0"/>
        <w:spacing w:line="576" w:lineRule="exact"/>
        <w:jc w:val="left"/>
        <w:outlineLvl w:val="0"/>
        <w:rPr>
          <w:rFonts w:ascii="方正黑体简体" w:eastAsia="方正黑体简体" w:cs="方正黑体简体" w:hint="eastAsia"/>
          <w:b w:val="0"/>
          <w:bCs w:val="0"/>
          <w:color w:val="auto"/>
          <w:sz w:val="32"/>
          <w:szCs w:val="32"/>
          <w:lang w:val="en-US" w:eastAsia="zh-CN"/>
        </w:rPr>
      </w:pPr>
      <w:r>
        <w:rPr>
          <w:rFonts w:ascii="方正黑体简体" w:eastAsia="方正黑体简体" w:cs="方正黑体简体" w:hint="eastAsia"/>
          <w:b w:val="0"/>
          <w:bCs w:val="0"/>
          <w:color w:val="auto"/>
          <w:sz w:val="32"/>
          <w:szCs w:val="32"/>
        </w:rPr>
        <w:t>附件2</w:t>
      </w:r>
      <w:r>
        <w:rPr>
          <w:rFonts w:ascii="方正黑体简体" w:eastAsia="方正黑体简体" w:cs="方正黑体简体" w:hint="eastAsia"/>
          <w:b w:val="0"/>
          <w:bCs w:val="0"/>
          <w:color w:val="auto"/>
          <w:sz w:val="32"/>
          <w:szCs w:val="32"/>
          <w:lang w:val="en-US" w:eastAsia="zh-CN"/>
        </w:rPr>
        <w:t>-1</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b/>
          <w:bCs/>
          <w:color w:val="auto"/>
          <w:sz w:val="32"/>
          <w:szCs w:val="32"/>
        </w:rPr>
      </w:pPr>
    </w:p>
    <w:p>
      <w:pPr>
        <w:pageBreakBefore w:val="0"/>
        <w:widowControl w:val="0"/>
        <w:kinsoku/>
        <w:wordWrap/>
        <w:overflowPunct/>
        <w:topLinePunct w:val="0"/>
        <w:autoSpaceDE/>
        <w:autoSpaceDN/>
        <w:bidi w:val="0"/>
        <w:spacing w:line="576" w:lineRule="exact"/>
        <w:ind w:firstLineChars="200" w:firstLine="880"/>
        <w:jc w:val="center"/>
        <w:textAlignment w:val="auto"/>
        <w:rPr>
          <w:rFonts w:ascii="方正小标宋简体" w:eastAsia="方正小标宋简体" w:cs="方正小标宋简体" w:hint="eastAsia"/>
          <w:b w:val="0"/>
          <w:bCs w:val="0"/>
          <w:color w:val="auto"/>
          <w:kern w:val="0"/>
          <w:sz w:val="44"/>
          <w:szCs w:val="44"/>
        </w:rPr>
      </w:pPr>
      <w:r>
        <w:rPr>
          <w:rFonts w:ascii="方正小标宋简体" w:eastAsia="方正小标宋简体" w:cs="方正小标宋简体" w:hint="eastAsia"/>
          <w:b w:val="0"/>
          <w:bCs w:val="0"/>
          <w:color w:val="auto"/>
          <w:kern w:val="0"/>
          <w:sz w:val="44"/>
          <w:szCs w:val="44"/>
        </w:rPr>
        <w:t>20</w:t>
      </w:r>
      <w:r>
        <w:rPr>
          <w:rFonts w:ascii="方正小标宋简体" w:eastAsia="方正小标宋简体" w:cs="方正小标宋简体" w:hint="eastAsia"/>
          <w:b w:val="0"/>
          <w:bCs w:val="0"/>
          <w:color w:val="auto"/>
          <w:kern w:val="0"/>
          <w:sz w:val="44"/>
          <w:szCs w:val="44"/>
          <w:lang w:val="en-US" w:eastAsia="zh-CN"/>
        </w:rPr>
        <w:t>20</w:t>
      </w:r>
      <w:r>
        <w:rPr>
          <w:rFonts w:ascii="方正小标宋简体" w:eastAsia="方正小标宋简体" w:cs="方正小标宋简体" w:hint="eastAsia"/>
          <w:b w:val="0"/>
          <w:bCs w:val="0"/>
          <w:color w:val="auto"/>
          <w:kern w:val="0"/>
          <w:sz w:val="44"/>
          <w:szCs w:val="44"/>
        </w:rPr>
        <w:t>年基本公共卫生项目支出</w:t>
      </w:r>
    </w:p>
    <w:p>
      <w:pPr>
        <w:pageBreakBefore w:val="0"/>
        <w:widowControl w:val="0"/>
        <w:kinsoku/>
        <w:wordWrap/>
        <w:overflowPunct/>
        <w:topLinePunct w:val="0"/>
        <w:autoSpaceDE/>
        <w:autoSpaceDN/>
        <w:bidi w:val="0"/>
        <w:spacing w:line="576" w:lineRule="exact"/>
        <w:ind w:firstLineChars="200" w:firstLine="880"/>
        <w:jc w:val="center"/>
        <w:textAlignment w:val="auto"/>
        <w:rPr>
          <w:rFonts w:ascii="方正小标宋简体" w:eastAsia="方正小标宋简体" w:cs="方正小标宋简体" w:hint="eastAsia"/>
          <w:b w:val="0"/>
          <w:bCs w:val="0"/>
          <w:color w:val="auto"/>
          <w:kern w:val="0"/>
          <w:sz w:val="44"/>
          <w:szCs w:val="44"/>
          <w:lang w:val="zh-CN"/>
        </w:rPr>
      </w:pPr>
      <w:r>
        <w:rPr>
          <w:rFonts w:ascii="方正小标宋简体" w:eastAsia="方正小标宋简体" w:cs="方正小标宋简体" w:hint="eastAsia"/>
          <w:b w:val="0"/>
          <w:bCs w:val="0"/>
          <w:color w:val="auto"/>
          <w:kern w:val="0"/>
          <w:sz w:val="44"/>
          <w:szCs w:val="44"/>
          <w:lang w:val="zh-CN"/>
        </w:rPr>
        <w:t>绩效评价报告</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lang w:val="zh-CN"/>
        </w:rPr>
      </w:pP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lang w:val="zh-CN"/>
        </w:rPr>
      </w:pPr>
      <w:r>
        <w:rPr>
          <w:rFonts w:ascii="方正黑体简体" w:eastAsia="方正黑体简体" w:cs="方正黑体简体" w:hint="eastAsia"/>
          <w:b w:val="0"/>
          <w:bCs w:val="0"/>
          <w:color w:val="auto"/>
          <w:sz w:val="32"/>
          <w:szCs w:val="32"/>
        </w:rPr>
        <w:t>一、</w:t>
      </w:r>
      <w:r>
        <w:rPr>
          <w:rFonts w:ascii="方正黑体简体" w:eastAsia="方正黑体简体" w:cs="方正黑体简体" w:hint="eastAsia"/>
          <w:b w:val="0"/>
          <w:bCs w:val="0"/>
          <w:color w:val="auto"/>
          <w:sz w:val="32"/>
          <w:szCs w:val="32"/>
          <w:lang w:val="zh-CN"/>
        </w:rPr>
        <w:t>项目概况</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（一）项目基本情况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b/>
          <w:color w:val="auto"/>
          <w:sz w:val="32"/>
          <w:szCs w:val="32"/>
          <w:lang w:val="zh-CN"/>
        </w:rPr>
      </w:pPr>
      <w:r>
        <w:rPr>
          <w:rFonts w:ascii="方正仿宋简体" w:eastAsia="方正仿宋简体" w:cs="方正仿宋简体" w:hint="eastAsia"/>
          <w:color w:val="auto"/>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lang w:eastAsia="zh-CN"/>
        </w:rPr>
      </w:pPr>
      <w:r>
        <w:rPr>
          <w:rFonts w:ascii="方正仿宋简体" w:eastAsia="方正仿宋简体" w:cs="方正仿宋简体" w:hint="eastAsia"/>
          <w:color w:val="auto"/>
          <w:sz w:val="32"/>
          <w:szCs w:val="32"/>
          <w:lang w:eastAsia="zh-CN"/>
        </w:rPr>
        <w:t>根据省市区级相关文件精神，按照《国家基本公共卫生服务规范（第三版）》要求，开展基本公共卫生服务项目。通过实施基本公共卫生服务项目，对影响居民健康的主要卫生问题实施干预，减少主要健康危险因素，有效预防和控制主要传染病及慢性病，使城乡居民逐步享有均等化的公共卫生服务。</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该项目资金总投入</w:t>
      </w:r>
      <w:r>
        <w:rPr>
          <w:rFonts w:ascii="方正仿宋简体" w:eastAsia="方正仿宋简体" w:cs="方正仿宋简体" w:hint="eastAsia"/>
          <w:color w:val="auto"/>
          <w:sz w:val="32"/>
          <w:szCs w:val="32"/>
          <w:lang w:val="en-US" w:eastAsia="zh-CN"/>
        </w:rPr>
        <w:t>101.19万</w:t>
      </w:r>
      <w:r>
        <w:rPr>
          <w:rFonts w:ascii="方正仿宋简体" w:eastAsia="方正仿宋简体" w:cs="方正仿宋简体" w:hint="eastAsia"/>
          <w:color w:val="auto"/>
          <w:sz w:val="32"/>
          <w:szCs w:val="32"/>
        </w:rPr>
        <w:t>元。其中：</w:t>
      </w:r>
      <w:r>
        <w:rPr>
          <w:rFonts w:ascii="方正仿宋简体" w:eastAsia="方正仿宋简体" w:cs="方正仿宋简体" w:hint="eastAsia"/>
          <w:color w:val="auto"/>
          <w:sz w:val="32"/>
          <w:szCs w:val="32"/>
          <w:lang w:eastAsia="zh-CN"/>
        </w:rPr>
        <w:t>中央补助</w:t>
      </w:r>
      <w:r>
        <w:rPr>
          <w:rFonts w:ascii="方正仿宋简体" w:eastAsia="方正仿宋简体" w:cs="方正仿宋简体" w:hint="eastAsia"/>
          <w:color w:val="auto"/>
          <w:sz w:val="32"/>
          <w:szCs w:val="32"/>
        </w:rPr>
        <w:t>资金</w:t>
      </w:r>
      <w:r>
        <w:rPr>
          <w:rFonts w:ascii="方正仿宋简体" w:eastAsia="方正仿宋简体" w:cs="方正仿宋简体" w:hint="eastAsia"/>
          <w:color w:val="auto"/>
          <w:sz w:val="32"/>
          <w:szCs w:val="32"/>
          <w:lang w:val="en-US" w:eastAsia="zh-CN"/>
        </w:rPr>
        <w:t>83.53</w:t>
      </w:r>
      <w:r>
        <w:rPr>
          <w:rFonts w:ascii="方正仿宋简体" w:eastAsia="方正仿宋简体" w:cs="方正仿宋简体" w:hint="eastAsia"/>
          <w:color w:val="auto"/>
          <w:sz w:val="32"/>
          <w:szCs w:val="32"/>
        </w:rPr>
        <w:t>万元，</w:t>
      </w:r>
      <w:r>
        <w:rPr>
          <w:rFonts w:ascii="方正仿宋简体" w:eastAsia="方正仿宋简体" w:cs="方正仿宋简体" w:hint="eastAsia"/>
          <w:color w:val="auto"/>
          <w:sz w:val="32"/>
          <w:szCs w:val="32"/>
          <w:lang w:eastAsia="zh-CN"/>
        </w:rPr>
        <w:t>省级补助资金</w:t>
      </w:r>
      <w:r>
        <w:rPr>
          <w:rFonts w:ascii="方正仿宋简体" w:eastAsia="方正仿宋简体" w:cs="方正仿宋简体" w:hint="eastAsia"/>
          <w:color w:val="auto"/>
          <w:sz w:val="32"/>
          <w:szCs w:val="32"/>
          <w:lang w:val="en-US" w:eastAsia="zh-CN"/>
        </w:rPr>
        <w:t>9.41万元，市级补助资金5.11万元，区级补助资金3.14万元。</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（二）项目绩效目标</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b/>
          <w:bCs/>
          <w:color w:val="auto"/>
          <w:sz w:val="32"/>
          <w:szCs w:val="32"/>
          <w:lang w:val="zh-CN"/>
        </w:rPr>
      </w:pPr>
      <w:r>
        <w:rPr>
          <w:rFonts w:ascii="方正仿宋简体" w:eastAsia="方正仿宋简体" w:cs="方正仿宋简体" w:hint="eastAsia"/>
          <w:b/>
          <w:bCs/>
          <w:color w:val="auto"/>
          <w:sz w:val="32"/>
          <w:szCs w:val="32"/>
          <w:lang w:val="zh-CN"/>
        </w:rPr>
        <w:t>1.项目主要内容</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依据</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国家基本公共卫生服务规范（第三版）</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，对城乡居民实施健康档案管理、健康教育、预防接种、</w:t>
      </w:r>
      <w:r>
        <w:rPr>
          <w:rFonts w:ascii="方正仿宋简体" w:eastAsia="方正仿宋简体" w:cs="方正仿宋简体" w:hint="eastAsia"/>
          <w:color w:val="auto"/>
          <w:sz w:val="32"/>
          <w:szCs w:val="32"/>
          <w:lang w:val="en-US" w:eastAsia="zh-CN"/>
        </w:rPr>
        <w:t>0-6岁</w:t>
      </w:r>
      <w:r>
        <w:rPr>
          <w:rFonts w:ascii="方正仿宋简体" w:eastAsia="方正仿宋简体" w:cs="方正仿宋简体" w:hint="eastAsia"/>
          <w:color w:val="auto"/>
          <w:sz w:val="32"/>
          <w:szCs w:val="32"/>
        </w:rPr>
        <w:t>儿童</w:t>
      </w:r>
      <w:r>
        <w:rPr>
          <w:rFonts w:ascii="方正仿宋简体" w:eastAsia="方正仿宋简体" w:cs="方正仿宋简体" w:hint="eastAsia"/>
          <w:color w:val="auto"/>
          <w:sz w:val="32"/>
          <w:szCs w:val="32"/>
          <w:lang w:eastAsia="zh-CN"/>
        </w:rPr>
        <w:t>健康</w:t>
      </w:r>
      <w:r>
        <w:rPr>
          <w:rFonts w:ascii="方正仿宋简体" w:eastAsia="方正仿宋简体" w:cs="方正仿宋简体" w:hint="eastAsia"/>
          <w:color w:val="auto"/>
          <w:sz w:val="32"/>
          <w:szCs w:val="32"/>
        </w:rPr>
        <w:t>管理、孕产妇健康管理、慢性病患者健康管理、重性精神疾病健康管理、结核病患者健康管理、传染病及突发公共卫生事件报告和处理、卫生监督协管、中医药健康管理、提供避孕药具、健康素养促进行动等1</w:t>
      </w:r>
      <w:r>
        <w:rPr>
          <w:rFonts w:ascii="方正仿宋简体" w:eastAsia="方正仿宋简体" w:cs="方正仿宋简体" w:hint="eastAsia"/>
          <w:color w:val="auto"/>
          <w:sz w:val="32"/>
          <w:szCs w:val="32"/>
          <w:lang w:val="en-US" w:eastAsia="zh-CN"/>
        </w:rPr>
        <w:t>3</w:t>
      </w:r>
      <w:r>
        <w:rPr>
          <w:rFonts w:ascii="方正仿宋简体" w:eastAsia="方正仿宋简体" w:cs="方正仿宋简体" w:hint="eastAsia"/>
          <w:color w:val="auto"/>
          <w:sz w:val="32"/>
          <w:szCs w:val="32"/>
        </w:rPr>
        <w:t>项免费服务。</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b/>
          <w:bCs/>
          <w:color w:val="auto"/>
          <w:sz w:val="32"/>
          <w:szCs w:val="32"/>
          <w:lang w:val="zh-CN"/>
        </w:rPr>
      </w:pPr>
      <w:r>
        <w:rPr>
          <w:rFonts w:ascii="方正仿宋简体" w:eastAsia="方正仿宋简体" w:cs="方正仿宋简体" w:hint="eastAsia"/>
          <w:b/>
          <w:bCs/>
          <w:color w:val="auto"/>
          <w:sz w:val="32"/>
          <w:szCs w:val="32"/>
          <w:lang w:val="zh-CN"/>
        </w:rPr>
        <w:t>2.项目应实现的具体绩效目标</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b w:val="0"/>
          <w:bCs w:val="0"/>
          <w:color w:val="auto"/>
          <w:sz w:val="32"/>
          <w:szCs w:val="32"/>
        </w:rPr>
      </w:pPr>
      <w:r>
        <w:rPr>
          <w:rFonts w:ascii="方正仿宋简体" w:eastAsia="方正仿宋简体" w:cs="方正仿宋简体" w:hint="eastAsia"/>
          <w:b w:val="0"/>
          <w:bCs w:val="0"/>
          <w:color w:val="auto"/>
          <w:sz w:val="32"/>
          <w:szCs w:val="32"/>
        </w:rPr>
        <w:t>推进基本公共卫生服务项目开展，</w:t>
      </w:r>
      <w:r>
        <w:rPr>
          <w:rFonts w:ascii="方正仿宋简体" w:eastAsia="方正仿宋简体" w:cs="方正仿宋简体" w:hint="eastAsia"/>
          <w:b w:val="0"/>
          <w:bCs w:val="0"/>
          <w:color w:val="auto"/>
          <w:sz w:val="32"/>
          <w:szCs w:val="32"/>
          <w:lang w:eastAsia="zh-CN"/>
        </w:rPr>
        <w:t>全面落实</w:t>
      </w:r>
      <w:r>
        <w:rPr>
          <w:rFonts w:ascii="方正仿宋简体" w:eastAsia="方正仿宋简体" w:cs="方正仿宋简体" w:hint="eastAsia"/>
          <w:b w:val="0"/>
          <w:bCs w:val="0"/>
          <w:color w:val="auto"/>
          <w:sz w:val="32"/>
          <w:szCs w:val="32"/>
          <w:lang w:val="en-US" w:eastAsia="zh-CN"/>
        </w:rPr>
        <w:t>12项基本公共卫生服务项目，电子建档率达93%以上，动态管理率达90%以上；高血压、糖尿病患者规范化管理率分别达70%和60%以上；早孕建册和产后访视率达到80%以上；严重精神障碍患者应检必检，管理率达95%以上；老年人健康管理率达70%以上；结核病患者健康管理率达到90%以上。老年人、儿童、高血压、糖尿病等4类人群中医药健康管理覆盖率达75%以上；国家免疫疫苗报告接种率达99%以上，适龄儿童建卡率</w:t>
      </w:r>
      <w:r>
        <w:rPr>
          <w:rFonts w:ascii="方正仿宋简体" w:eastAsia="方正仿宋简体" w:cs="方正仿宋简体" w:hint="eastAsia"/>
          <w:color w:val="auto"/>
          <w:kern w:val="0"/>
          <w:sz w:val="32"/>
          <w:szCs w:val="32"/>
        </w:rPr>
        <w:t>≥9</w:t>
      </w:r>
      <w:r>
        <w:rPr>
          <w:rFonts w:ascii="方正仿宋简体" w:eastAsia="方正仿宋简体" w:cs="方正仿宋简体" w:hint="eastAsia"/>
          <w:color w:val="auto"/>
          <w:kern w:val="0"/>
          <w:sz w:val="32"/>
          <w:szCs w:val="32"/>
          <w:lang w:val="en-US" w:eastAsia="zh-CN"/>
        </w:rPr>
        <w:t>8</w:t>
      </w:r>
      <w:r>
        <w:rPr>
          <w:rFonts w:ascii="方正仿宋简体" w:eastAsia="方正仿宋简体" w:cs="方正仿宋简体" w:hint="eastAsia"/>
          <w:color w:val="auto"/>
          <w:kern w:val="0"/>
          <w:sz w:val="32"/>
          <w:szCs w:val="32"/>
        </w:rPr>
        <w:t>%</w:t>
      </w:r>
      <w:r>
        <w:rPr>
          <w:rFonts w:ascii="方正仿宋简体" w:eastAsia="方正仿宋简体" w:cs="方正仿宋简体" w:hint="eastAsia"/>
          <w:color w:val="auto"/>
          <w:kern w:val="0"/>
          <w:sz w:val="32"/>
          <w:szCs w:val="32"/>
          <w:lang w:eastAsia="zh-CN"/>
        </w:rPr>
        <w:t>、建证率</w:t>
      </w:r>
      <w:r>
        <w:rPr>
          <w:rFonts w:ascii="方正仿宋简体" w:eastAsia="方正仿宋简体" w:cs="方正仿宋简体" w:hint="eastAsia"/>
          <w:color w:val="auto"/>
          <w:kern w:val="0"/>
          <w:sz w:val="32"/>
          <w:szCs w:val="32"/>
        </w:rPr>
        <w:t>≥9</w:t>
      </w:r>
      <w:r>
        <w:rPr>
          <w:rFonts w:ascii="方正仿宋简体" w:eastAsia="方正仿宋简体" w:cs="方正仿宋简体" w:hint="eastAsia"/>
          <w:color w:val="auto"/>
          <w:kern w:val="0"/>
          <w:sz w:val="32"/>
          <w:szCs w:val="32"/>
          <w:lang w:val="en-US" w:eastAsia="zh-CN"/>
        </w:rPr>
        <w:t>5</w:t>
      </w:r>
      <w:r>
        <w:rPr>
          <w:rFonts w:ascii="方正仿宋简体" w:eastAsia="方正仿宋简体" w:cs="方正仿宋简体" w:hint="eastAsia"/>
          <w:color w:val="auto"/>
          <w:kern w:val="0"/>
          <w:sz w:val="32"/>
          <w:szCs w:val="32"/>
        </w:rPr>
        <w:t>%</w:t>
      </w:r>
      <w:r>
        <w:rPr>
          <w:rFonts w:ascii="方正仿宋简体" w:eastAsia="方正仿宋简体" w:cs="方正仿宋简体" w:hint="eastAsia"/>
          <w:color w:val="auto"/>
          <w:kern w:val="0"/>
          <w:sz w:val="32"/>
          <w:szCs w:val="32"/>
          <w:lang w:eastAsia="zh-CN"/>
        </w:rPr>
        <w:t>；加强慢性病综合防控，死因监测率达到辖区常住人口的</w:t>
      </w:r>
      <w:r>
        <w:rPr>
          <w:rFonts w:ascii="方正仿宋简体" w:eastAsia="方正仿宋简体" w:cs="方正仿宋简体" w:hint="eastAsia"/>
          <w:color w:val="auto"/>
          <w:kern w:val="0"/>
          <w:sz w:val="32"/>
          <w:szCs w:val="32"/>
          <w:lang w:val="en-US" w:eastAsia="zh-CN"/>
        </w:rPr>
        <w:t>6‰以上，无漏报；做好艾滋病、结核病等重大传染性疾病的综合防治工作，传染病报告率和网络直报覆盖率达100%；加强卫生应急能力建设，做好各类突发公共卫生事件卫生应急处置能力。</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b/>
          <w:bCs/>
          <w:color w:val="auto"/>
          <w:sz w:val="32"/>
          <w:szCs w:val="32"/>
          <w:lang w:val="zh-CN"/>
        </w:rPr>
      </w:pPr>
      <w:r>
        <w:rPr>
          <w:rFonts w:ascii="方正仿宋简体" w:eastAsia="方正仿宋简体" w:cs="方正仿宋简体" w:hint="eastAsia"/>
          <w:b/>
          <w:bCs/>
          <w:color w:val="auto"/>
          <w:sz w:val="32"/>
          <w:szCs w:val="32"/>
          <w:lang w:val="zh-CN"/>
        </w:rPr>
        <w:t>3.分析评价申报内容是否与实际相符，申报目标是否合理可行</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广元市利州区杨家岩社区卫生服务中心收到 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年基本公共卫生服务项目补助资金</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万元。广</w:t>
      </w:r>
      <w:r>
        <w:rPr>
          <w:rFonts w:ascii="方正仿宋简体" w:eastAsia="方正仿宋简体" w:cs="方正仿宋简体" w:hint="eastAsia"/>
          <w:b w:val="0"/>
          <w:bCs/>
          <w:color w:val="auto"/>
          <w:sz w:val="32"/>
          <w:szCs w:val="32"/>
          <w:lang w:val="zh-CN"/>
        </w:rPr>
        <w:t>元市利州区公共卫生指导中心通过基本公共卫生服务考核</w:t>
      </w:r>
      <w:r>
        <w:rPr>
          <w:rFonts w:ascii="方正仿宋简体" w:eastAsia="方正仿宋简体" w:cs="方正仿宋简体" w:hint="eastAsia"/>
          <w:b w:val="0"/>
          <w:bCs/>
          <w:color w:val="auto"/>
          <w:sz w:val="32"/>
          <w:szCs w:val="32"/>
        </w:rPr>
        <w:t>和完成目标任务情况综合评定</w:t>
      </w:r>
      <w:r>
        <w:rPr>
          <w:rFonts w:ascii="方正仿宋简体" w:eastAsia="方正仿宋简体" w:cs="方正仿宋简体" w:hint="eastAsia"/>
          <w:b w:val="0"/>
          <w:bCs/>
          <w:color w:val="auto"/>
          <w:sz w:val="32"/>
          <w:szCs w:val="32"/>
          <w:lang w:val="zh-CN"/>
        </w:rPr>
        <w:t>拨付补助资金。</w:t>
      </w:r>
      <w:r>
        <w:rPr>
          <w:rFonts w:ascii="方正仿宋简体" w:eastAsia="方正仿宋简体" w:cs="方正仿宋简体" w:hint="eastAsia"/>
          <w:color w:val="auto"/>
          <w:sz w:val="32"/>
          <w:szCs w:val="32"/>
          <w:lang w:val="zh-CN"/>
        </w:rPr>
        <w:t>并对中心实施基本公共卫生服务绩效考核工作的组织实施进行监督管理。</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（三）项目自评步骤及方法</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项目自评按照区卫健局部署，</w:t>
      </w:r>
      <w:r>
        <w:rPr>
          <w:rFonts w:ascii="方正仿宋简体" w:eastAsia="方正仿宋简体" w:cs="方正仿宋简体" w:hint="eastAsia"/>
          <w:color w:val="auto"/>
          <w:sz w:val="32"/>
          <w:szCs w:val="32"/>
        </w:rPr>
        <w:t>依据</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rPr>
        <w:t>国家基本公共卫生服务规范（第三版）</w:t>
      </w:r>
      <w:r>
        <w:rPr>
          <w:rFonts w:ascii="方正仿宋简体" w:eastAsia="方正仿宋简体" w:cs="方正仿宋简体" w:hint="eastAsia"/>
          <w:color w:val="auto"/>
          <w:sz w:val="32"/>
          <w:szCs w:val="32"/>
          <w:lang w:eastAsia="zh-CN"/>
        </w:rPr>
        <w:t>》要求，对照</w:t>
      </w:r>
      <w:r>
        <w:rPr>
          <w:rFonts w:ascii="方正仿宋简体" w:eastAsia="方正仿宋简体" w:cs="方正仿宋简体" w:hint="eastAsia"/>
          <w:color w:val="auto"/>
          <w:sz w:val="32"/>
          <w:szCs w:val="32"/>
          <w:lang w:val="en-US" w:eastAsia="zh-CN"/>
        </w:rPr>
        <w:t>项目绩效评价内容，项目完成指标，效益指标，服务对象满意度指标等</w:t>
      </w:r>
      <w:r>
        <w:rPr>
          <w:rFonts w:ascii="方正仿宋简体" w:eastAsia="方正仿宋简体" w:cs="方正仿宋简体" w:hint="eastAsia"/>
          <w:color w:val="auto"/>
          <w:sz w:val="32"/>
          <w:szCs w:val="32"/>
          <w:lang w:val="zh-CN"/>
        </w:rPr>
        <w:t>情况进行绩效评价。</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二、项目资金申报及使用情况</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（一）项目资金申报及批复情况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年中心实施基本公共卫生服务项目补助安排资金为</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万元，由《广元市利州区卫生健康局关于下达</w:t>
      </w:r>
      <w:r>
        <w:rPr>
          <w:rFonts w:ascii="方正仿宋简体" w:eastAsia="方正仿宋简体" w:cs="方正仿宋简体" w:hint="eastAsia"/>
          <w:color w:val="auto"/>
          <w:sz w:val="32"/>
          <w:szCs w:val="32"/>
          <w:lang w:val="en-US" w:eastAsia="zh-CN"/>
        </w:rPr>
        <w:t>2020年公共卫生服务中央、省级补助资金和区级配套资金的通知</w:t>
      </w:r>
      <w:r>
        <w:rPr>
          <w:rFonts w:ascii="方正仿宋简体" w:eastAsia="方正仿宋简体" w:cs="方正仿宋简体" w:hint="eastAsia"/>
          <w:color w:val="auto"/>
          <w:sz w:val="32"/>
          <w:szCs w:val="32"/>
          <w:lang w:val="zh-CN"/>
        </w:rPr>
        <w:t>》等相关文件下达中心实施基本公共卫生服务项目补助资金</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（二）资金到位及使用情况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en-US" w:eastAsia="zh-CN"/>
        </w:rPr>
        <w:t>1</w:t>
      </w:r>
      <w:r>
        <w:rPr>
          <w:rFonts w:ascii="方正仿宋简体" w:eastAsia="方正仿宋简体" w:cs="方正仿宋简体" w:hint="eastAsia"/>
          <w:color w:val="auto"/>
          <w:sz w:val="32"/>
          <w:szCs w:val="32"/>
          <w:lang w:val="zh-CN"/>
        </w:rPr>
        <w:t>.资金到位</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万元。其中：</w:t>
      </w:r>
      <w:r>
        <w:rPr>
          <w:rFonts w:ascii="方正仿宋简体" w:eastAsia="方正仿宋简体" w:cs="方正仿宋简体" w:hint="eastAsia"/>
          <w:color w:val="auto"/>
          <w:sz w:val="32"/>
          <w:szCs w:val="32"/>
          <w:lang w:eastAsia="zh-CN"/>
        </w:rPr>
        <w:t>中央补助</w:t>
      </w:r>
      <w:r>
        <w:rPr>
          <w:rFonts w:ascii="方正仿宋简体" w:eastAsia="方正仿宋简体" w:cs="方正仿宋简体" w:hint="eastAsia"/>
          <w:color w:val="auto"/>
          <w:sz w:val="32"/>
          <w:szCs w:val="32"/>
        </w:rPr>
        <w:t>资金</w:t>
      </w:r>
      <w:r>
        <w:rPr>
          <w:rFonts w:ascii="方正仿宋简体" w:eastAsia="方正仿宋简体" w:cs="方正仿宋简体" w:hint="eastAsia"/>
          <w:color w:val="auto"/>
          <w:sz w:val="32"/>
          <w:szCs w:val="32"/>
          <w:lang w:val="en-US" w:eastAsia="zh-CN"/>
        </w:rPr>
        <w:t>83.53</w:t>
      </w:r>
      <w:r>
        <w:rPr>
          <w:rFonts w:ascii="方正仿宋简体" w:eastAsia="方正仿宋简体" w:cs="方正仿宋简体" w:hint="eastAsia"/>
          <w:color w:val="auto"/>
          <w:sz w:val="32"/>
          <w:szCs w:val="32"/>
        </w:rPr>
        <w:t>万元，</w:t>
      </w:r>
      <w:r>
        <w:rPr>
          <w:rFonts w:ascii="方正仿宋简体" w:eastAsia="方正仿宋简体" w:cs="方正仿宋简体" w:hint="eastAsia"/>
          <w:color w:val="auto"/>
          <w:sz w:val="32"/>
          <w:szCs w:val="32"/>
          <w:lang w:eastAsia="zh-CN"/>
        </w:rPr>
        <w:t>省级补助资金</w:t>
      </w:r>
      <w:r>
        <w:rPr>
          <w:rFonts w:ascii="方正仿宋简体" w:eastAsia="方正仿宋简体" w:cs="方正仿宋简体" w:hint="eastAsia"/>
          <w:color w:val="auto"/>
          <w:sz w:val="32"/>
          <w:szCs w:val="32"/>
          <w:lang w:val="en-US" w:eastAsia="zh-CN"/>
        </w:rPr>
        <w:t>9.41万元，市级补助资金5.11万元，区级补助资金3.14万元。</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eastAsia="zh-CN"/>
        </w:rPr>
      </w:pP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lang w:val="zh-CN"/>
        </w:rPr>
        <w:t>.资金使用：广元市利州区杨家岩社区卫生服务中心收到 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年基本公共卫生服务项目补助</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w:t>
      </w:r>
      <w:r>
        <w:rPr>
          <w:rFonts w:ascii="方正仿宋简体" w:eastAsia="方正仿宋简体" w:cs="方正仿宋简体" w:hint="eastAsia"/>
          <w:color w:val="auto"/>
          <w:sz w:val="32"/>
          <w:szCs w:val="32"/>
        </w:rPr>
        <w:t>为把财政拨付的专项资金管理好，中心制定了专项资金管理办法，</w:t>
      </w:r>
      <w:r>
        <w:rPr>
          <w:rFonts w:ascii="方正仿宋简体" w:eastAsia="方正仿宋简体" w:cs="方正仿宋简体" w:hint="eastAsia"/>
          <w:color w:val="auto"/>
          <w:sz w:val="32"/>
          <w:szCs w:val="32"/>
          <w:lang w:eastAsia="zh-CN"/>
        </w:rPr>
        <w:t>资金使用</w:t>
      </w:r>
      <w:r>
        <w:rPr>
          <w:rFonts w:ascii="方正仿宋简体" w:eastAsia="方正仿宋简体" w:cs="方正仿宋简体" w:hint="eastAsia"/>
          <w:color w:val="auto"/>
          <w:sz w:val="32"/>
          <w:szCs w:val="32"/>
          <w:lang w:val="zh-CN"/>
        </w:rPr>
        <w:t>严格按照四川省基本公共卫生服务补助资金管理办法及中心基本公共卫生服务项目资金管理办法使用，</w:t>
      </w:r>
      <w:r>
        <w:rPr>
          <w:rFonts w:ascii="方正仿宋简体" w:eastAsia="方正仿宋简体" w:cs="方正仿宋简体" w:hint="eastAsia"/>
          <w:color w:val="auto"/>
          <w:sz w:val="32"/>
          <w:szCs w:val="32"/>
        </w:rPr>
        <w:t>确保各项目资金专款专用</w:t>
      </w:r>
      <w:r>
        <w:rPr>
          <w:rFonts w:ascii="方正仿宋简体" w:eastAsia="方正仿宋简体" w:cs="方正仿宋简体" w:hint="eastAsia"/>
          <w:color w:val="auto"/>
          <w:sz w:val="32"/>
          <w:szCs w:val="32"/>
          <w:lang w:eastAsia="zh-CN"/>
        </w:rPr>
        <w:t>。</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（三）项目财务管理情况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该项目资金按各项目具体工作量及成本等进行测算，严格按照完成的数量、质量及考核结果拨付。</w:t>
      </w: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制定了财务管理制度、固定资产管理</w:t>
      </w:r>
      <w:r>
        <w:rPr>
          <w:rFonts w:ascii="方正仿宋简体" w:eastAsia="方正仿宋简体" w:cs="方正仿宋简体" w:hint="eastAsia"/>
          <w:color w:val="auto"/>
          <w:sz w:val="32"/>
          <w:szCs w:val="32"/>
          <w:lang w:eastAsia="zh-CN"/>
        </w:rPr>
        <w:t>等相关制度，</w:t>
      </w:r>
      <w:r>
        <w:rPr>
          <w:rFonts w:ascii="方正仿宋简体" w:eastAsia="方正仿宋简体" w:cs="方正仿宋简体" w:hint="eastAsia"/>
          <w:color w:val="auto"/>
          <w:sz w:val="32"/>
          <w:szCs w:val="32"/>
        </w:rPr>
        <w:t>项目资金实行专账管理，专款专用。</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三、项目实施及管理情况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广元市利州区杨家岩社区卫生服务中心收到20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年基本公共卫生服务项目补助</w:t>
      </w:r>
      <w:r>
        <w:rPr>
          <w:rFonts w:ascii="方正仿宋简体" w:eastAsia="方正仿宋简体" w:cs="方正仿宋简体" w:hint="eastAsia"/>
          <w:color w:val="auto"/>
          <w:sz w:val="32"/>
          <w:szCs w:val="32"/>
          <w:lang w:val="en-US" w:eastAsia="zh-CN"/>
        </w:rPr>
        <w:t>101.19</w:t>
      </w:r>
      <w:r>
        <w:rPr>
          <w:rFonts w:ascii="方正仿宋简体" w:eastAsia="方正仿宋简体" w:cs="方正仿宋简体" w:hint="eastAsia"/>
          <w:color w:val="auto"/>
          <w:sz w:val="32"/>
          <w:szCs w:val="32"/>
          <w:lang w:val="zh-CN"/>
        </w:rPr>
        <w:t>万元，资金使用根据四川省基本公共卫生服务补助资金管理办法、市、区相关文件精神及中心基本公共卫生服务项目资金管理使用制度等进行，并对中心实施基本公共卫生服务项目绩效考核工作的组织实施进行监督管理。</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（一）项目组织架构及实施流程</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1.加强领导，健全机制，确保项目工作顺利开展。</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b w:val="0"/>
          <w:bCs/>
          <w:color w:val="auto"/>
          <w:sz w:val="32"/>
          <w:szCs w:val="32"/>
          <w:lang w:val="zh-CN"/>
        </w:rPr>
      </w:pPr>
      <w:r>
        <w:rPr>
          <w:rFonts w:ascii="方正仿宋简体" w:eastAsia="方正仿宋简体" w:cs="方正仿宋简体" w:hint="eastAsia"/>
          <w:b w:val="0"/>
          <w:bCs/>
          <w:color w:val="auto"/>
          <w:sz w:val="32"/>
          <w:szCs w:val="32"/>
          <w:lang w:val="zh-CN"/>
        </w:rPr>
        <w:t>为切实加强对项目工作的领导，确保实现项目预期工作目标，中心成立了以中心主任为组长，分管主任为副组长的技术指导小组，加强项目资金管理，严格落实绩效考核制度。</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2.将项目工作纳入年度目标考核。按照上级关于开展国家基本公共卫生服务项目的部署要求，把基本公共卫生服务工作作为卫生工作的重中之重来抓，年初签订目标责任书。中心成立了以中心主任任组长的项目实施领导小组，制定了切实可行的实施方案，以保证中心基本公共卫生服务有序开展。</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en-US" w:eastAsia="zh-CN"/>
        </w:rPr>
      </w:pPr>
      <w:r>
        <w:rPr>
          <w:rFonts w:ascii="方正楷体简体" w:eastAsia="方正楷体简体" w:cs="方正楷体简体" w:hint="eastAsia"/>
          <w:b w:val="0"/>
          <w:bCs w:val="0"/>
          <w:color w:val="auto"/>
          <w:sz w:val="32"/>
          <w:szCs w:val="32"/>
          <w:lang w:val="zh-CN" w:eastAsia="zh-CN"/>
        </w:rPr>
        <w:t>（二）项目管理情况</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b w:val="0"/>
          <w:bCs/>
          <w:color w:val="auto"/>
          <w:sz w:val="32"/>
          <w:szCs w:val="32"/>
          <w:lang w:val="zh-CN"/>
          <w:highlight w:val="auto"/>
        </w:rPr>
      </w:pPr>
      <w:r>
        <w:rPr>
          <w:rFonts w:ascii="方正仿宋简体" w:eastAsia="方正仿宋简体" w:cs="方正仿宋简体" w:hint="eastAsia"/>
          <w:b w:val="0"/>
          <w:bCs/>
          <w:color w:val="auto"/>
          <w:sz w:val="32"/>
          <w:szCs w:val="32"/>
          <w:lang w:val="zh-CN"/>
          <w:highlight w:val="auto"/>
        </w:rPr>
        <w:t>以实施基本公共卫生服务项目为载体，签约服务团队为依托，组建团队长为责任主体，若干团队（即责任医生、</w:t>
      </w:r>
      <w:r>
        <w:rPr>
          <w:rFonts w:ascii="方正仿宋简体" w:eastAsia="方正仿宋简体" w:cs="方正仿宋简体" w:hint="eastAsia"/>
          <w:b w:val="0"/>
          <w:bCs/>
          <w:color w:val="auto"/>
          <w:sz w:val="32"/>
          <w:szCs w:val="32"/>
          <w:lang w:val="zh-CN" w:eastAsia="zh-CN"/>
          <w:highlight w:val="auto"/>
        </w:rPr>
        <w:t>责任护士</w:t>
      </w:r>
      <w:r>
        <w:rPr>
          <w:rFonts w:ascii="方正仿宋简体" w:eastAsia="方正仿宋简体" w:cs="方正仿宋简体" w:hint="eastAsia"/>
          <w:b w:val="0"/>
          <w:bCs/>
          <w:color w:val="auto"/>
          <w:sz w:val="32"/>
          <w:szCs w:val="32"/>
          <w:lang w:val="zh-CN"/>
          <w:highlight w:val="auto"/>
        </w:rPr>
        <w:t>、公卫人员、乡村医生）为服务主体的服务团队，团队参与服务、团队长参与管理，为城乡居民提供优质、高效的服务。</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（三）项目监管情况</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广元市、区公卫指导中心对中心项目实施情况进行督导考核，对督导考核发现的问题及时予以纠正，以考核促进项目运行规范化。实行考核结果、工作服务质量与补助资金挂钩，充分调动基层医疗机构实施项目工作的积极性和主动性，提高了项目资金的使用效率和项目工作质量。</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lang w:val="zh-CN"/>
        </w:rPr>
      </w:pPr>
      <w:r>
        <w:rPr>
          <w:rFonts w:ascii="方正黑体简体" w:eastAsia="方正黑体简体" w:cs="方正黑体简体" w:hint="eastAsia"/>
          <w:b w:val="0"/>
          <w:bCs w:val="0"/>
          <w:color w:val="auto"/>
          <w:sz w:val="32"/>
          <w:szCs w:val="32"/>
        </w:rPr>
        <w:t>四、项目绩效情况</w:t>
      </w:r>
      <w:r>
        <w:rPr>
          <w:rFonts w:ascii="方正黑体简体" w:eastAsia="方正黑体简体" w:cs="方正黑体简体" w:hint="eastAsia"/>
          <w:b w:val="0"/>
          <w:bCs w:val="0"/>
          <w:color w:val="auto"/>
          <w:sz w:val="32"/>
          <w:szCs w:val="32"/>
          <w:lang w:val="zh-CN"/>
        </w:rPr>
        <w:tab/>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（一）项目完成情况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年基本公共卫生服务总体指标完成较好，均能完成评价指标，达到预期值 。</w:t>
      </w: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制定</w:t>
      </w:r>
      <w:r>
        <w:rPr>
          <w:rFonts w:ascii="方正仿宋简体" w:eastAsia="方正仿宋简体" w:cs="方正仿宋简体" w:hint="eastAsia"/>
          <w:color w:val="auto"/>
          <w:sz w:val="32"/>
          <w:szCs w:val="32"/>
          <w:lang w:eastAsia="zh-CN"/>
        </w:rPr>
        <w:t>了</w:t>
      </w:r>
      <w:r>
        <w:rPr>
          <w:rFonts w:ascii="方正仿宋简体" w:eastAsia="方正仿宋简体" w:cs="方正仿宋简体" w:hint="eastAsia"/>
          <w:color w:val="auto"/>
          <w:sz w:val="32"/>
          <w:szCs w:val="32"/>
        </w:rPr>
        <w:t>《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w:t>
      </w:r>
      <w:r>
        <w:rPr>
          <w:rFonts w:ascii="方正仿宋简体" w:eastAsia="方正仿宋简体" w:cs="方正仿宋简体" w:hint="eastAsia"/>
          <w:color w:val="auto"/>
          <w:sz w:val="32"/>
          <w:szCs w:val="32"/>
          <w:lang w:eastAsia="zh-CN"/>
        </w:rPr>
        <w:t>项目资金</w:t>
      </w:r>
      <w:r>
        <w:rPr>
          <w:rFonts w:ascii="方正仿宋简体" w:eastAsia="方正仿宋简体" w:cs="方正仿宋简体" w:hint="eastAsia"/>
          <w:color w:val="auto"/>
          <w:sz w:val="32"/>
          <w:szCs w:val="32"/>
        </w:rPr>
        <w:t>支出管理。同时，通过对专项资金的使用情况进行绩效评价，衡量项目的投入、产出与绩效，分析、检验项目是否达到预期目标，资金使用是否有效，为以后年度项目安排及资金管理提供重要依据。</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（二）项目效益情况</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免费向居民提供基本公共卫生服务，不断提高居民健康水平。</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通过</w:t>
      </w:r>
      <w:r>
        <w:rPr>
          <w:rFonts w:ascii="方正仿宋简体" w:eastAsia="方正仿宋简体" w:cs="方正仿宋简体" w:hint="eastAsia"/>
          <w:color w:val="auto"/>
          <w:sz w:val="32"/>
          <w:szCs w:val="32"/>
          <w:lang w:eastAsia="zh-CN"/>
        </w:rPr>
        <w:t>以上服务项目的</w:t>
      </w:r>
      <w:r>
        <w:rPr>
          <w:rFonts w:ascii="方正仿宋简体" w:eastAsia="方正仿宋简体" w:cs="方正仿宋简体" w:hint="eastAsia"/>
          <w:color w:val="auto"/>
          <w:sz w:val="32"/>
          <w:szCs w:val="32"/>
        </w:rPr>
        <w:t>实施，对影响居民健康的主要卫生问题实施干预，减少主要健康危险因素，有效和控制主要传染病及慢性病，使城乡居民逐步享有均等化的公共卫生服务。</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五、评价结论及建议</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（一）评价结论</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该项目在中心各科室积极配合下，认真分解任务，落实责任，开展了一系列的项目</w:t>
      </w:r>
      <w:r>
        <w:rPr>
          <w:rFonts w:ascii="方正仿宋简体" w:eastAsia="方正仿宋简体" w:cs="方正仿宋简体" w:hint="eastAsia"/>
          <w:color w:val="auto"/>
          <w:kern w:val="0"/>
          <w:sz w:val="32"/>
          <w:szCs w:val="32"/>
          <w:lang w:eastAsia="zh-CN"/>
        </w:rPr>
        <w:t>服务</w:t>
      </w:r>
      <w:r>
        <w:rPr>
          <w:rFonts w:ascii="方正仿宋简体" w:eastAsia="方正仿宋简体" w:cs="方正仿宋简体" w:hint="eastAsia"/>
          <w:color w:val="auto"/>
          <w:kern w:val="0"/>
          <w:sz w:val="32"/>
          <w:szCs w:val="32"/>
        </w:rPr>
        <w:t>活动。中心组织精干力量，深入社区积极开展项目的指导、培训</w:t>
      </w:r>
      <w:r>
        <w:rPr>
          <w:rFonts w:ascii="方正仿宋简体" w:eastAsia="方正仿宋简体" w:cs="方正仿宋简体" w:hint="eastAsia"/>
          <w:color w:val="auto"/>
          <w:kern w:val="0"/>
          <w:sz w:val="32"/>
          <w:szCs w:val="32"/>
          <w:lang w:eastAsia="zh-CN"/>
        </w:rPr>
        <w:t>、实施</w:t>
      </w:r>
      <w:r>
        <w:rPr>
          <w:rFonts w:ascii="方正仿宋简体" w:eastAsia="方正仿宋简体" w:cs="方正仿宋简体" w:hint="eastAsia"/>
          <w:color w:val="auto"/>
          <w:kern w:val="0"/>
          <w:sz w:val="32"/>
          <w:szCs w:val="32"/>
        </w:rPr>
        <w:t>等工作，以“政府主导、部门配合、专业机构技术支撑、全社会参与”的运行模式，使辖区重点人群发现、分类干预、患者自我管理和健康教育与健康教育促进等各项工作得到了有效推进。</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（二）存在的问题</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重性精神病患者管理难度大。主要是家属不配合，中心没有专业精神卫生人员。</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基层公共卫生力量薄弱。由于农村卫生技术人员缺乏，相当一部分项目实施单位公卫人员都是兼职，特别是多数村卫生室公卫工作只有一个人，集预防、医疗等多项职能于一身，面对公共卫生服务、突发公共卫生事件预防等方面的工作处置力量薄弱。</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群众认知度不高。居民对国家基本公共卫生服务认识不够，上门建档和随访</w:t>
      </w:r>
      <w:r>
        <w:rPr>
          <w:rFonts w:ascii="方正仿宋简体" w:eastAsia="方正仿宋简体" w:cs="方正仿宋简体" w:hint="eastAsia"/>
          <w:color w:val="auto"/>
          <w:kern w:val="0"/>
          <w:sz w:val="32"/>
          <w:szCs w:val="32"/>
          <w:lang w:eastAsia="zh-CN"/>
        </w:rPr>
        <w:t>的</w:t>
      </w:r>
      <w:r>
        <w:rPr>
          <w:rFonts w:ascii="方正仿宋简体" w:eastAsia="方正仿宋简体" w:cs="方正仿宋简体" w:hint="eastAsia"/>
          <w:color w:val="auto"/>
          <w:kern w:val="0"/>
          <w:sz w:val="32"/>
          <w:szCs w:val="32"/>
        </w:rPr>
        <w:t>主动配合存在一定困难，特别是城区居民入户难。</w:t>
      </w:r>
    </w:p>
    <w:p>
      <w:pPr>
        <w:pStyle w:val="2"/>
        <w:keepNext/>
        <w:keepLines/>
        <w:pageBreakBefore w:val="0"/>
        <w:widowControl w:val="0"/>
        <w:kinsoku/>
        <w:wordWrap/>
        <w:overflowPunct/>
        <w:topLinePunct w:val="0"/>
        <w:autoSpaceDE/>
        <w:autoSpaceDN/>
        <w:bidi w:val="0"/>
        <w:spacing w:before="0" w:after="0" w:line="576" w:lineRule="exact"/>
        <w:ind w:left="0" w:right="0" w:firstLineChars="200" w:firstLine="640"/>
        <w:textAlignment w:val="auto"/>
        <w:rPr>
          <w:rFonts w:ascii="方正楷体简体" w:eastAsia="方正楷体简体" w:cs="方正楷体简体" w:hint="eastAsia"/>
          <w:b w:val="0"/>
          <w:bCs w:val="0"/>
          <w:color w:val="auto"/>
          <w:sz w:val="32"/>
          <w:szCs w:val="32"/>
          <w:lang w:val="zh-CN" w:eastAsia="zh-CN"/>
        </w:rPr>
      </w:pPr>
      <w:r>
        <w:rPr>
          <w:rFonts w:ascii="方正楷体简体" w:eastAsia="方正楷体简体" w:cs="方正楷体简体" w:hint="eastAsia"/>
          <w:b w:val="0"/>
          <w:bCs w:val="0"/>
          <w:color w:val="auto"/>
          <w:sz w:val="32"/>
          <w:szCs w:val="32"/>
          <w:lang w:val="zh-CN" w:eastAsia="zh-CN"/>
        </w:rPr>
        <w:t>（三）相关建议</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提高思想认识，加强组织管理。进一步统一思想，提高认识，健全各项规章制度，明确分工，责任到人，严格工作制度，从过程把关，集中人力、物力全面完善工作，全力抓好基本公共卫生服务项目工作开展。</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强化工作措施，加强培训。</w:t>
      </w:r>
      <w:r>
        <w:rPr>
          <w:rFonts w:ascii="方正仿宋简体" w:eastAsia="方正仿宋简体" w:cs="方正仿宋简体" w:hint="eastAsia"/>
          <w:b/>
          <w:bCs/>
          <w:color w:val="auto"/>
          <w:kern w:val="0"/>
          <w:sz w:val="32"/>
          <w:szCs w:val="32"/>
        </w:rPr>
        <w:t>一是</w:t>
      </w:r>
      <w:r>
        <w:rPr>
          <w:rFonts w:ascii="方正仿宋简体" w:eastAsia="方正仿宋简体" w:cs="方正仿宋简体" w:hint="eastAsia"/>
          <w:color w:val="auto"/>
          <w:kern w:val="0"/>
          <w:sz w:val="32"/>
          <w:szCs w:val="32"/>
        </w:rPr>
        <w:t>进一步加强管理，严格绩效考核办法和经费管理办法；</w:t>
      </w:r>
      <w:r>
        <w:rPr>
          <w:rFonts w:ascii="方正仿宋简体" w:eastAsia="方正仿宋简体" w:cs="方正仿宋简体" w:hint="eastAsia"/>
          <w:b/>
          <w:bCs/>
          <w:color w:val="auto"/>
          <w:kern w:val="0"/>
          <w:sz w:val="32"/>
          <w:szCs w:val="32"/>
        </w:rPr>
        <w:t>二是</w:t>
      </w:r>
      <w:r>
        <w:rPr>
          <w:rFonts w:ascii="方正仿宋简体" w:eastAsia="方正仿宋简体" w:cs="方正仿宋简体" w:hint="eastAsia"/>
          <w:color w:val="auto"/>
          <w:kern w:val="0"/>
          <w:sz w:val="32"/>
          <w:szCs w:val="32"/>
        </w:rPr>
        <w:t>进一步加大各项目实施培训工作；</w:t>
      </w:r>
      <w:r>
        <w:rPr>
          <w:rFonts w:ascii="方正仿宋简体" w:eastAsia="方正仿宋简体" w:cs="方正仿宋简体" w:hint="eastAsia"/>
          <w:b/>
          <w:bCs/>
          <w:color w:val="auto"/>
          <w:kern w:val="0"/>
          <w:sz w:val="32"/>
          <w:szCs w:val="32"/>
        </w:rPr>
        <w:t>三是</w:t>
      </w:r>
      <w:r>
        <w:rPr>
          <w:rFonts w:ascii="方正仿宋简体" w:eastAsia="方正仿宋简体" w:cs="方正仿宋简体" w:hint="eastAsia"/>
          <w:color w:val="auto"/>
          <w:kern w:val="0"/>
          <w:sz w:val="32"/>
          <w:szCs w:val="32"/>
        </w:rPr>
        <w:t>及时充实</w:t>
      </w:r>
      <w:r>
        <w:rPr>
          <w:rFonts w:ascii="方正仿宋简体" w:eastAsia="方正仿宋简体" w:cs="方正仿宋简体" w:hint="eastAsia"/>
          <w:color w:val="auto"/>
          <w:kern w:val="0"/>
          <w:sz w:val="32"/>
          <w:szCs w:val="32"/>
          <w:lang w:eastAsia="zh-CN"/>
        </w:rPr>
        <w:t>工作</w:t>
      </w:r>
      <w:r>
        <w:rPr>
          <w:rFonts w:ascii="方正仿宋简体" w:eastAsia="方正仿宋简体" w:cs="方正仿宋简体" w:hint="eastAsia"/>
          <w:color w:val="auto"/>
          <w:kern w:val="0"/>
          <w:sz w:val="32"/>
          <w:szCs w:val="32"/>
        </w:rPr>
        <w:t>人员，配置必要的设备和场所，建立可持续的良性内部分配机制，增强公共卫生人员工作积极性和责任心，使其全身心地投入到工作中；</w:t>
      </w:r>
      <w:r>
        <w:rPr>
          <w:rFonts w:ascii="方正仿宋简体" w:eastAsia="方正仿宋简体" w:cs="方正仿宋简体" w:hint="eastAsia"/>
          <w:b/>
          <w:bCs/>
          <w:color w:val="auto"/>
          <w:kern w:val="0"/>
          <w:sz w:val="32"/>
          <w:szCs w:val="32"/>
        </w:rPr>
        <w:t>四是</w:t>
      </w:r>
      <w:r>
        <w:rPr>
          <w:rFonts w:ascii="方正仿宋简体" w:eastAsia="方正仿宋简体" w:cs="方正仿宋简体" w:hint="eastAsia"/>
          <w:color w:val="auto"/>
          <w:kern w:val="0"/>
          <w:sz w:val="32"/>
          <w:szCs w:val="32"/>
        </w:rPr>
        <w:t>加大对重点人群的筛查力度，认真开展好健康管理服务，提高管理率；</w:t>
      </w:r>
      <w:r>
        <w:rPr>
          <w:rFonts w:ascii="方正仿宋简体" w:eastAsia="方正仿宋简体" w:cs="方正仿宋简体" w:hint="eastAsia"/>
          <w:b/>
          <w:bCs/>
          <w:color w:val="auto"/>
          <w:kern w:val="0"/>
          <w:sz w:val="32"/>
          <w:szCs w:val="32"/>
        </w:rPr>
        <w:t>五是</w:t>
      </w:r>
      <w:r>
        <w:rPr>
          <w:rFonts w:ascii="方正仿宋简体" w:eastAsia="方正仿宋简体" w:cs="方正仿宋简体" w:hint="eastAsia"/>
          <w:color w:val="auto"/>
          <w:kern w:val="0"/>
          <w:sz w:val="32"/>
          <w:szCs w:val="32"/>
        </w:rPr>
        <w:t>依据绩效考核办法，逗硬考核，扎实开展工作。</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加强监督管理，合理使用经费。严格资金使用与管理，加大监管力度，坚决杜绝经费的不合理使用和套取资金，做到有效使用，全力推进我区国家基本公共卫生服务项目工作深入开展。</w:t>
      </w:r>
    </w:p>
    <w:p>
      <w:pPr>
        <w:pageBreakBefore w:val="0"/>
        <w:widowControl/>
        <w:kinsoku/>
        <w:wordWrap/>
        <w:overflowPunct/>
        <w:topLinePunct w:val="0"/>
        <w:autoSpaceDE/>
        <w:autoSpaceDN/>
        <w:bidi w:val="0"/>
        <w:spacing w:line="576" w:lineRule="exact"/>
        <w:ind w:firstLineChars="200" w:firstLine="640"/>
        <w:jc w:val="both"/>
        <w:textAlignment w:val="auto"/>
        <w:rPr>
          <w:rFonts w:ascii="方正仿宋简体" w:eastAsia="方正仿宋简体" w:cs="方正仿宋简体" w:hint="eastAsia"/>
          <w:color w:val="auto"/>
          <w:kern w:val="0"/>
          <w:sz w:val="32"/>
          <w:szCs w:val="32"/>
        </w:rPr>
      </w:pPr>
    </w:p>
    <w:p>
      <w:pPr>
        <w:pageBreakBefore w:val="0"/>
        <w:widowControl/>
        <w:kinsoku/>
        <w:wordWrap/>
        <w:overflowPunct/>
        <w:topLinePunct w:val="0"/>
        <w:autoSpaceDE/>
        <w:autoSpaceDN/>
        <w:bidi w:val="0"/>
        <w:spacing w:line="576" w:lineRule="exact"/>
        <w:ind w:firstLineChars="200" w:firstLine="640"/>
        <w:jc w:val="both"/>
        <w:textAlignment w:val="auto"/>
        <w:rPr>
          <w:rFonts w:ascii="方正仿宋简体" w:eastAsia="方正仿宋简体" w:cs="方正仿宋简体" w:hint="eastAsia"/>
          <w:color w:val="auto"/>
          <w:kern w:val="0"/>
          <w:sz w:val="32"/>
          <w:szCs w:val="32"/>
        </w:rPr>
      </w:pPr>
    </w:p>
    <w:p>
      <w:pPr>
        <w:pStyle w:val="16"/>
        <w:rPr>
          <w:rFonts w:ascii="方正仿宋简体" w:eastAsia="方正仿宋简体" w:cs="方正仿宋简体" w:hint="eastAsia"/>
          <w:color w:val="auto"/>
          <w:kern w:val="0"/>
          <w:sz w:val="32"/>
          <w:szCs w:val="32"/>
        </w:rPr>
      </w:pPr>
    </w:p>
    <w:p>
      <w:pPr>
        <w:pStyle w:val="16"/>
        <w:rPr>
          <w:rFonts w:ascii="方正仿宋简体" w:eastAsia="方正仿宋简体" w:cs="方正仿宋简体" w:hint="eastAsia"/>
          <w:color w:val="auto"/>
          <w:kern w:val="0"/>
          <w:sz w:val="32"/>
          <w:szCs w:val="32"/>
        </w:rPr>
      </w:pPr>
    </w:p>
    <w:p>
      <w:pPr>
        <w:pStyle w:val="16"/>
        <w:rPr>
          <w:rFonts w:ascii="方正仿宋简体" w:eastAsia="方正仿宋简体" w:cs="方正仿宋简体" w:hint="eastAsia"/>
          <w:color w:val="auto"/>
          <w:kern w:val="0"/>
          <w:sz w:val="32"/>
          <w:szCs w:val="32"/>
        </w:rPr>
      </w:pPr>
    </w:p>
    <w:p>
      <w:pPr>
        <w:pStyle w:val="16"/>
        <w:rPr>
          <w:rFonts w:ascii="方正仿宋简体" w:eastAsia="方正仿宋简体" w:cs="方正仿宋简体" w:hint="eastAsia"/>
          <w:color w:val="auto"/>
          <w:kern w:val="0"/>
          <w:sz w:val="32"/>
          <w:szCs w:val="32"/>
        </w:rPr>
      </w:pPr>
    </w:p>
    <w:p>
      <w:pPr>
        <w:pageBreakBefore w:val="0"/>
        <w:widowControl w:val="0"/>
        <w:kinsoku/>
        <w:wordWrap/>
        <w:overflowPunct/>
        <w:topLinePunct w:val="0"/>
        <w:bidi w:val="0"/>
        <w:spacing w:line="576" w:lineRule="exact"/>
        <w:jc w:val="left"/>
        <w:outlineLvl w:val="0"/>
        <w:rPr>
          <w:rFonts w:ascii="方正黑体简体" w:eastAsia="方正黑体简体" w:cs="方正黑体简体" w:hint="eastAsia"/>
          <w:b w:val="0"/>
          <w:bCs w:val="0"/>
          <w:color w:val="auto"/>
          <w:sz w:val="32"/>
          <w:szCs w:val="32"/>
          <w:lang w:val="en-US" w:eastAsia="zh-CN"/>
        </w:rPr>
      </w:pPr>
      <w:r>
        <w:rPr>
          <w:rFonts w:ascii="方正黑体简体" w:eastAsia="方正黑体简体" w:cs="方正黑体简体" w:hint="eastAsia"/>
          <w:b w:val="0"/>
          <w:bCs w:val="0"/>
          <w:color w:val="auto"/>
          <w:sz w:val="32"/>
          <w:szCs w:val="32"/>
        </w:rPr>
        <w:t>附件2</w:t>
      </w:r>
      <w:r>
        <w:rPr>
          <w:rFonts w:ascii="方正黑体简体" w:eastAsia="方正黑体简体" w:cs="方正黑体简体" w:hint="eastAsia"/>
          <w:b w:val="0"/>
          <w:bCs w:val="0"/>
          <w:color w:val="auto"/>
          <w:sz w:val="32"/>
          <w:szCs w:val="32"/>
          <w:lang w:val="en-US" w:eastAsia="zh-CN"/>
        </w:rPr>
        <w:t>-2</w:t>
      </w:r>
    </w:p>
    <w:p>
      <w:pPr>
        <w:pageBreakBefore w:val="0"/>
        <w:widowControl/>
        <w:kinsoku/>
        <w:wordWrap/>
        <w:overflowPunct/>
        <w:topLinePunct w:val="0"/>
        <w:autoSpaceDE/>
        <w:autoSpaceDN/>
        <w:bidi w:val="0"/>
        <w:spacing w:line="576" w:lineRule="exact"/>
        <w:ind w:firstLineChars="200" w:firstLine="880"/>
        <w:jc w:val="both"/>
        <w:textAlignment w:val="auto"/>
        <w:rPr>
          <w:rFonts w:ascii="方正小标宋简体" w:eastAsia="方正小标宋简体" w:cs="方正小标宋简体" w:hint="eastAsia"/>
          <w:b w:val="0"/>
          <w:bCs w:val="0"/>
          <w:color w:val="auto"/>
          <w:kern w:val="0"/>
          <w:sz w:val="44"/>
          <w:szCs w:val="44"/>
        </w:rPr>
      </w:pPr>
    </w:p>
    <w:p>
      <w:pPr>
        <w:pageBreakBefore w:val="0"/>
        <w:widowControl/>
        <w:kinsoku/>
        <w:wordWrap/>
        <w:overflowPunct/>
        <w:topLinePunct w:val="0"/>
        <w:autoSpaceDE/>
        <w:autoSpaceDN/>
        <w:bidi w:val="0"/>
        <w:spacing w:line="576" w:lineRule="exact"/>
        <w:jc w:val="center"/>
        <w:textAlignment w:val="auto"/>
        <w:rPr>
          <w:rFonts w:ascii="方正小标宋简体" w:eastAsia="方正小标宋简体" w:cs="方正小标宋简体" w:hint="eastAsia"/>
          <w:b w:val="0"/>
          <w:bCs w:val="0"/>
          <w:color w:val="auto"/>
          <w:kern w:val="0"/>
          <w:sz w:val="44"/>
          <w:szCs w:val="44"/>
        </w:rPr>
      </w:pPr>
      <w:r>
        <w:rPr>
          <w:rFonts w:ascii="方正小标宋简体" w:eastAsia="方正小标宋简体" w:cs="方正小标宋简体" w:hint="eastAsia"/>
          <w:b w:val="0"/>
          <w:bCs w:val="0"/>
          <w:color w:val="auto"/>
          <w:kern w:val="0"/>
          <w:sz w:val="44"/>
          <w:szCs w:val="44"/>
        </w:rPr>
        <w:t>20</w:t>
      </w:r>
      <w:r>
        <w:rPr>
          <w:rFonts w:ascii="方正小标宋简体" w:eastAsia="方正小标宋简体" w:cs="方正小标宋简体" w:hint="eastAsia"/>
          <w:b w:val="0"/>
          <w:bCs w:val="0"/>
          <w:color w:val="auto"/>
          <w:kern w:val="0"/>
          <w:sz w:val="44"/>
          <w:szCs w:val="44"/>
          <w:lang w:val="en-US" w:eastAsia="zh-CN"/>
        </w:rPr>
        <w:t>20</w:t>
      </w:r>
      <w:r>
        <w:rPr>
          <w:rFonts w:ascii="方正小标宋简体" w:eastAsia="方正小标宋简体" w:cs="方正小标宋简体" w:hint="eastAsia"/>
          <w:b w:val="0"/>
          <w:bCs w:val="0"/>
          <w:color w:val="auto"/>
          <w:kern w:val="0"/>
          <w:sz w:val="44"/>
          <w:szCs w:val="44"/>
        </w:rPr>
        <w:t>年基本药物</w:t>
      </w:r>
      <w:r>
        <w:rPr>
          <w:rFonts w:ascii="方正小标宋简体" w:eastAsia="方正小标宋简体" w:cs="方正小标宋简体" w:hint="eastAsia"/>
          <w:b w:val="0"/>
          <w:bCs w:val="0"/>
          <w:color w:val="auto"/>
          <w:kern w:val="0"/>
          <w:sz w:val="44"/>
          <w:szCs w:val="44"/>
          <w:lang w:eastAsia="zh-CN"/>
        </w:rPr>
        <w:t>制度</w:t>
      </w:r>
      <w:r>
        <w:rPr>
          <w:rFonts w:ascii="方正小标宋简体" w:eastAsia="方正小标宋简体" w:cs="方正小标宋简体" w:hint="eastAsia"/>
          <w:b w:val="0"/>
          <w:bCs w:val="0"/>
          <w:color w:val="auto"/>
          <w:kern w:val="0"/>
          <w:sz w:val="44"/>
          <w:szCs w:val="44"/>
        </w:rPr>
        <w:t>项目支出</w:t>
      </w:r>
    </w:p>
    <w:p>
      <w:pPr>
        <w:pageBreakBefore w:val="0"/>
        <w:widowControl w:val="0"/>
        <w:kinsoku/>
        <w:wordWrap/>
        <w:overflowPunct/>
        <w:topLinePunct w:val="0"/>
        <w:autoSpaceDE/>
        <w:autoSpaceDN/>
        <w:bidi w:val="0"/>
        <w:spacing w:line="576" w:lineRule="exact"/>
        <w:jc w:val="center"/>
        <w:textAlignment w:val="auto"/>
        <w:rPr>
          <w:rFonts w:ascii="方正小标宋简体" w:eastAsia="方正小标宋简体" w:cs="方正小标宋简体" w:hint="eastAsia"/>
          <w:b w:val="0"/>
          <w:bCs w:val="0"/>
          <w:color w:val="auto"/>
          <w:kern w:val="0"/>
          <w:sz w:val="44"/>
          <w:szCs w:val="44"/>
          <w:lang w:val="zh-CN"/>
        </w:rPr>
      </w:pPr>
      <w:r>
        <w:rPr>
          <w:rFonts w:ascii="方正小标宋简体" w:eastAsia="方正小标宋简体" w:cs="方正小标宋简体" w:hint="eastAsia"/>
          <w:b w:val="0"/>
          <w:bCs w:val="0"/>
          <w:color w:val="auto"/>
          <w:kern w:val="0"/>
          <w:sz w:val="44"/>
          <w:szCs w:val="44"/>
          <w:lang w:val="zh-CN"/>
        </w:rPr>
        <w:t>绩效评价报告</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lang w:val="zh-CN"/>
        </w:rPr>
      </w:pPr>
      <w:r>
        <w:rPr>
          <w:rFonts w:ascii="方正黑体简体" w:eastAsia="方正黑体简体" w:cs="方正黑体简体" w:hint="eastAsia"/>
          <w:b w:val="0"/>
          <w:bCs w:val="0"/>
          <w:color w:val="auto"/>
          <w:sz w:val="32"/>
          <w:szCs w:val="32"/>
        </w:rPr>
        <w:t>一、</w:t>
      </w:r>
      <w:r>
        <w:rPr>
          <w:rFonts w:ascii="方正黑体简体" w:eastAsia="方正黑体简体" w:cs="方正黑体简体" w:hint="eastAsia"/>
          <w:b w:val="0"/>
          <w:bCs w:val="0"/>
          <w:color w:val="auto"/>
          <w:sz w:val="32"/>
          <w:szCs w:val="32"/>
          <w:lang w:val="zh-CN"/>
        </w:rPr>
        <w:t>项目概况</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（一）项目基本情况</w:t>
      </w:r>
    </w:p>
    <w:p>
      <w:pPr>
        <w:pageBreakBefore w:val="0"/>
        <w:widowControl w:val="0"/>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rPr>
        <w:t>项目评价通过数量指标、质量指标、时效指标、成本指标、经济效益指标、社会效益指标、群众满意度指标进行评价。通过采取数量和文字相结合的方法对项目进行评价，确保能实际反映项目实际完成情况。</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为保障人民群众基本用药，实现人人享有基本医疗卫生服务，不断提高人民群众健康水平。</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sz w:val="32"/>
          <w:szCs w:val="32"/>
          <w:lang w:val="zh-CN"/>
        </w:rPr>
        <w:t>中心</w:t>
      </w:r>
      <w:r>
        <w:rPr>
          <w:rFonts w:ascii="方正仿宋简体" w:eastAsia="方正仿宋简体" w:cs="方正仿宋简体" w:hint="eastAsia"/>
          <w:color w:val="auto"/>
          <w:sz w:val="32"/>
          <w:szCs w:val="32"/>
          <w:lang w:val="en-US" w:eastAsia="zh-CN"/>
        </w:rPr>
        <w:t>2020年该项目资金总投入38.13万元</w:t>
      </w:r>
      <w:r>
        <w:rPr>
          <w:rFonts w:ascii="方正仿宋简体" w:eastAsia="方正仿宋简体" w:cs="方正仿宋简体" w:hint="eastAsia"/>
          <w:color w:val="auto"/>
          <w:sz w:val="32"/>
          <w:szCs w:val="32"/>
        </w:rPr>
        <w:t>。</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（二）项目绩效目标</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b/>
          <w:bCs/>
          <w:color w:val="auto"/>
          <w:sz w:val="32"/>
          <w:szCs w:val="32"/>
          <w:lang w:val="zh-CN"/>
        </w:rPr>
      </w:pPr>
      <w:r>
        <w:rPr>
          <w:rFonts w:ascii="方正仿宋简体" w:eastAsia="方正仿宋简体" w:cs="方正仿宋简体" w:hint="eastAsia"/>
          <w:b/>
          <w:bCs/>
          <w:color w:val="auto"/>
          <w:sz w:val="32"/>
          <w:szCs w:val="32"/>
          <w:lang w:val="zh-CN"/>
        </w:rPr>
        <w:t>1.项目主要内容</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zh-CN"/>
        </w:rPr>
        <w:t>实施基本药物制度是深化医药卫生体制改革的重要工作，是保障群众基本用药，减轻用药费用负担，缓解群众看病难看病贵，提高群众健康水平的基本保障制度。</w:t>
      </w:r>
      <w:r>
        <w:rPr>
          <w:rFonts w:ascii="方正仿宋简体" w:eastAsia="方正仿宋简体" w:cs="方正仿宋简体" w:hint="eastAsia"/>
          <w:color w:val="auto"/>
          <w:sz w:val="32"/>
          <w:szCs w:val="32"/>
          <w:lang w:val="en-US" w:eastAsia="zh-CN"/>
        </w:rPr>
        <w:t>2020年我中心深入贯彻国家省市区医药卫生体制改革会议相关精神，严格按照要求对我中心临床用药，辖区内村卫生室用药全面配备使用基本药物，实行零差价销售。</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b/>
          <w:bCs/>
          <w:color w:val="auto"/>
          <w:sz w:val="32"/>
          <w:szCs w:val="32"/>
          <w:lang w:val="en-US" w:eastAsia="zh-CN"/>
        </w:rPr>
      </w:pPr>
      <w:r>
        <w:rPr>
          <w:rFonts w:ascii="方正仿宋简体" w:eastAsia="方正仿宋简体" w:cs="方正仿宋简体" w:hint="eastAsia"/>
          <w:b/>
          <w:bCs/>
          <w:color w:val="auto"/>
          <w:sz w:val="32"/>
          <w:szCs w:val="32"/>
          <w:lang w:val="en-US" w:eastAsia="zh-CN"/>
        </w:rPr>
        <w:t>2.</w:t>
      </w:r>
      <w:r>
        <w:rPr>
          <w:rFonts w:ascii="方正仿宋简体" w:eastAsia="方正仿宋简体" w:cs="方正仿宋简体" w:hint="eastAsia"/>
          <w:b/>
          <w:bCs/>
          <w:color w:val="auto"/>
          <w:sz w:val="32"/>
          <w:szCs w:val="32"/>
          <w:lang w:val="zh-CN"/>
        </w:rPr>
        <w:t>项目应实现的具体绩效目标，包括目标的量化、细化情况以及项目实施进度计划</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b w:val="0"/>
          <w:bCs w:val="0"/>
          <w:color w:val="auto"/>
          <w:sz w:val="32"/>
          <w:szCs w:val="32"/>
          <w:lang w:eastAsia="zh-CN"/>
        </w:rPr>
        <w:t>深化医疗改革，全面实施</w:t>
      </w:r>
      <w:r>
        <w:rPr>
          <w:rFonts w:ascii="方正仿宋简体" w:eastAsia="方正仿宋简体" w:cs="方正仿宋简体" w:hint="eastAsia"/>
          <w:b w:val="0"/>
          <w:bCs w:val="0"/>
          <w:color w:val="auto"/>
          <w:sz w:val="32"/>
          <w:szCs w:val="32"/>
          <w:lang w:val="en-US" w:eastAsia="zh-CN"/>
        </w:rPr>
        <w:t>基本药物制度</w:t>
      </w:r>
      <w:r>
        <w:rPr>
          <w:rFonts w:ascii="方正仿宋简体" w:eastAsia="方正仿宋简体" w:cs="方正仿宋简体" w:hint="eastAsia"/>
          <w:color w:val="auto"/>
          <w:sz w:val="32"/>
          <w:szCs w:val="32"/>
          <w:lang w:val="en-US" w:eastAsia="zh-CN"/>
        </w:rPr>
        <w:t>。有效降低患者的医疗费用；保证药品安全、有效、经济；基本药物补助覆盖率达到100%；基层医疗卫生机构基本药物网采率达到100%；目录药品质量合格率达到100%；基本药物零差价销售率达到100%；受益群众满意度达到95%以上；受益建档立卡贫困人口满意度达到95%以上。下一步把工作重点转移到业务技术和服务质量上，减少群众用药负担，缓解看病难贵问题。满足大多数人要求，在任何时候都可以保证数量和剂型足够供应，降低了药品价格，提高基本药物的可及性，让群众得到真正的实惠。规范国家基本药物使用及医务人员的开药行为遏制过度使用抗生素问题，确保用药安全。</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b/>
          <w:bCs/>
          <w:color w:val="auto"/>
          <w:sz w:val="32"/>
          <w:szCs w:val="32"/>
          <w:lang w:val="zh-CN"/>
        </w:rPr>
      </w:pPr>
      <w:r>
        <w:rPr>
          <w:rFonts w:ascii="方正仿宋简体" w:eastAsia="方正仿宋简体" w:cs="方正仿宋简体" w:hint="eastAsia"/>
          <w:b/>
          <w:bCs/>
          <w:color w:val="auto"/>
          <w:sz w:val="32"/>
          <w:szCs w:val="32"/>
          <w:lang w:val="en-US" w:eastAsia="zh-CN"/>
        </w:rPr>
        <w:t>3.</w:t>
      </w:r>
      <w:r>
        <w:rPr>
          <w:rFonts w:ascii="方正仿宋简体" w:eastAsia="方正仿宋简体" w:cs="方正仿宋简体" w:hint="eastAsia"/>
          <w:b/>
          <w:bCs/>
          <w:color w:val="auto"/>
          <w:sz w:val="32"/>
          <w:szCs w:val="32"/>
          <w:lang w:val="zh-CN"/>
        </w:rPr>
        <w:t>分析评价申报内容是否与实际相符，申报目标是否合理可行。</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广元市利州区杨家岩社区卫生服务中心收到 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年基层医疗卫生机构实施基本药物制度补助</w:t>
      </w:r>
      <w:r>
        <w:rPr>
          <w:rFonts w:ascii="方正仿宋简体" w:eastAsia="方正仿宋简体" w:cs="方正仿宋简体" w:hint="eastAsia"/>
          <w:color w:val="auto"/>
          <w:sz w:val="32"/>
          <w:szCs w:val="32"/>
          <w:lang w:val="en-US" w:eastAsia="zh-CN"/>
        </w:rPr>
        <w:t>38.13</w:t>
      </w:r>
      <w:r>
        <w:rPr>
          <w:rFonts w:ascii="方正仿宋简体" w:eastAsia="方正仿宋简体" w:cs="方正仿宋简体" w:hint="eastAsia"/>
          <w:color w:val="auto"/>
          <w:sz w:val="32"/>
          <w:szCs w:val="32"/>
          <w:lang w:val="zh-CN"/>
        </w:rPr>
        <w:t>万元。广</w:t>
      </w:r>
      <w:r>
        <w:rPr>
          <w:rFonts w:ascii="方正仿宋简体" w:eastAsia="方正仿宋简体" w:cs="方正仿宋简体" w:hint="eastAsia"/>
          <w:b w:val="0"/>
          <w:bCs/>
          <w:color w:val="auto"/>
          <w:sz w:val="32"/>
          <w:szCs w:val="32"/>
          <w:lang w:val="zh-CN"/>
        </w:rPr>
        <w:t>元市利州区卫生健康局通过</w:t>
      </w:r>
      <w:r>
        <w:rPr>
          <w:rFonts w:ascii="方正仿宋简体" w:eastAsia="方正仿宋简体" w:cs="方正仿宋简体" w:hint="eastAsia"/>
          <w:b w:val="0"/>
          <w:bCs/>
          <w:color w:val="auto"/>
          <w:sz w:val="32"/>
          <w:szCs w:val="32"/>
        </w:rPr>
        <w:t>阳光采购积分情况和完成目标任务情况综合评定</w:t>
      </w:r>
      <w:r>
        <w:rPr>
          <w:rFonts w:ascii="方正仿宋简体" w:eastAsia="方正仿宋简体" w:cs="方正仿宋简体" w:hint="eastAsia"/>
          <w:b w:val="0"/>
          <w:bCs/>
          <w:color w:val="auto"/>
          <w:sz w:val="32"/>
          <w:szCs w:val="32"/>
          <w:lang w:val="zh-CN"/>
        </w:rPr>
        <w:t>拨付补助资金。</w:t>
      </w:r>
      <w:r>
        <w:rPr>
          <w:rFonts w:ascii="方正仿宋简体" w:eastAsia="方正仿宋简体" w:cs="方正仿宋简体" w:hint="eastAsia"/>
          <w:color w:val="auto"/>
          <w:sz w:val="32"/>
          <w:szCs w:val="32"/>
          <w:lang w:val="zh-CN"/>
        </w:rPr>
        <w:t>并对中心实施基本药物制度绩效考核工作的组织实施进行监督管理。</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b/>
          <w:color w:val="auto"/>
          <w:sz w:val="32"/>
          <w:szCs w:val="32"/>
          <w:lang w:val="zh-CN"/>
        </w:rPr>
      </w:pPr>
      <w:r>
        <w:rPr>
          <w:rFonts w:ascii="方正仿宋简体" w:eastAsia="方正仿宋简体" w:cs="方正仿宋简体" w:hint="eastAsia"/>
          <w:b/>
          <w:color w:val="auto"/>
          <w:sz w:val="32"/>
          <w:szCs w:val="32"/>
          <w:lang w:val="zh-CN"/>
        </w:rPr>
        <w:t>（三）项目自评步骤及方法</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zh-CN"/>
        </w:rPr>
        <w:t>项目自评根据区卫健局要求，</w:t>
      </w:r>
      <w:r>
        <w:rPr>
          <w:rFonts w:ascii="方正仿宋简体" w:eastAsia="方正仿宋简体" w:cs="方正仿宋简体" w:hint="eastAsia"/>
          <w:color w:val="auto"/>
          <w:sz w:val="32"/>
          <w:szCs w:val="32"/>
          <w:lang w:val="en-US" w:eastAsia="zh-CN"/>
        </w:rPr>
        <w:t>2020年度实施国家基本药物运转，专项资金项目实施作为中心及辖区内村卫生室开展项目绩效评价内容，包括项目基本情况，评价查看标准，绩效目标实施情况，存在的问题等步骤开展。</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lang w:eastAsia="zh-CN"/>
        </w:rPr>
        <w:t>二、</w:t>
      </w:r>
      <w:r>
        <w:rPr>
          <w:rFonts w:ascii="方正黑体简体" w:eastAsia="方正黑体简体" w:cs="方正黑体简体" w:hint="eastAsia"/>
          <w:b w:val="0"/>
          <w:bCs w:val="0"/>
          <w:color w:val="auto"/>
          <w:sz w:val="32"/>
          <w:szCs w:val="32"/>
        </w:rPr>
        <w:t>项目资金申报及使用情况</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（一）项目资金申报及批复情况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lang w:val="zh-CN"/>
        </w:rPr>
        <w:t>年中心实施基本药物制度补助项目安排资金为</w:t>
      </w:r>
      <w:r>
        <w:rPr>
          <w:rFonts w:ascii="方正仿宋简体" w:eastAsia="方正仿宋简体" w:cs="方正仿宋简体" w:hint="eastAsia"/>
          <w:color w:val="auto"/>
          <w:sz w:val="32"/>
          <w:szCs w:val="32"/>
          <w:lang w:val="en-US" w:eastAsia="zh-CN"/>
        </w:rPr>
        <w:t>34.05</w:t>
      </w:r>
      <w:r>
        <w:rPr>
          <w:rFonts w:ascii="方正仿宋简体" w:eastAsia="方正仿宋简体" w:cs="方正仿宋简体" w:hint="eastAsia"/>
          <w:color w:val="auto"/>
          <w:sz w:val="32"/>
          <w:szCs w:val="32"/>
          <w:lang w:val="zh-CN"/>
        </w:rPr>
        <w:t>万元，由《广元市利州区卫生健康局关于下达</w:t>
      </w:r>
      <w:r>
        <w:rPr>
          <w:rFonts w:ascii="方正仿宋简体" w:eastAsia="方正仿宋简体" w:cs="方正仿宋简体" w:hint="eastAsia"/>
          <w:color w:val="auto"/>
          <w:sz w:val="32"/>
          <w:szCs w:val="32"/>
          <w:lang w:val="en-US" w:eastAsia="zh-CN"/>
        </w:rPr>
        <w:t>2020年基层医疗机构实施基本药物制度取消药品加成相关补助资金的通知</w:t>
      </w:r>
      <w:r>
        <w:rPr>
          <w:rFonts w:ascii="方正仿宋简体" w:eastAsia="方正仿宋简体" w:cs="方正仿宋简体" w:hint="eastAsia"/>
          <w:color w:val="auto"/>
          <w:sz w:val="32"/>
          <w:szCs w:val="32"/>
          <w:lang w:val="zh-CN"/>
        </w:rPr>
        <w:t>》等相关文件下达中心实施基本药物制度补助项目资金</w:t>
      </w:r>
      <w:r>
        <w:rPr>
          <w:rFonts w:ascii="方正仿宋简体" w:eastAsia="方正仿宋简体" w:cs="方正仿宋简体" w:hint="eastAsia"/>
          <w:color w:val="auto"/>
          <w:sz w:val="32"/>
          <w:szCs w:val="32"/>
          <w:lang w:val="en-US" w:eastAsia="zh-CN"/>
        </w:rPr>
        <w:t>34.05</w:t>
      </w:r>
      <w:r>
        <w:rPr>
          <w:rFonts w:ascii="方正仿宋简体" w:eastAsia="方正仿宋简体" w:cs="方正仿宋简体" w:hint="eastAsia"/>
          <w:color w:val="auto"/>
          <w:sz w:val="32"/>
          <w:szCs w:val="32"/>
          <w:lang w:val="zh-CN"/>
        </w:rPr>
        <w:t>万元。</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（二）资金到位及使用情况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en-US" w:eastAsia="zh-CN"/>
        </w:rPr>
        <w:t>1</w:t>
      </w:r>
      <w:r>
        <w:rPr>
          <w:rFonts w:ascii="方正仿宋简体" w:eastAsia="方正仿宋简体" w:cs="方正仿宋简体" w:hint="eastAsia"/>
          <w:color w:val="auto"/>
          <w:sz w:val="32"/>
          <w:szCs w:val="32"/>
          <w:lang w:val="zh-CN"/>
        </w:rPr>
        <w:t>.资金到位</w:t>
      </w:r>
      <w:r>
        <w:rPr>
          <w:rFonts w:ascii="方正仿宋简体" w:eastAsia="方正仿宋简体" w:cs="方正仿宋简体" w:hint="eastAsia"/>
          <w:color w:val="auto"/>
          <w:sz w:val="32"/>
          <w:szCs w:val="32"/>
          <w:lang w:val="en-US" w:eastAsia="zh-CN"/>
        </w:rPr>
        <w:t>38.13</w:t>
      </w:r>
      <w:r>
        <w:rPr>
          <w:rFonts w:ascii="方正仿宋简体" w:eastAsia="方正仿宋简体" w:cs="方正仿宋简体" w:hint="eastAsia"/>
          <w:color w:val="auto"/>
          <w:sz w:val="32"/>
          <w:szCs w:val="32"/>
          <w:lang w:val="zh-CN"/>
        </w:rPr>
        <w:t>万元。</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2</w:t>
      </w:r>
      <w:r>
        <w:rPr>
          <w:rFonts w:ascii="方正仿宋简体" w:eastAsia="方正仿宋简体" w:cs="方正仿宋简体" w:hint="eastAsia"/>
          <w:color w:val="auto"/>
          <w:sz w:val="32"/>
          <w:szCs w:val="32"/>
          <w:lang w:val="zh-CN"/>
        </w:rPr>
        <w:t>.资金使用。</w:t>
      </w:r>
      <w:r>
        <w:rPr>
          <w:rFonts w:ascii="方正仿宋简体" w:eastAsia="方正仿宋简体" w:cs="方正仿宋简体" w:hint="eastAsia"/>
          <w:color w:val="auto"/>
          <w:sz w:val="32"/>
          <w:szCs w:val="32"/>
        </w:rPr>
        <w:t>20</w:t>
      </w:r>
      <w:r>
        <w:rPr>
          <w:rFonts w:ascii="方正仿宋简体" w:eastAsia="方正仿宋简体" w:cs="方正仿宋简体" w:hint="eastAsia"/>
          <w:color w:val="auto"/>
          <w:sz w:val="32"/>
          <w:szCs w:val="32"/>
          <w:lang w:val="en-US" w:eastAsia="zh-CN"/>
        </w:rPr>
        <w:t>20</w:t>
      </w:r>
      <w:r>
        <w:rPr>
          <w:rFonts w:ascii="方正仿宋简体" w:eastAsia="方正仿宋简体" w:cs="方正仿宋简体" w:hint="eastAsia"/>
          <w:color w:val="auto"/>
          <w:sz w:val="32"/>
          <w:szCs w:val="32"/>
        </w:rPr>
        <w:t>年通过采购使用基本药物的数量、服务人口的数量、阳光采购积分情况和完成目标任务情况综合评定</w:t>
      </w:r>
      <w:r>
        <w:rPr>
          <w:rFonts w:ascii="方正仿宋简体" w:eastAsia="方正仿宋简体" w:cs="方正仿宋简体" w:hint="eastAsia"/>
          <w:color w:val="auto"/>
          <w:sz w:val="32"/>
          <w:szCs w:val="32"/>
          <w:lang w:eastAsia="zh-CN"/>
        </w:rPr>
        <w:t>，中心</w:t>
      </w:r>
      <w:r>
        <w:rPr>
          <w:rFonts w:ascii="方正仿宋简体" w:eastAsia="方正仿宋简体" w:cs="方正仿宋简体" w:hint="eastAsia"/>
          <w:color w:val="auto"/>
          <w:sz w:val="32"/>
          <w:szCs w:val="32"/>
        </w:rPr>
        <w:t>收到各级专项补助资金</w:t>
      </w:r>
      <w:r>
        <w:rPr>
          <w:rFonts w:ascii="方正仿宋简体" w:eastAsia="方正仿宋简体" w:cs="方正仿宋简体" w:hint="eastAsia"/>
          <w:color w:val="auto"/>
          <w:sz w:val="32"/>
          <w:szCs w:val="32"/>
          <w:lang w:val="en-US" w:eastAsia="zh-CN"/>
        </w:rPr>
        <w:t>34.05</w:t>
      </w:r>
      <w:r>
        <w:rPr>
          <w:rFonts w:ascii="方正仿宋简体" w:eastAsia="方正仿宋简体" w:cs="方正仿宋简体" w:hint="eastAsia"/>
          <w:color w:val="auto"/>
          <w:sz w:val="32"/>
          <w:szCs w:val="32"/>
        </w:rPr>
        <w:t>万元，</w:t>
      </w:r>
      <w:r>
        <w:rPr>
          <w:rFonts w:ascii="方正仿宋简体" w:eastAsia="方正仿宋简体" w:cs="方正仿宋简体" w:hint="eastAsia"/>
          <w:color w:val="auto"/>
          <w:sz w:val="32"/>
          <w:szCs w:val="32"/>
          <w:lang w:eastAsia="zh-CN"/>
        </w:rPr>
        <w:t>其中：村卫生室补助</w:t>
      </w:r>
      <w:r>
        <w:rPr>
          <w:rFonts w:ascii="方正仿宋简体" w:eastAsia="方正仿宋简体" w:cs="方正仿宋简体" w:hint="eastAsia"/>
          <w:color w:val="auto"/>
          <w:sz w:val="32"/>
          <w:szCs w:val="32"/>
          <w:lang w:val="en-US" w:eastAsia="zh-CN"/>
        </w:rPr>
        <w:t>4.05万元。通</w:t>
      </w:r>
      <w:r>
        <w:rPr>
          <w:rFonts w:ascii="方正仿宋简体" w:eastAsia="方正仿宋简体" w:cs="方正仿宋简体" w:hint="eastAsia"/>
          <w:color w:val="auto"/>
          <w:sz w:val="32"/>
          <w:szCs w:val="32"/>
          <w:lang w:val="zh-CN"/>
        </w:rPr>
        <w:t>过实施基本药物制度财政补助，弥补了中心及村卫生室实施基本药物制度后药品零差价销售损失的药品差价，确保了中心及村卫生室正常运转和基层医务人员合理待遇不降低。</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（三）项目财务管理情况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严格遵守项目资金管理办法，对到账资金及下拨资金均经过完整的审批程序及审核。对村卫生室基本药物制度实施情况开展考核，根据结果据实分配补助资金。资金使用有完整的审批程序和手续，专款专用，不存在截留、挤占、挪用、虚列支等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三、项目实施及管理情况</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（一）项目组织架构及实施流程</w:t>
      </w:r>
    </w:p>
    <w:p>
      <w:pPr>
        <w:pStyle w:val="16"/>
        <w:pageBreakBefore w:val="0"/>
        <w:widowControl w:val="0"/>
        <w:kinsoku/>
        <w:wordWrap/>
        <w:overflowPunct/>
        <w:topLinePunct w:val="0"/>
        <w:autoSpaceDE/>
        <w:autoSpaceDN/>
        <w:bidi w:val="0"/>
        <w:spacing w:after="0" w:line="576" w:lineRule="exact"/>
        <w:ind w:leftChars="0" w:left="0" w:firstLineChars="200" w:firstLine="640"/>
        <w:textAlignment w:val="auto"/>
        <w:rPr>
          <w:rFonts w:ascii="方正仿宋简体" w:eastAsia="方正仿宋简体" w:cs="方正仿宋简体" w:hint="eastAsia"/>
          <w:b w:val="0"/>
          <w:bCs/>
          <w:color w:val="auto"/>
          <w:sz w:val="32"/>
          <w:szCs w:val="32"/>
          <w:lang w:val="zh-CN"/>
        </w:rPr>
      </w:pPr>
      <w:r>
        <w:rPr>
          <w:rFonts w:ascii="方正仿宋简体" w:eastAsia="方正仿宋简体" w:cs="方正仿宋简体" w:hint="eastAsia"/>
          <w:b w:val="0"/>
          <w:bCs/>
          <w:color w:val="auto"/>
          <w:sz w:val="32"/>
          <w:szCs w:val="32"/>
          <w:lang w:val="zh-CN"/>
        </w:rPr>
        <w:t>根据四川省基层医疗机构实施国家基本药物制度补助资金管理办法及考核办法的文件精神，成立了以中心主任为组长，分管主任为副组长，业务人员为成员的基本药物制度工作领导小组，小组设在药房办公室，由专人负责本单位和辖区内村卫生室的基本药物制度实施，落实项目运行及资金使用情况，及时报送相关资料。根据上级文件精神，中心及辖区内村卫生室配备专兼职基本药物采购工作人员，进行网上采购，每月统计，逐级上报。</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en-US" w:eastAsia="zh-CN"/>
        </w:rPr>
      </w:pPr>
      <w:r>
        <w:rPr>
          <w:rFonts w:ascii="方正楷体简体" w:eastAsia="方正楷体简体" w:cs="方正楷体简体" w:hint="eastAsia"/>
          <w:b w:val="0"/>
          <w:bCs w:val="0"/>
          <w:color w:val="auto"/>
          <w:sz w:val="32"/>
          <w:szCs w:val="32"/>
          <w:lang w:val="zh-CN"/>
        </w:rPr>
        <w:t>（二）项目管理情况</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b w:val="0"/>
          <w:bCs/>
          <w:color w:val="auto"/>
          <w:sz w:val="32"/>
          <w:szCs w:val="32"/>
          <w:lang w:val="en-US" w:eastAsia="zh-CN"/>
        </w:rPr>
      </w:pPr>
      <w:r>
        <w:rPr>
          <w:rFonts w:ascii="方正仿宋简体" w:eastAsia="方正仿宋简体" w:cs="方正仿宋简体" w:hint="eastAsia"/>
          <w:b w:val="0"/>
          <w:bCs/>
          <w:color w:val="auto"/>
          <w:sz w:val="32"/>
          <w:szCs w:val="32"/>
          <w:lang w:val="en-US" w:eastAsia="zh-CN"/>
        </w:rPr>
        <w:t>2020年中心及辖区内的村卫生室基本药物全部在药品网上集中招标采购（村卫生室代购），全部实施国家基本药物制度，实现了国家基本药物制度100%全覆盖。</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（三）项目监管情况</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b w:val="0"/>
          <w:bCs/>
          <w:color w:val="auto"/>
          <w:sz w:val="32"/>
          <w:szCs w:val="32"/>
          <w:lang w:val="zh-CN"/>
        </w:rPr>
        <w:t>广元市利州区卫生健康局通过</w:t>
      </w:r>
      <w:r>
        <w:rPr>
          <w:rFonts w:ascii="方正仿宋简体" w:eastAsia="方正仿宋简体" w:cs="方正仿宋简体" w:hint="eastAsia"/>
          <w:b w:val="0"/>
          <w:bCs/>
          <w:color w:val="auto"/>
          <w:sz w:val="32"/>
          <w:szCs w:val="32"/>
        </w:rPr>
        <w:t>阳光采购积分情况和完成目标任务情况综合评定</w:t>
      </w:r>
      <w:r>
        <w:rPr>
          <w:rFonts w:ascii="方正仿宋简体" w:eastAsia="方正仿宋简体" w:cs="方正仿宋简体" w:hint="eastAsia"/>
          <w:b w:val="0"/>
          <w:bCs/>
          <w:color w:val="auto"/>
          <w:sz w:val="32"/>
          <w:szCs w:val="32"/>
          <w:lang w:val="zh-CN"/>
        </w:rPr>
        <w:t>拨付补助资金。中心实施基本药物制度，药品得到了合理有效地控制，城乡居民基本用药负担进一步降低，人民群众基本药物需求得到切实保障。</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lang w:val="zh-CN"/>
        </w:rPr>
      </w:pPr>
      <w:r>
        <w:rPr>
          <w:rFonts w:ascii="方正黑体简体" w:eastAsia="方正黑体简体" w:cs="方正黑体简体" w:hint="eastAsia"/>
          <w:b w:val="0"/>
          <w:bCs w:val="0"/>
          <w:color w:val="auto"/>
          <w:sz w:val="32"/>
          <w:szCs w:val="32"/>
        </w:rPr>
        <w:t>四、项目绩效情况</w:t>
      </w:r>
      <w:r>
        <w:rPr>
          <w:rFonts w:ascii="方正黑体简体" w:eastAsia="方正黑体简体" w:cs="方正黑体简体" w:hint="eastAsia"/>
          <w:b w:val="0"/>
          <w:bCs w:val="0"/>
          <w:color w:val="auto"/>
          <w:sz w:val="32"/>
          <w:szCs w:val="32"/>
          <w:lang w:val="zh-CN"/>
        </w:rPr>
        <w:tab/>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（一）项目完成情况</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广元市利州区杨家岩社区卫生服务中心较好的完成了项目年度绩效目标，通过实施基本药物制度项目绩效评价。</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b w:val="0"/>
          <w:bCs w:val="0"/>
          <w:color w:val="auto"/>
          <w:sz w:val="32"/>
          <w:szCs w:val="32"/>
          <w:lang w:val="en-US" w:eastAsia="zh-CN"/>
        </w:rPr>
        <w:t>1.</w:t>
      </w:r>
      <w:r>
        <w:rPr>
          <w:rFonts w:ascii="方正仿宋简体" w:eastAsia="方正仿宋简体" w:cs="方正仿宋简体" w:hint="eastAsia"/>
          <w:b w:val="0"/>
          <w:bCs w:val="0"/>
          <w:color w:val="auto"/>
          <w:sz w:val="32"/>
          <w:szCs w:val="32"/>
        </w:rPr>
        <w:t>巩固基本药物制度，推进综合改革顺利进行；</w:t>
      </w:r>
      <w:r>
        <w:rPr>
          <w:rFonts w:ascii="方正仿宋简体" w:eastAsia="方正仿宋简体" w:cs="方正仿宋简体" w:hint="eastAsia"/>
          <w:color w:val="auto"/>
          <w:sz w:val="32"/>
          <w:szCs w:val="32"/>
          <w:lang w:val="en-US" w:eastAsia="zh-CN"/>
        </w:rPr>
        <w:t>全面实施药品零差价，基本改变以药养医的传统格局。</w:t>
      </w:r>
    </w:p>
    <w:p>
      <w:pPr>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b w:val="0"/>
          <w:bCs w:val="0"/>
          <w:color w:val="auto"/>
          <w:sz w:val="32"/>
          <w:szCs w:val="32"/>
        </w:rPr>
        <w:t>2</w:t>
      </w:r>
      <w:r>
        <w:rPr>
          <w:rFonts w:ascii="方正仿宋简体" w:eastAsia="方正仿宋简体" w:cs="方正仿宋简体" w:hint="eastAsia"/>
          <w:b w:val="0"/>
          <w:bCs w:val="0"/>
          <w:color w:val="auto"/>
          <w:sz w:val="32"/>
          <w:szCs w:val="32"/>
          <w:lang w:eastAsia="zh-CN"/>
        </w:rPr>
        <w:t>.</w:t>
      </w:r>
      <w:r>
        <w:rPr>
          <w:rFonts w:ascii="方正仿宋简体" w:eastAsia="方正仿宋简体" w:cs="方正仿宋简体" w:hint="eastAsia"/>
          <w:b w:val="0"/>
          <w:bCs w:val="0"/>
          <w:color w:val="auto"/>
          <w:sz w:val="32"/>
          <w:szCs w:val="32"/>
        </w:rPr>
        <w:t>加强中心医疗机构卫生服务体系建设，不断提升服务能力和水平，筑牢中心医疗卫生服务网底，实现医改“保基本、强基层、建机制”的目标</w:t>
      </w:r>
      <w:r>
        <w:rPr>
          <w:rFonts w:ascii="方正仿宋简体" w:eastAsia="方正仿宋简体" w:cs="方正仿宋简体" w:hint="eastAsia"/>
          <w:color w:val="auto"/>
          <w:sz w:val="32"/>
          <w:szCs w:val="32"/>
          <w:lang w:eastAsia="zh-CN"/>
        </w:rPr>
        <w:t>，</w:t>
      </w:r>
      <w:r>
        <w:rPr>
          <w:rFonts w:ascii="方正仿宋简体" w:eastAsia="方正仿宋简体" w:cs="方正仿宋简体" w:hint="eastAsia"/>
          <w:color w:val="auto"/>
          <w:sz w:val="32"/>
          <w:szCs w:val="32"/>
          <w:lang w:val="en-US" w:eastAsia="zh-CN"/>
        </w:rPr>
        <w:t>规范国家基本药物使用，及医务人员的开药行为遏制过度使用抗生素问题，确保用药安全。</w:t>
      </w:r>
      <w:r>
        <w:rPr>
          <w:rFonts w:ascii="方正仿宋简体" w:eastAsia="方正仿宋简体" w:cs="方正仿宋简体" w:hint="eastAsia"/>
          <w:color w:val="auto"/>
          <w:sz w:val="32"/>
          <w:szCs w:val="32"/>
          <w:lang w:val="zh-CN"/>
        </w:rPr>
        <w:t>保证广大群众用药安全，使药品价格得到合理有效控制，降低城乡居民基本用药负担，提高人民群众健康水平，降低老百姓的就医成本，有效缓解了群众“看病难，看病贵”问题。</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（二）项目效益情况</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zh-CN"/>
        </w:rPr>
      </w:pPr>
      <w:r>
        <w:rPr>
          <w:rFonts w:ascii="方正仿宋简体" w:eastAsia="方正仿宋简体" w:cs="方正仿宋简体" w:hint="eastAsia"/>
          <w:color w:val="auto"/>
          <w:sz w:val="32"/>
          <w:szCs w:val="32"/>
          <w:lang w:val="zh-CN"/>
        </w:rPr>
        <w:t>通过实施基本药物制度财政项目，降低患者的医疗费用，保证药品安全、有效、经济，群众的满意度提高 。</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黑体简体" w:eastAsia="方正黑体简体" w:cs="方正黑体简体" w:hint="eastAsia"/>
          <w:b w:val="0"/>
          <w:bCs w:val="0"/>
          <w:color w:val="auto"/>
          <w:sz w:val="32"/>
          <w:szCs w:val="32"/>
        </w:rPr>
      </w:pPr>
      <w:r>
        <w:rPr>
          <w:rFonts w:ascii="方正黑体简体" w:eastAsia="方正黑体简体" w:cs="方正黑体简体" w:hint="eastAsia"/>
          <w:b w:val="0"/>
          <w:bCs w:val="0"/>
          <w:color w:val="auto"/>
          <w:sz w:val="32"/>
          <w:szCs w:val="32"/>
        </w:rPr>
        <w:t>五、评价结论及建议</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（一）评价结论</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kern w:val="0"/>
          <w:sz w:val="32"/>
          <w:szCs w:val="32"/>
        </w:rPr>
        <w:t>实施国家基本药物制度涉及面广、工作难度大，为使中心卫生技术人员更全面、更准确地掌握实施国家基本药物制度规范要求，让广大群众主动参与到工作中来，成立项目绩效考核领导小组，完善了相关管理督查制度，最大限度的将利州区实施国家基本药物制度项目运行好，让广大城乡居民得到实惠，在降低城乡居民就医药品费用和减少就医支出上收到了较好的效果。</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（二）存在的问题</w:t>
      </w:r>
    </w:p>
    <w:p>
      <w:pPr>
        <w:pageBreakBefore w:val="0"/>
        <w:widowControl/>
        <w:kinsoku/>
        <w:wordWrap/>
        <w:overflowPunct/>
        <w:topLinePunct w:val="0"/>
        <w:autoSpaceDE/>
        <w:autoSpaceDN/>
        <w:bidi w:val="0"/>
        <w:spacing w:line="576" w:lineRule="exact"/>
        <w:ind w:left="0"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kern w:val="0"/>
          <w:sz w:val="32"/>
          <w:szCs w:val="32"/>
        </w:rPr>
        <w:t>1</w:t>
      </w:r>
      <w:r>
        <w:rPr>
          <w:rFonts w:ascii="方正仿宋简体" w:eastAsia="方正仿宋简体" w:cs="方正仿宋简体" w:hint="eastAsia"/>
          <w:color w:val="auto"/>
          <w:kern w:val="0"/>
          <w:sz w:val="32"/>
          <w:szCs w:val="32"/>
          <w:lang w:eastAsia="zh-CN"/>
        </w:rPr>
        <w:t>.</w:t>
      </w:r>
      <w:r>
        <w:rPr>
          <w:rFonts w:ascii="方正仿宋简体" w:eastAsia="方正仿宋简体" w:cs="方正仿宋简体" w:hint="eastAsia"/>
          <w:color w:val="auto"/>
          <w:kern w:val="0"/>
          <w:sz w:val="32"/>
          <w:szCs w:val="32"/>
        </w:rPr>
        <w:t>实施基本药物制度单位的医生的用药习惯与国家基本药物目录内部份药品不相适应。</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rPr>
      </w:pPr>
      <w:r>
        <w:rPr>
          <w:rFonts w:ascii="方正仿宋简体" w:eastAsia="方正仿宋简体" w:cs="方正仿宋简体" w:hint="eastAsia"/>
          <w:color w:val="auto"/>
          <w:kern w:val="0"/>
          <w:sz w:val="32"/>
          <w:szCs w:val="32"/>
        </w:rPr>
        <w:t>2</w:t>
      </w:r>
      <w:r>
        <w:rPr>
          <w:rFonts w:ascii="方正仿宋简体" w:eastAsia="方正仿宋简体" w:cs="方正仿宋简体" w:hint="eastAsia"/>
          <w:color w:val="auto"/>
          <w:kern w:val="0"/>
          <w:sz w:val="32"/>
          <w:szCs w:val="32"/>
          <w:lang w:eastAsia="zh-CN"/>
        </w:rPr>
        <w:t>.</w:t>
      </w:r>
      <w:r>
        <w:rPr>
          <w:rFonts w:ascii="方正仿宋简体" w:eastAsia="方正仿宋简体" w:cs="方正仿宋简体" w:hint="eastAsia"/>
          <w:color w:val="auto"/>
          <w:kern w:val="0"/>
          <w:sz w:val="32"/>
          <w:szCs w:val="32"/>
        </w:rPr>
        <w:t>采购平台现行目录药品不能满足特殊人</w:t>
      </w:r>
      <w:r>
        <w:rPr>
          <w:rFonts w:ascii="方正仿宋简体" w:eastAsia="方正仿宋简体" w:cs="方正仿宋简体" w:hint="eastAsia"/>
          <w:color w:val="auto"/>
          <w:kern w:val="0"/>
          <w:sz w:val="32"/>
          <w:szCs w:val="32"/>
          <w:lang w:eastAsia="zh-CN"/>
        </w:rPr>
        <w:t>群</w:t>
      </w:r>
      <w:r>
        <w:rPr>
          <w:rFonts w:ascii="方正仿宋简体" w:eastAsia="方正仿宋简体" w:cs="方正仿宋简体" w:hint="eastAsia"/>
          <w:color w:val="auto"/>
          <w:kern w:val="0"/>
          <w:sz w:val="32"/>
          <w:szCs w:val="32"/>
        </w:rPr>
        <w:t>需求。很多廉价基药品种厂家已经不生产，一直处于缺货状态，一些疗效好、价格低的药品采购不到。</w:t>
      </w:r>
    </w:p>
    <w:p>
      <w:pPr>
        <w:pageBreakBefore w:val="0"/>
        <w:widowControl w:val="0"/>
        <w:kinsoku/>
        <w:wordWrap/>
        <w:overflowPunct/>
        <w:topLinePunct w:val="0"/>
        <w:autoSpaceDE/>
        <w:autoSpaceDN/>
        <w:bidi w:val="0"/>
        <w:spacing w:line="576" w:lineRule="exact"/>
        <w:ind w:firstLineChars="200" w:firstLine="640"/>
        <w:textAlignment w:val="auto"/>
        <w:rPr>
          <w:rFonts w:ascii="方正楷体简体" w:eastAsia="方正楷体简体" w:cs="方正楷体简体" w:hint="eastAsia"/>
          <w:b w:val="0"/>
          <w:bCs w:val="0"/>
          <w:color w:val="auto"/>
          <w:sz w:val="32"/>
          <w:szCs w:val="32"/>
          <w:lang w:val="zh-CN"/>
        </w:rPr>
      </w:pPr>
      <w:r>
        <w:rPr>
          <w:rFonts w:ascii="方正楷体简体" w:eastAsia="方正楷体简体" w:cs="方正楷体简体" w:hint="eastAsia"/>
          <w:b w:val="0"/>
          <w:bCs w:val="0"/>
          <w:color w:val="auto"/>
          <w:sz w:val="32"/>
          <w:szCs w:val="32"/>
          <w:lang w:val="zh-CN"/>
        </w:rPr>
        <w:t>（三）相关建议</w:t>
      </w:r>
    </w:p>
    <w:p>
      <w:pPr>
        <w:pageBreakBefore w:val="0"/>
        <w:widowControl w:val="0"/>
        <w:kinsoku/>
        <w:wordWrap/>
        <w:overflowPunct/>
        <w:topLinePunct w:val="0"/>
        <w:autoSpaceDE/>
        <w:autoSpaceDN/>
        <w:bidi w:val="0"/>
        <w:adjustRightInd w:val="0"/>
        <w:snapToGrid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1.各机构所有药物零差价率销售，随着社会发展，人均收入不断增长，机构运行成本增加，社区卫生服务机构人员工资普遍不高，人才难以留住。建议逐步加大基层医疗机构补助力度，减轻基层压力。</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sz w:val="32"/>
          <w:szCs w:val="32"/>
          <w:lang w:val="en-US" w:eastAsia="zh-CN"/>
        </w:rPr>
      </w:pPr>
      <w:r>
        <w:rPr>
          <w:rFonts w:ascii="方正仿宋简体" w:eastAsia="方正仿宋简体" w:cs="方正仿宋简体" w:hint="eastAsia"/>
          <w:color w:val="auto"/>
          <w:sz w:val="32"/>
          <w:szCs w:val="32"/>
          <w:lang w:val="en-US" w:eastAsia="zh-CN"/>
        </w:rPr>
        <w:t>2.基药目录应定期增补，不断增加药品种类，考虑医生用药习惯及患者需求。</w:t>
      </w:r>
    </w:p>
    <w:p>
      <w:pPr>
        <w:pageBreakBefore w:val="0"/>
        <w:widowControl/>
        <w:kinsoku/>
        <w:wordWrap/>
        <w:overflowPunct/>
        <w:topLinePunct w:val="0"/>
        <w:autoSpaceDE/>
        <w:autoSpaceDN/>
        <w:bidi w:val="0"/>
        <w:spacing w:line="576" w:lineRule="exact"/>
        <w:ind w:firstLineChars="200" w:firstLine="640"/>
        <w:textAlignment w:val="auto"/>
        <w:rPr>
          <w:rFonts w:ascii="方正仿宋简体" w:eastAsia="方正仿宋简体" w:cs="方正仿宋简体" w:hint="eastAsia"/>
          <w:color w:val="auto"/>
          <w:kern w:val="0"/>
          <w:sz w:val="32"/>
          <w:szCs w:val="32"/>
        </w:rPr>
      </w:pPr>
      <w:r>
        <w:rPr>
          <w:rFonts w:ascii="方正仿宋简体" w:eastAsia="方正仿宋简体" w:cs="方正仿宋简体" w:hint="eastAsia"/>
          <w:color w:val="auto"/>
          <w:sz w:val="32"/>
          <w:szCs w:val="32"/>
          <w:lang w:val="en-US" w:eastAsia="zh-CN"/>
        </w:rPr>
        <w:t>3.</w:t>
      </w:r>
      <w:r>
        <w:rPr>
          <w:rFonts w:ascii="方正仿宋简体" w:eastAsia="方正仿宋简体" w:cs="方正仿宋简体" w:hint="eastAsia"/>
          <w:color w:val="auto"/>
          <w:kern w:val="0"/>
          <w:sz w:val="32"/>
          <w:szCs w:val="32"/>
        </w:rPr>
        <w:t>严格资金使用与管理，加大监管力度，杜绝经费的不合理使用和套取资金，充分发挥资金的使用效益。</w:t>
      </w:r>
    </w:p>
    <w:p>
      <w:pPr>
        <w:pageBreakBefore w:val="0"/>
        <w:widowControl w:val="0"/>
        <w:kinsoku/>
        <w:wordWrap/>
        <w:overflowPunct/>
        <w:topLinePunct w:val="0"/>
        <w:autoSpaceDE/>
        <w:autoSpaceDN/>
        <w:bidi w:val="0"/>
        <w:spacing w:line="576" w:lineRule="exact"/>
        <w:ind w:firstLineChars="200" w:firstLine="420"/>
        <w:textAlignment w:val="auto"/>
        <w:rPr>
          <w:rFonts w:ascii="仿宋" w:eastAsia="仿宋" w:cs="仿宋" w:hint="eastAsia"/>
          <w:color w:val="auto"/>
        </w:rPr>
      </w:pPr>
      <w:bookmarkStart w:id="59" w:name="_Toc15396619"/>
    </w:p>
    <w:p>
      <w:pPr>
        <w:pStyle w:val="16"/>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6"/>
        <w:ind w:leftChars="0" w:left="0" w:firstLineChars="0" w:firstLine="0"/>
        <w:rPr>
          <w:rFonts w:ascii="仿宋" w:eastAsia="仿宋" w:cs="仿宋" w:hint="eastAsia"/>
          <w:color w:val="auto"/>
        </w:rPr>
      </w:pPr>
    </w:p>
    <w:p>
      <w:pPr>
        <w:pStyle w:val="16"/>
        <w:ind w:leftChars="0" w:left="0" w:firstLineChars="0" w:firstLine="0"/>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6"/>
        <w:rPr>
          <w:rFonts w:ascii="仿宋" w:eastAsia="仿宋" w:cs="仿宋" w:hint="eastAsia"/>
          <w:color w:val="auto"/>
        </w:rPr>
      </w:pPr>
    </w:p>
    <w:p>
      <w:pPr>
        <w:pStyle w:val="1"/>
        <w:keepNext/>
        <w:keepLines/>
        <w:pageBreakBefore w:val="0"/>
        <w:widowControl w:val="0"/>
        <w:kinsoku/>
        <w:wordWrap/>
        <w:overflowPunct/>
        <w:topLinePunct w:val="0"/>
        <w:autoSpaceDE/>
        <w:autoSpaceDN/>
        <w:bidi w:val="0"/>
        <w:spacing w:before="0" w:after="0" w:line="576" w:lineRule="exact"/>
        <w:ind w:right="0"/>
        <w:jc w:val="center"/>
        <w:textAlignment w:val="auto"/>
        <w:rPr>
          <w:rFonts w:ascii="方正小标宋简体" w:eastAsia="方正小标宋简体" w:cs="方正小标宋简体" w:hint="eastAsia"/>
          <w:b w:val="0"/>
          <w:color w:val="auto"/>
          <w:sz w:val="48"/>
          <w:szCs w:val="48"/>
          <w:lang w:val="en-US" w:eastAsia="zh-CN"/>
        </w:rPr>
      </w:pPr>
      <w:r>
        <w:rPr>
          <w:rFonts w:ascii="方正小标宋简体" w:eastAsia="方正小标宋简体" w:cs="方正小标宋简体" w:hint="eastAsia"/>
          <w:b w:val="0"/>
          <w:color w:val="auto"/>
          <w:sz w:val="48"/>
          <w:szCs w:val="48"/>
          <w:lang w:eastAsia="zh-CN"/>
        </w:rPr>
        <w:t>第五部分</w:t>
      </w:r>
      <w:r>
        <w:rPr>
          <w:rFonts w:ascii="方正小标宋简体" w:eastAsia="方正小标宋简体" w:cs="方正小标宋简体" w:hint="eastAsia"/>
          <w:b w:val="0"/>
          <w:color w:val="auto"/>
          <w:sz w:val="48"/>
          <w:szCs w:val="48"/>
          <w:lang w:val="en-US" w:eastAsia="zh-CN"/>
        </w:rPr>
        <w:t xml:space="preserve">  附表</w:t>
      </w:r>
    </w:p>
    <w:p>
      <w:pPr>
        <w:rPr>
          <w:rFonts w:hint="eastAsia"/>
          <w:color w:val="auto"/>
          <w:lang w:val="en-US" w:eastAsia="zh-CN"/>
        </w:rPr>
      </w:pPr>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r>
        <w:rPr>
          <w:rFonts w:ascii="方正仿宋简体" w:eastAsia="方正仿宋简体" w:cs="方正仿宋简体" w:hint="eastAsia"/>
          <w:b w:val="0"/>
          <w:color w:val="auto"/>
        </w:rPr>
        <w:t>一、收</w:t>
      </w:r>
      <w:r>
        <w:rPr>
          <w:rStyle w:val="2Char"/>
          <w:rFonts w:ascii="方正仿宋简体" w:eastAsia="方正仿宋简体" w:cs="方正仿宋简体" w:hint="eastAsia"/>
          <w:b w:val="0"/>
          <w:bCs w:val="0"/>
          <w:color w:val="auto"/>
        </w:rPr>
        <w:t>入支出决算总表</w:t>
      </w:r>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0" w:name="_Toc15396620"/>
      <w:r>
        <w:rPr>
          <w:rFonts w:ascii="方正仿宋简体" w:eastAsia="方正仿宋简体" w:cs="方正仿宋简体" w:hint="eastAsia"/>
          <w:b w:val="0"/>
          <w:color w:val="auto"/>
        </w:rPr>
        <w:t>二、收</w:t>
      </w:r>
      <w:r>
        <w:rPr>
          <w:rStyle w:val="2Char"/>
          <w:rFonts w:ascii="方正仿宋简体" w:eastAsia="方正仿宋简体" w:cs="方正仿宋简体" w:hint="eastAsia"/>
          <w:b w:val="0"/>
          <w:bCs w:val="0"/>
          <w:color w:val="auto"/>
        </w:rPr>
        <w:t>入决算表</w:t>
      </w:r>
      <w:bookmarkEnd w:id="60"/>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1" w:name="_Toc15396621"/>
      <w:r>
        <w:rPr>
          <w:rStyle w:val="2Char"/>
          <w:rFonts w:ascii="方正仿宋简体" w:eastAsia="方正仿宋简体" w:cs="方正仿宋简体" w:hint="eastAsia"/>
          <w:b w:val="0"/>
          <w:bCs w:val="0"/>
          <w:color w:val="auto"/>
        </w:rPr>
        <w:t>三、</w:t>
      </w:r>
      <w:r>
        <w:rPr>
          <w:rFonts w:ascii="方正仿宋简体" w:eastAsia="方正仿宋简体" w:cs="方正仿宋简体" w:hint="eastAsia"/>
          <w:b w:val="0"/>
          <w:color w:val="auto"/>
        </w:rPr>
        <w:t>支</w:t>
      </w:r>
      <w:r>
        <w:rPr>
          <w:rStyle w:val="2Char"/>
          <w:rFonts w:ascii="方正仿宋简体" w:eastAsia="方正仿宋简体" w:cs="方正仿宋简体" w:hint="eastAsia"/>
          <w:b w:val="0"/>
          <w:bCs w:val="0"/>
          <w:color w:val="auto"/>
        </w:rPr>
        <w:t>出决算表</w:t>
      </w:r>
      <w:bookmarkEnd w:id="61"/>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b w:val="0"/>
          <w:color w:val="auto"/>
        </w:rPr>
      </w:pPr>
      <w:bookmarkStart w:id="62" w:name="_Toc15396622"/>
      <w:r>
        <w:rPr>
          <w:rStyle w:val="2Char"/>
          <w:rFonts w:ascii="方正仿宋简体" w:eastAsia="方正仿宋简体" w:cs="方正仿宋简体" w:hint="eastAsia"/>
          <w:b w:val="0"/>
          <w:bCs w:val="0"/>
          <w:color w:val="auto"/>
        </w:rPr>
        <w:t>四、</w:t>
      </w:r>
      <w:r>
        <w:rPr>
          <w:rFonts w:ascii="方正仿宋简体" w:eastAsia="方正仿宋简体" w:cs="方正仿宋简体" w:hint="eastAsia"/>
          <w:b w:val="0"/>
          <w:color w:val="auto"/>
        </w:rPr>
        <w:t>财</w:t>
      </w:r>
      <w:r>
        <w:rPr>
          <w:rStyle w:val="2Char"/>
          <w:rFonts w:ascii="方正仿宋简体" w:eastAsia="方正仿宋简体" w:cs="方正仿宋简体" w:hint="eastAsia"/>
          <w:b w:val="0"/>
          <w:bCs w:val="0"/>
          <w:color w:val="auto"/>
        </w:rPr>
        <w:t>政拨款收入支出决算总表</w:t>
      </w:r>
      <w:bookmarkEnd w:id="62"/>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Style w:val="2Char"/>
          <w:rFonts w:ascii="方正仿宋简体" w:eastAsia="方正仿宋简体" w:cs="方正仿宋简体" w:hint="eastAsia"/>
          <w:b w:val="0"/>
          <w:bCs w:val="0"/>
          <w:color w:val="auto"/>
        </w:rPr>
      </w:pPr>
      <w:bookmarkStart w:id="63" w:name="_Toc15396623"/>
      <w:r>
        <w:rPr>
          <w:rStyle w:val="2Char"/>
          <w:rFonts w:ascii="方正仿宋简体" w:eastAsia="方正仿宋简体" w:cs="方正仿宋简体" w:hint="eastAsia"/>
          <w:b w:val="0"/>
          <w:bCs w:val="0"/>
          <w:color w:val="auto"/>
        </w:rPr>
        <w:t>五、</w:t>
      </w:r>
      <w:r>
        <w:rPr>
          <w:rFonts w:ascii="方正仿宋简体" w:eastAsia="方正仿宋简体" w:cs="方正仿宋简体" w:hint="eastAsia"/>
          <w:b w:val="0"/>
          <w:color w:val="auto"/>
        </w:rPr>
        <w:t>财</w:t>
      </w:r>
      <w:r>
        <w:rPr>
          <w:rStyle w:val="2Char"/>
          <w:rFonts w:ascii="方正仿宋简体" w:eastAsia="方正仿宋简体" w:cs="方正仿宋简体" w:hint="eastAsia"/>
          <w:b w:val="0"/>
          <w:bCs w:val="0"/>
          <w:color w:val="auto"/>
        </w:rPr>
        <w:t>政拨款支出决算明细表</w:t>
      </w:r>
      <w:bookmarkStart w:id="64" w:name="_Toc15396624"/>
      <w:bookmarkEnd w:id="63"/>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r>
        <w:rPr>
          <w:rStyle w:val="2Char"/>
          <w:rFonts w:ascii="方正仿宋简体" w:eastAsia="方正仿宋简体" w:cs="方正仿宋简体" w:hint="eastAsia"/>
          <w:b w:val="0"/>
          <w:bCs w:val="0"/>
          <w:color w:val="auto"/>
        </w:rPr>
        <w:t>六、</w:t>
      </w:r>
      <w:r>
        <w:rPr>
          <w:rFonts w:ascii="方正仿宋简体" w:eastAsia="方正仿宋简体" w:cs="方正仿宋简体" w:hint="eastAsia"/>
          <w:b w:val="0"/>
          <w:color w:val="auto"/>
        </w:rPr>
        <w:t>一</w:t>
      </w:r>
      <w:r>
        <w:rPr>
          <w:rStyle w:val="2Char"/>
          <w:rFonts w:ascii="方正仿宋简体" w:eastAsia="方正仿宋简体" w:cs="方正仿宋简体" w:hint="eastAsia"/>
          <w:b w:val="0"/>
          <w:bCs w:val="0"/>
          <w:color w:val="auto"/>
        </w:rPr>
        <w:t>般公共预算财政拨款支出决算表</w:t>
      </w:r>
      <w:bookmarkEnd w:id="64"/>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5" w:name="_Toc15396625"/>
      <w:r>
        <w:rPr>
          <w:rStyle w:val="2Char"/>
          <w:rFonts w:ascii="方正仿宋简体" w:eastAsia="方正仿宋简体" w:cs="方正仿宋简体" w:hint="eastAsia"/>
          <w:b w:val="0"/>
          <w:bCs w:val="0"/>
          <w:color w:val="auto"/>
        </w:rPr>
        <w:t>七、</w:t>
      </w:r>
      <w:r>
        <w:rPr>
          <w:rFonts w:ascii="方正仿宋简体" w:eastAsia="方正仿宋简体" w:cs="方正仿宋简体" w:hint="eastAsia"/>
          <w:b w:val="0"/>
          <w:color w:val="auto"/>
        </w:rPr>
        <w:t>一</w:t>
      </w:r>
      <w:r>
        <w:rPr>
          <w:rStyle w:val="2Char"/>
          <w:rFonts w:ascii="方正仿宋简体" w:eastAsia="方正仿宋简体" w:cs="方正仿宋简体" w:hint="eastAsia"/>
          <w:b w:val="0"/>
          <w:bCs w:val="0"/>
          <w:color w:val="auto"/>
        </w:rPr>
        <w:t>般公共预算财政拨款支出决算明细表</w:t>
      </w:r>
      <w:bookmarkEnd w:id="65"/>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6" w:name="_Toc15396626"/>
      <w:r>
        <w:rPr>
          <w:rStyle w:val="2Char"/>
          <w:rFonts w:ascii="方正仿宋简体" w:eastAsia="方正仿宋简体" w:cs="方正仿宋简体" w:hint="eastAsia"/>
          <w:b w:val="0"/>
          <w:bCs w:val="0"/>
          <w:color w:val="auto"/>
        </w:rPr>
        <w:t>八、</w:t>
      </w:r>
      <w:r>
        <w:rPr>
          <w:rFonts w:ascii="方正仿宋简体" w:eastAsia="方正仿宋简体" w:cs="方正仿宋简体" w:hint="eastAsia"/>
          <w:b w:val="0"/>
          <w:color w:val="auto"/>
        </w:rPr>
        <w:t>一</w:t>
      </w:r>
      <w:r>
        <w:rPr>
          <w:rStyle w:val="2Char"/>
          <w:rFonts w:ascii="方正仿宋简体" w:eastAsia="方正仿宋简体" w:cs="方正仿宋简体" w:hint="eastAsia"/>
          <w:b w:val="0"/>
          <w:bCs w:val="0"/>
          <w:color w:val="auto"/>
        </w:rPr>
        <w:t>般公共预算财政拨款基本支出决算表</w:t>
      </w:r>
      <w:bookmarkEnd w:id="66"/>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7" w:name="_Toc15396627"/>
      <w:r>
        <w:rPr>
          <w:rStyle w:val="2Char"/>
          <w:rFonts w:ascii="方正仿宋简体" w:eastAsia="方正仿宋简体" w:cs="方正仿宋简体" w:hint="eastAsia"/>
          <w:b w:val="0"/>
          <w:bCs w:val="0"/>
          <w:color w:val="auto"/>
        </w:rPr>
        <w:t>九、</w:t>
      </w:r>
      <w:r>
        <w:rPr>
          <w:rFonts w:ascii="方正仿宋简体" w:eastAsia="方正仿宋简体" w:cs="方正仿宋简体" w:hint="eastAsia"/>
          <w:b w:val="0"/>
          <w:color w:val="auto"/>
        </w:rPr>
        <w:t>一</w:t>
      </w:r>
      <w:r>
        <w:rPr>
          <w:rStyle w:val="2Char"/>
          <w:rFonts w:ascii="方正仿宋简体" w:eastAsia="方正仿宋简体" w:cs="方正仿宋简体" w:hint="eastAsia"/>
          <w:b w:val="0"/>
          <w:bCs w:val="0"/>
          <w:color w:val="auto"/>
        </w:rPr>
        <w:t>般公共预算财政拨款项目支出决算表</w:t>
      </w:r>
      <w:bookmarkEnd w:id="67"/>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8" w:name="_Toc15396628"/>
      <w:r>
        <w:rPr>
          <w:rStyle w:val="2Char"/>
          <w:rFonts w:ascii="方正仿宋简体" w:eastAsia="方正仿宋简体" w:cs="方正仿宋简体" w:hint="eastAsia"/>
          <w:b w:val="0"/>
          <w:bCs w:val="0"/>
          <w:color w:val="auto"/>
        </w:rPr>
        <w:t>十、</w:t>
      </w:r>
      <w:r>
        <w:rPr>
          <w:rFonts w:ascii="方正仿宋简体" w:eastAsia="方正仿宋简体" w:cs="方正仿宋简体" w:hint="eastAsia"/>
          <w:b w:val="0"/>
          <w:color w:val="auto"/>
        </w:rPr>
        <w:t>一</w:t>
      </w:r>
      <w:r>
        <w:rPr>
          <w:rStyle w:val="2Char"/>
          <w:rFonts w:ascii="方正仿宋简体" w:eastAsia="方正仿宋简体" w:cs="方正仿宋简体" w:hint="eastAsia"/>
          <w:b w:val="0"/>
          <w:bCs w:val="0"/>
          <w:color w:val="auto"/>
        </w:rPr>
        <w:t>般公共预算财政拨款“三公”经费支出决算表</w:t>
      </w:r>
      <w:bookmarkEnd w:id="68"/>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69" w:name="_Toc15396629"/>
      <w:r>
        <w:rPr>
          <w:rStyle w:val="2Char"/>
          <w:rFonts w:ascii="方正仿宋简体" w:eastAsia="方正仿宋简体" w:cs="方正仿宋简体" w:hint="eastAsia"/>
          <w:b w:val="0"/>
          <w:bCs w:val="0"/>
          <w:color w:val="auto"/>
        </w:rPr>
        <w:t>十一、</w:t>
      </w:r>
      <w:r>
        <w:rPr>
          <w:rFonts w:ascii="方正仿宋简体" w:eastAsia="方正仿宋简体" w:cs="方正仿宋简体" w:hint="eastAsia"/>
          <w:b w:val="0"/>
          <w:color w:val="auto"/>
        </w:rPr>
        <w:t>政</w:t>
      </w:r>
      <w:r>
        <w:rPr>
          <w:rStyle w:val="2Char"/>
          <w:rFonts w:ascii="方正仿宋简体" w:eastAsia="方正仿宋简体" w:cs="方正仿宋简体" w:hint="eastAsia"/>
          <w:b w:val="0"/>
          <w:bCs w:val="0"/>
          <w:color w:val="auto"/>
        </w:rPr>
        <w:t>府性基金预算财政拨款收入支出决算表</w:t>
      </w:r>
      <w:bookmarkEnd w:id="69"/>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70" w:name="_Toc15396630"/>
      <w:r>
        <w:rPr>
          <w:rStyle w:val="2Char"/>
          <w:rFonts w:ascii="方正仿宋简体" w:eastAsia="方正仿宋简体" w:cs="方正仿宋简体" w:hint="eastAsia"/>
          <w:b w:val="0"/>
          <w:bCs w:val="0"/>
          <w:color w:val="auto"/>
        </w:rPr>
        <w:t>十二、</w:t>
      </w:r>
      <w:r>
        <w:rPr>
          <w:rFonts w:ascii="方正仿宋简体" w:eastAsia="方正仿宋简体" w:cs="方正仿宋简体" w:hint="eastAsia"/>
          <w:b w:val="0"/>
          <w:color w:val="auto"/>
        </w:rPr>
        <w:t>政</w:t>
      </w:r>
      <w:r>
        <w:rPr>
          <w:rStyle w:val="2Char"/>
          <w:rFonts w:ascii="方正仿宋简体" w:eastAsia="方正仿宋简体" w:cs="方正仿宋简体" w:hint="eastAsia"/>
          <w:b w:val="0"/>
          <w:bCs w:val="0"/>
          <w:color w:val="auto"/>
        </w:rPr>
        <w:t>府性基金预算财政拨款“三公”经费支出决算表</w:t>
      </w:r>
      <w:bookmarkEnd w:id="70"/>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color w:val="auto"/>
        </w:rPr>
      </w:pPr>
      <w:bookmarkStart w:id="71" w:name="_Toc15396631"/>
      <w:r>
        <w:rPr>
          <w:rStyle w:val="2Char"/>
          <w:rFonts w:ascii="方正仿宋简体" w:eastAsia="方正仿宋简体" w:cs="方正仿宋简体" w:hint="eastAsia"/>
          <w:b w:val="0"/>
          <w:bCs w:val="0"/>
          <w:color w:val="auto"/>
        </w:rPr>
        <w:t>十三、</w:t>
      </w:r>
      <w:r>
        <w:rPr>
          <w:rFonts w:ascii="方正仿宋简体" w:eastAsia="方正仿宋简体" w:cs="方正仿宋简体" w:hint="eastAsia"/>
          <w:b w:val="0"/>
          <w:color w:val="auto"/>
        </w:rPr>
        <w:t>国</w:t>
      </w:r>
      <w:r>
        <w:rPr>
          <w:rStyle w:val="2Char"/>
          <w:rFonts w:ascii="方正仿宋简体" w:eastAsia="方正仿宋简体" w:cs="方正仿宋简体" w:hint="eastAsia"/>
          <w:b w:val="0"/>
          <w:bCs w:val="0"/>
          <w:color w:val="auto"/>
        </w:rPr>
        <w:t>有资本经营预算</w:t>
      </w:r>
      <w:r>
        <w:rPr>
          <w:rStyle w:val="2Char"/>
          <w:rFonts w:ascii="方正仿宋简体" w:eastAsia="方正仿宋简体" w:cs="方正仿宋简体" w:hint="eastAsia"/>
          <w:b w:val="0"/>
          <w:bCs w:val="0"/>
          <w:color w:val="auto"/>
          <w:lang w:eastAsia="zh-CN"/>
        </w:rPr>
        <w:t>财政拨款收入</w:t>
      </w:r>
      <w:r>
        <w:rPr>
          <w:rStyle w:val="2Char"/>
          <w:rFonts w:ascii="方正仿宋简体" w:eastAsia="方正仿宋简体" w:cs="方正仿宋简体" w:hint="eastAsia"/>
          <w:b w:val="0"/>
          <w:bCs w:val="0"/>
          <w:color w:val="auto"/>
        </w:rPr>
        <w:t>支出决算表</w:t>
      </w:r>
      <w:bookmarkEnd w:id="71"/>
    </w:p>
    <w:p>
      <w:pPr>
        <w:pStyle w:val="2"/>
        <w:keepNext/>
        <w:keepLines/>
        <w:pageBreakBefore w:val="0"/>
        <w:widowControl w:val="0"/>
        <w:kinsoku/>
        <w:wordWrap/>
        <w:overflowPunct/>
        <w:topLinePunct w:val="0"/>
        <w:autoSpaceDE/>
        <w:autoSpaceDN/>
        <w:bidi w:val="0"/>
        <w:spacing w:before="0" w:after="0" w:line="576" w:lineRule="exact"/>
        <w:ind w:firstLineChars="200" w:firstLine="640"/>
        <w:textAlignment w:val="auto"/>
        <w:rPr>
          <w:rFonts w:ascii="方正仿宋简体" w:eastAsia="方正仿宋简体" w:cs="方正仿宋简体" w:hint="eastAsia"/>
          <w:b w:val="0"/>
          <w:color w:val="auto"/>
        </w:rPr>
      </w:pPr>
      <w:bookmarkEnd w:id="59"/>
      <w:r>
        <w:rPr>
          <w:rStyle w:val="2Char"/>
          <w:rFonts w:ascii="方正仿宋简体" w:eastAsia="方正仿宋简体" w:cs="方正仿宋简体" w:hint="eastAsia"/>
          <w:b w:val="0"/>
          <w:bCs w:val="0"/>
          <w:color w:val="auto"/>
        </w:rPr>
        <w:t>十</w:t>
      </w:r>
      <w:r>
        <w:rPr>
          <w:rStyle w:val="2Char"/>
          <w:rFonts w:ascii="方正仿宋简体" w:eastAsia="方正仿宋简体" w:cs="方正仿宋简体" w:hint="eastAsia"/>
          <w:b w:val="0"/>
          <w:bCs w:val="0"/>
          <w:color w:val="auto"/>
          <w:lang w:eastAsia="zh-CN"/>
        </w:rPr>
        <w:t>四</w:t>
      </w:r>
      <w:r>
        <w:rPr>
          <w:rStyle w:val="2Char"/>
          <w:rFonts w:ascii="方正仿宋简体" w:eastAsia="方正仿宋简体" w:cs="方正仿宋简体" w:hint="eastAsia"/>
          <w:b w:val="0"/>
          <w:bCs w:val="0"/>
          <w:color w:val="auto"/>
        </w:rPr>
        <w:t>、</w:t>
      </w:r>
      <w:r>
        <w:rPr>
          <w:rFonts w:ascii="方正仿宋简体" w:eastAsia="方正仿宋简体" w:cs="方正仿宋简体" w:hint="eastAsia"/>
          <w:b w:val="0"/>
          <w:color w:val="auto"/>
        </w:rPr>
        <w:t>国</w:t>
      </w:r>
      <w:r>
        <w:rPr>
          <w:rStyle w:val="2Char"/>
          <w:rFonts w:ascii="方正仿宋简体" w:eastAsia="方正仿宋简体" w:cs="方正仿宋简体" w:hint="eastAsia"/>
          <w:b w:val="0"/>
          <w:bCs w:val="0"/>
          <w:color w:val="auto"/>
        </w:rPr>
        <w:t>有资本经营预算</w:t>
      </w:r>
      <w:r>
        <w:rPr>
          <w:rStyle w:val="2Char"/>
          <w:rFonts w:ascii="方正仿宋简体" w:eastAsia="方正仿宋简体" w:cs="方正仿宋简体" w:hint="eastAsia"/>
          <w:b w:val="0"/>
          <w:bCs w:val="0"/>
          <w:color w:val="auto"/>
          <w:lang w:eastAsia="zh-CN"/>
        </w:rPr>
        <w:t>财政拨款</w:t>
      </w:r>
      <w:r>
        <w:rPr>
          <w:rStyle w:val="2Char"/>
          <w:rFonts w:ascii="方正仿宋简体" w:eastAsia="方正仿宋简体" w:cs="方正仿宋简体" w:hint="eastAsia"/>
          <w:b w:val="0"/>
          <w:bCs w:val="0"/>
          <w:color w:val="auto"/>
        </w:rPr>
        <w:t>支出决算表</w:t>
      </w:r>
    </w:p>
    <w:sectPr>
      <w:headerReference w:type="default" r:id="rId2"/>
      <w:headerReference w:type="first" r:id="rId3"/>
      <w:footerReference w:type="default" r:id="rId4"/>
      <w:footerReference w:type="first" r:id="rId5"/>
      <w:pgSz w:w="11906" w:h="16838"/>
      <w:pgMar w:top="2098" w:right="1531" w:bottom="1984" w:left="1531" w:header="851" w:footer="1417" w:gutter="0"/>
      <w:pgNumType w:fmt="numberInDash" w:start="1"/>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黑体简体">
    <w:panose1 w:val="03000509000000000000"/>
    <w:charset w:val="86"/>
    <w:family w:val="auto"/>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方正楷体简体">
    <w:panose1 w:val="03000509000000000000"/>
    <w:charset w:val="86"/>
    <w:family w:val="auto"/>
    <w:pitch w:val="variable"/>
    <w:sig w:usb0="00000001" w:usb1="080E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仿宋">
    <w:altName w:val="仿宋_GB2312"/>
    <w:panose1 w:val="02010609060101010101"/>
    <w:charset w:val="86"/>
    <w:family w:val="auto"/>
    <w:pitch w:val="variable"/>
    <w:sig w:usb0="00000000" w:usb1="00000000" w:usb2="00000016" w:usb3="00000000" w:csb0="00040001" w:csb1="00000000"/>
  </w:font>
  <w:font w:name="Times New Roman">
    <w:panose1 w:val="02020603050405020304"/>
    <w:charset w:val="86"/>
    <w:family w:val="auto"/>
    <w:pitch w:val="variable"/>
    <w:sig w:usb0="E0002AFF" w:usb1="C00078FB" w:usb2="00000029" w:usb3="00000000" w:csb0="400001FF" w:csb1="FFFF0000"/>
  </w:font>
  <w:font w:name="Cambria">
    <w:altName w:val="Noto Sans Syriac Eastern"/>
    <w:panose1 w:val="02040503050406030204"/>
    <w:charset w:val="00"/>
    <w:family w:val="roman"/>
    <w:pitch w:val="variable"/>
    <w:sig w:usb0="00000000" w:usb1="00000000" w:usb2="00000000" w:usb3="00000000" w:csb0="2000009F" w:csb1="00000000"/>
  </w:font>
  <w:font w:name="仿宋_GB2312">
    <w:panose1 w:val="02010609030101010101"/>
    <w:charset w:val="86"/>
    <w:family w:val="modern"/>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w:rPr>
        <w:sz w:val="18"/>
      </w:rPr>
      <mc:AlternateContent>
        <mc:Choice Requires="wps">
          <w:drawing>
            <wp:anchor distT="0" distB="0" distL="114298" distR="114298" simplePos="0" relativeHeight="20" behindDoc="0" locked="0" layoutInCell="1" hidden="0" allowOverlap="1">
              <wp:simplePos x="0" y="0"/>
              <wp:positionH relativeFrom="margin">
                <wp:align>outside</wp:align>
              </wp:positionH>
              <wp:positionV relativeFrom="paragraph">
                <wp:posOffset>0</wp:posOffset>
              </wp:positionV>
              <wp:extent cx="1066800" cy="306451"/>
              <wp:effectExtent l="0" t="0" r="0" b="0"/>
              <wp:wrapNone/>
              <wp:docPr id="1" name="_x0000_s3073"/>
              <wp:cNvGraphicFramePr>
                <a:graphicFrameLocks noChangeAspect="0"/>
              </wp:cNvGraphicFramePr>
              <a:graphic>
                <a:graphicData uri="http://schemas.microsoft.com/office/word/2010/wordprocessingShape">
                  <wps:wsp>
                    <wps:cNvSpPr/>
                    <wps:spPr>
                      <a:xfrm rot="0">
                        <a:off x="0" y="0"/>
                        <a:ext cx="1066800" cy="306451"/>
                      </a:xfrm>
                      <a:prstGeom prst="rect"/>
                      <a:noFill/>
                      <a:ln w="9525" cmpd="sng" cap="flat">
                        <a:noFill/>
                        <a:prstDash val="solid"/>
                        <a:miter/>
                      </a:ln>
                    </wps:spPr>
                    <wps:txbx id="2">
                      <w:txbxContent>
                        <w:p>
                          <w:pPr>
                            <w:pStyle w:val="16"/>
                            <w:rPr>
                              <w:rFonts w:ascii="宋体" w:eastAsia="宋体" w:cs="宋体" w:hint="eastAsia"/>
                              <w:color w:val="auto"/>
                              <w:sz w:val="28"/>
                              <w:szCs w:val="28"/>
                            </w:rPr>
                          </w:pPr>
                          <w:r>
                            <w:rPr>
                              <w:rFonts w:ascii="宋体" w:eastAsia="宋体" w:cs="宋体" w:hint="eastAsia"/>
                              <w:color w:val="auto"/>
                              <w:sz w:val="28"/>
                              <w:szCs w:val="28"/>
                            </w:rPr>
                            <w:fldChar w:fldCharType="begin"/>
                          </w:r>
                          <w:r>
                            <w:rPr>
                              <w:rFonts w:ascii="宋体" w:eastAsia="宋体" w:cs="宋体" w:hint="eastAsia"/>
                              <w:color w:val="auto"/>
                              <w:sz w:val="28"/>
                              <w:szCs w:val="28"/>
                            </w:rPr>
                            <w:instrText xml:space="preserve"> PAGE  \* MERGEFORMAT </w:instrText>
                          </w:r>
                          <w:r>
                            <w:rPr>
                              <w:rFonts w:ascii="宋体" w:eastAsia="宋体" w:cs="宋体" w:hint="eastAsia"/>
                              <w:color w:val="auto"/>
                              <w:sz w:val="28"/>
                              <w:szCs w:val="28"/>
                            </w:rPr>
                            <w:fldChar w:fldCharType="separate"/>
                          </w:r>
                          <w:r>
                            <w:rPr>
                              <w:rFonts w:ascii="宋体" w:eastAsia="宋体" w:cs="宋体" w:hint="eastAsia"/>
                              <w:color w:val="auto"/>
                              <w:sz w:val="28"/>
                              <w:szCs w:val="28"/>
                            </w:rPr>
                            <w:t>2</w:t>
                          </w:r>
                          <w:r>
                            <w:rPr>
                              <w:rFonts w:ascii="宋体" w:eastAsia="宋体" w:cs="宋体" w:hint="eastAsia"/>
                              <w:color w:val="auto"/>
                              <w:sz w:val="28"/>
                              <w:szCs w:val="28"/>
                            </w:rPr>
                            <w:fldChar w:fldCharType="end"/>
                          </w:r>
                        </w:p>
                      </w:txbxContent>
                    </wps:txbx>
                    <wps:bodyPr vert="horz" wrap="none" lIns="0" tIns="0" rIns="0" bIns="0" anchor="t" anchorCtr="0" upright="1">
                      <a:spAutoFit/>
                    </wps:bodyPr>
                  </wps:wsp>
                </a:graphicData>
              </a:graphic>
            </wp:anchor>
          </w:drawing>
        </mc:Choice>
        <mc:Fallback>
          <w:pict>
            <v:shape type="#_x0000_t202" id="_x0000_s3073 3" o:spid="_x0000_s3" filled="f" stroked="f" style="position:absolute;margin-left:-351.19638pt;margin-top:0.0pt;width:84.0pt;height:24.130003pt;z-index:20;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6"/>
                      <w:rPr>
                        <w:rFonts w:ascii="宋体" w:eastAsia="宋体" w:cs="宋体" w:hint="eastAsia"/>
                        <w:color w:val="auto"/>
                        <w:sz w:val="28"/>
                        <w:szCs w:val="28"/>
                      </w:rPr>
                    </w:pPr>
                    <w:r>
                      <w:rPr>
                        <w:rFonts w:ascii="宋体" w:eastAsia="宋体" w:cs="宋体" w:hint="eastAsia"/>
                        <w:color w:val="auto"/>
                        <w:sz w:val="28"/>
                        <w:szCs w:val="28"/>
                      </w:rPr>
                      <w:fldChar w:fldCharType="begin"/>
                    </w:r>
                    <w:r>
                      <w:rPr>
                        <w:rFonts w:ascii="宋体" w:eastAsia="宋体" w:cs="宋体" w:hint="eastAsia"/>
                        <w:color w:val="auto"/>
                        <w:sz w:val="28"/>
                        <w:szCs w:val="28"/>
                      </w:rPr>
                      <w:instrText xml:space="preserve"> PAGE  \* MERGEFORMAT </w:instrText>
                    </w:r>
                    <w:r>
                      <w:rPr>
                        <w:rFonts w:ascii="宋体" w:eastAsia="宋体" w:cs="宋体" w:hint="eastAsia"/>
                        <w:color w:val="auto"/>
                        <w:sz w:val="28"/>
                        <w:szCs w:val="28"/>
                      </w:rPr>
                      <w:fldChar w:fldCharType="separate"/>
                    </w:r>
                    <w:r>
                      <w:rPr>
                        <w:rFonts w:ascii="宋体" w:eastAsia="宋体" w:cs="宋体" w:hint="eastAsia"/>
                        <w:color w:val="auto"/>
                        <w:sz w:val="28"/>
                        <w:szCs w:val="28"/>
                      </w:rPr>
                      <w:t>2</w:t>
                    </w:r>
                    <w:r>
                      <w:rPr>
                        <w:rFonts w:ascii="宋体" w:eastAsia="宋体" w:cs="宋体" w:hint="eastAsia"/>
                        <w:color w:val="auto"/>
                        <w:sz w:val="28"/>
                        <w:szCs w:val="28"/>
                      </w:rPr>
                      <w:fldChar w:fldCharType="end"/>
                    </w:r>
                  </w:p>
                </w:txbxContent>
              </v:textbox>
            </v:shape>
          </w:pict>
        </mc:Fallback>
      </mc:AlternateContent>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w:rPr>
        <w:sz w:val="18"/>
      </w:rPr>
      <mc:AlternateContent>
        <mc:Choice Requires="wps">
          <w:drawing>
            <wp:anchor distT="0" distB="0" distL="114298" distR="114298" simplePos="0" relativeHeight="24" behindDoc="0" locked="0" layoutInCell="1" hidden="0" allowOverlap="1">
              <wp:simplePos x="0" y="0"/>
              <wp:positionH relativeFrom="margin">
                <wp:align>outside</wp:align>
              </wp:positionH>
              <wp:positionV relativeFrom="paragraph">
                <wp:posOffset>0</wp:posOffset>
              </wp:positionV>
              <wp:extent cx="288378" cy="129616"/>
              <wp:effectExtent l="0" t="0" r="0" b="0"/>
              <wp:wrapNone/>
              <wp:docPr id="4" name="_x0000_s3074"/>
              <wp:cNvGraphicFramePr>
                <a:graphicFrameLocks noChangeAspect="0"/>
              </wp:cNvGraphicFramePr>
              <a:graphic>
                <a:graphicData uri="http://schemas.microsoft.com/office/word/2010/wordprocessingShape">
                  <wps:wsp>
                    <wps:cNvSpPr/>
                    <wps:spPr>
                      <a:xfrm rot="0">
                        <a:off x="0" y="0"/>
                        <a:ext cx="288378" cy="129616"/>
                      </a:xfrm>
                      <a:prstGeom prst="rect"/>
                      <a:noFill/>
                      <a:ln w="9525" cmpd="sng" cap="flat">
                        <a:noFill/>
                        <a:prstDash val="solid"/>
                        <a:miter/>
                      </a:ln>
                    </wps:spPr>
                    <wps:txbx id="5">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1">
                      <a:spAutoFit/>
                    </wps:bodyPr>
                  </wps:wsp>
                </a:graphicData>
              </a:graphic>
            </wp:anchor>
          </w:drawing>
        </mc:Choice>
        <mc:Fallback>
          <w:pict>
            <v:shape type="#_x0000_t202" id="_x0000_s3074 6" o:spid="_x0000_s6" filled="f" stroked="f" style="position:absolute;margin-left:0.0pt;margin-top:0.0pt;width:22.706999pt;height:10.206006pt;z-index:24;mso-position-horizontal:outside;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jc w:val="both"/>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992A90C0"/>
    <w:multiLevelType w:val="singleLevel"/>
    <w:tmpl w:val="992A90C0"/>
    <w:lvl w:ilvl="0">
      <w:start w:val="1"/>
      <w:numFmt w:val="decimal"/>
      <w:lvlRestart w:val="0"/>
      <w:suff w:val="nothing"/>
      <w:lvlText w:val="%1、"/>
      <w:lvlJc w:val="left"/>
      <w:pPr>
        <w:tabs>
          <w:tab w:val="num" w:pos="0"/>
        </w:tabs>
        <w:ind w:left="0" w:hanging="0"/>
      </w:pPr>
    </w:lvl>
  </w:abstractNum>
  <w:abstractNum w:abstractNumId="1">
    <w:nsid w:val="91823C92"/>
    <w:multiLevelType w:val="singleLevel"/>
    <w:tmpl w:val="91823C92"/>
    <w:lvl w:ilvl="0">
      <w:start w:val="4"/>
      <w:numFmt w:val="chineseCounting"/>
      <w:lvlRestart w:val="0"/>
      <w:suff w:val="space"/>
      <w:lvlText w:val="第%1部分"/>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spacing w:after="120"/>
      <w:ind w:leftChars="200" w:left="200"/>
    </w:pPr>
  </w:style>
  <w:style w:type="paragraph" w:styleId="16">
    <w:name w:val="Body Text First Indent 2"/>
    <w:basedOn w:val="15"/>
    <w:pPr>
      <w:ind w:firstLineChars="200" w:firstLine="200"/>
    </w:pPr>
  </w:style>
  <w:style w:type="paragraph" w:styleId="17">
    <w:name w:val="Body Text"/>
    <w:basedOn w:val="0"/>
    <w:pPr>
      <w:spacing w:beforeLines="30" w:before="30"/>
    </w:pPr>
    <w:rPr>
      <w:rFonts w:ascii="仿宋_GB2312" w:eastAsia="仿宋_GB2312"/>
      <w:kern w:val="0"/>
      <w:sz w:val="30"/>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sz w:val="28"/>
      <w:szCs w:val="28"/>
    </w:rPr>
  </w:style>
  <w:style w:type="paragraph" w:styleId="23">
    <w:name w:val="toc 2"/>
    <w:basedOn w:val="0"/>
    <w:next w:val="0"/>
    <w:pPr>
      <w:tabs>
        <w:tab w:val="right" w:leader="dot" w:pos="8296"/>
      </w:tabs>
      <w:ind w:leftChars="200" w:left="200"/>
    </w:pPr>
  </w:style>
  <w:style w:type="paragraph" w:styleId="24">
    <w:name w:val="Normal (Web)"/>
    <w:basedOn w:val="0"/>
    <w:pPr>
      <w:widowControl/>
      <w:spacing w:before="100" w:beforeAutospacing="1" w:after="100" w:afterAutospacing="1"/>
      <w:jc w:val="left"/>
    </w:pPr>
    <w:rPr>
      <w:rFonts w:ascii="宋体" w:cs="宋体"/>
      <w:kern w:val="0"/>
      <w:sz w:val="24"/>
    </w:rPr>
  </w:style>
  <w:style w:type="character" w:styleId="25">
    <w:name w:val="Strong"/>
    <w:basedOn w:val="10"/>
    <w:rPr>
      <w:b/>
    </w:rPr>
  </w:style>
  <w:style w:type="character" w:styleId="26">
    <w:name w:val="Hyperlink"/>
    <w:basedOn w:val="10"/>
    <w:rPr>
      <w:color w:val="0000FF"/>
      <w:u w:val="single"/>
    </w:rPr>
  </w:style>
  <w:style w:type="character" w:customStyle="1" w:styleId="27">
    <w:name w:val="Header Char"/>
    <w:basedOn w:val="10"/>
    <w:rPr>
      <w:rFonts w:ascii="Times New Roman" w:hAnsi="Times New Roman"/>
      <w:sz w:val="18"/>
      <w:szCs w:val="18"/>
    </w:rPr>
  </w:style>
  <w:style w:type="character" w:customStyle="1" w:styleId="28">
    <w:name w:val="Footer Char"/>
    <w:basedOn w:val="10"/>
    <w:rPr>
      <w:rFonts w:ascii="Times New Roman" w:hAnsi="Times New Roman"/>
      <w:sz w:val="18"/>
      <w:szCs w:val="18"/>
    </w:rPr>
  </w:style>
  <w:style w:type="character" w:customStyle="1" w:styleId="29">
    <w:name w:val="Body Text Char"/>
    <w:basedOn w:val="10"/>
    <w:rPr>
      <w:rFonts w:ascii="Times New Roman" w:hAnsi="Times New Roman"/>
      <w:szCs w:val="24"/>
    </w:rPr>
  </w:style>
  <w:style w:type="paragraph" w:customStyle="1" w:styleId="30">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1">
    <w:name w:val="List Paragraph"/>
    <w:basedOn w:val="0"/>
    <w:pPr>
      <w:ind w:firstLineChars="200" w:firstLine="200"/>
    </w:pPr>
  </w:style>
  <w:style w:type="paragraph" w:customStyle="1" w:styleId="32">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3">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宋体"/>
                <a:ea typeface="宋体"/>
                <a:cs typeface="Lucida Sans"/>
              </a:defRPr>
            </a:pPr>
            <a:r>
              <a:rPr lang="zh-CN"/>
              <a:t>收入决算结构图</a:t>
            </a:r>
          </a:p>
        </c:rich>
      </c:tx>
      <c:layout/>
      <c:overlay val="0"/>
      <c:spPr>
        <a:ln>
          <a:noFill/>
        </a:ln>
      </c:spPr>
    </c:title>
    <c:autoTitleDeleted val="1"/>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gapWidth val="150"/>
        <c:axId val="0"/>
        <c:axId val="1"/>
      </c:barChart>
      <c:catAx>
        <c:axId val="0"/>
        <c:scaling>
          <c:orientation val="minMax"/>
        </c:scaling>
        <c:delete val="0"/>
        <c:axPos val="b"/>
        <c:numFmt formatCode="General" sourceLinked="1"/>
        <c:majorTickMark val="none"/>
        <c:minorTickMark val="none"/>
        <c:tickLblPos val="nextTo"/>
        <c:txPr>
          <a:bodyPr/>
          <a:lstStyle/>
          <a:p>
            <a:pPr>
              <a:defRPr sz="9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numFmt formatCode="General" sourceLinked="1"/>
        <c:majorTickMark val="none"/>
        <c:minorTickMark val="none"/>
        <c:tickLblPos val="nextTo"/>
        <c:txPr>
          <a:bodyPr/>
          <a:lstStyle/>
          <a:p>
            <a:pPr>
              <a:defRPr sz="90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c:spPr>
    </c:plotArea>
    <c:legend>
      <c:legendPos val="r"/>
      <c:layout/>
      <c:overlay val="0"/>
      <c:spPr/>
      <c:txPr>
        <a:bodyPr/>
        <a:lstStyle/>
        <a:p>
          <a:pPr>
            <a:defRPr sz="900" b="0" i="0" u="none" strike="noStrike" baseline="0">
              <a:solidFill>
                <a:srgbClr val="000000"/>
              </a:solidFill>
              <a:latin typeface="宋体"/>
              <a:ea typeface="宋体"/>
              <a:cs typeface="Lucida Sans"/>
            </a:defRPr>
          </a:pPr>
          <a:endParaRPr lang="zh-CN"/>
        </a:p>
      </c:txPr>
    </c:legend>
    <c:plotVisOnly val="1"/>
    <c:dispBlanksAs val="gap"/>
    <c:showDLblsOverMax val="0"/>
  </c:chart>
  <c:spPr>
    <a:solidFill>
      <a:srgbClr val="FFFFFF"/>
    </a:solidFill>
    <a:ln w="6350">
      <a:solidFill>
        <a:srgbClr val="000000"/>
      </a:solidFill>
      <a:prstDash val="solid"/>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15</TotalTime>
  <Application>Yozo_Office27021597764231179</Application>
  <Pages>1</Pages>
  <Words>16</Words>
  <Characters>16</Characters>
  <Lines>1</Lines>
  <Paragraphs>0</Paragraphs>
  <CharactersWithSpaces>16</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56</cp:revision>
  <cp:lastPrinted>2021-09-27T11:14:00Z</cp:lastPrinted>
  <dcterms:created xsi:type="dcterms:W3CDTF">2020-09-10T17:18:00Z</dcterms:created>
  <dcterms:modified xsi:type="dcterms:W3CDTF">2023-04-23T07:31:51Z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7883AD928C8640F28425DB4B03ED6B65</vt:lpwstr>
  </property>
  <property fmtid="{D5CDD505-2E9C-101B-9397-08002B2CF9AE}" pid="4" name="KSOSaveFontToCloudKey">
    <vt:lpwstr>659783407_cloud</vt:lpwstr>
  </property>
</Properties>
</file>