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themeColor="text1"/>
          <w:sz w:val="72"/>
          <w:szCs w:val="72"/>
        </w:rPr>
      </w:pPr>
      <w:bookmarkStart w:id="0" w:name="_Toc15306267"/>
      <w:bookmarkStart w:id="74" w:name="_GoBack"/>
      <w:bookmarkEnd w:id="74"/>
    </w:p>
    <w:p>
      <w:pPr>
        <w:spacing w:line="600" w:lineRule="exact"/>
        <w:jc w:val="center"/>
        <w:outlineLvl w:val="0"/>
        <w:rPr>
          <w:rFonts w:ascii="方正小标宋简体" w:hAnsi="宋体" w:eastAsia="方正小标宋简体"/>
          <w:color w:val="000000" w:themeColor="text1"/>
          <w:sz w:val="72"/>
          <w:szCs w:val="72"/>
        </w:rPr>
      </w:pPr>
    </w:p>
    <w:p>
      <w:pPr>
        <w:spacing w:line="600" w:lineRule="exact"/>
        <w:jc w:val="center"/>
        <w:outlineLvl w:val="0"/>
        <w:rPr>
          <w:rFonts w:ascii="方正小标宋简体" w:hAnsi="宋体" w:eastAsia="方正小标宋简体"/>
          <w:color w:val="000000" w:themeColor="text1"/>
          <w:sz w:val="72"/>
          <w:szCs w:val="72"/>
        </w:rPr>
      </w:pPr>
    </w:p>
    <w:p>
      <w:pPr>
        <w:spacing w:line="600" w:lineRule="exact"/>
        <w:jc w:val="center"/>
        <w:outlineLvl w:val="0"/>
        <w:rPr>
          <w:rFonts w:ascii="方正小标宋简体" w:hAnsi="宋体" w:eastAsia="方正小标宋简体"/>
          <w:color w:val="000000" w:themeColor="text1"/>
          <w:sz w:val="72"/>
          <w:szCs w:val="72"/>
        </w:rPr>
      </w:pPr>
    </w:p>
    <w:p>
      <w:pPr>
        <w:adjustRightInd w:val="0"/>
        <w:snapToGrid w:val="0"/>
        <w:spacing w:line="360" w:lineRule="auto"/>
        <w:jc w:val="center"/>
        <w:outlineLvl w:val="0"/>
        <w:rPr>
          <w:rFonts w:ascii="方正小标宋简体" w:hAnsi="宋体" w:eastAsia="方正小标宋简体"/>
          <w:color w:val="000000" w:themeColor="text1"/>
          <w:sz w:val="72"/>
          <w:szCs w:val="72"/>
        </w:rPr>
      </w:pPr>
      <w:bookmarkStart w:id="1" w:name="_Toc15396475"/>
      <w:bookmarkStart w:id="2" w:name="_Toc15377425"/>
      <w:bookmarkStart w:id="3" w:name="_Toc15378441"/>
      <w:bookmarkStart w:id="4" w:name="_Toc15396597"/>
      <w:bookmarkStart w:id="5" w:name="_Toc15377193"/>
      <w:r>
        <w:rPr>
          <w:rFonts w:ascii="黑体" w:hAnsi="黑体" w:eastAsia="黑体"/>
          <w:color w:val="000000" w:themeColor="text1"/>
          <w:sz w:val="72"/>
          <w:szCs w:val="72"/>
        </w:rPr>
        <w:t>201</w:t>
      </w:r>
      <w:r>
        <w:rPr>
          <w:rFonts w:hint="eastAsia" w:ascii="黑体" w:hAnsi="黑体" w:eastAsia="黑体"/>
          <w:color w:val="000000" w:themeColor="text1"/>
          <w:sz w:val="72"/>
          <w:szCs w:val="72"/>
        </w:rPr>
        <w:t>8</w:t>
      </w:r>
      <w:r>
        <w:rPr>
          <w:rFonts w:hint="eastAsia" w:ascii="方正小标宋简体" w:hAnsi="宋体" w:eastAsia="方正小标宋简体"/>
          <w:color w:val="000000" w:themeColor="text1"/>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themeColor="text1"/>
          <w:sz w:val="72"/>
          <w:szCs w:val="72"/>
        </w:rPr>
      </w:pPr>
      <w:bookmarkStart w:id="6" w:name="_Toc15378442"/>
      <w:bookmarkStart w:id="7" w:name="_Toc15377194"/>
      <w:bookmarkStart w:id="8" w:name="_Toc15377426"/>
      <w:bookmarkStart w:id="9" w:name="_Toc15396476"/>
      <w:bookmarkStart w:id="10" w:name="_Toc15396598"/>
      <w:r>
        <w:rPr>
          <w:rFonts w:hint="eastAsia" w:ascii="方正小标宋简体" w:hAnsi="宋体" w:eastAsia="方正小标宋简体"/>
          <w:color w:val="000000" w:themeColor="text1"/>
          <w:sz w:val="72"/>
          <w:szCs w:val="72"/>
        </w:rPr>
        <w:t>中共四川省</w:t>
      </w:r>
      <w:bookmarkEnd w:id="0"/>
      <w:bookmarkStart w:id="11" w:name="_Toc15306268"/>
      <w:r>
        <w:rPr>
          <w:rFonts w:hint="eastAsia" w:ascii="方正小标宋简体" w:hAnsi="宋体" w:eastAsia="方正小标宋简体"/>
          <w:color w:val="000000" w:themeColor="text1"/>
          <w:sz w:val="72"/>
          <w:szCs w:val="72"/>
        </w:rPr>
        <w:t>广元市利州区委员会政法委员会决算</w:t>
      </w:r>
      <w:bookmarkEnd w:id="6"/>
      <w:bookmarkEnd w:id="7"/>
      <w:bookmarkEnd w:id="8"/>
      <w:bookmarkEnd w:id="9"/>
      <w:bookmarkEnd w:id="10"/>
      <w:bookmarkEnd w:id="11"/>
    </w:p>
    <w:p>
      <w:pPr>
        <w:widowControl/>
        <w:jc w:val="center"/>
        <w:rPr>
          <w:rFonts w:hint="eastAsia" w:ascii="方正小标宋简体" w:hAnsi="黑体" w:eastAsia="方正小标宋简体"/>
          <w:color w:val="000000" w:themeColor="text1"/>
          <w:sz w:val="48"/>
          <w:szCs w:val="48"/>
        </w:rPr>
      </w:pPr>
      <w:r>
        <w:rPr>
          <w:rFonts w:ascii="方正小标宋简体" w:hAnsi="宋体" w:eastAsia="方正小标宋简体"/>
          <w:color w:val="000000" w:themeColor="text1"/>
          <w:sz w:val="36"/>
          <w:szCs w:val="36"/>
        </w:rPr>
        <w:br w:type="page"/>
      </w:r>
      <w:r>
        <w:rPr>
          <w:rFonts w:hint="eastAsia" w:ascii="方正小标宋简体" w:hAnsi="黑体" w:eastAsia="方正小标宋简体"/>
          <w:color w:val="000000" w:themeColor="text1"/>
          <w:sz w:val="48"/>
          <w:szCs w:val="48"/>
        </w:rPr>
        <w:t>目    录</w:t>
      </w:r>
    </w:p>
    <w:p>
      <w:pPr>
        <w:widowControl/>
        <w:jc w:val="distribute"/>
        <w:rPr>
          <w:rFonts w:ascii="黑体" w:hAnsi="黑体" w:eastAsia="方正仿宋简体" w:cstheme="minorBidi"/>
          <w:color w:val="000000" w:themeColor="text1"/>
          <w:sz w:val="28"/>
          <w:szCs w:val="28"/>
        </w:rPr>
      </w:pPr>
      <w:r>
        <w:rPr>
          <w:rFonts w:ascii="黑体" w:hAnsi="黑体" w:eastAsia="方正仿宋简体"/>
          <w:color w:val="000000" w:themeColor="text1"/>
          <w:sz w:val="48"/>
          <w:szCs w:val="48"/>
        </w:rPr>
        <w:fldChar w:fldCharType="begin"/>
      </w:r>
      <w:r>
        <w:rPr>
          <w:rFonts w:ascii="黑体" w:hAnsi="黑体" w:eastAsia="方正仿宋简体"/>
          <w:color w:val="000000" w:themeColor="text1"/>
          <w:sz w:val="48"/>
          <w:szCs w:val="48"/>
        </w:rPr>
        <w:instrText xml:space="preserve"> TOC \o "1-2" \h \z \u </w:instrText>
      </w:r>
      <w:r>
        <w:rPr>
          <w:rFonts w:ascii="黑体" w:hAnsi="黑体" w:eastAsia="方正仿宋简体"/>
          <w:color w:val="000000" w:themeColor="text1"/>
          <w:sz w:val="48"/>
          <w:szCs w:val="48"/>
        </w:rPr>
        <w:fldChar w:fldCharType="separate"/>
      </w:r>
    </w:p>
    <w:p>
      <w:pPr>
        <w:pStyle w:val="10"/>
        <w:rPr>
          <w:rFonts w:eastAsia="方正仿宋简体"/>
          <w:color w:val="000000" w:themeColor="text1"/>
        </w:rPr>
      </w:pPr>
      <w:r>
        <w:rPr>
          <w:rFonts w:hint="eastAsia" w:eastAsia="方正仿宋简体"/>
          <w:color w:val="000000" w:themeColor="text1"/>
        </w:rPr>
        <w:t>公开时间：2019年</w:t>
      </w:r>
      <w:r>
        <w:rPr>
          <w:rFonts w:hint="eastAsia" w:eastAsia="方正仿宋简体"/>
          <w:color w:val="000000" w:themeColor="text1"/>
          <w:lang w:val="en-US" w:eastAsia="zh-CN"/>
        </w:rPr>
        <w:t>9</w:t>
      </w:r>
      <w:r>
        <w:rPr>
          <w:rFonts w:hint="eastAsia" w:eastAsia="方正仿宋简体"/>
          <w:color w:val="000000" w:themeColor="text1"/>
        </w:rPr>
        <w:t>月</w:t>
      </w:r>
      <w:r>
        <w:rPr>
          <w:rFonts w:hint="eastAsia" w:eastAsia="方正仿宋简体"/>
          <w:color w:val="000000" w:themeColor="text1"/>
          <w:lang w:val="en-US" w:eastAsia="zh-CN"/>
        </w:rPr>
        <w:t>12</w:t>
      </w:r>
      <w:r>
        <w:rPr>
          <w:rFonts w:hint="eastAsia" w:eastAsia="方正仿宋简体"/>
          <w:color w:val="000000" w:themeColor="text1"/>
        </w:rPr>
        <w:t>日</w:t>
      </w:r>
    </w:p>
    <w:p>
      <w:pPr>
        <w:jc w:val="distribute"/>
        <w:rPr>
          <w:rFonts w:eastAsia="方正仿宋简体"/>
          <w:color w:val="000000" w:themeColor="text1"/>
        </w:rPr>
      </w:pPr>
    </w:p>
    <w:p>
      <w:pPr>
        <w:pStyle w:val="10"/>
        <w:jc w:val="distribute"/>
        <w:rPr>
          <w:rFonts w:eastAsia="方正仿宋简体" w:cstheme="minorBidi"/>
          <w:color w:val="000000" w:themeColor="text1"/>
        </w:rPr>
      </w:pPr>
      <w:r>
        <w:fldChar w:fldCharType="begin"/>
      </w:r>
      <w:r>
        <w:instrText xml:space="preserve"> HYPERLINK \l "_Toc15396599" </w:instrText>
      </w:r>
      <w:r>
        <w:fldChar w:fldCharType="separate"/>
      </w:r>
      <w:r>
        <w:rPr>
          <w:rStyle w:val="16"/>
          <w:rFonts w:hint="eastAsia" w:eastAsia="方正仿宋简体"/>
          <w:color w:val="000000" w:themeColor="text1"/>
        </w:rPr>
        <w:t>第一部分</w:t>
      </w:r>
      <w:r>
        <w:rPr>
          <w:rStyle w:val="16"/>
          <w:rFonts w:eastAsia="方正仿宋简体"/>
          <w:color w:val="000000" w:themeColor="text1"/>
        </w:rPr>
        <w:t xml:space="preserve"> </w:t>
      </w:r>
      <w:r>
        <w:rPr>
          <w:rStyle w:val="16"/>
          <w:rFonts w:hint="eastAsia" w:eastAsia="方正仿宋简体"/>
          <w:color w:val="000000" w:themeColor="text1"/>
        </w:rPr>
        <w:t>部门概况</w:t>
      </w:r>
      <w:r>
        <w:rPr>
          <w:rFonts w:eastAsia="方正仿宋简体"/>
          <w:color w:val="000000" w:themeColor="text1"/>
        </w:rPr>
        <w:tab/>
      </w:r>
      <w:r>
        <w:rPr>
          <w:rFonts w:hint="eastAsia" w:eastAsia="方正仿宋简体"/>
          <w:color w:val="000000" w:themeColor="text1"/>
        </w:rPr>
        <w:t>4</w:t>
      </w:r>
      <w:r>
        <w:rPr>
          <w:rFonts w:hint="eastAsia" w:eastAsia="方正仿宋简体"/>
          <w:color w:val="000000" w:themeColor="text1"/>
        </w:rPr>
        <w:fldChar w:fldCharType="end"/>
      </w:r>
    </w:p>
    <w:p>
      <w:pPr>
        <w:pStyle w:val="11"/>
        <w:jc w:val="distribute"/>
        <w:rPr>
          <w:rFonts w:ascii="仿宋" w:hAnsi="仿宋" w:eastAsia="方正仿宋简体" w:cstheme="minorBidi"/>
          <w:color w:val="000000" w:themeColor="text1"/>
          <w:sz w:val="28"/>
          <w:szCs w:val="28"/>
        </w:rPr>
      </w:pPr>
      <w:r>
        <w:fldChar w:fldCharType="begin"/>
      </w:r>
      <w:r>
        <w:instrText xml:space="preserve"> HYPERLINK \l "_Toc15396600" </w:instrText>
      </w:r>
      <w:r>
        <w:fldChar w:fldCharType="separate"/>
      </w:r>
      <w:r>
        <w:rPr>
          <w:rStyle w:val="16"/>
          <w:rFonts w:hint="eastAsia" w:ascii="仿宋" w:hAnsi="仿宋" w:eastAsia="方正仿宋简体"/>
          <w:color w:val="000000" w:themeColor="text1"/>
          <w:sz w:val="28"/>
          <w:szCs w:val="28"/>
        </w:rPr>
        <w:t>一、基本职能及主要工作</w:t>
      </w:r>
      <w:r>
        <w:rPr>
          <w:rFonts w:ascii="仿宋" w:hAnsi="仿宋" w:eastAsia="方正仿宋简体"/>
          <w:color w:val="000000" w:themeColor="text1"/>
          <w:sz w:val="28"/>
          <w:szCs w:val="28"/>
        </w:rPr>
        <w:tab/>
      </w:r>
      <w:r>
        <w:rPr>
          <w:rFonts w:hint="eastAsia" w:ascii="仿宋" w:hAnsi="仿宋" w:eastAsia="方正仿宋简体"/>
          <w:color w:val="000000" w:themeColor="text1"/>
          <w:sz w:val="28"/>
          <w:szCs w:val="28"/>
        </w:rPr>
        <w:t>4</w:t>
      </w:r>
      <w:r>
        <w:rPr>
          <w:rFonts w:hint="eastAsia" w:ascii="仿宋" w:hAnsi="仿宋" w:eastAsia="方正仿宋简体"/>
          <w:color w:val="000000" w:themeColor="text1"/>
          <w:sz w:val="28"/>
          <w:szCs w:val="28"/>
        </w:rPr>
        <w:fldChar w:fldCharType="end"/>
      </w:r>
    </w:p>
    <w:p>
      <w:pPr>
        <w:pStyle w:val="11"/>
        <w:jc w:val="distribute"/>
        <w:rPr>
          <w:rFonts w:ascii="仿宋" w:hAnsi="仿宋" w:eastAsia="方正仿宋简体" w:cstheme="minorBidi"/>
          <w:color w:val="000000" w:themeColor="text1"/>
          <w:sz w:val="28"/>
          <w:szCs w:val="28"/>
        </w:rPr>
      </w:pPr>
      <w:r>
        <w:fldChar w:fldCharType="begin"/>
      </w:r>
      <w:r>
        <w:instrText xml:space="preserve"> HYPERLINK \l "_Toc15396601" </w:instrText>
      </w:r>
      <w:r>
        <w:fldChar w:fldCharType="separate"/>
      </w:r>
      <w:r>
        <w:rPr>
          <w:rStyle w:val="16"/>
          <w:rFonts w:hint="eastAsia" w:ascii="仿宋" w:hAnsi="仿宋" w:eastAsia="方正仿宋简体"/>
          <w:color w:val="000000" w:themeColor="text1"/>
          <w:sz w:val="28"/>
          <w:szCs w:val="28"/>
        </w:rPr>
        <w:t>二、机构设置</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_Toc15396601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5</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0"/>
        <w:jc w:val="distribute"/>
        <w:rPr>
          <w:rFonts w:eastAsia="方正仿宋简体"/>
          <w:color w:val="000000" w:themeColor="text1"/>
        </w:rPr>
      </w:pPr>
      <w:r>
        <w:fldChar w:fldCharType="begin"/>
      </w:r>
      <w:r>
        <w:instrText xml:space="preserve"> HYPERLINK \l "_Toc15396602" </w:instrText>
      </w:r>
      <w:r>
        <w:fldChar w:fldCharType="separate"/>
      </w:r>
      <w:r>
        <w:rPr>
          <w:rStyle w:val="16"/>
          <w:rFonts w:hint="eastAsia" w:eastAsia="方正仿宋简体"/>
          <w:color w:val="000000" w:themeColor="text1"/>
        </w:rPr>
        <w:t>第二部分</w:t>
      </w:r>
      <w:r>
        <w:rPr>
          <w:rStyle w:val="16"/>
          <w:rFonts w:eastAsia="方正仿宋简体"/>
          <w:color w:val="000000" w:themeColor="text1"/>
        </w:rPr>
        <w:t xml:space="preserve"> 2018</w:t>
      </w:r>
      <w:r>
        <w:rPr>
          <w:rStyle w:val="16"/>
          <w:rFonts w:hint="eastAsia" w:eastAsia="方正仿宋简体"/>
          <w:color w:val="000000" w:themeColor="text1"/>
        </w:rPr>
        <w:t>年度部门决算情况说明</w:t>
      </w:r>
      <w:r>
        <w:rPr>
          <w:rFonts w:eastAsia="方正仿宋简体"/>
          <w:color w:val="000000" w:themeColor="text1"/>
        </w:rPr>
        <w:tab/>
      </w:r>
      <w:r>
        <w:rPr>
          <w:rFonts w:eastAsia="方正仿宋简体"/>
          <w:color w:val="000000" w:themeColor="text1"/>
        </w:rPr>
        <w:fldChar w:fldCharType="begin"/>
      </w:r>
      <w:r>
        <w:rPr>
          <w:rFonts w:eastAsia="方正仿宋简体"/>
          <w:color w:val="000000" w:themeColor="text1"/>
        </w:rPr>
        <w:instrText xml:space="preserve"> PAGEREF _Toc15396602 \h </w:instrText>
      </w:r>
      <w:r>
        <w:rPr>
          <w:rFonts w:eastAsia="方正仿宋简体"/>
          <w:color w:val="000000" w:themeColor="text1"/>
        </w:rPr>
        <w:fldChar w:fldCharType="separate"/>
      </w:r>
      <w:r>
        <w:rPr>
          <w:rFonts w:eastAsia="方正仿宋简体"/>
          <w:color w:val="000000" w:themeColor="text1"/>
        </w:rPr>
        <w:t>7</w:t>
      </w:r>
      <w:r>
        <w:rPr>
          <w:rFonts w:eastAsia="方正仿宋简体"/>
          <w:color w:val="000000" w:themeColor="text1"/>
        </w:rPr>
        <w:fldChar w:fldCharType="end"/>
      </w:r>
      <w:r>
        <w:rPr>
          <w:rFonts w:eastAsia="方正仿宋简体"/>
          <w:color w:val="000000" w:themeColor="text1"/>
        </w:rPr>
        <w:fldChar w:fldCharType="end"/>
      </w:r>
    </w:p>
    <w:p>
      <w:pPr>
        <w:pStyle w:val="11"/>
        <w:jc w:val="distribute"/>
        <w:rPr>
          <w:rFonts w:ascii="仿宋" w:hAnsi="仿宋" w:eastAsia="方正仿宋简体" w:cstheme="minorBidi"/>
          <w:color w:val="000000" w:themeColor="text1"/>
          <w:sz w:val="28"/>
          <w:szCs w:val="28"/>
        </w:rPr>
      </w:pPr>
      <w:r>
        <w:fldChar w:fldCharType="begin"/>
      </w:r>
      <w:r>
        <w:instrText xml:space="preserve"> HYPERLINK \l "_Toc15396603" </w:instrText>
      </w:r>
      <w:r>
        <w:fldChar w:fldCharType="separate"/>
      </w:r>
      <w:r>
        <w:rPr>
          <w:rStyle w:val="16"/>
          <w:rFonts w:hint="eastAsia" w:ascii="仿宋" w:hAnsi="仿宋" w:eastAsia="方正仿宋简体" w:cstheme="majorBidi"/>
          <w:bCs/>
          <w:color w:val="000000" w:themeColor="text1"/>
          <w:sz w:val="28"/>
          <w:szCs w:val="28"/>
        </w:rPr>
        <w:t>一、</w:t>
      </w:r>
      <w:r>
        <w:rPr>
          <w:rStyle w:val="16"/>
          <w:rFonts w:hint="eastAsia" w:ascii="仿宋" w:hAnsi="仿宋" w:eastAsia="方正仿宋简体"/>
          <w:color w:val="000000" w:themeColor="text1"/>
          <w:sz w:val="28"/>
          <w:szCs w:val="28"/>
        </w:rPr>
        <w:t>收</w:t>
      </w:r>
      <w:r>
        <w:rPr>
          <w:rStyle w:val="16"/>
          <w:rFonts w:hint="eastAsia" w:ascii="仿宋" w:hAnsi="仿宋" w:eastAsia="方正仿宋简体" w:cstheme="majorBidi"/>
          <w:bCs/>
          <w:color w:val="000000" w:themeColor="text1"/>
          <w:sz w:val="28"/>
          <w:szCs w:val="28"/>
        </w:rPr>
        <w:t>入支出决算总体情况说明</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_Toc15396603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7</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1"/>
        <w:jc w:val="distribute"/>
        <w:rPr>
          <w:rFonts w:ascii="仿宋" w:hAnsi="仿宋" w:eastAsia="方正仿宋简体" w:cstheme="minorBidi"/>
          <w:color w:val="000000" w:themeColor="text1"/>
          <w:sz w:val="28"/>
          <w:szCs w:val="28"/>
        </w:rPr>
      </w:pPr>
      <w:r>
        <w:fldChar w:fldCharType="begin"/>
      </w:r>
      <w:r>
        <w:instrText xml:space="preserve"> HYPERLINK \l "_Toc15396604" </w:instrText>
      </w:r>
      <w:r>
        <w:fldChar w:fldCharType="separate"/>
      </w:r>
      <w:r>
        <w:rPr>
          <w:rStyle w:val="16"/>
          <w:rFonts w:hint="eastAsia" w:ascii="仿宋" w:hAnsi="仿宋" w:eastAsia="方正仿宋简体" w:cstheme="majorBidi"/>
          <w:bCs/>
          <w:color w:val="000000" w:themeColor="text1"/>
          <w:sz w:val="28"/>
          <w:szCs w:val="28"/>
        </w:rPr>
        <w:t>二、</w:t>
      </w:r>
      <w:r>
        <w:rPr>
          <w:rStyle w:val="16"/>
          <w:rFonts w:hint="eastAsia" w:ascii="仿宋" w:hAnsi="仿宋" w:eastAsia="方正仿宋简体"/>
          <w:color w:val="000000" w:themeColor="text1"/>
          <w:sz w:val="28"/>
          <w:szCs w:val="28"/>
        </w:rPr>
        <w:t>收</w:t>
      </w:r>
      <w:r>
        <w:rPr>
          <w:rStyle w:val="16"/>
          <w:rFonts w:hint="eastAsia" w:ascii="仿宋" w:hAnsi="仿宋" w:eastAsia="方正仿宋简体" w:cstheme="majorBidi"/>
          <w:bCs/>
          <w:color w:val="000000" w:themeColor="text1"/>
          <w:sz w:val="28"/>
          <w:szCs w:val="28"/>
        </w:rPr>
        <w:t>入决算情况说明</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_Toc15396604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8</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1"/>
        <w:jc w:val="distribute"/>
        <w:rPr>
          <w:rFonts w:ascii="仿宋" w:hAnsi="仿宋" w:eastAsia="方正仿宋简体" w:cstheme="minorBidi"/>
          <w:color w:val="000000" w:themeColor="text1"/>
          <w:sz w:val="28"/>
          <w:szCs w:val="28"/>
        </w:rPr>
      </w:pPr>
      <w:r>
        <w:fldChar w:fldCharType="begin"/>
      </w:r>
      <w:r>
        <w:instrText xml:space="preserve"> HYPERLINK \l "_Toc15396605" </w:instrText>
      </w:r>
      <w:r>
        <w:fldChar w:fldCharType="separate"/>
      </w:r>
      <w:r>
        <w:rPr>
          <w:rStyle w:val="16"/>
          <w:rFonts w:hint="eastAsia" w:ascii="仿宋" w:hAnsi="仿宋" w:eastAsia="方正仿宋简体" w:cstheme="majorBidi"/>
          <w:bCs/>
          <w:color w:val="000000" w:themeColor="text1"/>
          <w:sz w:val="28"/>
          <w:szCs w:val="28"/>
        </w:rPr>
        <w:t>三、</w:t>
      </w:r>
      <w:r>
        <w:rPr>
          <w:rStyle w:val="16"/>
          <w:rFonts w:hint="eastAsia" w:ascii="仿宋" w:hAnsi="仿宋" w:eastAsia="方正仿宋简体"/>
          <w:color w:val="000000" w:themeColor="text1"/>
          <w:sz w:val="28"/>
          <w:szCs w:val="28"/>
        </w:rPr>
        <w:t>支</w:t>
      </w:r>
      <w:r>
        <w:rPr>
          <w:rStyle w:val="16"/>
          <w:rFonts w:hint="eastAsia" w:ascii="仿宋" w:hAnsi="仿宋" w:eastAsia="方正仿宋简体" w:cstheme="majorBidi"/>
          <w:bCs/>
          <w:color w:val="000000" w:themeColor="text1"/>
          <w:sz w:val="28"/>
          <w:szCs w:val="28"/>
        </w:rPr>
        <w:t>出决算情况说明</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_Toc15396605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9</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1"/>
        <w:jc w:val="distribute"/>
        <w:rPr>
          <w:rFonts w:ascii="仿宋" w:hAnsi="仿宋" w:eastAsia="方正仿宋简体" w:cstheme="minorBidi"/>
          <w:color w:val="000000" w:themeColor="text1"/>
          <w:sz w:val="28"/>
          <w:szCs w:val="28"/>
        </w:rPr>
      </w:pPr>
      <w:r>
        <w:fldChar w:fldCharType="begin"/>
      </w:r>
      <w:r>
        <w:instrText xml:space="preserve"> HYPERLINK \l "_Toc15396606" </w:instrText>
      </w:r>
      <w:r>
        <w:fldChar w:fldCharType="separate"/>
      </w:r>
      <w:r>
        <w:rPr>
          <w:rStyle w:val="16"/>
          <w:rFonts w:hint="eastAsia" w:ascii="仿宋" w:hAnsi="仿宋" w:eastAsia="方正仿宋简体"/>
          <w:color w:val="000000" w:themeColor="text1"/>
          <w:sz w:val="28"/>
          <w:szCs w:val="28"/>
        </w:rPr>
        <w:t>四、财</w:t>
      </w:r>
      <w:r>
        <w:rPr>
          <w:rStyle w:val="16"/>
          <w:rFonts w:hint="eastAsia" w:ascii="仿宋" w:hAnsi="仿宋" w:eastAsia="方正仿宋简体" w:cstheme="majorBidi"/>
          <w:bCs/>
          <w:color w:val="000000" w:themeColor="text1"/>
          <w:sz w:val="28"/>
          <w:szCs w:val="28"/>
        </w:rPr>
        <w:t>政拨款收入支出决算总体情况说明</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_Toc15396606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9</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1"/>
        <w:jc w:val="distribute"/>
        <w:rPr>
          <w:rFonts w:ascii="仿宋" w:hAnsi="仿宋" w:eastAsia="方正仿宋简体" w:cstheme="minorBidi"/>
          <w:color w:val="000000" w:themeColor="text1"/>
          <w:sz w:val="28"/>
          <w:szCs w:val="28"/>
        </w:rPr>
      </w:pPr>
      <w:r>
        <w:fldChar w:fldCharType="begin"/>
      </w:r>
      <w:r>
        <w:instrText xml:space="preserve"> HYPERLINK \l "_Toc15396607" </w:instrText>
      </w:r>
      <w:r>
        <w:fldChar w:fldCharType="separate"/>
      </w:r>
      <w:r>
        <w:rPr>
          <w:rStyle w:val="16"/>
          <w:rFonts w:hint="eastAsia" w:ascii="仿宋" w:hAnsi="仿宋" w:eastAsia="方正仿宋简体"/>
          <w:color w:val="000000" w:themeColor="text1"/>
          <w:sz w:val="28"/>
          <w:szCs w:val="28"/>
        </w:rPr>
        <w:t>五、一</w:t>
      </w:r>
      <w:r>
        <w:rPr>
          <w:rStyle w:val="16"/>
          <w:rFonts w:hint="eastAsia" w:ascii="仿宋" w:hAnsi="仿宋" w:eastAsia="方正仿宋简体" w:cstheme="majorBidi"/>
          <w:bCs/>
          <w:color w:val="000000" w:themeColor="text1"/>
          <w:sz w:val="28"/>
          <w:szCs w:val="28"/>
        </w:rPr>
        <w:t>般公共预算财政拨款支出决算情况说明</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_Toc15396607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10</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1"/>
        <w:jc w:val="distribute"/>
        <w:rPr>
          <w:rFonts w:ascii="仿宋" w:hAnsi="仿宋" w:eastAsia="方正仿宋简体" w:cstheme="minorBidi"/>
          <w:color w:val="000000" w:themeColor="text1"/>
          <w:sz w:val="28"/>
          <w:szCs w:val="28"/>
        </w:rPr>
      </w:pPr>
      <w:r>
        <w:fldChar w:fldCharType="begin"/>
      </w:r>
      <w:r>
        <w:instrText xml:space="preserve"> HYPERLINK \l "_Toc15396608" </w:instrText>
      </w:r>
      <w:r>
        <w:fldChar w:fldCharType="separate"/>
      </w:r>
      <w:r>
        <w:rPr>
          <w:rStyle w:val="16"/>
          <w:rFonts w:hint="eastAsia" w:ascii="仿宋" w:hAnsi="仿宋" w:eastAsia="方正仿宋简体"/>
          <w:color w:val="000000" w:themeColor="text1"/>
          <w:sz w:val="28"/>
          <w:szCs w:val="28"/>
        </w:rPr>
        <w:t>六、一</w:t>
      </w:r>
      <w:r>
        <w:rPr>
          <w:rStyle w:val="16"/>
          <w:rFonts w:hint="eastAsia" w:ascii="仿宋" w:hAnsi="仿宋" w:eastAsia="方正仿宋简体" w:cstheme="majorBidi"/>
          <w:bCs/>
          <w:color w:val="000000" w:themeColor="text1"/>
          <w:sz w:val="28"/>
          <w:szCs w:val="28"/>
        </w:rPr>
        <w:t>般公共预算财政拨款基本支出决算情况说明</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_Toc15396608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13</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1"/>
        <w:jc w:val="distribute"/>
        <w:rPr>
          <w:rFonts w:ascii="仿宋" w:hAnsi="仿宋" w:eastAsia="方正仿宋简体" w:cstheme="minorBidi"/>
          <w:color w:val="000000" w:themeColor="text1"/>
          <w:sz w:val="28"/>
          <w:szCs w:val="28"/>
        </w:rPr>
      </w:pPr>
      <w:r>
        <w:fldChar w:fldCharType="begin"/>
      </w:r>
      <w:r>
        <w:instrText xml:space="preserve"> HYPERLINK \l "_Toc15396609" </w:instrText>
      </w:r>
      <w:r>
        <w:fldChar w:fldCharType="separate"/>
      </w:r>
      <w:r>
        <w:rPr>
          <w:rStyle w:val="16"/>
          <w:rFonts w:hint="eastAsia" w:ascii="仿宋" w:hAnsi="仿宋" w:eastAsia="方正仿宋简体"/>
          <w:color w:val="000000" w:themeColor="text1"/>
          <w:sz w:val="28"/>
          <w:szCs w:val="28"/>
        </w:rPr>
        <w:t>七、</w:t>
      </w:r>
      <w:r>
        <w:rPr>
          <w:rStyle w:val="16"/>
          <w:rFonts w:ascii="仿宋" w:hAnsi="仿宋" w:eastAsia="方正仿宋简体"/>
          <w:color w:val="000000" w:themeColor="text1"/>
          <w:sz w:val="28"/>
          <w:szCs w:val="28"/>
        </w:rPr>
        <w:t>“</w:t>
      </w:r>
      <w:r>
        <w:rPr>
          <w:rStyle w:val="16"/>
          <w:rFonts w:hint="eastAsia" w:ascii="仿宋" w:hAnsi="仿宋" w:eastAsia="方正仿宋简体" w:cstheme="majorBidi"/>
          <w:bCs/>
          <w:color w:val="000000" w:themeColor="text1"/>
          <w:sz w:val="28"/>
          <w:szCs w:val="28"/>
        </w:rPr>
        <w:t>三公”经费财政拨款支出决算情况说明</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_Toc15396609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14</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1"/>
        <w:jc w:val="distribute"/>
        <w:rPr>
          <w:rFonts w:ascii="仿宋" w:hAnsi="仿宋" w:eastAsia="方正仿宋简体" w:cstheme="minorBidi"/>
          <w:color w:val="000000" w:themeColor="text1"/>
          <w:sz w:val="28"/>
          <w:szCs w:val="28"/>
        </w:rPr>
      </w:pPr>
      <w:r>
        <w:fldChar w:fldCharType="begin"/>
      </w:r>
      <w:r>
        <w:instrText xml:space="preserve"> HYPERLINK \l "_Toc15396610" </w:instrText>
      </w:r>
      <w:r>
        <w:fldChar w:fldCharType="separate"/>
      </w:r>
      <w:r>
        <w:rPr>
          <w:rStyle w:val="16"/>
          <w:rFonts w:hint="eastAsia" w:ascii="仿宋" w:hAnsi="仿宋" w:eastAsia="方正仿宋简体"/>
          <w:color w:val="000000" w:themeColor="text1"/>
          <w:sz w:val="28"/>
          <w:szCs w:val="28"/>
        </w:rPr>
        <w:t>八、</w:t>
      </w:r>
      <w:r>
        <w:rPr>
          <w:rStyle w:val="16"/>
          <w:rFonts w:hint="eastAsia" w:ascii="仿宋" w:hAnsi="仿宋" w:eastAsia="方正仿宋简体" w:cstheme="majorBidi"/>
          <w:bCs/>
          <w:color w:val="000000" w:themeColor="text1"/>
          <w:sz w:val="28"/>
          <w:szCs w:val="28"/>
        </w:rPr>
        <w:t>政府性基金预算支出决算情况说明</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_Toc15396610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16</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1"/>
        <w:jc w:val="distribute"/>
        <w:rPr>
          <w:rFonts w:ascii="仿宋" w:hAnsi="仿宋" w:eastAsia="方正仿宋简体" w:cstheme="minorBidi"/>
          <w:color w:val="000000" w:themeColor="text1"/>
          <w:sz w:val="28"/>
          <w:szCs w:val="28"/>
        </w:rPr>
      </w:pPr>
      <w:r>
        <w:fldChar w:fldCharType="begin"/>
      </w:r>
      <w:r>
        <w:instrText xml:space="preserve"> HYPERLINK \l "_Toc15396611" </w:instrText>
      </w:r>
      <w:r>
        <w:fldChar w:fldCharType="separate"/>
      </w:r>
      <w:r>
        <w:rPr>
          <w:rStyle w:val="16"/>
          <w:rFonts w:hint="eastAsia" w:ascii="仿宋" w:hAnsi="仿宋" w:eastAsia="方正仿宋简体" w:cstheme="majorBidi"/>
          <w:bCs/>
          <w:color w:val="000000" w:themeColor="text1"/>
          <w:sz w:val="28"/>
          <w:szCs w:val="28"/>
        </w:rPr>
        <w:t>九、</w:t>
      </w:r>
      <w:r>
        <w:rPr>
          <w:rStyle w:val="16"/>
          <w:rFonts w:hint="eastAsia" w:ascii="仿宋" w:hAnsi="仿宋" w:eastAsia="方正仿宋简体"/>
          <w:color w:val="000000" w:themeColor="text1"/>
          <w:sz w:val="28"/>
          <w:szCs w:val="28"/>
        </w:rPr>
        <w:t xml:space="preserve"> 国</w:t>
      </w:r>
      <w:r>
        <w:rPr>
          <w:rStyle w:val="16"/>
          <w:rFonts w:hint="eastAsia" w:ascii="仿宋" w:hAnsi="仿宋" w:eastAsia="方正仿宋简体" w:cstheme="majorBidi"/>
          <w:bCs/>
          <w:color w:val="000000" w:themeColor="text1"/>
          <w:sz w:val="28"/>
          <w:szCs w:val="28"/>
        </w:rPr>
        <w:t>有资本经营预算支出决算情况说明</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_Toc15396611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16</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1"/>
        <w:jc w:val="distribute"/>
        <w:rPr>
          <w:rFonts w:ascii="仿宋" w:hAnsi="仿宋" w:eastAsia="方正仿宋简体" w:cstheme="minorBidi"/>
          <w:color w:val="000000" w:themeColor="text1"/>
          <w:sz w:val="28"/>
          <w:szCs w:val="28"/>
        </w:rPr>
      </w:pPr>
      <w:r>
        <w:fldChar w:fldCharType="begin"/>
      </w:r>
      <w:r>
        <w:instrText xml:space="preserve"> HYPERLINK \l "_Toc15396612" </w:instrText>
      </w:r>
      <w:r>
        <w:fldChar w:fldCharType="separate"/>
      </w:r>
      <w:r>
        <w:rPr>
          <w:rStyle w:val="16"/>
          <w:rFonts w:hint="eastAsia" w:ascii="仿宋" w:hAnsi="仿宋" w:eastAsia="方正仿宋简体"/>
          <w:color w:val="000000" w:themeColor="text1"/>
          <w:sz w:val="28"/>
          <w:szCs w:val="28"/>
        </w:rPr>
        <w:t>十</w:t>
      </w:r>
      <w:r>
        <w:rPr>
          <w:rStyle w:val="16"/>
          <w:rFonts w:hint="eastAsia" w:ascii="仿宋" w:hAnsi="仿宋" w:eastAsia="方正仿宋简体" w:cstheme="majorBidi"/>
          <w:bCs/>
          <w:color w:val="000000" w:themeColor="text1"/>
          <w:sz w:val="28"/>
          <w:szCs w:val="28"/>
        </w:rPr>
        <w:t>一、其他重要事项的情况说明</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_Toc15396612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22</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0"/>
        <w:jc w:val="distribute"/>
        <w:rPr>
          <w:rFonts w:eastAsia="方正仿宋简体" w:cstheme="minorBidi"/>
          <w:color w:val="000000" w:themeColor="text1"/>
        </w:rPr>
      </w:pPr>
      <w:r>
        <w:fldChar w:fldCharType="begin"/>
      </w:r>
      <w:r>
        <w:instrText xml:space="preserve"> HYPERLINK \l "_Toc15396613" </w:instrText>
      </w:r>
      <w:r>
        <w:fldChar w:fldCharType="separate"/>
      </w:r>
      <w:r>
        <w:rPr>
          <w:rStyle w:val="16"/>
          <w:rFonts w:hint="eastAsia" w:eastAsia="方正仿宋简体"/>
          <w:bCs/>
          <w:color w:val="000000" w:themeColor="text1"/>
          <w:kern w:val="44"/>
        </w:rPr>
        <w:t>第三部分</w:t>
      </w:r>
      <w:r>
        <w:rPr>
          <w:rStyle w:val="16"/>
          <w:rFonts w:hint="eastAsia" w:eastAsia="方正仿宋简体"/>
          <w:color w:val="000000" w:themeColor="text1"/>
        </w:rPr>
        <w:t xml:space="preserve"> 名</w:t>
      </w:r>
      <w:r>
        <w:rPr>
          <w:rStyle w:val="16"/>
          <w:rFonts w:hint="eastAsia" w:eastAsia="方正仿宋简体"/>
          <w:bCs/>
          <w:color w:val="000000" w:themeColor="text1"/>
          <w:kern w:val="44"/>
        </w:rPr>
        <w:t>词解释</w:t>
      </w:r>
      <w:r>
        <w:rPr>
          <w:rFonts w:eastAsia="方正仿宋简体"/>
          <w:color w:val="000000" w:themeColor="text1"/>
        </w:rPr>
        <w:tab/>
      </w:r>
      <w:r>
        <w:rPr>
          <w:rFonts w:eastAsia="方正仿宋简体"/>
          <w:color w:val="000000" w:themeColor="text1"/>
        </w:rPr>
        <w:fldChar w:fldCharType="begin"/>
      </w:r>
      <w:r>
        <w:rPr>
          <w:rFonts w:eastAsia="方正仿宋简体"/>
          <w:color w:val="000000" w:themeColor="text1"/>
        </w:rPr>
        <w:instrText xml:space="preserve"> PAGEREF _Toc15396613 \h </w:instrText>
      </w:r>
      <w:r>
        <w:rPr>
          <w:rFonts w:eastAsia="方正仿宋简体"/>
          <w:color w:val="000000" w:themeColor="text1"/>
        </w:rPr>
        <w:fldChar w:fldCharType="separate"/>
      </w:r>
      <w:r>
        <w:rPr>
          <w:rFonts w:eastAsia="方正仿宋简体"/>
          <w:color w:val="000000" w:themeColor="text1"/>
        </w:rPr>
        <w:t>24</w:t>
      </w:r>
      <w:r>
        <w:rPr>
          <w:rFonts w:eastAsia="方正仿宋简体"/>
          <w:color w:val="000000" w:themeColor="text1"/>
        </w:rPr>
        <w:fldChar w:fldCharType="end"/>
      </w:r>
      <w:r>
        <w:rPr>
          <w:rFonts w:eastAsia="方正仿宋简体"/>
          <w:color w:val="000000" w:themeColor="text1"/>
        </w:rPr>
        <w:fldChar w:fldCharType="end"/>
      </w:r>
    </w:p>
    <w:p>
      <w:pPr>
        <w:pStyle w:val="10"/>
        <w:jc w:val="distribute"/>
        <w:rPr>
          <w:rFonts w:eastAsia="方正仿宋简体" w:cstheme="minorBidi"/>
          <w:color w:val="000000" w:themeColor="text1"/>
        </w:rPr>
      </w:pPr>
      <w:r>
        <w:fldChar w:fldCharType="begin"/>
      </w:r>
      <w:r>
        <w:instrText xml:space="preserve"> HYPERLINK \l "_Toc15396614" </w:instrText>
      </w:r>
      <w:r>
        <w:fldChar w:fldCharType="separate"/>
      </w:r>
      <w:r>
        <w:rPr>
          <w:rStyle w:val="16"/>
          <w:rFonts w:hint="eastAsia" w:eastAsia="方正仿宋简体"/>
          <w:color w:val="000000" w:themeColor="text1"/>
        </w:rPr>
        <w:t>第</w:t>
      </w:r>
      <w:r>
        <w:rPr>
          <w:rStyle w:val="16"/>
          <w:rFonts w:hint="eastAsia" w:eastAsia="方正仿宋简体"/>
          <w:bCs/>
          <w:color w:val="000000" w:themeColor="text1"/>
          <w:kern w:val="44"/>
        </w:rPr>
        <w:t>四部分</w:t>
      </w:r>
      <w:r>
        <w:rPr>
          <w:rStyle w:val="16"/>
          <w:rFonts w:eastAsia="方正仿宋简体"/>
          <w:bCs/>
          <w:color w:val="000000" w:themeColor="text1"/>
          <w:kern w:val="44"/>
        </w:rPr>
        <w:t xml:space="preserve"> </w:t>
      </w:r>
      <w:r>
        <w:rPr>
          <w:rStyle w:val="16"/>
          <w:rFonts w:hint="eastAsia" w:eastAsia="方正仿宋简体"/>
          <w:bCs/>
          <w:color w:val="000000" w:themeColor="text1"/>
          <w:kern w:val="44"/>
        </w:rPr>
        <w:t>附件</w:t>
      </w:r>
      <w:r>
        <w:rPr>
          <w:rFonts w:eastAsia="方正仿宋简体"/>
          <w:color w:val="000000" w:themeColor="text1"/>
        </w:rPr>
        <w:tab/>
      </w:r>
      <w:r>
        <w:rPr>
          <w:rFonts w:eastAsia="方正仿宋简体"/>
          <w:color w:val="000000" w:themeColor="text1"/>
        </w:rPr>
        <w:fldChar w:fldCharType="begin"/>
      </w:r>
      <w:r>
        <w:rPr>
          <w:rFonts w:eastAsia="方正仿宋简体"/>
          <w:color w:val="000000" w:themeColor="text1"/>
        </w:rPr>
        <w:instrText xml:space="preserve"> PAGEREF _Toc15396614 \h </w:instrText>
      </w:r>
      <w:r>
        <w:rPr>
          <w:rFonts w:eastAsia="方正仿宋简体"/>
          <w:color w:val="000000" w:themeColor="text1"/>
        </w:rPr>
        <w:fldChar w:fldCharType="separate"/>
      </w:r>
      <w:r>
        <w:rPr>
          <w:rFonts w:eastAsia="方正仿宋简体"/>
          <w:color w:val="000000" w:themeColor="text1"/>
        </w:rPr>
        <w:t>27</w:t>
      </w:r>
      <w:r>
        <w:rPr>
          <w:rFonts w:eastAsia="方正仿宋简体"/>
          <w:color w:val="000000" w:themeColor="text1"/>
        </w:rPr>
        <w:fldChar w:fldCharType="end"/>
      </w:r>
      <w:r>
        <w:rPr>
          <w:rFonts w:eastAsia="方正仿宋简体"/>
          <w:color w:val="000000" w:themeColor="text1"/>
        </w:rPr>
        <w:fldChar w:fldCharType="end"/>
      </w:r>
    </w:p>
    <w:p>
      <w:pPr>
        <w:pStyle w:val="11"/>
        <w:jc w:val="distribute"/>
        <w:rPr>
          <w:rFonts w:ascii="仿宋" w:hAnsi="仿宋" w:eastAsia="方正仿宋简体" w:cstheme="minorBidi"/>
          <w:color w:val="000000" w:themeColor="text1"/>
          <w:sz w:val="28"/>
          <w:szCs w:val="28"/>
        </w:rPr>
      </w:pPr>
      <w:r>
        <w:fldChar w:fldCharType="begin"/>
      </w:r>
      <w:r>
        <w:instrText xml:space="preserve"> HYPERLINK \l "_Toc15396615" </w:instrText>
      </w:r>
      <w:r>
        <w:fldChar w:fldCharType="separate"/>
      </w:r>
      <w:r>
        <w:rPr>
          <w:rStyle w:val="16"/>
          <w:rFonts w:hint="eastAsia" w:ascii="仿宋" w:hAnsi="仿宋" w:eastAsia="方正仿宋简体"/>
          <w:color w:val="000000" w:themeColor="text1"/>
          <w:kern w:val="44"/>
          <w:sz w:val="28"/>
          <w:szCs w:val="28"/>
        </w:rPr>
        <w:t>附件</w:t>
      </w:r>
      <w:r>
        <w:rPr>
          <w:rStyle w:val="16"/>
          <w:rFonts w:ascii="仿宋" w:hAnsi="仿宋" w:eastAsia="方正仿宋简体"/>
          <w:color w:val="000000" w:themeColor="text1"/>
          <w:kern w:val="44"/>
          <w:sz w:val="28"/>
          <w:szCs w:val="28"/>
        </w:rPr>
        <w:t>1</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_Toc15396615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27</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1"/>
        <w:jc w:val="distribute"/>
        <w:rPr>
          <w:rFonts w:ascii="仿宋" w:hAnsi="仿宋" w:eastAsia="方正仿宋简体" w:cstheme="minorBidi"/>
          <w:color w:val="000000" w:themeColor="text1"/>
          <w:sz w:val="28"/>
          <w:szCs w:val="28"/>
        </w:rPr>
      </w:pPr>
      <w:r>
        <w:fldChar w:fldCharType="begin"/>
      </w:r>
      <w:r>
        <w:instrText xml:space="preserve"> HYPERLINK \l "_Toc15396617" </w:instrText>
      </w:r>
      <w:r>
        <w:fldChar w:fldCharType="separate"/>
      </w:r>
      <w:r>
        <w:rPr>
          <w:rStyle w:val="16"/>
          <w:rFonts w:hint="eastAsia" w:ascii="仿宋" w:hAnsi="仿宋" w:eastAsia="方正仿宋简体"/>
          <w:color w:val="000000" w:themeColor="text1"/>
          <w:kern w:val="44"/>
          <w:sz w:val="28"/>
          <w:szCs w:val="28"/>
        </w:rPr>
        <w:t>附件</w:t>
      </w:r>
      <w:r>
        <w:rPr>
          <w:rStyle w:val="16"/>
          <w:rFonts w:ascii="仿宋" w:hAnsi="仿宋" w:eastAsia="方正仿宋简体"/>
          <w:color w:val="000000" w:themeColor="text1"/>
          <w:kern w:val="44"/>
          <w:sz w:val="28"/>
          <w:szCs w:val="28"/>
        </w:rPr>
        <w:t>2</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_Toc15396617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31</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0"/>
        <w:jc w:val="distribute"/>
        <w:rPr>
          <w:rFonts w:eastAsia="方正仿宋简体" w:cstheme="minorBidi"/>
          <w:color w:val="000000" w:themeColor="text1"/>
        </w:rPr>
      </w:pPr>
      <w:r>
        <w:fldChar w:fldCharType="begin"/>
      </w:r>
      <w:r>
        <w:instrText xml:space="preserve"> HYPERLINK \l "_Toc15396618" </w:instrText>
      </w:r>
      <w:r>
        <w:fldChar w:fldCharType="separate"/>
      </w:r>
      <w:r>
        <w:rPr>
          <w:rStyle w:val="16"/>
          <w:rFonts w:hint="eastAsia" w:eastAsia="方正仿宋简体"/>
          <w:color w:val="000000" w:themeColor="text1"/>
        </w:rPr>
        <w:t>第</w:t>
      </w:r>
      <w:r>
        <w:rPr>
          <w:rStyle w:val="16"/>
          <w:rFonts w:hint="eastAsia" w:eastAsia="方正仿宋简体"/>
          <w:bCs/>
          <w:color w:val="000000" w:themeColor="text1"/>
          <w:kern w:val="44"/>
        </w:rPr>
        <w:t>五部分</w:t>
      </w:r>
      <w:r>
        <w:rPr>
          <w:rStyle w:val="16"/>
          <w:rFonts w:eastAsia="方正仿宋简体"/>
          <w:bCs/>
          <w:color w:val="000000" w:themeColor="text1"/>
          <w:kern w:val="44"/>
        </w:rPr>
        <w:t xml:space="preserve"> </w:t>
      </w:r>
      <w:r>
        <w:rPr>
          <w:rStyle w:val="16"/>
          <w:rFonts w:hint="eastAsia" w:eastAsia="方正仿宋简体"/>
          <w:bCs/>
          <w:color w:val="000000" w:themeColor="text1"/>
          <w:kern w:val="44"/>
        </w:rPr>
        <w:t>附表</w:t>
      </w:r>
      <w:r>
        <w:rPr>
          <w:rFonts w:eastAsia="方正仿宋简体"/>
          <w:color w:val="000000" w:themeColor="text1"/>
        </w:rPr>
        <w:tab/>
      </w:r>
      <w:r>
        <w:rPr>
          <w:rFonts w:eastAsia="方正仿宋简体"/>
          <w:color w:val="000000" w:themeColor="text1"/>
        </w:rPr>
        <w:fldChar w:fldCharType="begin"/>
      </w:r>
      <w:r>
        <w:rPr>
          <w:rFonts w:eastAsia="方正仿宋简体"/>
          <w:color w:val="000000" w:themeColor="text1"/>
        </w:rPr>
        <w:instrText xml:space="preserve"> PAGEREF _Toc15396618 \h </w:instrText>
      </w:r>
      <w:r>
        <w:rPr>
          <w:rFonts w:eastAsia="方正仿宋简体"/>
          <w:color w:val="000000" w:themeColor="text1"/>
        </w:rPr>
        <w:fldChar w:fldCharType="separate"/>
      </w:r>
      <w:r>
        <w:rPr>
          <w:rFonts w:eastAsia="方正仿宋简体"/>
          <w:color w:val="000000" w:themeColor="text1"/>
        </w:rPr>
        <w:t>32</w:t>
      </w:r>
      <w:r>
        <w:rPr>
          <w:rFonts w:eastAsia="方正仿宋简体"/>
          <w:color w:val="000000" w:themeColor="text1"/>
        </w:rPr>
        <w:fldChar w:fldCharType="end"/>
      </w:r>
      <w:r>
        <w:rPr>
          <w:rFonts w:eastAsia="方正仿宋简体"/>
          <w:color w:val="000000" w:themeColor="text1"/>
        </w:rPr>
        <w:fldChar w:fldCharType="end"/>
      </w:r>
    </w:p>
    <w:p>
      <w:pPr>
        <w:pStyle w:val="11"/>
        <w:jc w:val="distribute"/>
        <w:rPr>
          <w:rFonts w:ascii="仿宋" w:hAnsi="仿宋" w:eastAsia="方正仿宋简体" w:cstheme="minorBidi"/>
          <w:color w:val="000000" w:themeColor="text1"/>
          <w:sz w:val="28"/>
          <w:szCs w:val="28"/>
        </w:rPr>
      </w:pPr>
      <w:r>
        <w:rPr>
          <w:rFonts w:hint="eastAsia" w:ascii="仿宋" w:hAnsi="仿宋" w:eastAsia="方正仿宋简体"/>
          <w:color w:val="000000" w:themeColor="text1"/>
          <w:sz w:val="28"/>
          <w:szCs w:val="28"/>
        </w:rPr>
        <w:t>一、</w:t>
      </w:r>
      <w:r>
        <w:fldChar w:fldCharType="begin"/>
      </w:r>
      <w:r>
        <w:instrText xml:space="preserve"> HYPERLINK \l "_Toc15396619" </w:instrText>
      </w:r>
      <w:r>
        <w:fldChar w:fldCharType="separate"/>
      </w:r>
      <w:r>
        <w:rPr>
          <w:rStyle w:val="16"/>
          <w:rFonts w:hint="eastAsia" w:ascii="仿宋" w:hAnsi="仿宋" w:eastAsia="方正仿宋简体"/>
          <w:color w:val="000000" w:themeColor="text1"/>
          <w:sz w:val="28"/>
          <w:szCs w:val="28"/>
        </w:rPr>
        <w:t>收入支出决算总表</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_Toc15396619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48</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1"/>
        <w:jc w:val="distribute"/>
        <w:rPr>
          <w:rFonts w:ascii="仿宋" w:hAnsi="仿宋" w:eastAsia="方正仿宋简体" w:cstheme="minorBidi"/>
          <w:color w:val="000000" w:themeColor="text1"/>
          <w:sz w:val="28"/>
          <w:szCs w:val="28"/>
        </w:rPr>
      </w:pPr>
      <w:r>
        <w:rPr>
          <w:rFonts w:hint="eastAsia" w:ascii="仿宋" w:hAnsi="仿宋" w:eastAsia="方正仿宋简体"/>
          <w:color w:val="000000" w:themeColor="text1"/>
          <w:sz w:val="28"/>
          <w:szCs w:val="28"/>
        </w:rPr>
        <w:t>二、</w:t>
      </w:r>
      <w:r>
        <w:fldChar w:fldCharType="begin"/>
      </w:r>
      <w:r>
        <w:instrText xml:space="preserve"> HYPERLINK \l "_Toc15396620" </w:instrText>
      </w:r>
      <w:r>
        <w:fldChar w:fldCharType="separate"/>
      </w:r>
      <w:r>
        <w:rPr>
          <w:rStyle w:val="16"/>
          <w:rFonts w:hint="eastAsia" w:ascii="仿宋" w:hAnsi="仿宋" w:eastAsia="方正仿宋简体"/>
          <w:color w:val="000000" w:themeColor="text1"/>
          <w:sz w:val="28"/>
          <w:szCs w:val="28"/>
        </w:rPr>
        <w:t>收入总表</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_Toc15396620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48</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1"/>
        <w:jc w:val="distribute"/>
        <w:rPr>
          <w:rFonts w:ascii="仿宋" w:hAnsi="仿宋" w:eastAsia="方正仿宋简体" w:cstheme="minorBidi"/>
          <w:color w:val="000000" w:themeColor="text1"/>
          <w:sz w:val="28"/>
          <w:szCs w:val="28"/>
        </w:rPr>
      </w:pPr>
      <w:r>
        <w:rPr>
          <w:rFonts w:hint="eastAsia" w:ascii="仿宋" w:hAnsi="仿宋" w:eastAsia="方正仿宋简体"/>
          <w:color w:val="000000" w:themeColor="text1"/>
          <w:sz w:val="28"/>
          <w:szCs w:val="28"/>
        </w:rPr>
        <w:t>三、</w:t>
      </w:r>
      <w:r>
        <w:fldChar w:fldCharType="begin"/>
      </w:r>
      <w:r>
        <w:instrText xml:space="preserve"> HYPERLINK \l "_Toc15396621" </w:instrText>
      </w:r>
      <w:r>
        <w:fldChar w:fldCharType="separate"/>
      </w:r>
      <w:r>
        <w:rPr>
          <w:rStyle w:val="16"/>
          <w:rFonts w:hint="eastAsia" w:ascii="仿宋" w:hAnsi="仿宋" w:eastAsia="方正仿宋简体"/>
          <w:color w:val="000000" w:themeColor="text1"/>
          <w:sz w:val="28"/>
          <w:szCs w:val="28"/>
        </w:rPr>
        <w:t>支出总表</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_Toc15396621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48</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1"/>
        <w:jc w:val="distribute"/>
        <w:rPr>
          <w:rFonts w:ascii="仿宋" w:hAnsi="仿宋" w:eastAsia="方正仿宋简体" w:cstheme="minorBidi"/>
          <w:color w:val="000000" w:themeColor="text1"/>
          <w:sz w:val="28"/>
          <w:szCs w:val="28"/>
        </w:rPr>
      </w:pPr>
      <w:r>
        <w:rPr>
          <w:rFonts w:hint="eastAsia" w:ascii="仿宋" w:hAnsi="仿宋" w:eastAsia="方正仿宋简体"/>
          <w:color w:val="000000" w:themeColor="text1"/>
          <w:sz w:val="28"/>
          <w:szCs w:val="28"/>
        </w:rPr>
        <w:t>四、</w:t>
      </w:r>
      <w:r>
        <w:fldChar w:fldCharType="begin"/>
      </w:r>
      <w:r>
        <w:instrText xml:space="preserve"> HYPERLINK \l "_Toc15396622" </w:instrText>
      </w:r>
      <w:r>
        <w:fldChar w:fldCharType="separate"/>
      </w:r>
      <w:r>
        <w:rPr>
          <w:rStyle w:val="16"/>
          <w:rFonts w:hint="eastAsia" w:ascii="仿宋" w:hAnsi="仿宋" w:eastAsia="方正仿宋简体"/>
          <w:color w:val="000000" w:themeColor="text1"/>
          <w:sz w:val="28"/>
          <w:szCs w:val="28"/>
        </w:rPr>
        <w:t>财政拨款收入支出决算总表</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_Toc15396622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48</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1"/>
        <w:jc w:val="distribute"/>
        <w:rPr>
          <w:rFonts w:ascii="仿宋" w:hAnsi="仿宋" w:eastAsia="方正仿宋简体"/>
          <w:color w:val="000000" w:themeColor="text1"/>
          <w:sz w:val="28"/>
          <w:szCs w:val="28"/>
        </w:rPr>
      </w:pPr>
      <w:r>
        <w:rPr>
          <w:rFonts w:hint="eastAsia" w:ascii="仿宋" w:hAnsi="仿宋" w:eastAsia="方正仿宋简体"/>
          <w:color w:val="000000" w:themeColor="text1"/>
          <w:sz w:val="28"/>
          <w:szCs w:val="28"/>
        </w:rPr>
        <w:t>五、</w:t>
      </w:r>
      <w:r>
        <w:fldChar w:fldCharType="begin"/>
      </w:r>
      <w:r>
        <w:instrText xml:space="preserve"> HYPERLINK \l "_Toc15396623" </w:instrText>
      </w:r>
      <w:r>
        <w:fldChar w:fldCharType="separate"/>
      </w:r>
      <w:r>
        <w:rPr>
          <w:rFonts w:hint="eastAsia" w:ascii="仿宋" w:hAnsi="仿宋" w:eastAsia="方正仿宋简体"/>
          <w:color w:val="000000" w:themeColor="text1"/>
          <w:sz w:val="28"/>
          <w:szCs w:val="28"/>
        </w:rPr>
        <w:t>财政拨款支出决算明细表（政府经济分类科目）</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_Toc15396623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48</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1"/>
        <w:jc w:val="distribute"/>
        <w:rPr>
          <w:rFonts w:ascii="仿宋" w:hAnsi="仿宋" w:eastAsia="方正仿宋简体" w:cstheme="minorBidi"/>
          <w:color w:val="000000" w:themeColor="text1"/>
          <w:sz w:val="28"/>
          <w:szCs w:val="28"/>
        </w:rPr>
      </w:pPr>
      <w:r>
        <w:rPr>
          <w:rFonts w:hint="eastAsia" w:ascii="仿宋" w:hAnsi="仿宋" w:eastAsia="方正仿宋简体"/>
          <w:color w:val="000000" w:themeColor="text1"/>
          <w:sz w:val="28"/>
          <w:szCs w:val="28"/>
        </w:rPr>
        <w:t>六、</w:t>
      </w:r>
      <w:r>
        <w:fldChar w:fldCharType="begin"/>
      </w:r>
      <w:r>
        <w:instrText xml:space="preserve"> HYPERLINK \l "_Toc15396624" </w:instrText>
      </w:r>
      <w:r>
        <w:fldChar w:fldCharType="separate"/>
      </w:r>
      <w:r>
        <w:rPr>
          <w:rStyle w:val="16"/>
          <w:rFonts w:hint="eastAsia" w:ascii="仿宋" w:hAnsi="仿宋" w:eastAsia="方正仿宋简体"/>
          <w:color w:val="000000" w:themeColor="text1"/>
          <w:sz w:val="28"/>
          <w:szCs w:val="28"/>
        </w:rPr>
        <w:t>一般公共预算财政拨款支出决算表</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_Toc15396624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48</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1"/>
        <w:jc w:val="distribute"/>
        <w:rPr>
          <w:rFonts w:ascii="仿宋" w:hAnsi="仿宋" w:eastAsia="方正仿宋简体" w:cstheme="minorBidi"/>
          <w:color w:val="000000" w:themeColor="text1"/>
          <w:sz w:val="28"/>
          <w:szCs w:val="28"/>
        </w:rPr>
      </w:pPr>
      <w:r>
        <w:rPr>
          <w:rFonts w:hint="eastAsia" w:ascii="仿宋" w:hAnsi="仿宋" w:eastAsia="方正仿宋简体"/>
          <w:color w:val="000000" w:themeColor="text1"/>
          <w:sz w:val="28"/>
          <w:szCs w:val="28"/>
        </w:rPr>
        <w:t>七、</w:t>
      </w:r>
      <w:r>
        <w:fldChar w:fldCharType="begin"/>
      </w:r>
      <w:r>
        <w:instrText xml:space="preserve"> HYPERLINK \l "_Toc15396625" </w:instrText>
      </w:r>
      <w:r>
        <w:fldChar w:fldCharType="separate"/>
      </w:r>
      <w:r>
        <w:rPr>
          <w:rStyle w:val="16"/>
          <w:rFonts w:hint="eastAsia" w:ascii="仿宋" w:hAnsi="仿宋" w:eastAsia="方正仿宋简体"/>
          <w:color w:val="000000" w:themeColor="text1"/>
          <w:sz w:val="28"/>
          <w:szCs w:val="28"/>
        </w:rPr>
        <w:t>一般公共预算财政拨款支出决算明细表</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_Toc15396625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48</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1"/>
        <w:jc w:val="distribute"/>
        <w:rPr>
          <w:rFonts w:ascii="仿宋" w:hAnsi="仿宋" w:eastAsia="方正仿宋简体" w:cstheme="minorBidi"/>
          <w:color w:val="000000" w:themeColor="text1"/>
          <w:sz w:val="28"/>
          <w:szCs w:val="28"/>
        </w:rPr>
      </w:pPr>
      <w:r>
        <w:rPr>
          <w:rFonts w:hint="eastAsia" w:ascii="仿宋" w:hAnsi="仿宋" w:eastAsia="方正仿宋简体"/>
          <w:color w:val="000000" w:themeColor="text1"/>
          <w:sz w:val="28"/>
          <w:szCs w:val="28"/>
        </w:rPr>
        <w:t>八、</w:t>
      </w:r>
      <w:r>
        <w:fldChar w:fldCharType="begin"/>
      </w:r>
      <w:r>
        <w:instrText xml:space="preserve"> HYPERLINK \l "_Toc15396626" </w:instrText>
      </w:r>
      <w:r>
        <w:fldChar w:fldCharType="separate"/>
      </w:r>
      <w:r>
        <w:rPr>
          <w:rStyle w:val="16"/>
          <w:rFonts w:hint="eastAsia" w:ascii="仿宋" w:hAnsi="仿宋" w:eastAsia="方正仿宋简体"/>
          <w:color w:val="000000" w:themeColor="text1"/>
          <w:sz w:val="28"/>
          <w:szCs w:val="28"/>
        </w:rPr>
        <w:t>一般公共预算财政拨款基本支出决算表</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_Toc15396626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48</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1"/>
        <w:jc w:val="distribute"/>
        <w:rPr>
          <w:rFonts w:ascii="仿宋" w:hAnsi="仿宋" w:eastAsia="方正仿宋简体" w:cstheme="minorBidi"/>
          <w:color w:val="000000" w:themeColor="text1"/>
          <w:sz w:val="28"/>
          <w:szCs w:val="28"/>
        </w:rPr>
      </w:pPr>
      <w:r>
        <w:rPr>
          <w:rFonts w:hint="eastAsia" w:ascii="仿宋" w:hAnsi="仿宋" w:eastAsia="方正仿宋简体"/>
          <w:color w:val="000000" w:themeColor="text1"/>
          <w:sz w:val="28"/>
          <w:szCs w:val="28"/>
        </w:rPr>
        <w:t>九、</w:t>
      </w:r>
      <w:r>
        <w:fldChar w:fldCharType="begin"/>
      </w:r>
      <w:r>
        <w:instrText xml:space="preserve"> HYPERLINK \l "_Toc15396627" </w:instrText>
      </w:r>
      <w:r>
        <w:fldChar w:fldCharType="separate"/>
      </w:r>
      <w:r>
        <w:rPr>
          <w:rStyle w:val="16"/>
          <w:rFonts w:hint="eastAsia" w:ascii="仿宋" w:hAnsi="仿宋" w:eastAsia="方正仿宋简体"/>
          <w:color w:val="000000" w:themeColor="text1"/>
          <w:sz w:val="28"/>
          <w:szCs w:val="28"/>
        </w:rPr>
        <w:t>一般公共预算财政拨款项目支出决算表</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_Toc15396627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48</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1"/>
        <w:jc w:val="distribute"/>
        <w:rPr>
          <w:rFonts w:ascii="仿宋" w:hAnsi="仿宋" w:eastAsia="方正仿宋简体" w:cstheme="minorBidi"/>
          <w:color w:val="000000" w:themeColor="text1"/>
          <w:sz w:val="28"/>
          <w:szCs w:val="28"/>
        </w:rPr>
      </w:pPr>
      <w:r>
        <w:rPr>
          <w:rFonts w:hint="eastAsia" w:ascii="仿宋" w:hAnsi="仿宋" w:eastAsia="方正仿宋简体"/>
          <w:color w:val="000000" w:themeColor="text1"/>
          <w:sz w:val="28"/>
          <w:szCs w:val="28"/>
        </w:rPr>
        <w:t>十、</w:t>
      </w:r>
      <w:r>
        <w:fldChar w:fldCharType="begin"/>
      </w:r>
      <w:r>
        <w:instrText xml:space="preserve"> HYPERLINK \l "_Toc15396628" </w:instrText>
      </w:r>
      <w:r>
        <w:fldChar w:fldCharType="separate"/>
      </w:r>
      <w:r>
        <w:rPr>
          <w:rStyle w:val="16"/>
          <w:rFonts w:hint="eastAsia" w:ascii="仿宋" w:hAnsi="仿宋" w:eastAsia="方正仿宋简体"/>
          <w:color w:val="000000" w:themeColor="text1"/>
          <w:sz w:val="28"/>
          <w:szCs w:val="28"/>
        </w:rPr>
        <w:t>一般公共预算财政拨款“三公”经费支出决算表</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_Toc15396628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48</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1"/>
        <w:jc w:val="distribute"/>
        <w:rPr>
          <w:rFonts w:ascii="仿宋" w:hAnsi="仿宋" w:eastAsia="方正仿宋简体" w:cstheme="minorBidi"/>
          <w:color w:val="000000" w:themeColor="text1"/>
          <w:sz w:val="28"/>
          <w:szCs w:val="28"/>
        </w:rPr>
      </w:pPr>
      <w:r>
        <w:rPr>
          <w:rFonts w:hint="eastAsia" w:ascii="仿宋" w:hAnsi="仿宋" w:eastAsia="方正仿宋简体"/>
          <w:color w:val="000000" w:themeColor="text1"/>
          <w:sz w:val="28"/>
          <w:szCs w:val="28"/>
        </w:rPr>
        <w:t>十一、</w:t>
      </w:r>
      <w:r>
        <w:fldChar w:fldCharType="begin"/>
      </w:r>
      <w:r>
        <w:instrText xml:space="preserve"> HYPERLINK \l "_Toc15396629" </w:instrText>
      </w:r>
      <w:r>
        <w:fldChar w:fldCharType="separate"/>
      </w:r>
      <w:r>
        <w:rPr>
          <w:rStyle w:val="16"/>
          <w:rFonts w:hint="eastAsia" w:ascii="仿宋" w:hAnsi="仿宋" w:eastAsia="方正仿宋简体"/>
          <w:color w:val="000000" w:themeColor="text1"/>
          <w:sz w:val="28"/>
          <w:szCs w:val="28"/>
        </w:rPr>
        <w:t>政府性基金预算财政拨款收入支出决算表</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_Toc15396629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48</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1"/>
        <w:jc w:val="distribute"/>
        <w:rPr>
          <w:rFonts w:ascii="仿宋" w:hAnsi="仿宋" w:eastAsia="方正仿宋简体" w:cstheme="minorBidi"/>
          <w:color w:val="000000" w:themeColor="text1"/>
          <w:sz w:val="28"/>
          <w:szCs w:val="28"/>
        </w:rPr>
      </w:pPr>
      <w:r>
        <w:rPr>
          <w:rFonts w:hint="eastAsia" w:ascii="仿宋" w:hAnsi="仿宋" w:eastAsia="方正仿宋简体"/>
          <w:color w:val="000000" w:themeColor="text1"/>
          <w:sz w:val="28"/>
          <w:szCs w:val="28"/>
        </w:rPr>
        <w:t>十二、</w:t>
      </w:r>
      <w:r>
        <w:fldChar w:fldCharType="begin"/>
      </w:r>
      <w:r>
        <w:instrText xml:space="preserve"> HYPERLINK \l "_Toc15396630" </w:instrText>
      </w:r>
      <w:r>
        <w:fldChar w:fldCharType="separate"/>
      </w:r>
      <w:r>
        <w:rPr>
          <w:rStyle w:val="16"/>
          <w:rFonts w:hint="eastAsia" w:ascii="仿宋" w:hAnsi="仿宋" w:eastAsia="方正仿宋简体"/>
          <w:color w:val="000000" w:themeColor="text1"/>
          <w:sz w:val="28"/>
          <w:szCs w:val="28"/>
        </w:rPr>
        <w:t>政府性基金预算财政拨款“三公”经费支出决算表</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_Toc15396630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48</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pStyle w:val="11"/>
        <w:jc w:val="distribute"/>
        <w:rPr>
          <w:rFonts w:ascii="仿宋" w:hAnsi="仿宋" w:eastAsia="方正仿宋简体" w:cstheme="minorBidi"/>
          <w:color w:val="000000" w:themeColor="text1"/>
          <w:sz w:val="24"/>
        </w:rPr>
      </w:pPr>
      <w:r>
        <w:rPr>
          <w:rFonts w:hint="eastAsia" w:ascii="仿宋" w:hAnsi="仿宋" w:eastAsia="方正仿宋简体"/>
          <w:color w:val="000000" w:themeColor="text1"/>
          <w:sz w:val="28"/>
          <w:szCs w:val="28"/>
        </w:rPr>
        <w:t>十三、</w:t>
      </w:r>
      <w:r>
        <w:fldChar w:fldCharType="begin"/>
      </w:r>
      <w:r>
        <w:instrText xml:space="preserve"> HYPERLINK \l "_Toc15396631" </w:instrText>
      </w:r>
      <w:r>
        <w:fldChar w:fldCharType="separate"/>
      </w:r>
      <w:r>
        <w:rPr>
          <w:rStyle w:val="16"/>
          <w:rFonts w:hint="eastAsia" w:ascii="仿宋" w:hAnsi="仿宋" w:eastAsia="方正仿宋简体"/>
          <w:color w:val="000000" w:themeColor="text1"/>
          <w:sz w:val="28"/>
          <w:szCs w:val="28"/>
        </w:rPr>
        <w:t>国有资本经营预算支出决算表</w:t>
      </w:r>
      <w:r>
        <w:rPr>
          <w:rFonts w:ascii="仿宋" w:hAnsi="仿宋" w:eastAsia="方正仿宋简体"/>
          <w:color w:val="000000" w:themeColor="text1"/>
          <w:sz w:val="28"/>
          <w:szCs w:val="28"/>
        </w:rPr>
        <w:tab/>
      </w:r>
      <w:r>
        <w:rPr>
          <w:rFonts w:ascii="仿宋" w:hAnsi="仿宋" w:eastAsia="方正仿宋简体"/>
          <w:color w:val="000000" w:themeColor="text1"/>
          <w:sz w:val="28"/>
          <w:szCs w:val="28"/>
        </w:rPr>
        <w:fldChar w:fldCharType="begin"/>
      </w:r>
      <w:r>
        <w:rPr>
          <w:rFonts w:ascii="仿宋" w:hAnsi="仿宋" w:eastAsia="方正仿宋简体"/>
          <w:color w:val="000000" w:themeColor="text1"/>
          <w:sz w:val="28"/>
          <w:szCs w:val="28"/>
        </w:rPr>
        <w:instrText xml:space="preserve"> PAGEREF _Toc15396631 \h </w:instrText>
      </w:r>
      <w:r>
        <w:rPr>
          <w:rFonts w:ascii="仿宋" w:hAnsi="仿宋" w:eastAsia="方正仿宋简体"/>
          <w:color w:val="000000" w:themeColor="text1"/>
          <w:sz w:val="28"/>
          <w:szCs w:val="28"/>
        </w:rPr>
        <w:fldChar w:fldCharType="separate"/>
      </w:r>
      <w:r>
        <w:rPr>
          <w:rFonts w:ascii="仿宋" w:hAnsi="仿宋" w:eastAsia="方正仿宋简体"/>
          <w:color w:val="000000" w:themeColor="text1"/>
          <w:sz w:val="28"/>
          <w:szCs w:val="28"/>
        </w:rPr>
        <w:t>48</w:t>
      </w:r>
      <w:r>
        <w:rPr>
          <w:rFonts w:ascii="仿宋" w:hAnsi="仿宋" w:eastAsia="方正仿宋简体"/>
          <w:color w:val="000000" w:themeColor="text1"/>
          <w:sz w:val="28"/>
          <w:szCs w:val="28"/>
        </w:rPr>
        <w:fldChar w:fldCharType="end"/>
      </w:r>
      <w:r>
        <w:rPr>
          <w:rFonts w:ascii="仿宋" w:hAnsi="仿宋" w:eastAsia="方正仿宋简体"/>
          <w:color w:val="000000" w:themeColor="text1"/>
          <w:sz w:val="28"/>
          <w:szCs w:val="28"/>
        </w:rPr>
        <w:fldChar w:fldCharType="end"/>
      </w:r>
    </w:p>
    <w:p>
      <w:pPr>
        <w:widowControl/>
        <w:jc w:val="left"/>
        <w:rPr>
          <w:rFonts w:ascii="仿宋" w:hAnsi="仿宋" w:eastAsia="方正仿宋简体"/>
          <w:color w:val="000000" w:themeColor="text1"/>
          <w:sz w:val="24"/>
        </w:rPr>
      </w:pPr>
      <w:r>
        <w:rPr>
          <w:rFonts w:ascii="仿宋" w:hAnsi="仿宋" w:eastAsia="方正仿宋简体"/>
          <w:color w:val="000000" w:themeColor="text1"/>
          <w:sz w:val="24"/>
        </w:rPr>
        <w:fldChar w:fldCharType="end"/>
      </w:r>
    </w:p>
    <w:p>
      <w:pPr>
        <w:widowControl/>
        <w:jc w:val="left"/>
        <w:rPr>
          <w:rFonts w:ascii="黑体" w:hAnsi="黑体" w:eastAsia="黑体"/>
          <w:bCs/>
          <w:color w:val="000000" w:themeColor="text1"/>
          <w:kern w:val="44"/>
          <w:sz w:val="44"/>
          <w:szCs w:val="44"/>
        </w:rPr>
      </w:pPr>
      <w:bookmarkStart w:id="12" w:name="_Toc15377196"/>
      <w:bookmarkStart w:id="13" w:name="_Toc15396599"/>
      <w:r>
        <w:rPr>
          <w:rFonts w:ascii="黑体" w:hAnsi="黑体" w:eastAsia="黑体"/>
          <w:b/>
          <w:color w:val="000000" w:themeColor="text1"/>
        </w:rPr>
        <w:br w:type="page"/>
      </w:r>
    </w:p>
    <w:p>
      <w:pPr>
        <w:pStyle w:val="2"/>
        <w:jc w:val="center"/>
        <w:rPr>
          <w:rStyle w:val="25"/>
          <w:rFonts w:ascii="黑体" w:hAnsi="黑体" w:eastAsia="黑体"/>
          <w:b/>
          <w:bCs w:val="0"/>
          <w:color w:val="000000" w:themeColor="text1"/>
        </w:rPr>
      </w:pPr>
      <w:r>
        <w:rPr>
          <w:rFonts w:hint="eastAsia" w:ascii="黑体" w:hAnsi="黑体" w:eastAsia="黑体"/>
          <w:b w:val="0"/>
          <w:color w:val="000000" w:themeColor="text1"/>
        </w:rPr>
        <w:t xml:space="preserve">第一部分 </w:t>
      </w:r>
      <w:r>
        <w:rPr>
          <w:rStyle w:val="25"/>
          <w:rFonts w:hint="eastAsia" w:ascii="黑体" w:hAnsi="黑体" w:eastAsia="黑体"/>
          <w:b w:val="0"/>
          <w:bCs w:val="0"/>
          <w:color w:val="000000" w:themeColor="text1"/>
        </w:rPr>
        <w:t>部门概况</w:t>
      </w:r>
      <w:bookmarkEnd w:id="12"/>
      <w:bookmarkEnd w:id="13"/>
    </w:p>
    <w:p>
      <w:pPr>
        <w:widowControl/>
        <w:jc w:val="left"/>
        <w:rPr>
          <w:rFonts w:ascii="黑体" w:eastAsia="黑体"/>
          <w:color w:val="000000" w:themeColor="text1"/>
          <w:sz w:val="32"/>
          <w:szCs w:val="32"/>
        </w:rPr>
      </w:pPr>
    </w:p>
    <w:p>
      <w:pPr>
        <w:pStyle w:val="3"/>
        <w:numPr>
          <w:ilvl w:val="0"/>
          <w:numId w:val="1"/>
        </w:numPr>
        <w:rPr>
          <w:rStyle w:val="26"/>
          <w:rFonts w:ascii="黑体" w:hAnsi="黑体" w:eastAsia="黑体"/>
          <w:b w:val="0"/>
          <w:bCs w:val="0"/>
          <w:color w:val="000000" w:themeColor="text1"/>
        </w:rPr>
      </w:pPr>
      <w:bookmarkStart w:id="14" w:name="_Toc15377197"/>
      <w:bookmarkStart w:id="15" w:name="_Toc15396600"/>
      <w:r>
        <w:rPr>
          <w:rFonts w:hint="eastAsia" w:ascii="黑体" w:hAnsi="黑体" w:eastAsia="黑体"/>
          <w:b w:val="0"/>
          <w:color w:val="000000" w:themeColor="text1"/>
        </w:rPr>
        <w:t>基</w:t>
      </w:r>
      <w:r>
        <w:rPr>
          <w:rStyle w:val="26"/>
          <w:rFonts w:hint="eastAsia" w:ascii="黑体" w:hAnsi="黑体" w:eastAsia="黑体"/>
          <w:b w:val="0"/>
          <w:bCs w:val="0"/>
          <w:color w:val="000000" w:themeColor="text1"/>
        </w:rPr>
        <w:t>本职能及主要工作</w:t>
      </w:r>
      <w:bookmarkEnd w:id="14"/>
      <w:bookmarkEnd w:id="15"/>
      <w:bookmarkStart w:id="16" w:name="_Toc15378446"/>
      <w:bookmarkStart w:id="17" w:name="_Toc15377199"/>
    </w:p>
    <w:p>
      <w:pPr>
        <w:pStyle w:val="3"/>
        <w:ind w:firstLine="800" w:firstLineChars="250"/>
        <w:rPr>
          <w:rFonts w:ascii="仿宋" w:hAnsi="仿宋" w:eastAsia="方正仿宋简体"/>
          <w:b w:val="0"/>
          <w:color w:val="000000" w:themeColor="text1"/>
          <w:shd w:val="clear" w:color="auto" w:fill="FFFFFF"/>
        </w:rPr>
      </w:pPr>
      <w:r>
        <w:rPr>
          <w:rFonts w:hint="eastAsia" w:ascii="仿宋" w:hAnsi="仿宋" w:eastAsia="方正仿宋简体"/>
          <w:b w:val="0"/>
          <w:color w:val="000000" w:themeColor="text1"/>
          <w:shd w:val="clear" w:color="auto" w:fill="FFFFFF"/>
        </w:rPr>
        <w:t xml:space="preserve">中国共产党委广元市利州区委员会政法委员会，它既是政法部门，又是党委的重要职能部门，是同级党委加强政法工作和社会治安综合治理工作的参谋和助手，其主要职责是： </w:t>
      </w:r>
    </w:p>
    <w:p>
      <w:pPr>
        <w:pStyle w:val="3"/>
        <w:ind w:firstLine="800" w:firstLineChars="250"/>
        <w:rPr>
          <w:rFonts w:ascii="仿宋" w:hAnsi="仿宋" w:eastAsia="方正仿宋简体"/>
          <w:b w:val="0"/>
          <w:color w:val="000000" w:themeColor="text1"/>
          <w:shd w:val="clear" w:color="auto" w:fill="FFFFFF"/>
        </w:rPr>
      </w:pPr>
      <w:r>
        <w:rPr>
          <w:rFonts w:hint="eastAsia" w:ascii="仿宋" w:hAnsi="仿宋" w:eastAsia="方正仿宋简体"/>
          <w:b w:val="0"/>
          <w:color w:val="000000" w:themeColor="text1"/>
          <w:shd w:val="clear" w:color="auto" w:fill="FFFFFF"/>
        </w:rPr>
        <w:t xml:space="preserve">（一）指导督促政法各部门贯彻执行中共的路线、方针、政策和上级的指示及同级党委、政府的工作部署，统一政法各部门的思想和行动。 </w:t>
      </w:r>
    </w:p>
    <w:p>
      <w:pPr>
        <w:overflowPunct w:val="0"/>
        <w:spacing w:line="576" w:lineRule="exact"/>
        <w:ind w:firstLine="640" w:firstLineChars="200"/>
        <w:rPr>
          <w:rFonts w:ascii="仿宋" w:hAnsi="仿宋" w:eastAsia="方正仿宋简体"/>
          <w:color w:val="000000" w:themeColor="text1"/>
          <w:sz w:val="32"/>
          <w:szCs w:val="32"/>
          <w:shd w:val="clear" w:color="auto" w:fill="FFFFFF"/>
        </w:rPr>
      </w:pPr>
      <w:r>
        <w:rPr>
          <w:rFonts w:hint="eastAsia" w:ascii="仿宋" w:hAnsi="仿宋" w:eastAsia="方正仿宋简体"/>
          <w:color w:val="000000" w:themeColor="text1"/>
          <w:sz w:val="32"/>
          <w:szCs w:val="32"/>
          <w:shd w:val="clear" w:color="auto" w:fill="FFFFFF"/>
        </w:rPr>
        <w:t xml:space="preserve">（二）定期分析社会治安形势，对一定时期本地的政法工作作出全面部署。 </w:t>
      </w:r>
    </w:p>
    <w:p>
      <w:pPr>
        <w:overflowPunct w:val="0"/>
        <w:spacing w:line="576" w:lineRule="exact"/>
        <w:ind w:firstLine="640" w:firstLineChars="200"/>
        <w:rPr>
          <w:rFonts w:ascii="仿宋" w:hAnsi="仿宋" w:eastAsia="方正仿宋简体"/>
          <w:color w:val="000000" w:themeColor="text1"/>
          <w:sz w:val="32"/>
          <w:szCs w:val="32"/>
          <w:shd w:val="clear" w:color="auto" w:fill="FFFFFF"/>
        </w:rPr>
      </w:pPr>
      <w:r>
        <w:rPr>
          <w:rFonts w:hint="eastAsia" w:ascii="仿宋" w:hAnsi="仿宋" w:eastAsia="方正仿宋简体"/>
          <w:color w:val="000000" w:themeColor="text1"/>
          <w:sz w:val="32"/>
          <w:szCs w:val="32"/>
          <w:shd w:val="clear" w:color="auto" w:fill="FFFFFF"/>
        </w:rPr>
        <w:t xml:space="preserve">（三）组织推动政法部门开展新形势下加强和改革政法工作的调查研究，及时向同级党委提出建议和意见。 </w:t>
      </w:r>
    </w:p>
    <w:p>
      <w:pPr>
        <w:overflowPunct w:val="0"/>
        <w:spacing w:line="576" w:lineRule="exact"/>
        <w:ind w:firstLine="640" w:firstLineChars="200"/>
        <w:rPr>
          <w:rFonts w:ascii="仿宋" w:hAnsi="仿宋" w:eastAsia="方正仿宋简体"/>
          <w:color w:val="000000" w:themeColor="text1"/>
          <w:sz w:val="32"/>
          <w:szCs w:val="32"/>
          <w:shd w:val="clear" w:color="auto" w:fill="FFFFFF"/>
        </w:rPr>
      </w:pPr>
      <w:r>
        <w:rPr>
          <w:rFonts w:hint="eastAsia" w:ascii="仿宋" w:hAnsi="仿宋" w:eastAsia="方正仿宋简体"/>
          <w:color w:val="000000" w:themeColor="text1"/>
          <w:sz w:val="32"/>
          <w:szCs w:val="32"/>
          <w:shd w:val="clear" w:color="auto" w:fill="FFFFFF"/>
        </w:rPr>
        <w:t xml:space="preserve">（四）指导社会治安综合治理，协调各部门落实社会治安综合治理各项措施。 </w:t>
      </w:r>
    </w:p>
    <w:p>
      <w:pPr>
        <w:overflowPunct w:val="0"/>
        <w:spacing w:line="576" w:lineRule="exact"/>
        <w:ind w:firstLine="640" w:firstLineChars="200"/>
        <w:rPr>
          <w:rFonts w:ascii="仿宋" w:hAnsi="仿宋" w:eastAsia="方正仿宋简体"/>
          <w:color w:val="000000" w:themeColor="text1"/>
          <w:sz w:val="32"/>
          <w:szCs w:val="32"/>
          <w:shd w:val="clear" w:color="auto" w:fill="FFFFFF"/>
        </w:rPr>
      </w:pPr>
      <w:r>
        <w:rPr>
          <w:rFonts w:hint="eastAsia" w:ascii="仿宋" w:hAnsi="仿宋" w:eastAsia="方正仿宋简体"/>
          <w:color w:val="000000" w:themeColor="text1"/>
          <w:sz w:val="32"/>
          <w:szCs w:val="32"/>
          <w:shd w:val="clear" w:color="auto" w:fill="FFFFFF"/>
        </w:rPr>
        <w:t xml:space="preserve">（五）研究指导政法执委会的建设和队伍建设，协助组织部门做好政法各部门领导班子建设和科、处、队、庭、室干部的考察和管理。 </w:t>
      </w:r>
    </w:p>
    <w:p>
      <w:pPr>
        <w:overflowPunct w:val="0"/>
        <w:spacing w:line="576" w:lineRule="exact"/>
        <w:ind w:firstLine="640" w:firstLineChars="200"/>
        <w:rPr>
          <w:rFonts w:ascii="仿宋" w:hAnsi="仿宋" w:eastAsia="方正仿宋简体"/>
          <w:color w:val="000000" w:themeColor="text1"/>
          <w:sz w:val="32"/>
          <w:szCs w:val="32"/>
          <w:shd w:val="clear" w:color="auto" w:fill="FFFFFF"/>
        </w:rPr>
      </w:pPr>
      <w:r>
        <w:rPr>
          <w:rFonts w:hint="eastAsia" w:ascii="仿宋" w:hAnsi="仿宋" w:eastAsia="方正仿宋简体"/>
          <w:color w:val="000000" w:themeColor="text1"/>
          <w:sz w:val="32"/>
          <w:szCs w:val="32"/>
          <w:shd w:val="clear" w:color="auto" w:fill="FFFFFF"/>
        </w:rPr>
        <w:t xml:space="preserve">（六）切实履行政法委职能，抓好执法督促工作，支持和督促政法各部门依法行使职权，协调政法各部门的关系，重大业务问题和有争议的重大疑难案件。 </w:t>
      </w:r>
    </w:p>
    <w:p>
      <w:pPr>
        <w:overflowPunct w:val="0"/>
        <w:spacing w:line="576" w:lineRule="exact"/>
        <w:ind w:firstLine="640" w:firstLineChars="200"/>
        <w:rPr>
          <w:rFonts w:ascii="仿宋" w:hAnsi="仿宋" w:eastAsia="方正仿宋简体"/>
          <w:color w:val="000000" w:themeColor="text1"/>
          <w:sz w:val="32"/>
          <w:szCs w:val="32"/>
          <w:shd w:val="clear" w:color="auto" w:fill="FFFFFF"/>
        </w:rPr>
      </w:pPr>
      <w:r>
        <w:rPr>
          <w:rFonts w:hint="eastAsia" w:ascii="仿宋" w:hAnsi="仿宋" w:eastAsia="方正仿宋简体"/>
          <w:color w:val="000000" w:themeColor="text1"/>
          <w:sz w:val="32"/>
          <w:szCs w:val="32"/>
          <w:shd w:val="clear" w:color="auto" w:fill="FFFFFF"/>
        </w:rPr>
        <w:t xml:space="preserve">（七）指导下级综治委、政法委工作。 </w:t>
      </w:r>
    </w:p>
    <w:p>
      <w:pPr>
        <w:overflowPunct w:val="0"/>
        <w:spacing w:line="576" w:lineRule="exact"/>
        <w:ind w:firstLine="640" w:firstLineChars="200"/>
        <w:rPr>
          <w:rFonts w:ascii="仿宋" w:hAnsi="仿宋" w:eastAsia="方正仿宋简体"/>
          <w:color w:val="000000" w:themeColor="text1"/>
          <w:sz w:val="32"/>
          <w:szCs w:val="32"/>
          <w:shd w:val="clear" w:color="auto" w:fill="FFFFFF"/>
        </w:rPr>
      </w:pPr>
      <w:r>
        <w:rPr>
          <w:rFonts w:hint="eastAsia" w:ascii="仿宋" w:hAnsi="仿宋" w:eastAsia="方正仿宋简体"/>
          <w:color w:val="000000" w:themeColor="text1"/>
          <w:sz w:val="32"/>
          <w:szCs w:val="32"/>
          <w:shd w:val="clear" w:color="auto" w:fill="FFFFFF"/>
        </w:rPr>
        <w:t>（八）</w:t>
      </w:r>
      <w:r>
        <w:rPr>
          <w:rFonts w:hint="eastAsia" w:ascii="仿宋" w:hAnsi="仿宋" w:eastAsia="方正仿宋简体"/>
          <w:color w:val="000000" w:themeColor="text1"/>
          <w:spacing w:val="-14"/>
          <w:sz w:val="32"/>
          <w:szCs w:val="32"/>
          <w:shd w:val="clear" w:color="auto" w:fill="FFFFFF"/>
        </w:rPr>
        <w:t>地方政法委完成同级党委和上级政法委交办的其他事项。</w:t>
      </w:r>
    </w:p>
    <w:p>
      <w:pPr>
        <w:pStyle w:val="5"/>
        <w:adjustRightInd w:val="0"/>
        <w:snapToGrid w:val="0"/>
        <w:spacing w:before="93" w:line="600" w:lineRule="exact"/>
        <w:ind w:firstLine="672" w:firstLineChars="210"/>
        <w:outlineLvl w:val="2"/>
        <w:rPr>
          <w:rFonts w:ascii="仿宋" w:hAnsi="仿宋" w:eastAsia="方正仿宋简体"/>
          <w:bCs/>
          <w:color w:val="000000" w:themeColor="text1"/>
          <w:sz w:val="32"/>
          <w:szCs w:val="32"/>
        </w:rPr>
      </w:pPr>
      <w:r>
        <w:rPr>
          <w:rFonts w:hint="eastAsia" w:ascii="仿宋" w:hAnsi="仿宋" w:eastAsia="方正仿宋简体"/>
          <w:bCs/>
          <w:color w:val="000000" w:themeColor="text1"/>
          <w:sz w:val="32"/>
          <w:szCs w:val="32"/>
        </w:rPr>
        <w:t>（二）</w:t>
      </w:r>
      <w:r>
        <w:rPr>
          <w:rFonts w:ascii="仿宋" w:hAnsi="仿宋" w:eastAsia="方正仿宋简体"/>
          <w:bCs/>
          <w:color w:val="000000" w:themeColor="text1"/>
          <w:sz w:val="32"/>
          <w:szCs w:val="32"/>
        </w:rPr>
        <w:t>201</w:t>
      </w:r>
      <w:r>
        <w:rPr>
          <w:rFonts w:hint="eastAsia" w:ascii="仿宋" w:hAnsi="仿宋" w:eastAsia="方正仿宋简体"/>
          <w:bCs/>
          <w:color w:val="000000" w:themeColor="text1"/>
          <w:sz w:val="32"/>
          <w:szCs w:val="32"/>
        </w:rPr>
        <w:t>8年重点工作完成情况。</w:t>
      </w:r>
      <w:bookmarkEnd w:id="16"/>
      <w:bookmarkEnd w:id="17"/>
      <w:r>
        <w:rPr>
          <w:rFonts w:hint="eastAsia" w:ascii="仿宋" w:hAnsi="仿宋" w:eastAsia="方正仿宋简体"/>
          <w:color w:val="000000" w:themeColor="text1"/>
          <w:sz w:val="32"/>
          <w:szCs w:val="32"/>
        </w:rPr>
        <w:t>在区委的坚强领导下，我委深入推进“稳定利州、平安利州、法治利州、和谐利州”建设，为加快建设综合实力一流的现代化市辖区和生态康养旅游名市营造了安全稳定的社会环境和公正规范的法治环境。2018年，全区政法系统获得国家级表彰5次、省级24次、市级23次，有力地展示了政法工作成效和政法队伍良好形象。</w:t>
      </w:r>
    </w:p>
    <w:p>
      <w:pPr>
        <w:pStyle w:val="3"/>
        <w:rPr>
          <w:rStyle w:val="26"/>
          <w:b w:val="0"/>
          <w:bCs w:val="0"/>
          <w:color w:val="000000" w:themeColor="text1"/>
        </w:rPr>
      </w:pPr>
      <w:bookmarkStart w:id="18" w:name="_Toc15396601"/>
      <w:bookmarkStart w:id="19" w:name="_Toc15377200"/>
      <w:r>
        <w:rPr>
          <w:rFonts w:hint="eastAsia" w:ascii="黑体" w:eastAsia="黑体"/>
          <w:b w:val="0"/>
          <w:color w:val="000000" w:themeColor="text1"/>
        </w:rPr>
        <w:t>二、</w:t>
      </w:r>
      <w:r>
        <w:rPr>
          <w:rFonts w:hint="eastAsia" w:ascii="黑体" w:hAnsi="黑体" w:eastAsia="黑体"/>
          <w:b w:val="0"/>
          <w:color w:val="000000" w:themeColor="text1"/>
        </w:rPr>
        <w:t>机</w:t>
      </w:r>
      <w:r>
        <w:rPr>
          <w:rStyle w:val="26"/>
          <w:rFonts w:hint="eastAsia" w:ascii="黑体" w:hAnsi="黑体" w:eastAsia="黑体"/>
          <w:b w:val="0"/>
          <w:bCs w:val="0"/>
          <w:color w:val="000000" w:themeColor="text1"/>
        </w:rPr>
        <w:t>构设置</w:t>
      </w:r>
      <w:bookmarkEnd w:id="18"/>
      <w:bookmarkEnd w:id="19"/>
    </w:p>
    <w:p>
      <w:pPr>
        <w:ind w:firstLine="800" w:firstLineChars="250"/>
        <w:rPr>
          <w:rFonts w:ascii="仿宋" w:hAnsi="仿宋" w:eastAsia="方正仿宋简体"/>
          <w:color w:val="000000" w:themeColor="text1"/>
          <w:sz w:val="32"/>
          <w:szCs w:val="32"/>
        </w:rPr>
      </w:pPr>
      <w:r>
        <w:rPr>
          <w:rFonts w:hint="eastAsia" w:ascii="仿宋" w:hAnsi="仿宋" w:eastAsia="方正仿宋简体"/>
          <w:color w:val="000000" w:themeColor="text1"/>
          <w:sz w:val="32"/>
          <w:szCs w:val="32"/>
        </w:rPr>
        <w:t>政法委下属二级单位0个，其中行政单位0个，参照公务员法管理的事业单位</w:t>
      </w:r>
      <w:r>
        <w:rPr>
          <w:rFonts w:hint="eastAsia" w:ascii="仿宋" w:hAnsi="仿宋" w:eastAsia="方正仿宋简体"/>
          <w:bCs/>
          <w:color w:val="000000" w:themeColor="text1"/>
          <w:sz w:val="32"/>
          <w:szCs w:val="32"/>
        </w:rPr>
        <w:t>0</w:t>
      </w:r>
      <w:r>
        <w:rPr>
          <w:rFonts w:hint="eastAsia" w:ascii="仿宋" w:hAnsi="仿宋" w:eastAsia="方正仿宋简体"/>
          <w:color w:val="000000" w:themeColor="text1"/>
          <w:sz w:val="32"/>
          <w:szCs w:val="32"/>
        </w:rPr>
        <w:t>个，其他事业单位0个。</w:t>
      </w:r>
    </w:p>
    <w:p>
      <w:pPr>
        <w:pStyle w:val="5"/>
        <w:adjustRightInd w:val="0"/>
        <w:snapToGrid w:val="0"/>
        <w:spacing w:before="93" w:line="600" w:lineRule="exact"/>
        <w:ind w:firstLine="672" w:firstLineChars="210"/>
        <w:rPr>
          <w:rFonts w:ascii="仿宋" w:hAnsi="仿宋" w:eastAsia="方正仿宋简体"/>
          <w:color w:val="000000" w:themeColor="text1"/>
          <w:sz w:val="32"/>
          <w:szCs w:val="32"/>
        </w:rPr>
      </w:pPr>
      <w:r>
        <w:rPr>
          <w:rFonts w:hint="eastAsia" w:ascii="仿宋" w:hAnsi="仿宋" w:eastAsia="方正仿宋简体"/>
          <w:color w:val="000000" w:themeColor="text1"/>
          <w:sz w:val="32"/>
          <w:szCs w:val="32"/>
        </w:rPr>
        <w:t>纳入政法委2018年度部门决算编制范围的二级预算单位包括：</w:t>
      </w:r>
    </w:p>
    <w:p>
      <w:pPr>
        <w:pStyle w:val="5"/>
        <w:numPr>
          <w:ilvl w:val="0"/>
          <w:numId w:val="2"/>
        </w:numPr>
        <w:adjustRightInd w:val="0"/>
        <w:snapToGrid w:val="0"/>
        <w:spacing w:before="93" w:line="600" w:lineRule="exact"/>
        <w:outlineLvl w:val="2"/>
        <w:rPr>
          <w:rFonts w:ascii="仿宋" w:hAnsi="仿宋" w:eastAsia="方正仿宋简体"/>
          <w:color w:val="000000" w:themeColor="text1"/>
          <w:sz w:val="32"/>
          <w:szCs w:val="32"/>
        </w:rPr>
      </w:pPr>
      <w:r>
        <w:rPr>
          <w:rFonts w:hint="eastAsia" w:ascii="仿宋" w:hAnsi="仿宋" w:eastAsia="方正仿宋简体"/>
          <w:color w:val="000000" w:themeColor="text1"/>
          <w:sz w:val="32"/>
          <w:szCs w:val="32"/>
        </w:rPr>
        <w:t>无</w:t>
      </w:r>
    </w:p>
    <w:p>
      <w:pPr>
        <w:pStyle w:val="5"/>
        <w:numPr>
          <w:ilvl w:val="0"/>
          <w:numId w:val="2"/>
        </w:numPr>
        <w:adjustRightInd w:val="0"/>
        <w:snapToGrid w:val="0"/>
        <w:spacing w:before="93" w:line="600" w:lineRule="exact"/>
        <w:outlineLvl w:val="2"/>
        <w:rPr>
          <w:rFonts w:ascii="仿宋" w:hAnsi="仿宋" w:eastAsia="方正仿宋简体"/>
          <w:color w:val="000000" w:themeColor="text1"/>
          <w:sz w:val="32"/>
          <w:szCs w:val="32"/>
        </w:rPr>
      </w:pPr>
      <w:r>
        <w:rPr>
          <w:rFonts w:hint="eastAsia" w:ascii="仿宋" w:hAnsi="仿宋" w:eastAsia="方正仿宋简体"/>
          <w:color w:val="000000" w:themeColor="text1"/>
          <w:sz w:val="32"/>
          <w:szCs w:val="32"/>
        </w:rPr>
        <w:t>无</w:t>
      </w:r>
    </w:p>
    <w:p>
      <w:pPr>
        <w:pStyle w:val="5"/>
        <w:numPr>
          <w:ilvl w:val="0"/>
          <w:numId w:val="2"/>
        </w:numPr>
        <w:adjustRightInd w:val="0"/>
        <w:snapToGrid w:val="0"/>
        <w:spacing w:before="93" w:line="600" w:lineRule="exact"/>
        <w:outlineLvl w:val="2"/>
        <w:rPr>
          <w:rFonts w:ascii="仿宋" w:hAnsi="仿宋" w:eastAsia="方正仿宋简体"/>
          <w:color w:val="000000" w:themeColor="text1"/>
          <w:sz w:val="32"/>
          <w:szCs w:val="32"/>
        </w:rPr>
      </w:pPr>
      <w:r>
        <w:rPr>
          <w:rFonts w:hint="eastAsia" w:ascii="仿宋" w:hAnsi="仿宋" w:eastAsia="方正仿宋简体"/>
          <w:color w:val="000000" w:themeColor="text1"/>
          <w:sz w:val="32"/>
          <w:szCs w:val="32"/>
        </w:rPr>
        <w:t>无</w:t>
      </w:r>
    </w:p>
    <w:p>
      <w:pPr>
        <w:pStyle w:val="5"/>
        <w:adjustRightInd w:val="0"/>
        <w:snapToGrid w:val="0"/>
        <w:spacing w:before="93" w:line="600" w:lineRule="exact"/>
        <w:ind w:firstLine="1120" w:firstLineChars="350"/>
        <w:rPr>
          <w:rFonts w:ascii="仿宋" w:hAnsi="仿宋" w:eastAsia="方正仿宋简体"/>
          <w:color w:val="000000" w:themeColor="text1"/>
          <w:sz w:val="32"/>
          <w:szCs w:val="32"/>
        </w:rPr>
      </w:pPr>
      <w:r>
        <w:rPr>
          <w:rFonts w:hint="eastAsia" w:ascii="仿宋" w:hAnsi="仿宋" w:eastAsia="方正仿宋简体"/>
          <w:color w:val="000000" w:themeColor="text1"/>
          <w:sz w:val="32"/>
          <w:szCs w:val="32"/>
        </w:rPr>
        <w:t>……</w:t>
      </w:r>
      <w:r>
        <w:rPr>
          <w:rFonts w:ascii="仿宋" w:hAnsi="仿宋" w:eastAsia="方正仿宋简体"/>
          <w:color w:val="000000" w:themeColor="text1"/>
          <w:sz w:val="32"/>
          <w:szCs w:val="32"/>
        </w:rPr>
        <w:br w:type="page"/>
      </w:r>
    </w:p>
    <w:p>
      <w:pPr>
        <w:pStyle w:val="2"/>
        <w:spacing w:line="240" w:lineRule="auto"/>
        <w:ind w:right="440"/>
        <w:jc w:val="right"/>
        <w:rPr>
          <w:rStyle w:val="25"/>
          <w:rFonts w:ascii="黑体" w:hAnsi="黑体" w:eastAsia="黑体"/>
          <w:b w:val="0"/>
          <w:bCs w:val="0"/>
          <w:color w:val="000000" w:themeColor="text1"/>
        </w:rPr>
      </w:pPr>
      <w:bookmarkStart w:id="20" w:name="_Toc15396602"/>
      <w:bookmarkStart w:id="21" w:name="_Toc15377204"/>
      <w:r>
        <w:rPr>
          <w:rFonts w:hint="eastAsia" w:ascii="黑体" w:hAnsi="黑体" w:eastAsia="黑体"/>
          <w:b w:val="0"/>
          <w:color w:val="000000" w:themeColor="text1"/>
        </w:rPr>
        <w:t>第二部分</w:t>
      </w:r>
      <w:r>
        <w:rPr>
          <w:rFonts w:hint="eastAsia" w:ascii="黑体" w:hAnsi="黑体" w:eastAsia="黑体"/>
          <w:color w:val="000000" w:themeColor="text1"/>
        </w:rPr>
        <w:t xml:space="preserve"> </w:t>
      </w:r>
      <w:r>
        <w:rPr>
          <w:rStyle w:val="25"/>
          <w:rFonts w:hint="eastAsia" w:ascii="黑体" w:hAnsi="黑体" w:eastAsia="黑体"/>
          <w:b w:val="0"/>
          <w:bCs w:val="0"/>
          <w:color w:val="000000" w:themeColor="text1"/>
        </w:rPr>
        <w:t>2018年度部门决算情况说明</w:t>
      </w:r>
      <w:bookmarkEnd w:id="20"/>
      <w:bookmarkEnd w:id="21"/>
    </w:p>
    <w:p>
      <w:pPr>
        <w:rPr>
          <w:color w:val="000000" w:themeColor="text1"/>
        </w:rPr>
      </w:pPr>
    </w:p>
    <w:p>
      <w:pPr>
        <w:pStyle w:val="24"/>
        <w:numPr>
          <w:ilvl w:val="0"/>
          <w:numId w:val="3"/>
        </w:numPr>
        <w:ind w:firstLineChars="0"/>
        <w:outlineLvl w:val="1"/>
        <w:rPr>
          <w:rStyle w:val="26"/>
          <w:rFonts w:ascii="黑体" w:hAnsi="黑体" w:eastAsia="黑体"/>
          <w:b w:val="0"/>
          <w:color w:val="000000" w:themeColor="text1"/>
        </w:rPr>
      </w:pPr>
      <w:bookmarkStart w:id="22" w:name="_Toc15396603"/>
      <w:bookmarkStart w:id="23" w:name="_Toc15377205"/>
      <w:r>
        <w:rPr>
          <w:rFonts w:hint="eastAsia" w:ascii="黑体" w:hAnsi="黑体" w:eastAsia="黑体"/>
          <w:color w:val="000000" w:themeColor="text1"/>
          <w:sz w:val="32"/>
          <w:szCs w:val="32"/>
        </w:rPr>
        <w:t>收</w:t>
      </w:r>
      <w:r>
        <w:rPr>
          <w:rStyle w:val="26"/>
          <w:rFonts w:hint="eastAsia" w:ascii="黑体" w:hAnsi="黑体" w:eastAsia="黑体"/>
          <w:b w:val="0"/>
          <w:color w:val="000000" w:themeColor="text1"/>
        </w:rPr>
        <w:t>入支出决算总体情况说明</w:t>
      </w:r>
      <w:bookmarkEnd w:id="22"/>
      <w:bookmarkEnd w:id="23"/>
    </w:p>
    <w:p>
      <w:pPr>
        <w:ind w:firstLine="640" w:firstLineChars="200"/>
        <w:rPr>
          <w:rFonts w:ascii="仿宋" w:hAnsi="仿宋" w:eastAsia="方正仿宋简体"/>
          <w:color w:val="000000" w:themeColor="text1"/>
          <w:sz w:val="32"/>
          <w:szCs w:val="32"/>
        </w:rPr>
      </w:pPr>
      <w:r>
        <w:rPr>
          <w:rFonts w:hint="eastAsia" w:ascii="仿宋" w:hAnsi="仿宋" w:eastAsia="方正仿宋简体"/>
          <w:color w:val="000000" w:themeColor="text1"/>
          <w:sz w:val="32"/>
          <w:szCs w:val="32"/>
        </w:rPr>
        <w:t>2018年度收、支总计517.78万元、492.51万元。与2017年相比，收、支总计各增加156.26万元、163.89万元，增长43.22</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、49.87%。主要变动原因是人员增加、项目增加。</w:t>
      </w:r>
    </w:p>
    <w:p>
      <w:pPr>
        <w:ind w:firstLine="640" w:firstLineChars="200"/>
        <w:rPr>
          <w:rFonts w:ascii="仿宋" w:hAnsi="仿宋" w:eastAsia="方正仿宋简体"/>
          <w:color w:val="000000" w:themeColor="text1"/>
          <w:sz w:val="32"/>
          <w:szCs w:val="32"/>
        </w:rPr>
      </w:pPr>
      <w:r>
        <w:rPr>
          <w:rFonts w:hint="eastAsia" w:ascii="仿宋" w:hAnsi="仿宋" w:eastAsia="方正仿宋简体"/>
          <w:color w:val="000000" w:themeColor="text1"/>
          <w:sz w:val="32"/>
          <w:szCs w:val="32"/>
        </w:rPr>
        <w:t>（图</w:t>
      </w:r>
      <w:r>
        <w:rPr>
          <w:rFonts w:ascii="仿宋" w:hAnsi="仿宋" w:eastAsia="方正仿宋简体"/>
          <w:color w:val="000000" w:themeColor="text1"/>
          <w:sz w:val="32"/>
          <w:szCs w:val="32"/>
        </w:rPr>
        <w:t>1</w:t>
      </w:r>
      <w:r>
        <w:rPr>
          <w:rFonts w:hint="eastAsia" w:ascii="仿宋" w:hAnsi="仿宋" w:eastAsia="方正仿宋简体"/>
          <w:color w:val="000000" w:themeColor="text1"/>
          <w:sz w:val="32"/>
          <w:szCs w:val="32"/>
        </w:rPr>
        <w:t>：收、支决算总计变动情况图）（柱状图）</w:t>
      </w:r>
    </w:p>
    <w:p>
      <w:pPr>
        <w:jc w:val="center"/>
        <w:rPr>
          <w:rFonts w:ascii="仿宋_GB2312" w:eastAsia="仿宋_GB2312"/>
          <w:color w:val="000000" w:themeColor="text1"/>
          <w:sz w:val="32"/>
          <w:szCs w:val="32"/>
        </w:rPr>
      </w:pPr>
      <w:r>
        <w:rPr>
          <w:rFonts w:hint="eastAsia" w:ascii="仿宋_GB2312" w:eastAsia="仿宋_GB2312"/>
          <w:color w:val="000000" w:themeColor="text1"/>
          <w:sz w:val="32"/>
          <w:szCs w:val="32"/>
        </w:rPr>
        <w:drawing>
          <wp:inline distT="0" distB="0" distL="114300" distR="114300">
            <wp:extent cx="5080000" cy="3810000"/>
            <wp:effectExtent l="19050" t="0" r="2540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640" w:firstLineChars="200"/>
        <w:jc w:val="left"/>
        <w:rPr>
          <w:rFonts w:ascii="仿宋_GB2312" w:eastAsia="仿宋_GB2312"/>
          <w:color w:val="000000" w:themeColor="text1"/>
          <w:sz w:val="32"/>
          <w:szCs w:val="32"/>
        </w:rPr>
      </w:pPr>
    </w:p>
    <w:p>
      <w:pPr>
        <w:spacing w:line="600" w:lineRule="exact"/>
        <w:ind w:firstLine="640" w:firstLineChars="200"/>
        <w:jc w:val="left"/>
        <w:rPr>
          <w:rFonts w:hint="eastAsia" w:ascii="仿宋_GB2312" w:eastAsia="仿宋_GB2312"/>
          <w:color w:val="000000" w:themeColor="text1"/>
          <w:sz w:val="32"/>
          <w:szCs w:val="32"/>
        </w:rPr>
      </w:pPr>
    </w:p>
    <w:p>
      <w:pPr>
        <w:spacing w:line="600" w:lineRule="exact"/>
        <w:ind w:firstLine="640" w:firstLineChars="200"/>
        <w:jc w:val="left"/>
        <w:rPr>
          <w:rFonts w:ascii="仿宋_GB2312" w:eastAsia="仿宋_GB2312"/>
          <w:color w:val="000000" w:themeColor="text1"/>
          <w:sz w:val="32"/>
          <w:szCs w:val="32"/>
        </w:rPr>
      </w:pPr>
    </w:p>
    <w:p>
      <w:pPr>
        <w:pStyle w:val="24"/>
        <w:numPr>
          <w:ilvl w:val="0"/>
          <w:numId w:val="3"/>
        </w:numPr>
        <w:spacing w:line="600" w:lineRule="exact"/>
        <w:ind w:firstLineChars="0"/>
        <w:outlineLvl w:val="1"/>
        <w:rPr>
          <w:rStyle w:val="26"/>
          <w:rFonts w:ascii="黑体" w:hAnsi="黑体" w:eastAsia="黑体"/>
          <w:b w:val="0"/>
          <w:color w:val="000000" w:themeColor="text1"/>
        </w:rPr>
      </w:pPr>
      <w:bookmarkStart w:id="24" w:name="_Toc15377206"/>
      <w:bookmarkStart w:id="25" w:name="_Toc15396604"/>
      <w:r>
        <w:rPr>
          <w:rFonts w:hint="eastAsia" w:ascii="黑体" w:hAnsi="黑体" w:eastAsia="黑体"/>
          <w:color w:val="000000" w:themeColor="text1"/>
          <w:sz w:val="32"/>
          <w:szCs w:val="32"/>
        </w:rPr>
        <w:t>收</w:t>
      </w:r>
      <w:r>
        <w:rPr>
          <w:rStyle w:val="26"/>
          <w:rFonts w:hint="eastAsia" w:ascii="黑体" w:hAnsi="黑体" w:eastAsia="黑体"/>
          <w:b w:val="0"/>
          <w:color w:val="000000" w:themeColor="text1"/>
        </w:rPr>
        <w:t>入决算情况说明</w:t>
      </w:r>
      <w:bookmarkEnd w:id="24"/>
      <w:bookmarkEnd w:id="25"/>
    </w:p>
    <w:p>
      <w:pPr>
        <w:spacing w:line="600" w:lineRule="exact"/>
        <w:ind w:firstLine="640" w:firstLineChars="200"/>
        <w:outlineLvl w:val="1"/>
        <w:rPr>
          <w:rFonts w:ascii="仿宋" w:hAnsi="仿宋" w:eastAsia="方正仿宋简体"/>
          <w:color w:val="000000" w:themeColor="text1"/>
          <w:sz w:val="32"/>
          <w:szCs w:val="32"/>
        </w:rPr>
      </w:pPr>
      <w:r>
        <w:rPr>
          <w:rFonts w:ascii="仿宋" w:hAnsi="仿宋" w:eastAsia="方正仿宋简体"/>
          <w:color w:val="000000" w:themeColor="text1"/>
          <w:sz w:val="32"/>
          <w:szCs w:val="32"/>
        </w:rPr>
        <w:t>201</w:t>
      </w:r>
      <w:r>
        <w:rPr>
          <w:rFonts w:hint="eastAsia" w:ascii="仿宋" w:hAnsi="仿宋" w:eastAsia="方正仿宋简体"/>
          <w:color w:val="000000" w:themeColor="text1"/>
          <w:sz w:val="32"/>
          <w:szCs w:val="32"/>
        </w:rPr>
        <w:t>8年本年收入合计517.78万元，其中：一般公共预算财政拨款收入517.78万元，占100</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；政府性基金预算财政拨款收入0万元，占0</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；国有资本经营预算财政拨款收入0万元，占0</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；事业收入0万元，占0</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；经营收入0万元，占0</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；附属单位上缴收入0万元，占0</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；其他收入0万元，</w:t>
      </w:r>
      <w:r>
        <w:rPr>
          <w:rFonts w:hint="eastAsia" w:ascii="仿宋" w:hAnsi="仿宋" w:eastAsia="方正仿宋简体"/>
          <w:color w:val="000000" w:themeColor="text1"/>
          <w:sz w:val="32"/>
          <w:szCs w:val="32"/>
        </w:rPr>
        <w:drawing>
          <wp:anchor distT="0" distB="0" distL="114300" distR="114300" simplePos="0" relativeHeight="251658240" behindDoc="0" locked="0" layoutInCell="1" allowOverlap="1">
            <wp:simplePos x="0" y="0"/>
            <wp:positionH relativeFrom="column">
              <wp:posOffset>403225</wp:posOffset>
            </wp:positionH>
            <wp:positionV relativeFrom="paragraph">
              <wp:posOffset>2290445</wp:posOffset>
            </wp:positionV>
            <wp:extent cx="5084445" cy="3804285"/>
            <wp:effectExtent l="19050" t="0" r="20955" b="571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方正仿宋简体"/>
          <w:color w:val="000000" w:themeColor="text1"/>
          <w:sz w:val="32"/>
          <w:szCs w:val="32"/>
        </w:rPr>
        <w:t>占0</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w:t>
      </w:r>
    </w:p>
    <w:p>
      <w:pPr>
        <w:spacing w:line="600" w:lineRule="exact"/>
        <w:ind w:firstLine="640" w:firstLineChars="200"/>
        <w:rPr>
          <w:rFonts w:ascii="仿宋" w:hAnsi="仿宋" w:eastAsia="方正仿宋简体"/>
          <w:color w:val="000000" w:themeColor="text1"/>
          <w:sz w:val="32"/>
          <w:szCs w:val="32"/>
        </w:rPr>
      </w:pPr>
      <w:r>
        <w:rPr>
          <w:rFonts w:hint="eastAsia" w:ascii="仿宋" w:hAnsi="仿宋" w:eastAsia="方正仿宋简体"/>
          <w:color w:val="000000" w:themeColor="text1"/>
          <w:sz w:val="32"/>
          <w:szCs w:val="32"/>
        </w:rPr>
        <w:t>（图2：收入决算结构图）（饼状图）</w:t>
      </w:r>
    </w:p>
    <w:p>
      <w:pPr>
        <w:spacing w:line="600" w:lineRule="exact"/>
        <w:ind w:firstLine="640" w:firstLineChars="200"/>
        <w:rPr>
          <w:rFonts w:ascii="仿宋_GB2312" w:eastAsia="仿宋_GB2312"/>
          <w:color w:val="000000" w:themeColor="text1"/>
          <w:sz w:val="32"/>
          <w:szCs w:val="32"/>
        </w:rPr>
      </w:pPr>
    </w:p>
    <w:p>
      <w:pPr>
        <w:spacing w:line="600" w:lineRule="exact"/>
        <w:ind w:firstLine="640" w:firstLineChars="200"/>
        <w:rPr>
          <w:rFonts w:ascii="仿宋_GB2312" w:eastAsia="仿宋_GB2312"/>
          <w:color w:val="000000" w:themeColor="text1"/>
          <w:sz w:val="32"/>
          <w:szCs w:val="32"/>
        </w:rPr>
      </w:pPr>
    </w:p>
    <w:p>
      <w:pPr>
        <w:spacing w:line="600" w:lineRule="exact"/>
        <w:ind w:firstLine="640" w:firstLineChars="200"/>
        <w:rPr>
          <w:rFonts w:hint="eastAsia" w:ascii="仿宋_GB2312" w:eastAsia="仿宋_GB2312"/>
          <w:color w:val="000000" w:themeColor="text1"/>
          <w:sz w:val="32"/>
          <w:szCs w:val="32"/>
        </w:rPr>
      </w:pPr>
    </w:p>
    <w:p>
      <w:pPr>
        <w:spacing w:line="600" w:lineRule="exact"/>
        <w:ind w:firstLine="640" w:firstLineChars="200"/>
        <w:rPr>
          <w:rFonts w:ascii="仿宋_GB2312" w:eastAsia="仿宋_GB2312"/>
          <w:color w:val="000000" w:themeColor="text1"/>
          <w:sz w:val="32"/>
          <w:szCs w:val="32"/>
        </w:rPr>
      </w:pPr>
    </w:p>
    <w:p>
      <w:pPr>
        <w:pStyle w:val="24"/>
        <w:numPr>
          <w:ilvl w:val="0"/>
          <w:numId w:val="3"/>
        </w:numPr>
        <w:spacing w:line="600" w:lineRule="exact"/>
        <w:ind w:firstLineChars="0"/>
        <w:outlineLvl w:val="1"/>
        <w:rPr>
          <w:rStyle w:val="26"/>
          <w:rFonts w:ascii="黑体" w:hAnsi="黑体" w:eastAsia="黑体"/>
          <w:b w:val="0"/>
          <w:color w:val="000000" w:themeColor="text1"/>
        </w:rPr>
      </w:pPr>
      <w:bookmarkStart w:id="26" w:name="_Toc15377207"/>
      <w:bookmarkStart w:id="27" w:name="_Toc15396605"/>
      <w:r>
        <w:rPr>
          <w:rFonts w:hint="eastAsia" w:ascii="黑体" w:hAnsi="黑体" w:eastAsia="黑体"/>
          <w:color w:val="000000" w:themeColor="text1"/>
          <w:sz w:val="32"/>
          <w:szCs w:val="32"/>
        </w:rPr>
        <w:t>支</w:t>
      </w:r>
      <w:r>
        <w:rPr>
          <w:rStyle w:val="26"/>
          <w:rFonts w:hint="eastAsia" w:ascii="黑体" w:hAnsi="黑体" w:eastAsia="黑体"/>
          <w:b w:val="0"/>
          <w:color w:val="000000" w:themeColor="text1"/>
        </w:rPr>
        <w:t>出决算情况说明</w:t>
      </w:r>
      <w:bookmarkEnd w:id="26"/>
      <w:bookmarkEnd w:id="27"/>
    </w:p>
    <w:p>
      <w:pPr>
        <w:spacing w:line="600" w:lineRule="exact"/>
        <w:ind w:firstLine="640"/>
        <w:rPr>
          <w:rFonts w:ascii="仿宋" w:hAnsi="仿宋" w:eastAsia="方正仿宋简体"/>
          <w:color w:val="000000" w:themeColor="text1"/>
          <w:sz w:val="32"/>
          <w:szCs w:val="32"/>
          <w:shd w:val="pct10" w:color="auto" w:fill="FFFFFF"/>
        </w:rPr>
      </w:pPr>
      <w:r>
        <w:rPr>
          <w:rFonts w:ascii="仿宋" w:hAnsi="仿宋" w:eastAsia="方正仿宋简体"/>
          <w:color w:val="000000" w:themeColor="text1"/>
          <w:sz w:val="32"/>
          <w:szCs w:val="32"/>
        </w:rPr>
        <w:t>201</w:t>
      </w:r>
      <w:r>
        <w:rPr>
          <w:rFonts w:hint="eastAsia" w:ascii="仿宋" w:hAnsi="仿宋" w:eastAsia="方正仿宋简体"/>
          <w:color w:val="000000" w:themeColor="text1"/>
          <w:sz w:val="32"/>
          <w:szCs w:val="32"/>
        </w:rPr>
        <w:t>8年本年支出合计492.51万元，其中：基本支出423.78万元，占86.04</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；项目支出68.738万元，占13.96</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；上缴上级支出0万元，占0</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；经营支出0万元，占0</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；对附属单位补助支出0万元，占0</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w:t>
      </w:r>
    </w:p>
    <w:p>
      <w:pPr>
        <w:spacing w:line="600" w:lineRule="exact"/>
        <w:ind w:firstLine="640" w:firstLineChars="200"/>
        <w:rPr>
          <w:rFonts w:ascii="仿宋" w:hAnsi="仿宋" w:eastAsia="方正仿宋简体"/>
          <w:color w:val="000000" w:themeColor="text1"/>
          <w:sz w:val="32"/>
          <w:szCs w:val="32"/>
        </w:rPr>
      </w:pPr>
      <w:r>
        <w:rPr>
          <w:rFonts w:hint="eastAsia" w:ascii="仿宋" w:hAnsi="仿宋" w:eastAsia="方正仿宋简体"/>
          <w:color w:val="000000" w:themeColor="text1"/>
          <w:sz w:val="32"/>
          <w:szCs w:val="32"/>
        </w:rPr>
        <w:drawing>
          <wp:anchor distT="0" distB="0" distL="114300" distR="114300" simplePos="0" relativeHeight="251659264" behindDoc="0" locked="0" layoutInCell="1" allowOverlap="1">
            <wp:simplePos x="0" y="0"/>
            <wp:positionH relativeFrom="column">
              <wp:posOffset>91440</wp:posOffset>
            </wp:positionH>
            <wp:positionV relativeFrom="paragraph">
              <wp:posOffset>501650</wp:posOffset>
            </wp:positionV>
            <wp:extent cx="4718685" cy="2743200"/>
            <wp:effectExtent l="19050" t="0" r="24765" b="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方正仿宋简体"/>
          <w:color w:val="000000" w:themeColor="text1"/>
          <w:sz w:val="32"/>
          <w:szCs w:val="32"/>
        </w:rPr>
        <w:t>（图3：支出决算结构图）（饼状图）</w:t>
      </w:r>
    </w:p>
    <w:p>
      <w:pPr>
        <w:spacing w:line="600" w:lineRule="exact"/>
        <w:ind w:firstLine="640" w:firstLineChars="200"/>
        <w:outlineLvl w:val="1"/>
        <w:rPr>
          <w:rStyle w:val="26"/>
          <w:rFonts w:ascii="黑体" w:hAnsi="黑体" w:eastAsia="黑体"/>
          <w:b w:val="0"/>
          <w:color w:val="000000" w:themeColor="text1"/>
        </w:rPr>
      </w:pPr>
      <w:bookmarkStart w:id="28" w:name="_Toc15377208"/>
      <w:bookmarkStart w:id="29" w:name="_Toc15396606"/>
      <w:r>
        <w:rPr>
          <w:rFonts w:hint="eastAsia" w:ascii="黑体" w:hAnsi="黑体" w:eastAsia="黑体"/>
          <w:color w:val="000000" w:themeColor="text1"/>
          <w:sz w:val="32"/>
          <w:szCs w:val="32"/>
        </w:rPr>
        <w:t>四、财</w:t>
      </w:r>
      <w:r>
        <w:rPr>
          <w:rStyle w:val="26"/>
          <w:rFonts w:hint="eastAsia" w:ascii="黑体" w:hAnsi="黑体" w:eastAsia="黑体"/>
          <w:b w:val="0"/>
          <w:color w:val="000000" w:themeColor="text1"/>
        </w:rPr>
        <w:t>政拨款收入支出决算总体情况说明</w:t>
      </w:r>
      <w:bookmarkEnd w:id="28"/>
      <w:bookmarkEnd w:id="29"/>
    </w:p>
    <w:p>
      <w:pPr>
        <w:spacing w:line="600" w:lineRule="exact"/>
        <w:ind w:firstLine="640" w:firstLineChars="200"/>
        <w:rPr>
          <w:rFonts w:ascii="仿宋" w:hAnsi="仿宋" w:eastAsia="方正仿宋简体"/>
          <w:color w:val="000000" w:themeColor="text1"/>
          <w:sz w:val="32"/>
          <w:szCs w:val="32"/>
        </w:rPr>
      </w:pPr>
      <w:r>
        <w:rPr>
          <w:rFonts w:ascii="仿宋" w:hAnsi="仿宋" w:eastAsia="方正仿宋简体"/>
          <w:color w:val="000000" w:themeColor="text1"/>
          <w:sz w:val="32"/>
          <w:szCs w:val="32"/>
        </w:rPr>
        <w:t>201</w:t>
      </w:r>
      <w:r>
        <w:rPr>
          <w:rFonts w:hint="eastAsia" w:ascii="仿宋" w:hAnsi="仿宋" w:eastAsia="方正仿宋简体"/>
          <w:color w:val="000000" w:themeColor="text1"/>
          <w:sz w:val="32"/>
          <w:szCs w:val="32"/>
        </w:rPr>
        <w:t>8年财政拨款收、支总计517.78万元、492.51万元。与2017年相比，收、支总计各增加156.27万元、163.89万元，增长43.22</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、49.87%。主要变动原因是人员增加、项目增加。</w:t>
      </w:r>
    </w:p>
    <w:p>
      <w:pPr>
        <w:ind w:firstLine="640" w:firstLineChars="200"/>
        <w:rPr>
          <w:rFonts w:hint="eastAsia" w:ascii="仿宋" w:hAnsi="仿宋" w:eastAsia="方正仿宋简体"/>
          <w:color w:val="000000" w:themeColor="text1"/>
          <w:sz w:val="32"/>
          <w:szCs w:val="32"/>
        </w:rPr>
      </w:pPr>
      <w:r>
        <w:rPr>
          <w:rFonts w:hint="eastAsia" w:ascii="仿宋" w:hAnsi="仿宋" w:eastAsia="方正仿宋简体"/>
          <w:color w:val="000000" w:themeColor="text1"/>
          <w:sz w:val="32"/>
          <w:szCs w:val="32"/>
        </w:rPr>
        <w:t>（图4：财政拨款收、支决算总计变动情况）（柱状图）</w:t>
      </w:r>
    </w:p>
    <w:p>
      <w:pPr>
        <w:ind w:firstLine="640" w:firstLineChars="200"/>
        <w:rPr>
          <w:rFonts w:hint="eastAsia" w:ascii="仿宋" w:hAnsi="仿宋" w:eastAsia="方正仿宋简体"/>
          <w:color w:val="000000" w:themeColor="text1"/>
          <w:sz w:val="32"/>
          <w:szCs w:val="32"/>
        </w:rPr>
      </w:pPr>
    </w:p>
    <w:p>
      <w:pPr>
        <w:ind w:firstLine="640" w:firstLineChars="200"/>
        <w:rPr>
          <w:rFonts w:hint="eastAsia" w:ascii="仿宋" w:hAnsi="仿宋" w:eastAsia="方正仿宋简体"/>
          <w:color w:val="000000" w:themeColor="text1"/>
          <w:sz w:val="32"/>
          <w:szCs w:val="32"/>
        </w:rPr>
      </w:pPr>
    </w:p>
    <w:p>
      <w:pPr>
        <w:ind w:firstLine="640" w:firstLineChars="200"/>
        <w:rPr>
          <w:rFonts w:hint="eastAsia" w:ascii="仿宋" w:hAnsi="仿宋" w:eastAsia="方正仿宋简体"/>
          <w:color w:val="000000" w:themeColor="text1"/>
          <w:sz w:val="32"/>
          <w:szCs w:val="32"/>
        </w:rPr>
      </w:pPr>
      <w:r>
        <w:rPr>
          <w:rFonts w:ascii="仿宋" w:hAnsi="仿宋" w:eastAsia="方正仿宋简体"/>
          <w:color w:val="000000" w:themeColor="text1"/>
          <w:sz w:val="32"/>
          <w:szCs w:val="32"/>
        </w:rPr>
        <w:drawing>
          <wp:inline distT="0" distB="0" distL="0" distR="0">
            <wp:extent cx="4572000" cy="2743200"/>
            <wp:effectExtent l="19050" t="0" r="19050"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rPr>
          <w:rFonts w:ascii="仿宋" w:hAnsi="仿宋" w:eastAsia="方正仿宋简体"/>
          <w:b/>
          <w:color w:val="000000" w:themeColor="text1"/>
          <w:sz w:val="32"/>
          <w:szCs w:val="32"/>
        </w:rPr>
      </w:pPr>
      <w:r>
        <w:rPr>
          <w:rFonts w:hint="eastAsia" w:ascii="仿宋" w:hAnsi="仿宋" w:eastAsia="方正仿宋简体"/>
          <w:b/>
          <w:color w:val="000000" w:themeColor="text1"/>
          <w:sz w:val="32"/>
          <w:szCs w:val="32"/>
        </w:rPr>
        <w:t>（除国有资本经营预算外，数据来源于财决</w:t>
      </w:r>
      <w:r>
        <w:rPr>
          <w:rFonts w:ascii="仿宋" w:hAnsi="仿宋" w:eastAsia="方正仿宋简体"/>
          <w:b/>
          <w:color w:val="000000" w:themeColor="text1"/>
          <w:sz w:val="32"/>
          <w:szCs w:val="32"/>
        </w:rPr>
        <w:t>Z01-1</w:t>
      </w:r>
      <w:r>
        <w:rPr>
          <w:rFonts w:hint="eastAsia" w:ascii="仿宋" w:hAnsi="仿宋" w:eastAsia="方正仿宋简体"/>
          <w:b/>
          <w:color w:val="000000" w:themeColor="text1"/>
          <w:sz w:val="32"/>
          <w:szCs w:val="32"/>
        </w:rPr>
        <w:t>表，口径为“总计”数+国有资本经营预算。）</w:t>
      </w:r>
    </w:p>
    <w:p>
      <w:pPr>
        <w:spacing w:line="600" w:lineRule="exact"/>
        <w:ind w:firstLine="640" w:firstLineChars="200"/>
        <w:outlineLvl w:val="1"/>
        <w:rPr>
          <w:rStyle w:val="26"/>
          <w:rFonts w:ascii="黑体" w:hAnsi="黑体" w:eastAsia="黑体"/>
          <w:b w:val="0"/>
          <w:color w:val="000000" w:themeColor="text1"/>
        </w:rPr>
      </w:pPr>
      <w:bookmarkStart w:id="30" w:name="_Toc15396607"/>
      <w:bookmarkStart w:id="31" w:name="_Toc15377209"/>
      <w:r>
        <w:rPr>
          <w:rFonts w:hint="eastAsia" w:ascii="黑体" w:hAnsi="黑体" w:eastAsia="黑体"/>
          <w:color w:val="000000" w:themeColor="text1"/>
          <w:sz w:val="32"/>
          <w:szCs w:val="32"/>
        </w:rPr>
        <w:t>五、</w:t>
      </w:r>
      <w:r>
        <w:rPr>
          <w:rFonts w:hint="eastAsia" w:ascii="黑体" w:hAnsi="黑体" w:eastAsia="黑体"/>
          <w:b/>
          <w:color w:val="000000" w:themeColor="text1"/>
          <w:sz w:val="32"/>
          <w:szCs w:val="32"/>
        </w:rPr>
        <w:t>一</w:t>
      </w:r>
      <w:r>
        <w:rPr>
          <w:rStyle w:val="26"/>
          <w:rFonts w:hint="eastAsia" w:ascii="黑体" w:hAnsi="黑体" w:eastAsia="黑体"/>
          <w:b w:val="0"/>
          <w:color w:val="000000" w:themeColor="text1"/>
        </w:rPr>
        <w:t>般公共预算财政拨款支出决算情况说明</w:t>
      </w:r>
      <w:bookmarkEnd w:id="30"/>
      <w:bookmarkEnd w:id="31"/>
    </w:p>
    <w:p>
      <w:pPr>
        <w:spacing w:line="600" w:lineRule="exact"/>
        <w:ind w:firstLine="642" w:firstLineChars="200"/>
        <w:outlineLvl w:val="2"/>
        <w:rPr>
          <w:rFonts w:ascii="仿宋" w:hAnsi="仿宋" w:eastAsia="方正仿宋简体"/>
          <w:b/>
          <w:color w:val="000000" w:themeColor="text1"/>
          <w:sz w:val="32"/>
          <w:szCs w:val="32"/>
        </w:rPr>
      </w:pPr>
      <w:bookmarkStart w:id="32" w:name="_Toc15377210"/>
      <w:r>
        <w:rPr>
          <w:rFonts w:hint="eastAsia" w:ascii="仿宋" w:hAnsi="仿宋" w:eastAsia="方正仿宋简体"/>
          <w:b/>
          <w:color w:val="000000" w:themeColor="text1"/>
          <w:sz w:val="32"/>
          <w:szCs w:val="32"/>
        </w:rPr>
        <w:t>（一）一般公共预算财政拨款支出决算总体情况</w:t>
      </w:r>
      <w:bookmarkEnd w:id="32"/>
    </w:p>
    <w:p>
      <w:pPr>
        <w:spacing w:line="600" w:lineRule="exact"/>
        <w:ind w:firstLine="640" w:firstLineChars="200"/>
        <w:rPr>
          <w:rFonts w:ascii="仿宋" w:hAnsi="仿宋" w:eastAsia="方正仿宋简体"/>
          <w:color w:val="000000" w:themeColor="text1"/>
          <w:sz w:val="32"/>
          <w:szCs w:val="32"/>
        </w:rPr>
      </w:pPr>
      <w:r>
        <w:rPr>
          <w:rFonts w:ascii="仿宋" w:hAnsi="仿宋" w:eastAsia="方正仿宋简体"/>
          <w:color w:val="000000" w:themeColor="text1"/>
          <w:sz w:val="32"/>
          <w:szCs w:val="32"/>
        </w:rPr>
        <w:t>201</w:t>
      </w:r>
      <w:r>
        <w:rPr>
          <w:rFonts w:hint="eastAsia" w:ascii="仿宋" w:hAnsi="仿宋" w:eastAsia="方正仿宋简体"/>
          <w:color w:val="000000" w:themeColor="text1"/>
          <w:sz w:val="32"/>
          <w:szCs w:val="32"/>
        </w:rPr>
        <w:t>8年一般公共预算财政拨款支出423.78万元，占本年支出合计的86.04</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。与</w:t>
      </w:r>
      <w:r>
        <w:rPr>
          <w:rFonts w:ascii="仿宋" w:hAnsi="仿宋" w:eastAsia="方正仿宋简体"/>
          <w:color w:val="000000" w:themeColor="text1"/>
          <w:sz w:val="32"/>
          <w:szCs w:val="32"/>
        </w:rPr>
        <w:t>201</w:t>
      </w:r>
      <w:r>
        <w:rPr>
          <w:rFonts w:hint="eastAsia" w:ascii="仿宋" w:hAnsi="仿宋" w:eastAsia="方正仿宋简体"/>
          <w:color w:val="000000" w:themeColor="text1"/>
          <w:sz w:val="32"/>
          <w:szCs w:val="32"/>
        </w:rPr>
        <w:t>7年相比，一般公共预算财政拨款增加183.58万元，增长76.42</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。主要变动原因是人员增加，工资提标。</w:t>
      </w:r>
    </w:p>
    <w:p>
      <w:pPr>
        <w:spacing w:line="600" w:lineRule="exact"/>
        <w:ind w:firstLine="640" w:firstLineChars="200"/>
        <w:rPr>
          <w:rFonts w:ascii="仿宋" w:hAnsi="仿宋" w:eastAsia="方正仿宋简体"/>
          <w:color w:val="000000" w:themeColor="text1"/>
          <w:sz w:val="32"/>
          <w:szCs w:val="32"/>
        </w:rPr>
      </w:pPr>
      <w:r>
        <w:rPr>
          <w:rFonts w:hint="eastAsia" w:ascii="仿宋" w:hAnsi="仿宋" w:eastAsia="方正仿宋简体"/>
          <w:color w:val="000000" w:themeColor="text1"/>
          <w:sz w:val="32"/>
          <w:szCs w:val="32"/>
        </w:rPr>
        <w:drawing>
          <wp:anchor distT="0" distB="0" distL="114300" distR="114300" simplePos="0" relativeHeight="251662336" behindDoc="0" locked="0" layoutInCell="1" allowOverlap="1">
            <wp:simplePos x="0" y="0"/>
            <wp:positionH relativeFrom="column">
              <wp:posOffset>114300</wp:posOffset>
            </wp:positionH>
            <wp:positionV relativeFrom="paragraph">
              <wp:posOffset>775335</wp:posOffset>
            </wp:positionV>
            <wp:extent cx="5060315" cy="3708400"/>
            <wp:effectExtent l="19050" t="0" r="26035" b="635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方正仿宋简体"/>
          <w:color w:val="000000" w:themeColor="text1"/>
          <w:sz w:val="32"/>
          <w:szCs w:val="32"/>
        </w:rPr>
        <w:t>（图5：一般公共预算财政拨款支出决算变动情况）（柱状图）</w:t>
      </w:r>
    </w:p>
    <w:p>
      <w:pPr>
        <w:spacing w:line="600" w:lineRule="exact"/>
        <w:ind w:firstLine="640" w:firstLineChars="200"/>
        <w:rPr>
          <w:rFonts w:ascii="仿宋" w:hAnsi="仿宋" w:eastAsia="方正仿宋简体"/>
          <w:color w:val="000000" w:themeColor="text1"/>
          <w:sz w:val="32"/>
          <w:szCs w:val="32"/>
        </w:rPr>
      </w:pPr>
    </w:p>
    <w:p>
      <w:pPr>
        <w:spacing w:line="600" w:lineRule="exact"/>
        <w:ind w:firstLine="642" w:firstLineChars="200"/>
        <w:outlineLvl w:val="2"/>
        <w:rPr>
          <w:rFonts w:ascii="仿宋" w:hAnsi="仿宋" w:eastAsia="方正仿宋简体"/>
          <w:b/>
          <w:color w:val="000000" w:themeColor="text1"/>
          <w:sz w:val="32"/>
          <w:szCs w:val="32"/>
        </w:rPr>
      </w:pPr>
      <w:bookmarkStart w:id="33" w:name="_Toc15377211"/>
      <w:r>
        <w:rPr>
          <w:rFonts w:hint="eastAsia" w:ascii="仿宋" w:hAnsi="仿宋" w:eastAsia="方正仿宋简体"/>
          <w:b/>
          <w:color w:val="000000" w:themeColor="text1"/>
          <w:sz w:val="32"/>
          <w:szCs w:val="32"/>
        </w:rPr>
        <w:t>（二）一般公共预算财政拨款支出决算结构情况</w:t>
      </w:r>
      <w:bookmarkEnd w:id="33"/>
    </w:p>
    <w:p>
      <w:pPr>
        <w:spacing w:line="600" w:lineRule="exact"/>
        <w:ind w:firstLine="640"/>
        <w:jc w:val="left"/>
        <w:rPr>
          <w:rFonts w:ascii="仿宋" w:hAnsi="仿宋" w:eastAsia="方正仿宋简体"/>
          <w:color w:val="000000" w:themeColor="text1"/>
          <w:sz w:val="32"/>
          <w:szCs w:val="32"/>
        </w:rPr>
      </w:pPr>
      <w:r>
        <w:rPr>
          <w:rFonts w:ascii="仿宋" w:hAnsi="仿宋" w:eastAsia="方正仿宋简体"/>
          <w:color w:val="000000" w:themeColor="text1"/>
          <w:sz w:val="32"/>
          <w:szCs w:val="32"/>
        </w:rPr>
        <w:t>201</w:t>
      </w:r>
      <w:r>
        <w:rPr>
          <w:rFonts w:hint="eastAsia" w:ascii="仿宋" w:hAnsi="仿宋" w:eastAsia="方正仿宋简体"/>
          <w:color w:val="000000" w:themeColor="text1"/>
          <w:sz w:val="32"/>
          <w:szCs w:val="32"/>
        </w:rPr>
        <w:t>8年一般公共预算财政拨款支出423.78万元，主要用于以下方面</w:t>
      </w:r>
      <w:r>
        <w:rPr>
          <w:rFonts w:ascii="仿宋" w:hAnsi="仿宋" w:eastAsia="方正仿宋简体"/>
          <w:color w:val="000000" w:themeColor="text1"/>
          <w:sz w:val="32"/>
          <w:szCs w:val="32"/>
        </w:rPr>
        <w:t>:</w:t>
      </w:r>
      <w:r>
        <w:rPr>
          <w:rFonts w:hint="eastAsia" w:ascii="仿宋" w:hAnsi="仿宋" w:eastAsia="方正仿宋简体"/>
          <w:b/>
          <w:color w:val="000000" w:themeColor="text1"/>
          <w:sz w:val="32"/>
          <w:szCs w:val="32"/>
        </w:rPr>
        <w:t>一般公共服务（类201）</w:t>
      </w:r>
      <w:r>
        <w:rPr>
          <w:rFonts w:hint="eastAsia" w:ascii="仿宋" w:hAnsi="仿宋" w:eastAsia="方正仿宋简体"/>
          <w:color w:val="000000" w:themeColor="text1"/>
          <w:sz w:val="32"/>
          <w:szCs w:val="32"/>
        </w:rPr>
        <w:t>支出387.98万元，占78.77</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w:t>
      </w:r>
      <w:r>
        <w:rPr>
          <w:rFonts w:hint="eastAsia" w:ascii="仿宋" w:hAnsi="仿宋" w:eastAsia="方正仿宋简体"/>
          <w:b/>
          <w:color w:val="000000" w:themeColor="text1"/>
          <w:sz w:val="32"/>
          <w:szCs w:val="32"/>
        </w:rPr>
        <w:t>公共安全（类204）支出</w:t>
      </w:r>
      <w:r>
        <w:rPr>
          <w:rFonts w:hint="eastAsia" w:ascii="仿宋" w:hAnsi="仿宋" w:eastAsia="方正仿宋简体"/>
          <w:color w:val="000000" w:themeColor="text1"/>
          <w:sz w:val="32"/>
          <w:szCs w:val="32"/>
        </w:rPr>
        <w:t>32.73万元，占,6.6</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w:t>
      </w:r>
      <w:r>
        <w:rPr>
          <w:rFonts w:hint="eastAsia" w:ascii="仿宋" w:hAnsi="仿宋" w:eastAsia="方正仿宋简体"/>
          <w:b/>
          <w:color w:val="000000" w:themeColor="text1"/>
          <w:sz w:val="32"/>
          <w:szCs w:val="32"/>
        </w:rPr>
        <w:t>社会保障和就业（类208）</w:t>
      </w:r>
      <w:r>
        <w:rPr>
          <w:rFonts w:hint="eastAsia" w:ascii="仿宋" w:hAnsi="仿宋" w:eastAsia="方正仿宋简体"/>
          <w:color w:val="000000" w:themeColor="text1"/>
          <w:sz w:val="32"/>
          <w:szCs w:val="32"/>
        </w:rPr>
        <w:t>支出37.67万元，占7.65</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w:t>
      </w:r>
      <w:r>
        <w:rPr>
          <w:rFonts w:hint="eastAsia" w:ascii="仿宋" w:hAnsi="仿宋" w:eastAsia="方正仿宋简体"/>
          <w:b/>
          <w:color w:val="000000" w:themeColor="text1"/>
          <w:sz w:val="32"/>
          <w:szCs w:val="32"/>
        </w:rPr>
        <w:t>医疗卫生（类210）</w:t>
      </w:r>
      <w:r>
        <w:rPr>
          <w:rFonts w:hint="eastAsia" w:ascii="仿宋" w:hAnsi="仿宋" w:eastAsia="方正仿宋简体"/>
          <w:color w:val="000000" w:themeColor="text1"/>
          <w:sz w:val="32"/>
          <w:szCs w:val="32"/>
        </w:rPr>
        <w:t>支出12.14万元，占2.46</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w:t>
      </w:r>
      <w:r>
        <w:rPr>
          <w:rFonts w:hint="eastAsia" w:ascii="仿宋" w:hAnsi="仿宋" w:eastAsia="方正仿宋简体"/>
          <w:b/>
          <w:color w:val="000000" w:themeColor="text1"/>
          <w:sz w:val="32"/>
          <w:szCs w:val="32"/>
        </w:rPr>
        <w:t>住房保障（类221）</w:t>
      </w:r>
      <w:r>
        <w:rPr>
          <w:rFonts w:hint="eastAsia" w:ascii="仿宋" w:hAnsi="仿宋" w:eastAsia="方正仿宋简体"/>
          <w:color w:val="000000" w:themeColor="text1"/>
          <w:sz w:val="32"/>
          <w:szCs w:val="32"/>
        </w:rPr>
        <w:t>支出20.97万元，占4.25</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w:t>
      </w:r>
      <w:r>
        <w:rPr>
          <w:rFonts w:hint="eastAsia" w:ascii="仿宋" w:hAnsi="仿宋" w:eastAsia="方正仿宋简体"/>
          <w:b/>
          <w:color w:val="000000" w:themeColor="text1"/>
          <w:sz w:val="32"/>
          <w:szCs w:val="32"/>
        </w:rPr>
        <w:t>农林水</w:t>
      </w:r>
      <w:r>
        <w:rPr>
          <w:rFonts w:hint="eastAsia" w:ascii="仿宋" w:hAnsi="仿宋" w:eastAsia="方正仿宋简体"/>
          <w:color w:val="000000" w:themeColor="text1"/>
          <w:sz w:val="32"/>
          <w:szCs w:val="32"/>
        </w:rPr>
        <w:t>（类213）支出1万元，占0.2%。</w:t>
      </w:r>
    </w:p>
    <w:p>
      <w:pPr>
        <w:spacing w:line="600" w:lineRule="exact"/>
        <w:ind w:firstLine="640" w:firstLineChars="200"/>
        <w:rPr>
          <w:rFonts w:ascii="仿宋" w:hAnsi="仿宋" w:eastAsia="方正仿宋简体"/>
          <w:color w:val="000000" w:themeColor="text1"/>
          <w:sz w:val="32"/>
          <w:szCs w:val="32"/>
        </w:rPr>
      </w:pPr>
      <w:r>
        <w:rPr>
          <w:rFonts w:hint="eastAsia" w:ascii="仿宋" w:hAnsi="仿宋" w:eastAsia="方正仿宋简体"/>
          <w:color w:val="000000" w:themeColor="text1"/>
          <w:sz w:val="32"/>
          <w:szCs w:val="32"/>
        </w:rPr>
        <w:drawing>
          <wp:anchor distT="0" distB="0" distL="114300" distR="114300" simplePos="0" relativeHeight="251664384" behindDoc="0" locked="0" layoutInCell="1" allowOverlap="1">
            <wp:simplePos x="0" y="0"/>
            <wp:positionH relativeFrom="column">
              <wp:posOffset>471805</wp:posOffset>
            </wp:positionH>
            <wp:positionV relativeFrom="paragraph">
              <wp:posOffset>606425</wp:posOffset>
            </wp:positionV>
            <wp:extent cx="4311650" cy="2676525"/>
            <wp:effectExtent l="19050" t="0" r="12700" b="0"/>
            <wp:wrapTopAndBottom/>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方正仿宋简体"/>
          <w:color w:val="000000" w:themeColor="text1"/>
          <w:sz w:val="32"/>
          <w:szCs w:val="32"/>
        </w:rPr>
        <w:t>（图6：一般公共预算财政拨款支出决算结构）（饼状图）</w:t>
      </w:r>
    </w:p>
    <w:p>
      <w:pPr>
        <w:spacing w:line="600" w:lineRule="exact"/>
        <w:ind w:firstLine="640" w:firstLineChars="200"/>
        <w:rPr>
          <w:rFonts w:ascii="仿宋" w:hAnsi="仿宋" w:eastAsia="方正仿宋简体"/>
          <w:color w:val="000000" w:themeColor="text1"/>
          <w:sz w:val="32"/>
          <w:szCs w:val="32"/>
        </w:rPr>
      </w:pPr>
    </w:p>
    <w:p>
      <w:pPr>
        <w:spacing w:line="600" w:lineRule="exact"/>
        <w:ind w:firstLine="642" w:firstLineChars="200"/>
        <w:outlineLvl w:val="2"/>
        <w:rPr>
          <w:rFonts w:ascii="仿宋" w:hAnsi="仿宋" w:eastAsia="方正仿宋简体"/>
          <w:b/>
          <w:color w:val="000000" w:themeColor="text1"/>
          <w:sz w:val="32"/>
          <w:szCs w:val="32"/>
        </w:rPr>
      </w:pPr>
      <w:bookmarkStart w:id="34" w:name="_Toc15377212"/>
      <w:r>
        <w:rPr>
          <w:rFonts w:hint="eastAsia" w:ascii="仿宋" w:hAnsi="仿宋" w:eastAsia="方正仿宋简体"/>
          <w:b/>
          <w:color w:val="000000" w:themeColor="text1"/>
          <w:sz w:val="32"/>
          <w:szCs w:val="32"/>
        </w:rPr>
        <w:t>（三）一般公共预算财政拨款支出决算具体情况</w:t>
      </w:r>
      <w:bookmarkEnd w:id="34"/>
    </w:p>
    <w:p>
      <w:pPr>
        <w:spacing w:line="600" w:lineRule="exact"/>
        <w:ind w:firstLine="610" w:firstLineChars="200"/>
        <w:outlineLvl w:val="2"/>
        <w:rPr>
          <w:rFonts w:ascii="仿宋" w:hAnsi="仿宋" w:eastAsia="方正仿宋简体"/>
          <w:color w:val="000000" w:themeColor="text1"/>
          <w:spacing w:val="-8"/>
          <w:sz w:val="32"/>
          <w:szCs w:val="32"/>
        </w:rPr>
      </w:pPr>
      <w:bookmarkStart w:id="35" w:name="_Toc15378460"/>
      <w:bookmarkStart w:id="36" w:name="_Toc15377444"/>
      <w:bookmarkStart w:id="37" w:name="_Toc15377213"/>
      <w:r>
        <w:rPr>
          <w:rFonts w:hint="eastAsia" w:ascii="仿宋" w:hAnsi="仿宋" w:eastAsia="方正仿宋简体"/>
          <w:b/>
          <w:color w:val="000000" w:themeColor="text1"/>
          <w:spacing w:val="-8"/>
          <w:sz w:val="32"/>
          <w:szCs w:val="32"/>
        </w:rPr>
        <w:t>2018年般公共预算支出决算数为492.51</w:t>
      </w:r>
      <w:r>
        <w:rPr>
          <w:rFonts w:hint="eastAsia" w:ascii="仿宋" w:hAnsi="仿宋" w:eastAsia="方正仿宋简体"/>
          <w:color w:val="000000" w:themeColor="text1"/>
          <w:spacing w:val="-8"/>
          <w:sz w:val="32"/>
          <w:szCs w:val="32"/>
        </w:rPr>
        <w:t>，</w:t>
      </w:r>
      <w:r>
        <w:rPr>
          <w:rStyle w:val="15"/>
          <w:rFonts w:hint="eastAsia" w:ascii="仿宋" w:hAnsi="仿宋" w:eastAsia="方正仿宋简体"/>
          <w:bCs/>
          <w:color w:val="000000" w:themeColor="text1"/>
          <w:spacing w:val="-8"/>
          <w:sz w:val="32"/>
          <w:szCs w:val="32"/>
        </w:rPr>
        <w:t>完成预算100</w:t>
      </w:r>
      <w:r>
        <w:rPr>
          <w:rStyle w:val="15"/>
          <w:rFonts w:ascii="仿宋" w:hAnsi="仿宋" w:eastAsia="方正仿宋简体"/>
          <w:bCs/>
          <w:color w:val="000000" w:themeColor="text1"/>
          <w:spacing w:val="-8"/>
          <w:sz w:val="32"/>
          <w:szCs w:val="32"/>
        </w:rPr>
        <w:t>%</w:t>
      </w:r>
      <w:r>
        <w:rPr>
          <w:rStyle w:val="15"/>
          <w:rFonts w:hint="eastAsia" w:ascii="仿宋" w:hAnsi="仿宋" w:eastAsia="方正仿宋简体"/>
          <w:bCs/>
          <w:color w:val="000000" w:themeColor="text1"/>
          <w:spacing w:val="-8"/>
          <w:sz w:val="32"/>
          <w:szCs w:val="32"/>
        </w:rPr>
        <w:t>。其中：</w:t>
      </w:r>
      <w:bookmarkEnd w:id="35"/>
      <w:bookmarkEnd w:id="36"/>
      <w:bookmarkEnd w:id="37"/>
    </w:p>
    <w:p>
      <w:pPr>
        <w:spacing w:line="600" w:lineRule="exact"/>
        <w:ind w:firstLine="642" w:firstLineChars="200"/>
        <w:rPr>
          <w:rFonts w:ascii="仿宋" w:hAnsi="仿宋" w:eastAsia="方正仿宋简体"/>
          <w:b/>
          <w:color w:val="000000" w:themeColor="text1"/>
          <w:sz w:val="32"/>
          <w:szCs w:val="32"/>
        </w:rPr>
      </w:pPr>
      <w:r>
        <w:rPr>
          <w:rStyle w:val="15"/>
          <w:rFonts w:ascii="仿宋" w:hAnsi="仿宋" w:eastAsia="方正仿宋简体"/>
          <w:bCs/>
          <w:color w:val="000000" w:themeColor="text1"/>
          <w:sz w:val="32"/>
          <w:szCs w:val="32"/>
        </w:rPr>
        <w:t>1.</w:t>
      </w:r>
      <w:r>
        <w:rPr>
          <w:rStyle w:val="15"/>
          <w:rFonts w:hint="eastAsia" w:ascii="仿宋" w:hAnsi="仿宋" w:eastAsia="方正仿宋简体"/>
          <w:bCs/>
          <w:color w:val="000000" w:themeColor="text1"/>
          <w:sz w:val="32"/>
          <w:szCs w:val="32"/>
        </w:rPr>
        <w:t>一般公共服务（类）201（款）3101（项）</w:t>
      </w:r>
      <w:r>
        <w:rPr>
          <w:rStyle w:val="15"/>
          <w:rFonts w:ascii="仿宋" w:hAnsi="仿宋" w:eastAsia="方正仿宋简体"/>
          <w:bCs/>
          <w:color w:val="000000" w:themeColor="text1"/>
          <w:sz w:val="32"/>
          <w:szCs w:val="32"/>
        </w:rPr>
        <w:t>:</w:t>
      </w:r>
      <w:r>
        <w:rPr>
          <w:rStyle w:val="15"/>
          <w:rFonts w:ascii="仿宋" w:hAnsi="仿宋" w:eastAsia="方正仿宋简体"/>
          <w:b w:val="0"/>
          <w:bCs/>
          <w:color w:val="000000" w:themeColor="text1"/>
          <w:sz w:val="32"/>
          <w:szCs w:val="32"/>
        </w:rPr>
        <w:t xml:space="preserve"> </w:t>
      </w:r>
      <w:r>
        <w:rPr>
          <w:rStyle w:val="15"/>
          <w:rFonts w:hint="eastAsia" w:ascii="仿宋" w:hAnsi="仿宋" w:eastAsia="方正仿宋简体"/>
          <w:b w:val="0"/>
          <w:bCs/>
          <w:color w:val="000000" w:themeColor="text1"/>
          <w:sz w:val="32"/>
          <w:szCs w:val="32"/>
        </w:rPr>
        <w:t>支出决算为352.98万元，完成预算100</w:t>
      </w:r>
      <w:r>
        <w:rPr>
          <w:rStyle w:val="15"/>
          <w:rFonts w:ascii="仿宋" w:hAnsi="仿宋" w:eastAsia="方正仿宋简体"/>
          <w:b w:val="0"/>
          <w:bCs/>
          <w:color w:val="000000" w:themeColor="text1"/>
          <w:sz w:val="32"/>
          <w:szCs w:val="32"/>
        </w:rPr>
        <w:t>%</w:t>
      </w:r>
      <w:r>
        <w:rPr>
          <w:rStyle w:val="15"/>
          <w:rFonts w:hint="eastAsia" w:ascii="仿宋" w:hAnsi="仿宋" w:eastAsia="方正仿宋简体"/>
          <w:b w:val="0"/>
          <w:bCs/>
          <w:color w:val="000000" w:themeColor="text1"/>
          <w:sz w:val="32"/>
          <w:szCs w:val="32"/>
        </w:rPr>
        <w:t>，决算数等于预算数的主要原因是合理计划。</w:t>
      </w:r>
    </w:p>
    <w:p>
      <w:pPr>
        <w:spacing w:line="600" w:lineRule="exact"/>
        <w:ind w:firstLine="642" w:firstLineChars="200"/>
        <w:rPr>
          <w:rFonts w:ascii="仿宋" w:hAnsi="仿宋" w:eastAsia="方正仿宋简体"/>
          <w:b/>
          <w:color w:val="000000" w:themeColor="text1"/>
          <w:sz w:val="32"/>
          <w:szCs w:val="32"/>
        </w:rPr>
      </w:pPr>
      <w:r>
        <w:rPr>
          <w:rStyle w:val="15"/>
          <w:rFonts w:ascii="仿宋" w:hAnsi="仿宋" w:eastAsia="方正仿宋简体"/>
          <w:bCs/>
          <w:color w:val="000000" w:themeColor="text1"/>
          <w:sz w:val="32"/>
          <w:szCs w:val="32"/>
        </w:rPr>
        <w:t>2.</w:t>
      </w:r>
      <w:r>
        <w:rPr>
          <w:rStyle w:val="15"/>
          <w:rFonts w:hint="eastAsia" w:ascii="仿宋" w:hAnsi="仿宋" w:eastAsia="方正仿宋简体"/>
          <w:bCs/>
          <w:color w:val="000000" w:themeColor="text1"/>
          <w:sz w:val="32"/>
          <w:szCs w:val="32"/>
        </w:rPr>
        <w:t xml:space="preserve"> 一般公共服务（类）201（款）3102（项）</w:t>
      </w:r>
      <w:r>
        <w:rPr>
          <w:rStyle w:val="15"/>
          <w:rFonts w:ascii="仿宋" w:hAnsi="仿宋" w:eastAsia="方正仿宋简体"/>
          <w:bCs/>
          <w:color w:val="000000" w:themeColor="text1"/>
          <w:sz w:val="32"/>
          <w:szCs w:val="32"/>
        </w:rPr>
        <w:t>:</w:t>
      </w:r>
      <w:r>
        <w:rPr>
          <w:rStyle w:val="15"/>
          <w:rFonts w:ascii="仿宋" w:hAnsi="仿宋" w:eastAsia="方正仿宋简体"/>
          <w:b w:val="0"/>
          <w:bCs/>
          <w:color w:val="000000" w:themeColor="text1"/>
          <w:sz w:val="32"/>
          <w:szCs w:val="32"/>
        </w:rPr>
        <w:t xml:space="preserve"> </w:t>
      </w:r>
      <w:r>
        <w:rPr>
          <w:rStyle w:val="15"/>
          <w:rFonts w:hint="eastAsia" w:ascii="仿宋" w:hAnsi="仿宋" w:eastAsia="方正仿宋简体"/>
          <w:b w:val="0"/>
          <w:bCs/>
          <w:color w:val="000000" w:themeColor="text1"/>
          <w:sz w:val="32"/>
          <w:szCs w:val="32"/>
        </w:rPr>
        <w:t>支出决算为35万元，完成预算100</w:t>
      </w:r>
      <w:r>
        <w:rPr>
          <w:rStyle w:val="15"/>
          <w:rFonts w:ascii="仿宋" w:hAnsi="仿宋" w:eastAsia="方正仿宋简体"/>
          <w:b w:val="0"/>
          <w:bCs/>
          <w:color w:val="000000" w:themeColor="text1"/>
          <w:sz w:val="32"/>
          <w:szCs w:val="32"/>
        </w:rPr>
        <w:t>%</w:t>
      </w:r>
      <w:r>
        <w:rPr>
          <w:rStyle w:val="15"/>
          <w:rFonts w:hint="eastAsia" w:ascii="仿宋" w:hAnsi="仿宋" w:eastAsia="方正仿宋简体"/>
          <w:b w:val="0"/>
          <w:bCs/>
          <w:color w:val="000000" w:themeColor="text1"/>
          <w:sz w:val="32"/>
          <w:szCs w:val="32"/>
        </w:rPr>
        <w:t>，决算数等于预算数的主要原因是计划合理。</w:t>
      </w:r>
    </w:p>
    <w:p>
      <w:pPr>
        <w:spacing w:line="600" w:lineRule="exact"/>
        <w:ind w:firstLine="642" w:firstLineChars="200"/>
        <w:rPr>
          <w:rFonts w:ascii="仿宋" w:hAnsi="仿宋" w:eastAsia="方正仿宋简体"/>
          <w:b/>
          <w:color w:val="000000" w:themeColor="text1"/>
          <w:spacing w:val="-8"/>
          <w:sz w:val="32"/>
          <w:szCs w:val="32"/>
        </w:rPr>
      </w:pPr>
      <w:r>
        <w:rPr>
          <w:rStyle w:val="15"/>
          <w:rFonts w:ascii="仿宋" w:hAnsi="仿宋" w:eastAsia="方正仿宋简体"/>
          <w:bCs/>
          <w:color w:val="000000" w:themeColor="text1"/>
          <w:sz w:val="32"/>
          <w:szCs w:val="32"/>
        </w:rPr>
        <w:t>3.</w:t>
      </w:r>
      <w:r>
        <w:rPr>
          <w:rStyle w:val="15"/>
          <w:rFonts w:hint="eastAsia" w:ascii="仿宋" w:hAnsi="仿宋" w:eastAsia="方正仿宋简体"/>
          <w:bCs/>
          <w:color w:val="000000" w:themeColor="text1"/>
          <w:spacing w:val="-8"/>
          <w:sz w:val="32"/>
          <w:szCs w:val="32"/>
        </w:rPr>
        <w:t>公共安全（类）204（款）0202（项）</w:t>
      </w:r>
      <w:r>
        <w:rPr>
          <w:rStyle w:val="15"/>
          <w:rFonts w:ascii="仿宋" w:hAnsi="仿宋" w:eastAsia="方正仿宋简体"/>
          <w:bCs/>
          <w:color w:val="000000" w:themeColor="text1"/>
          <w:spacing w:val="-8"/>
          <w:sz w:val="32"/>
          <w:szCs w:val="32"/>
        </w:rPr>
        <w:t>:</w:t>
      </w:r>
      <w:r>
        <w:rPr>
          <w:rStyle w:val="15"/>
          <w:rFonts w:ascii="仿宋" w:hAnsi="仿宋" w:eastAsia="方正仿宋简体"/>
          <w:b w:val="0"/>
          <w:bCs/>
          <w:color w:val="000000" w:themeColor="text1"/>
          <w:spacing w:val="-8"/>
          <w:sz w:val="32"/>
          <w:szCs w:val="32"/>
        </w:rPr>
        <w:t xml:space="preserve"> </w:t>
      </w:r>
      <w:r>
        <w:rPr>
          <w:rStyle w:val="15"/>
          <w:rFonts w:hint="eastAsia" w:ascii="仿宋" w:hAnsi="仿宋" w:eastAsia="方正仿宋简体"/>
          <w:b w:val="0"/>
          <w:bCs/>
          <w:color w:val="000000" w:themeColor="text1"/>
          <w:spacing w:val="-8"/>
          <w:sz w:val="32"/>
          <w:szCs w:val="32"/>
        </w:rPr>
        <w:t>支出决算为32.73万元，完成预算100</w:t>
      </w:r>
      <w:r>
        <w:rPr>
          <w:rStyle w:val="15"/>
          <w:rFonts w:ascii="仿宋" w:hAnsi="仿宋" w:eastAsia="方正仿宋简体"/>
          <w:b w:val="0"/>
          <w:bCs/>
          <w:color w:val="000000" w:themeColor="text1"/>
          <w:spacing w:val="-8"/>
          <w:sz w:val="32"/>
          <w:szCs w:val="32"/>
        </w:rPr>
        <w:t>%</w:t>
      </w:r>
      <w:r>
        <w:rPr>
          <w:rStyle w:val="15"/>
          <w:rFonts w:hint="eastAsia" w:ascii="仿宋" w:hAnsi="仿宋" w:eastAsia="方正仿宋简体"/>
          <w:b w:val="0"/>
          <w:bCs/>
          <w:color w:val="000000" w:themeColor="text1"/>
          <w:spacing w:val="-8"/>
          <w:sz w:val="32"/>
          <w:szCs w:val="32"/>
        </w:rPr>
        <w:t>，决算数等于预算数的主要原因是计划合理。</w:t>
      </w:r>
    </w:p>
    <w:p>
      <w:pPr>
        <w:spacing w:line="600" w:lineRule="exact"/>
        <w:ind w:firstLine="642" w:firstLineChars="200"/>
        <w:rPr>
          <w:rFonts w:ascii="仿宋" w:hAnsi="仿宋" w:eastAsia="方正仿宋简体"/>
          <w:b/>
          <w:color w:val="000000" w:themeColor="text1"/>
          <w:sz w:val="32"/>
          <w:szCs w:val="32"/>
        </w:rPr>
      </w:pPr>
      <w:r>
        <w:rPr>
          <w:rStyle w:val="15"/>
          <w:rFonts w:ascii="仿宋" w:hAnsi="仿宋" w:eastAsia="方正仿宋简体"/>
          <w:bCs/>
          <w:color w:val="000000" w:themeColor="text1"/>
          <w:sz w:val="32"/>
          <w:szCs w:val="32"/>
        </w:rPr>
        <w:t>4.</w:t>
      </w:r>
      <w:r>
        <w:rPr>
          <w:rStyle w:val="15"/>
          <w:rFonts w:hint="eastAsia" w:ascii="仿宋" w:hAnsi="仿宋" w:eastAsia="方正仿宋简体"/>
          <w:bCs/>
          <w:color w:val="000000" w:themeColor="text1"/>
          <w:sz w:val="32"/>
          <w:szCs w:val="32"/>
        </w:rPr>
        <w:t>农林水（类）213（款）0599（项）</w:t>
      </w:r>
      <w:r>
        <w:rPr>
          <w:rStyle w:val="15"/>
          <w:rFonts w:ascii="仿宋" w:hAnsi="仿宋" w:eastAsia="方正仿宋简体"/>
          <w:bCs/>
          <w:color w:val="000000" w:themeColor="text1"/>
          <w:sz w:val="32"/>
          <w:szCs w:val="32"/>
        </w:rPr>
        <w:t>:</w:t>
      </w:r>
      <w:r>
        <w:rPr>
          <w:rStyle w:val="15"/>
          <w:rFonts w:ascii="仿宋" w:hAnsi="仿宋" w:eastAsia="方正仿宋简体"/>
          <w:b w:val="0"/>
          <w:bCs/>
          <w:color w:val="000000" w:themeColor="text1"/>
          <w:sz w:val="32"/>
          <w:szCs w:val="32"/>
        </w:rPr>
        <w:t xml:space="preserve"> </w:t>
      </w:r>
      <w:r>
        <w:rPr>
          <w:rStyle w:val="15"/>
          <w:rFonts w:hint="eastAsia" w:ascii="仿宋" w:hAnsi="仿宋" w:eastAsia="方正仿宋简体"/>
          <w:b w:val="0"/>
          <w:bCs/>
          <w:color w:val="000000" w:themeColor="text1"/>
          <w:sz w:val="32"/>
          <w:szCs w:val="32"/>
        </w:rPr>
        <w:t>支出决算为1万元，完成预算100</w:t>
      </w:r>
      <w:r>
        <w:rPr>
          <w:rStyle w:val="15"/>
          <w:rFonts w:ascii="仿宋" w:hAnsi="仿宋" w:eastAsia="方正仿宋简体"/>
          <w:b w:val="0"/>
          <w:bCs/>
          <w:color w:val="000000" w:themeColor="text1"/>
          <w:sz w:val="32"/>
          <w:szCs w:val="32"/>
        </w:rPr>
        <w:t>%</w:t>
      </w:r>
      <w:r>
        <w:rPr>
          <w:rStyle w:val="15"/>
          <w:rFonts w:hint="eastAsia" w:ascii="仿宋" w:hAnsi="仿宋" w:eastAsia="方正仿宋简体"/>
          <w:b w:val="0"/>
          <w:bCs/>
          <w:color w:val="000000" w:themeColor="text1"/>
          <w:sz w:val="32"/>
          <w:szCs w:val="32"/>
        </w:rPr>
        <w:t>，决算数等于预算数的主要原因是合理计划。</w:t>
      </w:r>
    </w:p>
    <w:p>
      <w:pPr>
        <w:overflowPunct w:val="0"/>
        <w:spacing w:line="600" w:lineRule="exact"/>
        <w:ind w:firstLine="642" w:firstLineChars="200"/>
        <w:rPr>
          <w:rStyle w:val="15"/>
          <w:rFonts w:ascii="仿宋" w:hAnsi="仿宋" w:eastAsia="方正仿宋简体"/>
          <w:b w:val="0"/>
          <w:bCs/>
          <w:color w:val="000000" w:themeColor="text1"/>
          <w:sz w:val="32"/>
          <w:szCs w:val="32"/>
        </w:rPr>
      </w:pPr>
      <w:r>
        <w:rPr>
          <w:rStyle w:val="15"/>
          <w:rFonts w:ascii="仿宋" w:hAnsi="仿宋" w:eastAsia="方正仿宋简体"/>
          <w:bCs/>
          <w:color w:val="000000" w:themeColor="text1"/>
          <w:sz w:val="32"/>
          <w:szCs w:val="32"/>
        </w:rPr>
        <w:t>5.</w:t>
      </w:r>
      <w:r>
        <w:rPr>
          <w:rStyle w:val="15"/>
          <w:rFonts w:hint="eastAsia" w:ascii="仿宋" w:hAnsi="仿宋" w:eastAsia="方正仿宋简体"/>
          <w:bCs/>
          <w:color w:val="000000" w:themeColor="text1"/>
          <w:sz w:val="32"/>
          <w:szCs w:val="32"/>
        </w:rPr>
        <w:t>社会保障和就业（类）208（款）0505（项）</w:t>
      </w:r>
      <w:r>
        <w:rPr>
          <w:rStyle w:val="15"/>
          <w:rFonts w:ascii="仿宋" w:hAnsi="仿宋" w:eastAsia="方正仿宋简体"/>
          <w:bCs/>
          <w:color w:val="000000" w:themeColor="text1"/>
          <w:sz w:val="32"/>
          <w:szCs w:val="32"/>
        </w:rPr>
        <w:t>:</w:t>
      </w:r>
      <w:r>
        <w:rPr>
          <w:rStyle w:val="15"/>
          <w:rFonts w:ascii="仿宋" w:hAnsi="仿宋" w:eastAsia="方正仿宋简体"/>
          <w:b w:val="0"/>
          <w:bCs/>
          <w:color w:val="000000" w:themeColor="text1"/>
          <w:sz w:val="32"/>
          <w:szCs w:val="32"/>
        </w:rPr>
        <w:t xml:space="preserve"> </w:t>
      </w:r>
      <w:r>
        <w:rPr>
          <w:rStyle w:val="15"/>
          <w:rFonts w:hint="eastAsia" w:ascii="仿宋" w:hAnsi="仿宋" w:eastAsia="方正仿宋简体"/>
          <w:b w:val="0"/>
          <w:bCs/>
          <w:color w:val="000000" w:themeColor="text1"/>
          <w:sz w:val="32"/>
          <w:szCs w:val="32"/>
        </w:rPr>
        <w:t>支出决算为35.85万元，完成预算100</w:t>
      </w:r>
      <w:r>
        <w:rPr>
          <w:rStyle w:val="15"/>
          <w:rFonts w:ascii="仿宋" w:hAnsi="仿宋" w:eastAsia="方正仿宋简体"/>
          <w:b w:val="0"/>
          <w:bCs/>
          <w:color w:val="000000" w:themeColor="text1"/>
          <w:sz w:val="32"/>
          <w:szCs w:val="32"/>
        </w:rPr>
        <w:t>%</w:t>
      </w:r>
      <w:r>
        <w:rPr>
          <w:rStyle w:val="15"/>
          <w:rFonts w:hint="eastAsia" w:ascii="仿宋" w:hAnsi="仿宋" w:eastAsia="方正仿宋简体"/>
          <w:b w:val="0"/>
          <w:bCs/>
          <w:color w:val="000000" w:themeColor="text1"/>
          <w:sz w:val="32"/>
          <w:szCs w:val="32"/>
        </w:rPr>
        <w:t>，决算数等于预算数的主要原因是计划合理。</w:t>
      </w:r>
    </w:p>
    <w:p>
      <w:pPr>
        <w:spacing w:line="600" w:lineRule="exact"/>
        <w:ind w:firstLine="642" w:firstLineChars="200"/>
        <w:rPr>
          <w:rFonts w:ascii="仿宋" w:hAnsi="仿宋" w:eastAsia="方正仿宋简体"/>
          <w:bCs/>
          <w:color w:val="000000" w:themeColor="text1"/>
          <w:sz w:val="32"/>
          <w:szCs w:val="32"/>
        </w:rPr>
      </w:pPr>
      <w:r>
        <w:rPr>
          <w:rStyle w:val="15"/>
          <w:rFonts w:hint="eastAsia" w:ascii="仿宋" w:hAnsi="仿宋" w:eastAsia="方正仿宋简体"/>
          <w:bCs/>
          <w:color w:val="000000" w:themeColor="text1"/>
          <w:sz w:val="32"/>
          <w:szCs w:val="32"/>
        </w:rPr>
        <w:t>6.社会保障和就业（类）208（款）0506（项）</w:t>
      </w:r>
      <w:r>
        <w:rPr>
          <w:rStyle w:val="15"/>
          <w:rFonts w:hint="eastAsia" w:ascii="仿宋" w:hAnsi="仿宋" w:eastAsia="方正仿宋简体"/>
          <w:b w:val="0"/>
          <w:bCs/>
          <w:color w:val="000000" w:themeColor="text1"/>
          <w:sz w:val="32"/>
          <w:szCs w:val="32"/>
        </w:rPr>
        <w:t>支出决算为1.82万元，完成预算100</w:t>
      </w:r>
      <w:r>
        <w:rPr>
          <w:rStyle w:val="15"/>
          <w:rFonts w:ascii="仿宋" w:hAnsi="仿宋" w:eastAsia="方正仿宋简体"/>
          <w:b w:val="0"/>
          <w:bCs/>
          <w:color w:val="000000" w:themeColor="text1"/>
          <w:sz w:val="32"/>
          <w:szCs w:val="32"/>
        </w:rPr>
        <w:t>%</w:t>
      </w:r>
      <w:r>
        <w:rPr>
          <w:rStyle w:val="15"/>
          <w:rFonts w:hint="eastAsia" w:ascii="仿宋" w:hAnsi="仿宋" w:eastAsia="方正仿宋简体"/>
          <w:b w:val="0"/>
          <w:bCs/>
          <w:color w:val="000000" w:themeColor="text1"/>
          <w:sz w:val="32"/>
          <w:szCs w:val="32"/>
        </w:rPr>
        <w:t>，决算数等于预算数的主要原因是计划合理。</w:t>
      </w:r>
    </w:p>
    <w:p>
      <w:pPr>
        <w:spacing w:line="600" w:lineRule="exact"/>
        <w:ind w:firstLine="642" w:firstLineChars="200"/>
        <w:rPr>
          <w:rStyle w:val="15"/>
          <w:rFonts w:ascii="仿宋" w:hAnsi="仿宋" w:eastAsia="方正仿宋简体"/>
          <w:b w:val="0"/>
          <w:bCs/>
          <w:color w:val="000000" w:themeColor="text1"/>
          <w:sz w:val="32"/>
          <w:szCs w:val="32"/>
        </w:rPr>
      </w:pPr>
      <w:r>
        <w:rPr>
          <w:rStyle w:val="15"/>
          <w:rFonts w:hint="eastAsia" w:ascii="仿宋" w:hAnsi="仿宋" w:eastAsia="方正仿宋简体"/>
          <w:bCs/>
          <w:color w:val="000000" w:themeColor="text1"/>
          <w:sz w:val="32"/>
          <w:szCs w:val="32"/>
        </w:rPr>
        <w:t>7</w:t>
      </w:r>
      <w:r>
        <w:rPr>
          <w:rStyle w:val="15"/>
          <w:rFonts w:ascii="仿宋" w:hAnsi="仿宋" w:eastAsia="方正仿宋简体"/>
          <w:bCs/>
          <w:color w:val="000000" w:themeColor="text1"/>
          <w:sz w:val="32"/>
          <w:szCs w:val="32"/>
        </w:rPr>
        <w:t>.</w:t>
      </w:r>
      <w:r>
        <w:rPr>
          <w:rStyle w:val="15"/>
          <w:rFonts w:hint="eastAsia" w:ascii="仿宋" w:hAnsi="仿宋" w:eastAsia="方正仿宋简体"/>
          <w:bCs/>
          <w:color w:val="000000" w:themeColor="text1"/>
          <w:sz w:val="32"/>
          <w:szCs w:val="32"/>
        </w:rPr>
        <w:t>医疗卫生与计划生育（类）210（款）1101（项）</w:t>
      </w:r>
      <w:r>
        <w:rPr>
          <w:rStyle w:val="15"/>
          <w:rFonts w:ascii="仿宋" w:hAnsi="仿宋" w:eastAsia="方正仿宋简体"/>
          <w:bCs/>
          <w:color w:val="000000" w:themeColor="text1"/>
          <w:sz w:val="32"/>
          <w:szCs w:val="32"/>
        </w:rPr>
        <w:t>:</w:t>
      </w:r>
      <w:r>
        <w:rPr>
          <w:rStyle w:val="15"/>
          <w:rFonts w:hint="eastAsia" w:ascii="仿宋" w:hAnsi="仿宋" w:eastAsia="方正仿宋简体"/>
          <w:b w:val="0"/>
          <w:bCs/>
          <w:color w:val="000000" w:themeColor="text1"/>
          <w:sz w:val="32"/>
          <w:szCs w:val="32"/>
        </w:rPr>
        <w:t>支出决算为12.14万元，完成预算100</w:t>
      </w:r>
      <w:r>
        <w:rPr>
          <w:rStyle w:val="15"/>
          <w:rFonts w:ascii="仿宋" w:hAnsi="仿宋" w:eastAsia="方正仿宋简体"/>
          <w:b w:val="0"/>
          <w:bCs/>
          <w:color w:val="000000" w:themeColor="text1"/>
          <w:sz w:val="32"/>
          <w:szCs w:val="32"/>
        </w:rPr>
        <w:t>%</w:t>
      </w:r>
      <w:r>
        <w:rPr>
          <w:rStyle w:val="15"/>
          <w:rFonts w:hint="eastAsia" w:ascii="仿宋" w:hAnsi="仿宋" w:eastAsia="方正仿宋简体"/>
          <w:b w:val="0"/>
          <w:bCs/>
          <w:color w:val="000000" w:themeColor="text1"/>
          <w:sz w:val="32"/>
          <w:szCs w:val="32"/>
        </w:rPr>
        <w:t>，决算数等于预算数的主要原因是计划合理。</w:t>
      </w:r>
    </w:p>
    <w:p>
      <w:pPr>
        <w:spacing w:line="600" w:lineRule="exact"/>
        <w:ind w:firstLine="640" w:firstLineChars="200"/>
        <w:rPr>
          <w:rFonts w:ascii="仿宋" w:hAnsi="仿宋" w:eastAsia="方正仿宋简体"/>
          <w:b/>
          <w:color w:val="000000" w:themeColor="text1"/>
          <w:sz w:val="32"/>
          <w:szCs w:val="32"/>
        </w:rPr>
      </w:pPr>
      <w:r>
        <w:rPr>
          <w:rStyle w:val="15"/>
          <w:rFonts w:hint="eastAsia" w:ascii="仿宋" w:hAnsi="仿宋" w:eastAsia="方正仿宋简体"/>
          <w:b w:val="0"/>
          <w:bCs/>
          <w:color w:val="000000" w:themeColor="text1"/>
          <w:sz w:val="32"/>
          <w:szCs w:val="32"/>
        </w:rPr>
        <w:t>8.</w:t>
      </w:r>
      <w:r>
        <w:rPr>
          <w:rStyle w:val="15"/>
          <w:rFonts w:hint="eastAsia" w:ascii="仿宋" w:hAnsi="仿宋" w:eastAsia="方正仿宋简体"/>
          <w:bCs/>
          <w:color w:val="000000" w:themeColor="text1"/>
          <w:sz w:val="32"/>
          <w:szCs w:val="32"/>
        </w:rPr>
        <w:t>住房保障（类）221（款）0201（项）</w:t>
      </w:r>
      <w:r>
        <w:rPr>
          <w:rStyle w:val="15"/>
          <w:rFonts w:ascii="仿宋" w:hAnsi="仿宋" w:eastAsia="方正仿宋简体"/>
          <w:bCs/>
          <w:color w:val="000000" w:themeColor="text1"/>
          <w:sz w:val="32"/>
          <w:szCs w:val="32"/>
        </w:rPr>
        <w:t>:</w:t>
      </w:r>
      <w:r>
        <w:rPr>
          <w:rStyle w:val="15"/>
          <w:rFonts w:hint="eastAsia" w:ascii="仿宋" w:hAnsi="仿宋" w:eastAsia="方正仿宋简体"/>
          <w:b w:val="0"/>
          <w:bCs/>
          <w:color w:val="000000" w:themeColor="text1"/>
          <w:sz w:val="32"/>
          <w:szCs w:val="32"/>
        </w:rPr>
        <w:t>支出决算为20.97万元，完成预算100</w:t>
      </w:r>
      <w:r>
        <w:rPr>
          <w:rStyle w:val="15"/>
          <w:rFonts w:ascii="仿宋" w:hAnsi="仿宋" w:eastAsia="方正仿宋简体"/>
          <w:b w:val="0"/>
          <w:bCs/>
          <w:color w:val="000000" w:themeColor="text1"/>
          <w:sz w:val="32"/>
          <w:szCs w:val="32"/>
        </w:rPr>
        <w:t>%</w:t>
      </w:r>
      <w:r>
        <w:rPr>
          <w:rStyle w:val="15"/>
          <w:rFonts w:hint="eastAsia" w:ascii="仿宋" w:hAnsi="仿宋" w:eastAsia="方正仿宋简体"/>
          <w:b w:val="0"/>
          <w:bCs/>
          <w:color w:val="000000" w:themeColor="text1"/>
          <w:sz w:val="32"/>
          <w:szCs w:val="32"/>
        </w:rPr>
        <w:t>，决算数等于预算数的主要原因是计划合理。</w:t>
      </w:r>
    </w:p>
    <w:p>
      <w:pPr>
        <w:spacing w:line="600" w:lineRule="exact"/>
        <w:ind w:firstLine="321" w:firstLineChars="100"/>
        <w:rPr>
          <w:rFonts w:ascii="仿宋" w:hAnsi="仿宋" w:eastAsia="方正仿宋简体"/>
          <w:b/>
          <w:color w:val="000000" w:themeColor="text1"/>
          <w:sz w:val="32"/>
          <w:szCs w:val="32"/>
        </w:rPr>
      </w:pPr>
      <w:r>
        <w:rPr>
          <w:rFonts w:hint="eastAsia" w:ascii="仿宋" w:hAnsi="仿宋" w:eastAsia="方正仿宋简体"/>
          <w:b/>
          <w:color w:val="000000" w:themeColor="text1"/>
          <w:sz w:val="32"/>
          <w:szCs w:val="32"/>
        </w:rPr>
        <w:t>（数据来源财决</w:t>
      </w:r>
      <w:r>
        <w:rPr>
          <w:rFonts w:ascii="仿宋" w:hAnsi="仿宋" w:eastAsia="方正仿宋简体"/>
          <w:b/>
          <w:color w:val="000000" w:themeColor="text1"/>
          <w:sz w:val="32"/>
          <w:szCs w:val="32"/>
        </w:rPr>
        <w:t>08</w:t>
      </w:r>
      <w:r>
        <w:rPr>
          <w:rFonts w:hint="eastAsia" w:ascii="仿宋" w:hAnsi="仿宋" w:eastAsia="方正仿宋简体"/>
          <w:b/>
          <w:color w:val="000000" w:themeColor="text1"/>
          <w:sz w:val="32"/>
          <w:szCs w:val="32"/>
        </w:rPr>
        <w:t>表，罗列全部功能分类科目至项级。上述“预算”口径为调整预算数。增减变动原因为决算数</w:t>
      </w:r>
      <w:r>
        <w:rPr>
          <w:rFonts w:ascii="仿宋" w:hAnsi="仿宋" w:eastAsia="方正仿宋简体"/>
          <w:b/>
          <w:color w:val="000000" w:themeColor="text1"/>
          <w:sz w:val="32"/>
          <w:szCs w:val="32"/>
        </w:rPr>
        <w:t>&lt;</w:t>
      </w:r>
      <w:r>
        <w:rPr>
          <w:rFonts w:hint="eastAsia" w:ascii="仿宋" w:hAnsi="仿宋" w:eastAsia="方正仿宋简体"/>
          <w:b/>
          <w:color w:val="000000" w:themeColor="text1"/>
          <w:sz w:val="32"/>
          <w:szCs w:val="32"/>
        </w:rPr>
        <w:t>项级</w:t>
      </w:r>
      <w:r>
        <w:rPr>
          <w:rFonts w:ascii="仿宋" w:hAnsi="仿宋" w:eastAsia="方正仿宋简体"/>
          <w:b/>
          <w:color w:val="000000" w:themeColor="text1"/>
          <w:sz w:val="32"/>
          <w:szCs w:val="32"/>
        </w:rPr>
        <w:t>&gt;</w:t>
      </w:r>
      <w:r>
        <w:rPr>
          <w:rFonts w:hint="eastAsia" w:ascii="仿宋" w:hAnsi="仿宋" w:eastAsia="方正仿宋简体"/>
          <w:b/>
          <w:color w:val="000000" w:themeColor="text1"/>
          <w:sz w:val="32"/>
          <w:szCs w:val="32"/>
        </w:rPr>
        <w:t>和调整预算数</w:t>
      </w:r>
      <w:r>
        <w:rPr>
          <w:rFonts w:ascii="仿宋" w:hAnsi="仿宋" w:eastAsia="方正仿宋简体"/>
          <w:b/>
          <w:color w:val="000000" w:themeColor="text1"/>
          <w:sz w:val="32"/>
          <w:szCs w:val="32"/>
        </w:rPr>
        <w:t>&lt;</w:t>
      </w:r>
      <w:r>
        <w:rPr>
          <w:rFonts w:hint="eastAsia" w:ascii="仿宋" w:hAnsi="仿宋" w:eastAsia="方正仿宋简体"/>
          <w:b/>
          <w:color w:val="000000" w:themeColor="text1"/>
          <w:sz w:val="32"/>
          <w:szCs w:val="32"/>
        </w:rPr>
        <w:t>项级</w:t>
      </w:r>
      <w:r>
        <w:rPr>
          <w:rFonts w:ascii="仿宋" w:hAnsi="仿宋" w:eastAsia="方正仿宋简体"/>
          <w:b/>
          <w:color w:val="000000" w:themeColor="text1"/>
          <w:sz w:val="32"/>
          <w:szCs w:val="32"/>
        </w:rPr>
        <w:t>&gt;</w:t>
      </w:r>
      <w:r>
        <w:rPr>
          <w:rFonts w:hint="eastAsia" w:ascii="仿宋" w:hAnsi="仿宋" w:eastAsia="方正仿宋简体"/>
          <w:b/>
          <w:color w:val="000000" w:themeColor="text1"/>
          <w:sz w:val="32"/>
          <w:szCs w:val="32"/>
        </w:rPr>
        <w:t>比较，与预算数持平可以不写原因。）</w:t>
      </w:r>
    </w:p>
    <w:p>
      <w:pPr>
        <w:spacing w:line="600" w:lineRule="exact"/>
        <w:ind w:firstLine="640"/>
        <w:rPr>
          <w:rFonts w:ascii="仿宋" w:hAnsi="仿宋" w:eastAsia="方正仿宋简体"/>
          <w:b/>
          <w:color w:val="000000" w:themeColor="text1"/>
          <w:sz w:val="32"/>
          <w:szCs w:val="32"/>
        </w:rPr>
      </w:pPr>
    </w:p>
    <w:p>
      <w:pPr>
        <w:tabs>
          <w:tab w:val="right" w:pos="8306"/>
        </w:tabs>
        <w:spacing w:line="600" w:lineRule="exact"/>
        <w:ind w:firstLine="640"/>
        <w:outlineLvl w:val="1"/>
        <w:rPr>
          <w:rStyle w:val="26"/>
          <w:color w:val="000000" w:themeColor="text1"/>
        </w:rPr>
      </w:pPr>
      <w:bookmarkStart w:id="38" w:name="_Toc15396608"/>
      <w:bookmarkStart w:id="39" w:name="_Toc15377214"/>
      <w:r>
        <w:rPr>
          <w:rFonts w:hint="eastAsia" w:ascii="黑体" w:eastAsia="黑体"/>
          <w:color w:val="000000" w:themeColor="text1"/>
          <w:sz w:val="32"/>
          <w:szCs w:val="32"/>
        </w:rPr>
        <w:t>六</w:t>
      </w:r>
      <w:r>
        <w:rPr>
          <w:rFonts w:hint="eastAsia" w:ascii="黑体" w:eastAsia="黑体"/>
          <w:b/>
          <w:color w:val="000000" w:themeColor="text1"/>
          <w:sz w:val="32"/>
          <w:szCs w:val="32"/>
        </w:rPr>
        <w:t>、</w:t>
      </w:r>
      <w:r>
        <w:rPr>
          <w:rFonts w:hint="eastAsia" w:ascii="黑体" w:hAnsi="黑体" w:eastAsia="黑体"/>
          <w:b/>
          <w:color w:val="000000" w:themeColor="text1"/>
          <w:sz w:val="32"/>
          <w:szCs w:val="32"/>
        </w:rPr>
        <w:t>一</w:t>
      </w:r>
      <w:r>
        <w:rPr>
          <w:rStyle w:val="26"/>
          <w:rFonts w:hint="eastAsia" w:ascii="黑体" w:hAnsi="黑体" w:eastAsia="黑体"/>
          <w:b w:val="0"/>
          <w:color w:val="000000" w:themeColor="text1"/>
        </w:rPr>
        <w:t>般公共预算财政拨款基本支出决算情况说明</w:t>
      </w:r>
      <w:bookmarkEnd w:id="38"/>
      <w:bookmarkEnd w:id="39"/>
      <w:r>
        <w:rPr>
          <w:rStyle w:val="26"/>
          <w:rFonts w:ascii="黑体" w:hAnsi="黑体" w:eastAsia="黑体"/>
          <w:b w:val="0"/>
          <w:color w:val="000000" w:themeColor="text1"/>
        </w:rPr>
        <w:tab/>
      </w:r>
    </w:p>
    <w:p>
      <w:pPr>
        <w:spacing w:line="600" w:lineRule="exact"/>
        <w:ind w:firstLine="645"/>
        <w:rPr>
          <w:rFonts w:ascii="仿宋" w:hAnsi="仿宋" w:eastAsia="方正仿宋简体"/>
          <w:color w:val="000000" w:themeColor="text1"/>
          <w:sz w:val="32"/>
          <w:szCs w:val="32"/>
        </w:rPr>
      </w:pPr>
      <w:r>
        <w:rPr>
          <w:rFonts w:ascii="仿宋" w:hAnsi="仿宋" w:eastAsia="方正仿宋简体"/>
          <w:color w:val="000000" w:themeColor="text1"/>
          <w:sz w:val="32"/>
          <w:szCs w:val="32"/>
        </w:rPr>
        <w:t>201</w:t>
      </w:r>
      <w:r>
        <w:rPr>
          <w:rFonts w:hint="eastAsia" w:ascii="仿宋" w:hAnsi="仿宋" w:eastAsia="方正仿宋简体"/>
          <w:color w:val="000000" w:themeColor="text1"/>
          <w:sz w:val="32"/>
          <w:szCs w:val="32"/>
        </w:rPr>
        <w:t>8年一般公共预算财政拨款基本支出423.78万元，其中：</w:t>
      </w:r>
    </w:p>
    <w:p>
      <w:pPr>
        <w:spacing w:line="600" w:lineRule="exact"/>
        <w:ind w:firstLine="645"/>
        <w:rPr>
          <w:rFonts w:ascii="仿宋" w:hAnsi="仿宋" w:eastAsia="方正仿宋简体"/>
          <w:color w:val="000000" w:themeColor="text1"/>
          <w:sz w:val="32"/>
          <w:szCs w:val="32"/>
        </w:rPr>
      </w:pPr>
      <w:r>
        <w:rPr>
          <w:rFonts w:hint="eastAsia" w:ascii="仿宋" w:hAnsi="仿宋" w:eastAsia="方正仿宋简体"/>
          <w:color w:val="000000" w:themeColor="text1"/>
          <w:sz w:val="32"/>
          <w:szCs w:val="32"/>
        </w:rPr>
        <w:t>人员经费367.82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方正仿宋简体"/>
          <w:color w:val="000000" w:themeColor="text1"/>
          <w:sz w:val="32"/>
          <w:szCs w:val="32"/>
        </w:rPr>
        <w:br w:type="textWrapping"/>
      </w:r>
      <w:r>
        <w:rPr>
          <w:rFonts w:hint="eastAsia" w:ascii="仿宋" w:hAnsi="仿宋" w:eastAsia="方正仿宋简体"/>
          <w:color w:val="000000" w:themeColor="text1"/>
          <w:sz w:val="32"/>
          <w:szCs w:val="32"/>
        </w:rPr>
        <w:t>　　公用经费55.96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方正仿宋简体"/>
          <w:b/>
          <w:color w:val="000000" w:themeColor="text1"/>
          <w:sz w:val="32"/>
          <w:szCs w:val="32"/>
        </w:rPr>
      </w:pPr>
      <w:r>
        <w:rPr>
          <w:rFonts w:hint="eastAsia" w:ascii="仿宋" w:hAnsi="仿宋" w:eastAsia="方正仿宋简体"/>
          <w:b/>
          <w:color w:val="000000" w:themeColor="text1"/>
          <w:sz w:val="32"/>
          <w:szCs w:val="32"/>
        </w:rPr>
        <w:t>（数据来源财决</w:t>
      </w:r>
      <w:r>
        <w:rPr>
          <w:rFonts w:ascii="仿宋" w:hAnsi="仿宋" w:eastAsia="方正仿宋简体"/>
          <w:b/>
          <w:color w:val="000000" w:themeColor="text1"/>
          <w:sz w:val="32"/>
          <w:szCs w:val="32"/>
        </w:rPr>
        <w:t>0</w:t>
      </w:r>
      <w:r>
        <w:rPr>
          <w:rFonts w:hint="eastAsia" w:ascii="仿宋" w:hAnsi="仿宋" w:eastAsia="方正仿宋简体"/>
          <w:b/>
          <w:color w:val="000000" w:themeColor="text1"/>
          <w:sz w:val="32"/>
          <w:szCs w:val="32"/>
        </w:rPr>
        <w:t>7表，根据本部门实际支出情况罗列全部经济分类科目。）</w:t>
      </w:r>
    </w:p>
    <w:p>
      <w:pPr>
        <w:spacing w:line="600" w:lineRule="exact"/>
        <w:ind w:firstLine="640"/>
        <w:outlineLvl w:val="1"/>
        <w:rPr>
          <w:rStyle w:val="26"/>
          <w:rFonts w:ascii="黑体" w:hAnsi="黑体" w:eastAsia="黑体"/>
          <w:b w:val="0"/>
          <w:color w:val="000000" w:themeColor="text1"/>
        </w:rPr>
      </w:pPr>
      <w:bookmarkStart w:id="40" w:name="_Toc15396609"/>
      <w:bookmarkStart w:id="41" w:name="_Toc15377215"/>
      <w:r>
        <w:rPr>
          <w:rFonts w:hint="eastAsia" w:ascii="黑体" w:eastAsia="黑体"/>
          <w:color w:val="000000" w:themeColor="text1"/>
          <w:sz w:val="32"/>
          <w:szCs w:val="32"/>
        </w:rPr>
        <w:t>七、</w:t>
      </w:r>
      <w:r>
        <w:rPr>
          <w:rStyle w:val="26"/>
          <w:rFonts w:hint="eastAsia" w:ascii="黑体" w:hAnsi="黑体" w:eastAsia="黑体"/>
          <w:color w:val="000000" w:themeColor="text1"/>
        </w:rPr>
        <w:t>“</w:t>
      </w:r>
      <w:r>
        <w:rPr>
          <w:rStyle w:val="26"/>
          <w:rFonts w:hint="eastAsia" w:ascii="黑体" w:hAnsi="黑体" w:eastAsia="黑体"/>
          <w:b w:val="0"/>
          <w:color w:val="000000" w:themeColor="text1"/>
        </w:rPr>
        <w:t>三公”经费财政拨款支出决算情况说明</w:t>
      </w:r>
      <w:bookmarkEnd w:id="40"/>
      <w:bookmarkEnd w:id="41"/>
    </w:p>
    <w:p>
      <w:pPr>
        <w:spacing w:line="600" w:lineRule="exact"/>
        <w:ind w:firstLine="640"/>
        <w:outlineLvl w:val="2"/>
        <w:rPr>
          <w:rFonts w:ascii="仿宋" w:hAnsi="仿宋" w:eastAsia="方正仿宋简体"/>
          <w:b/>
          <w:color w:val="000000" w:themeColor="text1"/>
          <w:sz w:val="32"/>
          <w:szCs w:val="32"/>
        </w:rPr>
      </w:pPr>
      <w:bookmarkStart w:id="42" w:name="_Toc15377216"/>
      <w:r>
        <w:rPr>
          <w:rFonts w:hint="eastAsia" w:ascii="仿宋" w:hAnsi="仿宋" w:eastAsia="方正仿宋简体"/>
          <w:b/>
          <w:color w:val="000000" w:themeColor="text1"/>
          <w:sz w:val="32"/>
          <w:szCs w:val="32"/>
        </w:rPr>
        <w:t>（一）“三公”经费财政拨款支出决算总体情况说明</w:t>
      </w:r>
      <w:bookmarkEnd w:id="42"/>
    </w:p>
    <w:p>
      <w:pPr>
        <w:spacing w:line="600" w:lineRule="exact"/>
        <w:ind w:firstLine="640"/>
        <w:rPr>
          <w:rFonts w:ascii="仿宋" w:hAnsi="仿宋" w:eastAsia="方正仿宋简体"/>
          <w:color w:val="000000" w:themeColor="text1"/>
          <w:sz w:val="32"/>
          <w:szCs w:val="32"/>
        </w:rPr>
      </w:pPr>
      <w:r>
        <w:rPr>
          <w:rFonts w:ascii="仿宋" w:hAnsi="仿宋" w:eastAsia="方正仿宋简体"/>
          <w:color w:val="000000" w:themeColor="text1"/>
          <w:sz w:val="32"/>
          <w:szCs w:val="32"/>
        </w:rPr>
        <w:t>201</w:t>
      </w:r>
      <w:r>
        <w:rPr>
          <w:rFonts w:hint="eastAsia" w:ascii="仿宋" w:hAnsi="仿宋" w:eastAsia="方正仿宋简体"/>
          <w:color w:val="000000" w:themeColor="text1"/>
          <w:sz w:val="32"/>
          <w:szCs w:val="32"/>
        </w:rPr>
        <w:t>8年“三公”经费财政拨款支出决算为2.15万元，完成预算100</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，决算数与预算数持平的主要原因是合理安排。</w:t>
      </w:r>
    </w:p>
    <w:p>
      <w:pPr>
        <w:spacing w:line="600" w:lineRule="exact"/>
        <w:ind w:firstLine="640"/>
        <w:rPr>
          <w:rFonts w:ascii="仿宋" w:hAnsi="仿宋" w:eastAsia="方正仿宋简体"/>
          <w:b/>
          <w:color w:val="000000" w:themeColor="text1"/>
          <w:sz w:val="32"/>
          <w:szCs w:val="32"/>
        </w:rPr>
      </w:pPr>
      <w:r>
        <w:rPr>
          <w:rFonts w:hint="eastAsia" w:ascii="仿宋" w:hAnsi="仿宋" w:eastAsia="方正仿宋简体"/>
          <w:b/>
          <w:color w:val="000000" w:themeColor="text1"/>
          <w:sz w:val="32"/>
          <w:szCs w:val="32"/>
        </w:rPr>
        <w:t>（上述“预算”口径为调整预算数。）</w:t>
      </w:r>
    </w:p>
    <w:p>
      <w:pPr>
        <w:spacing w:line="600" w:lineRule="exact"/>
        <w:ind w:firstLine="640"/>
        <w:outlineLvl w:val="2"/>
        <w:rPr>
          <w:rFonts w:ascii="仿宋" w:hAnsi="仿宋" w:eastAsia="方正仿宋简体"/>
          <w:b/>
          <w:color w:val="000000" w:themeColor="text1"/>
          <w:sz w:val="32"/>
          <w:szCs w:val="32"/>
        </w:rPr>
      </w:pPr>
      <w:bookmarkStart w:id="43" w:name="_Toc15377217"/>
      <w:r>
        <w:rPr>
          <w:rFonts w:hint="eastAsia" w:ascii="仿宋" w:hAnsi="仿宋" w:eastAsia="方正仿宋简体"/>
          <w:b/>
          <w:color w:val="000000" w:themeColor="text1"/>
          <w:sz w:val="32"/>
          <w:szCs w:val="32"/>
        </w:rPr>
        <w:t>（二）“三公”经费财政拨款支出决算具体情况说明</w:t>
      </w:r>
      <w:bookmarkEnd w:id="43"/>
    </w:p>
    <w:p>
      <w:pPr>
        <w:spacing w:line="600" w:lineRule="exact"/>
        <w:ind w:firstLine="640"/>
        <w:rPr>
          <w:rFonts w:ascii="仿宋" w:hAnsi="仿宋" w:eastAsia="方正仿宋简体"/>
          <w:color w:val="000000" w:themeColor="text1"/>
          <w:sz w:val="32"/>
          <w:szCs w:val="32"/>
        </w:rPr>
      </w:pPr>
      <w:r>
        <w:rPr>
          <w:rFonts w:ascii="仿宋" w:hAnsi="仿宋" w:eastAsia="方正仿宋简体"/>
          <w:color w:val="000000" w:themeColor="text1"/>
          <w:sz w:val="32"/>
          <w:szCs w:val="32"/>
        </w:rPr>
        <w:t>201</w:t>
      </w:r>
      <w:r>
        <w:rPr>
          <w:rFonts w:hint="eastAsia" w:ascii="仿宋" w:hAnsi="仿宋" w:eastAsia="方正仿宋简体"/>
          <w:color w:val="000000" w:themeColor="text1"/>
          <w:sz w:val="32"/>
          <w:szCs w:val="32"/>
        </w:rPr>
        <w:t>8年“三公”经费财政拨款支出决算中，因公出国（境）费支出决算0万元，占0</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；公务用车购置及运行维护费支出决算0万元，占0</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；公务接待费支出决算2.15万元，占100</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。具体情况如下：</w:t>
      </w:r>
    </w:p>
    <w:p>
      <w:pPr>
        <w:spacing w:line="600" w:lineRule="exact"/>
        <w:ind w:firstLine="640"/>
        <w:rPr>
          <w:rFonts w:ascii="仿宋" w:hAnsi="仿宋" w:eastAsia="方正仿宋简体"/>
          <w:color w:val="000000" w:themeColor="text1"/>
          <w:sz w:val="32"/>
          <w:szCs w:val="32"/>
        </w:rPr>
      </w:pPr>
      <w:r>
        <w:rPr>
          <w:rFonts w:hint="eastAsia" w:ascii="仿宋" w:hAnsi="仿宋" w:eastAsia="方正仿宋简体"/>
          <w:color w:val="000000" w:themeColor="text1"/>
          <w:sz w:val="32"/>
          <w:szCs w:val="32"/>
        </w:rPr>
        <w:drawing>
          <wp:anchor distT="0" distB="0" distL="114300" distR="114300" simplePos="0" relativeHeight="251666432" behindDoc="0" locked="0" layoutInCell="1" allowOverlap="1">
            <wp:simplePos x="0" y="0"/>
            <wp:positionH relativeFrom="column">
              <wp:posOffset>272415</wp:posOffset>
            </wp:positionH>
            <wp:positionV relativeFrom="paragraph">
              <wp:posOffset>579120</wp:posOffset>
            </wp:positionV>
            <wp:extent cx="4422140" cy="2521585"/>
            <wp:effectExtent l="19050" t="0" r="16510" b="0"/>
            <wp:wrapTopAndBottom/>
            <wp:docPr id="13"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方正仿宋简体"/>
          <w:color w:val="000000" w:themeColor="text1"/>
          <w:sz w:val="32"/>
          <w:szCs w:val="32"/>
        </w:rPr>
        <w:t>（图8：“三公”经费财政拨款支出结构）（饼状图）</w:t>
      </w:r>
    </w:p>
    <w:p>
      <w:pPr>
        <w:spacing w:line="600" w:lineRule="exact"/>
        <w:ind w:firstLine="640"/>
        <w:rPr>
          <w:rFonts w:hint="eastAsia" w:ascii="方正仿宋简体" w:eastAsia="方正仿宋简体"/>
          <w:b/>
          <w:color w:val="000000" w:themeColor="text1"/>
          <w:sz w:val="32"/>
          <w:szCs w:val="32"/>
        </w:rPr>
      </w:pPr>
      <w:r>
        <w:rPr>
          <w:rFonts w:hint="eastAsia" w:ascii="方正仿宋简体" w:eastAsia="方正仿宋简体"/>
          <w:b/>
          <w:color w:val="000000" w:themeColor="text1"/>
          <w:sz w:val="32"/>
          <w:szCs w:val="32"/>
        </w:rPr>
        <w:t>1.因公出国（境）经费支出</w:t>
      </w:r>
      <w:r>
        <w:rPr>
          <w:rFonts w:hint="eastAsia" w:ascii="方正仿宋简体" w:eastAsia="方正仿宋简体"/>
          <w:color w:val="000000" w:themeColor="text1"/>
          <w:sz w:val="32"/>
          <w:szCs w:val="32"/>
        </w:rPr>
        <w:t>**万元，</w:t>
      </w:r>
      <w:r>
        <w:rPr>
          <w:rStyle w:val="15"/>
          <w:rFonts w:hint="eastAsia" w:ascii="方正仿宋简体" w:hAnsi="仿宋" w:eastAsia="方正仿宋简体"/>
          <w:b w:val="0"/>
          <w:bCs/>
          <w:color w:val="000000" w:themeColor="text1"/>
          <w:sz w:val="32"/>
          <w:szCs w:val="32"/>
        </w:rPr>
        <w:t>完成预算0%。</w:t>
      </w:r>
      <w:r>
        <w:rPr>
          <w:rFonts w:hint="eastAsia" w:ascii="方正仿宋简体" w:eastAsia="方正仿宋简体"/>
          <w:color w:val="000000" w:themeColor="text1"/>
          <w:sz w:val="32"/>
          <w:szCs w:val="32"/>
        </w:rPr>
        <w:t>全年安排因公出国（境）团组0次，出国（境）0人。因公出国（境）支出决算比2017年增加/减少0万元，增长/下降0%。</w:t>
      </w:r>
    </w:p>
    <w:p>
      <w:pPr>
        <w:spacing w:line="600" w:lineRule="exact"/>
        <w:ind w:firstLine="64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开支内容包括：0（团组名称、出访地点、取得成效）等。</w:t>
      </w:r>
    </w:p>
    <w:p>
      <w:pPr>
        <w:spacing w:line="600" w:lineRule="exact"/>
        <w:ind w:firstLine="640"/>
        <w:rPr>
          <w:rFonts w:hint="eastAsia" w:ascii="方正仿宋简体" w:eastAsia="方正仿宋简体"/>
          <w:b/>
          <w:color w:val="000000" w:themeColor="text1"/>
          <w:sz w:val="32"/>
          <w:szCs w:val="32"/>
        </w:rPr>
      </w:pPr>
      <w:r>
        <w:rPr>
          <w:rFonts w:hint="eastAsia" w:ascii="方正仿宋简体" w:eastAsia="方正仿宋简体"/>
          <w:b/>
          <w:color w:val="000000" w:themeColor="text1"/>
          <w:sz w:val="32"/>
          <w:szCs w:val="32"/>
        </w:rPr>
        <w:t>2.公务用车购置及运行维护费支出</w:t>
      </w:r>
      <w:r>
        <w:rPr>
          <w:rFonts w:hint="eastAsia" w:ascii="方正仿宋简体" w:eastAsia="方正仿宋简体"/>
          <w:color w:val="000000" w:themeColor="text1"/>
          <w:sz w:val="32"/>
          <w:szCs w:val="32"/>
        </w:rPr>
        <w:t>0万元,</w:t>
      </w:r>
      <w:r>
        <w:rPr>
          <w:rStyle w:val="15"/>
          <w:rFonts w:hint="eastAsia" w:ascii="方正仿宋简体" w:hAnsi="仿宋" w:eastAsia="方正仿宋简体"/>
          <w:b w:val="0"/>
          <w:bCs/>
          <w:color w:val="000000" w:themeColor="text1"/>
          <w:sz w:val="32"/>
          <w:szCs w:val="32"/>
        </w:rPr>
        <w:t>完成预算0%。</w:t>
      </w:r>
      <w:r>
        <w:rPr>
          <w:rFonts w:hint="eastAsia" w:ascii="方正仿宋简体" w:eastAsia="方正仿宋简体"/>
          <w:color w:val="000000" w:themeColor="text1"/>
          <w:sz w:val="32"/>
          <w:szCs w:val="32"/>
        </w:rPr>
        <w:t>公务用车购置及运行维护费支出决算比2017年增加/减少0万元，增长/下降0%。主要原因是无公车。</w:t>
      </w:r>
    </w:p>
    <w:p>
      <w:pPr>
        <w:spacing w:line="600" w:lineRule="exact"/>
        <w:ind w:firstLine="640" w:firstLineChars="200"/>
        <w:rPr>
          <w:rFonts w:hint="eastAsia" w:ascii="方正仿宋简体" w:eastAsia="方正仿宋简体"/>
          <w:b/>
          <w:color w:val="000000" w:themeColor="text1"/>
          <w:sz w:val="32"/>
          <w:szCs w:val="32"/>
        </w:rPr>
      </w:pPr>
      <w:r>
        <w:rPr>
          <w:rFonts w:hint="eastAsia" w:ascii="方正仿宋简体" w:eastAsia="方正仿宋简体"/>
          <w:color w:val="000000" w:themeColor="text1"/>
          <w:sz w:val="32"/>
          <w:szCs w:val="32"/>
        </w:rPr>
        <w:t>其中：</w:t>
      </w:r>
      <w:r>
        <w:rPr>
          <w:rFonts w:hint="eastAsia" w:ascii="方正仿宋简体" w:eastAsia="方正仿宋简体"/>
          <w:b/>
          <w:color w:val="000000" w:themeColor="text1"/>
          <w:sz w:val="32"/>
          <w:szCs w:val="32"/>
        </w:rPr>
        <w:t>公务用车购置支出</w:t>
      </w:r>
      <w:r>
        <w:rPr>
          <w:rFonts w:hint="eastAsia" w:ascii="方正仿宋简体" w:eastAsia="方正仿宋简体"/>
          <w:color w:val="000000" w:themeColor="text1"/>
          <w:sz w:val="32"/>
          <w:szCs w:val="32"/>
        </w:rPr>
        <w:t>0万元。全年按规定更新购置公务用车0辆，其中：轿车0辆、金额0万元，越野车0辆、金额0万元，载客汽车0辆、金额0万元，主要用于无。截至2018年12月底，单位共有公务用车0辆，其中：轿车0辆、越野车0辆、载客汽车0辆。</w:t>
      </w:r>
    </w:p>
    <w:p>
      <w:pPr>
        <w:spacing w:line="600" w:lineRule="exact"/>
        <w:ind w:firstLine="640"/>
        <w:rPr>
          <w:rFonts w:hint="eastAsia" w:ascii="方正仿宋简体" w:eastAsia="方正仿宋简体"/>
          <w:color w:val="000000" w:themeColor="text1"/>
          <w:sz w:val="32"/>
          <w:szCs w:val="32"/>
        </w:rPr>
      </w:pPr>
      <w:r>
        <w:rPr>
          <w:rFonts w:hint="eastAsia" w:ascii="方正仿宋简体" w:eastAsia="方正仿宋简体"/>
          <w:b/>
          <w:color w:val="000000" w:themeColor="text1"/>
          <w:sz w:val="32"/>
          <w:szCs w:val="32"/>
        </w:rPr>
        <w:t>公务用车运行维护费支出</w:t>
      </w:r>
      <w:r>
        <w:rPr>
          <w:rFonts w:hint="eastAsia" w:ascii="方正仿宋简体" w:eastAsia="方正仿宋简体"/>
          <w:color w:val="000000" w:themeColor="text1"/>
          <w:sz w:val="32"/>
          <w:szCs w:val="32"/>
        </w:rPr>
        <w:t>0万元。无公务用车。</w:t>
      </w:r>
    </w:p>
    <w:p>
      <w:pPr>
        <w:spacing w:line="600" w:lineRule="exact"/>
        <w:ind w:firstLine="640"/>
        <w:rPr>
          <w:rFonts w:hint="eastAsia" w:ascii="方正仿宋简体" w:eastAsia="方正仿宋简体"/>
          <w:color w:val="000000" w:themeColor="text1"/>
          <w:sz w:val="32"/>
          <w:szCs w:val="32"/>
        </w:rPr>
      </w:pPr>
      <w:r>
        <w:rPr>
          <w:rFonts w:hint="eastAsia" w:ascii="方正仿宋简体" w:eastAsia="方正仿宋简体"/>
          <w:b/>
          <w:color w:val="000000" w:themeColor="text1"/>
          <w:sz w:val="32"/>
          <w:szCs w:val="32"/>
        </w:rPr>
        <w:t>3.公务接待费支出</w:t>
      </w:r>
      <w:r>
        <w:rPr>
          <w:rFonts w:hint="eastAsia" w:ascii="方正仿宋简体" w:eastAsia="方正仿宋简体"/>
          <w:color w:val="000000" w:themeColor="text1"/>
          <w:sz w:val="32"/>
          <w:szCs w:val="32"/>
        </w:rPr>
        <w:t>2.15万元，</w:t>
      </w:r>
      <w:r>
        <w:rPr>
          <w:rStyle w:val="15"/>
          <w:rFonts w:hint="eastAsia" w:ascii="方正仿宋简体" w:hAnsi="仿宋" w:eastAsia="方正仿宋简体"/>
          <w:b w:val="0"/>
          <w:bCs/>
          <w:color w:val="000000" w:themeColor="text1"/>
          <w:sz w:val="32"/>
          <w:szCs w:val="32"/>
        </w:rPr>
        <w:t>完成预算100%。</w:t>
      </w:r>
      <w:r>
        <w:rPr>
          <w:rFonts w:hint="eastAsia" w:ascii="方正仿宋简体" w:eastAsia="方正仿宋简体"/>
          <w:color w:val="000000" w:themeColor="text1"/>
          <w:sz w:val="32"/>
          <w:szCs w:val="32"/>
        </w:rPr>
        <w:t>公务接待费支出决算比2017年减少0.003万元，下降0.13%。主要原因是公务接待减少。</w:t>
      </w:r>
    </w:p>
    <w:p>
      <w:pPr>
        <w:spacing w:line="600" w:lineRule="exact"/>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主要用于执行公务、开展业务活动开支的交通费、住宿费、用餐费等。国内公务接待22批次，216人次（不包括陪同人员），共计支出2.15万元，具体内容包括：综治中心交流学习、四川省法学会课题论谈接待项目。其中：综治中心交流学习1.85万元，四川省法学会课题论谈0.83万元。</w:t>
      </w:r>
    </w:p>
    <w:p>
      <w:pPr>
        <w:spacing w:line="600" w:lineRule="exact"/>
        <w:ind w:firstLine="642" w:firstLineChars="200"/>
        <w:rPr>
          <w:rFonts w:hint="eastAsia" w:ascii="方正仿宋简体" w:eastAsia="方正仿宋简体"/>
          <w:color w:val="000000" w:themeColor="text1"/>
          <w:sz w:val="32"/>
          <w:szCs w:val="32"/>
        </w:rPr>
      </w:pPr>
      <w:r>
        <w:rPr>
          <w:rFonts w:hint="eastAsia" w:ascii="方正仿宋简体" w:hAnsi="仿宋" w:eastAsia="方正仿宋简体"/>
          <w:b/>
          <w:color w:val="000000" w:themeColor="text1"/>
          <w:sz w:val="32"/>
          <w:szCs w:val="32"/>
        </w:rPr>
        <w:t>外事接待支出</w:t>
      </w:r>
      <w:r>
        <w:rPr>
          <w:rFonts w:hint="eastAsia" w:ascii="方正仿宋简体" w:hAnsi="仿宋" w:eastAsia="方正仿宋简体"/>
          <w:color w:val="000000" w:themeColor="text1"/>
          <w:sz w:val="32"/>
          <w:szCs w:val="32"/>
        </w:rPr>
        <w:t>0</w:t>
      </w:r>
      <w:r>
        <w:rPr>
          <w:rFonts w:hint="eastAsia" w:ascii="方正仿宋简体" w:eastAsia="方正仿宋简体"/>
          <w:color w:val="000000" w:themeColor="text1"/>
          <w:sz w:val="32"/>
          <w:szCs w:val="32"/>
        </w:rPr>
        <w:t>万元，外事接待0批次，0人，共计支出0万元.</w:t>
      </w:r>
    </w:p>
    <w:p>
      <w:pPr>
        <w:spacing w:line="600" w:lineRule="exact"/>
        <w:ind w:firstLine="640"/>
        <w:rPr>
          <w:rFonts w:ascii="黑体" w:eastAsia="黑体"/>
          <w:color w:val="000000" w:themeColor="text1"/>
          <w:sz w:val="32"/>
          <w:szCs w:val="32"/>
        </w:rPr>
      </w:pPr>
      <w:r>
        <w:rPr>
          <w:rFonts w:hint="eastAsia" w:ascii="方正仿宋简体" w:hAnsi="仿宋" w:eastAsia="方正仿宋简体"/>
          <w:b/>
          <w:color w:val="000000" w:themeColor="text1"/>
          <w:sz w:val="32"/>
          <w:szCs w:val="32"/>
        </w:rPr>
        <w:t>其他国内公务接待支出</w:t>
      </w:r>
      <w:r>
        <w:rPr>
          <w:rFonts w:hint="eastAsia" w:ascii="方正仿宋简体" w:hAnsi="仿宋" w:eastAsia="方正仿宋简体"/>
          <w:color w:val="000000" w:themeColor="text1"/>
          <w:sz w:val="32"/>
          <w:szCs w:val="32"/>
        </w:rPr>
        <w:t>0</w:t>
      </w:r>
      <w:r>
        <w:rPr>
          <w:rFonts w:hint="eastAsia" w:ascii="方正仿宋简体" w:eastAsia="方正仿宋简体"/>
          <w:color w:val="000000" w:themeColor="text1"/>
          <w:sz w:val="32"/>
          <w:szCs w:val="32"/>
        </w:rPr>
        <w:t>万元。</w:t>
      </w:r>
      <w:bookmarkStart w:id="44" w:name="_Toc15377218"/>
      <w:bookmarkStart w:id="45" w:name="_Toc15396610"/>
    </w:p>
    <w:p>
      <w:pPr>
        <w:spacing w:line="600" w:lineRule="exact"/>
        <w:ind w:firstLine="640"/>
        <w:outlineLvl w:val="1"/>
        <w:rPr>
          <w:rStyle w:val="26"/>
          <w:rFonts w:ascii="黑体" w:hAnsi="黑体" w:eastAsia="黑体"/>
          <w:color w:val="000000" w:themeColor="text1"/>
        </w:rPr>
      </w:pPr>
      <w:r>
        <w:rPr>
          <w:rFonts w:hint="eastAsia" w:ascii="黑体" w:eastAsia="黑体"/>
          <w:color w:val="000000" w:themeColor="text1"/>
          <w:sz w:val="32"/>
          <w:szCs w:val="32"/>
        </w:rPr>
        <w:t>八、</w:t>
      </w:r>
      <w:r>
        <w:rPr>
          <w:rStyle w:val="26"/>
          <w:rFonts w:hint="eastAsia" w:ascii="黑体" w:hAnsi="黑体" w:eastAsia="黑体"/>
          <w:b w:val="0"/>
          <w:color w:val="000000" w:themeColor="text1"/>
        </w:rPr>
        <w:t>政府性基金预算支出决算情况说明</w:t>
      </w:r>
      <w:bookmarkEnd w:id="44"/>
      <w:bookmarkEnd w:id="45"/>
    </w:p>
    <w:p>
      <w:pPr>
        <w:spacing w:line="600" w:lineRule="exact"/>
        <w:ind w:firstLine="640"/>
        <w:rPr>
          <w:rFonts w:ascii="仿宋_GB2312" w:eastAsia="仿宋_GB2312"/>
          <w:color w:val="000000" w:themeColor="text1"/>
          <w:sz w:val="32"/>
          <w:szCs w:val="32"/>
        </w:rPr>
      </w:pPr>
      <w:r>
        <w:rPr>
          <w:rFonts w:hint="eastAsia" w:ascii="方正仿宋简体" w:eastAsia="方正仿宋简体"/>
          <w:color w:val="000000" w:themeColor="text1"/>
          <w:sz w:val="32"/>
          <w:szCs w:val="32"/>
        </w:rPr>
        <w:t>2018年政府性基金预算拨款支出0万元。</w:t>
      </w:r>
    </w:p>
    <w:p>
      <w:pPr>
        <w:numPr>
          <w:ilvl w:val="0"/>
          <w:numId w:val="4"/>
        </w:numPr>
        <w:spacing w:line="600" w:lineRule="exact"/>
        <w:ind w:firstLine="640"/>
        <w:outlineLvl w:val="1"/>
        <w:rPr>
          <w:rStyle w:val="26"/>
          <w:rFonts w:ascii="黑体" w:hAnsi="黑体" w:eastAsia="黑体"/>
          <w:b w:val="0"/>
          <w:color w:val="000000" w:themeColor="text1"/>
        </w:rPr>
      </w:pPr>
      <w:bookmarkStart w:id="46" w:name="_Toc15377219"/>
      <w:bookmarkStart w:id="47" w:name="_Toc15396611"/>
      <w:r>
        <w:rPr>
          <w:rStyle w:val="26"/>
          <w:rFonts w:hint="eastAsia" w:ascii="黑体" w:hAnsi="黑体" w:eastAsia="黑体"/>
          <w:b w:val="0"/>
          <w:color w:val="000000" w:themeColor="text1"/>
        </w:rPr>
        <w:t>国有资本经营预算支出决算情况说明</w:t>
      </w:r>
      <w:bookmarkEnd w:id="46"/>
      <w:bookmarkEnd w:id="47"/>
    </w:p>
    <w:p>
      <w:pPr>
        <w:spacing w:line="600" w:lineRule="exact"/>
        <w:ind w:firstLine="64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2018年国有资本经营预算拨款支出0万元。</w:t>
      </w:r>
    </w:p>
    <w:p>
      <w:pPr>
        <w:pStyle w:val="24"/>
        <w:numPr>
          <w:ilvl w:val="0"/>
          <w:numId w:val="5"/>
        </w:numPr>
        <w:spacing w:line="580" w:lineRule="exact"/>
        <w:ind w:firstLineChars="0"/>
        <w:rPr>
          <w:rStyle w:val="26"/>
          <w:rFonts w:ascii="黑体" w:hAnsi="黑体" w:eastAsia="黑体"/>
          <w:b w:val="0"/>
          <w:color w:val="000000" w:themeColor="text1"/>
        </w:rPr>
      </w:pPr>
      <w:r>
        <w:rPr>
          <w:rStyle w:val="26"/>
          <w:rFonts w:hint="eastAsia" w:ascii="黑体" w:hAnsi="黑体" w:eastAsia="黑体"/>
          <w:b w:val="0"/>
          <w:color w:val="000000" w:themeColor="text1"/>
        </w:rPr>
        <w:t>预算绩效情况说明</w:t>
      </w:r>
    </w:p>
    <w:p>
      <w:pPr>
        <w:numPr>
          <w:ilvl w:val="0"/>
          <w:numId w:val="6"/>
        </w:numPr>
        <w:spacing w:line="580" w:lineRule="exact"/>
        <w:ind w:firstLine="642" w:firstLineChars="200"/>
        <w:rPr>
          <w:rFonts w:hint="eastAsia" w:ascii="方正仿宋简体" w:hAnsi="仿宋" w:eastAsia="方正仿宋简体" w:cs="楷体_GB2312"/>
          <w:b/>
          <w:bCs/>
          <w:color w:val="000000" w:themeColor="text1"/>
          <w:sz w:val="32"/>
          <w:szCs w:val="32"/>
        </w:rPr>
      </w:pPr>
      <w:r>
        <w:rPr>
          <w:rFonts w:hint="eastAsia" w:ascii="方正仿宋简体" w:hAnsi="仿宋" w:eastAsia="方正仿宋简体" w:cs="楷体_GB2312"/>
          <w:b/>
          <w:bCs/>
          <w:color w:val="000000" w:themeColor="text1"/>
          <w:sz w:val="32"/>
          <w:szCs w:val="32"/>
        </w:rPr>
        <w:t>预算绩效管理工作开展情况。</w:t>
      </w:r>
    </w:p>
    <w:p>
      <w:pPr>
        <w:spacing w:line="580" w:lineRule="exact"/>
        <w:ind w:firstLine="640" w:firstLineChars="200"/>
        <w:rPr>
          <w:rFonts w:hint="eastAsia" w:ascii="方正仿宋简体" w:hAnsi="仿宋_GB2312" w:eastAsia="方正仿宋简体" w:cs="仿宋_GB2312"/>
          <w:color w:val="000000" w:themeColor="text1"/>
          <w:sz w:val="32"/>
          <w:szCs w:val="32"/>
        </w:rPr>
      </w:pPr>
      <w:r>
        <w:rPr>
          <w:rFonts w:hint="eastAsia" w:ascii="方正仿宋简体" w:hAnsi="仿宋_GB2312" w:eastAsia="方正仿宋简体" w:cs="仿宋_GB2312"/>
          <w:color w:val="000000" w:themeColor="text1"/>
          <w:sz w:val="32"/>
          <w:szCs w:val="32"/>
        </w:rPr>
        <w:t>根据预算绩效管理要求，本部门（单位）在年初预算编制阶段，组织对政法平安建设、政法三级网运行维护、法学会专项事业项目开展了预算事前绩效评估，对3个项目编制了绩效目标，预算执行过程中，选取3个项目开展绩效监控，年终执行完毕后，对3个项目开展了绩效目标完成情况梳理填报。</w:t>
      </w:r>
    </w:p>
    <w:p>
      <w:pPr>
        <w:spacing w:line="580" w:lineRule="exact"/>
        <w:ind w:firstLine="640" w:firstLineChars="200"/>
        <w:rPr>
          <w:rFonts w:hint="eastAsia" w:ascii="方正仿宋简体" w:hAnsi="宋体" w:eastAsia="方正仿宋简体" w:cs="宋体"/>
          <w:color w:val="000000" w:themeColor="text1"/>
          <w:kern w:val="0"/>
          <w:sz w:val="20"/>
          <w:szCs w:val="20"/>
        </w:rPr>
      </w:pPr>
      <w:r>
        <w:rPr>
          <w:rFonts w:hint="eastAsia" w:ascii="方正仿宋简体" w:eastAsia="方正仿宋简体" w:cs="仿宋_GB2312" w:hAnsiTheme="minorEastAsia"/>
          <w:color w:val="000000" w:themeColor="text1"/>
          <w:sz w:val="32"/>
          <w:szCs w:val="32"/>
        </w:rPr>
        <w:t>本部门按要求对2018年部门整体支出开展绩效自评，从评价情况来看</w:t>
      </w:r>
      <w:r>
        <w:rPr>
          <w:rFonts w:hint="eastAsia" w:ascii="方正仿宋简体" w:eastAsia="方正仿宋简体" w:cs="宋体" w:hAnsiTheme="minorEastAsia"/>
          <w:color w:val="000000" w:themeColor="text1"/>
          <w:kern w:val="0"/>
          <w:sz w:val="32"/>
          <w:szCs w:val="32"/>
        </w:rPr>
        <w:t>贯彻执行党的有关政法工作的路线、方针、政策，综合协调政法各部门的工作。对政法工作作出全局性的部署，并督促贯彻落实。检查法律、法规的执行情况，研究制定严肃执法的具体措施督促、推动大案要案的</w:t>
      </w:r>
      <w:r>
        <w:rPr>
          <w:rFonts w:hint="eastAsia" w:ascii="方正仿宋简体" w:eastAsia="宋体GB2312" w:cs="宋体" w:hAnsiTheme="minorEastAsia"/>
          <w:color w:val="000000" w:themeColor="text1"/>
          <w:kern w:val="0"/>
          <w:sz w:val="32"/>
          <w:szCs w:val="32"/>
        </w:rPr>
        <w:t>査</w:t>
      </w:r>
      <w:r>
        <w:rPr>
          <w:rFonts w:hint="eastAsia" w:ascii="方正仿宋简体" w:eastAsia="方正仿宋简体" w:cs="宋体" w:hAnsiTheme="minorEastAsia"/>
          <w:color w:val="000000" w:themeColor="text1"/>
          <w:kern w:val="0"/>
          <w:sz w:val="32"/>
          <w:szCs w:val="32"/>
        </w:rPr>
        <w:t>处工作，研究协调有争议的重大、疑难案件的调</w:t>
      </w:r>
      <w:r>
        <w:rPr>
          <w:rFonts w:hint="eastAsia" w:ascii="方正仿宋简体" w:eastAsia="宋体GB2312" w:cs="宋体" w:hAnsiTheme="minorEastAsia"/>
          <w:color w:val="000000" w:themeColor="text1"/>
          <w:kern w:val="0"/>
          <w:sz w:val="32"/>
          <w:szCs w:val="32"/>
        </w:rPr>
        <w:t>査</w:t>
      </w:r>
      <w:r>
        <w:rPr>
          <w:rFonts w:hint="eastAsia" w:ascii="方正仿宋简体" w:eastAsia="方正仿宋简体" w:cs="宋体" w:hAnsiTheme="minorEastAsia"/>
          <w:color w:val="000000" w:themeColor="text1"/>
          <w:kern w:val="0"/>
          <w:sz w:val="32"/>
          <w:szCs w:val="32"/>
        </w:rPr>
        <w:t>处理。指导政法部门领导</w:t>
      </w:r>
      <w:r>
        <w:rPr>
          <w:rFonts w:hint="eastAsia" w:ascii="方正仿宋简体" w:hAnsi="仿宋" w:eastAsia="方正仿宋简体" w:cs="宋体"/>
          <w:color w:val="000000" w:themeColor="text1"/>
          <w:kern w:val="0"/>
          <w:sz w:val="32"/>
          <w:szCs w:val="32"/>
        </w:rPr>
        <w:t xml:space="preserve">班子建设和队伍建设，配合有关部门查处政法部门领导干部违法违纪案件，协助有关部门考察、管理政法部门的领导干部。协助管理政法系统有关专项经费。 </w:t>
      </w:r>
    </w:p>
    <w:p>
      <w:pPr>
        <w:spacing w:line="580" w:lineRule="exact"/>
        <w:ind w:firstLine="640" w:firstLineChars="200"/>
        <w:rPr>
          <w:rFonts w:hint="eastAsia" w:ascii="方正仿宋简体" w:hAnsi="仿宋_GB2312" w:eastAsia="方正仿宋简体" w:cs="仿宋_GB2312"/>
          <w:color w:val="000000" w:themeColor="text1"/>
          <w:sz w:val="32"/>
          <w:szCs w:val="32"/>
        </w:rPr>
      </w:pPr>
      <w:r>
        <w:rPr>
          <w:rFonts w:hint="eastAsia" w:ascii="方正仿宋简体" w:hAnsi="仿宋_GB2312" w:eastAsia="方正仿宋简体" w:cs="仿宋_GB2312"/>
          <w:color w:val="000000" w:themeColor="text1"/>
          <w:sz w:val="32"/>
          <w:szCs w:val="32"/>
        </w:rPr>
        <w:t>本部门无自行组织项目绩效评价。</w:t>
      </w:r>
    </w:p>
    <w:p>
      <w:pPr>
        <w:numPr>
          <w:ilvl w:val="0"/>
          <w:numId w:val="6"/>
        </w:numPr>
        <w:spacing w:line="580" w:lineRule="exact"/>
        <w:ind w:firstLine="642" w:firstLineChars="200"/>
        <w:rPr>
          <w:rFonts w:hint="eastAsia" w:ascii="方正仿宋简体" w:hAnsi="仿宋_GB2312" w:eastAsia="方正仿宋简体" w:cs="仿宋_GB2312"/>
          <w:color w:val="000000" w:themeColor="text1"/>
          <w:sz w:val="32"/>
          <w:szCs w:val="32"/>
        </w:rPr>
      </w:pPr>
      <w:r>
        <w:rPr>
          <w:rFonts w:hint="eastAsia" w:ascii="方正仿宋简体" w:hAnsi="仿宋" w:eastAsia="方正仿宋简体" w:cs="楷体_GB2312"/>
          <w:b/>
          <w:bCs/>
          <w:color w:val="000000" w:themeColor="text1"/>
          <w:sz w:val="32"/>
          <w:szCs w:val="32"/>
        </w:rPr>
        <w:t>项目绩效目标完成情况。</w:t>
      </w:r>
      <w:r>
        <w:rPr>
          <w:rFonts w:hint="eastAsia" w:ascii="方正仿宋简体" w:hAnsi="楷体_GB2312" w:eastAsia="方正仿宋简体" w:cs="楷体_GB2312"/>
          <w:b/>
          <w:bCs/>
          <w:color w:val="000000" w:themeColor="text1"/>
          <w:sz w:val="32"/>
          <w:szCs w:val="32"/>
        </w:rPr>
        <w:br w:type="textWrapping"/>
      </w:r>
      <w:r>
        <w:rPr>
          <w:rFonts w:hint="eastAsia" w:ascii="方正仿宋简体" w:hAnsi="仿宋_GB2312" w:eastAsia="方正仿宋简体" w:cs="仿宋_GB2312"/>
          <w:color w:val="000000" w:themeColor="text1"/>
          <w:sz w:val="32"/>
          <w:szCs w:val="32"/>
        </w:rPr>
        <w:t xml:space="preserve">    本部门在2018年度部门决算中反映“政法平安建设” “政法三级网运行维护”等3个项目绩效目标实际完成情况。（本单位部门项目绩效目标个数3个，选取3个项目进行公开，公开内容包括完成情况综述和完成情况表）。</w:t>
      </w:r>
    </w:p>
    <w:p>
      <w:pPr>
        <w:pStyle w:val="24"/>
        <w:numPr>
          <w:ilvl w:val="0"/>
          <w:numId w:val="7"/>
        </w:numPr>
        <w:spacing w:line="580" w:lineRule="exact"/>
        <w:ind w:firstLine="640"/>
        <w:rPr>
          <w:rFonts w:hint="eastAsia" w:ascii="方正仿宋简体" w:hAnsi="仿宋_GB2312" w:eastAsia="方正仿宋简体" w:cs="仿宋_GB2312"/>
          <w:color w:val="000000" w:themeColor="text1"/>
          <w:sz w:val="32"/>
          <w:szCs w:val="32"/>
        </w:rPr>
      </w:pPr>
      <w:r>
        <w:rPr>
          <w:rFonts w:hint="eastAsia" w:ascii="方正仿宋简体" w:hAnsi="仿宋_GB2312" w:eastAsia="方正仿宋简体" w:cs="仿宋_GB2312"/>
          <w:color w:val="000000" w:themeColor="text1"/>
          <w:sz w:val="32"/>
          <w:szCs w:val="32"/>
        </w:rPr>
        <w:t>政法平安建设项目绩效目标完成情况综述。项目全年预算数5万元，执行数为5万元，完成预算的100%。通过项目实施，保障（深化平安利州建设，争创全省“平安建设”先进县（区），不断提升群众安全感和满意度）发现的主要问题：宣传力度不够。下一步改进措施：加大宣传力度和投入。</w:t>
      </w:r>
    </w:p>
    <w:p>
      <w:pPr>
        <w:numPr>
          <w:ilvl w:val="0"/>
          <w:numId w:val="7"/>
        </w:numPr>
        <w:spacing w:line="580" w:lineRule="exact"/>
        <w:ind w:firstLine="640" w:firstLineChars="200"/>
        <w:rPr>
          <w:rFonts w:hint="eastAsia" w:ascii="方正仿宋简体" w:hAnsi="仿宋_GB2312" w:eastAsia="方正仿宋简体" w:cs="仿宋_GB2312"/>
          <w:color w:val="000000" w:themeColor="text1"/>
          <w:sz w:val="32"/>
          <w:szCs w:val="32"/>
        </w:rPr>
      </w:pPr>
      <w:r>
        <w:rPr>
          <w:rFonts w:hint="eastAsia" w:ascii="方正仿宋简体" w:hAnsi="仿宋_GB2312" w:eastAsia="方正仿宋简体" w:cs="仿宋_GB2312"/>
          <w:color w:val="000000" w:themeColor="text1"/>
          <w:sz w:val="32"/>
          <w:szCs w:val="32"/>
        </w:rPr>
        <w:t>政法三级网运行维护项目绩效目标完成情况综述。项目全年预算数17万元，执行数为17万元，完成预算的100%，政法三级网运行维护(保障利州区政法部门网络设施共建信息资源共享平台的正常使用维护，及时组织政法部门学习、宣传上级的视频会议精神等,），发现的主要问题：无。下一步改进措施：无。</w:t>
      </w:r>
    </w:p>
    <w:p>
      <w:pPr>
        <w:numPr>
          <w:ilvl w:val="0"/>
          <w:numId w:val="7"/>
        </w:numPr>
        <w:spacing w:line="580" w:lineRule="exact"/>
        <w:ind w:firstLine="640" w:firstLineChars="200"/>
        <w:rPr>
          <w:rFonts w:hint="eastAsia" w:ascii="方正仿宋简体" w:hAnsi="仿宋_GB2312" w:eastAsia="方正仿宋简体" w:cs="仿宋_GB2312"/>
          <w:color w:val="000000" w:themeColor="text1"/>
          <w:sz w:val="32"/>
          <w:szCs w:val="32"/>
        </w:rPr>
      </w:pPr>
      <w:r>
        <w:rPr>
          <w:rFonts w:hint="eastAsia" w:ascii="方正仿宋简体" w:hAnsi="仿宋_GB2312" w:eastAsia="方正仿宋简体" w:cs="仿宋_GB2312"/>
          <w:color w:val="000000" w:themeColor="text1"/>
          <w:sz w:val="32"/>
          <w:szCs w:val="32"/>
        </w:rPr>
        <w:t>法学会专项事业项目绩效目标完成情况综述。项目全年预算数3万元，执行数为3万元，完成预算的100%，法学会专项事业(组织利州区法学工作者、法律工作者学习和贯彻党的基本理论、路线 、纲领，提高政治素质和业务素质，深入实际进行调查研究，反映新情况，研究新问题，加强信息交流和传播；开展同各省、各地区和国际组织间的学术交流与合作，为我区矛盾纠纷化解提供法律支持），发现的主要问题：无。下一步改进措施：无。</w:t>
      </w:r>
    </w:p>
    <w:p>
      <w:pPr>
        <w:tabs>
          <w:tab w:val="left" w:pos="312"/>
        </w:tabs>
        <w:spacing w:line="580" w:lineRule="exact"/>
        <w:rPr>
          <w:rFonts w:hint="eastAsia" w:ascii="方正仿宋简体" w:hAnsi="仿宋_GB2312" w:eastAsia="方正仿宋简体" w:cs="仿宋_GB2312"/>
          <w:color w:val="000000" w:themeColor="text1"/>
          <w:sz w:val="32"/>
          <w:szCs w:val="32"/>
        </w:rPr>
      </w:pPr>
    </w:p>
    <w:p>
      <w:pPr>
        <w:tabs>
          <w:tab w:val="left" w:pos="312"/>
        </w:tabs>
        <w:spacing w:line="580" w:lineRule="exact"/>
        <w:rPr>
          <w:rFonts w:hint="eastAsia" w:ascii="方正仿宋简体" w:hAnsi="仿宋_GB2312" w:eastAsia="方正仿宋简体" w:cs="仿宋_GB2312"/>
          <w:color w:val="000000" w:themeColor="text1"/>
          <w:sz w:val="32"/>
          <w:szCs w:val="32"/>
        </w:rPr>
      </w:pPr>
    </w:p>
    <w:p>
      <w:pPr>
        <w:tabs>
          <w:tab w:val="left" w:pos="312"/>
        </w:tabs>
        <w:spacing w:line="580" w:lineRule="exact"/>
        <w:rPr>
          <w:rFonts w:hint="eastAsia" w:ascii="仿宋_GB2312" w:hAnsi="仿宋_GB2312" w:eastAsia="仿宋_GB2312" w:cs="仿宋_GB2312"/>
          <w:color w:val="000000" w:themeColor="text1"/>
          <w:sz w:val="32"/>
          <w:szCs w:val="32"/>
        </w:rPr>
      </w:pPr>
    </w:p>
    <w:p>
      <w:pPr>
        <w:tabs>
          <w:tab w:val="left" w:pos="312"/>
        </w:tabs>
        <w:spacing w:line="580" w:lineRule="exact"/>
        <w:rPr>
          <w:rFonts w:hint="eastAsia" w:ascii="仿宋_GB2312" w:hAnsi="仿宋_GB2312" w:eastAsia="仿宋_GB2312" w:cs="仿宋_GB2312"/>
          <w:color w:val="000000" w:themeColor="text1"/>
          <w:sz w:val="32"/>
          <w:szCs w:val="32"/>
        </w:rPr>
      </w:pPr>
    </w:p>
    <w:p>
      <w:pPr>
        <w:tabs>
          <w:tab w:val="left" w:pos="312"/>
        </w:tabs>
        <w:spacing w:line="580" w:lineRule="exact"/>
        <w:rPr>
          <w:rFonts w:hint="eastAsia" w:ascii="黑体" w:hAnsi="黑体" w:eastAsia="黑体" w:cs="宋体"/>
          <w:bCs/>
          <w:color w:val="000000" w:themeColor="text1"/>
          <w:kern w:val="0"/>
          <w:sz w:val="36"/>
          <w:szCs w:val="36"/>
        </w:rPr>
      </w:pPr>
    </w:p>
    <w:p>
      <w:pPr>
        <w:tabs>
          <w:tab w:val="left" w:pos="312"/>
        </w:tabs>
        <w:spacing w:line="580" w:lineRule="exact"/>
        <w:rPr>
          <w:rFonts w:hint="eastAsia" w:ascii="黑体" w:hAnsi="黑体" w:eastAsia="黑体" w:cs="宋体"/>
          <w:bCs/>
          <w:color w:val="000000" w:themeColor="text1"/>
          <w:kern w:val="0"/>
          <w:sz w:val="36"/>
          <w:szCs w:val="36"/>
        </w:rPr>
      </w:pPr>
    </w:p>
    <w:p>
      <w:pPr>
        <w:tabs>
          <w:tab w:val="left" w:pos="312"/>
        </w:tabs>
        <w:spacing w:line="580" w:lineRule="exact"/>
        <w:jc w:val="center"/>
        <w:rPr>
          <w:rFonts w:ascii="仿宋_GB2312" w:hAnsi="仿宋_GB2312" w:eastAsia="仿宋_GB2312" w:cs="仿宋_GB2312"/>
          <w:color w:val="000000" w:themeColor="text1"/>
          <w:sz w:val="32"/>
          <w:szCs w:val="32"/>
        </w:rPr>
      </w:pPr>
      <w:r>
        <w:rPr>
          <w:rFonts w:hint="eastAsia" w:ascii="黑体" w:hAnsi="黑体" w:eastAsia="黑体" w:cs="宋体"/>
          <w:bCs/>
          <w:color w:val="000000" w:themeColor="text1"/>
          <w:kern w:val="0"/>
          <w:sz w:val="36"/>
          <w:szCs w:val="36"/>
        </w:rPr>
        <w:t>项目支出绩效目标完成情况表</w:t>
      </w:r>
      <w:r>
        <w:rPr>
          <w:rFonts w:hint="eastAsia" w:ascii="宋体" w:hAnsi="宋体" w:cs="宋体"/>
          <w:b/>
          <w:bCs/>
          <w:color w:val="000000" w:themeColor="text1"/>
          <w:kern w:val="0"/>
          <w:sz w:val="36"/>
          <w:szCs w:val="36"/>
        </w:rPr>
        <w:br w:type="textWrapping"/>
      </w:r>
      <w:r>
        <w:rPr>
          <w:rFonts w:hint="eastAsia" w:ascii="宋体" w:hAnsi="宋体" w:cs="宋体"/>
          <w:color w:val="000000" w:themeColor="text1"/>
          <w:kern w:val="0"/>
          <w:sz w:val="36"/>
          <w:szCs w:val="36"/>
        </w:rPr>
        <w:t>(2018年度)</w:t>
      </w:r>
    </w:p>
    <w:tbl>
      <w:tblPr>
        <w:tblStyle w:val="13"/>
        <w:tblW w:w="8874" w:type="dxa"/>
        <w:jc w:val="center"/>
        <w:tblLayout w:type="fixed"/>
        <w:tblCellMar>
          <w:top w:w="0" w:type="dxa"/>
          <w:left w:w="0" w:type="dxa"/>
          <w:bottom w:w="0" w:type="dxa"/>
          <w:right w:w="0" w:type="dxa"/>
        </w:tblCellMar>
      </w:tblPr>
      <w:tblGrid>
        <w:gridCol w:w="347"/>
        <w:gridCol w:w="1218"/>
        <w:gridCol w:w="914"/>
        <w:gridCol w:w="2132"/>
        <w:gridCol w:w="2133"/>
        <w:gridCol w:w="2130"/>
      </w:tblGrid>
      <w:tr>
        <w:tblPrEx>
          <w:tblCellMar>
            <w:top w:w="0" w:type="dxa"/>
            <w:left w:w="0" w:type="dxa"/>
            <w:bottom w:w="0" w:type="dxa"/>
            <w:right w:w="0" w:type="dxa"/>
          </w:tblCellMar>
        </w:tblPrEx>
        <w:trPr>
          <w:trHeight w:val="276" w:hRule="atLeast"/>
          <w:jc w:val="center"/>
        </w:trPr>
        <w:tc>
          <w:tcPr>
            <w:tcW w:w="247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项目名称</w:t>
            </w:r>
          </w:p>
        </w:tc>
        <w:tc>
          <w:tcPr>
            <w:tcW w:w="639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政法平安建设</w:t>
            </w:r>
          </w:p>
        </w:tc>
      </w:tr>
      <w:tr>
        <w:tblPrEx>
          <w:tblCellMar>
            <w:top w:w="0" w:type="dxa"/>
            <w:left w:w="0" w:type="dxa"/>
            <w:bottom w:w="0" w:type="dxa"/>
            <w:right w:w="0" w:type="dxa"/>
          </w:tblCellMar>
        </w:tblPrEx>
        <w:trPr>
          <w:trHeight w:val="276" w:hRule="atLeast"/>
          <w:jc w:val="center"/>
        </w:trPr>
        <w:tc>
          <w:tcPr>
            <w:tcW w:w="247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预算单位</w:t>
            </w:r>
          </w:p>
        </w:tc>
        <w:tc>
          <w:tcPr>
            <w:tcW w:w="639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区委政法委</w:t>
            </w:r>
          </w:p>
        </w:tc>
      </w:tr>
      <w:tr>
        <w:tblPrEx>
          <w:tblCellMar>
            <w:top w:w="0" w:type="dxa"/>
            <w:left w:w="0" w:type="dxa"/>
            <w:bottom w:w="0" w:type="dxa"/>
            <w:right w:w="0" w:type="dxa"/>
          </w:tblCellMar>
        </w:tblPrEx>
        <w:trPr>
          <w:trHeight w:val="276" w:hRule="atLeast"/>
          <w:jc w:val="center"/>
        </w:trPr>
        <w:tc>
          <w:tcPr>
            <w:tcW w:w="34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预算执行情况(万元)</w:t>
            </w:r>
          </w:p>
        </w:tc>
        <w:tc>
          <w:tcPr>
            <w:tcW w:w="21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预算数:</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5</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执行数:</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5</w:t>
            </w:r>
          </w:p>
        </w:tc>
      </w:tr>
      <w:tr>
        <w:tblPrEx>
          <w:tblCellMar>
            <w:top w:w="0" w:type="dxa"/>
            <w:left w:w="0" w:type="dxa"/>
            <w:bottom w:w="0" w:type="dxa"/>
            <w:right w:w="0" w:type="dxa"/>
          </w:tblCellMar>
        </w:tblPrEx>
        <w:trPr>
          <w:trHeight w:val="276" w:hRule="atLeast"/>
          <w:jc w:val="center"/>
        </w:trPr>
        <w:tc>
          <w:tcPr>
            <w:tcW w:w="3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szCs w:val="21"/>
              </w:rPr>
            </w:pPr>
          </w:p>
        </w:tc>
        <w:tc>
          <w:tcPr>
            <w:tcW w:w="21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其中-财政拨款:</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5</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其中-财政拨款:</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5</w:t>
            </w:r>
          </w:p>
        </w:tc>
      </w:tr>
      <w:tr>
        <w:tblPrEx>
          <w:tblCellMar>
            <w:top w:w="0" w:type="dxa"/>
            <w:left w:w="0" w:type="dxa"/>
            <w:bottom w:w="0" w:type="dxa"/>
            <w:right w:w="0" w:type="dxa"/>
          </w:tblCellMar>
        </w:tblPrEx>
        <w:trPr>
          <w:trHeight w:val="418" w:hRule="atLeast"/>
          <w:jc w:val="center"/>
        </w:trPr>
        <w:tc>
          <w:tcPr>
            <w:tcW w:w="3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szCs w:val="21"/>
              </w:rPr>
            </w:pPr>
          </w:p>
        </w:tc>
        <w:tc>
          <w:tcPr>
            <w:tcW w:w="21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其它资金:</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0</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其它资金:</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cs="宋体" w:asciiTheme="minorEastAsia" w:hAnsiTheme="minorEastAsia" w:eastAsiaTheme="minorEastAsia"/>
                <w:color w:val="000000" w:themeColor="text1"/>
                <w:szCs w:val="21"/>
              </w:rPr>
            </w:pPr>
          </w:p>
        </w:tc>
      </w:tr>
      <w:tr>
        <w:tblPrEx>
          <w:tblCellMar>
            <w:top w:w="0" w:type="dxa"/>
            <w:left w:w="0" w:type="dxa"/>
            <w:bottom w:w="0" w:type="dxa"/>
            <w:right w:w="0" w:type="dxa"/>
          </w:tblCellMar>
        </w:tblPrEx>
        <w:trPr>
          <w:trHeight w:val="276" w:hRule="atLeast"/>
          <w:jc w:val="center"/>
        </w:trPr>
        <w:tc>
          <w:tcPr>
            <w:tcW w:w="34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年度目标完成情况</w:t>
            </w:r>
          </w:p>
        </w:tc>
        <w:tc>
          <w:tcPr>
            <w:tcW w:w="426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预期目标</w:t>
            </w:r>
          </w:p>
        </w:tc>
        <w:tc>
          <w:tcPr>
            <w:tcW w:w="42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实际完成目标</w:t>
            </w:r>
          </w:p>
        </w:tc>
      </w:tr>
      <w:tr>
        <w:tblPrEx>
          <w:tblCellMar>
            <w:top w:w="0" w:type="dxa"/>
            <w:left w:w="0" w:type="dxa"/>
            <w:bottom w:w="0" w:type="dxa"/>
            <w:right w:w="0" w:type="dxa"/>
          </w:tblCellMar>
        </w:tblPrEx>
        <w:trPr>
          <w:trHeight w:val="1754" w:hRule="atLeast"/>
          <w:jc w:val="center"/>
        </w:trPr>
        <w:tc>
          <w:tcPr>
            <w:tcW w:w="3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szCs w:val="21"/>
              </w:rPr>
            </w:pPr>
          </w:p>
        </w:tc>
        <w:tc>
          <w:tcPr>
            <w:tcW w:w="426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深化平安利州建设，争创全省“平安建设”先进县（区），不断提升群众安全感和满意度</w:t>
            </w:r>
          </w:p>
        </w:tc>
        <w:tc>
          <w:tcPr>
            <w:tcW w:w="42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仿宋_GB2312" w:asciiTheme="minorEastAsia" w:hAnsiTheme="minorEastAsia" w:eastAsiaTheme="minorEastAsia"/>
                <w:color w:val="000000" w:themeColor="text1"/>
                <w:szCs w:val="21"/>
              </w:rPr>
              <w:t>深化平安利州建设，争创全省“平安建设”先进县（区），不断提升群众安全感和满意度</w:t>
            </w:r>
          </w:p>
        </w:tc>
      </w:tr>
      <w:tr>
        <w:tblPrEx>
          <w:tblCellMar>
            <w:top w:w="0" w:type="dxa"/>
            <w:left w:w="0" w:type="dxa"/>
            <w:bottom w:w="0" w:type="dxa"/>
            <w:right w:w="0" w:type="dxa"/>
          </w:tblCellMar>
        </w:tblPrEx>
        <w:trPr>
          <w:trHeight w:val="1042" w:hRule="atLeast"/>
          <w:jc w:val="center"/>
        </w:trPr>
        <w:tc>
          <w:tcPr>
            <w:tcW w:w="34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u w:val="single"/>
              </w:rPr>
            </w:pPr>
            <w:r>
              <w:rPr>
                <w:rFonts w:hint="eastAsia" w:cs="宋体" w:asciiTheme="minorEastAsia" w:hAnsiTheme="minorEastAsia" w:eastAsiaTheme="minorEastAsia"/>
                <w:color w:val="000000" w:themeColor="text1"/>
                <w:szCs w:val="21"/>
                <w:u w:val="single"/>
              </w:rPr>
              <w:t>绩效指标完成情况</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一级指标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二级指标</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三级指标</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预期指标值(包含数字及文字描述)</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实际完成指标值(包含数字及文字描述)</w:t>
            </w:r>
          </w:p>
        </w:tc>
      </w:tr>
      <w:tr>
        <w:tblPrEx>
          <w:tblCellMar>
            <w:top w:w="0" w:type="dxa"/>
            <w:left w:w="0" w:type="dxa"/>
            <w:bottom w:w="0" w:type="dxa"/>
            <w:right w:w="0" w:type="dxa"/>
          </w:tblCellMar>
        </w:tblPrEx>
        <w:trPr>
          <w:trHeight w:val="953" w:hRule="atLeast"/>
          <w:jc w:val="center"/>
        </w:trPr>
        <w:tc>
          <w:tcPr>
            <w:tcW w:w="3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szCs w:val="21"/>
                <w:u w:val="single"/>
              </w:rPr>
            </w:pP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质量指标</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社会平安稳定</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30</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30</w:t>
            </w:r>
          </w:p>
        </w:tc>
      </w:tr>
      <w:tr>
        <w:tblPrEx>
          <w:tblCellMar>
            <w:top w:w="0" w:type="dxa"/>
            <w:left w:w="0" w:type="dxa"/>
            <w:bottom w:w="0" w:type="dxa"/>
            <w:right w:w="0" w:type="dxa"/>
          </w:tblCellMar>
        </w:tblPrEx>
        <w:trPr>
          <w:trHeight w:val="793" w:hRule="atLeast"/>
          <w:jc w:val="center"/>
        </w:trPr>
        <w:tc>
          <w:tcPr>
            <w:tcW w:w="3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szCs w:val="21"/>
                <w:u w:val="single"/>
              </w:rPr>
            </w:pP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p>
        </w:tc>
      </w:tr>
      <w:tr>
        <w:tblPrEx>
          <w:tblCellMar>
            <w:top w:w="0" w:type="dxa"/>
            <w:left w:w="0" w:type="dxa"/>
            <w:bottom w:w="0" w:type="dxa"/>
            <w:right w:w="0" w:type="dxa"/>
          </w:tblCellMar>
        </w:tblPrEx>
        <w:trPr>
          <w:trHeight w:val="679" w:hRule="atLeast"/>
          <w:jc w:val="center"/>
        </w:trPr>
        <w:tc>
          <w:tcPr>
            <w:tcW w:w="3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szCs w:val="21"/>
                <w:u w:val="single"/>
              </w:rPr>
            </w:pP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p>
        </w:tc>
      </w:tr>
      <w:tr>
        <w:tblPrEx>
          <w:tblCellMar>
            <w:top w:w="0" w:type="dxa"/>
            <w:left w:w="0" w:type="dxa"/>
            <w:bottom w:w="0" w:type="dxa"/>
            <w:right w:w="0" w:type="dxa"/>
          </w:tblCellMar>
        </w:tblPrEx>
        <w:trPr>
          <w:trHeight w:val="1042" w:hRule="atLeast"/>
          <w:jc w:val="center"/>
        </w:trPr>
        <w:tc>
          <w:tcPr>
            <w:tcW w:w="3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szCs w:val="21"/>
                <w:u w:val="single"/>
              </w:rPr>
            </w:pP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项目效益</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提升群众安全感和满意度</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30</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30</w:t>
            </w:r>
          </w:p>
        </w:tc>
      </w:tr>
      <w:tr>
        <w:tblPrEx>
          <w:tblCellMar>
            <w:top w:w="0" w:type="dxa"/>
            <w:left w:w="0" w:type="dxa"/>
            <w:bottom w:w="0" w:type="dxa"/>
            <w:right w:w="0" w:type="dxa"/>
          </w:tblCellMar>
        </w:tblPrEx>
        <w:trPr>
          <w:trHeight w:val="1050" w:hRule="atLeast"/>
          <w:jc w:val="center"/>
        </w:trPr>
        <w:tc>
          <w:tcPr>
            <w:tcW w:w="3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szCs w:val="21"/>
                <w:u w:val="single"/>
              </w:rPr>
            </w:pP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满意度指标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满意度指标</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群众满意度98%</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40</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40</w:t>
            </w:r>
          </w:p>
        </w:tc>
      </w:tr>
    </w:tbl>
    <w:p>
      <w:pPr>
        <w:rPr>
          <w:rFonts w:ascii="Calibri" w:hAnsi="Calibri"/>
          <w:color w:val="000000" w:themeColor="text1"/>
          <w:u w:val="single"/>
        </w:rPr>
      </w:pPr>
    </w:p>
    <w:tbl>
      <w:tblPr>
        <w:tblStyle w:val="13"/>
        <w:tblW w:w="8874" w:type="dxa"/>
        <w:jc w:val="center"/>
        <w:tblLayout w:type="fixed"/>
        <w:tblCellMar>
          <w:top w:w="0" w:type="dxa"/>
          <w:left w:w="0" w:type="dxa"/>
          <w:bottom w:w="0" w:type="dxa"/>
          <w:right w:w="0" w:type="dxa"/>
        </w:tblCellMar>
      </w:tblPr>
      <w:tblGrid>
        <w:gridCol w:w="348"/>
        <w:gridCol w:w="1218"/>
        <w:gridCol w:w="914"/>
        <w:gridCol w:w="2133"/>
        <w:gridCol w:w="2133"/>
        <w:gridCol w:w="2128"/>
      </w:tblGrid>
      <w:tr>
        <w:tblPrEx>
          <w:tblCellMar>
            <w:top w:w="0" w:type="dxa"/>
            <w:left w:w="0" w:type="dxa"/>
            <w:bottom w:w="0" w:type="dxa"/>
            <w:right w:w="0" w:type="dxa"/>
          </w:tblCellMar>
        </w:tblPrEx>
        <w:trPr>
          <w:trHeight w:val="276" w:hRule="atLeast"/>
          <w:jc w:val="center"/>
        </w:trPr>
        <w:tc>
          <w:tcPr>
            <w:tcW w:w="248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项目名称</w:t>
            </w:r>
          </w:p>
        </w:tc>
        <w:tc>
          <w:tcPr>
            <w:tcW w:w="639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政法三级网运行维护</w:t>
            </w:r>
          </w:p>
        </w:tc>
      </w:tr>
      <w:tr>
        <w:tblPrEx>
          <w:tblCellMar>
            <w:top w:w="0" w:type="dxa"/>
            <w:left w:w="0" w:type="dxa"/>
            <w:bottom w:w="0" w:type="dxa"/>
            <w:right w:w="0" w:type="dxa"/>
          </w:tblCellMar>
        </w:tblPrEx>
        <w:trPr>
          <w:trHeight w:val="276" w:hRule="atLeast"/>
          <w:jc w:val="center"/>
        </w:trPr>
        <w:tc>
          <w:tcPr>
            <w:tcW w:w="248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预算单位</w:t>
            </w:r>
          </w:p>
        </w:tc>
        <w:tc>
          <w:tcPr>
            <w:tcW w:w="639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区委政法委</w:t>
            </w:r>
          </w:p>
        </w:tc>
      </w:tr>
      <w:tr>
        <w:tblPrEx>
          <w:tblCellMar>
            <w:top w:w="0" w:type="dxa"/>
            <w:left w:w="0" w:type="dxa"/>
            <w:bottom w:w="0" w:type="dxa"/>
            <w:right w:w="0" w:type="dxa"/>
          </w:tblCellMar>
        </w:tblPrEx>
        <w:trPr>
          <w:trHeight w:val="276" w:hRule="atLeast"/>
          <w:jc w:val="center"/>
        </w:trPr>
        <w:tc>
          <w:tcPr>
            <w:tcW w:w="34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预算执行情况(万元)</w:t>
            </w:r>
          </w:p>
        </w:tc>
        <w:tc>
          <w:tcPr>
            <w:tcW w:w="21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预算数:</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17</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执行数:</w:t>
            </w: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17</w:t>
            </w:r>
          </w:p>
        </w:tc>
      </w:tr>
      <w:tr>
        <w:tblPrEx>
          <w:tblCellMar>
            <w:top w:w="0" w:type="dxa"/>
            <w:left w:w="0" w:type="dxa"/>
            <w:bottom w:w="0" w:type="dxa"/>
            <w:right w:w="0" w:type="dxa"/>
          </w:tblCellMar>
        </w:tblPrEx>
        <w:trPr>
          <w:trHeight w:val="276" w:hRule="atLeast"/>
          <w:jc w:val="center"/>
        </w:trPr>
        <w:tc>
          <w:tcPr>
            <w:tcW w:w="3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szCs w:val="21"/>
              </w:rPr>
            </w:pPr>
          </w:p>
        </w:tc>
        <w:tc>
          <w:tcPr>
            <w:tcW w:w="21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其中-财政拨款:</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17</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其中-财政拨款:</w:t>
            </w: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17</w:t>
            </w:r>
          </w:p>
        </w:tc>
      </w:tr>
      <w:tr>
        <w:tblPrEx>
          <w:tblCellMar>
            <w:top w:w="0" w:type="dxa"/>
            <w:left w:w="0" w:type="dxa"/>
            <w:bottom w:w="0" w:type="dxa"/>
            <w:right w:w="0" w:type="dxa"/>
          </w:tblCellMar>
        </w:tblPrEx>
        <w:trPr>
          <w:trHeight w:val="1511" w:hRule="atLeast"/>
          <w:jc w:val="center"/>
        </w:trPr>
        <w:tc>
          <w:tcPr>
            <w:tcW w:w="3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szCs w:val="21"/>
              </w:rPr>
            </w:pPr>
          </w:p>
        </w:tc>
        <w:tc>
          <w:tcPr>
            <w:tcW w:w="21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其它资金:</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0</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其它资金:</w:t>
            </w: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cs="宋体" w:asciiTheme="minorEastAsia" w:hAnsiTheme="minorEastAsia" w:eastAsiaTheme="minorEastAsia"/>
                <w:color w:val="000000" w:themeColor="text1"/>
                <w:szCs w:val="21"/>
              </w:rPr>
            </w:pPr>
          </w:p>
        </w:tc>
      </w:tr>
      <w:tr>
        <w:tblPrEx>
          <w:tblCellMar>
            <w:top w:w="0" w:type="dxa"/>
            <w:left w:w="0" w:type="dxa"/>
            <w:bottom w:w="0" w:type="dxa"/>
            <w:right w:w="0" w:type="dxa"/>
          </w:tblCellMar>
        </w:tblPrEx>
        <w:trPr>
          <w:trHeight w:val="276" w:hRule="atLeast"/>
          <w:jc w:val="center"/>
        </w:trPr>
        <w:tc>
          <w:tcPr>
            <w:tcW w:w="34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年度目标完成情况</w:t>
            </w:r>
          </w:p>
        </w:tc>
        <w:tc>
          <w:tcPr>
            <w:tcW w:w="426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预期目标</w:t>
            </w:r>
          </w:p>
        </w:tc>
        <w:tc>
          <w:tcPr>
            <w:tcW w:w="4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实际完成目标</w:t>
            </w:r>
          </w:p>
        </w:tc>
      </w:tr>
      <w:tr>
        <w:tblPrEx>
          <w:tblCellMar>
            <w:top w:w="0" w:type="dxa"/>
            <w:left w:w="0" w:type="dxa"/>
            <w:bottom w:w="0" w:type="dxa"/>
            <w:right w:w="0" w:type="dxa"/>
          </w:tblCellMar>
        </w:tblPrEx>
        <w:trPr>
          <w:trHeight w:val="1159" w:hRule="atLeast"/>
          <w:jc w:val="center"/>
        </w:trPr>
        <w:tc>
          <w:tcPr>
            <w:tcW w:w="3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szCs w:val="21"/>
              </w:rPr>
            </w:pPr>
          </w:p>
        </w:tc>
        <w:tc>
          <w:tcPr>
            <w:tcW w:w="426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保障利州区政法部门网络设施共建信息资源共享平台的正常使用维护，及时组织政法部门学习、宣传上级的视频会议精神等。</w:t>
            </w:r>
          </w:p>
        </w:tc>
        <w:tc>
          <w:tcPr>
            <w:tcW w:w="4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保障利州区政法部门网络设施共建信息资源共享平台的正常使用维护，及时组织政法部门学习、宣传上级的视频会议精神等。</w:t>
            </w:r>
          </w:p>
        </w:tc>
      </w:tr>
      <w:tr>
        <w:tblPrEx>
          <w:tblCellMar>
            <w:top w:w="0" w:type="dxa"/>
            <w:left w:w="0" w:type="dxa"/>
            <w:bottom w:w="0" w:type="dxa"/>
            <w:right w:w="0" w:type="dxa"/>
          </w:tblCellMar>
        </w:tblPrEx>
        <w:trPr>
          <w:trHeight w:val="911" w:hRule="atLeast"/>
          <w:jc w:val="center"/>
        </w:trPr>
        <w:tc>
          <w:tcPr>
            <w:tcW w:w="34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绩效指标完成情况</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一级指标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二级指标</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三级指标</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预期指标值(包含数字及文字描述)</w:t>
            </w: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实际完成指标值(包含数字及文字描述)</w:t>
            </w:r>
          </w:p>
        </w:tc>
      </w:tr>
      <w:tr>
        <w:tblPrEx>
          <w:tblCellMar>
            <w:top w:w="0" w:type="dxa"/>
            <w:left w:w="0" w:type="dxa"/>
            <w:bottom w:w="0" w:type="dxa"/>
            <w:right w:w="0" w:type="dxa"/>
          </w:tblCellMar>
        </w:tblPrEx>
        <w:trPr>
          <w:trHeight w:val="682" w:hRule="atLeast"/>
          <w:jc w:val="center"/>
        </w:trPr>
        <w:tc>
          <w:tcPr>
            <w:tcW w:w="3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szCs w:val="21"/>
              </w:rPr>
            </w:pP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质量指标</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视频、音频信号清晰</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30</w:t>
            </w: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30</w:t>
            </w:r>
          </w:p>
        </w:tc>
      </w:tr>
      <w:tr>
        <w:tblPrEx>
          <w:tblCellMar>
            <w:top w:w="0" w:type="dxa"/>
            <w:left w:w="0" w:type="dxa"/>
            <w:bottom w:w="0" w:type="dxa"/>
            <w:right w:w="0" w:type="dxa"/>
          </w:tblCellMar>
        </w:tblPrEx>
        <w:trPr>
          <w:trHeight w:val="820" w:hRule="atLeast"/>
          <w:jc w:val="center"/>
        </w:trPr>
        <w:tc>
          <w:tcPr>
            <w:tcW w:w="3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szCs w:val="21"/>
              </w:rPr>
            </w:pP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时效指标</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信息畅通</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20</w:t>
            </w: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20</w:t>
            </w:r>
          </w:p>
        </w:tc>
      </w:tr>
      <w:tr>
        <w:tblPrEx>
          <w:tblCellMar>
            <w:top w:w="0" w:type="dxa"/>
            <w:left w:w="0" w:type="dxa"/>
            <w:bottom w:w="0" w:type="dxa"/>
            <w:right w:w="0" w:type="dxa"/>
          </w:tblCellMar>
        </w:tblPrEx>
        <w:trPr>
          <w:trHeight w:val="1042" w:hRule="atLeast"/>
          <w:jc w:val="center"/>
        </w:trPr>
        <w:tc>
          <w:tcPr>
            <w:tcW w:w="3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szCs w:val="21"/>
              </w:rPr>
            </w:pP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经济效益指标</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各县区政法委均摊维护使用费更经济</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10</w:t>
            </w: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10</w:t>
            </w:r>
          </w:p>
        </w:tc>
      </w:tr>
      <w:tr>
        <w:tblPrEx>
          <w:tblCellMar>
            <w:top w:w="0" w:type="dxa"/>
            <w:left w:w="0" w:type="dxa"/>
            <w:bottom w:w="0" w:type="dxa"/>
            <w:right w:w="0" w:type="dxa"/>
          </w:tblCellMar>
        </w:tblPrEx>
        <w:trPr>
          <w:trHeight w:val="1042" w:hRule="atLeast"/>
          <w:jc w:val="center"/>
        </w:trPr>
        <w:tc>
          <w:tcPr>
            <w:tcW w:w="3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szCs w:val="21"/>
              </w:rPr>
            </w:pP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社会效益指标</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加强信息传达，保障信息的及时性</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20</w:t>
            </w: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20</w:t>
            </w:r>
          </w:p>
        </w:tc>
      </w:tr>
      <w:tr>
        <w:tblPrEx>
          <w:tblCellMar>
            <w:top w:w="0" w:type="dxa"/>
            <w:left w:w="0" w:type="dxa"/>
            <w:bottom w:w="0" w:type="dxa"/>
            <w:right w:w="0" w:type="dxa"/>
          </w:tblCellMar>
        </w:tblPrEx>
        <w:trPr>
          <w:trHeight w:val="1042" w:hRule="atLeast"/>
          <w:jc w:val="center"/>
        </w:trPr>
        <w:tc>
          <w:tcPr>
            <w:tcW w:w="3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szCs w:val="21"/>
              </w:rPr>
            </w:pP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效益指标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可持续影响指标</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加强政法队伍建设持续性</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10</w:t>
            </w: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10</w:t>
            </w:r>
          </w:p>
        </w:tc>
      </w:tr>
      <w:tr>
        <w:tblPrEx>
          <w:tblCellMar>
            <w:top w:w="0" w:type="dxa"/>
            <w:left w:w="0" w:type="dxa"/>
            <w:bottom w:w="0" w:type="dxa"/>
            <w:right w:w="0" w:type="dxa"/>
          </w:tblCellMar>
        </w:tblPrEx>
        <w:trPr>
          <w:trHeight w:val="826" w:hRule="atLeast"/>
          <w:jc w:val="center"/>
        </w:trPr>
        <w:tc>
          <w:tcPr>
            <w:tcW w:w="3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asciiTheme="minorEastAsia" w:hAnsiTheme="minorEastAsia" w:eastAsiaTheme="minorEastAsia"/>
                <w:color w:val="000000" w:themeColor="text1"/>
                <w:szCs w:val="21"/>
              </w:rPr>
            </w:pP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满意度指标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满意度指标</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以视频信号质量好坏委满意度</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10</w:t>
            </w:r>
          </w:p>
        </w:tc>
        <w:tc>
          <w:tcPr>
            <w:tcW w:w="212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10</w:t>
            </w:r>
          </w:p>
        </w:tc>
      </w:tr>
    </w:tbl>
    <w:p>
      <w:pPr>
        <w:jc w:val="center"/>
        <w:rPr>
          <w:rFonts w:ascii="Calibri" w:hAnsi="Calibri"/>
          <w:color w:val="000000" w:themeColor="text1"/>
        </w:rPr>
      </w:pPr>
      <w:r>
        <w:rPr>
          <w:rFonts w:hint="eastAsia" w:ascii="黑体" w:hAnsi="黑体" w:eastAsia="黑体" w:cs="宋体"/>
          <w:bCs/>
          <w:color w:val="000000" w:themeColor="text1"/>
          <w:kern w:val="0"/>
          <w:sz w:val="36"/>
          <w:szCs w:val="36"/>
        </w:rPr>
        <w:t>项目支出绩效目标完成情况表</w:t>
      </w:r>
      <w:r>
        <w:rPr>
          <w:rFonts w:hint="eastAsia" w:ascii="宋体" w:hAnsi="宋体" w:cs="宋体"/>
          <w:b/>
          <w:bCs/>
          <w:color w:val="000000" w:themeColor="text1"/>
          <w:kern w:val="0"/>
          <w:sz w:val="36"/>
          <w:szCs w:val="36"/>
        </w:rPr>
        <w:br w:type="textWrapping"/>
      </w:r>
      <w:r>
        <w:rPr>
          <w:rFonts w:hint="eastAsia" w:ascii="宋体" w:hAnsi="宋体" w:cs="宋体"/>
          <w:color w:val="000000" w:themeColor="text1"/>
          <w:kern w:val="0"/>
          <w:sz w:val="36"/>
          <w:szCs w:val="36"/>
        </w:rPr>
        <w:t>(2018 年度)</w:t>
      </w:r>
    </w:p>
    <w:p>
      <w:pPr>
        <w:rPr>
          <w:rFonts w:ascii="Calibri" w:hAnsi="Calibri"/>
          <w:color w:val="000000" w:themeColor="text1"/>
        </w:rPr>
      </w:pPr>
    </w:p>
    <w:tbl>
      <w:tblPr>
        <w:tblStyle w:val="13"/>
        <w:tblW w:w="8874" w:type="dxa"/>
        <w:jc w:val="center"/>
        <w:tblLayout w:type="fixed"/>
        <w:tblCellMar>
          <w:top w:w="0" w:type="dxa"/>
          <w:left w:w="0" w:type="dxa"/>
          <w:bottom w:w="0" w:type="dxa"/>
          <w:right w:w="0" w:type="dxa"/>
        </w:tblCellMar>
      </w:tblPr>
      <w:tblGrid>
        <w:gridCol w:w="582"/>
        <w:gridCol w:w="983"/>
        <w:gridCol w:w="914"/>
        <w:gridCol w:w="2132"/>
        <w:gridCol w:w="2133"/>
        <w:gridCol w:w="2130"/>
      </w:tblGrid>
      <w:tr>
        <w:tblPrEx>
          <w:tblCellMar>
            <w:top w:w="0" w:type="dxa"/>
            <w:left w:w="0" w:type="dxa"/>
            <w:bottom w:w="0" w:type="dxa"/>
            <w:right w:w="0" w:type="dxa"/>
          </w:tblCellMar>
        </w:tblPrEx>
        <w:trPr>
          <w:trHeight w:val="276" w:hRule="atLeast"/>
          <w:jc w:val="center"/>
        </w:trPr>
        <w:tc>
          <w:tcPr>
            <w:tcW w:w="247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项目名称</w:t>
            </w:r>
          </w:p>
        </w:tc>
        <w:tc>
          <w:tcPr>
            <w:tcW w:w="639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法学会专项事业</w:t>
            </w:r>
          </w:p>
        </w:tc>
      </w:tr>
      <w:tr>
        <w:tblPrEx>
          <w:tblCellMar>
            <w:top w:w="0" w:type="dxa"/>
            <w:left w:w="0" w:type="dxa"/>
            <w:bottom w:w="0" w:type="dxa"/>
            <w:right w:w="0" w:type="dxa"/>
          </w:tblCellMar>
        </w:tblPrEx>
        <w:trPr>
          <w:trHeight w:val="276" w:hRule="atLeast"/>
          <w:jc w:val="center"/>
        </w:trPr>
        <w:tc>
          <w:tcPr>
            <w:tcW w:w="247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预算单位</w:t>
            </w:r>
          </w:p>
        </w:tc>
        <w:tc>
          <w:tcPr>
            <w:tcW w:w="639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区委政法委</w:t>
            </w:r>
          </w:p>
        </w:tc>
      </w:tr>
      <w:tr>
        <w:tblPrEx>
          <w:tblCellMar>
            <w:top w:w="0" w:type="dxa"/>
            <w:left w:w="0" w:type="dxa"/>
            <w:bottom w:w="0" w:type="dxa"/>
            <w:right w:w="0" w:type="dxa"/>
          </w:tblCellMar>
        </w:tblPrEx>
        <w:trPr>
          <w:trHeight w:val="27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预算执行情况(万元)</w:t>
            </w:r>
          </w:p>
        </w:tc>
        <w:tc>
          <w:tcPr>
            <w:tcW w:w="189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预算数:</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3</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执行数:</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3</w:t>
            </w:r>
          </w:p>
        </w:tc>
      </w:tr>
      <w:tr>
        <w:tblPrEx>
          <w:tblCellMar>
            <w:top w:w="0" w:type="dxa"/>
            <w:left w:w="0" w:type="dxa"/>
            <w:bottom w:w="0" w:type="dxa"/>
            <w:right w:w="0" w:type="dxa"/>
          </w:tblCellMar>
        </w:tblPrEx>
        <w:trPr>
          <w:trHeight w:val="276"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rPr>
            </w:pPr>
          </w:p>
        </w:tc>
        <w:tc>
          <w:tcPr>
            <w:tcW w:w="189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其中-财政拨款:</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3</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其中-财政拨款:</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3</w:t>
            </w:r>
          </w:p>
        </w:tc>
      </w:tr>
      <w:tr>
        <w:tblPrEx>
          <w:tblCellMar>
            <w:top w:w="0" w:type="dxa"/>
            <w:left w:w="0" w:type="dxa"/>
            <w:bottom w:w="0" w:type="dxa"/>
            <w:right w:w="0" w:type="dxa"/>
          </w:tblCellMar>
        </w:tblPrEx>
        <w:trPr>
          <w:trHeight w:val="1511"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rPr>
            </w:pPr>
          </w:p>
        </w:tc>
        <w:tc>
          <w:tcPr>
            <w:tcW w:w="189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其它资金:</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0</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其它资金:</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themeColor="text1"/>
                <w:szCs w:val="21"/>
              </w:rPr>
            </w:pPr>
          </w:p>
        </w:tc>
      </w:tr>
      <w:tr>
        <w:tblPrEx>
          <w:tblCellMar>
            <w:top w:w="0" w:type="dxa"/>
            <w:left w:w="0" w:type="dxa"/>
            <w:bottom w:w="0" w:type="dxa"/>
            <w:right w:w="0" w:type="dxa"/>
          </w:tblCellMar>
        </w:tblPrEx>
        <w:trPr>
          <w:trHeight w:val="27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年度目标完成情况</w:t>
            </w:r>
          </w:p>
        </w:tc>
        <w:tc>
          <w:tcPr>
            <w:tcW w:w="402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预期目标</w:t>
            </w:r>
          </w:p>
        </w:tc>
        <w:tc>
          <w:tcPr>
            <w:tcW w:w="42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实际完成目标</w:t>
            </w:r>
          </w:p>
        </w:tc>
      </w:tr>
      <w:tr>
        <w:tblPrEx>
          <w:tblCellMar>
            <w:top w:w="0" w:type="dxa"/>
            <w:left w:w="0" w:type="dxa"/>
            <w:bottom w:w="0" w:type="dxa"/>
            <w:right w:w="0" w:type="dxa"/>
          </w:tblCellMar>
        </w:tblPrEx>
        <w:trPr>
          <w:trHeight w:val="1159"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rPr>
            </w:pPr>
          </w:p>
        </w:tc>
        <w:tc>
          <w:tcPr>
            <w:tcW w:w="402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组织利州区法学工作者、法律工作者学习和贯彻党的基本理论、路线 、纲领，提高政治素质和业务素质，深入实际进行调查研究，反映新情况，研究新问题，加强信息交流和传播；开展同各省、各地区和国际组织间的学术交流与合作，为我区矛盾纠纷化解提供法律支持。</w:t>
            </w:r>
          </w:p>
        </w:tc>
        <w:tc>
          <w:tcPr>
            <w:tcW w:w="426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组织利州区法学工作者、法律工作者学习和贯彻党的基本理论、路线 、纲领，提高政治素质和业务素质，深入实际进行调查研究，反映新情况，研究新问题，加强信息交流和传播；开展同各省、各地区和国际组织间的学术交流与合作，为我区矛盾纠纷化解提供法律支持。</w:t>
            </w:r>
          </w:p>
        </w:tc>
      </w:tr>
      <w:tr>
        <w:tblPrEx>
          <w:tblCellMar>
            <w:top w:w="0" w:type="dxa"/>
            <w:left w:w="0" w:type="dxa"/>
            <w:bottom w:w="0" w:type="dxa"/>
            <w:right w:w="0" w:type="dxa"/>
          </w:tblCellMar>
        </w:tblPrEx>
        <w:trPr>
          <w:trHeight w:val="1042"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绩效指标完成情况</w:t>
            </w:r>
          </w:p>
        </w:tc>
        <w:tc>
          <w:tcPr>
            <w:tcW w:w="9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一级指标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二级指标</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三级指标</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预期指标值(包含数字及文字描述)</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实际完成指标值(包含数字及文字描述)</w:t>
            </w:r>
          </w:p>
        </w:tc>
      </w:tr>
      <w:tr>
        <w:tblPrEx>
          <w:tblCellMar>
            <w:top w:w="0" w:type="dxa"/>
            <w:left w:w="0" w:type="dxa"/>
            <w:bottom w:w="0" w:type="dxa"/>
            <w:right w:w="0" w:type="dxa"/>
          </w:tblCellMar>
        </w:tblPrEx>
        <w:trPr>
          <w:trHeight w:val="377"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rPr>
            </w:pPr>
          </w:p>
        </w:tc>
        <w:tc>
          <w:tcPr>
            <w:tcW w:w="9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质量指标</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引导群众学法、尊法、守法、用法</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20</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20</w:t>
            </w:r>
          </w:p>
        </w:tc>
      </w:tr>
      <w:tr>
        <w:tblPrEx>
          <w:tblCellMar>
            <w:top w:w="0" w:type="dxa"/>
            <w:left w:w="0" w:type="dxa"/>
            <w:bottom w:w="0" w:type="dxa"/>
            <w:right w:w="0" w:type="dxa"/>
          </w:tblCellMar>
        </w:tblPrEx>
        <w:trPr>
          <w:trHeight w:val="557"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rPr>
            </w:pPr>
          </w:p>
        </w:tc>
        <w:tc>
          <w:tcPr>
            <w:tcW w:w="9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时效指标</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积极开展法治实践</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20</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20</w:t>
            </w:r>
          </w:p>
        </w:tc>
      </w:tr>
      <w:tr>
        <w:tblPrEx>
          <w:tblCellMar>
            <w:top w:w="0" w:type="dxa"/>
            <w:left w:w="0" w:type="dxa"/>
            <w:bottom w:w="0" w:type="dxa"/>
            <w:right w:w="0" w:type="dxa"/>
          </w:tblCellMar>
        </w:tblPrEx>
        <w:trPr>
          <w:trHeight w:val="1042"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rPr>
            </w:pPr>
          </w:p>
        </w:tc>
        <w:tc>
          <w:tcPr>
            <w:tcW w:w="9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社会效益</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办事依法、遇事找法、解决问题用法、化解矛盾靠法</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30</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30</w:t>
            </w:r>
          </w:p>
        </w:tc>
      </w:tr>
      <w:tr>
        <w:tblPrEx>
          <w:tblCellMar>
            <w:top w:w="0" w:type="dxa"/>
            <w:left w:w="0" w:type="dxa"/>
            <w:bottom w:w="0" w:type="dxa"/>
            <w:right w:w="0" w:type="dxa"/>
          </w:tblCellMar>
        </w:tblPrEx>
        <w:trPr>
          <w:trHeight w:val="78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rPr>
            </w:pPr>
          </w:p>
        </w:tc>
        <w:tc>
          <w:tcPr>
            <w:tcW w:w="9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Cs w:val="21"/>
              </w:rPr>
            </w:pPr>
            <w:r>
              <w:rPr>
                <w:rFonts w:hint="eastAsia" w:ascii="宋体" w:hAnsi="宋体" w:cs="宋体"/>
                <w:color w:val="000000" w:themeColor="text1"/>
                <w:kern w:val="0"/>
                <w:szCs w:val="21"/>
              </w:rPr>
              <w:t>项目完成指标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可持续影响</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化解社会矛盾纠纷中权威地位，维护社会和谐稳定</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20</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20</w:t>
            </w:r>
          </w:p>
        </w:tc>
      </w:tr>
      <w:tr>
        <w:tblPrEx>
          <w:tblCellMar>
            <w:top w:w="0" w:type="dxa"/>
            <w:left w:w="0" w:type="dxa"/>
            <w:bottom w:w="0" w:type="dxa"/>
            <w:right w:w="0" w:type="dxa"/>
          </w:tblCellMar>
        </w:tblPrEx>
        <w:trPr>
          <w:trHeight w:val="543"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Cs w:val="21"/>
              </w:rPr>
            </w:pPr>
          </w:p>
        </w:tc>
        <w:tc>
          <w:tcPr>
            <w:tcW w:w="9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满意度指标</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满意度指标</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参与调解、仲裁、法律咨询、法律援助、法律培训和诉讼服务等活动，维护群众合法权益</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10</w:t>
            </w:r>
          </w:p>
        </w:tc>
        <w:tc>
          <w:tcPr>
            <w:tcW w:w="21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10</w:t>
            </w:r>
          </w:p>
        </w:tc>
      </w:tr>
    </w:tbl>
    <w:p>
      <w:pPr>
        <w:numPr>
          <w:ilvl w:val="0"/>
          <w:numId w:val="6"/>
        </w:numPr>
        <w:spacing w:line="580" w:lineRule="exact"/>
        <w:ind w:firstLine="642" w:firstLineChars="200"/>
        <w:rPr>
          <w:rFonts w:hint="eastAsia" w:ascii="方正仿宋简体" w:hAnsi="仿宋" w:eastAsia="方正仿宋简体" w:cs="仿宋_GB2312"/>
          <w:color w:val="000000" w:themeColor="text1"/>
          <w:sz w:val="32"/>
          <w:szCs w:val="32"/>
        </w:rPr>
      </w:pPr>
      <w:r>
        <w:rPr>
          <w:rFonts w:hint="eastAsia" w:ascii="方正仿宋简体" w:hAnsi="仿宋" w:eastAsia="方正仿宋简体" w:cs="楷体_GB2312"/>
          <w:b/>
          <w:bCs/>
          <w:color w:val="000000" w:themeColor="text1"/>
          <w:sz w:val="32"/>
          <w:szCs w:val="32"/>
        </w:rPr>
        <w:t>部门开展绩效评价结果。</w:t>
      </w:r>
    </w:p>
    <w:p>
      <w:pPr>
        <w:spacing w:line="580" w:lineRule="exact"/>
        <w:ind w:firstLine="640" w:firstLineChars="200"/>
        <w:rPr>
          <w:rFonts w:hint="eastAsia" w:ascii="方正仿宋简体" w:hAnsi="仿宋_GB2312" w:eastAsia="方正仿宋简体" w:cs="仿宋_GB2312"/>
          <w:color w:val="000000" w:themeColor="text1"/>
          <w:sz w:val="32"/>
          <w:szCs w:val="32"/>
        </w:rPr>
      </w:pPr>
      <w:r>
        <w:rPr>
          <w:rFonts w:hint="eastAsia" w:ascii="方正仿宋简体" w:hAnsi="仿宋_GB2312" w:eastAsia="方正仿宋简体" w:cs="仿宋_GB2312"/>
          <w:color w:val="000000" w:themeColor="text1"/>
          <w:sz w:val="32"/>
          <w:szCs w:val="32"/>
        </w:rPr>
        <w:t>政法委按要求对2018年部门整体支出绩效评价情况开展自评，《政法委2018年部门整体支出绩效评价报告》见附件。</w:t>
      </w:r>
    </w:p>
    <w:p>
      <w:pPr>
        <w:spacing w:line="580" w:lineRule="exact"/>
        <w:ind w:firstLine="640" w:firstLineChars="200"/>
        <w:rPr>
          <w:rFonts w:hint="eastAsia" w:ascii="方正仿宋简体" w:hAnsi="方正小标宋简体" w:eastAsia="方正仿宋简体" w:cs="方正小标宋简体"/>
          <w:color w:val="000000" w:themeColor="text1"/>
          <w:sz w:val="44"/>
          <w:szCs w:val="44"/>
        </w:rPr>
      </w:pPr>
      <w:r>
        <w:rPr>
          <w:rFonts w:hint="eastAsia" w:ascii="方正仿宋简体" w:hAnsi="仿宋_GB2312" w:eastAsia="方正仿宋简体" w:cs="仿宋_GB2312"/>
          <w:color w:val="000000" w:themeColor="text1"/>
          <w:sz w:val="32"/>
          <w:szCs w:val="32"/>
        </w:rPr>
        <w:t>本部门自行组织对政法平安建设项目、政法三级网运行维护项目、法学会专项事业项目开展了绩效评价，《政法平安建设项目、政法三级网运行维护项目、法学会专项事业项目2018年绩效评价报告》见附件。（非涉密部门均需公开部门整体支出评价报告，部门自行组织的绩效评价情况根据部门实际公开）</w:t>
      </w:r>
    </w:p>
    <w:p>
      <w:pPr>
        <w:spacing w:line="600" w:lineRule="exact"/>
        <w:ind w:firstLine="640" w:firstLineChars="200"/>
        <w:outlineLvl w:val="1"/>
        <w:rPr>
          <w:rStyle w:val="26"/>
          <w:rFonts w:hint="eastAsia" w:ascii="方正黑体简体" w:hAnsi="黑体" w:eastAsia="方正黑体简体"/>
          <w:color w:val="000000" w:themeColor="text1"/>
        </w:rPr>
      </w:pPr>
      <w:bookmarkStart w:id="48" w:name="_Toc15396612"/>
      <w:bookmarkStart w:id="49" w:name="_Toc15377221"/>
      <w:r>
        <w:rPr>
          <w:rFonts w:hint="eastAsia" w:ascii="方正黑体简体" w:hAnsi="黑体" w:eastAsia="方正黑体简体"/>
          <w:color w:val="000000" w:themeColor="text1"/>
          <w:sz w:val="32"/>
          <w:szCs w:val="32"/>
        </w:rPr>
        <w:t>十</w:t>
      </w:r>
      <w:r>
        <w:rPr>
          <w:rStyle w:val="26"/>
          <w:rFonts w:hint="eastAsia" w:ascii="方正黑体简体" w:hAnsi="黑体" w:eastAsia="方正黑体简体"/>
          <w:color w:val="000000" w:themeColor="text1"/>
        </w:rPr>
        <w:t>一、</w:t>
      </w:r>
      <w:r>
        <w:rPr>
          <w:rStyle w:val="26"/>
          <w:rFonts w:hint="eastAsia" w:ascii="方正黑体简体" w:hAnsi="黑体" w:eastAsia="方正黑体简体"/>
          <w:b w:val="0"/>
          <w:color w:val="000000" w:themeColor="text1"/>
        </w:rPr>
        <w:t>其他重要事项的情况说明</w:t>
      </w:r>
      <w:bookmarkEnd w:id="48"/>
      <w:bookmarkEnd w:id="49"/>
    </w:p>
    <w:p>
      <w:pPr>
        <w:spacing w:line="600" w:lineRule="exact"/>
        <w:ind w:firstLine="642" w:firstLineChars="200"/>
        <w:outlineLvl w:val="2"/>
        <w:rPr>
          <w:rFonts w:hint="eastAsia" w:ascii="方正仿宋简体" w:hAnsi="仿宋" w:eastAsia="方正仿宋简体"/>
          <w:color w:val="000000" w:themeColor="text1"/>
          <w:sz w:val="32"/>
          <w:szCs w:val="32"/>
        </w:rPr>
      </w:pPr>
      <w:bookmarkStart w:id="50" w:name="_Toc15377222"/>
      <w:r>
        <w:rPr>
          <w:rFonts w:hint="eastAsia" w:ascii="方正仿宋简体" w:hAnsi="仿宋" w:eastAsia="方正仿宋简体"/>
          <w:b/>
          <w:color w:val="000000" w:themeColor="text1"/>
          <w:sz w:val="32"/>
          <w:szCs w:val="32"/>
        </w:rPr>
        <w:t>（一）机关运行经费支出情况</w:t>
      </w:r>
      <w:bookmarkEnd w:id="50"/>
    </w:p>
    <w:p>
      <w:pPr>
        <w:spacing w:line="600" w:lineRule="exact"/>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2018年，政法委机关运行经费支出55.96万元，比2017年增加9.43万元，增长20.26%。主要原因是人员增加、专项增加。</w:t>
      </w:r>
    </w:p>
    <w:p>
      <w:pPr>
        <w:spacing w:line="600" w:lineRule="exact"/>
        <w:ind w:firstLine="640"/>
        <w:rPr>
          <w:rFonts w:hint="eastAsia" w:ascii="方正仿宋简体" w:hAnsi="仿宋" w:eastAsia="方正仿宋简体"/>
          <w:b/>
          <w:color w:val="000000" w:themeColor="text1"/>
          <w:sz w:val="32"/>
          <w:szCs w:val="32"/>
        </w:rPr>
      </w:pPr>
      <w:r>
        <w:rPr>
          <w:rFonts w:hint="eastAsia" w:ascii="方正仿宋简体" w:hAnsi="仿宋" w:eastAsia="方正仿宋简体"/>
          <w:b/>
          <w:color w:val="000000" w:themeColor="text1"/>
          <w:sz w:val="32"/>
          <w:szCs w:val="32"/>
        </w:rPr>
        <w:t>（数据来源财决CS05表）</w:t>
      </w:r>
    </w:p>
    <w:p>
      <w:pPr>
        <w:autoSpaceDE w:val="0"/>
        <w:autoSpaceDN w:val="0"/>
        <w:adjustRightInd w:val="0"/>
        <w:spacing w:line="600" w:lineRule="exact"/>
        <w:ind w:firstLine="642" w:firstLineChars="200"/>
        <w:jc w:val="left"/>
        <w:outlineLvl w:val="2"/>
        <w:rPr>
          <w:rFonts w:hint="eastAsia" w:ascii="方正仿宋简体" w:hAnsi="仿宋" w:eastAsia="方正仿宋简体"/>
          <w:b/>
          <w:color w:val="000000" w:themeColor="text1"/>
          <w:sz w:val="32"/>
          <w:szCs w:val="32"/>
        </w:rPr>
      </w:pPr>
      <w:bookmarkStart w:id="51" w:name="_Toc15377223"/>
      <w:r>
        <w:rPr>
          <w:rFonts w:hint="eastAsia" w:ascii="方正仿宋简体" w:hAnsi="仿宋" w:eastAsia="方正仿宋简体"/>
          <w:b/>
          <w:color w:val="000000" w:themeColor="text1"/>
          <w:sz w:val="32"/>
          <w:szCs w:val="32"/>
        </w:rPr>
        <w:t>（二）政府采购支出情况</w:t>
      </w:r>
      <w:bookmarkEnd w:id="51"/>
    </w:p>
    <w:p>
      <w:pPr>
        <w:spacing w:line="600" w:lineRule="exact"/>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2018年，政法委政府采购支出总额0万元，其中：政府采购货物支出0万元、政府采购工程支出0万元、政府采购服务支出0万元。</w:t>
      </w:r>
    </w:p>
    <w:p>
      <w:pPr>
        <w:autoSpaceDE w:val="0"/>
        <w:autoSpaceDN w:val="0"/>
        <w:adjustRightInd w:val="0"/>
        <w:spacing w:line="600" w:lineRule="exact"/>
        <w:ind w:firstLine="642" w:firstLineChars="200"/>
        <w:jc w:val="left"/>
        <w:outlineLvl w:val="2"/>
        <w:rPr>
          <w:rFonts w:hint="eastAsia" w:ascii="方正仿宋简体" w:hAnsi="仿宋" w:eastAsia="方正仿宋简体"/>
          <w:b/>
          <w:color w:val="000000" w:themeColor="text1"/>
          <w:sz w:val="32"/>
          <w:szCs w:val="32"/>
        </w:rPr>
      </w:pPr>
      <w:r>
        <w:rPr>
          <w:rFonts w:hint="eastAsia" w:ascii="方正仿宋简体" w:hAnsi="仿宋" w:eastAsia="方正仿宋简体"/>
          <w:b/>
          <w:color w:val="000000" w:themeColor="text1"/>
          <w:sz w:val="32"/>
          <w:szCs w:val="32"/>
        </w:rPr>
        <w:t>（数据来源财决CS06表）</w:t>
      </w:r>
    </w:p>
    <w:p>
      <w:pPr>
        <w:autoSpaceDE w:val="0"/>
        <w:autoSpaceDN w:val="0"/>
        <w:adjustRightInd w:val="0"/>
        <w:spacing w:line="600" w:lineRule="exact"/>
        <w:ind w:firstLine="642" w:firstLineChars="200"/>
        <w:jc w:val="left"/>
        <w:outlineLvl w:val="2"/>
        <w:rPr>
          <w:rFonts w:hint="eastAsia" w:ascii="方正仿宋简体" w:hAnsi="仿宋" w:eastAsia="方正仿宋简体"/>
          <w:b/>
          <w:color w:val="000000" w:themeColor="text1"/>
          <w:sz w:val="32"/>
          <w:szCs w:val="32"/>
        </w:rPr>
      </w:pPr>
      <w:bookmarkStart w:id="52" w:name="_Toc15377224"/>
      <w:r>
        <w:rPr>
          <w:rFonts w:hint="eastAsia" w:ascii="方正仿宋简体" w:hAnsi="仿宋" w:eastAsia="方正仿宋简体"/>
          <w:b/>
          <w:color w:val="000000" w:themeColor="text1"/>
          <w:sz w:val="32"/>
          <w:szCs w:val="32"/>
        </w:rPr>
        <w:t>（三）国有资产占有使用情况</w:t>
      </w:r>
      <w:bookmarkEnd w:id="52"/>
    </w:p>
    <w:p>
      <w:pPr>
        <w:autoSpaceDE w:val="0"/>
        <w:autoSpaceDN w:val="0"/>
        <w:adjustRightInd w:val="0"/>
        <w:spacing w:line="600" w:lineRule="exact"/>
        <w:ind w:firstLine="640" w:firstLineChars="200"/>
        <w:jc w:val="left"/>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截至2018年12月31日，政法委共有车辆0辆，其中：部级领导干部用车0辆、一般公务用车0辆、一般执法执勤用车0辆、特种专业技术用车0辆、其他用车0辆，单价50万元以上通用设备0台（套），单价100万元以上专用设备0台（套）。</w:t>
      </w:r>
    </w:p>
    <w:p>
      <w:pPr>
        <w:autoSpaceDE w:val="0"/>
        <w:autoSpaceDN w:val="0"/>
        <w:adjustRightInd w:val="0"/>
        <w:spacing w:line="600" w:lineRule="exact"/>
        <w:ind w:firstLine="642" w:firstLineChars="200"/>
        <w:jc w:val="left"/>
        <w:outlineLvl w:val="2"/>
        <w:rPr>
          <w:rFonts w:hint="eastAsia" w:ascii="方正仿宋简体" w:hAnsi="仿宋" w:eastAsia="方正仿宋简体"/>
          <w:b/>
          <w:color w:val="000000" w:themeColor="text1"/>
          <w:sz w:val="32"/>
          <w:szCs w:val="32"/>
        </w:rPr>
      </w:pPr>
      <w:r>
        <w:rPr>
          <w:rFonts w:hint="eastAsia" w:ascii="方正仿宋简体" w:hAnsi="仿宋" w:eastAsia="方正仿宋简体"/>
          <w:b/>
          <w:color w:val="000000" w:themeColor="text1"/>
          <w:sz w:val="32"/>
          <w:szCs w:val="32"/>
        </w:rPr>
        <w:t>（数据来源财决CS05表，按部门决算报表填报数据罗列车辆情况。）</w:t>
      </w:r>
    </w:p>
    <w:p>
      <w:pPr>
        <w:spacing w:line="600" w:lineRule="atLeast"/>
        <w:ind w:firstLine="642" w:firstLineChars="200"/>
        <w:rPr>
          <w:rFonts w:hint="eastAsia" w:ascii="方正仿宋简体" w:eastAsia="方正仿宋简体"/>
          <w:b/>
          <w:color w:val="000000" w:themeColor="text1"/>
          <w:sz w:val="32"/>
          <w:szCs w:val="32"/>
        </w:rPr>
      </w:pPr>
    </w:p>
    <w:p>
      <w:pPr>
        <w:widowControl/>
        <w:jc w:val="left"/>
        <w:rPr>
          <w:rFonts w:ascii="仿宋_GB2312" w:eastAsia="仿宋_GB2312"/>
          <w:b/>
          <w:color w:val="000000" w:themeColor="text1"/>
          <w:sz w:val="32"/>
          <w:szCs w:val="32"/>
        </w:rPr>
      </w:pPr>
      <w:r>
        <w:rPr>
          <w:rFonts w:ascii="仿宋_GB2312" w:eastAsia="仿宋_GB2312"/>
          <w:b/>
          <w:color w:val="000000" w:themeColor="text1"/>
          <w:sz w:val="32"/>
          <w:szCs w:val="32"/>
        </w:rPr>
        <w:br w:type="page"/>
      </w:r>
    </w:p>
    <w:p>
      <w:pPr>
        <w:numPr>
          <w:ilvl w:val="0"/>
          <w:numId w:val="8"/>
        </w:numPr>
        <w:spacing w:line="600" w:lineRule="exact"/>
        <w:ind w:firstLine="662" w:firstLineChars="150"/>
        <w:jc w:val="center"/>
        <w:outlineLvl w:val="0"/>
        <w:rPr>
          <w:rStyle w:val="25"/>
          <w:rFonts w:ascii="黑体" w:hAnsi="黑体" w:eastAsia="黑体"/>
          <w:b w:val="0"/>
          <w:color w:val="000000" w:themeColor="text1"/>
        </w:rPr>
      </w:pPr>
      <w:bookmarkStart w:id="53" w:name="_Toc15377225"/>
      <w:bookmarkStart w:id="54" w:name="_Toc15396613"/>
      <w:r>
        <w:rPr>
          <w:rFonts w:hint="eastAsia" w:ascii="黑体" w:hAnsi="黑体" w:eastAsia="黑体"/>
          <w:b/>
          <w:color w:val="000000" w:themeColor="text1"/>
          <w:sz w:val="44"/>
          <w:szCs w:val="44"/>
        </w:rPr>
        <w:t>名</w:t>
      </w:r>
      <w:r>
        <w:rPr>
          <w:rStyle w:val="25"/>
          <w:rFonts w:hint="eastAsia" w:ascii="黑体" w:hAnsi="黑体" w:eastAsia="黑体"/>
          <w:b w:val="0"/>
          <w:color w:val="000000" w:themeColor="text1"/>
        </w:rPr>
        <w:t>词解释</w:t>
      </w:r>
      <w:bookmarkEnd w:id="53"/>
      <w:bookmarkEnd w:id="54"/>
    </w:p>
    <w:p>
      <w:pPr>
        <w:spacing w:line="600" w:lineRule="exact"/>
        <w:jc w:val="left"/>
        <w:rPr>
          <w:rFonts w:ascii="宋体"/>
          <w:b/>
          <w:color w:val="000000" w:themeColor="text1"/>
          <w:sz w:val="44"/>
          <w:szCs w:val="44"/>
        </w:rPr>
      </w:pPr>
    </w:p>
    <w:p>
      <w:pPr>
        <w:pStyle w:val="23"/>
        <w:spacing w:line="560" w:lineRule="exact"/>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1.财政拨款收入：指单位从同级财政部门取得的财政预算资金。</w:t>
      </w:r>
    </w:p>
    <w:p>
      <w:pPr>
        <w:pStyle w:val="23"/>
        <w:spacing w:line="560" w:lineRule="exact"/>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2.事业收入：指事业单位开展专业业务活动及辅助活动取得的收入。如…（二级预算单位事业收入情况）等。</w:t>
      </w:r>
    </w:p>
    <w:p>
      <w:pPr>
        <w:pStyle w:val="23"/>
        <w:spacing w:line="560" w:lineRule="exact"/>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3.经营收入：指事业单位在专业业务活动及其辅助活动之外开展非独立核算经营活动取得的收入。如…（二级预算单位经营收入情况）等。</w:t>
      </w:r>
    </w:p>
    <w:p>
      <w:pPr>
        <w:pStyle w:val="23"/>
        <w:spacing w:line="560" w:lineRule="exact"/>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 xml:space="preserve">4.其他收入：指单位取得的除上述收入以外的各项收入。主要是…（收入类型）等。 </w:t>
      </w:r>
    </w:p>
    <w:p>
      <w:pPr>
        <w:pStyle w:val="23"/>
        <w:spacing w:line="560" w:lineRule="exact"/>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3"/>
        <w:spacing w:line="560" w:lineRule="exact"/>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 xml:space="preserve">6.年初结转和结余：指以前年度尚未完成、结转到本年按有关规定继续使用的资金。 </w:t>
      </w:r>
    </w:p>
    <w:p>
      <w:pPr>
        <w:pStyle w:val="23"/>
        <w:spacing w:line="560" w:lineRule="exact"/>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7.结余分配：指事业单位按照事业单位会计制度的规定从非财政补助结余中分配的事业基金和职工福利基金等。</w:t>
      </w:r>
    </w:p>
    <w:p>
      <w:pPr>
        <w:pStyle w:val="23"/>
        <w:spacing w:line="560" w:lineRule="exact"/>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8、年末结转和结余：指单位按有关规定结转到下年或以后年度继续使用的资金。</w:t>
      </w:r>
    </w:p>
    <w:p>
      <w:pPr>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9.一般公共服务（类）…（款）…（项）：指……。</w:t>
      </w:r>
    </w:p>
    <w:p>
      <w:pPr>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10.公共安全（类）…（款）…（项）：指……。</w:t>
      </w:r>
    </w:p>
    <w:p>
      <w:pPr>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12.社会保障和就业（类）…（款）…（项）：指……。</w:t>
      </w:r>
    </w:p>
    <w:p>
      <w:pPr>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13.医疗卫生与计划生育（类）…（款）…（项）：指……。</w:t>
      </w:r>
    </w:p>
    <w:p>
      <w:pPr>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14.农林水（类）…（款）…（项）：指……。</w:t>
      </w:r>
    </w:p>
    <w:p>
      <w:pPr>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15.住房保障（类）…（款）…（项）：指……。</w:t>
      </w:r>
    </w:p>
    <w:p>
      <w:pPr>
        <w:spacing w:line="600" w:lineRule="exact"/>
        <w:ind w:firstLine="640"/>
        <w:rPr>
          <w:rFonts w:hint="eastAsia" w:ascii="方正仿宋简体" w:hAnsi="仿宋" w:eastAsia="方正仿宋简体"/>
          <w:b/>
          <w:color w:val="000000" w:themeColor="text1"/>
          <w:sz w:val="32"/>
          <w:szCs w:val="32"/>
        </w:rPr>
      </w:pPr>
      <w:r>
        <w:rPr>
          <w:rFonts w:hint="eastAsia" w:ascii="方正仿宋简体" w:hAnsi="仿宋" w:eastAsia="方正仿宋简体"/>
          <w:b/>
          <w:color w:val="000000" w:themeColor="text1"/>
          <w:sz w:val="32"/>
          <w:szCs w:val="32"/>
        </w:rPr>
        <w:t>（解释本部门决算报表中全部功能分类科目至项级，请参照《2018年政府收支分类科目》增减内容。）</w:t>
      </w:r>
    </w:p>
    <w:p>
      <w:pPr>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16.基本支出：指为保障机构正常运转、完成日常工作任务而发生的人员支出和公用支出。</w:t>
      </w:r>
    </w:p>
    <w:p>
      <w:pPr>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 xml:space="preserve">17.项目支出：指在基本支出之外为完成特定行政任务和事业发展目标所发生的支出。 </w:t>
      </w:r>
    </w:p>
    <w:p>
      <w:pPr>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18.经营支出：指事业单位在专业业务活动及其辅助活动之外开展非独立核算经营活动发生的支出。</w:t>
      </w:r>
    </w:p>
    <w:p>
      <w:pPr>
        <w:pStyle w:val="23"/>
        <w:spacing w:line="560" w:lineRule="exact"/>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hint="eastAsia" w:ascii="方正仿宋简体" w:eastAsia="方正仿宋简体"/>
          <w:color w:val="000000" w:themeColor="text1"/>
          <w:sz w:val="32"/>
          <w:szCs w:val="32"/>
        </w:rPr>
      </w:pPr>
      <w:r>
        <w:rPr>
          <w:rFonts w:hint="eastAsia" w:ascii="方正仿宋简体" w:eastAsia="方正仿宋简体"/>
          <w:color w:val="000000" w:themeColor="text1"/>
          <w:sz w:val="32"/>
          <w:szCs w:val="32"/>
        </w:rPr>
        <w:t>21.……。</w:t>
      </w:r>
    </w:p>
    <w:p>
      <w:pPr>
        <w:pStyle w:val="23"/>
        <w:spacing w:line="560" w:lineRule="exact"/>
        <w:ind w:firstLine="640" w:firstLineChars="200"/>
        <w:rPr>
          <w:rFonts w:hint="eastAsia" w:ascii="方正仿宋简体" w:eastAsia="方正仿宋简体" w:cs="黑体"/>
          <w:color w:val="000000" w:themeColor="text1"/>
          <w:sz w:val="32"/>
          <w:szCs w:val="32"/>
        </w:rPr>
      </w:pPr>
    </w:p>
    <w:p>
      <w:pPr>
        <w:ind w:firstLine="642" w:firstLineChars="200"/>
        <w:rPr>
          <w:rFonts w:hint="eastAsia" w:ascii="方正仿宋简体" w:hAnsi="仿宋" w:eastAsia="方正仿宋简体"/>
          <w:b/>
          <w:color w:val="000000" w:themeColor="text1"/>
          <w:sz w:val="32"/>
          <w:szCs w:val="32"/>
        </w:rPr>
      </w:pPr>
      <w:r>
        <w:rPr>
          <w:rFonts w:hint="eastAsia" w:ascii="方正仿宋简体" w:hAnsi="仿宋" w:eastAsia="方正仿宋简体"/>
          <w:b/>
          <w:color w:val="000000" w:themeColor="text1"/>
          <w:sz w:val="32"/>
          <w:szCs w:val="32"/>
        </w:rPr>
        <w:t>（名词解释部分请根据各部门实际列支情况罗列，并根据本部门职责职能增减名词解释内容。）</w:t>
      </w:r>
    </w:p>
    <w:p>
      <w:pPr>
        <w:overflowPunct w:val="0"/>
        <w:spacing w:line="576" w:lineRule="exact"/>
        <w:jc w:val="center"/>
        <w:outlineLvl w:val="0"/>
        <w:rPr>
          <w:rStyle w:val="25"/>
          <w:rFonts w:ascii="黑体" w:hAnsi="黑体" w:eastAsia="黑体"/>
          <w:b w:val="0"/>
          <w:color w:val="000000" w:themeColor="text1"/>
        </w:rPr>
      </w:pPr>
      <w:bookmarkStart w:id="55" w:name="_Toc15377226"/>
      <w:r>
        <w:rPr>
          <w:rFonts w:hint="eastAsia" w:ascii="方正仿宋简体" w:eastAsia="方正仿宋简体"/>
          <w:b/>
          <w:color w:val="000000" w:themeColor="text1"/>
          <w:sz w:val="44"/>
          <w:szCs w:val="44"/>
        </w:rPr>
        <w:br w:type="page"/>
      </w:r>
      <w:bookmarkStart w:id="56" w:name="_Toc15396614"/>
      <w:r>
        <w:rPr>
          <w:rFonts w:hint="eastAsia" w:ascii="黑体" w:hAnsi="黑体" w:eastAsia="黑体"/>
          <w:color w:val="000000" w:themeColor="text1"/>
          <w:sz w:val="44"/>
          <w:szCs w:val="44"/>
        </w:rPr>
        <w:t>第</w:t>
      </w:r>
      <w:r>
        <w:rPr>
          <w:rStyle w:val="25"/>
          <w:rFonts w:hint="eastAsia" w:ascii="黑体" w:hAnsi="黑体" w:eastAsia="黑体"/>
          <w:b w:val="0"/>
          <w:color w:val="000000" w:themeColor="text1"/>
        </w:rPr>
        <w:t>四部分 附件</w:t>
      </w:r>
      <w:bookmarkEnd w:id="56"/>
    </w:p>
    <w:p>
      <w:pPr>
        <w:overflowPunct w:val="0"/>
        <w:spacing w:line="576" w:lineRule="exact"/>
        <w:jc w:val="center"/>
        <w:outlineLvl w:val="0"/>
        <w:rPr>
          <w:rStyle w:val="25"/>
          <w:color w:val="000000" w:themeColor="text1"/>
        </w:rPr>
      </w:pPr>
    </w:p>
    <w:p>
      <w:pPr>
        <w:pStyle w:val="3"/>
        <w:overflowPunct w:val="0"/>
        <w:spacing w:before="0" w:after="0" w:line="576" w:lineRule="exact"/>
        <w:rPr>
          <w:rStyle w:val="25"/>
          <w:rFonts w:hint="eastAsia" w:ascii="仿宋" w:hAnsi="仿宋" w:eastAsia="方正仿宋简体"/>
          <w:b w:val="0"/>
          <w:bCs w:val="0"/>
          <w:color w:val="000000" w:themeColor="text1"/>
          <w:sz w:val="32"/>
          <w:szCs w:val="32"/>
        </w:rPr>
      </w:pPr>
      <w:bookmarkStart w:id="57" w:name="_Toc15396615"/>
      <w:r>
        <w:rPr>
          <w:rStyle w:val="25"/>
          <w:rFonts w:hint="eastAsia" w:ascii="仿宋" w:hAnsi="仿宋" w:eastAsia="方正仿宋简体"/>
          <w:b w:val="0"/>
          <w:bCs w:val="0"/>
          <w:color w:val="000000" w:themeColor="text1"/>
          <w:sz w:val="32"/>
          <w:szCs w:val="32"/>
        </w:rPr>
        <w:t>附件1</w:t>
      </w:r>
      <w:bookmarkEnd w:id="57"/>
    </w:p>
    <w:p/>
    <w:p>
      <w:pPr>
        <w:overflowPunct w:val="0"/>
        <w:spacing w:line="576" w:lineRule="exact"/>
        <w:jc w:val="center"/>
        <w:outlineLvl w:val="0"/>
        <w:rPr>
          <w:rFonts w:ascii="黑体" w:hAnsi="黑体" w:eastAsia="黑体" w:cs="方正小标宋简体"/>
          <w:color w:val="000000" w:themeColor="text1"/>
          <w:sz w:val="36"/>
          <w:szCs w:val="36"/>
        </w:rPr>
      </w:pPr>
      <w:bookmarkStart w:id="58" w:name="_Toc15396616"/>
      <w:r>
        <w:rPr>
          <w:rFonts w:hint="eastAsia" w:ascii="黑体" w:hAnsi="黑体" w:eastAsia="黑体" w:cs="方正小标宋简体"/>
          <w:color w:val="000000" w:themeColor="text1"/>
          <w:sz w:val="36"/>
          <w:szCs w:val="36"/>
        </w:rPr>
        <w:t>利州区政法委2018年部门整体支出绩效评价报告</w:t>
      </w:r>
      <w:bookmarkEnd w:id="58"/>
    </w:p>
    <w:p>
      <w:pPr>
        <w:overflowPunct w:val="0"/>
        <w:spacing w:line="576" w:lineRule="exact"/>
        <w:ind w:firstLine="640" w:firstLineChars="200"/>
        <w:rPr>
          <w:rFonts w:ascii="黑体" w:hAnsi="黑体" w:eastAsia="黑体" w:cs="黑体"/>
          <w:color w:val="000000" w:themeColor="text1"/>
          <w:sz w:val="32"/>
          <w:szCs w:val="32"/>
        </w:rPr>
      </w:pPr>
    </w:p>
    <w:p>
      <w:pPr>
        <w:overflowPunct w:val="0"/>
        <w:spacing w:line="576"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一、利州区政法委概况</w:t>
      </w:r>
    </w:p>
    <w:p>
      <w:pPr>
        <w:overflowPunct w:val="0"/>
        <w:spacing w:line="576" w:lineRule="exact"/>
        <w:ind w:firstLine="320" w:firstLineChars="100"/>
        <w:rPr>
          <w:rFonts w:hint="eastAsia" w:ascii="方正仿宋简体" w:hAnsi="宋体" w:eastAsia="方正仿宋简体" w:cs="宋体"/>
          <w:color w:val="000000" w:themeColor="text1"/>
          <w:sz w:val="32"/>
          <w:szCs w:val="32"/>
        </w:rPr>
      </w:pPr>
      <w:r>
        <w:rPr>
          <w:rFonts w:hint="eastAsia" w:ascii="方正仿宋简体" w:hAnsi="仿宋" w:eastAsia="方正仿宋简体" w:cs="仿宋_GB2312"/>
          <w:color w:val="000000" w:themeColor="text1"/>
          <w:sz w:val="32"/>
          <w:szCs w:val="32"/>
        </w:rPr>
        <w:t>（一）机构组成。我委属于行政单位，</w:t>
      </w:r>
      <w:r>
        <w:rPr>
          <w:rFonts w:hint="eastAsia" w:ascii="方正仿宋简体" w:hAnsi="仿宋" w:eastAsia="方正仿宋简体" w:cs="仿宋_GB2312"/>
          <w:color w:val="000000" w:themeColor="text1"/>
          <w:sz w:val="32"/>
          <w:szCs w:val="32"/>
          <w:lang w:val="zh-CN"/>
        </w:rPr>
        <w:t>执行行政单位会计制度</w:t>
      </w:r>
      <w:r>
        <w:rPr>
          <w:rFonts w:hint="eastAsia" w:ascii="方正仿宋简体" w:hAnsi="仿宋" w:eastAsia="方正仿宋简体" w:cs="仿宋_GB2312"/>
          <w:color w:val="000000" w:themeColor="text1"/>
          <w:sz w:val="32"/>
          <w:szCs w:val="32"/>
        </w:rPr>
        <w:t>，一级预算单位。</w:t>
      </w:r>
      <w:r>
        <w:rPr>
          <w:rFonts w:hint="eastAsia" w:ascii="方正仿宋简体" w:hAnsi="宋体" w:eastAsia="方正仿宋简体"/>
          <w:color w:val="000000" w:themeColor="text1"/>
          <w:sz w:val="32"/>
          <w:szCs w:val="32"/>
        </w:rPr>
        <w:t>内设股室有办公室、政治处、督查督办室、维稳股、综治股</w:t>
      </w:r>
      <w:r>
        <w:rPr>
          <w:rFonts w:hint="eastAsia" w:ascii="方正仿宋简体" w:hAnsi="Arial" w:eastAsia="方正仿宋简体" w:cs="Arial"/>
          <w:color w:val="000000" w:themeColor="text1"/>
          <w:kern w:val="0"/>
          <w:sz w:val="32"/>
          <w:szCs w:val="32"/>
        </w:rPr>
        <w:t>；下属事业单位有区网格化服务管理中心、区禁毒管理中心、区法学会。</w:t>
      </w:r>
    </w:p>
    <w:p>
      <w:pPr>
        <w:pStyle w:val="12"/>
        <w:widowControl/>
        <w:shd w:val="clear" w:color="auto" w:fill="FFFFFF"/>
        <w:overflowPunct w:val="0"/>
        <w:spacing w:before="0" w:beforeAutospacing="0" w:after="0" w:afterAutospacing="0" w:line="576" w:lineRule="exact"/>
        <w:ind w:firstLine="640" w:firstLineChars="200"/>
        <w:jc w:val="both"/>
        <w:rPr>
          <w:rFonts w:hint="eastAsia" w:ascii="方正仿宋简体" w:hAnsi="仿宋" w:eastAsia="方正仿宋简体" w:cs="仿宋_GB2312"/>
          <w:color w:val="000000" w:themeColor="text1"/>
          <w:sz w:val="32"/>
          <w:szCs w:val="32"/>
        </w:rPr>
      </w:pPr>
      <w:r>
        <w:rPr>
          <w:rFonts w:hint="eastAsia" w:ascii="方正仿宋简体" w:hAnsi="仿宋" w:eastAsia="方正仿宋简体" w:cs="仿宋_GB2312"/>
          <w:color w:val="000000" w:themeColor="text1"/>
          <w:sz w:val="32"/>
          <w:szCs w:val="32"/>
        </w:rPr>
        <w:t>（二）机构职能</w:t>
      </w:r>
    </w:p>
    <w:p>
      <w:pPr>
        <w:pStyle w:val="3"/>
        <w:overflowPunct w:val="0"/>
        <w:spacing w:before="0" w:after="0" w:line="576" w:lineRule="exact"/>
        <w:ind w:firstLine="800" w:firstLineChars="250"/>
        <w:rPr>
          <w:rFonts w:ascii="仿宋" w:hAnsi="仿宋" w:eastAsia="方正仿宋简体"/>
          <w:b w:val="0"/>
          <w:color w:val="000000" w:themeColor="text1"/>
          <w:shd w:val="clear" w:color="auto" w:fill="FFFFFF"/>
        </w:rPr>
      </w:pPr>
      <w:r>
        <w:rPr>
          <w:rFonts w:hint="eastAsia" w:ascii="仿宋" w:hAnsi="仿宋" w:eastAsia="方正仿宋简体"/>
          <w:b w:val="0"/>
          <w:color w:val="000000" w:themeColor="text1"/>
          <w:shd w:val="clear" w:color="auto" w:fill="FFFFFF"/>
        </w:rPr>
        <w:t xml:space="preserve">中国共产党委广元市利州区委员会政法委员会，它既是政法部门，又是党委的重要职能部门，是同级党委加强政法工作和社会治安综合治理工作的参谋和助手，其主要职责是： </w:t>
      </w:r>
    </w:p>
    <w:p>
      <w:pPr>
        <w:pStyle w:val="3"/>
        <w:overflowPunct w:val="0"/>
        <w:spacing w:before="0" w:after="0" w:line="576" w:lineRule="exact"/>
        <w:ind w:firstLine="800" w:firstLineChars="250"/>
        <w:rPr>
          <w:rFonts w:ascii="仿宋" w:hAnsi="仿宋" w:eastAsia="方正仿宋简体"/>
          <w:b w:val="0"/>
          <w:color w:val="000000" w:themeColor="text1"/>
          <w:shd w:val="clear" w:color="auto" w:fill="FFFFFF"/>
        </w:rPr>
      </w:pPr>
      <w:r>
        <w:rPr>
          <w:rFonts w:hint="eastAsia" w:ascii="仿宋" w:hAnsi="仿宋" w:eastAsia="方正仿宋简体"/>
          <w:b w:val="0"/>
          <w:color w:val="000000" w:themeColor="text1"/>
          <w:shd w:val="clear" w:color="auto" w:fill="FFFFFF"/>
        </w:rPr>
        <w:t xml:space="preserve">（一）指导督促政法各部门贯彻执行中共的路线、方针、政策和上级的指示及同级党委、政府的工作部署，统一政法各部门的思想和行动。 </w:t>
      </w:r>
    </w:p>
    <w:p>
      <w:pPr>
        <w:overflowPunct w:val="0"/>
        <w:spacing w:line="576" w:lineRule="exact"/>
        <w:ind w:firstLine="640" w:firstLineChars="200"/>
        <w:rPr>
          <w:rFonts w:ascii="仿宋" w:hAnsi="仿宋" w:eastAsia="方正仿宋简体"/>
          <w:color w:val="000000" w:themeColor="text1"/>
          <w:sz w:val="32"/>
          <w:szCs w:val="32"/>
          <w:shd w:val="clear" w:color="auto" w:fill="FFFFFF"/>
        </w:rPr>
      </w:pPr>
      <w:r>
        <w:rPr>
          <w:rFonts w:hint="eastAsia" w:ascii="仿宋" w:hAnsi="仿宋" w:eastAsia="方正仿宋简体"/>
          <w:color w:val="000000" w:themeColor="text1"/>
          <w:sz w:val="32"/>
          <w:szCs w:val="32"/>
          <w:shd w:val="clear" w:color="auto" w:fill="FFFFFF"/>
        </w:rPr>
        <w:t xml:space="preserve">（二）定期分析社会治安形势，对一定时期本地的政法工作作出全面部署。 </w:t>
      </w:r>
    </w:p>
    <w:p>
      <w:pPr>
        <w:overflowPunct w:val="0"/>
        <w:spacing w:line="576" w:lineRule="exact"/>
        <w:ind w:firstLine="640" w:firstLineChars="200"/>
        <w:rPr>
          <w:rFonts w:ascii="仿宋" w:hAnsi="仿宋" w:eastAsia="方正仿宋简体"/>
          <w:color w:val="000000" w:themeColor="text1"/>
          <w:sz w:val="32"/>
          <w:szCs w:val="32"/>
          <w:shd w:val="clear" w:color="auto" w:fill="FFFFFF"/>
        </w:rPr>
      </w:pPr>
      <w:r>
        <w:rPr>
          <w:rFonts w:hint="eastAsia" w:ascii="仿宋" w:hAnsi="仿宋" w:eastAsia="方正仿宋简体"/>
          <w:color w:val="000000" w:themeColor="text1"/>
          <w:sz w:val="32"/>
          <w:szCs w:val="32"/>
          <w:shd w:val="clear" w:color="auto" w:fill="FFFFFF"/>
        </w:rPr>
        <w:t xml:space="preserve">（三）组织推动政法部门开展新形势下加强和改革政法工作的调查研究，及时向同级党委提出建议和意见。 </w:t>
      </w:r>
    </w:p>
    <w:p>
      <w:pPr>
        <w:overflowPunct w:val="0"/>
        <w:spacing w:line="576" w:lineRule="exact"/>
        <w:ind w:firstLine="640" w:firstLineChars="200"/>
        <w:rPr>
          <w:rFonts w:ascii="仿宋" w:hAnsi="仿宋" w:eastAsia="方正仿宋简体"/>
          <w:color w:val="000000" w:themeColor="text1"/>
          <w:sz w:val="32"/>
          <w:szCs w:val="32"/>
          <w:shd w:val="clear" w:color="auto" w:fill="FFFFFF"/>
        </w:rPr>
      </w:pPr>
      <w:r>
        <w:rPr>
          <w:rFonts w:hint="eastAsia" w:ascii="仿宋" w:hAnsi="仿宋" w:eastAsia="方正仿宋简体"/>
          <w:color w:val="000000" w:themeColor="text1"/>
          <w:sz w:val="32"/>
          <w:szCs w:val="32"/>
          <w:shd w:val="clear" w:color="auto" w:fill="FFFFFF"/>
        </w:rPr>
        <w:t xml:space="preserve">（四）指导社会治安综合治理，协调各部门落实社会治安综合治理各项措施。 </w:t>
      </w:r>
    </w:p>
    <w:p>
      <w:pPr>
        <w:overflowPunct w:val="0"/>
        <w:spacing w:line="576" w:lineRule="exact"/>
        <w:ind w:firstLine="640" w:firstLineChars="200"/>
        <w:rPr>
          <w:rFonts w:ascii="仿宋" w:hAnsi="仿宋" w:eastAsia="方正仿宋简体"/>
          <w:color w:val="000000" w:themeColor="text1"/>
          <w:sz w:val="32"/>
          <w:szCs w:val="32"/>
          <w:shd w:val="clear" w:color="auto" w:fill="FFFFFF"/>
        </w:rPr>
      </w:pPr>
      <w:r>
        <w:rPr>
          <w:rFonts w:hint="eastAsia" w:ascii="仿宋" w:hAnsi="仿宋" w:eastAsia="方正仿宋简体"/>
          <w:color w:val="000000" w:themeColor="text1"/>
          <w:sz w:val="32"/>
          <w:szCs w:val="32"/>
          <w:shd w:val="clear" w:color="auto" w:fill="FFFFFF"/>
        </w:rPr>
        <w:t xml:space="preserve">（五）研究指导政法执委会的建设和队伍建设，协助组织部门做好政法各部门领导班子建设和科、处、队、庭、室干部的考察和管理。 </w:t>
      </w:r>
    </w:p>
    <w:p>
      <w:pPr>
        <w:overflowPunct w:val="0"/>
        <w:spacing w:line="576" w:lineRule="exact"/>
        <w:ind w:firstLine="640" w:firstLineChars="200"/>
        <w:rPr>
          <w:rFonts w:ascii="仿宋" w:hAnsi="仿宋" w:eastAsia="方正仿宋简体"/>
          <w:color w:val="000000" w:themeColor="text1"/>
          <w:sz w:val="32"/>
          <w:szCs w:val="32"/>
          <w:shd w:val="clear" w:color="auto" w:fill="FFFFFF"/>
        </w:rPr>
      </w:pPr>
      <w:r>
        <w:rPr>
          <w:rFonts w:hint="eastAsia" w:ascii="仿宋" w:hAnsi="仿宋" w:eastAsia="方正仿宋简体"/>
          <w:color w:val="000000" w:themeColor="text1"/>
          <w:sz w:val="32"/>
          <w:szCs w:val="32"/>
          <w:shd w:val="clear" w:color="auto" w:fill="FFFFFF"/>
        </w:rPr>
        <w:t xml:space="preserve">（六）切实履行政法委职能，抓好执法督促工作，支持和督促政法各部门依法行使职权，协调政法各部门的关系，重大业务问题和有争议的重大疑难案件。 </w:t>
      </w:r>
    </w:p>
    <w:p>
      <w:pPr>
        <w:overflowPunct w:val="0"/>
        <w:spacing w:line="576" w:lineRule="exact"/>
        <w:ind w:firstLine="640" w:firstLineChars="200"/>
        <w:rPr>
          <w:rFonts w:ascii="仿宋" w:hAnsi="仿宋" w:eastAsia="方正仿宋简体"/>
          <w:color w:val="000000" w:themeColor="text1"/>
          <w:sz w:val="32"/>
          <w:szCs w:val="32"/>
          <w:shd w:val="clear" w:color="auto" w:fill="FFFFFF"/>
        </w:rPr>
      </w:pPr>
      <w:r>
        <w:rPr>
          <w:rFonts w:hint="eastAsia" w:ascii="仿宋" w:hAnsi="仿宋" w:eastAsia="方正仿宋简体"/>
          <w:color w:val="000000" w:themeColor="text1"/>
          <w:sz w:val="32"/>
          <w:szCs w:val="32"/>
          <w:shd w:val="clear" w:color="auto" w:fill="FFFFFF"/>
        </w:rPr>
        <w:t xml:space="preserve">（七）指导下级综治委、政法委工作。 </w:t>
      </w:r>
    </w:p>
    <w:p>
      <w:pPr>
        <w:overflowPunct w:val="0"/>
        <w:spacing w:line="576" w:lineRule="exact"/>
        <w:ind w:firstLine="640" w:firstLineChars="200"/>
        <w:rPr>
          <w:rFonts w:ascii="仿宋" w:hAnsi="仿宋" w:eastAsia="方正仿宋简体"/>
          <w:color w:val="000000" w:themeColor="text1"/>
          <w:sz w:val="32"/>
          <w:szCs w:val="32"/>
          <w:shd w:val="clear" w:color="auto" w:fill="FFFFFF"/>
        </w:rPr>
      </w:pPr>
      <w:r>
        <w:rPr>
          <w:rFonts w:hint="eastAsia" w:ascii="仿宋" w:hAnsi="仿宋" w:eastAsia="方正仿宋简体"/>
          <w:color w:val="000000" w:themeColor="text1"/>
          <w:sz w:val="32"/>
          <w:szCs w:val="32"/>
          <w:shd w:val="clear" w:color="auto" w:fill="FFFFFF"/>
        </w:rPr>
        <w:t>（八）</w:t>
      </w:r>
      <w:r>
        <w:rPr>
          <w:rFonts w:hint="eastAsia" w:ascii="仿宋" w:hAnsi="仿宋" w:eastAsia="方正仿宋简体"/>
          <w:color w:val="000000" w:themeColor="text1"/>
          <w:spacing w:val="-14"/>
          <w:sz w:val="32"/>
          <w:szCs w:val="32"/>
          <w:shd w:val="clear" w:color="auto" w:fill="FFFFFF"/>
        </w:rPr>
        <w:t>地方政法委完成同级党委和上级政法委交办的其他事项。</w:t>
      </w:r>
    </w:p>
    <w:p>
      <w:pPr>
        <w:pStyle w:val="5"/>
        <w:overflowPunct w:val="0"/>
        <w:adjustRightInd w:val="0"/>
        <w:snapToGrid w:val="0"/>
        <w:spacing w:beforeLines="0" w:line="576" w:lineRule="exact"/>
        <w:ind w:firstLine="672" w:firstLineChars="210"/>
        <w:outlineLvl w:val="2"/>
        <w:rPr>
          <w:rFonts w:ascii="仿宋" w:hAnsi="仿宋" w:eastAsia="方正仿宋简体"/>
          <w:bCs/>
          <w:color w:val="000000" w:themeColor="text1"/>
          <w:sz w:val="32"/>
          <w:szCs w:val="32"/>
        </w:rPr>
      </w:pPr>
      <w:r>
        <w:rPr>
          <w:rFonts w:hint="eastAsia" w:ascii="仿宋" w:hAnsi="仿宋" w:eastAsia="方正仿宋简体"/>
          <w:bCs/>
          <w:color w:val="000000" w:themeColor="text1"/>
          <w:sz w:val="32"/>
          <w:szCs w:val="32"/>
        </w:rPr>
        <w:t>（二）</w:t>
      </w:r>
      <w:r>
        <w:rPr>
          <w:rFonts w:ascii="仿宋" w:hAnsi="仿宋" w:eastAsia="方正仿宋简体"/>
          <w:bCs/>
          <w:color w:val="000000" w:themeColor="text1"/>
          <w:sz w:val="32"/>
          <w:szCs w:val="32"/>
        </w:rPr>
        <w:t>201</w:t>
      </w:r>
      <w:r>
        <w:rPr>
          <w:rFonts w:hint="eastAsia" w:ascii="仿宋" w:hAnsi="仿宋" w:eastAsia="方正仿宋简体"/>
          <w:bCs/>
          <w:color w:val="000000" w:themeColor="text1"/>
          <w:sz w:val="32"/>
          <w:szCs w:val="32"/>
        </w:rPr>
        <w:t>8年重点工作完成情况。</w:t>
      </w:r>
      <w:r>
        <w:rPr>
          <w:rFonts w:hint="eastAsia" w:ascii="仿宋" w:hAnsi="仿宋" w:eastAsia="方正仿宋简体"/>
          <w:color w:val="000000" w:themeColor="text1"/>
          <w:sz w:val="32"/>
          <w:szCs w:val="32"/>
        </w:rPr>
        <w:t>在区委的坚强领导下，我委深入推进“稳定利州、平安利州、法治利州、和谐利州”建设，为加快建设综合实力一流的现代化市辖区和生态康养旅游名市营造了安全稳定的社会环境和公正规范的法治环境。2018年，全区政法系统获得国家级表彰5次、省级24次、市级23次，有力地展示了政法工作成效和政法队伍良好形象。</w:t>
      </w:r>
    </w:p>
    <w:p>
      <w:pPr>
        <w:widowControl/>
        <w:overflowPunct w:val="0"/>
        <w:spacing w:line="576" w:lineRule="exact"/>
        <w:ind w:firstLine="640" w:firstLineChars="200"/>
        <w:jc w:val="left"/>
        <w:rPr>
          <w:rFonts w:hint="eastAsia" w:ascii="方正仿宋简体" w:hAnsi="宋体" w:eastAsia="方正仿宋简体"/>
          <w:color w:val="000000" w:themeColor="text1"/>
          <w:sz w:val="32"/>
          <w:szCs w:val="32"/>
        </w:rPr>
      </w:pPr>
      <w:r>
        <w:rPr>
          <w:rFonts w:hint="eastAsia" w:ascii="方正仿宋简体" w:hAnsi="仿宋" w:eastAsia="方正仿宋简体" w:cs="仿宋_GB2312"/>
          <w:color w:val="000000" w:themeColor="text1"/>
          <w:sz w:val="32"/>
          <w:szCs w:val="32"/>
        </w:rPr>
        <w:t>（三）人员概况。</w:t>
      </w:r>
      <w:r>
        <w:rPr>
          <w:rFonts w:hint="eastAsia" w:ascii="方正仿宋简体" w:hAnsi="宋体" w:eastAsia="方正仿宋简体"/>
          <w:color w:val="000000" w:themeColor="text1"/>
          <w:sz w:val="32"/>
          <w:szCs w:val="32"/>
        </w:rPr>
        <w:t>2018年现有在职职工31人，其中公务员14人，工勤人员2人，事业人员,11人，退休人员4人。</w:t>
      </w:r>
    </w:p>
    <w:p>
      <w:pPr>
        <w:overflowPunct w:val="0"/>
        <w:spacing w:line="576" w:lineRule="exact"/>
        <w:ind w:firstLine="640" w:firstLineChars="200"/>
        <w:rPr>
          <w:rFonts w:ascii="黑体" w:hAnsi="黑体" w:eastAsia="黑体" w:cs="黑体"/>
          <w:color w:val="000000" w:themeColor="text1"/>
          <w:sz w:val="32"/>
          <w:szCs w:val="32"/>
        </w:rPr>
      </w:pPr>
      <w:r>
        <w:rPr>
          <w:rFonts w:ascii="黑体" w:hAnsi="黑体" w:eastAsia="黑体" w:cs="黑体"/>
          <w:color w:val="000000" w:themeColor="text1"/>
          <w:sz w:val="32"/>
          <w:szCs w:val="32"/>
        </w:rPr>
        <w:t>二、部门财政资金收支情况</w:t>
      </w:r>
    </w:p>
    <w:p>
      <w:pPr>
        <w:overflowPunct w:val="0"/>
        <w:spacing w:line="576" w:lineRule="exact"/>
        <w:ind w:firstLine="640" w:firstLineChars="200"/>
        <w:outlineLvl w:val="1"/>
        <w:rPr>
          <w:rFonts w:ascii="仿宋" w:hAnsi="仿宋" w:eastAsia="方正仿宋简体"/>
          <w:color w:val="000000" w:themeColor="text1"/>
          <w:sz w:val="32"/>
          <w:szCs w:val="32"/>
        </w:rPr>
      </w:pPr>
      <w:r>
        <w:rPr>
          <w:rFonts w:ascii="仿宋" w:hAnsi="仿宋" w:eastAsia="方正仿宋简体" w:cs="仿宋_GB2312"/>
          <w:color w:val="000000" w:themeColor="text1"/>
          <w:sz w:val="32"/>
          <w:szCs w:val="32"/>
        </w:rPr>
        <w:t>（一）部门财政资金收入情况。</w:t>
      </w:r>
      <w:r>
        <w:rPr>
          <w:rFonts w:ascii="仿宋" w:hAnsi="仿宋" w:eastAsia="方正仿宋简体"/>
          <w:color w:val="000000" w:themeColor="text1"/>
          <w:sz w:val="32"/>
          <w:szCs w:val="32"/>
        </w:rPr>
        <w:t>201</w:t>
      </w:r>
      <w:r>
        <w:rPr>
          <w:rFonts w:hint="eastAsia" w:ascii="仿宋" w:hAnsi="仿宋" w:eastAsia="方正仿宋简体"/>
          <w:color w:val="000000" w:themeColor="text1"/>
          <w:sz w:val="32"/>
          <w:szCs w:val="32"/>
        </w:rPr>
        <w:t>8年本年收入合计517.78万元，其中：一般公共预算财政拨款收入517.78万元，占</w:t>
      </w:r>
      <w:r>
        <w:rPr>
          <w:rFonts w:ascii="仿宋" w:hAnsi="仿宋" w:eastAsia="方正仿宋简体"/>
          <w:color w:val="000000" w:themeColor="text1"/>
          <w:sz w:val="32"/>
          <w:szCs w:val="32"/>
        </w:rPr>
        <w:t>100%</w:t>
      </w:r>
      <w:r>
        <w:rPr>
          <w:rFonts w:hint="eastAsia" w:ascii="仿宋" w:hAnsi="仿宋" w:eastAsia="方正仿宋简体"/>
          <w:color w:val="000000" w:themeColor="text1"/>
          <w:sz w:val="32"/>
          <w:szCs w:val="32"/>
        </w:rPr>
        <w:t>；政府性基金预算财政拨款收入</w:t>
      </w:r>
      <w:r>
        <w:rPr>
          <w:rFonts w:ascii="仿宋" w:hAnsi="仿宋" w:eastAsia="方正仿宋简体"/>
          <w:color w:val="000000" w:themeColor="text1"/>
          <w:sz w:val="32"/>
          <w:szCs w:val="32"/>
        </w:rPr>
        <w:t>0</w:t>
      </w:r>
      <w:r>
        <w:rPr>
          <w:rFonts w:hint="eastAsia" w:ascii="仿宋" w:hAnsi="仿宋" w:eastAsia="方正仿宋简体"/>
          <w:color w:val="000000" w:themeColor="text1"/>
          <w:sz w:val="32"/>
          <w:szCs w:val="32"/>
        </w:rPr>
        <w:t>万元，占</w:t>
      </w:r>
      <w:r>
        <w:rPr>
          <w:rFonts w:ascii="仿宋" w:hAnsi="仿宋" w:eastAsia="方正仿宋简体"/>
          <w:color w:val="000000" w:themeColor="text1"/>
          <w:sz w:val="32"/>
          <w:szCs w:val="32"/>
        </w:rPr>
        <w:t>0%</w:t>
      </w:r>
      <w:r>
        <w:rPr>
          <w:rFonts w:hint="eastAsia" w:ascii="仿宋" w:hAnsi="仿宋" w:eastAsia="方正仿宋简体"/>
          <w:color w:val="000000" w:themeColor="text1"/>
          <w:sz w:val="32"/>
          <w:szCs w:val="32"/>
        </w:rPr>
        <w:t>；国有资本经营预算财政拨款收入</w:t>
      </w:r>
      <w:r>
        <w:rPr>
          <w:rFonts w:ascii="仿宋" w:hAnsi="仿宋" w:eastAsia="方正仿宋简体"/>
          <w:color w:val="000000" w:themeColor="text1"/>
          <w:sz w:val="32"/>
          <w:szCs w:val="32"/>
        </w:rPr>
        <w:t>0</w:t>
      </w:r>
      <w:r>
        <w:rPr>
          <w:rFonts w:hint="eastAsia" w:ascii="仿宋" w:hAnsi="仿宋" w:eastAsia="方正仿宋简体"/>
          <w:color w:val="000000" w:themeColor="text1"/>
          <w:sz w:val="32"/>
          <w:szCs w:val="32"/>
        </w:rPr>
        <w:t>万元，占</w:t>
      </w:r>
      <w:r>
        <w:rPr>
          <w:rFonts w:ascii="仿宋" w:hAnsi="仿宋" w:eastAsia="方正仿宋简体"/>
          <w:color w:val="000000" w:themeColor="text1"/>
          <w:sz w:val="32"/>
          <w:szCs w:val="32"/>
        </w:rPr>
        <w:t>0%</w:t>
      </w:r>
      <w:r>
        <w:rPr>
          <w:rFonts w:hint="eastAsia" w:ascii="仿宋" w:hAnsi="仿宋" w:eastAsia="方正仿宋简体"/>
          <w:color w:val="000000" w:themeColor="text1"/>
          <w:sz w:val="32"/>
          <w:szCs w:val="32"/>
        </w:rPr>
        <w:t>；事业收入</w:t>
      </w:r>
      <w:r>
        <w:rPr>
          <w:rFonts w:ascii="仿宋" w:hAnsi="仿宋" w:eastAsia="方正仿宋简体"/>
          <w:color w:val="000000" w:themeColor="text1"/>
          <w:sz w:val="32"/>
          <w:szCs w:val="32"/>
        </w:rPr>
        <w:t>0</w:t>
      </w:r>
      <w:r>
        <w:rPr>
          <w:rFonts w:hint="eastAsia" w:ascii="仿宋" w:hAnsi="仿宋" w:eastAsia="方正仿宋简体"/>
          <w:color w:val="000000" w:themeColor="text1"/>
          <w:sz w:val="32"/>
          <w:szCs w:val="32"/>
        </w:rPr>
        <w:t>万元，占</w:t>
      </w:r>
      <w:r>
        <w:rPr>
          <w:rFonts w:ascii="仿宋" w:hAnsi="仿宋" w:eastAsia="方正仿宋简体"/>
          <w:color w:val="000000" w:themeColor="text1"/>
          <w:sz w:val="32"/>
          <w:szCs w:val="32"/>
        </w:rPr>
        <w:t>0%</w:t>
      </w:r>
      <w:r>
        <w:rPr>
          <w:rFonts w:hint="eastAsia" w:ascii="仿宋" w:hAnsi="仿宋" w:eastAsia="方正仿宋简体"/>
          <w:color w:val="000000" w:themeColor="text1"/>
          <w:sz w:val="32"/>
          <w:szCs w:val="32"/>
        </w:rPr>
        <w:t>；经营收入</w:t>
      </w:r>
      <w:r>
        <w:rPr>
          <w:rFonts w:ascii="仿宋" w:hAnsi="仿宋" w:eastAsia="方正仿宋简体"/>
          <w:color w:val="000000" w:themeColor="text1"/>
          <w:sz w:val="32"/>
          <w:szCs w:val="32"/>
        </w:rPr>
        <w:t>0</w:t>
      </w:r>
      <w:r>
        <w:rPr>
          <w:rFonts w:hint="eastAsia" w:ascii="仿宋" w:hAnsi="仿宋" w:eastAsia="方正仿宋简体"/>
          <w:color w:val="000000" w:themeColor="text1"/>
          <w:sz w:val="32"/>
          <w:szCs w:val="32"/>
        </w:rPr>
        <w:t>万元，占</w:t>
      </w:r>
      <w:r>
        <w:rPr>
          <w:rFonts w:ascii="仿宋" w:hAnsi="仿宋" w:eastAsia="方正仿宋简体"/>
          <w:color w:val="000000" w:themeColor="text1"/>
          <w:sz w:val="32"/>
          <w:szCs w:val="32"/>
        </w:rPr>
        <w:t>0%</w:t>
      </w:r>
      <w:r>
        <w:rPr>
          <w:rFonts w:hint="eastAsia" w:ascii="仿宋" w:hAnsi="仿宋" w:eastAsia="方正仿宋简体"/>
          <w:color w:val="000000" w:themeColor="text1"/>
          <w:sz w:val="32"/>
          <w:szCs w:val="32"/>
        </w:rPr>
        <w:t>；附属单位上缴收入</w:t>
      </w:r>
      <w:r>
        <w:rPr>
          <w:rFonts w:ascii="仿宋" w:hAnsi="仿宋" w:eastAsia="方正仿宋简体"/>
          <w:color w:val="000000" w:themeColor="text1"/>
          <w:sz w:val="32"/>
          <w:szCs w:val="32"/>
        </w:rPr>
        <w:t>0</w:t>
      </w:r>
      <w:r>
        <w:rPr>
          <w:rFonts w:hint="eastAsia" w:ascii="仿宋" w:hAnsi="仿宋" w:eastAsia="方正仿宋简体"/>
          <w:color w:val="000000" w:themeColor="text1"/>
          <w:sz w:val="32"/>
          <w:szCs w:val="32"/>
        </w:rPr>
        <w:t>万元，占</w:t>
      </w:r>
      <w:r>
        <w:rPr>
          <w:rFonts w:ascii="仿宋" w:hAnsi="仿宋" w:eastAsia="方正仿宋简体"/>
          <w:color w:val="000000" w:themeColor="text1"/>
          <w:sz w:val="32"/>
          <w:szCs w:val="32"/>
        </w:rPr>
        <w:t>0%</w:t>
      </w:r>
      <w:r>
        <w:rPr>
          <w:rFonts w:hint="eastAsia" w:ascii="仿宋" w:hAnsi="仿宋" w:eastAsia="方正仿宋简体"/>
          <w:color w:val="000000" w:themeColor="text1"/>
          <w:sz w:val="32"/>
          <w:szCs w:val="32"/>
        </w:rPr>
        <w:t>；其他收入</w:t>
      </w:r>
      <w:r>
        <w:rPr>
          <w:rFonts w:ascii="仿宋" w:hAnsi="仿宋" w:eastAsia="方正仿宋简体"/>
          <w:color w:val="000000" w:themeColor="text1"/>
          <w:sz w:val="32"/>
          <w:szCs w:val="32"/>
        </w:rPr>
        <w:t>0</w:t>
      </w:r>
      <w:r>
        <w:rPr>
          <w:rFonts w:hint="eastAsia" w:ascii="仿宋" w:hAnsi="仿宋" w:eastAsia="方正仿宋简体"/>
          <w:color w:val="000000" w:themeColor="text1"/>
          <w:sz w:val="32"/>
          <w:szCs w:val="32"/>
        </w:rPr>
        <w:t>万元，占</w:t>
      </w:r>
      <w:r>
        <w:rPr>
          <w:rFonts w:ascii="仿宋" w:hAnsi="仿宋" w:eastAsia="方正仿宋简体"/>
          <w:color w:val="000000" w:themeColor="text1"/>
          <w:sz w:val="32"/>
          <w:szCs w:val="32"/>
        </w:rPr>
        <w:t>0%</w:t>
      </w:r>
      <w:r>
        <w:rPr>
          <w:rFonts w:hint="eastAsia" w:ascii="仿宋" w:hAnsi="仿宋" w:eastAsia="方正仿宋简体"/>
          <w:color w:val="000000" w:themeColor="text1"/>
          <w:sz w:val="32"/>
          <w:szCs w:val="32"/>
        </w:rPr>
        <w:t>。</w:t>
      </w:r>
    </w:p>
    <w:p>
      <w:pPr>
        <w:overflowPunct w:val="0"/>
        <w:spacing w:line="576" w:lineRule="exact"/>
        <w:ind w:firstLine="640" w:firstLineChars="200"/>
        <w:rPr>
          <w:rFonts w:ascii="仿宋" w:hAnsi="仿宋" w:eastAsia="方正仿宋简体" w:cs="仿宋_GB2312"/>
          <w:color w:val="000000" w:themeColor="text1"/>
          <w:sz w:val="32"/>
          <w:szCs w:val="32"/>
          <w:lang w:val="zh-CN"/>
        </w:rPr>
      </w:pPr>
      <w:r>
        <w:rPr>
          <w:rFonts w:hint="eastAsia" w:ascii="仿宋" w:hAnsi="仿宋" w:eastAsia="方正仿宋简体" w:cs="仿宋_GB2312"/>
          <w:color w:val="000000" w:themeColor="text1"/>
          <w:sz w:val="32"/>
          <w:szCs w:val="32"/>
          <w:lang w:val="zh-CN"/>
        </w:rPr>
        <w:t>（二）</w:t>
      </w:r>
      <w:r>
        <w:rPr>
          <w:rFonts w:ascii="仿宋" w:hAnsi="仿宋" w:eastAsia="方正仿宋简体" w:cs="仿宋_GB2312"/>
          <w:color w:val="000000" w:themeColor="text1"/>
          <w:sz w:val="32"/>
          <w:szCs w:val="32"/>
          <w:lang w:val="zh-CN"/>
        </w:rPr>
        <w:t>部门财政资金支出情况</w:t>
      </w:r>
    </w:p>
    <w:p>
      <w:pPr>
        <w:overflowPunct w:val="0"/>
        <w:spacing w:line="576" w:lineRule="exact"/>
        <w:ind w:firstLine="640"/>
        <w:rPr>
          <w:rFonts w:ascii="仿宋" w:hAnsi="仿宋" w:eastAsia="方正仿宋简体"/>
          <w:color w:val="000000" w:themeColor="text1"/>
          <w:sz w:val="32"/>
          <w:szCs w:val="32"/>
          <w:shd w:val="pct10" w:color="auto" w:fill="FFFFFF"/>
        </w:rPr>
      </w:pPr>
      <w:r>
        <w:rPr>
          <w:rFonts w:ascii="仿宋" w:hAnsi="仿宋" w:eastAsia="方正仿宋简体"/>
          <w:color w:val="000000" w:themeColor="text1"/>
          <w:sz w:val="32"/>
          <w:szCs w:val="32"/>
        </w:rPr>
        <w:t>201</w:t>
      </w:r>
      <w:r>
        <w:rPr>
          <w:rFonts w:hint="eastAsia" w:ascii="仿宋" w:hAnsi="仿宋" w:eastAsia="方正仿宋简体"/>
          <w:color w:val="000000" w:themeColor="text1"/>
          <w:sz w:val="32"/>
          <w:szCs w:val="32"/>
        </w:rPr>
        <w:t>8年本年支出合计492.51万元，其中：基本支出423.78万元，占</w:t>
      </w:r>
      <w:r>
        <w:rPr>
          <w:rFonts w:ascii="仿宋" w:hAnsi="仿宋" w:eastAsia="方正仿宋简体"/>
          <w:color w:val="000000" w:themeColor="text1"/>
          <w:sz w:val="32"/>
          <w:szCs w:val="32"/>
        </w:rPr>
        <w:t>86.</w:t>
      </w:r>
      <w:r>
        <w:rPr>
          <w:rFonts w:hint="eastAsia" w:ascii="仿宋" w:hAnsi="仿宋" w:eastAsia="方正仿宋简体"/>
          <w:color w:val="000000" w:themeColor="text1"/>
          <w:sz w:val="32"/>
          <w:szCs w:val="32"/>
        </w:rPr>
        <w:t>04</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；项目支出68.73万元，占</w:t>
      </w:r>
      <w:r>
        <w:rPr>
          <w:rFonts w:ascii="仿宋" w:hAnsi="仿宋" w:eastAsia="方正仿宋简体"/>
          <w:color w:val="000000" w:themeColor="text1"/>
          <w:sz w:val="32"/>
          <w:szCs w:val="32"/>
        </w:rPr>
        <w:t>13.</w:t>
      </w:r>
      <w:r>
        <w:rPr>
          <w:rFonts w:hint="eastAsia" w:ascii="仿宋" w:hAnsi="仿宋" w:eastAsia="方正仿宋简体"/>
          <w:color w:val="000000" w:themeColor="text1"/>
          <w:sz w:val="32"/>
          <w:szCs w:val="32"/>
        </w:rPr>
        <w:t>96</w:t>
      </w:r>
      <w:r>
        <w:rPr>
          <w:rFonts w:ascii="仿宋" w:hAnsi="仿宋" w:eastAsia="方正仿宋简体"/>
          <w:color w:val="000000" w:themeColor="text1"/>
          <w:sz w:val="32"/>
          <w:szCs w:val="32"/>
        </w:rPr>
        <w:t>%</w:t>
      </w:r>
      <w:r>
        <w:rPr>
          <w:rFonts w:hint="eastAsia" w:ascii="仿宋" w:hAnsi="仿宋" w:eastAsia="方正仿宋简体"/>
          <w:color w:val="000000" w:themeColor="text1"/>
          <w:sz w:val="32"/>
          <w:szCs w:val="32"/>
        </w:rPr>
        <w:t>；上缴上级支出</w:t>
      </w:r>
      <w:r>
        <w:rPr>
          <w:rFonts w:ascii="仿宋" w:hAnsi="仿宋" w:eastAsia="方正仿宋简体"/>
          <w:color w:val="000000" w:themeColor="text1"/>
          <w:sz w:val="32"/>
          <w:szCs w:val="32"/>
        </w:rPr>
        <w:t>0</w:t>
      </w:r>
      <w:r>
        <w:rPr>
          <w:rFonts w:hint="eastAsia" w:ascii="仿宋" w:hAnsi="仿宋" w:eastAsia="方正仿宋简体"/>
          <w:color w:val="000000" w:themeColor="text1"/>
          <w:sz w:val="32"/>
          <w:szCs w:val="32"/>
        </w:rPr>
        <w:t>万元，占</w:t>
      </w:r>
      <w:r>
        <w:rPr>
          <w:rFonts w:ascii="仿宋" w:hAnsi="仿宋" w:eastAsia="方正仿宋简体"/>
          <w:color w:val="000000" w:themeColor="text1"/>
          <w:sz w:val="32"/>
          <w:szCs w:val="32"/>
        </w:rPr>
        <w:t>0%</w:t>
      </w:r>
      <w:r>
        <w:rPr>
          <w:rFonts w:hint="eastAsia" w:ascii="仿宋" w:hAnsi="仿宋" w:eastAsia="方正仿宋简体"/>
          <w:color w:val="000000" w:themeColor="text1"/>
          <w:sz w:val="32"/>
          <w:szCs w:val="32"/>
        </w:rPr>
        <w:t>；经营支出</w:t>
      </w:r>
      <w:r>
        <w:rPr>
          <w:rFonts w:ascii="仿宋" w:hAnsi="仿宋" w:eastAsia="方正仿宋简体"/>
          <w:color w:val="000000" w:themeColor="text1"/>
          <w:sz w:val="32"/>
          <w:szCs w:val="32"/>
        </w:rPr>
        <w:t>0</w:t>
      </w:r>
      <w:r>
        <w:rPr>
          <w:rFonts w:hint="eastAsia" w:ascii="仿宋" w:hAnsi="仿宋" w:eastAsia="方正仿宋简体"/>
          <w:color w:val="000000" w:themeColor="text1"/>
          <w:sz w:val="32"/>
          <w:szCs w:val="32"/>
        </w:rPr>
        <w:t>万元，占</w:t>
      </w:r>
      <w:r>
        <w:rPr>
          <w:rFonts w:ascii="仿宋" w:hAnsi="仿宋" w:eastAsia="方正仿宋简体"/>
          <w:color w:val="000000" w:themeColor="text1"/>
          <w:sz w:val="32"/>
          <w:szCs w:val="32"/>
        </w:rPr>
        <w:t>0%</w:t>
      </w:r>
      <w:r>
        <w:rPr>
          <w:rFonts w:hint="eastAsia" w:ascii="仿宋" w:hAnsi="仿宋" w:eastAsia="方正仿宋简体"/>
          <w:color w:val="000000" w:themeColor="text1"/>
          <w:sz w:val="32"/>
          <w:szCs w:val="32"/>
        </w:rPr>
        <w:t>；对附属单位补助支出</w:t>
      </w:r>
      <w:r>
        <w:rPr>
          <w:rFonts w:ascii="仿宋" w:hAnsi="仿宋" w:eastAsia="方正仿宋简体"/>
          <w:color w:val="000000" w:themeColor="text1"/>
          <w:sz w:val="32"/>
          <w:szCs w:val="32"/>
        </w:rPr>
        <w:t>0</w:t>
      </w:r>
      <w:r>
        <w:rPr>
          <w:rFonts w:hint="eastAsia" w:ascii="仿宋" w:hAnsi="仿宋" w:eastAsia="方正仿宋简体"/>
          <w:color w:val="000000" w:themeColor="text1"/>
          <w:sz w:val="32"/>
          <w:szCs w:val="32"/>
        </w:rPr>
        <w:t>万元，占</w:t>
      </w:r>
      <w:r>
        <w:rPr>
          <w:rFonts w:ascii="仿宋" w:hAnsi="仿宋" w:eastAsia="方正仿宋简体"/>
          <w:color w:val="000000" w:themeColor="text1"/>
          <w:sz w:val="32"/>
          <w:szCs w:val="32"/>
        </w:rPr>
        <w:t>0%</w:t>
      </w:r>
      <w:r>
        <w:rPr>
          <w:rFonts w:hint="eastAsia" w:ascii="仿宋" w:hAnsi="仿宋" w:eastAsia="方正仿宋简体"/>
          <w:color w:val="000000" w:themeColor="text1"/>
          <w:sz w:val="32"/>
          <w:szCs w:val="32"/>
        </w:rPr>
        <w:t>。</w:t>
      </w:r>
    </w:p>
    <w:p>
      <w:pPr>
        <w:overflowPunct w:val="0"/>
        <w:spacing w:line="576" w:lineRule="exact"/>
        <w:ind w:firstLine="640" w:firstLineChars="200"/>
        <w:rPr>
          <w:rFonts w:hint="eastAsia" w:ascii="方正黑体简体" w:hAnsi="仿宋" w:eastAsia="方正黑体简体" w:cs="仿宋_GB2312"/>
          <w:bCs/>
          <w:color w:val="000000" w:themeColor="text1"/>
          <w:sz w:val="32"/>
          <w:szCs w:val="32"/>
        </w:rPr>
      </w:pPr>
      <w:r>
        <w:rPr>
          <w:rFonts w:hint="eastAsia" w:ascii="方正黑体简体" w:hAnsi="仿宋" w:eastAsia="方正黑体简体" w:cs="仿宋_GB2312"/>
          <w:bCs/>
          <w:color w:val="000000" w:themeColor="text1"/>
          <w:sz w:val="32"/>
          <w:szCs w:val="32"/>
        </w:rPr>
        <w:t>三、部门整体预算绩效管理情况</w:t>
      </w:r>
    </w:p>
    <w:p>
      <w:pPr>
        <w:overflowPunct w:val="0"/>
        <w:spacing w:line="576" w:lineRule="exact"/>
        <w:ind w:firstLine="640" w:firstLineChars="200"/>
        <w:rPr>
          <w:rFonts w:ascii="仿宋" w:hAnsi="仿宋" w:eastAsia="方正仿宋简体" w:cs="仿宋_GB2312"/>
          <w:color w:val="000000" w:themeColor="text1"/>
          <w:sz w:val="32"/>
          <w:szCs w:val="32"/>
          <w:lang w:val="zh-CN"/>
        </w:rPr>
      </w:pPr>
      <w:r>
        <w:rPr>
          <w:rFonts w:ascii="仿宋" w:hAnsi="仿宋" w:eastAsia="方正仿宋简体" w:cs="仿宋_GB2312"/>
          <w:color w:val="000000" w:themeColor="text1"/>
          <w:sz w:val="32"/>
          <w:szCs w:val="32"/>
          <w:lang w:val="zh-CN"/>
        </w:rPr>
        <w:t>（一）</w:t>
      </w:r>
      <w:r>
        <w:rPr>
          <w:rFonts w:hint="eastAsia" w:ascii="仿宋" w:hAnsi="仿宋" w:eastAsia="方正仿宋简体" w:cs="仿宋_GB2312"/>
          <w:color w:val="000000" w:themeColor="text1"/>
          <w:sz w:val="32"/>
          <w:szCs w:val="32"/>
          <w:lang w:val="zh-CN"/>
        </w:rPr>
        <w:t>部门</w:t>
      </w:r>
      <w:r>
        <w:rPr>
          <w:rFonts w:ascii="仿宋" w:hAnsi="仿宋" w:eastAsia="方正仿宋简体" w:cs="仿宋_GB2312"/>
          <w:color w:val="000000" w:themeColor="text1"/>
          <w:sz w:val="32"/>
          <w:szCs w:val="32"/>
          <w:lang w:val="zh-CN"/>
        </w:rPr>
        <w:t>预算</w:t>
      </w:r>
      <w:r>
        <w:rPr>
          <w:rFonts w:hint="eastAsia" w:ascii="仿宋" w:hAnsi="仿宋" w:eastAsia="方正仿宋简体" w:cs="仿宋_GB2312"/>
          <w:color w:val="000000" w:themeColor="text1"/>
          <w:sz w:val="32"/>
          <w:szCs w:val="32"/>
          <w:lang w:val="zh-CN"/>
        </w:rPr>
        <w:t>管理。</w:t>
      </w:r>
    </w:p>
    <w:p>
      <w:pPr>
        <w:overflowPunct w:val="0"/>
        <w:spacing w:line="576" w:lineRule="exact"/>
        <w:ind w:firstLine="640" w:firstLineChars="200"/>
        <w:rPr>
          <w:rFonts w:ascii="仿宋" w:hAnsi="仿宋" w:eastAsia="方正仿宋简体" w:cs="仿宋_GB2312"/>
          <w:color w:val="000000" w:themeColor="text1"/>
          <w:sz w:val="32"/>
          <w:szCs w:val="32"/>
        </w:rPr>
      </w:pPr>
      <w:r>
        <w:rPr>
          <w:rFonts w:hint="eastAsia" w:ascii="仿宋" w:hAnsi="仿宋" w:eastAsia="方正仿宋简体" w:cs="仿宋_GB2312"/>
          <w:color w:val="000000" w:themeColor="text1"/>
          <w:sz w:val="32"/>
          <w:szCs w:val="32"/>
        </w:rPr>
        <w:t>1.严格按</w:t>
      </w:r>
      <w:r>
        <w:rPr>
          <w:rFonts w:ascii="仿宋" w:hAnsi="仿宋" w:eastAsia="方正仿宋简体" w:cs="仿宋_GB2312"/>
          <w:color w:val="000000" w:themeColor="text1"/>
          <w:sz w:val="32"/>
          <w:szCs w:val="32"/>
        </w:rPr>
        <w:t>区财政</w:t>
      </w:r>
      <w:r>
        <w:rPr>
          <w:rFonts w:hint="eastAsia" w:ascii="仿宋" w:hAnsi="仿宋" w:eastAsia="方正仿宋简体" w:cs="仿宋_GB2312"/>
          <w:color w:val="000000" w:themeColor="text1"/>
          <w:sz w:val="32"/>
          <w:szCs w:val="32"/>
        </w:rPr>
        <w:t>部门</w:t>
      </w:r>
      <w:r>
        <w:rPr>
          <w:rFonts w:ascii="仿宋" w:hAnsi="仿宋" w:eastAsia="方正仿宋简体" w:cs="仿宋_GB2312"/>
          <w:color w:val="000000" w:themeColor="text1"/>
          <w:sz w:val="32"/>
          <w:szCs w:val="32"/>
        </w:rPr>
        <w:t>预算要求，</w:t>
      </w:r>
      <w:r>
        <w:rPr>
          <w:rFonts w:hint="eastAsia" w:ascii="仿宋" w:hAnsi="仿宋" w:eastAsia="方正仿宋简体" w:cs="仿宋_GB2312"/>
          <w:color w:val="000000" w:themeColor="text1"/>
          <w:sz w:val="32"/>
          <w:szCs w:val="32"/>
        </w:rPr>
        <w:t>按时</w:t>
      </w:r>
      <w:r>
        <w:rPr>
          <w:rFonts w:ascii="仿宋" w:hAnsi="仿宋" w:eastAsia="方正仿宋简体" w:cs="仿宋_GB2312"/>
          <w:color w:val="000000" w:themeColor="text1"/>
          <w:sz w:val="32"/>
          <w:szCs w:val="32"/>
        </w:rPr>
        <w:t>按质编制</w:t>
      </w:r>
      <w:r>
        <w:rPr>
          <w:rFonts w:hint="eastAsia" w:ascii="仿宋" w:hAnsi="仿宋" w:eastAsia="方正仿宋简体" w:cs="仿宋_GB2312"/>
          <w:color w:val="000000" w:themeColor="text1"/>
          <w:sz w:val="32"/>
          <w:szCs w:val="32"/>
        </w:rPr>
        <w:t>我委</w:t>
      </w:r>
      <w:r>
        <w:rPr>
          <w:rFonts w:ascii="仿宋" w:hAnsi="仿宋" w:eastAsia="方正仿宋简体" w:cs="仿宋_GB2312"/>
          <w:color w:val="000000" w:themeColor="text1"/>
          <w:sz w:val="32"/>
          <w:szCs w:val="32"/>
        </w:rPr>
        <w:t>部门预算，并</w:t>
      </w:r>
      <w:r>
        <w:rPr>
          <w:rFonts w:hint="eastAsia" w:ascii="仿宋" w:hAnsi="仿宋" w:eastAsia="方正仿宋简体" w:cs="仿宋_GB2312"/>
          <w:color w:val="000000" w:themeColor="text1"/>
          <w:sz w:val="32"/>
          <w:szCs w:val="32"/>
        </w:rPr>
        <w:t>报送</w:t>
      </w:r>
      <w:r>
        <w:rPr>
          <w:rFonts w:ascii="仿宋" w:hAnsi="仿宋" w:eastAsia="方正仿宋简体" w:cs="仿宋_GB2312"/>
          <w:color w:val="000000" w:themeColor="text1"/>
          <w:sz w:val="32"/>
          <w:szCs w:val="32"/>
        </w:rPr>
        <w:t>对口业务股室。</w:t>
      </w:r>
    </w:p>
    <w:p>
      <w:pPr>
        <w:overflowPunct w:val="0"/>
        <w:spacing w:line="576" w:lineRule="exact"/>
        <w:ind w:firstLine="640" w:firstLineChars="200"/>
        <w:rPr>
          <w:rFonts w:ascii="仿宋" w:hAnsi="仿宋" w:eastAsia="方正仿宋简体" w:cs="仿宋_GB2312"/>
          <w:color w:val="000000" w:themeColor="text1"/>
          <w:sz w:val="32"/>
          <w:szCs w:val="32"/>
        </w:rPr>
      </w:pPr>
      <w:r>
        <w:rPr>
          <w:rFonts w:hint="eastAsia" w:ascii="仿宋" w:hAnsi="仿宋" w:eastAsia="方正仿宋简体" w:cs="仿宋_GB2312"/>
          <w:color w:val="000000" w:themeColor="text1"/>
          <w:sz w:val="32"/>
          <w:szCs w:val="32"/>
        </w:rPr>
        <w:t xml:space="preserve">2. 部门整体绩效目标编制完整、合理，预算安排的基本支出保障了正常的工作运转。 </w:t>
      </w:r>
    </w:p>
    <w:p>
      <w:pPr>
        <w:widowControl/>
        <w:overflowPunct w:val="0"/>
        <w:spacing w:line="576" w:lineRule="exact"/>
        <w:ind w:firstLine="640" w:firstLineChars="200"/>
        <w:jc w:val="left"/>
        <w:rPr>
          <w:rFonts w:ascii="宋体" w:hAnsi="宋体" w:eastAsia="方正仿宋简体" w:cs="宋体"/>
          <w:color w:val="000000" w:themeColor="text1"/>
          <w:kern w:val="0"/>
          <w:sz w:val="32"/>
          <w:szCs w:val="21"/>
        </w:rPr>
      </w:pPr>
      <w:r>
        <w:rPr>
          <w:rFonts w:ascii="仿宋" w:hAnsi="仿宋" w:eastAsia="方正仿宋简体" w:cs="仿宋_GB2312"/>
          <w:color w:val="000000" w:themeColor="text1"/>
          <w:sz w:val="32"/>
          <w:szCs w:val="32"/>
        </w:rPr>
        <w:t>3</w:t>
      </w:r>
      <w:r>
        <w:rPr>
          <w:rFonts w:hint="eastAsia" w:ascii="仿宋" w:hAnsi="仿宋" w:eastAsia="方正仿宋简体" w:cs="仿宋_GB2312"/>
          <w:color w:val="000000" w:themeColor="text1"/>
          <w:sz w:val="32"/>
          <w:szCs w:val="32"/>
        </w:rPr>
        <w:t>.</w:t>
      </w:r>
      <w:r>
        <w:rPr>
          <w:rFonts w:hint="eastAsia" w:ascii="宋体" w:hAnsi="宋体" w:eastAsia="方正仿宋简体" w:cs="宋体"/>
          <w:color w:val="000000" w:themeColor="text1"/>
          <w:kern w:val="0"/>
          <w:sz w:val="32"/>
          <w:szCs w:val="21"/>
        </w:rPr>
        <w:t>严控制行政经费，压缩公务费开支，严格控制“三公”经费，资产的配置严格政府采购，按照预算科目和项目资金的规定使用财政资金，保证部门整体支出的规范化、制度化。</w:t>
      </w:r>
    </w:p>
    <w:p>
      <w:pPr>
        <w:overflowPunct w:val="0"/>
        <w:spacing w:line="576" w:lineRule="exact"/>
        <w:ind w:firstLine="640" w:firstLineChars="200"/>
        <w:rPr>
          <w:rFonts w:ascii="仿宋" w:hAnsi="仿宋" w:eastAsia="方正仿宋简体" w:cs="仿宋_GB2312"/>
          <w:color w:val="000000" w:themeColor="text1"/>
          <w:sz w:val="32"/>
          <w:szCs w:val="32"/>
        </w:rPr>
      </w:pPr>
      <w:r>
        <w:rPr>
          <w:rFonts w:ascii="仿宋" w:hAnsi="仿宋" w:eastAsia="方正仿宋简体" w:cs="仿宋_GB2312"/>
          <w:color w:val="000000" w:themeColor="text1"/>
          <w:sz w:val="32"/>
          <w:szCs w:val="32"/>
        </w:rPr>
        <w:t>（二）专项预算管理。</w:t>
      </w:r>
    </w:p>
    <w:p>
      <w:pPr>
        <w:overflowPunct w:val="0"/>
        <w:spacing w:line="576" w:lineRule="exact"/>
        <w:ind w:firstLine="640" w:firstLineChars="200"/>
        <w:rPr>
          <w:rFonts w:ascii="仿宋" w:hAnsi="仿宋" w:eastAsia="方正仿宋简体" w:cs="仿宋_GB2312"/>
          <w:color w:val="000000" w:themeColor="text1"/>
          <w:sz w:val="32"/>
          <w:szCs w:val="32"/>
        </w:rPr>
      </w:pPr>
      <w:r>
        <w:rPr>
          <w:rFonts w:hint="eastAsia" w:ascii="仿宋" w:hAnsi="仿宋" w:eastAsia="方正仿宋简体" w:cs="仿宋_GB2312"/>
          <w:color w:val="000000" w:themeColor="text1"/>
          <w:sz w:val="32"/>
          <w:szCs w:val="32"/>
        </w:rPr>
        <w:t>1.预算执行方面，支出总额控制在预算总额以内，预算管理方面，制度执行总体较为有效。</w:t>
      </w:r>
    </w:p>
    <w:p>
      <w:pPr>
        <w:overflowPunct w:val="0"/>
        <w:spacing w:line="576" w:lineRule="exact"/>
        <w:ind w:firstLine="640" w:firstLineChars="200"/>
        <w:rPr>
          <w:rFonts w:hint="eastAsia" w:ascii="方正仿宋简体" w:hAnsi="仿宋" w:eastAsia="方正仿宋简体" w:cs="仿宋_GB2312"/>
          <w:color w:val="000000" w:themeColor="text1"/>
          <w:sz w:val="32"/>
          <w:szCs w:val="32"/>
        </w:rPr>
      </w:pPr>
      <w:r>
        <w:rPr>
          <w:rFonts w:hint="eastAsia" w:ascii="仿宋" w:hAnsi="仿宋" w:eastAsia="方正仿宋简体" w:cs="仿宋_GB2312"/>
          <w:color w:val="000000" w:themeColor="text1"/>
          <w:sz w:val="32"/>
          <w:szCs w:val="32"/>
        </w:rPr>
        <w:t>2. 项目绩效目标编制明确、量化精准，预算安排的项目支出保证</w:t>
      </w:r>
      <w:r>
        <w:rPr>
          <w:rFonts w:ascii="仿宋" w:hAnsi="仿宋" w:eastAsia="方正仿宋简体" w:cs="仿宋_GB2312"/>
          <w:color w:val="000000" w:themeColor="text1"/>
          <w:sz w:val="32"/>
          <w:szCs w:val="32"/>
        </w:rPr>
        <w:t>专项业务的开展</w:t>
      </w:r>
      <w:r>
        <w:rPr>
          <w:rFonts w:hint="eastAsia" w:ascii="仿宋" w:hAnsi="仿宋" w:eastAsia="方正仿宋简体" w:cs="仿宋_GB2312"/>
          <w:color w:val="000000" w:themeColor="text1"/>
          <w:sz w:val="32"/>
          <w:szCs w:val="32"/>
        </w:rPr>
        <w:t>，在执行上是严格遵守各项法律</w:t>
      </w:r>
      <w:r>
        <w:rPr>
          <w:rFonts w:ascii="仿宋" w:hAnsi="仿宋" w:eastAsia="方正仿宋简体" w:cs="仿宋_GB2312"/>
          <w:color w:val="000000" w:themeColor="text1"/>
          <w:sz w:val="32"/>
          <w:szCs w:val="32"/>
        </w:rPr>
        <w:t>法规和</w:t>
      </w:r>
      <w:r>
        <w:rPr>
          <w:rFonts w:hint="eastAsia" w:ascii="仿宋" w:hAnsi="仿宋" w:eastAsia="方正仿宋简体" w:cs="仿宋_GB2312"/>
          <w:color w:val="000000" w:themeColor="text1"/>
          <w:sz w:val="32"/>
          <w:szCs w:val="32"/>
        </w:rPr>
        <w:t>财</w:t>
      </w:r>
      <w:r>
        <w:rPr>
          <w:rFonts w:hint="eastAsia" w:ascii="方正仿宋简体" w:hAnsi="仿宋" w:eastAsia="方正仿宋简体" w:cs="仿宋_GB2312"/>
          <w:color w:val="000000" w:themeColor="text1"/>
          <w:sz w:val="32"/>
          <w:szCs w:val="32"/>
        </w:rPr>
        <w:t>经纪律的。</w:t>
      </w:r>
    </w:p>
    <w:p>
      <w:pPr>
        <w:overflowPunct w:val="0"/>
        <w:spacing w:line="576" w:lineRule="exact"/>
        <w:rPr>
          <w:rFonts w:hint="eastAsia" w:ascii="方正仿宋简体" w:eastAsia="方正仿宋简体"/>
          <w:color w:val="000000" w:themeColor="text1"/>
          <w:sz w:val="32"/>
        </w:rPr>
      </w:pPr>
      <w:r>
        <w:rPr>
          <w:rFonts w:hint="eastAsia" w:ascii="方正仿宋简体" w:eastAsia="方正仿宋简体"/>
          <w:color w:val="000000" w:themeColor="text1"/>
          <w:sz w:val="32"/>
          <w:szCs w:val="32"/>
        </w:rPr>
        <w:t xml:space="preserve">   </w:t>
      </w:r>
      <w:r>
        <w:rPr>
          <w:rFonts w:hint="eastAsia" w:ascii="方正仿宋简体" w:hAnsi="仿宋" w:eastAsia="方正仿宋简体" w:cs="仿宋_GB2312"/>
          <w:color w:val="000000" w:themeColor="text1"/>
          <w:sz w:val="32"/>
          <w:szCs w:val="32"/>
        </w:rPr>
        <w:t>（三）结果应用情况。</w:t>
      </w:r>
      <w:r>
        <w:rPr>
          <w:rFonts w:hint="eastAsia" w:ascii="方正仿宋简体" w:eastAsia="方正仿宋简体"/>
          <w:color w:val="000000" w:themeColor="text1"/>
          <w:sz w:val="32"/>
        </w:rPr>
        <w:t>从项目完成、项目效益、满意度等方面设置了绩效指标，综合反映项目预期完成的数量、成本、时效、质量，预期达到的社会效益、经济效益、生态效益、可持续影响以及服务对象满意度等情况。</w:t>
      </w:r>
    </w:p>
    <w:p>
      <w:pPr>
        <w:overflowPunct w:val="0"/>
        <w:spacing w:line="576" w:lineRule="exact"/>
        <w:ind w:firstLine="640" w:firstLineChars="200"/>
        <w:rPr>
          <w:rFonts w:ascii="黑体" w:hAnsi="黑体" w:eastAsia="黑体" w:cs="黑体"/>
          <w:color w:val="000000" w:themeColor="text1"/>
          <w:sz w:val="32"/>
          <w:szCs w:val="32"/>
        </w:rPr>
      </w:pPr>
      <w:r>
        <w:rPr>
          <w:rFonts w:ascii="黑体" w:hAnsi="黑体" w:eastAsia="黑体" w:cs="黑体"/>
          <w:color w:val="000000" w:themeColor="text1"/>
          <w:sz w:val="32"/>
          <w:szCs w:val="32"/>
        </w:rPr>
        <w:t>四、评价结论及建议</w:t>
      </w:r>
    </w:p>
    <w:p>
      <w:pPr>
        <w:overflowPunct w:val="0"/>
        <w:spacing w:line="576" w:lineRule="exact"/>
        <w:ind w:firstLine="640" w:firstLineChars="200"/>
        <w:rPr>
          <w:rFonts w:hint="eastAsia" w:ascii="方正仿宋简体" w:hAnsi="仿宋_GB2312" w:eastAsia="方正仿宋简体" w:cs="仿宋_GB2312"/>
          <w:color w:val="000000" w:themeColor="text1"/>
          <w:sz w:val="32"/>
          <w:szCs w:val="32"/>
          <w:lang w:val="zh-CN"/>
        </w:rPr>
      </w:pPr>
      <w:r>
        <w:rPr>
          <w:rFonts w:hint="eastAsia" w:ascii="方正仿宋简体" w:hAnsi="仿宋_GB2312" w:eastAsia="方正仿宋简体" w:cs="仿宋_GB2312"/>
          <w:color w:val="000000" w:themeColor="text1"/>
          <w:sz w:val="32"/>
          <w:szCs w:val="32"/>
          <w:lang w:val="zh-CN"/>
        </w:rPr>
        <w:t>（一）评价结论。</w:t>
      </w:r>
      <w:r>
        <w:rPr>
          <w:rFonts w:hint="eastAsia" w:ascii="方正仿宋简体" w:eastAsia="方正仿宋简体"/>
          <w:color w:val="000000" w:themeColor="text1"/>
          <w:sz w:val="32"/>
          <w:szCs w:val="32"/>
        </w:rPr>
        <w:t>我委深入贯彻落实党的十九大、习近平总书记对四川工作系列重要指示、省委十一届三次、市委七届七次和区委八届六次全会精神</w:t>
      </w:r>
      <w:r>
        <w:rPr>
          <w:rFonts w:hint="eastAsia" w:ascii="方正仿宋简体" w:hAnsi="仿宋_GB2312" w:eastAsia="方正仿宋简体" w:cs="仿宋_GB2312"/>
          <w:color w:val="000000" w:themeColor="text1"/>
          <w:sz w:val="32"/>
          <w:szCs w:val="32"/>
          <w:lang w:val="zh-CN"/>
        </w:rPr>
        <w:t>，干部职工努力工作，创先争优，较好地完成发改工作各项工作，而且取得较好的成绩。</w:t>
      </w:r>
    </w:p>
    <w:p>
      <w:pPr>
        <w:overflowPunct w:val="0"/>
        <w:spacing w:line="576" w:lineRule="exact"/>
        <w:ind w:firstLine="640" w:firstLineChars="200"/>
        <w:rPr>
          <w:rFonts w:hint="eastAsia" w:ascii="方正仿宋简体" w:hAnsi="仿宋_GB2312" w:eastAsia="方正仿宋简体" w:cs="仿宋_GB2312"/>
          <w:color w:val="000000" w:themeColor="text1"/>
          <w:sz w:val="32"/>
          <w:szCs w:val="32"/>
        </w:rPr>
      </w:pPr>
      <w:r>
        <w:rPr>
          <w:rFonts w:hint="eastAsia" w:ascii="方正仿宋简体" w:hAnsi="仿宋_GB2312" w:eastAsia="方正仿宋简体" w:cs="仿宋_GB2312"/>
          <w:color w:val="000000" w:themeColor="text1"/>
          <w:sz w:val="32"/>
          <w:szCs w:val="32"/>
          <w:lang w:val="zh-CN"/>
        </w:rPr>
        <w:t>（二）存在问题。</w:t>
      </w:r>
      <w:r>
        <w:rPr>
          <w:rFonts w:hint="eastAsia" w:ascii="方正仿宋简体" w:hAnsi="仿宋_GB2312" w:eastAsia="方正仿宋简体" w:cs="仿宋_GB2312"/>
          <w:color w:val="000000" w:themeColor="text1"/>
          <w:sz w:val="32"/>
          <w:szCs w:val="32"/>
        </w:rPr>
        <w:t xml:space="preserve">财务人员的业务能力还需加强，进一步适应新常态的财务工作，科学、有效地开展财务工作。 </w:t>
      </w:r>
    </w:p>
    <w:p>
      <w:pPr>
        <w:overflowPunct w:val="0"/>
        <w:spacing w:line="576" w:lineRule="exact"/>
        <w:ind w:firstLine="640" w:firstLineChars="200"/>
        <w:rPr>
          <w:rFonts w:hint="eastAsia" w:ascii="方正仿宋简体" w:hAnsi="仿宋_GB2312" w:eastAsia="方正仿宋简体" w:cs="仿宋_GB2312"/>
          <w:color w:val="000000" w:themeColor="text1"/>
          <w:sz w:val="32"/>
          <w:szCs w:val="32"/>
          <w:lang w:val="zh-CN"/>
        </w:rPr>
      </w:pPr>
      <w:r>
        <w:rPr>
          <w:rFonts w:hint="eastAsia" w:ascii="方正仿宋简体" w:hAnsi="仿宋_GB2312" w:eastAsia="方正仿宋简体" w:cs="仿宋_GB2312"/>
          <w:color w:val="000000" w:themeColor="text1"/>
          <w:sz w:val="32"/>
          <w:szCs w:val="32"/>
          <w:lang w:val="zh-CN"/>
        </w:rPr>
        <w:t>（三）改进建议。</w:t>
      </w:r>
    </w:p>
    <w:p>
      <w:pPr>
        <w:overflowPunct w:val="0"/>
        <w:spacing w:line="576" w:lineRule="exact"/>
        <w:ind w:firstLine="640" w:firstLineChars="200"/>
        <w:rPr>
          <w:rFonts w:hint="eastAsia" w:ascii="方正仿宋简体" w:hAnsi="仿宋_GB2312" w:eastAsia="方正仿宋简体" w:cs="仿宋_GB2312"/>
          <w:color w:val="000000" w:themeColor="text1"/>
          <w:sz w:val="32"/>
          <w:szCs w:val="32"/>
        </w:rPr>
      </w:pPr>
      <w:r>
        <w:rPr>
          <w:rFonts w:hint="eastAsia" w:ascii="方正仿宋简体" w:hAnsi="仿宋_GB2312" w:eastAsia="方正仿宋简体" w:cs="仿宋_GB2312"/>
          <w:color w:val="000000" w:themeColor="text1"/>
          <w:sz w:val="32"/>
          <w:szCs w:val="32"/>
        </w:rPr>
        <w:t>1．加强财务知识学习，适应新常态下的财务工作，杜绝财务工作中出现问题。</w:t>
      </w:r>
    </w:p>
    <w:p>
      <w:pPr>
        <w:overflowPunct w:val="0"/>
        <w:spacing w:line="576" w:lineRule="exact"/>
        <w:ind w:firstLine="640" w:firstLineChars="200"/>
        <w:rPr>
          <w:rFonts w:hint="eastAsia" w:ascii="方正仿宋简体" w:hAnsi="仿宋_GB2312" w:eastAsia="方正仿宋简体" w:cs="仿宋_GB2312"/>
          <w:color w:val="000000" w:themeColor="text1"/>
          <w:sz w:val="32"/>
          <w:szCs w:val="32"/>
        </w:rPr>
      </w:pPr>
      <w:r>
        <w:rPr>
          <w:rFonts w:hint="eastAsia" w:ascii="方正仿宋简体" w:hAnsi="仿宋_GB2312" w:eastAsia="方正仿宋简体" w:cs="仿宋_GB2312"/>
          <w:color w:val="000000" w:themeColor="text1"/>
          <w:sz w:val="32"/>
          <w:szCs w:val="32"/>
        </w:rPr>
        <w:t>2．严格按照《预算法》及其实施条例的相关规定科学科学、合理编制预算，同时严格预算执行，提高资金使用效率。</w:t>
      </w:r>
    </w:p>
    <w:p>
      <w:pPr>
        <w:overflowPunct w:val="0"/>
        <w:spacing w:line="576" w:lineRule="exact"/>
        <w:ind w:firstLine="640" w:firstLineChars="200"/>
        <w:rPr>
          <w:rFonts w:ascii="仿宋_GB2312" w:hAnsi="仿宋_GB2312" w:eastAsia="仿宋_GB2312" w:cs="仿宋_GB2312"/>
          <w:color w:val="000000" w:themeColor="text1"/>
          <w:sz w:val="32"/>
          <w:szCs w:val="32"/>
        </w:rPr>
      </w:pPr>
      <w:r>
        <w:rPr>
          <w:rFonts w:hint="eastAsia" w:ascii="方正仿宋简体" w:hAnsi="仿宋_GB2312" w:eastAsia="方正仿宋简体" w:cs="仿宋_GB2312"/>
          <w:color w:val="000000" w:themeColor="text1"/>
          <w:sz w:val="32"/>
          <w:szCs w:val="32"/>
        </w:rPr>
        <w:t>3．加强单位内控制度建设，建立健全财务内部控制制度，更好地发挥内部控制在提升单位内部治理水平、规范内部权力运行、促进依法行政、推进廉政建设中的重要作用。</w:t>
      </w:r>
      <w:r>
        <w:rPr>
          <w:rFonts w:ascii="仿宋_GB2312" w:hAnsi="仿宋_GB2312" w:eastAsia="仿宋_GB2312" w:cs="仿宋_GB2312"/>
          <w:color w:val="000000" w:themeColor="text1"/>
          <w:sz w:val="32"/>
          <w:szCs w:val="32"/>
        </w:rPr>
        <w:br w:type="page"/>
      </w:r>
    </w:p>
    <w:p>
      <w:pPr>
        <w:pStyle w:val="3"/>
        <w:overflowPunct w:val="0"/>
        <w:spacing w:before="0" w:after="0" w:line="576" w:lineRule="exact"/>
        <w:rPr>
          <w:rStyle w:val="25"/>
          <w:rFonts w:hint="eastAsia" w:ascii="仿宋" w:hAnsi="仿宋" w:eastAsia="方正仿宋简体"/>
          <w:b w:val="0"/>
          <w:bCs w:val="0"/>
          <w:color w:val="000000" w:themeColor="text1"/>
          <w:sz w:val="32"/>
          <w:szCs w:val="32"/>
        </w:rPr>
      </w:pPr>
      <w:bookmarkStart w:id="59" w:name="_Toc15396617"/>
      <w:r>
        <w:rPr>
          <w:rStyle w:val="25"/>
          <w:rFonts w:hint="eastAsia" w:ascii="仿宋" w:hAnsi="仿宋" w:eastAsia="方正仿宋简体"/>
          <w:b w:val="0"/>
          <w:bCs w:val="0"/>
          <w:color w:val="000000" w:themeColor="text1"/>
          <w:sz w:val="32"/>
          <w:szCs w:val="32"/>
        </w:rPr>
        <w:t>附件2</w:t>
      </w:r>
      <w:bookmarkEnd w:id="59"/>
    </w:p>
    <w:p/>
    <w:p>
      <w:pPr>
        <w:overflowPunct w:val="0"/>
        <w:spacing w:line="576" w:lineRule="exact"/>
        <w:jc w:val="center"/>
        <w:rPr>
          <w:rFonts w:ascii="黑体" w:hAnsi="黑体" w:eastAsia="黑体" w:cs="方正小标宋简体"/>
          <w:color w:val="000000" w:themeColor="text1"/>
          <w:sz w:val="44"/>
          <w:szCs w:val="44"/>
        </w:rPr>
      </w:pPr>
      <w:r>
        <w:rPr>
          <w:rFonts w:hint="eastAsia" w:ascii="黑体" w:hAnsi="黑体" w:eastAsia="黑体" w:cs="方正小标宋简体"/>
          <w:color w:val="000000" w:themeColor="text1"/>
          <w:sz w:val="44"/>
          <w:szCs w:val="44"/>
        </w:rPr>
        <w:t>2018年政法平安建设项目支出绩效评价报告</w:t>
      </w:r>
    </w:p>
    <w:p>
      <w:pPr>
        <w:overflowPunct w:val="0"/>
        <w:spacing w:line="576" w:lineRule="exact"/>
        <w:ind w:firstLine="640" w:firstLineChars="200"/>
        <w:rPr>
          <w:rFonts w:ascii="仿宋_GB2312" w:hAnsi="仿宋_GB2312" w:eastAsia="仿宋_GB2312" w:cs="仿宋_GB2312"/>
          <w:color w:val="000000" w:themeColor="text1"/>
          <w:sz w:val="32"/>
          <w:szCs w:val="32"/>
        </w:rPr>
      </w:pPr>
    </w:p>
    <w:p>
      <w:pPr>
        <w:overflowPunct w:val="0"/>
        <w:spacing w:line="576" w:lineRule="exact"/>
        <w:ind w:firstLine="640" w:firstLineChars="200"/>
        <w:rPr>
          <w:rFonts w:hint="eastAsia" w:ascii="方正黑体简体" w:hAnsi="仿宋" w:eastAsia="方正黑体简体" w:cs="仿宋_GB2312"/>
          <w:color w:val="000000" w:themeColor="text1"/>
          <w:sz w:val="32"/>
          <w:szCs w:val="32"/>
        </w:rPr>
      </w:pPr>
      <w:r>
        <w:rPr>
          <w:rFonts w:hint="eastAsia" w:ascii="方正黑体简体" w:hAnsi="仿宋" w:eastAsia="方正黑体简体" w:cs="仿宋_GB2312"/>
          <w:color w:val="000000" w:themeColor="text1"/>
          <w:sz w:val="32"/>
          <w:szCs w:val="32"/>
        </w:rPr>
        <w:t>一、评价工作开展及项目情况</w:t>
      </w:r>
    </w:p>
    <w:p>
      <w:pPr>
        <w:overflowPunct w:val="0"/>
        <w:spacing w:line="576" w:lineRule="exact"/>
        <w:ind w:firstLine="640" w:firstLineChars="200"/>
        <w:rPr>
          <w:rFonts w:ascii="华文仿宋" w:hAnsi="华文仿宋" w:eastAsia="方正仿宋简体" w:cs="宋体"/>
          <w:color w:val="000000" w:themeColor="text1"/>
          <w:sz w:val="32"/>
          <w:szCs w:val="32"/>
        </w:rPr>
      </w:pPr>
      <w:r>
        <w:rPr>
          <w:rFonts w:hint="eastAsia" w:ascii="方正楷体简体" w:hAnsi="楷体" w:eastAsia="方正楷体简体"/>
          <w:color w:val="000000" w:themeColor="text1"/>
          <w:sz w:val="32"/>
          <w:szCs w:val="32"/>
        </w:rPr>
        <w:t>政法队伍建设和政法舆论宣传工作扎实开展。</w:t>
      </w:r>
      <w:r>
        <w:rPr>
          <w:rFonts w:hint="eastAsia" w:ascii="黑体" w:hAnsi="黑体" w:eastAsia="方正黑体简体" w:cs="仿宋"/>
          <w:color w:val="000000" w:themeColor="text1"/>
          <w:kern w:val="0"/>
          <w:sz w:val="32"/>
          <w:szCs w:val="32"/>
        </w:rPr>
        <w:t>一是</w:t>
      </w:r>
      <w:r>
        <w:rPr>
          <w:rFonts w:hint="eastAsia" w:ascii="仿宋" w:hAnsi="仿宋" w:eastAsia="方正仿宋简体" w:cs="仿宋"/>
          <w:color w:val="000000" w:themeColor="text1"/>
          <w:kern w:val="0"/>
          <w:sz w:val="32"/>
          <w:szCs w:val="32"/>
        </w:rPr>
        <w:t>加强党委对政法工作的领导。严格遵守《中国共产党政法工作条例》，充分发挥区委政法委总揽全局、把握方向、协调各方的核心作用，强化对区级政法部门的指导、统筹、协调。印发了《区委政法委派员列席区级政法各部门领导班子民主生活会办法（试行）》的通知。</w:t>
      </w:r>
      <w:r>
        <w:rPr>
          <w:rFonts w:hint="eastAsia" w:ascii="黑体" w:hAnsi="黑体" w:eastAsia="方正黑体简体" w:cs="仿宋"/>
          <w:color w:val="000000" w:themeColor="text1"/>
          <w:kern w:val="0"/>
          <w:sz w:val="32"/>
          <w:szCs w:val="32"/>
        </w:rPr>
        <w:t>二是</w:t>
      </w:r>
      <w:r>
        <w:rPr>
          <w:rFonts w:hint="eastAsia" w:ascii="仿宋" w:hAnsi="仿宋" w:eastAsia="方正仿宋简体" w:cs="仿宋_GB2312"/>
          <w:color w:val="000000" w:themeColor="text1"/>
          <w:sz w:val="32"/>
          <w:szCs w:val="32"/>
          <w:shd w:val="clear" w:color="auto" w:fill="FFFFFF"/>
        </w:rPr>
        <w:t>全面加强政法队伍纪律作风建设。认真开展警示教育和谈心谈话，</w:t>
      </w:r>
      <w:r>
        <w:rPr>
          <w:rFonts w:hint="eastAsia" w:ascii="仿宋" w:hAnsi="仿宋" w:eastAsia="方正仿宋简体" w:cs="仿宋_GB2312"/>
          <w:color w:val="000000" w:themeColor="text1"/>
          <w:sz w:val="32"/>
          <w:szCs w:val="32"/>
        </w:rPr>
        <w:t>严格规范干警请销假、考勤、会议纪律等管理。贯彻执行《领导干部违法干预司法活动、插手具体案件和司法机关内部人员过问案件责任追究实施细则》，有力防止了领导干部干预司法案件</w:t>
      </w:r>
      <w:r>
        <w:rPr>
          <w:rFonts w:hint="eastAsia" w:ascii="仿宋" w:hAnsi="仿宋" w:eastAsia="方正仿宋简体" w:cs="宋体"/>
          <w:color w:val="000000" w:themeColor="text1"/>
          <w:sz w:val="32"/>
          <w:szCs w:val="32"/>
        </w:rPr>
        <w:t>。</w:t>
      </w:r>
      <w:r>
        <w:rPr>
          <w:rFonts w:hint="eastAsia" w:ascii="黑体" w:hAnsi="黑体" w:eastAsia="方正黑体简体" w:cs="仿宋"/>
          <w:color w:val="000000" w:themeColor="text1"/>
          <w:kern w:val="0"/>
          <w:sz w:val="32"/>
          <w:szCs w:val="32"/>
        </w:rPr>
        <w:t>三是</w:t>
      </w:r>
      <w:r>
        <w:rPr>
          <w:rFonts w:hint="eastAsia" w:ascii="仿宋" w:hAnsi="仿宋" w:eastAsia="方正仿宋简体" w:cs="仿宋_GB2312"/>
          <w:color w:val="000000" w:themeColor="text1"/>
          <w:sz w:val="32"/>
          <w:szCs w:val="32"/>
        </w:rPr>
        <w:t>纵深推进司法责任制改革。建立了法治人才数据库，真正把政治素养好、业务水平高、司法经验丰富</w:t>
      </w:r>
      <w:r>
        <w:rPr>
          <w:rFonts w:hint="eastAsia" w:ascii="仿宋" w:hAnsi="仿宋" w:eastAsia="方正仿宋简体" w:cs="仿宋_GB2312"/>
          <w:color w:val="000000" w:themeColor="text1"/>
          <w:sz w:val="32"/>
          <w:szCs w:val="32"/>
          <w:shd w:val="clear" w:color="auto" w:fill="FFFFFF"/>
        </w:rPr>
        <w:t>、能力素质突出、能独立办案</w:t>
      </w:r>
      <w:r>
        <w:rPr>
          <w:rFonts w:hint="eastAsia" w:ascii="仿宋" w:hAnsi="仿宋" w:eastAsia="方正仿宋简体" w:cs="仿宋_GB2312"/>
          <w:color w:val="000000" w:themeColor="text1"/>
          <w:sz w:val="32"/>
          <w:szCs w:val="32"/>
        </w:rPr>
        <w:t>的人员遴选进法官、检察官队伍，配置到办案一线，</w:t>
      </w:r>
      <w:r>
        <w:rPr>
          <w:rFonts w:hint="eastAsia" w:ascii="仿宋" w:hAnsi="仿宋" w:eastAsia="方正仿宋简体" w:cs="仿宋_GB2312"/>
          <w:color w:val="000000" w:themeColor="text1"/>
          <w:sz w:val="32"/>
          <w:szCs w:val="32"/>
          <w:shd w:val="clear" w:color="auto" w:fill="FFFFFF"/>
        </w:rPr>
        <w:t>实现科学分类管理、人员优化配置。</w:t>
      </w:r>
      <w:r>
        <w:rPr>
          <w:rFonts w:hint="eastAsia" w:ascii="黑体" w:hAnsi="黑体" w:eastAsia="方正黑体简体" w:cs="仿宋"/>
          <w:color w:val="000000" w:themeColor="text1"/>
          <w:kern w:val="0"/>
          <w:sz w:val="32"/>
          <w:szCs w:val="32"/>
        </w:rPr>
        <w:t>四是</w:t>
      </w:r>
      <w:r>
        <w:rPr>
          <w:rFonts w:hint="eastAsia" w:ascii="仿宋" w:hAnsi="仿宋" w:eastAsia="方正仿宋简体"/>
          <w:color w:val="000000" w:themeColor="text1"/>
          <w:sz w:val="32"/>
          <w:szCs w:val="32"/>
        </w:rPr>
        <w:t>大力开展“大学习、大讨论、大调研”三大活动。2018年</w:t>
      </w:r>
      <w:r>
        <w:rPr>
          <w:rFonts w:hint="eastAsia" w:ascii="仿宋" w:hAnsi="仿宋" w:eastAsia="方正仿宋简体" w:cs="仿宋_GB2312"/>
          <w:color w:val="000000" w:themeColor="text1"/>
          <w:sz w:val="32"/>
          <w:szCs w:val="32"/>
        </w:rPr>
        <w:t>5月26、27日举办了全区中层以上政法干部干警学习习近平新时代中国特色社会主义思想读书班。政法各部门领导干部带头深入基层开展调查研究，形成了一大批调研成果，并在《四川法治报》、</w:t>
      </w:r>
      <w:r>
        <w:rPr>
          <w:rFonts w:ascii="仿宋" w:hAnsi="仿宋" w:eastAsia="方正仿宋简体" w:cs="宋体"/>
          <w:color w:val="000000" w:themeColor="text1"/>
          <w:sz w:val="32"/>
          <w:szCs w:val="32"/>
        </w:rPr>
        <w:t>《调查与研究》</w:t>
      </w:r>
      <w:r>
        <w:rPr>
          <w:rFonts w:hint="eastAsia" w:ascii="仿宋" w:hAnsi="仿宋" w:eastAsia="方正仿宋简体" w:cs="仿宋_GB2312"/>
          <w:color w:val="000000" w:themeColor="text1"/>
          <w:sz w:val="32"/>
          <w:szCs w:val="32"/>
        </w:rPr>
        <w:t>、第五届“治蜀兴川”法治论坛</w:t>
      </w:r>
      <w:r>
        <w:rPr>
          <w:rFonts w:hint="eastAsia" w:ascii="仿宋" w:hAnsi="仿宋" w:eastAsia="方正仿宋简体" w:cs="宋体"/>
          <w:color w:val="000000" w:themeColor="text1"/>
          <w:sz w:val="32"/>
          <w:szCs w:val="32"/>
        </w:rPr>
        <w:t>发表或获奖</w:t>
      </w:r>
      <w:r>
        <w:rPr>
          <w:rFonts w:hint="eastAsia" w:ascii="仿宋" w:hAnsi="仿宋" w:eastAsia="方正仿宋简体" w:cs="仿宋_GB2312"/>
          <w:color w:val="000000" w:themeColor="text1"/>
          <w:sz w:val="32"/>
          <w:szCs w:val="32"/>
        </w:rPr>
        <w:t>。</w:t>
      </w:r>
      <w:r>
        <w:rPr>
          <w:rFonts w:hint="eastAsia" w:ascii="黑体" w:hAnsi="黑体" w:eastAsia="方正黑体简体" w:cs="仿宋"/>
          <w:color w:val="000000" w:themeColor="text1"/>
          <w:kern w:val="0"/>
          <w:sz w:val="32"/>
          <w:szCs w:val="32"/>
        </w:rPr>
        <w:t>五是</w:t>
      </w:r>
      <w:r>
        <w:rPr>
          <w:rFonts w:hint="eastAsia" w:ascii="仿宋" w:hAnsi="仿宋" w:eastAsia="方正仿宋简体" w:cs="仿宋_GB2312"/>
          <w:color w:val="000000" w:themeColor="text1"/>
          <w:sz w:val="32"/>
          <w:szCs w:val="32"/>
          <w:shd w:val="clear" w:color="auto" w:fill="FFFFFF"/>
        </w:rPr>
        <w:t>严格落实意识形态工作责任制，强化政法宣传和舆情风险管控。全面贯彻落实中央政法委《关于在政法工作中做好依法办理、舆论引导、社</w:t>
      </w:r>
      <w:r>
        <w:rPr>
          <w:rFonts w:hint="eastAsia" w:ascii="方正仿宋简体" w:hAnsi="仿宋" w:eastAsia="方正仿宋简体" w:cs="仿宋_GB2312"/>
          <w:color w:val="000000" w:themeColor="text1"/>
          <w:sz w:val="32"/>
          <w:szCs w:val="32"/>
          <w:shd w:val="clear" w:color="auto" w:fill="FFFFFF"/>
        </w:rPr>
        <w:t>会面管控“三同步”工作的意见》要求，将“三同步” 工作贯彻政法工作全过程，健全完善舆情巡察、决策指挥、分级响应等</w:t>
      </w:r>
      <w:r>
        <w:rPr>
          <w:rFonts w:hint="eastAsia" w:ascii="方正仿宋简体" w:hAnsi="华文仿宋" w:eastAsia="方正仿宋简体" w:cs="宋体"/>
          <w:color w:val="000000" w:themeColor="text1"/>
          <w:sz w:val="32"/>
          <w:szCs w:val="32"/>
        </w:rPr>
        <w:t>机制。2018年成功处置了“5.15学生坠楼”等舆情事件。</w:t>
      </w:r>
    </w:p>
    <w:p>
      <w:pPr>
        <w:overflowPunct w:val="0"/>
        <w:spacing w:line="576" w:lineRule="exact"/>
        <w:ind w:firstLine="640" w:firstLineChars="200"/>
        <w:rPr>
          <w:rFonts w:ascii="方正黑体简体" w:hAnsi="仿宋" w:eastAsia="方正黑体简体" w:cs="仿宋_GB2312"/>
          <w:color w:val="000000" w:themeColor="text1"/>
          <w:sz w:val="32"/>
          <w:szCs w:val="32"/>
        </w:rPr>
      </w:pPr>
      <w:r>
        <w:rPr>
          <w:rFonts w:hint="eastAsia" w:ascii="方正黑体简体" w:hAnsi="仿宋" w:eastAsia="方正黑体简体" w:cs="仿宋_GB2312"/>
          <w:color w:val="000000" w:themeColor="text1"/>
          <w:sz w:val="32"/>
          <w:szCs w:val="32"/>
        </w:rPr>
        <w:t>二</w:t>
      </w:r>
      <w:r>
        <w:rPr>
          <w:rFonts w:ascii="方正黑体简体" w:hAnsi="仿宋" w:eastAsia="方正黑体简体" w:cs="仿宋_GB2312"/>
          <w:color w:val="000000" w:themeColor="text1"/>
          <w:sz w:val="32"/>
          <w:szCs w:val="32"/>
        </w:rPr>
        <w:t>、评价结论及绩效分析</w:t>
      </w:r>
    </w:p>
    <w:p>
      <w:pPr>
        <w:overflowPunct w:val="0"/>
        <w:spacing w:line="576" w:lineRule="exact"/>
        <w:ind w:firstLine="640" w:firstLineChars="200"/>
        <w:rPr>
          <w:rFonts w:hint="eastAsia" w:ascii="方正楷体简体" w:hAnsi="仿宋" w:eastAsia="方正楷体简体" w:cs="仿宋_GB2312"/>
          <w:color w:val="000000" w:themeColor="text1"/>
          <w:sz w:val="32"/>
          <w:szCs w:val="32"/>
        </w:rPr>
      </w:pPr>
      <w:r>
        <w:rPr>
          <w:rFonts w:hint="eastAsia" w:ascii="方正楷体简体" w:hAnsi="仿宋" w:eastAsia="方正楷体简体" w:cs="仿宋_GB2312"/>
          <w:color w:val="000000" w:themeColor="text1"/>
          <w:sz w:val="32"/>
          <w:szCs w:val="32"/>
        </w:rPr>
        <w:t>（一）评价结论</w:t>
      </w:r>
    </w:p>
    <w:p>
      <w:pPr>
        <w:widowControl/>
        <w:overflowPunct w:val="0"/>
        <w:spacing w:line="576" w:lineRule="exact"/>
        <w:ind w:firstLine="480" w:firstLineChars="150"/>
        <w:jc w:val="left"/>
        <w:rPr>
          <w:rFonts w:ascii="仿宋" w:hAnsi="仿宋" w:eastAsia="方正仿宋简体" w:cs="宋体"/>
          <w:color w:val="000000" w:themeColor="text1"/>
          <w:kern w:val="0"/>
          <w:sz w:val="32"/>
          <w:szCs w:val="32"/>
        </w:rPr>
      </w:pPr>
      <w:r>
        <w:rPr>
          <w:rFonts w:hint="eastAsia" w:ascii="仿宋" w:hAnsi="仿宋" w:eastAsia="方正仿宋简体" w:cs="宋体"/>
          <w:color w:val="000000" w:themeColor="text1"/>
          <w:kern w:val="0"/>
          <w:sz w:val="32"/>
          <w:szCs w:val="32"/>
        </w:rPr>
        <w:t>总体上看，该项目决策依据充分，资金到位及时，项目管理规范，项目绩效评价得分为95分。</w:t>
      </w:r>
      <w:bookmarkStart w:id="60" w:name="_Toc15396618"/>
    </w:p>
    <w:tbl>
      <w:tblPr>
        <w:tblStyle w:val="13"/>
        <w:tblW w:w="8874"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
      <w:tblGrid>
        <w:gridCol w:w="525"/>
        <w:gridCol w:w="525"/>
        <w:gridCol w:w="525"/>
        <w:gridCol w:w="277"/>
        <w:gridCol w:w="1028"/>
        <w:gridCol w:w="651"/>
        <w:gridCol w:w="1278"/>
        <w:gridCol w:w="1278"/>
        <w:gridCol w:w="1186"/>
        <w:gridCol w:w="1054"/>
        <w:gridCol w:w="279"/>
        <w:gridCol w:w="26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525"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一级</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指标</w:t>
            </w:r>
          </w:p>
        </w:tc>
        <w:tc>
          <w:tcPr>
            <w:tcW w:w="525"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二级</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指标</w:t>
            </w:r>
          </w:p>
        </w:tc>
        <w:tc>
          <w:tcPr>
            <w:tcW w:w="525"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三级</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指标</w:t>
            </w:r>
          </w:p>
        </w:tc>
        <w:tc>
          <w:tcPr>
            <w:tcW w:w="277"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分值</w:t>
            </w:r>
          </w:p>
        </w:tc>
        <w:tc>
          <w:tcPr>
            <w:tcW w:w="1028"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指标评价内容</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（公式结果=x）</w:t>
            </w:r>
          </w:p>
        </w:tc>
        <w:tc>
          <w:tcPr>
            <w:tcW w:w="5447" w:type="dxa"/>
            <w:gridSpan w:val="5"/>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评分标准</w:t>
            </w:r>
          </w:p>
        </w:tc>
        <w:tc>
          <w:tcPr>
            <w:tcW w:w="279"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评价得分</w:t>
            </w:r>
          </w:p>
        </w:tc>
        <w:tc>
          <w:tcPr>
            <w:tcW w:w="268"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525" w:type="dxa"/>
            <w:vMerge w:val="continue"/>
            <w:tcBorders>
              <w:top w:val="single" w:color="auto" w:sz="6" w:space="0"/>
              <w:left w:val="single" w:color="auto" w:sz="6" w:space="0"/>
              <w:bottom w:val="single" w:color="auto" w:sz="4"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25"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25"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277"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28"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651"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差</w:t>
            </w: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较差</w:t>
            </w: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一般</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较好</w:t>
            </w:r>
          </w:p>
        </w:tc>
        <w:tc>
          <w:tcPr>
            <w:tcW w:w="105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好</w:t>
            </w:r>
          </w:p>
        </w:tc>
        <w:tc>
          <w:tcPr>
            <w:tcW w:w="279"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268"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224" w:hRule="atLeast"/>
          <w:jc w:val="center"/>
        </w:trPr>
        <w:tc>
          <w:tcPr>
            <w:tcW w:w="525"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决策</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（20分）</w:t>
            </w:r>
          </w:p>
        </w:tc>
        <w:tc>
          <w:tcPr>
            <w:tcW w:w="525"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科学</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决策</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（10分）</w:t>
            </w:r>
          </w:p>
        </w:tc>
        <w:tc>
          <w:tcPr>
            <w:tcW w:w="525"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必要性</w:t>
            </w:r>
          </w:p>
        </w:tc>
        <w:tc>
          <w:tcPr>
            <w:tcW w:w="27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028"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项目符合党中央、国务院和</w:t>
            </w:r>
            <w:r>
              <w:rPr>
                <w:rFonts w:hint="eastAsia" w:cs="宋体" w:asciiTheme="minorEastAsia" w:hAnsiTheme="minorEastAsia" w:eastAsiaTheme="minorEastAsia"/>
                <w:color w:val="000000" w:themeColor="text1"/>
                <w:kern w:val="0"/>
                <w:szCs w:val="21"/>
                <w:lang w:eastAsia="zh-CN"/>
              </w:rPr>
              <w:t>县委、县政府</w:t>
            </w:r>
            <w:r>
              <w:rPr>
                <w:rFonts w:cs="宋体" w:asciiTheme="minorEastAsia" w:hAnsiTheme="minorEastAsia" w:eastAsiaTheme="minorEastAsia"/>
                <w:color w:val="000000" w:themeColor="text1"/>
                <w:kern w:val="0"/>
                <w:szCs w:val="21"/>
              </w:rPr>
              <w:t>决策部署；符合当前经济社会发展需要，政策和实际需求的吻合程度</w:t>
            </w:r>
          </w:p>
        </w:tc>
        <w:tc>
          <w:tcPr>
            <w:tcW w:w="651"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不符合</w:t>
            </w: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8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5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符合</w:t>
            </w:r>
          </w:p>
        </w:tc>
        <w:tc>
          <w:tcPr>
            <w:tcW w:w="27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26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176" w:hRule="atLeast"/>
          <w:jc w:val="center"/>
        </w:trPr>
        <w:tc>
          <w:tcPr>
            <w:tcW w:w="525" w:type="dxa"/>
            <w:vMerge w:val="continue"/>
            <w:tcBorders>
              <w:top w:val="single" w:color="auto" w:sz="6" w:space="0"/>
              <w:left w:val="single" w:color="auto" w:sz="6" w:space="0"/>
              <w:bottom w:val="single" w:color="auto" w:sz="4"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25"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25"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可行性</w:t>
            </w:r>
          </w:p>
        </w:tc>
        <w:tc>
          <w:tcPr>
            <w:tcW w:w="27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028"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可行性论证充分，规划、管理办法、指导意见等制度是否健全完善</w:t>
            </w:r>
          </w:p>
        </w:tc>
        <w:tc>
          <w:tcPr>
            <w:tcW w:w="651"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不符合</w:t>
            </w: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8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5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符合</w:t>
            </w:r>
          </w:p>
        </w:tc>
        <w:tc>
          <w:tcPr>
            <w:tcW w:w="27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26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5757" w:hRule="atLeast"/>
          <w:jc w:val="center"/>
        </w:trPr>
        <w:tc>
          <w:tcPr>
            <w:tcW w:w="525" w:type="dxa"/>
            <w:vMerge w:val="restart"/>
            <w:tcBorders>
              <w:top w:val="single" w:color="auto" w:sz="4"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决策</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（20分）</w:t>
            </w:r>
          </w:p>
        </w:tc>
        <w:tc>
          <w:tcPr>
            <w:tcW w:w="525"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绩效</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目标</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（10分）</w:t>
            </w:r>
          </w:p>
        </w:tc>
        <w:tc>
          <w:tcPr>
            <w:tcW w:w="525"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明确性</w:t>
            </w:r>
          </w:p>
        </w:tc>
        <w:tc>
          <w:tcPr>
            <w:tcW w:w="27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02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项目预期提供的产品、服务、效益或其他目标明确细化、可衡量（绩效目标实际明确数/应当明确个数×100%）</w:t>
            </w:r>
          </w:p>
        </w:tc>
        <w:tc>
          <w:tcPr>
            <w:tcW w:w="651"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x=0%</w:t>
            </w: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0%&lt;x&lt;30%</w:t>
            </w: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30%≤x&lt;60%</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60%≤x&lt;100%</w:t>
            </w:r>
          </w:p>
        </w:tc>
        <w:tc>
          <w:tcPr>
            <w:tcW w:w="105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x=100%</w:t>
            </w:r>
          </w:p>
        </w:tc>
        <w:tc>
          <w:tcPr>
            <w:tcW w:w="27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4</w:t>
            </w:r>
          </w:p>
        </w:tc>
        <w:tc>
          <w:tcPr>
            <w:tcW w:w="26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5485" w:hRule="atLeast"/>
          <w:jc w:val="center"/>
        </w:trPr>
        <w:tc>
          <w:tcPr>
            <w:tcW w:w="525"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25"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绩效</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目标</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（10分）</w:t>
            </w:r>
          </w:p>
        </w:tc>
        <w:tc>
          <w:tcPr>
            <w:tcW w:w="525"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合理性</w:t>
            </w:r>
          </w:p>
        </w:tc>
        <w:tc>
          <w:tcPr>
            <w:tcW w:w="27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02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绩效目标设定符合实际需求，合理可行（绩效目标设定符合实际需求的抽样项目点个数/抽样项目点总数×100%）</w:t>
            </w:r>
          </w:p>
        </w:tc>
        <w:tc>
          <w:tcPr>
            <w:tcW w:w="651"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x&lt;70%</w:t>
            </w: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70%≤x&lt;90%</w:t>
            </w: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80%≤x&lt;90%</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90%≤x&lt;100%</w:t>
            </w:r>
          </w:p>
        </w:tc>
        <w:tc>
          <w:tcPr>
            <w:tcW w:w="105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x=100%</w:t>
            </w:r>
          </w:p>
        </w:tc>
        <w:tc>
          <w:tcPr>
            <w:tcW w:w="27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26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25"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管理</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（10分）</w:t>
            </w:r>
          </w:p>
        </w:tc>
        <w:tc>
          <w:tcPr>
            <w:tcW w:w="525"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资金</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管理</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（7分）</w:t>
            </w:r>
          </w:p>
        </w:tc>
        <w:tc>
          <w:tcPr>
            <w:tcW w:w="525"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资金分配</w:t>
            </w:r>
          </w:p>
        </w:tc>
        <w:tc>
          <w:tcPr>
            <w:tcW w:w="27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3</w:t>
            </w:r>
          </w:p>
        </w:tc>
        <w:tc>
          <w:tcPr>
            <w:tcW w:w="102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资金分配管理是否科学合理、规范有序；是否体现突出重点或公平性，符合财政资金改革方向</w:t>
            </w:r>
          </w:p>
        </w:tc>
        <w:tc>
          <w:tcPr>
            <w:tcW w:w="651"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不符合</w:t>
            </w: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一般</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5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符合</w:t>
            </w:r>
          </w:p>
        </w:tc>
        <w:tc>
          <w:tcPr>
            <w:tcW w:w="27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3</w:t>
            </w:r>
          </w:p>
        </w:tc>
        <w:tc>
          <w:tcPr>
            <w:tcW w:w="26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031" w:hRule="atLeast"/>
          <w:jc w:val="center"/>
        </w:trPr>
        <w:tc>
          <w:tcPr>
            <w:tcW w:w="525"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25"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25"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资金使用</w:t>
            </w:r>
          </w:p>
        </w:tc>
        <w:tc>
          <w:tcPr>
            <w:tcW w:w="27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4</w:t>
            </w:r>
          </w:p>
        </w:tc>
        <w:tc>
          <w:tcPr>
            <w:tcW w:w="102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资金使用规范（规范使用资金/资金总额×100%）</w:t>
            </w:r>
          </w:p>
        </w:tc>
        <w:tc>
          <w:tcPr>
            <w:tcW w:w="651"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x&lt;70%</w:t>
            </w: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70%≤x&lt;90%</w:t>
            </w: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80%≤x&lt;90%</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90%≤x&lt;100%</w:t>
            </w:r>
          </w:p>
        </w:tc>
        <w:tc>
          <w:tcPr>
            <w:tcW w:w="105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x=100%</w:t>
            </w:r>
          </w:p>
        </w:tc>
        <w:tc>
          <w:tcPr>
            <w:tcW w:w="27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4</w:t>
            </w:r>
          </w:p>
        </w:tc>
        <w:tc>
          <w:tcPr>
            <w:tcW w:w="26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1791" w:hRule="atLeast"/>
          <w:jc w:val="center"/>
        </w:trPr>
        <w:tc>
          <w:tcPr>
            <w:tcW w:w="525"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25"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执行</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（3分）</w:t>
            </w:r>
          </w:p>
        </w:tc>
        <w:tc>
          <w:tcPr>
            <w:tcW w:w="525"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执行规范</w:t>
            </w:r>
          </w:p>
        </w:tc>
        <w:tc>
          <w:tcPr>
            <w:tcW w:w="27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3</w:t>
            </w:r>
          </w:p>
        </w:tc>
        <w:tc>
          <w:tcPr>
            <w:tcW w:w="102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管理制度健全，管理过程科学规范</w:t>
            </w:r>
          </w:p>
        </w:tc>
        <w:tc>
          <w:tcPr>
            <w:tcW w:w="651"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不严格</w:t>
            </w: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较严格</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5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严格</w:t>
            </w:r>
          </w:p>
        </w:tc>
        <w:tc>
          <w:tcPr>
            <w:tcW w:w="27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3</w:t>
            </w:r>
          </w:p>
        </w:tc>
        <w:tc>
          <w:tcPr>
            <w:tcW w:w="26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1817" w:hRule="atLeast"/>
          <w:jc w:val="center"/>
        </w:trPr>
        <w:tc>
          <w:tcPr>
            <w:tcW w:w="525"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绩效</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（特性</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指标</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70分）</w:t>
            </w:r>
          </w:p>
        </w:tc>
        <w:tc>
          <w:tcPr>
            <w:tcW w:w="525"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完成</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（20分）</w:t>
            </w:r>
          </w:p>
        </w:tc>
        <w:tc>
          <w:tcPr>
            <w:tcW w:w="525"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完成数量</w:t>
            </w:r>
          </w:p>
        </w:tc>
        <w:tc>
          <w:tcPr>
            <w:tcW w:w="27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02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实际完成任务量/绩效目标设定任务量×100%</w:t>
            </w:r>
          </w:p>
        </w:tc>
        <w:tc>
          <w:tcPr>
            <w:tcW w:w="651"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x＜85%</w:t>
            </w: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85%≤x＜90%</w:t>
            </w: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90%≤x＜95%</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95%≤x＜100%</w:t>
            </w:r>
          </w:p>
        </w:tc>
        <w:tc>
          <w:tcPr>
            <w:tcW w:w="105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x=100%</w:t>
            </w:r>
          </w:p>
        </w:tc>
        <w:tc>
          <w:tcPr>
            <w:tcW w:w="27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268"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148" w:hRule="atLeast"/>
          <w:jc w:val="center"/>
        </w:trPr>
        <w:tc>
          <w:tcPr>
            <w:tcW w:w="525" w:type="dxa"/>
            <w:vMerge w:val="continue"/>
            <w:tcBorders>
              <w:top w:val="single" w:color="auto" w:sz="6" w:space="0"/>
              <w:left w:val="single" w:color="auto" w:sz="6" w:space="0"/>
              <w:bottom w:val="single" w:color="auto" w:sz="4"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25" w:type="dxa"/>
            <w:vMerge w:val="continue"/>
            <w:tcBorders>
              <w:top w:val="single" w:color="auto" w:sz="6" w:space="0"/>
              <w:left w:val="single" w:color="auto" w:sz="6" w:space="0"/>
              <w:bottom w:val="single" w:color="auto" w:sz="4"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25"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完成质量</w:t>
            </w:r>
          </w:p>
        </w:tc>
        <w:tc>
          <w:tcPr>
            <w:tcW w:w="27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02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符合绩效目标设定的验收标准，达到行业基准水平</w:t>
            </w:r>
          </w:p>
        </w:tc>
        <w:tc>
          <w:tcPr>
            <w:tcW w:w="651"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不符合</w:t>
            </w: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8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5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符合</w:t>
            </w:r>
          </w:p>
        </w:tc>
        <w:tc>
          <w:tcPr>
            <w:tcW w:w="27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268"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525" w:type="dxa"/>
            <w:vMerge w:val="restart"/>
            <w:tcBorders>
              <w:top w:val="single" w:color="auto" w:sz="4" w:space="0"/>
              <w:left w:val="single" w:color="auto" w:sz="6" w:space="0"/>
              <w:right w:val="single" w:color="auto" w:sz="6" w:space="0"/>
            </w:tcBorders>
            <w:vAlign w:val="center"/>
          </w:tcPr>
          <w:p>
            <w:pPr>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绩效</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（特性</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指标</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70分）</w:t>
            </w:r>
          </w:p>
        </w:tc>
        <w:tc>
          <w:tcPr>
            <w:tcW w:w="525" w:type="dxa"/>
            <w:vMerge w:val="restart"/>
            <w:tcBorders>
              <w:top w:val="single" w:color="auto" w:sz="4"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完成</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（20分）</w:t>
            </w:r>
          </w:p>
        </w:tc>
        <w:tc>
          <w:tcPr>
            <w:tcW w:w="525"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完成时效</w:t>
            </w:r>
          </w:p>
        </w:tc>
        <w:tc>
          <w:tcPr>
            <w:tcW w:w="27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02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（实际完成时间-绩效目标设定完成时间）/绩效目标设定完成时间×100%</w:t>
            </w:r>
          </w:p>
        </w:tc>
        <w:tc>
          <w:tcPr>
            <w:tcW w:w="651"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x＞15%</w:t>
            </w: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15%≥x＞10%</w:t>
            </w: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10%≥x＞5%</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5%≥x＞0</w:t>
            </w:r>
          </w:p>
        </w:tc>
        <w:tc>
          <w:tcPr>
            <w:tcW w:w="105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x≤0</w:t>
            </w:r>
          </w:p>
        </w:tc>
        <w:tc>
          <w:tcPr>
            <w:tcW w:w="27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268"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25"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25"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25"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完成成本</w:t>
            </w:r>
          </w:p>
        </w:tc>
        <w:tc>
          <w:tcPr>
            <w:tcW w:w="27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02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（实际完成成本-预计完成成本）/预计完成成本×100%</w:t>
            </w:r>
          </w:p>
        </w:tc>
        <w:tc>
          <w:tcPr>
            <w:tcW w:w="651"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x＞15%</w:t>
            </w: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15%≥x＞10%</w:t>
            </w: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10%≥x＞5%</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5%≥x＞0</w:t>
            </w:r>
          </w:p>
        </w:tc>
        <w:tc>
          <w:tcPr>
            <w:tcW w:w="105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x≤0</w:t>
            </w:r>
          </w:p>
        </w:tc>
        <w:tc>
          <w:tcPr>
            <w:tcW w:w="27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268"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25"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25" w:type="dxa"/>
            <w:vMerge w:val="restart"/>
            <w:tcBorders>
              <w:top w:val="single" w:color="auto" w:sz="6" w:space="0"/>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效益</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（50分）</w:t>
            </w:r>
          </w:p>
        </w:tc>
        <w:tc>
          <w:tcPr>
            <w:tcW w:w="525"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经济效益</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（可选项）</w:t>
            </w:r>
          </w:p>
        </w:tc>
        <w:tc>
          <w:tcPr>
            <w:tcW w:w="27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40</w:t>
            </w:r>
          </w:p>
        </w:tc>
        <w:tc>
          <w:tcPr>
            <w:tcW w:w="102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反映相关产出对经社会发展带来的影响和效果，重点考核税收、投入产出、回报等情况的指标</w:t>
            </w:r>
          </w:p>
        </w:tc>
        <w:tc>
          <w:tcPr>
            <w:tcW w:w="651"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8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5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7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w:t>
            </w:r>
          </w:p>
        </w:tc>
        <w:tc>
          <w:tcPr>
            <w:tcW w:w="26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25" w:type="dxa"/>
            <w:vMerge w:val="continue"/>
            <w:tcBorders>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25" w:type="dxa"/>
            <w:vMerge w:val="continue"/>
            <w:tcBorders>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25"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社会效益</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（可选项）</w:t>
            </w:r>
          </w:p>
        </w:tc>
        <w:tc>
          <w:tcPr>
            <w:tcW w:w="27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2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反映相关产出对社会发展带来的影响和效果，重点考核撬动地方经济、就业（包括就业人数）等情况的指标</w:t>
            </w:r>
          </w:p>
        </w:tc>
        <w:tc>
          <w:tcPr>
            <w:tcW w:w="651"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8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5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7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w:t>
            </w:r>
          </w:p>
        </w:tc>
        <w:tc>
          <w:tcPr>
            <w:tcW w:w="26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525" w:type="dxa"/>
            <w:vMerge w:val="restart"/>
            <w:tcBorders>
              <w:top w:val="single" w:color="auto" w:sz="6" w:space="0"/>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绩效</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（特性</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指标</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70分）</w:t>
            </w:r>
          </w:p>
        </w:tc>
        <w:tc>
          <w:tcPr>
            <w:tcW w:w="525" w:type="dxa"/>
            <w:vMerge w:val="restart"/>
            <w:tcBorders>
              <w:top w:val="single" w:color="auto" w:sz="6" w:space="0"/>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效益</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（50分）</w:t>
            </w:r>
          </w:p>
        </w:tc>
        <w:tc>
          <w:tcPr>
            <w:tcW w:w="525" w:type="dxa"/>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生态效益</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（可选项）</w:t>
            </w:r>
          </w:p>
        </w:tc>
        <w:tc>
          <w:tcPr>
            <w:tcW w:w="277" w:type="dxa"/>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cs="宋体" w:asciiTheme="minorEastAsia" w:hAnsiTheme="minorEastAsia" w:eastAsiaTheme="minorEastAsia"/>
                <w:color w:val="000000" w:themeColor="text1"/>
                <w:kern w:val="0"/>
                <w:szCs w:val="21"/>
              </w:rPr>
            </w:pPr>
          </w:p>
        </w:tc>
        <w:tc>
          <w:tcPr>
            <w:tcW w:w="1028" w:type="dxa"/>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反映相关产出对自然环境带来的影响和效果</w:t>
            </w:r>
          </w:p>
        </w:tc>
        <w:tc>
          <w:tcPr>
            <w:tcW w:w="651"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8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5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6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25"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25"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25" w:type="dxa"/>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cs="宋体" w:asciiTheme="minorEastAsia" w:hAnsiTheme="minorEastAsia" w:eastAsiaTheme="minorEastAsia"/>
                <w:color w:val="000000" w:themeColor="text1"/>
                <w:spacing w:val="-10"/>
                <w:kern w:val="0"/>
                <w:szCs w:val="21"/>
              </w:rPr>
            </w:pPr>
            <w:r>
              <w:rPr>
                <w:rFonts w:cs="宋体" w:asciiTheme="minorEastAsia" w:hAnsiTheme="minorEastAsia" w:eastAsiaTheme="minorEastAsia"/>
                <w:color w:val="000000" w:themeColor="text1"/>
                <w:spacing w:val="-10"/>
                <w:kern w:val="0"/>
                <w:szCs w:val="21"/>
              </w:rPr>
              <w:t>可持续效益（可选项）</w:t>
            </w:r>
          </w:p>
        </w:tc>
        <w:tc>
          <w:tcPr>
            <w:tcW w:w="277" w:type="dxa"/>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cs="宋体" w:asciiTheme="minorEastAsia" w:hAnsiTheme="minorEastAsia" w:eastAsiaTheme="minorEastAsia"/>
                <w:color w:val="000000" w:themeColor="text1"/>
                <w:kern w:val="0"/>
                <w:szCs w:val="21"/>
              </w:rPr>
            </w:pPr>
          </w:p>
        </w:tc>
        <w:tc>
          <w:tcPr>
            <w:tcW w:w="1028" w:type="dxa"/>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反映相关产出带来影响的可持续期限</w:t>
            </w:r>
          </w:p>
        </w:tc>
        <w:tc>
          <w:tcPr>
            <w:tcW w:w="651"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8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5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6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25"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25"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25" w:type="dxa"/>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公平效率</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（可选项）</w:t>
            </w:r>
          </w:p>
        </w:tc>
        <w:tc>
          <w:tcPr>
            <w:tcW w:w="277" w:type="dxa"/>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cs="宋体" w:asciiTheme="minorEastAsia" w:hAnsiTheme="minorEastAsia" w:eastAsiaTheme="minorEastAsia"/>
                <w:color w:val="000000" w:themeColor="text1"/>
                <w:kern w:val="0"/>
                <w:szCs w:val="21"/>
              </w:rPr>
            </w:pPr>
          </w:p>
        </w:tc>
        <w:tc>
          <w:tcPr>
            <w:tcW w:w="1028" w:type="dxa"/>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主要反映资金使用者是否获公平竞争的机会，以及民生类项目中受益群体是否应覆盖全覆盖，覆盖率是衡量指标。重点考核覆盖率、知晓率等指标</w:t>
            </w:r>
          </w:p>
        </w:tc>
        <w:tc>
          <w:tcPr>
            <w:tcW w:w="651"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8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5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7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10</w:t>
            </w:r>
          </w:p>
        </w:tc>
        <w:tc>
          <w:tcPr>
            <w:tcW w:w="26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25"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25"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25" w:type="dxa"/>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cs="宋体" w:asciiTheme="minorEastAsia" w:hAnsiTheme="minorEastAsia" w:eastAsiaTheme="minorEastAsia"/>
                <w:color w:val="000000" w:themeColor="text1"/>
                <w:spacing w:val="-12"/>
                <w:kern w:val="0"/>
                <w:szCs w:val="21"/>
              </w:rPr>
            </w:pPr>
            <w:r>
              <w:rPr>
                <w:rFonts w:cs="宋体" w:asciiTheme="minorEastAsia" w:hAnsiTheme="minorEastAsia" w:eastAsiaTheme="minorEastAsia"/>
                <w:color w:val="000000" w:themeColor="text1"/>
                <w:spacing w:val="-12"/>
                <w:kern w:val="0"/>
                <w:szCs w:val="21"/>
              </w:rPr>
              <w:t>使用效率</w:t>
            </w:r>
            <w:r>
              <w:rPr>
                <w:rFonts w:cs="宋体" w:asciiTheme="minorEastAsia" w:hAnsiTheme="minorEastAsia" w:eastAsiaTheme="minorEastAsia"/>
                <w:color w:val="000000" w:themeColor="text1"/>
                <w:spacing w:val="-12"/>
                <w:kern w:val="0"/>
                <w:szCs w:val="21"/>
              </w:rPr>
              <w:br w:type="textWrapping"/>
            </w:r>
            <w:r>
              <w:rPr>
                <w:rFonts w:cs="宋体" w:asciiTheme="minorEastAsia" w:hAnsiTheme="minorEastAsia" w:eastAsiaTheme="minorEastAsia"/>
                <w:color w:val="000000" w:themeColor="text1"/>
                <w:spacing w:val="-12"/>
                <w:kern w:val="0"/>
                <w:szCs w:val="21"/>
              </w:rPr>
              <w:t>（可选项）</w:t>
            </w:r>
          </w:p>
        </w:tc>
        <w:tc>
          <w:tcPr>
            <w:tcW w:w="277" w:type="dxa"/>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cs="宋体" w:asciiTheme="minorEastAsia" w:hAnsiTheme="minorEastAsia" w:eastAsiaTheme="minorEastAsia"/>
                <w:color w:val="000000" w:themeColor="text1"/>
                <w:kern w:val="0"/>
                <w:szCs w:val="21"/>
              </w:rPr>
            </w:pPr>
          </w:p>
        </w:tc>
        <w:tc>
          <w:tcPr>
            <w:tcW w:w="1028" w:type="dxa"/>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重点考核使用率等指标</w:t>
            </w:r>
          </w:p>
        </w:tc>
        <w:tc>
          <w:tcPr>
            <w:tcW w:w="651"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8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5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7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10</w:t>
            </w:r>
          </w:p>
        </w:tc>
        <w:tc>
          <w:tcPr>
            <w:tcW w:w="26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525" w:type="dxa"/>
            <w:vMerge w:val="continue"/>
            <w:tcBorders>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25" w:type="dxa"/>
            <w:vMerge w:val="continue"/>
            <w:tcBorders>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25" w:type="dxa"/>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服务对象</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满意度</w:t>
            </w:r>
          </w:p>
        </w:tc>
        <w:tc>
          <w:tcPr>
            <w:tcW w:w="277" w:type="dxa"/>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10</w:t>
            </w:r>
          </w:p>
        </w:tc>
        <w:tc>
          <w:tcPr>
            <w:tcW w:w="1028" w:type="dxa"/>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反映服务对象或项目受益人对相关产出及其影响的认可程度，重点考核受益群体和社会对项目的满意率等指标</w:t>
            </w:r>
          </w:p>
        </w:tc>
        <w:tc>
          <w:tcPr>
            <w:tcW w:w="651"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278"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8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5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7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8</w:t>
            </w:r>
          </w:p>
        </w:tc>
        <w:tc>
          <w:tcPr>
            <w:tcW w:w="26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2880" w:type="dxa"/>
            <w:gridSpan w:val="5"/>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合  计</w:t>
            </w:r>
          </w:p>
        </w:tc>
        <w:tc>
          <w:tcPr>
            <w:tcW w:w="5447" w:type="dxa"/>
            <w:gridSpan w:val="5"/>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27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95</w:t>
            </w:r>
          </w:p>
        </w:tc>
        <w:tc>
          <w:tcPr>
            <w:tcW w:w="26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bl>
    <w:p>
      <w:pPr>
        <w:spacing w:line="580" w:lineRule="exact"/>
        <w:ind w:firstLine="640" w:firstLineChars="200"/>
        <w:rPr>
          <w:rFonts w:ascii="仿宋" w:hAnsi="仿宋" w:eastAsia="方正仿宋简体" w:cs="仿宋_GB2312"/>
          <w:color w:val="000000" w:themeColor="text1"/>
          <w:sz w:val="32"/>
          <w:szCs w:val="32"/>
        </w:rPr>
      </w:pPr>
      <w:r>
        <w:rPr>
          <w:rFonts w:ascii="仿宋" w:hAnsi="仿宋" w:eastAsia="方正仿宋简体" w:cs="仿宋_GB2312"/>
          <w:color w:val="000000" w:themeColor="text1"/>
          <w:sz w:val="32"/>
          <w:szCs w:val="32"/>
        </w:rPr>
        <w:t>（二）绩效分析</w:t>
      </w:r>
    </w:p>
    <w:p>
      <w:pPr>
        <w:spacing w:line="580" w:lineRule="exact"/>
        <w:ind w:firstLine="640" w:firstLineChars="200"/>
        <w:rPr>
          <w:rFonts w:ascii="方正仿宋简体" w:eastAsia="方正仿宋简体" w:cs="方正仿宋简体"/>
          <w:color w:val="000000" w:themeColor="text1"/>
          <w:sz w:val="32"/>
          <w:szCs w:val="32"/>
        </w:rPr>
      </w:pPr>
      <w:r>
        <w:rPr>
          <w:rFonts w:ascii="仿宋" w:hAnsi="仿宋" w:eastAsia="方正仿宋简体" w:cs="仿宋_GB2312"/>
          <w:color w:val="000000" w:themeColor="text1"/>
          <w:sz w:val="32"/>
          <w:szCs w:val="32"/>
        </w:rPr>
        <w:t>1、项目决策</w:t>
      </w:r>
      <w:r>
        <w:rPr>
          <w:rFonts w:hint="eastAsia" w:ascii="仿宋" w:hAnsi="仿宋" w:eastAsia="方正仿宋简体" w:cs="仿宋_GB2312"/>
          <w:color w:val="000000" w:themeColor="text1"/>
          <w:sz w:val="32"/>
          <w:szCs w:val="32"/>
        </w:rPr>
        <w:t>。通过</w:t>
      </w:r>
      <w:r>
        <w:rPr>
          <w:rFonts w:ascii="仿宋" w:hAnsi="仿宋" w:eastAsia="方正仿宋简体" w:cs="仿宋_GB2312"/>
          <w:color w:val="000000" w:themeColor="text1"/>
          <w:sz w:val="32"/>
          <w:szCs w:val="32"/>
        </w:rPr>
        <w:t>项目，</w:t>
      </w:r>
      <w:r>
        <w:rPr>
          <w:rFonts w:hint="eastAsia" w:ascii="仿宋" w:hAnsi="仿宋" w:eastAsia="方正仿宋简体" w:cs="仿宋_GB2312"/>
          <w:color w:val="000000" w:themeColor="text1"/>
          <w:sz w:val="32"/>
          <w:szCs w:val="32"/>
        </w:rPr>
        <w:t>保证全区</w:t>
      </w:r>
      <w:r>
        <w:rPr>
          <w:rFonts w:ascii="仿宋" w:hAnsi="仿宋" w:eastAsia="方正仿宋简体" w:cs="仿宋_GB2312"/>
          <w:color w:val="000000" w:themeColor="text1"/>
          <w:sz w:val="32"/>
          <w:szCs w:val="32"/>
        </w:rPr>
        <w:t>重大</w:t>
      </w:r>
      <w:r>
        <w:rPr>
          <w:rFonts w:hint="eastAsia" w:ascii="仿宋" w:hAnsi="仿宋" w:eastAsia="方正仿宋简体" w:cs="仿宋_GB2312"/>
          <w:color w:val="000000" w:themeColor="text1"/>
          <w:sz w:val="32"/>
          <w:szCs w:val="32"/>
        </w:rPr>
        <w:t>工作</w:t>
      </w:r>
      <w:r>
        <w:rPr>
          <w:rFonts w:ascii="仿宋" w:hAnsi="仿宋" w:eastAsia="方正仿宋简体" w:cs="仿宋_GB2312"/>
          <w:color w:val="000000" w:themeColor="text1"/>
          <w:sz w:val="32"/>
          <w:szCs w:val="32"/>
        </w:rPr>
        <w:t>的</w:t>
      </w:r>
      <w:r>
        <w:rPr>
          <w:rFonts w:hint="eastAsia" w:ascii="仿宋" w:hAnsi="仿宋" w:eastAsia="方正仿宋简体" w:cs="仿宋_GB2312"/>
          <w:color w:val="000000" w:themeColor="text1"/>
          <w:sz w:val="32"/>
          <w:szCs w:val="32"/>
        </w:rPr>
        <w:t>推进</w:t>
      </w:r>
      <w:r>
        <w:rPr>
          <w:rFonts w:ascii="仿宋" w:hAnsi="仿宋" w:eastAsia="方正仿宋简体" w:cs="仿宋_GB2312"/>
          <w:color w:val="000000" w:themeColor="text1"/>
          <w:sz w:val="32"/>
          <w:szCs w:val="32"/>
        </w:rPr>
        <w:t>，</w:t>
      </w:r>
      <w:r>
        <w:rPr>
          <w:rFonts w:hint="eastAsia" w:ascii="仿宋" w:hAnsi="仿宋" w:eastAsia="方正仿宋简体" w:cs="仿宋_GB2312"/>
          <w:color w:val="000000" w:themeColor="text1"/>
          <w:sz w:val="32"/>
          <w:szCs w:val="32"/>
          <w:shd w:val="clear" w:color="auto" w:fill="FFFFFF"/>
        </w:rPr>
        <w:t>严格落实意识形态工作责任制，强化政法宣传和舆情风险管控。全面贯彻落实中央政法委《关于在政法工作中做好依法办理、舆论引导、社会面管控“三同步”工作的意见》要求，将“三同步” 工作贯彻政法工作全过程，健全完善舆情巡察、决策指挥、分级响应。</w:t>
      </w:r>
    </w:p>
    <w:p>
      <w:pPr>
        <w:spacing w:line="580" w:lineRule="exact"/>
        <w:ind w:firstLine="640" w:firstLineChars="200"/>
        <w:rPr>
          <w:rFonts w:ascii="仿宋" w:hAnsi="仿宋" w:eastAsia="方正仿宋简体" w:cs="仿宋_GB2312"/>
          <w:color w:val="000000" w:themeColor="text1"/>
          <w:sz w:val="32"/>
          <w:szCs w:val="32"/>
        </w:rPr>
      </w:pPr>
      <w:r>
        <w:rPr>
          <w:rFonts w:ascii="仿宋" w:hAnsi="仿宋" w:eastAsia="方正仿宋简体" w:cs="仿宋_GB2312"/>
          <w:color w:val="000000" w:themeColor="text1"/>
          <w:sz w:val="32"/>
          <w:szCs w:val="32"/>
        </w:rPr>
        <w:t xml:space="preserve"> 2、项目管理</w:t>
      </w:r>
    </w:p>
    <w:p>
      <w:pPr>
        <w:widowControl/>
        <w:spacing w:line="360" w:lineRule="atLeast"/>
        <w:ind w:firstLine="480"/>
        <w:jc w:val="left"/>
        <w:rPr>
          <w:rFonts w:ascii="仿宋" w:hAnsi="仿宋" w:eastAsia="方正仿宋简体" w:cs="宋体"/>
          <w:color w:val="000000" w:themeColor="text1"/>
          <w:kern w:val="0"/>
          <w:sz w:val="32"/>
          <w:szCs w:val="21"/>
        </w:rPr>
      </w:pPr>
      <w:r>
        <w:rPr>
          <w:rFonts w:hint="eastAsia" w:ascii="仿宋" w:hAnsi="仿宋" w:eastAsia="方正仿宋简体" w:cs="宋体"/>
          <w:color w:val="000000" w:themeColor="text1"/>
          <w:kern w:val="0"/>
          <w:sz w:val="32"/>
          <w:szCs w:val="21"/>
        </w:rPr>
        <w:t>政法平安建设安排</w:t>
      </w:r>
      <w:r>
        <w:rPr>
          <w:rFonts w:ascii="仿宋" w:hAnsi="仿宋" w:eastAsia="方正仿宋简体" w:cs="宋体"/>
          <w:color w:val="000000" w:themeColor="text1"/>
          <w:kern w:val="0"/>
          <w:sz w:val="32"/>
          <w:szCs w:val="21"/>
        </w:rPr>
        <w:t>资金</w:t>
      </w:r>
      <w:r>
        <w:rPr>
          <w:rFonts w:hint="eastAsia" w:ascii="仿宋" w:hAnsi="仿宋" w:eastAsia="方正仿宋简体" w:cs="宋体"/>
          <w:color w:val="000000" w:themeColor="text1"/>
          <w:kern w:val="0"/>
          <w:sz w:val="32"/>
          <w:szCs w:val="21"/>
        </w:rPr>
        <w:t>5万元，总共支出资金5.00万元。主要用于政法平安建设</w:t>
      </w:r>
      <w:r>
        <w:rPr>
          <w:rFonts w:ascii="仿宋" w:hAnsi="仿宋" w:eastAsia="方正仿宋简体" w:cs="宋体"/>
          <w:color w:val="000000" w:themeColor="text1"/>
          <w:kern w:val="0"/>
          <w:sz w:val="32"/>
          <w:szCs w:val="21"/>
        </w:rPr>
        <w:t>差旅费、咨询费、</w:t>
      </w:r>
      <w:r>
        <w:rPr>
          <w:rFonts w:hint="eastAsia" w:ascii="仿宋" w:hAnsi="仿宋" w:eastAsia="方正仿宋简体" w:cs="宋体"/>
          <w:color w:val="000000" w:themeColor="text1"/>
          <w:kern w:val="0"/>
          <w:sz w:val="32"/>
          <w:szCs w:val="21"/>
        </w:rPr>
        <w:t>印刷</w:t>
      </w:r>
      <w:r>
        <w:rPr>
          <w:rFonts w:ascii="仿宋" w:hAnsi="仿宋" w:eastAsia="方正仿宋简体" w:cs="宋体"/>
          <w:color w:val="000000" w:themeColor="text1"/>
          <w:kern w:val="0"/>
          <w:sz w:val="32"/>
          <w:szCs w:val="21"/>
        </w:rPr>
        <w:t>费等</w:t>
      </w:r>
      <w:r>
        <w:rPr>
          <w:rFonts w:hint="eastAsia" w:ascii="仿宋" w:hAnsi="仿宋" w:eastAsia="方正仿宋简体" w:cs="宋体"/>
          <w:color w:val="000000" w:themeColor="text1"/>
          <w:kern w:val="0"/>
          <w:sz w:val="32"/>
          <w:szCs w:val="21"/>
        </w:rPr>
        <w:t>。</w:t>
      </w:r>
    </w:p>
    <w:p>
      <w:pPr>
        <w:spacing w:line="580" w:lineRule="exact"/>
        <w:ind w:firstLine="640" w:firstLineChars="200"/>
        <w:rPr>
          <w:rFonts w:ascii="仿宋" w:hAnsi="仿宋" w:eastAsia="方正仿宋简体" w:cs="仿宋_GB2312"/>
          <w:color w:val="000000" w:themeColor="text1"/>
          <w:sz w:val="32"/>
          <w:szCs w:val="32"/>
        </w:rPr>
      </w:pPr>
      <w:r>
        <w:rPr>
          <w:rFonts w:ascii="仿宋" w:hAnsi="仿宋" w:eastAsia="方正仿宋简体" w:cs="仿宋_GB2312"/>
          <w:color w:val="000000" w:themeColor="text1"/>
          <w:sz w:val="32"/>
          <w:szCs w:val="32"/>
        </w:rPr>
        <w:t>3、项目绩效</w:t>
      </w:r>
    </w:p>
    <w:p>
      <w:pPr>
        <w:spacing w:line="580" w:lineRule="exact"/>
        <w:ind w:firstLine="640" w:firstLineChars="200"/>
        <w:rPr>
          <w:rFonts w:ascii="宋体" w:hAnsi="仿宋" w:eastAsia="方正仿宋简体" w:cs="仿宋_GB2312"/>
          <w:color w:val="000000" w:themeColor="text1"/>
          <w:sz w:val="32"/>
          <w:szCs w:val="32"/>
        </w:rPr>
      </w:pPr>
      <w:r>
        <w:rPr>
          <w:rFonts w:hint="eastAsia" w:ascii="方正仿宋简体" w:eastAsia="方正仿宋简体"/>
          <w:color w:val="000000" w:themeColor="text1"/>
          <w:sz w:val="32"/>
          <w:szCs w:val="32"/>
        </w:rPr>
        <w:t>项目区</w:t>
      </w:r>
      <w:r>
        <w:rPr>
          <w:rFonts w:ascii="方正仿宋简体" w:eastAsia="方正仿宋简体"/>
          <w:color w:val="000000" w:themeColor="text1"/>
          <w:sz w:val="32"/>
          <w:szCs w:val="32"/>
        </w:rPr>
        <w:t>群众满意率达</w:t>
      </w:r>
      <w:r>
        <w:rPr>
          <w:rFonts w:hint="eastAsia" w:ascii="方正仿宋简体" w:eastAsia="方正仿宋简体"/>
          <w:color w:val="000000" w:themeColor="text1"/>
          <w:sz w:val="32"/>
          <w:szCs w:val="32"/>
        </w:rPr>
        <w:t>95</w:t>
      </w:r>
      <w:r>
        <w:rPr>
          <w:rFonts w:ascii="方正仿宋简体" w:eastAsia="方正仿宋简体"/>
          <w:color w:val="000000" w:themeColor="text1"/>
          <w:sz w:val="32"/>
          <w:szCs w:val="32"/>
        </w:rPr>
        <w:t>%。</w:t>
      </w:r>
    </w:p>
    <w:p>
      <w:pPr>
        <w:tabs>
          <w:tab w:val="left" w:pos="312"/>
        </w:tabs>
        <w:spacing w:line="580" w:lineRule="exact"/>
        <w:ind w:firstLine="640" w:firstLineChars="200"/>
        <w:rPr>
          <w:rFonts w:ascii="仿宋_GB2312" w:hAnsi="仿宋_GB2312" w:eastAsia="仿宋_GB2312" w:cs="仿宋_GB2312"/>
          <w:color w:val="000000" w:themeColor="text1"/>
          <w:sz w:val="32"/>
          <w:szCs w:val="32"/>
        </w:rPr>
      </w:pPr>
      <w:r>
        <w:rPr>
          <w:rFonts w:hint="eastAsia" w:ascii="仿宋" w:hAnsi="仿宋" w:eastAsia="方正仿宋简体" w:cs="仿宋_GB2312"/>
          <w:color w:val="000000" w:themeColor="text1"/>
          <w:sz w:val="32"/>
          <w:szCs w:val="32"/>
        </w:rPr>
        <w:t>三</w:t>
      </w:r>
      <w:r>
        <w:rPr>
          <w:rFonts w:ascii="仿宋" w:hAnsi="仿宋" w:eastAsia="方正仿宋简体" w:cs="仿宋_GB2312"/>
          <w:color w:val="000000" w:themeColor="text1"/>
          <w:sz w:val="32"/>
          <w:szCs w:val="32"/>
        </w:rPr>
        <w:t>、存在主要问题</w:t>
      </w:r>
      <w:r>
        <w:rPr>
          <w:rFonts w:hint="eastAsia" w:ascii="仿宋" w:hAnsi="仿宋" w:eastAsia="方正仿宋简体" w:cs="仿宋_GB2312"/>
          <w:color w:val="000000" w:themeColor="text1"/>
          <w:sz w:val="32"/>
          <w:szCs w:val="32"/>
        </w:rPr>
        <w:t>。</w:t>
      </w:r>
      <w:r>
        <w:rPr>
          <w:rFonts w:hint="eastAsia" w:ascii="方正仿宋简体" w:eastAsia="方正仿宋简体" w:cs="方正仿宋简体"/>
          <w:color w:val="000000" w:themeColor="text1"/>
          <w:sz w:val="32"/>
          <w:szCs w:val="32"/>
        </w:rPr>
        <w:t>工作任务重，经费紧张。</w:t>
      </w:r>
    </w:p>
    <w:p>
      <w:pPr>
        <w:spacing w:line="580" w:lineRule="exact"/>
        <w:ind w:firstLine="640" w:firstLineChars="200"/>
        <w:rPr>
          <w:rFonts w:ascii="方正仿宋简体" w:eastAsia="方正仿宋简体" w:cs="方正仿宋简体"/>
          <w:color w:val="000000" w:themeColor="text1"/>
          <w:sz w:val="32"/>
          <w:szCs w:val="32"/>
        </w:rPr>
      </w:pPr>
      <w:r>
        <w:rPr>
          <w:rFonts w:hint="eastAsia" w:ascii="仿宋" w:hAnsi="仿宋" w:eastAsia="方正仿宋简体" w:cs="仿宋_GB2312"/>
          <w:color w:val="000000" w:themeColor="text1"/>
          <w:sz w:val="32"/>
          <w:szCs w:val="32"/>
        </w:rPr>
        <w:t>四</w:t>
      </w:r>
      <w:r>
        <w:rPr>
          <w:rFonts w:ascii="仿宋" w:hAnsi="仿宋" w:eastAsia="方正仿宋简体" w:cs="仿宋_GB2312"/>
          <w:color w:val="000000" w:themeColor="text1"/>
          <w:sz w:val="32"/>
          <w:szCs w:val="32"/>
        </w:rPr>
        <w:t>、相关措施建议</w:t>
      </w:r>
      <w:r>
        <w:rPr>
          <w:rFonts w:hint="eastAsia" w:ascii="仿宋" w:hAnsi="仿宋" w:eastAsia="方正仿宋简体" w:cs="仿宋_GB2312"/>
          <w:color w:val="000000" w:themeColor="text1"/>
          <w:sz w:val="32"/>
          <w:szCs w:val="32"/>
        </w:rPr>
        <w:t>。</w:t>
      </w:r>
      <w:r>
        <w:rPr>
          <w:rFonts w:hint="eastAsia" w:ascii="方正仿宋简体" w:eastAsia="方正仿宋简体" w:cs="方正仿宋简体"/>
          <w:color w:val="000000" w:themeColor="text1"/>
          <w:sz w:val="32"/>
          <w:szCs w:val="32"/>
        </w:rPr>
        <w:t>加大资金投入。</w:t>
      </w:r>
    </w:p>
    <w:p>
      <w:pPr>
        <w:spacing w:line="580" w:lineRule="exact"/>
        <w:ind w:firstLine="640" w:firstLineChars="200"/>
        <w:rPr>
          <w:rFonts w:ascii="方正仿宋简体" w:eastAsia="方正仿宋简体" w:cs="方正仿宋简体"/>
          <w:color w:val="000000" w:themeColor="text1"/>
          <w:sz w:val="32"/>
          <w:szCs w:val="32"/>
        </w:rPr>
      </w:pPr>
    </w:p>
    <w:p>
      <w:pPr>
        <w:spacing w:line="580" w:lineRule="exact"/>
        <w:ind w:firstLine="640" w:firstLineChars="200"/>
        <w:rPr>
          <w:rFonts w:ascii="方正仿宋简体" w:eastAsia="方正仿宋简体" w:cs="方正仿宋简体"/>
          <w:color w:val="000000" w:themeColor="text1"/>
          <w:sz w:val="32"/>
          <w:szCs w:val="32"/>
        </w:rPr>
      </w:pPr>
    </w:p>
    <w:p>
      <w:pPr>
        <w:spacing w:line="580" w:lineRule="exact"/>
        <w:ind w:firstLine="640" w:firstLineChars="200"/>
        <w:rPr>
          <w:rFonts w:ascii="方正仿宋简体" w:eastAsia="方正仿宋简体" w:cs="方正仿宋简体"/>
          <w:color w:val="000000" w:themeColor="text1"/>
          <w:sz w:val="32"/>
          <w:szCs w:val="32"/>
        </w:rPr>
      </w:pPr>
    </w:p>
    <w:p>
      <w:pPr>
        <w:spacing w:line="580" w:lineRule="exact"/>
        <w:ind w:firstLine="640" w:firstLineChars="200"/>
        <w:rPr>
          <w:rFonts w:ascii="方正仿宋简体" w:eastAsia="方正仿宋简体" w:cs="方正仿宋简体"/>
          <w:color w:val="000000" w:themeColor="text1"/>
          <w:sz w:val="32"/>
          <w:szCs w:val="32"/>
        </w:rPr>
      </w:pPr>
    </w:p>
    <w:p>
      <w:pPr>
        <w:spacing w:line="580" w:lineRule="exact"/>
        <w:ind w:firstLine="640" w:firstLineChars="200"/>
        <w:rPr>
          <w:rFonts w:ascii="方正仿宋简体" w:eastAsia="方正仿宋简体" w:cs="方正仿宋简体"/>
          <w:color w:val="000000" w:themeColor="text1"/>
          <w:sz w:val="32"/>
          <w:szCs w:val="32"/>
        </w:rPr>
      </w:pPr>
    </w:p>
    <w:p>
      <w:pPr>
        <w:spacing w:line="580" w:lineRule="exact"/>
        <w:ind w:firstLine="640" w:firstLineChars="200"/>
        <w:rPr>
          <w:rFonts w:ascii="方正仿宋简体" w:eastAsia="方正仿宋简体" w:cs="方正仿宋简体"/>
          <w:color w:val="000000" w:themeColor="text1"/>
          <w:sz w:val="32"/>
          <w:szCs w:val="32"/>
        </w:rPr>
      </w:pPr>
    </w:p>
    <w:p>
      <w:pPr>
        <w:spacing w:line="580" w:lineRule="exact"/>
        <w:ind w:firstLine="640" w:firstLineChars="200"/>
        <w:rPr>
          <w:rFonts w:ascii="方正仿宋简体" w:eastAsia="方正仿宋简体" w:cs="方正仿宋简体"/>
          <w:color w:val="000000" w:themeColor="text1"/>
          <w:sz w:val="32"/>
          <w:szCs w:val="32"/>
        </w:rPr>
      </w:pPr>
    </w:p>
    <w:p>
      <w:pPr>
        <w:spacing w:line="580" w:lineRule="exact"/>
        <w:jc w:val="center"/>
        <w:rPr>
          <w:rFonts w:ascii="黑体" w:hAnsi="黑体" w:eastAsia="黑体" w:cs="方正小标宋简体"/>
          <w:color w:val="000000" w:themeColor="text1"/>
          <w:sz w:val="44"/>
          <w:szCs w:val="44"/>
        </w:rPr>
      </w:pPr>
      <w:r>
        <w:rPr>
          <w:rFonts w:hint="eastAsia" w:ascii="黑体" w:hAnsi="黑体" w:eastAsia="黑体" w:cs="方正小标宋简体"/>
          <w:color w:val="000000" w:themeColor="text1"/>
          <w:sz w:val="44"/>
          <w:szCs w:val="44"/>
        </w:rPr>
        <w:t>2018年政法三级网运行维护项目支出绩效评价报告</w:t>
      </w:r>
    </w:p>
    <w:p>
      <w:pPr>
        <w:spacing w:line="580" w:lineRule="exact"/>
        <w:ind w:firstLine="640" w:firstLineChars="200"/>
        <w:rPr>
          <w:rFonts w:ascii="仿宋_GB2312" w:hAnsi="仿宋_GB2312" w:eastAsia="仿宋_GB2312" w:cs="仿宋_GB2312"/>
          <w:color w:val="000000" w:themeColor="text1"/>
          <w:sz w:val="32"/>
          <w:szCs w:val="32"/>
        </w:rPr>
      </w:pPr>
    </w:p>
    <w:p>
      <w:pPr>
        <w:spacing w:line="580" w:lineRule="exact"/>
        <w:ind w:firstLine="640" w:firstLineChars="200"/>
        <w:rPr>
          <w:rFonts w:hint="eastAsia" w:ascii="方正黑体简体" w:hAnsi="仿宋" w:eastAsia="方正黑体简体" w:cs="仿宋_GB2312"/>
          <w:color w:val="000000" w:themeColor="text1"/>
          <w:sz w:val="32"/>
          <w:szCs w:val="32"/>
        </w:rPr>
      </w:pPr>
      <w:r>
        <w:rPr>
          <w:rFonts w:hint="eastAsia" w:ascii="方正黑体简体" w:hAnsi="仿宋" w:eastAsia="方正黑体简体" w:cs="仿宋_GB2312"/>
          <w:color w:val="000000" w:themeColor="text1"/>
          <w:sz w:val="32"/>
          <w:szCs w:val="32"/>
        </w:rPr>
        <w:t>一、评价工作开展及项目情况</w:t>
      </w:r>
    </w:p>
    <w:p>
      <w:pPr>
        <w:overflowPunct w:val="0"/>
        <w:spacing w:line="550" w:lineRule="exact"/>
        <w:ind w:firstLine="640" w:firstLineChars="200"/>
        <w:rPr>
          <w:rFonts w:ascii="方正仿宋简体" w:hAnsi="华文仿宋" w:eastAsia="方正仿宋简体"/>
          <w:color w:val="000000" w:themeColor="text1"/>
          <w:sz w:val="32"/>
          <w:szCs w:val="32"/>
        </w:rPr>
      </w:pPr>
      <w:r>
        <w:rPr>
          <w:rFonts w:hint="eastAsia" w:ascii="方正仿宋简体" w:hAnsi="华文仿宋" w:eastAsia="方正仿宋简体"/>
          <w:color w:val="000000" w:themeColor="text1"/>
          <w:sz w:val="32"/>
          <w:szCs w:val="32"/>
        </w:rPr>
        <w:t>在区委的坚强领导下，我委深入推进“稳定利州、平安利州、法治利州、和谐利州”建设，为加快建设综合实力一流的现代化市辖区和生态康养旅游名市营造了安全稳定的社会环境和公正规范的法治环境。2018年，全区政法系统获得国家级表彰5次、省级24次、市级23次，有力地展示了政法工作成效和政法队伍良好形象。</w:t>
      </w:r>
    </w:p>
    <w:p>
      <w:pPr>
        <w:spacing w:line="580" w:lineRule="exact"/>
        <w:ind w:firstLine="640" w:firstLineChars="200"/>
        <w:rPr>
          <w:rFonts w:ascii="方正黑体简体" w:hAnsi="仿宋" w:eastAsia="方正黑体简体" w:cs="仿宋_GB2312"/>
          <w:color w:val="000000" w:themeColor="text1"/>
          <w:sz w:val="32"/>
          <w:szCs w:val="32"/>
        </w:rPr>
      </w:pPr>
      <w:r>
        <w:rPr>
          <w:rFonts w:hint="eastAsia" w:ascii="方正黑体简体" w:hAnsi="仿宋" w:eastAsia="方正黑体简体" w:cs="仿宋_GB2312"/>
          <w:color w:val="000000" w:themeColor="text1"/>
          <w:sz w:val="32"/>
          <w:szCs w:val="32"/>
        </w:rPr>
        <w:t>二</w:t>
      </w:r>
      <w:r>
        <w:rPr>
          <w:rFonts w:ascii="方正黑体简体" w:hAnsi="仿宋" w:eastAsia="方正黑体简体" w:cs="仿宋_GB2312"/>
          <w:color w:val="000000" w:themeColor="text1"/>
          <w:sz w:val="32"/>
          <w:szCs w:val="32"/>
        </w:rPr>
        <w:t>、评价结论及绩效分析</w:t>
      </w:r>
    </w:p>
    <w:p>
      <w:pPr>
        <w:spacing w:line="580" w:lineRule="exact"/>
        <w:ind w:firstLine="640" w:firstLineChars="200"/>
        <w:rPr>
          <w:rFonts w:ascii="仿宋" w:hAnsi="仿宋" w:eastAsia="方正仿宋简体" w:cs="仿宋_GB2312"/>
          <w:color w:val="000000" w:themeColor="text1"/>
          <w:sz w:val="32"/>
          <w:szCs w:val="32"/>
        </w:rPr>
      </w:pPr>
      <w:r>
        <w:rPr>
          <w:rFonts w:ascii="仿宋" w:hAnsi="仿宋" w:eastAsia="方正仿宋简体" w:cs="仿宋_GB2312"/>
          <w:color w:val="000000" w:themeColor="text1"/>
          <w:sz w:val="32"/>
          <w:szCs w:val="32"/>
        </w:rPr>
        <w:t>（一）评价结论</w:t>
      </w:r>
    </w:p>
    <w:p>
      <w:pPr>
        <w:widowControl/>
        <w:spacing w:line="360" w:lineRule="atLeast"/>
        <w:ind w:firstLine="480" w:firstLineChars="150"/>
        <w:jc w:val="left"/>
        <w:rPr>
          <w:rFonts w:ascii="仿宋" w:hAnsi="仿宋" w:eastAsia="方正仿宋简体" w:cs="宋体"/>
          <w:color w:val="000000" w:themeColor="text1"/>
          <w:kern w:val="0"/>
          <w:sz w:val="32"/>
          <w:szCs w:val="32"/>
        </w:rPr>
      </w:pPr>
      <w:r>
        <w:rPr>
          <w:rFonts w:hint="eastAsia" w:ascii="仿宋" w:hAnsi="仿宋" w:eastAsia="方正仿宋简体" w:cs="宋体"/>
          <w:color w:val="000000" w:themeColor="text1"/>
          <w:kern w:val="0"/>
          <w:sz w:val="32"/>
          <w:szCs w:val="32"/>
        </w:rPr>
        <w:t>总体上看，该项目决策依据充分，资金到位及时，项目管理规范，项目绩效评价得分为94分。</w:t>
      </w:r>
    </w:p>
    <w:p>
      <w:pPr>
        <w:widowControl/>
        <w:spacing w:line="360" w:lineRule="atLeast"/>
        <w:ind w:firstLine="800" w:firstLineChars="250"/>
        <w:jc w:val="left"/>
        <w:rPr>
          <w:rFonts w:hint="eastAsia" w:ascii="仿宋" w:hAnsi="仿宋" w:eastAsia="方正仿宋简体" w:cs="宋体"/>
          <w:color w:val="000000" w:themeColor="text1"/>
          <w:kern w:val="0"/>
          <w:sz w:val="32"/>
          <w:szCs w:val="32"/>
        </w:rPr>
      </w:pPr>
    </w:p>
    <w:p>
      <w:pPr>
        <w:widowControl/>
        <w:spacing w:line="360" w:lineRule="atLeast"/>
        <w:ind w:firstLine="800" w:firstLineChars="250"/>
        <w:jc w:val="left"/>
        <w:rPr>
          <w:rFonts w:hint="eastAsia" w:ascii="仿宋" w:hAnsi="仿宋" w:eastAsia="方正仿宋简体" w:cs="宋体"/>
          <w:color w:val="000000" w:themeColor="text1"/>
          <w:kern w:val="0"/>
          <w:sz w:val="32"/>
          <w:szCs w:val="32"/>
        </w:rPr>
      </w:pPr>
    </w:p>
    <w:p>
      <w:pPr>
        <w:widowControl/>
        <w:spacing w:line="360" w:lineRule="atLeast"/>
        <w:ind w:firstLine="800" w:firstLineChars="250"/>
        <w:jc w:val="left"/>
        <w:rPr>
          <w:rFonts w:hint="eastAsia" w:ascii="仿宋" w:hAnsi="仿宋" w:eastAsia="方正仿宋简体" w:cs="宋体"/>
          <w:color w:val="000000" w:themeColor="text1"/>
          <w:kern w:val="0"/>
          <w:sz w:val="32"/>
          <w:szCs w:val="32"/>
        </w:rPr>
      </w:pPr>
    </w:p>
    <w:p>
      <w:pPr>
        <w:widowControl/>
        <w:spacing w:line="360" w:lineRule="atLeast"/>
        <w:ind w:firstLine="800" w:firstLineChars="250"/>
        <w:jc w:val="left"/>
        <w:rPr>
          <w:rFonts w:hint="eastAsia" w:ascii="仿宋" w:hAnsi="仿宋" w:eastAsia="方正仿宋简体" w:cs="宋体"/>
          <w:color w:val="000000" w:themeColor="text1"/>
          <w:kern w:val="0"/>
          <w:sz w:val="32"/>
          <w:szCs w:val="32"/>
        </w:rPr>
      </w:pPr>
    </w:p>
    <w:p>
      <w:pPr>
        <w:widowControl/>
        <w:spacing w:line="360" w:lineRule="atLeast"/>
        <w:ind w:firstLine="800" w:firstLineChars="250"/>
        <w:jc w:val="left"/>
        <w:rPr>
          <w:rFonts w:hint="eastAsia" w:ascii="仿宋" w:hAnsi="仿宋" w:eastAsia="方正仿宋简体" w:cs="宋体"/>
          <w:color w:val="000000" w:themeColor="text1"/>
          <w:kern w:val="0"/>
          <w:sz w:val="32"/>
          <w:szCs w:val="32"/>
        </w:rPr>
      </w:pPr>
    </w:p>
    <w:p>
      <w:pPr>
        <w:widowControl/>
        <w:spacing w:line="360" w:lineRule="atLeast"/>
        <w:ind w:firstLine="800" w:firstLineChars="250"/>
        <w:jc w:val="left"/>
        <w:rPr>
          <w:rFonts w:hint="eastAsia" w:ascii="仿宋" w:hAnsi="仿宋" w:eastAsia="方正仿宋简体" w:cs="宋体"/>
          <w:color w:val="000000" w:themeColor="text1"/>
          <w:kern w:val="0"/>
          <w:sz w:val="32"/>
          <w:szCs w:val="32"/>
        </w:rPr>
      </w:pPr>
    </w:p>
    <w:p>
      <w:pPr>
        <w:widowControl/>
        <w:spacing w:line="360" w:lineRule="atLeast"/>
        <w:ind w:firstLine="800" w:firstLineChars="250"/>
        <w:jc w:val="left"/>
        <w:rPr>
          <w:rFonts w:hint="eastAsia" w:ascii="仿宋" w:hAnsi="仿宋" w:eastAsia="方正仿宋简体" w:cs="宋体"/>
          <w:color w:val="000000" w:themeColor="text1"/>
          <w:kern w:val="0"/>
          <w:sz w:val="32"/>
          <w:szCs w:val="32"/>
        </w:rPr>
      </w:pPr>
    </w:p>
    <w:p>
      <w:pPr>
        <w:widowControl/>
        <w:spacing w:line="360" w:lineRule="atLeast"/>
        <w:jc w:val="center"/>
        <w:rPr>
          <w:rFonts w:hint="eastAsia" w:ascii="方正小标宋简体" w:hAnsi="仿宋" w:eastAsia="方正小标宋简体" w:cs="宋体"/>
          <w:color w:val="000000" w:themeColor="text1"/>
          <w:kern w:val="0"/>
          <w:sz w:val="40"/>
          <w:szCs w:val="40"/>
        </w:rPr>
      </w:pPr>
      <w:r>
        <w:rPr>
          <w:rFonts w:hint="eastAsia" w:ascii="方正小标宋简体" w:hAnsi="仿宋" w:eastAsia="方正小标宋简体" w:cs="宋体"/>
          <w:color w:val="000000" w:themeColor="text1"/>
          <w:kern w:val="0"/>
          <w:sz w:val="40"/>
          <w:szCs w:val="40"/>
        </w:rPr>
        <w:t>重大项目督查项目支出绩效评价指标体系</w:t>
      </w:r>
    </w:p>
    <w:tbl>
      <w:tblPr>
        <w:tblStyle w:val="13"/>
        <w:tblW w:w="8874"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
      <w:tblGrid>
        <w:gridCol w:w="488"/>
        <w:gridCol w:w="489"/>
        <w:gridCol w:w="588"/>
        <w:gridCol w:w="257"/>
        <w:gridCol w:w="1907"/>
        <w:gridCol w:w="564"/>
        <w:gridCol w:w="1089"/>
        <w:gridCol w:w="1089"/>
        <w:gridCol w:w="1194"/>
        <w:gridCol w:w="660"/>
        <w:gridCol w:w="292"/>
        <w:gridCol w:w="25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488"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一级</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指标</w:t>
            </w:r>
          </w:p>
        </w:tc>
        <w:tc>
          <w:tcPr>
            <w:tcW w:w="489"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二级</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指标</w:t>
            </w:r>
          </w:p>
        </w:tc>
        <w:tc>
          <w:tcPr>
            <w:tcW w:w="588"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三级</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指标</w:t>
            </w:r>
          </w:p>
        </w:tc>
        <w:tc>
          <w:tcPr>
            <w:tcW w:w="257"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分值</w:t>
            </w:r>
          </w:p>
        </w:tc>
        <w:tc>
          <w:tcPr>
            <w:tcW w:w="1907"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指标评价内容</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（公式结果=x）</w:t>
            </w:r>
          </w:p>
        </w:tc>
        <w:tc>
          <w:tcPr>
            <w:tcW w:w="4596" w:type="dxa"/>
            <w:gridSpan w:val="5"/>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评分标准</w:t>
            </w:r>
          </w:p>
        </w:tc>
        <w:tc>
          <w:tcPr>
            <w:tcW w:w="292"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评价得分</w:t>
            </w:r>
          </w:p>
        </w:tc>
        <w:tc>
          <w:tcPr>
            <w:tcW w:w="257"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488"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88"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257"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907"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差</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较差</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一般</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较好</w:t>
            </w: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好</w:t>
            </w:r>
          </w:p>
        </w:tc>
        <w:tc>
          <w:tcPr>
            <w:tcW w:w="292"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257"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88"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决策</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（20分）</w:t>
            </w:r>
          </w:p>
        </w:tc>
        <w:tc>
          <w:tcPr>
            <w:tcW w:w="489"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科学</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决策</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（10分）</w:t>
            </w: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必要性</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90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项目符合党中央、国务院和</w:t>
            </w:r>
            <w:r>
              <w:rPr>
                <w:rFonts w:hint="eastAsia" w:cs="宋体" w:asciiTheme="minorEastAsia" w:hAnsiTheme="minorEastAsia" w:eastAsiaTheme="minorEastAsia"/>
                <w:color w:val="000000" w:themeColor="text1"/>
                <w:kern w:val="0"/>
                <w:szCs w:val="21"/>
                <w:lang w:eastAsia="zh-CN"/>
              </w:rPr>
              <w:t>县委、县政府</w:t>
            </w:r>
            <w:r>
              <w:rPr>
                <w:rFonts w:cs="宋体" w:asciiTheme="minorEastAsia" w:hAnsiTheme="minorEastAsia" w:eastAsiaTheme="minorEastAsia"/>
                <w:color w:val="000000" w:themeColor="text1"/>
                <w:kern w:val="0"/>
                <w:szCs w:val="21"/>
              </w:rPr>
              <w:t>决策部署；符合当前经济社会发展需要，政策和实际需求的吻合程度</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不符合</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符合</w:t>
            </w: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488"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可行性</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907"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可行性论证充分，规划、管理办法、指导意见等制度是否健全完善</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不符合</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符合</w:t>
            </w: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88"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绩效</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目标</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（10分）</w:t>
            </w: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明确性</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907"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项目预期提供的产品、服务、效益或其他目标明确细化、可衡量（绩效目标实际明确数/应当明确个数×100%）</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x=0%</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0%&lt;x&lt;30%</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30%≤x&lt;60%</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60%≤x&lt;100%</w:t>
            </w: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x=100%</w:t>
            </w: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4</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1893" w:hRule="atLeast"/>
          <w:jc w:val="center"/>
        </w:trPr>
        <w:tc>
          <w:tcPr>
            <w:tcW w:w="488"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绩效</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目标</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（10分）</w:t>
            </w: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合理性</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907"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绩效目标设定符合实际需求，合理可行（绩效目标设定符合实际需求的抽样项目点个数/抽样项目点总数×100%）</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x&lt;70%</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70%≤x&lt;90%</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80%≤x&lt;90%</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90%≤x&lt;100%</w:t>
            </w: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x=100%</w:t>
            </w: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1592" w:hRule="atLeast"/>
          <w:jc w:val="center"/>
        </w:trPr>
        <w:tc>
          <w:tcPr>
            <w:tcW w:w="488"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管理</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（10分）</w:t>
            </w:r>
          </w:p>
        </w:tc>
        <w:tc>
          <w:tcPr>
            <w:tcW w:w="489"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资金</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管理</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（7分）</w:t>
            </w: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资金分配</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3</w:t>
            </w:r>
          </w:p>
        </w:tc>
        <w:tc>
          <w:tcPr>
            <w:tcW w:w="1907"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资金分配管理是否科学合理、规范有序；是否体现突出重点或公平性，符合财政资金改革方向</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不符合</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一般</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符合</w:t>
            </w: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3</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1002" w:hRule="atLeast"/>
          <w:jc w:val="center"/>
        </w:trPr>
        <w:tc>
          <w:tcPr>
            <w:tcW w:w="488"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资金使用</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4</w:t>
            </w:r>
          </w:p>
        </w:tc>
        <w:tc>
          <w:tcPr>
            <w:tcW w:w="1907"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资金使用规范（规范使用资金/资金总额×100%）</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x&lt;70%</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70%≤x&lt;90%</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80%≤x&lt;90%</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90%≤x&lt;100%</w:t>
            </w: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x=100%</w:t>
            </w: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4</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88"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执行</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（3分）</w:t>
            </w: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执行规范</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3</w:t>
            </w:r>
          </w:p>
        </w:tc>
        <w:tc>
          <w:tcPr>
            <w:tcW w:w="190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管理制度健全，管理过程科学规范</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不严格</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较严格</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严格</w:t>
            </w: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3</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88" w:type="dxa"/>
            <w:vMerge w:val="restart"/>
            <w:tcBorders>
              <w:top w:val="single" w:color="auto" w:sz="6" w:space="0"/>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绩效</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（特性</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指标</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70分）</w:t>
            </w:r>
          </w:p>
        </w:tc>
        <w:tc>
          <w:tcPr>
            <w:tcW w:w="489"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完成</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（20分）</w:t>
            </w: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完成数量</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90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实际完成任务量/绩效目标设定任务量×100%</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x＜85%</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85%≤x＜90%</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90%≤x＜95%</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95%≤x＜100%</w:t>
            </w: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x=100%</w:t>
            </w: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257"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88"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完成质量</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90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符合绩效目标设定的验收标准，达到行业基准水平</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不符合</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符合</w:t>
            </w: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257"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1390" w:hRule="atLeast"/>
          <w:jc w:val="center"/>
        </w:trPr>
        <w:tc>
          <w:tcPr>
            <w:tcW w:w="488"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完成时效</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90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（实际完成时间-绩效目标设定完成时间）/绩效目标设定完成时间×100%</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x＞15%</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15%≥x＞10%</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10%≥x＞5%</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5%≥x＞0</w:t>
            </w: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x≤0</w:t>
            </w: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257"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1096" w:hRule="atLeast"/>
          <w:jc w:val="center"/>
        </w:trPr>
        <w:tc>
          <w:tcPr>
            <w:tcW w:w="488"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完成成本</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90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（实际完成成本-预计完成成本）/预计完成成本×100%</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x＞15%</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15%≥x＞10%</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10%≥x＞5%</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5%≥x＞0</w:t>
            </w: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x≤0</w:t>
            </w: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257"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1820" w:hRule="atLeast"/>
          <w:jc w:val="center"/>
        </w:trPr>
        <w:tc>
          <w:tcPr>
            <w:tcW w:w="488"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restart"/>
            <w:tcBorders>
              <w:top w:val="single" w:color="auto" w:sz="6" w:space="0"/>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效益</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（50分）</w:t>
            </w: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经济效益</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（可选项）</w:t>
            </w:r>
          </w:p>
        </w:tc>
        <w:tc>
          <w:tcPr>
            <w:tcW w:w="257" w:type="dxa"/>
            <w:vMerge w:val="restart"/>
            <w:tcBorders>
              <w:top w:val="single" w:color="auto" w:sz="6" w:space="0"/>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40</w:t>
            </w:r>
          </w:p>
        </w:tc>
        <w:tc>
          <w:tcPr>
            <w:tcW w:w="190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反映相关产出对经社会发展带来的影响和效果，重点考核税收、投入产出、回报等情况的指标</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8</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059" w:hRule="atLeast"/>
          <w:jc w:val="center"/>
        </w:trPr>
        <w:tc>
          <w:tcPr>
            <w:tcW w:w="488"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社会效益</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（可选项）</w:t>
            </w:r>
          </w:p>
        </w:tc>
        <w:tc>
          <w:tcPr>
            <w:tcW w:w="257"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90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反映相关产出对社会发展带来的影响和效果，重点考核撬动地方经济、就业（包括就业人数）等情况的指标</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88"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生态效益</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（可选项）</w:t>
            </w:r>
          </w:p>
        </w:tc>
        <w:tc>
          <w:tcPr>
            <w:tcW w:w="257"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90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反映相关产出对自然环境带来的影响和效果</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88" w:type="dxa"/>
            <w:vMerge w:val="continue"/>
            <w:tcBorders>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continue"/>
            <w:tcBorders>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可持续效益（可选项）</w:t>
            </w:r>
          </w:p>
        </w:tc>
        <w:tc>
          <w:tcPr>
            <w:tcW w:w="257" w:type="dxa"/>
            <w:vMerge w:val="continue"/>
            <w:tcBorders>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90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反映相关产出带来影响的可持续期限</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88" w:type="dxa"/>
            <w:vMerge w:val="restart"/>
            <w:tcBorders>
              <w:top w:val="single" w:color="auto" w:sz="6" w:space="0"/>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绩效</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（特性</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指标</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70分）</w:t>
            </w:r>
          </w:p>
        </w:tc>
        <w:tc>
          <w:tcPr>
            <w:tcW w:w="489" w:type="dxa"/>
            <w:vMerge w:val="restart"/>
            <w:tcBorders>
              <w:top w:val="single" w:color="auto" w:sz="6" w:space="0"/>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效益</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（50分）</w:t>
            </w: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公平效率</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（可选项）</w:t>
            </w:r>
          </w:p>
        </w:tc>
        <w:tc>
          <w:tcPr>
            <w:tcW w:w="257" w:type="dxa"/>
            <w:vMerge w:val="restart"/>
            <w:tcBorders>
              <w:top w:val="single" w:color="auto" w:sz="6" w:space="0"/>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90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主要反映资金使用者是否获公平竞争的机会，以及民生类项目中受益群体是否应覆盖全覆盖，覆盖率是衡量指标。重点考核覆盖率、知晓率等指标</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10</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88"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使用效率</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（可选项）</w:t>
            </w:r>
          </w:p>
        </w:tc>
        <w:tc>
          <w:tcPr>
            <w:tcW w:w="257" w:type="dxa"/>
            <w:vMerge w:val="continue"/>
            <w:tcBorders>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90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重点考核使用率等指标</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10</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88" w:type="dxa"/>
            <w:vMerge w:val="continue"/>
            <w:tcBorders>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continue"/>
            <w:tcBorders>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服务对象</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满意度</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10</w:t>
            </w:r>
          </w:p>
        </w:tc>
        <w:tc>
          <w:tcPr>
            <w:tcW w:w="190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反映服务对象或项目受益人对相关产出及其影响的认可程度，重点考核受益群体和社会对项目的满意率等指标</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8</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729" w:type="dxa"/>
            <w:gridSpan w:val="5"/>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合  计</w:t>
            </w:r>
          </w:p>
        </w:tc>
        <w:tc>
          <w:tcPr>
            <w:tcW w:w="4596" w:type="dxa"/>
            <w:gridSpan w:val="5"/>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94</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bl>
    <w:p>
      <w:pPr>
        <w:spacing w:line="580" w:lineRule="exact"/>
        <w:ind w:firstLine="640" w:firstLineChars="200"/>
        <w:rPr>
          <w:rFonts w:ascii="仿宋" w:hAnsi="仿宋" w:eastAsia="方正仿宋简体" w:cs="仿宋_GB2312"/>
          <w:color w:val="000000" w:themeColor="text1"/>
          <w:sz w:val="32"/>
          <w:szCs w:val="32"/>
        </w:rPr>
      </w:pPr>
      <w:r>
        <w:rPr>
          <w:rFonts w:ascii="仿宋" w:hAnsi="仿宋" w:eastAsia="方正仿宋简体" w:cs="仿宋_GB2312"/>
          <w:color w:val="000000" w:themeColor="text1"/>
          <w:sz w:val="32"/>
          <w:szCs w:val="32"/>
        </w:rPr>
        <w:t>（二）绩效分析</w:t>
      </w:r>
    </w:p>
    <w:p>
      <w:pPr>
        <w:widowControl/>
        <w:ind w:firstLine="640" w:firstLineChars="200"/>
        <w:rPr>
          <w:rFonts w:ascii="宋体" w:hAnsi="宋体" w:cs="宋体"/>
          <w:color w:val="000000" w:themeColor="text1"/>
          <w:kern w:val="0"/>
          <w:sz w:val="24"/>
        </w:rPr>
      </w:pPr>
      <w:r>
        <w:rPr>
          <w:rFonts w:ascii="仿宋" w:hAnsi="仿宋" w:eastAsia="方正仿宋简体" w:cs="仿宋_GB2312"/>
          <w:color w:val="000000" w:themeColor="text1"/>
          <w:sz w:val="32"/>
          <w:szCs w:val="32"/>
        </w:rPr>
        <w:t>1、项目决策</w:t>
      </w:r>
      <w:r>
        <w:rPr>
          <w:rFonts w:hint="eastAsia" w:ascii="仿宋" w:hAnsi="仿宋" w:eastAsia="方正仿宋简体" w:cs="仿宋_GB2312"/>
          <w:color w:val="000000" w:themeColor="text1"/>
          <w:sz w:val="32"/>
          <w:szCs w:val="32"/>
        </w:rPr>
        <w:t>。</w:t>
      </w:r>
      <w:r>
        <w:rPr>
          <w:rFonts w:hint="eastAsia" w:ascii="宋体" w:hAnsi="宋体" w:eastAsia="方正仿宋简体" w:cs="宋体"/>
          <w:color w:val="000000" w:themeColor="text1"/>
          <w:kern w:val="0"/>
          <w:sz w:val="32"/>
        </w:rPr>
        <w:t>通过每月1次以上网络维护专项督查</w:t>
      </w:r>
      <w:r>
        <w:rPr>
          <w:rFonts w:ascii="仿宋" w:hAnsi="仿宋" w:eastAsia="方正仿宋简体" w:cs="仿宋_GB2312"/>
          <w:color w:val="000000" w:themeColor="text1"/>
          <w:sz w:val="32"/>
          <w:szCs w:val="32"/>
        </w:rPr>
        <w:t>，</w:t>
      </w:r>
      <w:r>
        <w:rPr>
          <w:rFonts w:hint="eastAsia" w:ascii="宋体" w:hAnsi="宋体" w:eastAsia="方正仿宋简体" w:cs="宋体"/>
          <w:color w:val="000000" w:themeColor="text1"/>
          <w:kern w:val="0"/>
          <w:sz w:val="32"/>
        </w:rPr>
        <w:t>确保了省、市、区政法系统视频会议顺利推进。</w:t>
      </w:r>
      <w:r>
        <w:rPr>
          <w:rFonts w:ascii="宋体" w:hAnsi="宋体" w:eastAsia="方正仿宋简体" w:cs="宋体"/>
          <w:color w:val="000000" w:themeColor="text1"/>
          <w:kern w:val="0"/>
          <w:sz w:val="32"/>
        </w:rPr>
        <w:t xml:space="preserve"> </w:t>
      </w:r>
    </w:p>
    <w:p>
      <w:pPr>
        <w:spacing w:line="580" w:lineRule="exact"/>
        <w:ind w:firstLine="640" w:firstLineChars="200"/>
        <w:rPr>
          <w:rFonts w:ascii="仿宋" w:hAnsi="仿宋" w:eastAsia="方正仿宋简体" w:cs="仿宋_GB2312"/>
          <w:color w:val="000000" w:themeColor="text1"/>
          <w:sz w:val="32"/>
          <w:szCs w:val="32"/>
        </w:rPr>
      </w:pPr>
      <w:r>
        <w:rPr>
          <w:rFonts w:ascii="仿宋" w:hAnsi="仿宋" w:eastAsia="方正仿宋简体" w:cs="仿宋_GB2312"/>
          <w:color w:val="000000" w:themeColor="text1"/>
          <w:sz w:val="32"/>
          <w:szCs w:val="32"/>
        </w:rPr>
        <w:t>2、项目管理</w:t>
      </w:r>
    </w:p>
    <w:p>
      <w:pPr>
        <w:widowControl/>
        <w:spacing w:line="360" w:lineRule="atLeast"/>
        <w:ind w:firstLine="480"/>
        <w:jc w:val="left"/>
        <w:rPr>
          <w:rFonts w:ascii="仿宋" w:hAnsi="仿宋" w:eastAsia="方正仿宋简体" w:cs="宋体"/>
          <w:color w:val="000000" w:themeColor="text1"/>
          <w:kern w:val="0"/>
          <w:sz w:val="32"/>
          <w:szCs w:val="21"/>
        </w:rPr>
      </w:pPr>
      <w:r>
        <w:rPr>
          <w:rFonts w:hint="eastAsia" w:ascii="仿宋" w:hAnsi="仿宋" w:eastAsia="方正仿宋简体" w:cs="宋体"/>
          <w:color w:val="000000" w:themeColor="text1"/>
          <w:kern w:val="0"/>
          <w:sz w:val="32"/>
          <w:szCs w:val="21"/>
        </w:rPr>
        <w:t>政法三级网运行维护安排</w:t>
      </w:r>
      <w:r>
        <w:rPr>
          <w:rFonts w:ascii="仿宋" w:hAnsi="仿宋" w:eastAsia="方正仿宋简体" w:cs="宋体"/>
          <w:color w:val="000000" w:themeColor="text1"/>
          <w:kern w:val="0"/>
          <w:sz w:val="32"/>
          <w:szCs w:val="21"/>
        </w:rPr>
        <w:t>资金</w:t>
      </w:r>
      <w:r>
        <w:rPr>
          <w:rFonts w:hint="eastAsia" w:ascii="仿宋" w:hAnsi="仿宋" w:eastAsia="方正仿宋简体" w:cs="宋体"/>
          <w:color w:val="000000" w:themeColor="text1"/>
          <w:kern w:val="0"/>
          <w:sz w:val="32"/>
          <w:szCs w:val="21"/>
        </w:rPr>
        <w:t>17.00万元，总共支出资金17.00万元。主要用于项目网络运行维护费。</w:t>
      </w:r>
    </w:p>
    <w:p>
      <w:pPr>
        <w:spacing w:line="580" w:lineRule="exact"/>
        <w:ind w:firstLine="640" w:firstLineChars="200"/>
        <w:rPr>
          <w:rFonts w:ascii="仿宋" w:hAnsi="仿宋" w:eastAsia="方正仿宋简体" w:cs="仿宋_GB2312"/>
          <w:color w:val="000000" w:themeColor="text1"/>
          <w:sz w:val="32"/>
          <w:szCs w:val="32"/>
        </w:rPr>
      </w:pPr>
      <w:r>
        <w:rPr>
          <w:rFonts w:ascii="仿宋" w:hAnsi="仿宋" w:eastAsia="方正仿宋简体" w:cs="仿宋_GB2312"/>
          <w:color w:val="000000" w:themeColor="text1"/>
          <w:sz w:val="32"/>
          <w:szCs w:val="32"/>
        </w:rPr>
        <w:t>3、项目绩效</w:t>
      </w:r>
    </w:p>
    <w:p>
      <w:pPr>
        <w:overflowPunct w:val="0"/>
        <w:spacing w:line="550" w:lineRule="exact"/>
        <w:ind w:firstLine="640" w:firstLineChars="200"/>
        <w:rPr>
          <w:rFonts w:hint="eastAsia" w:ascii="方正仿宋简体" w:hAnsi="华文仿宋" w:eastAsia="方正仿宋简体"/>
          <w:color w:val="000000" w:themeColor="text1"/>
          <w:sz w:val="32"/>
          <w:szCs w:val="32"/>
        </w:rPr>
      </w:pPr>
      <w:r>
        <w:rPr>
          <w:rFonts w:hint="eastAsia" w:ascii="仿宋" w:hAnsi="仿宋" w:eastAsia="方正仿宋简体"/>
          <w:color w:val="000000" w:themeColor="text1"/>
          <w:sz w:val="32"/>
          <w:szCs w:val="32"/>
        </w:rPr>
        <w:t>全区政法系统获得国家级表彰5次、省级24次、市级23次，有力地展示了政法工作成效和政法队伍良好形象。</w:t>
      </w:r>
      <w:r>
        <w:rPr>
          <w:rFonts w:hint="eastAsia" w:ascii="方正仿宋简体" w:eastAsia="方正仿宋简体"/>
          <w:color w:val="000000" w:themeColor="text1"/>
          <w:sz w:val="32"/>
          <w:szCs w:val="32"/>
        </w:rPr>
        <w:t>项目区</w:t>
      </w:r>
      <w:r>
        <w:rPr>
          <w:rFonts w:ascii="方正仿宋简体" w:eastAsia="方正仿宋简体"/>
          <w:color w:val="000000" w:themeColor="text1"/>
          <w:sz w:val="32"/>
          <w:szCs w:val="32"/>
        </w:rPr>
        <w:t>群</w:t>
      </w:r>
      <w:r>
        <w:rPr>
          <w:rFonts w:hint="eastAsia" w:ascii="方正仿宋简体" w:eastAsia="方正仿宋简体"/>
          <w:color w:val="000000" w:themeColor="text1"/>
          <w:sz w:val="32"/>
          <w:szCs w:val="32"/>
        </w:rPr>
        <w:t>众满意率达95%。</w:t>
      </w:r>
    </w:p>
    <w:p>
      <w:pPr>
        <w:tabs>
          <w:tab w:val="left" w:pos="312"/>
        </w:tabs>
        <w:spacing w:line="580" w:lineRule="exact"/>
        <w:ind w:firstLine="640" w:firstLineChars="200"/>
        <w:rPr>
          <w:rFonts w:hint="eastAsia" w:ascii="方正仿宋简体" w:hAnsi="仿宋" w:eastAsia="方正仿宋简体" w:cs="仿宋_GB2312"/>
          <w:color w:val="000000" w:themeColor="text1"/>
          <w:sz w:val="32"/>
          <w:szCs w:val="32"/>
        </w:rPr>
      </w:pPr>
      <w:r>
        <w:rPr>
          <w:rFonts w:hint="eastAsia" w:ascii="方正仿宋简体" w:hAnsi="仿宋" w:eastAsia="方正仿宋简体" w:cs="仿宋_GB2312"/>
          <w:color w:val="000000" w:themeColor="text1"/>
          <w:sz w:val="32"/>
          <w:szCs w:val="32"/>
        </w:rPr>
        <w:t>三、存在主要问题。</w:t>
      </w:r>
      <w:r>
        <w:rPr>
          <w:rFonts w:hint="eastAsia" w:ascii="方正仿宋简体" w:hAnsi="仿宋" w:eastAsia="方正仿宋简体" w:cs="方正仿宋简体"/>
          <w:color w:val="000000" w:themeColor="text1"/>
          <w:sz w:val="32"/>
          <w:szCs w:val="32"/>
        </w:rPr>
        <w:t>统筹协调作用发挥不够</w:t>
      </w:r>
      <w:r>
        <w:rPr>
          <w:rFonts w:hint="eastAsia" w:ascii="方正仿宋简体" w:hAnsi="仿宋" w:eastAsia="方正仿宋简体" w:cs="仿宋_GB2312"/>
          <w:color w:val="000000" w:themeColor="text1"/>
          <w:sz w:val="32"/>
          <w:szCs w:val="32"/>
        </w:rPr>
        <w:t>。</w:t>
      </w:r>
    </w:p>
    <w:p>
      <w:pPr>
        <w:spacing w:line="580" w:lineRule="exact"/>
        <w:ind w:firstLine="640" w:firstLineChars="200"/>
        <w:rPr>
          <w:rFonts w:hint="eastAsia" w:ascii="方正仿宋简体" w:eastAsia="方正仿宋简体" w:cs="方正仿宋简体"/>
          <w:color w:val="000000" w:themeColor="text1"/>
          <w:sz w:val="32"/>
          <w:szCs w:val="32"/>
        </w:rPr>
      </w:pPr>
      <w:r>
        <w:rPr>
          <w:rFonts w:hint="eastAsia" w:ascii="方正仿宋简体" w:hAnsi="仿宋" w:eastAsia="方正仿宋简体" w:cs="仿宋_GB2312"/>
          <w:color w:val="000000" w:themeColor="text1"/>
          <w:sz w:val="32"/>
          <w:szCs w:val="32"/>
        </w:rPr>
        <w:t>四、相关措施建议。</w:t>
      </w:r>
      <w:r>
        <w:rPr>
          <w:rFonts w:hint="eastAsia" w:ascii="方正仿宋简体" w:hAnsi="仿宋_GB2312" w:eastAsia="方正仿宋简体" w:cs="仿宋_GB2312"/>
          <w:color w:val="000000" w:themeColor="text1"/>
          <w:sz w:val="32"/>
          <w:szCs w:val="32"/>
        </w:rPr>
        <w:t>下一步改进措施：积极加强区级各部门（乡镇）街道通力协作，全力推进重大项目取得成效。</w:t>
      </w:r>
    </w:p>
    <w:p>
      <w:pPr>
        <w:spacing w:line="580" w:lineRule="exact"/>
        <w:ind w:firstLine="640" w:firstLineChars="200"/>
        <w:rPr>
          <w:rFonts w:hint="eastAsia" w:ascii="方正仿宋简体" w:eastAsia="方正仿宋简体" w:cs="方正仿宋简体"/>
          <w:color w:val="000000" w:themeColor="text1"/>
          <w:sz w:val="32"/>
          <w:szCs w:val="32"/>
        </w:rPr>
      </w:pPr>
    </w:p>
    <w:p>
      <w:pPr>
        <w:tabs>
          <w:tab w:val="left" w:pos="312"/>
        </w:tabs>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w:t>
      </w:r>
    </w:p>
    <w:p>
      <w:pPr>
        <w:spacing w:line="580" w:lineRule="exact"/>
        <w:ind w:firstLine="640" w:firstLineChars="200"/>
        <w:rPr>
          <w:rFonts w:ascii="方正仿宋简体" w:eastAsia="方正仿宋简体" w:cs="方正仿宋简体"/>
          <w:color w:val="000000" w:themeColor="text1"/>
          <w:sz w:val="32"/>
          <w:szCs w:val="32"/>
        </w:rPr>
      </w:pPr>
    </w:p>
    <w:p>
      <w:pPr>
        <w:spacing w:line="580" w:lineRule="exact"/>
        <w:ind w:firstLine="640" w:firstLineChars="200"/>
        <w:rPr>
          <w:rFonts w:ascii="方正仿宋简体" w:eastAsia="方正仿宋简体" w:cs="方正仿宋简体"/>
          <w:color w:val="000000" w:themeColor="text1"/>
          <w:sz w:val="32"/>
          <w:szCs w:val="32"/>
        </w:rPr>
      </w:pPr>
    </w:p>
    <w:p>
      <w:pPr>
        <w:spacing w:line="580" w:lineRule="exact"/>
        <w:ind w:firstLine="640" w:firstLineChars="200"/>
        <w:rPr>
          <w:rStyle w:val="25"/>
          <w:rFonts w:ascii="仿宋" w:hAnsi="仿宋" w:eastAsia="方正仿宋简体" w:cs="仿宋_GB2312"/>
          <w:b w:val="0"/>
          <w:bCs w:val="0"/>
          <w:color w:val="000000" w:themeColor="text1"/>
          <w:sz w:val="32"/>
          <w:szCs w:val="32"/>
        </w:rPr>
      </w:pPr>
    </w:p>
    <w:p>
      <w:pPr>
        <w:spacing w:line="600" w:lineRule="exact"/>
        <w:jc w:val="center"/>
        <w:outlineLvl w:val="0"/>
        <w:rPr>
          <w:rFonts w:ascii="黑体" w:hAnsi="黑体" w:eastAsia="黑体"/>
          <w:color w:val="000000" w:themeColor="text1"/>
          <w:sz w:val="44"/>
          <w:szCs w:val="44"/>
        </w:rPr>
      </w:pPr>
    </w:p>
    <w:p>
      <w:pPr>
        <w:spacing w:line="600" w:lineRule="exact"/>
        <w:jc w:val="center"/>
        <w:outlineLvl w:val="0"/>
        <w:rPr>
          <w:rFonts w:ascii="黑体" w:hAnsi="黑体" w:eastAsia="黑体"/>
          <w:color w:val="000000" w:themeColor="text1"/>
          <w:sz w:val="44"/>
          <w:szCs w:val="44"/>
        </w:rPr>
      </w:pPr>
    </w:p>
    <w:p>
      <w:pPr>
        <w:spacing w:line="600" w:lineRule="exact"/>
        <w:jc w:val="center"/>
        <w:outlineLvl w:val="0"/>
        <w:rPr>
          <w:rFonts w:ascii="黑体" w:hAnsi="黑体" w:eastAsia="黑体"/>
          <w:color w:val="000000" w:themeColor="text1"/>
          <w:sz w:val="44"/>
          <w:szCs w:val="44"/>
        </w:rPr>
      </w:pPr>
    </w:p>
    <w:p>
      <w:pPr>
        <w:spacing w:line="600" w:lineRule="exact"/>
        <w:jc w:val="center"/>
        <w:outlineLvl w:val="0"/>
        <w:rPr>
          <w:rFonts w:ascii="黑体" w:hAnsi="黑体" w:eastAsia="黑体"/>
          <w:color w:val="000000" w:themeColor="text1"/>
          <w:sz w:val="44"/>
          <w:szCs w:val="44"/>
        </w:rPr>
      </w:pPr>
    </w:p>
    <w:p>
      <w:pPr>
        <w:spacing w:line="600" w:lineRule="exact"/>
        <w:jc w:val="center"/>
        <w:outlineLvl w:val="0"/>
        <w:rPr>
          <w:rFonts w:ascii="黑体" w:hAnsi="黑体" w:eastAsia="黑体"/>
          <w:color w:val="000000" w:themeColor="text1"/>
          <w:sz w:val="44"/>
          <w:szCs w:val="44"/>
        </w:rPr>
      </w:pPr>
    </w:p>
    <w:p>
      <w:pPr>
        <w:spacing w:line="600" w:lineRule="exact"/>
        <w:jc w:val="center"/>
        <w:outlineLvl w:val="0"/>
        <w:rPr>
          <w:rFonts w:ascii="黑体" w:hAnsi="黑体" w:eastAsia="黑体"/>
          <w:color w:val="000000" w:themeColor="text1"/>
          <w:sz w:val="44"/>
          <w:szCs w:val="44"/>
        </w:rPr>
      </w:pPr>
    </w:p>
    <w:p>
      <w:pPr>
        <w:spacing w:line="600" w:lineRule="exact"/>
        <w:jc w:val="center"/>
        <w:outlineLvl w:val="0"/>
        <w:rPr>
          <w:rFonts w:ascii="黑体" w:hAnsi="黑体" w:eastAsia="黑体"/>
          <w:color w:val="000000" w:themeColor="text1"/>
          <w:sz w:val="44"/>
          <w:szCs w:val="44"/>
        </w:rPr>
      </w:pPr>
    </w:p>
    <w:p>
      <w:pPr>
        <w:spacing w:line="580" w:lineRule="exact"/>
        <w:rPr>
          <w:rFonts w:ascii="黑体" w:hAnsi="黑体" w:eastAsia="黑体" w:cs="方正小标宋简体"/>
          <w:color w:val="000000" w:themeColor="text1"/>
          <w:sz w:val="44"/>
          <w:szCs w:val="44"/>
        </w:rPr>
      </w:pPr>
    </w:p>
    <w:p>
      <w:pPr>
        <w:spacing w:line="580" w:lineRule="exact"/>
        <w:jc w:val="center"/>
        <w:rPr>
          <w:rFonts w:ascii="黑体" w:hAnsi="黑体" w:eastAsia="黑体" w:cs="方正小标宋简体"/>
          <w:color w:val="000000" w:themeColor="text1"/>
          <w:sz w:val="44"/>
          <w:szCs w:val="44"/>
        </w:rPr>
      </w:pPr>
    </w:p>
    <w:p>
      <w:pPr>
        <w:spacing w:line="580" w:lineRule="exact"/>
        <w:jc w:val="center"/>
        <w:rPr>
          <w:rFonts w:hint="eastAsia" w:ascii="黑体" w:hAnsi="黑体" w:eastAsia="黑体" w:cs="方正小标宋简体"/>
          <w:color w:val="000000" w:themeColor="text1"/>
          <w:sz w:val="44"/>
          <w:szCs w:val="44"/>
        </w:rPr>
      </w:pPr>
    </w:p>
    <w:p>
      <w:pPr>
        <w:spacing w:line="580" w:lineRule="exact"/>
        <w:jc w:val="center"/>
        <w:rPr>
          <w:rFonts w:hint="eastAsia" w:ascii="黑体" w:hAnsi="黑体" w:eastAsia="黑体" w:cs="方正小标宋简体"/>
          <w:color w:val="000000" w:themeColor="text1"/>
          <w:sz w:val="44"/>
          <w:szCs w:val="44"/>
        </w:rPr>
      </w:pPr>
    </w:p>
    <w:p>
      <w:pPr>
        <w:spacing w:line="580" w:lineRule="exact"/>
        <w:jc w:val="center"/>
        <w:rPr>
          <w:rFonts w:hint="eastAsia" w:ascii="黑体" w:hAnsi="黑体" w:eastAsia="黑体" w:cs="方正小标宋简体"/>
          <w:color w:val="000000" w:themeColor="text1"/>
          <w:sz w:val="44"/>
          <w:szCs w:val="44"/>
        </w:rPr>
      </w:pPr>
    </w:p>
    <w:p>
      <w:pPr>
        <w:spacing w:line="580" w:lineRule="exact"/>
        <w:jc w:val="center"/>
        <w:rPr>
          <w:rFonts w:ascii="黑体" w:hAnsi="黑体" w:eastAsia="黑体" w:cs="方正小标宋简体"/>
          <w:color w:val="000000" w:themeColor="text1"/>
          <w:sz w:val="42"/>
          <w:szCs w:val="44"/>
        </w:rPr>
      </w:pPr>
      <w:r>
        <w:rPr>
          <w:rFonts w:hint="eastAsia" w:ascii="黑体" w:hAnsi="黑体" w:eastAsia="黑体" w:cs="方正小标宋简体"/>
          <w:color w:val="000000" w:themeColor="text1"/>
          <w:sz w:val="42"/>
          <w:szCs w:val="44"/>
        </w:rPr>
        <w:t>2018年法学会专项事业项目支出绩效评价报告</w:t>
      </w:r>
    </w:p>
    <w:p>
      <w:pPr>
        <w:spacing w:line="580" w:lineRule="exact"/>
        <w:ind w:firstLine="640" w:firstLineChars="200"/>
        <w:rPr>
          <w:rFonts w:ascii="仿宋_GB2312" w:hAnsi="仿宋_GB2312" w:eastAsia="仿宋_GB2312" w:cs="仿宋_GB2312"/>
          <w:color w:val="000000" w:themeColor="text1"/>
          <w:sz w:val="32"/>
          <w:szCs w:val="32"/>
        </w:rPr>
      </w:pPr>
    </w:p>
    <w:p>
      <w:pPr>
        <w:spacing w:line="580" w:lineRule="exact"/>
        <w:ind w:firstLine="640" w:firstLineChars="200"/>
        <w:rPr>
          <w:rFonts w:hint="eastAsia" w:ascii="方正黑体简体" w:hAnsi="仿宋" w:eastAsia="方正黑体简体" w:cs="仿宋_GB2312"/>
          <w:color w:val="000000" w:themeColor="text1"/>
          <w:sz w:val="32"/>
          <w:szCs w:val="32"/>
        </w:rPr>
      </w:pPr>
      <w:r>
        <w:rPr>
          <w:rFonts w:hint="eastAsia" w:ascii="方正黑体简体" w:hAnsi="仿宋" w:eastAsia="方正黑体简体" w:cs="仿宋_GB2312"/>
          <w:color w:val="000000" w:themeColor="text1"/>
          <w:sz w:val="32"/>
          <w:szCs w:val="32"/>
        </w:rPr>
        <w:t>一、评价工作开展及项目情况</w:t>
      </w:r>
    </w:p>
    <w:p>
      <w:pPr>
        <w:widowControl/>
        <w:spacing w:line="384" w:lineRule="atLeast"/>
        <w:ind w:firstLine="640" w:firstLineChars="200"/>
        <w:rPr>
          <w:rFonts w:hint="eastAsia" w:ascii="方正仿宋简体" w:hAnsi="宋体" w:eastAsia="方正仿宋简体" w:cs="宋体"/>
          <w:color w:val="000000" w:themeColor="text1"/>
          <w:kern w:val="0"/>
          <w:sz w:val="32"/>
          <w:szCs w:val="32"/>
        </w:rPr>
      </w:pPr>
      <w:r>
        <w:rPr>
          <w:rFonts w:hint="eastAsia" w:ascii="方正仿宋简体" w:hAnsi="宋体" w:eastAsia="方正仿宋简体" w:cs="宋体"/>
          <w:color w:val="000000" w:themeColor="text1"/>
          <w:kern w:val="0"/>
          <w:sz w:val="32"/>
          <w:szCs w:val="32"/>
        </w:rPr>
        <w:t>贯彻《中共中央关于加强和改进党的群团工作的意见》精神，上级领导部门要定期听取工作汇报，帮助解决工作中的困难和问题，把法学会工作与政法各项工作同部署、同检查、同考核、同落实。法学会主要负责人参加或列席党委、政府有关会议。</w:t>
      </w:r>
    </w:p>
    <w:p>
      <w:pPr>
        <w:spacing w:line="580" w:lineRule="exact"/>
        <w:ind w:firstLine="640" w:firstLineChars="200"/>
        <w:rPr>
          <w:rFonts w:hint="eastAsia" w:ascii="方正黑体简体" w:hAnsi="仿宋" w:eastAsia="方正黑体简体" w:cs="仿宋_GB2312"/>
          <w:color w:val="000000" w:themeColor="text1"/>
          <w:sz w:val="32"/>
          <w:szCs w:val="32"/>
        </w:rPr>
      </w:pPr>
      <w:r>
        <w:rPr>
          <w:rFonts w:hint="eastAsia" w:ascii="方正黑体简体" w:hAnsi="仿宋" w:eastAsia="方正黑体简体" w:cs="仿宋_GB2312"/>
          <w:color w:val="000000" w:themeColor="text1"/>
          <w:sz w:val="32"/>
          <w:szCs w:val="32"/>
        </w:rPr>
        <w:t>二、评价结论及绩效分析</w:t>
      </w:r>
    </w:p>
    <w:p>
      <w:pPr>
        <w:spacing w:line="580" w:lineRule="exact"/>
        <w:ind w:firstLine="640" w:firstLineChars="200"/>
        <w:rPr>
          <w:rFonts w:hint="eastAsia" w:ascii="方正仿宋简体" w:hAnsi="仿宋" w:eastAsia="方正仿宋简体" w:cs="仿宋_GB2312"/>
          <w:color w:val="000000" w:themeColor="text1"/>
          <w:sz w:val="32"/>
          <w:szCs w:val="32"/>
        </w:rPr>
      </w:pPr>
      <w:r>
        <w:rPr>
          <w:rFonts w:hint="eastAsia" w:ascii="方正仿宋简体" w:hAnsi="仿宋" w:eastAsia="方正仿宋简体" w:cs="仿宋_GB2312"/>
          <w:color w:val="000000" w:themeColor="text1"/>
          <w:sz w:val="32"/>
          <w:szCs w:val="32"/>
        </w:rPr>
        <w:t>（一）评价结论</w:t>
      </w:r>
    </w:p>
    <w:p>
      <w:pPr>
        <w:widowControl/>
        <w:spacing w:line="360" w:lineRule="atLeast"/>
        <w:ind w:firstLine="480" w:firstLineChars="150"/>
        <w:jc w:val="left"/>
        <w:rPr>
          <w:rFonts w:hint="eastAsia"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总体上看，该项目决策依据充分，资金到位及时，项目管理规范，项目绩效评价得分为97分。</w:t>
      </w:r>
    </w:p>
    <w:p>
      <w:pPr>
        <w:widowControl/>
        <w:spacing w:line="360" w:lineRule="atLeast"/>
        <w:ind w:firstLine="1280" w:firstLineChars="400"/>
        <w:jc w:val="left"/>
        <w:rPr>
          <w:rFonts w:hint="eastAsia"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精准扶贫项目支出绩效评价指标体系</w:t>
      </w:r>
    </w:p>
    <w:p>
      <w:pPr>
        <w:widowControl/>
        <w:spacing w:line="360" w:lineRule="atLeast"/>
        <w:ind w:firstLine="480"/>
        <w:jc w:val="left"/>
        <w:rPr>
          <w:rFonts w:hint="eastAsia" w:ascii="方正仿宋简体" w:hAnsi="宋体" w:eastAsia="方正仿宋简体" w:cs="宋体"/>
          <w:color w:val="000000" w:themeColor="text1"/>
          <w:kern w:val="0"/>
          <w:szCs w:val="21"/>
        </w:rPr>
      </w:pPr>
      <w:r>
        <w:rPr>
          <w:rFonts w:hint="eastAsia" w:ascii="宋体" w:hAnsi="宋体" w:eastAsia="方正仿宋简体" w:cs="宋体"/>
          <w:color w:val="000000" w:themeColor="text1"/>
          <w:kern w:val="0"/>
          <w:szCs w:val="21"/>
        </w:rPr>
        <w:t> </w:t>
      </w:r>
      <w:r>
        <w:rPr>
          <w:rFonts w:hint="eastAsia" w:ascii="方正仿宋简体" w:hAnsi="宋体" w:eastAsia="方正仿宋简体" w:cs="宋体"/>
          <w:color w:val="000000" w:themeColor="text1"/>
          <w:kern w:val="0"/>
          <w:szCs w:val="21"/>
        </w:rPr>
        <w:t>填报日期：2019.8.29</w:t>
      </w:r>
    </w:p>
    <w:tbl>
      <w:tblPr>
        <w:tblStyle w:val="13"/>
        <w:tblW w:w="8874"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
      <w:tblGrid>
        <w:gridCol w:w="487"/>
        <w:gridCol w:w="489"/>
        <w:gridCol w:w="588"/>
        <w:gridCol w:w="257"/>
        <w:gridCol w:w="1908"/>
        <w:gridCol w:w="564"/>
        <w:gridCol w:w="1089"/>
        <w:gridCol w:w="1089"/>
        <w:gridCol w:w="1194"/>
        <w:gridCol w:w="660"/>
        <w:gridCol w:w="292"/>
        <w:gridCol w:w="25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487"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一级</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指标</w:t>
            </w:r>
          </w:p>
        </w:tc>
        <w:tc>
          <w:tcPr>
            <w:tcW w:w="489"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二级</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指标</w:t>
            </w:r>
          </w:p>
        </w:tc>
        <w:tc>
          <w:tcPr>
            <w:tcW w:w="588"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三级</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指标</w:t>
            </w:r>
          </w:p>
        </w:tc>
        <w:tc>
          <w:tcPr>
            <w:tcW w:w="257"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分值</w:t>
            </w:r>
          </w:p>
        </w:tc>
        <w:tc>
          <w:tcPr>
            <w:tcW w:w="1908"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指标评价内容</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（公式结果=x）</w:t>
            </w:r>
          </w:p>
        </w:tc>
        <w:tc>
          <w:tcPr>
            <w:tcW w:w="4596" w:type="dxa"/>
            <w:gridSpan w:val="5"/>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评分标准</w:t>
            </w:r>
          </w:p>
        </w:tc>
        <w:tc>
          <w:tcPr>
            <w:tcW w:w="292"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评价得分</w:t>
            </w:r>
          </w:p>
        </w:tc>
        <w:tc>
          <w:tcPr>
            <w:tcW w:w="257"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blHeader/>
          <w:jc w:val="center"/>
        </w:trPr>
        <w:tc>
          <w:tcPr>
            <w:tcW w:w="487"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88"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257"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908"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差</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较差</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一般</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较好</w:t>
            </w: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好</w:t>
            </w:r>
          </w:p>
        </w:tc>
        <w:tc>
          <w:tcPr>
            <w:tcW w:w="292"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257"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123" w:hRule="atLeast"/>
          <w:jc w:val="center"/>
        </w:trPr>
        <w:tc>
          <w:tcPr>
            <w:tcW w:w="487"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决策</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（20分）</w:t>
            </w:r>
          </w:p>
        </w:tc>
        <w:tc>
          <w:tcPr>
            <w:tcW w:w="489"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科学</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决策</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（10分）</w:t>
            </w: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必要性</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90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项目符合党中央、国务院和</w:t>
            </w:r>
            <w:r>
              <w:rPr>
                <w:rFonts w:hint="eastAsia" w:cs="宋体" w:asciiTheme="minorEastAsia" w:hAnsiTheme="minorEastAsia" w:eastAsiaTheme="minorEastAsia"/>
                <w:color w:val="000000" w:themeColor="text1"/>
                <w:kern w:val="0"/>
                <w:szCs w:val="21"/>
                <w:lang w:eastAsia="zh-CN"/>
              </w:rPr>
              <w:t>县委、县政府</w:t>
            </w:r>
            <w:r>
              <w:rPr>
                <w:rFonts w:cs="宋体" w:asciiTheme="minorEastAsia" w:hAnsiTheme="minorEastAsia" w:eastAsiaTheme="minorEastAsia"/>
                <w:color w:val="000000" w:themeColor="text1"/>
                <w:kern w:val="0"/>
                <w:szCs w:val="21"/>
              </w:rPr>
              <w:t>决策部署；符合当前经济社会发展需要，政策和实际需求的吻合程度</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不符合</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符合</w:t>
            </w: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1358" w:hRule="atLeast"/>
          <w:jc w:val="center"/>
        </w:trPr>
        <w:tc>
          <w:tcPr>
            <w:tcW w:w="487" w:type="dxa"/>
            <w:vMerge w:val="continue"/>
            <w:tcBorders>
              <w:top w:val="single" w:color="auto" w:sz="6" w:space="0"/>
              <w:left w:val="single" w:color="auto" w:sz="6" w:space="0"/>
              <w:bottom w:val="single" w:color="auto" w:sz="4"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可行性</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90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可行性论证充分，规划、管理办法、指导意见等制度是否健全完善</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不符合</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符合</w:t>
            </w: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355" w:hRule="atLeast"/>
          <w:jc w:val="center"/>
        </w:trPr>
        <w:tc>
          <w:tcPr>
            <w:tcW w:w="487" w:type="dxa"/>
            <w:vMerge w:val="restart"/>
            <w:tcBorders>
              <w:top w:val="single" w:color="auto" w:sz="4"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决策</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（20分）</w:t>
            </w:r>
          </w:p>
        </w:tc>
        <w:tc>
          <w:tcPr>
            <w:tcW w:w="4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绩效</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目标</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（10分）</w:t>
            </w: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明确性</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90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项目预期提供的产品、服务、效益或其他目标明确细化、可衡量（绩效目标实际明确数/应当明确个数×100%）</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x=0%</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0%&lt;x&lt;30%</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30%≤x&lt;60%</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60%≤x&lt;100%</w:t>
            </w: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x=100%</w:t>
            </w: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4</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643" w:hRule="atLeast"/>
          <w:jc w:val="center"/>
        </w:trPr>
        <w:tc>
          <w:tcPr>
            <w:tcW w:w="487"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绩效</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目标</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（10分）</w:t>
            </w: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合理性</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90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绩效目标设定符合实际需求，合理可行（绩效目标设定符合实际需求的抽样项目点个数/抽样项目点总数×100%）</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x&lt;70%</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70%≤x&lt;90%</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80%≤x&lt;90%</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90%≤x&lt;100%</w:t>
            </w: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x=100%</w:t>
            </w: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937" w:hRule="atLeast"/>
          <w:jc w:val="center"/>
        </w:trPr>
        <w:tc>
          <w:tcPr>
            <w:tcW w:w="487"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管理</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（10分）</w:t>
            </w:r>
          </w:p>
        </w:tc>
        <w:tc>
          <w:tcPr>
            <w:tcW w:w="489"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资金</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管理</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（7分）</w:t>
            </w: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资金分配</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3</w:t>
            </w:r>
          </w:p>
        </w:tc>
        <w:tc>
          <w:tcPr>
            <w:tcW w:w="190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资金分配管理是否科学合理、规范有序；是否体现突出重点或公平性，符合财政资金改革方向</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不符合</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一般</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符合</w:t>
            </w: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3</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1300" w:hRule="atLeast"/>
          <w:jc w:val="center"/>
        </w:trPr>
        <w:tc>
          <w:tcPr>
            <w:tcW w:w="487"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资金使用</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4</w:t>
            </w:r>
          </w:p>
        </w:tc>
        <w:tc>
          <w:tcPr>
            <w:tcW w:w="190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资金使用规范（规范使用资金/资金总额×100%）</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x&lt;70%</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70%≤x&lt;90%</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80%≤x&lt;90%</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90%≤x&lt;100%</w:t>
            </w: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x=100%</w:t>
            </w: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4</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1801" w:hRule="atLeast"/>
          <w:jc w:val="center"/>
        </w:trPr>
        <w:tc>
          <w:tcPr>
            <w:tcW w:w="487"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执行</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（3分）</w:t>
            </w: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执行规范</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3</w:t>
            </w:r>
          </w:p>
        </w:tc>
        <w:tc>
          <w:tcPr>
            <w:tcW w:w="190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管理制度健全，管理过程科学规范</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不严格</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较严格</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严格</w:t>
            </w: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3</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87" w:type="dxa"/>
            <w:vMerge w:val="restart"/>
            <w:tcBorders>
              <w:top w:val="single" w:color="auto" w:sz="6" w:space="0"/>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绩效</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（特性</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指标</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70分）</w:t>
            </w:r>
          </w:p>
        </w:tc>
        <w:tc>
          <w:tcPr>
            <w:tcW w:w="489"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完成</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（20分）</w:t>
            </w: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完成数量</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90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实际完成任务量/绩效目标设定任务量×100%</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x＜85%</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85%≤x＜90%</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90%≤x＜95%</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95%≤x＜100%</w:t>
            </w: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x=100%</w:t>
            </w: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257"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87"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完成质量</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90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符合绩效目标设定的验收标准，达到行业基准水平</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不符合</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符合</w:t>
            </w: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257"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87"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完成时效</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90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（实际完成时间-绩效目标设定完成时间）/绩效目标设定完成时间×100%</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x＞15%</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15%≥x＞10%</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10%≥x＞5%</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5%≥x＞0</w:t>
            </w: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x≤0</w:t>
            </w: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257"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87"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完成成本</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190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（实际完成成本-预计完成成本）/预计完成成本×100%</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x＞15%</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15%≥x＞10%</w:t>
            </w: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10%≥x＞5%</w:t>
            </w: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5%≥x＞0</w:t>
            </w: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x≤0</w:t>
            </w: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5</w:t>
            </w:r>
          </w:p>
        </w:tc>
        <w:tc>
          <w:tcPr>
            <w:tcW w:w="257"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1820" w:hRule="atLeast"/>
          <w:jc w:val="center"/>
        </w:trPr>
        <w:tc>
          <w:tcPr>
            <w:tcW w:w="487"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restart"/>
            <w:tcBorders>
              <w:top w:val="single" w:color="auto" w:sz="6" w:space="0"/>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效益</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（50分）</w:t>
            </w: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经济效益</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（可选项）</w:t>
            </w:r>
          </w:p>
        </w:tc>
        <w:tc>
          <w:tcPr>
            <w:tcW w:w="257" w:type="dxa"/>
            <w:vMerge w:val="restart"/>
            <w:tcBorders>
              <w:top w:val="single" w:color="auto" w:sz="6" w:space="0"/>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40</w:t>
            </w:r>
          </w:p>
        </w:tc>
        <w:tc>
          <w:tcPr>
            <w:tcW w:w="190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反映相关产出对经社会发展带来的影响和效果，重点考核税收、投入产出、回报等情况的指标</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10</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2040" w:hRule="atLeast"/>
          <w:jc w:val="center"/>
        </w:trPr>
        <w:tc>
          <w:tcPr>
            <w:tcW w:w="487"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社会效益</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（可选项）</w:t>
            </w:r>
          </w:p>
        </w:tc>
        <w:tc>
          <w:tcPr>
            <w:tcW w:w="257"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90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反映相关产出对社会发展带来的影响和效果，重点考核撬动地方经济、就业（包括就业人数）等情况的指标</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10</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1416" w:hRule="atLeast"/>
          <w:jc w:val="center"/>
        </w:trPr>
        <w:tc>
          <w:tcPr>
            <w:tcW w:w="487"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生态效益</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（可选项）</w:t>
            </w:r>
          </w:p>
        </w:tc>
        <w:tc>
          <w:tcPr>
            <w:tcW w:w="257"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90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反映相关产出对自然环境带来的影响和效果</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1533" w:hRule="atLeast"/>
          <w:jc w:val="center"/>
        </w:trPr>
        <w:tc>
          <w:tcPr>
            <w:tcW w:w="487" w:type="dxa"/>
            <w:vMerge w:val="continue"/>
            <w:tcBorders>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continue"/>
            <w:tcBorders>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可持续效益（可选项）</w:t>
            </w:r>
          </w:p>
        </w:tc>
        <w:tc>
          <w:tcPr>
            <w:tcW w:w="257" w:type="dxa"/>
            <w:vMerge w:val="continue"/>
            <w:tcBorders>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90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反映相关产出带来影响的可持续期限</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87" w:type="dxa"/>
            <w:vMerge w:val="restart"/>
            <w:tcBorders>
              <w:top w:val="single" w:color="auto" w:sz="6" w:space="0"/>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绩效</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（特性</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指标</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70分）</w:t>
            </w:r>
          </w:p>
        </w:tc>
        <w:tc>
          <w:tcPr>
            <w:tcW w:w="489" w:type="dxa"/>
            <w:vMerge w:val="restart"/>
            <w:tcBorders>
              <w:top w:val="single" w:color="auto" w:sz="6" w:space="0"/>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项目</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效益</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（50分）</w:t>
            </w: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公平效率</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（可选项）</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90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主要反映资金使用者是否获公平竞争的机会，以及民生类项目中受益群体是否应覆盖全覆盖，覆盖率是衡量指标。重点考核覆盖率、知晓率等指标</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10</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87"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continue"/>
            <w:tcBorders>
              <w:left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使用效率</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（可选项）</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90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重点考核使用率等指标</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10</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487" w:type="dxa"/>
            <w:vMerge w:val="continue"/>
            <w:tcBorders>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489" w:type="dxa"/>
            <w:vMerge w:val="continue"/>
            <w:tcBorders>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58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服务对象</w:t>
            </w:r>
            <w:r>
              <w:rPr>
                <w:rFonts w:cs="宋体"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满意度</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10</w:t>
            </w:r>
          </w:p>
        </w:tc>
        <w:tc>
          <w:tcPr>
            <w:tcW w:w="1908"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反映服务对象或项目受益人对相关产出及其影响的认可程度，重点考核受益群体和社会对项目的满意率等指标</w:t>
            </w:r>
          </w:p>
        </w:tc>
        <w:tc>
          <w:tcPr>
            <w:tcW w:w="56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08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119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6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Theme="minorEastAsia" w:hAnsiTheme="minorEastAsia" w:eastAsiaTheme="minorEastAsia"/>
                <w:color w:val="000000" w:themeColor="text1"/>
                <w:kern w:val="0"/>
                <w:szCs w:val="21"/>
              </w:rPr>
            </w:pP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8</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729" w:type="dxa"/>
            <w:gridSpan w:val="5"/>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合  计</w:t>
            </w:r>
          </w:p>
        </w:tc>
        <w:tc>
          <w:tcPr>
            <w:tcW w:w="4596" w:type="dxa"/>
            <w:gridSpan w:val="5"/>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c>
          <w:tcPr>
            <w:tcW w:w="292"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97</w:t>
            </w:r>
          </w:p>
        </w:tc>
        <w:tc>
          <w:tcPr>
            <w:tcW w:w="257"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color w:val="000000" w:themeColor="text1"/>
                <w:kern w:val="0"/>
                <w:szCs w:val="21"/>
              </w:rPr>
            </w:pPr>
          </w:p>
        </w:tc>
      </w:tr>
    </w:tbl>
    <w:p>
      <w:pPr>
        <w:widowControl/>
        <w:spacing w:line="576" w:lineRule="exact"/>
        <w:ind w:firstLine="1280" w:firstLineChars="400"/>
        <w:jc w:val="left"/>
        <w:rPr>
          <w:rFonts w:ascii="仿宋" w:hAnsi="仿宋" w:eastAsia="方正仿宋简体" w:cs="宋体"/>
          <w:color w:val="000000" w:themeColor="text1"/>
          <w:kern w:val="0"/>
          <w:sz w:val="32"/>
          <w:szCs w:val="32"/>
        </w:rPr>
      </w:pPr>
    </w:p>
    <w:p>
      <w:pPr>
        <w:spacing w:line="576" w:lineRule="exact"/>
        <w:ind w:firstLine="640" w:firstLineChars="200"/>
        <w:rPr>
          <w:rFonts w:hint="eastAsia" w:ascii="方正仿宋简体" w:hAnsi="仿宋" w:eastAsia="方正仿宋简体" w:cs="仿宋_GB2312"/>
          <w:color w:val="000000" w:themeColor="text1"/>
          <w:sz w:val="32"/>
          <w:szCs w:val="32"/>
        </w:rPr>
      </w:pPr>
      <w:r>
        <w:rPr>
          <w:rFonts w:hint="eastAsia" w:ascii="方正仿宋简体" w:hAnsi="仿宋" w:eastAsia="方正仿宋简体" w:cs="仿宋_GB2312"/>
          <w:color w:val="000000" w:themeColor="text1"/>
          <w:sz w:val="32"/>
          <w:szCs w:val="32"/>
        </w:rPr>
        <w:t>（二）绩效分析</w:t>
      </w:r>
    </w:p>
    <w:p>
      <w:pPr>
        <w:spacing w:line="576" w:lineRule="exact"/>
        <w:ind w:firstLine="640" w:firstLineChars="200"/>
        <w:rPr>
          <w:rFonts w:hint="eastAsia" w:ascii="方正仿宋简体" w:eastAsia="方正仿宋简体" w:hAnsiTheme="minorEastAsia"/>
          <w:color w:val="000000" w:themeColor="text1"/>
          <w:sz w:val="32"/>
          <w:szCs w:val="32"/>
        </w:rPr>
      </w:pPr>
      <w:r>
        <w:rPr>
          <w:rFonts w:hint="eastAsia" w:ascii="方正仿宋简体" w:hAnsi="仿宋" w:eastAsia="方正仿宋简体" w:cs="仿宋_GB2312"/>
          <w:color w:val="000000" w:themeColor="text1"/>
          <w:sz w:val="32"/>
          <w:szCs w:val="32"/>
        </w:rPr>
        <w:t>1、项目决策。通过法学会专项事业项目开展，</w:t>
      </w:r>
      <w:r>
        <w:rPr>
          <w:rFonts w:hint="eastAsia" w:ascii="方正仿宋简体" w:eastAsia="方正仿宋简体" w:cs="仿宋_GB2312" w:hAnsiTheme="minorEastAsia"/>
          <w:color w:val="000000" w:themeColor="text1"/>
          <w:sz w:val="32"/>
          <w:szCs w:val="32"/>
        </w:rPr>
        <w:t>深入推进区法学会“实体化”“实战化”运行，深化法律政策研究，围绕服务保障“三大攻坚战”、核心区建设、民营经济发展、乡村振兴法治保障开展深入研究，形成一批既有思想性、理论性，又有针对性、指导性的法学研究成果。</w:t>
      </w:r>
    </w:p>
    <w:p>
      <w:pPr>
        <w:spacing w:line="576" w:lineRule="exact"/>
        <w:ind w:firstLine="640" w:firstLineChars="200"/>
        <w:rPr>
          <w:rFonts w:hint="eastAsia" w:ascii="方正仿宋简体" w:hAnsi="仿宋" w:eastAsia="方正仿宋简体" w:cs="仿宋_GB2312"/>
          <w:color w:val="000000" w:themeColor="text1"/>
          <w:sz w:val="32"/>
          <w:szCs w:val="32"/>
        </w:rPr>
      </w:pPr>
      <w:r>
        <w:rPr>
          <w:rFonts w:hint="eastAsia" w:ascii="方正仿宋简体" w:hAnsi="仿宋" w:eastAsia="方正仿宋简体" w:cs="仿宋_GB2312"/>
          <w:color w:val="000000" w:themeColor="text1"/>
          <w:sz w:val="32"/>
          <w:szCs w:val="32"/>
        </w:rPr>
        <w:t>2、项目管理</w:t>
      </w:r>
    </w:p>
    <w:p>
      <w:pPr>
        <w:widowControl/>
        <w:spacing w:line="576" w:lineRule="exact"/>
        <w:ind w:firstLine="480"/>
        <w:rPr>
          <w:rFonts w:hint="eastAsia" w:ascii="方正仿宋简体" w:hAnsi="仿宋" w:eastAsia="方正仿宋简体" w:cs="宋体"/>
          <w:color w:val="000000" w:themeColor="text1"/>
          <w:kern w:val="0"/>
          <w:sz w:val="32"/>
          <w:szCs w:val="21"/>
        </w:rPr>
      </w:pPr>
      <w:r>
        <w:rPr>
          <w:rFonts w:hint="eastAsia" w:ascii="方正仿宋简体" w:hAnsi="仿宋" w:eastAsia="方正仿宋简体" w:cs="仿宋_GB2312"/>
          <w:color w:val="000000" w:themeColor="text1"/>
          <w:sz w:val="32"/>
          <w:szCs w:val="32"/>
        </w:rPr>
        <w:t>法学会专项事业项目</w:t>
      </w:r>
      <w:r>
        <w:rPr>
          <w:rFonts w:hint="eastAsia" w:ascii="方正仿宋简体" w:hAnsi="仿宋" w:eastAsia="方正仿宋简体" w:cs="宋体"/>
          <w:color w:val="000000" w:themeColor="text1"/>
          <w:kern w:val="0"/>
          <w:sz w:val="32"/>
          <w:szCs w:val="21"/>
        </w:rPr>
        <w:t>安排资金3万元，总共支出资金3万元。主要用于法学会专项工作差旅费、打印费、会议费、培训费等。</w:t>
      </w:r>
    </w:p>
    <w:p>
      <w:pPr>
        <w:spacing w:line="576" w:lineRule="exact"/>
        <w:ind w:firstLine="640" w:firstLineChars="200"/>
        <w:rPr>
          <w:rFonts w:hint="eastAsia" w:ascii="方正仿宋简体" w:hAnsi="仿宋" w:eastAsia="方正仿宋简体" w:cs="仿宋_GB2312"/>
          <w:color w:val="000000" w:themeColor="text1"/>
          <w:sz w:val="32"/>
          <w:szCs w:val="32"/>
        </w:rPr>
      </w:pPr>
      <w:r>
        <w:rPr>
          <w:rFonts w:hint="eastAsia" w:ascii="方正仿宋简体" w:hAnsi="仿宋" w:eastAsia="方正仿宋简体" w:cs="仿宋_GB2312"/>
          <w:color w:val="000000" w:themeColor="text1"/>
          <w:sz w:val="32"/>
          <w:szCs w:val="32"/>
        </w:rPr>
        <w:t>3、项目绩效</w:t>
      </w:r>
    </w:p>
    <w:p>
      <w:pPr>
        <w:spacing w:line="576" w:lineRule="exact"/>
        <w:ind w:firstLine="640" w:firstLineChars="200"/>
        <w:rPr>
          <w:rFonts w:hint="eastAsia" w:ascii="方正仿宋简体" w:eastAsia="方正仿宋简体" w:cs="方正仿宋简体"/>
          <w:color w:val="000000" w:themeColor="text1"/>
          <w:sz w:val="32"/>
          <w:szCs w:val="32"/>
        </w:rPr>
      </w:pPr>
      <w:r>
        <w:rPr>
          <w:rFonts w:hint="eastAsia" w:ascii="方正仿宋简体" w:eastAsia="方正仿宋简体" w:cs="方正仿宋简体"/>
          <w:color w:val="000000" w:themeColor="text1"/>
          <w:sz w:val="32"/>
          <w:szCs w:val="32"/>
        </w:rPr>
        <w:t>组织利州区法学工作者、法律工作者学习和贯彻党的基本理论、路线 、纲领，提高政治素质和业务素质，深入实际进行调查研究，反映新情况，研究新问题，加强信息交流和传播；开展同各省、各地区和国际组织间的学术交流与合作，为我区矛盾纠纷化解提供法律支持。</w:t>
      </w:r>
      <w:r>
        <w:rPr>
          <w:rFonts w:hint="eastAsia" w:ascii="方正仿宋简体" w:eastAsia="方正仿宋简体"/>
          <w:color w:val="000000" w:themeColor="text1"/>
          <w:sz w:val="32"/>
          <w:szCs w:val="32"/>
        </w:rPr>
        <w:t>满意率达100%。</w:t>
      </w:r>
    </w:p>
    <w:p>
      <w:pPr>
        <w:tabs>
          <w:tab w:val="left" w:pos="312"/>
        </w:tabs>
        <w:spacing w:line="576" w:lineRule="exact"/>
        <w:ind w:firstLine="640" w:firstLineChars="200"/>
        <w:rPr>
          <w:rFonts w:hint="eastAsia" w:ascii="方正仿宋简体" w:hAnsi="仿宋_GB2312" w:eastAsia="方正仿宋简体" w:cs="仿宋_GB2312"/>
          <w:color w:val="000000" w:themeColor="text1"/>
          <w:sz w:val="32"/>
          <w:szCs w:val="32"/>
        </w:rPr>
      </w:pPr>
      <w:r>
        <w:rPr>
          <w:rFonts w:hint="eastAsia" w:ascii="方正仿宋简体" w:hAnsi="仿宋" w:eastAsia="方正仿宋简体" w:cs="仿宋_GB2312"/>
          <w:color w:val="000000" w:themeColor="text1"/>
          <w:sz w:val="32"/>
          <w:szCs w:val="32"/>
        </w:rPr>
        <w:t>三、存在主要问题。</w:t>
      </w:r>
      <w:r>
        <w:rPr>
          <w:rFonts w:hint="eastAsia" w:ascii="方正仿宋简体" w:hAnsi="仿宋_GB2312" w:eastAsia="方正仿宋简体" w:cs="仿宋_GB2312"/>
          <w:color w:val="000000" w:themeColor="text1"/>
          <w:sz w:val="32"/>
          <w:szCs w:val="32"/>
        </w:rPr>
        <w:t>工作任务重，资金紧张。</w:t>
      </w:r>
    </w:p>
    <w:p>
      <w:pPr>
        <w:spacing w:line="576" w:lineRule="exact"/>
        <w:ind w:firstLine="640" w:firstLineChars="200"/>
        <w:rPr>
          <w:rFonts w:hint="eastAsia" w:ascii="方正仿宋简体" w:eastAsia="方正仿宋简体" w:cs="方正仿宋简体"/>
          <w:color w:val="000000" w:themeColor="text1"/>
          <w:sz w:val="32"/>
          <w:szCs w:val="32"/>
        </w:rPr>
      </w:pPr>
      <w:r>
        <w:rPr>
          <w:rFonts w:hint="eastAsia" w:ascii="方正仿宋简体" w:hAnsi="仿宋" w:eastAsia="方正仿宋简体" w:cs="仿宋_GB2312"/>
          <w:color w:val="000000" w:themeColor="text1"/>
          <w:sz w:val="32"/>
          <w:szCs w:val="32"/>
        </w:rPr>
        <w:t>四、相关措施建议。</w:t>
      </w:r>
      <w:r>
        <w:rPr>
          <w:rFonts w:hint="eastAsia" w:ascii="方正仿宋简体" w:hAnsi="仿宋_GB2312" w:eastAsia="方正仿宋简体" w:cs="仿宋_GB2312"/>
          <w:color w:val="000000" w:themeColor="text1"/>
          <w:sz w:val="32"/>
          <w:szCs w:val="32"/>
        </w:rPr>
        <w:t>加大资金投入</w:t>
      </w:r>
      <w:r>
        <w:rPr>
          <w:rFonts w:hint="eastAsia" w:ascii="方正仿宋简体" w:eastAsia="方正仿宋简体" w:cs="方正仿宋简体"/>
          <w:color w:val="000000" w:themeColor="text1"/>
          <w:sz w:val="32"/>
          <w:szCs w:val="32"/>
        </w:rPr>
        <w:t>。</w:t>
      </w:r>
    </w:p>
    <w:p>
      <w:pPr>
        <w:spacing w:line="576" w:lineRule="exact"/>
        <w:ind w:firstLine="640" w:firstLineChars="200"/>
        <w:rPr>
          <w:rFonts w:hint="eastAsia" w:ascii="方正仿宋简体" w:eastAsia="方正仿宋简体" w:cs="方正仿宋简体"/>
          <w:color w:val="000000" w:themeColor="text1"/>
          <w:sz w:val="32"/>
          <w:szCs w:val="32"/>
        </w:rPr>
      </w:pPr>
    </w:p>
    <w:p>
      <w:pPr>
        <w:spacing w:line="600" w:lineRule="exact"/>
        <w:jc w:val="center"/>
        <w:outlineLvl w:val="0"/>
        <w:rPr>
          <w:rFonts w:ascii="黑体" w:hAnsi="黑体" w:eastAsia="黑体"/>
          <w:color w:val="000000" w:themeColor="text1"/>
          <w:sz w:val="44"/>
          <w:szCs w:val="44"/>
        </w:rPr>
      </w:pPr>
    </w:p>
    <w:p>
      <w:pPr>
        <w:spacing w:line="600" w:lineRule="exact"/>
        <w:jc w:val="center"/>
        <w:outlineLvl w:val="0"/>
        <w:rPr>
          <w:rFonts w:ascii="黑体" w:hAnsi="黑体" w:eastAsia="黑体"/>
          <w:color w:val="000000" w:themeColor="text1"/>
          <w:sz w:val="44"/>
          <w:szCs w:val="44"/>
        </w:rPr>
      </w:pPr>
    </w:p>
    <w:p>
      <w:pPr>
        <w:spacing w:line="500" w:lineRule="exact"/>
        <w:jc w:val="center"/>
        <w:rPr>
          <w:rStyle w:val="25"/>
          <w:rFonts w:ascii="仿宋_GB2312" w:hAnsi="仿宋_GB2312" w:eastAsia="仿宋_GB2312" w:cs="仿宋_GB2312"/>
          <w:b w:val="0"/>
          <w:bCs w:val="0"/>
          <w:color w:val="000000" w:themeColor="text1"/>
          <w:kern w:val="2"/>
          <w:sz w:val="32"/>
          <w:szCs w:val="32"/>
        </w:rPr>
      </w:pPr>
      <w:r>
        <w:rPr>
          <w:rFonts w:ascii="仿宋_GB2312" w:hAnsi="仿宋_GB2312" w:eastAsia="仿宋_GB2312" w:cs="仿宋_GB2312"/>
          <w:color w:val="000000" w:themeColor="text1"/>
          <w:sz w:val="32"/>
          <w:szCs w:val="32"/>
        </w:rPr>
        <w:br w:type="page"/>
      </w:r>
      <w:r>
        <w:rPr>
          <w:rFonts w:hint="eastAsia" w:ascii="黑体" w:hAnsi="黑体" w:eastAsia="黑体"/>
          <w:color w:val="000000" w:themeColor="text1"/>
          <w:sz w:val="44"/>
          <w:szCs w:val="44"/>
        </w:rPr>
        <w:t>第</w:t>
      </w:r>
      <w:r>
        <w:rPr>
          <w:rStyle w:val="25"/>
          <w:rFonts w:hint="eastAsia" w:ascii="黑体" w:hAnsi="黑体" w:eastAsia="黑体"/>
          <w:b w:val="0"/>
          <w:color w:val="000000" w:themeColor="text1"/>
        </w:rPr>
        <w:t>五部分 附表</w:t>
      </w:r>
      <w:bookmarkEnd w:id="55"/>
      <w:bookmarkEnd w:id="60"/>
    </w:p>
    <w:p>
      <w:pPr>
        <w:spacing w:line="600" w:lineRule="exact"/>
        <w:jc w:val="center"/>
        <w:outlineLvl w:val="0"/>
        <w:rPr>
          <w:rFonts w:ascii="仿宋" w:hAnsi="仿宋" w:eastAsia="方正仿宋简体"/>
          <w:b/>
          <w:color w:val="000000" w:themeColor="text1"/>
          <w:sz w:val="44"/>
          <w:szCs w:val="44"/>
        </w:rPr>
      </w:pPr>
    </w:p>
    <w:p>
      <w:pPr>
        <w:pStyle w:val="3"/>
        <w:rPr>
          <w:rFonts w:ascii="仿宋" w:hAnsi="仿宋" w:eastAsia="方正仿宋简体"/>
          <w:color w:val="000000" w:themeColor="text1"/>
        </w:rPr>
      </w:pPr>
      <w:bookmarkStart w:id="61" w:name="_Toc15396619"/>
      <w:r>
        <w:rPr>
          <w:rFonts w:hint="eastAsia" w:ascii="仿宋" w:hAnsi="仿宋" w:eastAsia="方正仿宋简体"/>
          <w:b w:val="0"/>
          <w:color w:val="000000" w:themeColor="text1"/>
        </w:rPr>
        <w:t>一、收</w:t>
      </w:r>
      <w:r>
        <w:rPr>
          <w:rStyle w:val="26"/>
          <w:rFonts w:hint="eastAsia" w:ascii="仿宋" w:hAnsi="仿宋" w:eastAsia="方正仿宋简体"/>
          <w:b w:val="0"/>
          <w:bCs w:val="0"/>
          <w:color w:val="000000" w:themeColor="text1"/>
        </w:rPr>
        <w:t>入支出决算总表</w:t>
      </w:r>
      <w:bookmarkEnd w:id="61"/>
    </w:p>
    <w:p>
      <w:pPr>
        <w:pStyle w:val="3"/>
        <w:rPr>
          <w:rFonts w:ascii="仿宋" w:hAnsi="仿宋" w:eastAsia="方正仿宋简体"/>
          <w:color w:val="000000" w:themeColor="text1"/>
        </w:rPr>
      </w:pPr>
      <w:bookmarkStart w:id="62" w:name="_Toc15396620"/>
      <w:r>
        <w:rPr>
          <w:rFonts w:hint="eastAsia" w:ascii="仿宋" w:hAnsi="仿宋" w:eastAsia="方正仿宋简体"/>
          <w:b w:val="0"/>
          <w:color w:val="000000" w:themeColor="text1"/>
        </w:rPr>
        <w:t>二、收</w:t>
      </w:r>
      <w:r>
        <w:rPr>
          <w:rStyle w:val="26"/>
          <w:rFonts w:hint="eastAsia" w:ascii="仿宋" w:hAnsi="仿宋" w:eastAsia="方正仿宋简体"/>
          <w:b w:val="0"/>
          <w:bCs w:val="0"/>
          <w:color w:val="000000" w:themeColor="text1"/>
        </w:rPr>
        <w:t>入总表</w:t>
      </w:r>
      <w:bookmarkEnd w:id="62"/>
    </w:p>
    <w:p>
      <w:pPr>
        <w:pStyle w:val="3"/>
        <w:rPr>
          <w:rFonts w:ascii="仿宋" w:hAnsi="仿宋" w:eastAsia="方正仿宋简体"/>
          <w:color w:val="000000" w:themeColor="text1"/>
        </w:rPr>
      </w:pPr>
      <w:bookmarkStart w:id="63" w:name="_Toc15396621"/>
      <w:r>
        <w:rPr>
          <w:rStyle w:val="26"/>
          <w:rFonts w:hint="eastAsia" w:ascii="仿宋" w:hAnsi="仿宋" w:eastAsia="方正仿宋简体"/>
          <w:b w:val="0"/>
          <w:bCs w:val="0"/>
          <w:color w:val="000000" w:themeColor="text1"/>
        </w:rPr>
        <w:t>三、</w:t>
      </w:r>
      <w:r>
        <w:rPr>
          <w:rFonts w:hint="eastAsia" w:ascii="仿宋" w:hAnsi="仿宋" w:eastAsia="方正仿宋简体"/>
          <w:b w:val="0"/>
          <w:color w:val="000000" w:themeColor="text1"/>
        </w:rPr>
        <w:t>支</w:t>
      </w:r>
      <w:r>
        <w:rPr>
          <w:rStyle w:val="26"/>
          <w:rFonts w:hint="eastAsia" w:ascii="仿宋" w:hAnsi="仿宋" w:eastAsia="方正仿宋简体"/>
          <w:b w:val="0"/>
          <w:bCs w:val="0"/>
          <w:color w:val="000000" w:themeColor="text1"/>
        </w:rPr>
        <w:t>出总表</w:t>
      </w:r>
      <w:bookmarkEnd w:id="63"/>
    </w:p>
    <w:p>
      <w:pPr>
        <w:pStyle w:val="3"/>
        <w:rPr>
          <w:rFonts w:ascii="仿宋" w:hAnsi="仿宋" w:eastAsia="方正仿宋简体"/>
          <w:b w:val="0"/>
          <w:color w:val="000000" w:themeColor="text1"/>
        </w:rPr>
      </w:pPr>
      <w:bookmarkStart w:id="64" w:name="_Toc15396622"/>
      <w:r>
        <w:rPr>
          <w:rStyle w:val="26"/>
          <w:rFonts w:hint="eastAsia" w:ascii="仿宋" w:hAnsi="仿宋" w:eastAsia="方正仿宋简体"/>
          <w:b w:val="0"/>
          <w:bCs w:val="0"/>
          <w:color w:val="000000" w:themeColor="text1"/>
        </w:rPr>
        <w:t>四、</w:t>
      </w:r>
      <w:r>
        <w:rPr>
          <w:rFonts w:hint="eastAsia" w:ascii="仿宋" w:hAnsi="仿宋" w:eastAsia="方正仿宋简体"/>
          <w:b w:val="0"/>
          <w:color w:val="000000" w:themeColor="text1"/>
        </w:rPr>
        <w:t>财</w:t>
      </w:r>
      <w:r>
        <w:rPr>
          <w:rStyle w:val="26"/>
          <w:rFonts w:hint="eastAsia" w:ascii="仿宋" w:hAnsi="仿宋" w:eastAsia="方正仿宋简体"/>
          <w:b w:val="0"/>
          <w:bCs w:val="0"/>
          <w:color w:val="000000" w:themeColor="text1"/>
        </w:rPr>
        <w:t>政拨款收入支出决算总表</w:t>
      </w:r>
      <w:bookmarkEnd w:id="64"/>
    </w:p>
    <w:p>
      <w:pPr>
        <w:pStyle w:val="3"/>
        <w:rPr>
          <w:rFonts w:ascii="仿宋" w:hAnsi="仿宋" w:eastAsia="方正仿宋简体"/>
          <w:color w:val="000000" w:themeColor="text1"/>
        </w:rPr>
      </w:pPr>
      <w:bookmarkStart w:id="65" w:name="_Toc15396623"/>
      <w:r>
        <w:rPr>
          <w:rStyle w:val="26"/>
          <w:rFonts w:hint="eastAsia" w:ascii="仿宋" w:hAnsi="仿宋" w:eastAsia="方正仿宋简体"/>
          <w:b w:val="0"/>
          <w:bCs w:val="0"/>
          <w:color w:val="000000" w:themeColor="text1"/>
        </w:rPr>
        <w:t>五、</w:t>
      </w:r>
      <w:r>
        <w:rPr>
          <w:rFonts w:hint="eastAsia" w:ascii="仿宋" w:hAnsi="仿宋" w:eastAsia="方正仿宋简体"/>
          <w:b w:val="0"/>
          <w:color w:val="000000" w:themeColor="text1"/>
        </w:rPr>
        <w:t>财</w:t>
      </w:r>
      <w:r>
        <w:rPr>
          <w:rStyle w:val="26"/>
          <w:rFonts w:hint="eastAsia" w:ascii="仿宋" w:hAnsi="仿宋" w:eastAsia="方正仿宋简体"/>
          <w:b w:val="0"/>
          <w:bCs w:val="0"/>
          <w:color w:val="000000" w:themeColor="text1"/>
        </w:rPr>
        <w:t>政拨款支出决算明细表（政府经济分类科目）</w:t>
      </w:r>
      <w:bookmarkEnd w:id="65"/>
    </w:p>
    <w:p>
      <w:pPr>
        <w:pStyle w:val="3"/>
        <w:rPr>
          <w:rFonts w:ascii="仿宋" w:hAnsi="仿宋" w:eastAsia="方正仿宋简体"/>
          <w:color w:val="000000" w:themeColor="text1"/>
        </w:rPr>
      </w:pPr>
      <w:bookmarkStart w:id="66" w:name="_Toc15396624"/>
      <w:r>
        <w:rPr>
          <w:rStyle w:val="26"/>
          <w:rFonts w:hint="eastAsia" w:ascii="仿宋" w:hAnsi="仿宋" w:eastAsia="方正仿宋简体"/>
          <w:b w:val="0"/>
          <w:bCs w:val="0"/>
          <w:color w:val="000000" w:themeColor="text1"/>
        </w:rPr>
        <w:t>六、</w:t>
      </w:r>
      <w:r>
        <w:rPr>
          <w:rFonts w:hint="eastAsia" w:ascii="仿宋" w:hAnsi="仿宋" w:eastAsia="方正仿宋简体"/>
          <w:b w:val="0"/>
          <w:color w:val="000000" w:themeColor="text1"/>
        </w:rPr>
        <w:t>一</w:t>
      </w:r>
      <w:r>
        <w:rPr>
          <w:rStyle w:val="26"/>
          <w:rFonts w:hint="eastAsia" w:ascii="仿宋" w:hAnsi="仿宋" w:eastAsia="方正仿宋简体"/>
          <w:b w:val="0"/>
          <w:bCs w:val="0"/>
          <w:color w:val="000000" w:themeColor="text1"/>
        </w:rPr>
        <w:t>般公共预算财政拨款支出决算表</w:t>
      </w:r>
      <w:bookmarkEnd w:id="66"/>
    </w:p>
    <w:p>
      <w:pPr>
        <w:pStyle w:val="3"/>
        <w:rPr>
          <w:rFonts w:ascii="仿宋" w:hAnsi="仿宋" w:eastAsia="方正仿宋简体"/>
          <w:color w:val="000000" w:themeColor="text1"/>
        </w:rPr>
      </w:pPr>
      <w:bookmarkStart w:id="67" w:name="_Toc15396625"/>
      <w:r>
        <w:rPr>
          <w:rStyle w:val="26"/>
          <w:rFonts w:hint="eastAsia" w:ascii="仿宋" w:hAnsi="仿宋" w:eastAsia="方正仿宋简体"/>
          <w:b w:val="0"/>
          <w:bCs w:val="0"/>
          <w:color w:val="000000" w:themeColor="text1"/>
        </w:rPr>
        <w:t>七、</w:t>
      </w:r>
      <w:r>
        <w:rPr>
          <w:rFonts w:hint="eastAsia" w:ascii="仿宋" w:hAnsi="仿宋" w:eastAsia="方正仿宋简体"/>
          <w:b w:val="0"/>
          <w:color w:val="000000" w:themeColor="text1"/>
        </w:rPr>
        <w:t>一</w:t>
      </w:r>
      <w:r>
        <w:rPr>
          <w:rStyle w:val="26"/>
          <w:rFonts w:hint="eastAsia" w:ascii="仿宋" w:hAnsi="仿宋" w:eastAsia="方正仿宋简体"/>
          <w:b w:val="0"/>
          <w:bCs w:val="0"/>
          <w:color w:val="000000" w:themeColor="text1"/>
        </w:rPr>
        <w:t>般公共预算财政拨款支出决算明细表</w:t>
      </w:r>
      <w:bookmarkEnd w:id="67"/>
    </w:p>
    <w:p>
      <w:pPr>
        <w:pStyle w:val="3"/>
        <w:rPr>
          <w:rFonts w:ascii="仿宋" w:hAnsi="仿宋" w:eastAsia="方正仿宋简体"/>
          <w:color w:val="000000" w:themeColor="text1"/>
        </w:rPr>
      </w:pPr>
      <w:bookmarkStart w:id="68" w:name="_Toc15396626"/>
      <w:r>
        <w:rPr>
          <w:rStyle w:val="26"/>
          <w:rFonts w:hint="eastAsia" w:ascii="仿宋" w:hAnsi="仿宋" w:eastAsia="方正仿宋简体"/>
          <w:b w:val="0"/>
          <w:bCs w:val="0"/>
          <w:color w:val="000000" w:themeColor="text1"/>
        </w:rPr>
        <w:t>八、</w:t>
      </w:r>
      <w:r>
        <w:rPr>
          <w:rFonts w:hint="eastAsia" w:ascii="仿宋" w:hAnsi="仿宋" w:eastAsia="方正仿宋简体"/>
          <w:b w:val="0"/>
          <w:color w:val="000000" w:themeColor="text1"/>
        </w:rPr>
        <w:t>一</w:t>
      </w:r>
      <w:r>
        <w:rPr>
          <w:rStyle w:val="26"/>
          <w:rFonts w:hint="eastAsia" w:ascii="仿宋" w:hAnsi="仿宋" w:eastAsia="方正仿宋简体"/>
          <w:b w:val="0"/>
          <w:bCs w:val="0"/>
          <w:color w:val="000000" w:themeColor="text1"/>
        </w:rPr>
        <w:t>般公共预算财政拨款基本支出决算表</w:t>
      </w:r>
      <w:bookmarkEnd w:id="68"/>
    </w:p>
    <w:p>
      <w:pPr>
        <w:pStyle w:val="3"/>
        <w:rPr>
          <w:rFonts w:ascii="仿宋" w:hAnsi="仿宋" w:eastAsia="方正仿宋简体"/>
          <w:color w:val="000000" w:themeColor="text1"/>
        </w:rPr>
      </w:pPr>
      <w:bookmarkStart w:id="69" w:name="_Toc15396627"/>
      <w:r>
        <w:rPr>
          <w:rStyle w:val="26"/>
          <w:rFonts w:hint="eastAsia" w:ascii="仿宋" w:hAnsi="仿宋" w:eastAsia="方正仿宋简体"/>
          <w:b w:val="0"/>
          <w:bCs w:val="0"/>
          <w:color w:val="000000" w:themeColor="text1"/>
        </w:rPr>
        <w:t>九、</w:t>
      </w:r>
      <w:r>
        <w:rPr>
          <w:rFonts w:hint="eastAsia" w:ascii="仿宋" w:hAnsi="仿宋" w:eastAsia="方正仿宋简体"/>
          <w:b w:val="0"/>
          <w:color w:val="000000" w:themeColor="text1"/>
        </w:rPr>
        <w:t>一</w:t>
      </w:r>
      <w:r>
        <w:rPr>
          <w:rStyle w:val="26"/>
          <w:rFonts w:hint="eastAsia" w:ascii="仿宋" w:hAnsi="仿宋" w:eastAsia="方正仿宋简体"/>
          <w:b w:val="0"/>
          <w:bCs w:val="0"/>
          <w:color w:val="000000" w:themeColor="text1"/>
        </w:rPr>
        <w:t>般公共预算财政拨款项目支出决算表</w:t>
      </w:r>
      <w:bookmarkEnd w:id="69"/>
    </w:p>
    <w:p>
      <w:pPr>
        <w:pStyle w:val="3"/>
        <w:rPr>
          <w:rFonts w:ascii="仿宋" w:hAnsi="仿宋" w:eastAsia="方正仿宋简体"/>
          <w:color w:val="000000" w:themeColor="text1"/>
        </w:rPr>
      </w:pPr>
      <w:bookmarkStart w:id="70" w:name="_Toc15396628"/>
      <w:r>
        <w:rPr>
          <w:rStyle w:val="26"/>
          <w:rFonts w:hint="eastAsia" w:ascii="仿宋" w:hAnsi="仿宋" w:eastAsia="方正仿宋简体"/>
          <w:b w:val="0"/>
          <w:bCs w:val="0"/>
          <w:color w:val="000000" w:themeColor="text1"/>
        </w:rPr>
        <w:t>十、</w:t>
      </w:r>
      <w:r>
        <w:rPr>
          <w:rFonts w:hint="eastAsia" w:ascii="仿宋" w:hAnsi="仿宋" w:eastAsia="方正仿宋简体"/>
          <w:b w:val="0"/>
          <w:color w:val="000000" w:themeColor="text1"/>
        </w:rPr>
        <w:t>一</w:t>
      </w:r>
      <w:r>
        <w:rPr>
          <w:rStyle w:val="26"/>
          <w:rFonts w:hint="eastAsia" w:ascii="仿宋" w:hAnsi="仿宋" w:eastAsia="方正仿宋简体"/>
          <w:b w:val="0"/>
          <w:bCs w:val="0"/>
          <w:color w:val="000000" w:themeColor="text1"/>
        </w:rPr>
        <w:t>般公共预算财政拨款“三公”经费支出决算表</w:t>
      </w:r>
      <w:bookmarkEnd w:id="70"/>
    </w:p>
    <w:p>
      <w:pPr>
        <w:pStyle w:val="3"/>
        <w:rPr>
          <w:rFonts w:ascii="仿宋" w:hAnsi="仿宋" w:eastAsia="方正仿宋简体"/>
          <w:color w:val="000000" w:themeColor="text1"/>
        </w:rPr>
      </w:pPr>
      <w:bookmarkStart w:id="71" w:name="_Toc15396629"/>
      <w:r>
        <w:rPr>
          <w:rStyle w:val="26"/>
          <w:rFonts w:hint="eastAsia" w:ascii="仿宋" w:hAnsi="仿宋" w:eastAsia="方正仿宋简体"/>
          <w:b w:val="0"/>
          <w:bCs w:val="0"/>
          <w:color w:val="000000" w:themeColor="text1"/>
        </w:rPr>
        <w:t>十一、</w:t>
      </w:r>
      <w:r>
        <w:rPr>
          <w:rFonts w:hint="eastAsia" w:ascii="仿宋" w:hAnsi="仿宋" w:eastAsia="方正仿宋简体"/>
          <w:b w:val="0"/>
          <w:color w:val="000000" w:themeColor="text1"/>
        </w:rPr>
        <w:t>政</w:t>
      </w:r>
      <w:r>
        <w:rPr>
          <w:rStyle w:val="26"/>
          <w:rFonts w:hint="eastAsia" w:ascii="仿宋" w:hAnsi="仿宋" w:eastAsia="方正仿宋简体"/>
          <w:b w:val="0"/>
          <w:bCs w:val="0"/>
          <w:color w:val="000000" w:themeColor="text1"/>
        </w:rPr>
        <w:t>府性基金预算财政拨款收入支出决算表</w:t>
      </w:r>
      <w:bookmarkEnd w:id="71"/>
    </w:p>
    <w:p>
      <w:pPr>
        <w:pStyle w:val="3"/>
        <w:rPr>
          <w:rFonts w:ascii="仿宋" w:hAnsi="仿宋" w:eastAsia="方正仿宋简体"/>
          <w:color w:val="000000" w:themeColor="text1"/>
        </w:rPr>
      </w:pPr>
      <w:bookmarkStart w:id="72" w:name="_Toc15396630"/>
      <w:r>
        <w:rPr>
          <w:rStyle w:val="26"/>
          <w:rFonts w:hint="eastAsia" w:ascii="仿宋" w:hAnsi="仿宋" w:eastAsia="方正仿宋简体"/>
          <w:b w:val="0"/>
          <w:bCs w:val="0"/>
          <w:color w:val="000000" w:themeColor="text1"/>
        </w:rPr>
        <w:t>十二、</w:t>
      </w:r>
      <w:r>
        <w:rPr>
          <w:rFonts w:hint="eastAsia" w:ascii="仿宋" w:hAnsi="仿宋" w:eastAsia="方正仿宋简体"/>
          <w:b w:val="0"/>
          <w:color w:val="000000" w:themeColor="text1"/>
        </w:rPr>
        <w:t>政</w:t>
      </w:r>
      <w:r>
        <w:rPr>
          <w:rStyle w:val="26"/>
          <w:rFonts w:hint="eastAsia" w:ascii="仿宋" w:hAnsi="仿宋" w:eastAsia="方正仿宋简体"/>
          <w:b w:val="0"/>
          <w:bCs w:val="0"/>
          <w:color w:val="000000" w:themeColor="text1"/>
        </w:rPr>
        <w:t>府性基金预算财政拨款“三公”经费支出决算表</w:t>
      </w:r>
      <w:bookmarkEnd w:id="72"/>
    </w:p>
    <w:p>
      <w:pPr>
        <w:pStyle w:val="3"/>
        <w:rPr>
          <w:rFonts w:ascii="仿宋" w:hAnsi="仿宋" w:eastAsia="方正仿宋简体"/>
          <w:color w:val="000000" w:themeColor="text1"/>
        </w:rPr>
      </w:pPr>
      <w:bookmarkStart w:id="73" w:name="_Toc15396631"/>
      <w:r>
        <w:rPr>
          <w:rStyle w:val="26"/>
          <w:rFonts w:hint="eastAsia" w:ascii="仿宋" w:hAnsi="仿宋" w:eastAsia="方正仿宋简体"/>
          <w:b w:val="0"/>
          <w:bCs w:val="0"/>
          <w:color w:val="000000" w:themeColor="text1"/>
        </w:rPr>
        <w:t>十三、</w:t>
      </w:r>
      <w:r>
        <w:rPr>
          <w:rFonts w:hint="eastAsia" w:ascii="仿宋" w:hAnsi="仿宋" w:eastAsia="方正仿宋简体"/>
          <w:b w:val="0"/>
          <w:color w:val="000000" w:themeColor="text1"/>
        </w:rPr>
        <w:t>国</w:t>
      </w:r>
      <w:r>
        <w:rPr>
          <w:rStyle w:val="26"/>
          <w:rFonts w:hint="eastAsia" w:ascii="仿宋" w:hAnsi="仿宋" w:eastAsia="方正仿宋简体"/>
          <w:b w:val="0"/>
          <w:bCs w:val="0"/>
          <w:color w:val="000000" w:themeColor="text1"/>
        </w:rPr>
        <w:t>有资本经营预算支出决算表</w:t>
      </w:r>
      <w:bookmarkEnd w:id="73"/>
    </w:p>
    <w:sectPr>
      <w:headerReference r:id="rId3" w:type="default"/>
      <w:footerReference r:id="rId4" w:type="default"/>
      <w:footerReference r:id="rId5" w:type="even"/>
      <w:pgSz w:w="11906" w:h="16838"/>
      <w:pgMar w:top="2098" w:right="1474" w:bottom="1985" w:left="1588" w:header="851" w:footer="1588"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宋体GB2312">
    <w:altName w:val="宋体"/>
    <w:panose1 w:val="00000000000000000000"/>
    <w:charset w:val="86"/>
    <w:family w:val="roman"/>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font>
  <w:font w:name="华文仿宋">
    <w:altName w:val="仿宋_GB2312"/>
    <w:panose1 w:val="00000000000000000000"/>
    <w:charset w:val="86"/>
    <w:family w:val="auto"/>
    <w:pitch w:val="default"/>
    <w:sig w:usb0="00000000" w:usb1="00000000" w:usb2="00000010" w:usb3="00000000" w:csb0="0004009F" w:csb1="00000000"/>
  </w:font>
  <w:font w:name="方正楷体简体">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wordWrap w:val="0"/>
          <w:jc w:val="right"/>
        </w:pPr>
        <w:r>
          <w:rPr>
            <w:rFonts w:hint="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4456"/>
      <w:docPartObj>
        <w:docPartGallery w:val="autotext"/>
      </w:docPartObj>
    </w:sdtPr>
    <w:sdtContent>
      <w:p>
        <w:pPr>
          <w:pStyle w:val="8"/>
          <w:ind w:firstLine="180" w:firstLineChars="100"/>
        </w:pPr>
        <w:r>
          <w:rPr>
            <w:rFonts w:hint="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280A390D"/>
    <w:multiLevelType w:val="multilevel"/>
    <w:tmpl w:val="280A390D"/>
    <w:lvl w:ilvl="0" w:tentative="0">
      <w:start w:val="1"/>
      <w:numFmt w:val="japaneseCounting"/>
      <w:lvlText w:val="%1、"/>
      <w:lvlJc w:val="left"/>
      <w:pPr>
        <w:ind w:left="720" w:hanging="72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6"/>
  </w:num>
  <w:num w:numId="2">
    <w:abstractNumId w:val="7"/>
  </w:num>
  <w:num w:numId="3">
    <w:abstractNumId w:val="4"/>
  </w:num>
  <w:num w:numId="4">
    <w:abstractNumId w:val="1"/>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true"/>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0B8A"/>
    <w:rsid w:val="00064832"/>
    <w:rsid w:val="0006487A"/>
    <w:rsid w:val="00065F8F"/>
    <w:rsid w:val="000768F2"/>
    <w:rsid w:val="0009184B"/>
    <w:rsid w:val="0009593C"/>
    <w:rsid w:val="000A35EB"/>
    <w:rsid w:val="000B047F"/>
    <w:rsid w:val="000B5923"/>
    <w:rsid w:val="000B5A48"/>
    <w:rsid w:val="000B6FF3"/>
    <w:rsid w:val="000C3467"/>
    <w:rsid w:val="000C3CA6"/>
    <w:rsid w:val="000D1267"/>
    <w:rsid w:val="000D1D50"/>
    <w:rsid w:val="000D5782"/>
    <w:rsid w:val="000E6613"/>
    <w:rsid w:val="000E7119"/>
    <w:rsid w:val="000F3463"/>
    <w:rsid w:val="00114E9B"/>
    <w:rsid w:val="00123915"/>
    <w:rsid w:val="0014729F"/>
    <w:rsid w:val="0015188C"/>
    <w:rsid w:val="00157BAB"/>
    <w:rsid w:val="001654D1"/>
    <w:rsid w:val="001754D6"/>
    <w:rsid w:val="00177686"/>
    <w:rsid w:val="0018106D"/>
    <w:rsid w:val="001877A7"/>
    <w:rsid w:val="00191536"/>
    <w:rsid w:val="00196687"/>
    <w:rsid w:val="001A2793"/>
    <w:rsid w:val="001C0962"/>
    <w:rsid w:val="001D57C9"/>
    <w:rsid w:val="001D7531"/>
    <w:rsid w:val="001E737D"/>
    <w:rsid w:val="001F0592"/>
    <w:rsid w:val="001F1195"/>
    <w:rsid w:val="001F7506"/>
    <w:rsid w:val="002006CD"/>
    <w:rsid w:val="00202B36"/>
    <w:rsid w:val="00204B7A"/>
    <w:rsid w:val="0021101A"/>
    <w:rsid w:val="002151E9"/>
    <w:rsid w:val="00220536"/>
    <w:rsid w:val="00230D10"/>
    <w:rsid w:val="00235629"/>
    <w:rsid w:val="0023788B"/>
    <w:rsid w:val="002507CB"/>
    <w:rsid w:val="00260C38"/>
    <w:rsid w:val="002616C0"/>
    <w:rsid w:val="002662AA"/>
    <w:rsid w:val="00280496"/>
    <w:rsid w:val="00285720"/>
    <w:rsid w:val="00295495"/>
    <w:rsid w:val="002B2613"/>
    <w:rsid w:val="002D4B40"/>
    <w:rsid w:val="002D79FF"/>
    <w:rsid w:val="002F1818"/>
    <w:rsid w:val="002F3C11"/>
    <w:rsid w:val="002F567B"/>
    <w:rsid w:val="002F63C6"/>
    <w:rsid w:val="00305B7E"/>
    <w:rsid w:val="003216A9"/>
    <w:rsid w:val="00322376"/>
    <w:rsid w:val="00353765"/>
    <w:rsid w:val="0037013F"/>
    <w:rsid w:val="00380C92"/>
    <w:rsid w:val="003813AA"/>
    <w:rsid w:val="003862A2"/>
    <w:rsid w:val="003A484F"/>
    <w:rsid w:val="003B0BE0"/>
    <w:rsid w:val="003B0C1B"/>
    <w:rsid w:val="003B688C"/>
    <w:rsid w:val="003C0291"/>
    <w:rsid w:val="003C39AE"/>
    <w:rsid w:val="003C7B60"/>
    <w:rsid w:val="003D02A7"/>
    <w:rsid w:val="003D1FB2"/>
    <w:rsid w:val="003D66DA"/>
    <w:rsid w:val="003E1310"/>
    <w:rsid w:val="003E6F55"/>
    <w:rsid w:val="004033B7"/>
    <w:rsid w:val="00406254"/>
    <w:rsid w:val="004223DE"/>
    <w:rsid w:val="004251D5"/>
    <w:rsid w:val="004268F8"/>
    <w:rsid w:val="00434489"/>
    <w:rsid w:val="00437085"/>
    <w:rsid w:val="00443880"/>
    <w:rsid w:val="004464F4"/>
    <w:rsid w:val="00461DE3"/>
    <w:rsid w:val="00471401"/>
    <w:rsid w:val="00473129"/>
    <w:rsid w:val="00473F31"/>
    <w:rsid w:val="0048263A"/>
    <w:rsid w:val="00487E5D"/>
    <w:rsid w:val="004A3210"/>
    <w:rsid w:val="004A711F"/>
    <w:rsid w:val="004B199D"/>
    <w:rsid w:val="004B4690"/>
    <w:rsid w:val="004E0A2D"/>
    <w:rsid w:val="004E206B"/>
    <w:rsid w:val="004E5724"/>
    <w:rsid w:val="004E6DF7"/>
    <w:rsid w:val="004F0FBD"/>
    <w:rsid w:val="00505A47"/>
    <w:rsid w:val="00512FDA"/>
    <w:rsid w:val="005150D0"/>
    <w:rsid w:val="0051634E"/>
    <w:rsid w:val="00520DA0"/>
    <w:rsid w:val="005664BB"/>
    <w:rsid w:val="0057481D"/>
    <w:rsid w:val="0058486E"/>
    <w:rsid w:val="005C1D94"/>
    <w:rsid w:val="005D1C8B"/>
    <w:rsid w:val="005D2ED7"/>
    <w:rsid w:val="005D56F0"/>
    <w:rsid w:val="005D5CED"/>
    <w:rsid w:val="005F1A4C"/>
    <w:rsid w:val="00605688"/>
    <w:rsid w:val="006070AF"/>
    <w:rsid w:val="00607E6C"/>
    <w:rsid w:val="006101B1"/>
    <w:rsid w:val="00613197"/>
    <w:rsid w:val="00614E44"/>
    <w:rsid w:val="00622830"/>
    <w:rsid w:val="00630AEF"/>
    <w:rsid w:val="006325F8"/>
    <w:rsid w:val="00634C9A"/>
    <w:rsid w:val="006440E4"/>
    <w:rsid w:val="0065703D"/>
    <w:rsid w:val="0066343B"/>
    <w:rsid w:val="00664777"/>
    <w:rsid w:val="006748A4"/>
    <w:rsid w:val="00683E73"/>
    <w:rsid w:val="006927B8"/>
    <w:rsid w:val="006A2596"/>
    <w:rsid w:val="006A3141"/>
    <w:rsid w:val="006A5E34"/>
    <w:rsid w:val="006B2422"/>
    <w:rsid w:val="006B2B9A"/>
    <w:rsid w:val="006C1937"/>
    <w:rsid w:val="006D4863"/>
    <w:rsid w:val="006E46E1"/>
    <w:rsid w:val="006F020C"/>
    <w:rsid w:val="007029DB"/>
    <w:rsid w:val="00704F28"/>
    <w:rsid w:val="007127B7"/>
    <w:rsid w:val="007164F4"/>
    <w:rsid w:val="00722FAD"/>
    <w:rsid w:val="00723684"/>
    <w:rsid w:val="0073102D"/>
    <w:rsid w:val="007416B6"/>
    <w:rsid w:val="00746F48"/>
    <w:rsid w:val="0075404D"/>
    <w:rsid w:val="0076182A"/>
    <w:rsid w:val="00767B7E"/>
    <w:rsid w:val="007770C3"/>
    <w:rsid w:val="00784D24"/>
    <w:rsid w:val="00785FBA"/>
    <w:rsid w:val="00786E4A"/>
    <w:rsid w:val="007875EB"/>
    <w:rsid w:val="0079426B"/>
    <w:rsid w:val="007A4810"/>
    <w:rsid w:val="007D312A"/>
    <w:rsid w:val="007D3F19"/>
    <w:rsid w:val="007E23B0"/>
    <w:rsid w:val="007F1991"/>
    <w:rsid w:val="007F2C2F"/>
    <w:rsid w:val="007F55FC"/>
    <w:rsid w:val="007F5665"/>
    <w:rsid w:val="00800112"/>
    <w:rsid w:val="00816824"/>
    <w:rsid w:val="008253BB"/>
    <w:rsid w:val="0083706E"/>
    <w:rsid w:val="008423A5"/>
    <w:rsid w:val="00850625"/>
    <w:rsid w:val="00851011"/>
    <w:rsid w:val="00853718"/>
    <w:rsid w:val="00855221"/>
    <w:rsid w:val="00860645"/>
    <w:rsid w:val="00863E27"/>
    <w:rsid w:val="00871F71"/>
    <w:rsid w:val="00875098"/>
    <w:rsid w:val="00885AF4"/>
    <w:rsid w:val="00887BF0"/>
    <w:rsid w:val="008939CD"/>
    <w:rsid w:val="00894D35"/>
    <w:rsid w:val="008A1C12"/>
    <w:rsid w:val="008B768C"/>
    <w:rsid w:val="008C4DB1"/>
    <w:rsid w:val="008C4EAF"/>
    <w:rsid w:val="008C5176"/>
    <w:rsid w:val="008C7FD0"/>
    <w:rsid w:val="008D1B3F"/>
    <w:rsid w:val="008E1DE7"/>
    <w:rsid w:val="008E707C"/>
    <w:rsid w:val="008F02C3"/>
    <w:rsid w:val="008F3E27"/>
    <w:rsid w:val="00900B08"/>
    <w:rsid w:val="00902155"/>
    <w:rsid w:val="00902FA3"/>
    <w:rsid w:val="00923564"/>
    <w:rsid w:val="0092392E"/>
    <w:rsid w:val="00927452"/>
    <w:rsid w:val="009315F9"/>
    <w:rsid w:val="00936C35"/>
    <w:rsid w:val="00946945"/>
    <w:rsid w:val="00951248"/>
    <w:rsid w:val="0095152F"/>
    <w:rsid w:val="00954C49"/>
    <w:rsid w:val="00966067"/>
    <w:rsid w:val="0097099F"/>
    <w:rsid w:val="00971997"/>
    <w:rsid w:val="00971FFC"/>
    <w:rsid w:val="00984281"/>
    <w:rsid w:val="0098660A"/>
    <w:rsid w:val="009931C3"/>
    <w:rsid w:val="009A62B8"/>
    <w:rsid w:val="009B2C43"/>
    <w:rsid w:val="009B445D"/>
    <w:rsid w:val="009B4EAE"/>
    <w:rsid w:val="009B7573"/>
    <w:rsid w:val="009C22F4"/>
    <w:rsid w:val="009C2E98"/>
    <w:rsid w:val="009C4BB7"/>
    <w:rsid w:val="009D3447"/>
    <w:rsid w:val="009D4711"/>
    <w:rsid w:val="009F1185"/>
    <w:rsid w:val="009F18CD"/>
    <w:rsid w:val="009F2A13"/>
    <w:rsid w:val="00A00B8E"/>
    <w:rsid w:val="00A04EB0"/>
    <w:rsid w:val="00A11D61"/>
    <w:rsid w:val="00A13CC1"/>
    <w:rsid w:val="00A16847"/>
    <w:rsid w:val="00A237D8"/>
    <w:rsid w:val="00A268C4"/>
    <w:rsid w:val="00A307CD"/>
    <w:rsid w:val="00A357EC"/>
    <w:rsid w:val="00A40A00"/>
    <w:rsid w:val="00A4142F"/>
    <w:rsid w:val="00A56169"/>
    <w:rsid w:val="00A56DF2"/>
    <w:rsid w:val="00A60F08"/>
    <w:rsid w:val="00A67AB5"/>
    <w:rsid w:val="00A91760"/>
    <w:rsid w:val="00A92DE0"/>
    <w:rsid w:val="00A93B00"/>
    <w:rsid w:val="00A93C21"/>
    <w:rsid w:val="00A97B27"/>
    <w:rsid w:val="00AA3C40"/>
    <w:rsid w:val="00AC3C6A"/>
    <w:rsid w:val="00AD5620"/>
    <w:rsid w:val="00AD6041"/>
    <w:rsid w:val="00AD7C1B"/>
    <w:rsid w:val="00AE16BA"/>
    <w:rsid w:val="00AE1EBE"/>
    <w:rsid w:val="00AE268C"/>
    <w:rsid w:val="00B03C9D"/>
    <w:rsid w:val="00B060AE"/>
    <w:rsid w:val="00B10517"/>
    <w:rsid w:val="00B10E95"/>
    <w:rsid w:val="00B11364"/>
    <w:rsid w:val="00B13748"/>
    <w:rsid w:val="00B14E76"/>
    <w:rsid w:val="00B161B8"/>
    <w:rsid w:val="00B2048C"/>
    <w:rsid w:val="00B310B9"/>
    <w:rsid w:val="00B35F3F"/>
    <w:rsid w:val="00B36CBB"/>
    <w:rsid w:val="00B425E0"/>
    <w:rsid w:val="00B440AA"/>
    <w:rsid w:val="00B44B70"/>
    <w:rsid w:val="00B53C56"/>
    <w:rsid w:val="00B53D2E"/>
    <w:rsid w:val="00B77EA6"/>
    <w:rsid w:val="00B81598"/>
    <w:rsid w:val="00B841F1"/>
    <w:rsid w:val="00B944D6"/>
    <w:rsid w:val="00BB4DF0"/>
    <w:rsid w:val="00BC289F"/>
    <w:rsid w:val="00BC5361"/>
    <w:rsid w:val="00BC5460"/>
    <w:rsid w:val="00BC6B50"/>
    <w:rsid w:val="00BD0E25"/>
    <w:rsid w:val="00BF5BD6"/>
    <w:rsid w:val="00C03E31"/>
    <w:rsid w:val="00C03EF2"/>
    <w:rsid w:val="00C135A0"/>
    <w:rsid w:val="00C339D8"/>
    <w:rsid w:val="00C33E72"/>
    <w:rsid w:val="00C354B2"/>
    <w:rsid w:val="00C35554"/>
    <w:rsid w:val="00C36D81"/>
    <w:rsid w:val="00C42709"/>
    <w:rsid w:val="00C533CC"/>
    <w:rsid w:val="00C5751C"/>
    <w:rsid w:val="00C61BFC"/>
    <w:rsid w:val="00C62B85"/>
    <w:rsid w:val="00C649EF"/>
    <w:rsid w:val="00C65438"/>
    <w:rsid w:val="00C85070"/>
    <w:rsid w:val="00C91CBB"/>
    <w:rsid w:val="00CA1557"/>
    <w:rsid w:val="00CB212D"/>
    <w:rsid w:val="00CC09B6"/>
    <w:rsid w:val="00CC4078"/>
    <w:rsid w:val="00CC666F"/>
    <w:rsid w:val="00CD1E3F"/>
    <w:rsid w:val="00CE44F6"/>
    <w:rsid w:val="00CE49DA"/>
    <w:rsid w:val="00CE7B61"/>
    <w:rsid w:val="00D00095"/>
    <w:rsid w:val="00D20620"/>
    <w:rsid w:val="00D26091"/>
    <w:rsid w:val="00D34E7C"/>
    <w:rsid w:val="00D35489"/>
    <w:rsid w:val="00D51276"/>
    <w:rsid w:val="00D52C58"/>
    <w:rsid w:val="00D555B6"/>
    <w:rsid w:val="00D7035F"/>
    <w:rsid w:val="00DA19BF"/>
    <w:rsid w:val="00DA65AC"/>
    <w:rsid w:val="00DB1913"/>
    <w:rsid w:val="00DC2FCA"/>
    <w:rsid w:val="00DC410D"/>
    <w:rsid w:val="00DC4F2A"/>
    <w:rsid w:val="00DC68CA"/>
    <w:rsid w:val="00DC7CBA"/>
    <w:rsid w:val="00DD73B7"/>
    <w:rsid w:val="00DF1A5A"/>
    <w:rsid w:val="00DF28BC"/>
    <w:rsid w:val="00DF34B9"/>
    <w:rsid w:val="00E01053"/>
    <w:rsid w:val="00E07ACF"/>
    <w:rsid w:val="00E155B3"/>
    <w:rsid w:val="00E279BD"/>
    <w:rsid w:val="00E331A1"/>
    <w:rsid w:val="00E33202"/>
    <w:rsid w:val="00E336A9"/>
    <w:rsid w:val="00E3720E"/>
    <w:rsid w:val="00E50624"/>
    <w:rsid w:val="00E54CF0"/>
    <w:rsid w:val="00E568DF"/>
    <w:rsid w:val="00E57427"/>
    <w:rsid w:val="00E64269"/>
    <w:rsid w:val="00E82267"/>
    <w:rsid w:val="00EA010F"/>
    <w:rsid w:val="00EB1EE2"/>
    <w:rsid w:val="00ED1B63"/>
    <w:rsid w:val="00ED328E"/>
    <w:rsid w:val="00ED3C1F"/>
    <w:rsid w:val="00ED4085"/>
    <w:rsid w:val="00ED420E"/>
    <w:rsid w:val="00EE2827"/>
    <w:rsid w:val="00EE2F57"/>
    <w:rsid w:val="00EF0D29"/>
    <w:rsid w:val="00EF4C34"/>
    <w:rsid w:val="00EF5C81"/>
    <w:rsid w:val="00EF77C6"/>
    <w:rsid w:val="00F05438"/>
    <w:rsid w:val="00F1361C"/>
    <w:rsid w:val="00F160C7"/>
    <w:rsid w:val="00F36D8F"/>
    <w:rsid w:val="00F417B1"/>
    <w:rsid w:val="00F602DF"/>
    <w:rsid w:val="00F81FD9"/>
    <w:rsid w:val="00F841AA"/>
    <w:rsid w:val="00F86D3A"/>
    <w:rsid w:val="00FA23E8"/>
    <w:rsid w:val="00FD3CC1"/>
    <w:rsid w:val="00FF1A6D"/>
    <w:rsid w:val="00FF1E02"/>
    <w:rsid w:val="00FF30B4"/>
    <w:rsid w:val="00FF6482"/>
    <w:rsid w:val="10C055FF"/>
    <w:rsid w:val="16BB723D"/>
    <w:rsid w:val="240371BF"/>
    <w:rsid w:val="29FD04D3"/>
    <w:rsid w:val="319F7F4E"/>
    <w:rsid w:val="41A7789E"/>
    <w:rsid w:val="4B256019"/>
    <w:rsid w:val="4FEE42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spacing w:before="100" w:beforeAutospacing="1" w:after="100" w:afterAutospacing="1"/>
      <w:jc w:val="left"/>
    </w:pPr>
    <w:rPr>
      <w:kern w:val="0"/>
      <w:sz w:val="24"/>
    </w:rPr>
  </w:style>
  <w:style w:type="character" w:styleId="15">
    <w:name w:val="Strong"/>
    <w:basedOn w:val="14"/>
    <w:qFormat/>
    <w:uiPriority w:val="22"/>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Book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18"/>
    </mc:Choice>
    <mc:Fallback>
      <c:style val="18"/>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t>收支决算总计变动情况图</a:t>
            </a:r>
            <a:endParaRPr lang="zh-CN"/>
          </a:p>
          <a:p>
            <a:pPr>
              <a:defRPr lang="zh-CN" sz="1800" b="1" i="0" u="none" strike="noStrike" kern="1200" baseline="0">
                <a:solidFill>
                  <a:schemeClr val="tx1"/>
                </a:solidFill>
                <a:latin typeface="+mn-lt"/>
                <a:ea typeface="+mn-ea"/>
                <a:cs typeface="+mn-cs"/>
              </a:defRPr>
            </a:pPr>
            <a:r>
              <a:rPr lang="zh-CN" sz="1000"/>
              <a:t>单位：万元</a:t>
            </a:r>
            <a:endParaRPr lang="zh-CN" sz="1000"/>
          </a:p>
        </c:rich>
      </c:tx>
      <c:layout>
        <c:manualLayout>
          <c:xMode val="edge"/>
          <c:yMode val="edge"/>
          <c:x val="0.302125"/>
          <c:y val="0.029"/>
        </c:manualLayout>
      </c:layout>
      <c:overlay val="false"/>
    </c:title>
    <c:autoTitleDeleted val="false"/>
    <c:plotArea>
      <c:layout/>
      <c:barChart>
        <c:barDir val="col"/>
        <c:grouping val="clustered"/>
        <c:varyColors val="false"/>
        <c:ser>
          <c:idx val="0"/>
          <c:order val="0"/>
          <c:tx>
            <c:strRef>
              <c:f>Sheet1!$A$2</c:f>
              <c:strCache>
                <c:ptCount val="1"/>
                <c:pt idx="0">
                  <c:v>收</c:v>
                </c:pt>
              </c:strCache>
            </c:strRef>
          </c:tx>
          <c:invertIfNegative val="false"/>
          <c:dLbls>
            <c:dLbl>
              <c:idx val="0"/>
              <c:layout>
                <c:manualLayout>
                  <c:x val="0.00750000000000001"/>
                  <c:y val="0.163333333333333"/>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dLbl>
              <c:idx val="1"/>
              <c:layout>
                <c:manualLayout>
                  <c:x val="0.005"/>
                  <c:y val="0.13"/>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true"/>
            <c:showPercent val="false"/>
            <c:showBubbleSize val="false"/>
            <c:showLeaderLines val="false"/>
            <c:extLst>
              <c:ext xmlns:c15="http://schemas.microsoft.com/office/drawing/2012/chart" uri="{CE6537A1-D6FC-4f65-9D91-7224C49458BB}">
                <c15:layout/>
                <c15:showLeaderLines val="false"/>
                <c15:leaderLines/>
              </c:ext>
            </c:extLst>
          </c:dLbls>
          <c:cat>
            <c:strRef>
              <c:f>Sheet1!$B$1:$C$1</c:f>
              <c:strCache>
                <c:ptCount val="2"/>
                <c:pt idx="0">
                  <c:v>2018年</c:v>
                </c:pt>
                <c:pt idx="1">
                  <c:v>2017年</c:v>
                </c:pt>
              </c:strCache>
            </c:strRef>
          </c:cat>
          <c:val>
            <c:numRef>
              <c:f>Sheet1!$B$2:$C$2</c:f>
              <c:numCache>
                <c:formatCode>General</c:formatCode>
                <c:ptCount val="2"/>
                <c:pt idx="0">
                  <c:v>517.780000000001</c:v>
                </c:pt>
                <c:pt idx="1" c:formatCode="0.00_ ">
                  <c:v>361.52</c:v>
                </c:pt>
              </c:numCache>
            </c:numRef>
          </c:val>
        </c:ser>
        <c:ser>
          <c:idx val="1"/>
          <c:order val="1"/>
          <c:tx>
            <c:strRef>
              <c:f>Sheet1!$A$3</c:f>
              <c:strCache>
                <c:ptCount val="1"/>
                <c:pt idx="0">
                  <c:v>支</c:v>
                </c:pt>
              </c:strCache>
            </c:strRef>
          </c:tx>
          <c:invertIfNegative val="false"/>
          <c:dLbls>
            <c:dLbl>
              <c:idx val="0"/>
              <c:layout>
                <c:manualLayout>
                  <c:x val="-0.005"/>
                  <c:y val="0.113333333333333"/>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dLbl>
              <c:idx val="1"/>
              <c:layout>
                <c:manualLayout>
                  <c:x val="0"/>
                  <c:y val="0.11"/>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true"/>
            <c:showPercent val="false"/>
            <c:showBubbleSize val="false"/>
            <c:showLeaderLines val="false"/>
            <c:extLst>
              <c:ext xmlns:c15="http://schemas.microsoft.com/office/drawing/2012/chart" uri="{CE6537A1-D6FC-4f65-9D91-7224C49458BB}">
                <c15:layout/>
                <c15:showLeaderLines val="false"/>
                <c15:leaderLines/>
              </c:ext>
            </c:extLst>
          </c:dLbls>
          <c:cat>
            <c:strRef>
              <c:f>Sheet1!$B$1:$C$1</c:f>
              <c:strCache>
                <c:ptCount val="2"/>
                <c:pt idx="0">
                  <c:v>2018年</c:v>
                </c:pt>
                <c:pt idx="1">
                  <c:v>2017年</c:v>
                </c:pt>
              </c:strCache>
            </c:strRef>
          </c:cat>
          <c:val>
            <c:numRef>
              <c:f>Sheet1!$B$3:$C$3</c:f>
              <c:numCache>
                <c:formatCode>General</c:formatCode>
                <c:ptCount val="2"/>
                <c:pt idx="0">
                  <c:v>492.51</c:v>
                </c:pt>
                <c:pt idx="1" c:formatCode="0.00_ ">
                  <c:v>328.62</c:v>
                </c:pt>
              </c:numCache>
            </c:numRef>
          </c:val>
        </c:ser>
        <c:dLbls>
          <c:showLegendKey val="false"/>
          <c:showVal val="true"/>
          <c:showCatName val="false"/>
          <c:showSerName val="true"/>
          <c:showPercent val="false"/>
          <c:showBubbleSize val="false"/>
        </c:dLbls>
        <c:gapWidth val="150"/>
        <c:axId val="251486976"/>
        <c:axId val="251488512"/>
      </c:barChart>
      <c:catAx>
        <c:axId val="251486976"/>
        <c:scaling>
          <c:orientation val="minMax"/>
        </c:scaling>
        <c:delete val="false"/>
        <c:axPos val="b"/>
        <c:numFmt formatCode="General" sourceLinked="fals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51488512"/>
        <c:crosses val="autoZero"/>
        <c:auto val="true"/>
        <c:lblAlgn val="ctr"/>
        <c:lblOffset val="100"/>
        <c:noMultiLvlLbl val="false"/>
      </c:catAx>
      <c:valAx>
        <c:axId val="251488512"/>
        <c:scaling>
          <c:orientation val="minMax"/>
        </c:scaling>
        <c:delete val="false"/>
        <c:axPos val="l"/>
        <c:majorGridlines/>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51486976"/>
        <c:crosses val="autoZero"/>
        <c:crossBetween val="between"/>
      </c:valAx>
    </c:plotArea>
    <c:legend>
      <c:legendPos val="b"/>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19"/>
    </mc:Choice>
    <mc:Fallback>
      <c:style val="19"/>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sz="1400">
                <a:solidFill>
                  <a:schemeClr val="tx1">
                    <a:lumMod val="50000"/>
                    <a:lumOff val="50000"/>
                  </a:schemeClr>
                </a:solidFill>
              </a:rPr>
              <a:t>收入决算结构图</a:t>
            </a:r>
            <a:endParaRPr lang="zh-CN" sz="1400">
              <a:solidFill>
                <a:schemeClr val="tx1">
                  <a:lumMod val="50000"/>
                  <a:lumOff val="50000"/>
                </a:schemeClr>
              </a:solidFill>
            </a:endParaRPr>
          </a:p>
          <a:p>
            <a:pPr>
              <a:defRPr lang="zh-CN" sz="1800" b="1" i="0" u="none" strike="noStrike" kern="1200" baseline="0">
                <a:solidFill>
                  <a:schemeClr val="tx1"/>
                </a:solidFill>
                <a:latin typeface="+mn-lt"/>
                <a:ea typeface="+mn-ea"/>
                <a:cs typeface="+mn-cs"/>
              </a:defRPr>
            </a:pPr>
            <a:r>
              <a:rPr lang="zh-CN" sz="1400">
                <a:solidFill>
                  <a:schemeClr val="tx1">
                    <a:lumMod val="50000"/>
                    <a:lumOff val="50000"/>
                  </a:schemeClr>
                </a:solidFill>
              </a:rPr>
              <a:t>单位：万元</a:t>
            </a:r>
            <a:endParaRPr lang="zh-CN" sz="1400">
              <a:solidFill>
                <a:schemeClr val="tx1">
                  <a:lumMod val="50000"/>
                  <a:lumOff val="50000"/>
                </a:schemeClr>
              </a:solidFill>
            </a:endParaRPr>
          </a:p>
        </c:rich>
      </c:tx>
      <c:layout/>
      <c:overlay val="false"/>
    </c:title>
    <c:autoTitleDeleted val="false"/>
    <c:plotArea>
      <c:layout/>
      <c:pieChart>
        <c:varyColors val="true"/>
        <c:ser>
          <c:idx val="0"/>
          <c:order val="0"/>
          <c:tx>
            <c:strRef>
              <c:f>Sheet1!$B$1</c:f>
              <c:strCache>
                <c:ptCount val="1"/>
                <c:pt idx="0">
                  <c:v>列1</c:v>
                </c:pt>
              </c:strCache>
            </c:strRef>
          </c:tx>
          <c:explosion val="0"/>
          <c:dPt>
            <c:idx val="0"/>
            <c:bubble3D val="false"/>
          </c:dPt>
          <c:dPt>
            <c:idx val="1"/>
            <c:bubble3D val="false"/>
          </c:dPt>
          <c:dPt>
            <c:idx val="2"/>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true"/>
            <c:showPercent val="fals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1">
                  <c:v>一般公共预算财政拨款收入</c:v>
                </c:pt>
                <c:pt idx="2">
                  <c:v>政府性基金预算财政拨款收入</c:v>
                </c:pt>
              </c:strCache>
            </c:strRef>
          </c:cat>
          <c:val>
            <c:numRef>
              <c:f>Sheet1!$B$2:$B$4</c:f>
              <c:numCache>
                <c:formatCode>General</c:formatCode>
                <c:ptCount val="3"/>
                <c:pt idx="1">
                  <c:v>517.780000000001</c:v>
                </c:pt>
                <c:pt idx="2">
                  <c:v>0</c:v>
                </c:pt>
              </c:numCache>
            </c:numRef>
          </c:val>
        </c:ser>
        <c:dLbls>
          <c:showLegendKey val="false"/>
          <c:showVal val="true"/>
          <c:showCatName val="false"/>
          <c:showSerName val="false"/>
          <c:showPercent val="false"/>
          <c:showBubbleSize val="false"/>
          <c:showLeaderLines val="true"/>
        </c:dLbls>
        <c:firstSliceAng val="0"/>
      </c:pieChart>
    </c:plotArea>
    <c:legend>
      <c:legendPos val="b"/>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10"/>
    </mc:Choice>
    <mc:Fallback>
      <c:style val="10"/>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sz="1500"/>
              <a:t>支出决算结构图</a:t>
            </a:r>
            <a:endParaRPr lang="zh-CN" sz="1500"/>
          </a:p>
          <a:p>
            <a:pPr>
              <a:defRPr lang="zh-CN" sz="1800" b="1" i="0" u="none" strike="noStrike" kern="1200" baseline="0">
                <a:solidFill>
                  <a:schemeClr val="tx1"/>
                </a:solidFill>
                <a:latin typeface="+mn-lt"/>
                <a:ea typeface="+mn-ea"/>
                <a:cs typeface="+mn-cs"/>
              </a:defRPr>
            </a:pPr>
            <a:r>
              <a:rPr lang="zh-CN" sz="1000"/>
              <a:t>单位：万元</a:t>
            </a:r>
            <a:endParaRPr lang="zh-CN" sz="1000"/>
          </a:p>
        </c:rich>
      </c:tx>
      <c:layout/>
      <c:overlay val="false"/>
    </c:title>
    <c:autoTitleDeleted val="false"/>
    <c:plotArea>
      <c:layout>
        <c:manualLayout>
          <c:layoutTarget val="inner"/>
          <c:xMode val="edge"/>
          <c:yMode val="edge"/>
          <c:x val="0.369327683454183"/>
          <c:y val="0.283829833770779"/>
          <c:w val="0.299024622325924"/>
          <c:h val="0.514363881598134"/>
        </c:manualLayout>
      </c:layout>
      <c:pieChart>
        <c:varyColors val="true"/>
        <c:ser>
          <c:idx val="0"/>
          <c:order val="0"/>
          <c:explosion val="0"/>
          <c:dPt>
            <c:idx val="0"/>
            <c:bubble3D val="false"/>
          </c:dPt>
          <c:dPt>
            <c:idx val="1"/>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基本支出</c:v>
                </c:pt>
                <c:pt idx="1">
                  <c:v>项目支出</c:v>
                </c:pt>
              </c:strCache>
            </c:strRef>
          </c:cat>
          <c:val>
            <c:numRef>
              <c:f>Sheet1!$B$2:$B$3</c:f>
              <c:numCache>
                <c:formatCode>General</c:formatCode>
                <c:ptCount val="2"/>
                <c:pt idx="0">
                  <c:v>423.78</c:v>
                </c:pt>
                <c:pt idx="1">
                  <c:v>68.738</c:v>
                </c:pt>
              </c:numCache>
            </c:numRef>
          </c:val>
        </c:ser>
        <c:dLbls>
          <c:showLegendKey val="false"/>
          <c:showVal val="true"/>
          <c:showCatName val="false"/>
          <c:showSerName val="false"/>
          <c:showPercent val="false"/>
          <c:showBubbleSize val="false"/>
          <c:showLeaderLines val="true"/>
        </c:dLbls>
        <c:firstSliceAng val="0"/>
      </c:pieChart>
    </c:plotArea>
    <c:legend>
      <c:legendPos val="b"/>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财政拨款收、支决算总计变动情况</a:t>
            </a:r>
            <a:endParaRPr lang="zh-CN" altLang="en-US"/>
          </a:p>
        </c:rich>
      </c:tx>
      <c:layout/>
      <c:overlay val="false"/>
    </c:title>
    <c:autoTitleDeleted val="false"/>
    <c:plotArea>
      <c:layout/>
      <c:barChart>
        <c:barDir val="col"/>
        <c:grouping val="clustered"/>
        <c:varyColors val="false"/>
        <c:ser>
          <c:idx val="0"/>
          <c:order val="0"/>
          <c:tx>
            <c:strRef>
              <c:f>Sheet1!$A$26</c:f>
              <c:strCache>
                <c:ptCount val="1"/>
                <c:pt idx="0">
                  <c:v>收入</c:v>
                </c:pt>
              </c:strCache>
            </c:strRef>
          </c:tx>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Sheet1!$B$24:$C$25</c:f>
              <c:strCache>
                <c:ptCount val="2"/>
                <c:pt idx="0">
                  <c:v>2018年</c:v>
                </c:pt>
                <c:pt idx="1">
                  <c:v>2017年</c:v>
                </c:pt>
              </c:strCache>
            </c:strRef>
          </c:cat>
          <c:val>
            <c:numRef>
              <c:f>Sheet1!$B$26:$C$26</c:f>
              <c:numCache>
                <c:formatCode>General</c:formatCode>
                <c:ptCount val="2"/>
                <c:pt idx="0">
                  <c:v>517.78</c:v>
                </c:pt>
                <c:pt idx="1">
                  <c:v>674.05</c:v>
                </c:pt>
              </c:numCache>
            </c:numRef>
          </c:val>
        </c:ser>
        <c:ser>
          <c:idx val="1"/>
          <c:order val="1"/>
          <c:tx>
            <c:strRef>
              <c:f>Sheet1!$A$27</c:f>
              <c:strCache>
                <c:ptCount val="1"/>
                <c:pt idx="0">
                  <c:v>支出</c:v>
                </c:pt>
              </c:strCache>
            </c:strRef>
          </c:tx>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Sheet1!$B$24:$C$25</c:f>
              <c:strCache>
                <c:ptCount val="2"/>
                <c:pt idx="0">
                  <c:v>2018年</c:v>
                </c:pt>
                <c:pt idx="1">
                  <c:v>2017年</c:v>
                </c:pt>
              </c:strCache>
            </c:strRef>
          </c:cat>
          <c:val>
            <c:numRef>
              <c:f>Sheet1!$B$27:$C$27</c:f>
              <c:numCache>
                <c:formatCode>General</c:formatCode>
                <c:ptCount val="2"/>
                <c:pt idx="0">
                  <c:v>492.51</c:v>
                </c:pt>
                <c:pt idx="1">
                  <c:v>656.4</c:v>
                </c:pt>
              </c:numCache>
            </c:numRef>
          </c:val>
        </c:ser>
        <c:dLbls>
          <c:showLegendKey val="false"/>
          <c:showVal val="true"/>
          <c:showCatName val="false"/>
          <c:showSerName val="false"/>
          <c:showPercent val="false"/>
          <c:showBubbleSize val="false"/>
        </c:dLbls>
        <c:gapWidth val="150"/>
        <c:overlap val="-25"/>
        <c:axId val="251979264"/>
        <c:axId val="251981184"/>
      </c:barChart>
      <c:catAx>
        <c:axId val="251979264"/>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51981184"/>
        <c:crosses val="autoZero"/>
        <c:auto val="true"/>
        <c:lblAlgn val="ctr"/>
        <c:lblOffset val="100"/>
        <c:noMultiLvlLbl val="false"/>
      </c:catAx>
      <c:valAx>
        <c:axId val="251981184"/>
        <c:scaling>
          <c:orientation val="minMax"/>
        </c:scaling>
        <c:delete val="true"/>
        <c:axPos val="l"/>
        <c:numFmt formatCode="General" sourceLinked="true"/>
        <c:majorTickMark val="none"/>
        <c:minorTickMark val="none"/>
        <c:tickLblPos val="none"/>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51979264"/>
        <c:crosses val="autoZero"/>
        <c:crossBetween val="between"/>
      </c:valAx>
    </c:plotArea>
    <c:legend>
      <c:legendPos val="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一般公共预算财政拨款支出决算变动情况</a:t>
            </a:r>
            <a:endParaRPr lang="zh-CN" altLang="en-US"/>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endParaRPr lang="zh-CN" altLang="en-US"/>
          </a:p>
        </c:rich>
      </c:tx>
      <c:layout/>
      <c:overlay val="false"/>
      <c:spPr>
        <a:noFill/>
        <a:ln>
          <a:noFill/>
        </a:ln>
        <a:effectLst/>
      </c:spPr>
    </c:title>
    <c:autoTitleDeleted val="false"/>
    <c:plotArea>
      <c:layout/>
      <c:barChart>
        <c:barDir val="col"/>
        <c:grouping val="stacked"/>
        <c:varyColors val="false"/>
        <c:ser>
          <c:idx val="0"/>
          <c:order val="0"/>
          <c:tx>
            <c:strRef>
              <c:f>Sheet1!$B$1</c:f>
              <c:strCache>
                <c:ptCount val="1"/>
                <c:pt idx="0">
                  <c:v>2018年</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Sheet1!$A$2:$A$5</c:f>
              <c:strCache>
                <c:ptCount val="3"/>
                <c:pt idx="1">
                  <c:v>2018年</c:v>
                </c:pt>
                <c:pt idx="2">
                  <c:v>2017年</c:v>
                </c:pt>
              </c:strCache>
            </c:strRef>
          </c:cat>
          <c:val>
            <c:numRef>
              <c:f>Sheet1!$B$2:$B$5</c:f>
              <c:numCache>
                <c:formatCode>General</c:formatCode>
                <c:ptCount val="4"/>
                <c:pt idx="1" c:formatCode="0.00_ ">
                  <c:v>423.78</c:v>
                </c:pt>
              </c:numCache>
            </c:numRef>
          </c:val>
        </c:ser>
        <c:ser>
          <c:idx val="1"/>
          <c:order val="1"/>
          <c:tx>
            <c:strRef>
              <c:f>Sheet1!$C$1</c:f>
              <c:strCache>
                <c:ptCount val="1"/>
                <c:pt idx="0">
                  <c:v>2017年</c:v>
                </c:pt>
              </c:strCache>
            </c:strRef>
          </c:tx>
          <c:spPr>
            <a:solidFill>
              <a:schemeClr val="accent6"/>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Sheet1!$A$2:$A$5</c:f>
              <c:strCache>
                <c:ptCount val="3"/>
                <c:pt idx="1">
                  <c:v>2018年</c:v>
                </c:pt>
                <c:pt idx="2">
                  <c:v>2017年</c:v>
                </c:pt>
              </c:strCache>
            </c:strRef>
          </c:cat>
          <c:val>
            <c:numRef>
              <c:f>Sheet1!$C$2:$C$5</c:f>
              <c:numCache>
                <c:formatCode>General</c:formatCode>
                <c:ptCount val="4"/>
                <c:pt idx="2" c:formatCode="0.00_ ">
                  <c:v>240.2</c:v>
                </c:pt>
              </c:numCache>
            </c:numRef>
          </c:val>
        </c:ser>
        <c:ser>
          <c:idx val="2"/>
          <c:order val="2"/>
          <c:tx>
            <c:strRef>
              <c:f>Sheet1!$D$1</c:f>
              <c:strCache>
                <c:ptCount val="1"/>
                <c:pt idx="0">
                  <c:v/>
                </c:pt>
              </c:strCache>
            </c:strRef>
          </c:tx>
          <c:spPr>
            <a:noFill/>
            <a:ln>
              <a:noFill/>
            </a:ln>
            <a:effectLst/>
          </c:spPr>
          <c:invertIfNegative val="false"/>
          <c:dLbls>
            <c:delete val="true"/>
          </c:dLbls>
          <c:cat>
            <c:strRef>
              <c:f>Sheet1!$A$2:$A$5</c:f>
              <c:strCache>
                <c:ptCount val="3"/>
                <c:pt idx="1">
                  <c:v>2018年</c:v>
                </c:pt>
                <c:pt idx="2">
                  <c:v>2017年</c:v>
                </c:pt>
              </c:strCache>
            </c:strRef>
          </c:cat>
          <c:val>
            <c:numRef>
              <c:f>Sheet1!$D$2:$D$5</c:f>
              <c:numCache>
                <c:formatCode>General</c:formatCode>
                <c:ptCount val="4"/>
              </c:numCache>
            </c:numRef>
          </c:val>
        </c:ser>
        <c:dLbls>
          <c:showLegendKey val="false"/>
          <c:showVal val="false"/>
          <c:showCatName val="false"/>
          <c:showSerName val="false"/>
          <c:showPercent val="false"/>
          <c:showBubbleSize val="false"/>
        </c:dLbls>
        <c:gapWidth val="150"/>
        <c:overlap val="100"/>
        <c:axId val="253255680"/>
        <c:axId val="253257984"/>
      </c:barChart>
      <c:catAx>
        <c:axId val="253255680"/>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53257984"/>
        <c:crosses val="autoZero"/>
        <c:auto val="true"/>
        <c:lblAlgn val="ctr"/>
        <c:lblOffset val="100"/>
        <c:noMultiLvlLbl val="false"/>
      </c:catAx>
      <c:valAx>
        <c:axId val="253257984"/>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53255680"/>
        <c:crosses val="autoZero"/>
        <c:crossBetween val="between"/>
      </c:valAx>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一般公共预算财政拨款支出决算结构</a:t>
            </a:r>
            <a:endParaRPr lang="zh-CN" altLang="en-US"/>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900"/>
              <a:t>（单位：万元）</a:t>
            </a:r>
            <a:endParaRPr lang="zh-CN" altLang="en-US" sz="900"/>
          </a:p>
        </c:rich>
      </c:tx>
      <c:layout>
        <c:manualLayout>
          <c:xMode val="edge"/>
          <c:yMode val="edge"/>
          <c:x val="0.155580386486132"/>
          <c:y val="0.0334190231362468"/>
        </c:manualLayout>
      </c:layout>
      <c:overlay val="false"/>
      <c:spPr>
        <a:noFill/>
        <a:ln>
          <a:noFill/>
        </a:ln>
        <a:effectLst/>
      </c:spPr>
    </c:title>
    <c:autoTitleDeleted val="false"/>
    <c:plotArea>
      <c:layout>
        <c:manualLayout>
          <c:layoutTarget val="inner"/>
          <c:xMode val="edge"/>
          <c:yMode val="edge"/>
          <c:x val="0.368476337365047"/>
          <c:y val="0.243993984737673"/>
          <c:w val="0.295447914371528"/>
          <c:h val="0.475941005594942"/>
        </c:manualLayout>
      </c:layout>
      <c:pieChart>
        <c:varyColors val="true"/>
        <c:ser>
          <c:idx val="0"/>
          <c:order val="0"/>
          <c:tx>
            <c:strRef>
              <c:f>Sheet1!$B$1</c:f>
              <c:strCache>
                <c:ptCount val="1"/>
                <c:pt idx="0">
                  <c:v>一般公共预算财政拨款支出决算结构</c:v>
                </c:pt>
              </c:strCache>
            </c:strRef>
          </c:tx>
          <c:explosion val="0"/>
          <c:dPt>
            <c:idx val="0"/>
            <c:bubble3D val="false"/>
            <c:explosion val="5"/>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dPt>
          <c:dLbls>
            <c:dLbl>
              <c:idx val="4"/>
              <c:layout>
                <c:manualLayout>
                  <c:x val="-0.0283370023664815"/>
                  <c:y val="0.0019972122081684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一般公共服务支出</c:v>
                </c:pt>
                <c:pt idx="1">
                  <c:v>公共安全（类204）支出</c:v>
                </c:pt>
                <c:pt idx="2">
                  <c:v>社会保障和就业（类208）支出</c:v>
                </c:pt>
                <c:pt idx="3">
                  <c:v>医疗卫生（类210）支出</c:v>
                </c:pt>
                <c:pt idx="4">
                  <c:v>住房保障（类221）支出</c:v>
                </c:pt>
                <c:pt idx="5">
                  <c:v>农林水（类213）支出</c:v>
                </c:pt>
              </c:strCache>
            </c:strRef>
          </c:cat>
          <c:val>
            <c:numRef>
              <c:f>Sheet1!$B$2:$B$7</c:f>
              <c:numCache>
                <c:formatCode>General</c:formatCode>
                <c:ptCount val="6"/>
                <c:pt idx="0">
                  <c:v>387.98</c:v>
                </c:pt>
                <c:pt idx="1">
                  <c:v>32.73</c:v>
                </c:pt>
                <c:pt idx="2">
                  <c:v>37.67</c:v>
                </c:pt>
                <c:pt idx="3">
                  <c:v>12.14</c:v>
                </c:pt>
                <c:pt idx="4">
                  <c:v>20.97</c:v>
                </c:pt>
                <c:pt idx="5">
                  <c:v>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178694158075601"/>
          <c:y val="0.764609246655718"/>
          <c:w val="0.703321878579612"/>
          <c:h val="0.207228350152546"/>
        </c:manualLayout>
      </c:layout>
      <c:overlay val="false"/>
      <c:spPr>
        <a:noFill/>
        <a:ln>
          <a:noFill/>
        </a:ln>
        <a:effectLst/>
      </c:spPr>
      <c:txPr>
        <a:bodyPr rot="0" spcFirstLastPara="1" vertOverflow="ellipsis" vert="horz" wrap="square" anchor="ctr" anchorCtr="true"/>
        <a:lstStyle/>
        <a:p>
          <a:pPr>
            <a:defRPr lang="zh-CN" sz="8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34"/>
    </mc:Choice>
    <mc:Fallback>
      <c:style val="34"/>
    </mc:Fallback>
  </mc:AlternateContent>
  <c:chart>
    <c:title>
      <c:tx>
        <c:rich>
          <a:bodyPr rot="0" spcFirstLastPara="0" vertOverflow="ellipsis" vert="horz" wrap="square" anchor="ctr" anchorCtr="true"/>
          <a:lstStyle/>
          <a:p>
            <a:pPr>
              <a:defRPr lang="zh-CN" sz="1000" b="1" i="0" u="none" strike="noStrike" kern="1200" baseline="0">
                <a:solidFill>
                  <a:schemeClr val="dk1"/>
                </a:solidFill>
                <a:latin typeface="+mn-lt"/>
                <a:ea typeface="+mn-ea"/>
                <a:cs typeface="+mn-cs"/>
              </a:defRPr>
            </a:pPr>
            <a:r>
              <a:rPr lang="zh-CN" sz="1000"/>
              <a:t>“三公”经费财政拨款支出</a:t>
            </a:r>
            <a:endParaRPr lang="zh-CN" sz="1000"/>
          </a:p>
          <a:p>
            <a:pPr>
              <a:defRPr lang="zh-CN" sz="1000" b="1" i="0" u="none" strike="noStrike" kern="1200" baseline="0">
                <a:solidFill>
                  <a:schemeClr val="dk1"/>
                </a:solidFill>
                <a:latin typeface="+mn-lt"/>
                <a:ea typeface="+mn-ea"/>
                <a:cs typeface="+mn-cs"/>
              </a:defRPr>
            </a:pPr>
            <a:r>
              <a:rPr lang="zh-CN" sz="500"/>
              <a:t>（单位：万元）</a:t>
            </a:r>
            <a:endParaRPr lang="zh-CN" sz="500"/>
          </a:p>
        </c:rich>
      </c:tx>
      <c:layout>
        <c:manualLayout>
          <c:xMode val="edge"/>
          <c:yMode val="edge"/>
          <c:x val="0.273799563107455"/>
          <c:y val="0.0598139662156938"/>
        </c:manualLayout>
      </c:layout>
      <c:overlay val="false"/>
    </c:title>
    <c:autoTitleDeleted val="false"/>
    <c:plotArea>
      <c:layout/>
      <c:pieChart>
        <c:varyColors val="true"/>
        <c:ser>
          <c:idx val="0"/>
          <c:order val="0"/>
          <c:tx>
            <c:strRef>
              <c:f>'Sheet1'!$B$1</c:f>
              <c:strCache>
                <c:ptCount val="1"/>
                <c:pt idx="0">
                  <c:v>“三公”经费财政拨款支出</c:v>
                </c:pt>
              </c:strCache>
            </c:strRef>
          </c:tx>
          <c:explosion val="0"/>
          <c:dPt>
            <c:idx val="0"/>
            <c:bubble3D val="false"/>
            <c:explosion val="29"/>
          </c:dPt>
          <c:dPt>
            <c:idx val="1"/>
            <c:bubble3D val="false"/>
          </c:dPt>
          <c:dPt>
            <c:idx val="2"/>
            <c:bubble3D val="false"/>
          </c:dPt>
          <c:dLbls>
            <c:dLbl>
              <c:idx val="1"/>
              <c:layout>
                <c:manualLayout>
                  <c:x val="-0.123780341644543"/>
                  <c:y val="0.0367614020546601"/>
                </c:manualLayout>
              </c:layout>
              <c:dLblPos val="bestFit"/>
              <c:showLegendKey val="false"/>
              <c:showVal val="true"/>
              <c:showCatName val="false"/>
              <c:showSerName val="true"/>
              <c:showPercent val="false"/>
              <c:showBubbleSize val="false"/>
              <c:extLst>
                <c:ext xmlns:c15="http://schemas.microsoft.com/office/drawing/2012/chart" uri="{CE6537A1-D6FC-4f65-9D91-7224C49458BB}">
                  <c15:layout/>
                </c:ext>
              </c:extLst>
            </c:dLbl>
            <c:dLbl>
              <c:idx val="2"/>
              <c:layout>
                <c:manualLayout>
                  <c:x val="0.0923308624331207"/>
                  <c:y val="-0.00116236414794663"/>
                </c:manualLayout>
              </c:layout>
              <c:dLblPos val="bestFit"/>
              <c:showLegendKey val="false"/>
              <c:showVal val="true"/>
              <c:showCatName val="false"/>
              <c:showSerName val="tru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400" b="0" i="0" u="none" strike="noStrike" kern="1200" baseline="0">
                    <a:solidFill>
                      <a:schemeClr val="dk1"/>
                    </a:solidFill>
                    <a:latin typeface="+mn-lt"/>
                    <a:ea typeface="+mn-ea"/>
                    <a:cs typeface="+mn-cs"/>
                  </a:defRPr>
                </a:pPr>
              </a:p>
            </c:txPr>
            <c:dLblPos val="bestFit"/>
            <c:showLegendKey val="false"/>
            <c:showVal val="true"/>
            <c:showCatName val="false"/>
            <c:showSerName val="true"/>
            <c:showPercent val="fals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公务接待费支出决算</c:v>
                </c:pt>
                <c:pt idx="1">
                  <c:v>因公出国（境）费支出决算</c:v>
                </c:pt>
                <c:pt idx="2">
                  <c:v>公务用车购置及运行维护费支出决算</c:v>
                </c:pt>
              </c:strCache>
            </c:strRef>
          </c:cat>
          <c:val>
            <c:numRef>
              <c:f>'Sheet1'!$B$2:$B$4</c:f>
              <c:numCache>
                <c:formatCode>General</c:formatCode>
                <c:ptCount val="3"/>
                <c:pt idx="0">
                  <c:v>2.15</c:v>
                </c:pt>
                <c:pt idx="1">
                  <c:v>0</c:v>
                </c:pt>
                <c:pt idx="2">
                  <c:v>0</c:v>
                </c:pt>
              </c:numCache>
            </c:numRef>
          </c:val>
        </c:ser>
        <c:ser>
          <c:idx val="1"/>
          <c:order val="1"/>
          <c:tx>
            <c:strRef>
              <c:f>'Sheet1'!$C$1</c:f>
              <c:strCache>
                <c:ptCount val="1"/>
                <c:pt idx="0">
                  <c:v/>
                </c:pt>
              </c:strCache>
            </c:strRef>
          </c:tx>
          <c:explosion val="0"/>
          <c:dPt>
            <c:idx val="0"/>
            <c:bubble3D val="false"/>
          </c:dPt>
          <c:dPt>
            <c:idx val="1"/>
            <c:bubble3D val="false"/>
          </c:dPt>
          <c:dPt>
            <c:idx val="2"/>
            <c:bubble3D val="false"/>
          </c:dPt>
          <c:dLbls>
            <c:delete val="true"/>
          </c:dLbls>
          <c:cat>
            <c:strRef>
              <c:f>'Sheet1'!$A$2:$A$4</c:f>
              <c:strCache>
                <c:ptCount val="3"/>
                <c:pt idx="0">
                  <c:v>公务接待费支出决算</c:v>
                </c:pt>
                <c:pt idx="1">
                  <c:v>因公出国（境）费支出决算</c:v>
                </c:pt>
                <c:pt idx="2">
                  <c:v>公务用车购置及运行维护费支出决算</c:v>
                </c:pt>
              </c:strCache>
            </c:strRef>
          </c:cat>
          <c:val>
            <c:numRef>
              <c:f>'Sheet1'!$C$2:$C$4</c:f>
              <c:numCache>
                <c:formatCode>General</c:formatCode>
                <c:ptCount val="3"/>
              </c:numCache>
            </c:numRef>
          </c:val>
        </c:ser>
        <c:dLbls>
          <c:showLegendKey val="false"/>
          <c:showVal val="false"/>
          <c:showCatName val="false"/>
          <c:showSerName val="false"/>
          <c:showPercent val="false"/>
          <c:showBubbleSize val="false"/>
          <c:showLeaderLines val="true"/>
        </c:dLbls>
        <c:firstSliceAng val="0"/>
      </c:pieChart>
    </c:plotArea>
    <c:legend>
      <c:legendPos val="b"/>
      <c:layout/>
      <c:overlay val="false"/>
      <c:txPr>
        <a:bodyPr rot="0" spcFirstLastPara="0" vertOverflow="ellipsis" vert="horz" wrap="square" anchor="ctr" anchorCtr="true"/>
        <a:lstStyle/>
        <a:p>
          <a:pPr>
            <a:defRPr lang="zh-CN" sz="500" b="0" i="0" u="none" strike="noStrike" kern="1200" baseline="0">
              <a:solidFill>
                <a:schemeClr val="dk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48</Pages>
  <Words>2882</Words>
  <Characters>16431</Characters>
  <Lines>136</Lines>
  <Paragraphs>38</Paragraphs>
  <TotalTime>562</TotalTime>
  <ScaleCrop>false</ScaleCrop>
  <LinksUpToDate>false</LinksUpToDate>
  <CharactersWithSpaces>19275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2019-09-10T10:41:00Z</dcterms:created>
  <dc:creator>张彬茜</dc:creator>
  <cp:lastModifiedBy>user</cp:lastModifiedBy>
  <cp:lastPrinted>2019-08-01T08:48:00Z</cp:lastPrinted>
  <dcterms:modified xsi:type="dcterms:W3CDTF">2023-07-13T15:35:52Z</dcterms:modified>
  <dc:title>四川省***</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