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bookmarkStart w:id="79" w:name="_GoBack"/>
      <w:bookmarkEnd w:id="79"/>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425"/>
      <w:bookmarkStart w:id="2" w:name="_Toc15396475"/>
      <w:bookmarkStart w:id="3" w:name="_Toc15377193"/>
      <w:bookmarkStart w:id="4" w:name="_Toc15396597"/>
      <w:bookmarkStart w:id="5" w:name="_Toc15378441"/>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194"/>
      <w:bookmarkStart w:id="7" w:name="_Toc15377426"/>
      <w:bookmarkStart w:id="8" w:name="_Toc15396598"/>
      <w:bookmarkStart w:id="9" w:name="_Toc15378442"/>
      <w:bookmarkStart w:id="10" w:name="_Toc15396476"/>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eastAsia="zh-CN"/>
        </w:rPr>
        <w:t>广元市利州区人民政府办公室</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1"/>
      </w:pPr>
      <w:r>
        <w:rPr>
          <w:rFonts w:hint="eastAsia"/>
        </w:rPr>
        <w:t>公开时间：2019年</w:t>
      </w:r>
      <w:r>
        <w:rPr>
          <w:rFonts w:hint="eastAsia"/>
          <w:lang w:val="en-US" w:eastAsia="zh-CN"/>
        </w:rPr>
        <w:t>9</w:t>
      </w:r>
      <w:r>
        <w:rPr>
          <w:rFonts w:hint="eastAsia"/>
        </w:rPr>
        <w:t>月</w:t>
      </w:r>
      <w:r>
        <w:rPr>
          <w:rFonts w:hint="eastAsia"/>
          <w:lang w:val="en-US" w:eastAsia="zh-CN"/>
        </w:rPr>
        <w:t>12</w:t>
      </w:r>
      <w:r>
        <w:rPr>
          <w:rFonts w:hint="eastAsia"/>
        </w:rPr>
        <w:t>日</w:t>
      </w:r>
    </w:p>
    <w:p/>
    <w:p>
      <w:pPr>
        <w:pStyle w:val="11"/>
        <w:rPr>
          <w:rFonts w:cstheme="minorBidi"/>
        </w:rPr>
      </w:pPr>
      <w:r>
        <w:fldChar w:fldCharType="begin"/>
      </w:r>
      <w:r>
        <w:instrText xml:space="preserve"> HYPERLINK \l "_Toc15396599" </w:instrText>
      </w:r>
      <w:r>
        <w:fldChar w:fldCharType="separate"/>
      </w:r>
      <w:r>
        <w:rPr>
          <w:rStyle w:val="16"/>
          <w:rFonts w:hint="eastAsia"/>
        </w:rPr>
        <w:t>第一部分</w:t>
      </w:r>
      <w:r>
        <w:rPr>
          <w:rStyle w:val="16"/>
        </w:rPr>
        <w:t xml:space="preserve"> </w:t>
      </w:r>
      <w:r>
        <w:rPr>
          <w:rStyle w:val="16"/>
          <w:rFonts w:hint="eastAsia"/>
        </w:rPr>
        <w:t>部门概况</w:t>
      </w:r>
      <w:r>
        <w:tab/>
      </w:r>
      <w:r>
        <w:rPr>
          <w:rFonts w:hint="eastAsia"/>
        </w:rPr>
        <w:t>4</w:t>
      </w:r>
      <w:r>
        <w:rPr>
          <w:rFonts w:hint="eastAsia"/>
        </w:rPr>
        <w:fldChar w:fldCharType="end"/>
      </w:r>
    </w:p>
    <w:p>
      <w:pPr>
        <w:pStyle w:val="12"/>
        <w:rPr>
          <w:rFonts w:ascii="仿宋" w:hAnsi="仿宋" w:eastAsia="仿宋" w:cstheme="minorBidi"/>
          <w:sz w:val="28"/>
          <w:szCs w:val="28"/>
        </w:rPr>
      </w:pPr>
      <w:r>
        <w:fldChar w:fldCharType="begin"/>
      </w:r>
      <w:r>
        <w:instrText xml:space="preserve"> HYPERLINK \l "_Toc15396600" </w:instrText>
      </w:r>
      <w:r>
        <w:fldChar w:fldCharType="separate"/>
      </w:r>
      <w:r>
        <w:rPr>
          <w:rStyle w:val="16"/>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"_Toc15396601" </w:instrText>
      </w:r>
      <w:r>
        <w:fldChar w:fldCharType="separate"/>
      </w:r>
      <w:r>
        <w:rPr>
          <w:rStyle w:val="16"/>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pPr>
      <w:r>
        <w:fldChar w:fldCharType="begin"/>
      </w:r>
      <w:r>
        <w:instrText xml:space="preserve"> HYPERLINK \l "_Toc15396602" </w:instrText>
      </w:r>
      <w:r>
        <w:fldChar w:fldCharType="separate"/>
      </w:r>
      <w:r>
        <w:rPr>
          <w:rStyle w:val="16"/>
          <w:rFonts w:hint="eastAsia"/>
        </w:rPr>
        <w:t>第二部分</w:t>
      </w:r>
      <w:r>
        <w:rPr>
          <w:rStyle w:val="16"/>
        </w:rPr>
        <w:t xml:space="preserve"> 2018</w:t>
      </w:r>
      <w:r>
        <w:rPr>
          <w:rStyle w:val="16"/>
          <w:rFonts w:hint="eastAsia"/>
        </w:rPr>
        <w:t>年度部门决算情况说明</w:t>
      </w:r>
      <w:r>
        <w:tab/>
      </w:r>
      <w:r>
        <w:fldChar w:fldCharType="begin"/>
      </w:r>
      <w:r>
        <w:instrText xml:space="preserve"> PAGEREF _Toc15396602 \h </w:instrText>
      </w:r>
      <w:r>
        <w:fldChar w:fldCharType="separate"/>
      </w:r>
      <w:r>
        <w:t>10</w:t>
      </w:r>
      <w:r>
        <w:fldChar w:fldCharType="end"/>
      </w:r>
      <w:r>
        <w:fldChar w:fldCharType="end"/>
      </w:r>
    </w:p>
    <w:p>
      <w:pPr>
        <w:pStyle w:val="12"/>
        <w:rPr>
          <w:rFonts w:ascii="仿宋" w:hAnsi="仿宋" w:eastAsia="仿宋" w:cstheme="minorBidi"/>
          <w:sz w:val="28"/>
          <w:szCs w:val="28"/>
        </w:rPr>
      </w:pPr>
      <w:r>
        <w:fldChar w:fldCharType="begin"/>
      </w:r>
      <w:r>
        <w:instrText xml:space="preserve"> HYPERLINK \l "_Toc15396603" </w:instrText>
      </w:r>
      <w:r>
        <w:fldChar w:fldCharType="separate"/>
      </w:r>
      <w:r>
        <w:rPr>
          <w:rStyle w:val="16"/>
          <w:rFonts w:hint="eastAsia" w:ascii="仿宋" w:hAnsi="仿宋" w:eastAsia="仿宋" w:cstheme="majorBidi"/>
          <w:bCs/>
          <w:sz w:val="28"/>
          <w:szCs w:val="28"/>
        </w:rPr>
        <w:t>一、</w:t>
      </w:r>
      <w:r>
        <w:rPr>
          <w:rStyle w:val="16"/>
          <w:rFonts w:hint="eastAsia" w:ascii="仿宋" w:hAnsi="仿宋" w:eastAsia="仿宋"/>
          <w:sz w:val="28"/>
          <w:szCs w:val="28"/>
        </w:rPr>
        <w:t>收</w:t>
      </w:r>
      <w:r>
        <w:rPr>
          <w:rStyle w:val="16"/>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"_Toc15396604" </w:instrText>
      </w:r>
      <w:r>
        <w:fldChar w:fldCharType="separate"/>
      </w:r>
      <w:r>
        <w:rPr>
          <w:rStyle w:val="16"/>
          <w:rFonts w:hint="eastAsia" w:ascii="仿宋" w:hAnsi="仿宋" w:eastAsia="仿宋" w:cstheme="majorBidi"/>
          <w:bCs/>
          <w:sz w:val="28"/>
          <w:szCs w:val="28"/>
        </w:rPr>
        <w:t>二、</w:t>
      </w:r>
      <w:r>
        <w:rPr>
          <w:rStyle w:val="16"/>
          <w:rFonts w:hint="eastAsia" w:ascii="仿宋" w:hAnsi="仿宋" w:eastAsia="仿宋"/>
          <w:sz w:val="28"/>
          <w:szCs w:val="28"/>
        </w:rPr>
        <w:t>收</w:t>
      </w:r>
      <w:r>
        <w:rPr>
          <w:rStyle w:val="16"/>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"_Toc15396605" </w:instrText>
      </w:r>
      <w:r>
        <w:fldChar w:fldCharType="separate"/>
      </w:r>
      <w:r>
        <w:rPr>
          <w:rStyle w:val="16"/>
          <w:rFonts w:hint="eastAsia" w:ascii="仿宋" w:hAnsi="仿宋" w:eastAsia="仿宋" w:cstheme="majorBidi"/>
          <w:bCs/>
          <w:sz w:val="28"/>
          <w:szCs w:val="28"/>
        </w:rPr>
        <w:t>三、</w:t>
      </w:r>
      <w:r>
        <w:rPr>
          <w:rStyle w:val="16"/>
          <w:rFonts w:hint="eastAsia" w:ascii="仿宋" w:hAnsi="仿宋" w:eastAsia="仿宋"/>
          <w:sz w:val="28"/>
          <w:szCs w:val="28"/>
        </w:rPr>
        <w:t>支</w:t>
      </w:r>
      <w:r>
        <w:rPr>
          <w:rStyle w:val="16"/>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"_Toc15396606" </w:instrText>
      </w:r>
      <w:r>
        <w:fldChar w:fldCharType="separate"/>
      </w:r>
      <w:r>
        <w:rPr>
          <w:rStyle w:val="16"/>
          <w:rFonts w:hint="eastAsia" w:ascii="仿宋" w:hAnsi="仿宋" w:eastAsia="仿宋"/>
          <w:sz w:val="28"/>
          <w:szCs w:val="28"/>
        </w:rPr>
        <w:t>四、财</w:t>
      </w:r>
      <w:r>
        <w:rPr>
          <w:rStyle w:val="16"/>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"_Toc15396607" </w:instrText>
      </w:r>
      <w:r>
        <w:fldChar w:fldCharType="separate"/>
      </w:r>
      <w:r>
        <w:rPr>
          <w:rStyle w:val="16"/>
          <w:rFonts w:hint="eastAsia" w:ascii="仿宋" w:hAnsi="仿宋" w:eastAsia="仿宋"/>
          <w:sz w:val="28"/>
          <w:szCs w:val="28"/>
        </w:rPr>
        <w:t>五、一</w:t>
      </w:r>
      <w:r>
        <w:rPr>
          <w:rStyle w:val="16"/>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"_Toc15396608" </w:instrText>
      </w:r>
      <w:r>
        <w:fldChar w:fldCharType="separate"/>
      </w:r>
      <w:r>
        <w:rPr>
          <w:rStyle w:val="16"/>
          <w:rFonts w:hint="eastAsia" w:ascii="仿宋" w:hAnsi="仿宋" w:eastAsia="仿宋"/>
          <w:sz w:val="28"/>
          <w:szCs w:val="28"/>
        </w:rPr>
        <w:t>六、一</w:t>
      </w:r>
      <w:r>
        <w:rPr>
          <w:rStyle w:val="16"/>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"_Toc15396609" </w:instrText>
      </w:r>
      <w:r>
        <w:fldChar w:fldCharType="separate"/>
      </w:r>
      <w:r>
        <w:rPr>
          <w:rStyle w:val="16"/>
          <w:rFonts w:hint="eastAsia" w:ascii="仿宋" w:hAnsi="仿宋" w:eastAsia="仿宋"/>
          <w:sz w:val="28"/>
          <w:szCs w:val="28"/>
        </w:rPr>
        <w:t>七、</w:t>
      </w:r>
      <w:r>
        <w:rPr>
          <w:rStyle w:val="16"/>
          <w:rFonts w:ascii="仿宋" w:hAnsi="仿宋" w:eastAsia="仿宋"/>
          <w:sz w:val="28"/>
          <w:szCs w:val="28"/>
        </w:rPr>
        <w:t>“</w:t>
      </w:r>
      <w:r>
        <w:rPr>
          <w:rStyle w:val="16"/>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16</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"_Toc15396610" </w:instrText>
      </w:r>
      <w:r>
        <w:fldChar w:fldCharType="separate"/>
      </w:r>
      <w:r>
        <w:rPr>
          <w:rStyle w:val="16"/>
          <w:rFonts w:hint="eastAsia" w:ascii="仿宋" w:hAnsi="仿宋" w:eastAsia="仿宋"/>
          <w:sz w:val="28"/>
          <w:szCs w:val="28"/>
        </w:rPr>
        <w:t>八、</w:t>
      </w:r>
      <w:r>
        <w:rPr>
          <w:rStyle w:val="16"/>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18</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"_Toc15396611" </w:instrText>
      </w:r>
      <w:r>
        <w:fldChar w:fldCharType="separate"/>
      </w:r>
      <w:r>
        <w:rPr>
          <w:rStyle w:val="16"/>
          <w:rFonts w:hint="eastAsia" w:ascii="仿宋" w:hAnsi="仿宋" w:eastAsia="仿宋" w:cstheme="majorBidi"/>
          <w:bCs/>
          <w:sz w:val="28"/>
          <w:szCs w:val="28"/>
        </w:rPr>
        <w:t>九、</w:t>
      </w:r>
      <w:r>
        <w:rPr>
          <w:rStyle w:val="16"/>
          <w:rFonts w:hint="eastAsia" w:ascii="仿宋" w:hAnsi="仿宋" w:eastAsia="仿宋"/>
          <w:sz w:val="28"/>
          <w:szCs w:val="28"/>
        </w:rPr>
        <w:t xml:space="preserve"> 国</w:t>
      </w:r>
      <w:r>
        <w:rPr>
          <w:rStyle w:val="16"/>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18</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"_Toc15396612" </w:instrText>
      </w:r>
      <w:r>
        <w:fldChar w:fldCharType="separate"/>
      </w:r>
      <w:r>
        <w:rPr>
          <w:rStyle w:val="16"/>
          <w:rFonts w:hint="eastAsia" w:ascii="仿宋" w:hAnsi="仿宋" w:eastAsia="仿宋"/>
          <w:sz w:val="28"/>
          <w:szCs w:val="28"/>
        </w:rPr>
        <w:t>十</w:t>
      </w:r>
      <w:r>
        <w:rPr>
          <w:rStyle w:val="16"/>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20</w:t>
      </w:r>
      <w:r>
        <w:rPr>
          <w:rFonts w:ascii="仿宋" w:hAnsi="仿宋" w:eastAsia="仿宋"/>
          <w:sz w:val="28"/>
          <w:szCs w:val="28"/>
        </w:rPr>
        <w:fldChar w:fldCharType="end"/>
      </w:r>
      <w:r>
        <w:rPr>
          <w:rFonts w:ascii="仿宋" w:hAnsi="仿宋" w:eastAsia="仿宋"/>
          <w:sz w:val="28"/>
          <w:szCs w:val="28"/>
        </w:rPr>
        <w:fldChar w:fldCharType="end"/>
      </w:r>
    </w:p>
    <w:p>
      <w:pPr>
        <w:pStyle w:val="11"/>
        <w:rPr>
          <w:rFonts w:cstheme="minorBidi"/>
        </w:rPr>
      </w:pPr>
      <w:r>
        <w:fldChar w:fldCharType="begin"/>
      </w:r>
      <w:r>
        <w:instrText xml:space="preserve"> HYPERLINK \l "_Toc15396613" </w:instrText>
      </w:r>
      <w:r>
        <w:fldChar w:fldCharType="separate"/>
      </w:r>
      <w:r>
        <w:rPr>
          <w:rStyle w:val="16"/>
          <w:rFonts w:hint="eastAsia"/>
          <w:bCs/>
          <w:kern w:val="44"/>
        </w:rPr>
        <w:t>第三部分</w:t>
      </w:r>
      <w:r>
        <w:rPr>
          <w:rStyle w:val="16"/>
          <w:rFonts w:hint="eastAsia"/>
        </w:rPr>
        <w:t xml:space="preserve"> 名</w:t>
      </w:r>
      <w:r>
        <w:rPr>
          <w:rStyle w:val="16"/>
          <w:rFonts w:hint="eastAsia"/>
          <w:bCs/>
          <w:kern w:val="44"/>
        </w:rPr>
        <w:t>词解释</w:t>
      </w:r>
      <w:r>
        <w:tab/>
      </w:r>
      <w:r>
        <w:fldChar w:fldCharType="begin"/>
      </w:r>
      <w:r>
        <w:instrText xml:space="preserve"> PAGEREF _Toc15396613 \h </w:instrText>
      </w:r>
      <w:r>
        <w:fldChar w:fldCharType="separate"/>
      </w:r>
      <w:r>
        <w:t>22</w:t>
      </w:r>
      <w:r>
        <w:fldChar w:fldCharType="end"/>
      </w:r>
      <w:r>
        <w:fldChar w:fldCharType="end"/>
      </w:r>
    </w:p>
    <w:p>
      <w:pPr>
        <w:pStyle w:val="11"/>
        <w:rPr>
          <w:rFonts w:cstheme="minorBidi"/>
        </w:rPr>
      </w:pPr>
      <w:r>
        <w:fldChar w:fldCharType="begin"/>
      </w:r>
      <w:r>
        <w:instrText xml:space="preserve"> HYPERLINK \l "_Toc15396614" </w:instrText>
      </w:r>
      <w:r>
        <w:fldChar w:fldCharType="separate"/>
      </w:r>
      <w:r>
        <w:rPr>
          <w:rStyle w:val="16"/>
          <w:rFonts w:hint="eastAsia"/>
        </w:rPr>
        <w:t>第</w:t>
      </w:r>
      <w:r>
        <w:rPr>
          <w:rStyle w:val="16"/>
          <w:rFonts w:hint="eastAsia"/>
          <w:bCs/>
          <w:kern w:val="44"/>
        </w:rPr>
        <w:t>四部分</w:t>
      </w:r>
      <w:r>
        <w:rPr>
          <w:rStyle w:val="16"/>
          <w:bCs/>
          <w:kern w:val="44"/>
        </w:rPr>
        <w:t xml:space="preserve"> </w:t>
      </w:r>
      <w:r>
        <w:rPr>
          <w:rStyle w:val="16"/>
          <w:rFonts w:hint="eastAsia"/>
          <w:bCs/>
          <w:kern w:val="44"/>
        </w:rPr>
        <w:t>附件</w:t>
      </w:r>
      <w:r>
        <w:tab/>
      </w:r>
      <w:r>
        <w:fldChar w:fldCharType="begin"/>
      </w:r>
      <w:r>
        <w:instrText xml:space="preserve"> PAGEREF _Toc15396614 \h </w:instrText>
      </w:r>
      <w:r>
        <w:fldChar w:fldCharType="separate"/>
      </w:r>
      <w:r>
        <w:t>25</w:t>
      </w:r>
      <w:r>
        <w:fldChar w:fldCharType="end"/>
      </w:r>
      <w:r>
        <w:fldChar w:fldCharType="end"/>
      </w:r>
    </w:p>
    <w:p>
      <w:pPr>
        <w:pStyle w:val="12"/>
        <w:rPr>
          <w:rFonts w:ascii="仿宋" w:hAnsi="仿宋" w:eastAsia="仿宋" w:cstheme="minorBidi"/>
          <w:sz w:val="28"/>
          <w:szCs w:val="28"/>
        </w:rPr>
      </w:pPr>
      <w:r>
        <w:fldChar w:fldCharType="begin"/>
      </w:r>
      <w:r>
        <w:instrText xml:space="preserve"> HYPERLINK \l "_Toc15396615"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2"/>
        <w:rPr>
          <w:rFonts w:hint="eastAsia" w:ascii="仿宋" w:hAnsi="仿宋" w:eastAsia="仿宋"/>
          <w:sz w:val="28"/>
          <w:szCs w:val="28"/>
          <w:lang w:val="en-US" w:eastAsia="zh-CN"/>
        </w:rPr>
      </w:pPr>
      <w:r>
        <w:fldChar w:fldCharType="begin"/>
      </w:r>
      <w:r>
        <w:instrText xml:space="preserve"> HYPERLINK \l "_Toc15396617"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2</w:t>
      </w:r>
      <w:r>
        <w:rPr>
          <w:rFonts w:ascii="仿宋" w:hAnsi="仿宋" w:eastAsia="仿宋"/>
          <w:sz w:val="28"/>
          <w:szCs w:val="28"/>
        </w:rPr>
        <w:tab/>
      </w:r>
      <w:r>
        <w:rPr>
          <w:rFonts w:hint="eastAsia" w:ascii="仿宋" w:hAnsi="仿宋" w:eastAsia="仿宋"/>
          <w:sz w:val="28"/>
          <w:szCs w:val="28"/>
          <w:lang w:val="en-US" w:eastAsia="zh-CN"/>
        </w:rPr>
        <w:t>3</w:t>
      </w:r>
      <w:r>
        <w:rPr>
          <w:rFonts w:ascii="仿宋" w:hAnsi="仿宋" w:eastAsia="仿宋"/>
          <w:sz w:val="28"/>
          <w:szCs w:val="28"/>
        </w:rPr>
        <w:fldChar w:fldCharType="end"/>
      </w:r>
      <w:r>
        <w:rPr>
          <w:rFonts w:hint="eastAsia" w:ascii="仿宋" w:hAnsi="仿宋" w:eastAsia="仿宋"/>
          <w:sz w:val="28"/>
          <w:szCs w:val="28"/>
          <w:lang w:val="en-US" w:eastAsia="zh-CN"/>
        </w:rPr>
        <w:t>0</w:t>
      </w:r>
    </w:p>
    <w:p>
      <w:pPr>
        <w:pStyle w:val="12"/>
        <w:rPr>
          <w:rFonts w:hint="eastAsia" w:ascii="仿宋" w:hAnsi="仿宋" w:eastAsia="仿宋"/>
          <w:sz w:val="28"/>
          <w:szCs w:val="28"/>
          <w:lang w:val="en-US" w:eastAsia="zh-CN"/>
        </w:rPr>
      </w:pPr>
      <w:r>
        <w:fldChar w:fldCharType="begin"/>
      </w:r>
      <w:r>
        <w:instrText xml:space="preserve"> HYPERLINK \l "_Toc15396617" </w:instrText>
      </w:r>
      <w:r>
        <w:fldChar w:fldCharType="separate"/>
      </w:r>
      <w:r>
        <w:rPr>
          <w:rStyle w:val="16"/>
          <w:rFonts w:hint="eastAsia" w:ascii="仿宋" w:hAnsi="仿宋" w:eastAsia="仿宋"/>
          <w:kern w:val="44"/>
          <w:sz w:val="28"/>
          <w:szCs w:val="28"/>
        </w:rPr>
        <w:t>附件</w:t>
      </w:r>
      <w:r>
        <w:rPr>
          <w:rStyle w:val="16"/>
          <w:rFonts w:hint="eastAsia" w:ascii="仿宋" w:hAnsi="仿宋" w:eastAsia="仿宋"/>
          <w:kern w:val="44"/>
          <w:sz w:val="28"/>
          <w:szCs w:val="28"/>
          <w:lang w:val="en-US" w:eastAsia="zh-CN"/>
        </w:rPr>
        <w:t>3</w:t>
      </w:r>
      <w:r>
        <w:rPr>
          <w:rFonts w:ascii="仿宋" w:hAnsi="仿宋" w:eastAsia="仿宋"/>
          <w:sz w:val="28"/>
          <w:szCs w:val="28"/>
        </w:rPr>
        <w:tab/>
      </w:r>
      <w:r>
        <w:rPr>
          <w:rFonts w:hint="eastAsia" w:ascii="仿宋" w:hAnsi="仿宋" w:eastAsia="仿宋"/>
          <w:sz w:val="28"/>
          <w:szCs w:val="28"/>
          <w:lang w:val="en-US" w:eastAsia="zh-CN"/>
        </w:rPr>
        <w:t>3</w:t>
      </w:r>
      <w:r>
        <w:rPr>
          <w:rFonts w:ascii="仿宋" w:hAnsi="仿宋" w:eastAsia="仿宋"/>
          <w:sz w:val="28"/>
          <w:szCs w:val="28"/>
        </w:rPr>
        <w:fldChar w:fldCharType="end"/>
      </w:r>
      <w:r>
        <w:rPr>
          <w:rFonts w:hint="eastAsia" w:ascii="仿宋" w:hAnsi="仿宋" w:eastAsia="仿宋"/>
          <w:sz w:val="28"/>
          <w:szCs w:val="28"/>
          <w:lang w:val="en-US" w:eastAsia="zh-CN"/>
        </w:rPr>
        <w:t>3</w:t>
      </w:r>
    </w:p>
    <w:p>
      <w:pPr>
        <w:pStyle w:val="12"/>
        <w:rPr>
          <w:rFonts w:hint="eastAsia"/>
          <w:lang w:val="en-US" w:eastAsia="zh-CN"/>
        </w:rPr>
      </w:pPr>
      <w:r>
        <w:fldChar w:fldCharType="begin"/>
      </w:r>
      <w:r>
        <w:instrText xml:space="preserve"> HYPERLINK \l "_Toc15396617" </w:instrText>
      </w:r>
      <w:r>
        <w:fldChar w:fldCharType="separate"/>
      </w:r>
      <w:r>
        <w:rPr>
          <w:rStyle w:val="16"/>
          <w:rFonts w:hint="eastAsia" w:ascii="仿宋" w:hAnsi="仿宋" w:eastAsia="仿宋"/>
          <w:kern w:val="44"/>
          <w:sz w:val="28"/>
          <w:szCs w:val="28"/>
        </w:rPr>
        <w:t>附件</w:t>
      </w:r>
      <w:r>
        <w:rPr>
          <w:rStyle w:val="16"/>
          <w:rFonts w:hint="eastAsia" w:ascii="仿宋" w:hAnsi="仿宋" w:eastAsia="仿宋"/>
          <w:kern w:val="44"/>
          <w:sz w:val="28"/>
          <w:szCs w:val="28"/>
          <w:lang w:val="en-US" w:eastAsia="zh-CN"/>
        </w:rPr>
        <w:t>4</w:t>
      </w:r>
      <w:r>
        <w:rPr>
          <w:rFonts w:ascii="仿宋" w:hAnsi="仿宋" w:eastAsia="仿宋"/>
          <w:sz w:val="28"/>
          <w:szCs w:val="28"/>
        </w:rPr>
        <w:tab/>
      </w:r>
      <w:r>
        <w:rPr>
          <w:rFonts w:hint="eastAsia" w:ascii="仿宋" w:hAnsi="仿宋" w:eastAsia="仿宋"/>
          <w:sz w:val="28"/>
          <w:szCs w:val="28"/>
          <w:lang w:val="en-US" w:eastAsia="zh-CN"/>
        </w:rPr>
        <w:t>3</w:t>
      </w:r>
      <w:r>
        <w:rPr>
          <w:rFonts w:ascii="仿宋" w:hAnsi="仿宋" w:eastAsia="仿宋"/>
          <w:sz w:val="28"/>
          <w:szCs w:val="28"/>
        </w:rPr>
        <w:fldChar w:fldCharType="end"/>
      </w:r>
      <w:r>
        <w:rPr>
          <w:rFonts w:hint="eastAsia" w:ascii="仿宋" w:hAnsi="仿宋" w:eastAsia="仿宋"/>
          <w:sz w:val="28"/>
          <w:szCs w:val="28"/>
          <w:lang w:val="en-US" w:eastAsia="zh-CN"/>
        </w:rPr>
        <w:t>6</w:t>
      </w:r>
    </w:p>
    <w:p>
      <w:pPr>
        <w:pStyle w:val="11"/>
        <w:rPr>
          <w:rFonts w:cstheme="minorBidi"/>
        </w:rPr>
      </w:pPr>
      <w:r>
        <w:fldChar w:fldCharType="begin"/>
      </w:r>
      <w:r>
        <w:instrText xml:space="preserve"> HYPERLINK \l "_Toc15396618" </w:instrText>
      </w:r>
      <w:r>
        <w:fldChar w:fldCharType="separate"/>
      </w:r>
      <w:r>
        <w:rPr>
          <w:rStyle w:val="16"/>
          <w:rFonts w:hint="eastAsia"/>
        </w:rPr>
        <w:t>第</w:t>
      </w:r>
      <w:r>
        <w:rPr>
          <w:rStyle w:val="16"/>
          <w:rFonts w:hint="eastAsia"/>
          <w:bCs/>
          <w:kern w:val="44"/>
        </w:rPr>
        <w:t>五部分</w:t>
      </w:r>
      <w:r>
        <w:rPr>
          <w:rStyle w:val="16"/>
          <w:bCs/>
          <w:kern w:val="44"/>
        </w:rPr>
        <w:t xml:space="preserve"> </w:t>
      </w:r>
      <w:r>
        <w:rPr>
          <w:rStyle w:val="16"/>
          <w:rFonts w:hint="eastAsia"/>
          <w:bCs/>
          <w:kern w:val="44"/>
        </w:rPr>
        <w:t>附表</w:t>
      </w:r>
      <w:r>
        <w:tab/>
      </w:r>
      <w:r>
        <w:fldChar w:fldCharType="begin"/>
      </w:r>
      <w:r>
        <w:instrText xml:space="preserve"> PAGEREF _Toc15396618 \h </w:instrText>
      </w:r>
      <w:r>
        <w:fldChar w:fldCharType="separate"/>
      </w:r>
      <w:r>
        <w:t>3</w:t>
      </w:r>
      <w:r>
        <w:rPr>
          <w:rFonts w:hint="eastAsia"/>
          <w:lang w:val="en-US" w:eastAsia="zh-CN"/>
        </w:rPr>
        <w:t>9</w:t>
      </w:r>
      <w:r>
        <w:fldChar w:fldCharType="end"/>
      </w:r>
      <w:r>
        <w:fldChar w:fldCharType="end"/>
      </w:r>
    </w:p>
    <w:p>
      <w:pPr>
        <w:pStyle w:val="12"/>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6"/>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39</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6"/>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39</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6"/>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39</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6"/>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39</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39</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6"/>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39</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6"/>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39</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6"/>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39</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6"/>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39</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6"/>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39</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6"/>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39</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6"/>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39</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6"/>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39</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p>
      <w:pPr>
        <w:pStyle w:val="3"/>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4"/>
        <w:rPr>
          <w:rStyle w:val="25"/>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Style w:val="6"/>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16" w:name="_Toc15377198"/>
      <w:bookmarkStart w:id="17" w:name="_Toc15378445"/>
      <w:r>
        <w:rPr>
          <w:rFonts w:hint="eastAsia" w:ascii="仿宋" w:hAnsi="仿宋" w:eastAsia="仿宋"/>
          <w:bCs/>
          <w:color w:val="000000"/>
          <w:sz w:val="32"/>
          <w:szCs w:val="32"/>
        </w:rPr>
        <w:t>（一）主要职能。</w:t>
      </w:r>
    </w:p>
    <w:bookmarkEnd w:id="16"/>
    <w:bookmarkEnd w:id="17"/>
    <w:p>
      <w:pPr>
        <w:spacing w:line="600" w:lineRule="exact"/>
        <w:ind w:firstLine="640" w:firstLineChars="200"/>
        <w:rPr>
          <w:rFonts w:hint="eastAsia" w:ascii="仿宋" w:hAnsi="仿宋" w:eastAsia="仿宋"/>
          <w:color w:val="000000"/>
          <w:sz w:val="32"/>
          <w:szCs w:val="32"/>
          <w:lang w:val="en-US" w:eastAsia="zh-CN"/>
        </w:rPr>
      </w:pPr>
      <w:bookmarkStart w:id="18" w:name="_Toc15378446"/>
      <w:bookmarkStart w:id="19" w:name="_Toc15377199"/>
      <w:r>
        <w:rPr>
          <w:rFonts w:hint="eastAsia" w:ascii="仿宋" w:hAnsi="仿宋" w:eastAsia="仿宋"/>
          <w:color w:val="000000"/>
          <w:sz w:val="32"/>
          <w:szCs w:val="32"/>
          <w:lang w:val="en-US" w:eastAsia="zh-CN"/>
        </w:rPr>
        <w:t>１．协助区政府领导同志组织起草或审核以区政府、区政府办公室名义发布或上报的公文。办理上级有关单位发至区政府、区政府办的文电。指导全区行政机关公文处理工作。</w:t>
      </w:r>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２．研究区政府部门和乡镇人民政府（街道办事处）请示区政府的事项，提出审核意见，报区政府领导审批。</w:t>
      </w:r>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３．负责区政府会议的准备工作，协助区政府领导组织实施会议决定事项。</w:t>
      </w:r>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４．督促检查区政府部门和乡镇人民政府（街道办事处）对区政府决定事项及区政府领导指示的贯彻落实情况，及时向区政府领导报告。</w:t>
      </w:r>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５．根据区政府领导的指示，对区政府部门间争议问题提出处理意见和建议，报区政府领导决定。</w:t>
      </w:r>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６．指导、监督全区政府信息公开工作和机关效能建设工作，指导、监督全区政府系统电子政务工作和政府网站建设。</w:t>
      </w:r>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７．围绕区政府中心工作和区政府领导的指示，组织专题调查研究，及时反映情况，提出政策性建议。</w:t>
      </w:r>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８．组织办理涉及区政府工作的人大代表议案、批评、建议和政协委员提案、建议案工作。</w:t>
      </w:r>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９．督促落实区政府金融工作部署，负责地方金融机构和金融中介机构的行业管理和服务，维护地方金融秩序。</w:t>
      </w:r>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10．负责办理全区小汽车编制管理方面的事务。管理区政府办公室直属单位。</w:t>
      </w:r>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11.区人武部肩负着军队和地方民兵预备役及维护国家安全和社会稳定的重要使命。负责规划、部署全区武装思想政治工作；国防教育、研究、宣传、民兵预备役队伍建设的日常工作及新闻的报道；负责归口单位干部职工的考察、推荐、管理、党建工作；负责年度征兵、民兵及各类（专业分队）训练、民兵整组、民兵预备役工作登记、民兵武器装备管理、学生军训、退伍军人档案管理、扶贫帮困工作及配合地方政府完成各类抢险救灾等工作。</w:t>
      </w:r>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12．办理区政府和区政府领导交办的其他事项。</w:t>
      </w:r>
    </w:p>
    <w:p>
      <w:pPr>
        <w:pStyle w:val="6"/>
        <w:adjustRightInd w:val="0"/>
        <w:snapToGrid w:val="0"/>
        <w:spacing w:before="93" w:line="600" w:lineRule="exact"/>
        <w:ind w:firstLine="672" w:firstLineChars="210"/>
        <w:outlineLvl w:val="2"/>
        <w:rPr>
          <w:rFonts w:hint="eastAsia" w:ascii="仿宋" w:hAnsi="仿宋" w:eastAsia="仿宋"/>
          <w:bCs/>
          <w:color w:val="FF0000"/>
          <w:sz w:val="32"/>
          <w:szCs w:val="32"/>
        </w:rPr>
      </w:pPr>
      <w:r>
        <w:rPr>
          <w:rFonts w:hint="eastAsia" w:ascii="仿宋" w:hAnsi="仿宋" w:eastAsia="仿宋"/>
          <w:bCs/>
          <w:color w:val="auto"/>
          <w:sz w:val="32"/>
          <w:szCs w:val="32"/>
        </w:rPr>
        <w:t>（二）</w:t>
      </w:r>
      <w:r>
        <w:rPr>
          <w:rFonts w:ascii="仿宋" w:hAnsi="仿宋" w:eastAsia="仿宋"/>
          <w:bCs/>
          <w:color w:val="auto"/>
          <w:sz w:val="32"/>
          <w:szCs w:val="32"/>
        </w:rPr>
        <w:t>201</w:t>
      </w:r>
      <w:r>
        <w:rPr>
          <w:rFonts w:hint="eastAsia" w:ascii="仿宋" w:hAnsi="仿宋" w:eastAsia="仿宋"/>
          <w:bCs/>
          <w:color w:val="auto"/>
          <w:sz w:val="32"/>
          <w:szCs w:val="32"/>
        </w:rPr>
        <w:t>8年重点工作完成情况。</w:t>
      </w:r>
      <w:bookmarkEnd w:id="18"/>
      <w:bookmarkEnd w:id="19"/>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1.履职尽责，高效推进各项工作。认真撰写、审核了政府</w:t>
      </w:r>
      <w:r>
        <w:rPr>
          <w:rFonts w:hint="eastAsia" w:ascii="仿宋" w:hAnsi="仿宋" w:eastAsia="仿宋"/>
          <w:color w:val="000000"/>
          <w:sz w:val="32"/>
          <w:szCs w:val="32"/>
          <w:lang w:val="en-US" w:eastAsia="zh-CN"/>
        </w:rPr>
        <w:fldChar w:fldCharType="begin"/>
      </w:r>
      <w:r>
        <w:rPr>
          <w:rFonts w:hint="eastAsia" w:ascii="仿宋" w:hAnsi="仿宋" w:eastAsia="仿宋"/>
          <w:color w:val="000000"/>
          <w:sz w:val="32"/>
          <w:szCs w:val="32"/>
          <w:lang w:val="en-US" w:eastAsia="zh-CN"/>
        </w:rPr>
        <w:instrText xml:space="preserve"> HYPERLINK "http://www.4oa.com/bggw/sort02902/sort02938/list_2938_1.html" \t "_blank" </w:instrText>
      </w:r>
      <w:r>
        <w:rPr>
          <w:rFonts w:hint="eastAsia" w:ascii="仿宋" w:hAnsi="仿宋" w:eastAsia="仿宋"/>
          <w:color w:val="000000"/>
          <w:sz w:val="32"/>
          <w:szCs w:val="32"/>
          <w:lang w:val="en-US" w:eastAsia="zh-CN"/>
        </w:rPr>
        <w:fldChar w:fldCharType="separate"/>
      </w:r>
      <w:r>
        <w:rPr>
          <w:rFonts w:hint="eastAsia" w:ascii="仿宋" w:hAnsi="仿宋" w:eastAsia="仿宋"/>
          <w:color w:val="000000"/>
          <w:sz w:val="32"/>
          <w:szCs w:val="32"/>
          <w:lang w:val="en-US" w:eastAsia="zh-CN"/>
        </w:rPr>
        <w:t>工作报告</w:t>
      </w:r>
      <w:r>
        <w:rPr>
          <w:rFonts w:hint="eastAsia" w:ascii="仿宋" w:hAnsi="仿宋" w:eastAsia="仿宋"/>
          <w:color w:val="000000"/>
          <w:sz w:val="32"/>
          <w:szCs w:val="32"/>
          <w:lang w:val="en-US" w:eastAsia="zh-CN"/>
        </w:rPr>
        <w:fldChar w:fldCharType="end"/>
      </w:r>
      <w:r>
        <w:rPr>
          <w:rFonts w:hint="eastAsia" w:ascii="仿宋" w:hAnsi="仿宋" w:eastAsia="仿宋"/>
          <w:color w:val="000000"/>
          <w:sz w:val="32"/>
          <w:szCs w:val="32"/>
          <w:lang w:val="en-US" w:eastAsia="zh-CN"/>
        </w:rPr>
        <w:t>及区政府主要领导有关汇报、讲话、总结等各类文稿580余篇，制发会议纪要136期、政府工作通报14期、通告和公告20期，完成调研文章23篇，全年审核制发文件720余件、以区委区政府及区委办区政府办名义联合行文166件，登记处理省市文件2836件、区内文件1708件，处理会议通知680余个，做到了规范登记、高效运转，精心筹划，周密安排大型会议、活动93场次，承办区政府常务会、党组会32场次，组织重点工程、项目等领导调度和视察活动80余次，并及时交办会议议定事项任务800余项。</w:t>
      </w:r>
    </w:p>
    <w:p>
      <w:pPr>
        <w:spacing w:line="600" w:lineRule="exact"/>
        <w:ind w:firstLine="640" w:firstLineChars="200"/>
        <w:rPr>
          <w:rFonts w:hint="default" w:ascii="仿宋" w:hAnsi="仿宋" w:eastAsia="仿宋"/>
          <w:color w:val="000000"/>
          <w:sz w:val="32"/>
          <w:szCs w:val="32"/>
          <w:lang w:val="en-US" w:eastAsia="zh-CN"/>
        </w:rPr>
      </w:pPr>
      <w:r>
        <w:rPr>
          <w:rFonts w:hint="eastAsia" w:ascii="仿宋" w:hAnsi="仿宋" w:eastAsia="仿宋"/>
          <w:color w:val="000000"/>
          <w:sz w:val="32"/>
          <w:szCs w:val="32"/>
          <w:lang w:val="en-US" w:eastAsia="zh-CN"/>
        </w:rPr>
        <w:t>2.围绕中心狠抓落实，着力发挥督查督办职能。承办市政府及有关部门交办督办事项8件，办结率100%；督办区政府领导批示件21件，办结率100%；开展专项督办18次。印发《督查督办通报》19期、政务《督查专报》20期、《督办通知》18期、工作任务交办单15期，做到了围绕中心工作履行政务督办职能。转办承办市、区人大代表建议和政协委员提案227件，问题办复率100%，代表、委员满意率98%以上；承办《市长信箱》信访件806件，处理《区长信箱》信访件30件，问题办复率100%，处理群众投诉13起，满意率100%。做到了代表满意，群众满意。三是“马上办”创新提速。首创推进商事登记制度改革，在全市率先实现“三十三证合一”。全面清理、取消基层不合理证明118项，认领事项1527项，上报通过率100%。</w:t>
      </w:r>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3.树立高效政务理念，着力推进政务信息工作。政府信息公开系统信息填报9208条、发布8914条，区政府门户网站发布信息9288条，发送手机短信《利州在线》248期，向市政府门户网站报送信息及专报1240条，其中市网站采用1178条、排名全市第一，《政务晨讯》刊物采用103条、排名全市第二，政务参阅采用1篇；建立微博、微信95个，发布图文信息1.5万余条。推行“一处置三流程”网络舆情工作制度，建立政务新媒体账号90个，网评队伍1支，有效提升舆论引导力。全年网上受理办结行政许可事项2.8万件，清理行政许可事项245项，明确公共服务事项364项。一体化政务服务平台认领事项1327项，录入13万余件，在全省率先向10个村（社区）延伸，下放权利114项，实现乡镇（街道）一体化政务服务平台全覆盖，“最多只跑一次”政务服务事项占比达89%，“网上办”事项占比达98%，事项办理实际平均提速95%。</w:t>
      </w:r>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4.统筹力量全面铺开，着力做好金融、地方志、应急工作。预计全年全区金融机构各项存款余额563.44亿元，同比增长4%；贷款余额341.97亿元，同比增长13.4%。选派29名“金融村官”到贫困村全覆盖指导金融扶贫工作，扶贫小额信贷投放422万元，农村（扶贫）小额人身保险投保25713户，家庭覆盖率65%。做好帮扶工作，开展“三同”“帮扶工作周”活动900余人次。向凉山州美姑县“小水滴”公益计划捐赠图书220余本。完成龙潭乡春风村、庙坪村乡村振兴规划，开展技能培训、政策宣讲6场次，春风村发展种养殖大户7户，引进叠纸企业，为10余人提供就近就业创收岗位；庙坪村硬化道路3.4公里，种植中药材、辣椒各200余亩。</w:t>
      </w:r>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5.抓好班子带好队伍，着力加强党的建设。一是深化教育促服务。二是加大干部培养力度。引进高层次人才1名，回引人才1名，按照人岗相适原则，调整干部岗位8人次。建立干部“周学会”、文秘人员定期交流制度，全年开展干部周学会35场次、文秘人员交流会12场次。组织干部参加区级以上培训学习80余人次，1名干部取得研究生学历，推荐3名干部报考在职研究生。</w:t>
      </w:r>
    </w:p>
    <w:p>
      <w:pPr>
        <w:spacing w:line="576" w:lineRule="exact"/>
        <w:ind w:firstLine="627" w:firstLineChars="196"/>
        <w:rPr>
          <w:rFonts w:hint="eastAsia" w:ascii="仿宋" w:hAnsi="仿宋" w:eastAsia="仿宋" w:cs="Times New Roman"/>
          <w:color w:val="000000"/>
          <w:sz w:val="32"/>
          <w:szCs w:val="32"/>
          <w:lang w:val="en-US" w:eastAsia="zh-CN"/>
        </w:rPr>
      </w:pPr>
      <w:r>
        <w:rPr>
          <w:rFonts w:hint="eastAsia" w:ascii="仿宋" w:hAnsi="仿宋" w:eastAsia="仿宋" w:cs="Times New Roman"/>
          <w:color w:val="000000"/>
          <w:sz w:val="32"/>
          <w:szCs w:val="32"/>
          <w:lang w:val="en-US" w:eastAsia="zh-CN"/>
        </w:rPr>
        <w:t>6.人武工作：一是推动思想理论武装，以学习习近平总书记系列重要讲话精神为主线，组织党委中心组理论学习及政治教育30次。二是注重国防教育。开展以“有巩固的国防，才有安祥的生活”“九月金秋，利州儿郞又出征”等主题的征兵宣传，张贴宣传广告2000余副，标语等3000余条；精心组织开展了庆祝中国共产党成立95周年、中国工农红军长征胜利80周年等主题活动。三是壮大正面主流宣传。在《国防时报》、《中国民兵》、《解放军报》及《广元时报微信平台》上开展新闻宣传。在省及以上媒体发稿150篇（条）。四是完成民兵训练、专业分队训练、抢险救灾集训、学生军训等。五是完成年度民兵整组、民兵预备役工作登记、民兵武器装备管理及武器装备维修维护、退伍军人档案管理（年初以来共查阅历年档案资料1000余份）。六是完成征兵体检、政审、定兵、役前训练、新兵档案及交接兵各项任务。七是完成扶贫帮困工作及配合地方政府完成各类抢险救灾等工作。</w:t>
      </w:r>
    </w:p>
    <w:p>
      <w:pPr>
        <w:pStyle w:val="4"/>
        <w:ind w:firstLine="640" w:firstLineChars="200"/>
        <w:rPr>
          <w:rStyle w:val="25"/>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ind w:firstLine="800" w:firstLineChars="250"/>
        <w:rPr>
          <w:rFonts w:ascii="仿宋" w:hAnsi="仿宋" w:eastAsia="仿宋"/>
          <w:sz w:val="32"/>
          <w:szCs w:val="32"/>
        </w:rPr>
      </w:pPr>
      <w:r>
        <w:rPr>
          <w:rFonts w:hint="eastAsia" w:ascii="仿宋" w:hAnsi="仿宋" w:eastAsia="仿宋"/>
          <w:sz w:val="32"/>
          <w:szCs w:val="32"/>
          <w:lang w:eastAsia="zh-CN"/>
        </w:rPr>
        <w:t>区政府办</w:t>
      </w:r>
      <w:r>
        <w:rPr>
          <w:rFonts w:hint="eastAsia" w:ascii="仿宋" w:hAnsi="仿宋" w:eastAsia="仿宋"/>
          <w:sz w:val="32"/>
          <w:szCs w:val="32"/>
        </w:rPr>
        <w:t>下属二级单位</w:t>
      </w:r>
      <w:r>
        <w:rPr>
          <w:rFonts w:hint="eastAsia" w:ascii="仿宋" w:hAnsi="仿宋" w:eastAsia="仿宋"/>
          <w:sz w:val="32"/>
          <w:szCs w:val="32"/>
          <w:lang w:val="en-US" w:eastAsia="zh-CN"/>
        </w:rPr>
        <w:t>4</w:t>
      </w:r>
      <w:r>
        <w:rPr>
          <w:rFonts w:hint="eastAsia" w:ascii="仿宋" w:hAnsi="仿宋" w:eastAsia="仿宋"/>
          <w:sz w:val="32"/>
          <w:szCs w:val="32"/>
        </w:rPr>
        <w:t>个，其中行政单位</w:t>
      </w:r>
      <w:r>
        <w:rPr>
          <w:rFonts w:hint="eastAsia" w:ascii="仿宋" w:hAnsi="仿宋" w:eastAsia="仿宋"/>
          <w:sz w:val="32"/>
          <w:szCs w:val="32"/>
          <w:lang w:val="en-US" w:eastAsia="zh-CN"/>
        </w:rPr>
        <w:t>1</w:t>
      </w:r>
      <w:r>
        <w:rPr>
          <w:rFonts w:hint="eastAsia" w:ascii="仿宋" w:hAnsi="仿宋" w:eastAsia="仿宋"/>
          <w:sz w:val="32"/>
          <w:szCs w:val="32"/>
        </w:rPr>
        <w:t>个，参照公务员法管理的事业单位</w:t>
      </w:r>
      <w:r>
        <w:rPr>
          <w:rFonts w:hint="eastAsia" w:ascii="仿宋" w:hAnsi="仿宋" w:eastAsia="仿宋"/>
          <w:bCs/>
          <w:sz w:val="32"/>
          <w:szCs w:val="32"/>
          <w:lang w:val="en-US" w:eastAsia="zh-CN"/>
        </w:rPr>
        <w:t>1</w:t>
      </w:r>
      <w:r>
        <w:rPr>
          <w:rFonts w:hint="eastAsia" w:ascii="仿宋" w:hAnsi="仿宋" w:eastAsia="仿宋"/>
          <w:sz w:val="32"/>
          <w:szCs w:val="32"/>
        </w:rPr>
        <w:t>个，其他事业单位</w:t>
      </w:r>
      <w:r>
        <w:rPr>
          <w:rFonts w:hint="eastAsia" w:ascii="仿宋" w:hAnsi="仿宋" w:eastAsia="仿宋"/>
          <w:sz w:val="32"/>
          <w:szCs w:val="32"/>
          <w:lang w:val="en-US" w:eastAsia="zh-CN"/>
        </w:rPr>
        <w:t>2</w:t>
      </w:r>
      <w:r>
        <w:rPr>
          <w:rFonts w:hint="eastAsia" w:ascii="仿宋" w:hAnsi="仿宋" w:eastAsia="仿宋"/>
          <w:sz w:val="32"/>
          <w:szCs w:val="32"/>
        </w:rPr>
        <w:t>个。</w:t>
      </w:r>
    </w:p>
    <w:p>
      <w:pPr>
        <w:pStyle w:val="6"/>
        <w:adjustRightInd w:val="0"/>
        <w:snapToGrid w:val="0"/>
        <w:spacing w:before="93" w:line="600" w:lineRule="exact"/>
        <w:ind w:firstLine="672" w:firstLineChars="210"/>
        <w:rPr>
          <w:rFonts w:ascii="仿宋" w:hAnsi="仿宋" w:eastAsia="仿宋"/>
          <w:color w:val="000000"/>
          <w:sz w:val="32"/>
          <w:szCs w:val="32"/>
        </w:rPr>
      </w:pPr>
      <w:r>
        <w:rPr>
          <w:rFonts w:hint="eastAsia" w:ascii="仿宋" w:hAnsi="仿宋" w:eastAsia="仿宋"/>
          <w:color w:val="000000"/>
          <w:sz w:val="32"/>
          <w:szCs w:val="32"/>
        </w:rPr>
        <w:t>纳入</w:t>
      </w:r>
      <w:r>
        <w:rPr>
          <w:rFonts w:hint="eastAsia" w:ascii="仿宋" w:hAnsi="仿宋" w:eastAsia="仿宋"/>
          <w:color w:val="000000"/>
          <w:sz w:val="32"/>
          <w:szCs w:val="32"/>
          <w:lang w:eastAsia="zh-CN"/>
        </w:rPr>
        <w:t>区政府办</w:t>
      </w:r>
      <w:r>
        <w:rPr>
          <w:rFonts w:hint="eastAsia" w:ascii="仿宋" w:hAnsi="仿宋" w:eastAsia="仿宋"/>
          <w:color w:val="000000"/>
          <w:sz w:val="32"/>
          <w:szCs w:val="32"/>
        </w:rPr>
        <w:t>2018年度部门决算编制范围的二级预算单位包括：</w:t>
      </w:r>
    </w:p>
    <w:p>
      <w:pPr>
        <w:pStyle w:val="6"/>
        <w:numPr>
          <w:ilvl w:val="0"/>
          <w:numId w:val="1"/>
        </w:numPr>
        <w:adjustRightInd w:val="0"/>
        <w:snapToGrid w:val="0"/>
        <w:spacing w:before="93" w:line="600" w:lineRule="exact"/>
        <w:outlineLvl w:val="2"/>
        <w:rPr>
          <w:rFonts w:ascii="仿宋" w:hAnsi="仿宋" w:eastAsia="仿宋"/>
          <w:color w:val="000000"/>
          <w:sz w:val="32"/>
          <w:szCs w:val="32"/>
        </w:rPr>
      </w:pPr>
      <w:bookmarkStart w:id="22" w:name="_Toc15377433"/>
      <w:bookmarkStart w:id="23" w:name="_Toc15377202"/>
      <w:bookmarkStart w:id="24" w:name="_Toc15378449"/>
      <w:bookmarkStart w:id="25" w:name="_Toc15306276"/>
      <w:r>
        <w:rPr>
          <w:rFonts w:hint="eastAsia" w:ascii="仿宋" w:hAnsi="仿宋" w:eastAsia="仿宋"/>
          <w:color w:val="000000"/>
          <w:sz w:val="32"/>
          <w:szCs w:val="32"/>
          <w:lang w:eastAsia="zh-CN"/>
        </w:rPr>
        <w:t>区人武部</w:t>
      </w:r>
      <w:bookmarkEnd w:id="22"/>
      <w:bookmarkEnd w:id="23"/>
      <w:bookmarkEnd w:id="24"/>
      <w:bookmarkEnd w:id="25"/>
    </w:p>
    <w:p>
      <w:pPr>
        <w:pStyle w:val="6"/>
        <w:numPr>
          <w:ilvl w:val="0"/>
          <w:numId w:val="1"/>
        </w:numPr>
        <w:adjustRightInd w:val="0"/>
        <w:snapToGrid w:val="0"/>
        <w:spacing w:before="93" w:line="600" w:lineRule="exact"/>
        <w:ind w:left="1152" w:leftChars="0" w:hanging="480" w:firstLineChars="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区地志办</w:t>
      </w:r>
    </w:p>
    <w:p>
      <w:pPr>
        <w:pStyle w:val="6"/>
        <w:numPr>
          <w:ilvl w:val="0"/>
          <w:numId w:val="1"/>
        </w:numPr>
        <w:adjustRightInd w:val="0"/>
        <w:snapToGrid w:val="0"/>
        <w:spacing w:before="93" w:line="600" w:lineRule="exact"/>
        <w:ind w:left="1152" w:leftChars="0" w:hanging="480" w:firstLineChars="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区电子政务外网管理中心</w:t>
      </w:r>
    </w:p>
    <w:p>
      <w:pPr>
        <w:pStyle w:val="6"/>
        <w:numPr>
          <w:ilvl w:val="0"/>
          <w:numId w:val="1"/>
        </w:numPr>
        <w:adjustRightInd w:val="0"/>
        <w:snapToGrid w:val="0"/>
        <w:spacing w:before="93" w:line="600" w:lineRule="exact"/>
        <w:ind w:left="1152" w:leftChars="0" w:hanging="480" w:firstLineChars="0"/>
        <w:rPr>
          <w:rFonts w:ascii="仿宋" w:hAnsi="仿宋" w:eastAsia="仿宋"/>
          <w:color w:val="000000"/>
          <w:kern w:val="0"/>
          <w:sz w:val="32"/>
          <w:szCs w:val="32"/>
        </w:rPr>
      </w:pPr>
      <w:r>
        <w:rPr>
          <w:rFonts w:hint="eastAsia" w:ascii="仿宋" w:hAnsi="仿宋" w:eastAsia="仿宋" w:cs="Times New Roman"/>
          <w:color w:val="000000"/>
          <w:kern w:val="0"/>
          <w:sz w:val="32"/>
          <w:szCs w:val="32"/>
          <w:lang w:val="en-US" w:eastAsia="zh-CN" w:bidi="ar-SA"/>
        </w:rPr>
        <w:t>区金融办</w:t>
      </w:r>
      <w:r>
        <w:rPr>
          <w:rFonts w:hint="eastAsia" w:ascii="仿宋" w:hAnsi="仿宋" w:eastAsia="仿宋" w:cs="Times New Roman"/>
          <w:color w:val="000000"/>
          <w:kern w:val="0"/>
          <w:sz w:val="32"/>
          <w:szCs w:val="32"/>
          <w:lang w:val="en-US" w:eastAsia="zh-CN" w:bidi="ar-SA"/>
        </w:rPr>
        <w:br w:type="page"/>
      </w:r>
    </w:p>
    <w:p>
      <w:pPr>
        <w:pStyle w:val="3"/>
        <w:ind w:right="440"/>
        <w:jc w:val="right"/>
        <w:rPr>
          <w:rStyle w:val="24"/>
          <w:rFonts w:ascii="黑体" w:hAnsi="黑体" w:eastAsia="黑体"/>
          <w:b w:val="0"/>
          <w:bCs w:val="0"/>
        </w:rPr>
      </w:pPr>
      <w:bookmarkStart w:id="26" w:name="_Toc15396602"/>
      <w:bookmarkStart w:id="27"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2018年度部门决算情况说明</w:t>
      </w:r>
      <w:bookmarkEnd w:id="26"/>
      <w:bookmarkEnd w:id="27"/>
    </w:p>
    <w:p/>
    <w:p>
      <w:pPr>
        <w:pStyle w:val="23"/>
        <w:numPr>
          <w:ilvl w:val="0"/>
          <w:numId w:val="2"/>
        </w:numPr>
        <w:spacing w:line="600" w:lineRule="exact"/>
        <w:ind w:firstLineChars="0"/>
        <w:outlineLvl w:val="1"/>
        <w:rPr>
          <w:rStyle w:val="25"/>
          <w:rFonts w:ascii="黑体" w:hAnsi="黑体" w:eastAsia="黑体"/>
          <w:b w:val="0"/>
        </w:rPr>
      </w:pPr>
      <w:bookmarkStart w:id="28" w:name="_Toc15396603"/>
      <w:bookmarkStart w:id="29" w:name="_Toc15377205"/>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8"/>
      <w:bookmarkEnd w:id="29"/>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rPr>
        <w:t>2018年度收</w:t>
      </w:r>
      <w:r>
        <w:rPr>
          <w:rFonts w:hint="eastAsia" w:ascii="仿宋" w:hAnsi="仿宋" w:eastAsia="仿宋"/>
          <w:color w:val="000000"/>
          <w:sz w:val="32"/>
          <w:szCs w:val="32"/>
          <w:lang w:eastAsia="zh-CN"/>
        </w:rPr>
        <w:t>入</w:t>
      </w:r>
      <w:r>
        <w:rPr>
          <w:rFonts w:hint="eastAsia" w:ascii="仿宋" w:hAnsi="仿宋" w:eastAsia="仿宋"/>
          <w:color w:val="000000"/>
          <w:sz w:val="32"/>
          <w:szCs w:val="32"/>
        </w:rPr>
        <w:t>总计</w:t>
      </w:r>
      <w:r>
        <w:rPr>
          <w:rFonts w:hint="eastAsia" w:ascii="仿宋" w:hAnsi="仿宋" w:eastAsia="仿宋"/>
          <w:color w:val="000000"/>
          <w:sz w:val="32"/>
          <w:szCs w:val="32"/>
          <w:lang w:val="en-US" w:eastAsia="zh-CN"/>
        </w:rPr>
        <w:t>1329.06</w:t>
      </w:r>
      <w:r>
        <w:rPr>
          <w:rFonts w:hint="eastAsia" w:ascii="仿宋" w:hAnsi="仿宋" w:eastAsia="仿宋"/>
          <w:color w:val="000000"/>
          <w:sz w:val="32"/>
          <w:szCs w:val="32"/>
        </w:rPr>
        <w:t>万元。与2017年相比，收</w:t>
      </w:r>
      <w:r>
        <w:rPr>
          <w:rFonts w:hint="eastAsia" w:ascii="仿宋" w:hAnsi="仿宋" w:eastAsia="仿宋"/>
          <w:color w:val="000000"/>
          <w:sz w:val="32"/>
          <w:szCs w:val="32"/>
          <w:lang w:eastAsia="zh-CN"/>
        </w:rPr>
        <w:t>入</w:t>
      </w:r>
      <w:r>
        <w:rPr>
          <w:rFonts w:hint="eastAsia" w:ascii="仿宋" w:hAnsi="仿宋" w:eastAsia="仿宋"/>
          <w:color w:val="000000"/>
          <w:sz w:val="32"/>
          <w:szCs w:val="32"/>
        </w:rPr>
        <w:t>总计减少</w:t>
      </w:r>
      <w:r>
        <w:rPr>
          <w:rFonts w:hint="eastAsia" w:ascii="仿宋" w:hAnsi="仿宋" w:eastAsia="仿宋"/>
          <w:color w:val="000000"/>
          <w:sz w:val="32"/>
          <w:szCs w:val="32"/>
          <w:lang w:val="en-US" w:eastAsia="zh-CN"/>
        </w:rPr>
        <w:t>0.84</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0.06</w:t>
      </w:r>
      <w:r>
        <w:rPr>
          <w:rFonts w:ascii="仿宋" w:hAnsi="仿宋" w:eastAsia="仿宋"/>
          <w:color w:val="000000"/>
          <w:sz w:val="32"/>
          <w:szCs w:val="32"/>
        </w:rPr>
        <w:t>%</w:t>
      </w:r>
      <w:r>
        <w:rPr>
          <w:rFonts w:hint="eastAsia" w:ascii="仿宋" w:hAnsi="仿宋" w:eastAsia="仿宋"/>
          <w:color w:val="000000"/>
          <w:sz w:val="32"/>
          <w:szCs w:val="32"/>
        </w:rPr>
        <w:t>。2018年度</w:t>
      </w:r>
      <w:r>
        <w:rPr>
          <w:rFonts w:hint="eastAsia" w:ascii="仿宋" w:hAnsi="仿宋" w:eastAsia="仿宋"/>
          <w:color w:val="000000"/>
          <w:sz w:val="32"/>
          <w:szCs w:val="32"/>
          <w:lang w:eastAsia="zh-CN"/>
        </w:rPr>
        <w:t>支出</w:t>
      </w:r>
      <w:r>
        <w:rPr>
          <w:rFonts w:hint="eastAsia" w:ascii="仿宋" w:hAnsi="仿宋" w:eastAsia="仿宋"/>
          <w:color w:val="000000"/>
          <w:sz w:val="32"/>
          <w:szCs w:val="32"/>
        </w:rPr>
        <w:t>总计</w:t>
      </w:r>
      <w:r>
        <w:rPr>
          <w:rFonts w:hint="eastAsia" w:ascii="仿宋" w:hAnsi="仿宋" w:eastAsia="仿宋"/>
          <w:color w:val="000000"/>
          <w:sz w:val="32"/>
          <w:szCs w:val="32"/>
          <w:lang w:val="en-US" w:eastAsia="zh-CN"/>
        </w:rPr>
        <w:t>1287.39</w:t>
      </w:r>
      <w:r>
        <w:rPr>
          <w:rFonts w:hint="eastAsia" w:ascii="仿宋" w:hAnsi="仿宋" w:eastAsia="仿宋"/>
          <w:color w:val="000000"/>
          <w:sz w:val="32"/>
          <w:szCs w:val="32"/>
        </w:rPr>
        <w:t>万元。与2017年相比，</w:t>
      </w:r>
      <w:r>
        <w:rPr>
          <w:rFonts w:hint="eastAsia" w:ascii="仿宋" w:hAnsi="仿宋" w:eastAsia="仿宋"/>
          <w:color w:val="000000"/>
          <w:sz w:val="32"/>
          <w:szCs w:val="32"/>
          <w:lang w:eastAsia="zh-CN"/>
        </w:rPr>
        <w:t>支出</w:t>
      </w:r>
      <w:r>
        <w:rPr>
          <w:rFonts w:hint="eastAsia" w:ascii="仿宋" w:hAnsi="仿宋" w:eastAsia="仿宋"/>
          <w:color w:val="000000"/>
          <w:sz w:val="32"/>
          <w:szCs w:val="32"/>
        </w:rPr>
        <w:t>总计</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196.19</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17.98</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sz w:val="32"/>
          <w:szCs w:val="32"/>
          <w:lang w:eastAsia="zh-CN"/>
        </w:rPr>
        <w:t>支出增长</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支付</w:t>
      </w:r>
      <w:r>
        <w:rPr>
          <w:rFonts w:hint="eastAsia" w:ascii="仿宋" w:hAnsi="仿宋" w:eastAsia="仿宋"/>
          <w:color w:val="000000"/>
          <w:sz w:val="32"/>
          <w:szCs w:val="32"/>
          <w:lang w:val="en-US" w:eastAsia="zh-CN"/>
        </w:rPr>
        <w:t>2017年未结算业务和专项业务支出增加。</w:t>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：收、支决算总计变动情况图）（柱状图）</w:t>
      </w:r>
    </w:p>
    <w:p>
      <w:pPr>
        <w:pStyle w:val="2"/>
        <w:rPr>
          <w:rFonts w:hint="eastAsia" w:ascii="仿宋" w:hAnsi="仿宋" w:eastAsia="仿宋"/>
          <w:color w:val="000000" w:themeColor="text1"/>
          <w:sz w:val="32"/>
          <w:szCs w:val="32"/>
          <w:lang w:eastAsia="zh-CN"/>
          <w14:textFill>
            <w14:solidFill>
              <w14:schemeClr w14:val="tx1"/>
            </w14:solidFill>
          </w14:textFill>
        </w:rPr>
      </w:pPr>
      <w:r>
        <w:rPr>
          <w:sz w:val="32"/>
        </w:rPr>
        <mc:AlternateContent>
          <mc:Choice Requires="wps">
            <w:drawing>
              <wp:anchor distT="0" distB="0" distL="114300" distR="114300" simplePos="0" relativeHeight="251660288" behindDoc="0" locked="0" layoutInCell="1" allowOverlap="1">
                <wp:simplePos x="0" y="0"/>
                <wp:positionH relativeFrom="column">
                  <wp:posOffset>4162425</wp:posOffset>
                </wp:positionH>
                <wp:positionV relativeFrom="paragraph">
                  <wp:posOffset>207645</wp:posOffset>
                </wp:positionV>
                <wp:extent cx="704215" cy="364490"/>
                <wp:effectExtent l="4445" t="4445" r="15240" b="12065"/>
                <wp:wrapNone/>
                <wp:docPr id="8" name="文本框 8"/>
                <wp:cNvGraphicFramePr/>
                <a:graphic xmlns:a="http://schemas.openxmlformats.org/drawingml/2006/main">
                  <a:graphicData uri="http://schemas.microsoft.com/office/word/2010/wordprocessingShape">
                    <wps:wsp>
                      <wps:cNvSpPr txBox="true"/>
                      <wps:spPr>
                        <a:xfrm>
                          <a:off x="0" y="0"/>
                          <a:ext cx="704215" cy="364490"/>
                        </a:xfrm>
                        <a:prstGeom prst="rect">
                          <a:avLst/>
                        </a:prstGeom>
                        <a:no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8"/>
                                <w:szCs w:val="18"/>
                                <w:lang w:val="en-US" w:eastAsia="zh-CN"/>
                              </w:rPr>
                            </w:pPr>
                            <w:r>
                              <w:rPr>
                                <w:rFonts w:hint="eastAsia"/>
                                <w:sz w:val="18"/>
                                <w:szCs w:val="18"/>
                                <w:lang w:val="en-US" w:eastAsia="zh-CN"/>
                              </w:rPr>
                              <w:t>单位：万元</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27.75pt;margin-top:16.35pt;height:28.7pt;width:55.45pt;z-index:251660288;mso-width-relative:page;mso-height-relative:page;" filled="f" stroked="t" coordsize="21600,21600" o:gfxdata="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SDu1oNoAAAAJ&#10;AQAADwAAAAAAAAABACAAAAA4AAAAZHJzL2Rvd25yZXYueG1sUEsBAhQAFAAAAAgAh07iQDG5SyM9&#10;AgAAUgQAAA4AAAAAAAAAAQAgAAAAPwEAAGRycy9lMm9Eb2MueG1sUEsFBgAAAAAGAAYAWQEAAO4F&#10;AAAAAA==&#10;">
                <v:fill on="f" focussize="0,0"/>
                <v:stroke weight="0.5pt" color="#FFFFFF [3212]" joinstyle="round"/>
                <v:imagedata o:title=""/>
                <o:lock v:ext="edit" aspectratio="f"/>
                <v:textbox>
                  <w:txbxContent>
                    <w:p>
                      <w:pPr>
                        <w:rPr>
                          <w:rFonts w:hint="eastAsia" w:eastAsia="宋体"/>
                          <w:sz w:val="18"/>
                          <w:szCs w:val="18"/>
                          <w:lang w:val="en-US" w:eastAsia="zh-CN"/>
                        </w:rPr>
                      </w:pPr>
                      <w:r>
                        <w:rPr>
                          <w:rFonts w:hint="eastAsia"/>
                          <w:sz w:val="18"/>
                          <w:szCs w:val="18"/>
                          <w:lang w:val="en-US" w:eastAsia="zh-CN"/>
                        </w:rPr>
                        <w:t>单位：万元</w:t>
                      </w:r>
                    </w:p>
                  </w:txbxContent>
                </v:textbox>
              </v:shape>
            </w:pict>
          </mc:Fallback>
        </mc:AlternateContent>
      </w:r>
      <w:r>
        <w:rPr>
          <w:rFonts w:hint="eastAsia" w:ascii="仿宋" w:hAnsi="仿宋" w:eastAsia="仿宋"/>
          <w:color w:val="000000" w:themeColor="text1"/>
          <w:sz w:val="32"/>
          <w:szCs w:val="32"/>
          <w:lang w:eastAsia="zh-CN"/>
          <w14:textFill>
            <w14:solidFill>
              <w14:schemeClr w14:val="tx1"/>
            </w14:solidFill>
          </w14:textFill>
        </w:rPr>
        <w:drawing>
          <wp:inline distT="0" distB="0" distL="114300" distR="114300">
            <wp:extent cx="5070475" cy="2702560"/>
            <wp:effectExtent l="4445" t="4445" r="11430" b="1714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3"/>
        <w:numPr>
          <w:ilvl w:val="0"/>
          <w:numId w:val="2"/>
        </w:numPr>
        <w:spacing w:line="600" w:lineRule="exact"/>
        <w:ind w:firstLineChars="0"/>
        <w:outlineLvl w:val="1"/>
        <w:rPr>
          <w:rStyle w:val="25"/>
          <w:rFonts w:ascii="黑体" w:hAnsi="黑体" w:eastAsia="黑体"/>
          <w:b w:val="0"/>
        </w:rPr>
      </w:pPr>
      <w:bookmarkStart w:id="30" w:name="_Toc15377206"/>
      <w:bookmarkStart w:id="31" w:name="_Toc15396604"/>
      <w:r>
        <w:rPr>
          <w:rFonts w:hint="eastAsia" w:ascii="黑体" w:hAnsi="黑体" w:eastAsia="黑体"/>
          <w:color w:val="000000"/>
          <w:sz w:val="32"/>
          <w:szCs w:val="32"/>
        </w:rPr>
        <w:t>收</w:t>
      </w:r>
      <w:r>
        <w:rPr>
          <w:rStyle w:val="25"/>
          <w:rFonts w:hint="eastAsia" w:ascii="黑体" w:hAnsi="黑体" w:eastAsia="黑体"/>
          <w:b w:val="0"/>
        </w:rPr>
        <w:t>入决算情况说明</w:t>
      </w:r>
      <w:bookmarkEnd w:id="30"/>
      <w:bookmarkEnd w:id="31"/>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8年本年收入合计</w:t>
      </w:r>
      <w:r>
        <w:rPr>
          <w:rFonts w:hint="eastAsia" w:ascii="仿宋" w:hAnsi="仿宋" w:eastAsia="仿宋"/>
          <w:color w:val="000000"/>
          <w:sz w:val="32"/>
          <w:szCs w:val="32"/>
          <w:lang w:val="en-US" w:eastAsia="zh-CN"/>
        </w:rPr>
        <w:t>1090.36</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1090.36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（图2：收入决算结构图）（饼状图）</w:t>
      </w:r>
    </w:p>
    <w:p>
      <w:pPr>
        <w:pStyle w:val="2"/>
        <w:rPr>
          <w:rFonts w:ascii="仿宋_GB2312" w:eastAsia="仿宋_GB2312"/>
          <w:color w:val="FF0000"/>
          <w:sz w:val="32"/>
          <w:szCs w:val="32"/>
        </w:rPr>
      </w:pPr>
      <w:r>
        <w:rPr>
          <w:sz w:val="32"/>
        </w:rPr>
        <mc:AlternateContent>
          <mc:Choice Requires="wps">
            <w:drawing>
              <wp:anchor distT="0" distB="0" distL="114300" distR="114300" simplePos="0" relativeHeight="251658240" behindDoc="0" locked="0" layoutInCell="1" allowOverlap="1">
                <wp:simplePos x="0" y="0"/>
                <wp:positionH relativeFrom="column">
                  <wp:posOffset>3988435</wp:posOffset>
                </wp:positionH>
                <wp:positionV relativeFrom="paragraph">
                  <wp:posOffset>156845</wp:posOffset>
                </wp:positionV>
                <wp:extent cx="704215" cy="364490"/>
                <wp:effectExtent l="4445" t="4445" r="15240" b="12065"/>
                <wp:wrapNone/>
                <wp:docPr id="3" name="文本框 3"/>
                <wp:cNvGraphicFramePr/>
                <a:graphic xmlns:a="http://schemas.openxmlformats.org/drawingml/2006/main">
                  <a:graphicData uri="http://schemas.microsoft.com/office/word/2010/wordprocessingShape">
                    <wps:wsp>
                      <wps:cNvSpPr txBox="true"/>
                      <wps:spPr>
                        <a:xfrm>
                          <a:off x="5479415" y="7774940"/>
                          <a:ext cx="704215" cy="364490"/>
                        </a:xfrm>
                        <a:prstGeom prst="rect">
                          <a:avLst/>
                        </a:prstGeom>
                        <a:no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8"/>
                                <w:szCs w:val="18"/>
                                <w:lang w:val="en-US" w:eastAsia="zh-CN"/>
                              </w:rPr>
                            </w:pPr>
                            <w:r>
                              <w:rPr>
                                <w:rFonts w:hint="eastAsia"/>
                                <w:sz w:val="18"/>
                                <w:szCs w:val="18"/>
                                <w:lang w:val="en-US" w:eastAsia="zh-CN"/>
                              </w:rPr>
                              <w:t>单位：万元</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14.05pt;margin-top:12.35pt;height:28.7pt;width:55.45pt;z-index:251658240;mso-width-relative:page;mso-height-relative:page;" filled="f" stroked="t" coordsize="21600,21600" o:gfxdata="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WAAAAZHJzL1BLAQIUABQAAAAIAIdO4kBb&#10;cXPA2QAAAAkBAAAPAAAAAAAAAAEAIAAAADgAAABkcnMvZG93bnJldi54bWxQSwECFAAUAAAACACH&#10;TuJAkbZF2kYCAABeBAAADgAAAAAAAAABACAAAAA+AQAAZHJzL2Uyb0RvYy54bWxQSwUGAAAAAAYA&#10;BgBZAQAA9gUAAAAA&#10;">
                <v:fill on="f" focussize="0,0"/>
                <v:stroke weight="0.5pt" color="#FFFFFF [3212]" joinstyle="round"/>
                <v:imagedata o:title=""/>
                <o:lock v:ext="edit" aspectratio="f"/>
                <v:textbox>
                  <w:txbxContent>
                    <w:p>
                      <w:pPr>
                        <w:rPr>
                          <w:rFonts w:hint="eastAsia" w:eastAsia="宋体"/>
                          <w:sz w:val="18"/>
                          <w:szCs w:val="18"/>
                          <w:lang w:val="en-US" w:eastAsia="zh-CN"/>
                        </w:rPr>
                      </w:pPr>
                      <w:r>
                        <w:rPr>
                          <w:rFonts w:hint="eastAsia"/>
                          <w:sz w:val="18"/>
                          <w:szCs w:val="18"/>
                          <w:lang w:val="en-US" w:eastAsia="zh-CN"/>
                        </w:rPr>
                        <w:t>单位：万元</w:t>
                      </w:r>
                    </w:p>
                  </w:txbxContent>
                </v:textbox>
              </v:shape>
            </w:pict>
          </mc:Fallback>
        </mc:AlternateContent>
      </w:r>
      <w:r>
        <w:rPr>
          <w:rFonts w:hint="eastAsia" w:ascii="仿宋_GB2312" w:eastAsia="仿宋_GB2312"/>
          <w:color w:val="FF0000"/>
          <w:sz w:val="32"/>
          <w:szCs w:val="32"/>
          <w:lang w:eastAsia="zh-CN"/>
        </w:rPr>
        <w:drawing>
          <wp:inline distT="0" distB="0" distL="114300" distR="114300">
            <wp:extent cx="5097780" cy="2426970"/>
            <wp:effectExtent l="4445" t="4445" r="22225" b="698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3"/>
        <w:numPr>
          <w:ilvl w:val="0"/>
          <w:numId w:val="2"/>
        </w:numPr>
        <w:spacing w:line="600" w:lineRule="exact"/>
        <w:ind w:firstLineChars="0"/>
        <w:outlineLvl w:val="1"/>
        <w:rPr>
          <w:rStyle w:val="25"/>
          <w:rFonts w:ascii="黑体" w:hAnsi="黑体" w:eastAsia="黑体"/>
          <w:b w:val="0"/>
        </w:rPr>
      </w:pPr>
      <w:bookmarkStart w:id="32" w:name="_Toc15377207"/>
      <w:bookmarkStart w:id="33" w:name="_Toc15396605"/>
      <w:r>
        <w:rPr>
          <w:rFonts w:hint="eastAsia" w:ascii="黑体" w:hAnsi="黑体" w:eastAsia="黑体"/>
          <w:color w:val="000000"/>
          <w:sz w:val="32"/>
          <w:szCs w:val="32"/>
        </w:rPr>
        <w:t>支</w:t>
      </w:r>
      <w:r>
        <w:rPr>
          <w:rStyle w:val="25"/>
          <w:rFonts w:hint="eastAsia" w:ascii="黑体" w:hAnsi="黑体" w:eastAsia="黑体"/>
          <w:b w:val="0"/>
        </w:rPr>
        <w:t>出决算情况说明</w:t>
      </w:r>
      <w:bookmarkEnd w:id="32"/>
      <w:bookmarkEnd w:id="33"/>
    </w:p>
    <w:p>
      <w:pPr>
        <w:spacing w:line="600" w:lineRule="exact"/>
        <w:ind w:firstLine="640"/>
        <w:rPr>
          <w:rFonts w:ascii="仿宋" w:hAnsi="仿宋" w:eastAsia="仿宋"/>
          <w:color w:val="000000"/>
          <w:sz w:val="32"/>
          <w:szCs w:val="32"/>
          <w:shd w:val="pct10" w:color="auto" w:fill="FFFFFF"/>
        </w:rPr>
      </w:pPr>
      <w:r>
        <w:rPr>
          <w:rFonts w:ascii="仿宋" w:hAnsi="仿宋" w:eastAsia="仿宋"/>
          <w:color w:val="000000"/>
          <w:sz w:val="32"/>
          <w:szCs w:val="32"/>
        </w:rPr>
        <w:t>201</w:t>
      </w:r>
      <w:r>
        <w:rPr>
          <w:rFonts w:hint="eastAsia" w:ascii="仿宋" w:hAnsi="仿宋" w:eastAsia="仿宋"/>
          <w:color w:val="000000"/>
          <w:sz w:val="32"/>
          <w:szCs w:val="32"/>
        </w:rPr>
        <w:t>8年本年支出合计</w:t>
      </w:r>
      <w:r>
        <w:rPr>
          <w:rFonts w:hint="eastAsia" w:ascii="仿宋" w:hAnsi="仿宋" w:eastAsia="仿宋"/>
          <w:color w:val="000000"/>
          <w:sz w:val="32"/>
          <w:szCs w:val="32"/>
          <w:lang w:val="en-US" w:eastAsia="zh-CN"/>
        </w:rPr>
        <w:t>1287.39</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969.29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75.29</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318.10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24.71</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（图3：支出决算结构图）（饼状图）</w:t>
      </w:r>
    </w:p>
    <w:p>
      <w:pPr>
        <w:pStyle w:val="2"/>
        <w:rPr>
          <w:rFonts w:ascii="仿宋_GB2312" w:eastAsia="仿宋_GB2312"/>
          <w:color w:val="FF0000"/>
          <w:sz w:val="32"/>
          <w:szCs w:val="32"/>
        </w:rPr>
      </w:pPr>
      <w:r>
        <w:rPr>
          <w:sz w:val="32"/>
        </w:rPr>
        <mc:AlternateContent>
          <mc:Choice Requires="wps">
            <w:drawing>
              <wp:anchor distT="0" distB="0" distL="114300" distR="114300" simplePos="0" relativeHeight="251659264" behindDoc="0" locked="0" layoutInCell="1" allowOverlap="1">
                <wp:simplePos x="0" y="0"/>
                <wp:positionH relativeFrom="column">
                  <wp:posOffset>3914775</wp:posOffset>
                </wp:positionH>
                <wp:positionV relativeFrom="paragraph">
                  <wp:posOffset>205740</wp:posOffset>
                </wp:positionV>
                <wp:extent cx="704215" cy="364490"/>
                <wp:effectExtent l="4445" t="4445" r="15240" b="12065"/>
                <wp:wrapNone/>
                <wp:docPr id="7" name="文本框 7"/>
                <wp:cNvGraphicFramePr/>
                <a:graphic xmlns:a="http://schemas.openxmlformats.org/drawingml/2006/main">
                  <a:graphicData uri="http://schemas.microsoft.com/office/word/2010/wordprocessingShape">
                    <wps:wsp>
                      <wps:cNvSpPr txBox="true"/>
                      <wps:spPr>
                        <a:xfrm>
                          <a:off x="0" y="0"/>
                          <a:ext cx="704215" cy="364490"/>
                        </a:xfrm>
                        <a:prstGeom prst="rect">
                          <a:avLst/>
                        </a:prstGeom>
                        <a:no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8"/>
                                <w:szCs w:val="18"/>
                                <w:lang w:val="en-US" w:eastAsia="zh-CN"/>
                              </w:rPr>
                            </w:pPr>
                            <w:r>
                              <w:rPr>
                                <w:rFonts w:hint="eastAsia"/>
                                <w:sz w:val="18"/>
                                <w:szCs w:val="18"/>
                                <w:lang w:val="en-US" w:eastAsia="zh-CN"/>
                              </w:rPr>
                              <w:t>单位：万元</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08.25pt;margin-top:16.2pt;height:28.7pt;width:55.45pt;z-index:251659264;mso-width-relative:page;mso-height-relative:page;" filled="f" stroked="t" coordsize="21600,21600" o:gfxdata="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WAAAAZHJzL1BLAQIUABQAAAAIAIdO4kBVOjcw2QAAAAkB&#10;AAAPAAAAAAAAAAEAIAAAADgAAABkcnMvZG93bnJldi54bWxQSwECFAAUAAAACACHTuJA5IHmkj0C&#10;AABSBAAADgAAAAAAAAABACAAAAA+AQAAZHJzL2Uyb0RvYy54bWxQSwUGAAAAAAYABgBZAQAA7QUA&#10;AAAA&#10;">
                <v:fill on="f" focussize="0,0"/>
                <v:stroke weight="0.5pt" color="#FFFFFF [3212]" joinstyle="round"/>
                <v:imagedata o:title=""/>
                <o:lock v:ext="edit" aspectratio="f"/>
                <v:textbox>
                  <w:txbxContent>
                    <w:p>
                      <w:pPr>
                        <w:rPr>
                          <w:rFonts w:hint="eastAsia" w:eastAsia="宋体"/>
                          <w:sz w:val="18"/>
                          <w:szCs w:val="18"/>
                          <w:lang w:val="en-US" w:eastAsia="zh-CN"/>
                        </w:rPr>
                      </w:pPr>
                      <w:r>
                        <w:rPr>
                          <w:rFonts w:hint="eastAsia"/>
                          <w:sz w:val="18"/>
                          <w:szCs w:val="18"/>
                          <w:lang w:val="en-US" w:eastAsia="zh-CN"/>
                        </w:rPr>
                        <w:t>单位：万元</w:t>
                      </w:r>
                    </w:p>
                  </w:txbxContent>
                </v:textbox>
              </v:shape>
            </w:pict>
          </mc:Fallback>
        </mc:AlternateContent>
      </w:r>
      <w:r>
        <w:rPr>
          <w:rFonts w:hint="eastAsia" w:ascii="仿宋" w:hAnsi="仿宋" w:eastAsia="仿宋"/>
          <w:color w:val="000000" w:themeColor="text1"/>
          <w:sz w:val="32"/>
          <w:szCs w:val="32"/>
          <w:lang w:eastAsia="zh-CN"/>
          <w14:textFill>
            <w14:solidFill>
              <w14:schemeClr w14:val="tx1"/>
            </w14:solidFill>
          </w14:textFill>
        </w:rPr>
        <w:drawing>
          <wp:inline distT="0" distB="0" distL="114300" distR="114300">
            <wp:extent cx="5107305" cy="2143125"/>
            <wp:effectExtent l="4445" t="4445" r="12700" b="508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outlineLvl w:val="1"/>
        <w:rPr>
          <w:rStyle w:val="25"/>
          <w:rFonts w:ascii="黑体" w:hAnsi="黑体" w:eastAsia="黑体"/>
          <w:b w:val="0"/>
        </w:rPr>
      </w:pPr>
      <w:bookmarkStart w:id="34" w:name="_Toc15396606"/>
      <w:bookmarkStart w:id="35" w:name="_Toc15377208"/>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4"/>
      <w:bookmarkEnd w:id="35"/>
    </w:p>
    <w:p>
      <w:pPr>
        <w:spacing w:line="600" w:lineRule="exact"/>
        <w:ind w:firstLine="640" w:firstLineChars="200"/>
        <w:rPr>
          <w:rFonts w:hint="default" w:ascii="仿宋" w:hAnsi="仿宋" w:eastAsia="仿宋"/>
          <w:color w:val="000000"/>
          <w:sz w:val="32"/>
          <w:szCs w:val="32"/>
          <w:lang w:val="en-US" w:eastAsia="zh-CN"/>
        </w:rPr>
      </w:pPr>
      <w:r>
        <w:rPr>
          <w:rFonts w:hint="eastAsia" w:ascii="仿宋" w:hAnsi="仿宋" w:eastAsia="仿宋"/>
          <w:color w:val="000000"/>
          <w:sz w:val="32"/>
          <w:szCs w:val="32"/>
        </w:rPr>
        <w:t>2018年度收</w:t>
      </w:r>
      <w:r>
        <w:rPr>
          <w:rFonts w:hint="eastAsia" w:ascii="仿宋" w:hAnsi="仿宋" w:eastAsia="仿宋"/>
          <w:color w:val="000000"/>
          <w:sz w:val="32"/>
          <w:szCs w:val="32"/>
          <w:lang w:eastAsia="zh-CN"/>
        </w:rPr>
        <w:t>入</w:t>
      </w:r>
      <w:r>
        <w:rPr>
          <w:rFonts w:hint="eastAsia" w:ascii="仿宋" w:hAnsi="仿宋" w:eastAsia="仿宋"/>
          <w:color w:val="000000"/>
          <w:sz w:val="32"/>
          <w:szCs w:val="32"/>
        </w:rPr>
        <w:t>总计</w:t>
      </w:r>
      <w:r>
        <w:rPr>
          <w:rFonts w:hint="eastAsia" w:ascii="仿宋" w:hAnsi="仿宋" w:eastAsia="仿宋"/>
          <w:color w:val="000000"/>
          <w:sz w:val="32"/>
          <w:szCs w:val="32"/>
          <w:lang w:val="en-US" w:eastAsia="zh-CN"/>
        </w:rPr>
        <w:t>1329.06</w:t>
      </w:r>
      <w:r>
        <w:rPr>
          <w:rFonts w:hint="eastAsia" w:ascii="仿宋" w:hAnsi="仿宋" w:eastAsia="仿宋"/>
          <w:color w:val="000000"/>
          <w:sz w:val="32"/>
          <w:szCs w:val="32"/>
        </w:rPr>
        <w:t>万元。与2017年相比，收</w:t>
      </w:r>
      <w:r>
        <w:rPr>
          <w:rFonts w:hint="eastAsia" w:ascii="仿宋" w:hAnsi="仿宋" w:eastAsia="仿宋"/>
          <w:color w:val="000000"/>
          <w:sz w:val="32"/>
          <w:szCs w:val="32"/>
          <w:lang w:eastAsia="zh-CN"/>
        </w:rPr>
        <w:t>入</w:t>
      </w:r>
      <w:r>
        <w:rPr>
          <w:rFonts w:hint="eastAsia" w:ascii="仿宋" w:hAnsi="仿宋" w:eastAsia="仿宋"/>
          <w:color w:val="000000"/>
          <w:sz w:val="32"/>
          <w:szCs w:val="32"/>
        </w:rPr>
        <w:t>总计减少</w:t>
      </w:r>
      <w:r>
        <w:rPr>
          <w:rFonts w:hint="eastAsia" w:ascii="仿宋" w:hAnsi="仿宋" w:eastAsia="仿宋"/>
          <w:color w:val="000000"/>
          <w:sz w:val="32"/>
          <w:szCs w:val="32"/>
          <w:lang w:val="en-US" w:eastAsia="zh-CN"/>
        </w:rPr>
        <w:t>0.84</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0.06</w:t>
      </w:r>
      <w:r>
        <w:rPr>
          <w:rFonts w:ascii="仿宋" w:hAnsi="仿宋" w:eastAsia="仿宋"/>
          <w:color w:val="000000"/>
          <w:sz w:val="32"/>
          <w:szCs w:val="32"/>
        </w:rPr>
        <w:t>%</w:t>
      </w:r>
      <w:r>
        <w:rPr>
          <w:rFonts w:hint="eastAsia" w:ascii="仿宋" w:hAnsi="仿宋" w:eastAsia="仿宋"/>
          <w:color w:val="000000"/>
          <w:sz w:val="32"/>
          <w:szCs w:val="32"/>
        </w:rPr>
        <w:t>。2018年度</w:t>
      </w:r>
      <w:r>
        <w:rPr>
          <w:rFonts w:hint="eastAsia" w:ascii="仿宋" w:hAnsi="仿宋" w:eastAsia="仿宋"/>
          <w:color w:val="000000"/>
          <w:sz w:val="32"/>
          <w:szCs w:val="32"/>
          <w:lang w:eastAsia="zh-CN"/>
        </w:rPr>
        <w:t>支出</w:t>
      </w:r>
      <w:r>
        <w:rPr>
          <w:rFonts w:hint="eastAsia" w:ascii="仿宋" w:hAnsi="仿宋" w:eastAsia="仿宋"/>
          <w:color w:val="000000"/>
          <w:sz w:val="32"/>
          <w:szCs w:val="32"/>
        </w:rPr>
        <w:t>总计</w:t>
      </w:r>
      <w:r>
        <w:rPr>
          <w:rFonts w:hint="eastAsia" w:ascii="仿宋" w:hAnsi="仿宋" w:eastAsia="仿宋"/>
          <w:color w:val="000000"/>
          <w:sz w:val="32"/>
          <w:szCs w:val="32"/>
          <w:lang w:val="en-US" w:eastAsia="zh-CN"/>
        </w:rPr>
        <w:t>1287.39</w:t>
      </w:r>
      <w:r>
        <w:rPr>
          <w:rFonts w:hint="eastAsia" w:ascii="仿宋" w:hAnsi="仿宋" w:eastAsia="仿宋"/>
          <w:color w:val="000000"/>
          <w:sz w:val="32"/>
          <w:szCs w:val="32"/>
        </w:rPr>
        <w:t>万元。与2017年相比，</w:t>
      </w:r>
      <w:r>
        <w:rPr>
          <w:rFonts w:hint="eastAsia" w:ascii="仿宋" w:hAnsi="仿宋" w:eastAsia="仿宋"/>
          <w:color w:val="000000"/>
          <w:sz w:val="32"/>
          <w:szCs w:val="32"/>
          <w:lang w:eastAsia="zh-CN"/>
        </w:rPr>
        <w:t>支出</w:t>
      </w:r>
      <w:r>
        <w:rPr>
          <w:rFonts w:hint="eastAsia" w:ascii="仿宋" w:hAnsi="仿宋" w:eastAsia="仿宋"/>
          <w:color w:val="000000"/>
          <w:sz w:val="32"/>
          <w:szCs w:val="32"/>
        </w:rPr>
        <w:t>总计</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196.19</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17.98</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sz w:val="32"/>
          <w:szCs w:val="32"/>
          <w:lang w:eastAsia="zh-CN"/>
        </w:rPr>
        <w:t>支出增长</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支付</w:t>
      </w:r>
      <w:r>
        <w:rPr>
          <w:rFonts w:hint="eastAsia" w:ascii="仿宋" w:hAnsi="仿宋" w:eastAsia="仿宋"/>
          <w:color w:val="000000"/>
          <w:sz w:val="32"/>
          <w:szCs w:val="32"/>
          <w:lang w:val="en-US" w:eastAsia="zh-CN"/>
        </w:rPr>
        <w:t>2017年未结算业务和专项业务支出增加。</w:t>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（图4：财政拨款收、支决算总计变动情况）（柱状图）</w:t>
      </w:r>
    </w:p>
    <w:p>
      <w:pPr>
        <w:pStyle w:val="2"/>
        <w:rPr>
          <w:rFonts w:hint="eastAsia" w:ascii="仿宋" w:hAnsi="仿宋" w:eastAsia="仿宋"/>
          <w:color w:val="000000" w:themeColor="text1"/>
          <w:sz w:val="32"/>
          <w:szCs w:val="32"/>
          <w14:textFill>
            <w14:solidFill>
              <w14:schemeClr w14:val="tx1"/>
            </w14:solidFill>
          </w14:textFill>
        </w:rPr>
      </w:pPr>
      <w:r>
        <w:rPr>
          <w:sz w:val="32"/>
        </w:rPr>
        <mc:AlternateContent>
          <mc:Choice Requires="wps">
            <w:drawing>
              <wp:anchor distT="0" distB="0" distL="114300" distR="114300" simplePos="0" relativeHeight="251662336" behindDoc="0" locked="0" layoutInCell="1" allowOverlap="1">
                <wp:simplePos x="0" y="0"/>
                <wp:positionH relativeFrom="column">
                  <wp:posOffset>4234815</wp:posOffset>
                </wp:positionH>
                <wp:positionV relativeFrom="paragraph">
                  <wp:posOffset>214630</wp:posOffset>
                </wp:positionV>
                <wp:extent cx="704215" cy="364490"/>
                <wp:effectExtent l="4445" t="4445" r="15240" b="12065"/>
                <wp:wrapNone/>
                <wp:docPr id="4" name="文本框 4"/>
                <wp:cNvGraphicFramePr/>
                <a:graphic xmlns:a="http://schemas.openxmlformats.org/drawingml/2006/main">
                  <a:graphicData uri="http://schemas.microsoft.com/office/word/2010/wordprocessingShape">
                    <wps:wsp>
                      <wps:cNvSpPr txBox="true"/>
                      <wps:spPr>
                        <a:xfrm>
                          <a:off x="0" y="0"/>
                          <a:ext cx="704215" cy="364490"/>
                        </a:xfrm>
                        <a:prstGeom prst="rect">
                          <a:avLst/>
                        </a:prstGeom>
                        <a:no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8"/>
                                <w:szCs w:val="18"/>
                                <w:lang w:val="en-US" w:eastAsia="zh-CN"/>
                              </w:rPr>
                            </w:pPr>
                            <w:r>
                              <w:rPr>
                                <w:rFonts w:hint="eastAsia"/>
                                <w:sz w:val="18"/>
                                <w:szCs w:val="18"/>
                                <w:lang w:val="en-US" w:eastAsia="zh-CN"/>
                              </w:rPr>
                              <w:t>单位：万元</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33.45pt;margin-top:16.9pt;height:28.7pt;width:55.45pt;z-index:251662336;mso-width-relative:page;mso-height-relative:page;" filled="f" stroked="t" coordsize="21600,21600" o:gfxdata="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WAAAAZHJzL1BLAQIUABQAAAAIAIdO4kDwbBSW2QAAAAkB&#10;AAAPAAAAAAAAAAEAIAAAADgAAABkcnMvZG93bnJldi54bWxQSwECFAAUAAAACACHTuJAX4+lbD0C&#10;AABSBAAADgAAAAAAAAABACAAAAA+AQAAZHJzL2Uyb0RvYy54bWxQSwUGAAAAAAYABgBZAQAA7QUA&#10;AAAA&#10;">
                <v:fill on="f" focussize="0,0"/>
                <v:stroke weight="0.5pt" color="#FFFFFF [3212]" joinstyle="round"/>
                <v:imagedata o:title=""/>
                <o:lock v:ext="edit" aspectratio="f"/>
                <v:textbox>
                  <w:txbxContent>
                    <w:p>
                      <w:pPr>
                        <w:rPr>
                          <w:rFonts w:hint="eastAsia" w:eastAsia="宋体"/>
                          <w:sz w:val="18"/>
                          <w:szCs w:val="18"/>
                          <w:lang w:val="en-US" w:eastAsia="zh-CN"/>
                        </w:rPr>
                      </w:pPr>
                      <w:r>
                        <w:rPr>
                          <w:rFonts w:hint="eastAsia"/>
                          <w:sz w:val="18"/>
                          <w:szCs w:val="18"/>
                          <w:lang w:val="en-US" w:eastAsia="zh-CN"/>
                        </w:rPr>
                        <w:t>单位：万元</w:t>
                      </w:r>
                    </w:p>
                  </w:txbxContent>
                </v:textbox>
              </v:shape>
            </w:pict>
          </mc:Fallback>
        </mc:AlternateContent>
      </w:r>
      <w:r>
        <w:rPr>
          <w:rFonts w:hint="eastAsia" w:ascii="仿宋" w:hAnsi="仿宋" w:eastAsia="仿宋"/>
          <w:color w:val="000000" w:themeColor="text1"/>
          <w:sz w:val="32"/>
          <w:szCs w:val="32"/>
          <w:lang w:eastAsia="zh-CN"/>
          <w14:textFill>
            <w14:solidFill>
              <w14:schemeClr w14:val="tx1"/>
            </w14:solidFill>
          </w14:textFill>
        </w:rPr>
        <w:drawing>
          <wp:inline distT="0" distB="0" distL="114300" distR="114300">
            <wp:extent cx="5070475" cy="2702560"/>
            <wp:effectExtent l="4445" t="4445" r="11430" b="1714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rPr>
          <w:rFonts w:ascii="仿宋" w:hAnsi="仿宋" w:eastAsia="仿宋"/>
          <w:b/>
          <w:color w:val="00B050"/>
          <w:sz w:val="32"/>
          <w:szCs w:val="32"/>
        </w:rPr>
      </w:pPr>
      <w:r>
        <w:rPr>
          <w:rFonts w:hint="eastAsia" w:ascii="仿宋" w:hAnsi="仿宋" w:eastAsia="仿宋"/>
          <w:b/>
          <w:color w:val="000000" w:themeColor="text1"/>
          <w:sz w:val="32"/>
          <w:szCs w:val="32"/>
          <w14:textFill>
            <w14:solidFill>
              <w14:schemeClr w14:val="tx1"/>
            </w14:solidFill>
          </w14:textFill>
        </w:rPr>
        <w:t>（除国有资本经营预算外，数据来源于财决</w:t>
      </w:r>
      <w:r>
        <w:rPr>
          <w:rFonts w:ascii="仿宋" w:hAnsi="仿宋" w:eastAsia="仿宋"/>
          <w:b/>
          <w:color w:val="000000" w:themeColor="text1"/>
          <w:sz w:val="32"/>
          <w:szCs w:val="32"/>
          <w14:textFill>
            <w14:solidFill>
              <w14:schemeClr w14:val="tx1"/>
            </w14:solidFill>
          </w14:textFill>
        </w:rPr>
        <w:t>Z01-1</w:t>
      </w:r>
      <w:r>
        <w:rPr>
          <w:rFonts w:hint="eastAsia" w:ascii="仿宋" w:hAnsi="仿宋" w:eastAsia="仿宋"/>
          <w:b/>
          <w:color w:val="000000" w:themeColor="text1"/>
          <w:sz w:val="32"/>
          <w:szCs w:val="32"/>
          <w14:textFill>
            <w14:solidFill>
              <w14:schemeClr w14:val="tx1"/>
            </w14:solidFill>
          </w14:textFill>
        </w:rPr>
        <w:t>表，口径为“总计”数+国有资本经营预算。）</w:t>
      </w:r>
    </w:p>
    <w:p>
      <w:pPr>
        <w:spacing w:line="600" w:lineRule="exact"/>
        <w:ind w:firstLine="640" w:firstLineChars="200"/>
        <w:outlineLvl w:val="1"/>
        <w:rPr>
          <w:rStyle w:val="25"/>
          <w:rFonts w:ascii="黑体" w:hAnsi="黑体" w:eastAsia="黑体"/>
          <w:b w:val="0"/>
        </w:rPr>
      </w:pPr>
      <w:bookmarkStart w:id="36" w:name="_Toc15396607"/>
      <w:bookmarkStart w:id="37"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6"/>
      <w:bookmarkEnd w:id="37"/>
    </w:p>
    <w:p>
      <w:pPr>
        <w:spacing w:line="600" w:lineRule="exact"/>
        <w:ind w:firstLine="642" w:firstLineChars="200"/>
        <w:outlineLvl w:val="2"/>
        <w:rPr>
          <w:rFonts w:ascii="仿宋" w:hAnsi="仿宋" w:eastAsia="仿宋"/>
          <w:b/>
          <w:color w:val="000000"/>
          <w:sz w:val="32"/>
          <w:szCs w:val="32"/>
        </w:rPr>
      </w:pPr>
      <w:bookmarkStart w:id="38" w:name="_Toc15377210"/>
      <w:r>
        <w:rPr>
          <w:rFonts w:hint="eastAsia" w:ascii="仿宋" w:hAnsi="仿宋" w:eastAsia="仿宋"/>
          <w:b/>
          <w:color w:val="000000"/>
          <w:sz w:val="32"/>
          <w:szCs w:val="32"/>
        </w:rPr>
        <w:t>（一）一般公共预算财政拨款支出决算总体情况</w:t>
      </w:r>
      <w:bookmarkEnd w:id="38"/>
    </w:p>
    <w:p>
      <w:pPr>
        <w:spacing w:line="600" w:lineRule="exact"/>
        <w:ind w:firstLine="640" w:firstLineChars="200"/>
        <w:rPr>
          <w:rFonts w:hint="default" w:ascii="仿宋" w:hAnsi="仿宋" w:eastAsia="仿宋"/>
          <w:color w:val="000000"/>
          <w:sz w:val="32"/>
          <w:szCs w:val="32"/>
          <w:lang w:val="en-US" w:eastAsia="zh-CN"/>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w:t>
      </w:r>
      <w:r>
        <w:rPr>
          <w:rFonts w:hint="eastAsia" w:ascii="仿宋" w:hAnsi="仿宋" w:eastAsia="仿宋"/>
          <w:color w:val="000000"/>
          <w:sz w:val="32"/>
          <w:szCs w:val="32"/>
          <w:lang w:val="en-US" w:eastAsia="zh-CN"/>
        </w:rPr>
        <w:t>1287.39</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7年相比，一般公共预算财政拨款增加</w:t>
      </w:r>
      <w:r>
        <w:rPr>
          <w:rFonts w:hint="eastAsia" w:ascii="仿宋" w:hAnsi="仿宋" w:eastAsia="仿宋"/>
          <w:color w:val="000000"/>
          <w:sz w:val="32"/>
          <w:szCs w:val="32"/>
          <w:lang w:val="en-US" w:eastAsia="zh-CN"/>
        </w:rPr>
        <w:t>196.19</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17.98</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支付</w:t>
      </w:r>
      <w:r>
        <w:rPr>
          <w:rFonts w:hint="eastAsia" w:ascii="仿宋" w:hAnsi="仿宋" w:eastAsia="仿宋"/>
          <w:color w:val="000000"/>
          <w:sz w:val="32"/>
          <w:szCs w:val="32"/>
          <w:lang w:val="en-US" w:eastAsia="zh-CN"/>
        </w:rPr>
        <w:t>2017年未结算业务和专项业务支出增加。</w:t>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（图5：一般公共预算财政拨款支出决算变动情况）（柱状图）</w:t>
      </w:r>
    </w:p>
    <w:p>
      <w:pPr>
        <w:pStyle w:val="2"/>
        <w:rPr>
          <w:rFonts w:hint="eastAsia" w:ascii="仿宋" w:hAnsi="仿宋" w:eastAsia="仿宋"/>
          <w:color w:val="000000" w:themeColor="text1"/>
          <w:sz w:val="32"/>
          <w:szCs w:val="32"/>
          <w14:textFill>
            <w14:solidFill>
              <w14:schemeClr w14:val="tx1"/>
            </w14:solidFill>
          </w14:textFill>
        </w:rPr>
      </w:pPr>
    </w:p>
    <w:p>
      <w:pPr>
        <w:pStyle w:val="2"/>
        <w:rPr>
          <w:rFonts w:hint="eastAsia" w:ascii="仿宋" w:hAnsi="仿宋" w:eastAsia="仿宋"/>
          <w:color w:val="000000" w:themeColor="text1"/>
          <w:sz w:val="32"/>
          <w:szCs w:val="32"/>
          <w14:textFill>
            <w14:solidFill>
              <w14:schemeClr w14:val="tx1"/>
            </w14:solidFill>
          </w14:textFill>
        </w:rPr>
      </w:pPr>
      <w:r>
        <w:rPr>
          <w:sz w:val="32"/>
        </w:rPr>
        <mc:AlternateContent>
          <mc:Choice Requires="wps">
            <w:drawing>
              <wp:anchor distT="0" distB="0" distL="114300" distR="114300" simplePos="0" relativeHeight="251664384" behindDoc="0" locked="0" layoutInCell="1" allowOverlap="1">
                <wp:simplePos x="0" y="0"/>
                <wp:positionH relativeFrom="column">
                  <wp:posOffset>4234815</wp:posOffset>
                </wp:positionH>
                <wp:positionV relativeFrom="paragraph">
                  <wp:posOffset>361315</wp:posOffset>
                </wp:positionV>
                <wp:extent cx="704215" cy="364490"/>
                <wp:effectExtent l="4445" t="4445" r="15240" b="12065"/>
                <wp:wrapNone/>
                <wp:docPr id="12" name="文本框 12"/>
                <wp:cNvGraphicFramePr/>
                <a:graphic xmlns:a="http://schemas.openxmlformats.org/drawingml/2006/main">
                  <a:graphicData uri="http://schemas.microsoft.com/office/word/2010/wordprocessingShape">
                    <wps:wsp>
                      <wps:cNvSpPr txBox="true"/>
                      <wps:spPr>
                        <a:xfrm>
                          <a:off x="0" y="0"/>
                          <a:ext cx="704215" cy="364490"/>
                        </a:xfrm>
                        <a:prstGeom prst="rect">
                          <a:avLst/>
                        </a:prstGeom>
                        <a:no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8"/>
                                <w:szCs w:val="18"/>
                                <w:lang w:val="en-US" w:eastAsia="zh-CN"/>
                              </w:rPr>
                            </w:pPr>
                            <w:r>
                              <w:rPr>
                                <w:rFonts w:hint="eastAsia"/>
                                <w:sz w:val="18"/>
                                <w:szCs w:val="18"/>
                                <w:lang w:val="en-US" w:eastAsia="zh-CN"/>
                              </w:rPr>
                              <w:t>单位：万元</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33.45pt;margin-top:28.45pt;height:28.7pt;width:55.45pt;z-index:251664384;mso-width-relative:page;mso-height-relative:page;" filled="f" stroked="t" coordsize="21600,21600" o:gfxdata="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jwHNEdkAAAAK&#10;AQAADwAAAAAAAAABACAAAAA4AAAAZHJzL2Rvd25yZXYueG1sUEsBAhQAFAAAAAgAh07iQNsQ4+g+&#10;AgAAVAQAAA4AAAAAAAAAAQAgAAAAPgEAAGRycy9lMm9Eb2MueG1sUEsFBgAAAAAGAAYAWQEAAO4F&#10;AAAAAA==&#10;">
                <v:fill on="f" focussize="0,0"/>
                <v:stroke weight="0.5pt" color="#FFFFFF [3212]" joinstyle="round"/>
                <v:imagedata o:title=""/>
                <o:lock v:ext="edit" aspectratio="f"/>
                <v:textbox>
                  <w:txbxContent>
                    <w:p>
                      <w:pPr>
                        <w:rPr>
                          <w:rFonts w:hint="eastAsia" w:eastAsia="宋体"/>
                          <w:sz w:val="18"/>
                          <w:szCs w:val="18"/>
                          <w:lang w:val="en-US" w:eastAsia="zh-CN"/>
                        </w:rPr>
                      </w:pPr>
                      <w:r>
                        <w:rPr>
                          <w:rFonts w:hint="eastAsia"/>
                          <w:sz w:val="18"/>
                          <w:szCs w:val="18"/>
                          <w:lang w:val="en-US" w:eastAsia="zh-CN"/>
                        </w:rPr>
                        <w:t>单位：万元</w:t>
                      </w:r>
                    </w:p>
                  </w:txbxContent>
                </v:textbox>
              </v:shape>
            </w:pict>
          </mc:Fallback>
        </mc:AlternateContent>
      </w:r>
      <w:r>
        <w:rPr>
          <w:rFonts w:hint="eastAsia" w:ascii="仿宋" w:hAnsi="仿宋" w:eastAsia="仿宋"/>
          <w:color w:val="000000" w:themeColor="text1"/>
          <w:sz w:val="32"/>
          <w:szCs w:val="32"/>
          <w:lang w:eastAsia="zh-CN"/>
          <w14:textFill>
            <w14:solidFill>
              <w14:schemeClr w14:val="tx1"/>
            </w14:solidFill>
          </w14:textFill>
        </w:rPr>
        <w:drawing>
          <wp:inline distT="0" distB="0" distL="114300" distR="114300">
            <wp:extent cx="5070475" cy="2702560"/>
            <wp:effectExtent l="4445" t="4445" r="11430" b="17145"/>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2" w:firstLineChars="200"/>
        <w:outlineLvl w:val="2"/>
        <w:rPr>
          <w:rFonts w:ascii="仿宋" w:hAnsi="仿宋" w:eastAsia="仿宋"/>
          <w:b/>
          <w:color w:val="000000"/>
          <w:sz w:val="32"/>
          <w:szCs w:val="32"/>
        </w:rPr>
      </w:pPr>
      <w:bookmarkStart w:id="39" w:name="_Toc15377211"/>
      <w:r>
        <w:rPr>
          <w:rFonts w:hint="eastAsia" w:ascii="仿宋" w:hAnsi="仿宋" w:eastAsia="仿宋"/>
          <w:b/>
          <w:color w:val="000000"/>
          <w:sz w:val="32"/>
          <w:szCs w:val="32"/>
        </w:rPr>
        <w:t>（二）一般公共预算财政拨款支出决算结构情况</w:t>
      </w:r>
      <w:bookmarkEnd w:id="39"/>
    </w:p>
    <w:p>
      <w:pPr>
        <w:spacing w:line="600" w:lineRule="exact"/>
        <w:ind w:firstLine="640"/>
        <w:rPr>
          <w:rFonts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8年一般公共预算财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1287.39</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1106.40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85.94</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教育支出（类）</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科学技术（类）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91.86</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7.14</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；医疗卫生支出</w:t>
      </w:r>
      <w:r>
        <w:rPr>
          <w:rFonts w:hint="eastAsia" w:ascii="仿宋" w:hAnsi="仿宋" w:eastAsia="仿宋"/>
          <w:color w:val="000000" w:themeColor="text1"/>
          <w:sz w:val="32"/>
          <w:szCs w:val="32"/>
          <w:lang w:val="en-US" w:eastAsia="zh-CN"/>
          <w14:textFill>
            <w14:solidFill>
              <w14:schemeClr w14:val="tx1"/>
            </w14:solidFill>
          </w14:textFill>
        </w:rPr>
        <w:t>30.91</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2.40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农林水支出</w:t>
      </w:r>
      <w:r>
        <w:rPr>
          <w:rFonts w:hint="eastAsia" w:ascii="仿宋" w:hAnsi="仿宋" w:eastAsia="仿宋"/>
          <w:color w:val="000000" w:themeColor="text1"/>
          <w:sz w:val="32"/>
          <w:szCs w:val="32"/>
          <w:lang w:val="en-US" w:eastAsia="zh-CN"/>
          <w14:textFill>
            <w14:solidFill>
              <w14:schemeClr w14:val="tx1"/>
            </w14:solidFill>
          </w14:textFill>
        </w:rPr>
        <w:t>2.5万元，</w:t>
      </w:r>
      <w:r>
        <w:rPr>
          <w:rFonts w:hint="eastAsia" w:ascii="仿宋" w:hAnsi="仿宋" w:eastAsia="仿宋"/>
          <w:color w:val="000000" w:themeColor="text1"/>
          <w:sz w:val="32"/>
          <w:szCs w:val="32"/>
          <w14:textFill>
            <w14:solidFill>
              <w14:schemeClr w14:val="tx1"/>
            </w14:solidFill>
          </w14:textFill>
        </w:rPr>
        <w:t>占</w:t>
      </w:r>
      <w:r>
        <w:rPr>
          <w:rFonts w:hint="eastAsia" w:ascii="仿宋" w:hAnsi="仿宋" w:eastAsia="仿宋"/>
          <w:color w:val="000000" w:themeColor="text1"/>
          <w:sz w:val="32"/>
          <w:szCs w:val="32"/>
          <w:lang w:val="en-US" w:eastAsia="zh-CN"/>
          <w14:textFill>
            <w14:solidFill>
              <w14:schemeClr w14:val="tx1"/>
            </w14:solidFill>
          </w14:textFill>
        </w:rPr>
        <w:t>0.19</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金融</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10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0.78</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；住房保障支出</w:t>
      </w:r>
      <w:r>
        <w:rPr>
          <w:rFonts w:hint="eastAsia" w:ascii="仿宋" w:hAnsi="仿宋" w:eastAsia="仿宋"/>
          <w:color w:val="000000" w:themeColor="text1"/>
          <w:sz w:val="32"/>
          <w:szCs w:val="32"/>
          <w:lang w:val="en-US" w:eastAsia="zh-CN"/>
          <w14:textFill>
            <w14:solidFill>
              <w14:schemeClr w14:val="tx1"/>
            </w14:solidFill>
          </w14:textFill>
        </w:rPr>
        <w:t>45.72</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3.55</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pStyle w:val="2"/>
        <w:rPr>
          <w:rFonts w:ascii="仿宋" w:hAnsi="仿宋" w:eastAsia="仿宋"/>
          <w:color w:val="000000"/>
          <w:sz w:val="32"/>
          <w:szCs w:val="32"/>
        </w:rPr>
      </w:pPr>
      <w:r>
        <w:rPr>
          <w:rFonts w:hint="eastAsia" w:ascii="仿宋" w:hAnsi="仿宋" w:eastAsia="仿宋"/>
          <w:color w:val="000000"/>
          <w:sz w:val="32"/>
          <w:szCs w:val="32"/>
          <w:lang w:eastAsia="zh-CN"/>
        </w:rPr>
        <w:drawing>
          <wp:inline distT="0" distB="0" distL="114300" distR="114300">
            <wp:extent cx="5172075" cy="2536825"/>
            <wp:effectExtent l="4445" t="4445" r="5080" b="1143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2" w:firstLineChars="200"/>
        <w:outlineLvl w:val="2"/>
        <w:rPr>
          <w:rFonts w:ascii="仿宋" w:hAnsi="仿宋" w:eastAsia="仿宋"/>
          <w:b/>
          <w:color w:val="000000"/>
          <w:sz w:val="32"/>
          <w:szCs w:val="32"/>
        </w:rPr>
      </w:pPr>
      <w:bookmarkStart w:id="40" w:name="_Toc15377212"/>
      <w:r>
        <w:rPr>
          <w:rFonts w:hint="eastAsia" w:ascii="仿宋" w:hAnsi="仿宋" w:eastAsia="仿宋"/>
          <w:b/>
          <w:color w:val="000000"/>
          <w:sz w:val="32"/>
          <w:szCs w:val="32"/>
        </w:rPr>
        <w:t>（三）一般公共预算财政拨款支出决算具体情况</w:t>
      </w:r>
      <w:bookmarkEnd w:id="40"/>
    </w:p>
    <w:p>
      <w:pPr>
        <w:spacing w:line="600" w:lineRule="exact"/>
        <w:ind w:firstLine="642" w:firstLineChars="200"/>
        <w:outlineLvl w:val="2"/>
        <w:rPr>
          <w:rFonts w:ascii="仿宋" w:hAnsi="仿宋" w:eastAsia="仿宋"/>
          <w:color w:val="FF0000"/>
          <w:sz w:val="32"/>
          <w:szCs w:val="32"/>
        </w:rPr>
      </w:pPr>
      <w:bookmarkStart w:id="41" w:name="_Toc15377213"/>
      <w:bookmarkStart w:id="42" w:name="_Toc15377444"/>
      <w:bookmarkStart w:id="43" w:name="_Toc15378460"/>
      <w:r>
        <w:rPr>
          <w:rFonts w:hint="eastAsia" w:ascii="仿宋" w:hAnsi="仿宋" w:eastAsia="仿宋"/>
          <w:b/>
          <w:color w:val="000000" w:themeColor="text1"/>
          <w:sz w:val="32"/>
          <w:szCs w:val="32"/>
          <w14:textFill>
            <w14:solidFill>
              <w14:schemeClr w14:val="tx1"/>
            </w14:solidFill>
          </w14:textFill>
        </w:rPr>
        <w:t>2018年</w:t>
      </w:r>
      <w:r>
        <w:rPr>
          <w:rFonts w:hint="eastAsia" w:ascii="仿宋" w:hAnsi="仿宋" w:eastAsia="仿宋"/>
          <w:b/>
          <w:color w:val="000000" w:themeColor="text1"/>
          <w:sz w:val="32"/>
          <w:szCs w:val="32"/>
          <w:lang w:eastAsia="zh-CN"/>
          <w14:textFill>
            <w14:solidFill>
              <w14:schemeClr w14:val="tx1"/>
            </w14:solidFill>
          </w14:textFill>
        </w:rPr>
        <w:t>一</w:t>
      </w:r>
      <w:r>
        <w:rPr>
          <w:rFonts w:hint="eastAsia" w:ascii="仿宋" w:hAnsi="仿宋" w:eastAsia="仿宋"/>
          <w:b/>
          <w:color w:val="000000" w:themeColor="text1"/>
          <w:sz w:val="32"/>
          <w:szCs w:val="32"/>
          <w14:textFill>
            <w14:solidFill>
              <w14:schemeClr w14:val="tx1"/>
            </w14:solidFill>
          </w14:textFill>
        </w:rPr>
        <w:t>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1287.39万元</w:t>
      </w:r>
      <w:r>
        <w:rPr>
          <w:rFonts w:hint="eastAsia" w:ascii="仿宋" w:hAnsi="仿宋" w:eastAsia="仿宋"/>
          <w:color w:val="000000" w:themeColor="text1"/>
          <w:sz w:val="32"/>
          <w:szCs w:val="32"/>
          <w14:textFill>
            <w14:solidFill>
              <w14:schemeClr w14:val="tx1"/>
            </w14:solidFill>
          </w14:textFill>
        </w:rPr>
        <w:t>，</w:t>
      </w:r>
      <w:r>
        <w:rPr>
          <w:rStyle w:val="15"/>
          <w:rFonts w:hint="eastAsia" w:ascii="仿宋" w:hAnsi="仿宋" w:eastAsia="仿宋"/>
          <w:bCs/>
          <w:color w:val="000000" w:themeColor="text1"/>
          <w:sz w:val="32"/>
          <w:szCs w:val="32"/>
          <w14:textFill>
            <w14:solidFill>
              <w14:schemeClr w14:val="tx1"/>
            </w14:solidFill>
          </w14:textFill>
        </w:rPr>
        <w:t>完成</w:t>
      </w:r>
      <w:r>
        <w:rPr>
          <w:rStyle w:val="15"/>
          <w:rFonts w:hint="eastAsia" w:ascii="仿宋" w:hAnsi="仿宋" w:eastAsia="仿宋"/>
          <w:bCs/>
          <w:color w:val="000000"/>
          <w:sz w:val="32"/>
          <w:szCs w:val="32"/>
        </w:rPr>
        <w:t>预算</w:t>
      </w:r>
      <w:r>
        <w:rPr>
          <w:rStyle w:val="15"/>
          <w:rFonts w:hint="eastAsia" w:ascii="仿宋" w:hAnsi="仿宋" w:eastAsia="仿宋"/>
          <w:bCs/>
          <w:color w:val="000000"/>
          <w:sz w:val="32"/>
          <w:szCs w:val="32"/>
          <w:lang w:val="en-US" w:eastAsia="zh-CN"/>
        </w:rPr>
        <w:t>100</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。其中：</w:t>
      </w:r>
      <w:bookmarkEnd w:id="41"/>
      <w:bookmarkEnd w:id="42"/>
      <w:bookmarkEnd w:id="43"/>
    </w:p>
    <w:p>
      <w:pPr>
        <w:spacing w:line="600" w:lineRule="exact"/>
        <w:ind w:firstLine="642" w:firstLineChars="200"/>
        <w:rPr>
          <w:rFonts w:ascii="仿宋" w:hAnsi="仿宋" w:eastAsia="仿宋"/>
          <w:b/>
          <w:color w:val="000000"/>
          <w:sz w:val="32"/>
          <w:szCs w:val="32"/>
        </w:rPr>
      </w:pPr>
      <w:r>
        <w:rPr>
          <w:rStyle w:val="15"/>
          <w:rFonts w:ascii="仿宋" w:hAnsi="仿宋" w:eastAsia="仿宋"/>
          <w:bCs/>
          <w:color w:val="000000"/>
          <w:sz w:val="32"/>
          <w:szCs w:val="32"/>
        </w:rPr>
        <w:t>1.</w:t>
      </w:r>
      <w:r>
        <w:rPr>
          <w:rStyle w:val="15"/>
          <w:rFonts w:hint="eastAsia" w:ascii="仿宋" w:hAnsi="仿宋" w:eastAsia="仿宋"/>
          <w:bCs/>
          <w:color w:val="000000"/>
          <w:sz w:val="32"/>
          <w:szCs w:val="32"/>
        </w:rPr>
        <w:t>一般公共服务</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lang w:eastAsia="zh-CN"/>
        </w:rPr>
        <w:t>行政运行（</w:t>
      </w:r>
      <w:r>
        <w:rPr>
          <w:rStyle w:val="15"/>
          <w:rFonts w:hint="eastAsia" w:ascii="仿宋" w:hAnsi="仿宋" w:eastAsia="仿宋"/>
          <w:b w:val="0"/>
          <w:bCs/>
          <w:color w:val="000000"/>
          <w:sz w:val="32"/>
          <w:szCs w:val="32"/>
          <w:lang w:val="en-US" w:eastAsia="zh-CN"/>
        </w:rPr>
        <w:t>2010301</w:t>
      </w:r>
      <w:r>
        <w:rPr>
          <w:rStyle w:val="15"/>
          <w:rFonts w:hint="eastAsia" w:ascii="仿宋" w:hAnsi="仿宋" w:eastAsia="仿宋"/>
          <w:b w:val="0"/>
          <w:bCs/>
          <w:color w:val="000000"/>
          <w:sz w:val="32"/>
          <w:szCs w:val="32"/>
          <w:lang w:eastAsia="zh-CN"/>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798.07</w:t>
      </w:r>
      <w:r>
        <w:rPr>
          <w:rStyle w:val="15"/>
          <w:rFonts w:hint="eastAsia" w:ascii="仿宋" w:hAnsi="仿宋" w:eastAsia="仿宋"/>
          <w:b w:val="0"/>
          <w:bCs/>
          <w:color w:val="000000"/>
          <w:sz w:val="32"/>
          <w:szCs w:val="32"/>
        </w:rPr>
        <w:t>万元，</w:t>
      </w:r>
      <w:r>
        <w:rPr>
          <w:rStyle w:val="15"/>
          <w:rFonts w:hint="eastAsia" w:ascii="仿宋" w:hAnsi="仿宋" w:eastAsia="仿宋"/>
          <w:b w:val="0"/>
          <w:bCs/>
          <w:color w:val="000000"/>
          <w:sz w:val="32"/>
          <w:szCs w:val="32"/>
          <w:lang w:eastAsia="zh-CN"/>
        </w:rPr>
        <w:t>一般行政管理事务（</w:t>
      </w:r>
      <w:r>
        <w:rPr>
          <w:rStyle w:val="15"/>
          <w:rFonts w:hint="eastAsia" w:ascii="仿宋" w:hAnsi="仿宋" w:eastAsia="仿宋"/>
          <w:b w:val="0"/>
          <w:bCs/>
          <w:color w:val="000000"/>
          <w:sz w:val="32"/>
          <w:szCs w:val="32"/>
          <w:lang w:val="en-US" w:eastAsia="zh-CN"/>
        </w:rPr>
        <w:t>2010302</w:t>
      </w:r>
      <w:r>
        <w:rPr>
          <w:rStyle w:val="15"/>
          <w:rFonts w:hint="eastAsia" w:ascii="仿宋" w:hAnsi="仿宋" w:eastAsia="仿宋"/>
          <w:b w:val="0"/>
          <w:bCs/>
          <w:color w:val="000000"/>
          <w:sz w:val="32"/>
          <w:szCs w:val="32"/>
          <w:lang w:eastAsia="zh-CN"/>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121.30</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2" w:firstLineChars="200"/>
        <w:rPr>
          <w:rFonts w:ascii="仿宋" w:hAnsi="仿宋" w:eastAsia="仿宋"/>
          <w:b/>
          <w:color w:val="000000"/>
          <w:sz w:val="32"/>
          <w:szCs w:val="32"/>
        </w:rPr>
      </w:pPr>
      <w:r>
        <w:rPr>
          <w:rStyle w:val="15"/>
          <w:rFonts w:ascii="仿宋" w:hAnsi="仿宋" w:eastAsia="仿宋"/>
          <w:bCs/>
          <w:color w:val="000000"/>
          <w:sz w:val="32"/>
          <w:szCs w:val="32"/>
        </w:rPr>
        <w:t>2.</w:t>
      </w:r>
      <w:r>
        <w:rPr>
          <w:rStyle w:val="15"/>
          <w:rFonts w:hint="eastAsia" w:ascii="仿宋" w:hAnsi="仿宋" w:eastAsia="仿宋"/>
          <w:bCs/>
          <w:color w:val="000000"/>
          <w:sz w:val="32"/>
          <w:szCs w:val="32"/>
        </w:rPr>
        <w:t>教育（类）</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0</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2" w:firstLineChars="200"/>
        <w:rPr>
          <w:rFonts w:ascii="仿宋" w:hAnsi="仿宋" w:eastAsia="仿宋"/>
          <w:b/>
          <w:color w:val="000000"/>
          <w:sz w:val="32"/>
          <w:szCs w:val="32"/>
        </w:rPr>
      </w:pPr>
      <w:r>
        <w:rPr>
          <w:rStyle w:val="15"/>
          <w:rFonts w:ascii="仿宋" w:hAnsi="仿宋" w:eastAsia="仿宋"/>
          <w:bCs/>
          <w:color w:val="000000"/>
          <w:sz w:val="32"/>
          <w:szCs w:val="32"/>
        </w:rPr>
        <w:t>3.</w:t>
      </w:r>
      <w:r>
        <w:rPr>
          <w:rStyle w:val="15"/>
          <w:rFonts w:hint="eastAsia" w:ascii="仿宋" w:hAnsi="仿宋" w:eastAsia="仿宋"/>
          <w:bCs/>
          <w:color w:val="000000"/>
          <w:sz w:val="32"/>
          <w:szCs w:val="32"/>
        </w:rPr>
        <w:t>科学技术（类）</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0</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2" w:firstLineChars="200"/>
        <w:rPr>
          <w:rFonts w:ascii="仿宋" w:hAnsi="仿宋" w:eastAsia="仿宋"/>
          <w:b/>
          <w:color w:val="000000"/>
          <w:sz w:val="32"/>
          <w:szCs w:val="32"/>
        </w:rPr>
      </w:pPr>
      <w:r>
        <w:rPr>
          <w:rStyle w:val="15"/>
          <w:rFonts w:ascii="仿宋" w:hAnsi="仿宋" w:eastAsia="仿宋"/>
          <w:bCs/>
          <w:color w:val="000000"/>
          <w:sz w:val="32"/>
          <w:szCs w:val="32"/>
        </w:rPr>
        <w:t>4.</w:t>
      </w:r>
      <w:r>
        <w:rPr>
          <w:rStyle w:val="15"/>
          <w:rFonts w:hint="eastAsia" w:ascii="仿宋" w:hAnsi="仿宋" w:eastAsia="仿宋"/>
          <w:bCs/>
          <w:color w:val="000000"/>
          <w:sz w:val="32"/>
          <w:szCs w:val="32"/>
        </w:rPr>
        <w:t>文化体育与传媒（类）</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0</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2" w:firstLineChars="200"/>
        <w:rPr>
          <w:rFonts w:ascii="仿宋" w:hAnsi="仿宋" w:eastAsia="仿宋"/>
          <w:b/>
          <w:color w:val="000000"/>
          <w:sz w:val="32"/>
          <w:szCs w:val="32"/>
        </w:rPr>
      </w:pPr>
      <w:r>
        <w:rPr>
          <w:rStyle w:val="15"/>
          <w:rFonts w:ascii="仿宋" w:hAnsi="仿宋" w:eastAsia="仿宋"/>
          <w:bCs/>
          <w:color w:val="000000"/>
          <w:sz w:val="32"/>
          <w:szCs w:val="32"/>
        </w:rPr>
        <w:t>5.</w:t>
      </w:r>
      <w:r>
        <w:rPr>
          <w:rStyle w:val="15"/>
          <w:rFonts w:hint="eastAsia" w:ascii="仿宋" w:hAnsi="仿宋" w:eastAsia="仿宋"/>
          <w:bCs/>
          <w:color w:val="000000"/>
          <w:sz w:val="32"/>
          <w:szCs w:val="32"/>
        </w:rPr>
        <w:t>社会保障和就业</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lang w:eastAsia="zh-CN"/>
        </w:rPr>
        <w:t>机关事业单位基本养老保险缴费（</w:t>
      </w:r>
      <w:r>
        <w:rPr>
          <w:rStyle w:val="15"/>
          <w:rFonts w:hint="eastAsia" w:ascii="仿宋" w:hAnsi="仿宋" w:eastAsia="仿宋"/>
          <w:b w:val="0"/>
          <w:bCs/>
          <w:color w:val="000000"/>
          <w:sz w:val="32"/>
          <w:szCs w:val="32"/>
          <w:lang w:val="en-US" w:eastAsia="zh-CN"/>
        </w:rPr>
        <w:t>2080505</w:t>
      </w:r>
      <w:r>
        <w:rPr>
          <w:rStyle w:val="15"/>
          <w:rFonts w:hint="eastAsia" w:ascii="仿宋" w:hAnsi="仿宋" w:eastAsia="仿宋"/>
          <w:b w:val="0"/>
          <w:bCs/>
          <w:color w:val="000000"/>
          <w:sz w:val="32"/>
          <w:szCs w:val="32"/>
          <w:lang w:eastAsia="zh-CN"/>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77.70</w:t>
      </w:r>
      <w:r>
        <w:rPr>
          <w:rStyle w:val="15"/>
          <w:rFonts w:hint="eastAsia" w:ascii="仿宋" w:hAnsi="仿宋" w:eastAsia="仿宋"/>
          <w:b w:val="0"/>
          <w:bCs/>
          <w:color w:val="000000"/>
          <w:sz w:val="32"/>
          <w:szCs w:val="32"/>
        </w:rPr>
        <w:t>万元，</w:t>
      </w:r>
      <w:r>
        <w:rPr>
          <w:rStyle w:val="15"/>
          <w:rFonts w:hint="eastAsia" w:ascii="仿宋" w:hAnsi="仿宋" w:eastAsia="仿宋"/>
          <w:b w:val="0"/>
          <w:bCs/>
          <w:color w:val="000000"/>
          <w:sz w:val="32"/>
          <w:szCs w:val="32"/>
          <w:lang w:eastAsia="zh-CN"/>
        </w:rPr>
        <w:t>机关事业单位职业年金（</w:t>
      </w:r>
      <w:r>
        <w:rPr>
          <w:rStyle w:val="15"/>
          <w:rFonts w:hint="eastAsia" w:ascii="仿宋" w:hAnsi="仿宋" w:eastAsia="仿宋"/>
          <w:b w:val="0"/>
          <w:bCs/>
          <w:color w:val="000000"/>
          <w:sz w:val="32"/>
          <w:szCs w:val="32"/>
          <w:lang w:val="en-US" w:eastAsia="zh-CN"/>
        </w:rPr>
        <w:t>2080506</w:t>
      </w:r>
      <w:r>
        <w:rPr>
          <w:rStyle w:val="15"/>
          <w:rFonts w:hint="eastAsia" w:ascii="仿宋" w:hAnsi="仿宋" w:eastAsia="仿宋"/>
          <w:b w:val="0"/>
          <w:bCs/>
          <w:color w:val="000000"/>
          <w:sz w:val="32"/>
          <w:szCs w:val="32"/>
          <w:lang w:eastAsia="zh-CN"/>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9.98</w:t>
      </w:r>
      <w:r>
        <w:rPr>
          <w:rStyle w:val="15"/>
          <w:rFonts w:hint="eastAsia" w:ascii="仿宋" w:hAnsi="仿宋" w:eastAsia="仿宋"/>
          <w:b w:val="0"/>
          <w:bCs/>
          <w:color w:val="000000"/>
          <w:sz w:val="32"/>
          <w:szCs w:val="32"/>
        </w:rPr>
        <w:t>万元，</w:t>
      </w:r>
      <w:r>
        <w:rPr>
          <w:rStyle w:val="15"/>
          <w:rFonts w:hint="eastAsia" w:ascii="仿宋" w:hAnsi="仿宋" w:eastAsia="仿宋"/>
          <w:b w:val="0"/>
          <w:bCs/>
          <w:color w:val="000000"/>
          <w:sz w:val="32"/>
          <w:szCs w:val="32"/>
          <w:lang w:eastAsia="zh-CN"/>
        </w:rPr>
        <w:t>死亡抚恤（</w:t>
      </w:r>
      <w:r>
        <w:rPr>
          <w:rStyle w:val="15"/>
          <w:rFonts w:hint="eastAsia" w:ascii="仿宋" w:hAnsi="仿宋" w:eastAsia="仿宋"/>
          <w:b w:val="0"/>
          <w:bCs/>
          <w:color w:val="000000"/>
          <w:sz w:val="32"/>
          <w:szCs w:val="32"/>
          <w:lang w:val="en-US" w:eastAsia="zh-CN"/>
        </w:rPr>
        <w:t>2080801</w:t>
      </w:r>
      <w:r>
        <w:rPr>
          <w:rStyle w:val="15"/>
          <w:rFonts w:hint="eastAsia" w:ascii="仿宋" w:hAnsi="仿宋" w:eastAsia="仿宋"/>
          <w:b w:val="0"/>
          <w:bCs/>
          <w:color w:val="000000"/>
          <w:sz w:val="32"/>
          <w:szCs w:val="32"/>
          <w:lang w:eastAsia="zh-CN"/>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4.17</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2" w:firstLineChars="200"/>
        <w:rPr>
          <w:rFonts w:ascii="仿宋" w:hAnsi="仿宋" w:eastAsia="仿宋"/>
          <w:b/>
          <w:color w:val="000000"/>
          <w:sz w:val="32"/>
          <w:szCs w:val="32"/>
        </w:rPr>
      </w:pPr>
      <w:r>
        <w:rPr>
          <w:rStyle w:val="15"/>
          <w:rFonts w:ascii="仿宋" w:hAnsi="仿宋" w:eastAsia="仿宋"/>
          <w:bCs/>
          <w:color w:val="000000"/>
          <w:sz w:val="32"/>
          <w:szCs w:val="32"/>
        </w:rPr>
        <w:t>6.</w:t>
      </w:r>
      <w:r>
        <w:rPr>
          <w:rStyle w:val="15"/>
          <w:rFonts w:hint="eastAsia" w:ascii="仿宋" w:hAnsi="仿宋" w:eastAsia="仿宋"/>
          <w:bCs/>
          <w:color w:val="000000"/>
          <w:sz w:val="32"/>
          <w:szCs w:val="32"/>
        </w:rPr>
        <w:t>医疗卫生与计划生育</w:t>
      </w:r>
      <w:r>
        <w:rPr>
          <w:rStyle w:val="15"/>
          <w:rFonts w:ascii="仿宋" w:hAnsi="仿宋" w:eastAsia="仿宋"/>
          <w:bCs/>
          <w:color w:val="000000"/>
          <w:sz w:val="32"/>
          <w:szCs w:val="32"/>
        </w:rPr>
        <w:t>:</w:t>
      </w:r>
      <w:r>
        <w:rPr>
          <w:rStyle w:val="15"/>
          <w:rFonts w:hint="eastAsia" w:ascii="仿宋" w:hAnsi="仿宋" w:eastAsia="仿宋"/>
          <w:bCs/>
          <w:color w:val="000000"/>
          <w:sz w:val="32"/>
          <w:szCs w:val="32"/>
          <w:lang w:eastAsia="zh-CN"/>
        </w:rPr>
        <w:t>行政单位医疗（</w:t>
      </w:r>
      <w:r>
        <w:rPr>
          <w:rStyle w:val="15"/>
          <w:rFonts w:hint="eastAsia" w:ascii="仿宋" w:hAnsi="仿宋" w:eastAsia="仿宋"/>
          <w:bCs/>
          <w:color w:val="000000"/>
          <w:sz w:val="32"/>
          <w:szCs w:val="32"/>
          <w:lang w:val="en-US" w:eastAsia="zh-CN"/>
        </w:rPr>
        <w:t>2101101</w:t>
      </w:r>
      <w:r>
        <w:rPr>
          <w:rStyle w:val="15"/>
          <w:rFonts w:hint="eastAsia" w:ascii="仿宋" w:hAnsi="仿宋" w:eastAsia="仿宋"/>
          <w:bCs/>
          <w:color w:val="000000"/>
          <w:sz w:val="32"/>
          <w:szCs w:val="32"/>
          <w:lang w:eastAsia="zh-CN"/>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30.91</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08</w:t>
      </w:r>
      <w:r>
        <w:rPr>
          <w:rFonts w:hint="eastAsia" w:ascii="仿宋" w:hAnsi="仿宋" w:eastAsia="仿宋"/>
          <w:b/>
          <w:color w:val="000000"/>
          <w:sz w:val="32"/>
          <w:szCs w:val="32"/>
        </w:rPr>
        <w:t>表，罗列全部功能分类科目至项级。上述“预算”口径为调整预算数。增减变动原因为决算数</w:t>
      </w:r>
      <w:r>
        <w:rPr>
          <w:rFonts w:ascii="仿宋" w:hAnsi="仿宋" w:eastAsia="仿宋"/>
          <w:b/>
          <w:color w:val="000000"/>
          <w:sz w:val="32"/>
          <w:szCs w:val="32"/>
        </w:rPr>
        <w:t>&lt;</w:t>
      </w:r>
      <w:r>
        <w:rPr>
          <w:rFonts w:hint="eastAsia" w:ascii="仿宋" w:hAnsi="仿宋" w:eastAsia="仿宋"/>
          <w:b/>
          <w:color w:val="000000"/>
          <w:sz w:val="32"/>
          <w:szCs w:val="32"/>
        </w:rPr>
        <w:t>项级</w:t>
      </w:r>
      <w:r>
        <w:rPr>
          <w:rFonts w:ascii="仿宋" w:hAnsi="仿宋" w:eastAsia="仿宋"/>
          <w:b/>
          <w:color w:val="000000"/>
          <w:sz w:val="32"/>
          <w:szCs w:val="32"/>
        </w:rPr>
        <w:t>&gt;</w:t>
      </w:r>
      <w:r>
        <w:rPr>
          <w:rFonts w:hint="eastAsia" w:ascii="仿宋" w:hAnsi="仿宋" w:eastAsia="仿宋"/>
          <w:b/>
          <w:color w:val="000000"/>
          <w:sz w:val="32"/>
          <w:szCs w:val="32"/>
        </w:rPr>
        <w:t>和调整预算数</w:t>
      </w:r>
      <w:r>
        <w:rPr>
          <w:rFonts w:ascii="仿宋" w:hAnsi="仿宋" w:eastAsia="仿宋"/>
          <w:b/>
          <w:color w:val="000000"/>
          <w:sz w:val="32"/>
          <w:szCs w:val="32"/>
        </w:rPr>
        <w:t>&lt;</w:t>
      </w:r>
      <w:r>
        <w:rPr>
          <w:rFonts w:hint="eastAsia" w:ascii="仿宋" w:hAnsi="仿宋" w:eastAsia="仿宋"/>
          <w:b/>
          <w:color w:val="000000"/>
          <w:sz w:val="32"/>
          <w:szCs w:val="32"/>
        </w:rPr>
        <w:t>项级</w:t>
      </w:r>
      <w:r>
        <w:rPr>
          <w:rFonts w:ascii="仿宋" w:hAnsi="仿宋" w:eastAsia="仿宋"/>
          <w:b/>
          <w:color w:val="000000"/>
          <w:sz w:val="32"/>
          <w:szCs w:val="32"/>
        </w:rPr>
        <w:t>&gt;</w:t>
      </w:r>
      <w:r>
        <w:rPr>
          <w:rFonts w:hint="eastAsia" w:ascii="仿宋" w:hAnsi="仿宋" w:eastAsia="仿宋"/>
          <w:b/>
          <w:color w:val="000000"/>
          <w:sz w:val="32"/>
          <w:szCs w:val="32"/>
        </w:rPr>
        <w:t>比较，与预算数持平可以不写原因。）</w:t>
      </w:r>
    </w:p>
    <w:p>
      <w:pPr>
        <w:tabs>
          <w:tab w:val="right" w:pos="8306"/>
        </w:tabs>
        <w:spacing w:line="600" w:lineRule="exact"/>
        <w:ind w:firstLine="640"/>
        <w:outlineLvl w:val="1"/>
        <w:rPr>
          <w:rStyle w:val="25"/>
        </w:rPr>
      </w:pPr>
      <w:bookmarkStart w:id="44" w:name="_Toc15396608"/>
      <w:bookmarkStart w:id="45"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4"/>
      <w:bookmarkEnd w:id="45"/>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w:t>
      </w:r>
      <w:r>
        <w:rPr>
          <w:rFonts w:hint="eastAsia" w:ascii="仿宋" w:hAnsi="仿宋" w:eastAsia="仿宋"/>
          <w:color w:val="000000"/>
          <w:sz w:val="32"/>
          <w:szCs w:val="32"/>
          <w:lang w:val="en-US" w:eastAsia="zh-CN"/>
        </w:rPr>
        <w:t>969.29</w:t>
      </w:r>
      <w:r>
        <w:rPr>
          <w:rFonts w:hint="eastAsia" w:ascii="仿宋" w:hAnsi="仿宋" w:eastAsia="仿宋"/>
          <w:color w:val="000000"/>
          <w:sz w:val="32"/>
          <w:szCs w:val="32"/>
        </w:rPr>
        <w:t>万元，其中：</w:t>
      </w:r>
    </w:p>
    <w:p>
      <w:pPr>
        <w:spacing w:line="600" w:lineRule="exact"/>
        <w:ind w:firstLine="645"/>
        <w:rPr>
          <w:rFonts w:hint="eastAsia"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627.94</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hint="eastAsia" w:ascii="仿宋" w:hAnsi="仿宋" w:eastAsia="仿宋"/>
          <w:color w:val="000000"/>
          <w:sz w:val="32"/>
          <w:szCs w:val="32"/>
          <w:lang w:val="en-US" w:eastAsia="zh-CN"/>
        </w:rPr>
        <w:t>143.92</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pStyle w:val="2"/>
        <w:ind w:firstLine="640"/>
        <w:rPr>
          <w:rFonts w:hint="eastAsia" w:hAnsi="仿宋"/>
          <w:color w:val="000000"/>
          <w:sz w:val="32"/>
          <w:szCs w:val="32"/>
          <w:lang w:val="en-US" w:eastAsia="zh-CN"/>
        </w:rPr>
      </w:pPr>
      <w:r>
        <w:rPr>
          <w:rFonts w:hint="eastAsia" w:hAnsi="仿宋"/>
          <w:color w:val="000000"/>
          <w:sz w:val="32"/>
          <w:szCs w:val="32"/>
          <w:lang w:val="en-US" w:eastAsia="zh-CN"/>
        </w:rPr>
        <w:t>对企业补助197.43万元，主要包括：对商业银行配合打击非法集资工作补助、对下属代管单位补助。</w:t>
      </w:r>
    </w:p>
    <w:p>
      <w:pPr>
        <w:spacing w:line="600" w:lineRule="exact"/>
        <w:rPr>
          <w:rFonts w:hint="eastAsia" w:hAnsi="仿宋"/>
          <w:color w:val="000000"/>
          <w:sz w:val="32"/>
          <w:szCs w:val="32"/>
          <w:lang w:val="en-US" w:eastAsia="zh-CN"/>
        </w:rPr>
      </w:pPr>
      <w:r>
        <w:rPr>
          <w:rFonts w:hint="eastAsia" w:ascii="仿宋" w:hAnsi="仿宋" w:eastAsia="仿宋"/>
          <w:color w:val="000000"/>
          <w:sz w:val="32"/>
          <w:szCs w:val="32"/>
        </w:rPr>
        <w:t>（图</w:t>
      </w:r>
      <w:r>
        <w:rPr>
          <w:rFonts w:hint="eastAsia" w:ascii="仿宋" w:hAnsi="仿宋" w:eastAsia="仿宋"/>
          <w:color w:val="000000"/>
          <w:sz w:val="32"/>
          <w:szCs w:val="32"/>
          <w:lang w:val="en-US" w:eastAsia="zh-CN"/>
        </w:rPr>
        <w:t>7</w:t>
      </w:r>
      <w:r>
        <w:rPr>
          <w:rFonts w:hint="eastAsia" w:ascii="仿宋" w:hAnsi="仿宋" w:eastAsia="仿宋"/>
          <w:color w:val="000000"/>
          <w:sz w:val="32"/>
          <w:szCs w:val="32"/>
        </w:rPr>
        <w:t>：一般公共预算财政拨款</w:t>
      </w:r>
      <w:r>
        <w:rPr>
          <w:rFonts w:hint="eastAsia" w:ascii="仿宋" w:hAnsi="仿宋" w:eastAsia="仿宋"/>
          <w:color w:val="000000"/>
          <w:sz w:val="32"/>
          <w:szCs w:val="32"/>
          <w:lang w:eastAsia="zh-CN"/>
        </w:rPr>
        <w:t>基本</w:t>
      </w:r>
      <w:r>
        <w:rPr>
          <w:rFonts w:hint="eastAsia" w:ascii="仿宋" w:hAnsi="仿宋" w:eastAsia="仿宋"/>
          <w:color w:val="000000"/>
          <w:sz w:val="32"/>
          <w:szCs w:val="32"/>
        </w:rPr>
        <w:t>支出决算结构）（饼状图）</w:t>
      </w:r>
    </w:p>
    <w:p>
      <w:pPr>
        <w:pStyle w:val="2"/>
        <w:ind w:firstLine="640"/>
        <w:rPr>
          <w:rFonts w:hint="default" w:hAnsi="仿宋"/>
          <w:color w:val="000000"/>
          <w:sz w:val="32"/>
          <w:szCs w:val="32"/>
          <w:lang w:val="en-US" w:eastAsia="zh-CN"/>
        </w:rPr>
      </w:pPr>
      <w:r>
        <w:rPr>
          <w:rFonts w:hint="default" w:hAnsi="仿宋"/>
          <w:color w:val="000000"/>
          <w:sz w:val="32"/>
          <w:szCs w:val="32"/>
          <w:lang w:val="en-US" w:eastAsia="zh-CN"/>
        </w:rPr>
        <w:drawing>
          <wp:inline distT="0" distB="0" distL="114300" distR="114300">
            <wp:extent cx="4998085" cy="2472690"/>
            <wp:effectExtent l="4445" t="4445" r="7620" b="1841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rPr>
          <w:rFonts w:ascii="仿宋" w:hAnsi="仿宋" w:eastAsia="仿宋"/>
          <w:b/>
          <w:color w:val="FF0000"/>
          <w:sz w:val="32"/>
          <w:szCs w:val="32"/>
        </w:rPr>
      </w:pPr>
      <w:r>
        <w:rPr>
          <w:rFonts w:hint="eastAsia" w:ascii="仿宋" w:hAnsi="仿宋" w:eastAsia="仿宋"/>
          <w:b/>
          <w:color w:val="000000" w:themeColor="text1"/>
          <w:sz w:val="32"/>
          <w:szCs w:val="32"/>
          <w14:textFill>
            <w14:solidFill>
              <w14:schemeClr w14:val="tx1"/>
            </w14:solidFill>
          </w14:textFill>
        </w:rPr>
        <w:t>（数据来源财决</w:t>
      </w:r>
      <w:r>
        <w:rPr>
          <w:rFonts w:ascii="仿宋" w:hAnsi="仿宋" w:eastAsia="仿宋"/>
          <w:b/>
          <w:color w:val="000000" w:themeColor="text1"/>
          <w:sz w:val="32"/>
          <w:szCs w:val="32"/>
          <w14:textFill>
            <w14:solidFill>
              <w14:schemeClr w14:val="tx1"/>
            </w14:solidFill>
          </w14:textFill>
        </w:rPr>
        <w:t>0</w:t>
      </w:r>
      <w:r>
        <w:rPr>
          <w:rFonts w:hint="eastAsia" w:ascii="仿宋" w:hAnsi="仿宋" w:eastAsia="仿宋"/>
          <w:b/>
          <w:color w:val="000000" w:themeColor="text1"/>
          <w:sz w:val="32"/>
          <w:szCs w:val="32"/>
          <w14:textFill>
            <w14:solidFill>
              <w14:schemeClr w14:val="tx1"/>
            </w14:solidFill>
          </w14:textFill>
        </w:rPr>
        <w:t>7表，根据本部门实际支出情况罗列全部经济分类科目。）</w:t>
      </w:r>
    </w:p>
    <w:p>
      <w:pPr>
        <w:spacing w:line="600" w:lineRule="exact"/>
        <w:ind w:firstLine="640"/>
        <w:outlineLvl w:val="1"/>
        <w:rPr>
          <w:rStyle w:val="25"/>
          <w:rFonts w:ascii="黑体" w:hAnsi="黑体" w:eastAsia="黑体"/>
          <w:b w:val="0"/>
        </w:rPr>
      </w:pPr>
      <w:bookmarkStart w:id="46" w:name="_Toc15396609"/>
      <w:bookmarkStart w:id="47" w:name="_Toc15377215"/>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6"/>
      <w:bookmarkEnd w:id="47"/>
    </w:p>
    <w:p>
      <w:pPr>
        <w:spacing w:line="600" w:lineRule="exact"/>
        <w:ind w:firstLine="640"/>
        <w:outlineLvl w:val="2"/>
        <w:rPr>
          <w:rFonts w:ascii="仿宋" w:hAnsi="仿宋" w:eastAsia="仿宋"/>
          <w:b/>
          <w:color w:val="000000"/>
          <w:sz w:val="32"/>
          <w:szCs w:val="32"/>
        </w:rPr>
      </w:pPr>
      <w:bookmarkStart w:id="48" w:name="_Toc15377216"/>
      <w:r>
        <w:rPr>
          <w:rFonts w:hint="eastAsia" w:ascii="仿宋" w:hAnsi="仿宋" w:eastAsia="仿宋"/>
          <w:b/>
          <w:color w:val="000000"/>
          <w:sz w:val="32"/>
          <w:szCs w:val="32"/>
        </w:rPr>
        <w:t>（一）“三公”经费财政拨款支出决算总体情况说明</w:t>
      </w:r>
      <w:bookmarkEnd w:id="48"/>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8年“三公”经费财政拨款支出决算为</w:t>
      </w:r>
      <w:r>
        <w:rPr>
          <w:rFonts w:hint="eastAsia" w:ascii="仿宋" w:hAnsi="仿宋" w:eastAsia="仿宋"/>
          <w:color w:val="000000"/>
          <w:sz w:val="32"/>
          <w:szCs w:val="32"/>
          <w:lang w:val="en-US" w:eastAsia="zh-CN"/>
        </w:rPr>
        <w:t>31</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，决算数与预算数持平。</w:t>
      </w:r>
    </w:p>
    <w:p>
      <w:pPr>
        <w:spacing w:line="600" w:lineRule="exact"/>
        <w:ind w:firstLine="64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sz w:val="32"/>
          <w:szCs w:val="32"/>
        </w:rPr>
        <w:t>（上述“预算”口径为调整预</w:t>
      </w:r>
      <w:r>
        <w:rPr>
          <w:rFonts w:hint="eastAsia" w:ascii="仿宋" w:hAnsi="仿宋" w:eastAsia="仿宋"/>
          <w:b/>
          <w:color w:val="000000" w:themeColor="text1"/>
          <w:sz w:val="32"/>
          <w:szCs w:val="32"/>
          <w14:textFill>
            <w14:solidFill>
              <w14:schemeClr w14:val="tx1"/>
            </w14:solidFill>
          </w14:textFill>
        </w:rPr>
        <w:t>算数，包括政府性基金支出决算情况。）</w:t>
      </w:r>
    </w:p>
    <w:p>
      <w:pPr>
        <w:spacing w:line="600" w:lineRule="exact"/>
        <w:ind w:firstLine="640"/>
        <w:outlineLvl w:val="2"/>
        <w:rPr>
          <w:rFonts w:ascii="仿宋" w:hAnsi="仿宋" w:eastAsia="仿宋"/>
          <w:b/>
          <w:color w:val="000000"/>
          <w:sz w:val="32"/>
          <w:szCs w:val="32"/>
        </w:rPr>
      </w:pPr>
      <w:bookmarkStart w:id="49" w:name="_Toc15377217"/>
      <w:r>
        <w:rPr>
          <w:rFonts w:hint="eastAsia" w:ascii="仿宋" w:hAnsi="仿宋" w:eastAsia="仿宋"/>
          <w:b/>
          <w:color w:val="000000"/>
          <w:sz w:val="32"/>
          <w:szCs w:val="32"/>
        </w:rPr>
        <w:t>（二）“三公”经费财政拨款支出决算具体情况说明</w:t>
      </w:r>
      <w:bookmarkEnd w:id="49"/>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8年“三公”经费财政拨款支出决算中，因公出国（境）费支出决算</w:t>
      </w:r>
      <w:r>
        <w:rPr>
          <w:rFonts w:hint="eastAsia" w:ascii="仿宋" w:hAnsi="仿宋" w:eastAsia="仿宋"/>
          <w:color w:val="000000"/>
          <w:sz w:val="32"/>
          <w:szCs w:val="32"/>
          <w:lang w:val="en-US" w:eastAsia="zh-CN"/>
        </w:rPr>
        <w:t>15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48.38</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19.35</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10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32.26</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hint="eastAsia" w:ascii="仿宋" w:hAnsi="仿宋" w:eastAsia="仿宋"/>
          <w:color w:val="000000"/>
          <w:sz w:val="32"/>
          <w:szCs w:val="32"/>
        </w:rPr>
      </w:pPr>
      <w:r>
        <w:rPr>
          <w:rFonts w:hint="eastAsia" w:ascii="仿宋" w:hAnsi="仿宋" w:eastAsia="仿宋"/>
          <w:color w:val="000000"/>
          <w:sz w:val="32"/>
          <w:szCs w:val="32"/>
        </w:rPr>
        <w:t>（图8：“三公”经费财政拨款支出结构）（饼状图）</w:t>
      </w:r>
    </w:p>
    <w:p>
      <w:pPr>
        <w:pStyle w:val="2"/>
        <w:rPr>
          <w:rFonts w:hint="eastAsia" w:ascii="仿宋" w:hAnsi="仿宋" w:eastAsia="仿宋"/>
          <w:color w:val="000000"/>
          <w:sz w:val="32"/>
          <w:szCs w:val="32"/>
        </w:rPr>
      </w:pPr>
      <w:r>
        <w:rPr>
          <w:rFonts w:hint="default" w:hAnsi="仿宋"/>
          <w:color w:val="000000"/>
          <w:sz w:val="32"/>
          <w:szCs w:val="32"/>
          <w:lang w:val="en-US" w:eastAsia="zh-CN"/>
        </w:rPr>
        <w:drawing>
          <wp:inline distT="0" distB="0" distL="114300" distR="114300">
            <wp:extent cx="4998085" cy="2472690"/>
            <wp:effectExtent l="4445" t="4445" r="7620" b="18415"/>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15</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人。因公出国（境）支出决算比</w:t>
      </w:r>
      <w:r>
        <w:rPr>
          <w:rFonts w:ascii="仿宋_GB2312" w:eastAsia="仿宋_GB2312"/>
          <w:color w:val="000000"/>
          <w:sz w:val="32"/>
          <w:szCs w:val="32"/>
        </w:rPr>
        <w:t>201</w:t>
      </w:r>
      <w:r>
        <w:rPr>
          <w:rFonts w:hint="eastAsia" w:ascii="仿宋_GB2312" w:eastAsia="仿宋_GB2312"/>
          <w:color w:val="000000"/>
          <w:sz w:val="32"/>
          <w:szCs w:val="32"/>
        </w:rPr>
        <w:t>7年增加</w:t>
      </w:r>
      <w:r>
        <w:rPr>
          <w:rFonts w:hint="eastAsia" w:ascii="仿宋_GB2312" w:eastAsia="仿宋_GB2312"/>
          <w:color w:val="000000"/>
          <w:sz w:val="32"/>
          <w:szCs w:val="32"/>
          <w:lang w:val="en-US" w:eastAsia="zh-CN"/>
        </w:rPr>
        <w:t>15</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100</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val="en-US" w:eastAsia="zh-CN"/>
        </w:rPr>
        <w:t>2018年按照上级安排新增加招商引资和产业发展出国考察项目</w:t>
      </w:r>
      <w:r>
        <w:rPr>
          <w:rFonts w:hint="eastAsia" w:ascii="仿宋_GB2312" w:eastAsia="仿宋_GB2312"/>
          <w:color w:val="000000"/>
          <w:sz w:val="32"/>
          <w:szCs w:val="32"/>
        </w:rPr>
        <w:t>。</w:t>
      </w:r>
    </w:p>
    <w:p>
      <w:pPr>
        <w:spacing w:line="600" w:lineRule="exact"/>
        <w:ind w:firstLine="640"/>
        <w:rPr>
          <w:rFonts w:ascii="仿宋_GB2312" w:eastAsia="仿宋_GB2312"/>
          <w:color w:val="auto"/>
          <w:sz w:val="32"/>
          <w:szCs w:val="32"/>
        </w:rPr>
      </w:pPr>
      <w:r>
        <w:rPr>
          <w:rFonts w:hint="eastAsia" w:ascii="仿宋_GB2312" w:eastAsia="仿宋_GB2312"/>
          <w:color w:val="auto"/>
          <w:sz w:val="32"/>
          <w:szCs w:val="32"/>
          <w:lang w:val="en-US" w:eastAsia="zh-CN"/>
        </w:rPr>
        <w:t>2018年6月24日，应台湾中华优质农业推广协会的邀请，我办三人赴台湾考察。2018年10月21日经四川省人民政府批准，我办壹人赴韩国、日本执行交流访问任务。</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7年减少</w:t>
      </w:r>
      <w:r>
        <w:rPr>
          <w:rFonts w:hint="eastAsia" w:ascii="仿宋_GB2312" w:eastAsia="仿宋_GB2312"/>
          <w:color w:val="000000"/>
          <w:sz w:val="32"/>
          <w:szCs w:val="32"/>
          <w:lang w:val="en-US" w:eastAsia="zh-CN"/>
        </w:rPr>
        <w:t>54.31</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90.05</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公车改革后单位保障车辆减少</w:t>
      </w:r>
      <w:r>
        <w:rPr>
          <w:rFonts w:hint="eastAsia" w:ascii="仿宋_GB2312" w:eastAsia="仿宋_GB2312"/>
          <w:color w:val="000000"/>
          <w:sz w:val="32"/>
          <w:szCs w:val="32"/>
        </w:rPr>
        <w:t>。</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万元，越野车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万元，载客汽车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辆、越野车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辆、载客汽车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区政府主要领导公务活动出行保障用车</w:t>
      </w:r>
      <w:r>
        <w:rPr>
          <w:rFonts w:hint="eastAsia" w:ascii="仿宋_GB2312" w:eastAsia="仿宋_GB2312"/>
          <w:color w:val="000000"/>
          <w:sz w:val="32"/>
          <w:szCs w:val="32"/>
        </w:rPr>
        <w:t>等所需的公务用车燃料费、维修费、过路过桥费、保险费等支出。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10</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7年减少</w:t>
      </w:r>
      <w:r>
        <w:rPr>
          <w:rFonts w:hint="eastAsia" w:ascii="仿宋_GB2312" w:eastAsia="仿宋_GB2312"/>
          <w:color w:val="000000"/>
          <w:sz w:val="32"/>
          <w:szCs w:val="32"/>
          <w:lang w:val="en-US" w:eastAsia="zh-CN"/>
        </w:rPr>
        <w:t>0.78</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7.24</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严格管控公务接待审批和管理，减少支出</w:t>
      </w:r>
      <w:r>
        <w:rPr>
          <w:rFonts w:hint="eastAsia" w:ascii="仿宋_GB2312" w:eastAsia="仿宋_GB2312"/>
          <w:color w:val="000000"/>
          <w:sz w:val="32"/>
          <w:szCs w:val="32"/>
        </w:rPr>
        <w:t>。</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主要用于执行公务、开展业务活动开支的交通费、住宿费、用餐费等。国内公务接待</w:t>
      </w:r>
      <w:r>
        <w:rPr>
          <w:rFonts w:hint="eastAsia" w:ascii="仿宋_GB2312" w:eastAsia="仿宋_GB2312"/>
          <w:color w:val="000000"/>
          <w:sz w:val="32"/>
          <w:szCs w:val="32"/>
          <w:lang w:val="en-US" w:eastAsia="zh-CN"/>
        </w:rPr>
        <w:t>12</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1231</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10</w:t>
      </w:r>
      <w:r>
        <w:rPr>
          <w:rFonts w:hint="eastAsia" w:ascii="仿宋_GB2312" w:eastAsia="仿宋_GB2312"/>
          <w:color w:val="000000"/>
          <w:sz w:val="32"/>
          <w:szCs w:val="32"/>
        </w:rPr>
        <w:t>万元，具体内容包括：</w:t>
      </w:r>
      <w:r>
        <w:rPr>
          <w:rFonts w:hint="eastAsia" w:ascii="仿宋_GB2312" w:eastAsia="仿宋_GB2312"/>
          <w:color w:val="000000"/>
          <w:sz w:val="32"/>
          <w:szCs w:val="32"/>
          <w:lang w:eastAsia="zh-CN"/>
        </w:rPr>
        <w:t>大型公务活动、招商引资、外地相关部门考察学习等公务接待</w:t>
      </w:r>
      <w:r>
        <w:rPr>
          <w:rFonts w:hint="eastAsia" w:ascii="仿宋_GB2312" w:eastAsia="仿宋_GB2312"/>
          <w:color w:val="000000"/>
          <w:sz w:val="32"/>
          <w:szCs w:val="32"/>
        </w:rPr>
        <w:t>。其中：</w:t>
      </w:r>
    </w:p>
    <w:p>
      <w:pPr>
        <w:spacing w:line="600" w:lineRule="exact"/>
        <w:ind w:firstLine="642" w:firstLineChars="200"/>
        <w:rPr>
          <w:rFonts w:ascii="仿宋_GB2312" w:eastAsia="仿宋_GB2312"/>
          <w:color w:val="000000" w:themeColor="text1"/>
          <w:sz w:val="32"/>
          <w:szCs w:val="32"/>
          <w14:textFill>
            <w14:solidFill>
              <w14:schemeClr w14:val="tx1"/>
            </w14:solidFill>
          </w14:textFill>
        </w:rPr>
      </w:pPr>
      <w:r>
        <w:rPr>
          <w:rFonts w:hint="eastAsia" w:ascii="仿宋" w:hAnsi="仿宋" w:eastAsia="仿宋"/>
          <w:b/>
          <w:color w:val="000000"/>
          <w:sz w:val="32"/>
          <w:szCs w:val="32"/>
        </w:rPr>
        <w:t>外事接待支出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14:textFill>
            <w14:solidFill>
              <w14:schemeClr w14:val="tx1"/>
            </w14:solidFill>
          </w14:textFill>
        </w:rPr>
        <w:t>，外事接待</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批次，</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人，共计支出</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万元</w:t>
      </w:r>
    </w:p>
    <w:p>
      <w:pPr>
        <w:spacing w:line="600" w:lineRule="exact"/>
        <w:ind w:firstLine="640"/>
        <w:rPr>
          <w:rFonts w:hint="eastAsia" w:ascii="黑体" w:eastAsia="黑体"/>
          <w:color w:val="000000"/>
          <w:sz w:val="32"/>
          <w:szCs w:val="32"/>
        </w:rPr>
      </w:pPr>
      <w:r>
        <w:rPr>
          <w:rFonts w:hint="eastAsia" w:ascii="仿宋" w:hAnsi="仿宋" w:eastAsia="仿宋"/>
          <w:b/>
          <w:color w:val="000000"/>
          <w:sz w:val="32"/>
          <w:szCs w:val="32"/>
        </w:rPr>
        <w:t>其他国内公务接待支出</w:t>
      </w:r>
      <w:r>
        <w:rPr>
          <w:rFonts w:hint="eastAsia" w:ascii="仿宋" w:hAnsi="仿宋" w:eastAsia="仿宋"/>
          <w:color w:val="000000"/>
          <w:sz w:val="32"/>
          <w:szCs w:val="32"/>
          <w:lang w:val="en-US" w:eastAsia="zh-CN"/>
        </w:rPr>
        <w:t>10</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大型公务活动、招商引资、外地相关部门考察学习等公务接待</w:t>
      </w:r>
      <w:r>
        <w:rPr>
          <w:rFonts w:hint="eastAsia" w:ascii="仿宋_GB2312" w:eastAsia="仿宋_GB2312"/>
          <w:color w:val="000000"/>
          <w:sz w:val="32"/>
          <w:szCs w:val="32"/>
        </w:rPr>
        <w:t>。</w:t>
      </w:r>
      <w:bookmarkStart w:id="50" w:name="_Toc15396610"/>
      <w:bookmarkStart w:id="51" w:name="_Toc15377218"/>
    </w:p>
    <w:p>
      <w:pPr>
        <w:spacing w:line="600" w:lineRule="exact"/>
        <w:ind w:firstLine="640"/>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50"/>
      <w:bookmarkEnd w:id="51"/>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numPr>
          <w:ilvl w:val="0"/>
          <w:numId w:val="3"/>
        </w:numPr>
        <w:spacing w:line="600" w:lineRule="exact"/>
        <w:ind w:firstLine="640"/>
        <w:outlineLvl w:val="1"/>
        <w:rPr>
          <w:rStyle w:val="25"/>
          <w:rFonts w:ascii="黑体" w:hAnsi="黑体" w:eastAsia="黑体"/>
          <w:b w:val="0"/>
        </w:rPr>
      </w:pPr>
      <w:bookmarkStart w:id="52" w:name="_Toc15377219"/>
      <w:bookmarkStart w:id="53" w:name="_Toc15396611"/>
      <w:r>
        <w:rPr>
          <w:rStyle w:val="25"/>
          <w:rFonts w:hint="eastAsia" w:ascii="黑体" w:hAnsi="黑体" w:eastAsia="黑体"/>
          <w:b w:val="0"/>
        </w:rPr>
        <w:t>国有资本经营预算支出决算情况说明</w:t>
      </w:r>
      <w:bookmarkEnd w:id="52"/>
      <w:bookmarkEnd w:id="53"/>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pStyle w:val="23"/>
        <w:numPr>
          <w:ilvl w:val="0"/>
          <w:numId w:val="4"/>
        </w:numPr>
        <w:spacing w:line="580" w:lineRule="exact"/>
        <w:ind w:firstLineChars="0"/>
        <w:rPr>
          <w:rStyle w:val="25"/>
          <w:rFonts w:ascii="黑体" w:hAnsi="黑体" w:eastAsia="黑体"/>
          <w:b w:val="0"/>
        </w:rPr>
      </w:pPr>
      <w:r>
        <w:rPr>
          <w:rStyle w:val="25"/>
          <w:rFonts w:hint="eastAsia" w:ascii="黑体" w:hAnsi="黑体" w:eastAsia="黑体"/>
          <w:b w:val="0"/>
        </w:rPr>
        <w:t>预算绩效情况说明</w:t>
      </w:r>
    </w:p>
    <w:p>
      <w:pPr>
        <w:numPr>
          <w:ilvl w:val="0"/>
          <w:numId w:val="5"/>
        </w:numPr>
        <w:spacing w:line="580" w:lineRule="exact"/>
        <w:ind w:firstLine="642"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根据预算绩效管理要求，本部门在年初预算编制阶段，</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本部门按要求对2018年部门整体支出开展绩效自评</w:t>
      </w:r>
      <w:r>
        <w:rPr>
          <w:rFonts w:hint="eastAsia" w:ascii="仿宋_GB2312" w:hAnsi="仿宋_GB2312" w:eastAsia="仿宋_GB2312" w:cs="仿宋_GB2312"/>
          <w:sz w:val="32"/>
          <w:szCs w:val="32"/>
          <w:lang w:eastAsia="zh-CN"/>
        </w:rPr>
        <w:t>。年初，与涉及项目的</w:t>
      </w:r>
      <w:r>
        <w:rPr>
          <w:rFonts w:hint="eastAsia" w:ascii="仿宋_GB2312" w:hAnsi="仿宋_GB2312" w:eastAsia="仿宋_GB2312" w:cs="仿宋_GB2312"/>
          <w:sz w:val="32"/>
          <w:szCs w:val="32"/>
          <w:lang w:val="en-US" w:eastAsia="zh-CN"/>
        </w:rPr>
        <w:t>4个股室和3个挂靠部门签订目标责任书，明确任务，制定计划和实施措施。在项目实施过程中组织人员定期或不定期的进行督促检查，发现问题及时整改，对做的好的给与表扬鼓励，对做的差的给与批评并限期整改。并将此项工作纳入年终综合考评，与目标奖挂钩，职工积极性大增。在网络平台建设、信息调研、督查督办、市长区长信箱办理工作、办文办会工作、法制工作、金融工作、地方志等工作中都取得了好成绩，圆满完成各项任务，受到市区表彰奖励。</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同时，</w:t>
      </w:r>
      <w:r>
        <w:rPr>
          <w:rFonts w:hint="eastAsia" w:ascii="仿宋_GB2312" w:hAnsi="仿宋_GB2312" w:eastAsia="仿宋_GB2312" w:cs="仿宋_GB2312"/>
          <w:sz w:val="32"/>
          <w:szCs w:val="32"/>
        </w:rPr>
        <w:t>组织对</w:t>
      </w:r>
      <w:r>
        <w:rPr>
          <w:rFonts w:hint="eastAsia" w:ascii="仿宋_GB2312" w:hAnsi="仿宋_GB2312" w:eastAsia="仿宋_GB2312" w:cs="仿宋_GB2312"/>
          <w:sz w:val="32"/>
          <w:szCs w:val="32"/>
          <w:lang w:eastAsia="zh-CN"/>
        </w:rPr>
        <w:t>公务用车运行、区政府重大决策、预定新兵役前训练等</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个项目开展了绩效目标完成情况梳理填报。</w:t>
      </w:r>
    </w:p>
    <w:p>
      <w:pPr>
        <w:pStyle w:val="2"/>
      </w:pPr>
    </w:p>
    <w:p>
      <w:pPr>
        <w:numPr>
          <w:ilvl w:val="0"/>
          <w:numId w:val="5"/>
        </w:numPr>
        <w:spacing w:line="580" w:lineRule="exact"/>
        <w:ind w:firstLine="642"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本部门在2018年度部门决算中反映“</w:t>
      </w:r>
      <w:r>
        <w:rPr>
          <w:rFonts w:hint="eastAsia" w:ascii="仿宋_GB2312" w:hAnsi="仿宋_GB2312" w:eastAsia="仿宋_GB2312" w:cs="仿宋_GB2312"/>
          <w:sz w:val="32"/>
          <w:szCs w:val="32"/>
          <w:lang w:eastAsia="zh-CN"/>
        </w:rPr>
        <w:t>公务用车运行维护费</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区政府重大决策经费</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个项目绩效目标实际完成情况。</w:t>
      </w:r>
    </w:p>
    <w:p>
      <w:pPr>
        <w:numPr>
          <w:ilvl w:val="0"/>
          <w:numId w:val="0"/>
        </w:num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区政府重大决策经费</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%。通过项目实施，保障</w:t>
      </w:r>
      <w:r>
        <w:rPr>
          <w:rFonts w:hint="eastAsia" w:ascii="仿宋_GB2312" w:hAnsi="仿宋_GB2312" w:eastAsia="仿宋_GB2312" w:cs="仿宋_GB2312"/>
          <w:sz w:val="32"/>
          <w:szCs w:val="32"/>
          <w:lang w:eastAsia="zh-CN"/>
        </w:rPr>
        <w:t>了区政府领导层民生工程、产业发展、招商引资、城市建设等重大公务活动正常有序开展，促进全区社会、经济进步，各级惠民政策落地落实，城市规范有序发展，人民安居乐业。</w:t>
      </w:r>
    </w:p>
    <w:p>
      <w:pPr>
        <w:numPr>
          <w:ilvl w:val="0"/>
          <w:numId w:val="0"/>
        </w:num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公务用车运行维护费</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%。通过项目实施，全面</w:t>
      </w:r>
      <w:r>
        <w:rPr>
          <w:rFonts w:hint="eastAsia" w:ascii="仿宋_GB2312" w:hAnsi="仿宋_GB2312" w:eastAsia="仿宋_GB2312" w:cs="仿宋_GB2312"/>
          <w:sz w:val="32"/>
          <w:szCs w:val="32"/>
          <w:lang w:eastAsia="zh-CN"/>
        </w:rPr>
        <w:t>保障区政府主要领导车辆耗用，确保公务出行该车辆正常运行，提高了政府决策层效率，促进全区经济社会发展。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15"/>
        <w:jc w:val="left"/>
        <w:rPr>
          <w:rFonts w:hint="eastAsia" w:ascii="方正仿宋简体" w:hAnsi="微软雅黑" w:eastAsia="方正仿宋简体" w:cs="宋体"/>
          <w:color w:val="333333"/>
          <w:kern w:val="0"/>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预定新兵役前训练</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w:t>
      </w:r>
      <w:r>
        <w:rPr>
          <w:rFonts w:hint="eastAsia" w:ascii="方正仿宋简体" w:hAnsi="微软雅黑" w:eastAsia="方正仿宋简体" w:cs="宋体"/>
          <w:color w:val="333333"/>
          <w:kern w:val="0"/>
          <w:sz w:val="32"/>
          <w:szCs w:val="32"/>
          <w:lang w:val="en-US" w:eastAsia="zh-CN"/>
        </w:rPr>
        <w:t>全面保障预备新兵役前丰富、规范、有序训练，</w:t>
      </w:r>
      <w:r>
        <w:rPr>
          <w:rFonts w:hint="eastAsia" w:ascii="方正仿宋简体" w:hAnsi="微软雅黑" w:eastAsia="方正仿宋简体" w:cs="宋体"/>
          <w:color w:val="333333"/>
          <w:kern w:val="0"/>
          <w:sz w:val="32"/>
          <w:szCs w:val="32"/>
          <w:lang w:eastAsia="zh-CN"/>
        </w:rPr>
        <w:t>通过多种方式引导适龄青年积极参军入伍，保家卫国，</w:t>
      </w:r>
      <w:r>
        <w:rPr>
          <w:rFonts w:hint="eastAsia" w:ascii="方正仿宋简体" w:hAnsi="微软雅黑" w:eastAsia="方正仿宋简体" w:cs="宋体"/>
          <w:color w:val="333333"/>
          <w:kern w:val="0"/>
          <w:sz w:val="32"/>
          <w:szCs w:val="32"/>
          <w:lang w:val="en-US" w:eastAsia="zh-CN"/>
        </w:rPr>
        <w:t>有助于适龄青年参军入伍前多方面适应和为部队选到优质兵源，</w:t>
      </w:r>
      <w:r>
        <w:rPr>
          <w:rFonts w:hint="eastAsia" w:ascii="方正仿宋简体" w:hAnsi="微软雅黑" w:eastAsia="方正仿宋简体" w:cs="宋体"/>
          <w:color w:val="333333"/>
          <w:kern w:val="0"/>
          <w:sz w:val="32"/>
          <w:szCs w:val="32"/>
          <w:lang w:val="zh-CN" w:eastAsia="zh-CN"/>
        </w:rPr>
        <w:t>推动了全区征兵工作的健康发展</w:t>
      </w:r>
      <w:r>
        <w:rPr>
          <w:rFonts w:hint="eastAsia" w:ascii="方正仿宋简体" w:hAnsi="微软雅黑" w:eastAsia="方正仿宋简体" w:cs="宋体"/>
          <w:color w:val="333333"/>
          <w:kern w:val="0"/>
          <w:sz w:val="32"/>
          <w:szCs w:val="32"/>
          <w:lang w:val="en-US" w:eastAsia="zh-CN"/>
        </w:rPr>
        <w:t>。</w:t>
      </w:r>
    </w:p>
    <w:p>
      <w:pPr>
        <w:numPr>
          <w:ilvl w:val="0"/>
          <w:numId w:val="5"/>
        </w:numPr>
        <w:spacing w:line="580" w:lineRule="exact"/>
        <w:ind w:firstLine="642"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按照预算绩效管理要求，本部门对2018年整体支出开展了绩效自评，自评得分98分。存在的问题：一是绩效指标设置还不够具体和合理，导致绩效监控效果不佳。二是在绩效管理工作中创新不够，方法和制度上都还有待进一步加强。下一步改进措施：一是严格预算编制，根据目标任务设置科学合理的绩效考评指标，做到细化精确，使综合绩效评价达到最佳的效果。二是严格落实专项经费使用管理规定，做到专款专用。三是不断改进工作方法，提高可持续发展力。本部门整体支出绩效评价情况</w:t>
      </w:r>
      <w:r>
        <w:rPr>
          <w:rFonts w:hint="eastAsia" w:ascii="仿宋_GB2312" w:hAnsi="仿宋_GB2312" w:eastAsia="仿宋_GB2312" w:cs="仿宋_GB2312"/>
          <w:sz w:val="32"/>
          <w:szCs w:val="32"/>
          <w:lang w:eastAsia="zh-CN"/>
        </w:rPr>
        <w:t>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广元市利州区人民政府办公室</w:t>
      </w:r>
      <w:r>
        <w:rPr>
          <w:rFonts w:hint="eastAsia" w:ascii="仿宋_GB2312" w:hAnsi="仿宋_GB2312" w:eastAsia="仿宋_GB2312" w:cs="仿宋_GB2312"/>
          <w:sz w:val="32"/>
          <w:szCs w:val="32"/>
        </w:rPr>
        <w:t>2018年部门整体支出绩效评价报告》见附件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p>
    <w:p>
      <w:pPr>
        <w:spacing w:line="600" w:lineRule="exact"/>
        <w:ind w:firstLine="800" w:firstLineChars="250"/>
        <w:outlineLvl w:val="1"/>
        <w:rPr>
          <w:rStyle w:val="25"/>
          <w:rFonts w:ascii="黑体" w:hAnsi="黑体" w:eastAsia="黑体"/>
        </w:rPr>
      </w:pPr>
      <w:bookmarkStart w:id="54" w:name="_Toc15396612"/>
      <w:bookmarkStart w:id="55" w:name="_Toc15377221"/>
      <w:r>
        <w:rPr>
          <w:rFonts w:hint="eastAsia" w:ascii="黑体" w:hAnsi="黑体" w:eastAsia="黑体"/>
          <w:color w:val="000000"/>
          <w:sz w:val="32"/>
          <w:szCs w:val="32"/>
        </w:rPr>
        <w:t>十</w:t>
      </w:r>
      <w:r>
        <w:rPr>
          <w:rStyle w:val="25"/>
          <w:rFonts w:hint="eastAsia" w:ascii="黑体" w:hAnsi="黑体" w:eastAsia="黑体"/>
        </w:rPr>
        <w:t>一、</w:t>
      </w:r>
      <w:r>
        <w:rPr>
          <w:rStyle w:val="25"/>
          <w:rFonts w:hint="eastAsia" w:ascii="黑体" w:hAnsi="黑体" w:eastAsia="黑体"/>
          <w:b w:val="0"/>
        </w:rPr>
        <w:t>其他重要事项的情况说明</w:t>
      </w:r>
      <w:bookmarkEnd w:id="54"/>
      <w:bookmarkEnd w:id="55"/>
    </w:p>
    <w:p>
      <w:pPr>
        <w:spacing w:line="600" w:lineRule="exact"/>
        <w:ind w:firstLine="642" w:firstLineChars="200"/>
        <w:outlineLvl w:val="2"/>
        <w:rPr>
          <w:rFonts w:ascii="仿宋" w:hAnsi="仿宋" w:eastAsia="仿宋"/>
          <w:color w:val="000000"/>
          <w:sz w:val="32"/>
          <w:szCs w:val="32"/>
        </w:rPr>
      </w:pPr>
      <w:bookmarkStart w:id="56" w:name="_Toc15377222"/>
      <w:r>
        <w:rPr>
          <w:rFonts w:hint="eastAsia" w:ascii="仿宋" w:hAnsi="仿宋" w:eastAsia="仿宋"/>
          <w:b/>
          <w:color w:val="000000"/>
          <w:sz w:val="32"/>
          <w:szCs w:val="32"/>
        </w:rPr>
        <w:t>（一）机关运行经费支出情况</w:t>
      </w:r>
      <w:bookmarkEnd w:id="56"/>
    </w:p>
    <w:p>
      <w:pPr>
        <w:spacing w:line="600" w:lineRule="exact"/>
        <w:ind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区政府办</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341.34</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7年增加</w:t>
      </w:r>
      <w:r>
        <w:rPr>
          <w:rFonts w:hint="eastAsia" w:ascii="仿宋_GB2312" w:eastAsia="仿宋_GB2312"/>
          <w:color w:val="000000"/>
          <w:sz w:val="32"/>
          <w:szCs w:val="32"/>
          <w:lang w:val="en-US" w:eastAsia="zh-CN"/>
        </w:rPr>
        <w:t>268.78</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370.42</w:t>
      </w:r>
      <w:r>
        <w:rPr>
          <w:rFonts w:ascii="仿宋_GB2312" w:eastAsia="仿宋_GB2312"/>
          <w:color w:val="000000"/>
          <w:sz w:val="32"/>
          <w:szCs w:val="32"/>
        </w:rPr>
        <w:t>%</w:t>
      </w:r>
      <w:r>
        <w:rPr>
          <w:rFonts w:hint="eastAsia" w:ascii="仿宋_GB2312" w:eastAsia="仿宋_GB2312"/>
          <w:color w:val="000000"/>
          <w:sz w:val="32"/>
          <w:szCs w:val="32"/>
          <w:lang w:eastAsia="zh-CN"/>
        </w:rPr>
        <w:t>，</w:t>
      </w:r>
      <w:r>
        <w:rPr>
          <w:rFonts w:hint="eastAsia" w:ascii="仿宋_GB2312" w:eastAsia="仿宋_GB2312"/>
          <w:color w:val="000000" w:themeColor="text1"/>
          <w:sz w:val="32"/>
          <w:szCs w:val="32"/>
          <w14:textFill>
            <w14:solidFill>
              <w14:schemeClr w14:val="tx1"/>
            </w14:solidFill>
          </w14:textFill>
        </w:rPr>
        <w:t>主要原因是</w:t>
      </w:r>
      <w:r>
        <w:rPr>
          <w:rFonts w:hint="eastAsia" w:ascii="仿宋_GB2312" w:eastAsia="仿宋_GB2312"/>
          <w:color w:val="000000" w:themeColor="text1"/>
          <w:sz w:val="32"/>
          <w:szCs w:val="32"/>
          <w:lang w:eastAsia="zh-CN"/>
          <w14:textFill>
            <w14:solidFill>
              <w14:schemeClr w14:val="tx1"/>
            </w14:solidFill>
          </w14:textFill>
        </w:rPr>
        <w:t>合并区人武部机关运行经费、支付历年未结算费用、下拨企业及代管单位补助等原因形成。</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CS05</w:t>
      </w:r>
      <w:r>
        <w:rPr>
          <w:rFonts w:hint="eastAsia" w:ascii="仿宋" w:hAnsi="仿宋" w:eastAsia="仿宋"/>
          <w:b/>
          <w:color w:val="000000"/>
          <w:sz w:val="32"/>
          <w:szCs w:val="32"/>
        </w:rPr>
        <w:t>表）</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7" w:name="_Toc15377223"/>
      <w:r>
        <w:rPr>
          <w:rFonts w:hint="eastAsia" w:ascii="仿宋" w:hAnsi="仿宋" w:eastAsia="仿宋"/>
          <w:b/>
          <w:color w:val="000000"/>
          <w:sz w:val="32"/>
          <w:szCs w:val="32"/>
        </w:rPr>
        <w:t>（二）政府采购支出情况</w:t>
      </w:r>
      <w:bookmarkEnd w:id="57"/>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区政府办</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8.54</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8.54</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办公设备等购置</w:t>
      </w:r>
      <w:r>
        <w:rPr>
          <w:rFonts w:hint="eastAsia" w:ascii="仿宋_GB2312" w:eastAsia="仿宋_GB2312"/>
          <w:color w:val="000000"/>
          <w:sz w:val="32"/>
          <w:szCs w:val="32"/>
        </w:rPr>
        <w:t>。授予中小企业合同金额</w:t>
      </w:r>
      <w:r>
        <w:rPr>
          <w:rFonts w:hint="eastAsia" w:ascii="仿宋_GB2312" w:eastAsia="仿宋_GB2312"/>
          <w:color w:val="000000"/>
          <w:sz w:val="32"/>
          <w:szCs w:val="32"/>
          <w:lang w:val="en-US" w:eastAsia="zh-CN"/>
        </w:rPr>
        <w:t>8.54</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100</w:t>
      </w:r>
      <w:r>
        <w:rPr>
          <w:rFonts w:ascii="仿宋_GB2312" w:eastAsia="仿宋_GB2312"/>
          <w:color w:val="000000"/>
          <w:sz w:val="32"/>
          <w:szCs w:val="32"/>
        </w:rPr>
        <w:t>%</w:t>
      </w:r>
      <w:r>
        <w:rPr>
          <w:rFonts w:hint="eastAsia" w:ascii="仿宋_GB2312" w:eastAsia="仿宋_GB2312"/>
          <w:color w:val="000000"/>
          <w:sz w:val="32"/>
          <w:szCs w:val="32"/>
        </w:rPr>
        <w:t>，其中：授予小微企业合同金额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CS06</w:t>
      </w:r>
      <w:r>
        <w:rPr>
          <w:rFonts w:hint="eastAsia" w:ascii="仿宋" w:hAnsi="仿宋" w:eastAsia="仿宋"/>
          <w:b/>
          <w:color w:val="000000"/>
          <w:sz w:val="32"/>
          <w:szCs w:val="32"/>
        </w:rPr>
        <w:t>表）</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8" w:name="_Toc15377224"/>
      <w:r>
        <w:rPr>
          <w:rFonts w:hint="eastAsia" w:ascii="仿宋" w:hAnsi="仿宋" w:eastAsia="仿宋"/>
          <w:b/>
          <w:color w:val="000000"/>
          <w:sz w:val="32"/>
          <w:szCs w:val="32"/>
        </w:rPr>
        <w:t>（三）国有资产占有使用情况</w:t>
      </w:r>
      <w:bookmarkEnd w:id="58"/>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区政府办</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辆，其中：部级领导干部用车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辆、一般公务用车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辆、一般执法执勤用车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辆、特种专业技术用车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w:t>
      </w:r>
      <w:r>
        <w:rPr>
          <w:rFonts w:hint="eastAsia" w:ascii="仿宋_GB2312" w:eastAsia="仿宋_GB2312"/>
          <w:color w:val="000000" w:themeColor="text1"/>
          <w:sz w:val="32"/>
          <w:szCs w:val="32"/>
          <w14:textFill>
            <w14:solidFill>
              <w14:schemeClr w14:val="tx1"/>
            </w14:solidFill>
          </w14:textFill>
        </w:rPr>
        <w:t>其他用车主要是用于</w:t>
      </w:r>
      <w:r>
        <w:rPr>
          <w:rFonts w:hint="eastAsia" w:ascii="仿宋_GB2312" w:eastAsia="仿宋_GB2312"/>
          <w:color w:val="000000" w:themeColor="text1"/>
          <w:sz w:val="32"/>
          <w:szCs w:val="32"/>
          <w:lang w:eastAsia="zh-CN"/>
          <w14:textFill>
            <w14:solidFill>
              <w14:schemeClr w14:val="tx1"/>
            </w14:solidFill>
          </w14:textFill>
        </w:rPr>
        <w:t>区政府主要领导实物保障用车。</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CS05</w:t>
      </w:r>
      <w:r>
        <w:rPr>
          <w:rFonts w:hint="eastAsia" w:ascii="仿宋" w:hAnsi="仿宋" w:eastAsia="仿宋"/>
          <w:b/>
          <w:color w:val="000000"/>
          <w:sz w:val="32"/>
          <w:szCs w:val="32"/>
        </w:rPr>
        <w:t>表，按部门决算报表填报数据罗列车辆情况。）</w:t>
      </w:r>
    </w:p>
    <w:p>
      <w:pPr>
        <w:spacing w:line="600" w:lineRule="atLeast"/>
        <w:ind w:firstLine="642" w:firstLineChars="200"/>
        <w:rPr>
          <w:rFonts w:ascii="仿宋_GB2312" w:eastAsia="仿宋_GB2312"/>
          <w:b/>
          <w:color w:val="000000"/>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6"/>
        </w:numPr>
        <w:spacing w:line="600" w:lineRule="exact"/>
        <w:ind w:firstLine="662" w:firstLineChars="150"/>
        <w:jc w:val="center"/>
        <w:outlineLvl w:val="0"/>
        <w:rPr>
          <w:rStyle w:val="24"/>
          <w:rFonts w:ascii="黑体" w:hAnsi="黑体" w:eastAsia="黑体"/>
          <w:b w:val="0"/>
        </w:rPr>
      </w:pPr>
      <w:bookmarkStart w:id="59" w:name="_Toc15396613"/>
      <w:bookmarkStart w:id="60" w:name="_Toc15377225"/>
      <w:r>
        <w:rPr>
          <w:rFonts w:hint="eastAsia" w:ascii="黑体" w:hAnsi="黑体" w:eastAsia="黑体"/>
          <w:b/>
          <w:color w:val="000000"/>
          <w:sz w:val="44"/>
          <w:szCs w:val="44"/>
        </w:rPr>
        <w:t>名</w:t>
      </w:r>
      <w:r>
        <w:rPr>
          <w:rStyle w:val="24"/>
          <w:rFonts w:hint="eastAsia" w:ascii="黑体" w:hAnsi="黑体" w:eastAsia="黑体"/>
          <w:b w:val="0"/>
        </w:rPr>
        <w:t>词解释</w:t>
      </w:r>
      <w:bookmarkEnd w:id="59"/>
      <w:bookmarkEnd w:id="60"/>
    </w:p>
    <w:p>
      <w:pPr>
        <w:spacing w:line="600" w:lineRule="exact"/>
        <w:jc w:val="left"/>
        <w:rPr>
          <w:rFonts w:ascii="宋体"/>
          <w:b/>
          <w:color w:val="000000"/>
          <w:sz w:val="44"/>
          <w:szCs w:val="44"/>
        </w:rPr>
      </w:pPr>
    </w:p>
    <w:p>
      <w:pPr>
        <w:pStyle w:val="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r>
        <w:rPr>
          <w:rFonts w:ascii="仿宋_GB2312" w:eastAsia="仿宋_GB2312"/>
          <w:sz w:val="32"/>
          <w:szCs w:val="32"/>
        </w:rPr>
        <w:t xml:space="preserve"> </w:t>
      </w:r>
    </w:p>
    <w:p>
      <w:pPr>
        <w:pStyle w:val="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spacing w:line="60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9.</w:t>
      </w:r>
      <w:r>
        <w:rPr>
          <w:rStyle w:val="15"/>
          <w:rFonts w:hint="eastAsia" w:ascii="仿宋_GB2312" w:eastAsia="仿宋_GB2312"/>
          <w:b w:val="0"/>
          <w:bCs w:val="0"/>
          <w:color w:val="000000"/>
          <w:sz w:val="32"/>
          <w:szCs w:val="32"/>
        </w:rPr>
        <w:t>一般公共服务支出：反映政府提供一般公共服务的支出。</w:t>
      </w:r>
    </w:p>
    <w:p>
      <w:pPr>
        <w:numPr>
          <w:ilvl w:val="0"/>
          <w:numId w:val="7"/>
        </w:numPr>
        <w:spacing w:line="600" w:lineRule="exact"/>
        <w:ind w:left="0" w:firstLine="640" w:firstLineChars="200"/>
        <w:rPr>
          <w:rFonts w:hint="eastAsia" w:ascii="仿宋_GB2312" w:eastAsia="仿宋_GB2312"/>
          <w:color w:val="000000"/>
          <w:sz w:val="32"/>
          <w:szCs w:val="32"/>
        </w:rPr>
      </w:pPr>
      <w:r>
        <w:rPr>
          <w:rStyle w:val="15"/>
          <w:rFonts w:hint="eastAsia" w:ascii="仿宋_GB2312" w:eastAsia="仿宋_GB2312"/>
          <w:b w:val="0"/>
          <w:bCs w:val="0"/>
          <w:color w:val="000000"/>
          <w:sz w:val="32"/>
          <w:szCs w:val="32"/>
        </w:rPr>
        <w:t>一般公共服务支出-</w:t>
      </w:r>
      <w:r>
        <w:rPr>
          <w:rFonts w:hint="eastAsia" w:ascii="仿宋_GB2312" w:eastAsia="仿宋_GB2312"/>
          <w:color w:val="000000"/>
          <w:sz w:val="32"/>
          <w:szCs w:val="32"/>
        </w:rPr>
        <w:t>政府办公厅（室）--行政运行：反映行政单位的基本支出；</w:t>
      </w:r>
    </w:p>
    <w:p>
      <w:pPr>
        <w:numPr>
          <w:ilvl w:val="0"/>
          <w:numId w:val="7"/>
        </w:numPr>
        <w:ind w:left="0" w:leftChars="0" w:firstLine="640" w:firstLineChars="200"/>
        <w:rPr>
          <w:rFonts w:hint="eastAsia" w:ascii="仿宋_GB2312" w:eastAsia="仿宋_GB2312"/>
          <w:color w:val="000000"/>
          <w:sz w:val="32"/>
          <w:szCs w:val="32"/>
        </w:rPr>
      </w:pPr>
      <w:r>
        <w:rPr>
          <w:rStyle w:val="15"/>
          <w:rFonts w:hint="eastAsia" w:ascii="仿宋_GB2312" w:eastAsia="仿宋_GB2312"/>
          <w:b w:val="0"/>
          <w:bCs w:val="0"/>
          <w:color w:val="000000"/>
          <w:sz w:val="32"/>
          <w:szCs w:val="32"/>
        </w:rPr>
        <w:t>一般公共服务支出-</w:t>
      </w:r>
      <w:r>
        <w:rPr>
          <w:rFonts w:hint="eastAsia" w:ascii="仿宋_GB2312" w:eastAsia="仿宋_GB2312"/>
          <w:color w:val="000000"/>
          <w:sz w:val="32"/>
          <w:szCs w:val="32"/>
        </w:rPr>
        <w:t>政府办公厅（室）--一般行政管理事务：反映行政单位未单独设置项级科目的其他项目支出；</w:t>
      </w:r>
    </w:p>
    <w:p>
      <w:pPr>
        <w:spacing w:line="600" w:lineRule="exact"/>
        <w:ind w:firstLine="640" w:firstLineChars="200"/>
        <w:rPr>
          <w:rStyle w:val="15"/>
          <w:rFonts w:hint="eastAsia" w:ascii="仿宋_GB2312" w:eastAsia="仿宋_GB2312"/>
          <w:b w:val="0"/>
          <w:bCs w:val="0"/>
          <w:color w:val="000000"/>
          <w:sz w:val="32"/>
          <w:szCs w:val="32"/>
        </w:rPr>
      </w:pPr>
      <w:r>
        <w:rPr>
          <w:rFonts w:ascii="仿宋_GB2312" w:eastAsia="仿宋_GB2312"/>
          <w:color w:val="000000"/>
          <w:sz w:val="32"/>
          <w:szCs w:val="32"/>
        </w:rPr>
        <w:t>10</w:t>
      </w:r>
      <w:r>
        <w:rPr>
          <w:rStyle w:val="15"/>
          <w:rFonts w:hint="eastAsia" w:ascii="仿宋_GB2312" w:eastAsia="仿宋_GB2312"/>
          <w:b w:val="0"/>
          <w:bCs w:val="0"/>
          <w:color w:val="000000"/>
          <w:sz w:val="32"/>
          <w:szCs w:val="32"/>
        </w:rPr>
        <w:t>社会保障和就业支出：反映政府在社会保障和就业方面的支出。</w:t>
      </w:r>
    </w:p>
    <w:p>
      <w:pPr>
        <w:numPr>
          <w:ilvl w:val="0"/>
          <w:numId w:val="0"/>
        </w:numPr>
        <w:tabs>
          <w:tab w:val="left" w:pos="0"/>
        </w:tabs>
        <w:spacing w:line="600" w:lineRule="exact"/>
        <w:ind w:firstLine="640" w:firstLineChars="200"/>
        <w:rPr>
          <w:rStyle w:val="15"/>
          <w:rFonts w:hint="eastAsia" w:ascii="仿宋_GB2312" w:eastAsia="仿宋_GB2312"/>
          <w:b w:val="0"/>
          <w:bCs w:val="0"/>
          <w:color w:val="000000"/>
          <w:sz w:val="32"/>
          <w:szCs w:val="32"/>
        </w:rPr>
      </w:pPr>
      <w:r>
        <w:rPr>
          <w:rStyle w:val="15"/>
          <w:rFonts w:hint="eastAsia" w:ascii="仿宋_GB2312" w:eastAsia="仿宋_GB2312"/>
          <w:b w:val="0"/>
          <w:bCs w:val="0"/>
          <w:color w:val="000000"/>
          <w:sz w:val="32"/>
          <w:szCs w:val="32"/>
        </w:rPr>
        <w:t>社会保障和就业支出-行政事业单位离退休-机关事业单位基本养老保险缴费支出：反映机关事业单位实施养老保险制度由单位缴纳的基本养老保险支出；</w:t>
      </w:r>
    </w:p>
    <w:p>
      <w:pPr>
        <w:numPr>
          <w:ilvl w:val="0"/>
          <w:numId w:val="0"/>
        </w:numPr>
        <w:tabs>
          <w:tab w:val="left" w:pos="0"/>
        </w:tabs>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11.</w:t>
      </w:r>
      <w:r>
        <w:rPr>
          <w:rStyle w:val="15"/>
          <w:rFonts w:hint="eastAsia" w:ascii="仿宋_GB2312" w:eastAsia="仿宋_GB2312"/>
          <w:b w:val="0"/>
          <w:bCs w:val="0"/>
          <w:color w:val="000000"/>
          <w:sz w:val="32"/>
          <w:szCs w:val="32"/>
        </w:rPr>
        <w:t>医疗卫生与计划生育支出:反映政府医疗卫生与计划生育管理方面的支出</w:t>
      </w:r>
    </w:p>
    <w:p>
      <w:pPr>
        <w:numPr>
          <w:ilvl w:val="0"/>
          <w:numId w:val="0"/>
        </w:numPr>
        <w:tabs>
          <w:tab w:val="left" w:pos="0"/>
        </w:tabs>
        <w:spacing w:line="600" w:lineRule="exact"/>
        <w:ind w:firstLine="640" w:firstLineChars="200"/>
        <w:rPr>
          <w:rStyle w:val="15"/>
          <w:rFonts w:hint="eastAsia" w:ascii="仿宋_GB2312" w:eastAsia="仿宋_GB2312"/>
          <w:b w:val="0"/>
          <w:bCs w:val="0"/>
          <w:color w:val="000000"/>
          <w:sz w:val="32"/>
          <w:szCs w:val="32"/>
        </w:rPr>
      </w:pPr>
      <w:r>
        <w:rPr>
          <w:rStyle w:val="15"/>
          <w:rFonts w:hint="eastAsia" w:ascii="仿宋_GB2312" w:eastAsia="仿宋_GB2312"/>
          <w:b w:val="0"/>
          <w:bCs w:val="0"/>
          <w:color w:val="000000"/>
          <w:sz w:val="32"/>
          <w:szCs w:val="32"/>
        </w:rPr>
        <w:t>医疗卫生与计划生育支出-医疗保障-行政单位医疗费:反映财政部门集中安排的行政单位基本医疗保险缴费经费，未参加医疗保险的行政单位的公费医疗经费，按国家规定享受离休人员、红军老战士待遇人员的医疗经费；</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12</w:t>
      </w:r>
      <w:r>
        <w:rPr>
          <w:rFonts w:ascii="仿宋_GB2312" w:eastAsia="仿宋_GB2312"/>
          <w:color w:val="000000"/>
          <w:sz w:val="32"/>
          <w:szCs w:val="32"/>
        </w:rPr>
        <w:t>.</w:t>
      </w:r>
      <w:r>
        <w:rPr>
          <w:rFonts w:hint="eastAsia" w:ascii="仿宋_GB2312" w:eastAsia="仿宋_GB2312"/>
          <w:color w:val="404040"/>
          <w:sz w:val="32"/>
          <w:szCs w:val="32"/>
        </w:rPr>
        <w:t>住房保障支出：住房保障支出-住房改革支出-住房公积金：反映行政事业单位按人力资源和社会保障部、财政部规定的基本工资和津贴补贴以及规定比例为职工缴纳的住房公积金。</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8年政府收支分类科目》增减内容。）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
        <w:spacing w:line="560" w:lineRule="exact"/>
        <w:ind w:firstLine="640" w:firstLineChars="200"/>
        <w:rPr>
          <w:rFonts w:ascii="仿宋_GB2312" w:eastAsia="仿宋_GB2312" w:cs="黑体"/>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2"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4"/>
          <w:rFonts w:ascii="黑体" w:hAnsi="黑体" w:eastAsia="黑体"/>
          <w:b w:val="0"/>
        </w:rPr>
      </w:pPr>
      <w:bookmarkStart w:id="61" w:name="_Toc15377226"/>
      <w:r>
        <w:rPr>
          <w:rFonts w:ascii="宋体"/>
          <w:b/>
          <w:color w:val="000000"/>
          <w:sz w:val="44"/>
          <w:szCs w:val="44"/>
        </w:rPr>
        <w:br w:type="page"/>
      </w:r>
      <w:bookmarkStart w:id="62"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62"/>
    </w:p>
    <w:p>
      <w:pPr>
        <w:spacing w:line="600" w:lineRule="exact"/>
        <w:jc w:val="center"/>
        <w:outlineLvl w:val="0"/>
        <w:rPr>
          <w:rStyle w:val="24"/>
        </w:rPr>
      </w:pPr>
    </w:p>
    <w:p>
      <w:pPr>
        <w:pStyle w:val="2"/>
        <w:rPr>
          <w:rStyle w:val="24"/>
          <w:rFonts w:hint="eastAsia" w:ascii="仿宋" w:hAnsi="仿宋" w:eastAsia="仿宋"/>
          <w:b w:val="0"/>
          <w:bCs w:val="0"/>
          <w:sz w:val="32"/>
          <w:szCs w:val="32"/>
          <w:lang w:val="en-US" w:eastAsia="zh-CN"/>
        </w:rPr>
      </w:pPr>
      <w:bookmarkStart w:id="63" w:name="_Toc15396615"/>
      <w:r>
        <w:rPr>
          <w:rStyle w:val="24"/>
          <w:rFonts w:hint="eastAsia" w:ascii="仿宋" w:hAnsi="仿宋" w:eastAsia="仿宋"/>
          <w:b w:val="0"/>
          <w:bCs w:val="0"/>
          <w:sz w:val="32"/>
          <w:szCs w:val="32"/>
        </w:rPr>
        <w:t>附件</w:t>
      </w:r>
      <w:bookmarkEnd w:id="63"/>
      <w:r>
        <w:rPr>
          <w:rStyle w:val="24"/>
          <w:rFonts w:hint="eastAsia" w:ascii="仿宋" w:hAnsi="仿宋" w:eastAsia="仿宋"/>
          <w:b w:val="0"/>
          <w:bCs w:val="0"/>
          <w:sz w:val="32"/>
          <w:szCs w:val="32"/>
          <w:lang w:val="en-US" w:eastAsia="zh-CN"/>
        </w:rPr>
        <w:t>1</w:t>
      </w:r>
    </w:p>
    <w:p>
      <w:pPr>
        <w:pStyle w:val="2"/>
        <w:rPr>
          <w:rStyle w:val="24"/>
          <w:rFonts w:hint="default" w:ascii="仿宋" w:hAnsi="仿宋" w:eastAsia="仿宋"/>
          <w:b w:val="0"/>
          <w:bCs w:val="0"/>
          <w:sz w:val="32"/>
          <w:szCs w:val="32"/>
          <w:lang w:val="en-US" w:eastAsia="zh-CN"/>
        </w:rPr>
      </w:pPr>
    </w:p>
    <w:p>
      <w:pPr>
        <w:spacing w:line="600" w:lineRule="exact"/>
        <w:jc w:val="center"/>
        <w:outlineLvl w:val="0"/>
        <w:rPr>
          <w:rFonts w:hint="eastAsia" w:ascii="方正小标宋简体" w:hAnsi="方正小标宋简体" w:eastAsia="方正小标宋简体" w:cs="方正小标宋简体"/>
          <w:sz w:val="44"/>
          <w:szCs w:val="44"/>
          <w:lang w:eastAsia="zh-CN"/>
        </w:rPr>
      </w:pPr>
      <w:bookmarkStart w:id="64" w:name="_Toc15396616"/>
      <w:r>
        <w:rPr>
          <w:rFonts w:hint="eastAsia" w:ascii="方正小标宋简体" w:hAnsi="方正小标宋简体" w:eastAsia="方正小标宋简体" w:cs="方正小标宋简体"/>
          <w:sz w:val="44"/>
          <w:szCs w:val="44"/>
          <w:lang w:eastAsia="zh-CN"/>
        </w:rPr>
        <w:t>广元市利州区人民政府办公室</w:t>
      </w:r>
    </w:p>
    <w:p>
      <w:pPr>
        <w:spacing w:line="600" w:lineRule="exac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2018年部门整体支出绩效评价报告</w:t>
      </w:r>
      <w:bookmarkEnd w:id="64"/>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广元市利州区人民政府办公室是区人民政府的综合协调部门，含4个内设股室，即：信息技术股、综合文秘股、行政后勤股、督办股以及3个挂靠机构即：金融办、地志办、利州区电子政务外网管理中心。</w:t>
      </w:r>
    </w:p>
    <w:p>
      <w:pPr>
        <w:ind w:firstLine="627" w:firstLineChars="196"/>
      </w:pPr>
      <w:r>
        <w:rPr>
          <w:rFonts w:hint="eastAsia" w:ascii="仿宋" w:hAnsi="仿宋" w:eastAsia="仿宋"/>
          <w:sz w:val="32"/>
          <w:szCs w:val="32"/>
        </w:rPr>
        <w:t>广元市利州区人武部含军事科、政治工作科、保障科及人武部下属（民兵训练基地、民兵武器装备仓库）。</w:t>
      </w:r>
    </w:p>
    <w:p>
      <w:pPr>
        <w:numPr>
          <w:ilvl w:val="0"/>
          <w:numId w:val="8"/>
        </w:numPr>
        <w:spacing w:line="600" w:lineRule="exact"/>
        <w:ind w:firstLine="640" w:firstLineChars="200"/>
        <w:rPr>
          <w:rFonts w:ascii="仿宋" w:hAnsi="仿宋" w:eastAsia="仿宋" w:cs="仿宋_GB2312"/>
          <w:b w:val="0"/>
          <w:bCs w:val="0"/>
          <w:sz w:val="32"/>
          <w:szCs w:val="32"/>
        </w:rPr>
      </w:pPr>
      <w:r>
        <w:rPr>
          <w:rFonts w:ascii="仿宋" w:hAnsi="仿宋" w:eastAsia="仿宋" w:cs="仿宋_GB2312"/>
          <w:b w:val="0"/>
          <w:bCs w:val="0"/>
          <w:sz w:val="32"/>
          <w:szCs w:val="32"/>
        </w:rPr>
        <w:t>机构职能。</w:t>
      </w:r>
    </w:p>
    <w:p>
      <w:pPr>
        <w:numPr>
          <w:ilvl w:val="0"/>
          <w:numId w:val="0"/>
        </w:num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１．协助区政府领导同志组织起草或审核以区政府、区政府办公室名义发布或上报的公文。办理上级有关单位发至区政府、区政府办的文电。指导全区行政机关公文处理工作。</w:t>
      </w:r>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２．研究区政府部门和乡镇人民政府（街道办事处）请示区政府的事项，提出审核意见，报区政府领导审批。</w:t>
      </w:r>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３．负责区政府会议的准备工作，协助区政府领导组织实施会议决定事项。</w:t>
      </w:r>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４．督促检查区政府部门和乡镇人民政府（街道办事处）对区政府决定事项及区政府领导指示的贯彻落实情况，及时向区政府领导报告。</w:t>
      </w:r>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５．根据区政府领导的指示，对区政府部门间争议问题提出处理意见和建议，报区政府领导决定。</w:t>
      </w:r>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６．指导、监督全区政府信息公开工作和机关效能建设工作，指导、监督全区政府系统电子政务工作和政府网站建设。</w:t>
      </w:r>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７．围绕区政府中心工作和区政府领导的指示，组织专题调查研究，及时反映情况，提出政策性建议。</w:t>
      </w:r>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８．组织办理涉及区政府工作的人大代表议案、批评、建议和政协委员提案、建议案工作。</w:t>
      </w:r>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９．督促落实区政府金融工作部署，负责地方金融机构和金融中介机构的行业管理和服务，维护地方金融秩序。</w:t>
      </w:r>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10．负责办理全区小汽车编制管理方面的事务。管理区政府办公室直属单位。</w:t>
      </w:r>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11.区人武部肩负着军队和地方民兵预备役及维护国家安全和社会稳定的重要使命。负责规划、部署全区武装思想政治工作；国防教育、研究、宣传、民兵预备役队伍建设的日常工作及新闻的报道；负责归口单位干部职工的考察、推荐、管理、党建工作；负责年度征兵、民兵及各类（专业分队）训练、民兵整组、民兵预备役工作登记、民兵武器装备管理、学生军训、退伍军人档案管理、扶贫帮困工作及配合地方政府完成各类抢险救灾等工作。</w:t>
      </w:r>
    </w:p>
    <w:p>
      <w:pPr>
        <w:spacing w:line="600" w:lineRule="exact"/>
        <w:ind w:firstLine="640" w:firstLineChars="200"/>
      </w:pPr>
      <w:r>
        <w:rPr>
          <w:rFonts w:hint="eastAsia" w:ascii="仿宋" w:hAnsi="仿宋" w:eastAsia="仿宋"/>
          <w:color w:val="000000"/>
          <w:sz w:val="32"/>
          <w:szCs w:val="32"/>
          <w:lang w:val="en-US" w:eastAsia="zh-CN"/>
        </w:rPr>
        <w:t>12．办理区政府和区政府领导交办的其他事项。</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（三）人员概况。</w:t>
      </w:r>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区政府办现有在职人员43人，其中公务员23人，工勤人员7人，事业干部13人。退休干部5人，退休工人2人，临聘人员5人。我办总编制56名，其中行政编制40名，其他事业编制16名。</w:t>
      </w:r>
    </w:p>
    <w:p>
      <w:pPr>
        <w:ind w:firstLine="627" w:firstLineChars="196"/>
      </w:pPr>
      <w:r>
        <w:rPr>
          <w:rFonts w:hint="eastAsia" w:ascii="仿宋" w:hAnsi="仿宋" w:eastAsia="仿宋"/>
          <w:color w:val="000000"/>
          <w:sz w:val="32"/>
          <w:szCs w:val="32"/>
          <w:lang w:val="en-US" w:eastAsia="zh-CN"/>
        </w:rPr>
        <w:t>区人武部</w:t>
      </w:r>
      <w:r>
        <w:rPr>
          <w:rFonts w:hint="eastAsia" w:ascii="仿宋" w:hAnsi="仿宋" w:eastAsia="仿宋"/>
          <w:sz w:val="32"/>
          <w:szCs w:val="32"/>
        </w:rPr>
        <w:t>地方职工编制共31人，全部为事业编制，其中人武部机关19人，各乡镇办事处12人（其人员经费及办公经费预算到各乡镇办）； 2017年末实有在职职工31人（其中人武部机关19人、各乡镇办事处12人）；退休职工2人（2017年2月退休1人、2017年12退休1人，由机关养老保险局发放工资）。</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p>
    <w:p>
      <w:pPr>
        <w:pStyle w:val="2"/>
        <w:ind w:firstLine="640" w:firstLineChars="200"/>
      </w:pPr>
      <w:r>
        <w:rPr>
          <w:rFonts w:hint="eastAsia" w:ascii="仿宋" w:hAnsi="仿宋" w:eastAsia="仿宋"/>
          <w:color w:val="000000"/>
          <w:sz w:val="32"/>
          <w:szCs w:val="32"/>
        </w:rPr>
        <w:t>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年本单位本年收入合计</w:t>
      </w:r>
      <w:r>
        <w:rPr>
          <w:rFonts w:hint="eastAsia" w:ascii="仿宋_GB2312" w:eastAsia="仿宋_GB2312"/>
          <w:sz w:val="32"/>
          <w:szCs w:val="32"/>
          <w:lang w:val="en-US" w:eastAsia="zh-CN"/>
        </w:rPr>
        <w:t>1090.36</w:t>
      </w:r>
      <w:r>
        <w:rPr>
          <w:rFonts w:hint="eastAsia" w:ascii="仿宋" w:hAnsi="仿宋" w:eastAsia="仿宋"/>
          <w:color w:val="000000"/>
          <w:sz w:val="32"/>
          <w:szCs w:val="32"/>
        </w:rPr>
        <w:t>万元，其中：财政拨款收入</w:t>
      </w:r>
      <w:r>
        <w:rPr>
          <w:rFonts w:hint="eastAsia" w:ascii="仿宋_GB2312" w:eastAsia="仿宋_GB2312"/>
          <w:sz w:val="32"/>
          <w:szCs w:val="32"/>
          <w:lang w:val="en-US" w:eastAsia="zh-CN"/>
        </w:rPr>
        <w:t>1090.36</w:t>
      </w:r>
      <w:r>
        <w:rPr>
          <w:rFonts w:hint="eastAsia" w:ascii="仿宋" w:hAnsi="仿宋" w:eastAsia="仿宋"/>
          <w:color w:val="000000"/>
          <w:sz w:val="32"/>
          <w:szCs w:val="32"/>
        </w:rPr>
        <w:t>万元，占总收入100%；</w:t>
      </w:r>
    </w:p>
    <w:p>
      <w:pPr>
        <w:numPr>
          <w:ilvl w:val="0"/>
          <w:numId w:val="8"/>
        </w:numPr>
        <w:spacing w:line="580" w:lineRule="exact"/>
        <w:ind w:left="0" w:leftChars="0" w:firstLine="640" w:firstLineChars="200"/>
        <w:rPr>
          <w:rFonts w:ascii="仿宋" w:hAnsi="仿宋" w:eastAsia="仿宋" w:cs="仿宋_GB2312"/>
          <w:sz w:val="32"/>
          <w:szCs w:val="32"/>
        </w:rPr>
      </w:pPr>
      <w:r>
        <w:rPr>
          <w:rFonts w:ascii="仿宋" w:hAnsi="仿宋" w:eastAsia="仿宋" w:cs="仿宋_GB2312"/>
          <w:sz w:val="32"/>
          <w:szCs w:val="32"/>
        </w:rPr>
        <w:t>部门财政资金支出情况。</w:t>
      </w:r>
    </w:p>
    <w:p>
      <w:pPr>
        <w:pStyle w:val="2"/>
        <w:numPr>
          <w:ilvl w:val="0"/>
          <w:numId w:val="0"/>
        </w:numPr>
        <w:ind w:firstLine="640" w:firstLineChars="200"/>
      </w:pPr>
      <w:r>
        <w:rPr>
          <w:rFonts w:hint="eastAsia" w:ascii="仿宋" w:hAnsi="仿宋" w:eastAsia="仿宋"/>
          <w:color w:val="000000"/>
          <w:sz w:val="32"/>
          <w:szCs w:val="32"/>
        </w:rPr>
        <w:t>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年本单位本年支出合计</w:t>
      </w:r>
      <w:r>
        <w:rPr>
          <w:rFonts w:hint="eastAsia" w:ascii="仿宋" w:hAnsi="仿宋" w:eastAsia="仿宋"/>
          <w:color w:val="000000"/>
          <w:sz w:val="32"/>
          <w:szCs w:val="32"/>
          <w:lang w:val="en-US" w:eastAsia="zh-CN"/>
        </w:rPr>
        <w:t>1287.39</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969.29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75.29</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318.10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24.71</w:t>
      </w:r>
      <w:r>
        <w:rPr>
          <w:rFonts w:hint="eastAsia" w:ascii="仿宋" w:hAnsi="仿宋" w:eastAsia="仿宋"/>
          <w:color w:val="000000"/>
          <w:sz w:val="32"/>
          <w:szCs w:val="32"/>
        </w:rPr>
        <w:t>%</w:t>
      </w:r>
      <w:r>
        <w:rPr>
          <w:rFonts w:hint="eastAsia" w:ascii="仿宋" w:hAnsi="仿宋" w:eastAsia="仿宋"/>
          <w:color w:val="000000"/>
          <w:sz w:val="32"/>
          <w:szCs w:val="32"/>
          <w:lang w:eastAsia="zh-CN"/>
        </w:rPr>
        <w:t>。</w:t>
      </w:r>
    </w:p>
    <w:p>
      <w:pPr>
        <w:numPr>
          <w:ilvl w:val="0"/>
          <w:numId w:val="0"/>
        </w:num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lang w:eastAsia="zh-CN"/>
        </w:rPr>
        <w:t>三、</w:t>
      </w:r>
      <w:r>
        <w:rPr>
          <w:rFonts w:ascii="黑体" w:hAnsi="黑体" w:eastAsia="黑体" w:cs="黑体"/>
          <w:sz w:val="32"/>
          <w:szCs w:val="32"/>
        </w:rPr>
        <w:t>部门整体预算绩效管理情况（根据适用指标体系进行调整）</w:t>
      </w:r>
    </w:p>
    <w:p>
      <w:pPr>
        <w:pStyle w:val="2"/>
        <w:numPr>
          <w:ilvl w:val="0"/>
          <w:numId w:val="9"/>
        </w:num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部门预算管理。</w:t>
      </w:r>
    </w:p>
    <w:p>
      <w:pPr>
        <w:pStyle w:val="2"/>
        <w:numPr>
          <w:ilvl w:val="0"/>
          <w:numId w:val="0"/>
        </w:num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2018年区</w:t>
      </w:r>
      <w:r>
        <w:rPr>
          <w:rFonts w:hint="eastAsia" w:hAnsi="仿宋"/>
          <w:color w:val="000000"/>
          <w:sz w:val="32"/>
          <w:szCs w:val="32"/>
          <w:lang w:eastAsia="zh-CN"/>
        </w:rPr>
        <w:t>政府办</w:t>
      </w:r>
      <w:r>
        <w:rPr>
          <w:rFonts w:hint="eastAsia" w:ascii="仿宋" w:hAnsi="仿宋" w:eastAsia="仿宋"/>
          <w:color w:val="000000"/>
          <w:sz w:val="32"/>
          <w:szCs w:val="32"/>
        </w:rPr>
        <w:t>部门整体支出资金绩效评价总体良好，主要体现在：预算编制及时，认真执行各项财经纪律，财务管理内控制度健全，资金使用规范，无乱发津补贴、奖金现象。</w:t>
      </w:r>
      <w:r>
        <w:rPr>
          <w:rFonts w:hint="eastAsia" w:ascii="仿宋" w:hAnsi="仿宋" w:eastAsia="仿宋"/>
          <w:color w:val="000000"/>
          <w:sz w:val="32"/>
          <w:szCs w:val="32"/>
        </w:rPr>
        <w:br w:type="textWrapping"/>
      </w:r>
      <w:r>
        <w:rPr>
          <w:rFonts w:hint="eastAsia" w:hAnsi="仿宋"/>
          <w:color w:val="000000"/>
          <w:sz w:val="32"/>
          <w:szCs w:val="32"/>
          <w:lang w:val="en-US" w:eastAsia="zh-CN"/>
        </w:rPr>
        <w:t xml:space="preserve">    </w:t>
      </w:r>
      <w:r>
        <w:rPr>
          <w:rFonts w:hint="eastAsia" w:ascii="仿宋" w:hAnsi="仿宋" w:eastAsia="仿宋"/>
          <w:color w:val="000000"/>
          <w:sz w:val="32"/>
          <w:szCs w:val="32"/>
        </w:rPr>
        <w:t>（二）专项预算管理。</w:t>
      </w:r>
      <w:r>
        <w:rPr>
          <w:rFonts w:hint="eastAsia" w:ascii="仿宋" w:hAnsi="仿宋" w:eastAsia="仿宋"/>
          <w:color w:val="000000"/>
          <w:sz w:val="32"/>
          <w:szCs w:val="32"/>
        </w:rPr>
        <w:br w:type="textWrapping"/>
      </w:r>
      <w:r>
        <w:rPr>
          <w:rFonts w:hint="eastAsia" w:hAnsi="仿宋"/>
          <w:color w:val="000000"/>
          <w:sz w:val="32"/>
          <w:szCs w:val="32"/>
          <w:lang w:val="en-US" w:eastAsia="zh-CN"/>
        </w:rPr>
        <w:t xml:space="preserve">    </w:t>
      </w:r>
      <w:r>
        <w:rPr>
          <w:rFonts w:hint="eastAsia" w:ascii="仿宋" w:hAnsi="仿宋" w:eastAsia="仿宋"/>
          <w:color w:val="000000"/>
          <w:sz w:val="32"/>
          <w:szCs w:val="32"/>
        </w:rPr>
        <w:t>我</w:t>
      </w:r>
      <w:r>
        <w:rPr>
          <w:rFonts w:hint="eastAsia" w:hAnsi="仿宋"/>
          <w:color w:val="000000"/>
          <w:sz w:val="32"/>
          <w:szCs w:val="32"/>
          <w:lang w:eastAsia="zh-CN"/>
        </w:rPr>
        <w:t>办</w:t>
      </w:r>
      <w:r>
        <w:rPr>
          <w:rFonts w:hint="eastAsia" w:ascii="仿宋" w:hAnsi="仿宋" w:eastAsia="仿宋"/>
          <w:color w:val="000000"/>
          <w:sz w:val="32"/>
          <w:szCs w:val="32"/>
        </w:rPr>
        <w:t>专项资金按照文件规定申请申报；所提交的文件、材料符合相关要求，事前经过了内部控制领导小组审核，分管财务领导审核、</w:t>
      </w:r>
      <w:r>
        <w:rPr>
          <w:rFonts w:hint="eastAsia" w:hAnsi="仿宋"/>
          <w:color w:val="000000"/>
          <w:sz w:val="32"/>
          <w:szCs w:val="32"/>
          <w:lang w:eastAsia="zh-CN"/>
        </w:rPr>
        <w:t>主任</w:t>
      </w:r>
      <w:r>
        <w:rPr>
          <w:rFonts w:hint="eastAsia" w:ascii="仿宋" w:hAnsi="仿宋" w:eastAsia="仿宋"/>
          <w:color w:val="000000"/>
          <w:sz w:val="32"/>
          <w:szCs w:val="32"/>
        </w:rPr>
        <w:t>审批，并达到预期效果。同时，我</w:t>
      </w:r>
      <w:r>
        <w:rPr>
          <w:rFonts w:hint="eastAsia" w:hAnsi="仿宋"/>
          <w:color w:val="000000"/>
          <w:sz w:val="32"/>
          <w:szCs w:val="32"/>
          <w:lang w:eastAsia="zh-CN"/>
        </w:rPr>
        <w:t>办</w:t>
      </w:r>
      <w:r>
        <w:rPr>
          <w:rFonts w:hint="eastAsia" w:ascii="仿宋" w:hAnsi="仿宋" w:eastAsia="仿宋"/>
          <w:color w:val="000000"/>
          <w:sz w:val="32"/>
          <w:szCs w:val="32"/>
        </w:rPr>
        <w:t>严格按照上级部门及本级财政专项工作资金的相关规定办法进行开支，做到专款专用，无挪用、占用、套取的现象发生。</w:t>
      </w:r>
      <w:r>
        <w:rPr>
          <w:rFonts w:hint="eastAsia" w:ascii="仿宋" w:hAnsi="仿宋" w:eastAsia="仿宋"/>
          <w:color w:val="000000"/>
          <w:sz w:val="32"/>
          <w:szCs w:val="32"/>
        </w:rPr>
        <w:br w:type="textWrapping"/>
      </w:r>
      <w:r>
        <w:rPr>
          <w:rFonts w:hint="eastAsia" w:hAnsi="仿宋"/>
          <w:color w:val="000000"/>
          <w:sz w:val="32"/>
          <w:szCs w:val="32"/>
          <w:lang w:val="en-US" w:eastAsia="zh-CN"/>
        </w:rPr>
        <w:t xml:space="preserve">    </w:t>
      </w:r>
      <w:r>
        <w:rPr>
          <w:rFonts w:hint="eastAsia" w:ascii="仿宋" w:hAnsi="仿宋" w:eastAsia="仿宋"/>
          <w:color w:val="000000"/>
          <w:sz w:val="32"/>
          <w:szCs w:val="32"/>
        </w:rPr>
        <w:t>（三）结果应用情况。</w:t>
      </w:r>
      <w:r>
        <w:rPr>
          <w:rFonts w:hint="eastAsia" w:ascii="仿宋" w:hAnsi="仿宋" w:eastAsia="仿宋"/>
          <w:color w:val="000000"/>
          <w:sz w:val="32"/>
          <w:szCs w:val="32"/>
        </w:rPr>
        <w:br w:type="textWrapping"/>
      </w:r>
      <w:r>
        <w:rPr>
          <w:rFonts w:hint="eastAsia" w:hAnsi="仿宋"/>
          <w:color w:val="000000"/>
          <w:sz w:val="32"/>
          <w:szCs w:val="32"/>
          <w:lang w:val="en-US" w:eastAsia="zh-CN"/>
        </w:rPr>
        <w:t xml:space="preserve">    </w:t>
      </w:r>
      <w:r>
        <w:rPr>
          <w:rFonts w:hint="eastAsia" w:ascii="仿宋" w:hAnsi="仿宋" w:eastAsia="仿宋"/>
          <w:color w:val="000000"/>
          <w:sz w:val="32"/>
          <w:szCs w:val="32"/>
        </w:rPr>
        <w:t>根据自评结果，2018年度部门整体预算绩效质量好，既保障了本单位职工正常办公和</w:t>
      </w:r>
      <w:r>
        <w:rPr>
          <w:rFonts w:hint="eastAsia" w:hAnsi="仿宋"/>
          <w:color w:val="000000"/>
          <w:sz w:val="32"/>
          <w:szCs w:val="32"/>
          <w:lang w:eastAsia="zh-CN"/>
        </w:rPr>
        <w:t>工作</w:t>
      </w:r>
      <w:r>
        <w:rPr>
          <w:rFonts w:hint="eastAsia" w:ascii="仿宋" w:hAnsi="仿宋" w:eastAsia="仿宋"/>
          <w:color w:val="000000"/>
          <w:sz w:val="32"/>
          <w:szCs w:val="32"/>
        </w:rPr>
        <w:t>秩序，工资薪金正常发放，又顺利完成各项</w:t>
      </w:r>
      <w:r>
        <w:rPr>
          <w:rFonts w:hint="eastAsia" w:hAnsi="仿宋"/>
          <w:color w:val="000000"/>
          <w:sz w:val="32"/>
          <w:szCs w:val="32"/>
          <w:lang w:eastAsia="zh-CN"/>
        </w:rPr>
        <w:t>专项</w:t>
      </w:r>
      <w:r>
        <w:rPr>
          <w:rFonts w:hint="eastAsia" w:ascii="仿宋" w:hAnsi="仿宋" w:eastAsia="仿宋"/>
          <w:color w:val="000000"/>
          <w:sz w:val="32"/>
          <w:szCs w:val="32"/>
        </w:rPr>
        <w:t>工作任务，同时严肃预算管理，保障各项工作顺利开展，严格履行法定职责，圆满完成了区委、区政府部署的工作任务，准确评价了各项指标的完成情况，</w:t>
      </w:r>
      <w:r>
        <w:rPr>
          <w:rFonts w:hint="eastAsia" w:hAnsi="仿宋"/>
          <w:color w:val="000000"/>
          <w:sz w:val="32"/>
          <w:szCs w:val="32"/>
          <w:lang w:eastAsia="zh-CN"/>
        </w:rPr>
        <w:t>管理服务对象和</w:t>
      </w:r>
      <w:r>
        <w:rPr>
          <w:rFonts w:hint="eastAsia" w:ascii="仿宋" w:hAnsi="仿宋" w:eastAsia="仿宋"/>
          <w:color w:val="000000"/>
          <w:sz w:val="32"/>
          <w:szCs w:val="32"/>
        </w:rPr>
        <w:t>群众满意度高。</w:t>
      </w:r>
      <w:r>
        <w:rPr>
          <w:rFonts w:hint="eastAsia" w:ascii="仿宋" w:hAnsi="仿宋" w:eastAsia="仿宋"/>
          <w:color w:val="000000"/>
          <w:sz w:val="32"/>
          <w:szCs w:val="32"/>
        </w:rPr>
        <w:br w:type="textWrapping"/>
      </w:r>
      <w:r>
        <w:rPr>
          <w:rFonts w:hint="eastAsia" w:hAnsi="仿宋"/>
          <w:color w:val="000000"/>
          <w:sz w:val="32"/>
          <w:szCs w:val="32"/>
          <w:lang w:val="en-US" w:eastAsia="zh-CN"/>
        </w:rPr>
        <w:t xml:space="preserve">    </w:t>
      </w:r>
      <w:r>
        <w:rPr>
          <w:rFonts w:hint="eastAsia" w:ascii="黑体" w:hAnsi="黑体" w:eastAsia="黑体" w:cs="黑体"/>
          <w:color w:val="auto"/>
          <w:kern w:val="2"/>
          <w:sz w:val="32"/>
          <w:szCs w:val="32"/>
          <w:lang w:val="en-US" w:eastAsia="zh-CN" w:bidi="ar-SA"/>
        </w:rPr>
        <w:t>四、评价结论及建议</w:t>
      </w:r>
      <w:r>
        <w:rPr>
          <w:rFonts w:hint="eastAsia" w:ascii="仿宋" w:hAnsi="仿宋" w:eastAsia="仿宋"/>
          <w:color w:val="000000"/>
          <w:sz w:val="32"/>
          <w:szCs w:val="32"/>
        </w:rPr>
        <w:br w:type="textWrapping"/>
      </w:r>
      <w:r>
        <w:rPr>
          <w:rFonts w:hint="eastAsia" w:hAnsi="仿宋"/>
          <w:color w:val="000000"/>
          <w:sz w:val="32"/>
          <w:szCs w:val="32"/>
          <w:lang w:val="en-US" w:eastAsia="zh-CN"/>
        </w:rPr>
        <w:t xml:space="preserve">    </w:t>
      </w:r>
      <w:r>
        <w:rPr>
          <w:rFonts w:hint="eastAsia" w:ascii="仿宋" w:hAnsi="仿宋" w:eastAsia="仿宋"/>
          <w:color w:val="000000"/>
          <w:sz w:val="32"/>
          <w:szCs w:val="32"/>
        </w:rPr>
        <w:t>（一）评价结论。</w:t>
      </w:r>
    </w:p>
    <w:p>
      <w:pPr>
        <w:pStyle w:val="2"/>
        <w:numPr>
          <w:ilvl w:val="0"/>
          <w:numId w:val="0"/>
        </w:numPr>
        <w:ind w:firstLine="640" w:firstLineChars="200"/>
        <w:rPr>
          <w:rFonts w:ascii="仿宋" w:hAnsi="仿宋" w:eastAsia="仿宋" w:cs="仿宋_GB2312"/>
          <w:sz w:val="32"/>
          <w:szCs w:val="32"/>
        </w:rPr>
      </w:pPr>
      <w:r>
        <w:rPr>
          <w:rFonts w:hint="eastAsia" w:ascii="仿宋_GB2312" w:hAnsi="仿宋_GB2312" w:eastAsia="仿宋_GB2312" w:cs="仿宋_GB2312"/>
          <w:sz w:val="32"/>
          <w:szCs w:val="32"/>
        </w:rPr>
        <w:t>按照预算绩效管理要求，本部门对2018年整体支出开展了绩效自评，自评得分9</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分。</w:t>
      </w:r>
      <w:r>
        <w:rPr>
          <w:rFonts w:hint="eastAsia" w:ascii="仿宋" w:hAnsi="仿宋" w:eastAsia="仿宋"/>
          <w:color w:val="000000"/>
          <w:sz w:val="32"/>
          <w:szCs w:val="32"/>
        </w:rPr>
        <w:t>2018年度，本部门在部门绩效目标制定、目标完成、预算编制准确、支出控制、预算动态调整、执行进度、预算完成都严格按照各项制度和规定按时保质完成，无任何违规记录。及时、准确、优质地完成了预算编制；预算执行情况良好，支出管理规范，资金管理制度较为完善，会计核算和账务处理规范，会计资料完整。</w:t>
      </w:r>
      <w:r>
        <w:rPr>
          <w:rFonts w:hint="eastAsia" w:ascii="仿宋" w:hAnsi="仿宋" w:eastAsia="仿宋"/>
          <w:color w:val="000000"/>
          <w:sz w:val="32"/>
          <w:szCs w:val="32"/>
        </w:rPr>
        <w:br w:type="textWrapping"/>
      </w:r>
      <w:r>
        <w:rPr>
          <w:rFonts w:hint="eastAsia" w:hAnsi="仿宋"/>
          <w:color w:val="000000"/>
          <w:sz w:val="32"/>
          <w:szCs w:val="32"/>
          <w:lang w:val="en-US" w:eastAsia="zh-CN"/>
        </w:rPr>
        <w:t xml:space="preserve">    </w:t>
      </w:r>
      <w:r>
        <w:rPr>
          <w:rFonts w:hint="eastAsia" w:ascii="仿宋" w:hAnsi="仿宋" w:eastAsia="仿宋"/>
          <w:color w:val="000000"/>
          <w:sz w:val="32"/>
          <w:szCs w:val="32"/>
        </w:rPr>
        <w:t>（二）存在问题。</w:t>
      </w:r>
      <w:r>
        <w:rPr>
          <w:rFonts w:hint="eastAsia" w:ascii="仿宋" w:hAnsi="仿宋" w:eastAsia="仿宋"/>
          <w:color w:val="000000"/>
          <w:sz w:val="32"/>
          <w:szCs w:val="32"/>
        </w:rPr>
        <w:br w:type="textWrapping"/>
      </w:r>
      <w:r>
        <w:rPr>
          <w:rFonts w:hint="eastAsia" w:hAnsi="仿宋"/>
          <w:color w:val="000000"/>
          <w:sz w:val="32"/>
          <w:szCs w:val="32"/>
          <w:lang w:val="en-US" w:eastAsia="zh-CN"/>
        </w:rPr>
        <w:t xml:space="preserve">    </w:t>
      </w:r>
      <w:r>
        <w:rPr>
          <w:rFonts w:hint="eastAsia" w:ascii="仿宋_GB2312" w:hAnsi="仿宋_GB2312" w:eastAsia="仿宋_GB2312" w:cs="仿宋_GB2312"/>
          <w:sz w:val="32"/>
          <w:szCs w:val="32"/>
        </w:rPr>
        <w:t>一是绩效指标设置还不够具体和合理，导致绩效监控效果不佳。二是在绩效管理工作中创新不够，方法和制度上都还有待进一步加强。</w:t>
      </w:r>
      <w:r>
        <w:rPr>
          <w:rFonts w:hint="eastAsia" w:ascii="仿宋_GB2312" w:hAnsi="仿宋_GB2312" w:eastAsia="仿宋_GB2312" w:cs="仿宋_GB2312"/>
          <w:sz w:val="32"/>
          <w:szCs w:val="32"/>
          <w:lang w:eastAsia="zh-CN"/>
        </w:rPr>
        <w:t>三是</w:t>
      </w:r>
      <w:r>
        <w:rPr>
          <w:rFonts w:hint="eastAsia" w:ascii="仿宋" w:hAnsi="仿宋" w:eastAsia="仿宋"/>
          <w:color w:val="000000"/>
          <w:sz w:val="32"/>
          <w:szCs w:val="32"/>
        </w:rPr>
        <w:t>预算编制的</w:t>
      </w:r>
      <w:r>
        <w:rPr>
          <w:rFonts w:hint="eastAsia" w:hAnsi="仿宋"/>
          <w:color w:val="000000"/>
          <w:sz w:val="32"/>
          <w:szCs w:val="32"/>
          <w:lang w:eastAsia="zh-CN"/>
        </w:rPr>
        <w:t>全面性、</w:t>
      </w:r>
      <w:r>
        <w:rPr>
          <w:rFonts w:hint="eastAsia" w:ascii="仿宋" w:hAnsi="仿宋" w:eastAsia="仿宋"/>
          <w:color w:val="000000"/>
          <w:sz w:val="32"/>
          <w:szCs w:val="32"/>
        </w:rPr>
        <w:t>科学性、合理性、严谨性和可控性</w:t>
      </w:r>
      <w:r>
        <w:rPr>
          <w:rFonts w:hint="eastAsia" w:hAnsi="仿宋"/>
          <w:color w:val="000000"/>
          <w:sz w:val="32"/>
          <w:szCs w:val="32"/>
          <w:lang w:eastAsia="zh-CN"/>
        </w:rPr>
        <w:t>还在待于加强</w:t>
      </w:r>
      <w:r>
        <w:rPr>
          <w:rFonts w:hint="eastAsia" w:ascii="仿宋" w:hAnsi="仿宋" w:eastAsia="仿宋"/>
          <w:color w:val="000000"/>
          <w:sz w:val="32"/>
          <w:szCs w:val="32"/>
        </w:rPr>
        <w:t>。</w:t>
      </w:r>
      <w:r>
        <w:rPr>
          <w:rFonts w:hint="eastAsia" w:ascii="仿宋" w:hAnsi="仿宋" w:eastAsia="仿宋"/>
          <w:color w:val="000000"/>
          <w:sz w:val="32"/>
          <w:szCs w:val="32"/>
        </w:rPr>
        <w:br w:type="textWrapping"/>
      </w:r>
      <w:r>
        <w:rPr>
          <w:rFonts w:hint="eastAsia" w:hAnsi="仿宋"/>
          <w:color w:val="000000"/>
          <w:sz w:val="32"/>
          <w:szCs w:val="32"/>
          <w:lang w:val="en-US" w:eastAsia="zh-CN"/>
        </w:rPr>
        <w:t xml:space="preserve">    </w:t>
      </w:r>
      <w:r>
        <w:rPr>
          <w:rFonts w:hint="eastAsia" w:ascii="仿宋" w:hAnsi="仿宋" w:eastAsia="仿宋"/>
          <w:color w:val="000000"/>
          <w:sz w:val="32"/>
          <w:szCs w:val="32"/>
        </w:rPr>
        <w:t>（三）改进建议。</w:t>
      </w:r>
      <w:r>
        <w:rPr>
          <w:rFonts w:hint="eastAsia" w:ascii="仿宋" w:hAnsi="仿宋" w:eastAsia="仿宋"/>
          <w:color w:val="000000"/>
          <w:sz w:val="32"/>
          <w:szCs w:val="32"/>
        </w:rPr>
        <w:br w:type="textWrapping"/>
      </w:r>
      <w:r>
        <w:rPr>
          <w:rFonts w:hint="eastAsia" w:hAnsi="仿宋"/>
          <w:color w:val="000000"/>
          <w:sz w:val="32"/>
          <w:szCs w:val="32"/>
          <w:lang w:val="en-US" w:eastAsia="zh-CN"/>
        </w:rPr>
        <w:t xml:space="preserve">    </w:t>
      </w:r>
      <w:r>
        <w:rPr>
          <w:rFonts w:hint="eastAsia" w:ascii="仿宋_GB2312" w:hAnsi="仿宋_GB2312" w:eastAsia="仿宋_GB2312" w:cs="仿宋_GB2312"/>
          <w:sz w:val="32"/>
          <w:szCs w:val="32"/>
        </w:rPr>
        <w:t>一是严格预算编制，根据目标任务设置科学合理的绩效考评指标，做到细化精确，使综合绩效评价达到最佳的效果。二是严格落实专项经费使用管理规定，做到专款专用。三是不断改进工作方法，提高可持续发展力。</w:t>
      </w:r>
    </w:p>
    <w:p>
      <w:pPr>
        <w:spacing w:line="600" w:lineRule="exact"/>
        <w:jc w:val="center"/>
        <w:outlineLvl w:val="0"/>
        <w:rPr>
          <w:rFonts w:ascii="方正小标宋简体" w:hAnsi="黑体" w:eastAsia="方正小标宋简体"/>
          <w:bCs/>
          <w:kern w:val="44"/>
          <w:sz w:val="32"/>
          <w:szCs w:val="32"/>
        </w:rPr>
      </w:pPr>
      <w:r>
        <w:rPr>
          <w:rFonts w:hint="eastAsia" w:ascii="黑体" w:hAnsi="黑体" w:eastAsia="黑体"/>
          <w:color w:val="000000"/>
          <w:sz w:val="32"/>
          <w:szCs w:val="32"/>
        </w:rPr>
        <w:t>2018年部门整体支出绩效评价情况表</w:t>
      </w:r>
    </w:p>
    <w:tbl>
      <w:tblPr>
        <w:tblStyle w:val="13"/>
        <w:tblW w:w="8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2664"/>
        <w:gridCol w:w="3987"/>
        <w:gridCol w:w="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436" w:type="dxa"/>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一级指标</w:t>
            </w:r>
          </w:p>
        </w:tc>
        <w:tc>
          <w:tcPr>
            <w:tcW w:w="2664" w:type="dxa"/>
            <w:tcBorders>
              <w:bottom w:val="single" w:color="auto" w:sz="4"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二级指标</w:t>
            </w:r>
          </w:p>
        </w:tc>
        <w:tc>
          <w:tcPr>
            <w:tcW w:w="3987" w:type="dxa"/>
            <w:tcBorders>
              <w:bottom w:val="single" w:color="auto" w:sz="4"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三级指标</w:t>
            </w:r>
          </w:p>
        </w:tc>
        <w:tc>
          <w:tcPr>
            <w:tcW w:w="730" w:type="dxa"/>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436" w:type="dxa"/>
            <w:vMerge w:val="restart"/>
            <w:vAlign w:val="center"/>
          </w:tcPr>
          <w:p>
            <w:pPr>
              <w:widowControl/>
              <w:rPr>
                <w:rFonts w:ascii="宋体" w:hAnsi="宋体" w:cs="宋体"/>
                <w:color w:val="000000"/>
                <w:kern w:val="0"/>
                <w:sz w:val="22"/>
                <w:szCs w:val="21"/>
              </w:rPr>
            </w:pPr>
            <w:r>
              <w:rPr>
                <w:rFonts w:hint="eastAsia" w:ascii="宋体" w:hAnsi="宋体" w:cs="宋体"/>
                <w:color w:val="000000"/>
                <w:kern w:val="0"/>
                <w:sz w:val="22"/>
                <w:szCs w:val="21"/>
                <w:lang w:eastAsia="zh-CN"/>
              </w:rPr>
              <w:t>部</w:t>
            </w:r>
            <w:r>
              <w:rPr>
                <w:rFonts w:hint="eastAsia" w:ascii="宋体" w:hAnsi="宋体" w:cs="宋体"/>
                <w:color w:val="000000"/>
                <w:kern w:val="0"/>
                <w:sz w:val="22"/>
                <w:szCs w:val="21"/>
              </w:rPr>
              <w:t>门决策</w:t>
            </w:r>
          </w:p>
          <w:p>
            <w:pPr>
              <w:widowControl/>
              <w:rPr>
                <w:rFonts w:ascii="宋体" w:hAnsi="宋体" w:cs="宋体"/>
                <w:color w:val="000000"/>
                <w:kern w:val="0"/>
                <w:sz w:val="22"/>
                <w:szCs w:val="21"/>
              </w:rPr>
            </w:pPr>
            <w:r>
              <w:rPr>
                <w:rFonts w:hint="eastAsia" w:ascii="宋体" w:hAnsi="宋体" w:cs="宋体"/>
                <w:color w:val="000000"/>
                <w:kern w:val="0"/>
                <w:sz w:val="22"/>
                <w:szCs w:val="21"/>
              </w:rPr>
              <w:t>（25分）</w:t>
            </w:r>
          </w:p>
        </w:tc>
        <w:tc>
          <w:tcPr>
            <w:tcW w:w="2664" w:type="dxa"/>
            <w:vMerge w:val="restart"/>
            <w:tcBorders>
              <w:bottom w:val="nil"/>
            </w:tcBorders>
            <w:vAlign w:val="center"/>
          </w:tcPr>
          <w:p>
            <w:pPr>
              <w:widowControl/>
              <w:rPr>
                <w:rFonts w:ascii="宋体" w:hAnsi="宋体" w:cs="宋体"/>
                <w:color w:val="000000"/>
                <w:kern w:val="0"/>
                <w:sz w:val="22"/>
                <w:szCs w:val="21"/>
              </w:rPr>
            </w:pPr>
            <w:r>
              <w:rPr>
                <w:rFonts w:hint="eastAsia" w:ascii="宋体" w:hAnsi="宋体" w:cs="宋体"/>
                <w:color w:val="000000"/>
                <w:kern w:val="0"/>
                <w:sz w:val="22"/>
                <w:szCs w:val="21"/>
              </w:rPr>
              <w:t>目标任务（15分）</w:t>
            </w:r>
          </w:p>
        </w:tc>
        <w:tc>
          <w:tcPr>
            <w:tcW w:w="3987" w:type="dxa"/>
            <w:tcBorders>
              <w:bottom w:val="single" w:color="auto" w:sz="4" w:space="0"/>
            </w:tcBorders>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相关性（5分）</w:t>
            </w:r>
          </w:p>
        </w:tc>
        <w:tc>
          <w:tcPr>
            <w:tcW w:w="730" w:type="dxa"/>
          </w:tcPr>
          <w:p>
            <w:pPr>
              <w:widowControl/>
              <w:jc w:val="center"/>
              <w:rPr>
                <w:rFonts w:ascii="宋体" w:hAnsi="宋体" w:cs="宋体"/>
                <w:color w:val="000000"/>
                <w:kern w:val="0"/>
                <w:szCs w:val="21"/>
              </w:rPr>
            </w:pPr>
            <w:r>
              <w:rPr>
                <w:rFonts w:hint="eastAsia" w:ascii="宋体" w:hAnsi="宋体" w:cs="宋体"/>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36" w:type="dxa"/>
            <w:vMerge w:val="continue"/>
            <w:vAlign w:val="center"/>
          </w:tcPr>
          <w:p>
            <w:pPr>
              <w:widowControl/>
              <w:rPr>
                <w:rFonts w:ascii="宋体" w:hAnsi="宋体" w:cs="宋体"/>
                <w:color w:val="000000"/>
                <w:kern w:val="0"/>
                <w:sz w:val="22"/>
                <w:szCs w:val="21"/>
              </w:rPr>
            </w:pPr>
          </w:p>
        </w:tc>
        <w:tc>
          <w:tcPr>
            <w:tcW w:w="2664" w:type="dxa"/>
            <w:vMerge w:val="continue"/>
            <w:tcBorders>
              <w:top w:val="nil"/>
              <w:bottom w:val="nil"/>
            </w:tcBorders>
            <w:vAlign w:val="center"/>
          </w:tcPr>
          <w:p>
            <w:pPr>
              <w:widowControl/>
              <w:rPr>
                <w:rFonts w:ascii="宋体" w:hAnsi="宋体" w:cs="宋体"/>
                <w:color w:val="000000"/>
                <w:kern w:val="0"/>
                <w:sz w:val="22"/>
                <w:szCs w:val="21"/>
              </w:rPr>
            </w:pPr>
          </w:p>
        </w:tc>
        <w:tc>
          <w:tcPr>
            <w:tcW w:w="3987" w:type="dxa"/>
            <w:tcBorders>
              <w:top w:val="single" w:color="auto" w:sz="4" w:space="0"/>
              <w:bottom w:val="single" w:color="auto" w:sz="4" w:space="0"/>
            </w:tcBorders>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明确性（5分）</w:t>
            </w:r>
          </w:p>
        </w:tc>
        <w:tc>
          <w:tcPr>
            <w:tcW w:w="730" w:type="dxa"/>
          </w:tcPr>
          <w:p>
            <w:pPr>
              <w:widowControl/>
              <w:jc w:val="center"/>
              <w:rPr>
                <w:rFonts w:ascii="宋体" w:hAnsi="宋体" w:cs="宋体"/>
                <w:color w:val="000000"/>
                <w:kern w:val="0"/>
                <w:szCs w:val="21"/>
              </w:rPr>
            </w:pPr>
            <w:r>
              <w:rPr>
                <w:rFonts w:hint="eastAsia" w:ascii="宋体" w:hAnsi="宋体" w:cs="宋体"/>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1436" w:type="dxa"/>
            <w:vMerge w:val="continue"/>
            <w:vAlign w:val="center"/>
          </w:tcPr>
          <w:p>
            <w:pPr>
              <w:widowControl/>
              <w:rPr>
                <w:rFonts w:ascii="宋体" w:hAnsi="宋体" w:cs="宋体"/>
                <w:color w:val="000000"/>
                <w:kern w:val="0"/>
                <w:sz w:val="22"/>
                <w:szCs w:val="21"/>
              </w:rPr>
            </w:pPr>
          </w:p>
        </w:tc>
        <w:tc>
          <w:tcPr>
            <w:tcW w:w="2664" w:type="dxa"/>
            <w:vMerge w:val="continue"/>
            <w:tcBorders>
              <w:top w:val="nil"/>
            </w:tcBorders>
            <w:vAlign w:val="center"/>
          </w:tcPr>
          <w:p>
            <w:pPr>
              <w:widowControl/>
              <w:rPr>
                <w:rFonts w:ascii="宋体" w:hAnsi="宋体" w:cs="宋体"/>
                <w:color w:val="000000"/>
                <w:kern w:val="0"/>
                <w:sz w:val="22"/>
                <w:szCs w:val="21"/>
              </w:rPr>
            </w:pPr>
          </w:p>
        </w:tc>
        <w:tc>
          <w:tcPr>
            <w:tcW w:w="3987" w:type="dxa"/>
            <w:tcBorders>
              <w:top w:val="single" w:color="auto" w:sz="4" w:space="0"/>
            </w:tcBorders>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合理性（5分）</w:t>
            </w:r>
          </w:p>
        </w:tc>
        <w:tc>
          <w:tcPr>
            <w:tcW w:w="730" w:type="dxa"/>
          </w:tcPr>
          <w:p>
            <w:pPr>
              <w:widowControl/>
              <w:jc w:val="center"/>
              <w:rPr>
                <w:rFonts w:ascii="宋体" w:hAnsi="宋体" w:cs="宋体"/>
                <w:color w:val="000000"/>
                <w:kern w:val="0"/>
                <w:szCs w:val="21"/>
              </w:rPr>
            </w:pPr>
            <w:r>
              <w:rPr>
                <w:rFonts w:hint="eastAsia" w:ascii="宋体" w:hAnsi="宋体" w:cs="宋体"/>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1436" w:type="dxa"/>
            <w:vMerge w:val="continue"/>
            <w:vAlign w:val="center"/>
          </w:tcPr>
          <w:p>
            <w:pPr>
              <w:widowControl/>
              <w:jc w:val="center"/>
              <w:rPr>
                <w:rFonts w:ascii="宋体" w:hAnsi="宋体" w:cs="宋体"/>
                <w:color w:val="000000"/>
                <w:kern w:val="0"/>
                <w:sz w:val="22"/>
                <w:szCs w:val="21"/>
              </w:rPr>
            </w:pPr>
          </w:p>
        </w:tc>
        <w:tc>
          <w:tcPr>
            <w:tcW w:w="2664" w:type="dxa"/>
            <w:vMerge w:val="restart"/>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预算编制（10分）</w:t>
            </w:r>
          </w:p>
        </w:tc>
        <w:tc>
          <w:tcPr>
            <w:tcW w:w="3987" w:type="dxa"/>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测算依据（5分）</w:t>
            </w:r>
          </w:p>
        </w:tc>
        <w:tc>
          <w:tcPr>
            <w:tcW w:w="730" w:type="dxa"/>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436" w:type="dxa"/>
            <w:vMerge w:val="continue"/>
            <w:vAlign w:val="center"/>
          </w:tcPr>
          <w:p>
            <w:pPr>
              <w:widowControl/>
              <w:jc w:val="left"/>
              <w:rPr>
                <w:rFonts w:ascii="宋体" w:hAnsi="宋体" w:cs="宋体"/>
                <w:color w:val="000000"/>
                <w:kern w:val="0"/>
                <w:sz w:val="22"/>
                <w:szCs w:val="21"/>
              </w:rPr>
            </w:pPr>
          </w:p>
        </w:tc>
        <w:tc>
          <w:tcPr>
            <w:tcW w:w="2664" w:type="dxa"/>
            <w:vMerge w:val="continue"/>
            <w:vAlign w:val="center"/>
          </w:tcPr>
          <w:p>
            <w:pPr>
              <w:widowControl/>
              <w:spacing w:line="320" w:lineRule="exact"/>
              <w:jc w:val="left"/>
              <w:rPr>
                <w:rFonts w:ascii="宋体" w:hAnsi="宋体" w:cs="宋体"/>
                <w:color w:val="000000"/>
                <w:kern w:val="0"/>
                <w:sz w:val="22"/>
                <w:szCs w:val="21"/>
              </w:rPr>
            </w:pPr>
          </w:p>
        </w:tc>
        <w:tc>
          <w:tcPr>
            <w:tcW w:w="3987" w:type="dxa"/>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目标管理（5分）</w:t>
            </w:r>
          </w:p>
        </w:tc>
        <w:tc>
          <w:tcPr>
            <w:tcW w:w="730" w:type="dxa"/>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trPr>
        <w:tc>
          <w:tcPr>
            <w:tcW w:w="1436" w:type="dxa"/>
            <w:vMerge w:val="restart"/>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综合管理</w:t>
            </w:r>
          </w:p>
          <w:p>
            <w:pPr>
              <w:widowControl/>
              <w:jc w:val="center"/>
              <w:rPr>
                <w:rFonts w:ascii="宋体" w:hAnsi="宋体" w:cs="宋体"/>
                <w:color w:val="000000"/>
                <w:kern w:val="0"/>
                <w:sz w:val="22"/>
                <w:szCs w:val="21"/>
              </w:rPr>
            </w:pPr>
            <w:r>
              <w:rPr>
                <w:rFonts w:hint="eastAsia" w:ascii="宋体" w:hAnsi="宋体" w:cs="宋体"/>
                <w:color w:val="000000"/>
                <w:kern w:val="0"/>
                <w:sz w:val="22"/>
                <w:szCs w:val="21"/>
              </w:rPr>
              <w:t>（30分）</w:t>
            </w:r>
          </w:p>
        </w:tc>
        <w:tc>
          <w:tcPr>
            <w:tcW w:w="2664" w:type="dxa"/>
            <w:vMerge w:val="restart"/>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专项资金分配时限（2分）</w:t>
            </w:r>
          </w:p>
        </w:tc>
        <w:tc>
          <w:tcPr>
            <w:tcW w:w="3987" w:type="dxa"/>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本级财力专项预算分配时限（1分）</w:t>
            </w:r>
          </w:p>
        </w:tc>
        <w:tc>
          <w:tcPr>
            <w:tcW w:w="730" w:type="dxa"/>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1436" w:type="dxa"/>
            <w:vMerge w:val="continue"/>
            <w:vAlign w:val="center"/>
          </w:tcPr>
          <w:p>
            <w:pPr>
              <w:jc w:val="center"/>
              <w:rPr>
                <w:rFonts w:ascii="宋体" w:hAnsi="宋体" w:cs="宋体"/>
                <w:color w:val="000000"/>
                <w:kern w:val="0"/>
                <w:sz w:val="22"/>
                <w:szCs w:val="21"/>
              </w:rPr>
            </w:pPr>
          </w:p>
        </w:tc>
        <w:tc>
          <w:tcPr>
            <w:tcW w:w="2664" w:type="dxa"/>
            <w:vMerge w:val="continue"/>
            <w:vAlign w:val="center"/>
          </w:tcPr>
          <w:p>
            <w:pPr>
              <w:widowControl/>
              <w:spacing w:line="320" w:lineRule="exact"/>
              <w:jc w:val="left"/>
              <w:rPr>
                <w:rFonts w:ascii="宋体" w:hAnsi="宋体" w:cs="宋体"/>
                <w:color w:val="000000"/>
                <w:kern w:val="0"/>
                <w:sz w:val="22"/>
                <w:szCs w:val="21"/>
              </w:rPr>
            </w:pPr>
          </w:p>
        </w:tc>
        <w:tc>
          <w:tcPr>
            <w:tcW w:w="3987" w:type="dxa"/>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上级专款分配合规率（1分）</w:t>
            </w:r>
          </w:p>
        </w:tc>
        <w:tc>
          <w:tcPr>
            <w:tcW w:w="730" w:type="dxa"/>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436" w:type="dxa"/>
            <w:vMerge w:val="continue"/>
            <w:vAlign w:val="center"/>
          </w:tcPr>
          <w:p>
            <w:pPr>
              <w:jc w:val="center"/>
              <w:rPr>
                <w:rFonts w:ascii="宋体" w:hAnsi="宋体" w:cs="宋体"/>
                <w:color w:val="000000"/>
                <w:kern w:val="0"/>
                <w:sz w:val="22"/>
                <w:szCs w:val="21"/>
              </w:rPr>
            </w:pPr>
          </w:p>
        </w:tc>
        <w:tc>
          <w:tcPr>
            <w:tcW w:w="2664" w:type="dxa"/>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中期评估（2分）</w:t>
            </w:r>
          </w:p>
        </w:tc>
        <w:tc>
          <w:tcPr>
            <w:tcW w:w="3987" w:type="dxa"/>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执行中期评估（2分）</w:t>
            </w:r>
          </w:p>
        </w:tc>
        <w:tc>
          <w:tcPr>
            <w:tcW w:w="730" w:type="dxa"/>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436" w:type="dxa"/>
            <w:vMerge w:val="continue"/>
            <w:vAlign w:val="center"/>
          </w:tcPr>
          <w:p>
            <w:pPr>
              <w:jc w:val="center"/>
              <w:rPr>
                <w:rFonts w:ascii="宋体" w:hAnsi="宋体" w:cs="宋体"/>
                <w:color w:val="000000"/>
                <w:kern w:val="0"/>
                <w:sz w:val="22"/>
                <w:szCs w:val="21"/>
              </w:rPr>
            </w:pPr>
          </w:p>
        </w:tc>
        <w:tc>
          <w:tcPr>
            <w:tcW w:w="2664" w:type="dxa"/>
            <w:vMerge w:val="restart"/>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绩效监控（5分）</w:t>
            </w:r>
          </w:p>
        </w:tc>
        <w:tc>
          <w:tcPr>
            <w:tcW w:w="3987" w:type="dxa"/>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预算执行进度监控（2分）</w:t>
            </w:r>
          </w:p>
        </w:tc>
        <w:tc>
          <w:tcPr>
            <w:tcW w:w="730" w:type="dxa"/>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436" w:type="dxa"/>
            <w:vMerge w:val="continue"/>
            <w:vAlign w:val="center"/>
          </w:tcPr>
          <w:p>
            <w:pPr>
              <w:jc w:val="center"/>
              <w:rPr>
                <w:rFonts w:ascii="宋体" w:hAnsi="宋体" w:cs="宋体"/>
                <w:color w:val="000000"/>
                <w:kern w:val="0"/>
                <w:sz w:val="22"/>
                <w:szCs w:val="21"/>
              </w:rPr>
            </w:pPr>
          </w:p>
        </w:tc>
        <w:tc>
          <w:tcPr>
            <w:tcW w:w="2664" w:type="dxa"/>
            <w:vMerge w:val="continue"/>
            <w:vAlign w:val="center"/>
          </w:tcPr>
          <w:p>
            <w:pPr>
              <w:widowControl/>
              <w:spacing w:line="320" w:lineRule="exact"/>
              <w:jc w:val="left"/>
              <w:rPr>
                <w:rFonts w:ascii="宋体" w:hAnsi="宋体" w:cs="宋体"/>
                <w:color w:val="000000"/>
                <w:kern w:val="0"/>
                <w:sz w:val="22"/>
                <w:szCs w:val="21"/>
              </w:rPr>
            </w:pPr>
          </w:p>
        </w:tc>
        <w:tc>
          <w:tcPr>
            <w:tcW w:w="3987" w:type="dxa"/>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绩效目标动态监控（3分）</w:t>
            </w:r>
          </w:p>
        </w:tc>
        <w:tc>
          <w:tcPr>
            <w:tcW w:w="730" w:type="dxa"/>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436" w:type="dxa"/>
            <w:vMerge w:val="continue"/>
            <w:vAlign w:val="center"/>
          </w:tcPr>
          <w:p>
            <w:pPr>
              <w:jc w:val="center"/>
              <w:rPr>
                <w:rFonts w:ascii="宋体" w:hAnsi="宋体" w:cs="宋体"/>
                <w:color w:val="000000"/>
                <w:kern w:val="0"/>
                <w:sz w:val="22"/>
                <w:szCs w:val="21"/>
              </w:rPr>
            </w:pPr>
          </w:p>
        </w:tc>
        <w:tc>
          <w:tcPr>
            <w:tcW w:w="2664" w:type="dxa"/>
            <w:vMerge w:val="restart"/>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资产管理（6分）</w:t>
            </w:r>
          </w:p>
        </w:tc>
        <w:tc>
          <w:tcPr>
            <w:tcW w:w="3987" w:type="dxa"/>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资产管理信息化情况（2分）</w:t>
            </w:r>
          </w:p>
        </w:tc>
        <w:tc>
          <w:tcPr>
            <w:tcW w:w="730" w:type="dxa"/>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1436" w:type="dxa"/>
            <w:vMerge w:val="continue"/>
            <w:vAlign w:val="center"/>
          </w:tcPr>
          <w:p>
            <w:pPr>
              <w:jc w:val="center"/>
              <w:rPr>
                <w:rFonts w:ascii="宋体" w:hAnsi="宋体" w:cs="宋体"/>
                <w:color w:val="000000"/>
                <w:kern w:val="0"/>
                <w:sz w:val="22"/>
                <w:szCs w:val="21"/>
              </w:rPr>
            </w:pPr>
          </w:p>
        </w:tc>
        <w:tc>
          <w:tcPr>
            <w:tcW w:w="2664" w:type="dxa"/>
            <w:vMerge w:val="continue"/>
            <w:vAlign w:val="center"/>
          </w:tcPr>
          <w:p>
            <w:pPr>
              <w:widowControl/>
              <w:spacing w:line="320" w:lineRule="exact"/>
              <w:jc w:val="left"/>
              <w:rPr>
                <w:rFonts w:ascii="宋体" w:hAnsi="宋体" w:cs="宋体"/>
                <w:color w:val="000000"/>
                <w:kern w:val="0"/>
                <w:sz w:val="22"/>
                <w:szCs w:val="21"/>
              </w:rPr>
            </w:pPr>
          </w:p>
        </w:tc>
        <w:tc>
          <w:tcPr>
            <w:tcW w:w="3987" w:type="dxa"/>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行政事业单位资产报告情况（2分）</w:t>
            </w:r>
          </w:p>
        </w:tc>
        <w:tc>
          <w:tcPr>
            <w:tcW w:w="730" w:type="dxa"/>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436" w:type="dxa"/>
            <w:vMerge w:val="continue"/>
            <w:vAlign w:val="center"/>
          </w:tcPr>
          <w:p>
            <w:pPr>
              <w:jc w:val="center"/>
              <w:rPr>
                <w:rFonts w:ascii="宋体" w:hAnsi="宋体" w:cs="宋体"/>
                <w:color w:val="000000"/>
                <w:kern w:val="0"/>
                <w:sz w:val="22"/>
                <w:szCs w:val="21"/>
              </w:rPr>
            </w:pPr>
          </w:p>
        </w:tc>
        <w:tc>
          <w:tcPr>
            <w:tcW w:w="2664" w:type="dxa"/>
            <w:vMerge w:val="continue"/>
            <w:vAlign w:val="center"/>
          </w:tcPr>
          <w:p>
            <w:pPr>
              <w:widowControl/>
              <w:spacing w:line="320" w:lineRule="exact"/>
              <w:jc w:val="left"/>
              <w:rPr>
                <w:rFonts w:ascii="宋体" w:hAnsi="宋体" w:cs="宋体"/>
                <w:color w:val="000000"/>
                <w:kern w:val="0"/>
                <w:sz w:val="22"/>
                <w:szCs w:val="21"/>
              </w:rPr>
            </w:pPr>
          </w:p>
        </w:tc>
        <w:tc>
          <w:tcPr>
            <w:tcW w:w="3987" w:type="dxa"/>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资产管理与预算管理相结合（2分）</w:t>
            </w:r>
          </w:p>
        </w:tc>
        <w:tc>
          <w:tcPr>
            <w:tcW w:w="730" w:type="dxa"/>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436" w:type="dxa"/>
            <w:vMerge w:val="continue"/>
            <w:vAlign w:val="center"/>
          </w:tcPr>
          <w:p>
            <w:pPr>
              <w:widowControl/>
              <w:jc w:val="center"/>
              <w:rPr>
                <w:rFonts w:ascii="宋体" w:hAnsi="宋体" w:cs="宋体"/>
                <w:color w:val="000000"/>
                <w:kern w:val="0"/>
                <w:sz w:val="22"/>
                <w:szCs w:val="21"/>
              </w:rPr>
            </w:pPr>
          </w:p>
        </w:tc>
        <w:tc>
          <w:tcPr>
            <w:tcW w:w="2664" w:type="dxa"/>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内控制度管理（4分）</w:t>
            </w:r>
          </w:p>
        </w:tc>
        <w:tc>
          <w:tcPr>
            <w:tcW w:w="3987" w:type="dxa"/>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内部控制度健全完整（4分）</w:t>
            </w:r>
          </w:p>
        </w:tc>
        <w:tc>
          <w:tcPr>
            <w:tcW w:w="730" w:type="dxa"/>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1436" w:type="dxa"/>
            <w:vMerge w:val="continue"/>
            <w:vAlign w:val="center"/>
          </w:tcPr>
          <w:p>
            <w:pPr>
              <w:widowControl/>
              <w:jc w:val="left"/>
              <w:rPr>
                <w:rFonts w:ascii="宋体" w:hAnsi="宋体" w:cs="宋体"/>
                <w:color w:val="000000"/>
                <w:kern w:val="0"/>
                <w:sz w:val="22"/>
                <w:szCs w:val="21"/>
              </w:rPr>
            </w:pPr>
          </w:p>
        </w:tc>
        <w:tc>
          <w:tcPr>
            <w:tcW w:w="2664" w:type="dxa"/>
            <w:vMerge w:val="restart"/>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信息公开（6分）</w:t>
            </w:r>
          </w:p>
        </w:tc>
        <w:tc>
          <w:tcPr>
            <w:tcW w:w="3987" w:type="dxa"/>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预算公开（2分）</w:t>
            </w:r>
          </w:p>
        </w:tc>
        <w:tc>
          <w:tcPr>
            <w:tcW w:w="730" w:type="dxa"/>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436" w:type="dxa"/>
            <w:vMerge w:val="continue"/>
            <w:vAlign w:val="center"/>
          </w:tcPr>
          <w:p>
            <w:pPr>
              <w:widowControl/>
              <w:jc w:val="left"/>
              <w:rPr>
                <w:rFonts w:ascii="宋体" w:hAnsi="宋体" w:cs="宋体"/>
                <w:color w:val="000000"/>
                <w:kern w:val="0"/>
                <w:sz w:val="22"/>
                <w:szCs w:val="21"/>
              </w:rPr>
            </w:pPr>
          </w:p>
        </w:tc>
        <w:tc>
          <w:tcPr>
            <w:tcW w:w="2664" w:type="dxa"/>
            <w:vMerge w:val="continue"/>
            <w:vAlign w:val="center"/>
          </w:tcPr>
          <w:p>
            <w:pPr>
              <w:widowControl/>
              <w:spacing w:line="320" w:lineRule="exact"/>
              <w:jc w:val="left"/>
              <w:rPr>
                <w:rFonts w:ascii="宋体" w:hAnsi="宋体" w:cs="宋体"/>
                <w:color w:val="000000"/>
                <w:kern w:val="0"/>
                <w:sz w:val="22"/>
                <w:szCs w:val="21"/>
              </w:rPr>
            </w:pPr>
          </w:p>
        </w:tc>
        <w:tc>
          <w:tcPr>
            <w:tcW w:w="3987" w:type="dxa"/>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决算公开（2分）</w:t>
            </w:r>
          </w:p>
        </w:tc>
        <w:tc>
          <w:tcPr>
            <w:tcW w:w="730" w:type="dxa"/>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1436" w:type="dxa"/>
            <w:vMerge w:val="continue"/>
            <w:vAlign w:val="center"/>
          </w:tcPr>
          <w:p>
            <w:pPr>
              <w:widowControl/>
              <w:jc w:val="left"/>
              <w:rPr>
                <w:rFonts w:ascii="宋体" w:hAnsi="宋体" w:cs="宋体"/>
                <w:color w:val="000000"/>
                <w:kern w:val="0"/>
                <w:sz w:val="22"/>
                <w:szCs w:val="21"/>
              </w:rPr>
            </w:pPr>
          </w:p>
        </w:tc>
        <w:tc>
          <w:tcPr>
            <w:tcW w:w="2664" w:type="dxa"/>
            <w:vMerge w:val="continue"/>
            <w:vAlign w:val="center"/>
          </w:tcPr>
          <w:p>
            <w:pPr>
              <w:widowControl/>
              <w:spacing w:line="320" w:lineRule="exact"/>
              <w:jc w:val="left"/>
              <w:rPr>
                <w:rFonts w:ascii="宋体" w:hAnsi="宋体" w:cs="宋体"/>
                <w:color w:val="000000"/>
                <w:kern w:val="0"/>
                <w:sz w:val="22"/>
                <w:szCs w:val="21"/>
              </w:rPr>
            </w:pPr>
          </w:p>
        </w:tc>
        <w:tc>
          <w:tcPr>
            <w:tcW w:w="3987" w:type="dxa"/>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绩效信息公开（2分）</w:t>
            </w:r>
          </w:p>
        </w:tc>
        <w:tc>
          <w:tcPr>
            <w:tcW w:w="730" w:type="dxa"/>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436" w:type="dxa"/>
            <w:vMerge w:val="continue"/>
            <w:vAlign w:val="center"/>
          </w:tcPr>
          <w:p>
            <w:pPr>
              <w:widowControl/>
              <w:jc w:val="left"/>
              <w:rPr>
                <w:rFonts w:ascii="宋体" w:hAnsi="宋体" w:cs="宋体"/>
                <w:color w:val="000000"/>
                <w:kern w:val="0"/>
                <w:sz w:val="22"/>
                <w:szCs w:val="21"/>
              </w:rPr>
            </w:pPr>
          </w:p>
        </w:tc>
        <w:tc>
          <w:tcPr>
            <w:tcW w:w="2664" w:type="dxa"/>
            <w:vMerge w:val="restart"/>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绩效评价（5分）</w:t>
            </w:r>
          </w:p>
        </w:tc>
        <w:tc>
          <w:tcPr>
            <w:tcW w:w="3987" w:type="dxa"/>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绩效评价开展（2分）</w:t>
            </w:r>
          </w:p>
        </w:tc>
        <w:tc>
          <w:tcPr>
            <w:tcW w:w="730" w:type="dxa"/>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436" w:type="dxa"/>
            <w:vMerge w:val="continue"/>
            <w:vAlign w:val="center"/>
          </w:tcPr>
          <w:p>
            <w:pPr>
              <w:widowControl/>
              <w:jc w:val="left"/>
              <w:rPr>
                <w:rFonts w:ascii="宋体" w:hAnsi="宋体" w:cs="宋体"/>
                <w:color w:val="000000"/>
                <w:kern w:val="0"/>
                <w:sz w:val="22"/>
                <w:szCs w:val="21"/>
              </w:rPr>
            </w:pPr>
          </w:p>
        </w:tc>
        <w:tc>
          <w:tcPr>
            <w:tcW w:w="2664" w:type="dxa"/>
            <w:vMerge w:val="continue"/>
            <w:vAlign w:val="center"/>
          </w:tcPr>
          <w:p>
            <w:pPr>
              <w:widowControl/>
              <w:spacing w:line="320" w:lineRule="exact"/>
              <w:jc w:val="left"/>
              <w:rPr>
                <w:rFonts w:ascii="宋体" w:hAnsi="宋体" w:cs="宋体"/>
                <w:color w:val="000000"/>
                <w:kern w:val="0"/>
                <w:sz w:val="22"/>
                <w:szCs w:val="21"/>
              </w:rPr>
            </w:pPr>
          </w:p>
        </w:tc>
        <w:tc>
          <w:tcPr>
            <w:tcW w:w="3987" w:type="dxa"/>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评价结果应用（3分）</w:t>
            </w:r>
          </w:p>
        </w:tc>
        <w:tc>
          <w:tcPr>
            <w:tcW w:w="730" w:type="dxa"/>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1436" w:type="dxa"/>
            <w:vMerge w:val="restart"/>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部门绩效情况（45分）</w:t>
            </w:r>
          </w:p>
          <w:p>
            <w:pPr>
              <w:widowControl/>
              <w:jc w:val="center"/>
              <w:rPr>
                <w:rFonts w:ascii="宋体" w:hAnsi="宋体" w:cs="宋体"/>
                <w:color w:val="000000"/>
                <w:kern w:val="0"/>
                <w:sz w:val="22"/>
                <w:szCs w:val="21"/>
              </w:rPr>
            </w:pPr>
          </w:p>
        </w:tc>
        <w:tc>
          <w:tcPr>
            <w:tcW w:w="2664" w:type="dxa"/>
            <w:vMerge w:val="restart"/>
            <w:vAlign w:val="center"/>
          </w:tcPr>
          <w:p>
            <w:pPr>
              <w:widowControl/>
              <w:spacing w:line="320" w:lineRule="exact"/>
              <w:jc w:val="left"/>
              <w:rPr>
                <w:rFonts w:ascii="宋体" w:hAnsi="宋体" w:cs="宋体"/>
                <w:color w:val="000000"/>
                <w:kern w:val="0"/>
                <w:sz w:val="22"/>
                <w:szCs w:val="21"/>
              </w:rPr>
            </w:pPr>
          </w:p>
          <w:p>
            <w:pPr>
              <w:rPr>
                <w:sz w:val="22"/>
              </w:rPr>
            </w:pPr>
            <w:r>
              <w:rPr>
                <w:rFonts w:hint="eastAsia"/>
                <w:sz w:val="22"/>
              </w:rPr>
              <w:t>履职成效（25分）</w:t>
            </w:r>
          </w:p>
          <w:p>
            <w:pPr>
              <w:widowControl/>
              <w:spacing w:line="320" w:lineRule="exact"/>
              <w:jc w:val="left"/>
              <w:rPr>
                <w:rFonts w:ascii="宋体" w:hAnsi="宋体" w:cs="宋体"/>
                <w:color w:val="000000"/>
                <w:kern w:val="0"/>
                <w:sz w:val="22"/>
                <w:szCs w:val="21"/>
              </w:rPr>
            </w:pPr>
          </w:p>
          <w:p>
            <w:pPr>
              <w:widowControl/>
              <w:spacing w:line="320" w:lineRule="exact"/>
              <w:jc w:val="left"/>
              <w:rPr>
                <w:rFonts w:ascii="宋体" w:hAnsi="宋体" w:cs="宋体"/>
                <w:color w:val="000000"/>
                <w:kern w:val="0"/>
                <w:sz w:val="22"/>
                <w:szCs w:val="21"/>
              </w:rPr>
            </w:pPr>
          </w:p>
        </w:tc>
        <w:tc>
          <w:tcPr>
            <w:tcW w:w="3987" w:type="dxa"/>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lang w:eastAsia="zh-CN"/>
              </w:rPr>
              <w:t>文秘工作</w:t>
            </w:r>
            <w:r>
              <w:rPr>
                <w:rFonts w:hint="eastAsia" w:ascii="宋体" w:hAnsi="宋体" w:cs="宋体"/>
                <w:color w:val="000000"/>
                <w:kern w:val="0"/>
                <w:sz w:val="22"/>
                <w:szCs w:val="21"/>
              </w:rPr>
              <w:t>（</w:t>
            </w:r>
            <w:r>
              <w:rPr>
                <w:rFonts w:hint="eastAsia" w:ascii="宋体" w:hAnsi="宋体" w:cs="宋体"/>
                <w:color w:val="000000"/>
                <w:kern w:val="0"/>
                <w:sz w:val="22"/>
                <w:szCs w:val="21"/>
                <w:lang w:val="en-US" w:eastAsia="zh-CN"/>
              </w:rPr>
              <w:t>10</w:t>
            </w:r>
            <w:r>
              <w:rPr>
                <w:rFonts w:hint="eastAsia" w:ascii="宋体" w:hAnsi="宋体" w:cs="宋体"/>
                <w:color w:val="000000"/>
                <w:kern w:val="0"/>
                <w:sz w:val="22"/>
                <w:szCs w:val="21"/>
              </w:rPr>
              <w:t>分）</w:t>
            </w:r>
          </w:p>
        </w:tc>
        <w:tc>
          <w:tcPr>
            <w:tcW w:w="730" w:type="dxa"/>
          </w:tcPr>
          <w:p>
            <w:pPr>
              <w:widowControl/>
              <w:spacing w:line="320" w:lineRule="exact"/>
              <w:jc w:val="center"/>
              <w:rPr>
                <w:rFonts w:hint="default" w:ascii="宋体" w:hAnsi="宋体" w:eastAsia="宋体" w:cs="宋体"/>
                <w:color w:val="000000"/>
                <w:kern w:val="0"/>
                <w:sz w:val="22"/>
                <w:szCs w:val="21"/>
                <w:lang w:val="en-US" w:eastAsia="zh-CN"/>
              </w:rPr>
            </w:pPr>
            <w:r>
              <w:rPr>
                <w:rFonts w:hint="eastAsia" w:ascii="宋体" w:hAnsi="宋体" w:cs="宋体"/>
                <w:color w:val="000000"/>
                <w:kern w:val="0"/>
                <w:sz w:val="22"/>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436" w:type="dxa"/>
            <w:vMerge w:val="continue"/>
            <w:vAlign w:val="center"/>
          </w:tcPr>
          <w:p>
            <w:pPr>
              <w:jc w:val="left"/>
              <w:rPr>
                <w:rFonts w:ascii="宋体" w:hAnsi="宋体" w:cs="宋体"/>
                <w:color w:val="000000"/>
                <w:kern w:val="0"/>
                <w:sz w:val="22"/>
                <w:szCs w:val="21"/>
              </w:rPr>
            </w:pPr>
          </w:p>
        </w:tc>
        <w:tc>
          <w:tcPr>
            <w:tcW w:w="2664" w:type="dxa"/>
            <w:vMerge w:val="continue"/>
            <w:vAlign w:val="center"/>
          </w:tcPr>
          <w:p>
            <w:pPr>
              <w:widowControl/>
              <w:spacing w:line="320" w:lineRule="exact"/>
              <w:jc w:val="left"/>
              <w:rPr>
                <w:rFonts w:ascii="宋体" w:hAnsi="宋体" w:cs="宋体"/>
                <w:color w:val="000000"/>
                <w:kern w:val="0"/>
                <w:sz w:val="22"/>
                <w:szCs w:val="21"/>
              </w:rPr>
            </w:pPr>
          </w:p>
        </w:tc>
        <w:tc>
          <w:tcPr>
            <w:tcW w:w="3987" w:type="dxa"/>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lang w:eastAsia="zh-CN"/>
              </w:rPr>
              <w:t>督查督办工作</w:t>
            </w:r>
            <w:r>
              <w:rPr>
                <w:rFonts w:hint="eastAsia" w:ascii="宋体" w:hAnsi="宋体" w:cs="宋体"/>
                <w:color w:val="000000"/>
                <w:kern w:val="0"/>
                <w:sz w:val="22"/>
                <w:szCs w:val="21"/>
              </w:rPr>
              <w:t>（5分）</w:t>
            </w:r>
          </w:p>
        </w:tc>
        <w:tc>
          <w:tcPr>
            <w:tcW w:w="730" w:type="dxa"/>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436" w:type="dxa"/>
            <w:vMerge w:val="continue"/>
            <w:vAlign w:val="center"/>
          </w:tcPr>
          <w:p>
            <w:pPr>
              <w:jc w:val="left"/>
              <w:rPr>
                <w:rFonts w:ascii="宋体" w:hAnsi="宋体" w:cs="宋体"/>
                <w:color w:val="000000"/>
                <w:kern w:val="0"/>
                <w:sz w:val="22"/>
                <w:szCs w:val="21"/>
              </w:rPr>
            </w:pPr>
          </w:p>
        </w:tc>
        <w:tc>
          <w:tcPr>
            <w:tcW w:w="2664" w:type="dxa"/>
            <w:vMerge w:val="continue"/>
            <w:vAlign w:val="center"/>
          </w:tcPr>
          <w:p>
            <w:pPr>
              <w:widowControl/>
              <w:spacing w:line="320" w:lineRule="exact"/>
              <w:jc w:val="left"/>
              <w:rPr>
                <w:rFonts w:ascii="宋体" w:hAnsi="宋体" w:cs="宋体"/>
                <w:color w:val="000000"/>
                <w:kern w:val="0"/>
                <w:sz w:val="22"/>
                <w:szCs w:val="21"/>
              </w:rPr>
            </w:pPr>
          </w:p>
        </w:tc>
        <w:tc>
          <w:tcPr>
            <w:tcW w:w="3987" w:type="dxa"/>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lang w:eastAsia="zh-CN"/>
              </w:rPr>
              <w:t>政务信息公开工作</w:t>
            </w:r>
            <w:r>
              <w:rPr>
                <w:rFonts w:hint="eastAsia" w:ascii="宋体" w:hAnsi="宋体" w:cs="宋体"/>
                <w:color w:val="000000"/>
                <w:kern w:val="0"/>
                <w:sz w:val="22"/>
                <w:szCs w:val="21"/>
              </w:rPr>
              <w:t>（5分）</w:t>
            </w:r>
          </w:p>
        </w:tc>
        <w:tc>
          <w:tcPr>
            <w:tcW w:w="730" w:type="dxa"/>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1436" w:type="dxa"/>
            <w:vMerge w:val="continue"/>
            <w:vAlign w:val="center"/>
          </w:tcPr>
          <w:p>
            <w:pPr>
              <w:jc w:val="left"/>
              <w:rPr>
                <w:rFonts w:ascii="宋体" w:hAnsi="宋体" w:cs="宋体"/>
                <w:color w:val="000000"/>
                <w:kern w:val="0"/>
                <w:sz w:val="22"/>
                <w:szCs w:val="21"/>
              </w:rPr>
            </w:pPr>
          </w:p>
        </w:tc>
        <w:tc>
          <w:tcPr>
            <w:tcW w:w="2664" w:type="dxa"/>
            <w:vMerge w:val="continue"/>
            <w:vAlign w:val="center"/>
          </w:tcPr>
          <w:p>
            <w:pPr>
              <w:widowControl/>
              <w:spacing w:line="320" w:lineRule="exact"/>
              <w:jc w:val="left"/>
              <w:rPr>
                <w:rFonts w:ascii="宋体" w:hAnsi="宋体" w:cs="宋体"/>
                <w:color w:val="000000"/>
                <w:kern w:val="0"/>
                <w:sz w:val="22"/>
                <w:szCs w:val="21"/>
              </w:rPr>
            </w:pPr>
          </w:p>
        </w:tc>
        <w:tc>
          <w:tcPr>
            <w:tcW w:w="3987" w:type="dxa"/>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lang w:eastAsia="zh-CN"/>
              </w:rPr>
              <w:t>统筹金融、地志、应急、法制工作</w:t>
            </w:r>
            <w:r>
              <w:rPr>
                <w:rFonts w:hint="eastAsia" w:ascii="宋体" w:hAnsi="宋体" w:cs="宋体"/>
                <w:color w:val="000000"/>
                <w:kern w:val="0"/>
                <w:sz w:val="22"/>
                <w:szCs w:val="21"/>
              </w:rPr>
              <w:t>（</w:t>
            </w:r>
            <w:r>
              <w:rPr>
                <w:rFonts w:hint="eastAsia" w:ascii="宋体" w:hAnsi="宋体" w:cs="宋体"/>
                <w:color w:val="000000"/>
                <w:kern w:val="0"/>
                <w:sz w:val="22"/>
                <w:szCs w:val="21"/>
                <w:lang w:val="en-US" w:eastAsia="zh-CN"/>
              </w:rPr>
              <w:t>5</w:t>
            </w:r>
            <w:r>
              <w:rPr>
                <w:rFonts w:hint="eastAsia" w:ascii="宋体" w:hAnsi="宋体" w:cs="宋体"/>
                <w:color w:val="000000"/>
                <w:kern w:val="0"/>
                <w:sz w:val="22"/>
                <w:szCs w:val="21"/>
              </w:rPr>
              <w:t>分）</w:t>
            </w:r>
          </w:p>
        </w:tc>
        <w:tc>
          <w:tcPr>
            <w:tcW w:w="730" w:type="dxa"/>
          </w:tcPr>
          <w:p>
            <w:pPr>
              <w:widowControl/>
              <w:spacing w:line="320" w:lineRule="exact"/>
              <w:jc w:val="center"/>
              <w:rPr>
                <w:rFonts w:hint="default" w:ascii="宋体" w:hAnsi="宋体" w:eastAsia="宋体" w:cs="宋体"/>
                <w:color w:val="000000"/>
                <w:kern w:val="0"/>
                <w:sz w:val="22"/>
                <w:szCs w:val="21"/>
                <w:lang w:val="en-US" w:eastAsia="zh-CN"/>
              </w:rPr>
            </w:pPr>
            <w:r>
              <w:rPr>
                <w:rFonts w:hint="eastAsia" w:ascii="宋体" w:hAnsi="宋体" w:cs="宋体"/>
                <w:color w:val="000000"/>
                <w:kern w:val="0"/>
                <w:sz w:val="2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436" w:type="dxa"/>
            <w:vMerge w:val="continue"/>
            <w:vAlign w:val="center"/>
          </w:tcPr>
          <w:p>
            <w:pPr>
              <w:jc w:val="left"/>
              <w:rPr>
                <w:rFonts w:ascii="宋体" w:hAnsi="宋体" w:cs="宋体"/>
                <w:color w:val="000000"/>
                <w:kern w:val="0"/>
                <w:sz w:val="22"/>
                <w:szCs w:val="21"/>
              </w:rPr>
            </w:pPr>
          </w:p>
        </w:tc>
        <w:tc>
          <w:tcPr>
            <w:tcW w:w="2664" w:type="dxa"/>
            <w:vMerge w:val="restart"/>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可持续发展能力（10分）</w:t>
            </w:r>
          </w:p>
        </w:tc>
        <w:tc>
          <w:tcPr>
            <w:tcW w:w="3987" w:type="dxa"/>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重点工作完成情况（4分）</w:t>
            </w:r>
          </w:p>
        </w:tc>
        <w:tc>
          <w:tcPr>
            <w:tcW w:w="730" w:type="dxa"/>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1436" w:type="dxa"/>
            <w:vMerge w:val="continue"/>
            <w:vAlign w:val="center"/>
          </w:tcPr>
          <w:p>
            <w:pPr>
              <w:jc w:val="left"/>
              <w:rPr>
                <w:rFonts w:ascii="宋体" w:hAnsi="宋体" w:cs="宋体"/>
                <w:color w:val="000000"/>
                <w:kern w:val="0"/>
                <w:sz w:val="22"/>
                <w:szCs w:val="21"/>
              </w:rPr>
            </w:pPr>
          </w:p>
        </w:tc>
        <w:tc>
          <w:tcPr>
            <w:tcW w:w="2664" w:type="dxa"/>
            <w:vMerge w:val="continue"/>
            <w:vAlign w:val="center"/>
          </w:tcPr>
          <w:p>
            <w:pPr>
              <w:widowControl/>
              <w:spacing w:line="320" w:lineRule="exact"/>
              <w:jc w:val="left"/>
              <w:rPr>
                <w:rFonts w:ascii="宋体" w:hAnsi="宋体" w:cs="宋体"/>
                <w:color w:val="000000"/>
                <w:kern w:val="0"/>
                <w:sz w:val="22"/>
                <w:szCs w:val="21"/>
              </w:rPr>
            </w:pPr>
          </w:p>
        </w:tc>
        <w:tc>
          <w:tcPr>
            <w:tcW w:w="3987" w:type="dxa"/>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创新工作（3分）</w:t>
            </w:r>
          </w:p>
        </w:tc>
        <w:tc>
          <w:tcPr>
            <w:tcW w:w="730" w:type="dxa"/>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436" w:type="dxa"/>
            <w:vMerge w:val="continue"/>
            <w:vAlign w:val="center"/>
          </w:tcPr>
          <w:p>
            <w:pPr>
              <w:jc w:val="left"/>
              <w:rPr>
                <w:rFonts w:ascii="宋体" w:hAnsi="宋体" w:cs="宋体"/>
                <w:color w:val="000000"/>
                <w:kern w:val="0"/>
                <w:sz w:val="22"/>
                <w:szCs w:val="21"/>
              </w:rPr>
            </w:pPr>
          </w:p>
        </w:tc>
        <w:tc>
          <w:tcPr>
            <w:tcW w:w="2664" w:type="dxa"/>
            <w:vMerge w:val="continue"/>
            <w:vAlign w:val="center"/>
          </w:tcPr>
          <w:p>
            <w:pPr>
              <w:widowControl/>
              <w:spacing w:line="320" w:lineRule="exact"/>
              <w:jc w:val="left"/>
              <w:rPr>
                <w:rFonts w:ascii="宋体" w:hAnsi="宋体" w:cs="宋体"/>
                <w:color w:val="000000"/>
                <w:kern w:val="0"/>
                <w:sz w:val="22"/>
                <w:szCs w:val="21"/>
              </w:rPr>
            </w:pPr>
          </w:p>
        </w:tc>
        <w:tc>
          <w:tcPr>
            <w:tcW w:w="3987" w:type="dxa"/>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人才培养（3分）</w:t>
            </w:r>
          </w:p>
        </w:tc>
        <w:tc>
          <w:tcPr>
            <w:tcW w:w="730" w:type="dxa"/>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1436" w:type="dxa"/>
            <w:vMerge w:val="continue"/>
            <w:vAlign w:val="center"/>
          </w:tcPr>
          <w:p>
            <w:pPr>
              <w:jc w:val="left"/>
              <w:rPr>
                <w:rFonts w:ascii="宋体" w:hAnsi="宋体" w:cs="宋体"/>
                <w:color w:val="000000"/>
                <w:kern w:val="0"/>
                <w:sz w:val="22"/>
                <w:szCs w:val="21"/>
              </w:rPr>
            </w:pPr>
          </w:p>
        </w:tc>
        <w:tc>
          <w:tcPr>
            <w:tcW w:w="2664" w:type="dxa"/>
            <w:vMerge w:val="restart"/>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满意度（10分）</w:t>
            </w:r>
          </w:p>
        </w:tc>
        <w:tc>
          <w:tcPr>
            <w:tcW w:w="3987" w:type="dxa"/>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协作部门满意度（3分）</w:t>
            </w:r>
          </w:p>
        </w:tc>
        <w:tc>
          <w:tcPr>
            <w:tcW w:w="730" w:type="dxa"/>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1436" w:type="dxa"/>
            <w:vMerge w:val="continue"/>
            <w:vAlign w:val="center"/>
          </w:tcPr>
          <w:p>
            <w:pPr>
              <w:jc w:val="left"/>
              <w:rPr>
                <w:rFonts w:ascii="宋体" w:hAnsi="宋体" w:cs="宋体"/>
                <w:color w:val="000000"/>
                <w:kern w:val="0"/>
                <w:sz w:val="22"/>
                <w:szCs w:val="21"/>
              </w:rPr>
            </w:pPr>
          </w:p>
        </w:tc>
        <w:tc>
          <w:tcPr>
            <w:tcW w:w="2664" w:type="dxa"/>
            <w:vMerge w:val="continue"/>
            <w:vAlign w:val="center"/>
          </w:tcPr>
          <w:p>
            <w:pPr>
              <w:spacing w:line="320" w:lineRule="exact"/>
              <w:jc w:val="left"/>
              <w:rPr>
                <w:rFonts w:ascii="宋体" w:hAnsi="宋体" w:cs="宋体"/>
                <w:color w:val="000000"/>
                <w:kern w:val="0"/>
                <w:sz w:val="22"/>
                <w:szCs w:val="21"/>
              </w:rPr>
            </w:pPr>
          </w:p>
        </w:tc>
        <w:tc>
          <w:tcPr>
            <w:tcW w:w="3987" w:type="dxa"/>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管理对象满意度（3分）</w:t>
            </w:r>
          </w:p>
        </w:tc>
        <w:tc>
          <w:tcPr>
            <w:tcW w:w="730" w:type="dxa"/>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1436" w:type="dxa"/>
            <w:vMerge w:val="continue"/>
            <w:vAlign w:val="center"/>
          </w:tcPr>
          <w:p>
            <w:pPr>
              <w:widowControl/>
              <w:jc w:val="left"/>
              <w:rPr>
                <w:rFonts w:ascii="宋体" w:hAnsi="宋体" w:cs="宋体"/>
                <w:color w:val="000000"/>
                <w:kern w:val="0"/>
                <w:sz w:val="22"/>
                <w:szCs w:val="21"/>
              </w:rPr>
            </w:pPr>
          </w:p>
        </w:tc>
        <w:tc>
          <w:tcPr>
            <w:tcW w:w="2664" w:type="dxa"/>
            <w:vMerge w:val="continue"/>
            <w:vAlign w:val="center"/>
          </w:tcPr>
          <w:p>
            <w:pPr>
              <w:widowControl/>
              <w:spacing w:line="320" w:lineRule="exact"/>
              <w:jc w:val="left"/>
              <w:rPr>
                <w:rFonts w:ascii="宋体" w:hAnsi="宋体" w:cs="宋体"/>
                <w:color w:val="000000"/>
                <w:kern w:val="0"/>
                <w:sz w:val="22"/>
                <w:szCs w:val="21"/>
              </w:rPr>
            </w:pPr>
          </w:p>
        </w:tc>
        <w:tc>
          <w:tcPr>
            <w:tcW w:w="3987" w:type="dxa"/>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社会公众满意度（4分）</w:t>
            </w:r>
          </w:p>
        </w:tc>
        <w:tc>
          <w:tcPr>
            <w:tcW w:w="730" w:type="dxa"/>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4</w:t>
            </w:r>
          </w:p>
        </w:tc>
      </w:tr>
    </w:tbl>
    <w:p>
      <w:pPr>
        <w:pStyle w:val="2"/>
        <w:rPr>
          <w:rFonts w:ascii="仿宋" w:hAnsi="仿宋" w:eastAsia="仿宋" w:cs="仿宋_GB2312"/>
          <w:sz w:val="32"/>
          <w:szCs w:val="32"/>
        </w:rPr>
      </w:pPr>
    </w:p>
    <w:p>
      <w:pPr>
        <w:pStyle w:val="2"/>
        <w:rPr>
          <w:rFonts w:ascii="仿宋" w:hAnsi="仿宋" w:eastAsia="仿宋" w:cs="仿宋_GB2312"/>
          <w:sz w:val="32"/>
          <w:szCs w:val="32"/>
        </w:rPr>
      </w:pPr>
    </w:p>
    <w:p>
      <w:pPr>
        <w:pStyle w:val="2"/>
        <w:rPr>
          <w:rFonts w:ascii="仿宋" w:hAnsi="仿宋" w:eastAsia="仿宋" w:cs="仿宋_GB2312"/>
          <w:sz w:val="32"/>
          <w:szCs w:val="32"/>
        </w:rPr>
      </w:pPr>
    </w:p>
    <w:p>
      <w:pPr>
        <w:pStyle w:val="2"/>
        <w:rPr>
          <w:rFonts w:ascii="仿宋" w:hAnsi="仿宋" w:eastAsia="仿宋" w:cs="仿宋_GB2312"/>
          <w:sz w:val="32"/>
          <w:szCs w:val="32"/>
        </w:rPr>
      </w:pPr>
    </w:p>
    <w:p>
      <w:pPr>
        <w:pStyle w:val="2"/>
        <w:rPr>
          <w:rFonts w:ascii="仿宋" w:hAnsi="仿宋" w:eastAsia="仿宋" w:cs="仿宋_GB2312"/>
          <w:sz w:val="32"/>
          <w:szCs w:val="32"/>
        </w:rPr>
      </w:pPr>
    </w:p>
    <w:p>
      <w:pPr>
        <w:pStyle w:val="2"/>
        <w:rPr>
          <w:rFonts w:ascii="仿宋" w:hAnsi="仿宋" w:eastAsia="仿宋" w:cs="仿宋_GB2312"/>
          <w:sz w:val="32"/>
          <w:szCs w:val="32"/>
        </w:rPr>
      </w:pPr>
    </w:p>
    <w:p>
      <w:pPr>
        <w:pStyle w:val="2"/>
        <w:rPr>
          <w:rFonts w:ascii="仿宋" w:hAnsi="仿宋" w:eastAsia="仿宋" w:cs="仿宋_GB2312"/>
          <w:sz w:val="32"/>
          <w:szCs w:val="32"/>
        </w:rPr>
      </w:pPr>
    </w:p>
    <w:p>
      <w:pPr>
        <w:pStyle w:val="2"/>
        <w:rPr>
          <w:rFonts w:ascii="仿宋" w:hAnsi="仿宋" w:eastAsia="仿宋" w:cs="仿宋_GB2312"/>
          <w:sz w:val="32"/>
          <w:szCs w:val="32"/>
        </w:rPr>
      </w:pPr>
    </w:p>
    <w:p>
      <w:pPr>
        <w:pStyle w:val="2"/>
        <w:rPr>
          <w:rFonts w:ascii="仿宋" w:hAnsi="仿宋" w:eastAsia="仿宋" w:cs="仿宋_GB2312"/>
          <w:sz w:val="32"/>
          <w:szCs w:val="32"/>
        </w:rPr>
      </w:pPr>
    </w:p>
    <w:p>
      <w:pPr>
        <w:pStyle w:val="2"/>
        <w:rPr>
          <w:rFonts w:ascii="仿宋" w:hAnsi="仿宋" w:eastAsia="仿宋" w:cs="仿宋_GB2312"/>
          <w:sz w:val="32"/>
          <w:szCs w:val="32"/>
        </w:rPr>
      </w:pPr>
    </w:p>
    <w:p>
      <w:pPr>
        <w:pStyle w:val="2"/>
        <w:rPr>
          <w:rFonts w:ascii="仿宋" w:hAnsi="仿宋" w:eastAsia="仿宋" w:cs="仿宋_GB2312"/>
          <w:sz w:val="32"/>
          <w:szCs w:val="32"/>
        </w:rPr>
      </w:pPr>
    </w:p>
    <w:p>
      <w:pPr>
        <w:pStyle w:val="4"/>
        <w:rPr>
          <w:rStyle w:val="24"/>
          <w:rFonts w:hint="default" w:ascii="仿宋" w:hAnsi="仿宋" w:eastAsia="仿宋"/>
          <w:b w:val="0"/>
          <w:bCs w:val="0"/>
          <w:sz w:val="32"/>
          <w:szCs w:val="32"/>
          <w:lang w:val="en-US" w:eastAsia="zh-CN"/>
        </w:rPr>
      </w:pPr>
      <w:r>
        <w:rPr>
          <w:rStyle w:val="24"/>
          <w:rFonts w:hint="eastAsia" w:ascii="仿宋" w:hAnsi="仿宋" w:eastAsia="仿宋"/>
          <w:b w:val="0"/>
          <w:bCs w:val="0"/>
          <w:sz w:val="32"/>
          <w:szCs w:val="32"/>
          <w:lang w:val="en-US" w:eastAsia="zh-CN"/>
        </w:rPr>
        <w:t>附件2</w:t>
      </w:r>
    </w:p>
    <w:p>
      <w:pPr>
        <w:pStyle w:val="29"/>
        <w:spacing w:line="58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广元市利州区人民政府办公室</w:t>
      </w:r>
    </w:p>
    <w:p>
      <w:pPr>
        <w:pStyle w:val="29"/>
        <w:spacing w:line="580" w:lineRule="exact"/>
        <w:jc w:val="center"/>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sz w:val="44"/>
          <w:szCs w:val="44"/>
        </w:rPr>
        <w:t>项目支出绩效自评报告</w:t>
      </w:r>
    </w:p>
    <w:p>
      <w:pPr>
        <w:spacing w:line="200" w:lineRule="exact"/>
        <w:jc w:val="center"/>
        <w:rPr>
          <w:rFonts w:ascii="仿宋_GB2312" w:hAnsi="宋体"/>
          <w:sz w:val="32"/>
          <w:szCs w:val="32"/>
        </w:rPr>
      </w:pPr>
      <w:r>
        <w:rPr>
          <w:rFonts w:ascii="仿宋_GB2312" w:hAnsi="宋体"/>
        </w:rPr>
        <w:t xml:space="preserve"> </w:t>
      </w:r>
    </w:p>
    <w:p>
      <w:pPr>
        <w:jc w:val="center"/>
        <w:rPr>
          <w:rFonts w:hint="eastAsia" w:ascii="方正仿宋简体" w:eastAsia="方正仿宋简体"/>
          <w:sz w:val="32"/>
          <w:szCs w:val="32"/>
        </w:rPr>
      </w:pPr>
      <w:r>
        <w:rPr>
          <w:rFonts w:hint="eastAsia" w:ascii="方正仿宋简体" w:hAnsi="仿宋_GB2312" w:eastAsia="方正仿宋简体"/>
          <w:sz w:val="32"/>
          <w:szCs w:val="32"/>
        </w:rPr>
        <w:t>（公务用车运行维护费</w:t>
      </w:r>
      <w:r>
        <w:rPr>
          <w:rFonts w:hint="eastAsia" w:ascii="方正仿宋简体" w:hAnsi="宋体" w:eastAsia="方正仿宋简体"/>
          <w:sz w:val="32"/>
          <w:szCs w:val="32"/>
        </w:rPr>
        <w:t>）</w:t>
      </w:r>
    </w:p>
    <w:p>
      <w:pPr>
        <w:widowControl/>
        <w:shd w:val="clear" w:color="auto" w:fill="FFFFFF"/>
        <w:jc w:val="left"/>
        <w:rPr>
          <w:rFonts w:hint="eastAsia" w:ascii="微软雅黑" w:hAnsi="微软雅黑" w:eastAsia="微软雅黑" w:cs="宋体"/>
          <w:color w:val="333333"/>
          <w:kern w:val="0"/>
          <w:sz w:val="24"/>
        </w:rPr>
      </w:pPr>
    </w:p>
    <w:p>
      <w:pPr>
        <w:widowControl/>
        <w:shd w:val="clear" w:color="auto" w:fill="FFFFFF"/>
        <w:spacing w:line="405" w:lineRule="atLeast"/>
        <w:ind w:firstLine="640" w:firstLineChars="200"/>
        <w:jc w:val="left"/>
        <w:rPr>
          <w:rFonts w:hint="eastAsia"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rPr>
        <w:t>一、</w:t>
      </w:r>
      <w:r>
        <w:rPr>
          <w:rFonts w:hint="eastAsia" w:ascii="微软雅黑" w:hAnsi="微软雅黑" w:eastAsia="方正仿宋简体" w:cs="宋体"/>
          <w:color w:val="333333"/>
          <w:kern w:val="0"/>
          <w:sz w:val="32"/>
          <w:szCs w:val="32"/>
        </w:rPr>
        <w:t> </w:t>
      </w:r>
      <w:r>
        <w:rPr>
          <w:rFonts w:hint="eastAsia" w:ascii="方正仿宋简体" w:hAnsi="微软雅黑" w:eastAsia="方正仿宋简体" w:cs="宋体"/>
          <w:color w:val="333333"/>
          <w:kern w:val="0"/>
          <w:sz w:val="32"/>
          <w:szCs w:val="32"/>
        </w:rPr>
        <w:t>项目概况</w:t>
      </w:r>
    </w:p>
    <w:p>
      <w:pPr>
        <w:widowControl/>
        <w:shd w:val="clear" w:color="auto" w:fill="FFFFFF"/>
        <w:ind w:firstLine="630"/>
        <w:jc w:val="left"/>
        <w:rPr>
          <w:rFonts w:hint="eastAsia"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rPr>
        <w:t>按照全区公务用车改革方案，区政府办公室保留县级领导实物保障轿车1台，保障区政府主要领导</w:t>
      </w:r>
      <w:r>
        <w:rPr>
          <w:rFonts w:hint="eastAsia" w:ascii="方正仿宋简体" w:hAnsi="微软雅黑" w:eastAsia="方正仿宋简体" w:cs="宋体"/>
          <w:color w:val="333333"/>
          <w:kern w:val="0"/>
          <w:sz w:val="32"/>
          <w:szCs w:val="32"/>
          <w:lang w:eastAsia="zh-CN"/>
        </w:rPr>
        <w:t>公务活动用车</w:t>
      </w:r>
      <w:r>
        <w:rPr>
          <w:rFonts w:hint="eastAsia" w:ascii="方正仿宋简体" w:hAnsi="微软雅黑" w:eastAsia="方正仿宋简体" w:cs="宋体"/>
          <w:color w:val="333333"/>
          <w:kern w:val="0"/>
          <w:sz w:val="32"/>
          <w:szCs w:val="32"/>
        </w:rPr>
        <w:t>，车辆运行维护费由区政府办公室承担。</w:t>
      </w:r>
    </w:p>
    <w:p>
      <w:pPr>
        <w:widowControl/>
        <w:shd w:val="clear" w:color="auto" w:fill="FFFFFF"/>
        <w:ind w:firstLine="630"/>
        <w:jc w:val="left"/>
        <w:rPr>
          <w:rFonts w:hint="eastAsia"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rPr>
        <w:t>二、评价结论及绩效分析</w:t>
      </w:r>
    </w:p>
    <w:p>
      <w:pPr>
        <w:widowControl/>
        <w:shd w:val="clear" w:color="auto" w:fill="FFFFFF"/>
        <w:ind w:firstLine="630"/>
        <w:jc w:val="left"/>
        <w:rPr>
          <w:rFonts w:hint="eastAsia"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rPr>
        <w:t>（一）项目绩效评价结论</w:t>
      </w:r>
    </w:p>
    <w:p>
      <w:pPr>
        <w:widowControl/>
        <w:shd w:val="clear" w:color="auto" w:fill="FFFFFF"/>
        <w:ind w:firstLine="630"/>
        <w:jc w:val="left"/>
        <w:rPr>
          <w:rFonts w:hint="eastAsia"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rPr>
        <w:t>2018年财政预算公务用车运行维护费专项资金6万元,资金到位率100%。6万元专项资金全部使用到公务用车运行维护上，截至2018年12月31日，共计支付公务用车运行维护费专项资金6万元，车辆运行正常，100%保障领导正常公务</w:t>
      </w:r>
      <w:r>
        <w:rPr>
          <w:rFonts w:hint="eastAsia" w:ascii="方正仿宋简体" w:hAnsi="微软雅黑" w:eastAsia="方正仿宋简体" w:cs="宋体"/>
          <w:color w:val="333333"/>
          <w:kern w:val="0"/>
          <w:sz w:val="32"/>
          <w:szCs w:val="32"/>
          <w:lang w:eastAsia="zh-CN"/>
        </w:rPr>
        <w:t>活动</w:t>
      </w:r>
      <w:r>
        <w:rPr>
          <w:rFonts w:hint="eastAsia" w:ascii="方正仿宋简体" w:hAnsi="微软雅黑" w:eastAsia="方正仿宋简体" w:cs="宋体"/>
          <w:color w:val="333333"/>
          <w:kern w:val="0"/>
          <w:sz w:val="32"/>
          <w:szCs w:val="32"/>
        </w:rPr>
        <w:t>出行。</w:t>
      </w:r>
    </w:p>
    <w:tbl>
      <w:tblPr>
        <w:tblStyle w:val="13"/>
        <w:tblW w:w="9540" w:type="dxa"/>
        <w:tblInd w:w="-705" w:type="dxa"/>
        <w:tblLayout w:type="fixed"/>
        <w:tblCellMar>
          <w:top w:w="0" w:type="dxa"/>
          <w:left w:w="0" w:type="dxa"/>
          <w:bottom w:w="0" w:type="dxa"/>
          <w:right w:w="0" w:type="dxa"/>
        </w:tblCellMar>
      </w:tblPr>
      <w:tblGrid>
        <w:gridCol w:w="540"/>
        <w:gridCol w:w="1614"/>
        <w:gridCol w:w="906"/>
        <w:gridCol w:w="436"/>
        <w:gridCol w:w="1724"/>
        <w:gridCol w:w="2242"/>
        <w:gridCol w:w="98"/>
        <w:gridCol w:w="1980"/>
      </w:tblGrid>
      <w:tr>
        <w:tblPrEx>
          <w:tblCellMar>
            <w:top w:w="0" w:type="dxa"/>
            <w:left w:w="0" w:type="dxa"/>
            <w:bottom w:w="0" w:type="dxa"/>
            <w:right w:w="0" w:type="dxa"/>
          </w:tblCellMar>
        </w:tblPrEx>
        <w:trPr>
          <w:trHeight w:val="1034" w:hRule="atLeast"/>
        </w:trPr>
        <w:tc>
          <w:tcPr>
            <w:tcW w:w="9540" w:type="dxa"/>
            <w:gridSpan w:val="8"/>
            <w:tcBorders>
              <w:top w:val="nil"/>
              <w:left w:val="nil"/>
              <w:bottom w:val="nil"/>
              <w:right w:val="nil"/>
            </w:tcBorders>
            <w:noWrap w:val="0"/>
            <w:tcMar>
              <w:top w:w="15" w:type="dxa"/>
              <w:left w:w="15" w:type="dxa"/>
              <w:bottom w:w="0" w:type="dxa"/>
              <w:right w:w="15" w:type="dxa"/>
            </w:tcMar>
            <w:vAlign w:val="center"/>
          </w:tcPr>
          <w:p>
            <w:pPr>
              <w:pStyle w:val="23"/>
              <w:widowControl/>
              <w:ind w:firstLine="0" w:firstLineChars="0"/>
              <w:jc w:val="center"/>
              <w:textAlignment w:val="center"/>
              <w:rPr>
                <w:rFonts w:ascii="宋体" w:hAnsi="宋体"/>
                <w:color w:val="000000"/>
                <w:sz w:val="36"/>
                <w:szCs w:val="36"/>
              </w:rPr>
            </w:pPr>
            <w:r>
              <w:rPr>
                <w:rFonts w:hint="eastAsia" w:ascii="黑体" w:hAnsi="黑体" w:eastAsia="黑体" w:cs="宋体"/>
                <w:color w:val="000000"/>
                <w:kern w:val="0"/>
                <w:sz w:val="36"/>
                <w:szCs w:val="36"/>
              </w:rPr>
              <w:t>项目支出绩效目标完成情况表</w:t>
            </w:r>
            <w:r>
              <w:rPr>
                <w:rFonts w:ascii="宋体" w:hAnsi="宋体" w:cs="宋体"/>
                <w:b/>
                <w:bCs/>
                <w:color w:val="000000"/>
                <w:kern w:val="0"/>
                <w:sz w:val="36"/>
                <w:szCs w:val="36"/>
              </w:rPr>
              <w:br w:type="textWrapping"/>
            </w:r>
            <w:r>
              <w:rPr>
                <w:rFonts w:ascii="宋体" w:hAnsi="宋体" w:cs="宋体"/>
                <w:color w:val="000000"/>
                <w:kern w:val="0"/>
                <w:sz w:val="36"/>
                <w:szCs w:val="36"/>
              </w:rPr>
              <w:t>(2018</w:t>
            </w:r>
            <w:r>
              <w:rPr>
                <w:rFonts w:ascii="仿宋_GB2312" w:hAnsi="仿宋_GB2312" w:cs="宋体"/>
                <w:color w:val="000000"/>
                <w:kern w:val="0"/>
                <w:sz w:val="36"/>
                <w:szCs w:val="36"/>
              </w:rPr>
              <w:t>年度</w:t>
            </w:r>
            <w:r>
              <w:rPr>
                <w:rFonts w:ascii="宋体" w:hAnsi="宋体" w:eastAsia="宋体" w:cs="宋体"/>
                <w:color w:val="000000"/>
                <w:kern w:val="0"/>
                <w:sz w:val="36"/>
                <w:szCs w:val="36"/>
              </w:rPr>
              <w:t>)</w:t>
            </w:r>
          </w:p>
        </w:tc>
      </w:tr>
      <w:tr>
        <w:tblPrEx>
          <w:tblCellMar>
            <w:top w:w="0" w:type="dxa"/>
            <w:left w:w="0" w:type="dxa"/>
            <w:bottom w:w="0" w:type="dxa"/>
            <w:right w:w="0" w:type="dxa"/>
          </w:tblCellMar>
        </w:tblPrEx>
        <w:trPr>
          <w:trHeight w:val="276" w:hRule="atLeast"/>
        </w:trPr>
        <w:tc>
          <w:tcPr>
            <w:tcW w:w="306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eastAsia="仿宋_GB2312"/>
                <w:color w:val="000000"/>
                <w:sz w:val="24"/>
              </w:rPr>
            </w:pPr>
            <w:r>
              <w:rPr>
                <w:rFonts w:ascii="宋体" w:hAnsi="宋体" w:cs="宋体"/>
                <w:color w:val="000000"/>
                <w:kern w:val="0"/>
                <w:sz w:val="24"/>
              </w:rPr>
              <w:t>项目名称</w:t>
            </w:r>
          </w:p>
        </w:tc>
        <w:tc>
          <w:tcPr>
            <w:tcW w:w="6480" w:type="dxa"/>
            <w:gridSpan w:val="5"/>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eastAsia="仿宋_GB2312" w:cs="宋体"/>
                <w:color w:val="000000"/>
                <w:sz w:val="24"/>
              </w:rPr>
            </w:pPr>
            <w:r>
              <w:rPr>
                <w:rFonts w:hint="eastAsia" w:ascii="宋体" w:hAnsi="宋体" w:cs="宋体"/>
                <w:color w:val="000000"/>
                <w:sz w:val="24"/>
              </w:rPr>
              <w:t>公务用车运行费</w:t>
            </w:r>
          </w:p>
        </w:tc>
      </w:tr>
      <w:tr>
        <w:tblPrEx>
          <w:tblCellMar>
            <w:top w:w="0" w:type="dxa"/>
            <w:left w:w="0" w:type="dxa"/>
            <w:bottom w:w="0" w:type="dxa"/>
            <w:right w:w="0" w:type="dxa"/>
          </w:tblCellMar>
        </w:tblPrEx>
        <w:trPr>
          <w:trHeight w:val="276" w:hRule="atLeast"/>
        </w:trPr>
        <w:tc>
          <w:tcPr>
            <w:tcW w:w="306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eastAsia="仿宋_GB2312"/>
                <w:color w:val="000000"/>
                <w:sz w:val="24"/>
              </w:rPr>
            </w:pPr>
            <w:r>
              <w:rPr>
                <w:rFonts w:ascii="宋体" w:hAnsi="宋体" w:cs="宋体"/>
                <w:color w:val="000000"/>
                <w:kern w:val="0"/>
                <w:sz w:val="24"/>
              </w:rPr>
              <w:t>预算单位</w:t>
            </w:r>
          </w:p>
        </w:tc>
        <w:tc>
          <w:tcPr>
            <w:tcW w:w="6480" w:type="dxa"/>
            <w:gridSpan w:val="5"/>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eastAsia="仿宋_GB2312" w:cs="宋体"/>
                <w:color w:val="000000"/>
                <w:sz w:val="24"/>
              </w:rPr>
            </w:pPr>
            <w:r>
              <w:rPr>
                <w:rFonts w:ascii="宋体" w:hAnsi="宋体" w:cs="宋体"/>
                <w:color w:val="000000"/>
                <w:sz w:val="24"/>
              </w:rPr>
              <w:t>广元市利州区人民政府办公室</w:t>
            </w:r>
          </w:p>
        </w:tc>
      </w:tr>
      <w:tr>
        <w:tblPrEx>
          <w:tblCellMar>
            <w:top w:w="0" w:type="dxa"/>
            <w:left w:w="0" w:type="dxa"/>
            <w:bottom w:w="0" w:type="dxa"/>
            <w:right w:w="0" w:type="dxa"/>
          </w:tblCellMar>
        </w:tblPrEx>
        <w:trPr>
          <w:trHeight w:val="276" w:hRule="atLeast"/>
        </w:trPr>
        <w:tc>
          <w:tcPr>
            <w:tcW w:w="540"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eastAsia="仿宋_GB2312"/>
                <w:color w:val="000000"/>
                <w:sz w:val="24"/>
              </w:rPr>
            </w:pPr>
            <w:r>
              <w:rPr>
                <w:rFonts w:ascii="宋体" w:hAnsi="宋体" w:cs="宋体"/>
                <w:color w:val="000000"/>
                <w:kern w:val="0"/>
                <w:sz w:val="24"/>
              </w:rPr>
              <w:t>预算执行情况(</w:t>
            </w:r>
            <w:r>
              <w:rPr>
                <w:rFonts w:ascii="仿宋_GB2312" w:hAnsi="仿宋_GB2312" w:cs="宋体"/>
                <w:color w:val="000000"/>
                <w:kern w:val="0"/>
                <w:sz w:val="24"/>
              </w:rPr>
              <w:t>万元</w:t>
            </w:r>
            <w:r>
              <w:rPr>
                <w:rFonts w:ascii="宋体" w:hAnsi="宋体" w:cs="宋体"/>
                <w:color w:val="000000"/>
                <w:kern w:val="0"/>
                <w:sz w:val="24"/>
              </w:rPr>
              <w:t>)</w:t>
            </w:r>
          </w:p>
        </w:tc>
        <w:tc>
          <w:tcPr>
            <w:tcW w:w="2520"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eastAsia="仿宋_GB2312"/>
                <w:color w:val="000000"/>
                <w:sz w:val="24"/>
              </w:rPr>
            </w:pPr>
            <w:r>
              <w:rPr>
                <w:rFonts w:ascii="宋体" w:hAnsi="宋体" w:cs="宋体"/>
                <w:color w:val="000000"/>
                <w:kern w:val="0"/>
                <w:sz w:val="24"/>
              </w:rPr>
              <w:t>预算数:</w:t>
            </w:r>
          </w:p>
        </w:tc>
        <w:tc>
          <w:tcPr>
            <w:tcW w:w="2160"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eastAsia="仿宋_GB2312" w:cs="宋体"/>
                <w:color w:val="000000"/>
                <w:sz w:val="24"/>
              </w:rPr>
            </w:pPr>
            <w:r>
              <w:rPr>
                <w:rFonts w:hint="eastAsia" w:ascii="宋体" w:hAnsi="宋体" w:cs="宋体"/>
                <w:color w:val="000000"/>
                <w:sz w:val="24"/>
              </w:rPr>
              <w:t>6</w:t>
            </w:r>
            <w:r>
              <w:rPr>
                <w:rFonts w:ascii="仿宋_GB2312" w:hAnsi="仿宋_GB2312" w:cs="宋体"/>
                <w:color w:val="000000"/>
                <w:sz w:val="24"/>
              </w:rPr>
              <w:t>万元</w:t>
            </w:r>
          </w:p>
        </w:tc>
        <w:tc>
          <w:tcPr>
            <w:tcW w:w="2340"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eastAsia="仿宋_GB2312"/>
                <w:color w:val="000000"/>
                <w:sz w:val="24"/>
              </w:rPr>
            </w:pPr>
            <w:r>
              <w:rPr>
                <w:rFonts w:ascii="宋体" w:hAnsi="宋体" w:cs="宋体"/>
                <w:color w:val="000000"/>
                <w:kern w:val="0"/>
                <w:sz w:val="24"/>
              </w:rPr>
              <w:t>执行数:</w:t>
            </w:r>
          </w:p>
        </w:tc>
        <w:tc>
          <w:tcPr>
            <w:tcW w:w="198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eastAsia="仿宋_GB2312" w:cs="宋体"/>
                <w:color w:val="000000"/>
                <w:sz w:val="24"/>
              </w:rPr>
            </w:pPr>
            <w:r>
              <w:rPr>
                <w:rFonts w:hint="eastAsia" w:ascii="宋体" w:hAnsi="宋体" w:cs="宋体"/>
                <w:color w:val="000000"/>
                <w:sz w:val="24"/>
              </w:rPr>
              <w:t>6</w:t>
            </w:r>
            <w:r>
              <w:rPr>
                <w:rFonts w:ascii="仿宋_GB2312" w:hAnsi="仿宋_GB2312" w:cs="宋体"/>
                <w:color w:val="000000"/>
                <w:sz w:val="24"/>
              </w:rPr>
              <w:t>万元</w:t>
            </w:r>
          </w:p>
        </w:tc>
      </w:tr>
      <w:tr>
        <w:tblPrEx>
          <w:tblCellMar>
            <w:top w:w="0" w:type="dxa"/>
            <w:left w:w="0" w:type="dxa"/>
            <w:bottom w:w="0" w:type="dxa"/>
            <w:right w:w="0" w:type="dxa"/>
          </w:tblCellMar>
        </w:tblPrEx>
        <w:trPr>
          <w:trHeight w:val="276" w:hRule="atLeast"/>
        </w:trPr>
        <w:tc>
          <w:tcPr>
            <w:tcW w:w="540" w:type="dxa"/>
            <w:vMerge w:val="continue"/>
            <w:tcBorders>
              <w:left w:val="single" w:color="000000" w:sz="4" w:space="0"/>
              <w:right w:val="single" w:color="000000" w:sz="4" w:space="0"/>
            </w:tcBorders>
            <w:noWrap w:val="0"/>
            <w:vAlign w:val="center"/>
          </w:tcPr>
          <w:p>
            <w:pPr>
              <w:widowControl/>
              <w:jc w:val="left"/>
              <w:rPr>
                <w:rFonts w:ascii="宋体" w:hAnsi="宋体" w:eastAsia="仿宋_GB2312"/>
                <w:color w:val="000000"/>
                <w:sz w:val="24"/>
              </w:rPr>
            </w:pPr>
          </w:p>
        </w:tc>
        <w:tc>
          <w:tcPr>
            <w:tcW w:w="2520"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eastAsia="仿宋_GB2312"/>
                <w:color w:val="000000"/>
                <w:sz w:val="24"/>
              </w:rPr>
            </w:pPr>
            <w:r>
              <w:rPr>
                <w:rFonts w:ascii="宋体" w:hAnsi="宋体" w:cs="宋体"/>
                <w:color w:val="000000"/>
                <w:kern w:val="0"/>
                <w:sz w:val="24"/>
              </w:rPr>
              <w:t>其中-</w:t>
            </w:r>
            <w:r>
              <w:rPr>
                <w:rFonts w:ascii="仿宋_GB2312" w:hAnsi="仿宋_GB2312" w:cs="宋体"/>
                <w:color w:val="000000"/>
                <w:kern w:val="0"/>
                <w:sz w:val="24"/>
              </w:rPr>
              <w:t>财政拨款</w:t>
            </w:r>
            <w:r>
              <w:rPr>
                <w:rFonts w:ascii="宋体" w:hAnsi="宋体" w:cs="宋体"/>
                <w:color w:val="000000"/>
                <w:kern w:val="0"/>
                <w:sz w:val="24"/>
              </w:rPr>
              <w:t>:</w:t>
            </w:r>
          </w:p>
        </w:tc>
        <w:tc>
          <w:tcPr>
            <w:tcW w:w="2160"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eastAsia="仿宋_GB2312"/>
                <w:color w:val="000000"/>
                <w:sz w:val="24"/>
              </w:rPr>
            </w:pPr>
            <w:r>
              <w:rPr>
                <w:rFonts w:hint="eastAsia" w:ascii="宋体" w:hAnsi="宋体" w:cs="宋体"/>
                <w:color w:val="000000"/>
                <w:sz w:val="24"/>
              </w:rPr>
              <w:t>6</w:t>
            </w:r>
            <w:r>
              <w:rPr>
                <w:rFonts w:ascii="仿宋_GB2312" w:hAnsi="仿宋_GB2312" w:cs="宋体"/>
                <w:color w:val="000000"/>
                <w:sz w:val="24"/>
              </w:rPr>
              <w:t>万元</w:t>
            </w:r>
          </w:p>
        </w:tc>
        <w:tc>
          <w:tcPr>
            <w:tcW w:w="2340"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eastAsia="仿宋_GB2312"/>
                <w:color w:val="000000"/>
                <w:sz w:val="24"/>
              </w:rPr>
            </w:pPr>
            <w:r>
              <w:rPr>
                <w:rFonts w:ascii="宋体" w:hAnsi="宋体" w:cs="宋体"/>
                <w:color w:val="000000"/>
                <w:kern w:val="0"/>
                <w:sz w:val="24"/>
              </w:rPr>
              <w:t>其中-</w:t>
            </w:r>
            <w:r>
              <w:rPr>
                <w:rFonts w:ascii="仿宋_GB2312" w:hAnsi="仿宋_GB2312" w:cs="宋体"/>
                <w:color w:val="000000"/>
                <w:kern w:val="0"/>
                <w:sz w:val="24"/>
              </w:rPr>
              <w:t>财政拨款</w:t>
            </w:r>
            <w:r>
              <w:rPr>
                <w:rFonts w:ascii="宋体" w:hAnsi="宋体" w:cs="宋体"/>
                <w:color w:val="000000"/>
                <w:kern w:val="0"/>
                <w:sz w:val="24"/>
              </w:rPr>
              <w:t>:</w:t>
            </w:r>
          </w:p>
        </w:tc>
        <w:tc>
          <w:tcPr>
            <w:tcW w:w="198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eastAsia="仿宋_GB2312"/>
                <w:color w:val="000000"/>
                <w:sz w:val="24"/>
              </w:rPr>
            </w:pPr>
            <w:r>
              <w:rPr>
                <w:rFonts w:hint="eastAsia" w:ascii="宋体" w:hAnsi="宋体" w:cs="宋体"/>
                <w:color w:val="000000"/>
                <w:sz w:val="24"/>
              </w:rPr>
              <w:t>6</w:t>
            </w:r>
            <w:r>
              <w:rPr>
                <w:rFonts w:ascii="仿宋_GB2312" w:hAnsi="仿宋_GB2312" w:cs="宋体"/>
                <w:color w:val="000000"/>
                <w:sz w:val="24"/>
              </w:rPr>
              <w:t>万元</w:t>
            </w:r>
          </w:p>
        </w:tc>
      </w:tr>
      <w:tr>
        <w:tblPrEx>
          <w:tblCellMar>
            <w:top w:w="0" w:type="dxa"/>
            <w:left w:w="0" w:type="dxa"/>
            <w:bottom w:w="0" w:type="dxa"/>
            <w:right w:w="0" w:type="dxa"/>
          </w:tblCellMar>
        </w:tblPrEx>
        <w:trPr>
          <w:trHeight w:val="1113" w:hRule="atLeast"/>
        </w:trPr>
        <w:tc>
          <w:tcPr>
            <w:tcW w:w="540" w:type="dxa"/>
            <w:vMerge w:val="continue"/>
            <w:tcBorders>
              <w:left w:val="single" w:color="000000" w:sz="4" w:space="0"/>
              <w:bottom w:val="single" w:color="000000" w:sz="4" w:space="0"/>
              <w:right w:val="single" w:color="000000" w:sz="4" w:space="0"/>
            </w:tcBorders>
            <w:noWrap w:val="0"/>
            <w:vAlign w:val="center"/>
          </w:tcPr>
          <w:p>
            <w:pPr>
              <w:widowControl/>
              <w:jc w:val="left"/>
              <w:rPr>
                <w:rFonts w:ascii="宋体" w:hAnsi="宋体" w:eastAsia="仿宋_GB2312"/>
                <w:color w:val="000000"/>
                <w:sz w:val="24"/>
              </w:rPr>
            </w:pPr>
          </w:p>
        </w:tc>
        <w:tc>
          <w:tcPr>
            <w:tcW w:w="2520"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eastAsia="仿宋_GB2312"/>
                <w:color w:val="000000"/>
                <w:sz w:val="24"/>
              </w:rPr>
            </w:pPr>
            <w:r>
              <w:rPr>
                <w:rFonts w:ascii="宋体" w:hAnsi="宋体" w:cs="宋体"/>
                <w:color w:val="000000"/>
                <w:kern w:val="0"/>
                <w:sz w:val="24"/>
              </w:rPr>
              <w:t>其它资金:</w:t>
            </w:r>
          </w:p>
        </w:tc>
        <w:tc>
          <w:tcPr>
            <w:tcW w:w="2160"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eastAsia="仿宋_GB2312"/>
                <w:color w:val="000000"/>
                <w:sz w:val="24"/>
              </w:rPr>
            </w:pPr>
            <w:r>
              <w:rPr>
                <w:rFonts w:ascii="宋体" w:hAnsi="宋体" w:cs="宋体"/>
                <w:color w:val="000000"/>
                <w:kern w:val="0"/>
                <w:sz w:val="24"/>
              </w:rPr>
              <w:t>0</w:t>
            </w:r>
          </w:p>
        </w:tc>
        <w:tc>
          <w:tcPr>
            <w:tcW w:w="2340"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eastAsia="仿宋_GB2312"/>
                <w:color w:val="000000"/>
                <w:sz w:val="24"/>
              </w:rPr>
            </w:pPr>
            <w:r>
              <w:rPr>
                <w:rFonts w:ascii="宋体" w:hAnsi="宋体" w:cs="宋体"/>
                <w:color w:val="000000"/>
                <w:kern w:val="0"/>
                <w:sz w:val="24"/>
              </w:rPr>
              <w:t>其它资金:</w:t>
            </w:r>
          </w:p>
        </w:tc>
        <w:tc>
          <w:tcPr>
            <w:tcW w:w="198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eastAsia="仿宋_GB2312" w:cs="宋体"/>
                <w:color w:val="000000"/>
                <w:sz w:val="24"/>
              </w:rPr>
            </w:pPr>
            <w:r>
              <w:rPr>
                <w:rFonts w:ascii="宋体" w:hAnsi="宋体" w:cs="宋体"/>
                <w:color w:val="000000"/>
                <w:sz w:val="24"/>
              </w:rPr>
              <w:t>0</w:t>
            </w:r>
          </w:p>
        </w:tc>
      </w:tr>
      <w:tr>
        <w:tblPrEx>
          <w:tblCellMar>
            <w:top w:w="0" w:type="dxa"/>
            <w:left w:w="0" w:type="dxa"/>
            <w:bottom w:w="0" w:type="dxa"/>
            <w:right w:w="0" w:type="dxa"/>
          </w:tblCellMar>
        </w:tblPrEx>
        <w:trPr>
          <w:trHeight w:val="276" w:hRule="atLeast"/>
        </w:trPr>
        <w:tc>
          <w:tcPr>
            <w:tcW w:w="540"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eastAsia="仿宋_GB2312"/>
                <w:color w:val="000000"/>
                <w:sz w:val="24"/>
              </w:rPr>
            </w:pPr>
            <w:r>
              <w:rPr>
                <w:rFonts w:ascii="宋体" w:hAnsi="宋体" w:cs="宋体"/>
                <w:color w:val="000000"/>
                <w:kern w:val="0"/>
                <w:sz w:val="24"/>
              </w:rPr>
              <w:t>年度目标完成情况</w:t>
            </w:r>
          </w:p>
        </w:tc>
        <w:tc>
          <w:tcPr>
            <w:tcW w:w="4680" w:type="dxa"/>
            <w:gridSpan w:val="4"/>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eastAsia="仿宋_GB2312"/>
                <w:color w:val="000000"/>
                <w:sz w:val="24"/>
              </w:rPr>
            </w:pPr>
            <w:r>
              <w:rPr>
                <w:rFonts w:ascii="宋体" w:hAnsi="宋体" w:cs="宋体"/>
                <w:color w:val="000000"/>
                <w:kern w:val="0"/>
                <w:sz w:val="24"/>
              </w:rPr>
              <w:t>预期目标</w:t>
            </w:r>
          </w:p>
        </w:tc>
        <w:tc>
          <w:tcPr>
            <w:tcW w:w="4320" w:type="dxa"/>
            <w:gridSpan w:val="3"/>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eastAsia="仿宋_GB2312"/>
                <w:color w:val="000000"/>
                <w:sz w:val="24"/>
              </w:rPr>
            </w:pPr>
            <w:r>
              <w:rPr>
                <w:rFonts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540" w:type="dxa"/>
            <w:vMerge w:val="continue"/>
            <w:tcBorders>
              <w:left w:val="single" w:color="000000" w:sz="4" w:space="0"/>
              <w:bottom w:val="single" w:color="000000" w:sz="4" w:space="0"/>
              <w:right w:val="single" w:color="000000" w:sz="4" w:space="0"/>
            </w:tcBorders>
            <w:noWrap w:val="0"/>
            <w:vAlign w:val="center"/>
          </w:tcPr>
          <w:p>
            <w:pPr>
              <w:widowControl/>
              <w:jc w:val="left"/>
              <w:rPr>
                <w:rFonts w:ascii="宋体" w:hAnsi="宋体" w:eastAsia="仿宋_GB2312"/>
                <w:color w:val="000000"/>
                <w:sz w:val="24"/>
              </w:rPr>
            </w:pPr>
          </w:p>
        </w:tc>
        <w:tc>
          <w:tcPr>
            <w:tcW w:w="4680" w:type="dxa"/>
            <w:gridSpan w:val="4"/>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ind w:firstLine="480" w:firstLineChars="200"/>
              <w:jc w:val="left"/>
              <w:textAlignment w:val="center"/>
              <w:rPr>
                <w:rFonts w:ascii="宋体" w:hAnsi="宋体" w:eastAsia="仿宋_GB2312"/>
                <w:color w:val="000000"/>
                <w:sz w:val="24"/>
              </w:rPr>
            </w:pPr>
            <w:r>
              <w:rPr>
                <w:rFonts w:hint="eastAsia" w:ascii="仿宋_GB2312"/>
                <w:sz w:val="24"/>
                <w:lang w:eastAsia="zh-CN"/>
              </w:rPr>
              <w:t>为实物保障车辆一台提供全年燃油、洗车停车、过路过桥、保险、维修维护等资金保障，确保该车辆正常运行</w:t>
            </w:r>
            <w:r>
              <w:rPr>
                <w:rFonts w:ascii="仿宋_GB2312"/>
              </w:rPr>
              <w:t>。</w:t>
            </w:r>
          </w:p>
        </w:tc>
        <w:tc>
          <w:tcPr>
            <w:tcW w:w="4320" w:type="dxa"/>
            <w:gridSpan w:val="3"/>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ind w:firstLine="480" w:firstLineChars="200"/>
              <w:jc w:val="left"/>
              <w:textAlignment w:val="center"/>
              <w:rPr>
                <w:rFonts w:ascii="宋体" w:hAnsi="宋体" w:eastAsia="仿宋_GB2312"/>
                <w:color w:val="000000"/>
                <w:sz w:val="24"/>
              </w:rPr>
            </w:pPr>
            <w:r>
              <w:rPr>
                <w:rFonts w:hint="eastAsia" w:ascii="仿宋_GB2312"/>
                <w:sz w:val="24"/>
                <w:lang w:eastAsia="zh-CN"/>
              </w:rPr>
              <w:t>全面保障了实物保障车辆一台提供全年燃油、洗车停车、过路过桥、保险、维修维护等资金，确保了该车辆正常运行。</w:t>
            </w:r>
          </w:p>
        </w:tc>
      </w:tr>
      <w:tr>
        <w:tblPrEx>
          <w:tblCellMar>
            <w:top w:w="0" w:type="dxa"/>
            <w:left w:w="0" w:type="dxa"/>
            <w:bottom w:w="0" w:type="dxa"/>
            <w:right w:w="0" w:type="dxa"/>
          </w:tblCellMar>
        </w:tblPrEx>
        <w:trPr>
          <w:trHeight w:val="1042" w:hRule="atLeast"/>
        </w:trPr>
        <w:tc>
          <w:tcPr>
            <w:tcW w:w="540"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eastAsia="仿宋_GB2312"/>
                <w:color w:val="000000"/>
                <w:sz w:val="24"/>
              </w:rPr>
            </w:pPr>
            <w:r>
              <w:rPr>
                <w:rFonts w:ascii="宋体" w:hAnsi="宋体" w:cs="宋体"/>
                <w:color w:val="000000"/>
                <w:sz w:val="24"/>
              </w:rPr>
              <w:t>绩效指标完成情况</w:t>
            </w:r>
          </w:p>
        </w:tc>
        <w:tc>
          <w:tcPr>
            <w:tcW w:w="16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eastAsia="仿宋_GB2312"/>
                <w:color w:val="000000"/>
                <w:sz w:val="24"/>
              </w:rPr>
            </w:pPr>
            <w:r>
              <w:rPr>
                <w:rFonts w:ascii="宋体" w:hAnsi="宋体" w:cs="宋体"/>
                <w:color w:val="000000"/>
                <w:kern w:val="0"/>
                <w:sz w:val="24"/>
              </w:rPr>
              <w:t>一级指标</w:t>
            </w:r>
          </w:p>
        </w:tc>
        <w:tc>
          <w:tcPr>
            <w:tcW w:w="1342"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eastAsia="仿宋_GB2312"/>
                <w:color w:val="000000"/>
                <w:sz w:val="24"/>
              </w:rPr>
            </w:pPr>
            <w:r>
              <w:rPr>
                <w:rFonts w:ascii="宋体" w:hAnsi="宋体" w:cs="宋体"/>
                <w:color w:val="000000"/>
                <w:kern w:val="0"/>
                <w:sz w:val="24"/>
              </w:rPr>
              <w:t>二级指标</w:t>
            </w:r>
          </w:p>
        </w:tc>
        <w:tc>
          <w:tcPr>
            <w:tcW w:w="172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eastAsia="仿宋_GB2312"/>
                <w:color w:val="000000"/>
                <w:sz w:val="24"/>
              </w:rPr>
            </w:pPr>
            <w:r>
              <w:rPr>
                <w:rFonts w:ascii="宋体" w:hAnsi="宋体" w:cs="宋体"/>
                <w:color w:val="000000"/>
                <w:kern w:val="0"/>
                <w:sz w:val="24"/>
              </w:rPr>
              <w:t>三级指标</w:t>
            </w:r>
          </w:p>
        </w:tc>
        <w:tc>
          <w:tcPr>
            <w:tcW w:w="224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eastAsia="仿宋_GB2312"/>
                <w:color w:val="000000"/>
                <w:sz w:val="24"/>
              </w:rPr>
            </w:pPr>
            <w:r>
              <w:rPr>
                <w:rFonts w:ascii="宋体" w:hAnsi="宋体" w:cs="宋体"/>
                <w:color w:val="000000"/>
                <w:kern w:val="0"/>
                <w:sz w:val="24"/>
              </w:rPr>
              <w:t>预期指标值(</w:t>
            </w:r>
            <w:r>
              <w:rPr>
                <w:rFonts w:ascii="仿宋_GB2312" w:hAnsi="仿宋_GB2312" w:cs="宋体"/>
                <w:color w:val="000000"/>
                <w:kern w:val="0"/>
                <w:sz w:val="24"/>
              </w:rPr>
              <w:t>包含数字及文字描述</w:t>
            </w:r>
            <w:r>
              <w:rPr>
                <w:rFonts w:ascii="宋体" w:hAnsi="宋体" w:cs="宋体"/>
                <w:color w:val="000000"/>
                <w:kern w:val="0"/>
                <w:sz w:val="24"/>
              </w:rPr>
              <w:t>)</w:t>
            </w:r>
          </w:p>
        </w:tc>
        <w:tc>
          <w:tcPr>
            <w:tcW w:w="2078"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eastAsia="仿宋_GB2312"/>
                <w:color w:val="000000"/>
                <w:sz w:val="24"/>
              </w:rPr>
            </w:pPr>
            <w:r>
              <w:rPr>
                <w:rFonts w:ascii="宋体" w:hAnsi="宋体" w:cs="宋体"/>
                <w:color w:val="000000"/>
                <w:kern w:val="0"/>
                <w:sz w:val="24"/>
              </w:rPr>
              <w:t>实际完成指标值(</w:t>
            </w:r>
            <w:r>
              <w:rPr>
                <w:rFonts w:ascii="仿宋_GB2312" w:hAnsi="仿宋_GB2312"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953" w:hRule="atLeast"/>
        </w:trPr>
        <w:tc>
          <w:tcPr>
            <w:tcW w:w="540" w:type="dxa"/>
            <w:vMerge w:val="continue"/>
            <w:tcBorders>
              <w:left w:val="single" w:color="000000" w:sz="4" w:space="0"/>
              <w:right w:val="single" w:color="000000" w:sz="4" w:space="0"/>
            </w:tcBorders>
            <w:noWrap w:val="0"/>
            <w:vAlign w:val="center"/>
          </w:tcPr>
          <w:p>
            <w:pPr>
              <w:widowControl/>
              <w:jc w:val="left"/>
              <w:rPr>
                <w:rFonts w:ascii="宋体" w:hAnsi="宋体" w:eastAsia="仿宋_GB2312"/>
                <w:color w:val="000000"/>
                <w:sz w:val="24"/>
              </w:rPr>
            </w:pPr>
          </w:p>
        </w:tc>
        <w:tc>
          <w:tcPr>
            <w:tcW w:w="16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eastAsia="仿宋_GB2312"/>
                <w:color w:val="000000"/>
                <w:sz w:val="24"/>
              </w:rPr>
            </w:pPr>
            <w:r>
              <w:rPr>
                <w:rFonts w:ascii="宋体" w:hAnsi="宋体" w:cs="宋体"/>
                <w:color w:val="000000"/>
                <w:kern w:val="0"/>
                <w:sz w:val="24"/>
              </w:rPr>
              <w:t>项目完成指标</w:t>
            </w:r>
          </w:p>
        </w:tc>
        <w:tc>
          <w:tcPr>
            <w:tcW w:w="1342"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eastAsia="仿宋_GB2312" w:cs="宋体"/>
                <w:color w:val="000000"/>
                <w:sz w:val="24"/>
              </w:rPr>
            </w:pPr>
            <w:r>
              <w:rPr>
                <w:rFonts w:ascii="宋体" w:hAnsi="宋体" w:cs="宋体"/>
                <w:color w:val="000000"/>
                <w:sz w:val="24"/>
              </w:rPr>
              <w:t>质量指标</w:t>
            </w:r>
          </w:p>
        </w:tc>
        <w:tc>
          <w:tcPr>
            <w:tcW w:w="172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hint="eastAsia" w:ascii="宋体" w:hAnsi="宋体" w:eastAsia="仿宋_GB2312"/>
                <w:color w:val="000000"/>
                <w:sz w:val="24"/>
                <w:lang w:eastAsia="zh-CN"/>
              </w:rPr>
            </w:pPr>
            <w:r>
              <w:rPr>
                <w:rFonts w:hint="eastAsia" w:ascii="宋体" w:hAnsi="宋体" w:eastAsia="仿宋_GB2312" w:cs="宋体"/>
                <w:color w:val="000000"/>
                <w:sz w:val="24"/>
                <w:lang w:eastAsia="zh-CN"/>
              </w:rPr>
              <w:t>保质保量正常运转</w:t>
            </w:r>
          </w:p>
        </w:tc>
        <w:tc>
          <w:tcPr>
            <w:tcW w:w="224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hint="eastAsia" w:ascii="宋体" w:hAnsi="宋体" w:eastAsia="仿宋_GB2312" w:cs="宋体"/>
                <w:color w:val="000000"/>
                <w:sz w:val="24"/>
                <w:lang w:eastAsia="zh-CN"/>
              </w:rPr>
            </w:pPr>
            <w:r>
              <w:rPr>
                <w:rFonts w:hint="eastAsia" w:ascii="宋体" w:hAnsi="宋体" w:eastAsia="仿宋_GB2312" w:cs="宋体"/>
                <w:color w:val="000000"/>
                <w:sz w:val="24"/>
                <w:lang w:eastAsia="zh-CN"/>
              </w:rPr>
              <w:t>为</w:t>
            </w:r>
            <w:r>
              <w:rPr>
                <w:rFonts w:hint="eastAsia" w:ascii="仿宋_GB2312"/>
                <w:sz w:val="24"/>
                <w:lang w:eastAsia="zh-CN"/>
              </w:rPr>
              <w:t>实物保障车辆一台提供全年燃油、保险、洗车停车、过路过桥、保险、维修维护等资金，确保了该车辆正常运行</w:t>
            </w:r>
          </w:p>
        </w:tc>
        <w:tc>
          <w:tcPr>
            <w:tcW w:w="2078"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hint="eastAsia" w:ascii="宋体" w:hAnsi="宋体" w:eastAsia="宋体"/>
                <w:color w:val="000000"/>
                <w:sz w:val="24"/>
                <w:lang w:eastAsia="zh-CN"/>
              </w:rPr>
            </w:pPr>
            <w:r>
              <w:rPr>
                <w:rFonts w:ascii="宋体" w:hAnsi="宋体" w:cs="宋体"/>
                <w:color w:val="000000"/>
                <w:sz w:val="24"/>
              </w:rPr>
              <w:t>全面</w:t>
            </w:r>
            <w:r>
              <w:rPr>
                <w:rFonts w:hint="eastAsia" w:ascii="宋体" w:hAnsi="宋体" w:cs="宋体"/>
                <w:color w:val="000000"/>
                <w:sz w:val="24"/>
                <w:lang w:eastAsia="zh-CN"/>
              </w:rPr>
              <w:t>保障车辆耗用，</w:t>
            </w:r>
            <w:r>
              <w:rPr>
                <w:rFonts w:hint="eastAsia" w:ascii="仿宋_GB2312"/>
                <w:sz w:val="24"/>
                <w:lang w:eastAsia="zh-CN"/>
              </w:rPr>
              <w:t>确保了该车辆正常运行</w:t>
            </w:r>
          </w:p>
        </w:tc>
      </w:tr>
      <w:tr>
        <w:tblPrEx>
          <w:tblCellMar>
            <w:top w:w="0" w:type="dxa"/>
            <w:left w:w="0" w:type="dxa"/>
            <w:bottom w:w="0" w:type="dxa"/>
            <w:right w:w="0" w:type="dxa"/>
          </w:tblCellMar>
        </w:tblPrEx>
        <w:trPr>
          <w:trHeight w:val="1297" w:hRule="atLeast"/>
        </w:trPr>
        <w:tc>
          <w:tcPr>
            <w:tcW w:w="540" w:type="dxa"/>
            <w:vMerge w:val="continue"/>
            <w:tcBorders>
              <w:left w:val="single" w:color="000000" w:sz="4" w:space="0"/>
              <w:right w:val="single" w:color="000000" w:sz="4" w:space="0"/>
            </w:tcBorders>
            <w:noWrap w:val="0"/>
            <w:vAlign w:val="center"/>
          </w:tcPr>
          <w:p>
            <w:pPr>
              <w:widowControl/>
              <w:jc w:val="left"/>
              <w:rPr>
                <w:rFonts w:ascii="宋体" w:hAnsi="宋体" w:eastAsia="仿宋_GB2312"/>
                <w:color w:val="000000"/>
                <w:sz w:val="24"/>
              </w:rPr>
            </w:pPr>
          </w:p>
        </w:tc>
        <w:tc>
          <w:tcPr>
            <w:tcW w:w="16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eastAsia="仿宋_GB2312"/>
                <w:color w:val="000000"/>
                <w:sz w:val="24"/>
              </w:rPr>
            </w:pPr>
            <w:r>
              <w:rPr>
                <w:rFonts w:ascii="宋体" w:hAnsi="宋体" w:cs="宋体"/>
                <w:color w:val="000000"/>
                <w:kern w:val="0"/>
                <w:sz w:val="24"/>
              </w:rPr>
              <w:t>效益指标</w:t>
            </w:r>
          </w:p>
        </w:tc>
        <w:tc>
          <w:tcPr>
            <w:tcW w:w="1342"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eastAsia="仿宋_GB2312" w:cs="宋体"/>
                <w:color w:val="000000"/>
                <w:sz w:val="24"/>
              </w:rPr>
            </w:pPr>
            <w:r>
              <w:rPr>
                <w:rFonts w:ascii="宋体" w:hAnsi="宋体" w:cs="宋体"/>
                <w:color w:val="000000"/>
                <w:sz w:val="24"/>
              </w:rPr>
              <w:t>经济效益</w:t>
            </w:r>
          </w:p>
        </w:tc>
        <w:tc>
          <w:tcPr>
            <w:tcW w:w="172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eastAsia="仿宋_GB2312" w:cs="宋体"/>
                <w:color w:val="000000"/>
                <w:sz w:val="24"/>
              </w:rPr>
            </w:pPr>
            <w:r>
              <w:rPr>
                <w:rFonts w:ascii="宋体" w:hAnsi="宋体" w:cs="宋体"/>
                <w:color w:val="000000"/>
                <w:sz w:val="24"/>
              </w:rPr>
              <w:t>投入和工作成效</w:t>
            </w:r>
          </w:p>
        </w:tc>
        <w:tc>
          <w:tcPr>
            <w:tcW w:w="224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宋体" w:hAnsi="宋体" w:eastAsia="仿宋_GB2312" w:cs="宋体"/>
                <w:color w:val="000000"/>
                <w:sz w:val="24"/>
              </w:rPr>
            </w:pPr>
            <w:r>
              <w:rPr>
                <w:rFonts w:ascii="宋体" w:hAnsi="宋体" w:cs="宋体"/>
                <w:color w:val="000000"/>
                <w:sz w:val="24"/>
              </w:rPr>
              <w:t>在现有的资源上，低投入高效率完成</w:t>
            </w:r>
          </w:p>
        </w:tc>
        <w:tc>
          <w:tcPr>
            <w:tcW w:w="2078"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宋体" w:hAnsi="宋体" w:eastAsia="仿宋_GB2312" w:cs="宋体"/>
                <w:color w:val="000000"/>
                <w:sz w:val="24"/>
              </w:rPr>
            </w:pPr>
            <w:r>
              <w:rPr>
                <w:rFonts w:ascii="宋体" w:hAnsi="宋体" w:cs="宋体"/>
                <w:color w:val="000000"/>
                <w:sz w:val="24"/>
              </w:rPr>
              <w:t>在现有的资源上，低投入高效率完成</w:t>
            </w:r>
          </w:p>
        </w:tc>
      </w:tr>
      <w:tr>
        <w:tblPrEx>
          <w:tblCellMar>
            <w:top w:w="0" w:type="dxa"/>
            <w:left w:w="0" w:type="dxa"/>
            <w:bottom w:w="0" w:type="dxa"/>
            <w:right w:w="0" w:type="dxa"/>
          </w:tblCellMar>
        </w:tblPrEx>
        <w:trPr>
          <w:trHeight w:val="1042" w:hRule="atLeast"/>
        </w:trPr>
        <w:tc>
          <w:tcPr>
            <w:tcW w:w="540" w:type="dxa"/>
            <w:vMerge w:val="continue"/>
            <w:tcBorders>
              <w:left w:val="single" w:color="000000" w:sz="4" w:space="0"/>
              <w:right w:val="single" w:color="000000" w:sz="4" w:space="0"/>
            </w:tcBorders>
            <w:noWrap w:val="0"/>
            <w:vAlign w:val="center"/>
          </w:tcPr>
          <w:p>
            <w:pPr>
              <w:widowControl/>
              <w:jc w:val="left"/>
              <w:rPr>
                <w:rFonts w:ascii="宋体" w:hAnsi="宋体" w:eastAsia="仿宋_GB2312"/>
                <w:color w:val="000000"/>
                <w:sz w:val="24"/>
              </w:rPr>
            </w:pPr>
          </w:p>
        </w:tc>
        <w:tc>
          <w:tcPr>
            <w:tcW w:w="16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eastAsia="仿宋_GB2312"/>
                <w:color w:val="000000"/>
                <w:sz w:val="24"/>
              </w:rPr>
            </w:pPr>
            <w:r>
              <w:rPr>
                <w:rFonts w:ascii="宋体" w:hAnsi="宋体" w:cs="宋体"/>
                <w:color w:val="000000"/>
                <w:kern w:val="0"/>
                <w:sz w:val="24"/>
              </w:rPr>
              <w:t>效益指标</w:t>
            </w:r>
          </w:p>
        </w:tc>
        <w:tc>
          <w:tcPr>
            <w:tcW w:w="1342"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eastAsia="仿宋_GB2312" w:cs="宋体"/>
                <w:color w:val="000000"/>
                <w:sz w:val="24"/>
              </w:rPr>
            </w:pPr>
            <w:r>
              <w:rPr>
                <w:rFonts w:ascii="宋体" w:hAnsi="宋体" w:cs="宋体"/>
                <w:color w:val="000000"/>
                <w:sz w:val="24"/>
              </w:rPr>
              <w:t>社会效益</w:t>
            </w:r>
          </w:p>
        </w:tc>
        <w:tc>
          <w:tcPr>
            <w:tcW w:w="172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eastAsia="宋体"/>
                <w:color w:val="000000"/>
                <w:sz w:val="24"/>
                <w:lang w:eastAsia="zh-CN"/>
              </w:rPr>
            </w:pPr>
            <w:r>
              <w:rPr>
                <w:rFonts w:hint="eastAsia" w:ascii="宋体" w:hAnsi="宋体" w:cs="宋体"/>
                <w:color w:val="000000"/>
                <w:sz w:val="24"/>
                <w:lang w:eastAsia="zh-CN"/>
              </w:rPr>
              <w:t>政府决策层效率</w:t>
            </w:r>
          </w:p>
        </w:tc>
        <w:tc>
          <w:tcPr>
            <w:tcW w:w="224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进一步提高政府决策层效率</w:t>
            </w:r>
          </w:p>
        </w:tc>
        <w:tc>
          <w:tcPr>
            <w:tcW w:w="2078"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宋体" w:hAnsi="宋体" w:eastAsia="仿宋_GB2312"/>
                <w:color w:val="000000"/>
                <w:sz w:val="24"/>
              </w:rPr>
            </w:pPr>
            <w:r>
              <w:rPr>
                <w:rFonts w:hint="eastAsia" w:ascii="宋体" w:hAnsi="宋体" w:cs="宋体"/>
                <w:color w:val="000000"/>
                <w:sz w:val="24"/>
                <w:lang w:eastAsia="zh-CN"/>
              </w:rPr>
              <w:t>提高了政府决策层效率，促进全区经济社会发展</w:t>
            </w:r>
          </w:p>
        </w:tc>
      </w:tr>
      <w:tr>
        <w:tblPrEx>
          <w:tblCellMar>
            <w:top w:w="0" w:type="dxa"/>
            <w:left w:w="0" w:type="dxa"/>
            <w:bottom w:w="0" w:type="dxa"/>
            <w:right w:w="0" w:type="dxa"/>
          </w:tblCellMar>
        </w:tblPrEx>
        <w:trPr>
          <w:trHeight w:val="1042" w:hRule="atLeast"/>
        </w:trPr>
        <w:tc>
          <w:tcPr>
            <w:tcW w:w="540" w:type="dxa"/>
            <w:vMerge w:val="continue"/>
            <w:tcBorders>
              <w:left w:val="single" w:color="000000" w:sz="4" w:space="0"/>
              <w:bottom w:val="single" w:color="000000" w:sz="4" w:space="0"/>
              <w:right w:val="single" w:color="000000" w:sz="4" w:space="0"/>
            </w:tcBorders>
            <w:noWrap w:val="0"/>
            <w:vAlign w:val="center"/>
          </w:tcPr>
          <w:p>
            <w:pPr>
              <w:widowControl/>
              <w:jc w:val="left"/>
              <w:rPr>
                <w:rFonts w:ascii="宋体" w:hAnsi="宋体" w:eastAsia="仿宋_GB2312"/>
                <w:color w:val="000000"/>
                <w:sz w:val="24"/>
              </w:rPr>
            </w:pPr>
          </w:p>
        </w:tc>
        <w:tc>
          <w:tcPr>
            <w:tcW w:w="16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eastAsia="仿宋_GB2312"/>
                <w:color w:val="000000"/>
                <w:sz w:val="24"/>
              </w:rPr>
            </w:pPr>
            <w:r>
              <w:rPr>
                <w:rFonts w:ascii="宋体" w:hAnsi="宋体" w:cs="宋体"/>
                <w:color w:val="000000"/>
                <w:kern w:val="0"/>
                <w:sz w:val="24"/>
              </w:rPr>
              <w:t>满意度指标</w:t>
            </w:r>
          </w:p>
        </w:tc>
        <w:tc>
          <w:tcPr>
            <w:tcW w:w="1342"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eastAsia="仿宋_GB2312"/>
                <w:color w:val="000000"/>
                <w:sz w:val="24"/>
              </w:rPr>
            </w:pPr>
            <w:r>
              <w:rPr>
                <w:rFonts w:ascii="宋体" w:hAnsi="宋体" w:cs="宋体"/>
                <w:color w:val="000000"/>
                <w:sz w:val="24"/>
              </w:rPr>
              <w:t>满意度指标</w:t>
            </w:r>
          </w:p>
        </w:tc>
        <w:tc>
          <w:tcPr>
            <w:tcW w:w="172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宋体" w:hAnsi="宋体" w:eastAsia="仿宋_GB2312"/>
                <w:color w:val="000000"/>
                <w:sz w:val="24"/>
                <w:lang w:val="en-US" w:eastAsia="zh-CN"/>
              </w:rPr>
            </w:pPr>
            <w:r>
              <w:rPr>
                <w:rFonts w:hint="eastAsia" w:ascii="宋体" w:hAnsi="宋体" w:eastAsia="仿宋_GB2312"/>
                <w:color w:val="000000"/>
                <w:sz w:val="24"/>
                <w:lang w:val="en-US" w:eastAsia="zh-CN"/>
              </w:rPr>
              <w:t>管理对象及社会满意度</w:t>
            </w:r>
          </w:p>
        </w:tc>
        <w:tc>
          <w:tcPr>
            <w:tcW w:w="224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宋体" w:hAnsi="宋体" w:eastAsia="仿宋_GB2312"/>
                <w:color w:val="000000"/>
                <w:sz w:val="24"/>
              </w:rPr>
            </w:pPr>
            <w:r>
              <w:rPr>
                <w:rFonts w:hint="eastAsia" w:ascii="宋体" w:hAnsi="宋体" w:eastAsia="仿宋_GB2312"/>
                <w:color w:val="000000"/>
                <w:sz w:val="24"/>
                <w:lang w:eastAsia="zh-CN"/>
              </w:rPr>
              <w:t>有助于政府对上级政策的落实和本级执政能力的提高</w:t>
            </w:r>
          </w:p>
        </w:tc>
        <w:tc>
          <w:tcPr>
            <w:tcW w:w="2078"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宋体" w:hAnsi="宋体" w:eastAsia="仿宋_GB2312"/>
                <w:color w:val="000000"/>
                <w:sz w:val="24"/>
              </w:rPr>
            </w:pPr>
            <w:r>
              <w:rPr>
                <w:rFonts w:hint="eastAsia" w:ascii="宋体" w:hAnsi="宋体" w:eastAsia="仿宋_GB2312"/>
                <w:color w:val="000000"/>
                <w:sz w:val="24"/>
                <w:lang w:eastAsia="zh-CN"/>
              </w:rPr>
              <w:t>政府对上级政策的落实和本级执政能力的提高</w:t>
            </w:r>
          </w:p>
        </w:tc>
      </w:tr>
    </w:tbl>
    <w:p>
      <w:pPr>
        <w:widowControl/>
        <w:shd w:val="clear" w:color="auto" w:fill="FFFFFF"/>
        <w:jc w:val="left"/>
        <w:rPr>
          <w:rFonts w:hint="eastAsia" w:ascii="方正仿宋简体" w:hAnsi="微软雅黑" w:eastAsia="方正仿宋简体" w:cs="宋体"/>
          <w:color w:val="333333"/>
          <w:kern w:val="0"/>
          <w:sz w:val="32"/>
          <w:szCs w:val="32"/>
        </w:rPr>
      </w:pPr>
    </w:p>
    <w:p>
      <w:pPr>
        <w:widowControl/>
        <w:shd w:val="clear" w:color="auto" w:fill="FFFFFF"/>
        <w:ind w:firstLine="630"/>
        <w:jc w:val="left"/>
        <w:rPr>
          <w:rFonts w:hint="eastAsia"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rPr>
        <w:t>（二）项目绩效分析</w:t>
      </w:r>
    </w:p>
    <w:p>
      <w:pPr>
        <w:ind w:firstLine="640" w:firstLineChars="200"/>
      </w:pPr>
      <w:r>
        <w:rPr>
          <w:rFonts w:hint="eastAsia" w:ascii="方正仿宋简体" w:hAnsi="微软雅黑" w:eastAsia="方正仿宋简体" w:cs="宋体"/>
          <w:color w:val="333333"/>
          <w:kern w:val="0"/>
          <w:sz w:val="32"/>
          <w:szCs w:val="32"/>
        </w:rPr>
        <w:t>1、项目决策</w:t>
      </w:r>
      <w:r>
        <w:rPr>
          <w:rFonts w:hint="eastAsia" w:ascii="方正仿宋简体" w:hAnsi="微软雅黑" w:eastAsia="方正仿宋简体" w:cs="宋体"/>
          <w:color w:val="333333"/>
          <w:kern w:val="0"/>
          <w:sz w:val="32"/>
          <w:szCs w:val="32"/>
          <w:lang w:eastAsia="zh-CN"/>
        </w:rPr>
        <w:t>情况</w:t>
      </w:r>
      <w:r>
        <w:rPr>
          <w:rFonts w:hint="eastAsia" w:ascii="方正仿宋简体" w:hAnsi="微软雅黑" w:eastAsia="方正仿宋简体" w:cs="宋体"/>
          <w:color w:val="333333"/>
          <w:kern w:val="0"/>
          <w:sz w:val="32"/>
          <w:szCs w:val="32"/>
        </w:rPr>
        <w:t>。</w:t>
      </w:r>
      <w:r>
        <w:rPr>
          <w:rFonts w:hint="eastAsia" w:eastAsia="方正仿宋简体"/>
          <w:sz w:val="32"/>
          <w:szCs w:val="32"/>
        </w:rPr>
        <w:t>根据四川省党政机关公务用车改革实施方案总体要求，我区公务车辆于2016年实行车改，全区保留一般公务用车65辆，调研用车4辆，实物保障用车2辆。根据调配安排，区</w:t>
      </w:r>
      <w:r>
        <w:rPr>
          <w:rFonts w:hint="eastAsia" w:eastAsia="方正仿宋简体"/>
          <w:sz w:val="32"/>
          <w:szCs w:val="32"/>
          <w:lang w:eastAsia="zh-CN"/>
        </w:rPr>
        <w:t>政府主要领导</w:t>
      </w:r>
      <w:r>
        <w:rPr>
          <w:rFonts w:hint="eastAsia" w:eastAsia="方正仿宋简体"/>
          <w:sz w:val="32"/>
          <w:szCs w:val="32"/>
        </w:rPr>
        <w:t>使用实物保障车一辆，车辆运行维护费由区政府办保障。</w:t>
      </w:r>
    </w:p>
    <w:p>
      <w:pPr>
        <w:widowControl/>
        <w:shd w:val="clear" w:color="auto" w:fill="FFFFFF"/>
        <w:ind w:firstLine="630"/>
        <w:jc w:val="left"/>
        <w:rPr>
          <w:rFonts w:hint="eastAsia"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rPr>
        <w:t>2、项目管理情况</w:t>
      </w:r>
    </w:p>
    <w:p>
      <w:pPr>
        <w:widowControl/>
        <w:shd w:val="clear" w:color="auto" w:fill="FFFFFF"/>
        <w:ind w:firstLine="630"/>
        <w:jc w:val="left"/>
        <w:rPr>
          <w:rFonts w:hint="eastAsia" w:eastAsia="方正仿宋简体"/>
          <w:sz w:val="32"/>
          <w:szCs w:val="32"/>
          <w:lang w:val="zh-CN"/>
        </w:rPr>
      </w:pPr>
      <w:r>
        <w:rPr>
          <w:rFonts w:hint="eastAsia" w:ascii="方正仿宋简体" w:hAnsi="仿宋_GB2312" w:eastAsia="方正仿宋简体"/>
          <w:sz w:val="32"/>
          <w:szCs w:val="32"/>
        </w:rPr>
        <w:t>公务用车运行维护费</w:t>
      </w:r>
      <w:r>
        <w:rPr>
          <w:rFonts w:hint="eastAsia" w:eastAsia="方正仿宋简体"/>
          <w:sz w:val="32"/>
          <w:szCs w:val="32"/>
          <w:lang w:val="zh-CN"/>
        </w:rPr>
        <w:t>专项资金共计</w:t>
      </w:r>
      <w:r>
        <w:rPr>
          <w:rFonts w:hint="eastAsia" w:eastAsia="方正仿宋简体"/>
          <w:sz w:val="32"/>
          <w:szCs w:val="32"/>
          <w:lang w:val="en-US" w:eastAsia="zh-CN"/>
        </w:rPr>
        <w:t>6</w:t>
      </w:r>
      <w:r>
        <w:rPr>
          <w:rFonts w:hint="eastAsia" w:eastAsia="方正仿宋简体"/>
          <w:sz w:val="32"/>
          <w:szCs w:val="32"/>
          <w:lang w:val="zh-CN"/>
        </w:rPr>
        <w:t>万元，经财政局批复下达后，及时到位，并全部用于</w:t>
      </w:r>
      <w:r>
        <w:rPr>
          <w:rFonts w:hint="eastAsia" w:ascii="方正仿宋简体" w:hAnsi="仿宋_GB2312" w:eastAsia="方正仿宋简体"/>
          <w:sz w:val="32"/>
          <w:szCs w:val="32"/>
        </w:rPr>
        <w:t>公务用车运行维护费</w:t>
      </w:r>
      <w:r>
        <w:rPr>
          <w:rFonts w:hint="eastAsia" w:eastAsia="方正仿宋简体"/>
          <w:sz w:val="32"/>
          <w:szCs w:val="32"/>
          <w:lang w:val="zh-CN"/>
        </w:rPr>
        <w:t>项目。经费采取授权和直接支付形式，由区政府办财务室，按车辆正常耗用的进度，严格按照项目资金管理办法，对资金进行计划申请、划拨、使用，及时、规范对收支进行账务处理和会计核算。</w:t>
      </w:r>
    </w:p>
    <w:p>
      <w:pPr>
        <w:widowControl/>
        <w:shd w:val="clear" w:color="auto" w:fill="FFFFFF"/>
        <w:ind w:firstLine="630"/>
        <w:jc w:val="left"/>
        <w:rPr>
          <w:rFonts w:hint="eastAsia"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lang w:val="en-US" w:eastAsia="zh-CN"/>
        </w:rPr>
        <w:t>3</w:t>
      </w:r>
      <w:r>
        <w:rPr>
          <w:rFonts w:hint="eastAsia" w:ascii="方正仿宋简体" w:hAnsi="微软雅黑" w:eastAsia="方正仿宋简体" w:cs="宋体"/>
          <w:color w:val="333333"/>
          <w:kern w:val="0"/>
          <w:sz w:val="32"/>
          <w:szCs w:val="32"/>
        </w:rPr>
        <w:t>、项目绩效情况</w:t>
      </w:r>
    </w:p>
    <w:p>
      <w:pPr>
        <w:widowControl/>
        <w:shd w:val="clear" w:color="auto" w:fill="FFFFFF"/>
        <w:spacing w:line="405" w:lineRule="atLeast"/>
        <w:ind w:firstLine="615"/>
        <w:jc w:val="left"/>
        <w:rPr>
          <w:rFonts w:hint="eastAsia"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rPr>
        <w:t>通过自评，201</w:t>
      </w:r>
      <w:r>
        <w:rPr>
          <w:rFonts w:hint="eastAsia" w:ascii="方正仿宋简体" w:hAnsi="微软雅黑" w:eastAsia="方正仿宋简体" w:cs="宋体"/>
          <w:color w:val="333333"/>
          <w:kern w:val="0"/>
          <w:sz w:val="32"/>
          <w:szCs w:val="32"/>
          <w:lang w:val="en-US" w:eastAsia="zh-CN"/>
        </w:rPr>
        <w:t>8</w:t>
      </w:r>
      <w:r>
        <w:rPr>
          <w:rFonts w:hint="eastAsia" w:ascii="方正仿宋简体" w:hAnsi="微软雅黑" w:eastAsia="方正仿宋简体" w:cs="宋体"/>
          <w:color w:val="333333"/>
          <w:kern w:val="0"/>
          <w:sz w:val="32"/>
          <w:szCs w:val="32"/>
        </w:rPr>
        <w:t>年度公务用车</w:t>
      </w:r>
      <w:r>
        <w:rPr>
          <w:rFonts w:hint="eastAsia" w:ascii="方正仿宋简体" w:hAnsi="微软雅黑" w:eastAsia="方正仿宋简体" w:cs="宋体"/>
          <w:color w:val="333333"/>
          <w:kern w:val="0"/>
          <w:sz w:val="32"/>
          <w:szCs w:val="32"/>
          <w:lang w:eastAsia="zh-CN"/>
        </w:rPr>
        <w:t>运行维护</w:t>
      </w:r>
      <w:r>
        <w:rPr>
          <w:rFonts w:hint="eastAsia" w:ascii="方正仿宋简体" w:hAnsi="微软雅黑" w:eastAsia="方正仿宋简体" w:cs="宋体"/>
          <w:color w:val="333333"/>
          <w:kern w:val="0"/>
          <w:sz w:val="32"/>
          <w:szCs w:val="32"/>
        </w:rPr>
        <w:t>费专项资金管理规范，所有项目</w:t>
      </w:r>
      <w:r>
        <w:rPr>
          <w:rFonts w:hint="eastAsia" w:ascii="方正仿宋简体" w:hAnsi="微软雅黑" w:eastAsia="方正仿宋简体" w:cs="宋体"/>
          <w:color w:val="333333"/>
          <w:kern w:val="0"/>
          <w:sz w:val="32"/>
          <w:szCs w:val="32"/>
          <w:lang w:eastAsia="zh-CN"/>
        </w:rPr>
        <w:t>资金均</w:t>
      </w:r>
      <w:r>
        <w:rPr>
          <w:rFonts w:hint="eastAsia" w:ascii="方正仿宋简体" w:hAnsi="微软雅黑" w:eastAsia="方正仿宋简体" w:cs="宋体"/>
          <w:color w:val="333333"/>
          <w:kern w:val="0"/>
          <w:sz w:val="32"/>
          <w:szCs w:val="32"/>
        </w:rPr>
        <w:t>实现了规范运作。各项效益指标完成良好，一数量指标：公务用车</w:t>
      </w:r>
      <w:r>
        <w:rPr>
          <w:rFonts w:hint="eastAsia" w:ascii="方正仿宋简体" w:hAnsi="微软雅黑" w:eastAsia="方正仿宋简体" w:cs="宋体"/>
          <w:color w:val="333333"/>
          <w:kern w:val="0"/>
          <w:sz w:val="32"/>
          <w:szCs w:val="32"/>
          <w:lang w:eastAsia="zh-CN"/>
        </w:rPr>
        <w:t>保障车辆一</w:t>
      </w:r>
      <w:r>
        <w:rPr>
          <w:rFonts w:hint="eastAsia" w:ascii="方正仿宋简体" w:hAnsi="微软雅黑" w:eastAsia="方正仿宋简体" w:cs="宋体"/>
          <w:color w:val="333333"/>
          <w:kern w:val="0"/>
          <w:sz w:val="32"/>
          <w:szCs w:val="32"/>
        </w:rPr>
        <w:t>台。二是</w:t>
      </w:r>
      <w:r>
        <w:rPr>
          <w:rFonts w:hint="eastAsia" w:ascii="方正仿宋简体" w:hAnsi="微软雅黑" w:eastAsia="方正仿宋简体" w:cs="宋体"/>
          <w:color w:val="333333"/>
          <w:kern w:val="0"/>
          <w:sz w:val="32"/>
          <w:szCs w:val="32"/>
          <w:lang w:eastAsia="zh-CN"/>
        </w:rPr>
        <w:t>经济效益：</w:t>
      </w:r>
      <w:r>
        <w:rPr>
          <w:rFonts w:hint="eastAsia" w:ascii="方正仿宋简体" w:hAnsi="微软雅黑" w:eastAsia="方正仿宋简体" w:cs="宋体"/>
          <w:color w:val="333333"/>
          <w:kern w:val="0"/>
          <w:sz w:val="32"/>
          <w:szCs w:val="32"/>
        </w:rPr>
        <w:t>在现有的资源上，低投入高效率</w:t>
      </w:r>
      <w:r>
        <w:rPr>
          <w:rFonts w:hint="eastAsia" w:ascii="方正仿宋简体" w:hAnsi="微软雅黑" w:eastAsia="方正仿宋简体" w:cs="宋体"/>
          <w:color w:val="333333"/>
          <w:kern w:val="0"/>
          <w:sz w:val="32"/>
          <w:szCs w:val="32"/>
          <w:lang w:eastAsia="zh-CN"/>
        </w:rPr>
        <w:t>运行。三是</w:t>
      </w:r>
      <w:r>
        <w:rPr>
          <w:rFonts w:hint="eastAsia" w:ascii="方正仿宋简体" w:hAnsi="微软雅黑" w:eastAsia="方正仿宋简体" w:cs="宋体"/>
          <w:color w:val="333333"/>
          <w:kern w:val="0"/>
          <w:sz w:val="32"/>
          <w:szCs w:val="32"/>
        </w:rPr>
        <w:t>社会效益：确保</w:t>
      </w:r>
      <w:r>
        <w:rPr>
          <w:rFonts w:hint="eastAsia" w:ascii="方正仿宋简体" w:hAnsi="微软雅黑" w:eastAsia="方正仿宋简体" w:cs="宋体"/>
          <w:color w:val="333333"/>
          <w:kern w:val="0"/>
          <w:sz w:val="32"/>
          <w:szCs w:val="32"/>
          <w:lang w:eastAsia="zh-CN"/>
        </w:rPr>
        <w:t>区政府主要领导</w:t>
      </w:r>
      <w:r>
        <w:rPr>
          <w:rFonts w:hint="eastAsia" w:ascii="方正仿宋简体" w:hAnsi="微软雅黑" w:eastAsia="方正仿宋简体" w:cs="宋体"/>
          <w:color w:val="333333"/>
          <w:kern w:val="0"/>
          <w:sz w:val="32"/>
          <w:szCs w:val="32"/>
        </w:rPr>
        <w:t>公务用车正常运转、保障政府工作有序开展。四是</w:t>
      </w:r>
      <w:r>
        <w:rPr>
          <w:rFonts w:hint="eastAsia" w:ascii="方正仿宋简体" w:hAnsi="微软雅黑" w:eastAsia="方正仿宋简体" w:cs="宋体"/>
          <w:color w:val="333333"/>
          <w:kern w:val="0"/>
          <w:sz w:val="32"/>
          <w:szCs w:val="32"/>
          <w:lang w:eastAsia="zh-CN"/>
        </w:rPr>
        <w:t>管理</w:t>
      </w:r>
      <w:r>
        <w:rPr>
          <w:rFonts w:hint="eastAsia" w:ascii="方正仿宋简体" w:hAnsi="微软雅黑" w:eastAsia="方正仿宋简体" w:cs="宋体"/>
          <w:color w:val="333333"/>
          <w:kern w:val="0"/>
          <w:sz w:val="32"/>
          <w:szCs w:val="32"/>
        </w:rPr>
        <w:t>对象</w:t>
      </w:r>
      <w:r>
        <w:rPr>
          <w:rFonts w:hint="eastAsia" w:ascii="方正仿宋简体" w:hAnsi="微软雅黑" w:eastAsia="方正仿宋简体" w:cs="宋体"/>
          <w:color w:val="333333"/>
          <w:kern w:val="0"/>
          <w:sz w:val="32"/>
          <w:szCs w:val="32"/>
          <w:lang w:eastAsia="zh-CN"/>
        </w:rPr>
        <w:t>及社会</w:t>
      </w:r>
      <w:r>
        <w:rPr>
          <w:rFonts w:hint="eastAsia" w:ascii="方正仿宋简体" w:hAnsi="微软雅黑" w:eastAsia="方正仿宋简体" w:cs="宋体"/>
          <w:color w:val="333333"/>
          <w:kern w:val="0"/>
          <w:sz w:val="32"/>
          <w:szCs w:val="32"/>
        </w:rPr>
        <w:t>满意度：</w:t>
      </w:r>
      <w:r>
        <w:rPr>
          <w:rFonts w:hint="eastAsia" w:ascii="方正仿宋简体" w:hAnsi="微软雅黑" w:eastAsia="方正仿宋简体" w:cs="宋体"/>
          <w:color w:val="333333"/>
          <w:kern w:val="0"/>
          <w:sz w:val="32"/>
          <w:szCs w:val="32"/>
          <w:lang w:eastAsia="zh-CN"/>
        </w:rPr>
        <w:t>政府对上级政策的落实和本级执政能力再创新高</w:t>
      </w:r>
      <w:r>
        <w:rPr>
          <w:rFonts w:hint="eastAsia" w:ascii="方正仿宋简体" w:hAnsi="微软雅黑" w:eastAsia="方正仿宋简体" w:cs="宋体"/>
          <w:color w:val="333333"/>
          <w:kern w:val="0"/>
          <w:sz w:val="32"/>
          <w:szCs w:val="32"/>
        </w:rPr>
        <w:t>。</w:t>
      </w:r>
    </w:p>
    <w:p/>
    <w:p>
      <w:pPr>
        <w:rPr>
          <w:rFonts w:hint="eastAsia"/>
          <w:lang w:val="en-US" w:eastAsia="zh-CN"/>
        </w:rPr>
      </w:pPr>
    </w:p>
    <w:p>
      <w:pPr>
        <w:rPr>
          <w:rStyle w:val="24"/>
          <w:rFonts w:hint="eastAsia" w:ascii="仿宋" w:hAnsi="仿宋" w:eastAsia="仿宋"/>
          <w:b w:val="0"/>
          <w:bCs w:val="0"/>
          <w:sz w:val="32"/>
          <w:szCs w:val="32"/>
          <w:lang w:val="en-US" w:eastAsia="zh-CN"/>
        </w:rPr>
      </w:pPr>
    </w:p>
    <w:p>
      <w:pPr>
        <w:pStyle w:val="2"/>
        <w:rPr>
          <w:rStyle w:val="24"/>
          <w:rFonts w:hint="eastAsia" w:ascii="仿宋" w:hAnsi="仿宋" w:eastAsia="仿宋"/>
          <w:b w:val="0"/>
          <w:bCs w:val="0"/>
          <w:sz w:val="32"/>
          <w:szCs w:val="32"/>
          <w:lang w:val="en-US" w:eastAsia="zh-CN"/>
        </w:rPr>
      </w:pPr>
    </w:p>
    <w:p>
      <w:pPr>
        <w:pStyle w:val="2"/>
        <w:rPr>
          <w:rStyle w:val="24"/>
          <w:rFonts w:hint="eastAsia" w:ascii="仿宋" w:hAnsi="仿宋" w:eastAsia="仿宋"/>
          <w:b w:val="0"/>
          <w:bCs w:val="0"/>
          <w:sz w:val="32"/>
          <w:szCs w:val="32"/>
          <w:lang w:val="en-US" w:eastAsia="zh-CN"/>
        </w:rPr>
      </w:pPr>
    </w:p>
    <w:p>
      <w:pPr>
        <w:pStyle w:val="2"/>
        <w:rPr>
          <w:rStyle w:val="24"/>
          <w:rFonts w:hint="eastAsia" w:ascii="仿宋" w:hAnsi="仿宋" w:eastAsia="仿宋"/>
          <w:b w:val="0"/>
          <w:bCs w:val="0"/>
          <w:sz w:val="32"/>
          <w:szCs w:val="32"/>
          <w:lang w:val="en-US" w:eastAsia="zh-CN"/>
        </w:rPr>
      </w:pPr>
    </w:p>
    <w:p>
      <w:pPr>
        <w:pStyle w:val="2"/>
        <w:rPr>
          <w:rStyle w:val="24"/>
          <w:rFonts w:hint="eastAsia" w:ascii="仿宋" w:hAnsi="仿宋" w:eastAsia="仿宋"/>
          <w:b w:val="0"/>
          <w:bCs w:val="0"/>
          <w:sz w:val="32"/>
          <w:szCs w:val="32"/>
          <w:lang w:val="en-US" w:eastAsia="zh-CN"/>
        </w:rPr>
      </w:pPr>
    </w:p>
    <w:p>
      <w:pPr>
        <w:pStyle w:val="2"/>
        <w:rPr>
          <w:rStyle w:val="24"/>
          <w:rFonts w:hint="eastAsia" w:ascii="仿宋" w:hAnsi="仿宋" w:eastAsia="仿宋"/>
          <w:b w:val="0"/>
          <w:bCs w:val="0"/>
          <w:sz w:val="32"/>
          <w:szCs w:val="32"/>
          <w:lang w:val="en-US" w:eastAsia="zh-CN"/>
        </w:rPr>
      </w:pPr>
    </w:p>
    <w:p>
      <w:pPr>
        <w:pStyle w:val="2"/>
        <w:rPr>
          <w:rStyle w:val="24"/>
          <w:rFonts w:hint="eastAsia" w:hAnsi="仿宋"/>
          <w:b w:val="0"/>
          <w:bCs w:val="0"/>
          <w:sz w:val="32"/>
          <w:szCs w:val="32"/>
          <w:lang w:val="en-US" w:eastAsia="zh-CN"/>
        </w:rPr>
      </w:pPr>
      <w:r>
        <w:rPr>
          <w:rStyle w:val="24"/>
          <w:rFonts w:hint="eastAsia" w:hAnsi="仿宋"/>
          <w:b w:val="0"/>
          <w:bCs w:val="0"/>
          <w:sz w:val="32"/>
          <w:szCs w:val="32"/>
          <w:lang w:val="en-US" w:eastAsia="zh-CN"/>
        </w:rPr>
        <w:t>附件3</w:t>
      </w:r>
    </w:p>
    <w:p>
      <w:pPr>
        <w:pStyle w:val="29"/>
        <w:spacing w:line="58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广元市利州区人民政府办公室</w:t>
      </w:r>
    </w:p>
    <w:p>
      <w:pPr>
        <w:pStyle w:val="29"/>
        <w:spacing w:line="580" w:lineRule="exact"/>
        <w:jc w:val="center"/>
        <w:rPr>
          <w:rFonts w:hint="eastAsia" w:ascii="方正小标宋简体" w:hAnsi="方正小标宋简体" w:eastAsia="方正小标宋简体" w:cs="方正小标宋简体"/>
          <w:color w:val="auto"/>
          <w:kern w:val="2"/>
          <w:sz w:val="44"/>
          <w:szCs w:val="44"/>
        </w:rPr>
      </w:pPr>
      <w:r>
        <w:rPr>
          <w:rFonts w:hint="eastAsia" w:ascii="方正小标宋简体" w:hAnsi="方正小标宋简体" w:eastAsia="方正小标宋简体" w:cs="方正小标宋简体"/>
          <w:sz w:val="44"/>
          <w:szCs w:val="44"/>
        </w:rPr>
        <w:t>项目支出绩效自评报告</w:t>
      </w:r>
    </w:p>
    <w:p>
      <w:pPr>
        <w:spacing w:line="200" w:lineRule="exact"/>
        <w:jc w:val="center"/>
        <w:rPr>
          <w:rFonts w:ascii="仿宋_GB2312" w:hAnsi="宋体"/>
          <w:szCs w:val="32"/>
        </w:rPr>
      </w:pPr>
    </w:p>
    <w:p>
      <w:pPr>
        <w:spacing w:line="58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区政府各项重大决策经费项目</w:t>
      </w:r>
      <w:r>
        <w:rPr>
          <w:rFonts w:hint="eastAsia" w:ascii="方正仿宋简体" w:hAnsi="方正仿宋简体" w:eastAsia="方正仿宋简体" w:cs="方正仿宋简体"/>
          <w:sz w:val="32"/>
          <w:szCs w:val="32"/>
        </w:rPr>
        <w:t>）</w:t>
      </w:r>
    </w:p>
    <w:p>
      <w:pPr>
        <w:pStyle w:val="29"/>
        <w:spacing w:line="580" w:lineRule="exact"/>
        <w:jc w:val="center"/>
        <w:rPr>
          <w:rFonts w:ascii="宋体" w:hAnsi="宋体" w:cs="Times New Roman"/>
          <w:color w:val="auto"/>
          <w:kern w:val="2"/>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rPr>
          <w:rFonts w:hint="eastAsia"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rPr>
        <w:t>一、</w:t>
      </w:r>
      <w:r>
        <w:rPr>
          <w:rFonts w:hint="eastAsia" w:ascii="微软雅黑" w:hAnsi="微软雅黑" w:eastAsia="方正仿宋简体" w:cs="宋体"/>
          <w:color w:val="333333"/>
          <w:kern w:val="0"/>
          <w:sz w:val="32"/>
          <w:szCs w:val="32"/>
        </w:rPr>
        <w:t> </w:t>
      </w:r>
      <w:r>
        <w:rPr>
          <w:rFonts w:hint="eastAsia" w:ascii="方正仿宋简体" w:hAnsi="微软雅黑" w:eastAsia="方正仿宋简体" w:cs="宋体"/>
          <w:color w:val="333333"/>
          <w:kern w:val="0"/>
          <w:sz w:val="32"/>
          <w:szCs w:val="32"/>
        </w:rPr>
        <w:t>项目概况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210" w:leftChars="100" w:firstLine="307" w:firstLineChars="96"/>
        <w:jc w:val="left"/>
        <w:rPr>
          <w:rFonts w:hint="eastAsia"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rPr>
        <w:t>按照</w:t>
      </w:r>
      <w:r>
        <w:rPr>
          <w:rFonts w:hint="eastAsia" w:ascii="方正仿宋简体" w:hAnsi="微软雅黑" w:eastAsia="方正仿宋简体" w:cs="宋体"/>
          <w:color w:val="333333"/>
          <w:kern w:val="0"/>
          <w:sz w:val="32"/>
          <w:szCs w:val="32"/>
          <w:lang w:eastAsia="zh-CN"/>
        </w:rPr>
        <w:t>区委区政府职能分工，区政府承担民生工程、产业发展、招商引资、城市建设、各项重大会议、活动、决策的筹备、管理等工作</w:t>
      </w:r>
      <w:r>
        <w:rPr>
          <w:rFonts w:hint="eastAsia" w:ascii="方正仿宋简体" w:hAnsi="微软雅黑" w:eastAsia="方正仿宋简体" w:cs="宋体"/>
          <w:color w:val="333333"/>
          <w:kern w:val="0"/>
          <w:sz w:val="32"/>
          <w:szCs w:val="32"/>
        </w:rPr>
        <w:t>，</w:t>
      </w:r>
      <w:r>
        <w:rPr>
          <w:rFonts w:hint="eastAsia" w:ascii="方正仿宋简体" w:hAnsi="微软雅黑" w:eastAsia="方正仿宋简体" w:cs="宋体"/>
          <w:color w:val="333333"/>
          <w:kern w:val="0"/>
          <w:sz w:val="32"/>
          <w:szCs w:val="32"/>
          <w:lang w:eastAsia="zh-CN"/>
        </w:rPr>
        <w:t>相关工作经费保障</w:t>
      </w:r>
      <w:r>
        <w:rPr>
          <w:rFonts w:hint="eastAsia" w:ascii="方正仿宋简体" w:hAnsi="微软雅黑" w:eastAsia="方正仿宋简体" w:cs="宋体"/>
          <w:color w:val="333333"/>
          <w:kern w:val="0"/>
          <w:sz w:val="32"/>
          <w:szCs w:val="32"/>
        </w:rPr>
        <w:t>由区政府办公室承担。</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jc w:val="left"/>
        <w:rPr>
          <w:rFonts w:hint="eastAsia"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rPr>
        <w:t>二、评价结论及绩效分析</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jc w:val="left"/>
        <w:rPr>
          <w:rFonts w:hint="eastAsia"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rPr>
        <w:t>（一）项目绩效评价结论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jc w:val="left"/>
        <w:rPr>
          <w:rFonts w:hint="eastAsia"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rPr>
        <w:t>2018年财政预算</w:t>
      </w:r>
      <w:r>
        <w:rPr>
          <w:rFonts w:hint="eastAsia" w:ascii="仿宋_GB2312" w:hAnsi="宋体"/>
          <w:szCs w:val="32"/>
          <w:lang w:eastAsia="zh-CN"/>
        </w:rPr>
        <w:t>区政府各项重大决策经费</w:t>
      </w:r>
      <w:r>
        <w:rPr>
          <w:rFonts w:hint="eastAsia" w:ascii="方正仿宋简体" w:hAnsi="微软雅黑" w:eastAsia="方正仿宋简体" w:cs="宋体"/>
          <w:color w:val="333333"/>
          <w:kern w:val="0"/>
          <w:sz w:val="32"/>
          <w:szCs w:val="32"/>
        </w:rPr>
        <w:t>专项资金6</w:t>
      </w:r>
      <w:r>
        <w:rPr>
          <w:rFonts w:hint="eastAsia" w:ascii="方正仿宋简体" w:hAnsi="微软雅黑" w:eastAsia="方正仿宋简体" w:cs="宋体"/>
          <w:color w:val="333333"/>
          <w:kern w:val="0"/>
          <w:sz w:val="32"/>
          <w:szCs w:val="32"/>
          <w:lang w:val="en-US" w:eastAsia="zh-CN"/>
        </w:rPr>
        <w:t>0</w:t>
      </w:r>
      <w:r>
        <w:rPr>
          <w:rFonts w:hint="eastAsia" w:ascii="方正仿宋简体" w:hAnsi="微软雅黑" w:eastAsia="方正仿宋简体" w:cs="宋体"/>
          <w:color w:val="333333"/>
          <w:kern w:val="0"/>
          <w:sz w:val="32"/>
          <w:szCs w:val="32"/>
        </w:rPr>
        <w:t>万元,资金到位率100%。6</w:t>
      </w:r>
      <w:r>
        <w:rPr>
          <w:rFonts w:hint="eastAsia" w:ascii="方正仿宋简体" w:hAnsi="微软雅黑" w:eastAsia="方正仿宋简体" w:cs="宋体"/>
          <w:color w:val="333333"/>
          <w:kern w:val="0"/>
          <w:sz w:val="32"/>
          <w:szCs w:val="32"/>
          <w:lang w:val="en-US" w:eastAsia="zh-CN"/>
        </w:rPr>
        <w:t>0</w:t>
      </w:r>
      <w:r>
        <w:rPr>
          <w:rFonts w:hint="eastAsia" w:ascii="方正仿宋简体" w:hAnsi="微软雅黑" w:eastAsia="方正仿宋简体" w:cs="宋体"/>
          <w:color w:val="333333"/>
          <w:kern w:val="0"/>
          <w:sz w:val="32"/>
          <w:szCs w:val="32"/>
        </w:rPr>
        <w:t>万元专项资金全部使用到</w:t>
      </w:r>
      <w:r>
        <w:rPr>
          <w:rFonts w:hint="eastAsia" w:ascii="仿宋_GB2312" w:hAnsi="宋体"/>
          <w:szCs w:val="32"/>
          <w:lang w:eastAsia="zh-CN"/>
        </w:rPr>
        <w:t>政府各项重大决策公务活动</w:t>
      </w:r>
      <w:r>
        <w:rPr>
          <w:rFonts w:hint="eastAsia" w:ascii="方正仿宋简体" w:hAnsi="微软雅黑" w:eastAsia="方正仿宋简体" w:cs="宋体"/>
          <w:color w:val="333333"/>
          <w:kern w:val="0"/>
          <w:sz w:val="32"/>
          <w:szCs w:val="32"/>
        </w:rPr>
        <w:t>上，截至2018年12月31日，共计支付</w:t>
      </w:r>
      <w:r>
        <w:rPr>
          <w:rFonts w:hint="eastAsia" w:ascii="仿宋_GB2312" w:hAnsi="宋体"/>
          <w:szCs w:val="32"/>
          <w:lang w:eastAsia="zh-CN"/>
        </w:rPr>
        <w:t>政府各项重大决策</w:t>
      </w:r>
      <w:r>
        <w:rPr>
          <w:rFonts w:hint="eastAsia" w:ascii="方正仿宋简体" w:hAnsi="微软雅黑" w:eastAsia="方正仿宋简体" w:cs="宋体"/>
          <w:color w:val="333333"/>
          <w:kern w:val="0"/>
          <w:sz w:val="32"/>
          <w:szCs w:val="32"/>
        </w:rPr>
        <w:t>专项资金6</w:t>
      </w:r>
      <w:r>
        <w:rPr>
          <w:rFonts w:hint="eastAsia" w:ascii="方正仿宋简体" w:hAnsi="微软雅黑" w:eastAsia="方正仿宋简体" w:cs="宋体"/>
          <w:color w:val="333333"/>
          <w:kern w:val="0"/>
          <w:sz w:val="32"/>
          <w:szCs w:val="32"/>
          <w:lang w:val="en-US" w:eastAsia="zh-CN"/>
        </w:rPr>
        <w:t>0</w:t>
      </w:r>
      <w:r>
        <w:rPr>
          <w:rFonts w:hint="eastAsia" w:ascii="方正仿宋简体" w:hAnsi="微软雅黑" w:eastAsia="方正仿宋简体" w:cs="宋体"/>
          <w:color w:val="333333"/>
          <w:kern w:val="0"/>
          <w:sz w:val="32"/>
          <w:szCs w:val="32"/>
        </w:rPr>
        <w:t>万元，车辆运行正常，100%保障</w:t>
      </w:r>
      <w:r>
        <w:rPr>
          <w:rFonts w:hint="eastAsia" w:ascii="方正仿宋简体" w:hAnsi="微软雅黑" w:eastAsia="方正仿宋简体" w:cs="宋体"/>
          <w:color w:val="333333"/>
          <w:kern w:val="0"/>
          <w:sz w:val="32"/>
          <w:szCs w:val="32"/>
          <w:lang w:eastAsia="zh-CN"/>
        </w:rPr>
        <w:t>区政府各项重大决策相关公务活动正常开展</w:t>
      </w:r>
      <w:r>
        <w:rPr>
          <w:rFonts w:hint="eastAsia" w:ascii="方正仿宋简体" w:hAnsi="微软雅黑" w:eastAsia="方正仿宋简体" w:cs="宋体"/>
          <w:color w:val="333333"/>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jc w:val="left"/>
        <w:rPr>
          <w:rFonts w:hint="eastAsia" w:ascii="方正仿宋简体" w:hAnsi="微软雅黑" w:eastAsia="方正仿宋简体" w:cs="宋体"/>
          <w:color w:val="333333"/>
          <w:kern w:val="0"/>
          <w:sz w:val="32"/>
          <w:szCs w:val="32"/>
        </w:rPr>
      </w:pPr>
    </w:p>
    <w:tbl>
      <w:tblPr>
        <w:tblStyle w:val="13"/>
        <w:tblW w:w="9540" w:type="dxa"/>
        <w:tblInd w:w="-705" w:type="dxa"/>
        <w:tblLayout w:type="fixed"/>
        <w:tblCellMar>
          <w:top w:w="0" w:type="dxa"/>
          <w:left w:w="0" w:type="dxa"/>
          <w:bottom w:w="0" w:type="dxa"/>
          <w:right w:w="0" w:type="dxa"/>
        </w:tblCellMar>
      </w:tblPr>
      <w:tblGrid>
        <w:gridCol w:w="540"/>
        <w:gridCol w:w="1614"/>
        <w:gridCol w:w="906"/>
        <w:gridCol w:w="436"/>
        <w:gridCol w:w="1553"/>
        <w:gridCol w:w="2413"/>
        <w:gridCol w:w="98"/>
        <w:gridCol w:w="1980"/>
      </w:tblGrid>
      <w:tr>
        <w:tblPrEx>
          <w:tblCellMar>
            <w:top w:w="0" w:type="dxa"/>
            <w:left w:w="0" w:type="dxa"/>
            <w:bottom w:w="0" w:type="dxa"/>
            <w:right w:w="0" w:type="dxa"/>
          </w:tblCellMar>
        </w:tblPrEx>
        <w:trPr>
          <w:trHeight w:val="1034" w:hRule="atLeast"/>
        </w:trPr>
        <w:tc>
          <w:tcPr>
            <w:tcW w:w="9540" w:type="dxa"/>
            <w:gridSpan w:val="8"/>
            <w:tcBorders>
              <w:top w:val="nil"/>
              <w:left w:val="nil"/>
              <w:bottom w:val="nil"/>
              <w:right w:val="nil"/>
            </w:tcBorders>
            <w:noWrap w:val="0"/>
            <w:tcMar>
              <w:top w:w="15" w:type="dxa"/>
              <w:left w:w="15" w:type="dxa"/>
              <w:bottom w:w="0" w:type="dxa"/>
              <w:right w:w="15" w:type="dxa"/>
            </w:tcMar>
            <w:vAlign w:val="center"/>
          </w:tcPr>
          <w:p>
            <w:pPr>
              <w:pStyle w:val="23"/>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center"/>
              <w:rPr>
                <w:rFonts w:ascii="宋体" w:hAnsi="宋体"/>
                <w:color w:val="000000"/>
                <w:sz w:val="36"/>
                <w:szCs w:val="36"/>
              </w:rPr>
            </w:pPr>
            <w:r>
              <w:rPr>
                <w:rFonts w:hint="eastAsia" w:ascii="黑体" w:hAnsi="黑体" w:eastAsia="黑体" w:cs="宋体"/>
                <w:color w:val="000000"/>
                <w:kern w:val="0"/>
                <w:sz w:val="36"/>
                <w:szCs w:val="36"/>
              </w:rPr>
              <w:t>项目支出绩效目标完成情况表</w:t>
            </w:r>
            <w:r>
              <w:rPr>
                <w:rFonts w:ascii="宋体" w:hAnsi="宋体" w:cs="宋体"/>
                <w:b/>
                <w:bCs/>
                <w:color w:val="000000"/>
                <w:kern w:val="0"/>
                <w:sz w:val="36"/>
                <w:szCs w:val="36"/>
              </w:rPr>
              <w:br w:type="textWrapping"/>
            </w:r>
            <w:r>
              <w:rPr>
                <w:rFonts w:ascii="宋体" w:hAnsi="宋体" w:cs="宋体"/>
                <w:color w:val="000000"/>
                <w:kern w:val="0"/>
                <w:sz w:val="36"/>
                <w:szCs w:val="36"/>
              </w:rPr>
              <w:t>(2018</w:t>
            </w:r>
            <w:r>
              <w:rPr>
                <w:rFonts w:ascii="仿宋_GB2312" w:hAnsi="仿宋_GB2312" w:cs="宋体"/>
                <w:color w:val="000000"/>
                <w:kern w:val="0"/>
                <w:sz w:val="36"/>
                <w:szCs w:val="36"/>
              </w:rPr>
              <w:t>年度</w:t>
            </w:r>
            <w:r>
              <w:rPr>
                <w:rFonts w:ascii="宋体" w:hAnsi="宋体" w:eastAsia="宋体" w:cs="宋体"/>
                <w:color w:val="000000"/>
                <w:kern w:val="0"/>
                <w:sz w:val="36"/>
                <w:szCs w:val="36"/>
              </w:rPr>
              <w:t>)</w:t>
            </w:r>
          </w:p>
        </w:tc>
      </w:tr>
      <w:tr>
        <w:tblPrEx>
          <w:tblCellMar>
            <w:top w:w="0" w:type="dxa"/>
            <w:left w:w="0" w:type="dxa"/>
            <w:bottom w:w="0" w:type="dxa"/>
            <w:right w:w="0" w:type="dxa"/>
          </w:tblCellMar>
        </w:tblPrEx>
        <w:trPr>
          <w:trHeight w:val="276" w:hRule="atLeast"/>
        </w:trPr>
        <w:tc>
          <w:tcPr>
            <w:tcW w:w="306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仿宋_GB2312"/>
                <w:color w:val="000000"/>
                <w:sz w:val="24"/>
              </w:rPr>
            </w:pPr>
            <w:r>
              <w:rPr>
                <w:rFonts w:ascii="宋体" w:hAnsi="宋体" w:cs="宋体"/>
                <w:color w:val="000000"/>
                <w:kern w:val="0"/>
                <w:sz w:val="24"/>
              </w:rPr>
              <w:t>项目名称</w:t>
            </w:r>
          </w:p>
        </w:tc>
        <w:tc>
          <w:tcPr>
            <w:tcW w:w="6480" w:type="dxa"/>
            <w:gridSpan w:val="5"/>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宋体" w:hAnsi="宋体" w:eastAsia="仿宋_GB2312" w:cs="宋体"/>
                <w:color w:val="000000"/>
                <w:sz w:val="24"/>
              </w:rPr>
            </w:pPr>
            <w:r>
              <w:rPr>
                <w:rFonts w:hint="eastAsia" w:ascii="宋体" w:hAnsi="宋体" w:cs="宋体"/>
                <w:color w:val="000000"/>
                <w:sz w:val="24"/>
                <w:lang w:eastAsia="zh-CN"/>
              </w:rPr>
              <w:t>政府各项重大决策经费</w:t>
            </w:r>
          </w:p>
        </w:tc>
      </w:tr>
      <w:tr>
        <w:tblPrEx>
          <w:tblCellMar>
            <w:top w:w="0" w:type="dxa"/>
            <w:left w:w="0" w:type="dxa"/>
            <w:bottom w:w="0" w:type="dxa"/>
            <w:right w:w="0" w:type="dxa"/>
          </w:tblCellMar>
        </w:tblPrEx>
        <w:trPr>
          <w:trHeight w:val="276" w:hRule="atLeast"/>
        </w:trPr>
        <w:tc>
          <w:tcPr>
            <w:tcW w:w="306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仿宋_GB2312"/>
                <w:color w:val="000000"/>
                <w:sz w:val="24"/>
              </w:rPr>
            </w:pPr>
            <w:r>
              <w:rPr>
                <w:rFonts w:ascii="宋体" w:hAnsi="宋体" w:cs="宋体"/>
                <w:color w:val="000000"/>
                <w:kern w:val="0"/>
                <w:sz w:val="24"/>
              </w:rPr>
              <w:t>预算单位</w:t>
            </w:r>
          </w:p>
        </w:tc>
        <w:tc>
          <w:tcPr>
            <w:tcW w:w="6480" w:type="dxa"/>
            <w:gridSpan w:val="5"/>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仿宋_GB2312" w:cs="宋体"/>
                <w:color w:val="000000"/>
                <w:sz w:val="24"/>
              </w:rPr>
            </w:pPr>
            <w:r>
              <w:rPr>
                <w:rFonts w:ascii="宋体" w:hAnsi="宋体" w:cs="宋体"/>
                <w:color w:val="000000"/>
                <w:sz w:val="24"/>
              </w:rPr>
              <w:t>广元市利州区人民政府办公室</w:t>
            </w:r>
          </w:p>
        </w:tc>
      </w:tr>
      <w:tr>
        <w:tblPrEx>
          <w:tblCellMar>
            <w:top w:w="0" w:type="dxa"/>
            <w:left w:w="0" w:type="dxa"/>
            <w:bottom w:w="0" w:type="dxa"/>
            <w:right w:w="0" w:type="dxa"/>
          </w:tblCellMar>
        </w:tblPrEx>
        <w:trPr>
          <w:trHeight w:val="276" w:hRule="atLeast"/>
        </w:trPr>
        <w:tc>
          <w:tcPr>
            <w:tcW w:w="540"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仿宋_GB2312"/>
                <w:color w:val="000000"/>
                <w:sz w:val="24"/>
              </w:rPr>
            </w:pPr>
            <w:r>
              <w:rPr>
                <w:rFonts w:ascii="宋体" w:hAnsi="宋体" w:cs="宋体"/>
                <w:color w:val="000000"/>
                <w:kern w:val="0"/>
                <w:sz w:val="24"/>
              </w:rPr>
              <w:t>预算执行情况(</w:t>
            </w:r>
            <w:r>
              <w:rPr>
                <w:rFonts w:ascii="仿宋_GB2312" w:hAnsi="仿宋_GB2312" w:cs="宋体"/>
                <w:color w:val="000000"/>
                <w:kern w:val="0"/>
                <w:sz w:val="24"/>
              </w:rPr>
              <w:t>万元</w:t>
            </w:r>
            <w:r>
              <w:rPr>
                <w:rFonts w:ascii="宋体" w:hAnsi="宋体" w:cs="宋体"/>
                <w:color w:val="000000"/>
                <w:kern w:val="0"/>
                <w:sz w:val="24"/>
              </w:rPr>
              <w:t>)</w:t>
            </w:r>
          </w:p>
        </w:tc>
        <w:tc>
          <w:tcPr>
            <w:tcW w:w="2520"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仿宋_GB2312"/>
                <w:color w:val="000000"/>
                <w:sz w:val="24"/>
              </w:rPr>
            </w:pPr>
            <w:r>
              <w:rPr>
                <w:rFonts w:ascii="宋体" w:hAnsi="宋体" w:cs="宋体"/>
                <w:color w:val="000000"/>
                <w:kern w:val="0"/>
                <w:sz w:val="24"/>
              </w:rPr>
              <w:t>预算数:</w:t>
            </w:r>
          </w:p>
        </w:tc>
        <w:tc>
          <w:tcPr>
            <w:tcW w:w="1989"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仿宋_GB2312" w:cs="宋体"/>
                <w:color w:val="000000"/>
                <w:sz w:val="24"/>
              </w:rPr>
            </w:pPr>
            <w:r>
              <w:rPr>
                <w:rFonts w:hint="eastAsia" w:ascii="宋体" w:hAnsi="宋体" w:cs="宋体"/>
                <w:color w:val="000000"/>
                <w:sz w:val="24"/>
              </w:rPr>
              <w:t>6</w:t>
            </w:r>
            <w:r>
              <w:rPr>
                <w:rFonts w:hint="eastAsia" w:ascii="宋体" w:hAnsi="宋体" w:cs="宋体"/>
                <w:color w:val="000000"/>
                <w:sz w:val="24"/>
                <w:lang w:val="en-US" w:eastAsia="zh-CN"/>
              </w:rPr>
              <w:t>0</w:t>
            </w:r>
            <w:r>
              <w:rPr>
                <w:rFonts w:ascii="仿宋_GB2312" w:hAnsi="仿宋_GB2312" w:cs="宋体"/>
                <w:color w:val="000000"/>
                <w:sz w:val="24"/>
              </w:rPr>
              <w:t>万元</w:t>
            </w:r>
          </w:p>
        </w:tc>
        <w:tc>
          <w:tcPr>
            <w:tcW w:w="2511"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仿宋_GB2312"/>
                <w:color w:val="000000"/>
                <w:sz w:val="24"/>
              </w:rPr>
            </w:pPr>
            <w:r>
              <w:rPr>
                <w:rFonts w:ascii="宋体" w:hAnsi="宋体" w:cs="宋体"/>
                <w:color w:val="000000"/>
                <w:kern w:val="0"/>
                <w:sz w:val="24"/>
              </w:rPr>
              <w:t>执行数:</w:t>
            </w:r>
          </w:p>
        </w:tc>
        <w:tc>
          <w:tcPr>
            <w:tcW w:w="198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仿宋_GB2312" w:cs="宋体"/>
                <w:color w:val="000000"/>
                <w:sz w:val="24"/>
              </w:rPr>
            </w:pPr>
            <w:r>
              <w:rPr>
                <w:rFonts w:hint="eastAsia" w:ascii="宋体" w:hAnsi="宋体" w:cs="宋体"/>
                <w:color w:val="000000"/>
                <w:sz w:val="24"/>
              </w:rPr>
              <w:t>6</w:t>
            </w:r>
            <w:r>
              <w:rPr>
                <w:rFonts w:hint="eastAsia" w:ascii="宋体" w:hAnsi="宋体" w:cs="宋体"/>
                <w:color w:val="000000"/>
                <w:sz w:val="24"/>
                <w:lang w:val="en-US" w:eastAsia="zh-CN"/>
              </w:rPr>
              <w:t>0</w:t>
            </w:r>
            <w:r>
              <w:rPr>
                <w:rFonts w:ascii="仿宋_GB2312" w:hAnsi="仿宋_GB2312" w:cs="宋体"/>
                <w:color w:val="000000"/>
                <w:sz w:val="24"/>
              </w:rPr>
              <w:t>万元</w:t>
            </w:r>
          </w:p>
        </w:tc>
      </w:tr>
      <w:tr>
        <w:tblPrEx>
          <w:tblCellMar>
            <w:top w:w="0" w:type="dxa"/>
            <w:left w:w="0" w:type="dxa"/>
            <w:bottom w:w="0" w:type="dxa"/>
            <w:right w:w="0" w:type="dxa"/>
          </w:tblCellMar>
        </w:tblPrEx>
        <w:trPr>
          <w:trHeight w:val="276" w:hRule="atLeast"/>
        </w:trPr>
        <w:tc>
          <w:tcPr>
            <w:tcW w:w="540"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rPr>
                <w:rFonts w:ascii="宋体" w:hAnsi="宋体" w:eastAsia="仿宋_GB2312"/>
                <w:color w:val="000000"/>
                <w:sz w:val="24"/>
              </w:rPr>
            </w:pPr>
          </w:p>
        </w:tc>
        <w:tc>
          <w:tcPr>
            <w:tcW w:w="2520"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仿宋_GB2312"/>
                <w:color w:val="000000"/>
                <w:sz w:val="24"/>
              </w:rPr>
            </w:pPr>
            <w:r>
              <w:rPr>
                <w:rFonts w:ascii="宋体" w:hAnsi="宋体" w:cs="宋体"/>
                <w:color w:val="000000"/>
                <w:kern w:val="0"/>
                <w:sz w:val="24"/>
              </w:rPr>
              <w:t>其中-</w:t>
            </w:r>
            <w:r>
              <w:rPr>
                <w:rFonts w:ascii="仿宋_GB2312" w:hAnsi="仿宋_GB2312" w:cs="宋体"/>
                <w:color w:val="000000"/>
                <w:kern w:val="0"/>
                <w:sz w:val="24"/>
              </w:rPr>
              <w:t>财政拨款</w:t>
            </w:r>
            <w:r>
              <w:rPr>
                <w:rFonts w:ascii="宋体" w:hAnsi="宋体" w:cs="宋体"/>
                <w:color w:val="000000"/>
                <w:kern w:val="0"/>
                <w:sz w:val="24"/>
              </w:rPr>
              <w:t>:</w:t>
            </w:r>
          </w:p>
        </w:tc>
        <w:tc>
          <w:tcPr>
            <w:tcW w:w="1989"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仿宋_GB2312"/>
                <w:color w:val="000000"/>
                <w:sz w:val="24"/>
              </w:rPr>
            </w:pPr>
            <w:r>
              <w:rPr>
                <w:rFonts w:hint="eastAsia" w:ascii="宋体" w:hAnsi="宋体" w:cs="宋体"/>
                <w:color w:val="000000"/>
                <w:sz w:val="24"/>
              </w:rPr>
              <w:t>6</w:t>
            </w:r>
            <w:r>
              <w:rPr>
                <w:rFonts w:hint="eastAsia" w:ascii="宋体" w:hAnsi="宋体" w:cs="宋体"/>
                <w:color w:val="000000"/>
                <w:sz w:val="24"/>
                <w:lang w:val="en-US" w:eastAsia="zh-CN"/>
              </w:rPr>
              <w:t>0</w:t>
            </w:r>
            <w:r>
              <w:rPr>
                <w:rFonts w:ascii="仿宋_GB2312" w:hAnsi="仿宋_GB2312" w:cs="宋体"/>
                <w:color w:val="000000"/>
                <w:sz w:val="24"/>
              </w:rPr>
              <w:t>万元</w:t>
            </w:r>
          </w:p>
        </w:tc>
        <w:tc>
          <w:tcPr>
            <w:tcW w:w="2511"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仿宋_GB2312"/>
                <w:color w:val="000000"/>
                <w:sz w:val="24"/>
              </w:rPr>
            </w:pPr>
            <w:r>
              <w:rPr>
                <w:rFonts w:ascii="宋体" w:hAnsi="宋体" w:cs="宋体"/>
                <w:color w:val="000000"/>
                <w:kern w:val="0"/>
                <w:sz w:val="24"/>
              </w:rPr>
              <w:t>其中-</w:t>
            </w:r>
            <w:r>
              <w:rPr>
                <w:rFonts w:ascii="仿宋_GB2312" w:hAnsi="仿宋_GB2312" w:cs="宋体"/>
                <w:color w:val="000000"/>
                <w:kern w:val="0"/>
                <w:sz w:val="24"/>
              </w:rPr>
              <w:t>财政拨款</w:t>
            </w:r>
            <w:r>
              <w:rPr>
                <w:rFonts w:ascii="宋体" w:hAnsi="宋体" w:cs="宋体"/>
                <w:color w:val="000000"/>
                <w:kern w:val="0"/>
                <w:sz w:val="24"/>
              </w:rPr>
              <w:t>:</w:t>
            </w:r>
          </w:p>
        </w:tc>
        <w:tc>
          <w:tcPr>
            <w:tcW w:w="198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仿宋_GB2312"/>
                <w:color w:val="000000"/>
                <w:sz w:val="24"/>
              </w:rPr>
            </w:pPr>
            <w:r>
              <w:rPr>
                <w:rFonts w:hint="eastAsia" w:ascii="宋体" w:hAnsi="宋体" w:cs="宋体"/>
                <w:color w:val="000000"/>
                <w:sz w:val="24"/>
              </w:rPr>
              <w:t>6</w:t>
            </w:r>
            <w:r>
              <w:rPr>
                <w:rFonts w:hint="eastAsia" w:ascii="宋体" w:hAnsi="宋体" w:cs="宋体"/>
                <w:color w:val="000000"/>
                <w:sz w:val="24"/>
                <w:lang w:val="en-US" w:eastAsia="zh-CN"/>
              </w:rPr>
              <w:t>0</w:t>
            </w:r>
            <w:r>
              <w:rPr>
                <w:rFonts w:ascii="仿宋_GB2312" w:hAnsi="仿宋_GB2312" w:cs="宋体"/>
                <w:color w:val="000000"/>
                <w:sz w:val="24"/>
              </w:rPr>
              <w:t>万元</w:t>
            </w:r>
          </w:p>
        </w:tc>
      </w:tr>
      <w:tr>
        <w:tblPrEx>
          <w:tblCellMar>
            <w:top w:w="0" w:type="dxa"/>
            <w:left w:w="0" w:type="dxa"/>
            <w:bottom w:w="0" w:type="dxa"/>
            <w:right w:w="0" w:type="dxa"/>
          </w:tblCellMar>
        </w:tblPrEx>
        <w:trPr>
          <w:trHeight w:val="1113" w:hRule="atLeast"/>
        </w:trPr>
        <w:tc>
          <w:tcPr>
            <w:tcW w:w="540"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rPr>
                <w:rFonts w:ascii="宋体" w:hAnsi="宋体" w:eastAsia="仿宋_GB2312"/>
                <w:color w:val="000000"/>
                <w:sz w:val="24"/>
              </w:rPr>
            </w:pPr>
          </w:p>
        </w:tc>
        <w:tc>
          <w:tcPr>
            <w:tcW w:w="2520"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仿宋_GB2312"/>
                <w:color w:val="000000"/>
                <w:sz w:val="24"/>
              </w:rPr>
            </w:pPr>
            <w:r>
              <w:rPr>
                <w:rFonts w:ascii="宋体" w:hAnsi="宋体" w:cs="宋体"/>
                <w:color w:val="000000"/>
                <w:kern w:val="0"/>
                <w:sz w:val="24"/>
              </w:rPr>
              <w:t>其它资金:</w:t>
            </w:r>
          </w:p>
        </w:tc>
        <w:tc>
          <w:tcPr>
            <w:tcW w:w="1989"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仿宋_GB2312"/>
                <w:color w:val="000000"/>
                <w:sz w:val="24"/>
              </w:rPr>
            </w:pPr>
            <w:r>
              <w:rPr>
                <w:rFonts w:ascii="宋体" w:hAnsi="宋体" w:cs="宋体"/>
                <w:color w:val="000000"/>
                <w:kern w:val="0"/>
                <w:sz w:val="24"/>
              </w:rPr>
              <w:t>0</w:t>
            </w:r>
          </w:p>
        </w:tc>
        <w:tc>
          <w:tcPr>
            <w:tcW w:w="2511"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仿宋_GB2312"/>
                <w:color w:val="000000"/>
                <w:sz w:val="24"/>
              </w:rPr>
            </w:pPr>
            <w:r>
              <w:rPr>
                <w:rFonts w:ascii="宋体" w:hAnsi="宋体" w:cs="宋体"/>
                <w:color w:val="000000"/>
                <w:kern w:val="0"/>
                <w:sz w:val="24"/>
              </w:rPr>
              <w:t>其它资金:</w:t>
            </w:r>
          </w:p>
        </w:tc>
        <w:tc>
          <w:tcPr>
            <w:tcW w:w="198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ascii="宋体" w:hAnsi="宋体" w:eastAsia="仿宋_GB2312" w:cs="宋体"/>
                <w:color w:val="000000"/>
                <w:sz w:val="24"/>
              </w:rPr>
            </w:pPr>
            <w:r>
              <w:rPr>
                <w:rFonts w:ascii="宋体" w:hAnsi="宋体" w:cs="宋体"/>
                <w:color w:val="000000"/>
                <w:sz w:val="24"/>
              </w:rPr>
              <w:t>0</w:t>
            </w:r>
          </w:p>
        </w:tc>
      </w:tr>
      <w:tr>
        <w:tblPrEx>
          <w:tblCellMar>
            <w:top w:w="0" w:type="dxa"/>
            <w:left w:w="0" w:type="dxa"/>
            <w:bottom w:w="0" w:type="dxa"/>
            <w:right w:w="0" w:type="dxa"/>
          </w:tblCellMar>
        </w:tblPrEx>
        <w:trPr>
          <w:trHeight w:val="276" w:hRule="atLeast"/>
        </w:trPr>
        <w:tc>
          <w:tcPr>
            <w:tcW w:w="540"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仿宋_GB2312"/>
                <w:color w:val="000000"/>
                <w:sz w:val="24"/>
              </w:rPr>
            </w:pPr>
            <w:r>
              <w:rPr>
                <w:rFonts w:ascii="宋体" w:hAnsi="宋体" w:cs="宋体"/>
                <w:color w:val="000000"/>
                <w:kern w:val="0"/>
                <w:sz w:val="24"/>
              </w:rPr>
              <w:t>年度目标完成情况</w:t>
            </w:r>
          </w:p>
        </w:tc>
        <w:tc>
          <w:tcPr>
            <w:tcW w:w="4509" w:type="dxa"/>
            <w:gridSpan w:val="4"/>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仿宋_GB2312"/>
                <w:color w:val="000000"/>
                <w:sz w:val="24"/>
              </w:rPr>
            </w:pPr>
            <w:r>
              <w:rPr>
                <w:rFonts w:ascii="宋体" w:hAnsi="宋体" w:cs="宋体"/>
                <w:color w:val="000000"/>
                <w:kern w:val="0"/>
                <w:sz w:val="24"/>
              </w:rPr>
              <w:t>预期目标</w:t>
            </w:r>
          </w:p>
        </w:tc>
        <w:tc>
          <w:tcPr>
            <w:tcW w:w="4491" w:type="dxa"/>
            <w:gridSpan w:val="3"/>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仿宋_GB2312"/>
                <w:color w:val="000000"/>
                <w:sz w:val="24"/>
              </w:rPr>
            </w:pPr>
            <w:r>
              <w:rPr>
                <w:rFonts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540"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rPr>
                <w:rFonts w:ascii="宋体" w:hAnsi="宋体" w:eastAsia="仿宋_GB2312"/>
                <w:color w:val="000000"/>
                <w:sz w:val="24"/>
              </w:rPr>
            </w:pPr>
          </w:p>
        </w:tc>
        <w:tc>
          <w:tcPr>
            <w:tcW w:w="4509" w:type="dxa"/>
            <w:gridSpan w:val="4"/>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center"/>
              <w:rPr>
                <w:rFonts w:ascii="宋体" w:hAnsi="宋体" w:eastAsia="仿宋_GB2312"/>
                <w:color w:val="000000"/>
                <w:sz w:val="24"/>
              </w:rPr>
            </w:pPr>
            <w:r>
              <w:rPr>
                <w:rFonts w:hint="eastAsia" w:ascii="仿宋_GB2312"/>
                <w:sz w:val="24"/>
                <w:lang w:eastAsia="zh-CN"/>
              </w:rPr>
              <w:t>为区政府领导层民生工程、产业发展、招商引资、城市建设重大会议、活动、决策筹备、管理、开展提供经费保障，保障相关公务活动正常有序开展。</w:t>
            </w:r>
          </w:p>
        </w:tc>
        <w:tc>
          <w:tcPr>
            <w:tcW w:w="4491" w:type="dxa"/>
            <w:gridSpan w:val="3"/>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center"/>
              <w:rPr>
                <w:rFonts w:ascii="宋体" w:hAnsi="宋体" w:eastAsia="仿宋_GB2312"/>
                <w:color w:val="000000"/>
                <w:sz w:val="24"/>
              </w:rPr>
            </w:pPr>
            <w:r>
              <w:rPr>
                <w:rFonts w:hint="eastAsia" w:ascii="仿宋_GB2312"/>
                <w:sz w:val="24"/>
                <w:lang w:eastAsia="zh-CN"/>
              </w:rPr>
              <w:t>为区政府领导层民生工程、产业发展、招商引资、城市建设等重大公务活动提供经费保障，保障了相关公务活动正常有序开展。</w:t>
            </w:r>
          </w:p>
        </w:tc>
      </w:tr>
      <w:tr>
        <w:tblPrEx>
          <w:tblCellMar>
            <w:top w:w="0" w:type="dxa"/>
            <w:left w:w="0" w:type="dxa"/>
            <w:bottom w:w="0" w:type="dxa"/>
            <w:right w:w="0" w:type="dxa"/>
          </w:tblCellMar>
        </w:tblPrEx>
        <w:trPr>
          <w:trHeight w:val="1042" w:hRule="atLeast"/>
        </w:trPr>
        <w:tc>
          <w:tcPr>
            <w:tcW w:w="540"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仿宋_GB2312"/>
                <w:color w:val="000000"/>
                <w:sz w:val="24"/>
              </w:rPr>
            </w:pPr>
            <w:r>
              <w:rPr>
                <w:rFonts w:ascii="宋体" w:hAnsi="宋体" w:cs="宋体"/>
                <w:color w:val="000000"/>
                <w:sz w:val="24"/>
              </w:rPr>
              <w:t>绩效指标完成情况</w:t>
            </w:r>
          </w:p>
        </w:tc>
        <w:tc>
          <w:tcPr>
            <w:tcW w:w="16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仿宋_GB2312"/>
                <w:color w:val="000000"/>
                <w:sz w:val="24"/>
              </w:rPr>
            </w:pPr>
            <w:r>
              <w:rPr>
                <w:rFonts w:ascii="宋体" w:hAnsi="宋体" w:cs="宋体"/>
                <w:color w:val="000000"/>
                <w:kern w:val="0"/>
                <w:sz w:val="24"/>
              </w:rPr>
              <w:t>一级指标</w:t>
            </w:r>
          </w:p>
        </w:tc>
        <w:tc>
          <w:tcPr>
            <w:tcW w:w="1342"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仿宋_GB2312"/>
                <w:color w:val="000000"/>
                <w:sz w:val="24"/>
              </w:rPr>
            </w:pPr>
            <w:r>
              <w:rPr>
                <w:rFonts w:ascii="宋体" w:hAnsi="宋体" w:cs="宋体"/>
                <w:color w:val="000000"/>
                <w:kern w:val="0"/>
                <w:sz w:val="24"/>
              </w:rPr>
              <w:t>二级指标</w:t>
            </w:r>
          </w:p>
        </w:tc>
        <w:tc>
          <w:tcPr>
            <w:tcW w:w="1553"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仿宋_GB2312"/>
                <w:color w:val="000000"/>
                <w:sz w:val="24"/>
              </w:rPr>
            </w:pPr>
            <w:r>
              <w:rPr>
                <w:rFonts w:ascii="宋体" w:hAnsi="宋体" w:cs="宋体"/>
                <w:color w:val="000000"/>
                <w:kern w:val="0"/>
                <w:sz w:val="24"/>
              </w:rPr>
              <w:t>三级指标</w:t>
            </w:r>
          </w:p>
        </w:tc>
        <w:tc>
          <w:tcPr>
            <w:tcW w:w="2413"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仿宋_GB2312"/>
                <w:color w:val="000000"/>
                <w:sz w:val="24"/>
              </w:rPr>
            </w:pPr>
            <w:r>
              <w:rPr>
                <w:rFonts w:ascii="宋体" w:hAnsi="宋体" w:cs="宋体"/>
                <w:color w:val="000000"/>
                <w:kern w:val="0"/>
                <w:sz w:val="24"/>
              </w:rPr>
              <w:t>预期指标值(</w:t>
            </w:r>
            <w:r>
              <w:rPr>
                <w:rFonts w:ascii="仿宋_GB2312" w:hAnsi="仿宋_GB2312" w:cs="宋体"/>
                <w:color w:val="000000"/>
                <w:kern w:val="0"/>
                <w:sz w:val="24"/>
              </w:rPr>
              <w:t>包含数字及文字描述</w:t>
            </w:r>
            <w:r>
              <w:rPr>
                <w:rFonts w:ascii="宋体" w:hAnsi="宋体" w:cs="宋体"/>
                <w:color w:val="000000"/>
                <w:kern w:val="0"/>
                <w:sz w:val="24"/>
              </w:rPr>
              <w:t>)</w:t>
            </w:r>
          </w:p>
        </w:tc>
        <w:tc>
          <w:tcPr>
            <w:tcW w:w="2078"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仿宋_GB2312"/>
                <w:color w:val="000000"/>
                <w:sz w:val="24"/>
              </w:rPr>
            </w:pPr>
            <w:r>
              <w:rPr>
                <w:rFonts w:ascii="宋体" w:hAnsi="宋体" w:cs="宋体"/>
                <w:color w:val="000000"/>
                <w:kern w:val="0"/>
                <w:sz w:val="24"/>
              </w:rPr>
              <w:t>实际完成指标值(</w:t>
            </w:r>
            <w:r>
              <w:rPr>
                <w:rFonts w:ascii="仿宋_GB2312" w:hAnsi="仿宋_GB2312"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953" w:hRule="atLeast"/>
        </w:trPr>
        <w:tc>
          <w:tcPr>
            <w:tcW w:w="540"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rPr>
                <w:rFonts w:ascii="宋体" w:hAnsi="宋体" w:eastAsia="仿宋_GB2312"/>
                <w:color w:val="000000"/>
                <w:sz w:val="24"/>
              </w:rPr>
            </w:pPr>
          </w:p>
        </w:tc>
        <w:tc>
          <w:tcPr>
            <w:tcW w:w="1614" w:type="dxa"/>
            <w:vMerge w:val="restart"/>
            <w:tcBorders>
              <w:top w:val="single" w:color="000000" w:sz="4" w:space="0"/>
              <w:left w:val="nil"/>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仿宋_GB2312"/>
                <w:color w:val="000000"/>
                <w:sz w:val="24"/>
              </w:rPr>
            </w:pPr>
            <w:r>
              <w:rPr>
                <w:rFonts w:ascii="宋体" w:hAnsi="宋体" w:cs="宋体"/>
                <w:color w:val="000000"/>
                <w:kern w:val="0"/>
                <w:sz w:val="24"/>
              </w:rPr>
              <w:t>项目完成指标</w:t>
            </w:r>
          </w:p>
        </w:tc>
        <w:tc>
          <w:tcPr>
            <w:tcW w:w="1342"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仿宋_GB2312" w:cs="宋体"/>
                <w:color w:val="000000"/>
                <w:sz w:val="24"/>
              </w:rPr>
            </w:pPr>
            <w:r>
              <w:rPr>
                <w:rFonts w:hint="eastAsia" w:ascii="宋体" w:hAnsi="宋体" w:cs="宋体"/>
                <w:color w:val="000000"/>
                <w:sz w:val="24"/>
                <w:lang w:eastAsia="zh-CN"/>
              </w:rPr>
              <w:t>数量</w:t>
            </w:r>
            <w:r>
              <w:rPr>
                <w:rFonts w:ascii="宋体" w:hAnsi="宋体" w:cs="宋体"/>
                <w:color w:val="000000"/>
                <w:sz w:val="24"/>
              </w:rPr>
              <w:t>指标</w:t>
            </w:r>
          </w:p>
        </w:tc>
        <w:tc>
          <w:tcPr>
            <w:tcW w:w="1553"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hint="eastAsia" w:ascii="宋体" w:hAnsi="宋体" w:eastAsia="仿宋_GB2312"/>
                <w:color w:val="000000"/>
                <w:sz w:val="24"/>
                <w:lang w:eastAsia="zh-CN"/>
              </w:rPr>
            </w:pPr>
            <w:r>
              <w:rPr>
                <w:rFonts w:hint="eastAsia" w:ascii="宋体" w:hAnsi="宋体" w:eastAsia="仿宋_GB2312" w:cs="宋体"/>
                <w:color w:val="000000"/>
                <w:sz w:val="24"/>
                <w:lang w:eastAsia="zh-CN"/>
              </w:rPr>
              <w:t>按时、足额</w:t>
            </w:r>
          </w:p>
        </w:tc>
        <w:tc>
          <w:tcPr>
            <w:tcW w:w="2413"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hint="eastAsia" w:ascii="宋体" w:hAnsi="宋体" w:eastAsia="仿宋_GB2312" w:cs="宋体"/>
                <w:color w:val="000000"/>
                <w:sz w:val="24"/>
                <w:lang w:eastAsia="zh-CN"/>
              </w:rPr>
            </w:pPr>
            <w:r>
              <w:rPr>
                <w:rFonts w:hint="eastAsia" w:ascii="宋体" w:hAnsi="宋体" w:eastAsia="仿宋_GB2312" w:cs="宋体"/>
                <w:color w:val="000000"/>
                <w:sz w:val="24"/>
                <w:lang w:eastAsia="zh-CN"/>
              </w:rPr>
              <w:t>按照公务活动开展进度按时、足额提供经费保障</w:t>
            </w:r>
          </w:p>
        </w:tc>
        <w:tc>
          <w:tcPr>
            <w:tcW w:w="2078"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hint="eastAsia" w:ascii="宋体" w:hAnsi="宋体" w:eastAsia="宋体"/>
                <w:color w:val="000000"/>
                <w:sz w:val="24"/>
                <w:lang w:eastAsia="zh-CN"/>
              </w:rPr>
            </w:pPr>
            <w:r>
              <w:rPr>
                <w:rFonts w:hint="eastAsia" w:ascii="宋体" w:hAnsi="宋体" w:eastAsia="仿宋_GB2312" w:cs="宋体"/>
                <w:color w:val="000000"/>
                <w:sz w:val="24"/>
                <w:lang w:eastAsia="zh-CN"/>
              </w:rPr>
              <w:t>按照公务活动开展进度按时、足额提供经费保障</w:t>
            </w:r>
          </w:p>
        </w:tc>
      </w:tr>
      <w:tr>
        <w:tblPrEx>
          <w:tblCellMar>
            <w:top w:w="0" w:type="dxa"/>
            <w:left w:w="0" w:type="dxa"/>
            <w:bottom w:w="0" w:type="dxa"/>
            <w:right w:w="0" w:type="dxa"/>
          </w:tblCellMar>
        </w:tblPrEx>
        <w:trPr>
          <w:trHeight w:val="953" w:hRule="atLeast"/>
        </w:trPr>
        <w:tc>
          <w:tcPr>
            <w:tcW w:w="540"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rPr>
                <w:rFonts w:ascii="宋体" w:hAnsi="宋体" w:eastAsia="仿宋_GB2312"/>
                <w:color w:val="000000"/>
                <w:sz w:val="24"/>
              </w:rPr>
            </w:pPr>
          </w:p>
        </w:tc>
        <w:tc>
          <w:tcPr>
            <w:tcW w:w="1614" w:type="dxa"/>
            <w:vMerge w:val="continue"/>
            <w:tcBorders>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cs="宋体"/>
                <w:color w:val="000000"/>
                <w:kern w:val="0"/>
                <w:sz w:val="24"/>
              </w:rPr>
            </w:pPr>
          </w:p>
        </w:tc>
        <w:tc>
          <w:tcPr>
            <w:tcW w:w="1342"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宋体" w:hAnsi="宋体" w:eastAsia="仿宋_GB2312" w:cs="宋体"/>
                <w:color w:val="000000"/>
                <w:sz w:val="24"/>
                <w:lang w:eastAsia="zh-CN"/>
              </w:rPr>
            </w:pPr>
            <w:r>
              <w:rPr>
                <w:rFonts w:hint="eastAsia" w:ascii="宋体" w:hAnsi="宋体" w:cs="宋体"/>
                <w:color w:val="000000"/>
                <w:sz w:val="24"/>
                <w:lang w:eastAsia="zh-CN"/>
              </w:rPr>
              <w:t>质量指标</w:t>
            </w:r>
          </w:p>
        </w:tc>
        <w:tc>
          <w:tcPr>
            <w:tcW w:w="1553"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hint="eastAsia" w:ascii="宋体" w:hAnsi="宋体" w:eastAsia="仿宋_GB2312" w:cs="宋体"/>
                <w:color w:val="000000"/>
                <w:sz w:val="24"/>
                <w:lang w:eastAsia="zh-CN"/>
              </w:rPr>
            </w:pPr>
            <w:r>
              <w:rPr>
                <w:rFonts w:hint="eastAsia" w:ascii="宋体" w:hAnsi="宋体" w:eastAsia="仿宋_GB2312" w:cs="宋体"/>
                <w:color w:val="000000"/>
                <w:sz w:val="24"/>
                <w:lang w:eastAsia="zh-CN"/>
              </w:rPr>
              <w:t>规范、高效</w:t>
            </w:r>
          </w:p>
        </w:tc>
        <w:tc>
          <w:tcPr>
            <w:tcW w:w="2413"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hint="eastAsia" w:ascii="宋体" w:hAnsi="宋体" w:eastAsia="仿宋_GB2312" w:cs="宋体"/>
                <w:color w:val="000000"/>
                <w:sz w:val="24"/>
                <w:lang w:eastAsia="zh-CN"/>
              </w:rPr>
            </w:pPr>
            <w:r>
              <w:rPr>
                <w:rFonts w:hint="eastAsia" w:ascii="宋体" w:hAnsi="宋体" w:eastAsia="仿宋_GB2312" w:cs="宋体"/>
                <w:color w:val="000000"/>
                <w:sz w:val="24"/>
                <w:lang w:eastAsia="zh-CN"/>
              </w:rPr>
              <w:t>按照专项资金管理制度规范资金使用方法，提高资金使用效益</w:t>
            </w:r>
          </w:p>
        </w:tc>
        <w:tc>
          <w:tcPr>
            <w:tcW w:w="2078"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ascii="宋体" w:hAnsi="宋体" w:cs="宋体"/>
                <w:color w:val="000000"/>
                <w:sz w:val="24"/>
              </w:rPr>
            </w:pPr>
            <w:r>
              <w:rPr>
                <w:rFonts w:hint="eastAsia" w:ascii="宋体" w:hAnsi="宋体" w:eastAsia="仿宋_GB2312" w:cs="宋体"/>
                <w:color w:val="000000"/>
                <w:sz w:val="24"/>
                <w:lang w:eastAsia="zh-CN"/>
              </w:rPr>
              <w:t>按照专项资金管理制度规范资金使用方法，提高资金使用效益</w:t>
            </w:r>
          </w:p>
        </w:tc>
      </w:tr>
      <w:tr>
        <w:tblPrEx>
          <w:tblCellMar>
            <w:top w:w="0" w:type="dxa"/>
            <w:left w:w="0" w:type="dxa"/>
            <w:bottom w:w="0" w:type="dxa"/>
            <w:right w:w="0" w:type="dxa"/>
          </w:tblCellMar>
        </w:tblPrEx>
        <w:trPr>
          <w:trHeight w:val="1297" w:hRule="atLeast"/>
        </w:trPr>
        <w:tc>
          <w:tcPr>
            <w:tcW w:w="540"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rPr>
                <w:rFonts w:ascii="宋体" w:hAnsi="宋体" w:eastAsia="仿宋_GB2312"/>
                <w:color w:val="000000"/>
                <w:sz w:val="24"/>
              </w:rPr>
            </w:pPr>
          </w:p>
        </w:tc>
        <w:tc>
          <w:tcPr>
            <w:tcW w:w="16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仿宋_GB2312"/>
                <w:color w:val="000000"/>
                <w:sz w:val="24"/>
              </w:rPr>
            </w:pPr>
            <w:r>
              <w:rPr>
                <w:rFonts w:ascii="宋体" w:hAnsi="宋体" w:cs="宋体"/>
                <w:color w:val="000000"/>
                <w:kern w:val="0"/>
                <w:sz w:val="24"/>
              </w:rPr>
              <w:t>效益指标</w:t>
            </w:r>
          </w:p>
        </w:tc>
        <w:tc>
          <w:tcPr>
            <w:tcW w:w="1342"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仿宋_GB2312" w:cs="宋体"/>
                <w:color w:val="000000"/>
                <w:sz w:val="24"/>
              </w:rPr>
            </w:pPr>
            <w:r>
              <w:rPr>
                <w:rFonts w:ascii="宋体" w:hAnsi="宋体" w:cs="宋体"/>
                <w:color w:val="000000"/>
                <w:sz w:val="24"/>
              </w:rPr>
              <w:t>经济效益</w:t>
            </w:r>
          </w:p>
        </w:tc>
        <w:tc>
          <w:tcPr>
            <w:tcW w:w="1553"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仿宋_GB2312" w:cs="宋体"/>
                <w:color w:val="000000"/>
                <w:sz w:val="24"/>
              </w:rPr>
            </w:pPr>
            <w:r>
              <w:rPr>
                <w:rFonts w:ascii="宋体" w:hAnsi="宋体" w:cs="宋体"/>
                <w:color w:val="000000"/>
                <w:sz w:val="24"/>
              </w:rPr>
              <w:t>投入和工作成效</w:t>
            </w:r>
          </w:p>
        </w:tc>
        <w:tc>
          <w:tcPr>
            <w:tcW w:w="2413"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hint="eastAsia" w:ascii="宋体" w:hAnsi="宋体" w:eastAsia="仿宋_GB2312" w:cs="宋体"/>
                <w:color w:val="000000"/>
                <w:sz w:val="24"/>
                <w:lang w:eastAsia="zh-CN"/>
              </w:rPr>
            </w:pPr>
            <w:r>
              <w:rPr>
                <w:rFonts w:hint="eastAsia" w:ascii="宋体" w:hAnsi="宋体" w:eastAsia="仿宋_GB2312" w:cs="宋体"/>
                <w:color w:val="000000"/>
                <w:sz w:val="24"/>
                <w:lang w:eastAsia="zh-CN"/>
              </w:rPr>
              <w:t>足额提供经费，促进全区社会、经济进步</w:t>
            </w:r>
          </w:p>
        </w:tc>
        <w:tc>
          <w:tcPr>
            <w:tcW w:w="2078"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ascii="宋体" w:hAnsi="宋体" w:eastAsia="仿宋_GB2312" w:cs="宋体"/>
                <w:color w:val="000000"/>
                <w:sz w:val="24"/>
              </w:rPr>
            </w:pPr>
            <w:r>
              <w:rPr>
                <w:rFonts w:hint="eastAsia" w:ascii="宋体" w:hAnsi="宋体" w:eastAsia="仿宋_GB2312" w:cs="宋体"/>
                <w:color w:val="000000"/>
                <w:sz w:val="24"/>
                <w:lang w:eastAsia="zh-CN"/>
              </w:rPr>
              <w:t>足额提供经费，促进全区社会、经济进步</w:t>
            </w:r>
          </w:p>
        </w:tc>
      </w:tr>
      <w:tr>
        <w:tblPrEx>
          <w:tblCellMar>
            <w:top w:w="0" w:type="dxa"/>
            <w:left w:w="0" w:type="dxa"/>
            <w:bottom w:w="0" w:type="dxa"/>
            <w:right w:w="0" w:type="dxa"/>
          </w:tblCellMar>
        </w:tblPrEx>
        <w:trPr>
          <w:trHeight w:val="1042" w:hRule="atLeast"/>
        </w:trPr>
        <w:tc>
          <w:tcPr>
            <w:tcW w:w="540"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rPr>
                <w:rFonts w:ascii="宋体" w:hAnsi="宋体" w:eastAsia="仿宋_GB2312"/>
                <w:color w:val="000000"/>
                <w:sz w:val="24"/>
              </w:rPr>
            </w:pPr>
          </w:p>
        </w:tc>
        <w:tc>
          <w:tcPr>
            <w:tcW w:w="16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仿宋_GB2312"/>
                <w:color w:val="000000"/>
                <w:sz w:val="24"/>
              </w:rPr>
            </w:pPr>
            <w:r>
              <w:rPr>
                <w:rFonts w:ascii="宋体" w:hAnsi="宋体" w:cs="宋体"/>
                <w:color w:val="000000"/>
                <w:kern w:val="0"/>
                <w:sz w:val="24"/>
              </w:rPr>
              <w:t>效益指标</w:t>
            </w:r>
          </w:p>
        </w:tc>
        <w:tc>
          <w:tcPr>
            <w:tcW w:w="1342"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仿宋_GB2312" w:cs="宋体"/>
                <w:color w:val="000000"/>
                <w:sz w:val="24"/>
              </w:rPr>
            </w:pPr>
            <w:r>
              <w:rPr>
                <w:rFonts w:ascii="宋体" w:hAnsi="宋体" w:cs="宋体"/>
                <w:color w:val="000000"/>
                <w:sz w:val="24"/>
              </w:rPr>
              <w:t>社会效益</w:t>
            </w:r>
          </w:p>
        </w:tc>
        <w:tc>
          <w:tcPr>
            <w:tcW w:w="1553"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宋体" w:hAnsi="宋体" w:eastAsia="宋体"/>
                <w:color w:val="000000"/>
                <w:sz w:val="24"/>
                <w:lang w:eastAsia="zh-CN"/>
              </w:rPr>
            </w:pPr>
            <w:r>
              <w:rPr>
                <w:rFonts w:hint="eastAsia" w:ascii="宋体" w:hAnsi="宋体" w:cs="宋体"/>
                <w:color w:val="000000"/>
                <w:sz w:val="24"/>
                <w:lang w:eastAsia="zh-CN"/>
              </w:rPr>
              <w:t>政府决策层效率</w:t>
            </w:r>
          </w:p>
        </w:tc>
        <w:tc>
          <w:tcPr>
            <w:tcW w:w="2413"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促进各级惠民政策落地落实，城市规范有序发展，人民安居乐业</w:t>
            </w:r>
          </w:p>
        </w:tc>
        <w:tc>
          <w:tcPr>
            <w:tcW w:w="2078"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ascii="宋体" w:hAnsi="宋体" w:eastAsia="仿宋_GB2312"/>
                <w:color w:val="000000"/>
                <w:sz w:val="24"/>
              </w:rPr>
            </w:pPr>
            <w:r>
              <w:rPr>
                <w:rFonts w:hint="eastAsia" w:ascii="宋体" w:hAnsi="宋体" w:cs="宋体"/>
                <w:color w:val="000000"/>
                <w:sz w:val="24"/>
                <w:lang w:eastAsia="zh-CN"/>
              </w:rPr>
              <w:t>各级惠民政策落地落实，城市规范有序发展，人民安居乐业</w:t>
            </w:r>
          </w:p>
        </w:tc>
      </w:tr>
      <w:tr>
        <w:tblPrEx>
          <w:tblCellMar>
            <w:top w:w="0" w:type="dxa"/>
            <w:left w:w="0" w:type="dxa"/>
            <w:bottom w:w="0" w:type="dxa"/>
            <w:right w:w="0" w:type="dxa"/>
          </w:tblCellMar>
        </w:tblPrEx>
        <w:trPr>
          <w:trHeight w:val="1042" w:hRule="atLeast"/>
        </w:trPr>
        <w:tc>
          <w:tcPr>
            <w:tcW w:w="540"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rPr>
                <w:rFonts w:ascii="宋体" w:hAnsi="宋体" w:eastAsia="仿宋_GB2312"/>
                <w:color w:val="000000"/>
                <w:sz w:val="24"/>
              </w:rPr>
            </w:pPr>
          </w:p>
        </w:tc>
        <w:tc>
          <w:tcPr>
            <w:tcW w:w="16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仿宋_GB2312"/>
                <w:color w:val="000000"/>
                <w:sz w:val="24"/>
              </w:rPr>
            </w:pPr>
            <w:r>
              <w:rPr>
                <w:rFonts w:ascii="宋体" w:hAnsi="宋体" w:cs="宋体"/>
                <w:color w:val="000000"/>
                <w:kern w:val="0"/>
                <w:sz w:val="24"/>
              </w:rPr>
              <w:t>满意度指标</w:t>
            </w:r>
          </w:p>
        </w:tc>
        <w:tc>
          <w:tcPr>
            <w:tcW w:w="1342"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仿宋_GB2312"/>
                <w:color w:val="000000"/>
                <w:sz w:val="24"/>
              </w:rPr>
            </w:pPr>
            <w:r>
              <w:rPr>
                <w:rFonts w:ascii="宋体" w:hAnsi="宋体" w:cs="宋体"/>
                <w:color w:val="000000"/>
                <w:sz w:val="24"/>
              </w:rPr>
              <w:t>满意度指标</w:t>
            </w:r>
          </w:p>
        </w:tc>
        <w:tc>
          <w:tcPr>
            <w:tcW w:w="1553"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宋体" w:hAnsi="宋体" w:eastAsia="仿宋_GB2312"/>
                <w:color w:val="000000"/>
                <w:sz w:val="24"/>
                <w:lang w:val="en-US" w:eastAsia="zh-CN"/>
              </w:rPr>
            </w:pPr>
            <w:r>
              <w:rPr>
                <w:rFonts w:hint="eastAsia" w:ascii="宋体" w:hAnsi="宋体" w:eastAsia="仿宋_GB2312"/>
                <w:color w:val="000000"/>
                <w:sz w:val="24"/>
                <w:lang w:val="en-US" w:eastAsia="zh-CN"/>
              </w:rPr>
              <w:t>管理对象及社会满意度</w:t>
            </w:r>
          </w:p>
        </w:tc>
        <w:tc>
          <w:tcPr>
            <w:tcW w:w="2413"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ascii="宋体" w:hAnsi="宋体" w:eastAsia="仿宋_GB2312"/>
                <w:color w:val="000000"/>
                <w:sz w:val="24"/>
              </w:rPr>
            </w:pPr>
            <w:r>
              <w:rPr>
                <w:rFonts w:hint="eastAsia" w:ascii="宋体" w:hAnsi="宋体" w:eastAsia="仿宋_GB2312"/>
                <w:color w:val="000000"/>
                <w:sz w:val="24"/>
                <w:lang w:eastAsia="zh-CN"/>
              </w:rPr>
              <w:t>有助于政府对上级政策的落实和本级执政能力的提高</w:t>
            </w:r>
          </w:p>
        </w:tc>
        <w:tc>
          <w:tcPr>
            <w:tcW w:w="2078"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ascii="宋体" w:hAnsi="宋体" w:eastAsia="仿宋_GB2312"/>
                <w:color w:val="000000"/>
                <w:sz w:val="24"/>
              </w:rPr>
            </w:pPr>
            <w:r>
              <w:rPr>
                <w:rFonts w:hint="eastAsia" w:ascii="宋体" w:hAnsi="宋体" w:eastAsia="仿宋_GB2312"/>
                <w:color w:val="000000"/>
                <w:sz w:val="24"/>
                <w:lang w:eastAsia="zh-CN"/>
              </w:rPr>
              <w:t>政府对上级政策的落实和本级执政能力的提高</w:t>
            </w: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rPr>
          <w:rFonts w:hint="eastAsia" w:ascii="方正仿宋简体" w:hAnsi="微软雅黑" w:eastAsia="方正仿宋简体" w:cs="宋体"/>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jc w:val="left"/>
        <w:rPr>
          <w:rFonts w:hint="eastAsia"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rPr>
        <w:t>（二）项目绩效分析</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210" w:leftChars="100" w:firstLine="307" w:firstLineChars="96"/>
        <w:jc w:val="left"/>
        <w:rPr>
          <w:rFonts w:hint="eastAsia"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rPr>
        <w:t>1、项目决策</w:t>
      </w:r>
      <w:r>
        <w:rPr>
          <w:rFonts w:hint="eastAsia" w:ascii="方正仿宋简体" w:hAnsi="微软雅黑" w:eastAsia="方正仿宋简体" w:cs="宋体"/>
          <w:color w:val="333333"/>
          <w:kern w:val="0"/>
          <w:sz w:val="32"/>
          <w:szCs w:val="32"/>
          <w:lang w:eastAsia="zh-CN"/>
        </w:rPr>
        <w:t>情况</w:t>
      </w:r>
      <w:r>
        <w:rPr>
          <w:rFonts w:hint="eastAsia" w:ascii="方正仿宋简体" w:hAnsi="微软雅黑" w:eastAsia="方正仿宋简体" w:cs="宋体"/>
          <w:color w:val="333333"/>
          <w:kern w:val="0"/>
          <w:sz w:val="32"/>
          <w:szCs w:val="32"/>
        </w:rPr>
        <w:t>。按照</w:t>
      </w:r>
      <w:r>
        <w:rPr>
          <w:rFonts w:hint="eastAsia" w:ascii="方正仿宋简体" w:hAnsi="微软雅黑" w:eastAsia="方正仿宋简体" w:cs="宋体"/>
          <w:color w:val="333333"/>
          <w:kern w:val="0"/>
          <w:sz w:val="32"/>
          <w:szCs w:val="32"/>
          <w:lang w:eastAsia="zh-CN"/>
        </w:rPr>
        <w:t>区委区政府职能分工，区政府承担民生工程、产业发展、招商引资、城市建设、各项重大会议、活动、决策的筹备、管理等工作</w:t>
      </w:r>
      <w:r>
        <w:rPr>
          <w:rFonts w:hint="eastAsia" w:ascii="方正仿宋简体" w:hAnsi="微软雅黑" w:eastAsia="方正仿宋简体" w:cs="宋体"/>
          <w:color w:val="333333"/>
          <w:kern w:val="0"/>
          <w:sz w:val="32"/>
          <w:szCs w:val="32"/>
        </w:rPr>
        <w:t>，</w:t>
      </w:r>
      <w:r>
        <w:rPr>
          <w:rFonts w:hint="eastAsia" w:ascii="方正仿宋简体" w:hAnsi="微软雅黑" w:eastAsia="方正仿宋简体" w:cs="宋体"/>
          <w:color w:val="333333"/>
          <w:kern w:val="0"/>
          <w:sz w:val="32"/>
          <w:szCs w:val="32"/>
          <w:lang w:eastAsia="zh-CN"/>
        </w:rPr>
        <w:t>相关工作经费保障</w:t>
      </w:r>
      <w:r>
        <w:rPr>
          <w:rFonts w:hint="eastAsia" w:ascii="方正仿宋简体" w:hAnsi="微软雅黑" w:eastAsia="方正仿宋简体" w:cs="宋体"/>
          <w:color w:val="333333"/>
          <w:kern w:val="0"/>
          <w:sz w:val="32"/>
          <w:szCs w:val="32"/>
        </w:rPr>
        <w:t>由区政府办公室承担。</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rPr>
          <w:rFonts w:hint="eastAsia"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rPr>
        <w:t>2、项目管理情况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jc w:val="left"/>
        <w:rPr>
          <w:rFonts w:hint="eastAsia" w:eastAsia="方正仿宋简体"/>
          <w:sz w:val="32"/>
          <w:szCs w:val="32"/>
          <w:lang w:val="zh-CN"/>
        </w:rPr>
      </w:pPr>
      <w:r>
        <w:rPr>
          <w:rFonts w:hint="eastAsia" w:ascii="方正仿宋简体" w:hAnsi="仿宋_GB2312" w:eastAsia="方正仿宋简体"/>
          <w:sz w:val="32"/>
          <w:szCs w:val="32"/>
          <w:lang w:eastAsia="zh-CN"/>
        </w:rPr>
        <w:t>区政府各项重大决策经</w:t>
      </w:r>
      <w:r>
        <w:rPr>
          <w:rFonts w:hint="eastAsia" w:ascii="方正仿宋简体" w:hAnsi="仿宋_GB2312" w:eastAsia="方正仿宋简体"/>
          <w:sz w:val="32"/>
          <w:szCs w:val="32"/>
        </w:rPr>
        <w:t>费</w:t>
      </w:r>
      <w:r>
        <w:rPr>
          <w:rFonts w:hint="eastAsia" w:eastAsia="方正仿宋简体"/>
          <w:sz w:val="32"/>
          <w:szCs w:val="32"/>
          <w:lang w:val="zh-CN"/>
        </w:rPr>
        <w:t>专项资金共计</w:t>
      </w:r>
      <w:r>
        <w:rPr>
          <w:rFonts w:hint="eastAsia" w:eastAsia="方正仿宋简体"/>
          <w:sz w:val="32"/>
          <w:szCs w:val="32"/>
          <w:lang w:val="en-US" w:eastAsia="zh-CN"/>
        </w:rPr>
        <w:t>60</w:t>
      </w:r>
      <w:r>
        <w:rPr>
          <w:rFonts w:hint="eastAsia" w:eastAsia="方正仿宋简体"/>
          <w:sz w:val="32"/>
          <w:szCs w:val="32"/>
          <w:lang w:val="zh-CN"/>
        </w:rPr>
        <w:t>万元，经财政局批复下达后，及时到位，并全部用于</w:t>
      </w:r>
      <w:r>
        <w:rPr>
          <w:rFonts w:hint="eastAsia" w:ascii="方正仿宋简体" w:hAnsi="仿宋_GB2312" w:eastAsia="方正仿宋简体"/>
          <w:sz w:val="32"/>
          <w:szCs w:val="32"/>
          <w:lang w:eastAsia="zh-CN"/>
        </w:rPr>
        <w:t>区政府各项重大决策相关公务活动</w:t>
      </w:r>
      <w:r>
        <w:rPr>
          <w:rFonts w:hint="eastAsia" w:eastAsia="方正仿宋简体"/>
          <w:sz w:val="32"/>
          <w:szCs w:val="32"/>
          <w:lang w:val="zh-CN"/>
        </w:rPr>
        <w:t>。经费采取授权和直接支付形式，由区政府办财务室，按相关重大决策公务活动开展的进度，严格按照项目资金管理办法，对资金进行计划申请、划拨、使用，及时、规范对收支进行账务处理和会计核算。</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jc w:val="left"/>
        <w:rPr>
          <w:rFonts w:hint="eastAsia"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lang w:val="en-US" w:eastAsia="zh-CN"/>
        </w:rPr>
        <w:t>3</w:t>
      </w:r>
      <w:r>
        <w:rPr>
          <w:rFonts w:hint="eastAsia" w:ascii="方正仿宋简体" w:hAnsi="微软雅黑" w:eastAsia="方正仿宋简体" w:cs="宋体"/>
          <w:color w:val="333333"/>
          <w:kern w:val="0"/>
          <w:sz w:val="32"/>
          <w:szCs w:val="32"/>
        </w:rPr>
        <w:t>、项目绩效情况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15"/>
        <w:jc w:val="left"/>
        <w:rPr>
          <w:rFonts w:hint="eastAsia"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rPr>
        <w:t>通过自评，201</w:t>
      </w:r>
      <w:r>
        <w:rPr>
          <w:rFonts w:hint="eastAsia" w:ascii="方正仿宋简体" w:hAnsi="微软雅黑" w:eastAsia="方正仿宋简体" w:cs="宋体"/>
          <w:color w:val="333333"/>
          <w:kern w:val="0"/>
          <w:sz w:val="32"/>
          <w:szCs w:val="32"/>
          <w:lang w:val="en-US" w:eastAsia="zh-CN"/>
        </w:rPr>
        <w:t>8</w:t>
      </w:r>
      <w:r>
        <w:rPr>
          <w:rFonts w:hint="eastAsia" w:ascii="方正仿宋简体" w:hAnsi="微软雅黑" w:eastAsia="方正仿宋简体" w:cs="宋体"/>
          <w:color w:val="333333"/>
          <w:kern w:val="0"/>
          <w:sz w:val="32"/>
          <w:szCs w:val="32"/>
        </w:rPr>
        <w:t>年度</w:t>
      </w:r>
      <w:r>
        <w:rPr>
          <w:rFonts w:hint="eastAsia" w:ascii="方正仿宋简体" w:hAnsi="仿宋_GB2312" w:eastAsia="方正仿宋简体"/>
          <w:sz w:val="32"/>
          <w:szCs w:val="32"/>
          <w:lang w:eastAsia="zh-CN"/>
        </w:rPr>
        <w:t>区政府各项重大决策经</w:t>
      </w:r>
      <w:r>
        <w:rPr>
          <w:rFonts w:hint="eastAsia" w:ascii="方正仿宋简体" w:hAnsi="仿宋_GB2312" w:eastAsia="方正仿宋简体"/>
          <w:sz w:val="32"/>
          <w:szCs w:val="32"/>
        </w:rPr>
        <w:t>费</w:t>
      </w:r>
      <w:r>
        <w:rPr>
          <w:rFonts w:hint="eastAsia" w:ascii="方正仿宋简体" w:hAnsi="微软雅黑" w:eastAsia="方正仿宋简体" w:cs="宋体"/>
          <w:color w:val="333333"/>
          <w:kern w:val="0"/>
          <w:sz w:val="32"/>
          <w:szCs w:val="32"/>
        </w:rPr>
        <w:t>专项资金管理规范，所有项目</w:t>
      </w:r>
      <w:r>
        <w:rPr>
          <w:rFonts w:hint="eastAsia" w:ascii="方正仿宋简体" w:hAnsi="微软雅黑" w:eastAsia="方正仿宋简体" w:cs="宋体"/>
          <w:color w:val="333333"/>
          <w:kern w:val="0"/>
          <w:sz w:val="32"/>
          <w:szCs w:val="32"/>
          <w:lang w:eastAsia="zh-CN"/>
        </w:rPr>
        <w:t>资金均</w:t>
      </w:r>
      <w:r>
        <w:rPr>
          <w:rFonts w:hint="eastAsia" w:ascii="方正仿宋简体" w:hAnsi="微软雅黑" w:eastAsia="方正仿宋简体" w:cs="宋体"/>
          <w:color w:val="333333"/>
          <w:kern w:val="0"/>
          <w:sz w:val="32"/>
          <w:szCs w:val="32"/>
        </w:rPr>
        <w:t>实现了规范运作。各项效益指标完成良好，一数量指标：</w:t>
      </w:r>
      <w:r>
        <w:rPr>
          <w:rFonts w:hint="eastAsia" w:ascii="方正仿宋简体" w:hAnsi="微软雅黑" w:eastAsia="方正仿宋简体" w:cs="宋体"/>
          <w:color w:val="333333"/>
          <w:kern w:val="0"/>
          <w:sz w:val="32"/>
          <w:szCs w:val="32"/>
          <w:lang w:eastAsia="zh-CN"/>
        </w:rPr>
        <w:t>按时、足额、规范保障专项资金</w:t>
      </w:r>
      <w:r>
        <w:rPr>
          <w:rFonts w:hint="eastAsia" w:ascii="方正仿宋简体" w:hAnsi="微软雅黑" w:eastAsia="方正仿宋简体" w:cs="宋体"/>
          <w:color w:val="333333"/>
          <w:kern w:val="0"/>
          <w:sz w:val="32"/>
          <w:szCs w:val="32"/>
          <w:lang w:val="en-US" w:eastAsia="zh-CN"/>
        </w:rPr>
        <w:t>60万元落实到民生工程、产业发展、城市建设等相关决策公务活动中去</w:t>
      </w:r>
      <w:r>
        <w:rPr>
          <w:rFonts w:hint="eastAsia" w:ascii="方正仿宋简体" w:hAnsi="微软雅黑" w:eastAsia="方正仿宋简体" w:cs="宋体"/>
          <w:color w:val="333333"/>
          <w:kern w:val="0"/>
          <w:sz w:val="32"/>
          <w:szCs w:val="32"/>
        </w:rPr>
        <w:t>。二是</w:t>
      </w:r>
      <w:r>
        <w:rPr>
          <w:rFonts w:hint="eastAsia" w:ascii="方正仿宋简体" w:hAnsi="微软雅黑" w:eastAsia="方正仿宋简体" w:cs="宋体"/>
          <w:color w:val="333333"/>
          <w:kern w:val="0"/>
          <w:sz w:val="32"/>
          <w:szCs w:val="32"/>
          <w:lang w:eastAsia="zh-CN"/>
        </w:rPr>
        <w:t>经济效益：</w:t>
      </w:r>
      <w:r>
        <w:rPr>
          <w:rFonts w:hint="eastAsia" w:ascii="方正仿宋简体" w:hAnsi="微软雅黑" w:eastAsia="方正仿宋简体" w:cs="宋体"/>
          <w:color w:val="333333"/>
          <w:kern w:val="0"/>
          <w:sz w:val="32"/>
          <w:szCs w:val="32"/>
          <w:lang w:val="en-US" w:eastAsia="zh-CN"/>
        </w:rPr>
        <w:t>足额提供经费，促进全区社会、经济进步。三</w:t>
      </w:r>
      <w:r>
        <w:rPr>
          <w:rFonts w:hint="eastAsia" w:ascii="方正仿宋简体" w:hAnsi="微软雅黑" w:eastAsia="方正仿宋简体" w:cs="宋体"/>
          <w:color w:val="333333"/>
          <w:kern w:val="0"/>
          <w:sz w:val="32"/>
          <w:szCs w:val="32"/>
          <w:lang w:eastAsia="zh-CN"/>
        </w:rPr>
        <w:t>是</w:t>
      </w:r>
      <w:r>
        <w:rPr>
          <w:rFonts w:hint="eastAsia" w:ascii="方正仿宋简体" w:hAnsi="微软雅黑" w:eastAsia="方正仿宋简体" w:cs="宋体"/>
          <w:color w:val="333333"/>
          <w:kern w:val="0"/>
          <w:sz w:val="32"/>
          <w:szCs w:val="32"/>
        </w:rPr>
        <w:t>社会效益：</w:t>
      </w:r>
      <w:r>
        <w:rPr>
          <w:rFonts w:hint="eastAsia" w:ascii="方正仿宋简体" w:hAnsi="微软雅黑" w:eastAsia="方正仿宋简体" w:cs="宋体"/>
          <w:color w:val="333333"/>
          <w:kern w:val="0"/>
          <w:sz w:val="32"/>
          <w:szCs w:val="32"/>
          <w:lang w:val="en-US" w:eastAsia="zh-CN"/>
        </w:rPr>
        <w:t>各级惠民政策落地落实，城市规范有序发展，人民安居乐业</w:t>
      </w:r>
      <w:r>
        <w:rPr>
          <w:rFonts w:hint="eastAsia" w:ascii="方正仿宋简体" w:hAnsi="微软雅黑" w:eastAsia="方正仿宋简体" w:cs="宋体"/>
          <w:color w:val="333333"/>
          <w:kern w:val="0"/>
          <w:sz w:val="32"/>
          <w:szCs w:val="32"/>
        </w:rPr>
        <w:t>。四是</w:t>
      </w:r>
      <w:r>
        <w:rPr>
          <w:rFonts w:hint="eastAsia" w:ascii="方正仿宋简体" w:hAnsi="微软雅黑" w:eastAsia="方正仿宋简体" w:cs="宋体"/>
          <w:color w:val="333333"/>
          <w:kern w:val="0"/>
          <w:sz w:val="32"/>
          <w:szCs w:val="32"/>
          <w:lang w:eastAsia="zh-CN"/>
        </w:rPr>
        <w:t>管理</w:t>
      </w:r>
      <w:r>
        <w:rPr>
          <w:rFonts w:hint="eastAsia" w:ascii="方正仿宋简体" w:hAnsi="微软雅黑" w:eastAsia="方正仿宋简体" w:cs="宋体"/>
          <w:color w:val="333333"/>
          <w:kern w:val="0"/>
          <w:sz w:val="32"/>
          <w:szCs w:val="32"/>
        </w:rPr>
        <w:t>对象</w:t>
      </w:r>
      <w:r>
        <w:rPr>
          <w:rFonts w:hint="eastAsia" w:ascii="方正仿宋简体" w:hAnsi="微软雅黑" w:eastAsia="方正仿宋简体" w:cs="宋体"/>
          <w:color w:val="333333"/>
          <w:kern w:val="0"/>
          <w:sz w:val="32"/>
          <w:szCs w:val="32"/>
          <w:lang w:eastAsia="zh-CN"/>
        </w:rPr>
        <w:t>及社会</w:t>
      </w:r>
      <w:r>
        <w:rPr>
          <w:rFonts w:hint="eastAsia" w:ascii="方正仿宋简体" w:hAnsi="微软雅黑" w:eastAsia="方正仿宋简体" w:cs="宋体"/>
          <w:color w:val="333333"/>
          <w:kern w:val="0"/>
          <w:sz w:val="32"/>
          <w:szCs w:val="32"/>
        </w:rPr>
        <w:t>满意度：</w:t>
      </w:r>
      <w:r>
        <w:rPr>
          <w:rFonts w:hint="eastAsia" w:ascii="方正仿宋简体" w:hAnsi="微软雅黑" w:eastAsia="方正仿宋简体" w:cs="宋体"/>
          <w:color w:val="333333"/>
          <w:kern w:val="0"/>
          <w:sz w:val="32"/>
          <w:szCs w:val="32"/>
          <w:lang w:eastAsia="zh-CN"/>
        </w:rPr>
        <w:t>政府对上级政策的落实和本级执政能力再创新高</w:t>
      </w:r>
      <w:r>
        <w:rPr>
          <w:rFonts w:hint="eastAsia" w:ascii="方正仿宋简体" w:hAnsi="微软雅黑" w:eastAsia="方正仿宋简体" w:cs="宋体"/>
          <w:color w:val="333333"/>
          <w:kern w:val="0"/>
          <w:sz w:val="32"/>
          <w:szCs w:val="32"/>
        </w:rPr>
        <w:t>。</w:t>
      </w:r>
    </w:p>
    <w:p>
      <w:pPr>
        <w:pStyle w:val="2"/>
        <w:rPr>
          <w:rStyle w:val="24"/>
          <w:rFonts w:hint="default" w:hAnsi="仿宋"/>
          <w:b w:val="0"/>
          <w:bCs w:val="0"/>
          <w:sz w:val="32"/>
          <w:szCs w:val="32"/>
          <w:lang w:val="en-US" w:eastAsia="zh-CN"/>
        </w:rPr>
      </w:pPr>
    </w:p>
    <w:p>
      <w:pPr>
        <w:pStyle w:val="2"/>
        <w:rPr>
          <w:rFonts w:hint="default" w:ascii="仿宋" w:hAnsi="仿宋" w:eastAsia="仿宋" w:cs="仿宋_GB2312"/>
          <w:color w:val="auto"/>
          <w:sz w:val="32"/>
          <w:szCs w:val="32"/>
          <w:lang w:val="en-US" w:eastAsia="zh-CN"/>
        </w:rPr>
      </w:pPr>
      <w:r>
        <w:rPr>
          <w:rFonts w:hint="eastAsia" w:hAnsi="仿宋" w:cs="仿宋_GB2312"/>
          <w:color w:val="auto"/>
          <w:sz w:val="32"/>
          <w:szCs w:val="32"/>
          <w:lang w:eastAsia="zh-CN"/>
        </w:rPr>
        <w:t>附件</w:t>
      </w:r>
      <w:r>
        <w:rPr>
          <w:rFonts w:hint="eastAsia" w:hAnsi="仿宋" w:cs="仿宋_GB2312"/>
          <w:color w:val="auto"/>
          <w:sz w:val="32"/>
          <w:szCs w:val="32"/>
          <w:lang w:val="en-US" w:eastAsia="zh-CN"/>
        </w:rPr>
        <w:t>4</w:t>
      </w:r>
    </w:p>
    <w:p>
      <w:pPr>
        <w:pStyle w:val="29"/>
        <w:spacing w:line="58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eastAsia="zh-CN"/>
        </w:rPr>
        <w:t>广元市利州区人民政府办公室</w:t>
      </w:r>
    </w:p>
    <w:p>
      <w:pPr>
        <w:pStyle w:val="29"/>
        <w:spacing w:line="580" w:lineRule="exact"/>
        <w:jc w:val="center"/>
        <w:rPr>
          <w:rFonts w:hint="eastAsia" w:ascii="方正小标宋简体" w:hAnsi="方正小标宋简体" w:eastAsia="方正小标宋简体" w:cs="方正小标宋简体"/>
          <w:color w:val="auto"/>
          <w:kern w:val="2"/>
          <w:sz w:val="44"/>
          <w:szCs w:val="44"/>
        </w:rPr>
      </w:pPr>
      <w:r>
        <w:rPr>
          <w:rFonts w:hint="eastAsia" w:ascii="方正小标宋简体" w:hAnsi="方正小标宋简体" w:eastAsia="方正小标宋简体" w:cs="方正小标宋简体"/>
          <w:color w:val="auto"/>
          <w:sz w:val="44"/>
          <w:szCs w:val="44"/>
        </w:rPr>
        <w:t>项目支出绩效自评报告</w:t>
      </w:r>
    </w:p>
    <w:p>
      <w:pPr>
        <w:widowControl/>
        <w:jc w:val="center"/>
        <w:rPr>
          <w:rFonts w:hint="eastAsia" w:ascii="方正仿宋简体" w:hAnsi="方正仿宋简体" w:eastAsia="方正仿宋简体" w:cs="方正仿宋简体"/>
          <w:color w:val="FF0000"/>
          <w:sz w:val="32"/>
          <w:szCs w:val="32"/>
        </w:rPr>
      </w:pPr>
      <w:r>
        <w:rPr>
          <w:rFonts w:hint="eastAsia" w:ascii="方正仿宋简体" w:hAnsi="方正仿宋简体" w:eastAsia="方正仿宋简体" w:cs="方正仿宋简体"/>
          <w:color w:val="auto"/>
          <w:sz w:val="32"/>
          <w:szCs w:val="32"/>
        </w:rPr>
        <w:t>（</w:t>
      </w:r>
      <w:r>
        <w:rPr>
          <w:rFonts w:hint="eastAsia" w:ascii="方正仿宋简体" w:hAnsi="方正仿宋简体" w:eastAsia="方正仿宋简体" w:cs="方正仿宋简体"/>
          <w:color w:val="auto"/>
          <w:sz w:val="32"/>
          <w:szCs w:val="32"/>
          <w:lang w:eastAsia="zh-CN"/>
        </w:rPr>
        <w:t>预定新兵役前训练项目</w:t>
      </w:r>
      <w:r>
        <w:rPr>
          <w:rFonts w:hint="eastAsia" w:ascii="方正仿宋简体" w:hAnsi="方正仿宋简体" w:eastAsia="方正仿宋简体" w:cs="方正仿宋简体"/>
          <w:color w:val="auto"/>
          <w:sz w:val="32"/>
          <w:szCs w:val="32"/>
        </w:rPr>
        <w:t>）</w:t>
      </w:r>
    </w:p>
    <w:p>
      <w:pPr>
        <w:pStyle w:val="2"/>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rPr>
          <w:rFonts w:hint="eastAsia" w:ascii="方正仿宋简体" w:hAnsi="微软雅黑" w:eastAsia="方正仿宋简体" w:cs="宋体"/>
          <w:color w:val="333333"/>
          <w:kern w:val="0"/>
          <w:sz w:val="32"/>
          <w:szCs w:val="32"/>
        </w:rPr>
      </w:pPr>
      <w:bookmarkStart w:id="65" w:name="_Toc15396618"/>
      <w:r>
        <w:rPr>
          <w:rFonts w:hint="eastAsia" w:ascii="方正仿宋简体" w:hAnsi="微软雅黑" w:eastAsia="方正仿宋简体" w:cs="宋体"/>
          <w:color w:val="333333"/>
          <w:kern w:val="0"/>
          <w:sz w:val="32"/>
          <w:szCs w:val="32"/>
        </w:rPr>
        <w:t>一、</w:t>
      </w:r>
      <w:r>
        <w:rPr>
          <w:rFonts w:hint="eastAsia" w:ascii="微软雅黑" w:hAnsi="微软雅黑" w:eastAsia="方正仿宋简体" w:cs="宋体"/>
          <w:color w:val="333333"/>
          <w:kern w:val="0"/>
          <w:sz w:val="32"/>
          <w:szCs w:val="32"/>
        </w:rPr>
        <w:t> </w:t>
      </w:r>
      <w:r>
        <w:rPr>
          <w:rFonts w:hint="eastAsia" w:ascii="方正仿宋简体" w:hAnsi="微软雅黑" w:eastAsia="方正仿宋简体" w:cs="宋体"/>
          <w:color w:val="333333"/>
          <w:kern w:val="0"/>
          <w:sz w:val="32"/>
          <w:szCs w:val="32"/>
        </w:rPr>
        <w:t>项目概况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rPr>
          <w:rFonts w:hint="eastAsia"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rPr>
        <w:t>预定新兵役前教育训练专项经费是根据广利财发﹝2018﹞1号《关于批复2018年部门综合预算的通知》预算6</w:t>
      </w:r>
      <w:r>
        <w:rPr>
          <w:rFonts w:hint="eastAsia" w:ascii="方正仿宋简体" w:hAnsi="微软雅黑" w:eastAsia="方正仿宋简体" w:cs="宋体"/>
          <w:color w:val="333333"/>
          <w:kern w:val="0"/>
          <w:sz w:val="32"/>
          <w:szCs w:val="32"/>
          <w:lang w:val="zh-CN"/>
        </w:rPr>
        <w:t>万元。</w:t>
      </w:r>
      <w:r>
        <w:rPr>
          <w:rFonts w:hint="eastAsia" w:ascii="方正仿宋简体" w:hAnsi="微软雅黑" w:eastAsia="方正仿宋简体" w:cs="宋体"/>
          <w:color w:val="333333"/>
          <w:kern w:val="0"/>
          <w:sz w:val="32"/>
          <w:szCs w:val="32"/>
        </w:rPr>
        <w:t>预定新兵役前教育训练总目标</w:t>
      </w:r>
      <w:r>
        <w:rPr>
          <w:rFonts w:hint="eastAsia" w:ascii="方正仿宋简体" w:hAnsi="微软雅黑" w:eastAsia="方正仿宋简体" w:cs="宋体"/>
          <w:color w:val="333333"/>
          <w:kern w:val="0"/>
          <w:sz w:val="32"/>
          <w:szCs w:val="32"/>
          <w:lang w:eastAsia="zh-CN"/>
        </w:rPr>
        <w:t>，</w:t>
      </w:r>
      <w:r>
        <w:rPr>
          <w:rFonts w:hint="eastAsia" w:ascii="方正仿宋简体" w:hAnsi="微软雅黑" w:eastAsia="方正仿宋简体" w:cs="宋体"/>
          <w:color w:val="333333"/>
          <w:kern w:val="0"/>
          <w:sz w:val="32"/>
          <w:szCs w:val="32"/>
        </w:rPr>
        <w:t>根据广元军分区下达的目标任务，</w:t>
      </w:r>
      <w:r>
        <w:rPr>
          <w:rFonts w:hint="eastAsia" w:ascii="方正仿宋简体" w:hAnsi="微软雅黑" w:eastAsia="方正仿宋简体" w:cs="宋体"/>
          <w:color w:val="333333"/>
          <w:kern w:val="0"/>
          <w:sz w:val="32"/>
          <w:szCs w:val="32"/>
          <w:lang w:eastAsia="zh-CN"/>
        </w:rPr>
        <w:t>完成</w:t>
      </w:r>
      <w:r>
        <w:rPr>
          <w:rFonts w:hint="eastAsia" w:ascii="方正仿宋简体" w:hAnsi="微软雅黑" w:eastAsia="方正仿宋简体" w:cs="宋体"/>
          <w:color w:val="333333"/>
          <w:kern w:val="0"/>
          <w:sz w:val="32"/>
          <w:szCs w:val="32"/>
        </w:rPr>
        <w:t>预定新兵预前教育训练300人</w:t>
      </w:r>
      <w:r>
        <w:rPr>
          <w:rFonts w:hint="eastAsia" w:ascii="方正仿宋简体" w:hAnsi="微软雅黑" w:eastAsia="方正仿宋简体" w:cs="宋体"/>
          <w:color w:val="333333"/>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rPr>
          <w:rFonts w:hint="eastAsia"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rPr>
        <w:t>二、评价结论及绩效分析</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rPr>
          <w:rFonts w:hint="eastAsia"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rPr>
        <w:t>（一）项目绩效评价结论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rPr>
          <w:rFonts w:hint="eastAsia"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rPr>
        <w:t>2018年财政预算预定新兵役前教育训练</w:t>
      </w:r>
      <w:r>
        <w:rPr>
          <w:rFonts w:hint="eastAsia" w:ascii="方正仿宋简体" w:hAnsi="微软雅黑" w:eastAsia="方正仿宋简体" w:cs="宋体"/>
          <w:color w:val="333333"/>
          <w:kern w:val="0"/>
          <w:sz w:val="32"/>
          <w:szCs w:val="32"/>
          <w:lang w:eastAsia="zh-CN"/>
        </w:rPr>
        <w:t>经费</w:t>
      </w:r>
      <w:r>
        <w:rPr>
          <w:rFonts w:hint="eastAsia" w:ascii="方正仿宋简体" w:hAnsi="微软雅黑" w:eastAsia="方正仿宋简体" w:cs="宋体"/>
          <w:color w:val="333333"/>
          <w:kern w:val="0"/>
          <w:sz w:val="32"/>
          <w:szCs w:val="32"/>
        </w:rPr>
        <w:t>专项资金6万元,资金到位率100%。6万元专项资金全部使用到预定新兵役前教育训练</w:t>
      </w:r>
      <w:r>
        <w:rPr>
          <w:rFonts w:hint="eastAsia" w:ascii="方正仿宋简体" w:hAnsi="微软雅黑" w:eastAsia="方正仿宋简体" w:cs="宋体"/>
          <w:color w:val="333333"/>
          <w:kern w:val="0"/>
          <w:sz w:val="32"/>
          <w:szCs w:val="32"/>
          <w:lang w:eastAsia="zh-CN"/>
        </w:rPr>
        <w:t>活动</w:t>
      </w:r>
      <w:r>
        <w:rPr>
          <w:rFonts w:hint="eastAsia" w:ascii="方正仿宋简体" w:hAnsi="微软雅黑" w:eastAsia="方正仿宋简体" w:cs="宋体"/>
          <w:color w:val="333333"/>
          <w:kern w:val="0"/>
          <w:sz w:val="32"/>
          <w:szCs w:val="32"/>
        </w:rPr>
        <w:t>上，截至2018年12月31日，共计支付预定新兵役前教育训练专项资金6万元，预定新兵役前教育训练周期预定训练7天，2018年9月2日至2018年9月9，全区参加“预定新兵预前教育训练”的总人数达到300人（其中训练预定新兵270人，教官20人，教学组、保障组工作人员10人</w:t>
      </w:r>
      <w:r>
        <w:rPr>
          <w:rFonts w:hint="eastAsia" w:ascii="方正仿宋简体" w:hAnsi="微软雅黑" w:eastAsia="方正仿宋简体" w:cs="宋体"/>
          <w:color w:val="333333"/>
          <w:kern w:val="0"/>
          <w:sz w:val="32"/>
          <w:szCs w:val="32"/>
          <w:lang w:eastAsia="zh-CN"/>
        </w:rPr>
        <w:t>。</w:t>
      </w:r>
      <w:r>
        <w:rPr>
          <w:rFonts w:hint="eastAsia" w:ascii="方正仿宋简体" w:hAnsi="微软雅黑" w:eastAsia="方正仿宋简体" w:cs="宋体"/>
          <w:color w:val="333333"/>
          <w:kern w:val="0"/>
          <w:sz w:val="32"/>
          <w:szCs w:val="32"/>
          <w:lang w:val="zh-CN"/>
        </w:rPr>
        <w:t>提升了</w:t>
      </w:r>
      <w:r>
        <w:rPr>
          <w:rFonts w:hint="eastAsia" w:ascii="方正仿宋简体" w:hAnsi="微软雅黑" w:eastAsia="方正仿宋简体" w:cs="宋体"/>
          <w:color w:val="333333"/>
          <w:kern w:val="0"/>
          <w:sz w:val="32"/>
          <w:szCs w:val="32"/>
        </w:rPr>
        <w:t>预定新兵的</w:t>
      </w:r>
      <w:r>
        <w:rPr>
          <w:rFonts w:hint="eastAsia" w:ascii="方正仿宋简体" w:hAnsi="微软雅黑" w:eastAsia="方正仿宋简体" w:cs="宋体"/>
          <w:color w:val="333333"/>
          <w:kern w:val="0"/>
          <w:sz w:val="32"/>
          <w:szCs w:val="32"/>
          <w:lang w:val="zh-CN"/>
        </w:rPr>
        <w:t>社会地位，促进了</w:t>
      </w:r>
      <w:r>
        <w:rPr>
          <w:rFonts w:hint="eastAsia" w:ascii="方正仿宋简体" w:hAnsi="微软雅黑" w:eastAsia="方正仿宋简体" w:cs="宋体"/>
          <w:color w:val="333333"/>
          <w:kern w:val="0"/>
          <w:sz w:val="32"/>
          <w:szCs w:val="32"/>
        </w:rPr>
        <w:t>预定新兵</w:t>
      </w:r>
      <w:r>
        <w:rPr>
          <w:rFonts w:hint="eastAsia" w:ascii="方正仿宋简体" w:hAnsi="微软雅黑" w:eastAsia="方正仿宋简体" w:cs="宋体"/>
          <w:color w:val="333333"/>
          <w:kern w:val="0"/>
          <w:sz w:val="32"/>
          <w:szCs w:val="32"/>
          <w:lang w:val="zh-CN"/>
        </w:rPr>
        <w:t>的全面发展，推动了我区征兵工作的健康发展。</w:t>
      </w:r>
    </w:p>
    <w:tbl>
      <w:tblPr>
        <w:tblStyle w:val="13"/>
        <w:tblW w:w="9540" w:type="dxa"/>
        <w:tblInd w:w="-705" w:type="dxa"/>
        <w:tblLayout w:type="fixed"/>
        <w:tblCellMar>
          <w:top w:w="0" w:type="dxa"/>
          <w:left w:w="0" w:type="dxa"/>
          <w:bottom w:w="0" w:type="dxa"/>
          <w:right w:w="0" w:type="dxa"/>
        </w:tblCellMar>
      </w:tblPr>
      <w:tblGrid>
        <w:gridCol w:w="540"/>
        <w:gridCol w:w="1614"/>
        <w:gridCol w:w="906"/>
        <w:gridCol w:w="436"/>
        <w:gridCol w:w="1553"/>
        <w:gridCol w:w="2413"/>
        <w:gridCol w:w="98"/>
        <w:gridCol w:w="1980"/>
      </w:tblGrid>
      <w:tr>
        <w:tblPrEx>
          <w:tblCellMar>
            <w:top w:w="0" w:type="dxa"/>
            <w:left w:w="0" w:type="dxa"/>
            <w:bottom w:w="0" w:type="dxa"/>
            <w:right w:w="0" w:type="dxa"/>
          </w:tblCellMar>
        </w:tblPrEx>
        <w:trPr>
          <w:trHeight w:val="1034" w:hRule="atLeast"/>
        </w:trPr>
        <w:tc>
          <w:tcPr>
            <w:tcW w:w="9540" w:type="dxa"/>
            <w:gridSpan w:val="8"/>
            <w:tcBorders>
              <w:top w:val="nil"/>
              <w:left w:val="nil"/>
              <w:bottom w:val="nil"/>
              <w:right w:val="nil"/>
            </w:tcBorders>
            <w:noWrap w:val="0"/>
            <w:tcMar>
              <w:top w:w="15" w:type="dxa"/>
              <w:left w:w="15" w:type="dxa"/>
              <w:bottom w:w="0" w:type="dxa"/>
              <w:right w:w="15" w:type="dxa"/>
            </w:tcMar>
            <w:vAlign w:val="center"/>
          </w:tcPr>
          <w:p>
            <w:pPr>
              <w:pStyle w:val="23"/>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center"/>
              <w:rPr>
                <w:rFonts w:ascii="宋体" w:hAnsi="宋体"/>
                <w:color w:val="000000"/>
                <w:sz w:val="36"/>
                <w:szCs w:val="36"/>
              </w:rPr>
            </w:pPr>
            <w:r>
              <w:rPr>
                <w:rFonts w:hint="eastAsia" w:ascii="黑体" w:hAnsi="黑体" w:eastAsia="黑体" w:cs="宋体"/>
                <w:color w:val="000000"/>
                <w:kern w:val="0"/>
                <w:sz w:val="36"/>
                <w:szCs w:val="36"/>
              </w:rPr>
              <w:t>项目支出绩效目标完成情况表</w:t>
            </w:r>
            <w:r>
              <w:rPr>
                <w:rFonts w:ascii="宋体" w:hAnsi="宋体" w:cs="宋体"/>
                <w:b/>
                <w:bCs/>
                <w:color w:val="000000"/>
                <w:kern w:val="0"/>
                <w:sz w:val="36"/>
                <w:szCs w:val="36"/>
              </w:rPr>
              <w:br w:type="textWrapping"/>
            </w:r>
            <w:r>
              <w:rPr>
                <w:rFonts w:ascii="宋体" w:hAnsi="宋体" w:cs="宋体"/>
                <w:color w:val="000000"/>
                <w:kern w:val="0"/>
                <w:sz w:val="36"/>
                <w:szCs w:val="36"/>
              </w:rPr>
              <w:t>(2018</w:t>
            </w:r>
            <w:r>
              <w:rPr>
                <w:rFonts w:ascii="仿宋_GB2312" w:hAnsi="仿宋_GB2312" w:cs="宋体"/>
                <w:color w:val="000000"/>
                <w:kern w:val="0"/>
                <w:sz w:val="36"/>
                <w:szCs w:val="36"/>
              </w:rPr>
              <w:t>年度</w:t>
            </w:r>
            <w:r>
              <w:rPr>
                <w:rFonts w:ascii="宋体" w:hAnsi="宋体" w:eastAsia="宋体" w:cs="宋体"/>
                <w:color w:val="000000"/>
                <w:kern w:val="0"/>
                <w:sz w:val="36"/>
                <w:szCs w:val="36"/>
              </w:rPr>
              <w:t>)</w:t>
            </w:r>
          </w:p>
        </w:tc>
      </w:tr>
      <w:tr>
        <w:tblPrEx>
          <w:tblCellMar>
            <w:top w:w="0" w:type="dxa"/>
            <w:left w:w="0" w:type="dxa"/>
            <w:bottom w:w="0" w:type="dxa"/>
            <w:right w:w="0" w:type="dxa"/>
          </w:tblCellMar>
        </w:tblPrEx>
        <w:trPr>
          <w:trHeight w:val="276" w:hRule="atLeast"/>
        </w:trPr>
        <w:tc>
          <w:tcPr>
            <w:tcW w:w="306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仿宋_GB2312"/>
                <w:color w:val="000000"/>
                <w:sz w:val="24"/>
              </w:rPr>
            </w:pPr>
            <w:r>
              <w:rPr>
                <w:rFonts w:ascii="宋体" w:hAnsi="宋体" w:cs="宋体"/>
                <w:color w:val="000000"/>
                <w:kern w:val="0"/>
                <w:sz w:val="24"/>
              </w:rPr>
              <w:t>项目名称</w:t>
            </w:r>
          </w:p>
        </w:tc>
        <w:tc>
          <w:tcPr>
            <w:tcW w:w="6480" w:type="dxa"/>
            <w:gridSpan w:val="5"/>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宋体" w:hAnsi="宋体" w:eastAsia="仿宋_GB2312" w:cs="宋体"/>
                <w:color w:val="000000"/>
                <w:sz w:val="24"/>
              </w:rPr>
            </w:pPr>
            <w:r>
              <w:rPr>
                <w:rFonts w:hint="eastAsia" w:ascii="宋体" w:hAnsi="宋体" w:cs="宋体"/>
                <w:color w:val="000000"/>
                <w:sz w:val="24"/>
              </w:rPr>
              <w:t>预算预定新兵役前教育训练</w:t>
            </w:r>
            <w:r>
              <w:rPr>
                <w:rFonts w:hint="eastAsia" w:ascii="宋体" w:hAnsi="宋体" w:cs="宋体"/>
                <w:color w:val="000000"/>
                <w:sz w:val="24"/>
                <w:lang w:eastAsia="zh-CN"/>
              </w:rPr>
              <w:t>经费</w:t>
            </w:r>
          </w:p>
        </w:tc>
      </w:tr>
      <w:tr>
        <w:tblPrEx>
          <w:tblCellMar>
            <w:top w:w="0" w:type="dxa"/>
            <w:left w:w="0" w:type="dxa"/>
            <w:bottom w:w="0" w:type="dxa"/>
            <w:right w:w="0" w:type="dxa"/>
          </w:tblCellMar>
        </w:tblPrEx>
        <w:trPr>
          <w:trHeight w:val="276" w:hRule="atLeast"/>
        </w:trPr>
        <w:tc>
          <w:tcPr>
            <w:tcW w:w="306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仿宋_GB2312"/>
                <w:color w:val="000000"/>
                <w:sz w:val="24"/>
              </w:rPr>
            </w:pPr>
            <w:r>
              <w:rPr>
                <w:rFonts w:ascii="宋体" w:hAnsi="宋体" w:cs="宋体"/>
                <w:color w:val="000000"/>
                <w:kern w:val="0"/>
                <w:sz w:val="24"/>
              </w:rPr>
              <w:t>预算单位</w:t>
            </w:r>
          </w:p>
        </w:tc>
        <w:tc>
          <w:tcPr>
            <w:tcW w:w="6480" w:type="dxa"/>
            <w:gridSpan w:val="5"/>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仿宋_GB2312" w:cs="宋体"/>
                <w:color w:val="000000"/>
                <w:sz w:val="24"/>
              </w:rPr>
            </w:pPr>
            <w:r>
              <w:rPr>
                <w:rFonts w:ascii="宋体" w:hAnsi="宋体" w:cs="宋体"/>
                <w:color w:val="000000"/>
                <w:sz w:val="24"/>
              </w:rPr>
              <w:t>广元市利州区人民政府办公室</w:t>
            </w:r>
          </w:p>
        </w:tc>
      </w:tr>
      <w:tr>
        <w:tblPrEx>
          <w:tblCellMar>
            <w:top w:w="0" w:type="dxa"/>
            <w:left w:w="0" w:type="dxa"/>
            <w:bottom w:w="0" w:type="dxa"/>
            <w:right w:w="0" w:type="dxa"/>
          </w:tblCellMar>
        </w:tblPrEx>
        <w:trPr>
          <w:trHeight w:val="276" w:hRule="atLeast"/>
        </w:trPr>
        <w:tc>
          <w:tcPr>
            <w:tcW w:w="540"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仿宋_GB2312"/>
                <w:color w:val="000000"/>
                <w:sz w:val="24"/>
              </w:rPr>
            </w:pPr>
            <w:r>
              <w:rPr>
                <w:rFonts w:ascii="宋体" w:hAnsi="宋体" w:cs="宋体"/>
                <w:color w:val="000000"/>
                <w:kern w:val="0"/>
                <w:sz w:val="24"/>
              </w:rPr>
              <w:t>预算执行情况(</w:t>
            </w:r>
            <w:r>
              <w:rPr>
                <w:rFonts w:ascii="仿宋_GB2312" w:hAnsi="仿宋_GB2312" w:cs="宋体"/>
                <w:color w:val="000000"/>
                <w:kern w:val="0"/>
                <w:sz w:val="24"/>
              </w:rPr>
              <w:t>万元</w:t>
            </w:r>
            <w:r>
              <w:rPr>
                <w:rFonts w:ascii="宋体" w:hAnsi="宋体" w:cs="宋体"/>
                <w:color w:val="000000"/>
                <w:kern w:val="0"/>
                <w:sz w:val="24"/>
              </w:rPr>
              <w:t>)</w:t>
            </w:r>
          </w:p>
        </w:tc>
        <w:tc>
          <w:tcPr>
            <w:tcW w:w="2520"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仿宋_GB2312"/>
                <w:color w:val="000000"/>
                <w:sz w:val="24"/>
              </w:rPr>
            </w:pPr>
            <w:r>
              <w:rPr>
                <w:rFonts w:ascii="宋体" w:hAnsi="宋体" w:cs="宋体"/>
                <w:color w:val="000000"/>
                <w:kern w:val="0"/>
                <w:sz w:val="24"/>
              </w:rPr>
              <w:t>预算数:</w:t>
            </w:r>
          </w:p>
        </w:tc>
        <w:tc>
          <w:tcPr>
            <w:tcW w:w="1989"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仿宋_GB2312" w:cs="宋体"/>
                <w:color w:val="000000"/>
                <w:sz w:val="24"/>
              </w:rPr>
            </w:pPr>
            <w:r>
              <w:rPr>
                <w:rFonts w:hint="eastAsia" w:ascii="宋体" w:hAnsi="宋体" w:cs="宋体"/>
                <w:color w:val="000000"/>
                <w:sz w:val="24"/>
              </w:rPr>
              <w:t>6</w:t>
            </w:r>
            <w:r>
              <w:rPr>
                <w:rFonts w:ascii="仿宋_GB2312" w:hAnsi="仿宋_GB2312" w:cs="宋体"/>
                <w:color w:val="000000"/>
                <w:sz w:val="24"/>
              </w:rPr>
              <w:t>万元</w:t>
            </w:r>
          </w:p>
        </w:tc>
        <w:tc>
          <w:tcPr>
            <w:tcW w:w="2511"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仿宋_GB2312"/>
                <w:color w:val="000000"/>
                <w:sz w:val="24"/>
              </w:rPr>
            </w:pPr>
            <w:r>
              <w:rPr>
                <w:rFonts w:ascii="宋体" w:hAnsi="宋体" w:cs="宋体"/>
                <w:color w:val="000000"/>
                <w:kern w:val="0"/>
                <w:sz w:val="24"/>
              </w:rPr>
              <w:t>执行数:</w:t>
            </w:r>
          </w:p>
        </w:tc>
        <w:tc>
          <w:tcPr>
            <w:tcW w:w="198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仿宋_GB2312" w:cs="宋体"/>
                <w:color w:val="000000"/>
                <w:sz w:val="24"/>
              </w:rPr>
            </w:pPr>
            <w:r>
              <w:rPr>
                <w:rFonts w:hint="eastAsia" w:ascii="宋体" w:hAnsi="宋体" w:cs="宋体"/>
                <w:color w:val="000000"/>
                <w:sz w:val="24"/>
              </w:rPr>
              <w:t>6</w:t>
            </w:r>
            <w:r>
              <w:rPr>
                <w:rFonts w:ascii="仿宋_GB2312" w:hAnsi="仿宋_GB2312" w:cs="宋体"/>
                <w:color w:val="000000"/>
                <w:sz w:val="24"/>
              </w:rPr>
              <w:t>万元</w:t>
            </w:r>
          </w:p>
        </w:tc>
      </w:tr>
      <w:tr>
        <w:tblPrEx>
          <w:tblCellMar>
            <w:top w:w="0" w:type="dxa"/>
            <w:left w:w="0" w:type="dxa"/>
            <w:bottom w:w="0" w:type="dxa"/>
            <w:right w:w="0" w:type="dxa"/>
          </w:tblCellMar>
        </w:tblPrEx>
        <w:trPr>
          <w:trHeight w:val="276" w:hRule="atLeast"/>
        </w:trPr>
        <w:tc>
          <w:tcPr>
            <w:tcW w:w="540"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rPr>
                <w:rFonts w:ascii="宋体" w:hAnsi="宋体" w:eastAsia="仿宋_GB2312"/>
                <w:color w:val="000000"/>
                <w:sz w:val="24"/>
              </w:rPr>
            </w:pPr>
          </w:p>
        </w:tc>
        <w:tc>
          <w:tcPr>
            <w:tcW w:w="2520"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仿宋_GB2312"/>
                <w:color w:val="000000"/>
                <w:sz w:val="24"/>
              </w:rPr>
            </w:pPr>
            <w:r>
              <w:rPr>
                <w:rFonts w:ascii="宋体" w:hAnsi="宋体" w:cs="宋体"/>
                <w:color w:val="000000"/>
                <w:kern w:val="0"/>
                <w:sz w:val="24"/>
              </w:rPr>
              <w:t>其中-</w:t>
            </w:r>
            <w:r>
              <w:rPr>
                <w:rFonts w:ascii="仿宋_GB2312" w:hAnsi="仿宋_GB2312" w:cs="宋体"/>
                <w:color w:val="000000"/>
                <w:kern w:val="0"/>
                <w:sz w:val="24"/>
              </w:rPr>
              <w:t>财政拨款</w:t>
            </w:r>
            <w:r>
              <w:rPr>
                <w:rFonts w:ascii="宋体" w:hAnsi="宋体" w:cs="宋体"/>
                <w:color w:val="000000"/>
                <w:kern w:val="0"/>
                <w:sz w:val="24"/>
              </w:rPr>
              <w:t>:</w:t>
            </w:r>
          </w:p>
        </w:tc>
        <w:tc>
          <w:tcPr>
            <w:tcW w:w="1989"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仿宋_GB2312"/>
                <w:color w:val="000000"/>
                <w:sz w:val="24"/>
              </w:rPr>
            </w:pPr>
            <w:r>
              <w:rPr>
                <w:rFonts w:hint="eastAsia" w:ascii="宋体" w:hAnsi="宋体" w:cs="宋体"/>
                <w:color w:val="000000"/>
                <w:sz w:val="24"/>
              </w:rPr>
              <w:t>6</w:t>
            </w:r>
            <w:r>
              <w:rPr>
                <w:rFonts w:ascii="仿宋_GB2312" w:hAnsi="仿宋_GB2312" w:cs="宋体"/>
                <w:color w:val="000000"/>
                <w:sz w:val="24"/>
              </w:rPr>
              <w:t>万元</w:t>
            </w:r>
          </w:p>
        </w:tc>
        <w:tc>
          <w:tcPr>
            <w:tcW w:w="2511"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仿宋_GB2312"/>
                <w:color w:val="000000"/>
                <w:sz w:val="24"/>
              </w:rPr>
            </w:pPr>
            <w:r>
              <w:rPr>
                <w:rFonts w:ascii="宋体" w:hAnsi="宋体" w:cs="宋体"/>
                <w:color w:val="000000"/>
                <w:kern w:val="0"/>
                <w:sz w:val="24"/>
              </w:rPr>
              <w:t>其中-</w:t>
            </w:r>
            <w:r>
              <w:rPr>
                <w:rFonts w:ascii="仿宋_GB2312" w:hAnsi="仿宋_GB2312" w:cs="宋体"/>
                <w:color w:val="000000"/>
                <w:kern w:val="0"/>
                <w:sz w:val="24"/>
              </w:rPr>
              <w:t>财政拨款</w:t>
            </w:r>
            <w:r>
              <w:rPr>
                <w:rFonts w:ascii="宋体" w:hAnsi="宋体" w:cs="宋体"/>
                <w:color w:val="000000"/>
                <w:kern w:val="0"/>
                <w:sz w:val="24"/>
              </w:rPr>
              <w:t>:</w:t>
            </w:r>
          </w:p>
        </w:tc>
        <w:tc>
          <w:tcPr>
            <w:tcW w:w="198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仿宋_GB2312"/>
                <w:color w:val="000000"/>
                <w:sz w:val="24"/>
              </w:rPr>
            </w:pPr>
            <w:r>
              <w:rPr>
                <w:rFonts w:hint="eastAsia" w:ascii="宋体" w:hAnsi="宋体" w:cs="宋体"/>
                <w:color w:val="000000"/>
                <w:sz w:val="24"/>
              </w:rPr>
              <w:t>6</w:t>
            </w:r>
            <w:r>
              <w:rPr>
                <w:rFonts w:ascii="仿宋_GB2312" w:hAnsi="仿宋_GB2312" w:cs="宋体"/>
                <w:color w:val="000000"/>
                <w:sz w:val="24"/>
              </w:rPr>
              <w:t>万元</w:t>
            </w:r>
          </w:p>
        </w:tc>
      </w:tr>
      <w:tr>
        <w:tblPrEx>
          <w:tblCellMar>
            <w:top w:w="0" w:type="dxa"/>
            <w:left w:w="0" w:type="dxa"/>
            <w:bottom w:w="0" w:type="dxa"/>
            <w:right w:w="0" w:type="dxa"/>
          </w:tblCellMar>
        </w:tblPrEx>
        <w:trPr>
          <w:trHeight w:val="1113" w:hRule="atLeast"/>
        </w:trPr>
        <w:tc>
          <w:tcPr>
            <w:tcW w:w="540"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rPr>
                <w:rFonts w:ascii="宋体" w:hAnsi="宋体" w:eastAsia="仿宋_GB2312"/>
                <w:color w:val="000000"/>
                <w:sz w:val="24"/>
              </w:rPr>
            </w:pPr>
          </w:p>
        </w:tc>
        <w:tc>
          <w:tcPr>
            <w:tcW w:w="2520"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仿宋_GB2312"/>
                <w:color w:val="000000"/>
                <w:sz w:val="24"/>
              </w:rPr>
            </w:pPr>
            <w:r>
              <w:rPr>
                <w:rFonts w:ascii="宋体" w:hAnsi="宋体" w:cs="宋体"/>
                <w:color w:val="000000"/>
                <w:kern w:val="0"/>
                <w:sz w:val="24"/>
              </w:rPr>
              <w:t>其它资金:</w:t>
            </w:r>
          </w:p>
        </w:tc>
        <w:tc>
          <w:tcPr>
            <w:tcW w:w="1989"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仿宋_GB2312"/>
                <w:color w:val="000000"/>
                <w:sz w:val="24"/>
              </w:rPr>
            </w:pPr>
            <w:r>
              <w:rPr>
                <w:rFonts w:ascii="宋体" w:hAnsi="宋体" w:cs="宋体"/>
                <w:color w:val="000000"/>
                <w:kern w:val="0"/>
                <w:sz w:val="24"/>
              </w:rPr>
              <w:t>0</w:t>
            </w:r>
          </w:p>
        </w:tc>
        <w:tc>
          <w:tcPr>
            <w:tcW w:w="2511"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仿宋_GB2312"/>
                <w:color w:val="000000"/>
                <w:sz w:val="24"/>
              </w:rPr>
            </w:pPr>
            <w:r>
              <w:rPr>
                <w:rFonts w:ascii="宋体" w:hAnsi="宋体" w:cs="宋体"/>
                <w:color w:val="000000"/>
                <w:kern w:val="0"/>
                <w:sz w:val="24"/>
              </w:rPr>
              <w:t>其它资金:</w:t>
            </w:r>
          </w:p>
        </w:tc>
        <w:tc>
          <w:tcPr>
            <w:tcW w:w="198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ascii="宋体" w:hAnsi="宋体" w:eastAsia="仿宋_GB2312" w:cs="宋体"/>
                <w:color w:val="000000"/>
                <w:sz w:val="24"/>
              </w:rPr>
            </w:pPr>
            <w:r>
              <w:rPr>
                <w:rFonts w:ascii="宋体" w:hAnsi="宋体" w:cs="宋体"/>
                <w:color w:val="000000"/>
                <w:sz w:val="24"/>
              </w:rPr>
              <w:t>0</w:t>
            </w:r>
          </w:p>
        </w:tc>
      </w:tr>
      <w:tr>
        <w:tblPrEx>
          <w:tblCellMar>
            <w:top w:w="0" w:type="dxa"/>
            <w:left w:w="0" w:type="dxa"/>
            <w:bottom w:w="0" w:type="dxa"/>
            <w:right w:w="0" w:type="dxa"/>
          </w:tblCellMar>
        </w:tblPrEx>
        <w:trPr>
          <w:trHeight w:val="276" w:hRule="atLeast"/>
        </w:trPr>
        <w:tc>
          <w:tcPr>
            <w:tcW w:w="540"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仿宋_GB2312"/>
                <w:color w:val="000000"/>
                <w:sz w:val="24"/>
              </w:rPr>
            </w:pPr>
            <w:r>
              <w:rPr>
                <w:rFonts w:ascii="宋体" w:hAnsi="宋体" w:cs="宋体"/>
                <w:color w:val="000000"/>
                <w:kern w:val="0"/>
                <w:sz w:val="24"/>
              </w:rPr>
              <w:t>年度目标完成情况</w:t>
            </w:r>
          </w:p>
        </w:tc>
        <w:tc>
          <w:tcPr>
            <w:tcW w:w="4509" w:type="dxa"/>
            <w:gridSpan w:val="4"/>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仿宋_GB2312"/>
                <w:color w:val="000000"/>
                <w:sz w:val="24"/>
              </w:rPr>
            </w:pPr>
            <w:r>
              <w:rPr>
                <w:rFonts w:ascii="宋体" w:hAnsi="宋体" w:cs="宋体"/>
                <w:color w:val="000000"/>
                <w:kern w:val="0"/>
                <w:sz w:val="24"/>
              </w:rPr>
              <w:t>预期目标</w:t>
            </w:r>
          </w:p>
        </w:tc>
        <w:tc>
          <w:tcPr>
            <w:tcW w:w="4491" w:type="dxa"/>
            <w:gridSpan w:val="3"/>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仿宋_GB2312"/>
                <w:color w:val="000000"/>
                <w:sz w:val="24"/>
              </w:rPr>
            </w:pPr>
            <w:r>
              <w:rPr>
                <w:rFonts w:ascii="宋体" w:hAnsi="宋体" w:cs="宋体"/>
                <w:color w:val="000000"/>
                <w:kern w:val="0"/>
                <w:sz w:val="24"/>
              </w:rPr>
              <w:t>实际完成目标</w:t>
            </w:r>
          </w:p>
        </w:tc>
      </w:tr>
      <w:tr>
        <w:tblPrEx>
          <w:tblCellMar>
            <w:top w:w="0" w:type="dxa"/>
            <w:left w:w="0" w:type="dxa"/>
            <w:bottom w:w="0" w:type="dxa"/>
            <w:right w:w="0" w:type="dxa"/>
          </w:tblCellMar>
        </w:tblPrEx>
        <w:trPr>
          <w:trHeight w:val="1468" w:hRule="atLeast"/>
        </w:trPr>
        <w:tc>
          <w:tcPr>
            <w:tcW w:w="540"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rPr>
                <w:rFonts w:ascii="宋体" w:hAnsi="宋体" w:eastAsia="仿宋_GB2312"/>
                <w:color w:val="000000"/>
                <w:sz w:val="24"/>
              </w:rPr>
            </w:pPr>
          </w:p>
        </w:tc>
        <w:tc>
          <w:tcPr>
            <w:tcW w:w="4509" w:type="dxa"/>
            <w:gridSpan w:val="4"/>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hint="eastAsia" w:ascii="仿宋_GB2312"/>
                <w:sz w:val="24"/>
                <w:lang w:eastAsia="zh-CN"/>
              </w:rPr>
            </w:pPr>
            <w:r>
              <w:rPr>
                <w:rFonts w:hint="eastAsia" w:ascii="仿宋_GB2312"/>
                <w:sz w:val="24"/>
                <w:lang w:eastAsia="zh-CN"/>
              </w:rPr>
              <w:t>完成预定新兵预前教育训练300人</w:t>
            </w: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center"/>
              <w:rPr>
                <w:rFonts w:ascii="宋体" w:hAnsi="宋体" w:eastAsia="仿宋_GB2312"/>
                <w:color w:val="000000"/>
                <w:sz w:val="24"/>
              </w:rPr>
            </w:pPr>
          </w:p>
        </w:tc>
        <w:tc>
          <w:tcPr>
            <w:tcW w:w="4491" w:type="dxa"/>
            <w:gridSpan w:val="3"/>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ascii="宋体" w:hAnsi="宋体" w:eastAsia="仿宋_GB2312"/>
                <w:color w:val="000000"/>
                <w:sz w:val="24"/>
              </w:rPr>
            </w:pPr>
            <w:r>
              <w:rPr>
                <w:rFonts w:hint="eastAsia" w:ascii="仿宋_GB2312"/>
                <w:sz w:val="24"/>
                <w:lang w:eastAsia="zh-CN"/>
              </w:rPr>
              <w:t>训练预定新兵270人，教官20人，教学组、保障组工作人员10人</w:t>
            </w:r>
          </w:p>
        </w:tc>
      </w:tr>
      <w:tr>
        <w:tblPrEx>
          <w:tblCellMar>
            <w:top w:w="0" w:type="dxa"/>
            <w:left w:w="0" w:type="dxa"/>
            <w:bottom w:w="0" w:type="dxa"/>
            <w:right w:w="0" w:type="dxa"/>
          </w:tblCellMar>
        </w:tblPrEx>
        <w:trPr>
          <w:trHeight w:val="1042" w:hRule="atLeast"/>
        </w:trPr>
        <w:tc>
          <w:tcPr>
            <w:tcW w:w="540"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仿宋_GB2312"/>
                <w:color w:val="000000"/>
                <w:sz w:val="24"/>
              </w:rPr>
            </w:pPr>
            <w:r>
              <w:rPr>
                <w:rFonts w:ascii="宋体" w:hAnsi="宋体" w:cs="宋体"/>
                <w:color w:val="000000"/>
                <w:sz w:val="24"/>
              </w:rPr>
              <w:t>绩效指标完成情况</w:t>
            </w:r>
          </w:p>
        </w:tc>
        <w:tc>
          <w:tcPr>
            <w:tcW w:w="16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仿宋_GB2312"/>
                <w:color w:val="000000"/>
                <w:sz w:val="24"/>
              </w:rPr>
            </w:pPr>
            <w:r>
              <w:rPr>
                <w:rFonts w:ascii="宋体" w:hAnsi="宋体" w:cs="宋体"/>
                <w:color w:val="000000"/>
                <w:kern w:val="0"/>
                <w:sz w:val="24"/>
              </w:rPr>
              <w:t>一级指标</w:t>
            </w:r>
          </w:p>
        </w:tc>
        <w:tc>
          <w:tcPr>
            <w:tcW w:w="1342"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仿宋_GB2312"/>
                <w:color w:val="000000"/>
                <w:sz w:val="24"/>
              </w:rPr>
            </w:pPr>
            <w:r>
              <w:rPr>
                <w:rFonts w:ascii="宋体" w:hAnsi="宋体" w:cs="宋体"/>
                <w:color w:val="000000"/>
                <w:kern w:val="0"/>
                <w:sz w:val="24"/>
              </w:rPr>
              <w:t>二级指标</w:t>
            </w:r>
          </w:p>
        </w:tc>
        <w:tc>
          <w:tcPr>
            <w:tcW w:w="1553"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仿宋_GB2312"/>
                <w:color w:val="000000"/>
                <w:sz w:val="24"/>
              </w:rPr>
            </w:pPr>
            <w:r>
              <w:rPr>
                <w:rFonts w:ascii="宋体" w:hAnsi="宋体" w:cs="宋体"/>
                <w:color w:val="000000"/>
                <w:kern w:val="0"/>
                <w:sz w:val="24"/>
              </w:rPr>
              <w:t>三级指标</w:t>
            </w:r>
          </w:p>
        </w:tc>
        <w:tc>
          <w:tcPr>
            <w:tcW w:w="2413"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仿宋_GB2312"/>
                <w:color w:val="000000"/>
                <w:sz w:val="24"/>
              </w:rPr>
            </w:pPr>
            <w:r>
              <w:rPr>
                <w:rFonts w:ascii="宋体" w:hAnsi="宋体" w:cs="宋体"/>
                <w:color w:val="000000"/>
                <w:kern w:val="0"/>
                <w:sz w:val="24"/>
              </w:rPr>
              <w:t>预期指标值(</w:t>
            </w:r>
            <w:r>
              <w:rPr>
                <w:rFonts w:ascii="仿宋_GB2312" w:hAnsi="仿宋_GB2312" w:cs="宋体"/>
                <w:color w:val="000000"/>
                <w:kern w:val="0"/>
                <w:sz w:val="24"/>
              </w:rPr>
              <w:t>包含数字及文字描述</w:t>
            </w:r>
            <w:r>
              <w:rPr>
                <w:rFonts w:ascii="宋体" w:hAnsi="宋体" w:cs="宋体"/>
                <w:color w:val="000000"/>
                <w:kern w:val="0"/>
                <w:sz w:val="24"/>
              </w:rPr>
              <w:t>)</w:t>
            </w:r>
          </w:p>
        </w:tc>
        <w:tc>
          <w:tcPr>
            <w:tcW w:w="2078"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仿宋_GB2312"/>
                <w:color w:val="000000"/>
                <w:sz w:val="24"/>
              </w:rPr>
            </w:pPr>
            <w:r>
              <w:rPr>
                <w:rFonts w:ascii="宋体" w:hAnsi="宋体" w:cs="宋体"/>
                <w:color w:val="000000"/>
                <w:kern w:val="0"/>
                <w:sz w:val="24"/>
              </w:rPr>
              <w:t>实际完成指标值(</w:t>
            </w:r>
            <w:r>
              <w:rPr>
                <w:rFonts w:ascii="仿宋_GB2312" w:hAnsi="仿宋_GB2312"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2063" w:hRule="atLeast"/>
        </w:trPr>
        <w:tc>
          <w:tcPr>
            <w:tcW w:w="540"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rPr>
                <w:rFonts w:ascii="宋体" w:hAnsi="宋体" w:eastAsia="仿宋_GB2312"/>
                <w:color w:val="000000"/>
                <w:sz w:val="24"/>
              </w:rPr>
            </w:pPr>
          </w:p>
        </w:tc>
        <w:tc>
          <w:tcPr>
            <w:tcW w:w="1614" w:type="dxa"/>
            <w:vMerge w:val="restart"/>
            <w:tcBorders>
              <w:top w:val="single" w:color="000000" w:sz="4" w:space="0"/>
              <w:left w:val="nil"/>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仿宋_GB2312"/>
                <w:color w:val="000000"/>
                <w:sz w:val="24"/>
              </w:rPr>
            </w:pPr>
            <w:r>
              <w:rPr>
                <w:rFonts w:ascii="宋体" w:hAnsi="宋体" w:cs="宋体"/>
                <w:color w:val="000000"/>
                <w:kern w:val="0"/>
                <w:sz w:val="24"/>
              </w:rPr>
              <w:t>项目完成指标</w:t>
            </w:r>
          </w:p>
        </w:tc>
        <w:tc>
          <w:tcPr>
            <w:tcW w:w="1342"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仿宋_GB2312" w:cs="宋体"/>
                <w:color w:val="000000"/>
                <w:sz w:val="24"/>
              </w:rPr>
            </w:pPr>
            <w:r>
              <w:rPr>
                <w:rFonts w:hint="eastAsia" w:ascii="宋体" w:hAnsi="宋体" w:cs="宋体"/>
                <w:color w:val="000000"/>
                <w:sz w:val="24"/>
                <w:lang w:eastAsia="zh-CN"/>
              </w:rPr>
              <w:t>数量</w:t>
            </w:r>
            <w:r>
              <w:rPr>
                <w:rFonts w:ascii="宋体" w:hAnsi="宋体" w:cs="宋体"/>
                <w:color w:val="000000"/>
                <w:sz w:val="24"/>
              </w:rPr>
              <w:t>指标</w:t>
            </w:r>
          </w:p>
        </w:tc>
        <w:tc>
          <w:tcPr>
            <w:tcW w:w="1553"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hint="eastAsia" w:ascii="宋体" w:hAnsi="宋体" w:eastAsia="仿宋_GB2312"/>
                <w:color w:val="000000"/>
                <w:sz w:val="24"/>
                <w:lang w:eastAsia="zh-CN"/>
              </w:rPr>
            </w:pPr>
            <w:r>
              <w:rPr>
                <w:rFonts w:hint="eastAsia" w:ascii="宋体" w:hAnsi="宋体" w:cs="宋体"/>
                <w:color w:val="000000"/>
                <w:sz w:val="24"/>
                <w:lang w:eastAsia="zh-CN"/>
              </w:rPr>
              <w:t>训练人数</w:t>
            </w:r>
          </w:p>
        </w:tc>
        <w:tc>
          <w:tcPr>
            <w:tcW w:w="2413"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hint="eastAsia" w:ascii="仿宋_GB2312"/>
                <w:sz w:val="24"/>
                <w:lang w:eastAsia="zh-CN"/>
              </w:rPr>
            </w:pPr>
            <w:r>
              <w:rPr>
                <w:rFonts w:hint="eastAsia" w:ascii="仿宋_GB2312"/>
                <w:sz w:val="24"/>
                <w:lang w:eastAsia="zh-CN"/>
              </w:rPr>
              <w:t>完成预定新兵预前教育训练300人</w:t>
            </w:r>
          </w:p>
          <w:p>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hint="eastAsia" w:ascii="宋体" w:hAnsi="宋体" w:eastAsia="仿宋_GB2312" w:cs="宋体"/>
                <w:color w:val="000000"/>
                <w:sz w:val="24"/>
                <w:lang w:eastAsia="zh-CN"/>
              </w:rPr>
            </w:pPr>
          </w:p>
        </w:tc>
        <w:tc>
          <w:tcPr>
            <w:tcW w:w="2078"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hint="eastAsia" w:ascii="宋体" w:hAnsi="宋体" w:eastAsia="宋体"/>
                <w:color w:val="000000"/>
                <w:sz w:val="24"/>
                <w:lang w:eastAsia="zh-CN"/>
              </w:rPr>
            </w:pPr>
            <w:r>
              <w:rPr>
                <w:rFonts w:hint="eastAsia" w:ascii="仿宋_GB2312"/>
                <w:sz w:val="24"/>
                <w:lang w:eastAsia="zh-CN"/>
              </w:rPr>
              <w:t>训练预定新兵270人，教官20人，教学组、保障组工作人员10人</w:t>
            </w:r>
          </w:p>
        </w:tc>
      </w:tr>
      <w:tr>
        <w:tblPrEx>
          <w:tblCellMar>
            <w:top w:w="0" w:type="dxa"/>
            <w:left w:w="0" w:type="dxa"/>
            <w:bottom w:w="0" w:type="dxa"/>
            <w:right w:w="0" w:type="dxa"/>
          </w:tblCellMar>
        </w:tblPrEx>
        <w:trPr>
          <w:trHeight w:val="953" w:hRule="atLeast"/>
        </w:trPr>
        <w:tc>
          <w:tcPr>
            <w:tcW w:w="540"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rPr>
                <w:rFonts w:ascii="宋体" w:hAnsi="宋体" w:eastAsia="仿宋_GB2312"/>
                <w:color w:val="000000"/>
                <w:sz w:val="24"/>
              </w:rPr>
            </w:pPr>
          </w:p>
        </w:tc>
        <w:tc>
          <w:tcPr>
            <w:tcW w:w="1614" w:type="dxa"/>
            <w:vMerge w:val="continue"/>
            <w:tcBorders>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cs="宋体"/>
                <w:color w:val="000000"/>
                <w:kern w:val="0"/>
                <w:sz w:val="24"/>
              </w:rPr>
            </w:pPr>
          </w:p>
        </w:tc>
        <w:tc>
          <w:tcPr>
            <w:tcW w:w="1342"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宋体" w:hAnsi="宋体" w:eastAsia="仿宋_GB2312" w:cs="宋体"/>
                <w:color w:val="000000"/>
                <w:sz w:val="24"/>
                <w:lang w:eastAsia="zh-CN"/>
              </w:rPr>
            </w:pPr>
            <w:r>
              <w:rPr>
                <w:rFonts w:hint="eastAsia" w:ascii="宋体" w:hAnsi="宋体" w:cs="宋体"/>
                <w:color w:val="000000"/>
                <w:sz w:val="24"/>
                <w:lang w:eastAsia="zh-CN"/>
              </w:rPr>
              <w:t>质量指标</w:t>
            </w:r>
          </w:p>
        </w:tc>
        <w:tc>
          <w:tcPr>
            <w:tcW w:w="1553"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hint="eastAsia" w:ascii="宋体" w:hAnsi="宋体" w:eastAsia="仿宋_GB2312" w:cs="宋体"/>
                <w:color w:val="000000"/>
                <w:sz w:val="24"/>
                <w:lang w:eastAsia="zh-CN"/>
              </w:rPr>
            </w:pPr>
            <w:r>
              <w:rPr>
                <w:rFonts w:hint="eastAsia" w:ascii="宋体" w:hAnsi="宋体" w:cs="宋体"/>
                <w:color w:val="000000"/>
                <w:sz w:val="24"/>
                <w:lang w:eastAsia="zh-CN"/>
              </w:rPr>
              <w:t>规范有序组织</w:t>
            </w:r>
          </w:p>
        </w:tc>
        <w:tc>
          <w:tcPr>
            <w:tcW w:w="2413"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hint="eastAsia" w:ascii="宋体" w:hAnsi="宋体" w:eastAsia="仿宋_GB2312" w:cs="宋体"/>
                <w:color w:val="000000"/>
                <w:sz w:val="24"/>
                <w:lang w:eastAsia="zh-CN"/>
              </w:rPr>
            </w:pPr>
            <w:r>
              <w:rPr>
                <w:rFonts w:hint="eastAsia" w:ascii="宋体" w:hAnsi="宋体" w:cs="宋体"/>
                <w:color w:val="000000"/>
                <w:sz w:val="24"/>
                <w:lang w:eastAsia="zh-CN"/>
              </w:rPr>
              <w:t>组织预备新兵役前丰富、规范、有序训练</w:t>
            </w:r>
          </w:p>
        </w:tc>
        <w:tc>
          <w:tcPr>
            <w:tcW w:w="2078"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ascii="宋体" w:hAnsi="宋体" w:cs="宋体"/>
                <w:color w:val="000000"/>
                <w:sz w:val="24"/>
              </w:rPr>
            </w:pPr>
            <w:r>
              <w:rPr>
                <w:rFonts w:hint="eastAsia" w:ascii="宋体" w:hAnsi="宋体" w:cs="宋体"/>
                <w:color w:val="000000"/>
                <w:sz w:val="24"/>
                <w:lang w:eastAsia="zh-CN"/>
              </w:rPr>
              <w:t>完成预备新兵役前丰富、规范、有序训练</w:t>
            </w:r>
          </w:p>
        </w:tc>
      </w:tr>
      <w:tr>
        <w:tblPrEx>
          <w:tblCellMar>
            <w:top w:w="0" w:type="dxa"/>
            <w:left w:w="0" w:type="dxa"/>
            <w:bottom w:w="0" w:type="dxa"/>
            <w:right w:w="0" w:type="dxa"/>
          </w:tblCellMar>
        </w:tblPrEx>
        <w:trPr>
          <w:trHeight w:val="1297" w:hRule="atLeast"/>
        </w:trPr>
        <w:tc>
          <w:tcPr>
            <w:tcW w:w="540"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rPr>
                <w:rFonts w:ascii="宋体" w:hAnsi="宋体" w:eastAsia="仿宋_GB2312"/>
                <w:color w:val="000000"/>
                <w:sz w:val="24"/>
              </w:rPr>
            </w:pPr>
          </w:p>
        </w:tc>
        <w:tc>
          <w:tcPr>
            <w:tcW w:w="16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仿宋_GB2312"/>
                <w:color w:val="000000"/>
                <w:sz w:val="24"/>
              </w:rPr>
            </w:pPr>
            <w:r>
              <w:rPr>
                <w:rFonts w:ascii="宋体" w:hAnsi="宋体" w:cs="宋体"/>
                <w:color w:val="000000"/>
                <w:kern w:val="0"/>
                <w:sz w:val="24"/>
              </w:rPr>
              <w:t>效益指标</w:t>
            </w:r>
          </w:p>
        </w:tc>
        <w:tc>
          <w:tcPr>
            <w:tcW w:w="1342"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仿宋_GB2312" w:cs="宋体"/>
                <w:color w:val="000000"/>
                <w:sz w:val="24"/>
              </w:rPr>
            </w:pPr>
            <w:r>
              <w:rPr>
                <w:rFonts w:ascii="宋体" w:hAnsi="宋体" w:cs="宋体"/>
                <w:color w:val="000000"/>
                <w:sz w:val="24"/>
              </w:rPr>
              <w:t>经济效益</w:t>
            </w:r>
          </w:p>
        </w:tc>
        <w:tc>
          <w:tcPr>
            <w:tcW w:w="1553"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仿宋_GB2312" w:cs="宋体"/>
                <w:color w:val="000000"/>
                <w:sz w:val="24"/>
              </w:rPr>
            </w:pPr>
            <w:r>
              <w:rPr>
                <w:rFonts w:ascii="宋体" w:hAnsi="宋体" w:cs="宋体"/>
                <w:color w:val="000000"/>
                <w:sz w:val="24"/>
              </w:rPr>
              <w:t>投入和工作成效</w:t>
            </w:r>
          </w:p>
        </w:tc>
        <w:tc>
          <w:tcPr>
            <w:tcW w:w="2413"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hint="eastAsia" w:ascii="宋体" w:hAnsi="宋体" w:eastAsia="仿宋_GB2312" w:cs="宋体"/>
                <w:color w:val="000000"/>
                <w:sz w:val="24"/>
                <w:lang w:eastAsia="zh-CN"/>
              </w:rPr>
            </w:pPr>
            <w:r>
              <w:rPr>
                <w:rFonts w:hint="eastAsia" w:ascii="宋体" w:hAnsi="宋体" w:eastAsia="仿宋_GB2312" w:cs="宋体"/>
                <w:color w:val="000000"/>
                <w:sz w:val="24"/>
                <w:lang w:eastAsia="zh-CN"/>
              </w:rPr>
              <w:t>足额提供经费，</w:t>
            </w:r>
            <w:r>
              <w:rPr>
                <w:rFonts w:hint="eastAsia" w:ascii="宋体" w:hAnsi="宋体" w:cs="宋体"/>
                <w:color w:val="000000"/>
                <w:sz w:val="24"/>
                <w:lang w:eastAsia="zh-CN"/>
              </w:rPr>
              <w:t>全面完成役前训练任务</w:t>
            </w:r>
          </w:p>
        </w:tc>
        <w:tc>
          <w:tcPr>
            <w:tcW w:w="2078"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ascii="宋体" w:hAnsi="宋体" w:eastAsia="仿宋_GB2312" w:cs="宋体"/>
                <w:color w:val="000000"/>
                <w:sz w:val="24"/>
              </w:rPr>
            </w:pPr>
            <w:r>
              <w:rPr>
                <w:rFonts w:hint="eastAsia" w:ascii="宋体" w:hAnsi="宋体" w:eastAsia="仿宋_GB2312" w:cs="宋体"/>
                <w:color w:val="000000"/>
                <w:sz w:val="24"/>
                <w:lang w:eastAsia="zh-CN"/>
              </w:rPr>
              <w:t>足额提供经费，</w:t>
            </w:r>
            <w:r>
              <w:rPr>
                <w:rFonts w:hint="eastAsia" w:ascii="宋体" w:hAnsi="宋体" w:cs="宋体"/>
                <w:color w:val="000000"/>
                <w:sz w:val="24"/>
                <w:lang w:eastAsia="zh-CN"/>
              </w:rPr>
              <w:t>全面完成役前训练任务</w:t>
            </w:r>
          </w:p>
        </w:tc>
      </w:tr>
      <w:tr>
        <w:tblPrEx>
          <w:tblCellMar>
            <w:top w:w="0" w:type="dxa"/>
            <w:left w:w="0" w:type="dxa"/>
            <w:bottom w:w="0" w:type="dxa"/>
            <w:right w:w="0" w:type="dxa"/>
          </w:tblCellMar>
        </w:tblPrEx>
        <w:trPr>
          <w:trHeight w:val="1042" w:hRule="atLeast"/>
        </w:trPr>
        <w:tc>
          <w:tcPr>
            <w:tcW w:w="540"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rPr>
                <w:rFonts w:ascii="宋体" w:hAnsi="宋体" w:eastAsia="仿宋_GB2312"/>
                <w:color w:val="000000"/>
                <w:sz w:val="24"/>
              </w:rPr>
            </w:pPr>
          </w:p>
        </w:tc>
        <w:tc>
          <w:tcPr>
            <w:tcW w:w="16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仿宋_GB2312"/>
                <w:color w:val="000000"/>
                <w:sz w:val="24"/>
              </w:rPr>
            </w:pPr>
            <w:r>
              <w:rPr>
                <w:rFonts w:ascii="宋体" w:hAnsi="宋体" w:cs="宋体"/>
                <w:color w:val="000000"/>
                <w:kern w:val="0"/>
                <w:sz w:val="24"/>
              </w:rPr>
              <w:t>效益指标</w:t>
            </w:r>
          </w:p>
        </w:tc>
        <w:tc>
          <w:tcPr>
            <w:tcW w:w="1342"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仿宋_GB2312" w:cs="宋体"/>
                <w:color w:val="000000"/>
                <w:sz w:val="24"/>
              </w:rPr>
            </w:pPr>
            <w:r>
              <w:rPr>
                <w:rFonts w:ascii="宋体" w:hAnsi="宋体" w:cs="宋体"/>
                <w:color w:val="000000"/>
                <w:sz w:val="24"/>
              </w:rPr>
              <w:t>社会效益</w:t>
            </w:r>
          </w:p>
        </w:tc>
        <w:tc>
          <w:tcPr>
            <w:tcW w:w="1553"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宋体" w:hAnsi="宋体" w:eastAsia="宋体"/>
                <w:color w:val="000000"/>
                <w:sz w:val="24"/>
                <w:lang w:eastAsia="zh-CN"/>
              </w:rPr>
            </w:pPr>
            <w:r>
              <w:rPr>
                <w:rFonts w:hint="eastAsia" w:ascii="宋体" w:hAnsi="宋体" w:eastAsia="宋体"/>
                <w:color w:val="000000"/>
                <w:sz w:val="24"/>
                <w:lang w:eastAsia="zh-CN"/>
              </w:rPr>
              <w:t>社会参与导向</w:t>
            </w:r>
          </w:p>
        </w:tc>
        <w:tc>
          <w:tcPr>
            <w:tcW w:w="2413"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通过多种方式引导适龄青年积极参军入伍，保家卫国</w:t>
            </w:r>
          </w:p>
        </w:tc>
        <w:tc>
          <w:tcPr>
            <w:tcW w:w="2078"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ascii="宋体" w:hAnsi="宋体" w:eastAsia="仿宋_GB2312"/>
                <w:color w:val="000000"/>
                <w:sz w:val="24"/>
              </w:rPr>
            </w:pPr>
            <w:r>
              <w:rPr>
                <w:rFonts w:hint="eastAsia" w:ascii="宋体" w:hAnsi="宋体" w:eastAsia="宋体" w:cs="宋体"/>
                <w:color w:val="000000"/>
                <w:sz w:val="24"/>
                <w:lang w:eastAsia="zh-CN"/>
              </w:rPr>
              <w:t>通过多种方式引导适龄青年积极参军入伍，保家卫国</w:t>
            </w:r>
          </w:p>
        </w:tc>
      </w:tr>
      <w:tr>
        <w:tblPrEx>
          <w:tblCellMar>
            <w:top w:w="0" w:type="dxa"/>
            <w:left w:w="0" w:type="dxa"/>
            <w:bottom w:w="0" w:type="dxa"/>
            <w:right w:w="0" w:type="dxa"/>
          </w:tblCellMar>
        </w:tblPrEx>
        <w:trPr>
          <w:trHeight w:val="1042" w:hRule="atLeast"/>
        </w:trPr>
        <w:tc>
          <w:tcPr>
            <w:tcW w:w="540"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rPr>
                <w:rFonts w:ascii="宋体" w:hAnsi="宋体" w:eastAsia="仿宋_GB2312"/>
                <w:color w:val="000000"/>
                <w:sz w:val="24"/>
              </w:rPr>
            </w:pPr>
          </w:p>
        </w:tc>
        <w:tc>
          <w:tcPr>
            <w:tcW w:w="16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仿宋_GB2312"/>
                <w:color w:val="000000"/>
                <w:sz w:val="24"/>
              </w:rPr>
            </w:pPr>
            <w:r>
              <w:rPr>
                <w:rFonts w:ascii="宋体" w:hAnsi="宋体" w:cs="宋体"/>
                <w:color w:val="000000"/>
                <w:kern w:val="0"/>
                <w:sz w:val="24"/>
              </w:rPr>
              <w:t>满意度指标</w:t>
            </w:r>
          </w:p>
        </w:tc>
        <w:tc>
          <w:tcPr>
            <w:tcW w:w="1342"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仿宋_GB2312"/>
                <w:color w:val="000000"/>
                <w:sz w:val="24"/>
              </w:rPr>
            </w:pPr>
            <w:r>
              <w:rPr>
                <w:rFonts w:ascii="宋体" w:hAnsi="宋体" w:cs="宋体"/>
                <w:color w:val="000000"/>
                <w:sz w:val="24"/>
              </w:rPr>
              <w:t>满意度指标</w:t>
            </w:r>
          </w:p>
        </w:tc>
        <w:tc>
          <w:tcPr>
            <w:tcW w:w="1553"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宋体" w:hAnsi="宋体" w:eastAsia="仿宋_GB2312"/>
                <w:color w:val="000000"/>
                <w:sz w:val="24"/>
                <w:lang w:val="en-US" w:eastAsia="zh-CN"/>
              </w:rPr>
            </w:pPr>
            <w:r>
              <w:rPr>
                <w:rFonts w:hint="eastAsia" w:ascii="宋体" w:hAnsi="宋体" w:eastAsia="仿宋_GB2312"/>
                <w:color w:val="000000"/>
                <w:sz w:val="24"/>
                <w:lang w:val="en-US" w:eastAsia="zh-CN"/>
              </w:rPr>
              <w:t>管理对象及社会满意度</w:t>
            </w:r>
          </w:p>
        </w:tc>
        <w:tc>
          <w:tcPr>
            <w:tcW w:w="2413"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ascii="宋体" w:hAnsi="宋体" w:eastAsia="仿宋_GB2312"/>
                <w:color w:val="000000"/>
                <w:sz w:val="24"/>
              </w:rPr>
            </w:pPr>
            <w:r>
              <w:rPr>
                <w:rFonts w:hint="eastAsia" w:ascii="宋体" w:hAnsi="宋体" w:eastAsia="仿宋_GB2312"/>
                <w:color w:val="000000"/>
                <w:sz w:val="24"/>
                <w:lang w:eastAsia="zh-CN"/>
              </w:rPr>
              <w:t>有助于</w:t>
            </w:r>
            <w:r>
              <w:rPr>
                <w:rFonts w:hint="eastAsia" w:ascii="宋体" w:hAnsi="宋体" w:eastAsia="宋体" w:cs="宋体"/>
                <w:color w:val="000000"/>
                <w:sz w:val="24"/>
                <w:lang w:eastAsia="zh-CN"/>
              </w:rPr>
              <w:t>适龄青年参军入伍前多方面适应和为部队选到优质兵源</w:t>
            </w:r>
          </w:p>
        </w:tc>
        <w:tc>
          <w:tcPr>
            <w:tcW w:w="2078"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ascii="宋体" w:hAnsi="宋体" w:eastAsia="仿宋_GB2312"/>
                <w:color w:val="000000"/>
                <w:sz w:val="24"/>
              </w:rPr>
            </w:pPr>
            <w:r>
              <w:rPr>
                <w:rFonts w:hint="eastAsia" w:ascii="宋体" w:hAnsi="宋体" w:eastAsia="仿宋_GB2312"/>
                <w:color w:val="000000"/>
                <w:sz w:val="24"/>
                <w:lang w:eastAsia="zh-CN"/>
              </w:rPr>
              <w:t>有助于</w:t>
            </w:r>
            <w:r>
              <w:rPr>
                <w:rFonts w:hint="eastAsia" w:ascii="宋体" w:hAnsi="宋体" w:eastAsia="宋体" w:cs="宋体"/>
                <w:color w:val="000000"/>
                <w:sz w:val="24"/>
                <w:lang w:eastAsia="zh-CN"/>
              </w:rPr>
              <w:t>适龄青年参军入伍前多方面适应和为部队选到优质兵源，</w:t>
            </w:r>
            <w:r>
              <w:rPr>
                <w:rFonts w:hint="eastAsia" w:ascii="宋体" w:hAnsi="宋体" w:eastAsia="宋体" w:cs="宋体"/>
                <w:color w:val="000000"/>
                <w:sz w:val="24"/>
                <w:lang w:val="zh-CN" w:eastAsia="zh-CN"/>
              </w:rPr>
              <w:t>推动了全区征兵工作的健康发展</w:t>
            </w: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rPr>
          <w:rFonts w:hint="eastAsia" w:ascii="方正仿宋简体" w:hAnsi="微软雅黑" w:eastAsia="方正仿宋简体" w:cs="宋体"/>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jc w:val="left"/>
        <w:rPr>
          <w:rFonts w:hint="eastAsia"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rPr>
        <w:t>（二）项目绩效分析</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jc w:val="left"/>
        <w:rPr>
          <w:rFonts w:hint="eastAsia"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rPr>
        <w:t>1、项目决策</w:t>
      </w:r>
      <w:r>
        <w:rPr>
          <w:rFonts w:hint="eastAsia" w:ascii="方正仿宋简体" w:hAnsi="微软雅黑" w:eastAsia="方正仿宋简体" w:cs="宋体"/>
          <w:color w:val="333333"/>
          <w:kern w:val="0"/>
          <w:sz w:val="32"/>
          <w:szCs w:val="32"/>
          <w:lang w:eastAsia="zh-CN"/>
        </w:rPr>
        <w:t>情况</w:t>
      </w:r>
      <w:r>
        <w:rPr>
          <w:rFonts w:hint="eastAsia" w:ascii="方正仿宋简体" w:hAnsi="微软雅黑" w:eastAsia="方正仿宋简体" w:cs="宋体"/>
          <w:color w:val="333333"/>
          <w:kern w:val="0"/>
          <w:sz w:val="32"/>
          <w:szCs w:val="32"/>
        </w:rPr>
        <w:t>。根据广元军分区下达的目标任务，</w:t>
      </w:r>
      <w:r>
        <w:rPr>
          <w:rFonts w:hint="eastAsia" w:ascii="方正仿宋简体" w:hAnsi="微软雅黑" w:eastAsia="方正仿宋简体" w:cs="宋体"/>
          <w:color w:val="333333"/>
          <w:kern w:val="0"/>
          <w:sz w:val="32"/>
          <w:szCs w:val="32"/>
          <w:lang w:eastAsia="zh-CN"/>
        </w:rPr>
        <w:t>完成</w:t>
      </w:r>
      <w:r>
        <w:rPr>
          <w:rFonts w:hint="eastAsia" w:ascii="方正仿宋简体" w:hAnsi="微软雅黑" w:eastAsia="方正仿宋简体" w:cs="宋体"/>
          <w:color w:val="333333"/>
          <w:kern w:val="0"/>
          <w:sz w:val="32"/>
          <w:szCs w:val="32"/>
        </w:rPr>
        <w:t>预定新兵预前教育训练300人</w:t>
      </w:r>
      <w:r>
        <w:rPr>
          <w:rFonts w:hint="eastAsia" w:ascii="方正仿宋简体" w:hAnsi="微软雅黑" w:eastAsia="方正仿宋简体" w:cs="宋体"/>
          <w:color w:val="333333"/>
          <w:kern w:val="0"/>
          <w:sz w:val="32"/>
          <w:szCs w:val="32"/>
          <w:lang w:eastAsia="zh-CN"/>
        </w:rPr>
        <w:t>。相关工作经费保障</w:t>
      </w:r>
      <w:r>
        <w:rPr>
          <w:rFonts w:hint="eastAsia" w:ascii="方正仿宋简体" w:hAnsi="微软雅黑" w:eastAsia="方正仿宋简体" w:cs="宋体"/>
          <w:color w:val="333333"/>
          <w:kern w:val="0"/>
          <w:sz w:val="32"/>
          <w:szCs w:val="32"/>
        </w:rPr>
        <w:t>由区</w:t>
      </w:r>
      <w:r>
        <w:rPr>
          <w:rFonts w:hint="eastAsia" w:ascii="方正仿宋简体" w:hAnsi="微软雅黑" w:eastAsia="方正仿宋简体" w:cs="宋体"/>
          <w:color w:val="333333"/>
          <w:kern w:val="0"/>
          <w:sz w:val="32"/>
          <w:szCs w:val="32"/>
          <w:lang w:eastAsia="zh-CN"/>
        </w:rPr>
        <w:t>级财政</w:t>
      </w:r>
      <w:r>
        <w:rPr>
          <w:rFonts w:hint="eastAsia" w:ascii="方正仿宋简体" w:hAnsi="微软雅黑" w:eastAsia="方正仿宋简体" w:cs="宋体"/>
          <w:color w:val="333333"/>
          <w:kern w:val="0"/>
          <w:sz w:val="32"/>
          <w:szCs w:val="32"/>
        </w:rPr>
        <w:t>承担。</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jc w:val="left"/>
        <w:rPr>
          <w:rFonts w:hint="eastAsia"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rPr>
        <w:t>2、项目管理情况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jc w:val="left"/>
        <w:rPr>
          <w:rFonts w:hint="eastAsia" w:ascii="方正仿宋简体" w:hAnsi="微软雅黑" w:eastAsia="方正仿宋简体" w:cs="宋体"/>
          <w:color w:val="333333"/>
          <w:kern w:val="0"/>
          <w:sz w:val="32"/>
          <w:szCs w:val="32"/>
          <w:lang w:val="zh-CN"/>
        </w:rPr>
      </w:pPr>
      <w:r>
        <w:rPr>
          <w:rFonts w:hint="eastAsia" w:ascii="方正仿宋简体" w:hAnsi="微软雅黑" w:eastAsia="方正仿宋简体" w:cs="宋体"/>
          <w:color w:val="333333"/>
          <w:kern w:val="0"/>
          <w:sz w:val="32"/>
          <w:szCs w:val="32"/>
        </w:rPr>
        <w:t>预定新兵预前教育训练</w:t>
      </w:r>
      <w:r>
        <w:rPr>
          <w:rFonts w:hint="eastAsia" w:ascii="方正仿宋简体" w:hAnsi="微软雅黑" w:eastAsia="方正仿宋简体" w:cs="宋体"/>
          <w:color w:val="333333"/>
          <w:kern w:val="0"/>
          <w:sz w:val="32"/>
          <w:szCs w:val="32"/>
          <w:lang w:val="zh-CN"/>
        </w:rPr>
        <w:t>专项资金共计</w:t>
      </w:r>
      <w:r>
        <w:rPr>
          <w:rFonts w:hint="eastAsia" w:ascii="方正仿宋简体" w:hAnsi="微软雅黑" w:eastAsia="方正仿宋简体" w:cs="宋体"/>
          <w:color w:val="333333"/>
          <w:kern w:val="0"/>
          <w:sz w:val="32"/>
          <w:szCs w:val="32"/>
          <w:lang w:val="en-US" w:eastAsia="zh-CN"/>
        </w:rPr>
        <w:t>6</w:t>
      </w:r>
      <w:r>
        <w:rPr>
          <w:rFonts w:hint="eastAsia" w:ascii="方正仿宋简体" w:hAnsi="微软雅黑" w:eastAsia="方正仿宋简体" w:cs="宋体"/>
          <w:color w:val="333333"/>
          <w:kern w:val="0"/>
          <w:sz w:val="32"/>
          <w:szCs w:val="32"/>
          <w:lang w:val="zh-CN"/>
        </w:rPr>
        <w:t>万元，经财政局批复下达后，及时到位，并全部用于</w:t>
      </w:r>
      <w:r>
        <w:rPr>
          <w:rFonts w:hint="eastAsia" w:ascii="方正仿宋简体" w:hAnsi="微软雅黑" w:eastAsia="方正仿宋简体" w:cs="宋体"/>
          <w:color w:val="333333"/>
          <w:kern w:val="0"/>
          <w:sz w:val="32"/>
          <w:szCs w:val="32"/>
        </w:rPr>
        <w:t>预定新兵预前教育训练</w:t>
      </w:r>
      <w:r>
        <w:rPr>
          <w:rFonts w:hint="eastAsia" w:ascii="方正仿宋简体" w:hAnsi="微软雅黑" w:eastAsia="方正仿宋简体" w:cs="宋体"/>
          <w:color w:val="333333"/>
          <w:kern w:val="0"/>
          <w:sz w:val="32"/>
          <w:szCs w:val="32"/>
          <w:lang w:eastAsia="zh-CN"/>
        </w:rPr>
        <w:t>活动</w:t>
      </w:r>
      <w:r>
        <w:rPr>
          <w:rFonts w:hint="eastAsia" w:ascii="方正仿宋简体" w:hAnsi="微软雅黑" w:eastAsia="方正仿宋简体" w:cs="宋体"/>
          <w:color w:val="333333"/>
          <w:kern w:val="0"/>
          <w:sz w:val="32"/>
          <w:szCs w:val="32"/>
          <w:lang w:val="zh-CN"/>
        </w:rPr>
        <w:t>。经费采取授权和直接支付形式，由区人武部财务室，按</w:t>
      </w:r>
      <w:r>
        <w:rPr>
          <w:rFonts w:hint="eastAsia" w:ascii="方正仿宋简体" w:hAnsi="微软雅黑" w:eastAsia="方正仿宋简体" w:cs="宋体"/>
          <w:color w:val="333333"/>
          <w:kern w:val="0"/>
          <w:sz w:val="32"/>
          <w:szCs w:val="32"/>
        </w:rPr>
        <w:t>预定新兵预前教育训练</w:t>
      </w:r>
      <w:r>
        <w:rPr>
          <w:rFonts w:hint="eastAsia" w:ascii="方正仿宋简体" w:hAnsi="微软雅黑" w:eastAsia="方正仿宋简体" w:cs="宋体"/>
          <w:color w:val="333333"/>
          <w:kern w:val="0"/>
          <w:sz w:val="32"/>
          <w:szCs w:val="32"/>
          <w:lang w:val="zh-CN"/>
        </w:rPr>
        <w:t>活动开展的进度，严格按照项目资金管理办法，对资金进行计划申请、划拨、使用，及时、规范对收支进行账务处理和会计核算。</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jc w:val="left"/>
        <w:rPr>
          <w:rFonts w:hint="eastAsia"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lang w:val="en-US" w:eastAsia="zh-CN"/>
        </w:rPr>
        <w:t>3</w:t>
      </w:r>
      <w:r>
        <w:rPr>
          <w:rFonts w:hint="eastAsia" w:ascii="方正仿宋简体" w:hAnsi="微软雅黑" w:eastAsia="方正仿宋简体" w:cs="宋体"/>
          <w:color w:val="333333"/>
          <w:kern w:val="0"/>
          <w:sz w:val="32"/>
          <w:szCs w:val="32"/>
        </w:rPr>
        <w:t>、项目绩效情况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jc w:val="left"/>
        <w:rPr>
          <w:rFonts w:hint="eastAsia" w:ascii="方正仿宋简体" w:hAnsi="微软雅黑" w:eastAsia="方正仿宋简体" w:cs="宋体"/>
          <w:color w:val="333333"/>
          <w:kern w:val="0"/>
          <w:sz w:val="32"/>
          <w:szCs w:val="32"/>
          <w:lang w:val="en-US" w:eastAsia="zh-CN"/>
        </w:rPr>
      </w:pPr>
      <w:r>
        <w:rPr>
          <w:rFonts w:hint="eastAsia" w:ascii="方正仿宋简体" w:hAnsi="微软雅黑" w:eastAsia="方正仿宋简体" w:cs="宋体"/>
          <w:color w:val="333333"/>
          <w:kern w:val="0"/>
          <w:sz w:val="32"/>
          <w:szCs w:val="32"/>
        </w:rPr>
        <w:t>通过自评，201</w:t>
      </w:r>
      <w:r>
        <w:rPr>
          <w:rFonts w:hint="eastAsia" w:ascii="方正仿宋简体" w:hAnsi="微软雅黑" w:eastAsia="方正仿宋简体" w:cs="宋体"/>
          <w:color w:val="333333"/>
          <w:kern w:val="0"/>
          <w:sz w:val="32"/>
          <w:szCs w:val="32"/>
          <w:lang w:val="en-US" w:eastAsia="zh-CN"/>
        </w:rPr>
        <w:t>8</w:t>
      </w:r>
      <w:r>
        <w:rPr>
          <w:rFonts w:hint="eastAsia" w:ascii="方正仿宋简体" w:hAnsi="微软雅黑" w:eastAsia="方正仿宋简体" w:cs="宋体"/>
          <w:color w:val="333333"/>
          <w:kern w:val="0"/>
          <w:sz w:val="32"/>
          <w:szCs w:val="32"/>
        </w:rPr>
        <w:t>年度预定新兵预前教育训练专项资金管理规范，所有项目</w:t>
      </w:r>
      <w:r>
        <w:rPr>
          <w:rFonts w:hint="eastAsia" w:ascii="方正仿宋简体" w:hAnsi="微软雅黑" w:eastAsia="方正仿宋简体" w:cs="宋体"/>
          <w:color w:val="333333"/>
          <w:kern w:val="0"/>
          <w:sz w:val="32"/>
          <w:szCs w:val="32"/>
          <w:lang w:eastAsia="zh-CN"/>
        </w:rPr>
        <w:t>资金均</w:t>
      </w:r>
      <w:r>
        <w:rPr>
          <w:rFonts w:hint="eastAsia" w:ascii="方正仿宋简体" w:hAnsi="微软雅黑" w:eastAsia="方正仿宋简体" w:cs="宋体"/>
          <w:color w:val="333333"/>
          <w:kern w:val="0"/>
          <w:sz w:val="32"/>
          <w:szCs w:val="32"/>
        </w:rPr>
        <w:t>实现了规范运作。各项效益指标完成良好，一数量指标：</w:t>
      </w:r>
      <w:r>
        <w:rPr>
          <w:rFonts w:hint="eastAsia" w:ascii="方正仿宋简体" w:hAnsi="微软雅黑" w:eastAsia="方正仿宋简体" w:cs="宋体"/>
          <w:color w:val="333333"/>
          <w:kern w:val="0"/>
          <w:sz w:val="32"/>
          <w:szCs w:val="32"/>
          <w:lang w:eastAsia="zh-CN"/>
        </w:rPr>
        <w:t>按时、足额、规范保障专项资金</w:t>
      </w:r>
      <w:r>
        <w:rPr>
          <w:rFonts w:hint="eastAsia" w:ascii="方正仿宋简体" w:hAnsi="微软雅黑" w:eastAsia="方正仿宋简体" w:cs="宋体"/>
          <w:color w:val="333333"/>
          <w:kern w:val="0"/>
          <w:sz w:val="32"/>
          <w:szCs w:val="32"/>
          <w:lang w:val="en-US" w:eastAsia="zh-CN"/>
        </w:rPr>
        <w:t>6万元落实到</w:t>
      </w:r>
      <w:r>
        <w:rPr>
          <w:rFonts w:hint="eastAsia" w:ascii="方正仿宋简体" w:hAnsi="微软雅黑" w:eastAsia="方正仿宋简体" w:cs="宋体"/>
          <w:color w:val="333333"/>
          <w:kern w:val="0"/>
          <w:sz w:val="32"/>
          <w:szCs w:val="32"/>
        </w:rPr>
        <w:t>预定新兵预前教育训练</w:t>
      </w:r>
      <w:r>
        <w:rPr>
          <w:rFonts w:hint="eastAsia" w:ascii="方正仿宋简体" w:hAnsi="微软雅黑" w:eastAsia="方正仿宋简体" w:cs="宋体"/>
          <w:color w:val="333333"/>
          <w:kern w:val="0"/>
          <w:sz w:val="32"/>
          <w:szCs w:val="32"/>
          <w:lang w:val="en-US" w:eastAsia="zh-CN"/>
        </w:rPr>
        <w:t>活动中去</w:t>
      </w:r>
      <w:r>
        <w:rPr>
          <w:rFonts w:hint="eastAsia" w:ascii="方正仿宋简体" w:hAnsi="微软雅黑" w:eastAsia="方正仿宋简体" w:cs="宋体"/>
          <w:color w:val="333333"/>
          <w:kern w:val="0"/>
          <w:sz w:val="32"/>
          <w:szCs w:val="32"/>
        </w:rPr>
        <w:t>。二是</w:t>
      </w:r>
      <w:r>
        <w:rPr>
          <w:rFonts w:hint="eastAsia" w:ascii="方正仿宋简体" w:hAnsi="微软雅黑" w:eastAsia="方正仿宋简体" w:cs="宋体"/>
          <w:color w:val="333333"/>
          <w:kern w:val="0"/>
          <w:sz w:val="32"/>
          <w:szCs w:val="32"/>
          <w:lang w:eastAsia="zh-CN"/>
        </w:rPr>
        <w:t>经济效益：</w:t>
      </w:r>
      <w:r>
        <w:rPr>
          <w:rFonts w:hint="eastAsia" w:ascii="方正仿宋简体" w:hAnsi="微软雅黑" w:eastAsia="方正仿宋简体" w:cs="宋体"/>
          <w:color w:val="333333"/>
          <w:kern w:val="0"/>
          <w:sz w:val="32"/>
          <w:szCs w:val="32"/>
          <w:lang w:val="en-US" w:eastAsia="zh-CN"/>
        </w:rPr>
        <w:t>足额提供经费，完成预备新兵役前丰富、规范、有序训练。三是社会效益：</w:t>
      </w:r>
      <w:r>
        <w:rPr>
          <w:rFonts w:hint="eastAsia" w:ascii="方正仿宋简体" w:hAnsi="微软雅黑" w:eastAsia="方正仿宋简体" w:cs="宋体"/>
          <w:color w:val="333333"/>
          <w:kern w:val="0"/>
          <w:sz w:val="32"/>
          <w:szCs w:val="32"/>
          <w:lang w:eastAsia="zh-CN"/>
        </w:rPr>
        <w:t>通过多种方式引导适龄青年积极参军入伍，保家卫国</w:t>
      </w:r>
      <w:r>
        <w:rPr>
          <w:rFonts w:hint="eastAsia" w:ascii="方正仿宋简体" w:hAnsi="微软雅黑" w:eastAsia="方正仿宋简体" w:cs="宋体"/>
          <w:color w:val="333333"/>
          <w:kern w:val="0"/>
          <w:sz w:val="32"/>
          <w:szCs w:val="32"/>
        </w:rPr>
        <w:t>。四是</w:t>
      </w:r>
      <w:r>
        <w:rPr>
          <w:rFonts w:hint="eastAsia" w:ascii="方正仿宋简体" w:hAnsi="微软雅黑" w:eastAsia="方正仿宋简体" w:cs="宋体"/>
          <w:color w:val="333333"/>
          <w:kern w:val="0"/>
          <w:sz w:val="32"/>
          <w:szCs w:val="32"/>
          <w:lang w:eastAsia="zh-CN"/>
        </w:rPr>
        <w:t>管理</w:t>
      </w:r>
      <w:r>
        <w:rPr>
          <w:rFonts w:hint="eastAsia" w:ascii="方正仿宋简体" w:hAnsi="微软雅黑" w:eastAsia="方正仿宋简体" w:cs="宋体"/>
          <w:color w:val="333333"/>
          <w:kern w:val="0"/>
          <w:sz w:val="32"/>
          <w:szCs w:val="32"/>
        </w:rPr>
        <w:t>对象</w:t>
      </w:r>
      <w:r>
        <w:rPr>
          <w:rFonts w:hint="eastAsia" w:ascii="方正仿宋简体" w:hAnsi="微软雅黑" w:eastAsia="方正仿宋简体" w:cs="宋体"/>
          <w:color w:val="333333"/>
          <w:kern w:val="0"/>
          <w:sz w:val="32"/>
          <w:szCs w:val="32"/>
          <w:lang w:eastAsia="zh-CN"/>
        </w:rPr>
        <w:t>及社会</w:t>
      </w:r>
      <w:r>
        <w:rPr>
          <w:rFonts w:hint="eastAsia" w:ascii="方正仿宋简体" w:hAnsi="微软雅黑" w:eastAsia="方正仿宋简体" w:cs="宋体"/>
          <w:color w:val="333333"/>
          <w:kern w:val="0"/>
          <w:sz w:val="32"/>
          <w:szCs w:val="32"/>
        </w:rPr>
        <w:t>满意度：</w:t>
      </w:r>
      <w:r>
        <w:rPr>
          <w:rFonts w:hint="eastAsia" w:ascii="方正仿宋简体" w:hAnsi="微软雅黑" w:eastAsia="方正仿宋简体" w:cs="宋体"/>
          <w:color w:val="333333"/>
          <w:kern w:val="0"/>
          <w:sz w:val="32"/>
          <w:szCs w:val="32"/>
          <w:lang w:val="en-US" w:eastAsia="zh-CN"/>
        </w:rPr>
        <w:t>有助于适龄青年参军入伍前多方面适应和为部队选到优质兵源，</w:t>
      </w:r>
      <w:r>
        <w:rPr>
          <w:rFonts w:hint="eastAsia" w:ascii="方正仿宋简体" w:hAnsi="微软雅黑" w:eastAsia="方正仿宋简体" w:cs="宋体"/>
          <w:color w:val="333333"/>
          <w:kern w:val="0"/>
          <w:sz w:val="32"/>
          <w:szCs w:val="32"/>
          <w:lang w:val="zh-CN"/>
        </w:rPr>
        <w:t>推动了全区征兵工作的健康发展</w:t>
      </w:r>
      <w:r>
        <w:rPr>
          <w:rFonts w:hint="eastAsia" w:ascii="方正仿宋简体" w:hAnsi="微软雅黑" w:eastAsia="方正仿宋简体" w:cs="宋体"/>
          <w:color w:val="333333"/>
          <w:kern w:val="0"/>
          <w:sz w:val="32"/>
          <w:szCs w:val="32"/>
          <w:lang w:val="en-US" w:eastAsia="zh-CN"/>
        </w:rPr>
        <w:t>。</w:t>
      </w:r>
    </w:p>
    <w:p>
      <w:pPr>
        <w:pStyle w:val="2"/>
        <w:rPr>
          <w:rFonts w:hint="eastAsia" w:ascii="方正仿宋简体" w:hAnsi="微软雅黑" w:eastAsia="方正仿宋简体" w:cs="宋体"/>
          <w:color w:val="333333"/>
          <w:kern w:val="0"/>
          <w:sz w:val="32"/>
          <w:szCs w:val="32"/>
          <w:lang w:val="en-US" w:eastAsia="zh-CN"/>
        </w:rPr>
      </w:pPr>
    </w:p>
    <w:p>
      <w:pPr>
        <w:pStyle w:val="2"/>
        <w:rPr>
          <w:rFonts w:hint="eastAsia" w:ascii="方正仿宋简体" w:hAnsi="微软雅黑" w:eastAsia="方正仿宋简体" w:cs="宋体"/>
          <w:color w:val="333333"/>
          <w:kern w:val="0"/>
          <w:sz w:val="32"/>
          <w:szCs w:val="32"/>
          <w:lang w:val="en-US" w:eastAsia="zh-CN"/>
        </w:rPr>
      </w:pPr>
    </w:p>
    <w:p>
      <w:pPr>
        <w:pStyle w:val="2"/>
        <w:rPr>
          <w:rFonts w:hint="eastAsia" w:ascii="方正仿宋简体" w:hAnsi="微软雅黑" w:eastAsia="方正仿宋简体" w:cs="宋体"/>
          <w:color w:val="333333"/>
          <w:kern w:val="0"/>
          <w:sz w:val="32"/>
          <w:szCs w:val="32"/>
          <w:lang w:val="en-US" w:eastAsia="zh-CN"/>
        </w:rPr>
      </w:pPr>
    </w:p>
    <w:p>
      <w:pPr>
        <w:pStyle w:val="2"/>
        <w:rPr>
          <w:rFonts w:hint="eastAsia" w:ascii="方正仿宋简体" w:hAnsi="微软雅黑" w:eastAsia="方正仿宋简体" w:cs="宋体"/>
          <w:color w:val="333333"/>
          <w:kern w:val="0"/>
          <w:sz w:val="32"/>
          <w:szCs w:val="32"/>
          <w:lang w:val="en-US" w:eastAsia="zh-CN"/>
        </w:rPr>
      </w:pPr>
    </w:p>
    <w:p>
      <w:pPr>
        <w:pStyle w:val="2"/>
        <w:rPr>
          <w:rFonts w:hint="eastAsia" w:ascii="方正仿宋简体" w:hAnsi="微软雅黑" w:eastAsia="方正仿宋简体" w:cs="宋体"/>
          <w:color w:val="333333"/>
          <w:kern w:val="0"/>
          <w:sz w:val="32"/>
          <w:szCs w:val="32"/>
          <w:lang w:val="en-US" w:eastAsia="zh-CN"/>
        </w:rPr>
      </w:pPr>
    </w:p>
    <w:p>
      <w:pPr>
        <w:pStyle w:val="2"/>
        <w:rPr>
          <w:rFonts w:hint="eastAsia" w:ascii="方正仿宋简体" w:hAnsi="微软雅黑" w:eastAsia="方正仿宋简体" w:cs="宋体"/>
          <w:color w:val="333333"/>
          <w:kern w:val="0"/>
          <w:sz w:val="32"/>
          <w:szCs w:val="32"/>
          <w:lang w:val="en-US" w:eastAsia="zh-CN"/>
        </w:rPr>
      </w:pPr>
    </w:p>
    <w:p>
      <w:pPr>
        <w:pStyle w:val="2"/>
        <w:rPr>
          <w:rFonts w:hint="eastAsia" w:ascii="方正仿宋简体" w:hAnsi="微软雅黑" w:eastAsia="方正仿宋简体" w:cs="宋体"/>
          <w:color w:val="333333"/>
          <w:kern w:val="0"/>
          <w:sz w:val="32"/>
          <w:szCs w:val="32"/>
          <w:lang w:val="en-US" w:eastAsia="zh-CN"/>
        </w:rPr>
      </w:pPr>
    </w:p>
    <w:p>
      <w:pPr>
        <w:pStyle w:val="2"/>
        <w:rPr>
          <w:rFonts w:hint="eastAsia" w:ascii="方正仿宋简体" w:hAnsi="微软雅黑" w:eastAsia="方正仿宋简体" w:cs="宋体"/>
          <w:color w:val="333333"/>
          <w:kern w:val="0"/>
          <w:sz w:val="32"/>
          <w:szCs w:val="32"/>
          <w:lang w:val="en-US" w:eastAsia="zh-CN"/>
        </w:rPr>
      </w:pPr>
    </w:p>
    <w:p>
      <w:pPr>
        <w:pStyle w:val="2"/>
        <w:rPr>
          <w:rFonts w:hint="eastAsia" w:ascii="方正仿宋简体" w:hAnsi="微软雅黑" w:eastAsia="方正仿宋简体" w:cs="宋体"/>
          <w:color w:val="333333"/>
          <w:kern w:val="0"/>
          <w:sz w:val="32"/>
          <w:szCs w:val="32"/>
          <w:lang w:val="en-US" w:eastAsia="zh-CN"/>
        </w:rPr>
      </w:pPr>
    </w:p>
    <w:p>
      <w:pPr>
        <w:pStyle w:val="2"/>
        <w:rPr>
          <w:rFonts w:hint="eastAsia" w:ascii="方正仿宋简体" w:hAnsi="微软雅黑" w:eastAsia="方正仿宋简体" w:cs="宋体"/>
          <w:color w:val="333333"/>
          <w:kern w:val="0"/>
          <w:sz w:val="32"/>
          <w:szCs w:val="32"/>
          <w:lang w:val="en-US" w:eastAsia="zh-CN"/>
        </w:rPr>
      </w:pPr>
    </w:p>
    <w:p>
      <w:pPr>
        <w:pStyle w:val="2"/>
        <w:rPr>
          <w:rFonts w:hint="eastAsia" w:ascii="方正仿宋简体" w:hAnsi="微软雅黑" w:eastAsia="方正仿宋简体" w:cs="宋体"/>
          <w:color w:val="333333"/>
          <w:kern w:val="0"/>
          <w:sz w:val="32"/>
          <w:szCs w:val="32"/>
          <w:lang w:val="en-US" w:eastAsia="zh-CN"/>
        </w:rPr>
      </w:pPr>
    </w:p>
    <w:p>
      <w:pPr>
        <w:pStyle w:val="2"/>
        <w:rPr>
          <w:rFonts w:hint="eastAsia" w:ascii="方正仿宋简体" w:hAnsi="微软雅黑" w:eastAsia="方正仿宋简体" w:cs="宋体"/>
          <w:color w:val="333333"/>
          <w:kern w:val="0"/>
          <w:sz w:val="32"/>
          <w:szCs w:val="32"/>
          <w:lang w:val="en-US" w:eastAsia="zh-CN"/>
        </w:rPr>
      </w:pPr>
    </w:p>
    <w:p>
      <w:pPr>
        <w:pStyle w:val="2"/>
        <w:rPr>
          <w:rFonts w:hint="eastAsia" w:ascii="方正仿宋简体" w:hAnsi="微软雅黑" w:eastAsia="方正仿宋简体" w:cs="宋体"/>
          <w:color w:val="333333"/>
          <w:kern w:val="0"/>
          <w:sz w:val="32"/>
          <w:szCs w:val="32"/>
          <w:lang w:val="en-US" w:eastAsia="zh-CN"/>
        </w:rPr>
      </w:pPr>
    </w:p>
    <w:p>
      <w:pPr>
        <w:pStyle w:val="2"/>
        <w:rPr>
          <w:rFonts w:hint="eastAsia" w:ascii="方正仿宋简体" w:hAnsi="微软雅黑" w:eastAsia="方正仿宋简体" w:cs="宋体"/>
          <w:color w:val="333333"/>
          <w:kern w:val="0"/>
          <w:sz w:val="32"/>
          <w:szCs w:val="32"/>
          <w:lang w:val="en-US" w:eastAsia="zh-CN"/>
        </w:rPr>
      </w:pPr>
    </w:p>
    <w:p>
      <w:pPr>
        <w:pStyle w:val="2"/>
        <w:rPr>
          <w:rFonts w:hint="eastAsia" w:ascii="方正仿宋简体" w:hAnsi="微软雅黑" w:eastAsia="方正仿宋简体" w:cs="宋体"/>
          <w:color w:val="333333"/>
          <w:kern w:val="0"/>
          <w:sz w:val="32"/>
          <w:szCs w:val="32"/>
          <w:lang w:val="en-US" w:eastAsia="zh-CN"/>
        </w:rPr>
      </w:pPr>
    </w:p>
    <w:p>
      <w:pPr>
        <w:pStyle w:val="2"/>
        <w:rPr>
          <w:rFonts w:hint="eastAsia" w:ascii="方正仿宋简体" w:hAnsi="微软雅黑" w:eastAsia="方正仿宋简体" w:cs="宋体"/>
          <w:color w:val="333333"/>
          <w:kern w:val="0"/>
          <w:sz w:val="32"/>
          <w:szCs w:val="32"/>
          <w:lang w:val="en-US" w:eastAsia="zh-CN"/>
        </w:rPr>
      </w:pPr>
    </w:p>
    <w:p>
      <w:pPr>
        <w:pStyle w:val="2"/>
        <w:rPr>
          <w:rFonts w:hint="eastAsia" w:ascii="方正仿宋简体" w:hAnsi="微软雅黑" w:eastAsia="方正仿宋简体" w:cs="宋体"/>
          <w:color w:val="333333"/>
          <w:kern w:val="0"/>
          <w:sz w:val="32"/>
          <w:szCs w:val="32"/>
          <w:lang w:val="en-US" w:eastAsia="zh-CN"/>
        </w:rPr>
      </w:pPr>
    </w:p>
    <w:p>
      <w:pPr>
        <w:pStyle w:val="2"/>
        <w:rPr>
          <w:rFonts w:hint="eastAsia" w:ascii="方正仿宋简体" w:hAnsi="微软雅黑" w:eastAsia="方正仿宋简体" w:cs="宋体"/>
          <w:color w:val="333333"/>
          <w:kern w:val="0"/>
          <w:sz w:val="32"/>
          <w:szCs w:val="32"/>
          <w:lang w:val="en-US" w:eastAsia="zh-CN"/>
        </w:rPr>
      </w:pPr>
    </w:p>
    <w:p>
      <w:pPr>
        <w:spacing w:line="600" w:lineRule="exact"/>
        <w:jc w:val="center"/>
        <w:outlineLvl w:val="0"/>
        <w:rPr>
          <w:rStyle w:val="24"/>
          <w:rFonts w:ascii="黑体" w:hAnsi="黑体" w:eastAsia="黑体"/>
          <w:b w:val="0"/>
        </w:rPr>
      </w:pPr>
      <w:r>
        <w:rPr>
          <w:rFonts w:hint="eastAsia" w:ascii="黑体" w:hAnsi="黑体" w:eastAsia="黑体"/>
          <w:color w:val="000000"/>
          <w:sz w:val="44"/>
          <w:szCs w:val="44"/>
        </w:rPr>
        <w:t>第</w:t>
      </w:r>
      <w:r>
        <w:rPr>
          <w:rStyle w:val="24"/>
          <w:rFonts w:hint="eastAsia" w:ascii="黑体" w:hAnsi="黑体" w:eastAsia="黑体"/>
          <w:b w:val="0"/>
        </w:rPr>
        <w:t>五部分 附表</w:t>
      </w:r>
      <w:bookmarkEnd w:id="61"/>
      <w:bookmarkEnd w:id="65"/>
    </w:p>
    <w:p>
      <w:pPr>
        <w:spacing w:line="600" w:lineRule="exact"/>
        <w:jc w:val="center"/>
        <w:outlineLvl w:val="0"/>
        <w:rPr>
          <w:rFonts w:ascii="仿宋" w:hAnsi="仿宋" w:eastAsia="仿宋"/>
          <w:b/>
          <w:color w:val="000000"/>
          <w:sz w:val="44"/>
          <w:szCs w:val="44"/>
        </w:rPr>
      </w:pPr>
    </w:p>
    <w:p>
      <w:pPr>
        <w:pStyle w:val="4"/>
        <w:rPr>
          <w:rFonts w:ascii="仿宋" w:hAnsi="仿宋" w:eastAsia="仿宋"/>
          <w:color w:val="000000"/>
        </w:rPr>
      </w:pPr>
      <w:bookmarkStart w:id="66"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66"/>
    </w:p>
    <w:p>
      <w:pPr>
        <w:pStyle w:val="4"/>
        <w:rPr>
          <w:rFonts w:ascii="仿宋" w:hAnsi="仿宋" w:eastAsia="仿宋"/>
          <w:color w:val="000000"/>
        </w:rPr>
      </w:pPr>
      <w:bookmarkStart w:id="67" w:name="_Toc15396620"/>
      <w:r>
        <w:rPr>
          <w:rFonts w:hint="eastAsia" w:ascii="仿宋" w:hAnsi="仿宋" w:eastAsia="仿宋"/>
          <w:b w:val="0"/>
          <w:color w:val="000000"/>
        </w:rPr>
        <w:t>二、收</w:t>
      </w:r>
      <w:r>
        <w:rPr>
          <w:rStyle w:val="25"/>
          <w:rFonts w:hint="eastAsia" w:ascii="仿宋" w:hAnsi="仿宋" w:eastAsia="仿宋"/>
          <w:b w:val="0"/>
          <w:bCs w:val="0"/>
        </w:rPr>
        <w:t>入总表</w:t>
      </w:r>
      <w:bookmarkEnd w:id="67"/>
    </w:p>
    <w:p>
      <w:pPr>
        <w:pStyle w:val="4"/>
        <w:rPr>
          <w:rFonts w:ascii="仿宋" w:hAnsi="仿宋" w:eastAsia="仿宋"/>
          <w:color w:val="000000"/>
        </w:rPr>
      </w:pPr>
      <w:bookmarkStart w:id="68"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出总表</w:t>
      </w:r>
      <w:bookmarkEnd w:id="68"/>
    </w:p>
    <w:p>
      <w:pPr>
        <w:pStyle w:val="4"/>
        <w:rPr>
          <w:rFonts w:ascii="仿宋" w:hAnsi="仿宋" w:eastAsia="仿宋"/>
          <w:b w:val="0"/>
          <w:color w:val="000000"/>
        </w:rPr>
      </w:pPr>
      <w:bookmarkStart w:id="69"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9"/>
    </w:p>
    <w:p>
      <w:pPr>
        <w:pStyle w:val="4"/>
        <w:rPr>
          <w:rFonts w:ascii="仿宋" w:hAnsi="仿宋" w:eastAsia="仿宋"/>
          <w:color w:val="000000"/>
        </w:rPr>
      </w:pPr>
      <w:bookmarkStart w:id="70"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bookmarkEnd w:id="70"/>
    </w:p>
    <w:p>
      <w:pPr>
        <w:pStyle w:val="4"/>
        <w:rPr>
          <w:rFonts w:ascii="仿宋" w:hAnsi="仿宋" w:eastAsia="仿宋"/>
          <w:color w:val="000000"/>
        </w:rPr>
      </w:pPr>
      <w:bookmarkStart w:id="71" w:name="_Toc15396624"/>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71"/>
    </w:p>
    <w:p>
      <w:pPr>
        <w:pStyle w:val="4"/>
        <w:rPr>
          <w:rFonts w:ascii="仿宋" w:hAnsi="仿宋" w:eastAsia="仿宋"/>
          <w:color w:val="000000"/>
        </w:rPr>
      </w:pPr>
      <w:bookmarkStart w:id="72"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72"/>
    </w:p>
    <w:p>
      <w:pPr>
        <w:pStyle w:val="4"/>
        <w:rPr>
          <w:rFonts w:ascii="仿宋" w:hAnsi="仿宋" w:eastAsia="仿宋"/>
          <w:color w:val="000000"/>
        </w:rPr>
      </w:pPr>
      <w:bookmarkStart w:id="73"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73"/>
    </w:p>
    <w:p>
      <w:pPr>
        <w:pStyle w:val="4"/>
        <w:rPr>
          <w:rFonts w:ascii="仿宋" w:hAnsi="仿宋" w:eastAsia="仿宋"/>
          <w:color w:val="000000"/>
        </w:rPr>
      </w:pPr>
      <w:bookmarkStart w:id="74"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74"/>
    </w:p>
    <w:p>
      <w:pPr>
        <w:pStyle w:val="4"/>
        <w:rPr>
          <w:rFonts w:ascii="仿宋" w:hAnsi="仿宋" w:eastAsia="仿宋"/>
          <w:color w:val="000000"/>
        </w:rPr>
      </w:pPr>
      <w:bookmarkStart w:id="75"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75"/>
    </w:p>
    <w:p>
      <w:pPr>
        <w:pStyle w:val="4"/>
        <w:rPr>
          <w:rFonts w:ascii="仿宋" w:hAnsi="仿宋" w:eastAsia="仿宋"/>
          <w:color w:val="000000"/>
        </w:rPr>
      </w:pPr>
      <w:bookmarkStart w:id="76"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6"/>
    </w:p>
    <w:p>
      <w:pPr>
        <w:pStyle w:val="4"/>
        <w:rPr>
          <w:rFonts w:ascii="仿宋" w:hAnsi="仿宋" w:eastAsia="仿宋"/>
          <w:color w:val="000000"/>
        </w:rPr>
      </w:pPr>
      <w:bookmarkStart w:id="77"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7"/>
    </w:p>
    <w:p>
      <w:pPr>
        <w:pStyle w:val="4"/>
        <w:rPr>
          <w:rFonts w:ascii="仿宋" w:hAnsi="仿宋" w:eastAsia="仿宋"/>
          <w:color w:val="000000" w:themeColor="text1"/>
          <w14:textFill>
            <w14:solidFill>
              <w14:schemeClr w14:val="tx1"/>
            </w14:solidFill>
          </w14:textFill>
        </w:rPr>
      </w:pPr>
      <w:bookmarkStart w:id="78"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8"/>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FB" w:usb2="0000002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09F" w:csb1="00000000"/>
  </w:font>
  <w:font w:name="仿宋">
    <w:altName w:val="宋体"/>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
    <w:altName w:val="华文中宋"/>
    <w:panose1 w:val="00000000000000000000"/>
    <w:charset w:val="00"/>
    <w:family w:val="auto"/>
    <w:pitch w:val="default"/>
    <w:sig w:usb0="00000000" w:usb1="00000000" w:usb2="00000000"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Lucida Sans">
    <w:panose1 w:val="020B0602030504020204"/>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9"/>
          <w:jc w:val="center"/>
        </w:pPr>
        <w:r>
          <w:fldChar w:fldCharType="begin"/>
        </w:r>
        <w:r>
          <w:instrText xml:space="preserve">PAGE   \* MERGEFORMAT</w:instrText>
        </w:r>
        <w:r>
          <w:fldChar w:fldCharType="separate"/>
        </w:r>
        <w:r>
          <w:rPr>
            <w:lang w:val="zh-CN"/>
          </w:rPr>
          <w:t>10</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3">
    <w:nsid w:val="044EFD2A"/>
    <w:multiLevelType w:val="singleLevel"/>
    <w:tmpl w:val="044EFD2A"/>
    <w:lvl w:ilvl="0" w:tentative="0">
      <w:start w:val="1"/>
      <w:numFmt w:val="chineseCounting"/>
      <w:suff w:val="nothing"/>
      <w:lvlText w:val="（%1）"/>
      <w:lvlJc w:val="left"/>
      <w:rPr>
        <w:rFonts w:hint="eastAsia"/>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6">
    <w:nsid w:val="1DEB4B3D"/>
    <w:multiLevelType w:val="singleLevel"/>
    <w:tmpl w:val="1DEB4B3D"/>
    <w:lvl w:ilvl="0" w:tentative="0">
      <w:start w:val="2"/>
      <w:numFmt w:val="chineseCounting"/>
      <w:suff w:val="nothing"/>
      <w:lvlText w:val="（%1）"/>
      <w:lvlJc w:val="left"/>
      <w:rPr>
        <w:rFonts w:hint="eastAsia"/>
      </w:rPr>
    </w:lvl>
  </w:abstractNum>
  <w:abstractNum w:abstractNumId="7">
    <w:nsid w:val="59B526BD"/>
    <w:multiLevelType w:val="singleLevel"/>
    <w:tmpl w:val="59B526BD"/>
    <w:lvl w:ilvl="0" w:tentative="0">
      <w:start w:val="1"/>
      <w:numFmt w:val="decimal"/>
      <w:suff w:val="nothing"/>
      <w:lvlText w:val="（%1）"/>
      <w:lvlJc w:val="left"/>
      <w:pPr>
        <w:tabs>
          <w:tab w:val="left" w:pos="0"/>
        </w:tabs>
        <w:ind w:left="0" w:firstLine="0"/>
      </w:pPr>
    </w:lvl>
  </w:abstractNum>
  <w:abstractNum w:abstractNumId="8">
    <w:nsid w:val="62621CDC"/>
    <w:multiLevelType w:val="multilevel"/>
    <w:tmpl w:val="62621CDC"/>
    <w:lvl w:ilvl="0" w:tentative="0">
      <w:start w:val="1"/>
      <w:numFmt w:val="decimal"/>
      <w:lvlText w:val="%1."/>
      <w:lvlJc w:val="left"/>
      <w:pPr>
        <w:ind w:left="1152" w:hanging="480"/>
      </w:pPr>
      <w:rPr>
        <w:rFonts w:hint="default"/>
      </w:rPr>
    </w:lvl>
    <w:lvl w:ilvl="1" w:tentative="0">
      <w:start w:val="1"/>
      <w:numFmt w:val="lowerLetter"/>
      <w:lvlText w:val="%2)"/>
      <w:lvlJc w:val="left"/>
      <w:pPr>
        <w:ind w:left="1512" w:hanging="420"/>
      </w:pPr>
    </w:lvl>
    <w:lvl w:ilvl="2" w:tentative="0">
      <w:start w:val="1"/>
      <w:numFmt w:val="lowerRoman"/>
      <w:lvlText w:val="%3."/>
      <w:lvlJc w:val="right"/>
      <w:pPr>
        <w:ind w:left="1932" w:hanging="420"/>
      </w:pPr>
    </w:lvl>
    <w:lvl w:ilvl="3" w:tentative="0">
      <w:start w:val="1"/>
      <w:numFmt w:val="decimal"/>
      <w:lvlText w:val="%4."/>
      <w:lvlJc w:val="left"/>
      <w:pPr>
        <w:ind w:left="2352" w:hanging="420"/>
      </w:pPr>
    </w:lvl>
    <w:lvl w:ilvl="4" w:tentative="0">
      <w:start w:val="1"/>
      <w:numFmt w:val="lowerLetter"/>
      <w:lvlText w:val="%5)"/>
      <w:lvlJc w:val="left"/>
      <w:pPr>
        <w:ind w:left="2772" w:hanging="420"/>
      </w:pPr>
    </w:lvl>
    <w:lvl w:ilvl="5" w:tentative="0">
      <w:start w:val="1"/>
      <w:numFmt w:val="lowerRoman"/>
      <w:lvlText w:val="%6."/>
      <w:lvlJc w:val="right"/>
      <w:pPr>
        <w:ind w:left="3192" w:hanging="420"/>
      </w:pPr>
    </w:lvl>
    <w:lvl w:ilvl="6" w:tentative="0">
      <w:start w:val="1"/>
      <w:numFmt w:val="decimal"/>
      <w:lvlText w:val="%7."/>
      <w:lvlJc w:val="left"/>
      <w:pPr>
        <w:ind w:left="3612" w:hanging="420"/>
      </w:pPr>
    </w:lvl>
    <w:lvl w:ilvl="7" w:tentative="0">
      <w:start w:val="1"/>
      <w:numFmt w:val="lowerLetter"/>
      <w:lvlText w:val="%8)"/>
      <w:lvlJc w:val="left"/>
      <w:pPr>
        <w:ind w:left="4032" w:hanging="420"/>
      </w:pPr>
    </w:lvl>
    <w:lvl w:ilvl="8" w:tentative="0">
      <w:start w:val="1"/>
      <w:numFmt w:val="lowerRoman"/>
      <w:lvlText w:val="%9."/>
      <w:lvlJc w:val="right"/>
      <w:pPr>
        <w:ind w:left="4452" w:hanging="420"/>
      </w:pPr>
    </w:lvl>
  </w:abstractNum>
  <w:num w:numId="1">
    <w:abstractNumId w:val="8"/>
  </w:num>
  <w:num w:numId="2">
    <w:abstractNumId w:val="4"/>
  </w:num>
  <w:num w:numId="3">
    <w:abstractNumId w:val="0"/>
  </w:num>
  <w:num w:numId="4">
    <w:abstractNumId w:val="5"/>
  </w:num>
  <w:num w:numId="5">
    <w:abstractNumId w:val="2"/>
  </w:num>
  <w:num w:numId="6">
    <w:abstractNumId w:val="1"/>
  </w:num>
  <w:num w:numId="7">
    <w:abstractNumId w:val="7"/>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1E23B91"/>
    <w:rsid w:val="05E121E0"/>
    <w:rsid w:val="064043D6"/>
    <w:rsid w:val="06A76AD4"/>
    <w:rsid w:val="08441154"/>
    <w:rsid w:val="0D522FC4"/>
    <w:rsid w:val="0E2029B6"/>
    <w:rsid w:val="0ED91DA2"/>
    <w:rsid w:val="10390876"/>
    <w:rsid w:val="10C055FF"/>
    <w:rsid w:val="11F93972"/>
    <w:rsid w:val="134149C2"/>
    <w:rsid w:val="156D6F14"/>
    <w:rsid w:val="159934E1"/>
    <w:rsid w:val="160543C0"/>
    <w:rsid w:val="16BB723D"/>
    <w:rsid w:val="181A4B7A"/>
    <w:rsid w:val="1864483C"/>
    <w:rsid w:val="195E2C4E"/>
    <w:rsid w:val="1A947773"/>
    <w:rsid w:val="1EE94B7E"/>
    <w:rsid w:val="1F817863"/>
    <w:rsid w:val="1FC2711C"/>
    <w:rsid w:val="240371BF"/>
    <w:rsid w:val="25041770"/>
    <w:rsid w:val="28FB79DF"/>
    <w:rsid w:val="29FD04D3"/>
    <w:rsid w:val="2A1E6340"/>
    <w:rsid w:val="2CE513AC"/>
    <w:rsid w:val="2FBB0753"/>
    <w:rsid w:val="319F7F4E"/>
    <w:rsid w:val="32AC3163"/>
    <w:rsid w:val="32B9456C"/>
    <w:rsid w:val="37585E00"/>
    <w:rsid w:val="37EE7AD8"/>
    <w:rsid w:val="390D0122"/>
    <w:rsid w:val="3A632D94"/>
    <w:rsid w:val="3A7A152A"/>
    <w:rsid w:val="44345192"/>
    <w:rsid w:val="44BD1C86"/>
    <w:rsid w:val="450C397C"/>
    <w:rsid w:val="4B5A17FF"/>
    <w:rsid w:val="4EAB2D4B"/>
    <w:rsid w:val="55DE7585"/>
    <w:rsid w:val="57C042F7"/>
    <w:rsid w:val="5A866C93"/>
    <w:rsid w:val="5AEE5CDD"/>
    <w:rsid w:val="61404153"/>
    <w:rsid w:val="61B12587"/>
    <w:rsid w:val="628B527F"/>
    <w:rsid w:val="63B41724"/>
    <w:rsid w:val="65511518"/>
    <w:rsid w:val="67CB0C22"/>
    <w:rsid w:val="680A6EC6"/>
    <w:rsid w:val="69CD524C"/>
    <w:rsid w:val="6D6D19C8"/>
    <w:rsid w:val="70B0241F"/>
    <w:rsid w:val="731128D8"/>
    <w:rsid w:val="77481228"/>
    <w:rsid w:val="79AB53BB"/>
    <w:rsid w:val="7C5460D5"/>
    <w:rsid w:val="7EF254D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6">
    <w:name w:val="Body Text"/>
    <w:basedOn w:val="1"/>
    <w:link w:val="22"/>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7"/>
    <w:semiHidden/>
    <w:unhideWhenUsed/>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10"/>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9"/>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6"/>
    <w:qFormat/>
    <w:locked/>
    <w:uiPriority w:val="99"/>
    <w:rPr>
      <w:rFonts w:ascii="仿宋_GB2312" w:hAnsi="Times New Roman" w:eastAsia="仿宋_GB2312"/>
      <w:sz w:val="24"/>
    </w:rPr>
  </w:style>
  <w:style w:type="paragraph" w:styleId="23">
    <w:name w:val="List Paragraph"/>
    <w:basedOn w:val="1"/>
    <w:qFormat/>
    <w:uiPriority w:val="34"/>
    <w:pPr>
      <w:ind w:firstLine="420" w:firstLineChars="200"/>
    </w:pPr>
  </w:style>
  <w:style w:type="character" w:customStyle="1" w:styleId="24">
    <w:name w:val="标题 1 Char"/>
    <w:basedOn w:val="14"/>
    <w:link w:val="3"/>
    <w:qFormat/>
    <w:uiPriority w:val="9"/>
    <w:rPr>
      <w:rFonts w:ascii="Times New Roman" w:hAnsi="Times New Roman"/>
      <w:b/>
      <w:bCs/>
      <w:kern w:val="44"/>
      <w:sz w:val="44"/>
      <w:szCs w:val="44"/>
    </w:rPr>
  </w:style>
  <w:style w:type="character" w:customStyle="1" w:styleId="25">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6">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4"/>
    <w:link w:val="8"/>
    <w:semiHidden/>
    <w:qFormat/>
    <w:uiPriority w:val="99"/>
    <w:rPr>
      <w:rFonts w:ascii="Times New Roman" w:hAnsi="Times New Roman"/>
      <w:kern w:val="2"/>
      <w:sz w:val="18"/>
      <w:szCs w:val="18"/>
    </w:rPr>
  </w:style>
  <w:style w:type="character" w:customStyle="1" w:styleId="28">
    <w:name w:val="标题 3 Char"/>
    <w:basedOn w:val="14"/>
    <w:link w:val="5"/>
    <w:qFormat/>
    <w:uiPriority w:val="9"/>
    <w:rPr>
      <w:rFonts w:ascii="Times New Roman" w:hAnsi="Times New Roman"/>
      <w:b/>
      <w:bCs/>
      <w:kern w:val="2"/>
      <w:sz w:val="32"/>
      <w:szCs w:val="32"/>
    </w:rPr>
  </w:style>
  <w:style w:type="paragraph" w:customStyle="1" w:styleId="29">
    <w:name w:val="四号正文"/>
    <w:basedOn w:val="1"/>
    <w:qFormat/>
    <w:uiPriority w:val="0"/>
    <w:pPr>
      <w:spacing w:line="360" w:lineRule="auto"/>
    </w:pPr>
    <w:rPr>
      <w:rFonts w:ascii="??" w:hAnsi="??" w:cs="宋体"/>
      <w:color w:val="000000"/>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package" Target="../embeddings/Workbook8.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8.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2017年</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Sheet1!$B$2:$B$3</c:f>
              <c:numCache>
                <c:formatCode>General</c:formatCode>
                <c:ptCount val="2"/>
                <c:pt idx="0">
                  <c:v>1329.9</c:v>
                </c:pt>
                <c:pt idx="1">
                  <c:v>1091.2</c:v>
                </c:pt>
              </c:numCache>
            </c:numRef>
          </c:val>
        </c:ser>
        <c:ser>
          <c:idx val="1"/>
          <c:order val="1"/>
          <c:tx>
            <c:strRef>
              <c:f>Sheet1!$C$1</c:f>
              <c:strCache>
                <c:ptCount val="1"/>
                <c:pt idx="0">
                  <c:v>2018年</c:v>
                </c:pt>
              </c:strCache>
            </c:strRef>
          </c:tx>
          <c:spPr>
            <a:solidFill>
              <a:schemeClr val="accent2"/>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1329.06</c:v>
                </c:pt>
                <c:pt idx="1">
                  <c:v>1287.39</c:v>
                </c:pt>
              </c:numCache>
            </c:numRef>
          </c:val>
        </c:ser>
        <c:ser>
          <c:idx val="2"/>
          <c:order val="2"/>
          <c:tx>
            <c:strRef>
              <c:f>Sheet1!#REF!</c:f>
              <c:strCache>
                <c:ptCount val="1"/>
                <c:pt idx="0">
                  <c:v/>
                </c:pt>
              </c:strCache>
            </c:strRef>
          </c:tx>
          <c:spPr>
            <a:solidFill>
              <a:schemeClr val="accent3"/>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Sheet1!#REF!</c:f>
              <c:numCache>
                <c:formatCode>General</c:formatCode>
                <c:ptCount val="1"/>
                <c:pt idx="0">
                  <c:v>1</c:v>
                </c:pt>
              </c:numCache>
            </c:numRef>
          </c:val>
        </c:ser>
        <c:dLbls>
          <c:showLegendKey val="false"/>
          <c:showVal val="true"/>
          <c:showCatName val="false"/>
          <c:showSerName val="false"/>
          <c:showPercent val="false"/>
          <c:showBubbleSize val="false"/>
        </c:dLbls>
        <c:gapWidth val="75"/>
        <c:overlap val="0"/>
        <c:axId val="283883672"/>
        <c:axId val="661930351"/>
      </c:barChart>
      <c:catAx>
        <c:axId val="283883672"/>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61930351"/>
        <c:crosses val="autoZero"/>
        <c:auto val="true"/>
        <c:lblAlgn val="ctr"/>
        <c:lblOffset val="100"/>
        <c:noMultiLvlLbl val="false"/>
      </c:catAx>
      <c:valAx>
        <c:axId val="661930351"/>
        <c:scaling>
          <c:orientation val="minMax"/>
        </c:scaling>
        <c:delete val="false"/>
        <c:axPos val="l"/>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83883672"/>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本年收入</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Pt>
            <c:idx val="4"/>
            <c:bubble3D val="false"/>
            <c:spPr>
              <a:solidFill>
                <a:schemeClr val="accent5"/>
              </a:solidFill>
              <a:ln w="19050">
                <a:solidFill>
                  <a:schemeClr val="lt1"/>
                </a:solidFill>
              </a:ln>
              <a:effectLst/>
            </c:spPr>
          </c:dPt>
          <c:dPt>
            <c:idx val="5"/>
            <c:bubble3D val="false"/>
            <c:spPr>
              <a:solidFill>
                <a:schemeClr val="accent6"/>
              </a:solidFill>
              <a:ln w="19050">
                <a:solidFill>
                  <a:schemeClr val="lt1"/>
                </a:solidFill>
              </a:ln>
              <a:effectLst/>
            </c:spPr>
          </c:dPt>
          <c:dPt>
            <c:idx val="6"/>
            <c:bubble3D val="false"/>
            <c:spPr>
              <a:solidFill>
                <a:schemeClr val="accent1">
                  <a:lumMod val="60000"/>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Sheet1!$A$2:$A$8</c:f>
              <c:strCache>
                <c:ptCount val="7"/>
                <c:pt idx="0">
                  <c:v>一般公共预算财政拨款</c:v>
                </c:pt>
                <c:pt idx="1">
                  <c:v>政府性基金预算财政拨款</c:v>
                </c:pt>
                <c:pt idx="2">
                  <c:v>国有资本经营预算财政拨款</c:v>
                </c:pt>
                <c:pt idx="3">
                  <c:v>事业收入</c:v>
                </c:pt>
                <c:pt idx="4">
                  <c:v>经营收入</c:v>
                </c:pt>
                <c:pt idx="5">
                  <c:v>附属单位上缴收入</c:v>
                </c:pt>
                <c:pt idx="6">
                  <c:v>其他收入</c:v>
                </c:pt>
              </c:strCache>
            </c:strRef>
          </c:cat>
          <c:val>
            <c:numRef>
              <c:f>Sheet1!$B$2:$B$8</c:f>
              <c:numCache>
                <c:formatCode>General</c:formatCode>
                <c:ptCount val="7"/>
                <c:pt idx="0">
                  <c:v>1090.36</c:v>
                </c:pt>
                <c:pt idx="1">
                  <c:v>0</c:v>
                </c:pt>
                <c:pt idx="2">
                  <c:v>0</c:v>
                </c:pt>
                <c:pt idx="3">
                  <c:v>0</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本年支出</a:t>
            </a:r>
          </a:p>
        </c:rich>
      </c:tx>
      <c:layout/>
      <c:overlay val="false"/>
      <c:spPr>
        <a:noFill/>
        <a:ln>
          <a:noFill/>
        </a:ln>
        <a:effectLst/>
      </c:spPr>
    </c:title>
    <c:autoTitleDeleted val="false"/>
    <c:plotArea>
      <c:layout/>
      <c:pieChart>
        <c:varyColors val="true"/>
        <c:ser>
          <c:idx val="0"/>
          <c:order val="0"/>
          <c:tx>
            <c:strRef>
              <c:f>Sheet1!$B$1</c:f>
              <c:strCache>
                <c:ptCount val="1"/>
                <c:pt idx="0">
                  <c:v>支出</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Pt>
            <c:idx val="4"/>
            <c:bubble3D val="false"/>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Sheet1!$A$2:$A$6</c:f>
              <c:strCache>
                <c:ptCount val="5"/>
                <c:pt idx="0">
                  <c:v>基本支出</c:v>
                </c:pt>
                <c:pt idx="1">
                  <c:v>项目支出</c:v>
                </c:pt>
                <c:pt idx="2">
                  <c:v>上缴上级支出</c:v>
                </c:pt>
                <c:pt idx="3">
                  <c:v>经营支出</c:v>
                </c:pt>
                <c:pt idx="4">
                  <c:v>对附属单位补助</c:v>
                </c:pt>
              </c:strCache>
            </c:strRef>
          </c:cat>
          <c:val>
            <c:numRef>
              <c:f>Sheet1!$B$2:$B$6</c:f>
              <c:numCache>
                <c:formatCode>General</c:formatCode>
                <c:ptCount val="5"/>
                <c:pt idx="0">
                  <c:v>969.29</c:v>
                </c:pt>
                <c:pt idx="1">
                  <c:v>318.1</c:v>
                </c:pt>
                <c:pt idx="2">
                  <c:v>0</c:v>
                </c:pt>
                <c:pt idx="3">
                  <c:v>0</c:v>
                </c:pt>
                <c:pt idx="4">
                  <c:v>0</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2017年</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Sheet1!$B$2:$B$3</c:f>
              <c:numCache>
                <c:formatCode>General</c:formatCode>
                <c:ptCount val="2"/>
                <c:pt idx="0">
                  <c:v>1329.9</c:v>
                </c:pt>
                <c:pt idx="1">
                  <c:v>1091.2</c:v>
                </c:pt>
              </c:numCache>
            </c:numRef>
          </c:val>
        </c:ser>
        <c:ser>
          <c:idx val="1"/>
          <c:order val="1"/>
          <c:tx>
            <c:strRef>
              <c:f>Sheet1!$C$1</c:f>
              <c:strCache>
                <c:ptCount val="1"/>
                <c:pt idx="0">
                  <c:v>2018年</c:v>
                </c:pt>
              </c:strCache>
            </c:strRef>
          </c:tx>
          <c:spPr>
            <a:solidFill>
              <a:schemeClr val="accent2"/>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1329.06</c:v>
                </c:pt>
                <c:pt idx="1">
                  <c:v>1287.39</c:v>
                </c:pt>
              </c:numCache>
            </c:numRef>
          </c:val>
        </c:ser>
        <c:ser>
          <c:idx val="2"/>
          <c:order val="2"/>
          <c:tx>
            <c:strRef>
              <c:f>Sheet1!#REF!</c:f>
              <c:strCache>
                <c:ptCount val="1"/>
                <c:pt idx="0">
                  <c:v/>
                </c:pt>
              </c:strCache>
            </c:strRef>
          </c:tx>
          <c:spPr>
            <a:solidFill>
              <a:schemeClr val="accent3"/>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Sheet1!#REF!</c:f>
              <c:numCache>
                <c:formatCode>General</c:formatCode>
                <c:ptCount val="1"/>
                <c:pt idx="0">
                  <c:v>1</c:v>
                </c:pt>
              </c:numCache>
            </c:numRef>
          </c:val>
        </c:ser>
        <c:dLbls>
          <c:showLegendKey val="false"/>
          <c:showVal val="true"/>
          <c:showCatName val="false"/>
          <c:showSerName val="false"/>
          <c:showPercent val="false"/>
          <c:showBubbleSize val="false"/>
        </c:dLbls>
        <c:gapWidth val="75"/>
        <c:overlap val="0"/>
        <c:axId val="283883672"/>
        <c:axId val="661930351"/>
      </c:barChart>
      <c:catAx>
        <c:axId val="283883672"/>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61930351"/>
        <c:crosses val="autoZero"/>
        <c:auto val="true"/>
        <c:lblAlgn val="ctr"/>
        <c:lblOffset val="100"/>
        <c:noMultiLvlLbl val="false"/>
      </c:catAx>
      <c:valAx>
        <c:axId val="661930351"/>
        <c:scaling>
          <c:orientation val="minMax"/>
        </c:scaling>
        <c:delete val="false"/>
        <c:axPos val="l"/>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83883672"/>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2017年</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Sheet1!$B$2:$B$3</c:f>
              <c:numCache>
                <c:formatCode>General</c:formatCode>
                <c:ptCount val="2"/>
                <c:pt idx="0">
                  <c:v>1329.9</c:v>
                </c:pt>
                <c:pt idx="1">
                  <c:v>1091.2</c:v>
                </c:pt>
              </c:numCache>
            </c:numRef>
          </c:val>
        </c:ser>
        <c:ser>
          <c:idx val="1"/>
          <c:order val="1"/>
          <c:tx>
            <c:strRef>
              <c:f>Sheet1!$C$1</c:f>
              <c:strCache>
                <c:ptCount val="1"/>
                <c:pt idx="0">
                  <c:v>2018年</c:v>
                </c:pt>
              </c:strCache>
            </c:strRef>
          </c:tx>
          <c:spPr>
            <a:solidFill>
              <a:schemeClr val="accent2"/>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1329.06</c:v>
                </c:pt>
                <c:pt idx="1">
                  <c:v>1287.39</c:v>
                </c:pt>
              </c:numCache>
            </c:numRef>
          </c:val>
        </c:ser>
        <c:ser>
          <c:idx val="2"/>
          <c:order val="2"/>
          <c:tx>
            <c:strRef>
              <c:f>Sheet1!#REF!</c:f>
              <c:strCache>
                <c:ptCount val="1"/>
                <c:pt idx="0">
                  <c:v/>
                </c:pt>
              </c:strCache>
            </c:strRef>
          </c:tx>
          <c:spPr>
            <a:solidFill>
              <a:schemeClr val="accent3"/>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Sheet1!#REF!</c:f>
              <c:numCache>
                <c:formatCode>General</c:formatCode>
                <c:ptCount val="1"/>
                <c:pt idx="0">
                  <c:v>1</c:v>
                </c:pt>
              </c:numCache>
            </c:numRef>
          </c:val>
        </c:ser>
        <c:dLbls>
          <c:showLegendKey val="false"/>
          <c:showVal val="true"/>
          <c:showCatName val="false"/>
          <c:showSerName val="false"/>
          <c:showPercent val="false"/>
          <c:showBubbleSize val="false"/>
        </c:dLbls>
        <c:gapWidth val="75"/>
        <c:overlap val="0"/>
        <c:axId val="283883672"/>
        <c:axId val="661930351"/>
      </c:barChart>
      <c:catAx>
        <c:axId val="283883672"/>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61930351"/>
        <c:crosses val="autoZero"/>
        <c:auto val="true"/>
        <c:lblAlgn val="ctr"/>
        <c:lblOffset val="100"/>
        <c:noMultiLvlLbl val="false"/>
      </c:catAx>
      <c:valAx>
        <c:axId val="661930351"/>
        <c:scaling>
          <c:orientation val="minMax"/>
        </c:scaling>
        <c:delete val="false"/>
        <c:axPos val="l"/>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83883672"/>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一般公共预算财政拨款支出</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Pt>
            <c:idx val="4"/>
            <c:bubble3D val="false"/>
            <c:spPr>
              <a:solidFill>
                <a:schemeClr val="accent5"/>
              </a:solidFill>
              <a:ln w="19050">
                <a:solidFill>
                  <a:schemeClr val="lt1"/>
                </a:solidFill>
              </a:ln>
              <a:effectLst/>
            </c:spPr>
          </c:dPt>
          <c:dPt>
            <c:idx val="5"/>
            <c:bubble3D val="false"/>
            <c:spPr>
              <a:solidFill>
                <a:schemeClr val="accent6"/>
              </a:solidFill>
              <a:ln w="19050">
                <a:solidFill>
                  <a:schemeClr val="lt1"/>
                </a:solidFill>
              </a:ln>
              <a:effectLst/>
            </c:spPr>
          </c:dPt>
          <c:dLbls>
            <c:dLbl>
              <c:idx val="3"/>
              <c:layout>
                <c:manualLayout>
                  <c:x val="0.0496009821976673"/>
                  <c:y val="-0.0433041301627034"/>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dLbl>
              <c:idx val="4"/>
              <c:layout>
                <c:manualLayout>
                  <c:x val="-0.0565991405770411"/>
                  <c:y val="-0.0217772215269086"/>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dLbl>
              <c:idx val="5"/>
              <c:layout>
                <c:manualLayout>
                  <c:x val="0.0990791896869245"/>
                  <c:y val="-0.0217772215269086"/>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Sheet1!$A$2:$A$7</c:f>
              <c:strCache>
                <c:ptCount val="6"/>
                <c:pt idx="0">
                  <c:v>一般公共服务支出</c:v>
                </c:pt>
                <c:pt idx="1">
                  <c:v>社会保障和就业</c:v>
                </c:pt>
                <c:pt idx="2">
                  <c:v>医疗卫生支出</c:v>
                </c:pt>
                <c:pt idx="3">
                  <c:v>农林水支出</c:v>
                </c:pt>
                <c:pt idx="4">
                  <c:v>金融支出</c:v>
                </c:pt>
                <c:pt idx="5">
                  <c:v>住房保障支出</c:v>
                </c:pt>
              </c:strCache>
            </c:strRef>
          </c:cat>
          <c:val>
            <c:numRef>
              <c:f>Sheet1!$B$2:$B$7</c:f>
              <c:numCache>
                <c:formatCode>General</c:formatCode>
                <c:ptCount val="6"/>
                <c:pt idx="0">
                  <c:v>1106.4</c:v>
                </c:pt>
                <c:pt idx="1">
                  <c:v>91.86</c:v>
                </c:pt>
                <c:pt idx="2">
                  <c:v>30.91</c:v>
                </c:pt>
                <c:pt idx="3">
                  <c:v>2.5</c:v>
                </c:pt>
                <c:pt idx="4">
                  <c:v>10</c:v>
                </c:pt>
                <c:pt idx="5">
                  <c:v>45.72</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一般公共预算财政拨款基本支出</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Sheet1!$A$2:$A$4</c:f>
              <c:strCache>
                <c:ptCount val="3"/>
                <c:pt idx="0">
                  <c:v>人员经费</c:v>
                </c:pt>
                <c:pt idx="1">
                  <c:v>公用经费</c:v>
                </c:pt>
                <c:pt idx="2">
                  <c:v>对企业补助</c:v>
                </c:pt>
              </c:strCache>
            </c:strRef>
          </c:cat>
          <c:val>
            <c:numRef>
              <c:f>Sheet1!$B$2:$B$4</c:f>
              <c:numCache>
                <c:formatCode>General</c:formatCode>
                <c:ptCount val="3"/>
                <c:pt idx="0">
                  <c:v>627.94</c:v>
                </c:pt>
                <c:pt idx="1">
                  <c:v>143.92</c:v>
                </c:pt>
                <c:pt idx="2">
                  <c:v>197.43</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“三公”经费财政拨款支出</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c:v>
                </c:pt>
                <c:pt idx="1">
                  <c:v>公务用车购置及运行维护费</c:v>
                </c:pt>
                <c:pt idx="2">
                  <c:v>公务接待费</c:v>
                </c:pt>
              </c:strCache>
            </c:strRef>
          </c:cat>
          <c:val>
            <c:numRef>
              <c:f>Sheet1!$B$2:$B$4</c:f>
              <c:numCache>
                <c:formatCode>General</c:formatCode>
                <c:ptCount val="3"/>
                <c:pt idx="0">
                  <c:v>15</c:v>
                </c:pt>
                <c:pt idx="1">
                  <c:v>6</c:v>
                </c:pt>
                <c:pt idx="2">
                  <c:v>10</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1441</Words>
  <Characters>8219</Characters>
  <Lines>68</Lines>
  <Paragraphs>19</Paragraphs>
  <TotalTime>1</TotalTime>
  <ScaleCrop>false</ScaleCrop>
  <LinksUpToDate>false</LinksUpToDate>
  <CharactersWithSpaces>9641</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2019-08-01T09:14:00Z</dcterms:created>
  <dc:creator>张彬茜</dc:creator>
  <cp:lastModifiedBy>user</cp:lastModifiedBy>
  <cp:lastPrinted>2019-08-01T08:48:00Z</cp:lastPrinted>
  <dcterms:modified xsi:type="dcterms:W3CDTF">2023-07-13T14:51:47Z</dcterms:modified>
  <dc:title>四川省***</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