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color w:val="000000"/>
          <w:sz w:val="72"/>
          <w:szCs w:val="72"/>
        </w:rPr>
      </w:pPr>
      <w:bookmarkStart w:id="0" w:name="_Toc15306267"/>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bookmarkEnd w:id="0"/>
    <w:p>
      <w:pPr>
        <w:adjustRightInd w:val="0"/>
        <w:snapToGrid w:val="0"/>
        <w:spacing w:line="360" w:lineRule="auto"/>
        <w:jc w:val="center"/>
        <w:outlineLvl w:val="0"/>
        <w:rPr>
          <w:rFonts w:ascii="方正小标宋简体" w:hAnsi="宋体" w:eastAsia="方正小标宋简体"/>
          <w:color w:val="000000"/>
          <w:sz w:val="72"/>
          <w:szCs w:val="72"/>
        </w:rPr>
      </w:pPr>
      <w:bookmarkStart w:id="1" w:name="_Toc15396475"/>
      <w:bookmarkStart w:id="2" w:name="_Toc15396597"/>
      <w:bookmarkStart w:id="3" w:name="_Toc15378441"/>
      <w:bookmarkStart w:id="4" w:name="_Toc15377425"/>
      <w:bookmarkStart w:id="5" w:name="_Toc15377193"/>
      <w:r>
        <w:rPr>
          <w:rFonts w:ascii="黑体" w:hAnsi="黑体" w:eastAsia="黑体"/>
          <w:color w:val="000000"/>
          <w:sz w:val="72"/>
          <w:szCs w:val="72"/>
        </w:rPr>
        <w:t>2020</w:t>
      </w:r>
      <w:r>
        <w:rPr>
          <w:rFonts w:hint="eastAsia" w:ascii="方正小标宋简体" w:hAnsi="宋体" w:eastAsia="方正小标宋简体"/>
          <w:color w:val="000000"/>
          <w:sz w:val="72"/>
          <w:szCs w:val="72"/>
        </w:rPr>
        <w:t>年度</w:t>
      </w:r>
      <w:bookmarkEnd w:id="1"/>
      <w:bookmarkEnd w:id="2"/>
      <w:bookmarkEnd w:id="3"/>
      <w:bookmarkEnd w:id="4"/>
      <w:bookmarkEnd w:id="5"/>
    </w:p>
    <w:p>
      <w:pPr>
        <w:adjustRightInd w:val="0"/>
        <w:snapToGrid w:val="0"/>
        <w:spacing w:line="360" w:lineRule="auto"/>
        <w:jc w:val="center"/>
        <w:outlineLvl w:val="0"/>
        <w:rPr>
          <w:rFonts w:ascii="方正小标宋简体" w:hAnsi="宋体" w:eastAsia="方正小标宋简体"/>
          <w:color w:val="000000"/>
          <w:sz w:val="72"/>
          <w:szCs w:val="72"/>
        </w:rPr>
      </w:pPr>
      <w:bookmarkStart w:id="6" w:name="_Toc15396476"/>
      <w:bookmarkStart w:id="7" w:name="_Toc15377194"/>
      <w:bookmarkStart w:id="8" w:name="_Toc15396598"/>
      <w:bookmarkStart w:id="9" w:name="_Toc15378442"/>
      <w:bookmarkStart w:id="10" w:name="_Toc15377426"/>
      <w:r>
        <w:rPr>
          <w:rFonts w:hint="eastAsia" w:ascii="方正小标宋简体" w:hAnsi="宋体" w:eastAsia="方正小标宋简体"/>
          <w:color w:val="000000"/>
          <w:sz w:val="72"/>
          <w:szCs w:val="72"/>
        </w:rPr>
        <w:t>四川省</w:t>
      </w:r>
      <w:bookmarkStart w:id="11" w:name="_Toc15306268"/>
      <w:r>
        <w:rPr>
          <w:rFonts w:hint="eastAsia" w:ascii="方正小标宋简体" w:hAnsi="宋体" w:eastAsia="方正小标宋简体"/>
          <w:color w:val="000000"/>
          <w:sz w:val="72"/>
          <w:szCs w:val="72"/>
        </w:rPr>
        <w:t>广元市利州区金洞乡人民政府部门决算</w:t>
      </w:r>
      <w:bookmarkEnd w:id="6"/>
      <w:bookmarkEnd w:id="7"/>
      <w:bookmarkEnd w:id="8"/>
      <w:bookmarkEnd w:id="9"/>
      <w:bookmarkEnd w:id="10"/>
      <w:bookmarkEnd w:id="11"/>
    </w:p>
    <w:p>
      <w:pPr>
        <w:pStyle w:val="2"/>
        <w:rPr>
          <w:rFonts w:eastAsia="方正小标宋简体"/>
        </w:rPr>
      </w:pPr>
      <w:r>
        <w:rPr>
          <w:rFonts w:hint="eastAsia" w:ascii="方正小标宋简体" w:hAnsi="宋体" w:eastAsia="方正小标宋简体"/>
          <w:sz w:val="72"/>
          <w:szCs w:val="72"/>
        </w:rPr>
        <w:t xml:space="preserve">      </w:t>
      </w:r>
      <w:r>
        <w:rPr>
          <w:rFonts w:hint="eastAsia" w:ascii="黑体" w:hAnsi="黑体" w:eastAsia="黑体" w:cs="黑体"/>
          <w:sz w:val="30"/>
          <w:szCs w:val="30"/>
        </w:rPr>
        <w:t xml:space="preserve">公开时间：2021年9月26日  </w:t>
      </w:r>
    </w:p>
    <w:p>
      <w:pPr>
        <w:pStyle w:val="2"/>
        <w:rPr>
          <w:rFonts w:ascii="方正小标宋简体" w:hAnsi="宋体" w:eastAsia="方正小标宋简体"/>
          <w:sz w:val="36"/>
          <w:szCs w:val="36"/>
        </w:rPr>
      </w:pPr>
    </w:p>
    <w:p>
      <w:pPr>
        <w:pStyle w:val="2"/>
        <w:rPr>
          <w:rFonts w:ascii="方正小标宋简体" w:hAnsi="宋体" w:eastAsia="方正小标宋简体"/>
          <w:sz w:val="36"/>
          <w:szCs w:val="36"/>
        </w:rPr>
      </w:pPr>
    </w:p>
    <w:p>
      <w:pPr>
        <w:pStyle w:val="2"/>
        <w:rPr>
          <w:rFonts w:ascii="方正小标宋简体" w:hAnsi="宋体" w:eastAsia="方正小标宋简体"/>
          <w:sz w:val="36"/>
          <w:szCs w:val="36"/>
        </w:rPr>
      </w:pPr>
    </w:p>
    <w:p>
      <w:pPr>
        <w:pStyle w:val="2"/>
        <w:rPr>
          <w:rFonts w:ascii="方正小标宋简体" w:hAnsi="宋体" w:eastAsia="方正小标宋简体"/>
          <w:sz w:val="36"/>
          <w:szCs w:val="36"/>
        </w:rPr>
      </w:pPr>
    </w:p>
    <w:p>
      <w:pPr>
        <w:pStyle w:val="2"/>
        <w:rPr>
          <w:rFonts w:ascii="方正小标宋简体" w:hAnsi="宋体" w:eastAsia="方正小标宋简体"/>
          <w:sz w:val="36"/>
          <w:szCs w:val="36"/>
        </w:rPr>
      </w:pPr>
    </w:p>
    <w:p>
      <w:pPr>
        <w:pStyle w:val="2"/>
        <w:rPr>
          <w:rFonts w:ascii="方正小标宋简体" w:hAnsi="宋体" w:eastAsia="方正小标宋简体"/>
          <w:sz w:val="36"/>
          <w:szCs w:val="36"/>
        </w:rPr>
      </w:pPr>
    </w:p>
    <w:p>
      <w:pPr>
        <w:jc w:val="center"/>
        <w:rPr>
          <w:rFonts w:ascii="黑体" w:hAnsi="黑体" w:eastAsia="黑体" w:cs="黑体"/>
          <w:sz w:val="48"/>
          <w:szCs w:val="48"/>
        </w:rPr>
      </w:pPr>
      <w:r>
        <w:rPr>
          <w:rFonts w:hint="eastAsia" w:ascii="黑体" w:hAnsi="黑体" w:eastAsia="黑体" w:cs="黑体"/>
          <w:sz w:val="48"/>
          <w:szCs w:val="48"/>
        </w:rPr>
        <w:t>目录</w:t>
      </w:r>
    </w:p>
    <w:p>
      <w:pPr>
        <w:pStyle w:val="11"/>
        <w:tabs>
          <w:tab w:val="right" w:leader="dot" w:pos="8306"/>
          <w:tab w:val="clear" w:pos="8296"/>
        </w:tabs>
        <w:rPr>
          <w:rFonts w:ascii="仿宋_GB2312" w:hAnsi="仿宋_GB2312" w:eastAsia="仿宋_GB2312" w:cs="仿宋_GB2312"/>
        </w:rPr>
      </w:pP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TOC \o "1-3" \h \u </w:instrText>
      </w:r>
      <w:r>
        <w:rPr>
          <w:rFonts w:hint="eastAsia" w:ascii="仿宋_GB2312" w:hAnsi="仿宋_GB2312" w:eastAsia="仿宋_GB2312" w:cs="仿宋_GB2312"/>
        </w:rPr>
        <w:fldChar w:fldCharType="separate"/>
      </w:r>
      <w:r>
        <w:fldChar w:fldCharType="begin"/>
      </w:r>
      <w:r>
        <w:instrText xml:space="preserve"> HYPERLINK \l "_Toc30629" </w:instrText>
      </w:r>
      <w:r>
        <w:fldChar w:fldCharType="separate"/>
      </w:r>
      <w:r>
        <w:rPr>
          <w:rFonts w:hint="eastAsia" w:ascii="仿宋_GB2312" w:hAnsi="仿宋_GB2312" w:eastAsia="仿宋_GB2312" w:cs="仿宋_GB2312"/>
          <w:bCs/>
        </w:rPr>
        <w:t>第一部分 部门概况</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_Toc30629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4</w:t>
      </w:r>
      <w:r>
        <w:rPr>
          <w:rFonts w:hint="eastAsia" w:ascii="仿宋_GB2312" w:hAnsi="仿宋_GB2312" w:eastAsia="仿宋_GB2312" w:cs="仿宋_GB2312"/>
        </w:rPr>
        <w:fldChar w:fldCharType="end"/>
      </w:r>
      <w:r>
        <w:rPr>
          <w:rFonts w:hint="eastAsia" w:ascii="仿宋_GB2312" w:hAnsi="仿宋_GB2312" w:eastAsia="仿宋_GB2312" w:cs="仿宋_GB2312"/>
        </w:rPr>
        <w:fldChar w:fldCharType="end"/>
      </w:r>
    </w:p>
    <w:p>
      <w:pPr>
        <w:pStyle w:val="12"/>
        <w:tabs>
          <w:tab w:val="right" w:leader="dot" w:pos="8306"/>
          <w:tab w:val="clear" w:pos="8296"/>
        </w:tabs>
        <w:rPr>
          <w:rFonts w:ascii="仿宋_GB2312" w:hAnsi="仿宋_GB2312" w:eastAsia="仿宋_GB2312" w:cs="仿宋_GB2312"/>
          <w:sz w:val="28"/>
          <w:szCs w:val="28"/>
        </w:rPr>
      </w:pPr>
      <w:r>
        <w:fldChar w:fldCharType="begin"/>
      </w:r>
      <w:r>
        <w:instrText xml:space="preserve"> HYPERLINK \l "_Toc3189" </w:instrText>
      </w:r>
      <w:r>
        <w:fldChar w:fldCharType="separate"/>
      </w:r>
      <w:r>
        <w:rPr>
          <w:rFonts w:hint="eastAsia" w:ascii="仿宋_GB2312" w:hAnsi="仿宋_GB2312" w:eastAsia="仿宋_GB2312" w:cs="仿宋_GB2312"/>
          <w:bCs/>
          <w:sz w:val="28"/>
          <w:szCs w:val="28"/>
        </w:rPr>
        <w:t>一、基本职能及主要工作</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9</w:t>
      </w:r>
      <w:r>
        <w:rPr>
          <w:rFonts w:hint="eastAsia" w:ascii="仿宋_GB2312" w:hAnsi="仿宋_GB2312" w:eastAsia="仿宋_GB2312" w:cs="仿宋_GB2312"/>
          <w:sz w:val="28"/>
          <w:szCs w:val="28"/>
        </w:rPr>
        <w:fldChar w:fldCharType="end"/>
      </w:r>
    </w:p>
    <w:p>
      <w:pPr>
        <w:pStyle w:val="12"/>
        <w:tabs>
          <w:tab w:val="right" w:leader="dot" w:pos="8306"/>
          <w:tab w:val="clear" w:pos="8296"/>
        </w:tabs>
        <w:rPr>
          <w:rFonts w:ascii="仿宋_GB2312" w:hAnsi="仿宋_GB2312" w:eastAsia="仿宋_GB2312" w:cs="仿宋_GB2312"/>
          <w:sz w:val="28"/>
          <w:szCs w:val="28"/>
        </w:rPr>
      </w:pPr>
      <w:r>
        <w:fldChar w:fldCharType="begin"/>
      </w:r>
      <w:r>
        <w:instrText xml:space="preserve"> HYPERLINK \l "_Toc19189" </w:instrText>
      </w:r>
      <w:r>
        <w:fldChar w:fldCharType="separate"/>
      </w:r>
      <w:r>
        <w:rPr>
          <w:rFonts w:hint="eastAsia" w:ascii="仿宋_GB2312" w:hAnsi="仿宋_GB2312" w:eastAsia="仿宋_GB2312" w:cs="仿宋_GB2312"/>
          <w:bCs/>
          <w:sz w:val="28"/>
          <w:szCs w:val="28"/>
        </w:rPr>
        <w:t>二、机构设置</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_Toc19189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10</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pPr>
        <w:pStyle w:val="11"/>
        <w:tabs>
          <w:tab w:val="right" w:leader="dot" w:pos="8306"/>
          <w:tab w:val="clear" w:pos="8296"/>
        </w:tabs>
        <w:rPr>
          <w:rFonts w:ascii="仿宋_GB2312" w:hAnsi="仿宋_GB2312" w:eastAsia="仿宋_GB2312" w:cs="仿宋_GB2312"/>
        </w:rPr>
      </w:pPr>
      <w:r>
        <w:fldChar w:fldCharType="begin"/>
      </w:r>
      <w:r>
        <w:instrText xml:space="preserve"> HYPERLINK \l "_Toc11690" </w:instrText>
      </w:r>
      <w:r>
        <w:fldChar w:fldCharType="separate"/>
      </w:r>
      <w:r>
        <w:rPr>
          <w:rFonts w:hint="eastAsia" w:ascii="仿宋_GB2312" w:hAnsi="仿宋_GB2312" w:eastAsia="仿宋_GB2312" w:cs="仿宋_GB2312"/>
        </w:rPr>
        <w:t>第二部分 2020年度部门决算情况说明</w:t>
      </w:r>
      <w:r>
        <w:rPr>
          <w:rFonts w:hint="eastAsia" w:ascii="仿宋_GB2312" w:hAnsi="仿宋_GB2312" w:eastAsia="仿宋_GB2312" w:cs="仿宋_GB2312"/>
        </w:rPr>
        <w:tab/>
      </w:r>
      <w:r>
        <w:rPr>
          <w:rFonts w:hint="eastAsia" w:ascii="仿宋_GB2312" w:hAnsi="仿宋_GB2312" w:eastAsia="仿宋_GB2312" w:cs="仿宋_GB2312"/>
        </w:rPr>
        <w:t>1</w:t>
      </w:r>
      <w:r>
        <w:rPr>
          <w:rFonts w:hint="eastAsia" w:ascii="仿宋_GB2312" w:hAnsi="仿宋_GB2312" w:eastAsia="仿宋_GB2312" w:cs="仿宋_GB2312"/>
        </w:rPr>
        <w:fldChar w:fldCharType="end"/>
      </w:r>
      <w:r>
        <w:rPr>
          <w:rFonts w:hint="eastAsia" w:ascii="仿宋_GB2312" w:hAnsi="仿宋_GB2312" w:eastAsia="仿宋_GB2312" w:cs="仿宋_GB2312"/>
        </w:rPr>
        <w:t>1</w:t>
      </w:r>
    </w:p>
    <w:p>
      <w:pPr>
        <w:pStyle w:val="12"/>
        <w:tabs>
          <w:tab w:val="right" w:leader="dot" w:pos="8306"/>
          <w:tab w:val="clear" w:pos="8296"/>
        </w:tabs>
        <w:rPr>
          <w:rFonts w:ascii="仿宋_GB2312" w:hAnsi="仿宋_GB2312" w:eastAsia="仿宋_GB2312" w:cs="仿宋_GB2312"/>
          <w:sz w:val="28"/>
          <w:szCs w:val="28"/>
        </w:rPr>
      </w:pPr>
      <w:r>
        <w:fldChar w:fldCharType="begin"/>
      </w:r>
      <w:r>
        <w:instrText xml:space="preserve"> HYPERLINK \l "_Toc24012" </w:instrText>
      </w:r>
      <w:r>
        <w:fldChar w:fldCharType="separate"/>
      </w:r>
      <w:r>
        <w:rPr>
          <w:rFonts w:hint="eastAsia" w:ascii="仿宋_GB2312" w:hAnsi="仿宋_GB2312" w:eastAsia="仿宋_GB2312" w:cs="仿宋_GB2312"/>
          <w:sz w:val="28"/>
          <w:szCs w:val="28"/>
        </w:rPr>
        <w:t>一、 收入支出决算总体情况说明</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1</w:t>
      </w:r>
    </w:p>
    <w:p>
      <w:pPr>
        <w:pStyle w:val="12"/>
        <w:tabs>
          <w:tab w:val="right" w:leader="dot" w:pos="8306"/>
          <w:tab w:val="clear" w:pos="8296"/>
        </w:tabs>
        <w:rPr>
          <w:rFonts w:ascii="仿宋_GB2312" w:hAnsi="仿宋_GB2312" w:eastAsia="仿宋_GB2312" w:cs="仿宋_GB2312"/>
          <w:sz w:val="28"/>
          <w:szCs w:val="28"/>
        </w:rPr>
      </w:pPr>
      <w:r>
        <w:fldChar w:fldCharType="begin"/>
      </w:r>
      <w:r>
        <w:instrText xml:space="preserve"> HYPERLINK \l "_Toc1234" </w:instrText>
      </w:r>
      <w:r>
        <w:fldChar w:fldCharType="separate"/>
      </w:r>
      <w:r>
        <w:rPr>
          <w:rFonts w:hint="eastAsia" w:ascii="仿宋_GB2312" w:hAnsi="仿宋_GB2312" w:eastAsia="仿宋_GB2312" w:cs="仿宋_GB2312"/>
          <w:sz w:val="28"/>
          <w:szCs w:val="28"/>
        </w:rPr>
        <w:t>三、 支出决算情况说明</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2</w:t>
      </w:r>
    </w:p>
    <w:p>
      <w:pPr>
        <w:pStyle w:val="12"/>
        <w:tabs>
          <w:tab w:val="right" w:leader="dot" w:pos="8306"/>
          <w:tab w:val="clear" w:pos="8296"/>
        </w:tabs>
        <w:rPr>
          <w:rFonts w:ascii="仿宋_GB2312" w:hAnsi="仿宋_GB2312" w:eastAsia="仿宋_GB2312" w:cs="仿宋_GB2312"/>
          <w:sz w:val="28"/>
          <w:szCs w:val="28"/>
        </w:rPr>
      </w:pPr>
      <w:r>
        <w:fldChar w:fldCharType="begin"/>
      </w:r>
      <w:r>
        <w:instrText xml:space="preserve"> HYPERLINK \l "_Toc4670" </w:instrText>
      </w:r>
      <w:r>
        <w:fldChar w:fldCharType="separate"/>
      </w:r>
      <w:r>
        <w:rPr>
          <w:rFonts w:hint="eastAsia" w:ascii="仿宋_GB2312" w:hAnsi="仿宋_GB2312" w:eastAsia="仿宋_GB2312" w:cs="仿宋_GB2312"/>
          <w:sz w:val="28"/>
          <w:szCs w:val="28"/>
        </w:rPr>
        <w:t>四、 财政拨款收入支出决算总体情况说明</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_Toc4670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13</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pPr>
        <w:pStyle w:val="12"/>
        <w:tabs>
          <w:tab w:val="right" w:leader="dot" w:pos="8306"/>
          <w:tab w:val="clear" w:pos="8296"/>
        </w:tabs>
        <w:rPr>
          <w:rFonts w:ascii="仿宋_GB2312" w:hAnsi="仿宋_GB2312" w:eastAsia="仿宋_GB2312" w:cs="仿宋_GB2312"/>
          <w:sz w:val="28"/>
          <w:szCs w:val="28"/>
        </w:rPr>
      </w:pPr>
      <w:r>
        <w:fldChar w:fldCharType="begin"/>
      </w:r>
      <w:r>
        <w:instrText xml:space="preserve"> HYPERLINK \l "_Toc15307" </w:instrText>
      </w:r>
      <w:r>
        <w:fldChar w:fldCharType="separate"/>
      </w:r>
      <w:r>
        <w:rPr>
          <w:rFonts w:hint="eastAsia" w:ascii="仿宋_GB2312" w:hAnsi="仿宋_GB2312" w:eastAsia="仿宋_GB2312" w:cs="仿宋_GB2312"/>
          <w:sz w:val="28"/>
          <w:szCs w:val="28"/>
        </w:rPr>
        <w:t>五、 一般公共预算财政拨款支出决算情况说明</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_Toc15307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14</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pPr>
        <w:pStyle w:val="12"/>
        <w:tabs>
          <w:tab w:val="right" w:leader="dot" w:pos="8306"/>
          <w:tab w:val="clear" w:pos="8296"/>
        </w:tabs>
        <w:rPr>
          <w:rFonts w:ascii="仿宋_GB2312" w:hAnsi="仿宋_GB2312" w:eastAsia="仿宋_GB2312" w:cs="仿宋_GB2312"/>
          <w:sz w:val="28"/>
          <w:szCs w:val="28"/>
        </w:rPr>
      </w:pPr>
      <w:r>
        <w:fldChar w:fldCharType="begin"/>
      </w:r>
      <w:r>
        <w:instrText xml:space="preserve"> HYPERLINK \l "_Toc29609" </w:instrText>
      </w:r>
      <w:r>
        <w:fldChar w:fldCharType="separate"/>
      </w:r>
      <w:r>
        <w:rPr>
          <w:rFonts w:hint="eastAsia" w:ascii="仿宋_GB2312" w:hAnsi="仿宋_GB2312" w:eastAsia="仿宋_GB2312" w:cs="仿宋_GB2312"/>
          <w:sz w:val="28"/>
          <w:szCs w:val="28"/>
        </w:rPr>
        <w:t>六、 一般公共预算财政拨款基本支出决算情况说明</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7</w:t>
      </w:r>
    </w:p>
    <w:p>
      <w:pPr>
        <w:pStyle w:val="12"/>
        <w:tabs>
          <w:tab w:val="right" w:leader="dot" w:pos="8306"/>
          <w:tab w:val="clear" w:pos="8296"/>
        </w:tabs>
        <w:rPr>
          <w:rFonts w:ascii="仿宋_GB2312" w:hAnsi="仿宋_GB2312" w:eastAsia="仿宋_GB2312" w:cs="仿宋_GB2312"/>
          <w:sz w:val="28"/>
          <w:szCs w:val="28"/>
        </w:rPr>
      </w:pPr>
      <w:r>
        <w:fldChar w:fldCharType="begin"/>
      </w:r>
      <w:r>
        <w:instrText xml:space="preserve"> HYPERLINK \l "_Toc9046" </w:instrText>
      </w:r>
      <w:r>
        <w:fldChar w:fldCharType="separate"/>
      </w:r>
      <w:r>
        <w:rPr>
          <w:rFonts w:hint="eastAsia" w:ascii="仿宋_GB2312" w:hAnsi="仿宋_GB2312" w:eastAsia="仿宋_GB2312" w:cs="仿宋_GB2312"/>
          <w:sz w:val="28"/>
          <w:szCs w:val="28"/>
        </w:rPr>
        <w:t>七、 “三公”经费财政拨款支出决算情况说明</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8</w:t>
      </w:r>
    </w:p>
    <w:p>
      <w:pPr>
        <w:pStyle w:val="12"/>
        <w:tabs>
          <w:tab w:val="right" w:leader="dot" w:pos="8306"/>
          <w:tab w:val="clear" w:pos="8296"/>
        </w:tabs>
        <w:rPr>
          <w:rFonts w:ascii="仿宋_GB2312" w:hAnsi="仿宋_GB2312" w:eastAsia="仿宋_GB2312" w:cs="仿宋_GB2312"/>
          <w:sz w:val="28"/>
          <w:szCs w:val="28"/>
        </w:rPr>
      </w:pPr>
      <w:r>
        <w:fldChar w:fldCharType="begin"/>
      </w:r>
      <w:r>
        <w:instrText xml:space="preserve"> HYPERLINK \l "_Toc26289" </w:instrText>
      </w:r>
      <w:r>
        <w:fldChar w:fldCharType="separate"/>
      </w:r>
      <w:r>
        <w:rPr>
          <w:rFonts w:hint="eastAsia" w:ascii="仿宋_GB2312" w:hAnsi="仿宋_GB2312" w:eastAsia="仿宋_GB2312" w:cs="仿宋_GB2312"/>
          <w:sz w:val="28"/>
          <w:szCs w:val="28"/>
        </w:rPr>
        <w:t>八、 政府性基金预算支出决算情况说明</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9</w:t>
      </w:r>
    </w:p>
    <w:p>
      <w:pPr>
        <w:pStyle w:val="12"/>
        <w:tabs>
          <w:tab w:val="right" w:leader="dot" w:pos="8306"/>
          <w:tab w:val="clear" w:pos="8296"/>
        </w:tabs>
        <w:rPr>
          <w:rFonts w:ascii="仿宋_GB2312" w:hAnsi="仿宋_GB2312" w:eastAsia="仿宋_GB2312" w:cs="仿宋_GB2312"/>
          <w:sz w:val="28"/>
          <w:szCs w:val="28"/>
        </w:rPr>
      </w:pPr>
      <w:r>
        <w:fldChar w:fldCharType="begin"/>
      </w:r>
      <w:r>
        <w:instrText xml:space="preserve"> HYPERLINK \l "_Toc30942" </w:instrText>
      </w:r>
      <w:r>
        <w:fldChar w:fldCharType="separate"/>
      </w:r>
      <w:r>
        <w:rPr>
          <w:rFonts w:hint="eastAsia" w:ascii="仿宋_GB2312" w:hAnsi="仿宋_GB2312" w:eastAsia="仿宋_GB2312" w:cs="仿宋_GB2312"/>
          <w:sz w:val="28"/>
          <w:szCs w:val="28"/>
        </w:rPr>
        <w:t>九、 国有资本经营预算支出决算情况说明</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9</w:t>
      </w:r>
    </w:p>
    <w:p>
      <w:pPr>
        <w:pStyle w:val="12"/>
        <w:tabs>
          <w:tab w:val="right" w:leader="dot" w:pos="8306"/>
          <w:tab w:val="clear" w:pos="8296"/>
        </w:tabs>
        <w:rPr>
          <w:rFonts w:ascii="仿宋_GB2312" w:hAnsi="仿宋_GB2312" w:eastAsia="仿宋_GB2312" w:cs="仿宋_GB2312"/>
          <w:sz w:val="28"/>
          <w:szCs w:val="28"/>
        </w:rPr>
      </w:pPr>
      <w:r>
        <w:fldChar w:fldCharType="begin"/>
      </w:r>
      <w:r>
        <w:instrText xml:space="preserve"> HYPERLINK \l "_Toc24663" </w:instrText>
      </w:r>
      <w:r>
        <w:fldChar w:fldCharType="separate"/>
      </w:r>
      <w:r>
        <w:rPr>
          <w:rFonts w:hint="eastAsia" w:ascii="仿宋_GB2312" w:hAnsi="仿宋_GB2312" w:eastAsia="仿宋_GB2312" w:cs="仿宋_GB2312"/>
          <w:sz w:val="28"/>
          <w:szCs w:val="28"/>
        </w:rPr>
        <w:t>十、 其他重要事项的情况说明</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30</w:t>
      </w:r>
    </w:p>
    <w:p>
      <w:pPr>
        <w:pStyle w:val="11"/>
        <w:tabs>
          <w:tab w:val="right" w:leader="dot" w:pos="8306"/>
          <w:tab w:val="clear" w:pos="8296"/>
        </w:tabs>
        <w:rPr>
          <w:rFonts w:ascii="仿宋_GB2312" w:hAnsi="仿宋_GB2312" w:eastAsia="仿宋_GB2312" w:cs="仿宋_GB2312"/>
        </w:rPr>
      </w:pPr>
      <w:r>
        <w:fldChar w:fldCharType="begin"/>
      </w:r>
      <w:r>
        <w:instrText xml:space="preserve"> HYPERLINK \l "_Toc17702" </w:instrText>
      </w:r>
      <w:r>
        <w:fldChar w:fldCharType="separate"/>
      </w:r>
      <w:r>
        <w:rPr>
          <w:rFonts w:hint="eastAsia" w:ascii="仿宋_GB2312" w:hAnsi="仿宋_GB2312" w:eastAsia="仿宋_GB2312" w:cs="仿宋_GB2312"/>
        </w:rPr>
        <w:t>第三部分 名词解释</w:t>
      </w:r>
      <w:r>
        <w:rPr>
          <w:rFonts w:hint="eastAsia" w:ascii="仿宋_GB2312" w:hAnsi="仿宋_GB2312" w:eastAsia="仿宋_GB2312" w:cs="仿宋_GB2312"/>
        </w:rPr>
        <w:tab/>
      </w:r>
      <w:r>
        <w:rPr>
          <w:rFonts w:hint="eastAsia" w:ascii="仿宋_GB2312" w:hAnsi="仿宋_GB2312" w:eastAsia="仿宋_GB2312" w:cs="仿宋_GB2312"/>
        </w:rPr>
        <w:t>3</w:t>
      </w:r>
      <w:r>
        <w:rPr>
          <w:rFonts w:hint="eastAsia" w:ascii="仿宋_GB2312" w:hAnsi="仿宋_GB2312" w:eastAsia="仿宋_GB2312" w:cs="仿宋_GB2312"/>
        </w:rPr>
        <w:fldChar w:fldCharType="end"/>
      </w:r>
      <w:r>
        <w:rPr>
          <w:rFonts w:hint="eastAsia" w:ascii="仿宋_GB2312" w:hAnsi="仿宋_GB2312" w:eastAsia="仿宋_GB2312" w:cs="仿宋_GB2312"/>
        </w:rPr>
        <w:t>4</w:t>
      </w:r>
    </w:p>
    <w:p>
      <w:pPr>
        <w:pStyle w:val="11"/>
        <w:tabs>
          <w:tab w:val="right" w:leader="dot" w:pos="8306"/>
          <w:tab w:val="clear" w:pos="8296"/>
        </w:tabs>
        <w:rPr>
          <w:rFonts w:ascii="仿宋_GB2312" w:hAnsi="仿宋_GB2312" w:eastAsia="仿宋_GB2312" w:cs="仿宋_GB2312"/>
        </w:rPr>
      </w:pPr>
      <w:r>
        <w:fldChar w:fldCharType="begin"/>
      </w:r>
      <w:r>
        <w:instrText xml:space="preserve"> HYPERLINK \l "_Toc28869" </w:instrText>
      </w:r>
      <w:r>
        <w:fldChar w:fldCharType="separate"/>
      </w:r>
      <w:r>
        <w:rPr>
          <w:rFonts w:hint="eastAsia" w:ascii="仿宋_GB2312" w:hAnsi="仿宋_GB2312" w:eastAsia="仿宋_GB2312" w:cs="仿宋_GB2312"/>
        </w:rPr>
        <w:t>第四部分 附件</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_Toc28869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35</w:t>
      </w:r>
      <w:r>
        <w:rPr>
          <w:rFonts w:hint="eastAsia" w:ascii="仿宋_GB2312" w:hAnsi="仿宋_GB2312" w:eastAsia="仿宋_GB2312" w:cs="仿宋_GB2312"/>
        </w:rPr>
        <w:fldChar w:fldCharType="end"/>
      </w:r>
      <w:r>
        <w:rPr>
          <w:rFonts w:hint="eastAsia" w:ascii="仿宋_GB2312" w:hAnsi="仿宋_GB2312" w:eastAsia="仿宋_GB2312" w:cs="仿宋_GB2312"/>
        </w:rPr>
        <w:fldChar w:fldCharType="end"/>
      </w:r>
    </w:p>
    <w:p>
      <w:pPr>
        <w:pStyle w:val="11"/>
        <w:tabs>
          <w:tab w:val="right" w:leader="dot" w:pos="8306"/>
          <w:tab w:val="clear" w:pos="8296"/>
        </w:tabs>
        <w:rPr>
          <w:rFonts w:ascii="仿宋_GB2312" w:hAnsi="仿宋_GB2312" w:eastAsia="仿宋_GB2312" w:cs="仿宋_GB2312"/>
        </w:rPr>
      </w:pPr>
      <w:r>
        <w:fldChar w:fldCharType="begin"/>
      </w:r>
      <w:r>
        <w:instrText xml:space="preserve"> HYPERLINK \l "_Toc8806" </w:instrText>
      </w:r>
      <w:r>
        <w:fldChar w:fldCharType="separate"/>
      </w:r>
      <w:r>
        <w:rPr>
          <w:rFonts w:hint="eastAsia" w:ascii="仿宋_GB2312" w:hAnsi="仿宋_GB2312" w:eastAsia="仿宋_GB2312" w:cs="仿宋_GB2312"/>
        </w:rPr>
        <w:t>附件1</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_Toc8806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38</w:t>
      </w:r>
      <w:r>
        <w:rPr>
          <w:rFonts w:hint="eastAsia" w:ascii="仿宋_GB2312" w:hAnsi="仿宋_GB2312" w:eastAsia="仿宋_GB2312" w:cs="仿宋_GB2312"/>
        </w:rPr>
        <w:fldChar w:fldCharType="end"/>
      </w:r>
      <w:r>
        <w:rPr>
          <w:rFonts w:hint="eastAsia" w:ascii="仿宋_GB2312" w:hAnsi="仿宋_GB2312" w:eastAsia="仿宋_GB2312" w:cs="仿宋_GB2312"/>
        </w:rPr>
        <w:fldChar w:fldCharType="end"/>
      </w:r>
    </w:p>
    <w:p>
      <w:pPr>
        <w:pStyle w:val="11"/>
        <w:tabs>
          <w:tab w:val="right" w:leader="dot" w:pos="8306"/>
          <w:tab w:val="clear" w:pos="8296"/>
        </w:tabs>
        <w:rPr>
          <w:rFonts w:ascii="仿宋_GB2312" w:hAnsi="仿宋_GB2312" w:eastAsia="仿宋_GB2312" w:cs="仿宋_GB2312"/>
        </w:rPr>
      </w:pPr>
      <w:r>
        <w:fldChar w:fldCharType="begin"/>
      </w:r>
      <w:r>
        <w:instrText xml:space="preserve"> HYPERLINK \l "_Toc16630" </w:instrText>
      </w:r>
      <w:r>
        <w:fldChar w:fldCharType="separate"/>
      </w:r>
      <w:r>
        <w:rPr>
          <w:rFonts w:hint="eastAsia" w:ascii="仿宋_GB2312" w:hAnsi="仿宋_GB2312" w:eastAsia="仿宋_GB2312" w:cs="仿宋_GB2312"/>
        </w:rPr>
        <w:t>附件2</w:t>
      </w:r>
      <w:r>
        <w:rPr>
          <w:rFonts w:hint="eastAsia" w:ascii="仿宋_GB2312" w:hAnsi="仿宋_GB2312" w:eastAsia="仿宋_GB2312" w:cs="仿宋_GB2312"/>
        </w:rPr>
        <w:tab/>
      </w:r>
      <w:r>
        <w:rPr>
          <w:rFonts w:hint="eastAsia" w:ascii="仿宋_GB2312" w:hAnsi="仿宋_GB2312" w:eastAsia="仿宋_GB2312" w:cs="仿宋_GB2312"/>
        </w:rPr>
        <w:t>4</w:t>
      </w:r>
      <w:r>
        <w:rPr>
          <w:rFonts w:hint="eastAsia" w:ascii="仿宋_GB2312" w:hAnsi="仿宋_GB2312" w:eastAsia="仿宋_GB2312" w:cs="仿宋_GB2312"/>
        </w:rPr>
        <w:fldChar w:fldCharType="end"/>
      </w:r>
      <w:r>
        <w:rPr>
          <w:rFonts w:hint="eastAsia" w:ascii="仿宋_GB2312" w:hAnsi="仿宋_GB2312" w:eastAsia="仿宋_GB2312" w:cs="仿宋_GB2312"/>
        </w:rPr>
        <w:t>9</w:t>
      </w:r>
    </w:p>
    <w:p>
      <w:pPr>
        <w:pStyle w:val="11"/>
        <w:tabs>
          <w:tab w:val="right" w:leader="dot" w:pos="8306"/>
          <w:tab w:val="clear" w:pos="8296"/>
        </w:tabs>
        <w:rPr>
          <w:rFonts w:ascii="仿宋_GB2312" w:hAnsi="仿宋_GB2312" w:eastAsia="仿宋_GB2312" w:cs="仿宋_GB2312"/>
        </w:rPr>
      </w:pPr>
      <w:r>
        <w:fldChar w:fldCharType="begin"/>
      </w:r>
      <w:r>
        <w:instrText xml:space="preserve"> HYPERLINK \l "_Toc6175" </w:instrText>
      </w:r>
      <w:r>
        <w:fldChar w:fldCharType="separate"/>
      </w:r>
      <w:r>
        <w:rPr>
          <w:rFonts w:hint="eastAsia" w:ascii="仿宋_GB2312" w:hAnsi="仿宋_GB2312" w:eastAsia="仿宋_GB2312" w:cs="仿宋_GB2312"/>
        </w:rPr>
        <w:t>第五部分 附表</w:t>
      </w:r>
      <w:r>
        <w:rPr>
          <w:rFonts w:hint="eastAsia" w:ascii="仿宋_GB2312" w:hAnsi="仿宋_GB2312" w:eastAsia="仿宋_GB2312" w:cs="仿宋_GB2312"/>
        </w:rPr>
        <w:tab/>
      </w:r>
      <w:r>
        <w:rPr>
          <w:rFonts w:hint="eastAsia" w:ascii="仿宋_GB2312" w:hAnsi="仿宋_GB2312" w:eastAsia="仿宋_GB2312" w:cs="仿宋_GB2312"/>
        </w:rPr>
        <w:t>5</w:t>
      </w:r>
      <w:r>
        <w:rPr>
          <w:rFonts w:hint="eastAsia" w:ascii="仿宋_GB2312" w:hAnsi="仿宋_GB2312" w:eastAsia="仿宋_GB2312" w:cs="仿宋_GB2312"/>
        </w:rPr>
        <w:fldChar w:fldCharType="end"/>
      </w:r>
      <w:r>
        <w:rPr>
          <w:rFonts w:hint="eastAsia" w:ascii="仿宋_GB2312" w:hAnsi="仿宋_GB2312" w:eastAsia="仿宋_GB2312" w:cs="仿宋_GB2312"/>
        </w:rPr>
        <w:t>0</w:t>
      </w:r>
    </w:p>
    <w:p>
      <w:pPr>
        <w:pStyle w:val="12"/>
        <w:tabs>
          <w:tab w:val="right" w:leader="dot" w:pos="8306"/>
          <w:tab w:val="clear" w:pos="8296"/>
        </w:tabs>
        <w:rPr>
          <w:rFonts w:ascii="仿宋_GB2312" w:hAnsi="仿宋_GB2312" w:eastAsia="仿宋_GB2312" w:cs="仿宋_GB2312"/>
          <w:sz w:val="28"/>
          <w:szCs w:val="28"/>
        </w:rPr>
      </w:pPr>
      <w:r>
        <w:fldChar w:fldCharType="begin"/>
      </w:r>
      <w:r>
        <w:instrText xml:space="preserve"> HYPERLINK \l "_Toc21123" </w:instrText>
      </w:r>
      <w:r>
        <w:fldChar w:fldCharType="separate"/>
      </w:r>
      <w:r>
        <w:rPr>
          <w:rFonts w:hint="eastAsia" w:ascii="仿宋_GB2312" w:hAnsi="仿宋_GB2312" w:eastAsia="仿宋_GB2312" w:cs="仿宋_GB2312"/>
          <w:sz w:val="28"/>
          <w:szCs w:val="28"/>
        </w:rPr>
        <w:t>一、收入支出决算总表</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_Toc21123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50</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pPr>
        <w:pStyle w:val="12"/>
        <w:tabs>
          <w:tab w:val="right" w:leader="dot" w:pos="8306"/>
          <w:tab w:val="clear" w:pos="8296"/>
        </w:tabs>
        <w:rPr>
          <w:rFonts w:ascii="仿宋_GB2312" w:hAnsi="仿宋_GB2312" w:eastAsia="仿宋_GB2312" w:cs="仿宋_GB2312"/>
          <w:sz w:val="28"/>
          <w:szCs w:val="28"/>
        </w:rPr>
      </w:pPr>
      <w:r>
        <w:fldChar w:fldCharType="begin"/>
      </w:r>
      <w:r>
        <w:instrText xml:space="preserve"> HYPERLINK \l "_Toc6765" </w:instrText>
      </w:r>
      <w:r>
        <w:fldChar w:fldCharType="separate"/>
      </w:r>
      <w:r>
        <w:rPr>
          <w:rFonts w:hint="eastAsia" w:ascii="仿宋_GB2312" w:hAnsi="仿宋_GB2312" w:eastAsia="仿宋_GB2312" w:cs="仿宋_GB2312"/>
          <w:sz w:val="28"/>
          <w:szCs w:val="28"/>
        </w:rPr>
        <w:t>二、收入决算表</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_Toc6765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50</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pPr>
        <w:pStyle w:val="12"/>
        <w:tabs>
          <w:tab w:val="right" w:leader="dot" w:pos="8306"/>
          <w:tab w:val="clear" w:pos="8296"/>
        </w:tabs>
        <w:rPr>
          <w:rFonts w:ascii="仿宋_GB2312" w:hAnsi="仿宋_GB2312" w:eastAsia="仿宋_GB2312" w:cs="仿宋_GB2312"/>
          <w:sz w:val="28"/>
          <w:szCs w:val="28"/>
        </w:rPr>
      </w:pPr>
      <w:r>
        <w:fldChar w:fldCharType="begin"/>
      </w:r>
      <w:r>
        <w:instrText xml:space="preserve"> HYPERLINK \l "_Toc31068" </w:instrText>
      </w:r>
      <w:r>
        <w:fldChar w:fldCharType="separate"/>
      </w:r>
      <w:r>
        <w:rPr>
          <w:rFonts w:hint="eastAsia" w:ascii="仿宋_GB2312" w:hAnsi="仿宋_GB2312" w:eastAsia="仿宋_GB2312" w:cs="仿宋_GB2312"/>
          <w:sz w:val="28"/>
          <w:szCs w:val="28"/>
        </w:rPr>
        <w:t>三、支出决算表</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_Toc31068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50</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pPr>
        <w:pStyle w:val="12"/>
        <w:tabs>
          <w:tab w:val="right" w:leader="dot" w:pos="8306"/>
          <w:tab w:val="clear" w:pos="8296"/>
        </w:tabs>
        <w:rPr>
          <w:rFonts w:ascii="仿宋_GB2312" w:hAnsi="仿宋_GB2312" w:eastAsia="仿宋_GB2312" w:cs="仿宋_GB2312"/>
          <w:sz w:val="28"/>
          <w:szCs w:val="28"/>
        </w:rPr>
      </w:pPr>
      <w:r>
        <w:fldChar w:fldCharType="begin"/>
      </w:r>
      <w:r>
        <w:instrText xml:space="preserve"> HYPERLINK \l "_Toc9401" </w:instrText>
      </w:r>
      <w:r>
        <w:fldChar w:fldCharType="separate"/>
      </w:r>
      <w:r>
        <w:rPr>
          <w:rFonts w:hint="eastAsia" w:ascii="仿宋_GB2312" w:hAnsi="仿宋_GB2312" w:eastAsia="仿宋_GB2312" w:cs="仿宋_GB2312"/>
          <w:sz w:val="28"/>
          <w:szCs w:val="28"/>
        </w:rPr>
        <w:t>四、财政拨款收入支出决算总表</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_Toc9401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50</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pPr>
        <w:pStyle w:val="12"/>
        <w:tabs>
          <w:tab w:val="right" w:leader="dot" w:pos="8306"/>
          <w:tab w:val="clear" w:pos="8296"/>
        </w:tabs>
        <w:rPr>
          <w:rFonts w:ascii="仿宋_GB2312" w:hAnsi="仿宋_GB2312" w:eastAsia="仿宋_GB2312" w:cs="仿宋_GB2312"/>
          <w:sz w:val="28"/>
          <w:szCs w:val="28"/>
        </w:rPr>
      </w:pPr>
      <w:r>
        <w:fldChar w:fldCharType="begin"/>
      </w:r>
      <w:r>
        <w:instrText xml:space="preserve"> HYPERLINK \l "_Toc17817" </w:instrText>
      </w:r>
      <w:r>
        <w:fldChar w:fldCharType="separate"/>
      </w:r>
      <w:r>
        <w:rPr>
          <w:rFonts w:hint="eastAsia" w:ascii="仿宋_GB2312" w:hAnsi="仿宋_GB2312" w:eastAsia="仿宋_GB2312" w:cs="仿宋_GB2312"/>
          <w:sz w:val="28"/>
          <w:szCs w:val="28"/>
        </w:rPr>
        <w:t>五、财政拨款支出决算明细表</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_Toc17817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50</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pPr>
        <w:pStyle w:val="12"/>
        <w:tabs>
          <w:tab w:val="right" w:leader="dot" w:pos="8306"/>
          <w:tab w:val="clear" w:pos="8296"/>
        </w:tabs>
        <w:rPr>
          <w:rFonts w:ascii="仿宋_GB2312" w:hAnsi="仿宋_GB2312" w:eastAsia="仿宋_GB2312" w:cs="仿宋_GB2312"/>
          <w:sz w:val="28"/>
          <w:szCs w:val="28"/>
        </w:rPr>
      </w:pPr>
      <w:r>
        <w:fldChar w:fldCharType="begin"/>
      </w:r>
      <w:r>
        <w:instrText xml:space="preserve"> HYPERLINK \l "_Toc18369" </w:instrText>
      </w:r>
      <w:r>
        <w:fldChar w:fldCharType="separate"/>
      </w:r>
      <w:r>
        <w:rPr>
          <w:rFonts w:hint="eastAsia" w:ascii="仿宋_GB2312" w:hAnsi="仿宋_GB2312" w:eastAsia="仿宋_GB2312" w:cs="仿宋_GB2312"/>
          <w:sz w:val="28"/>
          <w:szCs w:val="28"/>
        </w:rPr>
        <w:t>六、一般公共预算财政拨款支出决算表</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_Toc18369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50</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pPr>
        <w:pStyle w:val="12"/>
        <w:tabs>
          <w:tab w:val="right" w:leader="dot" w:pos="8306"/>
          <w:tab w:val="clear" w:pos="8296"/>
        </w:tabs>
        <w:rPr>
          <w:rFonts w:ascii="仿宋_GB2312" w:hAnsi="仿宋_GB2312" w:eastAsia="仿宋_GB2312" w:cs="仿宋_GB2312"/>
          <w:sz w:val="28"/>
          <w:szCs w:val="28"/>
        </w:rPr>
      </w:pPr>
      <w:r>
        <w:fldChar w:fldCharType="begin"/>
      </w:r>
      <w:r>
        <w:instrText xml:space="preserve"> HYPERLINK \l "_Toc27102" </w:instrText>
      </w:r>
      <w:r>
        <w:fldChar w:fldCharType="separate"/>
      </w:r>
      <w:r>
        <w:rPr>
          <w:rFonts w:hint="eastAsia" w:ascii="仿宋_GB2312" w:hAnsi="仿宋_GB2312" w:eastAsia="仿宋_GB2312" w:cs="仿宋_GB2312"/>
          <w:sz w:val="28"/>
          <w:szCs w:val="28"/>
        </w:rPr>
        <w:t>七、一般公共预算财政拨款支出决算明细表</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_Toc27102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50</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pPr>
        <w:pStyle w:val="12"/>
        <w:tabs>
          <w:tab w:val="right" w:leader="dot" w:pos="8306"/>
          <w:tab w:val="clear" w:pos="8296"/>
        </w:tabs>
        <w:rPr>
          <w:rFonts w:ascii="仿宋_GB2312" w:hAnsi="仿宋_GB2312" w:eastAsia="仿宋_GB2312" w:cs="仿宋_GB2312"/>
          <w:sz w:val="28"/>
          <w:szCs w:val="28"/>
        </w:rPr>
      </w:pPr>
      <w:r>
        <w:fldChar w:fldCharType="begin"/>
      </w:r>
      <w:r>
        <w:instrText xml:space="preserve"> HYPERLINK \l "_Toc17657" </w:instrText>
      </w:r>
      <w:r>
        <w:fldChar w:fldCharType="separate"/>
      </w:r>
      <w:r>
        <w:rPr>
          <w:rFonts w:hint="eastAsia" w:ascii="仿宋_GB2312" w:hAnsi="仿宋_GB2312" w:eastAsia="仿宋_GB2312" w:cs="仿宋_GB2312"/>
          <w:sz w:val="28"/>
          <w:szCs w:val="28"/>
        </w:rPr>
        <w:t>八、一般公共预算财政拨款基本支出决算表</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_Toc17657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50</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pPr>
        <w:pStyle w:val="12"/>
        <w:tabs>
          <w:tab w:val="right" w:leader="dot" w:pos="8306"/>
          <w:tab w:val="clear" w:pos="8296"/>
        </w:tabs>
        <w:rPr>
          <w:rFonts w:ascii="仿宋_GB2312" w:hAnsi="仿宋_GB2312" w:eastAsia="仿宋_GB2312" w:cs="仿宋_GB2312"/>
          <w:sz w:val="28"/>
          <w:szCs w:val="28"/>
        </w:rPr>
      </w:pPr>
      <w:r>
        <w:fldChar w:fldCharType="begin"/>
      </w:r>
      <w:r>
        <w:instrText xml:space="preserve"> HYPERLINK \l "_Toc32197" </w:instrText>
      </w:r>
      <w:r>
        <w:fldChar w:fldCharType="separate"/>
      </w:r>
      <w:r>
        <w:rPr>
          <w:rFonts w:hint="eastAsia" w:ascii="仿宋_GB2312" w:hAnsi="仿宋_GB2312" w:eastAsia="仿宋_GB2312" w:cs="仿宋_GB2312"/>
          <w:sz w:val="28"/>
          <w:szCs w:val="28"/>
        </w:rPr>
        <w:t>九、一般公共预算财政拨款项目支出决算表</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_Toc32197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50</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pPr>
        <w:pStyle w:val="12"/>
        <w:tabs>
          <w:tab w:val="right" w:leader="dot" w:pos="8306"/>
          <w:tab w:val="clear" w:pos="8296"/>
        </w:tabs>
        <w:rPr>
          <w:rFonts w:ascii="仿宋_GB2312" w:hAnsi="仿宋_GB2312" w:eastAsia="仿宋_GB2312" w:cs="仿宋_GB2312"/>
          <w:sz w:val="28"/>
          <w:szCs w:val="28"/>
        </w:rPr>
      </w:pPr>
      <w:r>
        <w:fldChar w:fldCharType="begin"/>
      </w:r>
      <w:r>
        <w:instrText xml:space="preserve"> HYPERLINK \l "_Toc2489" </w:instrText>
      </w:r>
      <w:r>
        <w:fldChar w:fldCharType="separate"/>
      </w:r>
      <w:r>
        <w:rPr>
          <w:rFonts w:hint="eastAsia" w:ascii="仿宋_GB2312" w:hAnsi="仿宋_GB2312" w:eastAsia="仿宋_GB2312" w:cs="仿宋_GB2312"/>
          <w:sz w:val="28"/>
          <w:szCs w:val="28"/>
        </w:rPr>
        <w:t>十、一般公共预算财政拨款“三公”经费支出决算表</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_Toc2489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50</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pPr>
        <w:pStyle w:val="12"/>
        <w:tabs>
          <w:tab w:val="right" w:leader="dot" w:pos="8306"/>
          <w:tab w:val="clear" w:pos="8296"/>
        </w:tabs>
        <w:rPr>
          <w:rFonts w:ascii="仿宋_GB2312" w:hAnsi="仿宋_GB2312" w:eastAsia="仿宋_GB2312" w:cs="仿宋_GB2312"/>
          <w:sz w:val="28"/>
          <w:szCs w:val="28"/>
        </w:rPr>
      </w:pPr>
      <w:r>
        <w:fldChar w:fldCharType="begin"/>
      </w:r>
      <w:r>
        <w:instrText xml:space="preserve"> HYPERLINK \l "_Toc17605" </w:instrText>
      </w:r>
      <w:r>
        <w:fldChar w:fldCharType="separate"/>
      </w:r>
      <w:r>
        <w:rPr>
          <w:rFonts w:hint="eastAsia" w:ascii="仿宋_GB2312" w:hAnsi="仿宋_GB2312" w:eastAsia="仿宋_GB2312" w:cs="仿宋_GB2312"/>
          <w:sz w:val="28"/>
          <w:szCs w:val="28"/>
        </w:rPr>
        <w:t>十一、政府性基金预算财政拨款收入支出决算表</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_Toc17605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50</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pPr>
        <w:pStyle w:val="12"/>
        <w:tabs>
          <w:tab w:val="right" w:leader="dot" w:pos="8306"/>
          <w:tab w:val="clear" w:pos="8296"/>
        </w:tabs>
        <w:rPr>
          <w:rFonts w:ascii="仿宋_GB2312" w:hAnsi="仿宋_GB2312" w:eastAsia="仿宋_GB2312" w:cs="仿宋_GB2312"/>
          <w:sz w:val="28"/>
          <w:szCs w:val="28"/>
        </w:rPr>
      </w:pPr>
      <w:r>
        <w:fldChar w:fldCharType="begin"/>
      </w:r>
      <w:r>
        <w:instrText xml:space="preserve"> HYPERLINK \l "_Toc12566" </w:instrText>
      </w:r>
      <w:r>
        <w:fldChar w:fldCharType="separate"/>
      </w:r>
      <w:r>
        <w:rPr>
          <w:rFonts w:hint="eastAsia" w:ascii="仿宋_GB2312" w:hAnsi="仿宋_GB2312" w:eastAsia="仿宋_GB2312" w:cs="仿宋_GB2312"/>
          <w:sz w:val="28"/>
          <w:szCs w:val="28"/>
        </w:rPr>
        <w:t>十二、政府性基金预算财政拨款“三公”经费支出决算表</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_Toc12566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50</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pPr>
        <w:pStyle w:val="12"/>
        <w:tabs>
          <w:tab w:val="right" w:leader="dot" w:pos="8306"/>
          <w:tab w:val="clear" w:pos="8296"/>
        </w:tabs>
        <w:rPr>
          <w:rFonts w:ascii="仿宋_GB2312" w:hAnsi="仿宋_GB2312" w:eastAsia="仿宋_GB2312" w:cs="仿宋_GB2312"/>
          <w:sz w:val="28"/>
          <w:szCs w:val="28"/>
        </w:rPr>
      </w:pPr>
      <w:r>
        <w:fldChar w:fldCharType="begin"/>
      </w:r>
      <w:r>
        <w:instrText xml:space="preserve"> HYPERLINK \l "_Toc9523" </w:instrText>
      </w:r>
      <w:r>
        <w:fldChar w:fldCharType="separate"/>
      </w:r>
      <w:r>
        <w:rPr>
          <w:rFonts w:hint="eastAsia" w:ascii="仿宋_GB2312" w:hAnsi="仿宋_GB2312" w:eastAsia="仿宋_GB2312" w:cs="仿宋_GB2312"/>
          <w:sz w:val="28"/>
          <w:szCs w:val="28"/>
        </w:rPr>
        <w:t>十三、国有资本经营预算财政拨款支出决算表</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_Toc9523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50</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pPr>
        <w:widowControl/>
        <w:adjustRightInd w:val="0"/>
        <w:snapToGrid w:val="0"/>
        <w:spacing w:line="440" w:lineRule="exact"/>
        <w:ind w:firstLine="1540" w:firstLineChars="550"/>
        <w:jc w:val="left"/>
        <w:rPr>
          <w:rFonts w:ascii="仿宋" w:hAnsi="仿宋" w:eastAsia="仿宋"/>
          <w:color w:val="FF0000"/>
          <w:sz w:val="24"/>
        </w:rPr>
      </w:pPr>
      <w:r>
        <w:rPr>
          <w:rFonts w:hint="eastAsia" w:ascii="仿宋_GB2312" w:hAnsi="仿宋_GB2312" w:eastAsia="仿宋_GB2312" w:cs="仿宋_GB2312"/>
          <w:sz w:val="28"/>
          <w:szCs w:val="28"/>
        </w:rPr>
        <w:fldChar w:fldCharType="end"/>
      </w:r>
    </w:p>
    <w:p>
      <w:pPr>
        <w:widowControl/>
        <w:spacing w:line="440" w:lineRule="exact"/>
        <w:jc w:val="left"/>
        <w:rPr>
          <w:rFonts w:ascii="仿宋" w:hAnsi="仿宋" w:eastAsia="仿宋"/>
          <w:bCs/>
          <w:kern w:val="44"/>
          <w:sz w:val="24"/>
        </w:rPr>
      </w:pPr>
      <w:bookmarkStart w:id="12" w:name="_Toc15396599"/>
      <w:bookmarkStart w:id="13" w:name="_Toc15377196"/>
      <w:r>
        <w:rPr>
          <w:rFonts w:ascii="仿宋" w:hAnsi="仿宋" w:eastAsia="仿宋"/>
          <w:b/>
          <w:sz w:val="24"/>
        </w:rPr>
        <w:br w:type="page"/>
      </w:r>
    </w:p>
    <w:p>
      <w:pPr>
        <w:pStyle w:val="3"/>
        <w:jc w:val="center"/>
        <w:rPr>
          <w:rStyle w:val="24"/>
          <w:rFonts w:ascii="黑体" w:hAnsi="黑体" w:eastAsia="黑体"/>
          <w:b/>
          <w:bCs w:val="0"/>
        </w:rPr>
      </w:pPr>
      <w:r>
        <w:rPr>
          <w:rFonts w:hint="eastAsia" w:ascii="黑体" w:hAnsi="黑体" w:eastAsia="黑体"/>
          <w:b w:val="0"/>
        </w:rPr>
        <w:t xml:space="preserve">第一部分 </w:t>
      </w:r>
      <w:r>
        <w:rPr>
          <w:rStyle w:val="24"/>
          <w:rFonts w:hint="eastAsia" w:ascii="黑体" w:hAnsi="黑体" w:eastAsia="黑体"/>
          <w:b w:val="0"/>
          <w:bCs w:val="0"/>
        </w:rPr>
        <w:t>部门概况</w:t>
      </w:r>
      <w:bookmarkEnd w:id="12"/>
      <w:bookmarkEnd w:id="13"/>
    </w:p>
    <w:p>
      <w:pPr>
        <w:widowControl/>
        <w:jc w:val="left"/>
        <w:rPr>
          <w:rFonts w:ascii="黑体" w:eastAsia="黑体"/>
          <w:color w:val="000000"/>
          <w:sz w:val="32"/>
          <w:szCs w:val="32"/>
        </w:rPr>
      </w:pPr>
    </w:p>
    <w:p>
      <w:pPr>
        <w:pStyle w:val="4"/>
        <w:rPr>
          <w:rStyle w:val="25"/>
          <w:rFonts w:ascii="仿宋" w:hAnsi="仿宋" w:eastAsia="仿宋"/>
          <w:b w:val="0"/>
          <w:bCs w:val="0"/>
        </w:rPr>
      </w:pPr>
      <w:bookmarkStart w:id="14" w:name="_Toc15396600"/>
      <w:bookmarkStart w:id="15" w:name="_Toc15377197"/>
      <w:r>
        <w:rPr>
          <w:rFonts w:hint="eastAsia" w:ascii="黑体" w:hAnsi="黑体" w:eastAsia="黑体"/>
          <w:b w:val="0"/>
          <w:color w:val="000000"/>
        </w:rPr>
        <w:t>一、基</w:t>
      </w:r>
      <w:r>
        <w:rPr>
          <w:rStyle w:val="25"/>
          <w:rFonts w:hint="eastAsia" w:ascii="黑体" w:hAnsi="黑体" w:eastAsia="黑体"/>
          <w:b w:val="0"/>
          <w:bCs w:val="0"/>
        </w:rPr>
        <w:t>本职能及主要工作</w:t>
      </w:r>
      <w:bookmarkEnd w:id="14"/>
      <w:bookmarkEnd w:id="15"/>
    </w:p>
    <w:p>
      <w:pPr>
        <w:pStyle w:val="6"/>
        <w:adjustRightInd w:val="0"/>
        <w:snapToGrid w:val="0"/>
        <w:spacing w:before="93" w:line="600" w:lineRule="exact"/>
        <w:ind w:firstLine="672" w:firstLineChars="210"/>
        <w:outlineLvl w:val="2"/>
        <w:rPr>
          <w:rFonts w:ascii="仿宋" w:hAnsi="仿宋" w:eastAsia="仿宋"/>
          <w:bCs/>
          <w:color w:val="000000"/>
          <w:sz w:val="32"/>
          <w:szCs w:val="32"/>
        </w:rPr>
      </w:pPr>
      <w:bookmarkStart w:id="16" w:name="_Toc15378445"/>
      <w:bookmarkStart w:id="17" w:name="_Toc15377198"/>
      <w:r>
        <w:rPr>
          <w:rFonts w:hint="eastAsia" w:ascii="仿宋" w:hAnsi="仿宋" w:eastAsia="仿宋"/>
          <w:bCs/>
          <w:color w:val="000000"/>
          <w:sz w:val="32"/>
          <w:szCs w:val="32"/>
        </w:rPr>
        <w:t>（一）主要职能。</w:t>
      </w:r>
      <w:bookmarkEnd w:id="16"/>
      <w:bookmarkEnd w:id="17"/>
    </w:p>
    <w:p>
      <w:pPr>
        <w:spacing w:line="576"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1、执行党和国家的各项方针、政策、法令、法规，在区委、区政府领导下完成各项任务。</w:t>
      </w:r>
    </w:p>
    <w:p>
      <w:pPr>
        <w:spacing w:line="576" w:lineRule="exact"/>
        <w:ind w:firstLine="627" w:firstLineChars="196"/>
        <w:rPr>
          <w:rFonts w:ascii="仿宋_GB2312" w:eastAsia="仿宋_GB2312"/>
          <w:color w:val="000000"/>
          <w:sz w:val="32"/>
          <w:szCs w:val="32"/>
        </w:rPr>
      </w:pPr>
      <w:r>
        <w:rPr>
          <w:rFonts w:hint="eastAsia" w:ascii="仿宋_GB2312" w:eastAsia="仿宋_GB2312"/>
          <w:color w:val="000000"/>
          <w:sz w:val="32"/>
          <w:szCs w:val="32"/>
        </w:rPr>
        <w:t>2、建设社会主义物质文明和精神文明，以经济建设为中心，发展金洞企业以及与村民密切相关的第三产业。</w:t>
      </w:r>
    </w:p>
    <w:p>
      <w:pPr>
        <w:spacing w:line="576" w:lineRule="exact"/>
        <w:ind w:firstLine="627" w:firstLineChars="196"/>
        <w:rPr>
          <w:rFonts w:ascii="仿宋_GB2312" w:eastAsia="仿宋_GB2312"/>
          <w:color w:val="000000"/>
          <w:sz w:val="32"/>
          <w:szCs w:val="32"/>
        </w:rPr>
      </w:pPr>
      <w:r>
        <w:rPr>
          <w:rFonts w:hint="eastAsia" w:ascii="仿宋_GB2312" w:eastAsia="仿宋_GB2312"/>
          <w:color w:val="000000"/>
          <w:sz w:val="32"/>
          <w:szCs w:val="32"/>
        </w:rPr>
        <w:t>3、负责辖区内的社会治安综合治理，人民调解、法律服务工作，依照有关规定管理外来流动人员。</w:t>
      </w:r>
    </w:p>
    <w:p>
      <w:pPr>
        <w:spacing w:line="576" w:lineRule="exact"/>
        <w:ind w:firstLine="627" w:firstLineChars="196"/>
        <w:rPr>
          <w:rFonts w:ascii="仿宋_GB2312" w:eastAsia="仿宋_GB2312"/>
          <w:color w:val="000000"/>
          <w:sz w:val="32"/>
          <w:szCs w:val="32"/>
        </w:rPr>
      </w:pPr>
      <w:r>
        <w:rPr>
          <w:rFonts w:hint="eastAsia" w:ascii="仿宋_GB2312" w:eastAsia="仿宋_GB2312"/>
          <w:color w:val="000000"/>
          <w:sz w:val="32"/>
          <w:szCs w:val="32"/>
        </w:rPr>
        <w:t>4、开展社区服务、拥军优属工作，负责社区优抚、社会救济、社会福利、社区文化、科普、体育、教育工作。</w:t>
      </w:r>
    </w:p>
    <w:p>
      <w:pPr>
        <w:spacing w:line="576" w:lineRule="exact"/>
        <w:ind w:firstLine="627" w:firstLineChars="196"/>
        <w:rPr>
          <w:rFonts w:ascii="仿宋_GB2312" w:eastAsia="仿宋_GB2312"/>
          <w:color w:val="000000"/>
          <w:sz w:val="32"/>
          <w:szCs w:val="32"/>
        </w:rPr>
      </w:pPr>
      <w:r>
        <w:rPr>
          <w:rFonts w:hint="eastAsia" w:ascii="仿宋_GB2312" w:eastAsia="仿宋_GB2312"/>
          <w:color w:val="000000"/>
          <w:sz w:val="32"/>
          <w:szCs w:val="32"/>
        </w:rPr>
        <w:t>5、按照职责范围做好城市建设管理监察、计划生育、爱国卫生、市容环境卫生、环境保护、劳动就业、安全生产等管理工作。</w:t>
      </w:r>
    </w:p>
    <w:p>
      <w:pPr>
        <w:spacing w:line="576" w:lineRule="exact"/>
        <w:ind w:firstLine="627" w:firstLineChars="196"/>
        <w:rPr>
          <w:rFonts w:ascii="仿宋_GB2312" w:eastAsia="仿宋_GB2312"/>
          <w:color w:val="000000"/>
          <w:sz w:val="32"/>
          <w:szCs w:val="32"/>
        </w:rPr>
      </w:pPr>
      <w:r>
        <w:rPr>
          <w:rFonts w:hint="eastAsia" w:ascii="仿宋_GB2312" w:eastAsia="仿宋_GB2312"/>
          <w:color w:val="000000"/>
          <w:sz w:val="32"/>
          <w:szCs w:val="32"/>
        </w:rPr>
        <w:t>6、配合有关部门做好防汛、防风、防火、防震、抢险和防灾救灾工作。</w:t>
      </w:r>
    </w:p>
    <w:p>
      <w:pPr>
        <w:spacing w:line="576" w:lineRule="exact"/>
        <w:ind w:firstLine="627" w:firstLineChars="196"/>
        <w:rPr>
          <w:rFonts w:ascii="仿宋_GB2312" w:eastAsia="仿宋_GB2312"/>
          <w:color w:val="000000"/>
          <w:sz w:val="32"/>
          <w:szCs w:val="32"/>
        </w:rPr>
      </w:pPr>
      <w:r>
        <w:rPr>
          <w:rFonts w:hint="eastAsia" w:ascii="仿宋_GB2312" w:eastAsia="仿宋_GB2312"/>
          <w:color w:val="000000"/>
          <w:sz w:val="32"/>
          <w:szCs w:val="32"/>
        </w:rPr>
        <w:t>7、维护老年人、妇女、儿童、青少年和残疾人的合法权益，尊重少数民族的风俗习惯和保障少数民族的权益。</w:t>
      </w:r>
    </w:p>
    <w:p>
      <w:pPr>
        <w:spacing w:line="576" w:lineRule="exact"/>
        <w:ind w:firstLine="627" w:firstLineChars="196"/>
        <w:rPr>
          <w:rFonts w:ascii="仿宋_GB2312" w:eastAsia="仿宋_GB2312"/>
          <w:color w:val="000000"/>
          <w:sz w:val="32"/>
          <w:szCs w:val="32"/>
        </w:rPr>
      </w:pPr>
      <w:r>
        <w:rPr>
          <w:rFonts w:hint="eastAsia" w:ascii="仿宋_GB2312" w:eastAsia="仿宋_GB2312"/>
          <w:color w:val="000000"/>
          <w:sz w:val="32"/>
          <w:szCs w:val="32"/>
        </w:rPr>
        <w:t>8、指导和帮助村、社区的工作，促进村、社区的依法建设和发挥自我教育、自我管理、自我服务的作用。</w:t>
      </w:r>
    </w:p>
    <w:p>
      <w:pPr>
        <w:spacing w:line="576" w:lineRule="exact"/>
        <w:ind w:firstLine="627" w:firstLineChars="196"/>
        <w:rPr>
          <w:rFonts w:ascii="仿宋" w:hAnsi="仿宋" w:eastAsia="仿宋"/>
          <w:bCs/>
          <w:color w:val="000000"/>
          <w:sz w:val="32"/>
          <w:szCs w:val="32"/>
        </w:rPr>
      </w:pPr>
      <w:r>
        <w:rPr>
          <w:rFonts w:hint="eastAsia" w:ascii="仿宋_GB2312" w:eastAsia="仿宋_GB2312"/>
          <w:color w:val="000000"/>
          <w:sz w:val="32"/>
          <w:szCs w:val="32"/>
        </w:rPr>
        <w:t>9、向市、区人民政府反映群众的意见和要求，办理人民群众的来信来访等事项。</w:t>
      </w:r>
    </w:p>
    <w:p>
      <w:pPr>
        <w:pStyle w:val="6"/>
        <w:adjustRightInd w:val="0"/>
        <w:snapToGrid w:val="0"/>
        <w:spacing w:before="93" w:line="600" w:lineRule="exact"/>
        <w:ind w:firstLine="672" w:firstLineChars="210"/>
        <w:outlineLvl w:val="2"/>
        <w:rPr>
          <w:rFonts w:ascii="仿宋" w:hAnsi="仿宋" w:eastAsia="仿宋"/>
          <w:bCs/>
          <w:color w:val="000000"/>
          <w:sz w:val="32"/>
          <w:szCs w:val="32"/>
        </w:rPr>
      </w:pPr>
      <w:bookmarkStart w:id="18" w:name="_Toc15378446"/>
      <w:bookmarkStart w:id="19" w:name="_Toc15377199"/>
      <w:r>
        <w:rPr>
          <w:rFonts w:hint="eastAsia" w:ascii="仿宋" w:hAnsi="仿宋" w:eastAsia="仿宋"/>
          <w:bCs/>
          <w:color w:val="000000"/>
          <w:sz w:val="32"/>
          <w:szCs w:val="32"/>
        </w:rPr>
        <w:t>（二）</w:t>
      </w:r>
      <w:r>
        <w:rPr>
          <w:rFonts w:ascii="仿宋" w:hAnsi="仿宋" w:eastAsia="仿宋"/>
          <w:bCs/>
          <w:color w:val="000000"/>
          <w:sz w:val="32"/>
          <w:szCs w:val="32"/>
        </w:rPr>
        <w:t>20</w:t>
      </w:r>
      <w:r>
        <w:rPr>
          <w:rFonts w:hint="eastAsia" w:ascii="仿宋" w:hAnsi="仿宋" w:eastAsia="仿宋"/>
          <w:bCs/>
          <w:color w:val="000000"/>
          <w:sz w:val="32"/>
          <w:szCs w:val="32"/>
        </w:rPr>
        <w:t>20年重点工作完成情况。</w:t>
      </w:r>
      <w:bookmarkEnd w:id="18"/>
      <w:bookmarkEnd w:id="19"/>
    </w:p>
    <w:p>
      <w:pPr>
        <w:spacing w:line="576" w:lineRule="exact"/>
        <w:ind w:firstLine="800" w:firstLineChars="250"/>
        <w:rPr>
          <w:rFonts w:ascii="仿宋_GB2312" w:eastAsia="仿宋_GB2312"/>
          <w:color w:val="000000"/>
          <w:kern w:val="0"/>
          <w:sz w:val="32"/>
          <w:szCs w:val="32"/>
        </w:rPr>
      </w:pPr>
      <w:r>
        <w:rPr>
          <w:rFonts w:hint="eastAsia" w:ascii="仿宋_GB2312" w:eastAsia="仿宋_GB2312"/>
          <w:color w:val="000000"/>
          <w:kern w:val="0"/>
          <w:sz w:val="32"/>
          <w:szCs w:val="32"/>
        </w:rPr>
        <w:t>2020年，金洞乡全力做好项目推进、产业扶贫、农业产业发展、生态康养旅游等经济发展工作。</w:t>
      </w:r>
    </w:p>
    <w:p>
      <w:pPr>
        <w:widowControl/>
        <w:shd w:val="clear" w:color="auto" w:fill="FFFFFF"/>
        <w:snapToGrid w:val="0"/>
        <w:spacing w:line="576" w:lineRule="exact"/>
        <w:ind w:firstLine="640"/>
        <w:jc w:val="left"/>
        <w:rPr>
          <w:rFonts w:eastAsia="仿宋_GB2312"/>
          <w:color w:val="000000"/>
          <w:kern w:val="0"/>
          <w:sz w:val="32"/>
          <w:szCs w:val="32"/>
          <w:shd w:val="clear" w:color="auto" w:fill="FFFFFF"/>
        </w:rPr>
      </w:pPr>
      <w:r>
        <w:rPr>
          <w:rFonts w:hint="eastAsia" w:ascii="仿宋_GB2312" w:eastAsia="仿宋_GB2312"/>
          <w:color w:val="000000"/>
          <w:kern w:val="0"/>
          <w:sz w:val="32"/>
          <w:szCs w:val="32"/>
        </w:rPr>
        <w:t>1.强化疫情防控，严防疫情输入，打赢疫情阻击战。</w:t>
      </w:r>
      <w:r>
        <w:rPr>
          <w:rFonts w:eastAsia="仿宋_GB2312"/>
          <w:color w:val="000000"/>
          <w:kern w:val="0"/>
          <w:sz w:val="32"/>
          <w:szCs w:val="32"/>
          <w:shd w:val="clear" w:color="auto" w:fill="FFFFFF"/>
        </w:rPr>
        <w:t>今年伊始，新冠肺炎疫情突如其来。我们坚定以习近平总书记系列重要讲话精神为指导，全面落实省市区决策部署，主动作为、精准应对，打响了一场没有硝烟的疫情防控人民战争、总体战、阻击战，全乡保持了确诊病例、疑似病例“双零”记录。一是闻令而动、快速响应。疫情发生后，乡党委政府立即落实区委区政府工作要求，全乡干部大年初二全员到岗上班，成立金洞乡疫情防控领导小组，发动14名网格员、350余名基层党员干部和志愿者，构建起乡村两级“联防联控、群防群治”组织体系。</w:t>
      </w:r>
      <w:r>
        <w:rPr>
          <w:rFonts w:hint="eastAsia" w:eastAsia="仿宋_GB2312"/>
          <w:color w:val="000000"/>
          <w:kern w:val="0"/>
          <w:sz w:val="32"/>
          <w:szCs w:val="32"/>
          <w:shd w:val="clear" w:color="auto" w:fill="FFFFFF"/>
        </w:rPr>
        <w:t>二是抓早动快、精细排查。</w:t>
      </w:r>
      <w:r>
        <w:rPr>
          <w:rFonts w:eastAsia="仿宋_GB2312"/>
          <w:color w:val="000000"/>
          <w:kern w:val="0"/>
          <w:sz w:val="32"/>
          <w:szCs w:val="32"/>
          <w:shd w:val="clear" w:color="auto" w:fill="FFFFFF"/>
        </w:rPr>
        <w:t>因时因势动态调整防控策略，严格落实“四早”要求，分类执行申报登记、居家观察、核酸检测等健康管理措施，坚决避免交叉感染，综合运用交通卡口、大数据等方式，对重点地区来（返）区人员、确诊疑似病例密切接触者进行全覆盖、滚动式排查，织牢疫情防控安全网。</w:t>
      </w:r>
      <w:r>
        <w:rPr>
          <w:rFonts w:hint="eastAsia" w:eastAsia="仿宋_GB2312"/>
          <w:color w:val="000000"/>
          <w:kern w:val="0"/>
          <w:sz w:val="32"/>
          <w:szCs w:val="32"/>
          <w:shd w:val="clear" w:color="auto" w:fill="FFFFFF"/>
        </w:rPr>
        <w:t>三是统筹兼顾、复耕复工。</w:t>
      </w:r>
      <w:r>
        <w:rPr>
          <w:rFonts w:eastAsia="仿宋_GB2312"/>
          <w:color w:val="000000"/>
          <w:kern w:val="0"/>
          <w:sz w:val="32"/>
          <w:szCs w:val="32"/>
          <w:shd w:val="clear" w:color="auto" w:fill="FFFFFF"/>
        </w:rPr>
        <w:t>在严格落实防控措施前提下，统筹推进疫情防控和经济社会发展，2月下旬，不误农时抓春耕，全乡粮油播种面积9000余亩，深入开展“春风行动”，办理城乡居民外出务工健康证明800余份，积极对接重庆、成都、浙江等地用工需求，输送外出农民工3249人，农民工返岗率达95%。</w:t>
      </w:r>
    </w:p>
    <w:p>
      <w:pPr>
        <w:widowControl/>
        <w:shd w:val="clear" w:color="auto" w:fill="FFFFFF"/>
        <w:snapToGrid w:val="0"/>
        <w:spacing w:line="576" w:lineRule="exact"/>
        <w:ind w:firstLine="640"/>
        <w:jc w:val="left"/>
        <w:rPr>
          <w:rFonts w:eastAsia="仿宋_GB2312"/>
          <w:color w:val="000000"/>
          <w:kern w:val="0"/>
          <w:sz w:val="32"/>
          <w:szCs w:val="32"/>
          <w:shd w:val="clear" w:color="auto" w:fill="FFFFFF"/>
        </w:rPr>
      </w:pPr>
      <w:r>
        <w:rPr>
          <w:rFonts w:hint="eastAsia" w:eastAsia="仿宋_GB2312"/>
          <w:color w:val="000000"/>
          <w:kern w:val="0"/>
          <w:sz w:val="32"/>
          <w:szCs w:val="32"/>
          <w:shd w:val="clear" w:color="auto" w:fill="FFFFFF"/>
        </w:rPr>
        <w:t>2.</w:t>
      </w:r>
      <w:r>
        <w:rPr>
          <w:rFonts w:eastAsia="仿宋_GB2312"/>
          <w:color w:val="000000"/>
          <w:kern w:val="0"/>
          <w:sz w:val="32"/>
          <w:szCs w:val="32"/>
          <w:shd w:val="clear" w:color="auto" w:fill="FFFFFF"/>
        </w:rPr>
        <w:t>扭住发展龙头，调整产业结构，经济健康发展。今年以来，全乡地区生产总值达到1.33亿元，同比增长10%，农民人均纯收入达到13636元，同比增长10%。</w:t>
      </w:r>
      <w:r>
        <w:rPr>
          <w:rFonts w:hint="eastAsia" w:eastAsia="仿宋_GB2312"/>
          <w:color w:val="000000"/>
          <w:kern w:val="0"/>
          <w:sz w:val="32"/>
          <w:szCs w:val="32"/>
          <w:shd w:val="clear" w:color="auto" w:fill="FFFFFF"/>
        </w:rPr>
        <w:t>一是全力以赴抓项目投资。</w:t>
      </w:r>
      <w:r>
        <w:rPr>
          <w:rFonts w:eastAsia="仿宋_GB2312"/>
          <w:color w:val="000000"/>
          <w:kern w:val="0"/>
          <w:sz w:val="32"/>
          <w:szCs w:val="32"/>
          <w:shd w:val="clear" w:color="auto" w:fill="FFFFFF"/>
        </w:rPr>
        <w:t>加大重点项目跟进力度，全面摸排辖区交通、水利、农业项目，整合包装新项目，力争做到应入必入，截止目前，全乡共完成固定资产投资2亿元，占目标任务的108%。</w:t>
      </w:r>
      <w:r>
        <w:rPr>
          <w:rFonts w:hint="eastAsia" w:eastAsia="仿宋_GB2312"/>
          <w:color w:val="000000"/>
          <w:kern w:val="0"/>
          <w:sz w:val="32"/>
          <w:szCs w:val="32"/>
          <w:shd w:val="clear" w:color="auto" w:fill="FFFFFF"/>
        </w:rPr>
        <w:t>二是持续调整产业结构。</w:t>
      </w:r>
      <w:r>
        <w:rPr>
          <w:rFonts w:eastAsia="仿宋_GB2312"/>
          <w:color w:val="000000"/>
          <w:kern w:val="0"/>
          <w:sz w:val="32"/>
          <w:szCs w:val="32"/>
          <w:shd w:val="clear" w:color="auto" w:fill="FFFFFF"/>
        </w:rPr>
        <w:t>大力进行农业产业结构调整，发展高效农业，提升发展质量，全乡新发展中药材150亩，发展笋用竹400亩，黄金叶茶叶320亩，油茶果基地260亩，猕猴桃产业300亩，店子村高质量新建省级现代农业园区一个</w:t>
      </w:r>
      <w:r>
        <w:rPr>
          <w:rFonts w:hint="eastAsia" w:eastAsia="仿宋_GB2312"/>
          <w:color w:val="000000"/>
          <w:kern w:val="0"/>
          <w:sz w:val="32"/>
          <w:szCs w:val="32"/>
          <w:shd w:val="clear" w:color="auto" w:fill="FFFFFF"/>
        </w:rPr>
        <w:t>，并成功创建乡村振兴示范村</w:t>
      </w:r>
      <w:r>
        <w:rPr>
          <w:rFonts w:eastAsia="仿宋_GB2312"/>
          <w:color w:val="000000"/>
          <w:kern w:val="0"/>
          <w:sz w:val="32"/>
          <w:szCs w:val="32"/>
          <w:shd w:val="clear" w:color="auto" w:fill="FFFFFF"/>
        </w:rPr>
        <w:t>。</w:t>
      </w:r>
      <w:r>
        <w:rPr>
          <w:rFonts w:hint="eastAsia" w:eastAsia="仿宋_GB2312"/>
          <w:color w:val="000000"/>
          <w:kern w:val="0"/>
          <w:sz w:val="32"/>
          <w:szCs w:val="32"/>
          <w:shd w:val="clear" w:color="auto" w:fill="FFFFFF"/>
        </w:rPr>
        <w:t>三是全面推进主导产业。</w:t>
      </w:r>
      <w:r>
        <w:rPr>
          <w:rFonts w:eastAsia="仿宋_GB2312"/>
          <w:color w:val="000000"/>
          <w:kern w:val="0"/>
          <w:sz w:val="32"/>
          <w:szCs w:val="32"/>
          <w:shd w:val="clear" w:color="auto" w:fill="FFFFFF"/>
        </w:rPr>
        <w:t>继续围绕食用菌产业发展，新增玉木耳产业园一处，一伞四耳的食用菌发展体系基本形成，新建食用菌烘干房5处，深化与食味轩食品有限公司合作，签订百吨供销协议，食用菌年产值突破1000万元。</w:t>
      </w:r>
    </w:p>
    <w:p>
      <w:pPr>
        <w:spacing w:line="576" w:lineRule="exact"/>
        <w:ind w:firstLine="640" w:firstLineChars="200"/>
        <w:rPr>
          <w:rFonts w:eastAsia="仿宋_GB2312"/>
          <w:color w:val="000000"/>
          <w:kern w:val="0"/>
          <w:sz w:val="32"/>
          <w:szCs w:val="32"/>
          <w:shd w:val="clear" w:color="auto" w:fill="FFFFFF"/>
        </w:rPr>
      </w:pPr>
      <w:r>
        <w:rPr>
          <w:rFonts w:hint="eastAsia" w:eastAsia="仿宋_GB2312"/>
          <w:color w:val="000000"/>
          <w:kern w:val="0"/>
          <w:sz w:val="32"/>
          <w:szCs w:val="32"/>
          <w:shd w:val="clear" w:color="auto" w:fill="FFFFFF"/>
        </w:rPr>
        <w:t>3.狠抓环境治理，夯实基础设施，环境更加优化。一是基础设施全面加强。</w:t>
      </w:r>
      <w:r>
        <w:rPr>
          <w:rFonts w:eastAsia="仿宋_GB2312"/>
          <w:color w:val="000000"/>
          <w:kern w:val="0"/>
          <w:sz w:val="32"/>
          <w:szCs w:val="32"/>
          <w:shd w:val="clear" w:color="auto" w:fill="FFFFFF"/>
        </w:rPr>
        <w:t>硬化农村通组道路21公里，维修技改山坪塘3口，新建蓄水池5口，渠系配套2.5公里，铺设管网5500米，新增有效灌面85亩，改善灌面75亩，新增蓄水能力2.1万方，新增节水灌面125亩，农业基础设施进一步加强。</w:t>
      </w:r>
      <w:r>
        <w:rPr>
          <w:rFonts w:hint="eastAsia" w:eastAsia="仿宋_GB2312"/>
          <w:color w:val="000000"/>
          <w:kern w:val="0"/>
          <w:sz w:val="32"/>
          <w:szCs w:val="32"/>
          <w:shd w:val="clear" w:color="auto" w:fill="FFFFFF"/>
        </w:rPr>
        <w:t>二是人居环境全面提升。</w:t>
      </w:r>
      <w:r>
        <w:rPr>
          <w:rFonts w:eastAsia="仿宋_GB2312"/>
          <w:color w:val="000000"/>
          <w:kern w:val="0"/>
          <w:sz w:val="32"/>
          <w:szCs w:val="32"/>
          <w:shd w:val="clear" w:color="auto" w:fill="FFFFFF"/>
        </w:rPr>
        <w:t>成立环境保护工作领导小组，设立环境保护工作站，制定工作方案，完善工作机制。加大供水站、白龙湖湖面等重点部位保护力度，对3家污染源进行全面普查，加大面源污染治理，成功创建金龙、清河村省级卫生村。</w:t>
      </w:r>
      <w:r>
        <w:rPr>
          <w:rFonts w:hint="eastAsia" w:eastAsia="仿宋_GB2312"/>
          <w:color w:val="000000"/>
          <w:kern w:val="0"/>
          <w:sz w:val="32"/>
          <w:szCs w:val="32"/>
          <w:shd w:val="clear" w:color="auto" w:fill="FFFFFF"/>
        </w:rPr>
        <w:t>三是大力推进河长制工作。</w:t>
      </w:r>
      <w:r>
        <w:rPr>
          <w:rFonts w:eastAsia="仿宋_GB2312"/>
          <w:color w:val="000000"/>
          <w:kern w:val="0"/>
          <w:sz w:val="32"/>
          <w:szCs w:val="32"/>
          <w:shd w:val="clear" w:color="auto" w:fill="FFFFFF"/>
        </w:rPr>
        <w:t>加强河长制工作宣传力度，制定白龙江、唐天溪一河一策方案，完善河长制信息通报制度，落实河长制各项工作制度，规范管理钓鱼平台。</w:t>
      </w:r>
    </w:p>
    <w:p>
      <w:pPr>
        <w:spacing w:line="576" w:lineRule="exact"/>
        <w:ind w:firstLine="640" w:firstLineChars="200"/>
        <w:rPr>
          <w:rFonts w:eastAsia="仿宋_GB2312"/>
          <w:color w:val="000000"/>
          <w:kern w:val="0"/>
          <w:sz w:val="32"/>
          <w:szCs w:val="32"/>
          <w:shd w:val="clear" w:color="auto" w:fill="FFFFFF"/>
        </w:rPr>
      </w:pPr>
      <w:r>
        <w:rPr>
          <w:rFonts w:hint="eastAsia" w:eastAsia="仿宋_GB2312"/>
          <w:color w:val="000000"/>
          <w:kern w:val="0"/>
          <w:sz w:val="32"/>
          <w:szCs w:val="32"/>
          <w:shd w:val="clear" w:color="auto" w:fill="FFFFFF"/>
        </w:rPr>
        <w:t>4.</w:t>
      </w:r>
      <w:r>
        <w:rPr>
          <w:rFonts w:eastAsia="仿宋_GB2312"/>
          <w:color w:val="000000"/>
          <w:kern w:val="0"/>
          <w:sz w:val="32"/>
          <w:szCs w:val="32"/>
          <w:shd w:val="clear" w:color="auto" w:fill="FFFFFF"/>
        </w:rPr>
        <w:t>聚焦脱贫攻坚，强化帮扶成效，目标任务全面完成。一是巩固脱贫成效。持续巩固505户1735名贫困群众脱贫成效，构建阻击返贫预警机制，全面监测返贫风险，创新性提出三户定级</w:t>
      </w:r>
      <w:r>
        <w:rPr>
          <w:rFonts w:eastAsia="仿宋_GB2312"/>
          <w:color w:val="000000"/>
          <w:kern w:val="0"/>
          <w:sz w:val="32"/>
          <w:szCs w:val="32"/>
        </w:rPr>
        <w:t>，形成风险户产业帮扶，临困户临时救助，遇困户政策扶持的具体措施，截止目前全乡无一户发生返贫情况。</w:t>
      </w:r>
      <w:r>
        <w:rPr>
          <w:rFonts w:eastAsia="仿宋_GB2312"/>
          <w:color w:val="000000"/>
          <w:kern w:val="0"/>
          <w:sz w:val="32"/>
          <w:szCs w:val="32"/>
          <w:shd w:val="clear" w:color="auto" w:fill="FFFFFF"/>
        </w:rPr>
        <w:t>获得2020年度全市脱贫攻坚组织创新奖。二是强化帮扶成效。举办帮扶力量培训4次，宣传报道第一书记脱贫攻坚优秀事迹4人次，开展发展产业现场会4场次，松柏村投入党建扶贫资金引进玉木耳产业，产销势头强劲，“以购代扶”农产品销售产值达18.64万元，成功认证石青金耳、松柏香菇等扶贫示范产品为“四川扶贫”有机农产品。三是加强问题整改。开展脱贫攻坚百日攻坚三轮大排查，共查找梳理问题28个，全部整改完毕，接受市、区两级各类脱贫攻坚督查检查8次，顺利通过省脱贫攻坚成效考核，脱贫成效进一步提高。</w:t>
      </w:r>
    </w:p>
    <w:p>
      <w:pPr>
        <w:spacing w:line="576" w:lineRule="exact"/>
        <w:ind w:firstLine="640" w:firstLineChars="200"/>
        <w:rPr>
          <w:rFonts w:eastAsia="仿宋_GB2312"/>
          <w:color w:val="000000"/>
          <w:kern w:val="0"/>
          <w:sz w:val="32"/>
          <w:szCs w:val="32"/>
          <w:shd w:val="clear" w:color="auto" w:fill="FFFFFF"/>
        </w:rPr>
      </w:pPr>
      <w:r>
        <w:rPr>
          <w:rFonts w:hint="eastAsia" w:eastAsia="仿宋_GB2312"/>
          <w:color w:val="000000"/>
          <w:kern w:val="0"/>
          <w:sz w:val="32"/>
          <w:szCs w:val="32"/>
          <w:shd w:val="clear" w:color="auto" w:fill="FFFFFF"/>
        </w:rPr>
        <w:t>5.</w:t>
      </w:r>
      <w:r>
        <w:rPr>
          <w:rFonts w:eastAsia="仿宋_GB2312"/>
          <w:color w:val="000000"/>
          <w:kern w:val="0"/>
          <w:sz w:val="32"/>
          <w:szCs w:val="32"/>
          <w:shd w:val="clear" w:color="auto" w:fill="FFFFFF"/>
        </w:rPr>
        <w:t>坚持共建共享，促进民生改善，民生福祉全面稳固。一是完成保险缴纳，完成城乡居民医疗保险6313人，特殊人员政府代缴2599人；完成城乡居民养老保险8234人；保险参保率突破95%以上。二是低保动态兜底。全面落实农村低保兜底“两线合一”工作，严格落实低保清查工作，实现动态管理下的应保尽保，经过调整全乡城镇低保454户，757人，月发放城镇低保资金67540元；农村低保共335户，共839人，月发放146844元，按时发放孤儿、老龄、残疾等特殊人员补助，生活困难群众得到有效保障；三是落实教育补助。为36名学生申请雨露计划5.4万元，全乡贫困生营养餐补助、住校生补贴全覆盖，建档立卡贫困家庭适龄儿童九年制义务教育全覆盖，贫困学生无一辍学。</w:t>
      </w:r>
    </w:p>
    <w:p>
      <w:pPr>
        <w:spacing w:line="576" w:lineRule="exact"/>
        <w:ind w:firstLine="640" w:firstLineChars="200"/>
        <w:rPr>
          <w:rFonts w:eastAsia="仿宋_GB2312"/>
          <w:color w:val="000000"/>
          <w:kern w:val="0"/>
          <w:sz w:val="32"/>
          <w:szCs w:val="32"/>
          <w:shd w:val="clear" w:color="auto" w:fill="FFFFFF"/>
        </w:rPr>
      </w:pPr>
      <w:r>
        <w:rPr>
          <w:rFonts w:hint="eastAsia" w:eastAsia="仿宋_GB2312"/>
          <w:color w:val="000000"/>
          <w:kern w:val="0"/>
          <w:sz w:val="32"/>
          <w:szCs w:val="32"/>
          <w:shd w:val="clear" w:color="auto" w:fill="FFFFFF"/>
        </w:rPr>
        <w:t>6.</w:t>
      </w:r>
      <w:r>
        <w:rPr>
          <w:rFonts w:eastAsia="仿宋_GB2312"/>
          <w:color w:val="000000"/>
          <w:kern w:val="0"/>
          <w:sz w:val="32"/>
          <w:szCs w:val="32"/>
          <w:shd w:val="clear" w:color="auto" w:fill="FFFFFF"/>
        </w:rPr>
        <w:t>推进社会治理，强化扫黑除恶，社会大局和谐稳定。</w:t>
      </w:r>
      <w:r>
        <w:rPr>
          <w:rFonts w:hint="eastAsia" w:eastAsia="仿宋_GB2312"/>
          <w:color w:val="000000"/>
          <w:kern w:val="0"/>
          <w:sz w:val="32"/>
          <w:szCs w:val="32"/>
          <w:shd w:val="clear" w:color="auto" w:fill="FFFFFF"/>
        </w:rPr>
        <w:t>一是强化安全生产。</w:t>
      </w:r>
      <w:r>
        <w:rPr>
          <w:rFonts w:eastAsia="仿宋_GB2312"/>
          <w:color w:val="000000"/>
          <w:kern w:val="0"/>
          <w:sz w:val="32"/>
          <w:szCs w:val="32"/>
          <w:shd w:val="clear" w:color="auto" w:fill="FFFFFF"/>
        </w:rPr>
        <w:t>实行安全生产“党政同责、一岗双责”，紧盯安全生产重点环节，责任落实到人，强化食品药品、道路交通、水上安全、非洲猪瘟监管，加强全乡44个地质灾害点监测并完成应急演练，严格执行24小时领导带班值班守夜制度，全乡安全生产“零事故”，成功授牌四川省安全社区。二是强化社会治理。坚持乡、村、组三级矛盾纠纷调处制度，加大矛盾纠纷排查化解力度，积极协调化解，排查各类矛盾纠纷63起，调处60起，成功调处率达96%，坚持每月召开安全例会，每周定期组织人员开展安全隐患排查整改活动，排查整改隐患90条。三是强化扫黑除恶。按照政治站位、依法严惩、深挖彻查、组织领导、组织建设、综合治理六个方面整改要求，全年乡级共摸排扫黑除恶案件线索4条，同时充分利用宣传标语、横幅、广播等开展了广泛宣传，共发放宣传资料5000余份，悬挂横幅标语40余幅，营造了家喻户晓、尽人皆知的浓厚氛围。</w:t>
      </w:r>
    </w:p>
    <w:p>
      <w:pPr>
        <w:spacing w:line="576" w:lineRule="exact"/>
        <w:ind w:firstLine="640" w:firstLineChars="200"/>
        <w:rPr>
          <w:rFonts w:eastAsia="仿宋_GB2312"/>
          <w:color w:val="000000"/>
          <w:kern w:val="0"/>
          <w:sz w:val="32"/>
          <w:szCs w:val="32"/>
          <w:shd w:val="clear" w:color="auto" w:fill="FFFFFF"/>
        </w:rPr>
      </w:pPr>
      <w:r>
        <w:rPr>
          <w:rFonts w:hint="eastAsia" w:eastAsia="仿宋_GB2312"/>
          <w:color w:val="000000"/>
          <w:kern w:val="0"/>
          <w:sz w:val="32"/>
          <w:szCs w:val="32"/>
          <w:shd w:val="clear" w:color="auto" w:fill="FFFFFF"/>
        </w:rPr>
        <w:t>7.</w:t>
      </w:r>
      <w:r>
        <w:rPr>
          <w:rFonts w:eastAsia="仿宋_GB2312"/>
          <w:color w:val="000000"/>
          <w:kern w:val="0"/>
          <w:sz w:val="32"/>
          <w:szCs w:val="32"/>
          <w:shd w:val="clear" w:color="auto" w:fill="FFFFFF"/>
        </w:rPr>
        <w:t>推进思想建设，突出示范引领，文明氛围逐步提升。一是强化教育引导。扎实落实“党的创新理论进基层”工作，开展十九届五中全会理论宣讲12场次、文艺宣讲20场次，受众人数达5000人次，达到凝聚群众、形成共识的良好效果。二是</w:t>
      </w:r>
      <w:r>
        <w:rPr>
          <w:rFonts w:hint="eastAsia" w:eastAsia="仿宋_GB2312"/>
          <w:color w:val="000000"/>
          <w:kern w:val="0"/>
          <w:sz w:val="32"/>
          <w:szCs w:val="32"/>
          <w:shd w:val="clear" w:color="auto" w:fill="FFFFFF"/>
        </w:rPr>
        <w:t>突出示范引领。</w:t>
      </w:r>
      <w:r>
        <w:rPr>
          <w:rFonts w:eastAsia="仿宋_GB2312"/>
          <w:color w:val="000000"/>
          <w:kern w:val="0"/>
          <w:sz w:val="32"/>
          <w:szCs w:val="32"/>
          <w:shd w:val="clear" w:color="auto" w:fill="FFFFFF"/>
        </w:rPr>
        <w:t>充分发挥道德积分激励作用，采取文明积分评选先进典型，用正确的意识形态引导广大群众特别是贫困群众的行为，评选“孝敬父母、关爱子女”区优秀模范3人，文明家庭60户，成功挂牌7处新时代文明实践站和乡级实践所。三是坚持正确舆论导向。不断完善“一约四会”相关制度，加强对各村的移风易俗工作的领导，用群众认可的行为准则去规范群众思想和行为，共劝导红白事简办、或者不办12家，文明向上的氛围逐年向好。</w:t>
      </w:r>
    </w:p>
    <w:p>
      <w:pPr>
        <w:spacing w:line="576" w:lineRule="exact"/>
        <w:ind w:firstLine="640" w:firstLineChars="200"/>
        <w:rPr>
          <w:rFonts w:eastAsia="仿宋_GB2312"/>
          <w:color w:val="000000"/>
          <w:kern w:val="0"/>
          <w:sz w:val="32"/>
          <w:szCs w:val="32"/>
          <w:shd w:val="clear" w:color="auto" w:fill="FFFFFF"/>
        </w:rPr>
      </w:pPr>
      <w:r>
        <w:rPr>
          <w:rFonts w:hint="eastAsia" w:eastAsia="仿宋_GB2312"/>
          <w:color w:val="000000"/>
          <w:kern w:val="0"/>
          <w:sz w:val="32"/>
          <w:szCs w:val="32"/>
          <w:shd w:val="clear" w:color="auto" w:fill="FFFFFF"/>
        </w:rPr>
        <w:t>8.推进依法治理，强化法治政府，工作效能持续增强。一是深入开展依法治理</w:t>
      </w:r>
      <w:r>
        <w:rPr>
          <w:rFonts w:eastAsia="仿宋_GB2312"/>
          <w:color w:val="000000"/>
          <w:kern w:val="0"/>
          <w:sz w:val="32"/>
          <w:szCs w:val="32"/>
          <w:shd w:val="clear" w:color="auto" w:fill="FFFFFF"/>
        </w:rPr>
        <w:t>。统筹推进我乡依法治区工作，开展多形式普法宣传，制作依法治理标语50幅，发放宣传资料3000余份，书写固定标语、办专栏橱窗，加大依法治理宣传覆盖面和影响力。组织专人对邪教人员进行 “拉网式”排查，开展引导教育。</w:t>
      </w:r>
      <w:r>
        <w:rPr>
          <w:rFonts w:hint="eastAsia" w:eastAsia="仿宋_GB2312"/>
          <w:color w:val="000000"/>
          <w:kern w:val="0"/>
          <w:sz w:val="32"/>
          <w:szCs w:val="32"/>
          <w:shd w:val="clear" w:color="auto" w:fill="FFFFFF"/>
        </w:rPr>
        <w:t>二是扎实推进廉洁政府。</w:t>
      </w:r>
      <w:r>
        <w:rPr>
          <w:rFonts w:eastAsia="仿宋_GB2312"/>
          <w:color w:val="000000"/>
          <w:kern w:val="0"/>
          <w:sz w:val="32"/>
          <w:szCs w:val="32"/>
          <w:shd w:val="clear" w:color="auto" w:fill="FFFFFF"/>
        </w:rPr>
        <w:t>坚决按照</w:t>
      </w:r>
      <w:r>
        <w:rPr>
          <w:rFonts w:hint="eastAsia" w:eastAsia="仿宋_GB2312"/>
          <w:color w:val="000000"/>
          <w:kern w:val="0"/>
          <w:sz w:val="32"/>
          <w:szCs w:val="32"/>
          <w:shd w:val="clear" w:color="auto" w:fill="FFFFFF"/>
          <w:lang w:eastAsia="zh-CN"/>
        </w:rPr>
        <w:t>中央八项规定</w:t>
      </w:r>
      <w:r>
        <w:rPr>
          <w:rFonts w:eastAsia="仿宋_GB2312"/>
          <w:color w:val="000000"/>
          <w:kern w:val="0"/>
          <w:sz w:val="32"/>
          <w:szCs w:val="32"/>
          <w:shd w:val="clear" w:color="auto" w:fill="FFFFFF"/>
        </w:rPr>
        <w:t>精神和实施细则以及省、市、区具体规定，以制度管人、管事，坚持廉洁从政，廉治办事，实行“三重一大”事项公开。播放反腐倡廉警示教育专题片5次，通报各类干部违规违纪违法案例6次；今年以来，以乡纪委名义发出督查通报7期，通报全乡违规、违纪干部14人，办理案件3起，处分党员干部3人，警示效果突出。</w:t>
      </w:r>
      <w:r>
        <w:rPr>
          <w:rFonts w:hint="eastAsia" w:eastAsia="仿宋_GB2312"/>
          <w:color w:val="000000"/>
          <w:kern w:val="0"/>
          <w:sz w:val="32"/>
          <w:szCs w:val="32"/>
          <w:shd w:val="clear" w:color="auto" w:fill="FFFFFF"/>
        </w:rPr>
        <w:t>三是不断建设高效政府</w:t>
      </w:r>
      <w:r>
        <w:rPr>
          <w:rFonts w:eastAsia="仿宋_GB2312"/>
          <w:color w:val="000000"/>
          <w:kern w:val="0"/>
          <w:sz w:val="32"/>
          <w:szCs w:val="32"/>
          <w:shd w:val="clear" w:color="auto" w:fill="FFFFFF"/>
        </w:rPr>
        <w:t>。健全政府领导及部门学习、工作一系列制度，严格“一岗双责”，自觉接受人大监督，办理人大建议6件。严格落实工作岗位责任制，持续开展“双提双破一整治”行动，每月上报一次工作成效，大力整治“中梗阻”和“庸懒散浮拖”行为，全面推进互联网政务服务，强化一体化政务服务平台建设，努力让人民群众办事更加便捷，机关效能建设得到持续加强</w:t>
      </w:r>
      <w:r>
        <w:rPr>
          <w:rFonts w:hint="eastAsia" w:ascii="仿宋_GB2312" w:eastAsia="仿宋_GB2312"/>
          <w:color w:val="000000"/>
          <w:sz w:val="32"/>
          <w:szCs w:val="32"/>
        </w:rPr>
        <w:t>。</w:t>
      </w:r>
    </w:p>
    <w:p>
      <w:pPr>
        <w:pStyle w:val="6"/>
        <w:adjustRightInd w:val="0"/>
        <w:snapToGrid w:val="0"/>
        <w:spacing w:before="93" w:line="600" w:lineRule="exact"/>
        <w:ind w:firstLine="672" w:firstLineChars="210"/>
        <w:outlineLvl w:val="2"/>
        <w:rPr>
          <w:rFonts w:ascii="仿宋" w:hAnsi="仿宋" w:eastAsia="仿宋"/>
          <w:bCs/>
          <w:color w:val="000000"/>
          <w:sz w:val="32"/>
          <w:szCs w:val="32"/>
        </w:rPr>
      </w:pPr>
    </w:p>
    <w:p>
      <w:pPr>
        <w:pStyle w:val="4"/>
        <w:rPr>
          <w:rStyle w:val="25"/>
          <w:b w:val="0"/>
          <w:bCs w:val="0"/>
        </w:rPr>
      </w:pPr>
      <w:bookmarkStart w:id="20" w:name="_Toc15396601"/>
      <w:bookmarkStart w:id="21" w:name="_Toc15377200"/>
      <w:r>
        <w:rPr>
          <w:rFonts w:hint="eastAsia" w:ascii="黑体" w:eastAsia="黑体"/>
          <w:b w:val="0"/>
          <w:color w:val="000000"/>
        </w:rPr>
        <w:t>二、</w:t>
      </w:r>
      <w:r>
        <w:rPr>
          <w:rFonts w:hint="eastAsia" w:ascii="黑体" w:hAnsi="黑体" w:eastAsia="黑体"/>
          <w:b w:val="0"/>
          <w:color w:val="000000"/>
        </w:rPr>
        <w:t>机</w:t>
      </w:r>
      <w:r>
        <w:rPr>
          <w:rStyle w:val="25"/>
          <w:rFonts w:hint="eastAsia" w:ascii="黑体" w:hAnsi="黑体" w:eastAsia="黑体"/>
          <w:b w:val="0"/>
          <w:bCs w:val="0"/>
        </w:rPr>
        <w:t>构设置</w:t>
      </w:r>
      <w:bookmarkEnd w:id="20"/>
      <w:bookmarkEnd w:id="21"/>
    </w:p>
    <w:p>
      <w:pPr>
        <w:spacing w:line="576" w:lineRule="exact"/>
        <w:ind w:firstLine="640" w:firstLineChars="200"/>
        <w:rPr>
          <w:color w:val="000000"/>
          <w:sz w:val="32"/>
          <w:szCs w:val="32"/>
        </w:rPr>
      </w:pPr>
      <w:bookmarkStart w:id="22" w:name="_Toc15377204"/>
      <w:bookmarkStart w:id="23" w:name="_Toc15396602"/>
      <w:r>
        <w:rPr>
          <w:rFonts w:hint="eastAsia"/>
          <w:color w:val="000000"/>
          <w:sz w:val="32"/>
          <w:szCs w:val="32"/>
        </w:rPr>
        <w:t>金洞乡属一级预算单位，无下属的二级预算单位。</w:t>
      </w:r>
    </w:p>
    <w:p>
      <w:pPr>
        <w:spacing w:line="576" w:lineRule="exact"/>
        <w:ind w:firstLine="640" w:firstLineChars="200"/>
        <w:rPr>
          <w:rFonts w:ascii="仿宋_GB2312" w:hAnsi="宋体" w:eastAsia="仿宋_GB2312"/>
          <w:color w:val="000000"/>
          <w:sz w:val="32"/>
          <w:szCs w:val="32"/>
        </w:rPr>
      </w:pPr>
      <w:r>
        <w:rPr>
          <w:rFonts w:hint="eastAsia" w:ascii="仿宋_GB2312" w:eastAsia="仿宋_GB2312"/>
          <w:color w:val="000000"/>
          <w:sz w:val="32"/>
          <w:szCs w:val="32"/>
        </w:rPr>
        <w:t>金洞乡编制数40个，公务员编制21个，工勤编制3个，事业人员编制16个；金洞乡实有在职职工52人，其中公务员19人，事业人员30人，行政工人3人；遗属人员9人。金洞</w:t>
      </w:r>
      <w:r>
        <w:rPr>
          <w:rFonts w:hint="eastAsia" w:ascii="仿宋_GB2312" w:hAnsi="宋体" w:eastAsia="仿宋_GB2312"/>
          <w:color w:val="000000"/>
          <w:sz w:val="32"/>
          <w:szCs w:val="32"/>
        </w:rPr>
        <w:t>乡2020年所设部门为党政办、经济发展办（内设财政所、安全办、扶贫移民办、交管办）、社会事务办、便民服务中心、综治维稳中心、村建环卫中心。</w:t>
      </w:r>
    </w:p>
    <w:p>
      <w:pPr>
        <w:spacing w:line="576" w:lineRule="exact"/>
        <w:ind w:firstLine="640" w:firstLineChars="200"/>
        <w:rPr>
          <w:rFonts w:ascii="黑体" w:hAnsi="黑体" w:eastAsia="黑体"/>
          <w:color w:val="000000"/>
        </w:rPr>
      </w:pPr>
      <w:r>
        <w:rPr>
          <w:rFonts w:hint="eastAsia" w:ascii="仿宋_GB2312" w:eastAsia="仿宋_GB2312"/>
          <w:color w:val="000000"/>
          <w:sz w:val="32"/>
          <w:szCs w:val="32"/>
        </w:rPr>
        <w:t>金洞乡辖13个行政村，84个村民小组，1个社区居委会，3个居民小组，幅员面积143.6平方公里，辖区内城镇居民0.83万余人，农业人口0.72万余人。</w:t>
      </w:r>
    </w:p>
    <w:p>
      <w:pPr>
        <w:pStyle w:val="3"/>
        <w:ind w:right="440"/>
        <w:jc w:val="right"/>
        <w:rPr>
          <w:rFonts w:ascii="黑体" w:hAnsi="黑体" w:eastAsia="黑体"/>
          <w:b w:val="0"/>
          <w:color w:val="000000"/>
        </w:rPr>
      </w:pPr>
    </w:p>
    <w:p>
      <w:pPr>
        <w:rPr>
          <w:rFonts w:ascii="黑体" w:hAnsi="黑体" w:eastAsia="黑体"/>
          <w:color w:val="000000"/>
        </w:rPr>
      </w:pPr>
    </w:p>
    <w:p>
      <w:pPr>
        <w:pStyle w:val="2"/>
      </w:pPr>
    </w:p>
    <w:p>
      <w:pPr>
        <w:pStyle w:val="3"/>
        <w:ind w:right="440"/>
        <w:jc w:val="right"/>
        <w:rPr>
          <w:rStyle w:val="24"/>
          <w:rFonts w:ascii="黑体" w:hAnsi="黑体" w:eastAsia="黑体"/>
          <w:b w:val="0"/>
          <w:bCs w:val="0"/>
        </w:rPr>
      </w:pPr>
      <w:r>
        <w:rPr>
          <w:rFonts w:hint="eastAsia" w:ascii="黑体" w:hAnsi="黑体" w:eastAsia="黑体"/>
          <w:b w:val="0"/>
          <w:color w:val="000000"/>
        </w:rPr>
        <w:t>第二部分</w:t>
      </w:r>
      <w:r>
        <w:rPr>
          <w:rFonts w:hint="eastAsia" w:ascii="黑体" w:hAnsi="黑体" w:eastAsia="黑体"/>
          <w:color w:val="000000"/>
        </w:rPr>
        <w:t xml:space="preserve"> </w:t>
      </w:r>
      <w:r>
        <w:rPr>
          <w:rStyle w:val="24"/>
          <w:rFonts w:hint="eastAsia" w:ascii="黑体" w:hAnsi="黑体" w:eastAsia="黑体"/>
          <w:b w:val="0"/>
          <w:bCs w:val="0"/>
        </w:rPr>
        <w:t>2020年度部门决算情况说明</w:t>
      </w:r>
      <w:bookmarkEnd w:id="22"/>
      <w:bookmarkEnd w:id="23"/>
    </w:p>
    <w:p/>
    <w:p>
      <w:pPr>
        <w:pStyle w:val="23"/>
        <w:numPr>
          <w:ilvl w:val="0"/>
          <w:numId w:val="1"/>
        </w:numPr>
        <w:spacing w:line="600" w:lineRule="exact"/>
        <w:ind w:firstLineChars="0"/>
        <w:outlineLvl w:val="1"/>
        <w:rPr>
          <w:rStyle w:val="25"/>
          <w:rFonts w:ascii="黑体" w:hAnsi="黑体" w:eastAsia="黑体"/>
          <w:b w:val="0"/>
        </w:rPr>
      </w:pPr>
      <w:bookmarkStart w:id="24" w:name="_Toc15377205"/>
      <w:bookmarkStart w:id="25" w:name="_Toc15396603"/>
      <w:r>
        <w:rPr>
          <w:rFonts w:hint="eastAsia" w:ascii="黑体" w:hAnsi="黑体" w:eastAsia="黑体"/>
          <w:color w:val="000000"/>
          <w:sz w:val="32"/>
          <w:szCs w:val="32"/>
        </w:rPr>
        <w:t>收</w:t>
      </w:r>
      <w:r>
        <w:rPr>
          <w:rStyle w:val="25"/>
          <w:rFonts w:hint="eastAsia" w:ascii="黑体" w:hAnsi="黑体" w:eastAsia="黑体"/>
          <w:b w:val="0"/>
        </w:rPr>
        <w:t>入支出决算总体情况说明</w:t>
      </w:r>
      <w:bookmarkEnd w:id="24"/>
      <w:bookmarkEnd w:id="25"/>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2020年度收入总计</w:t>
      </w:r>
      <w:r>
        <w:rPr>
          <w:rFonts w:hint="eastAsia" w:ascii="仿宋_GB2312" w:hAnsi="宋体" w:eastAsia="仿宋_GB2312"/>
          <w:color w:val="000000" w:themeColor="text1"/>
          <w:sz w:val="32"/>
          <w:szCs w:val="32"/>
        </w:rPr>
        <w:t>1082.74</w:t>
      </w:r>
      <w:r>
        <w:rPr>
          <w:rFonts w:hint="eastAsia" w:ascii="仿宋" w:hAnsi="仿宋" w:eastAsia="仿宋"/>
          <w:color w:val="000000"/>
          <w:sz w:val="32"/>
          <w:szCs w:val="32"/>
        </w:rPr>
        <w:t>万元。与2019年相比，收入总计减少183.33万元，减少14.48%。主要变动原因是2020年农林水项目减少财政拨款收入也就减少。</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2020年度支出总计</w:t>
      </w:r>
      <w:r>
        <w:rPr>
          <w:rFonts w:hint="eastAsia" w:ascii="仿宋_GB2312" w:hAnsi="宋体" w:eastAsia="仿宋_GB2312"/>
          <w:color w:val="000000" w:themeColor="text1"/>
          <w:sz w:val="32"/>
          <w:szCs w:val="32"/>
        </w:rPr>
        <w:t>1006.67</w:t>
      </w:r>
      <w:r>
        <w:rPr>
          <w:rFonts w:hint="eastAsia" w:ascii="仿宋" w:hAnsi="仿宋" w:eastAsia="仿宋"/>
          <w:color w:val="000000"/>
          <w:sz w:val="32"/>
          <w:szCs w:val="32"/>
        </w:rPr>
        <w:t>万元。与2019年相比，收入总计减少 312.27万元，减少23.68 %。主要变动原因是2020年农林水项目减少。</w:t>
      </w:r>
    </w:p>
    <w:p>
      <w:pPr>
        <w:jc w:val="left"/>
        <w:rPr>
          <w:rFonts w:ascii="仿宋" w:hAnsi="仿宋" w:eastAsia="仿宋"/>
          <w:color w:val="000000"/>
          <w:sz w:val="32"/>
          <w:szCs w:val="32"/>
        </w:rPr>
      </w:pPr>
      <w:r>
        <w:rPr>
          <w:rFonts w:hint="eastAsia" w:ascii="仿宋" w:hAnsi="仿宋" w:eastAsia="仿宋"/>
          <w:color w:val="000000"/>
          <w:sz w:val="32"/>
          <w:szCs w:val="32"/>
        </w:rPr>
        <w:drawing>
          <wp:inline distT="0" distB="0" distL="114300" distR="114300">
            <wp:extent cx="5437505" cy="2752725"/>
            <wp:effectExtent l="0" t="0" r="10795" b="9525"/>
            <wp:docPr id="1" name="图片 1" descr="RA7L{LSS{1UL}1$F]4_Y)C2"/>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 descr="RA7L{LSS{1UL}1$F]4_Y)C2"/>
                    <pic:cNvPicPr>
                      <a:picLocks noChangeAspect="true"/>
                    </pic:cNvPicPr>
                  </pic:nvPicPr>
                  <pic:blipFill>
                    <a:blip r:embed="rId6"/>
                    <a:stretch>
                      <a:fillRect/>
                    </a:stretch>
                  </pic:blipFill>
                  <pic:spPr>
                    <a:xfrm>
                      <a:off x="0" y="0"/>
                      <a:ext cx="5437505" cy="2752725"/>
                    </a:xfrm>
                    <a:prstGeom prst="rect">
                      <a:avLst/>
                    </a:prstGeom>
                  </pic:spPr>
                </pic:pic>
              </a:graphicData>
            </a:graphic>
          </wp:inline>
        </w:drawing>
      </w:r>
    </w:p>
    <w:p>
      <w:pPr>
        <w:spacing w:line="600" w:lineRule="exact"/>
        <w:ind w:firstLine="960" w:firstLineChars="300"/>
        <w:rPr>
          <w:rFonts w:ascii="仿宋_GB2312" w:eastAsia="仿宋_GB2312"/>
          <w:color w:val="FF0000"/>
          <w:sz w:val="32"/>
          <w:szCs w:val="32"/>
        </w:rPr>
      </w:pPr>
      <w:r>
        <w:rPr>
          <w:rFonts w:hint="eastAsia" w:ascii="仿宋" w:hAnsi="仿宋" w:eastAsia="仿宋"/>
          <w:color w:val="FF0000"/>
          <w:sz w:val="32"/>
          <w:szCs w:val="32"/>
        </w:rPr>
        <w:t>（图</w:t>
      </w:r>
      <w:r>
        <w:rPr>
          <w:rFonts w:ascii="仿宋" w:hAnsi="仿宋" w:eastAsia="仿宋"/>
          <w:color w:val="FF0000"/>
          <w:sz w:val="32"/>
          <w:szCs w:val="32"/>
        </w:rPr>
        <w:t>1</w:t>
      </w:r>
      <w:r>
        <w:rPr>
          <w:rFonts w:hint="eastAsia" w:ascii="仿宋" w:hAnsi="仿宋" w:eastAsia="仿宋"/>
          <w:color w:val="FF0000"/>
          <w:sz w:val="32"/>
          <w:szCs w:val="32"/>
        </w:rPr>
        <w:t>：收、支决算总计变动情况图）（柱状图）</w:t>
      </w:r>
    </w:p>
    <w:p>
      <w:pPr>
        <w:pStyle w:val="23"/>
        <w:numPr>
          <w:ilvl w:val="0"/>
          <w:numId w:val="1"/>
        </w:numPr>
        <w:spacing w:line="600" w:lineRule="exact"/>
        <w:ind w:firstLineChars="0"/>
        <w:outlineLvl w:val="1"/>
        <w:rPr>
          <w:rStyle w:val="25"/>
          <w:rFonts w:ascii="黑体" w:hAnsi="黑体" w:eastAsia="黑体"/>
          <w:b w:val="0"/>
        </w:rPr>
      </w:pPr>
      <w:bookmarkStart w:id="26" w:name="_Toc15396604"/>
      <w:bookmarkStart w:id="27" w:name="_Toc15377206"/>
      <w:r>
        <w:rPr>
          <w:rFonts w:hint="eastAsia" w:ascii="黑体" w:hAnsi="黑体" w:eastAsia="黑体"/>
          <w:color w:val="000000"/>
          <w:sz w:val="32"/>
          <w:szCs w:val="32"/>
        </w:rPr>
        <w:t>收</w:t>
      </w:r>
      <w:r>
        <w:rPr>
          <w:rStyle w:val="25"/>
          <w:rFonts w:hint="eastAsia" w:ascii="黑体" w:hAnsi="黑体" w:eastAsia="黑体"/>
          <w:b w:val="0"/>
        </w:rPr>
        <w:t>入决算情况说明</w:t>
      </w:r>
      <w:bookmarkEnd w:id="26"/>
      <w:bookmarkEnd w:id="27"/>
    </w:p>
    <w:p>
      <w:pPr>
        <w:spacing w:line="600" w:lineRule="exact"/>
        <w:ind w:firstLine="640" w:firstLineChars="200"/>
        <w:outlineLvl w:val="1"/>
        <w:rPr>
          <w:rFonts w:ascii="仿宋" w:hAnsi="仿宋" w:eastAsia="仿宋"/>
          <w:color w:val="000000"/>
          <w:sz w:val="32"/>
          <w:szCs w:val="32"/>
        </w:rPr>
      </w:pPr>
      <w:r>
        <w:rPr>
          <w:rFonts w:ascii="仿宋" w:hAnsi="仿宋" w:eastAsia="仿宋"/>
          <w:color w:val="000000"/>
          <w:sz w:val="32"/>
          <w:szCs w:val="32"/>
        </w:rPr>
        <w:t>20</w:t>
      </w:r>
      <w:r>
        <w:rPr>
          <w:rFonts w:hint="eastAsia" w:ascii="仿宋" w:hAnsi="仿宋" w:eastAsia="仿宋"/>
          <w:color w:val="000000"/>
          <w:sz w:val="32"/>
          <w:szCs w:val="32"/>
        </w:rPr>
        <w:t>20年本年收入合计1082.74万元，其中：一般公共预算财政拨款收入1082.14万元，占100</w:t>
      </w:r>
      <w:r>
        <w:rPr>
          <w:rFonts w:ascii="仿宋" w:hAnsi="仿宋" w:eastAsia="仿宋"/>
          <w:color w:val="000000"/>
          <w:sz w:val="32"/>
          <w:szCs w:val="32"/>
        </w:rPr>
        <w:t>%</w:t>
      </w:r>
      <w:r>
        <w:rPr>
          <w:rFonts w:hint="eastAsia" w:ascii="仿宋" w:hAnsi="仿宋" w:eastAsia="仿宋"/>
          <w:color w:val="000000"/>
          <w:sz w:val="32"/>
          <w:szCs w:val="32"/>
        </w:rPr>
        <w:t>；政府性基金预算财政拨款收入0万元，占0</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仿宋" w:hAnsi="仿宋" w:eastAsia="仿宋"/>
          <w:color w:val="000000" w:themeColor="text1"/>
          <w:sz w:val="32"/>
          <w:szCs w:val="32"/>
        </w:rPr>
        <w:t>上级补助收入0</w:t>
      </w:r>
      <w:r>
        <w:rPr>
          <w:rFonts w:hint="eastAsia" w:ascii="仿宋" w:hAnsi="仿宋" w:eastAsia="仿宋"/>
          <w:color w:val="000000"/>
          <w:sz w:val="32"/>
          <w:szCs w:val="32"/>
        </w:rPr>
        <w:t>万元，占0</w:t>
      </w:r>
      <w:r>
        <w:rPr>
          <w:rFonts w:ascii="仿宋" w:hAnsi="仿宋" w:eastAsia="仿宋"/>
          <w:color w:val="000000"/>
          <w:sz w:val="32"/>
          <w:szCs w:val="32"/>
        </w:rPr>
        <w:t>%</w:t>
      </w:r>
      <w:r>
        <w:rPr>
          <w:rFonts w:hint="eastAsia" w:ascii="仿宋" w:hAnsi="仿宋" w:eastAsia="仿宋"/>
          <w:color w:val="000000"/>
          <w:sz w:val="32"/>
          <w:szCs w:val="32"/>
        </w:rPr>
        <w:t>；事业收入0万元，占0</w:t>
      </w:r>
      <w:r>
        <w:rPr>
          <w:rFonts w:ascii="仿宋" w:hAnsi="仿宋" w:eastAsia="仿宋"/>
          <w:color w:val="000000"/>
          <w:sz w:val="32"/>
          <w:szCs w:val="32"/>
        </w:rPr>
        <w:t>%</w:t>
      </w:r>
      <w:r>
        <w:rPr>
          <w:rFonts w:hint="eastAsia" w:ascii="仿宋" w:hAnsi="仿宋" w:eastAsia="仿宋"/>
          <w:color w:val="000000"/>
          <w:sz w:val="32"/>
          <w:szCs w:val="32"/>
        </w:rPr>
        <w:t>；经营收入0万元，占0</w:t>
      </w:r>
      <w:r>
        <w:rPr>
          <w:rFonts w:ascii="仿宋" w:hAnsi="仿宋" w:eastAsia="仿宋"/>
          <w:color w:val="000000"/>
          <w:sz w:val="32"/>
          <w:szCs w:val="32"/>
        </w:rPr>
        <w:t>%</w:t>
      </w:r>
      <w:r>
        <w:rPr>
          <w:rFonts w:hint="eastAsia" w:ascii="仿宋" w:hAnsi="仿宋" w:eastAsia="仿宋"/>
          <w:color w:val="000000"/>
          <w:sz w:val="32"/>
          <w:szCs w:val="32"/>
        </w:rPr>
        <w:t>；附属单位上缴收入0万元，占0</w:t>
      </w:r>
      <w:r>
        <w:rPr>
          <w:rFonts w:ascii="仿宋" w:hAnsi="仿宋" w:eastAsia="仿宋"/>
          <w:color w:val="000000"/>
          <w:sz w:val="32"/>
          <w:szCs w:val="32"/>
        </w:rPr>
        <w:t>%</w:t>
      </w:r>
      <w:r>
        <w:rPr>
          <w:rFonts w:hint="eastAsia" w:ascii="仿宋" w:hAnsi="仿宋" w:eastAsia="仿宋"/>
          <w:color w:val="000000"/>
          <w:sz w:val="32"/>
          <w:szCs w:val="32"/>
        </w:rPr>
        <w:t>；其他收入0万元，占0</w:t>
      </w:r>
      <w:r>
        <w:rPr>
          <w:rFonts w:ascii="仿宋" w:hAnsi="仿宋" w:eastAsia="仿宋"/>
          <w:color w:val="000000"/>
          <w:sz w:val="32"/>
          <w:szCs w:val="32"/>
        </w:rPr>
        <w:t>%</w:t>
      </w:r>
      <w:r>
        <w:rPr>
          <w:rFonts w:hint="eastAsia" w:ascii="仿宋" w:hAnsi="仿宋" w:eastAsia="仿宋"/>
          <w:color w:val="000000"/>
          <w:sz w:val="32"/>
          <w:szCs w:val="32"/>
        </w:rPr>
        <w:t>。</w:t>
      </w:r>
    </w:p>
    <w:p>
      <w:pPr>
        <w:pStyle w:val="2"/>
        <w:rPr>
          <w:rFonts w:hAnsi="仿宋"/>
          <w:sz w:val="32"/>
          <w:szCs w:val="32"/>
        </w:rPr>
      </w:pPr>
      <w:r>
        <w:rPr>
          <w:rFonts w:hint="eastAsia" w:hAnsi="仿宋"/>
          <w:sz w:val="32"/>
          <w:szCs w:val="32"/>
        </w:rPr>
        <w:drawing>
          <wp:inline distT="0" distB="0" distL="114300" distR="114300">
            <wp:extent cx="5286375" cy="2743200"/>
            <wp:effectExtent l="0" t="0" r="9525" b="0"/>
            <wp:docPr id="2" name="图片 2" descr="NUMCYMK_IL}46QX1(JEH$_M"/>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2" descr="NUMCYMK_IL}46QX1(JEH$_M"/>
                    <pic:cNvPicPr>
                      <a:picLocks noChangeAspect="true"/>
                    </pic:cNvPicPr>
                  </pic:nvPicPr>
                  <pic:blipFill>
                    <a:blip r:embed="rId7"/>
                    <a:stretch>
                      <a:fillRect/>
                    </a:stretch>
                  </pic:blipFill>
                  <pic:spPr>
                    <a:xfrm>
                      <a:off x="0" y="0"/>
                      <a:ext cx="5286375" cy="2743200"/>
                    </a:xfrm>
                    <a:prstGeom prst="rect">
                      <a:avLst/>
                    </a:prstGeom>
                  </pic:spPr>
                </pic:pic>
              </a:graphicData>
            </a:graphic>
          </wp:inline>
        </w:drawing>
      </w:r>
    </w:p>
    <w:p>
      <w:pPr>
        <w:spacing w:line="600" w:lineRule="exact"/>
        <w:ind w:firstLine="1600" w:firstLineChars="500"/>
        <w:rPr>
          <w:rFonts w:ascii="仿宋_GB2312" w:eastAsia="仿宋_GB2312"/>
          <w:color w:val="FF0000"/>
          <w:sz w:val="32"/>
          <w:szCs w:val="32"/>
        </w:rPr>
      </w:pPr>
      <w:r>
        <w:rPr>
          <w:rFonts w:hint="eastAsia" w:ascii="仿宋" w:hAnsi="仿宋" w:eastAsia="仿宋"/>
          <w:color w:val="FF0000"/>
          <w:sz w:val="32"/>
          <w:szCs w:val="32"/>
        </w:rPr>
        <w:t>（图2：收入决算结构图）（饼状图）</w:t>
      </w:r>
    </w:p>
    <w:p>
      <w:pPr>
        <w:pStyle w:val="23"/>
        <w:numPr>
          <w:ilvl w:val="0"/>
          <w:numId w:val="1"/>
        </w:numPr>
        <w:spacing w:line="600" w:lineRule="exact"/>
        <w:ind w:firstLineChars="0"/>
        <w:outlineLvl w:val="1"/>
        <w:rPr>
          <w:rStyle w:val="25"/>
          <w:rFonts w:ascii="黑体" w:hAnsi="黑体" w:eastAsia="黑体"/>
          <w:b w:val="0"/>
        </w:rPr>
      </w:pPr>
      <w:bookmarkStart w:id="28" w:name="_Toc15377207"/>
      <w:bookmarkStart w:id="29" w:name="_Toc15396605"/>
      <w:r>
        <w:rPr>
          <w:rFonts w:hint="eastAsia" w:ascii="黑体" w:hAnsi="黑体" w:eastAsia="黑体"/>
          <w:color w:val="000000"/>
          <w:sz w:val="32"/>
          <w:szCs w:val="32"/>
        </w:rPr>
        <w:t>支</w:t>
      </w:r>
      <w:r>
        <w:rPr>
          <w:rStyle w:val="25"/>
          <w:rFonts w:hint="eastAsia" w:ascii="黑体" w:hAnsi="黑体" w:eastAsia="黑体"/>
          <w:b w:val="0"/>
        </w:rPr>
        <w:t>出决算情况说明</w:t>
      </w:r>
      <w:bookmarkEnd w:id="28"/>
      <w:bookmarkEnd w:id="29"/>
    </w:p>
    <w:p>
      <w:pPr>
        <w:spacing w:line="600" w:lineRule="exact"/>
        <w:ind w:firstLine="640" w:firstLineChars="200"/>
        <w:outlineLvl w:val="1"/>
        <w:rPr>
          <w:rFonts w:ascii="仿宋" w:hAnsi="仿宋" w:eastAsia="仿宋"/>
          <w:color w:val="000000"/>
          <w:sz w:val="32"/>
          <w:szCs w:val="32"/>
        </w:rPr>
      </w:pPr>
      <w:r>
        <w:rPr>
          <w:rFonts w:ascii="仿宋" w:hAnsi="仿宋" w:eastAsia="仿宋"/>
          <w:color w:val="000000"/>
          <w:sz w:val="32"/>
          <w:szCs w:val="32"/>
        </w:rPr>
        <w:t>20</w:t>
      </w:r>
      <w:r>
        <w:rPr>
          <w:rFonts w:hint="eastAsia" w:ascii="仿宋" w:hAnsi="仿宋" w:eastAsia="仿宋"/>
          <w:color w:val="000000"/>
          <w:sz w:val="32"/>
          <w:szCs w:val="32"/>
        </w:rPr>
        <w:t>20年本年支出合计1006.67万元，其中：基本支出873.20万元，占86.74</w:t>
      </w:r>
      <w:r>
        <w:rPr>
          <w:rFonts w:ascii="仿宋" w:hAnsi="仿宋" w:eastAsia="仿宋"/>
          <w:color w:val="000000"/>
          <w:sz w:val="32"/>
          <w:szCs w:val="32"/>
        </w:rPr>
        <w:t>%</w:t>
      </w:r>
      <w:r>
        <w:rPr>
          <w:rFonts w:hint="eastAsia" w:ascii="仿宋" w:hAnsi="仿宋" w:eastAsia="仿宋"/>
          <w:color w:val="000000"/>
          <w:sz w:val="32"/>
          <w:szCs w:val="32"/>
        </w:rPr>
        <w:t>；项目支出133.47万元，占13.26</w:t>
      </w:r>
      <w:r>
        <w:rPr>
          <w:rFonts w:ascii="仿宋" w:hAnsi="仿宋" w:eastAsia="仿宋"/>
          <w:color w:val="000000"/>
          <w:sz w:val="32"/>
          <w:szCs w:val="32"/>
        </w:rPr>
        <w:t>%</w:t>
      </w:r>
      <w:r>
        <w:rPr>
          <w:rFonts w:hint="eastAsia" w:ascii="仿宋" w:hAnsi="仿宋" w:eastAsia="仿宋"/>
          <w:color w:val="000000"/>
          <w:sz w:val="32"/>
          <w:szCs w:val="32"/>
        </w:rPr>
        <w:t>；上缴上级支出0万元，占0</w:t>
      </w:r>
      <w:r>
        <w:rPr>
          <w:rFonts w:ascii="仿宋" w:hAnsi="仿宋" w:eastAsia="仿宋"/>
          <w:color w:val="000000"/>
          <w:sz w:val="32"/>
          <w:szCs w:val="32"/>
        </w:rPr>
        <w:t>%</w:t>
      </w:r>
      <w:r>
        <w:rPr>
          <w:rFonts w:hint="eastAsia" w:ascii="仿宋" w:hAnsi="仿宋" w:eastAsia="仿宋"/>
          <w:color w:val="000000"/>
          <w:sz w:val="32"/>
          <w:szCs w:val="32"/>
        </w:rPr>
        <w:t>；经营支出0万元，占0</w:t>
      </w:r>
      <w:r>
        <w:rPr>
          <w:rFonts w:ascii="仿宋" w:hAnsi="仿宋" w:eastAsia="仿宋"/>
          <w:color w:val="000000"/>
          <w:sz w:val="32"/>
          <w:szCs w:val="32"/>
        </w:rPr>
        <w:t>%</w:t>
      </w:r>
      <w:r>
        <w:rPr>
          <w:rFonts w:hint="eastAsia" w:ascii="仿宋" w:hAnsi="仿宋" w:eastAsia="仿宋"/>
          <w:color w:val="000000"/>
          <w:sz w:val="32"/>
          <w:szCs w:val="32"/>
        </w:rPr>
        <w:t>；对附属单位补助支出0万元，占0</w:t>
      </w:r>
      <w:r>
        <w:rPr>
          <w:rFonts w:ascii="仿宋" w:hAnsi="仿宋" w:eastAsia="仿宋"/>
          <w:color w:val="000000"/>
          <w:sz w:val="32"/>
          <w:szCs w:val="32"/>
        </w:rPr>
        <w:t>%</w:t>
      </w:r>
      <w:r>
        <w:rPr>
          <w:rFonts w:hint="eastAsia" w:ascii="仿宋" w:hAnsi="仿宋" w:eastAsia="仿宋"/>
          <w:color w:val="000000"/>
          <w:sz w:val="32"/>
          <w:szCs w:val="32"/>
        </w:rPr>
        <w:t>。</w:t>
      </w:r>
    </w:p>
    <w:p>
      <w:pPr>
        <w:outlineLvl w:val="1"/>
        <w:rPr>
          <w:rFonts w:ascii="仿宋" w:hAnsi="仿宋" w:eastAsia="仿宋"/>
          <w:color w:val="000000"/>
          <w:sz w:val="32"/>
          <w:szCs w:val="32"/>
        </w:rPr>
      </w:pPr>
      <w:r>
        <w:rPr>
          <w:rFonts w:hint="eastAsia" w:ascii="仿宋" w:hAnsi="仿宋" w:eastAsia="仿宋"/>
          <w:color w:val="000000"/>
          <w:sz w:val="32"/>
          <w:szCs w:val="32"/>
        </w:rPr>
        <w:drawing>
          <wp:inline distT="0" distB="0" distL="114300" distR="114300">
            <wp:extent cx="5419725" cy="3034665"/>
            <wp:effectExtent l="0" t="0" r="9525" b="13335"/>
            <wp:docPr id="3" name="图片 3" descr="~2O96)51C_Z7QC4OZSV6)_M"/>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 name="图片 3" descr="~2O96)51C_Z7QC4OZSV6)_M"/>
                    <pic:cNvPicPr>
                      <a:picLocks noChangeAspect="true"/>
                    </pic:cNvPicPr>
                  </pic:nvPicPr>
                  <pic:blipFill>
                    <a:blip r:embed="rId8"/>
                    <a:stretch>
                      <a:fillRect/>
                    </a:stretch>
                  </pic:blipFill>
                  <pic:spPr>
                    <a:xfrm>
                      <a:off x="0" y="0"/>
                      <a:ext cx="5419725" cy="3034665"/>
                    </a:xfrm>
                    <a:prstGeom prst="rect">
                      <a:avLst/>
                    </a:prstGeom>
                  </pic:spPr>
                </pic:pic>
              </a:graphicData>
            </a:graphic>
          </wp:inline>
        </w:drawing>
      </w:r>
    </w:p>
    <w:p>
      <w:pPr>
        <w:spacing w:line="600" w:lineRule="exact"/>
        <w:ind w:firstLine="640" w:firstLineChars="200"/>
        <w:outlineLvl w:val="1"/>
        <w:rPr>
          <w:rFonts w:ascii="仿宋" w:hAnsi="仿宋" w:eastAsia="仿宋"/>
          <w:color w:val="000000"/>
          <w:sz w:val="32"/>
          <w:szCs w:val="32"/>
        </w:rPr>
      </w:pPr>
    </w:p>
    <w:p>
      <w:pPr>
        <w:spacing w:line="600" w:lineRule="exact"/>
        <w:ind w:firstLine="1600" w:firstLineChars="500"/>
        <w:rPr>
          <w:rFonts w:ascii="仿宋_GB2312" w:eastAsia="仿宋_GB2312"/>
          <w:color w:val="FF0000"/>
          <w:sz w:val="32"/>
          <w:szCs w:val="32"/>
        </w:rPr>
      </w:pPr>
      <w:r>
        <w:rPr>
          <w:rFonts w:hint="eastAsia" w:ascii="仿宋" w:hAnsi="仿宋" w:eastAsia="仿宋"/>
          <w:color w:val="FF0000"/>
          <w:sz w:val="32"/>
          <w:szCs w:val="32"/>
        </w:rPr>
        <w:t>（图3：支出决算结构图）（饼状图）</w:t>
      </w:r>
    </w:p>
    <w:p>
      <w:pPr>
        <w:spacing w:line="600" w:lineRule="exact"/>
        <w:ind w:firstLine="640" w:firstLineChars="200"/>
        <w:outlineLvl w:val="1"/>
        <w:rPr>
          <w:rStyle w:val="25"/>
          <w:rFonts w:ascii="黑体" w:hAnsi="黑体" w:eastAsia="黑体"/>
          <w:b w:val="0"/>
        </w:rPr>
      </w:pPr>
      <w:bookmarkStart w:id="30" w:name="_Toc15396606"/>
      <w:bookmarkStart w:id="31" w:name="_Toc15377208"/>
      <w:r>
        <w:rPr>
          <w:rFonts w:hint="eastAsia" w:ascii="黑体" w:hAnsi="黑体" w:eastAsia="黑体"/>
          <w:color w:val="000000"/>
          <w:sz w:val="32"/>
          <w:szCs w:val="32"/>
        </w:rPr>
        <w:t>四、财</w:t>
      </w:r>
      <w:r>
        <w:rPr>
          <w:rStyle w:val="25"/>
          <w:rFonts w:hint="eastAsia" w:ascii="黑体" w:hAnsi="黑体" w:eastAsia="黑体"/>
          <w:b w:val="0"/>
        </w:rPr>
        <w:t>政拨款收入支出决算总体情况说明</w:t>
      </w:r>
      <w:bookmarkEnd w:id="30"/>
      <w:bookmarkEnd w:id="31"/>
    </w:p>
    <w:p>
      <w:pPr>
        <w:spacing w:line="576"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2020年度财政拨款收入1082.74万元，与2019年相比减少183.33万元，减少14.48%；2020年度财政支出1006.67万元。与2019年相比减少312.27万元，减少23.68%。</w:t>
      </w:r>
    </w:p>
    <w:p>
      <w:pPr>
        <w:pStyle w:val="2"/>
        <w:rPr>
          <w:rFonts w:hAnsi="仿宋"/>
          <w:sz w:val="32"/>
          <w:szCs w:val="32"/>
        </w:rPr>
      </w:pPr>
      <w:r>
        <w:rPr>
          <w:rFonts w:hint="eastAsia"/>
        </w:rPr>
        <w:drawing>
          <wp:inline distT="0" distB="0" distL="114300" distR="114300">
            <wp:extent cx="5371465" cy="2924175"/>
            <wp:effectExtent l="0" t="0" r="635" b="9525"/>
            <wp:docPr id="4" name="图片 4" descr="BB]0~QQUOIRF2%B]D]QL_)H"/>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 name="图片 4" descr="BB]0~QQUOIRF2%B]D]QL_)H"/>
                    <pic:cNvPicPr>
                      <a:picLocks noChangeAspect="true"/>
                    </pic:cNvPicPr>
                  </pic:nvPicPr>
                  <pic:blipFill>
                    <a:blip r:embed="rId9"/>
                    <a:stretch>
                      <a:fillRect/>
                    </a:stretch>
                  </pic:blipFill>
                  <pic:spPr>
                    <a:xfrm>
                      <a:off x="0" y="0"/>
                      <a:ext cx="5371465" cy="2924175"/>
                    </a:xfrm>
                    <a:prstGeom prst="rect">
                      <a:avLst/>
                    </a:prstGeom>
                  </pic:spPr>
                </pic:pic>
              </a:graphicData>
            </a:graphic>
          </wp:inline>
        </w:drawing>
      </w:r>
    </w:p>
    <w:p>
      <w:pPr>
        <w:spacing w:line="600" w:lineRule="exact"/>
        <w:ind w:firstLine="640" w:firstLineChars="200"/>
        <w:rPr>
          <w:rFonts w:ascii="仿宋" w:hAnsi="仿宋" w:eastAsia="仿宋"/>
          <w:b/>
          <w:color w:val="00B050"/>
          <w:sz w:val="32"/>
          <w:szCs w:val="32"/>
        </w:rPr>
      </w:pPr>
      <w:r>
        <w:rPr>
          <w:rFonts w:hint="eastAsia" w:ascii="仿宋" w:hAnsi="仿宋" w:eastAsia="仿宋"/>
          <w:color w:val="FF0000"/>
          <w:sz w:val="32"/>
          <w:szCs w:val="32"/>
        </w:rPr>
        <w:t>（图4：财政拨款收、支决算总计变动情况）（柱状图）</w:t>
      </w:r>
    </w:p>
    <w:p>
      <w:pPr>
        <w:spacing w:line="600" w:lineRule="exact"/>
        <w:ind w:firstLine="640" w:firstLineChars="200"/>
        <w:outlineLvl w:val="1"/>
        <w:rPr>
          <w:rStyle w:val="25"/>
          <w:rFonts w:ascii="黑体" w:hAnsi="黑体" w:eastAsia="黑体"/>
          <w:b w:val="0"/>
        </w:rPr>
      </w:pPr>
      <w:bookmarkStart w:id="32" w:name="_Toc15377209"/>
      <w:bookmarkStart w:id="33" w:name="_Toc15396607"/>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25"/>
          <w:rFonts w:hint="eastAsia" w:ascii="黑体" w:hAnsi="黑体" w:eastAsia="黑体"/>
          <w:b w:val="0"/>
        </w:rPr>
        <w:t>般公共预算财政拨款支出决算情况说明</w:t>
      </w:r>
      <w:bookmarkEnd w:id="32"/>
      <w:bookmarkEnd w:id="33"/>
    </w:p>
    <w:p>
      <w:pPr>
        <w:spacing w:line="600" w:lineRule="exact"/>
        <w:ind w:firstLine="642" w:firstLineChars="200"/>
        <w:outlineLvl w:val="2"/>
        <w:rPr>
          <w:rFonts w:ascii="仿宋" w:hAnsi="仿宋" w:eastAsia="仿宋"/>
          <w:color w:val="000000"/>
          <w:sz w:val="32"/>
          <w:szCs w:val="32"/>
        </w:rPr>
      </w:pPr>
      <w:bookmarkStart w:id="34" w:name="_Toc15377210"/>
      <w:r>
        <w:rPr>
          <w:rFonts w:hint="eastAsia" w:ascii="仿宋" w:hAnsi="仿宋" w:eastAsia="仿宋"/>
          <w:b/>
          <w:color w:val="000000"/>
          <w:sz w:val="32"/>
          <w:szCs w:val="32"/>
        </w:rPr>
        <w:t>（一）一般公共预算财政拨款支出决算总体情况</w:t>
      </w:r>
      <w:bookmarkEnd w:id="34"/>
    </w:p>
    <w:p>
      <w:pPr>
        <w:spacing w:line="576" w:lineRule="exact"/>
        <w:ind w:firstLine="640" w:firstLineChars="200"/>
      </w:pPr>
      <w:r>
        <w:rPr>
          <w:rFonts w:hint="eastAsia" w:ascii="仿宋_GB2312" w:eastAsia="仿宋_GB2312"/>
          <w:color w:val="000000"/>
          <w:sz w:val="32"/>
          <w:szCs w:val="32"/>
        </w:rPr>
        <w:t>2020年度一般公共预算财政拨款支出1006.68万元，占本年支出合计的100%。与2019年1318.94万元相比，一般公共预算财政拨款支出减少312.26万元，减少23.68%。</w:t>
      </w:r>
    </w:p>
    <w:p>
      <w:pPr>
        <w:pStyle w:val="2"/>
        <w:rPr>
          <w:rFonts w:ascii="仿宋_GB2312" w:eastAsia="仿宋_GB2312"/>
          <w:sz w:val="32"/>
          <w:szCs w:val="32"/>
        </w:rPr>
      </w:pPr>
      <w:r>
        <w:rPr>
          <w:rFonts w:hint="eastAsia" w:ascii="仿宋_GB2312" w:eastAsia="仿宋_GB2312"/>
          <w:sz w:val="32"/>
          <w:szCs w:val="32"/>
        </w:rPr>
        <w:drawing>
          <wp:inline distT="0" distB="0" distL="114300" distR="114300">
            <wp:extent cx="5276215" cy="3104515"/>
            <wp:effectExtent l="0" t="0" r="635" b="635"/>
            <wp:docPr id="7" name="图片 7" descr="BM2WX9T847I`D(DX)R~HGK5"/>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7" name="图片 7" descr="BM2WX9T847I`D(DX)R~HGK5"/>
                    <pic:cNvPicPr>
                      <a:picLocks noChangeAspect="true"/>
                    </pic:cNvPicPr>
                  </pic:nvPicPr>
                  <pic:blipFill>
                    <a:blip r:embed="rId10"/>
                    <a:stretch>
                      <a:fillRect/>
                    </a:stretch>
                  </pic:blipFill>
                  <pic:spPr>
                    <a:xfrm>
                      <a:off x="0" y="0"/>
                      <a:ext cx="5276215" cy="3104515"/>
                    </a:xfrm>
                    <a:prstGeom prst="rect">
                      <a:avLst/>
                    </a:prstGeom>
                  </pic:spPr>
                </pic:pic>
              </a:graphicData>
            </a:graphic>
          </wp:inline>
        </w:drawing>
      </w:r>
    </w:p>
    <w:p>
      <w:pPr>
        <w:spacing w:line="600" w:lineRule="exact"/>
        <w:rPr>
          <w:rFonts w:ascii="仿宋" w:hAnsi="仿宋" w:eastAsia="仿宋"/>
          <w:color w:val="000000" w:themeColor="text1"/>
          <w:sz w:val="32"/>
          <w:szCs w:val="32"/>
        </w:rPr>
      </w:pPr>
      <w:r>
        <w:rPr>
          <w:rFonts w:hint="eastAsia" w:ascii="仿宋" w:hAnsi="仿宋" w:eastAsia="仿宋"/>
          <w:color w:val="FF0000"/>
          <w:sz w:val="32"/>
          <w:szCs w:val="32"/>
        </w:rPr>
        <w:t>（图5：一般公共预算财政拨款支出决算变动情况）（柱状图）</w:t>
      </w:r>
    </w:p>
    <w:p>
      <w:pPr>
        <w:spacing w:line="600" w:lineRule="exact"/>
        <w:ind w:firstLine="642" w:firstLineChars="200"/>
        <w:outlineLvl w:val="2"/>
        <w:rPr>
          <w:rFonts w:ascii="仿宋" w:hAnsi="仿宋" w:eastAsia="仿宋"/>
          <w:b/>
          <w:color w:val="000000"/>
          <w:sz w:val="32"/>
          <w:szCs w:val="32"/>
        </w:rPr>
      </w:pPr>
      <w:bookmarkStart w:id="35" w:name="_Toc15377211"/>
      <w:r>
        <w:rPr>
          <w:rFonts w:hint="eastAsia" w:ascii="仿宋" w:hAnsi="仿宋" w:eastAsia="仿宋"/>
          <w:b/>
          <w:color w:val="000000"/>
          <w:sz w:val="32"/>
          <w:szCs w:val="32"/>
        </w:rPr>
        <w:t>（二）一般公共预算财政拨款支出决算结构情况</w:t>
      </w:r>
      <w:bookmarkEnd w:id="35"/>
    </w:p>
    <w:p>
      <w:pPr>
        <w:spacing w:line="600" w:lineRule="exact"/>
        <w:ind w:firstLine="640"/>
        <w:rPr>
          <w:rFonts w:ascii="仿宋_GB2312" w:eastAsia="仿宋_GB2312"/>
          <w:color w:val="000000"/>
          <w:sz w:val="32"/>
          <w:szCs w:val="32"/>
        </w:rPr>
      </w:pPr>
      <w:r>
        <w:rPr>
          <w:rFonts w:hint="eastAsia" w:ascii="仿宋_GB2312" w:eastAsia="仿宋_GB2312"/>
          <w:color w:val="000000"/>
          <w:sz w:val="32"/>
          <w:szCs w:val="32"/>
        </w:rPr>
        <w:t>2020年一般公共预算财政拨款支出1006.67万元，主要用于以下方面:一般公共服务支出510.90万元，占50.75%；文化体育和传媒支出24.06万元，占2.40%；社会保障和就业支出53,95万元，占5.35%；医疗卫生支出42.89万元，占4.26%；城乡社区支出52.14万元，占5.18%；农林水支出291.92万元，占29%；住房保障支出30.81万元，占3.06%。</w:t>
      </w:r>
    </w:p>
    <w:p>
      <w:pPr>
        <w:pStyle w:val="2"/>
        <w:rPr>
          <w:rFonts w:ascii="仿宋_GB2312" w:eastAsia="仿宋_GB2312"/>
          <w:sz w:val="32"/>
          <w:szCs w:val="32"/>
        </w:rPr>
      </w:pPr>
      <w:r>
        <w:rPr>
          <w:rFonts w:hint="eastAsia" w:ascii="仿宋_GB2312" w:eastAsia="仿宋_GB2312"/>
          <w:sz w:val="32"/>
          <w:szCs w:val="32"/>
        </w:rPr>
        <w:drawing>
          <wp:inline distT="0" distB="0" distL="114300" distR="114300">
            <wp:extent cx="5229225" cy="3133725"/>
            <wp:effectExtent l="0" t="0" r="9525" b="9525"/>
            <wp:docPr id="5" name="图片 5" descr="G8JA5G5FQ%XU}OU{ZS60GI3"/>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5" name="图片 5" descr="G8JA5G5FQ%XU}OU{ZS60GI3"/>
                    <pic:cNvPicPr>
                      <a:picLocks noChangeAspect="true"/>
                    </pic:cNvPicPr>
                  </pic:nvPicPr>
                  <pic:blipFill>
                    <a:blip r:embed="rId11"/>
                    <a:stretch>
                      <a:fillRect/>
                    </a:stretch>
                  </pic:blipFill>
                  <pic:spPr>
                    <a:xfrm>
                      <a:off x="0" y="0"/>
                      <a:ext cx="5229225" cy="3133725"/>
                    </a:xfrm>
                    <a:prstGeom prst="rect">
                      <a:avLst/>
                    </a:prstGeom>
                  </pic:spPr>
                </pic:pic>
              </a:graphicData>
            </a:graphic>
          </wp:inline>
        </w:drawing>
      </w:r>
    </w:p>
    <w:p>
      <w:pPr>
        <w:spacing w:line="600" w:lineRule="exact"/>
        <w:ind w:firstLine="640" w:firstLineChars="200"/>
        <w:rPr>
          <w:rFonts w:ascii="仿宋" w:hAnsi="仿宋" w:eastAsia="仿宋"/>
          <w:color w:val="000000"/>
          <w:sz w:val="32"/>
          <w:szCs w:val="32"/>
        </w:rPr>
      </w:pPr>
      <w:r>
        <w:rPr>
          <w:rFonts w:hint="eastAsia" w:ascii="仿宋" w:hAnsi="仿宋" w:eastAsia="仿宋"/>
          <w:color w:val="FF0000"/>
          <w:sz w:val="32"/>
          <w:szCs w:val="32"/>
        </w:rPr>
        <w:t>（图6：一般公共预算财政拨款支出决算结构）（饼状图）</w:t>
      </w:r>
    </w:p>
    <w:p>
      <w:pPr>
        <w:spacing w:line="600" w:lineRule="exact"/>
        <w:ind w:firstLine="642" w:firstLineChars="200"/>
        <w:outlineLvl w:val="2"/>
        <w:rPr>
          <w:rFonts w:ascii="仿宋" w:hAnsi="仿宋" w:eastAsia="仿宋"/>
          <w:b/>
          <w:color w:val="000000"/>
          <w:sz w:val="32"/>
          <w:szCs w:val="32"/>
        </w:rPr>
      </w:pPr>
      <w:bookmarkStart w:id="36" w:name="_Toc15377212"/>
      <w:r>
        <w:rPr>
          <w:rFonts w:hint="eastAsia" w:ascii="仿宋" w:hAnsi="仿宋" w:eastAsia="仿宋"/>
          <w:b/>
          <w:color w:val="000000"/>
          <w:sz w:val="32"/>
          <w:szCs w:val="32"/>
        </w:rPr>
        <w:t>（三）一般公共预算财政拨款支出决算具体情况</w:t>
      </w:r>
      <w:bookmarkEnd w:id="36"/>
    </w:p>
    <w:p>
      <w:pPr>
        <w:spacing w:line="600" w:lineRule="exact"/>
        <w:ind w:firstLine="642" w:firstLineChars="200"/>
        <w:outlineLvl w:val="2"/>
        <w:rPr>
          <w:rFonts w:ascii="仿宋" w:hAnsi="仿宋" w:eastAsia="仿宋"/>
          <w:color w:val="FF0000"/>
          <w:sz w:val="32"/>
          <w:szCs w:val="32"/>
        </w:rPr>
      </w:pPr>
      <w:bookmarkStart w:id="37" w:name="_Toc15378460"/>
      <w:bookmarkStart w:id="38" w:name="_Toc15377213"/>
      <w:bookmarkStart w:id="39" w:name="_Toc15377444"/>
      <w:r>
        <w:rPr>
          <w:rFonts w:hint="eastAsia" w:ascii="仿宋" w:hAnsi="仿宋" w:eastAsia="仿宋"/>
          <w:b/>
          <w:color w:val="000000" w:themeColor="text1"/>
          <w:sz w:val="32"/>
          <w:szCs w:val="32"/>
        </w:rPr>
        <w:t>2020年般公共预算支出决算数为510.9</w:t>
      </w:r>
      <w:r>
        <w:rPr>
          <w:rFonts w:hint="eastAsia" w:ascii="仿宋" w:hAnsi="仿宋" w:eastAsia="仿宋"/>
          <w:color w:val="000000" w:themeColor="text1"/>
          <w:sz w:val="32"/>
          <w:szCs w:val="32"/>
        </w:rPr>
        <w:t>，</w:t>
      </w:r>
      <w:r>
        <w:rPr>
          <w:rStyle w:val="15"/>
          <w:rFonts w:hint="eastAsia" w:ascii="仿宋" w:hAnsi="仿宋" w:eastAsia="仿宋"/>
          <w:bCs/>
          <w:color w:val="000000" w:themeColor="text1"/>
          <w:sz w:val="32"/>
          <w:szCs w:val="32"/>
        </w:rPr>
        <w:t>完成</w:t>
      </w:r>
      <w:r>
        <w:rPr>
          <w:rStyle w:val="15"/>
          <w:rFonts w:hint="eastAsia" w:ascii="仿宋" w:hAnsi="仿宋" w:eastAsia="仿宋"/>
          <w:bCs/>
          <w:color w:val="000000"/>
          <w:sz w:val="32"/>
          <w:szCs w:val="32"/>
        </w:rPr>
        <w:t>预算96.15</w:t>
      </w:r>
      <w:r>
        <w:rPr>
          <w:rStyle w:val="15"/>
          <w:rFonts w:ascii="仿宋" w:hAnsi="仿宋" w:eastAsia="仿宋"/>
          <w:bCs/>
          <w:color w:val="000000"/>
          <w:sz w:val="32"/>
          <w:szCs w:val="32"/>
        </w:rPr>
        <w:t>%</w:t>
      </w:r>
      <w:r>
        <w:rPr>
          <w:rStyle w:val="15"/>
          <w:rFonts w:hint="eastAsia" w:ascii="仿宋" w:hAnsi="仿宋" w:eastAsia="仿宋"/>
          <w:bCs/>
          <w:color w:val="000000"/>
          <w:sz w:val="32"/>
          <w:szCs w:val="32"/>
        </w:rPr>
        <w:t>。其中：</w:t>
      </w:r>
      <w:bookmarkEnd w:id="37"/>
      <w:bookmarkEnd w:id="38"/>
      <w:bookmarkEnd w:id="39"/>
    </w:p>
    <w:p>
      <w:pPr>
        <w:spacing w:line="576" w:lineRule="exact"/>
        <w:ind w:firstLine="642" w:firstLineChars="200"/>
        <w:rPr>
          <w:rStyle w:val="15"/>
          <w:rFonts w:ascii="仿宋_GB2312" w:eastAsia="仿宋_GB2312"/>
          <w:b w:val="0"/>
          <w:color w:val="000000"/>
          <w:sz w:val="32"/>
          <w:szCs w:val="32"/>
        </w:rPr>
      </w:pPr>
      <w:r>
        <w:rPr>
          <w:rStyle w:val="15"/>
          <w:rFonts w:hint="eastAsia" w:ascii="仿宋_GB2312" w:eastAsia="仿宋_GB2312"/>
          <w:color w:val="000000"/>
          <w:sz w:val="32"/>
          <w:szCs w:val="32"/>
        </w:rPr>
        <w:t>1.一般公共服务:</w:t>
      </w:r>
      <w:r>
        <w:rPr>
          <w:rStyle w:val="15"/>
          <w:rFonts w:hint="eastAsia" w:ascii="仿宋_GB2312" w:eastAsia="仿宋_GB2312"/>
          <w:b w:val="0"/>
          <w:color w:val="000000"/>
          <w:sz w:val="32"/>
          <w:szCs w:val="32"/>
        </w:rPr>
        <w:t xml:space="preserve"> </w:t>
      </w:r>
      <w:r>
        <w:rPr>
          <w:rFonts w:hint="eastAsia" w:ascii="仿宋_GB2312" w:eastAsia="仿宋_GB2312"/>
          <w:color w:val="000000"/>
          <w:sz w:val="32"/>
          <w:szCs w:val="32"/>
        </w:rPr>
        <w:t>2020年决算数为510.90万元，完成预算96.15%，决算数小于预算数的主要原因是2019年一人的退休中人补助、解决徐茂辉行政诉讼律师费等7.6万元暂未支付。其中：</w:t>
      </w:r>
      <w:r>
        <w:rPr>
          <w:rStyle w:val="15"/>
          <w:rFonts w:hint="eastAsia" w:ascii="仿宋_GB2312" w:eastAsia="仿宋_GB2312"/>
          <w:color w:val="000000"/>
          <w:sz w:val="32"/>
          <w:szCs w:val="32"/>
        </w:rPr>
        <w:t>一般公共服务支出-</w:t>
      </w:r>
      <w:r>
        <w:rPr>
          <w:rFonts w:hint="eastAsia" w:ascii="仿宋_GB2312" w:eastAsia="仿宋_GB2312"/>
          <w:color w:val="000000"/>
          <w:sz w:val="32"/>
          <w:szCs w:val="32"/>
        </w:rPr>
        <w:t>人大事务-代表工作1.52万元；</w:t>
      </w:r>
      <w:r>
        <w:rPr>
          <w:rStyle w:val="15"/>
          <w:rFonts w:hint="eastAsia" w:ascii="仿宋_GB2312" w:eastAsia="仿宋_GB2312"/>
          <w:color w:val="000000"/>
          <w:sz w:val="32"/>
          <w:szCs w:val="32"/>
        </w:rPr>
        <w:t>一般公共服务支出-</w:t>
      </w:r>
      <w:r>
        <w:rPr>
          <w:rFonts w:hint="eastAsia" w:ascii="仿宋_GB2312" w:eastAsia="仿宋_GB2312"/>
          <w:color w:val="000000"/>
          <w:sz w:val="32"/>
          <w:szCs w:val="32"/>
        </w:rPr>
        <w:t>政府办公厅（室）--行政运行432.68万元，</w:t>
      </w:r>
      <w:r>
        <w:rPr>
          <w:rStyle w:val="15"/>
          <w:rFonts w:hint="eastAsia" w:ascii="仿宋_GB2312" w:eastAsia="仿宋_GB2312"/>
          <w:color w:val="000000"/>
          <w:sz w:val="32"/>
          <w:szCs w:val="32"/>
        </w:rPr>
        <w:t>一般公共服务支出-</w:t>
      </w:r>
      <w:r>
        <w:rPr>
          <w:rFonts w:hint="eastAsia" w:ascii="仿宋_GB2312" w:eastAsia="仿宋_GB2312"/>
          <w:color w:val="000000"/>
          <w:sz w:val="32"/>
          <w:szCs w:val="32"/>
        </w:rPr>
        <w:t>政府办公厅（室）--一般行政管理事务17.75万元；</w:t>
      </w:r>
      <w:r>
        <w:rPr>
          <w:rStyle w:val="15"/>
          <w:rFonts w:hint="eastAsia" w:ascii="仿宋_GB2312" w:eastAsia="仿宋_GB2312"/>
          <w:color w:val="000000"/>
          <w:sz w:val="32"/>
          <w:szCs w:val="32"/>
        </w:rPr>
        <w:t>一般公共服务支出-</w:t>
      </w:r>
      <w:r>
        <w:rPr>
          <w:rFonts w:hint="eastAsia" w:ascii="仿宋_GB2312" w:eastAsia="仿宋_GB2312"/>
          <w:color w:val="000000"/>
          <w:sz w:val="32"/>
          <w:szCs w:val="32"/>
        </w:rPr>
        <w:t>财政事务--行政运行16.93万元；</w:t>
      </w:r>
      <w:r>
        <w:rPr>
          <w:rStyle w:val="15"/>
          <w:rFonts w:hint="eastAsia" w:ascii="仿宋_GB2312" w:eastAsia="仿宋_GB2312"/>
          <w:color w:val="000000"/>
          <w:sz w:val="32"/>
          <w:szCs w:val="32"/>
        </w:rPr>
        <w:t>一般公共服务支出-</w:t>
      </w:r>
      <w:r>
        <w:rPr>
          <w:rFonts w:hint="eastAsia" w:ascii="仿宋_GB2312" w:eastAsia="仿宋_GB2312"/>
          <w:color w:val="000000"/>
          <w:sz w:val="32"/>
          <w:szCs w:val="32"/>
        </w:rPr>
        <w:t>党委办公厅（室）及相关机构事务--行政运行40.67万元，</w:t>
      </w:r>
      <w:r>
        <w:rPr>
          <w:rStyle w:val="15"/>
          <w:rFonts w:hint="eastAsia" w:ascii="仿宋_GB2312" w:eastAsia="仿宋_GB2312"/>
          <w:color w:val="000000"/>
          <w:sz w:val="32"/>
          <w:szCs w:val="32"/>
        </w:rPr>
        <w:t>一般公共服务支出-</w:t>
      </w:r>
      <w:r>
        <w:rPr>
          <w:rFonts w:hint="eastAsia" w:ascii="仿宋_GB2312" w:eastAsia="仿宋_GB2312"/>
          <w:color w:val="000000"/>
          <w:sz w:val="32"/>
          <w:szCs w:val="32"/>
        </w:rPr>
        <w:t>党委办公厅（室）及相关机构事务--专项业务费1.35万元。</w:t>
      </w:r>
    </w:p>
    <w:p>
      <w:pPr>
        <w:spacing w:line="576" w:lineRule="exact"/>
        <w:ind w:firstLine="642" w:firstLineChars="200"/>
        <w:rPr>
          <w:rFonts w:ascii="仿宋_GB2312" w:eastAsia="仿宋_GB2312"/>
          <w:b/>
          <w:color w:val="000000"/>
          <w:sz w:val="32"/>
          <w:szCs w:val="32"/>
        </w:rPr>
      </w:pPr>
      <w:r>
        <w:rPr>
          <w:rStyle w:val="15"/>
          <w:rFonts w:hint="eastAsia" w:ascii="仿宋_GB2312" w:eastAsia="仿宋_GB2312"/>
          <w:color w:val="000000"/>
          <w:sz w:val="32"/>
          <w:szCs w:val="32"/>
        </w:rPr>
        <w:t>2.文化体育与传媒支出:</w:t>
      </w:r>
      <w:r>
        <w:rPr>
          <w:rFonts w:hint="eastAsia" w:ascii="仿宋_GB2312" w:eastAsia="仿宋_GB2312"/>
          <w:color w:val="000000"/>
          <w:sz w:val="32"/>
          <w:szCs w:val="32"/>
        </w:rPr>
        <w:t>2020年决算数为24.06万元，完成预算100%。其中：</w:t>
      </w:r>
      <w:r>
        <w:rPr>
          <w:rStyle w:val="15"/>
          <w:rFonts w:hint="eastAsia" w:ascii="仿宋_GB2312" w:eastAsia="仿宋_GB2312"/>
          <w:color w:val="000000"/>
          <w:sz w:val="32"/>
          <w:szCs w:val="32"/>
        </w:rPr>
        <w:t>文化体育与传媒支出-文化-行政运行19.06万元；文化体育与传媒支出-其他文化体育与传媒支出-其他文化体育与传媒支出5万元。</w:t>
      </w:r>
      <w:r>
        <w:rPr>
          <w:rFonts w:hint="eastAsia" w:ascii="仿宋_GB2312" w:eastAsia="仿宋_GB2312"/>
          <w:b/>
          <w:color w:val="000000"/>
          <w:sz w:val="32"/>
          <w:szCs w:val="32"/>
        </w:rPr>
        <w:t>　</w:t>
      </w:r>
    </w:p>
    <w:p>
      <w:pPr>
        <w:spacing w:line="576" w:lineRule="exact"/>
        <w:ind w:firstLine="642" w:firstLineChars="200"/>
        <w:rPr>
          <w:rStyle w:val="15"/>
          <w:rFonts w:ascii="仿宋_GB2312" w:eastAsia="仿宋_GB2312"/>
          <w:color w:val="000000"/>
          <w:sz w:val="32"/>
          <w:szCs w:val="32"/>
        </w:rPr>
      </w:pPr>
      <w:r>
        <w:rPr>
          <w:rStyle w:val="15"/>
          <w:rFonts w:hint="eastAsia" w:ascii="仿宋_GB2312" w:eastAsia="仿宋_GB2312"/>
          <w:color w:val="000000"/>
          <w:sz w:val="32"/>
          <w:szCs w:val="32"/>
        </w:rPr>
        <w:t>3.社会保障和就业支出:</w:t>
      </w:r>
      <w:r>
        <w:rPr>
          <w:rFonts w:hint="eastAsia" w:ascii="仿宋_GB2312" w:eastAsia="仿宋_GB2312"/>
          <w:color w:val="000000"/>
          <w:sz w:val="32"/>
          <w:szCs w:val="32"/>
        </w:rPr>
        <w:t>2020年决算数为53.95万元，完成预算97.77%。决算数小于预算数的主要原因是义务兵优待有半个人6115暂未支付。其中：</w:t>
      </w:r>
      <w:r>
        <w:rPr>
          <w:rStyle w:val="15"/>
          <w:rFonts w:hint="eastAsia" w:ascii="仿宋_GB2312" w:eastAsia="仿宋_GB2312"/>
          <w:color w:val="000000"/>
          <w:sz w:val="32"/>
          <w:szCs w:val="32"/>
        </w:rPr>
        <w:t>社会保障和就业支出-行政事业单位养老支出-机关事业单位基本养老保险缴费42.15万元，社会保障和就业支出-行政事业单位养老支出-机关事业单位职业年金缴费支出6.37万元；社会保障和就业支出-抚恤-义务兵优待2.71万元，其他社会保障和就业支出-其他社会保障和就业支出支2.72万元。</w:t>
      </w:r>
    </w:p>
    <w:p>
      <w:pPr>
        <w:spacing w:line="576" w:lineRule="exact"/>
        <w:ind w:firstLine="642" w:firstLineChars="200"/>
        <w:rPr>
          <w:rStyle w:val="15"/>
          <w:rFonts w:ascii="仿宋_GB2312" w:eastAsia="仿宋_GB2312"/>
          <w:color w:val="000000"/>
          <w:sz w:val="32"/>
          <w:szCs w:val="32"/>
        </w:rPr>
      </w:pPr>
      <w:r>
        <w:rPr>
          <w:rFonts w:hint="eastAsia" w:ascii="仿宋_GB2312" w:eastAsia="仿宋_GB2312"/>
          <w:b/>
          <w:color w:val="000000"/>
          <w:sz w:val="32"/>
          <w:szCs w:val="32"/>
        </w:rPr>
        <w:t>4</w:t>
      </w:r>
      <w:r>
        <w:rPr>
          <w:rStyle w:val="15"/>
          <w:rFonts w:hint="eastAsia" w:ascii="仿宋_GB2312" w:eastAsia="仿宋_GB2312"/>
          <w:color w:val="000000"/>
          <w:sz w:val="32"/>
          <w:szCs w:val="32"/>
        </w:rPr>
        <w:t>.医疗卫生与计划生育支出:</w:t>
      </w:r>
      <w:r>
        <w:rPr>
          <w:rFonts w:hint="eastAsia" w:ascii="仿宋_GB2312" w:eastAsia="仿宋_GB2312"/>
          <w:color w:val="000000"/>
          <w:sz w:val="32"/>
          <w:szCs w:val="32"/>
        </w:rPr>
        <w:t>2020年决算数为42.89万元，完成预算100%。其中：</w:t>
      </w:r>
      <w:r>
        <w:rPr>
          <w:rStyle w:val="15"/>
          <w:rFonts w:hint="eastAsia" w:ascii="仿宋_GB2312" w:eastAsia="仿宋_GB2312"/>
          <w:color w:val="000000"/>
          <w:sz w:val="32"/>
          <w:szCs w:val="32"/>
        </w:rPr>
        <w:t>医疗卫生与计划生育支出-计划生育事务-计划生育机构19.27万元；医疗卫生与计划生育支出-计划生育事务-计划生育服务2.32万元；医疗卫生与计划生育支出-行政事业单位医疗-行政单位医疗21.30万元。</w:t>
      </w:r>
    </w:p>
    <w:p>
      <w:pPr>
        <w:spacing w:line="576" w:lineRule="exact"/>
        <w:ind w:firstLine="642" w:firstLineChars="200"/>
        <w:rPr>
          <w:rStyle w:val="15"/>
          <w:rFonts w:ascii="仿宋_GB2312" w:eastAsia="仿宋_GB2312"/>
          <w:color w:val="000000"/>
          <w:sz w:val="32"/>
          <w:szCs w:val="32"/>
        </w:rPr>
      </w:pPr>
      <w:r>
        <w:rPr>
          <w:rStyle w:val="15"/>
          <w:rFonts w:hint="eastAsia" w:ascii="仿宋_GB2312" w:eastAsia="仿宋_GB2312"/>
          <w:color w:val="000000"/>
          <w:sz w:val="32"/>
          <w:szCs w:val="32"/>
        </w:rPr>
        <w:t>5.城乡社区支出：</w:t>
      </w:r>
      <w:r>
        <w:rPr>
          <w:rFonts w:hint="eastAsia" w:ascii="仿宋_GB2312" w:eastAsia="仿宋_GB2312"/>
          <w:color w:val="000000"/>
          <w:sz w:val="32"/>
          <w:szCs w:val="32"/>
        </w:rPr>
        <w:t>2020年决算数为52.14万元，完成预算100%。其中：</w:t>
      </w:r>
      <w:r>
        <w:rPr>
          <w:rStyle w:val="15"/>
          <w:rFonts w:hint="eastAsia" w:ascii="仿宋_GB2312" w:eastAsia="仿宋_GB2312"/>
          <w:color w:val="000000"/>
          <w:sz w:val="32"/>
          <w:szCs w:val="32"/>
        </w:rPr>
        <w:t>城乡社区支出-城乡社区管理事务-行政运行5.74万元，城乡社区支出-城乡社区管理事务-一般行政管理事务46.40万元。</w:t>
      </w:r>
    </w:p>
    <w:p>
      <w:pPr>
        <w:spacing w:line="576" w:lineRule="exact"/>
        <w:ind w:firstLine="642" w:firstLineChars="200"/>
        <w:rPr>
          <w:rFonts w:ascii="仿宋_GB2312" w:eastAsia="仿宋_GB2312"/>
          <w:color w:val="000000"/>
          <w:sz w:val="32"/>
          <w:szCs w:val="32"/>
        </w:rPr>
      </w:pPr>
      <w:r>
        <w:rPr>
          <w:rStyle w:val="15"/>
          <w:rFonts w:hint="eastAsia" w:ascii="仿宋_GB2312" w:eastAsia="仿宋_GB2312"/>
          <w:color w:val="000000"/>
          <w:sz w:val="32"/>
          <w:szCs w:val="32"/>
        </w:rPr>
        <w:t>6.农林水支出：</w:t>
      </w:r>
      <w:r>
        <w:rPr>
          <w:rFonts w:hint="eastAsia" w:ascii="仿宋_GB2312" w:eastAsia="仿宋_GB2312"/>
          <w:color w:val="000000"/>
          <w:sz w:val="32"/>
          <w:szCs w:val="32"/>
        </w:rPr>
        <w:t>2020年决算数为291.92万元，完成预算47.55%。决算数小于预算数的主要原因是村组办公费86.64万元、村干部绩效23.4万元和村干部生活补助72.44万元暂未支付。其中：农林水支出-农业-行政运行13.49万元；农林水支出-林业-林业防灾减灾1.5万元；农林水支出-水利-行政运行17.71万元；农林水支出-扶贫-其他扶贫支出24.92万元；农林水支出-农村综合改革-对村民委员会和村党支部的补助214.3万元；农林水事务-农村综合改革-其他农村综合改革支出20万元。</w:t>
      </w:r>
    </w:p>
    <w:p>
      <w:pPr>
        <w:spacing w:line="576" w:lineRule="exact"/>
        <w:ind w:firstLine="642" w:firstLineChars="200"/>
        <w:rPr>
          <w:rFonts w:ascii="仿宋_GB2312" w:eastAsia="仿宋_GB2312"/>
          <w:b/>
          <w:color w:val="000000"/>
          <w:sz w:val="32"/>
          <w:szCs w:val="32"/>
        </w:rPr>
      </w:pPr>
      <w:r>
        <w:rPr>
          <w:rFonts w:hint="eastAsia" w:ascii="仿宋_GB2312" w:eastAsia="仿宋_GB2312"/>
          <w:b/>
          <w:color w:val="000000"/>
          <w:sz w:val="32"/>
          <w:szCs w:val="32"/>
        </w:rPr>
        <w:t>7.住房保障支出：</w:t>
      </w:r>
      <w:r>
        <w:rPr>
          <w:rFonts w:hint="eastAsia" w:ascii="仿宋_GB2312" w:eastAsia="仿宋_GB2312"/>
          <w:color w:val="000000"/>
          <w:sz w:val="32"/>
          <w:szCs w:val="32"/>
        </w:rPr>
        <w:t>2020年决算数为30.81万元，完成预算100%。其中：</w:t>
      </w:r>
      <w:r>
        <w:rPr>
          <w:rFonts w:hint="eastAsia" w:ascii="仿宋_GB2312" w:eastAsia="仿宋_GB2312"/>
          <w:b/>
          <w:color w:val="000000"/>
          <w:sz w:val="32"/>
          <w:szCs w:val="32"/>
        </w:rPr>
        <w:t>住房保障支出-住房改革支出-住房公积金</w:t>
      </w:r>
      <w:r>
        <w:rPr>
          <w:rFonts w:hint="eastAsia" w:ascii="仿宋_GB2312" w:eastAsia="仿宋_GB2312"/>
          <w:color w:val="000000"/>
          <w:sz w:val="32"/>
          <w:szCs w:val="32"/>
        </w:rPr>
        <w:t>30.81</w:t>
      </w:r>
      <w:r>
        <w:rPr>
          <w:rFonts w:hint="eastAsia" w:ascii="仿宋_GB2312" w:eastAsia="仿宋_GB2312"/>
          <w:b/>
          <w:color w:val="000000"/>
          <w:sz w:val="32"/>
          <w:szCs w:val="32"/>
        </w:rPr>
        <w:t>万元。</w:t>
      </w:r>
    </w:p>
    <w:p>
      <w:pPr>
        <w:spacing w:line="600" w:lineRule="exact"/>
        <w:ind w:firstLine="642" w:firstLineChars="200"/>
        <w:rPr>
          <w:rFonts w:ascii="仿宋" w:hAnsi="仿宋" w:eastAsia="仿宋"/>
          <w:b/>
          <w:color w:val="000000" w:themeColor="text1"/>
          <w:sz w:val="32"/>
          <w:szCs w:val="32"/>
        </w:rPr>
      </w:pPr>
      <w:r>
        <w:rPr>
          <w:rFonts w:hint="eastAsia" w:ascii="仿宋" w:hAnsi="仿宋" w:eastAsia="仿宋"/>
          <w:b/>
          <w:color w:val="000000" w:themeColor="text1"/>
          <w:sz w:val="32"/>
          <w:szCs w:val="32"/>
        </w:rPr>
        <w:t>（注：数据来源于财决</w:t>
      </w:r>
      <w:r>
        <w:rPr>
          <w:rFonts w:ascii="仿宋" w:hAnsi="仿宋" w:eastAsia="仿宋"/>
          <w:b/>
          <w:color w:val="000000" w:themeColor="text1"/>
          <w:sz w:val="32"/>
          <w:szCs w:val="32"/>
        </w:rPr>
        <w:t>Z01-1</w:t>
      </w:r>
      <w:r>
        <w:rPr>
          <w:rFonts w:hint="eastAsia" w:ascii="仿宋" w:hAnsi="仿宋" w:eastAsia="仿宋"/>
          <w:b/>
          <w:color w:val="000000" w:themeColor="text1"/>
          <w:sz w:val="32"/>
          <w:szCs w:val="32"/>
        </w:rPr>
        <w:t>表，罗列全部功能分类科目至项级。上述“预算”口径为调整预算数。增减变动原因为决算数</w:t>
      </w:r>
      <w:r>
        <w:rPr>
          <w:rFonts w:ascii="仿宋" w:hAnsi="仿宋" w:eastAsia="仿宋"/>
          <w:b/>
          <w:color w:val="000000" w:themeColor="text1"/>
          <w:sz w:val="32"/>
          <w:szCs w:val="32"/>
        </w:rPr>
        <w:t>&lt;</w:t>
      </w:r>
      <w:r>
        <w:rPr>
          <w:rFonts w:hint="eastAsia" w:ascii="仿宋" w:hAnsi="仿宋" w:eastAsia="仿宋"/>
          <w:b/>
          <w:color w:val="000000" w:themeColor="text1"/>
          <w:sz w:val="32"/>
          <w:szCs w:val="32"/>
        </w:rPr>
        <w:t>项级</w:t>
      </w:r>
      <w:r>
        <w:rPr>
          <w:rFonts w:ascii="仿宋" w:hAnsi="仿宋" w:eastAsia="仿宋"/>
          <w:b/>
          <w:color w:val="000000" w:themeColor="text1"/>
          <w:sz w:val="32"/>
          <w:szCs w:val="32"/>
        </w:rPr>
        <w:t>&gt;</w:t>
      </w:r>
      <w:r>
        <w:rPr>
          <w:rFonts w:hint="eastAsia" w:ascii="仿宋" w:hAnsi="仿宋" w:eastAsia="仿宋"/>
          <w:b/>
          <w:color w:val="000000" w:themeColor="text1"/>
          <w:sz w:val="32"/>
          <w:szCs w:val="32"/>
        </w:rPr>
        <w:t>和调整预算数</w:t>
      </w:r>
      <w:r>
        <w:rPr>
          <w:rFonts w:ascii="仿宋" w:hAnsi="仿宋" w:eastAsia="仿宋"/>
          <w:b/>
          <w:color w:val="000000" w:themeColor="text1"/>
          <w:sz w:val="32"/>
          <w:szCs w:val="32"/>
        </w:rPr>
        <w:t>&lt;</w:t>
      </w:r>
      <w:r>
        <w:rPr>
          <w:rFonts w:hint="eastAsia" w:ascii="仿宋" w:hAnsi="仿宋" w:eastAsia="仿宋"/>
          <w:b/>
          <w:color w:val="000000" w:themeColor="text1"/>
          <w:sz w:val="32"/>
          <w:szCs w:val="32"/>
        </w:rPr>
        <w:t>项级</w:t>
      </w:r>
      <w:r>
        <w:rPr>
          <w:rFonts w:ascii="仿宋" w:hAnsi="仿宋" w:eastAsia="仿宋"/>
          <w:b/>
          <w:color w:val="000000" w:themeColor="text1"/>
          <w:sz w:val="32"/>
          <w:szCs w:val="32"/>
        </w:rPr>
        <w:t>&gt;</w:t>
      </w:r>
      <w:r>
        <w:rPr>
          <w:rFonts w:hint="eastAsia" w:ascii="仿宋" w:hAnsi="仿宋" w:eastAsia="仿宋"/>
          <w:b/>
          <w:color w:val="000000" w:themeColor="text1"/>
          <w:sz w:val="32"/>
          <w:szCs w:val="32"/>
        </w:rPr>
        <w:t>比较，与预算数持平可以不写原因。）</w:t>
      </w:r>
    </w:p>
    <w:p>
      <w:pPr>
        <w:spacing w:line="600" w:lineRule="exact"/>
        <w:ind w:firstLine="642" w:firstLineChars="200"/>
        <w:rPr>
          <w:rFonts w:ascii="仿宋" w:hAnsi="仿宋" w:eastAsia="仿宋"/>
          <w:b/>
          <w:color w:val="000000"/>
          <w:sz w:val="32"/>
          <w:szCs w:val="32"/>
        </w:rPr>
      </w:pPr>
    </w:p>
    <w:p>
      <w:pPr>
        <w:spacing w:line="600" w:lineRule="exact"/>
        <w:ind w:firstLine="642" w:firstLineChars="200"/>
        <w:outlineLvl w:val="2"/>
        <w:rPr>
          <w:rStyle w:val="25"/>
        </w:rPr>
      </w:pPr>
      <w:bookmarkStart w:id="40" w:name="_Toc15396608"/>
      <w:bookmarkStart w:id="41" w:name="_Toc15377214"/>
      <w:r>
        <w:rPr>
          <w:rFonts w:hint="eastAsia" w:ascii="仿宋" w:hAnsi="仿宋" w:eastAsia="仿宋"/>
          <w:b/>
          <w:color w:val="000000"/>
          <w:sz w:val="32"/>
          <w:szCs w:val="32"/>
        </w:rPr>
        <w:t>六、一般公共预算财政拨款基本支出决算情况说明</w:t>
      </w:r>
      <w:bookmarkEnd w:id="40"/>
      <w:bookmarkEnd w:id="41"/>
      <w:r>
        <w:rPr>
          <w:rStyle w:val="25"/>
          <w:rFonts w:ascii="黑体" w:hAnsi="黑体" w:eastAsia="黑体"/>
          <w:b w:val="0"/>
        </w:rPr>
        <w:tab/>
      </w:r>
    </w:p>
    <w:p>
      <w:pPr>
        <w:spacing w:line="576" w:lineRule="exact"/>
        <w:ind w:firstLine="645"/>
        <w:rPr>
          <w:rFonts w:ascii="仿宋_GB2312" w:eastAsia="仿宋_GB2312"/>
          <w:color w:val="000000"/>
          <w:sz w:val="32"/>
          <w:szCs w:val="32"/>
        </w:rPr>
      </w:pPr>
      <w:bookmarkStart w:id="42" w:name="_Toc15377215"/>
      <w:bookmarkStart w:id="43" w:name="_Toc15396609"/>
      <w:r>
        <w:rPr>
          <w:rFonts w:hint="eastAsia" w:ascii="仿宋_GB2312" w:eastAsia="仿宋_GB2312"/>
          <w:color w:val="000000"/>
          <w:sz w:val="32"/>
          <w:szCs w:val="32"/>
        </w:rPr>
        <w:t>2020年度一般公共预算财政拨款基本支出873.20万元，其中：</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人员经费756.92万元，主要包括：基本工资201.19</w:t>
      </w:r>
      <w:r>
        <w:rPr>
          <w:rFonts w:hint="eastAsia" w:ascii="仿宋" w:hAnsi="仿宋" w:eastAsia="仿宋"/>
          <w:b/>
          <w:color w:val="000000" w:themeColor="text1"/>
          <w:sz w:val="32"/>
          <w:szCs w:val="32"/>
        </w:rPr>
        <w:t>万元</w:t>
      </w:r>
      <w:r>
        <w:rPr>
          <w:rFonts w:hint="eastAsia" w:ascii="仿宋_GB2312" w:eastAsia="仿宋_GB2312"/>
          <w:color w:val="000000"/>
          <w:sz w:val="32"/>
          <w:szCs w:val="32"/>
        </w:rPr>
        <w:t>、津贴补贴69.40万元、奖金90.70万元、绩效工资55.78万元、机关事业单位基本养老保险缴费42.15万元、职业年金缴费6.36万元、职工基本医疗保险缴费21.30万元、其他社会保险缴费6.54万元、住房公积金30.81万元、其他工资福利支出37.71万元、生活补助194.88万元、奖励金0.1万元。</w:t>
      </w:r>
      <w:r>
        <w:rPr>
          <w:rFonts w:hint="eastAsia" w:ascii="仿宋_GB2312" w:eastAsia="仿宋_GB2312"/>
          <w:color w:val="000000"/>
          <w:sz w:val="32"/>
          <w:szCs w:val="32"/>
        </w:rPr>
        <w:br w:type="textWrapping"/>
      </w:r>
      <w:r>
        <w:rPr>
          <w:rFonts w:hint="eastAsia" w:ascii="仿宋_GB2312" w:eastAsia="仿宋_GB2312"/>
          <w:color w:val="FF0000"/>
          <w:sz w:val="32"/>
          <w:szCs w:val="32"/>
        </w:rPr>
        <w:t>　　</w:t>
      </w:r>
      <w:r>
        <w:rPr>
          <w:rFonts w:hint="eastAsia" w:ascii="仿宋_GB2312" w:eastAsia="仿宋_GB2312"/>
          <w:color w:val="000000"/>
          <w:sz w:val="32"/>
          <w:szCs w:val="32"/>
        </w:rPr>
        <w:t>日常公用经费116.28万元，主要包括：办公费55.12万元、印刷费3.18万元、咨询费2万元、手续费0.03元、电费5.55万元、邮电费4.52万元、差旅费3.99万元、培训费0.4万元、公务接待费4.88万元、劳务费0.88万元、工会经费2.57万元、福利费9.94万元、公务用车运行维护费7.08万元、其他交通费16.14万元。</w:t>
      </w:r>
    </w:p>
    <w:p>
      <w:pPr>
        <w:spacing w:line="600" w:lineRule="exact"/>
        <w:ind w:firstLine="640"/>
        <w:outlineLvl w:val="1"/>
        <w:rPr>
          <w:rStyle w:val="25"/>
          <w:rFonts w:ascii="黑体" w:hAnsi="黑体" w:eastAsia="黑体"/>
          <w:b w:val="0"/>
        </w:rPr>
      </w:pPr>
      <w:r>
        <w:rPr>
          <w:rFonts w:hint="eastAsia" w:ascii="黑体" w:eastAsia="黑体"/>
          <w:color w:val="000000"/>
          <w:sz w:val="32"/>
          <w:szCs w:val="32"/>
        </w:rPr>
        <w:t>七、</w:t>
      </w:r>
      <w:r>
        <w:rPr>
          <w:rStyle w:val="25"/>
          <w:rFonts w:hint="eastAsia" w:ascii="黑体" w:hAnsi="黑体" w:eastAsia="黑体"/>
        </w:rPr>
        <w:t>“</w:t>
      </w:r>
      <w:r>
        <w:rPr>
          <w:rStyle w:val="25"/>
          <w:rFonts w:hint="eastAsia" w:ascii="黑体" w:hAnsi="黑体" w:eastAsia="黑体"/>
          <w:b w:val="0"/>
        </w:rPr>
        <w:t>三公”经费财政拨款支出决算情况说明</w:t>
      </w:r>
      <w:bookmarkEnd w:id="42"/>
      <w:bookmarkEnd w:id="43"/>
    </w:p>
    <w:p>
      <w:pPr>
        <w:spacing w:line="600" w:lineRule="exact"/>
        <w:ind w:firstLine="640" w:firstLineChars="200"/>
        <w:rPr>
          <w:rFonts w:ascii="仿宋_GB2312" w:eastAsia="仿宋_GB2312"/>
          <w:color w:val="000000"/>
          <w:sz w:val="32"/>
          <w:szCs w:val="32"/>
        </w:rPr>
      </w:pPr>
      <w:bookmarkStart w:id="44" w:name="_Toc15377218"/>
      <w:bookmarkStart w:id="45" w:name="_Toc15396610"/>
      <w:r>
        <w:rPr>
          <w:rFonts w:hint="eastAsia" w:ascii="仿宋_GB2312" w:eastAsia="仿宋_GB2312"/>
          <w:color w:val="000000"/>
          <w:sz w:val="32"/>
          <w:szCs w:val="32"/>
        </w:rPr>
        <w:t>2020年度“三公”经费财政拨款支出决算中，因公出国（境）费支出决算0万元；公务用车购置及运行维护费支出决算7.08万元，占59.2%；公务接待费支出决算4.88万元，占40.8%。具体情况如下：公务用车购置及运行维护费支出决算为7.08万元；公务接待费支出决算为4.88万元。2019年财政拨款“三公”经费支出11.96万元，完成年初预算的100%，较2019年决算数持平。</w:t>
      </w:r>
    </w:p>
    <w:p>
      <w:pPr>
        <w:pStyle w:val="2"/>
        <w:rPr>
          <w:rFonts w:ascii="仿宋_GB2312" w:eastAsia="仿宋_GB2312"/>
          <w:sz w:val="32"/>
          <w:szCs w:val="32"/>
        </w:rPr>
      </w:pPr>
      <w:r>
        <w:rPr>
          <w:rFonts w:hint="eastAsia" w:ascii="仿宋_GB2312" w:eastAsia="仿宋_GB2312"/>
          <w:sz w:val="32"/>
          <w:szCs w:val="32"/>
        </w:rPr>
        <w:drawing>
          <wp:inline distT="0" distB="0" distL="114300" distR="114300">
            <wp:extent cx="5267325" cy="3009900"/>
            <wp:effectExtent l="0" t="0" r="9525" b="0"/>
            <wp:docPr id="6" name="图片 6" descr="{8`7A~6JA43]Y2VFDM91TIL"/>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descr="{8`7A~6JA43]Y2VFDM91TIL"/>
                    <pic:cNvPicPr>
                      <a:picLocks noChangeAspect="true"/>
                    </pic:cNvPicPr>
                  </pic:nvPicPr>
                  <pic:blipFill>
                    <a:blip r:embed="rId12"/>
                    <a:stretch>
                      <a:fillRect/>
                    </a:stretch>
                  </pic:blipFill>
                  <pic:spPr>
                    <a:xfrm>
                      <a:off x="0" y="0"/>
                      <a:ext cx="5267325" cy="3009900"/>
                    </a:xfrm>
                    <a:prstGeom prst="rect">
                      <a:avLst/>
                    </a:prstGeom>
                  </pic:spPr>
                </pic:pic>
              </a:graphicData>
            </a:graphic>
          </wp:inline>
        </w:drawing>
      </w:r>
    </w:p>
    <w:p>
      <w:pPr>
        <w:pStyle w:val="2"/>
        <w:ind w:firstLine="960" w:firstLineChars="300"/>
        <w:rPr>
          <w:rFonts w:ascii="仿宋_GB2312" w:eastAsia="仿宋_GB2312"/>
          <w:sz w:val="32"/>
          <w:szCs w:val="32"/>
        </w:rPr>
      </w:pPr>
      <w:r>
        <w:rPr>
          <w:rFonts w:hint="eastAsia" w:hAnsi="仿宋" w:cs="Times New Roman"/>
          <w:color w:val="FF0000"/>
          <w:kern w:val="2"/>
          <w:sz w:val="32"/>
          <w:szCs w:val="32"/>
        </w:rPr>
        <w:t>（图7：“三公”经费财政拨款支出结构图）</w:t>
      </w:r>
    </w:p>
    <w:p>
      <w:pPr>
        <w:spacing w:line="576"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（一）因公出国（境）经费</w:t>
      </w:r>
    </w:p>
    <w:p>
      <w:pPr>
        <w:spacing w:line="576" w:lineRule="exact"/>
        <w:ind w:firstLine="640" w:firstLineChars="200"/>
        <w:rPr>
          <w:rFonts w:ascii="仿宋_GB2312" w:eastAsia="仿宋_GB2312"/>
          <w:color w:val="000000"/>
          <w:sz w:val="32"/>
          <w:szCs w:val="32"/>
        </w:rPr>
      </w:pPr>
      <w:r>
        <w:rPr>
          <w:rFonts w:ascii="仿宋_GB2312" w:eastAsia="仿宋_GB2312"/>
          <w:color w:val="000000"/>
          <w:sz w:val="32"/>
          <w:szCs w:val="32"/>
        </w:rPr>
        <w:t>2020</w:t>
      </w:r>
      <w:r>
        <w:rPr>
          <w:rFonts w:hint="eastAsia" w:ascii="仿宋_GB2312" w:eastAsia="仿宋_GB2312"/>
          <w:color w:val="000000"/>
          <w:sz w:val="32"/>
          <w:szCs w:val="32"/>
        </w:rPr>
        <w:t>年我单位未开支因公出国（境）费用。</w:t>
      </w:r>
    </w:p>
    <w:p>
      <w:pPr>
        <w:spacing w:line="576" w:lineRule="exact"/>
        <w:ind w:firstLine="640"/>
        <w:rPr>
          <w:rFonts w:ascii="仿宋_GB2312" w:eastAsia="仿宋_GB2312"/>
          <w:color w:val="000000"/>
          <w:sz w:val="32"/>
          <w:szCs w:val="32"/>
        </w:rPr>
      </w:pPr>
      <w:r>
        <w:rPr>
          <w:rFonts w:hint="eastAsia" w:ascii="仿宋_GB2312" w:eastAsia="仿宋_GB2312"/>
          <w:color w:val="000000"/>
          <w:sz w:val="32"/>
          <w:szCs w:val="32"/>
        </w:rPr>
        <w:t>（二）“三公”经费财政拨款支出决算具体情况说明</w:t>
      </w:r>
    </w:p>
    <w:p>
      <w:pPr>
        <w:spacing w:line="576"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公务接待费主要用于执行公务、开展业务活动开支的交通费、住宿费、用餐费等。其中：国内公务接待387批次，1610人，共计支出4.88万元，主要用于省市区检查指导工作、验收项目、招商引资及周边市、县、区来乡调研、考察、学习工作等接待。</w:t>
      </w:r>
    </w:p>
    <w:p>
      <w:pPr>
        <w:spacing w:line="576"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（三）公务用车购置及运行维护费</w:t>
      </w:r>
    </w:p>
    <w:p>
      <w:pPr>
        <w:spacing w:line="576" w:lineRule="exact"/>
        <w:ind w:firstLine="640"/>
        <w:rPr>
          <w:rFonts w:ascii="仿宋_GB2312" w:eastAsia="仿宋_GB2312"/>
          <w:color w:val="000000"/>
          <w:sz w:val="32"/>
          <w:szCs w:val="32"/>
        </w:rPr>
      </w:pPr>
      <w:r>
        <w:rPr>
          <w:rFonts w:ascii="仿宋_GB2312" w:eastAsia="仿宋_GB2312"/>
          <w:color w:val="000000"/>
          <w:sz w:val="32"/>
          <w:szCs w:val="32"/>
        </w:rPr>
        <w:t>2020</w:t>
      </w:r>
      <w:r>
        <w:rPr>
          <w:rFonts w:hint="eastAsia" w:ascii="仿宋_GB2312" w:eastAsia="仿宋_GB2312"/>
          <w:color w:val="000000"/>
          <w:sz w:val="32"/>
          <w:szCs w:val="32"/>
        </w:rPr>
        <w:t>年公务用车购置及运行维护费7.08万元,较2019年决算数持平。</w:t>
      </w:r>
    </w:p>
    <w:p>
      <w:pPr>
        <w:spacing w:line="576" w:lineRule="exact"/>
        <w:ind w:firstLine="640"/>
        <w:rPr>
          <w:rFonts w:ascii="仿宋_GB2312" w:eastAsia="仿宋_GB2312"/>
          <w:color w:val="000000"/>
          <w:sz w:val="32"/>
          <w:szCs w:val="32"/>
        </w:rPr>
      </w:pPr>
      <w:r>
        <w:rPr>
          <w:rFonts w:hint="eastAsia" w:ascii="仿宋_GB2312" w:eastAsia="仿宋_GB2312"/>
          <w:color w:val="000000"/>
          <w:sz w:val="32"/>
          <w:szCs w:val="32"/>
        </w:rPr>
        <w:t>2020年车辆运行维护费支出7.08万元，用于基础设施项目建设、安全检查、查灾减灾等工作所需的公务用车燃料费、维修费、过路过桥费、保险费支出。</w:t>
      </w:r>
    </w:p>
    <w:p>
      <w:pPr>
        <w:spacing w:line="600" w:lineRule="exact"/>
        <w:ind w:firstLine="640"/>
        <w:outlineLvl w:val="1"/>
        <w:rPr>
          <w:rStyle w:val="25"/>
          <w:rFonts w:ascii="黑体" w:hAnsi="黑体" w:eastAsia="黑体"/>
        </w:rPr>
      </w:pPr>
      <w:r>
        <w:rPr>
          <w:rFonts w:hint="eastAsia" w:ascii="黑体" w:eastAsia="黑体"/>
          <w:color w:val="000000"/>
          <w:sz w:val="32"/>
          <w:szCs w:val="32"/>
        </w:rPr>
        <w:t>八、</w:t>
      </w:r>
      <w:r>
        <w:rPr>
          <w:rStyle w:val="25"/>
          <w:rFonts w:hint="eastAsia" w:ascii="黑体" w:hAnsi="黑体" w:eastAsia="黑体"/>
          <w:b w:val="0"/>
        </w:rPr>
        <w:t>政府性基金预算支出决算情况说明</w:t>
      </w:r>
      <w:bookmarkEnd w:id="44"/>
      <w:bookmarkEnd w:id="45"/>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w:t>
      </w:r>
      <w:r>
        <w:rPr>
          <w:rFonts w:hint="eastAsia" w:ascii="仿宋_GB2312" w:eastAsia="仿宋_GB2312"/>
          <w:color w:val="000000"/>
          <w:sz w:val="32"/>
          <w:szCs w:val="32"/>
        </w:rPr>
        <w:t>20年政府性基金预算拨款支出0万元。</w:t>
      </w:r>
    </w:p>
    <w:p>
      <w:pPr>
        <w:numPr>
          <w:ilvl w:val="0"/>
          <w:numId w:val="2"/>
        </w:numPr>
        <w:spacing w:line="600" w:lineRule="exact"/>
        <w:ind w:firstLine="640"/>
        <w:outlineLvl w:val="1"/>
        <w:rPr>
          <w:rStyle w:val="25"/>
          <w:rFonts w:ascii="黑体" w:hAnsi="黑体" w:eastAsia="黑体"/>
          <w:b w:val="0"/>
        </w:rPr>
      </w:pPr>
      <w:bookmarkStart w:id="46" w:name="_Toc15396611"/>
      <w:bookmarkStart w:id="47" w:name="_Toc15377219"/>
      <w:r>
        <w:rPr>
          <w:rStyle w:val="25"/>
          <w:rFonts w:hint="eastAsia" w:ascii="黑体" w:hAnsi="黑体" w:eastAsia="黑体"/>
          <w:b w:val="0"/>
        </w:rPr>
        <w:t>国有资本经营预算支出决算情况说明</w:t>
      </w:r>
      <w:bookmarkEnd w:id="46"/>
      <w:bookmarkEnd w:id="47"/>
    </w:p>
    <w:p>
      <w:pPr>
        <w:spacing w:line="600" w:lineRule="exact"/>
        <w:ind w:firstLine="640"/>
        <w:rPr>
          <w:rFonts w:ascii="方正小标宋简体" w:hAnsi="方正小标宋简体" w:eastAsia="方正小标宋简体" w:cs="方正小标宋简体"/>
          <w:sz w:val="44"/>
          <w:szCs w:val="44"/>
        </w:rPr>
      </w:pPr>
      <w:r>
        <w:rPr>
          <w:rFonts w:ascii="仿宋_GB2312" w:eastAsia="仿宋_GB2312"/>
          <w:color w:val="000000"/>
          <w:sz w:val="32"/>
          <w:szCs w:val="32"/>
        </w:rPr>
        <w:t>20</w:t>
      </w:r>
      <w:r>
        <w:rPr>
          <w:rFonts w:hint="eastAsia" w:ascii="仿宋_GB2312" w:eastAsia="仿宋_GB2312"/>
          <w:color w:val="000000"/>
          <w:sz w:val="32"/>
          <w:szCs w:val="32"/>
        </w:rPr>
        <w:t>20年国有资本经营预算拨款支出0万元。</w:t>
      </w:r>
    </w:p>
    <w:p>
      <w:pPr>
        <w:spacing w:line="600" w:lineRule="exact"/>
        <w:ind w:firstLine="800" w:firstLineChars="250"/>
        <w:outlineLvl w:val="1"/>
        <w:rPr>
          <w:rStyle w:val="25"/>
          <w:rFonts w:ascii="黑体" w:hAnsi="黑体" w:eastAsia="黑体"/>
        </w:rPr>
      </w:pPr>
      <w:bookmarkStart w:id="48" w:name="_Toc15377221"/>
      <w:bookmarkStart w:id="49" w:name="_Toc15396612"/>
      <w:r>
        <w:rPr>
          <w:rFonts w:hint="eastAsia" w:ascii="黑体" w:hAnsi="黑体" w:eastAsia="黑体"/>
          <w:color w:val="000000"/>
          <w:sz w:val="32"/>
          <w:szCs w:val="32"/>
        </w:rPr>
        <w:t>十</w:t>
      </w:r>
      <w:r>
        <w:rPr>
          <w:rStyle w:val="25"/>
          <w:rFonts w:hint="eastAsia" w:ascii="黑体" w:hAnsi="黑体" w:eastAsia="黑体"/>
        </w:rPr>
        <w:t>、</w:t>
      </w:r>
      <w:r>
        <w:rPr>
          <w:rStyle w:val="25"/>
          <w:rFonts w:hint="eastAsia" w:ascii="黑体" w:hAnsi="黑体" w:eastAsia="黑体"/>
          <w:b w:val="0"/>
        </w:rPr>
        <w:t>其他重要事项的情况说明</w:t>
      </w:r>
      <w:bookmarkEnd w:id="48"/>
      <w:bookmarkEnd w:id="49"/>
    </w:p>
    <w:p>
      <w:pPr>
        <w:spacing w:line="600" w:lineRule="exact"/>
        <w:ind w:firstLine="642" w:firstLineChars="200"/>
        <w:outlineLvl w:val="2"/>
        <w:rPr>
          <w:rFonts w:ascii="仿宋" w:hAnsi="仿宋" w:eastAsia="仿宋"/>
          <w:color w:val="000000"/>
          <w:sz w:val="32"/>
          <w:szCs w:val="32"/>
        </w:rPr>
      </w:pPr>
      <w:bookmarkStart w:id="50" w:name="_Toc15377222"/>
      <w:r>
        <w:rPr>
          <w:rFonts w:hint="eastAsia" w:ascii="仿宋" w:hAnsi="仿宋" w:eastAsia="仿宋"/>
          <w:b/>
          <w:color w:val="000000"/>
          <w:sz w:val="32"/>
          <w:szCs w:val="32"/>
        </w:rPr>
        <w:t>（一）机关运行经费支出情况</w:t>
      </w:r>
      <w:bookmarkEnd w:id="50"/>
    </w:p>
    <w:p>
      <w:pPr>
        <w:spacing w:line="576"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2020年使用一般公共预算财政拨款安排的支出中，履行一般行政管理职能、维持机关日常运转而开支的机关运行经费合计</w:t>
      </w:r>
      <w:r>
        <w:rPr>
          <w:rFonts w:hint="eastAsia" w:ascii="仿宋_GB2312" w:eastAsia="仿宋_GB2312"/>
          <w:color w:val="000000"/>
          <w:sz w:val="32"/>
          <w:szCs w:val="32"/>
          <w:u w:val="single"/>
        </w:rPr>
        <w:t xml:space="preserve"> </w:t>
      </w:r>
      <w:r>
        <w:rPr>
          <w:rFonts w:hint="eastAsia" w:ascii="仿宋_GB2312" w:eastAsia="仿宋_GB2312"/>
          <w:color w:val="000000"/>
          <w:sz w:val="32"/>
          <w:szCs w:val="32"/>
        </w:rPr>
        <w:t>116.28万元。</w:t>
      </w:r>
    </w:p>
    <w:p>
      <w:pPr>
        <w:autoSpaceDE w:val="0"/>
        <w:autoSpaceDN w:val="0"/>
        <w:adjustRightInd w:val="0"/>
        <w:spacing w:line="600" w:lineRule="exact"/>
        <w:ind w:firstLine="640" w:firstLineChars="200"/>
        <w:jc w:val="left"/>
        <w:rPr>
          <w:rFonts w:ascii="仿宋_GB2312" w:eastAsia="仿宋_GB2312"/>
          <w:color w:val="000000"/>
          <w:sz w:val="32"/>
          <w:szCs w:val="32"/>
        </w:rPr>
      </w:pPr>
      <w:r>
        <w:rPr>
          <w:rFonts w:hint="eastAsia" w:ascii="仿宋_GB2312" w:eastAsia="仿宋_GB2312"/>
          <w:color w:val="000000"/>
          <w:sz w:val="32"/>
          <w:szCs w:val="32"/>
        </w:rPr>
        <w:t>（注：数据来源于财决附03表）</w:t>
      </w:r>
    </w:p>
    <w:p>
      <w:pPr>
        <w:autoSpaceDE w:val="0"/>
        <w:autoSpaceDN w:val="0"/>
        <w:adjustRightInd w:val="0"/>
        <w:spacing w:line="600" w:lineRule="exact"/>
        <w:ind w:firstLine="640" w:firstLineChars="200"/>
        <w:jc w:val="left"/>
        <w:rPr>
          <w:rFonts w:ascii="仿宋" w:hAnsi="仿宋" w:eastAsia="仿宋"/>
          <w:b/>
          <w:color w:val="000000"/>
          <w:sz w:val="32"/>
          <w:szCs w:val="32"/>
        </w:rPr>
      </w:pPr>
      <w:bookmarkStart w:id="51" w:name="_Toc15377224"/>
      <w:r>
        <w:rPr>
          <w:rFonts w:hint="eastAsia" w:ascii="仿宋_GB2312" w:eastAsia="仿宋_GB2312"/>
          <w:color w:val="000000"/>
          <w:sz w:val="32"/>
          <w:szCs w:val="32"/>
        </w:rPr>
        <w:t>（二）国有资产占有使用情况</w:t>
      </w:r>
      <w:bookmarkEnd w:id="51"/>
    </w:p>
    <w:p>
      <w:pPr>
        <w:autoSpaceDE w:val="0"/>
        <w:autoSpaceDN w:val="0"/>
        <w:adjustRightInd w:val="0"/>
        <w:spacing w:line="600" w:lineRule="exact"/>
        <w:ind w:firstLine="640" w:firstLineChars="200"/>
        <w:jc w:val="left"/>
        <w:rPr>
          <w:rFonts w:ascii="仿宋_GB2312" w:eastAsia="仿宋_GB2312"/>
          <w:color w:val="000000"/>
          <w:sz w:val="32"/>
          <w:szCs w:val="32"/>
        </w:rPr>
      </w:pPr>
      <w:r>
        <w:rPr>
          <w:rFonts w:hint="eastAsia" w:ascii="仿宋_GB2312" w:eastAsia="仿宋_GB2312"/>
          <w:color w:val="000000"/>
          <w:sz w:val="32"/>
          <w:szCs w:val="32"/>
        </w:rPr>
        <w:t>截至2020年底，共有车辆1辆。其中，一般公务用车1辆。另2辆垃圾清运车调拨给区环境卫生事务中心。</w:t>
      </w:r>
    </w:p>
    <w:p>
      <w:pPr>
        <w:autoSpaceDE w:val="0"/>
        <w:autoSpaceDN w:val="0"/>
        <w:adjustRightInd w:val="0"/>
        <w:spacing w:line="600" w:lineRule="exact"/>
        <w:ind w:firstLine="640" w:firstLineChars="200"/>
        <w:jc w:val="left"/>
        <w:rPr>
          <w:rFonts w:ascii="仿宋_GB2312" w:eastAsia="仿宋_GB2312"/>
          <w:color w:val="000000"/>
          <w:sz w:val="32"/>
          <w:szCs w:val="32"/>
        </w:rPr>
      </w:pPr>
      <w:r>
        <w:rPr>
          <w:rFonts w:hint="eastAsia" w:ascii="仿宋_GB2312" w:eastAsia="仿宋_GB2312"/>
          <w:color w:val="000000"/>
          <w:sz w:val="32"/>
          <w:szCs w:val="32"/>
        </w:rPr>
        <w:t>（注：数据来源财决附03表，按部门决算报表填报数据罗列车辆情况。）</w:t>
      </w:r>
    </w:p>
    <w:p>
      <w:pPr>
        <w:autoSpaceDE w:val="0"/>
        <w:autoSpaceDN w:val="0"/>
        <w:adjustRightInd w:val="0"/>
        <w:spacing w:line="600" w:lineRule="exact"/>
        <w:ind w:firstLine="642" w:firstLineChars="200"/>
        <w:jc w:val="left"/>
        <w:outlineLvl w:val="2"/>
        <w:rPr>
          <w:rFonts w:ascii="仿宋" w:hAnsi="仿宋" w:eastAsia="仿宋"/>
          <w:b/>
          <w:color w:val="000000"/>
          <w:sz w:val="32"/>
          <w:szCs w:val="32"/>
        </w:rPr>
      </w:pPr>
      <w:r>
        <w:rPr>
          <w:rFonts w:hint="eastAsia" w:ascii="仿宋" w:hAnsi="仿宋" w:eastAsia="仿宋"/>
          <w:b/>
          <w:color w:val="000000"/>
          <w:sz w:val="32"/>
          <w:szCs w:val="32"/>
        </w:rPr>
        <w:t>（三）预算绩效管理情况。</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单位）在年初预算编制阶段，组织对16项目（项目名称）开展了预算事前绩效评估，对16个项目编制了绩效目标，预算执行过程中，选取5个项目开展绩效监控，年终执行完毕后，对5个项目开展了绩效目标完成情况自评。</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单位按要求对2020年部门整体支出开展绩效自评，从评价情况来看较好地完成了年度预算目标，同时加强预算收支的管理，建立健全内部监管制度，严格内部管理流程，部门整体支出管理得到了提升。本部门还自行组织了5个项目绩效评价，从评价情况来看按时按质按量完成了各项预算目标，使各项目的社会效益、经济效益、生态效益得到充分的发挥，切实有效的提升了群众的满意度。</w:t>
      </w:r>
    </w:p>
    <w:p>
      <w:pPr>
        <w:spacing w:line="58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1.项目绩效目标完成情况。</w:t>
      </w:r>
      <w:r>
        <w:rPr>
          <w:rFonts w:hint="eastAsia" w:ascii="楷体_GB2312" w:hAnsi="楷体_GB2312" w:eastAsia="楷体_GB2312" w:cs="楷体_GB2312"/>
          <w:sz w:val="32"/>
          <w:szCs w:val="32"/>
        </w:rPr>
        <w:br w:type="textWrapping"/>
      </w:r>
      <w:r>
        <w:rPr>
          <w:rFonts w:hint="eastAsia" w:ascii="仿宋_GB2312" w:hAnsi="仿宋_GB2312" w:eastAsia="仿宋_GB2312" w:cs="仿宋_GB2312"/>
          <w:sz w:val="32"/>
          <w:szCs w:val="32"/>
        </w:rPr>
        <w:t xml:space="preserve">    本部门在2020年度部门决算中反映“</w:t>
      </w:r>
      <w:r>
        <w:rPr>
          <w:rFonts w:hint="eastAsia" w:ascii="仿宋_GB2312" w:eastAsia="仿宋_GB2312"/>
          <w:color w:val="000000"/>
          <w:sz w:val="32"/>
          <w:szCs w:val="32"/>
        </w:rPr>
        <w:t>伙食补助</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“人大代表工作”“林业防灾减灾</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依法治区工作经费”“安全监管工作经费”等5个项目绩效目标实际完成情况。（本单位部门项目绩效目标个数在5个以上的，选取5个项目进行公开，目标个数在5个以下的，全部进行公开，公开内容包括选取的全部项目完成情况综述和完成情况表）。</w:t>
      </w:r>
    </w:p>
    <w:p>
      <w:pPr>
        <w:spacing w:line="580" w:lineRule="exact"/>
        <w:ind w:firstLine="640" w:firstLineChars="200"/>
        <w:rPr>
          <w:rFonts w:ascii="仿宋_GB2312" w:eastAsia="仿宋_GB2312"/>
          <w:color w:val="000000"/>
          <w:sz w:val="32"/>
          <w:szCs w:val="32"/>
        </w:rPr>
      </w:pPr>
      <w:r>
        <w:rPr>
          <w:rFonts w:hint="eastAsia" w:ascii="仿宋_GB2312" w:hAnsi="仿宋_GB2312" w:eastAsia="仿宋_GB2312" w:cs="仿宋_GB2312"/>
          <w:sz w:val="32"/>
          <w:szCs w:val="32"/>
        </w:rPr>
        <w:t>（1）</w:t>
      </w:r>
      <w:r>
        <w:rPr>
          <w:rFonts w:hint="eastAsia" w:ascii="仿宋_GB2312" w:eastAsia="仿宋_GB2312"/>
          <w:color w:val="000000"/>
          <w:sz w:val="32"/>
          <w:szCs w:val="32"/>
        </w:rPr>
        <w:t>伙食补助</w:t>
      </w:r>
      <w:r>
        <w:rPr>
          <w:rFonts w:hint="eastAsia" w:ascii="仿宋_GB2312" w:hAnsi="仿宋_GB2312" w:eastAsia="仿宋_GB2312" w:cs="仿宋_GB2312"/>
          <w:sz w:val="32"/>
          <w:szCs w:val="32"/>
        </w:rPr>
        <w:t>项目绩效目标完成情况综述。项目全年预算数5万元，执行数为5万元，完成预算的100%。通过项目实施，保障我乡机关正常有序运行，发现的主要问题：</w:t>
      </w:r>
      <w:r>
        <w:rPr>
          <w:rFonts w:hint="eastAsia" w:ascii="仿宋_GB2312" w:eastAsia="仿宋_GB2312"/>
          <w:color w:val="000000"/>
          <w:sz w:val="32"/>
          <w:szCs w:val="32"/>
        </w:rPr>
        <w:t>因为我乡属于贫困山区，2020年面临各项检查验收，导致伙食经费开支比较多。</w:t>
      </w:r>
      <w:r>
        <w:rPr>
          <w:rFonts w:hint="eastAsia" w:ascii="仿宋_GB2312" w:hAnsi="仿宋_GB2312" w:eastAsia="仿宋_GB2312" w:cs="仿宋_GB2312"/>
          <w:sz w:val="32"/>
          <w:szCs w:val="32"/>
        </w:rPr>
        <w:t>下一步改进措施：</w:t>
      </w:r>
      <w:r>
        <w:rPr>
          <w:rFonts w:hint="eastAsia" w:ascii="仿宋_GB2312" w:eastAsia="仿宋_GB2312"/>
          <w:color w:val="000000"/>
          <w:sz w:val="32"/>
          <w:szCs w:val="32"/>
        </w:rPr>
        <w:t>一是严格预算编制，做到细化精确，争取一些费用纳入财政预算中；二是应及时与财政部门衔接，调减专项资金的预算安排，调增人员基本支出的预算安排；三是要严格按照《公务员法》的规定，确保财政供养人员及时到位。</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人大代表工作项目绩效目标完成情况综述。项目全年预算数1.52万元，执行数为1.52万元，完成预算的100%。通过项目实施，保障了人大代表会及代表工作正常开展及代表权益履行，代表会议不少于2次/年。发现的主要问题：群众对人大工作只晓度低。下一步改进措施：进一步加大人大工作宣传力度，特别提高对代表会议的召开的宣传力度，保证民生述求能够及时收集到位。</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林业防灾减灾项目绩效目标完成情况综述。项目全年预算数1.5万元，执行数为1.5万元，完成预算的100%。通过项目实施，有效防范辖区森林火灾的发生，保护珍稀植物，保障森林防火宣传，提高群众森林防火意识，绿化面积逐年提升。发现的主要问题：群众森林防火意识不强。下一步改进措施：加强森林防火宣传，创新宣传方式方法，提升群众森林防火意识。</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依法治区工作经费项目绩效目标完成情况综述。项目全年预算数0.9万元，执行数为0.9万元，完成预算的100%。通过项目实施，保证了辖区社会安定团结，提高了群众的法律意识，提升了群众的满意度。发现的主要问题：法律宣传措施和方式单一，无法完全达到预期效果。下一步改进措施：创新法律宣传方式方法，进一步提高群众法律意识。</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安全监管工作经费项目绩效目标完成情况综述。项目全年预算数2.5万元，执行数为2.5万元，完成预算的100%。通过项目实施，保障了辖区社会安全稳定，提高了群众的安全意识，发现的主要问题：安全宣传力度不够。下一步改进措施：加大安全宣传力度，提升群众知晓率，增强群众安全意识。</w:t>
      </w:r>
    </w:p>
    <w:p>
      <w:pPr>
        <w:spacing w:line="580" w:lineRule="exact"/>
        <w:ind w:firstLine="640" w:firstLineChars="200"/>
        <w:rPr>
          <w:rFonts w:ascii="仿宋_GB2312" w:hAnsi="仿宋_GB2312" w:eastAsia="仿宋_GB2312" w:cs="仿宋_GB2312"/>
          <w:sz w:val="32"/>
          <w:szCs w:val="32"/>
        </w:rPr>
      </w:pPr>
    </w:p>
    <w:p>
      <w:pPr>
        <w:pStyle w:val="2"/>
        <w:rPr>
          <w:rFonts w:ascii="仿宋_GB2312" w:hAnsi="仿宋_GB2312" w:eastAsia="仿宋_GB2312" w:cs="仿宋_GB2312"/>
          <w:sz w:val="32"/>
          <w:szCs w:val="32"/>
        </w:rPr>
      </w:pPr>
    </w:p>
    <w:p>
      <w:pPr>
        <w:pStyle w:val="2"/>
        <w:rPr>
          <w:rFonts w:ascii="仿宋_GB2312" w:hAnsi="仿宋_GB2312" w:eastAsia="仿宋_GB2312" w:cs="仿宋_GB2312"/>
          <w:sz w:val="32"/>
          <w:szCs w:val="32"/>
        </w:rPr>
      </w:pPr>
    </w:p>
    <w:p>
      <w:pPr>
        <w:pStyle w:val="2"/>
        <w:rPr>
          <w:rFonts w:ascii="仿宋_GB2312" w:hAnsi="仿宋_GB2312" w:eastAsia="仿宋_GB2312" w:cs="仿宋_GB2312"/>
          <w:sz w:val="32"/>
          <w:szCs w:val="32"/>
        </w:rPr>
      </w:pPr>
    </w:p>
    <w:p>
      <w:pPr>
        <w:pStyle w:val="2"/>
        <w:rPr>
          <w:rFonts w:ascii="仿宋_GB2312" w:hAnsi="仿宋_GB2312" w:eastAsia="仿宋_GB2312" w:cs="仿宋_GB2312"/>
          <w:sz w:val="32"/>
          <w:szCs w:val="32"/>
        </w:rPr>
      </w:pPr>
    </w:p>
    <w:p>
      <w:pPr>
        <w:pStyle w:val="2"/>
        <w:rPr>
          <w:rFonts w:ascii="仿宋_GB2312" w:hAnsi="仿宋_GB2312" w:eastAsia="仿宋_GB2312" w:cs="仿宋_GB2312"/>
          <w:sz w:val="32"/>
          <w:szCs w:val="32"/>
        </w:rPr>
      </w:pPr>
    </w:p>
    <w:p>
      <w:pPr>
        <w:pStyle w:val="2"/>
        <w:rPr>
          <w:rFonts w:ascii="仿宋_GB2312" w:hAnsi="仿宋_GB2312" w:eastAsia="仿宋_GB2312" w:cs="仿宋_GB2312"/>
          <w:sz w:val="32"/>
          <w:szCs w:val="32"/>
        </w:rPr>
      </w:pPr>
    </w:p>
    <w:p>
      <w:pPr>
        <w:pStyle w:val="2"/>
        <w:rPr>
          <w:rFonts w:ascii="仿宋_GB2312" w:hAnsi="仿宋_GB2312" w:eastAsia="仿宋_GB2312" w:cs="仿宋_GB2312"/>
          <w:sz w:val="32"/>
          <w:szCs w:val="32"/>
        </w:rPr>
      </w:pPr>
    </w:p>
    <w:tbl>
      <w:tblPr>
        <w:tblStyle w:val="13"/>
        <w:tblpPr w:leftFromText="180" w:rightFromText="180" w:vertAnchor="text" w:horzAnchor="page" w:tblpXSpec="center" w:tblpY="423"/>
        <w:tblOverlap w:val="never"/>
        <w:tblW w:w="9960" w:type="dxa"/>
        <w:jc w:val="center"/>
        <w:tblLayout w:type="fixed"/>
        <w:tblCellMar>
          <w:top w:w="0" w:type="dxa"/>
          <w:left w:w="0" w:type="dxa"/>
          <w:bottom w:w="0" w:type="dxa"/>
          <w:right w:w="0" w:type="dxa"/>
        </w:tblCellMar>
      </w:tblPr>
      <w:tblGrid>
        <w:gridCol w:w="390"/>
        <w:gridCol w:w="1367"/>
        <w:gridCol w:w="1025"/>
        <w:gridCol w:w="117"/>
        <w:gridCol w:w="2275"/>
        <w:gridCol w:w="2394"/>
        <w:gridCol w:w="2392"/>
      </w:tblGrid>
      <w:tr>
        <w:tblPrEx>
          <w:tblCellMar>
            <w:top w:w="0" w:type="dxa"/>
            <w:left w:w="0" w:type="dxa"/>
            <w:bottom w:w="0" w:type="dxa"/>
            <w:right w:w="0" w:type="dxa"/>
          </w:tblCellMar>
        </w:tblPrEx>
        <w:trPr>
          <w:trHeight w:val="1034" w:hRule="atLeast"/>
          <w:jc w:val="center"/>
        </w:trPr>
        <w:tc>
          <w:tcPr>
            <w:tcW w:w="9960" w:type="dxa"/>
            <w:gridSpan w:val="7"/>
            <w:tcBorders>
              <w:top w:val="nil"/>
              <w:left w:val="nil"/>
              <w:bottom w:val="nil"/>
              <w:right w:val="nil"/>
            </w:tcBorders>
            <w:tcMar>
              <w:top w:w="15" w:type="dxa"/>
              <w:left w:w="15" w:type="dxa"/>
              <w:right w:w="15" w:type="dxa"/>
            </w:tcMar>
            <w:vAlign w:val="center"/>
          </w:tcPr>
          <w:p>
            <w:pPr>
              <w:widowControl/>
              <w:jc w:val="center"/>
              <w:textAlignment w:val="center"/>
              <w:rPr>
                <w:rFonts w:ascii="宋体" w:hAnsi="宋体" w:cs="宋体"/>
                <w:color w:val="000000"/>
                <w:sz w:val="36"/>
                <w:szCs w:val="36"/>
              </w:rPr>
            </w:pPr>
            <w:r>
              <w:rPr>
                <w:rFonts w:hint="eastAsia" w:ascii="宋体" w:hAnsi="宋体" w:cs="宋体"/>
                <w:b/>
                <w:bCs/>
                <w:color w:val="000000"/>
                <w:kern w:val="0"/>
                <w:sz w:val="36"/>
                <w:szCs w:val="36"/>
              </w:rPr>
              <w:t>项目绩效目标完成情况表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(2020年度)</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178"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金洞乡部门整体支出绩效目标</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178"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金洞乡</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70.651万元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70.651万元</w:t>
            </w:r>
          </w:p>
        </w:tc>
      </w:tr>
      <w:tr>
        <w:tblPrEx>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70.651万元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70.651万元</w:t>
            </w:r>
          </w:p>
        </w:tc>
      </w:tr>
      <w:tr>
        <w:tblPrEx>
          <w:tblCellMar>
            <w:top w:w="0" w:type="dxa"/>
            <w:left w:w="0" w:type="dxa"/>
            <w:bottom w:w="0" w:type="dxa"/>
            <w:right w:w="0" w:type="dxa"/>
          </w:tblCellMar>
        </w:tblPrEx>
        <w:trPr>
          <w:trHeight w:val="1511"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pPr>
            <w:r>
              <w:rPr>
                <w:rFonts w:hint="eastAsia"/>
              </w:rPr>
              <w:t>0</w:t>
            </w:r>
          </w:p>
          <w:p>
            <w:pPr>
              <w:pStyle w:val="2"/>
              <w:rPr>
                <w:rFonts w:ascii="宋体" w:hAnsi="宋体" w:cs="宋体"/>
              </w:rPr>
            </w:pPr>
          </w:p>
          <w:p>
            <w:pPr>
              <w:pStyle w:val="2"/>
              <w:rPr>
                <w:rFonts w:ascii="宋体" w:hAnsi="宋体" w:cs="宋体"/>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rPr>
              <w:t>0</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784"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tblPrEx>
          <w:tblCellMar>
            <w:top w:w="0" w:type="dxa"/>
            <w:left w:w="0" w:type="dxa"/>
            <w:bottom w:w="0" w:type="dxa"/>
            <w:right w:w="0" w:type="dxa"/>
          </w:tblCellMar>
        </w:tblPrEx>
        <w:trPr>
          <w:trHeight w:val="115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4784"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sz w:val="24"/>
              </w:rPr>
              <w:t>目标1：提高群众的法律意识，依法治乡；</w:t>
            </w:r>
          </w:p>
          <w:p>
            <w:pPr>
              <w:widowControl/>
              <w:jc w:val="left"/>
              <w:textAlignment w:val="center"/>
              <w:rPr>
                <w:rFonts w:ascii="宋体" w:hAnsi="宋体" w:cs="宋体"/>
                <w:color w:val="000000"/>
                <w:sz w:val="24"/>
              </w:rPr>
            </w:pPr>
            <w:r>
              <w:rPr>
                <w:rFonts w:hint="eastAsia" w:ascii="宋体" w:hAnsi="宋体" w:cs="宋体"/>
                <w:color w:val="000000"/>
                <w:sz w:val="24"/>
              </w:rPr>
              <w:t>目标2：提高80岁老党员生活的幸福指数，安度晚年；</w:t>
            </w:r>
          </w:p>
          <w:p>
            <w:pPr>
              <w:widowControl/>
              <w:jc w:val="left"/>
              <w:textAlignment w:val="center"/>
              <w:rPr>
                <w:rFonts w:ascii="宋体" w:hAnsi="宋体" w:cs="宋体"/>
                <w:color w:val="000000"/>
                <w:sz w:val="24"/>
              </w:rPr>
            </w:pPr>
            <w:r>
              <w:rPr>
                <w:rFonts w:hint="eastAsia" w:ascii="宋体" w:hAnsi="宋体" w:cs="宋体"/>
                <w:color w:val="000000"/>
                <w:sz w:val="24"/>
              </w:rPr>
              <w:t>目标3：提高农村义务兵家庭生活质量，保证服役人员安心保家卫国；</w:t>
            </w:r>
          </w:p>
          <w:p>
            <w:pPr>
              <w:widowControl/>
              <w:jc w:val="left"/>
              <w:textAlignment w:val="center"/>
              <w:rPr>
                <w:rFonts w:ascii="宋体" w:hAnsi="宋体" w:cs="宋体"/>
                <w:color w:val="000000"/>
                <w:sz w:val="24"/>
              </w:rPr>
            </w:pPr>
            <w:r>
              <w:rPr>
                <w:rFonts w:hint="eastAsia" w:ascii="宋体" w:hAnsi="宋体" w:cs="宋体"/>
                <w:color w:val="000000"/>
                <w:sz w:val="24"/>
              </w:rPr>
              <w:t>目标4：监督查检乡内安全生产；</w:t>
            </w:r>
          </w:p>
          <w:p>
            <w:pPr>
              <w:widowControl/>
              <w:jc w:val="left"/>
              <w:textAlignment w:val="center"/>
              <w:rPr>
                <w:rFonts w:ascii="宋体" w:hAnsi="宋体" w:cs="宋体"/>
                <w:color w:val="000000"/>
                <w:sz w:val="24"/>
              </w:rPr>
            </w:pPr>
            <w:r>
              <w:rPr>
                <w:rFonts w:hint="eastAsia" w:ascii="宋体" w:hAnsi="宋体" w:cs="宋体"/>
                <w:color w:val="000000"/>
                <w:sz w:val="24"/>
              </w:rPr>
              <w:t>目标5：保证城镇路灯、基础设施、场镇垃圾处理车辆的正常运转；</w:t>
            </w:r>
          </w:p>
          <w:p>
            <w:pPr>
              <w:widowControl/>
              <w:jc w:val="left"/>
              <w:textAlignment w:val="center"/>
              <w:rPr>
                <w:rFonts w:ascii="宋体" w:hAnsi="宋体" w:cs="宋体"/>
                <w:color w:val="000000"/>
                <w:sz w:val="24"/>
              </w:rPr>
            </w:pPr>
            <w:r>
              <w:rPr>
                <w:rFonts w:hint="eastAsia" w:ascii="宋体" w:hAnsi="宋体" w:cs="宋体"/>
                <w:color w:val="000000"/>
                <w:sz w:val="24"/>
              </w:rPr>
              <w:t>目标6：保障船只正常运转，百姓安全渡河；目标7：将矛盾化解在基层，维护社会和谐稳定；</w:t>
            </w:r>
          </w:p>
          <w:p>
            <w:pPr>
              <w:widowControl/>
              <w:jc w:val="left"/>
              <w:textAlignment w:val="center"/>
              <w:rPr>
                <w:rFonts w:ascii="宋体" w:hAnsi="宋体" w:cs="宋体"/>
                <w:color w:val="000000"/>
                <w:sz w:val="24"/>
              </w:rPr>
            </w:pPr>
            <w:r>
              <w:rPr>
                <w:rFonts w:hint="eastAsia" w:ascii="宋体" w:hAnsi="宋体" w:cs="宋体"/>
                <w:color w:val="000000"/>
                <w:sz w:val="24"/>
              </w:rPr>
              <w:t>目标8：保证党代会、人代会及代表工作正常开展，代表会议，不少于2次/年；</w:t>
            </w:r>
          </w:p>
          <w:p>
            <w:pPr>
              <w:widowControl/>
              <w:jc w:val="left"/>
              <w:textAlignment w:val="center"/>
              <w:rPr>
                <w:rFonts w:ascii="宋体" w:hAnsi="宋体" w:cs="宋体"/>
                <w:color w:val="000000"/>
                <w:sz w:val="24"/>
              </w:rPr>
            </w:pPr>
            <w:r>
              <w:rPr>
                <w:rFonts w:hint="eastAsia" w:ascii="宋体" w:hAnsi="宋体" w:cs="宋体"/>
                <w:color w:val="000000"/>
                <w:sz w:val="24"/>
              </w:rPr>
              <w:t>目标9：无森林火灾，绿化面积逐年提升；</w:t>
            </w:r>
          </w:p>
          <w:p>
            <w:pPr>
              <w:widowControl/>
              <w:jc w:val="left"/>
              <w:textAlignment w:val="center"/>
              <w:rPr>
                <w:rFonts w:ascii="宋体" w:hAnsi="宋体" w:cs="宋体"/>
                <w:color w:val="000000"/>
                <w:sz w:val="24"/>
              </w:rPr>
            </w:pPr>
            <w:r>
              <w:rPr>
                <w:rFonts w:hint="eastAsia" w:ascii="宋体" w:hAnsi="宋体" w:cs="宋体"/>
                <w:color w:val="000000"/>
                <w:sz w:val="24"/>
              </w:rPr>
              <w:t>目标10：保证政府政策宣讲，业务培训，老体协活动开展的正常进行；</w:t>
            </w:r>
          </w:p>
          <w:p>
            <w:pPr>
              <w:widowControl/>
              <w:jc w:val="left"/>
              <w:textAlignment w:val="center"/>
              <w:rPr>
                <w:rFonts w:ascii="宋体" w:hAnsi="宋体" w:cs="宋体"/>
                <w:color w:val="000000"/>
                <w:sz w:val="24"/>
              </w:rPr>
            </w:pPr>
            <w:r>
              <w:rPr>
                <w:rFonts w:hint="eastAsia" w:ascii="宋体" w:hAnsi="宋体" w:cs="宋体"/>
                <w:color w:val="000000"/>
                <w:sz w:val="24"/>
              </w:rPr>
              <w:t>目标11：保证远程教育工作正常运转，每月组织学习不少于2次；</w:t>
            </w:r>
          </w:p>
          <w:p>
            <w:pPr>
              <w:widowControl/>
              <w:jc w:val="left"/>
              <w:textAlignment w:val="center"/>
              <w:rPr>
                <w:rFonts w:ascii="宋体" w:hAnsi="宋体" w:cs="宋体"/>
                <w:color w:val="000000"/>
                <w:sz w:val="24"/>
              </w:rPr>
            </w:pPr>
            <w:r>
              <w:rPr>
                <w:rFonts w:hint="eastAsia" w:ascii="宋体" w:hAnsi="宋体" w:cs="宋体"/>
                <w:color w:val="000000"/>
                <w:sz w:val="24"/>
              </w:rPr>
              <w:t>目标12：，促进乡镇伙食团的正常运转 ，使职工生活有保障；</w:t>
            </w:r>
          </w:p>
          <w:p>
            <w:pPr>
              <w:widowControl/>
              <w:jc w:val="left"/>
              <w:textAlignment w:val="center"/>
              <w:rPr>
                <w:rFonts w:ascii="宋体" w:hAnsi="宋体" w:cs="宋体"/>
                <w:color w:val="000000"/>
                <w:sz w:val="24"/>
              </w:rPr>
            </w:pPr>
            <w:r>
              <w:rPr>
                <w:rFonts w:hint="eastAsia" w:ascii="宋体" w:hAnsi="宋体" w:cs="宋体"/>
                <w:color w:val="000000"/>
                <w:sz w:val="24"/>
              </w:rPr>
              <w:t>目标13：保证民兵训练工作顺利开展，保证民兵训练工作顺利开展，民兵训练不少于150人次；</w:t>
            </w:r>
          </w:p>
          <w:p>
            <w:pPr>
              <w:widowControl/>
              <w:jc w:val="left"/>
              <w:textAlignment w:val="center"/>
              <w:rPr>
                <w:rFonts w:ascii="宋体" w:hAnsi="宋体" w:cs="宋体"/>
                <w:color w:val="000000"/>
                <w:sz w:val="24"/>
              </w:rPr>
            </w:pPr>
            <w:r>
              <w:rPr>
                <w:rFonts w:hint="eastAsia" w:ascii="宋体" w:hAnsi="宋体" w:cs="宋体"/>
                <w:color w:val="000000"/>
                <w:sz w:val="24"/>
              </w:rPr>
              <w:t>目标14：保证国家计划生育政策宣传到位、执行到位，组织免费妇检人员2400余人次。</w:t>
            </w:r>
          </w:p>
          <w:p>
            <w:pPr>
              <w:widowControl/>
              <w:jc w:val="left"/>
              <w:textAlignment w:val="center"/>
              <w:rPr>
                <w:rFonts w:ascii="宋体" w:hAnsi="宋体" w:cs="宋体"/>
                <w:color w:val="000000"/>
                <w:sz w:val="24"/>
              </w:rPr>
            </w:pPr>
            <w:r>
              <w:rPr>
                <w:rFonts w:hint="eastAsia" w:ascii="宋体" w:hAnsi="宋体" w:cs="宋体"/>
                <w:color w:val="000000"/>
                <w:sz w:val="24"/>
              </w:rPr>
              <w:t>目标15：保证视频会议顺利接通</w:t>
            </w:r>
          </w:p>
          <w:p>
            <w:pPr>
              <w:widowControl/>
              <w:jc w:val="left"/>
              <w:textAlignment w:val="center"/>
              <w:rPr>
                <w:rFonts w:ascii="宋体" w:hAnsi="宋体" w:cs="宋体"/>
                <w:color w:val="000000"/>
                <w:sz w:val="24"/>
              </w:rPr>
            </w:pPr>
            <w:r>
              <w:rPr>
                <w:rFonts w:hint="eastAsia" w:ascii="宋体" w:hAnsi="宋体" w:cs="宋体"/>
                <w:color w:val="000000"/>
                <w:sz w:val="24"/>
              </w:rPr>
              <w:t>目标16：保证援凉工作队员差旅费的正常报销</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sz w:val="24"/>
              </w:rPr>
              <w:t>目标1：提高群众的法律意识，依法治乡；</w:t>
            </w:r>
          </w:p>
          <w:p>
            <w:pPr>
              <w:widowControl/>
              <w:jc w:val="left"/>
              <w:textAlignment w:val="center"/>
              <w:rPr>
                <w:rFonts w:ascii="宋体" w:hAnsi="宋体" w:cs="宋体"/>
                <w:color w:val="000000"/>
                <w:sz w:val="24"/>
              </w:rPr>
            </w:pPr>
            <w:r>
              <w:rPr>
                <w:rFonts w:hint="eastAsia" w:ascii="宋体" w:hAnsi="宋体" w:cs="宋体"/>
                <w:color w:val="000000"/>
                <w:sz w:val="24"/>
              </w:rPr>
              <w:t>目标2：提高80岁老党员生活的幸福指数，安度晚年；</w:t>
            </w:r>
          </w:p>
          <w:p>
            <w:pPr>
              <w:widowControl/>
              <w:jc w:val="left"/>
              <w:textAlignment w:val="center"/>
              <w:rPr>
                <w:rFonts w:ascii="宋体" w:hAnsi="宋体" w:cs="宋体"/>
                <w:color w:val="000000"/>
                <w:sz w:val="24"/>
              </w:rPr>
            </w:pPr>
            <w:r>
              <w:rPr>
                <w:rFonts w:hint="eastAsia" w:ascii="宋体" w:hAnsi="宋体" w:cs="宋体"/>
                <w:color w:val="000000"/>
                <w:sz w:val="24"/>
              </w:rPr>
              <w:t>目标3：提高农村义务兵家庭生活质量，保证服役人员安心保家卫国；</w:t>
            </w:r>
          </w:p>
          <w:p>
            <w:pPr>
              <w:widowControl/>
              <w:jc w:val="left"/>
              <w:textAlignment w:val="center"/>
              <w:rPr>
                <w:rFonts w:ascii="宋体" w:hAnsi="宋体" w:cs="宋体"/>
                <w:color w:val="000000"/>
                <w:sz w:val="24"/>
              </w:rPr>
            </w:pPr>
            <w:r>
              <w:rPr>
                <w:rFonts w:hint="eastAsia" w:ascii="宋体" w:hAnsi="宋体" w:cs="宋体"/>
                <w:color w:val="000000"/>
                <w:sz w:val="24"/>
              </w:rPr>
              <w:t>目标4：监督查检乡内安全生产；</w:t>
            </w:r>
          </w:p>
          <w:p>
            <w:pPr>
              <w:widowControl/>
              <w:jc w:val="left"/>
              <w:textAlignment w:val="center"/>
              <w:rPr>
                <w:rFonts w:ascii="宋体" w:hAnsi="宋体" w:cs="宋体"/>
                <w:color w:val="000000"/>
                <w:sz w:val="24"/>
              </w:rPr>
            </w:pPr>
            <w:r>
              <w:rPr>
                <w:rFonts w:hint="eastAsia" w:ascii="宋体" w:hAnsi="宋体" w:cs="宋体"/>
                <w:color w:val="000000"/>
                <w:sz w:val="24"/>
              </w:rPr>
              <w:t>目标5：保证城镇路灯、基础设施、场镇垃圾处理车辆的正常运转；</w:t>
            </w:r>
          </w:p>
          <w:p>
            <w:pPr>
              <w:widowControl/>
              <w:jc w:val="left"/>
              <w:textAlignment w:val="center"/>
              <w:rPr>
                <w:rFonts w:ascii="宋体" w:hAnsi="宋体" w:cs="宋体"/>
                <w:color w:val="000000"/>
                <w:sz w:val="24"/>
              </w:rPr>
            </w:pPr>
            <w:r>
              <w:rPr>
                <w:rFonts w:hint="eastAsia" w:ascii="宋体" w:hAnsi="宋体" w:cs="宋体"/>
                <w:color w:val="000000"/>
                <w:sz w:val="24"/>
              </w:rPr>
              <w:t>目标6：保障船只正常运转，百姓安全渡河；目标7：将矛盾化解在基层，维护社会和谐稳定；</w:t>
            </w:r>
          </w:p>
          <w:p>
            <w:pPr>
              <w:widowControl/>
              <w:jc w:val="left"/>
              <w:textAlignment w:val="center"/>
              <w:rPr>
                <w:rFonts w:ascii="宋体" w:hAnsi="宋体" w:cs="宋体"/>
                <w:color w:val="000000"/>
                <w:sz w:val="24"/>
              </w:rPr>
            </w:pPr>
            <w:r>
              <w:rPr>
                <w:rFonts w:hint="eastAsia" w:ascii="宋体" w:hAnsi="宋体" w:cs="宋体"/>
                <w:color w:val="000000"/>
                <w:sz w:val="24"/>
              </w:rPr>
              <w:t>目标8：保证党代会、人代会及代表工作正常开展，代表会议，不少于2次/年；</w:t>
            </w:r>
          </w:p>
          <w:p>
            <w:pPr>
              <w:widowControl/>
              <w:jc w:val="left"/>
              <w:textAlignment w:val="center"/>
              <w:rPr>
                <w:rFonts w:ascii="宋体" w:hAnsi="宋体" w:cs="宋体"/>
                <w:color w:val="000000"/>
                <w:sz w:val="24"/>
              </w:rPr>
            </w:pPr>
            <w:r>
              <w:rPr>
                <w:rFonts w:hint="eastAsia" w:ascii="宋体" w:hAnsi="宋体" w:cs="宋体"/>
                <w:color w:val="000000"/>
                <w:sz w:val="24"/>
              </w:rPr>
              <w:t>目标9：无森林火灾，绿化面积逐年提升；</w:t>
            </w:r>
          </w:p>
          <w:p>
            <w:pPr>
              <w:widowControl/>
              <w:jc w:val="left"/>
              <w:textAlignment w:val="center"/>
              <w:rPr>
                <w:rFonts w:ascii="宋体" w:hAnsi="宋体" w:cs="宋体"/>
                <w:color w:val="000000"/>
                <w:sz w:val="24"/>
              </w:rPr>
            </w:pPr>
            <w:r>
              <w:rPr>
                <w:rFonts w:hint="eastAsia" w:ascii="宋体" w:hAnsi="宋体" w:cs="宋体"/>
                <w:color w:val="000000"/>
                <w:sz w:val="24"/>
              </w:rPr>
              <w:t>目标10：保证政府政策宣讲，业务培训，老体协活动开展的正常进行；</w:t>
            </w:r>
          </w:p>
          <w:p>
            <w:pPr>
              <w:widowControl/>
              <w:jc w:val="left"/>
              <w:textAlignment w:val="center"/>
              <w:rPr>
                <w:rFonts w:ascii="宋体" w:hAnsi="宋体" w:cs="宋体"/>
                <w:color w:val="000000"/>
                <w:sz w:val="24"/>
              </w:rPr>
            </w:pPr>
            <w:r>
              <w:rPr>
                <w:rFonts w:hint="eastAsia" w:ascii="宋体" w:hAnsi="宋体" w:cs="宋体"/>
                <w:color w:val="000000"/>
                <w:sz w:val="24"/>
              </w:rPr>
              <w:t>目标11：保证远程教育工作正常运转，每月组织学习不少于2次；</w:t>
            </w:r>
          </w:p>
          <w:p>
            <w:pPr>
              <w:widowControl/>
              <w:jc w:val="left"/>
              <w:textAlignment w:val="center"/>
              <w:rPr>
                <w:rFonts w:ascii="宋体" w:hAnsi="宋体" w:cs="宋体"/>
                <w:color w:val="000000"/>
                <w:sz w:val="24"/>
              </w:rPr>
            </w:pPr>
            <w:r>
              <w:rPr>
                <w:rFonts w:hint="eastAsia" w:ascii="宋体" w:hAnsi="宋体" w:cs="宋体"/>
                <w:color w:val="000000"/>
                <w:sz w:val="24"/>
              </w:rPr>
              <w:t>目标12：，促进乡镇伙食团的正常运转 ，使职工生活有保障；</w:t>
            </w:r>
          </w:p>
          <w:p>
            <w:pPr>
              <w:widowControl/>
              <w:jc w:val="left"/>
              <w:textAlignment w:val="center"/>
              <w:rPr>
                <w:rFonts w:ascii="宋体" w:hAnsi="宋体" w:cs="宋体"/>
                <w:color w:val="000000"/>
                <w:sz w:val="24"/>
              </w:rPr>
            </w:pPr>
            <w:r>
              <w:rPr>
                <w:rFonts w:hint="eastAsia" w:ascii="宋体" w:hAnsi="宋体" w:cs="宋体"/>
                <w:color w:val="000000"/>
                <w:sz w:val="24"/>
              </w:rPr>
              <w:t>目标13：保证民兵训练工作顺利开展，保证民兵训练工作顺利开展，民兵训练不少于150人次；</w:t>
            </w:r>
          </w:p>
          <w:p>
            <w:pPr>
              <w:widowControl/>
              <w:jc w:val="left"/>
              <w:textAlignment w:val="center"/>
              <w:rPr>
                <w:rFonts w:ascii="宋体" w:hAnsi="宋体" w:cs="宋体"/>
                <w:color w:val="000000"/>
                <w:sz w:val="24"/>
              </w:rPr>
            </w:pPr>
            <w:r>
              <w:rPr>
                <w:rFonts w:hint="eastAsia" w:ascii="宋体" w:hAnsi="宋体" w:cs="宋体"/>
                <w:color w:val="000000"/>
                <w:sz w:val="24"/>
              </w:rPr>
              <w:t>目标14：保证国家计划生育政策宣传到位、执行到位，组织免费妇检人员2400余人次。</w:t>
            </w:r>
          </w:p>
          <w:p>
            <w:pPr>
              <w:widowControl/>
              <w:jc w:val="left"/>
              <w:textAlignment w:val="center"/>
              <w:rPr>
                <w:rFonts w:ascii="宋体" w:hAnsi="宋体" w:cs="宋体"/>
                <w:color w:val="000000"/>
                <w:sz w:val="24"/>
              </w:rPr>
            </w:pPr>
            <w:r>
              <w:rPr>
                <w:rFonts w:hint="eastAsia" w:ascii="宋体" w:hAnsi="宋体" w:cs="宋体"/>
                <w:color w:val="000000"/>
                <w:sz w:val="24"/>
              </w:rPr>
              <w:t>目标15：保证能顺利接通区级部门的视频会议</w:t>
            </w:r>
          </w:p>
          <w:p>
            <w:pPr>
              <w:widowControl/>
              <w:jc w:val="left"/>
              <w:textAlignment w:val="center"/>
              <w:rPr>
                <w:rFonts w:ascii="宋体" w:hAnsi="宋体" w:cs="宋体"/>
                <w:color w:val="000000"/>
                <w:sz w:val="24"/>
              </w:rPr>
            </w:pPr>
            <w:r>
              <w:rPr>
                <w:rFonts w:hint="eastAsia" w:ascii="宋体" w:hAnsi="宋体" w:cs="宋体"/>
                <w:color w:val="000000"/>
                <w:sz w:val="24"/>
              </w:rPr>
              <w:t>目标16：保证援凉工作队员差旅费的正常报销</w:t>
            </w:r>
          </w:p>
        </w:tc>
      </w:tr>
      <w:tr>
        <w:tblPrEx>
          <w:tblCellMar>
            <w:top w:w="0" w:type="dxa"/>
            <w:left w:w="0" w:type="dxa"/>
            <w:bottom w:w="0" w:type="dxa"/>
            <w:right w:w="0" w:type="dxa"/>
          </w:tblCellMar>
        </w:tblPrEx>
        <w:trPr>
          <w:trHeight w:val="1042" w:hRule="atLeast"/>
          <w:jc w:val="center"/>
        </w:trPr>
        <w:tc>
          <w:tcPr>
            <w:tcW w:w="39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tblPrEx>
          <w:tblCellMar>
            <w:top w:w="0" w:type="dxa"/>
            <w:left w:w="0" w:type="dxa"/>
            <w:bottom w:w="0" w:type="dxa"/>
            <w:right w:w="0" w:type="dxa"/>
          </w:tblCellMar>
        </w:tblPrEx>
        <w:trPr>
          <w:trHeight w:val="953"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数量指标</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群众知晓度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群众知晓度提升，达到100%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群众知晓度有所提升</w:t>
            </w: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数量指标</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免费妇检</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辖区内妇女免费妇检不少于1200人次</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辖区内妇女免费妇检不少于1200人次</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数量指标</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人大代表会议</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不少于2次/年</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不少于2次/年</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数量指标</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民兵训练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不少于150人次/年</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不少于150人次/年</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时效指标</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2020.01.01—2020.12.31</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2020.01.01—2020.12.31</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2020.01.01—2020.12.31</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经济效益</w:t>
            </w:r>
          </w:p>
          <w:p>
            <w:pPr>
              <w:widowControl/>
              <w:jc w:val="center"/>
              <w:textAlignment w:val="center"/>
              <w:rPr>
                <w:rFonts w:ascii="宋体" w:hAnsi="宋体" w:cs="宋体"/>
                <w:color w:val="000000"/>
                <w:sz w:val="24"/>
              </w:rPr>
            </w:pPr>
            <w:r>
              <w:rPr>
                <w:rFonts w:hint="eastAsia" w:ascii="宋体" w:hAnsi="宋体" w:cs="宋体"/>
                <w:color w:val="000000"/>
                <w:sz w:val="24"/>
              </w:rPr>
              <w:t>指标</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推动辖区内经济有序发展</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推动辖区内经济有序发展</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推动辖区内经济有序发展</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社会效益</w:t>
            </w:r>
          </w:p>
          <w:p>
            <w:pPr>
              <w:widowControl/>
              <w:jc w:val="center"/>
              <w:textAlignment w:val="center"/>
              <w:rPr>
                <w:rFonts w:ascii="宋体" w:hAnsi="宋体" w:cs="宋体"/>
                <w:color w:val="000000"/>
                <w:sz w:val="24"/>
              </w:rPr>
            </w:pPr>
            <w:r>
              <w:rPr>
                <w:rFonts w:hint="eastAsia" w:ascii="宋体" w:hAnsi="宋体" w:cs="宋体"/>
                <w:color w:val="000000"/>
                <w:sz w:val="24"/>
              </w:rPr>
              <w:t>指标</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社会安定团结</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推动辖区内稳定和谐</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推动辖区内稳定和谐</w:t>
            </w: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社会效益</w:t>
            </w:r>
          </w:p>
          <w:p>
            <w:pPr>
              <w:widowControl/>
              <w:jc w:val="center"/>
              <w:textAlignment w:val="center"/>
              <w:rPr>
                <w:rFonts w:ascii="宋体" w:hAnsi="宋体" w:cs="宋体"/>
                <w:color w:val="000000"/>
                <w:sz w:val="24"/>
              </w:rPr>
            </w:pPr>
            <w:r>
              <w:rPr>
                <w:rFonts w:hint="eastAsia" w:ascii="宋体" w:hAnsi="宋体" w:cs="宋体"/>
                <w:color w:val="000000"/>
                <w:sz w:val="24"/>
              </w:rPr>
              <w:t>指标</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80岁老党员生活幸福补助到位</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80岁老党员生活幸福补助到位</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80岁老党员生活幸福补助到位</w:t>
            </w: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社会效益</w:t>
            </w:r>
          </w:p>
          <w:p>
            <w:pPr>
              <w:widowControl/>
              <w:jc w:val="center"/>
              <w:textAlignment w:val="center"/>
              <w:rPr>
                <w:rFonts w:ascii="宋体" w:hAnsi="宋体" w:cs="宋体"/>
                <w:color w:val="000000"/>
                <w:sz w:val="24"/>
              </w:rPr>
            </w:pPr>
            <w:r>
              <w:rPr>
                <w:rFonts w:hint="eastAsia" w:ascii="宋体" w:hAnsi="宋体" w:cs="宋体"/>
                <w:color w:val="000000"/>
                <w:sz w:val="24"/>
              </w:rPr>
              <w:t>指标</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乡村文明、和谐</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乡村文明、和谐</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乡村文明、和谐</w:t>
            </w: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社会效益</w:t>
            </w:r>
          </w:p>
          <w:p>
            <w:pPr>
              <w:widowControl/>
              <w:jc w:val="center"/>
              <w:textAlignment w:val="center"/>
              <w:rPr>
                <w:rFonts w:ascii="宋体" w:hAnsi="宋体" w:cs="宋体"/>
                <w:color w:val="000000"/>
                <w:sz w:val="24"/>
              </w:rPr>
            </w:pPr>
            <w:r>
              <w:rPr>
                <w:rFonts w:hint="eastAsia" w:ascii="宋体" w:hAnsi="宋体" w:cs="宋体"/>
                <w:color w:val="000000"/>
                <w:sz w:val="24"/>
              </w:rPr>
              <w:t>指标</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场镇整洁、卫生</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场镇整洁、卫生</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场镇整洁、卫生</w:t>
            </w:r>
          </w:p>
        </w:tc>
      </w:tr>
      <w:tr>
        <w:tblPrEx>
          <w:tblCellMar>
            <w:top w:w="0" w:type="dxa"/>
            <w:left w:w="0" w:type="dxa"/>
            <w:bottom w:w="0" w:type="dxa"/>
            <w:right w:w="0" w:type="dxa"/>
          </w:tblCellMar>
        </w:tblPrEx>
        <w:trPr>
          <w:trHeight w:val="1050" w:hRule="atLeast"/>
          <w:jc w:val="center"/>
        </w:trPr>
        <w:tc>
          <w:tcPr>
            <w:tcW w:w="39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满意度指标</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群众满意度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确保群众满意度100%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确保群众满意度100%</w:t>
            </w:r>
          </w:p>
        </w:tc>
      </w:tr>
      <w:tr>
        <w:tblPrEx>
          <w:tblCellMar>
            <w:top w:w="0" w:type="dxa"/>
            <w:left w:w="0" w:type="dxa"/>
            <w:bottom w:w="0" w:type="dxa"/>
            <w:right w:w="0" w:type="dxa"/>
          </w:tblCellMar>
        </w:tblPrEx>
        <w:trPr>
          <w:trHeight w:val="1034" w:hRule="atLeast"/>
          <w:jc w:val="center"/>
        </w:trPr>
        <w:tc>
          <w:tcPr>
            <w:tcW w:w="9960" w:type="dxa"/>
            <w:gridSpan w:val="7"/>
            <w:tcMar>
              <w:top w:w="15" w:type="dxa"/>
              <w:left w:w="15" w:type="dxa"/>
              <w:bottom w:w="0" w:type="dxa"/>
              <w:right w:w="15" w:type="dxa"/>
            </w:tcMar>
            <w:vAlign w:val="center"/>
          </w:tcPr>
          <w:p>
            <w:pPr>
              <w:pStyle w:val="23"/>
              <w:widowControl/>
              <w:ind w:left="4173" w:leftChars="1310" w:hanging="1422" w:hangingChars="395"/>
              <w:textAlignment w:val="center"/>
              <w:rPr>
                <w:rFonts w:ascii="宋体" w:hAnsi="宋体" w:cs="宋体"/>
                <w:color w:val="000000"/>
                <w:sz w:val="36"/>
                <w:szCs w:val="36"/>
              </w:rPr>
            </w:pPr>
            <w:r>
              <w:rPr>
                <w:rFonts w:hint="eastAsia" w:ascii="黑体" w:hAnsi="黑体" w:eastAsia="黑体" w:cs="宋体"/>
                <w:bCs/>
                <w:color w:val="000000"/>
                <w:kern w:val="0"/>
                <w:sz w:val="36"/>
                <w:szCs w:val="36"/>
              </w:rPr>
              <w:t>项目支出绩效目标完成情况表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(2020年度)</w:t>
            </w:r>
          </w:p>
        </w:tc>
      </w:tr>
      <w:tr>
        <w:tblPrEx>
          <w:tblCellMar>
            <w:top w:w="0" w:type="dxa"/>
            <w:left w:w="0" w:type="dxa"/>
            <w:bottom w:w="0" w:type="dxa"/>
            <w:right w:w="0" w:type="dxa"/>
          </w:tblCellMar>
        </w:tblPrEx>
        <w:trPr>
          <w:trHeight w:val="276" w:hRule="atLeast"/>
          <w:jc w:val="center"/>
        </w:trPr>
        <w:tc>
          <w:tcPr>
            <w:tcW w:w="2899"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061"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金洞乡伙食补助工作经费项目支出绩效目标</w:t>
            </w:r>
          </w:p>
        </w:tc>
      </w:tr>
      <w:tr>
        <w:tblPrEx>
          <w:tblCellMar>
            <w:top w:w="0" w:type="dxa"/>
            <w:left w:w="0" w:type="dxa"/>
            <w:bottom w:w="0" w:type="dxa"/>
            <w:right w:w="0" w:type="dxa"/>
          </w:tblCellMar>
        </w:tblPrEx>
        <w:trPr>
          <w:trHeight w:val="276" w:hRule="atLeast"/>
          <w:jc w:val="center"/>
        </w:trPr>
        <w:tc>
          <w:tcPr>
            <w:tcW w:w="2899"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061"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金洞乡</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509"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2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5万元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5万元</w:t>
            </w:r>
          </w:p>
        </w:tc>
      </w:tr>
      <w:tr>
        <w:tblPrEx>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509"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2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5万元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5万元</w:t>
            </w:r>
          </w:p>
        </w:tc>
      </w:tr>
      <w:tr>
        <w:tblPrEx>
          <w:tblCellMar>
            <w:top w:w="0" w:type="dxa"/>
            <w:left w:w="0" w:type="dxa"/>
            <w:bottom w:w="0" w:type="dxa"/>
            <w:right w:w="0" w:type="dxa"/>
          </w:tblCellMar>
        </w:tblPrEx>
        <w:trPr>
          <w:trHeight w:val="1511"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509"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2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color w:val="000000"/>
                <w:sz w:val="24"/>
              </w:rPr>
            </w:pPr>
            <w:r>
              <w:rPr>
                <w:rFonts w:hint="eastAsia" w:ascii="宋体" w:hAnsi="宋体" w:cs="宋体"/>
                <w:color w:val="000000"/>
                <w:sz w:val="24"/>
              </w:rPr>
              <w:t>0</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784"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tblPrEx>
          <w:tblCellMar>
            <w:top w:w="0" w:type="dxa"/>
            <w:left w:w="0" w:type="dxa"/>
            <w:bottom w:w="0" w:type="dxa"/>
            <w:right w:w="0" w:type="dxa"/>
          </w:tblCellMar>
        </w:tblPrEx>
        <w:trPr>
          <w:trHeight w:val="115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4784"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sz w:val="24"/>
              </w:rPr>
              <w:t>促进乡伙食团的正常运转，使职工生活有保障。</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sz w:val="24"/>
              </w:rPr>
              <w:t>促进乡伙食团的正常运转，使职工生活有保障。</w:t>
            </w:r>
          </w:p>
        </w:tc>
      </w:tr>
      <w:tr>
        <w:tblPrEx>
          <w:tblCellMar>
            <w:top w:w="0" w:type="dxa"/>
            <w:left w:w="0" w:type="dxa"/>
            <w:bottom w:w="0" w:type="dxa"/>
            <w:right w:w="0" w:type="dxa"/>
          </w:tblCellMar>
        </w:tblPrEx>
        <w:trPr>
          <w:trHeight w:val="869"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14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2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tblPrEx>
          <w:tblCellMar>
            <w:top w:w="0" w:type="dxa"/>
            <w:left w:w="0" w:type="dxa"/>
            <w:bottom w:w="0" w:type="dxa"/>
            <w:right w:w="0" w:type="dxa"/>
          </w:tblCellMar>
        </w:tblPrEx>
        <w:trPr>
          <w:trHeight w:val="753"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14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数量指标</w:t>
            </w:r>
          </w:p>
        </w:tc>
        <w:tc>
          <w:tcPr>
            <w:tcW w:w="22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伙食团生活补助</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让职工生活有保障。</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100%覆盖辖区内所有职工生活补助。</w:t>
            </w:r>
          </w:p>
        </w:tc>
      </w:tr>
      <w:tr>
        <w:tblPrEx>
          <w:tblCellMar>
            <w:top w:w="0" w:type="dxa"/>
            <w:left w:w="0" w:type="dxa"/>
            <w:bottom w:w="0" w:type="dxa"/>
            <w:right w:w="0" w:type="dxa"/>
          </w:tblCellMar>
        </w:tblPrEx>
        <w:trPr>
          <w:trHeight w:val="1042"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项目完成指标</w:t>
            </w:r>
          </w:p>
        </w:tc>
        <w:tc>
          <w:tcPr>
            <w:tcW w:w="114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时效指标</w:t>
            </w:r>
          </w:p>
        </w:tc>
        <w:tc>
          <w:tcPr>
            <w:tcW w:w="22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2020.01.01—2020.12.31</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2020.01.01—2020.12.31</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2020.01.01—2020.12.31</w:t>
            </w:r>
          </w:p>
        </w:tc>
      </w:tr>
      <w:tr>
        <w:tblPrEx>
          <w:tblCellMar>
            <w:top w:w="0" w:type="dxa"/>
            <w:left w:w="0" w:type="dxa"/>
            <w:bottom w:w="0" w:type="dxa"/>
            <w:right w:w="0" w:type="dxa"/>
          </w:tblCellMar>
        </w:tblPrEx>
        <w:trPr>
          <w:trHeight w:val="870"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项目完成指标</w:t>
            </w:r>
          </w:p>
        </w:tc>
        <w:tc>
          <w:tcPr>
            <w:tcW w:w="114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时效指标</w:t>
            </w:r>
          </w:p>
        </w:tc>
        <w:tc>
          <w:tcPr>
            <w:tcW w:w="22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促进乡伙食团的正常运转</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有效解决单位职工走读问题</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有效解决单位职工走读问题</w:t>
            </w:r>
          </w:p>
        </w:tc>
      </w:tr>
      <w:tr>
        <w:tblPrEx>
          <w:tblCellMar>
            <w:top w:w="0" w:type="dxa"/>
            <w:left w:w="0" w:type="dxa"/>
            <w:bottom w:w="0" w:type="dxa"/>
            <w:right w:w="0" w:type="dxa"/>
          </w:tblCellMar>
        </w:tblPrEx>
        <w:trPr>
          <w:trHeight w:val="85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14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经济效益</w:t>
            </w:r>
          </w:p>
          <w:p>
            <w:pPr>
              <w:widowControl/>
              <w:jc w:val="center"/>
              <w:textAlignment w:val="center"/>
              <w:rPr>
                <w:rFonts w:ascii="宋体" w:hAnsi="宋体" w:cs="宋体"/>
                <w:color w:val="000000"/>
                <w:sz w:val="24"/>
              </w:rPr>
            </w:pPr>
            <w:r>
              <w:rPr>
                <w:rFonts w:hint="eastAsia" w:ascii="宋体" w:hAnsi="宋体" w:cs="宋体"/>
                <w:color w:val="000000"/>
                <w:sz w:val="24"/>
              </w:rPr>
              <w:t>指标</w:t>
            </w:r>
          </w:p>
        </w:tc>
        <w:tc>
          <w:tcPr>
            <w:tcW w:w="22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促进乡伙食团的正常运转</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有效解决单位职工走读问题</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有效解决单位职工走读问题</w:t>
            </w:r>
          </w:p>
        </w:tc>
      </w:tr>
      <w:tr>
        <w:tblPrEx>
          <w:tblCellMar>
            <w:top w:w="0" w:type="dxa"/>
            <w:left w:w="0" w:type="dxa"/>
            <w:bottom w:w="0" w:type="dxa"/>
            <w:right w:w="0" w:type="dxa"/>
          </w:tblCellMar>
        </w:tblPrEx>
        <w:trPr>
          <w:trHeight w:val="1111"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14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社会效益</w:t>
            </w:r>
          </w:p>
          <w:p>
            <w:pPr>
              <w:widowControl/>
              <w:jc w:val="center"/>
              <w:textAlignment w:val="center"/>
              <w:rPr>
                <w:rFonts w:ascii="宋体" w:hAnsi="宋体" w:cs="宋体"/>
                <w:color w:val="000000"/>
                <w:sz w:val="24"/>
              </w:rPr>
            </w:pPr>
            <w:r>
              <w:rPr>
                <w:rFonts w:hint="eastAsia" w:ascii="宋体" w:hAnsi="宋体" w:cs="宋体"/>
                <w:color w:val="000000"/>
                <w:sz w:val="24"/>
              </w:rPr>
              <w:t>指标</w:t>
            </w:r>
          </w:p>
        </w:tc>
        <w:tc>
          <w:tcPr>
            <w:tcW w:w="22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促进乡伙食团的正常运转</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有效解决单位职工走读问题</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有效解决单位职工走读问题</w:t>
            </w:r>
          </w:p>
        </w:tc>
      </w:tr>
      <w:tr>
        <w:tblPrEx>
          <w:tblCellMar>
            <w:top w:w="0" w:type="dxa"/>
            <w:left w:w="0" w:type="dxa"/>
            <w:bottom w:w="0" w:type="dxa"/>
            <w:right w:w="0" w:type="dxa"/>
          </w:tblCellMar>
        </w:tblPrEx>
        <w:trPr>
          <w:trHeight w:val="1050"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114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满意度指标</w:t>
            </w:r>
          </w:p>
        </w:tc>
        <w:tc>
          <w:tcPr>
            <w:tcW w:w="22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群众满意度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确保群众满意度100%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确保群众满意度100%</w:t>
            </w:r>
          </w:p>
        </w:tc>
      </w:tr>
      <w:tr>
        <w:tblPrEx>
          <w:tblCellMar>
            <w:top w:w="0" w:type="dxa"/>
            <w:left w:w="0" w:type="dxa"/>
            <w:bottom w:w="0" w:type="dxa"/>
            <w:right w:w="0" w:type="dxa"/>
          </w:tblCellMar>
        </w:tblPrEx>
        <w:trPr>
          <w:trHeight w:val="1034" w:hRule="atLeast"/>
          <w:jc w:val="center"/>
        </w:trPr>
        <w:tc>
          <w:tcPr>
            <w:tcW w:w="9960" w:type="dxa"/>
            <w:gridSpan w:val="7"/>
            <w:tcMar>
              <w:top w:w="15" w:type="dxa"/>
              <w:left w:w="15" w:type="dxa"/>
              <w:bottom w:w="0" w:type="dxa"/>
              <w:right w:w="15" w:type="dxa"/>
            </w:tcMar>
            <w:vAlign w:val="center"/>
          </w:tcPr>
          <w:p>
            <w:pPr>
              <w:pStyle w:val="23"/>
              <w:widowControl/>
              <w:ind w:left="4173" w:leftChars="1310" w:hanging="1422" w:hangingChars="395"/>
              <w:textAlignment w:val="center"/>
              <w:rPr>
                <w:rFonts w:ascii="宋体" w:hAnsi="宋体" w:cs="宋体"/>
                <w:color w:val="000000"/>
                <w:sz w:val="36"/>
                <w:szCs w:val="36"/>
              </w:rPr>
            </w:pPr>
            <w:r>
              <w:rPr>
                <w:rFonts w:hint="eastAsia" w:ascii="黑体" w:hAnsi="黑体" w:eastAsia="黑体" w:cs="宋体"/>
                <w:bCs/>
                <w:color w:val="000000"/>
                <w:kern w:val="0"/>
                <w:sz w:val="36"/>
                <w:szCs w:val="36"/>
              </w:rPr>
              <w:t>项目支出绩效目标完成情况表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(2020年度)</w:t>
            </w:r>
          </w:p>
        </w:tc>
      </w:tr>
      <w:tr>
        <w:tblPrEx>
          <w:tblCellMar>
            <w:top w:w="0" w:type="dxa"/>
            <w:left w:w="0" w:type="dxa"/>
            <w:bottom w:w="0" w:type="dxa"/>
            <w:right w:w="0" w:type="dxa"/>
          </w:tblCellMar>
        </w:tblPrEx>
        <w:trPr>
          <w:trHeight w:val="276" w:hRule="atLeast"/>
          <w:jc w:val="center"/>
        </w:trPr>
        <w:tc>
          <w:tcPr>
            <w:tcW w:w="2899"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061"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金洞乡人大主席团及代表活动经费支出绩效目标</w:t>
            </w:r>
          </w:p>
        </w:tc>
      </w:tr>
      <w:tr>
        <w:tblPrEx>
          <w:tblCellMar>
            <w:top w:w="0" w:type="dxa"/>
            <w:left w:w="0" w:type="dxa"/>
            <w:bottom w:w="0" w:type="dxa"/>
            <w:right w:w="0" w:type="dxa"/>
          </w:tblCellMar>
        </w:tblPrEx>
        <w:trPr>
          <w:trHeight w:val="276" w:hRule="atLeast"/>
          <w:jc w:val="center"/>
        </w:trPr>
        <w:tc>
          <w:tcPr>
            <w:tcW w:w="2899"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061"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金洞乡</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509"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2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1.52万元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1.52万元</w:t>
            </w:r>
          </w:p>
        </w:tc>
      </w:tr>
      <w:tr>
        <w:tblPrEx>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509"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2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1.52万元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1.52万元</w:t>
            </w:r>
          </w:p>
        </w:tc>
      </w:tr>
      <w:tr>
        <w:tblPrEx>
          <w:tblCellMar>
            <w:top w:w="0" w:type="dxa"/>
            <w:left w:w="0" w:type="dxa"/>
            <w:bottom w:w="0" w:type="dxa"/>
            <w:right w:w="0" w:type="dxa"/>
          </w:tblCellMar>
        </w:tblPrEx>
        <w:trPr>
          <w:trHeight w:val="1511"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509"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2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color w:val="000000"/>
                <w:sz w:val="24"/>
              </w:rPr>
            </w:pPr>
            <w:r>
              <w:rPr>
                <w:rFonts w:hint="eastAsia" w:ascii="宋体" w:hAnsi="宋体" w:cs="宋体"/>
                <w:color w:val="000000"/>
                <w:sz w:val="24"/>
              </w:rPr>
              <w:t>0</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784"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tblPrEx>
          <w:tblCellMar>
            <w:top w:w="0" w:type="dxa"/>
            <w:left w:w="0" w:type="dxa"/>
            <w:bottom w:w="0" w:type="dxa"/>
            <w:right w:w="0" w:type="dxa"/>
          </w:tblCellMar>
        </w:tblPrEx>
        <w:trPr>
          <w:trHeight w:val="115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4784"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sz w:val="24"/>
              </w:rPr>
              <w:t xml:space="preserve">确保党代会、人代会及代表工作正常开展，代表会议，不少于2次/年。                                                                                                                        </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sz w:val="24"/>
              </w:rPr>
              <w:t xml:space="preserve">保证党代会、人代会及代表工作正常开展履行代表权益。                                                                                                   </w:t>
            </w:r>
          </w:p>
        </w:tc>
      </w:tr>
      <w:tr>
        <w:tblPrEx>
          <w:tblCellMar>
            <w:top w:w="0" w:type="dxa"/>
            <w:left w:w="0" w:type="dxa"/>
            <w:bottom w:w="0" w:type="dxa"/>
            <w:right w:w="0" w:type="dxa"/>
          </w:tblCellMar>
        </w:tblPrEx>
        <w:trPr>
          <w:trHeight w:val="1042"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14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2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tblPrEx>
          <w:tblCellMar>
            <w:top w:w="0" w:type="dxa"/>
            <w:left w:w="0" w:type="dxa"/>
            <w:bottom w:w="0" w:type="dxa"/>
            <w:right w:w="0" w:type="dxa"/>
          </w:tblCellMar>
        </w:tblPrEx>
        <w:trPr>
          <w:trHeight w:val="953"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14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数量指标</w:t>
            </w:r>
          </w:p>
        </w:tc>
        <w:tc>
          <w:tcPr>
            <w:tcW w:w="22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代表会议</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ascii="宋体" w:hAnsi="宋体" w:cs="宋体"/>
                <w:color w:val="000000"/>
                <w:sz w:val="24"/>
              </w:rPr>
              <w:t>不少于2次/年</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ascii="宋体" w:hAnsi="宋体" w:cs="宋体"/>
                <w:color w:val="000000"/>
                <w:sz w:val="24"/>
              </w:rPr>
              <w:t>2次/年</w:t>
            </w:r>
          </w:p>
        </w:tc>
      </w:tr>
      <w:tr>
        <w:tblPrEx>
          <w:tblCellMar>
            <w:top w:w="0" w:type="dxa"/>
            <w:left w:w="0" w:type="dxa"/>
            <w:bottom w:w="0" w:type="dxa"/>
            <w:right w:w="0" w:type="dxa"/>
          </w:tblCellMar>
        </w:tblPrEx>
        <w:trPr>
          <w:trHeight w:val="1042"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项目完成指标</w:t>
            </w:r>
          </w:p>
        </w:tc>
        <w:tc>
          <w:tcPr>
            <w:tcW w:w="114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时效指标</w:t>
            </w:r>
          </w:p>
        </w:tc>
        <w:tc>
          <w:tcPr>
            <w:tcW w:w="22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2020.01.01—2020.12.31</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2020.01.01—2020.12.31</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2020.01.01—2020.12.31</w:t>
            </w:r>
          </w:p>
        </w:tc>
      </w:tr>
      <w:tr>
        <w:tblPrEx>
          <w:tblCellMar>
            <w:top w:w="0" w:type="dxa"/>
            <w:left w:w="0" w:type="dxa"/>
            <w:bottom w:w="0" w:type="dxa"/>
            <w:right w:w="0" w:type="dxa"/>
          </w:tblCellMar>
        </w:tblPrEx>
        <w:trPr>
          <w:trHeight w:val="90"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14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社会效益</w:t>
            </w:r>
          </w:p>
          <w:p>
            <w:pPr>
              <w:widowControl/>
              <w:jc w:val="center"/>
              <w:textAlignment w:val="center"/>
              <w:rPr>
                <w:rFonts w:ascii="宋体" w:hAnsi="宋体" w:cs="宋体"/>
                <w:color w:val="000000"/>
                <w:sz w:val="24"/>
              </w:rPr>
            </w:pPr>
            <w:r>
              <w:rPr>
                <w:rFonts w:hint="eastAsia" w:ascii="宋体" w:hAnsi="宋体" w:cs="宋体"/>
                <w:color w:val="000000"/>
                <w:sz w:val="24"/>
              </w:rPr>
              <w:t>指标</w:t>
            </w:r>
          </w:p>
        </w:tc>
        <w:tc>
          <w:tcPr>
            <w:tcW w:w="22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群众知晓度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进一步提高群众知晓度，广泛收集群众述求。</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进一步提高群众知晓度，广泛收集群众述求。高</w:t>
            </w:r>
          </w:p>
        </w:tc>
      </w:tr>
      <w:tr>
        <w:tblPrEx>
          <w:tblCellMar>
            <w:top w:w="0" w:type="dxa"/>
            <w:left w:w="0" w:type="dxa"/>
            <w:bottom w:w="0" w:type="dxa"/>
            <w:right w:w="0" w:type="dxa"/>
          </w:tblCellMar>
        </w:tblPrEx>
        <w:trPr>
          <w:trHeight w:val="101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效益指标</w:t>
            </w:r>
          </w:p>
        </w:tc>
        <w:tc>
          <w:tcPr>
            <w:tcW w:w="114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社会效益</w:t>
            </w:r>
          </w:p>
          <w:p>
            <w:pPr>
              <w:widowControl/>
              <w:jc w:val="center"/>
              <w:textAlignment w:val="center"/>
              <w:rPr>
                <w:rFonts w:ascii="宋体" w:hAnsi="宋体" w:cs="宋体"/>
                <w:color w:val="000000"/>
                <w:sz w:val="24"/>
              </w:rPr>
            </w:pPr>
            <w:r>
              <w:rPr>
                <w:rFonts w:hint="eastAsia" w:ascii="宋体" w:hAnsi="宋体" w:cs="宋体"/>
                <w:color w:val="000000"/>
                <w:sz w:val="24"/>
              </w:rPr>
              <w:t>指标</w:t>
            </w:r>
          </w:p>
        </w:tc>
        <w:tc>
          <w:tcPr>
            <w:tcW w:w="22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保证代表履行权益</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保证代表履行权益</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保证了代表权益履行</w:t>
            </w:r>
          </w:p>
        </w:tc>
      </w:tr>
      <w:tr>
        <w:tblPrEx>
          <w:tblCellMar>
            <w:top w:w="0" w:type="dxa"/>
            <w:left w:w="0" w:type="dxa"/>
            <w:bottom w:w="0" w:type="dxa"/>
            <w:right w:w="0" w:type="dxa"/>
          </w:tblCellMar>
        </w:tblPrEx>
        <w:trPr>
          <w:trHeight w:val="1050"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114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满意度指标</w:t>
            </w:r>
          </w:p>
        </w:tc>
        <w:tc>
          <w:tcPr>
            <w:tcW w:w="22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群众满意度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确保群众满意度100%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确保群众满意度100%</w:t>
            </w:r>
          </w:p>
        </w:tc>
      </w:tr>
      <w:tr>
        <w:tblPrEx>
          <w:tblCellMar>
            <w:top w:w="0" w:type="dxa"/>
            <w:left w:w="0" w:type="dxa"/>
            <w:bottom w:w="0" w:type="dxa"/>
            <w:right w:w="0" w:type="dxa"/>
          </w:tblCellMar>
        </w:tblPrEx>
        <w:trPr>
          <w:trHeight w:val="1034" w:hRule="atLeast"/>
          <w:jc w:val="center"/>
        </w:trPr>
        <w:tc>
          <w:tcPr>
            <w:tcW w:w="9960" w:type="dxa"/>
            <w:gridSpan w:val="7"/>
            <w:tcMar>
              <w:top w:w="15" w:type="dxa"/>
              <w:left w:w="15" w:type="dxa"/>
              <w:bottom w:w="0" w:type="dxa"/>
              <w:right w:w="15" w:type="dxa"/>
            </w:tcMar>
            <w:vAlign w:val="center"/>
          </w:tcPr>
          <w:p>
            <w:pPr>
              <w:pStyle w:val="23"/>
              <w:widowControl/>
              <w:ind w:left="4173" w:leftChars="1310" w:hanging="1422" w:hangingChars="395"/>
              <w:textAlignment w:val="center"/>
              <w:rPr>
                <w:rFonts w:ascii="宋体" w:hAnsi="宋体" w:cs="宋体"/>
                <w:color w:val="000000"/>
                <w:sz w:val="36"/>
                <w:szCs w:val="36"/>
              </w:rPr>
            </w:pPr>
            <w:r>
              <w:rPr>
                <w:rFonts w:hint="eastAsia" w:ascii="黑体" w:hAnsi="黑体" w:eastAsia="黑体" w:cs="宋体"/>
                <w:bCs/>
                <w:color w:val="000000"/>
                <w:kern w:val="0"/>
                <w:sz w:val="36"/>
                <w:szCs w:val="36"/>
              </w:rPr>
              <w:t>项目支出绩效目标完成情况表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(2020年度)</w:t>
            </w:r>
          </w:p>
        </w:tc>
      </w:tr>
      <w:tr>
        <w:tblPrEx>
          <w:tblCellMar>
            <w:top w:w="0" w:type="dxa"/>
            <w:left w:w="0" w:type="dxa"/>
            <w:bottom w:w="0" w:type="dxa"/>
            <w:right w:w="0" w:type="dxa"/>
          </w:tblCellMar>
        </w:tblPrEx>
        <w:trPr>
          <w:trHeight w:val="276" w:hRule="atLeast"/>
          <w:jc w:val="center"/>
        </w:trPr>
        <w:tc>
          <w:tcPr>
            <w:tcW w:w="2899"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061"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eastAsia="仿宋_GB2312" w:cs="宋体"/>
                <w:color w:val="000000"/>
                <w:sz w:val="24"/>
              </w:rPr>
              <w:t>金</w:t>
            </w:r>
            <w:r>
              <w:rPr>
                <w:rFonts w:hint="eastAsia" w:ascii="宋体" w:hAnsi="宋体" w:cs="宋体"/>
                <w:color w:val="000000"/>
                <w:sz w:val="24"/>
              </w:rPr>
              <w:t>洞乡森林防火专项经费支出绩效目标</w:t>
            </w:r>
          </w:p>
        </w:tc>
      </w:tr>
      <w:tr>
        <w:tblPrEx>
          <w:tblCellMar>
            <w:top w:w="0" w:type="dxa"/>
            <w:left w:w="0" w:type="dxa"/>
            <w:bottom w:w="0" w:type="dxa"/>
            <w:right w:w="0" w:type="dxa"/>
          </w:tblCellMar>
        </w:tblPrEx>
        <w:trPr>
          <w:trHeight w:val="276" w:hRule="atLeast"/>
          <w:jc w:val="center"/>
        </w:trPr>
        <w:tc>
          <w:tcPr>
            <w:tcW w:w="2899"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061"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金洞乡</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509"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2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1.5万元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1.5万元</w:t>
            </w:r>
          </w:p>
        </w:tc>
      </w:tr>
      <w:tr>
        <w:tblPrEx>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509"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2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1.5万元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1.5万元</w:t>
            </w:r>
          </w:p>
        </w:tc>
      </w:tr>
      <w:tr>
        <w:tblPrEx>
          <w:tblCellMar>
            <w:top w:w="0" w:type="dxa"/>
            <w:left w:w="0" w:type="dxa"/>
            <w:bottom w:w="0" w:type="dxa"/>
            <w:right w:w="0" w:type="dxa"/>
          </w:tblCellMar>
        </w:tblPrEx>
        <w:trPr>
          <w:trHeight w:val="1511"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509"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2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color w:val="000000"/>
                <w:sz w:val="24"/>
              </w:rPr>
            </w:pPr>
            <w:r>
              <w:rPr>
                <w:rFonts w:hint="eastAsia" w:ascii="宋体" w:hAnsi="宋体" w:cs="宋体"/>
                <w:color w:val="000000"/>
                <w:sz w:val="24"/>
              </w:rPr>
              <w:t>0</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784"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tblPrEx>
          <w:tblCellMar>
            <w:top w:w="0" w:type="dxa"/>
            <w:left w:w="0" w:type="dxa"/>
            <w:bottom w:w="0" w:type="dxa"/>
            <w:right w:w="0" w:type="dxa"/>
          </w:tblCellMar>
        </w:tblPrEx>
        <w:trPr>
          <w:trHeight w:val="115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4784"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sz w:val="24"/>
              </w:rPr>
              <w:t xml:space="preserve"> 无森林火灾，绿化面积逐年提升。                                                                                                                         </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sz w:val="24"/>
              </w:rPr>
              <w:t xml:space="preserve"> 无森林火灾，绿化面积逐年提升。                                                                                                                          </w:t>
            </w:r>
          </w:p>
        </w:tc>
      </w:tr>
      <w:tr>
        <w:tblPrEx>
          <w:tblCellMar>
            <w:top w:w="0" w:type="dxa"/>
            <w:left w:w="0" w:type="dxa"/>
            <w:bottom w:w="0" w:type="dxa"/>
            <w:right w:w="0" w:type="dxa"/>
          </w:tblCellMar>
        </w:tblPrEx>
        <w:trPr>
          <w:trHeight w:val="602"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14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2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tblPrEx>
          <w:tblCellMar>
            <w:top w:w="0" w:type="dxa"/>
            <w:left w:w="0" w:type="dxa"/>
            <w:bottom w:w="0" w:type="dxa"/>
            <w:right w:w="0" w:type="dxa"/>
          </w:tblCellMar>
        </w:tblPrEx>
        <w:trPr>
          <w:trHeight w:val="835"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14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数量指标</w:t>
            </w:r>
          </w:p>
        </w:tc>
        <w:tc>
          <w:tcPr>
            <w:tcW w:w="22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森林防火宣传</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12次/年</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12次/年</w:t>
            </w:r>
          </w:p>
        </w:tc>
      </w:tr>
      <w:tr>
        <w:tblPrEx>
          <w:tblCellMar>
            <w:top w:w="0" w:type="dxa"/>
            <w:left w:w="0" w:type="dxa"/>
            <w:bottom w:w="0" w:type="dxa"/>
            <w:right w:w="0" w:type="dxa"/>
          </w:tblCellMar>
        </w:tblPrEx>
        <w:trPr>
          <w:trHeight w:val="652"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14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数量指标</w:t>
            </w:r>
          </w:p>
        </w:tc>
        <w:tc>
          <w:tcPr>
            <w:tcW w:w="22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防火标示标牌</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35副</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40副</w:t>
            </w:r>
          </w:p>
        </w:tc>
      </w:tr>
      <w:tr>
        <w:tblPrEx>
          <w:tblCellMar>
            <w:top w:w="0" w:type="dxa"/>
            <w:left w:w="0" w:type="dxa"/>
            <w:bottom w:w="0" w:type="dxa"/>
            <w:right w:w="0" w:type="dxa"/>
          </w:tblCellMar>
        </w:tblPrEx>
        <w:trPr>
          <w:trHeight w:val="85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项目完成指标</w:t>
            </w:r>
          </w:p>
        </w:tc>
        <w:tc>
          <w:tcPr>
            <w:tcW w:w="114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时效指标</w:t>
            </w:r>
          </w:p>
        </w:tc>
        <w:tc>
          <w:tcPr>
            <w:tcW w:w="22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2020.01.01—2020.12.31</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2020.01.01—2020.12.31</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2020.01.01—2020.12.31</w:t>
            </w:r>
          </w:p>
        </w:tc>
      </w:tr>
      <w:tr>
        <w:tblPrEx>
          <w:tblCellMar>
            <w:top w:w="0" w:type="dxa"/>
            <w:left w:w="0" w:type="dxa"/>
            <w:bottom w:w="0" w:type="dxa"/>
            <w:right w:w="0" w:type="dxa"/>
          </w:tblCellMar>
        </w:tblPrEx>
        <w:trPr>
          <w:trHeight w:val="624"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14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经济效益</w:t>
            </w:r>
          </w:p>
          <w:p>
            <w:pPr>
              <w:widowControl/>
              <w:jc w:val="center"/>
              <w:textAlignment w:val="center"/>
              <w:rPr>
                <w:rFonts w:ascii="宋体" w:hAnsi="宋体" w:cs="宋体"/>
                <w:color w:val="000000"/>
                <w:sz w:val="24"/>
              </w:rPr>
            </w:pPr>
            <w:r>
              <w:rPr>
                <w:rFonts w:hint="eastAsia" w:ascii="宋体" w:hAnsi="宋体" w:cs="宋体"/>
                <w:color w:val="000000"/>
                <w:sz w:val="24"/>
              </w:rPr>
              <w:t>指标</w:t>
            </w:r>
          </w:p>
        </w:tc>
        <w:tc>
          <w:tcPr>
            <w:tcW w:w="22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textAlignment w:val="center"/>
              <w:rPr>
                <w:rFonts w:ascii="宋体" w:hAnsi="宋体" w:cs="宋体"/>
                <w:color w:val="000000"/>
                <w:sz w:val="24"/>
              </w:rPr>
            </w:pPr>
            <w:r>
              <w:rPr>
                <w:rFonts w:hint="eastAsia" w:ascii="宋体" w:hAnsi="宋体" w:cs="宋体"/>
                <w:color w:val="000000"/>
                <w:sz w:val="24"/>
              </w:rPr>
              <w:t>保护珍稀植物</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保护珍稀植物</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保护珍稀植物</w:t>
            </w:r>
          </w:p>
        </w:tc>
      </w:tr>
      <w:tr>
        <w:tblPrEx>
          <w:tblCellMar>
            <w:top w:w="0" w:type="dxa"/>
            <w:left w:w="0" w:type="dxa"/>
            <w:bottom w:w="0" w:type="dxa"/>
            <w:right w:w="0" w:type="dxa"/>
          </w:tblCellMar>
        </w:tblPrEx>
        <w:trPr>
          <w:trHeight w:val="702"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14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社会效益</w:t>
            </w:r>
          </w:p>
          <w:p>
            <w:pPr>
              <w:widowControl/>
              <w:jc w:val="center"/>
              <w:textAlignment w:val="center"/>
              <w:rPr>
                <w:rFonts w:ascii="宋体" w:hAnsi="宋体" w:cs="宋体"/>
                <w:color w:val="000000"/>
                <w:sz w:val="24"/>
              </w:rPr>
            </w:pPr>
            <w:r>
              <w:rPr>
                <w:rFonts w:hint="eastAsia" w:ascii="宋体" w:hAnsi="宋体" w:cs="宋体"/>
                <w:color w:val="000000"/>
                <w:sz w:val="24"/>
              </w:rPr>
              <w:t>指标</w:t>
            </w:r>
          </w:p>
        </w:tc>
        <w:tc>
          <w:tcPr>
            <w:tcW w:w="22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提高群众森林防火意识</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提高群众森林防火意识</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提高群众森林防火意识</w:t>
            </w:r>
          </w:p>
        </w:tc>
      </w:tr>
      <w:tr>
        <w:tblPrEx>
          <w:tblCellMar>
            <w:top w:w="0" w:type="dxa"/>
            <w:left w:w="0" w:type="dxa"/>
            <w:bottom w:w="0" w:type="dxa"/>
            <w:right w:w="0" w:type="dxa"/>
          </w:tblCellMar>
        </w:tblPrEx>
        <w:trPr>
          <w:trHeight w:val="565"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效益指标</w:t>
            </w:r>
          </w:p>
        </w:tc>
        <w:tc>
          <w:tcPr>
            <w:tcW w:w="114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生态效益</w:t>
            </w:r>
          </w:p>
          <w:p>
            <w:pPr>
              <w:widowControl/>
              <w:jc w:val="center"/>
              <w:textAlignment w:val="center"/>
              <w:rPr>
                <w:rFonts w:ascii="宋体" w:hAnsi="宋体" w:cs="宋体"/>
                <w:color w:val="000000"/>
                <w:sz w:val="24"/>
              </w:rPr>
            </w:pPr>
            <w:r>
              <w:rPr>
                <w:rFonts w:hint="eastAsia" w:ascii="宋体" w:hAnsi="宋体" w:cs="宋体"/>
                <w:color w:val="000000"/>
                <w:sz w:val="24"/>
              </w:rPr>
              <w:t>指标</w:t>
            </w:r>
          </w:p>
        </w:tc>
        <w:tc>
          <w:tcPr>
            <w:tcW w:w="22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无森林火灾，绿化面积逐年提升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无森林火灾，绿化面积逐年提升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有明显提高</w:t>
            </w:r>
          </w:p>
        </w:tc>
      </w:tr>
      <w:tr>
        <w:tblPrEx>
          <w:tblCellMar>
            <w:top w:w="0" w:type="dxa"/>
            <w:left w:w="0" w:type="dxa"/>
            <w:bottom w:w="0" w:type="dxa"/>
            <w:right w:w="0" w:type="dxa"/>
          </w:tblCellMar>
        </w:tblPrEx>
        <w:trPr>
          <w:trHeight w:val="98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效益指标</w:t>
            </w:r>
          </w:p>
        </w:tc>
        <w:tc>
          <w:tcPr>
            <w:tcW w:w="114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textAlignment w:val="center"/>
              <w:rPr>
                <w:rFonts w:ascii="宋体" w:hAnsi="宋体" w:cs="宋体"/>
                <w:color w:val="000000"/>
                <w:sz w:val="24"/>
              </w:rPr>
            </w:pPr>
            <w:r>
              <w:rPr>
                <w:rFonts w:hint="eastAsia" w:ascii="宋体" w:hAnsi="宋体" w:cs="宋体"/>
                <w:color w:val="000000"/>
                <w:sz w:val="24"/>
              </w:rPr>
              <w:t>可持续影响指标</w:t>
            </w:r>
          </w:p>
        </w:tc>
        <w:tc>
          <w:tcPr>
            <w:tcW w:w="22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无森林火灾，绿化面积逐年提升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无森林火灾，绿化面积逐年提升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绿化面积有明显的提高</w:t>
            </w:r>
          </w:p>
        </w:tc>
      </w:tr>
      <w:tr>
        <w:tblPrEx>
          <w:tblCellMar>
            <w:top w:w="0" w:type="dxa"/>
            <w:left w:w="0" w:type="dxa"/>
            <w:bottom w:w="0" w:type="dxa"/>
            <w:right w:w="0" w:type="dxa"/>
          </w:tblCellMar>
        </w:tblPrEx>
        <w:trPr>
          <w:trHeight w:val="778"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114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满意度指标</w:t>
            </w:r>
          </w:p>
        </w:tc>
        <w:tc>
          <w:tcPr>
            <w:tcW w:w="22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群众满意度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确保群众满意度100%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确保群众满意度100%</w:t>
            </w:r>
          </w:p>
        </w:tc>
      </w:tr>
      <w:tr>
        <w:tblPrEx>
          <w:tblCellMar>
            <w:top w:w="0" w:type="dxa"/>
            <w:left w:w="0" w:type="dxa"/>
            <w:bottom w:w="0" w:type="dxa"/>
            <w:right w:w="0" w:type="dxa"/>
          </w:tblCellMar>
        </w:tblPrEx>
        <w:trPr>
          <w:trHeight w:val="1034" w:hRule="atLeast"/>
          <w:jc w:val="center"/>
        </w:trPr>
        <w:tc>
          <w:tcPr>
            <w:tcW w:w="9960" w:type="dxa"/>
            <w:gridSpan w:val="7"/>
            <w:tcMar>
              <w:top w:w="15" w:type="dxa"/>
              <w:left w:w="15" w:type="dxa"/>
              <w:bottom w:w="0" w:type="dxa"/>
              <w:right w:w="15" w:type="dxa"/>
            </w:tcMar>
            <w:vAlign w:val="center"/>
          </w:tcPr>
          <w:p>
            <w:pPr>
              <w:pStyle w:val="23"/>
              <w:widowControl/>
              <w:ind w:left="4173" w:leftChars="1310" w:hanging="1422" w:hangingChars="395"/>
              <w:textAlignment w:val="center"/>
              <w:rPr>
                <w:rFonts w:ascii="宋体" w:hAnsi="宋体" w:cs="宋体"/>
                <w:color w:val="000000"/>
                <w:sz w:val="36"/>
                <w:szCs w:val="36"/>
              </w:rPr>
            </w:pPr>
            <w:r>
              <w:rPr>
                <w:rFonts w:hint="eastAsia" w:ascii="黑体" w:hAnsi="黑体" w:eastAsia="黑体" w:cs="宋体"/>
                <w:bCs/>
                <w:color w:val="000000"/>
                <w:kern w:val="0"/>
                <w:sz w:val="36"/>
                <w:szCs w:val="36"/>
              </w:rPr>
              <w:t>项目支出绩效目标完成情况表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(2020年度)</w:t>
            </w:r>
          </w:p>
        </w:tc>
      </w:tr>
      <w:tr>
        <w:tblPrEx>
          <w:tblCellMar>
            <w:top w:w="0" w:type="dxa"/>
            <w:left w:w="0" w:type="dxa"/>
            <w:bottom w:w="0" w:type="dxa"/>
            <w:right w:w="0" w:type="dxa"/>
          </w:tblCellMar>
        </w:tblPrEx>
        <w:trPr>
          <w:trHeight w:val="276" w:hRule="atLeast"/>
          <w:jc w:val="center"/>
        </w:trPr>
        <w:tc>
          <w:tcPr>
            <w:tcW w:w="2899"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061"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金洞乡依法治区经费支出绩效目标</w:t>
            </w:r>
          </w:p>
        </w:tc>
      </w:tr>
      <w:tr>
        <w:tblPrEx>
          <w:tblCellMar>
            <w:top w:w="0" w:type="dxa"/>
            <w:left w:w="0" w:type="dxa"/>
            <w:bottom w:w="0" w:type="dxa"/>
            <w:right w:w="0" w:type="dxa"/>
          </w:tblCellMar>
        </w:tblPrEx>
        <w:trPr>
          <w:trHeight w:val="276" w:hRule="atLeast"/>
          <w:jc w:val="center"/>
        </w:trPr>
        <w:tc>
          <w:tcPr>
            <w:tcW w:w="2899"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061"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金洞乡</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509"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2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0.9万元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0.9万元</w:t>
            </w:r>
          </w:p>
        </w:tc>
      </w:tr>
      <w:tr>
        <w:tblPrEx>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509"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2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0.9万元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0.9万元</w:t>
            </w:r>
          </w:p>
        </w:tc>
      </w:tr>
      <w:tr>
        <w:tblPrEx>
          <w:tblCellMar>
            <w:top w:w="0" w:type="dxa"/>
            <w:left w:w="0" w:type="dxa"/>
            <w:bottom w:w="0" w:type="dxa"/>
            <w:right w:w="0" w:type="dxa"/>
          </w:tblCellMar>
        </w:tblPrEx>
        <w:trPr>
          <w:trHeight w:val="1511"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509"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2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color w:val="000000"/>
                <w:sz w:val="24"/>
              </w:rPr>
            </w:pPr>
            <w:r>
              <w:rPr>
                <w:rFonts w:hint="eastAsia" w:ascii="宋体" w:hAnsi="宋体" w:cs="宋体"/>
                <w:color w:val="000000"/>
                <w:sz w:val="24"/>
              </w:rPr>
              <w:t>0</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784"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tblPrEx>
          <w:tblCellMar>
            <w:top w:w="0" w:type="dxa"/>
            <w:left w:w="0" w:type="dxa"/>
            <w:bottom w:w="0" w:type="dxa"/>
            <w:right w:w="0" w:type="dxa"/>
          </w:tblCellMar>
        </w:tblPrEx>
        <w:trPr>
          <w:trHeight w:val="115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4784"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sz w:val="24"/>
              </w:rPr>
              <w:t xml:space="preserve">加强法制宣传，提高群众的法律意识，依法治乡                                                                                                                    </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sz w:val="24"/>
              </w:rPr>
              <w:t xml:space="preserve">加强法制宣传，提高群众的法律意识，依法治乡                                                                                                                         </w:t>
            </w:r>
          </w:p>
        </w:tc>
      </w:tr>
      <w:tr>
        <w:tblPrEx>
          <w:tblCellMar>
            <w:top w:w="0" w:type="dxa"/>
            <w:left w:w="0" w:type="dxa"/>
            <w:bottom w:w="0" w:type="dxa"/>
            <w:right w:w="0" w:type="dxa"/>
          </w:tblCellMar>
        </w:tblPrEx>
        <w:trPr>
          <w:trHeight w:val="815"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14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2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tblPrEx>
          <w:tblCellMar>
            <w:top w:w="0" w:type="dxa"/>
            <w:left w:w="0" w:type="dxa"/>
            <w:bottom w:w="0" w:type="dxa"/>
            <w:right w:w="0" w:type="dxa"/>
          </w:tblCellMar>
        </w:tblPrEx>
        <w:trPr>
          <w:trHeight w:val="767"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14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数量指标</w:t>
            </w:r>
          </w:p>
        </w:tc>
        <w:tc>
          <w:tcPr>
            <w:tcW w:w="22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依法治区宣传标语</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6</w:t>
            </w:r>
            <w:r>
              <w:rPr>
                <w:rFonts w:ascii="宋体" w:hAnsi="宋体" w:cs="宋体"/>
                <w:color w:val="000000"/>
                <w:sz w:val="24"/>
              </w:rPr>
              <w:t>副</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6副</w:t>
            </w:r>
          </w:p>
        </w:tc>
      </w:tr>
      <w:tr>
        <w:tblPrEx>
          <w:tblCellMar>
            <w:top w:w="0" w:type="dxa"/>
            <w:left w:w="0" w:type="dxa"/>
            <w:bottom w:w="0" w:type="dxa"/>
            <w:right w:w="0" w:type="dxa"/>
          </w:tblCellMar>
        </w:tblPrEx>
        <w:trPr>
          <w:trHeight w:val="761"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14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数量指标</w:t>
            </w:r>
          </w:p>
        </w:tc>
        <w:tc>
          <w:tcPr>
            <w:tcW w:w="22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依法治区宣传活动</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不少于12次</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15次/年</w:t>
            </w:r>
          </w:p>
        </w:tc>
      </w:tr>
      <w:tr>
        <w:tblPrEx>
          <w:tblCellMar>
            <w:top w:w="0" w:type="dxa"/>
            <w:left w:w="0" w:type="dxa"/>
            <w:bottom w:w="0" w:type="dxa"/>
            <w:right w:w="0" w:type="dxa"/>
          </w:tblCellMar>
        </w:tblPrEx>
        <w:trPr>
          <w:trHeight w:val="674"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项目完成指标</w:t>
            </w:r>
          </w:p>
        </w:tc>
        <w:tc>
          <w:tcPr>
            <w:tcW w:w="114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数量指标</w:t>
            </w:r>
          </w:p>
        </w:tc>
        <w:tc>
          <w:tcPr>
            <w:tcW w:w="22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法律宣讲活动</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不少于4次</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4次</w:t>
            </w:r>
          </w:p>
        </w:tc>
      </w:tr>
      <w:tr>
        <w:tblPrEx>
          <w:tblCellMar>
            <w:top w:w="0" w:type="dxa"/>
            <w:left w:w="0" w:type="dxa"/>
            <w:bottom w:w="0" w:type="dxa"/>
            <w:right w:w="0" w:type="dxa"/>
          </w:tblCellMar>
        </w:tblPrEx>
        <w:trPr>
          <w:trHeight w:val="67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项目完成指标</w:t>
            </w:r>
          </w:p>
        </w:tc>
        <w:tc>
          <w:tcPr>
            <w:tcW w:w="114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时效指标</w:t>
            </w:r>
          </w:p>
        </w:tc>
        <w:tc>
          <w:tcPr>
            <w:tcW w:w="22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2020.01.01—2020.12.31</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2020.01.01—2020.12.31</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2020.01.01—2020.12.31</w:t>
            </w:r>
          </w:p>
        </w:tc>
      </w:tr>
      <w:tr>
        <w:tblPrEx>
          <w:tblCellMar>
            <w:top w:w="0" w:type="dxa"/>
            <w:left w:w="0" w:type="dxa"/>
            <w:bottom w:w="0" w:type="dxa"/>
            <w:right w:w="0" w:type="dxa"/>
          </w:tblCellMar>
        </w:tblPrEx>
        <w:trPr>
          <w:trHeight w:val="1043"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14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社会效益</w:t>
            </w:r>
          </w:p>
          <w:p>
            <w:pPr>
              <w:widowControl/>
              <w:jc w:val="center"/>
              <w:textAlignment w:val="center"/>
              <w:rPr>
                <w:rFonts w:ascii="宋体" w:hAnsi="宋体" w:cs="宋体"/>
                <w:color w:val="000000"/>
                <w:sz w:val="24"/>
              </w:rPr>
            </w:pPr>
            <w:r>
              <w:rPr>
                <w:rFonts w:hint="eastAsia" w:ascii="宋体" w:hAnsi="宋体" w:cs="宋体"/>
                <w:color w:val="000000"/>
                <w:sz w:val="24"/>
              </w:rPr>
              <w:t>指标</w:t>
            </w:r>
          </w:p>
        </w:tc>
        <w:tc>
          <w:tcPr>
            <w:tcW w:w="22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提高群众法律意识，知法，懂法，用法</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提高群众法律意识，知法，懂法用法律武器保护自己</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提高群众法律意识，知法，懂法用法律武器保护自己</w:t>
            </w:r>
          </w:p>
        </w:tc>
      </w:tr>
      <w:tr>
        <w:tblPrEx>
          <w:tblCellMar>
            <w:top w:w="0" w:type="dxa"/>
            <w:left w:w="0" w:type="dxa"/>
            <w:bottom w:w="0" w:type="dxa"/>
            <w:right w:w="0" w:type="dxa"/>
          </w:tblCellMar>
        </w:tblPrEx>
        <w:trPr>
          <w:trHeight w:val="702"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效益指标</w:t>
            </w:r>
          </w:p>
        </w:tc>
        <w:tc>
          <w:tcPr>
            <w:tcW w:w="114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社会效益</w:t>
            </w:r>
          </w:p>
          <w:p>
            <w:pPr>
              <w:widowControl/>
              <w:jc w:val="center"/>
              <w:textAlignment w:val="center"/>
              <w:rPr>
                <w:rFonts w:ascii="宋体" w:hAnsi="宋体" w:cs="宋体"/>
                <w:color w:val="000000"/>
                <w:sz w:val="24"/>
              </w:rPr>
            </w:pPr>
            <w:r>
              <w:rPr>
                <w:rFonts w:hint="eastAsia" w:ascii="宋体" w:hAnsi="宋体" w:cs="宋体"/>
                <w:color w:val="000000"/>
                <w:sz w:val="24"/>
              </w:rPr>
              <w:t>指标</w:t>
            </w:r>
          </w:p>
        </w:tc>
        <w:tc>
          <w:tcPr>
            <w:tcW w:w="22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textAlignment w:val="center"/>
              <w:rPr>
                <w:rFonts w:ascii="宋体" w:hAnsi="宋体" w:cs="宋体"/>
                <w:color w:val="000000"/>
                <w:sz w:val="24"/>
              </w:rPr>
            </w:pPr>
            <w:r>
              <w:rPr>
                <w:rFonts w:hint="eastAsia" w:ascii="宋体" w:hAnsi="宋体" w:cs="宋体"/>
                <w:color w:val="000000"/>
                <w:sz w:val="24"/>
              </w:rPr>
              <w:t>辖区内和谐安定</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辖区内和谐安定</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textAlignment w:val="center"/>
              <w:rPr>
                <w:rFonts w:ascii="宋体" w:hAnsi="宋体" w:cs="宋体"/>
                <w:color w:val="000000"/>
                <w:sz w:val="24"/>
              </w:rPr>
            </w:pPr>
            <w:r>
              <w:rPr>
                <w:rFonts w:hint="eastAsia" w:ascii="宋体" w:hAnsi="宋体" w:cs="宋体"/>
                <w:color w:val="000000"/>
                <w:sz w:val="24"/>
              </w:rPr>
              <w:t>辖区内和谐安定</w:t>
            </w:r>
          </w:p>
        </w:tc>
      </w:tr>
      <w:tr>
        <w:tblPrEx>
          <w:tblCellMar>
            <w:top w:w="0" w:type="dxa"/>
            <w:left w:w="0" w:type="dxa"/>
            <w:bottom w:w="0" w:type="dxa"/>
            <w:right w:w="0" w:type="dxa"/>
          </w:tblCellMar>
        </w:tblPrEx>
        <w:trPr>
          <w:trHeight w:val="834"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114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满意度指标</w:t>
            </w:r>
          </w:p>
        </w:tc>
        <w:tc>
          <w:tcPr>
            <w:tcW w:w="22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群众满意度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确保群众满意度100%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确保群众满意度100%</w:t>
            </w:r>
          </w:p>
        </w:tc>
      </w:tr>
      <w:tr>
        <w:tblPrEx>
          <w:tblCellMar>
            <w:top w:w="0" w:type="dxa"/>
            <w:left w:w="0" w:type="dxa"/>
            <w:bottom w:w="0" w:type="dxa"/>
            <w:right w:w="0" w:type="dxa"/>
          </w:tblCellMar>
        </w:tblPrEx>
        <w:trPr>
          <w:trHeight w:val="1034" w:hRule="atLeast"/>
          <w:jc w:val="center"/>
        </w:trPr>
        <w:tc>
          <w:tcPr>
            <w:tcW w:w="9960" w:type="dxa"/>
            <w:gridSpan w:val="7"/>
            <w:tcMar>
              <w:top w:w="15" w:type="dxa"/>
              <w:left w:w="15" w:type="dxa"/>
              <w:bottom w:w="0" w:type="dxa"/>
              <w:right w:w="15" w:type="dxa"/>
            </w:tcMar>
            <w:vAlign w:val="center"/>
          </w:tcPr>
          <w:p>
            <w:pPr>
              <w:pStyle w:val="23"/>
              <w:widowControl/>
              <w:ind w:left="4173" w:leftChars="1310" w:hanging="1422" w:hangingChars="395"/>
              <w:textAlignment w:val="center"/>
              <w:rPr>
                <w:rFonts w:ascii="宋体" w:hAnsi="宋体" w:cs="宋体"/>
                <w:color w:val="000000"/>
                <w:sz w:val="36"/>
                <w:szCs w:val="36"/>
              </w:rPr>
            </w:pPr>
            <w:r>
              <w:rPr>
                <w:rFonts w:hint="eastAsia" w:ascii="黑体" w:hAnsi="黑体" w:eastAsia="黑体" w:cs="宋体"/>
                <w:bCs/>
                <w:color w:val="000000"/>
                <w:kern w:val="0"/>
                <w:sz w:val="36"/>
                <w:szCs w:val="36"/>
              </w:rPr>
              <w:t>项目支出绩效目标完成情况表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(2020年度)</w:t>
            </w:r>
          </w:p>
        </w:tc>
      </w:tr>
      <w:tr>
        <w:tblPrEx>
          <w:tblCellMar>
            <w:top w:w="0" w:type="dxa"/>
            <w:left w:w="0" w:type="dxa"/>
            <w:bottom w:w="0" w:type="dxa"/>
            <w:right w:w="0" w:type="dxa"/>
          </w:tblCellMar>
        </w:tblPrEx>
        <w:trPr>
          <w:trHeight w:val="276" w:hRule="atLeast"/>
          <w:jc w:val="center"/>
        </w:trPr>
        <w:tc>
          <w:tcPr>
            <w:tcW w:w="2899"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061"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金洞乡安全监管工作经费支出绩效目标</w:t>
            </w:r>
          </w:p>
        </w:tc>
      </w:tr>
      <w:tr>
        <w:tblPrEx>
          <w:tblCellMar>
            <w:top w:w="0" w:type="dxa"/>
            <w:left w:w="0" w:type="dxa"/>
            <w:bottom w:w="0" w:type="dxa"/>
            <w:right w:w="0" w:type="dxa"/>
          </w:tblCellMar>
        </w:tblPrEx>
        <w:trPr>
          <w:trHeight w:val="276" w:hRule="atLeast"/>
          <w:jc w:val="center"/>
        </w:trPr>
        <w:tc>
          <w:tcPr>
            <w:tcW w:w="2899"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061"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金洞乡</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509"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2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2.5万元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2.5万元</w:t>
            </w:r>
          </w:p>
        </w:tc>
      </w:tr>
      <w:tr>
        <w:tblPrEx>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509"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2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2.5万元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2.5万元</w:t>
            </w:r>
          </w:p>
        </w:tc>
      </w:tr>
      <w:tr>
        <w:tblPrEx>
          <w:tblCellMar>
            <w:top w:w="0" w:type="dxa"/>
            <w:left w:w="0" w:type="dxa"/>
            <w:bottom w:w="0" w:type="dxa"/>
            <w:right w:w="0" w:type="dxa"/>
          </w:tblCellMar>
        </w:tblPrEx>
        <w:trPr>
          <w:trHeight w:val="1511"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509"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2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color w:val="000000"/>
                <w:sz w:val="24"/>
              </w:rPr>
            </w:pPr>
            <w:r>
              <w:rPr>
                <w:rFonts w:hint="eastAsia" w:ascii="宋体" w:hAnsi="宋体" w:cs="宋体"/>
                <w:color w:val="000000"/>
                <w:sz w:val="24"/>
              </w:rPr>
              <w:t>0</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784"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tblPrEx>
          <w:tblCellMar>
            <w:top w:w="0" w:type="dxa"/>
            <w:left w:w="0" w:type="dxa"/>
            <w:bottom w:w="0" w:type="dxa"/>
            <w:right w:w="0" w:type="dxa"/>
          </w:tblCellMar>
        </w:tblPrEx>
        <w:trPr>
          <w:trHeight w:val="115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4784"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sz w:val="24"/>
              </w:rPr>
              <w:t>保证辖区社会安全稳定，提高了群众的安全意识</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textAlignment w:val="center"/>
              <w:rPr>
                <w:rFonts w:ascii="宋体" w:hAnsi="宋体" w:cs="宋体"/>
                <w:color w:val="000000"/>
                <w:sz w:val="24"/>
              </w:rPr>
            </w:pPr>
            <w:r>
              <w:rPr>
                <w:rFonts w:hint="eastAsia" w:ascii="宋体" w:hAnsi="宋体" w:cs="宋体"/>
                <w:color w:val="000000"/>
                <w:sz w:val="24"/>
              </w:rPr>
              <w:t>保证辖区社会安全稳定，提高了群众的安全意识</w:t>
            </w:r>
          </w:p>
        </w:tc>
      </w:tr>
      <w:tr>
        <w:tblPrEx>
          <w:tblCellMar>
            <w:top w:w="0" w:type="dxa"/>
            <w:left w:w="0" w:type="dxa"/>
            <w:bottom w:w="0" w:type="dxa"/>
            <w:right w:w="0" w:type="dxa"/>
          </w:tblCellMar>
        </w:tblPrEx>
        <w:trPr>
          <w:trHeight w:val="1042"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14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2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tblPrEx>
          <w:tblCellMar>
            <w:top w:w="0" w:type="dxa"/>
            <w:left w:w="0" w:type="dxa"/>
            <w:bottom w:w="0" w:type="dxa"/>
            <w:right w:w="0" w:type="dxa"/>
          </w:tblCellMar>
        </w:tblPrEx>
        <w:trPr>
          <w:trHeight w:val="953"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14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数量指标</w:t>
            </w:r>
          </w:p>
        </w:tc>
        <w:tc>
          <w:tcPr>
            <w:tcW w:w="22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确保辖区社会安定团结</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安全宣传不少于10人次</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安全宣传不少于10人次</w:t>
            </w:r>
          </w:p>
        </w:tc>
      </w:tr>
      <w:tr>
        <w:tblPrEx>
          <w:tblCellMar>
            <w:top w:w="0" w:type="dxa"/>
            <w:left w:w="0" w:type="dxa"/>
            <w:bottom w:w="0" w:type="dxa"/>
            <w:right w:w="0" w:type="dxa"/>
          </w:tblCellMar>
        </w:tblPrEx>
        <w:trPr>
          <w:trHeight w:val="1297"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14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质量指标</w:t>
            </w:r>
          </w:p>
        </w:tc>
        <w:tc>
          <w:tcPr>
            <w:tcW w:w="22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确保辖区社会安定团结</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推动辖区内稳定和谐</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推动辖区内稳定和谐</w:t>
            </w:r>
          </w:p>
        </w:tc>
      </w:tr>
      <w:tr>
        <w:tblPrEx>
          <w:tblCellMar>
            <w:top w:w="0" w:type="dxa"/>
            <w:left w:w="0" w:type="dxa"/>
            <w:bottom w:w="0" w:type="dxa"/>
            <w:right w:w="0" w:type="dxa"/>
          </w:tblCellMar>
        </w:tblPrEx>
        <w:trPr>
          <w:trHeight w:val="1042"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项目完成指标</w:t>
            </w:r>
          </w:p>
        </w:tc>
        <w:tc>
          <w:tcPr>
            <w:tcW w:w="114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时效指标</w:t>
            </w:r>
          </w:p>
        </w:tc>
        <w:tc>
          <w:tcPr>
            <w:tcW w:w="22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2020.01.01—2020.12.31</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2020.01.01—2020.12.31</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2020.01.01—2020.12.31</w:t>
            </w:r>
          </w:p>
        </w:tc>
      </w:tr>
      <w:tr>
        <w:tblPrEx>
          <w:tblCellMar>
            <w:top w:w="0" w:type="dxa"/>
            <w:left w:w="0" w:type="dxa"/>
            <w:bottom w:w="0" w:type="dxa"/>
            <w:right w:w="0" w:type="dxa"/>
          </w:tblCellMar>
        </w:tblPrEx>
        <w:trPr>
          <w:trHeight w:val="85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项目完成指标</w:t>
            </w:r>
          </w:p>
        </w:tc>
        <w:tc>
          <w:tcPr>
            <w:tcW w:w="114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时效指标</w:t>
            </w:r>
          </w:p>
        </w:tc>
        <w:tc>
          <w:tcPr>
            <w:tcW w:w="22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确保辖区社会安定团结</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确保辖区社会安定团结</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确保辖区社会安定团结</w:t>
            </w:r>
          </w:p>
        </w:tc>
      </w:tr>
      <w:tr>
        <w:tblPrEx>
          <w:tblCellMar>
            <w:top w:w="0" w:type="dxa"/>
            <w:left w:w="0" w:type="dxa"/>
            <w:bottom w:w="0" w:type="dxa"/>
            <w:right w:w="0" w:type="dxa"/>
          </w:tblCellMar>
        </w:tblPrEx>
        <w:trPr>
          <w:trHeight w:val="875"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114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满意度指标</w:t>
            </w:r>
          </w:p>
        </w:tc>
        <w:tc>
          <w:tcPr>
            <w:tcW w:w="22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群众满意度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确保群众满意度100%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确保群众满意度100%</w:t>
            </w:r>
          </w:p>
        </w:tc>
      </w:tr>
    </w:tbl>
    <w:p>
      <w:pPr>
        <w:spacing w:line="580" w:lineRule="exact"/>
        <w:rPr>
          <w:rFonts w:ascii="仿宋_GB2312" w:hAnsi="仿宋_GB2312" w:eastAsia="仿宋_GB2312" w:cs="仿宋_GB2312"/>
          <w:sz w:val="32"/>
          <w:szCs w:val="32"/>
        </w:rPr>
      </w:pPr>
    </w:p>
    <w:p>
      <w:pPr>
        <w:spacing w:line="580" w:lineRule="exact"/>
        <w:ind w:left="630"/>
        <w:rPr>
          <w:rFonts w:ascii="仿宋_GB2312" w:hAnsi="仿宋_GB2312" w:eastAsia="仿宋_GB2312" w:cs="仿宋_GB2312"/>
          <w:sz w:val="32"/>
          <w:szCs w:val="32"/>
        </w:rPr>
      </w:pPr>
      <w:r>
        <w:rPr>
          <w:rFonts w:hint="eastAsia" w:ascii="楷体_GB2312" w:hAnsi="楷体_GB2312" w:eastAsia="楷体_GB2312" w:cs="楷体_GB2312"/>
          <w:sz w:val="32"/>
          <w:szCs w:val="32"/>
        </w:rPr>
        <w:t>2.部门绩效评价结果。</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本部门按要求对2020年部门整体支出绩效评价情况开展自评，《金洞乡部门2020年部门整体支出绩效评价报告》见附件（附件1）。</w:t>
      </w:r>
    </w:p>
    <w:p>
      <w:pPr>
        <w:spacing w:line="580" w:lineRule="exact"/>
        <w:ind w:firstLine="640" w:firstLineChars="200"/>
        <w:rPr>
          <w:rFonts w:ascii="仿宋_GB2312" w:eastAsia="仿宋_GB2312"/>
          <w:b/>
          <w:color w:val="000000"/>
          <w:sz w:val="32"/>
          <w:szCs w:val="32"/>
        </w:rPr>
      </w:pPr>
      <w:r>
        <w:rPr>
          <w:rFonts w:hint="eastAsia" w:ascii="仿宋_GB2312" w:hAnsi="仿宋_GB2312" w:eastAsia="仿宋_GB2312" w:cs="仿宋_GB2312"/>
          <w:sz w:val="32"/>
          <w:szCs w:val="32"/>
        </w:rPr>
        <w:t>本部门自行组织对</w:t>
      </w:r>
      <w:r>
        <w:rPr>
          <w:rFonts w:hint="eastAsia" w:ascii="仿宋_GB2312" w:eastAsia="仿宋_GB2312"/>
          <w:color w:val="000000"/>
          <w:sz w:val="32"/>
          <w:szCs w:val="32"/>
        </w:rPr>
        <w:t>伙食补助</w:t>
      </w:r>
      <w:r>
        <w:rPr>
          <w:rFonts w:hint="eastAsia" w:ascii="仿宋_GB2312" w:hAnsi="仿宋_GB2312" w:eastAsia="仿宋_GB2312" w:cs="仿宋_GB2312"/>
          <w:sz w:val="32"/>
          <w:szCs w:val="32"/>
        </w:rPr>
        <w:t>、人大代表工作、林业防灾减灾、依法治区工作经费、安全监管工作经费项目开展了绩效评价，《金洞乡项目2020年绩效评价报告》见附件（附件2）。（非涉密部门均需公开部门整体支出评价报告，部门自行组织的绩效评价情况根据部门实际公开，若未组织项目绩效评价，则只需说明部门整体支出绩效评价情况）</w:t>
      </w:r>
    </w:p>
    <w:p>
      <w:pPr>
        <w:widowControl/>
        <w:jc w:val="left"/>
        <w:rPr>
          <w:rFonts w:ascii="仿宋_GB2312" w:eastAsia="仿宋_GB2312"/>
          <w:b/>
          <w:color w:val="000000"/>
          <w:sz w:val="32"/>
          <w:szCs w:val="32"/>
        </w:rPr>
      </w:pPr>
      <w:r>
        <w:rPr>
          <w:rFonts w:ascii="仿宋_GB2312" w:eastAsia="仿宋_GB2312"/>
          <w:b/>
          <w:color w:val="000000"/>
          <w:sz w:val="32"/>
          <w:szCs w:val="32"/>
        </w:rPr>
        <w:br w:type="page"/>
      </w:r>
    </w:p>
    <w:p>
      <w:pPr>
        <w:numPr>
          <w:ilvl w:val="0"/>
          <w:numId w:val="3"/>
        </w:numPr>
        <w:spacing w:line="600" w:lineRule="exact"/>
        <w:ind w:firstLine="660" w:firstLineChars="150"/>
        <w:jc w:val="center"/>
        <w:outlineLvl w:val="0"/>
        <w:rPr>
          <w:rStyle w:val="24"/>
          <w:rFonts w:ascii="黑体" w:hAnsi="黑体" w:eastAsia="黑体"/>
          <w:b w:val="0"/>
        </w:rPr>
      </w:pPr>
      <w:bookmarkStart w:id="52" w:name="_Toc15377225"/>
      <w:bookmarkStart w:id="53" w:name="_Toc15396613"/>
      <w:r>
        <w:rPr>
          <w:rFonts w:hint="eastAsia" w:ascii="黑体" w:hAnsi="黑体" w:eastAsia="黑体"/>
          <w:color w:val="000000"/>
          <w:sz w:val="44"/>
          <w:szCs w:val="44"/>
        </w:rPr>
        <w:t>名</w:t>
      </w:r>
      <w:r>
        <w:rPr>
          <w:rStyle w:val="24"/>
          <w:rFonts w:hint="eastAsia" w:ascii="黑体" w:hAnsi="黑体" w:eastAsia="黑体"/>
          <w:b w:val="0"/>
        </w:rPr>
        <w:t>词解释</w:t>
      </w:r>
      <w:bookmarkEnd w:id="52"/>
      <w:bookmarkEnd w:id="53"/>
    </w:p>
    <w:p>
      <w:pPr>
        <w:spacing w:line="600" w:lineRule="exact"/>
        <w:jc w:val="left"/>
        <w:rPr>
          <w:rFonts w:ascii="宋体"/>
          <w:b/>
          <w:color w:val="000000"/>
          <w:sz w:val="44"/>
          <w:szCs w:val="44"/>
        </w:rPr>
      </w:pPr>
    </w:p>
    <w:p>
      <w:pPr>
        <w:pStyle w:val="2"/>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pPr>
        <w:pStyle w:val="2"/>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事业收入：指事业单位开展专业业务活动及辅助活动取得的收入。如…（二级预算单位事业收入情况）等。</w:t>
      </w:r>
    </w:p>
    <w:p>
      <w:pPr>
        <w:pStyle w:val="2"/>
        <w:spacing w:line="56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经营收入：指事业单位在专业业务活动及其辅助活动之外开展非独立核算经营活动取得的收入。如…（二级预算单位经营收入情况）等。</w:t>
      </w:r>
    </w:p>
    <w:p>
      <w:pPr>
        <w:pStyle w:val="2"/>
        <w:spacing w:line="560"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其他收入：指单位取得的除上述收入以外的各项收入。主要是…（收入类型）等。</w:t>
      </w:r>
    </w:p>
    <w:p>
      <w:pPr>
        <w:pStyle w:val="2"/>
        <w:spacing w:line="560" w:lineRule="exact"/>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ascii="仿宋_GB2312" w:eastAsia="仿宋_GB2312"/>
          <w:sz w:val="32"/>
          <w:szCs w:val="32"/>
        </w:rPr>
        <w:t xml:space="preserve"> </w:t>
      </w:r>
    </w:p>
    <w:p>
      <w:pPr>
        <w:pStyle w:val="2"/>
        <w:spacing w:line="560" w:lineRule="exact"/>
        <w:ind w:firstLine="640" w:firstLineChars="20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年初结转和结余：指以前年度尚未完成、结转到本年按有关规定继续使用的资金。</w:t>
      </w:r>
      <w:r>
        <w:rPr>
          <w:rFonts w:ascii="仿宋_GB2312" w:eastAsia="仿宋_GB2312"/>
          <w:sz w:val="32"/>
          <w:szCs w:val="32"/>
        </w:rPr>
        <w:t xml:space="preserve"> </w:t>
      </w:r>
    </w:p>
    <w:p>
      <w:pPr>
        <w:pStyle w:val="2"/>
        <w:spacing w:line="560" w:lineRule="exact"/>
        <w:ind w:firstLine="640" w:firstLineChars="200"/>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结余分配：指事业单位按照事业单位会计制度的规定从非财政补助结余中分配的事业基金和职工福利基金等。</w:t>
      </w:r>
    </w:p>
    <w:p>
      <w:pPr>
        <w:pStyle w:val="2"/>
        <w:spacing w:line="560" w:lineRule="exact"/>
        <w:ind w:firstLine="640" w:firstLineChars="200"/>
        <w:rPr>
          <w:rFonts w:ascii="仿宋_GB2312" w:eastAsia="仿宋_GB2312"/>
          <w:sz w:val="32"/>
          <w:szCs w:val="32"/>
        </w:rPr>
      </w:pPr>
      <w:r>
        <w:rPr>
          <w:rFonts w:ascii="仿宋_GB2312" w:eastAsia="仿宋_GB2312"/>
          <w:sz w:val="32"/>
          <w:szCs w:val="32"/>
        </w:rPr>
        <w:t>8</w:t>
      </w:r>
      <w:r>
        <w:rPr>
          <w:rFonts w:hint="eastAsia" w:ascii="仿宋_GB2312" w:eastAsia="仿宋_GB2312"/>
          <w:sz w:val="32"/>
          <w:szCs w:val="32"/>
        </w:rPr>
        <w:t>、年末结转和结余：指单位按有关规定结转到下年或以后年度继续使用的资金。</w:t>
      </w:r>
    </w:p>
    <w:p>
      <w:pPr>
        <w:ind w:firstLine="640" w:firstLineChars="200"/>
        <w:rPr>
          <w:rFonts w:ascii="仿宋_GB2312" w:eastAsia="仿宋_GB2312"/>
          <w:color w:val="000000"/>
          <w:sz w:val="32"/>
          <w:szCs w:val="32"/>
        </w:rPr>
      </w:pPr>
      <w:r>
        <w:rPr>
          <w:rFonts w:ascii="仿宋_GB2312" w:eastAsia="仿宋_GB2312"/>
          <w:color w:val="000000"/>
          <w:sz w:val="32"/>
          <w:szCs w:val="32"/>
        </w:rPr>
        <w:t>9.</w:t>
      </w:r>
      <w:r>
        <w:rPr>
          <w:rFonts w:hint="eastAsia" w:ascii="仿宋_GB2312" w:eastAsia="仿宋_GB2312"/>
          <w:color w:val="000000"/>
          <w:sz w:val="32"/>
          <w:szCs w:val="32"/>
        </w:rPr>
        <w:t>一般公共服务：</w:t>
      </w:r>
      <w:r>
        <w:rPr>
          <w:rFonts w:hint="eastAsia" w:ascii="仿宋_GB2312" w:hAnsi="Calibri" w:eastAsia="仿宋_GB2312" w:cs="仿宋"/>
          <w:color w:val="000000"/>
          <w:kern w:val="0"/>
          <w:sz w:val="32"/>
          <w:szCs w:val="32"/>
        </w:rPr>
        <w:t>2010108指反映人大代表工作支出；2010301指反映政府办公室行政运行支出；2010302指反映政府办公室一般行政管理事务支出；2010601指反映财政事务行政运行支出；2013101指反映党委办公室行政运行支出；2013105指反映党委办公室80岁老党员生活补助及远程教育支出。</w:t>
      </w:r>
    </w:p>
    <w:p>
      <w:pPr>
        <w:ind w:firstLine="640" w:firstLineChars="200"/>
        <w:rPr>
          <w:rFonts w:ascii="仿宋_GB2312" w:eastAsia="仿宋_GB2312"/>
          <w:color w:val="000000"/>
          <w:sz w:val="32"/>
          <w:szCs w:val="32"/>
        </w:rPr>
      </w:pPr>
      <w:r>
        <w:rPr>
          <w:rFonts w:ascii="仿宋_GB2312" w:eastAsia="仿宋_GB2312"/>
          <w:color w:val="000000"/>
          <w:sz w:val="32"/>
          <w:szCs w:val="32"/>
        </w:rPr>
        <w:t>10.</w:t>
      </w:r>
      <w:r>
        <w:rPr>
          <w:rFonts w:hint="eastAsia" w:ascii="仿宋_GB2312" w:eastAsia="仿宋_GB2312"/>
          <w:color w:val="000000"/>
          <w:sz w:val="32"/>
          <w:szCs w:val="32"/>
        </w:rPr>
        <w:t>文化体育与传媒：</w:t>
      </w:r>
      <w:r>
        <w:rPr>
          <w:rFonts w:hint="eastAsia" w:ascii="仿宋_GB2312" w:hAnsi="Calibri" w:eastAsia="仿宋_GB2312" w:cs="仿宋"/>
          <w:color w:val="000000"/>
          <w:kern w:val="0"/>
          <w:sz w:val="32"/>
          <w:szCs w:val="32"/>
        </w:rPr>
        <w:t>2070101指反映文化行政运行支出；2079999指反映其他文化体育与传媒支出。</w:t>
      </w:r>
    </w:p>
    <w:p>
      <w:pPr>
        <w:ind w:firstLine="640" w:firstLineChars="200"/>
        <w:rPr>
          <w:rFonts w:ascii="仿宋_GB2312" w:eastAsia="仿宋_GB2312"/>
          <w:sz w:val="32"/>
          <w:szCs w:val="32"/>
        </w:rPr>
      </w:pPr>
      <w:r>
        <w:rPr>
          <w:rFonts w:ascii="仿宋_GB2312" w:eastAsia="仿宋_GB2312"/>
          <w:color w:val="000000"/>
          <w:sz w:val="32"/>
          <w:szCs w:val="32"/>
        </w:rPr>
        <w:t>1</w:t>
      </w:r>
      <w:r>
        <w:rPr>
          <w:rFonts w:hint="eastAsia" w:ascii="仿宋_GB2312" w:eastAsia="仿宋_GB2312"/>
          <w:color w:val="000000"/>
          <w:sz w:val="32"/>
          <w:szCs w:val="32"/>
        </w:rPr>
        <w:t>1</w:t>
      </w:r>
      <w:r>
        <w:rPr>
          <w:rFonts w:ascii="仿宋_GB2312" w:eastAsia="仿宋_GB2312"/>
          <w:color w:val="000000"/>
          <w:sz w:val="32"/>
          <w:szCs w:val="32"/>
        </w:rPr>
        <w:t>.</w:t>
      </w:r>
      <w:r>
        <w:rPr>
          <w:rFonts w:hint="eastAsia" w:ascii="仿宋_GB2312" w:eastAsia="仿宋_GB2312"/>
          <w:color w:val="000000"/>
          <w:sz w:val="32"/>
          <w:szCs w:val="32"/>
        </w:rPr>
        <w:t>社会保障和就业</w:t>
      </w:r>
      <w:r>
        <w:rPr>
          <w:rFonts w:hint="eastAsia" w:ascii="仿宋_GB2312" w:hAnsi="Calibri" w:eastAsia="仿宋_GB2312" w:cs="仿宋"/>
          <w:color w:val="000000"/>
          <w:kern w:val="0"/>
          <w:sz w:val="32"/>
          <w:szCs w:val="32"/>
        </w:rPr>
        <w:t>2080505指反映机关事业单位基本养老保险支出；2080801指反映死亡抚恤支出；2080805指反映义务兵优待金；</w:t>
      </w:r>
      <w:r>
        <w:rPr>
          <w:rFonts w:hint="eastAsia" w:ascii="仿宋_GB2312" w:eastAsia="仿宋_GB2312"/>
          <w:sz w:val="32"/>
          <w:szCs w:val="32"/>
        </w:rPr>
        <w:t>2089901指</w:t>
      </w:r>
      <w:r>
        <w:rPr>
          <w:rFonts w:hint="eastAsia" w:ascii="仿宋_GB2312" w:hAnsi="Calibri" w:eastAsia="仿宋_GB2312" w:cs="仿宋"/>
          <w:color w:val="000000"/>
          <w:kern w:val="0"/>
          <w:sz w:val="32"/>
          <w:szCs w:val="32"/>
        </w:rPr>
        <w:t>反映</w:t>
      </w:r>
      <w:r>
        <w:rPr>
          <w:rFonts w:hint="eastAsia" w:ascii="仿宋_GB2312" w:eastAsia="仿宋_GB2312"/>
          <w:sz w:val="32"/>
          <w:szCs w:val="32"/>
        </w:rPr>
        <w:t>其他社会保障和就业支出。</w:t>
      </w:r>
    </w:p>
    <w:p>
      <w:pPr>
        <w:ind w:firstLine="640" w:firstLineChars="200"/>
        <w:rPr>
          <w:rFonts w:ascii="仿宋_GB2312" w:eastAsia="仿宋_GB2312"/>
          <w:color w:val="000000"/>
          <w:sz w:val="32"/>
          <w:szCs w:val="32"/>
        </w:rPr>
      </w:pPr>
      <w:r>
        <w:rPr>
          <w:rFonts w:ascii="仿宋_GB2312" w:eastAsia="仿宋_GB2312"/>
          <w:color w:val="000000"/>
          <w:sz w:val="32"/>
          <w:szCs w:val="32"/>
        </w:rPr>
        <w:t>1</w:t>
      </w:r>
      <w:r>
        <w:rPr>
          <w:rFonts w:hint="eastAsia" w:ascii="仿宋_GB2312" w:eastAsia="仿宋_GB2312"/>
          <w:color w:val="000000"/>
          <w:sz w:val="32"/>
          <w:szCs w:val="32"/>
        </w:rPr>
        <w:t>2</w:t>
      </w:r>
      <w:r>
        <w:rPr>
          <w:rFonts w:ascii="仿宋_GB2312" w:eastAsia="仿宋_GB2312"/>
          <w:color w:val="000000"/>
          <w:sz w:val="32"/>
          <w:szCs w:val="32"/>
        </w:rPr>
        <w:t>.</w:t>
      </w:r>
      <w:r>
        <w:rPr>
          <w:rFonts w:hint="eastAsia" w:ascii="仿宋_GB2312" w:eastAsia="仿宋_GB2312"/>
          <w:color w:val="000000"/>
          <w:sz w:val="32"/>
          <w:szCs w:val="32"/>
        </w:rPr>
        <w:t>医疗卫生与计划生育：</w:t>
      </w:r>
      <w:r>
        <w:rPr>
          <w:rFonts w:hint="eastAsia" w:ascii="仿宋_GB2312" w:eastAsia="仿宋_GB2312"/>
          <w:sz w:val="32"/>
          <w:szCs w:val="32"/>
        </w:rPr>
        <w:t>2100716</w:t>
      </w:r>
      <w:r>
        <w:rPr>
          <w:rFonts w:hint="eastAsia" w:ascii="仿宋_GB2312" w:hAnsi="Calibri" w:eastAsia="仿宋_GB2312" w:cs="仿宋"/>
          <w:color w:val="000000"/>
          <w:kern w:val="0"/>
          <w:sz w:val="32"/>
          <w:szCs w:val="32"/>
        </w:rPr>
        <w:t>指反映</w:t>
      </w:r>
      <w:r>
        <w:rPr>
          <w:rFonts w:hint="eastAsia" w:ascii="仿宋_GB2312" w:eastAsia="仿宋_GB2312"/>
          <w:sz w:val="32"/>
          <w:szCs w:val="32"/>
        </w:rPr>
        <w:t>计划生育机构行政运行支出；2100717指反映计划生育服务支出；2101101指反映行政单位医疗支出</w:t>
      </w: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ascii="仿宋_GB2312" w:eastAsia="仿宋_GB2312"/>
          <w:color w:val="000000"/>
          <w:sz w:val="32"/>
          <w:szCs w:val="32"/>
        </w:rPr>
        <w:t>1</w:t>
      </w:r>
      <w:r>
        <w:rPr>
          <w:rFonts w:hint="eastAsia" w:ascii="仿宋_GB2312" w:eastAsia="仿宋_GB2312"/>
          <w:color w:val="000000"/>
          <w:sz w:val="32"/>
          <w:szCs w:val="32"/>
        </w:rPr>
        <w:t>3</w:t>
      </w:r>
      <w:r>
        <w:rPr>
          <w:rFonts w:ascii="仿宋_GB2312" w:eastAsia="仿宋_GB2312"/>
          <w:color w:val="000000"/>
          <w:sz w:val="32"/>
          <w:szCs w:val="32"/>
        </w:rPr>
        <w:t>.</w:t>
      </w:r>
      <w:r>
        <w:rPr>
          <w:rFonts w:hint="eastAsia" w:ascii="仿宋_GB2312" w:eastAsia="仿宋_GB2312"/>
          <w:color w:val="000000"/>
          <w:sz w:val="32"/>
          <w:szCs w:val="32"/>
        </w:rPr>
        <w:t>节能环保：</w:t>
      </w:r>
      <w:r>
        <w:rPr>
          <w:rFonts w:hint="eastAsia" w:ascii="仿宋_GB2312" w:eastAsia="仿宋_GB2312"/>
          <w:sz w:val="32"/>
          <w:szCs w:val="32"/>
        </w:rPr>
        <w:t>2110402</w:t>
      </w:r>
      <w:r>
        <w:rPr>
          <w:rFonts w:hint="eastAsia" w:ascii="仿宋_GB2312" w:eastAsia="仿宋_GB2312"/>
          <w:color w:val="000000"/>
          <w:sz w:val="32"/>
          <w:szCs w:val="32"/>
        </w:rPr>
        <w:t>指反映</w:t>
      </w:r>
      <w:r>
        <w:rPr>
          <w:rFonts w:hint="eastAsia" w:ascii="仿宋_GB2312" w:eastAsia="仿宋_GB2312"/>
          <w:sz w:val="32"/>
          <w:szCs w:val="32"/>
        </w:rPr>
        <w:t>农村环境保护支出</w:t>
      </w:r>
      <w:r>
        <w:rPr>
          <w:rFonts w:hint="eastAsia" w:ascii="仿宋_GB2312" w:eastAsia="仿宋_GB2312"/>
          <w:color w:val="000000"/>
          <w:sz w:val="32"/>
          <w:szCs w:val="32"/>
        </w:rPr>
        <w:t>。</w:t>
      </w:r>
    </w:p>
    <w:p>
      <w:pPr>
        <w:spacing w:line="580" w:lineRule="exact"/>
        <w:ind w:firstLine="640" w:firstLineChars="200"/>
        <w:rPr>
          <w:rFonts w:ascii="仿宋_GB2312" w:eastAsia="仿宋_GB2312"/>
          <w:sz w:val="32"/>
          <w:szCs w:val="32"/>
        </w:rPr>
      </w:pPr>
      <w:r>
        <w:rPr>
          <w:rFonts w:ascii="仿宋_GB2312" w:eastAsia="仿宋_GB2312"/>
          <w:color w:val="000000"/>
          <w:sz w:val="32"/>
          <w:szCs w:val="32"/>
        </w:rPr>
        <w:t>1</w:t>
      </w:r>
      <w:r>
        <w:rPr>
          <w:rFonts w:hint="eastAsia" w:ascii="仿宋_GB2312" w:eastAsia="仿宋_GB2312"/>
          <w:color w:val="000000"/>
          <w:sz w:val="32"/>
          <w:szCs w:val="32"/>
        </w:rPr>
        <w:t>4</w:t>
      </w:r>
      <w:r>
        <w:rPr>
          <w:rFonts w:ascii="仿宋_GB2312" w:eastAsia="仿宋_GB2312"/>
          <w:color w:val="000000"/>
          <w:sz w:val="32"/>
          <w:szCs w:val="32"/>
        </w:rPr>
        <w:t>.</w:t>
      </w:r>
      <w:r>
        <w:rPr>
          <w:rFonts w:hint="eastAsia" w:ascii="仿宋_GB2312" w:eastAsia="仿宋_GB2312"/>
          <w:color w:val="000000"/>
          <w:sz w:val="32"/>
          <w:szCs w:val="32"/>
        </w:rPr>
        <w:t>城乡社区：</w:t>
      </w:r>
      <w:r>
        <w:rPr>
          <w:rFonts w:hint="eastAsia" w:ascii="仿宋_GB2312" w:eastAsia="仿宋_GB2312"/>
          <w:sz w:val="32"/>
          <w:szCs w:val="32"/>
        </w:rPr>
        <w:t>2120101指反映城乡社区管理事务行政运行支出；2120102指反映城镇路灯、船只运行维护支出；2120303指反映小城镇基础设施建设支出。</w:t>
      </w:r>
    </w:p>
    <w:p>
      <w:pPr>
        <w:spacing w:line="580" w:lineRule="exact"/>
        <w:ind w:firstLine="640" w:firstLineChars="200"/>
        <w:rPr>
          <w:rFonts w:ascii="仿宋_GB2312" w:eastAsia="仿宋_GB2312"/>
          <w:color w:val="000000"/>
          <w:sz w:val="32"/>
          <w:szCs w:val="32"/>
        </w:rPr>
      </w:pPr>
      <w:r>
        <w:rPr>
          <w:rFonts w:ascii="仿宋_GB2312" w:eastAsia="仿宋_GB2312"/>
          <w:color w:val="000000"/>
          <w:sz w:val="32"/>
          <w:szCs w:val="32"/>
        </w:rPr>
        <w:t>1</w:t>
      </w:r>
      <w:r>
        <w:rPr>
          <w:rFonts w:hint="eastAsia" w:ascii="仿宋_GB2312" w:eastAsia="仿宋_GB2312"/>
          <w:color w:val="000000"/>
          <w:sz w:val="32"/>
          <w:szCs w:val="32"/>
        </w:rPr>
        <w:t>5</w:t>
      </w:r>
      <w:r>
        <w:rPr>
          <w:rFonts w:ascii="仿宋_GB2312" w:eastAsia="仿宋_GB2312"/>
          <w:color w:val="000000"/>
          <w:sz w:val="32"/>
          <w:szCs w:val="32"/>
        </w:rPr>
        <w:t>.</w:t>
      </w:r>
      <w:r>
        <w:rPr>
          <w:rFonts w:hint="eastAsia" w:ascii="仿宋_GB2312" w:eastAsia="仿宋_GB2312"/>
          <w:color w:val="000000"/>
          <w:sz w:val="32"/>
          <w:szCs w:val="32"/>
        </w:rPr>
        <w:t>农林水：</w:t>
      </w:r>
      <w:r>
        <w:rPr>
          <w:rFonts w:hint="eastAsia" w:ascii="仿宋_GB2312" w:eastAsia="仿宋_GB2312"/>
          <w:sz w:val="32"/>
          <w:szCs w:val="32"/>
        </w:rPr>
        <w:t>2130101指反映农业行政运行支出；2130199指反映其他农业支出；2130234指反映林业防灾支出；2130301指反映水利行政运行支出；2130599指反映其他扶贫支出</w:t>
      </w:r>
      <w:r>
        <w:rPr>
          <w:rStyle w:val="15"/>
          <w:rFonts w:hint="eastAsia" w:ascii="仿宋_GB2312" w:eastAsia="仿宋_GB2312"/>
          <w:b w:val="0"/>
          <w:color w:val="000000"/>
          <w:sz w:val="32"/>
          <w:szCs w:val="32"/>
        </w:rPr>
        <w:t>；2130705指</w:t>
      </w:r>
      <w:r>
        <w:rPr>
          <w:rFonts w:hint="eastAsia" w:ascii="仿宋_GB2312" w:eastAsia="仿宋_GB2312"/>
          <w:sz w:val="32"/>
          <w:szCs w:val="32"/>
        </w:rPr>
        <w:t>反映</w:t>
      </w:r>
      <w:r>
        <w:rPr>
          <w:rStyle w:val="15"/>
          <w:rFonts w:hint="eastAsia" w:ascii="仿宋_GB2312" w:eastAsia="仿宋_GB2312"/>
          <w:b w:val="0"/>
          <w:color w:val="000000"/>
          <w:sz w:val="32"/>
          <w:szCs w:val="32"/>
        </w:rPr>
        <w:t>村、组干部生活补贴、村级办公经费及公共运行维护</w:t>
      </w:r>
      <w:r>
        <w:rPr>
          <w:rFonts w:hint="eastAsia" w:ascii="仿宋_GB2312" w:eastAsia="仿宋_GB2312"/>
          <w:sz w:val="32"/>
          <w:szCs w:val="32"/>
        </w:rPr>
        <w:t>支出</w:t>
      </w:r>
      <w:r>
        <w:rPr>
          <w:rStyle w:val="15"/>
          <w:rFonts w:hint="eastAsia" w:ascii="仿宋_GB2312" w:eastAsia="仿宋_GB2312"/>
          <w:b w:val="0"/>
          <w:color w:val="000000"/>
          <w:sz w:val="32"/>
          <w:szCs w:val="32"/>
        </w:rPr>
        <w:t>；2130799指</w:t>
      </w:r>
      <w:r>
        <w:rPr>
          <w:rFonts w:hint="eastAsia" w:ascii="仿宋_GB2312" w:eastAsia="仿宋_GB2312"/>
          <w:sz w:val="32"/>
          <w:szCs w:val="32"/>
        </w:rPr>
        <w:t>反映</w:t>
      </w:r>
      <w:r>
        <w:rPr>
          <w:rStyle w:val="15"/>
          <w:rFonts w:hint="eastAsia" w:ascii="仿宋_GB2312" w:eastAsia="仿宋_GB2312"/>
          <w:b w:val="0"/>
          <w:color w:val="000000"/>
          <w:sz w:val="32"/>
          <w:szCs w:val="32"/>
        </w:rPr>
        <w:t>其他农村综合改革</w:t>
      </w:r>
      <w:r>
        <w:rPr>
          <w:rFonts w:hint="eastAsia" w:ascii="仿宋_GB2312" w:eastAsia="仿宋_GB2312"/>
          <w:sz w:val="32"/>
          <w:szCs w:val="32"/>
        </w:rPr>
        <w:t>支出</w:t>
      </w:r>
      <w:r>
        <w:rPr>
          <w:rStyle w:val="15"/>
          <w:rFonts w:hint="eastAsia" w:ascii="仿宋_GB2312" w:eastAsia="仿宋_GB2312"/>
          <w:b w:val="0"/>
          <w:color w:val="000000"/>
          <w:sz w:val="32"/>
          <w:szCs w:val="32"/>
        </w:rPr>
        <w:t>。</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16</w:t>
      </w:r>
      <w:r>
        <w:rPr>
          <w:rFonts w:ascii="仿宋_GB2312" w:eastAsia="仿宋_GB2312"/>
          <w:color w:val="000000"/>
          <w:sz w:val="32"/>
          <w:szCs w:val="32"/>
        </w:rPr>
        <w:t>.</w:t>
      </w:r>
      <w:r>
        <w:rPr>
          <w:rFonts w:hint="eastAsia" w:ascii="仿宋_GB2312" w:eastAsia="仿宋_GB2312"/>
          <w:color w:val="000000"/>
          <w:sz w:val="32"/>
          <w:szCs w:val="32"/>
        </w:rPr>
        <w:t>住房保障：</w:t>
      </w:r>
      <w:r>
        <w:rPr>
          <w:rFonts w:hint="eastAsia" w:ascii="仿宋_GB2312" w:eastAsia="仿宋_GB2312"/>
          <w:sz w:val="32"/>
          <w:szCs w:val="32"/>
        </w:rPr>
        <w:t>2210201指反映住房公积金支出</w:t>
      </w:r>
      <w:r>
        <w:rPr>
          <w:rFonts w:hint="eastAsia" w:ascii="仿宋_GB2312" w:eastAsia="仿宋_GB2312"/>
          <w:color w:val="000000"/>
          <w:sz w:val="32"/>
          <w:szCs w:val="32"/>
        </w:rPr>
        <w:t>。</w:t>
      </w:r>
    </w:p>
    <w:p>
      <w:pPr>
        <w:spacing w:line="600" w:lineRule="exact"/>
        <w:ind w:firstLine="640"/>
        <w:rPr>
          <w:rFonts w:ascii="仿宋" w:hAnsi="仿宋" w:eastAsia="仿宋"/>
          <w:b/>
          <w:color w:val="000000"/>
          <w:sz w:val="32"/>
          <w:szCs w:val="32"/>
        </w:rPr>
      </w:pPr>
      <w:r>
        <w:rPr>
          <w:rFonts w:hint="eastAsia" w:ascii="仿宋" w:hAnsi="仿宋" w:eastAsia="仿宋"/>
          <w:b/>
          <w:color w:val="000000"/>
          <w:sz w:val="32"/>
          <w:szCs w:val="32"/>
        </w:rPr>
        <w:t>（解释本部门决算报表中全部功能分类科目至项级，请参照《</w:t>
      </w:r>
      <w:r>
        <w:rPr>
          <w:rFonts w:ascii="仿宋" w:hAnsi="仿宋" w:eastAsia="仿宋"/>
          <w:b/>
          <w:color w:val="000000"/>
          <w:sz w:val="32"/>
          <w:szCs w:val="32"/>
        </w:rPr>
        <w:t>201</w:t>
      </w:r>
      <w:r>
        <w:rPr>
          <w:rFonts w:hint="eastAsia" w:ascii="仿宋" w:hAnsi="仿宋" w:eastAsia="仿宋"/>
          <w:b/>
          <w:color w:val="000000"/>
          <w:sz w:val="32"/>
          <w:szCs w:val="32"/>
        </w:rPr>
        <w:t>9年政府收支分类科目》增减内容。）</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17</w:t>
      </w:r>
      <w:r>
        <w:rPr>
          <w:rFonts w:ascii="仿宋_GB2312" w:eastAsia="仿宋_GB2312"/>
          <w:color w:val="000000"/>
          <w:sz w:val="32"/>
          <w:szCs w:val="32"/>
        </w:rPr>
        <w:t>.</w:t>
      </w:r>
      <w:r>
        <w:rPr>
          <w:rFonts w:hint="eastAsia" w:ascii="仿宋_GB2312" w:eastAsia="仿宋_GB2312"/>
          <w:color w:val="000000"/>
          <w:sz w:val="32"/>
          <w:szCs w:val="32"/>
        </w:rPr>
        <w:t>基本支出：指为保障机构正常运转、完成日常工作任务而发生的人员支出和公用支出。</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18</w:t>
      </w:r>
      <w:r>
        <w:rPr>
          <w:rFonts w:ascii="仿宋_GB2312" w:eastAsia="仿宋_GB2312"/>
          <w:color w:val="000000"/>
          <w:sz w:val="32"/>
          <w:szCs w:val="32"/>
        </w:rPr>
        <w:t>.</w:t>
      </w:r>
      <w:r>
        <w:rPr>
          <w:rFonts w:hint="eastAsia" w:ascii="仿宋_GB2312" w:eastAsia="仿宋_GB2312"/>
          <w:color w:val="000000"/>
          <w:sz w:val="32"/>
          <w:szCs w:val="32"/>
        </w:rPr>
        <w:t>项目支出：指在基本支出之外为完成特定行政任务和事业发展目标所发生的支出。</w:t>
      </w:r>
      <w:r>
        <w:rPr>
          <w:rFonts w:ascii="仿宋_GB2312" w:eastAsia="仿宋_GB2312"/>
          <w:color w:val="000000"/>
          <w:sz w:val="32"/>
          <w:szCs w:val="32"/>
        </w:rPr>
        <w:t xml:space="preserve"> </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19</w:t>
      </w:r>
      <w:r>
        <w:rPr>
          <w:rFonts w:ascii="仿宋_GB2312" w:eastAsia="仿宋_GB2312"/>
          <w:color w:val="000000"/>
          <w:sz w:val="32"/>
          <w:szCs w:val="32"/>
        </w:rPr>
        <w:t>.</w:t>
      </w:r>
      <w:r>
        <w:rPr>
          <w:rFonts w:hint="eastAsia" w:ascii="仿宋_GB2312" w:eastAsia="仿宋_GB2312"/>
          <w:color w:val="000000"/>
          <w:sz w:val="32"/>
          <w:szCs w:val="32"/>
        </w:rPr>
        <w:t>经营支出：指事业单位在专业业务活动及其辅助活动之外开展非独立核算经营活动发生的支出。</w:t>
      </w:r>
    </w:p>
    <w:p>
      <w:pPr>
        <w:pStyle w:val="2"/>
        <w:spacing w:line="560" w:lineRule="exact"/>
        <w:ind w:firstLine="640" w:firstLineChars="200"/>
        <w:rPr>
          <w:rFonts w:ascii="仿宋_GB2312" w:eastAsia="仿宋_GB2312"/>
          <w:sz w:val="32"/>
          <w:szCs w:val="32"/>
        </w:rPr>
      </w:pPr>
      <w:r>
        <w:rPr>
          <w:rFonts w:hint="eastAsia" w:ascii="仿宋_GB2312" w:eastAsia="仿宋_GB2312"/>
          <w:sz w:val="32"/>
          <w:szCs w:val="32"/>
        </w:rPr>
        <w:t>20</w:t>
      </w:r>
      <w:r>
        <w:rPr>
          <w:rFonts w:ascii="仿宋_GB2312" w:eastAsia="仿宋_GB2312"/>
          <w:sz w:val="32"/>
          <w:szCs w:val="32"/>
        </w:rPr>
        <w:t>.</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
        <w:spacing w:line="560" w:lineRule="exact"/>
        <w:ind w:firstLine="640" w:firstLineChars="200"/>
        <w:rPr>
          <w:rFonts w:ascii="仿宋_GB2312" w:eastAsia="仿宋_GB2312" w:cs="黑体"/>
          <w:sz w:val="32"/>
          <w:szCs w:val="32"/>
        </w:rPr>
      </w:pPr>
      <w:r>
        <w:rPr>
          <w:rFonts w:hint="eastAsia" w:ascii="仿宋_GB2312" w:eastAsia="仿宋_GB2312"/>
          <w:sz w:val="32"/>
          <w:szCs w:val="32"/>
        </w:rPr>
        <w:t>2</w:t>
      </w:r>
      <w:r>
        <w:rPr>
          <w:rFonts w:ascii="仿宋_GB2312" w:eastAsia="仿宋_GB2312"/>
          <w:sz w:val="32"/>
          <w:szCs w:val="32"/>
        </w:rPr>
        <w:t>1.</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642" w:firstLineChars="200"/>
        <w:rPr>
          <w:rFonts w:ascii="仿宋" w:hAnsi="仿宋" w:eastAsia="仿宋"/>
          <w:b/>
          <w:color w:val="000000"/>
          <w:sz w:val="32"/>
          <w:szCs w:val="32"/>
        </w:rPr>
      </w:pPr>
      <w:r>
        <w:rPr>
          <w:rFonts w:hint="eastAsia" w:ascii="仿宋" w:hAnsi="仿宋" w:eastAsia="仿宋"/>
          <w:b/>
          <w:color w:val="000000"/>
          <w:sz w:val="32"/>
          <w:szCs w:val="32"/>
        </w:rPr>
        <w:t>（名词解释部分请根据各部门实际列支情况罗列，并根据本部门职责职能增减名词解释内容。）</w:t>
      </w:r>
    </w:p>
    <w:p>
      <w:pPr>
        <w:spacing w:line="600" w:lineRule="exact"/>
        <w:jc w:val="center"/>
        <w:outlineLvl w:val="0"/>
        <w:rPr>
          <w:rStyle w:val="24"/>
          <w:rFonts w:ascii="黑体" w:hAnsi="黑体" w:eastAsia="黑体"/>
          <w:b w:val="0"/>
        </w:rPr>
      </w:pPr>
      <w:bookmarkStart w:id="54" w:name="_Toc15377226"/>
      <w:r>
        <w:rPr>
          <w:rFonts w:ascii="宋体"/>
          <w:b/>
          <w:color w:val="000000"/>
          <w:sz w:val="44"/>
          <w:szCs w:val="44"/>
        </w:rPr>
        <w:br w:type="page"/>
      </w:r>
      <w:bookmarkStart w:id="55" w:name="_Toc15396614"/>
      <w:r>
        <w:rPr>
          <w:rFonts w:hint="eastAsia" w:ascii="黑体" w:hAnsi="黑体" w:eastAsia="黑体"/>
          <w:color w:val="000000"/>
          <w:sz w:val="44"/>
          <w:szCs w:val="44"/>
        </w:rPr>
        <w:t>第</w:t>
      </w:r>
      <w:r>
        <w:rPr>
          <w:rStyle w:val="24"/>
          <w:rFonts w:hint="eastAsia" w:ascii="黑体" w:hAnsi="黑体" w:eastAsia="黑体"/>
          <w:b w:val="0"/>
        </w:rPr>
        <w:t>四部分 附件</w:t>
      </w:r>
      <w:bookmarkEnd w:id="55"/>
    </w:p>
    <w:p>
      <w:pPr>
        <w:spacing w:line="600" w:lineRule="exact"/>
        <w:jc w:val="left"/>
        <w:outlineLvl w:val="0"/>
        <w:rPr>
          <w:rFonts w:ascii="方正小标宋简体" w:hAnsi="方正小标宋简体" w:eastAsia="方正小标宋简体" w:cs="方正小标宋简体"/>
          <w:sz w:val="32"/>
          <w:szCs w:val="32"/>
        </w:rPr>
      </w:pPr>
      <w:r>
        <w:rPr>
          <w:rFonts w:hint="eastAsia" w:ascii="黑体" w:hAnsi="黑体" w:eastAsia="黑体" w:cs="黑体"/>
          <w:sz w:val="32"/>
          <w:szCs w:val="32"/>
        </w:rPr>
        <w:t>附件1</w:t>
      </w:r>
    </w:p>
    <w:p>
      <w:pPr>
        <w:spacing w:line="580" w:lineRule="exact"/>
        <w:jc w:val="center"/>
        <w:rPr>
          <w:rFonts w:ascii="方正小标宋简体" w:hAnsi="方正小标宋简体" w:eastAsia="方正小标宋简体" w:cs="方正小标宋简体"/>
          <w:sz w:val="44"/>
          <w:szCs w:val="44"/>
        </w:rPr>
      </w:pPr>
    </w:p>
    <w:p>
      <w:pPr>
        <w:spacing w:line="600" w:lineRule="exact"/>
        <w:jc w:val="center"/>
        <w:rPr>
          <w:rFonts w:ascii="方正小标宋简体" w:hAnsi="宋体" w:eastAsia="方正小标宋简体"/>
          <w:color w:val="000000"/>
          <w:kern w:val="0"/>
          <w:sz w:val="40"/>
          <w:szCs w:val="44"/>
          <w:lang w:val="zh-CN"/>
        </w:rPr>
      </w:pPr>
      <w:r>
        <w:rPr>
          <w:rFonts w:hint="eastAsia" w:ascii="方正小标宋简体" w:hAnsi="宋体" w:eastAsia="方正小标宋简体"/>
          <w:color w:val="000000"/>
          <w:kern w:val="0"/>
          <w:sz w:val="40"/>
          <w:szCs w:val="44"/>
        </w:rPr>
        <w:t>金洞乡</w:t>
      </w:r>
      <w:r>
        <w:rPr>
          <w:rFonts w:hint="eastAsia" w:ascii="方正小标宋简体" w:hAnsi="宋体" w:eastAsia="方正小标宋简体"/>
          <w:color w:val="000000"/>
          <w:kern w:val="0"/>
          <w:sz w:val="40"/>
          <w:szCs w:val="44"/>
          <w:lang w:val="zh-CN"/>
        </w:rPr>
        <w:t>部门</w:t>
      </w:r>
      <w:r>
        <w:rPr>
          <w:rFonts w:ascii="方正小标宋简体" w:hAnsi="宋体" w:eastAsia="方正小标宋简体"/>
          <w:color w:val="000000"/>
          <w:kern w:val="0"/>
          <w:sz w:val="40"/>
          <w:szCs w:val="44"/>
        </w:rPr>
        <w:t>20</w:t>
      </w:r>
      <w:r>
        <w:rPr>
          <w:rFonts w:hint="eastAsia" w:ascii="方正小标宋简体" w:hAnsi="宋体" w:eastAsia="方正小标宋简体"/>
          <w:color w:val="000000"/>
          <w:kern w:val="0"/>
          <w:sz w:val="40"/>
          <w:szCs w:val="44"/>
        </w:rPr>
        <w:t>20</w:t>
      </w:r>
      <w:r>
        <w:rPr>
          <w:rFonts w:ascii="方正小标宋简体" w:hAnsi="宋体" w:eastAsia="方正小标宋简体"/>
          <w:color w:val="000000"/>
          <w:kern w:val="0"/>
          <w:sz w:val="40"/>
          <w:szCs w:val="44"/>
        </w:rPr>
        <w:t>年部门</w:t>
      </w:r>
      <w:r>
        <w:rPr>
          <w:rFonts w:hint="eastAsia" w:ascii="方正小标宋简体" w:hAnsi="宋体" w:eastAsia="方正小标宋简体"/>
          <w:color w:val="000000"/>
          <w:kern w:val="0"/>
          <w:sz w:val="40"/>
          <w:szCs w:val="44"/>
          <w:lang w:val="zh-CN"/>
        </w:rPr>
        <w:t>整体支出绩效评价报告</w:t>
      </w:r>
    </w:p>
    <w:p>
      <w:pPr>
        <w:widowControl/>
        <w:adjustRightInd w:val="0"/>
        <w:snapToGrid w:val="0"/>
        <w:spacing w:line="580" w:lineRule="exact"/>
        <w:ind w:firstLine="480" w:firstLineChars="200"/>
        <w:contextualSpacing/>
        <w:jc w:val="left"/>
        <w:rPr>
          <w:rFonts w:ascii="黑体" w:hAnsi="宋体" w:eastAsia="黑体" w:cs="宋体"/>
          <w:color w:val="000000"/>
          <w:kern w:val="0"/>
          <w:sz w:val="24"/>
          <w:szCs w:val="32"/>
          <w:shd w:val="clear" w:color="auto" w:fill="FFFFFF"/>
        </w:rPr>
      </w:pP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lang w:val="zh-CN"/>
        </w:rPr>
      </w:pPr>
      <w:r>
        <w:rPr>
          <w:rFonts w:hint="eastAsia" w:ascii="黑体" w:hAnsi="宋体" w:eastAsia="黑体" w:cs="宋体"/>
          <w:color w:val="000000"/>
          <w:kern w:val="0"/>
          <w:sz w:val="32"/>
          <w:szCs w:val="32"/>
          <w:shd w:val="clear" w:color="auto" w:fill="FFFFFF"/>
        </w:rPr>
        <w:t>一、</w:t>
      </w:r>
      <w:r>
        <w:rPr>
          <w:rFonts w:hint="eastAsia" w:ascii="黑体" w:hAnsi="宋体" w:eastAsia="黑体" w:cs="宋体"/>
          <w:color w:val="000000"/>
          <w:kern w:val="0"/>
          <w:sz w:val="32"/>
          <w:szCs w:val="32"/>
          <w:shd w:val="clear" w:color="auto" w:fill="FFFFFF"/>
          <w:lang w:val="zh-CN"/>
        </w:rPr>
        <w:t>部门（单位）概况</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（一）机构组成</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olor w:val="000000"/>
          <w:sz w:val="32"/>
          <w:szCs w:val="32"/>
        </w:rPr>
        <w:t>金洞乡2019年所设部门为党政办、经济发展办（内设财政所、安全办、扶贫移民办、交管办）、社会事务办、便民服务中心、综治维稳中心、村建环卫中心</w:t>
      </w:r>
      <w:r>
        <w:rPr>
          <w:rFonts w:hint="eastAsia" w:ascii="仿宋_GB2312" w:hAnsi="宋体" w:eastAsia="仿宋_GB2312" w:cs="宋体"/>
          <w:color w:val="000000"/>
          <w:kern w:val="0"/>
          <w:sz w:val="32"/>
          <w:szCs w:val="32"/>
          <w:shd w:val="clear" w:color="auto" w:fill="FFFFFF"/>
          <w:lang w:val="zh-CN"/>
        </w:rPr>
        <w:t>。</w:t>
      </w:r>
    </w:p>
    <w:p>
      <w:pPr>
        <w:spacing w:line="580" w:lineRule="exact"/>
        <w:ind w:firstLine="640" w:firstLineChars="200"/>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（二）机构职能</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1、执行党和国家的各项方针、政策、法令、法规，在区委、区政府领导下完成各项任务。</w:t>
      </w:r>
    </w:p>
    <w:p>
      <w:pPr>
        <w:spacing w:line="580" w:lineRule="exact"/>
        <w:ind w:firstLine="627" w:firstLineChars="196"/>
        <w:rPr>
          <w:rFonts w:ascii="仿宋_GB2312" w:eastAsia="仿宋_GB2312"/>
          <w:sz w:val="32"/>
          <w:szCs w:val="32"/>
        </w:rPr>
      </w:pPr>
      <w:r>
        <w:rPr>
          <w:rFonts w:hint="eastAsia" w:ascii="仿宋_GB2312" w:eastAsia="仿宋_GB2312"/>
          <w:sz w:val="32"/>
          <w:szCs w:val="32"/>
        </w:rPr>
        <w:t>2、建设社会主义物质文明和精神文明，以经济建设为中心，发展街道工业以及与居民密切相关的第三产业。</w:t>
      </w:r>
    </w:p>
    <w:p>
      <w:pPr>
        <w:spacing w:line="580" w:lineRule="exact"/>
        <w:ind w:firstLine="627" w:firstLineChars="196"/>
        <w:rPr>
          <w:rFonts w:ascii="仿宋_GB2312" w:eastAsia="仿宋_GB2312"/>
          <w:sz w:val="32"/>
          <w:szCs w:val="32"/>
        </w:rPr>
      </w:pPr>
      <w:r>
        <w:rPr>
          <w:rFonts w:hint="eastAsia" w:ascii="仿宋_GB2312" w:eastAsia="仿宋_GB2312"/>
          <w:sz w:val="32"/>
          <w:szCs w:val="32"/>
        </w:rPr>
        <w:t>3、负责辖区内的社会治安综合治理，人民调解、法律服务工作，依照有关规定管理外来流动人员。</w:t>
      </w:r>
    </w:p>
    <w:p>
      <w:pPr>
        <w:spacing w:line="580" w:lineRule="exact"/>
        <w:ind w:firstLine="627" w:firstLineChars="196"/>
        <w:rPr>
          <w:rFonts w:ascii="仿宋_GB2312" w:eastAsia="仿宋_GB2312"/>
          <w:sz w:val="32"/>
          <w:szCs w:val="32"/>
        </w:rPr>
      </w:pPr>
      <w:r>
        <w:rPr>
          <w:rFonts w:hint="eastAsia" w:ascii="仿宋_GB2312" w:eastAsia="仿宋_GB2312"/>
          <w:sz w:val="32"/>
          <w:szCs w:val="32"/>
        </w:rPr>
        <w:t>4、开展社区服务、拥军优属工作，负责社区优抚、社会救济、社会福利、社区文化、科普、体育、教育工作。</w:t>
      </w:r>
    </w:p>
    <w:p>
      <w:pPr>
        <w:spacing w:line="580" w:lineRule="exact"/>
        <w:ind w:firstLine="627" w:firstLineChars="196"/>
        <w:rPr>
          <w:rFonts w:ascii="仿宋_GB2312" w:eastAsia="仿宋_GB2312"/>
          <w:sz w:val="32"/>
          <w:szCs w:val="32"/>
        </w:rPr>
      </w:pPr>
      <w:r>
        <w:rPr>
          <w:rFonts w:hint="eastAsia" w:ascii="仿宋_GB2312" w:eastAsia="仿宋_GB2312"/>
          <w:sz w:val="32"/>
          <w:szCs w:val="32"/>
        </w:rPr>
        <w:t>5、按照职责范围做好城市建设管理监察、计划生育、爱国卫生、市容环境卫生、环境保护、劳动就业、安全生产等管理工作。</w:t>
      </w:r>
    </w:p>
    <w:p>
      <w:pPr>
        <w:spacing w:line="580" w:lineRule="exact"/>
        <w:ind w:firstLine="627" w:firstLineChars="196"/>
        <w:rPr>
          <w:rFonts w:ascii="仿宋_GB2312" w:eastAsia="仿宋_GB2312"/>
          <w:sz w:val="32"/>
          <w:szCs w:val="32"/>
        </w:rPr>
      </w:pPr>
      <w:r>
        <w:rPr>
          <w:rFonts w:hint="eastAsia" w:ascii="仿宋_GB2312" w:eastAsia="仿宋_GB2312"/>
          <w:sz w:val="32"/>
          <w:szCs w:val="32"/>
        </w:rPr>
        <w:t>6、配合有关部门做好防汛、防风、防火、防震、抢险和防灾救灾工作。</w:t>
      </w:r>
    </w:p>
    <w:p>
      <w:pPr>
        <w:spacing w:line="580" w:lineRule="exact"/>
        <w:ind w:firstLine="627" w:firstLineChars="196"/>
        <w:rPr>
          <w:rFonts w:ascii="仿宋_GB2312" w:eastAsia="仿宋_GB2312"/>
          <w:sz w:val="32"/>
          <w:szCs w:val="32"/>
        </w:rPr>
      </w:pPr>
      <w:r>
        <w:rPr>
          <w:rFonts w:hint="eastAsia" w:ascii="仿宋_GB2312" w:eastAsia="仿宋_GB2312"/>
          <w:sz w:val="32"/>
          <w:szCs w:val="32"/>
        </w:rPr>
        <w:t>7、维护老年人、妇女、儿童、青少年和残疾人的合法权益，尊重少数民族的风俗习惯和保障少数民族的权益。</w:t>
      </w:r>
    </w:p>
    <w:p>
      <w:pPr>
        <w:spacing w:line="580" w:lineRule="exact"/>
        <w:ind w:firstLine="627" w:firstLineChars="196"/>
        <w:rPr>
          <w:rFonts w:ascii="仿宋_GB2312" w:eastAsia="仿宋_GB2312"/>
          <w:sz w:val="32"/>
          <w:szCs w:val="32"/>
        </w:rPr>
      </w:pPr>
      <w:r>
        <w:rPr>
          <w:rFonts w:hint="eastAsia" w:ascii="仿宋_GB2312" w:eastAsia="仿宋_GB2312"/>
          <w:sz w:val="32"/>
          <w:szCs w:val="32"/>
        </w:rPr>
        <w:t>8、指导和帮助村、社区的工作，促进村、社区的依法建设和发挥自我教育、自我管理、自我服务的作用。</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eastAsia="仿宋_GB2312"/>
          <w:sz w:val="32"/>
          <w:szCs w:val="32"/>
        </w:rPr>
        <w:t>9、向市、区人民政府反映群众的意见和要求，办理人民群众的来信来访等事项。</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（三）人员概况</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金洞乡总编制40名，其中行政编制2</w:t>
      </w:r>
      <w:r>
        <w:rPr>
          <w:rFonts w:hint="eastAsia" w:ascii="仿宋_GB2312" w:hAnsi="宋体" w:eastAsia="仿宋_GB2312" w:cs="宋体"/>
          <w:color w:val="000000"/>
          <w:kern w:val="0"/>
          <w:sz w:val="32"/>
          <w:szCs w:val="32"/>
          <w:shd w:val="clear" w:color="auto" w:fill="FFFFFF"/>
        </w:rPr>
        <w:t>1</w:t>
      </w:r>
      <w:r>
        <w:rPr>
          <w:rFonts w:hint="eastAsia" w:ascii="仿宋_GB2312" w:hAnsi="宋体" w:eastAsia="仿宋_GB2312" w:cs="宋体"/>
          <w:color w:val="000000"/>
          <w:kern w:val="0"/>
          <w:sz w:val="32"/>
          <w:szCs w:val="32"/>
          <w:shd w:val="clear" w:color="auto" w:fill="FFFFFF"/>
          <w:lang w:val="zh-CN"/>
        </w:rPr>
        <w:t>名，事业编制16名</w:t>
      </w:r>
      <w:r>
        <w:rPr>
          <w:rFonts w:hint="eastAsia" w:ascii="仿宋_GB2312" w:hAnsi="宋体" w:eastAsia="仿宋_GB2312" w:cs="宋体"/>
          <w:color w:val="000000"/>
          <w:kern w:val="0"/>
          <w:sz w:val="32"/>
          <w:szCs w:val="32"/>
          <w:shd w:val="clear" w:color="auto" w:fill="FFFFFF"/>
        </w:rPr>
        <w:t>,工勤编制3</w:t>
      </w:r>
      <w:r>
        <w:rPr>
          <w:rFonts w:hint="eastAsia" w:ascii="仿宋_GB2312" w:hAnsi="宋体" w:eastAsia="仿宋_GB2312" w:cs="宋体"/>
          <w:color w:val="000000"/>
          <w:kern w:val="0"/>
          <w:sz w:val="32"/>
          <w:szCs w:val="32"/>
          <w:shd w:val="clear" w:color="auto" w:fill="FFFFFF"/>
          <w:lang w:val="zh-CN"/>
        </w:rPr>
        <w:t>名。截止</w:t>
      </w:r>
      <w:r>
        <w:rPr>
          <w:rFonts w:hint="eastAsia" w:ascii="仿宋_GB2312" w:hAnsi="宋体" w:eastAsia="仿宋_GB2312"/>
          <w:color w:val="000000"/>
          <w:sz w:val="32"/>
          <w:szCs w:val="32"/>
        </w:rPr>
        <w:t>2019年12月底在职职工43人，其中公务员21人，事业人员19人（含区委组织部下派的3名专职村支书，编制在利州区高端人才服务中心），工勤人员3人，退休人员15人，遗嘱人员10人。较2018年增加6人，其中公务员增加3人，事业人员增加3人</w:t>
      </w:r>
      <w:r>
        <w:rPr>
          <w:rFonts w:hint="eastAsia" w:ascii="仿宋_GB2312" w:hAnsi="宋体" w:eastAsia="仿宋_GB2312" w:cs="宋体"/>
          <w:color w:val="000000"/>
          <w:kern w:val="0"/>
          <w:sz w:val="32"/>
          <w:szCs w:val="32"/>
          <w:shd w:val="clear" w:color="auto" w:fill="FFFFFF"/>
          <w:lang w:val="zh-CN"/>
        </w:rPr>
        <w:t>。</w:t>
      </w: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二、部门财政资金收支情况</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（一）部门财政资金收入情况。201</w:t>
      </w:r>
      <w:r>
        <w:rPr>
          <w:rFonts w:hint="eastAsia" w:ascii="仿宋_GB2312" w:hAnsi="宋体" w:eastAsia="仿宋_GB2312" w:cs="宋体"/>
          <w:color w:val="000000"/>
          <w:kern w:val="0"/>
          <w:sz w:val="32"/>
          <w:szCs w:val="32"/>
          <w:shd w:val="clear" w:color="auto" w:fill="FFFFFF"/>
        </w:rPr>
        <w:t>9</w:t>
      </w:r>
      <w:r>
        <w:rPr>
          <w:rFonts w:hint="eastAsia" w:ascii="仿宋_GB2312" w:hAnsi="宋体" w:eastAsia="仿宋_GB2312" w:cs="宋体"/>
          <w:color w:val="000000"/>
          <w:kern w:val="0"/>
          <w:sz w:val="32"/>
          <w:szCs w:val="32"/>
          <w:shd w:val="clear" w:color="auto" w:fill="FFFFFF"/>
          <w:lang w:val="zh-CN"/>
        </w:rPr>
        <w:t>年度收入总计</w:t>
      </w:r>
      <w:r>
        <w:rPr>
          <w:rFonts w:hint="eastAsia" w:ascii="仿宋_GB2312" w:hAnsi="宋体" w:eastAsia="仿宋_GB2312" w:cs="宋体"/>
          <w:color w:val="000000"/>
          <w:kern w:val="0"/>
          <w:sz w:val="32"/>
          <w:szCs w:val="32"/>
          <w:shd w:val="clear" w:color="auto" w:fill="FFFFFF"/>
        </w:rPr>
        <w:t>1266.07</w:t>
      </w:r>
      <w:r>
        <w:rPr>
          <w:rFonts w:hint="eastAsia" w:ascii="仿宋_GB2312" w:hAnsi="宋体" w:eastAsia="仿宋_GB2312" w:cs="宋体"/>
          <w:color w:val="000000"/>
          <w:kern w:val="0"/>
          <w:sz w:val="32"/>
          <w:szCs w:val="32"/>
          <w:shd w:val="clear" w:color="auto" w:fill="FFFFFF"/>
          <w:lang w:val="zh-CN"/>
        </w:rPr>
        <w:t>万元。与201</w:t>
      </w:r>
      <w:r>
        <w:rPr>
          <w:rFonts w:hint="eastAsia" w:ascii="仿宋_GB2312" w:hAnsi="宋体" w:eastAsia="仿宋_GB2312" w:cs="宋体"/>
          <w:color w:val="000000"/>
          <w:kern w:val="0"/>
          <w:sz w:val="32"/>
          <w:szCs w:val="32"/>
          <w:shd w:val="clear" w:color="auto" w:fill="FFFFFF"/>
        </w:rPr>
        <w:t>8</w:t>
      </w:r>
      <w:r>
        <w:rPr>
          <w:rFonts w:hint="eastAsia" w:ascii="仿宋_GB2312" w:hAnsi="宋体" w:eastAsia="仿宋_GB2312" w:cs="宋体"/>
          <w:color w:val="000000"/>
          <w:kern w:val="0"/>
          <w:sz w:val="32"/>
          <w:szCs w:val="32"/>
          <w:shd w:val="clear" w:color="auto" w:fill="FFFFFF"/>
          <w:lang w:val="zh-CN"/>
        </w:rPr>
        <w:t>年相比，收入总计减少</w:t>
      </w:r>
      <w:r>
        <w:rPr>
          <w:rFonts w:hint="eastAsia" w:ascii="仿宋_GB2312" w:hAnsi="宋体" w:eastAsia="仿宋_GB2312" w:cs="宋体"/>
          <w:color w:val="000000"/>
          <w:kern w:val="0"/>
          <w:sz w:val="32"/>
          <w:szCs w:val="32"/>
          <w:shd w:val="clear" w:color="auto" w:fill="FFFFFF"/>
        </w:rPr>
        <w:t>257.85</w:t>
      </w:r>
      <w:r>
        <w:rPr>
          <w:rFonts w:hint="eastAsia" w:ascii="仿宋_GB2312" w:hAnsi="宋体" w:eastAsia="仿宋_GB2312" w:cs="宋体"/>
          <w:color w:val="000000"/>
          <w:kern w:val="0"/>
          <w:sz w:val="32"/>
          <w:szCs w:val="32"/>
          <w:shd w:val="clear" w:color="auto" w:fill="FFFFFF"/>
          <w:lang w:val="zh-CN"/>
        </w:rPr>
        <w:t>万元，减少</w:t>
      </w:r>
      <w:r>
        <w:rPr>
          <w:rFonts w:hint="eastAsia" w:ascii="仿宋_GB2312" w:hAnsi="宋体" w:eastAsia="仿宋_GB2312" w:cs="宋体"/>
          <w:color w:val="000000"/>
          <w:kern w:val="0"/>
          <w:sz w:val="32"/>
          <w:szCs w:val="32"/>
          <w:shd w:val="clear" w:color="auto" w:fill="FFFFFF"/>
        </w:rPr>
        <w:t>16.92%</w:t>
      </w:r>
      <w:r>
        <w:rPr>
          <w:rFonts w:hint="eastAsia" w:ascii="仿宋_GB2312" w:hAnsi="宋体" w:eastAsia="仿宋_GB2312" w:cs="宋体"/>
          <w:color w:val="000000"/>
          <w:kern w:val="0"/>
          <w:sz w:val="32"/>
          <w:szCs w:val="32"/>
          <w:shd w:val="clear" w:color="auto" w:fill="FFFFFF"/>
          <w:lang w:val="zh-CN"/>
        </w:rPr>
        <w:t>。主要变动原因是</w:t>
      </w:r>
      <w:r>
        <w:rPr>
          <w:rFonts w:hint="eastAsia" w:ascii="仿宋_GB2312" w:hAnsi="宋体" w:eastAsia="仿宋_GB2312" w:cs="宋体"/>
          <w:color w:val="000000"/>
          <w:kern w:val="0"/>
          <w:sz w:val="32"/>
          <w:szCs w:val="32"/>
          <w:shd w:val="clear" w:color="auto" w:fill="FFFFFF"/>
        </w:rPr>
        <w:t>2019年农林水项目减少财政拨款收入也就减少。</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（二）部门财政资金支出情况。201</w:t>
      </w:r>
      <w:r>
        <w:rPr>
          <w:rFonts w:hint="eastAsia" w:ascii="仿宋_GB2312" w:hAnsi="宋体" w:eastAsia="仿宋_GB2312" w:cs="宋体"/>
          <w:color w:val="000000"/>
          <w:kern w:val="0"/>
          <w:sz w:val="32"/>
          <w:szCs w:val="32"/>
          <w:shd w:val="clear" w:color="auto" w:fill="FFFFFF"/>
        </w:rPr>
        <w:t>9</w:t>
      </w:r>
      <w:r>
        <w:rPr>
          <w:rFonts w:hint="eastAsia" w:ascii="仿宋_GB2312" w:hAnsi="宋体" w:eastAsia="仿宋_GB2312" w:cs="宋体"/>
          <w:color w:val="000000"/>
          <w:kern w:val="0"/>
          <w:sz w:val="32"/>
          <w:szCs w:val="32"/>
          <w:shd w:val="clear" w:color="auto" w:fill="FFFFFF"/>
          <w:lang w:val="zh-CN"/>
        </w:rPr>
        <w:t>年度支出总计</w:t>
      </w:r>
      <w:r>
        <w:rPr>
          <w:rFonts w:hint="eastAsia" w:ascii="仿宋_GB2312" w:hAnsi="宋体" w:eastAsia="仿宋_GB2312" w:cs="宋体"/>
          <w:color w:val="000000"/>
          <w:kern w:val="0"/>
          <w:sz w:val="32"/>
          <w:szCs w:val="32"/>
          <w:shd w:val="clear" w:color="auto" w:fill="FFFFFF"/>
        </w:rPr>
        <w:t>1318.94</w:t>
      </w:r>
      <w:r>
        <w:rPr>
          <w:rFonts w:hint="eastAsia" w:ascii="仿宋_GB2312" w:hAnsi="宋体" w:eastAsia="仿宋_GB2312" w:cs="宋体"/>
          <w:color w:val="000000"/>
          <w:kern w:val="0"/>
          <w:sz w:val="32"/>
          <w:szCs w:val="32"/>
          <w:shd w:val="clear" w:color="auto" w:fill="FFFFFF"/>
          <w:lang w:val="zh-CN"/>
        </w:rPr>
        <w:t>万元。与201</w:t>
      </w:r>
      <w:r>
        <w:rPr>
          <w:rFonts w:hint="eastAsia" w:ascii="仿宋_GB2312" w:hAnsi="宋体" w:eastAsia="仿宋_GB2312" w:cs="宋体"/>
          <w:color w:val="000000"/>
          <w:kern w:val="0"/>
          <w:sz w:val="32"/>
          <w:szCs w:val="32"/>
          <w:shd w:val="clear" w:color="auto" w:fill="FFFFFF"/>
        </w:rPr>
        <w:t>8</w:t>
      </w:r>
      <w:r>
        <w:rPr>
          <w:rFonts w:hint="eastAsia" w:ascii="仿宋_GB2312" w:hAnsi="宋体" w:eastAsia="仿宋_GB2312" w:cs="宋体"/>
          <w:color w:val="000000"/>
          <w:kern w:val="0"/>
          <w:sz w:val="32"/>
          <w:szCs w:val="32"/>
          <w:shd w:val="clear" w:color="auto" w:fill="FFFFFF"/>
          <w:lang w:val="zh-CN"/>
        </w:rPr>
        <w:t>年相比，收入总计减少</w:t>
      </w:r>
      <w:r>
        <w:rPr>
          <w:rFonts w:hint="eastAsia" w:ascii="仿宋_GB2312" w:hAnsi="宋体" w:eastAsia="仿宋_GB2312" w:cs="宋体"/>
          <w:color w:val="000000"/>
          <w:kern w:val="0"/>
          <w:sz w:val="32"/>
          <w:szCs w:val="32"/>
          <w:shd w:val="clear" w:color="auto" w:fill="FFFFFF"/>
        </w:rPr>
        <w:t>226.24</w:t>
      </w:r>
      <w:r>
        <w:rPr>
          <w:rFonts w:hint="eastAsia" w:ascii="仿宋_GB2312" w:hAnsi="宋体" w:eastAsia="仿宋_GB2312" w:cs="宋体"/>
          <w:color w:val="000000"/>
          <w:kern w:val="0"/>
          <w:sz w:val="32"/>
          <w:szCs w:val="32"/>
          <w:shd w:val="clear" w:color="auto" w:fill="FFFFFF"/>
          <w:lang w:val="zh-CN"/>
        </w:rPr>
        <w:t>万元，减少</w:t>
      </w:r>
      <w:r>
        <w:rPr>
          <w:rFonts w:hint="eastAsia" w:ascii="仿宋_GB2312" w:hAnsi="宋体" w:eastAsia="仿宋_GB2312" w:cs="宋体"/>
          <w:color w:val="000000"/>
          <w:kern w:val="0"/>
          <w:sz w:val="32"/>
          <w:szCs w:val="32"/>
          <w:shd w:val="clear" w:color="auto" w:fill="FFFFFF"/>
        </w:rPr>
        <w:t>14.64%</w:t>
      </w:r>
      <w:r>
        <w:rPr>
          <w:rFonts w:hint="eastAsia" w:ascii="仿宋_GB2312" w:hAnsi="宋体" w:eastAsia="仿宋_GB2312" w:cs="宋体"/>
          <w:color w:val="000000"/>
          <w:kern w:val="0"/>
          <w:sz w:val="32"/>
          <w:szCs w:val="32"/>
          <w:shd w:val="clear" w:color="auto" w:fill="FFFFFF"/>
          <w:lang w:val="zh-CN"/>
        </w:rPr>
        <w:t>。主要变动原因是</w:t>
      </w:r>
      <w:r>
        <w:rPr>
          <w:rFonts w:hint="eastAsia" w:ascii="仿宋_GB2312" w:hAnsi="宋体" w:eastAsia="仿宋_GB2312" w:cs="宋体"/>
          <w:color w:val="000000"/>
          <w:kern w:val="0"/>
          <w:sz w:val="32"/>
          <w:szCs w:val="32"/>
          <w:shd w:val="clear" w:color="auto" w:fill="FFFFFF"/>
        </w:rPr>
        <w:t>2019年农林水项目减少。</w:t>
      </w: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三、部门整体预算绩效管理情况</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（一）部门预算管理。</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年初预算时制定总体绩效目标、人员经费做好实有人数，人员情况登记造册，按照财政部门制定的定额标准直接计算编制。维持机构正常运行的公用经费按照财政部门制定的定额标准直接计算编制，做到预算编制准确。严格支出控制、层层把关审核。做好预算动态调整、执行进度、预算完成情况和违规记录等。</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（二）专项预算管理。</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专项预算项目程序严密、按照效率最优规划合理，分配科学编制专项预算。及时做好专项预算绩效目标完成、实施绩效、违规等记录。</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rPr>
      </w:pPr>
      <w:r>
        <w:rPr>
          <w:rFonts w:hint="eastAsia" w:ascii="仿宋_GB2312" w:hAnsi="宋体" w:eastAsia="仿宋_GB2312" w:cs="宋体"/>
          <w:color w:val="000000"/>
          <w:kern w:val="0"/>
          <w:sz w:val="32"/>
          <w:szCs w:val="32"/>
          <w:shd w:val="clear" w:color="auto" w:fill="FFFFFF"/>
          <w:lang w:val="zh-CN"/>
        </w:rPr>
        <w:t>（三）结果应用情况。</w:t>
      </w:r>
    </w:p>
    <w:p>
      <w:pPr>
        <w:widowControl/>
        <w:adjustRightInd w:val="0"/>
        <w:snapToGrid w:val="0"/>
        <w:spacing w:line="580" w:lineRule="exact"/>
        <w:ind w:firstLine="640" w:firstLineChars="200"/>
        <w:contextualSpacing/>
        <w:jc w:val="left"/>
        <w:rPr>
          <w:rFonts w:ascii="仿宋" w:hAnsi="仿宋" w:eastAsia="仿宋" w:cs="仿宋_GB2312"/>
          <w:sz w:val="32"/>
          <w:szCs w:val="32"/>
        </w:rPr>
      </w:pPr>
      <w:r>
        <w:rPr>
          <w:rFonts w:hint="eastAsia" w:ascii="仿宋_GB2312" w:hAnsi="宋体" w:eastAsia="仿宋_GB2312" w:cs="宋体"/>
          <w:color w:val="000000"/>
          <w:kern w:val="0"/>
          <w:sz w:val="32"/>
          <w:szCs w:val="32"/>
          <w:shd w:val="clear" w:color="auto" w:fill="FFFFFF"/>
        </w:rPr>
        <w:t>2019年金洞乡整体绩效较为良好，</w:t>
      </w:r>
      <w:r>
        <w:rPr>
          <w:rFonts w:hint="eastAsia" w:ascii="仿宋_GB2312" w:hAnsi="宋体" w:eastAsia="仿宋_GB2312" w:cs="宋体"/>
          <w:color w:val="000000"/>
          <w:kern w:val="0"/>
          <w:sz w:val="32"/>
          <w:szCs w:val="32"/>
          <w:shd w:val="clear" w:color="auto" w:fill="FFFFFF"/>
          <w:lang w:val="zh-CN"/>
        </w:rPr>
        <w:t>财政支出严格按照规程执行</w:t>
      </w:r>
      <w:r>
        <w:rPr>
          <w:rFonts w:hint="eastAsia" w:ascii="仿宋_GB2312" w:hAnsi="宋体" w:eastAsia="仿宋_GB2312" w:cs="宋体"/>
          <w:color w:val="000000"/>
          <w:kern w:val="0"/>
          <w:sz w:val="32"/>
          <w:szCs w:val="32"/>
          <w:shd w:val="clear" w:color="auto" w:fill="FFFFFF"/>
        </w:rPr>
        <w:t>达到预期的绩效目标。</w:t>
      </w: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四、评价结论及建议</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（一）评价结论。</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eastAsia="仿宋_GB2312"/>
          <w:color w:val="000000"/>
          <w:sz w:val="32"/>
          <w:szCs w:val="32"/>
        </w:rPr>
        <w:t>2020年我乡部门整体支出绩效评价自查自评结果良好，按照预算绩效管理要求，本部门对2020年整体支出开展绩效自评，自评得分98.5分，基本支出保证了部门的正常运行和日常工作的正常开展，项目支出能够保障重点工作的开展，达到预期了绩效目标。</w:t>
      </w:r>
    </w:p>
    <w:p>
      <w:pPr>
        <w:spacing w:line="580" w:lineRule="exact"/>
        <w:ind w:firstLine="640" w:firstLineChars="200"/>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（二）存在问题。</w:t>
      </w:r>
      <w:r>
        <w:rPr>
          <w:rFonts w:hint="eastAsia" w:ascii="仿宋_GB2312" w:eastAsia="仿宋_GB2312"/>
          <w:color w:val="000000"/>
          <w:sz w:val="32"/>
          <w:szCs w:val="32"/>
        </w:rPr>
        <w:t>内控信息化建设不够完善，预算项目不够全面。</w:t>
      </w:r>
    </w:p>
    <w:p>
      <w:pPr>
        <w:spacing w:line="600" w:lineRule="exact"/>
        <w:ind w:firstLine="640" w:firstLineChars="200"/>
        <w:rPr>
          <w:rFonts w:ascii="仿宋_GB2312" w:hAnsi="仿宋_GB2312" w:eastAsia="仿宋_GB2312" w:cs="仿宋_GB2312"/>
          <w:sz w:val="32"/>
          <w:szCs w:val="32"/>
        </w:rPr>
      </w:pPr>
      <w:r>
        <w:rPr>
          <w:rFonts w:hint="eastAsia" w:ascii="仿宋_GB2312" w:hAnsi="宋体" w:eastAsia="仿宋_GB2312" w:cs="宋体"/>
          <w:color w:val="000000"/>
          <w:kern w:val="0"/>
          <w:sz w:val="32"/>
          <w:szCs w:val="32"/>
          <w:shd w:val="clear" w:color="auto" w:fill="FFFFFF"/>
          <w:lang w:val="zh-CN"/>
        </w:rPr>
        <w:t>（三）改进建议。</w:t>
      </w:r>
      <w:r>
        <w:rPr>
          <w:rFonts w:hint="eastAsia" w:ascii="仿宋_GB2312" w:eastAsia="仿宋_GB2312"/>
          <w:color w:val="000000"/>
          <w:sz w:val="32"/>
          <w:szCs w:val="32"/>
        </w:rPr>
        <w:t>一是在完善内控制度工作基础上，我镇将进一步加强内控信息化建设，采取“分期建设、分步推进”的方式，覆盖内控重点环节。二是梳理细化工作流程及风险点，将各项财经法律、法规以及中央、省各项规章制度与经费支出衔接，实现预设标准、范围，做到提前预警控制。三是强化内控信息化数据分析，发挥信息化管理数据分析优势，并将内控分析结果运用于预算安排、绩效目标编报、资产配置管理等方面，四是加强预算项目的前瞻性，确保预算项目的全面性。</w:t>
      </w:r>
    </w:p>
    <w:p>
      <w:pPr>
        <w:spacing w:line="580" w:lineRule="exact"/>
        <w:rPr>
          <w:rFonts w:ascii="黑体" w:hAnsi="黑体" w:eastAsia="黑体" w:cs="黑体"/>
          <w:sz w:val="32"/>
          <w:szCs w:val="32"/>
        </w:rPr>
      </w:pPr>
    </w:p>
    <w:p>
      <w:pPr>
        <w:spacing w:line="580" w:lineRule="exact"/>
        <w:rPr>
          <w:rFonts w:ascii="黑体" w:hAnsi="黑体" w:eastAsia="黑体" w:cs="黑体"/>
          <w:sz w:val="32"/>
          <w:szCs w:val="32"/>
        </w:rPr>
      </w:pPr>
    </w:p>
    <w:p>
      <w:pPr>
        <w:spacing w:line="580" w:lineRule="exact"/>
        <w:rPr>
          <w:rFonts w:ascii="仿宋_GB2312" w:hAnsi="仿宋_GB2312" w:eastAsia="仿宋_GB2312" w:cs="仿宋_GB2312"/>
          <w:sz w:val="32"/>
          <w:szCs w:val="32"/>
        </w:rPr>
      </w:pPr>
      <w:r>
        <w:rPr>
          <w:rFonts w:hint="eastAsia" w:ascii="黑体" w:hAnsi="黑体" w:eastAsia="黑体" w:cs="黑体"/>
          <w:sz w:val="32"/>
          <w:szCs w:val="32"/>
        </w:rPr>
        <w:t>附件2</w:t>
      </w:r>
    </w:p>
    <w:p>
      <w:pPr>
        <w:spacing w:line="580" w:lineRule="exact"/>
        <w:ind w:firstLine="640" w:firstLineChars="200"/>
        <w:rPr>
          <w:rFonts w:ascii="仿宋_GB2312" w:hAnsi="仿宋_GB2312" w:eastAsia="仿宋_GB2312" w:cs="仿宋_GB2312"/>
          <w:sz w:val="32"/>
          <w:szCs w:val="32"/>
        </w:rPr>
      </w:pPr>
    </w:p>
    <w:p>
      <w:pPr>
        <w:spacing w:line="600" w:lineRule="exact"/>
        <w:jc w:val="center"/>
        <w:rPr>
          <w:rFonts w:ascii="方正小标宋简体" w:hAnsi="宋体" w:eastAsia="方正小标宋简体"/>
          <w:color w:val="000000"/>
          <w:kern w:val="0"/>
          <w:sz w:val="44"/>
          <w:szCs w:val="44"/>
          <w:lang w:val="zh-CN"/>
        </w:rPr>
      </w:pPr>
      <w:r>
        <w:rPr>
          <w:rFonts w:hint="eastAsia" w:ascii="方正小标宋简体" w:hAnsi="宋体" w:eastAsia="方正小标宋简体"/>
          <w:color w:val="000000"/>
          <w:kern w:val="0"/>
          <w:sz w:val="44"/>
          <w:szCs w:val="44"/>
        </w:rPr>
        <w:t>伙食补助</w:t>
      </w:r>
      <w:r>
        <w:rPr>
          <w:rFonts w:hint="eastAsia" w:ascii="黑体" w:hAnsi="黑体" w:eastAsia="黑体" w:cs="方正小标宋简体"/>
          <w:sz w:val="44"/>
          <w:szCs w:val="44"/>
        </w:rPr>
        <w:t>专项经费项目</w:t>
      </w:r>
      <w:r>
        <w:rPr>
          <w:rFonts w:hint="eastAsia" w:ascii="方正小标宋简体" w:hAnsi="宋体" w:eastAsia="方正小标宋简体"/>
          <w:color w:val="000000"/>
          <w:kern w:val="0"/>
          <w:sz w:val="44"/>
          <w:szCs w:val="44"/>
          <w:lang w:val="zh-CN"/>
        </w:rPr>
        <w:t>支出</w:t>
      </w:r>
    </w:p>
    <w:p>
      <w:pPr>
        <w:spacing w:line="600" w:lineRule="exact"/>
        <w:jc w:val="center"/>
        <w:rPr>
          <w:rFonts w:ascii="方正小标宋简体" w:hAnsi="宋体" w:eastAsia="方正小标宋简体"/>
          <w:color w:val="000000"/>
          <w:kern w:val="0"/>
          <w:sz w:val="44"/>
          <w:szCs w:val="44"/>
          <w:lang w:val="zh-CN"/>
        </w:rPr>
      </w:pPr>
      <w:r>
        <w:rPr>
          <w:rFonts w:hint="eastAsia" w:ascii="方正小标宋简体" w:hAnsi="宋体" w:eastAsia="方正小标宋简体"/>
          <w:color w:val="000000"/>
          <w:kern w:val="0"/>
          <w:sz w:val="44"/>
          <w:szCs w:val="44"/>
        </w:rPr>
        <w:t>2020年</w:t>
      </w:r>
      <w:r>
        <w:rPr>
          <w:rFonts w:hint="eastAsia" w:ascii="方正小标宋简体" w:hAnsi="宋体" w:eastAsia="方正小标宋简体"/>
          <w:color w:val="000000"/>
          <w:kern w:val="0"/>
          <w:sz w:val="44"/>
          <w:szCs w:val="44"/>
          <w:lang w:val="zh-CN"/>
        </w:rPr>
        <w:t>绩效评价报告</w:t>
      </w:r>
    </w:p>
    <w:p>
      <w:pPr>
        <w:spacing w:line="600" w:lineRule="exact"/>
        <w:rPr>
          <w:rFonts w:ascii="宋体" w:hAnsi="宋体"/>
          <w:sz w:val="32"/>
          <w:szCs w:val="32"/>
          <w:lang w:val="zh-CN"/>
        </w:rPr>
      </w:pPr>
    </w:p>
    <w:p>
      <w:pPr>
        <w:adjustRightInd w:val="0"/>
        <w:snapToGrid w:val="0"/>
        <w:spacing w:line="600" w:lineRule="exact"/>
        <w:ind w:firstLine="720"/>
        <w:rPr>
          <w:rFonts w:ascii="黑体" w:hAnsi="宋体" w:eastAsia="黑体"/>
          <w:sz w:val="32"/>
          <w:szCs w:val="32"/>
          <w:lang w:val="zh-CN"/>
        </w:rPr>
      </w:pPr>
      <w:r>
        <w:rPr>
          <w:rFonts w:hint="eastAsia" w:ascii="黑体" w:hAnsi="宋体" w:eastAsia="黑体"/>
          <w:sz w:val="32"/>
          <w:szCs w:val="32"/>
        </w:rPr>
        <w:t>一、</w:t>
      </w:r>
      <w:r>
        <w:rPr>
          <w:rFonts w:hint="eastAsia" w:ascii="黑体" w:hAnsi="宋体" w:eastAsia="黑体"/>
          <w:sz w:val="32"/>
          <w:szCs w:val="32"/>
          <w:lang w:val="zh-CN"/>
        </w:rPr>
        <w:t>项目概况</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（一）项目基本情况。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1．说明项目主管部门（单位）在该项目管理中的职能：解决全乡职工生活的问题，促使伙食团的正常运转，使职工生活有保障，有效解决职工走读问题。</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2．项目立项、资金申报的依据：民以食为天，解决职工的基本生活保障。</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3．资金分配情况（资金分配管理的科学合理性）：全部资金主要是用于乡食堂伙食补助。</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4．资金分配的原则及考虑因素：解决全乡职工因路途遥远就餐问题，促使伙食团的正常运转，使职工生活有保障，有效解决职工走读问题，使职工能够安心工作。</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（二）项目绩效目标。</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1．项目主要内容：由于我乡距离场镇</w:t>
      </w:r>
      <w:r>
        <w:rPr>
          <w:rFonts w:hint="eastAsia" w:ascii="仿宋_GB2312" w:hAnsi="宋体" w:eastAsia="仿宋_GB2312"/>
          <w:sz w:val="32"/>
          <w:szCs w:val="32"/>
        </w:rPr>
        <w:t>12公里，干部职工生活无法保障，导致干部职工走读现象。为了落实“严禁乡镇干部‘走读’规定”，</w:t>
      </w:r>
      <w:r>
        <w:rPr>
          <w:rFonts w:hint="eastAsia" w:ascii="仿宋_GB2312" w:hAnsi="宋体" w:eastAsia="仿宋_GB2312"/>
          <w:sz w:val="32"/>
          <w:szCs w:val="32"/>
          <w:lang w:val="zh-CN"/>
        </w:rPr>
        <w:t>所以伙食补助工作的实施相当重要。</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2．项目完成情况解决职工基本生活保障。</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3．分析评价申报内容与实际相符，申报目标可行高。</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（三）项目自评步骤及方法。</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资料翻阅，法律宣传效果展示，群众问卷调查群众满意度。</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二、项目资金申报及使用情况</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（一）项目资金申报及批复情况。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说明项目资金申报由年初预算统一向区财政申报，由区政府统一上报上人代会进行批复。</w:t>
      </w: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b/>
          <w:sz w:val="32"/>
          <w:szCs w:val="32"/>
          <w:lang w:val="zh-CN"/>
        </w:rPr>
        <w:t>（二）资金计划、到位及使用情况（可用表格形式反映）。</w:t>
      </w:r>
    </w:p>
    <w:p>
      <w:pPr>
        <w:adjustRightInd w:val="0"/>
        <w:snapToGrid w:val="0"/>
        <w:spacing w:line="600" w:lineRule="exact"/>
        <w:ind w:firstLine="720"/>
        <w:rPr>
          <w:rFonts w:ascii="仿宋" w:hAnsi="仿宋" w:eastAsia="仿宋" w:cs="仿宋_GB2312"/>
          <w:sz w:val="32"/>
          <w:szCs w:val="32"/>
        </w:rPr>
      </w:pPr>
      <w:r>
        <w:rPr>
          <w:rFonts w:hint="eastAsia" w:ascii="仿宋" w:hAnsi="仿宋" w:eastAsia="仿宋" w:cs="仿宋_GB2312"/>
          <w:sz w:val="32"/>
          <w:szCs w:val="32"/>
          <w:lang w:val="zh-CN"/>
        </w:rPr>
        <w:t>1．资金计划。</w:t>
      </w:r>
      <w:r>
        <w:rPr>
          <w:rFonts w:hint="eastAsia" w:ascii="仿宋_GB2312" w:hAnsi="宋体" w:eastAsia="仿宋_GB2312"/>
          <w:sz w:val="32"/>
          <w:szCs w:val="32"/>
          <w:lang w:val="zh-CN"/>
        </w:rPr>
        <w:t>该项目由区财政统一年初预算</w:t>
      </w:r>
      <w:r>
        <w:rPr>
          <w:rFonts w:hint="eastAsia" w:ascii="仿宋_GB2312" w:hAnsi="宋体" w:eastAsia="仿宋_GB2312"/>
          <w:sz w:val="32"/>
          <w:szCs w:val="32"/>
        </w:rPr>
        <w:t>5万元。</w:t>
      </w:r>
    </w:p>
    <w:p>
      <w:pPr>
        <w:adjustRightInd w:val="0"/>
        <w:snapToGrid w:val="0"/>
        <w:spacing w:line="600" w:lineRule="exact"/>
        <w:ind w:firstLine="720"/>
        <w:rPr>
          <w:rFonts w:ascii="仿宋" w:hAnsi="仿宋" w:eastAsia="仿宋" w:cs="仿宋_GB2312"/>
          <w:sz w:val="32"/>
          <w:szCs w:val="32"/>
        </w:rPr>
      </w:pPr>
      <w:r>
        <w:rPr>
          <w:rFonts w:hint="eastAsia" w:ascii="仿宋" w:hAnsi="仿宋" w:eastAsia="仿宋" w:cs="仿宋_GB2312"/>
          <w:sz w:val="32"/>
          <w:szCs w:val="32"/>
          <w:lang w:val="zh-CN"/>
        </w:rPr>
        <w:t>2．资金到位情况。</w:t>
      </w:r>
      <w:r>
        <w:rPr>
          <w:rFonts w:hint="eastAsia" w:ascii="仿宋_GB2312" w:hAnsi="宋体" w:eastAsia="仿宋_GB2312"/>
          <w:sz w:val="32"/>
          <w:szCs w:val="32"/>
          <w:lang w:val="zh-CN"/>
        </w:rPr>
        <w:t>该项目财政预算</w:t>
      </w:r>
      <w:r>
        <w:rPr>
          <w:rFonts w:hint="eastAsia" w:ascii="仿宋_GB2312" w:hAnsi="宋体" w:eastAsia="仿宋_GB2312"/>
          <w:sz w:val="32"/>
          <w:szCs w:val="32"/>
        </w:rPr>
        <w:t>5万元全部到位。</w:t>
      </w:r>
    </w:p>
    <w:p>
      <w:pPr>
        <w:adjustRightInd w:val="0"/>
        <w:snapToGrid w:val="0"/>
        <w:spacing w:line="600" w:lineRule="exact"/>
        <w:ind w:firstLine="720"/>
        <w:rPr>
          <w:rFonts w:ascii="仿宋" w:hAnsi="仿宋" w:eastAsia="仿宋" w:cs="仿宋_GB2312"/>
          <w:sz w:val="32"/>
          <w:szCs w:val="32"/>
        </w:rPr>
      </w:pPr>
      <w:r>
        <w:rPr>
          <w:rFonts w:hint="eastAsia" w:ascii="仿宋" w:hAnsi="仿宋" w:eastAsia="仿宋" w:cs="仿宋_GB2312"/>
          <w:sz w:val="32"/>
          <w:szCs w:val="32"/>
          <w:lang w:val="zh-CN"/>
        </w:rPr>
        <w:t>3．资金使用。</w:t>
      </w:r>
      <w:r>
        <w:rPr>
          <w:rFonts w:hint="eastAsia" w:ascii="仿宋_GB2312" w:hAnsi="宋体" w:eastAsia="仿宋_GB2312"/>
          <w:sz w:val="32"/>
          <w:szCs w:val="32"/>
          <w:lang w:val="zh-CN"/>
        </w:rPr>
        <w:t>伙食补助是保证伙食团正常运转，职工生活有保障</w:t>
      </w:r>
      <w:r>
        <w:rPr>
          <w:rFonts w:hint="eastAsia" w:ascii="仿宋_GB2312" w:hAnsi="宋体" w:eastAsia="仿宋_GB2312"/>
          <w:sz w:val="32"/>
          <w:szCs w:val="32"/>
        </w:rPr>
        <w:t>。</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（三）项目财务管理情况。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总体评价各项目实施单位财务管理制度是否健全，是否严格执行财务管理制度，账务处理是否及时，会计核算是否规范等。</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三、项目实施及管理情况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结合项目组织实施管理办法，重点围绕以下内容进行分析评价，并对自评中发现的问题分析说明。</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（一）项目组织架构及实施流程。</w:t>
      </w: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b/>
          <w:sz w:val="32"/>
          <w:szCs w:val="32"/>
          <w:lang w:val="zh-CN"/>
        </w:rPr>
        <w:t>（二）项目管理情况。</w:t>
      </w:r>
      <w:r>
        <w:rPr>
          <w:rFonts w:hint="eastAsia" w:ascii="仿宋_GB2312" w:hAnsi="宋体" w:eastAsia="仿宋_GB2312"/>
          <w:sz w:val="32"/>
          <w:szCs w:val="32"/>
          <w:lang w:val="zh-CN"/>
        </w:rPr>
        <w:t>结合项目特点，总体评价各项目实施单位执行相关法律法规及项目管理制度等情况，如招投标、政府采购、项目公示制等相关规定。</w:t>
      </w: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b/>
          <w:sz w:val="32"/>
          <w:szCs w:val="32"/>
          <w:lang w:val="zh-CN"/>
        </w:rPr>
        <w:t>（三）项目监管情况。</w:t>
      </w:r>
      <w:r>
        <w:rPr>
          <w:rFonts w:hint="eastAsia" w:ascii="仿宋_GB2312" w:hAnsi="宋体" w:eastAsia="仿宋_GB2312"/>
          <w:sz w:val="32"/>
          <w:szCs w:val="32"/>
          <w:lang w:val="zh-CN"/>
        </w:rPr>
        <w:t>说明项目主管部门为加强项目管理所采取的监管手段、监管程序、监管工作开展情况及实现的效果等。</w:t>
      </w:r>
    </w:p>
    <w:p>
      <w:pPr>
        <w:adjustRightInd w:val="0"/>
        <w:snapToGrid w:val="0"/>
        <w:spacing w:line="600" w:lineRule="exact"/>
        <w:ind w:firstLine="720"/>
        <w:rPr>
          <w:rFonts w:ascii="仿宋_GB2312" w:hAnsi="宋体" w:eastAsia="仿宋_GB2312"/>
          <w:sz w:val="32"/>
          <w:szCs w:val="32"/>
          <w:lang w:val="zh-CN"/>
        </w:rPr>
      </w:pPr>
      <w:r>
        <w:rPr>
          <w:rFonts w:hint="eastAsia" w:ascii="黑体" w:hAnsi="宋体" w:eastAsia="黑体"/>
          <w:sz w:val="32"/>
          <w:szCs w:val="32"/>
        </w:rPr>
        <w:t>四、项目绩效情况</w:t>
      </w:r>
      <w:r>
        <w:rPr>
          <w:rFonts w:hint="eastAsia" w:ascii="仿宋_GB2312" w:hAnsi="宋体" w:eastAsia="仿宋_GB2312"/>
          <w:sz w:val="32"/>
          <w:szCs w:val="32"/>
          <w:lang w:val="zh-CN"/>
        </w:rPr>
        <w:tab/>
      </w:r>
    </w:p>
    <w:p>
      <w:pPr>
        <w:adjustRightInd w:val="0"/>
        <w:snapToGrid w:val="0"/>
        <w:spacing w:line="600" w:lineRule="exact"/>
        <w:ind w:firstLine="720"/>
        <w:rPr>
          <w:rFonts w:ascii="仿宋" w:hAnsi="仿宋" w:eastAsia="仿宋" w:cs="仿宋_GB2312"/>
          <w:sz w:val="32"/>
          <w:szCs w:val="32"/>
        </w:rPr>
      </w:pPr>
      <w:r>
        <w:rPr>
          <w:rFonts w:hint="eastAsia" w:ascii="楷体_GB2312" w:hAnsi="宋体" w:eastAsia="楷体_GB2312"/>
          <w:b/>
          <w:sz w:val="32"/>
          <w:szCs w:val="32"/>
          <w:lang w:val="zh-CN"/>
        </w:rPr>
        <w:t>（一）项目完成情况。</w:t>
      </w:r>
      <w:r>
        <w:rPr>
          <w:rFonts w:hint="eastAsia" w:ascii="仿宋_GB2312" w:eastAsia="仿宋_GB2312"/>
          <w:color w:val="000000"/>
          <w:sz w:val="32"/>
          <w:szCs w:val="32"/>
        </w:rPr>
        <w:t>严格落实专项经费使用管理规定，做到专款专用，保障各项工作的顺利实行，在经费开支上严格按照八项规定执行</w:t>
      </w:r>
      <w:r>
        <w:rPr>
          <w:rFonts w:hint="eastAsia" w:ascii="仿宋" w:hAnsi="仿宋" w:eastAsia="仿宋" w:cs="仿宋_GB2312"/>
          <w:sz w:val="32"/>
          <w:szCs w:val="32"/>
        </w:rPr>
        <w:t>。</w:t>
      </w: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b/>
          <w:sz w:val="32"/>
          <w:szCs w:val="32"/>
          <w:lang w:val="zh-CN"/>
        </w:rPr>
        <w:t>（二）项目效益情况。</w:t>
      </w:r>
      <w:r>
        <w:rPr>
          <w:rFonts w:hint="eastAsia" w:ascii="仿宋_GB2312" w:eastAsia="仿宋_GB2312"/>
          <w:color w:val="000000"/>
          <w:sz w:val="32"/>
          <w:szCs w:val="32"/>
        </w:rPr>
        <w:t>有效的解决了干部走读问题，保障职工的生活，从而顺利的开展各项工作。</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五、存在问题</w:t>
      </w:r>
    </w:p>
    <w:p>
      <w:pPr>
        <w:spacing w:line="580" w:lineRule="exact"/>
        <w:ind w:firstLine="640" w:firstLineChars="200"/>
        <w:rPr>
          <w:rFonts w:ascii="仿宋" w:hAnsi="仿宋" w:eastAsia="仿宋" w:cs="仿宋_GB2312"/>
          <w:sz w:val="32"/>
          <w:szCs w:val="32"/>
        </w:rPr>
      </w:pPr>
      <w:r>
        <w:rPr>
          <w:rFonts w:hint="eastAsia" w:ascii="仿宋_GB2312" w:eastAsia="仿宋_GB2312"/>
          <w:color w:val="000000"/>
          <w:sz w:val="32"/>
          <w:szCs w:val="32"/>
        </w:rPr>
        <w:t>因为我乡属于贫困山区，路途遥远，2020年面临各项检查验收，导致伙食经费开支比较多。</w:t>
      </w:r>
    </w:p>
    <w:p>
      <w:pPr>
        <w:adjustRightInd w:val="0"/>
        <w:snapToGrid w:val="0"/>
        <w:spacing w:line="600" w:lineRule="exact"/>
        <w:ind w:firstLine="720"/>
        <w:rPr>
          <w:rFonts w:ascii="黑体" w:hAnsi="宋体" w:eastAsia="黑体"/>
          <w:sz w:val="32"/>
          <w:szCs w:val="32"/>
          <w:lang w:val="zh-CN"/>
        </w:rPr>
      </w:pPr>
      <w:r>
        <w:rPr>
          <w:rFonts w:hint="eastAsia" w:ascii="黑体" w:hAnsi="宋体" w:eastAsia="黑体"/>
          <w:sz w:val="32"/>
          <w:szCs w:val="32"/>
          <w:lang w:val="zh-CN"/>
        </w:rPr>
        <w:t>六、相关建议</w:t>
      </w:r>
    </w:p>
    <w:p>
      <w:pPr>
        <w:spacing w:line="580" w:lineRule="exact"/>
        <w:ind w:firstLine="640" w:firstLineChars="200"/>
        <w:rPr>
          <w:rFonts w:ascii="仿宋_GB2312" w:hAnsi="仿宋_GB2312" w:eastAsia="仿宋_GB2312" w:cs="仿宋_GB2312"/>
          <w:sz w:val="32"/>
          <w:szCs w:val="32"/>
        </w:rPr>
      </w:pPr>
      <w:r>
        <w:rPr>
          <w:rFonts w:hint="eastAsia" w:ascii="仿宋_GB2312" w:eastAsia="仿宋_GB2312"/>
          <w:color w:val="000000"/>
          <w:sz w:val="32"/>
          <w:szCs w:val="32"/>
        </w:rPr>
        <w:t>一是严格预算编制，做到细化精确，争取一些费用纳入财政预算中；二是应及时与财政部门衔接，调减专项资金的预算安排，调增人员基本支出的预算安排；三是要严格按照《公务员法》的规定，确保财政供养人员及时到位。</w:t>
      </w:r>
    </w:p>
    <w:p>
      <w:pPr>
        <w:spacing w:line="580" w:lineRule="exact"/>
        <w:jc w:val="center"/>
        <w:rPr>
          <w:rFonts w:ascii="黑体" w:hAnsi="黑体" w:eastAsia="黑体" w:cs="方正小标宋简体"/>
          <w:sz w:val="44"/>
          <w:szCs w:val="44"/>
        </w:rPr>
      </w:pPr>
    </w:p>
    <w:p>
      <w:pPr>
        <w:spacing w:line="580" w:lineRule="exact"/>
        <w:jc w:val="center"/>
        <w:rPr>
          <w:rFonts w:ascii="黑体" w:hAnsi="黑体" w:eastAsia="黑体" w:cs="方正小标宋简体"/>
          <w:sz w:val="44"/>
          <w:szCs w:val="44"/>
        </w:rPr>
      </w:pPr>
      <w:r>
        <w:rPr>
          <w:rFonts w:hint="eastAsia" w:ascii="黑体" w:hAnsi="黑体" w:eastAsia="黑体" w:cs="方正小标宋简体"/>
          <w:sz w:val="44"/>
          <w:szCs w:val="44"/>
        </w:rPr>
        <w:t>人大主席团及代表活动专项经费项目支出</w:t>
      </w:r>
    </w:p>
    <w:p>
      <w:pPr>
        <w:spacing w:line="580" w:lineRule="exact"/>
        <w:jc w:val="center"/>
        <w:rPr>
          <w:rFonts w:ascii="仿宋_GB2312" w:hAnsi="仿宋_GB2312" w:eastAsia="仿宋_GB2312" w:cs="仿宋_GB2312"/>
          <w:sz w:val="32"/>
          <w:szCs w:val="32"/>
        </w:rPr>
      </w:pPr>
      <w:r>
        <w:rPr>
          <w:rFonts w:hint="eastAsia" w:ascii="黑体" w:hAnsi="黑体" w:eastAsia="黑体" w:cs="方正小标宋简体"/>
          <w:sz w:val="44"/>
          <w:szCs w:val="44"/>
        </w:rPr>
        <w:t>2020年绩效评价报告</w:t>
      </w:r>
    </w:p>
    <w:p>
      <w:pPr>
        <w:adjustRightInd w:val="0"/>
        <w:snapToGrid w:val="0"/>
        <w:spacing w:line="600" w:lineRule="exact"/>
        <w:ind w:firstLine="720"/>
        <w:rPr>
          <w:rFonts w:ascii="黑体" w:hAnsi="宋体" w:eastAsia="黑体"/>
          <w:sz w:val="32"/>
          <w:szCs w:val="32"/>
          <w:lang w:val="zh-CN"/>
        </w:rPr>
      </w:pPr>
      <w:r>
        <w:rPr>
          <w:rFonts w:hint="eastAsia" w:ascii="黑体" w:hAnsi="宋体" w:eastAsia="黑体"/>
          <w:sz w:val="32"/>
          <w:szCs w:val="32"/>
        </w:rPr>
        <w:t>一、</w:t>
      </w:r>
      <w:r>
        <w:rPr>
          <w:rFonts w:hint="eastAsia" w:ascii="黑体" w:hAnsi="宋体" w:eastAsia="黑体"/>
          <w:sz w:val="32"/>
          <w:szCs w:val="32"/>
          <w:lang w:val="zh-CN"/>
        </w:rPr>
        <w:t>项目概况</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（一）项目基本情况。</w:t>
      </w:r>
    </w:p>
    <w:p>
      <w:pPr>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lang w:val="zh-CN"/>
        </w:rPr>
        <w:t>1．项目主管部门（单位）在该项目管理中的职能</w:t>
      </w:r>
      <w:r>
        <w:rPr>
          <w:rFonts w:hint="eastAsia" w:ascii="仿宋_GB2312" w:hAnsi="宋体" w:eastAsia="仿宋_GB2312"/>
          <w:sz w:val="32"/>
          <w:szCs w:val="32"/>
        </w:rPr>
        <w:t>:</w:t>
      </w:r>
      <w:r>
        <w:rPr>
          <w:rFonts w:hint="eastAsia" w:ascii="仿宋_GB2312" w:hAnsi="宋体" w:eastAsia="仿宋_GB2312"/>
          <w:sz w:val="32"/>
          <w:szCs w:val="32"/>
          <w:lang w:val="zh-CN"/>
        </w:rPr>
        <w:t>确保人大代表会议的顺利召开，</w:t>
      </w:r>
      <w:r>
        <w:rPr>
          <w:rFonts w:hint="eastAsia" w:ascii="仿宋_GB2312" w:hAnsi="仿宋_GB2312" w:eastAsia="仿宋_GB2312" w:cs="仿宋_GB2312"/>
          <w:sz w:val="32"/>
          <w:szCs w:val="32"/>
        </w:rPr>
        <w:t>保障了人代会及代表工作正常开展及代表权益履行</w:t>
      </w:r>
      <w:r>
        <w:rPr>
          <w:rFonts w:hint="eastAsia" w:ascii="仿宋_GB2312" w:hAnsi="仿宋_GB2312" w:cs="仿宋_GB2312"/>
          <w:sz w:val="32"/>
          <w:szCs w:val="32"/>
        </w:rPr>
        <w:t>。</w:t>
      </w:r>
      <w:r>
        <w:rPr>
          <w:rFonts w:hint="eastAsia" w:ascii="仿宋_GB2312" w:hAnsi="仿宋_GB2312" w:eastAsia="仿宋_GB2312" w:cs="仿宋_GB2312"/>
          <w:sz w:val="32"/>
          <w:szCs w:val="32"/>
        </w:rPr>
        <w:t>保证农村代表误工生活补助。</w:t>
      </w:r>
    </w:p>
    <w:p>
      <w:pPr>
        <w:spacing w:line="580" w:lineRule="exact"/>
        <w:ind w:firstLine="640" w:firstLineChars="200"/>
        <w:rPr>
          <w:rFonts w:ascii="仿宋" w:hAnsi="仿宋" w:eastAsia="仿宋_GB2312" w:cs="仿宋_GB2312"/>
          <w:sz w:val="32"/>
          <w:szCs w:val="32"/>
        </w:rPr>
      </w:pPr>
      <w:r>
        <w:rPr>
          <w:rFonts w:hint="eastAsia" w:ascii="仿宋_GB2312" w:hAnsi="宋体" w:eastAsia="仿宋_GB2312"/>
          <w:sz w:val="32"/>
          <w:szCs w:val="32"/>
          <w:lang w:val="zh-CN"/>
        </w:rPr>
        <w:t>2．项目立项、资金申报的依据</w:t>
      </w:r>
      <w:r>
        <w:rPr>
          <w:rFonts w:hint="eastAsia" w:ascii="仿宋_GB2312" w:hAnsi="宋体" w:eastAsia="仿宋_GB2312"/>
          <w:sz w:val="32"/>
          <w:szCs w:val="32"/>
        </w:rPr>
        <w:t>:乡镇人大作为最基层的国家权力机关，是人大工作的重要组成部分，乡镇人大是联系人大代表与人民群众的桥梁纽带。改项目能</w:t>
      </w:r>
      <w:r>
        <w:rPr>
          <w:rFonts w:hint="eastAsia" w:ascii="仿宋_GB2312" w:hAnsi="仿宋_GB2312" w:eastAsia="仿宋_GB2312" w:cs="仿宋_GB2312"/>
          <w:sz w:val="32"/>
          <w:szCs w:val="32"/>
        </w:rPr>
        <w:t>保障人代会及代表工作正常开展及代表权益履行</w:t>
      </w:r>
      <w:r>
        <w:rPr>
          <w:rFonts w:hint="eastAsia" w:ascii="仿宋_GB2312" w:hAnsi="仿宋_GB2312" w:cs="仿宋_GB2312"/>
          <w:sz w:val="32"/>
          <w:szCs w:val="32"/>
        </w:rPr>
        <w:t>。</w:t>
      </w:r>
    </w:p>
    <w:p>
      <w:pPr>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lang w:val="zh-CN"/>
        </w:rPr>
        <w:t>3．</w:t>
      </w:r>
      <w:r>
        <w:rPr>
          <w:rFonts w:hint="eastAsia" w:ascii="仿宋_GB2312" w:hAnsi="宋体" w:eastAsia="仿宋_GB2312"/>
          <w:sz w:val="32"/>
          <w:szCs w:val="32"/>
        </w:rPr>
        <w:t>资金分配情况（资金分配管理的科学合理性）：人代会会议费支出1.52万。</w:t>
      </w:r>
    </w:p>
    <w:p>
      <w:pPr>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lang w:val="zh-CN"/>
        </w:rPr>
        <w:t>4．资金分配的原则及考虑因素</w:t>
      </w:r>
      <w:r>
        <w:rPr>
          <w:rFonts w:hint="eastAsia" w:ascii="仿宋_GB2312" w:hAnsi="宋体" w:eastAsia="仿宋_GB2312"/>
          <w:sz w:val="32"/>
          <w:szCs w:val="32"/>
        </w:rPr>
        <w:t>:人大代表会议的顺利召开，保障人代会及代表工作正常开展及代表权益履行，保障农村代表的误工生活补助。</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（二）项目绩效目标。</w:t>
      </w:r>
    </w:p>
    <w:p>
      <w:pPr>
        <w:spacing w:line="580"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1．项目主要内容。</w:t>
      </w:r>
      <w:r>
        <w:rPr>
          <w:rFonts w:hint="eastAsia" w:ascii="仿宋_GB2312" w:hAnsi="仿宋_GB2312" w:eastAsia="仿宋_GB2312" w:cs="仿宋_GB2312"/>
          <w:sz w:val="32"/>
          <w:szCs w:val="32"/>
        </w:rPr>
        <w:t>保障人代会及代表工作正常开展及代表权益履行</w:t>
      </w:r>
      <w:r>
        <w:rPr>
          <w:rFonts w:hint="eastAsia" w:ascii="仿宋_GB2312" w:hAnsi="仿宋_GB2312" w:cs="仿宋_GB2312"/>
          <w:sz w:val="32"/>
          <w:szCs w:val="32"/>
        </w:rPr>
        <w:t>。</w:t>
      </w:r>
    </w:p>
    <w:p>
      <w:pPr>
        <w:spacing w:line="580"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2．项目目标完成情况：该项目绩效完成情况较好，保障了人代会的及时召开，民意及时得到收集。</w:t>
      </w:r>
    </w:p>
    <w:p>
      <w:pPr>
        <w:adjustRightInd w:val="0"/>
        <w:snapToGrid w:val="0"/>
        <w:spacing w:line="600"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3．分析评价申报内容与实际相符，申报目标可行高。</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（三）项目自评步骤及方法。</w:t>
      </w:r>
    </w:p>
    <w:p>
      <w:pPr>
        <w:spacing w:line="580"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资料翻阅，人代会的及时召开，民意及时得到收集。</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二、项目资金申报及使用情况</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（一）项目资金申报及批复情况。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说明项目资金申报由年初预算统一向区财政申报，由区政府统一上报上人代会进行批复。</w:t>
      </w: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b/>
          <w:sz w:val="32"/>
          <w:szCs w:val="32"/>
          <w:lang w:val="zh-CN"/>
        </w:rPr>
        <w:t>（二）资金计划、到位及使用情况（可用表格形式反映）。</w:t>
      </w:r>
    </w:p>
    <w:p>
      <w:pPr>
        <w:adjustRightInd w:val="0"/>
        <w:snapToGrid w:val="0"/>
        <w:spacing w:line="600" w:lineRule="exact"/>
        <w:ind w:firstLine="720"/>
        <w:rPr>
          <w:rFonts w:ascii="仿宋_GB2312" w:hAnsi="宋体" w:eastAsia="仿宋_GB2312"/>
          <w:sz w:val="32"/>
          <w:szCs w:val="32"/>
        </w:rPr>
      </w:pPr>
      <w:r>
        <w:rPr>
          <w:rFonts w:hint="eastAsia" w:ascii="仿宋_GB2312" w:hAnsi="宋体" w:eastAsia="仿宋_GB2312"/>
          <w:sz w:val="32"/>
          <w:szCs w:val="32"/>
          <w:lang w:val="zh-CN"/>
        </w:rPr>
        <w:t>1．资金计划。该项目由区财政统一年初预算</w:t>
      </w:r>
      <w:r>
        <w:rPr>
          <w:rFonts w:hint="eastAsia" w:ascii="仿宋_GB2312" w:hAnsi="宋体" w:eastAsia="仿宋_GB2312"/>
          <w:sz w:val="32"/>
          <w:szCs w:val="32"/>
        </w:rPr>
        <w:t xml:space="preserve">1.52万元。  </w:t>
      </w:r>
    </w:p>
    <w:p>
      <w:pPr>
        <w:adjustRightInd w:val="0"/>
        <w:snapToGrid w:val="0"/>
        <w:spacing w:line="600" w:lineRule="exact"/>
        <w:ind w:firstLine="720"/>
        <w:rPr>
          <w:rFonts w:ascii="仿宋_GB2312" w:hAnsi="宋体" w:eastAsia="仿宋_GB2312"/>
          <w:sz w:val="32"/>
          <w:szCs w:val="32"/>
        </w:rPr>
      </w:pPr>
      <w:r>
        <w:rPr>
          <w:rFonts w:hint="eastAsia" w:ascii="仿宋_GB2312" w:hAnsi="宋体" w:eastAsia="仿宋_GB2312"/>
          <w:sz w:val="32"/>
          <w:szCs w:val="32"/>
          <w:lang w:val="zh-CN"/>
        </w:rPr>
        <w:t>2．资金到位情况：该项目财政预算</w:t>
      </w:r>
      <w:r>
        <w:rPr>
          <w:rFonts w:hint="eastAsia" w:ascii="仿宋_GB2312" w:hAnsi="宋体" w:eastAsia="仿宋_GB2312"/>
          <w:sz w:val="32"/>
          <w:szCs w:val="32"/>
        </w:rPr>
        <w:t>1.52万元全部到位。</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3．资金使用：乡人代会召开及日常的人大主席团日常运行。</w:t>
      </w:r>
    </w:p>
    <w:p>
      <w:pPr>
        <w:adjustRightInd w:val="0"/>
        <w:snapToGrid w:val="0"/>
        <w:spacing w:line="600" w:lineRule="exact"/>
        <w:ind w:firstLine="720"/>
        <w:rPr>
          <w:rFonts w:ascii="仿宋_GB2312" w:hAnsi="宋体" w:eastAsia="仿宋_GB2312"/>
          <w:sz w:val="32"/>
          <w:szCs w:val="32"/>
          <w:lang w:val="zh-CN"/>
        </w:rPr>
      </w:pPr>
      <w:r>
        <w:rPr>
          <w:rFonts w:hint="eastAsia" w:ascii="黑体" w:hAnsi="宋体" w:eastAsia="黑体"/>
          <w:sz w:val="32"/>
          <w:szCs w:val="32"/>
        </w:rPr>
        <w:t>四、项目绩效情况</w:t>
      </w:r>
      <w:r>
        <w:rPr>
          <w:rFonts w:hint="eastAsia" w:ascii="仿宋_GB2312" w:hAnsi="宋体" w:eastAsia="仿宋_GB2312"/>
          <w:sz w:val="32"/>
          <w:szCs w:val="32"/>
          <w:lang w:val="zh-CN"/>
        </w:rPr>
        <w:tab/>
      </w:r>
    </w:p>
    <w:p>
      <w:pPr>
        <w:adjustRightInd w:val="0"/>
        <w:snapToGrid w:val="0"/>
        <w:spacing w:line="600" w:lineRule="exact"/>
        <w:ind w:firstLine="720"/>
        <w:rPr>
          <w:rFonts w:ascii="仿宋_GB2312" w:hAnsi="仿宋_GB2312" w:eastAsia="仿宋_GB2312" w:cs="仿宋_GB2312"/>
          <w:sz w:val="32"/>
          <w:szCs w:val="32"/>
        </w:rPr>
      </w:pPr>
      <w:r>
        <w:rPr>
          <w:rFonts w:hint="eastAsia" w:ascii="楷体_GB2312" w:hAnsi="宋体" w:eastAsia="楷体_GB2312"/>
          <w:b/>
          <w:sz w:val="32"/>
          <w:szCs w:val="32"/>
          <w:lang w:val="zh-CN"/>
        </w:rPr>
        <w:t>（一）项目完成情况。</w:t>
      </w:r>
      <w:r>
        <w:rPr>
          <w:rFonts w:hint="eastAsia" w:ascii="仿宋_GB2312" w:hAnsi="宋体" w:eastAsia="仿宋_GB2312"/>
          <w:sz w:val="32"/>
          <w:szCs w:val="32"/>
          <w:lang w:val="zh-CN"/>
        </w:rPr>
        <w:t>人大代表会议的顺利召开，保</w:t>
      </w:r>
      <w:r>
        <w:rPr>
          <w:rFonts w:hint="eastAsia" w:ascii="仿宋_GB2312" w:hAnsi="仿宋_GB2312" w:eastAsia="仿宋_GB2312" w:cs="仿宋_GB2312"/>
          <w:sz w:val="32"/>
          <w:szCs w:val="32"/>
        </w:rPr>
        <w:t>障了人代会及代表工作正常开展及代表权益履行。</w:t>
      </w:r>
    </w:p>
    <w:p>
      <w:pPr>
        <w:adjustRightInd w:val="0"/>
        <w:snapToGrid w:val="0"/>
        <w:spacing w:line="600" w:lineRule="exact"/>
        <w:ind w:firstLine="642" w:firstLineChars="200"/>
        <w:rPr>
          <w:rFonts w:ascii="仿宋_GB2312" w:hAnsi="宋体" w:eastAsia="仿宋_GB2312"/>
          <w:sz w:val="32"/>
          <w:szCs w:val="32"/>
          <w:lang w:val="zh-CN"/>
        </w:rPr>
      </w:pPr>
      <w:r>
        <w:rPr>
          <w:rFonts w:hint="eastAsia" w:ascii="楷体_GB2312" w:hAnsi="宋体" w:eastAsia="楷体_GB2312"/>
          <w:b/>
          <w:sz w:val="32"/>
          <w:szCs w:val="32"/>
          <w:lang w:val="zh-CN"/>
        </w:rPr>
        <w:t>（二）项目效益情况。</w:t>
      </w:r>
      <w:r>
        <w:rPr>
          <w:rFonts w:hint="eastAsia" w:ascii="仿宋_GB2312" w:hAnsi="宋体" w:eastAsia="仿宋_GB2312"/>
          <w:sz w:val="32"/>
          <w:szCs w:val="32"/>
          <w:lang w:val="zh-CN"/>
        </w:rPr>
        <w:t>进一步提高群众知晓度，广泛收集群众述求；保证代表履行权益；确保群众满意度</w:t>
      </w:r>
      <w:r>
        <w:rPr>
          <w:rFonts w:hint="eastAsia" w:ascii="仿宋_GB2312" w:hAnsi="宋体" w:eastAsia="仿宋_GB2312"/>
          <w:sz w:val="32"/>
          <w:szCs w:val="32"/>
        </w:rPr>
        <w:t>100%。</w:t>
      </w:r>
    </w:p>
    <w:p>
      <w:pPr>
        <w:adjustRightInd w:val="0"/>
        <w:snapToGrid w:val="0"/>
        <w:spacing w:line="600" w:lineRule="exact"/>
        <w:ind w:firstLine="720"/>
        <w:rPr>
          <w:rFonts w:ascii="仿宋" w:hAnsi="仿宋" w:eastAsia="仿宋" w:cs="仿宋_GB2312"/>
          <w:sz w:val="32"/>
          <w:szCs w:val="32"/>
        </w:rPr>
      </w:pPr>
      <w:r>
        <w:rPr>
          <w:rFonts w:hint="eastAsia" w:ascii="黑体" w:hAnsi="宋体" w:eastAsia="黑体"/>
          <w:sz w:val="32"/>
          <w:szCs w:val="32"/>
          <w:lang w:val="zh-CN"/>
        </w:rPr>
        <w:t>五、存在主要问题：</w:t>
      </w:r>
      <w:r>
        <w:rPr>
          <w:rFonts w:hint="eastAsia" w:ascii="仿宋_GB2312" w:hAnsi="仿宋_GB2312" w:eastAsia="仿宋_GB2312" w:cs="仿宋_GB2312"/>
          <w:sz w:val="32"/>
          <w:szCs w:val="32"/>
        </w:rPr>
        <w:t>群众依然对镇人大工作知晓度低。</w:t>
      </w:r>
    </w:p>
    <w:p>
      <w:pPr>
        <w:adjustRightInd w:val="0"/>
        <w:snapToGrid w:val="0"/>
        <w:spacing w:line="600" w:lineRule="exact"/>
        <w:ind w:firstLine="720"/>
        <w:rPr>
          <w:rFonts w:ascii="仿宋_GB2312" w:hAnsi="仿宋_GB2312" w:eastAsia="仿宋_GB2312" w:cs="仿宋_GB2312"/>
          <w:sz w:val="32"/>
          <w:szCs w:val="32"/>
        </w:rPr>
      </w:pPr>
      <w:r>
        <w:rPr>
          <w:rFonts w:hint="eastAsia" w:ascii="黑体" w:hAnsi="宋体" w:eastAsia="黑体"/>
          <w:sz w:val="32"/>
          <w:szCs w:val="32"/>
          <w:lang w:val="zh-CN"/>
        </w:rPr>
        <w:t>六、相关措施建议：</w:t>
      </w:r>
      <w:r>
        <w:rPr>
          <w:rFonts w:hint="eastAsia" w:ascii="仿宋_GB2312" w:hAnsi="仿宋_GB2312" w:eastAsia="仿宋_GB2312" w:cs="仿宋_GB2312"/>
          <w:sz w:val="32"/>
          <w:szCs w:val="32"/>
        </w:rPr>
        <w:t>提高对代表会议的召开的宣传力度。保证民生述求能够及时收集到位。</w:t>
      </w:r>
    </w:p>
    <w:p>
      <w:pPr>
        <w:adjustRightInd w:val="0"/>
        <w:snapToGrid w:val="0"/>
        <w:spacing w:line="600" w:lineRule="exact"/>
        <w:ind w:firstLine="720"/>
        <w:rPr>
          <w:rFonts w:ascii="仿宋_GB2312" w:hAnsi="仿宋_GB2312" w:eastAsia="仿宋_GB2312" w:cs="仿宋_GB2312"/>
          <w:sz w:val="32"/>
          <w:szCs w:val="32"/>
        </w:rPr>
      </w:pPr>
    </w:p>
    <w:p>
      <w:pPr>
        <w:spacing w:line="580" w:lineRule="exact"/>
        <w:jc w:val="center"/>
        <w:rPr>
          <w:rFonts w:ascii="黑体" w:hAnsi="黑体" w:eastAsia="黑体" w:cs="方正小标宋简体"/>
          <w:sz w:val="44"/>
          <w:szCs w:val="44"/>
        </w:rPr>
      </w:pPr>
      <w:r>
        <w:rPr>
          <w:rFonts w:hint="eastAsia" w:ascii="黑体" w:hAnsi="黑体" w:eastAsia="黑体" w:cs="方正小标宋简体"/>
          <w:sz w:val="44"/>
          <w:szCs w:val="44"/>
        </w:rPr>
        <w:t>森林防火专项经费项目支出</w:t>
      </w:r>
    </w:p>
    <w:p>
      <w:pPr>
        <w:spacing w:line="580" w:lineRule="exact"/>
        <w:jc w:val="center"/>
        <w:rPr>
          <w:rFonts w:ascii="黑体" w:hAnsi="黑体" w:eastAsia="黑体" w:cs="方正小标宋简体"/>
          <w:sz w:val="44"/>
          <w:szCs w:val="44"/>
        </w:rPr>
      </w:pPr>
      <w:r>
        <w:rPr>
          <w:rFonts w:hint="eastAsia" w:ascii="黑体" w:hAnsi="黑体" w:eastAsia="黑体" w:cs="方正小标宋简体"/>
          <w:sz w:val="44"/>
          <w:szCs w:val="44"/>
        </w:rPr>
        <w:t>2020年绩效评价报告</w:t>
      </w:r>
    </w:p>
    <w:p>
      <w:pPr>
        <w:spacing w:line="580" w:lineRule="exact"/>
        <w:rPr>
          <w:rFonts w:ascii="仿宋_GB2312" w:hAnsi="仿宋_GB2312" w:eastAsia="仿宋_GB2312" w:cs="仿宋_GB2312"/>
          <w:sz w:val="32"/>
          <w:szCs w:val="32"/>
        </w:rPr>
      </w:pPr>
    </w:p>
    <w:p>
      <w:pPr>
        <w:adjustRightInd w:val="0"/>
        <w:snapToGrid w:val="0"/>
        <w:spacing w:line="600" w:lineRule="exact"/>
        <w:ind w:firstLine="720"/>
        <w:rPr>
          <w:rFonts w:ascii="黑体" w:hAnsi="宋体" w:eastAsia="黑体"/>
          <w:sz w:val="32"/>
          <w:szCs w:val="32"/>
          <w:lang w:val="zh-CN"/>
        </w:rPr>
      </w:pPr>
      <w:r>
        <w:rPr>
          <w:rFonts w:hint="eastAsia" w:ascii="黑体" w:hAnsi="宋体" w:eastAsia="黑体"/>
          <w:sz w:val="32"/>
          <w:szCs w:val="32"/>
        </w:rPr>
        <w:t>一、</w:t>
      </w:r>
      <w:r>
        <w:rPr>
          <w:rFonts w:hint="eastAsia" w:ascii="黑体" w:hAnsi="宋体" w:eastAsia="黑体"/>
          <w:sz w:val="32"/>
          <w:szCs w:val="32"/>
          <w:lang w:val="zh-CN"/>
        </w:rPr>
        <w:t>项目概况</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（一）项目基本情况。</w:t>
      </w:r>
    </w:p>
    <w:p>
      <w:pPr>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lang w:val="zh-CN"/>
        </w:rPr>
        <w:t>1．项目主管部门（单位）在该项目管理中的职能</w:t>
      </w:r>
      <w:r>
        <w:rPr>
          <w:rFonts w:hint="eastAsia" w:ascii="仿宋_GB2312" w:hAnsi="宋体" w:eastAsia="仿宋_GB2312"/>
          <w:sz w:val="32"/>
          <w:szCs w:val="32"/>
        </w:rPr>
        <w:t>:</w:t>
      </w:r>
      <w:r>
        <w:rPr>
          <w:rFonts w:hint="eastAsia" w:ascii="仿宋_GB2312" w:hAnsi="仿宋_GB2312" w:eastAsia="仿宋_GB2312" w:cs="仿宋_GB2312"/>
          <w:sz w:val="32"/>
          <w:szCs w:val="32"/>
        </w:rPr>
        <w:t>有效防范辖区森林火灾的发生，保护珍稀植物，保障森林防火宣传，提高群众森林防火意识，绿化面积逐年提升。</w:t>
      </w:r>
    </w:p>
    <w:p>
      <w:pPr>
        <w:spacing w:line="580" w:lineRule="exact"/>
        <w:ind w:firstLine="640" w:firstLineChars="200"/>
        <w:rPr>
          <w:rFonts w:ascii="仿宋_GB2312" w:hAnsi="仿宋_GB2312" w:eastAsia="仿宋_GB2312" w:cs="仿宋_GB2312"/>
          <w:sz w:val="32"/>
          <w:szCs w:val="32"/>
        </w:rPr>
      </w:pPr>
      <w:r>
        <w:rPr>
          <w:rFonts w:hint="eastAsia" w:ascii="仿宋_GB2312" w:hAnsi="宋体" w:eastAsia="仿宋_GB2312"/>
          <w:sz w:val="32"/>
          <w:szCs w:val="32"/>
          <w:lang w:val="zh-CN"/>
        </w:rPr>
        <w:t>2．项目立项、资金申报的依据</w:t>
      </w:r>
      <w:r>
        <w:rPr>
          <w:rFonts w:hint="eastAsia" w:ascii="仿宋_GB2312" w:hAnsi="仿宋_GB2312" w:eastAsia="仿宋_GB2312" w:cs="仿宋_GB2312"/>
          <w:sz w:val="32"/>
          <w:szCs w:val="32"/>
        </w:rPr>
        <w:t>:森林是地球上最大的陆地生态系统，是全球生物圈中重要的一环。森林火灾是一种突发性强、破坏性大、处置救助较为困难的自然灾害。由于其来势迅猛、毁灭性强等，给国家和人民造成严重的损失，不仅包括财产和资源损失，还会引起人身伤亡事故的发生。所以森林防火工作的实施相当重要。</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zh-CN"/>
        </w:rPr>
        <w:t>3．</w:t>
      </w:r>
      <w:r>
        <w:rPr>
          <w:rFonts w:hint="eastAsia" w:ascii="仿宋_GB2312" w:hAnsi="仿宋_GB2312" w:eastAsia="仿宋_GB2312" w:cs="仿宋_GB2312"/>
          <w:sz w:val="32"/>
          <w:szCs w:val="32"/>
        </w:rPr>
        <w:t>资金分配情况（资金分配管理的科学合理性）：该项目全年预算数2万元.</w:t>
      </w:r>
    </w:p>
    <w:p>
      <w:pPr>
        <w:spacing w:line="580" w:lineRule="exact"/>
        <w:ind w:firstLine="640" w:firstLineChars="200"/>
        <w:rPr>
          <w:rFonts w:ascii="仿宋_GB2312" w:hAnsi="仿宋_GB2312" w:eastAsia="仿宋_GB2312" w:cs="仿宋_GB2312"/>
          <w:sz w:val="32"/>
          <w:szCs w:val="32"/>
        </w:rPr>
      </w:pPr>
      <w:r>
        <w:rPr>
          <w:rFonts w:hint="eastAsia" w:ascii="仿宋_GB2312" w:hAnsi="宋体" w:eastAsia="仿宋_GB2312"/>
          <w:sz w:val="32"/>
          <w:szCs w:val="32"/>
          <w:lang w:val="zh-CN"/>
        </w:rPr>
        <w:t>4．资金分配的原则及考虑因素</w:t>
      </w:r>
      <w:r>
        <w:rPr>
          <w:rFonts w:hint="eastAsia" w:ascii="仿宋_GB2312" w:hAnsi="宋体" w:eastAsia="仿宋_GB2312"/>
          <w:sz w:val="32"/>
          <w:szCs w:val="32"/>
        </w:rPr>
        <w:t>:主要用于</w:t>
      </w:r>
      <w:r>
        <w:rPr>
          <w:rFonts w:hint="eastAsia" w:ascii="仿宋_GB2312" w:hAnsi="仿宋_GB2312" w:eastAsia="仿宋_GB2312" w:cs="仿宋_GB2312"/>
          <w:sz w:val="32"/>
          <w:szCs w:val="32"/>
          <w:lang w:val="zh-CN"/>
        </w:rPr>
        <w:t>防火宣传标示标牌的制作和安装，防火物资的采购储备。</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（二）项目绩效目标。</w:t>
      </w:r>
    </w:p>
    <w:p>
      <w:pPr>
        <w:spacing w:line="580" w:lineRule="exact"/>
        <w:ind w:firstLine="640" w:firstLineChars="200"/>
        <w:rPr>
          <w:rFonts w:ascii="仿宋_GB2312" w:hAnsi="仿宋_GB2312" w:eastAsia="仿宋_GB2312" w:cs="仿宋_GB2312"/>
          <w:sz w:val="32"/>
          <w:szCs w:val="32"/>
          <w:lang w:val="zh-CN"/>
        </w:rPr>
      </w:pPr>
      <w:r>
        <w:rPr>
          <w:rFonts w:hint="eastAsia" w:ascii="仿宋_GB2312" w:hAnsi="宋体" w:eastAsia="仿宋_GB2312"/>
          <w:sz w:val="32"/>
          <w:szCs w:val="32"/>
          <w:lang w:val="zh-CN"/>
        </w:rPr>
        <w:t>1．项目主要内容。</w:t>
      </w:r>
      <w:r>
        <w:rPr>
          <w:rFonts w:hint="eastAsia" w:ascii="仿宋_GB2312" w:hAnsi="仿宋_GB2312" w:eastAsia="仿宋_GB2312" w:cs="仿宋_GB2312"/>
          <w:sz w:val="32"/>
          <w:szCs w:val="32"/>
          <w:lang w:val="zh-CN"/>
        </w:rPr>
        <w:t>防范森林火灾，保护珍稀植物，增强群众防火意识。</w:t>
      </w:r>
    </w:p>
    <w:p>
      <w:pPr>
        <w:spacing w:line="580" w:lineRule="exact"/>
        <w:ind w:firstLine="640" w:firstLineChars="200"/>
        <w:rPr>
          <w:rFonts w:ascii="仿宋" w:hAnsi="仿宋" w:eastAsia="仿宋" w:cs="仿宋_GB2312"/>
          <w:sz w:val="32"/>
          <w:szCs w:val="32"/>
        </w:rPr>
      </w:pPr>
      <w:r>
        <w:rPr>
          <w:rFonts w:hint="eastAsia" w:ascii="仿宋_GB2312" w:hAnsi="仿宋_GB2312" w:eastAsia="仿宋_GB2312" w:cs="仿宋_GB2312"/>
          <w:sz w:val="32"/>
          <w:szCs w:val="32"/>
          <w:lang w:val="zh-CN"/>
        </w:rPr>
        <w:t>2．项目目标完成情况：通</w:t>
      </w:r>
      <w:r>
        <w:rPr>
          <w:rFonts w:hint="eastAsia" w:ascii="仿宋_GB2312" w:hAnsi="仿宋_GB2312" w:eastAsia="仿宋_GB2312" w:cs="仿宋_GB2312"/>
          <w:sz w:val="32"/>
          <w:szCs w:val="32"/>
        </w:rPr>
        <w:t>过项目实施，有效防范辖区森林火灾的发生，保护珍稀植物，保障森林防火宣传，提高群众森林防火意识，绿化面积逐年提升</w:t>
      </w:r>
      <w:r>
        <w:rPr>
          <w:rFonts w:hint="eastAsia" w:ascii="仿宋_GB2312" w:hAnsi="仿宋_GB2312" w:cs="仿宋_GB2312"/>
          <w:sz w:val="32"/>
          <w:szCs w:val="32"/>
        </w:rPr>
        <w:t>。</w:t>
      </w:r>
    </w:p>
    <w:p>
      <w:pPr>
        <w:adjustRightInd w:val="0"/>
        <w:snapToGrid w:val="0"/>
        <w:spacing w:line="600"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3．分析评价申报内容与实际相符，申报目标可行高。</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（三）项目自评步骤及方法。</w:t>
      </w:r>
    </w:p>
    <w:p>
      <w:pPr>
        <w:spacing w:line="580" w:lineRule="exact"/>
        <w:ind w:firstLine="640" w:firstLineChars="200"/>
        <w:rPr>
          <w:rFonts w:ascii="仿宋" w:hAnsi="仿宋" w:eastAsia="仿宋" w:cs="仿宋_GB2312"/>
          <w:sz w:val="32"/>
          <w:szCs w:val="32"/>
        </w:rPr>
      </w:pPr>
      <w:r>
        <w:rPr>
          <w:rFonts w:hint="eastAsia" w:ascii="仿宋_GB2312" w:hAnsi="仿宋_GB2312" w:eastAsia="仿宋_GB2312" w:cs="仿宋_GB2312"/>
          <w:sz w:val="32"/>
          <w:szCs w:val="32"/>
          <w:lang w:val="zh-CN"/>
        </w:rPr>
        <w:t>支付凭证资料查阅，相关资料翻阅，森林火灾发生控制率。</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二、项目资金申报及使用情况</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（一）项目资金申报及批复情况。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说明项目资金申报由年初预算统一向区财政申报，由区政府统一上报区人代会进行批复。</w:t>
      </w: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b/>
          <w:sz w:val="32"/>
          <w:szCs w:val="32"/>
          <w:lang w:val="zh-CN"/>
        </w:rPr>
        <w:t>（二）资金计划、到位及使用情况（可用表格形式反映）。</w:t>
      </w:r>
    </w:p>
    <w:p>
      <w:pPr>
        <w:adjustRightInd w:val="0"/>
        <w:snapToGrid w:val="0"/>
        <w:spacing w:line="600" w:lineRule="exact"/>
        <w:ind w:firstLine="720"/>
        <w:rPr>
          <w:rFonts w:ascii="仿宋_GB2312" w:hAnsi="宋体" w:eastAsia="仿宋_GB2312"/>
          <w:sz w:val="32"/>
          <w:szCs w:val="32"/>
        </w:rPr>
      </w:pPr>
      <w:r>
        <w:rPr>
          <w:rFonts w:hint="eastAsia" w:ascii="仿宋_GB2312" w:hAnsi="宋体" w:eastAsia="仿宋_GB2312"/>
          <w:sz w:val="32"/>
          <w:szCs w:val="32"/>
          <w:lang w:val="zh-CN"/>
        </w:rPr>
        <w:t>1．资金计划。该项目由区财政统一年初预算</w:t>
      </w:r>
      <w:r>
        <w:rPr>
          <w:rFonts w:hint="eastAsia" w:ascii="仿宋_GB2312" w:hAnsi="宋体" w:eastAsia="仿宋_GB2312"/>
          <w:sz w:val="32"/>
          <w:szCs w:val="32"/>
        </w:rPr>
        <w:t xml:space="preserve">1.5万元。  </w:t>
      </w:r>
    </w:p>
    <w:p>
      <w:pPr>
        <w:adjustRightInd w:val="0"/>
        <w:snapToGrid w:val="0"/>
        <w:spacing w:line="600" w:lineRule="exact"/>
        <w:ind w:firstLine="720"/>
        <w:rPr>
          <w:rFonts w:ascii="仿宋_GB2312" w:hAnsi="宋体" w:eastAsia="仿宋_GB2312"/>
          <w:sz w:val="32"/>
          <w:szCs w:val="32"/>
        </w:rPr>
      </w:pPr>
      <w:r>
        <w:rPr>
          <w:rFonts w:hint="eastAsia" w:ascii="仿宋_GB2312" w:hAnsi="宋体" w:eastAsia="仿宋_GB2312"/>
          <w:sz w:val="32"/>
          <w:szCs w:val="32"/>
          <w:lang w:val="zh-CN"/>
        </w:rPr>
        <w:t>2．资金到位情况：该项目财政预算</w:t>
      </w:r>
      <w:r>
        <w:rPr>
          <w:rFonts w:hint="eastAsia" w:ascii="仿宋_GB2312" w:hAnsi="宋体" w:eastAsia="仿宋_GB2312"/>
          <w:sz w:val="32"/>
          <w:szCs w:val="32"/>
        </w:rPr>
        <w:t>1.5万元全部到位。</w:t>
      </w:r>
    </w:p>
    <w:p>
      <w:pPr>
        <w:adjustRightInd w:val="0"/>
        <w:snapToGrid w:val="0"/>
        <w:spacing w:line="600" w:lineRule="exact"/>
        <w:ind w:firstLine="720"/>
        <w:rPr>
          <w:rFonts w:ascii="仿宋_GB2312" w:hAnsi="仿宋_GB2312" w:eastAsia="仿宋_GB2312" w:cs="仿宋_GB2312"/>
          <w:sz w:val="32"/>
          <w:szCs w:val="32"/>
        </w:rPr>
      </w:pPr>
      <w:r>
        <w:rPr>
          <w:rFonts w:hint="eastAsia" w:ascii="仿宋_GB2312" w:hAnsi="宋体" w:eastAsia="仿宋_GB2312"/>
          <w:sz w:val="32"/>
          <w:szCs w:val="32"/>
          <w:lang w:val="zh-CN"/>
        </w:rPr>
        <w:t>3．资金使用：</w:t>
      </w:r>
      <w:r>
        <w:rPr>
          <w:rFonts w:hint="eastAsia" w:ascii="仿宋_GB2312" w:hAnsi="仿宋_GB2312" w:eastAsia="仿宋_GB2312" w:cs="仿宋_GB2312"/>
          <w:sz w:val="32"/>
          <w:szCs w:val="32"/>
        </w:rPr>
        <w:t>执行数为1.5万元，完成预算的100%。</w:t>
      </w:r>
    </w:p>
    <w:p>
      <w:pPr>
        <w:adjustRightInd w:val="0"/>
        <w:snapToGrid w:val="0"/>
        <w:spacing w:line="600" w:lineRule="exact"/>
        <w:ind w:firstLine="720"/>
        <w:rPr>
          <w:rFonts w:ascii="仿宋_GB2312" w:hAnsi="宋体" w:eastAsia="仿宋_GB2312"/>
          <w:sz w:val="32"/>
          <w:szCs w:val="32"/>
          <w:lang w:val="zh-CN"/>
        </w:rPr>
      </w:pPr>
      <w:r>
        <w:rPr>
          <w:rFonts w:hint="eastAsia" w:ascii="黑体" w:hAnsi="宋体" w:eastAsia="黑体"/>
          <w:sz w:val="32"/>
          <w:szCs w:val="32"/>
        </w:rPr>
        <w:t>三、项目绩效情况</w:t>
      </w:r>
      <w:r>
        <w:rPr>
          <w:rFonts w:hint="eastAsia" w:ascii="仿宋_GB2312" w:hAnsi="宋体" w:eastAsia="仿宋_GB2312"/>
          <w:sz w:val="32"/>
          <w:szCs w:val="32"/>
          <w:lang w:val="zh-CN"/>
        </w:rPr>
        <w:tab/>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（一）项目完成情况。</w:t>
      </w:r>
    </w:p>
    <w:p>
      <w:pPr>
        <w:spacing w:line="580" w:lineRule="exact"/>
        <w:ind w:firstLine="640" w:firstLineChars="200"/>
        <w:rPr>
          <w:rFonts w:ascii="仿宋_GB2312" w:hAnsi="仿宋_GB2312" w:cs="仿宋_GB2312"/>
          <w:sz w:val="32"/>
          <w:szCs w:val="32"/>
        </w:rPr>
      </w:pPr>
      <w:r>
        <w:rPr>
          <w:rFonts w:hint="eastAsia" w:ascii="仿宋_GB2312" w:hAnsi="仿宋_GB2312" w:eastAsia="仿宋_GB2312" w:cs="仿宋_GB2312"/>
          <w:sz w:val="32"/>
          <w:szCs w:val="32"/>
        </w:rPr>
        <w:t>该项目实施较好，全年预算数1.5万元，执行数为1.5万元，完成预算的100%。</w:t>
      </w:r>
    </w:p>
    <w:p>
      <w:pPr>
        <w:adjustRightInd w:val="0"/>
        <w:snapToGrid w:val="0"/>
        <w:spacing w:line="600" w:lineRule="exact"/>
        <w:ind w:firstLine="642" w:firstLineChars="200"/>
        <w:rPr>
          <w:rFonts w:ascii="仿宋" w:hAnsi="仿宋" w:eastAsia="仿宋" w:cs="仿宋_GB2312"/>
          <w:sz w:val="32"/>
          <w:szCs w:val="32"/>
          <w:lang w:val="zh-CN"/>
        </w:rPr>
      </w:pPr>
      <w:r>
        <w:rPr>
          <w:rFonts w:hint="eastAsia" w:ascii="楷体_GB2312" w:hAnsi="宋体" w:eastAsia="楷体_GB2312"/>
          <w:b/>
          <w:sz w:val="32"/>
          <w:szCs w:val="32"/>
          <w:lang w:val="zh-CN"/>
        </w:rPr>
        <w:t>（二）项目效益情况。</w:t>
      </w:r>
      <w:r>
        <w:rPr>
          <w:rFonts w:hint="eastAsia" w:ascii="仿宋_GB2312" w:hAnsi="仿宋_GB2312" w:eastAsia="仿宋_GB2312" w:cs="仿宋_GB2312"/>
          <w:sz w:val="32"/>
          <w:szCs w:val="32"/>
        </w:rPr>
        <w:t>提高群众森林防火意识，绿化面积逐年提升益，确保群众满意度100%。</w:t>
      </w:r>
    </w:p>
    <w:p>
      <w:pPr>
        <w:spacing w:line="580" w:lineRule="exact"/>
        <w:ind w:firstLine="640" w:firstLineChars="200"/>
        <w:rPr>
          <w:rFonts w:ascii="仿宋" w:hAnsi="仿宋" w:eastAsia="仿宋" w:cs="仿宋_GB2312"/>
          <w:sz w:val="32"/>
          <w:szCs w:val="32"/>
        </w:rPr>
      </w:pPr>
      <w:r>
        <w:rPr>
          <w:rFonts w:hint="eastAsia" w:ascii="黑体" w:hAnsi="宋体" w:eastAsia="黑体"/>
          <w:sz w:val="32"/>
          <w:szCs w:val="32"/>
          <w:lang w:val="zh-CN"/>
        </w:rPr>
        <w:t>四、存在主要问题：</w:t>
      </w:r>
      <w:r>
        <w:rPr>
          <w:rFonts w:hint="eastAsia" w:ascii="仿宋_GB2312" w:hAnsi="仿宋_GB2312" w:eastAsia="仿宋_GB2312" w:cs="仿宋_GB2312"/>
          <w:sz w:val="32"/>
          <w:szCs w:val="32"/>
        </w:rPr>
        <w:t>群众森林防火意识依然不足。</w:t>
      </w:r>
      <w:r>
        <w:rPr>
          <w:rFonts w:hint="eastAsia" w:ascii="仿宋_GB2312" w:hAnsi="仿宋_GB2312" w:cs="仿宋_GB2312"/>
          <w:sz w:val="32"/>
          <w:szCs w:val="32"/>
        </w:rPr>
        <w:t>。</w:t>
      </w:r>
    </w:p>
    <w:p>
      <w:pPr>
        <w:spacing w:line="580" w:lineRule="exact"/>
        <w:ind w:firstLine="640" w:firstLineChars="200"/>
        <w:rPr>
          <w:rFonts w:ascii="仿宋_GB2312" w:hAnsi="仿宋_GB2312" w:eastAsia="仿宋_GB2312" w:cs="仿宋_GB2312"/>
          <w:sz w:val="32"/>
          <w:szCs w:val="32"/>
        </w:rPr>
      </w:pPr>
      <w:r>
        <w:rPr>
          <w:rFonts w:hint="eastAsia" w:ascii="黑体" w:hAnsi="宋体" w:eastAsia="黑体"/>
          <w:sz w:val="32"/>
          <w:szCs w:val="32"/>
          <w:lang w:val="zh-CN"/>
        </w:rPr>
        <w:t>五、相关措施建议：</w:t>
      </w:r>
      <w:r>
        <w:rPr>
          <w:rFonts w:hint="eastAsia" w:ascii="仿宋_GB2312" w:hAnsi="仿宋_GB2312" w:eastAsia="仿宋_GB2312" w:cs="仿宋_GB2312"/>
          <w:sz w:val="32"/>
          <w:szCs w:val="32"/>
        </w:rPr>
        <w:t>加强森林防火宣传，提高群众防火意识。</w:t>
      </w:r>
    </w:p>
    <w:p>
      <w:pPr>
        <w:spacing w:line="580" w:lineRule="exact"/>
        <w:ind w:firstLine="640" w:firstLineChars="200"/>
        <w:rPr>
          <w:rFonts w:ascii="仿宋_GB2312" w:hAnsi="仿宋_GB2312" w:eastAsia="仿宋_GB2312" w:cs="仿宋_GB2312"/>
          <w:sz w:val="32"/>
          <w:szCs w:val="32"/>
        </w:rPr>
      </w:pPr>
    </w:p>
    <w:p>
      <w:pPr>
        <w:spacing w:line="600" w:lineRule="exact"/>
        <w:jc w:val="center"/>
        <w:rPr>
          <w:rFonts w:ascii="方正小标宋简体" w:hAnsi="宋体" w:eastAsia="方正小标宋简体"/>
          <w:kern w:val="0"/>
          <w:sz w:val="44"/>
          <w:szCs w:val="44"/>
          <w:lang w:val="zh-CN"/>
        </w:rPr>
      </w:pPr>
      <w:r>
        <w:rPr>
          <w:rFonts w:hint="eastAsia" w:ascii="黑体" w:hAnsi="黑体" w:eastAsia="黑体" w:cs="方正小标宋简体"/>
          <w:sz w:val="44"/>
          <w:szCs w:val="44"/>
        </w:rPr>
        <w:t>依法治区专项经费项目支出</w:t>
      </w:r>
    </w:p>
    <w:p>
      <w:pPr>
        <w:spacing w:line="600" w:lineRule="exact"/>
        <w:jc w:val="center"/>
        <w:rPr>
          <w:rFonts w:ascii="宋体" w:hAnsi="宋体"/>
          <w:sz w:val="32"/>
          <w:szCs w:val="32"/>
          <w:lang w:val="zh-CN"/>
        </w:rPr>
      </w:pPr>
      <w:r>
        <w:rPr>
          <w:rFonts w:hint="eastAsia" w:ascii="方正小标宋简体" w:hAnsi="宋体" w:eastAsia="方正小标宋简体"/>
          <w:kern w:val="0"/>
          <w:sz w:val="44"/>
          <w:szCs w:val="44"/>
        </w:rPr>
        <w:t>2020年</w:t>
      </w:r>
      <w:r>
        <w:rPr>
          <w:rFonts w:hint="eastAsia" w:ascii="方正小标宋简体" w:hAnsi="宋体" w:eastAsia="方正小标宋简体"/>
          <w:kern w:val="0"/>
          <w:sz w:val="44"/>
          <w:szCs w:val="44"/>
          <w:lang w:val="zh-CN"/>
        </w:rPr>
        <w:t>绩效评价报告</w:t>
      </w:r>
    </w:p>
    <w:p>
      <w:pPr>
        <w:adjustRightInd w:val="0"/>
        <w:snapToGrid w:val="0"/>
        <w:spacing w:line="600" w:lineRule="exact"/>
        <w:ind w:firstLine="720"/>
        <w:rPr>
          <w:rFonts w:ascii="黑体" w:hAnsi="宋体" w:eastAsia="黑体"/>
          <w:sz w:val="32"/>
          <w:szCs w:val="32"/>
          <w:lang w:val="zh-CN"/>
        </w:rPr>
      </w:pPr>
      <w:r>
        <w:rPr>
          <w:rFonts w:hint="eastAsia" w:ascii="黑体" w:hAnsi="宋体" w:eastAsia="黑体"/>
          <w:sz w:val="32"/>
          <w:szCs w:val="32"/>
        </w:rPr>
        <w:t>一、</w:t>
      </w:r>
      <w:r>
        <w:rPr>
          <w:rFonts w:hint="eastAsia" w:ascii="黑体" w:hAnsi="宋体" w:eastAsia="黑体"/>
          <w:sz w:val="32"/>
          <w:szCs w:val="32"/>
          <w:lang w:val="zh-CN"/>
        </w:rPr>
        <w:t>项目概况</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（一）项目基本情况。</w:t>
      </w:r>
    </w:p>
    <w:p>
      <w:pPr>
        <w:adjustRightInd w:val="0"/>
        <w:snapToGrid w:val="0"/>
        <w:spacing w:line="600" w:lineRule="exact"/>
        <w:ind w:firstLine="720"/>
        <w:rPr>
          <w:rFonts w:ascii="仿宋_GB2312" w:hAnsi="宋体" w:eastAsia="仿宋_GB2312"/>
          <w:sz w:val="32"/>
          <w:szCs w:val="32"/>
        </w:rPr>
      </w:pPr>
      <w:r>
        <w:rPr>
          <w:rFonts w:hint="eastAsia" w:ascii="仿宋_GB2312" w:hAnsi="宋体" w:eastAsia="仿宋_GB2312"/>
          <w:sz w:val="32"/>
          <w:szCs w:val="32"/>
          <w:lang w:val="zh-CN"/>
        </w:rPr>
        <w:t>1．项目主管部门（单位）在该项目管理中的职能</w:t>
      </w:r>
      <w:r>
        <w:rPr>
          <w:rFonts w:hint="eastAsia" w:ascii="仿宋_GB2312" w:hAnsi="宋体" w:eastAsia="仿宋_GB2312"/>
          <w:sz w:val="32"/>
          <w:szCs w:val="32"/>
        </w:rPr>
        <w:t>:</w:t>
      </w:r>
      <w:r>
        <w:rPr>
          <w:rFonts w:hint="eastAsia" w:ascii="仿宋_GB2312" w:hAnsi="宋体" w:eastAsia="仿宋_GB2312"/>
          <w:sz w:val="32"/>
          <w:szCs w:val="32"/>
          <w:lang w:val="zh-CN"/>
        </w:rPr>
        <w:t>依法治区工作重点为辖区内全年的法治宣传，法律进乡村，进学校，进企业等宣讲活动。主管部门主要是确保法治宣传到位，提高辖区居民法律意识。</w:t>
      </w:r>
    </w:p>
    <w:p>
      <w:pPr>
        <w:adjustRightInd w:val="0"/>
        <w:snapToGrid w:val="0"/>
        <w:spacing w:line="600" w:lineRule="exact"/>
        <w:ind w:firstLine="720"/>
        <w:rPr>
          <w:rFonts w:ascii="仿宋_GB2312" w:hAnsi="宋体" w:eastAsia="仿宋_GB2312"/>
          <w:sz w:val="32"/>
          <w:szCs w:val="32"/>
        </w:rPr>
      </w:pPr>
      <w:r>
        <w:rPr>
          <w:rFonts w:hint="eastAsia" w:ascii="仿宋_GB2312" w:hAnsi="宋体" w:eastAsia="仿宋_GB2312"/>
          <w:sz w:val="32"/>
          <w:szCs w:val="32"/>
          <w:lang w:val="zh-CN"/>
        </w:rPr>
        <w:t>2．项目立项、资金申报的依据</w:t>
      </w:r>
      <w:r>
        <w:rPr>
          <w:rFonts w:hint="eastAsia" w:ascii="仿宋_GB2312" w:hAnsi="宋体" w:eastAsia="仿宋_GB2312"/>
          <w:sz w:val="32"/>
          <w:szCs w:val="32"/>
        </w:rPr>
        <w:t>:依法治国是党领导群众的基本方略，依法治区是依法治国的基层具体实践。</w:t>
      </w:r>
    </w:p>
    <w:p>
      <w:pPr>
        <w:adjustRightInd w:val="0"/>
        <w:snapToGrid w:val="0"/>
        <w:spacing w:line="600" w:lineRule="exact"/>
        <w:ind w:firstLine="720"/>
        <w:rPr>
          <w:rFonts w:ascii="仿宋_GB2312" w:hAnsi="宋体" w:eastAsia="仿宋_GB2312"/>
          <w:sz w:val="32"/>
          <w:szCs w:val="32"/>
        </w:rPr>
      </w:pPr>
      <w:r>
        <w:rPr>
          <w:rFonts w:hint="eastAsia" w:ascii="仿宋_GB2312" w:hAnsi="宋体" w:eastAsia="仿宋_GB2312"/>
          <w:sz w:val="32"/>
          <w:szCs w:val="32"/>
          <w:lang w:val="zh-CN"/>
        </w:rPr>
        <w:t>3．</w:t>
      </w:r>
      <w:r>
        <w:rPr>
          <w:rFonts w:hint="eastAsia" w:ascii="仿宋_GB2312" w:hAnsi="宋体" w:eastAsia="仿宋_GB2312"/>
          <w:sz w:val="32"/>
          <w:szCs w:val="32"/>
        </w:rPr>
        <w:t>资金分配情况（资金分配管理的科学合理性）：全部资金主要是用于法治宣传，辖区内法治宣传标语制作。</w:t>
      </w:r>
    </w:p>
    <w:p>
      <w:pPr>
        <w:adjustRightInd w:val="0"/>
        <w:snapToGrid w:val="0"/>
        <w:spacing w:line="600" w:lineRule="exact"/>
        <w:ind w:firstLine="720"/>
        <w:rPr>
          <w:rFonts w:ascii="仿宋_GB2312" w:hAnsi="宋体" w:eastAsia="仿宋_GB2312"/>
          <w:sz w:val="32"/>
          <w:szCs w:val="32"/>
        </w:rPr>
      </w:pPr>
      <w:r>
        <w:rPr>
          <w:rFonts w:hint="eastAsia" w:ascii="仿宋_GB2312" w:hAnsi="宋体" w:eastAsia="仿宋_GB2312"/>
          <w:sz w:val="32"/>
          <w:szCs w:val="32"/>
          <w:lang w:val="zh-CN"/>
        </w:rPr>
        <w:t>4．资金分配的原则及考虑因素</w:t>
      </w:r>
      <w:r>
        <w:rPr>
          <w:rFonts w:hint="eastAsia" w:ascii="仿宋_GB2312" w:hAnsi="宋体" w:eastAsia="仿宋_GB2312"/>
          <w:sz w:val="32"/>
          <w:szCs w:val="32"/>
        </w:rPr>
        <w:t>:依法治国是党领导群众的基本方略，依法治区是依法治国的基层具体实践。主要是用于法治宣传，辖区内法治宣传标语制作。</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（二）项目绩效目标。</w:t>
      </w:r>
    </w:p>
    <w:p>
      <w:pPr>
        <w:spacing w:line="580"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1．项目主要内容。依法治区工作重点为辖区内全年的法治宣传，法律进乡村，进学校，进企业等宣讲活动。全年法律宣传费用支出，法律宣传活动开展次数。</w:t>
      </w:r>
    </w:p>
    <w:p>
      <w:pPr>
        <w:spacing w:line="580"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2．项目目标完成情况宣传活动开展法律进学校、进乡村、进企业</w:t>
      </w:r>
      <w:r>
        <w:rPr>
          <w:rFonts w:hint="eastAsia" w:ascii="仿宋_GB2312" w:hAnsi="宋体" w:eastAsia="仿宋_GB2312"/>
          <w:sz w:val="32"/>
          <w:szCs w:val="32"/>
        </w:rPr>
        <w:t>12余次。</w:t>
      </w:r>
      <w:r>
        <w:rPr>
          <w:rFonts w:hint="eastAsia" w:ascii="仿宋_GB2312" w:hAnsi="宋体" w:eastAsia="仿宋_GB2312"/>
          <w:sz w:val="32"/>
          <w:szCs w:val="32"/>
          <w:lang w:val="zh-CN"/>
        </w:rPr>
        <w:t>宣传标语</w:t>
      </w:r>
      <w:r>
        <w:rPr>
          <w:rFonts w:hint="eastAsia" w:ascii="仿宋_GB2312" w:hAnsi="宋体" w:eastAsia="仿宋_GB2312"/>
          <w:sz w:val="32"/>
          <w:szCs w:val="32"/>
        </w:rPr>
        <w:t>6副。</w:t>
      </w:r>
      <w:r>
        <w:rPr>
          <w:rFonts w:hint="eastAsia" w:ascii="仿宋_GB2312" w:hAnsi="宋体" w:eastAsia="仿宋_GB2312"/>
          <w:sz w:val="32"/>
          <w:szCs w:val="32"/>
          <w:lang w:val="zh-CN"/>
        </w:rPr>
        <w:t>项目效益情况：项目提高群众法律意识，知法，懂法用法律武器保护自己；促进辖区内和谐安定，群众满意度较高。</w:t>
      </w:r>
    </w:p>
    <w:p>
      <w:pPr>
        <w:adjustRightInd w:val="0"/>
        <w:snapToGrid w:val="0"/>
        <w:spacing w:line="600"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3．分析评价申报内容与实际相符，申报目标可行高。</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（三）项目自评步骤及方法。</w:t>
      </w:r>
    </w:p>
    <w:p>
      <w:pPr>
        <w:spacing w:line="580"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资料翻阅，法律宣传效果展示，群众问卷调查群众满意度。</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二、项目资金申报及使用情况</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（一）项目资金申报及批复情况。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说明项目资金申报由年初预算统一向区财政申报，由区政府统一上报上人代会进行批复。</w:t>
      </w: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b/>
          <w:sz w:val="32"/>
          <w:szCs w:val="32"/>
          <w:lang w:val="zh-CN"/>
        </w:rPr>
        <w:t>（二）资金计划、到位及使用情况（可用表格形式反映）。</w:t>
      </w:r>
    </w:p>
    <w:p>
      <w:pPr>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lang w:val="zh-CN"/>
        </w:rPr>
        <w:t>1．资金计划。该项目由区财政统一年初预算</w:t>
      </w:r>
      <w:r>
        <w:rPr>
          <w:rFonts w:hint="eastAsia" w:ascii="仿宋_GB2312" w:hAnsi="宋体" w:eastAsia="仿宋_GB2312"/>
          <w:sz w:val="32"/>
          <w:szCs w:val="32"/>
        </w:rPr>
        <w:t>1万元。</w:t>
      </w:r>
    </w:p>
    <w:p>
      <w:pPr>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lang w:val="zh-CN"/>
        </w:rPr>
        <w:t>2．资金到位情况：该项目财政预算</w:t>
      </w:r>
      <w:r>
        <w:rPr>
          <w:rFonts w:hint="eastAsia" w:ascii="仿宋_GB2312" w:hAnsi="宋体" w:eastAsia="仿宋_GB2312"/>
          <w:sz w:val="32"/>
          <w:szCs w:val="32"/>
        </w:rPr>
        <w:t>1万元全部到位。</w:t>
      </w:r>
    </w:p>
    <w:p>
      <w:pPr>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lang w:val="zh-CN"/>
        </w:rPr>
        <w:t>3．资金使用。宣传活动开展法律进学校、进乡村、进企业</w:t>
      </w:r>
      <w:r>
        <w:rPr>
          <w:rFonts w:hint="eastAsia" w:ascii="仿宋_GB2312" w:hAnsi="宋体" w:eastAsia="仿宋_GB2312"/>
          <w:sz w:val="32"/>
          <w:szCs w:val="32"/>
        </w:rPr>
        <w:t>12余次。</w:t>
      </w:r>
      <w:r>
        <w:rPr>
          <w:rFonts w:hint="eastAsia" w:ascii="仿宋_GB2312" w:hAnsi="宋体" w:eastAsia="仿宋_GB2312"/>
          <w:sz w:val="32"/>
          <w:szCs w:val="32"/>
          <w:lang w:val="zh-CN"/>
        </w:rPr>
        <w:t>宣传标语</w:t>
      </w:r>
      <w:r>
        <w:rPr>
          <w:rFonts w:hint="eastAsia" w:ascii="仿宋_GB2312" w:hAnsi="宋体" w:eastAsia="仿宋_GB2312"/>
          <w:sz w:val="32"/>
          <w:szCs w:val="32"/>
        </w:rPr>
        <w:t>6副。</w:t>
      </w:r>
    </w:p>
    <w:p>
      <w:pPr>
        <w:adjustRightInd w:val="0"/>
        <w:snapToGrid w:val="0"/>
        <w:spacing w:line="600" w:lineRule="exact"/>
        <w:ind w:firstLine="720"/>
        <w:rPr>
          <w:rFonts w:ascii="仿宋_GB2312" w:hAnsi="宋体" w:eastAsia="仿宋_GB2312"/>
          <w:sz w:val="32"/>
          <w:szCs w:val="32"/>
          <w:lang w:val="zh-CN"/>
        </w:rPr>
      </w:pPr>
      <w:r>
        <w:rPr>
          <w:rFonts w:hint="eastAsia" w:ascii="黑体" w:hAnsi="宋体" w:eastAsia="黑体"/>
          <w:sz w:val="32"/>
          <w:szCs w:val="32"/>
        </w:rPr>
        <w:t>四、项目绩效情况</w:t>
      </w:r>
      <w:r>
        <w:rPr>
          <w:rFonts w:hint="eastAsia" w:ascii="仿宋_GB2312" w:hAnsi="宋体" w:eastAsia="仿宋_GB2312"/>
          <w:sz w:val="32"/>
          <w:szCs w:val="32"/>
          <w:lang w:val="zh-CN"/>
        </w:rPr>
        <w:tab/>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（一）项目完成情况。</w:t>
      </w:r>
    </w:p>
    <w:p>
      <w:pPr>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lang w:val="zh-CN"/>
        </w:rPr>
        <w:t>法律进学校、进乡村、进企业</w:t>
      </w:r>
      <w:r>
        <w:rPr>
          <w:rFonts w:hint="eastAsia" w:ascii="仿宋_GB2312" w:hAnsi="宋体" w:eastAsia="仿宋_GB2312"/>
          <w:sz w:val="32"/>
          <w:szCs w:val="32"/>
        </w:rPr>
        <w:t>12余次。</w:t>
      </w:r>
      <w:r>
        <w:rPr>
          <w:rFonts w:hint="eastAsia" w:ascii="仿宋_GB2312" w:hAnsi="宋体" w:eastAsia="仿宋_GB2312"/>
          <w:sz w:val="32"/>
          <w:szCs w:val="32"/>
          <w:lang w:val="zh-CN"/>
        </w:rPr>
        <w:t>宣传标语</w:t>
      </w:r>
      <w:r>
        <w:rPr>
          <w:rFonts w:hint="eastAsia" w:ascii="仿宋_GB2312" w:hAnsi="宋体" w:eastAsia="仿宋_GB2312"/>
          <w:sz w:val="32"/>
          <w:szCs w:val="32"/>
        </w:rPr>
        <w:t>6副。</w:t>
      </w:r>
    </w:p>
    <w:p>
      <w:pPr>
        <w:adjustRightInd w:val="0"/>
        <w:snapToGrid w:val="0"/>
        <w:spacing w:line="600" w:lineRule="exact"/>
        <w:ind w:firstLine="642" w:firstLineChars="200"/>
        <w:rPr>
          <w:rFonts w:ascii="仿宋_GB2312" w:hAnsi="宋体" w:eastAsia="仿宋_GB2312"/>
          <w:sz w:val="32"/>
          <w:szCs w:val="32"/>
          <w:lang w:val="zh-CN"/>
        </w:rPr>
      </w:pPr>
      <w:r>
        <w:rPr>
          <w:rFonts w:hint="eastAsia" w:ascii="楷体_GB2312" w:hAnsi="宋体" w:eastAsia="楷体_GB2312"/>
          <w:b/>
          <w:sz w:val="32"/>
          <w:szCs w:val="32"/>
          <w:lang w:val="zh-CN"/>
        </w:rPr>
        <w:t>（二）项目效益情况。</w:t>
      </w:r>
      <w:r>
        <w:rPr>
          <w:rFonts w:hint="eastAsia" w:ascii="仿宋_GB2312" w:hAnsi="宋体" w:eastAsia="仿宋_GB2312"/>
          <w:sz w:val="32"/>
          <w:szCs w:val="32"/>
          <w:lang w:val="zh-CN"/>
        </w:rPr>
        <w:t>提高群众法律意识，知法，懂法用法律武器保护自己；维护辖区内和谐安定；确保群众满意度</w:t>
      </w:r>
      <w:r>
        <w:rPr>
          <w:rFonts w:hint="eastAsia" w:ascii="仿宋_GB2312" w:hAnsi="宋体" w:eastAsia="仿宋_GB2312"/>
          <w:sz w:val="32"/>
          <w:szCs w:val="32"/>
        </w:rPr>
        <w:t>100%。</w:t>
      </w:r>
    </w:p>
    <w:p>
      <w:pPr>
        <w:adjustRightInd w:val="0"/>
        <w:snapToGrid w:val="0"/>
        <w:spacing w:line="600" w:lineRule="exact"/>
        <w:ind w:firstLine="720"/>
        <w:rPr>
          <w:rFonts w:ascii="黑体" w:hAnsi="宋体" w:eastAsia="黑体"/>
          <w:sz w:val="32"/>
          <w:szCs w:val="32"/>
          <w:lang w:val="zh-CN"/>
        </w:rPr>
      </w:pPr>
      <w:r>
        <w:rPr>
          <w:rFonts w:hint="eastAsia" w:ascii="黑体" w:hAnsi="宋体" w:eastAsia="黑体"/>
          <w:sz w:val="32"/>
          <w:szCs w:val="32"/>
          <w:lang w:val="zh-CN"/>
        </w:rPr>
        <w:t>五、存在主要问题</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部分村社区对依法治区重视不够，宣传力度不到位。</w:t>
      </w:r>
    </w:p>
    <w:p>
      <w:pPr>
        <w:adjustRightInd w:val="0"/>
        <w:snapToGrid w:val="0"/>
        <w:spacing w:line="600" w:lineRule="exact"/>
        <w:ind w:firstLine="720"/>
        <w:rPr>
          <w:rFonts w:ascii="黑体" w:hAnsi="宋体" w:eastAsia="黑体"/>
          <w:sz w:val="32"/>
          <w:szCs w:val="32"/>
          <w:lang w:val="zh-CN"/>
        </w:rPr>
      </w:pPr>
      <w:r>
        <w:rPr>
          <w:rFonts w:hint="eastAsia" w:ascii="黑体" w:hAnsi="宋体" w:eastAsia="黑体"/>
          <w:sz w:val="32"/>
          <w:szCs w:val="32"/>
          <w:lang w:val="zh-CN"/>
        </w:rPr>
        <w:t>六、相关措施建议</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提高法律治区思想意识，营造浓厚工作氛围，创新法律宣传方式方法，进一步提高群众法律意识。</w:t>
      </w:r>
    </w:p>
    <w:p>
      <w:pPr>
        <w:spacing w:line="580" w:lineRule="exact"/>
        <w:ind w:firstLine="640" w:firstLineChars="200"/>
        <w:rPr>
          <w:rFonts w:ascii="仿宋_GB2312" w:hAnsi="仿宋_GB2312" w:eastAsia="仿宋_GB2312" w:cs="仿宋_GB2312"/>
          <w:sz w:val="32"/>
          <w:szCs w:val="32"/>
        </w:rPr>
      </w:pPr>
    </w:p>
    <w:p>
      <w:pPr>
        <w:spacing w:line="580" w:lineRule="exact"/>
        <w:jc w:val="center"/>
        <w:rPr>
          <w:rFonts w:ascii="黑体" w:hAnsi="黑体" w:eastAsia="黑体" w:cs="方正小标宋简体"/>
          <w:sz w:val="44"/>
          <w:szCs w:val="44"/>
        </w:rPr>
      </w:pPr>
    </w:p>
    <w:p>
      <w:pPr>
        <w:spacing w:line="580" w:lineRule="exact"/>
        <w:jc w:val="center"/>
        <w:rPr>
          <w:rFonts w:ascii="黑体" w:hAnsi="黑体" w:eastAsia="黑体" w:cs="方正小标宋简体"/>
          <w:sz w:val="44"/>
          <w:szCs w:val="44"/>
        </w:rPr>
      </w:pPr>
      <w:r>
        <w:rPr>
          <w:rFonts w:hint="eastAsia" w:ascii="黑体" w:hAnsi="黑体" w:eastAsia="黑体" w:cs="方正小标宋简体"/>
          <w:sz w:val="44"/>
          <w:szCs w:val="44"/>
        </w:rPr>
        <w:t>安全监管专项经费项目支出</w:t>
      </w:r>
    </w:p>
    <w:p>
      <w:pPr>
        <w:spacing w:line="580" w:lineRule="exact"/>
        <w:jc w:val="center"/>
        <w:rPr>
          <w:rFonts w:ascii="黑体" w:hAnsi="黑体" w:eastAsia="黑体" w:cs="方正小标宋简体"/>
          <w:sz w:val="44"/>
          <w:szCs w:val="44"/>
        </w:rPr>
      </w:pPr>
      <w:r>
        <w:rPr>
          <w:rFonts w:hint="eastAsia" w:ascii="黑体" w:hAnsi="黑体" w:eastAsia="黑体" w:cs="方正小标宋简体"/>
          <w:sz w:val="44"/>
          <w:szCs w:val="44"/>
        </w:rPr>
        <w:t>2020年绩效评价报告</w:t>
      </w:r>
    </w:p>
    <w:p>
      <w:pPr>
        <w:spacing w:line="580" w:lineRule="exact"/>
        <w:rPr>
          <w:rFonts w:ascii="仿宋_GB2312" w:hAnsi="仿宋_GB2312" w:eastAsia="仿宋_GB2312" w:cs="仿宋_GB2312"/>
          <w:sz w:val="32"/>
          <w:szCs w:val="32"/>
        </w:rPr>
      </w:pPr>
    </w:p>
    <w:p>
      <w:pPr>
        <w:adjustRightInd w:val="0"/>
        <w:snapToGrid w:val="0"/>
        <w:spacing w:line="600" w:lineRule="exact"/>
        <w:ind w:firstLine="720"/>
        <w:rPr>
          <w:rFonts w:ascii="黑体" w:hAnsi="宋体" w:eastAsia="黑体"/>
          <w:sz w:val="32"/>
          <w:szCs w:val="32"/>
          <w:lang w:val="zh-CN"/>
        </w:rPr>
      </w:pPr>
      <w:r>
        <w:rPr>
          <w:rFonts w:hint="eastAsia" w:ascii="黑体" w:hAnsi="宋体" w:eastAsia="黑体"/>
          <w:sz w:val="32"/>
          <w:szCs w:val="32"/>
        </w:rPr>
        <w:t>一、</w:t>
      </w:r>
      <w:r>
        <w:rPr>
          <w:rFonts w:hint="eastAsia" w:ascii="黑体" w:hAnsi="宋体" w:eastAsia="黑体"/>
          <w:sz w:val="32"/>
          <w:szCs w:val="32"/>
          <w:lang w:val="zh-CN"/>
        </w:rPr>
        <w:t>项目概况</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（一）项目基本情况。</w:t>
      </w:r>
    </w:p>
    <w:p>
      <w:pPr>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lang w:val="zh-CN"/>
        </w:rPr>
        <w:t>1．项目主管部门（单位）在该项目管理中的职能</w:t>
      </w:r>
      <w:r>
        <w:rPr>
          <w:rFonts w:hint="eastAsia" w:ascii="仿宋_GB2312" w:hAnsi="宋体" w:eastAsia="仿宋_GB2312"/>
          <w:sz w:val="32"/>
          <w:szCs w:val="32"/>
        </w:rPr>
        <w:t>:</w:t>
      </w:r>
      <w:r>
        <w:rPr>
          <w:rFonts w:hint="eastAsia" w:ascii="仿宋_GB2312" w:hAnsi="仿宋_GB2312" w:eastAsia="仿宋_GB2312" w:cs="仿宋_GB2312"/>
          <w:sz w:val="32"/>
          <w:szCs w:val="32"/>
        </w:rPr>
        <w:t>辖区内全年的安全宣传监管，进乡村，进农户，进学校等安全宣讲活动，提高群众</w:t>
      </w:r>
      <w:bookmarkStart w:id="70" w:name="_GoBack"/>
      <w:bookmarkEnd w:id="70"/>
      <w:r>
        <w:rPr>
          <w:rFonts w:hint="eastAsia" w:ascii="仿宋_GB2312" w:hAnsi="仿宋_GB2312" w:eastAsia="仿宋_GB2312" w:cs="仿宋_GB2312"/>
          <w:sz w:val="32"/>
          <w:szCs w:val="32"/>
        </w:rPr>
        <w:t>的安全意识。</w:t>
      </w:r>
    </w:p>
    <w:p>
      <w:pPr>
        <w:spacing w:line="580" w:lineRule="exact"/>
        <w:ind w:firstLine="640" w:firstLineChars="200"/>
        <w:rPr>
          <w:rFonts w:ascii="仿宋_GB2312" w:hAnsi="仿宋_GB2312" w:eastAsia="仿宋_GB2312" w:cs="仿宋_GB2312"/>
          <w:sz w:val="32"/>
          <w:szCs w:val="32"/>
        </w:rPr>
      </w:pPr>
      <w:r>
        <w:rPr>
          <w:rFonts w:hint="eastAsia" w:ascii="仿宋_GB2312" w:hAnsi="宋体" w:eastAsia="仿宋_GB2312"/>
          <w:sz w:val="32"/>
          <w:szCs w:val="32"/>
          <w:lang w:val="zh-CN"/>
        </w:rPr>
        <w:t>2．项目立项、资金申报的依据</w:t>
      </w:r>
      <w:r>
        <w:rPr>
          <w:rFonts w:hint="eastAsia" w:ascii="仿宋_GB2312" w:hAnsi="仿宋_GB2312" w:eastAsia="仿宋_GB2312" w:cs="仿宋_GB2312"/>
          <w:sz w:val="32"/>
          <w:szCs w:val="32"/>
        </w:rPr>
        <w:t>:安全监管是党领导群众的基本方略，安全监管是依法治国的基层具体实践。提高群众安全意识，时刻保护自己的人身财产安全，确保辖区的安全稳定和谐。</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zh-CN"/>
        </w:rPr>
        <w:t>3．</w:t>
      </w:r>
      <w:r>
        <w:rPr>
          <w:rFonts w:hint="eastAsia" w:ascii="仿宋_GB2312" w:hAnsi="仿宋_GB2312" w:eastAsia="仿宋_GB2312" w:cs="仿宋_GB2312"/>
          <w:sz w:val="32"/>
          <w:szCs w:val="32"/>
        </w:rPr>
        <w:t>资金分配情况（资金分配管理的科学合理性）：该项目全年预算数2.5万元.</w:t>
      </w:r>
    </w:p>
    <w:p>
      <w:pPr>
        <w:spacing w:line="580" w:lineRule="exact"/>
        <w:ind w:firstLine="640" w:firstLineChars="200"/>
        <w:rPr>
          <w:rFonts w:ascii="仿宋_GB2312" w:hAnsi="仿宋_GB2312" w:eastAsia="仿宋_GB2312" w:cs="仿宋_GB2312"/>
          <w:sz w:val="32"/>
          <w:szCs w:val="32"/>
        </w:rPr>
      </w:pPr>
      <w:r>
        <w:rPr>
          <w:rFonts w:hint="eastAsia" w:ascii="仿宋_GB2312" w:hAnsi="宋体" w:eastAsia="仿宋_GB2312"/>
          <w:sz w:val="32"/>
          <w:szCs w:val="32"/>
          <w:lang w:val="zh-CN"/>
        </w:rPr>
        <w:t>4．资金分配的原则及考虑因素</w:t>
      </w:r>
      <w:r>
        <w:rPr>
          <w:rFonts w:hint="eastAsia" w:ascii="仿宋_GB2312" w:hAnsi="宋体" w:eastAsia="仿宋_GB2312"/>
          <w:sz w:val="32"/>
          <w:szCs w:val="32"/>
        </w:rPr>
        <w:t>:主要用于</w:t>
      </w:r>
      <w:r>
        <w:rPr>
          <w:rFonts w:hint="eastAsia" w:ascii="仿宋_GB2312" w:hAnsi="仿宋_GB2312" w:eastAsia="仿宋_GB2312" w:cs="仿宋_GB2312"/>
          <w:sz w:val="32"/>
          <w:szCs w:val="32"/>
        </w:rPr>
        <w:t>安全宣传标示标牌的制作和安装，以及安全检查。</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（二）项目绩效目标。</w:t>
      </w:r>
    </w:p>
    <w:p>
      <w:pPr>
        <w:spacing w:line="580" w:lineRule="exact"/>
        <w:ind w:firstLine="640" w:firstLineChars="200"/>
        <w:rPr>
          <w:rFonts w:ascii="仿宋" w:hAnsi="仿宋" w:eastAsia="仿宋" w:cs="仿宋_GB2312"/>
          <w:sz w:val="32"/>
          <w:szCs w:val="32"/>
        </w:rPr>
      </w:pPr>
      <w:r>
        <w:rPr>
          <w:rFonts w:hint="eastAsia" w:ascii="仿宋_GB2312" w:hAnsi="宋体" w:eastAsia="仿宋_GB2312"/>
          <w:sz w:val="32"/>
          <w:szCs w:val="32"/>
          <w:lang w:val="zh-CN"/>
        </w:rPr>
        <w:t>1．项目主要内容。检查全乡的安全生产，宣传安全防范意思，增强群众安全意识。</w:t>
      </w:r>
    </w:p>
    <w:p>
      <w:pPr>
        <w:spacing w:line="580" w:lineRule="exact"/>
        <w:ind w:firstLine="640" w:firstLineChars="200"/>
        <w:rPr>
          <w:rFonts w:ascii="仿宋" w:hAnsi="仿宋" w:eastAsia="仿宋" w:cs="仿宋_GB2312"/>
          <w:sz w:val="32"/>
          <w:szCs w:val="32"/>
        </w:rPr>
      </w:pPr>
      <w:r>
        <w:rPr>
          <w:rFonts w:hint="eastAsia" w:ascii="仿宋_GB2312" w:hAnsi="宋体" w:eastAsia="仿宋_GB2312"/>
          <w:sz w:val="32"/>
          <w:szCs w:val="32"/>
          <w:lang w:val="zh-CN"/>
        </w:rPr>
        <w:t>2．项目目标完成情况：提高群众安全意识，时刻保护自己的人身财产安全，确保辖区的安全稳定和谐。</w:t>
      </w:r>
    </w:p>
    <w:p>
      <w:pPr>
        <w:adjustRightInd w:val="0"/>
        <w:snapToGrid w:val="0"/>
        <w:spacing w:line="600"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3．分析评价申报内容与实际相符，申报目标可行高。</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（三）项目自评步骤及方法。</w:t>
      </w:r>
    </w:p>
    <w:p>
      <w:pPr>
        <w:adjustRightInd w:val="0"/>
        <w:snapToGrid w:val="0"/>
        <w:spacing w:line="600"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支付凭证资料查阅，相关资料翻阅，安全相关工作的控制率。</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二、项目资金申报及使用情况</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（一）项目资金申报及批复情况。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说明项目资金申报由年初预算统一向区财政申报，由区政府统一上报区人代会进行批复。</w:t>
      </w: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b/>
          <w:sz w:val="32"/>
          <w:szCs w:val="32"/>
          <w:lang w:val="zh-CN"/>
        </w:rPr>
        <w:t>（二）资金计划、到位及使用情况（可用表格形式反映）。</w:t>
      </w:r>
    </w:p>
    <w:p>
      <w:pPr>
        <w:adjustRightInd w:val="0"/>
        <w:snapToGrid w:val="0"/>
        <w:spacing w:line="600" w:lineRule="exact"/>
        <w:ind w:firstLine="720"/>
        <w:rPr>
          <w:rFonts w:ascii="仿宋_GB2312" w:hAnsi="宋体" w:eastAsia="仿宋_GB2312"/>
          <w:sz w:val="32"/>
          <w:szCs w:val="32"/>
        </w:rPr>
      </w:pPr>
      <w:r>
        <w:rPr>
          <w:rFonts w:hint="eastAsia" w:ascii="仿宋_GB2312" w:hAnsi="宋体" w:eastAsia="仿宋_GB2312"/>
          <w:sz w:val="32"/>
          <w:szCs w:val="32"/>
          <w:lang w:val="zh-CN"/>
        </w:rPr>
        <w:t>1．资金计划。该项目由区财政统一年初预算</w:t>
      </w:r>
      <w:r>
        <w:rPr>
          <w:rFonts w:hint="eastAsia" w:ascii="仿宋_GB2312" w:hAnsi="宋体" w:eastAsia="仿宋_GB2312"/>
          <w:sz w:val="32"/>
          <w:szCs w:val="32"/>
        </w:rPr>
        <w:t xml:space="preserve">3万元。  </w:t>
      </w:r>
    </w:p>
    <w:p>
      <w:pPr>
        <w:adjustRightInd w:val="0"/>
        <w:snapToGrid w:val="0"/>
        <w:spacing w:line="600" w:lineRule="exact"/>
        <w:ind w:firstLine="720"/>
        <w:rPr>
          <w:rFonts w:ascii="仿宋_GB2312" w:hAnsi="宋体" w:eastAsia="仿宋_GB2312"/>
          <w:sz w:val="32"/>
          <w:szCs w:val="32"/>
        </w:rPr>
      </w:pPr>
      <w:r>
        <w:rPr>
          <w:rFonts w:hint="eastAsia" w:ascii="仿宋_GB2312" w:hAnsi="宋体" w:eastAsia="仿宋_GB2312"/>
          <w:sz w:val="32"/>
          <w:szCs w:val="32"/>
          <w:lang w:val="zh-CN"/>
        </w:rPr>
        <w:t>2．资金到位情况：该项目财政预算</w:t>
      </w:r>
      <w:r>
        <w:rPr>
          <w:rFonts w:hint="eastAsia" w:ascii="仿宋_GB2312" w:hAnsi="宋体" w:eastAsia="仿宋_GB2312"/>
          <w:sz w:val="32"/>
          <w:szCs w:val="32"/>
        </w:rPr>
        <w:t>3万元全部到位。</w:t>
      </w:r>
    </w:p>
    <w:p>
      <w:pPr>
        <w:adjustRightInd w:val="0"/>
        <w:snapToGrid w:val="0"/>
        <w:spacing w:line="600" w:lineRule="exact"/>
        <w:ind w:firstLine="720"/>
        <w:rPr>
          <w:rFonts w:ascii="仿宋_GB2312" w:hAnsi="仿宋_GB2312" w:eastAsia="仿宋_GB2312" w:cs="仿宋_GB2312"/>
          <w:sz w:val="32"/>
          <w:szCs w:val="32"/>
        </w:rPr>
      </w:pPr>
      <w:r>
        <w:rPr>
          <w:rFonts w:hint="eastAsia" w:ascii="仿宋_GB2312" w:hAnsi="宋体" w:eastAsia="仿宋_GB2312"/>
          <w:sz w:val="32"/>
          <w:szCs w:val="32"/>
          <w:lang w:val="zh-CN"/>
        </w:rPr>
        <w:t>3．资金使用：</w:t>
      </w:r>
      <w:r>
        <w:rPr>
          <w:rFonts w:hint="eastAsia" w:ascii="仿宋_GB2312" w:hAnsi="仿宋_GB2312" w:eastAsia="仿宋_GB2312" w:cs="仿宋_GB2312"/>
          <w:sz w:val="32"/>
          <w:szCs w:val="32"/>
        </w:rPr>
        <w:t>执行数为3万元，完成预算的100%。</w:t>
      </w:r>
    </w:p>
    <w:p>
      <w:pPr>
        <w:adjustRightInd w:val="0"/>
        <w:snapToGrid w:val="0"/>
        <w:spacing w:line="600" w:lineRule="exact"/>
        <w:ind w:firstLine="720"/>
        <w:rPr>
          <w:rFonts w:ascii="仿宋_GB2312" w:hAnsi="宋体" w:eastAsia="仿宋_GB2312"/>
          <w:sz w:val="32"/>
          <w:szCs w:val="32"/>
          <w:lang w:val="zh-CN"/>
        </w:rPr>
      </w:pPr>
      <w:r>
        <w:rPr>
          <w:rFonts w:hint="eastAsia" w:ascii="黑体" w:hAnsi="宋体" w:eastAsia="黑体"/>
          <w:sz w:val="32"/>
          <w:szCs w:val="32"/>
        </w:rPr>
        <w:t>三、项目绩效情况</w:t>
      </w:r>
      <w:r>
        <w:rPr>
          <w:rFonts w:hint="eastAsia" w:ascii="仿宋_GB2312" w:hAnsi="宋体" w:eastAsia="仿宋_GB2312"/>
          <w:sz w:val="32"/>
          <w:szCs w:val="32"/>
          <w:lang w:val="zh-CN"/>
        </w:rPr>
        <w:tab/>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（一）项目完成情况。</w:t>
      </w:r>
    </w:p>
    <w:p>
      <w:pPr>
        <w:spacing w:line="580" w:lineRule="exact"/>
        <w:ind w:firstLine="640" w:firstLineChars="200"/>
        <w:rPr>
          <w:rFonts w:ascii="仿宋_GB2312" w:hAnsi="仿宋_GB2312" w:cs="仿宋_GB2312"/>
          <w:sz w:val="32"/>
          <w:szCs w:val="32"/>
        </w:rPr>
      </w:pPr>
      <w:r>
        <w:rPr>
          <w:rFonts w:hint="eastAsia" w:ascii="仿宋_GB2312" w:hAnsi="仿宋_GB2312" w:eastAsia="仿宋_GB2312" w:cs="仿宋_GB2312"/>
          <w:sz w:val="32"/>
          <w:szCs w:val="32"/>
        </w:rPr>
        <w:t>该项目实施较好，全年预算数2.5万元，执行数为2.5万元，完成预算的100%。</w:t>
      </w:r>
    </w:p>
    <w:p>
      <w:pPr>
        <w:adjustRightInd w:val="0"/>
        <w:snapToGrid w:val="0"/>
        <w:spacing w:line="600" w:lineRule="exact"/>
        <w:ind w:firstLine="642" w:firstLineChars="200"/>
        <w:rPr>
          <w:rFonts w:ascii="楷体_GB2312" w:hAnsi="宋体" w:eastAsia="楷体_GB2312"/>
          <w:b/>
          <w:sz w:val="32"/>
          <w:szCs w:val="32"/>
          <w:lang w:val="zh-CN"/>
        </w:rPr>
      </w:pPr>
      <w:r>
        <w:rPr>
          <w:rFonts w:hint="eastAsia" w:ascii="楷体_GB2312" w:hAnsi="宋体" w:eastAsia="楷体_GB2312"/>
          <w:b/>
          <w:sz w:val="32"/>
          <w:szCs w:val="32"/>
          <w:lang w:val="zh-CN"/>
        </w:rPr>
        <w:t>（二）项目效益情况。</w:t>
      </w:r>
    </w:p>
    <w:p>
      <w:pPr>
        <w:spacing w:line="580" w:lineRule="exact"/>
        <w:ind w:firstLine="640" w:firstLineChars="200"/>
        <w:rPr>
          <w:rFonts w:ascii="仿宋" w:hAnsi="仿宋" w:eastAsia="仿宋" w:cs="仿宋_GB2312"/>
          <w:sz w:val="32"/>
          <w:szCs w:val="32"/>
          <w:lang w:val="zh-CN"/>
        </w:rPr>
      </w:pPr>
      <w:r>
        <w:rPr>
          <w:rFonts w:hint="eastAsia" w:ascii="仿宋_GB2312" w:hAnsi="仿宋_GB2312" w:eastAsia="仿宋_GB2312" w:cs="仿宋_GB2312"/>
          <w:sz w:val="32"/>
          <w:szCs w:val="32"/>
        </w:rPr>
        <w:t>经济效益：提高群众安全意识，时刻保护自己的人身财产安全，确保辖区的安全稳定和谐，确保群众满意度100%。</w:t>
      </w:r>
    </w:p>
    <w:p>
      <w:pPr>
        <w:spacing w:line="580" w:lineRule="exact"/>
        <w:ind w:firstLine="640" w:firstLineChars="200"/>
        <w:rPr>
          <w:rFonts w:ascii="仿宋" w:hAnsi="仿宋" w:eastAsia="仿宋" w:cs="仿宋_GB2312"/>
          <w:sz w:val="32"/>
          <w:szCs w:val="32"/>
        </w:rPr>
      </w:pPr>
      <w:r>
        <w:rPr>
          <w:rFonts w:hint="eastAsia" w:ascii="黑体" w:hAnsi="宋体" w:eastAsia="黑体"/>
          <w:sz w:val="32"/>
          <w:szCs w:val="32"/>
          <w:lang w:val="zh-CN"/>
        </w:rPr>
        <w:t>四、存在主要问题：</w:t>
      </w:r>
      <w:r>
        <w:rPr>
          <w:rFonts w:hint="eastAsia" w:ascii="仿宋_GB2312" w:hAnsi="仿宋_GB2312" w:eastAsia="仿宋_GB2312" w:cs="仿宋_GB2312"/>
          <w:sz w:val="32"/>
          <w:szCs w:val="32"/>
        </w:rPr>
        <w:t>群众对安全意识依然不足。</w:t>
      </w:r>
      <w:r>
        <w:rPr>
          <w:rFonts w:hint="eastAsia" w:ascii="仿宋_GB2312" w:hAnsi="仿宋_GB2312" w:cs="仿宋_GB2312"/>
          <w:sz w:val="32"/>
          <w:szCs w:val="32"/>
        </w:rPr>
        <w:t>。</w:t>
      </w:r>
    </w:p>
    <w:p>
      <w:pPr>
        <w:spacing w:line="580" w:lineRule="exact"/>
        <w:ind w:firstLine="640" w:firstLineChars="200"/>
        <w:rPr>
          <w:rStyle w:val="24"/>
          <w:rFonts w:ascii="仿宋" w:hAnsi="仿宋" w:eastAsia="仿宋"/>
          <w:b w:val="0"/>
          <w:bCs w:val="0"/>
          <w:sz w:val="32"/>
          <w:szCs w:val="32"/>
        </w:rPr>
      </w:pPr>
      <w:r>
        <w:rPr>
          <w:rFonts w:hint="eastAsia" w:ascii="黑体" w:hAnsi="宋体" w:eastAsia="黑体"/>
          <w:sz w:val="32"/>
          <w:szCs w:val="32"/>
          <w:lang w:val="zh-CN"/>
        </w:rPr>
        <w:t>五、相关措施建议：</w:t>
      </w:r>
      <w:r>
        <w:rPr>
          <w:rFonts w:hint="eastAsia" w:ascii="仿宋_GB2312" w:hAnsi="仿宋_GB2312" w:eastAsia="仿宋_GB2312" w:cs="仿宋_GB2312"/>
          <w:sz w:val="32"/>
          <w:szCs w:val="32"/>
        </w:rPr>
        <w:t>加强安全宣传，提高群众安全意识。</w:t>
      </w:r>
    </w:p>
    <w:p>
      <w:pPr>
        <w:spacing w:line="580" w:lineRule="exact"/>
        <w:rPr>
          <w:rFonts w:ascii="仿宋_GB2312" w:hAnsi="仿宋_GB2312" w:eastAsia="仿宋_GB2312" w:cs="仿宋_GB2312"/>
          <w:sz w:val="32"/>
          <w:szCs w:val="32"/>
        </w:rPr>
      </w:pPr>
    </w:p>
    <w:p>
      <w:pPr>
        <w:widowControl/>
        <w:jc w:val="left"/>
        <w:rPr>
          <w:rStyle w:val="24"/>
          <w:rFonts w:ascii="黑体" w:hAnsi="黑体" w:eastAsia="黑体"/>
          <w:b w:val="0"/>
        </w:rPr>
      </w:pPr>
      <w:r>
        <w:rPr>
          <w:rStyle w:val="24"/>
          <w:rFonts w:ascii="黑体" w:hAnsi="黑体" w:eastAsia="黑体"/>
          <w:b w:val="0"/>
        </w:rPr>
        <w:br w:type="page"/>
      </w:r>
    </w:p>
    <w:p>
      <w:pPr>
        <w:spacing w:line="600" w:lineRule="exact"/>
        <w:jc w:val="center"/>
        <w:outlineLvl w:val="0"/>
        <w:rPr>
          <w:rStyle w:val="24"/>
          <w:rFonts w:ascii="黑体" w:hAnsi="黑体" w:eastAsia="黑体"/>
          <w:b w:val="0"/>
        </w:rPr>
      </w:pPr>
    </w:p>
    <w:p>
      <w:pPr>
        <w:spacing w:line="600" w:lineRule="exact"/>
        <w:jc w:val="center"/>
        <w:outlineLvl w:val="0"/>
        <w:rPr>
          <w:rStyle w:val="24"/>
          <w:rFonts w:ascii="黑体" w:hAnsi="黑体" w:eastAsia="黑体"/>
          <w:b w:val="0"/>
        </w:rPr>
      </w:pPr>
      <w:bookmarkStart w:id="56" w:name="_Toc15396618"/>
      <w:r>
        <w:rPr>
          <w:rFonts w:hint="eastAsia" w:ascii="黑体" w:hAnsi="黑体" w:eastAsia="黑体"/>
          <w:color w:val="000000"/>
          <w:sz w:val="44"/>
          <w:szCs w:val="44"/>
        </w:rPr>
        <w:t>第</w:t>
      </w:r>
      <w:r>
        <w:rPr>
          <w:rStyle w:val="24"/>
          <w:rFonts w:hint="eastAsia" w:ascii="黑体" w:hAnsi="黑体" w:eastAsia="黑体"/>
          <w:b w:val="0"/>
        </w:rPr>
        <w:t>五部分 附表</w:t>
      </w:r>
      <w:bookmarkEnd w:id="54"/>
      <w:bookmarkEnd w:id="56"/>
    </w:p>
    <w:p>
      <w:pPr>
        <w:spacing w:line="600" w:lineRule="exact"/>
        <w:jc w:val="center"/>
        <w:outlineLvl w:val="0"/>
        <w:rPr>
          <w:rFonts w:ascii="仿宋" w:hAnsi="仿宋" w:eastAsia="仿宋"/>
          <w:b/>
          <w:color w:val="000000"/>
          <w:sz w:val="44"/>
          <w:szCs w:val="44"/>
        </w:rPr>
      </w:pPr>
    </w:p>
    <w:p>
      <w:pPr>
        <w:pStyle w:val="4"/>
        <w:rPr>
          <w:rFonts w:ascii="仿宋" w:hAnsi="仿宋" w:eastAsia="仿宋"/>
          <w:color w:val="000000"/>
        </w:rPr>
      </w:pPr>
      <w:bookmarkStart w:id="57" w:name="_Toc15396619"/>
      <w:r>
        <w:rPr>
          <w:rFonts w:hint="eastAsia" w:ascii="仿宋" w:hAnsi="仿宋" w:eastAsia="仿宋"/>
          <w:b w:val="0"/>
          <w:color w:val="000000"/>
        </w:rPr>
        <w:t>一、收</w:t>
      </w:r>
      <w:r>
        <w:rPr>
          <w:rStyle w:val="25"/>
          <w:rFonts w:hint="eastAsia" w:ascii="仿宋" w:hAnsi="仿宋" w:eastAsia="仿宋"/>
          <w:b w:val="0"/>
          <w:bCs w:val="0"/>
        </w:rPr>
        <w:t>入支出决算总表</w:t>
      </w:r>
      <w:bookmarkEnd w:id="57"/>
    </w:p>
    <w:p>
      <w:pPr>
        <w:pStyle w:val="4"/>
        <w:rPr>
          <w:rFonts w:ascii="仿宋" w:hAnsi="仿宋" w:eastAsia="仿宋"/>
          <w:color w:val="000000"/>
        </w:rPr>
      </w:pPr>
      <w:bookmarkStart w:id="58" w:name="_Toc15396620"/>
      <w:r>
        <w:rPr>
          <w:rFonts w:hint="eastAsia" w:ascii="仿宋" w:hAnsi="仿宋" w:eastAsia="仿宋"/>
          <w:b w:val="0"/>
          <w:color w:val="000000"/>
        </w:rPr>
        <w:t>二、收</w:t>
      </w:r>
      <w:r>
        <w:rPr>
          <w:rStyle w:val="25"/>
          <w:rFonts w:hint="eastAsia" w:ascii="仿宋" w:hAnsi="仿宋" w:eastAsia="仿宋"/>
          <w:b w:val="0"/>
          <w:bCs w:val="0"/>
        </w:rPr>
        <w:t>入决算表</w:t>
      </w:r>
      <w:bookmarkEnd w:id="58"/>
    </w:p>
    <w:p>
      <w:pPr>
        <w:pStyle w:val="4"/>
        <w:rPr>
          <w:rFonts w:ascii="仿宋" w:hAnsi="仿宋" w:eastAsia="仿宋"/>
          <w:color w:val="000000"/>
        </w:rPr>
      </w:pPr>
      <w:bookmarkStart w:id="59" w:name="_Toc15396621"/>
      <w:r>
        <w:rPr>
          <w:rStyle w:val="25"/>
          <w:rFonts w:hint="eastAsia" w:ascii="仿宋" w:hAnsi="仿宋" w:eastAsia="仿宋"/>
          <w:b w:val="0"/>
          <w:bCs w:val="0"/>
        </w:rPr>
        <w:t>三、</w:t>
      </w:r>
      <w:r>
        <w:rPr>
          <w:rFonts w:hint="eastAsia" w:ascii="仿宋" w:hAnsi="仿宋" w:eastAsia="仿宋"/>
          <w:b w:val="0"/>
          <w:color w:val="000000"/>
        </w:rPr>
        <w:t>支</w:t>
      </w:r>
      <w:r>
        <w:rPr>
          <w:rStyle w:val="25"/>
          <w:rFonts w:hint="eastAsia" w:ascii="仿宋" w:hAnsi="仿宋" w:eastAsia="仿宋"/>
          <w:b w:val="0"/>
          <w:bCs w:val="0"/>
        </w:rPr>
        <w:t>出决算表</w:t>
      </w:r>
      <w:bookmarkEnd w:id="59"/>
    </w:p>
    <w:p>
      <w:pPr>
        <w:pStyle w:val="4"/>
        <w:rPr>
          <w:rFonts w:ascii="仿宋" w:hAnsi="仿宋" w:eastAsia="仿宋"/>
          <w:b w:val="0"/>
          <w:color w:val="000000"/>
        </w:rPr>
      </w:pPr>
      <w:bookmarkStart w:id="60" w:name="_Toc15396622"/>
      <w:r>
        <w:rPr>
          <w:rStyle w:val="25"/>
          <w:rFonts w:hint="eastAsia" w:ascii="仿宋" w:hAnsi="仿宋" w:eastAsia="仿宋"/>
          <w:b w:val="0"/>
          <w:bCs w:val="0"/>
        </w:rPr>
        <w:t>四、</w:t>
      </w:r>
      <w:r>
        <w:rPr>
          <w:rFonts w:hint="eastAsia" w:ascii="仿宋" w:hAnsi="仿宋" w:eastAsia="仿宋"/>
          <w:b w:val="0"/>
          <w:color w:val="000000"/>
        </w:rPr>
        <w:t>财</w:t>
      </w:r>
      <w:r>
        <w:rPr>
          <w:rStyle w:val="25"/>
          <w:rFonts w:hint="eastAsia" w:ascii="仿宋" w:hAnsi="仿宋" w:eastAsia="仿宋"/>
          <w:b w:val="0"/>
          <w:bCs w:val="0"/>
        </w:rPr>
        <w:t>政拨款收入支出决算总表</w:t>
      </w:r>
      <w:bookmarkEnd w:id="60"/>
    </w:p>
    <w:p>
      <w:pPr>
        <w:pStyle w:val="4"/>
        <w:rPr>
          <w:rStyle w:val="25"/>
          <w:rFonts w:ascii="仿宋" w:hAnsi="仿宋" w:eastAsia="仿宋"/>
          <w:b w:val="0"/>
          <w:bCs w:val="0"/>
        </w:rPr>
      </w:pPr>
      <w:bookmarkStart w:id="61" w:name="_Toc15396623"/>
      <w:r>
        <w:rPr>
          <w:rStyle w:val="25"/>
          <w:rFonts w:hint="eastAsia" w:ascii="仿宋" w:hAnsi="仿宋" w:eastAsia="仿宋"/>
          <w:b w:val="0"/>
          <w:bCs w:val="0"/>
        </w:rPr>
        <w:t>五、</w:t>
      </w:r>
      <w:r>
        <w:rPr>
          <w:rFonts w:hint="eastAsia" w:ascii="仿宋" w:hAnsi="仿宋" w:eastAsia="仿宋"/>
          <w:b w:val="0"/>
          <w:color w:val="000000"/>
        </w:rPr>
        <w:t>财</w:t>
      </w:r>
      <w:r>
        <w:rPr>
          <w:rStyle w:val="25"/>
          <w:rFonts w:hint="eastAsia" w:ascii="仿宋" w:hAnsi="仿宋" w:eastAsia="仿宋"/>
          <w:b w:val="0"/>
          <w:bCs w:val="0"/>
        </w:rPr>
        <w:t>政拨款支出决算明细表</w:t>
      </w:r>
      <w:bookmarkEnd w:id="61"/>
      <w:bookmarkStart w:id="62" w:name="_Toc15396624"/>
    </w:p>
    <w:p>
      <w:pPr>
        <w:pStyle w:val="4"/>
        <w:rPr>
          <w:rFonts w:ascii="仿宋" w:hAnsi="仿宋" w:eastAsia="仿宋"/>
          <w:color w:val="000000"/>
        </w:rPr>
      </w:pPr>
      <w:r>
        <w:rPr>
          <w:rStyle w:val="25"/>
          <w:rFonts w:hint="eastAsia" w:ascii="仿宋" w:hAnsi="仿宋" w:eastAsia="仿宋"/>
          <w:b w:val="0"/>
          <w:bCs w:val="0"/>
        </w:rPr>
        <w:t>六、</w:t>
      </w:r>
      <w:r>
        <w:rPr>
          <w:rFonts w:hint="eastAsia" w:ascii="仿宋" w:hAnsi="仿宋" w:eastAsia="仿宋"/>
          <w:b w:val="0"/>
          <w:color w:val="000000"/>
        </w:rPr>
        <w:t>一</w:t>
      </w:r>
      <w:r>
        <w:rPr>
          <w:rStyle w:val="25"/>
          <w:rFonts w:hint="eastAsia" w:ascii="仿宋" w:hAnsi="仿宋" w:eastAsia="仿宋"/>
          <w:b w:val="0"/>
          <w:bCs w:val="0"/>
        </w:rPr>
        <w:t>般公共预算财政拨款支出决算表</w:t>
      </w:r>
      <w:bookmarkEnd w:id="62"/>
    </w:p>
    <w:p>
      <w:pPr>
        <w:pStyle w:val="4"/>
        <w:rPr>
          <w:rFonts w:ascii="仿宋" w:hAnsi="仿宋" w:eastAsia="仿宋"/>
          <w:color w:val="000000"/>
        </w:rPr>
      </w:pPr>
      <w:bookmarkStart w:id="63" w:name="_Toc15396625"/>
      <w:r>
        <w:rPr>
          <w:rStyle w:val="25"/>
          <w:rFonts w:hint="eastAsia" w:ascii="仿宋" w:hAnsi="仿宋" w:eastAsia="仿宋"/>
          <w:b w:val="0"/>
          <w:bCs w:val="0"/>
        </w:rPr>
        <w:t>七、</w:t>
      </w:r>
      <w:r>
        <w:rPr>
          <w:rFonts w:hint="eastAsia" w:ascii="仿宋" w:hAnsi="仿宋" w:eastAsia="仿宋"/>
          <w:b w:val="0"/>
          <w:color w:val="000000"/>
        </w:rPr>
        <w:t>一</w:t>
      </w:r>
      <w:r>
        <w:rPr>
          <w:rStyle w:val="25"/>
          <w:rFonts w:hint="eastAsia" w:ascii="仿宋" w:hAnsi="仿宋" w:eastAsia="仿宋"/>
          <w:b w:val="0"/>
          <w:bCs w:val="0"/>
        </w:rPr>
        <w:t>般公共预算财政拨款支出决算明细表</w:t>
      </w:r>
      <w:bookmarkEnd w:id="63"/>
    </w:p>
    <w:p>
      <w:pPr>
        <w:pStyle w:val="4"/>
        <w:rPr>
          <w:rFonts w:ascii="仿宋" w:hAnsi="仿宋" w:eastAsia="仿宋"/>
          <w:color w:val="000000"/>
        </w:rPr>
      </w:pPr>
      <w:bookmarkStart w:id="64" w:name="_Toc15396626"/>
      <w:r>
        <w:rPr>
          <w:rStyle w:val="25"/>
          <w:rFonts w:hint="eastAsia" w:ascii="仿宋" w:hAnsi="仿宋" w:eastAsia="仿宋"/>
          <w:b w:val="0"/>
          <w:bCs w:val="0"/>
        </w:rPr>
        <w:t>八、</w:t>
      </w:r>
      <w:r>
        <w:rPr>
          <w:rFonts w:hint="eastAsia" w:ascii="仿宋" w:hAnsi="仿宋" w:eastAsia="仿宋"/>
          <w:b w:val="0"/>
          <w:color w:val="000000"/>
        </w:rPr>
        <w:t>一</w:t>
      </w:r>
      <w:r>
        <w:rPr>
          <w:rStyle w:val="25"/>
          <w:rFonts w:hint="eastAsia" w:ascii="仿宋" w:hAnsi="仿宋" w:eastAsia="仿宋"/>
          <w:b w:val="0"/>
          <w:bCs w:val="0"/>
        </w:rPr>
        <w:t>般公共预算财政拨款基本支出决算表</w:t>
      </w:r>
      <w:bookmarkEnd w:id="64"/>
    </w:p>
    <w:p>
      <w:pPr>
        <w:pStyle w:val="4"/>
        <w:rPr>
          <w:rFonts w:ascii="仿宋" w:hAnsi="仿宋" w:eastAsia="仿宋"/>
          <w:color w:val="000000"/>
        </w:rPr>
      </w:pPr>
      <w:bookmarkStart w:id="65" w:name="_Toc15396627"/>
      <w:r>
        <w:rPr>
          <w:rStyle w:val="25"/>
          <w:rFonts w:hint="eastAsia" w:ascii="仿宋" w:hAnsi="仿宋" w:eastAsia="仿宋"/>
          <w:b w:val="0"/>
          <w:bCs w:val="0"/>
        </w:rPr>
        <w:t>九、</w:t>
      </w:r>
      <w:r>
        <w:rPr>
          <w:rFonts w:hint="eastAsia" w:ascii="仿宋" w:hAnsi="仿宋" w:eastAsia="仿宋"/>
          <w:b w:val="0"/>
          <w:color w:val="000000"/>
        </w:rPr>
        <w:t>一</w:t>
      </w:r>
      <w:r>
        <w:rPr>
          <w:rStyle w:val="25"/>
          <w:rFonts w:hint="eastAsia" w:ascii="仿宋" w:hAnsi="仿宋" w:eastAsia="仿宋"/>
          <w:b w:val="0"/>
          <w:bCs w:val="0"/>
        </w:rPr>
        <w:t>般公共预算财政拨款项目支出决算表</w:t>
      </w:r>
      <w:bookmarkEnd w:id="65"/>
    </w:p>
    <w:p>
      <w:pPr>
        <w:pStyle w:val="4"/>
        <w:rPr>
          <w:rFonts w:ascii="仿宋" w:hAnsi="仿宋" w:eastAsia="仿宋"/>
          <w:color w:val="000000"/>
        </w:rPr>
      </w:pPr>
      <w:bookmarkStart w:id="66" w:name="_Toc15396628"/>
      <w:r>
        <w:rPr>
          <w:rStyle w:val="25"/>
          <w:rFonts w:hint="eastAsia" w:ascii="仿宋" w:hAnsi="仿宋" w:eastAsia="仿宋"/>
          <w:b w:val="0"/>
          <w:bCs w:val="0"/>
        </w:rPr>
        <w:t>十、</w:t>
      </w:r>
      <w:r>
        <w:rPr>
          <w:rFonts w:hint="eastAsia" w:ascii="仿宋" w:hAnsi="仿宋" w:eastAsia="仿宋"/>
          <w:b w:val="0"/>
          <w:color w:val="000000"/>
        </w:rPr>
        <w:t>一</w:t>
      </w:r>
      <w:r>
        <w:rPr>
          <w:rStyle w:val="25"/>
          <w:rFonts w:hint="eastAsia" w:ascii="仿宋" w:hAnsi="仿宋" w:eastAsia="仿宋"/>
          <w:b w:val="0"/>
          <w:bCs w:val="0"/>
        </w:rPr>
        <w:t>般公共预算财政拨款“三公”经费支出决算表</w:t>
      </w:r>
      <w:bookmarkEnd w:id="66"/>
    </w:p>
    <w:p>
      <w:pPr>
        <w:pStyle w:val="4"/>
        <w:rPr>
          <w:rFonts w:ascii="仿宋" w:hAnsi="仿宋" w:eastAsia="仿宋"/>
          <w:color w:val="000000"/>
        </w:rPr>
      </w:pPr>
      <w:bookmarkStart w:id="67" w:name="_Toc15396629"/>
      <w:r>
        <w:rPr>
          <w:rStyle w:val="25"/>
          <w:rFonts w:hint="eastAsia" w:ascii="仿宋" w:hAnsi="仿宋" w:eastAsia="仿宋"/>
          <w:b w:val="0"/>
          <w:bCs w:val="0"/>
        </w:rPr>
        <w:t>十一、</w:t>
      </w:r>
      <w:r>
        <w:rPr>
          <w:rFonts w:hint="eastAsia" w:ascii="仿宋" w:hAnsi="仿宋" w:eastAsia="仿宋"/>
          <w:b w:val="0"/>
          <w:color w:val="000000"/>
        </w:rPr>
        <w:t>政</w:t>
      </w:r>
      <w:r>
        <w:rPr>
          <w:rStyle w:val="25"/>
          <w:rFonts w:hint="eastAsia" w:ascii="仿宋" w:hAnsi="仿宋" w:eastAsia="仿宋"/>
          <w:b w:val="0"/>
          <w:bCs w:val="0"/>
        </w:rPr>
        <w:t>府性基金预算财政拨款收入支出决算表</w:t>
      </w:r>
      <w:bookmarkEnd w:id="67"/>
    </w:p>
    <w:p>
      <w:pPr>
        <w:pStyle w:val="4"/>
        <w:rPr>
          <w:rFonts w:ascii="仿宋" w:hAnsi="仿宋" w:eastAsia="仿宋"/>
          <w:color w:val="000000"/>
        </w:rPr>
      </w:pPr>
      <w:bookmarkStart w:id="68" w:name="_Toc15396630"/>
      <w:r>
        <w:rPr>
          <w:rStyle w:val="25"/>
          <w:rFonts w:hint="eastAsia" w:ascii="仿宋" w:hAnsi="仿宋" w:eastAsia="仿宋"/>
          <w:b w:val="0"/>
          <w:bCs w:val="0"/>
        </w:rPr>
        <w:t>十二、</w:t>
      </w:r>
      <w:r>
        <w:rPr>
          <w:rFonts w:hint="eastAsia" w:ascii="仿宋" w:hAnsi="仿宋" w:eastAsia="仿宋"/>
          <w:b w:val="0"/>
          <w:color w:val="000000"/>
        </w:rPr>
        <w:t>政</w:t>
      </w:r>
      <w:r>
        <w:rPr>
          <w:rStyle w:val="25"/>
          <w:rFonts w:hint="eastAsia" w:ascii="仿宋" w:hAnsi="仿宋" w:eastAsia="仿宋"/>
          <w:b w:val="0"/>
          <w:bCs w:val="0"/>
        </w:rPr>
        <w:t>府性基金预算财政拨款“三公”经费支出决算表</w:t>
      </w:r>
      <w:bookmarkEnd w:id="68"/>
    </w:p>
    <w:p>
      <w:pPr>
        <w:pStyle w:val="4"/>
        <w:rPr>
          <w:rFonts w:ascii="仿宋" w:hAnsi="仿宋" w:eastAsia="仿宋"/>
          <w:color w:val="000000" w:themeColor="text1"/>
        </w:rPr>
      </w:pPr>
      <w:bookmarkStart w:id="69" w:name="_Toc15396631"/>
      <w:r>
        <w:rPr>
          <w:rStyle w:val="25"/>
          <w:rFonts w:hint="eastAsia" w:ascii="仿宋" w:hAnsi="仿宋" w:eastAsia="仿宋"/>
          <w:b w:val="0"/>
          <w:bCs w:val="0"/>
        </w:rPr>
        <w:t>十三、</w:t>
      </w:r>
      <w:r>
        <w:rPr>
          <w:rFonts w:hint="eastAsia" w:ascii="仿宋" w:hAnsi="仿宋" w:eastAsia="仿宋"/>
          <w:b w:val="0"/>
          <w:color w:val="000000"/>
        </w:rPr>
        <w:t>国</w:t>
      </w:r>
      <w:r>
        <w:rPr>
          <w:rStyle w:val="25"/>
          <w:rFonts w:hint="eastAsia" w:ascii="仿宋" w:hAnsi="仿宋" w:eastAsia="仿宋"/>
          <w:b w:val="0"/>
          <w:bCs w:val="0"/>
        </w:rPr>
        <w:t>有资本经营预算支出决算表</w:t>
      </w:r>
      <w:bookmarkEnd w:id="69"/>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Lucida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0000000" w:usb3="00000000" w:csb0="0000019F" w:csb1="00000000"/>
  </w:font>
  <w:font w:name="仿宋">
    <w:altName w:val="宋体"/>
    <w:panose1 w:val="02010609060101010101"/>
    <w:charset w:val="86"/>
    <w:family w:val="modern"/>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Lucida Sans">
    <w:panose1 w:val="020B0602030504020204"/>
    <w:charset w:val="00"/>
    <w:family w:val="auto"/>
    <w:pitch w:val="default"/>
    <w:sig w:usb0="00000000" w:usb1="00000000" w:usb2="00000000" w:usb3="00000000" w:csb0="00000000" w:csb1="00000000"/>
  </w:font>
  <w:font w:name="Comic Sans MS">
    <w:panose1 w:val="030F0702030302020204"/>
    <w:charset w:val="00"/>
    <w:family w:val="auto"/>
    <w:pitch w:val="default"/>
    <w:sig w:usb0="00000287" w:usb1="00000000" w:usb2="00000000" w:usb3="00000000" w:csb0="2000009F" w:csb1="0000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9"/>
          <w:jc w:val="center"/>
        </w:pPr>
        <w:r>
          <w:fldChar w:fldCharType="begin"/>
        </w:r>
        <w:r>
          <w:instrText xml:space="preserve">PAGE   \* MERGEFORMAT</w:instrText>
        </w:r>
        <w:r>
          <w:fldChar w:fldCharType="separate"/>
        </w:r>
        <w:r>
          <w:rPr>
            <w:lang w:val="zh-CN"/>
          </w:rPr>
          <w:t>23</w:t>
        </w:r>
        <w:r>
          <w:fldChar w:fldCharType="end"/>
        </w:r>
      </w:p>
    </w:sdtContent>
  </w:sdt>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19B0"/>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16CD4"/>
    <w:rsid w:val="004223DE"/>
    <w:rsid w:val="004328D1"/>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4F403E"/>
    <w:rsid w:val="00505A47"/>
    <w:rsid w:val="00512FDA"/>
    <w:rsid w:val="00520DA0"/>
    <w:rsid w:val="005664BB"/>
    <w:rsid w:val="00566FFA"/>
    <w:rsid w:val="0057481D"/>
    <w:rsid w:val="00575F0B"/>
    <w:rsid w:val="0058486E"/>
    <w:rsid w:val="00585B33"/>
    <w:rsid w:val="0059014D"/>
    <w:rsid w:val="005B5C64"/>
    <w:rsid w:val="005C6BD0"/>
    <w:rsid w:val="005C6C4C"/>
    <w:rsid w:val="005D1C8B"/>
    <w:rsid w:val="005D468D"/>
    <w:rsid w:val="005D5CED"/>
    <w:rsid w:val="005F1A4C"/>
    <w:rsid w:val="00605688"/>
    <w:rsid w:val="006070AF"/>
    <w:rsid w:val="00607E6C"/>
    <w:rsid w:val="006101B1"/>
    <w:rsid w:val="00614E44"/>
    <w:rsid w:val="0062270A"/>
    <w:rsid w:val="00622830"/>
    <w:rsid w:val="00623DA0"/>
    <w:rsid w:val="0062606D"/>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B3C76"/>
    <w:rsid w:val="006C1937"/>
    <w:rsid w:val="006F020C"/>
    <w:rsid w:val="007127B7"/>
    <w:rsid w:val="0071798E"/>
    <w:rsid w:val="00727533"/>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F1991"/>
    <w:rsid w:val="007F2C2F"/>
    <w:rsid w:val="007F55FC"/>
    <w:rsid w:val="007F5665"/>
    <w:rsid w:val="00800112"/>
    <w:rsid w:val="00813348"/>
    <w:rsid w:val="008253BB"/>
    <w:rsid w:val="00833962"/>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E98"/>
    <w:rsid w:val="009C37FB"/>
    <w:rsid w:val="009D3447"/>
    <w:rsid w:val="009D4711"/>
    <w:rsid w:val="009F1185"/>
    <w:rsid w:val="009F18CD"/>
    <w:rsid w:val="009F2A13"/>
    <w:rsid w:val="009F7527"/>
    <w:rsid w:val="00A039ED"/>
    <w:rsid w:val="00A04EB0"/>
    <w:rsid w:val="00A13CC1"/>
    <w:rsid w:val="00A16847"/>
    <w:rsid w:val="00A237D8"/>
    <w:rsid w:val="00A268C4"/>
    <w:rsid w:val="00A307CD"/>
    <w:rsid w:val="00A331C8"/>
    <w:rsid w:val="00A35117"/>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0F83"/>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0E69"/>
    <w:rsid w:val="00C33E72"/>
    <w:rsid w:val="00C354B2"/>
    <w:rsid w:val="00C35554"/>
    <w:rsid w:val="00C42709"/>
    <w:rsid w:val="00C533CC"/>
    <w:rsid w:val="00C5751C"/>
    <w:rsid w:val="00C61BFC"/>
    <w:rsid w:val="00C62B85"/>
    <w:rsid w:val="00C65438"/>
    <w:rsid w:val="00C91CBB"/>
    <w:rsid w:val="00CA1ECF"/>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66797"/>
    <w:rsid w:val="00E82267"/>
    <w:rsid w:val="00E853CE"/>
    <w:rsid w:val="00E867B6"/>
    <w:rsid w:val="00E87F08"/>
    <w:rsid w:val="00EA010F"/>
    <w:rsid w:val="00ED1B63"/>
    <w:rsid w:val="00ED3C1F"/>
    <w:rsid w:val="00ED4085"/>
    <w:rsid w:val="00ED420E"/>
    <w:rsid w:val="00ED681D"/>
    <w:rsid w:val="00ED6FBE"/>
    <w:rsid w:val="00EE2F57"/>
    <w:rsid w:val="00EF4C34"/>
    <w:rsid w:val="00EF77C6"/>
    <w:rsid w:val="00F05438"/>
    <w:rsid w:val="00F1361C"/>
    <w:rsid w:val="00F156F0"/>
    <w:rsid w:val="00F160C7"/>
    <w:rsid w:val="00F2341A"/>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CB43C2"/>
    <w:rsid w:val="01D2534C"/>
    <w:rsid w:val="02D60011"/>
    <w:rsid w:val="043507B5"/>
    <w:rsid w:val="05275BEF"/>
    <w:rsid w:val="05790270"/>
    <w:rsid w:val="05D26689"/>
    <w:rsid w:val="06C90987"/>
    <w:rsid w:val="079E2E13"/>
    <w:rsid w:val="087672B4"/>
    <w:rsid w:val="096F5AC0"/>
    <w:rsid w:val="09BE5410"/>
    <w:rsid w:val="0BD8593D"/>
    <w:rsid w:val="0C5516D1"/>
    <w:rsid w:val="0D3D013F"/>
    <w:rsid w:val="0D6628A1"/>
    <w:rsid w:val="0E4F2842"/>
    <w:rsid w:val="0E731D4B"/>
    <w:rsid w:val="0E752C0D"/>
    <w:rsid w:val="0E895BAC"/>
    <w:rsid w:val="0F7B1E11"/>
    <w:rsid w:val="0FD87217"/>
    <w:rsid w:val="10544E94"/>
    <w:rsid w:val="105F110C"/>
    <w:rsid w:val="10642988"/>
    <w:rsid w:val="10C055FF"/>
    <w:rsid w:val="112C3975"/>
    <w:rsid w:val="11673681"/>
    <w:rsid w:val="116A17C1"/>
    <w:rsid w:val="11735AFE"/>
    <w:rsid w:val="11904F82"/>
    <w:rsid w:val="129208C5"/>
    <w:rsid w:val="13B56B42"/>
    <w:rsid w:val="13E42FA3"/>
    <w:rsid w:val="16127B7D"/>
    <w:rsid w:val="16495C1E"/>
    <w:rsid w:val="16A347FC"/>
    <w:rsid w:val="16BB723D"/>
    <w:rsid w:val="16CA79B8"/>
    <w:rsid w:val="17B648A1"/>
    <w:rsid w:val="1840686D"/>
    <w:rsid w:val="18F74E1D"/>
    <w:rsid w:val="194106A5"/>
    <w:rsid w:val="19A57F0C"/>
    <w:rsid w:val="1A2C044D"/>
    <w:rsid w:val="1ACA6516"/>
    <w:rsid w:val="1ACD56A8"/>
    <w:rsid w:val="1B5B3720"/>
    <w:rsid w:val="1B9C31DE"/>
    <w:rsid w:val="1BAB19AA"/>
    <w:rsid w:val="1C212634"/>
    <w:rsid w:val="1C4144E8"/>
    <w:rsid w:val="1C576BE6"/>
    <w:rsid w:val="1C5E695F"/>
    <w:rsid w:val="1D236EC7"/>
    <w:rsid w:val="1DCE59B4"/>
    <w:rsid w:val="1E9B059B"/>
    <w:rsid w:val="1EAD60F2"/>
    <w:rsid w:val="20186F01"/>
    <w:rsid w:val="208C4609"/>
    <w:rsid w:val="211D1010"/>
    <w:rsid w:val="2152618C"/>
    <w:rsid w:val="2269404E"/>
    <w:rsid w:val="2269450C"/>
    <w:rsid w:val="22771127"/>
    <w:rsid w:val="240371BF"/>
    <w:rsid w:val="24556F83"/>
    <w:rsid w:val="24846552"/>
    <w:rsid w:val="25BE2038"/>
    <w:rsid w:val="266D7A0C"/>
    <w:rsid w:val="26846233"/>
    <w:rsid w:val="26C36AF6"/>
    <w:rsid w:val="286D5D60"/>
    <w:rsid w:val="290B4A8C"/>
    <w:rsid w:val="29577422"/>
    <w:rsid w:val="299063C2"/>
    <w:rsid w:val="29EC083C"/>
    <w:rsid w:val="29FD04D3"/>
    <w:rsid w:val="2A28311C"/>
    <w:rsid w:val="2A5C0585"/>
    <w:rsid w:val="2C305E6E"/>
    <w:rsid w:val="2D84264F"/>
    <w:rsid w:val="2E4B0EE1"/>
    <w:rsid w:val="2ED53F2E"/>
    <w:rsid w:val="319F7F4E"/>
    <w:rsid w:val="31A51C8F"/>
    <w:rsid w:val="32900518"/>
    <w:rsid w:val="340C0F92"/>
    <w:rsid w:val="353E67AD"/>
    <w:rsid w:val="35A440A1"/>
    <w:rsid w:val="362875C2"/>
    <w:rsid w:val="36E76703"/>
    <w:rsid w:val="376D1F61"/>
    <w:rsid w:val="37FE5BFF"/>
    <w:rsid w:val="39785AB6"/>
    <w:rsid w:val="3AE27CAA"/>
    <w:rsid w:val="3AED083E"/>
    <w:rsid w:val="3B05229A"/>
    <w:rsid w:val="3B2903BF"/>
    <w:rsid w:val="3BF428E9"/>
    <w:rsid w:val="3CEB5E09"/>
    <w:rsid w:val="3D705D0E"/>
    <w:rsid w:val="3E8204D8"/>
    <w:rsid w:val="3EA45431"/>
    <w:rsid w:val="3FBD577F"/>
    <w:rsid w:val="3FF11485"/>
    <w:rsid w:val="40754626"/>
    <w:rsid w:val="41607D50"/>
    <w:rsid w:val="41CC593D"/>
    <w:rsid w:val="421E145C"/>
    <w:rsid w:val="432011E0"/>
    <w:rsid w:val="434F4242"/>
    <w:rsid w:val="43715A95"/>
    <w:rsid w:val="44AE3799"/>
    <w:rsid w:val="465D6BD7"/>
    <w:rsid w:val="47962A7D"/>
    <w:rsid w:val="479668C2"/>
    <w:rsid w:val="47C3389C"/>
    <w:rsid w:val="493E2478"/>
    <w:rsid w:val="4AA02806"/>
    <w:rsid w:val="4B2A61DE"/>
    <w:rsid w:val="4C0B00B4"/>
    <w:rsid w:val="4C3E031B"/>
    <w:rsid w:val="4CA43D36"/>
    <w:rsid w:val="4CC33AE4"/>
    <w:rsid w:val="4D8240A4"/>
    <w:rsid w:val="4DD659C2"/>
    <w:rsid w:val="4ECE2238"/>
    <w:rsid w:val="4ECE78EB"/>
    <w:rsid w:val="50D83EE9"/>
    <w:rsid w:val="52885B09"/>
    <w:rsid w:val="52E83D67"/>
    <w:rsid w:val="53333929"/>
    <w:rsid w:val="54092FBE"/>
    <w:rsid w:val="548221BA"/>
    <w:rsid w:val="54DC7652"/>
    <w:rsid w:val="55180903"/>
    <w:rsid w:val="556A1C66"/>
    <w:rsid w:val="580D1B9B"/>
    <w:rsid w:val="5884642E"/>
    <w:rsid w:val="597D6D7D"/>
    <w:rsid w:val="5A844967"/>
    <w:rsid w:val="5AE3156B"/>
    <w:rsid w:val="5B1265FF"/>
    <w:rsid w:val="5B241251"/>
    <w:rsid w:val="5BE57710"/>
    <w:rsid w:val="5C3C6A92"/>
    <w:rsid w:val="5C6F5CBA"/>
    <w:rsid w:val="5D2E76CB"/>
    <w:rsid w:val="5D5713E7"/>
    <w:rsid w:val="5DA62ABC"/>
    <w:rsid w:val="5E161070"/>
    <w:rsid w:val="5E383B35"/>
    <w:rsid w:val="5EB9437B"/>
    <w:rsid w:val="5FBE33B8"/>
    <w:rsid w:val="61B15645"/>
    <w:rsid w:val="62195059"/>
    <w:rsid w:val="627C721E"/>
    <w:rsid w:val="62810F95"/>
    <w:rsid w:val="63364E63"/>
    <w:rsid w:val="634910D1"/>
    <w:rsid w:val="63B62357"/>
    <w:rsid w:val="64964371"/>
    <w:rsid w:val="655F7B9A"/>
    <w:rsid w:val="65BF3AF0"/>
    <w:rsid w:val="65E16AB5"/>
    <w:rsid w:val="66194C62"/>
    <w:rsid w:val="67442201"/>
    <w:rsid w:val="67EE2DB2"/>
    <w:rsid w:val="68E32A30"/>
    <w:rsid w:val="6A283212"/>
    <w:rsid w:val="6A396D4E"/>
    <w:rsid w:val="6A562092"/>
    <w:rsid w:val="6B691359"/>
    <w:rsid w:val="6C000C39"/>
    <w:rsid w:val="6C6164FA"/>
    <w:rsid w:val="6CBD5898"/>
    <w:rsid w:val="6D2A0604"/>
    <w:rsid w:val="6E1060AA"/>
    <w:rsid w:val="6E3E5094"/>
    <w:rsid w:val="6E3E56CE"/>
    <w:rsid w:val="6E4A363D"/>
    <w:rsid w:val="6E5C035D"/>
    <w:rsid w:val="6E871646"/>
    <w:rsid w:val="6FF44E80"/>
    <w:rsid w:val="7144122B"/>
    <w:rsid w:val="71535746"/>
    <w:rsid w:val="719D2851"/>
    <w:rsid w:val="72734D90"/>
    <w:rsid w:val="727926F2"/>
    <w:rsid w:val="72B4156B"/>
    <w:rsid w:val="73760B9B"/>
    <w:rsid w:val="73AD1560"/>
    <w:rsid w:val="73C647D9"/>
    <w:rsid w:val="743D380E"/>
    <w:rsid w:val="750A3906"/>
    <w:rsid w:val="758E2FF6"/>
    <w:rsid w:val="76072789"/>
    <w:rsid w:val="76996DA6"/>
    <w:rsid w:val="770B183E"/>
    <w:rsid w:val="770B27EE"/>
    <w:rsid w:val="77373431"/>
    <w:rsid w:val="77F6572D"/>
    <w:rsid w:val="79167D5D"/>
    <w:rsid w:val="79440815"/>
    <w:rsid w:val="796737B5"/>
    <w:rsid w:val="7A5B0A14"/>
    <w:rsid w:val="7B010D8E"/>
    <w:rsid w:val="7B1F0550"/>
    <w:rsid w:val="7BA95884"/>
    <w:rsid w:val="7C9240BF"/>
    <w:rsid w:val="7C9451BE"/>
    <w:rsid w:val="7D6949C0"/>
    <w:rsid w:val="7D741E76"/>
    <w:rsid w:val="7D921BD2"/>
    <w:rsid w:val="7FFF6175"/>
    <w:rsid w:val="D65B679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8"/>
    <w:unhideWhenUsed/>
    <w:qFormat/>
    <w:uiPriority w:val="9"/>
    <w:pPr>
      <w:keepNext/>
      <w:keepLines/>
      <w:spacing w:before="260" w:after="260" w:line="416" w:lineRule="auto"/>
      <w:outlineLvl w:val="2"/>
    </w:pPr>
    <w:rPr>
      <w:b/>
      <w:bCs/>
      <w:sz w:val="32"/>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6">
    <w:name w:val="Body Text"/>
    <w:basedOn w:val="1"/>
    <w:link w:val="22"/>
    <w:qFormat/>
    <w:uiPriority w:val="99"/>
    <w:pPr>
      <w:spacing w:beforeLines="30"/>
    </w:pPr>
    <w:rPr>
      <w:rFonts w:ascii="仿宋_GB2312" w:eastAsia="仿宋_GB2312"/>
      <w:kern w:val="0"/>
      <w:sz w:val="30"/>
    </w:rPr>
  </w:style>
  <w:style w:type="paragraph" w:styleId="7">
    <w:name w:val="toc 3"/>
    <w:basedOn w:val="1"/>
    <w:next w:val="1"/>
    <w:unhideWhenUsed/>
    <w:qFormat/>
    <w:uiPriority w:val="39"/>
    <w:pPr>
      <w:tabs>
        <w:tab w:val="right" w:leader="dot" w:pos="8296"/>
      </w:tabs>
      <w:ind w:left="840" w:leftChars="400"/>
    </w:pPr>
  </w:style>
  <w:style w:type="paragraph" w:styleId="8">
    <w:name w:val="Balloon Text"/>
    <w:basedOn w:val="1"/>
    <w:link w:val="27"/>
    <w:semiHidden/>
    <w:unhideWhenUsed/>
    <w:qFormat/>
    <w:uiPriority w:val="99"/>
    <w:rPr>
      <w:sz w:val="18"/>
      <w:szCs w:val="18"/>
    </w:rPr>
  </w:style>
  <w:style w:type="paragraph" w:styleId="9">
    <w:name w:val="footer"/>
    <w:basedOn w:val="1"/>
    <w:link w:val="20"/>
    <w:qFormat/>
    <w:uiPriority w:val="99"/>
    <w:pPr>
      <w:tabs>
        <w:tab w:val="center" w:pos="4153"/>
        <w:tab w:val="right" w:pos="8306"/>
      </w:tabs>
      <w:snapToGrid w:val="0"/>
      <w:jc w:val="left"/>
    </w:pPr>
    <w:rPr>
      <w:rFonts w:ascii="Calibri" w:hAnsi="Calibri"/>
      <w:kern w:val="0"/>
      <w:sz w:val="18"/>
      <w:szCs w:val="18"/>
    </w:rPr>
  </w:style>
  <w:style w:type="paragraph" w:styleId="10">
    <w:name w:val="header"/>
    <w:basedOn w:val="1"/>
    <w:link w:val="18"/>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2">
    <w:name w:val="toc 2"/>
    <w:basedOn w:val="1"/>
    <w:next w:val="1"/>
    <w:unhideWhenUsed/>
    <w:qFormat/>
    <w:uiPriority w:val="39"/>
    <w:pPr>
      <w:tabs>
        <w:tab w:val="right" w:leader="dot" w:pos="8296"/>
      </w:tabs>
      <w:ind w:left="420" w:leftChars="200"/>
    </w:pPr>
  </w:style>
  <w:style w:type="character" w:styleId="15">
    <w:name w:val="Strong"/>
    <w:basedOn w:val="14"/>
    <w:qFormat/>
    <w:uiPriority w:val="99"/>
    <w:rPr>
      <w:b/>
    </w:rPr>
  </w:style>
  <w:style w:type="character" w:styleId="16">
    <w:name w:val="Hyperlink"/>
    <w:basedOn w:val="14"/>
    <w:unhideWhenUsed/>
    <w:qFormat/>
    <w:uiPriority w:val="99"/>
    <w:rPr>
      <w:color w:val="0000FF" w:themeColor="hyperlink"/>
      <w:u w:val="single"/>
    </w:rPr>
  </w:style>
  <w:style w:type="character" w:customStyle="1" w:styleId="17">
    <w:name w:val="Header Char"/>
    <w:basedOn w:val="14"/>
    <w:semiHidden/>
    <w:qFormat/>
    <w:uiPriority w:val="99"/>
    <w:rPr>
      <w:rFonts w:ascii="Times New Roman" w:hAnsi="Times New Roman"/>
      <w:sz w:val="18"/>
      <w:szCs w:val="18"/>
    </w:rPr>
  </w:style>
  <w:style w:type="character" w:customStyle="1" w:styleId="18">
    <w:name w:val="页眉 Char"/>
    <w:link w:val="10"/>
    <w:semiHidden/>
    <w:qFormat/>
    <w:locked/>
    <w:uiPriority w:val="99"/>
    <w:rPr>
      <w:sz w:val="18"/>
    </w:rPr>
  </w:style>
  <w:style w:type="character" w:customStyle="1" w:styleId="19">
    <w:name w:val="Footer Char"/>
    <w:basedOn w:val="14"/>
    <w:semiHidden/>
    <w:qFormat/>
    <w:uiPriority w:val="99"/>
    <w:rPr>
      <w:rFonts w:ascii="Times New Roman" w:hAnsi="Times New Roman"/>
      <w:sz w:val="18"/>
      <w:szCs w:val="18"/>
    </w:rPr>
  </w:style>
  <w:style w:type="character" w:customStyle="1" w:styleId="20">
    <w:name w:val="页脚 Char"/>
    <w:link w:val="9"/>
    <w:qFormat/>
    <w:locked/>
    <w:uiPriority w:val="99"/>
    <w:rPr>
      <w:sz w:val="18"/>
    </w:rPr>
  </w:style>
  <w:style w:type="character" w:customStyle="1" w:styleId="21">
    <w:name w:val="Body Text Char"/>
    <w:basedOn w:val="14"/>
    <w:semiHidden/>
    <w:qFormat/>
    <w:uiPriority w:val="99"/>
    <w:rPr>
      <w:rFonts w:ascii="Times New Roman" w:hAnsi="Times New Roman"/>
      <w:szCs w:val="24"/>
    </w:rPr>
  </w:style>
  <w:style w:type="character" w:customStyle="1" w:styleId="22">
    <w:name w:val="正文文本 Char"/>
    <w:link w:val="6"/>
    <w:qFormat/>
    <w:locked/>
    <w:uiPriority w:val="99"/>
    <w:rPr>
      <w:rFonts w:ascii="仿宋_GB2312" w:hAnsi="Times New Roman" w:eastAsia="仿宋_GB2312"/>
      <w:sz w:val="24"/>
    </w:rPr>
  </w:style>
  <w:style w:type="paragraph" w:styleId="23">
    <w:name w:val="List Paragraph"/>
    <w:basedOn w:val="1"/>
    <w:qFormat/>
    <w:uiPriority w:val="34"/>
    <w:pPr>
      <w:ind w:firstLine="420" w:firstLineChars="200"/>
    </w:pPr>
  </w:style>
  <w:style w:type="character" w:customStyle="1" w:styleId="24">
    <w:name w:val="标题 1 Char"/>
    <w:basedOn w:val="14"/>
    <w:link w:val="3"/>
    <w:qFormat/>
    <w:uiPriority w:val="9"/>
    <w:rPr>
      <w:rFonts w:ascii="Times New Roman" w:hAnsi="Times New Roman"/>
      <w:b/>
      <w:bCs/>
      <w:kern w:val="44"/>
      <w:sz w:val="44"/>
      <w:szCs w:val="44"/>
    </w:rPr>
  </w:style>
  <w:style w:type="character" w:customStyle="1" w:styleId="25">
    <w:name w:val="标题 2 Char"/>
    <w:basedOn w:val="14"/>
    <w:link w:val="4"/>
    <w:qFormat/>
    <w:uiPriority w:val="9"/>
    <w:rPr>
      <w:rFonts w:asciiTheme="majorHAnsi" w:hAnsiTheme="majorHAnsi" w:eastAsiaTheme="majorEastAsia" w:cstheme="majorBidi"/>
      <w:b/>
      <w:bCs/>
      <w:kern w:val="2"/>
      <w:sz w:val="32"/>
      <w:szCs w:val="32"/>
    </w:rPr>
  </w:style>
  <w:style w:type="paragraph" w:customStyle="1" w:styleId="26">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27">
    <w:name w:val="批注框文本 Char"/>
    <w:basedOn w:val="14"/>
    <w:link w:val="8"/>
    <w:semiHidden/>
    <w:qFormat/>
    <w:uiPriority w:val="99"/>
    <w:rPr>
      <w:rFonts w:ascii="Times New Roman" w:hAnsi="Times New Roman"/>
      <w:kern w:val="2"/>
      <w:sz w:val="18"/>
      <w:szCs w:val="18"/>
    </w:rPr>
  </w:style>
  <w:style w:type="character" w:customStyle="1" w:styleId="28">
    <w:name w:val="标题 3 Char"/>
    <w:basedOn w:val="14"/>
    <w:link w:val="5"/>
    <w:qFormat/>
    <w:uiPriority w:val="9"/>
    <w:rPr>
      <w:rFonts w:ascii="Times New Roman" w:hAnsi="Times New Roman"/>
      <w:b/>
      <w:bCs/>
      <w:kern w:val="2"/>
      <w:sz w:val="32"/>
      <w:szCs w:val="32"/>
    </w:rPr>
  </w:style>
  <w:style w:type="paragraph" w:customStyle="1" w:styleId="29">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50</Pages>
  <Words>19548</Words>
  <Characters>4790</Characters>
  <Lines>39</Lines>
  <Paragraphs>48</Paragraphs>
  <TotalTime>8</TotalTime>
  <ScaleCrop>false</ScaleCrop>
  <LinksUpToDate>false</LinksUpToDate>
  <CharactersWithSpaces>24290</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2020-08-04T09:49:00Z</dcterms:created>
  <dc:creator>曹颖</dc:creator>
  <cp:lastModifiedBy>user</cp:lastModifiedBy>
  <cp:lastPrinted>2020-07-23T10:58:00Z</cp:lastPrinted>
  <dcterms:modified xsi:type="dcterms:W3CDTF">2023-07-14T10:44:50Z</dcterms:modified>
  <dc:title>四川省***</dc:title>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D70DCBAD069B402C8BFB05C78EC55CD6</vt:lpwstr>
  </property>
</Properties>
</file>