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1" w:name="_GoBack"/>
      <w:bookmarkEnd w:id="71"/>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96475"/>
      <w:bookmarkStart w:id="2" w:name="_Toc15378441"/>
      <w:bookmarkStart w:id="3" w:name="_Toc15396597"/>
      <w:bookmarkStart w:id="4" w:name="_Toc15377193"/>
      <w:bookmarkStart w:id="5" w:name="_Toc15377425"/>
      <w:r>
        <w:rPr>
          <w:rFonts w:ascii="黑体" w:hAnsi="黑体" w:eastAsia="黑体"/>
          <w:color w:val="000000"/>
          <w:sz w:val="52"/>
          <w:szCs w:val="52"/>
        </w:rPr>
        <w:t>201</w:t>
      </w:r>
      <w:r>
        <w:rPr>
          <w:rFonts w:hint="eastAsia" w:ascii="黑体" w:hAnsi="黑体" w:eastAsia="黑体"/>
          <w:color w:val="000000"/>
          <w:sz w:val="52"/>
          <w:szCs w:val="52"/>
        </w:rPr>
        <w:t>9</w:t>
      </w:r>
      <w:r>
        <w:rPr>
          <w:rFonts w:hint="eastAsia" w:ascii="方正小标宋简体" w:hAnsi="宋体" w:eastAsia="方正小标宋简体"/>
          <w:color w:val="000000"/>
          <w:sz w:val="52"/>
          <w:szCs w:val="5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77194"/>
      <w:bookmarkStart w:id="7" w:name="_Toc15378442"/>
      <w:bookmarkStart w:id="8" w:name="_Toc15377426"/>
      <w:bookmarkStart w:id="9" w:name="_Toc15396598"/>
      <w:bookmarkStart w:id="10" w:name="_Toc15396476"/>
      <w:r>
        <w:rPr>
          <w:rFonts w:hint="eastAsia" w:ascii="方正小标宋简体" w:hAnsi="宋体" w:eastAsia="方正小标宋简体"/>
          <w:color w:val="000000"/>
          <w:sz w:val="52"/>
          <w:szCs w:val="52"/>
        </w:rPr>
        <w:t>中共广元市利州区</w:t>
      </w:r>
      <w:bookmarkEnd w:id="0"/>
      <w:bookmarkStart w:id="11" w:name="_Toc15306268"/>
      <w:r>
        <w:rPr>
          <w:rFonts w:hint="eastAsia" w:ascii="方正小标宋简体" w:hAnsi="宋体" w:eastAsia="方正小标宋简体"/>
          <w:color w:val="000000"/>
          <w:sz w:val="52"/>
          <w:szCs w:val="52"/>
        </w:rPr>
        <w:t>纪委部门决算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方正小标宋简体" w:hAnsi="黑体" w:eastAsia="方正小标宋简体"/>
          <w:color w:val="000000"/>
          <w:sz w:val="44"/>
          <w:szCs w:val="44"/>
        </w:rPr>
      </w:pPr>
      <w:r>
        <w:rPr>
          <w:rFonts w:ascii="方正小标宋简体" w:hAnsi="宋体" w:eastAsia="方正小标宋简体"/>
          <w:color w:val="000000"/>
          <w:sz w:val="36"/>
          <w:szCs w:val="36"/>
        </w:rPr>
        <w:br w:type="page"/>
      </w:r>
      <w:r>
        <w:rPr>
          <w:rFonts w:hint="eastAsia" w:ascii="方正小标宋简体" w:hAnsi="黑体" w:eastAsia="方正小标宋简体"/>
          <w:color w:val="000000"/>
          <w:sz w:val="44"/>
          <w:szCs w:val="44"/>
        </w:rPr>
        <w:t>目    录</w:t>
      </w:r>
    </w:p>
    <w:p>
      <w:pPr>
        <w:widowControl/>
        <w:jc w:val="center"/>
        <w:rPr>
          <w:rFonts w:ascii="黑体" w:hAnsi="黑体" w:eastAsia="黑体" w:cstheme="minorBidi"/>
          <w:sz w:val="28"/>
          <w:szCs w:val="28"/>
        </w:rPr>
      </w:pPr>
    </w:p>
    <w:p>
      <w:pPr>
        <w:pStyle w:val="10"/>
        <w:rPr>
          <w:rFonts w:ascii="方正仿宋简体" w:hAnsi="Times New Roman" w:eastAsia="方正仿宋简体"/>
          <w:sz w:val="32"/>
          <w:szCs w:val="32"/>
        </w:rPr>
      </w:pPr>
      <w:r>
        <w:rPr>
          <w:rFonts w:hint="eastAsia" w:ascii="方正仿宋简体" w:hAnsi="Times New Roman" w:eastAsia="方正仿宋简体"/>
          <w:sz w:val="32"/>
          <w:szCs w:val="32"/>
        </w:rPr>
        <w:t>公开时间：2020年9月3日</w:t>
      </w:r>
    </w:p>
    <w:p>
      <w:pPr>
        <w:rPr>
          <w:rFonts w:ascii="方正仿宋简体" w:eastAsia="方正仿宋简体"/>
          <w:sz w:val="32"/>
          <w:szCs w:val="32"/>
        </w:rPr>
      </w:pPr>
    </w:p>
    <w:p>
      <w:pPr>
        <w:pStyle w:val="10"/>
        <w:adjustRightInd w:val="0"/>
        <w:snapToGrid w:val="0"/>
        <w:spacing w:before="0" w:line="500" w:lineRule="exact"/>
        <w:jc w:val="left"/>
        <w:rPr>
          <w:rFonts w:ascii="黑体" w:hAnsi="黑体" w:eastAsia="黑体" w:cstheme="minorBidi"/>
          <w:sz w:val="32"/>
          <w:szCs w:val="32"/>
        </w:rPr>
      </w:pPr>
      <w:r>
        <w:rPr>
          <w:rFonts w:hint="eastAsia" w:ascii="黑体" w:hAnsi="黑体" w:eastAsia="黑体"/>
          <w:sz w:val="32"/>
          <w:szCs w:val="32"/>
        </w:rPr>
        <w:t>第一部分 部门概况</w:t>
      </w:r>
      <w:r>
        <w:rPr>
          <w:rFonts w:hint="eastAsia" w:ascii="方正仿宋简体" w:hAnsi="方正仿宋简体" w:eastAsia="方正仿宋简体" w:cs="方正仿宋简体"/>
          <w:bCs/>
          <w:color w:val="000000"/>
          <w:kern w:val="0"/>
          <w:sz w:val="30"/>
          <w:szCs w:val="30"/>
        </w:rPr>
        <w:t>..................................................................4</w:t>
      </w:r>
    </w:p>
    <w:p>
      <w:pPr>
        <w:pStyle w:val="11"/>
        <w:adjustRightInd w:val="0"/>
        <w:snapToGrid w:val="0"/>
        <w:spacing w:line="500" w:lineRule="exact"/>
        <w:jc w:val="left"/>
        <w:rPr>
          <w:rFonts w:ascii="方正仿宋简体" w:hAnsi="仿宋" w:eastAsia="方正仿宋简体"/>
          <w:sz w:val="32"/>
          <w:szCs w:val="32"/>
        </w:rPr>
      </w:pPr>
      <w:r>
        <w:rPr>
          <w:rFonts w:hint="eastAsia" w:ascii="方正仿宋简体" w:eastAsia="方正仿宋简体"/>
          <w:sz w:val="32"/>
          <w:szCs w:val="32"/>
        </w:rPr>
        <w:t>一、基本职能及主要工作</w:t>
      </w:r>
      <w:r>
        <w:rPr>
          <w:rFonts w:hint="eastAsia" w:ascii="方正仿宋简体" w:hAnsi="方正仿宋简体" w:eastAsia="方正仿宋简体" w:cs="方正仿宋简体"/>
          <w:bCs/>
          <w:color w:val="000000"/>
          <w:kern w:val="0"/>
          <w:sz w:val="30"/>
          <w:szCs w:val="30"/>
        </w:rPr>
        <w:t>.....................................................4</w:t>
      </w:r>
    </w:p>
    <w:p>
      <w:pPr>
        <w:pStyle w:val="11"/>
        <w:adjustRightInd w:val="0"/>
        <w:snapToGrid w:val="0"/>
        <w:spacing w:line="500" w:lineRule="exact"/>
        <w:jc w:val="left"/>
        <w:rPr>
          <w:rFonts w:ascii="方正仿宋简体" w:hAnsi="仿宋" w:eastAsia="方正仿宋简体" w:cstheme="minorBidi"/>
          <w:sz w:val="32"/>
          <w:szCs w:val="32"/>
        </w:rPr>
      </w:pPr>
      <w:r>
        <w:rPr>
          <w:rFonts w:hint="eastAsia" w:ascii="方正仿宋简体" w:eastAsia="方正仿宋简体"/>
          <w:sz w:val="32"/>
          <w:szCs w:val="32"/>
        </w:rPr>
        <w:t>二、机构设置</w:t>
      </w:r>
      <w:r>
        <w:rPr>
          <w:rFonts w:hint="eastAsia" w:ascii="方正仿宋简体" w:hAnsi="方正仿宋简体" w:eastAsia="方正仿宋简体" w:cs="方正仿宋简体"/>
          <w:bCs/>
          <w:color w:val="000000"/>
          <w:kern w:val="0"/>
          <w:sz w:val="30"/>
          <w:szCs w:val="30"/>
        </w:rPr>
        <w:t>.......................................................................8</w:t>
      </w:r>
    </w:p>
    <w:p>
      <w:pPr>
        <w:pStyle w:val="10"/>
        <w:adjustRightInd w:val="0"/>
        <w:snapToGrid w:val="0"/>
        <w:spacing w:before="0" w:line="500" w:lineRule="exact"/>
        <w:jc w:val="left"/>
        <w:rPr>
          <w:rFonts w:ascii="黑体" w:hAnsi="黑体" w:eastAsia="黑体"/>
          <w:sz w:val="32"/>
          <w:szCs w:val="32"/>
        </w:rPr>
      </w:pPr>
      <w:r>
        <w:rPr>
          <w:rFonts w:hint="eastAsia" w:ascii="黑体" w:hAnsi="黑体" w:eastAsia="黑体"/>
          <w:sz w:val="32"/>
          <w:szCs w:val="32"/>
        </w:rPr>
        <w:t>第二部分 2019年度部门决算情况说明</w:t>
      </w:r>
      <w:r>
        <w:rPr>
          <w:rFonts w:hint="eastAsia" w:ascii="方正仿宋简体" w:hAnsi="方正仿宋简体" w:eastAsia="方正仿宋简体" w:cs="方正仿宋简体"/>
          <w:bCs/>
          <w:color w:val="000000"/>
          <w:kern w:val="0"/>
          <w:sz w:val="30"/>
          <w:szCs w:val="30"/>
        </w:rPr>
        <w:t>...................................10</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一、收入支出决算总体情况说明</w:t>
      </w:r>
      <w:r>
        <w:rPr>
          <w:rFonts w:hint="eastAsia" w:ascii="方正仿宋简体" w:hAnsi="方正仿宋简体" w:eastAsia="方正仿宋简体" w:cs="方正仿宋简体"/>
          <w:bCs/>
          <w:color w:val="000000"/>
          <w:kern w:val="0"/>
          <w:sz w:val="30"/>
          <w:szCs w:val="30"/>
        </w:rPr>
        <w:t>..........................................10</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二、收入决算情况说明</w:t>
      </w:r>
      <w:r>
        <w:rPr>
          <w:rFonts w:hint="eastAsia" w:ascii="方正仿宋简体" w:hAnsi="方正仿宋简体" w:eastAsia="方正仿宋简体" w:cs="方正仿宋简体"/>
          <w:bCs/>
          <w:color w:val="000000"/>
          <w:kern w:val="0"/>
          <w:sz w:val="30"/>
          <w:szCs w:val="30"/>
        </w:rPr>
        <w:t>........................................................10</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三、支出决算情况说明</w:t>
      </w:r>
      <w:r>
        <w:rPr>
          <w:rFonts w:hint="eastAsia" w:ascii="方正仿宋简体" w:hAnsi="方正仿宋简体" w:eastAsia="方正仿宋简体" w:cs="方正仿宋简体"/>
          <w:bCs/>
          <w:color w:val="000000"/>
          <w:kern w:val="0"/>
          <w:sz w:val="30"/>
          <w:szCs w:val="30"/>
        </w:rPr>
        <w:t>........................................................11</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四、财政拨款收入支出决算总体情况说明</w:t>
      </w:r>
      <w:r>
        <w:rPr>
          <w:rFonts w:hint="eastAsia" w:ascii="方正仿宋简体" w:hAnsi="方正仿宋简体" w:eastAsia="方正仿宋简体" w:cs="方正仿宋简体"/>
          <w:bCs/>
          <w:color w:val="000000"/>
          <w:kern w:val="0"/>
          <w:sz w:val="30"/>
          <w:szCs w:val="30"/>
        </w:rPr>
        <w:t>...........................11</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五、一般公共预算财政拨款支出决算情况说明</w:t>
      </w:r>
      <w:r>
        <w:rPr>
          <w:rFonts w:hint="eastAsia" w:ascii="方正仿宋简体" w:hAnsi="方正仿宋简体" w:eastAsia="方正仿宋简体" w:cs="方正仿宋简体"/>
          <w:bCs/>
          <w:color w:val="000000"/>
          <w:kern w:val="0"/>
          <w:sz w:val="30"/>
          <w:szCs w:val="30"/>
        </w:rPr>
        <w:t>....................11</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六、一般公共预算财政拨款基本支出决算情况说明</w:t>
      </w:r>
      <w:r>
        <w:rPr>
          <w:rFonts w:hint="eastAsia" w:ascii="方正仿宋简体" w:hAnsi="方正仿宋简体" w:eastAsia="方正仿宋简体" w:cs="方正仿宋简体"/>
          <w:bCs/>
          <w:color w:val="000000"/>
          <w:kern w:val="0"/>
          <w:sz w:val="30"/>
          <w:szCs w:val="30"/>
        </w:rPr>
        <w:t>.............15</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七、“三公”经费财政拨款支出决算情况说明</w:t>
      </w:r>
      <w:r>
        <w:rPr>
          <w:rFonts w:hint="eastAsia" w:ascii="方正仿宋简体" w:hAnsi="方正仿宋简体" w:eastAsia="方正仿宋简体" w:cs="方正仿宋简体"/>
          <w:bCs/>
          <w:color w:val="000000"/>
          <w:kern w:val="0"/>
          <w:sz w:val="30"/>
          <w:szCs w:val="30"/>
        </w:rPr>
        <w:t>.....................16</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八、政府性基金预算支出决算情况说明</w:t>
      </w:r>
      <w:r>
        <w:rPr>
          <w:rFonts w:hint="eastAsia" w:ascii="方正仿宋简体" w:hAnsi="方正仿宋简体" w:eastAsia="方正仿宋简体" w:cs="方正仿宋简体"/>
          <w:bCs/>
          <w:color w:val="000000"/>
          <w:kern w:val="0"/>
          <w:sz w:val="30"/>
          <w:szCs w:val="30"/>
        </w:rPr>
        <w:t>...............................18</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九、 国有资本经营预算支出决算情况说明</w:t>
      </w:r>
      <w:r>
        <w:rPr>
          <w:rFonts w:hint="eastAsia" w:ascii="方正仿宋简体" w:hAnsi="方正仿宋简体" w:eastAsia="方正仿宋简体" w:cs="方正仿宋简体"/>
          <w:bCs/>
          <w:color w:val="000000"/>
          <w:kern w:val="0"/>
          <w:sz w:val="30"/>
          <w:szCs w:val="30"/>
        </w:rPr>
        <w:t>.........................18</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十、其他重要事项的情况说明</w:t>
      </w:r>
      <w:r>
        <w:rPr>
          <w:rFonts w:hint="eastAsia" w:ascii="方正仿宋简体" w:hAnsi="方正仿宋简体" w:eastAsia="方正仿宋简体" w:cs="方正仿宋简体"/>
          <w:bCs/>
          <w:color w:val="000000"/>
          <w:kern w:val="0"/>
          <w:sz w:val="30"/>
          <w:szCs w:val="30"/>
        </w:rPr>
        <w:t>............................................18</w:t>
      </w:r>
    </w:p>
    <w:p>
      <w:pPr>
        <w:pStyle w:val="10"/>
        <w:adjustRightInd w:val="0"/>
        <w:snapToGrid w:val="0"/>
        <w:spacing w:before="0" w:line="500" w:lineRule="exact"/>
        <w:jc w:val="left"/>
        <w:rPr>
          <w:rFonts w:ascii="黑体" w:hAnsi="黑体" w:eastAsia="黑体"/>
          <w:sz w:val="32"/>
          <w:szCs w:val="32"/>
        </w:rPr>
      </w:pPr>
      <w:r>
        <w:rPr>
          <w:rFonts w:hint="eastAsia" w:ascii="黑体" w:hAnsi="黑体" w:eastAsia="黑体"/>
          <w:sz w:val="32"/>
          <w:szCs w:val="32"/>
        </w:rPr>
        <w:t>第三部分 名词解释</w:t>
      </w:r>
      <w:r>
        <w:rPr>
          <w:rFonts w:hint="eastAsia" w:ascii="方正仿宋简体" w:hAnsi="方正仿宋简体" w:eastAsia="方正仿宋简体" w:cs="方正仿宋简体"/>
          <w:bCs/>
          <w:color w:val="000000"/>
          <w:kern w:val="0"/>
          <w:sz w:val="30"/>
          <w:szCs w:val="30"/>
        </w:rPr>
        <w:t>.................................................................24</w:t>
      </w:r>
    </w:p>
    <w:p>
      <w:pPr>
        <w:pStyle w:val="10"/>
        <w:adjustRightInd w:val="0"/>
        <w:snapToGrid w:val="0"/>
        <w:spacing w:before="0" w:line="500" w:lineRule="exact"/>
        <w:jc w:val="left"/>
        <w:rPr>
          <w:rFonts w:ascii="黑体" w:hAnsi="黑体" w:eastAsia="黑体"/>
          <w:sz w:val="32"/>
          <w:szCs w:val="32"/>
        </w:rPr>
      </w:pPr>
      <w:r>
        <w:rPr>
          <w:rFonts w:hint="eastAsia" w:ascii="黑体" w:hAnsi="黑体" w:eastAsia="黑体"/>
          <w:sz w:val="32"/>
          <w:szCs w:val="32"/>
        </w:rPr>
        <w:t>第四部分 附件</w:t>
      </w:r>
      <w:r>
        <w:rPr>
          <w:rFonts w:hint="eastAsia" w:ascii="方正仿宋简体" w:hAnsi="方正仿宋简体" w:eastAsia="方正仿宋简体" w:cs="方正仿宋简体"/>
          <w:bCs/>
          <w:color w:val="000000"/>
          <w:kern w:val="0"/>
          <w:sz w:val="30"/>
          <w:szCs w:val="30"/>
        </w:rPr>
        <w:t>........................................................................27</w:t>
      </w:r>
    </w:p>
    <w:p>
      <w:pPr>
        <w:pStyle w:val="11"/>
        <w:adjustRightInd w:val="0"/>
        <w:snapToGrid w:val="0"/>
        <w:spacing w:line="500" w:lineRule="exact"/>
        <w:jc w:val="left"/>
        <w:rPr>
          <w:rFonts w:ascii="方正仿宋简体" w:hAnsi="仿宋" w:eastAsia="方正仿宋简体" w:cstheme="minorBidi"/>
          <w:sz w:val="32"/>
          <w:szCs w:val="32"/>
        </w:rPr>
      </w:pPr>
      <w:r>
        <w:rPr>
          <w:rFonts w:hint="eastAsia" w:ascii="方正仿宋简体" w:eastAsia="方正仿宋简体"/>
          <w:sz w:val="32"/>
          <w:szCs w:val="32"/>
        </w:rPr>
        <w:t>附件1</w:t>
      </w:r>
      <w:r>
        <w:rPr>
          <w:rFonts w:hint="eastAsia" w:ascii="方正仿宋简体" w:hAnsi="方正仿宋简体" w:eastAsia="方正仿宋简体" w:cs="方正仿宋简体"/>
          <w:bCs/>
          <w:color w:val="000000"/>
          <w:kern w:val="0"/>
          <w:sz w:val="30"/>
          <w:szCs w:val="30"/>
        </w:rPr>
        <w:t>................................................................................27</w:t>
      </w:r>
    </w:p>
    <w:p>
      <w:pPr>
        <w:pStyle w:val="11"/>
        <w:adjustRightInd w:val="0"/>
        <w:snapToGrid w:val="0"/>
        <w:spacing w:line="500" w:lineRule="exact"/>
        <w:jc w:val="left"/>
        <w:rPr>
          <w:rFonts w:ascii="方正仿宋简体" w:hAnsi="方正仿宋简体" w:eastAsia="方正仿宋简体" w:cs="方正仿宋简体"/>
          <w:bCs/>
          <w:color w:val="000000"/>
          <w:kern w:val="0"/>
          <w:sz w:val="30"/>
          <w:szCs w:val="30"/>
        </w:rPr>
      </w:pPr>
      <w:r>
        <w:rPr>
          <w:rFonts w:hint="eastAsia" w:ascii="方正仿宋简体" w:eastAsia="方正仿宋简体"/>
          <w:sz w:val="32"/>
          <w:szCs w:val="32"/>
        </w:rPr>
        <w:t>附件2</w:t>
      </w:r>
      <w:r>
        <w:rPr>
          <w:rFonts w:hint="eastAsia" w:ascii="方正仿宋简体" w:hAnsi="方正仿宋简体" w:eastAsia="方正仿宋简体" w:cs="方正仿宋简体"/>
          <w:bCs/>
          <w:color w:val="000000"/>
          <w:kern w:val="0"/>
          <w:sz w:val="30"/>
          <w:szCs w:val="30"/>
        </w:rPr>
        <w:t>.................................................................................32</w:t>
      </w:r>
    </w:p>
    <w:p>
      <w:pPr>
        <w:pStyle w:val="11"/>
        <w:adjustRightInd w:val="0"/>
        <w:snapToGrid w:val="0"/>
        <w:spacing w:line="500" w:lineRule="exact"/>
        <w:jc w:val="left"/>
        <w:rPr>
          <w:rFonts w:ascii="方正仿宋简体" w:hAnsi="仿宋" w:eastAsia="方正仿宋简体" w:cstheme="minorBidi"/>
          <w:sz w:val="32"/>
          <w:szCs w:val="32"/>
        </w:rPr>
      </w:pPr>
      <w:r>
        <w:rPr>
          <w:rFonts w:hint="eastAsia" w:ascii="方正仿宋简体" w:eastAsia="方正仿宋简体"/>
          <w:sz w:val="32"/>
          <w:szCs w:val="32"/>
        </w:rPr>
        <w:t>附件3</w:t>
      </w:r>
      <w:r>
        <w:rPr>
          <w:rFonts w:hint="eastAsia" w:ascii="方正仿宋简体" w:hAnsi="方正仿宋简体" w:eastAsia="方正仿宋简体" w:cs="方正仿宋简体"/>
          <w:bCs/>
          <w:color w:val="000000"/>
          <w:kern w:val="0"/>
          <w:sz w:val="30"/>
          <w:szCs w:val="30"/>
        </w:rPr>
        <w:t>.................................................................................37</w:t>
      </w:r>
    </w:p>
    <w:p/>
    <w:p>
      <w:pPr>
        <w:pStyle w:val="10"/>
        <w:adjustRightInd w:val="0"/>
        <w:snapToGrid w:val="0"/>
        <w:spacing w:before="0" w:line="500" w:lineRule="exact"/>
        <w:jc w:val="left"/>
        <w:rPr>
          <w:rFonts w:ascii="黑体" w:hAnsi="黑体" w:eastAsia="黑体"/>
          <w:sz w:val="32"/>
          <w:szCs w:val="32"/>
        </w:rPr>
      </w:pPr>
      <w:r>
        <w:rPr>
          <w:rFonts w:hint="eastAsia" w:ascii="黑体" w:hAnsi="黑体" w:eastAsia="黑体"/>
          <w:sz w:val="32"/>
          <w:szCs w:val="32"/>
        </w:rPr>
        <w:t>第五部分 附表</w:t>
      </w:r>
      <w:r>
        <w:rPr>
          <w:rFonts w:hint="eastAsia" w:ascii="方正仿宋简体" w:hAnsi="方正仿宋简体" w:eastAsia="方正仿宋简体" w:cs="方正仿宋简体"/>
          <w:bCs/>
          <w:color w:val="000000"/>
          <w:kern w:val="0"/>
          <w:sz w:val="30"/>
          <w:szCs w:val="30"/>
        </w:rPr>
        <w:t>......................................................................42</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一、收入支出决算总表</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二、收入决算表</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三、支出决算表</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四、财政拨款收入支出决算总表</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五、财政拨款支出决算明细表</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六、一般公共预算财政拨款支出决算表</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七、一般公共预算财政拨款支出决算明细表</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八、一般公共预算财政拨款基本支出决算表</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九、一般公共预算财政拨款项目支出决算表</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十、一般公共预算财政拨款“三公”经费支出决算表</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十一、政府性基金预算财政拨款收入支出决算表</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十二、政府性基金预算财政拨款“三公”经费支出决算表</w:t>
      </w:r>
    </w:p>
    <w:p>
      <w:pPr>
        <w:pStyle w:val="11"/>
        <w:adjustRightInd w:val="0"/>
        <w:snapToGrid w:val="0"/>
        <w:spacing w:line="500" w:lineRule="exact"/>
        <w:jc w:val="left"/>
        <w:rPr>
          <w:rFonts w:ascii="方正仿宋简体" w:eastAsia="方正仿宋简体"/>
          <w:sz w:val="32"/>
          <w:szCs w:val="32"/>
        </w:rPr>
      </w:pPr>
      <w:r>
        <w:rPr>
          <w:rFonts w:hint="eastAsia" w:ascii="方正仿宋简体" w:eastAsia="方正仿宋简体"/>
          <w:sz w:val="32"/>
          <w:szCs w:val="32"/>
        </w:rPr>
        <w:t>十三、国有资本经营预算支出决算表</w:t>
      </w:r>
    </w:p>
    <w:p>
      <w:pPr>
        <w:widowControl/>
        <w:spacing w:line="440" w:lineRule="exact"/>
        <w:jc w:val="left"/>
        <w:rPr>
          <w:rFonts w:ascii="方正仿宋简体" w:hAnsi="仿宋" w:eastAsia="方正仿宋简体"/>
          <w:bCs/>
          <w:kern w:val="44"/>
          <w:sz w:val="32"/>
          <w:szCs w:val="32"/>
        </w:rPr>
      </w:pPr>
      <w:bookmarkStart w:id="12" w:name="_Toc15377196"/>
      <w:bookmarkStart w:id="13" w:name="_Toc15396599"/>
      <w:r>
        <w:rPr>
          <w:rFonts w:hint="eastAsia" w:ascii="方正仿宋简体" w:hAnsi="仿宋" w:eastAsia="方正仿宋简体"/>
          <w:b/>
          <w:sz w:val="32"/>
          <w:szCs w:val="32"/>
        </w:rPr>
        <w:br w:type="page"/>
      </w:r>
    </w:p>
    <w:p>
      <w:pPr>
        <w:pStyle w:val="2"/>
        <w:jc w:val="center"/>
        <w:rPr>
          <w:rFonts w:ascii="黑体" w:hAnsi="黑体" w:eastAsia="黑体"/>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spacing w:before="0" w:after="0" w:line="576" w:lineRule="exact"/>
        <w:ind w:firstLine="640" w:firstLineChars="200"/>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Lines="0" w:line="576" w:lineRule="exact"/>
        <w:ind w:firstLine="672" w:firstLineChars="210"/>
        <w:outlineLvl w:val="2"/>
        <w:rPr>
          <w:rFonts w:ascii="楷体" w:hAnsi="楷体" w:eastAsia="楷体"/>
          <w:bCs/>
          <w:color w:val="000000"/>
          <w:sz w:val="32"/>
          <w:szCs w:val="32"/>
        </w:rPr>
      </w:pPr>
      <w:bookmarkStart w:id="16" w:name="_Toc15377198"/>
      <w:bookmarkStart w:id="17" w:name="_Toc15378445"/>
      <w:r>
        <w:rPr>
          <w:rFonts w:hint="eastAsia" w:ascii="楷体" w:hAnsi="楷体" w:eastAsia="楷体"/>
          <w:bCs/>
          <w:color w:val="000000"/>
          <w:sz w:val="32"/>
          <w:szCs w:val="32"/>
        </w:rPr>
        <w:t>（一）基本职能</w:t>
      </w:r>
      <w:bookmarkEnd w:id="16"/>
      <w:bookmarkEnd w:id="17"/>
    </w:p>
    <w:p>
      <w:pPr>
        <w:spacing w:line="576" w:lineRule="exact"/>
        <w:ind w:firstLine="640" w:firstLineChars="200"/>
        <w:rPr>
          <w:rFonts w:ascii="方正仿宋简体" w:hAnsi="宋体" w:eastAsia="方正仿宋简体"/>
          <w:color w:val="000000"/>
          <w:sz w:val="32"/>
          <w:szCs w:val="32"/>
        </w:rPr>
      </w:pPr>
      <w:r>
        <w:rPr>
          <w:rFonts w:hint="eastAsia" w:ascii="方正仿宋简体" w:hAnsi="宋体" w:eastAsia="方正仿宋简体"/>
          <w:color w:val="000000"/>
          <w:sz w:val="32"/>
          <w:szCs w:val="32"/>
        </w:rPr>
        <w:t>中共广元市利州区纪委与广元市利州区监委实行合署办公，履行党的纪律检查和国家监察两项职能，在市纪委监委和中共广元市利州区委双重领导下开展工作。实行一套工作机构、两个机关名称。</w:t>
      </w:r>
    </w:p>
    <w:p>
      <w:pPr>
        <w:ind w:firstLine="640" w:firstLineChars="200"/>
        <w:rPr>
          <w:rFonts w:ascii="方正仿宋简体" w:eastAsia="方正仿宋简体"/>
          <w:sz w:val="32"/>
          <w:szCs w:val="32"/>
        </w:rPr>
      </w:pPr>
      <w:r>
        <w:rPr>
          <w:rFonts w:hint="eastAsia" w:ascii="方正仿宋简体" w:eastAsia="方正仿宋简体"/>
          <w:sz w:val="32"/>
          <w:szCs w:val="32"/>
        </w:rPr>
        <w:t>（一）负责党的纪律检查工作。贯彻落实党中央关于纪律检查工作的决定，维护党的章程和其他党内法规，检查党的路线方针政策和决议的执行情况，协助区委推进全面从严治党、加强党风建设和组织协调反腐败工作。</w:t>
      </w:r>
      <w:r>
        <w:rPr>
          <w:rFonts w:hint="eastAsia" w:ascii="方正仿宋简体" w:eastAsia="方正仿宋简体"/>
          <w:sz w:val="32"/>
          <w:szCs w:val="32"/>
        </w:rPr>
        <w:br w:type="textWrapping"/>
      </w:r>
      <w:r>
        <w:rPr>
          <w:rFonts w:hint="eastAsia" w:ascii="方正仿宋简体" w:eastAsia="方正仿宋简体"/>
          <w:sz w:val="32"/>
          <w:szCs w:val="32"/>
        </w:rPr>
        <w:t xml:space="preserve">    （二）依照党的章程和其他党内法规履行监督、执纪、问责职责。负责经常对党员进行遵守纪律的教育，作出关于维护党纪的决定。对区委工作机关、区委批准设立的党组织（党委），各乡镇（街道）党（工）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r>
        <w:rPr>
          <w:rFonts w:hint="eastAsia" w:ascii="方正仿宋简体" w:eastAsia="方正仿宋简体"/>
          <w:sz w:val="32"/>
          <w:szCs w:val="32"/>
        </w:rPr>
        <w:br w:type="textWrapping"/>
      </w:r>
      <w:r>
        <w:rPr>
          <w:rFonts w:hint="eastAsia" w:ascii="方正仿宋简体" w:eastAsia="方正仿宋简体"/>
          <w:sz w:val="32"/>
          <w:szCs w:val="32"/>
        </w:rPr>
        <w:t xml:space="preserve">    （三）负责全区监察工作。贯彻落实党中央关于监察工作的决定，维护宪法法律，依法对区委管理的行使公权力的公职人员进行监察，调查职务违法和职务犯罪，开展廉政建设和反腐败工作。</w:t>
      </w:r>
      <w:r>
        <w:rPr>
          <w:rFonts w:hint="eastAsia" w:ascii="方正仿宋简体" w:eastAsia="方正仿宋简体"/>
          <w:sz w:val="32"/>
          <w:szCs w:val="32"/>
        </w:rPr>
        <w:br w:type="textWrapping"/>
      </w:r>
      <w:r>
        <w:rPr>
          <w:rFonts w:hint="eastAsia" w:ascii="方正仿宋简体" w:eastAsia="方正仿宋简体"/>
          <w:sz w:val="32"/>
          <w:szCs w:val="32"/>
        </w:rPr>
        <w:t xml:space="preserve">    （四）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r>
        <w:rPr>
          <w:rFonts w:hint="eastAsia" w:ascii="方正仿宋简体" w:eastAsia="方正仿宋简体"/>
          <w:sz w:val="32"/>
          <w:szCs w:val="32"/>
        </w:rPr>
        <w:br w:type="textWrapping"/>
      </w:r>
      <w:r>
        <w:rPr>
          <w:rFonts w:hint="eastAsia" w:ascii="方正仿宋简体" w:eastAsia="方正仿宋简体"/>
          <w:sz w:val="32"/>
          <w:szCs w:val="32"/>
        </w:rPr>
        <w:t xml:space="preserve">    （五）负责组织协调全面从严治党、党风廉政建设和反腐败宣传教育工作。</w:t>
      </w:r>
      <w:r>
        <w:rPr>
          <w:rFonts w:hint="eastAsia" w:ascii="方正仿宋简体" w:eastAsia="方正仿宋简体"/>
          <w:sz w:val="32"/>
          <w:szCs w:val="32"/>
        </w:rPr>
        <w:br w:type="textWrapping"/>
      </w:r>
      <w:r>
        <w:rPr>
          <w:rFonts w:hint="eastAsia" w:ascii="方正仿宋简体" w:eastAsia="方正仿宋简体"/>
          <w:sz w:val="32"/>
          <w:szCs w:val="32"/>
        </w:rPr>
        <w:t xml:space="preserve">    （六）负责综合分析全面从严治党、党风廉政建设和反腐败工作情况，对纪检监察工作重要理论及实践问题进行调查研究。制定或者修改全区纪检监察规范性文件，参与起草制定相关法规和规范性文件。</w:t>
      </w:r>
      <w:r>
        <w:rPr>
          <w:rFonts w:hint="eastAsia" w:ascii="方正仿宋简体" w:eastAsia="方正仿宋简体"/>
          <w:sz w:val="32"/>
          <w:szCs w:val="32"/>
        </w:rPr>
        <w:br w:type="textWrapping"/>
      </w:r>
      <w:r>
        <w:rPr>
          <w:rFonts w:hint="eastAsia" w:ascii="方正仿宋简体" w:eastAsia="方正仿宋简体"/>
          <w:sz w:val="32"/>
          <w:szCs w:val="32"/>
        </w:rPr>
        <w:t xml:space="preserve">   （七）在市纪委监委的领导下，加强对反腐败国际追逃追赃和防逃工作的组织协调，督促有关单位做好相关工作。</w:t>
      </w:r>
      <w:r>
        <w:rPr>
          <w:rFonts w:hint="eastAsia" w:ascii="方正仿宋简体" w:eastAsia="方正仿宋简体"/>
          <w:sz w:val="32"/>
          <w:szCs w:val="32"/>
        </w:rPr>
        <w:br w:type="textWrapping"/>
      </w:r>
      <w:r>
        <w:rPr>
          <w:rFonts w:hint="eastAsia" w:ascii="方正仿宋简体" w:eastAsia="方正仿宋简体"/>
          <w:sz w:val="32"/>
          <w:szCs w:val="32"/>
        </w:rPr>
        <w:t xml:space="preserve">    （八）根据干部管理权限，负责纪检监察系统领导班子建设、干部队伍建设和组织建设的综合规划、政策研究、制度建设和业务指导。会同有关方面做好区纪委监委派驻（出）机构、乡镇（街道）纪（工）委（监察室）、区管企业和区属学校医院等企事业单位纪检监察机构领导班子建设有关工作。组织和指导全区纪检监察系统教育培训工作等。</w:t>
      </w:r>
      <w:r>
        <w:rPr>
          <w:rFonts w:hint="eastAsia" w:ascii="方正仿宋简体" w:eastAsia="方正仿宋简体"/>
          <w:sz w:val="32"/>
          <w:szCs w:val="32"/>
        </w:rPr>
        <w:br w:type="textWrapping"/>
      </w:r>
      <w:r>
        <w:rPr>
          <w:rFonts w:hint="eastAsia" w:ascii="方正仿宋简体" w:eastAsia="方正仿宋简体"/>
          <w:sz w:val="32"/>
          <w:szCs w:val="32"/>
        </w:rPr>
        <w:t xml:space="preserve">    （九）完成区委和市纪委监委交办的其他任务。</w:t>
      </w:r>
    </w:p>
    <w:p>
      <w:pPr>
        <w:pStyle w:val="5"/>
        <w:adjustRightInd w:val="0"/>
        <w:snapToGrid w:val="0"/>
        <w:spacing w:beforeLines="0" w:line="576" w:lineRule="exact"/>
        <w:ind w:firstLine="672" w:firstLineChars="210"/>
        <w:outlineLvl w:val="2"/>
        <w:rPr>
          <w:rFonts w:ascii="楷体" w:hAnsi="楷体" w:eastAsia="楷体"/>
          <w:bCs/>
          <w:color w:val="000000"/>
          <w:sz w:val="32"/>
          <w:szCs w:val="32"/>
        </w:rPr>
      </w:pPr>
      <w:bookmarkStart w:id="18" w:name="_Toc15378446"/>
      <w:bookmarkStart w:id="19" w:name="_Toc15377199"/>
      <w:r>
        <w:rPr>
          <w:rFonts w:hint="eastAsia" w:ascii="楷体" w:hAnsi="楷体" w:eastAsia="楷体"/>
          <w:bCs/>
          <w:color w:val="000000"/>
          <w:sz w:val="32"/>
          <w:szCs w:val="32"/>
        </w:rPr>
        <w:t>（二）</w:t>
      </w:r>
      <w:r>
        <w:rPr>
          <w:rFonts w:ascii="楷体" w:hAnsi="楷体" w:eastAsia="楷体"/>
          <w:bCs/>
          <w:color w:val="000000"/>
          <w:sz w:val="32"/>
          <w:szCs w:val="32"/>
        </w:rPr>
        <w:t>201</w:t>
      </w:r>
      <w:r>
        <w:rPr>
          <w:rFonts w:hint="eastAsia" w:ascii="楷体" w:hAnsi="楷体" w:eastAsia="楷体"/>
          <w:bCs/>
          <w:color w:val="000000"/>
          <w:sz w:val="32"/>
          <w:szCs w:val="32"/>
        </w:rPr>
        <w:t>9年主要工作完成情况</w:t>
      </w:r>
      <w:bookmarkEnd w:id="18"/>
      <w:bookmarkEnd w:id="19"/>
    </w:p>
    <w:p>
      <w:pPr>
        <w:spacing w:line="560" w:lineRule="exact"/>
        <w:ind w:firstLine="640" w:firstLineChars="200"/>
        <w:rPr>
          <w:rFonts w:ascii="方正仿宋简体" w:hAnsi="Calibri" w:eastAsia="方正仿宋简体"/>
          <w:sz w:val="32"/>
          <w:szCs w:val="32"/>
        </w:rPr>
      </w:pPr>
      <w:r>
        <w:rPr>
          <w:rFonts w:hint="eastAsia" w:ascii="方正仿宋简体" w:hAnsi="Calibri" w:eastAsia="方正仿宋简体"/>
          <w:sz w:val="32"/>
          <w:szCs w:val="32"/>
        </w:rPr>
        <w:t>一是突出政治引领，扛稳抓牢管党治党政治责任。认真研学习近平新时代中国特色社会主义思想，牢固树立“四个意识”，坚定“四个自信”，坚决做到“两个维护”。严格按照习近平总书记关于纪检监察干部要成为“立场坚定、意志坚强、行动坚决的表率”的要求，带头加强党的政治建设，不断提高政治站位、政治觉悟、政治能力。坚持以“两个责任”为统揽，积极协助区委落实主体责任，从严从实抓好监督责任，将党风廉政建设和反腐败工作年度任务细化分解为5个方面、39项；持续深化“一线赛马工作法”，认真落实“三张清单”制度，常态化开展述责述廉29人，问责党组织5个、党员干部39人。</w:t>
      </w:r>
    </w:p>
    <w:p>
      <w:pPr>
        <w:spacing w:line="560" w:lineRule="exact"/>
        <w:ind w:firstLine="640" w:firstLineChars="200"/>
        <w:rPr>
          <w:rFonts w:ascii="方正仿宋简体" w:hAnsi="Calibri" w:eastAsia="方正仿宋简体"/>
          <w:sz w:val="32"/>
          <w:szCs w:val="32"/>
        </w:rPr>
      </w:pPr>
      <w:r>
        <w:rPr>
          <w:rFonts w:hint="eastAsia" w:ascii="方正仿宋简体" w:hAnsi="Calibri" w:eastAsia="方正仿宋简体"/>
          <w:sz w:val="32"/>
          <w:szCs w:val="32"/>
        </w:rPr>
        <w:t>二是强化政治监督，有力推动决策落实工作落地。紧盯“两个维护”，加强对学习贯彻习近平新时代中国特色社会主义思想和“三大攻坚战”、高质量发展、机构改革等重大决策部署的监督检查，推动纪律监督、监察监督、巡察监督、派驻监督“四个全覆盖”。严格规范党内政治生活，细化落实彻底肃清周永康流毒影响具体措施，扎实做好蒲波案和赵自学案“以案促改”工作，全面根除政治生态污染源。贯通巡视巡察，全面接受省委第三巡视组对我区的巡视工作，从严从快办理巡视交办信访问题19件。扎实推进区委巡察工作，健全区委巡察工作“1＋4＋</w:t>
      </w:r>
      <w:r>
        <w:rPr>
          <w:rFonts w:ascii="方正仿宋简体" w:hAnsi="Calibri" w:eastAsia="方正仿宋简体"/>
          <w:sz w:val="32"/>
          <w:szCs w:val="32"/>
        </w:rPr>
        <w:t>N</w:t>
      </w:r>
      <w:r>
        <w:rPr>
          <w:rFonts w:hint="eastAsia" w:ascii="方正仿宋简体" w:hAnsi="Calibri" w:eastAsia="方正仿宋简体"/>
          <w:sz w:val="32"/>
          <w:szCs w:val="32"/>
        </w:rPr>
        <w:t>”制度体系，已完成巡察7轮61个单位，覆盖率达72％。</w:t>
      </w:r>
    </w:p>
    <w:p>
      <w:pPr>
        <w:spacing w:line="560" w:lineRule="exact"/>
        <w:ind w:firstLine="640" w:firstLineChars="200"/>
        <w:rPr>
          <w:rFonts w:ascii="方正仿宋简体" w:hAnsi="Calibri" w:eastAsia="方正仿宋简体"/>
          <w:sz w:val="32"/>
          <w:szCs w:val="32"/>
        </w:rPr>
      </w:pPr>
      <w:r>
        <w:rPr>
          <w:rFonts w:hint="eastAsia" w:ascii="方正仿宋简体" w:hAnsi="Calibri" w:eastAsia="方正仿宋简体"/>
          <w:sz w:val="32"/>
          <w:szCs w:val="32"/>
        </w:rPr>
        <w:t>三是聚焦突出问题，驰而不息深化纪律作风建设。认真落实中央八项规定及其实施细则精神，以整治形式主义、官僚主义为重点，持续推进“作风纪律深化年”活动，深入开展“九大专项整治”。以整治痕迹主义为抓手，取消本级留痕事项26项；探索开展“摘牌亮码”行动，将基层村社各类牌匾整合为1个“二维码”，推动为基层减负工作落实。聚焦专项整治漠视侵害群众利益问题，扎实推进“脱贫攻坚纪律作风保障年”活动，认真落实营商环境监督员制度，深挖彻查涉黑涉恶腐败和“保护伞”，深入开展“三公经费”专项整治，立案查处群众身边不正之风和腐败问题124件，纪律处分102人，组织处理43人。</w:t>
      </w:r>
    </w:p>
    <w:p>
      <w:pPr>
        <w:spacing w:line="560" w:lineRule="exact"/>
        <w:ind w:firstLine="640" w:firstLineChars="200"/>
        <w:rPr>
          <w:rFonts w:ascii="方正仿宋简体" w:hAnsi="Calibri" w:eastAsia="方正仿宋简体"/>
          <w:sz w:val="32"/>
          <w:szCs w:val="32"/>
        </w:rPr>
      </w:pPr>
      <w:r>
        <w:rPr>
          <w:rFonts w:hint="eastAsia" w:ascii="方正仿宋简体" w:hAnsi="Calibri" w:eastAsia="方正仿宋简体"/>
          <w:sz w:val="32"/>
          <w:szCs w:val="32"/>
        </w:rPr>
        <w:t>四是保持高压态势，一体推进不敢腐、不能腐、不想腐。坚持执纪为民，重拳惩治基层“微腐败”，严肃查处脱贫攻坚、强农惠农等领域违纪问题。全年共受理信访举报187件，处置问题线索312件，立案查处153件，纪律处分150人、组织处理2人，其中科级干部15人，移送检察机关审查起诉4人。有效运用监督执纪“四种形态”处理319人次，占比为51.7％、34.8％、5.6％、7.8％。做深做实“后半篇文章”，分层分类开展警示教育，深化家风立德建设“九大行动”，切实发挥川北家风馆教育引领作用，全年接待各类参观人员4.5万余人次。</w:t>
      </w:r>
    </w:p>
    <w:p>
      <w:pPr>
        <w:spacing w:line="560" w:lineRule="exact"/>
        <w:ind w:firstLine="640" w:firstLineChars="200"/>
        <w:rPr>
          <w:rFonts w:ascii="方正仿宋简体" w:hAnsi="Calibri" w:eastAsia="方正仿宋简体"/>
          <w:sz w:val="32"/>
          <w:szCs w:val="32"/>
        </w:rPr>
      </w:pPr>
      <w:r>
        <w:rPr>
          <w:rFonts w:hint="eastAsia" w:ascii="方正仿宋简体" w:hAnsi="Calibri" w:eastAsia="方正仿宋简体"/>
          <w:sz w:val="32"/>
          <w:szCs w:val="32"/>
        </w:rPr>
        <w:t>五是深化综合治理，全面提升党风廉政建设满意度。坚持在转变观念、压实责任、解决民生上下功夫，创新信访“大排查、大接访、大走访、大宣传”专项行动，开展“三级联动大接访”“纪委书记下基层”18次，受理群众信访诉求89件，解决民生问题200余个，以实干、实效赢得群众“点赞”。深化拓展社会监督，切实发挥特约监察员作用，持续办好“问政利州”节目。组织开展党风廉政建设社会评价模拟测评，</w:t>
      </w:r>
      <w:r>
        <w:rPr>
          <w:rFonts w:ascii="方正仿宋简体" w:hAnsi="Calibri" w:eastAsia="方正仿宋简体"/>
          <w:sz w:val="32"/>
          <w:szCs w:val="32"/>
        </w:rPr>
        <w:t>排查解决民生问题不力、村务公开不及时等问题</w:t>
      </w:r>
      <w:r>
        <w:rPr>
          <w:rFonts w:hint="eastAsia" w:ascii="方正仿宋简体" w:hAnsi="Calibri" w:eastAsia="方正仿宋简体"/>
          <w:sz w:val="32"/>
          <w:szCs w:val="32"/>
        </w:rPr>
        <w:t>5</w:t>
      </w:r>
      <w:r>
        <w:rPr>
          <w:rFonts w:ascii="方正仿宋简体" w:hAnsi="Calibri" w:eastAsia="方正仿宋简体"/>
          <w:sz w:val="32"/>
          <w:szCs w:val="32"/>
        </w:rPr>
        <w:t>类、</w:t>
      </w:r>
      <w:r>
        <w:rPr>
          <w:rFonts w:hint="eastAsia" w:ascii="方正仿宋简体" w:hAnsi="Calibri" w:eastAsia="方正仿宋简体"/>
          <w:sz w:val="32"/>
          <w:szCs w:val="32"/>
        </w:rPr>
        <w:t>143</w:t>
      </w:r>
      <w:r>
        <w:rPr>
          <w:rFonts w:ascii="方正仿宋简体" w:hAnsi="Calibri" w:eastAsia="方正仿宋简体"/>
          <w:sz w:val="32"/>
          <w:szCs w:val="32"/>
        </w:rPr>
        <w:t>个，印发整改通知书</w:t>
      </w:r>
      <w:r>
        <w:rPr>
          <w:rFonts w:hint="eastAsia" w:ascii="方正仿宋简体" w:hAnsi="Calibri" w:eastAsia="方正仿宋简体"/>
          <w:sz w:val="32"/>
          <w:szCs w:val="32"/>
        </w:rPr>
        <w:t>14</w:t>
      </w:r>
      <w:r>
        <w:rPr>
          <w:rFonts w:ascii="方正仿宋简体" w:hAnsi="Calibri" w:eastAsia="方正仿宋简体"/>
          <w:sz w:val="32"/>
          <w:szCs w:val="32"/>
        </w:rPr>
        <w:t>份，</w:t>
      </w:r>
      <w:r>
        <w:rPr>
          <w:rFonts w:hint="eastAsia" w:ascii="方正仿宋简体" w:hAnsi="Calibri" w:eastAsia="方正仿宋简体"/>
          <w:sz w:val="32"/>
          <w:szCs w:val="32"/>
        </w:rPr>
        <w:t>不断提升人民群众满意度、认可度。</w:t>
      </w:r>
    </w:p>
    <w:p>
      <w:pPr>
        <w:spacing w:line="560" w:lineRule="exact"/>
        <w:ind w:firstLine="800" w:firstLineChars="250"/>
        <w:rPr>
          <w:rFonts w:ascii="方正仿宋简体" w:hAnsi="Calibri" w:eastAsia="方正仿宋简体"/>
          <w:sz w:val="32"/>
          <w:szCs w:val="32"/>
        </w:rPr>
      </w:pPr>
      <w:r>
        <w:rPr>
          <w:rFonts w:hint="eastAsia" w:ascii="方正仿宋简体" w:hAnsi="Calibri" w:eastAsia="方正仿宋简体"/>
          <w:sz w:val="32"/>
          <w:szCs w:val="32"/>
        </w:rPr>
        <w:t>六是坚持从严从实，持续加强纪检监察队伍建设。按要求完成派驻机构改革和监察更名赋权，组建12个派驻纪检监察组和4个片区纪检监察组。积极探索纪法贯通、法法衔接有效途径，适用10项监察措施1345次，采取留置措施3人。统筹组织开展纪检监察干部全员培训，大力实施能力素质提升行动，通过上派下挂、跟案轮训、自主培训等方式830余人次。不断加大纪检监察系统党员干部使用交流力度，提拔任用33人次。进一步强化自我监督，严肃问责处理纪检监察干部履职不力、作风不实等问题，系统内批评教育7人，书面检查5人，立案查处1人。</w:t>
      </w:r>
    </w:p>
    <w:p>
      <w:pPr>
        <w:pStyle w:val="3"/>
        <w:ind w:firstLine="800" w:firstLineChars="250"/>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区纪委监委下属二级单位1个，其中行政单位0个，参照公务员法管理的事业单位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个，其他事业单位1个。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纳入区纪委</w:t>
      </w:r>
      <w:r>
        <w:rPr>
          <w:rFonts w:hint="eastAsia" w:ascii="仿宋" w:hAnsi="仿宋" w:eastAsia="仿宋"/>
          <w:sz w:val="32"/>
          <w:szCs w:val="32"/>
        </w:rPr>
        <w:t>监委</w:t>
      </w:r>
      <w:r>
        <w:rPr>
          <w:rFonts w:hint="eastAsia" w:ascii="仿宋" w:hAnsi="仿宋" w:eastAsia="仿宋"/>
          <w:color w:val="000000"/>
          <w:sz w:val="32"/>
          <w:szCs w:val="32"/>
        </w:rPr>
        <w:t>2019年度部门决算编制范围的二级预算单位包括：</w:t>
      </w:r>
      <w:bookmarkStart w:id="22" w:name="_Toc15396602"/>
      <w:bookmarkStart w:id="23" w:name="_Toc15377204"/>
    </w:p>
    <w:p>
      <w:pPr>
        <w:pStyle w:val="5"/>
        <w:numPr>
          <w:ilvl w:val="0"/>
          <w:numId w:val="1"/>
        </w:numPr>
        <w:adjustRightInd w:val="0"/>
        <w:snapToGrid w:val="0"/>
        <w:spacing w:before="93" w:line="600" w:lineRule="exact"/>
        <w:rPr>
          <w:rFonts w:ascii="仿宋" w:hAnsi="仿宋" w:eastAsia="仿宋"/>
          <w:color w:val="000000"/>
          <w:sz w:val="32"/>
          <w:szCs w:val="32"/>
        </w:rPr>
      </w:pPr>
      <w:r>
        <w:rPr>
          <w:rFonts w:hint="eastAsia" w:ascii="仿宋" w:hAnsi="仿宋" w:eastAsia="仿宋"/>
          <w:color w:val="000000"/>
          <w:sz w:val="32"/>
          <w:szCs w:val="32"/>
        </w:rPr>
        <w:t>区廉政教育中心</w:t>
      </w:r>
    </w:p>
    <w:p>
      <w:pPr>
        <w:pStyle w:val="5"/>
        <w:adjustRightInd w:val="0"/>
        <w:snapToGrid w:val="0"/>
        <w:spacing w:before="93" w:line="600" w:lineRule="exact"/>
        <w:ind w:left="1032"/>
        <w:rPr>
          <w:rFonts w:ascii="仿宋" w:hAnsi="仿宋" w:eastAsia="仿宋"/>
          <w:color w:val="000000"/>
          <w:sz w:val="32"/>
          <w:szCs w:val="32"/>
        </w:rPr>
      </w:pPr>
    </w:p>
    <w:p>
      <w:pPr>
        <w:pStyle w:val="5"/>
        <w:adjustRightInd w:val="0"/>
        <w:snapToGrid w:val="0"/>
        <w:spacing w:before="93" w:line="600" w:lineRule="exact"/>
        <w:jc w:val="center"/>
        <w:outlineLvl w:val="2"/>
        <w:rPr>
          <w:rStyle w:val="24"/>
          <w:rFonts w:ascii="黑体" w:hAnsi="黑体"/>
        </w:rPr>
      </w:pPr>
    </w:p>
    <w:p>
      <w:pPr>
        <w:pStyle w:val="5"/>
        <w:adjustRightInd w:val="0"/>
        <w:snapToGrid w:val="0"/>
        <w:spacing w:before="93" w:line="600" w:lineRule="exact"/>
        <w:jc w:val="center"/>
        <w:outlineLvl w:val="2"/>
        <w:rPr>
          <w:rStyle w:val="24"/>
          <w:rFonts w:ascii="黑体" w:hAnsi="黑体"/>
        </w:rPr>
      </w:pPr>
    </w:p>
    <w:p>
      <w:pPr>
        <w:pStyle w:val="5"/>
        <w:adjustRightInd w:val="0"/>
        <w:snapToGrid w:val="0"/>
        <w:spacing w:before="93" w:line="600" w:lineRule="exact"/>
        <w:jc w:val="center"/>
        <w:outlineLvl w:val="2"/>
        <w:rPr>
          <w:rStyle w:val="24"/>
          <w:rFonts w:ascii="黑体" w:hAnsi="黑体"/>
        </w:rPr>
      </w:pPr>
    </w:p>
    <w:p>
      <w:pPr>
        <w:pStyle w:val="5"/>
        <w:adjustRightInd w:val="0"/>
        <w:snapToGrid w:val="0"/>
        <w:spacing w:before="93" w:line="600" w:lineRule="exact"/>
        <w:jc w:val="center"/>
        <w:outlineLvl w:val="2"/>
        <w:rPr>
          <w:rStyle w:val="24"/>
          <w:rFonts w:ascii="黑体" w:hAnsi="黑体"/>
        </w:rPr>
      </w:pPr>
    </w:p>
    <w:p>
      <w:pPr>
        <w:pStyle w:val="5"/>
        <w:adjustRightInd w:val="0"/>
        <w:snapToGrid w:val="0"/>
        <w:spacing w:before="93" w:line="600" w:lineRule="exact"/>
        <w:jc w:val="center"/>
        <w:outlineLvl w:val="2"/>
        <w:rPr>
          <w:rStyle w:val="24"/>
          <w:rFonts w:ascii="黑体" w:hAnsi="黑体"/>
        </w:rPr>
      </w:pPr>
    </w:p>
    <w:p>
      <w:pPr>
        <w:pStyle w:val="5"/>
        <w:adjustRightInd w:val="0"/>
        <w:snapToGrid w:val="0"/>
        <w:spacing w:before="93" w:line="600" w:lineRule="exact"/>
        <w:jc w:val="center"/>
        <w:outlineLvl w:val="2"/>
        <w:rPr>
          <w:rStyle w:val="24"/>
          <w:rFonts w:ascii="黑体" w:hAnsi="黑体"/>
        </w:rPr>
      </w:pPr>
    </w:p>
    <w:p>
      <w:pPr>
        <w:pStyle w:val="5"/>
        <w:adjustRightInd w:val="0"/>
        <w:snapToGrid w:val="0"/>
        <w:spacing w:before="93" w:line="600" w:lineRule="exact"/>
        <w:jc w:val="center"/>
        <w:outlineLvl w:val="2"/>
        <w:rPr>
          <w:rStyle w:val="24"/>
          <w:rFonts w:ascii="黑体" w:hAnsi="黑体"/>
        </w:rPr>
      </w:pPr>
    </w:p>
    <w:p>
      <w:pPr>
        <w:pStyle w:val="5"/>
        <w:adjustRightInd w:val="0"/>
        <w:snapToGrid w:val="0"/>
        <w:spacing w:before="93" w:line="600" w:lineRule="exact"/>
        <w:jc w:val="center"/>
        <w:outlineLvl w:val="2"/>
        <w:rPr>
          <w:rStyle w:val="24"/>
          <w:rFonts w:ascii="黑体" w:hAnsi="黑体"/>
        </w:rPr>
      </w:pPr>
    </w:p>
    <w:p>
      <w:pPr>
        <w:pStyle w:val="5"/>
        <w:adjustRightInd w:val="0"/>
        <w:snapToGrid w:val="0"/>
        <w:spacing w:before="93" w:line="600" w:lineRule="exact"/>
        <w:jc w:val="center"/>
        <w:outlineLvl w:val="2"/>
        <w:rPr>
          <w:rStyle w:val="24"/>
          <w:rFonts w:ascii="黑体" w:hAnsi="黑体"/>
        </w:rPr>
      </w:pPr>
    </w:p>
    <w:p>
      <w:pPr>
        <w:pStyle w:val="5"/>
        <w:adjustRightInd w:val="0"/>
        <w:snapToGrid w:val="0"/>
        <w:spacing w:before="93" w:line="600" w:lineRule="exact"/>
        <w:jc w:val="center"/>
        <w:outlineLvl w:val="2"/>
        <w:rPr>
          <w:rStyle w:val="24"/>
          <w:rFonts w:ascii="黑体" w:hAnsi="黑体"/>
        </w:rPr>
      </w:pPr>
    </w:p>
    <w:p>
      <w:pPr>
        <w:pStyle w:val="5"/>
        <w:adjustRightInd w:val="0"/>
        <w:snapToGrid w:val="0"/>
        <w:spacing w:before="93" w:line="600" w:lineRule="exact"/>
        <w:jc w:val="center"/>
        <w:outlineLvl w:val="2"/>
        <w:rPr>
          <w:rStyle w:val="24"/>
          <w:rFonts w:ascii="黑体" w:hAnsi="黑体"/>
        </w:rPr>
      </w:pPr>
    </w:p>
    <w:p>
      <w:pPr>
        <w:pStyle w:val="5"/>
        <w:adjustRightInd w:val="0"/>
        <w:snapToGrid w:val="0"/>
        <w:spacing w:before="93" w:line="600" w:lineRule="exact"/>
        <w:jc w:val="center"/>
        <w:outlineLvl w:val="2"/>
        <w:rPr>
          <w:rStyle w:val="24"/>
          <w:rFonts w:ascii="黑体" w:hAnsi="黑体"/>
        </w:rPr>
      </w:pPr>
    </w:p>
    <w:p>
      <w:pPr>
        <w:pStyle w:val="5"/>
        <w:adjustRightInd w:val="0"/>
        <w:snapToGrid w:val="0"/>
        <w:spacing w:before="93" w:line="600" w:lineRule="exact"/>
        <w:jc w:val="center"/>
        <w:outlineLvl w:val="2"/>
        <w:rPr>
          <w:rStyle w:val="24"/>
          <w:rFonts w:ascii="黑体" w:hAnsi="黑体"/>
        </w:rPr>
      </w:pPr>
    </w:p>
    <w:p>
      <w:pPr>
        <w:pStyle w:val="5"/>
        <w:adjustRightInd w:val="0"/>
        <w:snapToGrid w:val="0"/>
        <w:spacing w:before="93" w:line="600" w:lineRule="exact"/>
        <w:jc w:val="center"/>
        <w:outlineLvl w:val="2"/>
        <w:rPr>
          <w:rStyle w:val="24"/>
          <w:rFonts w:ascii="黑体" w:hAnsi="黑体" w:eastAsia="黑体"/>
          <w:b w:val="0"/>
          <w:bCs w:val="0"/>
        </w:rPr>
      </w:pPr>
      <w:r>
        <w:rPr>
          <w:rStyle w:val="24"/>
          <w:rFonts w:hint="eastAsia" w:ascii="黑体" w:hAnsi="黑体" w:eastAsia="黑体"/>
          <w:b w:val="0"/>
          <w:bCs w:val="0"/>
        </w:rPr>
        <w:t>第二部分  2019年度部门决算情况说明</w:t>
      </w:r>
      <w:bookmarkEnd w:id="22"/>
      <w:bookmarkEnd w:id="23"/>
    </w:p>
    <w:p/>
    <w:p>
      <w:pPr>
        <w:pStyle w:val="23"/>
        <w:numPr>
          <w:ilvl w:val="0"/>
          <w:numId w:val="2"/>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方正仿宋简体" w:hAnsi="仿宋" w:eastAsia="方正仿宋简体"/>
          <w:color w:val="000000"/>
          <w:sz w:val="32"/>
          <w:szCs w:val="32"/>
        </w:rPr>
      </w:pPr>
      <w:r>
        <w:rPr>
          <w:rFonts w:hint="eastAsia" w:ascii="仿宋" w:hAnsi="仿宋" w:eastAsia="仿宋"/>
          <w:color w:val="000000"/>
          <w:sz w:val="32"/>
          <w:szCs w:val="32"/>
        </w:rPr>
        <w:t>2019年度收入合计1008.29万元，与2018年（784.69万元）相比，收入增加223.60万元，增长28.50</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方正仿宋简体" w:hAnsi="仿宋" w:eastAsia="方正仿宋简体"/>
          <w:color w:val="000000"/>
          <w:sz w:val="32"/>
          <w:szCs w:val="32"/>
        </w:rPr>
        <w:t>监察体制改革后，人员增加较多，人员经费增长幅度较大。</w:t>
      </w:r>
    </w:p>
    <w:p>
      <w:pPr>
        <w:spacing w:line="6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2019年度支出合计997.88万元，与2018年（823.96万元）相比，支出增加173.92万元，增长21.11%。</w:t>
      </w:r>
      <w:r>
        <w:rPr>
          <w:rFonts w:hint="eastAsia" w:ascii="仿宋" w:hAnsi="仿宋" w:eastAsia="仿宋"/>
          <w:color w:val="000000"/>
          <w:sz w:val="32"/>
          <w:szCs w:val="32"/>
        </w:rPr>
        <w:t>主要变动原因是</w:t>
      </w:r>
      <w:r>
        <w:rPr>
          <w:rFonts w:hint="eastAsia" w:ascii="方正仿宋简体" w:hAnsi="仿宋" w:eastAsia="方正仿宋简体"/>
          <w:color w:val="000000"/>
          <w:sz w:val="32"/>
          <w:szCs w:val="32"/>
        </w:rPr>
        <w:t>监察体制改革后，人员增加较多，人员经费支出增加幅度较大。</w:t>
      </w:r>
    </w:p>
    <w:p>
      <w:pPr>
        <w:spacing w:line="6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（图</w:t>
      </w:r>
      <w:r>
        <w:rPr>
          <w:rFonts w:ascii="方正仿宋简体" w:hAnsi="仿宋" w:eastAsia="方正仿宋简体"/>
          <w:color w:val="000000"/>
          <w:sz w:val="32"/>
          <w:szCs w:val="32"/>
        </w:rPr>
        <w:t>1</w:t>
      </w:r>
      <w:r>
        <w:rPr>
          <w:rFonts w:hint="eastAsia" w:ascii="方正仿宋简体" w:hAnsi="仿宋" w:eastAsia="方正仿宋简体"/>
          <w:color w:val="000000"/>
          <w:sz w:val="32"/>
          <w:szCs w:val="32"/>
        </w:rPr>
        <w:t>：收、支决算总计变动情况图）（柱状图）</w:t>
      </w:r>
    </w:p>
    <w:p>
      <w:pPr>
        <w:spacing w:line="600" w:lineRule="exact"/>
        <w:ind w:firstLine="640" w:firstLineChars="200"/>
        <w:rPr>
          <w:rFonts w:ascii="仿宋_GB2312" w:eastAsia="仿宋_GB2312"/>
          <w:color w:val="000000"/>
          <w:sz w:val="32"/>
          <w:szCs w:val="32"/>
        </w:rPr>
      </w:pPr>
    </w:p>
    <w:p>
      <w:pPr>
        <w:spacing w:line="600" w:lineRule="exact"/>
        <w:ind w:firstLine="640" w:firstLineChars="200"/>
        <w:rPr>
          <w:rStyle w:val="25"/>
          <w:rFonts w:ascii="黑体" w:hAnsi="黑体" w:eastAsia="黑体"/>
          <w:b w:val="0"/>
        </w:rPr>
      </w:pPr>
      <w:r>
        <w:rPr>
          <w:rFonts w:ascii="仿宋_GB2312" w:eastAsia="仿宋_GB2312"/>
          <w:color w:val="000000"/>
          <w:sz w:val="32"/>
          <w:szCs w:val="32"/>
        </w:rPr>
        <w:pict>
          <v:shape id="对象 1" o:spid="_x0000_s2050" o:spt="75" type="#_x0000_t75" style="position:absolute;left:0pt;margin-left:8.7pt;margin-top:-29.05pt;height:189.8pt;width:426.75pt;mso-wrap-distance-bottom:0pt;mso-wrap-distance-top:0pt;z-index:-251658240;mso-width-relative:page;mso-height-relative:page;" o:ole="t" filled="f" o:preferrelative="t" stroked="f" coordsize="21600,21600">
            <v:path/>
            <v:fill on="f" focussize="0,0"/>
            <v:stroke on="f" joinstyle="miter"/>
            <v:imagedata r:id="rId7" o:title=""/>
            <o:lock v:ext="edit" aspectratio="t"/>
            <w10:wrap type="topAndBottom"/>
          </v:shape>
          <o:OLEObject Type="Embed" ProgID="Excel.Sheet.8" ShapeID="对象 1" DrawAspect="Content" ObjectID="_1468075725" r:id="rId6">
            <o:LockedField>false</o:LockedField>
          </o:OLEObject>
        </w:pict>
      </w:r>
      <w:bookmarkStart w:id="26" w:name="_Toc15377206"/>
      <w:bookmarkStart w:id="27" w:name="_Toc15396604"/>
      <w:r>
        <w:rPr>
          <w:rFonts w:hint="eastAsia" w:ascii="黑体" w:hAnsi="黑体" w:eastAsia="黑体"/>
          <w:color w:val="000000"/>
          <w:sz w:val="32"/>
          <w:szCs w:val="32"/>
        </w:rPr>
        <w:t>二、收</w:t>
      </w:r>
      <w:r>
        <w:rPr>
          <w:rStyle w:val="25"/>
          <w:rFonts w:hint="eastAsia" w:ascii="黑体" w:hAnsi="黑体" w:eastAsia="黑体"/>
          <w:b w:val="0"/>
        </w:rPr>
        <w:t>入决算情况说明</w:t>
      </w:r>
      <w:bookmarkEnd w:id="26"/>
      <w:bookmarkEnd w:id="27"/>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9年本年收入合计1008.29万元，其中：一般公共预算财政拨款收入1008.29万元，占100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1440" w:firstLineChars="450"/>
        <w:rPr>
          <w:rFonts w:ascii="方正仿宋简体" w:hAnsi="仿宋" w:eastAsia="方正仿宋简体"/>
          <w:color w:val="000000"/>
          <w:sz w:val="32"/>
          <w:szCs w:val="32"/>
        </w:rPr>
      </w:pPr>
      <w:r>
        <w:rPr>
          <w:rFonts w:hint="eastAsia" w:ascii="方正仿宋简体" w:hAnsi="仿宋" w:eastAsia="方正仿宋简体"/>
          <w:color w:val="000000"/>
          <w:sz w:val="32"/>
          <w:szCs w:val="32"/>
        </w:rPr>
        <w:t>（图2：收入决算结构图）（饼状图）</w:t>
      </w:r>
    </w:p>
    <w:p>
      <w:pPr>
        <w:spacing w:line="600" w:lineRule="exact"/>
        <w:rPr>
          <w:rFonts w:ascii="仿宋" w:hAnsi="仿宋" w:eastAsia="仿宋"/>
          <w:color w:val="000000"/>
          <w:sz w:val="32"/>
          <w:szCs w:val="32"/>
        </w:rPr>
      </w:pPr>
    </w:p>
    <w:p>
      <w:pPr>
        <w:spacing w:line="600" w:lineRule="exact"/>
        <w:outlineLvl w:val="1"/>
        <w:rPr>
          <w:rFonts w:ascii="方正仿宋简体" w:hAnsi="仿宋" w:eastAsia="方正仿宋简体"/>
          <w:color w:val="000000"/>
          <w:sz w:val="32"/>
          <w:szCs w:val="32"/>
        </w:rPr>
      </w:pPr>
    </w:p>
    <w:p>
      <w:pPr>
        <w:spacing w:line="600" w:lineRule="exact"/>
        <w:ind w:firstLine="640" w:firstLineChars="200"/>
        <w:rPr>
          <w:rStyle w:val="25"/>
          <w:rFonts w:ascii="黑体" w:hAnsi="黑体" w:eastAsia="黑体"/>
          <w:b w:val="0"/>
        </w:rPr>
      </w:pPr>
      <w:r>
        <w:rPr>
          <w:rFonts w:ascii="仿宋_GB2312" w:eastAsia="仿宋_GB2312"/>
          <w:color w:val="FF0000"/>
          <w:sz w:val="32"/>
          <w:szCs w:val="32"/>
        </w:rPr>
        <w:pict>
          <v:shape id="对象 2" o:spid="_x0000_s2051" o:spt="75" type="#_x0000_t75" style="position:absolute;left:0pt;margin-left:45.3pt;margin-top:-31.75pt;height:132.95pt;width:349.1pt;mso-wrap-distance-bottom:0pt;mso-wrap-distance-top:0pt;z-index:251659264;mso-width-relative:page;mso-height-relative:page;" o:ole="t" filled="f" o:preferrelative="t" stroked="f" coordsize="21600,21600">
            <v:path/>
            <v:fill on="f" focussize="0,0"/>
            <v:stroke on="f" joinstyle="miter"/>
            <v:imagedata r:id="rId9" o:title=""/>
            <o:lock v:ext="edit" aspectratio="t"/>
            <w10:wrap type="topAndBottom"/>
          </v:shape>
          <o:OLEObject Type="Embed" ProgID="Excel.Sheet.8" ShapeID="对象 2" DrawAspect="Content" ObjectID="_1468075726" r:id="rId8">
            <o:LockedField>false</o:LockedField>
          </o:OLEObject>
        </w:pict>
      </w:r>
      <w:bookmarkStart w:id="28" w:name="_Toc15396605"/>
      <w:bookmarkStart w:id="29" w:name="_Toc15377207"/>
      <w:r>
        <w:rPr>
          <w:rFonts w:hint="eastAsia" w:ascii="黑体" w:hAnsi="黑体" w:eastAsia="黑体"/>
          <w:color w:val="000000"/>
          <w:sz w:val="32"/>
          <w:szCs w:val="32"/>
        </w:rPr>
        <w:t>三 、支</w:t>
      </w:r>
      <w:r>
        <w:rPr>
          <w:rStyle w:val="25"/>
          <w:rFonts w:hint="eastAsia" w:ascii="黑体" w:hAnsi="黑体" w:eastAsia="黑体"/>
          <w:b w:val="0"/>
        </w:rPr>
        <w:t>出决算情况说明</w:t>
      </w:r>
      <w:bookmarkEnd w:id="28"/>
      <w:bookmarkEnd w:id="2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9年本年支出合计997.88万元，其中：基本支出963.88万元，占96.59</w:t>
      </w:r>
      <w:r>
        <w:rPr>
          <w:rFonts w:ascii="仿宋" w:hAnsi="仿宋" w:eastAsia="仿宋"/>
          <w:color w:val="000000"/>
          <w:sz w:val="32"/>
          <w:szCs w:val="32"/>
        </w:rPr>
        <w:t>%</w:t>
      </w:r>
      <w:r>
        <w:rPr>
          <w:rFonts w:hint="eastAsia" w:ascii="仿宋" w:hAnsi="仿宋" w:eastAsia="仿宋"/>
          <w:color w:val="000000"/>
          <w:sz w:val="32"/>
          <w:szCs w:val="32"/>
        </w:rPr>
        <w:t>；项目支出34.00万元，占3.41</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方正仿宋简体" w:hAnsi="仿宋" w:eastAsia="方正仿宋简体"/>
          <w:color w:val="000000"/>
          <w:sz w:val="32"/>
          <w:szCs w:val="32"/>
        </w:rPr>
      </w:pPr>
      <w:r>
        <w:rPr>
          <w:rFonts w:ascii="方正仿宋简体" w:hAnsi="仿宋" w:eastAsia="方正仿宋简体"/>
          <w:color w:val="000000"/>
          <w:sz w:val="32"/>
          <w:szCs w:val="32"/>
        </w:rPr>
        <w:pict>
          <v:shape id="_x0000_s2052" o:spid="_x0000_s2052" o:spt="75" type="#_x0000_t75" style="position:absolute;left:0pt;margin-left:14.9pt;margin-top:38.95pt;height:145.55pt;width:374.25pt;mso-wrap-distance-bottom:0pt;mso-wrap-distance-top:0pt;z-index:251660288;mso-width-relative:page;mso-height-relative:page;" o:ole="t" filled="f" o:preferrelative="t" stroked="f" coordsize="21600,21600">
            <v:path/>
            <v:fill on="f" focussize="0,0"/>
            <v:stroke on="f" joinstyle="miter"/>
            <v:imagedata r:id="rId11" o:title=""/>
            <o:lock v:ext="edit" aspectratio="t"/>
            <w10:wrap type="topAndBottom"/>
          </v:shape>
          <o:OLEObject Type="Embed" ProgID="Excel.Sheet.8" ShapeID="_x0000_s2052" DrawAspect="Content" ObjectID="_1468075727" r:id="rId10">
            <o:LockedField>false</o:LockedField>
          </o:OLEObject>
        </w:pict>
      </w:r>
      <w:r>
        <w:rPr>
          <w:rFonts w:hint="eastAsia" w:ascii="方正仿宋简体" w:hAnsi="仿宋" w:eastAsia="方正仿宋简体"/>
          <w:color w:val="000000"/>
          <w:sz w:val="32"/>
          <w:szCs w:val="32"/>
        </w:rPr>
        <w:t>（图3：支出决算结构图）（饼状图）</w: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方正仿宋简体" w:hAnsi="仿宋" w:eastAsia="方正仿宋简体"/>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9年财政拨款收入总计1008.29万元。与</w:t>
      </w:r>
      <w:r>
        <w:rPr>
          <w:rFonts w:ascii="仿宋" w:hAnsi="仿宋" w:eastAsia="仿宋"/>
          <w:color w:val="000000"/>
          <w:sz w:val="32"/>
          <w:szCs w:val="32"/>
        </w:rPr>
        <w:t>201</w:t>
      </w:r>
      <w:r>
        <w:rPr>
          <w:rFonts w:hint="eastAsia" w:ascii="仿宋" w:hAnsi="仿宋" w:eastAsia="仿宋"/>
          <w:color w:val="000000"/>
          <w:sz w:val="32"/>
          <w:szCs w:val="32"/>
        </w:rPr>
        <w:t>8年784.69万元）相比，收入增加223.60万元，增长28.50</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方正仿宋简体" w:hAnsi="仿宋" w:eastAsia="方正仿宋简体"/>
          <w:color w:val="000000"/>
          <w:sz w:val="32"/>
          <w:szCs w:val="32"/>
        </w:rPr>
        <w:t>监察体制改革后，人员增加较多，人员经费增长幅度较大。</w:t>
      </w:r>
    </w:p>
    <w:p>
      <w:pPr>
        <w:spacing w:line="600" w:lineRule="exact"/>
        <w:ind w:firstLine="640" w:firstLineChars="200"/>
        <w:rPr>
          <w:rFonts w:ascii="方正仿宋简体" w:hAnsi="仿宋" w:eastAsia="方正仿宋简体"/>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9年财政拨款支出总计997.88万元，</w:t>
      </w:r>
      <w:r>
        <w:rPr>
          <w:rFonts w:hint="eastAsia" w:ascii="方正仿宋简体" w:hAnsi="仿宋" w:eastAsia="方正仿宋简体"/>
          <w:color w:val="000000"/>
          <w:sz w:val="32"/>
          <w:szCs w:val="32"/>
        </w:rPr>
        <w:t>与2018年（823.96万元）相比，支出增加173.92万元，增长21.11%。</w:t>
      </w:r>
      <w:r>
        <w:rPr>
          <w:rFonts w:hint="eastAsia" w:ascii="仿宋" w:hAnsi="仿宋" w:eastAsia="仿宋"/>
          <w:color w:val="000000"/>
          <w:sz w:val="32"/>
          <w:szCs w:val="32"/>
        </w:rPr>
        <w:t>主要变动原因是</w:t>
      </w:r>
      <w:r>
        <w:rPr>
          <w:rFonts w:hint="eastAsia" w:ascii="方正仿宋简体" w:hAnsi="仿宋" w:eastAsia="方正仿宋简体"/>
          <w:color w:val="000000"/>
          <w:sz w:val="32"/>
          <w:szCs w:val="32"/>
        </w:rPr>
        <w:t>监察体制改革后，人员增加较多，人员经费支出增加幅度较大。</w:t>
      </w:r>
    </w:p>
    <w:p>
      <w:pPr>
        <w:spacing w:line="6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（图4：财政拨款收、支决算总计变动情况）（柱状图）</w:t>
      </w:r>
    </w:p>
    <w:p>
      <w:pPr>
        <w:spacing w:line="600" w:lineRule="exact"/>
        <w:ind w:firstLine="640" w:firstLineChars="200"/>
        <w:rPr>
          <w:rFonts w:ascii="方正仿宋简体" w:hAnsi="仿宋" w:eastAsia="方正仿宋简体"/>
          <w:color w:val="000000"/>
          <w:sz w:val="32"/>
          <w:szCs w:val="32"/>
        </w:rPr>
      </w:pPr>
    </w:p>
    <w:p>
      <w:pPr>
        <w:spacing w:line="600" w:lineRule="exact"/>
        <w:ind w:firstLine="640" w:firstLineChars="200"/>
        <w:rPr>
          <w:rFonts w:ascii="仿宋" w:hAnsi="仿宋" w:eastAsia="仿宋"/>
          <w:b/>
          <w:color w:val="00B050"/>
          <w:sz w:val="32"/>
          <w:szCs w:val="32"/>
        </w:rPr>
      </w:pPr>
      <w:r>
        <w:rPr>
          <w:rFonts w:ascii="方正仿宋简体" w:hAnsi="仿宋" w:eastAsia="方正仿宋简体"/>
          <w:color w:val="000000"/>
          <w:sz w:val="32"/>
          <w:szCs w:val="32"/>
        </w:rPr>
        <w:pict>
          <v:shape id="_x0000_s2053" o:spid="_x0000_s2053" o:spt="75" type="#_x0000_t75" style="position:absolute;left:0pt;margin-left:-4.4pt;margin-top:5.15pt;height:230.3pt;width:480.05pt;mso-wrap-distance-bottom:0pt;mso-wrap-distance-left:9pt;mso-wrap-distance-right:9pt;mso-wrap-distance-top:0pt;z-index:251661312;mso-width-relative:page;mso-height-relative:page;" o:ole="t" filled="f" o:preferrelative="t" stroked="f" coordsize="21600,21600" o:gfxdata="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">
            <v:path/>
            <v:fill on="f" focussize="0,0"/>
            <v:stroke on="f" joinstyle="miter"/>
            <v:imagedata r:id="rId13" o:title=""/>
            <o:lock v:ext="edit" aspectratio="t"/>
            <w10:wrap type="square"/>
          </v:shape>
          <o:OLEObject Type="Embed" ProgID="Excel.Sheet.8" ShapeID="_x0000_s2053" DrawAspect="Content" ObjectID="_1468075728" r:id="rId12">
            <o:LockedField>false</o:LockedField>
          </o:OLEObject>
        </w:pict>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pStyle w:val="5"/>
        <w:adjustRightInd w:val="0"/>
        <w:snapToGrid w:val="0"/>
        <w:spacing w:beforeLines="0" w:line="576" w:lineRule="exact"/>
        <w:ind w:firstLine="672" w:firstLineChars="210"/>
        <w:outlineLvl w:val="2"/>
        <w:rPr>
          <w:rFonts w:ascii="楷体" w:hAnsi="楷体" w:eastAsia="楷体"/>
          <w:bCs/>
          <w:color w:val="000000"/>
          <w:sz w:val="32"/>
          <w:szCs w:val="32"/>
        </w:rPr>
      </w:pPr>
      <w:bookmarkStart w:id="34" w:name="_Toc15377210"/>
      <w:r>
        <w:rPr>
          <w:rFonts w:hint="eastAsia" w:ascii="楷体" w:hAnsi="楷体" w:eastAsia="楷体"/>
          <w:bCs/>
          <w:color w:val="000000"/>
          <w:sz w:val="32"/>
          <w:szCs w:val="32"/>
        </w:rPr>
        <w:t>（一）一般公共预算财政拨款支出决算总体情况</w:t>
      </w:r>
      <w:bookmarkEnd w:id="34"/>
    </w:p>
    <w:p>
      <w:pPr>
        <w:spacing w:line="600" w:lineRule="exact"/>
        <w:ind w:firstLine="640" w:firstLineChars="200"/>
        <w:rPr>
          <w:rFonts w:ascii="方正仿宋简体" w:hAnsi="仿宋" w:eastAsia="方正仿宋简体"/>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9年一般公共预算财政拨款支出997.88万元，占本年支出合计的100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w:t>
      </w:r>
      <w:r>
        <w:rPr>
          <w:rFonts w:hint="eastAsia" w:ascii="方正仿宋简体" w:hAnsi="仿宋" w:eastAsia="方正仿宋简体"/>
          <w:color w:val="000000"/>
          <w:sz w:val="32"/>
          <w:szCs w:val="32"/>
        </w:rPr>
        <w:t>（823.96万元）</w:t>
      </w:r>
      <w:r>
        <w:rPr>
          <w:rFonts w:hint="eastAsia" w:ascii="仿宋" w:hAnsi="仿宋" w:eastAsia="仿宋"/>
          <w:color w:val="000000"/>
          <w:sz w:val="32"/>
          <w:szCs w:val="32"/>
        </w:rPr>
        <w:t>相比，一般公共预算财政拨</w:t>
      </w:r>
      <w:r>
        <w:rPr>
          <w:rFonts w:hint="eastAsia" w:ascii="方正仿宋简体" w:hAnsi="仿宋" w:eastAsia="方正仿宋简体"/>
          <w:color w:val="000000"/>
          <w:sz w:val="32"/>
          <w:szCs w:val="32"/>
        </w:rPr>
        <w:t>款支出增加173.92万元，增长21.11%。</w:t>
      </w:r>
      <w:r>
        <w:rPr>
          <w:rFonts w:hint="eastAsia" w:ascii="仿宋" w:hAnsi="仿宋" w:eastAsia="仿宋"/>
          <w:color w:val="000000"/>
          <w:sz w:val="32"/>
          <w:szCs w:val="32"/>
        </w:rPr>
        <w:t>主要变动原因是</w:t>
      </w:r>
      <w:r>
        <w:rPr>
          <w:rFonts w:hint="eastAsia" w:ascii="方正仿宋简体" w:hAnsi="仿宋" w:eastAsia="方正仿宋简体"/>
          <w:color w:val="000000"/>
          <w:sz w:val="32"/>
          <w:szCs w:val="32"/>
        </w:rPr>
        <w:t>监察体制改革后，人员增加较多，人员经费支出增加幅度较大。</w:t>
      </w:r>
    </w:p>
    <w:p>
      <w:pPr>
        <w:spacing w:line="6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（图5：一般公共预算财政拨款支出决算变动情况）（柱状图）</w:t>
      </w:r>
    </w:p>
    <w:p>
      <w:pPr>
        <w:spacing w:line="600" w:lineRule="exact"/>
        <w:ind w:firstLine="640" w:firstLineChars="200"/>
        <w:rPr>
          <w:rFonts w:ascii="方正仿宋简体" w:hAnsi="仿宋" w:eastAsia="方正仿宋简体"/>
          <w:color w:val="000000"/>
          <w:sz w:val="32"/>
          <w:szCs w:val="32"/>
        </w:rPr>
      </w:pPr>
    </w:p>
    <w:p>
      <w:pPr>
        <w:spacing w:line="600" w:lineRule="exact"/>
        <w:ind w:firstLine="640" w:firstLineChars="200"/>
        <w:rPr>
          <w:rFonts w:ascii="仿宋" w:hAnsi="仿宋" w:eastAsia="仿宋"/>
          <w:color w:val="000000" w:themeColor="text1"/>
          <w:sz w:val="32"/>
          <w:szCs w:val="32"/>
        </w:rPr>
      </w:pPr>
      <w:r>
        <w:rPr>
          <w:rFonts w:ascii="仿宋" w:hAnsi="仿宋" w:eastAsia="仿宋"/>
          <w:color w:val="FF0000"/>
          <w:sz w:val="32"/>
          <w:szCs w:val="32"/>
        </w:rPr>
        <w:pict>
          <v:shape id="对象 5" o:spid="_x0000_s2054" o:spt="75" type="#_x0000_t75" style="position:absolute;left:0pt;margin-left:35.7pt;margin-top:7.65pt;height:135.8pt;width:320.3pt;mso-wrap-distance-bottom:0pt;mso-wrap-distance-top:0pt;z-index:251662336;mso-width-relative:page;mso-height-relative:page;" o:ole="t" filled="f" o:preferrelative="t" stroked="f" coordsize="21600,21600" o:gfxdata="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">
            <v:path/>
            <v:fill on="f" focussize="0,0"/>
            <v:stroke on="f" joinstyle="miter"/>
            <v:imagedata r:id="rId15" o:title=""/>
            <o:lock v:ext="edit" aspectratio="t"/>
            <w10:wrap type="topAndBottom"/>
          </v:shape>
          <o:OLEObject Type="Embed" ProgID="Excel.Sheet.8" ShapeID="对象 5" DrawAspect="Content" ObjectID="_1468075729" r:id="rId14">
            <o:LockedField>false</o:LockedField>
          </o:OLEObject>
        </w:pict>
      </w:r>
    </w:p>
    <w:p>
      <w:pPr>
        <w:pStyle w:val="5"/>
        <w:adjustRightInd w:val="0"/>
        <w:snapToGrid w:val="0"/>
        <w:spacing w:beforeLines="0" w:line="576" w:lineRule="exact"/>
        <w:ind w:firstLine="672" w:firstLineChars="210"/>
        <w:outlineLvl w:val="2"/>
        <w:rPr>
          <w:rFonts w:ascii="楷体" w:hAnsi="楷体" w:eastAsia="楷体"/>
          <w:bCs/>
          <w:color w:val="000000"/>
          <w:sz w:val="32"/>
          <w:szCs w:val="32"/>
        </w:rPr>
      </w:pPr>
      <w:bookmarkStart w:id="35" w:name="_Toc15377211"/>
      <w:r>
        <w:rPr>
          <w:rFonts w:hint="eastAsia" w:ascii="楷体" w:hAnsi="楷体" w:eastAsia="楷体"/>
          <w:bCs/>
          <w:color w:val="000000"/>
          <w:sz w:val="32"/>
          <w:szCs w:val="32"/>
        </w:rPr>
        <w:t>（二）一般公共预算财政拨款支出决算结构情况</w:t>
      </w:r>
      <w:bookmarkEnd w:id="35"/>
    </w:p>
    <w:p>
      <w:pPr>
        <w:spacing w:line="600" w:lineRule="exact"/>
        <w:ind w:firstLine="64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2019年一般公共预算财政拨款支出997.88万元，主要用于以下方面:一般公共服务（类）支出839.97万元，占84.18%；教育支出（类）0万元，占0%；科学技术（类）支出0万元，占0%；文化旅游体育与传媒（类）支出0万元，占0%；社会保障和就业（类）支出80.86万元，占8.10%；卫生健康支出26.23万元，占2.63%；农林水（类）支出1.50万元，占0.15%；住房保障支出49.32万元，占4.94%。</w:t>
      </w:r>
    </w:p>
    <w:p>
      <w:pPr>
        <w:spacing w:line="600" w:lineRule="exact"/>
        <w:rPr>
          <w:rFonts w:ascii="仿宋" w:hAnsi="仿宋" w:eastAsia="仿宋"/>
          <w:color w:val="000000" w:themeColor="text1"/>
          <w:sz w:val="32"/>
          <w:szCs w:val="32"/>
        </w:rPr>
      </w:pPr>
      <w:r>
        <w:rPr>
          <w:rFonts w:ascii="仿宋" w:hAnsi="仿宋" w:eastAsia="仿宋"/>
          <w:color w:val="000000" w:themeColor="text1"/>
          <w:sz w:val="32"/>
          <w:szCs w:val="32"/>
        </w:rPr>
        <w:drawing>
          <wp:anchor distT="0" distB="0" distL="114300" distR="114300" simplePos="0" relativeHeight="251663360" behindDoc="0" locked="0" layoutInCell="1" allowOverlap="1">
            <wp:simplePos x="0" y="0"/>
            <wp:positionH relativeFrom="column">
              <wp:posOffset>428625</wp:posOffset>
            </wp:positionH>
            <wp:positionV relativeFrom="paragraph">
              <wp:posOffset>1073785</wp:posOffset>
            </wp:positionV>
            <wp:extent cx="4114800" cy="2038350"/>
            <wp:effectExtent l="19050" t="0" r="19050" b="0"/>
            <wp:wrapTopAndBottom/>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ind w:firstLine="640"/>
        <w:rPr>
          <w:rFonts w:ascii="方正仿宋简体" w:hAnsi="仿宋" w:eastAsia="方正仿宋简体"/>
          <w:color w:val="000000"/>
          <w:sz w:val="32"/>
          <w:szCs w:val="32"/>
        </w:rPr>
      </w:pPr>
      <w:r>
        <w:rPr>
          <w:rFonts w:hint="eastAsia" w:ascii="方正仿宋简体" w:hAnsi="仿宋" w:eastAsia="方正仿宋简体"/>
          <w:color w:val="000000"/>
          <w:sz w:val="32"/>
          <w:szCs w:val="32"/>
        </w:rPr>
        <w:t>（图6：一般公共预算财政拨款支出决算结构）（饼状图）</w:t>
      </w:r>
    </w:p>
    <w:p>
      <w:pPr>
        <w:spacing w:line="600" w:lineRule="exact"/>
        <w:rPr>
          <w:rFonts w:ascii="仿宋" w:hAnsi="仿宋" w:eastAsia="仿宋"/>
          <w:color w:val="000000"/>
          <w:sz w:val="32"/>
          <w:szCs w:val="32"/>
        </w:rPr>
      </w:pPr>
    </w:p>
    <w:p>
      <w:pPr>
        <w:pStyle w:val="5"/>
        <w:adjustRightInd w:val="0"/>
        <w:snapToGrid w:val="0"/>
        <w:spacing w:beforeLines="0" w:line="576" w:lineRule="exact"/>
        <w:ind w:firstLine="672" w:firstLineChars="210"/>
        <w:outlineLvl w:val="2"/>
        <w:rPr>
          <w:rFonts w:ascii="楷体" w:hAnsi="楷体" w:eastAsia="楷体"/>
          <w:bCs/>
          <w:color w:val="000000"/>
          <w:sz w:val="32"/>
          <w:szCs w:val="32"/>
        </w:rPr>
      </w:pPr>
      <w:bookmarkStart w:id="36" w:name="_Toc15377212"/>
      <w:r>
        <w:rPr>
          <w:rFonts w:hint="eastAsia" w:ascii="楷体" w:hAnsi="楷体" w:eastAsia="楷体"/>
          <w:bCs/>
          <w:color w:val="000000"/>
          <w:sz w:val="32"/>
          <w:szCs w:val="32"/>
        </w:rPr>
        <w:t>（三）一般公共预算财政拨款支出决算具体情况</w:t>
      </w:r>
      <w:bookmarkEnd w:id="36"/>
    </w:p>
    <w:p>
      <w:pPr>
        <w:spacing w:line="600" w:lineRule="exact"/>
        <w:ind w:firstLine="640" w:firstLineChars="200"/>
        <w:outlineLvl w:val="2"/>
        <w:rPr>
          <w:rFonts w:ascii="方正仿宋简体" w:hAnsi="仿宋" w:eastAsia="方正仿宋简体"/>
          <w:color w:val="000000" w:themeColor="text1"/>
          <w:sz w:val="32"/>
          <w:szCs w:val="32"/>
        </w:rPr>
      </w:pPr>
      <w:bookmarkStart w:id="37" w:name="_Toc15377213"/>
      <w:bookmarkStart w:id="38" w:name="_Toc15378460"/>
      <w:bookmarkStart w:id="39" w:name="_Toc15377444"/>
      <w:r>
        <w:rPr>
          <w:rFonts w:hint="eastAsia" w:ascii="方正仿宋简体" w:hAnsi="仿宋" w:eastAsia="方正仿宋简体"/>
          <w:color w:val="000000" w:themeColor="text1"/>
          <w:sz w:val="32"/>
          <w:szCs w:val="32"/>
        </w:rPr>
        <w:t>2019年一般公共预算支出决算数为997.88万元，完成预算98.97</w:t>
      </w:r>
      <w:r>
        <w:rPr>
          <w:rFonts w:ascii="方正仿宋简体" w:hAnsi="仿宋" w:eastAsia="方正仿宋简体"/>
          <w:color w:val="000000" w:themeColor="text1"/>
          <w:sz w:val="32"/>
          <w:szCs w:val="32"/>
        </w:rPr>
        <w:t>%</w:t>
      </w:r>
      <w:r>
        <w:rPr>
          <w:rFonts w:hint="eastAsia" w:ascii="方正仿宋简体" w:hAnsi="仿宋" w:eastAsia="方正仿宋简体"/>
          <w:color w:val="000000" w:themeColor="text1"/>
          <w:sz w:val="32"/>
          <w:szCs w:val="32"/>
        </w:rPr>
        <w:t>。其中：</w:t>
      </w:r>
      <w:bookmarkEnd w:id="37"/>
      <w:bookmarkEnd w:id="38"/>
      <w:bookmarkEnd w:id="39"/>
    </w:p>
    <w:p>
      <w:pPr>
        <w:spacing w:line="600" w:lineRule="exact"/>
        <w:ind w:firstLine="640" w:firstLineChars="200"/>
        <w:rPr>
          <w:rStyle w:val="14"/>
          <w:rFonts w:ascii="方正仿宋简体" w:hAnsi="仿宋" w:eastAsia="方正仿宋简体"/>
          <w:b w:val="0"/>
          <w:bCs/>
          <w:color w:val="000000"/>
          <w:sz w:val="32"/>
          <w:szCs w:val="32"/>
        </w:rPr>
      </w:pPr>
      <w:r>
        <w:rPr>
          <w:rStyle w:val="14"/>
          <w:rFonts w:hint="eastAsia" w:ascii="方正仿宋简体" w:hAnsi="仿宋" w:eastAsia="方正仿宋简体"/>
          <w:b w:val="0"/>
          <w:bCs/>
          <w:color w:val="000000"/>
          <w:sz w:val="32"/>
          <w:szCs w:val="32"/>
        </w:rPr>
        <w:t>1.一般公共服务（类）纪检监察事务（款）行政运行（项）: 支出决算为807.47万元，完成预算100.28%，决算数大于预算数的主要原因是：上年度经费结余结转本年度使用。</w:t>
      </w:r>
    </w:p>
    <w:p>
      <w:pPr>
        <w:spacing w:line="600" w:lineRule="exact"/>
        <w:ind w:firstLine="640" w:firstLineChars="200"/>
        <w:rPr>
          <w:rStyle w:val="14"/>
          <w:rFonts w:ascii="方正仿宋简体" w:hAnsi="仿宋" w:eastAsia="方正仿宋简体"/>
          <w:b w:val="0"/>
          <w:bCs/>
          <w:color w:val="000000"/>
          <w:sz w:val="32"/>
          <w:szCs w:val="32"/>
        </w:rPr>
      </w:pPr>
      <w:r>
        <w:rPr>
          <w:rStyle w:val="14"/>
          <w:rFonts w:hint="eastAsia" w:ascii="方正仿宋简体" w:hAnsi="仿宋" w:eastAsia="方正仿宋简体"/>
          <w:b w:val="0"/>
          <w:bCs/>
          <w:color w:val="000000"/>
          <w:sz w:val="32"/>
          <w:szCs w:val="32"/>
        </w:rPr>
        <w:t>2.一般公共服务（类）纪检监察事务（款）一般行政事务（项）: 支出决算为32.50万元，完成预算67.01%，决算数小于预算数的主要原因是：本年度未使用专项经费结转下年使用。</w:t>
      </w:r>
    </w:p>
    <w:p>
      <w:pPr>
        <w:spacing w:line="600" w:lineRule="exact"/>
        <w:ind w:firstLine="640" w:firstLineChars="200"/>
        <w:rPr>
          <w:rStyle w:val="14"/>
          <w:rFonts w:ascii="方正仿宋简体" w:hAnsi="仿宋" w:eastAsia="方正仿宋简体"/>
          <w:b w:val="0"/>
          <w:bCs/>
          <w:color w:val="000000"/>
          <w:sz w:val="32"/>
          <w:szCs w:val="32"/>
        </w:rPr>
      </w:pPr>
      <w:r>
        <w:rPr>
          <w:rStyle w:val="14"/>
          <w:rFonts w:hint="eastAsia" w:ascii="方正仿宋简体" w:hAnsi="仿宋" w:eastAsia="方正仿宋简体"/>
          <w:b w:val="0"/>
          <w:bCs/>
          <w:color w:val="000000" w:themeColor="text1"/>
          <w:sz w:val="32"/>
          <w:szCs w:val="32"/>
        </w:rPr>
        <w:t xml:space="preserve">3.社会保障和就业（类）行政事业单位离退休（款）机关事业单位基本养老保险缴费支出（项）: 支出决算为78.65万元，完成预算104.41%， </w:t>
      </w:r>
      <w:r>
        <w:rPr>
          <w:rStyle w:val="14"/>
          <w:rFonts w:hint="eastAsia" w:ascii="方正仿宋简体" w:hAnsi="仿宋" w:eastAsia="方正仿宋简体"/>
          <w:b w:val="0"/>
          <w:bCs/>
          <w:color w:val="000000"/>
          <w:sz w:val="32"/>
          <w:szCs w:val="32"/>
        </w:rPr>
        <w:t>决算数大于预算数的主要原因是：上年</w:t>
      </w:r>
      <w:r>
        <w:rPr>
          <w:rStyle w:val="14"/>
          <w:rFonts w:hint="eastAsia" w:ascii="方正仿宋简体" w:hAnsi="仿宋" w:eastAsia="方正仿宋简体"/>
          <w:b w:val="0"/>
          <w:bCs/>
          <w:color w:val="000000" w:themeColor="text1"/>
          <w:sz w:val="32"/>
          <w:szCs w:val="32"/>
        </w:rPr>
        <w:t>机关事业单位基本养老保险</w:t>
      </w:r>
      <w:r>
        <w:rPr>
          <w:rStyle w:val="14"/>
          <w:rFonts w:hint="eastAsia" w:ascii="方正仿宋简体" w:hAnsi="仿宋" w:eastAsia="方正仿宋简体"/>
          <w:b w:val="0"/>
          <w:bCs/>
          <w:color w:val="000000"/>
          <w:sz w:val="32"/>
          <w:szCs w:val="32"/>
        </w:rPr>
        <w:t>结余结转本年度使用。</w:t>
      </w:r>
    </w:p>
    <w:p>
      <w:pPr>
        <w:spacing w:line="600" w:lineRule="exact"/>
        <w:ind w:firstLine="640" w:firstLineChars="200"/>
        <w:rPr>
          <w:rFonts w:ascii="方正仿宋简体" w:hAnsi="仿宋" w:eastAsia="方正仿宋简体"/>
          <w:b/>
          <w:color w:val="000000" w:themeColor="text1"/>
          <w:sz w:val="32"/>
          <w:szCs w:val="32"/>
        </w:rPr>
      </w:pPr>
      <w:r>
        <w:rPr>
          <w:rStyle w:val="14"/>
          <w:rFonts w:hint="eastAsia" w:ascii="方正仿宋简体" w:hAnsi="仿宋" w:eastAsia="方正仿宋简体"/>
          <w:b w:val="0"/>
          <w:bCs/>
          <w:color w:val="000000" w:themeColor="text1"/>
          <w:sz w:val="32"/>
          <w:szCs w:val="32"/>
        </w:rPr>
        <w:t>4.社会保障和就业（类）其他社会保障和就业支出（款）其他社会保障和就业支出（项）: 支出决算为2.21万元，完成预算100%，决算数与预算数持平。</w:t>
      </w:r>
    </w:p>
    <w:p>
      <w:pPr>
        <w:spacing w:line="600" w:lineRule="exact"/>
        <w:ind w:firstLine="640" w:firstLineChars="200"/>
        <w:rPr>
          <w:rFonts w:ascii="方正仿宋简体" w:hAnsi="仿宋" w:eastAsia="方正仿宋简体"/>
          <w:b/>
          <w:color w:val="000000" w:themeColor="text1"/>
          <w:sz w:val="32"/>
          <w:szCs w:val="32"/>
        </w:rPr>
      </w:pPr>
      <w:r>
        <w:rPr>
          <w:rStyle w:val="14"/>
          <w:rFonts w:hint="eastAsia" w:ascii="方正仿宋简体" w:hAnsi="仿宋" w:eastAsia="方正仿宋简体"/>
          <w:b w:val="0"/>
          <w:bCs/>
          <w:color w:val="000000" w:themeColor="text1"/>
          <w:sz w:val="32"/>
          <w:szCs w:val="32"/>
        </w:rPr>
        <w:t>5.卫生健康（类）行政事业单位医疗（款）行政单位医疗（项）:支出决算为26.23万元，完成预算100%，决算数与预算数持平。</w:t>
      </w:r>
    </w:p>
    <w:p>
      <w:pPr>
        <w:spacing w:line="600" w:lineRule="exact"/>
        <w:ind w:firstLine="640" w:firstLineChars="200"/>
        <w:rPr>
          <w:rFonts w:ascii="方正仿宋简体" w:hAnsi="仿宋" w:eastAsia="方正仿宋简体"/>
          <w:b/>
          <w:bCs/>
          <w:color w:val="000000" w:themeColor="text1"/>
          <w:sz w:val="32"/>
          <w:szCs w:val="32"/>
        </w:rPr>
      </w:pPr>
      <w:r>
        <w:rPr>
          <w:rFonts w:hint="eastAsia" w:ascii="方正仿宋简体" w:hAnsi="仿宋" w:eastAsia="方正仿宋简体"/>
          <w:color w:val="000000" w:themeColor="text1"/>
          <w:sz w:val="32"/>
          <w:szCs w:val="32"/>
        </w:rPr>
        <w:t>6.农林水</w:t>
      </w:r>
      <w:r>
        <w:rPr>
          <w:rStyle w:val="14"/>
          <w:rFonts w:hint="eastAsia" w:ascii="方正仿宋简体" w:hAnsi="仿宋" w:eastAsia="方正仿宋简体"/>
          <w:b w:val="0"/>
          <w:bCs/>
          <w:color w:val="000000" w:themeColor="text1"/>
          <w:sz w:val="32"/>
          <w:szCs w:val="32"/>
        </w:rPr>
        <w:t>（类）扶贫（款）其他扶贫支出（项）:支出决算数1.50万元，完成预算100%，决算数与预算数持平。</w:t>
      </w:r>
    </w:p>
    <w:p>
      <w:pPr>
        <w:spacing w:line="600" w:lineRule="exact"/>
        <w:ind w:firstLine="640" w:firstLineChars="200"/>
        <w:rPr>
          <w:rFonts w:ascii="方正仿宋简体" w:hAnsi="仿宋" w:eastAsia="方正仿宋简体"/>
          <w:b/>
          <w:bCs/>
          <w:color w:val="000000" w:themeColor="text1"/>
          <w:sz w:val="32"/>
          <w:szCs w:val="32"/>
        </w:rPr>
      </w:pPr>
      <w:r>
        <w:rPr>
          <w:rFonts w:hint="eastAsia" w:ascii="方正仿宋简体" w:hAnsi="仿宋" w:eastAsia="方正仿宋简体"/>
          <w:color w:val="000000" w:themeColor="text1"/>
          <w:sz w:val="32"/>
          <w:szCs w:val="32"/>
        </w:rPr>
        <w:t>7.住房保障</w:t>
      </w:r>
      <w:r>
        <w:rPr>
          <w:rStyle w:val="14"/>
          <w:rFonts w:hint="eastAsia" w:ascii="方正仿宋简体" w:hAnsi="仿宋" w:eastAsia="方正仿宋简体"/>
          <w:b w:val="0"/>
          <w:bCs/>
          <w:color w:val="000000" w:themeColor="text1"/>
          <w:sz w:val="32"/>
          <w:szCs w:val="32"/>
        </w:rPr>
        <w:t>（类）住房改革支出（款）住房公积金（项）:支出决算数49.32万元，完成预算100%，决算数与预算数持平。</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方正仿宋简体" w:hAnsi="仿宋" w:eastAsia="方正仿宋简体"/>
          <w:color w:val="000000"/>
          <w:sz w:val="32"/>
          <w:szCs w:val="32"/>
        </w:rPr>
      </w:pPr>
      <w:r>
        <w:rPr>
          <w:rFonts w:hint="eastAsia" w:ascii="方正仿宋简体" w:hAnsi="仿宋" w:eastAsia="方正仿宋简体"/>
          <w:color w:val="000000"/>
          <w:sz w:val="32"/>
          <w:szCs w:val="32"/>
        </w:rPr>
        <w:t>2019年一般公共预算财政拨款基本支出963.88万元，其中：</w:t>
      </w:r>
    </w:p>
    <w:p>
      <w:pPr>
        <w:spacing w:line="600" w:lineRule="exact"/>
        <w:ind w:firstLine="645"/>
        <w:rPr>
          <w:rFonts w:ascii="方正仿宋简体" w:hAnsi="仿宋" w:eastAsia="方正仿宋简体"/>
          <w:color w:val="000000"/>
          <w:sz w:val="32"/>
          <w:szCs w:val="32"/>
        </w:rPr>
      </w:pPr>
      <w:r>
        <w:rPr>
          <w:rFonts w:hint="eastAsia" w:ascii="方正仿宋简体" w:hAnsi="仿宋" w:eastAsia="方正仿宋简体"/>
          <w:color w:val="000000"/>
          <w:sz w:val="32"/>
          <w:szCs w:val="32"/>
        </w:rPr>
        <w:t>人员经费834.27万元，主要包括：基本工资234.05万元、津贴补贴166.93万元、奖金23.59万元、伙食补助费0万元、绩效工资28.03万元、机关事业单位基本养老保险缴费78.65万元、职业年金缴费2.67万元、职工基本医疗保险缴费31.52万元、其他社会保障缴费2.69万元、其他工资福利支出187.92万元、离休费0万元、退休费0万元、抚恤金0万元、生活补助19.64万元、医疗费补助0万元、奖励金0.14万元、住房公积金58.44万元、其他对个人和家庭的补助支出0万元等。</w:t>
      </w:r>
      <w:r>
        <w:rPr>
          <w:rFonts w:hint="eastAsia" w:ascii="方正仿宋简体" w:hAnsi="仿宋" w:eastAsia="方正仿宋简体"/>
          <w:color w:val="000000"/>
          <w:sz w:val="32"/>
          <w:szCs w:val="32"/>
        </w:rPr>
        <w:br w:type="textWrapping"/>
      </w:r>
      <w:r>
        <w:rPr>
          <w:rFonts w:hint="eastAsia" w:ascii="方正仿宋简体" w:hAnsi="仿宋" w:eastAsia="方正仿宋简体"/>
          <w:color w:val="000000"/>
          <w:sz w:val="32"/>
          <w:szCs w:val="32"/>
        </w:rPr>
        <w:t>　　日常公用经费129.61万元，主要包括：办公费10.17万元、印刷费2.51万元、咨询费0万元、手续费0万元、水费0.49万元、电费0.64万元、邮电费5.00万元、取暖费0万元、物业管理费0.13万元、差旅费18.09万元、因公出国（境）费用0万元、维修（护）费0万元、租赁费0万元、会议费1.99万元、培训费1.77万元、公务接待费4.69万元、劳务费3.67万元、委托业务费0万元、工会经费12.34万元、福利费14.32万元、公务用车运行维护费12.01万元、其他交通费40.72万元、税金及附加费用0万元、其他商品和服务支出0万元、办公设备购置1.05万元、专用设备购置0万元、信息网络及软件购置更新0万元、其他资本性支出0万元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楷体" w:hAnsi="楷体" w:eastAsia="楷体"/>
          <w:color w:val="000000"/>
          <w:sz w:val="32"/>
          <w:szCs w:val="32"/>
        </w:rPr>
      </w:pPr>
      <w:bookmarkStart w:id="44" w:name="_Toc15377216"/>
      <w:r>
        <w:rPr>
          <w:rFonts w:hint="eastAsia" w:ascii="楷体" w:hAnsi="楷体" w:eastAsia="楷体"/>
          <w:color w:val="000000"/>
          <w:sz w:val="32"/>
          <w:szCs w:val="32"/>
        </w:rPr>
        <w:t>（一）“三公”经费财政拨款支出决算总体情况说明</w:t>
      </w:r>
      <w:bookmarkEnd w:id="44"/>
    </w:p>
    <w:p>
      <w:pPr>
        <w:spacing w:line="600" w:lineRule="exact"/>
        <w:ind w:firstLine="640"/>
        <w:rPr>
          <w:rFonts w:ascii="方正仿宋简体" w:hAnsi="仿宋" w:eastAsia="方正仿宋简体"/>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9年“三公”经费财政拨款支出决算为16.70万元，完成预算98.19</w:t>
      </w:r>
      <w:r>
        <w:rPr>
          <w:rFonts w:ascii="仿宋" w:hAnsi="仿宋" w:eastAsia="仿宋"/>
          <w:color w:val="000000"/>
          <w:sz w:val="32"/>
          <w:szCs w:val="32"/>
        </w:rPr>
        <w:t>%</w:t>
      </w:r>
      <w:r>
        <w:rPr>
          <w:rFonts w:hint="eastAsia" w:ascii="仿宋" w:hAnsi="仿宋" w:eastAsia="仿宋"/>
          <w:color w:val="000000"/>
          <w:sz w:val="32"/>
          <w:szCs w:val="32"/>
        </w:rPr>
        <w:t>，决算数小于预算数的主要是原因</w:t>
      </w:r>
      <w:r>
        <w:rPr>
          <w:rFonts w:hint="eastAsia" w:ascii="方正仿宋简体" w:hAnsi="仿宋" w:eastAsia="方正仿宋简体"/>
          <w:color w:val="000000"/>
          <w:sz w:val="32"/>
          <w:szCs w:val="32"/>
        </w:rPr>
        <w:t>厉行节约，合理安排预算，严格管理公务用车和控制公务接待事项。</w:t>
      </w:r>
    </w:p>
    <w:p>
      <w:pPr>
        <w:spacing w:line="600" w:lineRule="exact"/>
        <w:ind w:firstLine="640"/>
        <w:outlineLvl w:val="2"/>
        <w:rPr>
          <w:rFonts w:ascii="楷体" w:hAnsi="楷体" w:eastAsia="楷体"/>
          <w:color w:val="000000"/>
          <w:sz w:val="32"/>
          <w:szCs w:val="32"/>
        </w:rPr>
      </w:pPr>
      <w:bookmarkStart w:id="45" w:name="_Toc15377217"/>
      <w:r>
        <w:rPr>
          <w:rFonts w:hint="eastAsia" w:ascii="楷体" w:hAnsi="楷体" w:eastAsia="楷体"/>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；公务用车购置及运行维护费支出决算12.01万元，占71.92</w:t>
      </w:r>
      <w:r>
        <w:rPr>
          <w:rFonts w:ascii="仿宋" w:hAnsi="仿宋" w:eastAsia="仿宋"/>
          <w:color w:val="000000"/>
          <w:sz w:val="32"/>
          <w:szCs w:val="32"/>
        </w:rPr>
        <w:t>%</w:t>
      </w:r>
      <w:r>
        <w:rPr>
          <w:rFonts w:hint="eastAsia" w:ascii="仿宋" w:hAnsi="仿宋" w:eastAsia="仿宋"/>
          <w:color w:val="000000"/>
          <w:sz w:val="32"/>
          <w:szCs w:val="32"/>
        </w:rPr>
        <w:t>；公务接待费支出决算4.69万元，占28.08</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方正仿宋简体" w:hAnsi="仿宋" w:eastAsia="方正仿宋简体"/>
          <w:color w:val="000000"/>
          <w:sz w:val="32"/>
          <w:szCs w:val="32"/>
        </w:rPr>
      </w:pPr>
      <w:r>
        <w:rPr>
          <w:rFonts w:hint="eastAsia" w:ascii="方正仿宋简体" w:hAnsi="仿宋" w:eastAsia="方正仿宋简体"/>
          <w:color w:val="000000"/>
          <w:sz w:val="32"/>
          <w:szCs w:val="32"/>
        </w:rPr>
        <w:t>（图7：“三公”经费财政拨款支出结构）（饼状图）</w:t>
      </w:r>
    </w:p>
    <w:p>
      <w:pPr>
        <w:spacing w:line="600" w:lineRule="exact"/>
        <w:rPr>
          <w:rFonts w:ascii="仿宋" w:hAnsi="仿宋" w:eastAsia="仿宋"/>
          <w:color w:val="FF0000"/>
          <w:sz w:val="32"/>
          <w:szCs w:val="32"/>
        </w:rPr>
      </w:pPr>
      <w:r>
        <w:rPr>
          <w:rFonts w:ascii="仿宋" w:hAnsi="仿宋" w:eastAsia="仿宋"/>
          <w:color w:val="FF0000"/>
          <w:sz w:val="32"/>
          <w:szCs w:val="32"/>
        </w:rPr>
        <w:pict>
          <v:shape id="_x0000_s2055" o:spid="_x0000_s2055" o:spt="75" type="#_x0000_t75" style="position:absolute;left:0pt;margin-left:22.9pt;margin-top:15.65pt;height:172.35pt;width:381.15pt;mso-wrap-distance-bottom:0pt;mso-wrap-distance-top:0pt;z-index:251664384;mso-width-relative:page;mso-height-relative:page;" o:ole="t" filled="f" o:preferrelative="t" stroked="f" coordsize="21600,21600" o:allowoverlap="f">
            <v:path/>
            <v:fill on="f" focussize="0,0"/>
            <v:stroke on="f" joinstyle="miter"/>
            <v:imagedata r:id="rId18" o:title=""/>
            <o:lock v:ext="edit" aspectratio="t"/>
            <w10:wrap type="topAndBottom"/>
          </v:shape>
          <o:OLEObject Type="Embed" ProgID="Excel.Sheet.8" ShapeID="_x0000_s2055" DrawAspect="Content" ObjectID="_1468075730" r:id="rId17">
            <o:LockedField>false</o:LockedField>
          </o:OLEObject>
        </w:pict>
      </w:r>
    </w:p>
    <w:p>
      <w:pPr>
        <w:spacing w:line="600" w:lineRule="exact"/>
        <w:ind w:firstLine="640"/>
        <w:rPr>
          <w:rFonts w:ascii="方正仿宋简体" w:eastAsia="方正仿宋简体"/>
          <w:color w:val="000000"/>
          <w:sz w:val="32"/>
          <w:szCs w:val="32"/>
        </w:rPr>
      </w:pPr>
      <w:r>
        <w:rPr>
          <w:rFonts w:hint="eastAsia" w:ascii="方正仿宋简体" w:eastAsia="方正仿宋简体"/>
          <w:color w:val="000000"/>
          <w:sz w:val="32"/>
          <w:szCs w:val="32"/>
        </w:rPr>
        <w:t>1.因公出国（境）经费支出0万元，完成预算0%。全年安排因公出国（境）团组0次，出国（境）0人。</w:t>
      </w:r>
    </w:p>
    <w:p>
      <w:pPr>
        <w:spacing w:line="600" w:lineRule="exact"/>
        <w:ind w:firstLine="640"/>
        <w:rPr>
          <w:rFonts w:ascii="方正仿宋简体" w:hAnsi="仿宋" w:eastAsia="方正仿宋简体"/>
          <w:color w:val="000000"/>
          <w:sz w:val="32"/>
          <w:szCs w:val="32"/>
        </w:rPr>
      </w:pPr>
      <w:r>
        <w:rPr>
          <w:rFonts w:hint="eastAsia" w:ascii="方正仿宋简体" w:eastAsia="方正仿宋简体"/>
          <w:color w:val="000000"/>
          <w:sz w:val="32"/>
          <w:szCs w:val="32"/>
        </w:rPr>
        <w:t>2.公务用车购置及运行维护费支出12.01万元,完成预算97.99%。公务用车购置及运行维护费支出决算比2018年（77.82万元）减少65.81万元，下降84.57%。主要原因是厉行</w:t>
      </w:r>
      <w:r>
        <w:rPr>
          <w:rFonts w:hint="eastAsia" w:ascii="方正仿宋简体" w:hAnsi="仿宋" w:eastAsia="方正仿宋简体"/>
          <w:color w:val="000000"/>
          <w:sz w:val="32"/>
          <w:szCs w:val="32"/>
        </w:rPr>
        <w:t>节约，严格公务车辆使用，无新购车辆。</w:t>
      </w:r>
    </w:p>
    <w:p>
      <w:pPr>
        <w:spacing w:line="600" w:lineRule="exact"/>
        <w:ind w:firstLine="640" w:firstLineChars="200"/>
        <w:rPr>
          <w:rFonts w:ascii="方正仿宋简体" w:hAnsi="仿宋" w:eastAsia="方正仿宋简体"/>
          <w:color w:val="000000"/>
          <w:sz w:val="32"/>
          <w:szCs w:val="32"/>
        </w:rPr>
      </w:pPr>
      <w:r>
        <w:rPr>
          <w:rFonts w:hint="eastAsia" w:ascii="方正仿宋简体" w:eastAsia="方正仿宋简体"/>
          <w:color w:val="000000"/>
          <w:sz w:val="32"/>
          <w:szCs w:val="32"/>
        </w:rPr>
        <w:t>其中：公务用车购置支出</w:t>
      </w:r>
      <w:r>
        <w:rPr>
          <w:rFonts w:hint="eastAsia" w:ascii="方正仿宋简体" w:hAnsi="仿宋" w:eastAsia="方正仿宋简体"/>
          <w:color w:val="000000"/>
          <w:sz w:val="32"/>
          <w:szCs w:val="32"/>
        </w:rPr>
        <w:t>0万元。全年按规定更新购置公务用车0辆，金额0元。截至2019年12月底，单位共有公务用车5辆，其中：主要领导干部用车0辆、机要通信用车0辆、应急保障用车0辆、 执法执勤用车5辆。</w:t>
      </w:r>
    </w:p>
    <w:p>
      <w:pPr>
        <w:spacing w:line="600" w:lineRule="exact"/>
        <w:ind w:firstLine="640"/>
        <w:rPr>
          <w:rFonts w:ascii="方正仿宋简体" w:hAnsi="仿宋" w:eastAsia="方正仿宋简体"/>
          <w:color w:val="000000"/>
          <w:sz w:val="32"/>
          <w:szCs w:val="32"/>
        </w:rPr>
      </w:pPr>
      <w:r>
        <w:rPr>
          <w:rFonts w:hint="eastAsia" w:ascii="方正仿宋简体" w:eastAsia="方正仿宋简体"/>
          <w:color w:val="000000"/>
          <w:sz w:val="32"/>
          <w:szCs w:val="32"/>
        </w:rPr>
        <w:t>公务用车运行维护费支出</w:t>
      </w:r>
      <w:r>
        <w:rPr>
          <w:rFonts w:hint="eastAsia" w:ascii="方正仿宋简体" w:hAnsi="仿宋" w:eastAsia="方正仿宋简体"/>
          <w:color w:val="000000"/>
          <w:sz w:val="32"/>
          <w:szCs w:val="32"/>
        </w:rPr>
        <w:t>12.01万元。主要用于监督检查和审查调查工作等所需的公务用车燃料费、维修费、过路过桥费、保险费等支出。</w:t>
      </w:r>
    </w:p>
    <w:p>
      <w:pPr>
        <w:spacing w:line="600" w:lineRule="exact"/>
        <w:ind w:firstLine="640"/>
        <w:rPr>
          <w:rFonts w:ascii="方正仿宋简体" w:hAnsi="仿宋" w:eastAsia="方正仿宋简体"/>
          <w:color w:val="000000"/>
          <w:sz w:val="32"/>
          <w:szCs w:val="32"/>
        </w:rPr>
      </w:pPr>
      <w:r>
        <w:rPr>
          <w:rFonts w:hint="eastAsia" w:ascii="方正仿宋简体" w:eastAsia="方正仿宋简体"/>
          <w:color w:val="000000"/>
          <w:sz w:val="32"/>
          <w:szCs w:val="32"/>
        </w:rPr>
        <w:t>3.公务接待费支出</w:t>
      </w:r>
      <w:r>
        <w:rPr>
          <w:rFonts w:hint="eastAsia" w:ascii="方正仿宋简体" w:hAnsi="仿宋" w:eastAsia="方正仿宋简体"/>
          <w:color w:val="000000"/>
          <w:sz w:val="32"/>
          <w:szCs w:val="32"/>
        </w:rPr>
        <w:t>4.69万元，完成预算98.74%。公务接待费支出决算比2018年（4.75万元）减少0.06万元，下降1.26%。主要原因是厉行节约，严格控制公务接待事项，其中：</w:t>
      </w:r>
    </w:p>
    <w:p>
      <w:pPr>
        <w:spacing w:line="600" w:lineRule="exact"/>
        <w:ind w:firstLine="640"/>
        <w:rPr>
          <w:rFonts w:ascii="方正仿宋简体" w:hAnsi="仿宋" w:eastAsia="方正仿宋简体"/>
          <w:color w:val="000000"/>
          <w:sz w:val="32"/>
          <w:szCs w:val="32"/>
        </w:rPr>
      </w:pPr>
      <w:r>
        <w:rPr>
          <w:rFonts w:hint="eastAsia" w:ascii="方正仿宋简体" w:hAnsi="仿宋" w:eastAsia="方正仿宋简体"/>
          <w:color w:val="000000"/>
          <w:sz w:val="32"/>
          <w:szCs w:val="32"/>
        </w:rPr>
        <w:t>国内公务接待支出4.69万元，主要用于执行公务、开展业务活动开支的交通费、住宿费、用餐费等。国内公务接待182批次，523人次（不包括陪同人员），共计支出4.69万元，具体内容包括：参观川北家风馆、调研、检查工作等。</w:t>
      </w:r>
    </w:p>
    <w:p>
      <w:pPr>
        <w:spacing w:line="6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外事接待支出0万元，外事接待0批次，0人，共计支出0万元</w:t>
      </w:r>
      <w:bookmarkStart w:id="46" w:name="_Toc15396610"/>
      <w:bookmarkStart w:id="47" w:name="_Toc15377218"/>
      <w:r>
        <w:rPr>
          <w:rFonts w:hint="eastAsia" w:ascii="方正仿宋简体" w:hAnsi="仿宋" w:eastAsia="方正仿宋简体"/>
          <w:color w:val="000000"/>
          <w:sz w:val="32"/>
          <w:szCs w:val="32"/>
        </w:rPr>
        <w:t>。</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9年政府性基金预算拨款支出0万元。</w:t>
      </w:r>
    </w:p>
    <w:p>
      <w:pPr>
        <w:numPr>
          <w:ilvl w:val="0"/>
          <w:numId w:val="3"/>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9年国有资本经营预算拨款支出0万元。</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0" w:firstLineChars="200"/>
        <w:outlineLvl w:val="2"/>
        <w:rPr>
          <w:rFonts w:ascii="楷体" w:hAnsi="楷体" w:eastAsia="楷体"/>
          <w:color w:val="000000"/>
          <w:sz w:val="32"/>
          <w:szCs w:val="32"/>
        </w:rPr>
      </w:pPr>
      <w:bookmarkStart w:id="52" w:name="_Toc15377222"/>
      <w:r>
        <w:rPr>
          <w:rFonts w:hint="eastAsia" w:ascii="楷体" w:hAnsi="楷体" w:eastAsia="楷体"/>
          <w:color w:val="000000"/>
          <w:sz w:val="32"/>
          <w:szCs w:val="32"/>
        </w:rPr>
        <w:t>（一）机关运行经费支出情况</w:t>
      </w:r>
      <w:bookmarkEnd w:id="52"/>
    </w:p>
    <w:p>
      <w:pPr>
        <w:spacing w:line="600" w:lineRule="exact"/>
        <w:ind w:firstLine="640" w:firstLineChars="200"/>
        <w:rPr>
          <w:rFonts w:ascii="方正仿宋简体" w:hAnsi="仿宋" w:eastAsia="方正仿宋简体"/>
          <w:color w:val="000000"/>
          <w:sz w:val="32"/>
          <w:szCs w:val="32"/>
        </w:rPr>
      </w:pPr>
      <w:r>
        <w:rPr>
          <w:rFonts w:hint="eastAsia" w:ascii="方正仿宋简体" w:eastAsia="方正仿宋简体"/>
          <w:color w:val="000000"/>
          <w:sz w:val="32"/>
          <w:szCs w:val="32"/>
        </w:rPr>
        <w:t>2</w:t>
      </w:r>
      <w:r>
        <w:rPr>
          <w:rFonts w:hint="eastAsia" w:ascii="方正仿宋简体" w:hAnsi="仿宋" w:eastAsia="方正仿宋简体"/>
          <w:color w:val="000000"/>
          <w:sz w:val="32"/>
          <w:szCs w:val="32"/>
        </w:rPr>
        <w:t>019年，区纪委</w:t>
      </w:r>
      <w:r>
        <w:rPr>
          <w:rFonts w:hint="eastAsia" w:ascii="仿宋" w:hAnsi="仿宋" w:eastAsia="仿宋"/>
          <w:sz w:val="32"/>
          <w:szCs w:val="32"/>
        </w:rPr>
        <w:t>监委</w:t>
      </w:r>
      <w:r>
        <w:rPr>
          <w:rFonts w:hint="eastAsia" w:ascii="方正仿宋简体" w:hAnsi="仿宋" w:eastAsia="方正仿宋简体"/>
          <w:color w:val="000000"/>
          <w:sz w:val="32"/>
          <w:szCs w:val="32"/>
        </w:rPr>
        <w:t>机关运行经费支出129.61万元，比2018年（155.60万元）减少25.99万元，下降16.70%。主要原因是厉行节约，节能减耗。</w:t>
      </w:r>
    </w:p>
    <w:p>
      <w:pPr>
        <w:autoSpaceDE w:val="0"/>
        <w:autoSpaceDN w:val="0"/>
        <w:adjustRightInd w:val="0"/>
        <w:spacing w:line="600" w:lineRule="exact"/>
        <w:ind w:firstLine="640" w:firstLineChars="200"/>
        <w:jc w:val="left"/>
        <w:outlineLvl w:val="2"/>
        <w:rPr>
          <w:rFonts w:ascii="楷体" w:hAnsi="楷体" w:eastAsia="楷体"/>
          <w:color w:val="000000"/>
          <w:sz w:val="32"/>
          <w:szCs w:val="32"/>
        </w:rPr>
      </w:pPr>
      <w:bookmarkStart w:id="53" w:name="_Toc15377223"/>
      <w:r>
        <w:rPr>
          <w:rFonts w:hint="eastAsia" w:ascii="楷体" w:hAnsi="楷体" w:eastAsia="楷体"/>
          <w:color w:val="000000"/>
          <w:sz w:val="32"/>
          <w:szCs w:val="32"/>
        </w:rPr>
        <w:t>（二）政府采购支出情况</w:t>
      </w:r>
      <w:bookmarkEnd w:id="53"/>
    </w:p>
    <w:p>
      <w:pPr>
        <w:spacing w:line="600" w:lineRule="exact"/>
        <w:ind w:firstLine="640" w:firstLineChars="200"/>
        <w:rPr>
          <w:rFonts w:ascii="仿宋" w:hAnsi="仿宋" w:eastAsia="仿宋"/>
          <w:color w:val="000000"/>
          <w:sz w:val="32"/>
          <w:szCs w:val="32"/>
        </w:rPr>
      </w:pPr>
      <w:r>
        <w:rPr>
          <w:rFonts w:hint="eastAsia" w:ascii="方正仿宋简体" w:hAnsi="仿宋" w:eastAsia="方正仿宋简体"/>
          <w:color w:val="000000"/>
          <w:sz w:val="32"/>
          <w:szCs w:val="32"/>
        </w:rPr>
        <w:t>2019年，区纪委</w:t>
      </w:r>
      <w:r>
        <w:rPr>
          <w:rFonts w:hint="eastAsia" w:ascii="仿宋" w:hAnsi="仿宋" w:eastAsia="仿宋"/>
          <w:sz w:val="32"/>
          <w:szCs w:val="32"/>
        </w:rPr>
        <w:t>监委机关</w:t>
      </w:r>
      <w:r>
        <w:rPr>
          <w:rFonts w:hint="eastAsia" w:ascii="方正仿宋简体" w:hAnsi="仿宋" w:eastAsia="方正仿宋简体"/>
          <w:color w:val="000000"/>
          <w:sz w:val="32"/>
          <w:szCs w:val="32"/>
        </w:rPr>
        <w:t>政府采购支出总额0万元，其中：政府采购货物支出0万元、政府采购工程支出0万元、政府采购服务支</w:t>
      </w:r>
      <w:r>
        <w:rPr>
          <w:rFonts w:hint="eastAsia" w:ascii="仿宋" w:hAnsi="仿宋" w:eastAsia="仿宋"/>
          <w:color w:val="000000"/>
          <w:sz w:val="32"/>
          <w:szCs w:val="32"/>
        </w:rPr>
        <w:t>出0万元。</w:t>
      </w:r>
    </w:p>
    <w:p>
      <w:pPr>
        <w:autoSpaceDE w:val="0"/>
        <w:autoSpaceDN w:val="0"/>
        <w:adjustRightInd w:val="0"/>
        <w:spacing w:line="600" w:lineRule="exact"/>
        <w:ind w:firstLine="640" w:firstLineChars="200"/>
        <w:jc w:val="left"/>
        <w:outlineLvl w:val="2"/>
        <w:rPr>
          <w:rFonts w:ascii="楷体" w:hAnsi="楷体" w:eastAsia="楷体"/>
          <w:color w:val="000000"/>
          <w:sz w:val="32"/>
          <w:szCs w:val="32"/>
        </w:rPr>
      </w:pPr>
      <w:bookmarkStart w:id="54" w:name="_Toc15377224"/>
      <w:r>
        <w:rPr>
          <w:rFonts w:hint="eastAsia" w:ascii="楷体" w:hAnsi="楷体" w:eastAsia="楷体"/>
          <w:color w:val="000000"/>
          <w:sz w:val="32"/>
          <w:szCs w:val="32"/>
        </w:rPr>
        <w:t>（三）国有资产占有使用情况</w:t>
      </w:r>
      <w:bookmarkEnd w:id="54"/>
    </w:p>
    <w:p>
      <w:pPr>
        <w:spacing w:line="600" w:lineRule="exact"/>
        <w:ind w:firstLine="640"/>
        <w:rPr>
          <w:rFonts w:ascii="方正仿宋简体" w:hAnsi="仿宋" w:eastAsia="方正仿宋简体"/>
          <w:color w:val="000000"/>
          <w:sz w:val="32"/>
          <w:szCs w:val="32"/>
        </w:rPr>
      </w:pPr>
      <w:r>
        <w:rPr>
          <w:rFonts w:hint="eastAsia" w:ascii="方正仿宋简体" w:hAnsi="仿宋" w:eastAsia="方正仿宋简体"/>
          <w:color w:val="000000"/>
          <w:sz w:val="32"/>
          <w:szCs w:val="32"/>
        </w:rPr>
        <w:t>截至2019年12月31日，区纪委</w:t>
      </w:r>
      <w:r>
        <w:rPr>
          <w:rFonts w:hint="eastAsia" w:ascii="仿宋" w:hAnsi="仿宋" w:eastAsia="仿宋"/>
          <w:sz w:val="32"/>
          <w:szCs w:val="32"/>
        </w:rPr>
        <w:t>监委机关</w:t>
      </w:r>
      <w:r>
        <w:rPr>
          <w:rFonts w:hint="eastAsia" w:ascii="方正仿宋简体" w:hAnsi="仿宋" w:eastAsia="方正仿宋简体"/>
          <w:color w:val="000000"/>
          <w:sz w:val="32"/>
          <w:szCs w:val="32"/>
        </w:rPr>
        <w:t>共有车辆5辆，其中：主要领导干部用车0辆、机要通信用车0辆、应急保障用车0辆、执法执勤用车5辆。执法执勤用车辆主要用于监督检查和审查调查工作等。单价50万元以上通用设备0台（套），单价100万元以上专用设备0台（套）。</w:t>
      </w:r>
    </w:p>
    <w:p>
      <w:pPr>
        <w:autoSpaceDE w:val="0"/>
        <w:autoSpaceDN w:val="0"/>
        <w:adjustRightInd w:val="0"/>
        <w:spacing w:line="600" w:lineRule="exact"/>
        <w:ind w:firstLine="640" w:firstLineChars="200"/>
        <w:jc w:val="left"/>
        <w:outlineLvl w:val="2"/>
        <w:rPr>
          <w:rFonts w:ascii="楷体" w:hAnsi="楷体" w:eastAsia="楷体"/>
          <w:color w:val="000000"/>
          <w:sz w:val="32"/>
          <w:szCs w:val="32"/>
        </w:rPr>
      </w:pPr>
      <w:r>
        <w:rPr>
          <w:rFonts w:hint="eastAsia" w:ascii="楷体" w:hAnsi="楷体" w:eastAsia="楷体"/>
          <w:color w:val="000000"/>
          <w:sz w:val="32"/>
          <w:szCs w:val="32"/>
        </w:rPr>
        <w:t>（四）预算绩效管理情况</w:t>
      </w:r>
    </w:p>
    <w:p>
      <w:pPr>
        <w:spacing w:line="58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根据预算绩效管理要求，本部门（单位）在年初预算编制阶段，组织对党风廉政、九项大比武开展了预算事前绩效评估，对2个项目编制了绩效目标，预算执行过程中，选取2个项目开展绩效监控，年终执行完毕后，对2个项目开展了绩效目标完成情况自评。</w:t>
      </w:r>
    </w:p>
    <w:p>
      <w:pPr>
        <w:spacing w:line="58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本部门按要求对2019年部门整体支出开展绩效自评，从评价情况来看，在协助区委推进全面从严治党、加强党风廉政建设和组织协调反腐败工作等方面成绩显著。本部门还自行组织了2个项目支出绩效评价，从评价情况来看这两个项目已圆满完成，达到预期目标，有效提高反腐败工作成效及区委中心工作。</w:t>
      </w:r>
    </w:p>
    <w:p>
      <w:pPr>
        <w:spacing w:line="58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1.项目绩效目标完成情况</w:t>
      </w:r>
      <w:r>
        <w:rPr>
          <w:rFonts w:hint="eastAsia" w:ascii="方正仿宋简体" w:hAnsi="仿宋" w:eastAsia="方正仿宋简体"/>
          <w:color w:val="000000"/>
          <w:sz w:val="32"/>
          <w:szCs w:val="32"/>
        </w:rPr>
        <w:br w:type="textWrapping"/>
      </w:r>
      <w:r>
        <w:rPr>
          <w:rFonts w:hint="eastAsia" w:ascii="方正仿宋简体" w:hAnsi="仿宋" w:eastAsia="方正仿宋简体"/>
          <w:color w:val="000000"/>
          <w:sz w:val="32"/>
          <w:szCs w:val="32"/>
        </w:rPr>
        <w:t xml:space="preserve">    本部门在2019年度部门决算中反映党风廉政、九项大比武2个项目绩效目标实际完成情况。</w:t>
      </w:r>
    </w:p>
    <w:p>
      <w:pPr>
        <w:spacing w:line="580" w:lineRule="exact"/>
        <w:ind w:firstLine="480" w:firstLineChars="150"/>
        <w:rPr>
          <w:rFonts w:ascii="方正仿宋简体" w:hAnsi="仿宋" w:eastAsia="方正仿宋简体"/>
          <w:color w:val="000000"/>
          <w:sz w:val="32"/>
          <w:szCs w:val="32"/>
        </w:rPr>
      </w:pPr>
      <w:r>
        <w:rPr>
          <w:rFonts w:hint="eastAsia" w:ascii="方正仿宋简体" w:hAnsi="仿宋" w:eastAsia="方正仿宋简体"/>
          <w:color w:val="000000"/>
          <w:sz w:val="32"/>
          <w:szCs w:val="32"/>
        </w:rPr>
        <w:t>（1）党风廉政项目绩效目标完成情况综述。项目全年预算数30.00万元，执行数为30.00万元，完成预算的100%。通过项目实施，保障了党风廉政建设社会评价进一步提升排位，提升了群众满意度、获得感，逐渐形成不敢腐、不能腐、不想腐的良好氛围。发现的主要问题：党风廉政宣传需进一步加强，社会评价满意度有待晋位。经费使用过程中，对资金监管不够严格。下一步改进措施：加大党风廉政宣传力度，进一步加强项目资金管理，提高资金使用效率。</w:t>
      </w:r>
    </w:p>
    <w:p>
      <w:pPr>
        <w:spacing w:line="580" w:lineRule="exact"/>
        <w:ind w:firstLine="480" w:firstLineChars="150"/>
        <w:rPr>
          <w:rFonts w:ascii="方正仿宋简体" w:hAnsi="仿宋" w:eastAsia="方正仿宋简体"/>
          <w:color w:val="000000"/>
          <w:sz w:val="32"/>
          <w:szCs w:val="32"/>
        </w:rPr>
      </w:pPr>
      <w:r>
        <w:rPr>
          <w:rFonts w:hint="eastAsia" w:ascii="方正仿宋简体" w:hAnsi="仿宋" w:eastAsia="方正仿宋简体"/>
          <w:color w:val="000000"/>
          <w:sz w:val="32"/>
          <w:szCs w:val="32"/>
        </w:rPr>
        <w:t>（2）九项大比武项目绩效目标完成情况综述。项目全年预算数2.50万元，执行数为2.50万元，完成预算的100%。通过项目实施，保障了牢固树立“四个意识”，坚定“四个自信”，坚决践行“两个维护”，严肃党内政治生和组织生活。发现的主要问题：经费预算较少，严格使用项目资金。下一步改进措施：加大从严治党力度，加强项目资金管理，规范资金使用，提高资金使用效率。</w:t>
      </w:r>
    </w:p>
    <w:p>
      <w:pPr>
        <w:spacing w:line="580" w:lineRule="exact"/>
        <w:jc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spacing w:line="580" w:lineRule="exact"/>
        <w:jc w:val="center"/>
        <w:rPr>
          <w:rFonts w:ascii="仿宋_GB2312" w:hAnsi="仿宋_GB2312" w:eastAsia="仿宋_GB2312" w:cs="仿宋_GB2312"/>
          <w:sz w:val="32"/>
          <w:szCs w:val="32"/>
        </w:rPr>
      </w:pPr>
      <w:r>
        <w:rPr>
          <w:rFonts w:hint="eastAsia" w:ascii="宋体" w:hAnsi="宋体" w:cs="宋体"/>
          <w:color w:val="000000"/>
          <w:kern w:val="0"/>
          <w:sz w:val="36"/>
          <w:szCs w:val="36"/>
        </w:rPr>
        <w:t>(2019 年度)</w:t>
      </w:r>
    </w:p>
    <w:tbl>
      <w:tblPr>
        <w:tblStyle w:val="12"/>
        <w:tblpPr w:leftFromText="180" w:rightFromText="180" w:vertAnchor="text" w:horzAnchor="page" w:tblpXSpec="center" w:tblpY="423"/>
        <w:tblOverlap w:val="never"/>
        <w:tblW w:w="5000" w:type="pct"/>
        <w:jc w:val="center"/>
        <w:tblLayout w:type="autofit"/>
        <w:tblCellMar>
          <w:top w:w="0" w:type="dxa"/>
          <w:left w:w="0" w:type="dxa"/>
          <w:bottom w:w="0" w:type="dxa"/>
          <w:right w:w="0" w:type="dxa"/>
        </w:tblCellMar>
      </w:tblPr>
      <w:tblGrid>
        <w:gridCol w:w="724"/>
        <w:gridCol w:w="841"/>
        <w:gridCol w:w="914"/>
        <w:gridCol w:w="2132"/>
        <w:gridCol w:w="2133"/>
        <w:gridCol w:w="2130"/>
      </w:tblGrid>
      <w:tr>
        <w:trPr>
          <w:trHeight w:val="454" w:hRule="atLeast"/>
          <w:jc w:val="center"/>
        </w:trPr>
        <w:tc>
          <w:tcPr>
            <w:tcW w:w="1397"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项目名称</w:t>
            </w:r>
          </w:p>
        </w:tc>
        <w:tc>
          <w:tcPr>
            <w:tcW w:w="3603"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党风廉政</w:t>
            </w:r>
          </w:p>
        </w:tc>
      </w:tr>
      <w:tr>
        <w:tblPrEx>
          <w:tblCellMar>
            <w:top w:w="0" w:type="dxa"/>
            <w:left w:w="0" w:type="dxa"/>
            <w:bottom w:w="0" w:type="dxa"/>
            <w:right w:w="0" w:type="dxa"/>
          </w:tblCellMar>
        </w:tblPrEx>
        <w:trPr>
          <w:trHeight w:val="454" w:hRule="atLeast"/>
          <w:jc w:val="center"/>
        </w:trPr>
        <w:tc>
          <w:tcPr>
            <w:tcW w:w="1397"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预算单位</w:t>
            </w:r>
          </w:p>
        </w:tc>
        <w:tc>
          <w:tcPr>
            <w:tcW w:w="3603"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中共广元市利州区纪委</w:t>
            </w:r>
          </w:p>
        </w:tc>
      </w:tr>
      <w:tr>
        <w:trPr>
          <w:trHeight w:val="454" w:hRule="atLeast"/>
          <w:jc w:val="center"/>
        </w:trPr>
        <w:tc>
          <w:tcPr>
            <w:tcW w:w="40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预算执行情况(万元)</w:t>
            </w:r>
          </w:p>
        </w:tc>
        <w:tc>
          <w:tcPr>
            <w:tcW w:w="98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预算数:</w:t>
            </w:r>
          </w:p>
        </w:tc>
        <w:tc>
          <w:tcPr>
            <w:tcW w:w="12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30.00</w:t>
            </w:r>
          </w:p>
        </w:tc>
        <w:tc>
          <w:tcPr>
            <w:tcW w:w="12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执行数:</w:t>
            </w:r>
          </w:p>
        </w:tc>
        <w:tc>
          <w:tcPr>
            <w:tcW w:w="12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30.00</w:t>
            </w:r>
          </w:p>
        </w:tc>
      </w:tr>
      <w:tr>
        <w:tblPrEx>
          <w:tblCellMar>
            <w:top w:w="0" w:type="dxa"/>
            <w:left w:w="0" w:type="dxa"/>
            <w:bottom w:w="0" w:type="dxa"/>
            <w:right w:w="0" w:type="dxa"/>
          </w:tblCellMar>
        </w:tblPrEx>
        <w:trPr>
          <w:trHeight w:val="454" w:hRule="atLeast"/>
          <w:jc w:val="center"/>
        </w:trPr>
        <w:tc>
          <w:tcPr>
            <w:tcW w:w="40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简体" w:hAnsi="宋体" w:eastAsia="方正仿宋简体" w:cs="宋体"/>
                <w:color w:val="000000"/>
                <w:szCs w:val="21"/>
              </w:rPr>
            </w:pPr>
          </w:p>
        </w:tc>
        <w:tc>
          <w:tcPr>
            <w:tcW w:w="98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其中-财政拨款:</w:t>
            </w:r>
          </w:p>
        </w:tc>
        <w:tc>
          <w:tcPr>
            <w:tcW w:w="12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30.00</w:t>
            </w:r>
          </w:p>
        </w:tc>
        <w:tc>
          <w:tcPr>
            <w:tcW w:w="12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其中-财政拨款:</w:t>
            </w:r>
          </w:p>
        </w:tc>
        <w:tc>
          <w:tcPr>
            <w:tcW w:w="12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30.00</w:t>
            </w:r>
          </w:p>
        </w:tc>
      </w:tr>
      <w:tr>
        <w:tblPrEx>
          <w:tblCellMar>
            <w:top w:w="0" w:type="dxa"/>
            <w:left w:w="0" w:type="dxa"/>
            <w:bottom w:w="0" w:type="dxa"/>
            <w:right w:w="0" w:type="dxa"/>
          </w:tblCellMar>
        </w:tblPrEx>
        <w:trPr>
          <w:trHeight w:val="454" w:hRule="atLeast"/>
          <w:jc w:val="center"/>
        </w:trPr>
        <w:tc>
          <w:tcPr>
            <w:tcW w:w="40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简体" w:hAnsi="宋体" w:eastAsia="方正仿宋简体" w:cs="宋体"/>
                <w:color w:val="000000"/>
                <w:szCs w:val="21"/>
              </w:rPr>
            </w:pPr>
          </w:p>
        </w:tc>
        <w:tc>
          <w:tcPr>
            <w:tcW w:w="98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其它资金:</w:t>
            </w:r>
          </w:p>
        </w:tc>
        <w:tc>
          <w:tcPr>
            <w:tcW w:w="12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0</w:t>
            </w:r>
          </w:p>
        </w:tc>
        <w:tc>
          <w:tcPr>
            <w:tcW w:w="12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其它资金:</w:t>
            </w:r>
          </w:p>
        </w:tc>
        <w:tc>
          <w:tcPr>
            <w:tcW w:w="12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0</w:t>
            </w:r>
          </w:p>
        </w:tc>
      </w:tr>
      <w:tr>
        <w:tblPrEx>
          <w:tblCellMar>
            <w:top w:w="0" w:type="dxa"/>
            <w:left w:w="0" w:type="dxa"/>
            <w:bottom w:w="0" w:type="dxa"/>
            <w:right w:w="0" w:type="dxa"/>
          </w:tblCellMar>
        </w:tblPrEx>
        <w:trPr>
          <w:trHeight w:val="276" w:hRule="atLeast"/>
          <w:jc w:val="center"/>
        </w:trPr>
        <w:tc>
          <w:tcPr>
            <w:tcW w:w="40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年度目标完成情况</w:t>
            </w:r>
          </w:p>
        </w:tc>
        <w:tc>
          <w:tcPr>
            <w:tcW w:w="2190"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预期目标</w:t>
            </w:r>
          </w:p>
        </w:tc>
        <w:tc>
          <w:tcPr>
            <w:tcW w:w="240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实际完成目标</w:t>
            </w:r>
          </w:p>
        </w:tc>
      </w:tr>
      <w:tr>
        <w:tblPrEx>
          <w:tblCellMar>
            <w:top w:w="0" w:type="dxa"/>
            <w:left w:w="0" w:type="dxa"/>
            <w:bottom w:w="0" w:type="dxa"/>
            <w:right w:w="0" w:type="dxa"/>
          </w:tblCellMar>
        </w:tblPrEx>
        <w:trPr>
          <w:trHeight w:val="1159" w:hRule="atLeast"/>
          <w:jc w:val="center"/>
        </w:trPr>
        <w:tc>
          <w:tcPr>
            <w:tcW w:w="408" w:type="pct"/>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方正仿宋简体" w:hAnsi="宋体" w:eastAsia="方正仿宋简体" w:cs="宋体"/>
                <w:color w:val="000000"/>
                <w:szCs w:val="21"/>
              </w:rPr>
            </w:pPr>
          </w:p>
        </w:tc>
        <w:tc>
          <w:tcPr>
            <w:tcW w:w="2190"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力争实现党风廉政建设社会评价进一步提升，不断提升群众满意度、获得感。</w:t>
            </w:r>
          </w:p>
        </w:tc>
        <w:tc>
          <w:tcPr>
            <w:tcW w:w="240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通过“清廉利州”微信平台，发布各类党风廉政建设和反腐败工作成效；开展党风廉政建设图片展巡展；制作各类廉洁标语、警示标语在交通要道、人口聚集地展示；制作警示教育片1部。</w:t>
            </w:r>
          </w:p>
        </w:tc>
      </w:tr>
      <w:tr>
        <w:tblPrEx>
          <w:tblCellMar>
            <w:top w:w="0" w:type="dxa"/>
            <w:left w:w="0" w:type="dxa"/>
            <w:bottom w:w="0" w:type="dxa"/>
            <w:right w:w="0" w:type="dxa"/>
          </w:tblCellMar>
        </w:tblPrEx>
        <w:trPr>
          <w:trHeight w:val="1042" w:hRule="atLeast"/>
          <w:jc w:val="center"/>
        </w:trPr>
        <w:tc>
          <w:tcPr>
            <w:tcW w:w="4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绩效指标完成情况</w:t>
            </w:r>
          </w:p>
        </w:tc>
        <w:tc>
          <w:tcPr>
            <w:tcW w:w="474"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一级指标</w:t>
            </w:r>
          </w:p>
        </w:tc>
        <w:tc>
          <w:tcPr>
            <w:tcW w:w="5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二级指标</w:t>
            </w:r>
          </w:p>
        </w:tc>
        <w:tc>
          <w:tcPr>
            <w:tcW w:w="12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三级指标</w:t>
            </w:r>
          </w:p>
        </w:tc>
        <w:tc>
          <w:tcPr>
            <w:tcW w:w="12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预期指标值(包含数字及文字描述)</w:t>
            </w:r>
          </w:p>
        </w:tc>
        <w:tc>
          <w:tcPr>
            <w:tcW w:w="12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实际完成指标值(包含数字及文字描述)</w:t>
            </w:r>
          </w:p>
        </w:tc>
      </w:tr>
      <w:tr>
        <w:tblPrEx>
          <w:tblCellMar>
            <w:top w:w="0" w:type="dxa"/>
            <w:left w:w="0" w:type="dxa"/>
            <w:bottom w:w="0" w:type="dxa"/>
            <w:right w:w="0" w:type="dxa"/>
          </w:tblCellMar>
        </w:tblPrEx>
        <w:trPr>
          <w:trHeight w:val="4224" w:hRule="atLeast"/>
          <w:jc w:val="center"/>
        </w:trPr>
        <w:tc>
          <w:tcPr>
            <w:tcW w:w="4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p>
        </w:tc>
        <w:tc>
          <w:tcPr>
            <w:tcW w:w="474"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项目完成指标</w:t>
            </w:r>
          </w:p>
        </w:tc>
        <w:tc>
          <w:tcPr>
            <w:tcW w:w="5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数量指标</w:t>
            </w:r>
          </w:p>
        </w:tc>
        <w:tc>
          <w:tcPr>
            <w:tcW w:w="12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党风廉政建设宣传</w:t>
            </w:r>
          </w:p>
        </w:tc>
        <w:tc>
          <w:tcPr>
            <w:tcW w:w="12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过“清廉利州”微信平台，发布各类党风廉政建设和反腐败工作成效；在各类媒体、报纸宣传利州区党风廉政建设和反腐败工作实绩；制作各类廉洁标语、警示标语；制作警示教育片1部。</w:t>
            </w:r>
          </w:p>
        </w:tc>
        <w:tc>
          <w:tcPr>
            <w:tcW w:w="12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过“清廉利州”微信平台，发表各类党风廉政建设和反腐败工作成效；开展党风廉政建设图片展巡展；在纪检监察报、今日头条、廉洁四川等各类媒体发表文章106条篇；制作各类廉洁标语、警示标语在交通要道、人口聚集地展示；制作警示教育片《欲望失控 人生偏航》1部。</w:t>
            </w:r>
          </w:p>
        </w:tc>
      </w:tr>
      <w:tr>
        <w:tblPrEx>
          <w:tblCellMar>
            <w:top w:w="0" w:type="dxa"/>
            <w:left w:w="0" w:type="dxa"/>
            <w:bottom w:w="0" w:type="dxa"/>
            <w:right w:w="0" w:type="dxa"/>
          </w:tblCellMar>
        </w:tblPrEx>
        <w:trPr>
          <w:trHeight w:val="1297" w:hRule="atLeast"/>
          <w:jc w:val="center"/>
        </w:trPr>
        <w:tc>
          <w:tcPr>
            <w:tcW w:w="4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p>
        </w:tc>
        <w:tc>
          <w:tcPr>
            <w:tcW w:w="474"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项目完成指标</w:t>
            </w:r>
          </w:p>
        </w:tc>
        <w:tc>
          <w:tcPr>
            <w:tcW w:w="5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质量指标</w:t>
            </w:r>
          </w:p>
        </w:tc>
        <w:tc>
          <w:tcPr>
            <w:tcW w:w="12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发挥教育引导作用</w:t>
            </w:r>
          </w:p>
        </w:tc>
        <w:tc>
          <w:tcPr>
            <w:tcW w:w="12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媒体宣传、典型案例具有教育意义，报道及时；警示教育片并具有较强的震慑力。</w:t>
            </w:r>
          </w:p>
        </w:tc>
        <w:tc>
          <w:tcPr>
            <w:tcW w:w="12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在纪检监察报、今日头条、廉洁四川等各类媒体发表文章106条篇，客观有效反映我区党风廉政建设和反腐倡廉工作；用身边典型案例“活教材”，让党员干部受警醒、知敬畏、明底线，持续强化党员干部廉洁自律意识。</w:t>
            </w:r>
          </w:p>
        </w:tc>
      </w:tr>
      <w:tr>
        <w:tblPrEx>
          <w:tblCellMar>
            <w:top w:w="0" w:type="dxa"/>
            <w:left w:w="0" w:type="dxa"/>
            <w:bottom w:w="0" w:type="dxa"/>
            <w:right w:w="0" w:type="dxa"/>
          </w:tblCellMar>
        </w:tblPrEx>
        <w:trPr>
          <w:trHeight w:val="1042" w:hRule="atLeast"/>
          <w:jc w:val="center"/>
        </w:trPr>
        <w:tc>
          <w:tcPr>
            <w:tcW w:w="408" w:type="pct"/>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效益指标</w:t>
            </w:r>
          </w:p>
        </w:tc>
        <w:tc>
          <w:tcPr>
            <w:tcW w:w="5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社会效益</w:t>
            </w:r>
          </w:p>
        </w:tc>
        <w:tc>
          <w:tcPr>
            <w:tcW w:w="12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形成良好政治生态环境。</w:t>
            </w:r>
          </w:p>
        </w:tc>
        <w:tc>
          <w:tcPr>
            <w:tcW w:w="12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营造风清气正的良好政治生态环境。</w:t>
            </w:r>
          </w:p>
        </w:tc>
        <w:tc>
          <w:tcPr>
            <w:tcW w:w="12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逐渐形成不敢腐、不能腐、不想腐的良好氛围。</w:t>
            </w:r>
          </w:p>
        </w:tc>
      </w:tr>
      <w:tr>
        <w:tblPrEx>
          <w:tblCellMar>
            <w:top w:w="0" w:type="dxa"/>
            <w:left w:w="0" w:type="dxa"/>
            <w:bottom w:w="0" w:type="dxa"/>
            <w:right w:w="0" w:type="dxa"/>
          </w:tblCellMar>
        </w:tblPrEx>
        <w:trPr>
          <w:trHeight w:val="1050" w:hRule="atLeast"/>
          <w:jc w:val="center"/>
        </w:trPr>
        <w:tc>
          <w:tcPr>
            <w:tcW w:w="408" w:type="pct"/>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kern w:val="0"/>
                <w:szCs w:val="21"/>
              </w:rPr>
              <w:t>满意度指标</w:t>
            </w:r>
          </w:p>
        </w:tc>
        <w:tc>
          <w:tcPr>
            <w:tcW w:w="5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满意度</w:t>
            </w:r>
          </w:p>
        </w:tc>
        <w:tc>
          <w:tcPr>
            <w:tcW w:w="12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提升群众满意度</w:t>
            </w:r>
          </w:p>
        </w:tc>
        <w:tc>
          <w:tcPr>
            <w:tcW w:w="12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群众有较强的获得感、幸福感。</w:t>
            </w:r>
          </w:p>
        </w:tc>
        <w:tc>
          <w:tcPr>
            <w:tcW w:w="12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简体" w:hAnsi="宋体" w:eastAsia="方正仿宋简体" w:cs="宋体"/>
                <w:color w:val="000000"/>
                <w:szCs w:val="21"/>
              </w:rPr>
            </w:pPr>
            <w:r>
              <w:rPr>
                <w:rFonts w:hint="eastAsia" w:ascii="方正仿宋简体" w:hAnsi="宋体" w:eastAsia="方正仿宋简体" w:cs="宋体"/>
                <w:color w:val="000000"/>
                <w:szCs w:val="21"/>
              </w:rPr>
              <w:t>群众的获得感、幸福感不断提高。</w:t>
            </w:r>
          </w:p>
        </w:tc>
      </w:tr>
    </w:tbl>
    <w:p>
      <w:pPr>
        <w:spacing w:line="500" w:lineRule="exact"/>
        <w:jc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spacing w:line="500" w:lineRule="exact"/>
        <w:jc w:val="center"/>
        <w:rPr>
          <w:rFonts w:ascii="仿宋_GB2312" w:hAnsi="仿宋_GB2312" w:eastAsia="仿宋_GB2312" w:cs="仿宋_GB2312"/>
          <w:sz w:val="32"/>
          <w:szCs w:val="32"/>
        </w:rPr>
      </w:pPr>
      <w:r>
        <w:rPr>
          <w:rFonts w:hint="eastAsia" w:ascii="宋体" w:hAnsi="宋体" w:cs="宋体"/>
          <w:color w:val="000000"/>
          <w:kern w:val="0"/>
          <w:sz w:val="36"/>
          <w:szCs w:val="36"/>
        </w:rPr>
        <w:t>(2019 年度)</w:t>
      </w:r>
    </w:p>
    <w:tbl>
      <w:tblPr>
        <w:tblStyle w:val="12"/>
        <w:tblpPr w:leftFromText="180" w:rightFromText="180" w:vertAnchor="text" w:horzAnchor="page" w:tblpXSpec="center" w:tblpY="423"/>
        <w:tblOverlap w:val="never"/>
        <w:tblW w:w="4881" w:type="pct"/>
        <w:jc w:val="center"/>
        <w:tblLayout w:type="autofit"/>
        <w:tblCellMar>
          <w:top w:w="0" w:type="dxa"/>
          <w:left w:w="0" w:type="dxa"/>
          <w:bottom w:w="0" w:type="dxa"/>
          <w:right w:w="0" w:type="dxa"/>
        </w:tblCellMar>
      </w:tblPr>
      <w:tblGrid>
        <w:gridCol w:w="1024"/>
        <w:gridCol w:w="1260"/>
        <w:gridCol w:w="573"/>
        <w:gridCol w:w="1674"/>
        <w:gridCol w:w="1722"/>
        <w:gridCol w:w="2410"/>
      </w:tblGrid>
      <w:tr>
        <w:tblPrEx>
          <w:tblCellMar>
            <w:top w:w="0" w:type="dxa"/>
            <w:left w:w="0" w:type="dxa"/>
            <w:bottom w:w="0" w:type="dxa"/>
            <w:right w:w="0" w:type="dxa"/>
          </w:tblCellMar>
        </w:tblPrEx>
        <w:trPr>
          <w:trHeight w:val="20" w:hRule="atLeast"/>
          <w:jc w:val="center"/>
        </w:trPr>
        <w:tc>
          <w:tcPr>
            <w:tcW w:w="164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项目名称</w:t>
            </w:r>
          </w:p>
        </w:tc>
        <w:tc>
          <w:tcPr>
            <w:tcW w:w="3351"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九项大比武</w:t>
            </w:r>
          </w:p>
        </w:tc>
      </w:tr>
      <w:tr>
        <w:tblPrEx>
          <w:tblCellMar>
            <w:top w:w="0" w:type="dxa"/>
            <w:left w:w="0" w:type="dxa"/>
            <w:bottom w:w="0" w:type="dxa"/>
            <w:right w:w="0" w:type="dxa"/>
          </w:tblCellMar>
        </w:tblPrEx>
        <w:trPr>
          <w:trHeight w:val="20" w:hRule="atLeast"/>
          <w:jc w:val="center"/>
        </w:trPr>
        <w:tc>
          <w:tcPr>
            <w:tcW w:w="164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预算单位</w:t>
            </w:r>
          </w:p>
        </w:tc>
        <w:tc>
          <w:tcPr>
            <w:tcW w:w="3351"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中共广元市利州区纪委</w:t>
            </w:r>
          </w:p>
        </w:tc>
      </w:tr>
      <w:tr>
        <w:tblPrEx>
          <w:tblCellMar>
            <w:top w:w="0" w:type="dxa"/>
            <w:left w:w="0" w:type="dxa"/>
            <w:bottom w:w="0" w:type="dxa"/>
            <w:right w:w="0" w:type="dxa"/>
          </w:tblCellMar>
        </w:tblPrEx>
        <w:trPr>
          <w:trHeight w:val="20" w:hRule="atLeast"/>
          <w:jc w:val="center"/>
        </w:trPr>
        <w:tc>
          <w:tcPr>
            <w:tcW w:w="59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kern w:val="0"/>
                <w:szCs w:val="21"/>
              </w:rPr>
            </w:pPr>
            <w:r>
              <w:rPr>
                <w:rFonts w:hint="eastAsia" w:ascii="方正仿宋简体" w:eastAsia="方正仿宋简体" w:cs="宋体" w:hAnsiTheme="majorEastAsia"/>
                <w:color w:val="000000"/>
                <w:kern w:val="0"/>
                <w:szCs w:val="21"/>
              </w:rPr>
              <w:t>预算执行情况</w:t>
            </w:r>
          </w:p>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(万元)</w:t>
            </w:r>
          </w:p>
        </w:tc>
        <w:tc>
          <w:tcPr>
            <w:tcW w:w="1058"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预算数:</w:t>
            </w:r>
          </w:p>
        </w:tc>
        <w:tc>
          <w:tcPr>
            <w:tcW w:w="9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2.50</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执行数:</w:t>
            </w:r>
          </w:p>
        </w:tc>
        <w:tc>
          <w:tcPr>
            <w:tcW w:w="1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2.50</w:t>
            </w:r>
          </w:p>
        </w:tc>
      </w:tr>
      <w:tr>
        <w:tblPrEx>
          <w:tblCellMar>
            <w:top w:w="0" w:type="dxa"/>
            <w:left w:w="0" w:type="dxa"/>
            <w:bottom w:w="0" w:type="dxa"/>
            <w:right w:w="0" w:type="dxa"/>
          </w:tblCellMar>
        </w:tblPrEx>
        <w:trPr>
          <w:trHeight w:val="20" w:hRule="atLeast"/>
          <w:jc w:val="center"/>
        </w:trPr>
        <w:tc>
          <w:tcPr>
            <w:tcW w:w="59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简体" w:eastAsia="方正仿宋简体" w:cs="宋体" w:hAnsiTheme="majorEastAsia"/>
                <w:color w:val="000000"/>
                <w:szCs w:val="21"/>
              </w:rPr>
            </w:pPr>
          </w:p>
        </w:tc>
        <w:tc>
          <w:tcPr>
            <w:tcW w:w="1058"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其中-财政拨款:</w:t>
            </w:r>
          </w:p>
        </w:tc>
        <w:tc>
          <w:tcPr>
            <w:tcW w:w="9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2.50</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其中-财政拨款:</w:t>
            </w:r>
          </w:p>
        </w:tc>
        <w:tc>
          <w:tcPr>
            <w:tcW w:w="1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2.50</w:t>
            </w:r>
          </w:p>
        </w:tc>
      </w:tr>
      <w:tr>
        <w:tblPrEx>
          <w:tblCellMar>
            <w:top w:w="0" w:type="dxa"/>
            <w:left w:w="0" w:type="dxa"/>
            <w:bottom w:w="0" w:type="dxa"/>
            <w:right w:w="0" w:type="dxa"/>
          </w:tblCellMar>
        </w:tblPrEx>
        <w:trPr>
          <w:trHeight w:val="20" w:hRule="atLeast"/>
          <w:jc w:val="center"/>
        </w:trPr>
        <w:tc>
          <w:tcPr>
            <w:tcW w:w="59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简体" w:eastAsia="方正仿宋简体" w:cs="宋体" w:hAnsiTheme="majorEastAsia"/>
                <w:color w:val="000000"/>
                <w:szCs w:val="21"/>
              </w:rPr>
            </w:pPr>
          </w:p>
        </w:tc>
        <w:tc>
          <w:tcPr>
            <w:tcW w:w="1058"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其它资金:</w:t>
            </w:r>
          </w:p>
        </w:tc>
        <w:tc>
          <w:tcPr>
            <w:tcW w:w="9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0</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其它资金:</w:t>
            </w:r>
          </w:p>
        </w:tc>
        <w:tc>
          <w:tcPr>
            <w:tcW w:w="1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0</w:t>
            </w:r>
          </w:p>
        </w:tc>
      </w:tr>
      <w:tr>
        <w:tblPrEx>
          <w:tblCellMar>
            <w:top w:w="0" w:type="dxa"/>
            <w:left w:w="0" w:type="dxa"/>
            <w:bottom w:w="0" w:type="dxa"/>
            <w:right w:w="0" w:type="dxa"/>
          </w:tblCellMar>
        </w:tblPrEx>
        <w:trPr>
          <w:trHeight w:val="20" w:hRule="atLeast"/>
          <w:jc w:val="center"/>
        </w:trPr>
        <w:tc>
          <w:tcPr>
            <w:tcW w:w="59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年度目标完成情况</w:t>
            </w:r>
          </w:p>
        </w:tc>
        <w:tc>
          <w:tcPr>
            <w:tcW w:w="2024"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预期目标</w:t>
            </w:r>
          </w:p>
        </w:tc>
        <w:tc>
          <w:tcPr>
            <w:tcW w:w="2385"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实际完成目标</w:t>
            </w:r>
          </w:p>
        </w:tc>
      </w:tr>
      <w:tr>
        <w:tblPrEx>
          <w:tblCellMar>
            <w:top w:w="0" w:type="dxa"/>
            <w:left w:w="0" w:type="dxa"/>
            <w:bottom w:w="0" w:type="dxa"/>
            <w:right w:w="0" w:type="dxa"/>
          </w:tblCellMar>
        </w:tblPrEx>
        <w:trPr>
          <w:trHeight w:val="20" w:hRule="atLeast"/>
          <w:jc w:val="center"/>
        </w:trPr>
        <w:tc>
          <w:tcPr>
            <w:tcW w:w="59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简体" w:eastAsia="方正仿宋简体" w:cs="宋体" w:hAnsiTheme="majorEastAsia"/>
                <w:color w:val="000000"/>
                <w:szCs w:val="21"/>
              </w:rPr>
            </w:pPr>
          </w:p>
        </w:tc>
        <w:tc>
          <w:tcPr>
            <w:tcW w:w="2024"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牢固树立“四个意识”，坚定“四个自信”，坚决践行“两个维护”，严肃党内政治生和组织生活</w:t>
            </w:r>
            <w:r>
              <w:rPr>
                <w:rFonts w:hint="eastAsia" w:ascii="方正仿宋简体" w:eastAsia="方正仿宋简体" w:cs="仿宋_GB2312" w:hAnsiTheme="majorEastAsia"/>
                <w:szCs w:val="21"/>
              </w:rPr>
              <w:t>。</w:t>
            </w:r>
          </w:p>
        </w:tc>
        <w:tc>
          <w:tcPr>
            <w:tcW w:w="2385"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抓实“以案促改”工作，重拳整治把关不严、选任程序不规范、干部日常监督不严等问题。坚定不移贯彻落实中央和省委、市委、区委各级重大决策部署。广泛开展理想信念教育和宗旨教育，推动党员干部带头践行社会主义核心价值观，永葆共产党人政治本色。</w:t>
            </w:r>
          </w:p>
        </w:tc>
      </w:tr>
      <w:tr>
        <w:tblPrEx>
          <w:tblCellMar>
            <w:top w:w="0" w:type="dxa"/>
            <w:left w:w="0" w:type="dxa"/>
            <w:bottom w:w="0" w:type="dxa"/>
            <w:right w:w="0" w:type="dxa"/>
          </w:tblCellMar>
        </w:tblPrEx>
        <w:trPr>
          <w:trHeight w:val="20" w:hRule="atLeast"/>
          <w:jc w:val="center"/>
        </w:trPr>
        <w:tc>
          <w:tcPr>
            <w:tcW w:w="591"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绩效指标完成情况</w:t>
            </w:r>
          </w:p>
        </w:tc>
        <w:tc>
          <w:tcPr>
            <w:tcW w:w="7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一级指标</w:t>
            </w:r>
          </w:p>
        </w:tc>
        <w:tc>
          <w:tcPr>
            <w:tcW w:w="3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二级指标</w:t>
            </w:r>
          </w:p>
        </w:tc>
        <w:tc>
          <w:tcPr>
            <w:tcW w:w="9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三级指标</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预期指标值(包含数字及文字描述)</w:t>
            </w:r>
          </w:p>
        </w:tc>
        <w:tc>
          <w:tcPr>
            <w:tcW w:w="1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实际完成指标值(包含数字及文字描述)</w:t>
            </w:r>
          </w:p>
        </w:tc>
      </w:tr>
      <w:tr>
        <w:tblPrEx>
          <w:tblCellMar>
            <w:top w:w="0" w:type="dxa"/>
            <w:left w:w="0" w:type="dxa"/>
            <w:bottom w:w="0" w:type="dxa"/>
            <w:right w:w="0" w:type="dxa"/>
          </w:tblCellMar>
        </w:tblPrEx>
        <w:trPr>
          <w:trHeight w:val="20" w:hRule="atLeast"/>
          <w:jc w:val="center"/>
        </w:trPr>
        <w:tc>
          <w:tcPr>
            <w:tcW w:w="591" w:type="pct"/>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p>
        </w:tc>
        <w:tc>
          <w:tcPr>
            <w:tcW w:w="7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项目完成指标</w:t>
            </w:r>
          </w:p>
        </w:tc>
        <w:tc>
          <w:tcPr>
            <w:tcW w:w="3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数量指标</w:t>
            </w:r>
          </w:p>
        </w:tc>
        <w:tc>
          <w:tcPr>
            <w:tcW w:w="9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政治建设</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领导干部带头树立标杆、</w:t>
            </w:r>
            <w:r>
              <w:rPr>
                <w:rFonts w:hint="eastAsia" w:ascii="方正仿宋简体" w:eastAsia="方正仿宋简体" w:cs="宋体" w:hAnsiTheme="majorEastAsia"/>
                <w:color w:val="000000"/>
                <w:szCs w:val="21"/>
                <w:lang w:eastAsia="zh-CN"/>
              </w:rPr>
              <w:t>做好表率</w:t>
            </w:r>
            <w:r>
              <w:rPr>
                <w:rFonts w:hint="eastAsia" w:ascii="方正仿宋简体" w:eastAsia="方正仿宋简体" w:cs="宋体" w:hAnsiTheme="majorEastAsia"/>
                <w:color w:val="000000"/>
                <w:szCs w:val="21"/>
              </w:rPr>
              <w:t>。</w:t>
            </w:r>
          </w:p>
        </w:tc>
        <w:tc>
          <w:tcPr>
            <w:tcW w:w="1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领导干部严格落实重大事项请示报告制度，自觉遵守政治纪律，政治能力强。</w:t>
            </w:r>
          </w:p>
        </w:tc>
      </w:tr>
      <w:tr>
        <w:tblPrEx>
          <w:tblCellMar>
            <w:top w:w="0" w:type="dxa"/>
            <w:left w:w="0" w:type="dxa"/>
            <w:bottom w:w="0" w:type="dxa"/>
            <w:right w:w="0" w:type="dxa"/>
          </w:tblCellMar>
        </w:tblPrEx>
        <w:trPr>
          <w:trHeight w:val="20" w:hRule="atLeast"/>
          <w:jc w:val="center"/>
        </w:trPr>
        <w:tc>
          <w:tcPr>
            <w:tcW w:w="591" w:type="pct"/>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p>
        </w:tc>
        <w:tc>
          <w:tcPr>
            <w:tcW w:w="7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项目完成指标</w:t>
            </w:r>
          </w:p>
        </w:tc>
        <w:tc>
          <w:tcPr>
            <w:tcW w:w="3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数量指标</w:t>
            </w:r>
          </w:p>
        </w:tc>
        <w:tc>
          <w:tcPr>
            <w:tcW w:w="9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严肃党内政治生活和组织生活</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自觉尊崇党章，严格执行新形势下党内政治生活若干准则。</w:t>
            </w:r>
          </w:p>
        </w:tc>
        <w:tc>
          <w:tcPr>
            <w:tcW w:w="1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自觉尊崇党章，严格执行新形势下党内政治生活若干准则。坚决抵制各种不良风气对党内的侵蚀，常态化开展党性教育和党性锻炼，严格落实“三会一课”等党内制度。</w:t>
            </w:r>
          </w:p>
        </w:tc>
      </w:tr>
      <w:tr>
        <w:tblPrEx>
          <w:tblCellMar>
            <w:top w:w="0" w:type="dxa"/>
            <w:left w:w="0" w:type="dxa"/>
            <w:bottom w:w="0" w:type="dxa"/>
            <w:right w:w="0" w:type="dxa"/>
          </w:tblCellMar>
        </w:tblPrEx>
        <w:trPr>
          <w:trHeight w:val="20" w:hRule="atLeast"/>
          <w:jc w:val="center"/>
        </w:trPr>
        <w:tc>
          <w:tcPr>
            <w:tcW w:w="591" w:type="pct"/>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p>
        </w:tc>
        <w:tc>
          <w:tcPr>
            <w:tcW w:w="7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项目完成指标</w:t>
            </w:r>
          </w:p>
        </w:tc>
        <w:tc>
          <w:tcPr>
            <w:tcW w:w="3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数量指标</w:t>
            </w:r>
          </w:p>
        </w:tc>
        <w:tc>
          <w:tcPr>
            <w:tcW w:w="9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强化政治巡视巡察反馈问题整改</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切实增强做好巡视整改工作的责任感和紧迫感</w:t>
            </w:r>
          </w:p>
        </w:tc>
        <w:tc>
          <w:tcPr>
            <w:tcW w:w="1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简体" w:eastAsia="方正仿宋简体" w:cs="宋体" w:hAnsiTheme="majorEastAsia"/>
                <w:color w:val="000000"/>
                <w:spacing w:val="-8"/>
                <w:szCs w:val="21"/>
              </w:rPr>
            </w:pPr>
            <w:r>
              <w:rPr>
                <w:rFonts w:hint="eastAsia" w:ascii="方正仿宋简体" w:eastAsia="方正仿宋简体" w:cs="宋体" w:hAnsiTheme="majorEastAsia"/>
                <w:color w:val="000000"/>
                <w:spacing w:val="-8"/>
                <w:szCs w:val="21"/>
              </w:rPr>
              <w:t>各级党委（党组）主要负责同志主动担当整改第一责任人，对巡视整改工作亲自部署、亲自督办，及时调度、及时跟进、逐一销号。</w:t>
            </w:r>
          </w:p>
        </w:tc>
      </w:tr>
      <w:tr>
        <w:tblPrEx>
          <w:tblCellMar>
            <w:top w:w="0" w:type="dxa"/>
            <w:left w:w="0" w:type="dxa"/>
            <w:bottom w:w="0" w:type="dxa"/>
            <w:right w:w="0" w:type="dxa"/>
          </w:tblCellMar>
        </w:tblPrEx>
        <w:trPr>
          <w:trHeight w:val="20" w:hRule="atLeast"/>
          <w:jc w:val="center"/>
        </w:trPr>
        <w:tc>
          <w:tcPr>
            <w:tcW w:w="591" w:type="pct"/>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p>
        </w:tc>
        <w:tc>
          <w:tcPr>
            <w:tcW w:w="7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效益指标</w:t>
            </w:r>
          </w:p>
        </w:tc>
        <w:tc>
          <w:tcPr>
            <w:tcW w:w="3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社会效益</w:t>
            </w:r>
          </w:p>
        </w:tc>
        <w:tc>
          <w:tcPr>
            <w:tcW w:w="9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形成良好的政治生态环境</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营造风清气正的良好政治生态环境。</w:t>
            </w:r>
          </w:p>
        </w:tc>
        <w:tc>
          <w:tcPr>
            <w:tcW w:w="1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简体" w:eastAsia="方正仿宋简体" w:cs="宋体" w:hAnsiTheme="majorEastAsia"/>
                <w:color w:val="000000"/>
                <w:spacing w:val="-6"/>
                <w:szCs w:val="21"/>
              </w:rPr>
            </w:pPr>
            <w:r>
              <w:rPr>
                <w:rFonts w:hint="eastAsia" w:ascii="方正仿宋简体" w:eastAsia="方正仿宋简体" w:cs="宋体" w:hAnsiTheme="majorEastAsia"/>
                <w:color w:val="000000"/>
                <w:spacing w:val="-6"/>
                <w:szCs w:val="21"/>
              </w:rPr>
              <w:t>进一步营造风清气正的良好政治生态环境，决不允许损害党中央权威和集中统一领导的现象在利州发生。</w:t>
            </w:r>
          </w:p>
        </w:tc>
      </w:tr>
      <w:tr>
        <w:tblPrEx>
          <w:tblCellMar>
            <w:top w:w="0" w:type="dxa"/>
            <w:left w:w="0" w:type="dxa"/>
            <w:bottom w:w="0" w:type="dxa"/>
            <w:right w:w="0" w:type="dxa"/>
          </w:tblCellMar>
        </w:tblPrEx>
        <w:trPr>
          <w:trHeight w:val="20" w:hRule="atLeast"/>
          <w:jc w:val="center"/>
        </w:trPr>
        <w:tc>
          <w:tcPr>
            <w:tcW w:w="591"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p>
        </w:tc>
        <w:tc>
          <w:tcPr>
            <w:tcW w:w="7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kern w:val="0"/>
                <w:szCs w:val="21"/>
              </w:rPr>
              <w:t>满意度指标</w:t>
            </w:r>
          </w:p>
        </w:tc>
        <w:tc>
          <w:tcPr>
            <w:tcW w:w="3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满意度</w:t>
            </w:r>
          </w:p>
        </w:tc>
        <w:tc>
          <w:tcPr>
            <w:tcW w:w="9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提升群众满意度</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群众有较强的获得感、幸福感。</w:t>
            </w:r>
          </w:p>
        </w:tc>
        <w:tc>
          <w:tcPr>
            <w:tcW w:w="1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简体" w:eastAsia="方正仿宋简体" w:cs="宋体" w:hAnsiTheme="majorEastAsia"/>
                <w:color w:val="000000"/>
                <w:szCs w:val="21"/>
              </w:rPr>
            </w:pPr>
            <w:r>
              <w:rPr>
                <w:rFonts w:hint="eastAsia" w:ascii="方正仿宋简体" w:eastAsia="方正仿宋简体" w:cs="宋体" w:hAnsiTheme="majorEastAsia"/>
                <w:color w:val="000000"/>
                <w:szCs w:val="21"/>
              </w:rPr>
              <w:t>群众的获得感、幸福感不断提高。</w:t>
            </w:r>
          </w:p>
        </w:tc>
      </w:tr>
    </w:tbl>
    <w:p>
      <w:pPr>
        <w:spacing w:line="580" w:lineRule="exact"/>
        <w:ind w:left="630"/>
        <w:rPr>
          <w:rFonts w:ascii="方正仿宋简体" w:hAnsi="仿宋_GB2312" w:eastAsia="方正仿宋简体" w:cs="仿宋_GB2312"/>
          <w:sz w:val="32"/>
          <w:szCs w:val="32"/>
        </w:rPr>
      </w:pPr>
      <w:r>
        <w:rPr>
          <w:rFonts w:hint="eastAsia" w:ascii="方正仿宋简体" w:hAnsi="楷体_GB2312" w:eastAsia="方正仿宋简体" w:cs="楷体_GB2312"/>
          <w:sz w:val="32"/>
          <w:szCs w:val="32"/>
        </w:rPr>
        <w:t>2.部门绩效评价结果。</w:t>
      </w:r>
    </w:p>
    <w:p>
      <w:pPr>
        <w:spacing w:line="58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本部门按要求对2019年部门整体支出绩效评价情况开展自评，《区纪委部门2019年部门整体支出绩效评价报告》见附件（附件1）。</w:t>
      </w:r>
    </w:p>
    <w:p>
      <w:pPr>
        <w:spacing w:line="580" w:lineRule="exact"/>
        <w:ind w:firstLine="640" w:firstLineChars="200"/>
        <w:rPr>
          <w:rFonts w:ascii="方正仿宋简体" w:eastAsia="方正仿宋简体"/>
          <w:b/>
          <w:color w:val="000000"/>
          <w:sz w:val="32"/>
          <w:szCs w:val="32"/>
        </w:rPr>
      </w:pPr>
      <w:r>
        <w:rPr>
          <w:rFonts w:hint="eastAsia" w:ascii="方正仿宋简体" w:hAnsi="仿宋_GB2312" w:eastAsia="方正仿宋简体" w:cs="仿宋_GB2312"/>
          <w:sz w:val="32"/>
          <w:szCs w:val="32"/>
        </w:rPr>
        <w:t>本部门自行组织对党风廉政项目、九项大比武项目开展了绩效评价，《党风廉政项目2019年绩效评价报告》、《九项大比武项目2019年绩效评价报告》见附件（附件2、附件3）。</w:t>
      </w:r>
    </w:p>
    <w:p>
      <w:pPr>
        <w:widowControl/>
        <w:jc w:val="left"/>
        <w:rPr>
          <w:rFonts w:ascii="方正仿宋简体" w:eastAsia="方正仿宋简体"/>
          <w:b/>
          <w:color w:val="000000"/>
          <w:sz w:val="32"/>
          <w:szCs w:val="32"/>
        </w:rPr>
      </w:pPr>
      <w:r>
        <w:rPr>
          <w:rFonts w:hint="eastAsia" w:ascii="方正仿宋简体" w:eastAsia="方正仿宋简体"/>
          <w:b/>
          <w:color w:val="000000"/>
          <w:sz w:val="32"/>
          <w:szCs w:val="32"/>
        </w:rPr>
        <w:br w:type="page"/>
      </w:r>
    </w:p>
    <w:p>
      <w:pPr>
        <w:numPr>
          <w:ilvl w:val="0"/>
          <w:numId w:val="4"/>
        </w:numPr>
        <w:spacing w:line="600" w:lineRule="exact"/>
        <w:jc w:val="center"/>
        <w:outlineLvl w:val="0"/>
        <w:rPr>
          <w:rStyle w:val="24"/>
          <w:rFonts w:ascii="黑体" w:hAnsi="黑体" w:eastAsia="黑体"/>
          <w:b w:val="0"/>
        </w:rPr>
      </w:pPr>
      <w:r>
        <w:rPr>
          <w:rFonts w:hint="eastAsia" w:ascii="黑体" w:hAnsi="黑体" w:eastAsia="黑体"/>
          <w:color w:val="000000"/>
          <w:sz w:val="44"/>
          <w:szCs w:val="44"/>
        </w:rPr>
        <w:t>名</w:t>
      </w:r>
      <w:r>
        <w:rPr>
          <w:rStyle w:val="24"/>
          <w:rFonts w:hint="eastAsia" w:ascii="黑体" w:hAnsi="黑体" w:eastAsia="黑体"/>
          <w:b w:val="0"/>
        </w:rPr>
        <w:t>词解释</w:t>
      </w:r>
    </w:p>
    <w:p>
      <w:pPr>
        <w:spacing w:line="600" w:lineRule="exact"/>
        <w:jc w:val="left"/>
        <w:rPr>
          <w:rFonts w:ascii="宋体"/>
          <w:b/>
          <w:color w:val="000000"/>
          <w:sz w:val="44"/>
          <w:szCs w:val="44"/>
        </w:rPr>
      </w:pPr>
    </w:p>
    <w:p>
      <w:pPr>
        <w:pStyle w:val="22"/>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1.财政拨款收入：指单位从同级财政部门取得的财政预算资金。</w:t>
      </w:r>
    </w:p>
    <w:p>
      <w:pPr>
        <w:pStyle w:val="22"/>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2.事业收入：指事业单位开展专业业务活动及辅助活动取得的收入。如…（二级预算单位事业收入情况）等。</w:t>
      </w:r>
    </w:p>
    <w:p>
      <w:pPr>
        <w:pStyle w:val="22"/>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3.经营收入：指事业单位在专业业务活动及其辅助活动之外开展非独立核算经营活动取得的收入。如…（二级预算单位经营收入情况）等。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 xml:space="preserve">4.其他收入：指单位取得的除上述收入以外的各项收入。主要是…（收入类型）等。 </w:t>
      </w:r>
    </w:p>
    <w:p>
      <w:pPr>
        <w:pStyle w:val="22"/>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 xml:space="preserve">6.年初结转和结余：指以前年度尚未完成、结转到本年按有关规定继续使用的资金。 </w:t>
      </w:r>
    </w:p>
    <w:p>
      <w:pPr>
        <w:pStyle w:val="22"/>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7.结余分配：指事业单位按照事业单位会计制度的规定从非财政补助结余中分配的事业基金和职工福利基金等。</w:t>
      </w:r>
    </w:p>
    <w:p>
      <w:pPr>
        <w:pStyle w:val="22"/>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8、年末结转和结余：指单位按有关规定结转到下年或以后年度继续使用的资金。</w:t>
      </w:r>
    </w:p>
    <w:p>
      <w:pPr>
        <w:pStyle w:val="22"/>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9.一般公共服务（类）纪检监察事务（款）行政运行（项）: 指行政单位(包括实行公务员管理的事业单位)的基本支出。</w:t>
      </w:r>
    </w:p>
    <w:p>
      <w:pPr>
        <w:pStyle w:val="22"/>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10. 一般公共服务（类）纪检监察事务（款）一般行政管理事务（项）: 指行政单位(包括实行公务员管理的事业单位)未单独设置项级科目的其他项目支出。</w:t>
      </w:r>
    </w:p>
    <w:p>
      <w:pPr>
        <w:spacing w:line="600" w:lineRule="exact"/>
        <w:ind w:firstLine="640" w:firstLineChars="200"/>
        <w:rPr>
          <w:rFonts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11.社会保障和就业（类）行政事业单位离退休（款）机关事业单位基本养老保险缴费支出（项）: 指机关事业单位实施养老保险制度由单位缴纳的基本养老保险费支出。</w:t>
      </w:r>
    </w:p>
    <w:p>
      <w:pPr>
        <w:spacing w:line="600" w:lineRule="exact"/>
        <w:ind w:firstLine="640" w:firstLineChars="200"/>
        <w:rPr>
          <w:rFonts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12.社会保障和就业（类）行政事业单位离退休（款）机关事业单位职业年金缴费支出（项）: 指机关事业单位实施养老保险制度由单位实际缴纳的职业年金支出。</w:t>
      </w:r>
    </w:p>
    <w:p>
      <w:pPr>
        <w:spacing w:line="600" w:lineRule="exact"/>
        <w:ind w:firstLine="640" w:firstLineChars="200"/>
        <w:rPr>
          <w:rFonts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13.社会保障和就业（类）其他社会保障和就业支出（款）其他社会保障和就业支出（项）:指反映除上述项目以外其他用于社会保障和就业方面的支出。</w:t>
      </w:r>
    </w:p>
    <w:p>
      <w:pPr>
        <w:ind w:firstLine="640" w:firstLineChars="200"/>
        <w:rPr>
          <w:rFonts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14.卫生健康（类）行政事业单位医疗（款）行政单位医疗（项）: 指财政部门安排的</w:t>
      </w:r>
      <w:r>
        <w:rPr>
          <w:rFonts w:hint="eastAsia" w:ascii="方正仿宋简体" w:eastAsia="方正仿宋简体"/>
          <w:sz w:val="32"/>
          <w:szCs w:val="32"/>
        </w:rPr>
        <w:t>行政单位(包括实行公务员管理的事业单位)</w:t>
      </w:r>
      <w:r>
        <w:rPr>
          <w:rFonts w:hint="eastAsia" w:ascii="方正仿宋简体" w:hAnsi="Calibri" w:eastAsia="方正仿宋简体" w:cs="仿宋"/>
          <w:color w:val="000000"/>
          <w:kern w:val="0"/>
          <w:sz w:val="32"/>
          <w:szCs w:val="32"/>
        </w:rPr>
        <w:t>基本医疗保险缴费经费，未参加医疗保险的行政单位的公费医疗经费，按国家规定享受离休人员、红军老战士待遇人员的医疗经费。</w:t>
      </w:r>
    </w:p>
    <w:p>
      <w:pPr>
        <w:ind w:firstLine="640" w:firstLineChars="200"/>
        <w:rPr>
          <w:rFonts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15.农林水（类）扶贫（款）其他扶贫支出（项）: 指其他用于扶贫方面的支出。</w:t>
      </w:r>
    </w:p>
    <w:p>
      <w:pPr>
        <w:ind w:firstLine="640" w:firstLineChars="200"/>
        <w:rPr>
          <w:rFonts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16.住房保障（类）住房改革支出（款）住房公积金（项）: 指行政事业单位按人力资源和社会保障部、财政部规定的基本工资和津贴补贴以及规定比例为职工缴纳的住房公积金。</w:t>
      </w:r>
    </w:p>
    <w:p>
      <w:pPr>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17.基本支出：指为保障机构正常运转、完成日常工作任务而发生的人员支出和公用支出。</w:t>
      </w:r>
    </w:p>
    <w:p>
      <w:pPr>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 xml:space="preserve">18.项目支出：指在基本支出之外为完成特定行政任务和事业发展目标所发生的支出。 </w:t>
      </w:r>
    </w:p>
    <w:p>
      <w:pPr>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19.经营支出：指事业单位在专业业务活动及其辅助活动之外开展非独立核算经营活动发生的支出。</w:t>
      </w:r>
    </w:p>
    <w:p>
      <w:pPr>
        <w:pStyle w:val="22"/>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55" w:name="_Toc15396614"/>
      <w:bookmarkStart w:id="56" w:name="_Toc15377226"/>
      <w:r>
        <w:rPr>
          <w:rFonts w:hint="eastAsia" w:ascii="黑体" w:hAnsi="黑体" w:eastAsia="黑体"/>
          <w:color w:val="000000"/>
          <w:sz w:val="44"/>
          <w:szCs w:val="44"/>
        </w:rPr>
        <w:t>第</w:t>
      </w:r>
      <w:r>
        <w:rPr>
          <w:rStyle w:val="24"/>
          <w:rFonts w:hint="eastAsia" w:ascii="黑体" w:hAnsi="黑体" w:eastAsia="黑体"/>
          <w:b w:val="0"/>
        </w:rPr>
        <w:t>四部分 附件</w:t>
      </w:r>
      <w:bookmarkEnd w:id="55"/>
    </w:p>
    <w:p>
      <w:pPr>
        <w:spacing w:line="600" w:lineRule="exact"/>
        <w:jc w:val="center"/>
        <w:outlineLvl w:val="0"/>
        <w:rPr>
          <w:rStyle w:val="24"/>
          <w:rFonts w:ascii="黑体" w:hAnsi="黑体" w:eastAsia="黑体"/>
          <w:b w:val="0"/>
        </w:rPr>
      </w:pPr>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中共广元市利州区纪委</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方正仿宋简体" w:hAnsi="宋体" w:eastAsia="方正仿宋简体"/>
          <w:sz w:val="32"/>
          <w:szCs w:val="32"/>
          <w:shd w:val="clear" w:color="auto" w:fill="FFFFFF"/>
        </w:rPr>
      </w:pPr>
      <w:r>
        <w:rPr>
          <w:rFonts w:hint="eastAsia" w:ascii="方正仿宋简体" w:hAnsi="宋体" w:eastAsia="方正仿宋简体"/>
          <w:sz w:val="32"/>
          <w:szCs w:val="32"/>
          <w:shd w:val="clear" w:color="auto" w:fill="FFFFFF"/>
        </w:rPr>
        <w:t>（报告范围包括机关和下属单位）</w:t>
      </w:r>
    </w:p>
    <w:p>
      <w:pPr>
        <w:widowControl/>
        <w:adjustRightInd w:val="0"/>
        <w:snapToGrid w:val="0"/>
        <w:spacing w:line="580" w:lineRule="exact"/>
        <w:contextualSpacing/>
        <w:jc w:val="left"/>
        <w:rPr>
          <w:rFonts w:ascii="方正仿宋简体" w:hAnsi="宋体" w:eastAsia="方正仿宋简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楷体" w:hAnsi="楷体" w:eastAsia="楷体"/>
          <w:color w:val="000000"/>
          <w:sz w:val="32"/>
          <w:szCs w:val="32"/>
        </w:rPr>
      </w:pPr>
      <w:r>
        <w:rPr>
          <w:rFonts w:hint="eastAsia" w:ascii="楷体" w:hAnsi="楷体" w:eastAsia="楷体"/>
          <w:color w:val="000000"/>
          <w:sz w:val="32"/>
          <w:szCs w:val="32"/>
        </w:rPr>
        <w:t>（一）机构组成</w:t>
      </w:r>
    </w:p>
    <w:p>
      <w:pPr>
        <w:spacing w:line="576" w:lineRule="exact"/>
        <w:ind w:firstLine="640" w:firstLineChars="200"/>
        <w:rPr>
          <w:rFonts w:ascii="方正仿宋简体" w:hAnsi="宋体" w:eastAsia="方正仿宋简体"/>
          <w:color w:val="000000"/>
          <w:sz w:val="32"/>
          <w:szCs w:val="32"/>
        </w:rPr>
      </w:pPr>
      <w:r>
        <w:rPr>
          <w:rFonts w:hint="eastAsia" w:ascii="方正仿宋简体" w:hAnsi="宋体" w:eastAsia="方正仿宋简体"/>
          <w:color w:val="000000"/>
          <w:sz w:val="32"/>
          <w:szCs w:val="32"/>
        </w:rPr>
        <w:t>中共广元市利州区纪委与广元市利州区监委实行合署办公，履行党的纪律检查和国家监察两项职能，在市纪委监委和中共广元市利州区委双重领导下开展工作。实行一套工作机构、两个机关名称。下属事业单位1个，廉政教育中心。</w:t>
      </w:r>
    </w:p>
    <w:p>
      <w:pPr>
        <w:widowControl/>
        <w:adjustRightInd w:val="0"/>
        <w:snapToGrid w:val="0"/>
        <w:spacing w:line="580" w:lineRule="exact"/>
        <w:ind w:firstLine="640" w:firstLineChars="200"/>
        <w:contextualSpacing/>
        <w:jc w:val="left"/>
        <w:rPr>
          <w:rFonts w:ascii="楷体" w:hAnsi="楷体" w:eastAsia="楷体"/>
          <w:color w:val="000000"/>
          <w:sz w:val="32"/>
          <w:szCs w:val="32"/>
        </w:rPr>
      </w:pPr>
      <w:r>
        <w:rPr>
          <w:rFonts w:hint="eastAsia" w:ascii="楷体" w:hAnsi="楷体" w:eastAsia="楷体"/>
          <w:color w:val="000000"/>
          <w:sz w:val="32"/>
          <w:szCs w:val="32"/>
        </w:rPr>
        <w:t>（二）机构职能</w:t>
      </w:r>
    </w:p>
    <w:p>
      <w:pPr>
        <w:ind w:firstLine="640" w:firstLineChars="200"/>
        <w:rPr>
          <w:rFonts w:ascii="方正仿宋简体" w:eastAsia="方正仿宋简体"/>
          <w:sz w:val="32"/>
          <w:szCs w:val="32"/>
        </w:rPr>
      </w:pPr>
      <w:r>
        <w:rPr>
          <w:rFonts w:hint="eastAsia" w:ascii="方正仿宋简体" w:eastAsia="方正仿宋简体"/>
          <w:sz w:val="32"/>
          <w:szCs w:val="32"/>
        </w:rPr>
        <w:t>（一）负责党的纪律检查工作。贯彻落实党中央关于纪律检查工作的决定，维护党的章程和其他党内法规，检查党的路线方针政策和决议的执行情况，协助区委推进全面从严治党、加强党风建设和组织协调反腐败工作。</w:t>
      </w:r>
      <w:r>
        <w:rPr>
          <w:rFonts w:hint="eastAsia" w:ascii="方正仿宋简体" w:eastAsia="方正仿宋简体"/>
          <w:sz w:val="32"/>
          <w:szCs w:val="32"/>
        </w:rPr>
        <w:br w:type="textWrapping"/>
      </w:r>
      <w:r>
        <w:rPr>
          <w:rFonts w:hint="eastAsia" w:ascii="方正仿宋简体" w:eastAsia="方正仿宋简体"/>
          <w:sz w:val="32"/>
          <w:szCs w:val="32"/>
        </w:rPr>
        <w:t xml:space="preserve">    （二）依照党的章程和其他党内法规履行监督、执纪、问责职责。负责经常对党员进行遵守纪律的教育，作出关于维护党纪的决定。对区委工作机关、区委批准设立的党组织（党委），各乡镇（街道）党（工）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r>
        <w:rPr>
          <w:rFonts w:hint="eastAsia" w:ascii="方正仿宋简体" w:eastAsia="方正仿宋简体"/>
          <w:sz w:val="32"/>
          <w:szCs w:val="32"/>
        </w:rPr>
        <w:br w:type="textWrapping"/>
      </w:r>
      <w:r>
        <w:rPr>
          <w:rFonts w:hint="eastAsia" w:ascii="方正仿宋简体" w:eastAsia="方正仿宋简体"/>
          <w:sz w:val="32"/>
          <w:szCs w:val="32"/>
        </w:rPr>
        <w:t xml:space="preserve">    （三）负责全区监察工作。贯彻落实党中央关于监察工作的决定，维护宪法法律，依法对区委管理的行使公权力的公职人员进行监察，调查职务违法和职务犯罪，开展廉政建设和反腐败工作。</w:t>
      </w:r>
      <w:r>
        <w:rPr>
          <w:rFonts w:hint="eastAsia" w:ascii="方正仿宋简体" w:eastAsia="方正仿宋简体"/>
          <w:sz w:val="32"/>
          <w:szCs w:val="32"/>
        </w:rPr>
        <w:br w:type="textWrapping"/>
      </w:r>
      <w:r>
        <w:rPr>
          <w:rFonts w:hint="eastAsia" w:ascii="方正仿宋简体" w:eastAsia="方正仿宋简体"/>
          <w:sz w:val="32"/>
          <w:szCs w:val="32"/>
        </w:rPr>
        <w:t xml:space="preserve">    （四）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r>
        <w:rPr>
          <w:rFonts w:hint="eastAsia" w:ascii="方正仿宋简体" w:eastAsia="方正仿宋简体"/>
          <w:sz w:val="32"/>
          <w:szCs w:val="32"/>
        </w:rPr>
        <w:br w:type="textWrapping"/>
      </w:r>
      <w:r>
        <w:rPr>
          <w:rFonts w:hint="eastAsia" w:ascii="方正仿宋简体" w:eastAsia="方正仿宋简体"/>
          <w:sz w:val="32"/>
          <w:szCs w:val="32"/>
        </w:rPr>
        <w:t xml:space="preserve">    （五）负责组织协调全面从严治党、党风廉政建设和反腐败宣传教育工作。</w:t>
      </w:r>
      <w:r>
        <w:rPr>
          <w:rFonts w:hint="eastAsia" w:ascii="方正仿宋简体" w:eastAsia="方正仿宋简体"/>
          <w:sz w:val="32"/>
          <w:szCs w:val="32"/>
        </w:rPr>
        <w:br w:type="textWrapping"/>
      </w:r>
      <w:r>
        <w:rPr>
          <w:rFonts w:hint="eastAsia" w:ascii="方正仿宋简体" w:eastAsia="方正仿宋简体"/>
          <w:sz w:val="32"/>
          <w:szCs w:val="32"/>
        </w:rPr>
        <w:t xml:space="preserve">    （六）负责综合分析全面从严治党、党风廉政建设和反腐败工作情况，对纪检监察工作重要理论及实践问题进行调查研究。制定或者修改全区纪检监察规范性文件，参与起草制定相关法规和规范性文件。</w:t>
      </w:r>
      <w:r>
        <w:rPr>
          <w:rFonts w:hint="eastAsia" w:ascii="方正仿宋简体" w:eastAsia="方正仿宋简体"/>
          <w:sz w:val="32"/>
          <w:szCs w:val="32"/>
        </w:rPr>
        <w:br w:type="textWrapping"/>
      </w:r>
      <w:r>
        <w:rPr>
          <w:rFonts w:hint="eastAsia" w:ascii="方正仿宋简体" w:eastAsia="方正仿宋简体"/>
          <w:sz w:val="32"/>
          <w:szCs w:val="32"/>
        </w:rPr>
        <w:t xml:space="preserve">   （七）在市纪委监委的领导下，加强对反腐败国际追逃追赃和防逃工作的组织协调，督促有关单位做好相关工作。</w:t>
      </w:r>
      <w:r>
        <w:rPr>
          <w:rFonts w:hint="eastAsia" w:ascii="方正仿宋简体" w:eastAsia="方正仿宋简体"/>
          <w:sz w:val="32"/>
          <w:szCs w:val="32"/>
        </w:rPr>
        <w:br w:type="textWrapping"/>
      </w:r>
      <w:r>
        <w:rPr>
          <w:rFonts w:hint="eastAsia" w:ascii="方正仿宋简体" w:eastAsia="方正仿宋简体"/>
          <w:sz w:val="32"/>
          <w:szCs w:val="32"/>
        </w:rPr>
        <w:t xml:space="preserve">    （八）根据干部管理权限，负责纪检监察系统领导班子建设、干部队伍建设和组织建设的综合规划、政策研究、制度建设和业务指导。会同有关方面做好区纪委监委派驻（出）机构、乡镇（街道）纪（工）委（监察室）、区管企业和区属学校医院等企事业单位纪检监察机构领导班子建设有关工作。组织和指导全区纪检监察系统教育培训工作等。</w:t>
      </w:r>
      <w:r>
        <w:rPr>
          <w:rFonts w:hint="eastAsia" w:ascii="方正仿宋简体" w:eastAsia="方正仿宋简体"/>
          <w:sz w:val="32"/>
          <w:szCs w:val="32"/>
        </w:rPr>
        <w:br w:type="textWrapping"/>
      </w:r>
      <w:r>
        <w:rPr>
          <w:rFonts w:hint="eastAsia" w:ascii="方正仿宋简体" w:eastAsia="方正仿宋简体"/>
          <w:sz w:val="32"/>
          <w:szCs w:val="32"/>
        </w:rPr>
        <w:t xml:space="preserve">    （九）完成区委和市纪委监委交办的其他任务。</w:t>
      </w:r>
    </w:p>
    <w:p>
      <w:pPr>
        <w:widowControl/>
        <w:adjustRightInd w:val="0"/>
        <w:snapToGrid w:val="0"/>
        <w:spacing w:line="580" w:lineRule="exact"/>
        <w:ind w:firstLine="640" w:firstLineChars="200"/>
        <w:contextualSpacing/>
        <w:jc w:val="left"/>
        <w:rPr>
          <w:rFonts w:ascii="楷体" w:hAnsi="楷体" w:eastAsia="楷体"/>
          <w:color w:val="000000"/>
          <w:sz w:val="32"/>
          <w:szCs w:val="32"/>
        </w:rPr>
      </w:pPr>
      <w:r>
        <w:rPr>
          <w:rFonts w:hint="eastAsia" w:ascii="楷体" w:hAnsi="楷体" w:eastAsia="楷体"/>
          <w:color w:val="000000"/>
          <w:sz w:val="32"/>
          <w:szCs w:val="32"/>
        </w:rPr>
        <w:t>（三）人员概况</w:t>
      </w:r>
    </w:p>
    <w:p>
      <w:pPr>
        <w:spacing w:line="560" w:lineRule="exact"/>
        <w:ind w:firstLine="640" w:firstLineChars="200"/>
        <w:rPr>
          <w:rFonts w:ascii="方正仿宋简体" w:hAnsi="宋体" w:eastAsia="方正仿宋简体"/>
          <w:color w:val="000000"/>
          <w:sz w:val="32"/>
          <w:szCs w:val="32"/>
        </w:rPr>
      </w:pPr>
      <w:r>
        <w:rPr>
          <w:rFonts w:hint="eastAsia" w:ascii="方正仿宋简体" w:hAnsi="宋体" w:eastAsia="方正仿宋简体"/>
          <w:color w:val="000000"/>
          <w:sz w:val="32"/>
          <w:szCs w:val="32"/>
        </w:rPr>
        <w:t>区纪委</w:t>
      </w:r>
      <w:r>
        <w:rPr>
          <w:rFonts w:hint="eastAsia" w:ascii="仿宋" w:hAnsi="仿宋" w:eastAsia="仿宋"/>
          <w:sz w:val="32"/>
          <w:szCs w:val="32"/>
        </w:rPr>
        <w:t>监委</w:t>
      </w:r>
      <w:r>
        <w:rPr>
          <w:rFonts w:hint="eastAsia" w:ascii="方正仿宋简体" w:hAnsi="宋体" w:eastAsia="方正仿宋简体"/>
          <w:color w:val="000000"/>
          <w:sz w:val="32"/>
          <w:szCs w:val="32"/>
        </w:rPr>
        <w:t>机关现有编制102个，其中行政编制70名、参公编制18名、事业编制11名、机关工勤编制3名。2019年末实有在职职工81人，其中公务员69人、事业人员10人，工勤人员2人。退休人员5人。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楷体" w:hAnsi="楷体" w:eastAsia="楷体"/>
          <w:color w:val="000000"/>
          <w:sz w:val="32"/>
          <w:szCs w:val="32"/>
        </w:rPr>
      </w:pPr>
      <w:r>
        <w:rPr>
          <w:rFonts w:hint="eastAsia" w:ascii="楷体" w:hAnsi="楷体" w:eastAsia="楷体"/>
          <w:color w:val="000000"/>
          <w:sz w:val="32"/>
          <w:szCs w:val="32"/>
        </w:rPr>
        <w:t>（一）部门财政资金收入情况</w:t>
      </w:r>
    </w:p>
    <w:p>
      <w:pPr>
        <w:spacing w:line="6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2019年本年收入合计1008.29万元，其中：一般公共预算财政拨款收入1008.29万元，占100%；政府性基金预算财政拨款收入0万元，占0%；</w:t>
      </w:r>
      <w:r>
        <w:rPr>
          <w:rFonts w:hint="eastAsia" w:ascii="方正仿宋简体" w:hAnsi="仿宋" w:eastAsia="方正仿宋简体"/>
          <w:color w:val="000000" w:themeColor="text1"/>
          <w:sz w:val="32"/>
          <w:szCs w:val="32"/>
        </w:rPr>
        <w:t>上级补助收入0</w:t>
      </w:r>
      <w:r>
        <w:rPr>
          <w:rFonts w:hint="eastAsia" w:ascii="方正仿宋简体" w:hAnsi="仿宋" w:eastAsia="方正仿宋简体"/>
          <w:color w:val="000000"/>
          <w:sz w:val="32"/>
          <w:szCs w:val="32"/>
        </w:rPr>
        <w:t>万元，占0%；事业收入0万元，占0%；经营收入0万元，占0%；附属单位上缴收入0万元，占0%；其他收入0万元，占0%。</w:t>
      </w:r>
    </w:p>
    <w:p>
      <w:pPr>
        <w:widowControl/>
        <w:adjustRightInd w:val="0"/>
        <w:snapToGrid w:val="0"/>
        <w:spacing w:line="580" w:lineRule="exact"/>
        <w:ind w:firstLine="640" w:firstLineChars="200"/>
        <w:contextualSpacing/>
        <w:jc w:val="left"/>
        <w:rPr>
          <w:rFonts w:ascii="楷体" w:hAnsi="楷体" w:eastAsia="楷体"/>
          <w:color w:val="000000"/>
          <w:sz w:val="32"/>
          <w:szCs w:val="32"/>
        </w:rPr>
      </w:pPr>
      <w:r>
        <w:rPr>
          <w:rFonts w:hint="eastAsia" w:ascii="楷体" w:hAnsi="楷体" w:eastAsia="楷体"/>
          <w:color w:val="000000"/>
          <w:sz w:val="32"/>
          <w:szCs w:val="32"/>
        </w:rPr>
        <w:t>（二）部门财政资金支出情况</w:t>
      </w:r>
    </w:p>
    <w:p>
      <w:pPr>
        <w:spacing w:line="6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2019年本年支出合计997.88万元，其中：基本支出963.88万元，占96.59%；项目支出34.00万元，占3.41%；上缴上级支出0万元，占0%；经营支出0万元，占0%；对附属单位补助支出0万元，占0</w:t>
      </w:r>
      <w:r>
        <w:rPr>
          <w:rFonts w:ascii="方正仿宋简体" w:hAnsi="仿宋" w:eastAsia="方正仿宋简体"/>
          <w:color w:val="000000"/>
          <w:sz w:val="32"/>
          <w:szCs w:val="32"/>
        </w:rPr>
        <w:t>%</w:t>
      </w:r>
      <w:r>
        <w:rPr>
          <w:rFonts w:hint="eastAsia" w:ascii="方正仿宋简体" w:hAnsi="仿宋" w:eastAsia="方正仿宋简体"/>
          <w:color w:val="000000"/>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楷体" w:hAnsi="楷体" w:eastAsia="楷体"/>
          <w:color w:val="000000"/>
          <w:sz w:val="32"/>
          <w:szCs w:val="32"/>
        </w:rPr>
      </w:pPr>
      <w:r>
        <w:rPr>
          <w:rFonts w:hint="eastAsia" w:ascii="楷体" w:hAnsi="楷体" w:eastAsia="楷体"/>
          <w:color w:val="000000"/>
          <w:sz w:val="32"/>
          <w:szCs w:val="32"/>
        </w:rPr>
        <w:t>（一）部门预算管理</w:t>
      </w:r>
    </w:p>
    <w:p>
      <w:pPr>
        <w:spacing w:line="58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区纪委</w:t>
      </w:r>
      <w:r>
        <w:rPr>
          <w:rFonts w:hint="eastAsia" w:ascii="仿宋" w:hAnsi="仿宋" w:eastAsia="仿宋"/>
          <w:sz w:val="32"/>
          <w:szCs w:val="32"/>
        </w:rPr>
        <w:t>监委</w:t>
      </w:r>
      <w:r>
        <w:rPr>
          <w:rFonts w:hint="eastAsia" w:ascii="方正仿宋简体" w:hAnsi="仿宋" w:eastAsia="方正仿宋简体"/>
          <w:color w:val="000000"/>
          <w:sz w:val="32"/>
          <w:szCs w:val="32"/>
        </w:rPr>
        <w:t>成立了以分管副书记为组长、各室负责人为成员的绩效管理领导小组。年初制定相应的科室绩效目标，分阶段进行相应的对照检查，确保目标的完成。严格按规定，根据实际需要编制预算，各项支出厉行节约，采取先申请后实施的方法，坚决杜绝超预算支出。在项目管理实施时先制定工作计划、明确责任领导和具体负责人等，严格项目绩效评估，根据工作进度进行资金拨付使用。全年预算支出完成率达98.97%以上，部分人员经费、办公费结转下年使用。全年无违纪违规现象发生。</w:t>
      </w:r>
    </w:p>
    <w:p>
      <w:pPr>
        <w:widowControl/>
        <w:adjustRightInd w:val="0"/>
        <w:snapToGrid w:val="0"/>
        <w:spacing w:line="580" w:lineRule="exact"/>
        <w:ind w:firstLine="640" w:firstLineChars="200"/>
        <w:contextualSpacing/>
        <w:jc w:val="left"/>
        <w:rPr>
          <w:rFonts w:ascii="楷体" w:hAnsi="楷体" w:eastAsia="楷体"/>
          <w:color w:val="000000"/>
          <w:sz w:val="32"/>
          <w:szCs w:val="32"/>
        </w:rPr>
      </w:pPr>
      <w:r>
        <w:rPr>
          <w:rFonts w:hint="eastAsia" w:ascii="楷体" w:hAnsi="楷体" w:eastAsia="楷体"/>
          <w:color w:val="000000"/>
          <w:sz w:val="32"/>
          <w:szCs w:val="32"/>
        </w:rPr>
        <w:t>（二）结果应用情况</w:t>
      </w:r>
    </w:p>
    <w:p>
      <w:pPr>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区纪委</w:t>
      </w:r>
      <w:r>
        <w:rPr>
          <w:rFonts w:hint="eastAsia" w:ascii="仿宋" w:hAnsi="仿宋" w:eastAsia="仿宋"/>
          <w:sz w:val="32"/>
          <w:szCs w:val="32"/>
        </w:rPr>
        <w:t>监委</w:t>
      </w:r>
      <w:r>
        <w:rPr>
          <w:rFonts w:hint="eastAsia" w:ascii="方正仿宋简体" w:hAnsi="仿宋" w:eastAsia="方正仿宋简体"/>
          <w:color w:val="000000"/>
          <w:sz w:val="32"/>
          <w:szCs w:val="32"/>
        </w:rPr>
        <w:t>整体预算管理情况良好，各种资金使用合理合规，公开公正，无徇私舞弊。全年围绕协助区委推进全面从严治党、加强党风廉政建设和组织协调反腐败工作，圆满完成各项目标任务。</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spacing w:line="58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（一）评价结论</w:t>
      </w:r>
    </w:p>
    <w:p>
      <w:pPr>
        <w:spacing w:line="58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2019年区纪委</w:t>
      </w:r>
      <w:r>
        <w:rPr>
          <w:rFonts w:hint="eastAsia" w:ascii="仿宋" w:hAnsi="仿宋" w:eastAsia="仿宋"/>
          <w:sz w:val="32"/>
          <w:szCs w:val="32"/>
        </w:rPr>
        <w:t>监委</w:t>
      </w:r>
      <w:r>
        <w:rPr>
          <w:rFonts w:hint="eastAsia" w:ascii="方正仿宋简体" w:hAnsi="仿宋" w:eastAsia="方正仿宋简体"/>
          <w:color w:val="000000"/>
          <w:sz w:val="32"/>
          <w:szCs w:val="32"/>
        </w:rPr>
        <w:t>在市纪委</w:t>
      </w:r>
      <w:r>
        <w:rPr>
          <w:rFonts w:hint="eastAsia" w:ascii="仿宋" w:hAnsi="仿宋" w:eastAsia="仿宋"/>
          <w:sz w:val="32"/>
          <w:szCs w:val="32"/>
        </w:rPr>
        <w:t>监委</w:t>
      </w:r>
      <w:r>
        <w:rPr>
          <w:rFonts w:hint="eastAsia" w:ascii="方正仿宋简体" w:hAnsi="仿宋" w:eastAsia="方正仿宋简体"/>
          <w:color w:val="000000"/>
          <w:sz w:val="32"/>
          <w:szCs w:val="32"/>
        </w:rPr>
        <w:t>和区委的领导下，顺利完成了各项目标任务，通过绩效目标考核，并取得优异成绩。</w:t>
      </w:r>
    </w:p>
    <w:p>
      <w:pPr>
        <w:spacing w:line="58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（二）存在问题</w:t>
      </w:r>
    </w:p>
    <w:p>
      <w:pPr>
        <w:spacing w:line="58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全年在资金安排和使用上，还存在使用不及时、不规范的现象。</w:t>
      </w:r>
    </w:p>
    <w:p>
      <w:pPr>
        <w:spacing w:line="58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（三）改进建议</w:t>
      </w:r>
    </w:p>
    <w:p>
      <w:pPr>
        <w:spacing w:line="58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一是加强制度建设，进一步健全财务管理制度，严格资金审批程序，加大资金监管力度，提高资金使用效益。二是严格落实资金使用用途，确保无违纪违行为发生。三是加强财务人员法规政策的学习，重点学习与业务工作有关的法规政策并熟悉掌握，不断提高业务水平。</w:t>
      </w:r>
    </w:p>
    <w:p>
      <w:pPr>
        <w:spacing w:line="580" w:lineRule="exact"/>
        <w:ind w:firstLine="640" w:firstLineChars="200"/>
        <w:rPr>
          <w:rFonts w:ascii="方正仿宋简体" w:hAnsi="仿宋" w:eastAsia="方正仿宋简体"/>
          <w:color w:val="000000"/>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党风廉政</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 w:hAnsi="楷体" w:eastAsia="楷体"/>
          <w:color w:val="000000"/>
          <w:sz w:val="32"/>
          <w:szCs w:val="32"/>
        </w:rPr>
      </w:pPr>
      <w:r>
        <w:rPr>
          <w:rFonts w:hint="eastAsia" w:ascii="楷体" w:hAnsi="楷体" w:eastAsia="楷体"/>
          <w:color w:val="000000"/>
          <w:sz w:val="32"/>
          <w:szCs w:val="32"/>
        </w:rPr>
        <w:t>（一）项目基本情况</w:t>
      </w:r>
    </w:p>
    <w:p>
      <w:pPr>
        <w:spacing w:line="58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党风廉政项目是为加强党风廉政宣传，以分类开设“微课堂”，以观看警示教育片、通报典型案例、开展政策宣讲等形式，通过主动说、群众提、集体议、互相帮等方式，让党员干部知敬畏、存戒惧、守底线，铲除“腐败”滋生土壤。力争实现党风廉政建设社会评价进一步提升，不断提升群众满意度、获得感而预算的项目，本单位制定了《项目资金使用管理办法》，并严格按照相关要求执行。</w:t>
      </w:r>
    </w:p>
    <w:p>
      <w:pPr>
        <w:adjustRightInd w:val="0"/>
        <w:snapToGrid w:val="0"/>
        <w:spacing w:line="600" w:lineRule="exact"/>
        <w:ind w:firstLine="720"/>
        <w:rPr>
          <w:rFonts w:ascii="楷体" w:hAnsi="楷体" w:eastAsia="楷体"/>
          <w:color w:val="000000"/>
          <w:sz w:val="32"/>
          <w:szCs w:val="32"/>
        </w:rPr>
      </w:pPr>
      <w:r>
        <w:rPr>
          <w:rFonts w:hint="eastAsia" w:ascii="楷体" w:hAnsi="楷体" w:eastAsia="楷体"/>
          <w:color w:val="000000"/>
          <w:sz w:val="32"/>
          <w:szCs w:val="32"/>
        </w:rPr>
        <w:t>（二）项目绩效目标</w:t>
      </w:r>
    </w:p>
    <w:p>
      <w:pPr>
        <w:adjustRightInd w:val="0"/>
        <w:snapToGrid w:val="0"/>
        <w:spacing w:line="600" w:lineRule="exact"/>
        <w:ind w:firstLine="720"/>
        <w:rPr>
          <w:rFonts w:ascii="方正仿宋简体" w:hAnsi="仿宋" w:eastAsia="方正仿宋简体"/>
          <w:color w:val="000000"/>
          <w:sz w:val="32"/>
          <w:szCs w:val="32"/>
        </w:rPr>
      </w:pPr>
      <w:r>
        <w:rPr>
          <w:rFonts w:hint="eastAsia" w:ascii="方正仿宋简体" w:hAnsi="仿宋" w:eastAsia="方正仿宋简体"/>
          <w:color w:val="000000"/>
          <w:sz w:val="32"/>
          <w:szCs w:val="32"/>
        </w:rPr>
        <w:t>1．项目主要内容</w:t>
      </w:r>
    </w:p>
    <w:p>
      <w:pPr>
        <w:adjustRightInd w:val="0"/>
        <w:snapToGrid w:val="0"/>
        <w:spacing w:line="600" w:lineRule="exact"/>
        <w:ind w:firstLine="720"/>
        <w:rPr>
          <w:rFonts w:ascii="方正仿宋简体" w:hAnsi="仿宋" w:eastAsia="方正仿宋简体"/>
          <w:color w:val="000000"/>
          <w:sz w:val="32"/>
          <w:szCs w:val="32"/>
        </w:rPr>
      </w:pPr>
      <w:r>
        <w:rPr>
          <w:rFonts w:hint="eastAsia" w:ascii="方正仿宋简体" w:hAnsi="仿宋" w:eastAsia="方正仿宋简体"/>
          <w:color w:val="000000"/>
          <w:sz w:val="32"/>
          <w:szCs w:val="32"/>
        </w:rPr>
        <w:t>通过新华社、光明日报、经济日报、中央纪委国家监委网站、中国纪检监察报等各级媒体宣传利州区党风廉政建设成效，及时向社会传达反腐倡廉最强音；开展党风廉政建设图片展巡展；制作警示教育片；制作各类廉洁标语、警示标语在交通要道、人口聚集地展示；强化日常警示警醒。</w:t>
      </w:r>
    </w:p>
    <w:p>
      <w:pPr>
        <w:adjustRightInd w:val="0"/>
        <w:snapToGrid w:val="0"/>
        <w:spacing w:line="600" w:lineRule="exact"/>
        <w:ind w:firstLine="720"/>
        <w:rPr>
          <w:rFonts w:ascii="方正仿宋简体" w:hAnsi="仿宋" w:eastAsia="方正仿宋简体"/>
          <w:color w:val="000000"/>
          <w:sz w:val="32"/>
          <w:szCs w:val="32"/>
        </w:rPr>
      </w:pPr>
      <w:r>
        <w:rPr>
          <w:rFonts w:hint="eastAsia" w:ascii="方正仿宋简体" w:hAnsi="仿宋" w:eastAsia="方正仿宋简体"/>
          <w:color w:val="000000"/>
          <w:sz w:val="32"/>
          <w:szCs w:val="32"/>
        </w:rPr>
        <w:t>2．项目应实现的具体绩效目标</w:t>
      </w:r>
    </w:p>
    <w:p>
      <w:pPr>
        <w:adjustRightInd w:val="0"/>
        <w:snapToGrid w:val="0"/>
        <w:spacing w:line="600" w:lineRule="exact"/>
        <w:ind w:firstLine="720"/>
        <w:rPr>
          <w:rFonts w:ascii="方正仿宋简体" w:hAnsi="仿宋" w:eastAsia="方正仿宋简体"/>
          <w:color w:val="000000"/>
          <w:sz w:val="32"/>
          <w:szCs w:val="32"/>
        </w:rPr>
      </w:pPr>
      <w:r>
        <w:rPr>
          <w:rFonts w:hint="eastAsia" w:ascii="方正仿宋简体" w:hAnsi="仿宋" w:eastAsia="方正仿宋简体"/>
          <w:color w:val="000000"/>
          <w:sz w:val="32"/>
          <w:szCs w:val="32"/>
        </w:rPr>
        <w:t>通过新华社、光明日报、经济日报、中央纪委国家监委网站、中国纪检监察报、四川日报、四川党的建设、廉政瞭望、廉洁四川等主流媒体，以及市本级媒体宣传利州区党风廉政建设和反腐败工作成效，及时向社会传达反腐倡廉最强音；开展党风廉政建设图片展巡展；制作警示教育片1部；制作各类廉洁标语、警示标语在交通要道、人口聚集地展示；强化日常警示警醒，编印廉政教育读本，组织旁听庭审，参观廉政教育基地，观看警示教育片，召开典型案件剖析会，发送廉政手机短信，曝光典型案件等。</w:t>
      </w:r>
    </w:p>
    <w:p>
      <w:pPr>
        <w:adjustRightInd w:val="0"/>
        <w:snapToGrid w:val="0"/>
        <w:spacing w:line="60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（三）项目自评步骤及方法</w:t>
      </w:r>
    </w:p>
    <w:p>
      <w:pPr>
        <w:adjustRightInd w:val="0"/>
        <w:snapToGrid w:val="0"/>
        <w:spacing w:line="600" w:lineRule="exact"/>
        <w:ind w:firstLine="720"/>
        <w:rPr>
          <w:rFonts w:ascii="方正仿宋简体" w:hAnsi="仿宋" w:eastAsia="方正仿宋简体"/>
          <w:color w:val="000000"/>
          <w:sz w:val="32"/>
          <w:szCs w:val="32"/>
        </w:rPr>
      </w:pPr>
      <w:r>
        <w:rPr>
          <w:rFonts w:hint="eastAsia" w:ascii="方正仿宋简体" w:hAnsi="仿宋" w:eastAsia="方正仿宋简体"/>
          <w:color w:val="000000"/>
          <w:sz w:val="32"/>
          <w:szCs w:val="32"/>
        </w:rPr>
        <w:t>区纪委监委成立了以分管副书记为组长、各室负责人为成员的绩效管理领导小组，根据年初确定的绩效目标，分阶段进行相应的对照检查，由领导小组成员评定打分，确保绩效目标完成。</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 w:hAnsi="楷体" w:eastAsia="楷体"/>
          <w:color w:val="000000"/>
          <w:sz w:val="32"/>
          <w:szCs w:val="32"/>
        </w:rPr>
      </w:pPr>
      <w:r>
        <w:rPr>
          <w:rFonts w:hint="eastAsia" w:ascii="楷体" w:hAnsi="楷体" w:eastAsia="楷体"/>
          <w:color w:val="000000"/>
          <w:sz w:val="32"/>
          <w:szCs w:val="32"/>
        </w:rPr>
        <w:t>（一）项目资金申报及批复情况</w:t>
      </w:r>
    </w:p>
    <w:p>
      <w:pPr>
        <w:adjustRightInd w:val="0"/>
        <w:snapToGrid w:val="0"/>
        <w:spacing w:line="600" w:lineRule="exact"/>
        <w:ind w:firstLine="720"/>
        <w:rPr>
          <w:rFonts w:ascii="方正仿宋简体" w:hAnsi="仿宋" w:eastAsia="方正仿宋简体"/>
          <w:color w:val="000000"/>
          <w:sz w:val="32"/>
          <w:szCs w:val="32"/>
        </w:rPr>
      </w:pPr>
      <w:r>
        <w:rPr>
          <w:rFonts w:hint="eastAsia" w:ascii="方正仿宋简体" w:hAnsi="仿宋" w:eastAsia="方正仿宋简体"/>
          <w:color w:val="000000"/>
          <w:sz w:val="32"/>
          <w:szCs w:val="32"/>
        </w:rPr>
        <w:t>区财政局下达预算后，根据工作进度申报资金，本项目无预算调整情况。</w:t>
      </w:r>
    </w:p>
    <w:p>
      <w:pPr>
        <w:adjustRightInd w:val="0"/>
        <w:snapToGrid w:val="0"/>
        <w:spacing w:line="600" w:lineRule="exact"/>
        <w:ind w:firstLine="720"/>
        <w:rPr>
          <w:rFonts w:ascii="楷体" w:hAnsi="楷体" w:eastAsia="楷体"/>
          <w:color w:val="000000"/>
          <w:sz w:val="32"/>
          <w:szCs w:val="32"/>
        </w:rPr>
      </w:pPr>
      <w:r>
        <w:rPr>
          <w:rFonts w:hint="eastAsia" w:ascii="楷体" w:hAnsi="楷体" w:eastAsia="楷体"/>
          <w:color w:val="000000"/>
          <w:sz w:val="32"/>
          <w:szCs w:val="32"/>
        </w:rPr>
        <w:t>（二）资金计划、到位及使用情况</w:t>
      </w:r>
    </w:p>
    <w:p>
      <w:pPr>
        <w:adjustRightInd w:val="0"/>
        <w:snapToGrid w:val="0"/>
        <w:spacing w:line="600" w:lineRule="exact"/>
        <w:ind w:firstLine="720"/>
        <w:rPr>
          <w:rFonts w:ascii="方正仿宋简体" w:hAnsi="仿宋" w:eastAsia="方正仿宋简体"/>
          <w:color w:val="000000"/>
          <w:sz w:val="32"/>
          <w:szCs w:val="32"/>
        </w:rPr>
      </w:pPr>
      <w:r>
        <w:rPr>
          <w:rFonts w:hint="eastAsia" w:ascii="方正仿宋简体" w:hAnsi="仿宋" w:eastAsia="方正仿宋简体"/>
          <w:color w:val="000000"/>
          <w:sz w:val="32"/>
          <w:szCs w:val="32"/>
        </w:rPr>
        <w:t>1．资金计划</w:t>
      </w:r>
    </w:p>
    <w:p>
      <w:pPr>
        <w:adjustRightInd w:val="0"/>
        <w:snapToGrid w:val="0"/>
        <w:spacing w:line="600" w:lineRule="exact"/>
        <w:ind w:firstLine="720"/>
        <w:rPr>
          <w:rFonts w:ascii="方正仿宋简体" w:hAnsi="仿宋" w:eastAsia="方正仿宋简体"/>
          <w:color w:val="000000"/>
          <w:sz w:val="32"/>
          <w:szCs w:val="32"/>
        </w:rPr>
      </w:pPr>
      <w:r>
        <w:rPr>
          <w:rFonts w:hint="eastAsia" w:ascii="方正仿宋简体" w:hAnsi="仿宋" w:eastAsia="方正仿宋简体"/>
          <w:color w:val="000000"/>
          <w:sz w:val="32"/>
          <w:szCs w:val="32"/>
        </w:rPr>
        <w:t>本年度区财政局下达党风廉政项目预算资金30万元，无其他资金来源。</w:t>
      </w:r>
    </w:p>
    <w:p>
      <w:pPr>
        <w:adjustRightInd w:val="0"/>
        <w:snapToGrid w:val="0"/>
        <w:spacing w:line="600" w:lineRule="exact"/>
        <w:ind w:firstLine="720"/>
        <w:rPr>
          <w:rFonts w:ascii="方正仿宋简体" w:hAnsi="仿宋" w:eastAsia="方正仿宋简体"/>
          <w:color w:val="000000"/>
          <w:sz w:val="32"/>
          <w:szCs w:val="32"/>
        </w:rPr>
      </w:pPr>
      <w:r>
        <w:rPr>
          <w:rFonts w:hint="eastAsia" w:ascii="方正仿宋简体" w:hAnsi="仿宋" w:eastAsia="方正仿宋简体"/>
          <w:color w:val="000000"/>
          <w:sz w:val="32"/>
          <w:szCs w:val="32"/>
        </w:rPr>
        <w:t>2．资金到位</w:t>
      </w:r>
    </w:p>
    <w:p>
      <w:pPr>
        <w:adjustRightInd w:val="0"/>
        <w:snapToGrid w:val="0"/>
        <w:spacing w:line="600" w:lineRule="exact"/>
        <w:ind w:firstLine="720"/>
        <w:rPr>
          <w:rFonts w:ascii="方正仿宋简体" w:hAnsi="仿宋" w:eastAsia="方正仿宋简体"/>
          <w:color w:val="000000"/>
          <w:sz w:val="32"/>
          <w:szCs w:val="32"/>
        </w:rPr>
      </w:pPr>
      <w:r>
        <w:rPr>
          <w:rFonts w:hint="eastAsia" w:ascii="方正仿宋简体" w:hAnsi="仿宋" w:eastAsia="方正仿宋简体"/>
          <w:color w:val="000000"/>
          <w:sz w:val="32"/>
          <w:szCs w:val="32"/>
        </w:rPr>
        <w:t>本年度党风廉政项目资金到位30万元，资金到位率100%。</w:t>
      </w:r>
    </w:p>
    <w:p>
      <w:pPr>
        <w:adjustRightInd w:val="0"/>
        <w:snapToGrid w:val="0"/>
        <w:spacing w:line="600" w:lineRule="exact"/>
        <w:ind w:firstLine="720"/>
        <w:rPr>
          <w:rFonts w:ascii="方正仿宋简体" w:hAnsi="仿宋" w:eastAsia="方正仿宋简体"/>
          <w:color w:val="000000"/>
          <w:sz w:val="32"/>
          <w:szCs w:val="32"/>
        </w:rPr>
      </w:pPr>
      <w:r>
        <w:rPr>
          <w:rFonts w:hint="eastAsia" w:ascii="方正仿宋简体" w:hAnsi="仿宋" w:eastAsia="方正仿宋简体"/>
          <w:color w:val="000000"/>
          <w:sz w:val="32"/>
          <w:szCs w:val="32"/>
        </w:rPr>
        <w:t>3．资金使用</w:t>
      </w:r>
    </w:p>
    <w:p>
      <w:pPr>
        <w:adjustRightInd w:val="0"/>
        <w:snapToGrid w:val="0"/>
        <w:spacing w:line="600" w:lineRule="exact"/>
        <w:ind w:firstLine="720"/>
        <w:rPr>
          <w:rFonts w:ascii="方正仿宋简体" w:hAnsi="仿宋" w:eastAsia="方正仿宋简体"/>
          <w:color w:val="000000"/>
          <w:sz w:val="32"/>
          <w:szCs w:val="32"/>
        </w:rPr>
      </w:pPr>
      <w:r>
        <w:rPr>
          <w:rFonts w:hint="eastAsia" w:ascii="方正仿宋简体" w:hAnsi="仿宋" w:eastAsia="方正仿宋简体"/>
          <w:color w:val="000000"/>
          <w:sz w:val="32"/>
          <w:szCs w:val="32"/>
        </w:rPr>
        <w:t>本年度支付党风廉政项目资金30万元，主要用于党风廉政宣传工作等支出，资金支付均按照合同约定及工作进度及时支付，资金支付合规合法。严格使用预算经费，无超预算支付情况。</w:t>
      </w:r>
    </w:p>
    <w:p>
      <w:pPr>
        <w:adjustRightInd w:val="0"/>
        <w:snapToGrid w:val="0"/>
        <w:spacing w:line="600" w:lineRule="exact"/>
        <w:ind w:firstLine="720"/>
        <w:rPr>
          <w:rFonts w:ascii="楷体" w:hAnsi="楷体" w:eastAsia="楷体"/>
          <w:color w:val="000000"/>
          <w:sz w:val="32"/>
          <w:szCs w:val="32"/>
        </w:rPr>
      </w:pPr>
      <w:r>
        <w:rPr>
          <w:rFonts w:hint="eastAsia" w:ascii="楷体" w:hAnsi="楷体" w:eastAsia="楷体"/>
          <w:color w:val="000000"/>
          <w:sz w:val="32"/>
          <w:szCs w:val="32"/>
        </w:rPr>
        <w:t>（三）项目财务管理情况</w:t>
      </w:r>
    </w:p>
    <w:p>
      <w:pPr>
        <w:adjustRightInd w:val="0"/>
        <w:snapToGrid w:val="0"/>
        <w:spacing w:line="600" w:lineRule="exact"/>
        <w:ind w:firstLine="720"/>
        <w:rPr>
          <w:rFonts w:ascii="方正仿宋简体" w:hAnsi="仿宋" w:eastAsia="方正仿宋简体"/>
          <w:color w:val="000000"/>
          <w:sz w:val="32"/>
          <w:szCs w:val="32"/>
        </w:rPr>
      </w:pPr>
      <w:r>
        <w:rPr>
          <w:rFonts w:hint="eastAsia" w:ascii="方正仿宋简体" w:hAnsi="仿宋" w:eastAsia="方正仿宋简体"/>
          <w:color w:val="000000"/>
          <w:sz w:val="32"/>
          <w:szCs w:val="32"/>
        </w:rPr>
        <w:t>区纪委监委财务管理制度健全，制定了《项目资金使用管理办法》，工作中严格执行财务管理制度，账务处理及时，会计核算规范。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 w:hAnsi="楷体" w:eastAsia="楷体"/>
          <w:color w:val="000000"/>
          <w:sz w:val="32"/>
          <w:szCs w:val="32"/>
        </w:rPr>
      </w:pPr>
      <w:r>
        <w:rPr>
          <w:rFonts w:hint="eastAsia" w:ascii="楷体" w:hAnsi="楷体" w:eastAsia="楷体"/>
          <w:color w:val="000000"/>
          <w:sz w:val="32"/>
          <w:szCs w:val="32"/>
        </w:rPr>
        <w:t>（一）项目组织架构及实施流程</w:t>
      </w:r>
    </w:p>
    <w:p>
      <w:pPr>
        <w:adjustRightInd w:val="0"/>
        <w:snapToGrid w:val="0"/>
        <w:spacing w:line="6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党风廉政项目是为加强党风廉政宣传而设立的，主要由委机关宣传部门负责实施，年末由宣传部制定下一年度宣传工作方案，申报预算计划。财政下达预算资金后，根据合同约定及工作进度及时支付资金。</w:t>
      </w:r>
    </w:p>
    <w:p>
      <w:pPr>
        <w:adjustRightInd w:val="0"/>
        <w:snapToGrid w:val="0"/>
        <w:spacing w:line="600" w:lineRule="exact"/>
        <w:ind w:firstLine="720"/>
        <w:rPr>
          <w:rFonts w:ascii="楷体" w:hAnsi="楷体" w:eastAsia="楷体"/>
          <w:color w:val="000000"/>
          <w:sz w:val="32"/>
          <w:szCs w:val="32"/>
        </w:rPr>
      </w:pPr>
      <w:r>
        <w:rPr>
          <w:rFonts w:hint="eastAsia" w:ascii="楷体" w:hAnsi="楷体" w:eastAsia="楷体"/>
          <w:color w:val="000000"/>
          <w:sz w:val="32"/>
          <w:szCs w:val="32"/>
        </w:rPr>
        <w:t>（二）项目管理情况</w:t>
      </w:r>
    </w:p>
    <w:p>
      <w:pPr>
        <w:spacing w:line="576" w:lineRule="exact"/>
        <w:ind w:firstLine="640" w:firstLineChars="200"/>
        <w:jc w:val="left"/>
        <w:rPr>
          <w:rFonts w:ascii="方正仿宋简体" w:hAnsi="仿宋" w:eastAsia="方正仿宋简体"/>
          <w:color w:val="000000"/>
          <w:sz w:val="32"/>
          <w:szCs w:val="32"/>
        </w:rPr>
      </w:pPr>
      <w:r>
        <w:rPr>
          <w:rFonts w:hint="eastAsia" w:ascii="方正仿宋简体" w:hAnsi="仿宋" w:eastAsia="方正仿宋简体"/>
          <w:color w:val="000000"/>
          <w:sz w:val="32"/>
          <w:szCs w:val="32"/>
        </w:rPr>
        <w:t>党风廉政项目由区纪委宣传部具体负责实施，支付各类宣传费用时资料齐全、手续完善，严格执行《预算法》、《会计法》等法律法规，严格执行《区纪委项目资金使用管理办法》、《区纪委“三重一大”事项集体决策制度》等制度。大额支出，实行区纪委常委会审定后予以支付。</w:t>
      </w:r>
    </w:p>
    <w:p>
      <w:pPr>
        <w:adjustRightInd w:val="0"/>
        <w:snapToGrid w:val="0"/>
        <w:spacing w:line="600" w:lineRule="exact"/>
        <w:ind w:firstLine="720"/>
        <w:rPr>
          <w:rFonts w:ascii="楷体" w:hAnsi="楷体" w:eastAsia="楷体"/>
          <w:color w:val="000000"/>
          <w:sz w:val="32"/>
          <w:szCs w:val="32"/>
        </w:rPr>
      </w:pPr>
      <w:r>
        <w:rPr>
          <w:rFonts w:hint="eastAsia" w:ascii="楷体" w:hAnsi="楷体" w:eastAsia="楷体"/>
          <w:color w:val="000000"/>
          <w:sz w:val="32"/>
          <w:szCs w:val="32"/>
        </w:rPr>
        <w:t>（三）项目监管情况</w:t>
      </w:r>
    </w:p>
    <w:p>
      <w:pPr>
        <w:adjustRightInd w:val="0"/>
        <w:snapToGrid w:val="0"/>
        <w:spacing w:line="600" w:lineRule="exact"/>
        <w:ind w:firstLine="640" w:firstLineChars="200"/>
        <w:rPr>
          <w:rFonts w:ascii="方正仿宋简体" w:hAnsi="宋体" w:eastAsia="方正仿宋简体"/>
          <w:sz w:val="32"/>
          <w:szCs w:val="32"/>
          <w:lang w:val="zh-CN"/>
        </w:rPr>
      </w:pPr>
      <w:r>
        <w:rPr>
          <w:rFonts w:hint="eastAsia" w:ascii="方正仿宋简体" w:hAnsi="仿宋" w:eastAsia="方正仿宋简体"/>
          <w:color w:val="000000"/>
          <w:sz w:val="32"/>
          <w:szCs w:val="32"/>
        </w:rPr>
        <w:t>党风廉政项目由区纪委宣传部具体负责实施，宣传部指定专人负责党风廉政宣传工作，签订宣传合同、经办各类支出事项。党风廉政宣传事项要先报请分管常委审核、分管副书记审定，再上报区纪委书记同意后予以实施；支出事项由经办人签字，报请分管常委审核，再上报分管财务副书记审签后予以支付。宣传工作通过层层审核把关，客观有效反映我区党风廉政建设和反腐倡廉工作成效，规范了财政资金用途</w:t>
      </w:r>
      <w:r>
        <w:rPr>
          <w:rFonts w:hint="eastAsia" w:ascii="方正仿宋简体" w:hAnsi="仿宋" w:eastAsia="方正仿宋简体" w:cs="仿宋"/>
          <w:color w:val="000000"/>
          <w:kern w:val="0"/>
          <w:sz w:val="32"/>
          <w:szCs w:val="32"/>
        </w:rPr>
        <w:t>，提高了资金使用效率。</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四、项目绩效情况</w:t>
      </w:r>
      <w:r>
        <w:rPr>
          <w:rFonts w:hint="eastAsia" w:ascii="黑体" w:hAnsi="宋体" w:eastAsia="黑体"/>
          <w:sz w:val="32"/>
          <w:szCs w:val="32"/>
        </w:rPr>
        <w:tab/>
      </w:r>
    </w:p>
    <w:p>
      <w:pPr>
        <w:adjustRightInd w:val="0"/>
        <w:snapToGrid w:val="0"/>
        <w:spacing w:line="600" w:lineRule="exact"/>
        <w:ind w:firstLine="720"/>
        <w:rPr>
          <w:rFonts w:ascii="楷体" w:hAnsi="楷体" w:eastAsia="楷体"/>
          <w:color w:val="000000"/>
          <w:sz w:val="32"/>
          <w:szCs w:val="32"/>
        </w:rPr>
      </w:pPr>
      <w:r>
        <w:rPr>
          <w:rFonts w:hint="eastAsia" w:ascii="楷体" w:hAnsi="楷体" w:eastAsia="楷体"/>
          <w:color w:val="000000"/>
          <w:sz w:val="32"/>
          <w:szCs w:val="32"/>
        </w:rPr>
        <w:t>（一）项目完成情况</w:t>
      </w:r>
    </w:p>
    <w:p>
      <w:pPr>
        <w:adjustRightInd w:val="0"/>
        <w:snapToGrid w:val="0"/>
        <w:spacing w:line="600" w:lineRule="exact"/>
        <w:ind w:firstLine="720"/>
        <w:rPr>
          <w:rFonts w:ascii="方正仿宋简体" w:hAnsi="宋体" w:eastAsia="方正仿宋简体"/>
          <w:sz w:val="32"/>
          <w:szCs w:val="32"/>
          <w:lang w:val="zh-CN"/>
        </w:rPr>
      </w:pPr>
      <w:r>
        <w:rPr>
          <w:rFonts w:hint="eastAsia" w:ascii="方正仿宋简体" w:hAnsi="仿宋" w:eastAsia="方正仿宋简体" w:cs="仿宋"/>
          <w:color w:val="000000"/>
          <w:kern w:val="0"/>
          <w:sz w:val="32"/>
          <w:szCs w:val="32"/>
        </w:rPr>
        <w:t>本年在新华社、光明日报、经济日报、中央纪委国家监委网站、中国纪检监察报等中央权威媒体上稿51篇；在四川日报、四川党的建设、廉政</w:t>
      </w:r>
      <w:r>
        <w:rPr>
          <w:rFonts w:hint="eastAsia" w:ascii="方正仿宋简体" w:hAnsi="仿宋" w:eastAsia="仿宋" w:cs="仿宋"/>
          <w:color w:val="000000"/>
          <w:kern w:val="0"/>
          <w:sz w:val="32"/>
          <w:szCs w:val="32"/>
        </w:rPr>
        <w:t>瞭</w:t>
      </w:r>
      <w:r>
        <w:rPr>
          <w:rFonts w:hint="eastAsia" w:ascii="方正仿宋简体" w:hAnsi="仿宋" w:eastAsia="方正仿宋简体" w:cs="仿宋"/>
          <w:color w:val="000000"/>
          <w:kern w:val="0"/>
          <w:sz w:val="32"/>
          <w:szCs w:val="32"/>
        </w:rPr>
        <w:t>望、廉洁四川等省级主流媒体刊稿55篇；市本级媒体上稿82条，及时向社会传达反腐倡廉最强音；</w:t>
      </w:r>
      <w:r>
        <w:rPr>
          <w:rFonts w:hint="eastAsia" w:ascii="方正仿宋简体" w:hAnsi="宋体" w:eastAsia="方正仿宋简体"/>
          <w:sz w:val="32"/>
          <w:szCs w:val="32"/>
          <w:lang w:val="zh-CN"/>
        </w:rPr>
        <w:t>开展党风廉政建设图片展巡展；制作警示教育片《欲望失控 人生偏航》1部；制作各类廉洁标语、警示标语在交通要道、人口聚集地展示；</w:t>
      </w:r>
      <w:r>
        <w:rPr>
          <w:rFonts w:hint="eastAsia" w:ascii="方正仿宋简体" w:hAnsi="仿宋" w:eastAsia="方正仿宋简体" w:cs="仿宋"/>
          <w:color w:val="000000"/>
          <w:kern w:val="0"/>
          <w:sz w:val="32"/>
          <w:szCs w:val="32"/>
        </w:rPr>
        <w:t>强化日常警示警醒，编印廉政教育读本200余本，组织旁听庭审，参观廉政教育基地，观看警示教育片，召开典型案件剖析会，发送廉政手机短信10余条，通报曝光典型案件等，使党员干部切实增强了对纪律的尊崇、对权力的敬畏。全年支付党风廉政宣传费用30万元，按进度及时支付相关费用。</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（二）项目效益情况</w:t>
      </w:r>
    </w:p>
    <w:p>
      <w:pPr>
        <w:adjustRightInd w:val="0"/>
        <w:snapToGrid w:val="0"/>
        <w:spacing w:line="600" w:lineRule="exact"/>
        <w:ind w:firstLine="720"/>
        <w:rPr>
          <w:rFonts w:ascii="仿宋" w:hAnsi="仿宋" w:eastAsia="仿宋" w:cs="仿宋"/>
          <w:color w:val="000000"/>
          <w:kern w:val="0"/>
          <w:sz w:val="32"/>
          <w:szCs w:val="32"/>
        </w:rPr>
      </w:pPr>
      <w:r>
        <w:rPr>
          <w:rFonts w:hint="eastAsia" w:ascii="仿宋" w:hAnsi="仿宋" w:eastAsia="仿宋" w:cs="仿宋"/>
          <w:color w:val="000000"/>
          <w:kern w:val="0"/>
          <w:sz w:val="32"/>
          <w:szCs w:val="32"/>
        </w:rPr>
        <w:t>通过开展形式多样的宣传报道，教育引导党员干部进一步增强纪律观念和规矩意识。开展党风廉政建设图片展巡展等活动，突出展示党的十八大以来全面从严治党取得的卓著成效。常态化开展警示教育工作，持续强化党员干部廉洁自律意识。逐步形成风清气正的良好政治生态环境，群众有较强的获得感、幸福感。</w:t>
      </w:r>
    </w:p>
    <w:p>
      <w:pPr>
        <w:adjustRightInd w:val="0"/>
        <w:snapToGrid w:val="0"/>
        <w:spacing w:line="600" w:lineRule="exact"/>
        <w:ind w:firstLine="720"/>
        <w:rPr>
          <w:rFonts w:ascii="黑体" w:hAnsi="黑体" w:eastAsia="黑体"/>
          <w:sz w:val="32"/>
          <w:szCs w:val="32"/>
          <w:lang w:val="zh-CN"/>
        </w:rPr>
      </w:pPr>
      <w:r>
        <w:rPr>
          <w:rFonts w:hint="eastAsia" w:ascii="黑体" w:hAnsi="黑体" w:eastAsia="黑体"/>
          <w:sz w:val="32"/>
          <w:szCs w:val="32"/>
          <w:lang w:val="zh-CN"/>
        </w:rPr>
        <w:t>五、评价结论及建议</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（一）评价结论</w:t>
      </w:r>
    </w:p>
    <w:p>
      <w:pPr>
        <w:spacing w:line="580" w:lineRule="exact"/>
        <w:ind w:firstLine="640" w:firstLineChars="200"/>
        <w:rPr>
          <w:rFonts w:ascii="方正仿宋简体" w:hAnsi="仿宋_GB2312" w:eastAsia="方正仿宋简体" w:cs="仿宋_GB2312"/>
          <w:sz w:val="32"/>
          <w:szCs w:val="32"/>
        </w:rPr>
      </w:pPr>
      <w:r>
        <w:rPr>
          <w:rFonts w:hint="eastAsia" w:ascii="方正仿宋简体" w:hAnsi="宋体" w:eastAsia="方正仿宋简体"/>
          <w:sz w:val="32"/>
          <w:szCs w:val="32"/>
          <w:lang w:val="zh-CN"/>
        </w:rPr>
        <w:t>党风廉政项目是为加强党风</w:t>
      </w:r>
      <w:r>
        <w:rPr>
          <w:rFonts w:hint="eastAsia" w:ascii="方正仿宋简体" w:hAnsi="宋体" w:eastAsia="方正仿宋简体" w:cs="宋体"/>
          <w:sz w:val="32"/>
          <w:szCs w:val="32"/>
          <w:lang w:val="zh-CN"/>
        </w:rPr>
        <w:t>廉政宣传而预算的项目，本项目共预算经费30万元，全年共支付30万元，支付率100%。通过</w:t>
      </w:r>
      <w:r>
        <w:rPr>
          <w:rFonts w:hint="eastAsia" w:ascii="方正仿宋简体" w:hAnsi="仿宋" w:eastAsia="方正仿宋简体" w:cs="仿宋"/>
          <w:color w:val="000000"/>
          <w:kern w:val="0"/>
          <w:sz w:val="32"/>
          <w:szCs w:val="32"/>
        </w:rPr>
        <w:t>开展形式多样的宣传报道，逐步形成风清气正的良好政治生态环境，群众有较强的获得感、幸福感。</w:t>
      </w:r>
      <w:r>
        <w:rPr>
          <w:rFonts w:hint="eastAsia" w:ascii="方正仿宋简体" w:hAnsi="仿宋_GB2312" w:eastAsia="方正仿宋简体" w:cs="仿宋_GB2312"/>
          <w:sz w:val="32"/>
          <w:szCs w:val="32"/>
        </w:rPr>
        <w:t>从评价情况来看，这个项目已圆满完成，达到预期目标，有效提高反腐败工作成效。</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（二）存在的问题</w:t>
      </w:r>
    </w:p>
    <w:p>
      <w:pPr>
        <w:adjustRightInd w:val="0"/>
        <w:snapToGrid w:val="0"/>
        <w:spacing w:line="600" w:lineRule="exact"/>
        <w:ind w:firstLine="640" w:firstLineChars="200"/>
        <w:rPr>
          <w:rFonts w:ascii="方正仿宋简体" w:hAnsi="宋体" w:eastAsia="方正仿宋简体"/>
          <w:sz w:val="32"/>
          <w:szCs w:val="32"/>
          <w:lang w:val="zh-CN"/>
        </w:rPr>
      </w:pPr>
      <w:r>
        <w:rPr>
          <w:rFonts w:hint="eastAsia" w:ascii="方正仿宋简体" w:hAnsi="仿宋_GB2312" w:eastAsia="方正仿宋简体" w:cs="仿宋_GB2312"/>
          <w:sz w:val="32"/>
          <w:szCs w:val="32"/>
        </w:rPr>
        <w:t>党风廉政宣传力度要进一步加强，社会评价满意度有待进一步提升。经费预算数有待增加。经费使用过程中，对资金监管不够严格。</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（三）相关建议</w:t>
      </w:r>
    </w:p>
    <w:p>
      <w:pPr>
        <w:adjustRightInd w:val="0"/>
        <w:snapToGrid w:val="0"/>
        <w:spacing w:line="600" w:lineRule="exact"/>
        <w:ind w:firstLine="640" w:firstLineChars="200"/>
        <w:rPr>
          <w:rFonts w:ascii="方正仿宋简体" w:hAnsi="宋体" w:eastAsia="方正仿宋简体"/>
          <w:sz w:val="32"/>
          <w:szCs w:val="32"/>
          <w:lang w:val="zh-CN"/>
        </w:rPr>
      </w:pPr>
      <w:r>
        <w:rPr>
          <w:rFonts w:hint="eastAsia" w:ascii="方正仿宋简体" w:hAnsi="仿宋_GB2312" w:eastAsia="方正仿宋简体" w:cs="仿宋_GB2312"/>
          <w:sz w:val="32"/>
          <w:szCs w:val="32"/>
        </w:rPr>
        <w:t>加大党风廉政宣传力度，进一步加强项目资金管理，提高资金使用效率。</w:t>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附件3</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九项大比武项目2019年绩效评价报告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（一）项目基本情况</w:t>
      </w:r>
    </w:p>
    <w:p>
      <w:pPr>
        <w:spacing w:line="580" w:lineRule="exact"/>
        <w:ind w:firstLine="640" w:firstLineChars="200"/>
        <w:rPr>
          <w:rFonts w:ascii="方正仿宋简体" w:hAnsi="仿宋" w:eastAsia="方正仿宋简体" w:cs="仿宋_GB2312"/>
          <w:sz w:val="32"/>
          <w:szCs w:val="32"/>
        </w:rPr>
      </w:pPr>
      <w:r>
        <w:rPr>
          <w:rFonts w:hint="eastAsia" w:ascii="方正仿宋简体" w:hAnsi="仿宋_GB2312" w:eastAsia="方正仿宋简体" w:cs="仿宋_GB2312"/>
          <w:sz w:val="32"/>
          <w:szCs w:val="32"/>
        </w:rPr>
        <w:t>九项大比武</w:t>
      </w:r>
      <w:r>
        <w:rPr>
          <w:rFonts w:hint="eastAsia" w:ascii="方正仿宋简体" w:hAnsi="宋体" w:eastAsia="方正仿宋简体"/>
          <w:sz w:val="32"/>
          <w:szCs w:val="32"/>
          <w:lang w:val="zh-CN"/>
        </w:rPr>
        <w:t>项目是为扎实推进党的政治建设、思想建设、组织建设、作风建设、纪律建设和统一战线工作，在全区开展从严治党</w:t>
      </w:r>
      <w:r>
        <w:rPr>
          <w:rFonts w:hint="eastAsia" w:ascii="方正仿宋简体" w:hAnsi="宋体" w:eastAsia="方正仿宋简体" w:cs="宋体"/>
          <w:sz w:val="32"/>
          <w:szCs w:val="32"/>
          <w:lang w:val="zh-CN"/>
        </w:rPr>
        <w:t>而预算的项目，</w:t>
      </w:r>
      <w:r>
        <w:rPr>
          <w:rFonts w:hint="eastAsia" w:ascii="方正仿宋简体" w:hAnsi="仿宋" w:eastAsia="方正仿宋简体" w:cs="仿宋_GB2312"/>
          <w:sz w:val="32"/>
          <w:szCs w:val="32"/>
        </w:rPr>
        <w:t>本单位制定了《项目资金使用管理办法》，并严格按照相关要求执行。</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（二）项目绩效目标</w:t>
      </w:r>
    </w:p>
    <w:p>
      <w:pPr>
        <w:adjustRightInd w:val="0"/>
        <w:snapToGrid w:val="0"/>
        <w:spacing w:line="600" w:lineRule="exact"/>
        <w:ind w:firstLine="720"/>
        <w:rPr>
          <w:rFonts w:ascii="方正仿宋简体" w:hAnsi="宋体" w:eastAsia="方正仿宋简体"/>
          <w:sz w:val="32"/>
          <w:szCs w:val="32"/>
          <w:lang w:val="zh-CN"/>
        </w:rPr>
      </w:pPr>
      <w:r>
        <w:rPr>
          <w:rFonts w:hint="eastAsia" w:ascii="方正仿宋简体" w:hAnsi="宋体" w:eastAsia="方正仿宋简体"/>
          <w:sz w:val="32"/>
          <w:szCs w:val="32"/>
          <w:lang w:val="zh-CN"/>
        </w:rPr>
        <w:t>1．项目主要内容</w:t>
      </w:r>
    </w:p>
    <w:p>
      <w:pPr>
        <w:adjustRightInd w:val="0"/>
        <w:snapToGrid w:val="0"/>
        <w:spacing w:line="600" w:lineRule="exact"/>
        <w:ind w:firstLine="720"/>
        <w:rPr>
          <w:rFonts w:ascii="方正仿宋简体" w:hAnsi="仿宋" w:eastAsia="方正仿宋简体" w:cs="仿宋"/>
          <w:color w:val="000000"/>
          <w:kern w:val="0"/>
          <w:sz w:val="32"/>
          <w:szCs w:val="32"/>
        </w:rPr>
      </w:pPr>
      <w:r>
        <w:rPr>
          <w:rFonts w:hint="eastAsia" w:ascii="方正仿宋简体" w:hAnsi="仿宋" w:eastAsia="方正仿宋简体" w:cs="仿宋"/>
          <w:color w:val="000000"/>
          <w:kern w:val="0"/>
          <w:sz w:val="32"/>
          <w:szCs w:val="32"/>
        </w:rPr>
        <w:t>开展政治建设“大比武”。牢固树立“四个意识”，坚定“四个自信”，坚决践行“两个维护”；严肃党内政治生活和组织生活；坚定不移贯彻落实中央和省委、市委、区委各级重大决策部署；培育积极健康的党内政治文化；强化政治巡视巡察反馈问题整改；认真贯彻落实民主集中制。</w:t>
      </w:r>
    </w:p>
    <w:p>
      <w:pPr>
        <w:adjustRightInd w:val="0"/>
        <w:snapToGrid w:val="0"/>
        <w:spacing w:line="600" w:lineRule="exact"/>
        <w:ind w:firstLine="720"/>
        <w:rPr>
          <w:rFonts w:ascii="方正仿宋简体" w:hAnsi="宋体" w:eastAsia="方正仿宋简体"/>
          <w:sz w:val="32"/>
          <w:szCs w:val="32"/>
          <w:lang w:val="zh-CN"/>
        </w:rPr>
      </w:pPr>
      <w:r>
        <w:rPr>
          <w:rFonts w:hint="eastAsia" w:ascii="方正仿宋简体" w:hAnsi="宋体" w:eastAsia="方正仿宋简体"/>
          <w:sz w:val="32"/>
          <w:szCs w:val="32"/>
          <w:lang w:val="zh-CN"/>
        </w:rPr>
        <w:t>2．项目应实现的具体绩效目标</w:t>
      </w:r>
    </w:p>
    <w:p>
      <w:pPr>
        <w:adjustRightInd w:val="0"/>
        <w:snapToGrid w:val="0"/>
        <w:spacing w:line="600" w:lineRule="exact"/>
        <w:ind w:firstLine="720"/>
        <w:rPr>
          <w:rFonts w:ascii="方正仿宋简体" w:hAnsi="宋体" w:eastAsia="方正仿宋简体"/>
          <w:sz w:val="32"/>
          <w:szCs w:val="32"/>
          <w:lang w:val="zh-CN"/>
        </w:rPr>
      </w:pPr>
      <w:r>
        <w:rPr>
          <w:rFonts w:hint="eastAsia" w:ascii="方正仿宋简体" w:hAnsi="仿宋" w:eastAsia="方正仿宋简体" w:cs="仿宋"/>
          <w:color w:val="000000"/>
          <w:kern w:val="0"/>
          <w:sz w:val="32"/>
          <w:szCs w:val="32"/>
        </w:rPr>
        <w:t>领导干部带头树立标杆、</w:t>
      </w:r>
      <w:r>
        <w:rPr>
          <w:rFonts w:hint="eastAsia" w:ascii="方正仿宋简体" w:hAnsi="仿宋" w:eastAsia="方正仿宋简体" w:cs="仿宋"/>
          <w:color w:val="000000"/>
          <w:kern w:val="0"/>
          <w:sz w:val="32"/>
          <w:szCs w:val="32"/>
          <w:lang w:eastAsia="zh-CN"/>
        </w:rPr>
        <w:t>做好表率</w:t>
      </w:r>
      <w:r>
        <w:rPr>
          <w:rFonts w:hint="eastAsia" w:ascii="方正仿宋简体" w:hAnsi="仿宋" w:eastAsia="方正仿宋简体" w:cs="仿宋"/>
          <w:color w:val="000000"/>
          <w:kern w:val="0"/>
          <w:sz w:val="32"/>
          <w:szCs w:val="32"/>
        </w:rPr>
        <w:t>，严格落实重大事项请示报告制度，自觉遵守政治纪律，强化政治责任，提高政治能力。常态化开展党性教育和党性锻炼，不断推动党内关系正常化、纯洁化。通过持继深入学习，加强工作开展过程中的指导和督查，确保各项决策部署落到实处。广泛开展理想信念教育和宗旨教育，推动党员干部带头践行社会主义核心价值观，永葆共产党人政治本色。各级党委（党组）做好巡视整改工作的责任感和紧迫感。完善领导班子议事决策规则，明确议事决策范围，严格议事决策程度，拓宽民意反映渠道。</w:t>
      </w:r>
    </w:p>
    <w:p>
      <w:pPr>
        <w:adjustRightInd w:val="0"/>
        <w:snapToGrid w:val="0"/>
        <w:spacing w:line="600" w:lineRule="exact"/>
        <w:ind w:firstLine="640" w:firstLineChars="200"/>
        <w:rPr>
          <w:rFonts w:ascii="楷体" w:hAnsi="楷体" w:eastAsia="楷体"/>
          <w:sz w:val="32"/>
          <w:szCs w:val="32"/>
          <w:lang w:val="zh-CN"/>
        </w:rPr>
      </w:pPr>
      <w:r>
        <w:rPr>
          <w:rFonts w:hint="eastAsia" w:ascii="楷体" w:hAnsi="楷体" w:eastAsia="楷体"/>
          <w:sz w:val="32"/>
          <w:szCs w:val="32"/>
          <w:lang w:val="zh-CN"/>
        </w:rPr>
        <w:t>（三）项目自评步骤及方法</w:t>
      </w:r>
    </w:p>
    <w:p>
      <w:pPr>
        <w:adjustRightInd w:val="0"/>
        <w:snapToGrid w:val="0"/>
        <w:spacing w:line="600" w:lineRule="exact"/>
        <w:ind w:firstLine="720"/>
        <w:rPr>
          <w:rFonts w:ascii="方正仿宋简体" w:hAnsi="仿宋" w:eastAsia="方正仿宋简体" w:cs="仿宋_GB2312"/>
          <w:sz w:val="32"/>
          <w:szCs w:val="32"/>
        </w:rPr>
      </w:pPr>
      <w:r>
        <w:rPr>
          <w:rFonts w:hint="eastAsia" w:ascii="方正仿宋简体" w:hAnsi="仿宋" w:eastAsia="方正仿宋简体" w:cs="仿宋_GB2312"/>
          <w:sz w:val="32"/>
          <w:szCs w:val="32"/>
        </w:rPr>
        <w:t>区纪委监委成立了以分管副书记为组长、各室负责人为成员的绩效管理领导小组，根据年初确定的绩效目标，分阶段进行相应的对照检查，由领导小组成员评定打分，确保绩效目标完成。</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（一）项目资金申报及批复情况</w:t>
      </w:r>
    </w:p>
    <w:p>
      <w:pPr>
        <w:adjustRightInd w:val="0"/>
        <w:snapToGrid w:val="0"/>
        <w:spacing w:line="600" w:lineRule="exact"/>
        <w:ind w:firstLine="720"/>
        <w:rPr>
          <w:rFonts w:ascii="方正仿宋简体" w:hAnsi="宋体" w:eastAsia="方正仿宋简体" w:cs="宋体"/>
          <w:sz w:val="32"/>
          <w:szCs w:val="32"/>
          <w:lang w:val="zh-CN"/>
        </w:rPr>
      </w:pPr>
      <w:r>
        <w:rPr>
          <w:rFonts w:hint="eastAsia" w:ascii="方正仿宋简体" w:hAnsi="宋体" w:eastAsia="方正仿宋简体"/>
          <w:sz w:val="32"/>
          <w:szCs w:val="32"/>
          <w:lang w:val="zh-CN"/>
        </w:rPr>
        <w:t>区财政局下达预算后，根据工作进度申报资金，本项目无预算调</w:t>
      </w:r>
      <w:r>
        <w:rPr>
          <w:rFonts w:hint="eastAsia" w:ascii="方正仿宋简体" w:hAnsi="宋体" w:eastAsia="方正仿宋简体" w:cs="宋体"/>
          <w:sz w:val="32"/>
          <w:szCs w:val="32"/>
          <w:lang w:val="zh-CN"/>
        </w:rPr>
        <w:t>整情况。</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（二）资金计划、到位及使用情况</w:t>
      </w:r>
    </w:p>
    <w:p>
      <w:pPr>
        <w:adjustRightInd w:val="0"/>
        <w:snapToGrid w:val="0"/>
        <w:spacing w:line="600" w:lineRule="exact"/>
        <w:ind w:firstLine="720"/>
        <w:rPr>
          <w:rFonts w:ascii="方正仿宋简体" w:hAnsi="宋体" w:eastAsia="方正仿宋简体"/>
          <w:sz w:val="32"/>
          <w:szCs w:val="32"/>
          <w:lang w:val="zh-CN"/>
        </w:rPr>
      </w:pPr>
      <w:r>
        <w:rPr>
          <w:rFonts w:hint="eastAsia" w:ascii="方正仿宋简体" w:hAnsi="宋体" w:eastAsia="方正仿宋简体"/>
          <w:sz w:val="32"/>
          <w:szCs w:val="32"/>
          <w:lang w:val="zh-CN"/>
        </w:rPr>
        <w:t>1．资金计划</w:t>
      </w:r>
    </w:p>
    <w:p>
      <w:pPr>
        <w:adjustRightInd w:val="0"/>
        <w:snapToGrid w:val="0"/>
        <w:spacing w:line="600" w:lineRule="exact"/>
        <w:ind w:firstLine="720"/>
        <w:rPr>
          <w:rFonts w:ascii="方正仿宋简体" w:hAnsi="宋体" w:eastAsia="方正仿宋简体"/>
          <w:sz w:val="32"/>
          <w:szCs w:val="32"/>
          <w:lang w:val="zh-CN"/>
        </w:rPr>
      </w:pPr>
      <w:r>
        <w:rPr>
          <w:rFonts w:hint="eastAsia" w:ascii="方正仿宋简体" w:hAnsi="宋体" w:eastAsia="方正仿宋简体"/>
          <w:sz w:val="32"/>
          <w:szCs w:val="32"/>
          <w:lang w:val="zh-CN"/>
        </w:rPr>
        <w:t>本年度区财政局下达</w:t>
      </w:r>
      <w:r>
        <w:rPr>
          <w:rFonts w:hint="eastAsia" w:ascii="方正仿宋简体" w:hAnsi="仿宋_GB2312" w:eastAsia="方正仿宋简体" w:cs="仿宋_GB2312"/>
          <w:sz w:val="32"/>
          <w:szCs w:val="32"/>
        </w:rPr>
        <w:t>九项大比武项目</w:t>
      </w:r>
      <w:r>
        <w:rPr>
          <w:rFonts w:hint="eastAsia" w:ascii="方正仿宋简体" w:hAnsi="宋体" w:eastAsia="方正仿宋简体"/>
          <w:sz w:val="32"/>
          <w:szCs w:val="32"/>
          <w:lang w:val="zh-CN"/>
        </w:rPr>
        <w:t>预算资金2.50万元，无其他资金来源。</w:t>
      </w:r>
    </w:p>
    <w:p>
      <w:pPr>
        <w:adjustRightInd w:val="0"/>
        <w:snapToGrid w:val="0"/>
        <w:spacing w:line="600" w:lineRule="exact"/>
        <w:ind w:firstLine="720"/>
        <w:rPr>
          <w:rFonts w:ascii="方正仿宋简体" w:hAnsi="宋体" w:eastAsia="方正仿宋简体"/>
          <w:sz w:val="32"/>
          <w:szCs w:val="32"/>
          <w:lang w:val="zh-CN"/>
        </w:rPr>
      </w:pPr>
      <w:r>
        <w:rPr>
          <w:rFonts w:hint="eastAsia" w:ascii="方正仿宋简体" w:hAnsi="宋体" w:eastAsia="方正仿宋简体"/>
          <w:sz w:val="32"/>
          <w:szCs w:val="32"/>
          <w:lang w:val="zh-CN"/>
        </w:rPr>
        <w:t>2．资金到位</w:t>
      </w:r>
    </w:p>
    <w:p>
      <w:pPr>
        <w:adjustRightInd w:val="0"/>
        <w:snapToGrid w:val="0"/>
        <w:spacing w:line="600" w:lineRule="exact"/>
        <w:ind w:firstLine="720"/>
        <w:rPr>
          <w:rFonts w:ascii="方正仿宋简体" w:hAnsi="宋体" w:eastAsia="方正仿宋简体"/>
          <w:sz w:val="32"/>
          <w:szCs w:val="32"/>
          <w:lang w:val="zh-CN"/>
        </w:rPr>
      </w:pPr>
      <w:r>
        <w:rPr>
          <w:rFonts w:hint="eastAsia" w:ascii="方正仿宋简体" w:hAnsi="宋体" w:eastAsia="方正仿宋简体"/>
          <w:sz w:val="32"/>
          <w:szCs w:val="32"/>
          <w:lang w:val="zh-CN"/>
        </w:rPr>
        <w:t>本年度</w:t>
      </w:r>
      <w:r>
        <w:rPr>
          <w:rFonts w:hint="eastAsia" w:ascii="方正仿宋简体" w:hAnsi="仿宋_GB2312" w:eastAsia="方正仿宋简体" w:cs="仿宋_GB2312"/>
          <w:sz w:val="32"/>
          <w:szCs w:val="32"/>
        </w:rPr>
        <w:t>九项大比武</w:t>
      </w:r>
      <w:r>
        <w:rPr>
          <w:rFonts w:hint="eastAsia" w:ascii="方正仿宋简体" w:hAnsi="宋体" w:eastAsia="方正仿宋简体"/>
          <w:sz w:val="32"/>
          <w:szCs w:val="32"/>
          <w:lang w:val="zh-CN"/>
        </w:rPr>
        <w:t>项目资金到位2.50万元，资金到位率100%。</w:t>
      </w:r>
    </w:p>
    <w:p>
      <w:pPr>
        <w:adjustRightInd w:val="0"/>
        <w:snapToGrid w:val="0"/>
        <w:spacing w:line="600" w:lineRule="exact"/>
        <w:ind w:firstLine="720"/>
        <w:rPr>
          <w:rFonts w:ascii="方正仿宋简体" w:hAnsi="宋体" w:eastAsia="方正仿宋简体"/>
          <w:sz w:val="32"/>
          <w:szCs w:val="32"/>
          <w:lang w:val="zh-CN"/>
        </w:rPr>
      </w:pPr>
      <w:r>
        <w:rPr>
          <w:rFonts w:hint="eastAsia" w:ascii="方正仿宋简体" w:hAnsi="宋体" w:eastAsia="方正仿宋简体"/>
          <w:sz w:val="32"/>
          <w:szCs w:val="32"/>
          <w:lang w:val="zh-CN"/>
        </w:rPr>
        <w:t>3．资金使用</w:t>
      </w:r>
    </w:p>
    <w:p>
      <w:pPr>
        <w:adjustRightInd w:val="0"/>
        <w:snapToGrid w:val="0"/>
        <w:spacing w:line="600" w:lineRule="exact"/>
        <w:ind w:firstLine="720"/>
        <w:rPr>
          <w:rFonts w:ascii="方正仿宋简体" w:hAnsi="宋体" w:eastAsia="方正仿宋简体"/>
          <w:sz w:val="32"/>
          <w:szCs w:val="32"/>
          <w:lang w:val="zh-CN"/>
        </w:rPr>
      </w:pPr>
      <w:r>
        <w:rPr>
          <w:rFonts w:hint="eastAsia" w:ascii="方正仿宋简体" w:hAnsi="宋体" w:eastAsia="方正仿宋简体"/>
          <w:sz w:val="32"/>
          <w:szCs w:val="32"/>
          <w:lang w:val="zh-CN"/>
        </w:rPr>
        <w:t>本年度支付</w:t>
      </w:r>
      <w:r>
        <w:rPr>
          <w:rFonts w:hint="eastAsia" w:ascii="方正仿宋简体" w:hAnsi="仿宋_GB2312" w:eastAsia="方正仿宋简体" w:cs="仿宋_GB2312"/>
          <w:sz w:val="32"/>
          <w:szCs w:val="32"/>
        </w:rPr>
        <w:t>九项大比武</w:t>
      </w:r>
      <w:r>
        <w:rPr>
          <w:rFonts w:hint="eastAsia" w:ascii="方正仿宋简体" w:hAnsi="宋体" w:eastAsia="方正仿宋简体"/>
          <w:sz w:val="32"/>
          <w:szCs w:val="32"/>
          <w:lang w:val="zh-CN"/>
        </w:rPr>
        <w:t>项目资金2.50万元，主要用于从严治党宣传工作、巡视巡察整改工作等支出，资金支付均按工作进度及时支付，资金支付合规合法。严格使用预算经费，无超预算支付情况。</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（三）项目财务管理情况</w:t>
      </w:r>
    </w:p>
    <w:p>
      <w:pPr>
        <w:adjustRightInd w:val="0"/>
        <w:snapToGrid w:val="0"/>
        <w:spacing w:line="600" w:lineRule="exact"/>
        <w:ind w:firstLine="720"/>
        <w:rPr>
          <w:rFonts w:ascii="方正仿宋简体" w:hAnsi="宋体" w:eastAsia="方正仿宋简体"/>
          <w:sz w:val="32"/>
          <w:szCs w:val="32"/>
          <w:lang w:val="zh-CN"/>
        </w:rPr>
      </w:pPr>
      <w:r>
        <w:rPr>
          <w:rFonts w:hint="eastAsia" w:ascii="方正仿宋简体" w:hAnsi="宋体" w:eastAsia="方正仿宋简体"/>
          <w:sz w:val="32"/>
          <w:szCs w:val="32"/>
          <w:lang w:val="zh-CN"/>
        </w:rPr>
        <w:t>区纪委</w:t>
      </w:r>
      <w:r>
        <w:rPr>
          <w:rFonts w:hint="eastAsia" w:ascii="方正仿宋简体" w:hAnsi="仿宋" w:eastAsia="方正仿宋简体" w:cs="仿宋_GB2312"/>
          <w:sz w:val="32"/>
          <w:szCs w:val="32"/>
        </w:rPr>
        <w:t>监委</w:t>
      </w:r>
      <w:r>
        <w:rPr>
          <w:rFonts w:hint="eastAsia" w:ascii="方正仿宋简体" w:hAnsi="宋体" w:eastAsia="方正仿宋简体"/>
          <w:sz w:val="32"/>
          <w:szCs w:val="32"/>
          <w:lang w:val="zh-CN"/>
        </w:rPr>
        <w:t>财务管理制度健全，制定了《</w:t>
      </w:r>
      <w:r>
        <w:rPr>
          <w:rFonts w:hint="eastAsia" w:ascii="方正仿宋简体" w:hAnsi="仿宋" w:eastAsia="方正仿宋简体" w:cs="仿宋_GB2312"/>
          <w:sz w:val="32"/>
          <w:szCs w:val="32"/>
        </w:rPr>
        <w:t>项目资金使用管理办法》，工作中</w:t>
      </w:r>
      <w:r>
        <w:rPr>
          <w:rFonts w:hint="eastAsia" w:ascii="方正仿宋简体" w:hAnsi="宋体" w:eastAsia="方正仿宋简体"/>
          <w:sz w:val="32"/>
          <w:szCs w:val="32"/>
          <w:lang w:val="zh-CN"/>
        </w:rPr>
        <w:t>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（一）项目组织架构及实施流程</w:t>
      </w:r>
    </w:p>
    <w:p>
      <w:pPr>
        <w:adjustRightInd w:val="0"/>
        <w:snapToGrid w:val="0"/>
        <w:spacing w:line="600" w:lineRule="exact"/>
        <w:ind w:firstLine="640" w:firstLineChars="200"/>
        <w:rPr>
          <w:rFonts w:ascii="方正仿宋简体" w:hAnsi="宋体" w:eastAsia="方正仿宋简体"/>
          <w:b/>
          <w:sz w:val="32"/>
          <w:szCs w:val="32"/>
          <w:lang w:val="zh-CN"/>
        </w:rPr>
      </w:pPr>
      <w:r>
        <w:rPr>
          <w:rFonts w:hint="eastAsia" w:ascii="方正仿宋简体" w:hAnsi="宋体" w:eastAsia="方正仿宋简体"/>
          <w:sz w:val="32"/>
          <w:szCs w:val="32"/>
          <w:lang w:val="zh-CN"/>
        </w:rPr>
        <w:t>九项大比</w:t>
      </w:r>
      <w:r>
        <w:rPr>
          <w:rFonts w:hint="eastAsia" w:ascii="方正仿宋简体" w:hAnsi="仿宋_GB2312" w:eastAsia="方正仿宋简体" w:cs="仿宋_GB2312"/>
          <w:sz w:val="32"/>
          <w:szCs w:val="32"/>
        </w:rPr>
        <w:t>武</w:t>
      </w:r>
      <w:r>
        <w:rPr>
          <w:rFonts w:hint="eastAsia" w:ascii="方正仿宋简体" w:hAnsi="宋体" w:eastAsia="方正仿宋简体"/>
          <w:sz w:val="32"/>
          <w:szCs w:val="32"/>
          <w:lang w:val="zh-CN"/>
        </w:rPr>
        <w:t>项目是为扎实推进党的政治建设、思想建设、组织建设、作风建设、纪律建设和统一战线工作，在全区开展从严治党</w:t>
      </w:r>
      <w:r>
        <w:rPr>
          <w:rFonts w:hint="eastAsia" w:ascii="方正仿宋简体" w:hAnsi="宋体" w:eastAsia="方正仿宋简体" w:cs="宋体"/>
          <w:sz w:val="32"/>
          <w:szCs w:val="32"/>
          <w:lang w:val="zh-CN"/>
        </w:rPr>
        <w:t>而设立的项目，主要由区纪委办公室</w:t>
      </w:r>
      <w:r>
        <w:rPr>
          <w:rFonts w:hint="eastAsia" w:ascii="方正仿宋简体" w:hAnsi="宋体" w:eastAsia="方正仿宋简体"/>
          <w:sz w:val="32"/>
          <w:szCs w:val="32"/>
          <w:lang w:val="zh-CN"/>
        </w:rPr>
        <w:t>负责实施，年末由办公室制定下一年度从严治党工作方案，申报预算计划。财政下达预算资金后，根据工作进度及时支付资金。</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（二）项目管理情况</w:t>
      </w:r>
    </w:p>
    <w:p>
      <w:pPr>
        <w:spacing w:line="576" w:lineRule="exact"/>
        <w:ind w:firstLine="640" w:firstLineChars="200"/>
        <w:jc w:val="left"/>
        <w:rPr>
          <w:rFonts w:ascii="方正仿宋简体" w:hAnsi="仿宋" w:eastAsia="方正仿宋简体" w:cs="仿宋_GB2312"/>
          <w:sz w:val="32"/>
          <w:szCs w:val="32"/>
        </w:rPr>
      </w:pPr>
      <w:r>
        <w:rPr>
          <w:rFonts w:hint="eastAsia" w:ascii="方正仿宋简体" w:hAnsi="宋体" w:eastAsia="方正仿宋简体"/>
          <w:sz w:val="32"/>
          <w:szCs w:val="32"/>
          <w:lang w:val="zh-CN"/>
        </w:rPr>
        <w:t>九项大比</w:t>
      </w:r>
      <w:r>
        <w:rPr>
          <w:rFonts w:hint="eastAsia" w:ascii="方正仿宋简体" w:hAnsi="仿宋_GB2312" w:eastAsia="方正仿宋简体" w:cs="仿宋_GB2312"/>
          <w:sz w:val="32"/>
          <w:szCs w:val="32"/>
        </w:rPr>
        <w:t>武</w:t>
      </w:r>
      <w:r>
        <w:rPr>
          <w:rFonts w:hint="eastAsia" w:ascii="方正仿宋简体" w:hAnsi="宋体" w:eastAsia="方正仿宋简体"/>
          <w:sz w:val="32"/>
          <w:szCs w:val="32"/>
          <w:lang w:val="zh-CN"/>
        </w:rPr>
        <w:t>项目由区纪委办公具体负责实施，支付各类宣传费用时资料齐全、手续完善，严格执行《预算法》、《会计法》等法律法规，严格</w:t>
      </w:r>
      <w:r>
        <w:rPr>
          <w:rFonts w:hint="eastAsia" w:ascii="方正仿宋简体" w:hAnsi="宋体" w:eastAsia="方正仿宋简体" w:cs="宋体"/>
          <w:sz w:val="32"/>
          <w:szCs w:val="32"/>
          <w:lang w:val="zh-CN"/>
        </w:rPr>
        <w:t>执行</w:t>
      </w:r>
      <w:r>
        <w:rPr>
          <w:rFonts w:hint="eastAsia" w:ascii="方正仿宋简体" w:hAnsi="宋体" w:eastAsia="方正仿宋简体"/>
          <w:sz w:val="32"/>
          <w:szCs w:val="32"/>
          <w:lang w:val="zh-CN"/>
        </w:rPr>
        <w:t>《区纪委</w:t>
      </w:r>
      <w:r>
        <w:rPr>
          <w:rFonts w:hint="eastAsia" w:ascii="方正仿宋简体" w:hAnsi="仿宋" w:eastAsia="方正仿宋简体" w:cs="仿宋_GB2312"/>
          <w:sz w:val="32"/>
          <w:szCs w:val="32"/>
        </w:rPr>
        <w:t>项目资金使用管理办法》、《区纪委“三重一大”事项集体决策制度》等制度。大额支出，实行区纪委常委会审定后予以支付</w:t>
      </w:r>
      <w:r>
        <w:rPr>
          <w:rFonts w:hint="eastAsia" w:ascii="方正仿宋简体" w:hAnsi="宋体" w:eastAsia="方正仿宋简体"/>
          <w:sz w:val="32"/>
          <w:szCs w:val="32"/>
          <w:lang w:val="zh-CN"/>
        </w:rPr>
        <w:t>。</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（三）项目监管情况</w:t>
      </w:r>
    </w:p>
    <w:p>
      <w:pPr>
        <w:adjustRightInd w:val="0"/>
        <w:snapToGrid w:val="0"/>
        <w:spacing w:line="600" w:lineRule="exact"/>
        <w:ind w:firstLine="640" w:firstLineChars="200"/>
        <w:rPr>
          <w:rFonts w:ascii="方正仿宋简体" w:hAnsi="宋体" w:eastAsia="方正仿宋简体"/>
          <w:sz w:val="32"/>
          <w:szCs w:val="32"/>
          <w:lang w:val="zh-CN"/>
        </w:rPr>
      </w:pPr>
      <w:r>
        <w:rPr>
          <w:rFonts w:hint="eastAsia" w:ascii="方正仿宋简体" w:hAnsi="宋体" w:eastAsia="方正仿宋简体"/>
          <w:sz w:val="32"/>
          <w:szCs w:val="32"/>
          <w:lang w:val="zh-CN"/>
        </w:rPr>
        <w:t>九项大比</w:t>
      </w:r>
      <w:r>
        <w:rPr>
          <w:rFonts w:hint="eastAsia" w:ascii="仿宋_GB2312" w:hAnsi="仿宋_GB2312" w:eastAsia="仿宋_GB2312" w:cs="仿宋_GB2312"/>
          <w:sz w:val="32"/>
          <w:szCs w:val="32"/>
        </w:rPr>
        <w:t>武</w:t>
      </w:r>
      <w:r>
        <w:rPr>
          <w:rFonts w:hint="eastAsia" w:ascii="方正仿宋简体" w:hAnsi="宋体" w:eastAsia="方正仿宋简体"/>
          <w:sz w:val="32"/>
          <w:szCs w:val="32"/>
          <w:lang w:val="zh-CN"/>
        </w:rPr>
        <w:t>项目由区纪委办公具体负责实施，办公室指定专人负责从严治党宣传工作，签订宣传合同、经办各类支出事项。从严治党宣传事项要先报请分管常委审核、分管副书记审定，再上报区纪委书记同意后予以发表；支出事项由经办人签字，报请分管常委审核，再上报分管财务副书记审签后予以支付。宣传工作通过层层审核把关，客</w:t>
      </w:r>
      <w:r>
        <w:rPr>
          <w:rFonts w:hint="eastAsia" w:ascii="方正仿宋简体" w:hAnsi="仿宋" w:eastAsia="方正仿宋简体" w:cs="仿宋"/>
          <w:color w:val="000000"/>
          <w:kern w:val="0"/>
          <w:sz w:val="32"/>
          <w:szCs w:val="32"/>
        </w:rPr>
        <w:t>观公正反映我区从严治党工作成效，规范了财政资金用途，提高了资金使用效率。</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四、项目绩效情况</w:t>
      </w:r>
      <w:r>
        <w:rPr>
          <w:rFonts w:hint="eastAsia" w:ascii="黑体" w:hAnsi="宋体" w:eastAsia="黑体"/>
          <w:sz w:val="32"/>
          <w:szCs w:val="32"/>
        </w:rPr>
        <w:tab/>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（一）项目完成情况</w:t>
      </w:r>
    </w:p>
    <w:p>
      <w:pPr>
        <w:adjustRightInd w:val="0"/>
        <w:snapToGrid w:val="0"/>
        <w:spacing w:line="600" w:lineRule="exact"/>
        <w:ind w:firstLine="720"/>
        <w:rPr>
          <w:rFonts w:ascii="方正仿宋简体" w:hAnsi="仿宋" w:eastAsia="方正仿宋简体" w:cs="仿宋"/>
          <w:color w:val="000000"/>
          <w:kern w:val="0"/>
          <w:sz w:val="32"/>
          <w:szCs w:val="32"/>
        </w:rPr>
      </w:pPr>
      <w:r>
        <w:rPr>
          <w:rFonts w:hint="eastAsia" w:ascii="方正仿宋简体" w:hAnsi="仿宋" w:eastAsia="方正仿宋简体" w:cs="仿宋"/>
          <w:color w:val="000000"/>
          <w:kern w:val="0"/>
          <w:sz w:val="32"/>
          <w:szCs w:val="32"/>
        </w:rPr>
        <w:t>坚持以“两个责任”为统揽，积极协助区委落实主体责任，从严从实抓好监督责任，将党风廉政建设和反腐败工作年度任务细化分解为5个方面、39项；持续深化“一线赛马工作法”，认真落实“三张清单”制度，常态化开展述责述廉29人，问责党组织5个、党员干部39人。</w:t>
      </w:r>
      <w:r>
        <w:rPr>
          <w:rFonts w:hint="eastAsia" w:ascii="方正仿宋简体" w:hAnsi="Calibri" w:eastAsia="方正仿宋简体"/>
          <w:sz w:val="32"/>
          <w:szCs w:val="32"/>
        </w:rPr>
        <w:t>严格规范党内政治生活，细化落实彻底肃清周永康流毒影响具体措施，扎实做好蒲波案和赵自学案“以案促改”工作，全面根除政治生态污染源。贯通巡视巡察，全面接受省委第三巡视组对我区的巡视工作，从严从快办理巡视交办信访问题19件。坚持执纪为民，重拳惩治基层“微腐败”，严肃查处脱贫攻坚、强农惠农等领域违纪问题。全年共受理信访举报187件，处置问题线索312件，立案查处153件，纪律处分</w:t>
      </w:r>
      <w:r>
        <w:rPr>
          <w:rFonts w:hint="eastAsia" w:ascii="方正仿宋简体" w:hAnsi="Calibri" w:eastAsia="方正仿宋简体"/>
          <w:spacing w:val="-6"/>
          <w:sz w:val="32"/>
          <w:szCs w:val="32"/>
        </w:rPr>
        <w:t>150人、组织处理2人，移送检察机关审查起诉4人。</w:t>
      </w:r>
      <w:r>
        <w:rPr>
          <w:rFonts w:hint="eastAsia" w:ascii="方正仿宋简体" w:hAnsi="仿宋" w:eastAsia="方正仿宋简体" w:cs="仿宋"/>
          <w:color w:val="000000"/>
          <w:spacing w:val="-6"/>
          <w:kern w:val="0"/>
          <w:sz w:val="32"/>
          <w:szCs w:val="32"/>
        </w:rPr>
        <w:t>全年支付从严治党宣传费、印刷费等2.50万元，按进度及时支付相关费用。</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（二）项目效益情况</w:t>
      </w:r>
    </w:p>
    <w:p>
      <w:pPr>
        <w:adjustRightInd w:val="0"/>
        <w:snapToGrid w:val="0"/>
        <w:spacing w:line="600" w:lineRule="exact"/>
        <w:ind w:firstLine="720"/>
        <w:rPr>
          <w:rFonts w:ascii="仿宋" w:hAnsi="仿宋" w:eastAsia="仿宋" w:cs="仿宋"/>
          <w:color w:val="000000"/>
          <w:kern w:val="0"/>
          <w:sz w:val="32"/>
          <w:szCs w:val="32"/>
        </w:rPr>
      </w:pPr>
      <w:r>
        <w:rPr>
          <w:rFonts w:hint="eastAsia" w:ascii="仿宋" w:hAnsi="仿宋" w:eastAsia="仿宋" w:cs="仿宋"/>
          <w:color w:val="000000"/>
          <w:kern w:val="0"/>
          <w:sz w:val="32"/>
          <w:szCs w:val="32"/>
        </w:rPr>
        <w:t>通过开展从严治党“大比武”， 着力提高民主生活会、组织生活会质量，不断推动党内关系正常化、纯洁化；进一步营造风清气正的良好政治生态环境。</w:t>
      </w:r>
    </w:p>
    <w:p>
      <w:pPr>
        <w:adjustRightInd w:val="0"/>
        <w:snapToGrid w:val="0"/>
        <w:spacing w:line="600" w:lineRule="exact"/>
        <w:ind w:firstLine="720"/>
        <w:rPr>
          <w:rFonts w:ascii="仿宋" w:hAnsi="仿宋" w:eastAsia="仿宋" w:cs="仿宋"/>
          <w:color w:val="000000"/>
          <w:kern w:val="0"/>
          <w:sz w:val="32"/>
          <w:szCs w:val="32"/>
        </w:rPr>
      </w:pPr>
      <w:r>
        <w:rPr>
          <w:rFonts w:hint="eastAsia" w:ascii="黑体" w:hAnsi="黑体" w:eastAsia="黑体"/>
          <w:sz w:val="32"/>
          <w:szCs w:val="32"/>
          <w:lang w:val="zh-CN"/>
        </w:rPr>
        <w:t>五、评价结论及建议</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（一）评价结论</w:t>
      </w:r>
    </w:p>
    <w:p>
      <w:pPr>
        <w:spacing w:line="580" w:lineRule="exact"/>
        <w:ind w:firstLine="640" w:firstLineChars="200"/>
        <w:rPr>
          <w:rFonts w:ascii="方正仿宋简体" w:hAnsi="仿宋_GB2312" w:eastAsia="方正仿宋简体" w:cs="仿宋_GB2312"/>
          <w:sz w:val="32"/>
          <w:szCs w:val="32"/>
        </w:rPr>
      </w:pPr>
      <w:r>
        <w:rPr>
          <w:rFonts w:hint="eastAsia" w:ascii="方正仿宋简体" w:hAnsi="宋体" w:eastAsia="方正仿宋简体"/>
          <w:sz w:val="32"/>
          <w:szCs w:val="32"/>
          <w:lang w:val="zh-CN"/>
        </w:rPr>
        <w:t>九项大比武项目是为从严治党</w:t>
      </w:r>
      <w:r>
        <w:rPr>
          <w:rFonts w:hint="eastAsia" w:ascii="方正仿宋简体" w:hAnsi="宋体" w:eastAsia="方正仿宋简体" w:cs="宋体"/>
          <w:sz w:val="32"/>
          <w:szCs w:val="32"/>
          <w:lang w:val="zh-CN"/>
        </w:rPr>
        <w:t>而预算的项目，本项目共预算经费2.50万元，全年共支付2.50万元，支付率100%。</w:t>
      </w:r>
      <w:r>
        <w:rPr>
          <w:rFonts w:hint="eastAsia" w:ascii="仿宋" w:hAnsi="仿宋" w:eastAsia="仿宋" w:cs="仿宋"/>
          <w:color w:val="000000"/>
          <w:kern w:val="0"/>
          <w:sz w:val="32"/>
          <w:szCs w:val="32"/>
        </w:rPr>
        <w:t>通过开展从严治党“大比武”，着力提高民主生活会、组织生活会质量，不断推动党内关系正常化、纯洁化；进一步营造风清气正的良好政治生态环境，群众有较强的获得感、幸福感。从评价情况来看，这</w:t>
      </w:r>
      <w:r>
        <w:rPr>
          <w:rFonts w:hint="eastAsia" w:ascii="方正仿宋简体" w:hAnsi="仿宋_GB2312" w:eastAsia="方正仿宋简体" w:cs="仿宋_GB2312"/>
          <w:sz w:val="32"/>
          <w:szCs w:val="32"/>
        </w:rPr>
        <w:t>个项目已圆满完成，达到预期目标，有效提高党风廉政建设和反腐败工作成效。</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（二）存在的问题</w:t>
      </w:r>
    </w:p>
    <w:p>
      <w:pPr>
        <w:adjustRightInd w:val="0"/>
        <w:snapToGrid w:val="0"/>
        <w:spacing w:line="600" w:lineRule="exact"/>
        <w:ind w:firstLine="640" w:firstLineChars="200"/>
        <w:rPr>
          <w:rFonts w:ascii="方正仿宋简体" w:hAnsi="宋体" w:eastAsia="方正仿宋简体"/>
          <w:sz w:val="32"/>
          <w:szCs w:val="32"/>
          <w:lang w:val="zh-CN"/>
        </w:rPr>
      </w:pPr>
      <w:r>
        <w:rPr>
          <w:rFonts w:hint="eastAsia" w:ascii="方正仿宋简体" w:hAnsi="仿宋_GB2312" w:eastAsia="方正仿宋简体" w:cs="仿宋_GB2312"/>
          <w:sz w:val="32"/>
          <w:szCs w:val="32"/>
        </w:rPr>
        <w:t>从严治党要进一步加强，经费预算数有待增加。</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（三）相关建议</w:t>
      </w:r>
    </w:p>
    <w:p>
      <w:pPr>
        <w:adjustRightInd w:val="0"/>
        <w:snapToGrid w:val="0"/>
        <w:spacing w:line="600" w:lineRule="exact"/>
        <w:ind w:firstLine="640" w:firstLineChars="200"/>
        <w:rPr>
          <w:rFonts w:ascii="方正仿宋简体" w:hAnsi="宋体" w:eastAsia="方正仿宋简体"/>
          <w:sz w:val="32"/>
          <w:szCs w:val="32"/>
          <w:lang w:val="zh-CN"/>
        </w:rPr>
      </w:pPr>
      <w:r>
        <w:rPr>
          <w:rFonts w:hint="eastAsia" w:ascii="方正仿宋简体" w:hAnsi="仿宋_GB2312" w:eastAsia="方正仿宋简体" w:cs="仿宋_GB2312"/>
          <w:sz w:val="32"/>
          <w:szCs w:val="32"/>
        </w:rPr>
        <w:t>加大从严治党力度，进一步加强项目资金管理，提高资金使用效率。</w:t>
      </w:r>
    </w:p>
    <w:p>
      <w:pPr>
        <w:overflowPunct w:val="0"/>
        <w:spacing w:line="600" w:lineRule="exact"/>
        <w:jc w:val="center"/>
        <w:outlineLvl w:val="0"/>
        <w:rPr>
          <w:rStyle w:val="24"/>
          <w:rFonts w:ascii="黑体" w:hAnsi="黑体" w:eastAsia="黑体"/>
          <w:b w:val="0"/>
        </w:rPr>
      </w:pPr>
      <w:bookmarkStart w:id="57"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6"/>
      <w:bookmarkEnd w:id="57"/>
    </w:p>
    <w:p>
      <w:pPr>
        <w:overflowPunct w:val="0"/>
        <w:spacing w:line="600" w:lineRule="exact"/>
        <w:jc w:val="center"/>
        <w:outlineLvl w:val="0"/>
        <w:rPr>
          <w:rFonts w:ascii="仿宋" w:hAnsi="仿宋" w:eastAsia="仿宋"/>
          <w:b/>
          <w:color w:val="000000"/>
          <w:sz w:val="44"/>
          <w:szCs w:val="44"/>
        </w:rPr>
      </w:pPr>
    </w:p>
    <w:p>
      <w:pPr>
        <w:pStyle w:val="3"/>
        <w:overflowPunct w:val="0"/>
        <w:spacing w:before="0" w:after="0" w:line="600" w:lineRule="exact"/>
        <w:ind w:firstLine="640" w:firstLineChars="200"/>
        <w:rPr>
          <w:rFonts w:ascii="仿宋" w:hAnsi="仿宋" w:eastAsia="仿宋"/>
          <w:color w:val="000000"/>
        </w:rPr>
      </w:pPr>
      <w:bookmarkStart w:id="58"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8"/>
    </w:p>
    <w:p>
      <w:pPr>
        <w:pStyle w:val="3"/>
        <w:overflowPunct w:val="0"/>
        <w:spacing w:before="0" w:after="0" w:line="600" w:lineRule="exact"/>
        <w:ind w:firstLine="640" w:firstLineChars="200"/>
        <w:rPr>
          <w:rFonts w:ascii="仿宋" w:hAnsi="仿宋" w:eastAsia="仿宋"/>
          <w:color w:val="000000"/>
        </w:rPr>
      </w:pPr>
      <w:bookmarkStart w:id="59"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59"/>
    </w:p>
    <w:p>
      <w:pPr>
        <w:pStyle w:val="3"/>
        <w:overflowPunct w:val="0"/>
        <w:spacing w:before="0" w:after="0" w:line="600" w:lineRule="exact"/>
        <w:ind w:firstLine="640" w:firstLineChars="200"/>
        <w:rPr>
          <w:rFonts w:ascii="仿宋" w:hAnsi="仿宋" w:eastAsia="仿宋"/>
          <w:color w:val="000000"/>
        </w:rPr>
      </w:pPr>
      <w:bookmarkStart w:id="60"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0"/>
    </w:p>
    <w:p>
      <w:pPr>
        <w:pStyle w:val="3"/>
        <w:overflowPunct w:val="0"/>
        <w:spacing w:before="0" w:after="0" w:line="600" w:lineRule="exact"/>
        <w:ind w:firstLine="640" w:firstLineChars="200"/>
        <w:rPr>
          <w:rFonts w:ascii="仿宋" w:hAnsi="仿宋" w:eastAsia="仿宋"/>
          <w:b w:val="0"/>
          <w:color w:val="000000"/>
        </w:rPr>
      </w:pPr>
      <w:bookmarkStart w:id="61"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1"/>
    </w:p>
    <w:p>
      <w:pPr>
        <w:pStyle w:val="3"/>
        <w:overflowPunct w:val="0"/>
        <w:spacing w:before="0" w:after="0" w:line="600" w:lineRule="exact"/>
        <w:ind w:firstLine="640" w:firstLineChars="200"/>
        <w:rPr>
          <w:rStyle w:val="25"/>
          <w:rFonts w:ascii="仿宋" w:hAnsi="仿宋" w:eastAsia="仿宋"/>
          <w:b w:val="0"/>
          <w:bCs w:val="0"/>
        </w:rPr>
      </w:pPr>
      <w:bookmarkStart w:id="62"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2"/>
      <w:bookmarkStart w:id="63" w:name="_Toc15396624"/>
    </w:p>
    <w:p>
      <w:pPr>
        <w:pStyle w:val="3"/>
        <w:overflowPunct w:val="0"/>
        <w:spacing w:before="0" w:after="0" w:line="600" w:lineRule="exact"/>
        <w:ind w:firstLine="640" w:firstLineChars="200"/>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3"/>
    </w:p>
    <w:p>
      <w:pPr>
        <w:pStyle w:val="3"/>
        <w:overflowPunct w:val="0"/>
        <w:spacing w:before="0" w:after="0" w:line="600" w:lineRule="exact"/>
        <w:ind w:firstLine="640" w:firstLineChars="200"/>
        <w:rPr>
          <w:rFonts w:ascii="仿宋" w:hAnsi="仿宋" w:eastAsia="仿宋"/>
          <w:color w:val="000000"/>
        </w:rPr>
      </w:pPr>
      <w:bookmarkStart w:id="64"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4"/>
    </w:p>
    <w:p>
      <w:pPr>
        <w:pStyle w:val="3"/>
        <w:overflowPunct w:val="0"/>
        <w:spacing w:before="0" w:after="0" w:line="600" w:lineRule="exact"/>
        <w:ind w:firstLine="640" w:firstLineChars="200"/>
        <w:rPr>
          <w:rFonts w:ascii="仿宋" w:hAnsi="仿宋" w:eastAsia="仿宋"/>
          <w:color w:val="000000"/>
        </w:rPr>
      </w:pPr>
      <w:bookmarkStart w:id="65"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5"/>
    </w:p>
    <w:p>
      <w:pPr>
        <w:pStyle w:val="3"/>
        <w:overflowPunct w:val="0"/>
        <w:spacing w:before="0" w:after="0" w:line="600" w:lineRule="exact"/>
        <w:ind w:firstLine="640" w:firstLineChars="200"/>
        <w:rPr>
          <w:rFonts w:ascii="仿宋" w:hAnsi="仿宋" w:eastAsia="仿宋"/>
          <w:color w:val="000000"/>
        </w:rPr>
      </w:pPr>
      <w:bookmarkStart w:id="66"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6"/>
    </w:p>
    <w:p>
      <w:pPr>
        <w:pStyle w:val="3"/>
        <w:overflowPunct w:val="0"/>
        <w:spacing w:before="0" w:after="0" w:line="600" w:lineRule="exact"/>
        <w:ind w:firstLine="640" w:firstLineChars="200"/>
        <w:rPr>
          <w:rFonts w:ascii="仿宋" w:hAnsi="仿宋" w:eastAsia="仿宋"/>
          <w:color w:val="000000"/>
        </w:rPr>
      </w:pPr>
      <w:bookmarkStart w:id="67"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7"/>
    </w:p>
    <w:p>
      <w:pPr>
        <w:pStyle w:val="3"/>
        <w:overflowPunct w:val="0"/>
        <w:spacing w:before="0" w:after="0" w:line="600" w:lineRule="exact"/>
        <w:ind w:firstLine="640" w:firstLineChars="200"/>
        <w:rPr>
          <w:rFonts w:ascii="仿宋" w:hAnsi="仿宋" w:eastAsia="仿宋"/>
          <w:color w:val="000000"/>
        </w:rPr>
      </w:pPr>
      <w:bookmarkStart w:id="68"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8"/>
    </w:p>
    <w:p>
      <w:pPr>
        <w:pStyle w:val="3"/>
        <w:overflowPunct w:val="0"/>
        <w:spacing w:before="0" w:after="0" w:line="600" w:lineRule="exact"/>
        <w:ind w:firstLine="640" w:firstLineChars="200"/>
        <w:rPr>
          <w:rFonts w:ascii="仿宋" w:hAnsi="仿宋" w:eastAsia="仿宋"/>
          <w:color w:val="000000"/>
        </w:rPr>
      </w:pPr>
      <w:bookmarkStart w:id="69"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9"/>
    </w:p>
    <w:p>
      <w:pPr>
        <w:pStyle w:val="3"/>
        <w:overflowPunct w:val="0"/>
        <w:spacing w:before="0" w:after="0" w:line="600" w:lineRule="exact"/>
        <w:ind w:firstLine="640" w:firstLineChars="200"/>
        <w:rPr>
          <w:rFonts w:ascii="仿宋" w:hAnsi="仿宋" w:eastAsia="仿宋"/>
          <w:color w:val="000000" w:themeColor="text1"/>
        </w:rPr>
      </w:pPr>
      <w:bookmarkStart w:id="70"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0"/>
    </w:p>
    <w:sectPr>
      <w:headerReference r:id="rId3" w:type="default"/>
      <w:footerReference r:id="rId4" w:type="default"/>
      <w:pgSz w:w="11906" w:h="16838"/>
      <w:pgMar w:top="2098" w:right="1474" w:bottom="1985" w:left="1588" w:header="851" w:footer="1588"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rPr>
            <w:rFonts w:hint="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C2D5820"/>
    <w:multiLevelType w:val="multilevel"/>
    <w:tmpl w:val="6C2D5820"/>
    <w:lvl w:ilvl="0" w:tentative="0">
      <w:start w:val="1"/>
      <w:numFmt w:val="decimal"/>
      <w:lvlText w:val="%1."/>
      <w:lvlJc w:val="left"/>
      <w:pPr>
        <w:ind w:left="1032" w:hanging="36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13C8"/>
    <w:rsid w:val="00007000"/>
    <w:rsid w:val="00010CA5"/>
    <w:rsid w:val="00017279"/>
    <w:rsid w:val="000222C6"/>
    <w:rsid w:val="0002549F"/>
    <w:rsid w:val="00027336"/>
    <w:rsid w:val="00034D24"/>
    <w:rsid w:val="00040ED1"/>
    <w:rsid w:val="000468DB"/>
    <w:rsid w:val="0006487A"/>
    <w:rsid w:val="00065F8F"/>
    <w:rsid w:val="00070A43"/>
    <w:rsid w:val="000768F2"/>
    <w:rsid w:val="00087F74"/>
    <w:rsid w:val="0009184B"/>
    <w:rsid w:val="00093311"/>
    <w:rsid w:val="0009394E"/>
    <w:rsid w:val="00094236"/>
    <w:rsid w:val="0009593C"/>
    <w:rsid w:val="00097322"/>
    <w:rsid w:val="000A6A92"/>
    <w:rsid w:val="000B03FA"/>
    <w:rsid w:val="000B047F"/>
    <w:rsid w:val="000B29A3"/>
    <w:rsid w:val="000B5923"/>
    <w:rsid w:val="000B5A48"/>
    <w:rsid w:val="000B6FF3"/>
    <w:rsid w:val="000C3467"/>
    <w:rsid w:val="000C3CA6"/>
    <w:rsid w:val="000C5900"/>
    <w:rsid w:val="000C79F9"/>
    <w:rsid w:val="000D1267"/>
    <w:rsid w:val="000D1D50"/>
    <w:rsid w:val="000D3C94"/>
    <w:rsid w:val="000D5782"/>
    <w:rsid w:val="000E58F0"/>
    <w:rsid w:val="000E6613"/>
    <w:rsid w:val="000E7119"/>
    <w:rsid w:val="000F5C48"/>
    <w:rsid w:val="000F7BA8"/>
    <w:rsid w:val="001016B9"/>
    <w:rsid w:val="00107662"/>
    <w:rsid w:val="00114E9B"/>
    <w:rsid w:val="00127337"/>
    <w:rsid w:val="00133381"/>
    <w:rsid w:val="00133CB9"/>
    <w:rsid w:val="00142216"/>
    <w:rsid w:val="00144D6A"/>
    <w:rsid w:val="0014729F"/>
    <w:rsid w:val="0015771E"/>
    <w:rsid w:val="00157BAB"/>
    <w:rsid w:val="001654D1"/>
    <w:rsid w:val="00173FE1"/>
    <w:rsid w:val="00174518"/>
    <w:rsid w:val="0018106D"/>
    <w:rsid w:val="001835CE"/>
    <w:rsid w:val="001877A7"/>
    <w:rsid w:val="00191536"/>
    <w:rsid w:val="00196687"/>
    <w:rsid w:val="001C0962"/>
    <w:rsid w:val="001C3621"/>
    <w:rsid w:val="001D1A75"/>
    <w:rsid w:val="001D7531"/>
    <w:rsid w:val="001E737D"/>
    <w:rsid w:val="001F0592"/>
    <w:rsid w:val="001F7506"/>
    <w:rsid w:val="002006CD"/>
    <w:rsid w:val="00201CFE"/>
    <w:rsid w:val="00202B36"/>
    <w:rsid w:val="00204B7A"/>
    <w:rsid w:val="00204CDE"/>
    <w:rsid w:val="0021101A"/>
    <w:rsid w:val="00217C18"/>
    <w:rsid w:val="002201AF"/>
    <w:rsid w:val="00220536"/>
    <w:rsid w:val="00235629"/>
    <w:rsid w:val="002529D7"/>
    <w:rsid w:val="00255367"/>
    <w:rsid w:val="00260C38"/>
    <w:rsid w:val="002616C0"/>
    <w:rsid w:val="00261910"/>
    <w:rsid w:val="002644FB"/>
    <w:rsid w:val="00265372"/>
    <w:rsid w:val="002662AA"/>
    <w:rsid w:val="00280496"/>
    <w:rsid w:val="00290BE2"/>
    <w:rsid w:val="00294DC9"/>
    <w:rsid w:val="00295495"/>
    <w:rsid w:val="002A31DE"/>
    <w:rsid w:val="002B2613"/>
    <w:rsid w:val="002D19B0"/>
    <w:rsid w:val="002D6D05"/>
    <w:rsid w:val="002E2775"/>
    <w:rsid w:val="002F1818"/>
    <w:rsid w:val="002F567B"/>
    <w:rsid w:val="002F71F2"/>
    <w:rsid w:val="00305D2D"/>
    <w:rsid w:val="003216A9"/>
    <w:rsid w:val="00330AAC"/>
    <w:rsid w:val="00335A74"/>
    <w:rsid w:val="00335B7A"/>
    <w:rsid w:val="00347507"/>
    <w:rsid w:val="00350E72"/>
    <w:rsid w:val="0036519F"/>
    <w:rsid w:val="0036561B"/>
    <w:rsid w:val="0037013F"/>
    <w:rsid w:val="00380C92"/>
    <w:rsid w:val="00386062"/>
    <w:rsid w:val="0038633A"/>
    <w:rsid w:val="00397970"/>
    <w:rsid w:val="003A484F"/>
    <w:rsid w:val="003A4883"/>
    <w:rsid w:val="003A6F78"/>
    <w:rsid w:val="003B0BE0"/>
    <w:rsid w:val="003B0C1B"/>
    <w:rsid w:val="003B0F04"/>
    <w:rsid w:val="003B688C"/>
    <w:rsid w:val="003C0291"/>
    <w:rsid w:val="003C39AE"/>
    <w:rsid w:val="003C7B60"/>
    <w:rsid w:val="003D0C0F"/>
    <w:rsid w:val="003D1395"/>
    <w:rsid w:val="003D1FB2"/>
    <w:rsid w:val="003D6688"/>
    <w:rsid w:val="003D66DA"/>
    <w:rsid w:val="003E1310"/>
    <w:rsid w:val="003E6F55"/>
    <w:rsid w:val="003E7389"/>
    <w:rsid w:val="003F023F"/>
    <w:rsid w:val="003F2CD9"/>
    <w:rsid w:val="00406254"/>
    <w:rsid w:val="00411ACF"/>
    <w:rsid w:val="00416CD4"/>
    <w:rsid w:val="004223DE"/>
    <w:rsid w:val="00434489"/>
    <w:rsid w:val="00437085"/>
    <w:rsid w:val="00443880"/>
    <w:rsid w:val="004464F4"/>
    <w:rsid w:val="00450ADD"/>
    <w:rsid w:val="00466A20"/>
    <w:rsid w:val="00471401"/>
    <w:rsid w:val="00473F31"/>
    <w:rsid w:val="004740DF"/>
    <w:rsid w:val="0048263A"/>
    <w:rsid w:val="004839E3"/>
    <w:rsid w:val="00483F22"/>
    <w:rsid w:val="00487E5D"/>
    <w:rsid w:val="00493088"/>
    <w:rsid w:val="004A45C5"/>
    <w:rsid w:val="004A711F"/>
    <w:rsid w:val="004B199D"/>
    <w:rsid w:val="004B4690"/>
    <w:rsid w:val="004C4533"/>
    <w:rsid w:val="004E0A2D"/>
    <w:rsid w:val="004E206B"/>
    <w:rsid w:val="004E311B"/>
    <w:rsid w:val="004E4071"/>
    <w:rsid w:val="004E5DFB"/>
    <w:rsid w:val="004E66AB"/>
    <w:rsid w:val="004E6DF7"/>
    <w:rsid w:val="004F0FBD"/>
    <w:rsid w:val="004F403E"/>
    <w:rsid w:val="00502736"/>
    <w:rsid w:val="005039B6"/>
    <w:rsid w:val="00505A47"/>
    <w:rsid w:val="00512FDA"/>
    <w:rsid w:val="005143D8"/>
    <w:rsid w:val="00520DA0"/>
    <w:rsid w:val="00525117"/>
    <w:rsid w:val="00534656"/>
    <w:rsid w:val="00543C2D"/>
    <w:rsid w:val="00553D48"/>
    <w:rsid w:val="00561CAA"/>
    <w:rsid w:val="005664BB"/>
    <w:rsid w:val="00566FFA"/>
    <w:rsid w:val="0057481D"/>
    <w:rsid w:val="00575F0B"/>
    <w:rsid w:val="0058486E"/>
    <w:rsid w:val="00585B33"/>
    <w:rsid w:val="0059014D"/>
    <w:rsid w:val="00596F97"/>
    <w:rsid w:val="00597B17"/>
    <w:rsid w:val="005A05CE"/>
    <w:rsid w:val="005A15D8"/>
    <w:rsid w:val="005B014E"/>
    <w:rsid w:val="005B34F5"/>
    <w:rsid w:val="005B3789"/>
    <w:rsid w:val="005B43AB"/>
    <w:rsid w:val="005B5C64"/>
    <w:rsid w:val="005C6BD0"/>
    <w:rsid w:val="005C6C4C"/>
    <w:rsid w:val="005D0F79"/>
    <w:rsid w:val="005D1C8B"/>
    <w:rsid w:val="005D384B"/>
    <w:rsid w:val="005D468D"/>
    <w:rsid w:val="005D5CED"/>
    <w:rsid w:val="005E39DB"/>
    <w:rsid w:val="005F1A4C"/>
    <w:rsid w:val="00603CF7"/>
    <w:rsid w:val="00605688"/>
    <w:rsid w:val="006070AF"/>
    <w:rsid w:val="00607E6C"/>
    <w:rsid w:val="006101B1"/>
    <w:rsid w:val="00614E44"/>
    <w:rsid w:val="00616F24"/>
    <w:rsid w:val="0062270A"/>
    <w:rsid w:val="00622830"/>
    <w:rsid w:val="00623DA0"/>
    <w:rsid w:val="00630AEF"/>
    <w:rsid w:val="006325F8"/>
    <w:rsid w:val="00633463"/>
    <w:rsid w:val="00634037"/>
    <w:rsid w:val="00634C9A"/>
    <w:rsid w:val="006440E4"/>
    <w:rsid w:val="0066343B"/>
    <w:rsid w:val="0066457B"/>
    <w:rsid w:val="00664777"/>
    <w:rsid w:val="006748A4"/>
    <w:rsid w:val="00675D31"/>
    <w:rsid w:val="006762D6"/>
    <w:rsid w:val="00681A31"/>
    <w:rsid w:val="00683E73"/>
    <w:rsid w:val="006A3141"/>
    <w:rsid w:val="006A5E34"/>
    <w:rsid w:val="006B0E43"/>
    <w:rsid w:val="006B2422"/>
    <w:rsid w:val="006B2B9A"/>
    <w:rsid w:val="006C1937"/>
    <w:rsid w:val="006C6EAE"/>
    <w:rsid w:val="006D54EF"/>
    <w:rsid w:val="006D790A"/>
    <w:rsid w:val="006E4BBE"/>
    <w:rsid w:val="006E5A8E"/>
    <w:rsid w:val="006F020C"/>
    <w:rsid w:val="007127B7"/>
    <w:rsid w:val="00716034"/>
    <w:rsid w:val="00716975"/>
    <w:rsid w:val="0071798E"/>
    <w:rsid w:val="00723AE6"/>
    <w:rsid w:val="00727533"/>
    <w:rsid w:val="00735454"/>
    <w:rsid w:val="007416B6"/>
    <w:rsid w:val="00746957"/>
    <w:rsid w:val="00746F48"/>
    <w:rsid w:val="0075404D"/>
    <w:rsid w:val="0076182A"/>
    <w:rsid w:val="00767B7E"/>
    <w:rsid w:val="007770C3"/>
    <w:rsid w:val="00784D24"/>
    <w:rsid w:val="00785BDC"/>
    <w:rsid w:val="00785FBA"/>
    <w:rsid w:val="0078643C"/>
    <w:rsid w:val="00786E4A"/>
    <w:rsid w:val="007875EB"/>
    <w:rsid w:val="0079426B"/>
    <w:rsid w:val="007A2807"/>
    <w:rsid w:val="007B5F47"/>
    <w:rsid w:val="007B79FA"/>
    <w:rsid w:val="007C6B20"/>
    <w:rsid w:val="007D14FB"/>
    <w:rsid w:val="007D1682"/>
    <w:rsid w:val="007D312A"/>
    <w:rsid w:val="007D3F19"/>
    <w:rsid w:val="007E198E"/>
    <w:rsid w:val="007E23B0"/>
    <w:rsid w:val="007E2A39"/>
    <w:rsid w:val="007F1991"/>
    <w:rsid w:val="007F1B8A"/>
    <w:rsid w:val="007F2C2F"/>
    <w:rsid w:val="007F3EA7"/>
    <w:rsid w:val="007F55FC"/>
    <w:rsid w:val="007F5665"/>
    <w:rsid w:val="00800112"/>
    <w:rsid w:val="00813348"/>
    <w:rsid w:val="00823BFA"/>
    <w:rsid w:val="008253BB"/>
    <w:rsid w:val="00830AE8"/>
    <w:rsid w:val="00833962"/>
    <w:rsid w:val="0083706E"/>
    <w:rsid w:val="008408F6"/>
    <w:rsid w:val="008423A5"/>
    <w:rsid w:val="0084517D"/>
    <w:rsid w:val="00850625"/>
    <w:rsid w:val="00853402"/>
    <w:rsid w:val="00853718"/>
    <w:rsid w:val="00855221"/>
    <w:rsid w:val="00860645"/>
    <w:rsid w:val="00864385"/>
    <w:rsid w:val="00871B3D"/>
    <w:rsid w:val="00871F71"/>
    <w:rsid w:val="00872FD8"/>
    <w:rsid w:val="00885AF4"/>
    <w:rsid w:val="008868A2"/>
    <w:rsid w:val="008939CD"/>
    <w:rsid w:val="008B093D"/>
    <w:rsid w:val="008B768C"/>
    <w:rsid w:val="008C4DB1"/>
    <w:rsid w:val="008C4EAF"/>
    <w:rsid w:val="008C5176"/>
    <w:rsid w:val="008C7FD0"/>
    <w:rsid w:val="008D3F8E"/>
    <w:rsid w:val="008D531E"/>
    <w:rsid w:val="008D6F03"/>
    <w:rsid w:val="008E1DE7"/>
    <w:rsid w:val="008E6456"/>
    <w:rsid w:val="008E707C"/>
    <w:rsid w:val="008E713E"/>
    <w:rsid w:val="009007CA"/>
    <w:rsid w:val="00900B08"/>
    <w:rsid w:val="00902155"/>
    <w:rsid w:val="00902FA3"/>
    <w:rsid w:val="00903549"/>
    <w:rsid w:val="00903F5D"/>
    <w:rsid w:val="00923564"/>
    <w:rsid w:val="0092392E"/>
    <w:rsid w:val="009315F9"/>
    <w:rsid w:val="00933499"/>
    <w:rsid w:val="00935C98"/>
    <w:rsid w:val="00946945"/>
    <w:rsid w:val="00951248"/>
    <w:rsid w:val="0095152F"/>
    <w:rsid w:val="00953611"/>
    <w:rsid w:val="00954C49"/>
    <w:rsid w:val="00954CB0"/>
    <w:rsid w:val="00955E37"/>
    <w:rsid w:val="00961E43"/>
    <w:rsid w:val="0097099F"/>
    <w:rsid w:val="00971997"/>
    <w:rsid w:val="00971DBF"/>
    <w:rsid w:val="00971FFC"/>
    <w:rsid w:val="00974AB0"/>
    <w:rsid w:val="0098660A"/>
    <w:rsid w:val="009931C3"/>
    <w:rsid w:val="009A624C"/>
    <w:rsid w:val="009B2C43"/>
    <w:rsid w:val="009B4EAE"/>
    <w:rsid w:val="009B7573"/>
    <w:rsid w:val="009C22F4"/>
    <w:rsid w:val="009C2E98"/>
    <w:rsid w:val="009C37FB"/>
    <w:rsid w:val="009C6DFA"/>
    <w:rsid w:val="009D3447"/>
    <w:rsid w:val="009D4711"/>
    <w:rsid w:val="009E3ED1"/>
    <w:rsid w:val="009E516C"/>
    <w:rsid w:val="009F1185"/>
    <w:rsid w:val="009F18CD"/>
    <w:rsid w:val="009F2A13"/>
    <w:rsid w:val="009F35F2"/>
    <w:rsid w:val="009F6F82"/>
    <w:rsid w:val="009F7527"/>
    <w:rsid w:val="00A039ED"/>
    <w:rsid w:val="00A04EB0"/>
    <w:rsid w:val="00A13CC1"/>
    <w:rsid w:val="00A16847"/>
    <w:rsid w:val="00A237D8"/>
    <w:rsid w:val="00A25E3D"/>
    <w:rsid w:val="00A268C4"/>
    <w:rsid w:val="00A307CD"/>
    <w:rsid w:val="00A331C8"/>
    <w:rsid w:val="00A35117"/>
    <w:rsid w:val="00A36263"/>
    <w:rsid w:val="00A36A0E"/>
    <w:rsid w:val="00A40A00"/>
    <w:rsid w:val="00A4142F"/>
    <w:rsid w:val="00A422EB"/>
    <w:rsid w:val="00A45BB7"/>
    <w:rsid w:val="00A56DF2"/>
    <w:rsid w:val="00A56E6E"/>
    <w:rsid w:val="00A60470"/>
    <w:rsid w:val="00A64A96"/>
    <w:rsid w:val="00A6526D"/>
    <w:rsid w:val="00A67AB5"/>
    <w:rsid w:val="00A733B2"/>
    <w:rsid w:val="00A741C2"/>
    <w:rsid w:val="00A82804"/>
    <w:rsid w:val="00A85F41"/>
    <w:rsid w:val="00A91760"/>
    <w:rsid w:val="00A93B00"/>
    <w:rsid w:val="00A93C21"/>
    <w:rsid w:val="00AB64C9"/>
    <w:rsid w:val="00AC3C6A"/>
    <w:rsid w:val="00AC52A7"/>
    <w:rsid w:val="00AD0ACC"/>
    <w:rsid w:val="00AD0F83"/>
    <w:rsid w:val="00AD5620"/>
    <w:rsid w:val="00AD656B"/>
    <w:rsid w:val="00AD7BAC"/>
    <w:rsid w:val="00AD7C1B"/>
    <w:rsid w:val="00AE16BA"/>
    <w:rsid w:val="00AE1EBE"/>
    <w:rsid w:val="00AE59A1"/>
    <w:rsid w:val="00B029A0"/>
    <w:rsid w:val="00B03C9D"/>
    <w:rsid w:val="00B060AE"/>
    <w:rsid w:val="00B10517"/>
    <w:rsid w:val="00B14976"/>
    <w:rsid w:val="00B14E76"/>
    <w:rsid w:val="00B161B8"/>
    <w:rsid w:val="00B2048C"/>
    <w:rsid w:val="00B310B9"/>
    <w:rsid w:val="00B33E58"/>
    <w:rsid w:val="00B34009"/>
    <w:rsid w:val="00B35F3F"/>
    <w:rsid w:val="00B36CBB"/>
    <w:rsid w:val="00B425E0"/>
    <w:rsid w:val="00B440AA"/>
    <w:rsid w:val="00B44B70"/>
    <w:rsid w:val="00B512D5"/>
    <w:rsid w:val="00B53C56"/>
    <w:rsid w:val="00B545D8"/>
    <w:rsid w:val="00B56241"/>
    <w:rsid w:val="00B57DAF"/>
    <w:rsid w:val="00B77EA6"/>
    <w:rsid w:val="00B77FF9"/>
    <w:rsid w:val="00B81598"/>
    <w:rsid w:val="00B841F1"/>
    <w:rsid w:val="00B84463"/>
    <w:rsid w:val="00B9355B"/>
    <w:rsid w:val="00B944D6"/>
    <w:rsid w:val="00BB08F3"/>
    <w:rsid w:val="00BB4DF0"/>
    <w:rsid w:val="00BC289F"/>
    <w:rsid w:val="00BC2D50"/>
    <w:rsid w:val="00BC5361"/>
    <w:rsid w:val="00BC5460"/>
    <w:rsid w:val="00BC5A8F"/>
    <w:rsid w:val="00BC6B50"/>
    <w:rsid w:val="00BD0E25"/>
    <w:rsid w:val="00BE1100"/>
    <w:rsid w:val="00BE6063"/>
    <w:rsid w:val="00BF3011"/>
    <w:rsid w:val="00BF5BD6"/>
    <w:rsid w:val="00BF6410"/>
    <w:rsid w:val="00BF6F3A"/>
    <w:rsid w:val="00BF7222"/>
    <w:rsid w:val="00C03E31"/>
    <w:rsid w:val="00C0469A"/>
    <w:rsid w:val="00C2579B"/>
    <w:rsid w:val="00C271C0"/>
    <w:rsid w:val="00C30747"/>
    <w:rsid w:val="00C30E69"/>
    <w:rsid w:val="00C33E72"/>
    <w:rsid w:val="00C354B2"/>
    <w:rsid w:val="00C35554"/>
    <w:rsid w:val="00C42709"/>
    <w:rsid w:val="00C533CC"/>
    <w:rsid w:val="00C5751C"/>
    <w:rsid w:val="00C61BFC"/>
    <w:rsid w:val="00C625F5"/>
    <w:rsid w:val="00C62B85"/>
    <w:rsid w:val="00C645CC"/>
    <w:rsid w:val="00C65438"/>
    <w:rsid w:val="00C707D1"/>
    <w:rsid w:val="00C767D7"/>
    <w:rsid w:val="00C91CBB"/>
    <w:rsid w:val="00C97A5A"/>
    <w:rsid w:val="00CA6A6F"/>
    <w:rsid w:val="00CB3C43"/>
    <w:rsid w:val="00CB4E70"/>
    <w:rsid w:val="00CC09B6"/>
    <w:rsid w:val="00CC666F"/>
    <w:rsid w:val="00CD1E3F"/>
    <w:rsid w:val="00CE44F6"/>
    <w:rsid w:val="00CE49DA"/>
    <w:rsid w:val="00CE7B61"/>
    <w:rsid w:val="00CF032D"/>
    <w:rsid w:val="00D00095"/>
    <w:rsid w:val="00D021D8"/>
    <w:rsid w:val="00D10AAD"/>
    <w:rsid w:val="00D114F0"/>
    <w:rsid w:val="00D2027B"/>
    <w:rsid w:val="00D20620"/>
    <w:rsid w:val="00D254F7"/>
    <w:rsid w:val="00D26091"/>
    <w:rsid w:val="00D2685C"/>
    <w:rsid w:val="00D34E7C"/>
    <w:rsid w:val="00D35489"/>
    <w:rsid w:val="00D36AFE"/>
    <w:rsid w:val="00D51276"/>
    <w:rsid w:val="00D5362E"/>
    <w:rsid w:val="00D629EA"/>
    <w:rsid w:val="00D7035F"/>
    <w:rsid w:val="00D87DE3"/>
    <w:rsid w:val="00DA40E7"/>
    <w:rsid w:val="00DA5BB1"/>
    <w:rsid w:val="00DA634F"/>
    <w:rsid w:val="00DA65AC"/>
    <w:rsid w:val="00DB1913"/>
    <w:rsid w:val="00DC410D"/>
    <w:rsid w:val="00DC4A5B"/>
    <w:rsid w:val="00DC5A81"/>
    <w:rsid w:val="00DC68CA"/>
    <w:rsid w:val="00DC7CBA"/>
    <w:rsid w:val="00DD73B7"/>
    <w:rsid w:val="00DF0A2F"/>
    <w:rsid w:val="00DF28BC"/>
    <w:rsid w:val="00DF34B9"/>
    <w:rsid w:val="00E01053"/>
    <w:rsid w:val="00E07ACF"/>
    <w:rsid w:val="00E15597"/>
    <w:rsid w:val="00E267F7"/>
    <w:rsid w:val="00E26D7E"/>
    <w:rsid w:val="00E331A1"/>
    <w:rsid w:val="00E33202"/>
    <w:rsid w:val="00E336A9"/>
    <w:rsid w:val="00E364C1"/>
    <w:rsid w:val="00E44717"/>
    <w:rsid w:val="00E451AB"/>
    <w:rsid w:val="00E472B1"/>
    <w:rsid w:val="00E50624"/>
    <w:rsid w:val="00E568DF"/>
    <w:rsid w:val="00E64269"/>
    <w:rsid w:val="00E66797"/>
    <w:rsid w:val="00E71489"/>
    <w:rsid w:val="00E82267"/>
    <w:rsid w:val="00E853CE"/>
    <w:rsid w:val="00E867B6"/>
    <w:rsid w:val="00E87F08"/>
    <w:rsid w:val="00EA010F"/>
    <w:rsid w:val="00ED1B63"/>
    <w:rsid w:val="00ED3C1F"/>
    <w:rsid w:val="00ED4085"/>
    <w:rsid w:val="00ED420E"/>
    <w:rsid w:val="00ED6FBE"/>
    <w:rsid w:val="00EE2F57"/>
    <w:rsid w:val="00EE33D7"/>
    <w:rsid w:val="00EF4C34"/>
    <w:rsid w:val="00EF77C6"/>
    <w:rsid w:val="00F02199"/>
    <w:rsid w:val="00F032F4"/>
    <w:rsid w:val="00F05438"/>
    <w:rsid w:val="00F1361C"/>
    <w:rsid w:val="00F156F0"/>
    <w:rsid w:val="00F160C7"/>
    <w:rsid w:val="00F1783A"/>
    <w:rsid w:val="00F17DFD"/>
    <w:rsid w:val="00F2408F"/>
    <w:rsid w:val="00F240E9"/>
    <w:rsid w:val="00F36D8F"/>
    <w:rsid w:val="00F417B1"/>
    <w:rsid w:val="00F4263E"/>
    <w:rsid w:val="00F45853"/>
    <w:rsid w:val="00F506E3"/>
    <w:rsid w:val="00F602DF"/>
    <w:rsid w:val="00F754A1"/>
    <w:rsid w:val="00F80F49"/>
    <w:rsid w:val="00F81FD9"/>
    <w:rsid w:val="00F841AA"/>
    <w:rsid w:val="00F84A94"/>
    <w:rsid w:val="00F87E96"/>
    <w:rsid w:val="00F97A58"/>
    <w:rsid w:val="00FA11C4"/>
    <w:rsid w:val="00FA23E8"/>
    <w:rsid w:val="00FA5190"/>
    <w:rsid w:val="00FD02D3"/>
    <w:rsid w:val="00FD3CC1"/>
    <w:rsid w:val="00FD614E"/>
    <w:rsid w:val="00FD79B7"/>
    <w:rsid w:val="00FE5E97"/>
    <w:rsid w:val="00FF03A7"/>
    <w:rsid w:val="00FF1356"/>
    <w:rsid w:val="00FF1E02"/>
    <w:rsid w:val="00FF30B4"/>
    <w:rsid w:val="00FF4482"/>
    <w:rsid w:val="00FF4A6E"/>
    <w:rsid w:val="10C055FF"/>
    <w:rsid w:val="16BB723D"/>
    <w:rsid w:val="240371BF"/>
    <w:rsid w:val="29FD04D3"/>
    <w:rsid w:val="319F7F4E"/>
    <w:rsid w:val="353E67AD"/>
    <w:rsid w:val="4ECE2238"/>
    <w:rsid w:val="72734D90"/>
    <w:rsid w:val="7FDEEB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chart" Target="charts/chart1.xml"/><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550" b="1" i="0" u="none" strike="noStrike" kern="1200" baseline="0">
                <a:solidFill>
                  <a:schemeClr val="tx1"/>
                </a:solidFill>
                <a:latin typeface="+mn-lt"/>
                <a:ea typeface="+mn-ea"/>
                <a:cs typeface="+mn-cs"/>
              </a:defRPr>
            </a:pPr>
            <a:r>
              <a:rPr lang="zh-CN" sz="1550" baseline="0"/>
              <a:t>一般公共预算财政拨款支出决算结构</a:t>
            </a:r>
            <a:endParaRPr lang="zh-CN" sz="1550" baseline="0"/>
          </a:p>
        </c:rich>
      </c:tx>
      <c:layout>
        <c:manualLayout>
          <c:xMode val="edge"/>
          <c:yMode val="edge"/>
          <c:x val="0.106913580246914"/>
          <c:y val="0"/>
        </c:manualLayout>
      </c:layout>
      <c:overlay val="false"/>
    </c:title>
    <c:autoTitleDeleted val="false"/>
    <c:plotArea>
      <c:layout/>
      <c:pieChart>
        <c:varyColors val="true"/>
        <c:ser>
          <c:idx val="0"/>
          <c:order val="0"/>
          <c:tx>
            <c:strRef>
              <c:f>Sheet1!$B$1</c:f>
              <c:strCache>
                <c:ptCount val="1"/>
                <c:pt idx="0">
                  <c:v>百分比</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Pt>
            <c:idx val="7"/>
            <c:bubble3D val="false"/>
          </c:dPt>
          <c:dLbls>
            <c:dLbl>
              <c:idx val="4"/>
              <c:layout/>
              <c:dLblPos val="bestFit"/>
              <c:showLegendKey val="false"/>
              <c:showVal val="tru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Sheet1!$A$2:$A$9</c:f>
              <c:strCache>
                <c:ptCount val="8"/>
                <c:pt idx="0">
                  <c:v>一般公共服务（类）支出839.97万元</c:v>
                </c:pt>
                <c:pt idx="1">
                  <c:v>教育支出（类）0万元</c:v>
                </c:pt>
                <c:pt idx="2">
                  <c:v>科学技术（类）支出0万元</c:v>
                </c:pt>
                <c:pt idx="3">
                  <c:v>文化旅游体育与传媒（类）支出0万元</c:v>
                </c:pt>
                <c:pt idx="4">
                  <c:v>社会保障和就业（类）支出80.86万元</c:v>
                </c:pt>
                <c:pt idx="5">
                  <c:v>卫生健康支出26.23万元</c:v>
                </c:pt>
                <c:pt idx="6">
                  <c:v>农林水（类）支出1.50万元</c:v>
                </c:pt>
                <c:pt idx="7">
                  <c:v>住房保障支出49.32万元</c:v>
                </c:pt>
              </c:strCache>
            </c:strRef>
          </c:cat>
          <c:val>
            <c:numRef>
              <c:f>Sheet1!$B$2:$B$9</c:f>
              <c:numCache>
                <c:formatCode>0.00%</c:formatCode>
                <c:ptCount val="8"/>
                <c:pt idx="0">
                  <c:v>0.841800000000005</c:v>
                </c:pt>
                <c:pt idx="1" c:formatCode="0%">
                  <c:v>0</c:v>
                </c:pt>
                <c:pt idx="2" c:formatCode="0%">
                  <c:v>0</c:v>
                </c:pt>
                <c:pt idx="3" c:formatCode="0%">
                  <c:v>0</c:v>
                </c:pt>
                <c:pt idx="4">
                  <c:v>0.081</c:v>
                </c:pt>
                <c:pt idx="5">
                  <c:v>0.0263</c:v>
                </c:pt>
                <c:pt idx="6">
                  <c:v>0.00150000000000001</c:v>
                </c:pt>
                <c:pt idx="7">
                  <c:v>0.0494000000000001</c:v>
                </c:pt>
              </c:numCache>
            </c:numRef>
          </c:val>
        </c:ser>
        <c:dLbls>
          <c:showLegendKey val="false"/>
          <c:showVal val="false"/>
          <c:showCatName val="false"/>
          <c:showSerName val="false"/>
          <c:showPercent val="true"/>
          <c:showBubbleSize val="false"/>
          <c:showLeaderLines val="true"/>
        </c:dLbls>
        <c:firstSliceAng val="0"/>
      </c:pieChart>
    </c:plotArea>
    <c:legend>
      <c:legendPos val="r"/>
      <c:layout>
        <c:manualLayout>
          <c:xMode val="edge"/>
          <c:yMode val="edge"/>
          <c:x val="0.493827160493829"/>
          <c:y val="0.181071945446072"/>
          <c:w val="0.484567901234571"/>
          <c:h val="0.718043024995708"/>
        </c:manualLayout>
      </c:layout>
      <c:overlay val="false"/>
      <c:txPr>
        <a:bodyPr rot="0" spcFirstLastPara="0" vertOverflow="ellipsis" vert="horz" wrap="square" anchor="ctr" anchorCtr="true"/>
        <a:lstStyle/>
        <a:p>
          <a:pPr>
            <a:defRPr lang="zh-CN" sz="8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43</Pages>
  <Words>2842</Words>
  <Characters>16206</Characters>
  <Lines>135</Lines>
  <Paragraphs>38</Paragraphs>
  <TotalTime>1341</TotalTime>
  <ScaleCrop>false</ScaleCrop>
  <LinksUpToDate>false</LinksUpToDate>
  <CharactersWithSpaces>19010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2020-09-07T17:56:00Z</cp:lastPrinted>
  <dcterms:modified xsi:type="dcterms:W3CDTF">2023-07-14T10:38:04Z</dcterms:modified>
  <dc:title>四川省***</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