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201" w:name="_GoBack"/>
      <w:bookmarkEnd w:id="201"/>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6626"/>
      <w:bookmarkStart w:id="4" w:name="_Toc4769"/>
      <w:bookmarkStart w:id="5" w:name="_Toc15396475"/>
      <w:bookmarkStart w:id="6" w:name="_Toc15377193"/>
      <w:bookmarkStart w:id="7" w:name="_Toc15396597"/>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宋体" w:eastAsia="方正小标宋简体"/>
          <w:color w:val="000000"/>
          <w:sz w:val="52"/>
          <w:szCs w:val="52"/>
          <w:lang w:eastAsia="zh-CN"/>
        </w:rPr>
      </w:pPr>
      <w:bookmarkStart w:id="8" w:name="_Toc28299"/>
      <w:bookmarkStart w:id="9" w:name="_Toc11000"/>
      <w:bookmarkStart w:id="10" w:name="_Toc1081"/>
      <w:bookmarkStart w:id="11" w:name="_Toc15396476"/>
      <w:bookmarkStart w:id="12" w:name="_Toc15378442"/>
      <w:bookmarkStart w:id="13" w:name="_Toc15377426"/>
      <w:bookmarkStart w:id="14" w:name="_Toc15377194"/>
      <w:bookmarkStart w:id="15" w:name="_Toc15306268"/>
      <w:bookmarkStart w:id="16" w:name="_Toc15396598"/>
      <w:r>
        <w:rPr>
          <w:rFonts w:hint="eastAsia" w:ascii="方正小标宋简体" w:hAnsi="宋体" w:eastAsia="方正小标宋简体"/>
          <w:color w:val="000000"/>
          <w:sz w:val="52"/>
          <w:szCs w:val="52"/>
        </w:rPr>
        <w:t>四川省</w:t>
      </w:r>
      <w:r>
        <w:rPr>
          <w:rFonts w:hint="eastAsia" w:ascii="方正小标宋简体" w:hAnsi="宋体" w:eastAsia="方正小标宋简体"/>
          <w:color w:val="000000"/>
          <w:sz w:val="52"/>
          <w:szCs w:val="52"/>
          <w:lang w:eastAsia="zh-CN"/>
        </w:rPr>
        <w:t>广元市利州区航务管理处</w:t>
      </w:r>
      <w:bookmarkEnd w:id="8"/>
      <w:bookmarkEnd w:id="9"/>
      <w:bookmarkEnd w:id="10"/>
    </w:p>
    <w:p>
      <w:pPr>
        <w:jc w:val="center"/>
        <w:rPr>
          <w:rFonts w:ascii="方正小标宋简体" w:eastAsia="方正小标宋简体"/>
          <w:sz w:val="52"/>
          <w:szCs w:val="52"/>
        </w:rPr>
      </w:pPr>
      <w:r>
        <w:rPr>
          <w:rFonts w:hint="eastAsia" w:ascii="方正小标宋简体" w:eastAsia="方正小标宋简体"/>
          <w:sz w:val="52"/>
          <w:szCs w:val="52"/>
        </w:rPr>
        <w:t>四川省广元市利州区地方海事处</w:t>
      </w:r>
    </w:p>
    <w:p>
      <w:pPr>
        <w:jc w:val="center"/>
        <w:rPr>
          <w:rFonts w:ascii="方正小标宋简体" w:eastAsia="方正小标宋简体"/>
          <w:sz w:val="52"/>
          <w:szCs w:val="52"/>
        </w:rPr>
      </w:pPr>
      <w:r>
        <w:rPr>
          <w:rFonts w:hint="eastAsia" w:ascii="方正小标宋简体" w:eastAsia="方正小标宋简体"/>
          <w:sz w:val="52"/>
          <w:szCs w:val="52"/>
        </w:rPr>
        <w:t>四川省广元市利州区船舶检验处</w:t>
      </w:r>
    </w:p>
    <w:p>
      <w:pPr>
        <w:adjustRightInd w:val="0"/>
        <w:snapToGrid w:val="0"/>
        <w:spacing w:line="360" w:lineRule="auto"/>
        <w:jc w:val="center"/>
        <w:outlineLvl w:val="0"/>
        <w:rPr>
          <w:rFonts w:ascii="方正小标宋简体" w:hAnsi="宋体" w:eastAsia="方正小标宋简体"/>
          <w:color w:val="000000"/>
          <w:sz w:val="72"/>
          <w:szCs w:val="72"/>
        </w:rPr>
      </w:pPr>
      <w:bookmarkStart w:id="17" w:name="_Toc1218"/>
      <w:bookmarkStart w:id="18" w:name="_Toc8762"/>
      <w:r>
        <w:rPr>
          <w:rFonts w:hint="eastAsia" w:ascii="方正小标宋简体" w:hAnsi="宋体" w:eastAsia="方正小标宋简体"/>
          <w:color w:val="000000"/>
          <w:sz w:val="72"/>
          <w:szCs w:val="72"/>
        </w:rPr>
        <w:t>部门决算</w:t>
      </w:r>
      <w:bookmarkEnd w:id="11"/>
      <w:bookmarkEnd w:id="12"/>
      <w:bookmarkEnd w:id="13"/>
      <w:bookmarkEnd w:id="14"/>
      <w:bookmarkEnd w:id="15"/>
      <w:bookmarkEnd w:id="16"/>
      <w:bookmarkEnd w:id="17"/>
      <w:bookmarkEnd w:id="18"/>
    </w:p>
    <w:p>
      <w:pPr>
        <w:widowControl/>
        <w:jc w:val="center"/>
        <w:rPr>
          <w:rFonts w:hint="eastAsia" w:ascii="黑体" w:hAnsi="黑体" w:eastAsia="黑体"/>
          <w:color w:val="000000"/>
          <w:sz w:val="48"/>
          <w:szCs w:val="48"/>
        </w:rPr>
        <w:sectPr>
          <w:footerReference r:id="rId3" w:type="firs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4"/>
        <w:tabs>
          <w:tab w:val="right" w:leader="dot" w:pos="8296"/>
        </w:tabs>
      </w:pPr>
      <w:r>
        <w:rPr>
          <w:rFonts w:hint="eastAsia"/>
        </w:rPr>
        <w:t>公开时间：202</w:t>
      </w:r>
      <w:r>
        <w:rPr>
          <w:rFonts w:hint="eastAsia"/>
          <w:lang w:val="en-US" w:eastAsia="zh-CN"/>
        </w:rPr>
        <w:t>1</w:t>
      </w:r>
      <w:r>
        <w:rPr>
          <w:rFonts w:hint="eastAsia"/>
        </w:rPr>
        <w:t>年9月</w:t>
      </w:r>
      <w:r>
        <w:rPr>
          <w:rFonts w:hint="eastAsia"/>
          <w:lang w:val="en-US" w:eastAsia="zh-CN"/>
        </w:rPr>
        <w:t>22</w:t>
      </w:r>
      <w:r>
        <w:rPr>
          <w:rFonts w:hint="eastAsia"/>
        </w:rPr>
        <w:t>日</w:t>
      </w:r>
    </w:p>
    <w:p/>
    <w:p>
      <w:pPr>
        <w:pStyle w:val="14"/>
        <w:tabs>
          <w:tab w:val="right" w:leader="dot" w:pos="8306"/>
        </w:tabs>
      </w:pPr>
      <w:r>
        <w:fldChar w:fldCharType="begin"/>
      </w:r>
      <w:r>
        <w:instrText xml:space="preserve">TOC \o "1-3" \t "" \h \z \u </w:instrText>
      </w:r>
      <w:r>
        <w:fldChar w:fldCharType="separate"/>
      </w:r>
    </w:p>
    <w:p>
      <w:pPr>
        <w:pStyle w:val="14"/>
        <w:tabs>
          <w:tab w:val="right" w:leader="dot" w:pos="8306"/>
        </w:tabs>
      </w:pPr>
      <w:r>
        <w:fldChar w:fldCharType="begin"/>
      </w:r>
      <w:r>
        <w:instrText xml:space="preserve"> HYPERLINK \l _Toc30833 </w:instrText>
      </w:r>
      <w: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_Toc30833 </w:instrText>
      </w:r>
      <w:r>
        <w:fldChar w:fldCharType="separate"/>
      </w:r>
      <w:r>
        <w:t>3</w:t>
      </w:r>
      <w:r>
        <w:fldChar w:fldCharType="end"/>
      </w:r>
      <w:r>
        <w:fldChar w:fldCharType="end"/>
      </w:r>
    </w:p>
    <w:p>
      <w:pPr>
        <w:pStyle w:val="17"/>
        <w:tabs>
          <w:tab w:val="right" w:leader="dot" w:pos="8306"/>
        </w:tabs>
      </w:pPr>
      <w:r>
        <w:fldChar w:fldCharType="begin"/>
      </w:r>
      <w:r>
        <w:instrText xml:space="preserve"> HYPERLINK \l _Toc25009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_Toc25009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_Toc17077 </w:instrText>
      </w:r>
      <w:r>
        <w:fldChar w:fldCharType="separate"/>
      </w:r>
      <w:r>
        <w:rPr>
          <w:rFonts w:hint="eastAsia" w:ascii="仿宋" w:hAnsi="仿宋" w:eastAsia="仿宋"/>
          <w:bCs/>
          <w:szCs w:val="32"/>
        </w:rPr>
        <w:t>（一）主要职能。</w:t>
      </w:r>
      <w:r>
        <w:tab/>
      </w:r>
      <w:r>
        <w:fldChar w:fldCharType="begin"/>
      </w:r>
      <w:r>
        <w:instrText xml:space="preserve"> PAGEREF _Toc17077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_Toc19534 </w:instrText>
      </w:r>
      <w:r>
        <w:fldChar w:fldCharType="separate"/>
      </w:r>
      <w:r>
        <w:rPr>
          <w:rFonts w:hint="eastAsia" w:ascii="仿宋" w:hAnsi="仿宋" w:eastAsia="仿宋"/>
          <w:bCs/>
          <w:szCs w:val="32"/>
        </w:rPr>
        <w:t>（二）</w:t>
      </w:r>
      <w:r>
        <w:rPr>
          <w:rFonts w:ascii="仿宋" w:hAnsi="仿宋" w:eastAsia="仿宋"/>
          <w:bCs/>
          <w:szCs w:val="32"/>
        </w:rPr>
        <w:t>201</w:t>
      </w:r>
      <w:r>
        <w:rPr>
          <w:rFonts w:hint="eastAsia" w:ascii="仿宋" w:hAnsi="仿宋" w:eastAsia="仿宋"/>
          <w:bCs/>
          <w:szCs w:val="32"/>
        </w:rPr>
        <w:t>9年重点工作完成情况。</w:t>
      </w:r>
      <w:r>
        <w:tab/>
      </w:r>
      <w:r>
        <w:fldChar w:fldCharType="begin"/>
      </w:r>
      <w:r>
        <w:instrText xml:space="preserve"> PAGEREF _Toc19534 </w:instrText>
      </w:r>
      <w:r>
        <w:fldChar w:fldCharType="separate"/>
      </w:r>
      <w:r>
        <w:t>3</w:t>
      </w:r>
      <w:r>
        <w:fldChar w:fldCharType="end"/>
      </w:r>
      <w:r>
        <w:fldChar w:fldCharType="end"/>
      </w:r>
    </w:p>
    <w:p>
      <w:pPr>
        <w:pStyle w:val="17"/>
        <w:tabs>
          <w:tab w:val="right" w:leader="dot" w:pos="8306"/>
        </w:tabs>
      </w:pPr>
      <w:r>
        <w:fldChar w:fldCharType="begin"/>
      </w:r>
      <w:r>
        <w:instrText xml:space="preserve"> HYPERLINK \l _Toc24776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_Toc24776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_Toc10749 </w:instrText>
      </w:r>
      <w:r>
        <w:fldChar w:fldCharType="separate"/>
      </w:r>
      <w:r>
        <w:rPr>
          <w:rFonts w:hint="eastAsia" w:ascii="黑体" w:hAnsi="黑体" w:eastAsia="黑体"/>
        </w:rPr>
        <w:t xml:space="preserve">第二部分 </w:t>
      </w:r>
      <w:r>
        <w:rPr>
          <w:rFonts w:hint="eastAsia" w:ascii="黑体" w:hAnsi="黑体" w:eastAsia="黑体"/>
          <w:bCs w:val="0"/>
        </w:rPr>
        <w:t>2019年度部门决算情况说明</w:t>
      </w:r>
      <w:r>
        <w:tab/>
      </w:r>
      <w:r>
        <w:fldChar w:fldCharType="begin"/>
      </w:r>
      <w:r>
        <w:instrText xml:space="preserve"> PAGEREF _Toc10749 </w:instrText>
      </w:r>
      <w:r>
        <w:fldChar w:fldCharType="separate"/>
      </w:r>
      <w:r>
        <w:t>12</w:t>
      </w:r>
      <w:r>
        <w:fldChar w:fldCharType="end"/>
      </w:r>
      <w:r>
        <w:fldChar w:fldCharType="end"/>
      </w:r>
    </w:p>
    <w:p>
      <w:pPr>
        <w:pStyle w:val="17"/>
        <w:tabs>
          <w:tab w:val="right" w:leader="dot" w:pos="8306"/>
        </w:tabs>
      </w:pPr>
      <w:r>
        <w:fldChar w:fldCharType="begin"/>
      </w:r>
      <w:r>
        <w:instrText xml:space="preserve"> HYPERLINK \l _Toc11042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_Toc11042 </w:instrText>
      </w:r>
      <w:r>
        <w:fldChar w:fldCharType="separate"/>
      </w:r>
      <w:r>
        <w:t>12</w:t>
      </w:r>
      <w:r>
        <w:fldChar w:fldCharType="end"/>
      </w:r>
      <w:r>
        <w:fldChar w:fldCharType="end"/>
      </w:r>
    </w:p>
    <w:p>
      <w:pPr>
        <w:pStyle w:val="17"/>
        <w:tabs>
          <w:tab w:val="right" w:leader="dot" w:pos="8306"/>
        </w:tabs>
      </w:pPr>
      <w:r>
        <w:fldChar w:fldCharType="begin"/>
      </w:r>
      <w:r>
        <w:instrText xml:space="preserve"> HYPERLINK \l _Toc32602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_Toc32602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_Toc29163 </w:instrText>
      </w:r>
      <w:r>
        <w:fldChar w:fldCharType="separate"/>
      </w:r>
      <w:r>
        <w:rPr>
          <w:rFonts w:ascii="仿宋" w:hAnsi="仿宋" w:eastAsia="仿宋"/>
          <w:szCs w:val="32"/>
        </w:rPr>
        <w:t>201</w:t>
      </w:r>
      <w:r>
        <w:rPr>
          <w:rFonts w:hint="eastAsia" w:ascii="仿宋" w:hAnsi="仿宋" w:eastAsia="仿宋"/>
          <w:szCs w:val="32"/>
        </w:rPr>
        <w:t>9年本年收入合计</w:t>
      </w:r>
      <w:r>
        <w:rPr>
          <w:rFonts w:hint="eastAsia" w:ascii="仿宋" w:hAnsi="仿宋" w:eastAsia="仿宋"/>
          <w:szCs w:val="32"/>
          <w:lang w:val="en-US" w:eastAsia="zh-CN"/>
        </w:rPr>
        <w:t>243.67</w:t>
      </w:r>
      <w:r>
        <w:rPr>
          <w:rFonts w:hint="eastAsia" w:ascii="仿宋" w:hAnsi="仿宋" w:eastAsia="仿宋"/>
          <w:szCs w:val="32"/>
        </w:rPr>
        <w:t>万元，其中：一般公共预算财政拨款收入</w:t>
      </w:r>
      <w:r>
        <w:rPr>
          <w:rFonts w:hint="eastAsia" w:ascii="仿宋" w:hAnsi="仿宋" w:eastAsia="仿宋"/>
          <w:szCs w:val="32"/>
          <w:lang w:val="en-US" w:eastAsia="zh-CN"/>
        </w:rPr>
        <w:t>243.67</w:t>
      </w:r>
      <w:r>
        <w:rPr>
          <w:rFonts w:hint="eastAsia" w:ascii="仿宋" w:hAnsi="仿宋" w:eastAsia="仿宋"/>
          <w:szCs w:val="32"/>
        </w:rPr>
        <w:t>万元，占</w:t>
      </w:r>
      <w:r>
        <w:rPr>
          <w:rFonts w:hint="eastAsia" w:ascii="仿宋" w:hAnsi="仿宋" w:eastAsia="仿宋"/>
          <w:szCs w:val="32"/>
          <w:lang w:val="en-US" w:eastAsia="zh-CN"/>
        </w:rPr>
        <w:t>100</w:t>
      </w:r>
      <w:r>
        <w:rPr>
          <w:rFonts w:ascii="仿宋" w:hAnsi="仿宋" w:eastAsia="仿宋"/>
          <w:szCs w:val="32"/>
        </w:rPr>
        <w:t>%</w:t>
      </w:r>
      <w:r>
        <w:rPr>
          <w:rFonts w:hint="eastAsia" w:ascii="仿宋" w:hAnsi="仿宋" w:eastAsia="仿宋"/>
          <w:szCs w:val="32"/>
        </w:rPr>
        <w:t>；政府性基金预算财政拨款收入</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；上级补助收入</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；事业收入</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；经营收入</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；附属单位上缴收入</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；其他收入</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r>
        <w:tab/>
      </w:r>
      <w:r>
        <w:fldChar w:fldCharType="begin"/>
      </w:r>
      <w:r>
        <w:instrText xml:space="preserve"> PAGEREF _Toc29163 </w:instrText>
      </w:r>
      <w:r>
        <w:fldChar w:fldCharType="separate"/>
      </w:r>
      <w:r>
        <w:t>13</w:t>
      </w:r>
      <w:r>
        <w:fldChar w:fldCharType="end"/>
      </w:r>
      <w:r>
        <w:fldChar w:fldCharType="end"/>
      </w:r>
    </w:p>
    <w:p>
      <w:pPr>
        <w:pStyle w:val="17"/>
        <w:tabs>
          <w:tab w:val="right" w:leader="dot" w:pos="8306"/>
        </w:tabs>
      </w:pPr>
      <w:r>
        <w:fldChar w:fldCharType="begin"/>
      </w:r>
      <w:r>
        <w:instrText xml:space="preserve"> HYPERLINK \l _Toc10750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_Toc10750 </w:instrText>
      </w:r>
      <w:r>
        <w:fldChar w:fldCharType="separate"/>
      </w:r>
      <w:r>
        <w:t>14</w:t>
      </w:r>
      <w:r>
        <w:fldChar w:fldCharType="end"/>
      </w:r>
      <w:r>
        <w:fldChar w:fldCharType="end"/>
      </w:r>
    </w:p>
    <w:p>
      <w:pPr>
        <w:pStyle w:val="17"/>
        <w:tabs>
          <w:tab w:val="right" w:leader="dot" w:pos="8306"/>
        </w:tabs>
      </w:pPr>
      <w:r>
        <w:fldChar w:fldCharType="begin"/>
      </w:r>
      <w:r>
        <w:instrText xml:space="preserve"> HYPERLINK \l _Toc31266 </w:instrText>
      </w:r>
      <w:r>
        <w:fldChar w:fldCharType="separate"/>
      </w:r>
      <w:r>
        <w:rPr>
          <w:rFonts w:ascii="仿宋" w:hAnsi="仿宋" w:eastAsia="仿宋"/>
          <w:szCs w:val="32"/>
        </w:rPr>
        <w:t>201</w:t>
      </w:r>
      <w:r>
        <w:rPr>
          <w:rFonts w:hint="eastAsia" w:ascii="仿宋" w:hAnsi="仿宋" w:eastAsia="仿宋"/>
          <w:szCs w:val="32"/>
        </w:rPr>
        <w:t>9年本年支出合计</w:t>
      </w:r>
      <w:r>
        <w:rPr>
          <w:rFonts w:hint="eastAsia" w:ascii="仿宋" w:hAnsi="仿宋" w:eastAsia="仿宋"/>
          <w:szCs w:val="32"/>
          <w:lang w:val="en-US" w:eastAsia="zh-CN"/>
        </w:rPr>
        <w:t>226.39</w:t>
      </w:r>
      <w:r>
        <w:rPr>
          <w:rFonts w:hint="eastAsia" w:ascii="仿宋" w:hAnsi="仿宋" w:eastAsia="仿宋"/>
          <w:szCs w:val="32"/>
        </w:rPr>
        <w:t>万元，其中：基本支出</w:t>
      </w:r>
      <w:r>
        <w:rPr>
          <w:rFonts w:hint="eastAsia" w:ascii="仿宋" w:hAnsi="仿宋" w:eastAsia="仿宋"/>
          <w:szCs w:val="32"/>
          <w:lang w:val="en-US" w:eastAsia="zh-CN"/>
        </w:rPr>
        <w:t>197.73</w:t>
      </w:r>
      <w:r>
        <w:rPr>
          <w:rFonts w:hint="eastAsia" w:ascii="仿宋" w:hAnsi="仿宋" w:eastAsia="仿宋"/>
          <w:szCs w:val="32"/>
        </w:rPr>
        <w:t>万元，占</w:t>
      </w:r>
      <w:r>
        <w:rPr>
          <w:rFonts w:hint="eastAsia" w:ascii="仿宋" w:hAnsi="仿宋" w:eastAsia="仿宋"/>
          <w:szCs w:val="32"/>
          <w:lang w:val="en-US" w:eastAsia="zh-CN"/>
        </w:rPr>
        <w:t>87</w:t>
      </w:r>
      <w:r>
        <w:rPr>
          <w:rFonts w:ascii="仿宋" w:hAnsi="仿宋" w:eastAsia="仿宋"/>
          <w:szCs w:val="32"/>
        </w:rPr>
        <w:t>%</w:t>
      </w:r>
      <w:r>
        <w:rPr>
          <w:rFonts w:hint="eastAsia" w:ascii="仿宋" w:hAnsi="仿宋" w:eastAsia="仿宋"/>
          <w:szCs w:val="32"/>
        </w:rPr>
        <w:t>；项目支出</w:t>
      </w:r>
      <w:r>
        <w:rPr>
          <w:rFonts w:hint="eastAsia" w:ascii="仿宋" w:hAnsi="仿宋" w:eastAsia="仿宋"/>
          <w:szCs w:val="32"/>
          <w:lang w:val="en-US" w:eastAsia="zh-CN"/>
        </w:rPr>
        <w:t>28.66</w:t>
      </w:r>
      <w:r>
        <w:rPr>
          <w:rFonts w:hint="eastAsia" w:ascii="仿宋" w:hAnsi="仿宋" w:eastAsia="仿宋"/>
          <w:szCs w:val="32"/>
        </w:rPr>
        <w:t>万元，占</w:t>
      </w:r>
      <w:r>
        <w:rPr>
          <w:rFonts w:hint="eastAsia" w:ascii="仿宋" w:hAnsi="仿宋" w:eastAsia="仿宋"/>
          <w:szCs w:val="32"/>
          <w:lang w:val="en-US" w:eastAsia="zh-CN"/>
        </w:rPr>
        <w:t>13</w:t>
      </w:r>
      <w:r>
        <w:rPr>
          <w:rFonts w:ascii="仿宋" w:hAnsi="仿宋" w:eastAsia="仿宋"/>
          <w:szCs w:val="32"/>
        </w:rPr>
        <w:t>%</w:t>
      </w:r>
      <w:r>
        <w:rPr>
          <w:rFonts w:hint="eastAsia" w:ascii="仿宋" w:hAnsi="仿宋" w:eastAsia="仿宋"/>
          <w:szCs w:val="32"/>
        </w:rPr>
        <w:t>；上缴上级支出</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；经营支出</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；对附属单位补助支出</w:t>
      </w:r>
      <w:r>
        <w:rPr>
          <w:rFonts w:hint="eastAsia" w:ascii="仿宋" w:hAnsi="仿宋" w:eastAsia="仿宋"/>
          <w:szCs w:val="32"/>
          <w:lang w:val="en-US" w:eastAsia="zh-CN"/>
        </w:rPr>
        <w:t>0</w:t>
      </w:r>
      <w:r>
        <w:rPr>
          <w:rFonts w:hint="eastAsia" w:ascii="仿宋" w:hAnsi="仿宋" w:eastAsia="仿宋"/>
          <w:szCs w:val="32"/>
        </w:rPr>
        <w:t>万元，占</w:t>
      </w:r>
      <w:r>
        <w:rPr>
          <w:rFonts w:hint="eastAsia" w:ascii="仿宋" w:hAnsi="仿宋" w:eastAsia="仿宋"/>
          <w:szCs w:val="32"/>
          <w:lang w:val="en-US" w:eastAsia="zh-CN"/>
        </w:rPr>
        <w:t>0</w:t>
      </w:r>
      <w:r>
        <w:rPr>
          <w:rFonts w:ascii="仿宋" w:hAnsi="仿宋" w:eastAsia="仿宋"/>
          <w:szCs w:val="32"/>
        </w:rPr>
        <w:t>%</w:t>
      </w:r>
      <w:r>
        <w:rPr>
          <w:rFonts w:hint="eastAsia" w:ascii="仿宋" w:hAnsi="仿宋" w:eastAsia="仿宋"/>
          <w:szCs w:val="32"/>
        </w:rPr>
        <w:t>。</w:t>
      </w:r>
      <w:r>
        <w:tab/>
      </w:r>
      <w:r>
        <w:fldChar w:fldCharType="begin"/>
      </w:r>
      <w:r>
        <w:instrText xml:space="preserve"> PAGEREF _Toc31266 </w:instrText>
      </w:r>
      <w:r>
        <w:fldChar w:fldCharType="separate"/>
      </w:r>
      <w:r>
        <w:t>14</w:t>
      </w:r>
      <w:r>
        <w:fldChar w:fldCharType="end"/>
      </w:r>
      <w:r>
        <w:fldChar w:fldCharType="end"/>
      </w:r>
    </w:p>
    <w:p>
      <w:pPr>
        <w:pStyle w:val="17"/>
        <w:tabs>
          <w:tab w:val="right" w:leader="dot" w:pos="8306"/>
        </w:tabs>
      </w:pPr>
      <w:r>
        <w:fldChar w:fldCharType="begin"/>
      </w:r>
      <w:r>
        <w:instrText xml:space="preserve"> HYPERLINK \l _Toc27021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_Toc27021 </w:instrText>
      </w:r>
      <w:r>
        <w:fldChar w:fldCharType="separate"/>
      </w:r>
      <w:r>
        <w:t>15</w:t>
      </w:r>
      <w:r>
        <w:fldChar w:fldCharType="end"/>
      </w:r>
      <w:r>
        <w:fldChar w:fldCharType="end"/>
      </w:r>
    </w:p>
    <w:p>
      <w:pPr>
        <w:pStyle w:val="17"/>
        <w:tabs>
          <w:tab w:val="right" w:leader="dot" w:pos="8306"/>
        </w:tabs>
      </w:pPr>
      <w:r>
        <w:fldChar w:fldCharType="begin"/>
      </w:r>
      <w:r>
        <w:instrText xml:space="preserve"> HYPERLINK \l _Toc24821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_Toc24821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_Toc14898 </w:instrText>
      </w:r>
      <w:r>
        <w:fldChar w:fldCharType="separate"/>
      </w:r>
      <w:r>
        <w:rPr>
          <w:rFonts w:hint="eastAsia" w:ascii="仿宋" w:hAnsi="仿宋" w:eastAsia="仿宋"/>
          <w:szCs w:val="32"/>
        </w:rPr>
        <w:t>（一）一般公共预算财政拨款支出决算总体情况</w:t>
      </w:r>
      <w:r>
        <w:tab/>
      </w:r>
      <w:r>
        <w:fldChar w:fldCharType="begin"/>
      </w:r>
      <w:r>
        <w:instrText xml:space="preserve"> PAGEREF _Toc14898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_Toc32463 </w:instrText>
      </w:r>
      <w:r>
        <w:fldChar w:fldCharType="separate"/>
      </w:r>
      <w:r>
        <w:rPr>
          <w:rFonts w:hint="eastAsia" w:ascii="仿宋" w:hAnsi="仿宋" w:eastAsia="仿宋"/>
          <w:szCs w:val="32"/>
        </w:rPr>
        <w:t>（三）一般公共预算财政拨款支出决算具体情况</w:t>
      </w:r>
      <w:r>
        <w:tab/>
      </w:r>
      <w:r>
        <w:fldChar w:fldCharType="begin"/>
      </w:r>
      <w:r>
        <w:instrText xml:space="preserve"> PAGEREF _Toc32463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_Toc21484 </w:instrText>
      </w:r>
      <w:r>
        <w:fldChar w:fldCharType="separate"/>
      </w:r>
      <w:r>
        <w:rPr>
          <w:rFonts w:hint="eastAsia" w:ascii="仿宋" w:hAnsi="仿宋" w:eastAsia="仿宋"/>
          <w:szCs w:val="32"/>
        </w:rPr>
        <w:t>2019年</w:t>
      </w:r>
      <w:r>
        <w:rPr>
          <w:rFonts w:hint="eastAsia" w:ascii="仿宋" w:hAnsi="仿宋" w:eastAsia="仿宋"/>
          <w:szCs w:val="32"/>
          <w:lang w:eastAsia="zh-CN"/>
        </w:rPr>
        <w:t>一</w:t>
      </w:r>
      <w:r>
        <w:rPr>
          <w:rFonts w:hint="eastAsia" w:ascii="仿宋" w:hAnsi="仿宋" w:eastAsia="仿宋"/>
          <w:szCs w:val="32"/>
        </w:rPr>
        <w:t>般公共预算支出决算数为</w:t>
      </w:r>
      <w:r>
        <w:rPr>
          <w:rFonts w:hint="eastAsia" w:ascii="仿宋" w:hAnsi="仿宋" w:eastAsia="仿宋"/>
          <w:szCs w:val="32"/>
          <w:lang w:val="en-US" w:eastAsia="zh-CN"/>
        </w:rPr>
        <w:t>226.39</w:t>
      </w:r>
      <w:r>
        <w:rPr>
          <w:rFonts w:hint="eastAsia" w:ascii="仿宋" w:hAnsi="仿宋" w:eastAsia="仿宋"/>
          <w:szCs w:val="32"/>
        </w:rPr>
        <w:t>，</w:t>
      </w:r>
      <w:r>
        <w:rPr>
          <w:rFonts w:hint="eastAsia" w:ascii="仿宋" w:hAnsi="仿宋" w:eastAsia="仿宋"/>
          <w:bCs/>
          <w:szCs w:val="32"/>
        </w:rPr>
        <w:t>完成预算</w:t>
      </w:r>
      <w:r>
        <w:rPr>
          <w:rFonts w:hint="eastAsia" w:ascii="仿宋" w:hAnsi="仿宋" w:eastAsia="仿宋"/>
          <w:bCs/>
          <w:szCs w:val="32"/>
          <w:lang w:val="en-US" w:eastAsia="zh-CN"/>
        </w:rPr>
        <w:t>92</w:t>
      </w:r>
      <w:r>
        <w:rPr>
          <w:rFonts w:ascii="仿宋" w:hAnsi="仿宋" w:eastAsia="仿宋"/>
          <w:bCs/>
          <w:szCs w:val="32"/>
        </w:rPr>
        <w:t>%</w:t>
      </w:r>
      <w:r>
        <w:rPr>
          <w:rFonts w:hint="eastAsia" w:ascii="仿宋" w:hAnsi="仿宋" w:eastAsia="仿宋"/>
          <w:bCs/>
          <w:szCs w:val="32"/>
        </w:rPr>
        <w:t>。其中：</w:t>
      </w:r>
      <w:r>
        <w:tab/>
      </w:r>
      <w:r>
        <w:fldChar w:fldCharType="begin"/>
      </w:r>
      <w:r>
        <w:instrText xml:space="preserve"> PAGEREF _Toc21484 </w:instrText>
      </w:r>
      <w:r>
        <w:fldChar w:fldCharType="separate"/>
      </w:r>
      <w:r>
        <w:t>18</w:t>
      </w:r>
      <w:r>
        <w:fldChar w:fldCharType="end"/>
      </w:r>
      <w:r>
        <w:fldChar w:fldCharType="end"/>
      </w:r>
    </w:p>
    <w:p>
      <w:pPr>
        <w:pStyle w:val="17"/>
        <w:tabs>
          <w:tab w:val="right" w:leader="dot" w:pos="8306"/>
        </w:tabs>
      </w:pPr>
      <w:r>
        <w:fldChar w:fldCharType="begin"/>
      </w:r>
      <w:r>
        <w:instrText xml:space="preserve"> HYPERLINK \l _Toc28650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_Toc28650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_Toc32093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_Toc32093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_Toc22124 </w:instrText>
      </w:r>
      <w:r>
        <w:fldChar w:fldCharType="separate"/>
      </w:r>
      <w:r>
        <w:rPr>
          <w:rFonts w:hint="eastAsia" w:ascii="仿宋" w:hAnsi="仿宋" w:eastAsia="仿宋"/>
          <w:szCs w:val="32"/>
        </w:rPr>
        <w:t>（一）“三公”经费财政拨款支出决算总体情况说明</w:t>
      </w:r>
      <w:r>
        <w:tab/>
      </w:r>
      <w:r>
        <w:fldChar w:fldCharType="begin"/>
      </w:r>
      <w:r>
        <w:instrText xml:space="preserve"> PAGEREF _Toc22124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_Toc5627 </w:instrText>
      </w:r>
      <w:r>
        <w:fldChar w:fldCharType="separate"/>
      </w:r>
      <w:r>
        <w:rPr>
          <w:rFonts w:hint="eastAsia" w:ascii="仿宋" w:hAnsi="仿宋" w:eastAsia="仿宋"/>
          <w:szCs w:val="32"/>
        </w:rPr>
        <w:t>（二）“三公”经费财政拨款支出决算具体情况说明</w:t>
      </w:r>
      <w:r>
        <w:tab/>
      </w:r>
      <w:r>
        <w:fldChar w:fldCharType="begin"/>
      </w:r>
      <w:r>
        <w:instrText xml:space="preserve"> PAGEREF _Toc5627 </w:instrText>
      </w:r>
      <w:r>
        <w:fldChar w:fldCharType="separate"/>
      </w:r>
      <w:r>
        <w:t>20</w:t>
      </w:r>
      <w:r>
        <w:fldChar w:fldCharType="end"/>
      </w:r>
      <w:r>
        <w:fldChar w:fldCharType="end"/>
      </w:r>
    </w:p>
    <w:p>
      <w:pPr>
        <w:pStyle w:val="17"/>
        <w:tabs>
          <w:tab w:val="right" w:leader="dot" w:pos="8306"/>
        </w:tabs>
      </w:pPr>
      <w:r>
        <w:fldChar w:fldCharType="begin"/>
      </w:r>
      <w:r>
        <w:instrText xml:space="preserve"> HYPERLINK \l _Toc19019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_Toc19019 </w:instrText>
      </w:r>
      <w:r>
        <w:fldChar w:fldCharType="separate"/>
      </w:r>
      <w:r>
        <w:t>21</w:t>
      </w:r>
      <w:r>
        <w:fldChar w:fldCharType="end"/>
      </w:r>
      <w:r>
        <w:fldChar w:fldCharType="end"/>
      </w:r>
    </w:p>
    <w:p>
      <w:pPr>
        <w:pStyle w:val="17"/>
        <w:tabs>
          <w:tab w:val="right" w:leader="dot" w:pos="8306"/>
        </w:tabs>
      </w:pPr>
      <w:r>
        <w:fldChar w:fldCharType="begin"/>
      </w:r>
      <w:r>
        <w:instrText xml:space="preserve"> HYPERLINK \l _Toc6863 </w:instrText>
      </w:r>
      <w:r>
        <w:fldChar w:fldCharType="separate"/>
      </w:r>
      <w:r>
        <w:rPr>
          <w:rFonts w:hint="eastAsia" w:ascii="黑体" w:hAnsi="黑体" w:eastAsia="黑体"/>
        </w:rPr>
        <w:t>九、 国有资本经营预算支出决算情况说明</w:t>
      </w:r>
      <w:r>
        <w:tab/>
      </w:r>
      <w:r>
        <w:fldChar w:fldCharType="begin"/>
      </w:r>
      <w:r>
        <w:instrText xml:space="preserve"> PAGEREF _Toc6863 </w:instrText>
      </w:r>
      <w:r>
        <w:fldChar w:fldCharType="separate"/>
      </w:r>
      <w:r>
        <w:t>22</w:t>
      </w:r>
      <w:r>
        <w:fldChar w:fldCharType="end"/>
      </w:r>
      <w:r>
        <w:fldChar w:fldCharType="end"/>
      </w:r>
    </w:p>
    <w:p>
      <w:pPr>
        <w:pStyle w:val="17"/>
        <w:tabs>
          <w:tab w:val="right" w:leader="dot" w:pos="8306"/>
        </w:tabs>
      </w:pPr>
      <w:r>
        <w:fldChar w:fldCharType="begin"/>
      </w:r>
      <w:r>
        <w:instrText xml:space="preserve"> HYPERLINK \l _Toc19866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_Toc19866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_Toc16933 </w:instrText>
      </w:r>
      <w:r>
        <w:fldChar w:fldCharType="separate"/>
      </w:r>
      <w:r>
        <w:rPr>
          <w:rFonts w:hint="eastAsia" w:ascii="仿宋" w:hAnsi="仿宋" w:eastAsia="仿宋"/>
          <w:szCs w:val="32"/>
        </w:rPr>
        <w:t>（一）机关运行经费支出情况</w:t>
      </w:r>
      <w:r>
        <w:tab/>
      </w:r>
      <w:r>
        <w:fldChar w:fldCharType="begin"/>
      </w:r>
      <w:r>
        <w:instrText xml:space="preserve"> PAGEREF _Toc16933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_Toc4072 </w:instrText>
      </w:r>
      <w:r>
        <w:fldChar w:fldCharType="separate"/>
      </w:r>
      <w:r>
        <w:rPr>
          <w:rFonts w:hint="eastAsia" w:ascii="仿宋" w:hAnsi="仿宋" w:eastAsia="仿宋"/>
          <w:szCs w:val="32"/>
        </w:rPr>
        <w:t>（二）政府采购支出情况</w:t>
      </w:r>
      <w:r>
        <w:tab/>
      </w:r>
      <w:r>
        <w:fldChar w:fldCharType="begin"/>
      </w:r>
      <w:r>
        <w:instrText xml:space="preserve"> PAGEREF _Toc4072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_Toc28133 </w:instrText>
      </w:r>
      <w:r>
        <w:fldChar w:fldCharType="separate"/>
      </w:r>
      <w:r>
        <w:rPr>
          <w:rFonts w:hint="eastAsia" w:ascii="仿宋" w:hAnsi="仿宋" w:eastAsia="仿宋"/>
          <w:szCs w:val="32"/>
        </w:rPr>
        <w:t>（三）国有资产占有使用情况</w:t>
      </w:r>
      <w:r>
        <w:tab/>
      </w:r>
      <w:r>
        <w:fldChar w:fldCharType="begin"/>
      </w:r>
      <w:r>
        <w:instrText xml:space="preserve"> PAGEREF _Toc28133 </w:instrText>
      </w:r>
      <w:r>
        <w:fldChar w:fldCharType="separate"/>
      </w:r>
      <w:r>
        <w:t>22</w:t>
      </w:r>
      <w:r>
        <w:fldChar w:fldCharType="end"/>
      </w:r>
      <w:r>
        <w:fldChar w:fldCharType="end"/>
      </w:r>
    </w:p>
    <w:p>
      <w:pPr>
        <w:pStyle w:val="9"/>
        <w:tabs>
          <w:tab w:val="right" w:leader="dot" w:pos="8306"/>
        </w:tabs>
      </w:pPr>
      <w:r>
        <w:fldChar w:fldCharType="begin"/>
      </w:r>
      <w:r>
        <w:instrText xml:space="preserve"> HYPERLINK \l _Toc25039 </w:instrText>
      </w:r>
      <w:r>
        <w:fldChar w:fldCharType="separate"/>
      </w:r>
      <w:r>
        <w:rPr>
          <w:rFonts w:hint="eastAsia" w:ascii="仿宋" w:hAnsi="仿宋" w:eastAsia="仿宋"/>
          <w:szCs w:val="32"/>
        </w:rPr>
        <w:t>（四）预算绩效管理情况。</w:t>
      </w:r>
      <w:r>
        <w:tab/>
      </w:r>
      <w:r>
        <w:fldChar w:fldCharType="begin"/>
      </w:r>
      <w:r>
        <w:instrText xml:space="preserve"> PAGEREF _Toc25039 </w:instrText>
      </w:r>
      <w:r>
        <w:fldChar w:fldCharType="separate"/>
      </w:r>
      <w:r>
        <w:t>22</w:t>
      </w:r>
      <w:r>
        <w:fldChar w:fldCharType="end"/>
      </w:r>
      <w:r>
        <w:fldChar w:fldCharType="end"/>
      </w:r>
    </w:p>
    <w:p>
      <w:pPr>
        <w:pStyle w:val="14"/>
        <w:tabs>
          <w:tab w:val="right" w:leader="dot" w:pos="8306"/>
        </w:tabs>
      </w:pPr>
      <w:r>
        <w:fldChar w:fldCharType="begin"/>
      </w:r>
      <w:r>
        <w:instrText xml:space="preserve"> HYPERLINK \l _Toc29022 </w:instrText>
      </w:r>
      <w:r>
        <w:fldChar w:fldCharType="separate"/>
      </w:r>
      <w:r>
        <w:rPr>
          <w:rFonts w:hint="eastAsia" w:ascii="黑体" w:hAnsi="黑体" w:eastAsia="黑体"/>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_Toc29022 </w:instrText>
      </w:r>
      <w:r>
        <w:fldChar w:fldCharType="separate"/>
      </w:r>
      <w:r>
        <w:t>33</w:t>
      </w:r>
      <w:r>
        <w:fldChar w:fldCharType="end"/>
      </w:r>
      <w:r>
        <w:fldChar w:fldCharType="end"/>
      </w:r>
    </w:p>
    <w:p>
      <w:pPr>
        <w:pStyle w:val="14"/>
        <w:tabs>
          <w:tab w:val="right" w:leader="dot" w:pos="8306"/>
        </w:tabs>
      </w:pPr>
      <w:r>
        <w:fldChar w:fldCharType="begin"/>
      </w:r>
      <w:r>
        <w:instrText xml:space="preserve"> HYPERLINK \l _Toc23654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_Toc23654 </w:instrText>
      </w:r>
      <w:r>
        <w:fldChar w:fldCharType="separate"/>
      </w:r>
      <w:r>
        <w:t>35</w:t>
      </w:r>
      <w:r>
        <w:fldChar w:fldCharType="end"/>
      </w:r>
      <w:r>
        <w:fldChar w:fldCharType="end"/>
      </w:r>
    </w:p>
    <w:p>
      <w:pPr>
        <w:pStyle w:val="14"/>
        <w:tabs>
          <w:tab w:val="right" w:leader="dot" w:pos="8306"/>
        </w:tabs>
      </w:pPr>
      <w:r>
        <w:fldChar w:fldCharType="begin"/>
      </w:r>
      <w:r>
        <w:instrText xml:space="preserve"> HYPERLINK \l _Toc25942 </w:instrText>
      </w:r>
      <w:r>
        <w:fldChar w:fldCharType="separate"/>
      </w:r>
      <w:r>
        <w:rPr>
          <w:rFonts w:hint="eastAsia" w:ascii="黑体" w:hAnsi="黑体" w:eastAsia="黑体" w:cs="黑体"/>
          <w:szCs w:val="32"/>
        </w:rPr>
        <w:t>附件1</w:t>
      </w:r>
      <w:r>
        <w:tab/>
      </w:r>
      <w:r>
        <w:fldChar w:fldCharType="begin"/>
      </w:r>
      <w:r>
        <w:instrText xml:space="preserve"> PAGEREF _Toc25942 </w:instrText>
      </w:r>
      <w:r>
        <w:fldChar w:fldCharType="separate"/>
      </w:r>
      <w:r>
        <w:t>35</w:t>
      </w:r>
      <w:r>
        <w:fldChar w:fldCharType="end"/>
      </w:r>
      <w:r>
        <w:fldChar w:fldCharType="end"/>
      </w:r>
    </w:p>
    <w:p>
      <w:pPr>
        <w:pStyle w:val="14"/>
        <w:tabs>
          <w:tab w:val="right" w:leader="dot" w:pos="8306"/>
        </w:tabs>
      </w:pPr>
      <w:r>
        <w:fldChar w:fldCharType="begin"/>
      </w:r>
      <w:r>
        <w:instrText xml:space="preserve"> HYPERLINK \l _Toc4619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_Toc4619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_Toc21776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_Toc21776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_Toc4485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_Toc4485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_Toc26823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_Toc26823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_Toc9619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_Toc9619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_Toc11816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_Toc11816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_Toc876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_Toc876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_Toc29387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_Toc29387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_Toc25241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_Toc25241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_Toc30493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_Toc30493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_Toc29883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_Toc29883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_Toc21910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_Toc21910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_Toc17493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_Toc17493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_Toc10451 </w:instrText>
      </w:r>
      <w: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_Toc10451 </w:instrText>
      </w:r>
      <w:r>
        <w:fldChar w:fldCharType="separate"/>
      </w:r>
      <w:r>
        <w:t>47</w:t>
      </w:r>
      <w:r>
        <w:fldChar w:fldCharType="end"/>
      </w:r>
      <w:r>
        <w:fldChar w:fldCharType="end"/>
      </w:r>
    </w:p>
    <w:p>
      <w:p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r>
        <w:fldChar w:fldCharType="end"/>
      </w:r>
    </w:p>
    <w:bookmarkEnd w:id="0"/>
    <w:p>
      <w:pPr>
        <w:pStyle w:val="3"/>
        <w:jc w:val="center"/>
        <w:rPr>
          <w:rStyle w:val="32"/>
          <w:rFonts w:ascii="黑体" w:hAnsi="黑体" w:eastAsia="黑体"/>
          <w:b/>
          <w:bCs w:val="0"/>
        </w:rPr>
      </w:pPr>
      <w:bookmarkStart w:id="19" w:name="_Toc15396599"/>
      <w:bookmarkStart w:id="20" w:name="_Toc4758"/>
      <w:bookmarkStart w:id="21" w:name="_Toc15377196"/>
      <w:bookmarkStart w:id="22" w:name="_Toc30833"/>
      <w:r>
        <w:rPr>
          <w:rFonts w:hint="eastAsia" w:ascii="黑体" w:hAnsi="黑体" w:eastAsia="黑体"/>
          <w:b w:val="0"/>
        </w:rPr>
        <w:t xml:space="preserve">第一部分 </w:t>
      </w:r>
      <w:r>
        <w:rPr>
          <w:rStyle w:val="32"/>
          <w:rFonts w:hint="eastAsia" w:ascii="黑体" w:hAnsi="黑体" w:eastAsia="黑体"/>
          <w:b w:val="0"/>
          <w:bCs w:val="0"/>
        </w:rPr>
        <w:t>部门概况</w:t>
      </w:r>
      <w:bookmarkEnd w:id="19"/>
      <w:bookmarkEnd w:id="20"/>
      <w:bookmarkEnd w:id="21"/>
      <w:bookmarkEnd w:id="22"/>
    </w:p>
    <w:p>
      <w:pPr>
        <w:pStyle w:val="4"/>
        <w:rPr>
          <w:rStyle w:val="33"/>
          <w:rFonts w:ascii="仿宋" w:hAnsi="仿宋" w:eastAsia="仿宋"/>
          <w:b w:val="0"/>
          <w:bCs w:val="0"/>
        </w:rPr>
      </w:pPr>
      <w:bookmarkStart w:id="23" w:name="_Toc15396600"/>
      <w:bookmarkStart w:id="24" w:name="_Toc14901"/>
      <w:bookmarkStart w:id="25" w:name="_Toc15377197"/>
      <w:bookmarkStart w:id="26" w:name="_Toc25009"/>
      <w:r>
        <w:rPr>
          <w:rFonts w:hint="eastAsia" w:ascii="黑体" w:hAnsi="黑体" w:eastAsia="黑体"/>
          <w:b w:val="0"/>
          <w:color w:val="000000"/>
        </w:rPr>
        <w:t>一、基</w:t>
      </w:r>
      <w:r>
        <w:rPr>
          <w:rStyle w:val="33"/>
          <w:rFonts w:hint="eastAsia" w:ascii="黑体" w:hAnsi="黑体" w:eastAsia="黑体"/>
          <w:b w:val="0"/>
          <w:bCs w:val="0"/>
        </w:rPr>
        <w:t>本职能及主要工作</w:t>
      </w:r>
      <w:bookmarkEnd w:id="23"/>
      <w:bookmarkEnd w:id="24"/>
      <w:bookmarkEnd w:id="25"/>
      <w:bookmarkEnd w:id="26"/>
    </w:p>
    <w:p>
      <w:pPr>
        <w:pStyle w:val="7"/>
        <w:adjustRightInd w:val="0"/>
        <w:snapToGrid w:val="0"/>
        <w:spacing w:before="93" w:line="600" w:lineRule="exact"/>
        <w:ind w:firstLine="674" w:firstLineChars="210"/>
        <w:outlineLvl w:val="2"/>
        <w:rPr>
          <w:rFonts w:hint="eastAsia" w:ascii="仿宋" w:hAnsi="仿宋" w:eastAsia="仿宋"/>
          <w:b/>
          <w:bCs w:val="0"/>
          <w:color w:val="000000"/>
          <w:sz w:val="32"/>
          <w:szCs w:val="32"/>
        </w:rPr>
      </w:pPr>
      <w:bookmarkStart w:id="27" w:name="_Toc18545"/>
      <w:bookmarkStart w:id="28" w:name="_Toc17077"/>
      <w:bookmarkStart w:id="29" w:name="_Toc15377198"/>
      <w:bookmarkStart w:id="30" w:name="_Toc15378445"/>
      <w:r>
        <w:rPr>
          <w:rFonts w:hint="eastAsia" w:ascii="仿宋" w:hAnsi="仿宋" w:eastAsia="仿宋"/>
          <w:b/>
          <w:bCs w:val="0"/>
          <w:color w:val="000000"/>
          <w:sz w:val="32"/>
          <w:szCs w:val="32"/>
        </w:rPr>
        <w:t>（一）主要职能</w:t>
      </w:r>
      <w:bookmarkEnd w:id="27"/>
      <w:bookmarkEnd w:id="28"/>
    </w:p>
    <w:bookmarkEnd w:id="29"/>
    <w:bookmarkEnd w:id="30"/>
    <w:p>
      <w:pPr>
        <w:spacing w:line="580" w:lineRule="exact"/>
        <w:ind w:firstLine="627" w:firstLineChars="196"/>
        <w:rPr>
          <w:rFonts w:hint="eastAsia" w:ascii="宋体" w:hAnsi="宋体" w:eastAsia="宋体" w:cs="宋体"/>
          <w:kern w:val="0"/>
          <w:sz w:val="32"/>
          <w:szCs w:val="32"/>
        </w:rPr>
      </w:pPr>
      <w:bookmarkStart w:id="31" w:name="_Toc15377199"/>
      <w:bookmarkStart w:id="32" w:name="_Toc15378446"/>
      <w:r>
        <w:rPr>
          <w:rFonts w:hint="eastAsia" w:ascii="宋体" w:hAnsi="宋体" w:eastAsia="宋体" w:cs="宋体"/>
          <w:kern w:val="0"/>
          <w:sz w:val="32"/>
          <w:szCs w:val="32"/>
        </w:rPr>
        <w:t>为航运畅通提供航务管理保障、水路运政管理、港政管理、水上安全监管、航道管理</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船舶检验与管理。</w:t>
      </w:r>
    </w:p>
    <w:p>
      <w:pPr>
        <w:pStyle w:val="7"/>
        <w:adjustRightInd w:val="0"/>
        <w:snapToGrid w:val="0"/>
        <w:spacing w:before="93" w:line="600" w:lineRule="exact"/>
        <w:ind w:firstLine="674" w:firstLineChars="210"/>
        <w:outlineLvl w:val="2"/>
        <w:rPr>
          <w:rFonts w:hint="eastAsia" w:ascii="宋体" w:hAnsi="宋体" w:eastAsia="宋体" w:cs="宋体"/>
          <w:b/>
          <w:bCs w:val="0"/>
          <w:color w:val="000000"/>
          <w:sz w:val="32"/>
          <w:szCs w:val="32"/>
        </w:rPr>
      </w:pPr>
      <w:bookmarkStart w:id="33" w:name="_Toc19534"/>
      <w:bookmarkStart w:id="34" w:name="_Toc224"/>
      <w:r>
        <w:rPr>
          <w:rFonts w:hint="eastAsia" w:ascii="宋体" w:hAnsi="宋体" w:eastAsia="宋体" w:cs="宋体"/>
          <w:b/>
          <w:bCs w:val="0"/>
          <w:color w:val="000000"/>
          <w:sz w:val="32"/>
          <w:szCs w:val="32"/>
        </w:rPr>
        <w:t>（二）20</w:t>
      </w:r>
      <w:r>
        <w:rPr>
          <w:rFonts w:hint="eastAsia" w:ascii="宋体" w:hAnsi="宋体" w:eastAsia="宋体" w:cs="宋体"/>
          <w:b/>
          <w:bCs w:val="0"/>
          <w:color w:val="000000"/>
          <w:sz w:val="32"/>
          <w:szCs w:val="32"/>
          <w:lang w:val="en-US" w:eastAsia="zh-CN"/>
        </w:rPr>
        <w:t>20</w:t>
      </w:r>
      <w:r>
        <w:rPr>
          <w:rFonts w:hint="eastAsia" w:ascii="宋体" w:hAnsi="宋体" w:eastAsia="宋体" w:cs="宋体"/>
          <w:b/>
          <w:bCs w:val="0"/>
          <w:color w:val="000000"/>
          <w:sz w:val="32"/>
          <w:szCs w:val="32"/>
        </w:rPr>
        <w:t>年重点工作完成情况</w:t>
      </w:r>
      <w:bookmarkEnd w:id="31"/>
      <w:bookmarkEnd w:id="32"/>
      <w:bookmarkEnd w:id="33"/>
      <w:bookmarkEnd w:id="34"/>
    </w:p>
    <w:p>
      <w:pPr>
        <w:tabs>
          <w:tab w:val="left" w:pos="1127"/>
        </w:tabs>
        <w:ind w:firstLine="640" w:firstLineChars="200"/>
        <w:rPr>
          <w:rFonts w:hint="eastAsia" w:ascii="宋体" w:hAnsi="宋体" w:eastAsia="宋体" w:cs="宋体"/>
          <w:bCs/>
          <w:color w:val="auto"/>
          <w:sz w:val="32"/>
          <w:szCs w:val="32"/>
          <w:highlight w:val="none"/>
          <w:shd w:val="clear" w:color="auto" w:fill="auto"/>
        </w:rPr>
      </w:pPr>
      <w:bookmarkStart w:id="35" w:name="_Toc15396601"/>
      <w:bookmarkStart w:id="36" w:name="_Toc5851"/>
      <w:bookmarkStart w:id="37" w:name="_Toc24776"/>
      <w:bookmarkStart w:id="38" w:name="_Toc15377200"/>
      <w:r>
        <w:rPr>
          <w:rFonts w:hint="eastAsia" w:ascii="宋体" w:hAnsi="宋体" w:eastAsia="宋体" w:cs="宋体"/>
          <w:bCs/>
          <w:color w:val="auto"/>
          <w:sz w:val="32"/>
          <w:szCs w:val="32"/>
          <w:highlight w:val="none"/>
          <w:shd w:val="clear" w:color="auto" w:fill="auto"/>
          <w:lang w:val="en-US" w:eastAsia="zh-CN"/>
        </w:rPr>
        <w:t>1、</w:t>
      </w:r>
      <w:r>
        <w:rPr>
          <w:rFonts w:hint="eastAsia" w:ascii="宋体" w:hAnsi="宋体" w:eastAsia="宋体" w:cs="宋体"/>
          <w:bCs/>
          <w:color w:val="auto"/>
          <w:sz w:val="32"/>
          <w:szCs w:val="32"/>
          <w:highlight w:val="none"/>
          <w:shd w:val="clear" w:color="auto" w:fill="auto"/>
        </w:rPr>
        <w:t>强</w:t>
      </w:r>
      <w:r>
        <w:rPr>
          <w:rFonts w:hint="eastAsia" w:ascii="宋体" w:hAnsi="宋体" w:eastAsia="宋体" w:cs="宋体"/>
          <w:bCs/>
          <w:color w:val="auto"/>
          <w:sz w:val="32"/>
          <w:szCs w:val="32"/>
          <w:highlight w:val="none"/>
          <w:shd w:val="clear" w:color="auto" w:fill="auto"/>
          <w:lang w:eastAsia="zh-CN"/>
        </w:rPr>
        <w:t>化</w:t>
      </w:r>
      <w:r>
        <w:rPr>
          <w:rFonts w:hint="eastAsia" w:ascii="宋体" w:hAnsi="宋体" w:eastAsia="宋体" w:cs="宋体"/>
          <w:bCs/>
          <w:color w:val="auto"/>
          <w:sz w:val="32"/>
          <w:szCs w:val="32"/>
          <w:highlight w:val="none"/>
          <w:shd w:val="clear" w:color="auto" w:fill="auto"/>
        </w:rPr>
        <w:t>学习，提高政治</w:t>
      </w:r>
      <w:r>
        <w:rPr>
          <w:rFonts w:hint="eastAsia" w:ascii="宋体" w:hAnsi="宋体" w:eastAsia="宋体" w:cs="宋体"/>
          <w:bCs/>
          <w:color w:val="auto"/>
          <w:sz w:val="32"/>
          <w:szCs w:val="32"/>
          <w:highlight w:val="none"/>
          <w:shd w:val="clear" w:color="auto" w:fill="auto"/>
          <w:lang w:eastAsia="zh-CN"/>
        </w:rPr>
        <w:t>思想</w:t>
      </w:r>
      <w:r>
        <w:rPr>
          <w:rFonts w:hint="eastAsia" w:ascii="宋体" w:hAnsi="宋体" w:eastAsia="宋体" w:cs="宋体"/>
          <w:bCs/>
          <w:color w:val="auto"/>
          <w:sz w:val="32"/>
          <w:szCs w:val="32"/>
          <w:highlight w:val="none"/>
          <w:shd w:val="clear" w:color="auto" w:fill="auto"/>
        </w:rPr>
        <w:t>站位</w:t>
      </w:r>
    </w:p>
    <w:p>
      <w:pPr>
        <w:tabs>
          <w:tab w:val="left" w:pos="1127"/>
        </w:tabs>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区海事处始终把学习放在首位，一是深入学习贯彻习近平新时代中国特色社会主义思想和党的十九</w:t>
      </w:r>
      <w:r>
        <w:rPr>
          <w:rFonts w:hint="eastAsia" w:ascii="宋体" w:hAnsi="宋体" w:eastAsia="宋体" w:cs="宋体"/>
          <w:color w:val="auto"/>
          <w:sz w:val="32"/>
          <w:szCs w:val="32"/>
          <w:lang w:eastAsia="zh-CN"/>
        </w:rPr>
        <w:t>届四中、五中全会</w:t>
      </w:r>
      <w:r>
        <w:rPr>
          <w:rFonts w:hint="eastAsia" w:ascii="宋体" w:hAnsi="宋体" w:eastAsia="宋体" w:cs="宋体"/>
          <w:color w:val="auto"/>
          <w:sz w:val="32"/>
          <w:szCs w:val="32"/>
        </w:rPr>
        <w:t>精神，进一步提高政治站位，切实增强“四个意识”、坚定“四个自信”，</w:t>
      </w:r>
      <w:r>
        <w:rPr>
          <w:rFonts w:hint="eastAsia" w:ascii="宋体" w:hAnsi="宋体" w:eastAsia="宋体" w:cs="宋体"/>
          <w:color w:val="auto"/>
          <w:sz w:val="32"/>
          <w:szCs w:val="32"/>
          <w:lang w:eastAsia="zh-CN"/>
        </w:rPr>
        <w:t>做到“两个维护”，</w:t>
      </w:r>
      <w:r>
        <w:rPr>
          <w:rFonts w:hint="eastAsia" w:ascii="宋体" w:hAnsi="宋体" w:eastAsia="宋体" w:cs="宋体"/>
          <w:color w:val="auto"/>
          <w:sz w:val="32"/>
          <w:szCs w:val="32"/>
        </w:rPr>
        <w:t>站稳政治立场，坚决维护以习近平同志为核心的党中央权威和集中统一领导，始终和党中央保持高度一致；二是认真学习水上</w:t>
      </w:r>
      <w:r>
        <w:rPr>
          <w:rFonts w:hint="eastAsia" w:ascii="宋体" w:hAnsi="宋体" w:eastAsia="宋体" w:cs="宋体"/>
          <w:color w:val="auto"/>
          <w:sz w:val="32"/>
          <w:szCs w:val="32"/>
          <w:lang w:eastAsia="zh-CN"/>
        </w:rPr>
        <w:t>交通</w:t>
      </w:r>
      <w:r>
        <w:rPr>
          <w:rFonts w:hint="eastAsia" w:ascii="宋体" w:hAnsi="宋体" w:eastAsia="宋体" w:cs="宋体"/>
          <w:color w:val="auto"/>
          <w:sz w:val="32"/>
          <w:szCs w:val="32"/>
        </w:rPr>
        <w:t>业务知识，</w:t>
      </w:r>
      <w:r>
        <w:rPr>
          <w:rFonts w:hint="eastAsia" w:ascii="宋体" w:hAnsi="宋体" w:eastAsia="宋体" w:cs="宋体"/>
          <w:color w:val="auto"/>
          <w:sz w:val="32"/>
          <w:szCs w:val="32"/>
          <w:lang w:eastAsia="zh-CN"/>
        </w:rPr>
        <w:t>进一步提高</w:t>
      </w:r>
      <w:r>
        <w:rPr>
          <w:rFonts w:hint="eastAsia" w:ascii="宋体" w:hAnsi="宋体" w:eastAsia="宋体" w:cs="宋体"/>
          <w:color w:val="auto"/>
          <w:sz w:val="32"/>
          <w:szCs w:val="32"/>
        </w:rPr>
        <w:t>自身</w:t>
      </w:r>
      <w:r>
        <w:rPr>
          <w:rFonts w:hint="eastAsia" w:ascii="宋体" w:hAnsi="宋体" w:eastAsia="宋体" w:cs="宋体"/>
          <w:color w:val="auto"/>
          <w:sz w:val="32"/>
          <w:szCs w:val="32"/>
          <w:lang w:eastAsia="zh-CN"/>
        </w:rPr>
        <w:t>执法业务能力水平</w:t>
      </w:r>
      <w:r>
        <w:rPr>
          <w:rFonts w:hint="eastAsia" w:ascii="宋体" w:hAnsi="宋体" w:eastAsia="宋体" w:cs="宋体"/>
          <w:color w:val="auto"/>
          <w:sz w:val="32"/>
          <w:szCs w:val="32"/>
        </w:rPr>
        <w:t>；三是</w:t>
      </w:r>
      <w:r>
        <w:rPr>
          <w:rFonts w:hint="eastAsia" w:ascii="宋体" w:hAnsi="宋体" w:eastAsia="宋体" w:cs="宋体"/>
          <w:color w:val="auto"/>
          <w:sz w:val="32"/>
          <w:szCs w:val="32"/>
          <w:lang w:eastAsia="zh-CN"/>
        </w:rPr>
        <w:t>积极</w:t>
      </w:r>
      <w:r>
        <w:rPr>
          <w:rFonts w:hint="eastAsia" w:ascii="宋体" w:hAnsi="宋体" w:eastAsia="宋体" w:cs="宋体"/>
          <w:color w:val="auto"/>
          <w:sz w:val="32"/>
          <w:szCs w:val="32"/>
        </w:rPr>
        <w:t>开展《宪法》</w:t>
      </w:r>
      <w:r>
        <w:rPr>
          <w:rFonts w:hint="eastAsia" w:ascii="宋体" w:hAnsi="宋体" w:eastAsia="宋体" w:cs="宋体"/>
          <w:color w:val="auto"/>
          <w:sz w:val="32"/>
          <w:szCs w:val="32"/>
          <w:lang w:eastAsia="zh-CN"/>
        </w:rPr>
        <w:t>、《民法典》</w:t>
      </w:r>
      <w:r>
        <w:rPr>
          <w:rFonts w:hint="eastAsia" w:ascii="宋体" w:hAnsi="宋体" w:eastAsia="宋体" w:cs="宋体"/>
          <w:color w:val="auto"/>
          <w:sz w:val="32"/>
          <w:szCs w:val="32"/>
        </w:rPr>
        <w:t>大学习，提升</w:t>
      </w:r>
      <w:r>
        <w:rPr>
          <w:rFonts w:hint="eastAsia" w:ascii="宋体" w:hAnsi="宋体" w:eastAsia="宋体" w:cs="宋体"/>
          <w:color w:val="auto"/>
          <w:sz w:val="32"/>
          <w:szCs w:val="32"/>
          <w:lang w:eastAsia="zh-CN"/>
        </w:rPr>
        <w:t>干部职工法律意识</w:t>
      </w:r>
      <w:r>
        <w:rPr>
          <w:rFonts w:hint="eastAsia" w:ascii="宋体" w:hAnsi="宋体" w:eastAsia="宋体" w:cs="宋体"/>
          <w:color w:val="auto"/>
          <w:sz w:val="32"/>
          <w:szCs w:val="32"/>
        </w:rPr>
        <w:t>水平；四是</w:t>
      </w:r>
      <w:r>
        <w:rPr>
          <w:rFonts w:hint="eastAsia" w:ascii="宋体" w:hAnsi="宋体" w:eastAsia="宋体" w:cs="宋体"/>
          <w:color w:val="auto"/>
          <w:sz w:val="32"/>
          <w:szCs w:val="32"/>
          <w:lang w:eastAsia="zh-CN"/>
        </w:rPr>
        <w:t>通过</w:t>
      </w:r>
      <w:r>
        <w:rPr>
          <w:rFonts w:hint="eastAsia" w:ascii="宋体" w:hAnsi="宋体" w:eastAsia="宋体" w:cs="宋体"/>
          <w:color w:val="auto"/>
          <w:sz w:val="32"/>
          <w:szCs w:val="32"/>
        </w:rPr>
        <w:t>观看《蒙尘的初心》</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《越界》等警示教育片</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警示党员干部</w:t>
      </w:r>
      <w:r>
        <w:rPr>
          <w:rFonts w:hint="eastAsia" w:ascii="宋体" w:hAnsi="宋体" w:eastAsia="宋体" w:cs="宋体"/>
          <w:color w:val="auto"/>
          <w:sz w:val="32"/>
          <w:szCs w:val="32"/>
          <w:lang w:eastAsia="zh-CN"/>
        </w:rPr>
        <w:t>职工要</w:t>
      </w:r>
      <w:r>
        <w:rPr>
          <w:rFonts w:hint="eastAsia" w:ascii="宋体" w:hAnsi="宋体" w:eastAsia="宋体" w:cs="宋体"/>
          <w:color w:val="auto"/>
          <w:sz w:val="32"/>
          <w:szCs w:val="32"/>
        </w:rPr>
        <w:t>理清</w:t>
      </w:r>
      <w:r>
        <w:rPr>
          <w:rFonts w:hint="eastAsia" w:ascii="宋体" w:hAnsi="宋体" w:eastAsia="宋体" w:cs="宋体"/>
          <w:color w:val="auto"/>
          <w:sz w:val="32"/>
          <w:szCs w:val="32"/>
          <w:lang w:eastAsia="zh-CN"/>
        </w:rPr>
        <w:t>政</w:t>
      </w:r>
      <w:r>
        <w:rPr>
          <w:rFonts w:hint="eastAsia" w:ascii="宋体" w:hAnsi="宋体" w:eastAsia="宋体" w:cs="宋体"/>
          <w:color w:val="auto"/>
          <w:sz w:val="32"/>
          <w:szCs w:val="32"/>
        </w:rPr>
        <w:t>商关系，廉洁从政。</w:t>
      </w:r>
    </w:p>
    <w:p>
      <w:pPr>
        <w:tabs>
          <w:tab w:val="left" w:pos="1002"/>
        </w:tabs>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加强培训，提高安全防范意</w:t>
      </w:r>
      <w:r>
        <w:rPr>
          <w:rFonts w:hint="eastAsia" w:ascii="宋体" w:hAnsi="宋体" w:eastAsia="宋体" w:cs="宋体"/>
          <w:color w:val="auto"/>
          <w:sz w:val="32"/>
          <w:szCs w:val="32"/>
          <w:lang w:eastAsia="zh-CN"/>
        </w:rPr>
        <w:t>识</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一是我处4月27</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28日</w:t>
      </w:r>
      <w:r>
        <w:rPr>
          <w:rFonts w:hint="eastAsia" w:ascii="宋体" w:hAnsi="宋体" w:eastAsia="宋体" w:cs="宋体"/>
          <w:color w:val="auto"/>
          <w:sz w:val="32"/>
          <w:szCs w:val="32"/>
        </w:rPr>
        <w:t>组织辖区</w:t>
      </w:r>
      <w:r>
        <w:rPr>
          <w:rFonts w:hint="eastAsia" w:ascii="宋体" w:hAnsi="宋体" w:eastAsia="宋体" w:cs="宋体"/>
          <w:color w:val="auto"/>
          <w:sz w:val="32"/>
          <w:szCs w:val="32"/>
          <w:lang w:val="en-US" w:eastAsia="zh-CN"/>
        </w:rPr>
        <w:t>35</w:t>
      </w:r>
      <w:r>
        <w:rPr>
          <w:rFonts w:hint="eastAsia" w:ascii="宋体" w:hAnsi="宋体" w:eastAsia="宋体" w:cs="宋体"/>
          <w:color w:val="auto"/>
          <w:sz w:val="32"/>
          <w:szCs w:val="32"/>
        </w:rPr>
        <w:t>名持证船员和签单员开展</w:t>
      </w:r>
      <w:r>
        <w:rPr>
          <w:rFonts w:hint="eastAsia" w:ascii="宋体" w:hAnsi="宋体" w:eastAsia="宋体" w:cs="宋体"/>
          <w:color w:val="auto"/>
          <w:sz w:val="32"/>
          <w:szCs w:val="32"/>
          <w:lang w:eastAsia="zh-CN"/>
        </w:rPr>
        <w:t>集中</w:t>
      </w:r>
      <w:r>
        <w:rPr>
          <w:rFonts w:hint="eastAsia" w:ascii="宋体" w:hAnsi="宋体" w:eastAsia="宋体" w:cs="宋体"/>
          <w:color w:val="auto"/>
          <w:sz w:val="32"/>
          <w:szCs w:val="32"/>
        </w:rPr>
        <w:t>安全教育培训；二是到</w:t>
      </w:r>
      <w:r>
        <w:rPr>
          <w:rFonts w:hint="eastAsia" w:ascii="宋体" w:hAnsi="宋体" w:eastAsia="宋体" w:cs="宋体"/>
          <w:color w:val="auto"/>
          <w:sz w:val="32"/>
          <w:szCs w:val="32"/>
          <w:lang w:eastAsia="zh-CN"/>
        </w:rPr>
        <w:t>广元市轮船股份有限公司</w:t>
      </w:r>
      <w:r>
        <w:rPr>
          <w:rFonts w:hint="eastAsia" w:ascii="宋体" w:hAnsi="宋体" w:eastAsia="宋体" w:cs="宋体"/>
          <w:color w:val="auto"/>
          <w:sz w:val="32"/>
          <w:szCs w:val="32"/>
        </w:rPr>
        <w:t>开展了</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水上交通安全知识进企业</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活动，组织企业船员、签单员学习乘船安全常识，</w:t>
      </w:r>
      <w:r>
        <w:rPr>
          <w:rFonts w:hint="eastAsia" w:ascii="宋体" w:hAnsi="宋体" w:eastAsia="宋体" w:cs="宋体"/>
          <w:color w:val="auto"/>
          <w:sz w:val="32"/>
          <w:szCs w:val="32"/>
          <w:lang w:eastAsia="zh-CN"/>
        </w:rPr>
        <w:t>现场示范</w:t>
      </w:r>
      <w:r>
        <w:rPr>
          <w:rFonts w:hint="eastAsia" w:ascii="宋体" w:hAnsi="宋体" w:eastAsia="宋体" w:cs="宋体"/>
          <w:color w:val="auto"/>
          <w:sz w:val="32"/>
          <w:szCs w:val="32"/>
        </w:rPr>
        <w:t>如何正确穿戴救生衣、如何正确使用救生浮具等</w:t>
      </w:r>
      <w:r>
        <w:rPr>
          <w:rFonts w:hint="eastAsia" w:ascii="宋体" w:hAnsi="宋体" w:eastAsia="宋体" w:cs="宋体"/>
          <w:color w:val="auto"/>
          <w:sz w:val="32"/>
          <w:szCs w:val="32"/>
          <w:lang w:eastAsia="zh-CN"/>
        </w:rPr>
        <w:t>知识</w:t>
      </w:r>
      <w:r>
        <w:rPr>
          <w:rFonts w:hint="eastAsia" w:ascii="宋体" w:hAnsi="宋体" w:eastAsia="宋体" w:cs="宋体"/>
          <w:color w:val="auto"/>
          <w:sz w:val="32"/>
          <w:szCs w:val="32"/>
        </w:rPr>
        <w:t>，提高了船员、签单员水上交通安全自我保护意识，达到了良好的宣传效果；三是扎实开展安全生产月活动，</w:t>
      </w:r>
      <w:r>
        <w:rPr>
          <w:rFonts w:hint="eastAsia" w:ascii="宋体" w:hAnsi="宋体" w:eastAsia="宋体" w:cs="宋体"/>
          <w:color w:val="auto"/>
          <w:sz w:val="32"/>
          <w:szCs w:val="32"/>
          <w:shd w:val="clear" w:color="auto" w:fill="auto"/>
        </w:rPr>
        <w:t>6月</w:t>
      </w:r>
      <w:r>
        <w:rPr>
          <w:rFonts w:hint="eastAsia" w:ascii="宋体" w:hAnsi="宋体" w:eastAsia="宋体" w:cs="宋体"/>
          <w:color w:val="auto"/>
          <w:sz w:val="32"/>
          <w:szCs w:val="32"/>
          <w:shd w:val="clear" w:color="auto" w:fill="auto"/>
          <w:lang w:val="en-US" w:eastAsia="zh-CN"/>
        </w:rPr>
        <w:t>12</w:t>
      </w:r>
      <w:r>
        <w:rPr>
          <w:rFonts w:hint="eastAsia" w:ascii="宋体" w:hAnsi="宋体" w:eastAsia="宋体" w:cs="宋体"/>
          <w:color w:val="auto"/>
          <w:sz w:val="32"/>
          <w:szCs w:val="32"/>
          <w:shd w:val="clear" w:color="auto" w:fill="auto"/>
        </w:rPr>
        <w:t>日</w:t>
      </w:r>
      <w:r>
        <w:rPr>
          <w:rFonts w:hint="eastAsia" w:ascii="宋体" w:hAnsi="宋体" w:eastAsia="宋体" w:cs="宋体"/>
          <w:color w:val="auto"/>
          <w:sz w:val="32"/>
          <w:szCs w:val="32"/>
          <w:shd w:val="clear" w:color="auto" w:fill="auto"/>
          <w:lang w:eastAsia="zh-CN"/>
        </w:rPr>
        <w:t>制订《</w:t>
      </w:r>
      <w:r>
        <w:rPr>
          <w:rFonts w:hint="eastAsia" w:ascii="宋体" w:hAnsi="宋体" w:eastAsia="宋体" w:cs="宋体"/>
          <w:color w:val="auto"/>
          <w:sz w:val="32"/>
          <w:shd w:val="clear" w:color="auto" w:fill="auto"/>
        </w:rPr>
        <w:t>关于开展2020年区</w:t>
      </w:r>
      <w:r>
        <w:rPr>
          <w:rFonts w:hint="eastAsia" w:ascii="宋体" w:hAnsi="宋体" w:eastAsia="宋体" w:cs="宋体"/>
          <w:color w:val="auto"/>
          <w:sz w:val="32"/>
          <w:shd w:val="clear" w:color="auto" w:fill="auto"/>
          <w:lang w:eastAsia="zh-CN"/>
        </w:rPr>
        <w:t>‘</w:t>
      </w:r>
      <w:r>
        <w:rPr>
          <w:rFonts w:hint="eastAsia" w:ascii="宋体" w:hAnsi="宋体" w:eastAsia="宋体" w:cs="宋体"/>
          <w:color w:val="auto"/>
          <w:sz w:val="32"/>
          <w:shd w:val="clear" w:color="auto" w:fill="auto"/>
        </w:rPr>
        <w:t>安全生产月</w:t>
      </w:r>
      <w:r>
        <w:rPr>
          <w:rFonts w:hint="eastAsia" w:ascii="宋体" w:hAnsi="宋体" w:eastAsia="宋体" w:cs="宋体"/>
          <w:color w:val="auto"/>
          <w:sz w:val="32"/>
          <w:shd w:val="clear" w:color="auto" w:fill="auto"/>
          <w:lang w:eastAsia="zh-CN"/>
        </w:rPr>
        <w:t>’</w:t>
      </w:r>
      <w:r>
        <w:rPr>
          <w:rFonts w:hint="eastAsia" w:ascii="宋体" w:hAnsi="宋体" w:eastAsia="宋体" w:cs="宋体"/>
          <w:color w:val="auto"/>
          <w:sz w:val="32"/>
          <w:shd w:val="clear" w:color="auto" w:fill="auto"/>
        </w:rPr>
        <w:t>活动实施方案的通知</w:t>
      </w:r>
      <w:r>
        <w:rPr>
          <w:rFonts w:hint="eastAsia" w:ascii="宋体" w:hAnsi="宋体" w:eastAsia="宋体" w:cs="宋体"/>
          <w:color w:val="auto"/>
          <w:sz w:val="32"/>
          <w:shd w:val="clear" w:color="auto" w:fill="auto"/>
          <w:lang w:eastAsia="zh-CN"/>
        </w:rPr>
        <w:t>》</w:t>
      </w:r>
      <w:r>
        <w:rPr>
          <w:rFonts w:hint="eastAsia" w:ascii="宋体" w:hAnsi="宋体" w:eastAsia="宋体" w:cs="宋体"/>
          <w:color w:val="auto"/>
          <w:sz w:val="32"/>
          <w:szCs w:val="32"/>
          <w:shd w:val="clear" w:color="auto" w:fill="auto"/>
          <w:lang w:eastAsia="zh-CN"/>
        </w:rPr>
        <w:t>文件并下发</w:t>
      </w:r>
      <w:r>
        <w:rPr>
          <w:rFonts w:hint="eastAsia" w:ascii="宋体" w:hAnsi="宋体" w:eastAsia="宋体" w:cs="宋体"/>
          <w:color w:val="auto"/>
          <w:sz w:val="32"/>
          <w:shd w:val="clear" w:color="auto" w:fill="auto"/>
        </w:rPr>
        <w:t>各</w:t>
      </w:r>
      <w:r>
        <w:rPr>
          <w:rFonts w:hint="eastAsia" w:ascii="宋体" w:hAnsi="宋体" w:eastAsia="宋体" w:cs="宋体"/>
          <w:color w:val="auto"/>
          <w:sz w:val="32"/>
          <w:shd w:val="clear" w:color="auto" w:fill="auto"/>
          <w:lang w:eastAsia="zh-CN"/>
        </w:rPr>
        <w:t>有关</w:t>
      </w:r>
      <w:r>
        <w:rPr>
          <w:rFonts w:hint="eastAsia" w:ascii="宋体" w:hAnsi="宋体" w:eastAsia="宋体" w:cs="宋体"/>
          <w:color w:val="auto"/>
          <w:sz w:val="32"/>
          <w:shd w:val="clear" w:color="auto" w:fill="auto"/>
        </w:rPr>
        <w:t>乡镇（街道）、航运企业</w:t>
      </w:r>
      <w:r>
        <w:rPr>
          <w:rFonts w:hint="eastAsia" w:ascii="宋体" w:hAnsi="宋体" w:eastAsia="宋体" w:cs="宋体"/>
          <w:color w:val="auto"/>
          <w:sz w:val="32"/>
          <w:szCs w:val="32"/>
          <w:shd w:val="clear" w:color="auto" w:fill="auto"/>
        </w:rPr>
        <w:t>，</w:t>
      </w:r>
      <w:r>
        <w:rPr>
          <w:rFonts w:hint="eastAsia" w:ascii="宋体" w:hAnsi="宋体" w:eastAsia="宋体" w:cs="宋体"/>
          <w:color w:val="auto"/>
          <w:sz w:val="32"/>
          <w:szCs w:val="32"/>
        </w:rPr>
        <w:t>6月</w:t>
      </w:r>
      <w:r>
        <w:rPr>
          <w:rFonts w:hint="eastAsia" w:ascii="宋体" w:hAnsi="宋体" w:eastAsia="宋体" w:cs="宋体"/>
          <w:color w:val="auto"/>
          <w:sz w:val="32"/>
          <w:szCs w:val="32"/>
          <w:lang w:val="en-US" w:eastAsia="zh-CN"/>
        </w:rPr>
        <w:t>18</w:t>
      </w:r>
      <w:r>
        <w:rPr>
          <w:rFonts w:hint="eastAsia" w:ascii="宋体" w:hAnsi="宋体" w:eastAsia="宋体" w:cs="宋体"/>
          <w:color w:val="auto"/>
          <w:sz w:val="32"/>
          <w:szCs w:val="32"/>
        </w:rPr>
        <w:t>日海事执法人员</w:t>
      </w:r>
      <w:r>
        <w:rPr>
          <w:rFonts w:hint="eastAsia" w:ascii="宋体" w:hAnsi="宋体" w:eastAsia="宋体" w:cs="宋体"/>
          <w:color w:val="auto"/>
          <w:sz w:val="32"/>
          <w:szCs w:val="32"/>
          <w:lang w:eastAsia="zh-CN"/>
        </w:rPr>
        <w:t>参与</w:t>
      </w:r>
      <w:r>
        <w:rPr>
          <w:rFonts w:hint="eastAsia" w:ascii="宋体" w:hAnsi="宋体" w:eastAsia="宋体" w:cs="宋体"/>
          <w:color w:val="auto"/>
          <w:position w:val="0"/>
          <w:sz w:val="32"/>
          <w:szCs w:val="32"/>
        </w:rPr>
        <w:t>广元市安委会与利州区安委会联合在利州区图腾广场举行</w:t>
      </w:r>
      <w:r>
        <w:rPr>
          <w:rFonts w:hint="eastAsia" w:ascii="宋体" w:hAnsi="宋体" w:eastAsia="宋体" w:cs="宋体"/>
          <w:color w:val="auto"/>
          <w:position w:val="0"/>
          <w:sz w:val="32"/>
          <w:szCs w:val="32"/>
          <w:lang w:eastAsia="zh-CN"/>
        </w:rPr>
        <w:t>的</w:t>
      </w:r>
      <w:r>
        <w:rPr>
          <w:rFonts w:hint="eastAsia" w:ascii="宋体" w:hAnsi="宋体" w:eastAsia="宋体" w:cs="宋体"/>
          <w:color w:val="auto"/>
          <w:position w:val="0"/>
          <w:sz w:val="32"/>
          <w:szCs w:val="32"/>
        </w:rPr>
        <w:t>“安全宣传咨询日”活动</w:t>
      </w:r>
      <w:r>
        <w:rPr>
          <w:rFonts w:hint="eastAsia" w:ascii="宋体" w:hAnsi="宋体" w:eastAsia="宋体" w:cs="宋体"/>
          <w:color w:val="auto"/>
          <w:position w:val="0"/>
          <w:sz w:val="32"/>
          <w:szCs w:val="32"/>
          <w:lang w:eastAsia="zh-CN"/>
        </w:rPr>
        <w:t>，向广大市民</w:t>
      </w:r>
      <w:r>
        <w:rPr>
          <w:rFonts w:hint="eastAsia" w:ascii="宋体" w:hAnsi="宋体" w:eastAsia="宋体" w:cs="宋体"/>
          <w:color w:val="auto"/>
          <w:position w:val="0"/>
          <w:sz w:val="32"/>
          <w:szCs w:val="32"/>
        </w:rPr>
        <w:t>宣传资料</w:t>
      </w:r>
      <w:r>
        <w:rPr>
          <w:rFonts w:hint="eastAsia" w:ascii="宋体" w:hAnsi="宋体" w:eastAsia="宋体" w:cs="宋体"/>
          <w:color w:val="auto"/>
          <w:position w:val="0"/>
          <w:sz w:val="32"/>
          <w:szCs w:val="32"/>
          <w:lang w:val="en-US" w:eastAsia="zh-CN"/>
        </w:rPr>
        <w:t>500</w:t>
      </w:r>
      <w:r>
        <w:rPr>
          <w:rFonts w:hint="eastAsia" w:ascii="宋体" w:hAnsi="宋体" w:eastAsia="宋体" w:cs="宋体"/>
          <w:color w:val="auto"/>
          <w:position w:val="0"/>
          <w:sz w:val="32"/>
          <w:szCs w:val="32"/>
        </w:rPr>
        <w:t>余份，接受群众咨询10余人次。</w:t>
      </w:r>
      <w:r>
        <w:rPr>
          <w:rFonts w:hint="eastAsia" w:ascii="宋体" w:hAnsi="宋体" w:eastAsia="宋体" w:cs="宋体"/>
          <w:color w:val="auto"/>
          <w:position w:val="0"/>
          <w:sz w:val="32"/>
          <w:szCs w:val="32"/>
          <w:lang w:eastAsia="zh-CN"/>
        </w:rPr>
        <w:t>四是结合水上交通安全工作实际，</w:t>
      </w:r>
      <w:r>
        <w:rPr>
          <w:rFonts w:hint="eastAsia" w:ascii="宋体" w:hAnsi="宋体" w:eastAsia="宋体" w:cs="宋体"/>
          <w:color w:val="auto"/>
          <w:sz w:val="32"/>
          <w:szCs w:val="32"/>
          <w:lang w:eastAsia="zh-CN"/>
        </w:rPr>
        <w:t>制作</w:t>
      </w:r>
      <w:r>
        <w:rPr>
          <w:rFonts w:hint="eastAsia" w:ascii="宋体" w:hAnsi="宋体" w:eastAsia="宋体" w:cs="宋体"/>
          <w:color w:val="auto"/>
          <w:sz w:val="32"/>
          <w:szCs w:val="32"/>
          <w:lang w:val="en-US" w:eastAsia="zh-CN"/>
        </w:rPr>
        <w:t>LED</w:t>
      </w:r>
      <w:r>
        <w:rPr>
          <w:rFonts w:hint="eastAsia" w:ascii="宋体" w:hAnsi="宋体" w:eastAsia="宋体" w:cs="宋体"/>
          <w:color w:val="auto"/>
          <w:sz w:val="32"/>
          <w:szCs w:val="32"/>
        </w:rPr>
        <w:t>电子</w:t>
      </w:r>
      <w:r>
        <w:rPr>
          <w:rFonts w:hint="eastAsia" w:ascii="宋体" w:hAnsi="宋体" w:eastAsia="宋体" w:cs="宋体"/>
          <w:color w:val="auto"/>
          <w:sz w:val="32"/>
          <w:szCs w:val="32"/>
          <w:lang w:eastAsia="zh-CN"/>
        </w:rPr>
        <w:t>显示</w:t>
      </w:r>
      <w:r>
        <w:rPr>
          <w:rFonts w:hint="eastAsia" w:ascii="宋体" w:hAnsi="宋体" w:eastAsia="宋体" w:cs="宋体"/>
          <w:color w:val="auto"/>
          <w:sz w:val="32"/>
          <w:szCs w:val="32"/>
        </w:rPr>
        <w:t>屏标</w:t>
      </w:r>
      <w:r>
        <w:rPr>
          <w:rFonts w:hint="eastAsia" w:ascii="宋体" w:hAnsi="宋体" w:eastAsia="宋体" w:cs="宋体"/>
          <w:color w:val="auto"/>
          <w:sz w:val="32"/>
          <w:szCs w:val="32"/>
          <w:lang w:eastAsia="zh-CN"/>
        </w:rPr>
        <w:t>语</w:t>
      </w:r>
      <w:r>
        <w:rPr>
          <w:rFonts w:hint="eastAsia" w:ascii="宋体" w:hAnsi="宋体" w:eastAsia="宋体" w:cs="宋体"/>
          <w:color w:val="auto"/>
          <w:sz w:val="32"/>
          <w:szCs w:val="32"/>
          <w:lang w:val="en-US" w:eastAsia="zh-CN"/>
        </w:rPr>
        <w:t>60</w:t>
      </w:r>
      <w:r>
        <w:rPr>
          <w:rFonts w:hint="eastAsia" w:ascii="宋体" w:hAnsi="宋体" w:eastAsia="宋体" w:cs="宋体"/>
          <w:color w:val="auto"/>
          <w:sz w:val="32"/>
          <w:szCs w:val="32"/>
        </w:rPr>
        <w:t>余幅</w:t>
      </w:r>
      <w:r>
        <w:rPr>
          <w:rFonts w:hint="eastAsia" w:ascii="宋体" w:hAnsi="宋体" w:eastAsia="宋体" w:cs="宋体"/>
          <w:color w:val="auto"/>
          <w:sz w:val="32"/>
          <w:szCs w:val="32"/>
          <w:lang w:eastAsia="zh-CN"/>
        </w:rPr>
        <w:t>，提高了广大群众对水上交通安全意识知晓度</w:t>
      </w:r>
      <w:r>
        <w:rPr>
          <w:rFonts w:hint="eastAsia" w:ascii="宋体" w:hAnsi="宋体" w:eastAsia="宋体" w:cs="宋体"/>
          <w:color w:val="auto"/>
          <w:sz w:val="32"/>
          <w:szCs w:val="32"/>
        </w:rPr>
        <w:t>。</w:t>
      </w:r>
    </w:p>
    <w:p>
      <w:pPr>
        <w:tabs>
          <w:tab w:val="left" w:pos="1002"/>
        </w:tabs>
        <w:ind w:firstLine="627" w:firstLineChars="196"/>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3、</w:t>
      </w:r>
      <w:r>
        <w:rPr>
          <w:rFonts w:hint="eastAsia" w:ascii="宋体" w:hAnsi="宋体" w:eastAsia="宋体" w:cs="宋体"/>
          <w:bCs/>
          <w:color w:val="auto"/>
          <w:sz w:val="32"/>
          <w:szCs w:val="32"/>
        </w:rPr>
        <w:t>加强</w:t>
      </w:r>
      <w:r>
        <w:rPr>
          <w:rFonts w:hint="eastAsia" w:ascii="宋体" w:hAnsi="宋体" w:eastAsia="宋体" w:cs="宋体"/>
          <w:bCs/>
          <w:color w:val="auto"/>
          <w:sz w:val="32"/>
          <w:szCs w:val="32"/>
          <w:lang w:eastAsia="zh-CN"/>
        </w:rPr>
        <w:t>日常</w:t>
      </w:r>
      <w:r>
        <w:rPr>
          <w:rFonts w:hint="eastAsia" w:ascii="宋体" w:hAnsi="宋体" w:eastAsia="宋体" w:cs="宋体"/>
          <w:bCs/>
          <w:color w:val="auto"/>
          <w:sz w:val="32"/>
          <w:szCs w:val="32"/>
        </w:rPr>
        <w:t>监管，圆满完成工作任务</w:t>
      </w:r>
    </w:p>
    <w:p>
      <w:pPr>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一是精心制订水上安全预警应急预案。制定了《广元市</w:t>
      </w:r>
      <w:r>
        <w:rPr>
          <w:rFonts w:hint="eastAsia" w:ascii="宋体" w:hAnsi="宋体" w:eastAsia="宋体" w:cs="宋体"/>
          <w:color w:val="auto"/>
          <w:sz w:val="32"/>
          <w:szCs w:val="32"/>
          <w:lang w:eastAsia="zh-CN"/>
        </w:rPr>
        <w:t>利州区</w:t>
      </w:r>
      <w:r>
        <w:rPr>
          <w:rFonts w:hint="eastAsia" w:ascii="宋体" w:hAnsi="宋体" w:eastAsia="宋体" w:cs="宋体"/>
          <w:color w:val="auto"/>
          <w:sz w:val="32"/>
          <w:szCs w:val="32"/>
        </w:rPr>
        <w:t>水上交通行业应对新型冠状病毒肺炎疫情应急预案》</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shd w:val="clear" w:color="auto" w:fill="auto"/>
        </w:rPr>
        <w:t>《20</w:t>
      </w:r>
      <w:r>
        <w:rPr>
          <w:rFonts w:hint="eastAsia" w:ascii="宋体" w:hAnsi="宋体" w:eastAsia="宋体" w:cs="宋体"/>
          <w:color w:val="auto"/>
          <w:sz w:val="32"/>
          <w:szCs w:val="32"/>
          <w:shd w:val="clear" w:color="auto" w:fill="auto"/>
          <w:lang w:val="en-US" w:eastAsia="zh-CN"/>
        </w:rPr>
        <w:t>20</w:t>
      </w:r>
      <w:r>
        <w:rPr>
          <w:rFonts w:hint="eastAsia" w:ascii="宋体" w:hAnsi="宋体" w:eastAsia="宋体" w:cs="宋体"/>
          <w:color w:val="auto"/>
          <w:sz w:val="32"/>
          <w:szCs w:val="32"/>
          <w:shd w:val="clear" w:color="auto" w:fill="auto"/>
        </w:rPr>
        <w:t>年冰冻雨雪灾害天气水上运输应急救援预案》、</w:t>
      </w:r>
      <w:r>
        <w:rPr>
          <w:rFonts w:hint="eastAsia" w:ascii="宋体" w:hAnsi="宋体" w:eastAsia="宋体" w:cs="宋体"/>
          <w:color w:val="auto"/>
          <w:sz w:val="32"/>
          <w:szCs w:val="32"/>
        </w:rPr>
        <w:t>《20</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年春运水路交通应急预案》</w:t>
      </w:r>
      <w:r>
        <w:rPr>
          <w:rFonts w:hint="eastAsia" w:ascii="宋体" w:hAnsi="宋体" w:eastAsia="宋体" w:cs="宋体"/>
          <w:b w:val="0"/>
          <w:bCs w:val="0"/>
          <w:color w:val="auto"/>
          <w:sz w:val="32"/>
          <w:szCs w:val="32"/>
          <w:shd w:val="clear" w:color="auto" w:fill="auto"/>
        </w:rPr>
        <w:t>、</w:t>
      </w:r>
      <w:r>
        <w:rPr>
          <w:rFonts w:hint="eastAsia" w:ascii="宋体" w:hAnsi="宋体" w:eastAsia="宋体" w:cs="宋体"/>
          <w:b w:val="0"/>
          <w:bCs w:val="0"/>
          <w:color w:val="auto"/>
          <w:sz w:val="32"/>
          <w:szCs w:val="32"/>
          <w:shd w:val="clear" w:color="auto" w:fill="auto"/>
          <w:lang w:eastAsia="zh-CN"/>
        </w:rPr>
        <w:t>《</w:t>
      </w:r>
      <w:r>
        <w:rPr>
          <w:rFonts w:hint="eastAsia" w:ascii="宋体" w:hAnsi="宋体" w:eastAsia="宋体" w:cs="宋体"/>
          <w:b w:val="0"/>
          <w:bCs w:val="0"/>
          <w:color w:val="auto"/>
          <w:sz w:val="32"/>
          <w:szCs w:val="32"/>
        </w:rPr>
        <w:t>船舶污染事故应急处置预案</w:t>
      </w:r>
      <w:r>
        <w:rPr>
          <w:rFonts w:hint="eastAsia" w:ascii="宋体" w:hAnsi="宋体" w:eastAsia="宋体" w:cs="宋体"/>
          <w:b w:val="0"/>
          <w:bCs w:val="0"/>
          <w:color w:val="auto"/>
          <w:sz w:val="32"/>
          <w:szCs w:val="32"/>
          <w:lang w:eastAsia="zh-CN"/>
        </w:rPr>
        <w:t>》、</w:t>
      </w:r>
      <w:r>
        <w:rPr>
          <w:rFonts w:hint="eastAsia" w:ascii="宋体" w:hAnsi="宋体" w:eastAsia="宋体" w:cs="宋体"/>
          <w:color w:val="auto"/>
          <w:sz w:val="32"/>
          <w:szCs w:val="32"/>
          <w:shd w:val="clear" w:color="auto" w:fill="auto"/>
        </w:rPr>
        <w:t>《</w:t>
      </w:r>
      <w:r>
        <w:rPr>
          <w:rFonts w:hint="eastAsia" w:ascii="宋体" w:hAnsi="宋体" w:eastAsia="宋体" w:cs="宋体"/>
          <w:color w:val="auto"/>
          <w:sz w:val="32"/>
          <w:szCs w:val="32"/>
          <w:shd w:val="clear" w:color="auto" w:fill="auto"/>
          <w:lang w:val="en-US" w:eastAsia="zh-CN"/>
        </w:rPr>
        <w:t>2020年</w:t>
      </w:r>
      <w:r>
        <w:rPr>
          <w:rFonts w:hint="eastAsia" w:ascii="宋体" w:hAnsi="宋体" w:eastAsia="宋体" w:cs="宋体"/>
          <w:color w:val="auto"/>
          <w:sz w:val="32"/>
          <w:szCs w:val="32"/>
          <w:shd w:val="clear" w:color="auto" w:fill="auto"/>
        </w:rPr>
        <w:t>趸船防汛工作预案》、</w:t>
      </w:r>
      <w:r>
        <w:rPr>
          <w:rFonts w:hint="eastAsia" w:ascii="宋体" w:hAnsi="宋体" w:eastAsia="宋体" w:cs="宋体"/>
          <w:bCs/>
          <w:color w:val="auto"/>
          <w:sz w:val="32"/>
          <w:szCs w:val="32"/>
          <w:shd w:val="clear" w:color="auto" w:fill="auto"/>
        </w:rPr>
        <w:t>《20</w:t>
      </w:r>
      <w:r>
        <w:rPr>
          <w:rFonts w:hint="eastAsia" w:ascii="宋体" w:hAnsi="宋体" w:eastAsia="宋体" w:cs="宋体"/>
          <w:bCs/>
          <w:color w:val="auto"/>
          <w:sz w:val="32"/>
          <w:szCs w:val="32"/>
          <w:shd w:val="clear" w:color="auto" w:fill="auto"/>
          <w:lang w:val="en-US" w:eastAsia="zh-CN"/>
        </w:rPr>
        <w:t>20</w:t>
      </w:r>
      <w:r>
        <w:rPr>
          <w:rFonts w:hint="eastAsia" w:ascii="宋体" w:hAnsi="宋体" w:eastAsia="宋体" w:cs="宋体"/>
          <w:bCs/>
          <w:color w:val="auto"/>
          <w:sz w:val="32"/>
          <w:szCs w:val="32"/>
          <w:shd w:val="clear" w:color="auto" w:fill="auto"/>
        </w:rPr>
        <w:t>年全区水上交通防汛抢险应急预案》。</w:t>
      </w:r>
      <w:r>
        <w:rPr>
          <w:rFonts w:hint="eastAsia" w:ascii="宋体" w:hAnsi="宋体" w:eastAsia="宋体" w:cs="宋体"/>
          <w:bCs/>
          <w:color w:val="auto"/>
          <w:sz w:val="32"/>
          <w:szCs w:val="32"/>
        </w:rPr>
        <w:t>二</w:t>
      </w:r>
      <w:r>
        <w:rPr>
          <w:rFonts w:hint="eastAsia" w:ascii="宋体" w:hAnsi="宋体" w:eastAsia="宋体" w:cs="宋体"/>
          <w:bCs/>
          <w:color w:val="auto"/>
          <w:sz w:val="32"/>
          <w:szCs w:val="32"/>
          <w:lang w:eastAsia="zh-CN"/>
        </w:rPr>
        <w:t>是</w:t>
      </w:r>
      <w:r>
        <w:rPr>
          <w:rFonts w:hint="eastAsia" w:ascii="宋体" w:hAnsi="宋体" w:eastAsia="宋体" w:cs="宋体"/>
          <w:color w:val="auto"/>
          <w:sz w:val="32"/>
          <w:szCs w:val="32"/>
          <w:lang w:eastAsia="zh-CN"/>
        </w:rPr>
        <w:t>制定《</w:t>
      </w:r>
      <w:r>
        <w:rPr>
          <w:rFonts w:hint="eastAsia" w:ascii="宋体" w:hAnsi="宋体" w:eastAsia="宋体" w:cs="宋体"/>
          <w:bCs/>
          <w:color w:val="auto"/>
          <w:sz w:val="32"/>
          <w:szCs w:val="32"/>
        </w:rPr>
        <w:t>广元市利州区2020年水上交通“安全生产警示月”活动方案</w:t>
      </w:r>
      <w:r>
        <w:rPr>
          <w:rFonts w:hint="eastAsia" w:ascii="宋体" w:hAnsi="宋体" w:eastAsia="宋体" w:cs="宋体"/>
          <w:bCs/>
          <w:color w:val="auto"/>
          <w:sz w:val="32"/>
          <w:szCs w:val="32"/>
          <w:lang w:eastAsia="zh-CN"/>
        </w:rPr>
        <w:t>》，</w:t>
      </w:r>
      <w:r>
        <w:rPr>
          <w:rFonts w:hint="eastAsia" w:ascii="宋体" w:hAnsi="宋体" w:eastAsia="宋体" w:cs="宋体"/>
          <w:color w:val="auto"/>
          <w:sz w:val="32"/>
          <w:szCs w:val="32"/>
        </w:rPr>
        <w:t>强化监督管理，大安全巡查监督和隐患排查整治的力度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切实开展好</w:t>
      </w:r>
      <w:r>
        <w:rPr>
          <w:rFonts w:hint="eastAsia" w:ascii="宋体" w:hAnsi="宋体" w:eastAsia="宋体" w:cs="宋体"/>
          <w:bCs/>
          <w:color w:val="auto"/>
          <w:sz w:val="32"/>
          <w:szCs w:val="32"/>
          <w:lang w:val="en-US" w:eastAsia="zh-CN"/>
        </w:rPr>
        <w:t>2</w:t>
      </w:r>
      <w:r>
        <w:rPr>
          <w:rFonts w:hint="eastAsia" w:ascii="宋体" w:hAnsi="宋体" w:eastAsia="宋体" w:cs="宋体"/>
          <w:color w:val="auto"/>
          <w:sz w:val="32"/>
          <w:szCs w:val="32"/>
        </w:rPr>
        <w:t>020年全区第十七个“安全生产警示教育月”活动</w:t>
      </w:r>
      <w:r>
        <w:rPr>
          <w:rFonts w:hint="eastAsia" w:ascii="宋体" w:hAnsi="宋体" w:eastAsia="宋体" w:cs="宋体"/>
          <w:color w:val="auto"/>
          <w:sz w:val="32"/>
          <w:szCs w:val="32"/>
          <w:lang w:eastAsia="zh-CN"/>
        </w:rPr>
        <w:t>；</w:t>
      </w:r>
      <w:r>
        <w:rPr>
          <w:rFonts w:hint="eastAsia" w:ascii="宋体" w:hAnsi="宋体" w:eastAsia="宋体" w:cs="宋体"/>
          <w:bCs/>
          <w:color w:val="auto"/>
          <w:sz w:val="32"/>
          <w:szCs w:val="32"/>
          <w:lang w:eastAsia="zh-CN"/>
        </w:rPr>
        <w:t>三</w:t>
      </w:r>
      <w:r>
        <w:rPr>
          <w:rFonts w:hint="eastAsia" w:ascii="宋体" w:hAnsi="宋体" w:eastAsia="宋体" w:cs="宋体"/>
          <w:color w:val="auto"/>
          <w:sz w:val="32"/>
          <w:szCs w:val="32"/>
        </w:rPr>
        <w:t>是</w:t>
      </w:r>
      <w:r>
        <w:rPr>
          <w:rFonts w:hint="eastAsia" w:ascii="宋体" w:hAnsi="宋体" w:eastAsia="宋体" w:cs="宋体"/>
          <w:color w:val="auto"/>
          <w:sz w:val="32"/>
          <w:szCs w:val="32"/>
          <w:lang w:eastAsia="zh-CN"/>
        </w:rPr>
        <w:t>完成船舶及港口污染防治整治工作，建立“一船舶一方案”，“一码头一方案”，</w:t>
      </w:r>
      <w:r>
        <w:rPr>
          <w:rFonts w:hint="eastAsia" w:ascii="宋体" w:hAnsi="宋体" w:eastAsia="宋体" w:cs="宋体"/>
          <w:color w:val="auto"/>
          <w:sz w:val="32"/>
          <w:szCs w:val="32"/>
        </w:rPr>
        <w:t>深入开展为期1年的专项整治，重点解决我区部分船舶防污装置配备不到位和未正常运行，垃圾污水等偷排偷倒入江，</w:t>
      </w:r>
      <w:r>
        <w:rPr>
          <w:rFonts w:hint="eastAsia" w:ascii="宋体" w:hAnsi="宋体" w:eastAsia="宋体" w:cs="宋体"/>
          <w:bCs/>
          <w:color w:val="auto"/>
          <w:sz w:val="32"/>
          <w:szCs w:val="32"/>
        </w:rPr>
        <w:t>港口码头接收船舶污染物设施设备老旧、能力不足，到港船舶污染物转运、处置不畅，港口码头自身环保设施设备不完善</w:t>
      </w:r>
      <w:r>
        <w:rPr>
          <w:rFonts w:hint="eastAsia" w:ascii="宋体" w:hAnsi="宋体" w:eastAsia="宋体" w:cs="宋体"/>
          <w:color w:val="auto"/>
          <w:spacing w:val="-6"/>
          <w:sz w:val="32"/>
          <w:szCs w:val="32"/>
        </w:rPr>
        <w:t>等问题。</w:t>
      </w:r>
      <w:r>
        <w:rPr>
          <w:rFonts w:hint="eastAsia" w:ascii="宋体" w:hAnsi="宋体" w:eastAsia="宋体" w:cs="宋体"/>
          <w:color w:val="auto"/>
          <w:sz w:val="32"/>
          <w:szCs w:val="32"/>
        </w:rPr>
        <w:t>全面完成泊位岸电设施改造任务，进一步提高其他泊位岸电覆盖率和船舶受电设施安装率，并形成长效工作机制。</w:t>
      </w:r>
      <w:r>
        <w:rPr>
          <w:rFonts w:hint="eastAsia" w:ascii="宋体" w:hAnsi="宋体" w:eastAsia="宋体" w:cs="宋体"/>
          <w:color w:val="auto"/>
          <w:sz w:val="32"/>
          <w:szCs w:val="32"/>
          <w:lang w:eastAsia="zh-CN"/>
        </w:rPr>
        <w:t>四是</w:t>
      </w:r>
      <w:r>
        <w:rPr>
          <w:rFonts w:hint="eastAsia" w:ascii="宋体" w:hAnsi="宋体" w:eastAsia="宋体" w:cs="宋体"/>
          <w:color w:val="auto"/>
          <w:sz w:val="32"/>
          <w:szCs w:val="32"/>
        </w:rPr>
        <w:t>加强重点时段</w:t>
      </w:r>
      <w:r>
        <w:rPr>
          <w:rFonts w:hint="eastAsia" w:ascii="宋体" w:hAnsi="宋体" w:eastAsia="宋体" w:cs="宋体"/>
          <w:color w:val="auto"/>
          <w:sz w:val="32"/>
          <w:szCs w:val="32"/>
          <w:lang w:eastAsia="zh-CN"/>
        </w:rPr>
        <w:t>水上交通</w:t>
      </w:r>
      <w:r>
        <w:rPr>
          <w:rFonts w:hint="eastAsia" w:ascii="宋体" w:hAnsi="宋体" w:eastAsia="宋体" w:cs="宋体"/>
          <w:color w:val="auto"/>
          <w:sz w:val="32"/>
          <w:szCs w:val="32"/>
        </w:rPr>
        <w:t>安全监管。我处认真抓好</w:t>
      </w:r>
      <w:r>
        <w:rPr>
          <w:rFonts w:hint="eastAsia" w:ascii="宋体" w:hAnsi="宋体" w:eastAsia="宋体" w:cs="宋体"/>
          <w:color w:val="auto"/>
          <w:sz w:val="32"/>
          <w:szCs w:val="32"/>
          <w:lang w:eastAsia="zh-CN"/>
        </w:rPr>
        <w:t>新冠肺炎疫情防控、</w:t>
      </w:r>
      <w:r>
        <w:rPr>
          <w:rFonts w:hint="eastAsia" w:ascii="宋体" w:hAnsi="宋体" w:eastAsia="宋体" w:cs="宋体"/>
          <w:color w:val="auto"/>
          <w:sz w:val="32"/>
          <w:szCs w:val="32"/>
        </w:rPr>
        <w:t>“非洲猪瘟”管控</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春运、“两会”、“清明”、“五一”和“端午”等重点时段、渡运高峰期、恶劣天气情况下重点船舶、重点航道的水上</w:t>
      </w:r>
      <w:r>
        <w:rPr>
          <w:rFonts w:hint="eastAsia" w:ascii="宋体" w:hAnsi="宋体" w:eastAsia="宋体" w:cs="宋体"/>
          <w:color w:val="auto"/>
          <w:sz w:val="32"/>
          <w:szCs w:val="32"/>
          <w:lang w:eastAsia="zh-CN"/>
        </w:rPr>
        <w:t>交通</w:t>
      </w:r>
      <w:r>
        <w:rPr>
          <w:rFonts w:hint="eastAsia" w:ascii="宋体" w:hAnsi="宋体" w:eastAsia="宋体" w:cs="宋体"/>
          <w:color w:val="auto"/>
          <w:sz w:val="32"/>
          <w:szCs w:val="32"/>
        </w:rPr>
        <w:t>安全监管工作。</w:t>
      </w:r>
      <w:r>
        <w:rPr>
          <w:rFonts w:hint="eastAsia" w:ascii="宋体" w:hAnsi="宋体" w:eastAsia="宋体" w:cs="宋体"/>
          <w:color w:val="auto"/>
          <w:sz w:val="32"/>
          <w:szCs w:val="32"/>
          <w:lang w:eastAsia="zh-CN"/>
        </w:rPr>
        <w:t>全</w:t>
      </w:r>
      <w:r>
        <w:rPr>
          <w:rFonts w:hint="eastAsia" w:ascii="宋体" w:hAnsi="宋体" w:eastAsia="宋体" w:cs="宋体"/>
          <w:color w:val="auto"/>
          <w:sz w:val="32"/>
          <w:szCs w:val="32"/>
        </w:rPr>
        <w:t>年共安全检查5</w:t>
      </w:r>
      <w:r>
        <w:rPr>
          <w:rFonts w:hint="eastAsia" w:ascii="宋体" w:hAnsi="宋体" w:eastAsia="宋体" w:cs="宋体"/>
          <w:color w:val="auto"/>
          <w:sz w:val="32"/>
          <w:szCs w:val="32"/>
          <w:lang w:val="en-US" w:eastAsia="zh-CN"/>
        </w:rPr>
        <w:t>98</w:t>
      </w:r>
      <w:r>
        <w:rPr>
          <w:rFonts w:hint="eastAsia" w:ascii="宋体" w:hAnsi="宋体" w:eastAsia="宋体" w:cs="宋体"/>
          <w:color w:val="auto"/>
          <w:sz w:val="32"/>
          <w:szCs w:val="32"/>
        </w:rPr>
        <w:t>次，出动检查车（艇）</w:t>
      </w:r>
      <w:r>
        <w:rPr>
          <w:rFonts w:hint="eastAsia" w:ascii="宋体" w:hAnsi="宋体" w:eastAsia="宋体" w:cs="宋体"/>
          <w:color w:val="auto"/>
          <w:sz w:val="32"/>
          <w:szCs w:val="32"/>
          <w:lang w:val="en-US" w:eastAsia="zh-CN"/>
        </w:rPr>
        <w:t>1220</w:t>
      </w:r>
      <w:r>
        <w:rPr>
          <w:rFonts w:hint="eastAsia" w:ascii="宋体" w:hAnsi="宋体" w:eastAsia="宋体" w:cs="宋体"/>
          <w:color w:val="auto"/>
          <w:sz w:val="32"/>
          <w:szCs w:val="32"/>
        </w:rPr>
        <w:t>艘次，参加检查人员</w:t>
      </w:r>
      <w:r>
        <w:rPr>
          <w:rFonts w:hint="eastAsia" w:ascii="宋体" w:hAnsi="宋体" w:eastAsia="宋体" w:cs="宋体"/>
          <w:color w:val="auto"/>
          <w:sz w:val="32"/>
          <w:szCs w:val="32"/>
          <w:lang w:val="en-US" w:eastAsia="zh-CN"/>
        </w:rPr>
        <w:t>3200</w:t>
      </w:r>
      <w:r>
        <w:rPr>
          <w:rFonts w:hint="eastAsia" w:ascii="宋体" w:hAnsi="宋体" w:eastAsia="宋体" w:cs="宋体"/>
          <w:color w:val="auto"/>
          <w:sz w:val="32"/>
          <w:szCs w:val="32"/>
        </w:rPr>
        <w:t>人次，检查各类船舶</w:t>
      </w:r>
      <w:r>
        <w:rPr>
          <w:rFonts w:hint="eastAsia" w:ascii="宋体" w:hAnsi="宋体" w:eastAsia="宋体" w:cs="宋体"/>
          <w:color w:val="auto"/>
          <w:sz w:val="32"/>
          <w:szCs w:val="32"/>
          <w:lang w:val="en-US" w:eastAsia="zh-CN"/>
        </w:rPr>
        <w:t>530</w:t>
      </w:r>
      <w:r>
        <w:rPr>
          <w:rFonts w:hint="eastAsia" w:ascii="宋体" w:hAnsi="宋体" w:eastAsia="宋体" w:cs="宋体"/>
          <w:color w:val="auto"/>
          <w:sz w:val="32"/>
          <w:szCs w:val="32"/>
        </w:rPr>
        <w:t>艘次，填制《水上安全隐患整改通知书》6份，现场整改</w:t>
      </w:r>
      <w:r>
        <w:rPr>
          <w:rFonts w:hint="eastAsia" w:ascii="宋体" w:hAnsi="宋体" w:eastAsia="宋体" w:cs="宋体"/>
          <w:color w:val="auto"/>
          <w:sz w:val="32"/>
          <w:szCs w:val="32"/>
          <w:lang w:val="en-US" w:eastAsia="zh-CN"/>
        </w:rPr>
        <w:t>5</w:t>
      </w:r>
      <w:r>
        <w:rPr>
          <w:rFonts w:hint="eastAsia" w:ascii="宋体" w:hAnsi="宋体" w:eastAsia="宋体" w:cs="宋体"/>
          <w:color w:val="auto"/>
          <w:sz w:val="32"/>
          <w:szCs w:val="32"/>
        </w:rPr>
        <w:t>起，跟踪督促整改</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起；规范小型船舶64艘，督促自用船舶办理保险64份；清理浮动设施2处</w:t>
      </w:r>
      <w:r>
        <w:rPr>
          <w:rFonts w:hint="eastAsia" w:ascii="宋体" w:hAnsi="宋体" w:eastAsia="宋体" w:cs="宋体"/>
          <w:color w:val="auto"/>
          <w:sz w:val="32"/>
          <w:szCs w:val="32"/>
          <w:lang w:eastAsia="zh-CN"/>
        </w:rPr>
        <w:t>。</w:t>
      </w:r>
    </w:p>
    <w:p>
      <w:pPr>
        <w:numPr>
          <w:ilvl w:val="0"/>
          <w:numId w:val="0"/>
        </w:num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加强防汛工作，确保</w:t>
      </w:r>
      <w:r>
        <w:rPr>
          <w:rFonts w:hint="eastAsia" w:ascii="宋体" w:hAnsi="宋体" w:eastAsia="宋体" w:cs="宋体"/>
          <w:color w:val="auto"/>
          <w:sz w:val="32"/>
          <w:szCs w:val="32"/>
          <w:lang w:eastAsia="zh-CN"/>
        </w:rPr>
        <w:t>船舶</w:t>
      </w:r>
      <w:r>
        <w:rPr>
          <w:rFonts w:hint="eastAsia" w:ascii="宋体" w:hAnsi="宋体" w:eastAsia="宋体" w:cs="宋体"/>
          <w:color w:val="auto"/>
          <w:sz w:val="32"/>
          <w:szCs w:val="32"/>
        </w:rPr>
        <w:t>安全度汛</w:t>
      </w:r>
    </w:p>
    <w:p>
      <w:pPr>
        <w:tabs>
          <w:tab w:val="left" w:pos="1127"/>
        </w:tabs>
        <w:ind w:firstLine="800" w:firstLineChars="25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一是汛前，我处邀请了市海事局、轮船公司技术人员、船员多次到现场检查，逐船制定单船防汛抢险的应急预案和船舶的移泊方案，严格做到一船一预案</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公布了防汛值班电话（3241555</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18096312395</w:t>
      </w:r>
      <w:r>
        <w:rPr>
          <w:rFonts w:hint="eastAsia" w:ascii="宋体" w:hAnsi="宋体" w:eastAsia="宋体" w:cs="宋体"/>
          <w:color w:val="auto"/>
          <w:sz w:val="32"/>
          <w:szCs w:val="32"/>
        </w:rPr>
        <w:t>）和海事</w:t>
      </w:r>
      <w:r>
        <w:rPr>
          <w:rFonts w:hint="eastAsia" w:ascii="宋体" w:hAnsi="宋体" w:eastAsia="宋体" w:cs="宋体"/>
          <w:color w:val="auto"/>
          <w:sz w:val="32"/>
          <w:szCs w:val="32"/>
          <w:lang w:eastAsia="zh-CN"/>
        </w:rPr>
        <w:t>救</w:t>
      </w:r>
      <w:r>
        <w:rPr>
          <w:rFonts w:hint="eastAsia" w:ascii="宋体" w:hAnsi="宋体" w:eastAsia="宋体" w:cs="宋体"/>
          <w:color w:val="auto"/>
          <w:sz w:val="32"/>
          <w:szCs w:val="32"/>
        </w:rPr>
        <w:t>助电话12395，提前落实好船舶的救生、应急照明、应急通信等设施设备，船舶的防汛值班人员落实到位，保障信息畅通，坚持水情传递制度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为今年汛期船舶安全度汛奠定了坚实的基础。二是做好系船设施、设备的配置，配备锚、绳卡和移船用的备用电机、卷扬机、锚链机、备用缆绳、备用机动船等设施设备，严禁附属船舶与客船相互联缆和排泊。三是客渡船舶严格执行汛期减载规定。警戒水位线和停航封渡水位线明显，认真落实汛期减载规定，其它水域船舶抓好预防大风、大雨的避险工作。</w:t>
      </w:r>
      <w:r>
        <w:rPr>
          <w:rFonts w:hint="eastAsia" w:ascii="宋体" w:hAnsi="宋体" w:eastAsia="宋体" w:cs="宋体"/>
          <w:color w:val="auto"/>
          <w:kern w:val="0"/>
          <w:sz w:val="32"/>
          <w:szCs w:val="32"/>
          <w:lang w:eastAsia="zh-CN"/>
        </w:rPr>
        <w:t>四是</w:t>
      </w:r>
      <w:r>
        <w:rPr>
          <w:rFonts w:hint="eastAsia" w:ascii="宋体" w:hAnsi="宋体" w:eastAsia="宋体" w:cs="宋体"/>
          <w:color w:val="auto"/>
          <w:kern w:val="0"/>
          <w:sz w:val="32"/>
          <w:szCs w:val="32"/>
        </w:rPr>
        <w:t>严格</w:t>
      </w:r>
      <w:r>
        <w:rPr>
          <w:rFonts w:hint="eastAsia" w:ascii="宋体" w:hAnsi="宋体" w:eastAsia="宋体" w:cs="宋体"/>
          <w:color w:val="auto"/>
          <w:sz w:val="32"/>
          <w:szCs w:val="32"/>
        </w:rPr>
        <w:t>执行领导带班和24小时值班制度，加强与上级部门和上游地区相关部门的信息沟通，通过传真、超级信使平台、短信、微信或预警信息平台第一时间</w:t>
      </w:r>
      <w:r>
        <w:rPr>
          <w:rFonts w:hint="eastAsia" w:ascii="宋体" w:hAnsi="宋体" w:eastAsia="宋体" w:cs="宋体"/>
          <w:color w:val="auto"/>
          <w:kern w:val="0"/>
          <w:sz w:val="32"/>
          <w:szCs w:val="32"/>
        </w:rPr>
        <w:t>将重要天气、汛情、上级重要文件精神等信息传递到相关管理人员、渡口及</w:t>
      </w:r>
      <w:r>
        <w:rPr>
          <w:rFonts w:hint="eastAsia" w:ascii="宋体" w:hAnsi="宋体" w:eastAsia="宋体" w:cs="宋体"/>
          <w:color w:val="auto"/>
          <w:sz w:val="32"/>
          <w:szCs w:val="32"/>
        </w:rPr>
        <w:t>航运企业。严格执行汛情报告制度，建立月报制度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入汛以来，共发送雨情、汛情信息</w:t>
      </w:r>
      <w:r>
        <w:rPr>
          <w:rFonts w:hint="eastAsia" w:ascii="宋体" w:hAnsi="宋体" w:eastAsia="宋体" w:cs="宋体"/>
          <w:color w:val="auto"/>
          <w:sz w:val="32"/>
          <w:szCs w:val="32"/>
          <w:lang w:val="en-US" w:eastAsia="zh-CN"/>
        </w:rPr>
        <w:t>30</w:t>
      </w:r>
      <w:r>
        <w:rPr>
          <w:rFonts w:hint="eastAsia" w:ascii="宋体" w:hAnsi="宋体" w:eastAsia="宋体" w:cs="宋体"/>
          <w:color w:val="auto"/>
          <w:sz w:val="32"/>
          <w:szCs w:val="32"/>
        </w:rPr>
        <w:t>0余条。</w:t>
      </w:r>
      <w:r>
        <w:rPr>
          <w:rFonts w:hint="eastAsia" w:ascii="宋体" w:hAnsi="宋体" w:eastAsia="宋体" w:cs="宋体"/>
          <w:color w:val="auto"/>
          <w:sz w:val="32"/>
          <w:szCs w:val="32"/>
          <w:lang w:eastAsia="zh-CN"/>
        </w:rPr>
        <w:t>五是落实全省水上交通安全监测巡航救助一体工作，合力打造安全畅通的成渝重要水运通道，参加了</w:t>
      </w:r>
      <w:r>
        <w:rPr>
          <w:rFonts w:hint="eastAsia" w:ascii="宋体" w:hAnsi="宋体" w:eastAsia="宋体" w:cs="宋体"/>
          <w:color w:val="auto"/>
          <w:sz w:val="32"/>
          <w:szCs w:val="32"/>
          <w:lang w:val="en-US" w:eastAsia="zh-CN"/>
        </w:rPr>
        <w:t>6月9日—10日</w:t>
      </w:r>
      <w:r>
        <w:rPr>
          <w:rFonts w:hint="eastAsia" w:ascii="宋体" w:hAnsi="宋体" w:eastAsia="宋体" w:cs="宋体"/>
          <w:color w:val="auto"/>
          <w:sz w:val="32"/>
          <w:szCs w:val="32"/>
          <w:lang w:eastAsia="zh-CN"/>
        </w:rPr>
        <w:t>在南部县召开的“嘉陵江川渝两地水上交通安全联防联控协商会议暨南充市</w:t>
      </w:r>
      <w:r>
        <w:rPr>
          <w:rFonts w:hint="eastAsia" w:ascii="宋体" w:hAnsi="宋体" w:eastAsia="宋体" w:cs="宋体"/>
          <w:color w:val="auto"/>
          <w:sz w:val="32"/>
          <w:szCs w:val="32"/>
          <w:lang w:val="en-US" w:eastAsia="zh-CN"/>
        </w:rPr>
        <w:t>2020水上交通安全与防汛减灾联合应急演练活动</w:t>
      </w:r>
      <w:r>
        <w:rPr>
          <w:rFonts w:hint="eastAsia" w:ascii="宋体" w:hAnsi="宋体" w:eastAsia="宋体" w:cs="宋体"/>
          <w:color w:val="auto"/>
          <w:sz w:val="32"/>
          <w:szCs w:val="32"/>
          <w:lang w:eastAsia="zh-CN"/>
        </w:rPr>
        <w:t>”，协商构了建嘉陵江川境段及川渝毗邻市（区）水上交通安全联防联控机制，开展水上交通交通安全与防汛减灾联合演练和现场交流活动，推动广元、南充、广安三港联动发展</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为促进嘉陵江水上交通运输行业川渝合作一体化快速发展贡献力量。</w:t>
      </w:r>
    </w:p>
    <w:p>
      <w:pPr>
        <w:ind w:firstLine="640" w:firstLineChars="200"/>
        <w:rPr>
          <w:rFonts w:hint="eastAsia" w:ascii="宋体" w:hAnsi="宋体" w:eastAsia="宋体" w:cs="宋体"/>
          <w:bCs/>
          <w:color w:val="auto"/>
          <w:kern w:val="0"/>
          <w:sz w:val="32"/>
          <w:szCs w:val="32"/>
        </w:rPr>
      </w:pPr>
      <w:r>
        <w:rPr>
          <w:rFonts w:hint="eastAsia" w:ascii="宋体" w:hAnsi="宋体" w:eastAsia="宋体" w:cs="宋体"/>
          <w:bCs/>
          <w:color w:val="auto"/>
          <w:kern w:val="0"/>
          <w:sz w:val="32"/>
          <w:szCs w:val="32"/>
          <w:lang w:val="en-US" w:eastAsia="zh-CN"/>
        </w:rPr>
        <w:t>5、</w:t>
      </w:r>
      <w:r>
        <w:rPr>
          <w:rFonts w:hint="eastAsia" w:ascii="宋体" w:hAnsi="宋体" w:eastAsia="宋体" w:cs="宋体"/>
          <w:bCs/>
          <w:color w:val="auto"/>
          <w:kern w:val="0"/>
          <w:sz w:val="32"/>
          <w:szCs w:val="32"/>
        </w:rPr>
        <w:t>加强船舶管理</w:t>
      </w:r>
      <w:r>
        <w:rPr>
          <w:rFonts w:hint="eastAsia" w:ascii="宋体" w:hAnsi="宋体" w:eastAsia="宋体" w:cs="宋体"/>
          <w:bCs/>
          <w:color w:val="auto"/>
          <w:kern w:val="0"/>
          <w:sz w:val="32"/>
          <w:szCs w:val="32"/>
          <w:lang w:eastAsia="zh-CN"/>
        </w:rPr>
        <w:t>，</w:t>
      </w:r>
      <w:r>
        <w:rPr>
          <w:rFonts w:hint="eastAsia" w:ascii="宋体" w:hAnsi="宋体" w:eastAsia="宋体" w:cs="宋体"/>
          <w:bCs/>
          <w:color w:val="auto"/>
          <w:kern w:val="0"/>
          <w:sz w:val="32"/>
          <w:szCs w:val="32"/>
        </w:rPr>
        <w:t>规范水路运输市场</w:t>
      </w:r>
    </w:p>
    <w:p>
      <w:pPr>
        <w:spacing w:line="576"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一是今年对菖溪河200余艘漂流艇进行了年度认证。共整理、归档了船检档案1份，确保了申请检验的船舶适航。</w:t>
      </w:r>
    </w:p>
    <w:p>
      <w:pPr>
        <w:rPr>
          <w:rFonts w:hint="eastAsia" w:ascii="宋体" w:hAnsi="宋体" w:eastAsia="宋体" w:cs="宋体"/>
          <w:bCs/>
          <w:color w:val="auto"/>
          <w:sz w:val="32"/>
          <w:szCs w:val="32"/>
        </w:rPr>
      </w:pPr>
      <w:r>
        <w:rPr>
          <w:rFonts w:hint="eastAsia" w:ascii="宋体" w:hAnsi="宋体" w:eastAsia="宋体" w:cs="宋体"/>
          <w:color w:val="auto"/>
          <w:sz w:val="32"/>
          <w:szCs w:val="32"/>
          <w:lang w:eastAsia="zh-CN"/>
        </w:rPr>
        <w:t>二是</w:t>
      </w:r>
      <w:r>
        <w:rPr>
          <w:rFonts w:hint="eastAsia" w:ascii="宋体" w:hAnsi="宋体" w:eastAsia="宋体" w:cs="宋体"/>
          <w:color w:val="auto"/>
          <w:sz w:val="32"/>
          <w:szCs w:val="32"/>
        </w:rPr>
        <w:t>完成辖区水路运输核查工作，共核查企业2个，运输船舶6艘。</w:t>
      </w:r>
      <w:r>
        <w:rPr>
          <w:rFonts w:hint="eastAsia" w:ascii="宋体" w:hAnsi="宋体" w:eastAsia="宋体" w:cs="宋体"/>
          <w:color w:val="auto"/>
          <w:sz w:val="32"/>
          <w:szCs w:val="32"/>
          <w:lang w:eastAsia="zh-CN"/>
        </w:rPr>
        <w:t>三是</w:t>
      </w:r>
      <w:r>
        <w:rPr>
          <w:rFonts w:hint="eastAsia" w:ascii="宋体" w:hAnsi="宋体" w:eastAsia="宋体" w:cs="宋体"/>
          <w:color w:val="auto"/>
          <w:sz w:val="32"/>
          <w:szCs w:val="32"/>
        </w:rPr>
        <w:t>完成船舶及港口污染防治整治工作，建立“一船舶一方案”</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“一码头一方案”。环保治理整改1起，设置垃圾桶6个。可回收物站点2处，船舶增设油污设备1套，联系油污回收站1家，回收废油25余公斤。</w:t>
      </w:r>
      <w:r>
        <w:rPr>
          <w:rFonts w:hint="eastAsia" w:ascii="宋体" w:hAnsi="宋体" w:eastAsia="宋体" w:cs="宋体"/>
          <w:color w:val="auto"/>
          <w:sz w:val="32"/>
          <w:szCs w:val="32"/>
          <w:lang w:eastAsia="zh-CN"/>
        </w:rPr>
        <w:t>四是</w:t>
      </w:r>
      <w:r>
        <w:rPr>
          <w:rFonts w:hint="eastAsia" w:ascii="宋体" w:hAnsi="宋体" w:eastAsia="宋体" w:cs="宋体"/>
          <w:color w:val="auto"/>
          <w:sz w:val="32"/>
          <w:szCs w:val="32"/>
        </w:rPr>
        <w:t>完成水路运输疫情防控巡查工作</w:t>
      </w:r>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是结合水上</w:t>
      </w:r>
      <w:r>
        <w:rPr>
          <w:rFonts w:hint="eastAsia" w:ascii="宋体" w:hAnsi="宋体" w:cs="宋体"/>
          <w:color w:val="auto"/>
          <w:sz w:val="32"/>
          <w:szCs w:val="32"/>
          <w:lang w:eastAsia="zh-CN"/>
        </w:rPr>
        <w:t>扫黑除恶专项斗争</w:t>
      </w:r>
      <w:r>
        <w:rPr>
          <w:rFonts w:hint="eastAsia" w:ascii="宋体" w:hAnsi="宋体" w:eastAsia="宋体" w:cs="宋体"/>
          <w:color w:val="auto"/>
          <w:sz w:val="32"/>
          <w:szCs w:val="32"/>
        </w:rPr>
        <w:t>的开展，排查码头渡口和设水企业4处，实现了“0”投诉举报</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保障了水路运输市场的规范和有序。</w:t>
      </w:r>
      <w:r>
        <w:rPr>
          <w:rFonts w:hint="eastAsia" w:ascii="宋体" w:hAnsi="宋体" w:eastAsia="宋体" w:cs="宋体"/>
          <w:color w:val="auto"/>
          <w:sz w:val="32"/>
          <w:szCs w:val="32"/>
          <w:lang w:eastAsia="zh-CN"/>
        </w:rPr>
        <w:t>全年，</w:t>
      </w:r>
      <w:r>
        <w:rPr>
          <w:rFonts w:hint="eastAsia" w:ascii="宋体" w:hAnsi="宋体" w:eastAsia="宋体" w:cs="宋体"/>
          <w:color w:val="auto"/>
          <w:sz w:val="32"/>
          <w:szCs w:val="32"/>
        </w:rPr>
        <w:t>完成水路旅客运输量12.65万人次，旅客周转量163万人公里，完成货运量1.55万吨，货运周转量26.4万吨公里</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br w:type="textWrapping"/>
      </w:r>
      <w:r>
        <w:rPr>
          <w:rFonts w:hint="eastAsia" w:ascii="宋体" w:hAnsi="宋体" w:eastAsia="宋体" w:cs="宋体"/>
          <w:color w:val="auto"/>
          <w:sz w:val="32"/>
          <w:szCs w:val="32"/>
          <w:lang w:val="en-US" w:eastAsia="zh-CN"/>
        </w:rPr>
        <w:t xml:space="preserve">   6、</w:t>
      </w:r>
      <w:r>
        <w:rPr>
          <w:rFonts w:hint="eastAsia" w:ascii="宋体" w:hAnsi="宋体" w:eastAsia="宋体" w:cs="宋体"/>
          <w:bCs/>
          <w:color w:val="auto"/>
          <w:sz w:val="32"/>
          <w:szCs w:val="32"/>
        </w:rPr>
        <w:t>顺利推进</w:t>
      </w:r>
      <w:r>
        <w:rPr>
          <w:rFonts w:hint="eastAsia" w:ascii="宋体" w:hAnsi="宋体" w:eastAsia="宋体" w:cs="宋体"/>
          <w:bCs/>
          <w:color w:val="auto"/>
          <w:sz w:val="32"/>
          <w:szCs w:val="32"/>
          <w:lang w:eastAsia="zh-CN"/>
        </w:rPr>
        <w:t>重点</w:t>
      </w:r>
      <w:r>
        <w:rPr>
          <w:rFonts w:hint="eastAsia" w:ascii="宋体" w:hAnsi="宋体" w:eastAsia="宋体" w:cs="宋体"/>
          <w:bCs/>
          <w:color w:val="auto"/>
          <w:sz w:val="32"/>
          <w:szCs w:val="32"/>
        </w:rPr>
        <w:t>水运项目建设工作</w:t>
      </w:r>
    </w:p>
    <w:p>
      <w:pPr>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一是</w:t>
      </w:r>
      <w:r>
        <w:rPr>
          <w:rFonts w:hint="eastAsia" w:ascii="宋体" w:hAnsi="宋体" w:eastAsia="宋体" w:cs="宋体"/>
          <w:color w:val="auto"/>
          <w:sz w:val="32"/>
          <w:szCs w:val="32"/>
        </w:rPr>
        <w:t>完成</w:t>
      </w:r>
      <w:r>
        <w:rPr>
          <w:rFonts w:hint="eastAsia" w:ascii="宋体" w:hAnsi="宋体" w:eastAsia="宋体" w:cs="宋体"/>
          <w:color w:val="auto"/>
          <w:kern w:val="0"/>
          <w:sz w:val="32"/>
          <w:szCs w:val="32"/>
          <w:lang w:eastAsia="zh-CN"/>
        </w:rPr>
        <w:t>南河航段</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lang w:eastAsia="zh-CN"/>
        </w:rPr>
        <w:t>处</w:t>
      </w:r>
      <w:r>
        <w:rPr>
          <w:rFonts w:hint="eastAsia" w:ascii="宋体" w:hAnsi="宋体" w:eastAsia="宋体" w:cs="宋体"/>
          <w:color w:val="auto"/>
          <w:sz w:val="32"/>
          <w:szCs w:val="32"/>
        </w:rPr>
        <w:t>应急锚地建设任务，总投资</w:t>
      </w:r>
      <w:r>
        <w:rPr>
          <w:rFonts w:hint="eastAsia" w:ascii="宋体" w:hAnsi="宋体" w:eastAsia="宋体" w:cs="宋体"/>
          <w:color w:val="auto"/>
          <w:sz w:val="32"/>
          <w:szCs w:val="32"/>
          <w:lang w:val="en-US" w:eastAsia="zh-CN"/>
        </w:rPr>
        <w:t>3.7</w:t>
      </w:r>
      <w:r>
        <w:rPr>
          <w:rFonts w:hint="eastAsia" w:ascii="宋体" w:hAnsi="宋体" w:eastAsia="宋体" w:cs="宋体"/>
          <w:color w:val="auto"/>
          <w:sz w:val="32"/>
          <w:szCs w:val="32"/>
        </w:rPr>
        <w:t>万元</w:t>
      </w:r>
      <w:r>
        <w:rPr>
          <w:rFonts w:hint="eastAsia" w:ascii="宋体" w:hAnsi="宋体" w:eastAsia="宋体" w:cs="宋体"/>
          <w:color w:val="auto"/>
          <w:sz w:val="32"/>
          <w:szCs w:val="32"/>
          <w:lang w:eastAsia="zh-CN"/>
        </w:rPr>
        <w:t>；二是完成大石镇山园村柏林沟桥建设工程的</w:t>
      </w:r>
      <w:r>
        <w:rPr>
          <w:rFonts w:hint="eastAsia" w:ascii="宋体" w:hAnsi="宋体" w:eastAsia="宋体" w:cs="宋体"/>
          <w:color w:val="auto"/>
          <w:sz w:val="32"/>
          <w:szCs w:val="32"/>
        </w:rPr>
        <w:t>财评、招标、建设任务</w:t>
      </w:r>
      <w:r>
        <w:rPr>
          <w:rFonts w:hint="eastAsia" w:ascii="宋体" w:hAnsi="宋体" w:eastAsia="宋体" w:cs="宋体"/>
          <w:color w:val="auto"/>
          <w:sz w:val="32"/>
          <w:szCs w:val="32"/>
          <w:lang w:eastAsia="zh-CN"/>
        </w:rPr>
        <w:t>，总投资</w:t>
      </w:r>
      <w:r>
        <w:rPr>
          <w:rFonts w:hint="eastAsia" w:ascii="宋体" w:hAnsi="宋体" w:eastAsia="宋体" w:cs="宋体"/>
          <w:color w:val="auto"/>
          <w:sz w:val="32"/>
          <w:szCs w:val="32"/>
          <w:lang w:val="en-US" w:eastAsia="zh-CN"/>
        </w:rPr>
        <w:t>195万元。</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7、</w:t>
      </w:r>
      <w:r>
        <w:rPr>
          <w:rFonts w:hint="eastAsia" w:ascii="宋体" w:hAnsi="宋体" w:eastAsia="宋体" w:cs="宋体"/>
          <w:color w:val="auto"/>
          <w:sz w:val="32"/>
          <w:szCs w:val="32"/>
        </w:rPr>
        <w:t>开展“打非治违”专项行动，确保水上安全</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一</w:t>
      </w:r>
      <w:r>
        <w:rPr>
          <w:rFonts w:hint="eastAsia" w:ascii="宋体" w:hAnsi="宋体" w:eastAsia="宋体" w:cs="宋体"/>
          <w:color w:val="auto"/>
          <w:sz w:val="32"/>
          <w:szCs w:val="32"/>
        </w:rPr>
        <w:t>是开展打非治违重点打击“三无船舶”非运输船舶非法载客行为；</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是督促航运企业按照新船检规范要求更换救生衣489件，确保游客</w:t>
      </w:r>
      <w:r>
        <w:rPr>
          <w:rFonts w:hint="eastAsia" w:ascii="宋体" w:hAnsi="宋体" w:eastAsia="宋体" w:cs="宋体"/>
          <w:color w:val="auto"/>
          <w:sz w:val="32"/>
          <w:szCs w:val="32"/>
          <w:lang w:eastAsia="zh-CN"/>
        </w:rPr>
        <w:t>人身</w:t>
      </w:r>
      <w:r>
        <w:rPr>
          <w:rFonts w:hint="eastAsia" w:ascii="宋体" w:hAnsi="宋体" w:eastAsia="宋体" w:cs="宋体"/>
          <w:color w:val="auto"/>
          <w:sz w:val="32"/>
          <w:szCs w:val="32"/>
        </w:rPr>
        <w:t>安全；</w:t>
      </w:r>
      <w:r>
        <w:rPr>
          <w:rFonts w:hint="eastAsia" w:ascii="宋体" w:hAnsi="宋体" w:eastAsia="宋体" w:cs="宋体"/>
          <w:color w:val="auto"/>
          <w:sz w:val="32"/>
          <w:szCs w:val="32"/>
          <w:lang w:eastAsia="zh-CN"/>
        </w:rPr>
        <w:t>三</w:t>
      </w:r>
      <w:r>
        <w:rPr>
          <w:rFonts w:hint="eastAsia" w:ascii="宋体" w:hAnsi="宋体" w:eastAsia="宋体" w:cs="宋体"/>
          <w:color w:val="auto"/>
          <w:sz w:val="32"/>
          <w:szCs w:val="32"/>
        </w:rPr>
        <w:t>是督促航运企业建立船舶防污染的送、收、处置各类台账，严格遵守防船舶污染的各项规章制度。通过“打非治违”专项行动的开展，查处“三无”船舶8艘，并现场监督立即撤走消除</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水上违法违规</w:t>
      </w:r>
      <w:r>
        <w:rPr>
          <w:rFonts w:hint="eastAsia" w:ascii="宋体" w:hAnsi="宋体" w:eastAsia="宋体" w:cs="宋体"/>
          <w:color w:val="auto"/>
          <w:sz w:val="32"/>
          <w:szCs w:val="32"/>
          <w:lang w:eastAsia="zh-CN"/>
        </w:rPr>
        <w:t>行为</w:t>
      </w:r>
      <w:r>
        <w:rPr>
          <w:rFonts w:hint="eastAsia" w:ascii="宋体" w:hAnsi="宋体" w:eastAsia="宋体" w:cs="宋体"/>
          <w:color w:val="auto"/>
          <w:sz w:val="32"/>
          <w:szCs w:val="32"/>
        </w:rPr>
        <w:t>得到了有</w:t>
      </w:r>
      <w:r>
        <w:rPr>
          <w:rFonts w:hint="eastAsia" w:ascii="宋体" w:hAnsi="宋体" w:eastAsia="宋体" w:cs="宋体"/>
          <w:color w:val="auto"/>
          <w:sz w:val="32"/>
          <w:szCs w:val="32"/>
          <w:lang w:eastAsia="zh-CN"/>
        </w:rPr>
        <w:t>效</w:t>
      </w:r>
      <w:r>
        <w:rPr>
          <w:rFonts w:hint="eastAsia" w:ascii="宋体" w:hAnsi="宋体" w:eastAsia="宋体" w:cs="宋体"/>
          <w:color w:val="auto"/>
          <w:sz w:val="32"/>
          <w:szCs w:val="32"/>
        </w:rPr>
        <w:t>遏制。</w:t>
      </w:r>
    </w:p>
    <w:p>
      <w:pPr>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8、</w:t>
      </w:r>
      <w:r>
        <w:rPr>
          <w:rFonts w:hint="eastAsia" w:ascii="宋体" w:hAnsi="宋体" w:eastAsia="宋体" w:cs="宋体"/>
          <w:bCs/>
          <w:color w:val="auto"/>
          <w:sz w:val="32"/>
          <w:szCs w:val="32"/>
        </w:rPr>
        <w:t>开展</w:t>
      </w:r>
      <w:r>
        <w:rPr>
          <w:rFonts w:hint="eastAsia" w:ascii="宋体" w:hAnsi="宋体" w:cs="宋体"/>
          <w:color w:val="auto"/>
          <w:sz w:val="32"/>
          <w:szCs w:val="32"/>
          <w:lang w:eastAsia="zh-CN"/>
        </w:rPr>
        <w:t>扫黑除恶专项斗争</w:t>
      </w:r>
      <w:r>
        <w:rPr>
          <w:rFonts w:hint="eastAsia" w:ascii="宋体" w:hAnsi="宋体" w:eastAsia="宋体" w:cs="宋体"/>
          <w:color w:val="auto"/>
          <w:sz w:val="32"/>
          <w:szCs w:val="32"/>
        </w:rPr>
        <w:t>，规范水上秩序</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240" w:lineRule="auto"/>
        <w:ind w:right="0" w:firstLine="640" w:firstLineChars="200"/>
        <w:jc w:val="both"/>
        <w:textAlignment w:val="auto"/>
        <w:rPr>
          <w:rFonts w:hint="eastAsia" w:ascii="宋体" w:hAnsi="宋体" w:eastAsia="宋体" w:cs="宋体"/>
          <w:b w:val="0"/>
          <w:i w:val="0"/>
          <w:smallCaps w:val="0"/>
          <w:color w:val="auto"/>
          <w:spacing w:val="0"/>
          <w:position w:val="0"/>
          <w:sz w:val="32"/>
          <w:szCs w:val="32"/>
          <w:lang w:eastAsia="zh-CN"/>
        </w:rPr>
      </w:pPr>
      <w:r>
        <w:rPr>
          <w:rFonts w:hint="eastAsia" w:ascii="宋体" w:hAnsi="宋体" w:eastAsia="宋体" w:cs="宋体"/>
          <w:b w:val="0"/>
          <w:i w:val="0"/>
          <w:smallCaps w:val="0"/>
          <w:color w:val="auto"/>
          <w:spacing w:val="0"/>
          <w:position w:val="0"/>
          <w:sz w:val="32"/>
          <w:szCs w:val="32"/>
          <w:lang w:eastAsia="zh-CN"/>
        </w:rPr>
        <w:t>一是</w:t>
      </w:r>
      <w:r>
        <w:rPr>
          <w:rFonts w:hint="eastAsia" w:ascii="宋体" w:hAnsi="宋体" w:eastAsia="宋体" w:cs="宋体"/>
          <w:b w:val="0"/>
          <w:i w:val="0"/>
          <w:smallCaps w:val="0"/>
          <w:color w:val="auto"/>
          <w:spacing w:val="0"/>
          <w:position w:val="0"/>
          <w:sz w:val="32"/>
          <w:szCs w:val="32"/>
        </w:rPr>
        <w:t>思想高度重视。多次召开扫黑除恶专项斗争工作会，对开展扫黑除恶专项斗争工作进行研究部署，</w:t>
      </w:r>
      <w:r>
        <w:rPr>
          <w:rFonts w:hint="eastAsia" w:ascii="宋体" w:hAnsi="宋体" w:eastAsia="宋体" w:cs="宋体"/>
          <w:b w:val="0"/>
          <w:i w:val="0"/>
          <w:smallCaps w:val="0"/>
          <w:color w:val="auto"/>
          <w:spacing w:val="0"/>
          <w:position w:val="0"/>
          <w:sz w:val="32"/>
          <w:szCs w:val="32"/>
          <w:lang w:eastAsia="zh-CN"/>
        </w:rPr>
        <w:t>再次</w:t>
      </w:r>
      <w:r>
        <w:rPr>
          <w:rFonts w:hint="eastAsia" w:ascii="宋体" w:hAnsi="宋体" w:eastAsia="宋体" w:cs="宋体"/>
          <w:b w:val="0"/>
          <w:i w:val="0"/>
          <w:smallCaps w:val="0"/>
          <w:color w:val="auto"/>
          <w:spacing w:val="0"/>
          <w:position w:val="0"/>
          <w:sz w:val="32"/>
          <w:szCs w:val="32"/>
        </w:rPr>
        <w:t>明晰了水上交通运输领域黑恶势力重拳打击范围、倾向性问题，并要求我处全体人员提高警惕，增强风险意识，避免发生涉及职能管理范围的涉黑涉恶事件。</w:t>
      </w:r>
      <w:r>
        <w:rPr>
          <w:rFonts w:hint="eastAsia" w:ascii="宋体" w:hAnsi="宋体" w:eastAsia="宋体" w:cs="宋体"/>
          <w:b w:val="0"/>
          <w:i w:val="0"/>
          <w:smallCaps w:val="0"/>
          <w:color w:val="auto"/>
          <w:spacing w:val="0"/>
          <w:position w:val="0"/>
          <w:sz w:val="32"/>
          <w:szCs w:val="32"/>
          <w:lang w:eastAsia="zh-CN"/>
        </w:rPr>
        <w:t>二是</w:t>
      </w:r>
      <w:r>
        <w:rPr>
          <w:rFonts w:hint="eastAsia" w:ascii="宋体" w:hAnsi="宋体" w:eastAsia="宋体" w:cs="宋体"/>
          <w:b w:val="0"/>
          <w:i w:val="0"/>
          <w:smallCaps w:val="0"/>
          <w:color w:val="auto"/>
          <w:spacing w:val="0"/>
          <w:position w:val="0"/>
          <w:sz w:val="32"/>
          <w:szCs w:val="32"/>
        </w:rPr>
        <w:t>强化组织领导。扫黑除恶专项斗争工作领导小组</w:t>
      </w:r>
      <w:r>
        <w:rPr>
          <w:rFonts w:hint="eastAsia" w:ascii="宋体" w:hAnsi="宋体" w:eastAsia="宋体" w:cs="宋体"/>
          <w:b w:val="0"/>
          <w:i w:val="0"/>
          <w:smallCaps w:val="0"/>
          <w:color w:val="auto"/>
          <w:spacing w:val="0"/>
          <w:position w:val="0"/>
          <w:sz w:val="32"/>
          <w:szCs w:val="32"/>
          <w:lang w:eastAsia="zh-CN"/>
        </w:rPr>
        <w:t>认真履职</w:t>
      </w:r>
      <w:r>
        <w:rPr>
          <w:rFonts w:hint="eastAsia" w:ascii="宋体" w:hAnsi="宋体" w:eastAsia="宋体" w:cs="宋体"/>
          <w:b w:val="0"/>
          <w:i w:val="0"/>
          <w:smallCaps w:val="0"/>
          <w:color w:val="auto"/>
          <w:spacing w:val="0"/>
          <w:position w:val="0"/>
          <w:sz w:val="32"/>
          <w:szCs w:val="32"/>
        </w:rPr>
        <w:t>，</w:t>
      </w:r>
      <w:r>
        <w:rPr>
          <w:rFonts w:hint="eastAsia" w:ascii="宋体" w:hAnsi="宋体" w:eastAsia="宋体" w:cs="宋体"/>
          <w:b w:val="0"/>
          <w:i w:val="0"/>
          <w:smallCaps w:val="0"/>
          <w:color w:val="auto"/>
          <w:spacing w:val="0"/>
          <w:position w:val="0"/>
          <w:sz w:val="32"/>
          <w:szCs w:val="32"/>
          <w:lang w:eastAsia="zh-CN"/>
        </w:rPr>
        <w:t>日常执法检查中，继续按照</w:t>
      </w:r>
      <w:r>
        <w:rPr>
          <w:rFonts w:hint="eastAsia" w:ascii="宋体" w:hAnsi="宋体" w:eastAsia="宋体" w:cs="宋体"/>
          <w:smallCaps w:val="0"/>
          <w:color w:val="auto"/>
          <w:spacing w:val="0"/>
          <w:position w:val="0"/>
          <w:sz w:val="32"/>
          <w:szCs w:val="32"/>
        </w:rPr>
        <w:t>《</w:t>
      </w:r>
      <w:r>
        <w:rPr>
          <w:rFonts w:hint="eastAsia" w:ascii="宋体" w:hAnsi="宋体" w:eastAsia="宋体" w:cs="宋体"/>
          <w:b w:val="0"/>
          <w:smallCaps w:val="0"/>
          <w:color w:val="auto"/>
          <w:spacing w:val="0"/>
          <w:position w:val="0"/>
          <w:sz w:val="32"/>
          <w:szCs w:val="32"/>
        </w:rPr>
        <w:t>广元市利州区地方海事处扫黑除恶专项斗争涉黑涉恶涉乱线索摸排表</w:t>
      </w:r>
      <w:r>
        <w:rPr>
          <w:rFonts w:hint="eastAsia" w:ascii="宋体" w:hAnsi="宋体" w:eastAsia="宋体" w:cs="宋体"/>
          <w:smallCaps w:val="0"/>
          <w:color w:val="auto"/>
          <w:spacing w:val="0"/>
          <w:position w:val="0"/>
          <w:sz w:val="32"/>
          <w:szCs w:val="32"/>
        </w:rPr>
        <w:t>》</w:t>
      </w:r>
      <w:r>
        <w:rPr>
          <w:rFonts w:hint="eastAsia" w:ascii="宋体" w:hAnsi="宋体" w:eastAsia="宋体" w:cs="宋体"/>
          <w:smallCaps w:val="0"/>
          <w:color w:val="auto"/>
          <w:spacing w:val="0"/>
          <w:position w:val="0"/>
          <w:sz w:val="32"/>
          <w:szCs w:val="32"/>
          <w:lang w:eastAsia="zh-CN"/>
        </w:rPr>
        <w:t>的内容</w:t>
      </w:r>
      <w:r>
        <w:rPr>
          <w:rFonts w:hint="eastAsia" w:ascii="宋体" w:hAnsi="宋体" w:eastAsia="宋体" w:cs="宋体"/>
          <w:smallCaps w:val="0"/>
          <w:color w:val="auto"/>
          <w:spacing w:val="0"/>
          <w:position w:val="0"/>
          <w:sz w:val="32"/>
          <w:szCs w:val="32"/>
        </w:rPr>
        <w:t>，</w:t>
      </w:r>
      <w:r>
        <w:rPr>
          <w:rFonts w:hint="eastAsia" w:ascii="宋体" w:hAnsi="宋体" w:eastAsia="宋体" w:cs="宋体"/>
          <w:smallCaps w:val="0"/>
          <w:color w:val="auto"/>
          <w:spacing w:val="0"/>
          <w:position w:val="0"/>
          <w:sz w:val="32"/>
          <w:szCs w:val="32"/>
          <w:lang w:eastAsia="zh-CN"/>
        </w:rPr>
        <w:t>开展涉黑、涉恶、涉乱线索排查，</w:t>
      </w:r>
      <w:r>
        <w:rPr>
          <w:rFonts w:hint="eastAsia" w:ascii="宋体" w:hAnsi="宋体" w:eastAsia="宋体" w:cs="宋体"/>
          <w:b w:val="0"/>
          <w:i w:val="0"/>
          <w:smallCaps w:val="0"/>
          <w:color w:val="auto"/>
          <w:spacing w:val="0"/>
          <w:position w:val="0"/>
          <w:sz w:val="32"/>
          <w:szCs w:val="32"/>
        </w:rPr>
        <w:t>确保扫黑除恶专项斗争工作有序</w:t>
      </w:r>
      <w:r>
        <w:rPr>
          <w:rFonts w:hint="eastAsia" w:ascii="宋体" w:hAnsi="宋体" w:eastAsia="宋体" w:cs="宋体"/>
          <w:b w:val="0"/>
          <w:i w:val="0"/>
          <w:smallCaps w:val="0"/>
          <w:color w:val="auto"/>
          <w:spacing w:val="0"/>
          <w:position w:val="0"/>
          <w:sz w:val="32"/>
          <w:szCs w:val="32"/>
          <w:lang w:eastAsia="zh-CN"/>
        </w:rPr>
        <w:t>开展</w:t>
      </w:r>
      <w:r>
        <w:rPr>
          <w:rFonts w:hint="eastAsia" w:ascii="宋体" w:hAnsi="宋体" w:eastAsia="宋体" w:cs="宋体"/>
          <w:b w:val="0"/>
          <w:i w:val="0"/>
          <w:smallCaps w:val="0"/>
          <w:color w:val="auto"/>
          <w:spacing w:val="0"/>
          <w:position w:val="0"/>
          <w:sz w:val="32"/>
          <w:szCs w:val="32"/>
        </w:rPr>
        <w:t>。</w:t>
      </w:r>
      <w:r>
        <w:rPr>
          <w:rFonts w:hint="eastAsia" w:ascii="宋体" w:hAnsi="宋体" w:eastAsia="宋体" w:cs="宋体"/>
          <w:b w:val="0"/>
          <w:i w:val="0"/>
          <w:smallCaps w:val="0"/>
          <w:color w:val="auto"/>
          <w:spacing w:val="0"/>
          <w:position w:val="0"/>
          <w:sz w:val="32"/>
          <w:szCs w:val="32"/>
          <w:lang w:eastAsia="zh-CN"/>
        </w:rPr>
        <w:t>三是</w:t>
      </w:r>
      <w:r>
        <w:rPr>
          <w:rFonts w:hint="eastAsia" w:ascii="宋体" w:hAnsi="宋体" w:eastAsia="宋体" w:cs="宋体"/>
          <w:b w:val="0"/>
          <w:i w:val="0"/>
          <w:smallCaps w:val="0"/>
          <w:color w:val="auto"/>
          <w:spacing w:val="0"/>
          <w:position w:val="0"/>
          <w:sz w:val="32"/>
          <w:szCs w:val="32"/>
        </w:rPr>
        <w:t>广泛宣传发动。持续深入对民众开展了宣传发动工作，提高人民群众对水路交通运输系统开展扫黑除恶斗争的知晓率和参与度，积极引导人民群众自觉同水运行业存在的黑恶势力做斗争。</w:t>
      </w:r>
      <w:r>
        <w:rPr>
          <w:rFonts w:hint="eastAsia" w:ascii="宋体" w:hAnsi="宋体" w:eastAsia="宋体" w:cs="宋体"/>
          <w:b w:val="0"/>
          <w:i w:val="0"/>
          <w:smallCaps w:val="0"/>
          <w:color w:val="auto"/>
          <w:spacing w:val="0"/>
          <w:position w:val="0"/>
          <w:sz w:val="32"/>
          <w:szCs w:val="32"/>
          <w:lang w:eastAsia="zh-CN"/>
        </w:rPr>
        <w:t>四是</w:t>
      </w:r>
      <w:r>
        <w:rPr>
          <w:rFonts w:hint="eastAsia" w:ascii="宋体" w:hAnsi="宋体" w:eastAsia="宋体" w:cs="宋体"/>
          <w:b w:val="0"/>
          <w:i w:val="0"/>
          <w:color w:val="auto"/>
          <w:spacing w:val="0"/>
          <w:position w:val="0"/>
          <w:sz w:val="32"/>
          <w:szCs w:val="32"/>
          <w:highlight w:val="white"/>
        </w:rPr>
        <w:t>加强摸底排查</w:t>
      </w:r>
      <w:r>
        <w:rPr>
          <w:rFonts w:hint="eastAsia" w:ascii="宋体" w:hAnsi="宋体" w:eastAsia="宋体" w:cs="宋体"/>
          <w:b/>
          <w:i w:val="0"/>
          <w:color w:val="auto"/>
          <w:spacing w:val="0"/>
          <w:position w:val="0"/>
          <w:sz w:val="32"/>
          <w:szCs w:val="32"/>
        </w:rPr>
        <w:t>。</w:t>
      </w:r>
      <w:r>
        <w:rPr>
          <w:rFonts w:hint="eastAsia" w:ascii="宋体" w:hAnsi="宋体" w:eastAsia="宋体" w:cs="宋体"/>
          <w:b w:val="0"/>
          <w:i w:val="0"/>
          <w:smallCaps w:val="0"/>
          <w:color w:val="auto"/>
          <w:spacing w:val="0"/>
          <w:position w:val="0"/>
          <w:sz w:val="32"/>
          <w:szCs w:val="32"/>
        </w:rPr>
        <w:t>针对201</w:t>
      </w:r>
      <w:r>
        <w:rPr>
          <w:rFonts w:hint="eastAsia" w:ascii="宋体" w:hAnsi="宋体" w:eastAsia="宋体" w:cs="宋体"/>
          <w:b w:val="0"/>
          <w:i w:val="0"/>
          <w:smallCaps w:val="0"/>
          <w:color w:val="auto"/>
          <w:spacing w:val="0"/>
          <w:position w:val="0"/>
          <w:sz w:val="32"/>
          <w:szCs w:val="32"/>
          <w:lang w:val="en-US" w:eastAsia="zh-CN"/>
        </w:rPr>
        <w:t>9</w:t>
      </w:r>
      <w:r>
        <w:rPr>
          <w:rFonts w:hint="eastAsia" w:ascii="宋体" w:hAnsi="宋体" w:eastAsia="宋体" w:cs="宋体"/>
          <w:b w:val="0"/>
          <w:i w:val="0"/>
          <w:smallCaps w:val="0"/>
          <w:color w:val="auto"/>
          <w:spacing w:val="0"/>
          <w:position w:val="0"/>
          <w:sz w:val="32"/>
          <w:szCs w:val="32"/>
        </w:rPr>
        <w:t>年以来排查工作中未发现线索的实际情况，进一步仔细深入排查了水路交通运输领域涉黑、涉恶、涉乱线索，对黑恶势力在水运工程建设领域强揽工程、恶意竞标、垄断工程材料供应，在水路运输领域破坏运输市场秩序、违法违规经营、垄断客源、货源，在执法领域暴力抗法等违法犯罪行为和水运行业乱象，全方位开展了线索摸排工作。</w:t>
      </w:r>
      <w:r>
        <w:rPr>
          <w:rFonts w:hint="eastAsia" w:ascii="宋体" w:hAnsi="宋体" w:eastAsia="宋体" w:cs="宋体"/>
          <w:b w:val="0"/>
          <w:i w:val="0"/>
          <w:smallCaps w:val="0"/>
          <w:color w:val="auto"/>
          <w:spacing w:val="0"/>
          <w:position w:val="0"/>
          <w:sz w:val="32"/>
          <w:szCs w:val="32"/>
          <w:lang w:eastAsia="zh-CN"/>
        </w:rPr>
        <w:t>截至目前，利州区水域内无黑、恶、乱现象，水运秩序井然。</w:t>
      </w:r>
    </w:p>
    <w:p>
      <w:pPr>
        <w:numPr>
          <w:ilvl w:val="0"/>
          <w:numId w:val="0"/>
        </w:numPr>
        <w:ind w:firstLine="640" w:firstLineChars="200"/>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9、</w:t>
      </w:r>
      <w:r>
        <w:rPr>
          <w:rFonts w:hint="eastAsia" w:ascii="宋体" w:hAnsi="宋体" w:eastAsia="宋体" w:cs="宋体"/>
          <w:bCs/>
          <w:color w:val="auto"/>
          <w:sz w:val="32"/>
          <w:szCs w:val="32"/>
        </w:rPr>
        <w:t>持续推进脱贫攻坚帮扶工作</w:t>
      </w:r>
    </w:p>
    <w:p>
      <w:pPr>
        <w:spacing w:line="576"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shd w:val="clear" w:color="auto" w:fill="FFFFFF"/>
          <w:lang w:eastAsia="zh-CN"/>
        </w:rPr>
        <w:t>持续加强</w:t>
      </w:r>
      <w:r>
        <w:rPr>
          <w:rFonts w:hint="eastAsia" w:ascii="宋体" w:hAnsi="宋体" w:eastAsia="宋体" w:cs="宋体"/>
          <w:color w:val="auto"/>
          <w:sz w:val="32"/>
          <w:szCs w:val="32"/>
          <w:shd w:val="clear" w:color="auto" w:fill="FFFFFF"/>
        </w:rPr>
        <w:t>联系大石镇</w:t>
      </w:r>
      <w:r>
        <w:rPr>
          <w:rFonts w:hint="eastAsia" w:ascii="宋体" w:hAnsi="宋体" w:eastAsia="宋体" w:cs="宋体"/>
          <w:color w:val="auto"/>
          <w:sz w:val="32"/>
          <w:szCs w:val="32"/>
          <w:shd w:val="clear" w:color="auto" w:fill="FFFFFF"/>
          <w:lang w:eastAsia="zh-CN"/>
        </w:rPr>
        <w:t>金龙洞村</w:t>
      </w:r>
      <w:r>
        <w:rPr>
          <w:rFonts w:hint="eastAsia" w:ascii="宋体" w:hAnsi="宋体" w:eastAsia="宋体" w:cs="宋体"/>
          <w:color w:val="auto"/>
          <w:sz w:val="32"/>
          <w:szCs w:val="32"/>
          <w:shd w:val="clear" w:color="auto" w:fill="FFFFFF"/>
        </w:rPr>
        <w:t>（</w:t>
      </w:r>
      <w:r>
        <w:rPr>
          <w:rFonts w:hint="eastAsia" w:ascii="宋体" w:hAnsi="宋体" w:eastAsia="宋体" w:cs="宋体"/>
          <w:color w:val="auto"/>
          <w:sz w:val="32"/>
          <w:szCs w:val="32"/>
          <w:shd w:val="clear" w:color="auto" w:fill="FFFFFF"/>
          <w:lang w:eastAsia="zh-CN"/>
        </w:rPr>
        <w:t>原</w:t>
      </w:r>
      <w:r>
        <w:rPr>
          <w:rFonts w:hint="eastAsia" w:ascii="宋体" w:hAnsi="宋体" w:eastAsia="宋体" w:cs="宋体"/>
          <w:color w:val="auto"/>
          <w:sz w:val="32"/>
          <w:szCs w:val="32"/>
          <w:shd w:val="clear" w:color="auto" w:fill="FFFFFF"/>
        </w:rPr>
        <w:t>高坡村贫困村）和万缘办事处绿化村（非贫困村），通过入户走访、宣讲政策、“帮扶周”、节日慰问、“两不愁三保障”入户核查</w:t>
      </w:r>
      <w:r>
        <w:rPr>
          <w:rFonts w:hint="eastAsia" w:ascii="宋体" w:hAnsi="宋体" w:eastAsia="宋体" w:cs="宋体"/>
          <w:color w:val="auto"/>
          <w:sz w:val="32"/>
          <w:szCs w:val="32"/>
          <w:shd w:val="clear" w:color="auto" w:fill="FFFFFF"/>
          <w:lang w:eastAsia="zh-CN"/>
        </w:rPr>
        <w:t>、“三同活动”</w:t>
      </w:r>
      <w:r>
        <w:rPr>
          <w:rFonts w:hint="eastAsia" w:ascii="宋体" w:hAnsi="宋体" w:eastAsia="宋体" w:cs="宋体"/>
          <w:color w:val="auto"/>
          <w:sz w:val="32"/>
          <w:szCs w:val="32"/>
          <w:shd w:val="clear" w:color="auto" w:fill="FFFFFF"/>
        </w:rPr>
        <w:t>等</w:t>
      </w:r>
      <w:r>
        <w:rPr>
          <w:rFonts w:hint="eastAsia" w:ascii="宋体" w:hAnsi="宋体" w:eastAsia="宋体" w:cs="宋体"/>
          <w:color w:val="auto"/>
          <w:sz w:val="32"/>
          <w:szCs w:val="32"/>
          <w:shd w:val="clear" w:color="auto" w:fill="FFFFFF"/>
          <w:lang w:eastAsia="zh-CN"/>
        </w:rPr>
        <w:t>多种</w:t>
      </w:r>
      <w:r>
        <w:rPr>
          <w:rFonts w:hint="eastAsia" w:ascii="宋体" w:hAnsi="宋体" w:eastAsia="宋体" w:cs="宋体"/>
          <w:color w:val="auto"/>
          <w:sz w:val="32"/>
          <w:szCs w:val="32"/>
          <w:shd w:val="clear" w:color="auto" w:fill="FFFFFF"/>
        </w:rPr>
        <w:t>形式开</w:t>
      </w:r>
      <w:r>
        <w:rPr>
          <w:rFonts w:hint="eastAsia" w:ascii="宋体" w:hAnsi="宋体" w:eastAsia="宋体" w:cs="宋体"/>
          <w:color w:val="auto"/>
          <w:sz w:val="32"/>
          <w:szCs w:val="32"/>
          <w:shd w:val="clear" w:color="auto" w:fill="FFFFFF"/>
          <w:lang w:eastAsia="zh-CN"/>
        </w:rPr>
        <w:t>展脱贫攻坚</w:t>
      </w:r>
      <w:r>
        <w:rPr>
          <w:rFonts w:hint="eastAsia" w:ascii="宋体" w:hAnsi="宋体" w:eastAsia="宋体" w:cs="宋体"/>
          <w:color w:val="auto"/>
          <w:sz w:val="32"/>
          <w:szCs w:val="32"/>
          <w:shd w:val="clear" w:color="auto" w:fill="FFFFFF"/>
        </w:rPr>
        <w:t>工作。主要工作有：一是对贫困户们宣讲帮扶政策、新冠肺炎防控、扫黑除恶、禁毒</w:t>
      </w:r>
      <w:r>
        <w:rPr>
          <w:rFonts w:hint="eastAsia" w:ascii="宋体" w:hAnsi="宋体" w:eastAsia="宋体" w:cs="宋体"/>
          <w:color w:val="auto"/>
          <w:sz w:val="32"/>
          <w:szCs w:val="32"/>
          <w:shd w:val="clear" w:color="auto" w:fill="FFFFFF"/>
          <w:lang w:eastAsia="zh-CN"/>
        </w:rPr>
        <w:t>、防火</w:t>
      </w:r>
      <w:r>
        <w:rPr>
          <w:rFonts w:hint="eastAsia" w:ascii="宋体" w:hAnsi="宋体" w:eastAsia="宋体" w:cs="宋体"/>
          <w:color w:val="auto"/>
          <w:sz w:val="32"/>
          <w:szCs w:val="32"/>
          <w:shd w:val="clear" w:color="auto" w:fill="FFFFFF"/>
        </w:rPr>
        <w:t>等基本知识，使其明白自己享受到哪些帮扶政策，同时知晓“六个一”内容、知晓新冠肺炎防控等基本知识。二是开展了“走基层</w:t>
      </w:r>
      <w:r>
        <w:rPr>
          <w:rFonts w:hint="eastAsia" w:ascii="宋体" w:hAnsi="宋体" w:eastAsia="宋体" w:cs="宋体"/>
          <w:color w:val="auto"/>
          <w:sz w:val="32"/>
          <w:szCs w:val="32"/>
          <w:shd w:val="clear" w:color="auto" w:fill="FFFFFF"/>
          <w:lang w:val="en-US" w:eastAsia="zh-CN"/>
        </w:rPr>
        <w:t>.</w:t>
      </w:r>
      <w:r>
        <w:rPr>
          <w:rFonts w:hint="eastAsia" w:ascii="宋体" w:hAnsi="宋体" w:eastAsia="宋体" w:cs="宋体"/>
          <w:color w:val="auto"/>
          <w:sz w:val="32"/>
          <w:szCs w:val="32"/>
          <w:shd w:val="clear" w:color="auto" w:fill="FFFFFF"/>
        </w:rPr>
        <w:t>送温暖”春节慰问、“六.一”慰问贫困户儿童等活动，使其感受到党和政府的温暖。三是进行“百日攻坚大排查”活动，查找并解决帮扶中存在的各类问题，确保绿化村的帮扶工作能顺利通过国家的验收。四是入户开展“三同”活动，帮助贫困户打扫房前屋内环境卫生等。五是为助力贫困人口产业发展，帮扶责任人对有意愿进行养殖的贫困人口，赠送了2</w:t>
      </w:r>
      <w:r>
        <w:rPr>
          <w:rFonts w:hint="eastAsia" w:ascii="宋体" w:hAnsi="宋体" w:eastAsia="宋体" w:cs="宋体"/>
          <w:color w:val="auto"/>
          <w:sz w:val="32"/>
          <w:szCs w:val="32"/>
          <w:shd w:val="clear" w:color="auto" w:fill="FFFFFF"/>
          <w:lang w:val="en-US" w:eastAsia="zh-CN"/>
        </w:rPr>
        <w:t>7</w:t>
      </w:r>
      <w:r>
        <w:rPr>
          <w:rFonts w:hint="eastAsia" w:ascii="宋体" w:hAnsi="宋体" w:eastAsia="宋体" w:cs="宋体"/>
          <w:color w:val="auto"/>
          <w:sz w:val="32"/>
          <w:szCs w:val="32"/>
          <w:shd w:val="clear" w:color="auto" w:fill="FFFFFF"/>
        </w:rPr>
        <w:t>0只鸡苗</w:t>
      </w:r>
      <w:r>
        <w:rPr>
          <w:rFonts w:hint="eastAsia" w:ascii="宋体" w:hAnsi="宋体" w:eastAsia="宋体" w:cs="宋体"/>
          <w:color w:val="auto"/>
          <w:sz w:val="32"/>
          <w:szCs w:val="32"/>
        </w:rPr>
        <w:t>。六是帮助村上解决了村民饮水管路更换，3公里水泥路加宽资金协调工作。</w:t>
      </w:r>
      <w:r>
        <w:rPr>
          <w:rFonts w:hint="eastAsia" w:ascii="宋体" w:hAnsi="宋体" w:eastAsia="宋体" w:cs="宋体"/>
          <w:color w:val="auto"/>
          <w:sz w:val="32"/>
          <w:szCs w:val="32"/>
          <w:lang w:eastAsia="zh-CN"/>
        </w:rPr>
        <w:t>七</w:t>
      </w:r>
      <w:r>
        <w:rPr>
          <w:rFonts w:hint="eastAsia" w:ascii="宋体" w:hAnsi="宋体" w:eastAsia="宋体" w:cs="宋体"/>
          <w:color w:val="auto"/>
          <w:sz w:val="32"/>
          <w:szCs w:val="32"/>
        </w:rPr>
        <w:t>是捐赠</w:t>
      </w:r>
      <w:r>
        <w:rPr>
          <w:rFonts w:hint="eastAsia" w:ascii="宋体" w:hAnsi="宋体" w:eastAsia="宋体" w:cs="宋体"/>
          <w:color w:val="auto"/>
          <w:sz w:val="32"/>
          <w:szCs w:val="32"/>
          <w:lang w:val="en-US" w:eastAsia="zh-CN"/>
        </w:rPr>
        <w:t>组织阵地建设</w:t>
      </w:r>
      <w:r>
        <w:rPr>
          <w:rFonts w:hint="eastAsia" w:ascii="宋体" w:hAnsi="宋体" w:eastAsia="宋体" w:cs="宋体"/>
          <w:color w:val="auto"/>
          <w:sz w:val="32"/>
          <w:szCs w:val="32"/>
        </w:rPr>
        <w:t>资金1万元，帮助村委会进行硬件设施建设。</w:t>
      </w:r>
    </w:p>
    <w:p>
      <w:pPr>
        <w:widowControl/>
        <w:ind w:firstLine="643"/>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10、</w:t>
      </w:r>
      <w:r>
        <w:rPr>
          <w:rFonts w:hint="eastAsia" w:ascii="宋体" w:hAnsi="宋体" w:eastAsia="宋体" w:cs="宋体"/>
          <w:bCs/>
          <w:color w:val="auto"/>
          <w:sz w:val="32"/>
          <w:szCs w:val="32"/>
          <w:highlight w:val="none"/>
          <w:lang w:eastAsia="zh-CN"/>
        </w:rPr>
        <w:t>加强</w:t>
      </w:r>
      <w:r>
        <w:rPr>
          <w:rFonts w:hint="eastAsia" w:ascii="宋体" w:hAnsi="宋体" w:eastAsia="宋体" w:cs="宋体"/>
          <w:bCs/>
          <w:color w:val="auto"/>
          <w:sz w:val="32"/>
          <w:szCs w:val="32"/>
          <w:highlight w:val="none"/>
        </w:rPr>
        <w:t>依法治区工作，文明执法行为</w:t>
      </w:r>
    </w:p>
    <w:p>
      <w:pPr>
        <w:pStyle w:val="19"/>
        <w:widowControl w:val="0"/>
        <w:shd w:val="clear" w:color="auto" w:fill="FFFFFF"/>
        <w:spacing w:before="0" w:beforeLines="0" w:beforeAutospacing="0" w:after="0" w:afterLines="0" w:afterAutospacing="0" w:line="56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一是对</w:t>
      </w:r>
      <w:r>
        <w:rPr>
          <w:rFonts w:hint="eastAsia" w:ascii="宋体" w:hAnsi="宋体" w:eastAsia="宋体" w:cs="宋体"/>
          <w:color w:val="auto"/>
          <w:sz w:val="32"/>
          <w:szCs w:val="32"/>
          <w:lang w:eastAsia="zh-CN"/>
        </w:rPr>
        <w:t>有船乡镇、街道办事处和航运企业的分管领导、管船员、</w:t>
      </w:r>
      <w:r>
        <w:rPr>
          <w:rFonts w:hint="eastAsia" w:ascii="宋体" w:hAnsi="宋体" w:eastAsia="宋体" w:cs="宋体"/>
          <w:color w:val="auto"/>
          <w:sz w:val="32"/>
          <w:szCs w:val="32"/>
        </w:rPr>
        <w:t>持证船员和签单员</w:t>
      </w:r>
      <w:r>
        <w:rPr>
          <w:rFonts w:hint="eastAsia" w:ascii="宋体" w:hAnsi="宋体" w:eastAsia="宋体" w:cs="宋体"/>
          <w:color w:val="auto"/>
          <w:sz w:val="32"/>
          <w:szCs w:val="32"/>
          <w:lang w:eastAsia="zh-CN"/>
        </w:rPr>
        <w:t>定期</w:t>
      </w:r>
      <w:r>
        <w:rPr>
          <w:rFonts w:hint="eastAsia" w:ascii="宋体" w:hAnsi="宋体" w:eastAsia="宋体" w:cs="宋体"/>
          <w:color w:val="auto"/>
          <w:sz w:val="32"/>
          <w:szCs w:val="32"/>
        </w:rPr>
        <w:t>开展</w:t>
      </w:r>
      <w:r>
        <w:rPr>
          <w:rFonts w:hint="eastAsia" w:ascii="宋体" w:hAnsi="宋体" w:eastAsia="宋体" w:cs="宋体"/>
          <w:color w:val="auto"/>
          <w:sz w:val="32"/>
          <w:szCs w:val="32"/>
          <w:lang w:eastAsia="zh-CN"/>
        </w:rPr>
        <w:t>水上交通安全和行业法律法规的</w:t>
      </w:r>
      <w:r>
        <w:rPr>
          <w:rFonts w:hint="eastAsia" w:ascii="宋体" w:hAnsi="宋体" w:eastAsia="宋体" w:cs="宋体"/>
          <w:color w:val="auto"/>
          <w:sz w:val="32"/>
          <w:szCs w:val="32"/>
        </w:rPr>
        <w:t>集中</w:t>
      </w:r>
      <w:r>
        <w:rPr>
          <w:rFonts w:hint="eastAsia" w:ascii="宋体" w:hAnsi="宋体" w:eastAsia="宋体" w:cs="宋体"/>
          <w:color w:val="auto"/>
          <w:sz w:val="32"/>
          <w:szCs w:val="32"/>
          <w:lang w:eastAsia="zh-CN"/>
        </w:rPr>
        <w:t>学习</w:t>
      </w:r>
      <w:r>
        <w:rPr>
          <w:rFonts w:hint="eastAsia" w:ascii="宋体" w:hAnsi="宋体" w:eastAsia="宋体" w:cs="宋体"/>
          <w:color w:val="auto"/>
          <w:sz w:val="32"/>
          <w:szCs w:val="32"/>
        </w:rPr>
        <w:t>培训</w:t>
      </w:r>
      <w:r>
        <w:rPr>
          <w:rFonts w:hint="eastAsia" w:ascii="宋体" w:hAnsi="宋体" w:eastAsia="宋体" w:cs="宋体"/>
          <w:color w:val="auto"/>
          <w:sz w:val="32"/>
          <w:szCs w:val="32"/>
          <w:lang w:eastAsia="zh-CN"/>
        </w:rPr>
        <w:t>，进一步增强广大从业人员的水上交通安全意识和遵法守法意识</w:t>
      </w:r>
      <w:r>
        <w:rPr>
          <w:rFonts w:hint="eastAsia" w:ascii="宋体" w:hAnsi="宋体" w:eastAsia="宋体" w:cs="宋体"/>
          <w:color w:val="auto"/>
          <w:sz w:val="32"/>
          <w:szCs w:val="32"/>
        </w:rPr>
        <w:t>；二是强化水上交通安全生产法治宣传。集中开展了“三月警示月”、“</w:t>
      </w:r>
      <w:r>
        <w:rPr>
          <w:rFonts w:hint="eastAsia" w:ascii="宋体" w:hAnsi="宋体" w:eastAsia="宋体" w:cs="宋体"/>
          <w:color w:val="auto"/>
          <w:sz w:val="32"/>
          <w:szCs w:val="32"/>
          <w:lang w:eastAsia="zh-CN"/>
        </w:rPr>
        <w:t>六月</w:t>
      </w:r>
      <w:r>
        <w:rPr>
          <w:rFonts w:hint="eastAsia" w:ascii="宋体" w:hAnsi="宋体" w:eastAsia="宋体" w:cs="宋体"/>
          <w:color w:val="auto"/>
          <w:sz w:val="32"/>
          <w:szCs w:val="32"/>
        </w:rPr>
        <w:t>安全生产月”专题宣传活动</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6月1</w:t>
      </w:r>
      <w:r>
        <w:rPr>
          <w:rFonts w:hint="eastAsia" w:ascii="宋体" w:hAnsi="宋体" w:eastAsia="宋体" w:cs="宋体"/>
          <w:color w:val="auto"/>
          <w:sz w:val="32"/>
          <w:szCs w:val="32"/>
          <w:lang w:val="en-US" w:eastAsia="zh-CN"/>
        </w:rPr>
        <w:t>8日，我处积极配合市、区相关部门在利州区图腾广场</w:t>
      </w:r>
      <w:r>
        <w:rPr>
          <w:rFonts w:hint="eastAsia" w:ascii="宋体" w:hAnsi="宋体" w:eastAsia="宋体" w:cs="宋体"/>
          <w:color w:val="auto"/>
          <w:sz w:val="32"/>
          <w:szCs w:val="32"/>
        </w:rPr>
        <w:t>紧紧围绕“</w:t>
      </w:r>
      <w:r>
        <w:rPr>
          <w:rFonts w:hint="eastAsia" w:ascii="宋体" w:hAnsi="宋体" w:eastAsia="宋体" w:cs="宋体"/>
          <w:color w:val="auto"/>
          <w:sz w:val="32"/>
          <w:szCs w:val="32"/>
          <w:lang w:eastAsia="zh-CN"/>
        </w:rPr>
        <w:t>防范化解重大风险</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及时消除安全隐患</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为</w:t>
      </w:r>
      <w:r>
        <w:rPr>
          <w:rFonts w:hint="eastAsia" w:ascii="宋体" w:hAnsi="宋体" w:eastAsia="宋体" w:cs="宋体"/>
          <w:color w:val="auto"/>
          <w:sz w:val="32"/>
          <w:szCs w:val="32"/>
        </w:rPr>
        <w:t>主题</w:t>
      </w:r>
      <w:r>
        <w:rPr>
          <w:rFonts w:hint="eastAsia" w:ascii="宋体" w:hAnsi="宋体" w:eastAsia="宋体" w:cs="宋体"/>
          <w:color w:val="auto"/>
          <w:sz w:val="32"/>
          <w:szCs w:val="32"/>
          <w:lang w:eastAsia="zh-CN"/>
        </w:rPr>
        <w:t>的安全月安全日宣传活动，大力宣传水上交通安全法律法规</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进一步</w:t>
      </w:r>
      <w:r>
        <w:rPr>
          <w:rFonts w:hint="eastAsia" w:ascii="宋体" w:hAnsi="宋体" w:eastAsia="宋体" w:cs="宋体"/>
          <w:color w:val="auto"/>
          <w:sz w:val="32"/>
          <w:szCs w:val="32"/>
        </w:rPr>
        <w:t>向群众宣传“客渡船舶六不发航”规定、乘客上船注意事项等水上交通安全知识</w:t>
      </w:r>
      <w:r>
        <w:rPr>
          <w:rFonts w:hint="eastAsia" w:ascii="宋体" w:hAnsi="宋体" w:eastAsia="宋体" w:cs="宋体"/>
          <w:color w:val="auto"/>
          <w:kern w:val="0"/>
          <w:sz w:val="32"/>
          <w:szCs w:val="32"/>
        </w:rPr>
        <w:t>。</w:t>
      </w:r>
      <w:r>
        <w:rPr>
          <w:rFonts w:hint="eastAsia" w:ascii="宋体" w:hAnsi="宋体" w:eastAsia="宋体" w:cs="宋体"/>
          <w:color w:val="auto"/>
          <w:kern w:val="0"/>
          <w:sz w:val="32"/>
          <w:szCs w:val="32"/>
          <w:lang w:eastAsia="zh-CN"/>
        </w:rPr>
        <w:t>三是</w:t>
      </w:r>
      <w:r>
        <w:rPr>
          <w:rFonts w:hint="eastAsia" w:ascii="宋体" w:hAnsi="宋体" w:eastAsia="宋体" w:cs="宋体"/>
          <w:color w:val="auto"/>
          <w:sz w:val="32"/>
          <w:szCs w:val="32"/>
          <w:lang w:eastAsia="zh-CN"/>
        </w:rPr>
        <w:t>全面对照《广元市利州区法治建设实施方案（</w:t>
      </w:r>
      <w:r>
        <w:rPr>
          <w:rFonts w:hint="eastAsia" w:ascii="宋体" w:hAnsi="宋体" w:eastAsia="宋体" w:cs="宋体"/>
          <w:color w:val="auto"/>
          <w:sz w:val="32"/>
          <w:szCs w:val="32"/>
          <w:lang w:val="en-US" w:eastAsia="zh-CN"/>
        </w:rPr>
        <w:t>2017-2020）》，深入开展法治政府与政务诚信建设，认真落实了重大行政决策程序规定，切实推行行政决策科学化、民主化、法治化，建立海事行政执法人员的诚信监督机制。</w:t>
      </w:r>
      <w:r>
        <w:rPr>
          <w:rFonts w:hint="eastAsia" w:ascii="宋体" w:hAnsi="宋体" w:eastAsia="宋体" w:cs="宋体"/>
          <w:color w:val="auto"/>
          <w:sz w:val="32"/>
          <w:szCs w:val="32"/>
          <w:lang w:eastAsia="zh-CN"/>
        </w:rPr>
        <w:t>积极配合交通运输行政执法体制改革工作，</w:t>
      </w:r>
      <w:r>
        <w:rPr>
          <w:rFonts w:hint="eastAsia" w:ascii="宋体" w:hAnsi="宋体" w:eastAsia="宋体" w:cs="宋体"/>
          <w:color w:val="auto"/>
          <w:sz w:val="32"/>
          <w:szCs w:val="32"/>
        </w:rPr>
        <w:t>坚持依法行政，</w:t>
      </w:r>
      <w:r>
        <w:rPr>
          <w:rFonts w:hint="eastAsia" w:ascii="宋体" w:hAnsi="宋体" w:eastAsia="宋体" w:cs="宋体"/>
          <w:color w:val="auto"/>
          <w:sz w:val="32"/>
          <w:szCs w:val="32"/>
          <w:lang w:eastAsia="zh-CN"/>
        </w:rPr>
        <w:t>全面推行行政执法公示制度、执法全过程记录制度和重大执法决定法制审核制度，进一步</w:t>
      </w:r>
      <w:r>
        <w:rPr>
          <w:rFonts w:hint="eastAsia" w:ascii="宋体" w:hAnsi="宋体" w:eastAsia="宋体" w:cs="宋体"/>
          <w:color w:val="auto"/>
          <w:sz w:val="32"/>
          <w:szCs w:val="32"/>
        </w:rPr>
        <w:t>强化实干作风，突出法治思维和法治方式，严格按照法定权限、规则和程序行使权力，不断提高了我处执法人员的依法行政执法</w:t>
      </w:r>
      <w:r>
        <w:rPr>
          <w:rFonts w:hint="eastAsia" w:ascii="宋体" w:hAnsi="宋体" w:eastAsia="宋体" w:cs="宋体"/>
          <w:color w:val="auto"/>
          <w:sz w:val="32"/>
          <w:szCs w:val="32"/>
          <w:lang w:eastAsia="zh-CN"/>
        </w:rPr>
        <w:t>能力。</w:t>
      </w:r>
    </w:p>
    <w:p>
      <w:pPr>
        <w:widowControl/>
        <w:ind w:firstLine="643"/>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11、</w:t>
      </w:r>
      <w:r>
        <w:rPr>
          <w:rFonts w:hint="eastAsia" w:ascii="宋体" w:hAnsi="宋体" w:eastAsia="宋体" w:cs="宋体"/>
          <w:bCs/>
          <w:color w:val="auto"/>
          <w:sz w:val="32"/>
          <w:szCs w:val="32"/>
          <w:lang w:eastAsia="zh-CN"/>
        </w:rPr>
        <w:t>深入加强</w:t>
      </w:r>
      <w:r>
        <w:rPr>
          <w:rFonts w:hint="eastAsia" w:ascii="宋体" w:hAnsi="宋体" w:eastAsia="宋体" w:cs="宋体"/>
          <w:bCs/>
          <w:color w:val="auto"/>
          <w:sz w:val="32"/>
          <w:szCs w:val="32"/>
        </w:rPr>
        <w:t>党的建设工作</w:t>
      </w:r>
    </w:p>
    <w:p>
      <w:pPr>
        <w:autoSpaceDE/>
        <w:autoSpaceDN/>
        <w:snapToGrid/>
        <w:spacing w:before="0" w:after="0" w:line="240" w:lineRule="auto"/>
        <w:ind w:left="0" w:firstLine="640" w:firstLineChars="200"/>
        <w:jc w:val="both"/>
        <w:rPr>
          <w:rFonts w:hint="eastAsia" w:ascii="宋体" w:hAnsi="宋体" w:eastAsia="宋体" w:cs="宋体"/>
          <w:caps w:val="0"/>
          <w:smallCaps w:val="0"/>
          <w:vanish w:val="0"/>
          <w:color w:val="auto"/>
          <w:sz w:val="32"/>
          <w:szCs w:val="32"/>
          <w:lang w:val="en-US" w:eastAsia="zh-CN"/>
        </w:rPr>
      </w:pPr>
      <w:r>
        <w:rPr>
          <w:rFonts w:hint="eastAsia" w:ascii="宋体" w:hAnsi="宋体" w:eastAsia="宋体" w:cs="宋体"/>
          <w:b w:val="0"/>
          <w:color w:val="auto"/>
          <w:w w:val="100"/>
          <w:sz w:val="32"/>
          <w:lang w:eastAsia="zh-CN"/>
        </w:rPr>
        <w:t>一是加强学习教育，不断强化政治引领。不断加强党员干部思想政治教育，引导全体党员干部坚定理想信念，树立正确的世界观、人生观、价值观，始终保持清醒的政治头脑。二是以党的十九</w:t>
      </w:r>
      <w:r>
        <w:rPr>
          <w:rFonts w:hint="eastAsia" w:ascii="宋体" w:hAnsi="宋体" w:eastAsia="宋体" w:cs="宋体"/>
          <w:b w:val="0"/>
          <w:caps w:val="0"/>
          <w:smallCaps w:val="0"/>
          <w:vanish w:val="0"/>
          <w:color w:val="auto"/>
          <w:w w:val="100"/>
          <w:sz w:val="32"/>
          <w:szCs w:val="22"/>
          <w:lang w:eastAsia="zh-CN"/>
        </w:rPr>
        <w:t>大和十九届二中、三中、四中、五中全会精神、习近平新时代</w:t>
      </w:r>
      <w:r>
        <w:rPr>
          <w:rFonts w:hint="eastAsia" w:ascii="宋体" w:hAnsi="宋体" w:eastAsia="宋体" w:cs="宋体"/>
          <w:b w:val="0"/>
          <w:color w:val="auto"/>
          <w:w w:val="100"/>
          <w:sz w:val="32"/>
          <w:lang w:eastAsia="zh-CN"/>
        </w:rPr>
        <w:t>中国特色社会主义思想以及习近平总书记对四川工作系列重要讲话精神为主要内容，抓好理想信念教育，牢固树立“四个意识”，坚定“四个自信”，做到“两个维护”。三是认真学习省委、市委、区委全会精神，明确了党支部的职责任务和工作方向。四是选取意识形态、疫情防控、坚定信仰、脱贫攻坚等议题，结合主题党日和支部书记讲党课开展教育，为攻克当前的重点、紧迫任务提军心、鼓士气。五是加强队伍建设，严格履行党建工作主体责任。紧紧围绕全面从严治党的总体要求，不断强化党支部建设，切实抓好政治履职。坚持正确的政治方向。在思想上、政治上、行动上与党中央保持高度一致，认真贯彻执行党中央和上级党组织关于基层党建工作有关会议文件精神，及时研究制定党建工作计划和措施并组织实施。认真落实党建责任。始终把抓好基层党的建设工作作为首要任务，把党建工作摆上重要议事日程，纳入年度工作计划，强化对党建工作的安排部署及工作指导，真正形成了党支部书记亲自抓，支部委员协助抓，党务工作人员具体抓的齐抓共管工作格局。健全完善各项党建工作机制。继续实施党员积分制管理；持续深入打造“女皇故里 清风海事”这一廉政文化品牌；进一步健全了支委会定期专题研究党建、党支部书记抓党建工作报告等制度。六是认真开展组织生活，切实加强党员队伍日常管理。以“三会一课”和“主题党日”为主要内容，定期组织集中学习、按期缴纳党费等，提高党性修养，教育引导党员干部发挥好示范引领作用。七是强化廉洁教育，正风肃纪推进党风廉政建设。年初召开了专题会议，研究部署年度党风廉政建设和反腐败工作，制定了年度工作要点，并把党风廉政建设和反腐败工作责任分解到每个人，形成一把手负总责，其他班子成员各司其责，一级抓一级，层层抓落实的工作局面。严格按照“一岗双责”的要求，加强干部职工监督管理，按要求对各股室负责人进行廉政责任约谈，提高其拒腐防变的意识和能力。坚决贯彻落实民主集中制原则，进一步健全和完善党内监督制度，加强对重点领域的管理监督，凡属“三重一大”事项，均由支委会集体讨论决定，保证了决策过程的科学民主和结果的公正合理。八是突出工作重点，着力抓好新冠肺炎防控和意识形态工作。及时</w:t>
      </w:r>
      <w:r>
        <w:rPr>
          <w:rFonts w:hint="eastAsia" w:ascii="宋体" w:hAnsi="宋体" w:eastAsia="宋体" w:cs="宋体"/>
          <w:color w:val="auto"/>
          <w:sz w:val="32"/>
          <w:szCs w:val="32"/>
          <w:lang w:eastAsia="zh-CN"/>
        </w:rPr>
        <w:t>成立了应对新型冠状病毒肺炎疫情防控工作领导小组，制定了疫情应急预案；党员干部带头，不断深入辖区一线和上级指定的社区开展排查和防疫工作。强化舆情引导，完善意识形态工作机制。采用拉横幅、</w:t>
      </w:r>
      <w:r>
        <w:rPr>
          <w:rFonts w:hint="eastAsia" w:ascii="宋体" w:hAnsi="宋体" w:eastAsia="宋体" w:cs="宋体"/>
          <w:color w:val="auto"/>
          <w:sz w:val="32"/>
          <w:szCs w:val="32"/>
          <w:lang w:val="en-US" w:eastAsia="zh-CN"/>
        </w:rPr>
        <w:t>LED播放宣传标语、工作群发防疫知识等形式</w:t>
      </w:r>
      <w:r>
        <w:rPr>
          <w:rFonts w:hint="eastAsia" w:ascii="宋体" w:hAnsi="宋体" w:eastAsia="宋体" w:cs="宋体"/>
          <w:caps w:val="0"/>
          <w:smallCaps w:val="0"/>
          <w:vanish w:val="0"/>
          <w:color w:val="auto"/>
          <w:sz w:val="32"/>
          <w:szCs w:val="32"/>
          <w:lang w:val="en-US" w:eastAsia="zh-CN"/>
        </w:rPr>
        <w:t>，</w:t>
      </w:r>
      <w:r>
        <w:rPr>
          <w:rFonts w:hint="eastAsia" w:ascii="宋体" w:hAnsi="宋体" w:eastAsia="宋体" w:cs="宋体"/>
          <w:caps w:val="0"/>
          <w:smallCaps w:val="0"/>
          <w:vanish w:val="0"/>
          <w:color w:val="auto"/>
          <w:sz w:val="32"/>
          <w:szCs w:val="32"/>
          <w:lang w:eastAsia="zh-CN"/>
        </w:rPr>
        <w:t>有效传播疫情防控信息，普及防疫措施并引导民众理性对待网络疫情信息，自觉抵制虚假信息；制定《</w:t>
      </w:r>
      <w:r>
        <w:rPr>
          <w:rFonts w:hint="eastAsia" w:ascii="宋体" w:hAnsi="宋体" w:eastAsia="宋体" w:cs="宋体"/>
          <w:caps w:val="0"/>
          <w:smallCaps w:val="0"/>
          <w:vanish w:val="0"/>
          <w:color w:val="auto"/>
          <w:sz w:val="32"/>
          <w:szCs w:val="32"/>
          <w:lang w:val="en-US" w:eastAsia="zh-CN"/>
        </w:rPr>
        <w:t>突发事件新闻应急处置预案</w:t>
      </w:r>
      <w:r>
        <w:rPr>
          <w:rFonts w:hint="eastAsia" w:ascii="宋体" w:hAnsi="宋体" w:eastAsia="宋体" w:cs="宋体"/>
          <w:caps w:val="0"/>
          <w:smallCaps w:val="0"/>
          <w:vanish w:val="0"/>
          <w:color w:val="auto"/>
          <w:sz w:val="32"/>
          <w:szCs w:val="32"/>
          <w:lang w:eastAsia="zh-CN"/>
        </w:rPr>
        <w:t>》、《网络与信息安全事件应急预案》等。</w:t>
      </w:r>
    </w:p>
    <w:p>
      <w:pPr>
        <w:pStyle w:val="4"/>
        <w:ind w:firstLine="640" w:firstLineChars="200"/>
        <w:rPr>
          <w:rStyle w:val="33"/>
          <w:b w:val="0"/>
          <w:bCs w:val="0"/>
        </w:rPr>
      </w:pPr>
      <w:r>
        <w:rPr>
          <w:rFonts w:hint="eastAsia" w:ascii="黑体" w:eastAsia="黑体"/>
          <w:b w:val="0"/>
          <w:color w:val="000000"/>
        </w:rPr>
        <w:t>二、</w:t>
      </w:r>
      <w:r>
        <w:rPr>
          <w:rFonts w:hint="eastAsia" w:ascii="黑体" w:hAnsi="黑体" w:eastAsia="黑体"/>
          <w:b w:val="0"/>
          <w:color w:val="000000"/>
        </w:rPr>
        <w:t>机</w:t>
      </w:r>
      <w:r>
        <w:rPr>
          <w:rStyle w:val="33"/>
          <w:rFonts w:hint="eastAsia" w:ascii="黑体" w:hAnsi="黑体" w:eastAsia="黑体"/>
          <w:b w:val="0"/>
          <w:bCs w:val="0"/>
        </w:rPr>
        <w:t>构设置</w:t>
      </w:r>
      <w:bookmarkEnd w:id="35"/>
      <w:bookmarkEnd w:id="36"/>
      <w:bookmarkEnd w:id="37"/>
      <w:bookmarkEnd w:id="38"/>
    </w:p>
    <w:p>
      <w:pPr>
        <w:ind w:firstLine="800" w:firstLineChars="250"/>
        <w:rPr>
          <w:rFonts w:hint="eastAsia" w:ascii="宋体" w:hAnsi="宋体" w:eastAsia="宋体" w:cs="宋体"/>
          <w:sz w:val="32"/>
          <w:szCs w:val="32"/>
        </w:rPr>
      </w:pPr>
      <w:r>
        <w:rPr>
          <w:rFonts w:hint="eastAsia" w:ascii="宋体" w:hAnsi="宋体" w:eastAsia="宋体" w:cs="宋体"/>
          <w:sz w:val="32"/>
          <w:szCs w:val="32"/>
          <w:lang w:eastAsia="zh-CN"/>
        </w:rPr>
        <w:t>利州区航务处</w:t>
      </w:r>
      <w:r>
        <w:rPr>
          <w:rFonts w:hint="eastAsia" w:ascii="宋体" w:hAnsi="宋体" w:eastAsia="宋体" w:cs="宋体"/>
          <w:sz w:val="32"/>
          <w:szCs w:val="32"/>
        </w:rPr>
        <w:t>下属二级单位</w:t>
      </w:r>
      <w:r>
        <w:rPr>
          <w:rFonts w:hint="eastAsia" w:ascii="宋体" w:hAnsi="宋体" w:eastAsia="宋体" w:cs="宋体"/>
          <w:sz w:val="32"/>
          <w:szCs w:val="32"/>
          <w:lang w:val="en-US" w:eastAsia="zh-CN"/>
        </w:rPr>
        <w:t>0</w:t>
      </w:r>
      <w:r>
        <w:rPr>
          <w:rFonts w:hint="eastAsia" w:ascii="宋体" w:hAnsi="宋体" w:eastAsia="宋体" w:cs="宋体"/>
          <w:sz w:val="32"/>
          <w:szCs w:val="32"/>
        </w:rPr>
        <w:t>个，其中行政单位</w:t>
      </w:r>
      <w:r>
        <w:rPr>
          <w:rFonts w:hint="eastAsia" w:ascii="宋体" w:hAnsi="宋体" w:eastAsia="宋体" w:cs="宋体"/>
          <w:sz w:val="32"/>
          <w:szCs w:val="32"/>
          <w:lang w:val="en-US" w:eastAsia="zh-CN"/>
        </w:rPr>
        <w:t>0</w:t>
      </w:r>
      <w:r>
        <w:rPr>
          <w:rFonts w:hint="eastAsia" w:ascii="宋体" w:hAnsi="宋体" w:eastAsia="宋体" w:cs="宋体"/>
          <w:sz w:val="32"/>
          <w:szCs w:val="32"/>
        </w:rPr>
        <w:t>个，参照公务员法管理的事业单位</w:t>
      </w:r>
      <w:r>
        <w:rPr>
          <w:rFonts w:hint="eastAsia" w:ascii="宋体" w:hAnsi="宋体" w:eastAsia="宋体" w:cs="宋体"/>
          <w:bCs/>
          <w:sz w:val="32"/>
          <w:szCs w:val="32"/>
          <w:lang w:val="en-US" w:eastAsia="zh-CN"/>
        </w:rPr>
        <w:t>0</w:t>
      </w:r>
      <w:r>
        <w:rPr>
          <w:rFonts w:hint="eastAsia" w:ascii="宋体" w:hAnsi="宋体" w:eastAsia="宋体" w:cs="宋体"/>
          <w:sz w:val="32"/>
          <w:szCs w:val="32"/>
        </w:rPr>
        <w:t>个，其他事业单位</w:t>
      </w:r>
      <w:r>
        <w:rPr>
          <w:rFonts w:hint="eastAsia" w:ascii="宋体" w:hAnsi="宋体" w:eastAsia="宋体" w:cs="宋体"/>
          <w:sz w:val="32"/>
          <w:szCs w:val="32"/>
          <w:lang w:val="en-US" w:eastAsia="zh-CN"/>
        </w:rPr>
        <w:t>0</w:t>
      </w:r>
      <w:r>
        <w:rPr>
          <w:rFonts w:hint="eastAsia" w:ascii="宋体" w:hAnsi="宋体" w:eastAsia="宋体" w:cs="宋体"/>
          <w:sz w:val="32"/>
          <w:szCs w:val="32"/>
        </w:rPr>
        <w:t>个。</w:t>
      </w:r>
    </w:p>
    <w:p>
      <w:pPr>
        <w:pStyle w:val="3"/>
        <w:ind w:right="440"/>
        <w:jc w:val="right"/>
        <w:rPr>
          <w:rStyle w:val="32"/>
          <w:rFonts w:ascii="黑体" w:hAnsi="黑体" w:eastAsia="黑体"/>
          <w:b w:val="0"/>
          <w:bCs w:val="0"/>
        </w:rPr>
      </w:pPr>
      <w:bookmarkStart w:id="39" w:name="_Toc15377204"/>
      <w:bookmarkStart w:id="40" w:name="_Toc10749"/>
      <w:bookmarkStart w:id="41" w:name="_Toc15396602"/>
      <w:bookmarkStart w:id="42" w:name="_Toc7425"/>
      <w:r>
        <w:rPr>
          <w:rFonts w:hint="eastAsia" w:ascii="黑体" w:hAnsi="黑体" w:eastAsia="黑体"/>
          <w:b w:val="0"/>
          <w:color w:val="000000"/>
        </w:rPr>
        <w:t>第二部分</w:t>
      </w:r>
      <w:r>
        <w:rPr>
          <w:rFonts w:hint="eastAsia" w:ascii="黑体" w:hAnsi="黑体" w:eastAsia="黑体"/>
          <w:color w:val="000000"/>
        </w:rPr>
        <w:t xml:space="preserve"> </w:t>
      </w:r>
      <w:r>
        <w:rPr>
          <w:rStyle w:val="32"/>
          <w:rFonts w:hint="eastAsia" w:ascii="黑体" w:hAnsi="黑体" w:eastAsia="黑体"/>
          <w:b w:val="0"/>
          <w:bCs w:val="0"/>
        </w:rPr>
        <w:t>20</w:t>
      </w:r>
      <w:r>
        <w:rPr>
          <w:rStyle w:val="32"/>
          <w:rFonts w:hint="eastAsia" w:ascii="黑体" w:hAnsi="黑体" w:eastAsia="黑体"/>
          <w:b w:val="0"/>
          <w:bCs w:val="0"/>
          <w:lang w:val="en-US" w:eastAsia="zh-CN"/>
        </w:rPr>
        <w:t>20</w:t>
      </w:r>
      <w:r>
        <w:rPr>
          <w:rStyle w:val="32"/>
          <w:rFonts w:hint="eastAsia" w:ascii="黑体" w:hAnsi="黑体" w:eastAsia="黑体"/>
          <w:b w:val="0"/>
          <w:bCs w:val="0"/>
        </w:rPr>
        <w:t>年度部门决算情况说明</w:t>
      </w:r>
      <w:bookmarkEnd w:id="39"/>
      <w:bookmarkEnd w:id="40"/>
      <w:bookmarkEnd w:id="41"/>
      <w:bookmarkEnd w:id="42"/>
    </w:p>
    <w:p>
      <w:pPr>
        <w:pStyle w:val="31"/>
        <w:numPr>
          <w:ilvl w:val="0"/>
          <w:numId w:val="1"/>
        </w:numPr>
        <w:spacing w:line="600" w:lineRule="exact"/>
        <w:ind w:firstLineChars="0"/>
        <w:outlineLvl w:val="1"/>
        <w:rPr>
          <w:rStyle w:val="33"/>
          <w:rFonts w:ascii="黑体" w:hAnsi="黑体" w:eastAsia="黑体"/>
          <w:b w:val="0"/>
        </w:rPr>
      </w:pPr>
      <w:bookmarkStart w:id="43" w:name="_Toc24701"/>
      <w:bookmarkStart w:id="44" w:name="_Toc11042"/>
      <w:bookmarkStart w:id="45" w:name="_Toc15377205"/>
      <w:bookmarkStart w:id="46" w:name="_Toc15396603"/>
      <w:r>
        <w:rPr>
          <w:rFonts w:hint="eastAsia" w:ascii="黑体" w:hAnsi="黑体" w:eastAsia="黑体"/>
          <w:color w:val="000000"/>
          <w:sz w:val="32"/>
          <w:szCs w:val="32"/>
        </w:rPr>
        <w:t>收</w:t>
      </w:r>
      <w:r>
        <w:rPr>
          <w:rStyle w:val="33"/>
          <w:rFonts w:hint="eastAsia" w:ascii="黑体" w:hAnsi="黑体" w:eastAsia="黑体"/>
          <w:b w:val="0"/>
        </w:rPr>
        <w:t>入支出决算总体情况说明</w:t>
      </w:r>
      <w:bookmarkEnd w:id="43"/>
      <w:bookmarkEnd w:id="44"/>
      <w:bookmarkEnd w:id="45"/>
      <w:bookmarkEnd w:id="46"/>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lang w:val="en-US" w:eastAsia="zh-CN"/>
        </w:rPr>
        <w:t>总计242.31万元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244.99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1.36万元，下降1.01%，支出增加18.6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人员工资晋级调档。</w:t>
      </w: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
        <w:rPr>
          <w:rFonts w:hint="eastAsia" w:eastAsia="仿宋"/>
          <w:lang w:eastAsia="zh-CN"/>
        </w:rPr>
      </w:pPr>
      <w:r>
        <w:rPr>
          <w:rFonts w:hint="eastAsia" w:ascii="仿宋" w:hAnsi="仿宋" w:eastAsia="仿宋"/>
          <w:color w:val="000000"/>
          <w:sz w:val="32"/>
          <w:szCs w:val="32"/>
          <w:lang w:val="en-US" w:eastAsia="zh-CN"/>
        </w:rPr>
        <w:drawing>
          <wp:anchor distT="0" distB="0" distL="114300" distR="114300" simplePos="0" relativeHeight="251658240" behindDoc="0" locked="0" layoutInCell="1" allowOverlap="1">
            <wp:simplePos x="0" y="0"/>
            <wp:positionH relativeFrom="column">
              <wp:posOffset>112395</wp:posOffset>
            </wp:positionH>
            <wp:positionV relativeFrom="paragraph">
              <wp:posOffset>320675</wp:posOffset>
            </wp:positionV>
            <wp:extent cx="5080000" cy="38100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2"/>
        <w:rPr>
          <w:rFonts w:hint="eastAsia" w:eastAsia="仿宋"/>
          <w:lang w:eastAsia="zh-CN"/>
        </w:rPr>
      </w:pPr>
    </w:p>
    <w:p>
      <w:pPr>
        <w:pStyle w:val="31"/>
        <w:numPr>
          <w:ilvl w:val="0"/>
          <w:numId w:val="1"/>
        </w:numPr>
        <w:spacing w:line="600" w:lineRule="exact"/>
        <w:ind w:firstLineChars="0"/>
        <w:outlineLvl w:val="1"/>
        <w:rPr>
          <w:rStyle w:val="33"/>
          <w:rFonts w:ascii="黑体" w:hAnsi="黑体" w:eastAsia="黑体"/>
          <w:b w:val="0"/>
        </w:rPr>
      </w:pPr>
      <w:bookmarkStart w:id="47" w:name="_Toc15396604"/>
      <w:bookmarkStart w:id="48" w:name="_Toc15377206"/>
      <w:bookmarkStart w:id="49" w:name="_Toc32602"/>
      <w:bookmarkStart w:id="50" w:name="_Toc18860"/>
      <w:r>
        <w:rPr>
          <w:rFonts w:hint="eastAsia" w:ascii="黑体" w:hAnsi="黑体" w:eastAsia="黑体"/>
          <w:color w:val="000000"/>
          <w:sz w:val="32"/>
          <w:szCs w:val="32"/>
        </w:rPr>
        <w:t>收</w:t>
      </w:r>
      <w:r>
        <w:rPr>
          <w:rStyle w:val="33"/>
          <w:rFonts w:hint="eastAsia" w:ascii="黑体" w:hAnsi="黑体" w:eastAsia="黑体"/>
          <w:b w:val="0"/>
        </w:rPr>
        <w:t>入决算情况说明</w:t>
      </w:r>
      <w:bookmarkEnd w:id="47"/>
      <w:bookmarkEnd w:id="48"/>
      <w:bookmarkEnd w:id="49"/>
      <w:bookmarkEnd w:id="50"/>
    </w:p>
    <w:p>
      <w:pPr>
        <w:spacing w:line="600" w:lineRule="exact"/>
        <w:ind w:firstLine="640" w:firstLineChars="200"/>
        <w:outlineLvl w:val="1"/>
        <w:rPr>
          <w:rFonts w:ascii="仿宋" w:hAnsi="仿宋" w:eastAsia="仿宋"/>
          <w:color w:val="000000"/>
          <w:sz w:val="32"/>
          <w:szCs w:val="32"/>
        </w:rPr>
      </w:pPr>
      <w:bookmarkStart w:id="51" w:name="_Toc4835"/>
      <w:bookmarkStart w:id="52" w:name="_Toc29163"/>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242.31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242.31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51"/>
      <w:bookmarkEnd w:id="52"/>
    </w:p>
    <w:p>
      <w:pPr>
        <w:pStyle w:val="2"/>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pStyle w:val="2"/>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325755</wp:posOffset>
            </wp:positionH>
            <wp:positionV relativeFrom="paragraph">
              <wp:posOffset>6350</wp:posOffset>
            </wp:positionV>
            <wp:extent cx="4698365" cy="3385820"/>
            <wp:effectExtent l="4445" t="4445" r="21590" b="1968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31"/>
        <w:numPr>
          <w:ilvl w:val="0"/>
          <w:numId w:val="1"/>
        </w:numPr>
        <w:spacing w:line="600" w:lineRule="exact"/>
        <w:ind w:firstLineChars="0"/>
        <w:outlineLvl w:val="1"/>
        <w:rPr>
          <w:rStyle w:val="33"/>
          <w:rFonts w:ascii="黑体" w:hAnsi="黑体" w:eastAsia="黑体"/>
          <w:b w:val="0"/>
        </w:rPr>
      </w:pPr>
      <w:bookmarkStart w:id="53" w:name="_Toc2533"/>
      <w:bookmarkStart w:id="54" w:name="_Toc15377207"/>
      <w:bookmarkStart w:id="55" w:name="_Toc10750"/>
      <w:bookmarkStart w:id="56" w:name="_Toc15396605"/>
      <w:r>
        <w:rPr>
          <w:rFonts w:hint="eastAsia" w:ascii="黑体" w:hAnsi="黑体" w:eastAsia="黑体"/>
          <w:color w:val="000000"/>
          <w:sz w:val="32"/>
          <w:szCs w:val="32"/>
        </w:rPr>
        <w:t>支</w:t>
      </w:r>
      <w:r>
        <w:rPr>
          <w:rStyle w:val="33"/>
          <w:rFonts w:hint="eastAsia" w:ascii="黑体" w:hAnsi="黑体" w:eastAsia="黑体"/>
          <w:b w:val="0"/>
        </w:rPr>
        <w:t>出决算情况说明</w:t>
      </w:r>
      <w:bookmarkEnd w:id="53"/>
      <w:bookmarkEnd w:id="54"/>
      <w:bookmarkEnd w:id="55"/>
      <w:bookmarkEnd w:id="56"/>
    </w:p>
    <w:p>
      <w:pPr>
        <w:spacing w:line="600" w:lineRule="exact"/>
        <w:ind w:firstLine="640" w:firstLineChars="200"/>
        <w:outlineLvl w:val="1"/>
        <w:rPr>
          <w:rFonts w:ascii="仿宋" w:hAnsi="仿宋" w:eastAsia="仿宋"/>
          <w:color w:val="000000"/>
          <w:sz w:val="32"/>
          <w:szCs w:val="32"/>
        </w:rPr>
      </w:pPr>
      <w:bookmarkStart w:id="57" w:name="_Toc18974"/>
      <w:bookmarkStart w:id="58" w:name="_Toc31266"/>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244.99</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203.04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41.95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57"/>
      <w:bookmarkEnd w:id="58"/>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420" w:firstLineChars="200"/>
        <w:rPr>
          <w:rFonts w:hint="eastAsia" w:ascii="仿宋" w:hAnsi="仿宋" w:eastAsia="仿宋"/>
          <w:color w:val="000000" w:themeColor="text1"/>
          <w:sz w:val="32"/>
          <w:szCs w:val="32"/>
        </w:rPr>
      </w:pPr>
      <w:r>
        <w:rPr>
          <w:rFonts w:hint="eastAsia" w:eastAsia="仿宋"/>
          <w:lang w:eastAsia="zh-CN"/>
        </w:rPr>
        <w:drawing>
          <wp:anchor distT="0" distB="0" distL="114300" distR="114300" simplePos="0" relativeHeight="251667456" behindDoc="0" locked="0" layoutInCell="1" allowOverlap="1">
            <wp:simplePos x="0" y="0"/>
            <wp:positionH relativeFrom="column">
              <wp:posOffset>194945</wp:posOffset>
            </wp:positionH>
            <wp:positionV relativeFrom="paragraph">
              <wp:posOffset>1637665</wp:posOffset>
            </wp:positionV>
            <wp:extent cx="5149850" cy="2975610"/>
            <wp:effectExtent l="4445" t="4445" r="8255" b="1079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33"/>
          <w:rFonts w:ascii="黑体" w:hAnsi="黑体" w:eastAsia="黑体"/>
          <w:b w:val="0"/>
        </w:rPr>
      </w:pPr>
      <w:bookmarkStart w:id="59" w:name="_Toc27021"/>
      <w:bookmarkStart w:id="60" w:name="_Toc549"/>
      <w:bookmarkStart w:id="61" w:name="_Toc15377208"/>
      <w:bookmarkStart w:id="62" w:name="_Toc15396606"/>
      <w:r>
        <w:rPr>
          <w:rFonts w:hint="eastAsia" w:ascii="黑体" w:hAnsi="黑体" w:eastAsia="黑体"/>
          <w:color w:val="000000"/>
          <w:sz w:val="32"/>
          <w:szCs w:val="32"/>
        </w:rPr>
        <w:t>四、财</w:t>
      </w:r>
      <w:r>
        <w:rPr>
          <w:rStyle w:val="33"/>
          <w:rFonts w:hint="eastAsia" w:ascii="黑体" w:hAnsi="黑体" w:eastAsia="黑体"/>
          <w:b w:val="0"/>
        </w:rPr>
        <w:t>政拨款收入支出决算总体情况说明</w:t>
      </w:r>
      <w:bookmarkEnd w:id="59"/>
      <w:bookmarkEnd w:id="60"/>
      <w:bookmarkEnd w:id="61"/>
      <w:bookmarkEnd w:id="62"/>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入总计</w:t>
      </w:r>
      <w:r>
        <w:rPr>
          <w:rFonts w:hint="eastAsia" w:ascii="仿宋" w:hAnsi="仿宋" w:eastAsia="仿宋"/>
          <w:color w:val="000000"/>
          <w:sz w:val="32"/>
          <w:szCs w:val="32"/>
          <w:lang w:val="en-US" w:eastAsia="zh-CN"/>
        </w:rPr>
        <w:t>242.31万元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244.99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入减少</w:t>
      </w:r>
      <w:r>
        <w:rPr>
          <w:rFonts w:hint="eastAsia" w:ascii="仿宋" w:hAnsi="仿宋" w:eastAsia="仿宋"/>
          <w:color w:val="000000"/>
          <w:sz w:val="32"/>
          <w:szCs w:val="32"/>
          <w:lang w:val="en-US" w:eastAsia="zh-CN"/>
        </w:rPr>
        <w:t>1.36万元，下降1.01%，支出增加18.6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人员工资晋级调档。</w:t>
      </w:r>
    </w:p>
    <w:p>
      <w:pPr>
        <w:pStyle w:val="2"/>
        <w:rPr>
          <w:rFonts w:hint="eastAsia" w:ascii="仿宋" w:hAnsi="仿宋" w:eastAsia="仿宋"/>
          <w:color w:val="000000"/>
          <w:sz w:val="32"/>
          <w:szCs w:val="32"/>
          <w:lang w:eastAsia="zh-CN"/>
        </w:rPr>
      </w:pPr>
    </w:p>
    <w:p>
      <w:pPr>
        <w:pStyle w:val="2"/>
        <w:rPr>
          <w:rFonts w:hint="eastAsia" w:ascii="仿宋" w:hAnsi="仿宋" w:eastAsia="仿宋"/>
          <w:color w:val="000000"/>
          <w:sz w:val="32"/>
          <w:szCs w:val="32"/>
          <w:lang w:eastAsia="zh-CN"/>
        </w:rPr>
      </w:pPr>
    </w:p>
    <w:p>
      <w:pPr>
        <w:pStyle w:val="2"/>
        <w:rPr>
          <w:rFonts w:hint="eastAsia" w:ascii="仿宋" w:hAnsi="仿宋" w:eastAsia="仿宋"/>
          <w:color w:val="000000"/>
          <w:sz w:val="32"/>
          <w:szCs w:val="32"/>
          <w:lang w:eastAsia="zh-CN"/>
        </w:rPr>
      </w:pPr>
    </w:p>
    <w:p>
      <w:pPr>
        <w:spacing w:line="600" w:lineRule="exact"/>
        <w:rPr>
          <w:rFonts w:ascii="仿宋" w:hAnsi="仿宋" w:eastAsia="仿宋"/>
          <w:color w:val="000000"/>
          <w:sz w:val="32"/>
          <w:szCs w:val="32"/>
        </w:rPr>
      </w:pPr>
      <w:r>
        <w:rPr>
          <w:rFonts w:hint="eastAsia" w:ascii="仿宋" w:hAnsi="仿宋" w:eastAsia="仿宋"/>
          <w:color w:val="000000"/>
          <w:sz w:val="32"/>
          <w:szCs w:val="32"/>
          <w:lang w:val="en-US" w:eastAsia="zh-CN"/>
        </w:rPr>
        <w:drawing>
          <wp:anchor distT="0" distB="0" distL="114300" distR="114300" simplePos="0" relativeHeight="251674624" behindDoc="0" locked="0" layoutInCell="1" allowOverlap="1">
            <wp:simplePos x="0" y="0"/>
            <wp:positionH relativeFrom="column">
              <wp:posOffset>-127000</wp:posOffset>
            </wp:positionH>
            <wp:positionV relativeFrom="paragraph">
              <wp:posOffset>-6832600</wp:posOffset>
            </wp:positionV>
            <wp:extent cx="5080000" cy="3810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ascii="仿宋" w:hAnsi="仿宋" w:eastAsia="仿宋"/>
          <w:color w:val="000000" w:themeColor="text1"/>
          <w:sz w:val="32"/>
          <w:szCs w:val="32"/>
        </w:rPr>
      </w:pPr>
      <w:bookmarkStart w:id="63" w:name="_Toc15396607"/>
      <w:bookmarkStart w:id="64" w:name="_Toc15377209"/>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33"/>
          <w:rFonts w:ascii="黑体" w:hAnsi="黑体" w:eastAsia="黑体"/>
          <w:b w:val="0"/>
        </w:rPr>
      </w:pPr>
      <w:bookmarkStart w:id="65" w:name="_Toc24821"/>
      <w:bookmarkStart w:id="66" w:name="_Toc3037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3"/>
          <w:rFonts w:hint="eastAsia" w:ascii="黑体" w:hAnsi="黑体" w:eastAsia="黑体"/>
          <w:b w:val="0"/>
        </w:rPr>
        <w:t>般公共预算财政拨款支出决算情况说明</w:t>
      </w:r>
      <w:bookmarkEnd w:id="63"/>
      <w:bookmarkEnd w:id="64"/>
      <w:bookmarkEnd w:id="65"/>
      <w:bookmarkEnd w:id="66"/>
    </w:p>
    <w:p>
      <w:pPr>
        <w:spacing w:line="600" w:lineRule="exact"/>
        <w:ind w:firstLine="642" w:firstLineChars="200"/>
        <w:outlineLvl w:val="2"/>
        <w:rPr>
          <w:rFonts w:ascii="仿宋" w:hAnsi="仿宋" w:eastAsia="仿宋"/>
          <w:b/>
          <w:color w:val="000000"/>
          <w:sz w:val="32"/>
          <w:szCs w:val="32"/>
        </w:rPr>
      </w:pPr>
      <w:bookmarkStart w:id="67" w:name="_Toc28480"/>
      <w:bookmarkStart w:id="68" w:name="_Toc15377210"/>
      <w:bookmarkStart w:id="69" w:name="_Toc14898"/>
      <w:r>
        <w:rPr>
          <w:rFonts w:hint="eastAsia" w:ascii="仿宋" w:hAnsi="仿宋" w:eastAsia="仿宋"/>
          <w:b/>
          <w:color w:val="000000"/>
          <w:sz w:val="32"/>
          <w:szCs w:val="32"/>
        </w:rPr>
        <w:t>（一）一般公共预算财政拨款支出决算总体情况</w:t>
      </w:r>
      <w:bookmarkEnd w:id="67"/>
      <w:bookmarkEnd w:id="68"/>
      <w:bookmarkEnd w:id="6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244.99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18.6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人员工资晋级调档。</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2" w:firstLineChars="200"/>
        <w:rPr>
          <w:rFonts w:hint="eastAsia" w:ascii="仿宋" w:hAnsi="仿宋" w:eastAsia="仿宋"/>
          <w:b/>
          <w:color w:val="000000"/>
          <w:sz w:val="32"/>
          <w:szCs w:val="32"/>
        </w:rPr>
      </w:pPr>
    </w:p>
    <w:p>
      <w:pPr>
        <w:spacing w:line="600" w:lineRule="exact"/>
        <w:ind w:firstLine="642" w:firstLineChars="200"/>
        <w:rPr>
          <w:rFonts w:hint="eastAsia" w:ascii="仿宋" w:hAnsi="仿宋" w:eastAsia="仿宋"/>
          <w:b/>
          <w:color w:val="000000"/>
          <w:sz w:val="32"/>
          <w:szCs w:val="32"/>
        </w:rPr>
      </w:pPr>
    </w:p>
    <w:p>
      <w:pPr>
        <w:spacing w:line="600" w:lineRule="exact"/>
        <w:ind w:firstLine="642" w:firstLineChars="200"/>
        <w:rPr>
          <w:rFonts w:hint="eastAsia" w:ascii="仿宋" w:hAnsi="仿宋" w:eastAsia="仿宋"/>
          <w:b/>
          <w:color w:val="000000"/>
          <w:sz w:val="32"/>
          <w:szCs w:val="32"/>
        </w:rPr>
      </w:pPr>
    </w:p>
    <w:p>
      <w:pPr>
        <w:spacing w:line="600" w:lineRule="exact"/>
        <w:ind w:firstLine="642" w:firstLineChars="200"/>
        <w:rPr>
          <w:rFonts w:hint="eastAsia" w:ascii="仿宋" w:hAnsi="仿宋" w:eastAsia="仿宋"/>
          <w:b/>
          <w:color w:val="000000"/>
          <w:sz w:val="32"/>
          <w:szCs w:val="32"/>
        </w:rPr>
      </w:pPr>
    </w:p>
    <w:p>
      <w:pPr>
        <w:spacing w:line="600" w:lineRule="exact"/>
        <w:ind w:firstLine="642" w:firstLineChars="200"/>
        <w:rPr>
          <w:rFonts w:hint="eastAsia" w:ascii="仿宋" w:hAnsi="仿宋" w:eastAsia="仿宋"/>
          <w:b/>
          <w:color w:val="000000"/>
          <w:sz w:val="32"/>
          <w:szCs w:val="32"/>
        </w:rPr>
      </w:pPr>
    </w:p>
    <w:p>
      <w:pPr>
        <w:spacing w:line="600" w:lineRule="exact"/>
        <w:ind w:firstLine="642" w:firstLineChars="200"/>
        <w:rPr>
          <w:rFonts w:hint="eastAsia" w:ascii="仿宋" w:hAnsi="仿宋" w:eastAsia="仿宋"/>
          <w:b/>
          <w:color w:val="000000"/>
          <w:sz w:val="32"/>
          <w:szCs w:val="32"/>
        </w:rPr>
      </w:pPr>
    </w:p>
    <w:p>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lang w:eastAsia="zh-CN"/>
        </w:rPr>
        <w:drawing>
          <wp:anchor distT="0" distB="0" distL="114300" distR="114300" simplePos="0" relativeHeight="251686912" behindDoc="0" locked="0" layoutInCell="1" allowOverlap="1">
            <wp:simplePos x="0" y="0"/>
            <wp:positionH relativeFrom="column">
              <wp:posOffset>76200</wp:posOffset>
            </wp:positionH>
            <wp:positionV relativeFrom="paragraph">
              <wp:posOffset>366395</wp:posOffset>
            </wp:positionV>
            <wp:extent cx="4995545" cy="3020695"/>
            <wp:effectExtent l="4445" t="4445" r="10160" b="2286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70" w:name="_Toc15377211"/>
      <w:r>
        <w:rPr>
          <w:rFonts w:hint="eastAsia" w:ascii="仿宋" w:hAnsi="仿宋" w:eastAsia="仿宋"/>
          <w:b/>
          <w:color w:val="000000"/>
          <w:sz w:val="32"/>
          <w:szCs w:val="32"/>
        </w:rPr>
        <w:t>（二）一般公共预算财政拨款支出决算结构情况</w:t>
      </w:r>
      <w:bookmarkEnd w:id="70"/>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244.99</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16.96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6.92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w:t>
      </w:r>
      <w:r>
        <w:rPr>
          <w:rFonts w:hint="eastAsia" w:ascii="仿宋" w:hAnsi="仿宋" w:eastAsia="仿宋"/>
          <w:b/>
          <w:bCs/>
          <w:color w:val="000000" w:themeColor="text1"/>
          <w:sz w:val="32"/>
          <w:szCs w:val="32"/>
          <w:lang w:eastAsia="zh-CN"/>
        </w:rPr>
        <w:t>健康</w:t>
      </w:r>
      <w:r>
        <w:rPr>
          <w:rFonts w:hint="eastAsia" w:ascii="仿宋" w:hAnsi="仿宋" w:eastAsia="仿宋"/>
          <w:b/>
          <w:bCs/>
          <w:color w:val="000000" w:themeColor="text1"/>
          <w:sz w:val="32"/>
          <w:szCs w:val="32"/>
        </w:rPr>
        <w:t>支出</w:t>
      </w:r>
      <w:r>
        <w:rPr>
          <w:rFonts w:hint="eastAsia" w:ascii="仿宋" w:hAnsi="仿宋" w:eastAsia="仿宋"/>
          <w:b/>
          <w:bCs/>
          <w:color w:val="000000" w:themeColor="text1"/>
          <w:sz w:val="32"/>
          <w:szCs w:val="32"/>
          <w:lang w:val="en-US" w:eastAsia="zh-CN"/>
        </w:rPr>
        <w:t>7.31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2.98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eastAsia="zh-CN"/>
        </w:rPr>
        <w:t>农林水</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0.21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交通运输</w:t>
      </w:r>
      <w:r>
        <w:rPr>
          <w:rFonts w:hint="eastAsia" w:ascii="仿宋" w:hAnsi="仿宋" w:eastAsia="仿宋"/>
          <w:b/>
          <w:bCs/>
          <w:color w:val="000000" w:themeColor="text1"/>
          <w:sz w:val="32"/>
          <w:szCs w:val="32"/>
        </w:rPr>
        <w:t>支出</w:t>
      </w:r>
      <w:r>
        <w:rPr>
          <w:rFonts w:hint="eastAsia" w:ascii="仿宋" w:hAnsi="仿宋" w:eastAsia="仿宋"/>
          <w:b/>
          <w:bCs/>
          <w:color w:val="000000" w:themeColor="text1"/>
          <w:sz w:val="32"/>
          <w:szCs w:val="32"/>
          <w:lang w:val="en-US" w:eastAsia="zh-CN"/>
        </w:rPr>
        <w:t>208.45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85.09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lang w:val="en-US" w:eastAsia="zh-CN"/>
        </w:rPr>
        <w:t>11.77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2" w:firstLineChars="200"/>
        <w:rPr>
          <w:rFonts w:hint="eastAsia" w:ascii="仿宋" w:hAnsi="仿宋" w:eastAsia="仿宋"/>
          <w:color w:val="000000"/>
          <w:sz w:val="32"/>
          <w:szCs w:val="32"/>
        </w:rPr>
      </w:pPr>
      <w:r>
        <w:rPr>
          <w:rFonts w:hint="eastAsia" w:ascii="仿宋" w:hAnsi="仿宋" w:eastAsia="仿宋"/>
          <w:b/>
          <w:color w:val="000000" w:themeColor="text1"/>
          <w:sz w:val="32"/>
          <w:szCs w:val="32"/>
          <w:lang w:eastAsia="zh-CN"/>
        </w:rPr>
        <w:drawing>
          <wp:anchor distT="0" distB="0" distL="114300" distR="114300" simplePos="0" relativeHeight="251705344" behindDoc="0" locked="0" layoutInCell="1" allowOverlap="1">
            <wp:simplePos x="0" y="0"/>
            <wp:positionH relativeFrom="column">
              <wp:posOffset>40640</wp:posOffset>
            </wp:positionH>
            <wp:positionV relativeFrom="paragraph">
              <wp:posOffset>72390</wp:posOffset>
            </wp:positionV>
            <wp:extent cx="5157470" cy="3175000"/>
            <wp:effectExtent l="4445" t="4445" r="19685" b="20955"/>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2" w:firstLineChars="200"/>
        <w:outlineLvl w:val="2"/>
        <w:rPr>
          <w:rFonts w:ascii="仿宋" w:hAnsi="仿宋" w:eastAsia="仿宋"/>
          <w:b/>
          <w:color w:val="000000"/>
          <w:sz w:val="32"/>
          <w:szCs w:val="32"/>
        </w:rPr>
      </w:pPr>
      <w:bookmarkStart w:id="71" w:name="_Toc15377212"/>
      <w:bookmarkStart w:id="72" w:name="_Toc32463"/>
      <w:bookmarkStart w:id="73" w:name="_Toc16200"/>
      <w:r>
        <w:rPr>
          <w:rFonts w:hint="eastAsia" w:ascii="仿宋" w:hAnsi="仿宋" w:eastAsia="仿宋"/>
          <w:b/>
          <w:color w:val="000000"/>
          <w:sz w:val="32"/>
          <w:szCs w:val="32"/>
        </w:rPr>
        <w:t>（三）一般公共预算财政拨款支出决算具体情况</w:t>
      </w:r>
      <w:bookmarkEnd w:id="71"/>
      <w:bookmarkEnd w:id="72"/>
      <w:bookmarkEnd w:id="73"/>
    </w:p>
    <w:p>
      <w:pPr>
        <w:spacing w:line="600" w:lineRule="exact"/>
        <w:ind w:firstLine="642" w:firstLineChars="200"/>
        <w:outlineLvl w:val="2"/>
        <w:rPr>
          <w:rFonts w:ascii="仿宋" w:hAnsi="仿宋" w:eastAsia="仿宋"/>
          <w:color w:val="FF0000"/>
          <w:sz w:val="32"/>
          <w:szCs w:val="32"/>
        </w:rPr>
      </w:pPr>
      <w:bookmarkStart w:id="74" w:name="_Toc21484"/>
      <w:bookmarkStart w:id="75" w:name="_Toc15377213"/>
      <w:bookmarkStart w:id="76" w:name="_Toc11578"/>
      <w:bookmarkStart w:id="77" w:name="_Toc15377444"/>
      <w:bookmarkStart w:id="78" w:name="_Toc15378460"/>
      <w:r>
        <w:rPr>
          <w:rFonts w:hint="eastAsia" w:ascii="仿宋" w:hAnsi="仿宋" w:eastAsia="仿宋"/>
          <w:b/>
          <w:color w:val="000000" w:themeColor="text1"/>
          <w:sz w:val="32"/>
          <w:szCs w:val="32"/>
        </w:rPr>
        <w:t>20</w:t>
      </w:r>
      <w:r>
        <w:rPr>
          <w:rFonts w:hint="eastAsia" w:ascii="仿宋" w:hAnsi="仿宋" w:eastAsia="仿宋"/>
          <w:b/>
          <w:color w:val="000000" w:themeColor="text1"/>
          <w:sz w:val="32"/>
          <w:szCs w:val="32"/>
          <w:lang w:val="en-US" w:eastAsia="zh-CN"/>
        </w:rPr>
        <w:t>20</w:t>
      </w:r>
      <w:r>
        <w:rPr>
          <w:rFonts w:hint="eastAsia" w:ascii="仿宋" w:hAnsi="仿宋" w:eastAsia="仿宋"/>
          <w:b/>
          <w:color w:val="000000" w:themeColor="text1"/>
          <w:sz w:val="32"/>
          <w:szCs w:val="32"/>
        </w:rPr>
        <w:t>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244.99</w:t>
      </w:r>
      <w:r>
        <w:rPr>
          <w:rFonts w:hint="eastAsia" w:ascii="仿宋" w:hAnsi="仿宋" w:eastAsia="仿宋"/>
          <w:color w:val="000000" w:themeColor="text1"/>
          <w:sz w:val="32"/>
          <w:szCs w:val="32"/>
        </w:rPr>
        <w:t>，</w:t>
      </w:r>
      <w:r>
        <w:rPr>
          <w:rStyle w:val="22"/>
          <w:rFonts w:hint="eastAsia" w:ascii="仿宋" w:hAnsi="仿宋" w:eastAsia="仿宋"/>
          <w:bCs/>
          <w:color w:val="000000" w:themeColor="text1"/>
          <w:sz w:val="32"/>
          <w:szCs w:val="32"/>
        </w:rPr>
        <w:t>完成</w:t>
      </w:r>
      <w:r>
        <w:rPr>
          <w:rStyle w:val="22"/>
          <w:rFonts w:hint="eastAsia" w:ascii="仿宋" w:hAnsi="仿宋" w:eastAsia="仿宋"/>
          <w:bCs/>
          <w:color w:val="000000"/>
          <w:sz w:val="32"/>
          <w:szCs w:val="32"/>
        </w:rPr>
        <w:t>预算</w:t>
      </w:r>
      <w:r>
        <w:rPr>
          <w:rStyle w:val="22"/>
          <w:rFonts w:hint="eastAsia" w:ascii="仿宋" w:hAnsi="仿宋" w:eastAsia="仿宋"/>
          <w:bCs/>
          <w:color w:val="000000"/>
          <w:sz w:val="32"/>
          <w:szCs w:val="32"/>
          <w:lang w:val="en-US" w:eastAsia="zh-CN"/>
        </w:rPr>
        <w:t>118.97</w:t>
      </w:r>
      <w:r>
        <w:rPr>
          <w:rStyle w:val="22"/>
          <w:rFonts w:ascii="仿宋" w:hAnsi="仿宋" w:eastAsia="仿宋"/>
          <w:bCs/>
          <w:color w:val="000000"/>
          <w:sz w:val="32"/>
          <w:szCs w:val="32"/>
        </w:rPr>
        <w:t>%</w:t>
      </w:r>
      <w:r>
        <w:rPr>
          <w:rStyle w:val="22"/>
          <w:rFonts w:hint="eastAsia" w:ascii="仿宋" w:hAnsi="仿宋" w:eastAsia="仿宋"/>
          <w:bCs/>
          <w:color w:val="000000"/>
          <w:sz w:val="32"/>
          <w:szCs w:val="32"/>
        </w:rPr>
        <w:t>。其中：</w:t>
      </w:r>
      <w:bookmarkEnd w:id="74"/>
      <w:bookmarkEnd w:id="75"/>
      <w:bookmarkEnd w:id="76"/>
      <w:bookmarkEnd w:id="77"/>
      <w:bookmarkEnd w:id="78"/>
    </w:p>
    <w:p>
      <w:pPr>
        <w:spacing w:line="600" w:lineRule="exact"/>
        <w:ind w:firstLine="642" w:firstLineChars="200"/>
        <w:rPr>
          <w:rFonts w:hint="eastAsia" w:asciiTheme="majorEastAsia" w:hAnsiTheme="majorEastAsia" w:eastAsiaTheme="majorEastAsia" w:cstheme="majorEastAsia"/>
          <w:b/>
          <w:color w:val="000000"/>
          <w:sz w:val="32"/>
          <w:szCs w:val="32"/>
        </w:rPr>
      </w:pPr>
      <w:r>
        <w:rPr>
          <w:rStyle w:val="22"/>
          <w:rFonts w:ascii="仿宋" w:hAnsi="仿宋" w:eastAsia="仿宋"/>
          <w:bCs/>
          <w:color w:val="000000"/>
          <w:sz w:val="32"/>
          <w:szCs w:val="32"/>
        </w:rPr>
        <w:t>1.</w:t>
      </w:r>
      <w:r>
        <w:rPr>
          <w:rStyle w:val="22"/>
          <w:rFonts w:hint="eastAsia" w:asciiTheme="majorEastAsia" w:hAnsiTheme="majorEastAsia" w:eastAsiaTheme="majorEastAsia" w:cstheme="majorEastAsia"/>
          <w:bCs/>
          <w:color w:val="000000"/>
          <w:sz w:val="32"/>
          <w:szCs w:val="32"/>
        </w:rPr>
        <w:t>社会保障和就业（类）</w:t>
      </w:r>
      <w:r>
        <w:rPr>
          <w:rStyle w:val="22"/>
          <w:rFonts w:hint="eastAsia" w:asciiTheme="majorEastAsia" w:hAnsiTheme="majorEastAsia" w:eastAsiaTheme="majorEastAsia" w:cstheme="majorEastAsia"/>
          <w:color w:val="000000"/>
          <w:sz w:val="32"/>
          <w:szCs w:val="32"/>
        </w:rPr>
        <w:t>行政事业单位离退休（款）机关事业单位基本养老保险缴费支出（项）</w:t>
      </w:r>
      <w:r>
        <w:rPr>
          <w:rStyle w:val="22"/>
          <w:rFonts w:hint="eastAsia" w:asciiTheme="majorEastAsia" w:hAnsiTheme="majorEastAsia" w:eastAsiaTheme="majorEastAsia" w:cstheme="majorEastAsia"/>
          <w:bCs/>
          <w:color w:val="000000"/>
          <w:sz w:val="32"/>
          <w:szCs w:val="32"/>
        </w:rPr>
        <w:t>:</w:t>
      </w:r>
      <w:r>
        <w:rPr>
          <w:rStyle w:val="22"/>
          <w:rFonts w:hint="eastAsia" w:asciiTheme="majorEastAsia" w:hAnsiTheme="majorEastAsia" w:eastAsiaTheme="majorEastAsia" w:cstheme="majorEastAsia"/>
          <w:b w:val="0"/>
          <w:bCs/>
          <w:color w:val="000000"/>
          <w:sz w:val="32"/>
          <w:szCs w:val="32"/>
        </w:rPr>
        <w:t xml:space="preserve"> 支出决算为</w:t>
      </w:r>
      <w:r>
        <w:rPr>
          <w:rStyle w:val="22"/>
          <w:rFonts w:hint="eastAsia" w:asciiTheme="majorEastAsia" w:hAnsiTheme="majorEastAsia" w:eastAsiaTheme="majorEastAsia" w:cstheme="majorEastAsia"/>
          <w:b w:val="0"/>
          <w:bCs/>
          <w:color w:val="000000"/>
          <w:sz w:val="32"/>
          <w:szCs w:val="32"/>
          <w:lang w:val="en-US" w:eastAsia="zh-CN"/>
        </w:rPr>
        <w:t>16.10</w:t>
      </w:r>
      <w:r>
        <w:rPr>
          <w:rStyle w:val="22"/>
          <w:rFonts w:hint="eastAsia" w:asciiTheme="majorEastAsia" w:hAnsiTheme="majorEastAsia" w:eastAsiaTheme="majorEastAsia" w:cstheme="majorEastAsia"/>
          <w:b w:val="0"/>
          <w:bCs/>
          <w:color w:val="000000"/>
          <w:sz w:val="32"/>
          <w:szCs w:val="32"/>
        </w:rPr>
        <w:t>万元，</w:t>
      </w:r>
      <w:r>
        <w:rPr>
          <w:rStyle w:val="22"/>
          <w:rFonts w:hint="eastAsia" w:asciiTheme="majorEastAsia" w:hAnsiTheme="majorEastAsia" w:eastAsiaTheme="majorEastAsia" w:cstheme="majorEastAsia"/>
          <w:b w:val="0"/>
          <w:bCs w:val="0"/>
          <w:color w:val="000000"/>
          <w:sz w:val="32"/>
          <w:szCs w:val="32"/>
          <w:lang w:eastAsia="zh-CN"/>
        </w:rPr>
        <w:t>其他</w:t>
      </w:r>
      <w:r>
        <w:rPr>
          <w:rStyle w:val="22"/>
          <w:rFonts w:hint="eastAsia" w:asciiTheme="majorEastAsia" w:hAnsiTheme="majorEastAsia" w:eastAsiaTheme="majorEastAsia" w:cstheme="majorEastAsia"/>
          <w:b w:val="0"/>
          <w:bCs w:val="0"/>
          <w:color w:val="000000"/>
          <w:sz w:val="32"/>
          <w:szCs w:val="32"/>
        </w:rPr>
        <w:t>社会保障和就业</w:t>
      </w:r>
      <w:r>
        <w:rPr>
          <w:rStyle w:val="22"/>
          <w:rFonts w:hint="eastAsia" w:asciiTheme="majorEastAsia" w:hAnsiTheme="majorEastAsia" w:eastAsiaTheme="majorEastAsia" w:cstheme="majorEastAsia"/>
          <w:b w:val="0"/>
          <w:bCs w:val="0"/>
          <w:color w:val="000000"/>
          <w:sz w:val="32"/>
          <w:szCs w:val="32"/>
          <w:lang w:eastAsia="zh-CN"/>
        </w:rPr>
        <w:t>支出</w:t>
      </w:r>
      <w:r>
        <w:rPr>
          <w:rStyle w:val="22"/>
          <w:rFonts w:hint="eastAsia" w:asciiTheme="majorEastAsia" w:hAnsiTheme="majorEastAsia" w:eastAsiaTheme="majorEastAsia" w:cstheme="majorEastAsia"/>
          <w:b w:val="0"/>
          <w:bCs w:val="0"/>
          <w:color w:val="000000"/>
          <w:sz w:val="32"/>
          <w:szCs w:val="32"/>
          <w:lang w:val="en-US" w:eastAsia="zh-CN"/>
        </w:rPr>
        <w:t>0.86万元，</w:t>
      </w:r>
      <w:r>
        <w:rPr>
          <w:rStyle w:val="22"/>
          <w:rFonts w:hint="eastAsia" w:asciiTheme="majorEastAsia" w:hAnsiTheme="majorEastAsia" w:eastAsiaTheme="majorEastAsia" w:cstheme="majorEastAsia"/>
          <w:b w:val="0"/>
          <w:bCs/>
          <w:color w:val="000000"/>
          <w:sz w:val="32"/>
          <w:szCs w:val="32"/>
        </w:rPr>
        <w:t>完成预算</w:t>
      </w:r>
      <w:r>
        <w:rPr>
          <w:rStyle w:val="22"/>
          <w:rFonts w:hint="eastAsia" w:asciiTheme="majorEastAsia" w:hAnsiTheme="majorEastAsia" w:eastAsiaTheme="majorEastAsia" w:cstheme="majorEastAsia"/>
          <w:b w:val="0"/>
          <w:bCs/>
          <w:color w:val="000000"/>
          <w:sz w:val="32"/>
          <w:szCs w:val="32"/>
          <w:lang w:val="en-US" w:eastAsia="zh-CN"/>
        </w:rPr>
        <w:t>101</w:t>
      </w:r>
      <w:r>
        <w:rPr>
          <w:rStyle w:val="22"/>
          <w:rFonts w:hint="eastAsia" w:asciiTheme="majorEastAsia" w:hAnsiTheme="majorEastAsia" w:eastAsiaTheme="majorEastAsia" w:cstheme="majorEastAsia"/>
          <w:b w:val="0"/>
          <w:bCs/>
          <w:color w:val="000000"/>
          <w:sz w:val="32"/>
          <w:szCs w:val="32"/>
        </w:rPr>
        <w:t>%</w:t>
      </w:r>
      <w:r>
        <w:rPr>
          <w:rStyle w:val="22"/>
          <w:rFonts w:hint="eastAsia" w:asciiTheme="majorEastAsia" w:hAnsiTheme="majorEastAsia" w:eastAsiaTheme="majorEastAsia" w:cstheme="majorEastAsia"/>
          <w:b w:val="0"/>
          <w:bCs/>
          <w:color w:val="000000"/>
          <w:sz w:val="32"/>
          <w:szCs w:val="32"/>
          <w:lang w:eastAsia="zh-CN"/>
        </w:rPr>
        <w:t>，原因是增加</w:t>
      </w:r>
      <w:r>
        <w:rPr>
          <w:rFonts w:hint="eastAsia" w:ascii="仿宋" w:hAnsi="仿宋" w:eastAsia="仿宋"/>
          <w:color w:val="000000"/>
          <w:sz w:val="32"/>
          <w:szCs w:val="32"/>
          <w:lang w:eastAsia="zh-CN"/>
        </w:rPr>
        <w:t>人员工资晋级调档保险费支出</w:t>
      </w:r>
      <w:r>
        <w:rPr>
          <w:rStyle w:val="22"/>
          <w:rFonts w:hint="eastAsia" w:asciiTheme="majorEastAsia" w:hAnsiTheme="majorEastAsia" w:eastAsiaTheme="majorEastAsia" w:cstheme="majorEastAsia"/>
          <w:b w:val="0"/>
          <w:bCs/>
          <w:color w:val="000000"/>
          <w:sz w:val="32"/>
          <w:szCs w:val="32"/>
        </w:rPr>
        <w:t>。</w:t>
      </w:r>
    </w:p>
    <w:p>
      <w:pPr>
        <w:spacing w:line="600" w:lineRule="exact"/>
        <w:ind w:firstLine="642" w:firstLineChars="200"/>
        <w:rPr>
          <w:rStyle w:val="22"/>
          <w:rFonts w:hint="eastAsia" w:asciiTheme="majorEastAsia" w:hAnsiTheme="majorEastAsia" w:eastAsiaTheme="majorEastAsia" w:cstheme="majorEastAsia"/>
          <w:b w:val="0"/>
          <w:bCs/>
          <w:color w:val="000000"/>
          <w:sz w:val="32"/>
          <w:szCs w:val="32"/>
        </w:rPr>
      </w:pPr>
      <w:r>
        <w:rPr>
          <w:rStyle w:val="22"/>
          <w:rFonts w:hint="eastAsia" w:asciiTheme="majorEastAsia" w:hAnsiTheme="majorEastAsia" w:eastAsiaTheme="majorEastAsia" w:cstheme="majorEastAsia"/>
          <w:color w:val="000000"/>
          <w:sz w:val="32"/>
          <w:szCs w:val="32"/>
          <w:lang w:val="en-US" w:eastAsia="zh-CN"/>
        </w:rPr>
        <w:t>2.</w:t>
      </w:r>
      <w:r>
        <w:rPr>
          <w:rStyle w:val="22"/>
          <w:rFonts w:hint="eastAsia" w:asciiTheme="majorEastAsia" w:hAnsiTheme="majorEastAsia" w:eastAsiaTheme="majorEastAsia" w:cstheme="majorEastAsia"/>
          <w:bCs/>
          <w:color w:val="000000"/>
          <w:sz w:val="32"/>
          <w:szCs w:val="32"/>
        </w:rPr>
        <w:t>卫生</w:t>
      </w:r>
      <w:r>
        <w:rPr>
          <w:rStyle w:val="22"/>
          <w:rFonts w:hint="eastAsia" w:asciiTheme="majorEastAsia" w:hAnsiTheme="majorEastAsia" w:eastAsiaTheme="majorEastAsia" w:cstheme="majorEastAsia"/>
          <w:bCs/>
          <w:color w:val="000000"/>
          <w:sz w:val="32"/>
          <w:szCs w:val="32"/>
          <w:lang w:eastAsia="zh-CN"/>
        </w:rPr>
        <w:t>健康支出</w:t>
      </w:r>
      <w:r>
        <w:rPr>
          <w:rStyle w:val="22"/>
          <w:rFonts w:hint="eastAsia" w:asciiTheme="majorEastAsia" w:hAnsiTheme="majorEastAsia" w:eastAsiaTheme="majorEastAsia" w:cstheme="majorEastAsia"/>
          <w:bCs/>
          <w:color w:val="000000"/>
          <w:sz w:val="32"/>
          <w:szCs w:val="32"/>
        </w:rPr>
        <w:t>（类）</w:t>
      </w:r>
      <w:r>
        <w:rPr>
          <w:rStyle w:val="22"/>
          <w:rFonts w:hint="eastAsia" w:asciiTheme="majorEastAsia" w:hAnsiTheme="majorEastAsia" w:eastAsiaTheme="majorEastAsia" w:cstheme="majorEastAsia"/>
          <w:bCs/>
          <w:color w:val="000000"/>
          <w:sz w:val="32"/>
          <w:szCs w:val="32"/>
          <w:lang w:eastAsia="zh-CN"/>
        </w:rPr>
        <w:t>行政事业单位医疗</w:t>
      </w:r>
      <w:r>
        <w:rPr>
          <w:rStyle w:val="22"/>
          <w:rFonts w:hint="eastAsia" w:asciiTheme="majorEastAsia" w:hAnsiTheme="majorEastAsia" w:eastAsiaTheme="majorEastAsia" w:cstheme="majorEastAsia"/>
          <w:bCs/>
          <w:color w:val="000000"/>
          <w:sz w:val="32"/>
          <w:szCs w:val="32"/>
        </w:rPr>
        <w:t>（款）</w:t>
      </w:r>
      <w:r>
        <w:rPr>
          <w:rStyle w:val="22"/>
          <w:rFonts w:hint="eastAsia" w:asciiTheme="majorEastAsia" w:hAnsiTheme="majorEastAsia" w:eastAsiaTheme="majorEastAsia" w:cstheme="majorEastAsia"/>
          <w:bCs/>
          <w:color w:val="000000"/>
          <w:sz w:val="32"/>
          <w:szCs w:val="32"/>
          <w:lang w:eastAsia="zh-CN"/>
        </w:rPr>
        <w:t>事业单位医疗</w:t>
      </w:r>
      <w:r>
        <w:rPr>
          <w:rStyle w:val="22"/>
          <w:rFonts w:hint="eastAsia" w:asciiTheme="majorEastAsia" w:hAnsiTheme="majorEastAsia" w:eastAsiaTheme="majorEastAsia" w:cstheme="majorEastAsia"/>
          <w:bCs/>
          <w:color w:val="000000"/>
          <w:sz w:val="32"/>
          <w:szCs w:val="32"/>
        </w:rPr>
        <w:t>（项）:</w:t>
      </w:r>
      <w:r>
        <w:rPr>
          <w:rStyle w:val="22"/>
          <w:rFonts w:hint="eastAsia" w:asciiTheme="majorEastAsia" w:hAnsiTheme="majorEastAsia" w:eastAsiaTheme="majorEastAsia" w:cstheme="majorEastAsia"/>
          <w:b w:val="0"/>
          <w:bCs/>
          <w:color w:val="000000"/>
          <w:sz w:val="32"/>
          <w:szCs w:val="32"/>
        </w:rPr>
        <w:t>支出决算为</w:t>
      </w:r>
      <w:r>
        <w:rPr>
          <w:rStyle w:val="22"/>
          <w:rFonts w:hint="eastAsia" w:asciiTheme="majorEastAsia" w:hAnsiTheme="majorEastAsia" w:eastAsiaTheme="majorEastAsia" w:cstheme="majorEastAsia"/>
          <w:b w:val="0"/>
          <w:bCs/>
          <w:color w:val="000000"/>
          <w:sz w:val="32"/>
          <w:szCs w:val="32"/>
          <w:lang w:val="en-US" w:eastAsia="zh-CN"/>
        </w:rPr>
        <w:t>7.31</w:t>
      </w:r>
      <w:r>
        <w:rPr>
          <w:rStyle w:val="22"/>
          <w:rFonts w:hint="eastAsia" w:asciiTheme="majorEastAsia" w:hAnsiTheme="majorEastAsia" w:eastAsiaTheme="majorEastAsia" w:cstheme="majorEastAsia"/>
          <w:b w:val="0"/>
          <w:bCs/>
          <w:color w:val="000000"/>
          <w:sz w:val="32"/>
          <w:szCs w:val="32"/>
        </w:rPr>
        <w:t>万元，完成预算</w:t>
      </w:r>
      <w:r>
        <w:rPr>
          <w:rStyle w:val="22"/>
          <w:rFonts w:hint="eastAsia" w:asciiTheme="majorEastAsia" w:hAnsiTheme="majorEastAsia" w:eastAsiaTheme="majorEastAsia" w:cstheme="majorEastAsia"/>
          <w:b w:val="0"/>
          <w:bCs/>
          <w:color w:val="000000"/>
          <w:sz w:val="32"/>
          <w:szCs w:val="32"/>
          <w:lang w:val="en-US" w:eastAsia="zh-CN"/>
        </w:rPr>
        <w:t>101</w:t>
      </w:r>
      <w:r>
        <w:rPr>
          <w:rStyle w:val="22"/>
          <w:rFonts w:hint="eastAsia" w:asciiTheme="majorEastAsia" w:hAnsiTheme="majorEastAsia" w:eastAsiaTheme="majorEastAsia" w:cstheme="majorEastAsia"/>
          <w:b w:val="0"/>
          <w:bCs/>
          <w:color w:val="000000"/>
          <w:sz w:val="32"/>
          <w:szCs w:val="32"/>
        </w:rPr>
        <w:t>%</w:t>
      </w:r>
      <w:r>
        <w:rPr>
          <w:rStyle w:val="22"/>
          <w:rFonts w:hint="eastAsia" w:asciiTheme="majorEastAsia" w:hAnsiTheme="majorEastAsia" w:eastAsiaTheme="majorEastAsia" w:cstheme="majorEastAsia"/>
          <w:b w:val="0"/>
          <w:bCs/>
          <w:color w:val="000000"/>
          <w:sz w:val="32"/>
          <w:szCs w:val="32"/>
          <w:lang w:eastAsia="zh-CN"/>
        </w:rPr>
        <w:t>，原因是增加</w:t>
      </w:r>
      <w:r>
        <w:rPr>
          <w:rFonts w:hint="eastAsia" w:ascii="仿宋" w:hAnsi="仿宋" w:eastAsia="仿宋"/>
          <w:color w:val="000000"/>
          <w:sz w:val="32"/>
          <w:szCs w:val="32"/>
          <w:lang w:eastAsia="zh-CN"/>
        </w:rPr>
        <w:t>人员工资晋级调档保险费支出</w:t>
      </w:r>
      <w:r>
        <w:rPr>
          <w:rStyle w:val="22"/>
          <w:rFonts w:hint="eastAsia" w:asciiTheme="majorEastAsia" w:hAnsiTheme="majorEastAsia" w:eastAsiaTheme="majorEastAsia" w:cstheme="majorEastAsia"/>
          <w:b w:val="0"/>
          <w:bCs/>
          <w:color w:val="000000"/>
          <w:sz w:val="32"/>
          <w:szCs w:val="32"/>
        </w:rPr>
        <w:t>。</w:t>
      </w:r>
    </w:p>
    <w:p>
      <w:pPr>
        <w:ind w:firstLine="642" w:firstLineChars="200"/>
        <w:rPr>
          <w:rFonts w:hint="eastAsia" w:asciiTheme="majorEastAsia" w:hAnsiTheme="majorEastAsia" w:eastAsiaTheme="majorEastAsia" w:cstheme="majorEastAsia"/>
          <w:b/>
          <w:color w:val="000000"/>
          <w:sz w:val="32"/>
          <w:szCs w:val="32"/>
        </w:rPr>
      </w:pPr>
      <w:r>
        <w:rPr>
          <w:rStyle w:val="22"/>
          <w:rFonts w:hint="eastAsia" w:asciiTheme="majorEastAsia" w:hAnsiTheme="majorEastAsia" w:eastAsiaTheme="majorEastAsia" w:cstheme="majorEastAsia"/>
          <w:color w:val="000000"/>
          <w:sz w:val="32"/>
          <w:szCs w:val="32"/>
          <w:lang w:val="en-US" w:eastAsia="zh-CN"/>
        </w:rPr>
        <w:t>3</w:t>
      </w:r>
      <w:r>
        <w:rPr>
          <w:rStyle w:val="22"/>
          <w:rFonts w:hint="eastAsia" w:asciiTheme="majorEastAsia" w:hAnsiTheme="majorEastAsia" w:eastAsiaTheme="majorEastAsia" w:cstheme="majorEastAsia"/>
          <w:color w:val="000000"/>
          <w:sz w:val="32"/>
          <w:szCs w:val="32"/>
        </w:rPr>
        <w:t>.农林水支出（类）扶贫（款）其他扶贫支出（项）:</w:t>
      </w:r>
      <w:r>
        <w:rPr>
          <w:rStyle w:val="22"/>
          <w:rFonts w:hint="eastAsia" w:asciiTheme="majorEastAsia" w:hAnsiTheme="majorEastAsia" w:eastAsiaTheme="majorEastAsia" w:cstheme="majorEastAsia"/>
          <w:b w:val="0"/>
          <w:color w:val="000000"/>
          <w:sz w:val="32"/>
          <w:szCs w:val="32"/>
        </w:rPr>
        <w:t>支出决算为0.</w:t>
      </w:r>
      <w:r>
        <w:rPr>
          <w:rStyle w:val="22"/>
          <w:rFonts w:hint="eastAsia" w:asciiTheme="majorEastAsia" w:hAnsiTheme="majorEastAsia" w:eastAsiaTheme="majorEastAsia" w:cstheme="majorEastAsia"/>
          <w:b w:val="0"/>
          <w:color w:val="000000"/>
          <w:sz w:val="32"/>
          <w:szCs w:val="32"/>
          <w:lang w:val="en-US" w:eastAsia="zh-CN"/>
        </w:rPr>
        <w:t>5</w:t>
      </w:r>
      <w:r>
        <w:rPr>
          <w:rStyle w:val="22"/>
          <w:rFonts w:hint="eastAsia" w:asciiTheme="majorEastAsia" w:hAnsiTheme="majorEastAsia" w:eastAsiaTheme="majorEastAsia" w:cstheme="majorEastAsia"/>
          <w:b w:val="0"/>
          <w:color w:val="000000"/>
          <w:sz w:val="32"/>
          <w:szCs w:val="32"/>
        </w:rPr>
        <w:t>万元，完成预算100%。</w:t>
      </w:r>
    </w:p>
    <w:p>
      <w:pPr>
        <w:ind w:firstLine="642" w:firstLineChars="200"/>
        <w:rPr>
          <w:rStyle w:val="22"/>
          <w:rFonts w:hint="eastAsia" w:asciiTheme="majorEastAsia" w:hAnsiTheme="majorEastAsia" w:eastAsiaTheme="majorEastAsia" w:cstheme="majorEastAsia"/>
          <w:b w:val="0"/>
          <w:color w:val="000000"/>
          <w:sz w:val="32"/>
          <w:szCs w:val="32"/>
        </w:rPr>
      </w:pPr>
      <w:r>
        <w:rPr>
          <w:rStyle w:val="22"/>
          <w:rFonts w:hint="eastAsia" w:asciiTheme="majorEastAsia" w:hAnsiTheme="majorEastAsia" w:eastAsiaTheme="majorEastAsia" w:cstheme="majorEastAsia"/>
          <w:color w:val="000000"/>
          <w:sz w:val="32"/>
          <w:szCs w:val="32"/>
          <w:lang w:val="en-US" w:eastAsia="zh-CN"/>
        </w:rPr>
        <w:t>4</w:t>
      </w:r>
      <w:r>
        <w:rPr>
          <w:rStyle w:val="22"/>
          <w:rFonts w:hint="eastAsia" w:asciiTheme="majorEastAsia" w:hAnsiTheme="majorEastAsia" w:eastAsiaTheme="majorEastAsia" w:cstheme="majorEastAsia"/>
          <w:color w:val="000000"/>
          <w:sz w:val="32"/>
          <w:szCs w:val="32"/>
        </w:rPr>
        <w:t>.交通运输支出（类）公路水路运输（款）</w:t>
      </w:r>
      <w:r>
        <w:rPr>
          <w:rStyle w:val="22"/>
          <w:rFonts w:hint="eastAsia" w:asciiTheme="majorEastAsia" w:hAnsiTheme="majorEastAsia" w:eastAsiaTheme="majorEastAsia" w:cstheme="majorEastAsia"/>
          <w:color w:val="000000"/>
          <w:sz w:val="32"/>
          <w:szCs w:val="32"/>
          <w:lang w:eastAsia="zh-CN"/>
        </w:rPr>
        <w:t>行政运行（项）支出决算为</w:t>
      </w:r>
      <w:r>
        <w:rPr>
          <w:rStyle w:val="22"/>
          <w:rFonts w:hint="eastAsia" w:asciiTheme="majorEastAsia" w:hAnsiTheme="majorEastAsia" w:eastAsiaTheme="majorEastAsia" w:cstheme="majorEastAsia"/>
          <w:color w:val="000000"/>
          <w:sz w:val="32"/>
          <w:szCs w:val="32"/>
          <w:lang w:val="en-US" w:eastAsia="zh-CN"/>
        </w:rPr>
        <w:t>208.45万元，</w:t>
      </w:r>
      <w:r>
        <w:rPr>
          <w:rStyle w:val="22"/>
          <w:rFonts w:hint="eastAsia" w:asciiTheme="majorEastAsia" w:hAnsiTheme="majorEastAsia" w:eastAsiaTheme="majorEastAsia" w:cstheme="majorEastAsia"/>
          <w:b w:val="0"/>
          <w:bCs/>
          <w:color w:val="000000"/>
          <w:sz w:val="32"/>
          <w:szCs w:val="32"/>
          <w:lang w:val="en-US" w:eastAsia="zh-CN"/>
        </w:rPr>
        <w:t>行政运行（项）167.0万元，</w:t>
      </w:r>
      <w:r>
        <w:rPr>
          <w:rStyle w:val="22"/>
          <w:rFonts w:hint="eastAsia" w:asciiTheme="majorEastAsia" w:hAnsiTheme="majorEastAsia" w:eastAsiaTheme="majorEastAsia" w:cstheme="majorEastAsia"/>
          <w:b w:val="0"/>
          <w:color w:val="000000"/>
          <w:sz w:val="32"/>
          <w:szCs w:val="32"/>
          <w:lang w:eastAsia="zh-CN"/>
        </w:rPr>
        <w:t>海事管理</w:t>
      </w:r>
      <w:r>
        <w:rPr>
          <w:rStyle w:val="22"/>
          <w:rFonts w:hint="eastAsia" w:asciiTheme="majorEastAsia" w:hAnsiTheme="majorEastAsia" w:eastAsiaTheme="majorEastAsia" w:cstheme="majorEastAsia"/>
          <w:color w:val="000000"/>
          <w:sz w:val="32"/>
          <w:szCs w:val="32"/>
        </w:rPr>
        <w:t>（项）</w:t>
      </w:r>
      <w:r>
        <w:rPr>
          <w:rStyle w:val="22"/>
          <w:rFonts w:hint="eastAsia" w:asciiTheme="majorEastAsia" w:hAnsiTheme="majorEastAsia" w:eastAsiaTheme="majorEastAsia" w:cstheme="majorEastAsia"/>
          <w:b w:val="0"/>
          <w:color w:val="000000"/>
          <w:sz w:val="32"/>
          <w:szCs w:val="32"/>
        </w:rPr>
        <w:t>支出决算为</w:t>
      </w:r>
      <w:r>
        <w:rPr>
          <w:rStyle w:val="22"/>
          <w:rFonts w:hint="eastAsia" w:asciiTheme="majorEastAsia" w:hAnsiTheme="majorEastAsia" w:eastAsiaTheme="majorEastAsia" w:cstheme="majorEastAsia"/>
          <w:b w:val="0"/>
          <w:color w:val="000000"/>
          <w:sz w:val="32"/>
          <w:szCs w:val="32"/>
          <w:lang w:val="en-US" w:eastAsia="zh-CN"/>
        </w:rPr>
        <w:t>19.0</w:t>
      </w:r>
      <w:r>
        <w:rPr>
          <w:rStyle w:val="22"/>
          <w:rFonts w:hint="eastAsia" w:asciiTheme="majorEastAsia" w:hAnsiTheme="majorEastAsia" w:eastAsiaTheme="majorEastAsia" w:cstheme="majorEastAsia"/>
          <w:b w:val="0"/>
          <w:color w:val="000000"/>
          <w:sz w:val="32"/>
          <w:szCs w:val="32"/>
        </w:rPr>
        <w:t>万元，</w:t>
      </w:r>
      <w:r>
        <w:rPr>
          <w:rStyle w:val="22"/>
          <w:rFonts w:hint="eastAsia" w:asciiTheme="majorEastAsia" w:hAnsiTheme="majorEastAsia" w:eastAsiaTheme="majorEastAsia" w:cstheme="majorEastAsia"/>
          <w:b w:val="0"/>
          <w:color w:val="000000"/>
          <w:sz w:val="32"/>
          <w:szCs w:val="32"/>
          <w:lang w:eastAsia="zh-CN"/>
        </w:rPr>
        <w:t>成品油价格改革对交通运输的补贴（项）支出决算为</w:t>
      </w:r>
      <w:r>
        <w:rPr>
          <w:rStyle w:val="22"/>
          <w:rFonts w:hint="eastAsia" w:asciiTheme="majorEastAsia" w:hAnsiTheme="majorEastAsia" w:eastAsiaTheme="majorEastAsia" w:cstheme="majorEastAsia"/>
          <w:b w:val="0"/>
          <w:color w:val="000000"/>
          <w:sz w:val="32"/>
          <w:szCs w:val="32"/>
          <w:lang w:val="en-US" w:eastAsia="zh-CN"/>
        </w:rPr>
        <w:t>22.45万元，总计</w:t>
      </w:r>
      <w:r>
        <w:rPr>
          <w:rStyle w:val="22"/>
          <w:rFonts w:hint="eastAsia" w:asciiTheme="majorEastAsia" w:hAnsiTheme="majorEastAsia" w:eastAsiaTheme="majorEastAsia" w:cstheme="majorEastAsia"/>
          <w:b w:val="0"/>
          <w:color w:val="000000"/>
          <w:sz w:val="32"/>
          <w:szCs w:val="32"/>
        </w:rPr>
        <w:t>完成预算</w:t>
      </w:r>
      <w:r>
        <w:rPr>
          <w:rStyle w:val="22"/>
          <w:rFonts w:hint="eastAsia" w:asciiTheme="majorEastAsia" w:hAnsiTheme="majorEastAsia" w:eastAsiaTheme="majorEastAsia" w:cstheme="majorEastAsia"/>
          <w:b w:val="0"/>
          <w:color w:val="000000"/>
          <w:sz w:val="32"/>
          <w:szCs w:val="32"/>
          <w:lang w:val="en-US" w:eastAsia="zh-CN"/>
        </w:rPr>
        <w:t>123</w:t>
      </w:r>
      <w:r>
        <w:rPr>
          <w:rStyle w:val="22"/>
          <w:rFonts w:hint="eastAsia" w:asciiTheme="majorEastAsia" w:hAnsiTheme="majorEastAsia" w:eastAsiaTheme="majorEastAsia" w:cstheme="majorEastAsia"/>
          <w:b w:val="0"/>
          <w:color w:val="000000"/>
          <w:sz w:val="32"/>
          <w:szCs w:val="32"/>
        </w:rPr>
        <w:t>%</w:t>
      </w:r>
      <w:r>
        <w:rPr>
          <w:rStyle w:val="22"/>
          <w:rFonts w:hint="eastAsia" w:asciiTheme="majorEastAsia" w:hAnsiTheme="majorEastAsia" w:eastAsiaTheme="majorEastAsia" w:cstheme="majorEastAsia"/>
          <w:b w:val="0"/>
          <w:color w:val="000000"/>
          <w:sz w:val="32"/>
          <w:szCs w:val="32"/>
          <w:lang w:eastAsia="zh-CN"/>
        </w:rPr>
        <w:t>，</w:t>
      </w:r>
      <w:r>
        <w:rPr>
          <w:rStyle w:val="22"/>
          <w:rFonts w:hint="eastAsia" w:asciiTheme="majorEastAsia" w:hAnsiTheme="majorEastAsia" w:eastAsiaTheme="majorEastAsia" w:cstheme="majorEastAsia"/>
          <w:b w:val="0"/>
          <w:bCs/>
          <w:color w:val="000000"/>
          <w:sz w:val="32"/>
          <w:szCs w:val="32"/>
          <w:lang w:eastAsia="zh-CN"/>
        </w:rPr>
        <w:t>原因是</w:t>
      </w:r>
      <w:r>
        <w:rPr>
          <w:rStyle w:val="22"/>
          <w:rFonts w:hint="eastAsia" w:asciiTheme="majorEastAsia" w:hAnsiTheme="majorEastAsia" w:eastAsiaTheme="majorEastAsia" w:cstheme="majorEastAsia"/>
          <w:b w:val="0"/>
          <w:color w:val="000000"/>
          <w:sz w:val="32"/>
          <w:szCs w:val="32"/>
          <w:lang w:val="en-US" w:eastAsia="zh-CN"/>
        </w:rPr>
        <w:t>2019年下达对水路客运成品油价格的补贴</w:t>
      </w:r>
      <w:r>
        <w:rPr>
          <w:rStyle w:val="22"/>
          <w:rFonts w:hint="eastAsia" w:asciiTheme="majorEastAsia" w:hAnsiTheme="majorEastAsia" w:eastAsiaTheme="majorEastAsia" w:cstheme="majorEastAsia"/>
          <w:b w:val="0"/>
          <w:color w:val="000000"/>
          <w:sz w:val="32"/>
          <w:szCs w:val="32"/>
        </w:rPr>
        <w:t>。</w:t>
      </w:r>
    </w:p>
    <w:p>
      <w:pPr>
        <w:ind w:firstLine="642" w:firstLineChars="200"/>
        <w:rPr>
          <w:rStyle w:val="22"/>
          <w:rFonts w:hint="eastAsia" w:asciiTheme="majorEastAsia" w:hAnsiTheme="majorEastAsia" w:eastAsiaTheme="majorEastAsia" w:cstheme="majorEastAsia"/>
          <w:b w:val="0"/>
          <w:color w:val="000000"/>
          <w:sz w:val="32"/>
          <w:szCs w:val="32"/>
        </w:rPr>
      </w:pPr>
      <w:r>
        <w:rPr>
          <w:rStyle w:val="22"/>
          <w:rFonts w:hint="eastAsia" w:asciiTheme="majorEastAsia" w:hAnsiTheme="majorEastAsia" w:eastAsiaTheme="majorEastAsia" w:cstheme="majorEastAsia"/>
          <w:color w:val="000000"/>
          <w:sz w:val="32"/>
          <w:szCs w:val="32"/>
          <w:lang w:val="en-US" w:eastAsia="zh-CN"/>
        </w:rPr>
        <w:t>5</w:t>
      </w:r>
      <w:r>
        <w:rPr>
          <w:rStyle w:val="22"/>
          <w:rFonts w:hint="eastAsia" w:asciiTheme="majorEastAsia" w:hAnsiTheme="majorEastAsia" w:eastAsiaTheme="majorEastAsia" w:cstheme="majorEastAsia"/>
          <w:color w:val="000000"/>
          <w:sz w:val="32"/>
          <w:szCs w:val="32"/>
        </w:rPr>
        <w:t>.住房保障支出（类）住房改革支出（款）住房公积金（项）:</w:t>
      </w:r>
      <w:r>
        <w:rPr>
          <w:rStyle w:val="22"/>
          <w:rFonts w:hint="eastAsia" w:asciiTheme="majorEastAsia" w:hAnsiTheme="majorEastAsia" w:eastAsiaTheme="majorEastAsia" w:cstheme="majorEastAsia"/>
          <w:b w:val="0"/>
          <w:color w:val="000000"/>
          <w:sz w:val="32"/>
          <w:szCs w:val="32"/>
        </w:rPr>
        <w:t>支出决算为1</w:t>
      </w:r>
      <w:r>
        <w:rPr>
          <w:rStyle w:val="22"/>
          <w:rFonts w:hint="eastAsia" w:asciiTheme="majorEastAsia" w:hAnsiTheme="majorEastAsia" w:eastAsiaTheme="majorEastAsia" w:cstheme="majorEastAsia"/>
          <w:b w:val="0"/>
          <w:color w:val="000000"/>
          <w:sz w:val="32"/>
          <w:szCs w:val="32"/>
          <w:lang w:val="en-US" w:eastAsia="zh-CN"/>
        </w:rPr>
        <w:t>1.77</w:t>
      </w:r>
      <w:r>
        <w:rPr>
          <w:rStyle w:val="22"/>
          <w:rFonts w:hint="eastAsia" w:asciiTheme="majorEastAsia" w:hAnsiTheme="majorEastAsia" w:eastAsiaTheme="majorEastAsia" w:cstheme="majorEastAsia"/>
          <w:b w:val="0"/>
          <w:color w:val="000000"/>
          <w:sz w:val="32"/>
          <w:szCs w:val="32"/>
        </w:rPr>
        <w:t>万元，完成预算10</w:t>
      </w:r>
      <w:r>
        <w:rPr>
          <w:rStyle w:val="22"/>
          <w:rFonts w:hint="eastAsia" w:asciiTheme="majorEastAsia" w:hAnsiTheme="majorEastAsia" w:eastAsiaTheme="majorEastAsia" w:cstheme="majorEastAsia"/>
          <w:b w:val="0"/>
          <w:color w:val="000000"/>
          <w:sz w:val="32"/>
          <w:szCs w:val="32"/>
          <w:lang w:val="en-US" w:eastAsia="zh-CN"/>
        </w:rPr>
        <w:t>2</w:t>
      </w:r>
      <w:r>
        <w:rPr>
          <w:rStyle w:val="22"/>
          <w:rFonts w:hint="eastAsia" w:asciiTheme="majorEastAsia" w:hAnsiTheme="majorEastAsia" w:eastAsiaTheme="majorEastAsia" w:cstheme="majorEastAsia"/>
          <w:b w:val="0"/>
          <w:color w:val="000000"/>
          <w:sz w:val="32"/>
          <w:szCs w:val="32"/>
        </w:rPr>
        <w:t>%</w:t>
      </w:r>
      <w:r>
        <w:rPr>
          <w:rStyle w:val="22"/>
          <w:rFonts w:hint="eastAsia" w:asciiTheme="majorEastAsia" w:hAnsiTheme="majorEastAsia" w:eastAsiaTheme="majorEastAsia" w:cstheme="majorEastAsia"/>
          <w:b w:val="0"/>
          <w:color w:val="000000"/>
          <w:sz w:val="32"/>
          <w:szCs w:val="32"/>
          <w:lang w:eastAsia="zh-CN"/>
        </w:rPr>
        <w:t>，原因为</w:t>
      </w:r>
      <w:r>
        <w:rPr>
          <w:rStyle w:val="22"/>
          <w:rFonts w:hint="eastAsia" w:asciiTheme="majorEastAsia" w:hAnsiTheme="majorEastAsia" w:eastAsiaTheme="majorEastAsia" w:cstheme="majorEastAsia"/>
          <w:b w:val="0"/>
          <w:bCs/>
          <w:color w:val="000000"/>
          <w:sz w:val="32"/>
          <w:szCs w:val="32"/>
          <w:lang w:eastAsia="zh-CN"/>
        </w:rPr>
        <w:t>增加</w:t>
      </w:r>
      <w:r>
        <w:rPr>
          <w:rFonts w:hint="eastAsia" w:ascii="仿宋" w:hAnsi="仿宋" w:eastAsia="仿宋"/>
          <w:color w:val="000000"/>
          <w:sz w:val="32"/>
          <w:szCs w:val="32"/>
          <w:lang w:eastAsia="zh-CN"/>
        </w:rPr>
        <w:t>人员调资住房公积金支出</w:t>
      </w:r>
      <w:r>
        <w:rPr>
          <w:rStyle w:val="22"/>
          <w:rFonts w:hint="eastAsia" w:asciiTheme="majorEastAsia" w:hAnsiTheme="majorEastAsia" w:eastAsiaTheme="majorEastAsia" w:cstheme="majorEastAsia"/>
          <w:b w:val="0"/>
          <w:color w:val="000000"/>
          <w:sz w:val="32"/>
          <w:szCs w:val="32"/>
        </w:rPr>
        <w:t>。</w:t>
      </w:r>
    </w:p>
    <w:p>
      <w:pPr>
        <w:tabs>
          <w:tab w:val="right" w:pos="8306"/>
        </w:tabs>
        <w:spacing w:line="600" w:lineRule="exact"/>
        <w:ind w:firstLine="640"/>
        <w:outlineLvl w:val="1"/>
        <w:rPr>
          <w:rStyle w:val="33"/>
        </w:rPr>
      </w:pPr>
      <w:bookmarkStart w:id="79" w:name="_Toc28650"/>
      <w:bookmarkStart w:id="80" w:name="_Toc15396608"/>
      <w:bookmarkStart w:id="81" w:name="_Toc26355"/>
      <w:bookmarkStart w:id="8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33"/>
          <w:rFonts w:hint="eastAsia" w:ascii="黑体" w:hAnsi="黑体" w:eastAsia="黑体"/>
          <w:b w:val="0"/>
        </w:rPr>
        <w:t>般公共预算财政拨款基本支出决算情况说明</w:t>
      </w:r>
      <w:bookmarkEnd w:id="79"/>
      <w:bookmarkEnd w:id="80"/>
      <w:bookmarkEnd w:id="81"/>
      <w:bookmarkEnd w:id="82"/>
      <w:r>
        <w:rPr>
          <w:rStyle w:val="33"/>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203.04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181.95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21.09</w:t>
      </w:r>
      <w:r>
        <w:rPr>
          <w:rFonts w:hint="eastAsia" w:ascii="仿宋" w:hAnsi="仿宋" w:eastAsia="仿宋"/>
          <w:color w:val="000000"/>
          <w:sz w:val="32"/>
          <w:szCs w:val="32"/>
        </w:rPr>
        <w:t>万元，主要包括：办公费、印刷费、咨询费、手续费、水费、电费、邮电费、取暖费、物业管理费、差旅费、因公出国（境）费用、维修（护）费、会议费、培训费、公务接待费、劳务费、委托业务费、工会经费、福利费、公务用车运行维护费、其他交通费、其他商品和服务支出、办公设备购置、专用设备购置、信息网络及软件购置更新、其他资本性支出等。</w:t>
      </w:r>
    </w:p>
    <w:p>
      <w:pPr>
        <w:spacing w:line="600" w:lineRule="exact"/>
        <w:ind w:firstLine="640"/>
        <w:outlineLvl w:val="1"/>
        <w:rPr>
          <w:rStyle w:val="33"/>
          <w:rFonts w:ascii="黑体" w:hAnsi="黑体" w:eastAsia="黑体"/>
          <w:b w:val="0"/>
        </w:rPr>
      </w:pPr>
      <w:bookmarkStart w:id="83" w:name="_Toc15377215"/>
      <w:bookmarkStart w:id="84" w:name="_Toc32093"/>
      <w:bookmarkStart w:id="85" w:name="_Toc5648"/>
      <w:bookmarkStart w:id="86" w:name="_Toc15396609"/>
      <w:r>
        <w:rPr>
          <w:rFonts w:hint="eastAsia" w:ascii="黑体" w:eastAsia="黑体"/>
          <w:color w:val="000000"/>
          <w:sz w:val="32"/>
          <w:szCs w:val="32"/>
        </w:rPr>
        <w:t>七、</w:t>
      </w:r>
      <w:r>
        <w:rPr>
          <w:rStyle w:val="33"/>
          <w:rFonts w:hint="eastAsia" w:ascii="黑体" w:hAnsi="黑体" w:eastAsia="黑体"/>
        </w:rPr>
        <w:t>“</w:t>
      </w:r>
      <w:r>
        <w:rPr>
          <w:rStyle w:val="33"/>
          <w:rFonts w:hint="eastAsia" w:ascii="黑体" w:hAnsi="黑体" w:eastAsia="黑体"/>
          <w:b w:val="0"/>
        </w:rPr>
        <w:t>三公”经费财政拨款支出决算情况说明</w:t>
      </w:r>
      <w:bookmarkEnd w:id="83"/>
      <w:bookmarkEnd w:id="84"/>
      <w:bookmarkEnd w:id="85"/>
      <w:bookmarkEnd w:id="86"/>
    </w:p>
    <w:p>
      <w:pPr>
        <w:spacing w:line="600" w:lineRule="exact"/>
        <w:ind w:firstLine="640"/>
        <w:outlineLvl w:val="2"/>
        <w:rPr>
          <w:rFonts w:ascii="仿宋" w:hAnsi="仿宋" w:eastAsia="仿宋"/>
          <w:b/>
          <w:color w:val="000000"/>
          <w:sz w:val="32"/>
          <w:szCs w:val="32"/>
        </w:rPr>
      </w:pPr>
      <w:bookmarkStart w:id="87" w:name="_Toc32527"/>
      <w:bookmarkStart w:id="88" w:name="_Toc15377216"/>
      <w:bookmarkStart w:id="89" w:name="_Toc22124"/>
      <w:r>
        <w:rPr>
          <w:rFonts w:hint="eastAsia" w:ascii="仿宋" w:hAnsi="仿宋" w:eastAsia="仿宋"/>
          <w:b/>
          <w:color w:val="000000"/>
          <w:sz w:val="32"/>
          <w:szCs w:val="32"/>
        </w:rPr>
        <w:t>（一）“三公”经费财政拨款支出决算总体情况说明</w:t>
      </w:r>
      <w:bookmarkEnd w:id="87"/>
      <w:bookmarkEnd w:id="88"/>
      <w:bookmarkEnd w:id="8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8.4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90" w:name="_Toc32642"/>
      <w:bookmarkStart w:id="91" w:name="_Toc15377217"/>
      <w:bookmarkStart w:id="92" w:name="_Toc5627"/>
      <w:r>
        <w:rPr>
          <w:rFonts w:hint="eastAsia" w:ascii="仿宋" w:hAnsi="仿宋" w:eastAsia="仿宋"/>
          <w:b/>
          <w:color w:val="000000"/>
          <w:sz w:val="32"/>
          <w:szCs w:val="32"/>
        </w:rPr>
        <w:t>（二）“三公”经费财政拨款支出决算具体情况说明</w:t>
      </w:r>
      <w:bookmarkEnd w:id="90"/>
      <w:bookmarkEnd w:id="91"/>
      <w:bookmarkEnd w:id="9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7.79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730944" behindDoc="0" locked="0" layoutInCell="1" allowOverlap="1">
            <wp:simplePos x="0" y="0"/>
            <wp:positionH relativeFrom="column">
              <wp:posOffset>74930</wp:posOffset>
            </wp:positionH>
            <wp:positionV relativeFrom="paragraph">
              <wp:posOffset>365125</wp:posOffset>
            </wp:positionV>
            <wp:extent cx="5319395" cy="3281680"/>
            <wp:effectExtent l="4445" t="4445" r="10160" b="952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lang w:val="en-US"/>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22"/>
          <w:rFonts w:hint="eastAsia" w:ascii="仿宋" w:hAnsi="仿宋" w:eastAsia="仿宋"/>
          <w:b w:val="0"/>
          <w:bCs/>
          <w:color w:val="000000"/>
          <w:sz w:val="32"/>
          <w:szCs w:val="32"/>
        </w:rPr>
        <w:t>完成预算</w:t>
      </w:r>
      <w:r>
        <w:rPr>
          <w:rStyle w:val="22"/>
          <w:rFonts w:hint="eastAsia" w:ascii="仿宋" w:hAnsi="仿宋" w:eastAsia="仿宋"/>
          <w:b w:val="0"/>
          <w:bCs/>
          <w:color w:val="000000"/>
          <w:sz w:val="32"/>
          <w:szCs w:val="32"/>
          <w:lang w:val="en-US" w:eastAsia="zh-CN"/>
        </w:rPr>
        <w:t>0</w:t>
      </w:r>
      <w:r>
        <w:rPr>
          <w:rStyle w:val="22"/>
          <w:rFonts w:ascii="仿宋" w:hAnsi="仿宋" w:eastAsia="仿宋"/>
          <w:b w:val="0"/>
          <w:bCs/>
          <w:color w:val="000000"/>
          <w:sz w:val="32"/>
          <w:szCs w:val="32"/>
        </w:rPr>
        <w:t>%</w:t>
      </w:r>
      <w:r>
        <w:rPr>
          <w:rStyle w:val="2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7.79</w:t>
      </w:r>
      <w:r>
        <w:rPr>
          <w:rFonts w:hint="eastAsia" w:ascii="仿宋_GB2312" w:eastAsia="仿宋_GB2312"/>
          <w:color w:val="000000"/>
          <w:sz w:val="32"/>
          <w:szCs w:val="32"/>
        </w:rPr>
        <w:t>万元,</w:t>
      </w:r>
      <w:r>
        <w:rPr>
          <w:rStyle w:val="22"/>
          <w:rFonts w:hint="eastAsia" w:ascii="仿宋" w:hAnsi="仿宋" w:eastAsia="仿宋"/>
          <w:b w:val="0"/>
          <w:bCs/>
          <w:color w:val="000000"/>
          <w:sz w:val="32"/>
          <w:szCs w:val="32"/>
        </w:rPr>
        <w:t>完成预算</w:t>
      </w:r>
      <w:r>
        <w:rPr>
          <w:rStyle w:val="22"/>
          <w:rFonts w:hint="eastAsia" w:ascii="仿宋" w:hAnsi="仿宋" w:eastAsia="仿宋"/>
          <w:b w:val="0"/>
          <w:bCs/>
          <w:color w:val="000000"/>
          <w:sz w:val="32"/>
          <w:szCs w:val="32"/>
          <w:lang w:val="en-US" w:eastAsia="zh-CN"/>
        </w:rPr>
        <w:t>87</w:t>
      </w:r>
      <w:r>
        <w:rPr>
          <w:rStyle w:val="22"/>
          <w:rFonts w:ascii="仿宋" w:hAnsi="仿宋" w:eastAsia="仿宋"/>
          <w:b w:val="0"/>
          <w:bCs/>
          <w:color w:val="000000"/>
          <w:sz w:val="32"/>
          <w:szCs w:val="32"/>
        </w:rPr>
        <w:t>%</w:t>
      </w:r>
      <w:r>
        <w:rPr>
          <w:rStyle w:val="22"/>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hAnsi="仿宋_GB2312" w:eastAsia="仿宋_GB2312" w:cs="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7.79</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sz w:val="32"/>
          <w:szCs w:val="32"/>
          <w:lang w:eastAsia="zh-CN"/>
        </w:rPr>
        <w:t>水上交通安全检查、项目建设、扶贫、防疫工作</w:t>
      </w:r>
      <w:r>
        <w:rPr>
          <w:rFonts w:hint="eastAsia" w:ascii="仿宋_GB2312" w:hAnsi="仿宋_GB2312" w:eastAsia="仿宋_GB2312" w:cs="仿宋_GB2312"/>
          <w:sz w:val="32"/>
          <w:szCs w:val="32"/>
        </w:rPr>
        <w:t>等所需的公务用车燃料费、维修费、过路过桥费、保险费支出</w:t>
      </w:r>
      <w:r>
        <w:rPr>
          <w:rFonts w:hint="eastAsia" w:ascii="仿宋_GB2312" w:hAnsi="仿宋_GB2312" w:eastAsia="仿宋_GB2312" w:cs="仿宋_GB2312"/>
          <w:color w:val="000000"/>
          <w:sz w:val="32"/>
          <w:szCs w:val="32"/>
        </w:rPr>
        <w:t>。</w:t>
      </w:r>
    </w:p>
    <w:p>
      <w:pPr>
        <w:spacing w:line="600" w:lineRule="exact"/>
        <w:ind w:firstLine="640"/>
        <w:rPr>
          <w:rFonts w:hint="eastAsia" w:ascii="仿宋_GB2312" w:hAnsi="仿宋_GB2312" w:eastAsia="仿宋_GB2312" w:cs="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0.61</w:t>
      </w:r>
      <w:r>
        <w:rPr>
          <w:rFonts w:hint="eastAsia" w:ascii="仿宋_GB2312" w:eastAsia="仿宋_GB2312"/>
          <w:color w:val="000000"/>
          <w:sz w:val="32"/>
          <w:szCs w:val="32"/>
        </w:rPr>
        <w:t>万元，</w:t>
      </w:r>
      <w:r>
        <w:rPr>
          <w:rStyle w:val="22"/>
          <w:rFonts w:hint="eastAsia" w:ascii="仿宋" w:hAnsi="仿宋" w:eastAsia="仿宋"/>
          <w:b w:val="0"/>
          <w:bCs/>
          <w:color w:val="000000"/>
          <w:sz w:val="32"/>
          <w:szCs w:val="32"/>
        </w:rPr>
        <w:t>完成预算</w:t>
      </w:r>
      <w:r>
        <w:rPr>
          <w:rStyle w:val="22"/>
          <w:rFonts w:hint="eastAsia" w:ascii="仿宋" w:hAnsi="仿宋" w:eastAsia="仿宋"/>
          <w:b w:val="0"/>
          <w:bCs/>
          <w:color w:val="000000"/>
          <w:sz w:val="32"/>
          <w:szCs w:val="32"/>
          <w:lang w:val="en-US" w:eastAsia="zh-CN"/>
        </w:rPr>
        <w:t>61</w:t>
      </w:r>
      <w:r>
        <w:rPr>
          <w:rStyle w:val="22"/>
          <w:rFonts w:ascii="仿宋" w:hAnsi="仿宋" w:eastAsia="仿宋"/>
          <w:b w:val="0"/>
          <w:bCs/>
          <w:color w:val="000000"/>
          <w:sz w:val="32"/>
          <w:szCs w:val="32"/>
        </w:rPr>
        <w:t>%</w:t>
      </w:r>
      <w:r>
        <w:rPr>
          <w:rStyle w:val="2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hAnsi="仿宋_GB2312" w:eastAsia="仿宋_GB2312" w:cs="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0.61</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主要用于执行公务、开展业务活动开支的交通费、用餐费等。</w:t>
      </w:r>
    </w:p>
    <w:p>
      <w:pPr>
        <w:spacing w:line="600" w:lineRule="exact"/>
        <w:ind w:firstLine="642" w:firstLineChars="200"/>
        <w:rPr>
          <w:rFonts w:ascii="仿宋_GB2312" w:eastAsia="仿宋_GB2312"/>
          <w:color w:val="000000" w:themeColor="text1"/>
          <w:sz w:val="32"/>
          <w:szCs w:val="32"/>
          <w:lang w:val="en-US"/>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Style w:val="33"/>
          <w:rFonts w:ascii="黑体" w:hAnsi="黑体" w:eastAsia="黑体"/>
        </w:rPr>
      </w:pPr>
      <w:bookmarkStart w:id="93" w:name="_Toc12421"/>
      <w:bookmarkStart w:id="94" w:name="_Toc15396610"/>
      <w:bookmarkStart w:id="95" w:name="_Toc19019"/>
      <w:bookmarkStart w:id="96" w:name="_Toc15377218"/>
      <w:r>
        <w:rPr>
          <w:rFonts w:hint="eastAsia" w:ascii="黑体" w:eastAsia="黑体"/>
          <w:color w:val="000000"/>
          <w:sz w:val="32"/>
          <w:szCs w:val="32"/>
        </w:rPr>
        <w:t>八、</w:t>
      </w:r>
      <w:r>
        <w:rPr>
          <w:rStyle w:val="33"/>
          <w:rFonts w:hint="eastAsia" w:ascii="黑体" w:hAnsi="黑体" w:eastAsia="黑体"/>
          <w:b w:val="0"/>
        </w:rPr>
        <w:t>政府性基金预算支出决算情况说明</w:t>
      </w:r>
      <w:bookmarkEnd w:id="93"/>
      <w:bookmarkEnd w:id="94"/>
      <w:bookmarkEnd w:id="95"/>
      <w:bookmarkEnd w:id="9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33"/>
          <w:rFonts w:ascii="黑体" w:hAnsi="黑体" w:eastAsia="黑体"/>
          <w:b w:val="0"/>
        </w:rPr>
      </w:pPr>
      <w:bookmarkStart w:id="97" w:name="_Toc6234"/>
      <w:bookmarkStart w:id="98" w:name="_Toc15377219"/>
      <w:bookmarkStart w:id="99" w:name="_Toc15396611"/>
      <w:bookmarkStart w:id="100" w:name="_Toc6863"/>
      <w:r>
        <w:rPr>
          <w:rStyle w:val="33"/>
          <w:rFonts w:hint="eastAsia" w:ascii="黑体" w:hAnsi="黑体" w:eastAsia="黑体"/>
          <w:b w:val="0"/>
        </w:rPr>
        <w:t>国有资本经营预算支出决算情况说明</w:t>
      </w:r>
      <w:bookmarkEnd w:id="97"/>
      <w:bookmarkEnd w:id="98"/>
      <w:bookmarkEnd w:id="99"/>
      <w:bookmarkEnd w:id="10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33"/>
          <w:rFonts w:ascii="黑体" w:hAnsi="黑体" w:eastAsia="黑体"/>
        </w:rPr>
      </w:pPr>
      <w:bookmarkStart w:id="101" w:name="_Toc31348"/>
      <w:bookmarkStart w:id="102" w:name="_Toc15396612"/>
      <w:bookmarkStart w:id="103" w:name="_Toc19866"/>
      <w:bookmarkStart w:id="104" w:name="_Toc15377221"/>
      <w:r>
        <w:rPr>
          <w:rFonts w:hint="eastAsia" w:ascii="黑体" w:hAnsi="黑体" w:eastAsia="黑体"/>
          <w:color w:val="000000"/>
          <w:sz w:val="32"/>
          <w:szCs w:val="32"/>
        </w:rPr>
        <w:t>十</w:t>
      </w:r>
      <w:r>
        <w:rPr>
          <w:rStyle w:val="33"/>
          <w:rFonts w:hint="eastAsia" w:ascii="黑体" w:hAnsi="黑体" w:eastAsia="黑体"/>
        </w:rPr>
        <w:t>、</w:t>
      </w:r>
      <w:r>
        <w:rPr>
          <w:rStyle w:val="33"/>
          <w:rFonts w:hint="eastAsia" w:ascii="黑体" w:hAnsi="黑体" w:eastAsia="黑体"/>
          <w:b w:val="0"/>
        </w:rPr>
        <w:t>其他重要事项的情况说明</w:t>
      </w:r>
      <w:bookmarkEnd w:id="101"/>
      <w:bookmarkEnd w:id="102"/>
      <w:bookmarkEnd w:id="103"/>
      <w:bookmarkEnd w:id="104"/>
    </w:p>
    <w:p>
      <w:pPr>
        <w:spacing w:line="600" w:lineRule="exact"/>
        <w:ind w:firstLine="642" w:firstLineChars="200"/>
        <w:outlineLvl w:val="2"/>
        <w:rPr>
          <w:rFonts w:ascii="仿宋" w:hAnsi="仿宋" w:eastAsia="仿宋"/>
          <w:color w:val="000000"/>
          <w:sz w:val="32"/>
          <w:szCs w:val="32"/>
        </w:rPr>
      </w:pPr>
      <w:bookmarkStart w:id="105" w:name="_Toc15377222"/>
      <w:bookmarkStart w:id="106" w:name="_Toc16933"/>
      <w:bookmarkStart w:id="107" w:name="_Toc10440"/>
      <w:r>
        <w:rPr>
          <w:rFonts w:hint="eastAsia" w:ascii="仿宋" w:hAnsi="仿宋" w:eastAsia="仿宋"/>
          <w:b/>
          <w:color w:val="000000"/>
          <w:sz w:val="32"/>
          <w:szCs w:val="32"/>
        </w:rPr>
        <w:t>（一）机关运行经费支出情况</w:t>
      </w:r>
      <w:bookmarkEnd w:id="105"/>
      <w:bookmarkEnd w:id="106"/>
      <w:bookmarkEnd w:id="107"/>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区海事处</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21.09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8.86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70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压减开支。</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08" w:name="_Toc15377223"/>
      <w:bookmarkStart w:id="109" w:name="_Toc31636"/>
      <w:bookmarkStart w:id="110" w:name="_Toc4072"/>
      <w:r>
        <w:rPr>
          <w:rFonts w:hint="eastAsia" w:ascii="仿宋" w:hAnsi="仿宋" w:eastAsia="仿宋"/>
          <w:b/>
          <w:color w:val="000000"/>
          <w:sz w:val="32"/>
          <w:szCs w:val="32"/>
        </w:rPr>
        <w:t>（二）政府采购支出情况</w:t>
      </w:r>
      <w:bookmarkEnd w:id="108"/>
      <w:bookmarkEnd w:id="109"/>
      <w:bookmarkEnd w:id="110"/>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区海事处</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11" w:name="_Toc15377224"/>
      <w:bookmarkStart w:id="112" w:name="_Toc28133"/>
      <w:bookmarkStart w:id="113" w:name="_Toc5836"/>
      <w:r>
        <w:rPr>
          <w:rFonts w:hint="eastAsia" w:ascii="仿宋" w:hAnsi="仿宋" w:eastAsia="仿宋"/>
          <w:b/>
          <w:color w:val="000000"/>
          <w:sz w:val="32"/>
          <w:szCs w:val="32"/>
        </w:rPr>
        <w:t>（三）国有资产占有使用情况</w:t>
      </w:r>
      <w:bookmarkEnd w:id="111"/>
      <w:bookmarkEnd w:id="112"/>
      <w:bookmarkEnd w:id="11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区海事处</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，其</w:t>
      </w:r>
      <w:r>
        <w:rPr>
          <w:rFonts w:hint="eastAsia" w:ascii="仿宋_GB2312" w:eastAsia="仿宋_GB2312"/>
          <w:color w:val="000000" w:themeColor="text1"/>
          <w:sz w:val="32"/>
          <w:szCs w:val="32"/>
        </w:rPr>
        <w:t>他用车主要是用于</w:t>
      </w:r>
      <w:r>
        <w:rPr>
          <w:rFonts w:hint="eastAsia" w:ascii="仿宋_GB2312" w:eastAsia="仿宋_GB2312"/>
          <w:color w:val="000000" w:themeColor="text1"/>
          <w:sz w:val="32"/>
          <w:szCs w:val="32"/>
          <w:lang w:eastAsia="zh-CN"/>
        </w:rPr>
        <w:t>水上交通安全执法，</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14" w:name="_Toc25039"/>
      <w:bookmarkStart w:id="115" w:name="_Toc17279"/>
      <w:r>
        <w:rPr>
          <w:rFonts w:hint="eastAsia" w:ascii="仿宋" w:hAnsi="仿宋" w:eastAsia="仿宋"/>
          <w:b/>
          <w:color w:val="000000"/>
          <w:sz w:val="32"/>
          <w:szCs w:val="32"/>
        </w:rPr>
        <w:t>（四）预算绩效管理情况。</w:t>
      </w:r>
      <w:bookmarkEnd w:id="114"/>
      <w:bookmarkEnd w:id="115"/>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b w:val="0"/>
          <w:bCs w:val="0"/>
          <w:sz w:val="32"/>
          <w:szCs w:val="32"/>
          <w:lang w:eastAsia="zh-CN"/>
        </w:rPr>
        <w:t>海事执法、安全培训教育、水上安全应急及隐患排查、海事工作码头趸船运行维护</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年部门整体支出开展绩效自评，从评价情况来看保障</w:t>
      </w:r>
      <w:r>
        <w:rPr>
          <w:rFonts w:hint="eastAsia" w:ascii="仿宋_GB2312" w:hAnsi="仿宋_GB2312" w:eastAsia="仿宋_GB2312" w:cs="仿宋_GB2312"/>
          <w:sz w:val="32"/>
          <w:szCs w:val="32"/>
          <w:lang w:eastAsia="zh-CN"/>
        </w:rPr>
        <w:t>人员工资社保及</w:t>
      </w:r>
      <w:r>
        <w:rPr>
          <w:rFonts w:hint="eastAsia" w:ascii="仿宋_GB2312" w:hAnsi="仿宋_GB2312" w:eastAsia="仿宋_GB2312" w:cs="仿宋_GB2312"/>
          <w:sz w:val="32"/>
          <w:szCs w:val="32"/>
        </w:rPr>
        <w:t>日常办公行政运行经费开支</w:t>
      </w:r>
      <w:r>
        <w:rPr>
          <w:rFonts w:hint="eastAsia" w:ascii="仿宋_GB2312" w:hAnsi="仿宋_GB2312" w:eastAsia="仿宋_GB2312" w:cs="仿宋_GB2312"/>
          <w:sz w:val="32"/>
          <w:szCs w:val="32"/>
          <w:lang w:eastAsia="zh-CN"/>
        </w:rPr>
        <w:t>运行</w:t>
      </w:r>
      <w:r>
        <w:rPr>
          <w:rFonts w:hint="eastAsia" w:ascii="仿宋_GB2312" w:hAnsi="仿宋_GB2312" w:eastAsia="仿宋_GB2312" w:cs="仿宋_GB2312"/>
          <w:sz w:val="32"/>
          <w:szCs w:val="32"/>
        </w:rPr>
        <w:t>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切实优化群众旅游出行选择，确保辖区水上交通安全，促进了水运事业的发展。</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事执法快艇、车辆燃油维修费、水上安全应急及隐患排查工作，强化了政策宣传，提升了船员安全意识</w:t>
      </w:r>
      <w:r>
        <w:rPr>
          <w:rFonts w:hint="eastAsia" w:ascii="仿宋_GB2312" w:hAnsi="仿宋_GB2312" w:eastAsia="仿宋_GB2312" w:cs="仿宋_GB2312"/>
          <w:sz w:val="32"/>
          <w:szCs w:val="32"/>
          <w:lang w:val="en-US" w:eastAsia="zh-CN"/>
        </w:rPr>
        <w:t>，增强了海事执法人员业务水平，切实优化群众旅游出行选择，确保水上交通安全，提高了群众满意度。</w:t>
      </w:r>
    </w:p>
    <w:p>
      <w:pPr>
        <w:numPr>
          <w:ilvl w:val="0"/>
          <w:numId w:val="3"/>
        </w:num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本部门在20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年度部门决算中反映“</w:t>
      </w:r>
      <w:r>
        <w:rPr>
          <w:rFonts w:hint="eastAsia" w:ascii="仿宋_GB2312" w:hAnsi="仿宋_GB2312" w:eastAsia="仿宋_GB2312" w:cs="仿宋_GB2312"/>
          <w:b w:val="0"/>
          <w:bCs w:val="0"/>
          <w:sz w:val="32"/>
          <w:szCs w:val="32"/>
          <w:lang w:eastAsia="zh-CN"/>
        </w:rPr>
        <w:t>海事执法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水上安全应急及隐患排查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、“海事工作码头趸船运行维护”</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）“海事执法”</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w:t>
      </w:r>
      <w:r>
        <w:rPr>
          <w:rFonts w:hint="eastAsia" w:ascii="仿宋_GB2312" w:hAnsi="仿宋_GB2312" w:eastAsia="仿宋_GB2312" w:cs="仿宋_GB2312"/>
          <w:sz w:val="32"/>
          <w:szCs w:val="32"/>
          <w:lang w:eastAsia="zh-CN"/>
        </w:rPr>
        <w:t>民众水上安全意识，杜绝水上安全事故</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执法力需进一步加大</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加强业务学习，提升海事航务船检执法力。</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）“水上安全应急及隐患排查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了水上安全救援工作及时有效，程序规范，船舶安全救生、视频监控设备运行良好，确保水上出行安全</w:t>
      </w:r>
      <w:r>
        <w:rPr>
          <w:rFonts w:hint="eastAsia" w:ascii="仿宋_GB2312" w:hAnsi="仿宋_GB2312" w:eastAsia="仿宋_GB2312" w:cs="仿宋_GB2312"/>
          <w:sz w:val="32"/>
          <w:szCs w:val="32"/>
        </w:rPr>
        <w:t>，发现的主要问题：</w:t>
      </w:r>
      <w:r>
        <w:rPr>
          <w:rFonts w:hint="eastAsia" w:ascii="仿宋_GB2312" w:hAnsi="仿宋_GB2312" w:cs="仿宋_GB2312"/>
          <w:sz w:val="32"/>
          <w:szCs w:val="32"/>
          <w:lang w:eastAsia="zh-CN"/>
        </w:rPr>
        <w:t>水上交通工作</w:t>
      </w:r>
      <w:r>
        <w:rPr>
          <w:rFonts w:hint="eastAsia" w:ascii="仿宋_GB2312" w:hAnsi="仿宋_GB2312" w:eastAsia="仿宋_GB2312" w:cs="仿宋_GB2312"/>
          <w:sz w:val="32"/>
          <w:szCs w:val="32"/>
          <w:lang w:eastAsia="zh-CN"/>
        </w:rPr>
        <w:t>科技兴安水平需增强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下一步改进措施：</w:t>
      </w:r>
      <w:r>
        <w:rPr>
          <w:rFonts w:hint="eastAsia" w:ascii="仿宋_GB2312" w:hAnsi="仿宋_GB2312" w:cs="仿宋_GB2312"/>
          <w:sz w:val="32"/>
          <w:szCs w:val="32"/>
          <w:lang w:eastAsia="zh-CN"/>
        </w:rPr>
        <w:t>积极向上争取资金，合理</w:t>
      </w:r>
      <w:r>
        <w:rPr>
          <w:rFonts w:hint="eastAsia" w:ascii="仿宋_GB2312" w:hAnsi="仿宋_GB2312" w:eastAsia="仿宋_GB2312" w:cs="仿宋_GB2312"/>
          <w:sz w:val="32"/>
          <w:szCs w:val="32"/>
          <w:lang w:eastAsia="zh-CN"/>
        </w:rPr>
        <w:t>投入。</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海事工作码头趸船运行维护”</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方便旅客上下船、游艇、停靠，促进我区旅游事业发展，展示了海事队伍良好执法形象</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趸船维护运行费用较高</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加强日常维护管理工作。</w:t>
      </w:r>
    </w:p>
    <w:tbl>
      <w:tblPr>
        <w:tblStyle w:val="20"/>
        <w:tblpPr w:leftFromText="180" w:rightFromText="180" w:vertAnchor="text" w:horzAnchor="page" w:tblpXSpec="center" w:tblpY="423"/>
        <w:tblOverlap w:val="never"/>
        <w:tblW w:w="9972" w:type="dxa"/>
        <w:tblInd w:w="0" w:type="dxa"/>
        <w:tblLayout w:type="fixed"/>
        <w:tblCellMar>
          <w:top w:w="0" w:type="dxa"/>
          <w:left w:w="0" w:type="dxa"/>
          <w:bottom w:w="0" w:type="dxa"/>
          <w:right w:w="0" w:type="dxa"/>
        </w:tblCellMar>
      </w:tblPr>
      <w:tblGrid>
        <w:gridCol w:w="390"/>
        <w:gridCol w:w="1367"/>
        <w:gridCol w:w="1025"/>
        <w:gridCol w:w="2392"/>
        <w:gridCol w:w="2394"/>
        <w:gridCol w:w="2404"/>
      </w:tblGrid>
      <w:tr>
        <w:tblPrEx>
          <w:tblCellMar>
            <w:top w:w="0" w:type="dxa"/>
            <w:left w:w="0" w:type="dxa"/>
            <w:bottom w:w="0" w:type="dxa"/>
            <w:right w:w="0" w:type="dxa"/>
          </w:tblCellMar>
        </w:tblPrEx>
        <w:trPr>
          <w:trHeight w:val="1034" w:hRule="atLeast"/>
        </w:trPr>
        <w:tc>
          <w:tcPr>
            <w:tcW w:w="9972" w:type="dxa"/>
            <w:gridSpan w:val="6"/>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海事执法</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四川省广元市利州区航务管理处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12.00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海事执法快艇、车辆燃修费和执法宣传费用</w:t>
            </w:r>
          </w:p>
        </w:tc>
        <w:tc>
          <w:tcPr>
            <w:tcW w:w="479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海事执法快艇、车辆燃修费和执法宣传费用</w:t>
            </w:r>
          </w:p>
        </w:tc>
      </w:tr>
      <w:tr>
        <w:tblPrEx>
          <w:tblCellMar>
            <w:top w:w="0" w:type="dxa"/>
            <w:left w:w="0" w:type="dxa"/>
            <w:bottom w:w="0" w:type="dxa"/>
            <w:right w:w="0" w:type="dxa"/>
          </w:tblCellMar>
        </w:tblPrEx>
        <w:trPr>
          <w:trHeight w:val="72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水上安全知识宣传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散发水上交通安全宣传资料，引导群众不坐违章船，树立平安出行的安全理念</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Theme="majorEastAsia" w:hAnsiTheme="majorEastAsia" w:eastAsiaTheme="majorEastAsia" w:cstheme="majorEastAsia"/>
                <w:color w:val="000000"/>
                <w:sz w:val="24"/>
                <w:szCs w:val="24"/>
                <w:lang w:eastAsia="zh-CN"/>
              </w:rPr>
              <w:t>散发水上交通安全</w:t>
            </w:r>
            <w:r>
              <w:rPr>
                <w:rFonts w:hint="eastAsia" w:asciiTheme="majorEastAsia" w:hAnsiTheme="majorEastAsia" w:eastAsiaTheme="majorEastAsia" w:cstheme="majorEastAsia"/>
                <w:sz w:val="24"/>
                <w:szCs w:val="24"/>
              </w:rPr>
              <w:t>宣传资料3000余份、宣传册220余册</w:t>
            </w:r>
            <w:r>
              <w:rPr>
                <w:rFonts w:hint="eastAsia" w:asciiTheme="majorEastAsia" w:hAnsiTheme="majorEastAsia" w:eastAsiaTheme="majorEastAsia" w:cstheme="majorEastAsia"/>
                <w:sz w:val="24"/>
                <w:szCs w:val="24"/>
                <w:lang w:eastAsia="zh-CN"/>
              </w:rPr>
              <w:t>，</w:t>
            </w:r>
            <w:r>
              <w:rPr>
                <w:rFonts w:hint="eastAsia" w:ascii="宋体" w:hAnsi="宋体" w:cs="宋体"/>
                <w:color w:val="000000"/>
                <w:sz w:val="24"/>
                <w:lang w:eastAsia="zh-CN"/>
              </w:rPr>
              <w:t>树立平安出行的安全理念</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民众安全意识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水上安全意识有较大提升，不坐违章船，严防溺水事故</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Theme="majorEastAsia" w:hAnsiTheme="majorEastAsia" w:eastAsiaTheme="majorEastAsia" w:cstheme="majorEastAsia"/>
                <w:sz w:val="24"/>
                <w:szCs w:val="24"/>
              </w:rPr>
              <w:t>有效防范安全事故发生，实现了水上交通零事故、零伤亡，圆满完成了全年各项工作任务。</w:t>
            </w:r>
          </w:p>
        </w:tc>
      </w:tr>
      <w:tr>
        <w:tblPrEx>
          <w:tblCellMar>
            <w:top w:w="0" w:type="dxa"/>
            <w:left w:w="0" w:type="dxa"/>
            <w:bottom w:w="0" w:type="dxa"/>
            <w:right w:w="0" w:type="dxa"/>
          </w:tblCellMar>
        </w:tblPrEx>
        <w:trPr>
          <w:trHeight w:val="72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贯穿全年</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海事执法快艇、车辆燃油费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海事执法快艇、车辆维修费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5万元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执法宣传费用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提高水上安全意识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树立平安出行</w:t>
            </w:r>
            <w:r>
              <w:rPr>
                <w:rFonts w:hint="eastAsia" w:ascii="宋体" w:hAnsi="宋体" w:cs="宋体"/>
                <w:color w:val="000000"/>
                <w:sz w:val="24"/>
                <w:lang w:val="en-US" w:eastAsia="zh-CN"/>
              </w:rPr>
              <w:t>安全理念</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提高水上安全意识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通过持续的安全宣讲，不断提高民众水上安全意识，杜绝水上安全事故</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98%</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24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98%</w:t>
            </w:r>
          </w:p>
        </w:tc>
      </w:tr>
    </w:tbl>
    <w:p>
      <w:pPr>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p>
      <w:pPr>
        <w:pStyle w:val="2"/>
        <w:rPr>
          <w:rFonts w:ascii="Calibri" w:hAnsi="Calibri"/>
        </w:rPr>
      </w:pPr>
    </w:p>
    <w:tbl>
      <w:tblPr>
        <w:tblStyle w:val="20"/>
        <w:tblpPr w:leftFromText="180" w:rightFromText="180" w:vertAnchor="text" w:horzAnchor="page" w:tblpXSpec="center" w:tblpY="423"/>
        <w:tblOverlap w:val="never"/>
        <w:tblW w:w="9972" w:type="dxa"/>
        <w:tblInd w:w="0" w:type="dxa"/>
        <w:tblLayout w:type="fixed"/>
        <w:tblCellMar>
          <w:top w:w="0" w:type="dxa"/>
          <w:left w:w="0" w:type="dxa"/>
          <w:bottom w:w="0" w:type="dxa"/>
          <w:right w:w="0" w:type="dxa"/>
        </w:tblCellMar>
      </w:tblPr>
      <w:tblGrid>
        <w:gridCol w:w="390"/>
        <w:gridCol w:w="1367"/>
        <w:gridCol w:w="295"/>
        <w:gridCol w:w="730"/>
        <w:gridCol w:w="470"/>
        <w:gridCol w:w="1922"/>
        <w:gridCol w:w="514"/>
        <w:gridCol w:w="1880"/>
        <w:gridCol w:w="427"/>
        <w:gridCol w:w="1965"/>
        <w:gridCol w:w="12"/>
      </w:tblGrid>
      <w:tr>
        <w:tblPrEx>
          <w:tblCellMar>
            <w:top w:w="0" w:type="dxa"/>
            <w:left w:w="0" w:type="dxa"/>
            <w:bottom w:w="0" w:type="dxa"/>
            <w:right w:w="0" w:type="dxa"/>
          </w:tblCellMar>
        </w:tblPrEx>
        <w:trPr>
          <w:trHeight w:val="1034" w:hRule="atLeast"/>
        </w:trPr>
        <w:tc>
          <w:tcPr>
            <w:tcW w:w="9972" w:type="dxa"/>
            <w:gridSpan w:val="11"/>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w:t>
            </w:r>
            <w:r>
              <w:rPr>
                <w:rFonts w:hint="eastAsia" w:ascii="宋体" w:hAnsi="宋体" w:cs="宋体"/>
                <w:color w:val="000000"/>
                <w:kern w:val="0"/>
                <w:sz w:val="36"/>
                <w:szCs w:val="36"/>
                <w:lang w:val="en-US" w:eastAsia="zh-CN" w:bidi="ar"/>
              </w:rPr>
              <w:t>20</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90"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水上应急及隐患排查</w:t>
            </w:r>
          </w:p>
        </w:tc>
      </w:tr>
      <w:tr>
        <w:tblPrEx>
          <w:tblCellMar>
            <w:top w:w="0" w:type="dxa"/>
            <w:left w:w="0" w:type="dxa"/>
            <w:bottom w:w="0" w:type="dxa"/>
            <w:right w:w="0" w:type="dxa"/>
          </w:tblCellMar>
        </w:tblPrEx>
        <w:trPr>
          <w:trHeight w:val="276" w:hRule="atLeast"/>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90"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四川省广元市利州区航务管理处</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9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95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组织水上交通应急演练、救援工作，金洞、栖凤湖船载视频码头监控用电及维护，开展航道隐患排查与整治工作</w:t>
            </w:r>
            <w:r>
              <w:rPr>
                <w:rFonts w:hint="eastAsia" w:ascii="宋体" w:hAnsi="宋体" w:cs="宋体"/>
                <w:color w:val="000000"/>
                <w:sz w:val="24"/>
                <w:lang w:val="en-US" w:eastAsia="zh-CN"/>
              </w:rPr>
              <w:t>，保障辖区水上交通安全</w:t>
            </w:r>
          </w:p>
        </w:tc>
        <w:tc>
          <w:tcPr>
            <w:tcW w:w="479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数量完成指标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组织水上交通应急演练、救援工作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水上安全救援工作及时有效，程序规范</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与市海事局共同开展水上交通应急演练工作，程序规范及时有效</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color w:val="000000"/>
                <w:sz w:val="24"/>
                <w:lang w:eastAsia="zh-CN"/>
              </w:rPr>
            </w:pPr>
            <w:r>
              <w:rPr>
                <w:rFonts w:hint="eastAsia" w:ascii="宋体" w:hAnsi="宋体" w:cs="宋体"/>
                <w:color w:val="000000"/>
                <w:sz w:val="24"/>
                <w:lang w:eastAsia="zh-CN"/>
              </w:rPr>
              <w:t>i</w:t>
            </w: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数量完成指标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航道整治</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航道无乱搭乱建或渔船堵塞航道情况</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航道运输畅通，秩序规范</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数量完成指标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船只泊位安全</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船只泊位系留缆绳及防撞轮胎牢固可靠，码头视频监控工作良好</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码头泊位缆绳系固牢靠，视频监控运行良好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数量完成指标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船舶安全救生设备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sz w:val="24"/>
                <w:lang w:eastAsia="zh-CN"/>
              </w:rPr>
            </w:pPr>
            <w:r>
              <w:rPr>
                <w:rFonts w:hint="eastAsia" w:ascii="宋体" w:hAnsi="宋体" w:cs="宋体"/>
                <w:color w:val="000000"/>
                <w:sz w:val="24"/>
                <w:lang w:eastAsia="zh-CN"/>
              </w:rPr>
              <w:t>船只配备救生衣、灭火器符合规定，性能可靠，船载视频监控工作良好</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船只配备救生衣、灭火器符合规定，性能可靠，船载视频监控工作良好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192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航道畅通率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24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航道运输畅通，秩序规范</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船只泊位完好率</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船只泊位完好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24"/>
                <w:lang w:eastAsia="zh-CN"/>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船载救生设备完好率</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r>
              <w:rPr>
                <w:rFonts w:hint="eastAsia" w:ascii="宋体" w:hAnsi="宋体" w:cs="宋体"/>
                <w:color w:val="000000"/>
                <w:sz w:val="24"/>
                <w:lang w:val="en-US" w:eastAsia="zh-CN"/>
              </w:rPr>
              <w:t>100%</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船载救生设备完好</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时效指标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完成时限</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贯穿全年</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组织水上交通应急演练、救援工作</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0.5万元</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航道整治</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0.5万元</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船只泊位安全</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0.5万元</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成本指标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船舶安全救生设备</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0.5</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经济效益</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优化产业结构</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促进我区旅游业和水上运输业发展</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完善</w:t>
            </w:r>
            <w:r>
              <w:rPr>
                <w:rFonts w:hint="eastAsia" w:ascii="宋体" w:hAnsi="宋体" w:cs="宋体"/>
                <w:color w:val="000000"/>
                <w:sz w:val="24"/>
                <w:lang w:val="en-US" w:eastAsia="zh-CN"/>
              </w:rPr>
              <w:t>基础设施</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方便群众，切实优化群众旅游出行选择</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生态效益</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减少污染</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确保客船潜水净化设施安装运行，保证水质达标率</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可持续影响指标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增加民众对水上运输</w:t>
            </w:r>
            <w:r>
              <w:rPr>
                <w:rFonts w:hint="eastAsia" w:ascii="宋体" w:hAnsi="宋体" w:cs="宋体"/>
                <w:color w:val="000000"/>
                <w:sz w:val="24"/>
                <w:lang w:val="en-US" w:eastAsia="zh-CN"/>
              </w:rPr>
              <w:t xml:space="preserve"> 工作安全的 </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强化政策宣传，确保水上出行安全</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满意度指标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民众满意度</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95%，加强服务意识，提高群众 满意度</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r>
        <w:tblPrEx>
          <w:tblCellMar>
            <w:top w:w="0" w:type="dxa"/>
            <w:left w:w="0" w:type="dxa"/>
            <w:bottom w:w="0" w:type="dxa"/>
            <w:right w:w="0" w:type="dxa"/>
          </w:tblCellMar>
        </w:tblPrEx>
        <w:trPr>
          <w:trHeight w:val="8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6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2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满意度指标</w:t>
            </w:r>
          </w:p>
        </w:tc>
        <w:tc>
          <w:tcPr>
            <w:tcW w:w="243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部门满意度</w:t>
            </w:r>
          </w:p>
        </w:tc>
        <w:tc>
          <w:tcPr>
            <w:tcW w:w="230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95%，完成上级部门交办的各项工作</w:t>
            </w:r>
          </w:p>
        </w:tc>
        <w:tc>
          <w:tcPr>
            <w:tcW w:w="19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98%</w:t>
            </w:r>
          </w:p>
        </w:tc>
      </w:tr>
      <w:tr>
        <w:tblPrEx>
          <w:tblCellMar>
            <w:top w:w="0" w:type="dxa"/>
            <w:left w:w="0" w:type="dxa"/>
            <w:bottom w:w="0" w:type="dxa"/>
            <w:right w:w="0" w:type="dxa"/>
          </w:tblCellMar>
        </w:tblPrEx>
        <w:trPr>
          <w:gridAfter w:val="1"/>
          <w:wAfter w:w="12" w:type="dxa"/>
          <w:trHeight w:val="1034" w:hRule="atLeast"/>
          <w:jc w:val="center"/>
        </w:trPr>
        <w:tc>
          <w:tcPr>
            <w:tcW w:w="996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gridAfter w:val="1"/>
          <w:wAfter w:w="12" w:type="dxa"/>
          <w:trHeight w:val="467"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eastAsia="zh-CN"/>
              </w:rPr>
            </w:pPr>
            <w:r>
              <w:rPr>
                <w:rFonts w:hint="eastAsia" w:ascii="宋体" w:hAnsi="宋体" w:eastAsia="宋体" w:cs="宋体"/>
                <w:i w:val="0"/>
                <w:color w:val="000000"/>
                <w:kern w:val="0"/>
                <w:sz w:val="24"/>
                <w:szCs w:val="24"/>
                <w:u w:val="none"/>
                <w:lang w:val="en-US" w:eastAsia="zh-CN" w:bidi="ar"/>
              </w:rPr>
              <w:t>海事工作码头趸船运行维护</w:t>
            </w:r>
          </w:p>
        </w:tc>
      </w:tr>
      <w:tr>
        <w:tblPrEx>
          <w:tblCellMar>
            <w:top w:w="0" w:type="dxa"/>
            <w:left w:w="0" w:type="dxa"/>
            <w:bottom w:w="0" w:type="dxa"/>
            <w:right w:w="0" w:type="dxa"/>
          </w:tblCellMar>
        </w:tblPrEx>
        <w:trPr>
          <w:gridAfter w:val="1"/>
          <w:wAfter w:w="12" w:type="dxa"/>
          <w:trHeight w:val="504"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四川省广元市利州区航务管理处</w:t>
            </w:r>
          </w:p>
        </w:tc>
      </w:tr>
      <w:tr>
        <w:tblPrEx>
          <w:tblCellMar>
            <w:top w:w="0" w:type="dxa"/>
            <w:left w:w="0" w:type="dxa"/>
            <w:bottom w:w="0" w:type="dxa"/>
            <w:right w:w="0" w:type="dxa"/>
          </w:tblCellMar>
        </w:tblPrEx>
        <w:trPr>
          <w:gridAfter w:val="1"/>
          <w:wAfter w:w="12"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gridAfter w:val="1"/>
          <w:wAfter w:w="12" w:type="dxa"/>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r>
      <w:tr>
        <w:tblPrEx>
          <w:tblCellMar>
            <w:top w:w="0" w:type="dxa"/>
            <w:left w:w="0" w:type="dxa"/>
            <w:bottom w:w="0" w:type="dxa"/>
            <w:right w:w="0" w:type="dxa"/>
          </w:tblCellMar>
        </w:tblPrEx>
        <w:trPr>
          <w:gridAfter w:val="1"/>
          <w:wAfter w:w="12" w:type="dxa"/>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gridAfter w:val="1"/>
          <w:wAfter w:w="12"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After w:val="1"/>
          <w:wAfter w:w="12" w:type="dxa"/>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两江口海事执法工作趸船日常安全管理和运行维护</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已完成</w:t>
            </w:r>
          </w:p>
        </w:tc>
      </w:tr>
      <w:tr>
        <w:tblPrEx>
          <w:tblCellMar>
            <w:top w:w="0" w:type="dxa"/>
            <w:left w:w="0" w:type="dxa"/>
            <w:bottom w:w="0" w:type="dxa"/>
            <w:right w:w="0" w:type="dxa"/>
          </w:tblCellMar>
        </w:tblPrEx>
        <w:trPr>
          <w:gridAfter w:val="1"/>
          <w:wAfter w:w="12" w:type="dxa"/>
          <w:trHeight w:val="1042" w:hRule="atLeast"/>
          <w:jc w:val="center"/>
        </w:trPr>
        <w:tc>
          <w:tcPr>
            <w:tcW w:w="390"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gridAfter w:val="1"/>
          <w:wAfter w:w="12" w:type="dxa"/>
          <w:trHeight w:val="953" w:hRule="atLeast"/>
          <w:jc w:val="center"/>
        </w:trPr>
        <w:tc>
          <w:tcPr>
            <w:tcW w:w="3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趸船除锈、刷漆</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表面无明显锈迹和大片漆层脱落</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572" w:hRule="atLeast"/>
          <w:jc w:val="center"/>
        </w:trPr>
        <w:tc>
          <w:tcPr>
            <w:tcW w:w="3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趸船机器涂油保养</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涂油润滑无死角，机器运转灵活无卡塞</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587" w:hRule="atLeast"/>
          <w:jc w:val="center"/>
        </w:trPr>
        <w:tc>
          <w:tcPr>
            <w:tcW w:w="3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除锈</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无直径超过1cm的锈迹</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557" w:hRule="atLeast"/>
          <w:jc w:val="center"/>
        </w:trPr>
        <w:tc>
          <w:tcPr>
            <w:tcW w:w="3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漆层覆盖率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≥99%，且无直径超过2cm的漆层脱落区</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617" w:hRule="atLeast"/>
          <w:jc w:val="center"/>
        </w:trPr>
        <w:tc>
          <w:tcPr>
            <w:tcW w:w="3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完成时限</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贯穿全年</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342" w:hRule="atLeast"/>
          <w:jc w:val="center"/>
        </w:trPr>
        <w:tc>
          <w:tcPr>
            <w:tcW w:w="390"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成本指标</w:t>
            </w:r>
          </w:p>
        </w:tc>
        <w:tc>
          <w:tcPr>
            <w:tcW w:w="23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维护人员工资</w:t>
            </w:r>
          </w:p>
        </w:tc>
        <w:tc>
          <w:tcPr>
            <w:tcW w:w="239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委托市轮船公司安全管理、配备船长5人、轮机长1人、水手2人工资5万元</w:t>
            </w:r>
          </w:p>
        </w:tc>
        <w:tc>
          <w:tcPr>
            <w:tcW w:w="23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r>
              <w:rPr>
                <w:rFonts w:hint="eastAsia" w:ascii="宋体" w:hAnsi="宋体" w:cs="宋体"/>
                <w:i w:val="0"/>
                <w:color w:val="000000"/>
                <w:kern w:val="0"/>
                <w:sz w:val="24"/>
                <w:szCs w:val="24"/>
                <w:u w:val="none"/>
                <w:lang w:val="en-US" w:eastAsia="zh-CN" w:bidi="ar"/>
              </w:rPr>
              <w:t>2.89万元</w:t>
            </w:r>
          </w:p>
        </w:tc>
      </w:tr>
      <w:tr>
        <w:tblPrEx>
          <w:tblCellMar>
            <w:top w:w="0" w:type="dxa"/>
            <w:left w:w="0" w:type="dxa"/>
            <w:bottom w:w="0" w:type="dxa"/>
            <w:right w:w="0" w:type="dxa"/>
          </w:tblCellMar>
        </w:tblPrEx>
        <w:trPr>
          <w:gridAfter w:val="1"/>
          <w:wAfter w:w="12" w:type="dxa"/>
          <w:trHeight w:val="275" w:hRule="atLeast"/>
          <w:jc w:val="center"/>
        </w:trPr>
        <w:tc>
          <w:tcPr>
            <w:tcW w:w="39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gridSpan w:val="2"/>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3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除锈刷漆、涂油保养</w:t>
            </w:r>
          </w:p>
        </w:tc>
        <w:tc>
          <w:tcPr>
            <w:tcW w:w="2394"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8万元</w:t>
            </w:r>
          </w:p>
        </w:tc>
        <w:tc>
          <w:tcPr>
            <w:tcW w:w="23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完成2万元</w:t>
            </w:r>
          </w:p>
        </w:tc>
      </w:tr>
      <w:tr>
        <w:tblPrEx>
          <w:tblCellMar>
            <w:top w:w="0" w:type="dxa"/>
            <w:left w:w="0" w:type="dxa"/>
            <w:bottom w:w="0" w:type="dxa"/>
            <w:right w:w="0" w:type="dxa"/>
          </w:tblCellMar>
        </w:tblPrEx>
        <w:trPr>
          <w:gridAfter w:val="1"/>
          <w:wAfter w:w="12" w:type="dxa"/>
          <w:trHeight w:val="275"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电费</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2000元/月，共2.4万元</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完成</w:t>
            </w:r>
            <w:r>
              <w:rPr>
                <w:rFonts w:hint="eastAsia" w:ascii="宋体" w:hAnsi="宋体" w:cs="宋体"/>
                <w:i w:val="0"/>
                <w:color w:val="000000"/>
                <w:kern w:val="0"/>
                <w:sz w:val="24"/>
                <w:szCs w:val="24"/>
                <w:u w:val="none"/>
                <w:lang w:val="en-US" w:eastAsia="zh-CN" w:bidi="ar"/>
              </w:rPr>
              <w:t>2.36万元</w:t>
            </w:r>
          </w:p>
        </w:tc>
      </w:tr>
      <w:tr>
        <w:tblPrEx>
          <w:tblCellMar>
            <w:top w:w="0" w:type="dxa"/>
            <w:left w:w="0" w:type="dxa"/>
            <w:bottom w:w="0" w:type="dxa"/>
            <w:right w:w="0" w:type="dxa"/>
          </w:tblCellMar>
        </w:tblPrEx>
        <w:trPr>
          <w:gridAfter w:val="1"/>
          <w:wAfter w:w="12" w:type="dxa"/>
          <w:trHeight w:val="283"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水费</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0.24万元</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完成</w:t>
            </w:r>
            <w:r>
              <w:rPr>
                <w:rFonts w:hint="eastAsia" w:ascii="宋体" w:hAnsi="宋体" w:cs="宋体"/>
                <w:i w:val="0"/>
                <w:color w:val="000000"/>
                <w:kern w:val="0"/>
                <w:sz w:val="24"/>
                <w:szCs w:val="24"/>
                <w:u w:val="none"/>
                <w:lang w:val="en-US" w:eastAsia="zh-CN" w:bidi="ar"/>
              </w:rPr>
              <w:t>0.24万元</w:t>
            </w:r>
          </w:p>
        </w:tc>
      </w:tr>
      <w:tr>
        <w:tblPrEx>
          <w:tblCellMar>
            <w:top w:w="0" w:type="dxa"/>
            <w:left w:w="0" w:type="dxa"/>
            <w:bottom w:w="0" w:type="dxa"/>
            <w:right w:w="0" w:type="dxa"/>
          </w:tblCellMar>
        </w:tblPrEx>
        <w:trPr>
          <w:gridAfter w:val="1"/>
          <w:wAfter w:w="12" w:type="dxa"/>
          <w:trHeight w:val="217"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配电器占地费</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5040元</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完成</w:t>
            </w:r>
            <w:r>
              <w:rPr>
                <w:rFonts w:hint="eastAsia" w:ascii="宋体" w:hAnsi="宋体" w:cs="宋体"/>
                <w:i w:val="0"/>
                <w:color w:val="000000"/>
                <w:kern w:val="0"/>
                <w:sz w:val="24"/>
                <w:szCs w:val="24"/>
                <w:u w:val="none"/>
                <w:lang w:val="en-US" w:eastAsia="zh-CN" w:bidi="ar"/>
              </w:rPr>
              <w:t>5040元</w:t>
            </w:r>
          </w:p>
        </w:tc>
      </w:tr>
      <w:tr>
        <w:tblPrEx>
          <w:tblCellMar>
            <w:top w:w="0" w:type="dxa"/>
            <w:left w:w="0" w:type="dxa"/>
            <w:bottom w:w="0" w:type="dxa"/>
            <w:right w:w="0" w:type="dxa"/>
          </w:tblCellMar>
        </w:tblPrEx>
        <w:trPr>
          <w:gridAfter w:val="1"/>
          <w:wAfter w:w="12" w:type="dxa"/>
          <w:trHeight w:val="671"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经济效益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396"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759"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生态效益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563"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tc>
        <w:tc>
          <w:tcPr>
            <w:tcW w:w="102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可持续影响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767"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满意度指标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公众满意度</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≥95%</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585" w:hRule="atLeast"/>
          <w:jc w:val="center"/>
        </w:trPr>
        <w:tc>
          <w:tcPr>
            <w:tcW w:w="3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 xml:space="preserve"> 部门满意度</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≥95%</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完成</w:t>
            </w:r>
          </w:p>
        </w:tc>
      </w:tr>
      <w:tr>
        <w:tblPrEx>
          <w:tblCellMar>
            <w:top w:w="0" w:type="dxa"/>
            <w:left w:w="0" w:type="dxa"/>
            <w:bottom w:w="0" w:type="dxa"/>
            <w:right w:w="0" w:type="dxa"/>
          </w:tblCellMar>
        </w:tblPrEx>
        <w:trPr>
          <w:gridAfter w:val="1"/>
          <w:wAfter w:w="12" w:type="dxa"/>
          <w:trHeight w:val="1050" w:hRule="atLeast"/>
          <w:jc w:val="center"/>
        </w:trPr>
        <w:tc>
          <w:tcPr>
            <w:tcW w:w="390" w:type="dxa"/>
            <w:tcBorders>
              <w:top w:val="single" w:color="auto" w:sz="4" w:space="0"/>
            </w:tcBorders>
          </w:tcPr>
          <w:p>
            <w:pPr>
              <w:widowControl/>
              <w:jc w:val="center"/>
              <w:textAlignment w:val="center"/>
              <w:rPr>
                <w:rFonts w:ascii="宋体" w:hAnsi="宋体" w:cs="宋体"/>
                <w:color w:val="000000"/>
                <w:sz w:val="24"/>
              </w:rPr>
            </w:pPr>
          </w:p>
        </w:tc>
        <w:tc>
          <w:tcPr>
            <w:tcW w:w="1367" w:type="dxa"/>
            <w:tcBorders>
              <w:top w:val="single" w:color="auto" w:sz="4" w:space="0"/>
            </w:tcBorders>
          </w:tcPr>
          <w:p>
            <w:pPr>
              <w:widowControl/>
              <w:jc w:val="center"/>
              <w:textAlignment w:val="center"/>
              <w:rPr>
                <w:rFonts w:ascii="宋体" w:hAnsi="宋体" w:cs="宋体"/>
                <w:color w:val="000000"/>
                <w:sz w:val="24"/>
              </w:rPr>
            </w:pPr>
          </w:p>
        </w:tc>
        <w:tc>
          <w:tcPr>
            <w:tcW w:w="1025" w:type="dxa"/>
            <w:gridSpan w:val="2"/>
            <w:tcBorders>
              <w:top w:val="single" w:color="auto" w:sz="4" w:space="0"/>
            </w:tcBorders>
          </w:tcPr>
          <w:p>
            <w:pPr>
              <w:keepNext w:val="0"/>
              <w:keepLines w:val="0"/>
              <w:widowControl/>
              <w:suppressLineNumbers w:val="0"/>
              <w:jc w:val="center"/>
              <w:textAlignment w:val="center"/>
              <w:rPr>
                <w:rFonts w:ascii="宋体" w:hAnsi="宋体" w:cs="宋体"/>
                <w:color w:val="000000"/>
                <w:sz w:val="24"/>
              </w:rPr>
            </w:pPr>
          </w:p>
        </w:tc>
        <w:tc>
          <w:tcPr>
            <w:tcW w:w="2392" w:type="dxa"/>
            <w:gridSpan w:val="2"/>
            <w:tcBorders>
              <w:top w:val="single" w:color="auto" w:sz="4" w:space="0"/>
            </w:tcBorders>
          </w:tcPr>
          <w:p>
            <w:pPr>
              <w:widowControl/>
              <w:jc w:val="center"/>
              <w:textAlignment w:val="center"/>
              <w:rPr>
                <w:rFonts w:ascii="宋体" w:hAnsi="宋体" w:cs="宋体"/>
                <w:color w:val="000000"/>
                <w:sz w:val="24"/>
              </w:rPr>
            </w:pPr>
          </w:p>
        </w:tc>
        <w:tc>
          <w:tcPr>
            <w:tcW w:w="2394" w:type="dxa"/>
            <w:gridSpan w:val="2"/>
            <w:tcBorders>
              <w:top w:val="single" w:color="auto" w:sz="4" w:space="0"/>
            </w:tcBorders>
          </w:tcPr>
          <w:p>
            <w:pPr>
              <w:widowControl/>
              <w:jc w:val="center"/>
              <w:textAlignment w:val="center"/>
              <w:rPr>
                <w:rFonts w:ascii="宋体" w:hAnsi="宋体" w:cs="宋体"/>
                <w:color w:val="000000"/>
                <w:sz w:val="24"/>
              </w:rPr>
            </w:pPr>
          </w:p>
        </w:tc>
        <w:tc>
          <w:tcPr>
            <w:tcW w:w="2392" w:type="dxa"/>
            <w:gridSpan w:val="2"/>
            <w:tcBorders>
              <w:top w:val="single" w:color="auto" w:sz="4" w:space="0"/>
            </w:tcBorders>
          </w:tcPr>
          <w:p>
            <w:pPr>
              <w:widowControl/>
              <w:jc w:val="center"/>
              <w:textAlignment w:val="center"/>
              <w:rPr>
                <w:rFonts w:ascii="宋体" w:hAnsi="宋体" w:cs="宋体"/>
                <w:color w:val="000000"/>
                <w:sz w:val="24"/>
              </w:rPr>
            </w:pPr>
          </w:p>
        </w:tc>
      </w:tr>
    </w:tbl>
    <w:p>
      <w:pPr>
        <w:pStyle w:val="2"/>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区海事处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b/>
          <w:bCs/>
          <w:sz w:val="32"/>
          <w:szCs w:val="32"/>
          <w:lang w:eastAsia="zh-CN"/>
        </w:rPr>
        <w:t>海事执法、安全培训教育、水上安全应急及隐患排查、海事工作码头趸船运行维护项目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区海事处</w:t>
      </w:r>
      <w:r>
        <w:rPr>
          <w:rFonts w:hint="eastAsia" w:ascii="仿宋_GB2312" w:hAnsi="仿宋_GB2312" w:eastAsia="仿宋_GB2312" w:cs="仿宋_GB2312"/>
          <w:sz w:val="32"/>
          <w:szCs w:val="32"/>
        </w:rPr>
        <w:t>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32"/>
          <w:rFonts w:ascii="黑体" w:hAnsi="黑体" w:eastAsia="黑体"/>
          <w:b w:val="0"/>
        </w:rPr>
      </w:pPr>
      <w:bookmarkStart w:id="116" w:name="_Toc15377225"/>
      <w:bookmarkStart w:id="117" w:name="_Toc15396613"/>
      <w:bookmarkStart w:id="118" w:name="_Toc29022"/>
      <w:bookmarkStart w:id="119" w:name="_Toc22214"/>
      <w:r>
        <w:rPr>
          <w:rFonts w:hint="eastAsia" w:ascii="黑体" w:hAnsi="黑体" w:eastAsia="黑体"/>
          <w:color w:val="000000"/>
          <w:sz w:val="44"/>
          <w:szCs w:val="44"/>
        </w:rPr>
        <w:t>名</w:t>
      </w:r>
      <w:r>
        <w:rPr>
          <w:rStyle w:val="32"/>
          <w:rFonts w:hint="eastAsia" w:ascii="黑体" w:hAnsi="黑体" w:eastAsia="黑体"/>
          <w:b w:val="0"/>
        </w:rPr>
        <w:t>词解释</w:t>
      </w:r>
      <w:bookmarkEnd w:id="116"/>
      <w:bookmarkEnd w:id="117"/>
      <w:bookmarkEnd w:id="118"/>
      <w:bookmarkEnd w:id="119"/>
    </w:p>
    <w:p>
      <w:pPr>
        <w:spacing w:line="600" w:lineRule="exact"/>
        <w:jc w:val="left"/>
        <w:rPr>
          <w:rFonts w:ascii="宋体"/>
          <w:b/>
          <w:color w:val="000000"/>
          <w:sz w:val="44"/>
          <w:szCs w:val="44"/>
        </w:rPr>
      </w:pPr>
    </w:p>
    <w:p>
      <w:pPr>
        <w:spacing w:line="600" w:lineRule="exact"/>
        <w:jc w:val="left"/>
        <w:outlineLvl w:val="0"/>
        <w:rPr>
          <w:rFonts w:ascii="仿宋_GB2312" w:hAnsi="Calibri" w:eastAsia="仿宋_GB2312" w:cs="仿宋"/>
          <w:color w:val="000000"/>
          <w:kern w:val="0"/>
          <w:sz w:val="32"/>
          <w:szCs w:val="32"/>
        </w:rPr>
      </w:pPr>
      <w:bookmarkStart w:id="120" w:name="_Toc502"/>
      <w:bookmarkStart w:id="121" w:name="_Toc21373"/>
      <w:bookmarkStart w:id="122" w:name="_Toc23197"/>
      <w:r>
        <w:rPr>
          <w:rFonts w:hint="eastAsia" w:ascii="仿宋_GB2312" w:hAnsi="Calibri" w:eastAsia="仿宋_GB2312" w:cs="仿宋"/>
          <w:color w:val="000000"/>
          <w:kern w:val="0"/>
          <w:sz w:val="32"/>
          <w:szCs w:val="32"/>
        </w:rPr>
        <w:t>1.财政拨款收入：指单位从同级财政部门取得的财政预算资金。</w:t>
      </w:r>
      <w:bookmarkEnd w:id="120"/>
      <w:bookmarkEnd w:id="121"/>
      <w:bookmarkEnd w:id="122"/>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23" w:name="_Toc11561"/>
      <w:bookmarkStart w:id="124" w:name="_Toc20178"/>
      <w:bookmarkStart w:id="125" w:name="_Toc29089"/>
      <w:r>
        <w:rPr>
          <w:rFonts w:hint="eastAsia" w:ascii="仿宋_GB2312" w:hAnsi="Calibri" w:eastAsia="仿宋_GB2312" w:cs="仿宋"/>
          <w:color w:val="000000"/>
          <w:kern w:val="0"/>
          <w:sz w:val="32"/>
          <w:szCs w:val="32"/>
        </w:rPr>
        <w:t>2.年初结转和结余：指以前年度尚未完成、结转到本年按有关规定继续使用的资金。</w:t>
      </w:r>
      <w:bookmarkEnd w:id="123"/>
      <w:bookmarkEnd w:id="124"/>
      <w:bookmarkEnd w:id="125"/>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26" w:name="_Toc30469"/>
      <w:bookmarkStart w:id="127" w:name="_Toc29326"/>
      <w:bookmarkStart w:id="128" w:name="_Toc1884"/>
      <w:r>
        <w:rPr>
          <w:rFonts w:hint="eastAsia" w:ascii="仿宋_GB2312" w:hAnsi="Calibri" w:eastAsia="仿宋_GB2312" w:cs="仿宋"/>
          <w:color w:val="000000"/>
          <w:kern w:val="0"/>
          <w:sz w:val="32"/>
          <w:szCs w:val="32"/>
        </w:rPr>
        <w:t>3.年末结转和结余：指单位按有关规定结转到下年或以后年度继续使用的资金。</w:t>
      </w:r>
      <w:bookmarkEnd w:id="126"/>
      <w:bookmarkEnd w:id="127"/>
      <w:bookmarkEnd w:id="128"/>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29" w:name="_Toc4655"/>
      <w:bookmarkStart w:id="130" w:name="_Toc21809"/>
      <w:bookmarkStart w:id="131" w:name="_Toc29191"/>
      <w:r>
        <w:rPr>
          <w:rFonts w:hint="eastAsia" w:ascii="仿宋_GB2312" w:hAnsi="Calibri" w:eastAsia="仿宋_GB2312" w:cs="仿宋"/>
          <w:color w:val="000000"/>
          <w:kern w:val="0"/>
          <w:sz w:val="32"/>
          <w:szCs w:val="32"/>
          <w:lang w:val="en-US" w:eastAsia="zh-CN"/>
        </w:rPr>
        <w:t>4</w:t>
      </w:r>
      <w:r>
        <w:rPr>
          <w:rFonts w:hint="eastAsia" w:ascii="仿宋_GB2312" w:hAnsi="Calibri" w:eastAsia="仿宋_GB2312" w:cs="仿宋"/>
          <w:color w:val="000000"/>
          <w:kern w:val="0"/>
          <w:sz w:val="32"/>
          <w:szCs w:val="32"/>
        </w:rPr>
        <w:t>.住房保障支出（类）住房改革支出（款）住房公积金（项）：反映行政事业单位按人力资源和社会保障部、财政部规定的基本工资和津补贴以及规定比例为职工缴纳的住房公积金。</w:t>
      </w:r>
      <w:bookmarkEnd w:id="129"/>
      <w:bookmarkEnd w:id="130"/>
      <w:bookmarkEnd w:id="131"/>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32" w:name="_Toc22199"/>
      <w:bookmarkStart w:id="133" w:name="_Toc14499"/>
      <w:bookmarkStart w:id="134" w:name="_Toc1633"/>
      <w:r>
        <w:rPr>
          <w:rFonts w:hint="eastAsia" w:ascii="仿宋_GB2312" w:hAnsi="Calibri" w:eastAsia="仿宋_GB2312" w:cs="仿宋"/>
          <w:color w:val="000000"/>
          <w:kern w:val="0"/>
          <w:sz w:val="32"/>
          <w:szCs w:val="32"/>
          <w:lang w:val="en-US" w:eastAsia="zh-CN"/>
        </w:rPr>
        <w:t>5</w:t>
      </w:r>
      <w:r>
        <w:rPr>
          <w:rFonts w:hint="eastAsia" w:ascii="仿宋_GB2312" w:hAnsi="Calibri" w:eastAsia="仿宋_GB2312" w:cs="仿宋"/>
          <w:color w:val="000000"/>
          <w:kern w:val="0"/>
          <w:sz w:val="32"/>
          <w:szCs w:val="32"/>
        </w:rPr>
        <w:t>.社会保障和就业（类）行政事业单位离退休（款）机关事业单位基本养老保险缴费支出（项）：反映机关事业单位实施养老保险制度由单位缴纳的基本养老保险支出。</w:t>
      </w:r>
      <w:bookmarkEnd w:id="132"/>
      <w:bookmarkEnd w:id="133"/>
      <w:bookmarkEnd w:id="134"/>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35" w:name="_Toc30444"/>
      <w:bookmarkStart w:id="136" w:name="_Toc22687"/>
      <w:bookmarkStart w:id="137" w:name="_Toc2245"/>
      <w:r>
        <w:rPr>
          <w:rFonts w:hint="eastAsia" w:ascii="仿宋_GB2312" w:hAnsi="Calibri" w:eastAsia="仿宋_GB2312" w:cs="仿宋"/>
          <w:color w:val="000000"/>
          <w:kern w:val="0"/>
          <w:sz w:val="32"/>
          <w:szCs w:val="32"/>
          <w:lang w:val="en-US" w:eastAsia="zh-CN"/>
        </w:rPr>
        <w:t>6</w:t>
      </w:r>
      <w:r>
        <w:rPr>
          <w:rFonts w:hint="eastAsia" w:ascii="仿宋_GB2312" w:hAnsi="Calibri" w:eastAsia="仿宋_GB2312" w:cs="仿宋"/>
          <w:color w:val="000000"/>
          <w:kern w:val="0"/>
          <w:sz w:val="32"/>
          <w:szCs w:val="32"/>
        </w:rPr>
        <w:t>.医疗卫生与计划生育（类）医疗保障（款）事业单位医疗（项）: 反映财政部门集中安排的事业单位基本医疗保险缴费经费。</w:t>
      </w:r>
      <w:bookmarkEnd w:id="135"/>
      <w:bookmarkEnd w:id="136"/>
      <w:bookmarkEnd w:id="137"/>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38" w:name="_Toc21462"/>
      <w:bookmarkStart w:id="139" w:name="_Toc30188"/>
      <w:bookmarkStart w:id="140" w:name="_Toc5551"/>
      <w:r>
        <w:rPr>
          <w:rFonts w:hint="eastAsia" w:ascii="仿宋_GB2312" w:hAnsi="Calibri" w:eastAsia="仿宋_GB2312" w:cs="仿宋"/>
          <w:color w:val="000000"/>
          <w:kern w:val="0"/>
          <w:sz w:val="32"/>
          <w:szCs w:val="32"/>
          <w:lang w:val="en-US" w:eastAsia="zh-CN"/>
        </w:rPr>
        <w:t>7</w:t>
      </w:r>
      <w:r>
        <w:rPr>
          <w:rFonts w:hint="eastAsia" w:ascii="仿宋_GB2312" w:hAnsi="Calibri" w:eastAsia="仿宋_GB2312" w:cs="仿宋"/>
          <w:color w:val="000000"/>
          <w:kern w:val="0"/>
          <w:sz w:val="32"/>
          <w:szCs w:val="32"/>
        </w:rPr>
        <w:t>.农林水支出（类）扶贫（款）其他扶贫支出（项）：反映用于农村扶贫开发等方面的支出。</w:t>
      </w:r>
      <w:bookmarkEnd w:id="138"/>
      <w:bookmarkEnd w:id="139"/>
      <w:bookmarkEnd w:id="140"/>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41" w:name="_Toc24082"/>
      <w:bookmarkStart w:id="142" w:name="_Toc28406"/>
      <w:bookmarkStart w:id="143" w:name="_Toc12216"/>
      <w:r>
        <w:rPr>
          <w:rFonts w:hint="eastAsia" w:ascii="仿宋_GB2312" w:hAnsi="Calibri" w:eastAsia="仿宋_GB2312" w:cs="仿宋"/>
          <w:color w:val="000000"/>
          <w:kern w:val="0"/>
          <w:sz w:val="32"/>
          <w:szCs w:val="32"/>
          <w:lang w:val="en-US" w:eastAsia="zh-CN"/>
        </w:rPr>
        <w:t>8</w:t>
      </w:r>
      <w:r>
        <w:rPr>
          <w:rFonts w:hint="eastAsia" w:ascii="仿宋_GB2312" w:hAnsi="Calibri" w:eastAsia="仿宋_GB2312" w:cs="仿宋"/>
          <w:color w:val="000000"/>
          <w:kern w:val="0"/>
          <w:sz w:val="32"/>
          <w:szCs w:val="32"/>
        </w:rPr>
        <w:t>.基本支出：指为保障机构正常运转、完成日常工作任务而发生的人员支出和公用支出。</w:t>
      </w:r>
      <w:bookmarkEnd w:id="141"/>
      <w:bookmarkEnd w:id="142"/>
      <w:bookmarkEnd w:id="143"/>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44" w:name="_Toc8966"/>
      <w:bookmarkStart w:id="145" w:name="_Toc30052"/>
      <w:bookmarkStart w:id="146" w:name="_Toc22118"/>
      <w:r>
        <w:rPr>
          <w:rFonts w:hint="eastAsia" w:ascii="仿宋_GB2312" w:hAnsi="Calibri" w:eastAsia="仿宋_GB2312" w:cs="仿宋"/>
          <w:color w:val="000000"/>
          <w:kern w:val="0"/>
          <w:sz w:val="32"/>
          <w:szCs w:val="32"/>
          <w:lang w:val="en-US" w:eastAsia="zh-CN"/>
        </w:rPr>
        <w:t>9</w:t>
      </w:r>
      <w:r>
        <w:rPr>
          <w:rFonts w:hint="eastAsia" w:ascii="仿宋_GB2312" w:hAnsi="Calibri" w:eastAsia="仿宋_GB2312" w:cs="仿宋"/>
          <w:color w:val="000000"/>
          <w:kern w:val="0"/>
          <w:sz w:val="32"/>
          <w:szCs w:val="32"/>
        </w:rPr>
        <w:t>.项目支出：指在基本支出之外为完成特定行政任务和事业发展目标所发生的支出。</w:t>
      </w:r>
      <w:bookmarkEnd w:id="144"/>
      <w:bookmarkEnd w:id="145"/>
      <w:bookmarkEnd w:id="146"/>
      <w:r>
        <w:rPr>
          <w:rFonts w:hint="eastAsia" w:ascii="仿宋_GB2312" w:hAnsi="Calibri" w:eastAsia="仿宋_GB2312" w:cs="仿宋"/>
          <w:color w:val="000000"/>
          <w:kern w:val="0"/>
          <w:sz w:val="32"/>
          <w:szCs w:val="32"/>
        </w:rPr>
        <w:t xml:space="preserve"> </w:t>
      </w:r>
    </w:p>
    <w:p>
      <w:pPr>
        <w:spacing w:line="600" w:lineRule="exact"/>
        <w:jc w:val="left"/>
        <w:outlineLvl w:val="0"/>
        <w:rPr>
          <w:rFonts w:ascii="仿宋_GB2312" w:hAnsi="Calibri" w:eastAsia="仿宋_GB2312" w:cs="仿宋"/>
          <w:color w:val="000000"/>
          <w:kern w:val="0"/>
          <w:sz w:val="32"/>
          <w:szCs w:val="32"/>
        </w:rPr>
      </w:pPr>
      <w:bookmarkStart w:id="147" w:name="_Toc20593"/>
      <w:bookmarkStart w:id="148" w:name="_Toc15569"/>
      <w:bookmarkStart w:id="149" w:name="_Toc18233"/>
      <w:r>
        <w:rPr>
          <w:rFonts w:hint="eastAsia" w:ascii="仿宋_GB2312" w:hAnsi="Calibri" w:eastAsia="仿宋_GB2312" w:cs="仿宋"/>
          <w:color w:val="000000"/>
          <w:kern w:val="0"/>
          <w:sz w:val="32"/>
          <w:szCs w:val="32"/>
          <w:lang w:val="en-US" w:eastAsia="zh-CN"/>
        </w:rPr>
        <w:t>10</w:t>
      </w:r>
      <w:r>
        <w:rPr>
          <w:rFonts w:hint="eastAsia" w:ascii="仿宋_GB2312" w:hAnsi="Calibri" w:eastAsia="仿宋_GB2312" w:cs="仿宋"/>
          <w:color w:val="000000"/>
          <w:kern w:val="0"/>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bookmarkEnd w:id="147"/>
      <w:bookmarkEnd w:id="148"/>
      <w:bookmarkEnd w:id="149"/>
      <w:r>
        <w:rPr>
          <w:rFonts w:hint="eastAsia" w:ascii="仿宋_GB2312" w:hAnsi="Calibri" w:eastAsia="仿宋_GB2312" w:cs="仿宋"/>
          <w:color w:val="000000"/>
          <w:kern w:val="0"/>
          <w:sz w:val="32"/>
          <w:szCs w:val="32"/>
        </w:rPr>
        <w:t xml:space="preserve"> </w:t>
      </w:r>
    </w:p>
    <w:p>
      <w:pPr>
        <w:spacing w:line="600" w:lineRule="exact"/>
        <w:jc w:val="left"/>
        <w:outlineLvl w:val="0"/>
        <w:rPr>
          <w:rFonts w:hint="eastAsia" w:ascii="仿宋_GB2312" w:hAnsi="Calibri" w:eastAsia="仿宋_GB2312" w:cs="仿宋"/>
          <w:color w:val="000000"/>
          <w:kern w:val="0"/>
          <w:sz w:val="32"/>
          <w:szCs w:val="32"/>
        </w:rPr>
      </w:pPr>
      <w:bookmarkStart w:id="150" w:name="_Toc32677"/>
      <w:bookmarkStart w:id="151" w:name="_Toc17649"/>
      <w:bookmarkStart w:id="152" w:name="_Toc7647"/>
      <w:r>
        <w:rPr>
          <w:rFonts w:hint="eastAsia" w:ascii="仿宋_GB2312" w:hAnsi="Calibri" w:eastAsia="仿宋_GB2312" w:cs="仿宋"/>
          <w:color w:val="000000"/>
          <w:kern w:val="0"/>
          <w:sz w:val="32"/>
          <w:szCs w:val="32"/>
          <w:lang w:val="en-US" w:eastAsia="zh-CN"/>
        </w:rPr>
        <w:t>11</w:t>
      </w:r>
      <w:r>
        <w:rPr>
          <w:rFonts w:hint="eastAsia" w:ascii="仿宋_GB2312" w:hAnsi="Calibri" w:eastAsia="仿宋_GB2312" w:cs="仿宋"/>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50"/>
      <w:bookmarkEnd w:id="151"/>
      <w:bookmarkEnd w:id="152"/>
      <w:r>
        <w:rPr>
          <w:rFonts w:hint="eastAsia" w:ascii="仿宋_GB2312" w:hAnsi="Calibri" w:eastAsia="仿宋_GB2312" w:cs="仿宋"/>
          <w:color w:val="000000"/>
          <w:kern w:val="0"/>
          <w:sz w:val="32"/>
          <w:szCs w:val="32"/>
        </w:rPr>
        <w:t xml:space="preserve"> </w:t>
      </w:r>
    </w:p>
    <w:p>
      <w:pPr>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映行政单位（包括实行公务员管理的事业单位）的基本支出</w:t>
      </w:r>
      <w:r>
        <w:rPr>
          <w:rFonts w:hint="eastAsia" w:ascii="仿宋_GB2312" w:eastAsia="仿宋_GB2312"/>
          <w:color w:val="000000"/>
          <w:sz w:val="32"/>
          <w:szCs w:val="32"/>
        </w:rPr>
        <w:t>。</w:t>
      </w:r>
    </w:p>
    <w:p>
      <w:pPr>
        <w:pStyle w:val="2"/>
        <w:ind w:left="0" w:leftChars="0" w:firstLine="0" w:firstLineChars="0"/>
        <w:rPr>
          <w:rFonts w:hint="eastAsia" w:ascii="仿宋_GB2312"/>
          <w:color w:val="000000"/>
          <w:sz w:val="32"/>
          <w:szCs w:val="32"/>
          <w:lang w:val="en-US" w:eastAsia="zh-CN"/>
        </w:rPr>
      </w:pPr>
      <w:r>
        <w:rPr>
          <w:rFonts w:ascii="仿宋_GB2312" w:eastAsia="仿宋_GB2312"/>
          <w:color w:val="000000"/>
          <w:sz w:val="32"/>
          <w:szCs w:val="32"/>
        </w:rPr>
        <w:t>1</w:t>
      </w:r>
      <w:r>
        <w:rPr>
          <w:rFonts w:hint="eastAsia" w:ascii="仿宋_GB2312"/>
          <w:color w:val="000000"/>
          <w:sz w:val="32"/>
          <w:szCs w:val="32"/>
          <w:lang w:val="en-US" w:eastAsia="zh-CN"/>
        </w:rPr>
        <w:t>3.</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（款）</w:t>
      </w:r>
      <w:r>
        <w:rPr>
          <w:rFonts w:hint="eastAsia" w:ascii="仿宋_GB2312"/>
          <w:color w:val="000000"/>
          <w:sz w:val="32"/>
          <w:szCs w:val="32"/>
          <w:lang w:val="en-US" w:eastAsia="zh-CN"/>
        </w:rPr>
        <w:t>海事管理</w:t>
      </w:r>
      <w:r>
        <w:rPr>
          <w:rFonts w:hint="eastAsia" w:ascii="仿宋_GB2312" w:eastAsia="仿宋_GB2312"/>
          <w:color w:val="000000"/>
          <w:sz w:val="32"/>
          <w:szCs w:val="32"/>
        </w:rPr>
        <w:t>（项）</w:t>
      </w:r>
      <w:r>
        <w:rPr>
          <w:rFonts w:hint="eastAsia" w:ascii="仿宋_GB2312"/>
          <w:color w:val="000000"/>
          <w:sz w:val="32"/>
          <w:szCs w:val="32"/>
          <w:lang w:eastAsia="zh-CN"/>
        </w:rPr>
        <w:t>：</w:t>
      </w:r>
      <w:r>
        <w:rPr>
          <w:rFonts w:hint="eastAsia" w:ascii="仿宋_GB2312"/>
          <w:color w:val="000000"/>
          <w:sz w:val="32"/>
          <w:szCs w:val="32"/>
          <w:lang w:val="en-US" w:eastAsia="zh-CN"/>
        </w:rPr>
        <w:t>反映海事管理方面支出。</w:t>
      </w:r>
    </w:p>
    <w:p>
      <w:pPr>
        <w:pStyle w:val="2"/>
        <w:ind w:left="0" w:leftChars="0" w:firstLine="0" w:firstLineChars="0"/>
        <w:rPr>
          <w:rFonts w:hint="default" w:ascii="仿宋_GB2312"/>
          <w:color w:val="000000"/>
          <w:sz w:val="32"/>
          <w:szCs w:val="32"/>
          <w:lang w:val="en-US" w:eastAsia="zh-CN"/>
        </w:rPr>
      </w:pPr>
      <w:r>
        <w:rPr>
          <w:rFonts w:hint="eastAsia" w:ascii="仿宋_GB2312"/>
          <w:color w:val="000000"/>
          <w:sz w:val="32"/>
          <w:szCs w:val="32"/>
          <w:lang w:val="en-US" w:eastAsia="zh-CN"/>
        </w:rPr>
        <w:t>14.</w:t>
      </w:r>
      <w:r>
        <w:rPr>
          <w:rFonts w:hint="eastAsia" w:ascii="仿宋_GB2312" w:eastAsia="仿宋_GB2312"/>
          <w:color w:val="000000"/>
          <w:sz w:val="32"/>
          <w:szCs w:val="32"/>
          <w:lang w:val="en-US" w:eastAsia="zh-CN"/>
        </w:rPr>
        <w:t>交通运输支出</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公路水路运输</w:t>
      </w:r>
      <w:r>
        <w:rPr>
          <w:rFonts w:hint="eastAsia" w:ascii="仿宋_GB2312" w:eastAsia="仿宋_GB2312"/>
          <w:color w:val="000000"/>
          <w:sz w:val="32"/>
          <w:szCs w:val="32"/>
        </w:rPr>
        <w:t>（款）</w:t>
      </w:r>
      <w:r>
        <w:rPr>
          <w:rFonts w:hint="eastAsia" w:ascii="仿宋_GB2312"/>
          <w:color w:val="000000"/>
          <w:sz w:val="32"/>
          <w:szCs w:val="32"/>
          <w:lang w:eastAsia="zh-CN"/>
        </w:rPr>
        <w:t>其他公路水路运输支出</w:t>
      </w:r>
      <w:r>
        <w:rPr>
          <w:rFonts w:hint="eastAsia" w:ascii="仿宋_GB2312" w:eastAsia="仿宋_GB2312"/>
          <w:color w:val="000000"/>
          <w:sz w:val="32"/>
          <w:szCs w:val="32"/>
        </w:rPr>
        <w:t>（项）</w:t>
      </w:r>
      <w:r>
        <w:rPr>
          <w:rFonts w:hint="eastAsia" w:ascii="仿宋_GB2312"/>
          <w:color w:val="000000"/>
          <w:sz w:val="32"/>
          <w:szCs w:val="32"/>
          <w:lang w:eastAsia="zh-CN"/>
        </w:rPr>
        <w:t>：</w:t>
      </w:r>
      <w:r>
        <w:rPr>
          <w:rFonts w:hint="eastAsia" w:ascii="仿宋_GB2312"/>
          <w:color w:val="000000"/>
          <w:sz w:val="32"/>
          <w:szCs w:val="32"/>
          <w:lang w:val="en-US" w:eastAsia="zh-CN"/>
        </w:rPr>
        <w:t>反映其他交通运输支出中除对公共交通运营补助以外的其他支出。</w:t>
      </w:r>
    </w:p>
    <w:p>
      <w:pPr>
        <w:spacing w:line="600" w:lineRule="exact"/>
        <w:jc w:val="center"/>
        <w:outlineLvl w:val="0"/>
        <w:rPr>
          <w:rStyle w:val="32"/>
          <w:rFonts w:ascii="黑体" w:hAnsi="黑体" w:eastAsia="黑体"/>
          <w:b w:val="0"/>
        </w:rPr>
      </w:pPr>
      <w:bookmarkStart w:id="153" w:name="_Toc15377226"/>
      <w:r>
        <w:rPr>
          <w:rFonts w:ascii="宋体"/>
          <w:b/>
          <w:color w:val="000000"/>
          <w:sz w:val="44"/>
          <w:szCs w:val="44"/>
        </w:rPr>
        <w:br w:type="page"/>
      </w:r>
      <w:bookmarkStart w:id="154" w:name="_Toc23654"/>
      <w:bookmarkStart w:id="155" w:name="_Toc29892"/>
      <w:bookmarkStart w:id="156" w:name="_Toc15396614"/>
      <w:r>
        <w:rPr>
          <w:rFonts w:hint="eastAsia" w:ascii="黑体" w:hAnsi="黑体" w:eastAsia="黑体"/>
          <w:color w:val="000000"/>
          <w:sz w:val="44"/>
          <w:szCs w:val="44"/>
        </w:rPr>
        <w:t>第</w:t>
      </w:r>
      <w:r>
        <w:rPr>
          <w:rStyle w:val="32"/>
          <w:rFonts w:hint="eastAsia" w:ascii="黑体" w:hAnsi="黑体" w:eastAsia="黑体"/>
          <w:b w:val="0"/>
        </w:rPr>
        <w:t>四部分 附件</w:t>
      </w:r>
      <w:bookmarkEnd w:id="154"/>
      <w:bookmarkEnd w:id="155"/>
      <w:bookmarkEnd w:id="156"/>
    </w:p>
    <w:p>
      <w:pPr>
        <w:spacing w:line="600" w:lineRule="exact"/>
        <w:jc w:val="left"/>
        <w:outlineLvl w:val="0"/>
        <w:rPr>
          <w:rFonts w:ascii="方正小标宋简体" w:hAnsi="方正小标宋简体" w:eastAsia="方正小标宋简体" w:cs="方正小标宋简体"/>
          <w:sz w:val="32"/>
          <w:szCs w:val="32"/>
        </w:rPr>
      </w:pPr>
      <w:bookmarkStart w:id="157" w:name="_Toc20978"/>
      <w:bookmarkStart w:id="158" w:name="_Toc25942"/>
      <w:r>
        <w:rPr>
          <w:rFonts w:hint="eastAsia" w:ascii="黑体" w:hAnsi="黑体" w:eastAsia="黑体" w:cs="黑体"/>
          <w:sz w:val="32"/>
          <w:szCs w:val="32"/>
        </w:rPr>
        <w:t>附件1</w:t>
      </w:r>
      <w:bookmarkEnd w:id="157"/>
      <w:bookmarkEnd w:id="158"/>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区海事处</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spacing w:line="580" w:lineRule="exact"/>
        <w:ind w:firstLine="640" w:firstLineChars="200"/>
        <w:rPr>
          <w:rFonts w:hint="eastAsia" w:ascii="宋体" w:hAnsi="宋体" w:eastAsia="宋体" w:cs="宋体"/>
          <w:sz w:val="32"/>
          <w:szCs w:val="32"/>
        </w:rPr>
      </w:pP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一、部门（单位）概况</w:t>
      </w:r>
    </w:p>
    <w:p>
      <w:pPr>
        <w:ind w:firstLine="627" w:firstLineChars="196"/>
        <w:rPr>
          <w:rFonts w:hint="eastAsia" w:ascii="宋体" w:hAnsi="宋体" w:eastAsia="宋体" w:cs="宋体"/>
          <w:sz w:val="32"/>
          <w:szCs w:val="32"/>
        </w:rPr>
      </w:pPr>
      <w:r>
        <w:rPr>
          <w:rFonts w:hint="eastAsia" w:ascii="宋体" w:hAnsi="宋体" w:eastAsia="宋体" w:cs="宋体"/>
          <w:sz w:val="32"/>
          <w:szCs w:val="32"/>
        </w:rPr>
        <w:t>（一）机构组成。我处为区交通运输局下属二级单位，三块牌子一套班子，级别为正科级，属参照公务员管理的事业单位。处机关设有5个职能股室，即办公室、海事股、航务股、船检股、水路运政股。有一个股级下属事业单位，即广元市利州区地方海事处白龙湖海事所。</w:t>
      </w:r>
    </w:p>
    <w:p>
      <w:pPr>
        <w:spacing w:line="580" w:lineRule="exact"/>
        <w:ind w:firstLine="627" w:firstLineChars="196"/>
        <w:rPr>
          <w:rFonts w:hint="eastAsia" w:ascii="宋体" w:hAnsi="宋体" w:eastAsia="宋体" w:cs="宋体"/>
          <w:kern w:val="0"/>
          <w:sz w:val="32"/>
          <w:szCs w:val="32"/>
        </w:rPr>
      </w:pPr>
      <w:r>
        <w:rPr>
          <w:rFonts w:hint="eastAsia" w:ascii="宋体" w:hAnsi="宋体" w:eastAsia="宋体" w:cs="宋体"/>
          <w:sz w:val="32"/>
          <w:szCs w:val="32"/>
        </w:rPr>
        <w:t>（二）机构职能。</w:t>
      </w:r>
      <w:r>
        <w:rPr>
          <w:rFonts w:hint="eastAsia" w:ascii="宋体" w:hAnsi="宋体" w:eastAsia="宋体" w:cs="宋体"/>
          <w:kern w:val="0"/>
          <w:sz w:val="32"/>
          <w:szCs w:val="32"/>
        </w:rPr>
        <w:t>为航运畅通提供航务管理保障、水路运政管理、港政管理、水上安全监管、航道管理</w:t>
      </w:r>
      <w:r>
        <w:rPr>
          <w:rFonts w:hint="eastAsia" w:ascii="宋体" w:hAnsi="宋体" w:eastAsia="宋体" w:cs="宋体"/>
          <w:kern w:val="0"/>
          <w:sz w:val="32"/>
          <w:szCs w:val="32"/>
          <w:lang w:eastAsia="zh-CN"/>
        </w:rPr>
        <w:t>、</w:t>
      </w:r>
      <w:r>
        <w:rPr>
          <w:rFonts w:hint="eastAsia" w:ascii="宋体" w:hAnsi="宋体" w:eastAsia="宋体" w:cs="宋体"/>
          <w:kern w:val="0"/>
          <w:sz w:val="32"/>
          <w:szCs w:val="32"/>
        </w:rPr>
        <w:t>船舶检验与管理。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（三）人员概况。20</w:t>
      </w:r>
      <w:r>
        <w:rPr>
          <w:rFonts w:hint="eastAsia" w:ascii="宋体" w:hAnsi="宋体" w:cs="宋体"/>
          <w:sz w:val="32"/>
          <w:szCs w:val="32"/>
          <w:lang w:val="en-US" w:eastAsia="zh-CN"/>
        </w:rPr>
        <w:t>20</w:t>
      </w:r>
      <w:r>
        <w:rPr>
          <w:rFonts w:hint="eastAsia" w:ascii="宋体" w:hAnsi="宋体" w:eastAsia="宋体" w:cs="宋体"/>
          <w:sz w:val="32"/>
          <w:szCs w:val="32"/>
        </w:rPr>
        <w:t>年度，我处总编制17名，其中行政编制0名,参照公务员管理的事业编制11名，其他事业编制6名。在职人员总数1</w:t>
      </w:r>
      <w:r>
        <w:rPr>
          <w:rFonts w:hint="eastAsia" w:ascii="宋体" w:hAnsi="宋体" w:cs="宋体"/>
          <w:sz w:val="32"/>
          <w:szCs w:val="32"/>
          <w:lang w:val="en-US" w:eastAsia="zh-CN"/>
        </w:rPr>
        <w:t>5</w:t>
      </w:r>
      <w:r>
        <w:rPr>
          <w:rFonts w:hint="eastAsia" w:ascii="宋体" w:hAnsi="宋体" w:eastAsia="宋体" w:cs="宋体"/>
          <w:sz w:val="32"/>
          <w:szCs w:val="32"/>
        </w:rPr>
        <w:t>人，其中：行政人员1人，参照公务员管理的事业人员</w:t>
      </w:r>
      <w:r>
        <w:rPr>
          <w:rFonts w:hint="eastAsia" w:ascii="宋体" w:hAnsi="宋体" w:cs="宋体"/>
          <w:sz w:val="32"/>
          <w:szCs w:val="32"/>
          <w:lang w:val="en-US" w:eastAsia="zh-CN"/>
        </w:rPr>
        <w:t>7</w:t>
      </w:r>
      <w:r>
        <w:rPr>
          <w:rFonts w:hint="eastAsia" w:ascii="宋体" w:hAnsi="宋体" w:eastAsia="宋体" w:cs="宋体"/>
          <w:sz w:val="32"/>
          <w:szCs w:val="32"/>
        </w:rPr>
        <w:t>名，其他事业人员</w:t>
      </w:r>
      <w:r>
        <w:rPr>
          <w:rFonts w:hint="eastAsia" w:ascii="宋体" w:hAnsi="宋体" w:eastAsia="宋体" w:cs="宋体"/>
          <w:sz w:val="32"/>
          <w:szCs w:val="32"/>
          <w:lang w:val="en-US" w:eastAsia="zh-CN"/>
        </w:rPr>
        <w:t>7</w:t>
      </w:r>
      <w:r>
        <w:rPr>
          <w:rFonts w:hint="eastAsia" w:ascii="宋体" w:hAnsi="宋体" w:eastAsia="宋体" w:cs="宋体"/>
          <w:sz w:val="32"/>
          <w:szCs w:val="32"/>
        </w:rPr>
        <w:t>人。退休</w:t>
      </w:r>
      <w:r>
        <w:rPr>
          <w:rFonts w:hint="eastAsia" w:ascii="宋体" w:hAnsi="宋体" w:eastAsia="宋体" w:cs="宋体"/>
          <w:sz w:val="32"/>
          <w:szCs w:val="32"/>
          <w:lang w:eastAsia="zh-CN"/>
        </w:rPr>
        <w:t>干部</w:t>
      </w:r>
      <w:r>
        <w:rPr>
          <w:rFonts w:hint="eastAsia" w:ascii="宋体" w:hAnsi="宋体" w:eastAsia="宋体" w:cs="宋体"/>
          <w:sz w:val="32"/>
          <w:szCs w:val="32"/>
        </w:rPr>
        <w:t>1 人。</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二、部门财政资金收支情况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（一）部门财政资金收入情况。</w:t>
      </w:r>
    </w:p>
    <w:p>
      <w:pPr>
        <w:spacing w:line="580" w:lineRule="exact"/>
        <w:ind w:firstLine="640" w:firstLineChars="200"/>
        <w:rPr>
          <w:rFonts w:hint="eastAsia" w:ascii="宋体" w:hAnsi="宋体" w:eastAsia="宋体" w:cs="宋体"/>
          <w:sz w:val="32"/>
          <w:szCs w:val="32"/>
          <w:lang w:eastAsia="zh-CN"/>
        </w:rPr>
      </w:pPr>
      <w:r>
        <w:rPr>
          <w:rFonts w:hint="eastAsia" w:ascii="宋体" w:hAnsi="宋体" w:cs="宋体"/>
          <w:sz w:val="32"/>
          <w:szCs w:val="32"/>
          <w:lang w:val="en-US" w:eastAsia="zh-CN"/>
        </w:rPr>
        <w:t>2020</w:t>
      </w:r>
      <w:r>
        <w:rPr>
          <w:rFonts w:hint="eastAsia" w:ascii="宋体" w:hAnsi="宋体" w:eastAsia="宋体" w:cs="宋体"/>
          <w:sz w:val="32"/>
          <w:szCs w:val="32"/>
          <w:lang w:val="en-US" w:eastAsia="zh-CN"/>
        </w:rPr>
        <w:t>年</w:t>
      </w:r>
      <w:r>
        <w:rPr>
          <w:rFonts w:hint="eastAsia" w:ascii="宋体" w:hAnsi="宋体" w:eastAsia="宋体" w:cs="宋体"/>
          <w:sz w:val="32"/>
          <w:szCs w:val="32"/>
        </w:rPr>
        <w:t>全年财政拨款</w:t>
      </w:r>
      <w:r>
        <w:rPr>
          <w:rFonts w:hint="eastAsia" w:ascii="宋体" w:hAnsi="宋体" w:cs="宋体"/>
          <w:sz w:val="32"/>
          <w:szCs w:val="32"/>
          <w:lang w:val="en-US" w:eastAsia="zh-CN"/>
        </w:rPr>
        <w:t>2423076.58</w:t>
      </w:r>
      <w:r>
        <w:rPr>
          <w:rFonts w:hint="eastAsia" w:ascii="宋体" w:hAnsi="宋体" w:eastAsia="宋体" w:cs="宋体"/>
          <w:sz w:val="32"/>
          <w:szCs w:val="32"/>
        </w:rPr>
        <w:t>元，</w:t>
      </w:r>
      <w:r>
        <w:rPr>
          <w:rFonts w:hint="eastAsia" w:ascii="宋体" w:hAnsi="宋体" w:eastAsia="宋体" w:cs="宋体"/>
          <w:sz w:val="32"/>
          <w:szCs w:val="32"/>
          <w:lang w:eastAsia="zh-CN"/>
        </w:rPr>
        <w:t>上年</w:t>
      </w:r>
      <w:r>
        <w:rPr>
          <w:rFonts w:hint="eastAsia" w:ascii="宋体" w:hAnsi="宋体" w:eastAsia="宋体" w:cs="宋体"/>
          <w:sz w:val="32"/>
          <w:szCs w:val="32"/>
        </w:rPr>
        <w:t>财政应返还额度</w:t>
      </w:r>
      <w:r>
        <w:rPr>
          <w:rFonts w:hint="eastAsia" w:ascii="宋体" w:hAnsi="宋体" w:cs="宋体"/>
          <w:sz w:val="32"/>
          <w:szCs w:val="32"/>
          <w:lang w:val="en-US" w:eastAsia="zh-CN"/>
        </w:rPr>
        <w:t>208869.12</w:t>
      </w:r>
      <w:r>
        <w:rPr>
          <w:rFonts w:hint="eastAsia" w:ascii="宋体" w:hAnsi="宋体" w:eastAsia="宋体" w:cs="宋体"/>
          <w:sz w:val="32"/>
          <w:szCs w:val="32"/>
        </w:rPr>
        <w:t>元，全年财政预算指标数</w:t>
      </w:r>
      <w:r>
        <w:rPr>
          <w:rFonts w:hint="eastAsia" w:ascii="宋体" w:hAnsi="宋体" w:cs="宋体"/>
          <w:sz w:val="32"/>
          <w:szCs w:val="32"/>
          <w:lang w:val="en-US" w:eastAsia="zh-CN"/>
        </w:rPr>
        <w:t>2423076.58</w:t>
      </w:r>
      <w:r>
        <w:rPr>
          <w:rFonts w:hint="eastAsia" w:ascii="宋体" w:hAnsi="宋体" w:eastAsia="宋体" w:cs="宋体"/>
          <w:sz w:val="32"/>
          <w:szCs w:val="32"/>
        </w:rPr>
        <w:t>元，年末累计财政应返还额度</w:t>
      </w:r>
      <w:r>
        <w:rPr>
          <w:rFonts w:hint="eastAsia" w:ascii="宋体" w:hAnsi="宋体" w:cs="宋体"/>
          <w:sz w:val="32"/>
          <w:szCs w:val="32"/>
          <w:lang w:val="en-US" w:eastAsia="zh-CN"/>
        </w:rPr>
        <w:t>182049.08</w:t>
      </w:r>
      <w:r>
        <w:rPr>
          <w:rFonts w:hint="eastAsia" w:ascii="宋体" w:hAnsi="宋体" w:eastAsia="宋体" w:cs="宋体"/>
          <w:sz w:val="32"/>
          <w:szCs w:val="32"/>
        </w:rPr>
        <w:t>元。全年财政拨款收入</w:t>
      </w:r>
      <w:r>
        <w:rPr>
          <w:rFonts w:hint="eastAsia" w:ascii="宋体" w:hAnsi="宋体" w:cs="宋体"/>
          <w:sz w:val="32"/>
          <w:szCs w:val="32"/>
          <w:lang w:val="en-US" w:eastAsia="zh-CN"/>
        </w:rPr>
        <w:t>2449896.62</w:t>
      </w:r>
      <w:r>
        <w:rPr>
          <w:rFonts w:hint="eastAsia" w:ascii="宋体" w:hAnsi="宋体" w:eastAsia="宋体" w:cs="宋体"/>
          <w:sz w:val="32"/>
          <w:szCs w:val="32"/>
        </w:rPr>
        <w:t>元</w:t>
      </w:r>
      <w:r>
        <w:rPr>
          <w:rFonts w:hint="eastAsia" w:ascii="宋体" w:hAnsi="宋体" w:eastAsia="宋体" w:cs="宋体"/>
          <w:sz w:val="32"/>
          <w:szCs w:val="32"/>
          <w:lang w:eastAsia="zh-CN"/>
        </w:rPr>
        <w:t>。</w:t>
      </w:r>
    </w:p>
    <w:p>
      <w:pPr>
        <w:autoSpaceDE w:val="0"/>
        <w:autoSpaceDN w:val="0"/>
        <w:adjustRightIn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（二）部门财政资金支出情况。本年支出</w:t>
      </w:r>
      <w:r>
        <w:rPr>
          <w:rFonts w:hint="eastAsia" w:ascii="宋体" w:hAnsi="宋体" w:cs="宋体"/>
          <w:sz w:val="32"/>
          <w:szCs w:val="32"/>
          <w:lang w:val="en-US" w:eastAsia="zh-CN"/>
        </w:rPr>
        <w:t>2449896.62</w:t>
      </w:r>
      <w:r>
        <w:rPr>
          <w:rFonts w:hint="eastAsia" w:ascii="宋体" w:hAnsi="宋体" w:eastAsia="宋体" w:cs="宋体"/>
          <w:sz w:val="32"/>
          <w:szCs w:val="32"/>
        </w:rPr>
        <w:t>元，其中：基本支出</w:t>
      </w:r>
      <w:r>
        <w:rPr>
          <w:rFonts w:hint="eastAsia" w:ascii="宋体" w:hAnsi="宋体" w:eastAsia="宋体" w:cs="宋体"/>
          <w:sz w:val="32"/>
          <w:szCs w:val="32"/>
          <w:lang w:val="en-US" w:eastAsia="zh-CN"/>
        </w:rPr>
        <w:t>2030376.58</w:t>
      </w:r>
      <w:r>
        <w:rPr>
          <w:rFonts w:hint="eastAsia" w:ascii="宋体" w:hAnsi="宋体" w:eastAsia="宋体" w:cs="宋体"/>
          <w:sz w:val="32"/>
          <w:szCs w:val="32"/>
        </w:rPr>
        <w:t>元（</w:t>
      </w:r>
      <w:r>
        <w:rPr>
          <w:rFonts w:hint="eastAsia" w:ascii="宋体" w:hAnsi="宋体" w:eastAsia="宋体" w:cs="宋体"/>
          <w:sz w:val="32"/>
          <w:szCs w:val="32"/>
          <w:lang w:eastAsia="zh-CN"/>
        </w:rPr>
        <w:t>社会保障和就</w:t>
      </w:r>
      <w:r>
        <w:rPr>
          <w:rFonts w:hint="eastAsia" w:ascii="宋体" w:hAnsi="宋体" w:eastAsia="宋体" w:cs="宋体"/>
          <w:sz w:val="32"/>
          <w:szCs w:val="32"/>
          <w:lang w:val="en-US" w:eastAsia="zh-CN"/>
        </w:rPr>
        <w:t>业支出169602.92</w:t>
      </w:r>
      <w:r>
        <w:rPr>
          <w:rFonts w:hint="eastAsia" w:ascii="宋体" w:hAnsi="宋体" w:eastAsia="宋体" w:cs="宋体"/>
          <w:sz w:val="32"/>
          <w:szCs w:val="32"/>
        </w:rPr>
        <w:t>元</w:t>
      </w:r>
      <w:r>
        <w:rPr>
          <w:rFonts w:hint="eastAsia" w:ascii="宋体" w:hAnsi="宋体" w:eastAsia="宋体" w:cs="宋体"/>
          <w:sz w:val="32"/>
          <w:szCs w:val="32"/>
          <w:lang w:val="en-US" w:eastAsia="zh-CN"/>
        </w:rPr>
        <w:t>，行政事业单位医疗73121.1</w:t>
      </w:r>
      <w:r>
        <w:rPr>
          <w:rFonts w:hint="eastAsia" w:ascii="宋体" w:hAnsi="宋体" w:eastAsia="宋体" w:cs="宋体"/>
          <w:sz w:val="32"/>
          <w:szCs w:val="32"/>
        </w:rPr>
        <w:t>元，</w:t>
      </w:r>
      <w:r>
        <w:rPr>
          <w:rFonts w:hint="eastAsia" w:ascii="宋体" w:hAnsi="宋体" w:eastAsia="宋体" w:cs="宋体"/>
          <w:sz w:val="32"/>
          <w:szCs w:val="32"/>
          <w:lang w:val="en-US" w:eastAsia="zh-CN"/>
        </w:rPr>
        <w:t>交通</w:t>
      </w:r>
      <w:r>
        <w:rPr>
          <w:rFonts w:hint="eastAsia" w:ascii="宋体" w:hAnsi="宋体" w:eastAsia="宋体" w:cs="宋体"/>
          <w:sz w:val="32"/>
          <w:szCs w:val="32"/>
        </w:rPr>
        <w:t>水路运输</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2084472.04</w:t>
      </w:r>
      <w:r>
        <w:rPr>
          <w:rFonts w:hint="eastAsia" w:ascii="宋体" w:hAnsi="宋体" w:eastAsia="宋体" w:cs="宋体"/>
          <w:sz w:val="32"/>
          <w:szCs w:val="32"/>
        </w:rPr>
        <w:t>元，住房公积金</w:t>
      </w:r>
      <w:r>
        <w:rPr>
          <w:rFonts w:hint="eastAsia" w:ascii="宋体" w:hAnsi="宋体" w:eastAsia="宋体" w:cs="宋体"/>
          <w:sz w:val="32"/>
          <w:szCs w:val="32"/>
          <w:lang w:val="en-US" w:eastAsia="zh-CN"/>
        </w:rPr>
        <w:t>117700.56</w:t>
      </w:r>
      <w:r>
        <w:rPr>
          <w:rFonts w:hint="eastAsia" w:ascii="宋体" w:hAnsi="宋体" w:eastAsia="宋体" w:cs="宋体"/>
          <w:sz w:val="32"/>
          <w:szCs w:val="32"/>
        </w:rPr>
        <w:t>元），项目支出</w:t>
      </w:r>
      <w:r>
        <w:rPr>
          <w:rFonts w:hint="eastAsia" w:ascii="宋体" w:hAnsi="宋体" w:eastAsia="宋体" w:cs="宋体"/>
          <w:sz w:val="32"/>
          <w:szCs w:val="32"/>
          <w:lang w:val="en-US" w:eastAsia="zh-CN"/>
        </w:rPr>
        <w:t>601569.12</w:t>
      </w:r>
      <w:r>
        <w:rPr>
          <w:rFonts w:hint="eastAsia" w:ascii="宋体" w:hAnsi="宋体" w:eastAsia="宋体" w:cs="宋体"/>
          <w:sz w:val="32"/>
          <w:szCs w:val="32"/>
        </w:rPr>
        <w:t>元（</w:t>
      </w:r>
      <w:r>
        <w:rPr>
          <w:rFonts w:hint="eastAsia" w:ascii="宋体" w:hAnsi="宋体" w:eastAsia="宋体" w:cs="宋体"/>
          <w:sz w:val="32"/>
          <w:szCs w:val="32"/>
          <w:lang w:eastAsia="zh-CN"/>
        </w:rPr>
        <w:t>非贫困村第一书记工作经费</w:t>
      </w:r>
      <w:r>
        <w:rPr>
          <w:rFonts w:hint="eastAsia" w:ascii="宋体" w:hAnsi="宋体" w:eastAsia="宋体" w:cs="宋体"/>
          <w:sz w:val="32"/>
          <w:szCs w:val="32"/>
          <w:lang w:val="en-US" w:eastAsia="zh-CN"/>
        </w:rPr>
        <w:t>5000.00元</w:t>
      </w:r>
      <w:r>
        <w:rPr>
          <w:rFonts w:hint="eastAsia" w:ascii="宋体" w:hAnsi="宋体" w:eastAsia="宋体" w:cs="宋体"/>
          <w:sz w:val="32"/>
          <w:szCs w:val="32"/>
        </w:rPr>
        <w:t>，</w:t>
      </w:r>
      <w:r>
        <w:rPr>
          <w:rFonts w:hint="eastAsia" w:ascii="宋体" w:hAnsi="宋体" w:eastAsia="宋体" w:cs="宋体"/>
          <w:sz w:val="32"/>
          <w:szCs w:val="32"/>
          <w:lang w:eastAsia="zh-CN"/>
        </w:rPr>
        <w:t>海事工作码头趸船运行维护</w:t>
      </w:r>
      <w:r>
        <w:rPr>
          <w:rFonts w:hint="eastAsia" w:ascii="宋体" w:hAnsi="宋体" w:eastAsia="宋体" w:cs="宋体"/>
          <w:sz w:val="32"/>
          <w:szCs w:val="32"/>
          <w:lang w:val="en-US" w:eastAsia="zh-CN"/>
        </w:rPr>
        <w:t>80000.00元，</w:t>
      </w:r>
      <w:r>
        <w:rPr>
          <w:rFonts w:hint="eastAsia" w:ascii="宋体" w:hAnsi="宋体" w:eastAsia="宋体" w:cs="宋体"/>
          <w:sz w:val="32"/>
          <w:szCs w:val="32"/>
          <w:lang w:eastAsia="zh-CN"/>
        </w:rPr>
        <w:t>水上应急及隐患排查</w:t>
      </w:r>
      <w:r>
        <w:rPr>
          <w:rFonts w:hint="eastAsia" w:ascii="宋体" w:hAnsi="宋体" w:eastAsia="宋体" w:cs="宋体"/>
          <w:sz w:val="32"/>
          <w:szCs w:val="32"/>
          <w:lang w:val="en-US" w:eastAsia="zh-CN"/>
        </w:rPr>
        <w:t>20000.00元，海事执法90000.00</w:t>
      </w:r>
      <w:r>
        <w:rPr>
          <w:rFonts w:hint="eastAsia" w:ascii="宋体" w:hAnsi="宋体" w:eastAsia="宋体" w:cs="宋体"/>
          <w:sz w:val="32"/>
          <w:szCs w:val="32"/>
        </w:rPr>
        <w:t>元，</w:t>
      </w:r>
      <w:r>
        <w:rPr>
          <w:rFonts w:hint="eastAsia" w:ascii="宋体" w:hAnsi="宋体" w:eastAsia="宋体" w:cs="宋体"/>
          <w:sz w:val="32"/>
          <w:szCs w:val="32"/>
          <w:lang w:eastAsia="zh-CN"/>
        </w:rPr>
        <w:t>石油价格改革对农村道路客运的补贴</w:t>
      </w:r>
      <w:r>
        <w:rPr>
          <w:rFonts w:hint="eastAsia" w:ascii="宋体" w:hAnsi="宋体" w:eastAsia="宋体" w:cs="宋体"/>
          <w:sz w:val="32"/>
          <w:szCs w:val="32"/>
          <w:lang w:val="en-US" w:eastAsia="zh-CN"/>
        </w:rPr>
        <w:t>406569.12</w:t>
      </w:r>
      <w:r>
        <w:rPr>
          <w:rFonts w:hint="eastAsia" w:ascii="宋体" w:hAnsi="宋体" w:eastAsia="宋体" w:cs="宋体"/>
          <w:sz w:val="32"/>
          <w:szCs w:val="32"/>
        </w:rPr>
        <w:t xml:space="preserve">元）。 </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三、部门整体预算绩效管理情况</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（一）部门预算管理。</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四川省广元市利州区地方海事处绩效目标制定明确，目标完成情况较好，支出控制、预算动态调整严格按照要求执行，无违规记录。</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（二）专项预算管理。</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专项预算程序严格按照标准执行，规划合理，结果符合要求，分配科学及时专项预算绩效目标完成情况较好，实施绩效良好，无违规记录</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（三）结果应用情况。</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根据综合绩效自评结果，我处严格按照预算全部要求完成绩效目标。</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四、评价结论及建议</w:t>
      </w:r>
    </w:p>
    <w:p>
      <w:pPr>
        <w:pStyle w:val="2"/>
        <w:rPr>
          <w:rFonts w:hint="eastAsia" w:ascii="宋体" w:hAnsi="宋体" w:eastAsia="宋体" w:cs="宋体"/>
          <w:sz w:val="32"/>
          <w:szCs w:val="32"/>
        </w:rPr>
      </w:pPr>
      <w:r>
        <w:rPr>
          <w:rFonts w:hint="eastAsia" w:ascii="宋体" w:hAnsi="宋体" w:eastAsia="宋体" w:cs="宋体"/>
          <w:sz w:val="32"/>
          <w:szCs w:val="32"/>
        </w:rPr>
        <w:t>（一）评价结论。</w:t>
      </w:r>
    </w:p>
    <w:p>
      <w:pPr>
        <w:pStyle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预算执行情况良好。</w:t>
      </w:r>
    </w:p>
    <w:p>
      <w:pPr>
        <w:numPr>
          <w:ilvl w:val="0"/>
          <w:numId w:val="5"/>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存在问题。</w:t>
      </w:r>
    </w:p>
    <w:p>
      <w:pPr>
        <w:pStyle w:val="2"/>
        <w:numPr>
          <w:ilvl w:val="0"/>
          <w:numId w:val="0"/>
        </w:numPr>
        <w:ind w:left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项目进度未按照进度执行。</w:t>
      </w:r>
    </w:p>
    <w:p>
      <w:pPr>
        <w:numPr>
          <w:ilvl w:val="0"/>
          <w:numId w:val="5"/>
        </w:numPr>
        <w:spacing w:line="580" w:lineRule="exact"/>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改进建议。</w:t>
      </w:r>
    </w:p>
    <w:p>
      <w:pPr>
        <w:pStyle w:val="2"/>
        <w:numPr>
          <w:ilvl w:val="0"/>
          <w:numId w:val="0"/>
        </w:numPr>
        <w:ind w:leftChars="200" w:firstLine="320" w:firstLineChars="1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严格按照预算进度实施项目</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eastAsia="zh-CN"/>
        </w:rPr>
        <w:t>海事执法项目</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一是</w:t>
      </w:r>
      <w:r>
        <w:rPr>
          <w:rFonts w:hint="eastAsia" w:ascii="仿宋_GB2312" w:eastAsia="仿宋_GB2312"/>
          <w:color w:val="auto"/>
          <w:sz w:val="32"/>
          <w:szCs w:val="32"/>
        </w:rPr>
        <w:t>精心制订水上安全预警应急预案。制定了《广元市</w:t>
      </w:r>
      <w:r>
        <w:rPr>
          <w:rFonts w:hint="eastAsia" w:ascii="仿宋_GB2312" w:eastAsia="仿宋_GB2312"/>
          <w:color w:val="auto"/>
          <w:sz w:val="32"/>
          <w:szCs w:val="32"/>
          <w:lang w:eastAsia="zh-CN"/>
        </w:rPr>
        <w:t>利州区</w:t>
      </w:r>
      <w:r>
        <w:rPr>
          <w:rFonts w:hint="eastAsia" w:ascii="仿宋_GB2312" w:eastAsia="仿宋_GB2312"/>
          <w:color w:val="auto"/>
          <w:sz w:val="32"/>
          <w:szCs w:val="32"/>
        </w:rPr>
        <w:t>水上交通行业应对新型冠状病毒肺炎疫情应急预案》</w:t>
      </w:r>
      <w:r>
        <w:rPr>
          <w:rFonts w:hint="eastAsia" w:ascii="仿宋_GB2312" w:eastAsia="仿宋_GB2312"/>
          <w:color w:val="auto"/>
          <w:sz w:val="32"/>
          <w:szCs w:val="32"/>
          <w:lang w:eastAsia="zh-CN"/>
        </w:rPr>
        <w:t>、</w:t>
      </w:r>
      <w:r>
        <w:rPr>
          <w:rFonts w:hint="eastAsia" w:ascii="仿宋_GB2312" w:eastAsia="仿宋_GB2312"/>
          <w:color w:val="auto"/>
          <w:sz w:val="32"/>
          <w:szCs w:val="32"/>
          <w:shd w:val="clear" w:color="auto" w:fill="auto"/>
        </w:rPr>
        <w:t>《20</w:t>
      </w:r>
      <w:r>
        <w:rPr>
          <w:rFonts w:hint="eastAsia" w:ascii="仿宋_GB2312" w:eastAsia="仿宋_GB2312"/>
          <w:color w:val="auto"/>
          <w:sz w:val="32"/>
          <w:szCs w:val="32"/>
          <w:shd w:val="clear" w:color="auto" w:fill="auto"/>
          <w:lang w:val="en-US" w:eastAsia="zh-CN"/>
        </w:rPr>
        <w:t>20</w:t>
      </w:r>
      <w:r>
        <w:rPr>
          <w:rFonts w:hint="eastAsia" w:ascii="仿宋_GB2312" w:eastAsia="仿宋_GB2312"/>
          <w:color w:val="auto"/>
          <w:sz w:val="32"/>
          <w:szCs w:val="32"/>
          <w:shd w:val="clear" w:color="auto" w:fill="auto"/>
        </w:rPr>
        <w:t>年冰冻雨雪灾害天气水上运输应急救援预案》、</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年春运水路交通应急预案》</w:t>
      </w:r>
      <w:r>
        <w:rPr>
          <w:rFonts w:hint="eastAsia" w:ascii="仿宋_GB2312" w:hAnsi="仿宋_GB2312" w:eastAsia="仿宋_GB2312" w:cs="仿宋_GB2312"/>
          <w:b w:val="0"/>
          <w:bCs w:val="0"/>
          <w:color w:val="auto"/>
          <w:sz w:val="32"/>
          <w:szCs w:val="32"/>
          <w:shd w:val="clear" w:color="auto" w:fill="auto"/>
        </w:rPr>
        <w:t>、</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rPr>
        <w:t>船舶污染事故应急处置预案</w:t>
      </w:r>
      <w:r>
        <w:rPr>
          <w:rFonts w:hint="eastAsia" w:ascii="仿宋_GB2312" w:hAnsi="仿宋_GB2312" w:eastAsia="仿宋_GB2312" w:cs="仿宋_GB2312"/>
          <w:b w:val="0"/>
          <w:bCs w:val="0"/>
          <w:color w:val="auto"/>
          <w:sz w:val="32"/>
          <w:szCs w:val="32"/>
          <w:lang w:eastAsia="zh-CN"/>
        </w:rPr>
        <w:t>》、</w:t>
      </w: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val="en-US" w:eastAsia="zh-CN"/>
        </w:rPr>
        <w:t>2020年</w:t>
      </w:r>
      <w:r>
        <w:rPr>
          <w:rFonts w:hint="eastAsia" w:ascii="仿宋_GB2312" w:eastAsia="仿宋_GB2312"/>
          <w:color w:val="auto"/>
          <w:sz w:val="32"/>
          <w:szCs w:val="32"/>
          <w:shd w:val="clear" w:color="auto" w:fill="auto"/>
        </w:rPr>
        <w:t>趸船防汛工作预案》、</w:t>
      </w:r>
      <w:r>
        <w:rPr>
          <w:rFonts w:hint="eastAsia" w:ascii="仿宋_GB2312" w:hAnsi="华文中宋" w:eastAsia="仿宋_GB2312"/>
          <w:bCs/>
          <w:color w:val="auto"/>
          <w:sz w:val="32"/>
          <w:szCs w:val="32"/>
          <w:shd w:val="clear" w:color="auto" w:fill="auto"/>
        </w:rPr>
        <w:t>《20</w:t>
      </w:r>
      <w:r>
        <w:rPr>
          <w:rFonts w:hint="eastAsia" w:ascii="仿宋_GB2312" w:hAnsi="华文中宋" w:eastAsia="仿宋_GB2312"/>
          <w:bCs/>
          <w:color w:val="auto"/>
          <w:sz w:val="32"/>
          <w:szCs w:val="32"/>
          <w:shd w:val="clear" w:color="auto" w:fill="auto"/>
          <w:lang w:val="en-US" w:eastAsia="zh-CN"/>
        </w:rPr>
        <w:t>20</w:t>
      </w:r>
      <w:r>
        <w:rPr>
          <w:rFonts w:hint="eastAsia" w:ascii="仿宋_GB2312" w:hAnsi="华文中宋" w:eastAsia="仿宋_GB2312"/>
          <w:bCs/>
          <w:color w:val="auto"/>
          <w:sz w:val="32"/>
          <w:szCs w:val="32"/>
          <w:shd w:val="clear" w:color="auto" w:fill="auto"/>
        </w:rPr>
        <w:t>年全区水上交通防汛抢险应急预案》。</w:t>
      </w:r>
      <w:r>
        <w:rPr>
          <w:rFonts w:hint="eastAsia" w:ascii="楷体_GB2312" w:hAnsi="楷体_GB2312" w:eastAsia="楷体_GB2312" w:cs="楷体_GB2312"/>
          <w:bCs/>
          <w:color w:val="auto"/>
          <w:sz w:val="32"/>
          <w:szCs w:val="32"/>
        </w:rPr>
        <w:t>二</w:t>
      </w:r>
      <w:r>
        <w:rPr>
          <w:rFonts w:hint="eastAsia" w:ascii="楷体_GB2312" w:hAnsi="楷体_GB2312" w:eastAsia="楷体_GB2312" w:cs="楷体_GB2312"/>
          <w:bCs/>
          <w:color w:val="auto"/>
          <w:sz w:val="32"/>
          <w:szCs w:val="32"/>
          <w:lang w:eastAsia="zh-CN"/>
        </w:rPr>
        <w:t>是</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bCs/>
          <w:color w:val="auto"/>
          <w:sz w:val="32"/>
          <w:szCs w:val="32"/>
        </w:rPr>
        <w:t>广元市利州区2020年水上交通“安全生产警示月”活动方案</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rPr>
        <w:t>强化监督管理，大安全巡查监督和隐患排查整治的力度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切实开展好</w:t>
      </w:r>
      <w:r>
        <w:rPr>
          <w:rFonts w:hint="eastAsia" w:ascii="楷体_GB2312" w:hAnsi="楷体_GB2312" w:eastAsia="楷体_GB2312" w:cs="楷体_GB2312"/>
          <w:bCs/>
          <w:color w:val="auto"/>
          <w:sz w:val="32"/>
          <w:szCs w:val="32"/>
          <w:lang w:val="en-US" w:eastAsia="zh-CN"/>
        </w:rPr>
        <w:t>2</w:t>
      </w:r>
      <w:r>
        <w:rPr>
          <w:rFonts w:hint="eastAsia" w:ascii="仿宋_GB2312" w:hAnsi="仿宋_GB2312" w:eastAsia="仿宋_GB2312" w:cs="仿宋_GB2312"/>
          <w:color w:val="auto"/>
          <w:sz w:val="32"/>
          <w:szCs w:val="32"/>
        </w:rPr>
        <w:t>020年全区第十七个“安全生产警示教育月”活动</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Cs/>
          <w:color w:val="auto"/>
          <w:sz w:val="32"/>
          <w:szCs w:val="32"/>
          <w:lang w:eastAsia="zh-CN"/>
        </w:rPr>
        <w:t>三</w:t>
      </w:r>
      <w:r>
        <w:rPr>
          <w:rFonts w:hint="eastAsia" w:ascii="楷体_GB2312" w:hAnsi="楷体_GB2312" w:eastAsia="楷体_GB2312" w:cs="楷体_GB2312"/>
          <w:color w:val="auto"/>
          <w:sz w:val="32"/>
          <w:szCs w:val="32"/>
        </w:rPr>
        <w:t>是</w:t>
      </w:r>
      <w:r>
        <w:rPr>
          <w:rFonts w:hint="eastAsia" w:ascii="仿宋_GB2312" w:hAnsi="仿宋_GB2312" w:eastAsia="仿宋_GB2312" w:cs="仿宋_GB2312"/>
          <w:color w:val="auto"/>
          <w:sz w:val="32"/>
          <w:szCs w:val="32"/>
          <w:lang w:eastAsia="zh-CN"/>
        </w:rPr>
        <w:t>完成船舶及港口污染防治整治工作，建立“一船舶一方案”，“一码头一方案”，</w:t>
      </w:r>
      <w:r>
        <w:rPr>
          <w:rFonts w:hint="eastAsia" w:eastAsia="仿宋_GB2312"/>
          <w:color w:val="auto"/>
          <w:sz w:val="32"/>
          <w:szCs w:val="32"/>
        </w:rPr>
        <w:t>深入开展为期</w:t>
      </w:r>
      <w:r>
        <w:rPr>
          <w:rFonts w:eastAsia="仿宋_GB2312"/>
          <w:color w:val="auto"/>
          <w:sz w:val="32"/>
          <w:szCs w:val="32"/>
        </w:rPr>
        <w:t>1</w:t>
      </w:r>
      <w:r>
        <w:rPr>
          <w:rFonts w:hint="eastAsia" w:eastAsia="仿宋_GB2312"/>
          <w:color w:val="auto"/>
          <w:sz w:val="32"/>
          <w:szCs w:val="32"/>
        </w:rPr>
        <w:t>年的专项整治，</w:t>
      </w:r>
      <w:r>
        <w:rPr>
          <w:rFonts w:hint="eastAsia" w:ascii="Times New Roman" w:hAnsi="Times New Roman" w:eastAsia="仿宋_GB2312"/>
          <w:color w:val="auto"/>
          <w:sz w:val="32"/>
          <w:szCs w:val="32"/>
        </w:rPr>
        <w:t>重点解决我区部分船舶防污装置配备不到位和未正常运行，垃圾污水等偷排偷倒入江，</w:t>
      </w:r>
      <w:r>
        <w:rPr>
          <w:rFonts w:hint="eastAsia" w:ascii="Times New Roman" w:hAnsi="Times New Roman" w:eastAsia="仿宋_GB2312"/>
          <w:bCs/>
          <w:color w:val="auto"/>
          <w:sz w:val="32"/>
          <w:szCs w:val="32"/>
        </w:rPr>
        <w:t>港口码头接收船舶污染物设施设备老旧、能力不足，到港船舶污染物转运、处置不畅，港口码头自身环保设施设备不完善</w:t>
      </w:r>
      <w:r>
        <w:rPr>
          <w:rFonts w:hint="eastAsia" w:ascii="Times New Roman" w:hAnsi="Times New Roman" w:eastAsia="仿宋_GB2312"/>
          <w:color w:val="auto"/>
          <w:spacing w:val="-6"/>
          <w:sz w:val="32"/>
          <w:szCs w:val="32"/>
        </w:rPr>
        <w:t>等问题。</w:t>
      </w:r>
      <w:r>
        <w:rPr>
          <w:rFonts w:hint="eastAsia" w:eastAsia="仿宋_GB2312"/>
          <w:color w:val="auto"/>
          <w:sz w:val="32"/>
          <w:szCs w:val="32"/>
        </w:rPr>
        <w:t>全面完成泊位岸电设施改造任务，进一步提高其他泊位岸电覆盖率和船舶受电设施安装率，并形成长效工作机制。</w:t>
      </w:r>
      <w:r>
        <w:rPr>
          <w:rFonts w:hint="eastAsia" w:ascii="楷体_GB2312" w:hAnsi="楷体_GB2312" w:eastAsia="楷体_GB2312" w:cs="楷体_GB2312"/>
          <w:color w:val="auto"/>
          <w:sz w:val="32"/>
          <w:szCs w:val="32"/>
          <w:lang w:eastAsia="zh-CN"/>
        </w:rPr>
        <w:t>四是</w:t>
      </w:r>
      <w:r>
        <w:rPr>
          <w:rFonts w:hint="eastAsia" w:ascii="仿宋_GB2312" w:hAnsi="仿宋_GB2312" w:eastAsia="仿宋_GB2312" w:cs="仿宋_GB2312"/>
          <w:color w:val="auto"/>
          <w:sz w:val="32"/>
          <w:szCs w:val="32"/>
        </w:rPr>
        <w:t>加强重点时段</w:t>
      </w:r>
      <w:r>
        <w:rPr>
          <w:rFonts w:hint="eastAsia" w:ascii="仿宋_GB2312" w:hAnsi="仿宋_GB2312" w:eastAsia="仿宋_GB2312" w:cs="仿宋_GB2312"/>
          <w:color w:val="auto"/>
          <w:sz w:val="32"/>
          <w:szCs w:val="32"/>
          <w:lang w:eastAsia="zh-CN"/>
        </w:rPr>
        <w:t>水上交通</w:t>
      </w:r>
      <w:r>
        <w:rPr>
          <w:rFonts w:hint="eastAsia" w:ascii="仿宋_GB2312" w:hAnsi="仿宋_GB2312" w:eastAsia="仿宋_GB2312" w:cs="仿宋_GB2312"/>
          <w:color w:val="auto"/>
          <w:sz w:val="32"/>
          <w:szCs w:val="32"/>
        </w:rPr>
        <w:t>安全监管。</w:t>
      </w:r>
      <w:r>
        <w:rPr>
          <w:rFonts w:hint="eastAsia" w:ascii="仿宋_GB2312" w:eastAsia="仿宋_GB2312"/>
          <w:color w:val="auto"/>
          <w:sz w:val="32"/>
          <w:szCs w:val="32"/>
        </w:rPr>
        <w:t>我处认真抓好</w:t>
      </w:r>
      <w:r>
        <w:rPr>
          <w:rFonts w:hint="eastAsia" w:ascii="仿宋_GB2312" w:eastAsia="仿宋_GB2312"/>
          <w:color w:val="auto"/>
          <w:sz w:val="32"/>
          <w:szCs w:val="32"/>
          <w:lang w:eastAsia="zh-CN"/>
        </w:rPr>
        <w:t>新冠肺炎疫情防控、</w:t>
      </w:r>
      <w:r>
        <w:rPr>
          <w:rFonts w:hint="eastAsia" w:ascii="仿宋_GB2312" w:hAnsi="仿宋_GB2312" w:eastAsia="仿宋_GB2312" w:cs="仿宋_GB2312"/>
          <w:color w:val="auto"/>
          <w:sz w:val="32"/>
          <w:szCs w:val="32"/>
        </w:rPr>
        <w:t>“非洲猪瘟”管控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春运、</w:t>
      </w:r>
      <w:r>
        <w:rPr>
          <w:rFonts w:hint="eastAsia" w:ascii="仿宋_GB2312" w:eastAsia="仿宋_GB2312"/>
          <w:color w:val="auto"/>
          <w:sz w:val="32"/>
          <w:szCs w:val="32"/>
        </w:rPr>
        <w:t>“两会”、“清明”、“五一”和“端午”等重点时段、渡运高峰期、恶劣天气情况下重点船舶、重点航道的水上</w:t>
      </w:r>
      <w:r>
        <w:rPr>
          <w:rFonts w:hint="eastAsia" w:ascii="仿宋_GB2312" w:eastAsia="仿宋_GB2312"/>
          <w:color w:val="auto"/>
          <w:sz w:val="32"/>
          <w:szCs w:val="32"/>
          <w:lang w:eastAsia="zh-CN"/>
        </w:rPr>
        <w:t>交通</w:t>
      </w:r>
      <w:r>
        <w:rPr>
          <w:rFonts w:hint="eastAsia" w:ascii="仿宋_GB2312" w:eastAsia="仿宋_GB2312"/>
          <w:color w:val="auto"/>
          <w:sz w:val="32"/>
          <w:szCs w:val="32"/>
        </w:rPr>
        <w:t>安全监管工作。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海事执法快艇、车辆燃油费投入</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海事执法快艇、车辆维修费投入</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万元，执法安全宣传费用投入</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本项目是保障水上交通安全执法宣传、检查车辆、快艇用油和维修、维护费，不断提高民众水上安全意识，杜绝水上安全事故发生，促进我区旅游业和水上运输业的需要。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可行性方面一是领导高度重视，二是组织机构健全，三是国家及地方大力支持，四是政府高度重视水上交通安全，六是群众平安出行意识提高。</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年共安全检查5</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次，出动检查车（艇）</w:t>
      </w:r>
      <w:r>
        <w:rPr>
          <w:rFonts w:hint="eastAsia" w:ascii="仿宋_GB2312" w:hAnsi="仿宋_GB2312" w:eastAsia="仿宋_GB2312" w:cs="仿宋_GB2312"/>
          <w:color w:val="auto"/>
          <w:sz w:val="32"/>
          <w:szCs w:val="32"/>
          <w:lang w:val="en-US" w:eastAsia="zh-CN"/>
        </w:rPr>
        <w:t>1220</w:t>
      </w:r>
      <w:r>
        <w:rPr>
          <w:rFonts w:hint="eastAsia" w:ascii="仿宋_GB2312" w:hAnsi="仿宋_GB2312" w:eastAsia="仿宋_GB2312" w:cs="仿宋_GB2312"/>
          <w:color w:val="auto"/>
          <w:sz w:val="32"/>
          <w:szCs w:val="32"/>
        </w:rPr>
        <w:t>艘次，参加检查人员</w:t>
      </w:r>
      <w:r>
        <w:rPr>
          <w:rFonts w:hint="eastAsia" w:ascii="仿宋_GB2312" w:hAnsi="仿宋_GB2312" w:eastAsia="仿宋_GB2312" w:cs="仿宋_GB2312"/>
          <w:color w:val="auto"/>
          <w:sz w:val="32"/>
          <w:szCs w:val="32"/>
          <w:lang w:val="en-US" w:eastAsia="zh-CN"/>
        </w:rPr>
        <w:t>3200</w:t>
      </w:r>
      <w:r>
        <w:rPr>
          <w:rFonts w:hint="eastAsia" w:ascii="仿宋_GB2312" w:hAnsi="仿宋_GB2312" w:eastAsia="仿宋_GB2312" w:cs="仿宋_GB2312"/>
          <w:color w:val="auto"/>
          <w:sz w:val="32"/>
          <w:szCs w:val="32"/>
        </w:rPr>
        <w:t>人次，检查各类船舶</w:t>
      </w:r>
      <w:r>
        <w:rPr>
          <w:rFonts w:hint="eastAsia" w:ascii="仿宋_GB2312" w:hAnsi="仿宋_GB2312" w:eastAsia="仿宋_GB2312" w:cs="仿宋_GB2312"/>
          <w:color w:val="auto"/>
          <w:sz w:val="32"/>
          <w:szCs w:val="32"/>
          <w:lang w:val="en-US" w:eastAsia="zh-CN"/>
        </w:rPr>
        <w:t>530</w:t>
      </w:r>
      <w:r>
        <w:rPr>
          <w:rFonts w:hint="eastAsia" w:ascii="仿宋_GB2312" w:hAnsi="仿宋_GB2312" w:eastAsia="仿宋_GB2312" w:cs="仿宋_GB2312"/>
          <w:color w:val="auto"/>
          <w:sz w:val="32"/>
          <w:szCs w:val="32"/>
        </w:rPr>
        <w:t>艘次，填制《水上安全隐患整改通知书》6份，现场整改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起，跟踪督促整改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起；规范小型船舶64艘，督促自用船舶办理保险64份；清理浮动设施2处</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民众安全意识得到提高，严防了溺水事故，保障了全区水上交通安全，得到了过渡群众好评。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引导群众</w:t>
      </w:r>
      <w:r>
        <w:rPr>
          <w:rFonts w:hint="eastAsia" w:ascii="仿宋_GB2312" w:hAnsi="宋体" w:eastAsia="仿宋_GB2312"/>
          <w:sz w:val="32"/>
          <w:szCs w:val="32"/>
          <w:lang w:val="en-US" w:eastAsia="zh-CN"/>
        </w:rPr>
        <w:t>不坐违章船，树立平安出行的安全理念，水上安全意识有较大提升，严防溺水事故。</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海事</w:t>
      </w:r>
      <w:r>
        <w:rPr>
          <w:rFonts w:hint="eastAsia" w:ascii="仿宋_GB2312" w:hAnsi="仿宋_GB2312" w:eastAsia="仿宋_GB2312" w:cs="仿宋_GB2312"/>
          <w:sz w:val="32"/>
          <w:szCs w:val="32"/>
          <w:lang w:eastAsia="zh-CN"/>
        </w:rPr>
        <w:t>执法力需进一步加大</w:t>
      </w:r>
      <w:r>
        <w:rPr>
          <w:rFonts w:hint="eastAsia" w:ascii="仿宋_GB2312" w:hAnsi="仿宋_GB2312" w:eastAsia="仿宋_GB2312"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加强业务学习，提升海事航务船检执法水平。</w:t>
      </w:r>
    </w:p>
    <w:p>
      <w:pPr>
        <w:spacing w:line="580" w:lineRule="exact"/>
        <w:ind w:firstLine="640"/>
        <w:rPr>
          <w:rFonts w:ascii="仿宋_GB2312" w:hAnsi="仿宋_GB2312" w:eastAsia="仿宋_GB2312" w:cs="仿宋_GB2312"/>
          <w:sz w:val="32"/>
          <w:szCs w:val="32"/>
        </w:rPr>
      </w:pPr>
    </w:p>
    <w:p>
      <w:pPr>
        <w:widowControl/>
        <w:jc w:val="left"/>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spacing w:line="600" w:lineRule="exact"/>
        <w:jc w:val="center"/>
        <w:rPr>
          <w:rFonts w:hint="eastAsia" w:ascii="黑体" w:hAnsi="黑体" w:eastAsia="黑体" w:cs="方正小标宋简体"/>
          <w:sz w:val="44"/>
          <w:szCs w:val="44"/>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黑体" w:hAnsi="黑体" w:eastAsia="黑体" w:cs="方正小标宋简体"/>
          <w:sz w:val="44"/>
          <w:szCs w:val="44"/>
          <w:lang w:eastAsia="zh-CN"/>
        </w:rPr>
        <w:t>水上应急及隐患排查</w:t>
      </w:r>
      <w:r>
        <w:rPr>
          <w:rFonts w:hint="eastAsia" w:ascii="黑体" w:hAnsi="黑体" w:eastAsia="黑体" w:cs="方正小标宋简体"/>
          <w:sz w:val="44"/>
          <w:szCs w:val="44"/>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_GB2312" w:eastAsia="仿宋_GB2312"/>
          <w:color w:val="auto"/>
          <w:sz w:val="32"/>
          <w:szCs w:val="32"/>
          <w:lang w:eastAsia="zh-CN"/>
        </w:rPr>
      </w:pPr>
      <w:r>
        <w:rPr>
          <w:rFonts w:hint="eastAsia" w:ascii="楷体_GB2312" w:hAnsi="楷体_GB2312" w:eastAsia="楷体_GB2312" w:cs="楷体_GB2312"/>
          <w:color w:val="auto"/>
          <w:sz w:val="32"/>
          <w:szCs w:val="32"/>
        </w:rPr>
        <w:t>一是</w:t>
      </w:r>
      <w:r>
        <w:rPr>
          <w:rFonts w:hint="eastAsia" w:ascii="仿宋_GB2312" w:eastAsia="仿宋_GB2312"/>
          <w:color w:val="auto"/>
          <w:sz w:val="32"/>
          <w:szCs w:val="32"/>
        </w:rPr>
        <w:t>汛前，我处邀请了市海事局、轮船公司技术人员、船员多次到现场检查，</w:t>
      </w:r>
      <w:r>
        <w:rPr>
          <w:rFonts w:hint="eastAsia" w:ascii="仿宋_GB2312" w:hAnsi="仿宋_GB2312" w:eastAsia="仿宋_GB2312" w:cs="仿宋_GB2312"/>
          <w:color w:val="auto"/>
          <w:sz w:val="32"/>
          <w:szCs w:val="32"/>
        </w:rPr>
        <w:t>逐船制定单船防汛抢险的应急预案和船舶的移泊方案，严格做到一船一预案</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公布了防汛值班电话（3241555</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18096312395</w:t>
      </w:r>
      <w:r>
        <w:rPr>
          <w:rFonts w:hint="eastAsia" w:ascii="仿宋_GB2312" w:eastAsia="仿宋_GB2312"/>
          <w:color w:val="auto"/>
          <w:sz w:val="32"/>
          <w:szCs w:val="32"/>
        </w:rPr>
        <w:t>）和海事</w:t>
      </w:r>
      <w:r>
        <w:rPr>
          <w:rFonts w:hint="eastAsia" w:ascii="仿宋_GB2312" w:eastAsia="仿宋_GB2312"/>
          <w:color w:val="auto"/>
          <w:sz w:val="32"/>
          <w:szCs w:val="32"/>
          <w:lang w:eastAsia="zh-CN"/>
        </w:rPr>
        <w:t>救</w:t>
      </w:r>
      <w:r>
        <w:rPr>
          <w:rFonts w:hint="eastAsia" w:ascii="仿宋_GB2312" w:eastAsia="仿宋_GB2312"/>
          <w:color w:val="auto"/>
          <w:sz w:val="32"/>
          <w:szCs w:val="32"/>
        </w:rPr>
        <w:t>助电话12395，提前落实好船舶的救生、应急照明、应急通信等设施设备，船舶的防汛值班人员落实到位，保障信息畅通，坚持水情传递制度</w:t>
      </w:r>
      <w:r>
        <w:rPr>
          <w:rFonts w:hint="eastAsia" w:ascii="仿宋_GB2312" w:eastAsia="仿宋_GB2312"/>
          <w:color w:val="auto"/>
          <w:sz w:val="32"/>
          <w:szCs w:val="32"/>
          <w:lang w:eastAsia="zh-CN"/>
        </w:rPr>
        <w:t>，</w:t>
      </w:r>
      <w:r>
        <w:rPr>
          <w:rFonts w:hint="eastAsia" w:ascii="仿宋_GB2312" w:eastAsia="仿宋_GB2312"/>
          <w:color w:val="auto"/>
          <w:sz w:val="32"/>
          <w:szCs w:val="32"/>
        </w:rPr>
        <w:t>为今年汛期船舶安全度汛奠定了坚实的基础。</w:t>
      </w:r>
      <w:r>
        <w:rPr>
          <w:rFonts w:hint="eastAsia" w:ascii="楷体_GB2312" w:hAnsi="楷体_GB2312" w:eastAsia="楷体_GB2312" w:cs="楷体_GB2312"/>
          <w:color w:val="auto"/>
          <w:sz w:val="32"/>
          <w:szCs w:val="32"/>
        </w:rPr>
        <w:t>二是</w:t>
      </w:r>
      <w:r>
        <w:rPr>
          <w:rFonts w:hint="eastAsia" w:ascii="仿宋_GB2312" w:hAnsi="仿宋_GB2312" w:eastAsia="仿宋_GB2312" w:cs="仿宋_GB2312"/>
          <w:color w:val="auto"/>
          <w:sz w:val="32"/>
          <w:szCs w:val="32"/>
        </w:rPr>
        <w:t>做好系船设施、设备的配置，配备锚、绳卡和移船用的备用电机、卷扬机、锚链机、备用缆绳、备用机动船等设施设备，严禁附属船舶与客船相互联缆和排泊。</w:t>
      </w:r>
      <w:r>
        <w:rPr>
          <w:rFonts w:hint="eastAsia" w:ascii="楷体_GB2312" w:hAnsi="楷体_GB2312" w:eastAsia="楷体_GB2312" w:cs="楷体_GB2312"/>
          <w:color w:val="auto"/>
          <w:sz w:val="32"/>
          <w:szCs w:val="32"/>
        </w:rPr>
        <w:t>三是</w:t>
      </w:r>
      <w:r>
        <w:rPr>
          <w:rFonts w:hint="eastAsia" w:ascii="仿宋_GB2312" w:hAnsi="仿宋_GB2312" w:eastAsia="仿宋_GB2312" w:cs="仿宋_GB2312"/>
          <w:color w:val="auto"/>
          <w:sz w:val="32"/>
          <w:szCs w:val="32"/>
        </w:rPr>
        <w:t>客渡船舶严格执行汛期减载规定。警戒水位线和停航封渡水位线明显，认真落实汛期减载规定，其它水域船舶抓好预防大风、大雨的避险工作。</w:t>
      </w:r>
      <w:r>
        <w:rPr>
          <w:rFonts w:hint="eastAsia" w:ascii="楷体_GB2312" w:hAnsi="楷体_GB2312" w:eastAsia="楷体_GB2312" w:cs="楷体_GB2312"/>
          <w:color w:val="auto"/>
          <w:kern w:val="0"/>
          <w:sz w:val="32"/>
          <w:szCs w:val="32"/>
          <w:lang w:eastAsia="zh-CN"/>
        </w:rPr>
        <w:t>四是</w:t>
      </w:r>
      <w:r>
        <w:rPr>
          <w:rFonts w:hint="eastAsia" w:ascii="仿宋_GB2312" w:hAnsi="宋体" w:eastAsia="仿宋_GB2312" w:cs="Arial"/>
          <w:color w:val="auto"/>
          <w:kern w:val="0"/>
          <w:sz w:val="32"/>
          <w:szCs w:val="32"/>
        </w:rPr>
        <w:t>严格</w:t>
      </w:r>
      <w:r>
        <w:rPr>
          <w:rFonts w:hint="eastAsia" w:ascii="仿宋_GB2312" w:hAnsi="ˎ̥" w:eastAsia="仿宋_GB2312"/>
          <w:color w:val="auto"/>
          <w:sz w:val="32"/>
          <w:szCs w:val="32"/>
        </w:rPr>
        <w:t>执行领导带班和24小时值班制度，加强与上级部门和上游地区相关部门的</w:t>
      </w:r>
      <w:r>
        <w:rPr>
          <w:rFonts w:hint="eastAsia" w:ascii="仿宋_GB2312" w:eastAsia="仿宋_GB2312"/>
          <w:color w:val="auto"/>
          <w:sz w:val="32"/>
          <w:szCs w:val="32"/>
        </w:rPr>
        <w:t>信息沟通，通过传真、超级信使平台、短信、微信或预警信息平台第一时间</w:t>
      </w:r>
      <w:r>
        <w:rPr>
          <w:rFonts w:hint="eastAsia" w:ascii="仿宋_GB2312" w:hAnsi="宋体" w:eastAsia="仿宋_GB2312" w:cs="Arial"/>
          <w:color w:val="auto"/>
          <w:kern w:val="0"/>
          <w:sz w:val="32"/>
          <w:szCs w:val="32"/>
        </w:rPr>
        <w:t>将重要天气、汛情、上级重要文件精神等信息传递到相关管理人员、渡口及</w:t>
      </w:r>
      <w:r>
        <w:rPr>
          <w:rFonts w:hint="eastAsia" w:ascii="仿宋_GB2312" w:eastAsia="仿宋_GB2312"/>
          <w:color w:val="auto"/>
          <w:sz w:val="32"/>
          <w:szCs w:val="32"/>
        </w:rPr>
        <w:t>航运企业</w:t>
      </w:r>
      <w:r>
        <w:rPr>
          <w:rFonts w:hint="eastAsia" w:ascii="仿宋_GB2312" w:hAnsi="ˎ̥" w:eastAsia="仿宋_GB2312"/>
          <w:color w:val="auto"/>
          <w:sz w:val="32"/>
          <w:szCs w:val="32"/>
        </w:rPr>
        <w:t>。</w:t>
      </w:r>
      <w:r>
        <w:rPr>
          <w:rFonts w:hint="eastAsia" w:ascii="仿宋_GB2312" w:hAnsi="仿宋_GB2312" w:eastAsia="仿宋_GB2312" w:cs="仿宋_GB2312"/>
          <w:color w:val="auto"/>
          <w:sz w:val="32"/>
          <w:szCs w:val="32"/>
        </w:rPr>
        <w:t>严格执行汛情报告制度，建立月报制度</w:t>
      </w:r>
      <w:r>
        <w:rPr>
          <w:rFonts w:hint="eastAsia" w:ascii="仿宋_GB2312" w:hAnsi="仿宋_GB2312" w:eastAsia="仿宋_GB2312" w:cs="仿宋_GB2312"/>
          <w:color w:val="auto"/>
          <w:sz w:val="32"/>
          <w:szCs w:val="32"/>
          <w:lang w:eastAsia="zh-CN"/>
        </w:rPr>
        <w:t>。</w:t>
      </w:r>
      <w:r>
        <w:rPr>
          <w:rFonts w:hint="eastAsia" w:ascii="仿宋_GB2312" w:hAnsi="ˎ̥" w:eastAsia="仿宋_GB2312"/>
          <w:color w:val="auto"/>
          <w:sz w:val="32"/>
          <w:szCs w:val="32"/>
        </w:rPr>
        <w:t>入汛以来，共</w:t>
      </w:r>
      <w:r>
        <w:rPr>
          <w:rFonts w:hint="eastAsia" w:ascii="仿宋_GB2312" w:eastAsia="仿宋_GB2312"/>
          <w:color w:val="auto"/>
          <w:sz w:val="32"/>
          <w:szCs w:val="32"/>
        </w:rPr>
        <w:t>发送雨情、汛情信息</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0余条。</w:t>
      </w:r>
      <w:r>
        <w:rPr>
          <w:rFonts w:hint="eastAsia" w:ascii="楷体_GB2312" w:hAnsi="楷体_GB2312" w:eastAsia="楷体_GB2312" w:cs="楷体_GB2312"/>
          <w:color w:val="auto"/>
          <w:sz w:val="32"/>
          <w:szCs w:val="32"/>
          <w:lang w:eastAsia="zh-CN"/>
        </w:rPr>
        <w:t>五是</w:t>
      </w:r>
      <w:r>
        <w:rPr>
          <w:rFonts w:hint="eastAsia" w:ascii="仿宋_GB2312" w:eastAsia="仿宋_GB2312"/>
          <w:color w:val="auto"/>
          <w:sz w:val="32"/>
          <w:szCs w:val="32"/>
          <w:lang w:eastAsia="zh-CN"/>
        </w:rPr>
        <w:t>落实全省水上交通安全监测巡航救助一体工作，合力打造安全畅通的成渝重要水运通道，参加了</w:t>
      </w:r>
      <w:r>
        <w:rPr>
          <w:rFonts w:hint="eastAsia" w:ascii="仿宋_GB2312" w:eastAsia="仿宋_GB2312"/>
          <w:color w:val="auto"/>
          <w:sz w:val="32"/>
          <w:szCs w:val="32"/>
          <w:lang w:val="en-US" w:eastAsia="zh-CN"/>
        </w:rPr>
        <w:t>6月9日—10日</w:t>
      </w:r>
      <w:r>
        <w:rPr>
          <w:rFonts w:hint="eastAsia" w:ascii="仿宋_GB2312" w:eastAsia="仿宋_GB2312"/>
          <w:color w:val="auto"/>
          <w:sz w:val="32"/>
          <w:szCs w:val="32"/>
          <w:lang w:eastAsia="zh-CN"/>
        </w:rPr>
        <w:t>在南部县召开的“嘉陵江川渝两地水上交通安全联防联控协商会议暨南充市</w:t>
      </w:r>
      <w:r>
        <w:rPr>
          <w:rFonts w:hint="eastAsia" w:ascii="仿宋_GB2312" w:eastAsia="仿宋_GB2312"/>
          <w:color w:val="auto"/>
          <w:sz w:val="32"/>
          <w:szCs w:val="32"/>
          <w:lang w:val="en-US" w:eastAsia="zh-CN"/>
        </w:rPr>
        <w:t>2020水上交通安全与防汛减灾联合应急演练活动</w:t>
      </w:r>
      <w:r>
        <w:rPr>
          <w:rFonts w:hint="eastAsia" w:ascii="仿宋_GB2312" w:eastAsia="仿宋_GB2312"/>
          <w:color w:val="auto"/>
          <w:sz w:val="32"/>
          <w:szCs w:val="32"/>
          <w:lang w:eastAsia="zh-CN"/>
        </w:rPr>
        <w:t>”，协商构了建嘉陵江川境段及川渝毗邻市（区）水上交通安全联防联控机制，开展水上交通交通安全与防汛减灾联合演练和现场交流活动，推动广元、南充、广安三港联动发展</w:t>
      </w:r>
      <w:r>
        <w:rPr>
          <w:rFonts w:hint="eastAsia" w:ascii="仿宋_GB2312" w:eastAsia="仿宋_GB2312"/>
          <w:color w:val="auto"/>
          <w:sz w:val="32"/>
          <w:szCs w:val="32"/>
          <w:lang w:val="en-US" w:eastAsia="zh-CN"/>
        </w:rPr>
        <w:t>，</w:t>
      </w:r>
      <w:r>
        <w:rPr>
          <w:rFonts w:hint="eastAsia" w:ascii="仿宋_GB2312" w:eastAsia="仿宋_GB2312"/>
          <w:color w:val="auto"/>
          <w:sz w:val="32"/>
          <w:szCs w:val="32"/>
          <w:lang w:eastAsia="zh-CN"/>
        </w:rPr>
        <w:t>为促进嘉陵江水上交通运输行业川渝合作一体化快速发展贡献力量。</w:t>
      </w:r>
    </w:p>
    <w:p>
      <w:pPr>
        <w:adjustRightInd w:val="0"/>
        <w:snapToGrid w:val="0"/>
        <w:spacing w:line="600" w:lineRule="exact"/>
        <w:ind w:firstLine="720"/>
        <w:rPr>
          <w:rFonts w:ascii="黑体" w:hAnsi="宋体" w:eastAsia="黑体"/>
          <w:sz w:val="32"/>
          <w:szCs w:val="32"/>
        </w:rPr>
      </w:pPr>
      <w:r>
        <w:rPr>
          <w:rFonts w:hint="eastAsia" w:ascii="仿宋_GB2312" w:eastAsia="仿宋_GB2312"/>
          <w:color w:val="auto"/>
          <w:sz w:val="32"/>
          <w:szCs w:val="32"/>
          <w:lang w:val="en-US" w:eastAsia="zh-CN"/>
        </w:rPr>
        <w:t xml:space="preserve"> </w:t>
      </w:r>
      <w:r>
        <w:rPr>
          <w:rFonts w:hint="eastAsia" w:ascii="黑体" w:hAnsi="宋体" w:eastAsia="黑体"/>
          <w:sz w:val="32"/>
          <w:szCs w:val="32"/>
        </w:rPr>
        <w:t>二、项目资金申报及使用情况</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严格按财务规范要求进行申报，项目全年预算数</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lang w:eastAsia="zh-CN"/>
        </w:rPr>
        <w:t>水上安全应急演练、救援工作投入</w:t>
      </w:r>
      <w:r>
        <w:rPr>
          <w:rFonts w:hint="eastAsia" w:ascii="仿宋_GB2312" w:hAnsi="仿宋_GB2312" w:eastAsia="仿宋_GB2312" w:cs="仿宋_GB2312"/>
          <w:sz w:val="32"/>
          <w:szCs w:val="32"/>
          <w:lang w:val="en-US" w:eastAsia="zh-CN"/>
        </w:rPr>
        <w:t>0.5万元，航道整投入0.5万元，船只泊位安全投入0.5万元，船只安全救生设备投入0.5万元。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是保障水上交通安全应急救援，航道通畅通，船舶安全救生设备良好执法宣传、检查车辆、快艇用油和维修、维护费，不断提高民众水上安全意识，杜绝水上安全事故发生，促进我区旅游业和水上运输业的发展。</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一是领导高度重视，二是组织机构健全，三是国家及地方大力支持，四是政府高度重视水上交通安全，六是群众平安出行意识提高。</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辖区水上安全救援工作安全规范有序，船舶安全救生设备良好，水上交通运输畅通，切实优化了群众旅游出行选择，促进我区旅游和水上运输业发展，保证水质达标，加强了服务意识，提高了群众满意度。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en-US" w:eastAsia="zh-CN"/>
        </w:rPr>
        <w:t>水上交通安全得到了保障。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eastAsia="zh-CN"/>
        </w:rPr>
        <w:t>水上交通科技兴安水平需增强。</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相互交流，吸取其他县区先进管理经验。</w:t>
      </w:r>
    </w:p>
    <w:p>
      <w:pPr>
        <w:pStyle w:val="2"/>
        <w:rPr>
          <w:rFonts w:hint="eastAsia"/>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widowControl/>
        <w:jc w:val="left"/>
        <w:rPr>
          <w:rStyle w:val="32"/>
          <w:rFonts w:ascii="黑体" w:hAnsi="黑体" w:eastAsia="黑体"/>
          <w:b w:val="0"/>
        </w:rPr>
      </w:pPr>
    </w:p>
    <w:p>
      <w:pPr>
        <w:widowControl/>
        <w:jc w:val="left"/>
        <w:rPr>
          <w:rStyle w:val="32"/>
          <w:rFonts w:ascii="黑体" w:hAnsi="黑体" w:eastAsia="黑体"/>
          <w:b w:val="0"/>
        </w:rPr>
      </w:pPr>
      <w:r>
        <w:rPr>
          <w:rStyle w:val="32"/>
          <w:rFonts w:ascii="黑体" w:hAnsi="黑体" w:eastAsia="黑体"/>
          <w:b w:val="0"/>
        </w:rPr>
        <w:br w:type="page"/>
      </w:r>
    </w:p>
    <w:p>
      <w:pPr>
        <w:spacing w:line="600" w:lineRule="exact"/>
        <w:jc w:val="center"/>
        <w:rPr>
          <w:rFonts w:hint="eastAsia" w:ascii="黑体" w:hAnsi="黑体" w:eastAsia="黑体" w:cs="方正小标宋简体"/>
          <w:sz w:val="44"/>
          <w:szCs w:val="44"/>
        </w:rPr>
      </w:pP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eastAsia="zh-CN"/>
        </w:rPr>
        <w:t>海事工作码头趸船运行维护</w:t>
      </w:r>
      <w:r>
        <w:rPr>
          <w:rFonts w:hint="eastAsia" w:ascii="黑体" w:hAnsi="黑体" w:eastAsia="黑体" w:cs="方正小标宋简体"/>
          <w:sz w:val="44"/>
          <w:szCs w:val="44"/>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摩尔天成两江口码头停靠海事趸船</w:t>
      </w:r>
      <w:r>
        <w:rPr>
          <w:rFonts w:hint="eastAsia" w:ascii="仿宋_GB2312" w:hAnsi="仿宋_GB2312" w:eastAsia="仿宋_GB2312" w:cs="仿宋_GB2312"/>
          <w:sz w:val="32"/>
          <w:szCs w:val="32"/>
          <w:lang w:val="en-US" w:eastAsia="zh-CN"/>
        </w:rPr>
        <w:t>1艘，日常保养维护运行，另委托市轮船公司安全管理、配备船长5人、轮机长1人，水手2人负责汛期安全管理工作。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严格按财务规范要求进行申报，项目全年预算数</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万元，</w:t>
      </w:r>
      <w:r>
        <w:rPr>
          <w:rFonts w:hint="eastAsia" w:ascii="仿宋_GB2312" w:hAnsi="仿宋_GB2312" w:cs="仿宋_GB2312"/>
          <w:sz w:val="32"/>
          <w:szCs w:val="32"/>
          <w:lang w:val="en-US" w:eastAsia="zh-CN"/>
        </w:rPr>
        <w:t>除锈刷漆保养2万元，水电费2.6万元，配电器占地费0.51万元，安全管理人员工资2.89万元，已使用完成</w:t>
      </w:r>
      <w:r>
        <w:rPr>
          <w:rFonts w:hint="eastAsia" w:ascii="仿宋_GB2312" w:hAnsi="仿宋_GB2312" w:eastAsia="仿宋_GB2312" w:cs="仿宋_GB2312"/>
          <w:sz w:val="32"/>
          <w:szCs w:val="32"/>
          <w:lang w:val="en-US" w:eastAsia="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本项目是</w:t>
      </w:r>
      <w:r>
        <w:rPr>
          <w:rFonts w:hint="eastAsia" w:ascii="仿宋_GB2312" w:hAnsi="仿宋_GB2312" w:cs="仿宋_GB2312"/>
          <w:sz w:val="32"/>
          <w:szCs w:val="32"/>
          <w:lang w:val="en-US" w:eastAsia="zh-CN"/>
        </w:rPr>
        <w:t>方便旅客上下船、游艇、客船停靠，减少污染，展示海事队伍良好形象，大力促进我区旅游事业发展，</w:t>
      </w:r>
      <w:r>
        <w:rPr>
          <w:rFonts w:hint="eastAsia" w:ascii="仿宋_GB2312" w:hAnsi="仿宋_GB2312" w:eastAsia="仿宋_GB2312" w:cs="仿宋_GB2312"/>
          <w:sz w:val="32"/>
          <w:szCs w:val="32"/>
          <w:lang w:val="en-US" w:eastAsia="zh-CN"/>
        </w:rPr>
        <w:t>保障水上交通安全。</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一是领导高度重视，二是组织机构健全，三是国家及地方大力支持，四是政府高度重视水上交通安全，六是群众平安出行意识提高。</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水上交通运输畅通，切实优化了群众旅游出行选择，促进我区旅游和水上运输业发展，保证水质达标，加强了服务意识，提高了群众满意度。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en-US" w:eastAsia="zh-CN"/>
        </w:rPr>
        <w:t>水上交通安全得到了保障。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 w:hAnsi="仿宋" w:eastAsia="仿宋" w:cs="仿宋_GB2312"/>
          <w:sz w:val="32"/>
          <w:szCs w:val="32"/>
          <w:lang w:eastAsia="zh-CN"/>
        </w:rPr>
        <w:t>随使用年代增长，趸船维护保养费用会进一步增大。</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numPr>
          <w:ilvl w:val="0"/>
          <w:numId w:val="0"/>
        </w:numPr>
        <w:spacing w:line="580" w:lineRule="exact"/>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合理加强日常管理，适度资金投入。</w:t>
      </w:r>
    </w:p>
    <w:p>
      <w:pPr>
        <w:pStyle w:val="2"/>
        <w:rPr>
          <w:rFonts w:hint="eastAsia"/>
        </w:rPr>
      </w:pPr>
    </w:p>
    <w:p>
      <w:pPr>
        <w:widowControl/>
        <w:jc w:val="left"/>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pStyle w:val="2"/>
        <w:rPr>
          <w:rStyle w:val="32"/>
          <w:rFonts w:ascii="黑体" w:hAnsi="黑体" w:eastAsia="黑体"/>
          <w:b w:val="0"/>
        </w:rPr>
      </w:pPr>
    </w:p>
    <w:p>
      <w:pPr>
        <w:spacing w:line="600" w:lineRule="exact"/>
        <w:jc w:val="center"/>
        <w:outlineLvl w:val="0"/>
        <w:rPr>
          <w:rStyle w:val="32"/>
          <w:rFonts w:ascii="黑体" w:hAnsi="黑体" w:eastAsia="黑体"/>
          <w:b w:val="0"/>
        </w:rPr>
      </w:pPr>
    </w:p>
    <w:p>
      <w:pPr>
        <w:spacing w:line="600" w:lineRule="exact"/>
        <w:jc w:val="center"/>
        <w:outlineLvl w:val="0"/>
        <w:rPr>
          <w:rStyle w:val="32"/>
          <w:rFonts w:ascii="黑体" w:hAnsi="黑体" w:eastAsia="黑体"/>
          <w:b w:val="0"/>
        </w:rPr>
      </w:pPr>
      <w:bookmarkStart w:id="159" w:name="_Toc32186"/>
      <w:bookmarkStart w:id="160" w:name="_Toc15396618"/>
      <w:bookmarkStart w:id="161" w:name="_Toc4619"/>
      <w:r>
        <w:rPr>
          <w:rFonts w:hint="eastAsia" w:ascii="黑体" w:hAnsi="黑体" w:eastAsia="黑体"/>
          <w:color w:val="000000"/>
          <w:sz w:val="44"/>
          <w:szCs w:val="44"/>
        </w:rPr>
        <w:t>第</w:t>
      </w:r>
      <w:r>
        <w:rPr>
          <w:rStyle w:val="32"/>
          <w:rFonts w:hint="eastAsia" w:ascii="黑体" w:hAnsi="黑体" w:eastAsia="黑体"/>
          <w:b w:val="0"/>
        </w:rPr>
        <w:t>五部分 附表</w:t>
      </w:r>
      <w:bookmarkEnd w:id="153"/>
      <w:bookmarkEnd w:id="159"/>
      <w:bookmarkEnd w:id="160"/>
      <w:bookmarkEnd w:id="161"/>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162" w:name="_Toc21776"/>
      <w:bookmarkStart w:id="163" w:name="_Toc1433"/>
      <w:bookmarkStart w:id="164" w:name="_Toc15396619"/>
      <w:r>
        <w:rPr>
          <w:rFonts w:hint="eastAsia" w:ascii="仿宋" w:hAnsi="仿宋" w:eastAsia="仿宋"/>
          <w:b w:val="0"/>
          <w:color w:val="000000"/>
        </w:rPr>
        <w:t>一、收</w:t>
      </w:r>
      <w:r>
        <w:rPr>
          <w:rStyle w:val="33"/>
          <w:rFonts w:hint="eastAsia" w:ascii="仿宋" w:hAnsi="仿宋" w:eastAsia="仿宋"/>
          <w:b w:val="0"/>
          <w:bCs w:val="0"/>
        </w:rPr>
        <w:t>入支出决算总表</w:t>
      </w:r>
      <w:bookmarkEnd w:id="162"/>
      <w:bookmarkEnd w:id="163"/>
      <w:bookmarkEnd w:id="164"/>
    </w:p>
    <w:p>
      <w:pPr>
        <w:pStyle w:val="4"/>
        <w:rPr>
          <w:rFonts w:ascii="仿宋" w:hAnsi="仿宋" w:eastAsia="仿宋"/>
          <w:color w:val="000000"/>
        </w:rPr>
      </w:pPr>
      <w:bookmarkStart w:id="165" w:name="_Toc3274"/>
      <w:bookmarkStart w:id="166" w:name="_Toc4485"/>
      <w:bookmarkStart w:id="167" w:name="_Toc15396620"/>
      <w:r>
        <w:rPr>
          <w:rFonts w:hint="eastAsia" w:ascii="仿宋" w:hAnsi="仿宋" w:eastAsia="仿宋"/>
          <w:b w:val="0"/>
          <w:color w:val="000000"/>
        </w:rPr>
        <w:t>二、收</w:t>
      </w:r>
      <w:r>
        <w:rPr>
          <w:rStyle w:val="33"/>
          <w:rFonts w:hint="eastAsia" w:ascii="仿宋" w:hAnsi="仿宋" w:eastAsia="仿宋"/>
          <w:b w:val="0"/>
          <w:bCs w:val="0"/>
        </w:rPr>
        <w:t>入决算表</w:t>
      </w:r>
      <w:bookmarkEnd w:id="165"/>
      <w:bookmarkEnd w:id="166"/>
      <w:bookmarkEnd w:id="167"/>
    </w:p>
    <w:p>
      <w:pPr>
        <w:pStyle w:val="4"/>
        <w:rPr>
          <w:rFonts w:ascii="仿宋" w:hAnsi="仿宋" w:eastAsia="仿宋"/>
          <w:color w:val="000000"/>
        </w:rPr>
      </w:pPr>
      <w:bookmarkStart w:id="168" w:name="_Toc26823"/>
      <w:bookmarkStart w:id="169" w:name="_Toc15396621"/>
      <w:bookmarkStart w:id="170" w:name="_Toc6520"/>
      <w:r>
        <w:rPr>
          <w:rStyle w:val="33"/>
          <w:rFonts w:hint="eastAsia" w:ascii="仿宋" w:hAnsi="仿宋" w:eastAsia="仿宋"/>
          <w:b w:val="0"/>
          <w:bCs w:val="0"/>
        </w:rPr>
        <w:t>三、</w:t>
      </w:r>
      <w:r>
        <w:rPr>
          <w:rFonts w:hint="eastAsia" w:ascii="仿宋" w:hAnsi="仿宋" w:eastAsia="仿宋"/>
          <w:b w:val="0"/>
          <w:color w:val="000000"/>
        </w:rPr>
        <w:t>支</w:t>
      </w:r>
      <w:r>
        <w:rPr>
          <w:rStyle w:val="33"/>
          <w:rFonts w:hint="eastAsia" w:ascii="仿宋" w:hAnsi="仿宋" w:eastAsia="仿宋"/>
          <w:b w:val="0"/>
          <w:bCs w:val="0"/>
        </w:rPr>
        <w:t>出决算表</w:t>
      </w:r>
      <w:bookmarkEnd w:id="168"/>
      <w:bookmarkEnd w:id="169"/>
      <w:bookmarkEnd w:id="170"/>
    </w:p>
    <w:p>
      <w:pPr>
        <w:pStyle w:val="4"/>
        <w:rPr>
          <w:rFonts w:ascii="仿宋" w:hAnsi="仿宋" w:eastAsia="仿宋"/>
          <w:b w:val="0"/>
          <w:color w:val="000000"/>
        </w:rPr>
      </w:pPr>
      <w:bookmarkStart w:id="171" w:name="_Toc9619"/>
      <w:bookmarkStart w:id="172" w:name="_Toc15396622"/>
      <w:bookmarkStart w:id="173" w:name="_Toc20637"/>
      <w:r>
        <w:rPr>
          <w:rStyle w:val="33"/>
          <w:rFonts w:hint="eastAsia" w:ascii="仿宋" w:hAnsi="仿宋" w:eastAsia="仿宋"/>
          <w:b w:val="0"/>
          <w:bCs w:val="0"/>
        </w:rPr>
        <w:t>四、</w:t>
      </w:r>
      <w:r>
        <w:rPr>
          <w:rFonts w:hint="eastAsia" w:ascii="仿宋" w:hAnsi="仿宋" w:eastAsia="仿宋"/>
          <w:b w:val="0"/>
          <w:color w:val="000000"/>
        </w:rPr>
        <w:t>财</w:t>
      </w:r>
      <w:r>
        <w:rPr>
          <w:rStyle w:val="33"/>
          <w:rFonts w:hint="eastAsia" w:ascii="仿宋" w:hAnsi="仿宋" w:eastAsia="仿宋"/>
          <w:b w:val="0"/>
          <w:bCs w:val="0"/>
        </w:rPr>
        <w:t>政拨款收入支出决算总表</w:t>
      </w:r>
      <w:bookmarkEnd w:id="171"/>
      <w:bookmarkEnd w:id="172"/>
      <w:bookmarkEnd w:id="173"/>
    </w:p>
    <w:p>
      <w:pPr>
        <w:pStyle w:val="4"/>
        <w:rPr>
          <w:rStyle w:val="33"/>
          <w:rFonts w:ascii="仿宋" w:hAnsi="仿宋" w:eastAsia="仿宋"/>
          <w:b w:val="0"/>
          <w:bCs w:val="0"/>
        </w:rPr>
      </w:pPr>
      <w:bookmarkStart w:id="174" w:name="_Toc2000"/>
      <w:bookmarkStart w:id="175" w:name="_Toc15396623"/>
      <w:bookmarkStart w:id="176" w:name="_Toc11816"/>
      <w:r>
        <w:rPr>
          <w:rStyle w:val="33"/>
          <w:rFonts w:hint="eastAsia" w:ascii="仿宋" w:hAnsi="仿宋" w:eastAsia="仿宋"/>
          <w:b w:val="0"/>
          <w:bCs w:val="0"/>
        </w:rPr>
        <w:t>五、</w:t>
      </w:r>
      <w:r>
        <w:rPr>
          <w:rFonts w:hint="eastAsia" w:ascii="仿宋" w:hAnsi="仿宋" w:eastAsia="仿宋"/>
          <w:b w:val="0"/>
          <w:color w:val="000000"/>
        </w:rPr>
        <w:t>财</w:t>
      </w:r>
      <w:r>
        <w:rPr>
          <w:rStyle w:val="33"/>
          <w:rFonts w:hint="eastAsia" w:ascii="仿宋" w:hAnsi="仿宋" w:eastAsia="仿宋"/>
          <w:b w:val="0"/>
          <w:bCs w:val="0"/>
        </w:rPr>
        <w:t>政拨款支出决算明细表</w:t>
      </w:r>
      <w:bookmarkEnd w:id="174"/>
      <w:bookmarkEnd w:id="175"/>
      <w:bookmarkEnd w:id="176"/>
      <w:bookmarkStart w:id="177" w:name="_Toc15396624"/>
    </w:p>
    <w:p>
      <w:pPr>
        <w:pStyle w:val="4"/>
        <w:rPr>
          <w:rFonts w:ascii="仿宋" w:hAnsi="仿宋" w:eastAsia="仿宋"/>
          <w:color w:val="000000"/>
        </w:rPr>
      </w:pPr>
      <w:bookmarkStart w:id="178" w:name="_Toc876"/>
      <w:bookmarkStart w:id="179" w:name="_Toc12226"/>
      <w:r>
        <w:rPr>
          <w:rStyle w:val="33"/>
          <w:rFonts w:hint="eastAsia" w:ascii="仿宋" w:hAnsi="仿宋" w:eastAsia="仿宋"/>
          <w:b w:val="0"/>
          <w:bCs w:val="0"/>
        </w:rPr>
        <w:t>六、</w:t>
      </w:r>
      <w:r>
        <w:rPr>
          <w:rFonts w:hint="eastAsia" w:ascii="仿宋" w:hAnsi="仿宋" w:eastAsia="仿宋"/>
          <w:b w:val="0"/>
          <w:color w:val="000000"/>
        </w:rPr>
        <w:t>一</w:t>
      </w:r>
      <w:r>
        <w:rPr>
          <w:rStyle w:val="33"/>
          <w:rFonts w:hint="eastAsia" w:ascii="仿宋" w:hAnsi="仿宋" w:eastAsia="仿宋"/>
          <w:b w:val="0"/>
          <w:bCs w:val="0"/>
        </w:rPr>
        <w:t>般公共预算财政拨款支出决算表</w:t>
      </w:r>
      <w:bookmarkEnd w:id="177"/>
      <w:bookmarkEnd w:id="178"/>
      <w:bookmarkEnd w:id="179"/>
    </w:p>
    <w:p>
      <w:pPr>
        <w:pStyle w:val="4"/>
        <w:rPr>
          <w:rFonts w:ascii="仿宋" w:hAnsi="仿宋" w:eastAsia="仿宋"/>
          <w:color w:val="000000"/>
        </w:rPr>
      </w:pPr>
      <w:bookmarkStart w:id="180" w:name="_Toc25855"/>
      <w:bookmarkStart w:id="181" w:name="_Toc15396625"/>
      <w:bookmarkStart w:id="182" w:name="_Toc29387"/>
      <w:r>
        <w:rPr>
          <w:rStyle w:val="33"/>
          <w:rFonts w:hint="eastAsia" w:ascii="仿宋" w:hAnsi="仿宋" w:eastAsia="仿宋"/>
          <w:b w:val="0"/>
          <w:bCs w:val="0"/>
        </w:rPr>
        <w:t>七、</w:t>
      </w:r>
      <w:r>
        <w:rPr>
          <w:rFonts w:hint="eastAsia" w:ascii="仿宋" w:hAnsi="仿宋" w:eastAsia="仿宋"/>
          <w:b w:val="0"/>
          <w:color w:val="000000"/>
        </w:rPr>
        <w:t>一</w:t>
      </w:r>
      <w:r>
        <w:rPr>
          <w:rStyle w:val="33"/>
          <w:rFonts w:hint="eastAsia" w:ascii="仿宋" w:hAnsi="仿宋" w:eastAsia="仿宋"/>
          <w:b w:val="0"/>
          <w:bCs w:val="0"/>
        </w:rPr>
        <w:t>般公共预算财政拨款支出决算明细表</w:t>
      </w:r>
      <w:bookmarkEnd w:id="180"/>
      <w:bookmarkEnd w:id="181"/>
      <w:bookmarkEnd w:id="182"/>
    </w:p>
    <w:p>
      <w:pPr>
        <w:pStyle w:val="4"/>
        <w:rPr>
          <w:rFonts w:ascii="仿宋" w:hAnsi="仿宋" w:eastAsia="仿宋"/>
          <w:color w:val="000000"/>
        </w:rPr>
      </w:pPr>
      <w:bookmarkStart w:id="183" w:name="_Toc25241"/>
      <w:bookmarkStart w:id="184" w:name="_Toc15396626"/>
      <w:bookmarkStart w:id="185" w:name="_Toc15614"/>
      <w:r>
        <w:rPr>
          <w:rStyle w:val="33"/>
          <w:rFonts w:hint="eastAsia" w:ascii="仿宋" w:hAnsi="仿宋" w:eastAsia="仿宋"/>
          <w:b w:val="0"/>
          <w:bCs w:val="0"/>
        </w:rPr>
        <w:t>八、</w:t>
      </w:r>
      <w:r>
        <w:rPr>
          <w:rFonts w:hint="eastAsia" w:ascii="仿宋" w:hAnsi="仿宋" w:eastAsia="仿宋"/>
          <w:b w:val="0"/>
          <w:color w:val="000000"/>
        </w:rPr>
        <w:t>一</w:t>
      </w:r>
      <w:r>
        <w:rPr>
          <w:rStyle w:val="33"/>
          <w:rFonts w:hint="eastAsia" w:ascii="仿宋" w:hAnsi="仿宋" w:eastAsia="仿宋"/>
          <w:b w:val="0"/>
          <w:bCs w:val="0"/>
        </w:rPr>
        <w:t>般公共预算财政拨款基本支出决算表</w:t>
      </w:r>
      <w:bookmarkEnd w:id="183"/>
      <w:bookmarkEnd w:id="184"/>
      <w:bookmarkEnd w:id="185"/>
    </w:p>
    <w:p>
      <w:pPr>
        <w:pStyle w:val="4"/>
        <w:rPr>
          <w:rFonts w:ascii="仿宋" w:hAnsi="仿宋" w:eastAsia="仿宋"/>
          <w:color w:val="000000"/>
        </w:rPr>
      </w:pPr>
      <w:bookmarkStart w:id="186" w:name="_Toc15396627"/>
      <w:bookmarkStart w:id="187" w:name="_Toc4365"/>
      <w:bookmarkStart w:id="188" w:name="_Toc30493"/>
      <w:r>
        <w:rPr>
          <w:rStyle w:val="33"/>
          <w:rFonts w:hint="eastAsia" w:ascii="仿宋" w:hAnsi="仿宋" w:eastAsia="仿宋"/>
          <w:b w:val="0"/>
          <w:bCs w:val="0"/>
        </w:rPr>
        <w:t>九、</w:t>
      </w:r>
      <w:r>
        <w:rPr>
          <w:rFonts w:hint="eastAsia" w:ascii="仿宋" w:hAnsi="仿宋" w:eastAsia="仿宋"/>
          <w:b w:val="0"/>
          <w:color w:val="000000"/>
        </w:rPr>
        <w:t>一</w:t>
      </w:r>
      <w:r>
        <w:rPr>
          <w:rStyle w:val="33"/>
          <w:rFonts w:hint="eastAsia" w:ascii="仿宋" w:hAnsi="仿宋" w:eastAsia="仿宋"/>
          <w:b w:val="0"/>
          <w:bCs w:val="0"/>
        </w:rPr>
        <w:t>般公共预算财政拨款项目支出决算表</w:t>
      </w:r>
      <w:bookmarkEnd w:id="186"/>
      <w:bookmarkEnd w:id="187"/>
      <w:bookmarkEnd w:id="188"/>
    </w:p>
    <w:p>
      <w:pPr>
        <w:pStyle w:val="4"/>
        <w:rPr>
          <w:rFonts w:ascii="仿宋" w:hAnsi="仿宋" w:eastAsia="仿宋"/>
          <w:color w:val="000000"/>
        </w:rPr>
      </w:pPr>
      <w:bookmarkStart w:id="189" w:name="_Toc15396628"/>
      <w:bookmarkStart w:id="190" w:name="_Toc30510"/>
      <w:bookmarkStart w:id="191" w:name="_Toc29883"/>
      <w:r>
        <w:rPr>
          <w:rStyle w:val="33"/>
          <w:rFonts w:hint="eastAsia" w:ascii="仿宋" w:hAnsi="仿宋" w:eastAsia="仿宋"/>
          <w:b w:val="0"/>
          <w:bCs w:val="0"/>
        </w:rPr>
        <w:t>十、</w:t>
      </w:r>
      <w:r>
        <w:rPr>
          <w:rFonts w:hint="eastAsia" w:ascii="仿宋" w:hAnsi="仿宋" w:eastAsia="仿宋"/>
          <w:b w:val="0"/>
          <w:color w:val="000000"/>
        </w:rPr>
        <w:t>一</w:t>
      </w:r>
      <w:r>
        <w:rPr>
          <w:rStyle w:val="33"/>
          <w:rFonts w:hint="eastAsia" w:ascii="仿宋" w:hAnsi="仿宋" w:eastAsia="仿宋"/>
          <w:b w:val="0"/>
          <w:bCs w:val="0"/>
        </w:rPr>
        <w:t>般公共预算财政拨款“三公”经费支出决算表</w:t>
      </w:r>
      <w:bookmarkEnd w:id="189"/>
      <w:bookmarkEnd w:id="190"/>
      <w:bookmarkEnd w:id="191"/>
    </w:p>
    <w:p>
      <w:pPr>
        <w:pStyle w:val="4"/>
        <w:rPr>
          <w:rFonts w:ascii="仿宋" w:hAnsi="仿宋" w:eastAsia="仿宋"/>
          <w:color w:val="000000"/>
        </w:rPr>
      </w:pPr>
      <w:bookmarkStart w:id="192" w:name="_Toc31374"/>
      <w:bookmarkStart w:id="193" w:name="_Toc21910"/>
      <w:bookmarkStart w:id="194" w:name="_Toc15396629"/>
      <w:r>
        <w:rPr>
          <w:rStyle w:val="33"/>
          <w:rFonts w:hint="eastAsia" w:ascii="仿宋" w:hAnsi="仿宋" w:eastAsia="仿宋"/>
          <w:b w:val="0"/>
          <w:bCs w:val="0"/>
        </w:rPr>
        <w:t>十一、</w:t>
      </w:r>
      <w:r>
        <w:rPr>
          <w:rFonts w:hint="eastAsia" w:ascii="仿宋" w:hAnsi="仿宋" w:eastAsia="仿宋"/>
          <w:b w:val="0"/>
          <w:color w:val="000000"/>
        </w:rPr>
        <w:t>政</w:t>
      </w:r>
      <w:r>
        <w:rPr>
          <w:rStyle w:val="33"/>
          <w:rFonts w:hint="eastAsia" w:ascii="仿宋" w:hAnsi="仿宋" w:eastAsia="仿宋"/>
          <w:b w:val="0"/>
          <w:bCs w:val="0"/>
        </w:rPr>
        <w:t>府性基金预算财政拨款收入支出决算表</w:t>
      </w:r>
      <w:bookmarkEnd w:id="192"/>
      <w:bookmarkEnd w:id="193"/>
      <w:bookmarkEnd w:id="194"/>
    </w:p>
    <w:p>
      <w:pPr>
        <w:pStyle w:val="4"/>
        <w:rPr>
          <w:rFonts w:ascii="仿宋" w:hAnsi="仿宋" w:eastAsia="仿宋"/>
          <w:color w:val="000000"/>
        </w:rPr>
      </w:pPr>
      <w:bookmarkStart w:id="195" w:name="_Toc15396630"/>
      <w:bookmarkStart w:id="196" w:name="_Toc17493"/>
      <w:bookmarkStart w:id="197" w:name="_Toc31001"/>
      <w:r>
        <w:rPr>
          <w:rStyle w:val="33"/>
          <w:rFonts w:hint="eastAsia" w:ascii="仿宋" w:hAnsi="仿宋" w:eastAsia="仿宋"/>
          <w:b w:val="0"/>
          <w:bCs w:val="0"/>
        </w:rPr>
        <w:t>十二、</w:t>
      </w:r>
      <w:r>
        <w:rPr>
          <w:rFonts w:hint="eastAsia" w:ascii="仿宋" w:hAnsi="仿宋" w:eastAsia="仿宋"/>
          <w:b w:val="0"/>
          <w:color w:val="000000"/>
        </w:rPr>
        <w:t>政</w:t>
      </w:r>
      <w:r>
        <w:rPr>
          <w:rStyle w:val="33"/>
          <w:rFonts w:hint="eastAsia" w:ascii="仿宋" w:hAnsi="仿宋" w:eastAsia="仿宋"/>
          <w:b w:val="0"/>
          <w:bCs w:val="0"/>
        </w:rPr>
        <w:t>府性基金预算财政拨款“三公”经费支出决算表</w:t>
      </w:r>
      <w:bookmarkEnd w:id="195"/>
      <w:bookmarkEnd w:id="196"/>
      <w:bookmarkEnd w:id="197"/>
    </w:p>
    <w:p>
      <w:pPr>
        <w:pStyle w:val="4"/>
        <w:rPr>
          <w:rFonts w:ascii="仿宋" w:hAnsi="仿宋" w:eastAsia="仿宋"/>
          <w:color w:val="000000" w:themeColor="text1"/>
        </w:rPr>
      </w:pPr>
      <w:bookmarkStart w:id="198" w:name="_Toc15396631"/>
      <w:bookmarkStart w:id="199" w:name="_Toc9638"/>
      <w:bookmarkStart w:id="200" w:name="_Toc10451"/>
      <w:r>
        <w:rPr>
          <w:rStyle w:val="33"/>
          <w:rFonts w:hint="eastAsia" w:ascii="仿宋" w:hAnsi="仿宋" w:eastAsia="仿宋"/>
          <w:b w:val="0"/>
          <w:bCs w:val="0"/>
        </w:rPr>
        <w:t>十三、</w:t>
      </w:r>
      <w:r>
        <w:rPr>
          <w:rFonts w:hint="eastAsia" w:ascii="仿宋" w:hAnsi="仿宋" w:eastAsia="仿宋"/>
          <w:b w:val="0"/>
          <w:color w:val="000000"/>
        </w:rPr>
        <w:t>国</w:t>
      </w:r>
      <w:r>
        <w:rPr>
          <w:rStyle w:val="33"/>
          <w:rFonts w:hint="eastAsia" w:ascii="仿宋" w:hAnsi="仿宋" w:eastAsia="仿宋"/>
          <w:b w:val="0"/>
          <w:bCs w:val="0"/>
        </w:rPr>
        <w:t>有资本经营预算支出决算表</w:t>
      </w:r>
      <w:bookmarkEnd w:id="198"/>
      <w:bookmarkEnd w:id="199"/>
      <w:bookmarkEnd w:id="200"/>
    </w:p>
    <w:sectPr>
      <w:footerReference r:id="rId7" w:type="first"/>
      <w:footerReference r:id="rId6"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65" o:spid="_x0000_s206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66" o:spid="_x0000_s206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67" o:spid="_x0000_s206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w:r>
    <w:sdt>
      <w:sdtPr>
        <w:id w:val="-1994781956"/>
      </w:sdtPr>
      <w:sdtContent/>
    </w:sdt>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68" o:spid="_x0000_s206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794DAAC"/>
    <w:multiLevelType w:val="singleLevel"/>
    <w:tmpl w:val="E794DAAC"/>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F51E1C5"/>
    <w:multiLevelType w:val="singleLevel"/>
    <w:tmpl w:val="5F51E1C5"/>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332C4E"/>
    <w:rsid w:val="064B3CD2"/>
    <w:rsid w:val="0B8E4465"/>
    <w:rsid w:val="0B9641AF"/>
    <w:rsid w:val="0D34729A"/>
    <w:rsid w:val="0F1E3318"/>
    <w:rsid w:val="0F2F126E"/>
    <w:rsid w:val="10C055FF"/>
    <w:rsid w:val="16BB723D"/>
    <w:rsid w:val="18031E27"/>
    <w:rsid w:val="19A442F5"/>
    <w:rsid w:val="22EB19C2"/>
    <w:rsid w:val="240371BF"/>
    <w:rsid w:val="25A029D3"/>
    <w:rsid w:val="29FD04D3"/>
    <w:rsid w:val="2AFB0A4E"/>
    <w:rsid w:val="2BD238C6"/>
    <w:rsid w:val="2DE76012"/>
    <w:rsid w:val="319F7F4E"/>
    <w:rsid w:val="32292F3B"/>
    <w:rsid w:val="32513E69"/>
    <w:rsid w:val="32EC73F6"/>
    <w:rsid w:val="34EE7370"/>
    <w:rsid w:val="353E67AD"/>
    <w:rsid w:val="39792FCD"/>
    <w:rsid w:val="41D07EEA"/>
    <w:rsid w:val="47E81363"/>
    <w:rsid w:val="4844228C"/>
    <w:rsid w:val="4BAB255B"/>
    <w:rsid w:val="4ECE2238"/>
    <w:rsid w:val="4ED90C4E"/>
    <w:rsid w:val="5232322B"/>
    <w:rsid w:val="53EE5ECF"/>
    <w:rsid w:val="57F94D4B"/>
    <w:rsid w:val="5C2E7363"/>
    <w:rsid w:val="5D1E60FE"/>
    <w:rsid w:val="61B757D4"/>
    <w:rsid w:val="61D2301E"/>
    <w:rsid w:val="62C27DB1"/>
    <w:rsid w:val="641C2615"/>
    <w:rsid w:val="6D622731"/>
    <w:rsid w:val="6E831EA9"/>
    <w:rsid w:val="721F6C6E"/>
    <w:rsid w:val="72734D90"/>
    <w:rsid w:val="74302605"/>
    <w:rsid w:val="F7ED24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line="540" w:lineRule="exact"/>
      <w:ind w:firstLine="600"/>
    </w:pPr>
    <w:rPr>
      <w:rFonts w:ascii="Times New Roman" w:hAnsi="Times New Roman" w:eastAsia="仿宋_GB2312" w:cs="Times New Roman"/>
      <w:sz w:val="30"/>
    </w:rPr>
  </w:style>
  <w:style w:type="paragraph" w:styleId="6">
    <w:name w:val="toc 7"/>
    <w:basedOn w:val="1"/>
    <w:next w:val="1"/>
    <w:unhideWhenUsed/>
    <w:qFormat/>
    <w:uiPriority w:val="39"/>
    <w:pPr>
      <w:ind w:left="2520" w:leftChars="1200"/>
    </w:pPr>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5"/>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toc 6"/>
    <w:basedOn w:val="1"/>
    <w:next w:val="1"/>
    <w:unhideWhenUsed/>
    <w:qFormat/>
    <w:uiPriority w:val="39"/>
    <w:pPr>
      <w:ind w:left="2100" w:leftChars="1000"/>
    </w:p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2">
    <w:name w:val="Strong"/>
    <w:basedOn w:val="21"/>
    <w:qFormat/>
    <w:uiPriority w:val="99"/>
    <w:rPr>
      <w:b/>
    </w:rPr>
  </w:style>
  <w:style w:type="character" w:styleId="23">
    <w:name w:val="Hyperlink"/>
    <w:basedOn w:val="21"/>
    <w:unhideWhenUsed/>
    <w:qFormat/>
    <w:uiPriority w:val="99"/>
    <w:rPr>
      <w:color w:val="0000FF" w:themeColor="hyperlink"/>
      <w:u w:val="single"/>
    </w:rPr>
  </w:style>
  <w:style w:type="character" w:customStyle="1" w:styleId="24">
    <w:name w:val="Header Char"/>
    <w:basedOn w:val="21"/>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21"/>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21"/>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1">
    <w:name w:val="List Paragraph"/>
    <w:basedOn w:val="1"/>
    <w:qFormat/>
    <w:uiPriority w:val="34"/>
    <w:pPr>
      <w:ind w:firstLine="420" w:firstLineChars="200"/>
    </w:pPr>
  </w:style>
  <w:style w:type="character" w:customStyle="1" w:styleId="32">
    <w:name w:val="标题 1 Char"/>
    <w:basedOn w:val="21"/>
    <w:link w:val="3"/>
    <w:qFormat/>
    <w:uiPriority w:val="9"/>
    <w:rPr>
      <w:rFonts w:ascii="Times New Roman" w:hAnsi="Times New Roman"/>
      <w:b/>
      <w:bCs/>
      <w:kern w:val="44"/>
      <w:sz w:val="44"/>
      <w:szCs w:val="44"/>
    </w:rPr>
  </w:style>
  <w:style w:type="character" w:customStyle="1" w:styleId="33">
    <w:name w:val="标题 2 Char"/>
    <w:basedOn w:val="21"/>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批注框文本 Char"/>
    <w:basedOn w:val="21"/>
    <w:link w:val="11"/>
    <w:semiHidden/>
    <w:qFormat/>
    <w:uiPriority w:val="99"/>
    <w:rPr>
      <w:rFonts w:ascii="Times New Roman" w:hAnsi="Times New Roman"/>
      <w:kern w:val="2"/>
      <w:sz w:val="18"/>
      <w:szCs w:val="18"/>
    </w:rPr>
  </w:style>
  <w:style w:type="character" w:customStyle="1" w:styleId="36">
    <w:name w:val="标题 3 Char"/>
    <w:basedOn w:val="21"/>
    <w:link w:val="5"/>
    <w:qFormat/>
    <w:uiPriority w:val="9"/>
    <w:rPr>
      <w:rFonts w:ascii="Times New Roman" w:hAnsi="Times New Roman"/>
      <w:b/>
      <w:bCs/>
      <w:kern w:val="2"/>
      <w:sz w:val="32"/>
      <w:szCs w:val="32"/>
    </w:rPr>
  </w:style>
  <w:style w:type="paragraph" w:customStyle="1" w:styleId="3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收入支出决算总体情况图</a:t>
            </a:r>
          </a:p>
        </c:rich>
      </c:tx>
      <c:layout/>
      <c:overlay val="false"/>
      <c:spPr>
        <a:noFill/>
        <a:ln>
          <a:noFill/>
        </a:ln>
        <a:effectLst/>
      </c:spPr>
    </c:title>
    <c:autoTitleDeleted val="false"/>
    <c:plotArea>
      <c:layout>
        <c:manualLayout>
          <c:layoutTarget val="inner"/>
          <c:xMode val="edge"/>
          <c:yMode val="edge"/>
          <c:x val="0.08145"/>
          <c:y val="0.214833333333333"/>
          <c:w val="0.8823"/>
          <c:h val="0.711566666666667"/>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f>Sheet1!$A$2:$A$3</c:f>
              <c:numCache>
                <c:formatCode>General</c:formatCode>
                <c:ptCount val="2"/>
                <c:pt idx="0">
                  <c:v>2019</c:v>
                </c:pt>
                <c:pt idx="1">
                  <c:v>2020</c:v>
                </c:pt>
              </c:numCache>
            </c:numRef>
          </c:cat>
          <c:val>
            <c:numRef>
              <c:f>Sheet1!$B$2:$B$3</c:f>
              <c:numCache>
                <c:formatCode>General</c:formatCode>
                <c:ptCount val="2"/>
                <c:pt idx="0">
                  <c:v>243.67</c:v>
                </c:pt>
                <c:pt idx="1">
                  <c:v>242.31</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f>Sheet1!$A$2:$A$3</c:f>
              <c:numCache>
                <c:formatCode>General</c:formatCode>
                <c:ptCount val="2"/>
                <c:pt idx="0">
                  <c:v>2019</c:v>
                </c:pt>
                <c:pt idx="1">
                  <c:v>2020</c:v>
                </c:pt>
              </c:numCache>
            </c:numRef>
          </c:cat>
          <c:val>
            <c:numRef>
              <c:f>Sheet1!$C$2:$C$3</c:f>
              <c:numCache>
                <c:formatCode>General</c:formatCode>
                <c:ptCount val="2"/>
                <c:pt idx="0">
                  <c:v>226.39</c:v>
                </c:pt>
                <c:pt idx="1">
                  <c:v>244.99</c:v>
                </c:pt>
              </c:numCache>
            </c:numRef>
          </c:val>
        </c:ser>
        <c:dLbls>
          <c:showLegendKey val="false"/>
          <c:showVal val="false"/>
          <c:showCatName val="false"/>
          <c:showSerName val="false"/>
          <c:showPercent val="false"/>
          <c:showBubbleSize val="false"/>
        </c:dLbls>
        <c:gapWidth val="219"/>
        <c:overlap val="-27"/>
        <c:axId val="645061732"/>
        <c:axId val="740996365"/>
      </c:barChart>
      <c:catAx>
        <c:axId val="64506173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0996365"/>
        <c:crosses val="autoZero"/>
        <c:auto val="true"/>
        <c:lblAlgn val="ctr"/>
        <c:lblOffset val="100"/>
        <c:noMultiLvlLbl val="false"/>
      </c:catAx>
      <c:valAx>
        <c:axId val="7409963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0617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altLang="en-US"/>
              <a:t>收入决算结构图</a:t>
            </a:r>
            <a:endParaRPr lang="en-US" altLang="zh-CN"/>
          </a:p>
        </c:rich>
      </c:tx>
      <c:layout>
        <c:manualLayout>
          <c:xMode val="edge"/>
          <c:yMode val="edge"/>
          <c:x val="0.441816204458945"/>
          <c:y val="0.0229797012638836"/>
        </c:manualLayout>
      </c:layout>
      <c:overlay val="false"/>
      <c:spPr>
        <a:noFill/>
        <a:ln>
          <a:noFill/>
        </a:ln>
        <a:effectLst/>
      </c:spPr>
    </c:title>
    <c:autoTitleDeleted val="false"/>
    <c:plotArea>
      <c:layout/>
      <c:pieChart>
        <c:varyColors val="true"/>
        <c:ser>
          <c:idx val="0"/>
          <c:order val="0"/>
          <c:tx>
            <c:strRef>
              <c:f>Sheet1!$B$1</c:f>
              <c:strCache>
                <c:ptCount val="1"/>
                <c:pt idx="0">
                  <c:v>收入情况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Pt>
            <c:idx val="5"/>
            <c:bubble3D val="false"/>
            <c:spPr>
              <a:solidFill>
                <a:schemeClr val="accent6"/>
              </a:solidFill>
              <a:ln>
                <a:noFill/>
              </a:ln>
              <a:effectLst>
                <a:outerShdw blurRad="254000" sx="102000" sy="102000" algn="ctr" rotWithShape="0">
                  <a:prstClr val="black">
                    <a:alpha val="20000"/>
                  </a:prstClr>
                </a:outerShdw>
              </a:effectLst>
            </c:spPr>
          </c:dPt>
          <c:dPt>
            <c:idx val="6"/>
            <c:bubble3D val="false"/>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242.31</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支出决算结构图</a:t>
            </a:r>
          </a:p>
        </c:rich>
      </c:tx>
      <c:layout>
        <c:manualLayout>
          <c:xMode val="edge"/>
          <c:yMode val="edge"/>
          <c:x val="0.534155363748459"/>
          <c:y val="0.0326504481434059"/>
        </c:manualLayout>
      </c:layout>
      <c:overlay val="false"/>
      <c:spPr>
        <a:noFill/>
        <a:ln>
          <a:noFill/>
        </a:ln>
        <a:effectLst/>
      </c:spPr>
    </c:title>
    <c:autoTitleDeleted val="false"/>
    <c:plotArea>
      <c:layout>
        <c:manualLayout>
          <c:layoutTarget val="inner"/>
          <c:xMode val="edge"/>
          <c:yMode val="edge"/>
          <c:x val="0.0577065351418002"/>
          <c:y val="0.111609048228767"/>
          <c:w val="0.482120838471023"/>
          <c:h val="0.834400341442595"/>
        </c:manualLayout>
      </c:layout>
      <c:pieChart>
        <c:varyColors val="true"/>
        <c:ser>
          <c:idx val="0"/>
          <c:order val="0"/>
          <c:tx>
            <c:strRef>
              <c:f>Sheet1!$B$1</c:f>
              <c:strCache>
                <c:ptCount val="1"/>
                <c:pt idx="0">
                  <c:v>收入情况</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explosion val="0"/>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203.04</c:v>
                </c:pt>
                <c:pt idx="1">
                  <c:v>41.95</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delete val="true"/>
          </c:dLbls>
          <c:cat>
            <c:numRef>
              <c:f>Sheet1!$A$2:$A$3</c:f>
              <c:numCache>
                <c:formatCode>General</c:formatCode>
                <c:ptCount val="2"/>
                <c:pt idx="0">
                  <c:v>2019</c:v>
                </c:pt>
                <c:pt idx="1">
                  <c:v>2020</c:v>
                </c:pt>
              </c:numCache>
            </c:numRef>
          </c:cat>
          <c:val>
            <c:numRef>
              <c:f>Sheet1!$B$2:$B$3</c:f>
              <c:numCache>
                <c:formatCode>General</c:formatCode>
                <c:ptCount val="2"/>
                <c:pt idx="0">
                  <c:v>243.67</c:v>
                </c:pt>
                <c:pt idx="1">
                  <c:v>242.31</c:v>
                </c:pt>
              </c:numCache>
            </c:numRef>
          </c:val>
        </c:ser>
        <c:ser>
          <c:idx val="1"/>
          <c:order val="1"/>
          <c:tx>
            <c:strRef>
              <c:f>Sheet1!$C$1</c:f>
              <c:strCache>
                <c:ptCount val="1"/>
                <c:pt idx="0">
                  <c:v>支出</c:v>
                </c:pt>
              </c:strCache>
            </c:strRef>
          </c:tx>
          <c:spPr>
            <a:solidFill>
              <a:schemeClr val="accent2"/>
            </a:solidFill>
            <a:ln>
              <a:noFill/>
            </a:ln>
            <a:effectLst/>
          </c:spPr>
          <c:invertIfNegative val="false"/>
          <c:dLbls>
            <c:delete val="true"/>
          </c:dLbls>
          <c:cat>
            <c:numRef>
              <c:f>Sheet1!$A$2:$A$3</c:f>
              <c:numCache>
                <c:formatCode>General</c:formatCode>
                <c:ptCount val="2"/>
                <c:pt idx="0">
                  <c:v>2019</c:v>
                </c:pt>
                <c:pt idx="1">
                  <c:v>2020</c:v>
                </c:pt>
              </c:numCache>
            </c:numRef>
          </c:cat>
          <c:val>
            <c:numRef>
              <c:f>Sheet1!$C$2:$C$3</c:f>
              <c:numCache>
                <c:formatCode>General</c:formatCode>
                <c:ptCount val="2"/>
                <c:pt idx="0">
                  <c:v>226.39</c:v>
                </c:pt>
                <c:pt idx="1">
                  <c:v>244.99</c:v>
                </c:pt>
              </c:numCache>
            </c:numRef>
          </c:val>
        </c:ser>
        <c:dLbls>
          <c:showLegendKey val="false"/>
          <c:showVal val="false"/>
          <c:showCatName val="false"/>
          <c:showSerName val="false"/>
          <c:showPercent val="false"/>
          <c:showBubbleSize val="false"/>
        </c:dLbls>
        <c:gapWidth val="219"/>
        <c:overlap val="-27"/>
        <c:axId val="645061732"/>
        <c:axId val="740996365"/>
      </c:barChart>
      <c:catAx>
        <c:axId val="64506173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0996365"/>
        <c:crosses val="autoZero"/>
        <c:auto val="true"/>
        <c:lblAlgn val="ctr"/>
        <c:lblOffset val="100"/>
        <c:noMultiLvlLbl val="false"/>
      </c:catAx>
      <c:valAx>
        <c:axId val="740996365"/>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450617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115876445913309"/>
          <c:y val="0.270969098171116"/>
          <c:w val="0.880310156349307"/>
          <c:h val="0.636199285263822"/>
        </c:manualLayout>
      </c:layout>
      <c:barChart>
        <c:barDir val="col"/>
        <c:grouping val="clustered"/>
        <c:varyColors val="false"/>
        <c:ser>
          <c:idx val="0"/>
          <c:order val="0"/>
          <c:tx>
            <c:strRef>
              <c:f>Sheet1!$B$1</c:f>
              <c:strCache>
                <c:ptCount val="1"/>
                <c:pt idx="0">
                  <c:v>一般公共服务预算支出</c:v>
                </c:pt>
              </c:strCache>
            </c:strRef>
          </c:tx>
          <c:spPr>
            <a:solidFill>
              <a:schemeClr val="accent1"/>
            </a:solidFill>
            <a:ln>
              <a:noFill/>
            </a:ln>
            <a:effectLst/>
          </c:spPr>
          <c:invertIfNegative val="false"/>
          <c:dLbls>
            <c:delete val="true"/>
          </c:dLbls>
          <c:cat>
            <c:numRef>
              <c:f>Sheet1!$A$2:$A$3</c:f>
              <c:numCache>
                <c:formatCode>General</c:formatCode>
                <c:ptCount val="2"/>
                <c:pt idx="0">
                  <c:v>2019</c:v>
                </c:pt>
                <c:pt idx="1">
                  <c:v>2020</c:v>
                </c:pt>
              </c:numCache>
            </c:numRef>
          </c:cat>
          <c:val>
            <c:numRef>
              <c:f>Sheet1!$B$2:$B$3</c:f>
              <c:numCache>
                <c:formatCode>General</c:formatCode>
                <c:ptCount val="2"/>
                <c:pt idx="0">
                  <c:v>226.39</c:v>
                </c:pt>
                <c:pt idx="1">
                  <c:v>244.99</c:v>
                </c:pt>
              </c:numCache>
            </c:numRef>
          </c:val>
        </c:ser>
        <c:dLbls>
          <c:showLegendKey val="false"/>
          <c:showVal val="false"/>
          <c:showCatName val="false"/>
          <c:showSerName val="false"/>
          <c:showPercent val="false"/>
          <c:showBubbleSize val="false"/>
        </c:dLbls>
        <c:gapWidth val="219"/>
        <c:overlap val="-27"/>
        <c:axId val="438935992"/>
        <c:axId val="977560557"/>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bg1"/>
                  </a:solidFill>
                  <a:ln>
                    <a:noFill/>
                  </a:ln>
                  <a:effectLst/>
                </c:spPr>
                <c:invertIfNegative val="false"/>
                <c:dLbls>
                  <c:delete val="true"/>
                </c:dLbls>
                <c:cat>
                  <c:numRef>
                    <c:extLst>
                      <c:ext uri="{02D57815-91ED-43cb-92C2-25804820EDAC}">
                        <c15:fullRef>
                          <c15:sqref/>
                        </c15:fullRef>
                        <c15:formulaRef>
                          <c15:sqref>Sheet1!$A$2:$A$3</c15:sqref>
                        </c15:formulaRef>
                      </c:ext>
                    </c:extLst>
                    <c:numCache>
                      <c:formatCode>General</c:formatCode>
                      <c:ptCount val="2"/>
                      <c:pt idx="0">
                        <c:v>2019</c:v>
                      </c:pt>
                      <c:pt idx="1">
                        <c:v>2020</c:v>
                      </c:pt>
                    </c:numCache>
                  </c:numRef>
                </c:cat>
                <c:val>
                  <c:numRef>
                    <c:extLst>
                      <c:ext uri="{02D57815-91ED-43cb-92C2-25804820EDAC}">
                        <c15:formulaRef>
                          <c15:sqref>Sheet1!$C$2:$C$5</c15:sqref>
                        </c15:formulaRef>
                      </c:ext>
                    </c:extLst>
                    <c:numCache>
                      <c:formatCode>General</c:formatCode>
                      <c:ptCount val="4"/>
                      <c:pt idx="0">
                        <c:v>0</c:v>
                      </c:pt>
                      <c:pt idx="1">
                        <c:v>0</c:v>
                      </c:pt>
                      <c:pt idx="2">
                        <c:v>1.8</c:v>
                      </c:pt>
                      <c:pt idx="3">
                        <c:v>2.8</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bg1"/>
                  </a:solidFill>
                  <a:ln>
                    <a:noFill/>
                  </a:ln>
                  <a:effectLst/>
                </c:spPr>
                <c:invertIfNegative val="false"/>
                <c:dLbls>
                  <c:delete val="true"/>
                </c:dLbls>
                <c:cat>
                  <c:numRef>
                    <c:extLst>
                      <c:ext uri="{02D57815-91ED-43cb-92C2-25804820EDAC}">
                        <c15:fullRef>
                          <c15:sqref/>
                        </c15:fullRef>
                        <c15:formulaRef>
                          <c15:sqref>Sheet1!$A$2:$A$3</c15:sqref>
                        </c15:formulaRef>
                      </c:ext>
                    </c:extLst>
                    <c:numCache>
                      <c:formatCode>General</c:formatCode>
                      <c:ptCount val="2"/>
                      <c:pt idx="0">
                        <c:v>2019</c:v>
                      </c:pt>
                      <c:pt idx="1">
                        <c:v>2020</c:v>
                      </c:pt>
                    </c:numCache>
                  </c:numRef>
                </c:cat>
                <c:val>
                  <c:numRef>
                    <c:extLst>
                      <c:ext uri="{02D57815-91ED-43cb-92C2-25804820EDAC}">
                        <c15:formulaRef>
                          <c15:sqref>Sheet1!$D$2:$D$5</c15:sqref>
                        </c15:formulaRef>
                      </c:ext>
                    </c:extLst>
                    <c:numCache>
                      <c:formatCode>General</c:formatCode>
                      <c:ptCount val="4"/>
                      <c:pt idx="0">
                        <c:v>2</c:v>
                      </c:pt>
                      <c:pt idx="1">
                        <c:v>2</c:v>
                      </c:pt>
                      <c:pt idx="2">
                        <c:v>3</c:v>
                      </c:pt>
                      <c:pt idx="3">
                        <c:v>5</c:v>
                      </c:pt>
                    </c:numCache>
                  </c:numRef>
                </c:val>
              </c15:ser>
            </c15:filteredBarSeries>
          </c:ext>
        </c:extLst>
      </c:barChart>
      <c:catAx>
        <c:axId val="43893599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7560557"/>
        <c:crosses val="autoZero"/>
        <c:auto val="true"/>
        <c:lblAlgn val="ctr"/>
        <c:lblOffset val="100"/>
        <c:noMultiLvlLbl val="false"/>
      </c:catAx>
      <c:valAx>
        <c:axId val="97756055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893599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一般公共预算财政拨款支出情况</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Pt>
            <c:idx val="3"/>
            <c:bubble3D val="false"/>
            <c:spPr>
              <a:solidFill>
                <a:schemeClr val="accent4"/>
              </a:solidFill>
              <a:ln>
                <a:noFill/>
              </a:ln>
              <a:effectLst>
                <a:outerShdw blurRad="254000" sx="102000" sy="102000" algn="ctr" rotWithShape="0">
                  <a:prstClr val="black">
                    <a:alpha val="20000"/>
                  </a:prstClr>
                </a:outerShdw>
              </a:effectLst>
            </c:spPr>
          </c:dPt>
          <c:dPt>
            <c:idx val="4"/>
            <c:bubble3D val="false"/>
            <c:spPr>
              <a:solidFill>
                <a:schemeClr val="accent5"/>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Sheet1!$A$2:$A$6</c:f>
              <c:strCache>
                <c:ptCount val="5"/>
                <c:pt idx="0">
                  <c:v>社会保障和就业（类）</c:v>
                </c:pt>
                <c:pt idx="1">
                  <c:v>卫生健康支出（类）</c:v>
                </c:pt>
                <c:pt idx="2">
                  <c:v>住房保障支出（类）</c:v>
                </c:pt>
                <c:pt idx="3">
                  <c:v>交通运输（类）支出</c:v>
                </c:pt>
                <c:pt idx="4">
                  <c:v>农林水（类）支出</c:v>
                </c:pt>
              </c:strCache>
            </c:strRef>
          </c:cat>
          <c:val>
            <c:numRef>
              <c:f>Sheet1!$B$2:$B$6</c:f>
              <c:numCache>
                <c:formatCode>General</c:formatCode>
                <c:ptCount val="5"/>
                <c:pt idx="0">
                  <c:v>16.96</c:v>
                </c:pt>
                <c:pt idx="1">
                  <c:v>7.31</c:v>
                </c:pt>
                <c:pt idx="2">
                  <c:v>11.77</c:v>
                </c:pt>
                <c:pt idx="3">
                  <c:v>208.45</c:v>
                </c:pt>
                <c:pt idx="4">
                  <c:v>0.5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7.79</c:v>
                </c:pt>
                <c:pt idx="2">
                  <c:v>0.61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目录页"/>
      <sectRole val="2"/>
    </customSectPr>
    <customSectPr/>
  </customSectProps>
  <customShpExts>
    <customShpInfo spid="_x0000_s2065" textRotate="1"/>
    <customShpInfo spid="_x0000_s2066" textRotate="1"/>
    <customShpInfo spid="_x0000_s2067" textRotate="1"/>
    <customShpInfo spid="_x0000_s206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2020-07-23T10:58:00Z</cp:lastPrinted>
  <dcterms:modified xsi:type="dcterms:W3CDTF">2023-07-14T10:50:40Z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