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1" w:name="_Toc15377206"/>
      <w:bookmarkStart w:id="2" w:name="_Toc15377211"/>
      <w:bookmarkStart w:id="75" w:name="_GoBack"/>
      <w:bookmarkEnd w:id="75"/>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3" w:name="_Toc15377193"/>
      <w:bookmarkStart w:id="4" w:name="_Toc15396475"/>
      <w:bookmarkStart w:id="5" w:name="_Toc15378441"/>
      <w:bookmarkStart w:id="6" w:name="_Toc15377425"/>
      <w:bookmarkStart w:id="7" w:name="_Toc19089858"/>
      <w:bookmarkStart w:id="8" w:name="_Toc15396597"/>
      <w:r>
        <w:rPr>
          <w:rFonts w:ascii="黑体" w:hAnsi="黑体" w:eastAsia="黑体" w:cs="黑体"/>
          <w:sz w:val="58"/>
          <w:szCs w:val="58"/>
        </w:rPr>
        <w:t>2019</w:t>
      </w:r>
      <w:r>
        <w:rPr>
          <w:rFonts w:hint="eastAsia" w:ascii="方正小标宋简体" w:hAnsi="宋体" w:eastAsia="方正小标宋简体" w:cs="方正小标宋简体"/>
          <w:sz w:val="58"/>
          <w:szCs w:val="58"/>
        </w:rPr>
        <w:t>年度</w:t>
      </w:r>
      <w:bookmarkEnd w:id="3"/>
      <w:bookmarkEnd w:id="4"/>
      <w:bookmarkEnd w:id="5"/>
      <w:bookmarkEnd w:id="6"/>
      <w:bookmarkEnd w:id="7"/>
      <w:bookmarkEnd w:id="8"/>
    </w:p>
    <w:p>
      <w:pPr>
        <w:adjustRightInd w:val="0"/>
        <w:snapToGrid w:val="0"/>
        <w:spacing w:line="360" w:lineRule="auto"/>
        <w:jc w:val="center"/>
        <w:outlineLvl w:val="0"/>
        <w:rPr>
          <w:rFonts w:ascii="方正小标宋简体" w:hAnsi="宋体" w:eastAsia="方正小标宋简体"/>
          <w:sz w:val="58"/>
          <w:szCs w:val="58"/>
        </w:rPr>
      </w:pPr>
      <w:bookmarkStart w:id="9" w:name="_Toc19089859"/>
      <w:bookmarkStart w:id="10" w:name="_Toc15396598"/>
      <w:bookmarkStart w:id="11" w:name="_Toc15378442"/>
      <w:bookmarkStart w:id="12" w:name="_Toc15396476"/>
      <w:bookmarkStart w:id="13" w:name="_Toc15306268"/>
      <w:bookmarkStart w:id="14" w:name="_Toc15377426"/>
      <w:bookmarkStart w:id="15" w:name="_Toc15377194"/>
      <w:r>
        <w:rPr>
          <w:rFonts w:hint="eastAsia" w:ascii="方正小标宋简体" w:hAnsi="宋体" w:eastAsia="方正小标宋简体" w:cs="方正小标宋简体"/>
          <w:sz w:val="58"/>
          <w:szCs w:val="58"/>
          <w:lang w:eastAsia="zh-CN"/>
        </w:rPr>
        <w:t>四川省</w:t>
      </w:r>
      <w:r>
        <w:rPr>
          <w:rFonts w:hint="eastAsia" w:ascii="方正小标宋简体" w:hAnsi="宋体" w:eastAsia="方正小标宋简体" w:cs="方正小标宋简体"/>
          <w:sz w:val="58"/>
          <w:szCs w:val="58"/>
        </w:rPr>
        <w:t>广元市利州区</w:t>
      </w:r>
      <w:bookmarkEnd w:id="9"/>
      <w:r>
        <w:rPr>
          <w:rFonts w:hint="eastAsia" w:ascii="方正小标宋简体" w:hAnsi="宋体" w:eastAsia="方正小标宋简体" w:cs="方正小标宋简体"/>
          <w:sz w:val="58"/>
          <w:szCs w:val="58"/>
        </w:rPr>
        <w:t>雪峰小学</w:t>
      </w:r>
    </w:p>
    <w:p>
      <w:pPr>
        <w:adjustRightInd w:val="0"/>
        <w:snapToGrid w:val="0"/>
        <w:spacing w:line="360" w:lineRule="auto"/>
        <w:jc w:val="center"/>
        <w:outlineLvl w:val="0"/>
        <w:rPr>
          <w:rFonts w:ascii="方正小标宋简体" w:hAnsi="宋体" w:eastAsia="方正小标宋简体"/>
          <w:sz w:val="58"/>
          <w:szCs w:val="58"/>
        </w:rPr>
      </w:pPr>
      <w:bookmarkStart w:id="16" w:name="_Toc19089860"/>
      <w:r>
        <w:rPr>
          <w:rFonts w:hint="eastAsia" w:ascii="方正小标宋简体" w:hAnsi="宋体" w:eastAsia="方正小标宋简体" w:cs="方正小标宋简体"/>
          <w:sz w:val="58"/>
          <w:szCs w:val="58"/>
        </w:rPr>
        <w:t>部门决算</w:t>
      </w:r>
      <w:bookmarkEnd w:id="10"/>
      <w:bookmarkEnd w:id="11"/>
      <w:bookmarkEnd w:id="12"/>
      <w:bookmarkEnd w:id="13"/>
      <w:bookmarkEnd w:id="14"/>
      <w:bookmarkEnd w:id="15"/>
      <w:bookmarkEnd w:id="16"/>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40" w:lineRule="exact"/>
        <w:ind w:right="640"/>
        <w:jc w:val="left"/>
        <w:textAlignment w:val="auto"/>
        <w:rPr>
          <w:rFonts w:hint="eastAsia" w:ascii="黑体" w:hAnsi="黑体" w:eastAsia="黑体" w:cs="黑体"/>
          <w:sz w:val="28"/>
          <w:szCs w:val="28"/>
        </w:rPr>
      </w:pPr>
    </w:p>
    <w:p>
      <w:pPr>
        <w:keepNext w:val="0"/>
        <w:keepLines w:val="0"/>
        <w:pageBreakBefore w:val="0"/>
        <w:widowControl/>
        <w:kinsoku/>
        <w:wordWrap/>
        <w:overflowPunct/>
        <w:topLinePunct w:val="0"/>
        <w:autoSpaceDE/>
        <w:autoSpaceDN/>
        <w:bidi w:val="0"/>
        <w:adjustRightInd/>
        <w:snapToGrid w:val="0"/>
        <w:spacing w:line="540" w:lineRule="exact"/>
        <w:ind w:right="640"/>
        <w:jc w:val="left"/>
        <w:textAlignment w:val="auto"/>
        <w:rPr>
          <w:rFonts w:ascii="仿宋" w:hAnsi="仿宋" w:eastAsia="仿宋"/>
          <w:sz w:val="28"/>
          <w:szCs w:val="28"/>
        </w:rPr>
      </w:pPr>
      <w:r>
        <w:rPr>
          <w:rFonts w:hint="eastAsia" w:ascii="黑体" w:hAnsi="黑体" w:eastAsia="黑体" w:cs="黑体"/>
          <w:sz w:val="28"/>
          <w:szCs w:val="28"/>
        </w:rPr>
        <w:t>第一部分部门</w:t>
      </w:r>
      <w:r>
        <w:rPr>
          <w:rFonts w:hint="eastAsia" w:ascii="黑体" w:hAnsi="黑体" w:eastAsia="黑体" w:cs="黑体"/>
          <w:sz w:val="28"/>
          <w:szCs w:val="28"/>
          <w:lang w:eastAsia="zh-CN"/>
        </w:rPr>
        <w:t>情</w:t>
      </w:r>
      <w:r>
        <w:rPr>
          <w:rFonts w:hint="eastAsia" w:ascii="黑体" w:hAnsi="黑体" w:eastAsia="黑体" w:cs="黑体"/>
          <w:sz w:val="28"/>
          <w:szCs w:val="28"/>
        </w:rPr>
        <w:t>况</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40" w:lineRule="exact"/>
        <w:ind w:right="640" w:firstLine="560" w:firstLineChars="200"/>
        <w:jc w:val="left"/>
        <w:textAlignment w:val="auto"/>
        <w:rPr>
          <w:rFonts w:ascii="仿宋" w:hAnsi="仿宋" w:eastAsia="仿宋"/>
          <w:sz w:val="28"/>
          <w:szCs w:val="28"/>
        </w:rPr>
      </w:pPr>
      <w:r>
        <w:rPr>
          <w:rFonts w:hint="eastAsia" w:ascii="仿宋" w:hAnsi="仿宋" w:eastAsia="仿宋" w:cs="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sz w:val="28"/>
          <w:szCs w:val="28"/>
        </w:rPr>
      </w:pPr>
      <w:r>
        <w:rPr>
          <w:rFonts w:hint="eastAsia" w:ascii="黑体" w:hAnsi="黑体" w:eastAsia="黑体" w:cs="黑体"/>
          <w:sz w:val="28"/>
          <w:szCs w:val="28"/>
        </w:rPr>
        <w:t>第二部分</w:t>
      </w:r>
      <w:r>
        <w:rPr>
          <w:rFonts w:ascii="黑体" w:hAnsi="黑体" w:eastAsia="黑体" w:cs="黑体"/>
          <w:sz w:val="28"/>
          <w:szCs w:val="28"/>
        </w:rPr>
        <w:t xml:space="preserve"> 2019</w:t>
      </w:r>
      <w:r>
        <w:rPr>
          <w:rFonts w:hint="eastAsia" w:ascii="黑体" w:hAnsi="黑体" w:eastAsia="黑体" w:cs="黑体"/>
          <w:sz w:val="28"/>
          <w:szCs w:val="28"/>
        </w:rPr>
        <w:t>年度部门决算情况说明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sz w:val="28"/>
          <w:szCs w:val="28"/>
        </w:rPr>
      </w:pPr>
      <w:r>
        <w:rPr>
          <w:rFonts w:hint="eastAsia" w:ascii="黑体" w:hAnsi="黑体" w:eastAsia="黑体" w:cs="黑体"/>
          <w:sz w:val="28"/>
          <w:szCs w:val="28"/>
        </w:rPr>
        <w:t>第三部分名词解释</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sz w:val="28"/>
          <w:szCs w:val="28"/>
        </w:rPr>
      </w:pPr>
      <w:r>
        <w:rPr>
          <w:rFonts w:hint="eastAsia" w:ascii="黑体" w:hAnsi="黑体" w:eastAsia="黑体" w:cs="黑体"/>
          <w:sz w:val="28"/>
          <w:szCs w:val="28"/>
        </w:rPr>
        <w:t>第四部分附件</w:t>
      </w:r>
      <w:r>
        <w:rPr>
          <w:rFonts w:ascii="黑体" w:hAnsi="黑体" w:eastAsia="黑体"/>
          <w:sz w:val="28"/>
          <w:szCs w:val="28"/>
        </w:rPr>
        <w:tab/>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附件</w:t>
      </w:r>
      <w:r>
        <w:rPr>
          <w:rFonts w:ascii="仿宋" w:hAnsi="仿宋" w:eastAsia="仿宋" w:cs="仿宋"/>
          <w:sz w:val="28"/>
          <w:szCs w:val="28"/>
        </w:rPr>
        <w:t>1 2019</w:t>
      </w:r>
      <w:r>
        <w:rPr>
          <w:rFonts w:hint="eastAsia" w:ascii="仿宋" w:hAnsi="仿宋" w:eastAsia="仿宋" w:cs="仿宋"/>
          <w:sz w:val="28"/>
          <w:szCs w:val="28"/>
        </w:rPr>
        <w:t>年部门整体支出绩效评价报告</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sz w:val="28"/>
          <w:szCs w:val="28"/>
        </w:rPr>
      </w:pPr>
      <w:r>
        <w:rPr>
          <w:rFonts w:hint="eastAsia" w:ascii="黑体" w:hAnsi="黑体" w:eastAsia="黑体" w:cs="黑体"/>
          <w:sz w:val="28"/>
          <w:szCs w:val="28"/>
        </w:rPr>
        <w:t>第五部分附表</w:t>
      </w:r>
      <w:r>
        <w:rPr>
          <w:rFonts w:ascii="仿宋" w:hAnsi="仿宋" w:eastAsia="仿宋"/>
          <w:sz w:val="28"/>
          <w:szCs w:val="28"/>
        </w:rPr>
        <w:tab/>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cs="黑体"/>
          <w:sz w:val="48"/>
          <w:szCs w:val="48"/>
        </w:rPr>
        <w:t> </w:t>
      </w:r>
    </w:p>
    <w:p>
      <w:pPr>
        <w:pStyle w:val="2"/>
        <w:jc w:val="center"/>
        <w:rPr>
          <w:rFonts w:hint="eastAsia" w:ascii="黑体" w:hAnsi="黑体" w:eastAsia="黑体" w:cs="黑体"/>
          <w:b w:val="0"/>
          <w:bCs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7" w:name="_Toc19089861"/>
      <w:bookmarkStart w:id="18" w:name="_Toc15377196"/>
    </w:p>
    <w:p>
      <w:pPr>
        <w:pStyle w:val="2"/>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bCs w:val="0"/>
        </w:rPr>
        <w:t>第一部分</w:t>
      </w:r>
      <w:r>
        <w:rPr>
          <w:rFonts w:hint="eastAsia" w:ascii="方正小标宋简体" w:hAnsi="方正小标宋简体" w:eastAsia="方正小标宋简体" w:cs="方正小标宋简体"/>
          <w:b w:val="0"/>
          <w:bCs w:val="0"/>
          <w:lang w:val="en-US" w:eastAsia="zh-CN"/>
        </w:rPr>
        <w:t xml:space="preserve">  </w:t>
      </w:r>
      <w:r>
        <w:rPr>
          <w:rStyle w:val="16"/>
          <w:rFonts w:hint="eastAsia" w:ascii="方正小标宋简体" w:hAnsi="方正小标宋简体" w:eastAsia="方正小标宋简体" w:cs="方正小标宋简体"/>
          <w:b w:val="0"/>
          <w:bCs w:val="0"/>
        </w:rPr>
        <w:t>部门概况</w:t>
      </w:r>
      <w:bookmarkEnd w:id="17"/>
      <w:bookmarkEnd w:id="18"/>
    </w:p>
    <w:p>
      <w:pPr>
        <w:pStyle w:val="3"/>
        <w:pageBreakBefore w:val="0"/>
        <w:widowControl w:val="0"/>
        <w:kinsoku/>
        <w:wordWrap/>
        <w:overflowPunct/>
        <w:topLinePunct w:val="0"/>
        <w:autoSpaceDE/>
        <w:autoSpaceDN/>
        <w:bidi w:val="0"/>
        <w:snapToGrid w:val="0"/>
        <w:spacing w:before="0" w:after="0" w:line="540" w:lineRule="exact"/>
        <w:ind w:left="0" w:firstLine="560" w:firstLineChars="200"/>
        <w:jc w:val="both"/>
        <w:textAlignment w:val="auto"/>
        <w:rPr>
          <w:rFonts w:hint="eastAsia" w:ascii="黑体" w:hAnsi="黑体" w:eastAsia="黑体" w:cs="黑体"/>
          <w:b w:val="0"/>
          <w:bCs w:val="0"/>
          <w:sz w:val="28"/>
          <w:szCs w:val="28"/>
        </w:rPr>
      </w:pPr>
      <w:bookmarkStart w:id="19" w:name="_Toc19089862"/>
      <w:bookmarkStart w:id="20" w:name="_Toc15377197"/>
    </w:p>
    <w:p>
      <w:pPr>
        <w:pStyle w:val="3"/>
        <w:pageBreakBefore w:val="0"/>
        <w:widowControl w:val="0"/>
        <w:kinsoku/>
        <w:wordWrap/>
        <w:overflowPunct/>
        <w:topLinePunct w:val="0"/>
        <w:autoSpaceDE/>
        <w:autoSpaceDN/>
        <w:bidi w:val="0"/>
        <w:snapToGrid w:val="0"/>
        <w:spacing w:before="0" w:after="0" w:line="540" w:lineRule="exact"/>
        <w:ind w:left="0" w:firstLine="560" w:firstLineChars="200"/>
        <w:jc w:val="both"/>
        <w:textAlignment w:val="auto"/>
        <w:rPr>
          <w:rStyle w:val="17"/>
          <w:rFonts w:ascii="仿宋" w:hAnsi="仿宋" w:eastAsia="仿宋" w:cs="Times New Roman"/>
          <w:b w:val="0"/>
          <w:bCs w:val="0"/>
          <w:sz w:val="28"/>
          <w:szCs w:val="28"/>
        </w:rPr>
      </w:pPr>
      <w:r>
        <w:rPr>
          <w:rFonts w:hint="eastAsia" w:ascii="黑体" w:hAnsi="黑体" w:eastAsia="黑体" w:cs="黑体"/>
          <w:b w:val="0"/>
          <w:bCs w:val="0"/>
          <w:sz w:val="28"/>
          <w:szCs w:val="28"/>
        </w:rPr>
        <w:t>一、基</w:t>
      </w:r>
      <w:r>
        <w:rPr>
          <w:rStyle w:val="17"/>
          <w:rFonts w:hint="eastAsia" w:ascii="黑体" w:hAnsi="黑体" w:eastAsia="黑体" w:cs="黑体"/>
          <w:b w:val="0"/>
          <w:bCs w:val="0"/>
          <w:sz w:val="28"/>
          <w:szCs w:val="28"/>
        </w:rPr>
        <w:t>本职能及主要工作</w:t>
      </w:r>
      <w:bookmarkEnd w:id="19"/>
      <w:bookmarkEnd w:id="20"/>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sz w:val="28"/>
          <w:szCs w:val="28"/>
        </w:rPr>
      </w:pPr>
      <w:bookmarkStart w:id="21" w:name="_Toc15377198"/>
      <w:bookmarkStart w:id="22" w:name="_Toc15378445"/>
      <w:bookmarkStart w:id="23" w:name="_Toc15377204"/>
      <w:r>
        <w:rPr>
          <w:rFonts w:hint="eastAsia" w:ascii="楷体" w:hAnsi="楷体" w:eastAsia="楷体" w:cs="楷体"/>
          <w:sz w:val="28"/>
          <w:szCs w:val="28"/>
        </w:rPr>
        <w:t>（一）主要职能</w:t>
      </w:r>
      <w:bookmarkEnd w:id="21"/>
      <w:bookmarkEnd w:id="22"/>
      <w:bookmarkStart w:id="24" w:name="_Toc15377199"/>
      <w:bookmarkStart w:id="25" w:name="_Toc15378446"/>
    </w:p>
    <w:p>
      <w:pPr>
        <w:pStyle w:val="5"/>
        <w:pageBreakBefore w:val="0"/>
        <w:widowControl w:val="0"/>
        <w:kinsoku/>
        <w:wordWrap/>
        <w:overflowPunct/>
        <w:topLinePunct w:val="0"/>
        <w:autoSpaceDE/>
        <w:autoSpaceDN/>
        <w:bidi w:val="0"/>
        <w:adjustRightInd w:val="0"/>
        <w:snapToGrid w:val="0"/>
        <w:spacing w:beforeLines="0" w:line="540" w:lineRule="exact"/>
        <w:ind w:left="0" w:firstLine="560" w:firstLineChars="200"/>
        <w:jc w:val="both"/>
        <w:textAlignment w:val="auto"/>
        <w:rPr>
          <w:rFonts w:cs="Times New Roman"/>
          <w:sz w:val="28"/>
          <w:szCs w:val="28"/>
        </w:rPr>
      </w:pPr>
      <w:r>
        <w:rPr>
          <w:rFonts w:hint="eastAsia"/>
          <w:sz w:val="28"/>
          <w:szCs w:val="28"/>
        </w:rPr>
        <w:t>实施义务教育小学阶段教育，促进学生素质教育全面实施。</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（二）2019年重点工作完成情况</w:t>
      </w:r>
      <w:bookmarkEnd w:id="24"/>
      <w:bookmarkEnd w:id="25"/>
    </w:p>
    <w:p>
      <w:pPr>
        <w:pStyle w:val="27"/>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cs="仿宋_GB2312"/>
          <w:kern w:val="0"/>
          <w:sz w:val="28"/>
          <w:szCs w:val="28"/>
        </w:rPr>
      </w:pPr>
      <w:bookmarkStart w:id="26" w:name="_Toc19089863"/>
      <w:bookmarkStart w:id="27" w:name="_Toc15377200"/>
      <w:r>
        <w:rPr>
          <w:rFonts w:ascii="仿宋_GB2312" w:eastAsia="仿宋_GB2312" w:cs="仿宋_GB2312"/>
          <w:kern w:val="0"/>
          <w:sz w:val="28"/>
          <w:szCs w:val="28"/>
        </w:rPr>
        <w:t>1</w:t>
      </w:r>
      <w:r>
        <w:rPr>
          <w:rFonts w:hint="eastAsia" w:ascii="仿宋_GB2312" w:eastAsia="仿宋_GB2312" w:cs="仿宋_GB2312"/>
          <w:kern w:val="0"/>
          <w:sz w:val="28"/>
          <w:szCs w:val="28"/>
          <w:lang w:eastAsia="zh-CN"/>
        </w:rPr>
        <w:t>.</w:t>
      </w:r>
      <w:r>
        <w:rPr>
          <w:rFonts w:hint="eastAsia" w:ascii="仿宋_GB2312" w:eastAsia="仿宋_GB2312" w:cs="仿宋_GB2312"/>
          <w:kern w:val="0"/>
          <w:sz w:val="28"/>
          <w:szCs w:val="28"/>
        </w:rPr>
        <w:t>确立正确的办学理念和工作思路</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cs="仿宋_GB2312"/>
          <w:kern w:val="0"/>
          <w:sz w:val="28"/>
          <w:szCs w:val="28"/>
        </w:rPr>
      </w:pPr>
      <w:r>
        <w:rPr>
          <w:rFonts w:hint="eastAsia" w:ascii="仿宋_GB2312" w:eastAsia="仿宋_GB2312" w:cs="仿宋_GB2312"/>
          <w:kern w:val="0"/>
          <w:sz w:val="28"/>
          <w:szCs w:val="28"/>
        </w:rPr>
        <w:t>一年来，我校立足实际，着眼未来，确立了以“让教师成就事业，让孩子获得成功，让学校彰显特色”办学理念。以“以人为本，以德立校，让每个学生健康和谐发展”为办学目标，进一步规范常规理，强化养成教育，大力推进小小班课堂教学模式，学校整体工作得到了稳步发展。</w:t>
      </w:r>
    </w:p>
    <w:p>
      <w:pPr>
        <w:pStyle w:val="27"/>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lang w:eastAsia="zh-CN"/>
        </w:rPr>
        <w:t>.</w:t>
      </w:r>
      <w:r>
        <w:rPr>
          <w:rFonts w:hint="eastAsia" w:ascii="仿宋_GB2312" w:eastAsia="仿宋_GB2312" w:cs="仿宋_GB2312"/>
          <w:kern w:val="0"/>
          <w:sz w:val="28"/>
          <w:szCs w:val="28"/>
        </w:rPr>
        <w:t>建好建强一个班子队伍</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带出一支爱岗敬业，无私奉献的教师队伍是学校持续发展的根本保证，大家常说一个好校长就是一所好学校，我自认为我个人的能力和水平还很低，离一名合格的校长还有很大的差距，但是作为一名校长首先要在班子和教职工中带好头、发挥好表率作用，要求教师做到的首先自己要做到。为此，我不断加强学习，更新观念，努力提高自身素质。坚持从群中来到群众中去的原则，充分发扬班子队伍的主人翁精神，认真倾听各方面的声音</w:t>
      </w:r>
      <w:r>
        <w:rPr>
          <w:rFonts w:ascii="仿宋_GB2312" w:eastAsia="仿宋_GB2312" w:cs="仿宋_GB2312"/>
          <w:kern w:val="0"/>
          <w:sz w:val="28"/>
          <w:szCs w:val="28"/>
        </w:rPr>
        <w:t>,</w:t>
      </w:r>
      <w:r>
        <w:rPr>
          <w:rFonts w:ascii="仿宋_GB2312" w:eastAsia="仿宋_GB2312"/>
          <w:kern w:val="0"/>
          <w:sz w:val="28"/>
          <w:szCs w:val="28"/>
        </w:rPr>
        <w:t> </w:t>
      </w:r>
      <w:r>
        <w:rPr>
          <w:rFonts w:hint="eastAsia" w:ascii="仿宋_GB2312" w:eastAsia="仿宋_GB2312" w:cs="仿宋_GB2312"/>
          <w:kern w:val="0"/>
          <w:sz w:val="28"/>
          <w:szCs w:val="28"/>
        </w:rPr>
        <w:t>集思广益，以实现教育的健康有序发展。把关心老师工作生活、尽最大能力为老师创造宽松和谐的工作环境，积极营造教师与领导、教师与教师、教师与学生相互信任、相互尊重、相互理解，相互关心的和谐氛围。</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lang w:eastAsia="zh-CN"/>
        </w:rPr>
        <w:t>.</w:t>
      </w:r>
      <w:r>
        <w:rPr>
          <w:rFonts w:hint="eastAsia" w:ascii="仿宋_GB2312" w:eastAsia="仿宋_GB2312" w:cs="仿宋_GB2312"/>
          <w:kern w:val="0"/>
          <w:sz w:val="28"/>
          <w:szCs w:val="28"/>
        </w:rPr>
        <w:t>勤政务实，真抓实干，全力搞好学校工作。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始终把师生安全管理工作放在第一位，做到常抓不懈</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一是严格履行《学校安全工作目标责任书》职责，落实安全工作规范性文件要求，确保无安全事故和责任事故发生。二是暑假教职工义务巡河工作实现责任区域无事故，得到地方党政、区教育局和社会的褒奖。学校、家庭、社会、政府四位一体进行学生防溺水工作初步形成经验。三是建立每周不少于三次的班级安全教育制度，适时开展安全应急演练，做到集合集会必讲安全，结合时令和不同阶段不断创新安全措施，提高师生的安全意识和防范技能。利用广播、专栏、黑板报、横幅、电子显示屏、标语等宣传工具及举行主题班会、讲座等形式开展丰富多彩的安全教育。四是认真排查和化解涉及学校的不稳定因素，高度重视各种形式的来访、咨询、回复，及时反馈社情民意。五是安全工作人防、技防、物防有效整合、协同推进，实现安全工作闭环运行。六是加强安全教育，防患于未然</w:t>
      </w:r>
      <w:r>
        <w:rPr>
          <w:rFonts w:ascii="仿宋_GB2312" w:eastAsia="仿宋_GB2312" w:cs="仿宋_GB2312"/>
          <w:kern w:val="0"/>
          <w:sz w:val="28"/>
          <w:szCs w:val="28"/>
        </w:rPr>
        <w:t>;</w:t>
      </w:r>
      <w:r>
        <w:rPr>
          <w:rFonts w:hint="eastAsia" w:ascii="仿宋_GB2312" w:eastAsia="仿宋_GB2312" w:cs="仿宋_GB2312"/>
          <w:kern w:val="0"/>
          <w:sz w:val="28"/>
          <w:szCs w:val="28"/>
        </w:rPr>
        <w:t>一年来我们除内部每月开展一次大型学生安全教育活动外，还分别请了派出所法制副校长为师生开展了安全知识、</w:t>
      </w:r>
      <w:r>
        <w:rPr>
          <w:rFonts w:hint="eastAsia" w:ascii="仿宋_GB2312" w:eastAsia="仿宋_GB2312" w:cs="仿宋_GB2312"/>
          <w:kern w:val="0"/>
          <w:sz w:val="28"/>
          <w:szCs w:val="28"/>
          <w:lang w:eastAsia="zh-CN"/>
        </w:rPr>
        <w:t>艾滋病</w:t>
      </w:r>
      <w:r>
        <w:rPr>
          <w:rFonts w:hint="eastAsia" w:ascii="仿宋_GB2312" w:eastAsia="仿宋_GB2312" w:cs="仿宋_GB2312"/>
          <w:kern w:val="0"/>
          <w:sz w:val="28"/>
          <w:szCs w:val="28"/>
        </w:rPr>
        <w:t>防治、传染病预防等知识讲座，为师生平安提供了有力的保障。通过我们的努力，一年来年我没有出现一起安全责任事故，受到上级领导的表彰和肯定。</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切实抓好教育教学常规管理，办人民满意学校</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我们深知，质量是学校的生命线，为了提高我校教育教学质量，我们做了一下几个方面的工作：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落实教学常规管理。在常规管理的过程中不断制定和完善各种管理制度。认真学习落实广元市教育局出台的《广元市教学常规管理规定</w:t>
      </w:r>
      <w:r>
        <w:rPr>
          <w:rFonts w:ascii="仿宋_GB2312" w:eastAsia="仿宋_GB2312" w:cs="仿宋_GB2312"/>
          <w:kern w:val="0"/>
          <w:sz w:val="28"/>
          <w:szCs w:val="28"/>
        </w:rPr>
        <w:t>50</w:t>
      </w:r>
      <w:r>
        <w:rPr>
          <w:rFonts w:hint="eastAsia" w:ascii="仿宋_GB2312" w:eastAsia="仿宋_GB2312" w:cs="仿宋_GB2312"/>
          <w:kern w:val="0"/>
          <w:sz w:val="28"/>
          <w:szCs w:val="28"/>
        </w:rPr>
        <w:t>条》，结合学校实际制定了一系列教育教学制度，如：《雪峰小学教学常规量化考核制度（试行）》《广元市利州区雪峰小学教师绩效工资考核方案（修订）》等，推进常规工作再上新台阶。对教师的课堂教学行为和作业布置与批改进行严格的检查和控制，加强了教学过程管理的力度。教学检查坚持抽查与普查相结合，实行“每月学情、教情通报”制度，各种检查结果实行内部公示。再次，加强各年级各学科的阶段性测试管理，严格把关。另一方面，不断提高制度的执行力。</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加强教师队伍建设，采取有力举措尽快破解师资短缺问题。努力提高现有师资水平。开展以新课程、新知识、新技术、新方法为重点的新一轮教师全员培训和继续教育。在当前教育经费紧张的严峻形势下，重视校本培训，采取“以小带老（教师），以低带高（年级）”的反常规校本培训模式，以年轻骨干教师为先锋，通过师徒结对的形式，形成互帮互学、共同提高的良好氛围。但要杜绝那些以创收为目的的多口重复培训。</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改革现有用人制度。力争形成“人员能进能出、待遇能高能低、职务能上能下”的激励机制。争取区教育局能给予优惠政策，在职称评定、工资待遇、提拔任用等方面给予特殊照顾等措施，恳请城市优秀教师、学科带头人等到我校支教。与回龙小学达成定期交流协议。</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夯实教学过程。我校不断加大教学管理力度，狠抓小小班教学工作的过程管理，向管理要质量。在教学管理方面，我们主要做了以下几个方面的工作：一是进一步加强教研组建设，健全备课制度。二是加大教学常规检查力度，有效地促进教师及时改进教学方法和转变工作态度。三是积极开展多种形式的教研活动，努力提高教师的业务能力。仅</w:t>
      </w:r>
      <w:r>
        <w:rPr>
          <w:rFonts w:ascii="仿宋_GB2312" w:eastAsia="仿宋_GB2312" w:cs="仿宋_GB2312"/>
          <w:kern w:val="0"/>
          <w:sz w:val="28"/>
          <w:szCs w:val="28"/>
        </w:rPr>
        <w:t>2019</w:t>
      </w:r>
      <w:r>
        <w:rPr>
          <w:rFonts w:hint="eastAsia" w:ascii="仿宋_GB2312" w:eastAsia="仿宋_GB2312" w:cs="仿宋_GB2312"/>
          <w:kern w:val="0"/>
          <w:sz w:val="28"/>
          <w:szCs w:val="28"/>
        </w:rPr>
        <w:t>年我校教师参加各级竞教活动，共有</w:t>
      </w:r>
      <w:r>
        <w:rPr>
          <w:rFonts w:ascii="仿宋_GB2312" w:eastAsia="仿宋_GB2312" w:cs="仿宋_GB2312"/>
          <w:kern w:val="0"/>
          <w:sz w:val="28"/>
          <w:szCs w:val="28"/>
        </w:rPr>
        <w:t>6</w:t>
      </w:r>
      <w:r>
        <w:rPr>
          <w:rFonts w:hint="eastAsia" w:ascii="仿宋_GB2312" w:eastAsia="仿宋_GB2312" w:cs="仿宋_GB2312"/>
          <w:kern w:val="0"/>
          <w:sz w:val="28"/>
          <w:szCs w:val="28"/>
        </w:rPr>
        <w:t>2人次在活动中获奖。其中国家级奖8人次；省级奖5人次；市级奖1</w:t>
      </w:r>
      <w:r>
        <w:rPr>
          <w:rFonts w:ascii="仿宋_GB2312" w:eastAsia="仿宋_GB2312" w:cs="仿宋_GB2312"/>
          <w:kern w:val="0"/>
          <w:sz w:val="28"/>
          <w:szCs w:val="28"/>
        </w:rPr>
        <w:t>1</w:t>
      </w:r>
      <w:r>
        <w:rPr>
          <w:rFonts w:hint="eastAsia" w:ascii="仿宋_GB2312" w:eastAsia="仿宋_GB2312" w:cs="仿宋_GB2312"/>
          <w:kern w:val="0"/>
          <w:sz w:val="28"/>
          <w:szCs w:val="28"/>
        </w:rPr>
        <w:t>人次；区级奖26人次；校级12人次。</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4</w:t>
      </w:r>
      <w:r>
        <w:rPr>
          <w:rFonts w:hint="eastAsia" w:ascii="仿宋_GB2312" w:eastAsia="仿宋_GB2312" w:cs="仿宋_GB2312"/>
          <w:kern w:val="0"/>
          <w:sz w:val="28"/>
          <w:szCs w:val="28"/>
        </w:rPr>
        <w:t>）创新德育工作，落实“立德树人”根本任务。认真开展未成年人思想道德建设活动。结合“社会主义核心价值观”“品格教育”“五好教育”“生本德育”等主题，开展了春秋季社会实践活动。以国旗下讲话、红领巾广播站、专题讲座，黑板报、手抄报、</w:t>
      </w:r>
      <w:r>
        <w:rPr>
          <w:rFonts w:ascii="仿宋_GB2312" w:eastAsia="仿宋_GB2312" w:cs="仿宋_GB2312"/>
          <w:kern w:val="0"/>
          <w:sz w:val="28"/>
          <w:szCs w:val="28"/>
        </w:rPr>
        <w:t>LED</w:t>
      </w:r>
      <w:r>
        <w:rPr>
          <w:rFonts w:hint="eastAsia" w:ascii="仿宋_GB2312" w:eastAsia="仿宋_GB2312" w:cs="仿宋_GB2312"/>
          <w:kern w:val="0"/>
          <w:sz w:val="28"/>
          <w:szCs w:val="28"/>
        </w:rPr>
        <w:t>显示屏、橱窗宣传、演讲、班队会、家长会、告家长书、征文、知识测试竞赛，观看电影、网上签名等形式，开展了一系列德育主题活动。</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努力构建学校、家庭、社会相结合的德育网络。以“创建美丽城市学校、文明校园”活动为助推器，坚持家长会、家访、部门社区联动等多渠道多形式与家长沟通联系，教育和引导家长重视对子女的道德品质的培养，指导家长掌握科学的教育方法，主动参与学校的教育管理。灵活多样的家访、附属幼儿园家长会、家长开放日特色彰显，效果突出。</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坚持以“正品成格，立德树人”为宗旨的品格教育。从</w:t>
      </w:r>
      <w:r>
        <w:rPr>
          <w:rFonts w:ascii="仿宋_GB2312" w:eastAsia="仿宋_GB2312" w:cs="仿宋_GB2312"/>
          <w:kern w:val="0"/>
          <w:sz w:val="28"/>
          <w:szCs w:val="28"/>
        </w:rPr>
        <w:t>2019</w:t>
      </w:r>
      <w:r>
        <w:rPr>
          <w:rFonts w:hint="eastAsia" w:ascii="仿宋_GB2312" w:eastAsia="仿宋_GB2312" w:cs="仿宋_GB2312"/>
          <w:kern w:val="0"/>
          <w:sz w:val="28"/>
          <w:szCs w:val="28"/>
        </w:rPr>
        <w:t>年</w:t>
      </w:r>
      <w:r>
        <w:rPr>
          <w:rFonts w:ascii="仿宋_GB2312" w:eastAsia="仿宋_GB2312" w:cs="仿宋_GB2312"/>
          <w:kern w:val="0"/>
          <w:sz w:val="28"/>
          <w:szCs w:val="28"/>
        </w:rPr>
        <w:t>2</w:t>
      </w:r>
      <w:r>
        <w:rPr>
          <w:rFonts w:hint="eastAsia" w:ascii="仿宋_GB2312" w:eastAsia="仿宋_GB2312" w:cs="仿宋_GB2312"/>
          <w:kern w:val="0"/>
          <w:sz w:val="28"/>
          <w:szCs w:val="28"/>
        </w:rPr>
        <w:t>月开展品格教育以来，我校以“有序、专注和感恩”为主题，学校校容校貌发生了明显的变化，文明学生越来越多，得到了社会和家长的认可。品格教育以来，教师受益匪浅，品格教育入脑入心，我校教师积极撰写品格论文，论文多次得到区级主管部门的表彰。尤其值得称道的是我校彭露老师上的“有序”主题微课，荣获四川省一等奖，榜样就在身边，我们更应“不忘初心，砥砺前行”</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创建 “美丽学校”。我校积极改善了育人环境，校园各类文化活动丰富多彩、形式多样，师生广泛参与，踏实推进美丽的创建。</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结合师德师风建设年的有力契机，我校切实加强师德师风建设工作。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留守儿童、残疾儿童、建档立卡贫困户学生关爱工作。坚持开展留守儿童、残疾儿童、建档立卡贫困户学生“一对一”结对帮扶。通过购买学习生活用品、面对面交谈、家长交流等方式，在生活、学习、心理上给予足够的帮助。使他们“心有人爱、身有人护、学有人教、难有人帮”。</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关心下一代工作。我校以充分发挥“五老”人员的作用，扎实推进关爱、教育、帮扶工作为重点抓“六好”关工委的巩固提高工作。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宣传工作。超额完成宣传工作任务，传递教育正能量。</w:t>
      </w:r>
      <w:r>
        <w:rPr>
          <w:rFonts w:ascii="仿宋_GB2312" w:eastAsia="仿宋_GB2312" w:cs="仿宋_GB2312"/>
          <w:kern w:val="0"/>
          <w:sz w:val="28"/>
          <w:szCs w:val="28"/>
        </w:rPr>
        <w:t>2019</w:t>
      </w:r>
      <w:r>
        <w:rPr>
          <w:rFonts w:hint="eastAsia" w:ascii="仿宋_GB2312" w:eastAsia="仿宋_GB2312" w:cs="仿宋_GB2312"/>
          <w:kern w:val="0"/>
          <w:sz w:val="28"/>
          <w:szCs w:val="28"/>
        </w:rPr>
        <w:t>年下达宣传任务为：关注广元教育在线公众号</w:t>
      </w:r>
      <w:r>
        <w:rPr>
          <w:rFonts w:ascii="仿宋_GB2312" w:eastAsia="仿宋_GB2312" w:cs="仿宋_GB2312"/>
          <w:kern w:val="0"/>
          <w:sz w:val="28"/>
          <w:szCs w:val="28"/>
        </w:rPr>
        <w:t>60%</w:t>
      </w:r>
      <w:r>
        <w:rPr>
          <w:rFonts w:hint="eastAsia" w:ascii="仿宋_GB2312" w:eastAsia="仿宋_GB2312" w:cs="仿宋_GB2312"/>
          <w:kern w:val="0"/>
          <w:sz w:val="28"/>
          <w:szCs w:val="28"/>
        </w:rPr>
        <w:t>，党报党刊或教育报刊市级发稿</w:t>
      </w:r>
      <w:r>
        <w:rPr>
          <w:rFonts w:ascii="仿宋_GB2312" w:eastAsia="仿宋_GB2312" w:cs="仿宋_GB2312"/>
          <w:kern w:val="0"/>
          <w:sz w:val="28"/>
          <w:szCs w:val="28"/>
        </w:rPr>
        <w:t>2</w:t>
      </w:r>
      <w:r>
        <w:rPr>
          <w:rFonts w:hint="eastAsia" w:ascii="仿宋_GB2312" w:eastAsia="仿宋_GB2312" w:cs="仿宋_GB2312"/>
          <w:kern w:val="0"/>
          <w:sz w:val="28"/>
          <w:szCs w:val="28"/>
        </w:rPr>
        <w:t>条。实际完成：关注广元教育在线公众号</w:t>
      </w:r>
      <w:r>
        <w:rPr>
          <w:rFonts w:ascii="仿宋_GB2312" w:eastAsia="仿宋_GB2312" w:cs="仿宋_GB2312"/>
          <w:kern w:val="0"/>
          <w:sz w:val="28"/>
          <w:szCs w:val="28"/>
        </w:rPr>
        <w:t>86%</w:t>
      </w:r>
      <w:r>
        <w:rPr>
          <w:rFonts w:hint="eastAsia" w:ascii="仿宋_GB2312" w:eastAsia="仿宋_GB2312" w:cs="仿宋_GB2312"/>
          <w:kern w:val="0"/>
          <w:sz w:val="28"/>
          <w:szCs w:val="28"/>
        </w:rPr>
        <w:t>，四川教育网发稿</w:t>
      </w:r>
      <w:r>
        <w:rPr>
          <w:rFonts w:ascii="仿宋_GB2312" w:eastAsia="仿宋_GB2312" w:cs="仿宋_GB2312"/>
          <w:kern w:val="0"/>
          <w:sz w:val="28"/>
          <w:szCs w:val="28"/>
        </w:rPr>
        <w:t>8</w:t>
      </w:r>
      <w:r>
        <w:rPr>
          <w:rFonts w:hint="eastAsia" w:ascii="仿宋_GB2312" w:eastAsia="仿宋_GB2312" w:cs="仿宋_GB2312"/>
          <w:kern w:val="0"/>
          <w:sz w:val="28"/>
          <w:szCs w:val="28"/>
        </w:rPr>
        <w:t>条，广元日报发稿</w:t>
      </w:r>
      <w:r>
        <w:rPr>
          <w:rFonts w:ascii="仿宋_GB2312" w:eastAsia="仿宋_GB2312" w:cs="仿宋_GB2312"/>
          <w:kern w:val="0"/>
          <w:sz w:val="28"/>
          <w:szCs w:val="28"/>
        </w:rPr>
        <w:t>2</w:t>
      </w:r>
      <w:r>
        <w:rPr>
          <w:rFonts w:hint="eastAsia" w:ascii="仿宋_GB2312" w:eastAsia="仿宋_GB2312" w:cs="仿宋_GB2312"/>
          <w:kern w:val="0"/>
          <w:sz w:val="28"/>
          <w:szCs w:val="28"/>
        </w:rPr>
        <w:t>条，我校撰写美篇</w:t>
      </w:r>
      <w:r>
        <w:rPr>
          <w:rFonts w:ascii="仿宋_GB2312" w:eastAsia="仿宋_GB2312" w:cs="仿宋_GB2312"/>
          <w:kern w:val="0"/>
          <w:sz w:val="28"/>
          <w:szCs w:val="28"/>
        </w:rPr>
        <w:t>20</w:t>
      </w:r>
      <w:r>
        <w:rPr>
          <w:rFonts w:hint="eastAsia" w:ascii="仿宋_GB2312" w:eastAsia="仿宋_GB2312" w:cs="仿宋_GB2312"/>
          <w:kern w:val="0"/>
          <w:sz w:val="28"/>
          <w:szCs w:val="28"/>
        </w:rPr>
        <w:t>多条。全年无网络和报刊负面炒作事件。</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教育扶贫工作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雪峰小学负责雪峰街道办事处辖区内建档立卡贫困户教育扶贫工作，高标准通过验收。一是立足实际，理清思路。针对教育发展方面存在的问题和差距，认真研究，突出重点，因地制宜制定教育扶贫工作计划。二是深入村组农户，实地摸排，全面了解我镇教育发展基本情况，为切实开展教育扶贫工作提供了科学依据，使教育扶贫工作真正做到有得放矢。三是精准识别适龄儿童、特殊儿童、残疾儿童、留守儿童、建档立卡贫困户子女等信息、分类精确建立各种台账，及时准确上报各项数据表册。四是全面落实教育资助救助政策。五是以七长负责保学、教师上门劝学、爱心捐资助学、丰富活动乐学为措施做精控辍保学工作。</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切实加强党风廉政建设</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cs="仿宋_GB2312"/>
          <w:kern w:val="0"/>
          <w:sz w:val="28"/>
          <w:szCs w:val="28"/>
        </w:rPr>
      </w:pPr>
      <w:r>
        <w:rPr>
          <w:rFonts w:hint="eastAsia" w:ascii="仿宋_GB2312" w:eastAsia="仿宋_GB2312" w:cs="仿宋_GB2312"/>
          <w:kern w:val="0"/>
          <w:sz w:val="28"/>
          <w:szCs w:val="28"/>
        </w:rPr>
        <w:t>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方面力求节约，坚决维护财务管理制度。</w:t>
      </w:r>
      <w:r>
        <w:rPr>
          <w:rFonts w:ascii="仿宋_GB2312" w:eastAsia="仿宋_GB2312"/>
          <w:kern w:val="0"/>
          <w:sz w:val="28"/>
          <w:szCs w:val="28"/>
        </w:rPr>
        <w:t> </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民主管理，按章办事。严格执行民主集中制，较大的基建项目经班子集体研究，重大事务由班子讨论决定，并予以公示，自觉接受群众监督。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推进行风建设，内强素质外树形象。</w:t>
      </w:r>
      <w:r>
        <w:rPr>
          <w:rFonts w:ascii="仿宋_GB2312" w:eastAsia="仿宋_GB2312"/>
          <w:kern w:val="0"/>
          <w:sz w:val="28"/>
          <w:szCs w:val="28"/>
        </w:rPr>
        <w:t> </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廉洁奉公，依法治校。在利益面前，从不伸手，在名誉面前，主动让出。本着对党负责、对教育事业和对学校负责的态度，依法办学，坚决按照各级主管部门的要求办事，维护学校安全稳定大局。</w:t>
      </w:r>
      <w:r>
        <w:rPr>
          <w:rFonts w:ascii="仿宋_GB2312" w:eastAsia="仿宋_GB2312"/>
          <w:kern w:val="0"/>
          <w:sz w:val="28"/>
          <w:szCs w:val="28"/>
        </w:rPr>
        <w:t> </w:t>
      </w:r>
    </w:p>
    <w:p>
      <w:pPr>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ascii="仿宋_GB2312" w:eastAsia="仿宋_GB2312"/>
          <w:kern w:val="0"/>
          <w:sz w:val="28"/>
          <w:szCs w:val="28"/>
        </w:rPr>
      </w:pPr>
      <w:r>
        <w:rPr>
          <w:rFonts w:hint="eastAsia" w:ascii="仿宋_GB2312" w:eastAsia="仿宋_GB2312" w:cs="仿宋_GB2312"/>
          <w:kern w:val="0"/>
          <w:sz w:val="28"/>
          <w:szCs w:val="28"/>
        </w:rPr>
        <w:t>加强廉洁自律意识。在工作中，我通过学习政治理论知识和党的方针政策，提高“防腐”意识，通过学习，坚定了信念，增强了责任感和使命感，使自己在工作中能较好地遵法、守法、用法，做到依法行政，依法治校。同时也使自己理解政策，把握政策的水平明显提高。</w:t>
      </w:r>
    </w:p>
    <w:p>
      <w:pPr>
        <w:pStyle w:val="3"/>
        <w:pageBreakBefore w:val="0"/>
        <w:widowControl w:val="0"/>
        <w:kinsoku/>
        <w:wordWrap/>
        <w:overflowPunct/>
        <w:topLinePunct w:val="0"/>
        <w:autoSpaceDE/>
        <w:autoSpaceDN/>
        <w:bidi w:val="0"/>
        <w:snapToGrid w:val="0"/>
        <w:spacing w:before="0" w:after="0" w:line="540" w:lineRule="exact"/>
        <w:ind w:left="0" w:firstLine="560" w:firstLineChars="200"/>
        <w:jc w:val="both"/>
        <w:textAlignment w:val="auto"/>
        <w:rPr>
          <w:rStyle w:val="17"/>
          <w:rFonts w:cs="Times New Roman"/>
          <w:b w:val="0"/>
          <w:bCs w:val="0"/>
          <w:sz w:val="28"/>
          <w:szCs w:val="28"/>
        </w:rPr>
      </w:pPr>
      <w:r>
        <w:rPr>
          <w:rFonts w:hint="eastAsia" w:ascii="黑体" w:eastAsia="黑体" w:cs="黑体"/>
          <w:b w:val="0"/>
          <w:bCs w:val="0"/>
          <w:sz w:val="28"/>
          <w:szCs w:val="28"/>
        </w:rPr>
        <w:t>二、</w:t>
      </w:r>
      <w:r>
        <w:rPr>
          <w:rFonts w:hint="eastAsia" w:ascii="黑体" w:hAnsi="黑体" w:eastAsia="黑体" w:cs="黑体"/>
          <w:b w:val="0"/>
          <w:bCs w:val="0"/>
          <w:sz w:val="28"/>
          <w:szCs w:val="28"/>
        </w:rPr>
        <w:t>机</w:t>
      </w:r>
      <w:r>
        <w:rPr>
          <w:rStyle w:val="17"/>
          <w:rFonts w:hint="eastAsia" w:ascii="黑体" w:hAnsi="黑体" w:eastAsia="黑体" w:cs="黑体"/>
          <w:b w:val="0"/>
          <w:bCs w:val="0"/>
          <w:sz w:val="28"/>
          <w:szCs w:val="28"/>
        </w:rPr>
        <w:t>构设置</w:t>
      </w:r>
      <w:bookmarkEnd w:id="26"/>
      <w:bookmarkEnd w:id="27"/>
    </w:p>
    <w:p>
      <w:pPr>
        <w:pStyle w:val="5"/>
        <w:pageBreakBefore w:val="0"/>
        <w:widowControl w:val="0"/>
        <w:kinsoku/>
        <w:wordWrap/>
        <w:overflowPunct/>
        <w:topLinePunct w:val="0"/>
        <w:autoSpaceDE/>
        <w:autoSpaceDN/>
        <w:bidi w:val="0"/>
        <w:adjustRightInd w:val="0"/>
        <w:snapToGrid w:val="0"/>
        <w:spacing w:beforeLines="0" w:line="540" w:lineRule="exact"/>
        <w:ind w:left="0" w:firstLine="560" w:firstLineChars="200"/>
        <w:jc w:val="both"/>
        <w:textAlignment w:val="auto"/>
        <w:rPr>
          <w:rFonts w:cs="Times New Roman"/>
          <w:color w:val="000000"/>
          <w:sz w:val="28"/>
          <w:szCs w:val="28"/>
        </w:rPr>
      </w:pPr>
      <w:r>
        <w:rPr>
          <w:rFonts w:hint="eastAsia"/>
          <w:color w:val="000000"/>
          <w:sz w:val="28"/>
          <w:szCs w:val="28"/>
        </w:rPr>
        <w:t>广元市利州区雪峰小学隶属广元市利州区教育局下的二级预算单位，教职工编制数62人，现在岗在职62人。</w:t>
      </w:r>
    </w:p>
    <w:p>
      <w:pPr>
        <w:widowControl/>
        <w:jc w:val="left"/>
        <w:rPr>
          <w:rFonts w:ascii="仿宋" w:hAnsi="仿宋" w:eastAsia="仿宋"/>
          <w:kern w:val="0"/>
          <w:sz w:val="32"/>
          <w:szCs w:val="32"/>
        </w:rPr>
      </w:pPr>
    </w:p>
    <w:p>
      <w:pPr>
        <w:rPr>
          <w:rFonts w:hint="eastAsia" w:ascii="黑体" w:hAnsi="黑体" w:eastAsia="黑体" w:cs="黑体"/>
          <w:b w:val="0"/>
          <w:bCs w:val="0"/>
        </w:rPr>
      </w:pPr>
      <w:bookmarkStart w:id="28" w:name="_Toc19089864"/>
      <w:r>
        <w:rPr>
          <w:rFonts w:hint="eastAsia" w:ascii="黑体" w:hAnsi="黑体" w:eastAsia="黑体" w:cs="黑体"/>
          <w:b w:val="0"/>
          <w:bCs w:val="0"/>
        </w:rPr>
        <w:br w:type="page"/>
      </w:r>
    </w:p>
    <w:p>
      <w:pPr>
        <w:pStyle w:val="2"/>
        <w:ind w:right="25" w:rightChars="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第二部分</w:t>
      </w:r>
      <w:r>
        <w:rPr>
          <w:rStyle w:val="16"/>
          <w:rFonts w:hint="eastAsia" w:ascii="方正小标宋简体" w:hAnsi="方正小标宋简体" w:eastAsia="方正小标宋简体" w:cs="方正小标宋简体"/>
          <w:b w:val="0"/>
          <w:bCs w:val="0"/>
        </w:rPr>
        <w:t>2019年度部门决算情况说明</w:t>
      </w:r>
      <w:bookmarkEnd w:id="23"/>
      <w:bookmarkEnd w:id="28"/>
    </w:p>
    <w:p>
      <w:pPr>
        <w:pStyle w:val="27"/>
        <w:keepNext w:val="0"/>
        <w:keepLines w:val="0"/>
        <w:pageBreakBefore w:val="0"/>
        <w:widowControl w:val="0"/>
        <w:numPr>
          <w:ilvl w:val="0"/>
          <w:numId w:val="1"/>
        </w:numPr>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bookmarkStart w:id="29" w:name="_Toc15377205"/>
      <w:bookmarkStart w:id="30" w:name="_Toc19089865"/>
      <w:r>
        <w:rPr>
          <w:rFonts w:hint="eastAsia" w:ascii="黑体" w:hAnsi="黑体" w:eastAsia="黑体" w:cs="黑体"/>
          <w:b w:val="0"/>
          <w:bCs w:val="0"/>
          <w:color w:val="000000" w:themeColor="text1"/>
          <w:sz w:val="28"/>
          <w:szCs w:val="28"/>
        </w:rPr>
        <w:t>收</w:t>
      </w:r>
      <w:r>
        <w:rPr>
          <w:rStyle w:val="17"/>
          <w:rFonts w:hint="eastAsia" w:ascii="黑体" w:hAnsi="黑体" w:eastAsia="黑体" w:cs="黑体"/>
          <w:b w:val="0"/>
          <w:bCs w:val="0"/>
          <w:color w:val="000000" w:themeColor="text1"/>
          <w:sz w:val="28"/>
          <w:szCs w:val="28"/>
        </w:rPr>
        <w:t>入支出决算总体情况说明</w:t>
      </w:r>
      <w:bookmarkEnd w:id="29"/>
      <w:bookmarkEnd w:id="30"/>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年度利州区雪峰小学收入总计1,539.82万元，与</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年相比（909.35万元），收入总计增加630.47万元，增涨69</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。收入主要变动原因是因人员工资支出增涨，财政人员经费拨款收入增涨，人员经费支出相比</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年增加。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年度支出合计971.59万元，与</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年相比（1633.48万元），支出减少661.89万元，减少41</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。支出主要变动原因2018年二建扩建项目资金支出较多，2019年相比减少。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7"/>
          <w:rFonts w:ascii="黑体" w:hAnsi="黑体" w:eastAsia="黑体" w:cs="Times New Roman"/>
          <w:b w:val="0"/>
          <w:bCs w:val="0"/>
          <w:color w:val="000000" w:themeColor="text1"/>
          <w:sz w:val="28"/>
          <w:szCs w:val="28"/>
        </w:rPr>
      </w:pPr>
      <w:r>
        <w:rPr>
          <w:rFonts w:hint="eastAsia" w:ascii="黑体" w:hAnsi="黑体" w:eastAsia="黑体" w:cs="黑体"/>
          <w:b w:val="0"/>
          <w:bCs w:val="0"/>
          <w:color w:val="000000" w:themeColor="text1"/>
          <w:sz w:val="28"/>
          <w:szCs w:val="28"/>
        </w:rPr>
        <w:t>二、收</w:t>
      </w:r>
      <w:r>
        <w:rPr>
          <w:rStyle w:val="17"/>
          <w:rFonts w:hint="eastAsia" w:ascii="黑体" w:hAnsi="黑体" w:eastAsia="黑体" w:cs="黑体"/>
          <w:b w:val="0"/>
          <w:bCs w:val="0"/>
          <w:color w:val="000000" w:themeColor="text1"/>
          <w:sz w:val="28"/>
          <w:szCs w:val="28"/>
        </w:rPr>
        <w:t>入决算情况说明</w:t>
      </w:r>
      <w:bookmarkEnd w:id="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bookmarkStart w:id="31" w:name="_Toc19089866"/>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年本年收入合计1539.82万元，其中：一般公共预算财政拨款收入1,524.86万元，占比99</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；其他收入14.96万元，占比</w:t>
      </w:r>
      <w:r>
        <w:rPr>
          <w:rFonts w:ascii="仿宋" w:hAnsi="仿宋" w:eastAsia="仿宋" w:cs="仿宋"/>
          <w:b w:val="0"/>
          <w:bCs w:val="0"/>
          <w:color w:val="000000" w:themeColor="text1"/>
          <w:sz w:val="28"/>
          <w:szCs w:val="28"/>
        </w:rPr>
        <w:t>1%</w:t>
      </w:r>
      <w:r>
        <w:rPr>
          <w:rFonts w:hint="eastAsia" w:ascii="仿宋" w:hAnsi="仿宋" w:eastAsia="仿宋" w:cs="仿宋"/>
          <w:b w:val="0"/>
          <w:bCs w:val="0"/>
          <w:color w:val="000000" w:themeColor="text1"/>
          <w:sz w:val="28"/>
          <w:szCs w:val="28"/>
        </w:rPr>
        <w:t>。</w:t>
      </w:r>
      <w:bookmarkEnd w:id="3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bookmarkStart w:id="32" w:name="_Toc19089867"/>
      <w:bookmarkStart w:id="33" w:name="_Toc15377207"/>
      <w:r>
        <w:rPr>
          <w:rFonts w:hint="eastAsia" w:ascii="黑体" w:hAnsi="黑体" w:eastAsia="黑体" w:cs="黑体"/>
          <w:b w:val="0"/>
          <w:bCs w:val="0"/>
          <w:color w:val="000000" w:themeColor="text1"/>
          <w:sz w:val="28"/>
          <w:szCs w:val="28"/>
        </w:rPr>
        <w:t>三、支</w:t>
      </w:r>
      <w:r>
        <w:rPr>
          <w:rStyle w:val="17"/>
          <w:rFonts w:hint="eastAsia" w:ascii="黑体" w:hAnsi="黑体" w:eastAsia="黑体" w:cs="黑体"/>
          <w:b w:val="0"/>
          <w:bCs w:val="0"/>
          <w:color w:val="000000" w:themeColor="text1"/>
          <w:sz w:val="28"/>
          <w:szCs w:val="28"/>
        </w:rPr>
        <w:t>出决算情况说明</w:t>
      </w:r>
      <w:bookmarkEnd w:id="32"/>
      <w:bookmarkEnd w:id="33"/>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年本年支出合计971.59万元，其中：基本支出852.45万元，占88</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；项目支出119.15万元，占12</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；上缴上级支出</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万元，占</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；经营支出</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万元，占</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；对附属单位补助支出</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万元，占</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17"/>
          <w:rFonts w:hint="eastAsia" w:ascii="黑体" w:hAnsi="黑体" w:eastAsia="黑体" w:cs="黑体"/>
          <w:b w:val="0"/>
          <w:bCs w:val="0"/>
          <w:color w:val="000000" w:themeColor="text1"/>
          <w:sz w:val="28"/>
          <w:szCs w:val="28"/>
        </w:rPr>
      </w:pPr>
      <w:bookmarkStart w:id="34" w:name="_Toc19089868"/>
      <w:bookmarkStart w:id="35" w:name="_Toc15377208"/>
      <w:r>
        <w:rPr>
          <w:rStyle w:val="17"/>
          <w:rFonts w:hint="eastAsia" w:ascii="黑体" w:hAnsi="黑体" w:eastAsia="黑体" w:cs="黑体"/>
          <w:b w:val="0"/>
          <w:bCs w:val="0"/>
          <w:color w:val="000000" w:themeColor="text1"/>
          <w:sz w:val="28"/>
          <w:szCs w:val="28"/>
        </w:rPr>
        <w:t>四、财政拨款收入支出决算总体情况说明</w:t>
      </w:r>
      <w:bookmarkEnd w:id="34"/>
      <w:bookmarkEnd w:id="35"/>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年财政拨款收入总计1539.82万元。与</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年相比（909.35万元），财政拨款收入总计增加630.47万元，增加41</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。收入主要变动原因是因人员工资支出增涨，财政人员经费拨款收入增涨，人员经费支出相比</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年增加。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年财政拨款支出总计971.59万元。与</w:t>
      </w:r>
      <w:r>
        <w:rPr>
          <w:rFonts w:ascii="仿宋" w:hAnsi="仿宋" w:eastAsia="仿宋" w:cs="仿宋"/>
          <w:b w:val="0"/>
          <w:bCs w:val="0"/>
          <w:color w:val="000000" w:themeColor="text1"/>
          <w:sz w:val="28"/>
          <w:szCs w:val="28"/>
        </w:rPr>
        <w:t>2018</w:t>
      </w:r>
      <w:r>
        <w:rPr>
          <w:rFonts w:hint="eastAsia" w:ascii="仿宋" w:hAnsi="仿宋" w:eastAsia="仿宋" w:cs="仿宋"/>
          <w:b w:val="0"/>
          <w:bCs w:val="0"/>
          <w:color w:val="000000" w:themeColor="text1"/>
          <w:sz w:val="28"/>
          <w:szCs w:val="28"/>
        </w:rPr>
        <w:t>年相比（1633.48万元），财政拨款支出总计减少661.89万元，减少41</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。主支出主要变动原因2018年二建扩建项目资金支出较多，2019年相比减少。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cs="仿宋"/>
          <w:b w:val="0"/>
          <w:bCs w:val="0"/>
          <w:color w:val="000000" w:themeColor="text1"/>
          <w:sz w:val="28"/>
          <w:szCs w:val="28"/>
        </w:rPr>
        <w:t>（除国有资本经营预算外，数据来源于财决</w:t>
      </w:r>
      <w:r>
        <w:rPr>
          <w:rFonts w:ascii="仿宋" w:hAnsi="仿宋" w:eastAsia="仿宋" w:cs="仿宋"/>
          <w:b w:val="0"/>
          <w:bCs w:val="0"/>
          <w:color w:val="000000" w:themeColor="text1"/>
          <w:sz w:val="28"/>
          <w:szCs w:val="28"/>
        </w:rPr>
        <w:t>Z01-1</w:t>
      </w:r>
      <w:r>
        <w:rPr>
          <w:rFonts w:hint="eastAsia" w:ascii="仿宋" w:hAnsi="仿宋" w:eastAsia="仿宋" w:cs="仿宋"/>
          <w:b w:val="0"/>
          <w:bCs w:val="0"/>
          <w:color w:val="000000" w:themeColor="text1"/>
          <w:sz w:val="28"/>
          <w:szCs w:val="28"/>
        </w:rPr>
        <w:t>表，口径为“总计”数</w:t>
      </w:r>
      <w:r>
        <w:rPr>
          <w:rFonts w:ascii="仿宋" w:hAnsi="仿宋" w:eastAsia="仿宋" w:cs="仿宋"/>
          <w:b w:val="0"/>
          <w:bCs w:val="0"/>
          <w:color w:val="000000" w:themeColor="text1"/>
          <w:sz w:val="28"/>
          <w:szCs w:val="28"/>
        </w:rPr>
        <w:t>+</w:t>
      </w:r>
      <w:r>
        <w:rPr>
          <w:rFonts w:hint="eastAsia" w:ascii="仿宋" w:hAnsi="仿宋" w:eastAsia="仿宋" w:cs="仿宋"/>
          <w:b w:val="0"/>
          <w:bCs w:val="0"/>
          <w:color w:val="000000" w:themeColor="text1"/>
          <w:sz w:val="28"/>
          <w:szCs w:val="28"/>
        </w:rPr>
        <w:t>国有资本经营预算）</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bookmarkStart w:id="36" w:name="_Toc15377209"/>
      <w:bookmarkStart w:id="37" w:name="_Toc19089869"/>
      <w:r>
        <w:rPr>
          <w:rFonts w:hint="eastAsia" w:ascii="黑体" w:hAnsi="黑体" w:eastAsia="黑体" w:cs="黑体"/>
          <w:b w:val="0"/>
          <w:bCs w:val="0"/>
          <w:color w:val="000000" w:themeColor="text1"/>
          <w:sz w:val="28"/>
          <w:szCs w:val="28"/>
        </w:rPr>
        <w:t>五、一</w:t>
      </w:r>
      <w:r>
        <w:rPr>
          <w:rStyle w:val="17"/>
          <w:rFonts w:hint="eastAsia" w:ascii="黑体" w:hAnsi="黑体" w:eastAsia="黑体" w:cs="黑体"/>
          <w:b w:val="0"/>
          <w:bCs w:val="0"/>
          <w:color w:val="000000" w:themeColor="text1"/>
          <w:sz w:val="28"/>
          <w:szCs w:val="28"/>
        </w:rPr>
        <w:t>般公共预算财政拨款支出决算情况说明</w:t>
      </w:r>
      <w:bookmarkEnd w:id="36"/>
      <w:bookmarkEnd w:id="3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bookmarkStart w:id="38" w:name="_Toc15377210"/>
      <w:r>
        <w:rPr>
          <w:rFonts w:hint="eastAsia" w:ascii="楷体" w:hAnsi="楷体" w:eastAsia="楷体" w:cs="楷体"/>
          <w:b w:val="0"/>
          <w:bCs w:val="0"/>
          <w:color w:val="000000" w:themeColor="text1"/>
          <w:sz w:val="28"/>
          <w:szCs w:val="28"/>
        </w:rPr>
        <w:t>（一）一般公共预算财政拨款支出决算总体情况</w:t>
      </w:r>
      <w:bookmarkEnd w:id="38"/>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2019年一般公共预算财政拨款支出956.63万元，占本年支出合计（971.59万元）的98%。与2018年相比（1633.48万元），一般公共预算财政拨款支出增加676.85万元，减少41%。主要变动原因主支出主要变动原因2018年二建扩建项目资金支出较多，2019年相比减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（二）一般公共预算财政拨款支出决算结构情况</w:t>
      </w:r>
      <w:bookmarkEnd w:id="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2019年一般公共预算财政拨款支出971.59万元，主要用于以下方面:一般公共服务（类）支出0.00万元，占0.00%；教育支出（类）824.16万元，占84.82%；科学技术（类）支出0.00万元，占0.00%；社会保障和就业（类）支出69.52万元，占7.15%；卫生健康（类）支出26.63万元，占2.74%；农林水（类）支出0.00万元，占0.00%；住房保障(类)支出51.35万元，占5.29%；其它支出（类）支出0.00万元，占0.00%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bookmarkStart w:id="39" w:name="_Toc15377212"/>
      <w:r>
        <w:rPr>
          <w:rFonts w:hint="eastAsia" w:ascii="楷体" w:hAnsi="楷体" w:eastAsia="楷体" w:cs="楷体"/>
          <w:b w:val="0"/>
          <w:bCs w:val="0"/>
          <w:color w:val="000000" w:themeColor="text1"/>
          <w:sz w:val="28"/>
          <w:szCs w:val="28"/>
        </w:rPr>
        <w:t>（三）一般公共预算财政拨款支出决算具体情况</w:t>
      </w:r>
      <w:bookmarkEnd w:id="39"/>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bookmarkStart w:id="40" w:name="_Toc15378460"/>
      <w:bookmarkStart w:id="41" w:name="_Toc15377444"/>
      <w:bookmarkStart w:id="42" w:name="_Toc15377213"/>
      <w:r>
        <w:rPr>
          <w:rFonts w:hint="eastAsia" w:ascii="仿宋" w:hAnsi="仿宋" w:eastAsia="仿宋" w:cs="仿宋"/>
          <w:b w:val="0"/>
          <w:bCs w:val="0"/>
          <w:color w:val="000000" w:themeColor="text1"/>
          <w:sz w:val="28"/>
          <w:szCs w:val="28"/>
        </w:rPr>
        <w:t>2019年一般公共预算支出决算数为971.59万元，完成预算61.5%。其中：</w:t>
      </w:r>
      <w:bookmarkEnd w:id="40"/>
      <w:bookmarkEnd w:id="41"/>
      <w:bookmarkEnd w:id="4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1.教育支出（类）普通教育（款）初中教育（项）:支出决算数为824.16万元，完成预算83.5%，决算数小于预算数的主要原因是人员经费结转为奖励性绩效次年发放，项目未完成决算付款。</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2.社会保障和就业支出（类）行政事业单位离退休（款）机关事业单位基本养老保险缴费支出（项）:支出决算为69.52万元，完成预算100%。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3.社会保障和就业支出（类）其它社会保障和就业支出（款）其它社会保障和就业支出（项）:支出决算为5.14万元，完成预算100%。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4.卫生健康支出（类）行政事业单位医疗（款）事业单位医疗（项）:支出决算为26.63万元，完成预算100%。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（数据来源财决08表，罗列全部功能分类科目至项级。上述“预算”口径为调整预算数。增减变动原因为决算数&lt;项级&gt;和调整预算数&lt;项级&gt;比较，与预算数持平可以不写原因。）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7"/>
          <w:b w:val="0"/>
          <w:bCs w:val="0"/>
          <w:color w:val="000000" w:themeColor="text1"/>
          <w:sz w:val="28"/>
          <w:szCs w:val="28"/>
        </w:rPr>
      </w:pPr>
      <w:bookmarkStart w:id="43" w:name="_Toc15377214"/>
      <w:r>
        <w:rPr>
          <w:rFonts w:hint="eastAsia" w:ascii="黑体" w:eastAsia="黑体" w:cs="黑体"/>
          <w:b w:val="0"/>
          <w:bCs w:val="0"/>
          <w:color w:val="000000" w:themeColor="text1"/>
          <w:sz w:val="28"/>
          <w:szCs w:val="28"/>
        </w:rPr>
        <w:t>六、</w:t>
      </w:r>
      <w:r>
        <w:rPr>
          <w:rFonts w:hint="eastAsia" w:ascii="黑体" w:hAnsi="黑体" w:eastAsia="黑体" w:cs="黑体"/>
          <w:b w:val="0"/>
          <w:bCs w:val="0"/>
          <w:color w:val="000000" w:themeColor="text1"/>
          <w:sz w:val="28"/>
          <w:szCs w:val="28"/>
        </w:rPr>
        <w:t>一</w:t>
      </w:r>
      <w:r>
        <w:rPr>
          <w:rStyle w:val="17"/>
          <w:rFonts w:hint="eastAsia" w:ascii="黑体" w:hAnsi="黑体" w:eastAsia="黑体" w:cs="黑体"/>
          <w:b w:val="0"/>
          <w:bCs w:val="0"/>
          <w:color w:val="000000" w:themeColor="text1"/>
          <w:sz w:val="28"/>
          <w:szCs w:val="28"/>
        </w:rPr>
        <w:t>般公共预算财政拨款基本支出决算情况说明</w:t>
      </w:r>
      <w:bookmarkEnd w:id="43"/>
      <w:r>
        <w:rPr>
          <w:rStyle w:val="17"/>
          <w:rFonts w:ascii="黑体" w:hAnsi="黑体" w:eastAsia="黑体" w:cs="Times New Roman"/>
          <w:b w:val="0"/>
          <w:bCs w:val="0"/>
          <w:color w:val="000000" w:themeColor="text1"/>
          <w:sz w:val="28"/>
          <w:szCs w:val="28"/>
        </w:rPr>
        <w:tab/>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年一般公共预算财政拨款基本支出971.59万元，其中：</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人员经费956.63万元，主要包括：基本工资266.02万元、津贴补贴5.78万元、奖金</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万元、伙食补助费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绩效工资131.49万元、机关事业单位基本养老保险缴费67.22万元、职业年金缴费16.87万元、职工基本医疗保险缴费37.49万元、其他社会保障缴费15.51万元、住房公积金51.35万元、其他工资福利支出68.88万元、离休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万元、退休费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万元、抚恤金</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万元、生活补助25.73万元、助学金8.93万元、奖励金0.00万元等。</w:t>
      </w:r>
      <w:r>
        <w:rPr>
          <w:rFonts w:ascii="仿宋" w:hAnsi="仿宋" w:eastAsia="仿宋" w:cs="仿宋"/>
          <w:b w:val="0"/>
          <w:bCs w:val="0"/>
          <w:color w:val="000000" w:themeColor="text1"/>
          <w:sz w:val="28"/>
          <w:szCs w:val="28"/>
        </w:rPr>
        <w:br w:type="textWrapping"/>
      </w:r>
      <w:r>
        <w:rPr>
          <w:rFonts w:hint="eastAsia" w:ascii="仿宋" w:hAnsi="仿宋" w:eastAsia="仿宋" w:cs="仿宋"/>
          <w:b w:val="0"/>
          <w:bCs w:val="0"/>
          <w:color w:val="000000" w:themeColor="text1"/>
          <w:sz w:val="28"/>
          <w:szCs w:val="28"/>
        </w:rPr>
        <w:t>　　公用经费154.19万元，主要包括：办公费22.91万元、印刷费10.68万元、咨询费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万元、手续费0.27万元、水费10.38万元、电费6.31万元、邮电费2.97万元、物业管理费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万元、差旅费1.49万元、因公出国（境）费用</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万元、维修（护）费19.90万元、租赁费2.43万元、会议费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万元、培训费5.87万元、公务接待费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万元、专用材料费1.52万元、劳务费43.45万元、委托业务费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万元、工会经费16.31万元、福利费9.70万元、公务用车运行维护费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万元、其他交通费</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万元、税金及附加费用</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万元、其他商品和服务支出</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万元、办公设备购置</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万元、专用设备购置</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万元、信息网络及软件购置更新</w:t>
      </w:r>
      <w:r>
        <w:rPr>
          <w:rFonts w:ascii="仿宋" w:hAnsi="仿宋" w:eastAsia="仿宋" w:cs="仿宋"/>
          <w:b w:val="0"/>
          <w:bCs w:val="0"/>
          <w:color w:val="000000" w:themeColor="text1"/>
          <w:sz w:val="28"/>
          <w:szCs w:val="28"/>
        </w:rPr>
        <w:t>0.00</w:t>
      </w:r>
      <w:r>
        <w:rPr>
          <w:rFonts w:hint="eastAsia" w:ascii="仿宋" w:hAnsi="仿宋" w:eastAsia="仿宋" w:cs="仿宋"/>
          <w:b w:val="0"/>
          <w:bCs w:val="0"/>
          <w:color w:val="000000" w:themeColor="text1"/>
          <w:sz w:val="28"/>
          <w:szCs w:val="28"/>
        </w:rPr>
        <w:t>万元、其他资本性支出等。</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cs="仿宋"/>
          <w:b w:val="0"/>
          <w:bCs w:val="0"/>
          <w:color w:val="000000" w:themeColor="text1"/>
          <w:sz w:val="28"/>
          <w:szCs w:val="28"/>
        </w:rPr>
        <w:t>（数据来源财决</w:t>
      </w:r>
      <w:r>
        <w:rPr>
          <w:rFonts w:ascii="仿宋" w:hAnsi="仿宋" w:eastAsia="仿宋" w:cs="仿宋"/>
          <w:b w:val="0"/>
          <w:bCs w:val="0"/>
          <w:color w:val="000000" w:themeColor="text1"/>
          <w:sz w:val="28"/>
          <w:szCs w:val="28"/>
        </w:rPr>
        <w:t>07</w:t>
      </w:r>
      <w:r>
        <w:rPr>
          <w:rFonts w:hint="eastAsia" w:ascii="仿宋" w:hAnsi="仿宋" w:eastAsia="仿宋" w:cs="仿宋"/>
          <w:b w:val="0"/>
          <w:bCs w:val="0"/>
          <w:color w:val="000000" w:themeColor="text1"/>
          <w:sz w:val="28"/>
          <w:szCs w:val="28"/>
        </w:rPr>
        <w:t>表，根据本部门实际支出情况罗列全部经济分类科目。）</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bookmarkStart w:id="44" w:name="_Toc15377215"/>
      <w:bookmarkStart w:id="45" w:name="_Toc19089870"/>
      <w:r>
        <w:rPr>
          <w:rFonts w:hint="eastAsia" w:ascii="黑体" w:eastAsia="黑体" w:cs="黑体"/>
          <w:b w:val="0"/>
          <w:bCs w:val="0"/>
          <w:color w:val="000000" w:themeColor="text1"/>
          <w:sz w:val="28"/>
          <w:szCs w:val="28"/>
        </w:rPr>
        <w:t>七、</w:t>
      </w:r>
      <w:r>
        <w:rPr>
          <w:rStyle w:val="17"/>
          <w:rFonts w:hint="eastAsia" w:ascii="黑体" w:hAnsi="黑体" w:eastAsia="黑体" w:cs="黑体"/>
          <w:b w:val="0"/>
          <w:bCs w:val="0"/>
          <w:color w:val="000000" w:themeColor="text1"/>
          <w:sz w:val="28"/>
          <w:szCs w:val="28"/>
        </w:rPr>
        <w:t>“三公”经费财政拨款支出决算情况说明</w:t>
      </w:r>
      <w:bookmarkEnd w:id="44"/>
      <w:bookmarkEnd w:id="45"/>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bookmarkStart w:id="46" w:name="_Toc15377216"/>
      <w:r>
        <w:rPr>
          <w:rFonts w:hint="eastAsia" w:ascii="楷体" w:hAnsi="楷体" w:eastAsia="楷体" w:cs="楷体"/>
          <w:b w:val="0"/>
          <w:bCs w:val="0"/>
          <w:color w:val="000000" w:themeColor="text1"/>
          <w:sz w:val="28"/>
          <w:szCs w:val="28"/>
        </w:rPr>
        <w:t>（一）“三公”经费财政拨款支出决算总体情况说明</w:t>
      </w:r>
      <w:bookmarkEnd w:id="46"/>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年无“三公”经费财政拨款支出决算。</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bookmarkStart w:id="47" w:name="_Toc15377217"/>
      <w:r>
        <w:rPr>
          <w:rFonts w:hint="eastAsia" w:ascii="楷体" w:hAnsi="楷体" w:eastAsia="楷体" w:cs="楷体"/>
          <w:b w:val="0"/>
          <w:bCs w:val="0"/>
          <w:color w:val="000000" w:themeColor="text1"/>
          <w:sz w:val="28"/>
          <w:szCs w:val="28"/>
        </w:rPr>
        <w:t>（二）“三公”经费财政拨款支出决算具体情况说明</w:t>
      </w:r>
      <w:bookmarkEnd w:id="4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color w:val="000000" w:themeColor="text1"/>
          <w:sz w:val="28"/>
          <w:szCs w:val="28"/>
        </w:rPr>
      </w:pPr>
      <w:bookmarkStart w:id="48" w:name="_Toc15377218"/>
      <w:bookmarkStart w:id="49" w:name="_Toc19089871"/>
      <w:r>
        <w:rPr>
          <w:rFonts w:ascii="仿宋" w:hAnsi="仿宋" w:eastAsia="仿宋" w:cs="仿宋"/>
          <w:b w:val="0"/>
          <w:bCs w:val="0"/>
          <w:color w:val="000000" w:themeColor="text1"/>
          <w:sz w:val="28"/>
          <w:szCs w:val="28"/>
        </w:rPr>
        <w:t>2019</w:t>
      </w:r>
      <w:r>
        <w:rPr>
          <w:rFonts w:hint="eastAsia" w:ascii="仿宋" w:hAnsi="仿宋" w:eastAsia="仿宋" w:cs="仿宋"/>
          <w:b w:val="0"/>
          <w:bCs w:val="0"/>
          <w:color w:val="000000" w:themeColor="text1"/>
          <w:sz w:val="28"/>
          <w:szCs w:val="28"/>
        </w:rPr>
        <w:t>年无“三公”经费财政拨款支出决算。</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r>
        <w:rPr>
          <w:rFonts w:hint="eastAsia" w:ascii="黑体" w:eastAsia="黑体" w:cs="黑体"/>
          <w:b w:val="0"/>
          <w:bCs w:val="0"/>
          <w:color w:val="000000" w:themeColor="text1"/>
          <w:sz w:val="28"/>
          <w:szCs w:val="28"/>
        </w:rPr>
        <w:t>八、</w:t>
      </w:r>
      <w:r>
        <w:rPr>
          <w:rStyle w:val="17"/>
          <w:rFonts w:hint="eastAsia" w:ascii="黑体" w:hAnsi="黑体" w:eastAsia="黑体" w:cs="黑体"/>
          <w:b w:val="0"/>
          <w:bCs w:val="0"/>
          <w:color w:val="000000" w:themeColor="text1"/>
          <w:sz w:val="28"/>
          <w:szCs w:val="28"/>
        </w:rPr>
        <w:t>政府性基金预算支出决算情况说明</w:t>
      </w:r>
      <w:bookmarkEnd w:id="48"/>
      <w:bookmarkEnd w:id="49"/>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cs="仿宋_GB2312"/>
          <w:b w:val="0"/>
          <w:bCs w:val="0"/>
          <w:color w:val="000000" w:themeColor="text1"/>
          <w:sz w:val="28"/>
          <w:szCs w:val="28"/>
        </w:rPr>
        <w:t>2019</w:t>
      </w:r>
      <w:r>
        <w:rPr>
          <w:rFonts w:hint="eastAsia" w:ascii="仿宋_GB2312" w:eastAsia="仿宋_GB2312" w:cs="仿宋_GB2312"/>
          <w:b w:val="0"/>
          <w:bCs w:val="0"/>
          <w:color w:val="000000" w:themeColor="text1"/>
          <w:sz w:val="28"/>
          <w:szCs w:val="28"/>
        </w:rPr>
        <w:t>年无政府性基金预算拨款支出。</w:t>
      </w:r>
    </w:p>
    <w:p>
      <w:pPr>
        <w:keepNext w:val="0"/>
        <w:keepLines w:val="0"/>
        <w:pageBreakBefore w:val="0"/>
        <w:widowControl w:val="0"/>
        <w:numPr>
          <w:ilvl w:val="0"/>
          <w:numId w:val="2"/>
        </w:numPr>
        <w:kinsoku/>
        <w:wordWrap/>
        <w:overflowPunct/>
        <w:topLinePunct w:val="0"/>
        <w:bidi w:val="0"/>
        <w:snapToGrid w:val="0"/>
        <w:spacing w:line="560" w:lineRule="exact"/>
        <w:ind w:left="0" w:firstLine="560" w:firstLineChars="200"/>
        <w:jc w:val="both"/>
        <w:textAlignment w:val="auto"/>
        <w:outlineLvl w:val="1"/>
        <w:rPr>
          <w:rStyle w:val="17"/>
          <w:rFonts w:ascii="黑体" w:hAnsi="黑体" w:eastAsia="黑体" w:cs="Times New Roman"/>
          <w:b w:val="0"/>
          <w:bCs w:val="0"/>
          <w:color w:val="000000" w:themeColor="text1"/>
          <w:sz w:val="28"/>
          <w:szCs w:val="28"/>
        </w:rPr>
      </w:pPr>
      <w:bookmarkStart w:id="50" w:name="_Toc15377219"/>
      <w:bookmarkStart w:id="51" w:name="_Toc19089872"/>
      <w:r>
        <w:rPr>
          <w:rStyle w:val="17"/>
          <w:rFonts w:hint="eastAsia" w:ascii="黑体" w:hAnsi="黑体" w:eastAsia="黑体" w:cs="黑体"/>
          <w:b w:val="0"/>
          <w:bCs w:val="0"/>
          <w:color w:val="000000" w:themeColor="text1"/>
          <w:sz w:val="28"/>
          <w:szCs w:val="28"/>
        </w:rPr>
        <w:t>国有资本经营预算支出决算情况说明</w:t>
      </w:r>
      <w:bookmarkEnd w:id="50"/>
      <w:bookmarkEnd w:id="5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cs="仿宋_GB2312"/>
          <w:b w:val="0"/>
          <w:bCs w:val="0"/>
          <w:color w:val="000000" w:themeColor="text1"/>
          <w:sz w:val="28"/>
          <w:szCs w:val="28"/>
        </w:rPr>
        <w:t>2019</w:t>
      </w:r>
      <w:r>
        <w:rPr>
          <w:rFonts w:hint="eastAsia" w:ascii="仿宋_GB2312" w:eastAsia="仿宋_GB2312" w:cs="仿宋_GB2312"/>
          <w:b w:val="0"/>
          <w:bCs w:val="0"/>
          <w:color w:val="000000" w:themeColor="text1"/>
          <w:sz w:val="28"/>
          <w:szCs w:val="28"/>
        </w:rPr>
        <w:t>年无国有资本经营预算拨款支出。</w:t>
      </w:r>
    </w:p>
    <w:p>
      <w:pPr>
        <w:pStyle w:val="27"/>
        <w:keepNext w:val="0"/>
        <w:keepLines w:val="0"/>
        <w:pageBreakBefore w:val="0"/>
        <w:widowControl w:val="0"/>
        <w:numPr>
          <w:ilvl w:val="0"/>
          <w:numId w:val="3"/>
        </w:numPr>
        <w:kinsoku/>
        <w:wordWrap/>
        <w:overflowPunct/>
        <w:topLinePunct w:val="0"/>
        <w:bidi w:val="0"/>
        <w:snapToGrid w:val="0"/>
        <w:spacing w:line="560" w:lineRule="exact"/>
        <w:ind w:left="0" w:firstLine="560" w:firstLineChars="200"/>
        <w:jc w:val="both"/>
        <w:textAlignment w:val="auto"/>
        <w:rPr>
          <w:rStyle w:val="17"/>
          <w:rFonts w:ascii="黑体" w:hAnsi="黑体" w:eastAsia="黑体" w:cs="Times New Roman"/>
          <w:b w:val="0"/>
          <w:bCs w:val="0"/>
          <w:color w:val="000000" w:themeColor="text1"/>
          <w:sz w:val="28"/>
          <w:szCs w:val="28"/>
        </w:rPr>
      </w:pPr>
      <w:bookmarkStart w:id="52" w:name="_Toc19089873"/>
      <w:r>
        <w:rPr>
          <w:rStyle w:val="17"/>
          <w:rFonts w:hint="eastAsia" w:ascii="黑体" w:hAnsi="黑体" w:eastAsia="黑体" w:cs="黑体"/>
          <w:b w:val="0"/>
          <w:bCs w:val="0"/>
          <w:color w:val="000000" w:themeColor="text1"/>
          <w:sz w:val="28"/>
          <w:szCs w:val="28"/>
        </w:rPr>
        <w:t>预算绩效情况说明</w:t>
      </w:r>
      <w:bookmarkEnd w:id="5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（一）</w:t>
      </w:r>
      <w:r>
        <w:rPr>
          <w:rFonts w:hint="eastAsia" w:ascii="楷体" w:hAnsi="楷体" w:eastAsia="楷体" w:cs="楷体"/>
          <w:b w:val="0"/>
          <w:bCs w:val="0"/>
          <w:color w:val="000000" w:themeColor="text1"/>
          <w:sz w:val="28"/>
          <w:szCs w:val="28"/>
        </w:rPr>
        <w:t>预算绩效管理工作开展情况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根据预算绩效管理要求，本部门（单位）在年初预算编制阶段，学生营养改善、建档立卡贫困资助计划</w:t>
      </w:r>
      <w:r>
        <w:rPr>
          <w:rFonts w:ascii="仿宋_GB2312" w:hAnsi="仿宋_GB2312" w:eastAsia="仿宋_GB2312" w:cs="仿宋_GB2312"/>
          <w:b w:val="0"/>
          <w:bCs w:val="0"/>
          <w:color w:val="000000" w:themeColor="text1"/>
          <w:sz w:val="28"/>
          <w:szCs w:val="28"/>
        </w:rPr>
        <w:t>2</w:t>
      </w:r>
      <w:r>
        <w:rPr>
          <w:rFonts w:hint="eastAsia" w:ascii="仿宋_GB2312" w:hAnsi="仿宋_GB2312" w:eastAsia="仿宋_GB2312" w:cs="仿宋_GB2312"/>
          <w:b w:val="0"/>
          <w:bCs w:val="0"/>
          <w:color w:val="000000" w:themeColor="text1"/>
          <w:sz w:val="28"/>
          <w:szCs w:val="28"/>
        </w:rPr>
        <w:t>个项目开展了预算事前绩效评估，对</w:t>
      </w:r>
      <w:r>
        <w:rPr>
          <w:rFonts w:ascii="仿宋_GB2312" w:hAnsi="仿宋_GB2312" w:eastAsia="仿宋_GB2312" w:cs="仿宋_GB2312"/>
          <w:b w:val="0"/>
          <w:bCs w:val="0"/>
          <w:color w:val="000000" w:themeColor="text1"/>
          <w:sz w:val="28"/>
          <w:szCs w:val="28"/>
        </w:rPr>
        <w:t>2</w:t>
      </w:r>
      <w:r>
        <w:rPr>
          <w:rFonts w:hint="eastAsia" w:ascii="仿宋_GB2312" w:hAnsi="仿宋_GB2312" w:eastAsia="仿宋_GB2312" w:cs="仿宋_GB2312"/>
          <w:b w:val="0"/>
          <w:bCs w:val="0"/>
          <w:color w:val="000000" w:themeColor="text1"/>
          <w:sz w:val="28"/>
          <w:szCs w:val="28"/>
        </w:rPr>
        <w:t>个项目编制了绩效目标，预算执行过程中，选取</w:t>
      </w:r>
      <w:r>
        <w:rPr>
          <w:rFonts w:ascii="仿宋_GB2312" w:hAnsi="仿宋_GB2312" w:eastAsia="仿宋_GB2312" w:cs="仿宋_GB2312"/>
          <w:b w:val="0"/>
          <w:bCs w:val="0"/>
          <w:color w:val="000000" w:themeColor="text1"/>
          <w:sz w:val="28"/>
          <w:szCs w:val="28"/>
        </w:rPr>
        <w:t>2</w:t>
      </w:r>
      <w:r>
        <w:rPr>
          <w:rFonts w:hint="eastAsia" w:ascii="仿宋_GB2312" w:hAnsi="仿宋_GB2312" w:eastAsia="仿宋_GB2312" w:cs="仿宋_GB2312"/>
          <w:b w:val="0"/>
          <w:bCs w:val="0"/>
          <w:color w:val="000000" w:themeColor="text1"/>
          <w:sz w:val="28"/>
          <w:szCs w:val="28"/>
        </w:rPr>
        <w:t>个项目开展绩效监控，年终执行完毕后，对</w:t>
      </w:r>
      <w:r>
        <w:rPr>
          <w:rFonts w:ascii="仿宋_GB2312" w:hAnsi="仿宋_GB2312" w:eastAsia="仿宋_GB2312" w:cs="仿宋_GB2312"/>
          <w:b w:val="0"/>
          <w:bCs w:val="0"/>
          <w:color w:val="000000" w:themeColor="text1"/>
          <w:sz w:val="28"/>
          <w:szCs w:val="28"/>
        </w:rPr>
        <w:t>2</w:t>
      </w:r>
      <w:r>
        <w:rPr>
          <w:rFonts w:hint="eastAsia" w:ascii="仿宋_GB2312" w:hAnsi="仿宋_GB2312" w:eastAsia="仿宋_GB2312" w:cs="仿宋_GB2312"/>
          <w:b w:val="0"/>
          <w:bCs w:val="0"/>
          <w:color w:val="000000" w:themeColor="text1"/>
          <w:sz w:val="28"/>
          <w:szCs w:val="28"/>
        </w:rPr>
        <w:t>个项目开展了绩效目标完成情况梳理填报。</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本部门按要求对</w:t>
      </w:r>
      <w:r>
        <w:rPr>
          <w:rFonts w:ascii="仿宋_GB2312" w:hAnsi="仿宋_GB2312" w:eastAsia="仿宋_GB2312" w:cs="仿宋_GB2312"/>
          <w:b w:val="0"/>
          <w:bCs w:val="0"/>
          <w:color w:val="000000" w:themeColor="text1"/>
          <w:sz w:val="28"/>
          <w:szCs w:val="28"/>
        </w:rPr>
        <w:t>2019</w:t>
      </w:r>
      <w:r>
        <w:rPr>
          <w:rFonts w:hint="eastAsia" w:ascii="仿宋_GB2312" w:hAnsi="仿宋_GB2312" w:eastAsia="仿宋_GB2312" w:cs="仿宋_GB2312"/>
          <w:b w:val="0"/>
          <w:bCs w:val="0"/>
          <w:color w:val="000000" w:themeColor="text1"/>
          <w:sz w:val="28"/>
          <w:szCs w:val="28"/>
        </w:rPr>
        <w:t>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color w:val="000000" w:themeColor="text1"/>
          <w:sz w:val="28"/>
          <w:szCs w:val="28"/>
        </w:rPr>
      </w:pPr>
      <w:r>
        <w:rPr>
          <w:rFonts w:hint="eastAsia" w:ascii="仿宋_GB2312" w:eastAsia="仿宋_GB2312" w:cs="仿宋_GB2312"/>
          <w:b w:val="0"/>
          <w:bCs w:val="0"/>
          <w:color w:val="000000" w:themeColor="text1"/>
          <w:sz w:val="28"/>
          <w:szCs w:val="28"/>
        </w:rPr>
        <w:t>存在的问题：</w:t>
      </w:r>
      <w:r>
        <w:rPr>
          <w:rFonts w:hint="eastAsia" w:ascii="仿宋_GB2312" w:hAnsi="宋体" w:eastAsia="仿宋_GB2312" w:cs="仿宋_GB2312"/>
          <w:b w:val="0"/>
          <w:bCs w:val="0"/>
          <w:color w:val="000000" w:themeColor="text1"/>
          <w:sz w:val="28"/>
          <w:szCs w:val="28"/>
        </w:rPr>
        <w:t>一是绩效评价管理工作制度建设有待进一步加强，绩效管理缺乏系统性；二是</w:t>
      </w:r>
      <w:r>
        <w:rPr>
          <w:rFonts w:hint="eastAsia" w:ascii="华文仿宋" w:hAnsi="华文仿宋" w:eastAsia="华文仿宋" w:cs="华文仿宋"/>
          <w:b w:val="0"/>
          <w:bCs w:val="0"/>
          <w:color w:val="000000" w:themeColor="text1"/>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华文仿宋" w:hAnsi="华文仿宋" w:eastAsia="华文仿宋" w:cs="华文仿宋"/>
          <w:b w:val="0"/>
          <w:bCs w:val="0"/>
          <w:color w:val="000000" w:themeColor="text1"/>
          <w:sz w:val="28"/>
          <w:szCs w:val="28"/>
        </w:rPr>
      </w:pPr>
      <w:r>
        <w:rPr>
          <w:rFonts w:hint="eastAsia" w:ascii="仿宋_GB2312" w:eastAsia="仿宋_GB2312" w:cs="仿宋_GB2312"/>
          <w:b w:val="0"/>
          <w:bCs w:val="0"/>
          <w:color w:val="000000" w:themeColor="text1"/>
          <w:sz w:val="28"/>
          <w:szCs w:val="28"/>
        </w:rPr>
        <w:t>下一步改进措施：</w:t>
      </w:r>
      <w:r>
        <w:rPr>
          <w:rStyle w:val="14"/>
          <w:rFonts w:hint="eastAsia" w:ascii="仿宋_GB2312" w:hAnsi="宋体" w:eastAsia="仿宋_GB2312" w:cs="仿宋_GB2312"/>
          <w:b w:val="0"/>
          <w:bCs w:val="0"/>
          <w:color w:val="000000" w:themeColor="text1"/>
          <w:sz w:val="28"/>
          <w:szCs w:val="28"/>
        </w:rPr>
        <w:t>一是</w:t>
      </w:r>
      <w:r>
        <w:rPr>
          <w:rFonts w:hint="eastAsia" w:ascii="仿宋_GB2312" w:hAnsi="宋体" w:eastAsia="仿宋_GB2312" w:cs="仿宋_GB2312"/>
          <w:b w:val="0"/>
          <w:bCs w:val="0"/>
          <w:color w:val="000000" w:themeColor="text1"/>
          <w:sz w:val="28"/>
          <w:szCs w:val="28"/>
        </w:rPr>
        <w:t>进一步加强绩效评价管理制度建设；二是建立有效的绩效管理体系；</w:t>
      </w:r>
      <w:r>
        <w:rPr>
          <w:rStyle w:val="14"/>
          <w:rFonts w:hint="eastAsia" w:ascii="仿宋_GB2312" w:hAnsi="宋体" w:eastAsia="仿宋_GB2312" w:cs="仿宋_GB2312"/>
          <w:b w:val="0"/>
          <w:bCs w:val="0"/>
          <w:color w:val="000000" w:themeColor="text1"/>
          <w:sz w:val="28"/>
          <w:szCs w:val="28"/>
        </w:rPr>
        <w:t>三是</w:t>
      </w:r>
      <w:r>
        <w:rPr>
          <w:rFonts w:hint="eastAsia" w:ascii="仿宋_GB2312" w:hAnsi="宋体" w:eastAsia="仿宋_GB2312" w:cs="仿宋_GB2312"/>
          <w:b w:val="0"/>
          <w:bCs w:val="0"/>
          <w:color w:val="000000" w:themeColor="text1"/>
          <w:sz w:val="28"/>
          <w:szCs w:val="28"/>
        </w:rPr>
        <w:t>强化绩效管理数据分析，强化绩效管理数据运用；四是强化绩效评价专业技能的培训；</w:t>
      </w:r>
      <w:r>
        <w:rPr>
          <w:rFonts w:hint="eastAsia" w:ascii="华文仿宋" w:hAnsi="华文仿宋" w:eastAsia="华文仿宋" w:cs="华文仿宋"/>
          <w:b w:val="0"/>
          <w:bCs w:val="0"/>
          <w:color w:val="000000" w:themeColor="text1"/>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（二）</w:t>
      </w:r>
      <w:r>
        <w:rPr>
          <w:rFonts w:hint="eastAsia" w:ascii="楷体" w:hAnsi="楷体" w:eastAsia="楷体" w:cs="楷体"/>
          <w:b w:val="0"/>
          <w:bCs w:val="0"/>
          <w:color w:val="000000" w:themeColor="text1"/>
          <w:sz w:val="28"/>
          <w:szCs w:val="28"/>
        </w:rPr>
        <w:t>项目绩效目标完成情况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本部门在</w:t>
      </w:r>
      <w:r>
        <w:rPr>
          <w:rFonts w:ascii="仿宋_GB2312" w:hAnsi="仿宋_GB2312" w:eastAsia="仿宋_GB2312" w:cs="仿宋_GB2312"/>
          <w:b w:val="0"/>
          <w:bCs w:val="0"/>
          <w:color w:val="000000" w:themeColor="text1"/>
          <w:sz w:val="28"/>
          <w:szCs w:val="28"/>
        </w:rPr>
        <w:t>2019</w:t>
      </w:r>
      <w:r>
        <w:rPr>
          <w:rFonts w:hint="eastAsia" w:ascii="仿宋_GB2312" w:hAnsi="仿宋_GB2312" w:eastAsia="仿宋_GB2312" w:cs="仿宋_GB2312"/>
          <w:b w:val="0"/>
          <w:bCs w:val="0"/>
          <w:color w:val="000000" w:themeColor="text1"/>
          <w:sz w:val="28"/>
          <w:szCs w:val="28"/>
        </w:rPr>
        <w:t>年度部门决算中反映</w:t>
      </w:r>
      <w:r>
        <w:rPr>
          <w:rFonts w:ascii="仿宋_GB2312" w:hAnsi="仿宋_GB2312" w:eastAsia="仿宋_GB2312" w:cs="仿宋_GB2312"/>
          <w:b w:val="0"/>
          <w:bCs w:val="0"/>
          <w:color w:val="000000" w:themeColor="text1"/>
          <w:sz w:val="28"/>
          <w:szCs w:val="28"/>
        </w:rPr>
        <w:t>2</w:t>
      </w:r>
      <w:r>
        <w:rPr>
          <w:rFonts w:hint="eastAsia" w:ascii="仿宋_GB2312" w:hAnsi="仿宋_GB2312" w:eastAsia="仿宋_GB2312" w:cs="仿宋_GB2312"/>
          <w:b w:val="0"/>
          <w:bCs w:val="0"/>
          <w:color w:val="000000" w:themeColor="text1"/>
          <w:sz w:val="28"/>
          <w:szCs w:val="28"/>
        </w:rPr>
        <w:t>个项目绩效目标实际完成情况。</w:t>
      </w:r>
    </w:p>
    <w:p>
      <w:pPr>
        <w:keepNext w:val="0"/>
        <w:keepLines w:val="0"/>
        <w:pageBreakBefore w:val="0"/>
        <w:widowControl w:val="0"/>
        <w:tabs>
          <w:tab w:val="left" w:pos="312"/>
        </w:tabs>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ascii="仿宋_GB2312" w:hAnsi="仿宋_GB2312" w:eastAsia="仿宋_GB2312" w:cs="仿宋_GB2312"/>
          <w:b w:val="0"/>
          <w:bCs w:val="0"/>
          <w:color w:val="000000" w:themeColor="text1"/>
          <w:sz w:val="28"/>
          <w:szCs w:val="28"/>
        </w:rPr>
        <w:t>1.</w:t>
      </w:r>
      <w:r>
        <w:rPr>
          <w:rFonts w:hint="eastAsia" w:ascii="仿宋_GB2312" w:hAnsi="仿宋_GB2312" w:eastAsia="仿宋_GB2312" w:cs="仿宋_GB2312"/>
          <w:b w:val="0"/>
          <w:bCs w:val="0"/>
          <w:color w:val="000000" w:themeColor="text1"/>
          <w:sz w:val="28"/>
          <w:szCs w:val="28"/>
        </w:rPr>
        <w:t>学生营养改善计划项目绩效目标完成情况综述。项目全年预算数</w:t>
      </w:r>
      <w:r>
        <w:rPr>
          <w:rFonts w:hint="eastAsia" w:ascii="仿宋" w:hAnsi="仿宋" w:eastAsia="仿宋" w:cs="仿宋"/>
          <w:b w:val="0"/>
          <w:bCs w:val="0"/>
          <w:color w:val="000000" w:themeColor="text1"/>
          <w:sz w:val="28"/>
          <w:szCs w:val="28"/>
        </w:rPr>
        <w:t>971万元</w:t>
      </w:r>
      <w:r>
        <w:rPr>
          <w:rFonts w:hint="eastAsia" w:ascii="仿宋_GB2312" w:hAnsi="仿宋_GB2312" w:eastAsia="仿宋_GB2312" w:cs="仿宋_GB2312"/>
          <w:b w:val="0"/>
          <w:bCs w:val="0"/>
          <w:color w:val="000000" w:themeColor="text1"/>
          <w:sz w:val="28"/>
          <w:szCs w:val="28"/>
        </w:rPr>
        <w:t>，执行数为</w:t>
      </w:r>
      <w:r>
        <w:rPr>
          <w:rFonts w:hint="eastAsia" w:ascii="仿宋" w:hAnsi="仿宋" w:eastAsia="仿宋" w:cs="仿宋"/>
          <w:b w:val="0"/>
          <w:bCs w:val="0"/>
          <w:color w:val="000000" w:themeColor="text1"/>
          <w:sz w:val="28"/>
          <w:szCs w:val="28"/>
        </w:rPr>
        <w:t>971万元</w:t>
      </w:r>
      <w:r>
        <w:rPr>
          <w:rFonts w:hint="eastAsia" w:ascii="仿宋_GB2312" w:hAnsi="仿宋_GB2312" w:eastAsia="仿宋_GB2312" w:cs="仿宋_GB2312"/>
          <w:b w:val="0"/>
          <w:bCs w:val="0"/>
          <w:color w:val="000000" w:themeColor="text1"/>
          <w:sz w:val="28"/>
          <w:szCs w:val="28"/>
        </w:rPr>
        <w:t>，完成预算的</w:t>
      </w:r>
      <w:r>
        <w:rPr>
          <w:rFonts w:ascii="仿宋_GB2312" w:hAnsi="仿宋_GB2312" w:eastAsia="仿宋_GB2312" w:cs="仿宋_GB2312"/>
          <w:b w:val="0"/>
          <w:bCs w:val="0"/>
          <w:color w:val="000000" w:themeColor="text1"/>
          <w:sz w:val="28"/>
          <w:szCs w:val="28"/>
        </w:rPr>
        <w:t>100%</w:t>
      </w:r>
      <w:r>
        <w:rPr>
          <w:rFonts w:hint="eastAsia" w:ascii="仿宋_GB2312" w:hAnsi="仿宋_GB2312" w:eastAsia="仿宋_GB2312" w:cs="仿宋_GB2312"/>
          <w:b w:val="0"/>
          <w:bCs w:val="0"/>
          <w:color w:val="000000" w:themeColor="text1"/>
          <w:sz w:val="28"/>
          <w:szCs w:val="28"/>
        </w:rPr>
        <w:t>。二是按学生实际在校天数核定、拨付各校的营养餐资金。通过项目实施，规范了各校营养改善计划食堂管理、改善了义务教育学校学生营养状况，逐步提高师生健康水平，确保了全区所有城市义务教育阶段学校正常免费供应营养餐，保障了营养改善计划落到实处。</w:t>
      </w:r>
    </w:p>
    <w:p>
      <w:pPr>
        <w:keepNext w:val="0"/>
        <w:keepLines w:val="0"/>
        <w:pageBreakBefore w:val="0"/>
        <w:widowControl w:val="0"/>
        <w:tabs>
          <w:tab w:val="left" w:pos="312"/>
        </w:tabs>
        <w:kinsoku/>
        <w:wordWrap/>
        <w:overflowPunct/>
        <w:topLinePunct w:val="0"/>
        <w:bidi w:val="0"/>
        <w:snapToGrid w:val="0"/>
        <w:spacing w:line="56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ascii="仿宋_GB2312" w:hAnsi="仿宋_GB2312" w:eastAsia="仿宋_GB2312" w:cs="仿宋_GB2312"/>
          <w:b w:val="0"/>
          <w:bCs w:val="0"/>
          <w:color w:val="000000" w:themeColor="text1"/>
          <w:sz w:val="28"/>
          <w:szCs w:val="28"/>
        </w:rPr>
        <w:t>5.</w:t>
      </w:r>
      <w:r>
        <w:rPr>
          <w:rFonts w:hint="eastAsia" w:ascii="仿宋_GB2312" w:hAnsi="仿宋_GB2312" w:eastAsia="仿宋_GB2312" w:cs="仿宋_GB2312"/>
          <w:b w:val="0"/>
          <w:bCs w:val="0"/>
          <w:color w:val="000000" w:themeColor="text1"/>
          <w:sz w:val="28"/>
          <w:szCs w:val="28"/>
        </w:rPr>
        <w:t>建档立卡贫困家庭中学生生活费补助项目绩效目标完成情况综述。项目全年预算数</w:t>
      </w:r>
      <w:r>
        <w:rPr>
          <w:rFonts w:hint="eastAsia" w:ascii="仿宋" w:hAnsi="仿宋" w:eastAsia="仿宋" w:cs="仿宋"/>
          <w:b w:val="0"/>
          <w:bCs w:val="0"/>
          <w:color w:val="000000" w:themeColor="text1"/>
          <w:sz w:val="28"/>
          <w:szCs w:val="28"/>
        </w:rPr>
        <w:t>7.38万元</w:t>
      </w:r>
      <w:r>
        <w:rPr>
          <w:rFonts w:hint="eastAsia" w:ascii="仿宋_GB2312" w:hAnsi="仿宋_GB2312" w:eastAsia="仿宋_GB2312" w:cs="仿宋_GB2312"/>
          <w:b w:val="0"/>
          <w:bCs w:val="0"/>
          <w:color w:val="000000" w:themeColor="text1"/>
          <w:sz w:val="28"/>
          <w:szCs w:val="28"/>
        </w:rPr>
        <w:t>，执行数为</w:t>
      </w:r>
      <w:r>
        <w:rPr>
          <w:rFonts w:hint="eastAsia" w:ascii="仿宋" w:hAnsi="仿宋" w:eastAsia="仿宋" w:cs="仿宋"/>
          <w:b w:val="0"/>
          <w:bCs w:val="0"/>
          <w:color w:val="000000" w:themeColor="text1"/>
          <w:sz w:val="28"/>
          <w:szCs w:val="28"/>
        </w:rPr>
        <w:t>7.38万元</w:t>
      </w:r>
      <w:r>
        <w:rPr>
          <w:rFonts w:hint="eastAsia" w:ascii="仿宋_GB2312" w:hAnsi="仿宋_GB2312" w:eastAsia="仿宋_GB2312" w:cs="仿宋_GB2312"/>
          <w:b w:val="0"/>
          <w:bCs w:val="0"/>
          <w:color w:val="000000" w:themeColor="text1"/>
          <w:sz w:val="28"/>
          <w:szCs w:val="28"/>
        </w:rPr>
        <w:t>，完成预算的</w:t>
      </w:r>
      <w:r>
        <w:rPr>
          <w:rFonts w:ascii="仿宋_GB2312" w:hAnsi="仿宋_GB2312" w:eastAsia="仿宋_GB2312" w:cs="仿宋_GB2312"/>
          <w:b w:val="0"/>
          <w:bCs w:val="0"/>
          <w:color w:val="000000" w:themeColor="text1"/>
          <w:sz w:val="28"/>
          <w:szCs w:val="28"/>
        </w:rPr>
        <w:t>100%</w:t>
      </w:r>
      <w:r>
        <w:rPr>
          <w:rFonts w:hint="eastAsia" w:ascii="仿宋_GB2312" w:hAnsi="仿宋_GB2312" w:eastAsia="仿宋_GB2312" w:cs="仿宋_GB2312"/>
          <w:b w:val="0"/>
          <w:bCs w:val="0"/>
          <w:color w:val="000000" w:themeColor="text1"/>
          <w:sz w:val="28"/>
          <w:szCs w:val="28"/>
        </w:rPr>
        <w:t>。通过项目实施，贯彻落实了建档立卡贫困户学生生活费补助资助政策，实现了建档立卡本专科学生受助全覆盖，进一步减轻了贫困家庭子女教育的经济负担，确保学生顺利完成学业。发现的主要问题：政策知晓率不够，学生受助账户信息不完整。下一步改进措施：要求进一步加强政策宣传，力争政策知晓率达到</w:t>
      </w:r>
      <w:r>
        <w:rPr>
          <w:rFonts w:ascii="仿宋_GB2312" w:hAnsi="仿宋_GB2312" w:eastAsia="仿宋_GB2312" w:cs="仿宋_GB2312"/>
          <w:b w:val="0"/>
          <w:bCs w:val="0"/>
          <w:color w:val="000000" w:themeColor="text1"/>
          <w:sz w:val="28"/>
          <w:szCs w:val="28"/>
        </w:rPr>
        <w:t>100%</w:t>
      </w:r>
      <w:r>
        <w:rPr>
          <w:rFonts w:hint="eastAsia" w:ascii="仿宋_GB2312" w:hAnsi="仿宋_GB2312" w:eastAsia="仿宋_GB2312" w:cs="仿宋_GB2312"/>
          <w:b w:val="0"/>
          <w:bCs w:val="0"/>
          <w:color w:val="000000" w:themeColor="text1"/>
          <w:sz w:val="28"/>
          <w:szCs w:val="28"/>
        </w:rPr>
        <w:t>。学生受助账户统一使用学生本人社保卡发放。</w:t>
      </w:r>
    </w:p>
    <w:p>
      <w:pPr>
        <w:keepNext w:val="0"/>
        <w:keepLines w:val="0"/>
        <w:pageBreakBefore w:val="0"/>
        <w:widowControl w:val="0"/>
        <w:tabs>
          <w:tab w:val="left" w:pos="312"/>
        </w:tabs>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（三）</w:t>
      </w:r>
      <w:r>
        <w:rPr>
          <w:rFonts w:hint="eastAsia" w:ascii="楷体" w:hAnsi="楷体" w:eastAsia="楷体" w:cs="楷体"/>
          <w:b w:val="0"/>
          <w:bCs w:val="0"/>
          <w:color w:val="000000" w:themeColor="text1"/>
          <w:sz w:val="28"/>
          <w:szCs w:val="28"/>
        </w:rPr>
        <w:t>部门开展绩效评价结果。</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本部门按要求对</w:t>
      </w:r>
      <w:r>
        <w:rPr>
          <w:rFonts w:ascii="仿宋_GB2312" w:hAnsi="仿宋_GB2312" w:eastAsia="仿宋_GB2312" w:cs="仿宋_GB2312"/>
          <w:b w:val="0"/>
          <w:bCs w:val="0"/>
          <w:color w:val="000000" w:themeColor="text1"/>
          <w:sz w:val="28"/>
          <w:szCs w:val="28"/>
        </w:rPr>
        <w:t>2019</w:t>
      </w:r>
      <w:r>
        <w:rPr>
          <w:rFonts w:hint="eastAsia" w:ascii="仿宋_GB2312" w:hAnsi="仿宋_GB2312" w:eastAsia="仿宋_GB2312" w:cs="仿宋_GB2312"/>
          <w:b w:val="0"/>
          <w:bCs w:val="0"/>
          <w:color w:val="000000" w:themeColor="text1"/>
          <w:sz w:val="28"/>
          <w:szCs w:val="28"/>
        </w:rPr>
        <w:t>年部门整体支出绩效评价情况开展自评，《广元市利州区教育局部门</w:t>
      </w:r>
      <w:r>
        <w:rPr>
          <w:rFonts w:ascii="仿宋_GB2312" w:hAnsi="仿宋_GB2312" w:eastAsia="仿宋_GB2312" w:cs="仿宋_GB2312"/>
          <w:b w:val="0"/>
          <w:bCs w:val="0"/>
          <w:color w:val="000000" w:themeColor="text1"/>
          <w:sz w:val="28"/>
          <w:szCs w:val="28"/>
        </w:rPr>
        <w:t>2019</w:t>
      </w:r>
      <w:r>
        <w:rPr>
          <w:rFonts w:hint="eastAsia" w:ascii="仿宋_GB2312" w:hAnsi="仿宋_GB2312" w:eastAsia="仿宋_GB2312" w:cs="仿宋_GB2312"/>
          <w:b w:val="0"/>
          <w:bCs w:val="0"/>
          <w:color w:val="000000" w:themeColor="text1"/>
          <w:sz w:val="28"/>
          <w:szCs w:val="28"/>
        </w:rPr>
        <w:t>年部门整体支出绩效评价报告》见附件。</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本部门自行组织对本专科建档立卡贫困学生特别资助项目、学生营养改善计划项目项目开展了绩效评价，各项目</w:t>
      </w:r>
      <w:r>
        <w:rPr>
          <w:rFonts w:ascii="仿宋_GB2312" w:hAnsi="仿宋_GB2312" w:eastAsia="仿宋_GB2312" w:cs="仿宋_GB2312"/>
          <w:b w:val="0"/>
          <w:bCs w:val="0"/>
          <w:color w:val="000000" w:themeColor="text1"/>
          <w:sz w:val="28"/>
          <w:szCs w:val="28"/>
        </w:rPr>
        <w:t>2019</w:t>
      </w:r>
      <w:r>
        <w:rPr>
          <w:rFonts w:hint="eastAsia" w:ascii="仿宋_GB2312" w:hAnsi="仿宋_GB2312" w:eastAsia="仿宋_GB2312" w:cs="仿宋_GB2312"/>
          <w:b w:val="0"/>
          <w:bCs w:val="0"/>
          <w:color w:val="000000" w:themeColor="text1"/>
          <w:sz w:val="28"/>
          <w:szCs w:val="28"/>
        </w:rPr>
        <w:t>年绩效评价报告见附件。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ascii="仿宋" w:hAnsi="仿宋" w:eastAsia="仿宋"/>
          <w:b w:val="0"/>
          <w:bCs w:val="0"/>
          <w:color w:val="000000" w:themeColor="text1"/>
          <w:sz w:val="28"/>
          <w:szCs w:val="28"/>
        </w:rPr>
      </w:pPr>
      <w:r>
        <w:rPr>
          <w:rFonts w:hint="eastAsia" w:ascii="仿宋" w:hAnsi="仿宋" w:eastAsia="仿宋" w:cs="仿宋"/>
          <w:b w:val="0"/>
          <w:bCs w:val="0"/>
          <w:color w:val="000000" w:themeColor="text1"/>
          <w:sz w:val="28"/>
          <w:szCs w:val="28"/>
        </w:rPr>
        <w:t>（数据来源财决</w:t>
      </w:r>
      <w:r>
        <w:rPr>
          <w:rFonts w:ascii="仿宋" w:hAnsi="仿宋" w:eastAsia="仿宋" w:cs="仿宋"/>
          <w:b w:val="0"/>
          <w:bCs w:val="0"/>
          <w:color w:val="000000" w:themeColor="text1"/>
          <w:sz w:val="28"/>
          <w:szCs w:val="28"/>
        </w:rPr>
        <w:t>CS05</w:t>
      </w:r>
      <w:r>
        <w:rPr>
          <w:rFonts w:hint="eastAsia" w:ascii="仿宋" w:hAnsi="仿宋" w:eastAsia="仿宋" w:cs="仿宋"/>
          <w:b w:val="0"/>
          <w:bCs w:val="0"/>
          <w:color w:val="000000" w:themeColor="text1"/>
          <w:sz w:val="28"/>
          <w:szCs w:val="28"/>
        </w:rPr>
        <w:t>表，按部门决算报表填报数据罗列车辆情况。）</w:t>
      </w:r>
    </w:p>
    <w:p>
      <w:pPr>
        <w:widowControl/>
        <w:jc w:val="left"/>
        <w:rPr>
          <w:rFonts w:ascii="仿宋" w:hAnsi="仿宋" w:eastAsia="仿宋"/>
          <w:b/>
          <w:bCs/>
          <w:sz w:val="32"/>
          <w:szCs w:val="32"/>
        </w:rPr>
      </w:pPr>
      <w:r>
        <w:rPr>
          <w:rFonts w:ascii="仿宋" w:hAnsi="仿宋" w:eastAsia="仿宋"/>
          <w:b/>
          <w:bCs/>
          <w:sz w:val="32"/>
          <w:szCs w:val="32"/>
        </w:rPr>
        <w:br w:type="page"/>
      </w:r>
    </w:p>
    <w:p>
      <w:pPr>
        <w:numPr>
          <w:ilvl w:val="0"/>
          <w:numId w:val="4"/>
        </w:numPr>
        <w:spacing w:line="600" w:lineRule="exact"/>
        <w:ind w:firstLine="662" w:firstLineChars="150"/>
        <w:jc w:val="center"/>
        <w:outlineLvl w:val="0"/>
        <w:rPr>
          <w:rFonts w:hint="eastAsia" w:ascii="方正小标宋简体" w:hAnsi="方正小标宋简体" w:eastAsia="方正小标宋简体" w:cs="方正小标宋简体"/>
          <w:kern w:val="44"/>
          <w:sz w:val="44"/>
          <w:szCs w:val="44"/>
        </w:rPr>
      </w:pPr>
      <w:bookmarkStart w:id="53" w:name="_Toc15377225"/>
      <w:bookmarkStart w:id="54" w:name="_Toc19089875"/>
      <w:r>
        <w:rPr>
          <w:rFonts w:hint="eastAsia" w:ascii="方正小标宋简体" w:hAnsi="方正小标宋简体" w:eastAsia="方正小标宋简体" w:cs="方正小标宋简体"/>
          <w:b/>
          <w:bCs/>
          <w:sz w:val="44"/>
          <w:szCs w:val="44"/>
        </w:rPr>
        <w:t>名</w:t>
      </w:r>
      <w:r>
        <w:rPr>
          <w:rStyle w:val="16"/>
          <w:rFonts w:hint="eastAsia" w:ascii="方正小标宋简体" w:hAnsi="方正小标宋简体" w:eastAsia="方正小标宋简体" w:cs="方正小标宋简体"/>
          <w:b w:val="0"/>
          <w:bCs w:val="0"/>
        </w:rPr>
        <w:t>词解释</w:t>
      </w:r>
      <w:bookmarkEnd w:id="53"/>
      <w:bookmarkEnd w:id="54"/>
    </w:p>
    <w:p>
      <w:pPr>
        <w:pStyle w:val="26"/>
        <w:keepNext w:val="0"/>
        <w:keepLines w:val="0"/>
        <w:pageBreakBefore w:val="0"/>
        <w:widowControl w:val="0"/>
        <w:kinsoku/>
        <w:wordWrap/>
        <w:overflowPunct/>
        <w:topLinePunct w:val="0"/>
        <w:bidi w:val="0"/>
        <w:snapToGrid w:val="0"/>
        <w:spacing w:line="520" w:lineRule="exact"/>
        <w:ind w:firstLine="640" w:firstLineChars="200"/>
        <w:textAlignment w:val="auto"/>
        <w:rPr>
          <w:rFonts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4.其他收入：指单位取得的除上述收入以外的各项收入。主要是学前教育保育教育费收入、银行存款利息收入等。</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6.年初结转和结余：指以前年度尚未完成、结转到本年按有关规定继续使用的资金。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21. 教育支出（类）教育附加费安排的支出（款）城市中小学校舍建设（项）:反映教育附加费安排用于城市中小学校舍新建、改建、修缮和维护的支出。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34.项目支出：指在基本支出之外为完成特定行政任务和事业发展目标所发生的支出。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（名词解释部分请根据各部门实际列支情况罗列，并根据本部门职责职能增减名词解释内容。）</w:t>
      </w:r>
    </w:p>
    <w:p>
      <w:pPr>
        <w:spacing w:line="600" w:lineRule="exact"/>
        <w:jc w:val="center"/>
        <w:outlineLvl w:val="0"/>
        <w:rPr>
          <w:rStyle w:val="16"/>
          <w:rFonts w:hint="eastAsia" w:ascii="方正小标宋简体" w:hAnsi="方正小标宋简体" w:eastAsia="方正小标宋简体" w:cs="方正小标宋简体"/>
          <w:b w:val="0"/>
          <w:bCs w:val="0"/>
        </w:rPr>
      </w:pPr>
      <w:bookmarkStart w:id="55" w:name="_Toc19089876"/>
      <w:bookmarkStart w:id="56" w:name="_Toc15377226"/>
      <w:r>
        <w:rPr>
          <w:rFonts w:hint="eastAsia" w:ascii="方正小标宋简体" w:hAnsi="方正小标宋简体" w:eastAsia="方正小标宋简体" w:cs="方正小标宋简体"/>
          <w:sz w:val="44"/>
          <w:szCs w:val="44"/>
        </w:rPr>
        <w:t>第</w:t>
      </w:r>
      <w:r>
        <w:rPr>
          <w:rStyle w:val="16"/>
          <w:rFonts w:hint="eastAsia" w:ascii="方正小标宋简体" w:hAnsi="方正小标宋简体" w:eastAsia="方正小标宋简体" w:cs="方正小标宋简体"/>
          <w:b w:val="0"/>
          <w:bCs w:val="0"/>
        </w:rPr>
        <w:t>四部分</w:t>
      </w:r>
      <w:r>
        <w:rPr>
          <w:rStyle w:val="16"/>
          <w:rFonts w:hint="eastAsia" w:ascii="方正小标宋简体" w:hAnsi="方正小标宋简体" w:eastAsia="方正小标宋简体" w:cs="方正小标宋简体"/>
          <w:b w:val="0"/>
          <w:bCs w:val="0"/>
          <w:lang w:val="en-US" w:eastAsia="zh-CN"/>
        </w:rPr>
        <w:t xml:space="preserve">  </w:t>
      </w:r>
      <w:r>
        <w:rPr>
          <w:rStyle w:val="16"/>
          <w:rFonts w:hint="eastAsia" w:ascii="方正小标宋简体" w:hAnsi="方正小标宋简体" w:eastAsia="方正小标宋简体" w:cs="方正小标宋简体"/>
          <w:b w:val="0"/>
          <w:bCs w:val="0"/>
        </w:rPr>
        <w:t>附件</w:t>
      </w:r>
      <w:bookmarkEnd w:id="55"/>
    </w:p>
    <w:p>
      <w:pPr>
        <w:widowControl/>
        <w:jc w:val="left"/>
        <w:rPr>
          <w:rFonts w:ascii="仿宋" w:hAnsi="仿宋" w:eastAsia="仿宋" w:cs="仿宋"/>
          <w:kern w:val="44"/>
          <w:sz w:val="32"/>
          <w:szCs w:val="32"/>
        </w:rPr>
      </w:pPr>
      <w:bookmarkStart w:id="57" w:name="_Toc19089877"/>
      <w:r>
        <w:rPr>
          <w:rFonts w:hint="eastAsia" w:ascii="仿宋" w:hAnsi="仿宋" w:eastAsia="仿宋" w:cs="仿宋"/>
          <w:kern w:val="44"/>
          <w:sz w:val="32"/>
          <w:szCs w:val="32"/>
        </w:rPr>
        <w:t>附件</w:t>
      </w:r>
      <w:r>
        <w:rPr>
          <w:rFonts w:ascii="仿宋" w:hAnsi="仿宋" w:eastAsia="仿宋" w:cs="仿宋"/>
          <w:kern w:val="44"/>
          <w:sz w:val="32"/>
          <w:szCs w:val="32"/>
        </w:rPr>
        <w:t>1</w:t>
      </w:r>
      <w:bookmarkEnd w:id="57"/>
    </w:p>
    <w:p>
      <w:pPr>
        <w:spacing w:line="600" w:lineRule="exact"/>
        <w:jc w:val="center"/>
        <w:outlineLvl w:val="0"/>
        <w:rPr>
          <w:rFonts w:hint="eastAsia" w:ascii="黑体" w:hAnsi="黑体" w:eastAsia="黑体" w:cs="黑体"/>
          <w:sz w:val="36"/>
          <w:szCs w:val="36"/>
        </w:rPr>
      </w:pPr>
      <w:bookmarkStart w:id="58" w:name="_Toc19089878"/>
      <w:bookmarkStart w:id="59" w:name="_Toc15396616"/>
      <w:r>
        <w:rPr>
          <w:rFonts w:hint="eastAsia" w:ascii="黑体" w:hAnsi="黑体" w:eastAsia="黑体" w:cs="黑体"/>
          <w:sz w:val="36"/>
          <w:szCs w:val="36"/>
        </w:rPr>
        <w:t>广元市利州区雪峰小学</w:t>
      </w:r>
    </w:p>
    <w:p>
      <w:pPr>
        <w:spacing w:line="600" w:lineRule="exact"/>
        <w:jc w:val="center"/>
        <w:outlineLvl w:val="0"/>
        <w:rPr>
          <w:rFonts w:ascii="黑体" w:hAnsi="黑体" w:eastAsia="黑体"/>
          <w:sz w:val="36"/>
          <w:szCs w:val="36"/>
        </w:rPr>
      </w:pPr>
      <w:r>
        <w:rPr>
          <w:rFonts w:ascii="黑体" w:hAnsi="黑体" w:eastAsia="黑体" w:cs="黑体"/>
          <w:sz w:val="36"/>
          <w:szCs w:val="36"/>
        </w:rPr>
        <w:t>2019</w:t>
      </w:r>
      <w:r>
        <w:rPr>
          <w:rFonts w:hint="eastAsia" w:ascii="黑体" w:hAnsi="黑体" w:eastAsia="黑体" w:cs="黑体"/>
          <w:sz w:val="36"/>
          <w:szCs w:val="36"/>
        </w:rPr>
        <w:t>年部门整体支出</w:t>
      </w:r>
      <w:bookmarkEnd w:id="58"/>
      <w:bookmarkStart w:id="60" w:name="_Toc19089879"/>
      <w:r>
        <w:rPr>
          <w:rFonts w:hint="eastAsia" w:ascii="黑体" w:hAnsi="黑体" w:eastAsia="黑体" w:cs="黑体"/>
          <w:sz w:val="36"/>
          <w:szCs w:val="36"/>
        </w:rPr>
        <w:t>绩效评价报告</w:t>
      </w:r>
      <w:bookmarkEnd w:id="59"/>
      <w:bookmarkEnd w:id="60"/>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广元市利州区雪峰小学下设各处室 8 个，分别是支部、工会、教导处、教科室、德育处、总务处、安全办、技装室。</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pStyle w:val="5"/>
        <w:keepNext w:val="0"/>
        <w:keepLines w:val="0"/>
        <w:pageBreakBefore w:val="0"/>
        <w:widowControl w:val="0"/>
        <w:kinsoku/>
        <w:wordWrap/>
        <w:overflowPunct/>
        <w:topLinePunct w:val="0"/>
        <w:autoSpaceDE/>
        <w:autoSpaceDN/>
        <w:bidi w:val="0"/>
        <w:adjustRightInd w:val="0"/>
        <w:snapToGrid w:val="0"/>
        <w:spacing w:beforeLines="0" w:line="520" w:lineRule="exact"/>
        <w:ind w:firstLine="560" w:firstLineChars="200"/>
        <w:textAlignment w:val="auto"/>
        <w:rPr>
          <w:rFonts w:cs="Times New Roman"/>
          <w:sz w:val="28"/>
          <w:szCs w:val="28"/>
        </w:rPr>
      </w:pPr>
      <w:r>
        <w:rPr>
          <w:rFonts w:hint="eastAsia"/>
          <w:sz w:val="28"/>
          <w:szCs w:val="28"/>
        </w:rPr>
        <w:t>实施义务教育小学阶段教育，促进学生素质教育全面实施。</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广元市利州区教育局及下属学校共有编制65名，其中行政编制</w:t>
      </w:r>
      <w:r>
        <w:rPr>
          <w:rFonts w:ascii="仿宋" w:hAnsi="仿宋" w:eastAsia="仿宋" w:cs="仿宋"/>
          <w:color w:val="000000"/>
          <w:sz w:val="28"/>
          <w:szCs w:val="28"/>
        </w:rPr>
        <w:t>0</w:t>
      </w:r>
      <w:r>
        <w:rPr>
          <w:rFonts w:hint="eastAsia" w:ascii="仿宋" w:hAnsi="仿宋" w:eastAsia="仿宋" w:cs="仿宋"/>
          <w:color w:val="000000"/>
          <w:sz w:val="28"/>
          <w:szCs w:val="28"/>
        </w:rPr>
        <w:t>人，全额财政补助事业编制62人。截至</w:t>
      </w:r>
      <w:r>
        <w:rPr>
          <w:rFonts w:ascii="仿宋" w:hAnsi="仿宋" w:eastAsia="仿宋" w:cs="仿宋"/>
          <w:color w:val="000000"/>
          <w:sz w:val="28"/>
          <w:szCs w:val="28"/>
        </w:rPr>
        <w:t>2018</w:t>
      </w:r>
      <w:r>
        <w:rPr>
          <w:rFonts w:hint="eastAsia" w:ascii="仿宋" w:hAnsi="仿宋" w:eastAsia="仿宋" w:cs="仿宋"/>
          <w:color w:val="000000"/>
          <w:sz w:val="28"/>
          <w:szCs w:val="28"/>
        </w:rPr>
        <w:t>年末，实有在职人员62人，退休人员31人，学校实有学生1478人。</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cs="仿宋"/>
          <w:color w:val="000000"/>
          <w:sz w:val="28"/>
          <w:szCs w:val="28"/>
        </w:rPr>
      </w:pPr>
      <w:r>
        <w:rPr>
          <w:rFonts w:ascii="仿宋" w:hAnsi="仿宋" w:eastAsia="仿宋" w:cs="仿宋"/>
          <w:color w:val="000000"/>
          <w:sz w:val="28"/>
          <w:szCs w:val="28"/>
        </w:rPr>
        <w:t>2019</w:t>
      </w:r>
      <w:r>
        <w:rPr>
          <w:rFonts w:hint="eastAsia" w:ascii="仿宋" w:hAnsi="仿宋" w:eastAsia="仿宋" w:cs="仿宋"/>
          <w:color w:val="000000"/>
          <w:sz w:val="28"/>
          <w:szCs w:val="28"/>
        </w:rPr>
        <w:t>年财政拨款收入总计1539.82万元。与</w:t>
      </w:r>
      <w:r>
        <w:rPr>
          <w:rFonts w:ascii="仿宋" w:hAnsi="仿宋" w:eastAsia="仿宋" w:cs="仿宋"/>
          <w:color w:val="000000"/>
          <w:sz w:val="28"/>
          <w:szCs w:val="28"/>
        </w:rPr>
        <w:t>2018</w:t>
      </w:r>
      <w:r>
        <w:rPr>
          <w:rFonts w:hint="eastAsia" w:ascii="仿宋" w:hAnsi="仿宋" w:eastAsia="仿宋" w:cs="仿宋"/>
          <w:color w:val="000000"/>
          <w:sz w:val="28"/>
          <w:szCs w:val="28"/>
        </w:rPr>
        <w:t>年相比（909.35万元），财政拨款收入总计增加630.47万元，增涨</w:t>
      </w:r>
      <w:r>
        <w:rPr>
          <w:rFonts w:ascii="仿宋" w:hAnsi="仿宋" w:eastAsia="仿宋" w:cs="仿宋"/>
          <w:color w:val="000000"/>
          <w:sz w:val="28"/>
          <w:szCs w:val="28"/>
        </w:rPr>
        <w:t>0.</w:t>
      </w:r>
      <w:r>
        <w:rPr>
          <w:rFonts w:hint="eastAsia" w:ascii="仿宋" w:hAnsi="仿宋" w:eastAsia="仿宋" w:cs="仿宋"/>
          <w:color w:val="000000"/>
          <w:sz w:val="28"/>
          <w:szCs w:val="28"/>
        </w:rPr>
        <w:t>69</w:t>
      </w:r>
      <w:r>
        <w:rPr>
          <w:rFonts w:ascii="仿宋" w:hAnsi="仿宋" w:eastAsia="仿宋" w:cs="仿宋"/>
          <w:color w:val="000000"/>
          <w:sz w:val="28"/>
          <w:szCs w:val="28"/>
        </w:rPr>
        <w:t>%</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（二）部门财政资金支出情况</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jc w:val="both"/>
        <w:textAlignment w:val="auto"/>
        <w:rPr>
          <w:rFonts w:hint="eastAsia"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2019年财政拨款支出总计971.59万元。与2018年相比（1633.48万元），财政拨款支出总计减少661.89万元，减少41%。</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（一）部门预算管理</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部门绩效目标制定</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预算编制和执行</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color w:val="000000"/>
          <w:sz w:val="28"/>
          <w:szCs w:val="28"/>
        </w:rPr>
      </w:pPr>
      <w:r>
        <w:rPr>
          <w:rFonts w:hint="eastAsia" w:ascii="仿宋" w:hAnsi="仿宋" w:eastAsia="仿宋" w:cs="仿宋"/>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
          <w:color w:val="000000"/>
          <w:sz w:val="28"/>
          <w:szCs w:val="28"/>
        </w:rPr>
        <w:t>标实现较为理想，达到预期目的。部门整体绩效评价得分61.5分。</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color w:val="000000"/>
          <w:sz w:val="28"/>
          <w:szCs w:val="28"/>
        </w:rPr>
      </w:pPr>
      <w:r>
        <w:rPr>
          <w:rFonts w:hint="eastAsia" w:ascii="仿宋" w:hAnsi="仿宋" w:eastAsia="仿宋" w:cs="仿宋"/>
          <w:color w:val="000000"/>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落实预算执行分析，及时了解预算执行差异，合理调整、纠正预算执行偏差，切实提高部门预算收支管理水平。</w:t>
      </w:r>
    </w:p>
    <w:p>
      <w:pPr>
        <w:rPr>
          <w:rFonts w:hint="eastAsia" w:ascii="黑体" w:hAnsi="黑体" w:eastAsia="黑体" w:cs="黑体"/>
          <w:sz w:val="44"/>
          <w:szCs w:val="44"/>
        </w:rPr>
      </w:pPr>
      <w:bookmarkStart w:id="61" w:name="_Toc19089885"/>
      <w:r>
        <w:rPr>
          <w:rFonts w:hint="eastAsia" w:ascii="黑体" w:hAnsi="黑体" w:eastAsia="黑体" w:cs="黑体"/>
          <w:sz w:val="44"/>
          <w:szCs w:val="44"/>
        </w:rPr>
        <w:br w:type="page"/>
      </w:r>
    </w:p>
    <w:p>
      <w:pPr>
        <w:widowControl/>
        <w:ind w:firstLine="2200" w:firstLineChars="500"/>
        <w:jc w:val="left"/>
        <w:rPr>
          <w:rStyle w:val="16"/>
          <w:rFonts w:hint="eastAsia" w:ascii="方正小标宋简体" w:hAnsi="方正小标宋简体" w:eastAsia="方正小标宋简体" w:cs="方正小标宋简体"/>
          <w:b w:val="0"/>
          <w:bCs w:val="0"/>
          <w:color w:val="000000"/>
          <w:kern w:val="2"/>
        </w:rPr>
      </w:pPr>
      <w:r>
        <w:rPr>
          <w:rFonts w:hint="eastAsia" w:ascii="方正小标宋简体" w:hAnsi="方正小标宋简体" w:eastAsia="方正小标宋简体" w:cs="方正小标宋简体"/>
          <w:sz w:val="44"/>
          <w:szCs w:val="44"/>
        </w:rPr>
        <w:t>第</w:t>
      </w:r>
      <w:r>
        <w:rPr>
          <w:rStyle w:val="16"/>
          <w:rFonts w:hint="eastAsia" w:ascii="方正小标宋简体" w:hAnsi="方正小标宋简体" w:eastAsia="方正小标宋简体" w:cs="方正小标宋简体"/>
          <w:b w:val="0"/>
          <w:bCs w:val="0"/>
        </w:rPr>
        <w:t>五部分</w:t>
      </w:r>
      <w:r>
        <w:rPr>
          <w:rStyle w:val="16"/>
          <w:rFonts w:hint="eastAsia" w:ascii="方正小标宋简体" w:hAnsi="方正小标宋简体" w:eastAsia="方正小标宋简体" w:cs="方正小标宋简体"/>
          <w:b w:val="0"/>
          <w:bCs w:val="0"/>
          <w:lang w:val="en-US" w:eastAsia="zh-CN"/>
        </w:rPr>
        <w:t xml:space="preserve">  </w:t>
      </w:r>
      <w:r>
        <w:rPr>
          <w:rStyle w:val="16"/>
          <w:rFonts w:hint="eastAsia" w:ascii="方正小标宋简体" w:hAnsi="方正小标宋简体" w:eastAsia="方正小标宋简体" w:cs="方正小标宋简体"/>
          <w:b w:val="0"/>
          <w:bCs w:val="0"/>
        </w:rPr>
        <w:t>附表</w:t>
      </w:r>
      <w:bookmarkEnd w:id="56"/>
      <w:bookmarkEnd w:id="61"/>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仿宋" w:hAnsi="仿宋" w:eastAsia="仿宋" w:cs="仿宋"/>
          <w:sz w:val="28"/>
          <w:szCs w:val="28"/>
        </w:rPr>
      </w:pPr>
      <w:bookmarkStart w:id="62" w:name="_Toc19089886"/>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bookmarkEnd w:id="62"/>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3" w:name="_Toc19089887"/>
      <w:r>
        <w:rPr>
          <w:rFonts w:hint="eastAsia" w:ascii="仿宋" w:hAnsi="仿宋" w:eastAsia="仿宋" w:cs="仿宋"/>
          <w:sz w:val="28"/>
          <w:szCs w:val="28"/>
        </w:rPr>
        <w:t>二、收入总表</w:t>
      </w:r>
      <w:bookmarkEnd w:id="63"/>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4" w:name="_Toc19089888"/>
      <w:r>
        <w:rPr>
          <w:rFonts w:hint="eastAsia" w:ascii="仿宋" w:hAnsi="仿宋" w:eastAsia="仿宋" w:cs="仿宋"/>
          <w:sz w:val="28"/>
          <w:szCs w:val="28"/>
        </w:rPr>
        <w:t>三、支出总表</w:t>
      </w:r>
      <w:bookmarkEnd w:id="64"/>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5" w:name="_Toc19089889"/>
      <w:r>
        <w:rPr>
          <w:rFonts w:hint="eastAsia" w:ascii="仿宋" w:hAnsi="仿宋" w:eastAsia="仿宋" w:cs="仿宋"/>
          <w:sz w:val="28"/>
          <w:szCs w:val="28"/>
        </w:rPr>
        <w:t>四、财政拨款收入支出决算总表</w:t>
      </w:r>
      <w:bookmarkEnd w:id="65"/>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6" w:name="_Toc19089890"/>
      <w:r>
        <w:rPr>
          <w:rFonts w:hint="eastAsia" w:ascii="仿宋" w:hAnsi="仿宋" w:eastAsia="仿宋" w:cs="仿宋"/>
          <w:sz w:val="28"/>
          <w:szCs w:val="28"/>
        </w:rPr>
        <w:t>五、财政拨款支出决算明细表（政府经济分类科目）</w:t>
      </w:r>
      <w:bookmarkEnd w:id="66"/>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7" w:name="_Toc19089891"/>
      <w:r>
        <w:rPr>
          <w:rFonts w:hint="eastAsia" w:ascii="仿宋" w:hAnsi="仿宋" w:eastAsia="仿宋" w:cs="仿宋"/>
          <w:sz w:val="28"/>
          <w:szCs w:val="28"/>
        </w:rPr>
        <w:t>六、一般公共预算财政拨款支出决算表</w:t>
      </w:r>
      <w:bookmarkEnd w:id="67"/>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8" w:name="_Toc19089892"/>
      <w:r>
        <w:rPr>
          <w:rFonts w:hint="eastAsia" w:ascii="仿宋" w:hAnsi="仿宋" w:eastAsia="仿宋" w:cs="仿宋"/>
          <w:sz w:val="28"/>
          <w:szCs w:val="28"/>
        </w:rPr>
        <w:t>七、一般公共预算财政拨款支出决算明细表</w:t>
      </w:r>
      <w:bookmarkEnd w:id="68"/>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69" w:name="_Toc19089893"/>
      <w:r>
        <w:rPr>
          <w:rFonts w:hint="eastAsia" w:ascii="仿宋" w:hAnsi="仿宋" w:eastAsia="仿宋" w:cs="仿宋"/>
          <w:sz w:val="28"/>
          <w:szCs w:val="28"/>
        </w:rPr>
        <w:t>八、一般公共预算财政拨款基本支出决算表</w:t>
      </w:r>
      <w:bookmarkEnd w:id="69"/>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70" w:name="_Toc19089894"/>
      <w:r>
        <w:rPr>
          <w:rFonts w:hint="eastAsia" w:ascii="仿宋" w:hAnsi="仿宋" w:eastAsia="仿宋" w:cs="仿宋"/>
          <w:sz w:val="28"/>
          <w:szCs w:val="28"/>
        </w:rPr>
        <w:t>九、一般公共预算财政拨款项目支出决算表</w:t>
      </w:r>
      <w:bookmarkEnd w:id="70"/>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71" w:name="_Toc19089895"/>
      <w:r>
        <w:rPr>
          <w:rFonts w:hint="eastAsia" w:ascii="仿宋" w:hAnsi="仿宋" w:eastAsia="仿宋" w:cs="仿宋"/>
          <w:sz w:val="28"/>
          <w:szCs w:val="28"/>
        </w:rPr>
        <w:t>十、一般公共预算财政拨款“三公”经费支出决算表</w:t>
      </w:r>
      <w:bookmarkEnd w:id="71"/>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72" w:name="_Toc19089896"/>
      <w:r>
        <w:rPr>
          <w:rFonts w:hint="eastAsia" w:ascii="仿宋" w:hAnsi="仿宋" w:eastAsia="仿宋" w:cs="仿宋"/>
          <w:sz w:val="28"/>
          <w:szCs w:val="28"/>
        </w:rPr>
        <w:t>十一、政府性基金预算财政拨款收入支出决算表</w:t>
      </w:r>
      <w:bookmarkEnd w:id="72"/>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73" w:name="_Toc19089897"/>
      <w:r>
        <w:rPr>
          <w:rFonts w:hint="eastAsia" w:ascii="仿宋" w:hAnsi="仿宋" w:eastAsia="仿宋" w:cs="仿宋"/>
          <w:sz w:val="28"/>
          <w:szCs w:val="28"/>
        </w:rPr>
        <w:t>十二、政府性基金预算财政拨款“三公”经费支出决算表</w:t>
      </w:r>
      <w:bookmarkEnd w:id="73"/>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cs="仿宋"/>
          <w:sz w:val="28"/>
          <w:szCs w:val="28"/>
        </w:rPr>
      </w:pPr>
      <w:bookmarkStart w:id="74" w:name="_Toc19089898"/>
      <w:r>
        <w:rPr>
          <w:rFonts w:hint="eastAsia" w:ascii="仿宋" w:hAnsi="仿宋" w:eastAsia="仿宋" w:cs="仿宋"/>
          <w:sz w:val="28"/>
          <w:szCs w:val="28"/>
        </w:rPr>
        <w:t>十三、国有资本经营预算支出决算表</w:t>
      </w:r>
      <w:bookmarkEnd w:id="74"/>
    </w:p>
    <w:sectPr>
      <w:footerReference r:id="rId5" w:type="first"/>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7CC"/>
    <w:rsid w:val="00005E50"/>
    <w:rsid w:val="000222C6"/>
    <w:rsid w:val="0002549F"/>
    <w:rsid w:val="00026098"/>
    <w:rsid w:val="0003570E"/>
    <w:rsid w:val="00052455"/>
    <w:rsid w:val="0006487A"/>
    <w:rsid w:val="00065F8F"/>
    <w:rsid w:val="000768F2"/>
    <w:rsid w:val="0009184B"/>
    <w:rsid w:val="00092B99"/>
    <w:rsid w:val="00094044"/>
    <w:rsid w:val="0009593C"/>
    <w:rsid w:val="000B047F"/>
    <w:rsid w:val="000B183E"/>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57CDA"/>
    <w:rsid w:val="00260C38"/>
    <w:rsid w:val="002616C0"/>
    <w:rsid w:val="002662AA"/>
    <w:rsid w:val="00280496"/>
    <w:rsid w:val="00295495"/>
    <w:rsid w:val="00297649"/>
    <w:rsid w:val="002A0C8D"/>
    <w:rsid w:val="002B2613"/>
    <w:rsid w:val="002C0D41"/>
    <w:rsid w:val="002C7DA3"/>
    <w:rsid w:val="002E1C32"/>
    <w:rsid w:val="002E5DBE"/>
    <w:rsid w:val="002F1818"/>
    <w:rsid w:val="002F567B"/>
    <w:rsid w:val="00303037"/>
    <w:rsid w:val="003216A9"/>
    <w:rsid w:val="003240F5"/>
    <w:rsid w:val="00324C77"/>
    <w:rsid w:val="0037013F"/>
    <w:rsid w:val="00380C92"/>
    <w:rsid w:val="003A484F"/>
    <w:rsid w:val="003B0BE0"/>
    <w:rsid w:val="003B0C1B"/>
    <w:rsid w:val="003B0ED3"/>
    <w:rsid w:val="003B688C"/>
    <w:rsid w:val="003C0291"/>
    <w:rsid w:val="003C39AE"/>
    <w:rsid w:val="003C7B60"/>
    <w:rsid w:val="003D10CB"/>
    <w:rsid w:val="003D1FB2"/>
    <w:rsid w:val="003D66DA"/>
    <w:rsid w:val="003E1310"/>
    <w:rsid w:val="003E18A8"/>
    <w:rsid w:val="003E6F55"/>
    <w:rsid w:val="003F21B5"/>
    <w:rsid w:val="00406254"/>
    <w:rsid w:val="00413A10"/>
    <w:rsid w:val="004223DE"/>
    <w:rsid w:val="00425504"/>
    <w:rsid w:val="00434489"/>
    <w:rsid w:val="004367E1"/>
    <w:rsid w:val="00437085"/>
    <w:rsid w:val="00443880"/>
    <w:rsid w:val="004464F4"/>
    <w:rsid w:val="004554B4"/>
    <w:rsid w:val="00471401"/>
    <w:rsid w:val="0047387D"/>
    <w:rsid w:val="00473F31"/>
    <w:rsid w:val="0048044E"/>
    <w:rsid w:val="0048263A"/>
    <w:rsid w:val="00487E5D"/>
    <w:rsid w:val="004A55C6"/>
    <w:rsid w:val="004A711F"/>
    <w:rsid w:val="004B199D"/>
    <w:rsid w:val="004B4690"/>
    <w:rsid w:val="004C1909"/>
    <w:rsid w:val="004E0A2D"/>
    <w:rsid w:val="004E206B"/>
    <w:rsid w:val="004E6DF7"/>
    <w:rsid w:val="004E7967"/>
    <w:rsid w:val="004F0FBD"/>
    <w:rsid w:val="004F25E3"/>
    <w:rsid w:val="00505A47"/>
    <w:rsid w:val="00512FDA"/>
    <w:rsid w:val="005168F7"/>
    <w:rsid w:val="00520DA0"/>
    <w:rsid w:val="00532BA6"/>
    <w:rsid w:val="00535632"/>
    <w:rsid w:val="00561E8B"/>
    <w:rsid w:val="005664BB"/>
    <w:rsid w:val="0057481D"/>
    <w:rsid w:val="0058486E"/>
    <w:rsid w:val="005849DD"/>
    <w:rsid w:val="00597338"/>
    <w:rsid w:val="005A2E32"/>
    <w:rsid w:val="005B4D93"/>
    <w:rsid w:val="005D1C8B"/>
    <w:rsid w:val="005D55F1"/>
    <w:rsid w:val="005D5CED"/>
    <w:rsid w:val="005F09BF"/>
    <w:rsid w:val="005F1A4C"/>
    <w:rsid w:val="005F4E6B"/>
    <w:rsid w:val="005F6588"/>
    <w:rsid w:val="005F7412"/>
    <w:rsid w:val="00605688"/>
    <w:rsid w:val="006070AF"/>
    <w:rsid w:val="00607E6C"/>
    <w:rsid w:val="006101B1"/>
    <w:rsid w:val="00614E44"/>
    <w:rsid w:val="00622830"/>
    <w:rsid w:val="00626515"/>
    <w:rsid w:val="00630AEF"/>
    <w:rsid w:val="006325F8"/>
    <w:rsid w:val="00634C9A"/>
    <w:rsid w:val="006440E4"/>
    <w:rsid w:val="006625CF"/>
    <w:rsid w:val="0066343B"/>
    <w:rsid w:val="00664777"/>
    <w:rsid w:val="006748A4"/>
    <w:rsid w:val="00683E73"/>
    <w:rsid w:val="006A3141"/>
    <w:rsid w:val="006A482D"/>
    <w:rsid w:val="006A5E34"/>
    <w:rsid w:val="006B2422"/>
    <w:rsid w:val="006B2B9A"/>
    <w:rsid w:val="006B70F9"/>
    <w:rsid w:val="006C1937"/>
    <w:rsid w:val="006C2699"/>
    <w:rsid w:val="006E1AAF"/>
    <w:rsid w:val="006F020C"/>
    <w:rsid w:val="007127B7"/>
    <w:rsid w:val="007314CC"/>
    <w:rsid w:val="007415ED"/>
    <w:rsid w:val="007416B6"/>
    <w:rsid w:val="007430AC"/>
    <w:rsid w:val="00746F48"/>
    <w:rsid w:val="0075404D"/>
    <w:rsid w:val="0076182A"/>
    <w:rsid w:val="0076670D"/>
    <w:rsid w:val="00767B7E"/>
    <w:rsid w:val="007770C3"/>
    <w:rsid w:val="00780EC5"/>
    <w:rsid w:val="00784D24"/>
    <w:rsid w:val="00785203"/>
    <w:rsid w:val="00785FBA"/>
    <w:rsid w:val="00786E4A"/>
    <w:rsid w:val="007875EB"/>
    <w:rsid w:val="0079426B"/>
    <w:rsid w:val="007B4F28"/>
    <w:rsid w:val="007D312A"/>
    <w:rsid w:val="007D3F19"/>
    <w:rsid w:val="007E23B0"/>
    <w:rsid w:val="007E4CFC"/>
    <w:rsid w:val="007F1991"/>
    <w:rsid w:val="007F2C2F"/>
    <w:rsid w:val="007F55FC"/>
    <w:rsid w:val="007F5665"/>
    <w:rsid w:val="00800112"/>
    <w:rsid w:val="008253BB"/>
    <w:rsid w:val="0083706E"/>
    <w:rsid w:val="00837AF2"/>
    <w:rsid w:val="008423A5"/>
    <w:rsid w:val="00850625"/>
    <w:rsid w:val="00853219"/>
    <w:rsid w:val="00853718"/>
    <w:rsid w:val="00855221"/>
    <w:rsid w:val="00860645"/>
    <w:rsid w:val="00861DA8"/>
    <w:rsid w:val="00871F71"/>
    <w:rsid w:val="008770E7"/>
    <w:rsid w:val="00883FD9"/>
    <w:rsid w:val="00885AF4"/>
    <w:rsid w:val="0089274D"/>
    <w:rsid w:val="008939CD"/>
    <w:rsid w:val="008944D8"/>
    <w:rsid w:val="008B768C"/>
    <w:rsid w:val="008C4DB1"/>
    <w:rsid w:val="008C4EAF"/>
    <w:rsid w:val="008C5176"/>
    <w:rsid w:val="008C7FD0"/>
    <w:rsid w:val="008D105F"/>
    <w:rsid w:val="008D7202"/>
    <w:rsid w:val="008E1DE7"/>
    <w:rsid w:val="008E707C"/>
    <w:rsid w:val="008F4458"/>
    <w:rsid w:val="0090036A"/>
    <w:rsid w:val="00900B08"/>
    <w:rsid w:val="00902155"/>
    <w:rsid w:val="00902FA3"/>
    <w:rsid w:val="00905098"/>
    <w:rsid w:val="00920912"/>
    <w:rsid w:val="00923564"/>
    <w:rsid w:val="0092392E"/>
    <w:rsid w:val="00925B11"/>
    <w:rsid w:val="009315F9"/>
    <w:rsid w:val="00943E15"/>
    <w:rsid w:val="00946945"/>
    <w:rsid w:val="009478C0"/>
    <w:rsid w:val="00951248"/>
    <w:rsid w:val="0095152F"/>
    <w:rsid w:val="00954C49"/>
    <w:rsid w:val="0097099F"/>
    <w:rsid w:val="00971997"/>
    <w:rsid w:val="00971FFC"/>
    <w:rsid w:val="0097246C"/>
    <w:rsid w:val="0098660A"/>
    <w:rsid w:val="009931C3"/>
    <w:rsid w:val="009A2327"/>
    <w:rsid w:val="009A2527"/>
    <w:rsid w:val="009B2C43"/>
    <w:rsid w:val="009B4605"/>
    <w:rsid w:val="009B4EAE"/>
    <w:rsid w:val="009B7573"/>
    <w:rsid w:val="009C22F4"/>
    <w:rsid w:val="009C2E98"/>
    <w:rsid w:val="009D1A96"/>
    <w:rsid w:val="009D3447"/>
    <w:rsid w:val="009D4711"/>
    <w:rsid w:val="009E5F68"/>
    <w:rsid w:val="009F1185"/>
    <w:rsid w:val="009F18CD"/>
    <w:rsid w:val="009F2A13"/>
    <w:rsid w:val="009F51B1"/>
    <w:rsid w:val="00A0499B"/>
    <w:rsid w:val="00A04EB0"/>
    <w:rsid w:val="00A11484"/>
    <w:rsid w:val="00A13CC1"/>
    <w:rsid w:val="00A16847"/>
    <w:rsid w:val="00A237D8"/>
    <w:rsid w:val="00A268C4"/>
    <w:rsid w:val="00A307CD"/>
    <w:rsid w:val="00A40A00"/>
    <w:rsid w:val="00A4142F"/>
    <w:rsid w:val="00A508A2"/>
    <w:rsid w:val="00A56DF2"/>
    <w:rsid w:val="00A6709B"/>
    <w:rsid w:val="00A67AB5"/>
    <w:rsid w:val="00A7282F"/>
    <w:rsid w:val="00A91760"/>
    <w:rsid w:val="00A93B00"/>
    <w:rsid w:val="00A93C21"/>
    <w:rsid w:val="00AA4B2D"/>
    <w:rsid w:val="00AA6FDD"/>
    <w:rsid w:val="00AA7F73"/>
    <w:rsid w:val="00AB0CE4"/>
    <w:rsid w:val="00AB434E"/>
    <w:rsid w:val="00AB7132"/>
    <w:rsid w:val="00AC3C6A"/>
    <w:rsid w:val="00AD482B"/>
    <w:rsid w:val="00AD5620"/>
    <w:rsid w:val="00AD5826"/>
    <w:rsid w:val="00AD7C1B"/>
    <w:rsid w:val="00AE16BA"/>
    <w:rsid w:val="00AE1EBE"/>
    <w:rsid w:val="00AE68C1"/>
    <w:rsid w:val="00B03C9D"/>
    <w:rsid w:val="00B060AE"/>
    <w:rsid w:val="00B10517"/>
    <w:rsid w:val="00B14E76"/>
    <w:rsid w:val="00B161B8"/>
    <w:rsid w:val="00B2048C"/>
    <w:rsid w:val="00B310B9"/>
    <w:rsid w:val="00B35F3F"/>
    <w:rsid w:val="00B36CBB"/>
    <w:rsid w:val="00B425E0"/>
    <w:rsid w:val="00B440AA"/>
    <w:rsid w:val="00B44B70"/>
    <w:rsid w:val="00B528E6"/>
    <w:rsid w:val="00B53C56"/>
    <w:rsid w:val="00B77EA6"/>
    <w:rsid w:val="00B81598"/>
    <w:rsid w:val="00B841F1"/>
    <w:rsid w:val="00B944D6"/>
    <w:rsid w:val="00BB4DF0"/>
    <w:rsid w:val="00BC289F"/>
    <w:rsid w:val="00BC5361"/>
    <w:rsid w:val="00BC5460"/>
    <w:rsid w:val="00BC6B50"/>
    <w:rsid w:val="00BD0E25"/>
    <w:rsid w:val="00BD51DA"/>
    <w:rsid w:val="00BE19A3"/>
    <w:rsid w:val="00BF5BD6"/>
    <w:rsid w:val="00C03E31"/>
    <w:rsid w:val="00C171E5"/>
    <w:rsid w:val="00C33E72"/>
    <w:rsid w:val="00C3445D"/>
    <w:rsid w:val="00C354B2"/>
    <w:rsid w:val="00C35554"/>
    <w:rsid w:val="00C42709"/>
    <w:rsid w:val="00C43E35"/>
    <w:rsid w:val="00C533CC"/>
    <w:rsid w:val="00C5751C"/>
    <w:rsid w:val="00C61BFC"/>
    <w:rsid w:val="00C62B85"/>
    <w:rsid w:val="00C6455C"/>
    <w:rsid w:val="00C64DF0"/>
    <w:rsid w:val="00C65438"/>
    <w:rsid w:val="00C8237D"/>
    <w:rsid w:val="00C91CBB"/>
    <w:rsid w:val="00CC09B6"/>
    <w:rsid w:val="00CC666F"/>
    <w:rsid w:val="00CD1E3F"/>
    <w:rsid w:val="00CE44F6"/>
    <w:rsid w:val="00CE49DA"/>
    <w:rsid w:val="00CE7B61"/>
    <w:rsid w:val="00D00095"/>
    <w:rsid w:val="00D20620"/>
    <w:rsid w:val="00D26091"/>
    <w:rsid w:val="00D34E7C"/>
    <w:rsid w:val="00D35489"/>
    <w:rsid w:val="00D413A1"/>
    <w:rsid w:val="00D51276"/>
    <w:rsid w:val="00D65988"/>
    <w:rsid w:val="00D7035F"/>
    <w:rsid w:val="00D74775"/>
    <w:rsid w:val="00D93D48"/>
    <w:rsid w:val="00DA5916"/>
    <w:rsid w:val="00DA65AC"/>
    <w:rsid w:val="00DB1913"/>
    <w:rsid w:val="00DC410D"/>
    <w:rsid w:val="00DC68CA"/>
    <w:rsid w:val="00DC7CBA"/>
    <w:rsid w:val="00DD73B7"/>
    <w:rsid w:val="00DE2029"/>
    <w:rsid w:val="00DF007D"/>
    <w:rsid w:val="00DF28BC"/>
    <w:rsid w:val="00DF2E67"/>
    <w:rsid w:val="00DF34B9"/>
    <w:rsid w:val="00E01053"/>
    <w:rsid w:val="00E07ACF"/>
    <w:rsid w:val="00E114FD"/>
    <w:rsid w:val="00E27018"/>
    <w:rsid w:val="00E331A1"/>
    <w:rsid w:val="00E33202"/>
    <w:rsid w:val="00E336A9"/>
    <w:rsid w:val="00E50624"/>
    <w:rsid w:val="00E568DF"/>
    <w:rsid w:val="00E56E47"/>
    <w:rsid w:val="00E64269"/>
    <w:rsid w:val="00E71FF5"/>
    <w:rsid w:val="00E734A2"/>
    <w:rsid w:val="00E82267"/>
    <w:rsid w:val="00EA010F"/>
    <w:rsid w:val="00EA1DBA"/>
    <w:rsid w:val="00ED1B63"/>
    <w:rsid w:val="00ED3C1F"/>
    <w:rsid w:val="00ED3F93"/>
    <w:rsid w:val="00ED4085"/>
    <w:rsid w:val="00ED420E"/>
    <w:rsid w:val="00ED7024"/>
    <w:rsid w:val="00EE2F57"/>
    <w:rsid w:val="00EE34D4"/>
    <w:rsid w:val="00EF4C34"/>
    <w:rsid w:val="00EF77C6"/>
    <w:rsid w:val="00F045FA"/>
    <w:rsid w:val="00F05438"/>
    <w:rsid w:val="00F1361C"/>
    <w:rsid w:val="00F160C7"/>
    <w:rsid w:val="00F222A1"/>
    <w:rsid w:val="00F222E9"/>
    <w:rsid w:val="00F32E9D"/>
    <w:rsid w:val="00F36D8F"/>
    <w:rsid w:val="00F417B1"/>
    <w:rsid w:val="00F41F4D"/>
    <w:rsid w:val="00F602DF"/>
    <w:rsid w:val="00F70FBF"/>
    <w:rsid w:val="00F813D1"/>
    <w:rsid w:val="00F81FD9"/>
    <w:rsid w:val="00F841AA"/>
    <w:rsid w:val="00F87D41"/>
    <w:rsid w:val="00F9484E"/>
    <w:rsid w:val="00FA23E8"/>
    <w:rsid w:val="00FC0D7B"/>
    <w:rsid w:val="00FD3CC1"/>
    <w:rsid w:val="00FD4A6A"/>
    <w:rsid w:val="00FF1E02"/>
    <w:rsid w:val="00FF30B4"/>
    <w:rsid w:val="04730140"/>
    <w:rsid w:val="10C055FF"/>
    <w:rsid w:val="132F1194"/>
    <w:rsid w:val="16BB723D"/>
    <w:rsid w:val="1A9B202E"/>
    <w:rsid w:val="1BF15163"/>
    <w:rsid w:val="1C900A5E"/>
    <w:rsid w:val="1E147BE1"/>
    <w:rsid w:val="240371BF"/>
    <w:rsid w:val="26876965"/>
    <w:rsid w:val="29FD04D3"/>
    <w:rsid w:val="319F7F4E"/>
    <w:rsid w:val="39233B37"/>
    <w:rsid w:val="409501C5"/>
    <w:rsid w:val="46361E60"/>
    <w:rsid w:val="48384D73"/>
    <w:rsid w:val="53C52CC6"/>
    <w:rsid w:val="55F37A86"/>
    <w:rsid w:val="5D73170E"/>
    <w:rsid w:val="5E705615"/>
    <w:rsid w:val="71DF234A"/>
    <w:rsid w:val="7FC364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rPr>
      <w:rFonts w:ascii="仿宋" w:hAnsi="仿宋" w:eastAsia="仿宋" w:cs="仿宋"/>
      <w:sz w:val="32"/>
      <w:szCs w:val="32"/>
    </w:r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Cambria"/>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szCs w:val="18"/>
    </w:rPr>
  </w:style>
  <w:style w:type="character" w:customStyle="1" w:styleId="24">
    <w:name w:val="页脚 Char"/>
    <w:link w:val="8"/>
    <w:qFormat/>
    <w:locked/>
    <w:uiPriority w:val="99"/>
    <w:rPr>
      <w:sz w:val="18"/>
      <w:szCs w:val="18"/>
    </w:rPr>
  </w:style>
  <w:style w:type="character" w:customStyle="1" w:styleId="25">
    <w:name w:val="正文文本 Char"/>
    <w:link w:val="5"/>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1798</Words>
  <Characters>10250</Characters>
  <Lines>85</Lines>
  <Paragraphs>24</Paragraphs>
  <TotalTime>8</TotalTime>
  <ScaleCrop>false</ScaleCrop>
  <LinksUpToDate>false</LinksUpToDate>
  <CharactersWithSpaces>12024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2020-09-16T13:49:00Z</dcterms:created>
  <dc:creator>张彬茜</dc:creator>
  <cp:lastModifiedBy>user</cp:lastModifiedBy>
  <cp:lastPrinted>2020-09-01T11:32:00Z</cp:lastPrinted>
  <dcterms:modified xsi:type="dcterms:W3CDTF">2023-07-14T15:41:18Z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