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4" w:name="_GoBack"/>
      <w:bookmarkEnd w:id="74"/>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s="黑体"/>
          <w:color w:val="000000"/>
          <w:sz w:val="32"/>
          <w:szCs w:val="32"/>
        </w:rPr>
      </w:pPr>
      <w:bookmarkStart w:id="1" w:name="_Toc15377425"/>
      <w:bookmarkStart w:id="2" w:name="_Toc15396597"/>
      <w:bookmarkStart w:id="3" w:name="_Toc15378441"/>
      <w:bookmarkStart w:id="4" w:name="_Toc15377193"/>
      <w:bookmarkStart w:id="5" w:name="_Toc15396475"/>
      <w:r>
        <w:rPr>
          <w:rFonts w:hint="eastAsia" w:ascii="黑体" w:hAnsi="黑体" w:eastAsia="黑体" w:cs="黑体"/>
          <w:color w:val="000000"/>
          <w:sz w:val="32"/>
          <w:szCs w:val="32"/>
        </w:rPr>
        <w:t>2018年度</w:t>
      </w:r>
      <w:bookmarkEnd w:id="1"/>
      <w:bookmarkEnd w:id="2"/>
      <w:bookmarkEnd w:id="3"/>
      <w:bookmarkEnd w:id="4"/>
      <w:bookmarkEnd w:id="5"/>
    </w:p>
    <w:bookmarkEnd w:id="0"/>
    <w:p>
      <w:pPr>
        <w:adjustRightInd w:val="0"/>
        <w:snapToGrid w:val="0"/>
        <w:spacing w:line="360" w:lineRule="auto"/>
        <w:jc w:val="center"/>
        <w:outlineLvl w:val="0"/>
        <w:rPr>
          <w:rFonts w:ascii="黑体" w:hAnsi="黑体" w:eastAsia="黑体" w:cs="黑体"/>
          <w:color w:val="000000"/>
          <w:sz w:val="32"/>
          <w:szCs w:val="32"/>
        </w:rPr>
      </w:pPr>
      <w:bookmarkStart w:id="6" w:name="_Toc15396598"/>
      <w:bookmarkStart w:id="7" w:name="_Toc15306268"/>
      <w:bookmarkStart w:id="8" w:name="_Toc15377194"/>
      <w:bookmarkStart w:id="9" w:name="_Toc15396476"/>
      <w:bookmarkStart w:id="10" w:name="_Toc15377426"/>
      <w:bookmarkStart w:id="11" w:name="_Toc15378442"/>
      <w:r>
        <w:rPr>
          <w:rFonts w:hint="eastAsia" w:ascii="黑体" w:hAnsi="黑体" w:eastAsia="黑体" w:cs="黑体"/>
          <w:color w:val="000000"/>
          <w:sz w:val="32"/>
          <w:szCs w:val="32"/>
        </w:rPr>
        <w:t>中国共产主义青年团四川省广元市利州区委员会</w:t>
      </w:r>
    </w:p>
    <w:p>
      <w:pPr>
        <w:adjustRightInd w:val="0"/>
        <w:snapToGrid w:val="0"/>
        <w:spacing w:line="360" w:lineRule="auto"/>
        <w:jc w:val="center"/>
        <w:outlineLvl w:val="0"/>
        <w:rPr>
          <w:rFonts w:ascii="黑体" w:hAnsi="黑体" w:eastAsia="黑体" w:cs="黑体"/>
          <w:color w:val="000000"/>
          <w:sz w:val="32"/>
          <w:szCs w:val="32"/>
        </w:rPr>
      </w:pPr>
      <w:r>
        <w:rPr>
          <w:rFonts w:hint="eastAsia" w:ascii="黑体" w:hAnsi="黑体" w:eastAsia="黑体" w:cs="黑体"/>
          <w:color w:val="000000"/>
          <w:sz w:val="32"/>
          <w:szCs w:val="3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32"/>
          <w:szCs w:val="3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公开时间：2019年9月1</w:t>
      </w:r>
      <w:r>
        <w:rPr>
          <w:rFonts w:hint="eastAsia"/>
          <w:lang w:val="en-US" w:eastAsia="zh-CN"/>
        </w:rPr>
        <w:t>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0"/>
        <w:rPr>
          <w:rFonts w:hint="eastAsia" w:eastAsia="仿宋"/>
          <w:lang w:val="en-US" w:eastAsia="zh-CN"/>
        </w:rPr>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rPr>
          <w:rFonts w:hint="eastAsia"/>
          <w:lang w:val="en-US" w:eastAsia="zh-CN"/>
        </w:rPr>
        <w:t>1</w:t>
      </w:r>
      <w:r>
        <w:fldChar w:fldCharType="end"/>
      </w:r>
      <w:r>
        <w:rPr>
          <w:rFonts w:hint="eastAsia"/>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cstheme="minorBidi"/>
          <w:sz w:val="28"/>
          <w:szCs w:val="28"/>
          <w:lang w:val="en-US" w:eastAsia="zh-CN"/>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lang w:val="en-US" w:eastAsia="zh-CN"/>
        </w:rPr>
        <w:t>2</w:t>
      </w:r>
      <w:r>
        <w:fldChar w:fldCharType="end"/>
      </w:r>
      <w:r>
        <w:rPr>
          <w:rFonts w:hint="eastAsia"/>
          <w:lang w:val="en-US" w:eastAsia="zh-CN"/>
        </w:rPr>
        <w:t>3</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rPr>
          <w:rFonts w:hint="eastAsia"/>
          <w:lang w:val="en-US" w:eastAsia="zh-CN"/>
        </w:rPr>
        <w:t>2</w:t>
      </w:r>
      <w:r>
        <w:fldChar w:fldCharType="end"/>
      </w:r>
      <w:r>
        <w:rPr>
          <w:rFonts w:hint="eastAsia"/>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lang w:val="en-US" w:eastAsia="zh-CN"/>
        </w:rPr>
        <w:t>3</w:t>
      </w:r>
      <w:r>
        <w:fldChar w:fldCharType="end"/>
      </w:r>
      <w:r>
        <w:rPr>
          <w:rFonts w:hint="eastAsia"/>
          <w:lang w:val="en-US" w:eastAsia="zh-CN"/>
        </w:rPr>
        <w:t>8</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4</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r>
        <w:rPr>
          <w:rFonts w:hint="eastAsia" w:ascii="仿宋" w:hAnsi="仿宋" w:eastAsia="仿宋"/>
          <w:sz w:val="28"/>
          <w:szCs w:val="28"/>
          <w:lang w:val="en-US" w:eastAsia="zh-CN"/>
        </w:rPr>
        <w:t>0</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spacing w:line="580" w:lineRule="exact"/>
        <w:ind w:firstLine="627" w:firstLineChars="196"/>
        <w:rPr>
          <w:rFonts w:ascii="仿宋" w:hAnsi="仿宋" w:eastAsia="仿宋" w:cs="仿宋"/>
          <w:sz w:val="30"/>
          <w:szCs w:val="30"/>
        </w:rPr>
      </w:pPr>
      <w:bookmarkStart w:id="14" w:name="_Toc15377197"/>
      <w:bookmarkStart w:id="15" w:name="_Toc15396600"/>
      <w:r>
        <w:rPr>
          <w:rStyle w:val="26"/>
          <w:rFonts w:hint="eastAsia" w:ascii="黑体" w:hAnsi="黑体" w:eastAsia="黑体" w:cs="黑体"/>
          <w:b w:val="0"/>
          <w:bCs w:val="0"/>
        </w:rPr>
        <w:t>一、基本职能及主要工作</w:t>
      </w:r>
      <w:bookmarkEnd w:id="14"/>
      <w:bookmarkEnd w:id="15"/>
    </w:p>
    <w:p>
      <w:pPr>
        <w:spacing w:line="580" w:lineRule="exact"/>
        <w:ind w:firstLine="1188" w:firstLineChars="396"/>
        <w:rPr>
          <w:rFonts w:ascii="仿宋" w:hAnsi="仿宋" w:eastAsia="仿宋" w:cs="仿宋"/>
          <w:sz w:val="30"/>
          <w:szCs w:val="30"/>
        </w:rPr>
      </w:pPr>
      <w:r>
        <w:rPr>
          <w:rFonts w:hint="eastAsia" w:ascii="仿宋" w:hAnsi="仿宋" w:eastAsia="仿宋" w:cs="仿宋"/>
          <w:sz w:val="30"/>
          <w:szCs w:val="30"/>
        </w:rPr>
        <w:t>共青团广元市利州区委员会总编制4名，其中参照公务员法管理的编制4名。在职人员总数4人，其中机关行政编制4名（乡镇正科级干部1人，乡镇副科级干部2人，科员1人）</w:t>
      </w:r>
    </w:p>
    <w:p>
      <w:pPr>
        <w:ind w:firstLine="1200" w:firstLineChars="400"/>
        <w:rPr>
          <w:rFonts w:ascii="仿宋" w:hAnsi="仿宋" w:eastAsia="仿宋" w:cs="仿宋"/>
          <w:sz w:val="30"/>
          <w:szCs w:val="30"/>
        </w:rPr>
      </w:pPr>
      <w:r>
        <w:rPr>
          <w:rFonts w:hint="eastAsia" w:ascii="仿宋" w:hAnsi="仿宋" w:eastAsia="仿宋" w:cs="仿宋"/>
          <w:sz w:val="30"/>
          <w:szCs w:val="30"/>
        </w:rPr>
        <w:t>中国共产主义青年团是中国共产党领导的先进青年的群众组织,是广大青年在实践中学习共产主义的学校，是党的助手和后备军,是党联系青年的桥梁和纽带，是国家政权的重要社会支柱之一。中国共产主义青年团广元市利州区委员会是广元市利州区各级团组织的领导机关。</w:t>
      </w:r>
    </w:p>
    <w:p>
      <w:pPr>
        <w:rPr>
          <w:rFonts w:ascii="仿宋" w:hAnsi="仿宋" w:eastAsia="仿宋" w:cs="仿宋"/>
          <w:sz w:val="30"/>
          <w:szCs w:val="30"/>
        </w:rPr>
      </w:pPr>
      <w:r>
        <w:rPr>
          <w:rFonts w:hint="eastAsia" w:ascii="仿宋" w:hAnsi="仿宋" w:eastAsia="仿宋" w:cs="仿宋"/>
          <w:sz w:val="30"/>
          <w:szCs w:val="30"/>
        </w:rPr>
        <w:t xml:space="preserve">      一是领导全区共青团工作，组织全区共青团组织围绕首都改革、发展、稳定的大局开展工作，在利州区政治、经济、文化等活动中发挥党的助手作用。</w:t>
      </w:r>
    </w:p>
    <w:p>
      <w:pPr>
        <w:rPr>
          <w:rFonts w:ascii="仿宋" w:hAnsi="仿宋" w:eastAsia="仿宋" w:cs="仿宋"/>
          <w:sz w:val="30"/>
          <w:szCs w:val="30"/>
        </w:rPr>
      </w:pPr>
      <w:r>
        <w:rPr>
          <w:rFonts w:hint="eastAsia" w:ascii="仿宋" w:hAnsi="仿宋" w:eastAsia="仿宋" w:cs="仿宋"/>
          <w:sz w:val="30"/>
          <w:szCs w:val="30"/>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ascii="仿宋" w:hAnsi="仿宋" w:eastAsia="仿宋" w:cs="仿宋"/>
          <w:sz w:val="30"/>
          <w:szCs w:val="30"/>
        </w:rPr>
      </w:pPr>
      <w:r>
        <w:rPr>
          <w:rFonts w:hint="eastAsia" w:ascii="仿宋" w:hAnsi="仿宋" w:eastAsia="仿宋" w:cs="仿宋"/>
          <w:sz w:val="30"/>
          <w:szCs w:val="30"/>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ascii="仿宋" w:hAnsi="仿宋" w:eastAsia="仿宋" w:cs="仿宋"/>
          <w:sz w:val="30"/>
          <w:szCs w:val="30"/>
        </w:rPr>
      </w:pPr>
      <w:r>
        <w:rPr>
          <w:rFonts w:hint="eastAsia" w:ascii="仿宋" w:hAnsi="仿宋" w:eastAsia="仿宋" w:cs="仿宋"/>
          <w:sz w:val="30"/>
          <w:szCs w:val="30"/>
        </w:rPr>
        <w:t xml:space="preserve">    四是负责研究指导全区团的组织建设和干部队伍建设，推进全区团的基层组织建设；指导全区各级团校工作；指导全区共青团组织协助有关部门开展青年人力资源开发工作。</w:t>
      </w:r>
    </w:p>
    <w:p>
      <w:pPr>
        <w:rPr>
          <w:rFonts w:ascii="仿宋" w:hAnsi="仿宋" w:eastAsia="仿宋" w:cs="仿宋"/>
          <w:sz w:val="30"/>
          <w:szCs w:val="30"/>
        </w:rPr>
      </w:pPr>
      <w:r>
        <w:rPr>
          <w:rFonts w:hint="eastAsia" w:ascii="仿宋" w:hAnsi="仿宋" w:eastAsia="仿宋" w:cs="仿宋"/>
          <w:sz w:val="30"/>
          <w:szCs w:val="30"/>
        </w:rPr>
        <w:t xml:space="preserve">    五是负责全区青年统战工作。</w:t>
      </w:r>
    </w:p>
    <w:p>
      <w:pPr>
        <w:rPr>
          <w:rFonts w:ascii="仿宋" w:hAnsi="仿宋" w:eastAsia="仿宋" w:cs="仿宋"/>
          <w:sz w:val="30"/>
          <w:szCs w:val="30"/>
        </w:rPr>
      </w:pPr>
      <w:r>
        <w:rPr>
          <w:rFonts w:hint="eastAsia" w:ascii="仿宋" w:hAnsi="仿宋" w:eastAsia="仿宋" w:cs="仿宋"/>
          <w:sz w:val="30"/>
          <w:szCs w:val="30"/>
        </w:rPr>
        <w:t xml:space="preserve">    六是负责全区共青团系统外事工作和青少年对外交流工作。</w:t>
      </w:r>
    </w:p>
    <w:p>
      <w:pPr>
        <w:rPr>
          <w:rFonts w:ascii="仿宋" w:hAnsi="仿宋" w:eastAsia="仿宋" w:cs="仿宋"/>
          <w:sz w:val="30"/>
          <w:szCs w:val="30"/>
        </w:rPr>
      </w:pPr>
      <w:r>
        <w:rPr>
          <w:rFonts w:hint="eastAsia" w:ascii="仿宋" w:hAnsi="仿宋" w:eastAsia="仿宋" w:cs="仿宋"/>
          <w:sz w:val="30"/>
          <w:szCs w:val="30"/>
        </w:rPr>
        <w:t xml:space="preserve">    七是指导和帮助区青联、区少先队工作委员会开展工作；协助有关部门对所主管的社会团体进行监督管理。</w:t>
      </w:r>
    </w:p>
    <w:p>
      <w:pPr>
        <w:rPr>
          <w:rFonts w:ascii="仿宋" w:hAnsi="仿宋" w:eastAsia="仿宋" w:cs="仿宋"/>
          <w:sz w:val="30"/>
          <w:szCs w:val="30"/>
        </w:rPr>
      </w:pPr>
      <w:r>
        <w:rPr>
          <w:rFonts w:hint="eastAsia" w:ascii="仿宋" w:hAnsi="仿宋" w:eastAsia="仿宋" w:cs="仿宋"/>
          <w:sz w:val="30"/>
          <w:szCs w:val="30"/>
        </w:rPr>
        <w:t xml:space="preserve">    八是负责团区委直属企事业单位的管理工作；筹措青少年事业发展经费。</w:t>
      </w:r>
    </w:p>
    <w:p>
      <w:pPr>
        <w:pStyle w:val="12"/>
        <w:spacing w:before="0" w:beforeAutospacing="0" w:after="0" w:afterAutospacing="0" w:line="576" w:lineRule="exact"/>
        <w:ind w:firstLine="600" w:firstLineChars="200"/>
        <w:rPr>
          <w:rFonts w:ascii="仿宋" w:hAnsi="仿宋" w:eastAsia="仿宋" w:cs="仿宋"/>
          <w:sz w:val="30"/>
          <w:szCs w:val="30"/>
        </w:rPr>
      </w:pPr>
      <w:r>
        <w:rPr>
          <w:rFonts w:hint="eastAsia" w:ascii="仿宋" w:hAnsi="仿宋" w:eastAsia="仿宋" w:cs="仿宋"/>
          <w:sz w:val="30"/>
          <w:szCs w:val="30"/>
        </w:rPr>
        <w:t>九是承办区委、区政府和共青团广元市委交办的其他事项。</w:t>
      </w:r>
    </w:p>
    <w:p>
      <w:pPr>
        <w:spacing w:line="576" w:lineRule="exact"/>
        <w:ind w:firstLine="640" w:firstLineChars="200"/>
        <w:rPr>
          <w:rFonts w:ascii="微软雅黑" w:hAnsi="微软雅黑" w:eastAsia="微软雅黑" w:cs="微软雅黑"/>
          <w:sz w:val="32"/>
          <w:szCs w:val="32"/>
        </w:rPr>
      </w:pPr>
      <w:bookmarkStart w:id="16" w:name="_Toc15377199"/>
      <w:bookmarkStart w:id="17" w:name="_Toc15378446"/>
      <w:r>
        <w:rPr>
          <w:rFonts w:hint="eastAsia" w:ascii="微软雅黑" w:hAnsi="微软雅黑" w:eastAsia="微软雅黑" w:cs="微软雅黑"/>
          <w:bCs/>
          <w:color w:val="000000"/>
          <w:sz w:val="32"/>
          <w:szCs w:val="32"/>
        </w:rPr>
        <w:t>二、2018年重点工作完成情况。</w:t>
      </w:r>
      <w:bookmarkEnd w:id="16"/>
      <w:bookmarkEnd w:id="17"/>
    </w:p>
    <w:p>
      <w:pPr>
        <w:spacing w:line="576" w:lineRule="exact"/>
        <w:ind w:firstLine="640" w:firstLineChars="200"/>
        <w:rPr>
          <w:rFonts w:ascii="方正黑体简体" w:hAnsi="黑体" w:eastAsia="方正黑体简体"/>
          <w:sz w:val="32"/>
          <w:szCs w:val="32"/>
        </w:rPr>
      </w:pPr>
      <w:r>
        <w:rPr>
          <w:rFonts w:hint="eastAsia" w:ascii="方正黑体简体" w:hAnsi="黑体" w:eastAsia="方正黑体简体"/>
          <w:sz w:val="32"/>
          <w:szCs w:val="32"/>
        </w:rPr>
        <w:t>（一）、深化思想引领，</w:t>
      </w:r>
      <w:r>
        <w:rPr>
          <w:rFonts w:ascii="方正黑体简体" w:hAnsi="黑体" w:eastAsia="方正黑体简体"/>
          <w:sz w:val="32"/>
          <w:szCs w:val="32"/>
        </w:rPr>
        <w:t>加强团员青年政治思想教育工作</w:t>
      </w:r>
    </w:p>
    <w:p>
      <w:pPr>
        <w:spacing w:line="576" w:lineRule="exact"/>
        <w:ind w:firstLine="640" w:firstLineChars="200"/>
        <w:rPr>
          <w:rFonts w:ascii="方正仿宋简体" w:hAnsi="黑体" w:eastAsia="方正仿宋简体" w:cs="方正黑体简体"/>
          <w:color w:val="000000" w:themeColor="text1"/>
          <w:sz w:val="32"/>
          <w:szCs w:val="32"/>
        </w:rPr>
      </w:pPr>
      <w:r>
        <w:rPr>
          <w:rFonts w:hint="eastAsia" w:ascii="方正楷体简体" w:hAnsi="黑体" w:eastAsia="方正楷体简体" w:cs="方正黑体简体"/>
          <w:color w:val="000000"/>
          <w:sz w:val="32"/>
          <w:szCs w:val="32"/>
        </w:rPr>
        <w:t>一是在主题活动中强化思想政治引领。</w:t>
      </w:r>
      <w:r>
        <w:rPr>
          <w:rFonts w:hint="eastAsia" w:ascii="方正仿宋简体" w:hAnsi="黑体" w:eastAsia="方正仿宋简体" w:cs="方正黑体简体"/>
          <w:color w:val="000000"/>
          <w:sz w:val="32"/>
          <w:szCs w:val="32"/>
        </w:rPr>
        <w:t>以</w:t>
      </w:r>
      <w:r>
        <w:rPr>
          <w:rFonts w:hint="eastAsia" w:ascii="方正仿宋简体" w:hAnsi="黑体" w:eastAsia="方正仿宋简体" w:cs="方正黑体简体"/>
          <w:color w:val="000000" w:themeColor="text1"/>
          <w:sz w:val="32"/>
          <w:szCs w:val="32"/>
        </w:rPr>
        <w:t>深入</w:t>
      </w:r>
      <w:r>
        <w:rPr>
          <w:rFonts w:hint="eastAsia" w:ascii="方正仿宋简体" w:eastAsia="方正仿宋简体"/>
          <w:color w:val="000000" w:themeColor="text1"/>
          <w:sz w:val="32"/>
          <w:szCs w:val="32"/>
          <w:shd w:val="clear" w:color="auto" w:fill="FFFFFF"/>
        </w:rPr>
        <w:t>学习党的十九大、习近平总书记对川工作系列重要指示、团的十八大、省委十一届三次全会、市委七届七次和区委八届六次全会精神</w:t>
      </w:r>
      <w:r>
        <w:rPr>
          <w:rFonts w:hint="eastAsia" w:ascii="方正仿宋简体" w:hAnsi="黑体" w:eastAsia="方正仿宋简体" w:cs="方正黑体简体"/>
          <w:color w:val="000000"/>
          <w:sz w:val="32"/>
          <w:szCs w:val="32"/>
        </w:rPr>
        <w:t>为统揽，</w:t>
      </w:r>
      <w:r>
        <w:rPr>
          <w:rFonts w:hint="eastAsia" w:ascii="方正仿宋简体" w:hAnsi="黑体" w:eastAsia="方正仿宋简体" w:cs="方正黑体简体"/>
          <w:color w:val="000000" w:themeColor="text1"/>
          <w:sz w:val="32"/>
          <w:szCs w:val="32"/>
        </w:rPr>
        <w:t>认真开展学习</w:t>
      </w:r>
      <w:r>
        <w:rPr>
          <w:rFonts w:hint="eastAsia" w:ascii="方正仿宋简体" w:eastAsia="方正仿宋简体"/>
          <w:color w:val="000000" w:themeColor="text1"/>
          <w:sz w:val="32"/>
          <w:szCs w:val="32"/>
          <w:shd w:val="clear" w:color="auto" w:fill="FFFFFF"/>
        </w:rPr>
        <w:t>习近平新时代中国特色社会主义思想</w:t>
      </w:r>
      <w:r>
        <w:rPr>
          <w:rFonts w:hint="eastAsia" w:ascii="方正仿宋简体" w:hAnsi="黑体" w:eastAsia="方正仿宋简体" w:cs="方正黑体简体"/>
          <w:color w:val="000000"/>
          <w:sz w:val="32"/>
          <w:szCs w:val="32"/>
        </w:rPr>
        <w:t>和中央、省委、市委</w:t>
      </w:r>
      <w:r>
        <w:rPr>
          <w:rFonts w:hint="eastAsia" w:ascii="方正仿宋简体" w:hAnsi="黑体" w:eastAsia="方正仿宋简体" w:cs="方正黑体简体"/>
          <w:color w:val="000000" w:themeColor="text1"/>
          <w:sz w:val="32"/>
          <w:szCs w:val="32"/>
        </w:rPr>
        <w:t>、区委</w:t>
      </w:r>
      <w:r>
        <w:rPr>
          <w:rFonts w:hint="eastAsia" w:ascii="方正仿宋简体" w:hAnsi="黑体" w:eastAsia="方正仿宋简体" w:cs="方正黑体简体"/>
          <w:color w:val="000000"/>
          <w:sz w:val="32"/>
          <w:szCs w:val="32"/>
        </w:rPr>
        <w:t>重要会议精神学习宣传教育活动</w:t>
      </w:r>
      <w:r>
        <w:rPr>
          <w:rFonts w:hint="eastAsia" w:ascii="方正仿宋简体" w:hAnsi="黑体" w:eastAsia="方正仿宋简体" w:cs="方正黑体简体"/>
          <w:color w:val="000000" w:themeColor="text1"/>
          <w:sz w:val="32"/>
          <w:szCs w:val="32"/>
        </w:rPr>
        <w:t>。</w:t>
      </w:r>
      <w:r>
        <w:rPr>
          <w:rFonts w:hint="eastAsia" w:ascii="方正仿宋简体" w:hAnsi="黑体" w:eastAsia="方正仿宋简体" w:cs="方正黑体简体"/>
          <w:color w:val="000000"/>
          <w:sz w:val="32"/>
          <w:szCs w:val="32"/>
        </w:rPr>
        <w:t>广泛开展</w:t>
      </w:r>
      <w:r>
        <w:rPr>
          <w:rFonts w:hint="eastAsia" w:ascii="方正仿宋简体" w:hAnsi="黑体" w:eastAsia="方正仿宋简体" w:cs="方正黑体简体"/>
          <w:color w:val="000000" w:themeColor="text1"/>
          <w:sz w:val="32"/>
          <w:szCs w:val="32"/>
        </w:rPr>
        <w:t>“青年大讲堂”、“弘扬爱国奋斗精神，建功立业新时代”研讨活动、</w:t>
      </w:r>
      <w:r>
        <w:rPr>
          <w:rFonts w:hint="eastAsia" w:ascii="方正仿宋简体" w:hAnsi="黑体" w:eastAsia="方正仿宋简体" w:cs="方正黑体简体"/>
          <w:color w:val="000000"/>
          <w:sz w:val="32"/>
          <w:szCs w:val="32"/>
        </w:rPr>
        <w:t>全区青年马克思主义者培养工程</w:t>
      </w:r>
      <w:r>
        <w:rPr>
          <w:rFonts w:hint="eastAsia" w:ascii="方正仿宋简体" w:hAnsi="黑体" w:eastAsia="方正仿宋简体" w:cs="方正黑体简体"/>
          <w:color w:val="000000" w:themeColor="text1"/>
          <w:sz w:val="32"/>
          <w:szCs w:val="32"/>
        </w:rPr>
        <w:t>、“</w:t>
      </w:r>
      <w:r>
        <w:rPr>
          <w:rFonts w:hint="eastAsia" w:ascii="方正仿宋简体" w:hAnsi="仿宋_GB2312" w:eastAsia="方正仿宋简体" w:cs="仿宋_GB2312"/>
          <w:color w:val="000000" w:themeColor="text1"/>
          <w:sz w:val="32"/>
          <w:szCs w:val="32"/>
        </w:rPr>
        <w:t>两红两优</w:t>
      </w:r>
      <w:r>
        <w:rPr>
          <w:rFonts w:hint="eastAsia" w:ascii="方正仿宋简体" w:hAnsi="黑体" w:eastAsia="方正仿宋简体" w:cs="方正黑体简体"/>
          <w:color w:val="000000" w:themeColor="text1"/>
          <w:sz w:val="32"/>
          <w:szCs w:val="32"/>
        </w:rPr>
        <w:t>”</w:t>
      </w:r>
      <w:r>
        <w:rPr>
          <w:rFonts w:hint="eastAsia" w:ascii="方正仿宋简体" w:hAnsi="仿宋_GB2312" w:eastAsia="方正仿宋简体" w:cs="仿宋_GB2312"/>
          <w:color w:val="000000" w:themeColor="text1"/>
          <w:sz w:val="32"/>
          <w:szCs w:val="32"/>
        </w:rPr>
        <w:t>、优秀志愿者评选表扬活动、</w:t>
      </w:r>
      <w:r>
        <w:rPr>
          <w:rFonts w:hint="eastAsia" w:ascii="方正仿宋简体" w:hAnsi="黑体" w:eastAsia="方正仿宋简体" w:cs="方正黑体简体"/>
          <w:color w:val="000000"/>
          <w:sz w:val="32"/>
          <w:szCs w:val="32"/>
        </w:rPr>
        <w:t>纪念建团</w:t>
      </w:r>
      <w:r>
        <w:rPr>
          <w:rFonts w:ascii="方正仿宋简体" w:hAnsi="黑体" w:eastAsia="方正仿宋简体" w:cs="方正黑体简体"/>
          <w:color w:val="000000"/>
          <w:sz w:val="32"/>
          <w:szCs w:val="32"/>
        </w:rPr>
        <w:t>9</w:t>
      </w:r>
      <w:r>
        <w:rPr>
          <w:rFonts w:hint="eastAsia" w:ascii="方正仿宋简体" w:hAnsi="黑体" w:eastAsia="方正仿宋简体" w:cs="方正黑体简体"/>
          <w:color w:val="000000"/>
          <w:sz w:val="32"/>
          <w:szCs w:val="32"/>
        </w:rPr>
        <w:t>9周年主题团日系列活动等，</w:t>
      </w:r>
      <w:r>
        <w:rPr>
          <w:rFonts w:hint="eastAsia" w:ascii="方正仿宋简体" w:hAnsi="仿宋_GB2312" w:eastAsia="方正仿宋简体" w:cs="仿宋_GB2312"/>
          <w:color w:val="000000" w:themeColor="text1"/>
          <w:sz w:val="32"/>
          <w:szCs w:val="32"/>
        </w:rPr>
        <w:t>举办“出彩红领巾”全区少儿才艺大赛，广泛</w:t>
      </w:r>
      <w:r>
        <w:rPr>
          <w:rFonts w:hint="eastAsia" w:ascii="方正仿宋简体" w:hAnsi="黑体" w:eastAsia="方正仿宋简体" w:cs="方正黑体简体"/>
          <w:color w:val="000000"/>
          <w:sz w:val="32"/>
          <w:szCs w:val="32"/>
        </w:rPr>
        <w:t>引导广大青</w:t>
      </w:r>
      <w:r>
        <w:rPr>
          <w:rFonts w:hint="eastAsia" w:ascii="方正仿宋简体" w:hAnsi="黑体" w:eastAsia="方正仿宋简体" w:cs="方正黑体简体"/>
          <w:color w:val="000000" w:themeColor="text1"/>
          <w:sz w:val="32"/>
          <w:szCs w:val="32"/>
        </w:rPr>
        <w:t>少</w:t>
      </w:r>
      <w:r>
        <w:rPr>
          <w:rFonts w:hint="eastAsia" w:ascii="方正仿宋简体" w:hAnsi="黑体" w:eastAsia="方正仿宋简体" w:cs="方正黑体简体"/>
          <w:color w:val="000000"/>
          <w:sz w:val="32"/>
          <w:szCs w:val="32"/>
        </w:rPr>
        <w:t>年坚定“四个自信”</w:t>
      </w:r>
      <w:r>
        <w:rPr>
          <w:rFonts w:hint="eastAsia" w:ascii="方正仿宋简体" w:hAnsi="黑体" w:eastAsia="方正仿宋简体" w:cs="方正黑体简体"/>
          <w:color w:val="000000" w:themeColor="text1"/>
          <w:sz w:val="32"/>
          <w:szCs w:val="32"/>
        </w:rPr>
        <w:t>，</w:t>
      </w:r>
      <w:r>
        <w:rPr>
          <w:rFonts w:hint="eastAsia" w:ascii="方正仿宋简体" w:hAnsi="黑体" w:eastAsia="方正仿宋简体" w:cs="方正黑体简体"/>
          <w:color w:val="000000"/>
          <w:sz w:val="32"/>
          <w:szCs w:val="32"/>
        </w:rPr>
        <w:t>不断凝聚“向上向善”共识。</w:t>
      </w:r>
    </w:p>
    <w:p>
      <w:pPr>
        <w:spacing w:line="576" w:lineRule="exact"/>
        <w:ind w:firstLine="640" w:firstLineChars="200"/>
        <w:rPr>
          <w:rFonts w:ascii="方正仿宋简体" w:eastAsia="方正仿宋简体" w:cs="方正仿宋简体"/>
          <w:sz w:val="32"/>
          <w:szCs w:val="32"/>
        </w:rPr>
      </w:pPr>
      <w:r>
        <w:rPr>
          <w:rFonts w:hint="eastAsia" w:ascii="方正楷体简体" w:hAnsi="仿宋" w:eastAsia="方正楷体简体" w:cs="方正楷体简体"/>
          <w:color w:val="000000"/>
          <w:sz w:val="32"/>
          <w:szCs w:val="32"/>
        </w:rPr>
        <w:t>二是深入开展“一学一做”教育实践。</w:t>
      </w:r>
      <w:r>
        <w:rPr>
          <w:rFonts w:hint="eastAsia" w:ascii="方正仿宋简体" w:eastAsia="方正仿宋简体" w:cs="方正仿宋简体"/>
          <w:sz w:val="32"/>
          <w:szCs w:val="32"/>
        </w:rPr>
        <w:t>团区委切实履行主体责任，</w:t>
      </w:r>
      <w:r>
        <w:rPr>
          <w:rFonts w:hint="eastAsia" w:ascii="方正仿宋简体" w:hAnsi="黑体" w:eastAsia="方正仿宋简体" w:cs="方正黑体简体"/>
          <w:color w:val="000000" w:themeColor="text1"/>
          <w:sz w:val="32"/>
          <w:szCs w:val="32"/>
        </w:rPr>
        <w:t>成立了以团区委书记为组长、其他干部为成员的“一学一做”教育实践领导小组，</w:t>
      </w:r>
      <w:r>
        <w:rPr>
          <w:rFonts w:hint="eastAsia" w:ascii="方正仿宋简体" w:eastAsia="方正仿宋简体" w:cs="方正仿宋简体"/>
          <w:sz w:val="32"/>
          <w:szCs w:val="32"/>
        </w:rPr>
        <w:t>研制并下发了实施方案。五四期间，全区各基层团组织结合“一学一做”开展了丰富多彩的系列活动，形成了“一学一做”教育实践的热潮。</w:t>
      </w:r>
    </w:p>
    <w:p>
      <w:pPr>
        <w:spacing w:line="576" w:lineRule="exact"/>
        <w:ind w:firstLine="640" w:firstLineChars="200"/>
        <w:rPr>
          <w:rFonts w:ascii="方正仿宋简体" w:eastAsia="方正仿宋简体"/>
          <w:sz w:val="32"/>
          <w:szCs w:val="32"/>
        </w:rPr>
      </w:pPr>
      <w:r>
        <w:rPr>
          <w:rFonts w:hint="eastAsia" w:ascii="方正楷体简体" w:hAnsi="仿宋" w:eastAsia="方正楷体简体" w:cs="方正楷体简体"/>
          <w:color w:val="000000"/>
          <w:sz w:val="32"/>
          <w:szCs w:val="32"/>
        </w:rPr>
        <w:t>三是加强新媒体舆论引导。</w:t>
      </w:r>
      <w:r>
        <w:rPr>
          <w:rFonts w:hint="eastAsia" w:ascii="方正仿宋简体" w:hAnsi="黑体" w:eastAsia="方正仿宋简体" w:cs="方正黑体简体"/>
          <w:color w:val="000000"/>
          <w:sz w:val="32"/>
          <w:szCs w:val="32"/>
        </w:rPr>
        <w:t>适应当代青年信息接受方式和思想表达方式的变化特点，加强团属微博、微信公众号等新媒体建设</w:t>
      </w:r>
      <w:r>
        <w:rPr>
          <w:rFonts w:hint="eastAsia" w:ascii="方正仿宋简体" w:hAnsi="黑体" w:eastAsia="方正仿宋简体" w:cs="方正黑体简体"/>
          <w:color w:val="000000" w:themeColor="text1"/>
          <w:sz w:val="32"/>
          <w:szCs w:val="32"/>
        </w:rPr>
        <w:t>。</w:t>
      </w:r>
      <w:r>
        <w:rPr>
          <w:rFonts w:hint="eastAsia" w:ascii="方正仿宋简体" w:hAnsi="??" w:eastAsia="方正仿宋简体" w:cs="方正仿宋简体"/>
          <w:color w:val="000000"/>
          <w:sz w:val="32"/>
          <w:szCs w:val="32"/>
        </w:rPr>
        <w:t>认真</w:t>
      </w:r>
      <w:r>
        <w:rPr>
          <w:rFonts w:hint="eastAsia" w:ascii="方正仿宋简体" w:hAnsi="??" w:eastAsia="方正仿宋简体" w:cs="方正仿宋简体"/>
          <w:color w:val="000000"/>
          <w:sz w:val="32"/>
          <w:szCs w:val="32"/>
          <w:lang w:val="zh-CN"/>
        </w:rPr>
        <w:t>开展网络舆情搜集和引导，积极</w:t>
      </w:r>
      <w:r>
        <w:rPr>
          <w:rFonts w:hint="eastAsia" w:ascii="方正仿宋简体" w:hAnsi="??" w:eastAsia="方正仿宋简体" w:cs="方正仿宋简体"/>
          <w:color w:val="000000"/>
          <w:sz w:val="32"/>
          <w:szCs w:val="32"/>
        </w:rPr>
        <w:t>参与重大网络突发事件处置，</w:t>
      </w:r>
      <w:r>
        <w:rPr>
          <w:rFonts w:hint="eastAsia" w:ascii="方正仿宋简体" w:eastAsia="方正仿宋简体"/>
          <w:sz w:val="32"/>
          <w:szCs w:val="32"/>
        </w:rPr>
        <w:t>弘扬网上正能量，进一步加强对青少年的文化熏陶。</w:t>
      </w:r>
    </w:p>
    <w:p>
      <w:pPr>
        <w:spacing w:line="576" w:lineRule="exact"/>
        <w:ind w:firstLine="640" w:firstLineChars="200"/>
        <w:rPr>
          <w:rFonts w:ascii="方正黑体简体" w:hAnsi="黑体" w:eastAsia="方正黑体简体" w:cs="方正黑体简体"/>
          <w:color w:val="000000"/>
          <w:sz w:val="32"/>
          <w:szCs w:val="32"/>
        </w:rPr>
      </w:pPr>
      <w:r>
        <w:rPr>
          <w:rFonts w:hint="eastAsia" w:ascii="方正黑体简体" w:hAnsi="黑体" w:eastAsia="方正黑体简体" w:cs="方正黑体简体"/>
          <w:color w:val="000000" w:themeColor="text1"/>
          <w:sz w:val="32"/>
          <w:szCs w:val="32"/>
        </w:rPr>
        <w:t>（二）、</w:t>
      </w:r>
      <w:r>
        <w:rPr>
          <w:rFonts w:hint="eastAsia" w:ascii="方正黑体简体" w:hAnsi="黑体" w:eastAsia="方正黑体简体" w:cs="方正黑体简体"/>
          <w:color w:val="000000"/>
          <w:sz w:val="32"/>
          <w:szCs w:val="32"/>
        </w:rPr>
        <w:t>围绕</w:t>
      </w:r>
      <w:r>
        <w:rPr>
          <w:rFonts w:hint="eastAsia" w:ascii="方正黑体简体" w:hAnsi="黑体" w:eastAsia="方正黑体简体" w:cs="方正黑体简体"/>
          <w:color w:val="000000" w:themeColor="text1"/>
          <w:sz w:val="32"/>
          <w:szCs w:val="32"/>
        </w:rPr>
        <w:t>中心</w:t>
      </w:r>
      <w:r>
        <w:rPr>
          <w:rFonts w:hint="eastAsia" w:ascii="方正黑体简体" w:hAnsi="黑体" w:eastAsia="方正黑体简体" w:cs="方正黑体简体"/>
          <w:color w:val="000000"/>
          <w:sz w:val="32"/>
          <w:szCs w:val="32"/>
        </w:rPr>
        <w:t>大局，发挥生力军、突击队作用</w:t>
      </w:r>
    </w:p>
    <w:p>
      <w:pPr>
        <w:spacing w:line="576" w:lineRule="exact"/>
        <w:ind w:firstLine="640" w:firstLineChars="200"/>
        <w:rPr>
          <w:rFonts w:ascii="方正仿宋简体" w:hAnsi="仿宋_GB2312" w:eastAsia="方正仿宋简体" w:cs="仿宋_GB2312"/>
          <w:color w:val="000000" w:themeColor="text1"/>
          <w:sz w:val="32"/>
          <w:szCs w:val="32"/>
        </w:rPr>
      </w:pPr>
      <w:r>
        <w:rPr>
          <w:rFonts w:hint="eastAsia" w:ascii="方正楷体简体" w:hAnsi="仿宋" w:eastAsia="方正楷体简体" w:cs="方正楷体简体"/>
          <w:color w:val="000000"/>
          <w:sz w:val="32"/>
          <w:szCs w:val="32"/>
        </w:rPr>
        <w:t>一是脱贫攻坚工作扎实推进。</w:t>
      </w:r>
      <w:r>
        <w:rPr>
          <w:rFonts w:hint="eastAsia" w:ascii="方正仿宋简体" w:hAnsi="仿宋_GB2312" w:eastAsia="方正仿宋简体" w:cs="仿宋_GB2312"/>
          <w:color w:val="000000" w:themeColor="text1"/>
          <w:sz w:val="32"/>
          <w:szCs w:val="32"/>
        </w:rPr>
        <w:t>始终</w:t>
      </w:r>
      <w:r>
        <w:rPr>
          <w:rFonts w:hint="eastAsia" w:ascii="方正仿宋简体" w:hAnsi="仿宋_GB2312" w:eastAsia="方正仿宋简体"/>
          <w:bCs/>
          <w:sz w:val="32"/>
          <w:szCs w:val="32"/>
        </w:rPr>
        <w:t>把脱贫攻坚作为头等大事，</w:t>
      </w:r>
      <w:r>
        <w:rPr>
          <w:rFonts w:hint="eastAsia" w:ascii="方正仿宋简体" w:hAnsi="仿宋_GB2312" w:eastAsia="方正仿宋简体" w:cs="仿宋_GB2312"/>
          <w:color w:val="000000" w:themeColor="text1"/>
          <w:sz w:val="32"/>
          <w:szCs w:val="32"/>
        </w:rPr>
        <w:t>组织青年志愿者开展助农双抢、政策宣传、文明卫生等活动。持续实施“留守儿童关爱”项目，分别在三堆镇井田村和荣山镇雷坝社区建成“童伴计划”2个项目点，开展暑期夏令营，为留守儿童、贫困儿童提供学业辅导、心理疏导、亲情陪护等各种服务，帮助他们解决实际困难，优化成长环境。认真做好大石镇石笋村及三堆镇井田村、三堆村的帮扶工作，制定有针对性的帮扶措施，实现石笋村已脱贫户持续增收，三堆村、井田村贫困户脱贫。</w:t>
      </w:r>
    </w:p>
    <w:p>
      <w:pPr>
        <w:spacing w:line="576" w:lineRule="exact"/>
        <w:ind w:firstLine="640" w:firstLineChars="200"/>
        <w:rPr>
          <w:rFonts w:ascii="方正仿宋简体" w:hAnsi="仿宋_GB2312" w:eastAsia="方正仿宋简体" w:cs="仿宋_GB2312"/>
          <w:sz w:val="32"/>
          <w:szCs w:val="32"/>
        </w:rPr>
      </w:pPr>
      <w:r>
        <w:rPr>
          <w:rFonts w:hint="eastAsia" w:ascii="方正楷体简体" w:hAnsi="仿宋" w:eastAsia="方正楷体简体" w:cs="方正楷体简体"/>
          <w:color w:val="000000"/>
          <w:sz w:val="32"/>
          <w:szCs w:val="32"/>
        </w:rPr>
        <w:t>二是青年志愿服务蓬勃开展。</w:t>
      </w:r>
      <w:r>
        <w:rPr>
          <w:rFonts w:hint="eastAsia" w:ascii="方正仿宋简体" w:hAnsi="仿宋_GB2312" w:eastAsia="方正仿宋简体" w:cs="仿宋_GB2312"/>
          <w:sz w:val="32"/>
          <w:szCs w:val="32"/>
        </w:rPr>
        <w:t>全区注册志愿者达2万余名，新招募西部计划志愿者4名、累计在岗27名。</w:t>
      </w:r>
      <w:r>
        <w:rPr>
          <w:rFonts w:hint="eastAsia" w:ascii="方正仿宋简体" w:hAnsi="黑体" w:eastAsia="方正仿宋简体"/>
          <w:sz w:val="32"/>
          <w:szCs w:val="32"/>
        </w:rPr>
        <w:t>持续推进“逐梦计划”，在川内高校招募60余名大学生到我区开展暑期实习。</w:t>
      </w:r>
      <w:r>
        <w:rPr>
          <w:rFonts w:hint="eastAsia" w:ascii="方正仿宋简体" w:hAnsi="仿宋_GB2312" w:eastAsia="方正仿宋简体" w:cs="仿宋_GB2312"/>
          <w:sz w:val="32"/>
          <w:szCs w:val="32"/>
        </w:rPr>
        <w:t>先后组织青年志愿者800余人次服务春运、文明劝导、大型体育赛事、女儿节等区委、区政府重大工作和活动。累计开展法治宣传、禁毒防艾、防汛减灾、</w:t>
      </w:r>
      <w:r>
        <w:rPr>
          <w:rFonts w:hint="eastAsia" w:ascii="方正仿宋简体" w:hAnsi="黑体" w:eastAsia="方正仿宋简体"/>
          <w:sz w:val="32"/>
          <w:szCs w:val="32"/>
        </w:rPr>
        <w:t>秸秆禁烧</w:t>
      </w:r>
      <w:r>
        <w:rPr>
          <w:rFonts w:hint="eastAsia" w:ascii="方正仿宋简体" w:hAnsi="仿宋_GB2312" w:eastAsia="方正仿宋简体" w:cs="仿宋_GB2312"/>
          <w:sz w:val="32"/>
          <w:szCs w:val="32"/>
        </w:rPr>
        <w:t>等志愿服务活动50余次、提供服务600余人次。</w:t>
      </w:r>
    </w:p>
    <w:p>
      <w:pPr>
        <w:adjustRightInd w:val="0"/>
        <w:snapToGrid w:val="0"/>
        <w:spacing w:line="576" w:lineRule="exact"/>
        <w:ind w:firstLine="640" w:firstLineChars="200"/>
        <w:rPr>
          <w:rFonts w:ascii="方正仿宋简体" w:hAnsi="仿宋" w:eastAsia="方正仿宋简体"/>
          <w:color w:val="000000"/>
          <w:sz w:val="32"/>
          <w:szCs w:val="32"/>
        </w:rPr>
      </w:pPr>
      <w:r>
        <w:rPr>
          <w:rFonts w:hint="eastAsia" w:ascii="方正楷体简体" w:hAnsi="仿宋" w:eastAsia="方正楷体简体" w:cs="方正楷体简体"/>
          <w:color w:val="000000"/>
          <w:sz w:val="32"/>
          <w:szCs w:val="32"/>
        </w:rPr>
        <w:t>三是积极参与社会治理创新。</w:t>
      </w:r>
      <w:r>
        <w:rPr>
          <w:rFonts w:hint="eastAsia" w:ascii="方正仿宋简体" w:eastAsia="方正仿宋简体" w:cs="方正仿宋简体"/>
          <w:color w:val="000000"/>
          <w:kern w:val="0"/>
          <w:sz w:val="32"/>
          <w:szCs w:val="32"/>
        </w:rPr>
        <w:t>以</w:t>
      </w:r>
      <w:r>
        <w:rPr>
          <w:rFonts w:hint="eastAsia" w:ascii="方正仿宋简体" w:hAnsi="仿宋_GB2312" w:eastAsia="方正仿宋简体" w:cs="方正仿宋简体"/>
          <w:sz w:val="32"/>
          <w:szCs w:val="32"/>
        </w:rPr>
        <w:t>群团组织社会服务中心和青少年之家为载体，密切对青年社会组织的培育、联系、引导和服务，南河街道体育场社区被团省委列为全省城乡互助计划试点单位。先后支持和引导2个社会组织实施市级关爱留守学生项目4个，项目总金额10万元。</w:t>
      </w:r>
    </w:p>
    <w:p>
      <w:pPr>
        <w:widowControl/>
        <w:spacing w:line="576" w:lineRule="exact"/>
        <w:ind w:firstLine="640" w:firstLineChars="200"/>
        <w:jc w:val="left"/>
        <w:rPr>
          <w:rFonts w:ascii="方正黑体简体" w:hAnsi="黑体" w:eastAsia="方正黑体简体"/>
          <w:sz w:val="32"/>
          <w:szCs w:val="32"/>
        </w:rPr>
      </w:pPr>
      <w:r>
        <w:rPr>
          <w:rFonts w:hint="eastAsia" w:ascii="方正黑体简体" w:hAnsi="黑体" w:eastAsia="方正黑体简体"/>
          <w:sz w:val="32"/>
          <w:szCs w:val="32"/>
        </w:rPr>
        <w:t>（三）、</w:t>
      </w:r>
      <w:r>
        <w:rPr>
          <w:rFonts w:hint="eastAsia" w:ascii="方正黑体简体" w:hAnsi="黑体" w:eastAsia="方正黑体简体" w:cs="黑体"/>
          <w:bCs/>
          <w:color w:val="000000"/>
          <w:sz w:val="32"/>
          <w:szCs w:val="32"/>
        </w:rPr>
        <w:t>始终心系青年</w:t>
      </w:r>
      <w:r>
        <w:rPr>
          <w:rFonts w:hint="eastAsia" w:ascii="方正黑体简体" w:hAnsi="黑体" w:eastAsia="方正黑体简体"/>
          <w:sz w:val="32"/>
          <w:szCs w:val="32"/>
        </w:rPr>
        <w:t>，发挥好桥梁纽带作用</w:t>
      </w:r>
    </w:p>
    <w:p>
      <w:pPr>
        <w:spacing w:line="576" w:lineRule="exact"/>
        <w:ind w:firstLine="630"/>
        <w:rPr>
          <w:rFonts w:ascii="方正仿宋简体" w:eastAsia="方正仿宋简体" w:cs="方正仿宋简体"/>
          <w:sz w:val="32"/>
          <w:szCs w:val="32"/>
        </w:rPr>
      </w:pPr>
      <w:r>
        <w:rPr>
          <w:rFonts w:hint="eastAsia" w:ascii="方正楷体简体" w:hAnsi="仿宋_GB2312" w:eastAsia="方正楷体简体" w:cs="楷体_GB2312"/>
          <w:bCs/>
          <w:sz w:val="32"/>
          <w:szCs w:val="32"/>
        </w:rPr>
        <w:t>一是大力促进青年创业就业。</w:t>
      </w:r>
      <w:r>
        <w:rPr>
          <w:rFonts w:hint="eastAsia" w:ascii="方正仿宋简体" w:eastAsia="方正仿宋简体" w:cs="方正仿宋简体"/>
          <w:sz w:val="32"/>
          <w:szCs w:val="32"/>
        </w:rPr>
        <w:t>积极发挥团组织优势，持续举办“成功之技”青年电商技能培训班2期，培训全区创业青年170余人。加强与财政、人社、金融等部门的合作，积极为青年创业就业争取更多优惠政策。加强区青年创业产业园、大学生创业俱乐部等青年创业阵地建设，大力宣传支持创业的各项政策措施，联合相关部门开展各类宣讲、论坛10余次。扎实做好青年创业促进计划（SYE）项目推报工作，为9名创业青年发放贷款76万元，为青年创业提供了有力扶持。</w:t>
      </w:r>
    </w:p>
    <w:p>
      <w:pPr>
        <w:widowControl/>
        <w:spacing w:line="576" w:lineRule="exact"/>
        <w:ind w:firstLine="640" w:firstLineChars="200"/>
        <w:jc w:val="left"/>
        <w:rPr>
          <w:rFonts w:ascii="方正仿宋简体" w:eastAsia="方正仿宋简体" w:cs="方正仿宋简体"/>
          <w:sz w:val="32"/>
          <w:szCs w:val="32"/>
        </w:rPr>
      </w:pPr>
      <w:r>
        <w:rPr>
          <w:rFonts w:hint="eastAsia" w:ascii="方正楷体简体" w:hAnsi="仿宋_GB2312" w:eastAsia="方正楷体简体" w:cs="楷体_GB2312"/>
          <w:bCs/>
          <w:sz w:val="32"/>
          <w:szCs w:val="32"/>
        </w:rPr>
        <w:t>二是努力服务青少年学习成长。</w:t>
      </w:r>
      <w:r>
        <w:rPr>
          <w:rFonts w:hint="eastAsia" w:ascii="方正仿宋简体" w:eastAsia="方正仿宋简体" w:cs="方正仿宋简体"/>
          <w:sz w:val="32"/>
          <w:szCs w:val="32"/>
        </w:rPr>
        <w:t>持续深化留守学生等重点青少年群体关爱行动，积极整合社会资源，</w:t>
      </w:r>
      <w:r>
        <w:rPr>
          <w:rFonts w:ascii="方正仿宋简体" w:eastAsia="方正仿宋简体" w:cs="方正仿宋简体"/>
          <w:sz w:val="32"/>
          <w:szCs w:val="32"/>
        </w:rPr>
        <w:t>协同社会</w:t>
      </w:r>
      <w:r>
        <w:rPr>
          <w:rFonts w:hint="eastAsia" w:ascii="方正仿宋简体" w:eastAsia="方正仿宋简体" w:cs="方正仿宋简体"/>
          <w:sz w:val="32"/>
          <w:szCs w:val="32"/>
        </w:rPr>
        <w:t>组织</w:t>
      </w:r>
      <w:r>
        <w:rPr>
          <w:rFonts w:ascii="方正仿宋简体" w:eastAsia="方正仿宋简体" w:cs="方正仿宋简体"/>
          <w:sz w:val="32"/>
          <w:szCs w:val="32"/>
        </w:rPr>
        <w:t>参与社会治理</w:t>
      </w:r>
      <w:r>
        <w:rPr>
          <w:rFonts w:hint="eastAsia" w:ascii="方正仿宋简体" w:eastAsia="方正仿宋简体" w:cs="方正仿宋简体"/>
          <w:sz w:val="32"/>
          <w:szCs w:val="32"/>
        </w:rPr>
        <w:t>，深入开展“汇爱家园”“童伴计划”“暑期夏令营”“城乡社区互助计划”等关爱项目。落实天九共享集团学生资助项目“圆梦工程”，为750余名家庭困难学子发放助学金92.7万元。积极打造青年交友联谊互动平台，开展“建功新时代·缘梦利州城”</w:t>
      </w:r>
      <w:r>
        <w:rPr>
          <w:rFonts w:ascii="方正仿宋简体" w:eastAsia="方正仿宋简体" w:cs="方正仿宋简体"/>
          <w:sz w:val="32"/>
          <w:szCs w:val="32"/>
        </w:rPr>
        <w:t>2018</w:t>
      </w:r>
      <w:r>
        <w:rPr>
          <w:rFonts w:hint="eastAsia" w:ascii="方正仿宋简体" w:eastAsia="方正仿宋简体" w:cs="方正仿宋简体"/>
          <w:sz w:val="32"/>
          <w:szCs w:val="32"/>
        </w:rPr>
        <w:t>年广元市利州区青年人才联谊汇等青年相亲交友活动，促进各行业、各领域青年之间的沟通交流，切实帮助引导青年人才扎根利州、服务利州，团结凝聚社会各界青年投身全面建设综合实力一流的现代化市辖区的热潮。</w:t>
      </w:r>
    </w:p>
    <w:p>
      <w:pPr>
        <w:widowControl/>
        <w:spacing w:line="576" w:lineRule="exact"/>
        <w:ind w:firstLine="660"/>
        <w:jc w:val="left"/>
        <w:rPr>
          <w:rFonts w:ascii="方正仿宋简体" w:eastAsia="方正仿宋简体" w:cs="方正仿宋简体"/>
          <w:sz w:val="32"/>
          <w:szCs w:val="32"/>
        </w:rPr>
      </w:pPr>
      <w:r>
        <w:rPr>
          <w:rFonts w:hint="eastAsia" w:ascii="方正楷体简体" w:hAnsi="仿宋_GB2312" w:eastAsia="方正楷体简体" w:cs="楷体_GB2312"/>
          <w:bCs/>
          <w:sz w:val="32"/>
          <w:szCs w:val="32"/>
        </w:rPr>
        <w:t>三是切实维护青少年合法权益。</w:t>
      </w:r>
      <w:r>
        <w:rPr>
          <w:rFonts w:hint="eastAsia" w:ascii="方正仿宋简体" w:eastAsia="方正仿宋简体" w:cs="方正仿宋简体"/>
          <w:sz w:val="32"/>
          <w:szCs w:val="32"/>
        </w:rPr>
        <w:t>联系区法、检部门将青少年案件办理作为重点工作，严把失足青少年教育引导关；开展《预防未成年人犯罪法》、《未成年人保护法》宣传活动，通过校园法制报告会、交通安全知识图片展等形式，促进广大青少年知法、懂法、守法，提高了青少年</w:t>
      </w:r>
      <w:r>
        <w:rPr>
          <w:rFonts w:hint="eastAsia" w:ascii="方正仿宋简体" w:eastAsia="方正仿宋简体" w:cs="方正仿宋简体"/>
          <w:sz w:val="32"/>
          <w:szCs w:val="32"/>
          <w:lang w:eastAsia="zh-CN"/>
        </w:rPr>
        <w:t>法治意识</w:t>
      </w:r>
      <w:r>
        <w:rPr>
          <w:rFonts w:hint="eastAsia" w:ascii="方正仿宋简体" w:eastAsia="方正仿宋简体" w:cs="方正仿宋简体"/>
          <w:sz w:val="32"/>
          <w:szCs w:val="32"/>
        </w:rPr>
        <w:t>和自我保护能力。</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（四）、全面推进从严治团，自身建设不断加强</w:t>
      </w:r>
    </w:p>
    <w:p>
      <w:pPr>
        <w:spacing w:line="576" w:lineRule="exact"/>
        <w:ind w:firstLine="640" w:firstLineChars="200"/>
        <w:rPr>
          <w:rFonts w:ascii="方正仿宋简体" w:eastAsia="方正仿宋简体" w:cs="方正仿宋简体"/>
          <w:sz w:val="32"/>
          <w:szCs w:val="32"/>
        </w:rPr>
      </w:pPr>
      <w:r>
        <w:rPr>
          <w:rFonts w:hint="eastAsia" w:ascii="方正楷体简体" w:hAnsi="仿宋_GB2312" w:eastAsia="方正楷体简体" w:cs="楷体_GB2312"/>
          <w:bCs/>
          <w:sz w:val="32"/>
          <w:szCs w:val="32"/>
        </w:rPr>
        <w:t>一是始终坚持党建带团建，推动基层组织建设。</w:t>
      </w:r>
      <w:r>
        <w:rPr>
          <w:rFonts w:hint="eastAsia" w:ascii="方正仿宋简体" w:hAnsi="仿宋" w:eastAsia="方正仿宋简体" w:cs="方正仿宋简体"/>
          <w:sz w:val="32"/>
          <w:szCs w:val="32"/>
        </w:rPr>
        <w:t>全区各级团组织坚持党建带团建原则，</w:t>
      </w:r>
      <w:r>
        <w:rPr>
          <w:rFonts w:hint="eastAsia" w:ascii="方正仿宋简体" w:eastAsia="方正仿宋简体" w:cs="方正仿宋简体"/>
          <w:sz w:val="32"/>
          <w:szCs w:val="32"/>
        </w:rPr>
        <w:t>坚持党建带团建的责任制度、目标管理制度和督查制度不动摇，</w:t>
      </w:r>
      <w:r>
        <w:rPr>
          <w:rFonts w:hint="eastAsia" w:ascii="方正仿宋简体" w:hAnsi="仿宋" w:eastAsia="方正仿宋简体" w:cs="方正仿宋简体"/>
          <w:sz w:val="32"/>
          <w:szCs w:val="32"/>
        </w:rPr>
        <w:t>深化团建创新。</w:t>
      </w:r>
      <w:r>
        <w:rPr>
          <w:rFonts w:hint="eastAsia" w:ascii="方正仿宋简体" w:eastAsia="方正仿宋简体" w:cs="方正仿宋简体"/>
          <w:sz w:val="32"/>
          <w:szCs w:val="32"/>
        </w:rPr>
        <w:t>全区</w:t>
      </w:r>
      <w:r>
        <w:rPr>
          <w:rFonts w:ascii="方正仿宋简体" w:eastAsia="方正仿宋简体" w:cs="方正仿宋简体"/>
          <w:sz w:val="32"/>
          <w:szCs w:val="32"/>
        </w:rPr>
        <w:t>17</w:t>
      </w:r>
      <w:r>
        <w:rPr>
          <w:rFonts w:hint="eastAsia" w:ascii="方正仿宋简体" w:eastAsia="方正仿宋简体" w:cs="方正仿宋简体"/>
          <w:sz w:val="32"/>
          <w:szCs w:val="32"/>
        </w:rPr>
        <w:t>个乡镇（街道）均配齐配强了团的（工作）委员会，目前，全区乡镇（街道）的团（工）委书记均由党政领导班子中副科级干部兼任，</w:t>
      </w:r>
      <w:r>
        <w:rPr>
          <w:rFonts w:hint="eastAsia" w:ascii="方正仿宋简体" w:hAnsi="仿宋" w:eastAsia="方正仿宋简体"/>
          <w:sz w:val="32"/>
          <w:szCs w:val="32"/>
        </w:rPr>
        <w:t>党委联</w:t>
      </w:r>
      <w:r>
        <w:rPr>
          <w:rFonts w:hint="eastAsia" w:ascii="方正仿宋简体" w:eastAsia="方正仿宋简体" w:cs="方正仿宋简体"/>
          <w:sz w:val="32"/>
          <w:szCs w:val="32"/>
        </w:rPr>
        <w:t>系指导团委工作力度不断加强。团组织覆盖面不断加强。乡镇、学校团组织达到全覆盖。全面落实基层工作经费保障机制，进一步激发了基层组织活力。</w:t>
      </w:r>
    </w:p>
    <w:p>
      <w:pPr>
        <w:spacing w:line="576" w:lineRule="exact"/>
        <w:ind w:firstLine="640" w:firstLineChars="200"/>
        <w:rPr>
          <w:rFonts w:ascii="方正仿宋简体" w:eastAsia="方正仿宋简体" w:cs="方正仿宋简体"/>
          <w:sz w:val="32"/>
          <w:szCs w:val="32"/>
        </w:rPr>
      </w:pPr>
      <w:r>
        <w:rPr>
          <w:rFonts w:hint="eastAsia" w:ascii="方正楷体简体" w:hAnsi="仿宋_GB2312" w:eastAsia="方正楷体简体" w:cs="楷体_GB2312"/>
          <w:bCs/>
          <w:sz w:val="32"/>
          <w:szCs w:val="32"/>
        </w:rPr>
        <w:t>二是加强团员发展、教育和管理。</w:t>
      </w:r>
      <w:r>
        <w:rPr>
          <w:rFonts w:hint="eastAsia" w:ascii="方正仿宋简体" w:eastAsia="方正仿宋简体" w:cs="方正仿宋简体"/>
          <w:sz w:val="32"/>
          <w:szCs w:val="32"/>
        </w:rPr>
        <w:t>全面贯彻落实《关于加强新形势下发展团员和团员管理工作的意见》，做好发展团员工作，坚持团员标准，严格入团程序，开展入团仪式示范活动，加强团前教育和推优入团工作，严把关口，控制增量，提升质量，实现初中阶段毕业班团学比控制在30%。落实“三会两制一课”制度，严肃团的组织生活，推动团员成为注册志愿者。同时，严格按照新出台的团费收缴使用管理办法，在全面摸底团员数量的基础上，按照比例进行团费收缴。</w:t>
      </w:r>
    </w:p>
    <w:p>
      <w:pPr>
        <w:spacing w:line="576" w:lineRule="exact"/>
        <w:ind w:firstLine="640" w:firstLineChars="200"/>
        <w:rPr>
          <w:rFonts w:ascii="方正仿宋简体" w:eastAsia="方正仿宋简体" w:cs="方正仿宋简体"/>
          <w:sz w:val="32"/>
          <w:szCs w:val="32"/>
        </w:rPr>
      </w:pPr>
      <w:r>
        <w:rPr>
          <w:rFonts w:hint="eastAsia" w:ascii="方正楷体简体" w:hAnsi="仿宋_GB2312" w:eastAsia="方正楷体简体" w:cs="楷体_GB2312"/>
          <w:bCs/>
          <w:sz w:val="32"/>
          <w:szCs w:val="32"/>
        </w:rPr>
        <w:t>三是深入开展“智慧团建”系统信息采集录入攻坚行动。</w:t>
      </w:r>
      <w:r>
        <w:rPr>
          <w:rFonts w:hint="eastAsia" w:ascii="方正仿宋简体" w:eastAsia="方正仿宋简体" w:cs="方正仿宋简体"/>
          <w:sz w:val="32"/>
          <w:szCs w:val="32"/>
        </w:rPr>
        <w:t>“智慧团建”团员信息采集录入工作是摸清组织家底、建立全团大数据的核心工作，是提升团组织建设规范化和科学化水平的基础工程。我委坚持提升站位抓落实，把“智慧团建”系统信息采集录入工作作为树立“大抓基层”鲜明导向的重要举措和有力抓手，定时对全区录入情况进行分析研判，指导基层团组织在集中力量录入学校领域相关信息的同时，注重填补农村、社区、非公经济组织、社会组织等领域的团建空白点，截至12月初，全区共在“智慧团建”系统录入团支部450余个，录入团员4300余名，位居全市前列。</w:t>
      </w:r>
    </w:p>
    <w:p>
      <w:pPr>
        <w:pStyle w:val="3"/>
        <w:ind w:firstLine="320" w:firstLineChars="100"/>
        <w:rPr>
          <w:rStyle w:val="26"/>
          <w:b w:val="0"/>
          <w:bCs w:val="0"/>
        </w:rPr>
      </w:pPr>
      <w:bookmarkStart w:id="18" w:name="_Toc15377200"/>
      <w:bookmarkStart w:id="19"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8"/>
      <w:bookmarkEnd w:id="19"/>
    </w:p>
    <w:p>
      <w:pPr>
        <w:ind w:firstLine="800" w:firstLineChars="250"/>
        <w:rPr>
          <w:rFonts w:ascii="仿宋" w:hAnsi="仿宋" w:eastAsia="仿宋"/>
          <w:sz w:val="32"/>
          <w:szCs w:val="32"/>
        </w:rPr>
      </w:pPr>
      <w:r>
        <w:rPr>
          <w:rFonts w:hint="eastAsia" w:ascii="仿宋" w:hAnsi="仿宋" w:eastAsia="仿宋"/>
          <w:sz w:val="32"/>
          <w:szCs w:val="32"/>
        </w:rPr>
        <w:t>中国共产主义青年团广元市利州区委员会是2018年部门决算汇编范围内独立核算单位，本单位执行的是行政会计制度，属于利州区委下属二级单位。</w:t>
      </w:r>
    </w:p>
    <w:p>
      <w:pPr>
        <w:widowControl/>
        <w:ind w:firstLine="441" w:firstLineChars="100"/>
        <w:jc w:val="left"/>
        <w:rPr>
          <w:rFonts w:ascii="黑体" w:hAnsi="黑体" w:eastAsia="黑体" w:cs="黑体"/>
          <w:b/>
          <w:bCs/>
          <w:color w:val="000000"/>
          <w:sz w:val="44"/>
          <w:szCs w:val="44"/>
        </w:rPr>
      </w:pPr>
      <w:bookmarkStart w:id="20" w:name="_Toc15377204"/>
      <w:bookmarkStart w:id="21" w:name="_Toc15396602"/>
    </w:p>
    <w:p>
      <w:pPr>
        <w:widowControl/>
        <w:ind w:firstLine="441" w:firstLineChars="100"/>
        <w:jc w:val="left"/>
        <w:rPr>
          <w:rFonts w:ascii="黑体" w:hAnsi="黑体" w:eastAsia="黑体" w:cs="黑体"/>
          <w:b/>
          <w:bCs/>
          <w:color w:val="000000"/>
          <w:sz w:val="44"/>
          <w:szCs w:val="44"/>
        </w:rPr>
      </w:pPr>
    </w:p>
    <w:p>
      <w:pPr>
        <w:widowControl/>
        <w:ind w:firstLine="441" w:firstLineChars="100"/>
        <w:jc w:val="left"/>
        <w:rPr>
          <w:rStyle w:val="25"/>
          <w:rFonts w:ascii="黑体" w:hAnsi="黑体" w:eastAsia="黑体" w:cs="黑体"/>
        </w:rPr>
      </w:pPr>
      <w:r>
        <w:rPr>
          <w:rFonts w:hint="eastAsia" w:ascii="黑体" w:hAnsi="黑体" w:eastAsia="黑体" w:cs="黑体"/>
          <w:b/>
          <w:bCs/>
          <w:color w:val="000000"/>
          <w:sz w:val="44"/>
          <w:szCs w:val="44"/>
        </w:rPr>
        <w:t xml:space="preserve">第二部分 </w:t>
      </w:r>
      <w:r>
        <w:rPr>
          <w:rStyle w:val="25"/>
          <w:rFonts w:hint="eastAsia" w:ascii="黑体" w:hAnsi="黑体" w:eastAsia="黑体" w:cs="黑体"/>
        </w:rPr>
        <w:t>2018年度部门决算情况说明</w:t>
      </w:r>
      <w:bookmarkEnd w:id="20"/>
      <w:bookmarkEnd w:id="21"/>
    </w:p>
    <w:p>
      <w:pPr>
        <w:rPr>
          <w:rFonts w:ascii="黑体" w:hAnsi="黑体" w:eastAsia="黑体" w:cs="黑体"/>
          <w:b/>
          <w:bCs/>
        </w:rPr>
      </w:pPr>
    </w:p>
    <w:p>
      <w:pPr>
        <w:spacing w:line="600" w:lineRule="exact"/>
        <w:ind w:firstLine="640"/>
        <w:rPr>
          <w:rFonts w:ascii="仿宋_GB2312" w:eastAsia="仿宋_GB2312"/>
          <w:color w:val="000000"/>
          <w:sz w:val="32"/>
          <w:szCs w:val="32"/>
        </w:rPr>
      </w:pPr>
      <w:bookmarkStart w:id="22" w:name="_Toc15396603"/>
      <w:bookmarkStart w:id="23" w:name="_Toc15377205"/>
      <w:r>
        <w:rPr>
          <w:rFonts w:hint="eastAsia" w:ascii="黑体" w:hAnsi="黑体" w:eastAsia="黑体"/>
          <w:color w:val="000000"/>
          <w:sz w:val="32"/>
          <w:szCs w:val="32"/>
        </w:rPr>
        <w:t>一、收</w:t>
      </w:r>
      <w:r>
        <w:rPr>
          <w:rStyle w:val="26"/>
          <w:rFonts w:hint="eastAsia" w:ascii="黑体" w:hAnsi="黑体" w:eastAsia="黑体"/>
          <w:b w:val="0"/>
        </w:rPr>
        <w:t>入支出决算总体情况说明</w:t>
      </w:r>
      <w:bookmarkEnd w:id="22"/>
      <w:bookmarkEnd w:id="2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2018年度本年收入51.76万元，本年支出54.73万元。与2017年相比，本年收入减少2.43万元，减少率4.5%；本年支出减少1.68万元、减少率3.17%。主要变动原因是关工委工作经费调出，未在我单位核算等。</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drawing>
          <wp:anchor distT="0" distB="0" distL="114300" distR="114300" simplePos="0" relativeHeight="251665408" behindDoc="0" locked="0" layoutInCell="1" allowOverlap="1">
            <wp:simplePos x="0" y="0"/>
            <wp:positionH relativeFrom="column">
              <wp:posOffset>128905</wp:posOffset>
            </wp:positionH>
            <wp:positionV relativeFrom="paragraph">
              <wp:posOffset>320040</wp:posOffset>
            </wp:positionV>
            <wp:extent cx="5076190" cy="3810000"/>
            <wp:effectExtent l="19050" t="0" r="10160" b="0"/>
            <wp:wrapTopAndBottom/>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pStyle w:val="24"/>
        <w:spacing w:line="600" w:lineRule="exact"/>
        <w:ind w:left="640" w:firstLine="0" w:firstLineChars="0"/>
        <w:outlineLvl w:val="1"/>
        <w:rPr>
          <w:rStyle w:val="26"/>
          <w:rFonts w:ascii="黑体" w:hAnsi="黑体" w:eastAsia="黑体"/>
          <w:b w:val="0"/>
        </w:rPr>
      </w:pPr>
      <w:bookmarkStart w:id="24" w:name="_Toc15377206"/>
      <w:bookmarkStart w:id="25" w:name="_Toc15396604"/>
      <w:r>
        <w:rPr>
          <w:rFonts w:hint="eastAsia" w:ascii="黑体" w:hAnsi="黑体" w:eastAsia="黑体"/>
          <w:color w:val="000000"/>
          <w:sz w:val="32"/>
          <w:szCs w:val="32"/>
        </w:rPr>
        <w:t>二、收</w:t>
      </w:r>
      <w:r>
        <w:rPr>
          <w:rStyle w:val="26"/>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58240" behindDoc="0" locked="0" layoutInCell="1" allowOverlap="1">
            <wp:simplePos x="0" y="0"/>
            <wp:positionH relativeFrom="column">
              <wp:posOffset>205105</wp:posOffset>
            </wp:positionH>
            <wp:positionV relativeFrom="paragraph">
              <wp:posOffset>2302510</wp:posOffset>
            </wp:positionV>
            <wp:extent cx="5076190" cy="3810000"/>
            <wp:effectExtent l="19050" t="0" r="10160" b="0"/>
            <wp:wrapTopAndBottom/>
            <wp:docPr id="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8年本年收入合计51.76万元，其中：一般公共预算财政拨款收入51.76万元，占100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4"/>
        <w:spacing w:line="600" w:lineRule="exact"/>
        <w:ind w:firstLine="320" w:firstLineChars="100"/>
        <w:outlineLvl w:val="1"/>
        <w:rPr>
          <w:rStyle w:val="26"/>
          <w:rFonts w:ascii="黑体" w:hAnsi="黑体" w:eastAsia="黑体"/>
          <w:b w:val="0"/>
        </w:rPr>
      </w:pPr>
      <w:bookmarkStart w:id="26" w:name="_Toc15396605"/>
      <w:bookmarkStart w:id="27" w:name="_Toc15377207"/>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314960</wp:posOffset>
            </wp:positionH>
            <wp:positionV relativeFrom="paragraph">
              <wp:posOffset>2073910</wp:posOffset>
            </wp:positionV>
            <wp:extent cx="5076190" cy="3810000"/>
            <wp:effectExtent l="19050" t="0" r="1016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sz w:val="32"/>
          <w:szCs w:val="32"/>
        </w:rPr>
        <w:t>三、支</w:t>
      </w:r>
      <w:r>
        <w:rPr>
          <w:rStyle w:val="26"/>
          <w:rFonts w:hint="eastAsia" w:ascii="黑体" w:hAnsi="黑体" w:eastAsia="黑体"/>
          <w:b w:val="0"/>
        </w:rPr>
        <w:t>出决算情况说明</w:t>
      </w:r>
      <w:bookmarkEnd w:id="26"/>
      <w:bookmarkEnd w:id="2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8年本年支出合计54.73万元，其中：基本支出49.09万元，占89.69</w:t>
      </w:r>
      <w:r>
        <w:rPr>
          <w:rFonts w:ascii="仿宋" w:hAnsi="仿宋" w:eastAsia="仿宋"/>
          <w:color w:val="000000"/>
          <w:sz w:val="32"/>
          <w:szCs w:val="32"/>
        </w:rPr>
        <w:t>%</w:t>
      </w:r>
      <w:r>
        <w:rPr>
          <w:rFonts w:hint="eastAsia" w:ascii="仿宋" w:hAnsi="仿宋" w:eastAsia="仿宋"/>
          <w:color w:val="000000"/>
          <w:sz w:val="32"/>
          <w:szCs w:val="32"/>
        </w:rPr>
        <w:t>；项目支出5.64万元，占10.31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p>
    <w:p>
      <w:pPr>
        <w:spacing w:line="600" w:lineRule="exact"/>
        <w:ind w:firstLine="320" w:firstLineChars="100"/>
        <w:outlineLvl w:val="1"/>
        <w:rPr>
          <w:rStyle w:val="26"/>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8年财政拨款收入51.76万元，支出54.73万元。与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7年相比，财政拨款收入减少2.43万元，减少率4.5%、支出减少1.68万元，减少率3.17</w:t>
      </w:r>
      <w:r>
        <w:rPr>
          <w:rFonts w:ascii="仿宋" w:hAnsi="仿宋" w:eastAsia="仿宋"/>
          <w:color w:val="000000"/>
          <w:sz w:val="32"/>
          <w:szCs w:val="32"/>
        </w:rPr>
        <w:t>%</w:t>
      </w:r>
      <w:r>
        <w:rPr>
          <w:rFonts w:hint="eastAsia" w:ascii="仿宋" w:hAnsi="仿宋" w:eastAsia="仿宋"/>
          <w:color w:val="000000"/>
          <w:sz w:val="32"/>
          <w:szCs w:val="32"/>
        </w:rPr>
        <w:t>。主要变动原因是关工委工作经费调出，未在我单位核算等。</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6432" behindDoc="0" locked="0" layoutInCell="1" allowOverlap="1">
            <wp:simplePos x="0" y="0"/>
            <wp:positionH relativeFrom="column">
              <wp:posOffset>408305</wp:posOffset>
            </wp:positionH>
            <wp:positionV relativeFrom="paragraph">
              <wp:posOffset>194310</wp:posOffset>
            </wp:positionV>
            <wp:extent cx="5076190" cy="3810000"/>
            <wp:effectExtent l="19050" t="0" r="10160" b="0"/>
            <wp:wrapTopAndBottom/>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left"/>
        <w:rPr>
          <w:rStyle w:val="26"/>
          <w:rFonts w:ascii="黑体" w:hAnsi="黑体" w:eastAsia="黑体"/>
          <w:b w:val="0"/>
        </w:rPr>
      </w:pPr>
      <w:r>
        <w:rPr>
          <w:rFonts w:ascii="仿宋_GB2312" w:eastAsia="仿宋_GB2312"/>
          <w:color w:val="000000"/>
          <w:sz w:val="32"/>
          <w:szCs w:val="32"/>
        </w:rPr>
        <w:drawing>
          <wp:anchor distT="0" distB="0" distL="114300" distR="114300" simplePos="0" relativeHeight="251660288" behindDoc="0" locked="1" layoutInCell="1" allowOverlap="0">
            <wp:simplePos x="0" y="0"/>
            <wp:positionH relativeFrom="column">
              <wp:posOffset>412750</wp:posOffset>
            </wp:positionH>
            <wp:positionV relativeFrom="paragraph">
              <wp:posOffset>2332990</wp:posOffset>
            </wp:positionV>
            <wp:extent cx="4688840" cy="2844800"/>
            <wp:effectExtent l="19050" t="0" r="16510" b="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8年一般公共预算财政拨款支出54.73万元，占本年支出合计的100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7年相比，一般公共预算财政拨款减少1.68万元，减少率3.17</w:t>
      </w:r>
      <w:r>
        <w:rPr>
          <w:rFonts w:ascii="仿宋" w:hAnsi="仿宋" w:eastAsia="仿宋"/>
          <w:color w:val="000000"/>
          <w:sz w:val="32"/>
          <w:szCs w:val="32"/>
        </w:rPr>
        <w:t>%</w:t>
      </w:r>
      <w:r>
        <w:rPr>
          <w:rFonts w:hint="eastAsia" w:ascii="仿宋" w:hAnsi="仿宋" w:eastAsia="仿宋"/>
          <w:color w:val="000000"/>
          <w:sz w:val="32"/>
          <w:szCs w:val="32"/>
        </w:rPr>
        <w:t>。主要变动原因是关工委工作经费调出，未在我单位核算等。</w:t>
      </w:r>
    </w:p>
    <w:p>
      <w:pPr>
        <w:spacing w:line="600" w:lineRule="exact"/>
        <w:ind w:firstLine="642" w:firstLineChars="20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600" w:lineRule="exact"/>
        <w:ind w:firstLine="640"/>
        <w:rPr>
          <w:rFonts w:ascii="仿宋" w:hAnsi="仿宋" w:eastAsia="仿宋"/>
          <w:color w:val="000000" w:themeColor="text1"/>
          <w:sz w:val="32"/>
          <w:szCs w:val="32"/>
        </w:rPr>
      </w:pPr>
      <w:r>
        <w:rPr>
          <w:rFonts w:ascii="仿宋" w:hAnsi="仿宋" w:eastAsia="仿宋"/>
          <w:color w:val="000000" w:themeColor="text1"/>
          <w:sz w:val="32"/>
          <w:szCs w:val="32"/>
        </w:rPr>
        <w:t>201</w:t>
      </w:r>
      <w:r>
        <w:rPr>
          <w:rFonts w:hint="eastAsia" w:ascii="仿宋" w:hAnsi="仿宋" w:eastAsia="仿宋"/>
          <w:color w:val="000000" w:themeColor="text1"/>
          <w:sz w:val="32"/>
          <w:szCs w:val="32"/>
        </w:rPr>
        <w:t>8年一般公共预算财政拨款支出54.73万元，主要用于以下方面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支出45.18万元，占82.55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农林水（类）</w:t>
      </w:r>
      <w:r>
        <w:rPr>
          <w:rFonts w:hint="eastAsia" w:ascii="仿宋" w:hAnsi="仿宋" w:eastAsia="仿宋"/>
          <w:color w:val="000000" w:themeColor="text1"/>
          <w:sz w:val="32"/>
          <w:szCs w:val="32"/>
        </w:rPr>
        <w:t>支出0.3万元，占0.55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支出4.7万元，占8.59</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；医疗卫生支出1.84万元，占3.36</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；住房保障支出2.71万元，占4.95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2336" behindDoc="0" locked="0" layoutInCell="1" allowOverlap="1">
            <wp:simplePos x="0" y="0"/>
            <wp:positionH relativeFrom="column">
              <wp:posOffset>509905</wp:posOffset>
            </wp:positionH>
            <wp:positionV relativeFrom="paragraph">
              <wp:posOffset>41910</wp:posOffset>
            </wp:positionV>
            <wp:extent cx="4087495" cy="2507615"/>
            <wp:effectExtent l="19050" t="0" r="27305" b="6985"/>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321" w:firstLineChars="10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600" w:lineRule="exact"/>
        <w:ind w:firstLine="642" w:firstLineChars="200"/>
        <w:outlineLvl w:val="2"/>
        <w:rPr>
          <w:rFonts w:ascii="仿宋" w:hAnsi="仿宋" w:eastAsia="仿宋"/>
          <w:color w:val="FF0000"/>
          <w:sz w:val="32"/>
          <w:szCs w:val="32"/>
        </w:rPr>
      </w:pPr>
      <w:bookmarkStart w:id="35" w:name="_Toc15377444"/>
      <w:bookmarkStart w:id="36" w:name="_Toc15378460"/>
      <w:bookmarkStart w:id="37" w:name="_Toc15377213"/>
      <w:r>
        <w:rPr>
          <w:rFonts w:hint="eastAsia" w:ascii="仿宋" w:hAnsi="仿宋" w:eastAsia="仿宋"/>
          <w:b/>
          <w:color w:val="000000" w:themeColor="text1"/>
          <w:sz w:val="32"/>
          <w:szCs w:val="32"/>
        </w:rPr>
        <w:t>2018年一般公共预算支出决算数为54.73</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5"/>
      <w:bookmarkEnd w:id="36"/>
      <w:bookmarkEnd w:id="37"/>
    </w:p>
    <w:p>
      <w:pPr>
        <w:numPr>
          <w:ilvl w:val="0"/>
          <w:numId w:val="1"/>
        </w:numPr>
        <w:spacing w:line="600" w:lineRule="exact"/>
        <w:ind w:firstLine="642" w:firstLineChars="200"/>
        <w:rPr>
          <w:rStyle w:val="15"/>
          <w:rFonts w:ascii="仿宋" w:hAnsi="仿宋" w:eastAsia="仿宋"/>
          <w:b w:val="0"/>
          <w:bCs/>
          <w:color w:val="000000" w:themeColor="text1"/>
          <w:sz w:val="32"/>
          <w:szCs w:val="32"/>
        </w:rPr>
      </w:pPr>
      <w:r>
        <w:rPr>
          <w:rStyle w:val="15"/>
          <w:rFonts w:hint="eastAsia" w:ascii="仿宋" w:hAnsi="仿宋" w:eastAsia="仿宋"/>
          <w:bCs/>
          <w:color w:val="000000" w:themeColor="text1"/>
          <w:sz w:val="32"/>
          <w:szCs w:val="32"/>
        </w:rPr>
        <w:t>一般公共服务（类）群众团体（款）行政运行（项）</w:t>
      </w:r>
      <w:r>
        <w:rPr>
          <w:rStyle w:val="15"/>
          <w:rFonts w:ascii="仿宋" w:hAnsi="仿宋" w:eastAsia="仿宋"/>
          <w:bCs/>
          <w:color w:val="000000" w:themeColor="text1"/>
          <w:sz w:val="32"/>
          <w:szCs w:val="32"/>
        </w:rPr>
        <w:t>:</w:t>
      </w:r>
      <w:r>
        <w:rPr>
          <w:rStyle w:val="15"/>
          <w:rFonts w:ascii="仿宋" w:hAnsi="仿宋" w:eastAsia="仿宋"/>
          <w:b w:val="0"/>
          <w:bCs/>
          <w:color w:val="000000" w:themeColor="text1"/>
          <w:sz w:val="32"/>
          <w:szCs w:val="32"/>
        </w:rPr>
        <w:t xml:space="preserve"> </w:t>
      </w:r>
      <w:r>
        <w:rPr>
          <w:rStyle w:val="15"/>
          <w:rFonts w:hint="eastAsia" w:ascii="仿宋" w:hAnsi="仿宋" w:eastAsia="仿宋"/>
          <w:b w:val="0"/>
          <w:bCs/>
          <w:color w:val="000000" w:themeColor="text1"/>
          <w:sz w:val="32"/>
          <w:szCs w:val="32"/>
        </w:rPr>
        <w:t>支出决算为39.84万元，完成预算99.37</w:t>
      </w:r>
      <w:r>
        <w:rPr>
          <w:rStyle w:val="15"/>
          <w:rFonts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，决算数小于预算数的主要原因是年末追加基本工资调整标准及增加财政供养人员经费。</w:t>
      </w:r>
    </w:p>
    <w:p>
      <w:pPr>
        <w:numPr>
          <w:ilvl w:val="0"/>
          <w:numId w:val="1"/>
        </w:numPr>
        <w:spacing w:line="600" w:lineRule="exact"/>
        <w:ind w:firstLine="642" w:firstLineChars="200"/>
        <w:rPr>
          <w:rFonts w:ascii="仿宋" w:hAnsi="仿宋" w:eastAsia="仿宋"/>
          <w:b/>
          <w:color w:val="000000" w:themeColor="text1"/>
          <w:sz w:val="32"/>
          <w:szCs w:val="32"/>
        </w:rPr>
      </w:pPr>
      <w:r>
        <w:rPr>
          <w:rStyle w:val="15"/>
          <w:rFonts w:hint="eastAsia" w:ascii="仿宋" w:hAnsi="仿宋" w:eastAsia="仿宋"/>
          <w:bCs/>
          <w:color w:val="000000" w:themeColor="text1"/>
          <w:sz w:val="32"/>
          <w:szCs w:val="32"/>
        </w:rPr>
        <w:t>一般公共服务（类）群众团体（款）一般行政管理事务（项）</w:t>
      </w:r>
      <w:r>
        <w:rPr>
          <w:rStyle w:val="15"/>
          <w:rFonts w:ascii="仿宋" w:hAnsi="仿宋" w:eastAsia="仿宋"/>
          <w:bCs/>
          <w:color w:val="000000" w:themeColor="text1"/>
          <w:sz w:val="32"/>
          <w:szCs w:val="32"/>
        </w:rPr>
        <w:t>:</w:t>
      </w:r>
      <w:r>
        <w:rPr>
          <w:rStyle w:val="15"/>
          <w:rFonts w:ascii="仿宋" w:hAnsi="仿宋" w:eastAsia="仿宋"/>
          <w:b w:val="0"/>
          <w:bCs/>
          <w:color w:val="000000" w:themeColor="text1"/>
          <w:sz w:val="32"/>
          <w:szCs w:val="32"/>
        </w:rPr>
        <w:t xml:space="preserve"> </w:t>
      </w:r>
      <w:r>
        <w:rPr>
          <w:rStyle w:val="15"/>
          <w:rFonts w:hint="eastAsia" w:ascii="仿宋" w:hAnsi="仿宋" w:eastAsia="仿宋"/>
          <w:b w:val="0"/>
          <w:bCs/>
          <w:color w:val="000000" w:themeColor="text1"/>
          <w:sz w:val="32"/>
          <w:szCs w:val="32"/>
        </w:rPr>
        <w:t>支出决算为2.9万元，完成预算100</w:t>
      </w:r>
      <w:r>
        <w:rPr>
          <w:rStyle w:val="15"/>
          <w:rFonts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，决算数等于预算数。</w:t>
      </w:r>
    </w:p>
    <w:p>
      <w:pPr>
        <w:numPr>
          <w:ilvl w:val="0"/>
          <w:numId w:val="1"/>
        </w:numPr>
        <w:spacing w:line="600" w:lineRule="exact"/>
        <w:ind w:firstLine="642" w:firstLineChars="200"/>
        <w:rPr>
          <w:rFonts w:ascii="仿宋" w:hAnsi="仿宋" w:eastAsia="仿宋"/>
          <w:b/>
          <w:color w:val="000000" w:themeColor="text1"/>
          <w:sz w:val="32"/>
          <w:szCs w:val="32"/>
        </w:rPr>
      </w:pPr>
      <w:r>
        <w:rPr>
          <w:rStyle w:val="15"/>
          <w:rFonts w:hint="eastAsia" w:ascii="仿宋" w:hAnsi="仿宋" w:eastAsia="仿宋"/>
          <w:bCs/>
          <w:color w:val="000000" w:themeColor="text1"/>
          <w:sz w:val="32"/>
          <w:szCs w:val="32"/>
        </w:rPr>
        <w:t>一般公共服务（类）群众团体（款）其他群众团体事务（项）</w:t>
      </w:r>
      <w:r>
        <w:rPr>
          <w:rStyle w:val="15"/>
          <w:rFonts w:ascii="仿宋" w:hAnsi="仿宋" w:eastAsia="仿宋"/>
          <w:bCs/>
          <w:color w:val="000000" w:themeColor="text1"/>
          <w:sz w:val="32"/>
          <w:szCs w:val="32"/>
        </w:rPr>
        <w:t>:</w:t>
      </w:r>
      <w:r>
        <w:rPr>
          <w:rStyle w:val="15"/>
          <w:rFonts w:ascii="仿宋" w:hAnsi="仿宋" w:eastAsia="仿宋"/>
          <w:b w:val="0"/>
          <w:bCs/>
          <w:color w:val="000000" w:themeColor="text1"/>
          <w:sz w:val="32"/>
          <w:szCs w:val="32"/>
        </w:rPr>
        <w:t xml:space="preserve"> </w:t>
      </w:r>
      <w:r>
        <w:rPr>
          <w:rStyle w:val="15"/>
          <w:rFonts w:hint="eastAsia" w:ascii="仿宋" w:hAnsi="仿宋" w:eastAsia="仿宋"/>
          <w:b w:val="0"/>
          <w:bCs/>
          <w:color w:val="000000" w:themeColor="text1"/>
          <w:sz w:val="32"/>
          <w:szCs w:val="32"/>
        </w:rPr>
        <w:t>支出决算为2.44万元，完成预算81.56</w:t>
      </w:r>
      <w:r>
        <w:rPr>
          <w:rStyle w:val="15"/>
          <w:rFonts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，决算数小于预算数主要原因是按进度拨款。</w:t>
      </w:r>
    </w:p>
    <w:p>
      <w:pPr>
        <w:spacing w:line="600" w:lineRule="exact"/>
        <w:ind w:firstLine="642" w:firstLineChars="200"/>
        <w:rPr>
          <w:rStyle w:val="15"/>
          <w:rFonts w:ascii="仿宋" w:hAnsi="仿宋" w:eastAsia="仿宋"/>
          <w:b w:val="0"/>
          <w:bCs/>
          <w:color w:val="000000" w:themeColor="text1"/>
          <w:sz w:val="32"/>
          <w:szCs w:val="32"/>
        </w:rPr>
      </w:pPr>
      <w:r>
        <w:rPr>
          <w:rStyle w:val="15"/>
          <w:rFonts w:hint="eastAsia" w:ascii="仿宋" w:hAnsi="仿宋" w:eastAsia="仿宋"/>
          <w:bCs/>
          <w:color w:val="000000" w:themeColor="text1"/>
          <w:sz w:val="32"/>
          <w:szCs w:val="32"/>
        </w:rPr>
        <w:t>4、社会保障和就业（类）行政事业单位离退休（款）机关事业单位基本养老保险缴费（项）</w:t>
      </w:r>
      <w:r>
        <w:rPr>
          <w:rStyle w:val="15"/>
          <w:rFonts w:ascii="仿宋" w:hAnsi="仿宋" w:eastAsia="仿宋"/>
          <w:bCs/>
          <w:color w:val="000000" w:themeColor="text1"/>
          <w:sz w:val="32"/>
          <w:szCs w:val="32"/>
        </w:rPr>
        <w:t>:</w:t>
      </w:r>
      <w:r>
        <w:rPr>
          <w:rStyle w:val="15"/>
          <w:rFonts w:ascii="仿宋" w:hAnsi="仿宋" w:eastAsia="仿宋"/>
          <w:b w:val="0"/>
          <w:bCs/>
          <w:color w:val="000000" w:themeColor="text1"/>
          <w:sz w:val="32"/>
          <w:szCs w:val="32"/>
        </w:rPr>
        <w:t xml:space="preserve"> </w:t>
      </w:r>
      <w:r>
        <w:rPr>
          <w:rStyle w:val="15"/>
          <w:rFonts w:hint="eastAsia" w:ascii="仿宋" w:hAnsi="仿宋" w:eastAsia="仿宋"/>
          <w:b w:val="0"/>
          <w:bCs/>
          <w:color w:val="000000" w:themeColor="text1"/>
          <w:sz w:val="32"/>
          <w:szCs w:val="32"/>
        </w:rPr>
        <w:t>支出决算为4.7万元，完成预算92.58</w:t>
      </w:r>
      <w:r>
        <w:rPr>
          <w:rStyle w:val="15"/>
          <w:rFonts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 xml:space="preserve">，决算数小于预算数的主要原因是基本工资调标部分的基本养老保险未缴费。  </w:t>
      </w:r>
    </w:p>
    <w:p>
      <w:pPr>
        <w:spacing w:line="600" w:lineRule="exact"/>
        <w:ind w:firstLine="642" w:firstLineChars="200"/>
        <w:rPr>
          <w:rStyle w:val="15"/>
          <w:rFonts w:ascii="仿宋" w:hAnsi="仿宋" w:eastAsia="仿宋"/>
          <w:b w:val="0"/>
          <w:bCs/>
          <w:color w:val="000000" w:themeColor="text1"/>
          <w:sz w:val="32"/>
          <w:szCs w:val="32"/>
        </w:rPr>
      </w:pPr>
      <w:r>
        <w:rPr>
          <w:rStyle w:val="15"/>
          <w:rFonts w:hint="eastAsia" w:ascii="仿宋" w:hAnsi="仿宋" w:eastAsia="仿宋"/>
          <w:bCs/>
          <w:color w:val="000000" w:themeColor="text1"/>
          <w:sz w:val="32"/>
          <w:szCs w:val="32"/>
        </w:rPr>
        <w:t>5</w:t>
      </w:r>
      <w:r>
        <w:rPr>
          <w:rStyle w:val="15"/>
          <w:rFonts w:ascii="仿宋" w:hAnsi="仿宋" w:eastAsia="仿宋"/>
          <w:bCs/>
          <w:color w:val="000000" w:themeColor="text1"/>
          <w:sz w:val="32"/>
          <w:szCs w:val="32"/>
        </w:rPr>
        <w:t>.</w:t>
      </w:r>
      <w:r>
        <w:rPr>
          <w:rStyle w:val="15"/>
          <w:rFonts w:hint="eastAsia" w:ascii="仿宋" w:hAnsi="仿宋" w:eastAsia="仿宋"/>
          <w:bCs/>
          <w:color w:val="000000" w:themeColor="text1"/>
          <w:sz w:val="32"/>
          <w:szCs w:val="32"/>
        </w:rPr>
        <w:t>医疗卫生与计划生育（类）行政事业单位医疗（款）行政单位医疗（项）</w:t>
      </w:r>
      <w:r>
        <w:rPr>
          <w:rStyle w:val="15"/>
          <w:rFonts w:ascii="仿宋" w:hAnsi="仿宋" w:eastAsia="仿宋"/>
          <w:bCs/>
          <w:color w:val="000000" w:themeColor="text1"/>
          <w:sz w:val="32"/>
          <w:szCs w:val="32"/>
        </w:rPr>
        <w:t>:</w:t>
      </w:r>
      <w:r>
        <w:rPr>
          <w:rStyle w:val="15"/>
          <w:rFonts w:hint="eastAsia" w:ascii="仿宋" w:hAnsi="仿宋" w:eastAsia="仿宋"/>
          <w:b w:val="0"/>
          <w:bCs/>
          <w:color w:val="000000" w:themeColor="text1"/>
          <w:sz w:val="32"/>
          <w:szCs w:val="32"/>
        </w:rPr>
        <w:t>支出决算为1.84万元，完成预算100</w:t>
      </w:r>
      <w:r>
        <w:rPr>
          <w:rStyle w:val="15"/>
          <w:rFonts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，决算数等于预算数。</w:t>
      </w:r>
    </w:p>
    <w:p>
      <w:pPr>
        <w:spacing w:line="600" w:lineRule="exact"/>
        <w:ind w:firstLine="640" w:firstLineChars="200"/>
        <w:rPr>
          <w:rStyle w:val="15"/>
          <w:rFonts w:ascii="仿宋" w:hAnsi="仿宋" w:eastAsia="仿宋"/>
          <w:b w:val="0"/>
          <w:bCs/>
          <w:color w:val="000000" w:themeColor="text1"/>
          <w:sz w:val="32"/>
          <w:szCs w:val="32"/>
        </w:rPr>
      </w:pPr>
      <w:r>
        <w:rPr>
          <w:rStyle w:val="15"/>
          <w:rFonts w:hint="eastAsia" w:ascii="仿宋" w:hAnsi="仿宋" w:eastAsia="仿宋"/>
          <w:b w:val="0"/>
          <w:bCs/>
          <w:color w:val="000000" w:themeColor="text1"/>
          <w:sz w:val="32"/>
          <w:szCs w:val="32"/>
        </w:rPr>
        <w:t>6.农林水（类）扶贫（款）其他扶贫（项）支出决算为0.3万元，完成预算100</w:t>
      </w:r>
      <w:r>
        <w:rPr>
          <w:rStyle w:val="15"/>
          <w:rFonts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，决算数等于预算数。</w:t>
      </w:r>
    </w:p>
    <w:p>
      <w:pPr>
        <w:spacing w:line="600" w:lineRule="exact"/>
        <w:ind w:firstLine="642" w:firstLineChars="200"/>
        <w:rPr>
          <w:rFonts w:ascii="仿宋" w:hAnsi="仿宋" w:eastAsia="仿宋"/>
          <w:b/>
          <w:color w:val="000000" w:themeColor="text1"/>
          <w:sz w:val="32"/>
          <w:szCs w:val="32"/>
        </w:rPr>
      </w:pPr>
      <w:r>
        <w:rPr>
          <w:rStyle w:val="15"/>
          <w:rFonts w:hint="eastAsia" w:ascii="仿宋" w:hAnsi="仿宋" w:eastAsia="仿宋"/>
          <w:bCs/>
          <w:color w:val="000000" w:themeColor="text1"/>
          <w:sz w:val="32"/>
          <w:szCs w:val="32"/>
        </w:rPr>
        <w:t>7</w:t>
      </w:r>
      <w:r>
        <w:rPr>
          <w:rStyle w:val="15"/>
          <w:rFonts w:ascii="仿宋" w:hAnsi="仿宋" w:eastAsia="仿宋"/>
          <w:bCs/>
          <w:color w:val="000000" w:themeColor="text1"/>
          <w:sz w:val="32"/>
          <w:szCs w:val="32"/>
        </w:rPr>
        <w:t>.</w:t>
      </w:r>
      <w:r>
        <w:rPr>
          <w:rStyle w:val="15"/>
          <w:rFonts w:hint="eastAsia" w:ascii="仿宋" w:hAnsi="仿宋" w:eastAsia="仿宋"/>
          <w:bCs/>
          <w:color w:val="000000" w:themeColor="text1"/>
          <w:sz w:val="32"/>
          <w:szCs w:val="32"/>
        </w:rPr>
        <w:t>住房保障（类）住房改革（款）住房公积金（项）</w:t>
      </w:r>
      <w:r>
        <w:rPr>
          <w:rStyle w:val="15"/>
          <w:rFonts w:ascii="仿宋" w:hAnsi="仿宋" w:eastAsia="仿宋"/>
          <w:bCs/>
          <w:color w:val="000000" w:themeColor="text1"/>
          <w:sz w:val="32"/>
          <w:szCs w:val="32"/>
        </w:rPr>
        <w:t>:</w:t>
      </w:r>
      <w:r>
        <w:rPr>
          <w:rStyle w:val="15"/>
          <w:rFonts w:hint="eastAsia" w:ascii="仿宋" w:hAnsi="仿宋" w:eastAsia="仿宋"/>
          <w:b w:val="0"/>
          <w:bCs/>
          <w:color w:val="000000" w:themeColor="text1"/>
          <w:sz w:val="32"/>
          <w:szCs w:val="32"/>
        </w:rPr>
        <w:t>支出决算为2.71万元，完成预算100</w:t>
      </w:r>
      <w:r>
        <w:rPr>
          <w:rStyle w:val="15"/>
          <w:rFonts w:ascii="仿宋" w:hAnsi="仿宋" w:eastAsia="仿宋"/>
          <w:b w:val="0"/>
          <w:bCs/>
          <w:color w:val="000000" w:themeColor="text1"/>
          <w:sz w:val="32"/>
          <w:szCs w:val="32"/>
        </w:rPr>
        <w:t>%</w:t>
      </w:r>
      <w:r>
        <w:rPr>
          <w:rStyle w:val="15"/>
          <w:rFonts w:hint="eastAsia" w:ascii="仿宋" w:hAnsi="仿宋" w:eastAsia="仿宋"/>
          <w:b w:val="0"/>
          <w:bCs/>
          <w:color w:val="000000" w:themeColor="text1"/>
          <w:sz w:val="32"/>
          <w:szCs w:val="32"/>
        </w:rPr>
        <w:t>，决算数等于预算数。</w:t>
      </w:r>
    </w:p>
    <w:p>
      <w:pPr>
        <w:tabs>
          <w:tab w:val="right" w:pos="8306"/>
        </w:tabs>
        <w:spacing w:line="600" w:lineRule="exact"/>
        <w:ind w:firstLine="640"/>
        <w:outlineLvl w:val="1"/>
        <w:rPr>
          <w:rStyle w:val="26"/>
        </w:rPr>
      </w:pPr>
      <w:bookmarkStart w:id="38" w:name="_Toc15377214"/>
      <w:bookmarkStart w:id="39"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8年一般公共预算财政拨款基本支出49.09万元，其中：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43.94万元，主要包括：基本工资11.96万元、津贴补贴10.7万元、奖金0.93万元、伙食补助费0万元、绩效工资0万元、机关事业单位基本养老保险缴费4.7万元、职业年金缴费0万元、其他社会保障缴费2.25万元、其他工资福利支出9.63万元、离休费0万元、退休费0万元、抚恤金0万元、生活补助0万元、医疗费0万元、奖励金0.01万元、住房公积金3.76万元、提租补贴0万元、购房补贴0万元、其他对个人和家庭的补助支出0元等。</w:t>
      </w:r>
      <w:r>
        <w:rPr>
          <w:rFonts w:ascii="仿宋" w:hAnsi="仿宋" w:eastAsia="仿宋"/>
          <w:color w:val="000000"/>
          <w:sz w:val="32"/>
          <w:szCs w:val="32"/>
        </w:rPr>
        <w:br w:type="textWrapping"/>
      </w:r>
      <w:r>
        <w:rPr>
          <w:rFonts w:hint="eastAsia" w:ascii="仿宋" w:hAnsi="仿宋" w:eastAsia="仿宋"/>
          <w:color w:val="000000"/>
          <w:sz w:val="32"/>
          <w:szCs w:val="32"/>
        </w:rPr>
        <w:t>　　公用经费5.15万元，主要包括：办公费0.42万元、印刷费0万元、咨询费0万元、手续费0.08万元、水费0.19万元、电费0.35万元、邮电费0.37万元、取暖费0万元、物业管理费0.01万元、差旅费0万元、因公出国（境）费用0万元、维修（护）费0万元、租赁费0万元、会议费0万元、培训费0万元、公务接待费0.18万元、劳务费0万元、委托业务费0万元、工会经费0.39万元、福利费0.23万元、公务用车运行维护费0万元、其他交通费2.93万元、税金及附加费用0万元、其他商品和服务支出0万元、办公设备购置0万元、专用设备购置0万元、信息网络及软件购置更新0万元、其他资本性支出0万元等。</w:t>
      </w:r>
    </w:p>
    <w:p>
      <w:pPr>
        <w:spacing w:line="600" w:lineRule="exact"/>
        <w:ind w:firstLine="640"/>
        <w:outlineLvl w:val="1"/>
        <w:rPr>
          <w:rStyle w:val="26"/>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8年“三公”经费财政拨款支出决算为0.25万元，完成预算100</w:t>
      </w:r>
      <w:r>
        <w:rPr>
          <w:rFonts w:ascii="仿宋" w:hAnsi="仿宋" w:eastAsia="仿宋"/>
          <w:color w:val="000000"/>
          <w:sz w:val="32"/>
          <w:szCs w:val="32"/>
        </w:rPr>
        <w:t>%</w:t>
      </w:r>
      <w:r>
        <w:rPr>
          <w:rFonts w:hint="eastAsia" w:ascii="仿宋" w:hAnsi="仿宋" w:eastAsia="仿宋"/>
          <w:color w:val="000000"/>
          <w:sz w:val="32"/>
          <w:szCs w:val="32"/>
        </w:rPr>
        <w:t>，决算数小于预算数的原因是厉行节约。</w:t>
      </w:r>
    </w:p>
    <w:p>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；公务接待费支出决算0.25万元，占100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961390</wp:posOffset>
            </wp:positionH>
            <wp:positionV relativeFrom="paragraph">
              <wp:posOffset>-152400</wp:posOffset>
            </wp:positionV>
            <wp:extent cx="3633470" cy="2082165"/>
            <wp:effectExtent l="19050" t="0" r="24130" b="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0.25万元，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w:t>
      </w:r>
      <w:r>
        <w:rPr>
          <w:rFonts w:hint="eastAsia" w:ascii="仿宋" w:hAnsi="仿宋" w:eastAsia="仿宋"/>
          <w:color w:val="000000"/>
          <w:sz w:val="32"/>
          <w:szCs w:val="32"/>
        </w:rPr>
        <w:t>决算数小于预算数的原因是厉行节约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主要用于执行公务、开展业务活动开支的交通费、住宿费、用餐费等。国内公务接待4批次，38人次（不包括陪同人员），共计支出0.25万元，具体内容包括：志愿者活动支出。其中：</w:t>
      </w:r>
    </w:p>
    <w:p>
      <w:pPr>
        <w:spacing w:line="600" w:lineRule="exact"/>
        <w:ind w:firstLine="642"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0.25</w:t>
      </w:r>
      <w:r>
        <w:rPr>
          <w:rFonts w:hint="eastAsia" w:ascii="仿宋_GB2312" w:eastAsia="仿宋_GB2312"/>
          <w:color w:val="000000"/>
          <w:sz w:val="32"/>
          <w:szCs w:val="32"/>
        </w:rPr>
        <w:t>万元，主要用于志愿者活动支出。</w:t>
      </w:r>
    </w:p>
    <w:p>
      <w:pPr>
        <w:spacing w:line="600" w:lineRule="exact"/>
        <w:ind w:firstLine="640"/>
        <w:outlineLvl w:val="1"/>
        <w:rPr>
          <w:rFonts w:ascii="黑体" w:eastAsia="黑体"/>
          <w:color w:val="000000"/>
          <w:sz w:val="32"/>
          <w:szCs w:val="32"/>
        </w:rPr>
      </w:pPr>
      <w:bookmarkStart w:id="44" w:name="_Toc15377218"/>
      <w:bookmarkStart w:id="45"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color w:val="000000" w:themeColor="text1"/>
          <w:sz w:val="32"/>
          <w:szCs w:val="32"/>
        </w:rPr>
      </w:pPr>
      <w:r>
        <w:rPr>
          <w:rFonts w:hint="eastAsia" w:ascii="仿宋" w:hAnsi="仿宋" w:eastAsia="仿宋" w:cs="楷体_GB2312"/>
          <w:b/>
          <w:bCs/>
          <w:color w:val="000000" w:themeColor="text1"/>
          <w:sz w:val="32"/>
          <w:szCs w:val="32"/>
        </w:rPr>
        <w:t>预算绩效管理工作开展情况。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预算绩效管理要求，本部门（单位）在年初预算编制阶段，组织对2个项目开展了预算事前绩效评估，对2个项目编制了绩效目标，预算执行过程中，选取2个项目开展绩效监控，年终执行完毕后，对2个项目开展了绩效目标完成情况梳理填报。</w:t>
      </w:r>
    </w:p>
    <w:p>
      <w:pPr>
        <w:spacing w:line="540" w:lineRule="exact"/>
        <w:ind w:firstLine="640" w:firstLineChars="200"/>
        <w:rPr>
          <w:rFonts w:ascii="华文仿宋" w:hAnsi="华文仿宋" w:eastAsia="华文仿宋"/>
          <w:color w:val="000000" w:themeColor="text1"/>
          <w:sz w:val="32"/>
          <w:szCs w:val="32"/>
        </w:rPr>
      </w:pPr>
      <w:r>
        <w:rPr>
          <w:rFonts w:hint="eastAsia" w:ascii="仿宋_GB2312" w:hAnsi="仿宋_GB2312" w:eastAsia="仿宋_GB2312" w:cs="仿宋_GB2312"/>
          <w:color w:val="000000" w:themeColor="text1"/>
          <w:sz w:val="32"/>
          <w:szCs w:val="32"/>
        </w:rPr>
        <w:t>本部门按要求对2018年部门整体支出开展绩效自评，从评价情况来看自评结果良好，全年基本支出保障了2个项目的正常运行和日常工作的正常开展，项目支出保障了重点工作的开展，各项支出均达到了预期的绩效管理目标。</w:t>
      </w:r>
      <w:r>
        <w:rPr>
          <w:rFonts w:hint="eastAsia" w:ascii="仿宋_GB2312" w:eastAsia="仿宋_GB2312"/>
          <w:color w:val="000000" w:themeColor="text1"/>
          <w:sz w:val="32"/>
          <w:szCs w:val="32"/>
        </w:rPr>
        <w:t>存在的问题：</w:t>
      </w:r>
      <w:r>
        <w:rPr>
          <w:rFonts w:hint="eastAsia" w:ascii="仿宋_GB2312" w:hAnsi="宋体" w:eastAsia="仿宋_GB2312" w:cs="仿宋_GB2312"/>
          <w:color w:val="000000" w:themeColor="text1"/>
          <w:sz w:val="32"/>
          <w:szCs w:val="32"/>
        </w:rPr>
        <w:t>一是绩效评价管理工作制度建设有待进一步加强，绩效管理缺乏系统性；二是</w:t>
      </w:r>
      <w:r>
        <w:rPr>
          <w:rFonts w:hint="eastAsia" w:ascii="华文仿宋" w:hAnsi="华文仿宋" w:eastAsia="华文仿宋"/>
          <w:color w:val="000000" w:themeColor="text1"/>
          <w:sz w:val="32"/>
          <w:szCs w:val="32"/>
        </w:rPr>
        <w:t>缺乏绩效评价专业人才，系统现有评价工作人员的知识体系和业务技能还需进一步提高，以适应绩效评价工作相关要求。</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color w:val="000000" w:themeColor="text1"/>
          <w:sz w:val="32"/>
          <w:szCs w:val="32"/>
        </w:rPr>
        <w:t>下一步改进措施：</w:t>
      </w:r>
      <w:r>
        <w:rPr>
          <w:rStyle w:val="15"/>
          <w:rFonts w:hint="eastAsia" w:ascii="仿宋_GB2312" w:hAnsi="宋体" w:eastAsia="仿宋_GB2312" w:cs="仿宋_GB2312"/>
          <w:color w:val="000000" w:themeColor="text1"/>
          <w:sz w:val="32"/>
          <w:szCs w:val="32"/>
        </w:rPr>
        <w:t>一是</w:t>
      </w:r>
      <w:r>
        <w:rPr>
          <w:rFonts w:hint="eastAsia" w:ascii="仿宋_GB2312" w:hAnsi="宋体" w:eastAsia="仿宋_GB2312" w:cs="仿宋_GB2312"/>
          <w:color w:val="000000" w:themeColor="text1"/>
          <w:sz w:val="32"/>
          <w:szCs w:val="32"/>
        </w:rPr>
        <w:t>进一步加强绩效评价管理制度建设；二是建立有效的绩效管理体系；</w:t>
      </w:r>
      <w:r>
        <w:rPr>
          <w:rStyle w:val="15"/>
          <w:rFonts w:hint="eastAsia" w:ascii="仿宋_GB2312" w:hAnsi="宋体" w:eastAsia="仿宋_GB2312" w:cs="仿宋_GB2312"/>
          <w:color w:val="000000" w:themeColor="text1"/>
          <w:sz w:val="32"/>
          <w:szCs w:val="32"/>
        </w:rPr>
        <w:t>三是</w:t>
      </w:r>
      <w:r>
        <w:rPr>
          <w:rFonts w:hint="eastAsia" w:ascii="仿宋_GB2312" w:hAnsi="宋体" w:eastAsia="仿宋_GB2312" w:cs="仿宋_GB2312"/>
          <w:color w:val="000000" w:themeColor="text1"/>
          <w:sz w:val="32"/>
          <w:szCs w:val="32"/>
        </w:rPr>
        <w:t>强化绩效管理数据分析，强化绩效管理数据运用；四是强化绩效评价专业技能的培训。</w:t>
      </w:r>
    </w:p>
    <w:p>
      <w:pPr>
        <w:numPr>
          <w:ilvl w:val="0"/>
          <w:numId w:val="4"/>
        </w:numPr>
        <w:spacing w:line="580" w:lineRule="exact"/>
        <w:ind w:firstLine="642" w:firstLineChars="200"/>
        <w:rPr>
          <w:rFonts w:ascii="仿宋_GB2312" w:hAnsi="仿宋_GB2312" w:eastAsia="仿宋_GB2312" w:cs="仿宋_GB2312"/>
          <w:color w:val="000000" w:themeColor="text1"/>
          <w:sz w:val="32"/>
          <w:szCs w:val="32"/>
        </w:rPr>
      </w:pPr>
      <w:r>
        <w:rPr>
          <w:rFonts w:hint="eastAsia" w:ascii="仿宋" w:hAnsi="仿宋" w:eastAsia="仿宋" w:cs="楷体_GB2312"/>
          <w:b/>
          <w:bCs/>
          <w:color w:val="000000" w:themeColor="text1"/>
          <w:sz w:val="32"/>
          <w:szCs w:val="32"/>
        </w:rPr>
        <w:t>项目绩效目标完成情况。</w:t>
      </w:r>
      <w:r>
        <w:rPr>
          <w:rFonts w:hint="eastAsia" w:ascii="楷体_GB2312" w:hAnsi="楷体_GB2312" w:eastAsia="楷体_GB2312" w:cs="楷体_GB2312"/>
          <w:b/>
          <w:bCs/>
          <w:color w:val="000000" w:themeColor="text1"/>
          <w:sz w:val="32"/>
          <w:szCs w:val="32"/>
        </w:rPr>
        <w:br w:type="textWrapping"/>
      </w:r>
      <w:r>
        <w:rPr>
          <w:rFonts w:hint="eastAsia" w:ascii="仿宋_GB2312" w:hAnsi="仿宋_GB2312" w:eastAsia="仿宋_GB2312" w:cs="仿宋_GB2312"/>
          <w:color w:val="000000" w:themeColor="text1"/>
          <w:sz w:val="32"/>
          <w:szCs w:val="32"/>
        </w:rPr>
        <w:t xml:space="preserve">    本部门在2018年度部门决算中反映“关爱留守儿童</w:t>
      </w:r>
      <w:r>
        <w:rPr>
          <w:rFonts w:ascii="仿宋_GB2312" w:hAnsi="仿宋_GB2312" w:eastAsia="仿宋_GB2312" w:cs="仿宋_GB2312"/>
          <w:color w:val="000000" w:themeColor="text1"/>
          <w:sz w:val="32"/>
          <w:szCs w:val="32"/>
        </w:rPr>
        <w:t>”</w:t>
      </w:r>
    </w:p>
    <w:p>
      <w:pPr>
        <w:spacing w:line="58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“青少年事务社工人才队伍建设</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等2个项目绩效目标实际完成情况。</w:t>
      </w:r>
    </w:p>
    <w:p>
      <w:pPr>
        <w:numPr>
          <w:ilvl w:val="0"/>
          <w:numId w:val="5"/>
        </w:num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“关爱留守儿童</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项目绩效目标完成情况综述。项目全年预算数2万元，执行数为2万元，完成预算的100%。通过项目实施，促进了当地留守儿童的身心健康成长，也为其他地方的留守儿童组织提供了一种借鉴模式。</w:t>
      </w:r>
    </w:p>
    <w:p>
      <w:pPr>
        <w:numPr>
          <w:ilvl w:val="0"/>
          <w:numId w:val="5"/>
        </w:num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发现的主要问题：资金拨付不及时。下一步改进措施：按时拨付资金。</w:t>
      </w:r>
    </w:p>
    <w:p>
      <w:pPr>
        <w:numPr>
          <w:ilvl w:val="0"/>
          <w:numId w:val="5"/>
        </w:num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“青少年事务社工人才队伍建设</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项目绩效目标完成情况综述。项目全年预算数0.5万元，执行数为0.5万元，完成预算的100%。通过项目实施，保障了在建设专业化的社工队伍上，更好的解决青少年成长发展的困难和问题，建立健全青少年事务工作服务体系和网络，培育专业社工组织，让专业的人做专业的事。</w:t>
      </w:r>
    </w:p>
    <w:p>
      <w:pPr>
        <w:tabs>
          <w:tab w:val="left" w:pos="312"/>
        </w:tabs>
        <w:spacing w:line="580" w:lineRule="exact"/>
        <w:rPr>
          <w:rFonts w:ascii="仿宋_GB2312" w:hAnsi="仿宋_GB2312" w:eastAsia="仿宋_GB2312" w:cs="仿宋_GB2312"/>
          <w:color w:val="000000" w:themeColor="text1"/>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仿宋_GB2312" w:hAnsi="仿宋_GB2312" w:eastAsia="仿宋_GB2312" w:cs="仿宋_GB2312"/>
                <w:color w:val="000000" w:themeColor="text1"/>
                <w:sz w:val="32"/>
                <w:szCs w:val="32"/>
              </w:rPr>
              <w:t>“关爱留守儿童</w:t>
            </w:r>
            <w:r>
              <w:rPr>
                <w:rFonts w:ascii="仿宋_GB2312" w:hAnsi="仿宋_GB2312" w:eastAsia="仿宋_GB2312" w:cs="仿宋_GB2312"/>
                <w:color w:val="000000" w:themeColor="text1"/>
                <w:sz w:val="32"/>
                <w:szCs w:val="32"/>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团区委</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r>
              <w:rPr>
                <w:rFonts w:hint="eastAsia" w:ascii="宋体" w:hAnsi="宋体" w:cs="宋体"/>
                <w:color w:val="000000" w:themeColor="text1"/>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持续深化留守学生等重点青少年群体关爱行动，深入开展“童伴计划”“城乡社区互助计划”等关爱项目，为留守儿童、贫困儿童提供学业辅导、心理疏导、亲情陪护等各种服务。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强化完善了留守学生等重点青少年群体关爱行动，“童伴计划”“城乡社区互助计划”等关爱项目持续开展，为更多的留守儿童提供各类服务。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为试点社区提供日常工作经费，保障“童伴计划”顺利开展，为留守儿童提供亲情陪护。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指标2：为试点社区提供日常工作经费，保障“城乡社区互助计划”顺利开展。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为留守儿童提供亲情陪护，让留守儿童健康成长。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让留守儿童满意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超过90%以上</w:t>
            </w:r>
          </w:p>
        </w:tc>
      </w:tr>
    </w:tbl>
    <w:p>
      <w:pPr>
        <w:rPr>
          <w:rFonts w:ascii="Calibri" w:hAnsi="Calibri"/>
          <w:color w:val="000000" w:themeColor="text1"/>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黑体" w:hAnsi="黑体" w:eastAsia="黑体" w:cs="宋体"/>
                <w:bCs/>
                <w:color w:val="000000" w:themeColor="text1"/>
                <w:kern w:val="0"/>
                <w:sz w:val="36"/>
                <w:szCs w:val="36"/>
              </w:rPr>
            </w:pPr>
          </w:p>
          <w:p>
            <w:pPr>
              <w:pStyle w:val="24"/>
              <w:widowControl/>
              <w:ind w:left="4173" w:leftChars="1310" w:hanging="1422" w:hangingChars="395"/>
              <w:textAlignment w:val="center"/>
              <w:rPr>
                <w:rFonts w:ascii="宋体" w:hAnsi="宋体" w:cs="宋体"/>
                <w:color w:val="000000" w:themeColor="text1"/>
                <w:sz w:val="36"/>
                <w:szCs w:val="36"/>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仿宋_GB2312" w:hAnsi="仿宋_GB2312" w:eastAsia="仿宋_GB2312" w:cs="仿宋_GB2312"/>
                <w:color w:val="000000" w:themeColor="text1"/>
                <w:sz w:val="32"/>
                <w:szCs w:val="32"/>
              </w:rPr>
              <w:t>青少年事务社工人才队伍建设</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团区委</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0.5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0.5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0.5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rPr>
            </w:pPr>
            <w:r>
              <w:rPr>
                <w:rFonts w:hint="eastAsia" w:ascii="宋体" w:hAnsi="宋体" w:cs="宋体"/>
                <w:color w:val="000000" w:themeColor="text1"/>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实际完成目标</w:t>
            </w:r>
          </w:p>
        </w:tc>
      </w:tr>
      <w:tr>
        <w:tblPrEx>
          <w:tblCellMar>
            <w:top w:w="0" w:type="dxa"/>
            <w:left w:w="0" w:type="dxa"/>
            <w:bottom w:w="0" w:type="dxa"/>
            <w:right w:w="0" w:type="dxa"/>
          </w:tblCellMar>
        </w:tblPrEx>
        <w:trPr>
          <w:trHeight w:val="218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 xml:space="preserve">在建设专业化的社工队伍上下功夫，更好的解决青少年成长发展的困难和问题，建立健全青少年事务工作服务体系和网络，培育专业社工组织，让专业的人做专业的事。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themeColor="text1"/>
                <w:sz w:val="24"/>
              </w:rPr>
            </w:pPr>
            <w:r>
              <w:rPr>
                <w:rFonts w:hint="eastAsia" w:ascii="宋体" w:hAnsi="宋体" w:cs="宋体"/>
                <w:color w:val="000000" w:themeColor="text1"/>
                <w:sz w:val="24"/>
              </w:rPr>
              <w:t>强化完善了留守学生等重点青少年群体关爱行动，“童伴计划”“城乡社区互助计划”等关爱项目持续开展，为更多的留守儿童提供各类服务。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建立青少年事务工作服务体系；扶持培育民办青少年事务社工服务机构发展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达到预期目标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形成民政部门具体负责、有关部门密切配合、社会力量广泛参与的社会工作专业人才队伍建设工作格局</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引导青少年事务社工人才队伍为青少年提供服务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鼓励社会组织承接团省委、团</w:t>
            </w:r>
            <w:r>
              <w:rPr>
                <w:rFonts w:hint="eastAsia" w:ascii="宋体" w:hAnsi="宋体" w:cs="宋体"/>
                <w:color w:val="000000" w:themeColor="text1"/>
                <w:sz w:val="24"/>
                <w:lang w:eastAsia="zh-CN"/>
              </w:rPr>
              <w:t>市委市政府</w:t>
            </w:r>
            <w:r>
              <w:rPr>
                <w:rFonts w:hint="eastAsia" w:ascii="宋体" w:hAnsi="宋体" w:cs="宋体"/>
                <w:color w:val="000000" w:themeColor="text1"/>
                <w:sz w:val="24"/>
              </w:rPr>
              <w:t>项目，与区检察院、区司法局合作实施开展青少年安全自护和禁毒等宣传</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rPr>
            </w:pPr>
            <w:r>
              <w:rPr>
                <w:rFonts w:hint="eastAsia" w:ascii="宋体" w:hAnsi="宋体" w:cs="宋体"/>
                <w:color w:val="000000" w:themeColor="text1"/>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提升对青少年服务水平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达到预期目标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让社会组织满意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大于或等于90%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rPr>
            </w:pPr>
            <w:r>
              <w:rPr>
                <w:rFonts w:hint="eastAsia" w:ascii="宋体" w:hAnsi="宋体" w:cs="宋体"/>
                <w:color w:val="000000" w:themeColor="text1"/>
                <w:sz w:val="24"/>
              </w:rPr>
              <w:t>高于90%</w:t>
            </w:r>
          </w:p>
        </w:tc>
      </w:tr>
    </w:tbl>
    <w:p>
      <w:pPr>
        <w:spacing w:line="580" w:lineRule="exact"/>
        <w:rPr>
          <w:rFonts w:ascii="仿宋_GB2312" w:hAnsi="仿宋_GB2312" w:eastAsia="仿宋_GB2312" w:cs="仿宋_GB2312"/>
          <w:color w:val="000000" w:themeColor="text1"/>
          <w:sz w:val="32"/>
          <w:szCs w:val="32"/>
        </w:rPr>
      </w:pPr>
    </w:p>
    <w:p>
      <w:pPr>
        <w:numPr>
          <w:ilvl w:val="0"/>
          <w:numId w:val="4"/>
        </w:numPr>
        <w:spacing w:line="580" w:lineRule="exact"/>
        <w:ind w:firstLine="642" w:firstLineChars="200"/>
        <w:rPr>
          <w:rFonts w:ascii="仿宋" w:hAnsi="仿宋" w:eastAsia="仿宋" w:cs="仿宋_GB2312"/>
          <w:color w:val="000000" w:themeColor="text1"/>
          <w:sz w:val="32"/>
          <w:szCs w:val="32"/>
        </w:rPr>
      </w:pPr>
      <w:r>
        <w:rPr>
          <w:rFonts w:hint="eastAsia" w:ascii="仿宋" w:hAnsi="仿宋" w:eastAsia="仿宋" w:cs="楷体_GB2312"/>
          <w:b/>
          <w:bCs/>
          <w:color w:val="000000" w:themeColor="text1"/>
          <w:sz w:val="32"/>
          <w:szCs w:val="32"/>
        </w:rPr>
        <w:t>部门开展绩效评价结果。</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本部门按要求对2018年部门整体支出绩效评价情况开展自评，《团区委2018年部门整体支出绩效评价报告》见附件。</w:t>
      </w:r>
    </w:p>
    <w:p>
      <w:pPr>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本部门自行组织对“关爱留守儿童</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项目、“青少年事务社工人才队伍建设</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项目开展了绩效评价，《团区委2018年绩效评价报告》见附件。</w:t>
      </w:r>
    </w:p>
    <w:p>
      <w:pPr>
        <w:spacing w:line="600" w:lineRule="exact"/>
        <w:ind w:firstLine="800" w:firstLineChars="250"/>
        <w:outlineLvl w:val="1"/>
        <w:rPr>
          <w:rStyle w:val="26"/>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8年，团区委机关运行经费支出5.15万元，比</w:t>
      </w:r>
      <w:r>
        <w:rPr>
          <w:rFonts w:ascii="仿宋_GB2312" w:eastAsia="仿宋_GB2312"/>
          <w:color w:val="000000"/>
          <w:sz w:val="32"/>
          <w:szCs w:val="32"/>
        </w:rPr>
        <w:t>201</w:t>
      </w:r>
      <w:r>
        <w:rPr>
          <w:rFonts w:hint="eastAsia" w:ascii="仿宋_GB2312" w:eastAsia="仿宋_GB2312"/>
          <w:color w:val="000000"/>
          <w:sz w:val="32"/>
          <w:szCs w:val="32"/>
        </w:rPr>
        <w:t>7年减少1.92万元，下降27.16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 w:hAnsi="仿宋" w:eastAsia="仿宋"/>
          <w:color w:val="000000"/>
          <w:sz w:val="32"/>
          <w:szCs w:val="32"/>
        </w:rPr>
        <w:t>关工委工作经费调出，未在我单位核算等。</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8年，团区委政府采购支出总额0万元，其中：政府采购货物支出0万元、政府采购工程支出0万元、政府采购服务支出0万元。授予中小企业合同金额0万元，占政府采购支出总额的0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日，团区委共有车辆0辆，其中：部级领导干部用车0辆、一般公务用车0辆、一般执法执勤用车0辆、特种专业技术用车0辆、其他用车0辆，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5"/>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jc w:val="left"/>
        <w:rPr>
          <w:rStyle w:val="15"/>
          <w:rFonts w:ascii="仿宋" w:hAnsi="仿宋" w:eastAsia="仿宋"/>
          <w:b w:val="0"/>
          <w:bCs w:val="0"/>
          <w:color w:val="000000" w:themeColor="text1"/>
          <w:sz w:val="32"/>
          <w:szCs w:val="32"/>
        </w:rPr>
      </w:pPr>
      <w:r>
        <w:rPr>
          <w:rStyle w:val="15"/>
          <w:rFonts w:hint="eastAsia" w:ascii="仿宋" w:hAnsi="仿宋" w:eastAsia="仿宋"/>
          <w:b w:val="0"/>
          <w:bCs w:val="0"/>
          <w:color w:val="000000" w:themeColor="text1"/>
          <w:sz w:val="32"/>
          <w:szCs w:val="32"/>
        </w:rPr>
        <w:t>9、一般公共服务支出（类）群众团体事务（款）行政运行（项）</w:t>
      </w:r>
      <w:r>
        <w:rPr>
          <w:rStyle w:val="15"/>
          <w:rFonts w:ascii="仿宋" w:hAnsi="仿宋" w:eastAsia="仿宋"/>
          <w:b w:val="0"/>
          <w:bCs w:val="0"/>
          <w:color w:val="000000" w:themeColor="text1"/>
          <w:sz w:val="32"/>
          <w:szCs w:val="32"/>
        </w:rPr>
        <w:t>:</w:t>
      </w:r>
      <w:r>
        <w:rPr>
          <w:rStyle w:val="15"/>
          <w:rFonts w:hint="eastAsia" w:ascii="仿宋" w:hAnsi="仿宋" w:eastAsia="仿宋"/>
          <w:b w:val="0"/>
          <w:bCs w:val="0"/>
          <w:color w:val="000000" w:themeColor="text1"/>
          <w:sz w:val="32"/>
          <w:szCs w:val="32"/>
        </w:rPr>
        <w:t>指行政单位（包括实行公务员管理的事业单位）的基本支出。</w:t>
      </w:r>
    </w:p>
    <w:p>
      <w:pPr>
        <w:spacing w:line="600" w:lineRule="exact"/>
        <w:ind w:firstLine="640" w:firstLineChars="200"/>
        <w:rPr>
          <w:rFonts w:ascii="仿宋" w:hAnsi="仿宋" w:eastAsia="仿宋"/>
          <w:b w:val="0"/>
          <w:bCs w:val="0"/>
          <w:color w:val="000000" w:themeColor="text1"/>
          <w:sz w:val="32"/>
          <w:szCs w:val="32"/>
        </w:rPr>
      </w:pPr>
      <w:r>
        <w:rPr>
          <w:rStyle w:val="15"/>
          <w:rFonts w:hint="eastAsia" w:ascii="仿宋" w:hAnsi="仿宋" w:eastAsia="仿宋"/>
          <w:b w:val="0"/>
          <w:bCs w:val="0"/>
          <w:color w:val="000000" w:themeColor="text1"/>
          <w:sz w:val="32"/>
          <w:szCs w:val="32"/>
        </w:rPr>
        <w:t>10、一般公共服务（类）群众团体（款）一般行政管理事务（项）</w:t>
      </w:r>
      <w:r>
        <w:rPr>
          <w:rStyle w:val="15"/>
          <w:rFonts w:ascii="仿宋" w:hAnsi="仿宋" w:eastAsia="仿宋"/>
          <w:b w:val="0"/>
          <w:bCs w:val="0"/>
          <w:color w:val="000000" w:themeColor="text1"/>
          <w:sz w:val="32"/>
          <w:szCs w:val="32"/>
        </w:rPr>
        <w:t>:</w:t>
      </w:r>
      <w:r>
        <w:rPr>
          <w:rStyle w:val="15"/>
          <w:rFonts w:hint="eastAsia" w:ascii="仿宋" w:hAnsi="仿宋" w:eastAsia="仿宋"/>
          <w:b w:val="0"/>
          <w:bCs w:val="0"/>
          <w:color w:val="000000" w:themeColor="text1"/>
          <w:sz w:val="32"/>
          <w:szCs w:val="32"/>
        </w:rPr>
        <w:t>指行政单位（包括实行公务员管理的事业单位）未单独设置顶级科目的其他项目支出。</w:t>
      </w:r>
      <w:r>
        <w:rPr>
          <w:rStyle w:val="15"/>
          <w:rFonts w:ascii="仿宋" w:hAnsi="仿宋" w:eastAsia="仿宋"/>
          <w:b w:val="0"/>
          <w:bCs w:val="0"/>
          <w:color w:val="000000" w:themeColor="text1"/>
          <w:sz w:val="32"/>
          <w:szCs w:val="32"/>
        </w:rPr>
        <w:t xml:space="preserve"> </w:t>
      </w:r>
      <w:r>
        <w:rPr>
          <w:rStyle w:val="15"/>
          <w:rFonts w:hint="eastAsia" w:ascii="仿宋" w:hAnsi="仿宋" w:eastAsia="仿宋"/>
          <w:b w:val="0"/>
          <w:bCs w:val="0"/>
          <w:color w:val="000000" w:themeColor="text1"/>
          <w:sz w:val="32"/>
          <w:szCs w:val="32"/>
        </w:rPr>
        <w:t xml:space="preserve"> </w:t>
      </w:r>
    </w:p>
    <w:p>
      <w:pPr>
        <w:spacing w:line="600" w:lineRule="exact"/>
        <w:ind w:firstLine="640" w:firstLineChars="200"/>
        <w:rPr>
          <w:rFonts w:ascii="仿宋" w:hAnsi="仿宋" w:eastAsia="仿宋"/>
          <w:b w:val="0"/>
          <w:bCs w:val="0"/>
          <w:color w:val="000000" w:themeColor="text1"/>
          <w:sz w:val="32"/>
          <w:szCs w:val="32"/>
        </w:rPr>
      </w:pPr>
      <w:r>
        <w:rPr>
          <w:rStyle w:val="15"/>
          <w:rFonts w:hint="eastAsia" w:ascii="仿宋" w:hAnsi="仿宋" w:eastAsia="仿宋"/>
          <w:b w:val="0"/>
          <w:bCs w:val="0"/>
          <w:color w:val="000000" w:themeColor="text1"/>
          <w:sz w:val="32"/>
          <w:szCs w:val="32"/>
        </w:rPr>
        <w:t>11、一般公共服务（类）群众团体（款）其他群众团体事务支出（项）</w:t>
      </w:r>
      <w:r>
        <w:rPr>
          <w:rStyle w:val="15"/>
          <w:rFonts w:ascii="仿宋" w:hAnsi="仿宋" w:eastAsia="仿宋"/>
          <w:b w:val="0"/>
          <w:bCs w:val="0"/>
          <w:color w:val="000000" w:themeColor="text1"/>
          <w:sz w:val="32"/>
          <w:szCs w:val="32"/>
        </w:rPr>
        <w:t>:</w:t>
      </w:r>
      <w:r>
        <w:rPr>
          <w:rStyle w:val="15"/>
          <w:rFonts w:hint="eastAsia" w:ascii="仿宋" w:hAnsi="仿宋" w:eastAsia="仿宋"/>
          <w:b w:val="0"/>
          <w:bCs w:val="0"/>
          <w:color w:val="000000" w:themeColor="text1"/>
          <w:sz w:val="32"/>
          <w:szCs w:val="32"/>
        </w:rPr>
        <w:t>指除上述项目以外其他用于群众团体事务方面的支出。</w:t>
      </w:r>
      <w:r>
        <w:rPr>
          <w:rStyle w:val="15"/>
          <w:rFonts w:ascii="仿宋" w:hAnsi="仿宋" w:eastAsia="仿宋"/>
          <w:b w:val="0"/>
          <w:bCs w:val="0"/>
          <w:color w:val="000000" w:themeColor="text1"/>
          <w:sz w:val="32"/>
          <w:szCs w:val="32"/>
        </w:rPr>
        <w:t xml:space="preserve"> </w:t>
      </w:r>
    </w:p>
    <w:p>
      <w:pPr>
        <w:spacing w:line="600" w:lineRule="exact"/>
        <w:ind w:firstLine="640" w:firstLineChars="200"/>
        <w:rPr>
          <w:rStyle w:val="15"/>
          <w:rFonts w:ascii="仿宋" w:hAnsi="仿宋" w:eastAsia="仿宋"/>
          <w:b w:val="0"/>
          <w:bCs w:val="0"/>
          <w:color w:val="000000" w:themeColor="text1"/>
          <w:sz w:val="32"/>
          <w:szCs w:val="32"/>
        </w:rPr>
      </w:pPr>
      <w:r>
        <w:rPr>
          <w:rStyle w:val="15"/>
          <w:rFonts w:hint="eastAsia" w:ascii="仿宋" w:hAnsi="仿宋" w:eastAsia="仿宋"/>
          <w:b w:val="0"/>
          <w:bCs w:val="0"/>
          <w:color w:val="000000" w:themeColor="text1"/>
          <w:sz w:val="32"/>
          <w:szCs w:val="32"/>
        </w:rPr>
        <w:t>12、社会保障和就业（类）行政事业单位离退休（款）机关事业单位基本养老保险缴费（项）</w:t>
      </w:r>
      <w:r>
        <w:rPr>
          <w:rStyle w:val="15"/>
          <w:rFonts w:ascii="仿宋" w:hAnsi="仿宋" w:eastAsia="仿宋"/>
          <w:b w:val="0"/>
          <w:bCs w:val="0"/>
          <w:color w:val="000000" w:themeColor="text1"/>
          <w:sz w:val="32"/>
          <w:szCs w:val="32"/>
        </w:rPr>
        <w:t>:</w:t>
      </w:r>
      <w:r>
        <w:rPr>
          <w:rStyle w:val="15"/>
          <w:rFonts w:hint="eastAsia" w:ascii="仿宋" w:hAnsi="仿宋" w:eastAsia="仿宋"/>
          <w:b w:val="0"/>
          <w:bCs w:val="0"/>
          <w:color w:val="000000" w:themeColor="text1"/>
          <w:sz w:val="32"/>
          <w:szCs w:val="32"/>
        </w:rPr>
        <w:t>指机关事业单位实施养老保险制度由单位缴纳的基本养老保险费支出。</w:t>
      </w:r>
      <w:r>
        <w:rPr>
          <w:rStyle w:val="15"/>
          <w:rFonts w:ascii="仿宋" w:hAnsi="仿宋" w:eastAsia="仿宋"/>
          <w:b w:val="0"/>
          <w:bCs w:val="0"/>
          <w:color w:val="000000" w:themeColor="text1"/>
          <w:sz w:val="32"/>
          <w:szCs w:val="32"/>
        </w:rPr>
        <w:t xml:space="preserve"> </w:t>
      </w:r>
    </w:p>
    <w:p>
      <w:pPr>
        <w:spacing w:line="600" w:lineRule="exact"/>
        <w:ind w:firstLine="640" w:firstLineChars="200"/>
        <w:rPr>
          <w:rStyle w:val="15"/>
          <w:rFonts w:ascii="仿宋" w:hAnsi="仿宋" w:eastAsia="仿宋"/>
          <w:b w:val="0"/>
          <w:bCs w:val="0"/>
          <w:color w:val="000000" w:themeColor="text1"/>
          <w:sz w:val="32"/>
          <w:szCs w:val="32"/>
        </w:rPr>
      </w:pPr>
      <w:r>
        <w:rPr>
          <w:rStyle w:val="15"/>
          <w:rFonts w:hint="eastAsia" w:ascii="仿宋" w:hAnsi="仿宋" w:eastAsia="仿宋"/>
          <w:b w:val="0"/>
          <w:bCs w:val="0"/>
          <w:color w:val="000000" w:themeColor="text1"/>
          <w:sz w:val="32"/>
          <w:szCs w:val="32"/>
        </w:rPr>
        <w:t>13、医疗卫生与计划生育（类）行政事业单位医疗（款）事业单位医疗（项）</w:t>
      </w:r>
      <w:r>
        <w:rPr>
          <w:rStyle w:val="15"/>
          <w:rFonts w:ascii="仿宋" w:hAnsi="仿宋" w:eastAsia="仿宋"/>
          <w:b w:val="0"/>
          <w:bCs w:val="0"/>
          <w:color w:val="000000" w:themeColor="text1"/>
          <w:sz w:val="32"/>
          <w:szCs w:val="32"/>
        </w:rPr>
        <w:t>:</w:t>
      </w:r>
      <w:r>
        <w:rPr>
          <w:rStyle w:val="15"/>
          <w:rFonts w:hint="eastAsia" w:ascii="仿宋" w:hAnsi="仿宋" w:eastAsia="仿宋"/>
          <w:b w:val="0"/>
          <w:bCs w:val="0"/>
          <w:color w:val="000000" w:themeColor="text1"/>
          <w:sz w:val="32"/>
          <w:szCs w:val="32"/>
        </w:rPr>
        <w:t>指财政部门集中安排的事业单位基本医疗保险缴费经费，未参加医疗保险的事业单位的公费医疗经费，按国家规定享受离休人员的医疗经费。</w:t>
      </w:r>
    </w:p>
    <w:p>
      <w:pPr>
        <w:spacing w:line="600" w:lineRule="exact"/>
        <w:ind w:firstLine="640" w:firstLineChars="200"/>
        <w:rPr>
          <w:rStyle w:val="15"/>
          <w:rFonts w:ascii="仿宋" w:hAnsi="仿宋" w:eastAsia="仿宋"/>
          <w:b w:val="0"/>
          <w:bCs w:val="0"/>
          <w:color w:val="000000" w:themeColor="text1"/>
          <w:sz w:val="32"/>
          <w:szCs w:val="32"/>
        </w:rPr>
      </w:pPr>
      <w:r>
        <w:rPr>
          <w:rStyle w:val="15"/>
          <w:rFonts w:hint="eastAsia" w:ascii="仿宋" w:hAnsi="仿宋" w:eastAsia="仿宋"/>
          <w:b w:val="0"/>
          <w:bCs w:val="0"/>
          <w:color w:val="000000" w:themeColor="text1"/>
          <w:sz w:val="32"/>
          <w:szCs w:val="32"/>
        </w:rPr>
        <w:t>14.农林水（类）扶贫（款）其他扶贫（项）：指除上述项目以外其他用于扶贫方面的支出。</w:t>
      </w:r>
    </w:p>
    <w:p>
      <w:pPr>
        <w:spacing w:line="600" w:lineRule="exact"/>
        <w:ind w:firstLine="640" w:firstLineChars="200"/>
        <w:rPr>
          <w:rFonts w:ascii="仿宋" w:hAnsi="仿宋" w:eastAsia="仿宋"/>
          <w:b w:val="0"/>
          <w:bCs w:val="0"/>
          <w:color w:val="000000" w:themeColor="text1"/>
          <w:sz w:val="32"/>
          <w:szCs w:val="32"/>
        </w:rPr>
      </w:pPr>
      <w:r>
        <w:rPr>
          <w:rStyle w:val="15"/>
          <w:rFonts w:hint="eastAsia" w:ascii="仿宋" w:hAnsi="仿宋" w:eastAsia="仿宋"/>
          <w:b w:val="0"/>
          <w:bCs w:val="0"/>
          <w:color w:val="000000" w:themeColor="text1"/>
          <w:sz w:val="32"/>
          <w:szCs w:val="32"/>
        </w:rPr>
        <w:t>15、住房保障（类）住房改革（款）住房公积金（项）</w:t>
      </w:r>
      <w:r>
        <w:rPr>
          <w:rStyle w:val="15"/>
          <w:rFonts w:ascii="仿宋" w:hAnsi="仿宋" w:eastAsia="仿宋"/>
          <w:b w:val="0"/>
          <w:bCs w:val="0"/>
          <w:color w:val="000000" w:themeColor="text1"/>
          <w:sz w:val="32"/>
          <w:szCs w:val="32"/>
        </w:rPr>
        <w:t>:</w:t>
      </w:r>
      <w:r>
        <w:rPr>
          <w:rStyle w:val="15"/>
          <w:rFonts w:hint="eastAsia" w:ascii="仿宋" w:hAnsi="仿宋" w:eastAsia="仿宋"/>
          <w:b w:val="0"/>
          <w:bCs w:val="0"/>
          <w:color w:val="000000" w:themeColor="text1"/>
          <w:sz w:val="32"/>
          <w:szCs w:val="32"/>
        </w:rPr>
        <w:t>指行政事业单位按人力资源和社会保障部、财政部规定的基本工资和津贴补贴以及规定比例为职工缴纳的住房公积金。</w:t>
      </w:r>
    </w:p>
    <w:p>
      <w:pPr>
        <w:ind w:firstLine="640" w:firstLineChars="200"/>
        <w:rPr>
          <w:rFonts w:ascii="仿宋_GB2312" w:eastAsia="仿宋_GB2312"/>
          <w:b w:val="0"/>
          <w:bCs w:val="0"/>
          <w:color w:val="000000"/>
          <w:sz w:val="32"/>
          <w:szCs w:val="32"/>
        </w:rPr>
      </w:pPr>
      <w:r>
        <w:rPr>
          <w:rFonts w:hint="eastAsia" w:ascii="仿宋_GB2312" w:eastAsia="仿宋_GB2312"/>
          <w:b w:val="0"/>
          <w:bCs w:val="0"/>
          <w:color w:val="000000" w:themeColor="text1"/>
          <w:sz w:val="32"/>
          <w:szCs w:val="32"/>
        </w:rPr>
        <w:t>16</w:t>
      </w:r>
      <w:r>
        <w:rPr>
          <w:rFonts w:ascii="仿宋_GB2312" w:eastAsia="仿宋_GB2312"/>
          <w:b w:val="0"/>
          <w:bCs w:val="0"/>
          <w:color w:val="000000" w:themeColor="text1"/>
          <w:sz w:val="32"/>
          <w:szCs w:val="32"/>
        </w:rPr>
        <w:t>.</w:t>
      </w:r>
      <w:r>
        <w:rPr>
          <w:rFonts w:hint="eastAsia" w:ascii="仿宋_GB2312" w:eastAsia="仿宋_GB2312"/>
          <w:b w:val="0"/>
          <w:bCs w:val="0"/>
          <w:color w:val="000000" w:themeColor="text1"/>
          <w:sz w:val="32"/>
          <w:szCs w:val="32"/>
        </w:rPr>
        <w:t>基本支出：指为保障机构正常运转、完成日常工作</w:t>
      </w:r>
      <w:r>
        <w:rPr>
          <w:rFonts w:hint="eastAsia" w:ascii="仿宋_GB2312" w:eastAsia="仿宋_GB2312"/>
          <w:b w:val="0"/>
          <w:bCs w:val="0"/>
          <w:color w:val="000000"/>
          <w:sz w:val="32"/>
          <w:szCs w:val="32"/>
        </w:rPr>
        <w:t>任务而发生的人员支出和公用支出。</w:t>
      </w:r>
    </w:p>
    <w:p>
      <w:pPr>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17</w:t>
      </w:r>
      <w:r>
        <w:rPr>
          <w:rFonts w:ascii="仿宋_GB2312" w:eastAsia="仿宋_GB2312"/>
          <w:b w:val="0"/>
          <w:bCs w:val="0"/>
          <w:color w:val="000000"/>
          <w:sz w:val="32"/>
          <w:szCs w:val="32"/>
        </w:rPr>
        <w:t>.</w:t>
      </w:r>
      <w:r>
        <w:rPr>
          <w:rFonts w:hint="eastAsia" w:ascii="仿宋_GB2312" w:eastAsia="仿宋_GB2312"/>
          <w:b w:val="0"/>
          <w:bCs w:val="0"/>
          <w:color w:val="000000"/>
          <w:sz w:val="32"/>
          <w:szCs w:val="32"/>
        </w:rPr>
        <w:t>项目支出：指在基本支出之外为完成特定行政任务和事业发展目标所发生的支出。</w:t>
      </w:r>
      <w:r>
        <w:rPr>
          <w:rFonts w:ascii="仿宋_GB2312" w:eastAsia="仿宋_GB2312"/>
          <w:b w:val="0"/>
          <w:bCs w:val="0"/>
          <w:color w:val="000000"/>
          <w:sz w:val="32"/>
          <w:szCs w:val="32"/>
        </w:rPr>
        <w:t xml:space="preserve"> </w:t>
      </w:r>
    </w:p>
    <w:p>
      <w:pPr>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18</w:t>
      </w:r>
      <w:r>
        <w:rPr>
          <w:rFonts w:ascii="仿宋_GB2312" w:eastAsia="仿宋_GB2312"/>
          <w:b w:val="0"/>
          <w:bCs w:val="0"/>
          <w:color w:val="000000"/>
          <w:sz w:val="32"/>
          <w:szCs w:val="32"/>
        </w:rPr>
        <w:t>.</w:t>
      </w:r>
      <w:r>
        <w:rPr>
          <w:rFonts w:hint="eastAsia" w:ascii="仿宋_GB2312" w:eastAsia="仿宋_GB2312"/>
          <w:b w:val="0"/>
          <w:bCs w:val="0"/>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19</w:t>
      </w:r>
      <w:r>
        <w:rPr>
          <w:rFonts w:ascii="仿宋_GB2312" w:eastAsia="仿宋_GB2312"/>
          <w:b w:val="0"/>
          <w:bCs w:val="0"/>
          <w:sz w:val="32"/>
          <w:szCs w:val="32"/>
        </w:rPr>
        <w:t>.</w:t>
      </w:r>
      <w:r>
        <w:rPr>
          <w:rFonts w:hint="eastAsia" w:ascii="仿宋_GB2312" w:eastAsia="仿宋_GB2312"/>
          <w:b w:val="0"/>
          <w:bCs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b w:val="0"/>
          <w:bCs w:val="0"/>
          <w:sz w:val="32"/>
          <w:szCs w:val="32"/>
        </w:rPr>
        <w:t>20</w:t>
      </w:r>
      <w:r>
        <w:rPr>
          <w:rFonts w:ascii="仿宋_GB2312" w:eastAsia="仿宋_GB2312"/>
          <w:b w:val="0"/>
          <w:bCs w:val="0"/>
          <w:sz w:val="32"/>
          <w:szCs w:val="32"/>
        </w:rPr>
        <w:t>.</w:t>
      </w:r>
      <w:r>
        <w:rPr>
          <w:rFonts w:hint="eastAsia" w:ascii="仿宋_GB2312" w:eastAsia="仿宋_GB2312"/>
          <w:b w:val="0"/>
          <w:bCs w:val="0"/>
          <w:sz w:val="32"/>
          <w:szCs w:val="32"/>
        </w:rPr>
        <w:t>机关运行经费：为保障行政单位（含参照公务</w:t>
      </w:r>
      <w:r>
        <w:rPr>
          <w:rFonts w:hint="eastAsia" w:ascii="仿宋_GB2312" w:eastAsia="仿宋_GB2312"/>
          <w:sz w:val="32"/>
          <w:szCs w:val="32"/>
        </w:rPr>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5" w:name="_Toc15396614"/>
      <w:bookmarkStart w:id="56" w:name="_Toc15377226"/>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spacing w:line="600" w:lineRule="exact"/>
        <w:jc w:val="center"/>
        <w:outlineLvl w:val="0"/>
        <w:rPr>
          <w:rStyle w:val="25"/>
        </w:rPr>
      </w:pPr>
    </w:p>
    <w:p>
      <w:pPr>
        <w:pStyle w:val="3"/>
        <w:rPr>
          <w:rStyle w:val="25"/>
          <w:rFonts w:ascii="仿宋" w:hAnsi="仿宋" w:eastAsia="仿宋"/>
          <w:b w:val="0"/>
          <w:bCs w:val="0"/>
          <w:sz w:val="32"/>
          <w:szCs w:val="32"/>
        </w:rPr>
      </w:pPr>
      <w:bookmarkStart w:id="57" w:name="_Toc15396615"/>
      <w:r>
        <w:rPr>
          <w:rStyle w:val="25"/>
          <w:rFonts w:hint="eastAsia" w:ascii="仿宋" w:hAnsi="仿宋" w:eastAsia="仿宋"/>
          <w:b w:val="0"/>
          <w:bCs w:val="0"/>
          <w:sz w:val="32"/>
          <w:szCs w:val="32"/>
        </w:rPr>
        <w:t>附件1</w:t>
      </w:r>
      <w:bookmarkEnd w:id="57"/>
    </w:p>
    <w:p>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团区委2018年部门整体支出绩效评价报告</w:t>
      </w:r>
      <w:bookmarkEnd w:id="58"/>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ind w:firstLine="800" w:firstLineChars="250"/>
        <w:rPr>
          <w:rFonts w:ascii="仿宋" w:hAnsi="仿宋" w:eastAsia="仿宋"/>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r>
        <w:rPr>
          <w:rFonts w:hint="eastAsia" w:ascii="仿宋" w:hAnsi="仿宋" w:eastAsia="仿宋"/>
          <w:sz w:val="32"/>
          <w:szCs w:val="32"/>
        </w:rPr>
        <w:t>团区委是2018年部门决算汇编范围市委独立核算单位，本单位执行的是行政会计制度，属于利州区委下属二级单位。</w:t>
      </w:r>
    </w:p>
    <w:p>
      <w:pPr>
        <w:ind w:firstLine="960" w:firstLineChars="300"/>
        <w:rPr>
          <w:rFonts w:ascii="仿宋" w:hAnsi="仿宋" w:eastAsia="仿宋" w:cs="仿宋"/>
          <w:sz w:val="30"/>
          <w:szCs w:val="30"/>
        </w:rPr>
      </w:pPr>
      <w:r>
        <w:rPr>
          <w:rFonts w:ascii="仿宋" w:hAnsi="仿宋" w:eastAsia="仿宋" w:cs="仿宋_GB2312"/>
          <w:sz w:val="32"/>
          <w:szCs w:val="32"/>
        </w:rPr>
        <w:t>（二）机构职能。</w:t>
      </w:r>
      <w:r>
        <w:rPr>
          <w:rFonts w:hint="eastAsia" w:ascii="仿宋" w:hAnsi="仿宋" w:eastAsia="仿宋" w:cs="仿宋"/>
          <w:sz w:val="30"/>
          <w:szCs w:val="30"/>
        </w:rPr>
        <w:t>中国共产主义青年团是中国共产党领导的先进青年的群众组织,是广大青年在实践中学习共产主义的学校，是党的助手和后备军,是党联系青年的桥梁和纽带，是国家政权的重要社会支柱之一。中国共产主义青年团广元市利州区委员会是广元市利州区各级团组织的领导机关。</w:t>
      </w:r>
    </w:p>
    <w:p>
      <w:pPr>
        <w:rPr>
          <w:rFonts w:ascii="仿宋" w:hAnsi="仿宋" w:eastAsia="仿宋" w:cs="仿宋"/>
          <w:sz w:val="30"/>
          <w:szCs w:val="30"/>
        </w:rPr>
      </w:pPr>
      <w:r>
        <w:rPr>
          <w:rFonts w:hint="eastAsia" w:ascii="仿宋" w:hAnsi="仿宋" w:eastAsia="仿宋" w:cs="仿宋"/>
          <w:sz w:val="30"/>
          <w:szCs w:val="30"/>
        </w:rPr>
        <w:t xml:space="preserve">      一是领导全区共青团工作，组织全区共青团组织围绕首都改革、发展、稳定的大局开展工作，在利州区政治、经济、文化等活动中发挥党的助手作用。</w:t>
      </w:r>
    </w:p>
    <w:p>
      <w:pPr>
        <w:rPr>
          <w:rFonts w:ascii="仿宋" w:hAnsi="仿宋" w:eastAsia="仿宋" w:cs="仿宋"/>
          <w:sz w:val="30"/>
          <w:szCs w:val="30"/>
        </w:rPr>
      </w:pPr>
      <w:r>
        <w:rPr>
          <w:rFonts w:hint="eastAsia" w:ascii="仿宋" w:hAnsi="仿宋" w:eastAsia="仿宋" w:cs="仿宋"/>
          <w:sz w:val="30"/>
          <w:szCs w:val="30"/>
        </w:rPr>
        <w:t xml:space="preserve">    二是围绕区委、区政府中心工作，推进全区青少年精神文明建设；负责指导并组织实施全区青少年的思想理论教育、宣传文化活动，培养、选拔、推荐、表彰优秀青少年；指导全区志愿者工作的开展。</w:t>
      </w:r>
    </w:p>
    <w:p>
      <w:pPr>
        <w:rPr>
          <w:rFonts w:ascii="仿宋" w:hAnsi="仿宋" w:eastAsia="仿宋" w:cs="仿宋"/>
          <w:sz w:val="30"/>
          <w:szCs w:val="30"/>
        </w:rPr>
      </w:pPr>
      <w:r>
        <w:rPr>
          <w:rFonts w:hint="eastAsia" w:ascii="仿宋" w:hAnsi="仿宋" w:eastAsia="仿宋" w:cs="仿宋"/>
          <w:sz w:val="30"/>
          <w:szCs w:val="30"/>
        </w:rPr>
        <w:t xml:space="preserve">    三是负责全区共青团工作和青年工作的理论研究；向区委、区政府反映青少年思想状况，参与协调处理各种与青少年利益相关的工作；对青少年工作中的重大问题提出立法建议，参与有关全区性青少年法规的起草、实施、监督等工作。</w:t>
      </w:r>
    </w:p>
    <w:p>
      <w:pPr>
        <w:rPr>
          <w:rFonts w:ascii="仿宋" w:hAnsi="仿宋" w:eastAsia="仿宋" w:cs="仿宋"/>
          <w:sz w:val="30"/>
          <w:szCs w:val="30"/>
        </w:rPr>
      </w:pPr>
      <w:r>
        <w:rPr>
          <w:rFonts w:hint="eastAsia" w:ascii="仿宋" w:hAnsi="仿宋" w:eastAsia="仿宋" w:cs="仿宋"/>
          <w:sz w:val="30"/>
          <w:szCs w:val="30"/>
        </w:rPr>
        <w:t xml:space="preserve">    四是负责研究指导全区团的组织建设和干部队伍建设，推进全区团的基层组织建设；指导全区各级团校工作；指导全区共青团组织协助有关部门开展青年人力资源开发工作。</w:t>
      </w:r>
    </w:p>
    <w:p>
      <w:pPr>
        <w:rPr>
          <w:rFonts w:ascii="仿宋" w:hAnsi="仿宋" w:eastAsia="仿宋" w:cs="仿宋"/>
          <w:sz w:val="30"/>
          <w:szCs w:val="30"/>
        </w:rPr>
      </w:pPr>
      <w:r>
        <w:rPr>
          <w:rFonts w:hint="eastAsia" w:ascii="仿宋" w:hAnsi="仿宋" w:eastAsia="仿宋" w:cs="仿宋"/>
          <w:sz w:val="30"/>
          <w:szCs w:val="30"/>
        </w:rPr>
        <w:t xml:space="preserve">    五是负责全区青年统战工作。</w:t>
      </w:r>
    </w:p>
    <w:p>
      <w:pPr>
        <w:rPr>
          <w:rFonts w:ascii="仿宋" w:hAnsi="仿宋" w:eastAsia="仿宋" w:cs="仿宋"/>
          <w:sz w:val="30"/>
          <w:szCs w:val="30"/>
        </w:rPr>
      </w:pPr>
      <w:r>
        <w:rPr>
          <w:rFonts w:hint="eastAsia" w:ascii="仿宋" w:hAnsi="仿宋" w:eastAsia="仿宋" w:cs="仿宋"/>
          <w:sz w:val="30"/>
          <w:szCs w:val="30"/>
        </w:rPr>
        <w:t xml:space="preserve">    六是负责全区共青团系统外事工作和青少年对外交流工作。</w:t>
      </w:r>
    </w:p>
    <w:p>
      <w:pPr>
        <w:rPr>
          <w:rFonts w:ascii="仿宋" w:hAnsi="仿宋" w:eastAsia="仿宋" w:cs="仿宋"/>
          <w:sz w:val="30"/>
          <w:szCs w:val="30"/>
        </w:rPr>
      </w:pPr>
      <w:r>
        <w:rPr>
          <w:rFonts w:hint="eastAsia" w:ascii="仿宋" w:hAnsi="仿宋" w:eastAsia="仿宋" w:cs="仿宋"/>
          <w:sz w:val="30"/>
          <w:szCs w:val="30"/>
        </w:rPr>
        <w:t xml:space="preserve">    七是指导和帮助区青联、区少先队工作委员会开展工作；协助有关部门对所主管的社会团体进行监督管理。</w:t>
      </w:r>
    </w:p>
    <w:p>
      <w:pPr>
        <w:rPr>
          <w:rFonts w:ascii="仿宋" w:hAnsi="仿宋" w:eastAsia="仿宋" w:cs="仿宋"/>
          <w:sz w:val="30"/>
          <w:szCs w:val="30"/>
        </w:rPr>
      </w:pPr>
      <w:r>
        <w:rPr>
          <w:rFonts w:hint="eastAsia" w:ascii="仿宋" w:hAnsi="仿宋" w:eastAsia="仿宋" w:cs="仿宋"/>
          <w:sz w:val="30"/>
          <w:szCs w:val="30"/>
        </w:rPr>
        <w:t xml:space="preserve">    八是负责团区委直属企事业单位的管理工作；筹措青少年事业发展经费。</w:t>
      </w:r>
    </w:p>
    <w:p>
      <w:pPr>
        <w:pStyle w:val="12"/>
        <w:spacing w:before="0" w:beforeAutospacing="0" w:after="0" w:afterAutospacing="0" w:line="576" w:lineRule="exact"/>
        <w:ind w:firstLine="600" w:firstLineChars="200"/>
        <w:rPr>
          <w:rFonts w:ascii="仿宋" w:hAnsi="仿宋" w:eastAsia="仿宋" w:cs="仿宋"/>
          <w:sz w:val="30"/>
          <w:szCs w:val="30"/>
        </w:rPr>
      </w:pPr>
      <w:r>
        <w:rPr>
          <w:rFonts w:hint="eastAsia" w:ascii="仿宋" w:hAnsi="仿宋" w:eastAsia="仿宋" w:cs="仿宋"/>
          <w:sz w:val="30"/>
          <w:szCs w:val="30"/>
        </w:rPr>
        <w:t>九是承办区委、区政府和共青团广元市委交办的其他事项。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r>
        <w:rPr>
          <w:rFonts w:hint="eastAsia" w:ascii="仿宋" w:hAnsi="仿宋" w:eastAsia="仿宋" w:cs="仿宋"/>
          <w:sz w:val="30"/>
          <w:szCs w:val="30"/>
        </w:rPr>
        <w:t>团区委总编制4名，其中参照公务员法管理的编制4名。在职人员总数4人，其中机关行政编制4名（乡镇正科级干部1人，乡镇副科级干部2人，科员1人）。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8年本年收入合计51.76万元，其中：一般公共预算财政拨款收入51.76万元，占100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7"/>
        </w:numPr>
        <w:spacing w:line="600" w:lineRule="exact"/>
        <w:ind w:firstLine="320" w:firstLineChars="100"/>
        <w:outlineLvl w:val="1"/>
        <w:rPr>
          <w:rStyle w:val="26"/>
          <w:rFonts w:hint="eastAsia" w:ascii="黑体" w:hAnsi="黑体" w:eastAsia="黑体"/>
          <w:b w:val="0"/>
        </w:rPr>
      </w:pPr>
      <w:r>
        <w:rPr>
          <w:rFonts w:hint="eastAsia" w:ascii="黑体" w:hAnsi="黑体" w:eastAsia="黑体"/>
          <w:color w:val="000000"/>
          <w:sz w:val="32"/>
          <w:szCs w:val="32"/>
        </w:rPr>
        <w:t>部门财政资金支</w:t>
      </w:r>
      <w:r>
        <w:rPr>
          <w:rStyle w:val="26"/>
          <w:rFonts w:hint="eastAsia" w:ascii="黑体" w:hAnsi="黑体" w:eastAsia="黑体"/>
          <w:b w:val="0"/>
        </w:rPr>
        <w:t>出情况</w:t>
      </w:r>
    </w:p>
    <w:p>
      <w:pPr>
        <w:pStyle w:val="24"/>
        <w:numPr>
          <w:ilvl w:val="0"/>
          <w:numId w:val="0"/>
        </w:numPr>
        <w:spacing w:line="600" w:lineRule="exact"/>
        <w:ind w:firstLine="640" w:firstLineChars="200"/>
        <w:outlineLvl w:val="1"/>
        <w:rPr>
          <w:rFonts w:ascii="仿宋" w:hAnsi="仿宋" w:eastAsia="仿宋" w:cs="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8年本年支出合计54.73万元，其中：基本支出49.09万元，占89.69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s="仿宋"/>
          <w:color w:val="000000"/>
          <w:sz w:val="32"/>
          <w:szCs w:val="32"/>
        </w:rPr>
        <w:t>5.64万元，占10.31%。</w:t>
      </w:r>
    </w:p>
    <w:p>
      <w:pPr>
        <w:spacing w:line="600" w:lineRule="exact"/>
        <w:ind w:firstLine="642" w:firstLineChars="200"/>
        <w:rPr>
          <w:rFonts w:ascii="仿宋" w:hAnsi="仿宋" w:eastAsia="仿宋"/>
          <w:color w:val="000000"/>
          <w:sz w:val="32"/>
          <w:szCs w:val="32"/>
        </w:rPr>
      </w:pPr>
      <w:r>
        <w:rPr>
          <w:rFonts w:hint="eastAsia" w:ascii="仿宋" w:hAnsi="仿宋" w:eastAsia="仿宋" w:cs="仿宋"/>
          <w:b/>
          <w:bCs/>
          <w:sz w:val="32"/>
          <w:szCs w:val="32"/>
        </w:rPr>
        <w:t>三、部门整体预算绩效管理情况（根据适用指标体系进行调整）</w:t>
      </w:r>
      <w:r>
        <w:rPr>
          <w:rFonts w:hint="eastAsia" w:ascii="仿宋" w:hAnsi="仿宋" w:eastAsia="仿宋" w:cs="仿宋"/>
          <w:b/>
          <w:bCs/>
          <w:sz w:val="32"/>
          <w:szCs w:val="32"/>
        </w:rPr>
        <w:br w:type="textWrapping"/>
      </w:r>
      <w:r>
        <w:rPr>
          <w:rFonts w:hint="eastAsia" w:ascii="仿宋" w:hAnsi="仿宋" w:eastAsia="仿宋" w:cs="仿宋"/>
          <w:b/>
          <w:bCs/>
          <w:sz w:val="32"/>
          <w:szCs w:val="32"/>
        </w:rPr>
        <w:t xml:space="preserve">   </w:t>
      </w:r>
      <w:r>
        <w:rPr>
          <w:rFonts w:hint="eastAsia" w:ascii="仿宋" w:hAnsi="仿宋" w:eastAsia="仿宋" w:cs="仿宋"/>
          <w:sz w:val="32"/>
          <w:szCs w:val="32"/>
        </w:rPr>
        <w:t>（一）部门预算管理</w:t>
      </w:r>
      <w:r>
        <w:rPr>
          <w:rFonts w:hint="eastAsia" w:ascii="仿宋" w:hAnsi="仿宋" w:eastAsia="仿宋" w:cs="仿宋"/>
          <w:sz w:val="32"/>
          <w:szCs w:val="32"/>
        </w:rPr>
        <w:br w:type="textWrapping"/>
      </w:r>
      <w:r>
        <w:rPr>
          <w:rFonts w:hint="eastAsia" w:ascii="仿宋" w:hAnsi="仿宋" w:eastAsia="仿宋" w:cs="仿宋"/>
          <w:sz w:val="32"/>
          <w:szCs w:val="32"/>
        </w:rPr>
        <w:t xml:space="preserve">    团区委成立了以单位负责人为组长、其他人员为成员的绩效管理领导小组。年初制定相应的绩效目标，分阶段进行相应的对照检查，确保目标的完成。严格按规定，根据实际需要编制预算，各项支出厉行节约，采取先申请后实施的方法，坚决杜绝超预算支出。全年预算支出完成率达100%，主要由于</w:t>
      </w:r>
      <w:r>
        <w:rPr>
          <w:rFonts w:hint="eastAsia" w:ascii="仿宋" w:hAnsi="仿宋" w:eastAsia="仿宋"/>
          <w:color w:val="000000"/>
          <w:sz w:val="32"/>
          <w:szCs w:val="32"/>
        </w:rPr>
        <w:t>关工委工作经费调出，未在我单位核算等。</w:t>
      </w:r>
    </w:p>
    <w:p>
      <w:pPr>
        <w:ind w:left="958" w:leftChars="304" w:hanging="320" w:hangingChars="100"/>
        <w:rPr>
          <w:rFonts w:ascii="仿宋" w:hAnsi="仿宋" w:eastAsia="仿宋" w:cs="仿宋"/>
          <w:sz w:val="32"/>
          <w:szCs w:val="32"/>
        </w:rPr>
      </w:pPr>
      <w:r>
        <w:rPr>
          <w:rFonts w:hint="eastAsia" w:ascii="仿宋" w:hAnsi="仿宋" w:eastAsia="仿宋" w:cs="仿宋"/>
          <w:sz w:val="32"/>
          <w:szCs w:val="32"/>
        </w:rPr>
        <w:t>（二）专项预算管理</w:t>
      </w:r>
    </w:p>
    <w:p>
      <w:pPr>
        <w:ind w:firstLine="960" w:firstLineChars="300"/>
        <w:rPr>
          <w:rFonts w:ascii="仿宋" w:hAnsi="仿宋" w:eastAsia="仿宋" w:cs="仿宋"/>
          <w:sz w:val="32"/>
          <w:szCs w:val="32"/>
        </w:rPr>
      </w:pPr>
      <w:r>
        <w:rPr>
          <w:rFonts w:hint="eastAsia" w:ascii="仿宋" w:hAnsi="仿宋" w:eastAsia="仿宋" w:cs="仿宋"/>
          <w:sz w:val="32"/>
          <w:szCs w:val="32"/>
        </w:rPr>
        <w:t>团区委在项目管理实施时先制定工作计划、明确责任领导和具体负责人等，严格项目绩效评估，根据工作进度进行资金拨付使用。全年无违纪违规现象发生。</w:t>
      </w:r>
      <w:r>
        <w:rPr>
          <w:rFonts w:hint="eastAsia" w:ascii="仿宋" w:hAnsi="仿宋" w:eastAsia="仿宋" w:cs="仿宋"/>
          <w:sz w:val="32"/>
          <w:szCs w:val="32"/>
        </w:rPr>
        <w:br w:type="textWrapping"/>
      </w:r>
      <w:r>
        <w:rPr>
          <w:rFonts w:hint="eastAsia" w:ascii="仿宋" w:hAnsi="仿宋" w:eastAsia="仿宋" w:cs="仿宋"/>
          <w:sz w:val="32"/>
          <w:szCs w:val="32"/>
        </w:rPr>
        <w:t xml:space="preserve">   （三）结果应用情况</w:t>
      </w:r>
      <w:r>
        <w:rPr>
          <w:rFonts w:hint="eastAsia" w:ascii="仿宋" w:hAnsi="仿宋" w:eastAsia="仿宋" w:cs="仿宋"/>
          <w:sz w:val="32"/>
          <w:szCs w:val="32"/>
        </w:rPr>
        <w:br w:type="textWrapping"/>
      </w:r>
      <w:r>
        <w:rPr>
          <w:rFonts w:hint="eastAsia" w:ascii="仿宋" w:hAnsi="仿宋" w:eastAsia="仿宋" w:cs="仿宋"/>
          <w:sz w:val="32"/>
          <w:szCs w:val="32"/>
        </w:rPr>
        <w:t xml:space="preserve">    团区委整体预算管理情况良好，各种资金使用合理合规，公开公正，无徇私舞弊，圆满完成各项目标任务。</w:t>
      </w:r>
      <w:r>
        <w:rPr>
          <w:rFonts w:hint="eastAsia" w:ascii="仿宋" w:hAnsi="仿宋" w:eastAsia="仿宋" w:cs="仿宋"/>
          <w:sz w:val="32"/>
          <w:szCs w:val="32"/>
        </w:rPr>
        <w:br w:type="textWrapping"/>
      </w:r>
      <w:r>
        <w:rPr>
          <w:rFonts w:hint="eastAsia" w:ascii="仿宋" w:hAnsi="仿宋" w:eastAsia="仿宋" w:cs="仿宋"/>
          <w:sz w:val="32"/>
          <w:szCs w:val="32"/>
        </w:rPr>
        <w:t xml:space="preserve">    四、评价结论及建议</w:t>
      </w:r>
      <w:r>
        <w:rPr>
          <w:rFonts w:hint="eastAsia" w:ascii="仿宋" w:hAnsi="仿宋" w:eastAsia="仿宋" w:cs="仿宋"/>
          <w:sz w:val="32"/>
          <w:szCs w:val="32"/>
        </w:rPr>
        <w:br w:type="textWrapping"/>
      </w:r>
      <w:r>
        <w:rPr>
          <w:rFonts w:hint="eastAsia" w:ascii="仿宋" w:hAnsi="仿宋" w:eastAsia="仿宋" w:cs="仿宋"/>
          <w:sz w:val="32"/>
          <w:szCs w:val="32"/>
        </w:rPr>
        <w:t xml:space="preserve">   （一）评价结论：2018年团区委在区委的领导下，在团市委的指导下，顺利完成了各项目标任务，通过绩效目标考核，并取得优异成绩。</w:t>
      </w:r>
      <w:r>
        <w:rPr>
          <w:rFonts w:hint="eastAsia" w:ascii="仿宋" w:hAnsi="仿宋" w:eastAsia="仿宋" w:cs="仿宋"/>
          <w:sz w:val="32"/>
          <w:szCs w:val="32"/>
        </w:rPr>
        <w:br w:type="textWrapping"/>
      </w:r>
      <w:r>
        <w:rPr>
          <w:rFonts w:hint="eastAsia" w:ascii="仿宋" w:hAnsi="仿宋" w:eastAsia="仿宋" w:cs="仿宋"/>
          <w:sz w:val="32"/>
          <w:szCs w:val="32"/>
        </w:rPr>
        <w:t xml:space="preserve">   （二）存在问题：全年在资金安排和使用上，还存在不及时、不规范的现象。</w:t>
      </w:r>
      <w:r>
        <w:rPr>
          <w:rFonts w:hint="eastAsia" w:ascii="仿宋" w:hAnsi="仿宋" w:eastAsia="仿宋" w:cs="仿宋"/>
          <w:sz w:val="32"/>
          <w:szCs w:val="32"/>
        </w:rPr>
        <w:br w:type="textWrapping"/>
      </w:r>
      <w:r>
        <w:rPr>
          <w:rFonts w:hint="eastAsia" w:ascii="仿宋" w:hAnsi="仿宋" w:eastAsia="仿宋" w:cs="仿宋"/>
          <w:sz w:val="32"/>
          <w:szCs w:val="32"/>
        </w:rPr>
        <w:t xml:space="preserve">    （三）改进建议：加强制度建设，健全财务管理制度，严格资金审批程序，加大资金监管力，提高资金使用效益。严格落实资金使用用途，确保无违纪违行为发生。</w:t>
      </w:r>
    </w:p>
    <w:p>
      <w:pPr>
        <w:spacing w:line="580" w:lineRule="exact"/>
        <w:ind w:firstLine="640" w:firstLineChars="200"/>
        <w:rPr>
          <w:rFonts w:ascii="仿宋" w:hAnsi="仿宋" w:eastAsia="仿宋" w:cs="仿宋"/>
          <w:sz w:val="32"/>
          <w:szCs w:val="32"/>
        </w:rPr>
      </w:pPr>
    </w:p>
    <w:p>
      <w:pPr>
        <w:widowControl/>
        <w:jc w:val="left"/>
        <w:rPr>
          <w:rFonts w:ascii="仿宋" w:hAnsi="仿宋" w:eastAsia="仿宋" w:cs="仿宋"/>
          <w:sz w:val="32"/>
          <w:szCs w:val="32"/>
        </w:rPr>
      </w:pPr>
      <w:r>
        <w:rPr>
          <w:rFonts w:hint="eastAsia" w:ascii="仿宋" w:hAnsi="仿宋" w:eastAsia="仿宋" w:cs="仿宋"/>
          <w:sz w:val="32"/>
          <w:szCs w:val="32"/>
        </w:rPr>
        <w:br w:type="page"/>
      </w:r>
    </w:p>
    <w:p>
      <w:pPr>
        <w:pStyle w:val="3"/>
        <w:rPr>
          <w:rStyle w:val="25"/>
          <w:rFonts w:ascii="仿宋" w:hAnsi="仿宋" w:eastAsia="仿宋"/>
          <w:b w:val="0"/>
          <w:bCs w:val="0"/>
          <w:sz w:val="32"/>
          <w:szCs w:val="32"/>
        </w:rPr>
      </w:pPr>
      <w:bookmarkStart w:id="59" w:name="_Toc15396617"/>
      <w:r>
        <w:rPr>
          <w:rStyle w:val="25"/>
          <w:rFonts w:hint="eastAsia" w:ascii="仿宋" w:hAnsi="仿宋" w:eastAsia="仿宋"/>
          <w:b w:val="0"/>
          <w:bCs w:val="0"/>
          <w:sz w:val="32"/>
          <w:szCs w:val="32"/>
        </w:rPr>
        <w:t>附件2</w:t>
      </w:r>
      <w:bookmarkEnd w:id="59"/>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2018年“关爱留守儿童”项目支出绩效评价报告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（一）项目选点：关爱留守儿童项目自实施以来，一直受到各级政府和社会爱心人士的关注和支持，其中“童伴计划”选址在荣山镇雷坝社区、三堆镇井田村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指标：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被评价项目绩效评价指标体系设置三个一级指标、八个二级指标、十五个三级指标。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（1）一级指标：项目设置项目完成、项目效益、满意度指标三个。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指标1：为试点社区提供日常工作经费，保障“童伴计划”顺利开展，为留守儿童提供亲情陪护，指标2：为试点社区提供日常工作经费，保障“城乡社区互助计划”顺利开展；社会效益指标设置为留守儿童提供亲情陪护，让留守儿童健康成长；社会满意度指标为让留守儿童满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度关爱留守儿童项目实现了对农村留守儿童的关爱和亲情陪护，让留守儿童健康成长，项目受益儿童50余人。项目目标明确、资金到位率高、资金使用规范、组织监管体系完善，项目质量达到相关行业标准，符合经济社会发展和客观实际的要求，达到预期绩效目标要求。</w:t>
      </w:r>
    </w:p>
    <w:p>
      <w:pPr>
        <w:jc w:val="center"/>
        <w:rPr>
          <w:rFonts w:ascii="黑体" w:hAnsi="黑体" w:eastAsia="黑体"/>
          <w:color w:val="000000"/>
          <w:sz w:val="32"/>
          <w:szCs w:val="32"/>
        </w:rPr>
      </w:pPr>
      <w:r>
        <w:rPr>
          <w:rFonts w:hint="eastAsia" w:ascii="黑体" w:hAnsi="黑体" w:eastAsia="黑体" w:cs="方正小标宋简体"/>
          <w:sz w:val="32"/>
          <w:szCs w:val="32"/>
        </w:rPr>
        <w:t>关爱留守儿童</w:t>
      </w:r>
      <w:r>
        <w:rPr>
          <w:rFonts w:hint="eastAsia" w:ascii="黑体" w:hAnsi="黑体" w:eastAsia="黑体"/>
          <w:color w:val="000000"/>
          <w:sz w:val="32"/>
          <w:szCs w:val="32"/>
        </w:rPr>
        <w:t>项目支出绩效评价得分表</w:t>
      </w:r>
    </w:p>
    <w:tbl>
      <w:tblPr>
        <w:tblStyle w:val="13"/>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rPr>
              <w:t>党风廉政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为留守儿童提供各类服务</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完成质量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5</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ascii="宋体" w:hAnsi="宋体"/>
                <w:color w:val="00000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widowControl/>
              <w:tabs>
                <w:tab w:val="left" w:pos="533"/>
              </w:tabs>
              <w:jc w:val="center"/>
              <w:textAlignment w:val="center"/>
              <w:rPr>
                <w:rFonts w:ascii="宋体" w:hAnsi="宋体"/>
                <w:color w:val="000000"/>
                <w:kern w:val="0"/>
                <w:sz w:val="20"/>
                <w:szCs w:val="20"/>
              </w:rPr>
            </w:pPr>
            <w:r>
              <w:rPr>
                <w:rFonts w:hint="eastAsia" w:ascii="宋体" w:hAnsi="宋体"/>
                <w:color w:val="000000"/>
                <w:kern w:val="0"/>
                <w:sz w:val="20"/>
                <w:szCs w:val="20"/>
              </w:rPr>
              <w:t>为试点社区提供日常工作经费</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留守儿童健康成长</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留守儿童满意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可行性：领导高度重视，亲自安排、亲自部署、亲自督促；经费来源由财政专项划拨。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:2018年关爱留守儿童项目收到省级资金2万元，能够满足利州区童伴计划的正常高效开展。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截止2018年12月31日实际拨付项目资金2万元。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资金使用情况</w:t>
      </w:r>
      <w:r>
        <w:rPr>
          <w:rFonts w:hint="eastAsia" w:ascii="仿宋" w:hAnsi="仿宋" w:eastAsia="仿宋" w:cs="仿宋_GB2312"/>
          <w:sz w:val="32"/>
          <w:szCs w:val="32"/>
        </w:rPr>
        <w:t>：在资金使用上，按照团省委和团市委的要求，制定了相应的财务管理制度，做到专款专用、专项核算。项目点资金支出手续齐全，收支票据规范，原始凭证合规，无白条抵账、不合规凭证和大额现金支付等现象，无超范围使用或挪作他用的现象。</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2018年度关爱留守儿童资金覆盖率达到100%，两个项目点在持续深化留守学生等重点青少年群体关爱行动，深入开展“童伴计划”“城乡社区互助计划”等关爱项目方面，积极为留守儿童、贫困儿童提供学业辅导、心理疏导、亲情陪护等各种服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项目效益情况</w:t>
      </w:r>
      <w:r>
        <w:rPr>
          <w:rFonts w:hint="eastAsia" w:ascii="仿宋" w:hAnsi="仿宋" w:eastAsia="仿宋" w:cs="仿宋_GB2312"/>
          <w:sz w:val="32"/>
          <w:szCs w:val="32"/>
        </w:rPr>
        <w:t>：项目的实施有效改善了留守儿童的现状，促进了儿童身心健康的发展，有力支持了扶贫关爱事业的发展，减轻了贫困家庭的经济负担，广大群众看到了变化，有了实实在在的“获得感”。从全区2018年走访调查情况来看，与往年同期相比，儿童更加开朗、学习成绩有明显提高，同时，项目实施有效缓解了儿童的家庭压力，让父母能够在外安心务工，促进家庭和睦。</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通过问卷调查、电话访问、现场走访等形式，对学生、学生家长等进行的调查反映，项目实施以来，得到了儿童和家长的认同和支持，社会反响好</w:t>
      </w:r>
    </w:p>
    <w:p>
      <w:pPr>
        <w:numPr>
          <w:ilvl w:val="0"/>
          <w:numId w:val="9"/>
        </w:numPr>
        <w:spacing w:line="580" w:lineRule="exact"/>
        <w:rPr>
          <w:rFonts w:ascii="仿宋" w:hAnsi="仿宋" w:eastAsia="仿宋" w:cs="仿宋_GB2312"/>
          <w:sz w:val="32"/>
          <w:szCs w:val="32"/>
        </w:rPr>
      </w:pPr>
      <w:r>
        <w:rPr>
          <w:rFonts w:ascii="仿宋" w:hAnsi="仿宋" w:eastAsia="仿宋" w:cs="仿宋_GB2312"/>
          <w:sz w:val="32"/>
          <w:szCs w:val="32"/>
        </w:rPr>
        <w:t>存在主要问题</w:t>
      </w:r>
    </w:p>
    <w:p>
      <w:pPr>
        <w:numPr>
          <w:ilvl w:val="0"/>
          <w:numId w:val="10"/>
        </w:numPr>
        <w:ind w:firstLine="640" w:firstLineChars="200"/>
        <w:rPr>
          <w:rFonts w:ascii="仿宋" w:hAnsi="仿宋" w:eastAsia="仿宋" w:cs="仿宋"/>
          <w:sz w:val="32"/>
          <w:szCs w:val="32"/>
        </w:rPr>
      </w:pPr>
      <w:r>
        <w:rPr>
          <w:rFonts w:hint="eastAsia" w:ascii="仿宋" w:hAnsi="仿宋" w:eastAsia="仿宋" w:cs="仿宋"/>
          <w:sz w:val="32"/>
          <w:szCs w:val="32"/>
        </w:rPr>
        <w:t>到童伴之家参加活动的儿童数量较少，平均在八九人左右，较多的有二十三人，主要是离家较远，还有对童伴之家开展的活动不太感兴趣，每次来参加活动的基本上是住在附近的儿童，家长接送方便；</w:t>
      </w:r>
    </w:p>
    <w:p>
      <w:pPr>
        <w:numPr>
          <w:ilvl w:val="0"/>
          <w:numId w:val="10"/>
        </w:numPr>
        <w:ind w:firstLine="640" w:firstLineChars="200"/>
        <w:rPr>
          <w:rFonts w:ascii="仿宋" w:hAnsi="仿宋" w:eastAsia="仿宋" w:cs="仿宋"/>
          <w:sz w:val="32"/>
          <w:szCs w:val="32"/>
        </w:rPr>
      </w:pPr>
      <w:r>
        <w:rPr>
          <w:rFonts w:hint="eastAsia" w:ascii="仿宋" w:hAnsi="仿宋" w:eastAsia="仿宋" w:cs="仿宋"/>
          <w:sz w:val="32"/>
          <w:szCs w:val="32"/>
        </w:rPr>
        <w:t>创新不够，活动形式较为单一。活动通常在室内开展，在作业写完后进行玩游戏做手工等活动，但一般写作业会花掉大部分时间，活动时间较短且活动形式少，有些孩子不太喜欢这类游戏，后期逐渐就不再来童伴之家。最吸引他们的是给他们分发零食和小礼品，更多时候发放的礼品是文具，慢慢的礼品对他们的吸引力也在减少。</w:t>
      </w:r>
    </w:p>
    <w:p>
      <w:pPr>
        <w:numPr>
          <w:ilvl w:val="0"/>
          <w:numId w:val="9"/>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ind w:firstLine="640" w:firstLineChars="200"/>
        <w:rPr>
          <w:rFonts w:ascii="仿宋" w:hAnsi="仿宋" w:eastAsia="仿宋" w:cs="仿宋"/>
          <w:sz w:val="32"/>
          <w:szCs w:val="32"/>
        </w:rPr>
      </w:pPr>
      <w:r>
        <w:rPr>
          <w:rFonts w:hint="eastAsia" w:ascii="仿宋" w:hAnsi="仿宋" w:eastAsia="仿宋" w:cs="仿宋"/>
          <w:sz w:val="32"/>
          <w:szCs w:val="32"/>
        </w:rPr>
        <w:t>希望童伴计划可以惠及更多的儿童，并且希望有更多的志愿者团队参与到我们的项目，使童伴之家的活动形式更加丰富和规范，吸引更多的儿童前来参与，加强对家长的安全意识教育，规范家长接送问题。积极争取更多的资金，丰富活动内容，让困难留守儿童得到更多的福利。</w:t>
      </w:r>
    </w:p>
    <w:p>
      <w:pPr>
        <w:spacing w:line="580" w:lineRule="exact"/>
        <w:ind w:left="640" w:firstLine="880" w:firstLineChars="200"/>
        <w:jc w:val="center"/>
        <w:rPr>
          <w:rFonts w:ascii="黑体" w:hAnsi="黑体" w:eastAsia="黑体" w:cs="方正小标宋简体"/>
          <w:sz w:val="44"/>
          <w:szCs w:val="44"/>
        </w:rPr>
      </w:pPr>
    </w:p>
    <w:p>
      <w:pPr>
        <w:spacing w:line="580" w:lineRule="exact"/>
        <w:ind w:left="640" w:firstLine="880" w:firstLineChars="200"/>
        <w:jc w:val="center"/>
        <w:rPr>
          <w:rFonts w:ascii="黑体" w:hAnsi="黑体" w:eastAsia="黑体" w:cs="方正小标宋简体"/>
          <w:sz w:val="44"/>
          <w:szCs w:val="44"/>
        </w:rPr>
      </w:pPr>
    </w:p>
    <w:p>
      <w:pPr>
        <w:spacing w:line="580" w:lineRule="exact"/>
        <w:ind w:left="640" w:firstLine="880" w:firstLineChars="200"/>
        <w:jc w:val="center"/>
        <w:rPr>
          <w:rFonts w:ascii="黑体" w:hAnsi="黑体" w:eastAsia="黑体" w:cs="方正小标宋简体"/>
          <w:sz w:val="44"/>
          <w:szCs w:val="44"/>
        </w:rPr>
      </w:pPr>
    </w:p>
    <w:p>
      <w:pPr>
        <w:spacing w:line="580" w:lineRule="exact"/>
        <w:ind w:left="640"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2018年“青少年事务社工人才队伍建设”项目支出绩效评价报告</w:t>
      </w:r>
    </w:p>
    <w:p>
      <w:pPr>
        <w:spacing w:line="580" w:lineRule="exact"/>
        <w:ind w:firstLine="640" w:firstLineChars="200"/>
        <w:jc w:val="center"/>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项目选点：青少年事务社工人才队伍建设项目自实施以来，一直受到各级政府和社会爱心人士的关注和支持，项目分别在利州区青年志愿者协会、致德社工及七七五协会（二）评价指标：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被评价项目绩效评价指标体系设置三个一级指标、八个二级指标、十五个三级指标。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（1）一级指标：项目设置项目完成、项目效益、满意度指标三个。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三级指标：数量指标设置指标1：指标1：建立青少年事务工作服务体系，指标2：扶持培育民办青少年事务社工服务机构发展；社会效益指标设置为提升对青少年服务水平；社会满意度指标为让社会组织满意。</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（三）评价方法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绩效评价方法主要采用成本效益分析法、比较法、因素分析法、最低成本法、公众评判法等。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在建设专业化的社工队伍上下功夫，更好的解决青少年成长发展的困难和问题，建立健全青少年事务工作服务体系和网络，培育专业社工组织，让专业的人做专业的事。项目实施以来目标明确、资金到位率高、资金使用规范、组织监管体系完善，项目质量达到相关行业标准，符合经济社会发展和客观实际的要求，达到预期绩效目标要求。</w:t>
      </w:r>
    </w:p>
    <w:p>
      <w:pPr>
        <w:jc w:val="center"/>
        <w:rPr>
          <w:rFonts w:ascii="黑体" w:hAnsi="黑体" w:eastAsia="黑体"/>
          <w:color w:val="000000"/>
          <w:sz w:val="30"/>
          <w:szCs w:val="30"/>
        </w:rPr>
      </w:pPr>
      <w:r>
        <w:rPr>
          <w:rFonts w:hint="eastAsia" w:ascii="黑体" w:hAnsi="黑体" w:eastAsia="黑体" w:cs="方正小标宋简体"/>
          <w:sz w:val="30"/>
          <w:szCs w:val="30"/>
        </w:rPr>
        <w:t>青少年事务社工人才队伍建设</w:t>
      </w:r>
      <w:r>
        <w:rPr>
          <w:rFonts w:hint="eastAsia" w:ascii="黑体" w:hAnsi="黑体" w:eastAsia="黑体"/>
          <w:color w:val="000000"/>
          <w:sz w:val="30"/>
          <w:szCs w:val="30"/>
        </w:rPr>
        <w:t>项目支出绩效评价得分表</w:t>
      </w:r>
    </w:p>
    <w:tbl>
      <w:tblPr>
        <w:tblStyle w:val="13"/>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s="方正小标宋简体"/>
                <w:sz w:val="30"/>
                <w:szCs w:val="30"/>
              </w:rPr>
              <w:t>青少年事务社工人才队伍建设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项目完成指标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数量指标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建立青少年事务工作服务体系</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60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质量指标</w:t>
            </w:r>
          </w:p>
        </w:tc>
        <w:tc>
          <w:tcPr>
            <w:tcW w:w="3535" w:type="dxa"/>
            <w:tcBorders>
              <w:top w:val="single" w:color="auto" w:sz="4" w:space="0"/>
              <w:left w:val="nil"/>
              <w:right w:val="single" w:color="auto" w:sz="4" w:space="0"/>
            </w:tcBorders>
            <w:vAlign w:val="center"/>
          </w:tcPr>
          <w:p>
            <w:pPr>
              <w:widowControl/>
              <w:tabs>
                <w:tab w:val="left" w:pos="533"/>
              </w:tabs>
              <w:jc w:val="center"/>
              <w:textAlignment w:val="center"/>
              <w:rPr>
                <w:rFonts w:ascii="宋体" w:hAnsi="宋体"/>
                <w:color w:val="000000"/>
                <w:kern w:val="0"/>
                <w:sz w:val="20"/>
                <w:szCs w:val="20"/>
              </w:rPr>
            </w:pPr>
            <w:r>
              <w:rPr>
                <w:rFonts w:hint="eastAsia" w:ascii="宋体" w:hAnsi="宋体" w:cs="宋体"/>
                <w:color w:val="000000"/>
                <w:sz w:val="24"/>
              </w:rPr>
              <w:t>引导青少年事务社工人才队伍为青少年提供服务</w:t>
            </w:r>
          </w:p>
        </w:tc>
        <w:tc>
          <w:tcPr>
            <w:tcW w:w="1311"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提升对青少年服务水平</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20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1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让社会组织满意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宋体" w:hAnsi="宋体"/>
                <w:color w:val="000000"/>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olor w:val="000000"/>
                <w:kern w:val="0"/>
              </w:rPr>
            </w:pPr>
            <w:r>
              <w:rPr>
                <w:rFonts w:hint="eastAsia" w:ascii="宋体" w:hAnsi="宋体"/>
                <w:color w:val="000000"/>
                <w:kern w:val="0"/>
              </w:rPr>
              <w:t>100</w:t>
            </w:r>
          </w:p>
        </w:tc>
      </w:tr>
    </w:tbl>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进一步贯彻落实了（广青发【2017】6号）文件要求。改善了青少年成长发展的困难和问题，建立健全青少年事务工作服务体系和网络，项目的实施使广大群众看到了变化，有了实实在在的“获得感”。对加快青少年的成长成才起了积极的作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:2018年青少年事务社工人才队伍建设项目收到省级资金0.5万元，能够满足利州区青少年事务社工人才队伍的正常高效开展。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截止2018年12月31日实际拨付各校营养改善计划项目资金0.5万元。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资金使用情况</w:t>
      </w:r>
      <w:r>
        <w:rPr>
          <w:rFonts w:hint="eastAsia" w:ascii="仿宋" w:hAnsi="仿宋" w:eastAsia="仿宋" w:cs="仿宋_GB2312"/>
          <w:sz w:val="32"/>
          <w:szCs w:val="32"/>
        </w:rPr>
        <w:t>：在资金使用上，按照团省委和团市委的要求，制定了相应的财务管理制度，做到专款专用、专项核算。项目点资金支出手续齐全，收支票据规范，原始凭证合规，无白条抵账、不合规凭证和大额现金支付等现象，无超范围使用或挪作他用的现象。</w:t>
      </w:r>
    </w:p>
    <w:p>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2018年度青少年事务社工人才队伍建设资金覆盖率达到100%，项目点在持续深化青少年成长成才等重点青少年群体关爱行动，深入开展青少年事务社工人才队伍建设等关爱项目方面，积极为青少年、贫困儿童在成长成才发展上的困难和问题提供服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项目效益情况</w:t>
      </w:r>
      <w:r>
        <w:rPr>
          <w:rFonts w:hint="eastAsia" w:ascii="仿宋" w:hAnsi="仿宋" w:eastAsia="仿宋" w:cs="仿宋_GB2312"/>
          <w:sz w:val="32"/>
          <w:szCs w:val="32"/>
        </w:rPr>
        <w:t>：项目的实施有效改善了青少年的发展的困难和问题，促进了青少年身心健康的发展，广大群众看到了变化，有了实实在在的“获得感”。从全区2018年走访调查情况来看，与往年同期相比，青少年更加热爱社会，更多的了解社会工作者，参与社工组织，同时，项目实施有效缓解了社会压力，让青年更容易获得社会的认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通过电话访问、现场走访等形式，对青少年和社会人士等进行的调查反映，项目实施以来，得到了青少年和各级社会人士的认同和支持，社会反响好。</w:t>
      </w:r>
    </w:p>
    <w:p>
      <w:pPr>
        <w:numPr>
          <w:ilvl w:val="0"/>
          <w:numId w:val="9"/>
        </w:numPr>
        <w:spacing w:line="580" w:lineRule="exact"/>
        <w:rPr>
          <w:rFonts w:ascii="仿宋" w:hAnsi="仿宋" w:eastAsia="仿宋" w:cs="仿宋_GB2312"/>
          <w:sz w:val="32"/>
          <w:szCs w:val="32"/>
        </w:rPr>
      </w:pPr>
      <w:r>
        <w:rPr>
          <w:rFonts w:ascii="仿宋" w:hAnsi="仿宋" w:eastAsia="仿宋" w:cs="仿宋_GB2312"/>
          <w:sz w:val="32"/>
          <w:szCs w:val="32"/>
        </w:rPr>
        <w:t>存在主要问题</w:t>
      </w:r>
    </w:p>
    <w:p>
      <w:pPr>
        <w:ind w:firstLine="640" w:firstLineChars="200"/>
        <w:rPr>
          <w:rFonts w:ascii="仿宋" w:hAnsi="仿宋" w:eastAsia="仿宋" w:cs="仿宋"/>
          <w:sz w:val="32"/>
          <w:szCs w:val="32"/>
        </w:rPr>
      </w:pPr>
      <w:r>
        <w:rPr>
          <w:rFonts w:hint="eastAsia" w:ascii="仿宋" w:hAnsi="仿宋" w:eastAsia="仿宋" w:cs="仿宋_GB2312"/>
          <w:sz w:val="32"/>
          <w:szCs w:val="32"/>
        </w:rPr>
        <w:t>协会自实施以来，</w:t>
      </w:r>
      <w:r>
        <w:rPr>
          <w:rFonts w:ascii="仿宋" w:hAnsi="仿宋" w:eastAsia="仿宋" w:cs="仿宋_GB2312"/>
          <w:sz w:val="32"/>
          <w:szCs w:val="32"/>
        </w:rPr>
        <w:t>始终秉承着“奉献、友爱、互助、进步”的志愿精神，倡导文明、健康、环保的生活方式，弘扬扶贫济困的传统美德，引领时代青年新风尚。</w:t>
      </w:r>
      <w:r>
        <w:rPr>
          <w:rFonts w:hint="eastAsia" w:ascii="仿宋" w:hAnsi="仿宋" w:eastAsia="仿宋" w:cs="仿宋_GB2312"/>
          <w:sz w:val="32"/>
          <w:szCs w:val="32"/>
        </w:rPr>
        <w:t>近年来，</w:t>
      </w:r>
      <w:r>
        <w:rPr>
          <w:rFonts w:ascii="仿宋" w:hAnsi="仿宋" w:eastAsia="仿宋" w:cs="仿宋_GB2312"/>
          <w:sz w:val="32"/>
          <w:szCs w:val="32"/>
        </w:rPr>
        <w:t>开展了关爱留守儿童；低碳环保宣传；应急抢险；消防宣传；无偿献血；关爱残障、孤寡老人；关爱环卫工人；禁毒宣传等多种志愿服务</w:t>
      </w:r>
      <w:r>
        <w:rPr>
          <w:rFonts w:hint="eastAsia" w:ascii="仿宋" w:hAnsi="仿宋" w:eastAsia="仿宋" w:cs="仿宋_GB2312"/>
          <w:sz w:val="32"/>
          <w:szCs w:val="32"/>
        </w:rPr>
        <w:t>，但协会运作以来，我们还是存在</w:t>
      </w:r>
      <w:r>
        <w:rPr>
          <w:rFonts w:hint="eastAsia" w:ascii="仿宋" w:hAnsi="仿宋" w:eastAsia="仿宋" w:cs="仿宋"/>
          <w:sz w:val="32"/>
          <w:szCs w:val="32"/>
        </w:rPr>
        <w:t>项目不够的主要问题，协会虽然得到了各级组织的支持，但因各方面的因素，导致协会的项目还是较少，较单一。</w:t>
      </w:r>
    </w:p>
    <w:p>
      <w:pPr>
        <w:numPr>
          <w:ilvl w:val="0"/>
          <w:numId w:val="9"/>
        </w:numPr>
        <w:spacing w:line="580" w:lineRule="exact"/>
        <w:rPr>
          <w:rFonts w:ascii="仿宋" w:hAnsi="仿宋" w:eastAsia="仿宋" w:cs="仿宋_GB2312"/>
          <w:sz w:val="32"/>
          <w:szCs w:val="32"/>
        </w:rPr>
      </w:pPr>
      <w:r>
        <w:rPr>
          <w:rFonts w:ascii="仿宋" w:hAnsi="仿宋" w:eastAsia="仿宋" w:cs="仿宋_GB2312"/>
          <w:sz w:val="32"/>
          <w:szCs w:val="32"/>
        </w:rPr>
        <w:t>相关措施建议</w:t>
      </w:r>
    </w:p>
    <w:p>
      <w:pPr>
        <w:ind w:firstLine="640" w:firstLineChars="200"/>
        <w:rPr>
          <w:rFonts w:ascii="仿宋" w:hAnsi="仿宋" w:eastAsia="仿宋" w:cs="仿宋"/>
          <w:sz w:val="32"/>
          <w:szCs w:val="32"/>
        </w:rPr>
      </w:pPr>
      <w:r>
        <w:rPr>
          <w:rFonts w:hint="eastAsia" w:ascii="仿宋" w:hAnsi="仿宋" w:eastAsia="仿宋" w:cs="仿宋"/>
          <w:sz w:val="32"/>
          <w:szCs w:val="32"/>
        </w:rPr>
        <w:t>扩大对协会的宣传力度，让更多的青少年了解、熟悉并加入协会，让更多的爱心企业和爱心人士加入协会，也将持续开展和接收不同的社工项目，让更多的青少年感受到社会工作者的关心。</w:t>
      </w:r>
    </w:p>
    <w:p>
      <w:pPr>
        <w:spacing w:line="580" w:lineRule="exact"/>
        <w:ind w:firstLine="640" w:firstLineChars="200"/>
        <w:rPr>
          <w:rStyle w:val="25"/>
          <w:rFonts w:ascii="仿宋" w:hAnsi="仿宋" w:eastAsia="仿宋" w:cs="仿宋_GB2312"/>
          <w:b w:val="0"/>
          <w:bCs w:val="0"/>
          <w:kern w:val="2"/>
          <w:sz w:val="32"/>
          <w:szCs w:val="32"/>
        </w:rPr>
      </w:pPr>
    </w:p>
    <w:p>
      <w:pPr>
        <w:spacing w:line="600" w:lineRule="exact"/>
        <w:jc w:val="center"/>
        <w:outlineLvl w:val="0"/>
        <w:rPr>
          <w:rFonts w:hint="eastAsia" w:ascii="黑体" w:hAnsi="黑体" w:eastAsia="黑体"/>
          <w:color w:val="000000"/>
          <w:sz w:val="44"/>
          <w:szCs w:val="44"/>
        </w:rPr>
      </w:pPr>
      <w:bookmarkStart w:id="60"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6"/>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Fonts w:ascii="仿宋" w:hAnsi="仿宋" w:eastAsia="仿宋"/>
          <w:color w:val="00000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5"/>
    </w:p>
    <w:p>
      <w:pPr>
        <w:pStyle w:val="3"/>
        <w:rPr>
          <w:rFonts w:ascii="仿宋" w:hAnsi="仿宋" w:eastAsia="仿宋"/>
          <w:color w:val="000000"/>
        </w:rPr>
      </w:pPr>
      <w:bookmarkStart w:id="66"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moder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44F8"/>
    <w:multiLevelType w:val="singleLevel"/>
    <w:tmpl w:val="9FF344F8"/>
    <w:lvl w:ilvl="0" w:tentative="0">
      <w:start w:val="2"/>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C1F18606"/>
    <w:multiLevelType w:val="singleLevel"/>
    <w:tmpl w:val="C1F18606"/>
    <w:lvl w:ilvl="0" w:tentative="0">
      <w:start w:val="1"/>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5876F29F"/>
    <w:multiLevelType w:val="singleLevel"/>
    <w:tmpl w:val="5876F29F"/>
    <w:lvl w:ilvl="0" w:tentative="0">
      <w:start w:val="3"/>
      <w:numFmt w:val="decimal"/>
      <w:suff w:val="nothing"/>
      <w:lvlText w:val="%1、"/>
      <w:lvlJc w:val="left"/>
    </w:lvl>
  </w:abstractNum>
  <w:abstractNum w:abstractNumId="9">
    <w:nsid w:val="5D3B1831"/>
    <w:multiLevelType w:val="singleLevel"/>
    <w:tmpl w:val="5D3B1831"/>
    <w:lvl w:ilvl="0" w:tentative="0">
      <w:start w:val="1"/>
      <w:numFmt w:val="chineseCounting"/>
      <w:suff w:val="nothing"/>
      <w:lvlText w:val="（%1）"/>
      <w:lvlJc w:val="left"/>
      <w:rPr>
        <w:rFonts w:hint="eastAsia"/>
      </w:rPr>
    </w:lvl>
  </w:abstractNum>
  <w:num w:numId="1">
    <w:abstractNumId w:val="2"/>
  </w:num>
  <w:num w:numId="2">
    <w:abstractNumId w:val="3"/>
  </w:num>
  <w:num w:numId="3">
    <w:abstractNumId w:val="7"/>
  </w:num>
  <w:num w:numId="4">
    <w:abstractNumId w:val="5"/>
  </w:num>
  <w:num w:numId="5">
    <w:abstractNumId w:val="1"/>
  </w:num>
  <w:num w:numId="6">
    <w:abstractNumId w:val="4"/>
  </w:num>
  <w:num w:numId="7">
    <w:abstractNumId w:val="0"/>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2EE5"/>
    <w:rsid w:val="000B5923"/>
    <w:rsid w:val="000B5A48"/>
    <w:rsid w:val="000B6FF3"/>
    <w:rsid w:val="000C2F14"/>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07A72"/>
    <w:rsid w:val="003216A9"/>
    <w:rsid w:val="0037013F"/>
    <w:rsid w:val="00380C92"/>
    <w:rsid w:val="003A484F"/>
    <w:rsid w:val="003B0BE0"/>
    <w:rsid w:val="003B0C1B"/>
    <w:rsid w:val="003B688C"/>
    <w:rsid w:val="003C0291"/>
    <w:rsid w:val="003C39AE"/>
    <w:rsid w:val="003C7200"/>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3043"/>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748B2"/>
    <w:rsid w:val="00683E73"/>
    <w:rsid w:val="006A3141"/>
    <w:rsid w:val="006A5E34"/>
    <w:rsid w:val="006B2422"/>
    <w:rsid w:val="006B2B9A"/>
    <w:rsid w:val="006C15CE"/>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3F31"/>
    <w:rsid w:val="008253BB"/>
    <w:rsid w:val="008270AA"/>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2216E"/>
    <w:rsid w:val="00C33E72"/>
    <w:rsid w:val="00C354B2"/>
    <w:rsid w:val="00C35554"/>
    <w:rsid w:val="00C42709"/>
    <w:rsid w:val="00C533CC"/>
    <w:rsid w:val="00C5751C"/>
    <w:rsid w:val="00C61BFC"/>
    <w:rsid w:val="00C62B85"/>
    <w:rsid w:val="00C65438"/>
    <w:rsid w:val="00C91CBB"/>
    <w:rsid w:val="00CB675A"/>
    <w:rsid w:val="00CC09B6"/>
    <w:rsid w:val="00CC666F"/>
    <w:rsid w:val="00CD1E3F"/>
    <w:rsid w:val="00CE44F6"/>
    <w:rsid w:val="00CE49DA"/>
    <w:rsid w:val="00CE7B61"/>
    <w:rsid w:val="00D00095"/>
    <w:rsid w:val="00D0595B"/>
    <w:rsid w:val="00D20620"/>
    <w:rsid w:val="00D26091"/>
    <w:rsid w:val="00D34E7C"/>
    <w:rsid w:val="00D35489"/>
    <w:rsid w:val="00D44ACB"/>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DF3E68"/>
    <w:rsid w:val="02C963D9"/>
    <w:rsid w:val="032212AE"/>
    <w:rsid w:val="039721BD"/>
    <w:rsid w:val="0507534C"/>
    <w:rsid w:val="05294B47"/>
    <w:rsid w:val="069B35A7"/>
    <w:rsid w:val="07E118F3"/>
    <w:rsid w:val="07EB2ECE"/>
    <w:rsid w:val="090E4643"/>
    <w:rsid w:val="09384F72"/>
    <w:rsid w:val="0990246B"/>
    <w:rsid w:val="0AE74688"/>
    <w:rsid w:val="0AFA2407"/>
    <w:rsid w:val="0D321895"/>
    <w:rsid w:val="0F54488B"/>
    <w:rsid w:val="0FB30640"/>
    <w:rsid w:val="10B5596C"/>
    <w:rsid w:val="10C055FF"/>
    <w:rsid w:val="113E4616"/>
    <w:rsid w:val="11C323F1"/>
    <w:rsid w:val="131655C7"/>
    <w:rsid w:val="13556C69"/>
    <w:rsid w:val="13A3024E"/>
    <w:rsid w:val="13ED0674"/>
    <w:rsid w:val="14895A38"/>
    <w:rsid w:val="14A32C3C"/>
    <w:rsid w:val="152977FD"/>
    <w:rsid w:val="162F736B"/>
    <w:rsid w:val="164679F8"/>
    <w:rsid w:val="16993968"/>
    <w:rsid w:val="16BB723D"/>
    <w:rsid w:val="17FB0A38"/>
    <w:rsid w:val="196C61D3"/>
    <w:rsid w:val="1A8B2730"/>
    <w:rsid w:val="1BA840E5"/>
    <w:rsid w:val="1D3D506F"/>
    <w:rsid w:val="1D9E1CCB"/>
    <w:rsid w:val="1E2E0C53"/>
    <w:rsid w:val="1EC62A09"/>
    <w:rsid w:val="1F9375D2"/>
    <w:rsid w:val="201520B0"/>
    <w:rsid w:val="21731517"/>
    <w:rsid w:val="217912E9"/>
    <w:rsid w:val="22F76D04"/>
    <w:rsid w:val="230145A8"/>
    <w:rsid w:val="23596547"/>
    <w:rsid w:val="240371BF"/>
    <w:rsid w:val="24F7126A"/>
    <w:rsid w:val="255105BD"/>
    <w:rsid w:val="26190CE9"/>
    <w:rsid w:val="26E07F95"/>
    <w:rsid w:val="278B7D5D"/>
    <w:rsid w:val="27E35479"/>
    <w:rsid w:val="284567D1"/>
    <w:rsid w:val="293A717E"/>
    <w:rsid w:val="29FD04D3"/>
    <w:rsid w:val="2A2043F7"/>
    <w:rsid w:val="2CAA78B0"/>
    <w:rsid w:val="2D9A364D"/>
    <w:rsid w:val="2DDC2A15"/>
    <w:rsid w:val="2E9B271B"/>
    <w:rsid w:val="31282E22"/>
    <w:rsid w:val="31381164"/>
    <w:rsid w:val="319F7F4E"/>
    <w:rsid w:val="350B565C"/>
    <w:rsid w:val="35466583"/>
    <w:rsid w:val="35C8673B"/>
    <w:rsid w:val="35EF77F1"/>
    <w:rsid w:val="37916898"/>
    <w:rsid w:val="37B426A1"/>
    <w:rsid w:val="38980B4D"/>
    <w:rsid w:val="3A7A71ED"/>
    <w:rsid w:val="3D4B7B90"/>
    <w:rsid w:val="3D6B6A17"/>
    <w:rsid w:val="3F094F72"/>
    <w:rsid w:val="41F35047"/>
    <w:rsid w:val="4431228F"/>
    <w:rsid w:val="445F72B6"/>
    <w:rsid w:val="4534304D"/>
    <w:rsid w:val="458108C2"/>
    <w:rsid w:val="46DA55B9"/>
    <w:rsid w:val="46FA1F0D"/>
    <w:rsid w:val="475630ED"/>
    <w:rsid w:val="485A3EA1"/>
    <w:rsid w:val="4A2B1FEF"/>
    <w:rsid w:val="4ABF1858"/>
    <w:rsid w:val="4AD622F1"/>
    <w:rsid w:val="4B256019"/>
    <w:rsid w:val="501653EB"/>
    <w:rsid w:val="52936FFF"/>
    <w:rsid w:val="56C53DEF"/>
    <w:rsid w:val="57A17EE5"/>
    <w:rsid w:val="589F0C33"/>
    <w:rsid w:val="58FC567F"/>
    <w:rsid w:val="59DC70BF"/>
    <w:rsid w:val="5BD04E8A"/>
    <w:rsid w:val="5D241652"/>
    <w:rsid w:val="5D411377"/>
    <w:rsid w:val="5DDC4901"/>
    <w:rsid w:val="5F9C6912"/>
    <w:rsid w:val="5FCC6147"/>
    <w:rsid w:val="62A15E6A"/>
    <w:rsid w:val="64CF0783"/>
    <w:rsid w:val="688477F5"/>
    <w:rsid w:val="692626D8"/>
    <w:rsid w:val="6AC9783F"/>
    <w:rsid w:val="6BEA7E61"/>
    <w:rsid w:val="6CAD75D6"/>
    <w:rsid w:val="6E923336"/>
    <w:rsid w:val="6F01010C"/>
    <w:rsid w:val="6F093C0D"/>
    <w:rsid w:val="701A3366"/>
    <w:rsid w:val="70783F89"/>
    <w:rsid w:val="70F76786"/>
    <w:rsid w:val="72F822A8"/>
    <w:rsid w:val="73925158"/>
    <w:rsid w:val="73B24440"/>
    <w:rsid w:val="74C01EFF"/>
    <w:rsid w:val="75790A5C"/>
    <w:rsid w:val="767B6C37"/>
    <w:rsid w:val="77086378"/>
    <w:rsid w:val="774F7EF2"/>
    <w:rsid w:val="78EE0FA1"/>
    <w:rsid w:val="78FF3234"/>
    <w:rsid w:val="79841735"/>
    <w:rsid w:val="79EC5BEA"/>
    <w:rsid w:val="7C0B4284"/>
    <w:rsid w:val="7D4D4BBD"/>
    <w:rsid w:val="7E2F2BCC"/>
    <w:rsid w:val="7EAB1696"/>
    <w:rsid w:val="F3FB9872"/>
    <w:rsid w:val="F77D90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t>收支决算总计变动情况图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manualLayout>
          <c:xMode val="edge"/>
          <c:yMode val="edge"/>
          <c:x val="0.284534857836291"/>
          <c:y val="0.029"/>
        </c:manualLayout>
      </c:layout>
      <c:overlay val="false"/>
    </c:title>
    <c:autoTitleDeleted val="false"/>
    <c:plotArea>
      <c:layout/>
      <c:barChart>
        <c:barDir val="col"/>
        <c:grouping val="clustered"/>
        <c:varyColors val="false"/>
        <c:ser>
          <c:idx val="0"/>
          <c:order val="0"/>
          <c:tx>
            <c:strRef>
              <c:f>Sheet1!$A$2</c:f>
              <c:strCache>
                <c:ptCount val="1"/>
                <c:pt idx="0">
                  <c:v>2017</c:v>
                </c:pt>
              </c:strCache>
            </c:strRef>
          </c:tx>
          <c:invertIfNegative val="false"/>
          <c:dLbls>
            <c:dLbl>
              <c:idx val="0"/>
              <c:layout>
                <c:manualLayout>
                  <c:x val="-0.00500375281461094"/>
                  <c:y val="0.11333333333333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
                  <c:y val="0.14666666666666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Sheet1!$B$2:$C$2</c:f>
              <c:numCache>
                <c:formatCode>General</c:formatCode>
                <c:ptCount val="2"/>
                <c:pt idx="0">
                  <c:v>54.19</c:v>
                </c:pt>
                <c:pt idx="1" c:formatCode="0.00_ ">
                  <c:v>56.41</c:v>
                </c:pt>
              </c:numCache>
            </c:numRef>
          </c:val>
        </c:ser>
        <c:ser>
          <c:idx val="1"/>
          <c:order val="1"/>
          <c:tx>
            <c:strRef>
              <c:f>Sheet1!$A$3</c:f>
              <c:strCache>
                <c:ptCount val="1"/>
                <c:pt idx="0">
                  <c:v>2018</c:v>
                </c:pt>
              </c:strCache>
            </c:strRef>
          </c:tx>
          <c:invertIfNegative val="false"/>
          <c:dLbls>
            <c:dLbl>
              <c:idx val="0"/>
              <c:layout>
                <c:manualLayout>
                  <c:x val="0.00750562922191644"/>
                  <c:y val="0.12666666666666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25093820365275"/>
                  <c:y val="0.16666666666666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Sheet1!$B$3:$C$3</c:f>
              <c:numCache>
                <c:formatCode>General</c:formatCode>
                <c:ptCount val="2"/>
                <c:pt idx="0">
                  <c:v>51.76</c:v>
                </c:pt>
                <c:pt idx="1">
                  <c:v>54.73</c:v>
                </c:pt>
              </c:numCache>
            </c:numRef>
          </c:val>
        </c:ser>
        <c:dLbls>
          <c:showLegendKey val="false"/>
          <c:showVal val="true"/>
          <c:showCatName val="false"/>
          <c:showSerName val="false"/>
          <c:showPercent val="false"/>
          <c:showBubbleSize val="false"/>
        </c:dLbls>
        <c:gapWidth val="150"/>
        <c:axId val="71375872"/>
        <c:axId val="71377664"/>
      </c:barChart>
      <c:catAx>
        <c:axId val="71375872"/>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1377664"/>
        <c:crosses val="autoZero"/>
        <c:auto val="true"/>
        <c:lblAlgn val="ctr"/>
        <c:lblOffset val="100"/>
        <c:noMultiLvlLbl val="false"/>
      </c:catAx>
      <c:valAx>
        <c:axId val="71377664"/>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1375872"/>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t>收入决算结构图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false"/>
    </c:title>
    <c:autoTitleDeleted val="false"/>
    <c:plotArea>
      <c:layout/>
      <c:pieChart>
        <c:varyColors val="true"/>
        <c:ser>
          <c:idx val="0"/>
          <c:order val="0"/>
          <c:tx>
            <c:strRef>
              <c:f>Sheet1!$B$1</c:f>
              <c:strCache>
                <c:ptCount val="1"/>
                <c:pt idx="0">
                  <c:v>列1</c:v>
                </c:pt>
              </c:strCache>
            </c:strRef>
          </c:tx>
          <c:explosion val="0"/>
          <c:dPt>
            <c:idx val="0"/>
            <c:bubble3D val="false"/>
          </c:dPt>
          <c:dPt>
            <c:idx val="1"/>
            <c:bubble3D val="false"/>
          </c:dPt>
          <c:dPt>
            <c:idx val="2"/>
            <c:bubble3D val="false"/>
          </c:dPt>
          <c:dPt>
            <c:idx val="3"/>
            <c:bubble3D val="false"/>
          </c:dPt>
          <c:dLbls>
            <c:dLbl>
              <c:idx val="1"/>
              <c:layout>
                <c:manualLayout>
                  <c:x val="0.00412720958041366"/>
                  <c:y val="-0.15835748031496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delete val="true"/>
            </c:dLbl>
            <c:dLbl>
              <c:idx val="3"/>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3"/>
                <c:pt idx="1">
                  <c:v>一般公共预算财政拨款收入</c:v>
                </c:pt>
                <c:pt idx="2">
                  <c:v>政府性基金预算财政拨款收入</c:v>
                </c:pt>
              </c:strCache>
            </c:strRef>
          </c:cat>
          <c:val>
            <c:numRef>
              <c:f>Sheet1!$B$2:$B$5</c:f>
              <c:numCache>
                <c:formatCode>General</c:formatCode>
                <c:ptCount val="4"/>
                <c:pt idx="1">
                  <c:v>51.76</c:v>
                </c:pt>
                <c:pt idx="2">
                  <c:v>0</c:v>
                </c:pt>
              </c:numCache>
            </c:numRef>
          </c:val>
        </c:ser>
        <c:dLbls>
          <c:showLegendKey val="false"/>
          <c:showVal val="tru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支出决算结构图</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explosion val="0"/>
          <c:dPt>
            <c:idx val="0"/>
            <c:bubble3D val="false"/>
            <c:spPr>
              <a:solidFill>
                <a:schemeClr val="accent6"/>
              </a:solidFill>
              <a:ln w="19050">
                <a:solidFill>
                  <a:schemeClr val="lt1"/>
                </a:solidFill>
              </a:ln>
              <a:effectLst/>
            </c:spPr>
          </c:dPt>
          <c:dPt>
            <c:idx val="1"/>
            <c:bubble3D val="false"/>
            <c:spPr>
              <a:noFill/>
              <a:ln w="19050">
                <a:solidFill>
                  <a:schemeClr val="lt1"/>
                </a:solidFill>
              </a:ln>
              <a:effectLst/>
            </c:spPr>
          </c:dPt>
          <c:dPt>
            <c:idx val="2"/>
            <c:bubble3D val="false"/>
            <c:spPr>
              <a:noFill/>
              <a:ln w="19050">
                <a:solidFill>
                  <a:schemeClr val="lt1"/>
                </a:solidFill>
              </a:ln>
              <a:effectLst/>
            </c:spPr>
          </c:dPt>
          <c:dPt>
            <c:idx val="3"/>
            <c:bubble3D val="false"/>
            <c:spPr>
              <a:solidFill>
                <a:schemeClr val="accent1"/>
              </a:solidFill>
              <a:ln w="19050">
                <a:solidFill>
                  <a:schemeClr val="lt1"/>
                </a:solidFill>
              </a:ln>
              <a:effectLst/>
            </c:spPr>
          </c:dPt>
          <c:dLbls>
            <c:dLbl>
              <c:idx val="1"/>
              <c:delete val="true"/>
            </c:dLbl>
            <c:dLbl>
              <c:idx val="2"/>
              <c:delete val="true"/>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3">
                  <c:v>项目支出</c:v>
                </c:pt>
              </c:strCache>
            </c:strRef>
          </c:cat>
          <c:val>
            <c:numRef>
              <c:f>Sheet1!$B$2:$B$5</c:f>
              <c:numCache>
                <c:formatCode>General</c:formatCode>
                <c:ptCount val="4"/>
                <c:pt idx="0">
                  <c:v>49.09</c:v>
                </c:pt>
                <c:pt idx="3">
                  <c:v>5.64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barChart>
        <c:barDir val="col"/>
        <c:grouping val="clustered"/>
        <c:varyColors val="false"/>
        <c:ser>
          <c:idx val="0"/>
          <c:order val="0"/>
          <c:tx>
            <c:strRef>
              <c:f>Sheet1!$A$2</c:f>
              <c:strCache>
                <c:ptCount val="1"/>
                <c:pt idx="0">
                  <c:v>2017年</c:v>
                </c:pt>
              </c:strCache>
            </c:strRef>
          </c:tx>
          <c:invertIfNegative val="false"/>
          <c:dLbls>
            <c:dLbl>
              <c:idx val="0"/>
              <c:layout>
                <c:manualLayout>
                  <c:x val="0"/>
                  <c:y val="0.13333333333333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00075056292219"/>
                  <c:y val="0.1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Sheet1!$B$2:$C$2</c:f>
              <c:numCache>
                <c:formatCode>0.00_ </c:formatCode>
                <c:ptCount val="2"/>
                <c:pt idx="0">
                  <c:v>54.19</c:v>
                </c:pt>
                <c:pt idx="1">
                  <c:v>56.41</c:v>
                </c:pt>
              </c:numCache>
            </c:numRef>
          </c:val>
        </c:ser>
        <c:ser>
          <c:idx val="1"/>
          <c:order val="1"/>
          <c:tx>
            <c:strRef>
              <c:f>Sheet1!$A$3</c:f>
              <c:strCache>
                <c:ptCount val="1"/>
                <c:pt idx="0">
                  <c:v>2018年</c:v>
                </c:pt>
              </c:strCache>
            </c:strRef>
          </c:tx>
          <c:invertIfNegative val="false"/>
          <c:dLbls>
            <c:dLbl>
              <c:idx val="0"/>
              <c:layout>
                <c:manualLayout>
                  <c:x val="0.0175131348511384"/>
                  <c:y val="0.07"/>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500375281461096"/>
                  <c:y val="0.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收入</c:v>
                </c:pt>
                <c:pt idx="1">
                  <c:v>支出</c:v>
                </c:pt>
              </c:strCache>
            </c:strRef>
          </c:cat>
          <c:val>
            <c:numRef>
              <c:f>Sheet1!$B$3:$C$3</c:f>
              <c:numCache>
                <c:formatCode>General</c:formatCode>
                <c:ptCount val="2"/>
                <c:pt idx="0">
                  <c:v>51.76</c:v>
                </c:pt>
                <c:pt idx="1">
                  <c:v>54.73</c:v>
                </c:pt>
              </c:numCache>
            </c:numRef>
          </c:val>
        </c:ser>
        <c:dLbls>
          <c:showLegendKey val="false"/>
          <c:showVal val="true"/>
          <c:showCatName val="false"/>
          <c:showSerName val="false"/>
          <c:showPercent val="false"/>
          <c:showBubbleSize val="false"/>
        </c:dLbls>
        <c:gapWidth val="150"/>
        <c:axId val="74921088"/>
        <c:axId val="74949760"/>
      </c:barChart>
      <c:catAx>
        <c:axId val="74921088"/>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949760"/>
        <c:crosses val="autoZero"/>
        <c:auto val="true"/>
        <c:lblAlgn val="ctr"/>
        <c:lblOffset val="100"/>
        <c:noMultiLvlLbl val="false"/>
      </c:catAx>
      <c:valAx>
        <c:axId val="7494976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_ "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921088"/>
        <c:crosses val="autoZero"/>
        <c:crossBetween val="between"/>
      </c:valAx>
      <c:spPr>
        <a:noFill/>
        <a:ln>
          <a:noFill/>
        </a:ln>
        <a:effectLst/>
      </c:spPr>
    </c:plotArea>
    <c:legend>
      <c:legendPos val="b"/>
      <c:layout>
        <c:manualLayout>
          <c:xMode val="edge"/>
          <c:yMode val="edge"/>
          <c:x val="0.423125"/>
          <c:y val="0.922"/>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Sheet1!$B$2:$B$5</c:f>
              <c:numCache>
                <c:formatCode>General</c:formatCode>
                <c:ptCount val="4"/>
                <c:pt idx="1">
                  <c:v>54.73</c:v>
                </c:pt>
              </c:numCache>
            </c:numRef>
          </c:val>
        </c:ser>
        <c:ser>
          <c:idx val="1"/>
          <c:order val="1"/>
          <c:tx>
            <c:strRef>
              <c:f>Sheet1!$C$1</c:f>
              <c:strCache>
                <c:ptCount val="1"/>
                <c:pt idx="0">
                  <c:v>2017年</c:v>
                </c:pt>
              </c:strCache>
            </c:strRef>
          </c:tx>
          <c:spPr>
            <a:solidFill>
              <a:schemeClr val="accent6"/>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Sheet1!$C$2:$C$5</c:f>
              <c:numCache>
                <c:formatCode>General</c:formatCode>
                <c:ptCount val="4"/>
                <c:pt idx="2" c:formatCode="0.00_ ">
                  <c:v>56.41</c:v>
                </c:pt>
              </c:numCache>
            </c:numRef>
          </c:val>
        </c:ser>
        <c:ser>
          <c:idx val="2"/>
          <c:order val="2"/>
          <c:tx>
            <c:strRef>
              <c:f>Sheet1!$D$1</c:f>
              <c:strCache>
                <c:ptCount val="1"/>
                <c:pt idx="0">
                  <c:v/>
                </c:pt>
              </c:strCache>
            </c:strRef>
          </c:tx>
          <c:spPr>
            <a:noFill/>
            <a:ln>
              <a:noFill/>
            </a:ln>
            <a:effectLst/>
          </c:spPr>
          <c:invertIfNegative val="false"/>
          <c:dLbls>
            <c:delete val="true"/>
          </c:dLbls>
          <c:cat>
            <c:strRef>
              <c:f>Sheet1!$A$2:$A$5</c:f>
              <c:strCache>
                <c:ptCount val="3"/>
                <c:pt idx="1">
                  <c:v>2018年</c:v>
                </c:pt>
                <c:pt idx="2">
                  <c:v>2017年</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150"/>
        <c:overlap val="100"/>
        <c:axId val="76257536"/>
        <c:axId val="76769920"/>
      </c:barChart>
      <c:catAx>
        <c:axId val="7625753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6769920"/>
        <c:crosses val="autoZero"/>
        <c:auto val="true"/>
        <c:lblAlgn val="ctr"/>
        <c:lblOffset val="100"/>
        <c:noMultiLvlLbl val="false"/>
      </c:catAx>
      <c:valAx>
        <c:axId val="7676992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6257536"/>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900"/>
              <a:t>（单位：万元）</a:t>
            </a:r>
            <a:endParaRPr lang="zh-CN" altLang="en-US" sz="900"/>
          </a:p>
        </c:rich>
      </c:tx>
      <c:layout>
        <c:manualLayout>
          <c:xMode val="edge"/>
          <c:yMode val="edge"/>
          <c:x val="0.155580386486132"/>
          <c:y val="0.0334190231362468"/>
        </c:manualLayout>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4"/>
              <c:layout>
                <c:manualLayout>
                  <c:x val="-0.0283370023664815"/>
                  <c:y val="0.0019972122081684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一般公共服务支出</c:v>
                </c:pt>
                <c:pt idx="1">
                  <c:v>社会保障和就业支出</c:v>
                </c:pt>
                <c:pt idx="2">
                  <c:v>医疗卫生支出</c:v>
                </c:pt>
                <c:pt idx="3">
                  <c:v>农林水支出</c:v>
                </c:pt>
                <c:pt idx="4">
                  <c:v>住房保障支出</c:v>
                </c:pt>
              </c:strCache>
            </c:strRef>
          </c:cat>
          <c:val>
            <c:numRef>
              <c:f>Sheet1!$B$2:$B$6</c:f>
              <c:numCache>
                <c:formatCode>General</c:formatCode>
                <c:ptCount val="5"/>
                <c:pt idx="0">
                  <c:v>45.18</c:v>
                </c:pt>
                <c:pt idx="1">
                  <c:v>4.7</c:v>
                </c:pt>
                <c:pt idx="2">
                  <c:v>1.84</c:v>
                </c:pt>
                <c:pt idx="3">
                  <c:v>0.3</c:v>
                </c:pt>
                <c:pt idx="4">
                  <c:v>2.71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78694158075601"/>
          <c:y val="0.764609246655718"/>
          <c:w val="0.703321878579612"/>
          <c:h val="0.207228350152546"/>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sz="1500"/>
              <a:t>“三公”经费财政拨款支出</a:t>
            </a:r>
            <a:endParaRPr lang="zh-CN" sz="1500"/>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manualLayout>
          <c:xMode val="edge"/>
          <c:yMode val="edge"/>
          <c:x val="0.153179190751445"/>
          <c:y val="0.049740932642487"/>
        </c:manualLayout>
      </c:layout>
      <c:overlay val="false"/>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dPt>
          <c:dPt>
            <c:idx val="1"/>
            <c:bubble3D val="false"/>
          </c:dPt>
          <c:dPt>
            <c:idx val="2"/>
            <c:bubble3D val="false"/>
          </c:dPt>
          <c:dPt>
            <c:idx val="3"/>
            <c:bubble3D val="false"/>
          </c:dPt>
          <c:dLbls>
            <c:dLbl>
              <c:idx val="1"/>
              <c:layout>
                <c:manualLayout>
                  <c:x val="0.0378959353797158"/>
                  <c:y val="0.013202754707396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Sheet1!$A$2:$A$5</c:f>
              <c:strCache>
                <c:ptCount val="3"/>
                <c:pt idx="0">
                  <c:v>因公出国（境）费用</c:v>
                </c:pt>
                <c:pt idx="1">
                  <c:v>公务用车运行费</c:v>
                </c:pt>
                <c:pt idx="2">
                  <c:v>公务接待费</c:v>
                </c:pt>
              </c:strCache>
            </c:strRef>
          </c:cat>
          <c:val>
            <c:numRef>
              <c:f>Sheet1!$B$2:$B$5</c:f>
              <c:numCache>
                <c:formatCode>General</c:formatCode>
                <c:ptCount val="4"/>
                <c:pt idx="0">
                  <c:v>0</c:v>
                </c:pt>
                <c:pt idx="1">
                  <c:v>0</c:v>
                </c:pt>
                <c:pt idx="2">
                  <c:v>0.25</c:v>
                </c:pt>
              </c:numCache>
            </c:numRef>
          </c:val>
        </c:ser>
        <c:dLbls>
          <c:showLegendKey val="false"/>
          <c:showVal val="tru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2706</Words>
  <Characters>15426</Characters>
  <Lines>128</Lines>
  <Paragraphs>36</Paragraphs>
  <TotalTime>1</TotalTime>
  <ScaleCrop>false</ScaleCrop>
  <LinksUpToDate>false</LinksUpToDate>
  <CharactersWithSpaces>18096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user</cp:lastModifiedBy>
  <cp:lastPrinted>2019-08-01T16:48:00Z</cp:lastPrinted>
  <dcterms:modified xsi:type="dcterms:W3CDTF">2023-08-12T16:11:50Z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