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hAnsi="宋体"/>
          <w:color w:val="000000"/>
          <w:sz w:val="72"/>
          <w:szCs w:val="72"/>
        </w:rPr>
      </w:pPr>
      <w:bookmarkStart w:id="0" w:name="_Toc15306267"/>
      <w:bookmarkStart w:id="1" w:name="_GoBack"/>
      <w:bookmarkEnd w:id="1"/>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spacing w:line="600" w:lineRule="exact"/>
        <w:jc w:val="center"/>
        <w:outlineLvl w:val="0"/>
        <w:rPr>
          <w:rFonts w:ascii="方正小标宋简体" w:eastAsia="方正小标宋简体" w:hAnsi="宋体"/>
          <w:color w:val="000000"/>
          <w:sz w:val="72"/>
          <w:szCs w:val="72"/>
        </w:rPr>
      </w:pPr>
    </w:p>
    <w:p>
      <w:pPr>
        <w:adjustRightInd w:val="0"/>
        <w:snapToGrid w:val="0"/>
        <w:spacing w:line="360" w:lineRule="auto"/>
        <w:jc w:val="center"/>
        <w:outlineLvl w:val="0"/>
        <w:rPr>
          <w:rFonts w:ascii="方正小标宋简体" w:eastAsia="方正小标宋简体" w:hAnsi="宋体"/>
          <w:color w:val="000000"/>
          <w:sz w:val="72"/>
          <w:szCs w:val="72"/>
        </w:rPr>
      </w:pPr>
      <w:bookmarkStart w:id="2" w:name="_Toc15377193"/>
      <w:bookmarkStart w:id="3" w:name="_Toc15396597"/>
      <w:bookmarkStart w:id="4" w:name="_Toc15378441"/>
      <w:bookmarkStart w:id="5" w:name="_Toc15396475"/>
      <w:bookmarkStart w:id="6" w:name="_Toc15377425"/>
      <w:r>
        <w:rPr>
          <w:rFonts w:ascii="黑体" w:eastAsia="黑体" w:hAnsi="黑体"/>
          <w:color w:val="000000"/>
          <w:sz w:val="72"/>
          <w:szCs w:val="72"/>
        </w:rPr>
        <w:t>20</w:t>
      </w:r>
      <w:r>
        <w:rPr>
          <w:rFonts w:ascii="黑体" w:eastAsia="黑体" w:hAnsi="黑体" w:hint="eastAsia"/>
          <w:color w:val="000000"/>
          <w:sz w:val="72"/>
          <w:szCs w:val="72"/>
        </w:rPr>
        <w:t>20</w:t>
      </w:r>
      <w:r>
        <w:rPr>
          <w:rFonts w:ascii="方正小标宋简体" w:eastAsia="方正小标宋简体" w:hAnsi="宋体" w:hint="eastAsia"/>
          <w:color w:val="000000"/>
          <w:sz w:val="72"/>
          <w:szCs w:val="72"/>
        </w:rPr>
        <w:t>年度</w:t>
      </w:r>
      <w:bookmarkEnd w:id="2"/>
      <w:bookmarkEnd w:id="3"/>
      <w:bookmarkEnd w:id="4"/>
      <w:bookmarkEnd w:id="5"/>
      <w:bookmarkEnd w:id="6"/>
    </w:p>
    <w:p>
      <w:pPr>
        <w:adjustRightInd w:val="0"/>
        <w:snapToGrid w:val="0"/>
        <w:spacing w:line="360" w:lineRule="auto"/>
        <w:jc w:val="center"/>
        <w:outlineLvl w:val="0"/>
        <w:rPr>
          <w:rFonts w:ascii="方正小标宋简体" w:eastAsia="方正小标宋简体" w:hAnsi="宋体"/>
          <w:color w:val="000000"/>
          <w:sz w:val="72"/>
          <w:szCs w:val="72"/>
        </w:rPr>
      </w:pPr>
      <w:bookmarkStart w:id="7" w:name="_Toc15377426"/>
      <w:bookmarkStart w:id="8" w:name="_Toc15378442"/>
      <w:bookmarkStart w:id="9" w:name="_Toc15396598"/>
      <w:bookmarkStart w:id="10" w:name="_Toc15396476"/>
      <w:bookmarkStart w:id="11" w:name="_Toc15377194"/>
      <w:r>
        <w:rPr>
          <w:rFonts w:ascii="方正小标宋简体" w:eastAsia="方正小标宋简体" w:hAnsi="宋体" w:hint="eastAsia"/>
          <w:color w:val="000000"/>
          <w:sz w:val="72"/>
          <w:szCs w:val="72"/>
        </w:rPr>
        <w:t>广元市利州区</w:t>
      </w:r>
      <w:bookmarkStart w:id="12" w:name="_Toc15306268"/>
      <w:bookmarkEnd w:id="0"/>
      <w:r>
        <w:rPr>
          <w:rFonts w:ascii="方正小标宋简体" w:eastAsia="方正小标宋简体" w:hAnsi="宋体" w:hint="eastAsia"/>
          <w:color w:val="000000"/>
          <w:sz w:val="72"/>
          <w:szCs w:val="72"/>
        </w:rPr>
        <w:t>审计局</w:t>
      </w:r>
    </w:p>
    <w:p>
      <w:pPr>
        <w:adjustRightInd w:val="0"/>
        <w:snapToGrid w:val="0"/>
        <w:spacing w:line="360" w:lineRule="auto"/>
        <w:jc w:val="center"/>
        <w:outlineLvl w:val="0"/>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部门决算</w:t>
      </w:r>
      <w:bookmarkEnd w:id="7"/>
      <w:bookmarkEnd w:id="8"/>
      <w:bookmarkEnd w:id="9"/>
      <w:bookmarkEnd w:id="10"/>
      <w:bookmarkEnd w:id="11"/>
      <w:bookmarkEnd w:id="12"/>
    </w:p>
    <w:p>
      <w:pPr>
        <w:widowControl/>
        <w:jc w:val="center"/>
        <w:rPr>
          <w:rFonts w:ascii="黑体" w:eastAsia="黑体" w:hAnsi="黑体"/>
          <w:color w:val="000000"/>
          <w:sz w:val="48"/>
          <w:szCs w:val="48"/>
        </w:rPr>
      </w:pPr>
      <w:r>
        <w:rPr>
          <w:rFonts w:ascii="方正小标宋简体" w:eastAsia="方正小标宋简体" w:hAnsi="宋体"/>
          <w:color w:val="000000"/>
          <w:sz w:val="36"/>
          <w:szCs w:val="36"/>
        </w:rPr>
        <w:br w:type="page"/>
      </w:r>
      <w:r>
        <w:rPr>
          <w:rFonts w:ascii="黑体" w:eastAsia="黑体" w:hAnsi="黑体" w:hint="eastAsia"/>
          <w:color w:val="000000"/>
          <w:sz w:val="48"/>
          <w:szCs w:val="48"/>
        </w:rPr>
        <w:t>目录</w:t>
      </w:r>
    </w:p>
    <w:p>
      <w:pPr>
        <w:widowControl/>
        <w:jc w:val="center"/>
        <w:rPr>
          <w:rFonts w:ascii="黑体" w:eastAsia="黑体" w:cs="Arial" w:hAnsi="黑体"/>
          <w:sz w:val="28"/>
          <w:szCs w:val="28"/>
        </w:rPr>
      </w:pPr>
    </w:p>
    <w:p>
      <w:pPr>
        <w:pStyle w:val="20"/>
        <w:tabs>
          <w:tab w:val="right" w:leader="dot" w:pos="8296"/>
        </w:tabs>
      </w:pPr>
      <w:r>
        <w:rPr>
          <w:rFonts w:hint="eastAsia"/>
        </w:rPr>
        <w:t>公开时间：202</w:t>
      </w:r>
      <w:r>
        <w:rPr>
          <w:rFonts w:hint="eastAsia"/>
          <w:lang w:val="en-US" w:eastAsia="zh-CN"/>
        </w:rPr>
        <w:t>1</w:t>
      </w:r>
      <w:r>
        <w:rPr>
          <w:rFonts w:hint="eastAsia"/>
        </w:rPr>
        <w:t>年9月</w:t>
      </w:r>
      <w:r>
        <w:rPr>
          <w:rFonts w:hint="eastAsia"/>
          <w:lang w:val="en-US" w:eastAsia="zh-CN"/>
        </w:rPr>
        <w:t>29</w:t>
      </w:r>
      <w:r>
        <w:rPr>
          <w:rFonts w:hint="eastAsia"/>
        </w:rPr>
        <w:t>日</w:t>
      </w:r>
    </w:p>
    <w:p/>
    <w:p>
      <w:pPr>
        <w:pStyle w:val="20"/>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部门概况</w:t>
      </w:r>
    </w:p>
    <w:p>
      <w:pPr>
        <w:pStyle w:val="21"/>
        <w:tabs>
          <w:tab w:val="right" w:leader="dot" w:pos="8296"/>
        </w:tabs>
        <w:adjustRightInd w:val="0"/>
        <w:snapToGrid w:val="0"/>
        <w:spacing w:line="440" w:lineRule="exact"/>
        <w:jc w:val="right"/>
        <w:rPr>
          <w:rFonts w:ascii="仿宋" w:eastAsia="仿宋" w:hAnsi="仿宋"/>
          <w:sz w:val="24"/>
        </w:rPr>
      </w:pPr>
      <w:r>
        <w:rPr>
          <w:rFonts w:hint="eastAsia"/>
          <w:sz w:val="24"/>
        </w:rPr>
        <w:t>一、基本职能及主要工作</w:t>
      </w:r>
      <w:r>
        <w:rPr>
          <w:sz w:val="24"/>
        </w:rPr>
        <w:t>………………………………………………………</w:t>
      </w:r>
      <w:r>
        <w:rPr>
          <w:rFonts w:hint="eastAsia"/>
          <w:sz w:val="24"/>
        </w:rPr>
        <w:t>.1</w:t>
      </w:r>
    </w:p>
    <w:p>
      <w:pPr>
        <w:pStyle w:val="21"/>
        <w:tabs>
          <w:tab w:val="right" w:leader="dot" w:pos="8296"/>
        </w:tabs>
        <w:adjustRightInd w:val="0"/>
        <w:snapToGrid w:val="0"/>
        <w:spacing w:line="440" w:lineRule="exact"/>
        <w:jc w:val="right"/>
        <w:rPr>
          <w:rFonts w:ascii="仿宋" w:eastAsia="仿宋" w:cs="Arial" w:hAnsi="仿宋"/>
          <w:sz w:val="24"/>
        </w:rPr>
      </w:pPr>
      <w:r>
        <w:rPr>
          <w:rFonts w:hint="eastAsia"/>
          <w:sz w:val="24"/>
        </w:rPr>
        <w:t>二、机构设置</w:t>
      </w:r>
      <w:r>
        <w:rPr>
          <w:sz w:val="24"/>
        </w:rPr>
        <w:t>……………………………………………………………………</w:t>
      </w:r>
      <w:r>
        <w:rPr>
          <w:rFonts w:hint="eastAsia"/>
          <w:sz w:val="24"/>
        </w:rPr>
        <w:t>.4</w:t>
      </w:r>
    </w:p>
    <w:p>
      <w:pPr>
        <w:pStyle w:val="20"/>
        <w:tabs>
          <w:tab w:val="right" w:leader="dot" w:pos="8296"/>
        </w:tabs>
        <w:adjustRightInd w:val="0"/>
        <w:snapToGrid w:val="0"/>
        <w:spacing w:before="0" w:line="440" w:lineRule="exact"/>
        <w:jc w:val="left"/>
        <w:rPr>
          <w:sz w:val="24"/>
          <w:szCs w:val="24"/>
        </w:rPr>
      </w:pPr>
      <w:r>
        <w:rPr>
          <w:rFonts w:hint="eastAsia"/>
          <w:sz w:val="24"/>
        </w:rPr>
        <w:t>第二部分度部门决算情况说明</w:t>
      </w:r>
    </w:p>
    <w:p>
      <w:pPr>
        <w:pStyle w:val="21"/>
        <w:tabs>
          <w:tab w:val="right" w:leader="dot" w:pos="8296"/>
        </w:tabs>
        <w:adjustRightInd w:val="0"/>
        <w:snapToGrid w:val="0"/>
        <w:spacing w:line="440" w:lineRule="exact"/>
        <w:jc w:val="right"/>
        <w:rPr>
          <w:rFonts w:ascii="仿宋" w:eastAsia="仿宋" w:cs="Arial" w:hAnsi="仿宋"/>
          <w:sz w:val="24"/>
        </w:rPr>
      </w:pPr>
      <w:r>
        <w:rPr>
          <w:rFonts w:hint="eastAsia"/>
          <w:sz w:val="24"/>
        </w:rPr>
        <w:t>一、收入支出决算总体情况说明</w:t>
      </w:r>
      <w:r>
        <w:rPr>
          <w:sz w:val="24"/>
        </w:rPr>
        <w:t>………………………………………………</w:t>
      </w:r>
      <w:r>
        <w:rPr>
          <w:rFonts w:hint="eastAsia"/>
          <w:sz w:val="24"/>
        </w:rPr>
        <w:t>.5</w:t>
      </w:r>
    </w:p>
    <w:p>
      <w:pPr>
        <w:pStyle w:val="21"/>
        <w:tabs>
          <w:tab w:val="right" w:leader="dot" w:pos="8296"/>
        </w:tabs>
        <w:adjustRightInd w:val="0"/>
        <w:snapToGrid w:val="0"/>
        <w:spacing w:line="440" w:lineRule="exact"/>
        <w:jc w:val="right"/>
        <w:rPr>
          <w:rFonts w:ascii="仿宋" w:eastAsia="宋体" w:cs="Arial" w:hAnsi="仿宋" w:hint="eastAsia"/>
          <w:sz w:val="24"/>
          <w:lang w:val="en-US" w:eastAsia="zh-CN"/>
        </w:rPr>
      </w:pPr>
      <w:r>
        <w:rPr>
          <w:rFonts w:hint="eastAsia"/>
          <w:sz w:val="24"/>
        </w:rPr>
        <w:t>二、收入决算情况说明</w:t>
      </w:r>
      <w:r>
        <w:rPr>
          <w:sz w:val="24"/>
        </w:rPr>
        <w:t>…………………………………………………………</w:t>
      </w:r>
      <w:r>
        <w:rPr>
          <w:rFonts w:hint="eastAsia"/>
          <w:sz w:val="24"/>
        </w:rPr>
        <w:t>..</w:t>
      </w:r>
      <w:r>
        <w:rPr>
          <w:rFonts w:hint="eastAsia"/>
          <w:sz w:val="24"/>
          <w:lang w:val="en-US" w:eastAsia="zh-CN"/>
        </w:rPr>
        <w:t>6</w:t>
      </w:r>
    </w:p>
    <w:p>
      <w:pPr>
        <w:pStyle w:val="21"/>
        <w:tabs>
          <w:tab w:val="right" w:leader="dot" w:pos="8296"/>
        </w:tabs>
        <w:adjustRightInd w:val="0"/>
        <w:snapToGrid w:val="0"/>
        <w:spacing w:line="440" w:lineRule="exact"/>
        <w:jc w:val="right"/>
        <w:rPr>
          <w:rFonts w:ascii="仿宋" w:eastAsia="仿宋" w:cs="Arial" w:hAnsi="仿宋"/>
          <w:sz w:val="24"/>
        </w:rPr>
      </w:pPr>
      <w:r>
        <w:rPr>
          <w:rFonts w:hint="eastAsia"/>
          <w:sz w:val="24"/>
        </w:rPr>
        <w:t>三、支出决算情况说明</w:t>
      </w:r>
      <w:r>
        <w:rPr>
          <w:sz w:val="24"/>
        </w:rPr>
        <w:t>…………………………………………………………</w:t>
      </w:r>
      <w:r>
        <w:rPr>
          <w:rFonts w:hint="eastAsia"/>
          <w:sz w:val="24"/>
        </w:rPr>
        <w:t>.6</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四、财政拨款收入支出决算总体情况说明</w:t>
      </w:r>
      <w:r>
        <w:rPr>
          <w:sz w:val="24"/>
        </w:rPr>
        <w:t>……………………………………</w:t>
      </w:r>
      <w:r>
        <w:rPr>
          <w:rFonts w:hint="eastAsia"/>
          <w:sz w:val="24"/>
        </w:rPr>
        <w:t>.7</w:t>
      </w:r>
    </w:p>
    <w:p>
      <w:pPr>
        <w:pStyle w:val="21"/>
        <w:tabs>
          <w:tab w:val="right" w:leader="dot" w:pos="8296"/>
        </w:tabs>
        <w:adjustRightInd w:val="0"/>
        <w:snapToGrid w:val="0"/>
        <w:spacing w:line="440" w:lineRule="exact"/>
        <w:jc w:val="left"/>
        <w:rPr>
          <w:rFonts w:ascii="仿宋" w:eastAsia="宋体" w:cs="Arial" w:hAnsi="仿宋" w:hint="eastAsia"/>
          <w:sz w:val="24"/>
          <w:lang w:eastAsia="zh-CN"/>
        </w:rPr>
      </w:pPr>
      <w:r>
        <w:rPr>
          <w:rFonts w:hint="eastAsia"/>
          <w:sz w:val="24"/>
        </w:rPr>
        <w:t>五、一般公共预算财政拨款支出决算情况说明</w:t>
      </w:r>
      <w:r>
        <w:rPr>
          <w:sz w:val="24"/>
        </w:rPr>
        <w:t>………………………………</w:t>
      </w:r>
      <w:r>
        <w:rPr>
          <w:rFonts w:hint="eastAsia"/>
          <w:sz w:val="24"/>
          <w:lang w:val="en-US" w:eastAsia="zh-CN"/>
        </w:rPr>
        <w:t>8</w:t>
      </w:r>
    </w:p>
    <w:p>
      <w:pPr>
        <w:pStyle w:val="21"/>
        <w:tabs>
          <w:tab w:val="right" w:leader="dot" w:pos="8296"/>
        </w:tabs>
        <w:adjustRightInd w:val="0"/>
        <w:snapToGrid w:val="0"/>
        <w:spacing w:line="440" w:lineRule="exact"/>
        <w:jc w:val="left"/>
        <w:rPr>
          <w:rFonts w:ascii="仿宋" w:eastAsia="宋体" w:cs="Arial" w:hAnsi="仿宋"/>
          <w:sz w:val="24"/>
          <w:lang w:val="en-US" w:eastAsia="zh-CN"/>
        </w:rPr>
      </w:pPr>
      <w:r>
        <w:rPr>
          <w:rFonts w:hint="eastAsia"/>
          <w:sz w:val="24"/>
        </w:rPr>
        <w:t>六、一般公共预算财政拨款基本支出决算情况说明</w:t>
      </w:r>
      <w:r>
        <w:rPr>
          <w:sz w:val="24"/>
        </w:rPr>
        <w:t>…………………………</w:t>
      </w:r>
      <w:r>
        <w:rPr>
          <w:rFonts w:hint="eastAsia"/>
          <w:sz w:val="24"/>
        </w:rPr>
        <w:t xml:space="preserve"> </w:t>
      </w:r>
      <w:r>
        <w:rPr>
          <w:rFonts w:hint="eastAsia"/>
          <w:sz w:val="24"/>
          <w:lang w:val="en-US" w:eastAsia="zh-CN"/>
        </w:rPr>
        <w:t>10</w:t>
      </w:r>
    </w:p>
    <w:p>
      <w:pPr>
        <w:pStyle w:val="21"/>
        <w:tabs>
          <w:tab w:val="right" w:leader="dot" w:pos="8296"/>
        </w:tabs>
        <w:adjustRightInd w:val="0"/>
        <w:snapToGrid w:val="0"/>
        <w:spacing w:line="440" w:lineRule="exact"/>
        <w:jc w:val="left"/>
        <w:rPr>
          <w:rFonts w:ascii="仿宋" w:eastAsia="宋体" w:cs="Arial" w:hAnsi="仿宋" w:hint="eastAsia"/>
          <w:sz w:val="24"/>
          <w:lang w:val="en-US" w:eastAsia="zh-CN"/>
        </w:rPr>
      </w:pPr>
      <w:r>
        <w:rPr>
          <w:rFonts w:hint="eastAsia"/>
          <w:sz w:val="24"/>
        </w:rPr>
        <w:t>七、</w:t>
      </w:r>
      <w:r>
        <w:rPr>
          <w:sz w:val="24"/>
        </w:rPr>
        <w:t>“</w:t>
      </w:r>
      <w:r>
        <w:rPr>
          <w:rFonts w:hint="eastAsia"/>
          <w:sz w:val="24"/>
        </w:rPr>
        <w:t>三公”经费财政拨款支出决算情况说明</w:t>
      </w:r>
      <w:r>
        <w:rPr>
          <w:sz w:val="24"/>
        </w:rPr>
        <w:t>…</w:t>
      </w:r>
      <w:r>
        <w:rPr>
          <w:rFonts w:hint="eastAsia"/>
          <w:sz w:val="24"/>
        </w:rPr>
        <w:t xml:space="preserve">  </w:t>
      </w:r>
      <w:r>
        <w:rPr>
          <w:sz w:val="24"/>
        </w:rPr>
        <w:t>……………………………</w:t>
      </w:r>
      <w:r>
        <w:rPr>
          <w:rFonts w:hint="eastAsia"/>
          <w:sz w:val="24"/>
        </w:rPr>
        <w:t>1</w:t>
      </w:r>
      <w:r>
        <w:rPr>
          <w:rFonts w:hint="eastAsia"/>
          <w:sz w:val="24"/>
          <w:lang w:val="en-US" w:eastAsia="zh-CN"/>
        </w:rPr>
        <w:t>1</w:t>
      </w:r>
    </w:p>
    <w:p>
      <w:pPr>
        <w:pStyle w:val="21"/>
        <w:tabs>
          <w:tab w:val="right" w:leader="dot" w:pos="8296"/>
        </w:tabs>
        <w:adjustRightInd w:val="0"/>
        <w:snapToGrid w:val="0"/>
        <w:spacing w:line="440" w:lineRule="exact"/>
        <w:jc w:val="left"/>
        <w:rPr>
          <w:rFonts w:ascii="仿宋" w:eastAsia="仿宋" w:cs="Arial" w:hAnsi="仿宋"/>
          <w:sz w:val="24"/>
        </w:rPr>
      </w:pPr>
      <w:r>
        <w:rPr>
          <w:rFonts w:hint="eastAsia"/>
          <w:sz w:val="24"/>
        </w:rPr>
        <w:t>八、政府性基金预算支出决算情况说明</w:t>
      </w:r>
      <w:r>
        <w:rPr>
          <w:sz w:val="24"/>
        </w:rPr>
        <w:t>………………………………………</w:t>
      </w:r>
      <w:r>
        <w:rPr>
          <w:rFonts w:hint="eastAsia"/>
          <w:sz w:val="24"/>
        </w:rPr>
        <w:t>.12</w:t>
      </w:r>
    </w:p>
    <w:p>
      <w:pPr>
        <w:pStyle w:val="21"/>
        <w:tabs>
          <w:tab w:val="right" w:leader="dot" w:pos="8296"/>
        </w:tabs>
        <w:adjustRightInd w:val="0"/>
        <w:snapToGrid w:val="0"/>
        <w:spacing w:line="440" w:lineRule="exact"/>
        <w:ind w:leftChars="0" w:left="420"/>
        <w:jc w:val="left"/>
        <w:rPr>
          <w:rFonts w:ascii="仿宋" w:eastAsia="仿宋" w:hAnsi="仿宋"/>
          <w:sz w:val="24"/>
        </w:rPr>
      </w:pPr>
      <w:r>
        <w:rPr>
          <w:rFonts w:ascii="仿宋" w:eastAsia="仿宋" w:hAnsi="仿宋" w:hint="eastAsia"/>
          <w:sz w:val="24"/>
        </w:rPr>
        <w:t>九、</w:t>
      </w:r>
      <w:r>
        <w:rPr>
          <w:sz w:val="24"/>
        </w:rPr>
        <w:t xml:space="preserve"> 国</w:t>
      </w:r>
      <w:r>
        <w:rPr>
          <w:rFonts w:hint="eastAsia"/>
          <w:sz w:val="24"/>
        </w:rPr>
        <w:t>有资本经营预算支出决算情况说明----------------------------------------.12</w:t>
      </w:r>
    </w:p>
    <w:p>
      <w:pPr>
        <w:adjustRightInd w:val="0"/>
        <w:snapToGrid w:val="0"/>
        <w:spacing w:line="440" w:lineRule="exact"/>
        <w:ind w:firstLineChars="200" w:firstLine="480"/>
        <w:jc w:val="right"/>
        <w:rPr>
          <w:rFonts w:ascii="仿宋" w:eastAsia="仿宋" w:cs="Arial" w:hAnsi="仿宋"/>
          <w:sz w:val="24"/>
        </w:rPr>
      </w:pPr>
      <w:r>
        <w:rPr>
          <w:rStyle w:val="23"/>
          <w:rFonts w:ascii="仿宋" w:eastAsia="仿宋" w:hAnsi="仿宋" w:hint="eastAsia"/>
          <w:color w:val="000000"/>
          <w:sz w:val="24"/>
          <w:u w:val="none"/>
          <w14:textFill>
            <w14:solidFill>
              <w14:srgbClr w14:val="000000"/>
            </w14:solidFill>
          </w14:textFill>
        </w:rPr>
        <w:t>十、</w:t>
      </w:r>
      <w:r>
        <w:rPr>
          <w:rFonts w:hint="eastAsia"/>
          <w:sz w:val="24"/>
        </w:rPr>
        <w:t>其他重要事项的情况说明</w:t>
      </w:r>
      <w:r>
        <w:rPr>
          <w:rFonts w:ascii="仿宋" w:eastAsia="仿宋" w:hAnsi="仿宋"/>
          <w:sz w:val="24"/>
        </w:rPr>
        <w:tab/>
        <w:t>……………………………………………</w:t>
      </w:r>
      <w:r>
        <w:rPr>
          <w:rFonts w:ascii="仿宋" w:eastAsia="仿宋" w:hAnsi="仿宋" w:hint="eastAsia"/>
          <w:sz w:val="24"/>
        </w:rPr>
        <w:t>12</w:t>
      </w:r>
    </w:p>
    <w:p>
      <w:pPr>
        <w:pStyle w:val="20"/>
        <w:tabs>
          <w:tab w:val="right" w:leader="dot" w:pos="8296"/>
        </w:tabs>
        <w:adjustRightInd w:val="0"/>
        <w:snapToGrid w:val="0"/>
        <w:spacing w:before="0" w:line="440" w:lineRule="exact"/>
        <w:ind w:left="0"/>
        <w:jc w:val="center"/>
        <w:rPr>
          <w:rFonts w:eastAsia="仿宋" w:cs="Arial" w:hint="eastAsia"/>
          <w:sz w:val="24"/>
          <w:szCs w:val="24"/>
          <w:lang w:val="en-US" w:eastAsia="zh-CN"/>
        </w:rPr>
      </w:pPr>
      <w:r>
        <w:rPr>
          <w:rFonts w:hint="eastAsia"/>
          <w:sz w:val="24"/>
        </w:rPr>
        <w:t>第三部分</w:t>
      </w:r>
      <w:r>
        <w:rPr>
          <w:sz w:val="24"/>
        </w:rPr>
        <w:t xml:space="preserve"> </w:t>
      </w:r>
      <w:r>
        <w:rPr>
          <w:rFonts w:hint="eastAsia"/>
          <w:sz w:val="24"/>
        </w:rPr>
        <w:t>名词解释</w:t>
      </w:r>
      <w:r>
        <w:rPr>
          <w:sz w:val="24"/>
        </w:rPr>
        <w:t>………………………………………………………………</w:t>
      </w:r>
      <w:r>
        <w:rPr>
          <w:rFonts w:hint="eastAsia"/>
          <w:sz w:val="24"/>
          <w:lang w:val="en-US" w:eastAsia="zh-CN"/>
        </w:rPr>
        <w:t xml:space="preserve">  </w:t>
      </w:r>
      <w:r>
        <w:rPr>
          <w:rFonts w:hint="eastAsia"/>
          <w:sz w:val="24"/>
        </w:rPr>
        <w:t>2</w:t>
      </w:r>
      <w:r>
        <w:rPr>
          <w:rFonts w:hint="eastAsia"/>
          <w:sz w:val="24"/>
          <w:lang w:val="en-US" w:eastAsia="zh-CN"/>
        </w:rPr>
        <w:t>6</w:t>
      </w:r>
    </w:p>
    <w:p>
      <w:pPr>
        <w:pStyle w:val="20"/>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p>
    <w:p>
      <w:pPr>
        <w:pStyle w:val="21"/>
        <w:tabs>
          <w:tab w:val="right" w:leader="dot" w:pos="8296"/>
        </w:tabs>
        <w:adjustRightInd w:val="0"/>
        <w:snapToGrid w:val="0"/>
        <w:spacing w:line="440" w:lineRule="exact"/>
        <w:jc w:val="left"/>
        <w:rPr>
          <w:rFonts w:ascii="仿宋" w:eastAsia="宋体" w:cs="Arial" w:hAnsi="仿宋" w:hint="eastAsia"/>
          <w:sz w:val="24"/>
          <w:lang w:val="en-US" w:eastAsia="zh-CN"/>
        </w:rPr>
      </w:pPr>
      <w:r>
        <w:rPr>
          <w:rFonts w:hint="eastAsia"/>
          <w:sz w:val="24"/>
        </w:rPr>
        <w:t>附件</w:t>
      </w:r>
      <w:r>
        <w:rPr>
          <w:sz w:val="24"/>
        </w:rPr>
        <w:t>1…………………………………………………………………………</w:t>
      </w:r>
      <w:r>
        <w:rPr>
          <w:rFonts w:hint="eastAsia"/>
          <w:sz w:val="24"/>
        </w:rPr>
        <w:t>..</w:t>
      </w:r>
      <w:r>
        <w:rPr>
          <w:sz w:val="24"/>
        </w:rPr>
        <w:t>2</w:t>
      </w:r>
      <w:r>
        <w:rPr>
          <w:rFonts w:hint="eastAsia"/>
          <w:sz w:val="24"/>
          <w:lang w:val="en-US" w:eastAsia="zh-CN"/>
        </w:rPr>
        <w:t>8</w:t>
      </w:r>
    </w:p>
    <w:p>
      <w:pPr>
        <w:pStyle w:val="21"/>
        <w:tabs>
          <w:tab w:val="right" w:leader="dot" w:pos="8296"/>
        </w:tabs>
        <w:adjustRightInd w:val="0"/>
        <w:snapToGrid w:val="0"/>
        <w:spacing w:line="440" w:lineRule="exact"/>
        <w:jc w:val="left"/>
        <w:rPr>
          <w:rFonts w:ascii="仿宋" w:eastAsia="宋体" w:cs="Arial" w:hAnsi="仿宋"/>
          <w:sz w:val="24"/>
          <w:lang w:val="en-US" w:eastAsia="zh-CN"/>
        </w:rPr>
      </w:pPr>
      <w:r>
        <w:rPr>
          <w:rFonts w:hint="eastAsia"/>
          <w:sz w:val="24"/>
        </w:rPr>
        <w:t>附件</w:t>
      </w:r>
      <w:r>
        <w:rPr>
          <w:sz w:val="24"/>
        </w:rPr>
        <w:t xml:space="preserve">2……………………………………………………………………… </w:t>
      </w:r>
      <w:r>
        <w:rPr>
          <w:rFonts w:hint="eastAsia"/>
          <w:sz w:val="24"/>
        </w:rPr>
        <w:t xml:space="preserve">  </w:t>
      </w:r>
      <w:r>
        <w:rPr>
          <w:rFonts w:hint="eastAsia"/>
          <w:sz w:val="24"/>
          <w:lang w:val="en-US" w:eastAsia="zh-CN"/>
        </w:rPr>
        <w:t>33</w:t>
      </w:r>
    </w:p>
    <w:p>
      <w:pPr>
        <w:pStyle w:val="20"/>
        <w:tabs>
          <w:tab w:val="right" w:leader="dot" w:pos="8296"/>
        </w:tabs>
        <w:adjustRightInd w:val="0"/>
        <w:snapToGrid w:val="0"/>
        <w:spacing w:before="0" w:line="440" w:lineRule="exact"/>
        <w:jc w:val="left"/>
        <w:rPr>
          <w:rFonts w:eastAsia="仿宋" w:cs="Arial"/>
          <w:sz w:val="24"/>
          <w:szCs w:val="24"/>
          <w:lang w:val="en-US" w:eastAsia="zh-CN"/>
        </w:rPr>
      </w:pPr>
      <w:r>
        <w:rPr>
          <w:rFonts w:hint="eastAsia"/>
          <w:sz w:val="24"/>
        </w:rPr>
        <w:t>第五部分</w:t>
      </w:r>
      <w:r>
        <w:rPr>
          <w:sz w:val="24"/>
        </w:rPr>
        <w:t xml:space="preserve"> </w:t>
      </w:r>
      <w:r>
        <w:rPr>
          <w:rFonts w:hint="eastAsia"/>
          <w:sz w:val="24"/>
        </w:rPr>
        <w:t>附表</w:t>
      </w:r>
      <w:r>
        <w:rPr>
          <w:sz w:val="24"/>
        </w:rPr>
        <w:t>……………………………………………………………………</w:t>
      </w:r>
      <w:r>
        <w:rPr>
          <w:rFonts w:hint="eastAsia"/>
          <w:sz w:val="24"/>
        </w:rPr>
        <w:t>.</w:t>
      </w:r>
      <w:r>
        <w:rPr>
          <w:rFonts w:hint="eastAsia"/>
          <w:sz w:val="24"/>
          <w:lang w:val="en-US" w:eastAsia="zh-CN"/>
        </w:rPr>
        <w:t>58</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一、</w:t>
      </w:r>
      <w:r>
        <w:rPr>
          <w:rFonts w:hint="eastAsia"/>
          <w:sz w:val="24"/>
        </w:rPr>
        <w:t>收入支出决算总表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二、</w:t>
      </w:r>
      <w:r>
        <w:rPr>
          <w:rFonts w:hint="eastAsia"/>
          <w:sz w:val="24"/>
        </w:rPr>
        <w:t>收入</w:t>
      </w:r>
      <w:r>
        <w:rPr>
          <w:rFonts w:ascii="仿宋" w:eastAsia="仿宋" w:hAnsi="仿宋" w:hint="eastAsia"/>
          <w:sz w:val="24"/>
        </w:rPr>
        <w:t>决算</w:t>
      </w:r>
      <w:r>
        <w:rPr>
          <w:rFonts w:hint="eastAsia"/>
          <w:sz w:val="24"/>
        </w:rPr>
        <w:t>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三、</w:t>
      </w:r>
      <w:r>
        <w:rPr>
          <w:rFonts w:hint="eastAsia"/>
          <w:sz w:val="24"/>
        </w:rPr>
        <w:t>支出</w:t>
      </w:r>
      <w:r>
        <w:rPr>
          <w:rFonts w:ascii="仿宋" w:eastAsia="仿宋" w:hAnsi="仿宋" w:hint="eastAsia"/>
          <w:sz w:val="24"/>
        </w:rPr>
        <w:t>决算</w:t>
      </w:r>
      <w:r>
        <w:rPr>
          <w:rFonts w:hint="eastAsia"/>
          <w:sz w:val="24"/>
        </w:rPr>
        <w:t>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四、</w:t>
      </w:r>
      <w:r>
        <w:rPr>
          <w:rFonts w:hint="eastAsia"/>
          <w:sz w:val="24"/>
        </w:rPr>
        <w:t>财政拨款收入支出决算总表</w:t>
      </w:r>
    </w:p>
    <w:p>
      <w:pPr>
        <w:pStyle w:val="21"/>
        <w:tabs>
          <w:tab w:val="right" w:leader="dot" w:pos="8296"/>
        </w:tabs>
        <w:adjustRightInd w:val="0"/>
        <w:snapToGrid w:val="0"/>
        <w:spacing w:line="440" w:lineRule="exact"/>
        <w:jc w:val="left"/>
        <w:rPr>
          <w:rFonts w:ascii="仿宋" w:eastAsia="仿宋" w:hAnsi="仿宋"/>
          <w:sz w:val="24"/>
        </w:rPr>
      </w:pPr>
      <w:r>
        <w:rPr>
          <w:rFonts w:ascii="仿宋" w:eastAsia="仿宋" w:hAnsi="仿宋" w:hint="eastAsia"/>
          <w:sz w:val="24"/>
        </w:rPr>
        <w:t>五、财政拨款支出决算明细表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六、</w:t>
      </w:r>
      <w:r>
        <w:rPr>
          <w:rFonts w:hint="eastAsia"/>
          <w:sz w:val="24"/>
        </w:rPr>
        <w:t>一般公共预算财政拨款支出决算表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七、</w:t>
      </w:r>
      <w:r>
        <w:rPr>
          <w:rFonts w:hint="eastAsia"/>
          <w:sz w:val="24"/>
        </w:rPr>
        <w:t>一般公共预算财政拨款支出决算明细表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八、</w:t>
      </w:r>
      <w:r>
        <w:rPr>
          <w:rFonts w:hint="eastAsia"/>
          <w:sz w:val="24"/>
        </w:rPr>
        <w:t>一般公共预算财政拨款基本支出决算表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九、</w:t>
      </w:r>
      <w:r>
        <w:rPr>
          <w:rFonts w:hint="eastAsia"/>
          <w:sz w:val="24"/>
        </w:rPr>
        <w:t>一般公共预算财政拨款项目支出决算表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w:t>
      </w:r>
      <w:r>
        <w:rPr>
          <w:rFonts w:hint="eastAsia"/>
          <w:sz w:val="24"/>
        </w:rPr>
        <w:t>一般公共预算财政拨款“三公”经费支出决算表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十一、</w:t>
      </w:r>
      <w:r>
        <w:rPr>
          <w:rFonts w:hint="eastAsia"/>
          <w:sz w:val="24"/>
        </w:rPr>
        <w:t>政府性基金预算财政拨款收入支出决算表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十二、</w:t>
      </w:r>
      <w:r>
        <w:rPr>
          <w:rFonts w:hint="eastAsia"/>
          <w:sz w:val="24"/>
        </w:rPr>
        <w:t>政府性基金预算财政拨款“三公”经费支出决算表</w:t>
      </w:r>
    </w:p>
    <w:p>
      <w:pPr>
        <w:pStyle w:val="21"/>
        <w:tabs>
          <w:tab w:val="right" w:leader="dot" w:pos="8296"/>
        </w:tabs>
        <w:adjustRightInd w:val="0"/>
        <w:snapToGrid w:val="0"/>
        <w:spacing w:line="440" w:lineRule="exact"/>
        <w:jc w:val="left"/>
        <w:rPr>
          <w:rFonts w:ascii="仿宋" w:eastAsia="仿宋" w:cs="Arial" w:hAnsi="仿宋"/>
          <w:sz w:val="24"/>
        </w:rPr>
      </w:pPr>
      <w:r>
        <w:rPr>
          <w:rFonts w:ascii="仿宋" w:eastAsia="仿宋" w:hAnsi="仿宋" w:hint="eastAsia"/>
          <w:sz w:val="24"/>
        </w:rPr>
        <w:t>十三、</w:t>
      </w:r>
      <w:r>
        <w:rPr>
          <w:rFonts w:hint="eastAsia"/>
          <w:sz w:val="24"/>
        </w:rPr>
        <w:t>国有资本经营预算支出决算表</w:t>
      </w:r>
    </w:p>
    <w:p>
      <w:pPr>
        <w:widowControl/>
        <w:adjustRightInd w:val="0"/>
        <w:snapToGrid w:val="0"/>
        <w:spacing w:line="440" w:lineRule="exact"/>
        <w:ind w:firstLineChars="550" w:firstLine="1320"/>
        <w:jc w:val="left"/>
        <w:rPr>
          <w:rFonts w:ascii="仿宋" w:eastAsia="仿宋" w:hAnsi="仿宋"/>
          <w:color w:val="FF0000"/>
          <w:sz w:val="24"/>
        </w:rPr>
        <w:sectPr>
          <w:headerReference w:type="default" r:id="rId2"/>
          <w:footerReference w:type="default" r:id="rId3"/>
          <w:pgSz w:w="11906" w:h="16838"/>
          <w:pgMar w:top="1440" w:right="1800" w:bottom="1440" w:left="1800" w:header="851" w:footer="992" w:gutter="0"/>
          <w:pgNumType w:fmt="numberInDash" w:start="1"/>
          <w:cols w:num="1" w:space="425"/>
          <w:docGrid w:type="lines" w:linePitch="312" w:charSpace="0"/>
        </w:sectPr>
      </w:pPr>
    </w:p>
    <w:p>
      <w:pPr>
        <w:pStyle w:val="1"/>
        <w:jc w:val="center"/>
        <w:rPr>
          <w:rStyle w:val="1Char"/>
          <w:rFonts w:ascii="黑体" w:eastAsia="黑体" w:hAnsi="黑体"/>
          <w:b/>
          <w:bCs w:val="0"/>
        </w:rPr>
      </w:pPr>
      <w:bookmarkStart w:id="13" w:name="_Toc15396599"/>
      <w:bookmarkStart w:id="14" w:name="_Toc15377196"/>
      <w:r>
        <w:rPr>
          <w:rFonts w:ascii="黑体" w:eastAsia="黑体" w:hAnsi="黑体" w:hint="eastAsia"/>
          <w:b w:val="0"/>
        </w:rPr>
        <w:t xml:space="preserve">第一部分 </w:t>
      </w:r>
      <w:r>
        <w:rPr>
          <w:rStyle w:val="1Char"/>
          <w:rFonts w:ascii="黑体" w:eastAsia="黑体" w:hAnsi="黑体" w:hint="eastAsia"/>
          <w:b w:val="0"/>
          <w:bCs w:val="0"/>
        </w:rPr>
        <w:t>部门概况</w:t>
      </w:r>
      <w:bookmarkEnd w:id="13"/>
      <w:bookmarkEnd w:id="14"/>
    </w:p>
    <w:p>
      <w:pPr>
        <w:widowControl/>
        <w:jc w:val="left"/>
        <w:rPr>
          <w:rFonts w:ascii="黑体" w:eastAsia="黑体"/>
          <w:color w:val="000000"/>
          <w:sz w:val="32"/>
          <w:szCs w:val="32"/>
        </w:rPr>
      </w:pPr>
    </w:p>
    <w:p>
      <w:pPr>
        <w:pStyle w:val="2"/>
        <w:rPr>
          <w:rStyle w:val="2Char"/>
          <w:rFonts w:ascii="仿宋" w:eastAsia="仿宋" w:hAnsi="仿宋"/>
          <w:b w:val="0"/>
          <w:bCs w:val="0"/>
        </w:rPr>
      </w:pPr>
      <w:bookmarkStart w:id="15" w:name="_Toc15396600"/>
      <w:bookmarkStart w:id="16" w:name="_Toc15377197"/>
      <w:r>
        <w:rPr>
          <w:rFonts w:ascii="黑体" w:eastAsia="黑体" w:hAnsi="黑体" w:hint="eastAsia"/>
          <w:b w:val="0"/>
          <w:color w:val="000000"/>
        </w:rPr>
        <w:t>一、基</w:t>
      </w:r>
      <w:r>
        <w:rPr>
          <w:rStyle w:val="2Char"/>
          <w:rFonts w:ascii="黑体" w:eastAsia="黑体" w:hAnsi="黑体" w:hint="eastAsia"/>
          <w:b w:val="0"/>
          <w:bCs w:val="0"/>
        </w:rPr>
        <w:t>本职能及主要工作</w:t>
      </w:r>
      <w:bookmarkEnd w:id="15"/>
      <w:bookmarkEnd w:id="16"/>
    </w:p>
    <w:p>
      <w:pPr>
        <w:pStyle w:val="15"/>
        <w:adjustRightInd w:val="0"/>
        <w:snapToGrid w:val="0"/>
        <w:spacing w:beforeLines="0" w:before="93" w:line="600" w:lineRule="exact"/>
        <w:ind w:firstLineChars="209" w:firstLine="672"/>
        <w:outlineLvl w:val="2"/>
        <w:rPr>
          <w:rStyle w:val="2Char"/>
          <w:rFonts w:ascii="黑体" w:eastAsia="黑体" w:hAnsi="黑体"/>
        </w:rPr>
      </w:pPr>
      <w:bookmarkStart w:id="17" w:name="_Toc15377199"/>
      <w:bookmarkStart w:id="18" w:name="_Toc15378446"/>
      <w:r>
        <w:rPr>
          <w:rFonts w:ascii="仿宋" w:eastAsia="仿宋" w:hAnsi="仿宋" w:hint="eastAsia"/>
          <w:bCs/>
          <w:color w:val="000000"/>
          <w:sz w:val="32"/>
          <w:szCs w:val="32"/>
        </w:rPr>
        <w:t>（一）</w:t>
      </w:r>
      <w:r>
        <w:rPr>
          <w:rFonts w:ascii="黑体" w:eastAsia="黑体" w:hAnsi="黑体" w:hint="eastAsia"/>
          <w:color w:val="000000"/>
        </w:rPr>
        <w:t>基</w:t>
      </w:r>
      <w:r>
        <w:rPr>
          <w:rStyle w:val="2Char"/>
          <w:rFonts w:ascii="黑体" w:eastAsia="黑体" w:hAnsi="黑体" w:hint="eastAsia"/>
        </w:rPr>
        <w:t>本职能</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Style w:val="2Char"/>
          <w:rFonts w:ascii="黑体" w:eastAsia="黑体" w:hAnsi="黑体" w:hint="eastAsia"/>
        </w:rPr>
        <w:t>1.</w:t>
      </w:r>
      <w:r>
        <w:rPr>
          <w:rFonts w:ascii="仿宋" w:eastAsia="仿宋" w:hAnsi="仿宋" w:hint="eastAsia"/>
          <w:bCs/>
          <w:color w:val="000000"/>
          <w:sz w:val="32"/>
          <w:szCs w:val="32"/>
        </w:rPr>
        <w:t>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5.按规定对区管党政主要领导干部及其他单位主要负责人实施经济责任审计和自然资源资产离任(任中)审计。</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6.组织实施对国家财经法律法规、规章、政策和宏观调控措施执行情况、财政预算管理及国有资产管理使用等与区级财政收支有关的特定事项进行专项审计调查。</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7.依法检查审计决定执行情况，督促整改审计查出的问题，依法办理被审计单位对审计决定提请行政复议、行政诉讼或区政府裁决中的有关事项，协助配合有关部门查处相关重大案件。</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8.指导和监督内部审计工作，核查社会审计机构对依法属于审计监督对象的单位出具的相关审计报告。</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9.依法组织开展国际组织和外国政府援助、贷款项目审计。</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10.组织开展信息技术在审计领域的应用。</w:t>
      </w:r>
    </w:p>
    <w:p>
      <w:pPr>
        <w:pStyle w:val="15"/>
        <w:adjustRightInd w:val="0"/>
        <w:snapToGrid w:val="0"/>
        <w:spacing w:beforeLines="0" w:before="93" w:line="600" w:lineRule="exact"/>
        <w:ind w:firstLineChars="209" w:firstLine="672"/>
        <w:outlineLvl w:val="2"/>
        <w:rPr>
          <w:rFonts w:ascii="仿宋" w:eastAsia="仿宋" w:hAnsi="仿宋"/>
          <w:bCs/>
          <w:color w:val="000000"/>
          <w:sz w:val="32"/>
          <w:szCs w:val="32"/>
        </w:rPr>
      </w:pPr>
      <w:r>
        <w:rPr>
          <w:rFonts w:ascii="仿宋" w:eastAsia="仿宋" w:hAnsi="仿宋" w:hint="eastAsia"/>
          <w:bCs/>
          <w:color w:val="000000"/>
          <w:sz w:val="32"/>
          <w:szCs w:val="32"/>
        </w:rPr>
        <w:t>11.负责职责范围内的安全生产和职业健康、生态环境保护、审批服务便民化等工作。</w:t>
      </w:r>
    </w:p>
    <w:p>
      <w:pPr>
        <w:spacing w:line="576" w:lineRule="exact"/>
        <w:ind w:firstLineChars="200" w:firstLine="640"/>
        <w:outlineLvl w:val="1"/>
        <w:rPr>
          <w:rFonts w:ascii="仿宋" w:eastAsia="仿宋" w:hAnsi="仿宋"/>
          <w:bCs/>
          <w:color w:val="000000"/>
          <w:kern w:val="0"/>
          <w:sz w:val="32"/>
          <w:szCs w:val="32"/>
        </w:rPr>
      </w:pPr>
      <w:r>
        <w:rPr>
          <w:rFonts w:ascii="仿宋" w:eastAsia="仿宋" w:hAnsi="仿宋" w:hint="eastAsia"/>
          <w:bCs/>
          <w:color w:val="000000"/>
          <w:kern w:val="0"/>
          <w:sz w:val="32"/>
          <w:szCs w:val="32"/>
        </w:rPr>
        <w:t>12.完成区委、区政府交办的其他任务。</w:t>
      </w:r>
    </w:p>
    <w:p>
      <w:pPr>
        <w:spacing w:line="576" w:lineRule="exact"/>
        <w:ind w:firstLineChars="200" w:firstLine="640"/>
        <w:rPr>
          <w:rFonts w:ascii="仿宋" w:eastAsia="仿宋" w:hAnsi="仿宋" w:hint="eastAsia"/>
          <w:sz w:val="32"/>
          <w:szCs w:val="32"/>
          <w:lang w:eastAsia="zh-CN"/>
        </w:rPr>
      </w:pPr>
      <w:r>
        <w:rPr>
          <w:rFonts w:ascii="仿宋" w:eastAsia="仿宋" w:hAnsi="仿宋" w:hint="eastAsia"/>
          <w:bCs/>
          <w:color w:val="000000"/>
          <w:sz w:val="32"/>
          <w:szCs w:val="32"/>
        </w:rPr>
        <w:t>（二）</w:t>
      </w:r>
      <w:r>
        <w:rPr>
          <w:rFonts w:ascii="仿宋" w:eastAsia="仿宋" w:hAnsi="仿宋" w:hint="eastAsia"/>
          <w:bCs/>
          <w:color w:val="000000"/>
          <w:sz w:val="32"/>
          <w:szCs w:val="32"/>
          <w:lang w:eastAsia="zh-CN"/>
        </w:rPr>
        <w:t>区审计局</w:t>
      </w:r>
      <w:r>
        <w:rPr>
          <w:rFonts w:ascii="仿宋" w:eastAsia="仿宋" w:hAnsi="仿宋" w:hint="eastAsia"/>
          <w:sz w:val="32"/>
          <w:szCs w:val="32"/>
        </w:rPr>
        <w:t>2020年完成审计项目123个，其中计划内项目26个，交办项目97个</w:t>
      </w:r>
      <w:r>
        <w:rPr>
          <w:rFonts w:ascii="仿宋" w:eastAsia="仿宋" w:hAnsi="仿宋" w:hint="eastAsia"/>
          <w:sz w:val="32"/>
          <w:szCs w:val="32"/>
          <w:lang w:val="en-US" w:eastAsia="zh-CN"/>
        </w:rPr>
        <w:t>,</w:t>
      </w:r>
      <w:r>
        <w:rPr>
          <w:rFonts w:ascii="仿宋" w:eastAsia="仿宋" w:hAnsi="仿宋" w:hint="eastAsia"/>
          <w:sz w:val="32"/>
          <w:szCs w:val="32"/>
        </w:rPr>
        <w:t>审计监督资金180.41 亿元，债权债务核减</w:t>
      </w:r>
      <w:r>
        <w:rPr>
          <w:rFonts w:ascii="仿宋" w:eastAsia="仿宋" w:hAnsi="仿宋"/>
          <w:sz w:val="32"/>
          <w:szCs w:val="32"/>
        </w:rPr>
        <w:t>上报债务</w:t>
      </w:r>
      <w:r>
        <w:rPr>
          <w:rFonts w:ascii="仿宋" w:eastAsia="仿宋" w:hAnsi="仿宋" w:hint="eastAsia"/>
          <w:sz w:val="32"/>
          <w:szCs w:val="32"/>
        </w:rPr>
        <w:t>1.43亿，通过审计，为财政增收节支6860,21万元</w:t>
      </w:r>
      <w:r>
        <w:rPr>
          <w:rFonts w:ascii="仿宋" w:eastAsia="仿宋" w:hAnsi="仿宋" w:hint="eastAsia"/>
          <w:sz w:val="32"/>
          <w:szCs w:val="32"/>
          <w:lang w:val="en-US" w:eastAsia="zh-CN"/>
        </w:rPr>
        <w:t>,</w:t>
      </w:r>
      <w:r>
        <w:rPr>
          <w:rFonts w:ascii="仿宋" w:eastAsia="仿宋" w:hAnsi="仿宋" w:hint="eastAsia"/>
          <w:sz w:val="32"/>
          <w:szCs w:val="32"/>
        </w:rPr>
        <w:t>查处各类违规资金905万元，管理不规范资金18756万元，上缴财政资金1142万元，归还原渠道资金2246万元，调账处理2246万元，提出审计建议并采纳159条，《审计要情》《审计专报》被区委区政府主要领导肯定性批示11件，移送纪检监察等机关案件线索8件。2020年2月，</w:t>
      </w:r>
      <w:r>
        <w:rPr>
          <w:rFonts w:ascii="仿宋" w:eastAsia="仿宋" w:hAnsi="仿宋" w:hint="eastAsia"/>
          <w:sz w:val="32"/>
          <w:szCs w:val="32"/>
          <w:lang w:eastAsia="zh-CN"/>
        </w:rPr>
        <w:t>区审计</w:t>
      </w:r>
      <w:r>
        <w:rPr>
          <w:rFonts w:ascii="仿宋" w:eastAsia="仿宋" w:hAnsi="仿宋" w:hint="eastAsia"/>
          <w:sz w:val="32"/>
          <w:szCs w:val="32"/>
        </w:rPr>
        <w:t>局荣获四川省审计系统先进集体，组织实施的2015至2017年度易地扶贫搬迁等3项扶贫资金专项审计调查项目荣获“2019年度省审计厅优秀审计项目一等奖”</w:t>
      </w:r>
      <w:r>
        <w:rPr>
          <w:rFonts w:ascii="仿宋" w:eastAsia="仿宋" w:hAnsi="仿宋" w:hint="eastAsia"/>
          <w:sz w:val="32"/>
          <w:szCs w:val="32"/>
          <w:lang w:eastAsia="zh-CN"/>
        </w:rPr>
        <w:t>。</w:t>
      </w:r>
    </w:p>
    <w:p>
      <w:pPr>
        <w:pStyle w:val="2"/>
      </w:pPr>
      <w:bookmarkStart w:id="19" w:name="_Toc15377200"/>
      <w:bookmarkStart w:id="20" w:name="_Toc15396601"/>
      <w:bookmarkEnd w:id="17"/>
      <w:bookmarkEnd w:id="18"/>
      <w:r>
        <w:rPr>
          <w:rFonts w:ascii="黑体" w:eastAsia="黑体" w:hint="eastAsia"/>
          <w:b w:val="0"/>
          <w:color w:val="000000"/>
        </w:rPr>
        <w:t>二、</w:t>
      </w:r>
      <w:r>
        <w:rPr>
          <w:rFonts w:ascii="黑体" w:eastAsia="黑体" w:hAnsi="黑体" w:hint="eastAsia"/>
          <w:b w:val="0"/>
          <w:color w:val="000000"/>
        </w:rPr>
        <w:t>机</w:t>
      </w:r>
      <w:r>
        <w:rPr>
          <w:rStyle w:val="2Char"/>
          <w:rFonts w:ascii="黑体" w:eastAsia="黑体" w:hAnsi="黑体" w:hint="eastAsia"/>
          <w:b w:val="0"/>
          <w:bCs w:val="0"/>
        </w:rPr>
        <w:t>构设置</w:t>
      </w:r>
      <w:bookmarkEnd w:id="19"/>
      <w:bookmarkEnd w:id="20"/>
    </w:p>
    <w:p>
      <w:pPr>
        <w:pStyle w:val="28"/>
        <w:spacing w:line="576" w:lineRule="exact"/>
        <w:ind w:left="0" w:firstLineChars="200" w:firstLine="640"/>
        <w:jc w:val="left"/>
        <w:rPr>
          <w:rFonts w:ascii="仿宋" w:eastAsia="仿宋" w:cs="Times New Roman" w:hAnsi="仿宋" w:hint="eastAsia"/>
          <w:kern w:val="2"/>
          <w:sz w:val="32"/>
          <w:szCs w:val="32"/>
          <w:lang w:val="en-US" w:eastAsia="zh-CN" w:bidi="ar-SA"/>
        </w:rPr>
      </w:pPr>
      <w:bookmarkStart w:id="21" w:name="_Toc15377201"/>
      <w:bookmarkStart w:id="22" w:name="_Toc15306275"/>
      <w:bookmarkStart w:id="23" w:name="_Toc15378448"/>
      <w:bookmarkStart w:id="24" w:name="_Toc15377432"/>
      <w:r>
        <w:rPr>
          <w:rFonts w:ascii="仿宋" w:eastAsia="仿宋" w:cs="Times New Roman" w:hAnsi="仿宋" w:hint="eastAsia"/>
          <w:kern w:val="2"/>
          <w:sz w:val="32"/>
          <w:szCs w:val="32"/>
          <w:lang w:val="en-US" w:eastAsia="zh-CN" w:bidi="ar-SA"/>
        </w:rPr>
        <w:t>1.区审计局下属二级单位0个，其中行政单位0个，参照公务员法管理的事业单位0个，其他事业单位0个。</w:t>
      </w:r>
    </w:p>
    <w:p>
      <w:pPr>
        <w:pStyle w:val="15"/>
        <w:adjustRightInd w:val="0"/>
        <w:snapToGrid w:val="0"/>
        <w:spacing w:beforeLines="0" w:before="93" w:line="576" w:lineRule="exact"/>
        <w:ind w:left="0" w:firstLineChars="200" w:firstLine="640"/>
        <w:rPr>
          <w:rFonts w:ascii="仿宋" w:eastAsia="仿宋" w:cs="Times New Roman" w:hAnsi="仿宋" w:hint="eastAsia"/>
          <w:kern w:val="2"/>
          <w:sz w:val="32"/>
          <w:szCs w:val="32"/>
          <w:lang w:val="en-US" w:eastAsia="zh-CN" w:bidi="ar-SA"/>
        </w:rPr>
      </w:pPr>
      <w:r>
        <w:rPr>
          <w:rFonts w:ascii="仿宋" w:eastAsia="仿宋" w:cs="Times New Roman" w:hAnsi="仿宋" w:hint="eastAsia"/>
          <w:kern w:val="2"/>
          <w:sz w:val="32"/>
          <w:szCs w:val="32"/>
          <w:lang w:val="en-US" w:eastAsia="zh-CN" w:bidi="ar-SA"/>
        </w:rPr>
        <w:t>2.纳入区审计局2020年度部门决算编制范围的二级预算单位0个。</w:t>
      </w:r>
    </w:p>
    <w:p>
      <w:pPr>
        <w:pStyle w:val="28"/>
        <w:spacing w:line="576" w:lineRule="exact"/>
        <w:ind w:left="0" w:firstLineChars="200" w:firstLine="640"/>
        <w:rPr>
          <w:rFonts w:ascii="仿宋" w:eastAsia="仿宋" w:cs="Times New Roman" w:hAnsi="仿宋" w:hint="eastAsia"/>
          <w:kern w:val="2"/>
          <w:sz w:val="32"/>
          <w:szCs w:val="32"/>
          <w:lang w:val="en-US" w:eastAsia="zh-CN" w:bidi="ar-SA"/>
        </w:rPr>
      </w:pPr>
      <w:r>
        <w:rPr>
          <w:rFonts w:ascii="仿宋" w:eastAsia="仿宋" w:cs="Times New Roman" w:hAnsi="仿宋" w:hint="eastAsia"/>
          <w:kern w:val="2"/>
          <w:sz w:val="32"/>
          <w:szCs w:val="32"/>
          <w:lang w:val="en-US" w:eastAsia="zh-CN" w:bidi="ar-SA"/>
        </w:rPr>
        <w:t>3.区审计局2020年末实有人数34人，其中：公务员12人、参公3人、机关工勤2人、全额事业人员17人。</w:t>
      </w:r>
      <w:bookmarkEnd w:id="21"/>
      <w:bookmarkEnd w:id="22"/>
      <w:bookmarkEnd w:id="23"/>
      <w:bookmarkEnd w:id="24"/>
    </w:p>
    <w:p>
      <w:pPr>
        <w:pStyle w:val="28"/>
        <w:numPr>
          <w:ilvl w:val="0"/>
          <w:numId w:val="1"/>
        </w:numPr>
        <w:spacing w:line="576" w:lineRule="exact"/>
        <w:ind w:firstLineChars="0"/>
        <w:rPr>
          <w:rFonts w:ascii="仿宋" w:eastAsia="仿宋" w:hAnsi="仿宋"/>
          <w:sz w:val="28"/>
          <w:szCs w:val="28"/>
        </w:rPr>
      </w:pPr>
      <w:r>
        <w:rPr>
          <w:rFonts w:ascii="仿宋" w:eastAsia="仿宋" w:hAnsi="仿宋"/>
          <w:color w:val="000000"/>
          <w:sz w:val="32"/>
          <w:szCs w:val="32"/>
        </w:rPr>
        <w:br w:type="page"/>
      </w:r>
    </w:p>
    <w:p>
      <w:pPr>
        <w:pStyle w:val="1"/>
        <w:ind w:right="440"/>
        <w:jc w:val="right"/>
        <w:rPr>
          <w:rStyle w:val="1Char"/>
          <w:rFonts w:ascii="黑体" w:eastAsia="黑体" w:hAnsi="黑体"/>
          <w:b w:val="0"/>
          <w:bCs w:val="0"/>
        </w:rPr>
      </w:pPr>
      <w:bookmarkStart w:id="25" w:name="_Toc15377204"/>
      <w:bookmarkStart w:id="26" w:name="_Toc15396602"/>
      <w:r>
        <w:rPr>
          <w:rFonts w:ascii="黑体" w:eastAsia="黑体" w:hAnsi="黑体" w:hint="eastAsia"/>
          <w:b w:val="0"/>
          <w:color w:val="000000"/>
        </w:rPr>
        <w:t>第二部分</w:t>
      </w:r>
      <w:r>
        <w:rPr>
          <w:rFonts w:ascii="黑体" w:eastAsia="黑体" w:hAnsi="黑体" w:hint="eastAsia"/>
          <w:color w:val="000000"/>
        </w:rPr>
        <w:t xml:space="preserve"> </w:t>
      </w:r>
      <w:r>
        <w:rPr>
          <w:rStyle w:val="1Char"/>
          <w:rFonts w:ascii="黑体" w:eastAsia="黑体" w:hAnsi="黑体" w:hint="eastAsia"/>
          <w:b w:val="0"/>
          <w:bCs w:val="0"/>
        </w:rPr>
        <w:t>2020年度部门决算情况说明</w:t>
      </w:r>
      <w:bookmarkEnd w:id="25"/>
      <w:bookmarkEnd w:id="26"/>
    </w:p>
    <w:p/>
    <w:p>
      <w:pPr>
        <w:pStyle w:val="28"/>
        <w:numPr>
          <w:ilvl w:val="0"/>
          <w:numId w:val="2"/>
        </w:numPr>
        <w:spacing w:line="600" w:lineRule="exact"/>
        <w:ind w:firstLineChars="0"/>
        <w:outlineLvl w:val="1"/>
        <w:rPr>
          <w:rStyle w:val="2Char"/>
          <w:rFonts w:ascii="黑体" w:eastAsia="黑体" w:hAnsi="黑体"/>
          <w:b w:val="0"/>
        </w:rPr>
      </w:pPr>
      <w:bookmarkStart w:id="27" w:name="_Toc15396603"/>
      <w:bookmarkStart w:id="28" w:name="_Toc15377205"/>
      <w:r>
        <w:rPr>
          <w:rFonts w:ascii="黑体" w:eastAsia="黑体" w:hAnsi="黑体" w:hint="eastAsia"/>
          <w:color w:val="000000"/>
          <w:sz w:val="32"/>
          <w:szCs w:val="32"/>
        </w:rPr>
        <w:t>收</w:t>
      </w:r>
      <w:r>
        <w:rPr>
          <w:rStyle w:val="2Char"/>
          <w:rFonts w:ascii="黑体" w:eastAsia="黑体" w:hAnsi="黑体" w:hint="eastAsia"/>
          <w:b w:val="0"/>
        </w:rPr>
        <w:t>入支出决算总体情况说明</w:t>
      </w:r>
      <w:bookmarkEnd w:id="27"/>
      <w:bookmarkEnd w:id="28"/>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lang w:eastAsia="zh-CN"/>
        </w:rPr>
        <w:t>区审计局</w:t>
      </w:r>
      <w:r>
        <w:rPr>
          <w:rFonts w:ascii="仿宋" w:eastAsia="仿宋" w:hAnsi="仿宋" w:hint="eastAsia"/>
          <w:color w:val="000000"/>
          <w:sz w:val="32"/>
          <w:szCs w:val="32"/>
        </w:rPr>
        <w:t>2020年度收入1591.68万元，支出976.92万元。与2019年相比，收入增加了1048.91万元、支出增加了434.77万元，收入、支出各增长193.25%、80.22%。收入增加的主要原因：一是将政府投资审计聘请中介机构支付的服务费纳入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局预算内收入管理，二是将政府投资审计重大政策跟踪审计服务费支付纳入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局预算内收入管理，三是调入人员及政策性调资增加人员预算收入。支出增加的原因一是将政府投资审计聘请中介机构支付的服务费纳入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局预算内支出管理，二是将政府投资审计重大政策跟踪审计服务费支付纳入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局预算内支出管理，三是调入人员及政策性调资增加人员预算支出。</w:t>
      </w:r>
      <w:r>
        <w:rPr>
          <w:rFonts w:ascii="仿宋" w:eastAsia="仿宋" w:hAnsi="仿宋" w:hint="eastAsia"/>
          <w:color w:val="000000"/>
          <w:sz w:val="32"/>
          <w:szCs w:val="32"/>
          <w14:textFill>
            <w14:solidFill>
              <w14:srgbClr w14:val="000000"/>
            </w14:solidFill>
          </w14:textFill>
        </w:rPr>
        <w:t>（图</w:t>
      </w:r>
      <w:r>
        <w:rPr>
          <w:rFonts w:ascii="仿宋" w:eastAsia="仿宋" w:hAnsi="仿宋"/>
          <w:color w:val="000000"/>
          <w:sz w:val="32"/>
          <w:szCs w:val="32"/>
          <w14:textFill>
            <w14:solidFill>
              <w14:srgbClr w14:val="000000"/>
            </w14:solidFill>
          </w14:textFill>
        </w:rPr>
        <w:t>1</w:t>
      </w:r>
      <w:r>
        <w:rPr>
          <w:rFonts w:ascii="仿宋" w:eastAsia="仿宋" w:hAnsi="仿宋" w:hint="eastAsia"/>
          <w:color w:val="000000"/>
          <w:sz w:val="32"/>
          <w:szCs w:val="32"/>
          <w14:textFill>
            <w14:solidFill>
              <w14:srgbClr w14:val="000000"/>
            </w14:solidFill>
          </w14:textFill>
        </w:rPr>
        <w:t>：收、支决算总计变动情况图）（柱状图）</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color w:val="000000"/>
          <w:sz w:val="32"/>
          <w:szCs w:val="32"/>
          <w14:textFill>
            <w14:solidFill>
              <w14:srgbClr w14:val="000000"/>
            </w14:solidFill>
          </w14:textFill>
        </w:rPr>
        <w:drawing>
          <wp:anchor distT="0" distB="0" distL="114300" distR="114300" simplePos="0" relativeHeight="18" behindDoc="0" locked="0" layoutInCell="1" hidden="0" allowOverlap="1">
            <wp:simplePos x="0" y="0"/>
            <wp:positionH relativeFrom="column">
              <wp:posOffset>161925</wp:posOffset>
            </wp:positionH>
            <wp:positionV relativeFrom="paragraph">
              <wp:posOffset>267970</wp:posOffset>
            </wp:positionV>
            <wp:extent cx="5274310" cy="3076575"/>
            <wp:effectExtent l="0" t="0" r="0" b="0"/>
            <wp:wrapNone/>
            <wp:docPr id="1" name="图表 2"/>
            <wp:cNvGraphicFramePr>
              <a:graphicFrameLocks noChangeAspect="0"/>
            </wp:cNvGraphicFramePr>
            <a:graphic>
              <a:graphicData uri="http://schemas.openxmlformats.org/drawingml/2006/chart">
                <c:chart xmlns:c="http://schemas.openxmlformats.org/drawingml/2006/chart" r:id="rId5"/>
              </a:graphicData>
            </a:graphic>
          </wp:anchor>
        </w:drawing>
      </w:r>
    </w:p>
    <w:p>
      <w:pPr>
        <w:spacing w:line="600" w:lineRule="exact"/>
        <w:ind w:firstLineChars="200" w:firstLine="640"/>
        <w:jc w:val="left"/>
        <w:rPr>
          <w:rFonts w:ascii="仿宋_GB2312" w:eastAsia="仿宋_GB2312"/>
          <w:color w:val="000000"/>
          <w:sz w:val="32"/>
          <w:szCs w:val="32"/>
        </w:rPr>
      </w:pPr>
    </w:p>
    <w:p>
      <w:pPr>
        <w:spacing w:line="600" w:lineRule="exact"/>
        <w:ind w:left="640"/>
        <w:outlineLvl w:val="1"/>
        <w:rPr>
          <w:rFonts w:ascii="黑体" w:eastAsia="黑体" w:cs="Times New Roman" w:hAnsi="黑体"/>
          <w:bCs/>
          <w:sz w:val="32"/>
          <w:szCs w:val="32"/>
        </w:rPr>
      </w:pPr>
      <w:bookmarkStart w:id="29" w:name="_Toc15377206"/>
      <w:bookmarkStart w:id="30" w:name="_Toc15396604"/>
    </w:p>
    <w:p>
      <w:pPr>
        <w:spacing w:line="600" w:lineRule="exact"/>
        <w:ind w:left="640"/>
        <w:outlineLvl w:val="1"/>
        <w:rPr>
          <w:rFonts w:ascii="黑体" w:eastAsia="黑体" w:cs="Times New Roman" w:hAnsi="黑体"/>
          <w:bCs/>
          <w:sz w:val="32"/>
          <w:szCs w:val="32"/>
        </w:rPr>
      </w:pPr>
    </w:p>
    <w:p>
      <w:pPr>
        <w:spacing w:line="600" w:lineRule="exact"/>
        <w:ind w:left="640"/>
        <w:outlineLvl w:val="1"/>
        <w:rPr>
          <w:rFonts w:ascii="黑体" w:eastAsia="黑体" w:cs="Times New Roman" w:hAnsi="黑体"/>
          <w:bCs/>
          <w:sz w:val="32"/>
          <w:szCs w:val="32"/>
        </w:rPr>
      </w:pPr>
    </w:p>
    <w:p>
      <w:pPr>
        <w:spacing w:line="600" w:lineRule="exact"/>
        <w:ind w:left="640"/>
        <w:outlineLvl w:val="1"/>
        <w:rPr>
          <w:rFonts w:ascii="黑体" w:eastAsia="黑体" w:cs="Times New Roman" w:hAnsi="黑体"/>
          <w:bCs/>
          <w:sz w:val="32"/>
          <w:szCs w:val="32"/>
        </w:rPr>
      </w:pPr>
    </w:p>
    <w:p>
      <w:pPr>
        <w:spacing w:line="600" w:lineRule="exact"/>
        <w:ind w:left="640"/>
        <w:outlineLvl w:val="1"/>
        <w:rPr>
          <w:rFonts w:ascii="黑体" w:eastAsia="黑体" w:cs="Times New Roman" w:hAnsi="黑体"/>
          <w:bCs/>
          <w:sz w:val="32"/>
          <w:szCs w:val="32"/>
        </w:rPr>
      </w:pPr>
    </w:p>
    <w:p>
      <w:pPr>
        <w:spacing w:line="600" w:lineRule="exact"/>
        <w:ind w:left="640"/>
        <w:outlineLvl w:val="1"/>
        <w:rPr>
          <w:rFonts w:ascii="黑体" w:eastAsia="黑体" w:cs="Times New Roman" w:hAnsi="黑体"/>
          <w:bCs/>
          <w:sz w:val="32"/>
          <w:szCs w:val="32"/>
        </w:rPr>
      </w:pPr>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二、收</w:t>
      </w:r>
      <w:r>
        <w:rPr>
          <w:rStyle w:val="2Char"/>
          <w:rFonts w:ascii="黑体" w:eastAsia="黑体" w:hAnsi="黑体" w:hint="eastAsia"/>
          <w:b w:val="0"/>
        </w:rPr>
        <w:t>入决算情况说明</w:t>
      </w:r>
      <w:bookmarkEnd w:id="29"/>
      <w:bookmarkEnd w:id="30"/>
    </w:p>
    <w:p>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lang w:eastAsia="zh-CN"/>
        </w:rPr>
        <w:t>区审计局</w:t>
      </w:r>
      <w:r>
        <w:rPr>
          <w:rFonts w:ascii="仿宋" w:eastAsia="仿宋" w:hAnsi="仿宋"/>
          <w:color w:val="000000"/>
          <w:sz w:val="32"/>
          <w:szCs w:val="32"/>
        </w:rPr>
        <w:t>20</w:t>
      </w:r>
      <w:r>
        <w:rPr>
          <w:rFonts w:ascii="仿宋" w:eastAsia="仿宋" w:hAnsi="仿宋" w:hint="eastAsia"/>
          <w:color w:val="000000"/>
          <w:sz w:val="32"/>
          <w:szCs w:val="32"/>
        </w:rPr>
        <w:t>20年本年收入合计1591.68万元，其中：一般公共预算财政拨款收入1580.93万元，占99.32</w:t>
      </w:r>
      <w:r>
        <w:rPr>
          <w:rFonts w:ascii="仿宋" w:eastAsia="仿宋" w:hAnsi="仿宋"/>
          <w:color w:val="000000"/>
          <w:sz w:val="32"/>
          <w:szCs w:val="32"/>
        </w:rPr>
        <w:t>%</w:t>
      </w:r>
      <w:r>
        <w:rPr>
          <w:rFonts w:ascii="仿宋" w:eastAsia="仿宋" w:hAnsi="仿宋" w:hint="eastAsia"/>
          <w:color w:val="000000"/>
          <w:sz w:val="32"/>
          <w:szCs w:val="32"/>
        </w:rPr>
        <w:t>；政府性基金预算财政拨款收入0万元，占0</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color w:val="000000"/>
          <w:sz w:val="32"/>
          <w:szCs w:val="32"/>
          <w14:textFill>
            <w14:solidFill>
              <w14:srgbClr w14:val="000000"/>
            </w14:solidFill>
          </w14:textFill>
        </w:rPr>
        <w:t>上级补助收入0</w:t>
      </w:r>
      <w:r>
        <w:rPr>
          <w:rFonts w:ascii="仿宋" w:eastAsia="仿宋" w:hAnsi="仿宋" w:hint="eastAsia"/>
          <w:color w:val="000000"/>
          <w:sz w:val="32"/>
          <w:szCs w:val="32"/>
        </w:rPr>
        <w:t>万元，占0</w:t>
      </w:r>
      <w:r>
        <w:rPr>
          <w:rFonts w:ascii="仿宋" w:eastAsia="仿宋" w:hAnsi="仿宋"/>
          <w:color w:val="000000"/>
          <w:sz w:val="32"/>
          <w:szCs w:val="32"/>
        </w:rPr>
        <w:t>%</w:t>
      </w:r>
      <w:r>
        <w:rPr>
          <w:rFonts w:ascii="仿宋" w:eastAsia="仿宋" w:hAnsi="仿宋" w:hint="eastAsia"/>
          <w:color w:val="000000"/>
          <w:sz w:val="32"/>
          <w:szCs w:val="32"/>
        </w:rPr>
        <w:t>；事业收入0万元，占0</w:t>
      </w:r>
      <w:r>
        <w:rPr>
          <w:rFonts w:ascii="仿宋" w:eastAsia="仿宋" w:hAnsi="仿宋"/>
          <w:color w:val="000000"/>
          <w:sz w:val="32"/>
          <w:szCs w:val="32"/>
        </w:rPr>
        <w:t>%</w:t>
      </w:r>
      <w:r>
        <w:rPr>
          <w:rFonts w:ascii="仿宋" w:eastAsia="仿宋" w:hAnsi="仿宋" w:hint="eastAsia"/>
          <w:color w:val="000000"/>
          <w:sz w:val="32"/>
          <w:szCs w:val="32"/>
        </w:rPr>
        <w:t>；经营收入0万元，占0</w:t>
      </w:r>
      <w:r>
        <w:rPr>
          <w:rFonts w:ascii="仿宋" w:eastAsia="仿宋" w:hAnsi="仿宋"/>
          <w:color w:val="000000"/>
          <w:sz w:val="32"/>
          <w:szCs w:val="32"/>
        </w:rPr>
        <w:t>%</w:t>
      </w:r>
      <w:r>
        <w:rPr>
          <w:rFonts w:ascii="仿宋" w:eastAsia="仿宋" w:hAnsi="仿宋" w:hint="eastAsia"/>
          <w:color w:val="000000"/>
          <w:sz w:val="32"/>
          <w:szCs w:val="32"/>
        </w:rPr>
        <w:t>；附属单位上缴收入0万元，占0</w:t>
      </w:r>
      <w:r>
        <w:rPr>
          <w:rFonts w:ascii="仿宋" w:eastAsia="仿宋" w:hAnsi="仿宋"/>
          <w:color w:val="000000"/>
          <w:sz w:val="32"/>
          <w:szCs w:val="32"/>
        </w:rPr>
        <w:t>%</w:t>
      </w:r>
      <w:r>
        <w:rPr>
          <w:rFonts w:ascii="仿宋" w:eastAsia="仿宋" w:hAnsi="仿宋" w:hint="eastAsia"/>
          <w:color w:val="000000"/>
          <w:sz w:val="32"/>
          <w:szCs w:val="32"/>
        </w:rPr>
        <w:t>；其他收入10.76万元，占0.0.68</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（图2：收入决算结构图）（饼状图）</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drawing>
          <wp:anchor distT="0" distB="0" distL="114300" distR="114300" simplePos="0" relativeHeight="20" behindDoc="0" locked="0" layoutInCell="1" hidden="0" allowOverlap="1">
            <wp:simplePos x="0" y="0"/>
            <wp:positionH relativeFrom="column">
              <wp:posOffset>190500</wp:posOffset>
            </wp:positionH>
            <wp:positionV relativeFrom="paragraph">
              <wp:posOffset>276225</wp:posOffset>
            </wp:positionV>
            <wp:extent cx="5276850" cy="1828800"/>
            <wp:effectExtent l="0" t="0" r="0" b="0"/>
            <wp:wrapNone/>
            <wp:docPr id="2" name="图表 3"/>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left="640"/>
        <w:outlineLvl w:val="1"/>
        <w:rPr>
          <w:rStyle w:val="2Char"/>
          <w:rFonts w:ascii="黑体" w:eastAsia="黑体" w:hAnsi="黑体"/>
          <w:b w:val="0"/>
        </w:rPr>
      </w:pPr>
      <w:bookmarkStart w:id="31" w:name="_Toc15396605"/>
      <w:bookmarkStart w:id="32" w:name="_Toc15377207"/>
      <w:r>
        <w:rPr>
          <w:rFonts w:ascii="黑体" w:eastAsia="黑体" w:hAnsi="黑体" w:hint="eastAsia"/>
          <w:color w:val="000000"/>
          <w:sz w:val="32"/>
          <w:szCs w:val="32"/>
        </w:rPr>
        <w:t>三、支</w:t>
      </w:r>
      <w:r>
        <w:rPr>
          <w:rStyle w:val="2Char"/>
          <w:rFonts w:ascii="黑体" w:eastAsia="黑体" w:hAnsi="黑体" w:hint="eastAsia"/>
          <w:b w:val="0"/>
        </w:rPr>
        <w:t>出决算情况说明</w:t>
      </w:r>
      <w:bookmarkEnd w:id="31"/>
      <w:bookmarkEnd w:id="32"/>
    </w:p>
    <w:p>
      <w:pPr>
        <w:spacing w:line="600" w:lineRule="exact"/>
        <w:ind w:firstLineChars="200" w:firstLine="640"/>
        <w:outlineLvl w:val="1"/>
        <w:rPr>
          <w:rFonts w:ascii="仿宋" w:eastAsia="仿宋" w:hAnsi="仿宋"/>
          <w:color w:val="000000"/>
          <w:sz w:val="32"/>
          <w:szCs w:val="32"/>
        </w:rPr>
      </w:pPr>
      <w:r>
        <w:rPr>
          <w:rFonts w:ascii="仿宋" w:eastAsia="仿宋" w:hAnsi="仿宋" w:hint="eastAsia"/>
          <w:color w:val="000000"/>
          <w:sz w:val="32"/>
          <w:szCs w:val="32"/>
          <w:lang w:eastAsia="zh-CN"/>
        </w:rPr>
        <w:t>区审计局</w:t>
      </w:r>
      <w:r>
        <w:rPr>
          <w:rFonts w:ascii="仿宋" w:eastAsia="仿宋" w:hAnsi="仿宋"/>
          <w:color w:val="000000"/>
          <w:sz w:val="32"/>
          <w:szCs w:val="32"/>
        </w:rPr>
        <w:t>20</w:t>
      </w:r>
      <w:r>
        <w:rPr>
          <w:rFonts w:ascii="仿宋" w:eastAsia="仿宋" w:hAnsi="仿宋" w:hint="eastAsia"/>
          <w:color w:val="000000"/>
          <w:sz w:val="32"/>
          <w:szCs w:val="32"/>
        </w:rPr>
        <w:t>20年本年支出合计976.92万元，其中：基本支出581.53万元，占 59.53</w:t>
      </w:r>
      <w:r>
        <w:rPr>
          <w:rFonts w:ascii="仿宋" w:eastAsia="仿宋" w:hAnsi="仿宋"/>
          <w:color w:val="000000"/>
          <w:sz w:val="32"/>
          <w:szCs w:val="32"/>
        </w:rPr>
        <w:t>%</w:t>
      </w:r>
      <w:r>
        <w:rPr>
          <w:rFonts w:ascii="仿宋" w:eastAsia="仿宋" w:hAnsi="仿宋" w:hint="eastAsia"/>
          <w:color w:val="000000"/>
          <w:sz w:val="32"/>
          <w:szCs w:val="32"/>
        </w:rPr>
        <w:t>；项目支出395.39万元，占40.47</w:t>
      </w:r>
      <w:r>
        <w:rPr>
          <w:rFonts w:ascii="仿宋" w:eastAsia="仿宋" w:hAnsi="仿宋"/>
          <w:color w:val="000000"/>
          <w:sz w:val="32"/>
          <w:szCs w:val="32"/>
        </w:rPr>
        <w:t>%</w:t>
      </w:r>
      <w:r>
        <w:rPr>
          <w:rFonts w:ascii="仿宋" w:eastAsia="仿宋" w:hAnsi="仿宋" w:hint="eastAsia"/>
          <w:color w:val="000000"/>
          <w:sz w:val="32"/>
          <w:szCs w:val="32"/>
        </w:rPr>
        <w:t>；上缴上级支出0万元，占0</w:t>
      </w:r>
      <w:r>
        <w:rPr>
          <w:rFonts w:ascii="仿宋" w:eastAsia="仿宋" w:hAnsi="仿宋"/>
          <w:color w:val="000000"/>
          <w:sz w:val="32"/>
          <w:szCs w:val="32"/>
        </w:rPr>
        <w:t>%</w:t>
      </w:r>
      <w:r>
        <w:rPr>
          <w:rFonts w:ascii="仿宋" w:eastAsia="仿宋" w:hAnsi="仿宋" w:hint="eastAsia"/>
          <w:color w:val="000000"/>
          <w:sz w:val="32"/>
          <w:szCs w:val="32"/>
        </w:rPr>
        <w:t>；经营支出0万元，占0</w:t>
      </w:r>
      <w:r>
        <w:rPr>
          <w:rFonts w:ascii="仿宋" w:eastAsia="仿宋" w:hAnsi="仿宋"/>
          <w:color w:val="000000"/>
          <w:sz w:val="32"/>
          <w:szCs w:val="32"/>
        </w:rPr>
        <w:t>%</w:t>
      </w:r>
      <w:r>
        <w:rPr>
          <w:rFonts w:ascii="仿宋" w:eastAsia="仿宋" w:hAnsi="仿宋" w:hint="eastAsia"/>
          <w:color w:val="000000"/>
          <w:sz w:val="32"/>
          <w:szCs w:val="32"/>
        </w:rPr>
        <w:t>；对附属单位补助支出0万元，占0</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Chars="200" w:firstLine="640"/>
        <w:rPr>
          <w:rFonts w:ascii="仿宋" w:eastAsia="仿宋" w:hAnsi="仿宋" w:hint="eastAsia"/>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（图3：支出决算结构图）（饼状图）</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drawing>
          <wp:anchor distT="0" distB="0" distL="114300" distR="114300" simplePos="0" relativeHeight="22" behindDoc="0" locked="0" layoutInCell="1" hidden="0" allowOverlap="1">
            <wp:simplePos x="0" y="0"/>
            <wp:positionH relativeFrom="column">
              <wp:posOffset>-9525</wp:posOffset>
            </wp:positionH>
            <wp:positionV relativeFrom="paragraph">
              <wp:posOffset>285750</wp:posOffset>
            </wp:positionV>
            <wp:extent cx="5276850" cy="1809750"/>
            <wp:effectExtent l="0" t="0" r="0" b="0"/>
            <wp:wrapNone/>
            <wp:docPr id="3" name="图表 4"/>
            <wp:cNvGraphicFramePr>
              <a:graphicFrameLocks noChangeAspect="0"/>
            </wp:cNvGraphicFramePr>
            <a:graphic>
              <a:graphicData uri="http://schemas.openxmlformats.org/drawingml/2006/chart">
                <c:chart xmlns:c="http://schemas.openxmlformats.org/drawingml/2006/chart" r:id="rId7"/>
              </a:graphicData>
            </a:graphic>
          </wp:anchor>
        </w:drawing>
      </w: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outlineLvl w:val="1"/>
        <w:rPr>
          <w:rStyle w:val="2Char"/>
          <w:rFonts w:ascii="黑体" w:eastAsia="黑体" w:hAnsi="黑体"/>
          <w:b w:val="0"/>
        </w:rPr>
      </w:pPr>
      <w:bookmarkStart w:id="33" w:name="_Toc15396606"/>
      <w:bookmarkStart w:id="34" w:name="_Toc15377208"/>
      <w:r>
        <w:rPr>
          <w:rFonts w:ascii="黑体" w:eastAsia="黑体" w:hAnsi="黑体" w:hint="eastAsia"/>
          <w:color w:val="000000"/>
          <w:sz w:val="32"/>
          <w:szCs w:val="32"/>
        </w:rPr>
        <w:t>四、财</w:t>
      </w:r>
      <w:r>
        <w:rPr>
          <w:rStyle w:val="2Char"/>
          <w:rFonts w:ascii="黑体" w:eastAsia="黑体" w:hAnsi="黑体" w:hint="eastAsia"/>
          <w:b w:val="0"/>
        </w:rPr>
        <w:t>政拨款收入支出决算总体情况说明</w:t>
      </w:r>
      <w:bookmarkEnd w:id="33"/>
      <w:bookmarkEnd w:id="34"/>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lang w:eastAsia="zh-CN"/>
        </w:rPr>
        <w:t>区审计局</w:t>
      </w:r>
      <w:r>
        <w:rPr>
          <w:rFonts w:ascii="仿宋" w:eastAsia="仿宋" w:hAnsi="仿宋"/>
          <w:color w:val="000000"/>
          <w:sz w:val="32"/>
          <w:szCs w:val="32"/>
        </w:rPr>
        <w:t>20</w:t>
      </w:r>
      <w:r>
        <w:rPr>
          <w:rFonts w:ascii="仿宋" w:eastAsia="仿宋" w:hAnsi="仿宋" w:hint="eastAsia"/>
          <w:color w:val="000000"/>
          <w:sz w:val="32"/>
          <w:szCs w:val="32"/>
        </w:rPr>
        <w:t>20年财政拨款收入1580.93万元、支出957.85万元。。与</w:t>
      </w:r>
      <w:r>
        <w:rPr>
          <w:rFonts w:ascii="仿宋" w:eastAsia="仿宋" w:hAnsi="仿宋"/>
          <w:color w:val="000000"/>
          <w:sz w:val="32"/>
          <w:szCs w:val="32"/>
        </w:rPr>
        <w:t>201</w:t>
      </w:r>
      <w:r>
        <w:rPr>
          <w:rFonts w:ascii="仿宋" w:eastAsia="仿宋" w:hAnsi="仿宋" w:hint="eastAsia"/>
          <w:color w:val="000000"/>
          <w:sz w:val="32"/>
          <w:szCs w:val="32"/>
        </w:rPr>
        <w:t>9年相比，财政拨款收、支各增加1038.6万元、416.43万元，增长191.51</w:t>
      </w:r>
      <w:r>
        <w:rPr>
          <w:rFonts w:ascii="仿宋" w:eastAsia="仿宋" w:hAnsi="仿宋"/>
          <w:color w:val="000000"/>
          <w:sz w:val="32"/>
          <w:szCs w:val="32"/>
        </w:rPr>
        <w:t>%</w:t>
      </w:r>
      <w:r>
        <w:rPr>
          <w:rFonts w:ascii="仿宋" w:eastAsia="仿宋" w:hAnsi="仿宋" w:hint="eastAsia"/>
          <w:color w:val="000000"/>
          <w:sz w:val="32"/>
          <w:szCs w:val="32"/>
        </w:rPr>
        <w:t>、76.91%。收入增加的主要原因：一是将政府投资审计聘请中介机构支付的服务费纳入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局预算收入管理，二是将政府投资审计重大政策跟踪审计服务费支付纳入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局预算收入管理，三是调入人员及政策性调资增加人员预算收入。支出增加的原因一是将政府投资审计聘请中介机构支付的服务费纳入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局预算支出管理，二是将政府投资审计重大政策跟踪审计服务费支付纳入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局预算支出管理，三是调入人员及政策性调资增加人员预算支出。</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（图4：财政拨款收、支决算总计变动情况）（柱状图）</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drawing>
          <wp:anchor distT="0" distB="0" distL="114300" distR="114300" simplePos="0" relativeHeight="24" behindDoc="0" locked="0" layoutInCell="1" hidden="0" allowOverlap="1">
            <wp:simplePos x="0" y="0"/>
            <wp:positionH relativeFrom="column">
              <wp:posOffset>28575</wp:posOffset>
            </wp:positionH>
            <wp:positionV relativeFrom="paragraph">
              <wp:posOffset>266700</wp:posOffset>
            </wp:positionV>
            <wp:extent cx="5274310" cy="3076575"/>
            <wp:effectExtent l="0" t="0" r="0" b="0"/>
            <wp:wrapNone/>
            <wp:docPr id="4" name="图表 5"/>
            <wp:cNvGraphicFramePr>
              <a:graphicFrameLocks noChangeAspect="0"/>
            </wp:cNvGraphicFramePr>
            <a:graphic>
              <a:graphicData uri="http://schemas.openxmlformats.org/drawingml/2006/chart">
                <c:chart xmlns:c="http://schemas.openxmlformats.org/drawingml/2006/chart" r:id="rId8"/>
              </a:graphicData>
            </a:graphic>
          </wp:anchor>
        </w:drawing>
      </w: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640"/>
        <w:rPr>
          <w:rFonts w:ascii="仿宋" w:eastAsia="仿宋" w:hAnsi="仿宋"/>
          <w:b/>
          <w:color w:val="00B050"/>
          <w:sz w:val="32"/>
          <w:szCs w:val="32"/>
        </w:rPr>
      </w:pPr>
    </w:p>
    <w:p>
      <w:pPr>
        <w:spacing w:line="600" w:lineRule="exact"/>
        <w:ind w:firstLineChars="200" w:firstLine="640"/>
        <w:outlineLvl w:val="1"/>
        <w:rPr>
          <w:rFonts w:ascii="黑体" w:eastAsia="黑体" w:hAnsi="黑体"/>
          <w:color w:val="000000"/>
          <w:sz w:val="32"/>
          <w:szCs w:val="32"/>
        </w:rPr>
      </w:pPr>
      <w:bookmarkStart w:id="35" w:name="_Toc15396607"/>
      <w:bookmarkStart w:id="36" w:name="_Toc15377209"/>
    </w:p>
    <w:p>
      <w:pPr>
        <w:spacing w:line="600" w:lineRule="exact"/>
        <w:ind w:firstLineChars="200" w:firstLine="640"/>
        <w:outlineLvl w:val="1"/>
        <w:rPr>
          <w:rStyle w:val="2Char"/>
          <w:rFonts w:ascii="黑体" w:eastAsia="黑体" w:hAnsi="黑体"/>
          <w:b w:val="0"/>
        </w:rPr>
      </w:pPr>
      <w:r>
        <w:rPr>
          <w:rFonts w:ascii="黑体" w:eastAsia="黑体" w:hAnsi="黑体" w:hint="eastAsia"/>
          <w:color w:val="000000"/>
          <w:sz w:val="32"/>
          <w:szCs w:val="32"/>
        </w:rPr>
        <w:t>五、</w:t>
      </w:r>
      <w:r>
        <w:rPr>
          <w:rFonts w:ascii="黑体" w:eastAsia="黑体" w:hAnsi="黑体" w:hint="eastAsia"/>
          <w:b/>
          <w:color w:val="000000"/>
          <w:sz w:val="32"/>
          <w:szCs w:val="32"/>
        </w:rPr>
        <w:t>一</w:t>
      </w:r>
      <w:r>
        <w:rPr>
          <w:rStyle w:val="2Char"/>
          <w:rFonts w:ascii="黑体" w:eastAsia="黑体" w:hAnsi="黑体" w:hint="eastAsia"/>
          <w:b w:val="0"/>
        </w:rPr>
        <w:t>般公共预算财政拨款支出决算情况说明</w:t>
      </w:r>
      <w:bookmarkEnd w:id="35"/>
      <w:bookmarkEnd w:id="36"/>
    </w:p>
    <w:p>
      <w:pPr>
        <w:spacing w:line="600" w:lineRule="exact"/>
        <w:ind w:firstLineChars="200" w:firstLine="640"/>
        <w:outlineLvl w:val="2"/>
        <w:rPr>
          <w:rFonts w:ascii="仿宋" w:eastAsia="仿宋" w:hAnsi="仿宋"/>
          <w:b/>
          <w:color w:val="000000"/>
          <w:sz w:val="32"/>
          <w:szCs w:val="32"/>
        </w:rPr>
      </w:pPr>
      <w:bookmarkStart w:id="37" w:name="_Toc15377210"/>
      <w:r>
        <w:rPr>
          <w:rFonts w:ascii="仿宋" w:eastAsia="仿宋" w:hAnsi="仿宋" w:hint="eastAsia"/>
          <w:b/>
          <w:color w:val="000000"/>
          <w:sz w:val="32"/>
          <w:szCs w:val="32"/>
        </w:rPr>
        <w:t>（一）一般公共预算财政拨款支出决算总体情况</w:t>
      </w:r>
      <w:bookmarkEnd w:id="37"/>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lang w:eastAsia="zh-CN"/>
        </w:rPr>
        <w:t>区审计局</w:t>
      </w:r>
      <w:r>
        <w:rPr>
          <w:rFonts w:ascii="仿宋" w:eastAsia="仿宋" w:hAnsi="仿宋"/>
          <w:color w:val="000000"/>
          <w:sz w:val="32"/>
          <w:szCs w:val="32"/>
        </w:rPr>
        <w:t>20</w:t>
      </w:r>
      <w:r>
        <w:rPr>
          <w:rFonts w:ascii="仿宋" w:eastAsia="仿宋" w:hAnsi="仿宋" w:hint="eastAsia"/>
          <w:color w:val="000000"/>
          <w:sz w:val="32"/>
          <w:szCs w:val="32"/>
        </w:rPr>
        <w:t>20年一般公共预算财政拨款支出957.85万元，占本年支出合计的98.05</w:t>
      </w:r>
      <w:r>
        <w:rPr>
          <w:rFonts w:ascii="仿宋" w:eastAsia="仿宋" w:hAnsi="仿宋"/>
          <w:color w:val="000000"/>
          <w:sz w:val="32"/>
          <w:szCs w:val="32"/>
        </w:rPr>
        <w:t>%</w:t>
      </w:r>
      <w:r>
        <w:rPr>
          <w:rFonts w:ascii="仿宋" w:eastAsia="仿宋" w:hAnsi="仿宋" w:hint="eastAsia"/>
          <w:color w:val="000000"/>
          <w:sz w:val="32"/>
          <w:szCs w:val="32"/>
        </w:rPr>
        <w:t>。与</w:t>
      </w:r>
      <w:r>
        <w:rPr>
          <w:rFonts w:ascii="仿宋" w:eastAsia="仿宋" w:hAnsi="仿宋"/>
          <w:color w:val="000000"/>
          <w:sz w:val="32"/>
          <w:szCs w:val="32"/>
        </w:rPr>
        <w:t>20</w:t>
      </w:r>
      <w:r>
        <w:rPr>
          <w:rFonts w:ascii="仿宋" w:eastAsia="仿宋" w:hAnsi="仿宋" w:hint="eastAsia"/>
          <w:color w:val="000000"/>
          <w:sz w:val="32"/>
          <w:szCs w:val="32"/>
        </w:rPr>
        <w:t>19年相比，一般公共预算财政拨款支出增加416.43万元，增长76.91</w:t>
      </w:r>
      <w:r>
        <w:rPr>
          <w:rFonts w:ascii="仿宋" w:eastAsia="仿宋" w:hAnsi="仿宋"/>
          <w:color w:val="000000"/>
          <w:sz w:val="32"/>
          <w:szCs w:val="32"/>
        </w:rPr>
        <w:t>%</w:t>
      </w:r>
      <w:r>
        <w:rPr>
          <w:rFonts w:ascii="仿宋" w:eastAsia="仿宋" w:hAnsi="仿宋" w:hint="eastAsia"/>
          <w:color w:val="000000"/>
          <w:sz w:val="32"/>
          <w:szCs w:val="32"/>
        </w:rPr>
        <w:t>。支出增加的原因：一是将政府投资审计聘请中介机构支付的服务费纳入</w:t>
      </w:r>
      <w:r>
        <w:rPr>
          <w:rFonts w:ascii="仿宋" w:eastAsia="仿宋" w:hAnsi="仿宋" w:hint="eastAsia"/>
          <w:color w:val="000000"/>
          <w:sz w:val="32"/>
          <w:szCs w:val="32"/>
          <w:lang w:eastAsia="zh-CN"/>
        </w:rPr>
        <w:t>区审计局</w:t>
      </w:r>
      <w:r>
        <w:rPr>
          <w:rFonts w:ascii="仿宋" w:eastAsia="仿宋" w:hAnsi="仿宋" w:hint="eastAsia"/>
          <w:color w:val="000000"/>
          <w:sz w:val="32"/>
          <w:szCs w:val="32"/>
        </w:rPr>
        <w:t>预算支出管理，二是将政府投资审计重大政策跟踪审计服务费支付纳入</w:t>
      </w:r>
      <w:r>
        <w:rPr>
          <w:rFonts w:ascii="仿宋" w:eastAsia="仿宋" w:hAnsi="仿宋" w:hint="eastAsia"/>
          <w:color w:val="000000"/>
          <w:sz w:val="32"/>
          <w:szCs w:val="32"/>
          <w:lang w:eastAsia="zh-CN"/>
        </w:rPr>
        <w:t>区审计</w:t>
      </w:r>
      <w:r>
        <w:rPr>
          <w:rFonts w:ascii="仿宋" w:eastAsia="仿宋" w:hAnsi="仿宋" w:hint="eastAsia"/>
          <w:color w:val="000000"/>
          <w:sz w:val="32"/>
          <w:szCs w:val="32"/>
        </w:rPr>
        <w:t>局预算支出管理，三是调入人员及政策性调资增加人员预算支出。</w:t>
      </w: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t>（图5：一般公共预算财政拨款支出决算变动情况）（柱状图）</w:t>
      </w:r>
    </w:p>
    <w:p>
      <w:pPr>
        <w:spacing w:line="600" w:lineRule="exact"/>
        <w:ind w:firstLineChars="200" w:firstLine="640"/>
        <w:rPr>
          <w:rFonts w:ascii="仿宋" w:eastAsia="仿宋" w:hAnsi="仿宋"/>
          <w:color w:val="000000"/>
          <w:sz w:val="32"/>
          <w:szCs w:val="32"/>
          <w14:textFill>
            <w14:solidFill>
              <w14:srgbClr w14:val="000000"/>
            </w14:solidFill>
          </w14:textFill>
        </w:rPr>
      </w:pPr>
      <w:r>
        <w:rPr>
          <w:rFonts w:ascii="仿宋" w:eastAsia="仿宋" w:hAnsi="仿宋" w:hint="eastAsia"/>
          <w:color w:val="000000"/>
          <w:sz w:val="32"/>
          <w:szCs w:val="32"/>
          <w14:textFill>
            <w14:solidFill>
              <w14:srgbClr w14:val="000000"/>
            </w14:solidFill>
          </w14:textFill>
        </w:rPr>
        <w:drawing>
          <wp:anchor distT="0" distB="0" distL="114300" distR="114300" simplePos="0" relativeHeight="26" behindDoc="0" locked="0" layoutInCell="1" hidden="0" allowOverlap="1">
            <wp:simplePos x="0" y="0"/>
            <wp:positionH relativeFrom="column">
              <wp:posOffset>28575</wp:posOffset>
            </wp:positionH>
            <wp:positionV relativeFrom="paragraph">
              <wp:posOffset>66675</wp:posOffset>
            </wp:positionV>
            <wp:extent cx="5276850" cy="2143125"/>
            <wp:effectExtent l="0" t="0" r="0" b="0"/>
            <wp:wrapNone/>
            <wp:docPr id="5" name="图表 6"/>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rPr>
          <w:rFonts w:ascii="仿宋" w:eastAsia="仿宋" w:hAnsi="仿宋"/>
          <w:color w:val="000000"/>
          <w:sz w:val="32"/>
          <w:szCs w:val="32"/>
          <w14:textFill>
            <w14:solidFill>
              <w14:srgbClr w14:val="000000"/>
            </w14:solidFill>
          </w14:textFill>
        </w:rPr>
      </w:pPr>
    </w:p>
    <w:p>
      <w:pPr>
        <w:spacing w:line="600" w:lineRule="exact"/>
        <w:ind w:firstLineChars="200" w:firstLine="640"/>
        <w:outlineLvl w:val="2"/>
        <w:rPr>
          <w:rFonts w:ascii="仿宋" w:eastAsia="仿宋" w:hAnsi="仿宋"/>
          <w:b/>
          <w:color w:val="000000"/>
          <w:sz w:val="32"/>
          <w:szCs w:val="32"/>
        </w:rPr>
      </w:pPr>
      <w:bookmarkStart w:id="38" w:name="_Toc15377211"/>
    </w:p>
    <w:p>
      <w:pPr>
        <w:spacing w:line="600" w:lineRule="exact"/>
        <w:ind w:firstLineChars="200" w:firstLine="640"/>
        <w:outlineLvl w:val="2"/>
        <w:rPr>
          <w:rFonts w:ascii="仿宋" w:eastAsia="仿宋" w:hAnsi="仿宋" w:hint="eastAsia"/>
          <w:b/>
          <w:color w:val="000000"/>
          <w:sz w:val="32"/>
          <w:szCs w:val="32"/>
        </w:rPr>
      </w:pPr>
    </w:p>
    <w:p>
      <w:pPr>
        <w:spacing w:line="60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（二）一般公共预算财政拨款支出决算结构情况</w:t>
      </w:r>
      <w:bookmarkEnd w:id="38"/>
    </w:p>
    <w:p>
      <w:pPr>
        <w:spacing w:line="576" w:lineRule="exact"/>
        <w:ind w:firstLineChars="200" w:firstLine="640"/>
        <w:rPr>
          <w:rFonts w:ascii="仿宋" w:eastAsia="仿宋" w:hAnsi="仿宋"/>
          <w:sz w:val="28"/>
          <w:szCs w:val="28"/>
        </w:rPr>
      </w:pPr>
      <w:r>
        <w:rPr>
          <w:rFonts w:ascii="仿宋" w:eastAsia="仿宋" w:hAnsi="仿宋"/>
          <w:color w:val="000000"/>
          <w:sz w:val="32"/>
          <w:szCs w:val="32"/>
        </w:rPr>
        <w:t>20</w:t>
      </w:r>
      <w:r>
        <w:rPr>
          <w:rFonts w:ascii="仿宋" w:eastAsia="仿宋" w:hAnsi="仿宋" w:hint="eastAsia"/>
          <w:color w:val="000000"/>
          <w:sz w:val="32"/>
          <w:szCs w:val="32"/>
        </w:rPr>
        <w:t>20年一般公共预算财</w:t>
      </w:r>
      <w:r>
        <w:rPr>
          <w:rFonts w:ascii="仿宋" w:eastAsia="仿宋" w:hAnsi="仿宋" w:hint="eastAsia"/>
          <w:color w:val="000000"/>
          <w:sz w:val="32"/>
          <w:szCs w:val="32"/>
          <w14:textFill>
            <w14:solidFill>
              <w14:srgbClr w14:val="000000"/>
            </w14:solidFill>
          </w14:textFill>
        </w:rPr>
        <w:t>政拨款支出957.85万元，主要用于以下方面</w:t>
      </w:r>
      <w:r>
        <w:rPr>
          <w:rFonts w:ascii="仿宋" w:eastAsia="仿宋" w:hAnsi="仿宋"/>
          <w:color w:val="000000"/>
          <w:sz w:val="32"/>
          <w:szCs w:val="32"/>
          <w14:textFill>
            <w14:solidFill>
              <w14:srgbClr w14:val="000000"/>
            </w14:solidFill>
          </w14:textFill>
        </w:rPr>
        <w:t>:</w:t>
      </w:r>
      <w:r>
        <w:rPr>
          <w:rFonts w:ascii="仿宋" w:eastAsia="仿宋" w:hAnsi="仿宋" w:hint="eastAsia"/>
          <w:sz w:val="28"/>
          <w:szCs w:val="28"/>
        </w:rPr>
        <w:t xml:space="preserve"> 一般公共服务201（类）支出897.74万元，占93.72</w:t>
      </w:r>
      <w:r>
        <w:rPr>
          <w:rFonts w:ascii="仿宋" w:eastAsia="仿宋" w:hAnsi="仿宋"/>
          <w:sz w:val="28"/>
          <w:szCs w:val="28"/>
        </w:rPr>
        <w:t>%</w:t>
      </w:r>
      <w:r>
        <w:rPr>
          <w:rFonts w:ascii="仿宋" w:eastAsia="仿宋" w:hAnsi="仿宋" w:hint="eastAsia"/>
          <w:sz w:val="28"/>
          <w:szCs w:val="28"/>
        </w:rPr>
        <w:t>；社会保障和就业支出208（类）35.87万元，占3.74</w:t>
      </w:r>
      <w:r>
        <w:rPr>
          <w:rFonts w:ascii="仿宋" w:eastAsia="仿宋" w:hAnsi="仿宋"/>
          <w:sz w:val="28"/>
          <w:szCs w:val="28"/>
        </w:rPr>
        <w:t>%</w:t>
      </w:r>
      <w:r>
        <w:rPr>
          <w:rFonts w:ascii="仿宋" w:eastAsia="仿宋" w:hAnsi="仿宋" w:hint="eastAsia"/>
          <w:sz w:val="28"/>
          <w:szCs w:val="28"/>
        </w:rPr>
        <w:t>；医疗卫生与计划生育支出210（类）支出16.33万元，占1.7</w:t>
      </w:r>
      <w:r>
        <w:rPr>
          <w:rFonts w:ascii="仿宋" w:eastAsia="仿宋" w:hAnsi="仿宋"/>
          <w:sz w:val="28"/>
          <w:szCs w:val="28"/>
        </w:rPr>
        <w:t>%</w:t>
      </w:r>
      <w:r>
        <w:rPr>
          <w:rFonts w:ascii="仿宋" w:eastAsia="仿宋" w:hAnsi="仿宋" w:hint="eastAsia"/>
          <w:sz w:val="28"/>
          <w:szCs w:val="28"/>
        </w:rPr>
        <w:t>；农林水支出213（类）支出2.41万元，占0.25</w:t>
      </w:r>
      <w:r>
        <w:rPr>
          <w:rFonts w:ascii="仿宋" w:eastAsia="仿宋" w:hAnsi="仿宋"/>
          <w:sz w:val="28"/>
          <w:szCs w:val="28"/>
        </w:rPr>
        <w:t>%</w:t>
      </w:r>
      <w:r>
        <w:rPr>
          <w:rFonts w:ascii="仿宋" w:eastAsia="仿宋" w:hAnsi="仿宋" w:hint="eastAsia"/>
          <w:sz w:val="28"/>
          <w:szCs w:val="28"/>
        </w:rPr>
        <w:t>；住房保障支出221（类）24.58万元，占2.57</w:t>
      </w:r>
      <w:r>
        <w:rPr>
          <w:rFonts w:ascii="仿宋" w:eastAsia="仿宋" w:hAnsi="仿宋"/>
          <w:sz w:val="28"/>
          <w:szCs w:val="28"/>
        </w:rPr>
        <w:t>%</w:t>
      </w:r>
      <w:r>
        <w:rPr>
          <w:rFonts w:ascii="仿宋" w:eastAsia="仿宋" w:hAnsi="仿宋" w:hint="eastAsia"/>
          <w:sz w:val="28"/>
          <w:szCs w:val="28"/>
        </w:rPr>
        <w:t>。</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（图6：一般公共预算财政拨款支出决算结构）（饼状图）</w:t>
      </w:r>
    </w:p>
    <w:p>
      <w:pPr>
        <w:spacing w:line="60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drawing>
          <wp:anchor distT="0" distB="0" distL="114300" distR="114300" simplePos="0" relativeHeight="28" behindDoc="0" locked="0" layoutInCell="1" hidden="0" allowOverlap="1">
            <wp:simplePos x="0" y="0"/>
            <wp:positionH relativeFrom="column">
              <wp:posOffset>28575</wp:posOffset>
            </wp:positionH>
            <wp:positionV relativeFrom="paragraph">
              <wp:posOffset>91440</wp:posOffset>
            </wp:positionV>
            <wp:extent cx="5229225" cy="2181225"/>
            <wp:effectExtent l="0" t="0" r="0" b="0"/>
            <wp:wrapNone/>
            <wp:docPr id="6" name="图表 7"/>
            <wp:cNvGraphicFramePr>
              <a:graphicFrameLocks noChangeAspect="0"/>
            </wp:cNvGraphicFramePr>
            <a:graphic>
              <a:graphicData uri="http://schemas.openxmlformats.org/drawingml/2006/chart">
                <c:chart xmlns:c="http://schemas.openxmlformats.org/drawingml/2006/chart" r:id="rId10"/>
              </a:graphicData>
            </a:graphic>
          </wp:anchor>
        </w:drawing>
      </w:r>
    </w:p>
    <w:p>
      <w:pPr>
        <w:spacing w:line="600" w:lineRule="exact"/>
        <w:ind w:firstLineChars="200" w:firstLine="640"/>
        <w:rPr>
          <w:rFonts w:ascii="仿宋" w:eastAsia="仿宋" w:hAnsi="仿宋"/>
          <w:color w:val="000000"/>
          <w:sz w:val="32"/>
          <w:szCs w:val="32"/>
        </w:rPr>
      </w:pPr>
    </w:p>
    <w:p>
      <w:pPr>
        <w:spacing w:line="600" w:lineRule="exact"/>
        <w:ind w:firstLineChars="200" w:firstLine="640"/>
        <w:rPr>
          <w:rFonts w:ascii="仿宋" w:eastAsia="仿宋" w:hAnsi="仿宋"/>
          <w:color w:val="000000"/>
          <w:sz w:val="32"/>
          <w:szCs w:val="32"/>
        </w:rPr>
      </w:pPr>
    </w:p>
    <w:p>
      <w:pPr>
        <w:spacing w:line="600" w:lineRule="exact"/>
        <w:ind w:firstLineChars="200" w:firstLine="640"/>
        <w:outlineLvl w:val="2"/>
        <w:rPr>
          <w:rFonts w:ascii="仿宋" w:eastAsia="仿宋" w:hAnsi="仿宋"/>
          <w:b/>
          <w:color w:val="000000"/>
          <w:sz w:val="32"/>
          <w:szCs w:val="32"/>
        </w:rPr>
      </w:pPr>
      <w:bookmarkStart w:id="39" w:name="_Toc15377212"/>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b/>
          <w:color w:val="000000"/>
          <w:sz w:val="32"/>
          <w:szCs w:val="32"/>
        </w:rPr>
      </w:pPr>
    </w:p>
    <w:p>
      <w:pPr>
        <w:spacing w:line="600" w:lineRule="exact"/>
        <w:ind w:firstLineChars="200" w:firstLine="640"/>
        <w:outlineLvl w:val="2"/>
        <w:rPr>
          <w:rFonts w:ascii="仿宋" w:eastAsia="仿宋" w:hAnsi="仿宋" w:hint="eastAsia"/>
          <w:b/>
          <w:color w:val="000000"/>
          <w:sz w:val="32"/>
          <w:szCs w:val="32"/>
        </w:rPr>
      </w:pPr>
    </w:p>
    <w:p>
      <w:pPr>
        <w:spacing w:line="600" w:lineRule="exact"/>
        <w:ind w:firstLineChars="200" w:firstLine="640"/>
        <w:outlineLvl w:val="2"/>
        <w:rPr>
          <w:rFonts w:ascii="仿宋" w:eastAsia="仿宋" w:hAnsi="仿宋"/>
          <w:b/>
          <w:color w:val="000000"/>
          <w:sz w:val="32"/>
          <w:szCs w:val="32"/>
        </w:rPr>
      </w:pPr>
      <w:r>
        <w:rPr>
          <w:rFonts w:ascii="仿宋" w:eastAsia="仿宋" w:hAnsi="仿宋" w:hint="eastAsia"/>
          <w:b/>
          <w:color w:val="000000"/>
          <w:sz w:val="32"/>
          <w:szCs w:val="32"/>
        </w:rPr>
        <w:t>（三）一般公共预算财政拨款支出决算具体情况</w:t>
      </w:r>
      <w:bookmarkEnd w:id="39"/>
    </w:p>
    <w:p>
      <w:pPr>
        <w:spacing w:line="600" w:lineRule="exact"/>
        <w:ind w:firstLineChars="200" w:firstLine="640"/>
        <w:outlineLvl w:val="2"/>
        <w:rPr>
          <w:rFonts w:ascii="仿宋" w:eastAsia="仿宋" w:hAnsi="仿宋"/>
          <w:color w:val="FF0000"/>
          <w:sz w:val="32"/>
          <w:szCs w:val="32"/>
        </w:rPr>
      </w:pPr>
      <w:bookmarkStart w:id="40" w:name="_Toc15378460"/>
      <w:bookmarkStart w:id="41" w:name="_Toc15377213"/>
      <w:bookmarkStart w:id="42" w:name="_Toc15377444"/>
      <w:r>
        <w:rPr>
          <w:rFonts w:ascii="仿宋" w:eastAsia="仿宋" w:hAnsi="仿宋" w:hint="eastAsia"/>
          <w:b/>
          <w:color w:val="000000"/>
          <w:sz w:val="32"/>
          <w:szCs w:val="32"/>
          <w14:textFill>
            <w14:solidFill>
              <w14:srgbClr w14:val="000000"/>
            </w14:solidFill>
          </w14:textFill>
        </w:rPr>
        <w:t>2020年般公共预算支出决算数为957.85</w:t>
      </w:r>
      <w:r>
        <w:rPr>
          <w:rFonts w:ascii="仿宋" w:eastAsia="仿宋" w:hAnsi="仿宋" w:hint="eastAsia"/>
          <w:color w:val="000000"/>
          <w:sz w:val="32"/>
          <w:szCs w:val="32"/>
          <w14:textFill>
            <w14:solidFill>
              <w14:srgbClr w14:val="000000"/>
            </w14:solidFill>
          </w14:textFill>
        </w:rPr>
        <w:t>，</w:t>
      </w:r>
      <w:r>
        <w:rPr>
          <w:rStyle w:val="22"/>
          <w:rFonts w:ascii="仿宋" w:eastAsia="仿宋" w:hAnsi="仿宋" w:hint="eastAsia"/>
          <w:bCs/>
          <w:color w:val="000000"/>
          <w:sz w:val="32"/>
          <w:szCs w:val="32"/>
          <w14:textFill>
            <w14:solidFill>
              <w14:srgbClr w14:val="000000"/>
            </w14:solidFill>
          </w14:textFill>
        </w:rPr>
        <w:t>完成</w:t>
      </w:r>
      <w:r>
        <w:rPr>
          <w:rStyle w:val="22"/>
          <w:rFonts w:ascii="仿宋" w:eastAsia="仿宋" w:hAnsi="仿宋" w:hint="eastAsia"/>
          <w:bCs/>
          <w:color w:val="000000"/>
          <w:sz w:val="32"/>
          <w:szCs w:val="32"/>
        </w:rPr>
        <w:t>预算的60.59</w:t>
      </w:r>
      <w:r>
        <w:rPr>
          <w:rStyle w:val="22"/>
          <w:rFonts w:ascii="仿宋" w:eastAsia="仿宋" w:hAnsi="仿宋"/>
          <w:bCs/>
          <w:color w:val="000000"/>
          <w:sz w:val="32"/>
          <w:szCs w:val="32"/>
        </w:rPr>
        <w:t>%</w:t>
      </w:r>
      <w:r>
        <w:rPr>
          <w:rStyle w:val="22"/>
          <w:rFonts w:ascii="仿宋" w:eastAsia="仿宋" w:hAnsi="仿宋" w:hint="eastAsia"/>
          <w:bCs/>
          <w:color w:val="000000"/>
          <w:sz w:val="32"/>
          <w:szCs w:val="32"/>
        </w:rPr>
        <w:t>。其中：</w:t>
      </w:r>
      <w:bookmarkEnd w:id="40"/>
      <w:bookmarkEnd w:id="41"/>
      <w:bookmarkEnd w:id="42"/>
    </w:p>
    <w:p>
      <w:pPr>
        <w:spacing w:line="576" w:lineRule="exact"/>
        <w:ind w:firstLineChars="200" w:firstLine="560"/>
        <w:rPr>
          <w:rFonts w:ascii="仿宋" w:eastAsia="仿宋" w:hAnsi="仿宋"/>
          <w:sz w:val="28"/>
          <w:szCs w:val="28"/>
        </w:rPr>
      </w:pPr>
      <w:r>
        <w:rPr>
          <w:rFonts w:ascii="仿宋" w:eastAsia="仿宋" w:hAnsi="仿宋" w:hint="eastAsia"/>
          <w:sz w:val="28"/>
          <w:szCs w:val="28"/>
        </w:rPr>
        <w:t>1.一般公共服务201（类）审计事务08（款）行政运行01（项）</w:t>
      </w:r>
      <w:r>
        <w:rPr>
          <w:rFonts w:ascii="仿宋" w:eastAsia="仿宋" w:hAnsi="仿宋"/>
          <w:b/>
          <w:sz w:val="28"/>
          <w:szCs w:val="28"/>
        </w:rPr>
        <w:t>:</w:t>
      </w:r>
      <w:r>
        <w:rPr>
          <w:rFonts w:ascii="仿宋" w:eastAsia="仿宋" w:hAnsi="仿宋"/>
          <w:sz w:val="28"/>
          <w:szCs w:val="28"/>
        </w:rPr>
        <w:t xml:space="preserve"> </w:t>
      </w:r>
      <w:r>
        <w:rPr>
          <w:rFonts w:ascii="仿宋" w:eastAsia="仿宋" w:hAnsi="仿宋" w:hint="eastAsia"/>
          <w:sz w:val="28"/>
          <w:szCs w:val="28"/>
        </w:rPr>
        <w:t>支出决算为485.68万元，完成预算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rPr>
        <w:t>2.一般公共服务支出201（类）审计事务08（款）一般行政管理事务02（项）：支出决算数131.05万元，完成预算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rPr>
        <w:t>3.一般公共服务支出201（类）审计事务08（款）审计业务04（项）：支出决算数221.94万元，完成预算</w:t>
      </w:r>
      <w:r>
        <w:rPr>
          <w:rFonts w:ascii="仿宋" w:eastAsia="仿宋" w:hAnsi="仿宋" w:hint="eastAsia"/>
          <w:sz w:val="28"/>
          <w:szCs w:val="28"/>
          <w:lang w:eastAsia="zh-CN"/>
        </w:rPr>
        <w:t>的</w:t>
      </w:r>
      <w:r>
        <w:rPr>
          <w:rFonts w:ascii="仿宋" w:eastAsia="仿宋" w:hAnsi="仿宋" w:hint="eastAsia"/>
          <w:sz w:val="28"/>
          <w:szCs w:val="28"/>
        </w:rPr>
        <w:t>25.57</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rPr>
        <w:t>4.一般公共服务支出201（类）审计事务08（款）审计管理05（项）：支出决算数36万元，完成预算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5</w:t>
      </w:r>
      <w:r>
        <w:rPr>
          <w:rFonts w:ascii="仿宋" w:eastAsia="仿宋" w:hAnsi="仿宋" w:hint="eastAsia"/>
          <w:sz w:val="28"/>
          <w:szCs w:val="28"/>
        </w:rPr>
        <w:t>.一般公共服务支出201（类）审计事务08（款）其他审计事务支出99（项）：支出决算数4万元，完成预算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6</w:t>
      </w:r>
      <w:r>
        <w:rPr>
          <w:rFonts w:ascii="仿宋" w:eastAsia="仿宋" w:hAnsi="仿宋"/>
          <w:b/>
          <w:sz w:val="28"/>
          <w:szCs w:val="28"/>
        </w:rPr>
        <w:t>.</w:t>
      </w:r>
      <w:r>
        <w:rPr>
          <w:rFonts w:ascii="仿宋" w:eastAsia="仿宋" w:hAnsi="仿宋" w:hint="eastAsia"/>
          <w:sz w:val="28"/>
          <w:szCs w:val="28"/>
        </w:rPr>
        <w:t>社会保障和就业支出208（类）行政事业单位退休05（款）机关事业单位基本养老保险支出05（项）</w:t>
      </w:r>
      <w:r>
        <w:rPr>
          <w:rFonts w:ascii="仿宋" w:eastAsia="仿宋" w:hAnsi="仿宋"/>
          <w:b/>
          <w:sz w:val="28"/>
          <w:szCs w:val="28"/>
        </w:rPr>
        <w:t>:</w:t>
      </w:r>
      <w:r>
        <w:rPr>
          <w:rFonts w:ascii="仿宋" w:eastAsia="仿宋" w:hAnsi="仿宋" w:hint="eastAsia"/>
          <w:sz w:val="28"/>
          <w:szCs w:val="28"/>
        </w:rPr>
        <w:t>支出决算为33.82万元，完成预算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7</w:t>
      </w:r>
      <w:r>
        <w:rPr>
          <w:rFonts w:ascii="仿宋" w:eastAsia="仿宋" w:hAnsi="仿宋" w:hint="eastAsia"/>
          <w:sz w:val="28"/>
          <w:szCs w:val="28"/>
        </w:rPr>
        <w:t>.208（类）99（款）01（项）</w:t>
      </w:r>
      <w:r>
        <w:rPr>
          <w:rFonts w:ascii="仿宋" w:eastAsia="仿宋" w:hAnsi="仿宋"/>
          <w:sz w:val="28"/>
          <w:szCs w:val="28"/>
        </w:rPr>
        <w:t>:</w:t>
      </w:r>
      <w:r>
        <w:rPr>
          <w:rFonts w:ascii="仿宋" w:eastAsia="仿宋" w:hAnsi="仿宋" w:hint="eastAsia"/>
          <w:sz w:val="28"/>
          <w:szCs w:val="28"/>
        </w:rPr>
        <w:t>支出决算为2.05万元，完成预算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8</w:t>
      </w:r>
      <w:r>
        <w:rPr>
          <w:rFonts w:ascii="仿宋" w:eastAsia="仿宋" w:hAnsi="仿宋"/>
          <w:b/>
          <w:sz w:val="28"/>
          <w:szCs w:val="28"/>
        </w:rPr>
        <w:t>.</w:t>
      </w:r>
      <w:r>
        <w:rPr>
          <w:rFonts w:ascii="仿宋" w:eastAsia="仿宋" w:hAnsi="仿宋" w:hint="eastAsia"/>
          <w:sz w:val="28"/>
          <w:szCs w:val="28"/>
        </w:rPr>
        <w:t>卫生健康支出210（类）行政单位医疗11（款）行政单位医疗01（项）：支出16.33万元</w:t>
      </w:r>
      <w:r>
        <w:rPr>
          <w:rFonts w:ascii="仿宋" w:eastAsia="仿宋" w:hAnsi="仿宋" w:hint="eastAsia"/>
          <w:b/>
          <w:sz w:val="28"/>
          <w:szCs w:val="28"/>
        </w:rPr>
        <w:t>，</w:t>
      </w:r>
      <w:r>
        <w:rPr>
          <w:rFonts w:ascii="仿宋" w:eastAsia="仿宋" w:hAnsi="仿宋" w:hint="eastAsia"/>
          <w:sz w:val="28"/>
          <w:szCs w:val="28"/>
        </w:rPr>
        <w:t>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9</w:t>
      </w:r>
      <w:r>
        <w:rPr>
          <w:rFonts w:ascii="仿宋" w:eastAsia="仿宋" w:hAnsi="仿宋" w:hint="eastAsia"/>
          <w:b/>
          <w:sz w:val="28"/>
          <w:szCs w:val="28"/>
        </w:rPr>
        <w:t>.</w:t>
      </w:r>
      <w:r>
        <w:rPr>
          <w:rFonts w:ascii="仿宋" w:eastAsia="仿宋" w:hAnsi="仿宋" w:hint="eastAsia"/>
          <w:sz w:val="28"/>
          <w:szCs w:val="28"/>
        </w:rPr>
        <w:t>农林水支出213（类）扶贫05（款）其他扶贫支出99（项）：支出2.411万元完成预算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spacing w:line="576" w:lineRule="exact"/>
        <w:ind w:firstLineChars="200" w:firstLine="560"/>
        <w:rPr>
          <w:rFonts w:ascii="仿宋" w:eastAsia="仿宋" w:hAnsi="仿宋"/>
          <w:sz w:val="28"/>
          <w:szCs w:val="28"/>
        </w:rPr>
      </w:pPr>
      <w:r>
        <w:rPr>
          <w:rFonts w:ascii="仿宋" w:eastAsia="仿宋" w:hAnsi="仿宋" w:hint="eastAsia"/>
          <w:sz w:val="28"/>
          <w:szCs w:val="28"/>
          <w:lang w:val="en-US" w:eastAsia="zh-CN"/>
        </w:rPr>
        <w:t>10</w:t>
      </w:r>
      <w:r>
        <w:rPr>
          <w:rFonts w:ascii="仿宋" w:eastAsia="仿宋" w:hAnsi="仿宋"/>
          <w:b/>
          <w:sz w:val="28"/>
          <w:szCs w:val="28"/>
        </w:rPr>
        <w:t>.</w:t>
      </w:r>
      <w:r>
        <w:rPr>
          <w:rFonts w:ascii="仿宋" w:eastAsia="仿宋" w:hAnsi="仿宋" w:hint="eastAsia"/>
          <w:sz w:val="28"/>
          <w:szCs w:val="28"/>
        </w:rPr>
        <w:t>住房保障支出221（类）住房改革支出02（款）住房公积金01（项）</w:t>
      </w:r>
      <w:r>
        <w:rPr>
          <w:rFonts w:ascii="仿宋" w:eastAsia="仿宋" w:hAnsi="仿宋"/>
          <w:b/>
          <w:sz w:val="28"/>
          <w:szCs w:val="28"/>
        </w:rPr>
        <w:t>:</w:t>
      </w:r>
      <w:r>
        <w:rPr>
          <w:rFonts w:ascii="仿宋" w:eastAsia="仿宋" w:hAnsi="仿宋" w:hint="eastAsia"/>
          <w:sz w:val="28"/>
          <w:szCs w:val="28"/>
        </w:rPr>
        <w:t>支出决算为24.58万元，完成预算</w:t>
      </w:r>
      <w:r>
        <w:rPr>
          <w:rFonts w:ascii="仿宋" w:eastAsia="仿宋" w:hAnsi="仿宋" w:hint="eastAsia"/>
          <w:sz w:val="28"/>
          <w:szCs w:val="28"/>
          <w:lang w:eastAsia="zh-CN"/>
        </w:rPr>
        <w:t>的</w:t>
      </w:r>
      <w:r>
        <w:rPr>
          <w:rFonts w:ascii="仿宋" w:eastAsia="仿宋" w:hAnsi="仿宋" w:hint="eastAsia"/>
          <w:sz w:val="28"/>
          <w:szCs w:val="28"/>
        </w:rPr>
        <w:t>100</w:t>
      </w:r>
      <w:r>
        <w:rPr>
          <w:rFonts w:ascii="仿宋" w:eastAsia="仿宋" w:hAnsi="仿宋"/>
          <w:sz w:val="28"/>
          <w:szCs w:val="28"/>
        </w:rPr>
        <w:t>%</w:t>
      </w:r>
      <w:r>
        <w:rPr>
          <w:rFonts w:ascii="仿宋" w:eastAsia="仿宋" w:hAnsi="仿宋" w:hint="eastAsia"/>
          <w:sz w:val="28"/>
          <w:szCs w:val="28"/>
        </w:rPr>
        <w:t>。</w:t>
      </w:r>
    </w:p>
    <w:p>
      <w:pPr>
        <w:tabs>
          <w:tab w:val="right" w:pos="8306"/>
        </w:tabs>
        <w:spacing w:line="600" w:lineRule="exact"/>
        <w:ind w:firstLine="640"/>
        <w:outlineLvl w:val="1"/>
        <w:rPr>
          <w:rStyle w:val="2Char"/>
        </w:rPr>
      </w:pPr>
      <w:bookmarkStart w:id="43" w:name="_Toc15377214"/>
      <w:bookmarkStart w:id="44" w:name="_Toc15396608"/>
      <w:r>
        <w:rPr>
          <w:rFonts w:ascii="黑体" w:eastAsia="黑体" w:hint="eastAsia"/>
          <w:color w:val="000000"/>
          <w:sz w:val="32"/>
          <w:szCs w:val="32"/>
        </w:rPr>
        <w:t>六</w:t>
      </w:r>
      <w:r>
        <w:rPr>
          <w:rFonts w:ascii="黑体" w:eastAsia="黑体" w:hint="eastAsia"/>
          <w:b/>
          <w:color w:val="000000"/>
          <w:sz w:val="32"/>
          <w:szCs w:val="32"/>
        </w:rPr>
        <w:t>、</w:t>
      </w:r>
      <w:r>
        <w:rPr>
          <w:rFonts w:ascii="黑体" w:eastAsia="黑体" w:hAnsi="黑体" w:hint="eastAsia"/>
          <w:b/>
          <w:color w:val="000000"/>
          <w:sz w:val="32"/>
          <w:szCs w:val="32"/>
        </w:rPr>
        <w:t>一</w:t>
      </w:r>
      <w:r>
        <w:rPr>
          <w:rStyle w:val="2Char"/>
          <w:rFonts w:ascii="黑体" w:eastAsia="黑体" w:hAnsi="黑体" w:hint="eastAsia"/>
          <w:b w:val="0"/>
        </w:rPr>
        <w:t>般公共预算财政拨款基本支出决算情况说明</w:t>
      </w:r>
      <w:bookmarkEnd w:id="43"/>
      <w:bookmarkEnd w:id="44"/>
      <w:r>
        <w:rPr>
          <w:rStyle w:val="2Char"/>
          <w:rFonts w:ascii="黑体" w:eastAsia="黑体" w:hAnsi="黑体"/>
          <w:b w:val="0"/>
        </w:rPr>
        <w:tab/>
      </w:r>
    </w:p>
    <w:p>
      <w:pPr>
        <w:spacing w:line="600" w:lineRule="exact"/>
        <w:ind w:firstLine="645"/>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20年一般公共预算财政拨款基本支出485.68万元，其中：</w:t>
      </w:r>
    </w:p>
    <w:p>
      <w:pPr>
        <w:spacing w:line="600" w:lineRule="exact"/>
        <w:ind w:firstLine="645"/>
        <w:rPr>
          <w:rFonts w:ascii="仿宋" w:eastAsia="仿宋" w:hAnsi="仿宋"/>
          <w:color w:val="000000"/>
          <w:sz w:val="32"/>
          <w:szCs w:val="32"/>
        </w:rPr>
      </w:pPr>
      <w:r>
        <w:rPr>
          <w:rFonts w:ascii="仿宋" w:eastAsia="仿宋" w:hAnsi="仿宋" w:hint="eastAsia"/>
          <w:color w:val="000000"/>
          <w:sz w:val="32"/>
          <w:szCs w:val="32"/>
        </w:rPr>
        <w:t>人员经费418.5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r>
        <w:rPr>
          <w:rFonts w:ascii="仿宋" w:eastAsia="仿宋" w:hAnsi="仿宋"/>
          <w:color w:val="000000"/>
          <w:sz w:val="32"/>
          <w:szCs w:val="32"/>
        </w:rPr>
        <w:br/>
      </w:r>
      <w:r>
        <w:rPr>
          <w:rFonts w:ascii="仿宋" w:eastAsia="仿宋" w:hAnsi="仿宋" w:hint="eastAsia"/>
          <w:color w:val="000000"/>
          <w:sz w:val="32"/>
          <w:szCs w:val="32"/>
        </w:rPr>
        <w:t xml:space="preserve">    日常公用经费67.18万元，主要包括：办公费、印刷费、咨询费、手续费、水费、电费、邮电费、取暖费、物业管理费、差旅费、因公出国（境）费用、维修（护）费、租赁费、会议费、培训费、公务接待费、劳务费、委托业务费、工会经费、福利费、公务用车运行维护费、其他交通费、税金及附加费用、其他商品和服务支出、办公设备购置、专用设备购置、信息网络及软件购置更新、其他资本性支出等。</w:t>
      </w:r>
    </w:p>
    <w:p>
      <w:pPr>
        <w:spacing w:line="600" w:lineRule="exact"/>
        <w:ind w:firstLine="640"/>
        <w:outlineLvl w:val="1"/>
        <w:rPr>
          <w:rStyle w:val="2Char"/>
          <w:rFonts w:ascii="黑体" w:eastAsia="黑体" w:hAnsi="黑体"/>
          <w:b w:val="0"/>
        </w:rPr>
      </w:pPr>
      <w:bookmarkStart w:id="45" w:name="_Toc15396609"/>
      <w:bookmarkStart w:id="46" w:name="_Toc15377215"/>
      <w:r>
        <w:rPr>
          <w:rFonts w:ascii="黑体" w:eastAsia="黑体" w:hint="eastAsia"/>
          <w:color w:val="000000"/>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45"/>
      <w:bookmarkEnd w:id="46"/>
    </w:p>
    <w:p>
      <w:pPr>
        <w:spacing w:line="600" w:lineRule="exact"/>
        <w:ind w:firstLine="640"/>
        <w:outlineLvl w:val="2"/>
        <w:rPr>
          <w:rFonts w:ascii="仿宋" w:eastAsia="仿宋" w:hAnsi="仿宋"/>
          <w:b/>
          <w:color w:val="000000"/>
          <w:sz w:val="32"/>
          <w:szCs w:val="32"/>
        </w:rPr>
      </w:pPr>
      <w:bookmarkStart w:id="47" w:name="_Toc15377216"/>
      <w:r>
        <w:rPr>
          <w:rFonts w:ascii="仿宋" w:eastAsia="仿宋" w:hAnsi="仿宋" w:hint="eastAsia"/>
          <w:b/>
          <w:color w:val="000000"/>
          <w:sz w:val="32"/>
          <w:szCs w:val="32"/>
        </w:rPr>
        <w:t>（一）“三公”经费财政拨款支出决算总体情况说明</w:t>
      </w:r>
      <w:bookmarkEnd w:id="47"/>
    </w:p>
    <w:p>
      <w:pPr>
        <w:spacing w:line="600" w:lineRule="exact"/>
        <w:ind w:firstLine="640"/>
        <w:rPr>
          <w:rFonts w:ascii="仿宋" w:eastAsia="仿宋" w:hAnsi="仿宋"/>
          <w:b/>
          <w:color w:val="FF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20年“三公”经费财政拨款支出决算为2.99万元，完成预算的99.67</w:t>
      </w:r>
      <w:r>
        <w:rPr>
          <w:rFonts w:ascii="仿宋" w:eastAsia="仿宋" w:hAnsi="仿宋"/>
          <w:color w:val="000000"/>
          <w:sz w:val="32"/>
          <w:szCs w:val="32"/>
        </w:rPr>
        <w:t>%</w:t>
      </w:r>
      <w:r>
        <w:rPr>
          <w:rFonts w:ascii="仿宋" w:eastAsia="仿宋" w:hAnsi="仿宋" w:hint="eastAsia"/>
          <w:color w:val="000000"/>
          <w:sz w:val="32"/>
          <w:szCs w:val="32"/>
        </w:rPr>
        <w:t>。</w:t>
      </w:r>
    </w:p>
    <w:p>
      <w:pPr>
        <w:spacing w:line="600" w:lineRule="exact"/>
        <w:ind w:firstLine="640"/>
        <w:outlineLvl w:val="2"/>
        <w:rPr>
          <w:rFonts w:ascii="仿宋" w:eastAsia="仿宋" w:hAnsi="仿宋"/>
          <w:b/>
          <w:color w:val="000000"/>
          <w:sz w:val="32"/>
          <w:szCs w:val="32"/>
        </w:rPr>
      </w:pPr>
      <w:bookmarkStart w:id="48" w:name="_Toc15377217"/>
      <w:r>
        <w:rPr>
          <w:rFonts w:ascii="仿宋" w:eastAsia="仿宋" w:hAnsi="仿宋" w:hint="eastAsia"/>
          <w:b/>
          <w:color w:val="000000"/>
          <w:sz w:val="32"/>
          <w:szCs w:val="32"/>
        </w:rPr>
        <w:t>（二）“三公”经费财政拨款支出决算具体情况说明</w:t>
      </w:r>
      <w:bookmarkEnd w:id="48"/>
    </w:p>
    <w:p>
      <w:pPr>
        <w:spacing w:line="600" w:lineRule="exact"/>
        <w:ind w:firstLine="640"/>
        <w:rPr>
          <w:rFonts w:ascii="仿宋" w:eastAsia="仿宋" w:hAnsi="仿宋"/>
          <w:color w:val="000000"/>
          <w:sz w:val="32"/>
          <w:szCs w:val="32"/>
        </w:rPr>
      </w:pPr>
      <w:r>
        <w:rPr>
          <w:rFonts w:ascii="仿宋" w:eastAsia="仿宋" w:hAnsi="仿宋"/>
          <w:color w:val="000000"/>
          <w:sz w:val="32"/>
          <w:szCs w:val="32"/>
        </w:rPr>
        <w:t>20</w:t>
      </w:r>
      <w:r>
        <w:rPr>
          <w:rFonts w:ascii="仿宋" w:eastAsia="仿宋" w:hAnsi="仿宋" w:hint="eastAsia"/>
          <w:color w:val="000000"/>
          <w:sz w:val="32"/>
          <w:szCs w:val="32"/>
        </w:rPr>
        <w:t>20年“三公”经费财政拨款支出决算中，因公出国（境）费支出决算0万元；公务用车购置及运行维护费支出决算0万元；公务接待费支出决算2.99万元，占99.67</w:t>
      </w:r>
      <w:r>
        <w:rPr>
          <w:rFonts w:ascii="仿宋" w:eastAsia="仿宋" w:hAnsi="仿宋"/>
          <w:color w:val="000000"/>
          <w:sz w:val="32"/>
          <w:szCs w:val="32"/>
        </w:rPr>
        <w:t>%</w:t>
      </w:r>
      <w:r>
        <w:rPr>
          <w:rFonts w:ascii="仿宋" w:eastAsia="仿宋" w:hAnsi="仿宋" w:hint="eastAsia"/>
          <w:color w:val="000000"/>
          <w:sz w:val="32"/>
          <w:szCs w:val="32"/>
        </w:rPr>
        <w:t>。具体情况如下：</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（图7：“三公”经费财政拨款支出结构）（饼状图）</w:t>
      </w:r>
    </w:p>
    <w:p>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drawing>
          <wp:anchor distT="0" distB="0" distL="114300" distR="114300" simplePos="0" relativeHeight="30" behindDoc="0" locked="0" layoutInCell="1" hidden="0" allowOverlap="1">
            <wp:simplePos x="0" y="0"/>
            <wp:positionH relativeFrom="column">
              <wp:posOffset>-28575</wp:posOffset>
            </wp:positionH>
            <wp:positionV relativeFrom="paragraph">
              <wp:posOffset>247015</wp:posOffset>
            </wp:positionV>
            <wp:extent cx="5276850" cy="1876425"/>
            <wp:effectExtent l="0" t="0" r="0" b="0"/>
            <wp:wrapNone/>
            <wp:docPr id="7" name="图表 8"/>
            <wp:cNvGraphicFramePr>
              <a:graphicFrameLocks noChangeAspect="0"/>
            </wp:cNvGraphicFramePr>
            <a:graphic>
              <a:graphicData uri="http://schemas.openxmlformats.org/drawingml/2006/chart">
                <c:chart xmlns:c="http://schemas.openxmlformats.org/drawingml/2006/chart" r:id="rId11"/>
              </a:graphicData>
            </a:graphic>
          </wp:anchor>
        </w:drawing>
      </w:r>
    </w:p>
    <w:p>
      <w:pPr>
        <w:spacing w:line="600" w:lineRule="exact"/>
        <w:ind w:firstLine="640"/>
        <w:rPr>
          <w:rFonts w:ascii="仿宋" w:eastAsia="仿宋" w:hAnsi="仿宋"/>
          <w:color w:val="000000"/>
          <w:sz w:val="32"/>
          <w:szCs w:val="32"/>
        </w:rPr>
      </w:pPr>
    </w:p>
    <w:p>
      <w:pPr>
        <w:spacing w:line="600" w:lineRule="exact"/>
        <w:ind w:firstLine="640"/>
        <w:rPr>
          <w:rFonts w:ascii="仿宋" w:eastAsia="仿宋" w:hAnsi="仿宋"/>
          <w:color w:val="000000"/>
          <w:sz w:val="32"/>
          <w:szCs w:val="32"/>
        </w:rPr>
      </w:pPr>
    </w:p>
    <w:p>
      <w:pPr>
        <w:spacing w:line="600" w:lineRule="exact"/>
        <w:ind w:firstLine="640"/>
        <w:rPr>
          <w:rFonts w:ascii="仿宋" w:eastAsia="仿宋" w:hAnsi="仿宋"/>
          <w:color w:val="000000"/>
          <w:sz w:val="32"/>
          <w:szCs w:val="32"/>
        </w:rPr>
      </w:pPr>
    </w:p>
    <w:p>
      <w:pPr>
        <w:spacing w:line="600" w:lineRule="exact"/>
        <w:ind w:firstLine="640"/>
        <w:rPr>
          <w:rFonts w:ascii="仿宋" w:eastAsia="仿宋" w:hAnsi="仿宋"/>
          <w:color w:val="000000"/>
          <w:sz w:val="32"/>
          <w:szCs w:val="32"/>
        </w:rPr>
      </w:pPr>
    </w:p>
    <w:p>
      <w:pPr>
        <w:spacing w:line="600" w:lineRule="exact"/>
        <w:ind w:firstLine="640"/>
        <w:rPr>
          <w:rFonts w:ascii="仿宋" w:eastAsia="仿宋" w:hAnsi="仿宋"/>
          <w:color w:val="000000"/>
          <w:sz w:val="32"/>
          <w:szCs w:val="32"/>
        </w:rPr>
      </w:pP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ascii="仿宋_GB2312" w:eastAsia="仿宋_GB2312" w:hint="eastAsia"/>
          <w:b/>
          <w:color w:val="000000"/>
          <w:sz w:val="32"/>
          <w:szCs w:val="32"/>
        </w:rPr>
        <w:t>因公出国（境）经费支出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eastAsia="zh-CN"/>
        </w:rPr>
        <w:t>的</w:t>
      </w:r>
      <w:r>
        <w:rPr>
          <w:rStyle w:val="22"/>
          <w:rFonts w:ascii="仿宋" w:eastAsia="仿宋" w:hAnsi="仿宋" w:hint="eastAsia"/>
          <w:b w:val="0"/>
          <w:bCs/>
          <w:color w:val="000000"/>
          <w:sz w:val="32"/>
          <w:szCs w:val="32"/>
        </w:rPr>
        <w:t>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全年安排因公出国（境）团组0次，出国（境）0人。因公出国（境）支出决算与</w:t>
      </w:r>
      <w:r>
        <w:rPr>
          <w:rFonts w:ascii="仿宋_GB2312" w:eastAsia="仿宋_GB2312"/>
          <w:color w:val="000000"/>
          <w:sz w:val="32"/>
          <w:szCs w:val="32"/>
        </w:rPr>
        <w:t>20</w:t>
      </w:r>
      <w:r>
        <w:rPr>
          <w:rFonts w:ascii="仿宋_GB2312" w:eastAsia="仿宋_GB2312" w:hint="eastAsia"/>
          <w:color w:val="000000"/>
          <w:sz w:val="32"/>
          <w:szCs w:val="32"/>
        </w:rPr>
        <w:t xml:space="preserve">19年0万元持平。 </w:t>
      </w:r>
    </w:p>
    <w:p>
      <w:pPr>
        <w:spacing w:line="600" w:lineRule="exact"/>
        <w:ind w:firstLine="640"/>
        <w:rPr>
          <w:rFonts w:ascii="仿宋_GB2312" w:eastAsia="仿宋_GB2312"/>
          <w:b/>
          <w:color w:val="000000"/>
          <w:sz w:val="32"/>
          <w:szCs w:val="32"/>
        </w:rPr>
      </w:pPr>
      <w:r>
        <w:rPr>
          <w:rFonts w:ascii="仿宋_GB2312" w:eastAsia="仿宋_GB2312"/>
          <w:b/>
          <w:color w:val="000000"/>
          <w:sz w:val="32"/>
          <w:szCs w:val="32"/>
        </w:rPr>
        <w:t>2.</w:t>
      </w:r>
      <w:r>
        <w:rPr>
          <w:rFonts w:ascii="仿宋_GB2312" w:eastAsia="仿宋_GB2312" w:hint="eastAsia"/>
          <w:b/>
          <w:color w:val="000000"/>
          <w:sz w:val="32"/>
          <w:szCs w:val="32"/>
        </w:rPr>
        <w:t>公务用车购置及运行维护费支出</w:t>
      </w:r>
      <w:r>
        <w:rPr>
          <w:rFonts w:ascii="仿宋_GB2312" w:eastAsia="仿宋_GB2312" w:hint="eastAsia"/>
          <w:color w:val="000000"/>
          <w:sz w:val="32"/>
          <w:szCs w:val="32"/>
        </w:rPr>
        <w:t>0万元,</w:t>
      </w:r>
      <w:r>
        <w:rPr>
          <w:rStyle w:val="22"/>
          <w:rFonts w:ascii="仿宋" w:eastAsia="仿宋" w:hAnsi="仿宋" w:hint="eastAsia"/>
          <w:b w:val="0"/>
          <w:bCs/>
          <w:color w:val="000000"/>
          <w:sz w:val="32"/>
          <w:szCs w:val="32"/>
        </w:rPr>
        <w:t>完成预算</w:t>
      </w:r>
      <w:r>
        <w:rPr>
          <w:rStyle w:val="22"/>
          <w:rFonts w:ascii="仿宋" w:eastAsia="仿宋" w:hAnsi="仿宋" w:hint="eastAsia"/>
          <w:b w:val="0"/>
          <w:bCs/>
          <w:color w:val="000000"/>
          <w:sz w:val="32"/>
          <w:szCs w:val="32"/>
          <w:lang w:eastAsia="zh-CN"/>
        </w:rPr>
        <w:t>的</w:t>
      </w:r>
      <w:r>
        <w:rPr>
          <w:rStyle w:val="22"/>
          <w:rFonts w:ascii="仿宋" w:eastAsia="仿宋" w:hAnsi="仿宋" w:hint="eastAsia"/>
          <w:b w:val="0"/>
          <w:bCs/>
          <w:color w:val="000000"/>
          <w:sz w:val="32"/>
          <w:szCs w:val="32"/>
        </w:rPr>
        <w:t>100</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公务用车购置及运行维护费支出决算与</w:t>
      </w:r>
      <w:r>
        <w:rPr>
          <w:rFonts w:ascii="仿宋_GB2312" w:eastAsia="仿宋_GB2312"/>
          <w:color w:val="000000"/>
          <w:sz w:val="32"/>
          <w:szCs w:val="32"/>
        </w:rPr>
        <w:t>201</w:t>
      </w:r>
      <w:r>
        <w:rPr>
          <w:rFonts w:ascii="仿宋_GB2312" w:eastAsia="仿宋_GB2312" w:hint="eastAsia"/>
          <w:color w:val="000000"/>
          <w:sz w:val="32"/>
          <w:szCs w:val="32"/>
        </w:rPr>
        <w:t>9年持平。</w:t>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3.</w:t>
      </w:r>
      <w:r>
        <w:rPr>
          <w:rFonts w:ascii="仿宋_GB2312" w:eastAsia="仿宋_GB2312" w:hint="eastAsia"/>
          <w:b/>
          <w:color w:val="000000"/>
          <w:sz w:val="32"/>
          <w:szCs w:val="32"/>
        </w:rPr>
        <w:t>公务接待费支出</w:t>
      </w:r>
      <w:r>
        <w:rPr>
          <w:rFonts w:ascii="仿宋_GB2312" w:eastAsia="仿宋_GB2312" w:hint="eastAsia"/>
          <w:color w:val="000000"/>
          <w:sz w:val="32"/>
          <w:szCs w:val="32"/>
        </w:rPr>
        <w:t>2.99万元，</w:t>
      </w:r>
      <w:r>
        <w:rPr>
          <w:rStyle w:val="22"/>
          <w:rFonts w:ascii="仿宋" w:eastAsia="仿宋" w:hAnsi="仿宋" w:hint="eastAsia"/>
          <w:b w:val="0"/>
          <w:bCs/>
          <w:color w:val="000000"/>
          <w:sz w:val="32"/>
          <w:szCs w:val="32"/>
        </w:rPr>
        <w:t>完成预算的99.67</w:t>
      </w:r>
      <w:r>
        <w:rPr>
          <w:rStyle w:val="22"/>
          <w:rFonts w:ascii="仿宋" w:eastAsia="仿宋" w:hAnsi="仿宋"/>
          <w:b w:val="0"/>
          <w:bCs/>
          <w:color w:val="000000"/>
          <w:sz w:val="32"/>
          <w:szCs w:val="32"/>
        </w:rPr>
        <w:t>%</w:t>
      </w:r>
      <w:r>
        <w:rPr>
          <w:rStyle w:val="22"/>
          <w:rFonts w:ascii="仿宋" w:eastAsia="仿宋" w:hAnsi="仿宋" w:hint="eastAsia"/>
          <w:b w:val="0"/>
          <w:bCs/>
          <w:color w:val="000000"/>
          <w:sz w:val="32"/>
          <w:szCs w:val="32"/>
        </w:rPr>
        <w:t>。</w:t>
      </w:r>
      <w:r>
        <w:rPr>
          <w:rFonts w:ascii="仿宋_GB2312" w:eastAsia="仿宋_GB2312" w:hint="eastAsia"/>
          <w:color w:val="000000"/>
          <w:sz w:val="32"/>
          <w:szCs w:val="32"/>
        </w:rPr>
        <w:t>公务接待费支出决算与</w:t>
      </w:r>
      <w:r>
        <w:rPr>
          <w:rFonts w:ascii="仿宋_GB2312" w:eastAsia="仿宋_GB2312"/>
          <w:color w:val="000000"/>
          <w:sz w:val="32"/>
          <w:szCs w:val="32"/>
        </w:rPr>
        <w:t>201</w:t>
      </w:r>
      <w:r>
        <w:rPr>
          <w:rFonts w:ascii="仿宋_GB2312" w:eastAsia="仿宋_GB2312" w:hint="eastAsia"/>
          <w:color w:val="000000"/>
          <w:sz w:val="32"/>
          <w:szCs w:val="32"/>
        </w:rPr>
        <w:t>9年</w:t>
      </w:r>
      <w:r>
        <w:rPr>
          <w:rFonts w:ascii="仿宋_GB2312" w:eastAsia="仿宋_GB2312" w:hint="eastAsia"/>
          <w:color w:val="000000"/>
          <w:sz w:val="32"/>
          <w:szCs w:val="32"/>
          <w:lang w:eastAsia="zh-CN"/>
        </w:rPr>
        <w:t>基本</w:t>
      </w:r>
      <w:r>
        <w:rPr>
          <w:rFonts w:ascii="仿宋_GB2312" w:eastAsia="仿宋_GB2312" w:hint="eastAsia"/>
          <w:color w:val="000000"/>
          <w:sz w:val="32"/>
          <w:szCs w:val="32"/>
        </w:rPr>
        <w:t>持平。</w:t>
      </w:r>
    </w:p>
    <w:p>
      <w:pPr>
        <w:spacing w:line="600" w:lineRule="exact"/>
        <w:ind w:firstLine="640"/>
        <w:rPr>
          <w:rFonts w:ascii="仿宋_GB2312" w:eastAsia="仿宋_GB2312"/>
          <w:color w:val="000000"/>
          <w:sz w:val="32"/>
          <w:szCs w:val="32"/>
        </w:rPr>
      </w:pPr>
      <w:r>
        <w:rPr>
          <w:rFonts w:ascii="仿宋" w:eastAsia="仿宋" w:hAnsi="仿宋" w:hint="eastAsia"/>
          <w:b/>
          <w:color w:val="000000"/>
          <w:sz w:val="32"/>
          <w:szCs w:val="32"/>
        </w:rPr>
        <w:t>国内公务接待支出</w:t>
      </w:r>
      <w:r>
        <w:rPr>
          <w:rFonts w:ascii="仿宋" w:eastAsia="仿宋" w:hAnsi="仿宋" w:hint="eastAsia"/>
          <w:color w:val="000000"/>
          <w:sz w:val="32"/>
          <w:szCs w:val="32"/>
        </w:rPr>
        <w:t>2.99</w:t>
      </w:r>
      <w:r>
        <w:rPr>
          <w:rFonts w:ascii="仿宋_GB2312" w:eastAsia="仿宋_GB2312" w:hint="eastAsia"/>
          <w:color w:val="000000"/>
          <w:sz w:val="32"/>
          <w:szCs w:val="32"/>
        </w:rPr>
        <w:t>万元，主要用于执行公务来客接待用餐。国内公务接待30批次，275人次（不包括陪同人员），共计支出2.99万元，具体内容包括：上级审计部门安排的交叉审计项目接待，上级部门开展工作调研的接待支出，</w:t>
      </w:r>
      <w:r>
        <w:rPr>
          <w:rFonts w:ascii="仿宋_GB2312" w:eastAsia="仿宋_GB2312" w:hint="eastAsia"/>
          <w:color w:val="000000"/>
          <w:sz w:val="32"/>
          <w:szCs w:val="32"/>
          <w:lang w:eastAsia="zh-CN"/>
        </w:rPr>
        <w:t>脱贫</w:t>
      </w:r>
      <w:r>
        <w:rPr>
          <w:rFonts w:ascii="仿宋_GB2312" w:eastAsia="仿宋_GB2312" w:hint="eastAsia"/>
          <w:color w:val="000000"/>
          <w:sz w:val="32"/>
          <w:szCs w:val="32"/>
        </w:rPr>
        <w:t>帮扶村招商引资接待客商支出等。</w:t>
      </w:r>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 w:eastAsia="仿宋" w:hAnsi="仿宋" w:hint="eastAsia"/>
          <w:b/>
          <w:color w:val="000000"/>
          <w:sz w:val="32"/>
          <w:szCs w:val="32"/>
        </w:rPr>
        <w:t>外事接待支出</w:t>
      </w:r>
      <w:r>
        <w:rPr>
          <w:rFonts w:ascii="仿宋" w:eastAsia="仿宋" w:hAnsi="仿宋" w:hint="eastAsia"/>
          <w:color w:val="000000"/>
          <w:sz w:val="32"/>
          <w:szCs w:val="32"/>
        </w:rPr>
        <w:t>0</w:t>
      </w:r>
      <w:r>
        <w:rPr>
          <w:rFonts w:ascii="仿宋_GB2312" w:eastAsia="仿宋_GB2312" w:hint="eastAsia"/>
          <w:color w:val="000000"/>
          <w:sz w:val="32"/>
          <w:szCs w:val="32"/>
        </w:rPr>
        <w:t>万元</w:t>
      </w:r>
      <w:r>
        <w:rPr>
          <w:rFonts w:ascii="仿宋_GB2312" w:eastAsia="仿宋_GB2312" w:hint="eastAsia"/>
          <w:color w:val="000000"/>
          <w:sz w:val="32"/>
          <w:szCs w:val="32"/>
          <w14:textFill>
            <w14:solidFill>
              <w14:srgbClr w14:val="000000"/>
            </w14:solidFill>
          </w14:textFill>
        </w:rPr>
        <w:t>，外事接待0批次，0人，共计支出0万元。</w:t>
      </w:r>
      <w:bookmarkStart w:id="49" w:name="_Toc15396610"/>
      <w:bookmarkStart w:id="50" w:name="_Toc15377218"/>
    </w:p>
    <w:p>
      <w:pPr>
        <w:spacing w:line="600" w:lineRule="exact"/>
        <w:ind w:firstLine="640"/>
        <w:outlineLvl w:val="1"/>
        <w:rPr>
          <w:rStyle w:val="2Char"/>
          <w:rFonts w:ascii="黑体" w:eastAsia="黑体" w:hAnsi="黑体"/>
        </w:rPr>
      </w:pPr>
      <w:r>
        <w:rPr>
          <w:rFonts w:ascii="黑体" w:eastAsia="黑体" w:hint="eastAsia"/>
          <w:color w:val="000000"/>
          <w:sz w:val="32"/>
          <w:szCs w:val="32"/>
        </w:rPr>
        <w:t>八、</w:t>
      </w:r>
      <w:r>
        <w:rPr>
          <w:rStyle w:val="2Char"/>
          <w:rFonts w:ascii="黑体" w:eastAsia="黑体" w:hAnsi="黑体" w:hint="eastAsia"/>
          <w:b w:val="0"/>
        </w:rPr>
        <w:t>政府性基金预算支出决算情况说明</w:t>
      </w:r>
      <w:bookmarkEnd w:id="49"/>
      <w:bookmarkEnd w:id="50"/>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20年政府性基金预算拨款支出0万元。</w:t>
      </w:r>
    </w:p>
    <w:p>
      <w:pPr>
        <w:numPr>
          <w:ilvl w:val="0"/>
          <w:numId w:val="3"/>
        </w:numPr>
        <w:spacing w:line="600" w:lineRule="exact"/>
        <w:ind w:left="0" w:firstLine="640"/>
        <w:outlineLvl w:val="1"/>
        <w:rPr>
          <w:rStyle w:val="2Char"/>
          <w:rFonts w:ascii="黑体" w:eastAsia="黑体" w:hAnsi="黑体"/>
          <w:b w:val="0"/>
        </w:rPr>
      </w:pPr>
      <w:bookmarkStart w:id="51" w:name="_Toc15396611"/>
      <w:bookmarkStart w:id="52" w:name="_Toc15377219"/>
      <w:r>
        <w:rPr>
          <w:rStyle w:val="2Char"/>
          <w:rFonts w:ascii="黑体" w:eastAsia="黑体" w:hAnsi="黑体" w:hint="eastAsia"/>
          <w:b w:val="0"/>
        </w:rPr>
        <w:t>国有资本经营预算支出决算情况说明</w:t>
      </w:r>
      <w:bookmarkEnd w:id="51"/>
      <w:bookmarkEnd w:id="52"/>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20年国有资本经营预算拨款支出0万元。</w:t>
      </w:r>
    </w:p>
    <w:p>
      <w:pPr>
        <w:spacing w:line="600" w:lineRule="exact"/>
        <w:ind w:firstLineChars="150" w:firstLine="480"/>
        <w:outlineLvl w:val="1"/>
        <w:rPr>
          <w:rStyle w:val="2Char"/>
          <w:rFonts w:ascii="黑体" w:eastAsia="黑体" w:hAnsi="黑体"/>
        </w:rPr>
      </w:pPr>
      <w:bookmarkStart w:id="53" w:name="_Toc15396612"/>
      <w:bookmarkStart w:id="54" w:name="_Toc15377221"/>
      <w:r>
        <w:rPr>
          <w:rFonts w:ascii="黑体" w:eastAsia="黑体" w:hAnsi="黑体" w:hint="eastAsia"/>
          <w:color w:val="000000"/>
          <w:sz w:val="32"/>
          <w:szCs w:val="32"/>
        </w:rPr>
        <w:t>十</w:t>
      </w:r>
      <w:r>
        <w:rPr>
          <w:rStyle w:val="2Char"/>
          <w:rFonts w:ascii="黑体" w:eastAsia="黑体" w:hAnsi="黑体" w:hint="eastAsia"/>
        </w:rPr>
        <w:t>、</w:t>
      </w:r>
      <w:r>
        <w:rPr>
          <w:rStyle w:val="2Char"/>
          <w:rFonts w:ascii="黑体" w:eastAsia="黑体" w:hAnsi="黑体" w:hint="eastAsia"/>
          <w:b w:val="0"/>
        </w:rPr>
        <w:t>其他重要事项的情况说明</w:t>
      </w:r>
      <w:bookmarkEnd w:id="53"/>
      <w:bookmarkEnd w:id="54"/>
    </w:p>
    <w:p>
      <w:pPr>
        <w:spacing w:line="600" w:lineRule="exact"/>
        <w:ind w:firstLineChars="200" w:firstLine="640"/>
        <w:outlineLvl w:val="2"/>
        <w:rPr>
          <w:rStyle w:val="2Char"/>
          <w:rFonts w:ascii="黑体" w:eastAsia="黑体" w:hAnsi="黑体"/>
        </w:rPr>
      </w:pPr>
      <w:bookmarkStart w:id="55" w:name="_Toc15377222"/>
      <w:r>
        <w:rPr>
          <w:rFonts w:ascii="仿宋" w:eastAsia="仿宋" w:hAnsi="仿宋" w:hint="eastAsia"/>
          <w:b/>
          <w:color w:val="000000"/>
          <w:sz w:val="32"/>
          <w:szCs w:val="32"/>
        </w:rPr>
        <w:t>（一）</w:t>
      </w:r>
      <w:r>
        <w:rPr>
          <w:rStyle w:val="2Char"/>
          <w:rFonts w:ascii="黑体" w:eastAsia="黑体" w:hAnsi="黑体" w:hint="eastAsia"/>
        </w:rPr>
        <w:t>机关运行经费支出情况</w:t>
      </w:r>
      <w:bookmarkEnd w:id="55"/>
    </w:p>
    <w:p>
      <w:pPr>
        <w:spacing w:line="600" w:lineRule="exact"/>
        <w:ind w:firstLineChars="200" w:firstLine="640"/>
        <w:rPr>
          <w:rFonts w:ascii="仿宋_GB2312" w:eastAsia="仿宋_GB2312"/>
          <w:color w:val="000000"/>
          <w:sz w:val="32"/>
          <w:szCs w:val="32"/>
          <w14:textFill>
            <w14:solidFill>
              <w14:srgbClr w14:val="000000"/>
            </w14:solidFill>
          </w14:textFill>
        </w:rPr>
      </w:pPr>
      <w:r>
        <w:rPr>
          <w:rFonts w:ascii="仿宋_GB2312" w:eastAsia="仿宋_GB2312"/>
          <w:color w:val="000000"/>
          <w:sz w:val="32"/>
          <w:szCs w:val="32"/>
        </w:rPr>
        <w:t>20</w:t>
      </w:r>
      <w:r>
        <w:rPr>
          <w:rFonts w:ascii="仿宋_GB2312" w:eastAsia="仿宋_GB2312" w:hint="eastAsia"/>
          <w:color w:val="000000"/>
          <w:sz w:val="32"/>
          <w:szCs w:val="32"/>
        </w:rPr>
        <w:t>20年，机关运行经费支出67.18万元，比</w:t>
      </w:r>
      <w:r>
        <w:rPr>
          <w:rFonts w:ascii="仿宋_GB2312" w:eastAsia="仿宋_GB2312"/>
          <w:color w:val="000000"/>
          <w:sz w:val="32"/>
          <w:szCs w:val="32"/>
        </w:rPr>
        <w:t>201</w:t>
      </w:r>
      <w:r>
        <w:rPr>
          <w:rFonts w:ascii="仿宋_GB2312" w:eastAsia="仿宋_GB2312" w:hint="eastAsia"/>
          <w:color w:val="000000"/>
          <w:sz w:val="32"/>
          <w:szCs w:val="32"/>
        </w:rPr>
        <w:t>9年减少18.29万元，减少21.4</w:t>
      </w:r>
      <w:r>
        <w:rPr>
          <w:rFonts w:ascii="仿宋_GB2312" w:eastAsia="仿宋_GB2312"/>
          <w:color w:val="000000"/>
          <w:sz w:val="32"/>
          <w:szCs w:val="32"/>
        </w:rPr>
        <w:t>%</w:t>
      </w:r>
      <w:r>
        <w:rPr>
          <w:rFonts w:ascii="仿宋_GB2312" w:eastAsia="仿宋_GB2312" w:hint="eastAsia"/>
          <w:color w:val="000000"/>
          <w:sz w:val="32"/>
          <w:szCs w:val="32"/>
        </w:rPr>
        <w:t>。</w:t>
      </w:r>
      <w:r>
        <w:rPr>
          <w:rFonts w:ascii="仿宋_GB2312" w:eastAsia="仿宋_GB2312" w:hint="eastAsia"/>
          <w:color w:val="000000"/>
          <w:sz w:val="32"/>
          <w:szCs w:val="32"/>
          <w14:textFill>
            <w14:solidFill>
              <w14:srgbClr w14:val="000000"/>
            </w14:solidFill>
          </w14:textFill>
        </w:rPr>
        <w:t>主要原因2019年建审计大数据分析室购置设备支出，2020年</w:t>
      </w:r>
      <w:r>
        <w:rPr>
          <w:rFonts w:ascii="仿宋_GB2312" w:eastAsia="仿宋_GB2312" w:hint="eastAsia"/>
          <w:color w:val="000000"/>
          <w:sz w:val="32"/>
          <w:szCs w:val="32"/>
          <w14:textFill>
            <w14:solidFill>
              <w14:srgbClr w14:val="000000"/>
            </w14:solidFill>
          </w14:textFill>
          <w:lang w:eastAsia="zh-CN"/>
        </w:rPr>
        <w:t>不在实施这项工程，减少</w:t>
      </w:r>
      <w:r>
        <w:rPr>
          <w:rFonts w:ascii="仿宋_GB2312" w:eastAsia="仿宋_GB2312" w:hint="eastAsia"/>
          <w:color w:val="000000"/>
          <w:sz w:val="32"/>
          <w:szCs w:val="32"/>
          <w14:textFill>
            <w14:solidFill>
              <w14:srgbClr w14:val="000000"/>
            </w14:solidFill>
          </w14:textFill>
        </w:rPr>
        <w:t>这项支出费用。</w:t>
      </w:r>
    </w:p>
    <w:p>
      <w:pPr>
        <w:autoSpaceDE w:val="0"/>
        <w:autoSpaceDN w:val="0"/>
        <w:adjustRightInd w:val="0"/>
        <w:spacing w:line="600" w:lineRule="exact"/>
        <w:ind w:firstLineChars="200" w:firstLine="640"/>
        <w:jc w:val="left"/>
        <w:outlineLvl w:val="2"/>
        <w:rPr>
          <w:rStyle w:val="2Char"/>
          <w:rFonts w:ascii="黑体" w:eastAsia="黑体" w:hAnsi="黑体"/>
          <w:b w:val="0"/>
        </w:rPr>
      </w:pPr>
      <w:bookmarkStart w:id="56" w:name="_Toc15377223"/>
      <w:r>
        <w:rPr>
          <w:rFonts w:ascii="仿宋" w:eastAsia="仿宋" w:hAnsi="仿宋" w:hint="eastAsia"/>
          <w:b/>
          <w:color w:val="000000"/>
          <w:sz w:val="32"/>
          <w:szCs w:val="32"/>
        </w:rPr>
        <w:t>（二）</w:t>
      </w:r>
      <w:r>
        <w:rPr>
          <w:rStyle w:val="2Char"/>
          <w:rFonts w:ascii="黑体" w:eastAsia="黑体" w:hAnsi="黑体" w:hint="eastAsia"/>
          <w:b w:val="0"/>
        </w:rPr>
        <w:t>政府采购支出情况</w:t>
      </w:r>
      <w:bookmarkEnd w:id="56"/>
    </w:p>
    <w:p>
      <w:pPr>
        <w:spacing w:line="600" w:lineRule="exact"/>
        <w:ind w:firstLineChars="200" w:firstLine="640"/>
        <w:rPr>
          <w:rFonts w:ascii="仿宋_GB2312" w:eastAsia="仿宋_GB2312"/>
          <w:color w:val="000000"/>
          <w:sz w:val="32"/>
          <w:szCs w:val="32"/>
        </w:rPr>
      </w:pPr>
      <w:r>
        <w:rPr>
          <w:rFonts w:ascii="仿宋_GB2312" w:eastAsia="仿宋_GB2312"/>
          <w:color w:val="000000"/>
          <w:sz w:val="32"/>
          <w:szCs w:val="32"/>
        </w:rPr>
        <w:t>20</w:t>
      </w:r>
      <w:r>
        <w:rPr>
          <w:rFonts w:ascii="仿宋_GB2312" w:eastAsia="仿宋_GB2312" w:hint="eastAsia"/>
          <w:color w:val="000000"/>
          <w:sz w:val="32"/>
          <w:szCs w:val="32"/>
        </w:rPr>
        <w:t>20年，政府采购支出总额7.24万元，其中：政府采购货物支出7.24万元、政府采购工程支出0万元、政府采购服务支出0万元。主要用于购买便携式计算机。授予中小企业合同金额0万元，授予小微企业合同金额0万元。</w:t>
      </w:r>
    </w:p>
    <w:p>
      <w:pPr>
        <w:autoSpaceDE w:val="0"/>
        <w:autoSpaceDN w:val="0"/>
        <w:adjustRightInd w:val="0"/>
        <w:spacing w:line="600" w:lineRule="exact"/>
        <w:ind w:firstLineChars="200" w:firstLine="640"/>
        <w:jc w:val="left"/>
        <w:outlineLvl w:val="2"/>
        <w:rPr>
          <w:rFonts w:ascii="仿宋" w:eastAsia="仿宋" w:hAnsi="仿宋"/>
          <w:b/>
          <w:color w:val="000000"/>
          <w:sz w:val="32"/>
          <w:szCs w:val="32"/>
        </w:rPr>
      </w:pPr>
      <w:bookmarkStart w:id="57" w:name="_Toc15377224"/>
      <w:r>
        <w:rPr>
          <w:rStyle w:val="2Char"/>
          <w:rFonts w:ascii="黑体" w:eastAsia="黑体" w:hAnsi="黑体" w:hint="eastAsia"/>
          <w:b w:val="0"/>
        </w:rPr>
        <w:t>（三）</w:t>
      </w:r>
      <w:r>
        <w:rPr>
          <w:rStyle w:val="2Char"/>
          <w:rFonts w:ascii="黑体" w:eastAsia="黑体" w:hAnsi="黑体" w:hint="eastAsia"/>
        </w:rPr>
        <w:t>国有资产占有使用情况</w:t>
      </w:r>
      <w:bookmarkEnd w:id="57"/>
    </w:p>
    <w:p>
      <w:pPr>
        <w:autoSpaceDE w:val="0"/>
        <w:autoSpaceDN w:val="0"/>
        <w:adjustRightInd w:val="0"/>
        <w:spacing w:line="600" w:lineRule="exact"/>
        <w:ind w:firstLineChars="200" w:firstLine="640"/>
        <w:jc w:val="left"/>
        <w:rPr>
          <w:rFonts w:ascii="仿宋" w:eastAsia="仿宋" w:hAnsi="仿宋"/>
          <w:b/>
          <w:color w:val="FF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20年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日，共有车辆0辆，</w:t>
      </w:r>
      <w:r>
        <w:rPr>
          <w:rFonts w:ascii="仿宋_GB2312" w:eastAsia="仿宋_GB2312" w:hint="eastAsia"/>
          <w:color w:val="000000"/>
          <w:sz w:val="32"/>
          <w:szCs w:val="32"/>
          <w14:textFill>
            <w14:solidFill>
              <w14:srgbClr w14:val="000000"/>
            </w14:solidFill>
          </w14:textFill>
        </w:rPr>
        <w:t>单价</w:t>
      </w:r>
      <w:r>
        <w:rPr>
          <w:rFonts w:ascii="仿宋_GB2312" w:eastAsia="仿宋_GB2312"/>
          <w:color w:val="000000"/>
          <w:sz w:val="32"/>
          <w:szCs w:val="32"/>
          <w14:textFill>
            <w14:solidFill>
              <w14:srgbClr w14:val="000000"/>
            </w14:solidFill>
          </w14:textFill>
        </w:rPr>
        <w:t>50</w:t>
      </w:r>
      <w:r>
        <w:rPr>
          <w:rFonts w:ascii="仿宋_GB2312" w:eastAsia="仿宋_GB2312" w:hint="eastAsia"/>
          <w:color w:val="000000"/>
          <w:sz w:val="32"/>
          <w:szCs w:val="32"/>
          <w14:textFill>
            <w14:solidFill>
              <w14:srgbClr w14:val="000000"/>
            </w14:solidFill>
          </w14:textFill>
        </w:rPr>
        <w:t>万元以上通用设备0台（套），单价</w:t>
      </w:r>
      <w:r>
        <w:rPr>
          <w:rFonts w:ascii="仿宋_GB2312" w:eastAsia="仿宋_GB2312"/>
          <w:color w:val="000000"/>
          <w:sz w:val="32"/>
          <w:szCs w:val="32"/>
          <w14:textFill>
            <w14:solidFill>
              <w14:srgbClr w14:val="000000"/>
            </w14:solidFill>
          </w14:textFill>
        </w:rPr>
        <w:t>100</w:t>
      </w:r>
      <w:r>
        <w:rPr>
          <w:rFonts w:ascii="仿宋_GB2312" w:eastAsia="仿宋_GB2312" w:hint="eastAsia"/>
          <w:color w:val="000000"/>
          <w:sz w:val="32"/>
          <w:szCs w:val="32"/>
        </w:rPr>
        <w:t>万元以上专用设备0台（套）。</w:t>
      </w:r>
    </w:p>
    <w:p>
      <w:pPr>
        <w:spacing w:line="580" w:lineRule="exact"/>
        <w:ind w:firstLineChars="200" w:firstLine="640"/>
        <w:rPr>
          <w:rFonts w:ascii="仿宋_GB2312" w:eastAsia="仿宋_GB2312" w:cs="仿宋_GB2312" w:hAnsi="仿宋_GB2312"/>
          <w:sz w:val="32"/>
          <w:szCs w:val="32"/>
        </w:rPr>
      </w:pPr>
      <w:r>
        <w:rPr>
          <w:rStyle w:val="2Char"/>
          <w:rFonts w:ascii="黑体" w:eastAsia="黑体" w:hAnsi="黑体" w:hint="eastAsia"/>
          <w:b w:val="0"/>
        </w:rPr>
        <w:t>（四）预算绩效管理情况</w:t>
      </w:r>
      <w:r>
        <w:rPr>
          <w:rStyle w:val="22"/>
          <w:rFonts w:ascii="宋体" w:eastAsia="宋体" w:cs="宋体" w:hint="eastAsia"/>
          <w:sz w:val="32"/>
          <w:szCs w:val="32"/>
        </w:rPr>
        <w:br/>
      </w:r>
      <w:r>
        <w:rPr>
          <w:rFonts w:ascii="宋体" w:eastAsia="宋体" w:cs="宋体" w:hint="eastAsia"/>
          <w:sz w:val="32"/>
          <w:szCs w:val="32"/>
        </w:rPr>
        <w:t>　</w:t>
      </w:r>
      <w:r>
        <w:rPr>
          <w:rFonts w:ascii="宋体" w:eastAsia="宋体" w:cs="宋体" w:hint="eastAsia"/>
          <w:sz w:val="32"/>
          <w:szCs w:val="32"/>
          <w:lang w:val="en-US" w:eastAsia="zh-CN"/>
        </w:rPr>
        <w:t xml:space="preserve">   </w:t>
      </w:r>
      <w:r>
        <w:rPr>
          <w:rFonts w:ascii="仿宋_GB2312" w:eastAsia="仿宋_GB2312" w:cs="仿宋_GB2312" w:hAnsi="仿宋_GB2312" w:hint="eastAsia"/>
          <w:sz w:val="32"/>
          <w:szCs w:val="32"/>
        </w:rPr>
        <w:t>根据预算绩效管理要求，本部门在年初预算编制阶段，组织对“参加国家审计署、省审计厅、市审计局统一组织审计项目经费</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eastAsia="zh-CN"/>
        </w:rPr>
        <w:t>、跟踪审计项目管理</w:t>
      </w:r>
      <w:r>
        <w:rPr>
          <w:rFonts w:ascii="仿宋_GB2312" w:eastAsia="仿宋_GB2312" w:cs="仿宋_GB2312" w:hAnsi="仿宋_GB2312" w:hint="eastAsia"/>
          <w:sz w:val="32"/>
          <w:szCs w:val="32"/>
        </w:rPr>
        <w:t>”等</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个</w:t>
      </w:r>
      <w:r>
        <w:rPr>
          <w:rFonts w:ascii="仿宋_GB2312" w:eastAsia="仿宋_GB2312" w:cs="仿宋_GB2312" w:hAnsi="仿宋_GB2312" w:hint="eastAsia"/>
          <w:sz w:val="32"/>
          <w:szCs w:val="32"/>
          <w:lang w:val="en-US" w:eastAsia="zh-CN"/>
        </w:rPr>
        <w:t>(含整体和专项）</w:t>
      </w:r>
      <w:r>
        <w:rPr>
          <w:rFonts w:ascii="仿宋_GB2312" w:eastAsia="仿宋_GB2312" w:cs="仿宋_GB2312" w:hAnsi="仿宋_GB2312" w:hint="eastAsia"/>
          <w:sz w:val="32"/>
          <w:szCs w:val="32"/>
        </w:rPr>
        <w:t>项目开展了预算事前绩效评估，对</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个项目编制了绩效目标，预算执行过程中，选取</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个项目开展绩效监控，年终执行完毕后，对</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个项目开展了绩效目标完成情况自评。</w:t>
      </w:r>
    </w:p>
    <w:p>
      <w:pPr>
        <w:autoSpaceDE w:val="0"/>
        <w:autoSpaceDN w:val="0"/>
        <w:adjustRightInd w:val="0"/>
        <w:spacing w:line="600" w:lineRule="exact"/>
        <w:ind w:firstLineChars="200" w:firstLine="640"/>
        <w:jc w:val="left"/>
        <w:rPr>
          <w:rFonts w:ascii="仿宋_GB2312" w:eastAsia="仿宋_GB2312" w:hint="eastAsia"/>
          <w:color w:val="auto"/>
          <w:sz w:val="32"/>
          <w:szCs w:val="32"/>
          <w:lang w:val="en-US" w:eastAsia="zh-CN"/>
          <w:highlight w:val="auto"/>
        </w:rPr>
      </w:pPr>
      <w:r>
        <w:rPr>
          <w:rFonts w:ascii="仿宋_GB2312" w:eastAsia="仿宋_GB2312" w:cs="仿宋_GB2312" w:hAnsi="仿宋_GB2312" w:hint="eastAsia"/>
          <w:sz w:val="32"/>
          <w:szCs w:val="32"/>
          <w:lang w:eastAsia="zh-CN"/>
        </w:rPr>
        <w:t>区审计局</w:t>
      </w:r>
      <w:r>
        <w:rPr>
          <w:rFonts w:ascii="仿宋_GB2312" w:eastAsia="仿宋_GB2312" w:cs="仿宋_GB2312" w:hAnsi="仿宋_GB2312" w:hint="eastAsia"/>
          <w:sz w:val="32"/>
          <w:szCs w:val="32"/>
        </w:rPr>
        <w:t>按要求对</w:t>
      </w:r>
      <w:r>
        <w:rPr>
          <w:rFonts w:ascii="仿宋_GB2312" w:eastAsia="仿宋_GB2312" w:cs="仿宋_GB2312" w:hAnsi="仿宋_GB2312"/>
          <w:sz w:val="32"/>
          <w:szCs w:val="32"/>
        </w:rPr>
        <w:t>2020</w:t>
      </w:r>
      <w:r>
        <w:rPr>
          <w:rFonts w:ascii="仿宋_GB2312" w:eastAsia="仿宋_GB2312" w:cs="仿宋_GB2312" w:hAnsi="仿宋_GB2312" w:hint="eastAsia"/>
          <w:sz w:val="32"/>
          <w:szCs w:val="32"/>
        </w:rPr>
        <w:t>年部门整体支出开展绩效自评，从评价情况来看</w:t>
      </w:r>
      <w:r>
        <w:rPr>
          <w:rFonts w:ascii="仿宋_GB2312" w:eastAsia="仿宋_GB2312" w:cs="仿宋_GB2312" w:hAnsi="仿宋_GB2312" w:hint="eastAsia"/>
          <w:sz w:val="32"/>
          <w:szCs w:val="32"/>
          <w:lang w:eastAsia="zh-CN"/>
        </w:rPr>
        <w:t>区审计</w:t>
      </w:r>
      <w:r>
        <w:rPr>
          <w:rFonts w:ascii="仿宋_GB2312" w:eastAsia="仿宋_GB2312" w:hint="eastAsia"/>
          <w:color w:val="auto"/>
          <w:sz w:val="32"/>
          <w:szCs w:val="32"/>
          <w:lang w:val="en-US" w:eastAsia="zh-CN"/>
          <w:highlight w:val="auto"/>
        </w:rPr>
        <w:t>局设定的总体工作目标为坚持以习近平新时代中国特色社会主义思想为指导，全面贯彻党的十九大和十九届二中、三中、四中、全会精神，认真落实习近平总书记对审计和四川工作重要指示批示，按照省委十一届三次、四次、五次、六次全会和经济工作会议各项决策部署，紧扣全面建成小康社会目标任务，</w:t>
      </w:r>
      <w:r>
        <w:rPr>
          <w:rFonts w:ascii="仿宋_GB2312" w:eastAsia="仿宋_GB2312" w:hint="eastAsia"/>
          <w:color w:val="auto"/>
          <w:sz w:val="32"/>
          <w:szCs w:val="32"/>
          <w:lang w:val="en-US" w:eastAsia="zh-CN"/>
        </w:rPr>
        <w:t>坚持稳中求进工作总基调</w:t>
      </w:r>
      <w:r>
        <w:rPr>
          <w:rFonts w:ascii="仿宋_GB2312" w:eastAsia="仿宋_GB2312" w:hint="eastAsia"/>
          <w:color w:val="auto"/>
          <w:sz w:val="32"/>
          <w:szCs w:val="32"/>
          <w:lang w:val="en-US" w:eastAsia="zh-CN"/>
          <w:highlight w:val="auto"/>
        </w:rPr>
        <w:t>，坚持新发展理念，坚持以改革开放为动力，依法履行审计监督职责，做好常态化“经济体检”工作，推动稳增长、促改革、调结构、惠民生、防风险、保稳定各项工作，充分发挥审计在推进国家治理体系和治理能力现代化中的智能作用。</w:t>
      </w:r>
      <w:r>
        <w:rPr>
          <w:rFonts w:ascii="仿宋" w:eastAsia="仿宋" w:hAnsi="仿宋" w:hint="eastAsia"/>
          <w:sz w:val="32"/>
          <w:szCs w:val="32"/>
        </w:rPr>
        <w:t>2020年完成审计项目123个，其中计划内项目26个，交办项目97个</w:t>
      </w:r>
      <w:r>
        <w:rPr>
          <w:rFonts w:ascii="仿宋" w:eastAsia="仿宋" w:hAnsi="仿宋" w:hint="eastAsia"/>
          <w:sz w:val="32"/>
          <w:szCs w:val="32"/>
          <w:lang w:val="en-US" w:eastAsia="zh-CN"/>
        </w:rPr>
        <w:t>,</w:t>
      </w:r>
      <w:r>
        <w:rPr>
          <w:rFonts w:ascii="仿宋" w:eastAsia="仿宋" w:hAnsi="仿宋" w:hint="eastAsia"/>
          <w:sz w:val="32"/>
          <w:szCs w:val="32"/>
        </w:rPr>
        <w:t>审计监督资金180.41 亿元，债权债务核减</w:t>
      </w:r>
      <w:r>
        <w:rPr>
          <w:rFonts w:ascii="仿宋" w:eastAsia="仿宋" w:hAnsi="仿宋"/>
          <w:sz w:val="32"/>
          <w:szCs w:val="32"/>
        </w:rPr>
        <w:t>上报债务</w:t>
      </w:r>
      <w:r>
        <w:rPr>
          <w:rFonts w:ascii="仿宋" w:eastAsia="仿宋" w:hAnsi="仿宋" w:hint="eastAsia"/>
          <w:sz w:val="32"/>
          <w:szCs w:val="32"/>
        </w:rPr>
        <w:t>1.43亿，通过审计，为财政增收节支6860,21万元</w:t>
      </w:r>
      <w:r>
        <w:rPr>
          <w:rFonts w:ascii="仿宋" w:eastAsia="仿宋" w:hAnsi="仿宋" w:hint="eastAsia"/>
          <w:sz w:val="32"/>
          <w:szCs w:val="32"/>
          <w:lang w:val="en-US" w:eastAsia="zh-CN"/>
        </w:rPr>
        <w:t>,</w:t>
      </w:r>
      <w:r>
        <w:rPr>
          <w:rFonts w:ascii="仿宋" w:eastAsia="仿宋" w:hAnsi="仿宋" w:hint="eastAsia"/>
          <w:sz w:val="32"/>
          <w:szCs w:val="32"/>
        </w:rPr>
        <w:t>查处各类违规资金905万元，管理不规范资金18756万元，上缴财政资金1142万元，归还原渠道资金2246万元，调账处理2246万元，提出审计建议并采纳159条，《审计要情》《审计专报》被区委区政府主要领导肯定性批示11件，移送纪检监察等机关案件线索8件。2020年2月，</w:t>
      </w:r>
      <w:r>
        <w:rPr>
          <w:rFonts w:ascii="仿宋" w:eastAsia="仿宋" w:hAnsi="仿宋" w:hint="eastAsia"/>
          <w:sz w:val="32"/>
          <w:szCs w:val="32"/>
          <w:lang w:eastAsia="zh-CN"/>
        </w:rPr>
        <w:t>区审计</w:t>
      </w:r>
      <w:r>
        <w:rPr>
          <w:rFonts w:ascii="仿宋" w:eastAsia="仿宋" w:hAnsi="仿宋" w:hint="eastAsia"/>
          <w:sz w:val="32"/>
          <w:szCs w:val="32"/>
        </w:rPr>
        <w:t>局荣获四川省审计系统先进集体，组织实施的2015至2017年度易地扶贫搬迁等3项扶贫资金专项审计调查项目荣获“2019年度省审计厅优秀审计项目一等奖”</w:t>
      </w:r>
      <w:r>
        <w:rPr>
          <w:rFonts w:ascii="仿宋_GB2312" w:eastAsia="仿宋_GB2312" w:hint="eastAsia"/>
          <w:color w:val="auto"/>
          <w:sz w:val="32"/>
          <w:szCs w:val="32"/>
          <w:lang w:val="en-US" w:eastAsia="zh-CN"/>
          <w:highlight w:val="auto"/>
        </w:rPr>
        <w:t>为推动我区经济发展再上新台阶，全面建成小康社会和“十三五”规划圆满收官作出审计贡献。区审计局还自行组织了1个项目支出绩效评价，从评价情况来看参加全国、省、市统一审计项目资金主要保障全年审计工作上下一盘棋的总体要求，全年完成国家审计署、省审计厅及市审计局安排的到易地交叉审计项目、上级审计机关抽调审计人员及聘请专家的住宿费、差旅费、接待费、办公费等支出，该项目资金全年执行率100%，及时足额划拨到位，截至2020年12月31日，完成上级审计部门统一安排交叉审计项目12个，派出审计组12个，上级审计部门临时抽调审计人员参加区域外审计项目10人次，聘请审计项目所需专家类人才5人次。</w:t>
      </w:r>
    </w:p>
    <w:p>
      <w:pPr>
        <w:spacing w:line="580" w:lineRule="exact"/>
        <w:ind w:firstLineChars="200" w:firstLine="640"/>
        <w:rPr>
          <w:rFonts w:ascii="仿宋_GB2312" w:eastAsia="仿宋_GB2312" w:cs="仿宋_GB2312" w:hAnsi="仿宋_GB2312"/>
          <w:sz w:val="32"/>
          <w:szCs w:val="32"/>
        </w:rPr>
      </w:pPr>
      <w:r>
        <w:rPr>
          <w:rFonts w:ascii="楷体_GB2312" w:eastAsia="楷体_GB2312" w:cs="楷体_GB2312" w:hAnsi="楷体_GB2312"/>
          <w:sz w:val="32"/>
          <w:szCs w:val="32"/>
        </w:rPr>
        <w:t>1.</w:t>
      </w:r>
      <w:r>
        <w:rPr>
          <w:rFonts w:ascii="楷体_GB2312" w:eastAsia="楷体_GB2312" w:cs="楷体_GB2312" w:hAnsi="楷体_GB2312" w:hint="eastAsia"/>
          <w:sz w:val="32"/>
          <w:szCs w:val="32"/>
        </w:rPr>
        <w:t>项目绩效目标完成情况。</w:t>
      </w:r>
      <w:r>
        <w:rPr>
          <w:rFonts w:ascii="楷体_GB2312" w:eastAsia="楷体_GB2312" w:cs="楷体_GB2312" w:hAnsi="楷体_GB2312"/>
          <w:sz w:val="32"/>
          <w:szCs w:val="32"/>
        </w:rPr>
        <w:br/>
      </w:r>
      <w:r>
        <w:rPr>
          <w:rFonts w:ascii="仿宋_GB2312" w:eastAsia="仿宋_GB2312" w:cs="仿宋_GB2312" w:hAnsi="仿宋_GB2312"/>
          <w:sz w:val="32"/>
          <w:szCs w:val="32"/>
        </w:rPr>
        <w:t xml:space="preserve">    </w:t>
      </w:r>
      <w:r>
        <w:rPr>
          <w:rFonts w:ascii="仿宋_GB2312" w:eastAsia="仿宋_GB2312" w:cs="仿宋_GB2312" w:hAnsi="仿宋_GB2312" w:hint="eastAsia"/>
          <w:sz w:val="32"/>
          <w:szCs w:val="32"/>
        </w:rPr>
        <w:t>本部门在</w:t>
      </w:r>
      <w:r>
        <w:rPr>
          <w:rFonts w:ascii="仿宋_GB2312" w:eastAsia="仿宋_GB2312" w:cs="仿宋_GB2312" w:hAnsi="仿宋_GB2312"/>
          <w:sz w:val="32"/>
          <w:szCs w:val="32"/>
        </w:rPr>
        <w:t>2020</w:t>
      </w:r>
      <w:r>
        <w:rPr>
          <w:rFonts w:ascii="仿宋_GB2312" w:eastAsia="仿宋_GB2312" w:cs="仿宋_GB2312" w:hAnsi="仿宋_GB2312" w:hint="eastAsia"/>
          <w:sz w:val="32"/>
          <w:szCs w:val="32"/>
        </w:rPr>
        <w:t>年度部门决算中反映“参加国家审计署、省审计厅、市审计局统一组织审计项目经费</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跟踪审计项目管理</w:t>
      </w:r>
      <w:r>
        <w:rPr>
          <w:rFonts w:ascii="仿宋_GB2312" w:eastAsia="仿宋_GB2312" w:cs="仿宋_GB2312" w:hAnsi="仿宋_GB2312" w:hint="eastAsia"/>
          <w:sz w:val="32"/>
          <w:szCs w:val="32"/>
          <w:lang w:eastAsia="zh-CN"/>
        </w:rPr>
        <w:t>经费项目</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审计事务外调</w:t>
      </w:r>
      <w:r>
        <w:rPr>
          <w:rFonts w:ascii="仿宋_GB2312" w:eastAsia="仿宋_GB2312" w:cs="仿宋_GB2312" w:hAnsi="仿宋_GB2312" w:hint="eastAsia"/>
          <w:sz w:val="32"/>
          <w:szCs w:val="32"/>
        </w:rPr>
        <w:t>”等</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个项目绩效目标实际完成情况。</w:t>
      </w:r>
    </w:p>
    <w:p>
      <w:pPr>
        <w:spacing w:line="580" w:lineRule="exact"/>
        <w:ind w:firstLineChars="200" w:firstLine="640"/>
        <w:rPr>
          <w:rFonts w:ascii="仿宋_GB2312" w:eastAsia="仿宋_GB2312" w:cs="仿宋_GB2312" w:hAnsi="仿宋_GB2312" w:hint="eastAsia"/>
          <w:sz w:val="32"/>
          <w:szCs w:val="32"/>
          <w:lang w:eastAsia="zh-CN"/>
          <w:highlight w:val="auto"/>
        </w:rPr>
      </w:pP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val="en-US" w:eastAsia="zh-CN"/>
        </w:rPr>
        <w:t>1</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highlight w:val="auto"/>
        </w:rPr>
        <w:t>“</w:t>
      </w:r>
      <w:r>
        <w:rPr>
          <w:rFonts w:ascii="仿宋_GB2312" w:eastAsia="仿宋_GB2312" w:cs="仿宋_GB2312" w:hAnsi="仿宋_GB2312" w:hint="eastAsia"/>
          <w:sz w:val="32"/>
          <w:szCs w:val="32"/>
          <w:highlight w:val="auto"/>
        </w:rPr>
        <w:t>参加全国、省、市统一项目</w:t>
      </w:r>
      <w:r>
        <w:rPr>
          <w:rFonts w:ascii="仿宋_GB2312" w:eastAsia="仿宋_GB2312" w:cs="仿宋_GB2312" w:hAnsi="仿宋_GB2312" w:hint="eastAsia"/>
          <w:sz w:val="32"/>
          <w:szCs w:val="32"/>
          <w:lang w:eastAsia="zh-CN"/>
          <w:highlight w:val="auto"/>
        </w:rPr>
        <w:t>经费项目”</w:t>
      </w:r>
      <w:r>
        <w:rPr>
          <w:rFonts w:ascii="仿宋_GB2312" w:eastAsia="仿宋_GB2312" w:cs="仿宋_GB2312" w:hAnsi="仿宋_GB2312" w:hint="eastAsia"/>
          <w:sz w:val="32"/>
          <w:szCs w:val="32"/>
          <w:highlight w:val="auto"/>
        </w:rPr>
        <w:t>绩效目标完成情况综述。项目全年预算数58万元，执行数为58万元，完成预算的100%。通过项目实施，保障了上级审计部门安排的参加全国、省、市统一交叉审计项目及上级审计机关抽调审计人员的住宿费、交通费、生活补助、公杂费及办公费等支出，全年完成上级审计部门统一安排交叉审计项目</w:t>
      </w:r>
      <w:r>
        <w:rPr>
          <w:rFonts w:ascii="仿宋_GB2312" w:eastAsia="仿宋_GB2312" w:cs="仿宋_GB2312" w:hAnsi="仿宋_GB2312" w:hint="eastAsia"/>
          <w:sz w:val="32"/>
          <w:szCs w:val="32"/>
          <w:lang w:val="en-US" w:eastAsia="zh-CN"/>
          <w:highlight w:val="auto"/>
        </w:rPr>
        <w:t>12</w:t>
      </w:r>
      <w:r>
        <w:rPr>
          <w:rFonts w:ascii="仿宋_GB2312" w:eastAsia="仿宋_GB2312" w:cs="仿宋_GB2312" w:hAnsi="仿宋_GB2312" w:hint="eastAsia"/>
          <w:sz w:val="32"/>
          <w:szCs w:val="32"/>
          <w:highlight w:val="auto"/>
        </w:rPr>
        <w:t>个，派出审计组</w:t>
      </w:r>
      <w:r>
        <w:rPr>
          <w:rFonts w:ascii="仿宋_GB2312" w:eastAsia="仿宋_GB2312" w:cs="仿宋_GB2312" w:hAnsi="仿宋_GB2312" w:hint="eastAsia"/>
          <w:sz w:val="32"/>
          <w:szCs w:val="32"/>
          <w:lang w:val="en-US" w:eastAsia="zh-CN"/>
          <w:highlight w:val="auto"/>
        </w:rPr>
        <w:t>12</w:t>
      </w:r>
      <w:r>
        <w:rPr>
          <w:rFonts w:ascii="仿宋_GB2312" w:eastAsia="仿宋_GB2312" w:cs="仿宋_GB2312" w:hAnsi="仿宋_GB2312" w:hint="eastAsia"/>
          <w:sz w:val="32"/>
          <w:szCs w:val="32"/>
          <w:highlight w:val="auto"/>
        </w:rPr>
        <w:t>个，上级审计部门临时抽调审计人员参加区域外审计项目</w:t>
      </w:r>
      <w:r>
        <w:rPr>
          <w:rFonts w:ascii="仿宋_GB2312" w:eastAsia="仿宋_GB2312" w:cs="仿宋_GB2312" w:hAnsi="仿宋_GB2312" w:hint="eastAsia"/>
          <w:sz w:val="32"/>
          <w:szCs w:val="32"/>
          <w:lang w:val="en-US" w:eastAsia="zh-CN"/>
          <w:highlight w:val="auto"/>
        </w:rPr>
        <w:t>10</w:t>
      </w:r>
      <w:r>
        <w:rPr>
          <w:rFonts w:ascii="仿宋_GB2312" w:eastAsia="仿宋_GB2312" w:cs="仿宋_GB2312" w:hAnsi="仿宋_GB2312" w:hint="eastAsia"/>
          <w:sz w:val="32"/>
          <w:szCs w:val="32"/>
          <w:highlight w:val="auto"/>
        </w:rPr>
        <w:t>人次。</w:t>
      </w:r>
      <w:r>
        <w:rPr>
          <w:rFonts w:ascii="仿宋_GB2312" w:eastAsia="仿宋_GB2312" w:cs="仿宋_GB2312" w:hAnsi="仿宋_GB2312" w:hint="eastAsia"/>
          <w:sz w:val="32"/>
          <w:szCs w:val="32"/>
          <w:lang w:eastAsia="zh-CN"/>
          <w:highlight w:val="auto"/>
        </w:rPr>
        <w:t>发现的主要问题：全年区域外易地交叉审计项目多，人员出差时间长，造成单位资金压力较大，资金运转交为困难。下一步改进措施：减少外出审计组人数，缩减外出审计天数，争取预算投入，权力保障外出经费。</w:t>
      </w:r>
    </w:p>
    <w:p>
      <w:pPr>
        <w:spacing w:line="580" w:lineRule="exact"/>
        <w:ind w:firstLineChars="200" w:firstLine="640"/>
        <w:rPr>
          <w:rFonts w:ascii="仿宋_GB2312" w:eastAsia="仿宋_GB2312" w:cs="仿宋_GB2312" w:hAnsi="仿宋_GB2312" w:hint="eastAsia"/>
          <w:sz w:val="32"/>
          <w:szCs w:val="32"/>
          <w:lang w:eastAsia="zh-CN"/>
        </w:rPr>
      </w:pP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val="en-US" w:eastAsia="zh-CN"/>
        </w:rPr>
        <w:t>2</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跟踪审计项目管理</w:t>
      </w:r>
      <w:r>
        <w:rPr>
          <w:rFonts w:ascii="仿宋_GB2312" w:eastAsia="仿宋_GB2312" w:cs="仿宋_GB2312" w:hAnsi="仿宋_GB2312" w:hint="eastAsia"/>
          <w:sz w:val="32"/>
          <w:szCs w:val="32"/>
          <w:lang w:eastAsia="zh-CN"/>
        </w:rPr>
        <w:t>经费项目”</w:t>
      </w:r>
      <w:r>
        <w:rPr>
          <w:rFonts w:ascii="仿宋_GB2312" w:eastAsia="仿宋_GB2312" w:cs="仿宋_GB2312" w:hAnsi="仿宋_GB2312" w:hint="eastAsia"/>
          <w:sz w:val="32"/>
          <w:szCs w:val="32"/>
        </w:rPr>
        <w:t>绩效目标完成情况综述。该项目收到财政预算拨款</w:t>
      </w:r>
      <w:r>
        <w:rPr>
          <w:rFonts w:ascii="仿宋_GB2312" w:eastAsia="仿宋_GB2312" w:cs="仿宋_GB2312" w:hAnsi="仿宋_GB2312" w:hint="eastAsia"/>
          <w:sz w:val="32"/>
          <w:szCs w:val="32"/>
          <w:lang w:val="en-US" w:eastAsia="zh-CN"/>
        </w:rPr>
        <w:t>31</w:t>
      </w:r>
      <w:r>
        <w:rPr>
          <w:rFonts w:ascii="仿宋_GB2312" w:eastAsia="仿宋_GB2312" w:cs="仿宋_GB2312" w:hAnsi="仿宋_GB2312" w:hint="eastAsia"/>
          <w:sz w:val="32"/>
          <w:szCs w:val="32"/>
        </w:rPr>
        <w:t>万元，当年已全部使用，</w:t>
      </w:r>
      <w:r>
        <w:rPr>
          <w:rFonts w:ascii="仿宋_GB2312" w:eastAsia="仿宋_GB2312" w:cs="仿宋_GB2312" w:hAnsi="仿宋_GB2312" w:hint="eastAsia"/>
          <w:sz w:val="32"/>
          <w:szCs w:val="32"/>
          <w:lang w:eastAsia="zh-CN"/>
        </w:rPr>
        <w:t>主要用于</w:t>
      </w:r>
      <w:r>
        <w:rPr>
          <w:rFonts w:ascii="仿宋_GB2312" w:eastAsia="仿宋_GB2312" w:cs="仿宋_GB2312" w:hAnsi="仿宋_GB2312" w:hint="eastAsia"/>
          <w:sz w:val="32"/>
          <w:szCs w:val="32"/>
        </w:rPr>
        <w:t>开展</w:t>
      </w:r>
      <w:r>
        <w:rPr>
          <w:rFonts w:ascii="仿宋_GB2312" w:eastAsia="仿宋_GB2312" w:cs="仿宋_GB2312" w:hAnsi="仿宋_GB2312" w:hint="eastAsia"/>
          <w:sz w:val="32"/>
          <w:szCs w:val="32"/>
          <w:lang w:eastAsia="zh-CN"/>
        </w:rPr>
        <w:t>广元市利州区</w:t>
      </w:r>
      <w:r>
        <w:rPr>
          <w:rFonts w:ascii="仿宋_GB2312" w:eastAsia="仿宋_GB2312" w:cs="仿宋_GB2312" w:hAnsi="仿宋_GB2312" w:hint="eastAsia"/>
          <w:sz w:val="32"/>
          <w:szCs w:val="32"/>
        </w:rPr>
        <w:t>兴安初</w:t>
      </w:r>
      <w:r>
        <w:rPr>
          <w:rFonts w:ascii="仿宋_GB2312" w:eastAsia="仿宋_GB2312" w:cs="仿宋_GB2312" w:hAnsi="仿宋_GB2312" w:hint="eastAsia"/>
          <w:sz w:val="32"/>
          <w:szCs w:val="32"/>
          <w:lang w:eastAsia="zh-CN"/>
        </w:rPr>
        <w:t>级</w:t>
      </w:r>
      <w:r>
        <w:rPr>
          <w:rFonts w:ascii="仿宋_GB2312" w:eastAsia="仿宋_GB2312" w:cs="仿宋_GB2312" w:hAnsi="仿宋_GB2312" w:hint="eastAsia"/>
          <w:sz w:val="32"/>
          <w:szCs w:val="32"/>
        </w:rPr>
        <w:t>中</w:t>
      </w:r>
      <w:r>
        <w:rPr>
          <w:rFonts w:ascii="仿宋_GB2312" w:eastAsia="仿宋_GB2312" w:cs="仿宋_GB2312" w:hAnsi="仿宋_GB2312" w:hint="eastAsia"/>
          <w:sz w:val="32"/>
          <w:szCs w:val="32"/>
          <w:lang w:eastAsia="zh-CN"/>
        </w:rPr>
        <w:t>学</w:t>
      </w:r>
      <w:r>
        <w:rPr>
          <w:rFonts w:ascii="仿宋_GB2312" w:eastAsia="仿宋_GB2312" w:cs="仿宋_GB2312" w:hAnsi="仿宋_GB2312" w:hint="eastAsia"/>
          <w:sz w:val="32"/>
          <w:szCs w:val="32"/>
        </w:rPr>
        <w:t>等31重点投资项目的跟踪审计工作管理</w:t>
      </w:r>
      <w:r>
        <w:rPr>
          <w:rFonts w:ascii="仿宋_GB2312" w:eastAsia="仿宋_GB2312" w:cs="仿宋_GB2312" w:hAnsi="仿宋_GB2312" w:hint="eastAsia"/>
          <w:sz w:val="32"/>
          <w:szCs w:val="32"/>
          <w:lang w:eastAsia="zh-CN"/>
        </w:rPr>
        <w:t>及</w:t>
      </w:r>
      <w:r>
        <w:rPr>
          <w:rFonts w:ascii="仿宋_GB2312" w:eastAsia="仿宋_GB2312" w:cs="仿宋_GB2312" w:hAnsi="仿宋_GB2312" w:hint="eastAsia"/>
          <w:sz w:val="32"/>
          <w:szCs w:val="32"/>
        </w:rPr>
        <w:t>与移动公司联合开发“政府投资审计监管管理平台建设 ，全力推进投资审计“三个转变”，促进重大投资项目审计提速增效。通过该项目的实施实现</w:t>
      </w:r>
      <w:r>
        <w:rPr>
          <w:rFonts w:ascii="仿宋_GB2312" w:eastAsia="仿宋_GB2312" w:cs="仿宋_GB2312" w:hAnsi="仿宋_GB2312" w:hint="eastAsia"/>
          <w:sz w:val="32"/>
          <w:szCs w:val="32"/>
          <w:lang w:eastAsia="zh-CN"/>
        </w:rPr>
        <w:t>了实时开展跟踪监督管理</w:t>
      </w:r>
      <w:r>
        <w:rPr>
          <w:rFonts w:ascii="仿宋_GB2312" w:eastAsia="仿宋_GB2312" w:cs="仿宋_GB2312" w:hAnsi="仿宋_GB2312" w:hint="eastAsia"/>
          <w:sz w:val="32"/>
          <w:szCs w:val="32"/>
        </w:rPr>
        <w:t>中介机构跟踪审计项目业务</w:t>
      </w:r>
      <w:r>
        <w:rPr>
          <w:rFonts w:ascii="仿宋_GB2312" w:eastAsia="仿宋_GB2312" w:cs="仿宋_GB2312" w:hAnsi="仿宋_GB2312" w:hint="eastAsia"/>
          <w:sz w:val="32"/>
          <w:szCs w:val="32"/>
          <w:lang w:eastAsia="zh-CN"/>
        </w:rPr>
        <w:t>开展情况，安全有效使用财政资金、防治损失浪费、提高投资效益。发现的主要问题：</w:t>
      </w:r>
      <w:r>
        <w:rPr>
          <w:rFonts w:ascii="仿宋_GB2312" w:eastAsia="仿宋_GB2312" w:cs="仿宋_GB2312" w:hAnsi="仿宋_GB2312"/>
          <w:sz w:val="32"/>
          <w:szCs w:val="32"/>
          <w:lang w:eastAsia="zh-CN"/>
        </w:rPr>
        <w:t>由于很多中介机构参审人员之前未参加过政府投资审计项目</w:t>
      </w:r>
      <w:r>
        <w:rPr>
          <w:rFonts w:ascii="仿宋_GB2312" w:eastAsia="仿宋_GB2312" w:cs="仿宋_GB2312" w:hAnsi="仿宋_GB2312" w:hint="eastAsia"/>
          <w:sz w:val="32"/>
          <w:szCs w:val="32"/>
          <w:lang w:eastAsia="zh-CN"/>
        </w:rPr>
        <w:t>的跟踪管理</w:t>
      </w:r>
      <w:r>
        <w:rPr>
          <w:rFonts w:ascii="仿宋_GB2312" w:eastAsia="仿宋_GB2312" w:cs="仿宋_GB2312" w:hAnsi="仿宋_GB2312"/>
          <w:sz w:val="32"/>
          <w:szCs w:val="32"/>
          <w:lang w:eastAsia="zh-CN"/>
        </w:rPr>
        <w:t>，部分中介机构参审人员存在审计证据的取证、材料的撰写不规范，问题表述不够清晰，工作不够积极大胆等方面的问题。</w:t>
      </w:r>
      <w:r>
        <w:rPr>
          <w:rFonts w:ascii="仿宋_GB2312" w:eastAsia="仿宋_GB2312" w:cs="仿宋_GB2312" w:hAnsi="仿宋_GB2312" w:hint="eastAsia"/>
          <w:sz w:val="32"/>
          <w:szCs w:val="32"/>
          <w:lang w:eastAsia="zh-CN"/>
        </w:rPr>
        <w:t>下一步改进措施：</w:t>
      </w:r>
      <w:r>
        <w:rPr>
          <w:rFonts w:ascii="仿宋_GB2312" w:eastAsia="仿宋_GB2312" w:cs="仿宋_GB2312" w:hAnsi="仿宋_GB2312"/>
          <w:sz w:val="32"/>
          <w:szCs w:val="32"/>
          <w:lang w:eastAsia="zh-CN"/>
        </w:rPr>
        <w:t>加强对现场中介机构参审人员抓住审计线索、抓实证据链条等审计业务及方法的指导和督促，确保审计质量。</w:t>
      </w:r>
    </w:p>
    <w:p>
      <w:pPr>
        <w:spacing w:line="580" w:lineRule="exact"/>
        <w:ind w:firstLineChars="200" w:firstLine="640"/>
        <w:rPr>
          <w:rFonts w:ascii="仿宋" w:eastAsia="仿宋" w:hAnsi="仿宋" w:hint="eastAsia"/>
          <w:sz w:val="32"/>
          <w:szCs w:val="32"/>
          <w:lang w:eastAsia="zh-CN"/>
        </w:rPr>
      </w:pP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val="en-US" w:eastAsia="zh-CN"/>
        </w:rPr>
        <w:t>3</w:t>
      </w:r>
      <w:r>
        <w:rPr>
          <w:rFonts w:ascii="仿宋_GB2312" w:eastAsia="仿宋_GB2312" w:cs="仿宋_GB2312" w:hAnsi="仿宋_GB2312" w:hint="eastAsia"/>
          <w:sz w:val="32"/>
          <w:szCs w:val="32"/>
        </w:rPr>
        <w:t>）</w:t>
      </w:r>
      <w:r>
        <w:rPr>
          <w:rFonts w:ascii="仿宋_GB2312" w:eastAsia="仿宋_GB2312" w:cs="仿宋_GB2312" w:hAnsi="仿宋_GB2312" w:hint="eastAsia"/>
          <w:sz w:val="32"/>
          <w:szCs w:val="32"/>
          <w:lang w:eastAsia="zh-CN"/>
        </w:rPr>
        <w:t>“审计事务外调”项目</w:t>
      </w:r>
      <w:r>
        <w:rPr>
          <w:rFonts w:ascii="仿宋_GB2312" w:eastAsia="仿宋_GB2312" w:cs="仿宋_GB2312" w:hAnsi="仿宋_GB2312" w:hint="eastAsia"/>
          <w:sz w:val="32"/>
          <w:szCs w:val="32"/>
        </w:rPr>
        <w:t>目标完成情况综述。该项</w:t>
      </w:r>
      <w:r>
        <w:rPr>
          <w:rFonts w:ascii="仿宋_GB2312" w:eastAsia="仿宋_GB2312" w:cs="仿宋_GB2312" w:hAnsi="仿宋_GB2312" w:hint="eastAsia"/>
          <w:sz w:val="32"/>
          <w:szCs w:val="32"/>
          <w:lang w:eastAsia="zh-CN"/>
        </w:rPr>
        <w:t>目收到</w:t>
      </w:r>
      <w:r>
        <w:rPr>
          <w:rFonts w:ascii="仿宋_GB2312" w:eastAsia="仿宋_GB2312" w:cs="仿宋_GB2312" w:hAnsi="仿宋_GB2312" w:hint="eastAsia"/>
          <w:sz w:val="32"/>
          <w:szCs w:val="32"/>
        </w:rPr>
        <w:t>财政预算拨款</w:t>
      </w:r>
      <w:r>
        <w:rPr>
          <w:rFonts w:ascii="仿宋_GB2312" w:eastAsia="仿宋_GB2312" w:cs="仿宋_GB2312" w:hAnsi="仿宋_GB2312" w:hint="eastAsia"/>
          <w:sz w:val="32"/>
          <w:szCs w:val="32"/>
          <w:lang w:val="en-US" w:eastAsia="zh-CN"/>
        </w:rPr>
        <w:t>63.51</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eastAsia="zh-CN"/>
        </w:rPr>
        <w:t>当年</w:t>
      </w:r>
      <w:r>
        <w:rPr>
          <w:rFonts w:ascii="仿宋_GB2312" w:eastAsia="仿宋_GB2312" w:cs="仿宋_GB2312" w:hAnsi="仿宋_GB2312" w:hint="eastAsia"/>
          <w:sz w:val="32"/>
          <w:szCs w:val="32"/>
        </w:rPr>
        <w:t>已经全部使用</w:t>
      </w:r>
      <w:r>
        <w:rPr>
          <w:rFonts w:ascii="仿宋_GB2312" w:eastAsia="仿宋_GB2312" w:cs="仿宋_GB2312" w:hAnsi="仿宋_GB2312" w:hint="eastAsia"/>
          <w:sz w:val="32"/>
          <w:szCs w:val="32"/>
          <w:lang w:eastAsia="zh-CN"/>
        </w:rPr>
        <w:t>完毕。主要用于支付</w:t>
      </w:r>
      <w:r>
        <w:rPr>
          <w:rFonts w:ascii="仿宋_GB2312" w:eastAsia="仿宋_GB2312" w:cs="仿宋_GB2312" w:hAnsi="仿宋_GB2312" w:hint="eastAsia"/>
          <w:sz w:val="32"/>
          <w:szCs w:val="32"/>
          <w:lang w:val="en-US" w:eastAsia="zh-CN"/>
        </w:rPr>
        <w:t>123个</w:t>
      </w:r>
      <w:r>
        <w:rPr>
          <w:rFonts w:ascii="仿宋_GB2312" w:eastAsia="仿宋_GB2312" w:cs="仿宋_GB2312" w:hAnsi="仿宋_GB2312" w:hint="eastAsia"/>
          <w:sz w:val="32"/>
          <w:szCs w:val="32"/>
          <w:lang w:eastAsia="zh-CN"/>
        </w:rPr>
        <w:t>审计项目开展中的差旅费支出，保障审计人员严格按照审计“八不准”和四严禁的要求开展审计工作，确保廉洁从审，确保审计人员外出开展审计调查工作的独立性，</w:t>
      </w:r>
      <w:r>
        <w:rPr>
          <w:rFonts w:ascii="仿宋" w:eastAsia="仿宋" w:hAnsi="仿宋" w:hint="eastAsia"/>
          <w:sz w:val="32"/>
          <w:szCs w:val="32"/>
          <w:lang w:val="en-US" w:eastAsia="zh-CN"/>
        </w:rPr>
        <w:t>100%</w:t>
      </w:r>
      <w:r>
        <w:rPr>
          <w:rFonts w:ascii="仿宋" w:eastAsia="仿宋" w:hAnsi="仿宋" w:hint="eastAsia"/>
          <w:sz w:val="32"/>
          <w:szCs w:val="32"/>
        </w:rPr>
        <w:t>完成审计项目</w:t>
      </w:r>
      <w:r>
        <w:rPr>
          <w:rFonts w:ascii="仿宋" w:eastAsia="仿宋" w:hAnsi="仿宋" w:hint="eastAsia"/>
          <w:sz w:val="32"/>
          <w:szCs w:val="32"/>
          <w:lang w:eastAsia="zh-CN"/>
        </w:rPr>
        <w:t>任务。发现的主要问题：审计人员外出频率较高，发生的差旅费补助及住宿费用多，资金保障困难。下一步改进措施：减少外出审计人数，缩短外出审计天数，加大财政预算额度。</w:t>
      </w:r>
    </w:p>
    <w:p>
      <w:pPr>
        <w:spacing w:line="580" w:lineRule="exact"/>
        <w:ind w:firstLineChars="200"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lang w:eastAsia="zh-CN"/>
        </w:rPr>
        <w:t>）“投资项目稽查经费”项目</w:t>
      </w:r>
      <w:r>
        <w:rPr>
          <w:rFonts w:ascii="仿宋_GB2312" w:eastAsia="仿宋_GB2312" w:cs="仿宋_GB2312" w:hAnsi="仿宋_GB2312" w:hint="eastAsia"/>
          <w:sz w:val="32"/>
          <w:szCs w:val="32"/>
        </w:rPr>
        <w:t>目标完成情况综述</w:t>
      </w:r>
      <w:r>
        <w:rPr>
          <w:rFonts w:ascii="仿宋_GB2312" w:eastAsia="仿宋_GB2312" w:cs="仿宋_GB2312" w:hAnsi="仿宋_GB2312" w:hint="eastAsia"/>
          <w:sz w:val="32"/>
          <w:szCs w:val="32"/>
          <w:lang w:eastAsia="zh-CN"/>
        </w:rPr>
        <w:t>。</w:t>
      </w:r>
      <w:r>
        <w:rPr>
          <w:rFonts w:ascii="仿宋_GB2312" w:eastAsia="仿宋_GB2312" w:cs="仿宋_GB2312" w:hAnsi="仿宋_GB2312" w:hint="eastAsia"/>
          <w:sz w:val="32"/>
          <w:szCs w:val="32"/>
        </w:rPr>
        <w:t>该项</w:t>
      </w:r>
      <w:r>
        <w:rPr>
          <w:rFonts w:ascii="仿宋_GB2312" w:eastAsia="仿宋_GB2312" w:cs="仿宋_GB2312" w:hAnsi="仿宋_GB2312" w:hint="eastAsia"/>
          <w:sz w:val="32"/>
          <w:szCs w:val="32"/>
          <w:lang w:eastAsia="zh-CN"/>
        </w:rPr>
        <w:t>目收到</w:t>
      </w:r>
      <w:r>
        <w:rPr>
          <w:rFonts w:ascii="仿宋_GB2312" w:eastAsia="仿宋_GB2312" w:cs="仿宋_GB2312" w:hAnsi="仿宋_GB2312" w:hint="eastAsia"/>
          <w:sz w:val="32"/>
          <w:szCs w:val="32"/>
        </w:rPr>
        <w:t>财政预算拨款</w:t>
      </w:r>
      <w:r>
        <w:rPr>
          <w:rFonts w:ascii="仿宋_GB2312" w:eastAsia="仿宋_GB2312" w:cs="仿宋_GB2312" w:hAnsi="仿宋_GB2312" w:hint="eastAsia"/>
          <w:sz w:val="32"/>
          <w:szCs w:val="32"/>
          <w:lang w:val="en-US" w:eastAsia="zh-CN"/>
        </w:rPr>
        <w:t>5</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eastAsia="zh-CN"/>
        </w:rPr>
        <w:t>当年</w:t>
      </w:r>
      <w:r>
        <w:rPr>
          <w:rFonts w:ascii="仿宋_GB2312" w:eastAsia="仿宋_GB2312" w:cs="仿宋_GB2312" w:hAnsi="仿宋_GB2312" w:hint="eastAsia"/>
          <w:sz w:val="32"/>
          <w:szCs w:val="32"/>
        </w:rPr>
        <w:t>已经全部使用</w:t>
      </w:r>
      <w:r>
        <w:rPr>
          <w:rFonts w:ascii="仿宋_GB2312" w:eastAsia="仿宋_GB2312" w:cs="仿宋_GB2312" w:hAnsi="仿宋_GB2312" w:hint="eastAsia"/>
          <w:sz w:val="32"/>
          <w:szCs w:val="32"/>
          <w:lang w:eastAsia="zh-CN"/>
        </w:rPr>
        <w:t>完毕。</w:t>
      </w:r>
      <w:r>
        <w:rPr>
          <w:rFonts w:ascii="仿宋_GB2312" w:eastAsia="仿宋_GB2312" w:cs="仿宋_GB2312" w:hAnsi="仿宋_GB2312" w:hint="eastAsia"/>
          <w:sz w:val="32"/>
          <w:szCs w:val="32"/>
          <w:lang w:val="en-US" w:eastAsia="zh-CN"/>
        </w:rPr>
        <w:t>主要用于聘请行业专家5人次开展政府投资重点工程项目合规性检查，全年开展监督检查工作21次，督查重大项目10个。通过开展此项工作进一步规范了项目建设单位的项目管理，规范重大建设项目稽查工作，确保五方主体履职尽责，发挥财政资金使用绩效。在绩效目标评价方面未发现问题。</w:t>
      </w:r>
    </w:p>
    <w:p>
      <w:pPr>
        <w:spacing w:line="580" w:lineRule="exact"/>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 xml:space="preserve">    （5）“审计职业化培训经费”项目目标完成情况综述。</w:t>
      </w:r>
      <w:r>
        <w:rPr>
          <w:rFonts w:ascii="仿宋_GB2312" w:eastAsia="仿宋_GB2312" w:cs="仿宋_GB2312" w:hAnsi="仿宋_GB2312" w:hint="eastAsia"/>
          <w:sz w:val="32"/>
          <w:szCs w:val="32"/>
        </w:rPr>
        <w:t>该项工程财政预算拨款</w:t>
      </w:r>
      <w:r>
        <w:rPr>
          <w:rFonts w:ascii="仿宋_GB2312" w:eastAsia="仿宋_GB2312" w:cs="仿宋_GB2312" w:hAnsi="仿宋_GB2312" w:hint="eastAsia"/>
          <w:sz w:val="32"/>
          <w:szCs w:val="32"/>
          <w:lang w:val="en-US" w:eastAsia="zh-CN"/>
        </w:rPr>
        <w:t>4</w:t>
      </w:r>
      <w:r>
        <w:rPr>
          <w:rFonts w:ascii="仿宋_GB2312" w:eastAsia="仿宋_GB2312" w:cs="仿宋_GB2312" w:hAnsi="仿宋_GB2312" w:hint="eastAsia"/>
          <w:sz w:val="32"/>
          <w:szCs w:val="32"/>
        </w:rPr>
        <w:t>万元，</w:t>
      </w:r>
      <w:r>
        <w:rPr>
          <w:rFonts w:ascii="仿宋_GB2312" w:eastAsia="仿宋_GB2312" w:cs="仿宋_GB2312" w:hAnsi="仿宋_GB2312" w:hint="eastAsia"/>
          <w:sz w:val="32"/>
          <w:szCs w:val="32"/>
          <w:lang w:eastAsia="zh-CN"/>
        </w:rPr>
        <w:t>当年</w:t>
      </w:r>
      <w:r>
        <w:rPr>
          <w:rFonts w:ascii="仿宋_GB2312" w:eastAsia="仿宋_GB2312" w:cs="仿宋_GB2312" w:hAnsi="仿宋_GB2312" w:hint="eastAsia"/>
          <w:sz w:val="32"/>
          <w:szCs w:val="32"/>
        </w:rPr>
        <w:t>已经全部使用</w:t>
      </w:r>
      <w:r>
        <w:rPr>
          <w:rFonts w:ascii="仿宋_GB2312" w:eastAsia="仿宋_GB2312" w:cs="仿宋_GB2312" w:hAnsi="仿宋_GB2312" w:hint="eastAsia"/>
          <w:sz w:val="32"/>
          <w:szCs w:val="32"/>
          <w:lang w:eastAsia="zh-CN"/>
        </w:rPr>
        <w:t>完毕。主要用于职工外出参加培训期间的差旅费补助、购买学习资料及向全区</w:t>
      </w:r>
      <w:r>
        <w:rPr>
          <w:rFonts w:ascii="仿宋_GB2312" w:eastAsia="仿宋_GB2312" w:cs="仿宋_GB2312" w:hAnsi="仿宋_GB2312" w:hint="eastAsia"/>
          <w:sz w:val="32"/>
          <w:szCs w:val="32"/>
          <w:lang w:val="en-US" w:eastAsia="zh-CN"/>
        </w:rPr>
        <w:t>14个</w:t>
      </w:r>
      <w:r>
        <w:rPr>
          <w:rFonts w:ascii="仿宋_GB2312" w:eastAsia="仿宋_GB2312" w:cs="仿宋_GB2312" w:hAnsi="仿宋_GB2312" w:hint="eastAsia"/>
          <w:sz w:val="32"/>
          <w:szCs w:val="32"/>
          <w:lang w:eastAsia="zh-CN"/>
        </w:rPr>
        <w:t>乡镇、街道办事处的内审机构订阅审计杂志支出。区审计局</w:t>
      </w:r>
      <w:r>
        <w:rPr>
          <w:rFonts w:ascii="仿宋_GB2312" w:eastAsia="仿宋_GB2312" w:cs="仿宋_GB2312" w:hAnsi="仿宋_GB2312" w:hint="eastAsia"/>
          <w:color w:val="auto"/>
          <w:sz w:val="32"/>
          <w:szCs w:val="32"/>
          <w:highlight w:val="auto"/>
        </w:rPr>
        <w:t>高度重视干部能力提升，努力造就一支忠诚干净担当的专业化审计队伍，更好发挥审计在党和国家监督体系中的重要作用。科学谋划干部教育培训工作，突出政治能力提升，</w:t>
      </w:r>
      <w:r>
        <w:rPr>
          <w:rFonts w:ascii="仿宋_GB2312" w:eastAsia="仿宋_GB2312" w:cs="仿宋_GB2312" w:hAnsi="仿宋_GB2312" w:hint="eastAsia"/>
          <w:color w:val="auto"/>
          <w:sz w:val="32"/>
          <w:szCs w:val="32"/>
          <w:lang w:eastAsia="zh-CN"/>
          <w:highlight w:val="auto"/>
        </w:rPr>
        <w:t>在经费支出上</w:t>
      </w:r>
      <w:r>
        <w:rPr>
          <w:rFonts w:ascii="仿宋_GB2312" w:eastAsia="仿宋_GB2312" w:cs="仿宋_GB2312" w:hAnsi="仿宋_GB2312" w:hint="eastAsia"/>
          <w:color w:val="auto"/>
          <w:sz w:val="32"/>
          <w:szCs w:val="32"/>
          <w:highlight w:val="auto"/>
        </w:rPr>
        <w:t>，精打细算，认真调整落实年度培训计划，突出针对性实效性，注重“零基础”人员学习</w:t>
      </w:r>
      <w:r>
        <w:rPr>
          <w:rFonts w:ascii="仿宋_GB2312" w:eastAsia="仿宋_GB2312" w:cs="仿宋_GB2312" w:hAnsi="仿宋_GB2312" w:hint="eastAsia"/>
          <w:color w:val="auto"/>
          <w:sz w:val="32"/>
          <w:szCs w:val="32"/>
          <w:lang w:eastAsia="zh-CN"/>
          <w:highlight w:val="auto"/>
        </w:rPr>
        <w:t>培养工作</w:t>
      </w:r>
      <w:r>
        <w:rPr>
          <w:rFonts w:ascii="仿宋_GB2312" w:eastAsia="仿宋_GB2312" w:cs="仿宋_GB2312" w:hAnsi="仿宋_GB2312" w:hint="eastAsia"/>
          <w:color w:val="auto"/>
          <w:sz w:val="32"/>
          <w:szCs w:val="32"/>
          <w:highlight w:val="auto"/>
        </w:rPr>
        <w:t>，注重全方位培养锻造干部</w:t>
      </w:r>
      <w:r>
        <w:rPr>
          <w:rFonts w:ascii="仿宋_GB2312" w:eastAsia="仿宋_GB2312" w:cs="仿宋_GB2312" w:hAnsi="仿宋_GB2312" w:hint="eastAsia"/>
          <w:sz w:val="32"/>
          <w:szCs w:val="32"/>
          <w:lang w:eastAsia="zh-CN"/>
        </w:rPr>
        <w:t>通过该项目的实施，</w:t>
      </w:r>
      <w:r>
        <w:rPr>
          <w:rFonts w:ascii="仿宋_GB2312" w:eastAsia="仿宋_GB2312" w:cs="仿宋_GB2312" w:hAnsi="仿宋_GB2312" w:hint="eastAsia"/>
          <w:sz w:val="32"/>
          <w:szCs w:val="32"/>
          <w:lang w:val="en-US" w:eastAsia="zh-CN"/>
        </w:rPr>
        <w:t>全面提高了审计业务能力，2020年3人通过中级审计师考试，1人通过税务师考试，1人通过审计署计算机审计中级考试。发现的主要问题：</w:t>
      </w:r>
      <w:r>
        <w:rPr>
          <w:rFonts w:ascii="仿宋_GB2312" w:eastAsia="仿宋_GB2312" w:cs="仿宋_GB2312" w:hAnsi="仿宋_GB2312" w:hint="eastAsia"/>
          <w:color w:val="auto"/>
          <w:sz w:val="32"/>
          <w:szCs w:val="32"/>
          <w:lang w:val="en-US" w:eastAsia="zh-CN"/>
          <w:highlight w:val="auto"/>
        </w:rPr>
        <w:t>一是派员参加培训的时间长短不一，培训效果参差不齐；二是上级审计机关安排给县区培训名额相对较少。</w:t>
      </w:r>
      <w:r>
        <w:rPr>
          <w:rFonts w:ascii="仿宋_GB2312" w:eastAsia="仿宋_GB2312" w:cs="仿宋_GB2312" w:hAnsi="仿宋_GB2312" w:hint="eastAsia"/>
          <w:color w:val="auto"/>
          <w:sz w:val="32"/>
          <w:szCs w:val="32"/>
          <w:highlight w:val="auto"/>
        </w:rPr>
        <w:t>下一步改进措施：</w:t>
      </w:r>
      <w:r>
        <w:rPr>
          <w:rFonts w:ascii="仿宋_GB2312" w:eastAsia="仿宋_GB2312" w:cs="仿宋_GB2312" w:hAnsi="仿宋_GB2312" w:hint="eastAsia"/>
          <w:kern w:val="2"/>
          <w:sz w:val="32"/>
          <w:szCs w:val="21"/>
          <w:lang w:val="en-US" w:eastAsia="zh-CN"/>
          <w:highlight w:val="auto"/>
        </w:rPr>
        <w:t>以审计业务能力提升为抓手，着眼专业对应、岗位对应、层次对应，着重提高干部“能查、能说、能写”的能力，进一步统筹安排全员参与与提升审计能力有关的各类培训。</w:t>
      </w:r>
    </w:p>
    <w:p>
      <w:pPr>
        <w:spacing w:line="580" w:lineRule="exact"/>
        <w:ind w:firstLineChars="200" w:firstLine="640"/>
        <w:rPr>
          <w:rFonts w:ascii="仿宋_GB2312" w:eastAsia="仿宋_GB2312" w:cs="仿宋_GB2312" w:hAnsi="仿宋_GB2312"/>
          <w:sz w:val="32"/>
          <w:szCs w:val="32"/>
          <w:lang w:val="en-US" w:eastAsia="zh-CN"/>
        </w:rPr>
      </w:pPr>
    </w:p>
    <w:p>
      <w:pPr>
        <w:spacing w:line="580" w:lineRule="exact"/>
        <w:rPr>
          <w:rFonts w:ascii="仿宋_GB2312" w:eastAsia="仿宋_GB2312" w:cs="仿宋_GB2312" w:hAnsi="仿宋_GB2312"/>
          <w:sz w:val="32"/>
          <w:szCs w:val="32"/>
          <w:lang w:val="en-US" w:eastAsia="zh-CN"/>
        </w:rPr>
      </w:pPr>
    </w:p>
    <w:p>
      <w:pPr>
        <w:spacing w:line="580" w:lineRule="exact"/>
        <w:ind w:firstLineChars="200" w:firstLine="640"/>
        <w:rPr>
          <w:rFonts w:ascii="仿宋_GB2312" w:eastAsia="仿宋_GB2312" w:cs="仿宋_GB2312" w:hAnsi="仿宋_GB2312"/>
          <w:sz w:val="32"/>
          <w:szCs w:val="32"/>
          <w:lang w:val="en-US" w:eastAsia="zh-CN"/>
        </w:rPr>
      </w:pPr>
    </w:p>
    <w:p>
      <w:pPr>
        <w:spacing w:line="580" w:lineRule="exact"/>
        <w:ind w:firstLineChars="200" w:firstLine="640"/>
        <w:rPr>
          <w:rFonts w:ascii="仿宋_GB2312" w:eastAsia="仿宋_GB2312" w:cs="仿宋_GB2312" w:hAnsi="仿宋_GB2312"/>
          <w:sz w:val="32"/>
          <w:szCs w:val="32"/>
          <w:lang w:val="en-US" w:eastAsia="zh-CN"/>
        </w:rPr>
      </w:pPr>
    </w:p>
    <w:p>
      <w:pPr>
        <w:spacing w:line="580" w:lineRule="exact"/>
        <w:ind w:firstLineChars="200" w:firstLine="640"/>
        <w:rPr>
          <w:rFonts w:ascii="仿宋_GB2312" w:eastAsia="仿宋_GB2312" w:cs="仿宋_GB2312" w:hAnsi="仿宋_GB2312"/>
          <w:sz w:val="32"/>
          <w:szCs w:val="32"/>
          <w:lang w:val="en-US" w:eastAsia="zh-CN"/>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hint="eastAsia"/>
                <w:color w:val="000000"/>
                <w:kern w:val="0"/>
                <w:sz w:val="36"/>
                <w:szCs w:val="36"/>
                <w:lang w:val="en-US" w:eastAsia="zh-CN"/>
              </w:rPr>
              <w:t>20</w:t>
            </w:r>
            <w:r>
              <w:rPr>
                <w:rFonts w:ascii="宋体" w:cs="宋体" w:hAnsi="宋体" w:hint="eastAsia"/>
                <w:color w:val="000000"/>
                <w:kern w:val="0"/>
                <w:sz w:val="36"/>
                <w:szCs w:val="36"/>
              </w:rPr>
              <w:t xml:space="preserve">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参加全国、省、市统一审计项目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广元市利州区审计局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58</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58</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58</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58</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根据审计工作上下一盘棋的总体要求，全年完成全国、省、市交叉审计项目及上级审计机关抽调人员的住宿费、差旅费、接待费、办公费等支出费用。</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完成上级审计部门统一安排交叉审计项目</w:t>
            </w:r>
            <w:r>
              <w:rPr>
                <w:rFonts w:ascii="宋体" w:cs="宋体" w:hAnsi="宋体" w:hint="eastAsia"/>
                <w:color w:val="000000"/>
                <w:sz w:val="24"/>
                <w:lang w:val="en-US" w:eastAsia="zh-CN"/>
              </w:rPr>
              <w:t>12</w:t>
            </w:r>
            <w:r>
              <w:rPr>
                <w:rFonts w:ascii="宋体" w:cs="宋体" w:hAnsi="宋体" w:hint="eastAsia"/>
                <w:color w:val="000000"/>
                <w:sz w:val="24"/>
              </w:rPr>
              <w:t>个，派出审计组</w:t>
            </w:r>
            <w:r>
              <w:rPr>
                <w:rFonts w:ascii="宋体" w:cs="宋体" w:hAnsi="宋体" w:hint="eastAsia"/>
                <w:color w:val="000000"/>
                <w:sz w:val="24"/>
                <w:lang w:val="en-US" w:eastAsia="zh-CN"/>
              </w:rPr>
              <w:t>12</w:t>
            </w:r>
            <w:r>
              <w:rPr>
                <w:rFonts w:ascii="宋体" w:cs="宋体" w:hAnsi="宋体" w:hint="eastAsia"/>
                <w:color w:val="000000"/>
                <w:sz w:val="24"/>
              </w:rPr>
              <w:t>个，上级审计部门临时抽调审计人员参加区域外审计项目</w:t>
            </w:r>
            <w:r>
              <w:rPr>
                <w:rFonts w:ascii="宋体" w:cs="宋体" w:hAnsi="宋体" w:hint="eastAsia"/>
                <w:color w:val="000000"/>
                <w:sz w:val="24"/>
                <w:lang w:val="en-US" w:eastAsia="zh-CN"/>
              </w:rPr>
              <w:t>10</w:t>
            </w:r>
            <w:r>
              <w:rPr>
                <w:rFonts w:ascii="宋体" w:cs="宋体" w:hAnsi="宋体" w:hint="eastAsia"/>
                <w:color w:val="000000"/>
                <w:sz w:val="24"/>
              </w:rPr>
              <w:t>人次.</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做好上级审计部门统一安排的交叉审计项目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预计派出</w:t>
            </w:r>
            <w:r>
              <w:rPr>
                <w:rFonts w:ascii="宋体" w:cs="宋体" w:hAnsi="宋体" w:hint="eastAsia"/>
                <w:color w:val="000000"/>
                <w:sz w:val="24"/>
                <w:lang w:val="en-US" w:eastAsia="zh-CN"/>
              </w:rPr>
              <w:t>12</w:t>
            </w:r>
            <w:r>
              <w:rPr>
                <w:rFonts w:ascii="宋体" w:cs="宋体" w:hAnsi="宋体" w:hint="eastAsia"/>
                <w:color w:val="000000"/>
                <w:sz w:val="24"/>
              </w:rPr>
              <w:t>个审计组，完成</w:t>
            </w:r>
            <w:r>
              <w:rPr>
                <w:rFonts w:ascii="宋体" w:cs="宋体" w:hAnsi="宋体" w:hint="eastAsia"/>
                <w:color w:val="000000"/>
                <w:sz w:val="24"/>
                <w:lang w:val="en-US" w:eastAsia="zh-CN"/>
              </w:rPr>
              <w:t>12</w:t>
            </w:r>
            <w:r>
              <w:rPr>
                <w:rFonts w:ascii="宋体" w:cs="宋体" w:hAnsi="宋体" w:hint="eastAsia"/>
                <w:color w:val="000000"/>
                <w:sz w:val="24"/>
              </w:rPr>
              <w:t>个交叉审计项目。</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派出</w:t>
            </w:r>
            <w:r>
              <w:rPr>
                <w:rFonts w:ascii="宋体" w:cs="宋体" w:hAnsi="宋体" w:hint="eastAsia"/>
                <w:color w:val="000000"/>
                <w:sz w:val="24"/>
                <w:lang w:val="en-US" w:eastAsia="zh-CN"/>
              </w:rPr>
              <w:t>12</w:t>
            </w:r>
            <w:r>
              <w:rPr>
                <w:rFonts w:ascii="宋体" w:cs="宋体" w:hAnsi="宋体" w:hint="eastAsia"/>
                <w:color w:val="000000"/>
                <w:sz w:val="24"/>
              </w:rPr>
              <w:t>个审计组，完成</w:t>
            </w:r>
            <w:r>
              <w:rPr>
                <w:rFonts w:ascii="宋体" w:cs="宋体" w:hAnsi="宋体" w:hint="eastAsia"/>
                <w:color w:val="000000"/>
                <w:sz w:val="24"/>
                <w:lang w:val="en-US" w:eastAsia="zh-CN"/>
              </w:rPr>
              <w:t>12</w:t>
            </w:r>
            <w:r>
              <w:rPr>
                <w:rFonts w:ascii="宋体" w:cs="宋体" w:hAnsi="宋体" w:hint="eastAsia"/>
                <w:color w:val="000000"/>
                <w:sz w:val="24"/>
              </w:rPr>
              <w:t>个交叉审计项目</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坚持审计的独立性，及时完成上级审计部门统一安排的审计工作</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将严格执行审计程序，按项目实施方案要求完成审计任务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全面完成</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每个审计项目按照审计实施方案规定的时间完成各项审计任务</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按时完成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按时完成</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办公费、差旅费</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全面保障</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全面保障</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以促进国家重大决策部署贯彻落实、推动现代财政制度建设、促进国家财政经济安全和财政资金规范高效运行为目标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加强审计监督，维护国家财政经济秩序，提高财政资金使用效益，促进廉政建设，保障国民经济健康发展</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加强审计监督，维护国家财政经济秩序，提高财政资金使用效益，促进廉政建设，保障国民经济健康发展</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坚持依法审计、文明审计、廉洁审计，严格执行审计工作程序和各环节质量控制，确保审计成果经得起历史检验。</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充分发挥审计在推进国家治理体系和治理能力中的职能作用，促进财政资金提质增效</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发挥审计在推进国家治理体系和治理能力中的职能作用，促进财政资金提质增效</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上级审计部门满意度、被审计单位满意度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hint="eastAsia"/>
                <w:color w:val="000000"/>
                <w:kern w:val="0"/>
                <w:sz w:val="36"/>
                <w:szCs w:val="36"/>
                <w:lang w:val="en-US" w:eastAsia="zh-CN"/>
              </w:rPr>
              <w:t>20</w:t>
            </w:r>
            <w:r>
              <w:rPr>
                <w:rFonts w:ascii="宋体" w:cs="宋体" w:hAnsi="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both"/>
              <w:textAlignment w:val="center"/>
              <w:rPr>
                <w:rFonts w:ascii="宋体" w:cs="宋体" w:hAnsi="宋体"/>
                <w:color w:val="000000"/>
                <w:sz w:val="24"/>
              </w:rPr>
            </w:pPr>
            <w:r>
              <w:rPr>
                <w:rFonts w:ascii="仿宋_GB2312" w:eastAsia="仿宋_GB2312" w:cs="仿宋_GB2312" w:hAnsi="仿宋_GB2312" w:hint="eastAsia"/>
                <w:sz w:val="32"/>
                <w:szCs w:val="32"/>
              </w:rPr>
              <w:t>跟踪审计项目管理</w:t>
            </w:r>
            <w:r>
              <w:rPr>
                <w:rFonts w:ascii="仿宋_GB2312" w:eastAsia="仿宋_GB2312" w:cs="仿宋_GB2312" w:hAnsi="仿宋_GB2312" w:hint="eastAsia"/>
                <w:sz w:val="32"/>
                <w:szCs w:val="32"/>
                <w:lang w:eastAsia="zh-CN"/>
              </w:rPr>
              <w:t>经费项目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广元市利州区审计局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31</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31</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31</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31</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79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预计对广元市利州区</w:t>
            </w:r>
            <w:r>
              <w:rPr>
                <w:rFonts w:ascii="宋体" w:cs="宋体" w:hAnsi="宋体" w:hint="eastAsia"/>
                <w:color w:val="000000"/>
                <w:sz w:val="24"/>
              </w:rPr>
              <w:t>兴安初</w:t>
            </w:r>
            <w:r>
              <w:rPr>
                <w:rFonts w:ascii="宋体" w:cs="宋体" w:hAnsi="宋体" w:hint="eastAsia"/>
                <w:color w:val="000000"/>
                <w:sz w:val="24"/>
                <w:lang w:eastAsia="zh-CN"/>
              </w:rPr>
              <w:t>级</w:t>
            </w:r>
            <w:r>
              <w:rPr>
                <w:rFonts w:ascii="宋体" w:cs="宋体" w:hAnsi="宋体" w:hint="eastAsia"/>
                <w:color w:val="000000"/>
                <w:sz w:val="24"/>
              </w:rPr>
              <w:t>中</w:t>
            </w:r>
            <w:r>
              <w:rPr>
                <w:rFonts w:ascii="宋体" w:cs="宋体" w:hAnsi="宋体" w:hint="eastAsia"/>
                <w:color w:val="000000"/>
                <w:sz w:val="24"/>
                <w:lang w:eastAsia="zh-CN"/>
              </w:rPr>
              <w:t>学</w:t>
            </w:r>
            <w:r>
              <w:rPr>
                <w:rFonts w:ascii="宋体" w:cs="宋体" w:hAnsi="宋体" w:hint="eastAsia"/>
                <w:color w:val="000000"/>
                <w:sz w:val="24"/>
              </w:rPr>
              <w:t>等31重点投资项目的跟踪审计工作管理。与移动公司联合开发“政府投资审计监管管理平台建设 ，全力推进投资审计“三个转变”，促进重大投资项目审计提速增效。</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eastAsia="zh-CN"/>
              </w:rPr>
              <w:t>对广元市利州区</w:t>
            </w:r>
            <w:r>
              <w:rPr>
                <w:rFonts w:ascii="宋体" w:cs="宋体" w:hAnsi="宋体" w:hint="eastAsia"/>
                <w:color w:val="000000"/>
                <w:sz w:val="24"/>
              </w:rPr>
              <w:t>兴安初</w:t>
            </w:r>
            <w:r>
              <w:rPr>
                <w:rFonts w:ascii="宋体" w:cs="宋体" w:hAnsi="宋体" w:hint="eastAsia"/>
                <w:color w:val="000000"/>
                <w:sz w:val="24"/>
                <w:lang w:eastAsia="zh-CN"/>
              </w:rPr>
              <w:t>级</w:t>
            </w:r>
            <w:r>
              <w:rPr>
                <w:rFonts w:ascii="宋体" w:cs="宋体" w:hAnsi="宋体" w:hint="eastAsia"/>
                <w:color w:val="000000"/>
                <w:sz w:val="24"/>
              </w:rPr>
              <w:t>中</w:t>
            </w:r>
            <w:r>
              <w:rPr>
                <w:rFonts w:ascii="宋体" w:cs="宋体" w:hAnsi="宋体" w:hint="eastAsia"/>
                <w:color w:val="000000"/>
                <w:sz w:val="24"/>
                <w:lang w:eastAsia="zh-CN"/>
              </w:rPr>
              <w:t>学</w:t>
            </w:r>
            <w:r>
              <w:rPr>
                <w:rFonts w:ascii="宋体" w:cs="宋体" w:hAnsi="宋体" w:hint="eastAsia"/>
                <w:color w:val="000000"/>
                <w:sz w:val="24"/>
              </w:rPr>
              <w:t>等31重点投资项目的跟踪审计工作管理。与移动公司联合开发“政府投资审计监管管理平台建设 ，全力推进投资审计“三个转变”，促进重大投资项目审计提速增效。</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指标1：跟踪审计管理项目数量。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 xml:space="preserve"> 31个</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31个 </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指标1： 监督中介机构跟踪审计项目业务开展次数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平均每个项目每月到现场实施审计监督检查不少于2次，每次不少于2人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平均每个项目每月到现场实施审计监督检查3次，每次3人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完成时间</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按项目进度及时检查督促，每个季度末月的10日前提交相关审计材料，每个季度末月的15日前负责汇总，并向市局报送跟踪审计综合报告、问题清单和整改台账，同时抄送区政府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重点对环境保护和水土保持情况、跟踪审计中介机构履职情况、建设资金筹集、管理使用和投资完成情况、参建主体履职履约情况、现场管理情况、重大工程变更、隐蔽工程验收情况、征地拆迁情况、审计发现问题整改情况等方面进行全面督查。查处问题63个，提出审计整改建议58条，发出跟踪审计月报165份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管理费用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31万元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31万元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监督财政资金额度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82.31亿元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82.31亿元 </w:t>
            </w:r>
            <w:r>
              <w:rPr>
                <w:rFonts w:ascii="宋体" w:cs="宋体" w:hAnsi="宋体" w:hint="eastAsia"/>
                <w:color w:val="000000"/>
                <w:sz w:val="24"/>
              </w:rPr>
              <w:t xml:space="preserve">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hint="eastAsia"/>
                <w:color w:val="000000"/>
                <w:sz w:val="24"/>
                <w:lang w:val="en-US" w:eastAsia="zh-CN"/>
              </w:rPr>
            </w:pPr>
            <w:r>
              <w:rPr>
                <w:rFonts w:ascii="宋体" w:cs="宋体" w:hAnsi="宋体" w:hint="eastAsia"/>
                <w:color w:val="000000"/>
                <w:sz w:val="24"/>
                <w:lang w:val="en-US" w:eastAsia="zh-CN"/>
              </w:rPr>
              <w:t>安全有效使用财政资金、防治损失浪费、提高投资效益。</w:t>
            </w:r>
          </w:p>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不断提高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上级审计部门满意度、被审计单位满意度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hint="eastAsia"/>
                <w:b/>
                <w:bCs/>
                <w:color w:val="000000"/>
                <w:kern w:val="0"/>
                <w:sz w:val="36"/>
                <w:szCs w:val="36"/>
              </w:rPr>
            </w:pPr>
          </w:p>
          <w:p>
            <w:pPr>
              <w:widowControl/>
              <w:jc w:val="center"/>
              <w:textAlignment w:val="center"/>
              <w:rPr>
                <w:rFonts w:ascii="宋体" w:cs="宋体" w:hAnsi="宋体" w:hint="eastAsia"/>
                <w:b/>
                <w:bCs/>
                <w:color w:val="000000"/>
                <w:kern w:val="0"/>
                <w:sz w:val="36"/>
                <w:szCs w:val="36"/>
              </w:rPr>
            </w:pPr>
          </w:p>
          <w:p>
            <w:pPr>
              <w:widowControl/>
              <w:jc w:val="center"/>
              <w:textAlignment w:val="center"/>
              <w:rPr>
                <w:rFonts w:ascii="宋体" w:cs="宋体" w:hAnsi="宋体" w:hint="eastAsia"/>
                <w:b/>
                <w:bCs/>
                <w:color w:val="000000"/>
                <w:kern w:val="0"/>
                <w:sz w:val="36"/>
                <w:szCs w:val="36"/>
              </w:rPr>
            </w:pPr>
          </w:p>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hint="eastAsia"/>
                <w:color w:val="000000"/>
                <w:kern w:val="0"/>
                <w:sz w:val="36"/>
                <w:szCs w:val="36"/>
                <w:lang w:val="en-US" w:eastAsia="zh-CN"/>
              </w:rPr>
              <w:t>20</w:t>
            </w:r>
            <w:r>
              <w:rPr>
                <w:rFonts w:ascii="宋体" w:cs="宋体" w:hAnsi="宋体" w:hint="eastAsia"/>
                <w:color w:val="000000"/>
                <w:kern w:val="0"/>
                <w:sz w:val="36"/>
                <w:szCs w:val="36"/>
              </w:rPr>
              <w:t>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仿宋_GB2312" w:eastAsia="仿宋_GB2312" w:cs="仿宋_GB2312" w:hAnsi="仿宋_GB2312" w:hint="eastAsia"/>
                <w:sz w:val="32"/>
                <w:szCs w:val="32"/>
                <w:lang w:val="en-US" w:eastAsia="zh-CN"/>
              </w:rPr>
              <w:t xml:space="preserve">审计事务外调项目 </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广元市利州区审计局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63.51</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63.51</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63.51</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63.51</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按照审计“八不准”和四严禁的要求，确保廉洁从审，保障审计人员外出开展审计调查工作的独立性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用于支付123个审计项目开展中的差旅费支出，保障审计人员严格按照审计“八不准”和四严禁的要求开展审计工作，确保廉洁从审，确保审计人员外出开展审计调查工作的独立性，100%完成审计项目任务</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全年完成审计项目计划数量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30个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123个 </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完成上级领导临时交办审计项目</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按交办数量完成</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完成8件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支付时效性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按月支付</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按月支付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所需经费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63.51万元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63.51万元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textAlignment w:val="center"/>
              <w:rPr>
                <w:rFonts w:ascii="宋体" w:cs="宋体" w:hAnsi="宋体"/>
                <w:color w:val="000000"/>
                <w:sz w:val="24"/>
              </w:rPr>
            </w:pPr>
            <w:r>
              <w:rPr>
                <w:rFonts w:ascii="宋体" w:cs="宋体" w:hAnsi="宋体" w:hint="eastAsia"/>
                <w:color w:val="000000"/>
                <w:kern w:val="0"/>
                <w:sz w:val="24"/>
                <w:lang w:val="en-US" w:eastAsia="zh-CN"/>
              </w:rPr>
              <w:t xml:space="preserve"> </w:t>
            </w:r>
            <w:r>
              <w:rPr>
                <w:rFonts w:ascii="宋体" w:cs="宋体" w:hAnsi="宋体" w:hint="eastAsia"/>
                <w:color w:val="000000"/>
                <w:kern w:val="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lang w:val="en-US" w:eastAsia="zh-CN"/>
              </w:rPr>
              <w:t xml:space="preserve">审计工作开展的独立性 </w:t>
            </w:r>
            <w:r>
              <w:rPr>
                <w:rFonts w:ascii="宋体" w:cs="宋体" w:hAnsi="宋体" w:hint="eastAsia"/>
                <w:color w:val="000000"/>
                <w:sz w:val="24"/>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全面独立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全面独立 </w:t>
            </w:r>
          </w:p>
        </w:tc>
      </w:tr>
    </w:tbl>
    <w:p>
      <w:pPr>
        <w:spacing w:line="580" w:lineRule="exact"/>
        <w:rPr>
          <w:rFonts w:ascii="仿宋_GB2312" w:eastAsia="仿宋_GB2312" w:cs="仿宋_GB2312" w:hAnsi="仿宋_GB2312"/>
          <w:sz w:val="32"/>
          <w:szCs w:val="32"/>
        </w:rPr>
      </w:pPr>
    </w:p>
    <w:tbl>
      <w:tblPr>
        <w:tblpPr w:leftFromText="180" w:rightFromText="180" w:vertAnchor="text" w:horzAnchor="page" w:tblpXSpec="center" w:tblpY="423"/>
        <w:tblOverlap w:val="never"/>
        <w:tblW w:w="9960" w:type="dxa"/>
        <w:tblBorders>
          <w:top w:val="none" w:sz="0" w:space="0" w:color="auto"/>
          <w:left w:val="none" w:sz="0" w:space="0" w:color="auto"/>
          <w:bottom w:val="none" w:sz="0" w:space="0" w:color="auto"/>
          <w:right w:val="none" w:sz="0" w:space="0" w:color="auto"/>
        </w:tblBorders>
        <w:tblLayout w:type="fixed"/>
        <w:tblCellMar>
          <w:top w:w="0" w:type="dxa"/>
          <w:left w:w="0" w:type="dxa"/>
          <w:bottom w:w="0" w:type="dxa"/>
          <w:right w:w="0" w:type="dxa"/>
        </w:tblCellMar>
      </w:tblPr>
      <w:tblGrid>
        <w:gridCol w:w="390"/>
        <w:gridCol w:w="1367"/>
        <w:gridCol w:w="1025"/>
        <w:gridCol w:w="2392"/>
        <w:gridCol w:w="2394"/>
        <w:gridCol w:w="2392"/>
      </w:tblGrid>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hint="eastAsia"/>
                <w:color w:val="000000"/>
                <w:kern w:val="0"/>
                <w:sz w:val="36"/>
                <w:szCs w:val="36"/>
                <w:lang w:val="en-US" w:eastAsia="zh-CN"/>
              </w:rPr>
              <w:t>20</w:t>
            </w:r>
            <w:r>
              <w:rPr>
                <w:rFonts w:ascii="宋体" w:cs="宋体" w:hAnsi="宋体" w:hint="eastAsia"/>
                <w:color w:val="000000"/>
                <w:kern w:val="0"/>
                <w:sz w:val="36"/>
                <w:szCs w:val="36"/>
              </w:rPr>
              <w:t xml:space="preserve">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投资项目稽查经费</w:t>
            </w:r>
            <w:r>
              <w:rPr>
                <w:rFonts w:ascii="宋体" w:cs="宋体" w:hAnsi="宋体" w:hint="eastAsia"/>
                <w:color w:val="000000"/>
                <w:sz w:val="24"/>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广元市利州区审计局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5</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聘请专家开展政府投资重点工程项目合规性检查，督查重大项目的建设单位进一步规范项目管理，规范重大建设项目稽查工作，确保五方主体履职尽责，发挥财政资金使用绩效。 </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主要用于聘请行业专家5人次开展政府投资重点工程项目合规性检查，全年开展监督检查工作21次，督查重大项目10个 </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政府重点投资项目监督数量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全面监督</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全面监督 </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监督取得的效果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保障重点工程建设项目按规范实施，确保五方主体履职尽责，全力保障建设质量和工程进度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100%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检查次数</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季度稽查、时点稽查、时段稽查，全年不少于20次</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按季度核查，全年检查安排检查20次</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 xml:space="preserve">监督所需经费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控制在5万元以内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5万元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提高财政资金使用绩效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运用新技术、新手段，建设信念坚定，业务精通、作风务实，清正廉洁的高素质审计干部队伍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社会满意度</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不断在审计方法、审计模式等方面谋求创新，全面提升审计监督能力，社会满意度不断提高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r>
      <w:tr>
        <w:trPr>
          <w:trHeight w:val="1034"/>
        </w:trPr>
        <w:tc>
          <w:tcPr>
            <w:tcW w:w="9960" w:type="dxa"/>
            <w:gridSpan w:val="6"/>
            <w:tcBorders>
              <w:top w:val="nil"/>
              <w:left w:val="nil"/>
              <w:bottom w:val="nil"/>
              <w:right w:val="nil"/>
            </w:tcBorders>
            <w:tcMar>
              <w:top w:w="15" w:type="dxa"/>
              <w:left w:w="15" w:type="dxa"/>
              <w:right w:w="15" w:type="dxa"/>
            </w:tcMar>
            <w:vAlign w:val="center"/>
          </w:tcPr>
          <w:p>
            <w:pPr>
              <w:widowControl/>
              <w:jc w:val="center"/>
              <w:textAlignment w:val="center"/>
              <w:rPr>
                <w:rFonts w:ascii="宋体" w:cs="宋体" w:hAnsi="宋体"/>
                <w:color w:val="000000"/>
                <w:sz w:val="36"/>
                <w:szCs w:val="36"/>
              </w:rPr>
            </w:pPr>
            <w:r>
              <w:rPr>
                <w:rFonts w:ascii="宋体" w:cs="宋体" w:hAnsi="宋体" w:hint="eastAsia"/>
                <w:b/>
                <w:bCs/>
                <w:color w:val="000000"/>
                <w:kern w:val="0"/>
                <w:sz w:val="36"/>
                <w:szCs w:val="36"/>
              </w:rPr>
              <w:t>项目绩效目标完成情况表</w:t>
              <w:br/>
            </w:r>
            <w:r>
              <w:rPr>
                <w:rFonts w:ascii="宋体" w:cs="宋体" w:hAnsi="宋体" w:hint="eastAsia"/>
                <w:color w:val="000000"/>
                <w:kern w:val="0"/>
                <w:sz w:val="36"/>
                <w:szCs w:val="36"/>
              </w:rPr>
              <w:t>(20</w:t>
            </w:r>
            <w:r>
              <w:rPr>
                <w:rFonts w:ascii="宋体" w:cs="宋体" w:hAnsi="宋体" w:hint="eastAsia"/>
                <w:color w:val="000000"/>
                <w:kern w:val="0"/>
                <w:sz w:val="36"/>
                <w:szCs w:val="36"/>
                <w:lang w:val="en-US" w:eastAsia="zh-CN"/>
              </w:rPr>
              <w:t>20</w:t>
            </w:r>
            <w:r>
              <w:rPr>
                <w:rFonts w:ascii="宋体" w:cs="宋体" w:hAnsi="宋体" w:hint="eastAsia"/>
                <w:color w:val="000000"/>
                <w:kern w:val="0"/>
                <w:sz w:val="36"/>
                <w:szCs w:val="36"/>
              </w:rPr>
              <w:t xml:space="preserve"> 年度)</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项目名称</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eastAsia="zh-CN"/>
              </w:rPr>
              <w:t>审计职业化培训</w:t>
            </w:r>
            <w:r>
              <w:rPr>
                <w:rFonts w:ascii="宋体" w:cs="宋体" w:hAnsi="宋体" w:hint="eastAsia"/>
                <w:color w:val="000000"/>
                <w:sz w:val="24"/>
              </w:rPr>
              <w:t>项目</w:t>
            </w:r>
          </w:p>
        </w:tc>
      </w:tr>
      <w:tr>
        <w:trPr>
          <w:trHeight w:val="276"/>
        </w:trPr>
        <w:tc>
          <w:tcPr>
            <w:tcW w:w="2782"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预算单位</w:t>
            </w:r>
          </w:p>
        </w:tc>
        <w:tc>
          <w:tcPr>
            <w:tcW w:w="7178"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广元市利州区审计局</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预算执行情况(万元)</w:t>
            </w: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预算数: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4</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执行数: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4</w:t>
            </w:r>
            <w:r>
              <w:rPr>
                <w:rFonts w:ascii="宋体" w:cs="宋体" w:hAnsi="宋体" w:hint="eastAsia"/>
                <w:color w:val="000000"/>
                <w:sz w:val="24"/>
              </w:rPr>
              <w:t>万元</w:t>
            </w:r>
          </w:p>
        </w:tc>
      </w:tr>
      <w:tr>
        <w:trPr>
          <w:trHeight w:val="276"/>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4</w:t>
            </w:r>
            <w:r>
              <w:rPr>
                <w:rFonts w:ascii="宋体" w:cs="宋体" w:hAnsi="宋体" w:hint="eastAsia"/>
                <w:color w:val="000000"/>
                <w:sz w:val="24"/>
              </w:rPr>
              <w:t>万元</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其中-财政拨款:</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lang w:val="en-US" w:eastAsia="zh-CN"/>
              </w:rPr>
              <w:t>4</w:t>
            </w:r>
            <w:r>
              <w:rPr>
                <w:rFonts w:ascii="宋体" w:cs="宋体" w:hAnsi="宋体" w:hint="eastAsia"/>
                <w:color w:val="000000"/>
                <w:sz w:val="24"/>
              </w:rPr>
              <w:t>万元</w:t>
            </w:r>
          </w:p>
        </w:tc>
      </w:tr>
      <w:tr>
        <w:trPr>
          <w:trHeight w:val="1511"/>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2392"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0</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其它资金:</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jc w:val="center"/>
              <w:rPr>
                <w:rFonts w:ascii="宋体" w:cs="宋体" w:hAnsi="宋体"/>
                <w:color w:val="000000"/>
                <w:sz w:val="24"/>
              </w:rPr>
            </w:pPr>
            <w:r>
              <w:rPr>
                <w:rFonts w:ascii="宋体" w:cs="宋体" w:hAnsi="宋体" w:hint="eastAsia"/>
                <w:color w:val="000000"/>
                <w:sz w:val="24"/>
              </w:rPr>
              <w:t>0</w:t>
            </w:r>
          </w:p>
        </w:tc>
      </w:tr>
      <w:tr>
        <w:trPr>
          <w:trHeight w:val="276"/>
        </w:trPr>
        <w:tc>
          <w:tcPr>
            <w:tcW w:w="390" w:type="dxa"/>
            <w:vMerge w:val="restart"/>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年度目标完成情况</w:t>
            </w: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预期目标</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实际完成目标</w:t>
            </w:r>
          </w:p>
        </w:tc>
      </w:tr>
      <w:tr>
        <w:trPr>
          <w:trHeight w:val="1159"/>
        </w:trPr>
        <w:tc>
          <w:tcPr>
            <w:tcW w:w="390" w:type="dxa"/>
            <w:vMerge/>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tc>
        <w:tc>
          <w:tcPr>
            <w:tcW w:w="4784" w:type="dxa"/>
            <w:gridSpan w:val="3"/>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预计主要用于职工外出参加培训期间的差旅费补助、购买学习资料及向全区14个乡镇、街道办事处的内审机构订阅审计杂志支出。</w:t>
            </w:r>
          </w:p>
        </w:tc>
        <w:tc>
          <w:tcPr>
            <w:tcW w:w="4786" w:type="dxa"/>
            <w:gridSpan w:val="2"/>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用于职工外出参加培训期间的差旅费补助、购买学习资料及向全区13个乡镇、街道办事处的内审机构订阅审计杂志支出。</w:t>
            </w:r>
          </w:p>
        </w:tc>
      </w:tr>
      <w:tr>
        <w:trPr>
          <w:trHeight w:val="1042"/>
        </w:trPr>
        <w:tc>
          <w:tcPr>
            <w:tcW w:w="390" w:type="dxa"/>
            <w:vMerge w:val="restart"/>
            <w:tcBorders>
              <w:top w:val="single" w:sz="4" w:space="0" w:color="000000"/>
              <w:left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绩效指标完成情况</w:t>
            </w: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一级指标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二级指标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三级指标</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预期指标值(包含数字及文字描述)</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实际完成指标值(包含数字及文字描述)</w:t>
            </w:r>
          </w:p>
        </w:tc>
      </w:tr>
      <w:tr>
        <w:trPr>
          <w:trHeight w:val="953"/>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数量指标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参加审计系统计算机中级培训人次数，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3人次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3人次 </w:t>
            </w:r>
          </w:p>
        </w:tc>
      </w:tr>
      <w:tr>
        <w:trPr>
          <w:trHeight w:val="1297"/>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质量指标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取得审计师职称数量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3人次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3人次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时效指标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完成时间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2020年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val="en-US" w:eastAsia="zh-CN"/>
              </w:rPr>
            </w:pPr>
            <w:r>
              <w:rPr>
                <w:rFonts w:ascii="宋体" w:cs="宋体" w:hAnsi="宋体" w:hint="eastAsia"/>
                <w:color w:val="000000"/>
                <w:sz w:val="24"/>
                <w:lang w:val="en-US" w:eastAsia="zh-CN"/>
              </w:rPr>
              <w:t xml:space="preserve">2020年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kern w:val="0"/>
                <w:sz w:val="24"/>
              </w:rPr>
            </w:pPr>
            <w:r>
              <w:rPr>
                <w:rFonts w:ascii="宋体" w:cs="宋体" w:hAnsi="宋体" w:hint="eastAsia"/>
                <w:color w:val="000000"/>
                <w:kern w:val="0"/>
                <w:sz w:val="24"/>
              </w:rPr>
              <w:t>项目完成指标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成本指标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参加培训所需经费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 xml:space="preserve"> 预计4万元</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color w:val="000000"/>
                <w:sz w:val="24"/>
                <w:lang w:val="en-US" w:eastAsia="zh-CN"/>
              </w:rPr>
            </w:pPr>
            <w:r>
              <w:rPr>
                <w:rFonts w:ascii="宋体" w:cs="宋体" w:hAnsi="宋体" w:hint="eastAsia"/>
                <w:color w:val="000000"/>
                <w:sz w:val="24"/>
                <w:lang w:val="en-US" w:eastAsia="zh-CN"/>
              </w:rPr>
              <w:t xml:space="preserve"> 4万元</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经济效益</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效益指标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社会效益</w:t>
            </w:r>
          </w:p>
          <w:p>
            <w:pPr>
              <w:widowControl/>
              <w:jc w:val="center"/>
              <w:textAlignment w:val="center"/>
              <w:rPr>
                <w:rFonts w:ascii="宋体" w:cs="宋体" w:hAnsi="宋体"/>
                <w:color w:val="000000"/>
                <w:sz w:val="24"/>
              </w:rPr>
            </w:pPr>
            <w:r>
              <w:rPr>
                <w:rFonts w:ascii="宋体" w:cs="宋体" w:hAnsi="宋体" w:hint="eastAsia"/>
                <w:color w:val="000000"/>
                <w:sz w:val="24"/>
              </w:rPr>
              <w:t>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运用新技术、新手段，建设信念坚定，业务精通、作风务实，清正廉洁的高素质审计干部队伍。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不断提高 </w:t>
            </w:r>
          </w:p>
        </w:tc>
      </w:tr>
      <w:tr>
        <w:trPr>
          <w:trHeight w:val="1042"/>
        </w:trPr>
        <w:tc>
          <w:tcPr>
            <w:tcW w:w="390" w:type="dxa"/>
            <w:vMerge/>
            <w:tcBorders>
              <w:left w:val="single" w:sz="4" w:space="0" w:color="000000"/>
              <w:right w:val="single" w:sz="4" w:space="0" w:color="000000"/>
            </w:tcBorders>
            <w:tcMar>
              <w:top w:w="15" w:type="dxa"/>
              <w:left w:w="15" w:type="dxa"/>
              <w:right w:w="15" w:type="dxa"/>
            </w:tcMar>
            <w:vAlign w:val="center"/>
          </w:tcPr>
          <w:p/>
        </w:tc>
        <w:tc>
          <w:tcPr>
            <w:tcW w:w="1367"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kern w:val="0"/>
                <w:sz w:val="24"/>
              </w:rPr>
              <w:t>满意度指标</w:t>
            </w:r>
          </w:p>
        </w:tc>
        <w:tc>
          <w:tcPr>
            <w:tcW w:w="1025"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满意度指标</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eastAsia="宋体" w:cs="宋体" w:hAnsi="宋体" w:hint="eastAsia"/>
                <w:color w:val="000000"/>
                <w:sz w:val="24"/>
                <w:lang w:eastAsia="zh-CN"/>
              </w:rPr>
            </w:pPr>
            <w:r>
              <w:rPr>
                <w:rFonts w:ascii="宋体" w:cs="宋体" w:hAnsi="宋体" w:hint="eastAsia"/>
                <w:color w:val="000000"/>
                <w:sz w:val="24"/>
                <w:lang w:val="en-US" w:eastAsia="zh-CN"/>
              </w:rPr>
              <w:t xml:space="preserve">参训学员满意度  </w:t>
            </w:r>
          </w:p>
        </w:tc>
        <w:tc>
          <w:tcPr>
            <w:tcW w:w="23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≥95%</w:t>
            </w:r>
          </w:p>
        </w:tc>
        <w:tc>
          <w:tcPr>
            <w:tcW w:w="239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pPr>
              <w:widowControl/>
              <w:jc w:val="center"/>
              <w:textAlignment w:val="center"/>
              <w:rPr>
                <w:rFonts w:ascii="宋体" w:cs="宋体" w:hAnsi="宋体"/>
                <w:color w:val="000000"/>
                <w:sz w:val="24"/>
              </w:rPr>
            </w:pPr>
            <w:r>
              <w:rPr>
                <w:rFonts w:ascii="宋体" w:cs="宋体" w:hAnsi="宋体" w:hint="eastAsia"/>
                <w:color w:val="000000"/>
                <w:sz w:val="24"/>
              </w:rPr>
              <w:t>98%</w:t>
            </w:r>
          </w:p>
        </w:tc>
      </w:tr>
    </w:tbl>
    <w:p>
      <w:pPr>
        <w:spacing w:line="580" w:lineRule="exact"/>
        <w:ind w:left="630"/>
        <w:rPr>
          <w:rFonts w:ascii="楷体_GB2312" w:eastAsia="楷体_GB2312" w:cs="楷体_GB2312" w:hAnsi="楷体_GB2312" w:hint="eastAsia"/>
          <w:sz w:val="32"/>
          <w:szCs w:val="32"/>
        </w:rPr>
      </w:pPr>
    </w:p>
    <w:p>
      <w:pPr>
        <w:spacing w:line="580" w:lineRule="exact"/>
        <w:ind w:left="630"/>
        <w:rPr>
          <w:rFonts w:ascii="仿宋_GB2312" w:eastAsia="仿宋_GB2312" w:cs="仿宋_GB2312" w:hAnsi="仿宋_GB2312"/>
          <w:color w:val="auto"/>
          <w:sz w:val="32"/>
          <w:szCs w:val="32"/>
          <w:highlight w:val="auto"/>
        </w:rPr>
      </w:pPr>
      <w:r>
        <w:rPr>
          <w:rFonts w:ascii="楷体_GB2312" w:eastAsia="楷体_GB2312" w:cs="楷体_GB2312" w:hAnsi="楷体_GB2312" w:hint="eastAsia"/>
          <w:color w:val="auto"/>
          <w:sz w:val="32"/>
          <w:szCs w:val="32"/>
          <w:highlight w:val="auto"/>
        </w:rPr>
        <w:t>2.部门绩效评价结果。</w:t>
      </w:r>
    </w:p>
    <w:p>
      <w:pPr>
        <w:spacing w:line="580" w:lineRule="exact"/>
        <w:ind w:firstLineChars="200" w:firstLine="640"/>
        <w:rPr>
          <w:rFonts w:ascii="仿宋_GB2312" w:eastAsia="仿宋_GB2312" w:cs="仿宋_GB2312" w:hAnsi="仿宋_GB2312"/>
          <w:color w:val="auto"/>
          <w:sz w:val="32"/>
          <w:szCs w:val="32"/>
          <w:highlight w:val="auto"/>
        </w:rPr>
      </w:pPr>
      <w:r>
        <w:rPr>
          <w:rFonts w:ascii="仿宋_GB2312" w:eastAsia="仿宋_GB2312" w:cs="仿宋_GB2312" w:hAnsi="仿宋_GB2312" w:hint="eastAsia"/>
          <w:color w:val="auto"/>
          <w:sz w:val="32"/>
          <w:szCs w:val="32"/>
          <w:lang w:eastAsia="zh-CN"/>
          <w:highlight w:val="auto"/>
        </w:rPr>
        <w:t>区审计局</w:t>
      </w:r>
      <w:r>
        <w:rPr>
          <w:rFonts w:ascii="仿宋_GB2312" w:eastAsia="仿宋_GB2312" w:cs="仿宋_GB2312" w:hAnsi="仿宋_GB2312" w:hint="eastAsia"/>
          <w:color w:val="auto"/>
          <w:sz w:val="32"/>
          <w:szCs w:val="32"/>
          <w:highlight w:val="auto"/>
        </w:rPr>
        <w:t>按要求对20</w:t>
      </w:r>
      <w:r>
        <w:rPr>
          <w:rFonts w:ascii="仿宋_GB2312" w:eastAsia="仿宋_GB2312" w:cs="仿宋_GB2312" w:hAnsi="仿宋_GB2312" w:hint="eastAsia"/>
          <w:color w:val="auto"/>
          <w:sz w:val="32"/>
          <w:szCs w:val="32"/>
          <w:lang w:val="en-US" w:eastAsia="zh-CN"/>
          <w:highlight w:val="auto"/>
        </w:rPr>
        <w:t>20</w:t>
      </w:r>
      <w:r>
        <w:rPr>
          <w:rFonts w:ascii="仿宋_GB2312" w:eastAsia="仿宋_GB2312" w:cs="仿宋_GB2312" w:hAnsi="仿宋_GB2312" w:hint="eastAsia"/>
          <w:color w:val="auto"/>
          <w:sz w:val="32"/>
          <w:szCs w:val="32"/>
          <w:highlight w:val="auto"/>
        </w:rPr>
        <w:t>年部门整体支出绩效评价情况开展自评，《202</w:t>
      </w:r>
      <w:r>
        <w:rPr>
          <w:rFonts w:ascii="仿宋_GB2312" w:eastAsia="仿宋_GB2312" w:cs="仿宋_GB2312" w:hAnsi="仿宋_GB2312" w:hint="eastAsia"/>
          <w:color w:val="auto"/>
          <w:sz w:val="32"/>
          <w:szCs w:val="32"/>
          <w:lang w:val="en-US" w:eastAsia="zh-CN"/>
          <w:highlight w:val="auto"/>
        </w:rPr>
        <w:t>0</w:t>
      </w:r>
      <w:r>
        <w:rPr>
          <w:rFonts w:ascii="仿宋_GB2312" w:eastAsia="仿宋_GB2312" w:cs="仿宋_GB2312" w:hAnsi="仿宋_GB2312" w:hint="eastAsia"/>
          <w:color w:val="auto"/>
          <w:sz w:val="32"/>
          <w:szCs w:val="32"/>
          <w:highlight w:val="auto"/>
        </w:rPr>
        <w:t>年部门整体支出绩效评价报告》见附件（附件1）。</w:t>
      </w:r>
    </w:p>
    <w:p>
      <w:pPr>
        <w:spacing w:line="580" w:lineRule="exact"/>
        <w:ind w:firstLineChars="200" w:firstLine="640"/>
        <w:rPr>
          <w:rFonts w:ascii="仿宋_GB2312" w:eastAsia="仿宋_GB2312" w:cs="仿宋_GB2312" w:hAnsi="仿宋_GB2312" w:hint="eastAsia"/>
          <w:sz w:val="32"/>
          <w:szCs w:val="32"/>
          <w:lang w:val="en-US" w:eastAsia="zh-CN"/>
          <w:highlight w:val="auto"/>
        </w:rPr>
      </w:pPr>
      <w:r>
        <w:rPr>
          <w:rFonts w:ascii="仿宋_GB2312" w:eastAsia="仿宋_GB2312" w:cs="仿宋_GB2312" w:hAnsi="仿宋_GB2312" w:hint="eastAsia"/>
          <w:color w:val="auto"/>
          <w:sz w:val="32"/>
          <w:szCs w:val="32"/>
          <w:lang w:eastAsia="zh-CN"/>
          <w:highlight w:val="auto"/>
        </w:rPr>
        <w:t>区审计局</w:t>
      </w:r>
      <w:r>
        <w:rPr>
          <w:rFonts w:ascii="仿宋_GB2312" w:eastAsia="仿宋_GB2312" w:cs="仿宋_GB2312" w:hAnsi="仿宋_GB2312" w:hint="eastAsia"/>
          <w:color w:val="auto"/>
          <w:sz w:val="32"/>
          <w:szCs w:val="32"/>
          <w:highlight w:val="auto"/>
        </w:rPr>
        <w:t>自行组织</w:t>
      </w:r>
      <w:r>
        <w:rPr>
          <w:rFonts w:ascii="仿宋_GB2312" w:eastAsia="仿宋_GB2312" w:cs="仿宋_GB2312" w:hAnsi="仿宋_GB2312" w:hint="eastAsia"/>
          <w:color w:val="auto"/>
          <w:sz w:val="32"/>
          <w:szCs w:val="32"/>
          <w:lang w:eastAsia="zh-CN"/>
          <w:highlight w:val="auto"/>
        </w:rPr>
        <w:t>对</w:t>
      </w:r>
      <w:r>
        <w:rPr>
          <w:rFonts w:ascii="仿宋_GB2312" w:eastAsia="仿宋_GB2312" w:cs="仿宋_GB2312" w:hAnsi="仿宋_GB2312" w:hint="eastAsia"/>
          <w:color w:val="auto"/>
          <w:sz w:val="32"/>
          <w:szCs w:val="32"/>
          <w:highlight w:val="auto"/>
        </w:rPr>
        <w:t>参加全国、省、市统一审计项目</w:t>
      </w:r>
      <w:r>
        <w:rPr>
          <w:rFonts w:ascii="仿宋_GB2312" w:eastAsia="仿宋_GB2312" w:cs="仿宋_GB2312" w:hAnsi="仿宋_GB2312" w:hint="eastAsia"/>
          <w:color w:val="auto"/>
          <w:sz w:val="32"/>
          <w:szCs w:val="32"/>
          <w:lang w:val="en-US" w:eastAsia="zh-CN"/>
          <w:highlight w:val="auto"/>
        </w:rPr>
        <w:t>经费</w:t>
      </w:r>
      <w:r>
        <w:rPr>
          <w:rFonts w:ascii="仿宋_GB2312" w:eastAsia="仿宋_GB2312" w:cs="仿宋_GB2312" w:hAnsi="仿宋_GB2312" w:hint="eastAsia"/>
          <w:color w:val="auto"/>
          <w:sz w:val="32"/>
          <w:szCs w:val="32"/>
          <w:highlight w:val="auto"/>
        </w:rPr>
        <w:t>专项项目、</w:t>
      </w:r>
      <w:r>
        <w:rPr>
          <w:rFonts w:ascii="仿宋_GB2312" w:eastAsia="仿宋_GB2312" w:cs="仿宋_GB2312" w:hAnsi="仿宋_GB2312" w:hint="eastAsia"/>
          <w:color w:val="auto"/>
          <w:sz w:val="32"/>
          <w:szCs w:val="32"/>
          <w:lang w:eastAsia="zh-CN"/>
          <w:highlight w:val="auto"/>
        </w:rPr>
        <w:t>跟踪审计项目管理经费项目、审计事务外调项目、投资项目稽查经费项目、审计职业化培训经费</w:t>
      </w:r>
      <w:r>
        <w:rPr>
          <w:rFonts w:ascii="仿宋_GB2312" w:eastAsia="仿宋_GB2312" w:cs="仿宋_GB2312" w:hAnsi="仿宋_GB2312" w:hint="eastAsia"/>
          <w:color w:val="auto"/>
          <w:sz w:val="32"/>
          <w:szCs w:val="32"/>
          <w:highlight w:val="auto"/>
        </w:rPr>
        <w:t>预算项目开展了绩效评价，</w:t>
      </w:r>
      <w:r>
        <w:rPr>
          <w:rFonts w:ascii="仿宋_GB2312" w:eastAsia="仿宋_GB2312" w:cs="仿宋_GB2312" w:hAnsi="仿宋_GB2312" w:hint="eastAsia"/>
          <w:sz w:val="32"/>
          <w:szCs w:val="32"/>
          <w:highlight w:val="auto"/>
        </w:rPr>
        <w:t>资金绩效评价报告见附件（附件2）</w:t>
      </w:r>
      <w:r>
        <w:rPr>
          <w:rFonts w:ascii="仿宋_GB2312" w:eastAsia="仿宋_GB2312" w:cs="仿宋_GB2312" w:hAnsi="仿宋_GB2312" w:hint="eastAsia"/>
          <w:sz w:val="32"/>
          <w:szCs w:val="32"/>
          <w:lang w:eastAsia="zh-CN"/>
          <w:highlight w:val="auto"/>
        </w:rPr>
        <w:t>。</w:t>
      </w:r>
    </w:p>
    <w:p>
      <w:pPr>
        <w:widowControl/>
        <w:jc w:val="left"/>
        <w:rPr>
          <w:rFonts w:ascii="仿宋_GB2312" w:eastAsia="仿宋_GB2312"/>
          <w:b/>
          <w:color w:val="000000"/>
          <w:sz w:val="32"/>
          <w:szCs w:val="32"/>
          <w:highlight w:val="auto"/>
        </w:rPr>
      </w:pPr>
      <w:r>
        <w:rPr>
          <w:rFonts w:ascii="仿宋_GB2312" w:eastAsia="仿宋_GB2312"/>
          <w:b/>
          <w:color w:val="000000"/>
          <w:sz w:val="32"/>
          <w:szCs w:val="32"/>
          <w:highlight w:val="auto"/>
        </w:rPr>
        <w:br w:type="page"/>
      </w:r>
    </w:p>
    <w:p>
      <w:pPr>
        <w:numPr>
          <w:ilvl w:val="0"/>
          <w:numId w:val="4"/>
        </w:numPr>
        <w:spacing w:line="600" w:lineRule="exact"/>
        <w:ind w:left="0" w:firstLineChars="150" w:firstLine="660"/>
        <w:jc w:val="center"/>
        <w:outlineLvl w:val="0"/>
        <w:rPr>
          <w:rStyle w:val="1Char"/>
          <w:rFonts w:ascii="黑体" w:eastAsia="黑体" w:hAnsi="黑体"/>
          <w:b w:val="0"/>
        </w:rPr>
      </w:pPr>
      <w:bookmarkStart w:id="58" w:name="_Toc15377225"/>
      <w:bookmarkStart w:id="59" w:name="_Toc15396613"/>
      <w:r>
        <w:rPr>
          <w:rFonts w:ascii="黑体" w:eastAsia="黑体" w:hAnsi="黑体" w:hint="eastAsia"/>
          <w:color w:val="000000"/>
          <w:sz w:val="44"/>
          <w:szCs w:val="44"/>
        </w:rPr>
        <w:t>名</w:t>
      </w:r>
      <w:r>
        <w:rPr>
          <w:rStyle w:val="1Char"/>
          <w:rFonts w:ascii="黑体" w:eastAsia="黑体" w:hAnsi="黑体" w:hint="eastAsia"/>
          <w:b w:val="0"/>
        </w:rPr>
        <w:t>词解释</w:t>
      </w:r>
      <w:bookmarkEnd w:id="58"/>
      <w:bookmarkEnd w:id="59"/>
    </w:p>
    <w:p>
      <w:pPr>
        <w:spacing w:line="600" w:lineRule="exact"/>
        <w:jc w:val="left"/>
        <w:rPr>
          <w:rFonts w:ascii="宋体"/>
          <w:b/>
          <w:color w:val="000000"/>
          <w:sz w:val="44"/>
          <w:szCs w:val="44"/>
        </w:rPr>
      </w:pPr>
    </w:p>
    <w:p>
      <w:pPr>
        <w:pStyle w:val="27"/>
        <w:spacing w:line="560" w:lineRule="exact"/>
        <w:ind w:firstLineChars="200" w:firstLine="552"/>
        <w:rPr>
          <w:rFonts w:hAnsi="仿宋"/>
          <w:spacing w:val="-2"/>
          <w:sz w:val="28"/>
          <w:szCs w:val="28"/>
        </w:rPr>
      </w:pPr>
      <w:r>
        <w:rPr>
          <w:rFonts w:hAnsi="仿宋"/>
          <w:spacing w:val="-2"/>
          <w:sz w:val="28"/>
          <w:szCs w:val="28"/>
        </w:rPr>
        <w:t>1.</w:t>
      </w:r>
      <w:r>
        <w:rPr>
          <w:rFonts w:hAnsi="仿宋" w:hint="eastAsia"/>
          <w:spacing w:val="-2"/>
          <w:sz w:val="28"/>
          <w:szCs w:val="28"/>
        </w:rPr>
        <w:t>财政拨款收入：指单位从同级财政部门取得的财政预算资金。</w:t>
      </w:r>
    </w:p>
    <w:p>
      <w:pPr>
        <w:pStyle w:val="27"/>
        <w:spacing w:line="560" w:lineRule="exact"/>
        <w:ind w:firstLineChars="200" w:firstLine="552"/>
        <w:rPr>
          <w:rFonts w:hAnsi="仿宋"/>
          <w:spacing w:val="-2"/>
          <w:sz w:val="28"/>
          <w:szCs w:val="28"/>
        </w:rPr>
      </w:pPr>
      <w:r>
        <w:rPr>
          <w:rFonts w:hAnsi="仿宋" w:hint="eastAsia"/>
          <w:spacing w:val="-2"/>
          <w:sz w:val="28"/>
          <w:szCs w:val="28"/>
        </w:rPr>
        <w:t>2</w:t>
      </w:r>
      <w:r>
        <w:rPr>
          <w:rFonts w:hAnsi="仿宋"/>
          <w:spacing w:val="-2"/>
          <w:sz w:val="28"/>
          <w:szCs w:val="28"/>
        </w:rPr>
        <w:t>.</w:t>
      </w:r>
      <w:r>
        <w:rPr>
          <w:rFonts w:hAnsi="仿宋" w:hint="eastAsia"/>
          <w:spacing w:val="-2"/>
          <w:sz w:val="28"/>
          <w:szCs w:val="28"/>
        </w:rPr>
        <w:t>其他收入：指单位取得的除上述收入以外的各项收入。主要是利息收入（收入类型）等。</w:t>
      </w:r>
      <w:r>
        <w:rPr>
          <w:rFonts w:hAnsi="仿宋"/>
          <w:spacing w:val="-2"/>
          <w:sz w:val="28"/>
          <w:szCs w:val="28"/>
        </w:rPr>
        <w:t xml:space="preserve"> </w:t>
      </w:r>
    </w:p>
    <w:p>
      <w:pPr>
        <w:pStyle w:val="27"/>
        <w:spacing w:line="560" w:lineRule="exact"/>
        <w:ind w:firstLineChars="200" w:firstLine="552"/>
        <w:rPr>
          <w:rFonts w:hAnsi="仿宋"/>
          <w:spacing w:val="-2"/>
          <w:sz w:val="28"/>
          <w:szCs w:val="28"/>
        </w:rPr>
      </w:pPr>
      <w:r>
        <w:rPr>
          <w:rFonts w:hAnsi="仿宋" w:hint="eastAsia"/>
          <w:spacing w:val="-2"/>
          <w:sz w:val="28"/>
          <w:szCs w:val="28"/>
        </w:rPr>
        <w:t>3</w:t>
      </w:r>
      <w:r>
        <w:rPr>
          <w:rFonts w:hAnsi="仿宋"/>
          <w:spacing w:val="-2"/>
          <w:sz w:val="28"/>
          <w:szCs w:val="28"/>
        </w:rPr>
        <w:t>.</w:t>
      </w:r>
      <w:r>
        <w:rPr>
          <w:rFonts w:hAnsi="仿宋" w:hint="eastAsia"/>
          <w:spacing w:val="-2"/>
          <w:sz w:val="28"/>
          <w:szCs w:val="28"/>
        </w:rPr>
        <w:t>年初结转和结余：指以前年度尚未完成、结转到本年按有关规定继续使用的资金。</w:t>
      </w:r>
      <w:r>
        <w:rPr>
          <w:rFonts w:hAnsi="仿宋"/>
          <w:spacing w:val="-2"/>
          <w:sz w:val="28"/>
          <w:szCs w:val="28"/>
        </w:rPr>
        <w:t xml:space="preserve"> </w:t>
      </w:r>
    </w:p>
    <w:p>
      <w:pPr>
        <w:pStyle w:val="27"/>
        <w:spacing w:line="560" w:lineRule="exact"/>
        <w:ind w:firstLineChars="200" w:firstLine="552"/>
        <w:rPr>
          <w:rFonts w:hAnsi="仿宋"/>
          <w:spacing w:val="-2"/>
          <w:sz w:val="28"/>
          <w:szCs w:val="28"/>
        </w:rPr>
      </w:pPr>
      <w:r>
        <w:rPr>
          <w:rFonts w:hAnsi="仿宋" w:hint="eastAsia"/>
          <w:spacing w:val="-2"/>
          <w:sz w:val="28"/>
          <w:szCs w:val="28"/>
        </w:rPr>
        <w:t>4</w:t>
      </w:r>
      <w:r>
        <w:rPr>
          <w:rFonts w:hAnsi="仿宋"/>
          <w:spacing w:val="-2"/>
          <w:sz w:val="28"/>
          <w:szCs w:val="28"/>
        </w:rPr>
        <w:t>.</w:t>
      </w:r>
      <w:r>
        <w:rPr>
          <w:rFonts w:hAnsi="仿宋" w:hint="eastAsia"/>
          <w:spacing w:val="-2"/>
          <w:sz w:val="28"/>
          <w:szCs w:val="28"/>
        </w:rPr>
        <w:t>结余分配：指事业单位按照事业单位会计制度的规定从非财政补助结余中分配的事业基金和职工福利基金等。</w:t>
      </w:r>
    </w:p>
    <w:p>
      <w:pPr>
        <w:pStyle w:val="27"/>
        <w:spacing w:line="560" w:lineRule="exact"/>
        <w:ind w:firstLineChars="200" w:firstLine="552"/>
        <w:rPr>
          <w:rFonts w:hAnsi="仿宋"/>
          <w:spacing w:val="-2"/>
          <w:sz w:val="28"/>
          <w:szCs w:val="28"/>
        </w:rPr>
      </w:pPr>
      <w:r>
        <w:rPr>
          <w:rFonts w:hAnsi="仿宋" w:hint="eastAsia"/>
          <w:spacing w:val="-2"/>
          <w:sz w:val="28"/>
          <w:szCs w:val="28"/>
        </w:rPr>
        <w:t>5、年末结转和结余：指单位按有关规定结转到下年或以后年度继续使用的资金。</w:t>
      </w:r>
    </w:p>
    <w:p>
      <w:pPr>
        <w:pStyle w:val="27"/>
        <w:spacing w:line="576" w:lineRule="exact"/>
        <w:ind w:firstLineChars="200" w:firstLine="552"/>
        <w:jc w:val="both"/>
        <w:rPr>
          <w:rFonts w:hAnsi="仿宋"/>
          <w:spacing w:val="-2"/>
          <w:sz w:val="28"/>
          <w:szCs w:val="28"/>
        </w:rPr>
      </w:pPr>
      <w:r>
        <w:rPr>
          <w:rFonts w:hAnsi="仿宋" w:hint="eastAsia"/>
          <w:spacing w:val="-2"/>
          <w:sz w:val="28"/>
          <w:szCs w:val="28"/>
        </w:rPr>
        <w:t>6</w:t>
      </w:r>
      <w:r>
        <w:rPr>
          <w:rFonts w:hAnsi="仿宋"/>
          <w:spacing w:val="-2"/>
          <w:sz w:val="28"/>
          <w:szCs w:val="28"/>
        </w:rPr>
        <w:t>.</w:t>
      </w:r>
      <w:r>
        <w:rPr>
          <w:rFonts w:hAnsi="仿宋" w:hint="eastAsia"/>
          <w:spacing w:val="-2"/>
          <w:sz w:val="28"/>
          <w:szCs w:val="28"/>
        </w:rPr>
        <w:t>一般公共服务201类08（款）01（项）：指行政单位的基本支出。</w:t>
      </w:r>
    </w:p>
    <w:p>
      <w:pPr>
        <w:pStyle w:val="27"/>
        <w:spacing w:line="576" w:lineRule="exact"/>
        <w:ind w:firstLineChars="200" w:firstLine="560"/>
        <w:jc w:val="both"/>
        <w:rPr>
          <w:rFonts w:hAnsi="仿宋"/>
          <w:sz w:val="28"/>
          <w:szCs w:val="28"/>
        </w:rPr>
      </w:pPr>
      <w:r>
        <w:rPr>
          <w:rFonts w:hAnsi="仿宋" w:hint="eastAsia"/>
          <w:sz w:val="28"/>
          <w:szCs w:val="28"/>
        </w:rPr>
        <w:t>7</w:t>
      </w:r>
      <w:r>
        <w:rPr>
          <w:rFonts w:hAnsi="仿宋"/>
          <w:sz w:val="28"/>
          <w:szCs w:val="28"/>
        </w:rPr>
        <w:t>.</w:t>
      </w:r>
      <w:r>
        <w:rPr>
          <w:rFonts w:hAnsi="仿宋" w:hint="eastAsia"/>
          <w:sz w:val="28"/>
          <w:szCs w:val="28"/>
        </w:rPr>
        <w:t xml:space="preserve"> 一般公共服务201（类08（款）02（项）：指行政单位未单独设置项级科目的其他项目支出。</w:t>
      </w:r>
    </w:p>
    <w:p>
      <w:pPr>
        <w:pStyle w:val="27"/>
        <w:spacing w:line="576" w:lineRule="exact"/>
        <w:ind w:firstLineChars="200" w:firstLine="560"/>
        <w:jc w:val="both"/>
        <w:rPr>
          <w:rFonts w:hAnsi="仿宋"/>
          <w:sz w:val="28"/>
          <w:szCs w:val="28"/>
        </w:rPr>
      </w:pPr>
      <w:r>
        <w:rPr>
          <w:rFonts w:hAnsi="仿宋" w:hint="eastAsia"/>
          <w:sz w:val="28"/>
          <w:szCs w:val="28"/>
        </w:rPr>
        <w:t>8.社会保障和就业208（类）05（款）05（项）：指机关事业单位实施养老保险制度由单位缴纳的基本养老保险支出。</w:t>
      </w:r>
    </w:p>
    <w:p>
      <w:pPr>
        <w:pStyle w:val="27"/>
        <w:spacing w:line="576" w:lineRule="exact"/>
        <w:ind w:firstLineChars="200" w:firstLine="560"/>
        <w:jc w:val="both"/>
        <w:rPr>
          <w:rFonts w:hAnsi="仿宋"/>
          <w:sz w:val="28"/>
          <w:szCs w:val="28"/>
        </w:rPr>
      </w:pPr>
      <w:r>
        <w:rPr>
          <w:rFonts w:hAnsi="仿宋" w:hint="eastAsia"/>
          <w:sz w:val="28"/>
          <w:szCs w:val="28"/>
        </w:rPr>
        <w:t>9.社会保障和就业208（类）05（款）06（项）：指机关事业单位实施养老保险制度由单位实际缴纳的职业年金支出。</w:t>
      </w:r>
    </w:p>
    <w:p>
      <w:pPr>
        <w:pStyle w:val="27"/>
        <w:spacing w:line="576" w:lineRule="exact"/>
        <w:ind w:firstLineChars="200" w:firstLine="560"/>
        <w:jc w:val="both"/>
        <w:rPr>
          <w:rFonts w:hAnsi="仿宋"/>
          <w:sz w:val="28"/>
          <w:szCs w:val="28"/>
        </w:rPr>
      </w:pPr>
      <w:r>
        <w:rPr>
          <w:rFonts w:hAnsi="仿宋" w:hint="eastAsia"/>
          <w:sz w:val="28"/>
          <w:szCs w:val="28"/>
        </w:rPr>
        <w:t>10.医疗卫生与计划生育210（类）11（款）01（项）：指财政部门集中安排的行政单位基本医疗保险缴费经费，未参加医疗保险的行政单位的公费医疗经费，按国家规定享受离休人员、红军战士待遇人员的医疗经费。</w:t>
      </w:r>
    </w:p>
    <w:p>
      <w:pPr>
        <w:pStyle w:val="27"/>
        <w:spacing w:line="576" w:lineRule="exact"/>
        <w:ind w:firstLineChars="200" w:firstLine="560"/>
        <w:jc w:val="both"/>
        <w:rPr>
          <w:rFonts w:hAnsi="仿宋"/>
          <w:sz w:val="28"/>
          <w:szCs w:val="28"/>
        </w:rPr>
      </w:pPr>
      <w:r>
        <w:rPr>
          <w:rFonts w:hAnsi="仿宋" w:hint="eastAsia"/>
          <w:sz w:val="28"/>
          <w:szCs w:val="28"/>
        </w:rPr>
        <w:t>11.农林水213（类）05（款）99（项）：指其他用于扶贫方面的支出。</w:t>
      </w:r>
    </w:p>
    <w:p>
      <w:pPr>
        <w:pStyle w:val="27"/>
        <w:spacing w:line="576" w:lineRule="exact"/>
        <w:ind w:firstLineChars="200" w:firstLine="560"/>
        <w:jc w:val="both"/>
        <w:rPr>
          <w:rFonts w:hAnsi="仿宋"/>
          <w:sz w:val="28"/>
          <w:szCs w:val="28"/>
        </w:rPr>
      </w:pPr>
      <w:r>
        <w:rPr>
          <w:rFonts w:hAnsi="仿宋" w:hint="eastAsia"/>
          <w:sz w:val="28"/>
          <w:szCs w:val="28"/>
        </w:rPr>
        <w:t>12</w:t>
      </w:r>
      <w:r>
        <w:rPr>
          <w:rFonts w:hAnsi="仿宋"/>
          <w:sz w:val="28"/>
          <w:szCs w:val="28"/>
        </w:rPr>
        <w:t>.</w:t>
      </w:r>
      <w:r>
        <w:rPr>
          <w:rFonts w:hAnsi="仿宋" w:hint="eastAsia"/>
          <w:sz w:val="28"/>
          <w:szCs w:val="28"/>
        </w:rPr>
        <w:t>住房保障221（类）02（款）01（项）：指行政单位按人力资源和社会保障部、财政部规定的基本工资和津贴补贴及规定比例为职工缴纳的住房公积金。</w:t>
      </w:r>
    </w:p>
    <w:p>
      <w:pPr>
        <w:spacing w:line="576"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13.基本支出：指为保障机构正常运转、完成日常工作任务而发生的人员支出和公用支出。</w:t>
      </w:r>
    </w:p>
    <w:p>
      <w:pPr>
        <w:spacing w:line="576"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14.项目支出：指在基本支出之外为完成特定行政任务和事业发展目标所发生的支出。</w:t>
      </w:r>
      <w:r>
        <w:rPr>
          <w:rFonts w:ascii="仿宋" w:eastAsia="仿宋" w:hAnsi="仿宋"/>
          <w:color w:val="000000"/>
          <w:sz w:val="28"/>
          <w:szCs w:val="28"/>
        </w:rPr>
        <w:t xml:space="preserve"> </w:t>
      </w:r>
    </w:p>
    <w:p>
      <w:pPr>
        <w:spacing w:line="576" w:lineRule="exact"/>
        <w:ind w:firstLineChars="200" w:firstLine="560"/>
        <w:rPr>
          <w:rFonts w:ascii="仿宋" w:eastAsia="仿宋" w:hAnsi="仿宋"/>
          <w:color w:val="000000"/>
          <w:sz w:val="28"/>
          <w:szCs w:val="28"/>
        </w:rPr>
      </w:pPr>
      <w:r>
        <w:rPr>
          <w:rFonts w:ascii="仿宋" w:eastAsia="仿宋" w:hAnsi="仿宋" w:hint="eastAsia"/>
          <w:color w:val="000000"/>
          <w:sz w:val="28"/>
          <w:szCs w:val="28"/>
        </w:rPr>
        <w:t>15.经营支出：指事业单位在专业业务活动及其辅助活动之外开展非独立核算经营活动发生的支出。</w:t>
      </w:r>
    </w:p>
    <w:p>
      <w:pPr>
        <w:pStyle w:val="27"/>
        <w:spacing w:line="576" w:lineRule="exact"/>
        <w:ind w:firstLineChars="200" w:firstLine="560"/>
        <w:jc w:val="both"/>
        <w:rPr>
          <w:rFonts w:hAnsi="仿宋"/>
          <w:sz w:val="28"/>
          <w:szCs w:val="28"/>
        </w:rPr>
      </w:pPr>
      <w:r>
        <w:rPr>
          <w:rFonts w:hAnsi="仿宋" w:hint="eastAsia"/>
          <w:sz w:val="28"/>
          <w:szCs w:val="28"/>
        </w:rPr>
        <w:t>16.“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7"/>
        <w:spacing w:line="576" w:lineRule="exact"/>
        <w:ind w:firstLineChars="200" w:firstLine="560"/>
        <w:jc w:val="both"/>
        <w:rPr>
          <w:rFonts w:hAnsi="仿宋"/>
          <w:b/>
          <w:sz w:val="28"/>
          <w:szCs w:val="28"/>
        </w:rPr>
      </w:pPr>
      <w:r>
        <w:rPr>
          <w:rFonts w:hAnsi="仿宋" w:hint="eastAsia"/>
          <w:sz w:val="28"/>
          <w:szCs w:val="28"/>
        </w:rPr>
        <w:t>17.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27"/>
        <w:spacing w:line="576" w:lineRule="exact"/>
        <w:ind w:firstLineChars="200" w:firstLine="880"/>
        <w:jc w:val="both"/>
        <w:rPr>
          <w:rFonts w:ascii="宋体" w:hAnsi="宋体"/>
          <w:b/>
          <w:sz w:val="44"/>
          <w:szCs w:val="44"/>
        </w:rPr>
      </w:pPr>
    </w:p>
    <w:p>
      <w:pPr>
        <w:rPr>
          <w:rFonts w:ascii="仿宋_GB2312" w:eastAsia="仿宋_GB2312"/>
          <w:color w:val="000000"/>
          <w:sz w:val="32"/>
          <w:szCs w:val="32"/>
        </w:rPr>
      </w:pPr>
    </w:p>
    <w:p>
      <w:pPr>
        <w:spacing w:line="600" w:lineRule="exact"/>
        <w:outlineLvl w:val="0"/>
        <w:rPr>
          <w:rStyle w:val="1Char"/>
          <w:rFonts w:ascii="黑体" w:eastAsia="黑体" w:hAnsi="黑体"/>
          <w:b w:val="0"/>
        </w:rPr>
      </w:pPr>
      <w:bookmarkStart w:id="60" w:name="_Toc15377226"/>
      <w:r>
        <w:rPr>
          <w:rFonts w:ascii="宋体"/>
          <w:b/>
          <w:color w:val="000000"/>
          <w:sz w:val="44"/>
          <w:szCs w:val="44"/>
        </w:rPr>
        <w:br w:type="page"/>
      </w:r>
      <w:bookmarkStart w:id="61" w:name="_Toc15396614"/>
      <w:r>
        <w:rPr>
          <w:rFonts w:ascii="黑体" w:eastAsia="黑体" w:hAnsi="黑体" w:hint="eastAsia"/>
          <w:color w:val="000000"/>
          <w:sz w:val="44"/>
          <w:szCs w:val="44"/>
        </w:rPr>
        <w:t>第</w:t>
      </w:r>
      <w:r>
        <w:rPr>
          <w:rStyle w:val="1Char"/>
          <w:rFonts w:ascii="黑体" w:eastAsia="黑体" w:hAnsi="黑体" w:hint="eastAsia"/>
          <w:b w:val="0"/>
        </w:rPr>
        <w:t>四部分 附件</w:t>
      </w:r>
      <w:bookmarkEnd w:id="61"/>
    </w:p>
    <w:p>
      <w:pPr>
        <w:spacing w:line="600" w:lineRule="exact"/>
        <w:jc w:val="left"/>
        <w:outlineLvl w:val="0"/>
        <w:rPr>
          <w:rFonts w:ascii="方正小标宋简体" w:eastAsia="方正小标宋简体" w:cs="方正小标宋简体" w:hAnsi="方正小标宋简体"/>
          <w:sz w:val="32"/>
          <w:szCs w:val="32"/>
        </w:rPr>
      </w:pPr>
      <w:r>
        <w:rPr>
          <w:rFonts w:ascii="黑体" w:eastAsia="黑体" w:cs="黑体" w:hAnsi="黑体" w:hint="eastAsia"/>
          <w:sz w:val="32"/>
          <w:szCs w:val="32"/>
        </w:rPr>
        <w:t>附件1</w:t>
      </w:r>
    </w:p>
    <w:p>
      <w:pPr>
        <w:spacing w:line="580" w:lineRule="exact"/>
        <w:jc w:val="center"/>
        <w:rPr>
          <w:rFonts w:ascii="方正小标宋简体" w:eastAsia="方正小标宋简体" w:cs="方正小标宋简体" w:hAnsi="方正小标宋简体"/>
          <w:sz w:val="44"/>
          <w:szCs w:val="44"/>
        </w:rPr>
      </w:pPr>
    </w:p>
    <w:p>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hint="eastAsia"/>
          <w:color w:val="000000"/>
          <w:kern w:val="0"/>
          <w:sz w:val="40"/>
          <w:szCs w:val="44"/>
        </w:rPr>
        <w:t>广元市利州区审计局</w:t>
      </w:r>
      <w:r>
        <w:rPr>
          <w:rFonts w:ascii="方正小标宋简体" w:eastAsia="方正小标宋简体" w:hAnsi="宋体"/>
          <w:color w:val="000000"/>
          <w:kern w:val="0"/>
          <w:sz w:val="40"/>
          <w:szCs w:val="44"/>
        </w:rPr>
        <w:t>20</w:t>
      </w:r>
      <w:r>
        <w:rPr>
          <w:rFonts w:ascii="方正小标宋简体" w:eastAsia="方正小标宋简体" w:hAnsi="宋体" w:hint="eastAsia"/>
          <w:color w:val="000000"/>
          <w:kern w:val="0"/>
          <w:sz w:val="40"/>
          <w:szCs w:val="44"/>
          <w:lang w:val="en-US" w:eastAsia="zh-CN"/>
        </w:rPr>
        <w:t>20</w:t>
      </w:r>
      <w:r>
        <w:rPr>
          <w:rFonts w:ascii="方正小标宋简体" w:eastAsia="方正小标宋简体" w:hAnsi="宋体"/>
          <w:color w:val="000000"/>
          <w:kern w:val="0"/>
          <w:sz w:val="40"/>
          <w:szCs w:val="44"/>
        </w:rPr>
        <w:t>年</w:t>
      </w:r>
    </w:p>
    <w:p>
      <w:pPr>
        <w:spacing w:line="600" w:lineRule="exact"/>
        <w:jc w:val="center"/>
        <w:rPr>
          <w:rFonts w:ascii="方正小标宋简体" w:eastAsia="方正小标宋简体" w:hAnsi="宋体"/>
          <w:color w:val="000000"/>
          <w:kern w:val="0"/>
          <w:sz w:val="40"/>
          <w:szCs w:val="44"/>
        </w:rPr>
      </w:pPr>
      <w:r>
        <w:rPr>
          <w:rFonts w:ascii="方正小标宋简体" w:eastAsia="方正小标宋简体" w:hAnsi="宋体"/>
          <w:color w:val="000000"/>
          <w:kern w:val="0"/>
          <w:sz w:val="40"/>
          <w:szCs w:val="44"/>
        </w:rPr>
        <w:t>部门</w:t>
      </w:r>
      <w:r>
        <w:rPr>
          <w:rFonts w:ascii="方正小标宋简体" w:eastAsia="方正小标宋简体" w:hAnsi="宋体" w:hint="eastAsia"/>
          <w:color w:val="000000"/>
          <w:kern w:val="0"/>
          <w:sz w:val="40"/>
          <w:szCs w:val="44"/>
          <w:lang w:val="zh-CN"/>
        </w:rPr>
        <w:t>整体支出绩效评价报告</w:t>
      </w:r>
    </w:p>
    <w:p>
      <w:pPr>
        <w:widowControl/>
        <w:adjustRightInd w:val="0"/>
        <w:snapToGrid w:val="0"/>
        <w:spacing w:line="580" w:lineRule="exact"/>
        <w:ind w:firstLineChars="200" w:firstLine="480"/>
        <w:contextualSpacing/>
        <w:jc w:val="left"/>
        <w:rPr>
          <w:rFonts w:ascii="黑体" w:eastAsia="黑体" w:cs="宋体" w:hAnsi="宋体"/>
          <w:color w:val="000000"/>
          <w:kern w:val="0"/>
          <w:sz w:val="24"/>
          <w:szCs w:val="32"/>
          <w:shd w:val="clear" w:color="auto" w:fill="FFFFFF"/>
        </w:rPr>
      </w:pP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lang w:val="zh-CN"/>
        </w:rPr>
      </w:pPr>
      <w:r>
        <w:rPr>
          <w:rFonts w:ascii="黑体" w:eastAsia="黑体" w:cs="宋体" w:hAnsi="宋体" w:hint="eastAsia"/>
          <w:color w:val="000000"/>
          <w:kern w:val="0"/>
          <w:sz w:val="32"/>
          <w:szCs w:val="32"/>
          <w:shd w:val="clear" w:color="auto" w:fill="FFFFFF"/>
        </w:rPr>
        <w:t>一、</w:t>
      </w:r>
      <w:r>
        <w:rPr>
          <w:rFonts w:ascii="黑体" w:eastAsia="黑体" w:cs="宋体" w:hAnsi="宋体" w:hint="eastAsia"/>
          <w:color w:val="000000"/>
          <w:kern w:val="0"/>
          <w:sz w:val="32"/>
          <w:szCs w:val="32"/>
          <w:shd w:val="clear" w:color="auto" w:fill="FFFFFF"/>
          <w:lang w:val="zh-CN"/>
        </w:rPr>
        <w:t>部门（单位）概况</w:t>
      </w:r>
    </w:p>
    <w:p>
      <w:pPr>
        <w:widowControl/>
        <w:adjustRightInd w:val="0"/>
        <w:snapToGrid w:val="0"/>
        <w:spacing w:line="580" w:lineRule="exact"/>
        <w:ind w:firstLineChars="200" w:firstLine="640"/>
        <w:contextualSpacing/>
        <w:jc w:val="left"/>
        <w:rPr>
          <w:rFonts w:ascii="方正楷体简体" w:eastAsia="方正楷体简体"/>
          <w:sz w:val="32"/>
          <w:szCs w:val="32"/>
        </w:rPr>
      </w:pPr>
      <w:r>
        <w:rPr>
          <w:rFonts w:ascii="方正楷体简体" w:eastAsia="方正楷体简体" w:hint="eastAsia"/>
          <w:sz w:val="32"/>
          <w:szCs w:val="32"/>
        </w:rPr>
        <w:t>（一）机构组成。</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广元市利州区审计局内部机构设置情况：6股1室3中心：即区委审计办秘书股、办公室（计划与法规股）、财政审计股（电子数据审计股）、经济责任审计股(行政事业审计股)、农业农村审计股（自然资源与生态环境审计股）、固定资产投资审计股、企业和外资审计股、固定资产投资审计中心、审计信息中心、财政监督检查事务中心。</w:t>
      </w:r>
    </w:p>
    <w:p>
      <w:pPr>
        <w:widowControl/>
        <w:adjustRightInd w:val="0"/>
        <w:snapToGrid w:val="0"/>
        <w:spacing w:line="580" w:lineRule="exact"/>
        <w:ind w:firstLineChars="200" w:firstLine="640"/>
        <w:contextualSpacing/>
        <w:jc w:val="left"/>
        <w:rPr>
          <w:rFonts w:ascii="方正楷体简体" w:eastAsia="方正楷体简体"/>
          <w:sz w:val="32"/>
          <w:szCs w:val="32"/>
        </w:rPr>
      </w:pPr>
      <w:r>
        <w:rPr>
          <w:rFonts w:ascii="方正楷体简体" w:eastAsia="方正楷体简体" w:hint="eastAsia"/>
          <w:sz w:val="32"/>
          <w:szCs w:val="32"/>
        </w:rPr>
        <w:t>（二）机构职能。</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1.主管全区审计工作。负责对区级财政收支和法律法规规定属于审计监督范围的财务收支的真实、合法和效益进行审计监督，对公共资金、国有资产、国有资源和领导干部履行经济责任情况实行审计全覆盖，对领导干部实行自然资源资产离任(任中)审计，对国家、省、市、区有关重大政策措施贯彻落实情况进行跟踪审计。对审计、专项审计调查和核查社会审计机构相关审计报告的结果承担责任，并负有督促被审计单位整改的责任。</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2.贯彻执行国家有关审计工作的方针政策和法律法规。拟订全区审计规范性文件，负责本系统、本部门依法行政工作。制定并组织实施全区专业领域审计工作规划。对直接审计、调查和核查的事项依法进行审计评价，作出审计决定或提出审计建议。</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3.向区委审计委员会提出年度区级预算执行和其他财政支出情况审计报告。向区政府和市审计局提出年度区级预算执行和其他财政收支情况的审计结果报告。受区政府委托向区人大常委会提出区级预算执行和其他财政收支情况的审计工作报告、审计查出问题整改情况报告。向区委、区政府报告对其他事项的审计和专项审计调查情况及结果。依法向社会公布审计结果。向区直有关部门和乡镇党委、政府，街道党工委、办事处通报审计情况和审计结果。</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4.直接审计下列事项，出具审计报告，在法定职权范围内作出审计决定，包括国家、省、市、区有关重大政策措施贯彻落实情况；区级预算执行情况和其他财政收支，区直各部门（含直属单位）预算执行情况、决算草案和其他财政收支；乡镇（街道）预算执行情况、财政决算和其他财政收支；使用区级财政资金的事业单位（含直属单位）和社会团体的财务收支；区级政府投资和以区级政府投资为主的建设项目的预算执行情况和决算，区级重大公共工程项目的资金管理使用和建设运营情况；自然资源管理、污染防治和生态保护与修复情况；区属国有企业、国有资本占控股或主导地位的企业境内外资产、负债和损益；有关社会保障基金、社会捐赠资金、安全生产和职业健康财政资金以及其他基金、资金的财务收支；法律法规规定的其他事项。</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5.按规定对区管党政主要领导干部及其他单位主要负责人实施经济责任审计和自然资源资产离任(任中)审计。</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6.组织实施对国家财经法律法规、规章、政策和宏观调控措施执行情况、财政预算管理及国有资产管理使用等与区级财政收支有关的特定事项进行专项审计调查。</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7.依法检查审计决定执行情况，督促整改审计查出的问题，依法办理被审计单位对审计决定提请行政复议、行政诉讼或区政府裁决中的有关事项，协助配合有关部门查处相关重大案件。</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8.指导和监督内部审计工作，核查社会审计机构对依法属于审计监督对象的单位出具的相关审计报告。</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9.依法组织开展国际组织和外国政府援助、贷款项目审计。</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10.组织开展信息技术在审计领域的应用。</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11.负责职责范围内的安全生产和职业健康、生态环境保护、审批服务便民化等工作。</w:t>
      </w:r>
    </w:p>
    <w:p>
      <w:pPr>
        <w:widowControl/>
        <w:adjustRightInd w:val="0"/>
        <w:snapToGrid w:val="0"/>
        <w:spacing w:line="580" w:lineRule="exact"/>
        <w:ind w:firstLineChars="200" w:firstLine="560"/>
        <w:contextualSpacing/>
        <w:jc w:val="left"/>
        <w:rPr>
          <w:rFonts w:ascii="仿宋" w:eastAsia="仿宋" w:cs="仿宋" w:hAnsi="仿宋"/>
          <w:color w:val="000000"/>
          <w:kern w:val="0"/>
          <w:sz w:val="28"/>
          <w:szCs w:val="28"/>
        </w:rPr>
      </w:pPr>
      <w:r>
        <w:rPr>
          <w:rFonts w:ascii="仿宋" w:eastAsia="仿宋" w:cs="仿宋" w:hAnsi="仿宋" w:hint="eastAsia"/>
          <w:color w:val="000000"/>
          <w:kern w:val="0"/>
          <w:sz w:val="28"/>
          <w:szCs w:val="28"/>
        </w:rPr>
        <w:t>12.完成区委、区政府交办的其他任务。</w:t>
      </w:r>
    </w:p>
    <w:p>
      <w:pPr>
        <w:widowControl/>
        <w:adjustRightInd w:val="0"/>
        <w:snapToGrid w:val="0"/>
        <w:spacing w:line="580" w:lineRule="exact"/>
        <w:ind w:firstLineChars="200" w:firstLine="640"/>
        <w:contextualSpacing/>
        <w:jc w:val="left"/>
        <w:rPr>
          <w:rFonts w:ascii="方正楷体简体" w:eastAsia="方正楷体简体"/>
          <w:sz w:val="32"/>
          <w:szCs w:val="32"/>
        </w:rPr>
      </w:pPr>
      <w:r>
        <w:rPr>
          <w:rFonts w:ascii="方正楷体简体" w:eastAsia="方正楷体简体" w:hint="eastAsia"/>
          <w:sz w:val="32"/>
          <w:szCs w:val="32"/>
        </w:rPr>
        <w:t>（三）人员概况。</w:t>
      </w:r>
    </w:p>
    <w:p>
      <w:pPr>
        <w:pStyle w:val="28"/>
        <w:spacing w:line="576" w:lineRule="exact"/>
        <w:ind w:left="0" w:firstLineChars="200" w:firstLine="560"/>
        <w:rPr>
          <w:rFonts w:ascii="仿宋" w:eastAsia="仿宋" w:hAnsi="仿宋"/>
          <w:sz w:val="28"/>
          <w:szCs w:val="28"/>
        </w:rPr>
      </w:pPr>
      <w:r>
        <w:rPr>
          <w:rFonts w:ascii="仿宋" w:eastAsia="仿宋" w:hAnsi="仿宋" w:hint="eastAsia"/>
          <w:sz w:val="28"/>
          <w:szCs w:val="28"/>
          <w:lang w:eastAsia="zh-CN"/>
        </w:rPr>
        <w:t>区审计局</w:t>
      </w:r>
      <w:r>
        <w:rPr>
          <w:rFonts w:ascii="仿宋" w:eastAsia="仿宋" w:hAnsi="仿宋" w:hint="eastAsia"/>
          <w:sz w:val="28"/>
          <w:szCs w:val="28"/>
        </w:rPr>
        <w:t>2020年末实有人数34人，其中：公务员12人、参公3人、机关工勤2人、全额事业人员17人。</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二、部门财政资金收支情况</w:t>
      </w:r>
    </w:p>
    <w:p>
      <w:pPr>
        <w:widowControl/>
        <w:adjustRightInd w:val="0"/>
        <w:snapToGrid w:val="0"/>
        <w:spacing w:line="580" w:lineRule="exact"/>
        <w:ind w:firstLineChars="200" w:firstLine="640"/>
        <w:contextualSpacing/>
        <w:jc w:val="left"/>
        <w:rPr>
          <w:rFonts w:ascii="仿宋_GB2312" w:eastAsia="仿宋_GB2312" w:cs="宋体" w:hAnsi="宋体"/>
          <w:b/>
          <w:bCs/>
          <w:color w:val="000000"/>
          <w:kern w:val="0"/>
          <w:sz w:val="32"/>
          <w:szCs w:val="32"/>
          <w:shd w:val="clear" w:color="auto" w:fill="FFFFFF"/>
          <w:lang w:val="zh-CN"/>
        </w:rPr>
      </w:pPr>
      <w:r>
        <w:rPr>
          <w:rFonts w:ascii="仿宋_GB2312" w:eastAsia="仿宋_GB2312" w:cs="宋体" w:hAnsi="宋体" w:hint="eastAsia"/>
          <w:b/>
          <w:bCs/>
          <w:color w:val="000000"/>
          <w:kern w:val="0"/>
          <w:sz w:val="32"/>
          <w:szCs w:val="32"/>
          <w:shd w:val="clear" w:color="auto" w:fill="FFFFFF"/>
          <w:lang w:val="zh-CN"/>
        </w:rPr>
        <w:t>（一）部门财政资金收入情况。</w:t>
      </w:r>
    </w:p>
    <w:p>
      <w:pPr>
        <w:spacing w:line="576" w:lineRule="exact"/>
        <w:ind w:firstLineChars="200" w:firstLine="560"/>
        <w:outlineLvl w:val="1"/>
        <w:rPr>
          <w:rFonts w:ascii="仿宋" w:eastAsia="仿宋" w:hAnsi="仿宋"/>
          <w:color w:val="000000"/>
          <w:sz w:val="32"/>
          <w:szCs w:val="32"/>
        </w:rPr>
      </w:pPr>
      <w:r>
        <w:rPr>
          <w:rFonts w:ascii="仿宋" w:eastAsia="仿宋" w:cs="仿宋" w:hAnsi="仿宋"/>
          <w:color w:val="000000"/>
          <w:kern w:val="0"/>
          <w:sz w:val="28"/>
          <w:szCs w:val="28"/>
        </w:rPr>
        <w:t>20</w:t>
      </w:r>
      <w:r>
        <w:rPr>
          <w:rFonts w:ascii="仿宋" w:eastAsia="仿宋" w:cs="仿宋" w:hAnsi="仿宋" w:hint="eastAsia"/>
          <w:color w:val="000000"/>
          <w:kern w:val="0"/>
          <w:sz w:val="28"/>
          <w:szCs w:val="28"/>
          <w:lang w:val="en-US" w:eastAsia="zh-CN"/>
        </w:rPr>
        <w:t>20</w:t>
      </w:r>
      <w:r>
        <w:rPr>
          <w:rFonts w:ascii="仿宋" w:eastAsia="仿宋" w:cs="仿宋" w:hAnsi="仿宋" w:hint="eastAsia"/>
          <w:color w:val="000000"/>
          <w:kern w:val="0"/>
          <w:sz w:val="28"/>
          <w:szCs w:val="28"/>
        </w:rPr>
        <w:t>年财政拨款预算收入合计</w:t>
      </w:r>
      <w:r>
        <w:rPr>
          <w:rFonts w:ascii="仿宋" w:eastAsia="仿宋" w:cs="仿宋" w:hAnsi="仿宋" w:hint="eastAsia"/>
          <w:color w:val="000000"/>
          <w:kern w:val="0"/>
          <w:sz w:val="28"/>
          <w:szCs w:val="28"/>
          <w:lang w:val="en-US" w:eastAsia="zh-CN"/>
        </w:rPr>
        <w:t>1580.93</w:t>
      </w:r>
      <w:r>
        <w:rPr>
          <w:rFonts w:ascii="仿宋" w:eastAsia="仿宋" w:cs="仿宋" w:hAnsi="仿宋" w:hint="eastAsia"/>
          <w:color w:val="000000"/>
          <w:kern w:val="0"/>
          <w:sz w:val="28"/>
          <w:szCs w:val="28"/>
        </w:rPr>
        <w:t>万元，其中：一般公共预算财政拨款收入</w:t>
      </w:r>
      <w:r>
        <w:rPr>
          <w:rFonts w:ascii="仿宋" w:eastAsia="仿宋" w:cs="仿宋" w:hAnsi="仿宋" w:hint="eastAsia"/>
          <w:color w:val="000000"/>
          <w:kern w:val="0"/>
          <w:sz w:val="28"/>
          <w:szCs w:val="28"/>
          <w:lang w:val="en-US" w:eastAsia="zh-CN"/>
        </w:rPr>
        <w:t>1580.93</w:t>
      </w:r>
      <w:r>
        <w:rPr>
          <w:rFonts w:ascii="仿宋" w:eastAsia="仿宋" w:cs="仿宋" w:hAnsi="仿宋" w:hint="eastAsia"/>
          <w:color w:val="000000"/>
          <w:kern w:val="0"/>
          <w:sz w:val="28"/>
          <w:szCs w:val="28"/>
        </w:rPr>
        <w:t>万元。</w:t>
      </w:r>
      <w:r>
        <w:rPr>
          <w:rFonts w:ascii="仿宋" w:eastAsia="仿宋" w:hAnsi="仿宋"/>
          <w:color w:val="000000"/>
          <w:sz w:val="32"/>
          <w:szCs w:val="32"/>
        </w:rPr>
        <w:t xml:space="preserve"> </w:t>
      </w:r>
    </w:p>
    <w:p>
      <w:pPr>
        <w:widowControl/>
        <w:adjustRightInd w:val="0"/>
        <w:snapToGrid w:val="0"/>
        <w:spacing w:line="580" w:lineRule="exact"/>
        <w:ind w:firstLineChars="200" w:firstLine="640"/>
        <w:contextualSpacing/>
        <w:jc w:val="left"/>
        <w:rPr>
          <w:rFonts w:ascii="仿宋_GB2312" w:eastAsia="仿宋_GB2312" w:cs="宋体" w:hAnsi="宋体"/>
          <w:color w:val="000000"/>
          <w:kern w:val="0"/>
          <w:sz w:val="32"/>
          <w:szCs w:val="32"/>
          <w:shd w:val="clear" w:color="auto" w:fill="FFFFFF"/>
          <w:lang w:val="zh-CN"/>
        </w:rPr>
      </w:pPr>
      <w:r>
        <w:rPr>
          <w:rFonts w:ascii="仿宋_GB2312" w:eastAsia="仿宋_GB2312" w:cs="宋体" w:hAnsi="宋体" w:hint="eastAsia"/>
          <w:b/>
          <w:bCs/>
          <w:color w:val="000000"/>
          <w:kern w:val="0"/>
          <w:sz w:val="32"/>
          <w:szCs w:val="32"/>
          <w:shd w:val="clear" w:color="auto" w:fill="FFFFFF"/>
          <w:lang w:val="zh-CN"/>
        </w:rPr>
        <w:t>（二）部门财政资金支出情况</w:t>
      </w:r>
      <w:r>
        <w:rPr>
          <w:rFonts w:ascii="仿宋_GB2312" w:eastAsia="仿宋_GB2312" w:cs="宋体" w:hAnsi="宋体" w:hint="eastAsia"/>
          <w:color w:val="000000"/>
          <w:kern w:val="0"/>
          <w:sz w:val="32"/>
          <w:szCs w:val="32"/>
          <w:shd w:val="clear" w:color="auto" w:fill="FFFFFF"/>
          <w:lang w:val="zh-CN"/>
        </w:rPr>
        <w:t>。</w:t>
      </w:r>
    </w:p>
    <w:p>
      <w:pPr>
        <w:spacing w:line="576" w:lineRule="exact"/>
        <w:ind w:firstLineChars="200" w:firstLine="560"/>
        <w:outlineLvl w:val="1"/>
        <w:rPr>
          <w:rFonts w:ascii="仿宋" w:eastAsia="仿宋" w:cs="仿宋" w:hAnsi="仿宋"/>
          <w:color w:val="000000"/>
          <w:kern w:val="0"/>
          <w:sz w:val="28"/>
          <w:szCs w:val="28"/>
        </w:rPr>
      </w:pPr>
      <w:r>
        <w:rPr>
          <w:rFonts w:ascii="仿宋" w:eastAsia="仿宋" w:cs="仿宋" w:hAnsi="仿宋"/>
          <w:color w:val="000000"/>
          <w:kern w:val="0"/>
          <w:sz w:val="28"/>
          <w:szCs w:val="28"/>
        </w:rPr>
        <w:t>20</w:t>
      </w:r>
      <w:r>
        <w:rPr>
          <w:rFonts w:ascii="仿宋" w:eastAsia="仿宋" w:cs="仿宋" w:hAnsi="仿宋" w:hint="eastAsia"/>
          <w:color w:val="000000"/>
          <w:kern w:val="0"/>
          <w:sz w:val="28"/>
          <w:szCs w:val="28"/>
          <w:lang w:val="en-US" w:eastAsia="zh-CN"/>
        </w:rPr>
        <w:t>20</w:t>
      </w:r>
      <w:r>
        <w:rPr>
          <w:rFonts w:ascii="仿宋" w:eastAsia="仿宋" w:cs="仿宋" w:hAnsi="仿宋" w:hint="eastAsia"/>
          <w:color w:val="000000"/>
          <w:kern w:val="0"/>
          <w:sz w:val="28"/>
          <w:szCs w:val="28"/>
        </w:rPr>
        <w:t>年一般公共预算财政拨款支出</w:t>
      </w:r>
      <w:r>
        <w:rPr>
          <w:rFonts w:ascii="仿宋" w:eastAsia="仿宋" w:cs="仿宋" w:hAnsi="仿宋" w:hint="eastAsia"/>
          <w:color w:val="000000"/>
          <w:kern w:val="0"/>
          <w:sz w:val="28"/>
          <w:szCs w:val="28"/>
          <w:lang w:val="en-US" w:eastAsia="zh-CN"/>
        </w:rPr>
        <w:t>957.85</w:t>
      </w:r>
      <w:r>
        <w:rPr>
          <w:rFonts w:ascii="仿宋" w:eastAsia="仿宋" w:cs="仿宋" w:hAnsi="仿宋" w:hint="eastAsia"/>
          <w:color w:val="000000"/>
          <w:kern w:val="0"/>
          <w:sz w:val="28"/>
          <w:szCs w:val="28"/>
        </w:rPr>
        <w:t>万元，其中基本支出</w:t>
      </w:r>
      <w:r>
        <w:rPr>
          <w:rFonts w:ascii="仿宋" w:eastAsia="仿宋" w:cs="仿宋" w:hAnsi="仿宋" w:hint="eastAsia"/>
          <w:color w:val="000000"/>
          <w:kern w:val="0"/>
          <w:sz w:val="28"/>
          <w:szCs w:val="28"/>
          <w:lang w:val="en-US" w:eastAsia="zh-CN"/>
          <w:highlight w:val="auto"/>
        </w:rPr>
        <w:t>581.53</w:t>
      </w:r>
      <w:r>
        <w:rPr>
          <w:rFonts w:ascii="仿宋" w:eastAsia="仿宋" w:cs="仿宋" w:hAnsi="仿宋" w:hint="eastAsia"/>
          <w:color w:val="000000"/>
          <w:kern w:val="0"/>
          <w:sz w:val="28"/>
          <w:szCs w:val="28"/>
        </w:rPr>
        <w:t>万元，项目支出</w:t>
      </w:r>
      <w:r>
        <w:rPr>
          <w:rFonts w:ascii="仿宋" w:eastAsia="仿宋" w:cs="仿宋" w:hAnsi="仿宋" w:hint="eastAsia"/>
          <w:color w:val="000000"/>
          <w:kern w:val="0"/>
          <w:sz w:val="28"/>
          <w:szCs w:val="28"/>
          <w:lang w:val="en-US" w:eastAsia="zh-CN"/>
        </w:rPr>
        <w:t>395.39</w:t>
      </w:r>
      <w:r>
        <w:rPr>
          <w:rFonts w:ascii="仿宋" w:eastAsia="仿宋" w:cs="仿宋" w:hAnsi="仿宋" w:hint="eastAsia"/>
          <w:color w:val="000000"/>
          <w:kern w:val="0"/>
          <w:sz w:val="28"/>
          <w:szCs w:val="28"/>
        </w:rPr>
        <w:t>万元。</w:t>
      </w:r>
    </w:p>
    <w:p>
      <w:pPr>
        <w:widowControl/>
        <w:adjustRightInd w:val="0"/>
        <w:snapToGrid w:val="0"/>
        <w:spacing w:line="580" w:lineRule="exact"/>
        <w:ind w:firstLineChars="200" w:firstLine="640"/>
        <w:contextualSpacing/>
        <w:jc w:val="left"/>
        <w:rPr>
          <w:rFonts w:ascii="黑体" w:eastAsia="黑体" w:cs="宋体" w:hAnsi="宋体"/>
          <w:color w:val="000000"/>
          <w:kern w:val="0"/>
          <w:sz w:val="32"/>
          <w:szCs w:val="32"/>
          <w:shd w:val="clear" w:color="auto" w:fill="FFFFFF"/>
        </w:rPr>
      </w:pPr>
      <w:r>
        <w:rPr>
          <w:rFonts w:ascii="黑体" w:eastAsia="黑体" w:cs="宋体" w:hAnsi="宋体" w:hint="eastAsia"/>
          <w:color w:val="000000"/>
          <w:kern w:val="0"/>
          <w:sz w:val="32"/>
          <w:szCs w:val="32"/>
          <w:shd w:val="clear" w:color="auto" w:fill="FFFFFF"/>
        </w:rPr>
        <w:t>三、部门整体预算绩效管理情况</w:t>
      </w:r>
    </w:p>
    <w:p>
      <w:pPr>
        <w:widowControl/>
        <w:adjustRightInd w:val="0"/>
        <w:snapToGrid w:val="0"/>
        <w:spacing w:line="580" w:lineRule="exact"/>
        <w:ind w:firstLineChars="200" w:firstLine="640"/>
        <w:contextualSpacing/>
        <w:jc w:val="left"/>
        <w:rPr>
          <w:rFonts w:ascii="仿宋_GB2312" w:eastAsia="仿宋_GB2312" w:cs="宋体" w:hAnsi="宋体"/>
          <w:b/>
          <w:bCs/>
          <w:color w:val="000000"/>
          <w:kern w:val="0"/>
          <w:sz w:val="32"/>
          <w:szCs w:val="32"/>
          <w:shd w:val="clear" w:color="auto" w:fill="FFFFFF"/>
          <w:lang w:val="zh-CN"/>
        </w:rPr>
      </w:pPr>
      <w:r>
        <w:rPr>
          <w:rFonts w:ascii="仿宋_GB2312" w:eastAsia="仿宋_GB2312" w:cs="宋体" w:hAnsi="宋体" w:hint="eastAsia"/>
          <w:b/>
          <w:bCs/>
          <w:color w:val="000000"/>
          <w:kern w:val="0"/>
          <w:sz w:val="32"/>
          <w:szCs w:val="32"/>
          <w:shd w:val="clear" w:color="auto" w:fill="FFFFFF"/>
          <w:lang w:val="zh-CN"/>
        </w:rPr>
        <w:t>（一）部门预算管理。</w:t>
      </w:r>
    </w:p>
    <w:p>
      <w:pPr>
        <w:spacing w:line="580" w:lineRule="exact"/>
        <w:ind w:firstLineChars="200" w:firstLine="640"/>
        <w:rPr>
          <w:rFonts w:ascii="仿宋_GB2312" w:eastAsia="仿宋_GB2312" w:cs="仿宋_GB2312" w:hAnsi="仿宋_GB2312" w:hint="eastAsia"/>
          <w:sz w:val="32"/>
          <w:szCs w:val="32"/>
          <w:lang w:val="en-US" w:eastAsia="zh-CN"/>
        </w:rPr>
      </w:pPr>
      <w:r>
        <w:rPr>
          <w:rFonts w:ascii="仿宋_GB2312" w:eastAsia="仿宋_GB2312" w:cs="仿宋_GB2312" w:hAnsi="仿宋_GB2312" w:hint="eastAsia"/>
          <w:sz w:val="32"/>
          <w:szCs w:val="32"/>
          <w:lang w:val="en-US" w:eastAsia="zh-CN"/>
        </w:rPr>
        <w:t>区审计局严格按照现行财政预算管理体制的有关规定和财政部门要求进行预算编制工作，在编制部门预算时严格遵循统筹兼顾、勤俭节约、量力而行、讲求绩效和收支平衡的原则，在支出过程中严格遵守各项规章制定，“三公经费”从严管理，在资金支出过程中严格执行“三重一大”制度，认真执行联审会签审核制度。在专项资金支出上，做到专款专用，无截留、挪用等现象。实行先有预算、后有执行的资金支付模式。专项资金的预算绩效目标全面完成，无违规使用专项资金的现象。</w:t>
      </w:r>
    </w:p>
    <w:p>
      <w:pPr>
        <w:spacing w:line="580" w:lineRule="exact"/>
        <w:ind w:firstLineChars="200" w:firstLine="640"/>
        <w:rPr>
          <w:rFonts w:ascii="仿宋_GB2312" w:eastAsia="仿宋_GB2312" w:hint="eastAsia"/>
          <w:color w:val="auto"/>
          <w:sz w:val="32"/>
          <w:szCs w:val="32"/>
          <w:lang w:val="en-US" w:eastAsia="zh-CN"/>
          <w:highlight w:val="auto"/>
        </w:rPr>
      </w:pPr>
      <w:r>
        <w:rPr>
          <w:rFonts w:ascii="宋体" w:eastAsia="宋体" w:cs="宋体" w:hint="eastAsia"/>
          <w:sz w:val="32"/>
          <w:szCs w:val="32"/>
          <w:lang w:val="en-US" w:eastAsia="zh-CN"/>
        </w:rPr>
        <w:t xml:space="preserve"> </w:t>
      </w:r>
      <w:r>
        <w:rPr>
          <w:rFonts w:ascii="仿宋_GB2312" w:eastAsia="仿宋_GB2312" w:cs="仿宋_GB2312" w:hAnsi="仿宋_GB2312" w:hint="eastAsia"/>
          <w:sz w:val="32"/>
          <w:szCs w:val="32"/>
        </w:rPr>
        <w:t>根据预算绩效管理要求，</w:t>
      </w:r>
      <w:r>
        <w:rPr>
          <w:rFonts w:ascii="仿宋_GB2312" w:eastAsia="仿宋_GB2312" w:cs="仿宋_GB2312" w:hAnsi="仿宋_GB2312" w:hint="eastAsia"/>
          <w:sz w:val="32"/>
          <w:szCs w:val="32"/>
          <w:lang w:eastAsia="zh-CN"/>
        </w:rPr>
        <w:t>区审计局</w:t>
      </w:r>
      <w:r>
        <w:rPr>
          <w:rFonts w:ascii="仿宋_GB2312" w:eastAsia="仿宋_GB2312" w:cs="仿宋_GB2312" w:hAnsi="仿宋_GB2312" w:hint="eastAsia"/>
          <w:sz w:val="32"/>
          <w:szCs w:val="32"/>
        </w:rPr>
        <w:t>在年初预算编制阶段，组织对“参加国家审计署、省审计厅、市审计局统一组织审计项目经费</w:t>
      </w:r>
      <w:r>
        <w:rPr>
          <w:rFonts w:ascii="仿宋_GB2312" w:eastAsia="仿宋_GB2312" w:cs="仿宋_GB2312" w:hAnsi="仿宋_GB2312"/>
          <w:sz w:val="32"/>
          <w:szCs w:val="32"/>
        </w:rPr>
        <w:t>”</w:t>
      </w:r>
      <w:r>
        <w:rPr>
          <w:rFonts w:ascii="仿宋_GB2312" w:eastAsia="仿宋_GB2312" w:cs="仿宋_GB2312" w:hAnsi="仿宋_GB2312" w:hint="eastAsia"/>
          <w:sz w:val="32"/>
          <w:szCs w:val="32"/>
          <w:lang w:eastAsia="zh-CN"/>
        </w:rPr>
        <w:t>、跟踪审计项目管理</w:t>
      </w:r>
      <w:r>
        <w:rPr>
          <w:rFonts w:ascii="仿宋_GB2312" w:eastAsia="仿宋_GB2312" w:cs="仿宋_GB2312" w:hAnsi="仿宋_GB2312" w:hint="eastAsia"/>
          <w:sz w:val="32"/>
          <w:szCs w:val="32"/>
        </w:rPr>
        <w:t>”等</w:t>
      </w:r>
      <w:r>
        <w:rPr>
          <w:rFonts w:ascii="仿宋_GB2312" w:eastAsia="仿宋_GB2312" w:cs="仿宋_GB2312" w:hAnsi="仿宋_GB2312" w:hint="eastAsia"/>
          <w:sz w:val="32"/>
          <w:szCs w:val="32"/>
          <w:lang w:val="en-US" w:eastAsia="zh-CN"/>
        </w:rPr>
        <w:t>12</w:t>
      </w:r>
      <w:r>
        <w:rPr>
          <w:rFonts w:ascii="仿宋_GB2312" w:eastAsia="仿宋_GB2312" w:cs="仿宋_GB2312" w:hAnsi="仿宋_GB2312" w:hint="eastAsia"/>
          <w:sz w:val="32"/>
          <w:szCs w:val="32"/>
        </w:rPr>
        <w:t>个</w:t>
      </w:r>
      <w:r>
        <w:rPr>
          <w:rFonts w:ascii="仿宋_GB2312" w:eastAsia="仿宋_GB2312" w:cs="仿宋_GB2312" w:hAnsi="仿宋_GB2312" w:hint="eastAsia"/>
          <w:sz w:val="32"/>
          <w:szCs w:val="32"/>
          <w:lang w:val="en-US" w:eastAsia="zh-CN"/>
        </w:rPr>
        <w:t>(含整体和专项）</w:t>
      </w:r>
      <w:r>
        <w:rPr>
          <w:rFonts w:ascii="仿宋_GB2312" w:eastAsia="仿宋_GB2312" w:cs="仿宋_GB2312" w:hAnsi="仿宋_GB2312" w:hint="eastAsia"/>
          <w:sz w:val="32"/>
          <w:szCs w:val="32"/>
        </w:rPr>
        <w:t>项目开展了预算事前绩效评估，从评价情况来看</w:t>
      </w:r>
      <w:r>
        <w:rPr>
          <w:rFonts w:ascii="仿宋_GB2312" w:eastAsia="仿宋_GB2312" w:hint="eastAsia"/>
          <w:color w:val="auto"/>
          <w:sz w:val="32"/>
          <w:szCs w:val="32"/>
          <w:lang w:val="en-US" w:eastAsia="zh-CN"/>
          <w:highlight w:val="auto"/>
        </w:rPr>
        <w:t>我局设定的总体工作目标为坚持以习近平新时代中国特色社会主义思想为指导，全面贯彻党的十九大和十九届二中、三中、四中、全会精神，认真落实习近平总书记对审计和四川工作重要指示批示，按照省委十一届三次、四次、五次、六次全会和经济工作会议各项决策部署，紧扣全面建成小康社会目标任务，</w:t>
      </w:r>
      <w:r>
        <w:rPr>
          <w:rFonts w:ascii="仿宋_GB2312" w:eastAsia="仿宋_GB2312" w:hint="eastAsia"/>
          <w:color w:val="auto"/>
          <w:sz w:val="32"/>
          <w:szCs w:val="32"/>
          <w:lang w:val="en-US" w:eastAsia="zh-CN"/>
        </w:rPr>
        <w:t>坚持稳中求进工作总基调</w:t>
      </w:r>
      <w:r>
        <w:rPr>
          <w:rFonts w:ascii="仿宋_GB2312" w:eastAsia="仿宋_GB2312" w:hint="eastAsia"/>
          <w:color w:val="auto"/>
          <w:sz w:val="32"/>
          <w:szCs w:val="32"/>
          <w:lang w:val="en-US" w:eastAsia="zh-CN"/>
          <w:highlight w:val="auto"/>
        </w:rPr>
        <w:t>，坚持新发展理念，坚持以改革开放为动力，依法履行审计监督职责，做好常态化“经济体检”工作，推动稳增长、促改革、调结构、惠民生、防风险、保稳定各项工作，充分发挥审计在推进国家治理体系和治理能力现代化中的智能作用。</w:t>
      </w:r>
    </w:p>
    <w:p>
      <w:pPr>
        <w:widowControl/>
        <w:adjustRightInd w:val="0"/>
        <w:snapToGrid w:val="0"/>
        <w:spacing w:line="580" w:lineRule="exact"/>
        <w:ind w:firstLineChars="200" w:firstLine="640"/>
        <w:contextualSpacing/>
        <w:jc w:val="left"/>
        <w:rPr>
          <w:rFonts w:ascii="仿宋" w:eastAsia="仿宋" w:hAnsi="仿宋"/>
          <w:color w:val="000000"/>
          <w:sz w:val="32"/>
          <w:szCs w:val="32"/>
        </w:rPr>
      </w:pPr>
      <w:r>
        <w:rPr>
          <w:rFonts w:ascii="黑体" w:eastAsia="黑体" w:hAnsi="黑体" w:hint="eastAsia"/>
          <w:color w:val="000000"/>
          <w:sz w:val="32"/>
          <w:szCs w:val="32"/>
        </w:rPr>
        <w:t>（二）结果应用情况</w:t>
      </w:r>
      <w:r>
        <w:rPr>
          <w:rFonts w:ascii="仿宋" w:eastAsia="仿宋" w:hAnsi="仿宋" w:hint="eastAsia"/>
          <w:color w:val="000000"/>
          <w:sz w:val="32"/>
          <w:szCs w:val="32"/>
        </w:rPr>
        <w:t>。</w:t>
      </w:r>
    </w:p>
    <w:p>
      <w:pPr>
        <w:pStyle w:val="31"/>
        <w:spacing w:line="560" w:lineRule="exact"/>
        <w:ind w:firstLineChars="200" w:firstLine="640"/>
        <w:rPr>
          <w:rFonts w:ascii="仿宋_GB2312" w:eastAsia="仿宋_GB2312" w:hAnsi="仿宋_GB2312" w:hint="eastAsia"/>
          <w:sz w:val="32"/>
        </w:rPr>
      </w:pPr>
      <w:r>
        <w:rPr>
          <w:rFonts w:ascii="仿宋" w:eastAsia="仿宋" w:hAnsi="仿宋" w:hint="eastAsia"/>
          <w:color w:val="000000"/>
          <w:sz w:val="32"/>
          <w:szCs w:val="32"/>
        </w:rPr>
        <w:t>此次绩效评价的目的是：严格落实《预算法》及省、市、区绩效管理的有关规定，进一步规范财政资金的管理，强化财政资金支出绩效理念，提升部门责任意识，提高资金使用效益，促进审计事业</w:t>
      </w:r>
      <w:r>
        <w:rPr>
          <w:rFonts w:ascii="仿宋" w:eastAsia="仿宋" w:hAnsi="仿宋" w:hint="eastAsia"/>
          <w:color w:val="000000"/>
          <w:sz w:val="32"/>
          <w:szCs w:val="32"/>
          <w:lang w:eastAsia="zh-CN"/>
        </w:rPr>
        <w:t>全面</w:t>
      </w:r>
      <w:r>
        <w:rPr>
          <w:rFonts w:ascii="仿宋" w:eastAsia="仿宋" w:hAnsi="仿宋" w:hint="eastAsia"/>
          <w:color w:val="000000"/>
          <w:sz w:val="32"/>
          <w:szCs w:val="32"/>
        </w:rPr>
        <w:t>发展。</w:t>
      </w:r>
      <w:r>
        <w:rPr>
          <w:rFonts w:eastAsia="仿宋_GB2312" w:hint="eastAsia"/>
          <w:sz w:val="32"/>
          <w:szCs w:val="32"/>
          <w:lang w:val="zh-CN"/>
        </w:rPr>
        <w:t>并按要求将相关绩效信息随部门预算决一并在利州区政府门户网站公开。</w:t>
      </w:r>
      <w:r>
        <w:rPr>
          <w:rFonts w:ascii="仿宋_GB2312" w:eastAsia="仿宋_GB2312" w:hAnsi="仿宋_GB2312" w:hint="eastAsia"/>
          <w:sz w:val="32"/>
        </w:rPr>
        <w:t>进一步细化绩效管理工作考核内容，加强各业务</w:t>
      </w:r>
      <w:r>
        <w:rPr>
          <w:rFonts w:ascii="仿宋_GB2312" w:eastAsia="仿宋_GB2312" w:hAnsi="仿宋_GB2312" w:hint="eastAsia"/>
          <w:sz w:val="32"/>
          <w:lang w:eastAsia="zh-CN"/>
        </w:rPr>
        <w:t>股</w:t>
      </w:r>
      <w:r>
        <w:rPr>
          <w:rFonts w:ascii="仿宋_GB2312" w:eastAsia="仿宋_GB2312" w:hAnsi="仿宋_GB2312" w:hint="eastAsia"/>
          <w:sz w:val="32"/>
        </w:rPr>
        <w:t>室与绩效管理工作的联系，推动绩效管理工作更好的实施。</w:t>
      </w:r>
      <w:r>
        <w:rPr>
          <w:rFonts w:eastAsia="仿宋_GB2312" w:hint="eastAsia"/>
          <w:sz w:val="32"/>
          <w:szCs w:val="32"/>
          <w:lang w:val="zh-CN"/>
        </w:rPr>
        <w:t>不足之处是绩效目标设定不够丰富，设置稍显单薄，在绩效监控中发现部分预算项目可能无法按预期完成。</w:t>
      </w:r>
    </w:p>
    <w:p>
      <w:pPr>
        <w:spacing w:line="576" w:lineRule="exact"/>
        <w:ind w:firstLineChars="200" w:firstLine="640"/>
        <w:rPr>
          <w:rFonts w:ascii="黑体" w:eastAsia="黑体" w:cs="宋体" w:hAnsi="宋体"/>
          <w:color w:val="000000"/>
          <w:kern w:val="0"/>
          <w:sz w:val="32"/>
          <w:szCs w:val="32"/>
          <w:shd w:val="clear" w:color="auto" w:fill="FFFFFF"/>
        </w:rPr>
      </w:pPr>
      <w:r>
        <w:rPr>
          <w:rFonts w:ascii="仿宋_GB2312" w:eastAsia="仿宋_GB2312" w:hAnsi="仿宋_GB2312" w:hint="eastAsia"/>
          <w:sz w:val="32"/>
          <w:lang w:val="en-US" w:eastAsia="zh-CN"/>
        </w:rPr>
        <w:t xml:space="preserve"> </w:t>
      </w:r>
      <w:r>
        <w:rPr>
          <w:rFonts w:ascii="黑体" w:eastAsia="黑体" w:cs="宋体" w:hAnsi="宋体" w:hint="eastAsia"/>
          <w:color w:val="000000"/>
          <w:kern w:val="0"/>
          <w:sz w:val="32"/>
          <w:szCs w:val="32"/>
          <w:shd w:val="clear" w:color="auto" w:fill="FFFFFF"/>
        </w:rPr>
        <w:t>四、评价结论及建议</w:t>
      </w:r>
    </w:p>
    <w:p>
      <w:pPr>
        <w:spacing w:line="576" w:lineRule="exact"/>
        <w:ind w:firstLineChars="200" w:firstLine="560"/>
        <w:rPr>
          <w:rFonts w:ascii="楷体" w:eastAsia="楷体" w:cs="仿宋_GB2312" w:hAnsi="楷体"/>
          <w:b/>
          <w:bCs/>
          <w:sz w:val="28"/>
          <w:szCs w:val="28"/>
        </w:rPr>
      </w:pPr>
      <w:r>
        <w:rPr>
          <w:rFonts w:ascii="楷体" w:eastAsia="楷体" w:cs="仿宋_GB2312" w:hAnsi="楷体"/>
          <w:b/>
          <w:bCs/>
          <w:sz w:val="28"/>
          <w:szCs w:val="28"/>
        </w:rPr>
        <w:t>（一）评价结论。</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根据绩效评价的要求，成立了绩效评价工作领导小组，对照绩效评价方案进行研究和部署，党组成员及各股室负责人全程参与，按照绩效评价方案的要求，对照各实施项目的内容全面评价。在评价过程中发现问题，查找原因，及时纠正偏差，为下一步开展工作夯实基础。</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根据对</w:t>
      </w:r>
      <w:r>
        <w:rPr>
          <w:rFonts w:ascii="仿宋" w:eastAsia="仿宋" w:hAnsi="仿宋" w:hint="eastAsia"/>
          <w:sz w:val="32"/>
          <w:szCs w:val="32"/>
          <w:lang w:eastAsia="zh-CN"/>
        </w:rPr>
        <w:t>区审计局</w:t>
      </w:r>
      <w:r>
        <w:rPr>
          <w:rFonts w:ascii="仿宋" w:eastAsia="仿宋" w:hAnsi="仿宋" w:hint="eastAsia"/>
          <w:sz w:val="32"/>
          <w:szCs w:val="32"/>
        </w:rPr>
        <w:t>局20</w:t>
      </w:r>
      <w:r>
        <w:rPr>
          <w:rFonts w:ascii="仿宋" w:eastAsia="仿宋" w:hAnsi="仿宋" w:hint="eastAsia"/>
          <w:sz w:val="32"/>
          <w:szCs w:val="32"/>
          <w:lang w:val="en-US" w:eastAsia="zh-CN"/>
        </w:rPr>
        <w:t>20</w:t>
      </w:r>
      <w:r>
        <w:rPr>
          <w:rFonts w:ascii="仿宋" w:eastAsia="仿宋" w:hAnsi="仿宋" w:hint="eastAsia"/>
          <w:sz w:val="32"/>
          <w:szCs w:val="32"/>
        </w:rPr>
        <w:t>年整体支出绩效评价体系和绩效情况的检查，20</w:t>
      </w:r>
      <w:r>
        <w:rPr>
          <w:rFonts w:ascii="仿宋" w:eastAsia="仿宋" w:hAnsi="仿宋" w:hint="eastAsia"/>
          <w:sz w:val="32"/>
          <w:szCs w:val="32"/>
          <w:lang w:val="en-US" w:eastAsia="zh-CN"/>
        </w:rPr>
        <w:t>20</w:t>
      </w:r>
      <w:r>
        <w:rPr>
          <w:rFonts w:ascii="仿宋" w:eastAsia="仿宋" w:hAnsi="仿宋" w:hint="eastAsia"/>
          <w:sz w:val="32"/>
          <w:szCs w:val="32"/>
        </w:rPr>
        <w:t>年部门整体绩效评价自评分为95分，为“优”等级。</w:t>
      </w:r>
    </w:p>
    <w:p>
      <w:pPr>
        <w:spacing w:line="576" w:lineRule="exact"/>
        <w:ind w:firstLineChars="200" w:firstLine="640"/>
        <w:rPr>
          <w:rFonts w:ascii="仿宋" w:eastAsia="仿宋" w:hAnsi="仿宋"/>
          <w:b/>
          <w:bCs/>
          <w:sz w:val="32"/>
          <w:szCs w:val="32"/>
        </w:rPr>
      </w:pPr>
      <w:r>
        <w:rPr>
          <w:rFonts w:ascii="仿宋" w:eastAsia="仿宋" w:hAnsi="仿宋"/>
          <w:b/>
          <w:bCs/>
          <w:sz w:val="32"/>
          <w:szCs w:val="32"/>
        </w:rPr>
        <w:t>（二）存在问题。</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经费支出管理项目还有待进一步细化和量化，强化机关经费预算管理的刚性约束，项目支出按预算和工作进度执行，进一步规范各项支出。</w:t>
      </w:r>
    </w:p>
    <w:p>
      <w:pPr>
        <w:spacing w:line="576" w:lineRule="exact"/>
        <w:ind w:firstLineChars="200" w:firstLine="640"/>
        <w:rPr>
          <w:rFonts w:ascii="仿宋" w:eastAsia="仿宋" w:hAnsi="仿宋"/>
          <w:sz w:val="32"/>
          <w:szCs w:val="32"/>
        </w:rPr>
      </w:pPr>
      <w:r>
        <w:rPr>
          <w:rFonts w:ascii="仿宋" w:eastAsia="仿宋" w:hAnsi="仿宋"/>
          <w:b/>
          <w:bCs/>
          <w:sz w:val="32"/>
          <w:szCs w:val="32"/>
        </w:rPr>
        <w:t>（三）改进建议。</w:t>
      </w:r>
    </w:p>
    <w:p>
      <w:pPr>
        <w:spacing w:line="576" w:lineRule="exact"/>
        <w:ind w:firstLineChars="200" w:firstLine="640"/>
        <w:rPr>
          <w:rFonts w:ascii="仿宋" w:eastAsia="仿宋" w:hAnsi="仿宋"/>
          <w:sz w:val="32"/>
          <w:szCs w:val="32"/>
        </w:rPr>
      </w:pPr>
      <w:r>
        <w:rPr>
          <w:rFonts w:ascii="仿宋" w:eastAsia="仿宋" w:hAnsi="仿宋" w:hint="eastAsia"/>
          <w:sz w:val="32"/>
          <w:szCs w:val="32"/>
        </w:rPr>
        <w:t>进一步提高部门预算基本支出的财政保障力度，将开展审计业务所需工作经费全额纳入财政预算。</w:t>
      </w:r>
    </w:p>
    <w:p>
      <w:pPr>
        <w:spacing w:line="580" w:lineRule="exact"/>
        <w:rPr>
          <w:rFonts w:ascii="黑体" w:eastAsia="黑体" w:cs="黑体" w:hAnsi="黑体"/>
          <w:sz w:val="32"/>
          <w:szCs w:val="32"/>
        </w:rPr>
      </w:pP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附件2</w:t>
      </w:r>
    </w:p>
    <w:p>
      <w:pPr>
        <w:spacing w:line="580" w:lineRule="exact"/>
        <w:ind w:firstLineChars="200" w:firstLine="640"/>
        <w:rPr>
          <w:rFonts w:ascii="仿宋_GB2312" w:eastAsia="仿宋_GB2312" w:cs="仿宋_GB2312" w:hAnsi="仿宋_GB2312"/>
          <w:sz w:val="32"/>
          <w:szCs w:val="32"/>
        </w:rPr>
      </w:pPr>
    </w:p>
    <w:p>
      <w:pPr>
        <w:spacing w:line="576" w:lineRule="exact"/>
        <w:jc w:val="center"/>
        <w:rPr>
          <w:rFonts w:ascii="方正小标宋简体" w:eastAsia="方正小标宋简体" w:cs="方正小标宋简体" w:hAnsi="仿宋"/>
          <w:sz w:val="32"/>
          <w:szCs w:val="32"/>
        </w:rPr>
      </w:pPr>
      <w:r>
        <w:rPr>
          <w:rFonts w:ascii="方正小标宋简体" w:eastAsia="方正小标宋简体" w:cs="方正小标宋简体" w:hAnsi="仿宋" w:hint="eastAsia"/>
          <w:sz w:val="32"/>
          <w:szCs w:val="32"/>
        </w:rPr>
        <w:t>参加全国、省、市统一审计项目经费项目</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rPr>
        <w:t>20</w:t>
      </w:r>
      <w:r>
        <w:rPr>
          <w:rFonts w:ascii="方正小标宋简体" w:eastAsia="方正小标宋简体" w:hAnsi="宋体" w:hint="eastAsia"/>
          <w:color w:val="000000"/>
          <w:kern w:val="0"/>
          <w:sz w:val="44"/>
          <w:szCs w:val="44"/>
          <w:lang w:val="en-US" w:eastAsia="zh-CN"/>
        </w:rPr>
        <w:t>20</w:t>
      </w:r>
      <w:r>
        <w:rPr>
          <w:rFonts w:ascii="方正小标宋简体" w:eastAsia="方正小标宋简体" w:hAnsi="宋体" w:hint="eastAsia"/>
          <w:color w:val="000000"/>
          <w:kern w:val="0"/>
          <w:sz w:val="44"/>
          <w:szCs w:val="44"/>
        </w:rPr>
        <w:t>年</w:t>
      </w:r>
      <w:r>
        <w:rPr>
          <w:rFonts w:ascii="方正小标宋简体" w:eastAsia="方正小标宋简体" w:hAnsi="宋体" w:hint="eastAsia"/>
          <w:color w:val="000000"/>
          <w:kern w:val="0"/>
          <w:sz w:val="44"/>
          <w:szCs w:val="44"/>
          <w:lang w:val="zh-CN"/>
        </w:rPr>
        <w:t>绩效评价报告</w:t>
      </w: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pPr>
        <w:spacing w:line="580" w:lineRule="exact"/>
        <w:ind w:firstLineChars="200" w:firstLine="640"/>
        <w:rPr>
          <w:rFonts w:ascii="仿宋_GB2312" w:eastAsia="仿宋_GB2312" w:cs="仿宋_GB2312" w:hAnsi="仿宋_GB2312" w:hint="eastAsia"/>
          <w:sz w:val="32"/>
          <w:szCs w:val="32"/>
          <w:lang w:eastAsia="zh-CN"/>
          <w:highlight w:val="auto"/>
        </w:rPr>
      </w:pPr>
      <w:r>
        <w:rPr>
          <w:rFonts w:ascii="仿宋_GB2312" w:eastAsia="仿宋_GB2312" w:cs="仿宋_GB2312" w:hAnsi="仿宋_GB2312" w:hint="eastAsia"/>
          <w:sz w:val="32"/>
          <w:szCs w:val="32"/>
          <w:lang w:eastAsia="zh-CN"/>
          <w:highlight w:val="auto"/>
        </w:rPr>
        <w:t>按照全国审计一盘棋的工作要求，</w:t>
      </w:r>
      <w:r>
        <w:rPr>
          <w:rFonts w:ascii="仿宋_GB2312" w:eastAsia="仿宋_GB2312" w:cs="仿宋_GB2312" w:hAnsi="仿宋_GB2312" w:hint="eastAsia"/>
          <w:sz w:val="32"/>
          <w:szCs w:val="32"/>
          <w:highlight w:val="auto"/>
        </w:rPr>
        <w:t>全年完成上级审计部门统一安排交叉审计项目</w:t>
      </w:r>
      <w:r>
        <w:rPr>
          <w:rFonts w:ascii="仿宋_GB2312" w:eastAsia="仿宋_GB2312" w:cs="仿宋_GB2312" w:hAnsi="仿宋_GB2312" w:hint="eastAsia"/>
          <w:sz w:val="32"/>
          <w:szCs w:val="32"/>
          <w:lang w:val="en-US" w:eastAsia="zh-CN"/>
          <w:highlight w:val="auto"/>
        </w:rPr>
        <w:t>12</w:t>
      </w:r>
      <w:r>
        <w:rPr>
          <w:rFonts w:ascii="仿宋_GB2312" w:eastAsia="仿宋_GB2312" w:cs="仿宋_GB2312" w:hAnsi="仿宋_GB2312" w:hint="eastAsia"/>
          <w:sz w:val="32"/>
          <w:szCs w:val="32"/>
          <w:highlight w:val="auto"/>
        </w:rPr>
        <w:t>个，派出审计组</w:t>
      </w:r>
      <w:r>
        <w:rPr>
          <w:rFonts w:ascii="仿宋_GB2312" w:eastAsia="仿宋_GB2312" w:cs="仿宋_GB2312" w:hAnsi="仿宋_GB2312" w:hint="eastAsia"/>
          <w:sz w:val="32"/>
          <w:szCs w:val="32"/>
          <w:lang w:val="en-US" w:eastAsia="zh-CN"/>
          <w:highlight w:val="auto"/>
        </w:rPr>
        <w:t>12</w:t>
      </w:r>
      <w:r>
        <w:rPr>
          <w:rFonts w:ascii="仿宋_GB2312" w:eastAsia="仿宋_GB2312" w:cs="仿宋_GB2312" w:hAnsi="仿宋_GB2312" w:hint="eastAsia"/>
          <w:sz w:val="32"/>
          <w:szCs w:val="32"/>
          <w:highlight w:val="auto"/>
        </w:rPr>
        <w:t>个，上级审计部门临时抽调审计人员参加区域外审计项目</w:t>
      </w:r>
      <w:r>
        <w:rPr>
          <w:rFonts w:ascii="仿宋_GB2312" w:eastAsia="仿宋_GB2312" w:cs="仿宋_GB2312" w:hAnsi="仿宋_GB2312" w:hint="eastAsia"/>
          <w:sz w:val="32"/>
          <w:szCs w:val="32"/>
          <w:lang w:val="en-US" w:eastAsia="zh-CN"/>
          <w:highlight w:val="auto"/>
        </w:rPr>
        <w:t>10</w:t>
      </w:r>
      <w:r>
        <w:rPr>
          <w:rFonts w:ascii="仿宋_GB2312" w:eastAsia="仿宋_GB2312" w:cs="仿宋_GB2312" w:hAnsi="仿宋_GB2312" w:hint="eastAsia"/>
          <w:sz w:val="32"/>
          <w:szCs w:val="32"/>
          <w:highlight w:val="auto"/>
        </w:rPr>
        <w:t>人次。</w:t>
      </w:r>
    </w:p>
    <w:p>
      <w:pPr>
        <w:adjustRightInd w:val="0"/>
        <w:snapToGrid w:val="0"/>
        <w:spacing w:line="600" w:lineRule="exact"/>
        <w:ind w:firstLineChars="200" w:firstLine="640"/>
        <w:rPr>
          <w:rFonts w:ascii="仿宋_GB2312" w:eastAsia="仿宋_GB2312" w:hAnsi="宋体" w:hint="eastAsia"/>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pPr>
        <w:adjustRightInd w:val="0"/>
        <w:snapToGrid w:val="0"/>
        <w:spacing w:line="600" w:lineRule="exact"/>
        <w:ind w:firstLineChars="200" w:firstLine="420"/>
        <w:rPr>
          <w:rFonts w:ascii="仿宋_GB2312" w:eastAsia="仿宋_GB2312" w:hAnsi="宋体"/>
          <w:sz w:val="32"/>
          <w:szCs w:val="32"/>
          <w:lang w:val="en-US" w:eastAsia="zh-CN"/>
        </w:rPr>
      </w:pPr>
      <w:r>
        <w:rPr>
          <w:rFonts w:hint="eastAsia"/>
          <w:lang w:val="en-US" w:eastAsia="zh-CN"/>
        </w:rPr>
        <w:t xml:space="preserve"> </w:t>
      </w:r>
      <w:r>
        <w:rPr>
          <w:rFonts w:ascii="仿宋_GB2312" w:eastAsia="仿宋_GB2312" w:hAnsi="宋体" w:hint="eastAsia"/>
          <w:sz w:val="32"/>
          <w:szCs w:val="32"/>
          <w:lang w:val="en-US" w:eastAsia="zh-CN"/>
        </w:rPr>
        <w:t xml:space="preserve"> 参照历年经费开支情况，根据《审计署财政部关于切实保障地方审计机关经费问题的意见》及</w:t>
      </w:r>
      <w:r>
        <w:rPr>
          <w:rFonts w:ascii="仿宋_GB2312" w:eastAsia="仿宋_GB2312" w:hAnsi="宋体" w:hint="eastAsia"/>
          <w:sz w:val="32"/>
          <w:szCs w:val="32"/>
          <w:lang w:val="zh-CN"/>
        </w:rPr>
        <w:t>《广元市利州区机关事业单位差旅费管理办法》申请项目资金。</w:t>
      </w:r>
    </w:p>
    <w:p>
      <w:pPr>
        <w:numPr>
          <w:ilvl w:val="0"/>
          <w:numId w:val="5"/>
        </w:num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资金管理办法制定情况，资金支持具体项目的条件、范围与支持方式概况。</w:t>
      </w:r>
    </w:p>
    <w:p>
      <w:pPr>
        <w:pStyle w:val="15"/>
        <w:rPr>
          <w:rFonts w:eastAsia="仿宋_GB2312"/>
          <w:lang w:val="en-US" w:eastAsia="zh-CN"/>
        </w:rPr>
      </w:pPr>
      <w:r>
        <w:rPr>
          <w:rFonts w:hint="eastAsia"/>
          <w:lang w:val="en-US" w:eastAsia="zh-CN"/>
        </w:rPr>
        <w:t xml:space="preserve">     根据资金使用范围及要求制定了《利州区审计局财务管理制度》、《利州区审计局审计外勤经费管理制度》，严格按照制度规定执行并支付费用。</w:t>
      </w:r>
    </w:p>
    <w:p>
      <w:pPr>
        <w:numPr>
          <w:ilvl w:val="0"/>
          <w:numId w:val="5"/>
        </w:num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zh-CN"/>
        </w:rPr>
        <w:t>资金分配的原则及考虑因素。</w:t>
      </w:r>
    </w:p>
    <w:p>
      <w:pPr>
        <w:spacing w:line="650" w:lineRule="exact"/>
        <w:jc w:val="left"/>
        <w:rPr>
          <w:rFonts w:ascii="仿宋_GB2312" w:eastAsia="仿宋_GB2312" w:cs="Times New Roman" w:hAnsi="Times New Roman"/>
          <w:kern w:val="0"/>
          <w:sz w:val="30"/>
          <w:szCs w:val="24"/>
          <w:lang w:val="en-US" w:eastAsia="zh-CN" w:bidi="ar-SA"/>
        </w:rPr>
      </w:pPr>
      <w:r>
        <w:rPr>
          <w:rFonts w:hint="eastAsia"/>
          <w:lang w:val="en-US" w:eastAsia="zh-CN"/>
        </w:rPr>
        <w:t xml:space="preserve">     </w:t>
      </w:r>
      <w:r>
        <w:rPr>
          <w:rFonts w:ascii="仿宋_GB2312" w:eastAsia="仿宋_GB2312" w:cs="Times New Roman" w:hAnsi="Times New Roman" w:hint="eastAsia"/>
          <w:kern w:val="0"/>
          <w:sz w:val="30"/>
          <w:szCs w:val="24"/>
          <w:lang w:val="en-US" w:eastAsia="zh-CN" w:bidi="ar-SA"/>
        </w:rPr>
        <w:t>资金主要用于支付国家审计署、省审计厅及市审计局统一安排的区域外易地交叉审计项目发生的城市间交通费、住宿费、生活补助及公杂费，以及外出审计调查发生的租车及其他办公费用，费用支付严格执行《广元市利州区机关事业单位差旅费管理办法》</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pPr>
        <w:pStyle w:val="15"/>
        <w:ind w:firstLineChars="200" w:firstLine="600"/>
        <w:rPr>
          <w:lang w:val="zh-CN"/>
        </w:rPr>
      </w:pPr>
      <w:r>
        <w:rPr>
          <w:rFonts w:ascii="仿宋_GB2312" w:eastAsia="仿宋_GB2312" w:cs="Times New Roman" w:hAnsi="Times New Roman" w:hint="eastAsia"/>
          <w:kern w:val="0"/>
          <w:sz w:val="30"/>
          <w:szCs w:val="24"/>
          <w:lang w:val="en-US" w:eastAsia="zh-CN" w:bidi="ar-SA"/>
        </w:rPr>
        <w:t>资金主要用于支付国家审计署、省审计厅及市审计局统一安排的区域外易地交叉审计项目发生的城市间交通费、住宿费、生活补助及公杂费，以及外出审计调查发生的租车及其他办公费用</w:t>
      </w:r>
      <w:r>
        <w:rPr>
          <w:rFonts w:cs="Times New Roman" w:hint="eastAsia"/>
          <w:kern w:val="0"/>
          <w:sz w:val="30"/>
          <w:szCs w:val="24"/>
          <w:lang w:val="en-US" w:eastAsia="zh-CN" w:bidi="ar-SA"/>
        </w:rPr>
        <w:t>。</w:t>
      </w:r>
    </w:p>
    <w:p>
      <w:pPr>
        <w:numPr>
          <w:ilvl w:val="0"/>
          <w:numId w:val="6"/>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项目应实现的具体绩效目标，包括目标的量化、细化情况以及项目实施进度计划等。</w:t>
      </w:r>
    </w:p>
    <w:p>
      <w:pPr>
        <w:pStyle w:val="15"/>
        <w:rPr>
          <w:rFonts w:eastAsia="仿宋_GB2312"/>
          <w:lang w:val="en-US" w:eastAsia="zh-CN"/>
        </w:rPr>
      </w:pPr>
      <w:r>
        <w:rPr>
          <w:rFonts w:hint="eastAsia"/>
          <w:lang w:val="en-US" w:eastAsia="zh-CN"/>
        </w:rPr>
        <w:t xml:space="preserve">     该项目按照数量指标、质量指标、时效指标、成本指标、经济效益、社会效益、生态效益及满意度指标进行指标量化，指标值用文字及数据进行描述，详见项目绩效目标完成情况表。</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3</w:t>
      </w:r>
      <w:r>
        <w:rPr>
          <w:rFonts w:ascii="仿宋_GB2312" w:eastAsia="仿宋_GB2312" w:hAnsi="宋体" w:hint="eastAsia"/>
          <w:sz w:val="32"/>
          <w:szCs w:val="32"/>
          <w:lang w:val="zh-CN"/>
        </w:rPr>
        <w:t>．分析评价申报内容是否与实际相符，申报目标是否合理可行。</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该项目经绩效目标评价，年初制定的部门预算项目支出绩效评价指标全部实行。</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根据《项目支出绩效评价管理办法》规定的项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 w:eastAsia="仿宋" w:hAnsi="仿宋"/>
          <w:sz w:val="28"/>
          <w:szCs w:val="28"/>
        </w:rPr>
      </w:pPr>
      <w:r>
        <w:rPr>
          <w:rFonts w:ascii="仿宋" w:eastAsia="仿宋" w:hAnsi="仿宋" w:hint="eastAsia"/>
          <w:sz w:val="28"/>
          <w:szCs w:val="28"/>
        </w:rPr>
        <w:t>该项目年初预算申报</w:t>
      </w:r>
      <w:r>
        <w:rPr>
          <w:rFonts w:ascii="仿宋" w:eastAsia="仿宋" w:hAnsi="仿宋" w:hint="eastAsia"/>
          <w:sz w:val="28"/>
          <w:szCs w:val="28"/>
          <w:lang w:val="en-US" w:eastAsia="zh-CN"/>
        </w:rPr>
        <w:t>58</w:t>
      </w:r>
      <w:r>
        <w:rPr>
          <w:rFonts w:ascii="仿宋" w:eastAsia="仿宋" w:hAnsi="仿宋" w:hint="eastAsia"/>
          <w:sz w:val="28"/>
          <w:szCs w:val="28"/>
        </w:rPr>
        <w:t>万元，年度区财政预算批复</w:t>
      </w:r>
      <w:r>
        <w:rPr>
          <w:rFonts w:ascii="仿宋" w:eastAsia="仿宋" w:hAnsi="仿宋" w:hint="eastAsia"/>
          <w:sz w:val="28"/>
          <w:szCs w:val="28"/>
          <w:lang w:val="en-US" w:eastAsia="zh-CN"/>
        </w:rPr>
        <w:t>58</w:t>
      </w:r>
      <w:r>
        <w:rPr>
          <w:rFonts w:ascii="仿宋" w:eastAsia="仿宋" w:hAnsi="仿宋" w:hint="eastAsia"/>
          <w:sz w:val="28"/>
          <w:szCs w:val="28"/>
        </w:rPr>
        <w:t>万元</w:t>
      </w:r>
      <w:r>
        <w:rPr>
          <w:rFonts w:ascii="仿宋" w:eastAsia="仿宋" w:hAnsi="仿宋" w:hint="eastAsia"/>
          <w:sz w:val="28"/>
          <w:szCs w:val="28"/>
          <w:lang w:eastAsia="zh-CN"/>
        </w:rPr>
        <w:t>，无调整预算情况</w:t>
      </w:r>
      <w:r>
        <w:rPr>
          <w:rFonts w:ascii="仿宋" w:eastAsia="仿宋" w:hAnsi="仿宋" w:hint="eastAsia"/>
          <w:sz w:val="28"/>
          <w:szCs w:val="28"/>
        </w:rPr>
        <w:t>。</w:t>
      </w:r>
    </w:p>
    <w:p>
      <w:pPr>
        <w:adjustRightInd w:val="0"/>
        <w:snapToGrid w:val="0"/>
        <w:spacing w:line="600" w:lineRule="exact"/>
        <w:ind w:firstLineChars="200" w:firstLine="64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pPr>
        <w:spacing w:line="576" w:lineRule="exact"/>
        <w:ind w:firstLineChars="200" w:firstLine="640"/>
        <w:jc w:val="left"/>
        <w:rPr>
          <w:rFonts w:ascii="仿宋_GB2312" w:eastAsia="仿宋_GB2312" w:hAnsi="宋体"/>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．资金计划。参加全国、省、市统一审计项目经费项目所需经费全部由区财政全额纳入预算管理。</w:t>
      </w:r>
    </w:p>
    <w:p>
      <w:pPr>
        <w:adjustRightInd w:val="0"/>
        <w:snapToGrid w:val="0"/>
        <w:spacing w:line="600" w:lineRule="exact"/>
        <w:ind w:left="720"/>
        <w:rPr>
          <w:rFonts w:ascii="仿宋_GB2312" w:eastAsia="仿宋_GB2312" w:hAnsi="宋体" w:hint="eastAsia"/>
          <w:sz w:val="32"/>
          <w:szCs w:val="32"/>
          <w:lang w:val="zh-CN"/>
        </w:rPr>
      </w:pPr>
      <w:r>
        <w:rPr>
          <w:rFonts w:ascii="楷体_GB2312" w:eastAsia="楷体_GB2312" w:hAnsi="宋体" w:hint="eastAsia"/>
          <w:sz w:val="32"/>
          <w:szCs w:val="32"/>
          <w:lang w:val="en-US" w:eastAsia="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全年预算</w:t>
      </w:r>
      <w:r>
        <w:rPr>
          <w:rFonts w:ascii="仿宋_GB2312" w:eastAsia="仿宋_GB2312" w:hAnsi="宋体" w:hint="eastAsia"/>
          <w:sz w:val="32"/>
          <w:szCs w:val="32"/>
          <w:lang w:val="en-US" w:eastAsia="zh-CN"/>
        </w:rPr>
        <w:t>58万元，在年初一次性由区财政拨款至区审计局财政支付平台。</w:t>
      </w:r>
    </w:p>
    <w:p>
      <w:pPr>
        <w:pStyle w:val="15"/>
        <w:ind w:firstLineChars="200" w:firstLine="640"/>
        <w:rPr>
          <w:rFonts w:ascii="仿宋_GB2312" w:eastAsia="仿宋_GB2312" w:hAnsi="宋体"/>
          <w:sz w:val="32"/>
          <w:szCs w:val="32"/>
          <w:lang w:val="zh-CN"/>
        </w:rPr>
      </w:pPr>
      <w:r>
        <w:rPr>
          <w:rFonts w:ascii="楷体_GB2312" w:eastAsia="楷体_GB2312" w:hAnsi="宋体" w:hint="eastAsia"/>
          <w:sz w:val="32"/>
          <w:szCs w:val="32"/>
          <w:lang w:val="en-US" w:eastAsia="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zh-CN"/>
        </w:rPr>
        <w:t>全年支出</w:t>
      </w:r>
      <w:r>
        <w:rPr>
          <w:rFonts w:ascii="仿宋_GB2312" w:eastAsia="仿宋_GB2312" w:hAnsi="宋体" w:hint="eastAsia"/>
          <w:sz w:val="32"/>
          <w:szCs w:val="32"/>
          <w:lang w:val="en-US" w:eastAsia="zh-CN"/>
        </w:rPr>
        <w:t>58万元，</w:t>
      </w:r>
      <w:r>
        <w:rPr>
          <w:rFonts w:hAnsi="宋体" w:hint="eastAsia"/>
          <w:sz w:val="32"/>
          <w:szCs w:val="32"/>
          <w:lang w:val="en-US" w:eastAsia="zh-CN"/>
        </w:rPr>
        <w:t>全部用于支</w:t>
      </w:r>
      <w:r>
        <w:rPr>
          <w:rFonts w:ascii="仿宋_GB2312" w:eastAsia="仿宋_GB2312" w:cs="Times New Roman" w:hAnsi="Times New Roman" w:hint="eastAsia"/>
          <w:kern w:val="0"/>
          <w:sz w:val="30"/>
          <w:szCs w:val="24"/>
          <w:lang w:val="en-US" w:eastAsia="zh-CN" w:bidi="ar-SA"/>
        </w:rPr>
        <w:t>付国家审计署、省审计厅及市审计局统一安排的区域外易地交叉审计项目发生的城市间交通费、住宿费、生活补助及公杂费，以及外出审计调查发生的租车及其他办公费用</w:t>
      </w:r>
      <w:r>
        <w:rPr>
          <w:rFonts w:cs="Times New Roman" w:hint="eastAsia"/>
          <w:kern w:val="0"/>
          <w:sz w:val="30"/>
          <w:szCs w:val="24"/>
          <w:lang w:val="en-US" w:eastAsia="zh-CN" w:bidi="ar-SA"/>
        </w:rPr>
        <w:t>。</w:t>
      </w:r>
    </w:p>
    <w:p>
      <w:pPr>
        <w:adjustRightInd w:val="0"/>
        <w:snapToGrid w:val="0"/>
        <w:spacing w:line="600"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zh-CN" w:eastAsia="zh-CN"/>
        </w:rPr>
        <w:t>区审计局财务管理制度健全，严格执行财务管理制度，账务处理及时，会计核算规范。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（一）项目组织架构及实施流程。</w:t>
      </w:r>
      <w:r>
        <w:rPr>
          <w:rFonts w:ascii="仿宋_GB2312" w:eastAsia="仿宋_GB2312" w:cs="Times New Roman" w:hAnsi="Times New Roman" w:hint="eastAsia"/>
          <w:kern w:val="0"/>
          <w:sz w:val="30"/>
          <w:szCs w:val="24"/>
          <w:lang w:val="en-US" w:eastAsia="zh-CN" w:bidi="ar-SA"/>
        </w:rPr>
        <w:t>国家审计署、省审计厅及市审计局统一安排的区域外易地交叉审计项目</w:t>
      </w:r>
      <w:r>
        <w:rPr>
          <w:rFonts w:ascii="仿宋_GB2312" w:eastAsia="仿宋_GB2312" w:cs="Times New Roman" w:hint="eastAsia"/>
          <w:kern w:val="0"/>
          <w:sz w:val="30"/>
          <w:szCs w:val="24"/>
          <w:lang w:val="en-US" w:eastAsia="zh-CN" w:bidi="ar-SA"/>
        </w:rPr>
        <w:t>，按上级审计机关要求开展工作。</w:t>
      </w:r>
    </w:p>
    <w:p>
      <w:pPr>
        <w:adjustRightInd w:val="0"/>
        <w:snapToGrid w:val="0"/>
        <w:spacing w:line="600" w:lineRule="exact"/>
        <w:ind w:firstLine="720"/>
        <w:rPr>
          <w:rFonts w:ascii="仿宋_GB2312" w:eastAsia="仿宋_GB2312" w:cs="Times New Roman" w:hAnsi="Times New Roman" w:hint="eastAsia"/>
          <w:kern w:val="0"/>
          <w:sz w:val="30"/>
          <w:szCs w:val="24"/>
          <w:lang w:val="zh-CN" w:eastAsia="zh-CN" w:bidi="ar-SA"/>
        </w:rPr>
      </w:pPr>
      <w:r>
        <w:rPr>
          <w:rFonts w:ascii="楷体_GB2312" w:eastAsia="楷体_GB2312" w:hAnsi="宋体" w:hint="eastAsia"/>
          <w:b/>
          <w:sz w:val="32"/>
          <w:szCs w:val="32"/>
          <w:lang w:val="zh-CN"/>
        </w:rPr>
        <w:t>（二）项目管理情况。</w:t>
      </w:r>
      <w:r>
        <w:rPr>
          <w:rFonts w:ascii="仿宋_GB2312" w:eastAsia="仿宋_GB2312" w:cs="Times New Roman" w:hAnsi="Times New Roman" w:hint="eastAsia"/>
          <w:kern w:val="0"/>
          <w:sz w:val="30"/>
          <w:szCs w:val="24"/>
          <w:lang w:val="zh-CN" w:eastAsia="zh-CN" w:bidi="ar-SA"/>
        </w:rPr>
        <w:t>在项目实施过程中严格按照审计实施方案规定的内容实施</w:t>
      </w:r>
      <w:r>
        <w:rPr>
          <w:rFonts w:ascii="仿宋_GB2312" w:eastAsia="仿宋_GB2312" w:cs="Times New Roman" w:hint="eastAsia"/>
          <w:kern w:val="0"/>
          <w:sz w:val="30"/>
          <w:szCs w:val="24"/>
          <w:lang w:val="zh-CN" w:eastAsia="zh-CN" w:bidi="ar-SA"/>
        </w:rPr>
        <w:t>。</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在项目实施中严格遵守《国审计法》、《审计实施条例》、《国家审计准则》等相关法律法规，依法进行审计监督。</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spacing w:line="576" w:lineRule="exact"/>
        <w:ind w:firstLineChars="200" w:firstLine="560"/>
        <w:rPr>
          <w:rFonts w:ascii="仿宋" w:eastAsia="仿宋" w:hAnsi="仿宋"/>
          <w:sz w:val="28"/>
          <w:szCs w:val="28"/>
          <w:lang w:val="en-US" w:eastAsia="zh-CN"/>
        </w:rPr>
      </w:pPr>
      <w:r>
        <w:rPr>
          <w:rFonts w:ascii="仿宋" w:eastAsia="仿宋" w:hAnsi="仿宋" w:hint="eastAsia"/>
          <w:sz w:val="28"/>
          <w:szCs w:val="28"/>
          <w:lang w:val="en-US" w:eastAsia="zh-CN"/>
        </w:rPr>
        <w:t>2020年上级审计机关安排的12个审计项目全部完成，全年派出12个审计组，上级审计部门临时抽调审计人员10人次，在项目实施中严格按审计程序执行，按项目实施方案规定的审计内容，按时完成各项审计任务，项目预期的绩效目标全部实现。</w:t>
      </w:r>
      <w:r>
        <w:rPr>
          <w:rFonts w:ascii="仿宋" w:eastAsia="仿宋" w:hAnsi="仿宋" w:hint="eastAsia"/>
          <w:sz w:val="28"/>
          <w:szCs w:val="28"/>
          <w:lang w:eastAsia="zh-CN"/>
        </w:rPr>
        <w:t>业务费用</w:t>
      </w:r>
      <w:r>
        <w:rPr>
          <w:rFonts w:ascii="仿宋" w:eastAsia="仿宋" w:hAnsi="仿宋" w:hint="eastAsia"/>
          <w:sz w:val="28"/>
          <w:szCs w:val="28"/>
          <w:lang w:val="en-US" w:eastAsia="zh-CN"/>
        </w:rPr>
        <w:t>58万元。</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1.</w:t>
      </w:r>
      <w:r>
        <w:rPr>
          <w:rFonts w:ascii="仿宋_GB2312" w:eastAsia="仿宋_GB2312" w:hAnsi="宋体" w:hint="eastAsia"/>
          <w:sz w:val="32"/>
          <w:szCs w:val="32"/>
          <w:lang w:val="zh-CN"/>
        </w:rPr>
        <w:t>项目经济效益。加强审计监督，维护国家财政经济秩序，提高财政资金使用效益，促进廉政建设，保障国民经济健康发展。</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2.</w:t>
      </w:r>
      <w:r>
        <w:rPr>
          <w:rFonts w:ascii="仿宋_GB2312" w:eastAsia="仿宋_GB2312" w:hAnsi="宋体" w:hint="eastAsia"/>
          <w:sz w:val="32"/>
          <w:szCs w:val="32"/>
          <w:lang w:val="zh-CN"/>
        </w:rPr>
        <w:t>社会效益。充分发挥审计在推进国家治理体系和治理能力中的职能作用，促进财政资金提质增效，增加社会对政府资金使用的认可度，满意度不断提高。</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（一）评价结论。</w:t>
      </w:r>
    </w:p>
    <w:p>
      <w:pPr>
        <w:pStyle w:val="15"/>
        <w:ind w:firstLineChars="300" w:firstLine="960"/>
        <w:rPr>
          <w:rFonts w:ascii="仿宋_GB2312" w:eastAsia="仿宋_GB2312" w:cs="Times New Roman" w:hAnsi="宋体"/>
          <w:kern w:val="2"/>
          <w:sz w:val="32"/>
          <w:szCs w:val="32"/>
          <w:lang w:val="en-US" w:eastAsia="zh-CN" w:bidi="ar-SA"/>
        </w:rPr>
      </w:pPr>
      <w:r>
        <w:rPr>
          <w:rFonts w:ascii="仿宋_GB2312" w:eastAsia="仿宋_GB2312" w:cs="Times New Roman" w:hAnsi="宋体" w:hint="eastAsia"/>
          <w:kern w:val="2"/>
          <w:sz w:val="32"/>
          <w:szCs w:val="32"/>
          <w:lang w:val="zh-CN" w:eastAsia="zh-CN" w:bidi="ar-SA"/>
        </w:rPr>
        <w:t>区审计局</w:t>
      </w:r>
      <w:r>
        <w:rPr>
          <w:rFonts w:cs="Times New Roman" w:hAnsi="宋体" w:hint="eastAsia"/>
          <w:kern w:val="2"/>
          <w:sz w:val="32"/>
          <w:szCs w:val="32"/>
          <w:lang w:val="zh-CN" w:eastAsia="zh-CN" w:bidi="ar-SA"/>
        </w:rPr>
        <w:t>设置的</w:t>
      </w:r>
      <w:r>
        <w:rPr>
          <w:rFonts w:ascii="仿宋_GB2312" w:eastAsia="仿宋_GB2312" w:cs="Times New Roman" w:hAnsi="宋体" w:hint="eastAsia"/>
          <w:kern w:val="2"/>
          <w:sz w:val="32"/>
          <w:szCs w:val="32"/>
          <w:lang w:val="zh-CN" w:eastAsia="zh-CN" w:bidi="ar-SA"/>
        </w:rPr>
        <w:t>年度目标任务全部实现，能严格按照《项目支出绩效评价管理办法》进行项目绩效评价，绩效目标指标权重设置为：预算执行率</w:t>
      </w:r>
      <w:r>
        <w:rPr>
          <w:rFonts w:ascii="仿宋_GB2312" w:eastAsia="仿宋_GB2312" w:cs="Times New Roman" w:hAnsi="宋体" w:hint="eastAsia"/>
          <w:kern w:val="2"/>
          <w:sz w:val="32"/>
          <w:szCs w:val="32"/>
          <w:lang w:val="en-US" w:eastAsia="zh-CN" w:bidi="ar-SA"/>
        </w:rPr>
        <w:t>10%，产出指标50%，效益指标30%，服务对象满意度指标10%，自评得分95份，评价结果等次为“优”。</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720"/>
        <w:rPr>
          <w:rFonts w:ascii="仿宋" w:eastAsia="仿宋" w:hAnsi="仿宋"/>
          <w:sz w:val="28"/>
          <w:szCs w:val="28"/>
          <w:lang w:val="en-US" w:eastAsia="zh-CN"/>
        </w:rPr>
      </w:pPr>
      <w:r>
        <w:rPr>
          <w:rFonts w:ascii="仿宋" w:eastAsia="仿宋" w:hAnsi="仿宋" w:hint="eastAsia"/>
          <w:sz w:val="28"/>
          <w:szCs w:val="28"/>
        </w:rPr>
        <w:t>根据全国审计机关审计工作一盘棋的要求，年初预算的参加全国、省、市统一外出审计项目工作经费不能很好的全面保障审计工作的需要</w:t>
      </w:r>
      <w:r>
        <w:rPr>
          <w:rFonts w:ascii="仿宋" w:eastAsia="仿宋" w:hAnsi="仿宋" w:hint="eastAsia"/>
          <w:sz w:val="28"/>
          <w:szCs w:val="28"/>
          <w:lang w:eastAsia="zh-CN"/>
        </w:rPr>
        <w:t>，绩效目标不能</w:t>
      </w:r>
      <w:r>
        <w:rPr>
          <w:rFonts w:ascii="仿宋" w:eastAsia="仿宋" w:hAnsi="仿宋" w:hint="eastAsia"/>
          <w:sz w:val="28"/>
          <w:szCs w:val="28"/>
          <w:lang w:val="en-US" w:eastAsia="zh-CN"/>
        </w:rPr>
        <w:t>100%全部实现。</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spacing w:line="600" w:lineRule="exact"/>
        <w:ind w:firstLineChars="200" w:firstLine="560"/>
        <w:rPr>
          <w:rFonts w:ascii="宋体" w:hAnsi="宋体"/>
          <w:sz w:val="32"/>
          <w:szCs w:val="32"/>
          <w:lang w:val="zh-CN"/>
        </w:rPr>
      </w:pPr>
      <w:r>
        <w:rPr>
          <w:rFonts w:ascii="仿宋" w:eastAsia="仿宋" w:hAnsi="仿宋" w:hint="eastAsia"/>
          <w:sz w:val="28"/>
          <w:szCs w:val="28"/>
        </w:rPr>
        <w:t>为全面落实上级审计部门安排下达的审计任务，希望在来年的财政经费预算安排中增加经费预算，保障履行职责所必须的经费。</w:t>
      </w:r>
    </w:p>
    <w:p>
      <w:pPr>
        <w:adjustRightInd w:val="0"/>
        <w:snapToGrid w:val="0"/>
        <w:spacing w:line="600" w:lineRule="exact"/>
        <w:ind w:firstLine="720"/>
        <w:rPr>
          <w:rFonts w:ascii="黑体" w:eastAsia="黑体" w:hAnsi="宋体" w:hint="eastAsia"/>
          <w:sz w:val="32"/>
          <w:szCs w:val="32"/>
        </w:rPr>
      </w:pPr>
    </w:p>
    <w:p>
      <w:pPr>
        <w:adjustRightInd w:val="0"/>
        <w:snapToGrid w:val="0"/>
        <w:spacing w:line="600" w:lineRule="exact"/>
        <w:ind w:firstLine="720"/>
        <w:jc w:val="left"/>
        <w:rPr>
          <w:rFonts w:ascii="黑体" w:eastAsia="黑体" w:hAnsi="宋体" w:hint="eastAsia"/>
          <w:sz w:val="32"/>
          <w:szCs w:val="32"/>
          <w:lang w:eastAsia="zh-CN"/>
        </w:rPr>
      </w:pPr>
    </w:p>
    <w:p>
      <w:pPr>
        <w:adjustRightInd w:val="0"/>
        <w:snapToGrid w:val="0"/>
        <w:spacing w:line="600" w:lineRule="exact"/>
        <w:ind w:firstLine="720"/>
        <w:jc w:val="left"/>
        <w:rPr>
          <w:rFonts w:ascii="黑体" w:eastAsia="黑体" w:hAnsi="宋体" w:hint="eastAsia"/>
          <w:sz w:val="32"/>
          <w:szCs w:val="32"/>
          <w:lang w:eastAsia="zh-CN"/>
        </w:rPr>
      </w:pPr>
    </w:p>
    <w:p>
      <w:pPr>
        <w:adjustRightInd w:val="0"/>
        <w:snapToGrid w:val="0"/>
        <w:spacing w:line="600" w:lineRule="exact"/>
        <w:ind w:firstLine="720"/>
        <w:jc w:val="left"/>
        <w:rPr>
          <w:rFonts w:ascii="黑体" w:eastAsia="黑体" w:hAnsi="宋体" w:hint="eastAsia"/>
          <w:sz w:val="32"/>
          <w:szCs w:val="32"/>
          <w:lang w:eastAsia="zh-CN"/>
        </w:rPr>
      </w:pPr>
    </w:p>
    <w:p>
      <w:pPr>
        <w:adjustRightInd w:val="0"/>
        <w:snapToGrid w:val="0"/>
        <w:spacing w:line="600" w:lineRule="exact"/>
        <w:ind w:firstLine="720"/>
        <w:jc w:val="left"/>
        <w:rPr>
          <w:rFonts w:ascii="黑体" w:eastAsia="黑体" w:hAnsi="宋体"/>
          <w:sz w:val="32"/>
          <w:szCs w:val="32"/>
          <w:lang w:val="en-US" w:eastAsia="zh-CN"/>
        </w:rPr>
      </w:pPr>
      <w:r>
        <w:rPr>
          <w:rFonts w:ascii="黑体" w:eastAsia="黑体" w:hAnsi="宋体" w:hint="eastAsia"/>
          <w:sz w:val="32"/>
          <w:szCs w:val="32"/>
          <w:lang w:eastAsia="zh-CN"/>
        </w:rPr>
        <w:t>附件</w:t>
      </w:r>
      <w:r>
        <w:rPr>
          <w:rFonts w:ascii="黑体" w:eastAsia="黑体" w:hAnsi="宋体" w:hint="eastAsia"/>
          <w:sz w:val="32"/>
          <w:szCs w:val="32"/>
          <w:lang w:val="en-US" w:eastAsia="zh-CN"/>
        </w:rPr>
        <w:t>2.</w:t>
      </w:r>
    </w:p>
    <w:p>
      <w:pPr>
        <w:adjustRightInd w:val="0"/>
        <w:snapToGrid w:val="0"/>
        <w:spacing w:line="600" w:lineRule="exact"/>
        <w:ind w:firstLine="720"/>
        <w:rPr>
          <w:rFonts w:ascii="黑体" w:eastAsia="黑体" w:hAnsi="宋体" w:hint="eastAsia"/>
          <w:sz w:val="32"/>
          <w:szCs w:val="32"/>
        </w:rPr>
      </w:pPr>
    </w:p>
    <w:p>
      <w:pPr>
        <w:spacing w:line="600" w:lineRule="exact"/>
        <w:jc w:val="center"/>
        <w:rPr>
          <w:rFonts w:ascii="方正小标宋简体" w:eastAsia="方正小标宋简体" w:hAnsi="宋体"/>
          <w:color w:val="000000"/>
          <w:kern w:val="0"/>
          <w:sz w:val="44"/>
          <w:szCs w:val="44"/>
          <w:lang w:val="zh-CN"/>
        </w:rPr>
      </w:pPr>
      <w:r>
        <w:rPr>
          <w:rFonts w:ascii="黑体" w:eastAsia="黑体" w:hAnsi="宋体" w:hint="eastAsia"/>
          <w:sz w:val="32"/>
          <w:szCs w:val="32"/>
          <w:lang w:val="en-US" w:eastAsia="zh-CN"/>
        </w:rPr>
        <w:t xml:space="preserve"> </w:t>
      </w:r>
      <w:r>
        <w:rPr>
          <w:rFonts w:ascii="仿宋_GB2312" w:eastAsia="仿宋_GB2312" w:cs="仿宋_GB2312" w:hAnsi="仿宋_GB2312" w:hint="eastAsia"/>
          <w:sz w:val="32"/>
          <w:szCs w:val="32"/>
          <w:lang w:val="en-US" w:eastAsia="zh-CN"/>
          <w:highlight w:val="auto"/>
        </w:rPr>
        <w:t xml:space="preserve"> </w:t>
      </w:r>
      <w:r>
        <w:rPr>
          <w:rFonts w:ascii="楷体_GB2312" w:eastAsia="楷体_GB2312" w:hAnsi="宋体" w:hint="eastAsia"/>
          <w:b/>
          <w:sz w:val="32"/>
          <w:szCs w:val="32"/>
          <w:lang w:val="en-US" w:eastAsia="zh-CN"/>
        </w:rPr>
        <w:t xml:space="preserve"> </w:t>
      </w:r>
      <w:r>
        <w:rPr>
          <w:rFonts w:ascii="黑体" w:eastAsia="黑体" w:hAnsi="宋体" w:hint="eastAsia"/>
          <w:sz w:val="32"/>
          <w:szCs w:val="32"/>
          <w:lang w:val="en-US" w:eastAsia="zh-CN"/>
        </w:rPr>
        <w:t xml:space="preserve"> </w:t>
      </w:r>
      <w:r>
        <w:rPr>
          <w:rFonts w:ascii="仿宋" w:eastAsia="仿宋" w:hAnsi="仿宋" w:hint="eastAsia"/>
          <w:sz w:val="28"/>
          <w:szCs w:val="28"/>
          <w:lang w:val="en-US" w:eastAsia="zh-CN"/>
        </w:rPr>
        <w:t xml:space="preserve"> </w:t>
      </w:r>
      <w:r>
        <w:rPr>
          <w:rFonts w:ascii="黑体" w:eastAsia="黑体" w:hAnsi="宋体" w:hint="eastAsia"/>
          <w:sz w:val="32"/>
          <w:szCs w:val="32"/>
          <w:lang w:val="en-US" w:eastAsia="zh-CN"/>
        </w:rPr>
        <w:t xml:space="preserve">  </w:t>
      </w:r>
      <w:r>
        <w:rPr>
          <w:rFonts w:ascii="方正小标宋简体" w:eastAsia="方正小标宋简体" w:hAnsi="宋体" w:hint="eastAsia"/>
          <w:color w:val="000000"/>
          <w:kern w:val="0"/>
          <w:sz w:val="44"/>
          <w:szCs w:val="44"/>
          <w:lang w:val="zh-CN"/>
        </w:rPr>
        <w:t>跟踪审计项目管理</w:t>
      </w:r>
      <w:r>
        <w:rPr>
          <w:rFonts w:ascii="方正小标宋简体" w:eastAsia="方正小标宋简体" w:hAnsi="宋体" w:hint="eastAsia"/>
          <w:color w:val="000000"/>
          <w:kern w:val="0"/>
          <w:sz w:val="44"/>
          <w:szCs w:val="44"/>
          <w:lang w:val="zh-CN" w:eastAsia="zh-CN"/>
        </w:rPr>
        <w:t>经费项目</w:t>
      </w:r>
      <w:r>
        <w:rPr>
          <w:rFonts w:ascii="方正小标宋简体" w:eastAsia="方正小标宋简体" w:hAnsi="宋体" w:hint="eastAsia"/>
          <w:color w:val="000000"/>
          <w:kern w:val="0"/>
          <w:sz w:val="44"/>
          <w:szCs w:val="44"/>
          <w:lang w:val="zh-CN"/>
        </w:rPr>
        <w:t>项目2020年绩效评价报告</w:t>
      </w: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p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根据审计工作需要，2020年</w:t>
      </w:r>
      <w:r>
        <w:rPr>
          <w:rFonts w:ascii="仿宋_GB2312" w:eastAsia="仿宋_GB2312" w:hAnsi="宋体" w:hint="eastAsia"/>
          <w:sz w:val="32"/>
          <w:szCs w:val="32"/>
          <w:lang w:val="zh-CN" w:eastAsia="zh-CN"/>
        </w:rPr>
        <w:t>对广元市利州区</w:t>
      </w:r>
      <w:r>
        <w:rPr>
          <w:rFonts w:ascii="仿宋_GB2312" w:eastAsia="仿宋_GB2312" w:hAnsi="宋体" w:hint="eastAsia"/>
          <w:sz w:val="32"/>
          <w:szCs w:val="32"/>
          <w:lang w:val="zh-CN"/>
        </w:rPr>
        <w:t>兴安初</w:t>
      </w:r>
      <w:r>
        <w:rPr>
          <w:rFonts w:ascii="仿宋_GB2312" w:eastAsia="仿宋_GB2312" w:hAnsi="宋体" w:hint="eastAsia"/>
          <w:sz w:val="32"/>
          <w:szCs w:val="32"/>
          <w:lang w:val="zh-CN" w:eastAsia="zh-CN"/>
        </w:rPr>
        <w:t>级</w:t>
      </w:r>
      <w:r>
        <w:rPr>
          <w:rFonts w:ascii="仿宋_GB2312" w:eastAsia="仿宋_GB2312" w:hAnsi="宋体" w:hint="eastAsia"/>
          <w:sz w:val="32"/>
          <w:szCs w:val="32"/>
          <w:lang w:val="zh-CN"/>
        </w:rPr>
        <w:t>中</w:t>
      </w:r>
      <w:r>
        <w:rPr>
          <w:rFonts w:ascii="仿宋_GB2312" w:eastAsia="仿宋_GB2312" w:hAnsi="宋体" w:hint="eastAsia"/>
          <w:sz w:val="32"/>
          <w:szCs w:val="32"/>
          <w:lang w:val="zh-CN" w:eastAsia="zh-CN"/>
        </w:rPr>
        <w:t>学</w:t>
      </w:r>
      <w:r>
        <w:rPr>
          <w:rFonts w:ascii="仿宋_GB2312" w:eastAsia="仿宋_GB2312" w:hAnsi="宋体" w:hint="eastAsia"/>
          <w:sz w:val="32"/>
          <w:szCs w:val="32"/>
          <w:lang w:val="zh-CN"/>
        </w:rPr>
        <w:t>等31重点投资项目的跟踪审计工作</w:t>
      </w:r>
      <w:r>
        <w:rPr>
          <w:rFonts w:ascii="仿宋_GB2312" w:eastAsia="仿宋_GB2312" w:hAnsi="宋体" w:hint="eastAsia"/>
          <w:sz w:val="32"/>
          <w:szCs w:val="32"/>
          <w:lang w:val="zh-CN" w:eastAsia="zh-CN"/>
        </w:rPr>
        <w:t>对中介机构进行管理</w:t>
      </w:r>
      <w:r>
        <w:rPr>
          <w:rFonts w:ascii="仿宋_GB2312" w:eastAsia="仿宋_GB2312" w:hAnsi="宋体" w:hint="eastAsia"/>
          <w:sz w:val="32"/>
          <w:szCs w:val="32"/>
          <w:lang w:val="zh-CN"/>
        </w:rPr>
        <w:t>管理。</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2</w:t>
      </w:r>
      <w:r>
        <w:rPr>
          <w:rFonts w:ascii="仿宋_GB2312" w:eastAsia="仿宋_GB2312" w:hAnsi="宋体" w:hint="eastAsia"/>
          <w:sz w:val="32"/>
          <w:szCs w:val="32"/>
          <w:lang w:val="zh-CN"/>
        </w:rPr>
        <w:t>．项目立项、资金申报的依据。</w:t>
      </w:r>
    </w:p>
    <w:p>
      <w:p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2020年</w:t>
      </w:r>
      <w:r>
        <w:rPr>
          <w:rFonts w:ascii="仿宋_GB2312" w:eastAsia="仿宋_GB2312" w:hAnsi="宋体" w:hint="eastAsia"/>
          <w:sz w:val="32"/>
          <w:szCs w:val="32"/>
          <w:lang w:val="zh-CN"/>
        </w:rPr>
        <w:t xml:space="preserve">与移动公司联合开发“政府投资审计监管管理平台建设 </w:t>
      </w:r>
      <w:r>
        <w:rPr>
          <w:rFonts w:ascii="仿宋_GB2312" w:eastAsia="仿宋_GB2312" w:hAnsi="宋体" w:hint="eastAsia"/>
          <w:sz w:val="32"/>
          <w:szCs w:val="32"/>
          <w:lang w:val="zh-CN" w:eastAsia="zh-CN"/>
        </w:rPr>
        <w:t>”</w:t>
      </w:r>
      <w:r>
        <w:rPr>
          <w:rFonts w:ascii="仿宋_GB2312" w:eastAsia="仿宋_GB2312" w:hAnsi="宋体" w:hint="eastAsia"/>
          <w:sz w:val="32"/>
          <w:szCs w:val="32"/>
          <w:lang w:val="zh-CN"/>
        </w:rPr>
        <w:t>，全力推进投资审计“三个转变”，促进重大投资项目审计提速增效。</w:t>
      </w:r>
      <w:r>
        <w:rPr>
          <w:rFonts w:ascii="仿宋_GB2312" w:eastAsia="仿宋_GB2312" w:hAnsi="宋体" w:hint="eastAsia"/>
          <w:sz w:val="32"/>
          <w:szCs w:val="32"/>
          <w:lang w:val="en-US" w:eastAsia="zh-CN"/>
        </w:rPr>
        <w:t>通过该项目的实施，有力促进经济高质量发展，促进全面深化改革，促进权力规范运行，促进反腐倡廉。大力提倡研究审计，及时揭示和反映新情况、新问题、新趋势，推进国家治理体系和治理能力现代化，为决胜全面小康、奋力推动治蜀兴川再上新台阶发挥积极作用。</w:t>
      </w:r>
    </w:p>
    <w:p>
      <w:pPr>
        <w:numPr>
          <w:ilvl w:val="0"/>
          <w:numId w:val="6"/>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资金管理办法制定情况，资金支持具体项目的条件、范围与支持方式概况。</w:t>
      </w:r>
    </w:p>
    <w:p>
      <w:pPr>
        <w:pStyle w:val="15"/>
        <w:ind w:left="0" w:firstLineChars="200" w:firstLine="640"/>
        <w:jc w:val="left"/>
        <w:rPr>
          <w:rFonts w:ascii="仿宋_GB2312" w:eastAsia="仿宋_GB2312" w:cs="Times New Roman" w:hAnsi="宋体" w:hint="eastAsia"/>
          <w:kern w:val="2"/>
          <w:sz w:val="32"/>
          <w:szCs w:val="32"/>
          <w:lang w:val="zh-CN" w:eastAsia="zh-CN" w:bidi="ar-SA"/>
        </w:rPr>
      </w:pPr>
      <w:r>
        <w:rPr>
          <w:rFonts w:ascii="仿宋_GB2312" w:eastAsia="仿宋_GB2312" w:cs="Times New Roman" w:hAnsi="宋体" w:hint="eastAsia"/>
          <w:kern w:val="2"/>
          <w:sz w:val="32"/>
          <w:szCs w:val="32"/>
          <w:lang w:val="zh-CN" w:eastAsia="zh-CN" w:bidi="ar-SA"/>
        </w:rPr>
        <w:t>重大政府投资审计项目跟踪管理费主要用于支付“政</w:t>
      </w:r>
      <w:r>
        <w:rPr>
          <w:rFonts w:cs="Times New Roman" w:hAnsi="宋体" w:hint="eastAsia"/>
          <w:kern w:val="2"/>
          <w:sz w:val="32"/>
          <w:szCs w:val="32"/>
          <w:lang w:val="zh-CN" w:eastAsia="zh-CN" w:bidi="ar-SA"/>
        </w:rPr>
        <w:t>府</w:t>
      </w:r>
      <w:r>
        <w:rPr>
          <w:rFonts w:ascii="仿宋_GB2312" w:eastAsia="仿宋_GB2312" w:cs="Times New Roman" w:hAnsi="宋体" w:hint="eastAsia"/>
          <w:kern w:val="2"/>
          <w:sz w:val="32"/>
          <w:szCs w:val="32"/>
          <w:lang w:val="zh-CN" w:eastAsia="zh-CN" w:bidi="ar-SA"/>
        </w:rPr>
        <w:t>投资审计监管管理平台建设”的软件开发费及服务费支出</w:t>
      </w:r>
      <w:r>
        <w:rPr>
          <w:rFonts w:cs="Times New Roman" w:hAnsi="宋体" w:hint="eastAsia"/>
          <w:kern w:val="2"/>
          <w:sz w:val="32"/>
          <w:szCs w:val="32"/>
          <w:lang w:val="zh-CN" w:eastAsia="zh-CN" w:bidi="ar-SA"/>
        </w:rPr>
        <w:t>以及开展项目管理工作发生的差旅费等支出，在费用支出中严格遵守《利州区审计局财务管理制度》及相关政策法规。</w:t>
      </w:r>
    </w:p>
    <w:p>
      <w:pPr>
        <w:pStyle w:val="15"/>
        <w:ind w:left="720"/>
        <w:rPr>
          <w:rFonts w:ascii="仿宋_GB2312" w:eastAsia="仿宋_GB2312" w:cs="Times New Roman" w:hAnsi="宋体" w:hint="eastAsia"/>
          <w:kern w:val="2"/>
          <w:sz w:val="32"/>
          <w:szCs w:val="32"/>
          <w:lang w:val="zh-CN" w:eastAsia="zh-CN" w:bidi="ar-SA"/>
        </w:rPr>
      </w:pPr>
      <w:r>
        <w:rPr>
          <w:rFonts w:cs="Times New Roman" w:hAnsi="宋体" w:hint="eastAsia"/>
          <w:kern w:val="2"/>
          <w:sz w:val="32"/>
          <w:szCs w:val="32"/>
          <w:lang w:val="en-US" w:eastAsia="zh-CN" w:bidi="ar-SA"/>
        </w:rPr>
        <w:t>4</w:t>
      </w:r>
      <w:r>
        <w:rPr>
          <w:rFonts w:ascii="仿宋_GB2312" w:eastAsia="仿宋_GB2312" w:cs="Times New Roman" w:hAnsi="宋体" w:hint="eastAsia"/>
          <w:kern w:val="2"/>
          <w:sz w:val="32"/>
          <w:szCs w:val="32"/>
          <w:lang w:val="zh-CN" w:eastAsia="zh-CN" w:bidi="ar-SA"/>
        </w:rPr>
        <w:t>．资金分配的原则及考虑因素。</w:t>
      </w:r>
    </w:p>
    <w:p>
      <w:pPr>
        <w:adjustRightInd w:val="0"/>
        <w:snapToGrid w:val="0"/>
        <w:spacing w:line="600" w:lineRule="exact"/>
        <w:ind w:firstLine="720"/>
        <w:rPr>
          <w:rFonts w:ascii="仿宋_GB2312" w:eastAsia="仿宋_GB2312" w:cs="Times New Roman" w:hAnsi="宋体" w:hint="eastAsia"/>
          <w:kern w:val="2"/>
          <w:sz w:val="32"/>
          <w:szCs w:val="32"/>
          <w:lang w:val="zh-CN" w:eastAsia="zh-CN" w:bidi="ar-SA"/>
        </w:rPr>
      </w:pPr>
      <w:r>
        <w:rPr>
          <w:rFonts w:ascii="仿宋_GB2312" w:eastAsia="仿宋_GB2312" w:cs="Times New Roman" w:hAnsi="宋体" w:hint="eastAsia"/>
          <w:kern w:val="2"/>
          <w:sz w:val="32"/>
          <w:szCs w:val="32"/>
          <w:lang w:val="zh-CN" w:eastAsia="zh-CN" w:bidi="ar-SA"/>
        </w:rPr>
        <w:t>重大政府投资审计项目跟踪管理费主要用于支付“政</w:t>
      </w:r>
      <w:r>
        <w:rPr>
          <w:rFonts w:cs="Times New Roman" w:hAnsi="宋体" w:hint="eastAsia"/>
          <w:kern w:val="2"/>
          <w:sz w:val="32"/>
          <w:szCs w:val="32"/>
          <w:lang w:val="zh-CN" w:eastAsia="zh-CN" w:bidi="ar-SA"/>
        </w:rPr>
        <w:t>府</w:t>
      </w:r>
      <w:r>
        <w:rPr>
          <w:rFonts w:ascii="仿宋_GB2312" w:eastAsia="仿宋_GB2312" w:cs="Times New Roman" w:hAnsi="宋体" w:hint="eastAsia"/>
          <w:kern w:val="2"/>
          <w:sz w:val="32"/>
          <w:szCs w:val="32"/>
          <w:lang w:val="zh-CN" w:eastAsia="zh-CN" w:bidi="ar-SA"/>
        </w:rPr>
        <w:t>投资审计监管管理平台建设”的软件开发费及服务费支出以及开展项目管理工作发生的差旅费等支出。</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pPr>
        <w:adjustRightInd w:val="0"/>
        <w:snapToGrid w:val="0"/>
        <w:spacing w:line="600" w:lineRule="exact"/>
        <w:ind w:left="0" w:firstLineChars="200" w:firstLine="64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2020年</w:t>
      </w:r>
      <w:r>
        <w:rPr>
          <w:rFonts w:ascii="仿宋_GB2312" w:eastAsia="仿宋_GB2312" w:hAnsi="宋体" w:hint="eastAsia"/>
          <w:sz w:val="32"/>
          <w:szCs w:val="32"/>
          <w:lang w:val="zh-CN" w:eastAsia="zh-CN"/>
        </w:rPr>
        <w:t>对广元市利州区</w:t>
      </w:r>
      <w:r>
        <w:rPr>
          <w:rFonts w:ascii="仿宋_GB2312" w:eastAsia="仿宋_GB2312" w:hAnsi="宋体" w:hint="eastAsia"/>
          <w:sz w:val="32"/>
          <w:szCs w:val="32"/>
          <w:lang w:val="zh-CN"/>
        </w:rPr>
        <w:t>兴安初</w:t>
      </w:r>
      <w:r>
        <w:rPr>
          <w:rFonts w:ascii="仿宋_GB2312" w:eastAsia="仿宋_GB2312" w:hAnsi="宋体" w:hint="eastAsia"/>
          <w:sz w:val="32"/>
          <w:szCs w:val="32"/>
          <w:lang w:val="zh-CN" w:eastAsia="zh-CN"/>
        </w:rPr>
        <w:t>级</w:t>
      </w:r>
      <w:r>
        <w:rPr>
          <w:rFonts w:ascii="仿宋_GB2312" w:eastAsia="仿宋_GB2312" w:hAnsi="宋体" w:hint="eastAsia"/>
          <w:sz w:val="32"/>
          <w:szCs w:val="32"/>
          <w:lang w:val="zh-CN"/>
        </w:rPr>
        <w:t>中</w:t>
      </w:r>
      <w:r>
        <w:rPr>
          <w:rFonts w:ascii="仿宋_GB2312" w:eastAsia="仿宋_GB2312" w:hAnsi="宋体" w:hint="eastAsia"/>
          <w:sz w:val="32"/>
          <w:szCs w:val="32"/>
          <w:lang w:val="zh-CN" w:eastAsia="zh-CN"/>
        </w:rPr>
        <w:t>学</w:t>
      </w:r>
      <w:r>
        <w:rPr>
          <w:rFonts w:ascii="仿宋_GB2312" w:eastAsia="仿宋_GB2312" w:hAnsi="宋体" w:hint="eastAsia"/>
          <w:sz w:val="32"/>
          <w:szCs w:val="32"/>
          <w:lang w:val="zh-CN"/>
        </w:rPr>
        <w:t>等31重点投资项目的跟踪审计工作</w:t>
      </w:r>
      <w:r>
        <w:rPr>
          <w:rFonts w:ascii="仿宋_GB2312" w:eastAsia="仿宋_GB2312" w:hAnsi="宋体" w:hint="eastAsia"/>
          <w:sz w:val="32"/>
          <w:szCs w:val="32"/>
          <w:lang w:val="zh-CN" w:eastAsia="zh-CN"/>
        </w:rPr>
        <w:t>对中介机构进行管理</w:t>
      </w:r>
      <w:r>
        <w:rPr>
          <w:rFonts w:ascii="仿宋_GB2312" w:eastAsia="仿宋_GB2312" w:hAnsi="宋体" w:hint="eastAsia"/>
          <w:sz w:val="32"/>
          <w:szCs w:val="32"/>
          <w:lang w:val="zh-CN"/>
        </w:rPr>
        <w:t>管理</w:t>
      </w:r>
      <w:r>
        <w:rPr>
          <w:rFonts w:ascii="仿宋_GB2312" w:eastAsia="仿宋_GB2312" w:hAnsi="宋体" w:hint="eastAsia"/>
          <w:sz w:val="32"/>
          <w:szCs w:val="32"/>
          <w:lang w:val="zh-CN" w:eastAsia="zh-CN"/>
        </w:rPr>
        <w:t>，并出具</w:t>
      </w:r>
      <w:r>
        <w:rPr>
          <w:rFonts w:ascii="仿宋_GB2312" w:eastAsia="仿宋_GB2312" w:hAnsi="宋体" w:hint="eastAsia"/>
          <w:sz w:val="32"/>
          <w:szCs w:val="32"/>
          <w:lang w:val="en-US" w:eastAsia="zh-CN"/>
        </w:rPr>
        <w:t>2020年度重大政府投资项目跟踪审计阶段性报告</w:t>
      </w:r>
      <w:r>
        <w:rPr>
          <w:rFonts w:ascii="仿宋_GB2312" w:eastAsia="仿宋_GB2312" w:hAnsi="宋体" w:hint="eastAsia"/>
          <w:sz w:val="32"/>
          <w:szCs w:val="32"/>
          <w:lang w:val="zh-CN"/>
        </w:rPr>
        <w:t>。</w:t>
      </w:r>
    </w:p>
    <w:p>
      <w:pPr>
        <w:numPr>
          <w:ilvl w:val="0"/>
          <w:numId w:val="7"/>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项目应实现的具体绩效目标，包括目标的量化、细化情况以及项目实施进度计划等。</w:t>
      </w:r>
    </w:p>
    <w:p>
      <w:pPr>
        <w:pStyle w:val="15"/>
        <w:rPr>
          <w:rFonts w:eastAsia="仿宋_GB2312"/>
          <w:lang w:val="en-US" w:eastAsia="zh-CN"/>
        </w:rPr>
      </w:pPr>
      <w:r>
        <w:rPr>
          <w:rFonts w:hint="eastAsia"/>
          <w:lang w:val="en-US" w:eastAsia="zh-CN"/>
        </w:rPr>
        <w:t xml:space="preserve">     该项目按照数量指标、质量指标、时效指标、成本指标、经济效益、社会效益、生态效益及满意度指标进行指标量化，指标值用文字及数据进行描述，详见项目绩效目标完成情况表。</w:t>
      </w:r>
    </w:p>
    <w:p>
      <w:pPr>
        <w:numPr>
          <w:ilvl w:val="0"/>
          <w:numId w:val="7"/>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分析评价申报内容是否与实际相符，申报目标是否合理可行。</w:t>
      </w:r>
    </w:p>
    <w:p>
      <w:pPr>
        <w:pStyle w:val="15"/>
        <w:ind w:left="720"/>
        <w:rPr>
          <w:lang w:val="zh-CN"/>
        </w:rPr>
      </w:pPr>
      <w:r>
        <w:rPr>
          <w:rFonts w:hint="eastAsia"/>
          <w:lang w:val="zh-CN"/>
        </w:rPr>
        <w:t>项目申报内容与实际相符，申报目标合理可行。</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根据《项目支出绩效评价管理办法》规定的项目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Chars="300" w:firstLine="96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sz w:val="32"/>
          <w:szCs w:val="32"/>
          <w:lang w:val="en-US" w:eastAsia="zh-CN"/>
        </w:rPr>
      </w:pPr>
      <w:r>
        <w:rPr>
          <w:rFonts w:ascii="仿宋_GB2312" w:eastAsia="仿宋_GB2312" w:hAnsi="宋体" w:hint="eastAsia"/>
          <w:sz w:val="32"/>
          <w:szCs w:val="32"/>
          <w:lang w:val="zh-CN"/>
        </w:rPr>
        <w:t>该项目向财政部门申报资金</w:t>
      </w:r>
      <w:r>
        <w:rPr>
          <w:rFonts w:ascii="仿宋_GB2312" w:eastAsia="仿宋_GB2312" w:hAnsi="宋体" w:hint="eastAsia"/>
          <w:sz w:val="32"/>
          <w:szCs w:val="32"/>
          <w:lang w:val="en-US" w:eastAsia="zh-CN"/>
        </w:rPr>
        <w:t>31万元，财政部门批复预算31万元，无调整预算批复情况。</w:t>
      </w:r>
    </w:p>
    <w:p>
      <w:pPr>
        <w:adjustRightInd w:val="0"/>
        <w:snapToGrid w:val="0"/>
        <w:spacing w:line="600" w:lineRule="exact"/>
        <w:ind w:firstLine="720"/>
        <w:rPr>
          <w:rFonts w:ascii="仿宋_GB2312" w:eastAsia="仿宋_GB2312" w:hAnsi="宋体"/>
          <w:sz w:val="32"/>
          <w:szCs w:val="32"/>
          <w:lang w:val="zh-CN"/>
        </w:rPr>
      </w:pPr>
      <w:r>
        <w:rPr>
          <w:rFonts w:ascii="楷体_GB2312" w:eastAsia="楷体_GB2312" w:hAnsi="宋体" w:hint="eastAsia"/>
          <w:b/>
          <w:sz w:val="32"/>
          <w:szCs w:val="32"/>
          <w:lang w:val="zh-CN"/>
        </w:rPr>
        <w:t>（二）资金计划、到位及使用情况。</w:t>
      </w:r>
    </w:p>
    <w:p>
      <w:pPr>
        <w:adjustRightInd w:val="0"/>
        <w:snapToGrid w:val="0"/>
        <w:spacing w:line="600" w:lineRule="exact"/>
        <w:ind w:firstLine="720"/>
        <w:rPr>
          <w:rFonts w:ascii="楷体_GB2312" w:eastAsia="楷体_GB2312" w:hAnsi="宋体" w:hint="eastAsia"/>
          <w:sz w:val="32"/>
          <w:szCs w:val="32"/>
          <w:lang w:val="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．资金计划。重大政府投资审计跟踪管理费全额纳入财政部门预算管理。</w:t>
      </w:r>
    </w:p>
    <w:p>
      <w:pPr>
        <w:adjustRightInd w:val="0"/>
        <w:snapToGrid w:val="0"/>
        <w:spacing w:line="600" w:lineRule="exact"/>
        <w:ind w:firstLine="720"/>
        <w:rPr>
          <w:rFonts w:ascii="楷体_GB2312" w:eastAsia="楷体_GB2312" w:hAnsi="宋体" w:hint="eastAsia"/>
          <w:sz w:val="32"/>
          <w:szCs w:val="32"/>
          <w:lang w:val="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w:t>
      </w:r>
      <w:r>
        <w:rPr>
          <w:rFonts w:ascii="仿宋_GB2312" w:eastAsia="仿宋_GB2312" w:hAnsi="宋体" w:hint="eastAsia"/>
          <w:sz w:val="32"/>
          <w:szCs w:val="32"/>
          <w:lang w:val="zh-CN"/>
        </w:rPr>
        <w:t>全年预算</w:t>
      </w:r>
      <w:r>
        <w:rPr>
          <w:rFonts w:ascii="仿宋_GB2312" w:eastAsia="仿宋_GB2312" w:hAnsi="宋体" w:hint="eastAsia"/>
          <w:sz w:val="32"/>
          <w:szCs w:val="32"/>
          <w:lang w:val="en-US" w:eastAsia="zh-CN"/>
        </w:rPr>
        <w:t>31万元，在年初一次性由区财政拨款至区审计局财政支付平台。</w:t>
      </w:r>
    </w:p>
    <w:p>
      <w:pPr>
        <w:adjustRightInd w:val="0"/>
        <w:snapToGrid w:val="0"/>
        <w:spacing w:line="600" w:lineRule="exact"/>
        <w:ind w:firstLine="720"/>
        <w:rPr>
          <w:rFonts w:ascii="楷体_GB2312" w:eastAsia="楷体_GB2312" w:hAnsi="宋体"/>
          <w:sz w:val="32"/>
          <w:szCs w:val="32"/>
          <w:lang w:val="en-US" w:eastAsia="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．资金使用。全年支付</w:t>
      </w:r>
      <w:r>
        <w:rPr>
          <w:rFonts w:ascii="楷体_GB2312" w:eastAsia="楷体_GB2312" w:hAnsi="宋体" w:hint="eastAsia"/>
          <w:sz w:val="32"/>
          <w:szCs w:val="32"/>
          <w:lang w:val="en-US" w:eastAsia="zh-CN"/>
        </w:rPr>
        <w:t>31万元，资金支付率100%。</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zh-CN" w:eastAsia="zh-CN"/>
        </w:rPr>
        <w:t>区审计局财务管理制度健全，严格执行财务管理制度，账务处理及时，会计核算规范。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hint="eastAsia"/>
          <w:sz w:val="32"/>
          <w:szCs w:val="32"/>
          <w:lang w:val="zh-CN"/>
        </w:rPr>
        <w:t>结合项目组织实施管理办法，重点围绕以下内容进行分析评价，并对自评中发现的问题分析说明。</w:t>
      </w:r>
    </w:p>
    <w:p>
      <w:pPr>
        <w:adjustRightInd w:val="0"/>
        <w:snapToGrid w:val="0"/>
        <w:spacing w:line="600" w:lineRule="exact"/>
        <w:ind w:firstLine="720"/>
        <w:rPr>
          <w:rFonts w:ascii="楷体_GB2312" w:eastAsia="楷体_GB2312" w:hAnsi="宋体"/>
          <w:b/>
          <w:sz w:val="32"/>
          <w:szCs w:val="32"/>
          <w:lang w:val="en-US" w:eastAsia="zh-CN"/>
        </w:rPr>
      </w:pPr>
      <w:r>
        <w:rPr>
          <w:rFonts w:ascii="楷体_GB2312" w:eastAsia="楷体_GB2312" w:hAnsi="宋体" w:hint="eastAsia"/>
          <w:b/>
          <w:sz w:val="32"/>
          <w:szCs w:val="32"/>
          <w:lang w:val="zh-CN"/>
        </w:rPr>
        <w:t>（一）项目组织架构及实施流程。</w:t>
      </w:r>
      <w:r>
        <w:rPr>
          <w:rFonts w:ascii="仿宋_GB2312" w:eastAsia="仿宋_GB2312" w:hAnsi="宋体" w:hint="eastAsia"/>
          <w:sz w:val="32"/>
          <w:szCs w:val="32"/>
          <w:lang w:val="zh-CN"/>
        </w:rPr>
        <w:t>重大政府投资项目跟踪审计是根据历年累计未完工的重大政府投资审计项目数量下达年初计划开展</w:t>
      </w:r>
      <w:r>
        <w:rPr>
          <w:rFonts w:ascii="仿宋_GB2312" w:eastAsia="仿宋_GB2312" w:hAnsi="宋体" w:hint="eastAsia"/>
          <w:sz w:val="32"/>
          <w:szCs w:val="32"/>
          <w:lang w:val="en-US" w:eastAsia="zh-CN"/>
        </w:rPr>
        <w:t>2020年度跟踪审计管理工作。</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重大政府投资项目跟踪审计项目在实施过程中严格遵守相关法律法规及项目制定的各项规章制度。</w:t>
      </w:r>
    </w:p>
    <w:p>
      <w:pPr>
        <w:keepNext w:val="0"/>
        <w:keepLines w:val="0"/>
        <w:pageBreakBefore w:val="0"/>
        <w:widowControl w:val="0"/>
        <w:kinsoku/>
        <w:wordWrap/>
        <w:overflowPunct/>
        <w:topLinePunct w:val="0"/>
        <w:autoSpaceDE/>
        <w:autoSpaceDN/>
        <w:bidi w:val="0"/>
        <w:adjustRightInd w:val="0"/>
        <w:snapToGrid w:val="0"/>
        <w:spacing w:line="560" w:lineRule="exact"/>
        <w:ind w:firstLine="720"/>
        <w:textAlignment w:val="auto"/>
        <w:rPr>
          <w:rFonts w:ascii="仿宋_GB2312" w:eastAsia="仿宋_GB2312" w:hAnsi="宋体" w:hint="eastAsia"/>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为实现审计目标，</w:t>
      </w:r>
      <w:r>
        <w:rPr>
          <w:rFonts w:ascii="仿宋_GB2312" w:eastAsia="仿宋_GB2312" w:hAnsi="宋体" w:hint="eastAsia"/>
          <w:sz w:val="32"/>
          <w:szCs w:val="32"/>
          <w:lang w:val="zh-CN" w:eastAsia="zh-CN"/>
        </w:rPr>
        <w:t>严格</w:t>
      </w:r>
      <w:r>
        <w:rPr>
          <w:rFonts w:ascii="仿宋_GB2312" w:eastAsia="仿宋_GB2312" w:hAnsi="宋体" w:hint="eastAsia"/>
          <w:sz w:val="32"/>
          <w:szCs w:val="32"/>
          <w:lang w:val="zh-CN"/>
        </w:rPr>
        <w:t>按照审计方案确定的内容和重点进行审计，在审计实施中有本方案未明确的事项、内容应及时报告审计组长或主审，采取必要的措施，调整方案。审计业务流程严格按照《国家审计准则》执行。</w:t>
      </w:r>
      <w:r>
        <w:rPr>
          <w:rFonts w:ascii="仿宋_GB2312" w:eastAsia="仿宋_GB2312" w:hAnsi="宋体" w:hint="eastAsia"/>
          <w:sz w:val="32"/>
          <w:szCs w:val="32"/>
          <w:lang w:val="en-US" w:eastAsia="zh-CN"/>
        </w:rPr>
        <w:t>跟踪审计中介机构人员具体负责现场跟踪审计工作，具体落实方案及跟踪审计合同中明确的各类审计事项，并针对跟踪审计过程中发现的问题，通过月报及重大事项“一事一报”向审计组反馈。督促被审计单位落实整改，并就问题整改情况在跟踪审计月报中反馈。</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spacing w:line="576" w:lineRule="exact"/>
        <w:ind w:firstLineChars="200" w:firstLine="640"/>
        <w:rPr>
          <w:rFonts w:ascii="楷体" w:eastAsia="楷体" w:hAnsi="楷体"/>
          <w:sz w:val="32"/>
          <w:szCs w:val="32"/>
        </w:rPr>
      </w:pPr>
      <w:r>
        <w:rPr>
          <w:rFonts w:ascii="仿宋_GB2312" w:eastAsia="仿宋_GB2312" w:hAnsi="宋体" w:hint="eastAsia"/>
          <w:sz w:val="32"/>
          <w:szCs w:val="32"/>
          <w:lang w:val="zh-CN"/>
        </w:rPr>
        <w:t xml:space="preserve">截止评价时点，重大政府投资审计的“政府投资审计监管管理平台建设 </w:t>
      </w:r>
      <w:r>
        <w:rPr>
          <w:rFonts w:ascii="仿宋_GB2312" w:eastAsia="仿宋_GB2312" w:hAnsi="宋体" w:hint="eastAsia"/>
          <w:sz w:val="32"/>
          <w:szCs w:val="32"/>
          <w:lang w:val="zh-CN" w:eastAsia="zh-CN"/>
        </w:rPr>
        <w:t>”已建成并对所有跟踪审计人员的工作开展情况进行实时动态监管，实现了重大政府投资跟踪审计项目监管权覆盖，无死角。项目管理过程发生的差旅费已全部支付完毕，</w:t>
      </w:r>
      <w:r>
        <w:rPr>
          <w:rFonts w:ascii="仿宋_GB2312" w:eastAsia="仿宋_GB2312" w:hAnsi="宋体" w:hint="eastAsia"/>
          <w:sz w:val="32"/>
          <w:szCs w:val="32"/>
          <w:lang w:val="zh-CN"/>
        </w:rPr>
        <w:t>项目设置的数量、质量、时效、成本等指标全部实现。</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spacing w:line="576" w:lineRule="exact"/>
        <w:ind w:firstLineChars="200" w:firstLine="640"/>
        <w:rPr>
          <w:rFonts w:ascii="仿宋_GB2312" w:eastAsia="仿宋_GB2312" w:hAnsi="宋体" w:hint="eastAsia"/>
          <w:sz w:val="32"/>
          <w:szCs w:val="32"/>
          <w:lang w:val="zh-CN" w:eastAsia="zh-CN"/>
        </w:rPr>
      </w:pPr>
      <w:r>
        <w:rPr>
          <w:rFonts w:ascii="仿宋_GB2312" w:eastAsia="仿宋_GB2312" w:hAnsi="宋体" w:hint="eastAsia"/>
          <w:sz w:val="32"/>
          <w:szCs w:val="32"/>
          <w:lang w:val="zh-CN" w:eastAsia="zh-CN"/>
        </w:rPr>
        <w:t>重点对利州区井田大桥建设工程、S301三堆镇羊盘村至青川观音店段公路改建工程、宝轮镇花园棚户区改造项目、兴安初级中学建设项目等</w:t>
      </w:r>
      <w:r>
        <w:rPr>
          <w:rFonts w:ascii="仿宋_GB2312" w:eastAsia="仿宋_GB2312" w:hAnsi="宋体" w:hint="eastAsia"/>
          <w:sz w:val="32"/>
          <w:szCs w:val="32"/>
          <w:lang w:val="en-US" w:eastAsia="zh-CN"/>
        </w:rPr>
        <w:t>31</w:t>
      </w:r>
      <w:r>
        <w:rPr>
          <w:rFonts w:ascii="仿宋_GB2312" w:eastAsia="仿宋_GB2312" w:hAnsi="宋体" w:hint="eastAsia"/>
          <w:sz w:val="32"/>
          <w:szCs w:val="32"/>
          <w:lang w:val="zh-CN" w:eastAsia="zh-CN"/>
        </w:rPr>
        <w:t>个重大项目（18个标段）开展全过程跟踪审计。重点对环境保护和水土保持情况、跟踪审计中介机构履职情况、建设资金筹集、管理使用和投资完成情况、参建主体履职履约情况、现场管理情况、重大工程变更、隐蔽工程验收情况、征地拆迁情况、审计发现问题整改情况等方面进行全面督查。查处问题63个，提出审计整改建议58条，发出跟踪审计月报165份。</w:t>
      </w:r>
    </w:p>
    <w:p>
      <w:pPr>
        <w:adjustRightInd w:val="0"/>
        <w:snapToGrid w:val="0"/>
        <w:spacing w:line="600" w:lineRule="exact"/>
        <w:ind w:firstLine="720"/>
        <w:rPr>
          <w:rFonts w:ascii="楷体_GB2312" w:eastAsia="楷体_GB2312" w:hAnsi="宋体" w:hint="eastAsia"/>
          <w:b/>
          <w:sz w:val="32"/>
          <w:szCs w:val="32"/>
          <w:lang w:val="zh-CN" w:eastAsia="zh-CN"/>
        </w:rPr>
      </w:pPr>
      <w:r>
        <w:rPr>
          <w:rFonts w:ascii="楷体_GB2312" w:eastAsia="楷体_GB2312" w:hAnsi="宋体" w:hint="eastAsia"/>
          <w:b/>
          <w:sz w:val="32"/>
          <w:szCs w:val="32"/>
          <w:lang w:val="zh-CN" w:eastAsia="zh-CN"/>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pStyle w:val="15"/>
        <w:ind w:firstLineChars="300" w:firstLine="960"/>
        <w:rPr>
          <w:rFonts w:ascii="仿宋_GB2312" w:eastAsia="仿宋_GB2312" w:cs="Times New Roman" w:hAnsi="宋体"/>
          <w:kern w:val="2"/>
          <w:sz w:val="32"/>
          <w:szCs w:val="32"/>
          <w:lang w:val="en-US" w:eastAsia="zh-CN" w:bidi="ar-SA"/>
        </w:rPr>
      </w:pPr>
      <w:r>
        <w:rPr>
          <w:rFonts w:ascii="仿宋_GB2312" w:eastAsia="仿宋_GB2312" w:cs="Times New Roman" w:hAnsi="宋体" w:hint="eastAsia"/>
          <w:kern w:val="2"/>
          <w:sz w:val="32"/>
          <w:szCs w:val="32"/>
          <w:lang w:val="zh-CN" w:eastAsia="zh-CN" w:bidi="ar-SA"/>
        </w:rPr>
        <w:t>区审计局</w:t>
      </w:r>
      <w:r>
        <w:rPr>
          <w:rFonts w:cs="Times New Roman" w:hAnsi="宋体" w:hint="eastAsia"/>
          <w:kern w:val="2"/>
          <w:sz w:val="32"/>
          <w:szCs w:val="32"/>
          <w:lang w:val="zh-CN" w:eastAsia="zh-CN" w:bidi="ar-SA"/>
        </w:rPr>
        <w:t>设置的</w:t>
      </w:r>
      <w:r>
        <w:rPr>
          <w:rFonts w:ascii="仿宋_GB2312" w:eastAsia="仿宋_GB2312" w:cs="Times New Roman" w:hAnsi="宋体" w:hint="eastAsia"/>
          <w:kern w:val="2"/>
          <w:sz w:val="32"/>
          <w:szCs w:val="32"/>
          <w:lang w:val="zh-CN" w:eastAsia="zh-CN" w:bidi="ar-SA"/>
        </w:rPr>
        <w:t>年度目标任务全部实现，能严格按照《项目支出绩效评价管理办法》进行项目绩效评价，绩效目标指标权重设置为：预算执行率</w:t>
      </w:r>
      <w:r>
        <w:rPr>
          <w:rFonts w:ascii="仿宋_GB2312" w:eastAsia="仿宋_GB2312" w:cs="Times New Roman" w:hAnsi="宋体" w:hint="eastAsia"/>
          <w:kern w:val="2"/>
          <w:sz w:val="32"/>
          <w:szCs w:val="32"/>
          <w:lang w:val="en-US" w:eastAsia="zh-CN" w:bidi="ar-SA"/>
        </w:rPr>
        <w:t>10%，产出指标50%，效益指标30%，服务对象满意度指标10%，自评得分95份，评价结果等次为“优”。</w:t>
      </w:r>
    </w:p>
    <w:p>
      <w:pPr>
        <w:adjustRightInd w:val="0"/>
        <w:snapToGrid w:val="0"/>
        <w:spacing w:line="600" w:lineRule="exact"/>
        <w:ind w:firstLineChars="200" w:firstLine="64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Chars="200" w:firstLine="640"/>
        <w:rPr>
          <w:rFonts w:ascii="仿宋_GB2312" w:eastAsia="仿宋_GB2312" w:hAnsi="宋体"/>
          <w:sz w:val="32"/>
          <w:szCs w:val="32"/>
          <w:lang w:val="zh-CN"/>
        </w:rPr>
      </w:pPr>
      <w:r>
        <w:rPr>
          <w:rFonts w:ascii="仿宋_GB2312" w:eastAsia="仿宋_GB2312" w:hAnsi="宋体" w:hint="eastAsia"/>
          <w:sz w:val="32"/>
          <w:szCs w:val="32"/>
          <w:lang w:val="zh-CN"/>
        </w:rPr>
        <w:t>经自评表明，区审计局年初设定的项目目标任务完成情况“优”，项目预算编制合理，项目设定的各项指标可行，资金使用规范，但财务人员对审计项目过程中不部分事项了解不全面，项目绩效三级指标设计部分与实际不相符，造成评价产生差异。</w:t>
      </w:r>
      <w:r>
        <w:rPr>
          <w:rFonts w:ascii="仿宋_GB2312" w:eastAsia="仿宋_GB2312" w:hAnsi="宋体"/>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spacing w:line="580" w:lineRule="exact"/>
        <w:ind w:firstLine="640"/>
        <w:rPr>
          <w:rFonts w:ascii="仿宋_GB2312" w:eastAsia="仿宋_GB2312" w:cs="仿宋_GB2312" w:hAnsi="仿宋_GB2312"/>
          <w:sz w:val="32"/>
          <w:szCs w:val="32"/>
        </w:rPr>
      </w:pPr>
      <w:r>
        <w:rPr>
          <w:rFonts w:ascii="仿宋_GB2312" w:eastAsia="仿宋_GB2312" w:hAnsi="宋体" w:hint="eastAsia"/>
          <w:sz w:val="32"/>
          <w:szCs w:val="32"/>
          <w:lang w:val="zh-CN"/>
        </w:rPr>
        <w:t>年初编制项目预算绩效时应由项目实施股室及经办人员全过程参与，按项目实际情况设定指标权重，减少项目完工后自评的分歧。</w:t>
      </w:r>
    </w:p>
    <w:p>
      <w:pPr>
        <w:spacing w:line="600" w:lineRule="exact"/>
        <w:rPr>
          <w:rFonts w:ascii="仿宋_GB2312" w:eastAsia="仿宋_GB2312" w:cs="仿宋_GB2312" w:hAnsi="仿宋_GB2312" w:hint="eastAsia"/>
          <w:sz w:val="32"/>
          <w:szCs w:val="32"/>
          <w:lang w:eastAsia="zh-CN"/>
        </w:rPr>
      </w:pPr>
    </w:p>
    <w:p>
      <w:pPr>
        <w:spacing w:line="600" w:lineRule="exact"/>
        <w:rPr>
          <w:rFonts w:ascii="仿宋_GB2312" w:eastAsia="仿宋_GB2312" w:cs="仿宋_GB2312" w:hAnsi="仿宋_GB2312" w:hint="eastAsia"/>
          <w:sz w:val="32"/>
          <w:szCs w:val="32"/>
          <w:lang w:eastAsia="zh-CN"/>
        </w:rPr>
      </w:pPr>
    </w:p>
    <w:p>
      <w:pPr>
        <w:spacing w:line="600" w:lineRule="exact"/>
        <w:rPr>
          <w:rFonts w:ascii="宋体" w:eastAsia="宋体"/>
          <w:b/>
          <w:bCs/>
          <w:sz w:val="32"/>
          <w:szCs w:val="32"/>
          <w:lang w:val="en-US" w:eastAsia="zh-CN"/>
        </w:rPr>
      </w:pPr>
      <w:r>
        <w:rPr>
          <w:rFonts w:ascii="仿宋_GB2312" w:eastAsia="仿宋_GB2312" w:cs="仿宋_GB2312" w:hAnsi="仿宋_GB2312" w:hint="eastAsia"/>
          <w:b/>
          <w:bCs/>
          <w:sz w:val="32"/>
          <w:szCs w:val="32"/>
          <w:lang w:eastAsia="zh-CN"/>
        </w:rPr>
        <w:t>附件</w:t>
      </w:r>
      <w:r>
        <w:rPr>
          <w:rFonts w:ascii="仿宋_GB2312" w:eastAsia="仿宋_GB2312" w:cs="仿宋_GB2312" w:hAnsi="仿宋_GB2312" w:hint="eastAsia"/>
          <w:b/>
          <w:bCs/>
          <w:sz w:val="32"/>
          <w:szCs w:val="32"/>
          <w:lang w:val="en-US" w:eastAsia="zh-CN"/>
        </w:rPr>
        <w:t>2.</w:t>
      </w:r>
    </w:p>
    <w:p>
      <w:pPr>
        <w:spacing w:line="600" w:lineRule="exact"/>
        <w:jc w:val="center"/>
        <w:rPr>
          <w:rFonts w:ascii="方正小标宋简体" w:eastAsia="方正小标宋简体" w:hAnsi="宋体"/>
          <w:color w:val="000000"/>
          <w:kern w:val="0"/>
          <w:sz w:val="44"/>
          <w:szCs w:val="44"/>
        </w:rPr>
      </w:pPr>
      <w:r>
        <w:rPr>
          <w:rFonts w:ascii="黑体" w:eastAsia="黑体" w:hAnsi="宋体" w:hint="eastAsia"/>
          <w:sz w:val="32"/>
          <w:szCs w:val="32"/>
          <w:lang w:val="en-US" w:eastAsia="zh-CN"/>
        </w:rPr>
        <w:t xml:space="preserve"> </w:t>
      </w:r>
      <w:r>
        <w:rPr>
          <w:rFonts w:ascii="楷体_GB2312" w:eastAsia="楷体_GB2312" w:hAnsi="宋体" w:hint="eastAsia"/>
          <w:b/>
          <w:sz w:val="32"/>
          <w:szCs w:val="32"/>
          <w:lang w:val="en-US" w:eastAsia="zh-CN"/>
        </w:rPr>
        <w:t xml:space="preserve"> </w:t>
      </w:r>
      <w:r>
        <w:rPr>
          <w:rFonts w:ascii="方正小标宋简体" w:eastAsia="方正小标宋简体" w:hAnsi="宋体" w:hint="eastAsia"/>
          <w:color w:val="000000"/>
          <w:kern w:val="0"/>
          <w:sz w:val="44"/>
          <w:szCs w:val="44"/>
        </w:rPr>
        <w:t>审计</w:t>
      </w:r>
      <w:r>
        <w:rPr>
          <w:rFonts w:ascii="方正小标宋简体" w:eastAsia="方正小标宋简体" w:hAnsi="宋体" w:hint="eastAsia"/>
          <w:color w:val="000000"/>
          <w:kern w:val="0"/>
          <w:sz w:val="44"/>
          <w:szCs w:val="44"/>
          <w:lang w:eastAsia="zh-CN"/>
        </w:rPr>
        <w:t>外勤经费</w:t>
      </w:r>
      <w:r>
        <w:rPr>
          <w:rFonts w:ascii="方正小标宋简体" w:eastAsia="方正小标宋简体" w:hAnsi="宋体" w:hint="eastAsia"/>
          <w:color w:val="000000"/>
          <w:kern w:val="0"/>
          <w:sz w:val="44"/>
          <w:szCs w:val="44"/>
        </w:rPr>
        <w:t>项目管理经费项目2020年绩效评价报告</w:t>
      </w:r>
    </w:p>
    <w:p>
      <w:pPr>
        <w:spacing w:line="600" w:lineRule="exact"/>
        <w:rPr>
          <w:rFonts w:ascii="宋体" w:hint="eastAsia"/>
          <w:sz w:val="32"/>
          <w:szCs w:val="32"/>
        </w:rPr>
      </w:pPr>
      <w:r>
        <w:rPr>
          <w:rFonts w:ascii="宋体" w:hint="eastAsia"/>
          <w:sz w:val="32"/>
          <w:szCs w:val="32"/>
        </w:rPr>
        <w:t xml:space="preserve"> </w:t>
      </w:r>
    </w:p>
    <w:p>
      <w:pPr>
        <w:adjustRightInd w:val="0"/>
        <w:snapToGrid w:val="0"/>
        <w:spacing w:line="600" w:lineRule="exact"/>
        <w:ind w:firstLine="720"/>
        <w:rPr>
          <w:rFonts w:ascii="黑体" w:eastAsia="黑体" w:hAnsi="宋体" w:hint="eastAsia"/>
          <w:sz w:val="32"/>
          <w:szCs w:val="32"/>
        </w:rPr>
      </w:pPr>
      <w:r>
        <w:rPr>
          <w:rFonts w:ascii="黑体" w:eastAsia="黑体" w:hAnsi="黑体" w:hint="eastAsia"/>
          <w:sz w:val="32"/>
          <w:szCs w:val="32"/>
        </w:rPr>
        <w:t>一、项目概况</w:t>
      </w:r>
    </w:p>
    <w:p>
      <w:pPr>
        <w:adjustRightInd w:val="0"/>
        <w:snapToGrid w:val="0"/>
        <w:spacing w:line="600" w:lineRule="exact"/>
        <w:ind w:firstLineChars="200" w:firstLine="640"/>
        <w:rPr>
          <w:rFonts w:ascii="楷体_GB2312" w:hAnsi="宋体" w:hint="eastAsia"/>
          <w:b/>
          <w:bCs/>
          <w:sz w:val="32"/>
          <w:szCs w:val="32"/>
        </w:rPr>
      </w:pPr>
      <w:r>
        <w:rPr>
          <w:rFonts w:ascii="楷体_GB2312" w:hAnsi="楷体_GB2312"/>
          <w:b/>
          <w:bCs/>
          <w:sz w:val="32"/>
          <w:szCs w:val="32"/>
        </w:rPr>
        <w:t>（一）项目基本情况。</w:t>
      </w:r>
    </w:p>
    <w:p>
      <w:pPr>
        <w:spacing w:line="580" w:lineRule="exact"/>
        <w:ind w:firstLine="640"/>
        <w:rPr>
          <w:rFonts w:ascii="仿宋_GB2312" w:eastAsia="仿宋_GB2312" w:hAnsi="宋体"/>
          <w:sz w:val="32"/>
          <w:szCs w:val="32"/>
          <w:lang w:val="en-US" w:eastAsia="zh-CN"/>
        </w:rPr>
      </w:pPr>
      <w:r>
        <w:rPr>
          <w:rFonts w:ascii="仿宋_GB2312" w:eastAsia="仿宋_GB2312" w:hAnsi="宋体" w:hint="eastAsia"/>
          <w:sz w:val="32"/>
          <w:szCs w:val="32"/>
          <w:lang w:val="en-US" w:eastAsia="zh-CN"/>
        </w:rPr>
        <w:t xml:space="preserve"> 1.说明项目主管部门（单位）在该项目管理中的职能</w:t>
      </w:r>
    </w:p>
    <w:p>
      <w:pPr>
        <w:spacing w:line="580" w:lineRule="exact"/>
        <w:ind w:firstLine="640"/>
        <w:rPr>
          <w:rFonts w:ascii="仿宋_GB2312" w:hAnsi="仿宋_GB2312" w:hint="eastAsia"/>
          <w:sz w:val="32"/>
          <w:szCs w:val="32"/>
          <w:lang w:val="en-US" w:eastAsia="zh-CN"/>
        </w:rPr>
      </w:pPr>
      <w:r>
        <w:rPr>
          <w:rFonts w:ascii="仿宋_GB2312" w:eastAsia="仿宋_GB2312" w:hAnsi="宋体" w:hint="eastAsia"/>
          <w:sz w:val="32"/>
          <w:szCs w:val="32"/>
          <w:lang w:val="en-US" w:eastAsia="zh-CN"/>
        </w:rPr>
        <w:t>根据</w:t>
      </w:r>
      <w:r>
        <w:rPr>
          <w:rFonts w:ascii="仿宋_GB2312" w:eastAsia="仿宋_GB2312" w:hAnsi="宋体"/>
          <w:sz w:val="32"/>
          <w:szCs w:val="32"/>
          <w:lang w:val="en-US" w:eastAsia="zh-CN"/>
        </w:rPr>
        <w:t>20</w:t>
      </w:r>
      <w:r>
        <w:rPr>
          <w:rFonts w:ascii="仿宋_GB2312" w:eastAsia="仿宋_GB2312" w:hAnsi="宋体" w:hint="eastAsia"/>
          <w:sz w:val="32"/>
          <w:szCs w:val="32"/>
          <w:lang w:val="en-US" w:eastAsia="zh-CN"/>
        </w:rPr>
        <w:t>20年审计项目计划安排和以前年度审计外勤经费使用情况，通过测算，申报2020年审计外勤经费。</w:t>
      </w:r>
    </w:p>
    <w:p>
      <w:pPr>
        <w:pStyle w:val="15"/>
        <w:ind w:left="0" w:firstLineChars="200" w:firstLine="640"/>
        <w:rPr>
          <w:rFonts w:ascii="仿宋_GB2312" w:eastAsia="仿宋_GB2312" w:cs="Times New Roman" w:hAnsi="宋体" w:hint="eastAsia"/>
          <w:kern w:val="2"/>
          <w:sz w:val="32"/>
          <w:szCs w:val="32"/>
          <w:lang w:val="en-US" w:eastAsia="zh-CN" w:bidi="ar-SA"/>
        </w:rPr>
      </w:pPr>
      <w:r>
        <w:rPr>
          <w:rFonts w:cs="Times New Roman" w:hAnsi="宋体" w:hint="eastAsia"/>
          <w:kern w:val="2"/>
          <w:sz w:val="32"/>
          <w:szCs w:val="32"/>
          <w:lang w:val="en-US" w:eastAsia="zh-CN" w:bidi="ar-SA"/>
        </w:rPr>
        <w:t>2.</w:t>
      </w:r>
      <w:r>
        <w:rPr>
          <w:rFonts w:ascii="仿宋_GB2312" w:eastAsia="仿宋_GB2312" w:cs="Times New Roman" w:hAnsi="宋体" w:hint="eastAsia"/>
          <w:kern w:val="2"/>
          <w:sz w:val="32"/>
          <w:szCs w:val="32"/>
          <w:lang w:val="en-US" w:eastAsia="zh-CN" w:bidi="ar-SA"/>
        </w:rPr>
        <w:t>项目立项、资金申报的依据。</w:t>
      </w:r>
    </w:p>
    <w:p>
      <w:pPr>
        <w:pStyle w:val="15"/>
        <w:ind w:left="0" w:firstLineChars="200" w:firstLine="640"/>
        <w:rPr>
          <w:rFonts w:ascii="仿宋_GB2312" w:eastAsia="仿宋_GB2312" w:cs="Times New Roman" w:hAnsi="宋体" w:hint="eastAsia"/>
          <w:kern w:val="2"/>
          <w:sz w:val="32"/>
          <w:szCs w:val="32"/>
          <w:lang w:val="en-US" w:eastAsia="zh-CN" w:bidi="ar-SA"/>
        </w:rPr>
      </w:pPr>
      <w:r>
        <w:rPr>
          <w:rFonts w:ascii="仿宋_GB2312" w:eastAsia="仿宋_GB2312" w:cs="Times New Roman" w:hAnsi="宋体" w:hint="eastAsia"/>
          <w:kern w:val="2"/>
          <w:sz w:val="32"/>
          <w:szCs w:val="32"/>
          <w:lang w:val="en-US" w:eastAsia="zh-CN" w:bidi="ar-SA"/>
        </w:rPr>
        <w:t>根据《中华人民共和国审计法》第十一条 审计机关履行职责所必需的经费，应当列入财政预算，由本级人民政府予以保证。为保障审计工作的独立性，利州区审计局设立“审计项目外勤经费”项目，用于支付审计项目外出审计调查发生的住宿费、生活补助、公杂费及城市间的交通费等支出。</w:t>
      </w:r>
    </w:p>
    <w:p>
      <w:pPr>
        <w:pStyle w:val="15"/>
        <w:ind w:left="0" w:firstLineChars="200" w:firstLine="640"/>
        <w:rPr>
          <w:rFonts w:ascii="仿宋_GB2312" w:eastAsia="仿宋_GB2312" w:cs="Times New Roman" w:hAnsi="宋体" w:hint="eastAsia"/>
          <w:kern w:val="2"/>
          <w:sz w:val="32"/>
          <w:szCs w:val="32"/>
          <w:lang w:val="en-US" w:eastAsia="zh-CN" w:bidi="ar-SA"/>
        </w:rPr>
      </w:pPr>
      <w:r>
        <w:rPr>
          <w:rFonts w:cs="Times New Roman" w:hAnsi="宋体" w:hint="eastAsia"/>
          <w:kern w:val="2"/>
          <w:sz w:val="32"/>
          <w:szCs w:val="32"/>
          <w:lang w:val="en-US" w:eastAsia="zh-CN" w:bidi="ar-SA"/>
        </w:rPr>
        <w:t>3.</w:t>
      </w:r>
      <w:r>
        <w:rPr>
          <w:rFonts w:ascii="仿宋_GB2312" w:eastAsia="仿宋_GB2312" w:cs="Times New Roman" w:hAnsi="宋体" w:hint="eastAsia"/>
          <w:kern w:val="2"/>
          <w:sz w:val="32"/>
          <w:szCs w:val="32"/>
          <w:lang w:val="en-US" w:eastAsia="zh-CN" w:bidi="ar-SA"/>
        </w:rPr>
        <w:t>资金管理办法制度情况，资金支持具体项目的条件、范围与支持方式概况。</w:t>
      </w:r>
    </w:p>
    <w:p>
      <w:pPr>
        <w:pStyle w:val="15"/>
        <w:ind w:left="0" w:firstLineChars="200" w:firstLine="640"/>
        <w:rPr>
          <w:rFonts w:ascii="仿宋_GB2312" w:eastAsia="仿宋_GB2312" w:cs="Times New Roman" w:hAnsi="宋体" w:hint="eastAsia"/>
          <w:kern w:val="2"/>
          <w:sz w:val="32"/>
          <w:szCs w:val="32"/>
          <w:lang w:val="en-US" w:eastAsia="zh-CN" w:bidi="ar-SA"/>
        </w:rPr>
      </w:pPr>
      <w:r>
        <w:rPr>
          <w:rFonts w:ascii="仿宋_GB2312" w:eastAsia="仿宋_GB2312" w:cs="Times New Roman" w:hAnsi="宋体" w:hint="eastAsia"/>
          <w:kern w:val="2"/>
          <w:sz w:val="32"/>
          <w:szCs w:val="32"/>
          <w:lang w:val="en-US" w:eastAsia="zh-CN" w:bidi="ar-SA"/>
        </w:rPr>
        <w:t>根据《审计署财政部关于切实保证地方审计机关经费问题的意见》（审办发〔2007〕41号），制度了《利州区审计局审计外勤经费管理办法》，明确用于支付审计项目外出审计期间发生的住宿费、生活补助、公杂费及城市间的交通费等支出。</w:t>
      </w:r>
    </w:p>
    <w:p>
      <w:pPr>
        <w:pStyle w:val="15"/>
        <w:ind w:left="640"/>
        <w:rPr>
          <w:rFonts w:eastAsia="宋体" w:cs="Times New Roman" w:hAnsi="仿宋_GB2312" w:hint="eastAsia"/>
          <w:kern w:val="2"/>
          <w:sz w:val="32"/>
          <w:szCs w:val="32"/>
          <w:lang w:val="en-US" w:eastAsia="zh-CN" w:bidi="ar-SA"/>
        </w:rPr>
      </w:pPr>
      <w:r>
        <w:rPr>
          <w:rFonts w:eastAsia="宋体" w:cs="Times New Roman" w:hAnsi="仿宋_GB2312" w:hint="eastAsia"/>
          <w:kern w:val="2"/>
          <w:sz w:val="32"/>
          <w:szCs w:val="32"/>
          <w:lang w:val="en-US" w:eastAsia="zh-CN" w:bidi="ar-SA"/>
        </w:rPr>
        <w:t>4.</w:t>
      </w:r>
      <w:r>
        <w:rPr>
          <w:rFonts w:ascii="仿宋_GB2312" w:eastAsia="仿宋_GB2312" w:cs="Times New Roman" w:hAnsi="宋体" w:hint="eastAsia"/>
          <w:kern w:val="2"/>
          <w:sz w:val="32"/>
          <w:szCs w:val="32"/>
          <w:lang w:val="en-US" w:eastAsia="zh-CN" w:bidi="ar-SA"/>
        </w:rPr>
        <w:t>资金分配的原则及考虑因数。</w:t>
      </w:r>
    </w:p>
    <w:p>
      <w:pPr>
        <w:pStyle w:val="15"/>
        <w:ind w:left="0" w:firstLineChars="200" w:firstLine="640"/>
        <w:rPr>
          <w:rFonts w:ascii="仿宋_GB2312" w:eastAsia="仿宋_GB2312" w:cs="Times New Roman" w:hAnsi="宋体"/>
          <w:kern w:val="2"/>
          <w:sz w:val="32"/>
          <w:szCs w:val="32"/>
          <w:lang w:val="en-US" w:eastAsia="zh-CN" w:bidi="ar-SA"/>
        </w:rPr>
      </w:pPr>
      <w:r>
        <w:rPr>
          <w:rFonts w:ascii="仿宋_GB2312" w:eastAsia="仿宋_GB2312" w:cs="Times New Roman" w:hAnsi="宋体" w:hint="eastAsia"/>
          <w:kern w:val="2"/>
          <w:sz w:val="32"/>
          <w:szCs w:val="32"/>
          <w:lang w:val="en-US" w:eastAsia="zh-CN" w:bidi="ar-SA"/>
        </w:rPr>
        <w:t>根据项目组参与的人数，现场结束时间及审计方案实施内容核定项目成本。</w:t>
      </w:r>
    </w:p>
    <w:p>
      <w:pPr>
        <w:adjustRightInd w:val="0"/>
        <w:snapToGrid w:val="0"/>
        <w:spacing w:line="600" w:lineRule="exact"/>
        <w:ind w:firstLineChars="200" w:firstLine="640"/>
        <w:rPr>
          <w:rFonts w:ascii="楷体_GB2312" w:hAnsi="宋体"/>
          <w:b/>
          <w:bCs/>
          <w:sz w:val="32"/>
          <w:szCs w:val="32"/>
        </w:rPr>
      </w:pPr>
      <w:r>
        <w:rPr>
          <w:rFonts w:ascii="楷体_GB2312" w:hAnsi="楷体_GB2312"/>
          <w:b/>
          <w:bCs/>
          <w:sz w:val="32"/>
          <w:szCs w:val="32"/>
        </w:rPr>
        <w:t>（二）项目绩效目标。</w:t>
      </w:r>
    </w:p>
    <w:p>
      <w:pPr>
        <w:adjustRightInd w:val="0"/>
        <w:snapToGrid w:val="0"/>
        <w:spacing w:line="600" w:lineRule="exact"/>
        <w:ind w:firstLine="720"/>
        <w:rPr>
          <w:rFonts w:ascii="仿宋_GB2312" w:hAnsi="仿宋_GB2312" w:hint="eastAsia"/>
          <w:sz w:val="32"/>
          <w:szCs w:val="32"/>
          <w:lang w:val="en-US" w:eastAsia="zh-CN"/>
        </w:rPr>
      </w:pPr>
      <w:r>
        <w:rPr>
          <w:rFonts w:ascii="仿宋_GB2312" w:hAnsi="仿宋_GB2312" w:hint="eastAsia"/>
          <w:sz w:val="32"/>
          <w:szCs w:val="32"/>
          <w:lang w:val="en-US" w:eastAsia="zh-CN"/>
        </w:rPr>
        <w:t>1.项目主要内容。</w:t>
      </w:r>
    </w:p>
    <w:p>
      <w:pPr>
        <w:pStyle w:val="15"/>
        <w:ind w:left="0" w:firstLineChars="200" w:firstLine="640"/>
        <w:rPr>
          <w:rFonts w:ascii="仿宋_GB2312" w:eastAsia="仿宋_GB2312" w:cs="Times New Roman" w:hAnsi="宋体" w:hint="eastAsia"/>
          <w:kern w:val="2"/>
          <w:sz w:val="32"/>
          <w:szCs w:val="32"/>
          <w:lang w:val="en-US" w:eastAsia="zh-CN" w:bidi="ar-SA"/>
        </w:rPr>
      </w:pPr>
      <w:r>
        <w:rPr>
          <w:rFonts w:ascii="仿宋_GB2312" w:eastAsia="仿宋_GB2312" w:cs="Times New Roman" w:hAnsi="宋体" w:hint="eastAsia"/>
          <w:kern w:val="2"/>
          <w:sz w:val="32"/>
          <w:szCs w:val="32"/>
          <w:lang w:val="en-US" w:eastAsia="zh-CN" w:bidi="ar-SA"/>
        </w:rPr>
        <w:t>主要用于支付审计项目外出审计期间发生的住宿费、生活补助、公杂费及城市间的交通费等支出。</w:t>
      </w:r>
    </w:p>
    <w:p>
      <w:pPr>
        <w:pStyle w:val="15"/>
        <w:ind w:left="0" w:firstLineChars="200" w:firstLine="640"/>
        <w:rPr>
          <w:rFonts w:ascii="仿宋_GB2312" w:eastAsia="仿宋_GB2312" w:cs="Times New Roman" w:hAnsi="宋体"/>
          <w:kern w:val="2"/>
          <w:sz w:val="32"/>
          <w:szCs w:val="32"/>
          <w:lang w:val="en-US" w:eastAsia="zh-CN" w:bidi="ar-SA"/>
        </w:rPr>
      </w:pPr>
      <w:r>
        <w:rPr>
          <w:rFonts w:ascii="仿宋_GB2312" w:eastAsia="仿宋_GB2312" w:cs="Times New Roman" w:hAnsi="宋体" w:hint="eastAsia"/>
          <w:kern w:val="2"/>
          <w:sz w:val="32"/>
          <w:szCs w:val="32"/>
          <w:lang w:val="en-US" w:eastAsia="zh-CN" w:bidi="ar-SA"/>
        </w:rPr>
        <w:t>2.项目应实现的具体绩效目标，包括目标的量化、细化情况及项目实施进度计划等</w:t>
      </w:r>
    </w:p>
    <w:p>
      <w:pPr>
        <w:pStyle w:val="15"/>
        <w:ind w:left="0" w:firstLineChars="200" w:firstLine="640"/>
        <w:rPr>
          <w:rFonts w:ascii="仿宋_GB2312" w:eastAsia="仿宋_GB2312" w:cs="Times New Roman" w:hAnsi="宋体"/>
          <w:kern w:val="2"/>
          <w:sz w:val="32"/>
          <w:szCs w:val="32"/>
          <w:lang w:val="en-US" w:eastAsia="zh-CN" w:bidi="ar-SA"/>
        </w:rPr>
      </w:pPr>
      <w:r>
        <w:rPr>
          <w:rFonts w:ascii="仿宋_GB2312" w:eastAsia="仿宋_GB2312" w:cs="Times New Roman" w:hAnsi="宋体" w:hint="eastAsia"/>
          <w:kern w:val="2"/>
          <w:sz w:val="32"/>
          <w:szCs w:val="32"/>
          <w:lang w:val="en-US" w:eastAsia="zh-CN" w:bidi="ar-SA"/>
        </w:rPr>
        <w:t>加强审计机关廉政建设，提高审计工作质量，切断与被审计单位一切经济联系，依法独立有效地履行审计监督职责，维护审计机关良好形象。具体分解为数量指标、质量指标、时效指标、成本指标、经济效益指标和社会效益指标等，详见《部门预算项目支出绩效目标申报表》。2020年项目按计划全面实施结束。</w:t>
      </w:r>
    </w:p>
    <w:p>
      <w:pPr>
        <w:pStyle w:val="15"/>
        <w:numPr>
          <w:ilvl w:val="0"/>
          <w:numId w:val="8"/>
        </w:numPr>
        <w:ind w:left="0" w:firstLineChars="200" w:firstLine="640"/>
        <w:rPr>
          <w:rFonts w:hAnsi="仿宋_GB2312" w:hint="eastAsia"/>
          <w:sz w:val="32"/>
          <w:szCs w:val="32"/>
          <w:lang w:val="en-US" w:eastAsia="zh-CN"/>
        </w:rPr>
      </w:pPr>
      <w:r>
        <w:rPr>
          <w:rFonts w:hAnsi="仿宋_GB2312" w:hint="eastAsia"/>
          <w:sz w:val="32"/>
          <w:szCs w:val="32"/>
          <w:lang w:val="en-US" w:eastAsia="zh-CN"/>
        </w:rPr>
        <w:t>分析评价申报内容是否与实际相符，申报目标是否合理可行。</w:t>
      </w:r>
    </w:p>
    <w:p>
      <w:pPr>
        <w:pStyle w:val="15"/>
        <w:ind w:left="0" w:firstLineChars="100" w:firstLine="320"/>
        <w:rPr>
          <w:rFonts w:hAnsi="仿宋_GB2312"/>
          <w:sz w:val="32"/>
          <w:szCs w:val="32"/>
          <w:lang w:val="en-US" w:eastAsia="zh-CN"/>
        </w:rPr>
      </w:pPr>
      <w:r>
        <w:rPr>
          <w:rFonts w:ascii="仿宋_GB2312" w:hAnsi="仿宋_GB2312" w:hint="eastAsia"/>
          <w:sz w:val="32"/>
          <w:szCs w:val="32"/>
          <w:lang w:val="en-US" w:eastAsia="zh-CN"/>
        </w:rPr>
        <w:t>经对照检查，项目申报内容与具体实施内容相符，申报目标合理可行。</w:t>
      </w:r>
    </w:p>
    <w:p>
      <w:pPr>
        <w:adjustRightInd w:val="0"/>
        <w:snapToGrid w:val="0"/>
        <w:spacing w:line="600" w:lineRule="exact"/>
        <w:ind w:firstLineChars="200" w:firstLine="640"/>
        <w:rPr>
          <w:rFonts w:ascii="仿宋_GB2312" w:hAnsi="仿宋_GB2312" w:hint="eastAsia"/>
          <w:sz w:val="32"/>
          <w:szCs w:val="32"/>
          <w:lang w:val="en-US" w:eastAsia="zh-CN"/>
        </w:rPr>
      </w:pPr>
      <w:r>
        <w:rPr>
          <w:rFonts w:ascii="楷体_GB2312" w:hAnsi="楷体_GB2312" w:hint="eastAsia"/>
          <w:b/>
          <w:bCs/>
          <w:sz w:val="32"/>
          <w:szCs w:val="32"/>
          <w:lang w:val="en-US" w:eastAsia="zh-CN"/>
        </w:rPr>
        <w:t>（三）项目自评步骤及方法</w:t>
      </w:r>
      <w:r>
        <w:rPr>
          <w:rFonts w:ascii="仿宋_GB2312" w:hAnsi="仿宋_GB2312" w:hint="eastAsia"/>
          <w:sz w:val="32"/>
          <w:szCs w:val="32"/>
          <w:lang w:val="en-US" w:eastAsia="zh-CN"/>
        </w:rPr>
        <w:t>。</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楷体_GB2312" w:hAnsi="楷体_GB2312" w:hint="eastAsia"/>
          <w:b/>
          <w:bCs/>
          <w:sz w:val="32"/>
          <w:szCs w:val="32"/>
          <w:lang w:val="en-US" w:eastAsia="zh-CN"/>
        </w:rPr>
      </w:pPr>
      <w:r>
        <w:rPr>
          <w:rFonts w:ascii="楷体_GB2312" w:hAnsi="楷体_GB2312" w:hint="eastAsia"/>
          <w:b/>
          <w:bCs/>
          <w:sz w:val="32"/>
          <w:szCs w:val="32"/>
          <w:lang w:val="en-US" w:eastAsia="zh-CN"/>
        </w:rPr>
        <w:t>二、项目资金申报及使用情况</w:t>
      </w:r>
    </w:p>
    <w:p>
      <w:pPr>
        <w:adjustRightInd w:val="0"/>
        <w:snapToGrid w:val="0"/>
        <w:spacing w:line="600" w:lineRule="exact"/>
        <w:ind w:firstLine="720"/>
        <w:rPr>
          <w:rFonts w:ascii="楷体_GB2312" w:hAnsi="宋体" w:hint="eastAsia"/>
          <w:b/>
          <w:bCs/>
          <w:sz w:val="32"/>
          <w:szCs w:val="32"/>
        </w:rPr>
      </w:pPr>
      <w:r>
        <w:rPr>
          <w:rFonts w:ascii="楷体_GB2312" w:hAnsi="楷体_GB2312"/>
          <w:b/>
          <w:bCs/>
          <w:sz w:val="32"/>
          <w:szCs w:val="32"/>
        </w:rPr>
        <w:t>（一）项目资金申报及批复情况。</w:t>
      </w:r>
    </w:p>
    <w:p>
      <w:pPr>
        <w:adjustRightInd w:val="0"/>
        <w:snapToGrid w:val="0"/>
        <w:spacing w:line="600" w:lineRule="exact"/>
        <w:ind w:firstLine="720"/>
        <w:rPr>
          <w:rFonts w:ascii="仿宋_GB2312" w:hAnsi="仿宋_GB2312" w:hint="eastAsia"/>
          <w:sz w:val="32"/>
          <w:szCs w:val="32"/>
          <w:lang w:val="en-US" w:eastAsia="zh-CN"/>
        </w:rPr>
      </w:pPr>
      <w:r>
        <w:rPr>
          <w:rFonts w:ascii="仿宋_GB2312" w:eastAsia="仿宋_GB2312" w:cs="Times New Roman" w:hAnsi="仿宋_GB2312" w:hint="eastAsia"/>
          <w:kern w:val="0"/>
          <w:sz w:val="32"/>
          <w:szCs w:val="32"/>
          <w:lang w:val="en-US" w:eastAsia="zh-CN" w:bidi="ar-SA"/>
        </w:rPr>
        <w:t>该项目年初申报财政预算经费63.51万元，财政部门批复预算63.51万元，无资金调整情况。</w:t>
      </w:r>
    </w:p>
    <w:p>
      <w:pPr>
        <w:numPr>
          <w:ilvl w:val="0"/>
          <w:numId w:val="9"/>
        </w:numPr>
        <w:adjustRightInd w:val="0"/>
        <w:snapToGrid w:val="0"/>
        <w:spacing w:line="600" w:lineRule="exact"/>
        <w:ind w:left="0" w:firstLine="720"/>
        <w:rPr>
          <w:rFonts w:ascii="楷体_GB2312" w:hAnsi="楷体_GB2312" w:hint="eastAsia"/>
          <w:b/>
          <w:bCs/>
          <w:sz w:val="32"/>
          <w:szCs w:val="32"/>
          <w:lang w:eastAsia="zh-CN"/>
        </w:rPr>
      </w:pPr>
      <w:r>
        <w:rPr>
          <w:rFonts w:ascii="楷体_GB2312" w:hAnsi="楷体_GB2312"/>
          <w:b/>
          <w:bCs/>
          <w:sz w:val="32"/>
          <w:szCs w:val="32"/>
        </w:rPr>
        <w:t>资金计划、到位及使用情况</w:t>
      </w:r>
      <w:r>
        <w:rPr>
          <w:rFonts w:ascii="楷体_GB2312" w:hAnsi="楷体_GB2312" w:hint="eastAsia"/>
          <w:b/>
          <w:bCs/>
          <w:sz w:val="32"/>
          <w:szCs w:val="32"/>
          <w:lang w:eastAsia="zh-CN"/>
        </w:rPr>
        <w:t>。</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该项目年初财政部门预算金额63.51万元，预算支出63.51万元，资金使用绩效100%。</w:t>
      </w:r>
    </w:p>
    <w:p>
      <w:pPr>
        <w:adjustRightInd w:val="0"/>
        <w:snapToGrid w:val="0"/>
        <w:spacing w:line="600" w:lineRule="exact"/>
        <w:ind w:firstLine="720"/>
        <w:rPr>
          <w:rFonts w:ascii="楷体_GB2312" w:hAnsi="宋体"/>
          <w:b/>
          <w:bCs/>
          <w:sz w:val="32"/>
          <w:szCs w:val="32"/>
        </w:rPr>
      </w:pPr>
      <w:r>
        <w:rPr>
          <w:rFonts w:ascii="楷体_GB2312" w:hAnsi="楷体_GB2312"/>
          <w:b/>
          <w:bCs/>
          <w:sz w:val="32"/>
          <w:szCs w:val="32"/>
        </w:rPr>
        <w:t>（三）项目财务管理情况。</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该项目资金由区审计局机关财务统一核算和管理，区审计局制定了《利州区审计局审计外勤经费管理办法》、《利州区审计局机关财务管理制度》等制度并严格执行。审计项目计划由局计划与法规股分解下达各股室，各股室在制定审计项目实施方案时，所有审计项目现场审计时间均进行认真测算，事先予以明确，审计组人员在报销外勤经费时，住宿费在规定的标准内据实支付，凭据报销，节约归公，超支自理，伙食补助及公杂费在规定标准内由审计组统筹安排，包干使用，项目外勤经费实行一月一结算，由经办人，项目审计组长签字后再根据《利州区审计局机关财务管理制度》办理费用报销手续。经对照检查，项目支出符合财经法规和财务管理制度规定，财务处理及时，会计核算较为规范。</w:t>
      </w:r>
    </w:p>
    <w:p>
      <w:pPr>
        <w:adjustRightInd w:val="0"/>
        <w:snapToGrid w:val="0"/>
        <w:spacing w:line="600" w:lineRule="exact"/>
        <w:ind w:left="0" w:firstLineChars="200" w:firstLine="640"/>
      </w:pPr>
      <w:r>
        <w:rPr>
          <w:rFonts w:ascii="黑体" w:eastAsia="黑体" w:hAnsi="黑体" w:hint="eastAsia"/>
          <w:b/>
          <w:bCs/>
          <w:sz w:val="32"/>
          <w:szCs w:val="32"/>
          <w:lang w:eastAsia="zh-CN"/>
        </w:rPr>
        <w:t>三、</w:t>
      </w:r>
      <w:r>
        <w:rPr>
          <w:rFonts w:ascii="黑体" w:eastAsia="黑体" w:hAnsi="黑体" w:hint="eastAsia"/>
          <w:sz w:val="32"/>
          <w:szCs w:val="32"/>
        </w:rPr>
        <w:t>项目实施及管理情况</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该项目资金以完成审计项目为实施载体，审计组在实施审计前按《利州区审计局审计外勤经费管理制度》对项目成本进行经费预算管理，对所有审计项目现场审计时间予以明确， 对伙食补助及公杂费实行统筹安排，包干使用。该项目的实施切断了审计人员与被审计单位的任何经济联系，保障了审计的独立性，提高审计质量。审计组人员在报销外勤经费时，住宿费在规定的标准内据实支付，凭据报销，节约归公，超支自理，伙食补助及公杂费在规定标准内由审计组统筹安排，包干使用，项目外勤经费实行一月一结算，由经办人，项目审计组长签字后再根据《利州区审计局机关财务管理制度》办理费用报销手续。经对照检查，项目支出符合财经法规和财务管理制度规定，财务处理及时，会计核算较为规范。</w:t>
      </w:r>
    </w:p>
    <w:p>
      <w:pPr>
        <w:widowControl/>
        <w:spacing w:line="560" w:lineRule="exact"/>
        <w:ind w:firstLineChars="300" w:firstLine="960"/>
        <w:jc w:val="left"/>
        <w:rPr>
          <w:rFonts w:ascii="仿宋_GB2312" w:hAnsi="宋体"/>
          <w:sz w:val="32"/>
          <w:szCs w:val="32"/>
        </w:rPr>
      </w:pPr>
      <w:r>
        <w:rPr>
          <w:rFonts w:ascii="黑体" w:eastAsia="黑体" w:hAnsi="黑体" w:hint="eastAsia"/>
          <w:sz w:val="32"/>
          <w:szCs w:val="32"/>
        </w:rPr>
        <w:t>四、项目绩效情况</w:t>
      </w:r>
      <w:r>
        <w:rPr>
          <w:rFonts w:ascii="仿宋_GB2312" w:hAnsi="宋体"/>
          <w:sz w:val="32"/>
          <w:szCs w:val="32"/>
        </w:rPr>
        <w:tab/>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该项目的实施保障了全年实施项目审计、审计调查、专案审计等123个项目开展审计工作所需的住宿费、伙食补助及公杂费的支出，实现了按月按标准结算审计项目外勤经费，为加强审计机关廉政建设，提供审计工作质量，有效的履行审计监督，维护审计机关良好形象，按照审计“八不准”的审计纪律，切断审计组与被审计单位的一切经济联系，提供了全面保障，本审计单位及审计组人员满意率达95%以上。</w:t>
      </w:r>
    </w:p>
    <w:p>
      <w:pPr>
        <w:adjustRightInd w:val="0"/>
        <w:snapToGrid w:val="0"/>
        <w:spacing w:line="600" w:lineRule="exact"/>
        <w:ind w:firstLineChars="300" w:firstLine="960"/>
        <w:rPr>
          <w:rFonts w:ascii="黑体" w:eastAsia="黑体" w:hAnsi="宋体"/>
          <w:sz w:val="32"/>
          <w:szCs w:val="32"/>
        </w:rPr>
      </w:pPr>
      <w:r>
        <w:rPr>
          <w:rFonts w:ascii="黑体" w:eastAsia="黑体" w:hAnsi="黑体" w:hint="eastAsia"/>
          <w:sz w:val="32"/>
          <w:szCs w:val="32"/>
        </w:rPr>
        <w:t>五、评价结论及建议</w:t>
      </w:r>
    </w:p>
    <w:p>
      <w:pPr>
        <w:adjustRightInd w:val="0"/>
        <w:snapToGrid w:val="0"/>
        <w:spacing w:line="600" w:lineRule="exact"/>
        <w:ind w:firstLine="720"/>
        <w:rPr>
          <w:rFonts w:ascii="楷体_GB2312" w:hAnsi="宋体" w:hint="eastAsia"/>
          <w:b/>
          <w:bCs/>
          <w:sz w:val="32"/>
          <w:szCs w:val="32"/>
        </w:rPr>
      </w:pPr>
      <w:r>
        <w:rPr>
          <w:rFonts w:ascii="楷体_GB2312" w:hAnsi="楷体_GB2312"/>
          <w:b/>
          <w:bCs/>
          <w:sz w:val="32"/>
          <w:szCs w:val="32"/>
        </w:rPr>
        <w:t>（一）评价结论。</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该项目的实施对加强审计机关廉政建设，提高审计工作质量，有效履行审计监督发挥了积极作用。</w:t>
      </w:r>
    </w:p>
    <w:p>
      <w:pPr>
        <w:adjustRightInd w:val="0"/>
        <w:snapToGrid w:val="0"/>
        <w:spacing w:line="600" w:lineRule="exact"/>
        <w:ind w:firstLine="720"/>
        <w:rPr>
          <w:rFonts w:ascii="楷体_GB2312" w:hAnsi="宋体"/>
          <w:b/>
          <w:bCs/>
          <w:sz w:val="32"/>
          <w:szCs w:val="32"/>
        </w:rPr>
      </w:pPr>
      <w:r>
        <w:rPr>
          <w:rFonts w:ascii="楷体_GB2312" w:hAnsi="楷体_GB2312"/>
          <w:b/>
          <w:bCs/>
          <w:sz w:val="32"/>
          <w:szCs w:val="32"/>
        </w:rPr>
        <w:t>（二）存在的问题。</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近年来，由于审计计划项目不断增加，区委区政府临时交办事项也越来越多，审计署、省审计厅市审计局又经常组织异地交叉审计，导致项目资金已不能完全保障审计工作任务的需要。</w:t>
      </w:r>
      <w:r>
        <w:rPr>
          <w:rFonts w:ascii="仿宋_GB2312" w:eastAsia="仿宋_GB2312" w:cs="Times New Roman" w:hAnsi="仿宋_GB2312"/>
          <w:kern w:val="0"/>
          <w:sz w:val="32"/>
          <w:szCs w:val="32"/>
          <w:lang w:val="en-US" w:eastAsia="zh-CN" w:bidi="ar-SA"/>
        </w:rPr>
        <w:t xml:space="preserve"> </w:t>
      </w:r>
    </w:p>
    <w:p>
      <w:pPr>
        <w:adjustRightInd w:val="0"/>
        <w:snapToGrid w:val="0"/>
        <w:spacing w:line="600" w:lineRule="exact"/>
        <w:ind w:firstLineChars="200" w:firstLine="640"/>
        <w:rPr>
          <w:rFonts w:ascii="仿宋_GB2312" w:cs="Times New Roman" w:hAnsi="仿宋_GB2312"/>
          <w:sz w:val="32"/>
          <w:szCs w:val="32"/>
        </w:rPr>
      </w:pPr>
      <w:r>
        <w:rPr>
          <w:rFonts w:ascii="仿宋_GB2312" w:cs="Times New Roman" w:hAnsi="仿宋_GB2312"/>
          <w:sz w:val="32"/>
          <w:szCs w:val="32"/>
        </w:rPr>
        <w:t>（三）相关建议。</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由于审计机关承担的审计任务量不断增加，外出住宿费价格逐年上升，建议根据审计任务核定审计外勤经费预算，总体上应以满足审计业务的基本需要为预算的最低限额。</w:t>
      </w:r>
    </w:p>
    <w:p>
      <w:pPr>
        <w:adjustRightInd w:val="0"/>
        <w:snapToGrid w:val="0"/>
        <w:spacing w:line="600" w:lineRule="exact"/>
        <w:ind w:firstLine="720"/>
        <w:rPr>
          <w:rFonts w:ascii="仿宋_GB2312" w:eastAsia="黑体" w:hAnsi="宋体" w:hint="eastAsia"/>
          <w:sz w:val="32"/>
          <w:szCs w:val="32"/>
          <w:lang w:val="en-US" w:eastAsia="zh-CN"/>
        </w:rPr>
      </w:pPr>
    </w:p>
    <w:p>
      <w:pPr>
        <w:spacing w:line="580" w:lineRule="exact"/>
        <w:rPr>
          <w:rFonts w:ascii="仿宋_GB2312" w:eastAsia="仿宋_GB2312" w:cs="仿宋_GB2312" w:hAnsi="仿宋_GB2312"/>
          <w:sz w:val="32"/>
          <w:szCs w:val="32"/>
        </w:rPr>
      </w:pPr>
      <w:r>
        <w:rPr>
          <w:rFonts w:eastAsia="黑体" w:hAnsi="宋体" w:hint="eastAsia"/>
          <w:sz w:val="32"/>
          <w:szCs w:val="32"/>
          <w:lang w:val="en-US" w:eastAsia="zh-CN"/>
        </w:rPr>
        <w:t>附件2.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hint="eastAsia"/>
          <w:color w:val="000000"/>
          <w:kern w:val="0"/>
          <w:sz w:val="44"/>
          <w:szCs w:val="44"/>
        </w:rPr>
      </w:pPr>
      <w:r>
        <w:rPr>
          <w:rFonts w:ascii="方正小标宋简体" w:eastAsia="方正小标宋简体" w:hAnsi="宋体" w:hint="eastAsia"/>
          <w:color w:val="000000"/>
          <w:kern w:val="0"/>
          <w:sz w:val="44"/>
          <w:szCs w:val="44"/>
          <w:lang w:val="zh-CN"/>
        </w:rPr>
        <w:t>财政监督检查经费项目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cs="Times New Roman" w:hAnsi="仿宋_GB2312" w:hint="eastAsia"/>
          <w:kern w:val="0"/>
          <w:sz w:val="32"/>
          <w:szCs w:val="32"/>
          <w:lang w:val="zh-CN" w:eastAsia="zh-CN" w:bidi="ar-SA"/>
        </w:rPr>
      </w:pPr>
      <w:r>
        <w:rPr>
          <w:rFonts w:ascii="仿宋_GB2312" w:eastAsia="仿宋_GB2312" w:cs="Times New Roman" w:hAnsi="仿宋_GB2312" w:hint="eastAsia"/>
          <w:kern w:val="0"/>
          <w:sz w:val="32"/>
          <w:szCs w:val="32"/>
          <w:lang w:val="zh-CN" w:eastAsia="zh-CN" w:bidi="ar-SA"/>
        </w:rPr>
        <w:t>1．说明项目主管部门（单位）在该项目管理中的职能。</w:t>
      </w:r>
    </w:p>
    <w:p>
      <w:pPr>
        <w:adjustRightInd w:val="0"/>
        <w:snapToGrid w:val="0"/>
        <w:spacing w:line="600" w:lineRule="exact"/>
        <w:ind w:firstLine="720"/>
        <w:rPr>
          <w:rFonts w:ascii="仿宋_GB2312" w:eastAsia="仿宋_GB2312" w:cs="Times New Roman" w:hAnsi="仿宋_GB2312" w:hint="eastAsia"/>
          <w:kern w:val="0"/>
          <w:sz w:val="32"/>
          <w:szCs w:val="32"/>
          <w:lang w:val="en-US" w:eastAsia="zh-CN" w:bidi="ar-SA"/>
        </w:rPr>
      </w:pPr>
      <w:r>
        <w:rPr>
          <w:rFonts w:ascii="仿宋_GB2312" w:eastAsia="仿宋_GB2312" w:cs="Times New Roman" w:hAnsi="仿宋_GB2312" w:hint="eastAsia"/>
          <w:kern w:val="0"/>
          <w:sz w:val="32"/>
          <w:szCs w:val="32"/>
          <w:lang w:val="en-US" w:eastAsia="zh-CN" w:bidi="ar-SA"/>
        </w:rPr>
        <w:t>监督检查164个财政预算单位财税法规、政策的执行情况，保障依法查处重点违法违纪行为，监督检查预算编制和执行过程中执行财政法规、政策和制度情况，监督检查财政资金使用单位财务收支情况等的经费。编制开展工作所需经费预算，确保专款专用。</w:t>
      </w:r>
    </w:p>
    <w:p>
      <w:pPr>
        <w:adjustRightInd w:val="0"/>
        <w:snapToGrid w:val="0"/>
        <w:spacing w:line="600" w:lineRule="exact"/>
        <w:ind w:firstLine="720"/>
        <w:rPr>
          <w:rFonts w:ascii="仿宋_GB2312" w:eastAsia="仿宋_GB2312" w:cs="Times New Roman" w:hAnsi="仿宋_GB2312" w:hint="eastAsia"/>
          <w:kern w:val="0"/>
          <w:sz w:val="32"/>
          <w:szCs w:val="32"/>
          <w:lang w:val="zh-CN" w:eastAsia="zh-CN" w:bidi="ar-SA"/>
        </w:rPr>
      </w:pPr>
      <w:r>
        <w:rPr>
          <w:rFonts w:ascii="仿宋_GB2312" w:eastAsia="仿宋_GB2312" w:cs="Times New Roman" w:hAnsi="仿宋_GB2312" w:hint="eastAsia"/>
          <w:kern w:val="0"/>
          <w:sz w:val="32"/>
          <w:szCs w:val="32"/>
          <w:lang w:val="en-US" w:eastAsia="zh-CN" w:bidi="ar-SA"/>
        </w:rPr>
        <w:t>2.</w:t>
      </w:r>
      <w:r>
        <w:rPr>
          <w:rFonts w:ascii="仿宋_GB2312" w:eastAsia="仿宋_GB2312" w:cs="Times New Roman" w:hAnsi="仿宋_GB2312" w:hint="eastAsia"/>
          <w:kern w:val="0"/>
          <w:sz w:val="32"/>
          <w:szCs w:val="32"/>
          <w:lang w:val="zh-CN" w:eastAsia="zh-CN" w:bidi="ar-SA"/>
        </w:rPr>
        <w:t>项目立项、资金申报的依据。</w:t>
      </w:r>
    </w:p>
    <w:p>
      <w:pPr>
        <w:adjustRightInd w:val="0"/>
        <w:snapToGrid w:val="0"/>
        <w:spacing w:line="600" w:lineRule="exact"/>
        <w:ind w:firstLine="720"/>
        <w:rPr>
          <w:rFonts w:ascii="仿宋_GB2312" w:eastAsia="仿宋_GB2312" w:cs="Times New Roman" w:hAnsi="仿宋_GB2312" w:hint="eastAsia"/>
          <w:kern w:val="0"/>
          <w:sz w:val="32"/>
          <w:szCs w:val="32"/>
          <w:lang w:val="zh-CN" w:eastAsia="zh-CN" w:bidi="ar-SA"/>
        </w:rPr>
      </w:pPr>
      <w:r>
        <w:rPr>
          <w:rFonts w:ascii="仿宋_GB2312" w:eastAsia="仿宋_GB2312" w:cs="Times New Roman" w:hAnsi="仿宋_GB2312" w:hint="eastAsia"/>
          <w:kern w:val="0"/>
          <w:sz w:val="32"/>
          <w:szCs w:val="32"/>
          <w:lang w:val="en-US" w:eastAsia="zh-CN" w:bidi="ar-SA"/>
        </w:rPr>
        <w:t>根据《中华人民共和国审计法》第十一条 审计机关履行职责所必需的经费，应当列入财政预算，由本级人民政府予以保证。为保障审计工作的独立性，利州区审计局设立“财政监督检查经费”项目，用于</w:t>
      </w:r>
      <w:r>
        <w:rPr>
          <w:rFonts w:ascii="仿宋_GB2312" w:eastAsia="仿宋_GB2312" w:cs="Times New Roman" w:hAnsi="仿宋_GB2312" w:hint="eastAsia"/>
          <w:kern w:val="0"/>
          <w:sz w:val="32"/>
          <w:szCs w:val="32"/>
          <w:lang w:val="zh-CN" w:eastAsia="zh-CN" w:bidi="ar-SA"/>
        </w:rPr>
        <w:t>保障依法查处重点违法违纪行为，监督检查预算编制和执行过程中执行财政法规、政策和制度情况，监督检查财政资金使用单位财务收支情况等的发生的差旅费及办公费。</w:t>
      </w:r>
    </w:p>
    <w:p>
      <w:pPr>
        <w:adjustRightInd w:val="0"/>
        <w:snapToGrid w:val="0"/>
        <w:spacing w:line="600" w:lineRule="exact"/>
        <w:ind w:left="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3.</w:t>
      </w:r>
      <w:r>
        <w:rPr>
          <w:rFonts w:ascii="仿宋_GB2312" w:eastAsia="仿宋_GB2312" w:hAnsi="宋体" w:hint="eastAsia"/>
          <w:sz w:val="32"/>
          <w:szCs w:val="32"/>
          <w:lang w:val="zh-CN"/>
        </w:rPr>
        <w:t>资金管理办法制定情况，资金支持具体项目的条件、范围与支持方式概况。</w:t>
      </w:r>
    </w:p>
    <w:p>
      <w:pPr>
        <w:pStyle w:val="15"/>
        <w:ind w:left="0" w:firstLineChars="200" w:firstLine="640"/>
        <w:rPr>
          <w:rFonts w:ascii="仿宋_GB2312" w:eastAsia="仿宋_GB2312" w:cs="Times New Roman" w:hAnsi="仿宋_GB2312" w:hint="eastAsia"/>
          <w:kern w:val="0"/>
          <w:sz w:val="32"/>
          <w:szCs w:val="32"/>
          <w:lang w:val="zh-CN" w:eastAsia="zh-CN" w:bidi="ar-SA"/>
        </w:rPr>
      </w:pPr>
      <w:r>
        <w:rPr>
          <w:rFonts w:ascii="仿宋_GB2312" w:eastAsia="仿宋_GB2312" w:cs="Times New Roman" w:hAnsi="仿宋_GB2312" w:hint="eastAsia"/>
          <w:kern w:val="0"/>
          <w:sz w:val="32"/>
          <w:szCs w:val="32"/>
          <w:lang w:val="zh-CN" w:eastAsia="zh-CN" w:bidi="ar-SA"/>
        </w:rPr>
        <w:t>区审计局制定了《利州区审计局财务管理制度》，资金主要用</w:t>
      </w:r>
      <w:r>
        <w:rPr>
          <w:rFonts w:ascii="仿宋_GB2312" w:eastAsia="仿宋_GB2312" w:cs="Times New Roman" w:hAnsi="仿宋_GB2312" w:hint="eastAsia"/>
          <w:kern w:val="0"/>
          <w:sz w:val="32"/>
          <w:szCs w:val="32"/>
          <w:lang w:val="en-US" w:eastAsia="zh-CN" w:bidi="ar-SA"/>
        </w:rPr>
        <w:t>于</w:t>
      </w:r>
      <w:r>
        <w:rPr>
          <w:rFonts w:ascii="仿宋_GB2312" w:eastAsia="仿宋_GB2312" w:cs="Times New Roman" w:hAnsi="仿宋_GB2312" w:hint="eastAsia"/>
          <w:kern w:val="0"/>
          <w:sz w:val="32"/>
          <w:szCs w:val="32"/>
          <w:lang w:val="zh-CN" w:eastAsia="zh-CN" w:bidi="ar-SA"/>
        </w:rPr>
        <w:t>保障依法查处重点违法违纪行为，监督检查预算编制和执行过程中执行财政法规、政策和制度情况，监督检查财政资金使用单位财务收支情况等的发生的差旅费及办公费。</w:t>
      </w:r>
    </w:p>
    <w:p>
      <w:pPr>
        <w:adjustRightInd w:val="0"/>
        <w:snapToGrid w:val="0"/>
        <w:spacing w:line="600" w:lineRule="exact"/>
        <w:ind w:left="720"/>
        <w:rPr>
          <w:rFonts w:ascii="仿宋_GB2312" w:eastAsia="仿宋_GB2312" w:hAnsi="宋体" w:hint="eastAsia"/>
          <w:sz w:val="32"/>
          <w:szCs w:val="32"/>
          <w:lang w:val="zh-CN"/>
        </w:rPr>
      </w:pPr>
      <w:r>
        <w:rPr>
          <w:rFonts w:ascii="仿宋_GB2312" w:eastAsia="仿宋_GB2312" w:hAnsi="宋体" w:hint="eastAsia"/>
          <w:sz w:val="32"/>
          <w:szCs w:val="32"/>
          <w:lang w:val="en-US" w:eastAsia="zh-CN"/>
        </w:rPr>
        <w:t>4.</w:t>
      </w:r>
      <w:r>
        <w:rPr>
          <w:rFonts w:ascii="仿宋_GB2312" w:eastAsia="仿宋_GB2312" w:hAnsi="宋体" w:hint="eastAsia"/>
          <w:sz w:val="32"/>
          <w:szCs w:val="32"/>
          <w:lang w:val="zh-CN"/>
        </w:rPr>
        <w:t>资金分配的原则及考虑因素。</w:t>
      </w:r>
    </w:p>
    <w:p>
      <w:pPr>
        <w:pStyle w:val="15"/>
        <w:ind w:left="720"/>
        <w:rPr>
          <w:lang w:val="zh-CN"/>
        </w:rPr>
      </w:pPr>
      <w:r>
        <w:rPr>
          <w:rFonts w:hint="eastAsia"/>
          <w:lang w:val="zh-CN"/>
        </w:rPr>
        <w:t>根据检查人数、频次、区域范围及检查内容确定经费额度。</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pPr>
        <w:pStyle w:val="15"/>
        <w:rPr>
          <w:rFonts w:eastAsia="仿宋_GB2312"/>
          <w:lang w:val="en-US" w:eastAsia="zh-CN"/>
        </w:rPr>
      </w:pPr>
      <w:r>
        <w:rPr>
          <w:rFonts w:hAnsi="宋体" w:hint="eastAsia"/>
          <w:sz w:val="32"/>
          <w:szCs w:val="32"/>
          <w:lang w:val="en-US" w:eastAsia="zh-CN"/>
        </w:rPr>
        <w:t xml:space="preserve">     2020年在预算审计全覆盖的基础上对大数据审计筛选出的重点单位、重点项目开展监督检查，重点查处违纪违法行为，监督检查预算编制和执行过程中执行财政法规、政策和制度情况。</w:t>
      </w:r>
    </w:p>
    <w:p>
      <w:pPr>
        <w:numPr>
          <w:ilvl w:val="0"/>
          <w:numId w:val="10"/>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项目应实现的具体绩效目标，包括目标的量化、细化情况以及项目实施进度计划等。</w:t>
      </w:r>
    </w:p>
    <w:p>
      <w:pPr>
        <w:pStyle w:val="15"/>
        <w:rPr>
          <w:rFonts w:eastAsia="仿宋_GB2312"/>
          <w:lang w:val="en-US" w:eastAsia="zh-CN"/>
        </w:rPr>
      </w:pPr>
      <w:r>
        <w:rPr>
          <w:rFonts w:hint="eastAsia"/>
          <w:lang w:val="en-US" w:eastAsia="zh-CN"/>
        </w:rPr>
        <w:t xml:space="preserve">   2020年对164个预算单位全面监督，重点检查75个单位，项目绩效指标设置：项目完成、项目效益、项目满意度3个一级指标，数量指标、质量指标等7个二级指标7个，监督检查单位数量、资金数量等9个三级指标，所有设置的指标值基本全部实现。</w:t>
      </w:r>
    </w:p>
    <w:p>
      <w:pPr>
        <w:numPr>
          <w:ilvl w:val="0"/>
          <w:numId w:val="10"/>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分析评价申报内容是否与实际相符，申报目标是否合理可行。</w:t>
      </w:r>
    </w:p>
    <w:p>
      <w:pPr>
        <w:pStyle w:val="15"/>
        <w:ind w:left="0" w:firstLineChars="200" w:firstLine="640"/>
        <w:rPr>
          <w:lang w:val="zh-CN"/>
        </w:rPr>
      </w:pPr>
      <w:r>
        <w:rPr>
          <w:rFonts w:ascii="仿宋_GB2312" w:hAnsi="仿宋_GB2312" w:hint="eastAsia"/>
          <w:sz w:val="32"/>
          <w:szCs w:val="32"/>
          <w:lang w:val="en-US" w:eastAsia="zh-CN"/>
        </w:rPr>
        <w:t>经对照检查，项目申报内容与具体实施内容相符，申报目标合理可行。</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cs="Times New Roman" w:hAnsi="仿宋_GB2312" w:hint="eastAsia"/>
          <w:kern w:val="0"/>
          <w:sz w:val="32"/>
          <w:szCs w:val="32"/>
          <w:lang w:val="en-US" w:eastAsia="zh-CN" w:bidi="ar-SA"/>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sz w:val="32"/>
          <w:szCs w:val="32"/>
          <w:lang w:val="en-US" w:eastAsia="zh-CN"/>
        </w:rPr>
      </w:pPr>
      <w:r>
        <w:rPr>
          <w:rFonts w:ascii="仿宋_GB2312" w:eastAsia="仿宋_GB2312" w:hAnsi="宋体" w:hint="eastAsia"/>
          <w:sz w:val="32"/>
          <w:szCs w:val="32"/>
          <w:lang w:val="en-US" w:eastAsia="zh-CN"/>
        </w:rPr>
        <w:t xml:space="preserve"> 该项目年初向财政部门申报资金5万元，财政部门预算批复5万元，无资金调整情况。</w:t>
      </w:r>
    </w:p>
    <w:p>
      <w:pPr>
        <w:numPr>
          <w:ilvl w:val="0"/>
          <w:numId w:val="9"/>
        </w:numPr>
        <w:adjustRightInd w:val="0"/>
        <w:snapToGrid w:val="0"/>
        <w:spacing w:line="600" w:lineRule="exact"/>
        <w:ind w:left="0"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资金计划、到位及使用情况</w:t>
      </w:r>
    </w:p>
    <w:p>
      <w:pPr>
        <w:adjustRightInd w:val="0"/>
        <w:snapToGrid w:val="0"/>
        <w:spacing w:line="600" w:lineRule="exact"/>
        <w:ind w:left="720" w:firstLineChars="100" w:firstLine="320"/>
        <w:rPr>
          <w:rFonts w:ascii="仿宋_GB2312" w:eastAsia="楷体_GB2312" w:hAnsi="宋体" w:hint="eastAsia"/>
          <w:sz w:val="32"/>
          <w:szCs w:val="32"/>
          <w:lang w:val="en-US" w:eastAsia="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．资金计划。该项目资金年初向财政部门申报资金预算</w:t>
      </w:r>
      <w:r>
        <w:rPr>
          <w:rFonts w:ascii="楷体_GB2312" w:eastAsia="楷体_GB2312" w:hAnsi="宋体" w:hint="eastAsia"/>
          <w:sz w:val="32"/>
          <w:szCs w:val="32"/>
          <w:lang w:val="en-US" w:eastAsia="zh-CN"/>
        </w:rPr>
        <w:t>5万元。</w:t>
      </w:r>
    </w:p>
    <w:p>
      <w:pPr>
        <w:adjustRightInd w:val="0"/>
        <w:snapToGrid w:val="0"/>
        <w:spacing w:line="600" w:lineRule="exact"/>
        <w:ind w:firstLine="720"/>
        <w:rPr>
          <w:rFonts w:ascii="楷体_GB2312" w:eastAsia="楷体_GB2312" w:hAnsi="宋体" w:hint="eastAsia"/>
          <w:sz w:val="32"/>
          <w:szCs w:val="32"/>
          <w:lang w:val="en-US" w:eastAsia="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．资金到位。区财政部门于年初将项目资金</w:t>
      </w:r>
      <w:r>
        <w:rPr>
          <w:rFonts w:ascii="楷体_GB2312" w:eastAsia="楷体_GB2312" w:hAnsi="宋体" w:hint="eastAsia"/>
          <w:sz w:val="32"/>
          <w:szCs w:val="32"/>
          <w:lang w:val="en-US" w:eastAsia="zh-CN"/>
        </w:rPr>
        <w:t>5万元一次上拨付给区审计局财政支付平台。</w:t>
      </w:r>
    </w:p>
    <w:p>
      <w:pPr>
        <w:adjustRightInd w:val="0"/>
        <w:snapToGrid w:val="0"/>
        <w:spacing w:line="600" w:lineRule="exact"/>
        <w:ind w:firstLine="720"/>
        <w:rPr>
          <w:rFonts w:ascii="仿宋_GB2312" w:eastAsia="仿宋_GB2312" w:hAnsi="宋体"/>
          <w:sz w:val="32"/>
          <w:szCs w:val="32"/>
          <w:lang w:val="en-US" w:eastAsia="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en-US" w:eastAsia="zh-CN"/>
        </w:rPr>
        <w:t>2020年支付5万元，正支付率100%。</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en-US" w:eastAsia="zh-CN"/>
        </w:rPr>
        <w:t xml:space="preserve"> </w:t>
      </w:r>
      <w:r>
        <w:rPr>
          <w:rFonts w:ascii="仿宋_GB2312" w:eastAsia="仿宋_GB2312" w:hAnsi="宋体" w:hint="eastAsia"/>
          <w:sz w:val="32"/>
          <w:szCs w:val="32"/>
          <w:lang w:val="zh-CN" w:eastAsia="zh-CN"/>
        </w:rPr>
        <w:t>区审计局财务管理制度健全，严格执行财务管理制度，账务处理及时，会计核算规范。</w:t>
      </w:r>
    </w:p>
    <w:p>
      <w:pPr>
        <w:adjustRightInd w:val="0"/>
        <w:snapToGrid w:val="0"/>
        <w:spacing w:line="600" w:lineRule="exact"/>
        <w:ind w:firstLineChars="300" w:firstLine="96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（一）项目组织架构及实施流程。</w:t>
      </w:r>
      <w:r>
        <w:rPr>
          <w:rFonts w:ascii="仿宋_GB2312" w:eastAsia="仿宋_GB2312" w:hAnsi="宋体" w:hint="eastAsia"/>
          <w:sz w:val="32"/>
          <w:szCs w:val="32"/>
          <w:lang w:val="zh-CN"/>
        </w:rPr>
        <w:t>对</w:t>
      </w:r>
      <w:r>
        <w:rPr>
          <w:rFonts w:ascii="仿宋_GB2312" w:eastAsia="仿宋_GB2312" w:hAnsi="宋体" w:hint="eastAsia"/>
          <w:sz w:val="32"/>
          <w:szCs w:val="32"/>
          <w:lang w:val="en-US" w:eastAsia="zh-CN"/>
        </w:rPr>
        <w:t>2020年度开展</w:t>
      </w:r>
      <w:r>
        <w:rPr>
          <w:rFonts w:ascii="仿宋_GB2312" w:eastAsia="仿宋_GB2312" w:hAnsi="宋体" w:hint="eastAsia"/>
          <w:sz w:val="32"/>
          <w:szCs w:val="32"/>
          <w:lang w:val="zh-CN"/>
        </w:rPr>
        <w:t>监督检查财税法规、政策的执行情况等工作是根据年初工作计划确定的工作内容。</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在项目实施中严格执行相关法律法规进行审计监督，维护国家财政经济秩序，提高财政资金使用效益，促进廉政建设，保障国民经济和社会健康发展。</w:t>
      </w:r>
    </w:p>
    <w:p>
      <w:pPr>
        <w:adjustRightInd w:val="0"/>
        <w:snapToGrid w:val="0"/>
        <w:spacing w:line="600" w:lineRule="exact"/>
        <w:ind w:firstLine="720"/>
        <w:rPr>
          <w:rFonts w:ascii="仿宋_GB2312" w:eastAsia="仿宋_GB2312" w:hAnsi="宋体" w:hint="eastAsia"/>
          <w:sz w:val="32"/>
          <w:szCs w:val="32"/>
          <w:lang w:val="en-US" w:eastAsia="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en-US" w:eastAsia="zh-CN"/>
        </w:rPr>
        <w:t xml:space="preserve"> 2020年对164个预算单位全面监督，重点检查75个单位，采取核实数据筛选的疑点、现场审核财务凭证，通过检查被监督检查单位财政收支、财务收支以及有关经济活动的真实性、合法性、效益性，维护国家经济安全，推进民主法治，促进廉政建设，保障国民经济和社会健康发展。</w:t>
      </w:r>
    </w:p>
    <w:p>
      <w:pPr>
        <w:adjustRightInd w:val="0"/>
        <w:snapToGrid w:val="0"/>
        <w:spacing w:line="600" w:lineRule="exact"/>
        <w:ind w:firstLineChars="300" w:firstLine="960"/>
        <w:rPr>
          <w:rFonts w:ascii="楷体_GB2312" w:eastAsia="楷体_GB2312" w:hAnsi="宋体" w:hint="eastAsia"/>
          <w:b/>
          <w:sz w:val="32"/>
          <w:szCs w:val="32"/>
          <w:lang w:val="zh-CN"/>
        </w:rPr>
      </w:pPr>
      <w:r>
        <w:rPr>
          <w:rFonts w:ascii="楷体_GB2312" w:eastAsia="楷体_GB2312" w:hAnsi="宋体" w:hint="eastAsia"/>
          <w:b/>
          <w:sz w:val="32"/>
          <w:szCs w:val="32"/>
          <w:lang w:val="zh-CN"/>
        </w:rPr>
        <w:t>四、项目绩效情况</w:t>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tabs>
          <w:tab w:val="left" w:pos="0"/>
        </w:tabs>
        <w:spacing w:line="576" w:lineRule="exact"/>
        <w:ind w:firstLine="640"/>
        <w:rPr>
          <w:rFonts w:ascii="仿宋_GB2312" w:eastAsia="仿宋_GB2312" w:hAnsi="宋体" w:hint="eastAsia"/>
          <w:sz w:val="32"/>
          <w:szCs w:val="32"/>
          <w:lang w:val="en-US" w:eastAsia="zh-CN"/>
        </w:rPr>
      </w:pPr>
      <w:r>
        <w:rPr>
          <w:rFonts w:ascii="仿宋_GB2312" w:eastAsia="仿宋_GB2312" w:hAnsi="宋体" w:hint="eastAsia"/>
          <w:sz w:val="32"/>
          <w:szCs w:val="32"/>
          <w:lang w:val="zh-CN"/>
        </w:rPr>
        <w:t>截止评价时点，该项目设置的三级绩效评价指标基本完成，2020年在对</w:t>
      </w:r>
      <w:r>
        <w:rPr>
          <w:rFonts w:ascii="仿宋_GB2312" w:eastAsia="仿宋_GB2312" w:hAnsi="宋体" w:hint="eastAsia"/>
          <w:sz w:val="32"/>
          <w:szCs w:val="32"/>
          <w:lang w:val="en-US" w:eastAsia="zh-CN"/>
        </w:rPr>
        <w:t>164个预算单位进行监督检查工作中</w:t>
      </w:r>
      <w:r>
        <w:rPr>
          <w:rFonts w:ascii="仿宋_GB2312" w:eastAsia="仿宋_GB2312" w:hAnsi="宋体" w:hint="eastAsia"/>
          <w:sz w:val="32"/>
          <w:szCs w:val="32"/>
          <w:lang w:val="zh-CN"/>
        </w:rPr>
        <w:t>，采集被审计单位预(决)算、会计核算、财政管理等关键数据22.5GB，进行了5个专题40个具体事项分析，核查一级预算单位75个，延伸核查教育、卫生部门二级预算单位40余个，生成疑点数据6800余条。</w:t>
      </w:r>
      <w:r>
        <w:rPr>
          <w:rFonts w:ascii="仿宋_GB2312" w:eastAsia="仿宋_GB2312" w:hAnsi="宋体" w:hint="eastAsia"/>
          <w:sz w:val="32"/>
          <w:szCs w:val="32"/>
          <w:lang w:val="en-US" w:eastAsia="zh-CN"/>
        </w:rPr>
        <w:t>全年聘请行业专家5人次开展政府投资重点工程项目合规性检查，全年开展监督检查工作21次，督查重大项目10个。</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财政资金使用的济效益、社会效益、生态效益、可持续效益以及服务对象满意度正在不断提高</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720"/>
        <w:rPr>
          <w:rFonts w:ascii="仿宋_GB2312" w:eastAsia="仿宋_GB2312" w:hAnsi="宋体"/>
          <w:sz w:val="32"/>
          <w:szCs w:val="32"/>
          <w:lang w:val="en-US" w:eastAsia="zh-CN"/>
        </w:rPr>
      </w:pPr>
      <w:r>
        <w:rPr>
          <w:rFonts w:ascii="仿宋_GB2312" w:eastAsia="仿宋_GB2312" w:hAnsi="宋体" w:hint="eastAsia"/>
          <w:sz w:val="32"/>
          <w:szCs w:val="32"/>
          <w:lang w:val="zh-CN"/>
        </w:rPr>
        <w:t>该项目绩效评价得分为</w:t>
      </w:r>
      <w:r>
        <w:rPr>
          <w:rFonts w:ascii="仿宋_GB2312" w:eastAsia="仿宋_GB2312" w:hAnsi="宋体" w:hint="eastAsia"/>
          <w:sz w:val="32"/>
          <w:szCs w:val="32"/>
          <w:lang w:val="en-US" w:eastAsia="zh-CN"/>
        </w:rPr>
        <w:t>92份，综合评价等级为“优”。评价认为，该项目目标明确，管理科学规范，资金使用绩效较为合理，年度绩效较高，社会效益和可持续影响较为显著。</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通过自评发现，个别绩效目标评价指标值设置不够科学，造成绩效指标值完成结果与设定值存在差异的问题。</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spacing w:line="580" w:lineRule="exact"/>
        <w:ind w:firstLine="640"/>
        <w:rPr>
          <w:rFonts w:ascii="仿宋_GB2312" w:eastAsia="仿宋_GB2312" w:cs="仿宋_GB2312" w:hAnsi="仿宋_GB2312"/>
          <w:sz w:val="32"/>
          <w:szCs w:val="32"/>
        </w:rPr>
      </w:pPr>
      <w:r>
        <w:rPr>
          <w:rFonts w:ascii="仿宋_GB2312" w:eastAsia="仿宋_GB2312" w:hAnsi="宋体" w:hint="eastAsia"/>
          <w:sz w:val="32"/>
          <w:szCs w:val="32"/>
          <w:lang w:val="zh-CN"/>
        </w:rPr>
        <w:t>因监督检查对象多，涉及面广，现有审计人员不足以满足工作需要，外出监督检查频率高，发生差旅费多，现有资金和人员知识结构以不能满足监督检查需要，建议增加经费投入，根据工作需要聘请专业技术人员参与监督检查。</w:t>
      </w:r>
    </w:p>
    <w:p>
      <w:pPr>
        <w:spacing w:line="580" w:lineRule="exact"/>
        <w:ind w:firstLine="640"/>
        <w:rPr>
          <w:rFonts w:ascii="仿宋_GB2312" w:eastAsia="仿宋_GB2312" w:cs="仿宋_GB2312" w:hAnsi="仿宋_GB2312"/>
          <w:sz w:val="32"/>
          <w:szCs w:val="32"/>
        </w:rPr>
      </w:pPr>
    </w:p>
    <w:p>
      <w:pPr>
        <w:pStyle w:val="15"/>
        <w:rPr>
          <w:rFonts w:ascii="仿宋_GB2312" w:eastAsia="仿宋_GB2312" w:cs="仿宋_GB2312" w:hAnsi="仿宋_GB2312"/>
          <w:sz w:val="32"/>
          <w:szCs w:val="32"/>
        </w:rPr>
      </w:pPr>
    </w:p>
    <w:p>
      <w:pPr>
        <w:pStyle w:val="15"/>
        <w:rPr>
          <w:rFonts w:ascii="仿宋_GB2312" w:eastAsia="仿宋_GB2312" w:cs="仿宋_GB2312" w:hAnsi="仿宋_GB2312"/>
          <w:sz w:val="32"/>
          <w:szCs w:val="32"/>
        </w:rPr>
      </w:pPr>
    </w:p>
    <w:p>
      <w:pPr>
        <w:pStyle w:val="15"/>
        <w:rPr>
          <w:rFonts w:ascii="仿宋_GB2312" w:eastAsia="仿宋_GB2312" w:cs="仿宋_GB2312" w:hAnsi="仿宋_GB2312"/>
          <w:sz w:val="32"/>
          <w:szCs w:val="32"/>
        </w:rPr>
      </w:pPr>
    </w:p>
    <w:p>
      <w:pPr>
        <w:spacing w:line="580" w:lineRule="exact"/>
        <w:rPr>
          <w:rFonts w:ascii="仿宋_GB2312" w:eastAsia="仿宋_GB2312" w:cs="仿宋_GB2312" w:hAnsi="仿宋_GB2312"/>
          <w:sz w:val="32"/>
          <w:szCs w:val="32"/>
        </w:rPr>
      </w:pPr>
      <w:r>
        <w:rPr>
          <w:rFonts w:ascii="黑体" w:eastAsia="黑体" w:cs="黑体" w:hAnsi="黑体" w:hint="eastAsia"/>
          <w:sz w:val="32"/>
          <w:szCs w:val="32"/>
        </w:rPr>
        <w:t>附件</w:t>
      </w:r>
      <w:r>
        <w:rPr>
          <w:rFonts w:ascii="黑体" w:eastAsia="黑体" w:cs="黑体" w:hAnsi="黑体"/>
          <w:sz w:val="32"/>
          <w:szCs w:val="32"/>
        </w:rPr>
        <w:t>2</w:t>
      </w:r>
    </w:p>
    <w:p>
      <w:pPr>
        <w:spacing w:line="580" w:lineRule="exact"/>
        <w:ind w:firstLineChars="200" w:firstLine="640"/>
        <w:rPr>
          <w:rFonts w:ascii="仿宋_GB2312" w:eastAsia="仿宋_GB2312" w:cs="仿宋_GB2312" w:hAnsi="仿宋_GB2312"/>
          <w:sz w:val="32"/>
          <w:szCs w:val="32"/>
        </w:rPr>
      </w:pPr>
    </w:p>
    <w:p>
      <w:pPr>
        <w:spacing w:line="600" w:lineRule="exact"/>
        <w:jc w:val="center"/>
        <w:rPr>
          <w:rFonts w:ascii="方正小标宋简体" w:eastAsia="方正小标宋简体" w:hAnsi="宋体" w:hint="eastAsia"/>
          <w:color w:val="000000"/>
          <w:kern w:val="0"/>
          <w:sz w:val="44"/>
          <w:szCs w:val="44"/>
        </w:rPr>
      </w:pPr>
      <w:r>
        <w:rPr>
          <w:rFonts w:ascii="方正小标宋简体" w:eastAsia="方正小标宋简体" w:hAnsi="宋体" w:hint="eastAsia"/>
          <w:color w:val="000000"/>
          <w:kern w:val="0"/>
          <w:sz w:val="44"/>
          <w:szCs w:val="44"/>
          <w:lang w:val="zh-CN"/>
        </w:rPr>
        <w:t>审计职业化培训费项目</w:t>
      </w:r>
      <w:r>
        <w:rPr>
          <w:rFonts w:ascii="方正小标宋简体" w:eastAsia="方正小标宋简体" w:hAnsi="宋体"/>
          <w:color w:val="000000"/>
          <w:kern w:val="0"/>
          <w:sz w:val="44"/>
          <w:szCs w:val="44"/>
        </w:rPr>
        <w:t>2020</w:t>
      </w:r>
      <w:r>
        <w:rPr>
          <w:rFonts w:ascii="方正小标宋简体" w:eastAsia="方正小标宋简体" w:hAnsi="宋体" w:hint="eastAsia"/>
          <w:color w:val="000000"/>
          <w:kern w:val="0"/>
          <w:sz w:val="44"/>
          <w:szCs w:val="44"/>
        </w:rPr>
        <w:t>年</w:t>
      </w:r>
    </w:p>
    <w:p>
      <w:pPr>
        <w:spacing w:line="600" w:lineRule="exact"/>
        <w:jc w:val="center"/>
        <w:rPr>
          <w:rFonts w:ascii="方正小标宋简体" w:eastAsia="方正小标宋简体" w:hAnsi="宋体"/>
          <w:color w:val="000000"/>
          <w:kern w:val="0"/>
          <w:sz w:val="44"/>
          <w:szCs w:val="44"/>
          <w:lang w:val="zh-CN"/>
        </w:rPr>
      </w:pPr>
      <w:r>
        <w:rPr>
          <w:rFonts w:ascii="方正小标宋简体" w:eastAsia="方正小标宋简体" w:hAnsi="宋体" w:hint="eastAsia"/>
          <w:color w:val="000000"/>
          <w:kern w:val="0"/>
          <w:sz w:val="44"/>
          <w:szCs w:val="44"/>
          <w:lang w:val="zh-CN"/>
        </w:rPr>
        <w:t>绩效评价报告</w:t>
      </w:r>
    </w:p>
    <w:p>
      <w:pPr>
        <w:spacing w:line="600" w:lineRule="exact"/>
        <w:rPr>
          <w:rFonts w:ascii="宋体"/>
          <w:sz w:val="32"/>
          <w:szCs w:val="32"/>
          <w:lang w:val="zh-CN"/>
        </w:rPr>
      </w:pPr>
    </w:p>
    <w:p>
      <w:pPr>
        <w:adjustRightInd w:val="0"/>
        <w:snapToGrid w:val="0"/>
        <w:spacing w:line="600" w:lineRule="exact"/>
        <w:ind w:firstLine="720"/>
        <w:rPr>
          <w:rFonts w:ascii="黑体" w:eastAsia="黑体" w:hAnsi="宋体"/>
          <w:sz w:val="32"/>
          <w:szCs w:val="32"/>
          <w:lang w:val="zh-CN"/>
        </w:rPr>
      </w:pPr>
      <w:r>
        <w:rPr>
          <w:rFonts w:ascii="黑体" w:eastAsia="黑体" w:hAnsi="宋体" w:hint="eastAsia"/>
          <w:sz w:val="32"/>
          <w:szCs w:val="32"/>
        </w:rPr>
        <w:t>一、</w:t>
      </w:r>
      <w:r>
        <w:rPr>
          <w:rFonts w:ascii="黑体" w:eastAsia="黑体" w:hAnsi="宋体" w:hint="eastAsia"/>
          <w:sz w:val="32"/>
          <w:szCs w:val="32"/>
          <w:lang w:val="zh-CN"/>
        </w:rPr>
        <w:t>项目概况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（一）项目基本情况。</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．说明项目主管部门（单位）在该项目管理中的职能。</w:t>
      </w:r>
    </w:p>
    <w:p>
      <w:pPr>
        <w:pStyle w:val="15"/>
        <w:ind w:left="0" w:firstLineChars="200" w:firstLine="600"/>
        <w:rPr>
          <w:rFonts w:hint="eastAsia"/>
          <w:lang w:val="zh-CN"/>
        </w:rPr>
      </w:pPr>
      <w:r>
        <w:rPr>
          <w:rFonts w:hint="eastAsia"/>
          <w:lang w:val="en-US" w:eastAsia="zh-CN"/>
        </w:rPr>
        <w:t>组织职工外出参加各类审计业务能力提升培训，购买学习资料、向全区14个乡镇、街道办事处的内审机构订阅审计业务书籍支出。</w:t>
      </w:r>
    </w:p>
    <w:p>
      <w:pPr>
        <w:numPr>
          <w:ilvl w:val="0"/>
          <w:numId w:val="11"/>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项目立项、资金申报的依据。</w:t>
      </w:r>
    </w:p>
    <w:p>
      <w:pPr>
        <w:pStyle w:val="15"/>
        <w:ind w:left="0" w:firstLineChars="200" w:firstLine="640"/>
        <w:rPr>
          <w:lang w:val="zh-CN"/>
        </w:rPr>
      </w:pPr>
      <w:r>
        <w:rPr>
          <w:rFonts w:ascii="仿宋_GB2312" w:eastAsia="仿宋_GB2312" w:cs="Times New Roman" w:hAnsi="宋体" w:hint="eastAsia"/>
          <w:kern w:val="2"/>
          <w:sz w:val="32"/>
          <w:szCs w:val="32"/>
          <w:lang w:val="en-US" w:eastAsia="zh-CN" w:bidi="ar-SA"/>
        </w:rPr>
        <w:t>根据《中华人民共和国审计法》第十一条 审计机关履行职责所必需的经费，应当列入财政预算，由本级人民政府予以保证</w:t>
      </w:r>
      <w:r>
        <w:rPr>
          <w:rFonts w:cs="Times New Roman" w:hAnsi="宋体" w:hint="eastAsia"/>
          <w:kern w:val="2"/>
          <w:sz w:val="32"/>
          <w:szCs w:val="32"/>
          <w:lang w:val="en-US" w:eastAsia="zh-CN" w:bidi="ar-SA"/>
        </w:rPr>
        <w:t>及</w:t>
      </w:r>
      <w:r>
        <w:rPr>
          <w:rFonts w:hint="eastAsia"/>
          <w:lang w:val="zh-CN"/>
        </w:rPr>
        <w:t>广审党〔2017〕8号中共广元市审计局党组关于印发《关于锤炼过硬队伍锻造审计铁军的实施意见》的通知和广审党〔2017〕13号中共广元市审计局党组关于印发《关于开展“三大行动”锻造审计铁军的实施方案的通知》，区审计局设置“审计职业化培训经费”项目。</w:t>
      </w:r>
    </w:p>
    <w:p>
      <w:pPr>
        <w:numPr>
          <w:ilvl w:val="0"/>
          <w:numId w:val="11"/>
        </w:numPr>
        <w:adjustRightInd w:val="0"/>
        <w:snapToGrid w:val="0"/>
        <w:spacing w:line="600" w:lineRule="exact"/>
        <w:ind w:left="0" w:firstLine="720"/>
        <w:rPr>
          <w:rFonts w:ascii="仿宋_GB2312" w:eastAsia="仿宋_GB2312" w:hAnsi="宋体" w:hint="eastAsia"/>
          <w:sz w:val="32"/>
          <w:szCs w:val="32"/>
          <w:lang w:val="zh-CN"/>
        </w:rPr>
      </w:pPr>
      <w:r>
        <w:rPr>
          <w:rFonts w:ascii="仿宋_GB2312" w:eastAsia="仿宋_GB2312" w:hAnsi="宋体" w:hint="eastAsia"/>
          <w:sz w:val="32"/>
          <w:szCs w:val="32"/>
          <w:lang w:val="zh-CN"/>
        </w:rPr>
        <w:t>资金管理办法制定情况，资金支持具体项目的条件、范围与支持方式概况。</w:t>
      </w:r>
    </w:p>
    <w:p>
      <w:pPr>
        <w:pStyle w:val="15"/>
        <w:ind w:firstLineChars="200" w:firstLine="600"/>
        <w:rPr>
          <w:rFonts w:eastAsia="仿宋_GB2312"/>
          <w:lang w:val="en-US" w:eastAsia="zh-CN"/>
        </w:rPr>
      </w:pPr>
      <w:r>
        <w:rPr>
          <w:rFonts w:hint="eastAsia"/>
          <w:lang w:val="zh-CN"/>
        </w:rPr>
        <w:t>区审计局制定了《利州区审计局财务管理制度》，该项目资金主要由于向职工购买业务能力提升学习资料、支付职工外出培训期间发生的资料费，交通费，住宿费、生活补助及公杂费以及向</w:t>
      </w:r>
      <w:r>
        <w:rPr>
          <w:rFonts w:hint="eastAsia"/>
          <w:lang w:val="en-US" w:eastAsia="zh-CN"/>
        </w:rPr>
        <w:t>14个乡（镇）、街道办事处订阅审计业务书籍。</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（二）项目绩效目标。</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hAnsi="宋体"/>
          <w:sz w:val="32"/>
          <w:szCs w:val="32"/>
          <w:lang w:val="zh-CN"/>
        </w:rPr>
        <w:t>1</w:t>
      </w:r>
      <w:r>
        <w:rPr>
          <w:rFonts w:ascii="仿宋_GB2312" w:eastAsia="仿宋_GB2312" w:hAnsi="宋体" w:hint="eastAsia"/>
          <w:sz w:val="32"/>
          <w:szCs w:val="32"/>
          <w:lang w:val="zh-CN"/>
        </w:rPr>
        <w:t>．项目主要内容。</w:t>
      </w:r>
    </w:p>
    <w:p>
      <w:pPr>
        <w:spacing w:line="580" w:lineRule="exact"/>
        <w:ind w:firstLineChars="200" w:firstLine="640"/>
        <w:rPr>
          <w:rFonts w:ascii="仿宋_GB2312" w:eastAsia="仿宋_GB2312" w:cs="仿宋_GB2312" w:hAnsi="仿宋_GB2312"/>
          <w:sz w:val="32"/>
          <w:szCs w:val="32"/>
          <w:lang w:val="en-US" w:eastAsia="zh-CN"/>
        </w:rPr>
      </w:pPr>
      <w:r>
        <w:rPr>
          <w:rFonts w:ascii="仿宋_GB2312" w:eastAsia="仿宋_GB2312" w:cs="仿宋_GB2312" w:hAnsi="仿宋_GB2312" w:hint="eastAsia"/>
          <w:sz w:val="32"/>
          <w:szCs w:val="32"/>
          <w:lang w:val="en-US" w:eastAsia="zh-CN"/>
        </w:rPr>
        <w:t>2020年全员参与业务能力提升学习，向所有职工订阅《中国审计》、《现代审计》杂志，</w:t>
      </w:r>
      <w:r>
        <w:rPr>
          <w:rFonts w:ascii="仿宋_GB2312" w:eastAsia="仿宋_GB2312" w:cs="仿宋_GB2312" w:hAnsi="仿宋_GB2312" w:hint="eastAsia"/>
          <w:sz w:val="32"/>
          <w:szCs w:val="32"/>
          <w:lang w:eastAsia="zh-CN"/>
        </w:rPr>
        <w:t>向全区</w:t>
      </w:r>
      <w:r>
        <w:rPr>
          <w:rFonts w:ascii="仿宋_GB2312" w:eastAsia="仿宋_GB2312" w:cs="仿宋_GB2312" w:hAnsi="仿宋_GB2312" w:hint="eastAsia"/>
          <w:sz w:val="32"/>
          <w:szCs w:val="32"/>
          <w:lang w:val="en-US" w:eastAsia="zh-CN"/>
        </w:rPr>
        <w:t>14个</w:t>
      </w:r>
      <w:r>
        <w:rPr>
          <w:rFonts w:ascii="仿宋_GB2312" w:eastAsia="仿宋_GB2312" w:cs="仿宋_GB2312" w:hAnsi="仿宋_GB2312" w:hint="eastAsia"/>
          <w:sz w:val="32"/>
          <w:szCs w:val="32"/>
          <w:lang w:eastAsia="zh-CN"/>
        </w:rPr>
        <w:t>乡镇、街道办事处的内审机构订阅《中国审计》、《中国审计报》等审计杂志支出。安排人员参加审计署在南京审计学院举办的计算机审计中级培训，安排未取得审计师中级职称的人员参加审计师职称考试培训，安排</w:t>
      </w:r>
      <w:r>
        <w:rPr>
          <w:rFonts w:ascii="仿宋_GB2312" w:eastAsia="仿宋_GB2312" w:cs="仿宋_GB2312" w:hAnsi="仿宋_GB2312" w:hint="eastAsia"/>
          <w:sz w:val="32"/>
          <w:szCs w:val="32"/>
          <w:lang w:val="en-US" w:eastAsia="zh-CN"/>
        </w:rPr>
        <w:t>人员参加税务师考试培训。</w:t>
      </w:r>
    </w:p>
    <w:p>
      <w:pPr>
        <w:numPr>
          <w:ilvl w:val="0"/>
          <w:numId w:val="12"/>
        </w:numPr>
        <w:adjustRightInd w:val="0"/>
        <w:snapToGrid w:val="0"/>
        <w:spacing w:line="600" w:lineRule="exact"/>
        <w:ind w:left="0" w:firstLineChars="100" w:firstLine="320"/>
        <w:rPr>
          <w:rFonts w:ascii="仿宋_GB2312" w:eastAsia="仿宋_GB2312" w:hAnsi="宋体" w:hint="eastAsia"/>
          <w:sz w:val="32"/>
          <w:szCs w:val="32"/>
          <w:lang w:val="zh-CN"/>
        </w:rPr>
      </w:pPr>
      <w:r>
        <w:rPr>
          <w:rFonts w:ascii="仿宋_GB2312" w:eastAsia="仿宋_GB2312" w:hAnsi="宋体" w:hint="eastAsia"/>
          <w:sz w:val="32"/>
          <w:szCs w:val="32"/>
          <w:lang w:val="zh-CN"/>
        </w:rPr>
        <w:t>项目应实现的具体绩效目标，包括目标的量化、细化情况以及项目实施进度计划等。</w:t>
      </w:r>
    </w:p>
    <w:p>
      <w:pPr>
        <w:pStyle w:val="15"/>
        <w:rPr>
          <w:rFonts w:eastAsia="仿宋_GB2312"/>
          <w:lang w:val="en-US" w:eastAsia="zh-CN"/>
        </w:rPr>
      </w:pPr>
      <w:r>
        <w:rPr>
          <w:rFonts w:hint="eastAsia"/>
          <w:lang w:val="en-US" w:eastAsia="zh-CN"/>
        </w:rPr>
        <w:t xml:space="preserve">   全年安排1人参加</w:t>
      </w:r>
      <w:r>
        <w:rPr>
          <w:rFonts w:ascii="仿宋_GB2312" w:eastAsia="仿宋_GB2312" w:cs="仿宋_GB2312" w:hAnsi="仿宋_GB2312" w:hint="eastAsia"/>
          <w:sz w:val="32"/>
          <w:szCs w:val="32"/>
          <w:lang w:eastAsia="zh-CN"/>
        </w:rPr>
        <w:t>审计署在南京审计学院举办的计算机审计中级培训</w:t>
      </w:r>
      <w:r>
        <w:rPr>
          <w:rFonts w:cs="仿宋_GB2312" w:hAnsi="仿宋_GB2312" w:hint="eastAsia"/>
          <w:sz w:val="32"/>
          <w:szCs w:val="32"/>
          <w:lang w:eastAsia="zh-CN"/>
        </w:rPr>
        <w:t>，安排</w:t>
      </w:r>
      <w:r>
        <w:rPr>
          <w:rFonts w:cs="仿宋_GB2312" w:hAnsi="仿宋_GB2312" w:hint="eastAsia"/>
          <w:sz w:val="32"/>
          <w:szCs w:val="32"/>
          <w:lang w:val="en-US" w:eastAsia="zh-CN"/>
        </w:rPr>
        <w:t>5人参加审计师中级职称培训考试培训，安排1人参加税务师考试，</w:t>
      </w:r>
      <w:r>
        <w:rPr>
          <w:rFonts w:ascii="仿宋_GB2312" w:eastAsia="仿宋_GB2312" w:cs="仿宋_GB2312" w:hAnsi="仿宋_GB2312" w:hint="eastAsia"/>
          <w:sz w:val="32"/>
          <w:szCs w:val="32"/>
          <w:lang w:eastAsia="zh-CN"/>
        </w:rPr>
        <w:t>订阅《中国审计》《现代审计》、《中国审计报》等审计杂志</w:t>
      </w:r>
      <w:r>
        <w:rPr>
          <w:rFonts w:cs="仿宋_GB2312" w:hAnsi="仿宋_GB2312" w:hint="eastAsia"/>
          <w:sz w:val="32"/>
          <w:szCs w:val="32"/>
          <w:lang w:eastAsia="zh-CN"/>
        </w:rPr>
        <w:t>。</w:t>
      </w:r>
      <w:r>
        <w:rPr>
          <w:rFonts w:hint="eastAsia"/>
          <w:lang w:val="en-US" w:eastAsia="zh-CN"/>
        </w:rPr>
        <w:t>项目绩效指标设置：项目完成、项目效益、项目满意度3个一级指标，数量指标、质量指标等7个二级指标7个，参加培训人数、取得职称人数等8个三级指标，所有设置的指标值基本实现。</w:t>
      </w:r>
    </w:p>
    <w:p>
      <w:pPr>
        <w:numPr>
          <w:ilvl w:val="0"/>
          <w:numId w:val="12"/>
        </w:numPr>
        <w:adjustRightInd w:val="0"/>
        <w:snapToGrid w:val="0"/>
        <w:spacing w:line="600" w:lineRule="exact"/>
        <w:ind w:left="0" w:firstLineChars="100" w:firstLine="320"/>
        <w:rPr>
          <w:rFonts w:ascii="仿宋_GB2312" w:eastAsia="仿宋_GB2312" w:hAnsi="宋体" w:hint="eastAsia"/>
          <w:sz w:val="32"/>
          <w:szCs w:val="32"/>
          <w:lang w:val="zh-CN"/>
        </w:rPr>
      </w:pPr>
      <w:r>
        <w:rPr>
          <w:rFonts w:ascii="仿宋_GB2312" w:eastAsia="仿宋_GB2312" w:hAnsi="宋体" w:hint="eastAsia"/>
          <w:sz w:val="32"/>
          <w:szCs w:val="32"/>
          <w:lang w:val="zh-CN"/>
        </w:rPr>
        <w:t>分析评价申报内容是否与实际相符，申报目标是否合理可行。</w:t>
      </w:r>
    </w:p>
    <w:p>
      <w:pPr>
        <w:adjustRightInd w:val="0"/>
        <w:snapToGrid w:val="0"/>
        <w:spacing w:line="600" w:lineRule="exact"/>
        <w:ind w:firstLine="720"/>
        <w:rPr>
          <w:rFonts w:ascii="仿宋_GB2312" w:hAnsi="仿宋_GB2312" w:hint="eastAsia"/>
          <w:sz w:val="32"/>
          <w:szCs w:val="32"/>
          <w:lang w:val="en-US" w:eastAsia="zh-CN"/>
        </w:rPr>
      </w:pPr>
      <w:r>
        <w:rPr>
          <w:rFonts w:ascii="仿宋_GB2312" w:eastAsia="仿宋_GB2312" w:hAnsi="宋体" w:hint="eastAsia"/>
          <w:sz w:val="32"/>
          <w:szCs w:val="32"/>
          <w:lang w:val="en-US" w:eastAsia="zh-CN"/>
        </w:rPr>
        <w:t>经对照检查，项目申报内容与具体实施内容相符，申报目标合理可行</w:t>
      </w:r>
      <w:r>
        <w:rPr>
          <w:rFonts w:ascii="仿宋_GB2312" w:hAnsi="仿宋_GB2312" w:hint="eastAsia"/>
          <w:sz w:val="32"/>
          <w:szCs w:val="32"/>
          <w:lang w:val="en-US" w:eastAsia="zh-CN"/>
        </w:rPr>
        <w:t>。</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（三）项目自评步骤及方法。</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cs="Times New Roman" w:hAnsi="仿宋_GB2312" w:hint="eastAsia"/>
          <w:kern w:val="0"/>
          <w:sz w:val="32"/>
          <w:szCs w:val="32"/>
          <w:lang w:val="en-US" w:eastAsia="zh-CN" w:bidi="ar-SA"/>
        </w:rPr>
        <w:t>根据《项目支出绩效评价管理办法》对绩效评价的要求，成立了绩效评价工作领导小组，对照绩效评价方案进行研究和部署，党组成员及各股室负责人全程参与，按照绩效评价方案的要求，对照各实施项目的内容全面评价。在评价过程中按照年初的项目预算绩效目标申报表的指标设置产出数量、质量、时效、成本，以及经济效益、社会效益、生态效益、可持续影响、服务对象满意度等等指标开展项目绩效评价, 在评价过程中发现问题，查找原因，及时纠正偏差，为全面完成绩效目标制度措施。</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二、项目资金申报及使用情况</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（一）项目资金申报及批复情况。</w:t>
      </w:r>
    </w:p>
    <w:p>
      <w:pPr>
        <w:adjustRightInd w:val="0"/>
        <w:snapToGrid w:val="0"/>
        <w:spacing w:line="600" w:lineRule="exact"/>
        <w:ind w:firstLine="720"/>
        <w:rPr>
          <w:rFonts w:ascii="仿宋_GB2312" w:eastAsia="仿宋_GB2312" w:hAnsi="宋体" w:hint="eastAsia"/>
          <w:sz w:val="32"/>
          <w:szCs w:val="32"/>
          <w:lang w:val="en-US" w:eastAsia="zh-CN"/>
        </w:rPr>
      </w:pPr>
      <w:r>
        <w:rPr>
          <w:rFonts w:ascii="仿宋_GB2312" w:eastAsia="仿宋_GB2312" w:hAnsi="宋体" w:hint="eastAsia"/>
          <w:sz w:val="32"/>
          <w:szCs w:val="32"/>
          <w:lang w:val="zh-CN"/>
        </w:rPr>
        <w:t>该项目申报财政部门资金预算</w:t>
      </w:r>
      <w:r>
        <w:rPr>
          <w:rFonts w:ascii="仿宋_GB2312" w:eastAsia="仿宋_GB2312" w:hAnsi="宋体" w:hint="eastAsia"/>
          <w:sz w:val="32"/>
          <w:szCs w:val="32"/>
          <w:lang w:val="en-US" w:eastAsia="zh-CN"/>
        </w:rPr>
        <w:t>4万元，财政部门批复预算4万元，无资金预算调整情况。</w:t>
      </w:r>
    </w:p>
    <w:p>
      <w:pPr>
        <w:numPr>
          <w:ilvl w:val="0"/>
          <w:numId w:val="13"/>
        </w:numPr>
        <w:adjustRightInd w:val="0"/>
        <w:snapToGrid w:val="0"/>
        <w:spacing w:line="600" w:lineRule="exact"/>
        <w:ind w:left="0" w:firstLine="720"/>
        <w:rPr>
          <w:rFonts w:ascii="楷体_GB2312" w:eastAsia="楷体_GB2312" w:hAnsi="宋体" w:hint="eastAsia"/>
          <w:b/>
          <w:sz w:val="32"/>
          <w:szCs w:val="32"/>
          <w:lang w:val="zh-CN"/>
        </w:rPr>
      </w:pPr>
      <w:r>
        <w:rPr>
          <w:rFonts w:ascii="楷体_GB2312" w:eastAsia="楷体_GB2312" w:hAnsi="宋体" w:hint="eastAsia"/>
          <w:b/>
          <w:sz w:val="32"/>
          <w:szCs w:val="32"/>
          <w:lang w:val="zh-CN"/>
        </w:rPr>
        <w:t>资金计划、到位及使用情况。</w:t>
      </w:r>
    </w:p>
    <w:p>
      <w:pPr>
        <w:adjustRightInd w:val="0"/>
        <w:snapToGrid w:val="0"/>
        <w:spacing w:line="600" w:lineRule="exact"/>
        <w:ind w:left="720" w:firstLineChars="100" w:firstLine="320"/>
        <w:rPr>
          <w:rFonts w:ascii="仿宋_GB2312" w:eastAsia="楷体_GB2312" w:hAnsi="宋体" w:hint="eastAsia"/>
          <w:sz w:val="32"/>
          <w:szCs w:val="32"/>
          <w:lang w:val="en-US" w:eastAsia="zh-CN"/>
        </w:rPr>
      </w:pPr>
      <w:r>
        <w:rPr>
          <w:rFonts w:ascii="楷体_GB2312" w:eastAsia="楷体_GB2312" w:hAnsi="宋体"/>
          <w:sz w:val="32"/>
          <w:szCs w:val="32"/>
          <w:lang w:val="zh-CN"/>
        </w:rPr>
        <w:t>1</w:t>
      </w:r>
      <w:r>
        <w:rPr>
          <w:rFonts w:ascii="楷体_GB2312" w:eastAsia="楷体_GB2312" w:hAnsi="宋体" w:hint="eastAsia"/>
          <w:sz w:val="32"/>
          <w:szCs w:val="32"/>
          <w:lang w:val="zh-CN"/>
        </w:rPr>
        <w:t>．资金计划。该项目资金年初向财政部门申报资金预算</w:t>
      </w:r>
      <w:r>
        <w:rPr>
          <w:rFonts w:ascii="楷体_GB2312" w:eastAsia="楷体_GB2312" w:hAnsi="宋体" w:hint="eastAsia"/>
          <w:sz w:val="32"/>
          <w:szCs w:val="32"/>
          <w:lang w:val="en-US" w:eastAsia="zh-CN"/>
        </w:rPr>
        <w:t>4万元。</w:t>
      </w:r>
    </w:p>
    <w:p>
      <w:pPr>
        <w:adjustRightInd w:val="0"/>
        <w:snapToGrid w:val="0"/>
        <w:spacing w:line="600" w:lineRule="exact"/>
        <w:ind w:firstLineChars="300" w:firstLine="960"/>
        <w:rPr>
          <w:rFonts w:ascii="楷体_GB2312" w:eastAsia="楷体_GB2312" w:hAnsi="宋体" w:hint="eastAsia"/>
          <w:sz w:val="32"/>
          <w:szCs w:val="32"/>
          <w:lang w:val="en-US" w:eastAsia="zh-CN"/>
        </w:rPr>
      </w:pPr>
      <w:r>
        <w:rPr>
          <w:rFonts w:ascii="楷体_GB2312" w:eastAsia="楷体_GB2312" w:hAnsi="宋体"/>
          <w:sz w:val="32"/>
          <w:szCs w:val="32"/>
          <w:lang w:val="zh-CN"/>
        </w:rPr>
        <w:t>2</w:t>
      </w:r>
      <w:r>
        <w:rPr>
          <w:rFonts w:ascii="楷体_GB2312" w:eastAsia="楷体_GB2312" w:hAnsi="宋体" w:hint="eastAsia"/>
          <w:sz w:val="32"/>
          <w:szCs w:val="32"/>
          <w:lang w:val="zh-CN"/>
        </w:rPr>
        <w:t>．资金到位。区财政部门于年初将项目资金</w:t>
      </w:r>
      <w:r>
        <w:rPr>
          <w:rFonts w:ascii="楷体_GB2312" w:eastAsia="楷体_GB2312" w:hAnsi="宋体" w:hint="eastAsia"/>
          <w:sz w:val="32"/>
          <w:szCs w:val="32"/>
          <w:lang w:val="en-US" w:eastAsia="zh-CN"/>
        </w:rPr>
        <w:t>4万元一次上拨付给区审计局财政支付平台。</w:t>
      </w:r>
    </w:p>
    <w:p>
      <w:pPr>
        <w:adjustRightInd w:val="0"/>
        <w:snapToGrid w:val="0"/>
        <w:spacing w:line="600" w:lineRule="exact"/>
        <w:ind w:leftChars="304" w:left="638" w:firstLineChars="142" w:firstLine="454"/>
        <w:rPr>
          <w:rFonts w:ascii="楷体_GB2312" w:eastAsia="楷体_GB2312" w:hAnsi="宋体"/>
          <w:b/>
          <w:sz w:val="32"/>
          <w:szCs w:val="32"/>
          <w:lang w:val="zh-CN"/>
        </w:rPr>
      </w:pPr>
      <w:r>
        <w:rPr>
          <w:rFonts w:ascii="楷体_GB2312" w:eastAsia="楷体_GB2312" w:hAnsi="宋体"/>
          <w:sz w:val="32"/>
          <w:szCs w:val="32"/>
          <w:lang w:val="zh-CN"/>
        </w:rPr>
        <w:t>3</w:t>
      </w:r>
      <w:r>
        <w:rPr>
          <w:rFonts w:ascii="楷体_GB2312" w:eastAsia="楷体_GB2312" w:hAnsi="宋体" w:hint="eastAsia"/>
          <w:sz w:val="32"/>
          <w:szCs w:val="32"/>
          <w:lang w:val="zh-CN"/>
        </w:rPr>
        <w:t>．资金使用。</w:t>
      </w:r>
      <w:r>
        <w:rPr>
          <w:rFonts w:ascii="仿宋_GB2312" w:eastAsia="仿宋_GB2312" w:hAnsi="宋体" w:hint="eastAsia"/>
          <w:sz w:val="32"/>
          <w:szCs w:val="32"/>
          <w:lang w:val="en-US" w:eastAsia="zh-CN"/>
        </w:rPr>
        <w:t>2020年支付4万元，正支付率100%。</w:t>
      </w:r>
      <w:r>
        <w:rPr>
          <w:rFonts w:ascii="楷体_GB2312" w:eastAsia="楷体_GB2312" w:hAnsi="宋体" w:hint="eastAsia"/>
          <w:b/>
          <w:sz w:val="32"/>
          <w:szCs w:val="32"/>
          <w:lang w:val="zh-CN"/>
        </w:rPr>
        <w:t>（三）、项目财务管理情况。</w:t>
      </w:r>
    </w:p>
    <w:p>
      <w:pPr>
        <w:adjustRightInd w:val="0"/>
        <w:snapToGrid w:val="0"/>
        <w:spacing w:line="600" w:lineRule="exact"/>
        <w:ind w:firstLine="720"/>
        <w:rPr>
          <w:rFonts w:ascii="仿宋_GB2312" w:eastAsia="仿宋_GB2312" w:hAnsi="宋体" w:hint="eastAsia"/>
          <w:sz w:val="32"/>
          <w:szCs w:val="32"/>
          <w:lang w:val="zh-CN" w:eastAsia="zh-CN"/>
        </w:rPr>
      </w:pPr>
      <w:r>
        <w:rPr>
          <w:rFonts w:ascii="仿宋_GB2312" w:eastAsia="仿宋_GB2312" w:hAnsi="宋体" w:hint="eastAsia"/>
          <w:sz w:val="32"/>
          <w:szCs w:val="32"/>
          <w:lang w:val="en-US" w:eastAsia="zh-CN"/>
        </w:rPr>
        <w:t xml:space="preserve"> </w:t>
      </w:r>
      <w:r>
        <w:rPr>
          <w:rFonts w:ascii="仿宋_GB2312" w:eastAsia="仿宋_GB2312" w:hAnsi="宋体" w:hint="eastAsia"/>
          <w:sz w:val="32"/>
          <w:szCs w:val="32"/>
          <w:lang w:val="zh-CN" w:eastAsia="zh-CN"/>
        </w:rPr>
        <w:t>区审计局财务管理制度健全，严格执行财务管理制度，账务处理及时，会计核算规范。</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三、项目实施及管理情况</w:t>
      </w:r>
    </w:p>
    <w:p>
      <w:pPr>
        <w:adjustRightInd w:val="0"/>
        <w:snapToGrid w:val="0"/>
        <w:spacing w:line="600" w:lineRule="exact"/>
        <w:ind w:firstLine="720"/>
        <w:rPr>
          <w:rFonts w:ascii="仿宋_GB2312" w:eastAsia="仿宋_GB2312" w:hAnsi="宋体"/>
          <w:sz w:val="32"/>
          <w:szCs w:val="32"/>
          <w:lang w:val="en-US" w:eastAsia="zh-CN"/>
        </w:rPr>
      </w:pPr>
      <w:r>
        <w:rPr>
          <w:rFonts w:ascii="楷体_GB2312" w:eastAsia="楷体_GB2312" w:hAnsi="宋体" w:hint="eastAsia"/>
          <w:b/>
          <w:sz w:val="32"/>
          <w:szCs w:val="32"/>
          <w:lang w:val="zh-CN"/>
        </w:rPr>
        <w:t>（一）项目组织架构及实施流程。</w:t>
      </w:r>
      <w:r>
        <w:rPr>
          <w:rFonts w:ascii="仿宋_GB2312" w:eastAsia="仿宋_GB2312" w:hAnsi="宋体" w:hint="eastAsia"/>
          <w:sz w:val="32"/>
          <w:szCs w:val="32"/>
          <w:lang w:val="en-US" w:eastAsia="zh-CN"/>
        </w:rPr>
        <w:t>年初将审计人员业务能力提升工作纳入人才培养计划，制度了人员培训方案，确定了培训内容，明确了参训人员。</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（二）项目管理情况。</w:t>
      </w:r>
      <w:r>
        <w:rPr>
          <w:rFonts w:ascii="仿宋_GB2312" w:eastAsia="仿宋_GB2312" w:hAnsi="宋体" w:hint="eastAsia"/>
          <w:sz w:val="32"/>
          <w:szCs w:val="32"/>
          <w:lang w:val="zh-CN"/>
        </w:rPr>
        <w:t>对职工外出参加培训发生的差旅费及培训费严格执行《广元市利州区机关事业单位差旅费管理办法》及《广元市利州区机关培训费管理办法》，严格控制参训人数及参训时间。</w:t>
      </w:r>
    </w:p>
    <w:p>
      <w:pPr>
        <w:adjustRightInd w:val="0"/>
        <w:snapToGrid w:val="0"/>
        <w:spacing w:line="600" w:lineRule="exact"/>
        <w:ind w:firstLine="720"/>
        <w:rPr>
          <w:rFonts w:ascii="仿宋_GB2312" w:eastAsia="仿宋_GB2312" w:hAnsi="宋体" w:hint="eastAsia"/>
          <w:sz w:val="32"/>
          <w:szCs w:val="32"/>
          <w:lang w:val="zh-CN"/>
        </w:rPr>
      </w:pPr>
      <w:r>
        <w:rPr>
          <w:rFonts w:ascii="楷体_GB2312" w:eastAsia="楷体_GB2312" w:hAnsi="宋体" w:hint="eastAsia"/>
          <w:b/>
          <w:sz w:val="32"/>
          <w:szCs w:val="32"/>
          <w:lang w:val="zh-CN"/>
        </w:rPr>
        <w:t>（三）项目监管情况。</w:t>
      </w:r>
      <w:r>
        <w:rPr>
          <w:rFonts w:ascii="仿宋_GB2312" w:eastAsia="仿宋_GB2312" w:hAnsi="宋体" w:hint="eastAsia"/>
          <w:sz w:val="32"/>
          <w:szCs w:val="32"/>
          <w:lang w:val="zh-CN"/>
        </w:rPr>
        <w:t>按照《广元市利州区机关事业单位差旅费管理办法》及《广元市利州区机关培训费管理办法》，严格控制参训人数及参训时间。</w:t>
      </w:r>
    </w:p>
    <w:p>
      <w:pPr>
        <w:adjustRightInd w:val="0"/>
        <w:snapToGrid w:val="0"/>
        <w:spacing w:line="600" w:lineRule="exact"/>
        <w:ind w:firstLine="720"/>
        <w:rPr>
          <w:rFonts w:ascii="仿宋_GB2312" w:eastAsia="仿宋_GB2312" w:hAnsi="宋体"/>
          <w:sz w:val="32"/>
          <w:szCs w:val="32"/>
          <w:lang w:val="zh-CN"/>
        </w:rPr>
      </w:pPr>
      <w:r>
        <w:rPr>
          <w:rFonts w:ascii="黑体" w:eastAsia="黑体" w:hAnsi="宋体" w:hint="eastAsia"/>
          <w:sz w:val="32"/>
          <w:szCs w:val="32"/>
        </w:rPr>
        <w:t>四、项目绩效情况</w:t>
      </w:r>
      <w:r>
        <w:rPr>
          <w:rFonts w:ascii="仿宋_GB2312" w:eastAsia="仿宋_GB2312" w:hAnsi="宋体"/>
          <w:sz w:val="32"/>
          <w:szCs w:val="32"/>
          <w:lang w:val="zh-CN"/>
        </w:rPr>
        <w:tab/>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（一）项目完成情况。</w:t>
      </w:r>
    </w:p>
    <w:p>
      <w:pPr>
        <w:adjustRightInd w:val="0"/>
        <w:snapToGrid w:val="0"/>
        <w:spacing w:line="600" w:lineRule="exact"/>
        <w:ind w:firstLine="720"/>
        <w:rPr>
          <w:rFonts w:ascii="楷体_GB2312" w:eastAsia="楷体_GB2312" w:hAnsi="宋体"/>
          <w:b/>
          <w:sz w:val="32"/>
          <w:szCs w:val="32"/>
          <w:lang w:val="zh-CN"/>
        </w:rPr>
      </w:pPr>
      <w:r>
        <w:rPr>
          <w:rFonts w:ascii="仿宋_GB2312" w:eastAsia="仿宋_GB2312" w:hAnsi="宋体" w:hint="eastAsia"/>
          <w:sz w:val="32"/>
          <w:szCs w:val="32"/>
          <w:lang w:val="zh-CN"/>
        </w:rPr>
        <w:t>截止评价时点项目设置的完成数量、质量、时效、成本等绩效评价指标全部实现，组织</w:t>
      </w:r>
      <w:r>
        <w:rPr>
          <w:rFonts w:ascii="仿宋_GB2312" w:eastAsia="仿宋_GB2312" w:hAnsi="宋体" w:hint="eastAsia"/>
          <w:sz w:val="32"/>
          <w:szCs w:val="32"/>
          <w:lang w:val="en-US" w:eastAsia="zh-CN"/>
        </w:rPr>
        <w:t>1人参加了审计署在南京审计学院组织的计算机审计中级培训，安排5人参加了审计师职称考试培训，1人参加了税务师考试培训，</w:t>
      </w:r>
      <w:r>
        <w:rPr>
          <w:rFonts w:ascii="仿宋_GB2312" w:eastAsia="仿宋_GB2312" w:cs="仿宋_GB2312" w:hAnsi="仿宋_GB2312" w:hint="eastAsia"/>
          <w:sz w:val="32"/>
          <w:szCs w:val="32"/>
          <w:lang w:val="en-US" w:eastAsia="zh-CN"/>
        </w:rPr>
        <w:t>向所有职工订阅《中国审计》、《现代审计》杂志，</w:t>
      </w:r>
      <w:r>
        <w:rPr>
          <w:rFonts w:ascii="仿宋_GB2312" w:eastAsia="仿宋_GB2312" w:cs="仿宋_GB2312" w:hAnsi="仿宋_GB2312" w:hint="eastAsia"/>
          <w:sz w:val="32"/>
          <w:szCs w:val="32"/>
          <w:lang w:eastAsia="zh-CN"/>
        </w:rPr>
        <w:t>向全区</w:t>
      </w:r>
      <w:r>
        <w:rPr>
          <w:rFonts w:ascii="仿宋_GB2312" w:eastAsia="仿宋_GB2312" w:cs="仿宋_GB2312" w:hAnsi="仿宋_GB2312" w:hint="eastAsia"/>
          <w:sz w:val="32"/>
          <w:szCs w:val="32"/>
          <w:lang w:val="en-US" w:eastAsia="zh-CN"/>
        </w:rPr>
        <w:t>14个</w:t>
      </w:r>
      <w:r>
        <w:rPr>
          <w:rFonts w:ascii="仿宋_GB2312" w:eastAsia="仿宋_GB2312" w:cs="仿宋_GB2312" w:hAnsi="仿宋_GB2312" w:hint="eastAsia"/>
          <w:sz w:val="32"/>
          <w:szCs w:val="32"/>
          <w:lang w:eastAsia="zh-CN"/>
        </w:rPr>
        <w:t>乡镇、街道办事处的内审机构订阅《中国审计》、《中国审计报》。</w:t>
      </w:r>
      <w:r>
        <w:rPr>
          <w:rFonts w:ascii="楷体_GB2312" w:eastAsia="楷体_GB2312" w:hAnsi="宋体" w:hint="eastAsia"/>
          <w:b/>
          <w:sz w:val="32"/>
          <w:szCs w:val="32"/>
          <w:lang w:val="zh-CN"/>
        </w:rPr>
        <w:t>（二）项目效益情况。</w:t>
      </w:r>
    </w:p>
    <w:p>
      <w:pPr>
        <w:adjustRightInd w:val="0"/>
        <w:snapToGrid w:val="0"/>
        <w:spacing w:line="600" w:lineRule="exact"/>
        <w:ind w:firstLine="720"/>
        <w:rPr>
          <w:rFonts w:ascii="仿宋_GB2312" w:eastAsia="仿宋_GB2312" w:hAnsi="宋体"/>
          <w:sz w:val="32"/>
          <w:szCs w:val="32"/>
          <w:lang w:val="zh-CN"/>
        </w:rPr>
      </w:pPr>
      <w:r>
        <w:rPr>
          <w:rFonts w:ascii="仿宋_GB2312" w:eastAsia="仿宋_GB2312" w:cs="仿宋_GB2312" w:hAnsi="仿宋_GB2312" w:hint="eastAsia"/>
          <w:color w:val="auto"/>
          <w:sz w:val="32"/>
          <w:szCs w:val="32"/>
          <w:highlight w:val="auto"/>
        </w:rPr>
        <w:t>科学谋划干部教育培训工作，突出政治能力提升，</w:t>
      </w:r>
      <w:r>
        <w:rPr>
          <w:rFonts w:ascii="仿宋_GB2312" w:eastAsia="仿宋_GB2312" w:cs="仿宋_GB2312" w:hAnsi="仿宋_GB2312" w:hint="eastAsia"/>
          <w:color w:val="auto"/>
          <w:sz w:val="32"/>
          <w:szCs w:val="32"/>
          <w:lang w:eastAsia="zh-CN"/>
          <w:highlight w:val="auto"/>
        </w:rPr>
        <w:t>在经费支出上</w:t>
      </w:r>
      <w:r>
        <w:rPr>
          <w:rFonts w:ascii="仿宋_GB2312" w:eastAsia="仿宋_GB2312" w:cs="仿宋_GB2312" w:hAnsi="仿宋_GB2312" w:hint="eastAsia"/>
          <w:color w:val="auto"/>
          <w:sz w:val="32"/>
          <w:szCs w:val="32"/>
          <w:highlight w:val="auto"/>
        </w:rPr>
        <w:t>，精打细算，认真调整落实年度培训计划，突出针对性实效性，注重“零基础”人员学习</w:t>
      </w:r>
      <w:r>
        <w:rPr>
          <w:rFonts w:ascii="仿宋_GB2312" w:eastAsia="仿宋_GB2312" w:cs="仿宋_GB2312" w:hAnsi="仿宋_GB2312" w:hint="eastAsia"/>
          <w:color w:val="auto"/>
          <w:sz w:val="32"/>
          <w:szCs w:val="32"/>
          <w:lang w:eastAsia="zh-CN"/>
          <w:highlight w:val="auto"/>
        </w:rPr>
        <w:t>培养工作</w:t>
      </w:r>
      <w:r>
        <w:rPr>
          <w:rFonts w:ascii="仿宋_GB2312" w:eastAsia="仿宋_GB2312" w:cs="仿宋_GB2312" w:hAnsi="仿宋_GB2312" w:hint="eastAsia"/>
          <w:color w:val="auto"/>
          <w:sz w:val="32"/>
          <w:szCs w:val="32"/>
          <w:highlight w:val="auto"/>
        </w:rPr>
        <w:t>，注重全方位培养锻造干部</w:t>
      </w:r>
      <w:r>
        <w:rPr>
          <w:rFonts w:ascii="仿宋_GB2312" w:eastAsia="仿宋_GB2312" w:cs="仿宋_GB2312" w:hAnsi="仿宋_GB2312" w:hint="eastAsia"/>
          <w:sz w:val="32"/>
          <w:szCs w:val="32"/>
          <w:lang w:eastAsia="zh-CN"/>
        </w:rPr>
        <w:t>通过该项目的实施，</w:t>
      </w:r>
      <w:r>
        <w:rPr>
          <w:rFonts w:ascii="仿宋_GB2312" w:eastAsia="仿宋_GB2312" w:cs="仿宋_GB2312" w:hAnsi="仿宋_GB2312" w:hint="eastAsia"/>
          <w:sz w:val="32"/>
          <w:szCs w:val="32"/>
          <w:lang w:val="en-US" w:eastAsia="zh-CN"/>
        </w:rPr>
        <w:t>全面提高了审计业务能力，2020年3人通过中级审计师考试，1人通过税务师考试。参训人员满意度不断提高社会。</w:t>
      </w:r>
    </w:p>
    <w:p>
      <w:pPr>
        <w:adjustRightInd w:val="0"/>
        <w:snapToGrid w:val="0"/>
        <w:spacing w:line="600" w:lineRule="exact"/>
        <w:ind w:firstLine="720"/>
        <w:rPr>
          <w:rFonts w:ascii="黑体" w:eastAsia="黑体" w:hAnsi="宋体"/>
          <w:sz w:val="32"/>
          <w:szCs w:val="32"/>
        </w:rPr>
      </w:pPr>
      <w:r>
        <w:rPr>
          <w:rFonts w:ascii="黑体" w:eastAsia="黑体" w:hAnsi="宋体" w:hint="eastAsia"/>
          <w:sz w:val="32"/>
          <w:szCs w:val="32"/>
        </w:rPr>
        <w:t>五、评价结论及建议</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（一）评价结论。</w:t>
      </w:r>
    </w:p>
    <w:p>
      <w:pPr>
        <w:adjustRightInd w:val="0"/>
        <w:snapToGrid w:val="0"/>
        <w:spacing w:line="600" w:lineRule="exact"/>
        <w:ind w:firstLine="720"/>
        <w:rPr>
          <w:rFonts w:ascii="仿宋_GB2312" w:eastAsia="仿宋_GB2312" w:hAnsi="宋体"/>
          <w:sz w:val="32"/>
          <w:szCs w:val="32"/>
          <w:lang w:val="en-US" w:eastAsia="zh-CN"/>
        </w:rPr>
      </w:pPr>
      <w:r>
        <w:rPr>
          <w:rFonts w:ascii="仿宋_GB2312" w:eastAsia="仿宋_GB2312" w:hAnsi="宋体" w:hint="eastAsia"/>
          <w:sz w:val="32"/>
          <w:szCs w:val="32"/>
          <w:lang w:val="zh-CN"/>
        </w:rPr>
        <w:t>该项目绩效评价得分为</w:t>
      </w:r>
      <w:r>
        <w:rPr>
          <w:rFonts w:ascii="仿宋_GB2312" w:eastAsia="仿宋_GB2312" w:hAnsi="宋体" w:hint="eastAsia"/>
          <w:sz w:val="32"/>
          <w:szCs w:val="32"/>
          <w:lang w:val="en-US" w:eastAsia="zh-CN"/>
        </w:rPr>
        <w:t>95份，综合评价等级为“优”。评价认为，该项目目标明确，管理科学规范，资金使用绩效较为合理，年度绩效较高，社会效益和可持续影响较为显著。</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（二）存在的问题。</w:t>
      </w:r>
    </w:p>
    <w:p>
      <w:pPr>
        <w:adjustRightInd w:val="0"/>
        <w:snapToGrid w:val="0"/>
        <w:spacing w:line="600" w:lineRule="exact"/>
        <w:ind w:firstLine="720"/>
        <w:rPr>
          <w:rFonts w:ascii="仿宋_GB2312" w:eastAsia="仿宋_GB2312" w:hAnsi="宋体" w:hint="eastAsia"/>
          <w:sz w:val="32"/>
          <w:szCs w:val="32"/>
          <w:lang w:val="zh-CN"/>
        </w:rPr>
      </w:pPr>
      <w:r>
        <w:rPr>
          <w:rFonts w:ascii="仿宋_GB2312" w:eastAsia="仿宋_GB2312" w:hAnsi="宋体" w:hint="eastAsia"/>
          <w:sz w:val="32"/>
          <w:szCs w:val="32"/>
          <w:lang w:val="zh-CN"/>
        </w:rPr>
        <w:t>通过自评发现，个别绩效目标评价指标值设置不够科学，造成绩效指标值完成结果与设定值存在差异的问题。</w:t>
      </w:r>
    </w:p>
    <w:p>
      <w:pPr>
        <w:adjustRightInd w:val="0"/>
        <w:snapToGrid w:val="0"/>
        <w:spacing w:line="600" w:lineRule="exact"/>
        <w:ind w:firstLine="720"/>
        <w:rPr>
          <w:rFonts w:ascii="楷体_GB2312" w:eastAsia="楷体_GB2312" w:hAnsi="宋体"/>
          <w:b/>
          <w:sz w:val="32"/>
          <w:szCs w:val="32"/>
          <w:lang w:val="zh-CN"/>
        </w:rPr>
      </w:pPr>
      <w:r>
        <w:rPr>
          <w:rFonts w:ascii="楷体_GB2312" w:eastAsia="楷体_GB2312" w:hAnsi="宋体" w:hint="eastAsia"/>
          <w:b/>
          <w:sz w:val="32"/>
          <w:szCs w:val="32"/>
          <w:lang w:val="zh-CN"/>
        </w:rPr>
        <w:t>（三）相关建议。</w:t>
      </w:r>
    </w:p>
    <w:p>
      <w:pPr>
        <w:spacing w:line="580" w:lineRule="exact"/>
        <w:ind w:firstLine="640"/>
        <w:rPr>
          <w:rFonts w:ascii="仿宋_GB2312" w:eastAsia="仿宋_GB2312" w:cs="仿宋_GB2312" w:hAnsi="仿宋_GB2312" w:hint="eastAsia"/>
          <w:sz w:val="32"/>
          <w:szCs w:val="32"/>
          <w:lang w:eastAsia="zh-CN"/>
        </w:rPr>
      </w:pPr>
      <w:r>
        <w:rPr>
          <w:rFonts w:ascii="仿宋_GB2312" w:eastAsia="仿宋_GB2312" w:hAnsi="宋体" w:hint="eastAsia"/>
          <w:sz w:val="32"/>
          <w:szCs w:val="32"/>
          <w:lang w:val="zh-CN"/>
        </w:rPr>
        <w:t>因审计职能不断优化，监督范围越来越全面，需要审计人员技能不断提升，现有审计人员的知识结构，已经不足以满足工作需要，所有审计人员需要提升业务技能，进行相关专业知识的学习，在来年的工作中需要加大经费预算。</w:t>
      </w:r>
    </w:p>
    <w:p>
      <w:pPr>
        <w:adjustRightInd w:val="0"/>
        <w:snapToGrid w:val="0"/>
        <w:spacing w:line="600" w:lineRule="exact"/>
        <w:ind w:firstLineChars="300" w:firstLine="1320"/>
        <w:rPr>
          <w:rFonts w:ascii="黑体" w:eastAsia="黑体" w:hAnsi="黑体" w:hint="eastAsia"/>
          <w:color w:val="000000"/>
          <w:sz w:val="44"/>
          <w:szCs w:val="44"/>
        </w:rPr>
      </w:pPr>
      <w:bookmarkStart w:id="62" w:name="_Toc15396618"/>
    </w:p>
    <w:p>
      <w:pPr>
        <w:adjustRightInd w:val="0"/>
        <w:snapToGrid w:val="0"/>
        <w:spacing w:line="600" w:lineRule="exact"/>
        <w:ind w:firstLineChars="300" w:firstLine="1320"/>
        <w:rPr>
          <w:rFonts w:ascii="黑体" w:eastAsia="黑体" w:hAnsi="黑体" w:hint="eastAsia"/>
          <w:color w:val="000000"/>
          <w:sz w:val="44"/>
          <w:szCs w:val="44"/>
        </w:rPr>
      </w:pPr>
    </w:p>
    <w:p>
      <w:pPr>
        <w:adjustRightInd w:val="0"/>
        <w:snapToGrid w:val="0"/>
        <w:spacing w:line="600" w:lineRule="exact"/>
        <w:ind w:firstLineChars="300" w:firstLine="1320"/>
        <w:rPr>
          <w:rFonts w:ascii="黑体" w:eastAsia="黑体" w:hAnsi="黑体" w:hint="eastAsia"/>
          <w:color w:val="000000"/>
          <w:sz w:val="44"/>
          <w:szCs w:val="44"/>
        </w:rPr>
      </w:pPr>
    </w:p>
    <w:p>
      <w:pPr>
        <w:adjustRightInd w:val="0"/>
        <w:snapToGrid w:val="0"/>
        <w:spacing w:line="600" w:lineRule="exact"/>
        <w:ind w:firstLineChars="300" w:firstLine="1320"/>
        <w:rPr>
          <w:rStyle w:val="1Char"/>
          <w:rFonts w:ascii="黑体" w:eastAsia="黑体" w:hAnsi="黑体"/>
          <w:b w:val="0"/>
        </w:rPr>
      </w:pPr>
      <w:r>
        <w:rPr>
          <w:rFonts w:ascii="黑体" w:eastAsia="黑体" w:hAnsi="黑体" w:hint="eastAsia"/>
          <w:color w:val="000000"/>
          <w:sz w:val="44"/>
          <w:szCs w:val="44"/>
        </w:rPr>
        <w:t>第</w:t>
      </w:r>
      <w:r>
        <w:rPr>
          <w:rStyle w:val="1Char"/>
          <w:rFonts w:ascii="黑体" w:eastAsia="黑体" w:hAnsi="黑体" w:hint="eastAsia"/>
          <w:b w:val="0"/>
        </w:rPr>
        <w:t>五部分 附表</w:t>
      </w:r>
      <w:bookmarkEnd w:id="60"/>
      <w:bookmarkEnd w:id="62"/>
    </w:p>
    <w:p>
      <w:pPr>
        <w:spacing w:line="600" w:lineRule="exact"/>
        <w:jc w:val="center"/>
        <w:outlineLvl w:val="0"/>
        <w:rPr>
          <w:rFonts w:ascii="仿宋" w:eastAsia="仿宋" w:hAnsi="仿宋"/>
          <w:b/>
          <w:color w:val="000000"/>
          <w:sz w:val="44"/>
          <w:szCs w:val="44"/>
        </w:rPr>
      </w:pPr>
    </w:p>
    <w:p>
      <w:pPr>
        <w:pStyle w:val="2"/>
        <w:rPr>
          <w:rFonts w:ascii="仿宋" w:eastAsia="仿宋" w:hAnsi="仿宋"/>
          <w:color w:val="000000"/>
        </w:rPr>
      </w:pPr>
      <w:bookmarkStart w:id="63" w:name="_Toc15396619"/>
      <w:r>
        <w:rPr>
          <w:rFonts w:ascii="仿宋" w:eastAsia="仿宋" w:hAnsi="仿宋" w:hint="eastAsia"/>
          <w:b w:val="0"/>
          <w:color w:val="000000"/>
        </w:rPr>
        <w:t>一、收</w:t>
      </w:r>
      <w:r>
        <w:rPr>
          <w:rStyle w:val="2Char"/>
          <w:rFonts w:ascii="仿宋" w:eastAsia="仿宋" w:hAnsi="仿宋" w:hint="eastAsia"/>
          <w:b w:val="0"/>
          <w:bCs w:val="0"/>
        </w:rPr>
        <w:t>入支出决算总表</w:t>
      </w:r>
      <w:bookmarkEnd w:id="63"/>
    </w:p>
    <w:p>
      <w:pPr>
        <w:pStyle w:val="2"/>
        <w:rPr>
          <w:rFonts w:ascii="仿宋" w:eastAsia="仿宋" w:hAnsi="仿宋"/>
          <w:color w:val="000000"/>
        </w:rPr>
      </w:pPr>
      <w:bookmarkStart w:id="64" w:name="_Toc15396620"/>
      <w:r>
        <w:rPr>
          <w:rFonts w:ascii="仿宋" w:eastAsia="仿宋" w:hAnsi="仿宋" w:hint="eastAsia"/>
          <w:b w:val="0"/>
          <w:color w:val="000000"/>
        </w:rPr>
        <w:t>二、收</w:t>
      </w:r>
      <w:r>
        <w:rPr>
          <w:rStyle w:val="2Char"/>
          <w:rFonts w:ascii="仿宋" w:eastAsia="仿宋" w:hAnsi="仿宋" w:hint="eastAsia"/>
          <w:b w:val="0"/>
          <w:bCs w:val="0"/>
        </w:rPr>
        <w:t>入决算表</w:t>
      </w:r>
      <w:bookmarkEnd w:id="64"/>
    </w:p>
    <w:p>
      <w:pPr>
        <w:pStyle w:val="2"/>
        <w:rPr>
          <w:rFonts w:ascii="仿宋" w:eastAsia="仿宋" w:hAnsi="仿宋"/>
          <w:color w:val="000000"/>
        </w:rPr>
      </w:pPr>
      <w:bookmarkStart w:id="65" w:name="_Toc15396621"/>
      <w:r>
        <w:rPr>
          <w:rStyle w:val="2Char"/>
          <w:rFonts w:ascii="仿宋" w:eastAsia="仿宋" w:hAnsi="仿宋" w:hint="eastAsia"/>
          <w:b w:val="0"/>
          <w:bCs w:val="0"/>
        </w:rPr>
        <w:t>三、</w:t>
      </w:r>
      <w:r>
        <w:rPr>
          <w:rFonts w:ascii="仿宋" w:eastAsia="仿宋" w:hAnsi="仿宋" w:hint="eastAsia"/>
          <w:b w:val="0"/>
          <w:color w:val="000000"/>
        </w:rPr>
        <w:t>支</w:t>
      </w:r>
      <w:r>
        <w:rPr>
          <w:rStyle w:val="2Char"/>
          <w:rFonts w:ascii="仿宋" w:eastAsia="仿宋" w:hAnsi="仿宋" w:hint="eastAsia"/>
          <w:b w:val="0"/>
          <w:bCs w:val="0"/>
        </w:rPr>
        <w:t>出决算表</w:t>
      </w:r>
      <w:bookmarkEnd w:id="65"/>
    </w:p>
    <w:p>
      <w:pPr>
        <w:pStyle w:val="2"/>
        <w:rPr>
          <w:rFonts w:ascii="仿宋" w:eastAsia="仿宋" w:hAnsi="仿宋"/>
          <w:b w:val="0"/>
          <w:color w:val="000000"/>
        </w:rPr>
      </w:pPr>
      <w:bookmarkStart w:id="66" w:name="_Toc15396622"/>
      <w:r>
        <w:rPr>
          <w:rStyle w:val="2Char"/>
          <w:rFonts w:ascii="仿宋" w:eastAsia="仿宋" w:hAnsi="仿宋" w:hint="eastAsia"/>
          <w:b w:val="0"/>
          <w:bCs w:val="0"/>
        </w:rPr>
        <w:t>四、</w:t>
      </w:r>
      <w:r>
        <w:rPr>
          <w:rFonts w:ascii="仿宋" w:eastAsia="仿宋" w:hAnsi="仿宋" w:hint="eastAsia"/>
          <w:b w:val="0"/>
          <w:color w:val="000000"/>
        </w:rPr>
        <w:t>财</w:t>
      </w:r>
      <w:r>
        <w:rPr>
          <w:rStyle w:val="2Char"/>
          <w:rFonts w:ascii="仿宋" w:eastAsia="仿宋" w:hAnsi="仿宋" w:hint="eastAsia"/>
          <w:b w:val="0"/>
          <w:bCs w:val="0"/>
        </w:rPr>
        <w:t>政拨款收入支出决算总表</w:t>
      </w:r>
      <w:bookmarkEnd w:id="66"/>
    </w:p>
    <w:p>
      <w:pPr>
        <w:pStyle w:val="2"/>
        <w:rPr>
          <w:rStyle w:val="2Char"/>
          <w:rFonts w:ascii="仿宋" w:eastAsia="仿宋" w:hAnsi="仿宋"/>
          <w:b w:val="0"/>
          <w:bCs w:val="0"/>
        </w:rPr>
      </w:pPr>
      <w:bookmarkStart w:id="67" w:name="_Toc15396623"/>
      <w:r>
        <w:rPr>
          <w:rStyle w:val="2Char"/>
          <w:rFonts w:ascii="仿宋" w:eastAsia="仿宋" w:hAnsi="仿宋" w:hint="eastAsia"/>
          <w:b w:val="0"/>
          <w:bCs w:val="0"/>
        </w:rPr>
        <w:t>五、</w:t>
      </w:r>
      <w:r>
        <w:rPr>
          <w:rFonts w:ascii="仿宋" w:eastAsia="仿宋" w:hAnsi="仿宋" w:hint="eastAsia"/>
          <w:b w:val="0"/>
          <w:color w:val="000000"/>
        </w:rPr>
        <w:t>财</w:t>
      </w:r>
      <w:r>
        <w:rPr>
          <w:rStyle w:val="2Char"/>
          <w:rFonts w:ascii="仿宋" w:eastAsia="仿宋" w:hAnsi="仿宋" w:hint="eastAsia"/>
          <w:b w:val="0"/>
          <w:bCs w:val="0"/>
        </w:rPr>
        <w:t>政拨款支出决算明细表</w:t>
      </w:r>
      <w:bookmarkStart w:id="68" w:name="_Toc15396624"/>
      <w:bookmarkEnd w:id="67"/>
    </w:p>
    <w:p>
      <w:pPr>
        <w:pStyle w:val="2"/>
        <w:rPr>
          <w:rFonts w:ascii="仿宋" w:eastAsia="仿宋" w:hAnsi="仿宋"/>
          <w:color w:val="000000"/>
        </w:rPr>
      </w:pPr>
      <w:r>
        <w:rPr>
          <w:rStyle w:val="2Char"/>
          <w:rFonts w:ascii="仿宋" w:eastAsia="仿宋" w:hAnsi="仿宋" w:hint="eastAsia"/>
          <w:b w:val="0"/>
          <w:bCs w:val="0"/>
        </w:rPr>
        <w:t>六、</w:t>
      </w:r>
      <w:r>
        <w:rPr>
          <w:rFonts w:ascii="仿宋" w:eastAsia="仿宋" w:hAnsi="仿宋" w:hint="eastAsia"/>
          <w:b w:val="0"/>
          <w:color w:val="000000"/>
        </w:rPr>
        <w:t>一</w:t>
      </w:r>
      <w:r>
        <w:rPr>
          <w:rStyle w:val="2Char"/>
          <w:rFonts w:ascii="仿宋" w:eastAsia="仿宋" w:hAnsi="仿宋" w:hint="eastAsia"/>
          <w:b w:val="0"/>
          <w:bCs w:val="0"/>
        </w:rPr>
        <w:t>般公共预算财政拨款支出决算表</w:t>
      </w:r>
      <w:bookmarkEnd w:id="68"/>
    </w:p>
    <w:p>
      <w:pPr>
        <w:pStyle w:val="2"/>
        <w:rPr>
          <w:rFonts w:ascii="仿宋" w:eastAsia="仿宋" w:hAnsi="仿宋"/>
          <w:color w:val="000000"/>
        </w:rPr>
      </w:pPr>
      <w:bookmarkStart w:id="69" w:name="_Toc15396625"/>
      <w:r>
        <w:rPr>
          <w:rStyle w:val="2Char"/>
          <w:rFonts w:ascii="仿宋" w:eastAsia="仿宋" w:hAnsi="仿宋" w:hint="eastAsia"/>
          <w:b w:val="0"/>
          <w:bCs w:val="0"/>
        </w:rPr>
        <w:t>七、</w:t>
      </w:r>
      <w:r>
        <w:rPr>
          <w:rFonts w:ascii="仿宋" w:eastAsia="仿宋" w:hAnsi="仿宋" w:hint="eastAsia"/>
          <w:b w:val="0"/>
          <w:color w:val="000000"/>
        </w:rPr>
        <w:t>一</w:t>
      </w:r>
      <w:r>
        <w:rPr>
          <w:rStyle w:val="2Char"/>
          <w:rFonts w:ascii="仿宋" w:eastAsia="仿宋" w:hAnsi="仿宋" w:hint="eastAsia"/>
          <w:b w:val="0"/>
          <w:bCs w:val="0"/>
        </w:rPr>
        <w:t>般公共预算财政拨款支出决算明细表</w:t>
      </w:r>
      <w:bookmarkEnd w:id="69"/>
    </w:p>
    <w:p>
      <w:pPr>
        <w:pStyle w:val="2"/>
        <w:rPr>
          <w:rFonts w:ascii="仿宋" w:eastAsia="仿宋" w:hAnsi="仿宋"/>
          <w:color w:val="000000"/>
        </w:rPr>
      </w:pPr>
      <w:bookmarkStart w:id="70" w:name="_Toc15396626"/>
      <w:r>
        <w:rPr>
          <w:rStyle w:val="2Char"/>
          <w:rFonts w:ascii="仿宋" w:eastAsia="仿宋" w:hAnsi="仿宋" w:hint="eastAsia"/>
          <w:b w:val="0"/>
          <w:bCs w:val="0"/>
        </w:rPr>
        <w:t>八、</w:t>
      </w:r>
      <w:r>
        <w:rPr>
          <w:rFonts w:ascii="仿宋" w:eastAsia="仿宋" w:hAnsi="仿宋" w:hint="eastAsia"/>
          <w:b w:val="0"/>
          <w:color w:val="000000"/>
        </w:rPr>
        <w:t>一</w:t>
      </w:r>
      <w:r>
        <w:rPr>
          <w:rStyle w:val="2Char"/>
          <w:rFonts w:ascii="仿宋" w:eastAsia="仿宋" w:hAnsi="仿宋" w:hint="eastAsia"/>
          <w:b w:val="0"/>
          <w:bCs w:val="0"/>
        </w:rPr>
        <w:t>般公共预算财政拨款基本支出决算表</w:t>
      </w:r>
      <w:bookmarkEnd w:id="70"/>
    </w:p>
    <w:p>
      <w:pPr>
        <w:pStyle w:val="2"/>
        <w:rPr>
          <w:rFonts w:ascii="仿宋" w:eastAsia="仿宋" w:hAnsi="仿宋"/>
          <w:color w:val="000000"/>
        </w:rPr>
      </w:pPr>
      <w:bookmarkStart w:id="71" w:name="_Toc15396627"/>
      <w:r>
        <w:rPr>
          <w:rStyle w:val="2Char"/>
          <w:rFonts w:ascii="仿宋" w:eastAsia="仿宋" w:hAnsi="仿宋" w:hint="eastAsia"/>
          <w:b w:val="0"/>
          <w:bCs w:val="0"/>
        </w:rPr>
        <w:t>九、</w:t>
      </w:r>
      <w:r>
        <w:rPr>
          <w:rFonts w:ascii="仿宋" w:eastAsia="仿宋" w:hAnsi="仿宋" w:hint="eastAsia"/>
          <w:b w:val="0"/>
          <w:color w:val="000000"/>
        </w:rPr>
        <w:t>一</w:t>
      </w:r>
      <w:r>
        <w:rPr>
          <w:rStyle w:val="2Char"/>
          <w:rFonts w:ascii="仿宋" w:eastAsia="仿宋" w:hAnsi="仿宋" w:hint="eastAsia"/>
          <w:b w:val="0"/>
          <w:bCs w:val="0"/>
        </w:rPr>
        <w:t>般公共预算财政拨款项目支出决算表</w:t>
      </w:r>
      <w:bookmarkEnd w:id="71"/>
    </w:p>
    <w:p>
      <w:pPr>
        <w:pStyle w:val="2"/>
        <w:rPr>
          <w:rFonts w:ascii="仿宋" w:eastAsia="仿宋" w:hAnsi="仿宋"/>
          <w:color w:val="000000"/>
        </w:rPr>
      </w:pPr>
      <w:bookmarkStart w:id="72" w:name="_Toc15396628"/>
      <w:r>
        <w:rPr>
          <w:rStyle w:val="2Char"/>
          <w:rFonts w:ascii="仿宋" w:eastAsia="仿宋" w:hAnsi="仿宋" w:hint="eastAsia"/>
          <w:b w:val="0"/>
          <w:bCs w:val="0"/>
        </w:rPr>
        <w:t>十、</w:t>
      </w:r>
      <w:r>
        <w:rPr>
          <w:rFonts w:ascii="仿宋" w:eastAsia="仿宋" w:hAnsi="仿宋" w:hint="eastAsia"/>
          <w:b w:val="0"/>
          <w:color w:val="000000"/>
        </w:rPr>
        <w:t>一</w:t>
      </w:r>
      <w:r>
        <w:rPr>
          <w:rStyle w:val="2Char"/>
          <w:rFonts w:ascii="仿宋" w:eastAsia="仿宋" w:hAnsi="仿宋" w:hint="eastAsia"/>
          <w:b w:val="0"/>
          <w:bCs w:val="0"/>
        </w:rPr>
        <w:t>般公共预算财政拨款“三公”经费支出决算表</w:t>
      </w:r>
      <w:bookmarkEnd w:id="72"/>
    </w:p>
    <w:p>
      <w:pPr>
        <w:pStyle w:val="2"/>
        <w:rPr>
          <w:rFonts w:ascii="仿宋" w:eastAsia="仿宋" w:hAnsi="仿宋"/>
          <w:color w:val="000000"/>
        </w:rPr>
      </w:pPr>
      <w:bookmarkStart w:id="73" w:name="_Toc15396629"/>
      <w:r>
        <w:rPr>
          <w:rStyle w:val="2Char"/>
          <w:rFonts w:ascii="仿宋" w:eastAsia="仿宋" w:hAnsi="仿宋" w:hint="eastAsia"/>
          <w:b w:val="0"/>
          <w:bCs w:val="0"/>
        </w:rPr>
        <w:t>十一、</w:t>
      </w:r>
      <w:r>
        <w:rPr>
          <w:rFonts w:ascii="仿宋" w:eastAsia="仿宋" w:hAnsi="仿宋" w:hint="eastAsia"/>
          <w:b w:val="0"/>
          <w:color w:val="000000"/>
        </w:rPr>
        <w:t>政</w:t>
      </w:r>
      <w:r>
        <w:rPr>
          <w:rStyle w:val="2Char"/>
          <w:rFonts w:ascii="仿宋" w:eastAsia="仿宋" w:hAnsi="仿宋" w:hint="eastAsia"/>
          <w:b w:val="0"/>
          <w:bCs w:val="0"/>
        </w:rPr>
        <w:t>府性基金预算财政拨款收入支出决算表</w:t>
      </w:r>
      <w:bookmarkEnd w:id="73"/>
    </w:p>
    <w:p>
      <w:pPr>
        <w:pStyle w:val="2"/>
        <w:rPr>
          <w:rFonts w:ascii="仿宋" w:eastAsia="仿宋" w:hAnsi="仿宋"/>
          <w:color w:val="000000"/>
        </w:rPr>
      </w:pPr>
      <w:bookmarkStart w:id="74" w:name="_Toc15396630"/>
      <w:r>
        <w:rPr>
          <w:rStyle w:val="2Char"/>
          <w:rFonts w:ascii="仿宋" w:eastAsia="仿宋" w:hAnsi="仿宋" w:hint="eastAsia"/>
          <w:b w:val="0"/>
          <w:bCs w:val="0"/>
        </w:rPr>
        <w:t>十二、</w:t>
      </w:r>
      <w:r>
        <w:rPr>
          <w:rFonts w:ascii="仿宋" w:eastAsia="仿宋" w:hAnsi="仿宋" w:hint="eastAsia"/>
          <w:b w:val="0"/>
          <w:color w:val="000000"/>
        </w:rPr>
        <w:t>政</w:t>
      </w:r>
      <w:r>
        <w:rPr>
          <w:rStyle w:val="2Char"/>
          <w:rFonts w:ascii="仿宋" w:eastAsia="仿宋" w:hAnsi="仿宋" w:hint="eastAsia"/>
          <w:b w:val="0"/>
          <w:bCs w:val="0"/>
        </w:rPr>
        <w:t>府性基金预算财政拨款“三公”经费支出决算表</w:t>
      </w:r>
      <w:bookmarkEnd w:id="74"/>
    </w:p>
    <w:p>
      <w:pPr>
        <w:pStyle w:val="2"/>
        <w:rPr>
          <w:rFonts w:ascii="仿宋" w:eastAsia="仿宋" w:hAnsi="仿宋"/>
          <w:color w:val="000000"/>
          <w14:textFill>
            <w14:solidFill>
              <w14:srgbClr w14:val="000000"/>
            </w14:solidFill>
          </w14:textFill>
        </w:rPr>
      </w:pPr>
      <w:bookmarkStart w:id="75" w:name="_Toc15396631"/>
      <w:r>
        <w:rPr>
          <w:rStyle w:val="2Char"/>
          <w:rFonts w:ascii="仿宋" w:eastAsia="仿宋" w:hAnsi="仿宋" w:hint="eastAsia"/>
          <w:b w:val="0"/>
          <w:bCs w:val="0"/>
        </w:rPr>
        <w:t>十三、</w:t>
      </w:r>
      <w:r>
        <w:rPr>
          <w:rFonts w:ascii="仿宋" w:eastAsia="仿宋" w:hAnsi="仿宋" w:hint="eastAsia"/>
          <w:b w:val="0"/>
          <w:color w:val="000000"/>
        </w:rPr>
        <w:t>国</w:t>
      </w:r>
      <w:r>
        <w:rPr>
          <w:rStyle w:val="2Char"/>
          <w:rFonts w:ascii="仿宋" w:eastAsia="仿宋" w:hAnsi="仿宋" w:hint="eastAsia"/>
          <w:b w:val="0"/>
          <w:bCs w:val="0"/>
        </w:rPr>
        <w:t>有资本经营预算支出决算表</w:t>
      </w:r>
      <w:bookmarkEnd w:id="75"/>
    </w:p>
    <w:sectPr>
      <w:footerReference w:type="default" r:id="rId4"/>
      <w:pgSz w:w="11906" w:h="16838"/>
      <w:pgMar w:top="1440" w:right="1800" w:bottom="1440" w:left="1800" w:header="851" w:footer="992" w:gutter="0"/>
      <w:pgNumType w:fmt="numberInDash" w:start="1"/>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panose1 w:val="02010601030101010101"/>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黑体">
    <w:panose1 w:val="02010609060101010101"/>
    <w:charset w:val="86"/>
    <w:family w:val="auto"/>
    <w:pitch w:val="variable"/>
    <w:sig w:usb0="800002BF" w:usb1="38CF7CFA" w:usb2="00000016" w:usb3="00000000" w:csb0="00040001" w:csb1="00000000"/>
  </w:font>
  <w:font w:name="Arial">
    <w:panose1 w:val="020B0604020202020204"/>
    <w:charset w:val="01"/>
    <w:family w:val="swiss"/>
    <w:pitch w:val="variable"/>
    <w:sig w:usb0="E0002AFF" w:usb1="C0007843" w:usb2="00000009" w:usb3="00000000" w:csb0="400001FF" w:csb1="FFFF0000"/>
  </w:font>
  <w:font w:name="仿宋">
    <w:altName w:val="仿宋_GB2312"/>
    <w:panose1 w:val="02010609060101010101"/>
    <w:charset w:val="86"/>
    <w:family w:val="modern"/>
    <w:pitch w:val="variable"/>
    <w:sig w:usb0="800002BF" w:usb1="38CF7CFA" w:usb2="00000016" w:usb3="00000000" w:csb0="00040001" w:csb1="00000000"/>
  </w:font>
  <w:font w:name="Times New Roman">
    <w:panose1 w:val="02020603050405020304"/>
    <w:charset w:val="86"/>
    <w:family w:val="auto"/>
    <w:pitch w:val="variable"/>
    <w:sig w:usb0="E0002AFF" w:usb1="C0007841" w:usb2="00000009" w:usb3="00000000" w:csb0="400001FF" w:csb1="FFFF0000"/>
  </w:font>
  <w:font w:name="仿宋_GB2312">
    <w:altName w:val="仿宋"/>
    <w:panose1 w:val="02010609030101010101"/>
    <w:charset w:val="86"/>
    <w:family w:val="modern"/>
    <w:pitch w:val="variable"/>
    <w:sig w:usb0="00000000" w:usb1="00000000" w:usb2="00000010" w:usb3="00000000" w:csb0="00040000" w:csb1="00000000"/>
  </w:font>
  <w:font w:name="楷体_GB2312">
    <w:altName w:val="楷体"/>
    <w:panose1 w:val="02010609030101010101"/>
    <w:charset w:val="86"/>
    <w:family w:val="modern"/>
    <w:pitch w:val="variable"/>
    <w:sig w:usb0="00000000" w:usb1="00000000" w:usb2="00000010" w:usb3="00000000" w:csb0="00040000" w:csb1="00000000"/>
  </w:font>
  <w:font w:name="方正楷体简体">
    <w:altName w:val="微软雅黑"/>
    <w:panose1 w:val="02010601030101010101"/>
    <w:charset w:val="86"/>
    <w:family w:val="auto"/>
    <w:pitch w:val="variable"/>
    <w:sig w:usb0="00000000" w:usb1="00000000" w:usb2="00000010" w:usb3="00000000" w:csb0="00040000" w:csb1="00000000"/>
  </w:font>
  <w:font w:name="楷体">
    <w:altName w:val="楷体_GB2312"/>
    <w:panose1 w:val="02010609060101010101"/>
    <w:charset w:val="86"/>
    <w:family w:val="modern"/>
    <w:pitch w:val="variable"/>
    <w:sig w:usb0="800002BF" w:usb1="38CF7CFA" w:usb2="00000016" w:usb3="00000000" w:csb0="00040001" w:csb1="00000000"/>
  </w:font>
  <w:font w:name="Lucida Sans">
    <w:panose1 w:val="020B0602030504020204"/>
    <w:charset w:val="00"/>
    <w:family w:val="auto"/>
    <w:pitch w:val="variable"/>
    <w:sig w:usb0="00000003" w:usb1="00000000" w:usb2="00000000" w:usb3="00000000" w:csb0="20000001" w:csb1="00000000"/>
  </w:font>
  <w:font w:name="Cambria">
    <w:altName w:val="Arial"/>
    <w:panose1 w:val="02040503050406030204"/>
    <w:charset w:val="00"/>
    <w:family w:val="roman"/>
    <w:pitch w:val="variable"/>
    <w:sig w:usb0="E00002FF" w:usb1="400004FF" w:usb2="00000000" w:usb3="00000000" w:csb0="2000019F" w:csb1="00000000"/>
  </w:font>
  <w:font w:name="Calibri">
    <w:altName w:val="Times New Roman"/>
    <w:panose1 w:val="020F0502020204030204"/>
    <w:charset w:val="00"/>
    <w:family w:val="swiss"/>
    <w:pitch w:val="variable"/>
    <w:sig w:usb0="E00002FF" w:usb1="4000ACFF" w:usb2="00000001" w:usb3="00000000" w:csb0="2000019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8"/>
      <w:tabs>
        <w:tab w:val="center" w:pos="4153"/>
        <w:tab w:val="right" w:pos="8306"/>
      </w:tabs>
      <w:jc w:val="center"/>
    </w:pPr>
  </w:p>
  <w:p>
    <w:pPr>
      <w:pStyle w:val="18"/>
      <w:tabs>
        <w:tab w:val="center" w:pos="4153"/>
        <w:tab w:val="right" w:pos="8306"/>
      </w:tabs>
    </w:pP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931309690"/>
    </w:sdtPr>
    <w:sdtEndPr>
      <w:rPr>
        <w:sz w:val="28"/>
        <w:szCs w:val="28"/>
      </w:rPr>
    </w:sdtEndPr>
    <w:sdtContent>
      <w:p>
        <w:pPr>
          <w:pStyle w:val="18"/>
          <w:tabs>
            <w:tab w:val="center" w:pos="4153"/>
            <w:tab w:val="right" w:pos="8306"/>
          </w:tabs>
          <w:jc w:val="cente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- 12 -</w:t>
        </w:r>
        <w:r>
          <w:rPr>
            <w:sz w:val="28"/>
            <w:szCs w:val="28"/>
          </w:rPr>
          <w:fldChar w:fldCharType="end"/>
        </w:r>
      </w:p>
    </w:sdtContent>
  </w:sdt>
  <w:p>
    <w:pPr>
      <w:pStyle w:val="18"/>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2621CDC"/>
    <w:multiLevelType w:val="multilevel"/>
    <w:tmpl w:val="62621CDC"/>
    <w:lvl w:ilvl="0">
      <w:start w:val="1"/>
      <w:numFmt w:val="decimal"/>
      <w:lvlRestart w:val="0"/>
      <w:lvlText w:val="%1."/>
      <w:lvlJc w:val="left"/>
      <w:pPr>
        <w:ind w:left="1152" w:hanging="480"/>
      </w:pPr>
      <w:rPr>
        <w:rFonts w:hint="default"/>
      </w:rPr>
    </w:lvl>
    <w:lvl w:ilvl="1">
      <w:start w:val="1"/>
      <w:numFmt w:val="lowerLetter"/>
      <w:lvlText w:val="%2)"/>
      <w:lvlJc w:val="left"/>
      <w:pPr>
        <w:ind w:left="1512" w:hanging="420"/>
      </w:pPr>
    </w:lvl>
    <w:lvl w:ilvl="2">
      <w:start w:val="1"/>
      <w:numFmt w:val="lowerRoman"/>
      <w:lvlText w:val="%3."/>
      <w:lvlJc w:val="right"/>
      <w:pPr>
        <w:ind w:left="1932" w:hanging="420"/>
      </w:pPr>
    </w:lvl>
    <w:lvl w:ilvl="3">
      <w:start w:val="1"/>
      <w:numFmt w:val="decimal"/>
      <w:lvlText w:val="%4."/>
      <w:lvlJc w:val="left"/>
      <w:pPr>
        <w:ind w:left="2352" w:hanging="420"/>
      </w:pPr>
    </w:lvl>
    <w:lvl w:ilvl="4">
      <w:start w:val="1"/>
      <w:numFmt w:val="lowerLetter"/>
      <w:lvlText w:val="%5)"/>
      <w:lvlJc w:val="left"/>
      <w:pPr>
        <w:ind w:left="2772" w:hanging="420"/>
      </w:pPr>
    </w:lvl>
    <w:lvl w:ilvl="5">
      <w:start w:val="1"/>
      <w:numFmt w:val="lowerRoman"/>
      <w:lvlText w:val="%6."/>
      <w:lvlJc w:val="right"/>
      <w:pPr>
        <w:ind w:left="3192" w:hanging="420"/>
      </w:pPr>
    </w:lvl>
    <w:lvl w:ilvl="6">
      <w:start w:val="1"/>
      <w:numFmt w:val="decimal"/>
      <w:lvlText w:val="%7."/>
      <w:lvlJc w:val="left"/>
      <w:pPr>
        <w:ind w:left="3612" w:hanging="420"/>
      </w:pPr>
    </w:lvl>
    <w:lvl w:ilvl="7">
      <w:start w:val="1"/>
      <w:numFmt w:val="lowerLetter"/>
      <w:lvlText w:val="%8)"/>
      <w:lvlJc w:val="left"/>
      <w:pPr>
        <w:ind w:left="4032" w:hanging="420"/>
      </w:pPr>
    </w:lvl>
    <w:lvl w:ilvl="8">
      <w:start w:val="1"/>
      <w:numFmt w:val="lowerRoman"/>
      <w:lvlText w:val="%9."/>
      <w:lvlJc w:val="right"/>
      <w:pPr>
        <w:ind w:left="4452" w:hanging="420"/>
      </w:pPr>
    </w:lvl>
  </w:abstractNum>
  <w:abstractNum w:abstractNumId="1">
    <w:nsid w:val="1272550B"/>
    <w:multiLevelType w:val="multilevel"/>
    <w:tmpl w:val="1272550B"/>
    <w:lvl w:ilvl="0">
      <w:start w:val="1"/>
      <w:numFmt w:val="japaneseCounting"/>
      <w:lvlRestart w:val="0"/>
      <w:lvlText w:val="%1、"/>
      <w:lvlJc w:val="left"/>
      <w:pPr>
        <w:ind w:left="1360" w:hanging="720"/>
      </w:pPr>
      <w:rPr>
        <w:rFonts w:hint="default"/>
        <w:b w:val="0"/>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2">
    <w:nsid w:val="CF652CEC"/>
    <w:multiLevelType w:val="singleLevel"/>
    <w:tmpl w:val="CF652CEC"/>
    <w:lvl w:ilvl="0">
      <w:start w:val="9"/>
      <w:numFmt w:val="chineseCounting"/>
      <w:lvlRestart w:val="0"/>
      <w:suff w:val="nothing"/>
      <w:lvlText w:val="%1、"/>
      <w:lvlJc w:val="left"/>
      <w:pPr/>
      <w:rPr>
        <w:rFonts w:hint="eastAsia"/>
      </w:rPr>
    </w:lvl>
  </w:abstractNum>
  <w:abstractNum w:abstractNumId="3">
    <w:nsid w:val="E2FA047D"/>
    <w:multiLevelType w:val="singleLevel"/>
    <w:tmpl w:val="E2FA047D"/>
    <w:lvl w:ilvl="0">
      <w:start w:val="3"/>
      <w:numFmt w:val="chineseCounting"/>
      <w:lvlRestart w:val="0"/>
      <w:suff w:val="space"/>
      <w:lvlText w:val="第%1部分"/>
      <w:lvlJc w:val="left"/>
      <w:pPr/>
      <w:rPr>
        <w:rFonts w:hint="eastAsia"/>
      </w:rPr>
    </w:lvl>
  </w:abstractNum>
  <w:abstractNum w:abstractNumId="4">
    <w:nsid w:val="7329EF51"/>
    <w:multiLevelType w:val="singleLevel"/>
    <w:tmpl w:val="7329EF51"/>
    <w:lvl w:ilvl="0">
      <w:start w:val="3"/>
      <w:numFmt w:val="decimal"/>
      <w:lvlRestart w:val="0"/>
      <w:suff w:val="nothing"/>
      <w:lvlText w:val="%1．"/>
      <w:lvlJc w:val="left"/>
      <w:pPr/>
    </w:lvl>
  </w:abstractNum>
  <w:abstractNum w:abstractNumId="5">
    <w:nsid w:val="FADE0672"/>
    <w:multiLevelType w:val="singleLevel"/>
    <w:tmpl w:val="FADE0672"/>
    <w:lvl w:ilvl="0">
      <w:start w:val="2"/>
      <w:numFmt w:val="decimal"/>
      <w:lvlRestart w:val="0"/>
      <w:suff w:val="nothing"/>
      <w:lvlText w:val="%1．"/>
      <w:lvlJc w:val="left"/>
      <w:pPr/>
    </w:lvl>
  </w:abstractNum>
  <w:abstractNum w:abstractNumId="6">
    <w:nsid w:val="25BAFD87"/>
    <w:multiLevelType w:val="singleLevel"/>
    <w:tmpl w:val="25BAFD87"/>
    <w:lvl w:ilvl="0">
      <w:start w:val="2"/>
      <w:numFmt w:val="decimal"/>
      <w:lvlRestart w:val="0"/>
      <w:suff w:val="nothing"/>
      <w:lvlText w:val="%1．"/>
      <w:lvlJc w:val="left"/>
      <w:pPr/>
    </w:lvl>
  </w:abstractNum>
  <w:abstractNum w:abstractNumId="7">
    <w:nsid w:val="9C2DCF43"/>
    <w:multiLevelType w:val="singleLevel"/>
    <w:tmpl w:val="9C2DCF43"/>
    <w:lvl w:ilvl="0">
      <w:start w:val="3"/>
      <w:numFmt w:val="decimal"/>
      <w:lvlRestart w:val="0"/>
      <w:lvlText w:val="%1."/>
      <w:lvlJc w:val="left"/>
      <w:pPr>
        <w:tabs>
          <w:tab w:val="num" w:pos="312"/>
        </w:tabs>
      </w:pPr>
    </w:lvl>
  </w:abstractNum>
  <w:abstractNum w:abstractNumId="8">
    <w:nsid w:val="FFA98B07"/>
    <w:multiLevelType w:val="singleLevel"/>
    <w:tmpl w:val="FFA98B07"/>
    <w:lvl w:ilvl="0">
      <w:start w:val="2"/>
      <w:numFmt w:val="chineseCounting"/>
      <w:lvlRestart w:val="0"/>
      <w:suff w:val="nothing"/>
      <w:lvlText w:val="（%1）"/>
      <w:lvlJc w:val="left"/>
      <w:pPr/>
      <w:rPr>
        <w:rFonts w:hint="eastAsia"/>
      </w:rPr>
    </w:lvl>
  </w:abstractNum>
  <w:abstractNum w:abstractNumId="9">
    <w:nsid w:val="0D8889B2"/>
    <w:multiLevelType w:val="singleLevel"/>
    <w:tmpl w:val="0D8889B2"/>
    <w:lvl w:ilvl="0">
      <w:start w:val="2"/>
      <w:numFmt w:val="decimal"/>
      <w:lvlRestart w:val="0"/>
      <w:suff w:val="nothing"/>
      <w:lvlText w:val="%1．"/>
      <w:lvlJc w:val="left"/>
      <w:pPr/>
    </w:lvl>
  </w:abstractNum>
  <w:abstractNum w:abstractNumId="10">
    <w:nsid w:val="B9B4A6CB"/>
    <w:multiLevelType w:val="singleLevel"/>
    <w:tmpl w:val="B9B4A6CB"/>
    <w:lvl w:ilvl="0">
      <w:start w:val="2"/>
      <w:numFmt w:val="decimal"/>
      <w:lvlRestart w:val="0"/>
      <w:suff w:val="nothing"/>
      <w:lvlText w:val="%1．"/>
      <w:lvlJc w:val="left"/>
      <w:pPr/>
    </w:lvl>
  </w:abstractNum>
  <w:abstractNum w:abstractNumId="11">
    <w:nsid w:val="98A19D1B"/>
    <w:multiLevelType w:val="singleLevel"/>
    <w:tmpl w:val="98A19D1B"/>
    <w:lvl w:ilvl="0">
      <w:start w:val="2"/>
      <w:numFmt w:val="decimal"/>
      <w:lvlRestart w:val="0"/>
      <w:lvlText w:val="%1."/>
      <w:lvlJc w:val="left"/>
      <w:pPr>
        <w:tabs>
          <w:tab w:val="num" w:pos="312"/>
        </w:tabs>
      </w:pPr>
    </w:lvl>
  </w:abstractNum>
  <w:abstractNum w:abstractNumId="12">
    <w:nsid w:val="A490DA32"/>
    <w:multiLevelType w:val="singleLevel"/>
    <w:tmpl w:val="A490DA32"/>
    <w:lvl w:ilvl="0">
      <w:start w:val="2"/>
      <w:numFmt w:val="chineseCounting"/>
      <w:lvlRestart w:val="0"/>
      <w:suff w:val="nothing"/>
      <w:lvlText w:val="（%1）"/>
      <w:lvlJc w:val="left"/>
      <w:pPr/>
      <w:rPr>
        <w:rFonts w:hint="eastAsia"/>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ulTrailSpace/>
    <w:doNotExpandShiftReturn/>
    <w:adjustLineHeightInTable/>
    <w:doNotUseIndentAsNumberingTabStop/>
    <w:useAltKinsokuLineBreakRules/>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Times New Roman"/>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toc 3"/>
    <w:basedOn w:val="0"/>
    <w:next w:val="0"/>
    <w:pPr>
      <w:tabs>
        <w:tab w:val="right" w:leader="dot" w:pos="8296"/>
      </w:tabs>
      <w:ind w:leftChars="400" w:left="400"/>
    </w:pPr>
  </w:style>
  <w:style w:type="paragraph" w:styleId="17">
    <w:name w:val="Balloon Text"/>
    <w:basedOn w:val="0"/>
    <w:rPr>
      <w:sz w:val="18"/>
      <w:szCs w:val="18"/>
    </w:rPr>
  </w:style>
  <w:style w:type="paragraph" w:styleId="18">
    <w:name w:val="footer"/>
    <w:basedOn w:val="0"/>
    <w:pPr>
      <w:tabs>
        <w:tab w:val="center" w:pos="4153"/>
        <w:tab w:val="right" w:pos="8306"/>
      </w:tabs>
      <w:snapToGrid w:val="0"/>
      <w:jc w:val="left"/>
    </w:pPr>
    <w:rPr>
      <w:rFonts w:ascii="Calibri" w:hAnsi="Calibri"/>
      <w:kern w:val="0"/>
      <w:sz w:val="18"/>
      <w:szCs w:val="18"/>
    </w:rPr>
  </w:style>
  <w:style w:type="paragraph" w:styleId="19">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0">
    <w:name w:val="toc 1"/>
    <w:basedOn w:val="0"/>
    <w:next w:val="0"/>
    <w:pPr>
      <w:tabs>
        <w:tab w:val="right" w:leader="dot" w:pos="8296"/>
      </w:tabs>
      <w:spacing w:before="93"/>
      <w:jc w:val="center"/>
    </w:pPr>
    <w:rPr>
      <w:rFonts w:ascii="仿宋" w:eastAsia="仿宋" w:hAnsi="仿宋"/>
      <w:sz w:val="28"/>
      <w:szCs w:val="28"/>
    </w:rPr>
  </w:style>
  <w:style w:type="paragraph" w:styleId="21">
    <w:name w:val="toc 2"/>
    <w:basedOn w:val="0"/>
    <w:next w:val="0"/>
    <w:pPr>
      <w:tabs>
        <w:tab w:val="right" w:leader="dot" w:pos="8296"/>
      </w:tabs>
      <w:ind w:leftChars="200" w:left="200"/>
    </w:pPr>
  </w:style>
  <w:style w:type="character" w:styleId="22">
    <w:name w:val="Strong"/>
    <w:basedOn w:val="10"/>
    <w:rPr>
      <w:b/>
    </w:rPr>
  </w:style>
  <w:style w:type="character" w:styleId="23">
    <w:name w:val="Hyperlink"/>
    <w:basedOn w:val="10"/>
    <w:rPr>
      <w:color w:val="0000FF"/>
      <w:u w:val="single"/>
    </w:rPr>
  </w:style>
  <w:style w:type="character" w:customStyle="1" w:styleId="24">
    <w:name w:val="Header Char"/>
    <w:basedOn w:val="10"/>
    <w:rPr>
      <w:rFonts w:ascii="Times New Roman" w:hAnsi="Times New Roman"/>
      <w:sz w:val="18"/>
      <w:szCs w:val="18"/>
    </w:rPr>
  </w:style>
  <w:style w:type="character" w:customStyle="1" w:styleId="25">
    <w:name w:val="Footer Char"/>
    <w:basedOn w:val="10"/>
    <w:rPr>
      <w:rFonts w:ascii="Times New Roman" w:hAnsi="Times New Roman"/>
      <w:sz w:val="18"/>
      <w:szCs w:val="18"/>
    </w:rPr>
  </w:style>
  <w:style w:type="character" w:customStyle="1" w:styleId="26">
    <w:name w:val="Body Text Char"/>
    <w:basedOn w:val="10"/>
    <w:rPr>
      <w:rFonts w:ascii="Times New Roman" w:hAnsi="Times New Roman"/>
      <w:szCs w:val="24"/>
    </w:rPr>
  </w:style>
  <w:style w:type="paragraph" w:customStyle="1" w:styleId="27">
    <w:name w:val="Default"/>
    <w:pPr>
      <w:widowControl w:val="0"/>
      <w:autoSpaceDE w:val="0"/>
      <w:autoSpaceDN w:val="0"/>
      <w:adjustRightInd w:val="0"/>
    </w:pPr>
    <w:rPr>
      <w:rFonts w:ascii="仿宋" w:eastAsia="仿宋" w:cs="仿宋" w:hAnsi="Calibri"/>
      <w:color w:val="000000"/>
      <w:sz w:val="24"/>
      <w:szCs w:val="24"/>
      <w:lang w:val="en-US" w:eastAsia="zh-CN" w:bidi="ar-SA"/>
    </w:rPr>
  </w:style>
  <w:style w:type="paragraph" w:styleId="28">
    <w:name w:val="List Paragraph"/>
    <w:basedOn w:val="0"/>
    <w:pPr>
      <w:ind w:firstLineChars="200" w:firstLine="200"/>
    </w:pPr>
  </w:style>
  <w:style w:type="paragraph" w:customStyle="1" w:styleId="29">
    <w:name w:val="TOC 标题1"/>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0">
    <w:name w:val="TOC 标题2"/>
    <w:basedOn w:val="1"/>
    <w:next w:val="0"/>
    <w:pPr>
      <w:keepNext/>
      <w:keepLines/>
      <w:widowControl/>
      <w:spacing w:before="480" w:after="0" w:line="276" w:lineRule="auto"/>
      <w:jc w:val="left"/>
      <w:outlineLvl w:val="9"/>
    </w:pPr>
    <w:rPr>
      <w:rFonts w:ascii="Cambria" w:eastAsia="宋体" w:cs="Times New Roman" w:hAnsi="Cambria"/>
      <w:color w:val="376092"/>
      <w:kern w:val="0"/>
      <w:sz w:val="28"/>
      <w:szCs w:val="28"/>
    </w:rPr>
  </w:style>
  <w:style w:type="paragraph" w:customStyle="1" w:styleId="31">
    <w:name w:val="正文 New New New New New New New New New New New New New New New New New New New New New New New New New New New New New New New New"/>
    <w:pPr>
      <w:widowControl w:val="0"/>
      <w:jc w:val="both"/>
    </w:pPr>
    <w:rPr>
      <w:rFonts w:ascii="Times New Roman" w:eastAsia="宋体" w:cs="Times New Roman" w:hAnsi="Times New Roman"/>
      <w:kern w:val="2"/>
      <w:sz w:val="21"/>
      <w:szCs w:val="24"/>
      <w:lang w:val="en-US" w:eastAsia="zh-CN" w:bidi="ar-SA"/>
    </w:rPr>
  </w:style>
  <w:style w:type="character" w:customStyle="1" w:styleId="32">
    <w:name w:val="font01"/>
    <w:basedOn w:val="10"/>
    <w:rPr>
      <w:rFonts w:ascii="宋体" w:eastAsia="宋体" w:cs="宋体" w:hAnsi="宋体"/>
      <w:color w:val="000000"/>
      <w:sz w:val="16"/>
      <w:szCs w:val="16"/>
      <w:u w:val="no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oter" Target="footer2.xml"/><Relationship Id="rId5" Type="http://schemas.openxmlformats.org/officeDocument/2006/relationships/chart" Target="charts/chart1.xml"/><Relationship Id="rId6" Type="http://schemas.openxmlformats.org/officeDocument/2006/relationships/chart" Target="charts/chart2.xml"/><Relationship Id="rId7" Type="http://schemas.openxmlformats.org/officeDocument/2006/relationships/chart" Target="charts/chart3.xml"/><Relationship Id="rId8" Type="http://schemas.openxmlformats.org/officeDocument/2006/relationships/chart" Target="charts/chart4.xml"/><Relationship Id="rId9" Type="http://schemas.openxmlformats.org/officeDocument/2006/relationships/chart" Target="charts/chart5.xml"/><Relationship Id="rId10" Type="http://schemas.openxmlformats.org/officeDocument/2006/relationships/chart" Target="charts/chart6.xml"/><Relationship Id="rId11" Type="http://schemas.openxmlformats.org/officeDocument/2006/relationships/chart" Target="charts/chart7.xml"/><Relationship Id="rId12" Type="http://schemas.openxmlformats.org/officeDocument/2006/relationships/styles" Target="styles.xm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customXml" Target="../customXml/item1.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2019</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'Sheet1'!$B$2:$B$3</c:f>
              <c:numCache>
                <c:formatCode>General</c:formatCode>
                <c:ptCount val="2"/>
                <c:pt idx="0">
                  <c:v>542.77</c:v>
                </c:pt>
                <c:pt idx="1">
                  <c:v>541.95</c:v>
                </c:pt>
              </c:numCache>
            </c:numRef>
          </c:val>
        </c:ser>
        <c:ser>
          <c:idx val="1"/>
          <c:order val="1"/>
          <c:tx>
            <c:strRef>
              <c:f>'Sheet1'!$C$1</c:f>
              <c:strCache>
                <c:ptCount val="1"/>
                <c:pt idx="0">
                  <c:v>2020</c:v>
                </c:pt>
              </c:strCache>
            </c:strRef>
          </c:tx>
          <c:spPr>
            <a:solidFill>
              <a:srgbClr val="C0504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'Sheet1'!$A$2:$A$3</c:f>
              <c:strCache>
                <c:ptCount val="2"/>
                <c:pt idx="0">
                  <c:v>收入</c:v>
                </c:pt>
                <c:pt idx="1">
                  <c:v>支出</c:v>
                </c:pt>
              </c:strCache>
            </c:strRef>
          </c:cat>
          <c:val>
            <c:numRef>
              <c:f>'Sheet1'!$C$2:$C$3</c:f>
              <c:numCache>
                <c:formatCode>General</c:formatCode>
                <c:ptCount val="2"/>
                <c:pt idx="0">
                  <c:v>1591.68</c:v>
                </c:pt>
                <c:pt idx="1">
                  <c:v>976.92</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486877"/>
          <c:y val="0.15851393"/>
          <c:w val="0.6027342"/>
          <c:h val="0.7754386"/>
        </c:manualLayout>
      </c:layout>
      <c:pieChart>
        <c:varyColors val="1"/>
        <c:ser>
          <c:idx val="0"/>
          <c:order val="0"/>
          <c:tx>
            <c:strRef>
              <c:f>'Sheet1 (2)'!$B$1</c:f>
              <c:strCache>
                <c:ptCount val="1"/>
                <c:pt idx="0">
                  <c:v>收入</c:v>
                </c:pt>
              </c:strCache>
            </c:strRef>
          </c:tx>
          <c:spPr>
            <a:solidFill>
              <a:srgbClr val="4F81BD"/>
            </a:solidFill>
          </c:spPr>
          <c:dPt>
            <c:idx val="0"/>
            <c:bubble3D val="0"/>
            <c:spPr>
              <a:solidFill>
                <a:srgbClr val="4572A7"/>
              </a:solidFill>
            </c:spPr>
          </c:dPt>
          <c:dPt>
            <c:idx val="1"/>
            <c:bubble3D val="0"/>
            <c:spPr>
              <a:solidFill>
                <a:srgbClr val="AA4643"/>
              </a:solidFill>
            </c:spPr>
          </c:dPt>
          <c:dPt>
            <c:idx val="2"/>
            <c:bubble3D val="0"/>
            <c:spPr>
              <a:solidFill>
                <a:srgbClr val="89A54E"/>
              </a:solidFill>
            </c:spPr>
          </c:dPt>
          <c:dPt>
            <c:idx val="3"/>
            <c:bubble3D val="0"/>
            <c:spPr>
              <a:solidFill>
                <a:srgbClr val="71588F"/>
              </a:solidFill>
            </c:spPr>
          </c:dPt>
          <c:dPt>
            <c:idx val="4"/>
            <c:bubble3D val="0"/>
            <c:spPr>
              <a:solidFill>
                <a:srgbClr val="4198AF"/>
              </a:solidFill>
            </c:spPr>
          </c:dPt>
          <c:dPt>
            <c:idx val="5"/>
            <c:bubble3D val="0"/>
            <c:spPr>
              <a:solidFill>
                <a:srgbClr val="DB843D"/>
              </a:solidFill>
            </c:spPr>
          </c:dPt>
          <c:dPt>
            <c:idx val="6"/>
            <c:bubble3D val="0"/>
            <c:spPr>
              <a:solidFill>
                <a:srgbClr val="FF0000"/>
              </a:solidFill>
              <a:ln w="6350">
                <a:solidFill>
                  <a:srgbClr val="FF0000"/>
                </a:solidFill>
                <a:prstDash val="solid"/>
              </a:ln>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(2)'!$A$2:$A$8</c:f>
              <c:strCache>
                <c:ptCount val="7"/>
                <c:pt idx="0">
                  <c:v>一般公共预算财政拨款收入</c:v>
                </c:pt>
                <c:pt idx="1">
                  <c:v>政府性基金预算财政拨款收入</c:v>
                </c:pt>
                <c:pt idx="2">
                  <c:v>上级补助收入</c:v>
                </c:pt>
                <c:pt idx="3">
                  <c:v>事业收入</c:v>
                </c:pt>
                <c:pt idx="4">
                  <c:v>经营收入</c:v>
                </c:pt>
                <c:pt idx="5">
                  <c:v>附属单位上缴收入</c:v>
                </c:pt>
                <c:pt idx="6">
                  <c:v>其他收入</c:v>
                </c:pt>
              </c:strCache>
            </c:strRef>
          </c:cat>
          <c:val>
            <c:numRef>
              <c:f>'Sheet1 (2)'!$B$2:$B$8</c:f>
              <c:numCache>
                <c:formatCode>General</c:formatCode>
                <c:ptCount val="7"/>
                <c:pt idx="0">
                  <c:v>1580.93</c:v>
                </c:pt>
                <c:pt idx="1">
                  <c:v>0.0</c:v>
                </c:pt>
                <c:pt idx="2">
                  <c:v>0.0</c:v>
                </c:pt>
                <c:pt idx="3">
                  <c:v>0.0</c:v>
                </c:pt>
                <c:pt idx="4">
                  <c:v>0.0</c:v>
                </c:pt>
                <c:pt idx="5">
                  <c:v>0.0</c:v>
                </c:pt>
                <c:pt idx="6">
                  <c:v>10.76</c:v>
                </c:pt>
              </c:numCache>
            </c:numRef>
          </c:val>
        </c:ser>
        <c:firstSliceAng val="15"/>
      </c:pieChart>
      <c:spPr>
        <a:noFill/>
        <a:ln>
          <a:noFill/>
        </a:ln>
      </c:spPr>
    </c:plotArea>
    <c:legend>
      <c:legendPos val="r"/>
      <c:layout>
        <c:manualLayout>
          <c:xMode val="edge"/>
          <c:yMode val="edge"/>
          <c:x val="0.6533011"/>
          <c:y val="0.094231084"/>
          <c:w val="0.32984465"/>
          <c:h val="0.8751082"/>
        </c:manualLayout>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026486877"/>
          <c:y val="0.1750258"/>
          <c:w val="0.6990501"/>
          <c:h val="0.7754386"/>
        </c:manualLayout>
      </c:layout>
      <c:pieChart>
        <c:varyColors val="1"/>
        <c:ser>
          <c:idx val="0"/>
          <c:order val="0"/>
          <c:tx>
            <c:strRef>
              <c:f>'Sheet1 (3)'!$B$1</c:f>
              <c:strCache>
                <c:ptCount val="1"/>
                <c:pt idx="0">
                  <c:v>支出</c:v>
                </c:pt>
              </c:strCache>
            </c:strRef>
          </c:tx>
          <c:spPr>
            <a:solidFill>
              <a:srgbClr val="4F81BD"/>
            </a:solidFill>
          </c:spPr>
          <c:explosion val="12"/>
          <c:dPt>
            <c:idx val="0"/>
            <c:bubble3D val="0"/>
            <c:explosion val="0"/>
            <c:spPr>
              <a:solidFill>
                <a:srgbClr val="4F81BD"/>
              </a:solidFill>
            </c:spPr>
          </c:dPt>
          <c:dPt>
            <c:idx val="1"/>
            <c:bubble3D val="0"/>
            <c:explosion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(3)'!$A$2:$A$6</c:f>
              <c:strCache>
                <c:ptCount val="5"/>
                <c:pt idx="0">
                  <c:v>基本支出</c:v>
                </c:pt>
                <c:pt idx="1">
                  <c:v>项目支出</c:v>
                </c:pt>
                <c:pt idx="2">
                  <c:v>上缴上级支出</c:v>
                </c:pt>
                <c:pt idx="3">
                  <c:v>经营支出</c:v>
                </c:pt>
                <c:pt idx="4">
                  <c:v>附属单位补助支出</c:v>
                </c:pt>
              </c:strCache>
            </c:strRef>
          </c:cat>
          <c:val>
            <c:numRef>
              <c:f>'Sheet1 (3)'!$B$2:$B$6</c:f>
              <c:numCache>
                <c:formatCode>General</c:formatCode>
                <c:ptCount val="5"/>
                <c:pt idx="0">
                  <c:v>581.53</c:v>
                </c:pt>
                <c:pt idx="1">
                  <c:v>395.39</c:v>
                </c:pt>
                <c:pt idx="2">
                  <c:v>0.0</c:v>
                </c:pt>
                <c:pt idx="3">
                  <c:v>0.0</c:v>
                </c:pt>
                <c:pt idx="4">
                  <c:v>0.0</c:v>
                </c:pt>
              </c:numCache>
            </c:numRef>
          </c:val>
        </c:ser>
        <c:firstSliceAng val="15"/>
      </c:pie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(4)'!$B$1</c:f>
              <c:strCache>
                <c:ptCount val="1"/>
                <c:pt idx="0">
                  <c:v>2019</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(4)'!$B$2:$B$3</c:f>
              <c:numCache>
                <c:formatCode>General</c:formatCode>
                <c:ptCount val="2"/>
                <c:pt idx="0">
                  <c:v>542.23</c:v>
                </c:pt>
                <c:pt idx="1">
                  <c:v>541.42</c:v>
                </c:pt>
              </c:numCache>
            </c:numRef>
          </c:val>
        </c:ser>
        <c:ser>
          <c:idx val="1"/>
          <c:order val="1"/>
          <c:tx>
            <c:strRef>
              <c:f>'Sheet1 (4)'!$C$1</c:f>
              <c:strCache>
                <c:ptCount val="1"/>
                <c:pt idx="0">
                  <c:v>2020</c:v>
                </c:pt>
              </c:strCache>
            </c:strRef>
          </c:tx>
          <c:spPr>
            <a:solidFill>
              <a:srgbClr val="C0504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(4)'!$A$2:$A$3</c:f>
              <c:strCache>
                <c:ptCount val="2"/>
                <c:pt idx="0">
                  <c:v>收入</c:v>
                </c:pt>
                <c:pt idx="1">
                  <c:v>支出</c:v>
                </c:pt>
              </c:strCache>
            </c:strRef>
          </c:cat>
          <c:val>
            <c:numRef>
              <c:f>'Sheet1 (4)'!$C$2:$C$3</c:f>
              <c:numCache>
                <c:formatCode>General</c:formatCode>
                <c:ptCount val="2"/>
                <c:pt idx="0">
                  <c:v>1580.93</c:v>
                </c:pt>
                <c:pt idx="1">
                  <c:v>957.85</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 (5)'!$B$1</c:f>
              <c:strCache>
                <c:ptCount val="1"/>
                <c:pt idx="0">
                  <c:v>2019</c:v>
                </c:pt>
              </c:strCache>
            </c:strRef>
          </c:tx>
          <c:spPr>
            <a:solidFill>
              <a:srgbClr val="4F81B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一般公共预算财政支出</c:v>
                </c:pt>
              </c:strCache>
            </c:strRef>
          </c:cat>
          <c:val>
            <c:numRef>
              <c:f>Sheet1 (5)!$B$2</c:f>
              <c:numCache>
                <c:formatCode>General</c:formatCode>
                <c:ptCount val="1"/>
                <c:pt idx="0">
                  <c:v>541.42</c:v>
                </c:pt>
              </c:numCache>
            </c:numRef>
          </c:val>
        </c:ser>
        <c:ser>
          <c:idx val="1"/>
          <c:order val="1"/>
          <c:tx>
            <c:strRef>
              <c:f>'Sheet1 (5)'!$C$1</c:f>
              <c:strCache>
                <c:ptCount val="1"/>
                <c:pt idx="0">
                  <c:v>2020</c:v>
                </c:pt>
              </c:strCache>
            </c:strRef>
          </c:tx>
          <c:spPr>
            <a:solidFill>
              <a:srgbClr val="C0504D"/>
            </a:solidFill>
          </c:spPr>
          <c:invertIfNegative val="0"/>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(5)'!$A$2</c:f>
              <c:strCache>
                <c:ptCount val="1"/>
                <c:pt idx="0">
                  <c:v>一般公共预算财政支出</c:v>
                </c:pt>
              </c:strCache>
            </c:strRef>
          </c:cat>
          <c:val>
            <c:numRef>
              <c:f>Sheet1 (5)!$C$2</c:f>
              <c:numCache>
                <c:formatCode>General</c:formatCode>
                <c:ptCount val="1"/>
                <c:pt idx="0">
                  <c:v>957.85</c:v>
                </c:pt>
              </c:numCache>
            </c:numRef>
          </c:val>
        </c:ser>
        <c:gapWidth val="150"/>
        <c:axId val="0"/>
        <c:axId val="1"/>
      </c:barChart>
      <c:catAx>
        <c:axId val="0"/>
        <c:scaling>
          <c:orientation val="minMax"/>
        </c:scaling>
        <c:delete val="0"/>
        <c:axPos val="b"/>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 val="autoZero"/>
        <c:auto val="1"/>
        <c:lblOffset val="100"/>
        <c:lblAlgn val="ctr"/>
        <c:noMultiLvlLbl val="0"/>
        <c:crossAx val="1"/>
      </c:catAx>
      <c:valAx>
        <c:axId val="1"/>
        <c:scaling>
          <c:orientation val="minMax"/>
        </c:scaling>
        <c:delete val="0"/>
        <c:axPos val="l"/>
        <c:majorGridlines/>
        <c:numFmt formatCode="General" sourceLinked="1"/>
        <c:majorTickMark val="out"/>
        <c:minorTickMark val="none"/>
        <c:tickLblPos val="nextTo"/>
        <c:txPr>
          <a:bodyPr/>
          <a:lstStyle/>
          <a:p>
            <a:pPr>
              <a:defRPr sz="1000" b="0" i="0" u="none" strike="noStrike" baseline="0">
                <a:solidFill>
                  <a:srgbClr val="000000"/>
                </a:solidFill>
                <a:latin typeface="Times New Roman"/>
                <a:ea typeface="宋体"/>
                <a:cs typeface="Lucida Sans"/>
              </a:defRPr>
            </a:pPr>
            <a:endParaRPr lang="zh-CN"/>
          </a:p>
        </c:txPr>
        <c:crossesAt val="1.0"/>
        <c:crossBetween val="between"/>
        <c:crossAx val="0"/>
      </c:valAx>
      <c:spPr>
        <a:solidFill>
          <a:srgbClr val="FFFFFF"/>
        </a:solid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666738"/>
          <c:y val="0.08151383"/>
          <c:w val="0.36369157"/>
          <c:h val="0.8719068"/>
        </c:manualLayout>
      </c:layout>
      <c:pieChart>
        <c:varyColors val="1"/>
        <c:ser>
          <c:idx val="0"/>
          <c:order val="0"/>
          <c:tx>
            <c:strRef>
              <c:f>'Sheet1 (6)'!$B$1</c:f>
              <c:strCache>
                <c:ptCount val="1"/>
                <c:pt idx="0">
                  <c:v>2020</c:v>
                </c:pt>
              </c:strCache>
            </c:strRef>
          </c:tx>
          <c:spPr>
            <a:solidFill>
              <a:srgbClr val="4F81BD"/>
            </a:solidFill>
          </c:spPr>
          <c:explosion val="18"/>
          <c:dPt>
            <c:idx val="0"/>
            <c:bubble3D val="0"/>
            <c:spPr>
              <a:solidFill>
                <a:srgbClr val="4F81BD"/>
              </a:solidFill>
            </c:spPr>
          </c:dPt>
          <c:dPt>
            <c:idx val="1"/>
            <c:bubble3D val="0"/>
            <c:spPr>
              <a:solidFill>
                <a:srgbClr val="C0504D"/>
              </a:solidFill>
            </c:spPr>
          </c:dPt>
          <c:dPt>
            <c:idx val="2"/>
            <c:bubble3D val="0"/>
            <c:spPr>
              <a:solidFill>
                <a:srgbClr val="9BBB59"/>
              </a:solidFill>
            </c:spPr>
          </c:dPt>
          <c:dPt>
            <c:idx val="3"/>
            <c:bubble3D val="0"/>
            <c:spPr>
              <a:solidFill>
                <a:srgbClr val="8064A2"/>
              </a:solidFill>
            </c:spPr>
          </c:dPt>
          <c:dPt>
            <c:idx val="4"/>
            <c:bubble3D val="0"/>
            <c:spPr>
              <a:solidFill>
                <a:srgbClr val="4BACC6"/>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(6)'!$A$2:$A$6</c:f>
              <c:strCache>
                <c:ptCount val="5"/>
                <c:pt idx="0">
                  <c:v>一般公共服务支出</c:v>
                </c:pt>
                <c:pt idx="1">
                  <c:v>社会保障和就业支出</c:v>
                </c:pt>
                <c:pt idx="2">
                  <c:v>医疗卫生与计划生育支出</c:v>
                </c:pt>
                <c:pt idx="3">
                  <c:v>农林水支出</c:v>
                </c:pt>
                <c:pt idx="4">
                  <c:v>住房保障支出</c:v>
                </c:pt>
              </c:strCache>
            </c:strRef>
          </c:cat>
          <c:val>
            <c:numRef>
              <c:f>'Sheet1 (6)'!$B$2:$B$6</c:f>
              <c:numCache>
                <c:formatCode>General</c:formatCode>
                <c:ptCount val="5"/>
                <c:pt idx="0">
                  <c:v>897.74</c:v>
                </c:pt>
                <c:pt idx="1">
                  <c:v>35.87</c:v>
                </c:pt>
                <c:pt idx="2">
                  <c:v>16.33</c:v>
                </c:pt>
                <c:pt idx="3">
                  <c:v>2.41</c:v>
                </c:pt>
                <c:pt idx="4">
                  <c:v>24.58</c:v>
                </c:pt>
              </c:numCache>
            </c:numRef>
          </c:val>
        </c:ser>
        <c:firstSliceAng val="0"/>
      </c:pieChart>
      <c:spPr>
        <a:noFill/>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26474128"/>
          <c:y val="0.11908397"/>
          <c:w val="0.6029254"/>
          <c:h val="0.7231552"/>
        </c:manualLayout>
      </c:layout>
      <c:pieChart>
        <c:varyColors val="1"/>
        <c:ser>
          <c:idx val="0"/>
          <c:order val="0"/>
          <c:tx>
            <c:strRef>
              <c:f>'Sheet1 (7)'!$B$1</c:f>
              <c:strCache>
                <c:ptCount val="1"/>
                <c:pt idx="0">
                  <c:v>列1</c:v>
                </c:pt>
              </c:strCache>
            </c:strRef>
          </c:tx>
          <c:spPr>
            <a:solidFill>
              <a:srgbClr val="4F81BD"/>
            </a:solidFill>
          </c:spPr>
          <c:explosion val="25"/>
          <c:dPt>
            <c:idx val="0"/>
            <c:bubble3D val="0"/>
            <c:spPr>
              <a:solidFill>
                <a:srgbClr val="4F81BD"/>
              </a:solidFill>
            </c:spPr>
          </c:dPt>
          <c:dPt>
            <c:idx val="1"/>
            <c:bubble3D val="0"/>
            <c:spPr>
              <a:solidFill>
                <a:srgbClr val="C0504D"/>
              </a:solidFill>
            </c:spPr>
          </c:dPt>
          <c:dPt>
            <c:idx val="2"/>
            <c:bubble3D val="0"/>
            <c:spPr>
              <a:solidFill>
                <a:srgbClr val="9BBB59"/>
              </a:solidFill>
            </c:spPr>
          </c:dPt>
          <c:dLbls>
            <c:txPr>
              <a:bodyPr/>
              <a:lstStyle/>
              <a:p>
                <a:pPr>
                  <a:defRPr sz="1000" b="0" i="0" u="none" strike="noStrike" baseline="0">
                    <a:solidFill>
                      <a:srgbClr val="000000"/>
                    </a:solidFill>
                    <a:latin typeface="Times New Roman"/>
                    <a:ea typeface="宋体"/>
                    <a:cs typeface="Lucida Sans"/>
                  </a:defRPr>
                </a:pPr>
                <a:endParaRPr lang="zh-CN"/>
              </a:p>
            </c:txPr>
            <c:numFmt formatCode="General" sourceLinked="1"/>
            <c:showLegendKey val="0"/>
            <c:showVal val="0"/>
            <c:showCatName val="0"/>
            <c:showSerName val="0"/>
            <c:showPercent val="0"/>
            <c:showBubbleSize val="0"/>
            <c:showLeaderLines val="0"/>
          </c:dLbls>
          <c:cat>
            <c:strRef>
              <c:f>'Sheet1 (7)'!$A$2:$A$4</c:f>
              <c:strCache>
                <c:ptCount val="3"/>
                <c:pt idx="0">
                  <c:v>因公出国（境）费</c:v>
                </c:pt>
                <c:pt idx="1">
                  <c:v>公务用车购置及运行维护费</c:v>
                </c:pt>
                <c:pt idx="2">
                  <c:v>公务接待费</c:v>
                </c:pt>
              </c:strCache>
            </c:strRef>
          </c:cat>
          <c:val>
            <c:numRef>
              <c:f>'Sheet1 (7)'!$B$2:$B$4</c:f>
              <c:numCache>
                <c:formatCode>General</c:formatCode>
                <c:ptCount val="3"/>
                <c:pt idx="0">
                  <c:v>0.0</c:v>
                </c:pt>
                <c:pt idx="1">
                  <c:v>0.0</c:v>
                </c:pt>
                <c:pt idx="2">
                  <c:v>2.99</c:v>
                </c:pt>
              </c:numCache>
            </c:numRef>
          </c:val>
        </c:ser>
        <c:firstSliceAng val="15"/>
      </c:pieChart>
      <c:spPr>
        <a:noFill/>
        <a:ln>
          <a:noFill/>
        </a:ln>
      </c:spPr>
    </c:plotArea>
    <c:legend>
      <c:legendPos val="r"/>
      <c:layout/>
      <c:overlay val="0"/>
      <c:spPr>
        <a:noFill/>
        <a:ln>
          <a:noFill/>
        </a:ln>
      </c:spPr>
      <c:txPr>
        <a:bodyPr/>
        <a:lstStyle/>
        <a:p>
          <a:pPr>
            <a:defRPr sz="1000" b="0" i="0" u="none" strike="noStrike" baseline="0">
              <a:solidFill>
                <a:srgbClr val="000000"/>
              </a:solidFill>
              <a:latin typeface="Times New Roman"/>
              <a:ea typeface="宋体"/>
              <a:cs typeface="Lucida Sans"/>
            </a:defRPr>
          </a:pPr>
          <a:endParaRPr lang="zh-CN"/>
        </a:p>
      </c:txPr>
    </c:legend>
    <c:plotVisOnly val="1"/>
    <c:dispBlanksAs val="zero"/>
    <c:showDLblsOverMax val="0"/>
  </c:chart>
  <c:spPr/>
  <c:txPr>
    <a:bodyPr/>
    <a:lstStyle/>
    <a:p>
      <a:pPr>
        <a:defRPr sz="1000" b="0" i="0" u="none" strike="noStrike" baseline="0">
          <a:solidFill>
            <a:srgbClr val="000000"/>
          </a:solidFill>
          <a:latin typeface="Times New Roman"/>
          <a:ea typeface="宋体"/>
          <a:cs typeface="Lucida Sans"/>
        </a:defRPr>
      </a:pPr>
      <a:endParaRPr lang="zh-CN"/>
    </a:p>
  </c:txPr>
  <c:printSettings>
    <c:headerFooter/>
    <c:pageMargins b="0.75" l="0.7" r="0.7" t="0.75" header="0.3" footer="0.3"/>
    <c:pageSetup/>
  </c:printSettings>
  <c:externalData r:id="rId1">
    <c:autoUpdate val="0"/>
  </c:externalData>
</c:chartSpac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sectPr/>
  </customProps>
</customData>
</file>

<file path=customXml/itemProps1.xml><?xml version="1.0" encoding="utf-8"?>
<ds:datastoreItem xmlns:ds="http://schemas.openxmlformats.org/officeDocument/2006/customXml" ds:itemID="{2D87B718-2C40-4D43-89A4-66621BE6C316}">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7</TotalTime>
  <Application>Yozo_Office27021597764231179</Application>
  <Pages>61</Pages>
  <Words>0</Words>
  <Characters>20994</Characters>
  <Lines>0</Lines>
  <Paragraphs>521</Paragraphs>
  <CharactersWithSpaces>27992</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20</cp:revision>
  <cp:lastPrinted>2021-09-28T10:03:00Z</cp:lastPrinted>
  <dcterms:created xsi:type="dcterms:W3CDTF">2020-09-08T08:44:00Z</dcterms:created>
  <dcterms:modified xsi:type="dcterms:W3CDTF">2023-09-24T03:57:38Z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2052-11.1.0.10314</vt:lpwstr>
  </property>
</Properties>
</file>