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28"/>
          <w:szCs w:val="28"/>
        </w:rPr>
      </w:pPr>
    </w:p>
    <w:p>
      <w:pPr>
        <w:spacing w:line="600" w:lineRule="exact"/>
        <w:jc w:val="center"/>
        <w:outlineLvl w:val="0"/>
        <w:rPr>
          <w:rFonts w:ascii="方正小标宋简体" w:eastAsia="方正小标宋简体" w:hAnsi="宋体"/>
          <w:color w:val="000000"/>
          <w:sz w:val="28"/>
          <w:szCs w:val="28"/>
        </w:rPr>
      </w:pPr>
    </w:p>
    <w:p>
      <w:pPr>
        <w:spacing w:line="600" w:lineRule="exact"/>
        <w:jc w:val="center"/>
        <w:outlineLvl w:val="0"/>
        <w:rPr>
          <w:rFonts w:ascii="方正小标宋简体" w:eastAsia="方正小标宋简体" w:hAnsi="宋体"/>
          <w:color w:val="000000"/>
          <w:sz w:val="28"/>
          <w:szCs w:val="28"/>
        </w:rPr>
      </w:pPr>
    </w:p>
    <w:p>
      <w:pPr>
        <w:adjustRightInd w:val="0"/>
        <w:snapToGrid w:val="0"/>
        <w:spacing w:line="360" w:lineRule="auto"/>
        <w:jc w:val="center"/>
        <w:outlineLvl w:val="0"/>
        <w:rPr>
          <w:rFonts w:ascii="黑体" w:eastAsia="黑体" w:hAnsi="黑体"/>
          <w:color w:val="000000"/>
          <w:sz w:val="72"/>
          <w:szCs w:val="72"/>
        </w:rPr>
      </w:pPr>
      <w:bookmarkStart w:id="2" w:name="_Toc15377425"/>
      <w:bookmarkStart w:id="3" w:name="_Toc15396475"/>
      <w:bookmarkStart w:id="4" w:name="_Toc15378441"/>
      <w:bookmarkStart w:id="5" w:name="_Toc15377193"/>
      <w:bookmarkStart w:id="6" w:name="_Toc15396597"/>
      <w:r>
        <w:rPr>
          <w:rFonts w:ascii="黑体" w:eastAsia="黑体" w:hAnsi="黑体"/>
          <w:color w:val="000000"/>
          <w:sz w:val="72"/>
          <w:szCs w:val="72"/>
        </w:rPr>
        <w:t>201</w:t>
      </w:r>
      <w:r>
        <w:rPr>
          <w:rFonts w:ascii="黑体" w:eastAsia="黑体" w:hAnsi="黑体" w:hint="eastAsia"/>
          <w:color w:val="000000"/>
          <w:sz w:val="72"/>
          <w:szCs w:val="72"/>
        </w:rPr>
        <w:t>9年度</w:t>
      </w:r>
      <w:bookmarkEnd w:id="2"/>
      <w:bookmarkEnd w:id="3"/>
      <w:bookmarkEnd w:id="4"/>
      <w:bookmarkEnd w:id="5"/>
      <w:bookmarkEnd w:id="6"/>
    </w:p>
    <w:p>
      <w:pPr>
        <w:adjustRightInd w:val="0"/>
        <w:snapToGrid w:val="0"/>
        <w:spacing w:line="360" w:lineRule="auto"/>
        <w:jc w:val="center"/>
        <w:outlineLvl w:val="0"/>
        <w:rPr>
          <w:rFonts w:ascii="黑体" w:eastAsia="黑体" w:hAnsi="黑体"/>
          <w:color w:val="000000"/>
          <w:sz w:val="72"/>
          <w:szCs w:val="72"/>
        </w:rPr>
      </w:pPr>
      <w:bookmarkStart w:id="7" w:name="_Toc15377194"/>
      <w:bookmarkStart w:id="8" w:name="_Toc15378442"/>
      <w:bookmarkStart w:id="9" w:name="_Toc15306268"/>
      <w:bookmarkStart w:id="10" w:name="_Toc15396476"/>
      <w:bookmarkStart w:id="11" w:name="_Toc15377426"/>
      <w:bookmarkStart w:id="12" w:name="_Toc15396598"/>
      <w:bookmarkEnd w:id="0"/>
      <w:r>
        <w:rPr>
          <w:rFonts w:ascii="黑体" w:eastAsia="黑体" w:hAnsi="黑体" w:hint="eastAsia"/>
          <w:color w:val="000000"/>
          <w:sz w:val="72"/>
          <w:szCs w:val="72"/>
        </w:rPr>
        <w:t>广元市利州区老区建设促进会部门决算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eastAsia="方正小标宋简体" w:hAnsi="宋体"/>
          <w:color w:val="000000"/>
          <w:sz w:val="28"/>
          <w:szCs w:val="28"/>
        </w:rPr>
      </w:pPr>
    </w:p>
    <w:p>
      <w:pPr>
        <w:widowControl/>
        <w:jc w:val="center"/>
        <w:rPr>
          <w:rFonts w:ascii="黑体" w:eastAsia="黑体" w:hAnsi="黑体"/>
          <w:color w:val="000000"/>
          <w:sz w:val="28"/>
          <w:szCs w:val="28"/>
        </w:rPr>
      </w:pPr>
      <w:r>
        <w:rPr>
          <w:rFonts w:ascii="方正小标宋简体" w:eastAsia="方正小标宋简体" w:hAnsi="宋体"/>
          <w:color w:val="000000"/>
          <w:sz w:val="28"/>
          <w:szCs w:val="28"/>
        </w:rPr>
        <w:br w:type="page"/>
      </w:r>
      <w:r>
        <w:rPr>
          <w:rFonts w:ascii="黑体" w:eastAsia="黑体" w:hAnsi="黑体" w:hint="eastAsia"/>
          <w:color w:val="000000"/>
          <w:sz w:val="28"/>
          <w:szCs w:val="28"/>
        </w:rPr>
        <w:t>目录</w:t>
      </w:r>
    </w:p>
    <w:p>
      <w:pPr>
        <w:widowControl/>
        <w:jc w:val="center"/>
        <w:rPr>
          <w:rFonts w:ascii="黑体" w:eastAsia="黑体" w:cs="Arial" w:hAnsi="黑体"/>
          <w:sz w:val="28"/>
          <w:szCs w:val="28"/>
        </w:rPr>
      </w:pPr>
      <w:r>
        <w:rPr>
          <w:rFonts w:ascii="黑体" w:eastAsia="黑体" w:hAnsi="黑体"/>
          <w:color w:val="000000"/>
          <w:sz w:val="28"/>
          <w:szCs w:val="28"/>
        </w:rPr>
        <w:fldChar w:fldCharType="begin"/>
      </w:r>
      <w:r>
        <w:rPr>
          <w:rFonts w:ascii="黑体" w:eastAsia="黑体" w:hAnsi="黑体"/>
          <w:color w:val="000000"/>
          <w:sz w:val="28"/>
          <w:szCs w:val="28"/>
        </w:rPr>
        <w:instrText xml:space="preserve"> TOC \o "1-2" \h \z \u </w:instrText>
      </w:r>
      <w:r>
        <w:rPr>
          <w:rFonts w:ascii="黑体" w:eastAsia="黑体" w:hAnsi="黑体"/>
          <w:color w:val="000000"/>
          <w:sz w:val="28"/>
          <w:szCs w:val="28"/>
        </w:rPr>
        <w:fldChar w:fldCharType="separate"/>
      </w:r>
    </w:p>
    <w:p>
      <w:pPr>
        <w:pStyle w:val="20"/>
        <w:tabs>
          <w:tab w:val="right" w:leader="dot" w:pos="8296"/>
        </w:tabs>
      </w:pPr>
      <w:r>
        <w:rPr>
          <w:rFonts w:hint="eastAsia"/>
        </w:rPr>
        <w:t>公开时间：2019年9月8日</w:t>
      </w:r>
    </w:p>
    <w:p>
      <w:pPr>
        <w:rPr>
          <w:sz w:val="28"/>
          <w:szCs w:val="28"/>
        </w:rPr>
      </w:pPr>
    </w:p>
    <w:p>
      <w:pPr>
        <w:pStyle w:val="20"/>
        <w:tabs>
          <w:tab w:val="right" w:leader="dot" w:pos="8296"/>
        </w:tabs>
        <w:rPr>
          <w:rFonts w:cs="Arial"/>
        </w:rPr>
      </w:pPr>
      <w:r>
        <w:fldChar w:fldCharType="begin"/>
      </w:r>
      <w:r>
        <w:instrText>Hyperlink \l "_Toc15396599"</w:instrText>
      </w:r>
      <w:r>
        <w:fldChar w:fldCharType="separate"/>
      </w:r>
      <w:r>
        <w:rPr>
          <w:rFonts w:hint="eastAsia"/>
        </w:rPr>
        <w:t>第一部分</w:t>
      </w:r>
      <w:r>
        <w:t xml:space="preserve"> </w:t>
      </w:r>
      <w:r>
        <w:rPr>
          <w:rFonts w:hint="eastAsia"/>
        </w:rPr>
        <w:t>部门概况</w:t>
      </w:r>
      <w:r>
        <w:tab/>
      </w:r>
      <w:r>
        <w:rPr>
          <w:rFonts w:hint="eastAsia"/>
        </w:rPr>
        <w:t>4</w:t>
      </w:r>
      <w:r>
        <w:fldChar w:fldCharType="end"/>
      </w:r>
    </w:p>
    <w:p>
      <w:pPr>
        <w:pStyle w:val="21"/>
        <w:tabs>
          <w:tab w:val="right" w:leader="dot" w:pos="8296"/>
        </w:tabs>
        <w:rPr>
          <w:rFonts w:ascii="仿宋" w:eastAsia="仿宋" w:cs="Arial" w:hAnsi="仿宋"/>
          <w:sz w:val="28"/>
          <w:szCs w:val="28"/>
        </w:rPr>
      </w:pPr>
      <w:r>
        <w:fldChar w:fldCharType="begin"/>
      </w:r>
      <w:r>
        <w:instrText>Hyperlink \l "_Toc15396600"</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fldChar w:fldCharType="end"/>
      </w:r>
    </w:p>
    <w:p>
      <w:pPr>
        <w:pStyle w:val="21"/>
        <w:tabs>
          <w:tab w:val="right" w:leader="dot" w:pos="8296"/>
        </w:tabs>
        <w:rPr>
          <w:rFonts w:ascii="仿宋" w:eastAsia="仿宋" w:cs="Arial" w:hAnsi="仿宋"/>
          <w:sz w:val="28"/>
          <w:szCs w:val="28"/>
        </w:rPr>
      </w:pPr>
      <w:r>
        <w:fldChar w:fldCharType="begin"/>
      </w:r>
      <w:r>
        <w:instrText>Hyperlink \l "_Toc15396601"</w:instrText>
      </w:r>
      <w:r>
        <w:fldChar w:fldCharType="separate"/>
      </w:r>
      <w:r>
        <w:rPr>
          <w:rFonts w:ascii="仿宋" w:eastAsia="仿宋" w:hAnsi="仿宋" w:hint="eastAsia"/>
          <w:sz w:val="28"/>
          <w:szCs w:val="28"/>
        </w:rPr>
        <w:t>二、机构设置</w:t>
      </w:r>
      <w:r>
        <w:rPr>
          <w:rFonts w:ascii="仿宋" w:eastAsia="仿宋" w:hAnsi="仿宋"/>
          <w:sz w:val="28"/>
          <w:szCs w:val="28"/>
        </w:rPr>
        <w:tab/>
      </w:r>
      <w:r>
        <w:fldChar w:fldCharType="end"/>
      </w:r>
      <w:r>
        <w:rPr>
          <w:rFonts w:hint="eastAsia"/>
          <w:sz w:val="28"/>
          <w:szCs w:val="28"/>
        </w:rPr>
        <w:t>4</w:t>
      </w:r>
    </w:p>
    <w:p>
      <w:pPr>
        <w:pStyle w:val="20"/>
        <w:tabs>
          <w:tab w:val="right" w:leader="dot" w:pos="8296"/>
        </w:tabs>
      </w:pPr>
      <w:r>
        <w:fldChar w:fldCharType="begin"/>
      </w:r>
      <w:r>
        <w:instrText>Hyperlink \l "_Toc15396602"</w:instrText>
      </w:r>
      <w:r>
        <w:fldChar w:fldCharType="separate"/>
      </w:r>
      <w:r>
        <w:rPr>
          <w:rFonts w:hint="eastAsia"/>
        </w:rPr>
        <w:t>第二部分</w:t>
      </w:r>
      <w:r>
        <w:t xml:space="preserve"> 201</w:t>
      </w:r>
      <w:r>
        <w:rPr>
          <w:rFonts w:hint="eastAsia"/>
        </w:rPr>
        <w:t>9年度部门决算情况说明</w:t>
      </w:r>
      <w:r>
        <w:tab/>
      </w:r>
      <w:r>
        <w:fldChar w:fldCharType="end"/>
      </w:r>
      <w:r>
        <w:rPr>
          <w:rFonts w:hint="eastAsia"/>
        </w:rPr>
        <w:t>5</w:t>
      </w:r>
    </w:p>
    <w:p>
      <w:pPr>
        <w:pStyle w:val="21"/>
        <w:tabs>
          <w:tab w:val="right" w:leader="dot" w:pos="8296"/>
        </w:tabs>
        <w:rPr>
          <w:rFonts w:ascii="仿宋" w:eastAsia="仿宋" w:cs="Arial" w:hAnsi="仿宋"/>
          <w:sz w:val="28"/>
          <w:szCs w:val="28"/>
        </w:rPr>
      </w:pPr>
      <w:r>
        <w:fldChar w:fldCharType="begin"/>
      </w:r>
      <w:r>
        <w:instrText>Hyperlink \l "_Toc15396603"</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fldChar w:fldCharType="end"/>
      </w:r>
      <w:r>
        <w:rPr>
          <w:rFonts w:hint="eastAsia"/>
          <w:sz w:val="28"/>
          <w:szCs w:val="28"/>
        </w:rPr>
        <w:t>5</w:t>
      </w:r>
    </w:p>
    <w:p>
      <w:pPr>
        <w:pStyle w:val="21"/>
        <w:tabs>
          <w:tab w:val="right" w:leader="dot" w:pos="8296"/>
        </w:tabs>
        <w:rPr>
          <w:rFonts w:ascii="仿宋" w:eastAsia="仿宋" w:cs="Arial" w:hAnsi="仿宋"/>
          <w:sz w:val="28"/>
          <w:szCs w:val="28"/>
        </w:rPr>
      </w:pPr>
      <w:r>
        <w:fldChar w:fldCharType="begin"/>
      </w:r>
      <w:r>
        <w:instrText>Hyperlink \l "_Toc15396604"</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fldChar w:fldCharType="end"/>
      </w:r>
      <w:r>
        <w:rPr>
          <w:rFonts w:hint="eastAsia"/>
          <w:sz w:val="28"/>
          <w:szCs w:val="28"/>
        </w:rPr>
        <w:t>5</w:t>
      </w:r>
    </w:p>
    <w:p>
      <w:pPr>
        <w:pStyle w:val="21"/>
        <w:tabs>
          <w:tab w:val="right" w:leader="dot" w:pos="8296"/>
        </w:tabs>
        <w:rPr>
          <w:rFonts w:ascii="仿宋" w:eastAsia="仿宋" w:cs="Arial" w:hAnsi="仿宋"/>
          <w:sz w:val="28"/>
          <w:szCs w:val="28"/>
        </w:rPr>
      </w:pPr>
      <w:r>
        <w:fldChar w:fldCharType="begin"/>
      </w:r>
      <w:r>
        <w:instrText>Hyperlink \l "_Toc15396605"</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fldChar w:fldCharType="end"/>
      </w:r>
      <w:r>
        <w:rPr>
          <w:rFonts w:hint="eastAsia"/>
          <w:sz w:val="28"/>
          <w:szCs w:val="28"/>
        </w:rPr>
        <w:t>6</w:t>
      </w:r>
    </w:p>
    <w:p>
      <w:pPr>
        <w:pStyle w:val="21"/>
        <w:tabs>
          <w:tab w:val="right" w:leader="dot" w:pos="8296"/>
        </w:tabs>
        <w:rPr>
          <w:rFonts w:ascii="仿宋" w:eastAsia="仿宋" w:cs="Arial" w:hAnsi="仿宋"/>
          <w:sz w:val="28"/>
          <w:szCs w:val="28"/>
        </w:rPr>
      </w:pPr>
      <w:r>
        <w:fldChar w:fldCharType="begin"/>
      </w:r>
      <w:r>
        <w:instrText>Hyperlink \l "_Toc15396606"</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hint="eastAsia"/>
          <w:sz w:val="28"/>
          <w:szCs w:val="28"/>
        </w:rPr>
        <w:t>7</w:t>
      </w:r>
      <w:r>
        <w:fldChar w:fldCharType="end"/>
      </w:r>
    </w:p>
    <w:p>
      <w:pPr>
        <w:pStyle w:val="21"/>
        <w:tabs>
          <w:tab w:val="right" w:leader="dot" w:pos="8296"/>
        </w:tabs>
        <w:rPr>
          <w:rFonts w:ascii="仿宋" w:eastAsia="仿宋" w:cs="Arial" w:hAnsi="仿宋"/>
          <w:sz w:val="28"/>
          <w:szCs w:val="28"/>
        </w:rPr>
      </w:pPr>
      <w:r>
        <w:fldChar w:fldCharType="begin"/>
      </w:r>
      <w:r>
        <w:instrText>Hyperlink \l "_Toc15396607"</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8</w:t>
      </w:r>
      <w:r>
        <w:fldChar w:fldCharType="end"/>
      </w:r>
    </w:p>
    <w:p>
      <w:pPr>
        <w:pStyle w:val="21"/>
        <w:tabs>
          <w:tab w:val="right" w:leader="dot" w:pos="8296"/>
        </w:tabs>
        <w:rPr>
          <w:rFonts w:ascii="仿宋" w:eastAsia="仿宋" w:cs="Arial" w:hAnsi="仿宋"/>
          <w:sz w:val="28"/>
          <w:szCs w:val="28"/>
        </w:rPr>
      </w:pPr>
      <w:r>
        <w:fldChar w:fldCharType="begin"/>
      </w:r>
      <w:r>
        <w:instrText>Hyperlink \l "_Toc15396608"</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fldChar w:fldCharType="end"/>
      </w:r>
      <w:r>
        <w:rPr>
          <w:rFonts w:hint="eastAsia"/>
          <w:sz w:val="28"/>
          <w:szCs w:val="28"/>
        </w:rPr>
        <w:t>11</w:t>
      </w:r>
    </w:p>
    <w:p>
      <w:pPr>
        <w:pStyle w:val="21"/>
        <w:tabs>
          <w:tab w:val="right" w:leader="dot" w:pos="8296"/>
        </w:tabs>
        <w:rPr>
          <w:rFonts w:ascii="仿宋" w:eastAsia="仿宋" w:cs="Arial" w:hAnsi="仿宋"/>
          <w:sz w:val="28"/>
          <w:szCs w:val="28"/>
        </w:rPr>
      </w:pPr>
      <w:r>
        <w:fldChar w:fldCharType="begin"/>
      </w:r>
      <w:r>
        <w:instrText>Hyperlink \l "_Toc15396609"</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fldChar w:fldCharType="end"/>
      </w:r>
      <w:r>
        <w:rPr>
          <w:rFonts w:hint="eastAsia"/>
          <w:sz w:val="28"/>
          <w:szCs w:val="28"/>
        </w:rPr>
        <w:t>11</w:t>
      </w:r>
    </w:p>
    <w:p>
      <w:pPr>
        <w:pStyle w:val="21"/>
        <w:tabs>
          <w:tab w:val="right" w:leader="dot" w:pos="8296"/>
        </w:tabs>
        <w:rPr>
          <w:rFonts w:ascii="仿宋" w:eastAsia="仿宋" w:cs="Arial" w:hAnsi="仿宋"/>
          <w:sz w:val="28"/>
          <w:szCs w:val="28"/>
        </w:rPr>
      </w:pPr>
      <w:r>
        <w:fldChar w:fldCharType="begin"/>
      </w:r>
      <w:r>
        <w:instrText>Hyperlink \l "_Toc15396610"</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1</w:t>
      </w:r>
      <w:r>
        <w:fldChar w:fldCharType="end"/>
      </w:r>
      <w:r>
        <w:rPr>
          <w:rFonts w:hint="eastAsia"/>
          <w:sz w:val="28"/>
          <w:szCs w:val="28"/>
        </w:rPr>
        <w:t>3</w:t>
      </w:r>
    </w:p>
    <w:p>
      <w:pPr>
        <w:pStyle w:val="21"/>
        <w:tabs>
          <w:tab w:val="right" w:leader="dot" w:pos="8296"/>
        </w:tabs>
        <w:rPr>
          <w:rFonts w:ascii="仿宋" w:eastAsia="仿宋" w:cs="Arial" w:hAnsi="仿宋"/>
          <w:sz w:val="28"/>
          <w:szCs w:val="28"/>
        </w:rPr>
      </w:pPr>
      <w:r>
        <w:fldChar w:fldCharType="begin"/>
      </w:r>
      <w:r>
        <w:instrText>Hyperlink \l "_Toc15396611"</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hint="eastAsia"/>
          <w:sz w:val="28"/>
          <w:szCs w:val="28"/>
        </w:rPr>
        <w:t>4</w:t>
      </w:r>
      <w:r>
        <w:rPr>
          <w:rFonts w:ascii="仿宋" w:eastAsia="仿宋" w:hAnsi="仿宋"/>
          <w:sz w:val="28"/>
          <w:szCs w:val="28"/>
        </w:rPr>
        <w:fldChar w:fldCharType="end"/>
      </w:r>
      <w:r>
        <w:fldChar w:fldCharType="end"/>
      </w:r>
    </w:p>
    <w:p>
      <w:pPr>
        <w:pStyle w:val="21"/>
        <w:tabs>
          <w:tab w:val="right" w:leader="dot" w:pos="8296"/>
        </w:tabs>
        <w:rPr>
          <w:rFonts w:ascii="仿宋" w:eastAsia="仿宋" w:cs="Arial" w:hAnsi="仿宋"/>
          <w:sz w:val="28"/>
          <w:szCs w:val="28"/>
        </w:rPr>
      </w:pPr>
      <w:r>
        <w:fldChar w:fldCharType="begin"/>
      </w:r>
      <w:r>
        <w:instrText>Hyperlink \l "_Toc15396612"</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、项目绩效完成及其他重要事项的情况说明</w:t>
      </w:r>
      <w:r>
        <w:rPr>
          <w:rFonts w:ascii="仿宋" w:eastAsia="仿宋" w:hAnsi="仿宋"/>
          <w:sz w:val="28"/>
          <w:szCs w:val="28"/>
        </w:rPr>
        <w:tab/>
      </w:r>
      <w:r>
        <w:fldChar w:fldCharType="end"/>
      </w:r>
      <w:r>
        <w:rPr>
          <w:rFonts w:ascii="仿宋" w:eastAsia="仿宋" w:hAnsi="仿宋" w:hint="eastAsia"/>
          <w:sz w:val="28"/>
          <w:szCs w:val="28"/>
        </w:rPr>
        <w:t>14</w:t>
      </w:r>
    </w:p>
    <w:p>
      <w:pPr>
        <w:pStyle w:val="20"/>
        <w:tabs>
          <w:tab w:val="right" w:leader="dot" w:pos="8296"/>
        </w:tabs>
        <w:rPr>
          <w:rFonts w:cs="Arial"/>
        </w:rPr>
      </w:pPr>
      <w:r>
        <w:fldChar w:fldCharType="begin"/>
      </w:r>
      <w:r>
        <w:instrText>Hyperlink \l "_Toc15396613"</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rPr>
        <w:t>19</w:t>
      </w:r>
      <w:r>
        <w:fldChar w:fldCharType="end"/>
      </w:r>
    </w:p>
    <w:p>
      <w:pPr>
        <w:pStyle w:val="20"/>
        <w:tabs>
          <w:tab w:val="right" w:leader="dot" w:pos="8296"/>
        </w:tabs>
        <w:rPr>
          <w:rFonts w:cs="Arial"/>
        </w:rPr>
      </w:pPr>
      <w:r>
        <w:fldChar w:fldCharType="begin"/>
      </w:r>
      <w:r>
        <w:instrText>Hyperlink \l "_Toc15396614"</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rPr>
          <w:rFonts w:hint="eastAsia"/>
        </w:rPr>
        <w:t>22</w:t>
      </w:r>
      <w:r>
        <w:fldChar w:fldCharType="end"/>
      </w:r>
    </w:p>
    <w:p>
      <w:pPr>
        <w:pStyle w:val="21"/>
        <w:tabs>
          <w:tab w:val="right" w:leader="dot" w:pos="8296"/>
        </w:tabs>
        <w:rPr>
          <w:rFonts w:ascii="仿宋" w:eastAsia="仿宋" w:cs="Arial" w:hAnsi="仿宋"/>
          <w:sz w:val="28"/>
          <w:szCs w:val="28"/>
        </w:rPr>
      </w:pPr>
      <w:r>
        <w:fldChar w:fldCharType="begin"/>
      </w:r>
      <w:r>
        <w:instrText>Hyperlink \l "_Toc15396615"</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fldChar w:fldCharType="end"/>
      </w:r>
      <w:r>
        <w:rPr>
          <w:rFonts w:hint="eastAsia"/>
          <w:sz w:val="28"/>
          <w:szCs w:val="28"/>
        </w:rPr>
        <w:t>22</w:t>
      </w:r>
    </w:p>
    <w:p>
      <w:pPr>
        <w:pStyle w:val="21"/>
        <w:tabs>
          <w:tab w:val="right" w:leader="dot" w:pos="8296"/>
        </w:tabs>
        <w:rPr>
          <w:rFonts w:ascii="仿宋" w:eastAsia="仿宋" w:cs="Arial" w:hAnsi="仿宋"/>
          <w:sz w:val="28"/>
          <w:szCs w:val="28"/>
        </w:rPr>
      </w:pPr>
      <w:r>
        <w:fldChar w:fldCharType="begin"/>
      </w:r>
      <w:r>
        <w:instrText>Hyperlink \l "_Toc15396617"</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hint="eastAsia"/>
          <w:sz w:val="28"/>
          <w:szCs w:val="28"/>
        </w:rPr>
        <w:t>26</w:t>
      </w:r>
      <w:r>
        <w:fldChar w:fldCharType="end"/>
      </w:r>
    </w:p>
    <w:p>
      <w:pPr>
        <w:pStyle w:val="20"/>
        <w:tabs>
          <w:tab w:val="right" w:leader="dot" w:pos="8296"/>
        </w:tabs>
        <w:rPr>
          <w:rFonts w:cs="Arial"/>
        </w:rPr>
      </w:pPr>
      <w:r>
        <w:fldChar w:fldCharType="begin"/>
      </w:r>
      <w:r>
        <w:instrText>Hyperlink \l "_Toc15396618"</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rPr>
          <w:rFonts w:hint="eastAsia"/>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Hyperlink \l "_Toc15396619"</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Hyperlink \l "_Toc15396620"</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Hyperlink \l "_Toc15396621"</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Hyperlink \l "_Toc15396622"</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Hyperlink \l "_Toc15396623"</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Hyperlink \l "_Toc15396624"</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Hyperlink \l "_Toc15396625"</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Hyperlink \l "_Toc15396626"</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Hyperlink \l "_Toc15396627"</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Hyperlink \l "_Toc15396628"</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Hyperlink \l "_Toc15396629"</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Hyperlink \l "_Toc15396630"</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十三、</w:t>
      </w:r>
      <w:r>
        <w:fldChar w:fldCharType="begin"/>
      </w:r>
      <w:r>
        <w:instrText>Hyperlink \l "_Toc15396631"</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29</w:t>
      </w:r>
      <w:r>
        <w:fldChar w:fldCharType="end"/>
      </w:r>
    </w:p>
    <w:p>
      <w:pPr>
        <w:widowControl/>
        <w:jc w:val="left"/>
        <w:rPr>
          <w:rFonts w:ascii="仿宋" w:eastAsia="仿宋" w:hAnsi="仿宋"/>
          <w:color w:val="000000"/>
          <w:sz w:val="28"/>
          <w:szCs w:val="28"/>
        </w:rPr>
      </w:pPr>
      <w:r>
        <w:rPr>
          <w:rFonts w:ascii="仿宋" w:eastAsia="仿宋" w:hAnsi="仿宋"/>
          <w:color w:val="000000"/>
          <w:sz w:val="28"/>
          <w:szCs w:val="28"/>
        </w:rPr>
        <w:fldChar w:fldCharType="end"/>
      </w:r>
    </w:p>
    <w:p>
      <w:pPr>
        <w:widowControl/>
        <w:jc w:val="left"/>
        <w:rPr>
          <w:rFonts w:ascii="黑体" w:eastAsia="黑体" w:hAnsi="黑体"/>
          <w:bCs/>
          <w:kern w:val="44"/>
          <w:sz w:val="28"/>
          <w:szCs w:val="28"/>
        </w:rPr>
      </w:pPr>
      <w:bookmarkStart w:id="13" w:name="_Toc15396599"/>
      <w:bookmarkStart w:id="14" w:name="_Toc15377196"/>
      <w:r>
        <w:rPr>
          <w:rFonts w:ascii="黑体" w:eastAsia="黑体" w:hAnsi="黑体"/>
          <w:b/>
          <w:sz w:val="28"/>
          <w:szCs w:val="28"/>
        </w:rPr>
        <w:br w:type="page"/>
      </w:r>
    </w:p>
    <w:p>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3"/>
      <w:bookmarkEnd w:id="14"/>
    </w:p>
    <w:p>
      <w:pPr>
        <w:pStyle w:val="2"/>
        <w:spacing w:before="0" w:line="576" w:lineRule="exact"/>
        <w:ind w:firstLineChars="200" w:firstLine="640"/>
        <w:rPr>
          <w:rStyle w:val="2Char"/>
          <w:rFonts w:ascii="仿宋" w:eastAsia="仿宋" w:hAnsi="仿宋"/>
        </w:rPr>
      </w:pPr>
      <w:bookmarkStart w:id="15" w:name="_Toc15377197"/>
      <w:bookmarkStart w:id="16" w:name="_Toc15396600"/>
      <w:r>
        <w:rPr>
          <w:rFonts w:ascii="仿宋" w:eastAsia="仿宋" w:hAnsi="仿宋" w:hint="eastAsia"/>
          <w:color w:val="000000"/>
        </w:rPr>
        <w:t>一、基</w:t>
      </w:r>
      <w:r>
        <w:rPr>
          <w:rStyle w:val="2Char"/>
          <w:rFonts w:ascii="仿宋" w:eastAsia="仿宋" w:hAnsi="仿宋" w:hint="eastAsia"/>
        </w:rPr>
        <w:t>本职能及主要工作</w:t>
      </w:r>
    </w:p>
    <w:p>
      <w:pPr>
        <w:rPr>
          <w:rFonts w:ascii="仿宋" w:eastAsia="仿宋" w:cs="微软雅黑" w:hAnsi="仿宋"/>
          <w:color w:val="000000"/>
          <w:kern w:val="0"/>
          <w:sz w:val="32"/>
          <w:szCs w:val="32"/>
          <w:shd w:val="clear" w:color="auto" w:fill="FFFFFF"/>
        </w:rPr>
      </w:pPr>
      <w:r>
        <w:rPr>
          <w:rFonts w:hint="eastAsia"/>
          <w:sz w:val="32"/>
          <w:szCs w:val="32"/>
        </w:rPr>
        <w:t xml:space="preserve">    （一）</w:t>
      </w:r>
      <w:r>
        <w:rPr>
          <w:rFonts w:ascii="黑体" w:eastAsia="黑体" w:cs="微软雅黑" w:hAnsi="黑体" w:hint="eastAsia"/>
          <w:color w:val="000000"/>
          <w:kern w:val="0"/>
          <w:sz w:val="32"/>
          <w:szCs w:val="32"/>
          <w:shd w:val="clear" w:color="auto" w:fill="FFFFFF"/>
        </w:rPr>
        <w:t>基本职能</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深入调查研究，了解老区经济社会发展状况，向区委、政府提出合理化建议。宣传党关于革命老区建设的路线、方针、政策，老区的光荣传统，老区建设发展的成就。配合党委政府为老区办实事，为开发老区资源、发展经济，做好穿针引线工作。加强与各地老促会的联系，互相配合，共同促进老区建设为老区全面建成小康社会作贡献。</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（二）在区委政府的领导和上级主管部门的指导下工作开展情况。</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1、着力改善民生，构建和谐老区。</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2、大力开展我区扶贫工作以及“文化、科技、卫生”三下乡活动。</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3、调整农业结构，增加老区农民收入。</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4、大力开展老区宣传工作。</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5、完成区政府交办的其他事项。</w:t>
      </w:r>
    </w:p>
    <w:p>
      <w:pPr>
        <w:widowControl/>
        <w:ind w:firstLine="640"/>
        <w:rPr>
          <w:rFonts w:ascii="黑体" w:eastAsia="黑体" w:hAnsi="黑体"/>
          <w:sz w:val="32"/>
          <w:szCs w:val="32"/>
        </w:rPr>
      </w:pPr>
      <w:r>
        <w:rPr>
          <w:rFonts w:ascii="黑体" w:eastAsia="黑体" w:cs="微软雅黑" w:hAnsi="黑体" w:hint="eastAsia"/>
          <w:color w:val="000000"/>
          <w:kern w:val="0"/>
          <w:sz w:val="32"/>
          <w:szCs w:val="32"/>
          <w:shd w:val="clear" w:color="auto" w:fill="FFFFFF"/>
        </w:rPr>
        <w:t>二、部门概况</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我会经区人民政府批准成立，共有编制1个,行政编制0个，工勤编制1个。经区领导同意批准共有四位老干部驻会参与领导、管理我会日常工作，并发放补助支出。</w:t>
      </w:r>
    </w:p>
    <w:p>
      <w:pPr>
        <w:rPr>
          <w:rFonts w:ascii="仿宋" w:eastAsia="仿宋" w:hAnsi="仿宋"/>
          <w:sz w:val="32"/>
          <w:szCs w:val="32"/>
        </w:rPr>
      </w:pPr>
      <w:bookmarkEnd w:id="15"/>
      <w:bookmarkEnd w:id="16"/>
    </w:p>
    <w:p>
      <w:pPr>
        <w:pStyle w:val="15"/>
        <w:adjustRightInd w:val="0"/>
        <w:snapToGrid w:val="0"/>
        <w:spacing w:beforeLines="0" w:before="93" w:line="600" w:lineRule="exact"/>
        <w:ind w:firstLineChars="209" w:firstLine="672"/>
        <w:rPr>
          <w:rFonts w:ascii="仿宋" w:eastAsia="仿宋" w:hAnsi="仿宋"/>
          <w:color w:val="000000"/>
          <w:sz w:val="32"/>
          <w:szCs w:val="32"/>
        </w:rPr>
      </w:pPr>
      <w:r>
        <w:rPr>
          <w:rFonts w:ascii="仿宋" w:eastAsia="仿宋" w:hAnsi="仿宋" w:hint="eastAsia"/>
          <w:color w:val="000000"/>
          <w:sz w:val="32"/>
          <w:szCs w:val="32"/>
        </w:rPr>
        <w:t>纳入区老促会2019年度部门决算编制范围的二级预算单位包括：（无）</w:t>
      </w:r>
    </w:p>
    <w:p>
      <w:pPr>
        <w:pStyle w:val="1"/>
        <w:jc w:val="center"/>
        <w:rPr>
          <w:rFonts w:ascii="黑体" w:eastAsia="黑体" w:hAnsi="黑体"/>
        </w:rPr>
      </w:pPr>
      <w:bookmarkStart w:id="17" w:name="_Toc15377204"/>
      <w:bookmarkStart w:id="18" w:name="_Toc15396602"/>
      <w:r>
        <w:rPr>
          <w:rFonts w:ascii="黑体" w:eastAsia="黑体" w:hAnsi="黑体" w:hint="eastAsia"/>
          <w:b w:val="0"/>
          <w:color w:val="000000"/>
        </w:rPr>
        <w:t>第二部分</w:t>
      </w:r>
      <w:r>
        <w:rPr>
          <w:rFonts w:ascii="黑体" w:eastAsia="黑体" w:hAnsi="黑体" w:hint="eastAsia"/>
          <w:color w:val="000000"/>
        </w:rPr>
        <w:t xml:space="preserve"> </w:t>
      </w:r>
      <w:r>
        <w:rPr>
          <w:rFonts w:ascii="黑体" w:eastAsia="黑体" w:hAnsi="黑体" w:hint="eastAsia"/>
        </w:rPr>
        <w:t>2019年度部门决算情况说</w:t>
      </w:r>
      <w:bookmarkEnd w:id="17"/>
      <w:bookmarkEnd w:id="18"/>
      <w:r>
        <w:rPr>
          <w:rFonts w:ascii="黑体" w:eastAsia="黑体" w:hAnsi="黑体" w:hint="eastAsia"/>
        </w:rPr>
        <w:t>明</w:t>
      </w:r>
    </w:p>
    <w:p>
      <w:pPr>
        <w:pStyle w:val="28"/>
        <w:numPr>
          <w:ilvl w:val="0"/>
          <w:numId w:val="1"/>
        </w:numPr>
        <w:spacing w:line="600" w:lineRule="exact"/>
        <w:ind w:firstLineChars="0"/>
        <w:outlineLvl w:val="1"/>
        <w:rPr>
          <w:rStyle w:val="2Char"/>
          <w:rFonts w:ascii="仿宋" w:eastAsia="仿宋" w:hAnsi="仿宋"/>
          <w:b w:val="0"/>
        </w:rPr>
      </w:pPr>
      <w:bookmarkStart w:id="19" w:name="_Toc15396603"/>
      <w:bookmarkStart w:id="20" w:name="_Toc15377205"/>
      <w:r>
        <w:rPr>
          <w:rFonts w:ascii="仿宋" w:eastAsia="仿宋" w:hAnsi="仿宋" w:hint="eastAsia"/>
          <w:b/>
          <w:color w:val="000000"/>
          <w:sz w:val="32"/>
          <w:szCs w:val="32"/>
        </w:rPr>
        <w:t>收</w:t>
      </w:r>
      <w:r>
        <w:rPr>
          <w:rStyle w:val="2Char"/>
          <w:rFonts w:ascii="仿宋" w:eastAsia="仿宋" w:hAnsi="仿宋" w:hint="eastAsia"/>
          <w:b w:val="0"/>
        </w:rPr>
        <w:t>入支出决算总体情况说明</w:t>
      </w:r>
      <w:bookmarkEnd w:id="19"/>
      <w:bookmarkEnd w:id="20"/>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2019年度收入总计24.08万元，与2018年相比，收入减少2.62万元，下降8.98</w:t>
      </w:r>
      <w:r>
        <w:rPr>
          <w:rFonts w:ascii="仿宋" w:eastAsia="仿宋" w:hAnsi="仿宋"/>
          <w:color w:val="000000"/>
          <w:sz w:val="32"/>
          <w:szCs w:val="32"/>
        </w:rPr>
        <w:t>%</w:t>
      </w:r>
      <w:r>
        <w:rPr>
          <w:rFonts w:ascii="仿宋" w:eastAsia="仿宋" w:hAnsi="仿宋" w:hint="eastAsia"/>
          <w:color w:val="000000"/>
          <w:sz w:val="32"/>
          <w:szCs w:val="32"/>
        </w:rPr>
        <w:t>。主要变动原因是减少了行政管理事务工作经费中的人员经费支出预算收入。</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2019年支出总计22.43万元。与2018年相比，支出减少4.27万元，下降16</w:t>
      </w:r>
      <w:r>
        <w:rPr>
          <w:rFonts w:ascii="仿宋" w:eastAsia="仿宋" w:hAnsi="仿宋"/>
          <w:color w:val="000000"/>
          <w:sz w:val="32"/>
          <w:szCs w:val="32"/>
        </w:rPr>
        <w:t>%</w:t>
      </w:r>
      <w:r>
        <w:rPr>
          <w:rFonts w:ascii="仿宋" w:eastAsia="仿宋" w:hAnsi="仿宋" w:hint="eastAsia"/>
          <w:color w:val="000000"/>
          <w:sz w:val="32"/>
          <w:szCs w:val="32"/>
        </w:rPr>
        <w:t>。主要变动原因是减少了行政管理事务工作经费中的人员经费等支出。</w:t>
      </w:r>
    </w:p>
    <w:p>
      <w:pPr>
        <w:rPr>
          <w:rFonts w:ascii="仿宋" w:eastAsia="仿宋" w:hAnsi="仿宋"/>
          <w:color w:val="000000"/>
          <w:sz w:val="32"/>
          <w:szCs w:val="32"/>
        </w:rPr>
      </w:pPr>
      <w:r>
        <w:rPr>
          <w:rFonts w:ascii="仿宋" w:eastAsia="仿宋" w:hAnsi="仿宋"/>
          <w:color w:val="000000"/>
          <w:sz w:val="32"/>
          <w:szCs w:val="32"/>
        </w:rPr>
        <w:drawing>
          <wp:inline distT="0" distB="0" distL="0" distR="0">
            <wp:extent cx="5270831" cy="2918129"/>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pPr>
        <w:pStyle w:val="28"/>
        <w:numPr>
          <w:ilvl w:val="0"/>
          <w:numId w:val="1"/>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b/>
          <w:color w:val="000000"/>
          <w:sz w:val="32"/>
          <w:szCs w:val="32"/>
        </w:rPr>
        <w:t>收</w:t>
      </w:r>
      <w:r>
        <w:rPr>
          <w:rStyle w:val="2Char"/>
          <w:rFonts w:ascii="黑体" w:eastAsia="黑体" w:hAnsi="黑体" w:hint="eastAsia"/>
          <w:b w:val="0"/>
        </w:rPr>
        <w:t>入决算情况说明</w:t>
      </w:r>
      <w:bookmarkEnd w:id="21"/>
      <w:bookmarkEnd w:id="22"/>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9年本年收入合计24.08万元，其中：一般公共预算财政拨款收入24.08万元，占100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w:t>
      </w:r>
    </w:p>
    <w:p>
      <w:pPr>
        <w:rPr>
          <w:rFonts w:ascii="仿宋" w:eastAsia="仿宋" w:hAnsi="仿宋"/>
          <w:color w:val="FF0000"/>
          <w:sz w:val="32"/>
          <w:szCs w:val="32"/>
        </w:rPr>
      </w:pPr>
      <w:r>
        <w:rPr>
          <w:rFonts w:ascii="仿宋" w:eastAsia="仿宋" w:hAnsi="仿宋"/>
          <w:color w:val="FF0000"/>
          <w:sz w:val="32"/>
          <w:szCs w:val="32"/>
        </w:rPr>
        <w:drawing>
          <wp:inline distT="0" distB="0" distL="0" distR="0">
            <wp:extent cx="5212908" cy="2814761"/>
            <wp:effectExtent l="0" t="0" r="0" b="0"/>
            <wp:docPr id="2" name="图表 3"/>
            <wp:cNvGraphicFramePr>
              <a:graphicFrameLocks noChangeAspect="0"/>
            </wp:cNvGraphicFramePr>
            <a:graphic>
              <a:graphicData uri="http://schemas.openxmlformats.org/drawingml/2006/chart">
                <c:chart xmlns:c="http://schemas.openxmlformats.org/drawingml/2006/chart" r:id="rId5"/>
              </a:graphicData>
            </a:graphic>
          </wp:inline>
        </w:drawing>
      </w:r>
    </w:p>
    <w:p>
      <w:pPr>
        <w:rPr>
          <w:rFonts w:ascii="仿宋" w:eastAsia="仿宋" w:hAnsi="仿宋"/>
          <w:color w:val="FF0000"/>
          <w:sz w:val="32"/>
          <w:szCs w:val="32"/>
        </w:rPr>
      </w:pPr>
      <w:r>
        <w:rPr>
          <w:rFonts w:ascii="仿宋" w:eastAsia="仿宋" w:hAnsi="仿宋" w:hint="eastAsia"/>
          <w:color w:val="000000"/>
          <w:sz w:val="32"/>
          <w:szCs w:val="32"/>
        </w:rPr>
        <w:t>（图2：收入决算结构图）（饼状图）</w:t>
      </w:r>
    </w:p>
    <w:p>
      <w:pPr>
        <w:pStyle w:val="28"/>
        <w:numPr>
          <w:ilvl w:val="0"/>
          <w:numId w:val="1"/>
        </w:numPr>
        <w:spacing w:line="600" w:lineRule="exact"/>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b/>
          <w:color w:val="000000"/>
          <w:sz w:val="32"/>
          <w:szCs w:val="32"/>
        </w:rPr>
        <w:t>支</w:t>
      </w:r>
      <w:r>
        <w:rPr>
          <w:rStyle w:val="2Char"/>
          <w:rFonts w:ascii="黑体" w:eastAsia="黑体" w:hAnsi="黑体" w:hint="eastAsia"/>
          <w:b w:val="0"/>
        </w:rPr>
        <w:t>出决算情况说明</w:t>
      </w:r>
      <w:bookmarkEnd w:id="23"/>
      <w:bookmarkEnd w:id="24"/>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9年本年支出合计22.43万元，其中：基本支出19.08万元，占85.06</w:t>
      </w:r>
      <w:r>
        <w:rPr>
          <w:rFonts w:ascii="仿宋" w:eastAsia="仿宋" w:hAnsi="仿宋"/>
          <w:color w:val="000000"/>
          <w:sz w:val="32"/>
          <w:szCs w:val="32"/>
        </w:rPr>
        <w:t>%</w:t>
      </w:r>
      <w:r>
        <w:rPr>
          <w:rFonts w:ascii="仿宋" w:eastAsia="仿宋" w:hAnsi="仿宋" w:hint="eastAsia"/>
          <w:color w:val="000000"/>
          <w:sz w:val="32"/>
          <w:szCs w:val="32"/>
        </w:rPr>
        <w:t>；项目支出3.35万元，占14.94</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rPr>
          <w:rFonts w:ascii="仿宋" w:eastAsia="仿宋" w:hAnsi="仿宋"/>
          <w:color w:val="000000"/>
          <w:sz w:val="32"/>
          <w:szCs w:val="32"/>
        </w:rPr>
      </w:pPr>
      <w:r>
        <w:rPr>
          <w:rFonts w:ascii="仿宋" w:eastAsia="仿宋" w:hAnsi="仿宋"/>
          <w:color w:val="000000"/>
          <w:sz w:val="32"/>
          <w:szCs w:val="32"/>
        </w:rPr>
        <w:drawing>
          <wp:inline distT="0" distB="0" distL="0" distR="0">
            <wp:extent cx="5169700" cy="2759103"/>
            <wp:effectExtent l="0" t="0" r="0" b="0"/>
            <wp:docPr id="3" name="图表 5"/>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（图3：支出决算结构图）（饼状图）</w:t>
      </w:r>
    </w:p>
    <w:p>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b/>
          <w:color w:val="000000"/>
          <w:sz w:val="32"/>
          <w:szCs w:val="32"/>
        </w:rPr>
        <w:t>四、财</w:t>
      </w:r>
      <w:r>
        <w:rPr>
          <w:rStyle w:val="2Char"/>
          <w:rFonts w:ascii="黑体" w:eastAsia="黑体" w:hAnsi="黑体" w:hint="eastAsia"/>
          <w:b w:val="0"/>
        </w:rPr>
        <w:t>政拨款收入支出决算总体情况说明</w:t>
      </w:r>
      <w:bookmarkEnd w:id="25"/>
      <w:bookmarkEnd w:id="26"/>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9年财政拨款收入总计24.08万元，与</w:t>
      </w:r>
      <w:r>
        <w:rPr>
          <w:rFonts w:ascii="仿宋" w:eastAsia="仿宋" w:hAnsi="仿宋"/>
          <w:color w:val="000000"/>
          <w:sz w:val="32"/>
          <w:szCs w:val="32"/>
        </w:rPr>
        <w:t>201</w:t>
      </w:r>
      <w:r>
        <w:rPr>
          <w:rFonts w:ascii="仿宋" w:eastAsia="仿宋" w:hAnsi="仿宋" w:hint="eastAsia"/>
          <w:color w:val="000000"/>
          <w:sz w:val="32"/>
          <w:szCs w:val="32"/>
        </w:rPr>
        <w:t>8年相比，财政拨款收入总计减少2.62万元，下降9.15</w:t>
      </w:r>
      <w:r>
        <w:rPr>
          <w:rFonts w:ascii="仿宋" w:eastAsia="仿宋" w:hAnsi="仿宋"/>
          <w:color w:val="000000"/>
          <w:sz w:val="32"/>
          <w:szCs w:val="32"/>
        </w:rPr>
        <w:t>%</w:t>
      </w:r>
      <w:r>
        <w:rPr>
          <w:rFonts w:ascii="仿宋" w:eastAsia="仿宋" w:hAnsi="仿宋" w:hint="eastAsia"/>
          <w:color w:val="000000"/>
          <w:sz w:val="32"/>
          <w:szCs w:val="32"/>
        </w:rPr>
        <w:t>。主要变动原因是减少了行政管理事务工作经费中的人员经费支出的预算收入。</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2019年财政拨款支出总计22.43万元。与</w:t>
      </w:r>
      <w:r>
        <w:rPr>
          <w:rFonts w:ascii="仿宋" w:eastAsia="仿宋" w:hAnsi="仿宋"/>
          <w:color w:val="000000"/>
          <w:sz w:val="32"/>
          <w:szCs w:val="32"/>
        </w:rPr>
        <w:t>201</w:t>
      </w:r>
      <w:r>
        <w:rPr>
          <w:rFonts w:ascii="仿宋" w:eastAsia="仿宋" w:hAnsi="仿宋" w:hint="eastAsia"/>
          <w:color w:val="000000"/>
          <w:sz w:val="32"/>
          <w:szCs w:val="32"/>
        </w:rPr>
        <w:t>8年相比，财政拨款支出总计减少4.27万元，下降16</w:t>
      </w:r>
      <w:r>
        <w:rPr>
          <w:rFonts w:ascii="仿宋" w:eastAsia="仿宋" w:hAnsi="仿宋"/>
          <w:color w:val="000000"/>
          <w:sz w:val="32"/>
          <w:szCs w:val="32"/>
        </w:rPr>
        <w:t>%</w:t>
      </w:r>
      <w:r>
        <w:rPr>
          <w:rFonts w:ascii="仿宋" w:eastAsia="仿宋" w:hAnsi="仿宋" w:hint="eastAsia"/>
          <w:color w:val="000000"/>
          <w:sz w:val="32"/>
          <w:szCs w:val="32"/>
        </w:rPr>
        <w:t>。主要变动原因是减少了行政管理事务工作经费中的人员经费费等支出等支出。</w:t>
      </w:r>
    </w:p>
    <w:p>
      <w:pPr>
        <w:rPr>
          <w:rFonts w:ascii="仿宋" w:eastAsia="仿宋" w:hAnsi="仿宋"/>
          <w:b/>
          <w:color w:val="00B050"/>
          <w:sz w:val="32"/>
          <w:szCs w:val="32"/>
        </w:rPr>
      </w:pPr>
      <w:r>
        <w:rPr>
          <w:rFonts w:ascii="仿宋" w:eastAsia="仿宋" w:hAnsi="仿宋"/>
          <w:b/>
          <w:color w:val="00B050"/>
          <w:sz w:val="32"/>
          <w:szCs w:val="32"/>
        </w:rPr>
        <w:drawing>
          <wp:inline distT="0" distB="0" distL="0" distR="0">
            <wp:extent cx="5270831" cy="2926080"/>
            <wp:effectExtent l="0" t="0" r="0" b="0"/>
            <wp:docPr id="4" name="图表 6"/>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rPr>
          <w:rFonts w:ascii="仿宋" w:eastAsia="仿宋" w:hAnsi="仿宋"/>
          <w:color w:val="000000"/>
          <w:sz w:val="32"/>
          <w:szCs w:val="32"/>
        </w:rPr>
      </w:pPr>
      <w:bookmarkStart w:id="27" w:name="_Toc15396607"/>
      <w:bookmarkStart w:id="28" w:name="_Toc15377209"/>
      <w:r>
        <w:rPr>
          <w:rFonts w:ascii="仿宋" w:eastAsia="仿宋" w:hAnsi="仿宋" w:hint="eastAsia"/>
          <w:color w:val="000000"/>
          <w:sz w:val="32"/>
          <w:szCs w:val="32"/>
        </w:rPr>
        <w:t>（图4：财政拨款收、支决算总计变动情况）（柱状图）</w:t>
      </w: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7"/>
      <w:bookmarkEnd w:id="28"/>
    </w:p>
    <w:p>
      <w:pPr>
        <w:spacing w:line="600" w:lineRule="exact"/>
        <w:ind w:firstLineChars="200" w:firstLine="640"/>
        <w:outlineLvl w:val="2"/>
        <w:rPr>
          <w:rFonts w:ascii="仿宋" w:eastAsia="仿宋" w:hAnsi="仿宋"/>
          <w:b/>
          <w:color w:val="000000"/>
          <w:sz w:val="32"/>
          <w:szCs w:val="32"/>
        </w:rPr>
      </w:pPr>
      <w:bookmarkStart w:id="29" w:name="_Toc15377210"/>
      <w:r>
        <w:rPr>
          <w:rFonts w:ascii="仿宋" w:eastAsia="仿宋" w:hAnsi="仿宋" w:hint="eastAsia"/>
          <w:b/>
          <w:color w:val="000000"/>
          <w:sz w:val="32"/>
          <w:szCs w:val="32"/>
        </w:rPr>
        <w:t>（一）一般公共预算财政拨款支出决算总体情况</w:t>
      </w:r>
      <w:bookmarkEnd w:id="29"/>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9年一般公共预算财政拨款支出22.43万元，占本年支出合计的100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8年相比，一般公共预算财政拨款减少4.27万元，下降16</w:t>
      </w:r>
      <w:r>
        <w:rPr>
          <w:rFonts w:ascii="仿宋" w:eastAsia="仿宋" w:hAnsi="仿宋"/>
          <w:color w:val="000000"/>
          <w:sz w:val="32"/>
          <w:szCs w:val="32"/>
        </w:rPr>
        <w:t>%</w:t>
      </w:r>
      <w:r>
        <w:rPr>
          <w:rFonts w:ascii="仿宋" w:eastAsia="仿宋" w:hAnsi="仿宋" w:hint="eastAsia"/>
          <w:color w:val="000000"/>
          <w:sz w:val="32"/>
          <w:szCs w:val="32"/>
        </w:rPr>
        <w:t>。主要变动原因是减少了主要变动原因是减少了行政管理事务工作经费中的人员经费等支出等支出。</w:t>
      </w:r>
    </w:p>
    <w:p>
      <w:pPr>
        <w:spacing w:line="600" w:lineRule="exact"/>
        <w:rPr>
          <w:rFonts w:ascii="仿宋" w:eastAsia="仿宋" w:hAnsi="仿宋"/>
          <w:color w:val="000000"/>
          <w:sz w:val="32"/>
          <w:szCs w:val="32"/>
        </w:rPr>
      </w:pPr>
      <w:r>
        <w:rPr>
          <w:rFonts w:ascii="仿宋" w:eastAsia="仿宋" w:hAnsi="仿宋" w:hint="eastAsia"/>
          <w:color w:val="000000"/>
          <w:sz w:val="32"/>
          <w:szCs w:val="32"/>
        </w:rPr>
        <w:t>（图5：一般公共预算财政拨款支出决算变动情况）（柱状图）</w:t>
      </w:r>
    </w:p>
    <w:p>
      <w:pPr>
        <w:rPr>
          <w:rFonts w:ascii="仿宋" w:eastAsia="仿宋" w:hAnsi="仿宋"/>
          <w:color w:val="000000"/>
          <w:sz w:val="32"/>
          <w:szCs w:val="32"/>
        </w:rPr>
      </w:pPr>
      <w:r>
        <w:rPr>
          <w:rFonts w:ascii="仿宋" w:eastAsia="仿宋" w:hAnsi="仿宋"/>
          <w:color w:val="000000"/>
          <w:sz w:val="32"/>
          <w:szCs w:val="32"/>
        </w:rPr>
        <w:drawing>
          <wp:inline distT="0" distB="0" distL="0" distR="0">
            <wp:extent cx="5270831" cy="3021495"/>
            <wp:effectExtent l="0" t="0" r="0" b="0"/>
            <wp:docPr id="5" name="图表 7"/>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2"/>
        <w:rPr>
          <w:rFonts w:ascii="仿宋" w:eastAsia="仿宋" w:hAnsi="仿宋"/>
          <w:b/>
          <w:color w:val="000000"/>
          <w:sz w:val="32"/>
          <w:szCs w:val="32"/>
        </w:rPr>
      </w:pPr>
      <w:bookmarkStart w:id="30" w:name="_Toc15377211"/>
      <w:r>
        <w:rPr>
          <w:rFonts w:ascii="仿宋" w:eastAsia="仿宋" w:hAnsi="仿宋" w:hint="eastAsia"/>
          <w:b/>
          <w:color w:val="000000"/>
          <w:sz w:val="32"/>
          <w:szCs w:val="32"/>
        </w:rPr>
        <w:t>（二）一般公共预算财政拨款支出决算结构情况</w:t>
      </w:r>
      <w:bookmarkEnd w:id="30"/>
    </w:p>
    <w:p>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9年一般公共预算财政拨款支出22.43万元，主要用于以下方面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支出16.54万元，占73.74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支出0万元，占</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支出5.02万元，占22.38</w:t>
      </w:r>
      <w:r>
        <w:rPr>
          <w:rFonts w:ascii="仿宋" w:eastAsia="仿宋" w:hAnsi="仿宋"/>
          <w:sz w:val="32"/>
          <w:szCs w:val="32"/>
        </w:rPr>
        <w:t>%</w:t>
      </w:r>
      <w:r>
        <w:rPr>
          <w:rFonts w:ascii="仿宋" w:eastAsia="仿宋" w:hAnsi="仿宋" w:hint="eastAsia"/>
          <w:sz w:val="32"/>
          <w:szCs w:val="32"/>
        </w:rPr>
        <w:t>；医疗卫生支出0.97万元，占4.3</w:t>
      </w:r>
      <w:r>
        <w:rPr>
          <w:rFonts w:ascii="仿宋" w:eastAsia="仿宋" w:hAnsi="仿宋"/>
          <w:sz w:val="32"/>
          <w:szCs w:val="32"/>
        </w:rPr>
        <w:t>%</w:t>
      </w:r>
      <w:r>
        <w:rPr>
          <w:rFonts w:ascii="仿宋" w:eastAsia="仿宋" w:hAnsi="仿宋" w:hint="eastAsia"/>
          <w:sz w:val="32"/>
          <w:szCs w:val="32"/>
        </w:rPr>
        <w:t>；农林水支出0万元，占0</w:t>
      </w:r>
      <w:r>
        <w:rPr>
          <w:rFonts w:ascii="仿宋" w:eastAsia="仿宋" w:hAnsi="仿宋"/>
          <w:sz w:val="32"/>
          <w:szCs w:val="32"/>
        </w:rPr>
        <w:t>%</w:t>
      </w:r>
      <w:r>
        <w:rPr>
          <w:rFonts w:ascii="仿宋" w:eastAsia="仿宋" w:hAnsi="仿宋" w:hint="eastAsia"/>
          <w:sz w:val="32"/>
          <w:szCs w:val="32"/>
        </w:rPr>
        <w:t>；住房保障支出1.56万元，占6.95</w:t>
      </w:r>
      <w:r>
        <w:rPr>
          <w:rFonts w:ascii="仿宋" w:eastAsia="仿宋" w:hAnsi="仿宋"/>
          <w:sz w:val="32"/>
          <w:szCs w:val="32"/>
        </w:rPr>
        <w:t>%</w:t>
      </w:r>
      <w:r>
        <w:rPr>
          <w:rFonts w:ascii="仿宋" w:eastAsia="仿宋" w:hAnsi="仿宋" w:hint="eastAsia"/>
          <w:sz w:val="32"/>
          <w:szCs w:val="32"/>
        </w:rPr>
        <w:t>。</w:t>
      </w:r>
    </w:p>
    <w:p>
      <w:pPr>
        <w:rPr>
          <w:rFonts w:ascii="仿宋" w:eastAsia="仿宋" w:hAnsi="仿宋"/>
          <w:color w:val="000000"/>
          <w:sz w:val="32"/>
          <w:szCs w:val="32"/>
        </w:rPr>
      </w:pPr>
      <w:r>
        <w:rPr>
          <w:rFonts w:ascii="仿宋" w:eastAsia="仿宋" w:hAnsi="仿宋"/>
          <w:color w:val="000000"/>
          <w:sz w:val="32"/>
          <w:szCs w:val="32"/>
        </w:rPr>
        <w:drawing>
          <wp:inline distT="0" distB="0" distL="0" distR="0">
            <wp:extent cx="4991266" cy="2830664"/>
            <wp:effectExtent l="0" t="0" r="0" b="0"/>
            <wp:docPr id="6" name="图表 8"/>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rPr>
          <w:rFonts w:ascii="仿宋" w:eastAsia="仿宋" w:hAnsi="仿宋"/>
          <w:color w:val="000000"/>
          <w:sz w:val="32"/>
          <w:szCs w:val="32"/>
        </w:rPr>
      </w:pPr>
      <w:bookmarkStart w:id="31" w:name="_Toc15377212"/>
      <w:r>
        <w:rPr>
          <w:rFonts w:ascii="仿宋" w:eastAsia="仿宋" w:hAnsi="仿宋" w:hint="eastAsia"/>
          <w:color w:val="000000"/>
          <w:sz w:val="32"/>
          <w:szCs w:val="32"/>
        </w:rPr>
        <w:t>（图6：一般公共预算财政拨款支出决算结构）（饼状图）</w:t>
      </w:r>
    </w:p>
    <w:p>
      <w:pPr>
        <w:spacing w:line="60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1"/>
    </w:p>
    <w:p>
      <w:pPr>
        <w:spacing w:line="600" w:lineRule="exact"/>
        <w:ind w:firstLineChars="200" w:firstLine="640"/>
        <w:outlineLvl w:val="2"/>
        <w:rPr>
          <w:rFonts w:ascii="仿宋" w:eastAsia="仿宋" w:hAnsi="仿宋"/>
          <w:color w:val="FF0000"/>
          <w:sz w:val="32"/>
          <w:szCs w:val="32"/>
        </w:rPr>
      </w:pPr>
      <w:bookmarkStart w:id="32" w:name="_Toc15377213"/>
      <w:bookmarkStart w:id="33" w:name="_Toc15377444"/>
      <w:bookmarkStart w:id="34" w:name="_Toc15378460"/>
      <w:r>
        <w:rPr>
          <w:rFonts w:ascii="仿宋" w:eastAsia="仿宋" w:hAnsi="仿宋" w:hint="eastAsia"/>
          <w:b/>
          <w:color w:val="000000"/>
          <w:sz w:val="32"/>
          <w:szCs w:val="32"/>
        </w:rPr>
        <w:t>2019年般公共预算支出决算数为22.43</w:t>
      </w:r>
      <w:r>
        <w:rPr>
          <w:rStyle w:val="22"/>
          <w:rFonts w:ascii="仿宋" w:eastAsia="仿宋" w:hAnsi="仿宋" w:hint="eastAsia"/>
          <w:b w:val="0"/>
          <w:bCs/>
          <w:sz w:val="32"/>
          <w:szCs w:val="32"/>
        </w:rPr>
        <w:t>万元</w:t>
      </w:r>
      <w:r>
        <w:rPr>
          <w:rFonts w:ascii="仿宋" w:eastAsia="仿宋" w:hAnsi="仿宋" w:hint="eastAsia"/>
          <w:color w:val="000000"/>
          <w:sz w:val="32"/>
          <w:szCs w:val="32"/>
        </w:rPr>
        <w:t>，</w:t>
      </w:r>
      <w:r>
        <w:rPr>
          <w:rStyle w:val="22"/>
          <w:rFonts w:ascii="仿宋" w:eastAsia="仿宋" w:hAnsi="仿宋" w:hint="eastAsia"/>
          <w:bCs/>
          <w:color w:val="000000"/>
          <w:sz w:val="32"/>
          <w:szCs w:val="32"/>
        </w:rPr>
        <w:t>完成预算104.95</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2"/>
      <w:bookmarkEnd w:id="33"/>
      <w:bookmarkEnd w:id="34"/>
    </w:p>
    <w:p>
      <w:pPr>
        <w:spacing w:line="600" w:lineRule="exact"/>
        <w:ind w:firstLineChars="200" w:firstLine="640"/>
        <w:rPr>
          <w:rFonts w:ascii="仿宋" w:eastAsia="仿宋" w:hAnsi="仿宋"/>
          <w:b/>
          <w:sz w:val="32"/>
          <w:szCs w:val="32"/>
        </w:rPr>
      </w:pPr>
      <w:r>
        <w:rPr>
          <w:rStyle w:val="22"/>
          <w:rFonts w:ascii="仿宋" w:eastAsia="仿宋" w:hAnsi="仿宋"/>
          <w:bCs/>
          <w:sz w:val="32"/>
          <w:szCs w:val="32"/>
        </w:rPr>
        <w:t>1.</w:t>
      </w:r>
      <w:r>
        <w:rPr>
          <w:rStyle w:val="22"/>
          <w:rFonts w:ascii="仿宋" w:eastAsia="仿宋" w:hAnsi="仿宋" w:hint="eastAsia"/>
          <w:bCs/>
          <w:sz w:val="32"/>
          <w:szCs w:val="32"/>
        </w:rPr>
        <w:t>一般公共服务（类）政府办公厅（室）及相关机构事务（款）行政运行（项）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支出决算为22.43万元，完成预算93.15</w:t>
      </w:r>
      <w:r>
        <w:rPr>
          <w:rStyle w:val="22"/>
          <w:rFonts w:ascii="仿宋" w:eastAsia="仿宋" w:hAnsi="仿宋"/>
          <w:b w:val="0"/>
          <w:bCs/>
          <w:sz w:val="32"/>
          <w:szCs w:val="32"/>
        </w:rPr>
        <w:t>%</w:t>
      </w:r>
      <w:r>
        <w:rPr>
          <w:rStyle w:val="22"/>
          <w:rFonts w:ascii="仿宋" w:eastAsia="仿宋" w:hAnsi="仿宋" w:hint="eastAsia"/>
          <w:b w:val="0"/>
          <w:bCs/>
          <w:sz w:val="32"/>
          <w:szCs w:val="32"/>
        </w:rPr>
        <w:t>，决算数小于预算数的主要原因是2019年的年终奖金未全部发放； 一般行政管理事务（项）支出决算为0万元，完成预算0</w:t>
      </w:r>
      <w:r>
        <w:rPr>
          <w:rStyle w:val="22"/>
          <w:rFonts w:ascii="仿宋" w:eastAsia="仿宋" w:hAnsi="仿宋"/>
          <w:b w:val="0"/>
          <w:bCs/>
          <w:sz w:val="32"/>
          <w:szCs w:val="32"/>
        </w:rPr>
        <w:t>%</w:t>
      </w:r>
      <w:r>
        <w:rPr>
          <w:rStyle w:val="22"/>
          <w:rFonts w:ascii="仿宋" w:eastAsia="仿宋" w:hAnsi="仿宋" w:hint="eastAsia"/>
          <w:b w:val="0"/>
          <w:bCs/>
          <w:sz w:val="32"/>
          <w:szCs w:val="32"/>
        </w:rPr>
        <w:t>，。其他一般公共服务支出</w:t>
      </w:r>
      <w:r>
        <w:rPr>
          <w:rStyle w:val="22"/>
          <w:rFonts w:ascii="仿宋" w:eastAsia="仿宋" w:hAnsi="仿宋" w:hint="eastAsia"/>
          <w:bCs/>
          <w:sz w:val="32"/>
          <w:szCs w:val="32"/>
        </w:rPr>
        <w:t>（款）其他一般公共服务支出（项99）</w:t>
      </w:r>
      <w:r>
        <w:rPr>
          <w:rStyle w:val="22"/>
          <w:rFonts w:ascii="仿宋" w:eastAsia="仿宋" w:hAnsi="仿宋" w:hint="eastAsia"/>
          <w:b w:val="0"/>
          <w:bCs/>
          <w:sz w:val="32"/>
          <w:szCs w:val="32"/>
        </w:rPr>
        <w:t>支出决算为0万元，完成预算0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pacing w:line="600" w:lineRule="exact"/>
        <w:ind w:firstLineChars="200" w:firstLine="640"/>
        <w:rPr>
          <w:rFonts w:ascii="仿宋" w:eastAsia="仿宋" w:hAnsi="仿宋"/>
          <w:b/>
          <w:sz w:val="32"/>
          <w:szCs w:val="32"/>
        </w:rPr>
      </w:pPr>
      <w:r>
        <w:rPr>
          <w:rStyle w:val="22"/>
          <w:rFonts w:ascii="仿宋" w:eastAsia="仿宋" w:hAnsi="仿宋"/>
          <w:bCs/>
          <w:sz w:val="32"/>
          <w:szCs w:val="32"/>
        </w:rPr>
        <w:t>2.</w:t>
      </w:r>
      <w:r>
        <w:rPr>
          <w:rStyle w:val="22"/>
          <w:rFonts w:ascii="仿宋" w:eastAsia="仿宋" w:hAnsi="仿宋" w:hint="eastAsia"/>
          <w:bCs/>
          <w:sz w:val="32"/>
          <w:szCs w:val="32"/>
        </w:rPr>
        <w:t>科学技术（类）科技研究与开发（款）科技成果转化与扩散（项）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支出决算0万元，完成预算0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b w:val="0"/>
          <w:bCs/>
          <w:sz w:val="32"/>
          <w:szCs w:val="32"/>
        </w:rPr>
      </w:pPr>
      <w:r>
        <w:rPr>
          <w:rStyle w:val="22"/>
          <w:rFonts w:ascii="仿宋" w:eastAsia="仿宋" w:hAnsi="仿宋" w:hint="eastAsia"/>
          <w:bCs/>
          <w:sz w:val="32"/>
          <w:szCs w:val="32"/>
        </w:rPr>
        <w:t>3.社会保障和就业（类）行政事业单位离退休（款）机关事业单位基本养老保险缴费支出（项）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支出决算为2.59万元，完成预算103.19</w:t>
      </w:r>
      <w:r>
        <w:rPr>
          <w:rStyle w:val="22"/>
          <w:rFonts w:ascii="仿宋" w:eastAsia="仿宋" w:hAnsi="仿宋"/>
          <w:b w:val="0"/>
          <w:bCs/>
          <w:sz w:val="32"/>
          <w:szCs w:val="32"/>
        </w:rPr>
        <w:t>%</w:t>
      </w:r>
      <w:r>
        <w:rPr>
          <w:rStyle w:val="22"/>
          <w:rFonts w:ascii="仿宋" w:eastAsia="仿宋" w:hAnsi="仿宋" w:hint="eastAsia"/>
          <w:b w:val="0"/>
          <w:bCs/>
          <w:sz w:val="32"/>
          <w:szCs w:val="32"/>
        </w:rPr>
        <w:t>，决算数大于于预算数的主要原因是2019基本工资提标增加的养老保险已缴纳</w:t>
      </w:r>
      <w:r>
        <w:rPr>
          <w:rStyle w:val="22"/>
          <w:rFonts w:ascii="仿宋" w:eastAsia="仿宋" w:hAnsi="仿宋" w:hint="eastAsia"/>
          <w:b w:val="0"/>
          <w:bCs/>
          <w:color w:val="FF0000"/>
          <w:sz w:val="32"/>
          <w:szCs w:val="32"/>
        </w:rPr>
        <w:t>。</w:t>
      </w:r>
      <w:r>
        <w:rPr>
          <w:rStyle w:val="22"/>
          <w:rFonts w:ascii="仿宋" w:eastAsia="仿宋" w:hAnsi="仿宋" w:hint="eastAsia"/>
          <w:b w:val="0"/>
          <w:bCs/>
          <w:sz w:val="32"/>
          <w:szCs w:val="32"/>
        </w:rPr>
        <w:t>机关事业单位职业年金缴费支出</w:t>
      </w:r>
      <w:r>
        <w:rPr>
          <w:rStyle w:val="22"/>
          <w:rFonts w:ascii="仿宋" w:eastAsia="仿宋" w:hAnsi="仿宋" w:hint="eastAsia"/>
          <w:bCs/>
          <w:sz w:val="32"/>
          <w:szCs w:val="32"/>
        </w:rPr>
        <w:t>（项）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支出决算为0万元，完成预算0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b w:val="0"/>
          <w:bCs/>
          <w:sz w:val="32"/>
          <w:szCs w:val="32"/>
        </w:rPr>
      </w:pPr>
      <w:r>
        <w:rPr>
          <w:rStyle w:val="22"/>
          <w:rFonts w:ascii="仿宋" w:eastAsia="仿宋" w:hAnsi="仿宋" w:hint="eastAsia"/>
          <w:bCs/>
          <w:sz w:val="32"/>
          <w:szCs w:val="32"/>
        </w:rPr>
        <w:t>4</w:t>
      </w:r>
      <w:r>
        <w:rPr>
          <w:rStyle w:val="22"/>
          <w:rFonts w:ascii="仿宋" w:eastAsia="仿宋" w:hAnsi="仿宋"/>
          <w:bCs/>
          <w:sz w:val="32"/>
          <w:szCs w:val="32"/>
        </w:rPr>
        <w:t>.</w:t>
      </w:r>
      <w:r>
        <w:rPr>
          <w:rStyle w:val="22"/>
          <w:rFonts w:ascii="仿宋" w:eastAsia="仿宋" w:hAnsi="仿宋" w:hint="eastAsia"/>
          <w:bCs/>
          <w:sz w:val="32"/>
          <w:szCs w:val="32"/>
        </w:rPr>
        <w:t>医疗卫生与计划生育（类）行政事业单位医疗（款）行政单位医疗（项）</w:t>
      </w:r>
      <w:r>
        <w:rPr>
          <w:rStyle w:val="22"/>
          <w:rFonts w:ascii="仿宋" w:eastAsia="仿宋" w:hAnsi="仿宋"/>
          <w:bCs/>
          <w:sz w:val="32"/>
          <w:szCs w:val="32"/>
        </w:rPr>
        <w:t>:</w:t>
      </w:r>
      <w:r>
        <w:rPr>
          <w:rStyle w:val="22"/>
          <w:rFonts w:ascii="仿宋" w:eastAsia="仿宋" w:hAnsi="仿宋" w:hint="eastAsia"/>
          <w:b w:val="0"/>
          <w:bCs/>
          <w:sz w:val="32"/>
          <w:szCs w:val="32"/>
        </w:rPr>
        <w:t>支出决算为0.97万元，完成预算109</w:t>
      </w:r>
      <w:r>
        <w:rPr>
          <w:rStyle w:val="22"/>
          <w:rFonts w:ascii="仿宋" w:eastAsia="仿宋" w:hAnsi="仿宋"/>
          <w:b w:val="0"/>
          <w:bCs/>
          <w:sz w:val="32"/>
          <w:szCs w:val="32"/>
        </w:rPr>
        <w:t>%</w:t>
      </w:r>
      <w:r>
        <w:rPr>
          <w:rStyle w:val="22"/>
          <w:rFonts w:ascii="仿宋" w:eastAsia="仿宋" w:hAnsi="仿宋" w:hint="eastAsia"/>
          <w:b w:val="0"/>
          <w:bCs/>
          <w:sz w:val="32"/>
          <w:szCs w:val="32"/>
        </w:rPr>
        <w:t>，决算数大于预算数的主要原因是单位2019基本工资提标增加的医疗保险已缴纳。</w:t>
      </w:r>
    </w:p>
    <w:p>
      <w:pPr>
        <w:spacing w:line="600" w:lineRule="exact"/>
        <w:ind w:firstLineChars="200" w:firstLine="640"/>
        <w:rPr>
          <w:rStyle w:val="22"/>
          <w:rFonts w:ascii="仿宋" w:eastAsia="仿宋" w:hAnsi="仿宋"/>
          <w:b w:val="0"/>
          <w:bCs/>
          <w:sz w:val="32"/>
          <w:szCs w:val="32"/>
        </w:rPr>
      </w:pPr>
      <w:r>
        <w:rPr>
          <w:rStyle w:val="22"/>
          <w:rFonts w:ascii="仿宋" w:eastAsia="仿宋" w:hAnsi="仿宋" w:hint="eastAsia"/>
          <w:b w:val="0"/>
          <w:bCs/>
          <w:sz w:val="32"/>
          <w:szCs w:val="32"/>
        </w:rPr>
        <w:t>5.农林水支出</w:t>
      </w:r>
      <w:r>
        <w:rPr>
          <w:rStyle w:val="22"/>
          <w:rFonts w:ascii="仿宋" w:eastAsia="仿宋" w:hAnsi="仿宋" w:hint="eastAsia"/>
          <w:bCs/>
          <w:sz w:val="32"/>
          <w:szCs w:val="32"/>
        </w:rPr>
        <w:t>（类）扶贫（款）其他扶贫支出（项）</w:t>
      </w:r>
      <w:r>
        <w:rPr>
          <w:rStyle w:val="22"/>
          <w:rFonts w:ascii="仿宋" w:eastAsia="仿宋" w:hAnsi="仿宋"/>
          <w:bCs/>
          <w:sz w:val="32"/>
          <w:szCs w:val="32"/>
        </w:rPr>
        <w:t>:</w:t>
      </w:r>
      <w:r>
        <w:rPr>
          <w:rStyle w:val="22"/>
          <w:rFonts w:ascii="仿宋" w:eastAsia="仿宋" w:hAnsi="仿宋" w:hint="eastAsia"/>
          <w:b w:val="0"/>
          <w:bCs/>
          <w:sz w:val="32"/>
          <w:szCs w:val="32"/>
        </w:rPr>
        <w:t>支出决算为0万元，完成预算0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pacing w:line="600" w:lineRule="exact"/>
        <w:ind w:firstLineChars="200" w:firstLine="640"/>
        <w:rPr>
          <w:rFonts w:ascii="仿宋" w:eastAsia="仿宋" w:hAnsi="仿宋"/>
          <w:b/>
          <w:color w:val="000000"/>
          <w:sz w:val="32"/>
          <w:szCs w:val="32"/>
        </w:rPr>
      </w:pPr>
      <w:r>
        <w:rPr>
          <w:rStyle w:val="22"/>
          <w:rFonts w:ascii="仿宋" w:eastAsia="仿宋" w:hAnsi="仿宋" w:hint="eastAsia"/>
          <w:b w:val="0"/>
          <w:bCs/>
          <w:sz w:val="32"/>
          <w:szCs w:val="32"/>
        </w:rPr>
        <w:t>6.住房保障支出</w:t>
      </w:r>
      <w:r>
        <w:rPr>
          <w:rStyle w:val="22"/>
          <w:rFonts w:ascii="仿宋" w:eastAsia="仿宋" w:hAnsi="仿宋" w:hint="eastAsia"/>
          <w:bCs/>
          <w:sz w:val="32"/>
          <w:szCs w:val="32"/>
        </w:rPr>
        <w:t>（类）住房改革支出（款）住房公积金（项）</w:t>
      </w:r>
      <w:r>
        <w:rPr>
          <w:rStyle w:val="22"/>
          <w:rFonts w:ascii="仿宋" w:eastAsia="仿宋" w:hAnsi="仿宋"/>
          <w:bCs/>
          <w:sz w:val="32"/>
          <w:szCs w:val="32"/>
        </w:rPr>
        <w:t>:</w:t>
      </w:r>
      <w:r>
        <w:rPr>
          <w:rStyle w:val="22"/>
          <w:rFonts w:ascii="仿宋" w:eastAsia="仿宋" w:hAnsi="仿宋" w:hint="eastAsia"/>
          <w:b w:val="0"/>
          <w:bCs/>
          <w:sz w:val="32"/>
          <w:szCs w:val="32"/>
        </w:rPr>
        <w:t>支出决算为1.56万元，完成预算106.6</w:t>
      </w:r>
      <w:r>
        <w:rPr>
          <w:rStyle w:val="22"/>
          <w:rFonts w:ascii="仿宋" w:eastAsia="仿宋" w:hAnsi="仿宋"/>
          <w:b w:val="0"/>
          <w:bCs/>
          <w:sz w:val="32"/>
          <w:szCs w:val="32"/>
        </w:rPr>
        <w:t>%</w:t>
      </w:r>
      <w:r>
        <w:rPr>
          <w:rStyle w:val="22"/>
          <w:rFonts w:ascii="仿宋" w:eastAsia="仿宋" w:hAnsi="仿宋" w:hint="eastAsia"/>
          <w:b w:val="0"/>
          <w:bCs/>
          <w:sz w:val="32"/>
          <w:szCs w:val="32"/>
        </w:rPr>
        <w:t>，决算数大于预算数的主要原因是单位2019基本工资提标增加的住房公积金暂已缴纳。</w:t>
      </w:r>
    </w:p>
    <w:p>
      <w:pPr>
        <w:tabs>
          <w:tab w:val="right" w:pos="8306"/>
        </w:tabs>
        <w:spacing w:line="600" w:lineRule="exact"/>
        <w:ind w:firstLine="640"/>
        <w:outlineLvl w:val="1"/>
        <w:rPr>
          <w:rStyle w:val="2Char"/>
          <w:rFonts w:ascii="黑体" w:eastAsia="黑体" w:hAnsi="黑体"/>
        </w:rPr>
      </w:pPr>
      <w:bookmarkStart w:id="35" w:name="_Toc15377214"/>
      <w:bookmarkStart w:id="36" w:name="_Toc15396608"/>
      <w:r>
        <w:rPr>
          <w:rFonts w:ascii="黑体" w:eastAsia="黑体" w:hAnsi="黑体" w:hint="eastAsia"/>
          <w:color w:val="000000"/>
          <w:sz w:val="32"/>
          <w:szCs w:val="32"/>
        </w:rPr>
        <w:t>六、一</w:t>
      </w:r>
      <w:r>
        <w:rPr>
          <w:rStyle w:val="2Char"/>
          <w:rFonts w:ascii="黑体" w:eastAsia="黑体" w:hAnsi="黑体" w:hint="eastAsia"/>
        </w:rPr>
        <w:t>般公共预算财政拨款基本支出决算情况说明</w:t>
      </w:r>
      <w:bookmarkEnd w:id="35"/>
      <w:bookmarkEnd w:id="36"/>
      <w:r>
        <w:rPr>
          <w:rStyle w:val="2Char"/>
          <w:rFonts w:ascii="黑体" w:eastAsia="黑体" w:hAnsi="黑体"/>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9年一般公共预算财政拨款基本支出22.43万元，其中：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15.88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公用经费3.20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Ansi="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pPr>
        <w:spacing w:line="600" w:lineRule="exact"/>
        <w:ind w:firstLine="640"/>
        <w:outlineLvl w:val="2"/>
        <w:rPr>
          <w:rFonts w:ascii="仿宋" w:eastAsia="仿宋" w:hAnsi="仿宋"/>
          <w:b/>
          <w:color w:val="000000"/>
          <w:sz w:val="32"/>
          <w:szCs w:val="32"/>
        </w:rPr>
      </w:pPr>
      <w:bookmarkStart w:id="39" w:name="_Toc15377216"/>
      <w:r>
        <w:rPr>
          <w:rFonts w:ascii="仿宋" w:eastAsia="仿宋" w:hAnsi="仿宋" w:hint="eastAsia"/>
          <w:b/>
          <w:color w:val="000000"/>
          <w:sz w:val="32"/>
          <w:szCs w:val="32"/>
        </w:rPr>
        <w:t>（一）“三公”经费财政拨款支出决算总体情况说明</w:t>
      </w:r>
      <w:bookmarkEnd w:id="39"/>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9年“三公”经费财政拨款支出决算为0.05万元，完成预算100</w:t>
      </w:r>
      <w:r>
        <w:rPr>
          <w:rFonts w:ascii="仿宋" w:eastAsia="仿宋" w:hAnsi="仿宋"/>
          <w:color w:val="000000"/>
          <w:sz w:val="32"/>
          <w:szCs w:val="32"/>
        </w:rPr>
        <w:t>%</w:t>
      </w:r>
      <w:r>
        <w:rPr>
          <w:rFonts w:ascii="仿宋" w:eastAsia="仿宋" w:hAnsi="仿宋" w:hint="eastAsia"/>
          <w:color w:val="000000"/>
          <w:sz w:val="32"/>
          <w:szCs w:val="32"/>
        </w:rPr>
        <w:t>，决算数等于预算数的主要原因是厉行节约，加大力度压缩了公务接待开支。</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（上述“预算”口径为调整预算数，包括政府性基金支出决算情况。）</w:t>
      </w:r>
    </w:p>
    <w:p>
      <w:pPr>
        <w:spacing w:line="600" w:lineRule="exact"/>
        <w:ind w:firstLine="640"/>
        <w:outlineLvl w:val="2"/>
        <w:rPr>
          <w:rFonts w:ascii="仿宋" w:eastAsia="仿宋" w:hAnsi="仿宋"/>
          <w:b/>
          <w:color w:val="000000"/>
          <w:sz w:val="32"/>
          <w:szCs w:val="32"/>
        </w:rPr>
      </w:pPr>
      <w:bookmarkStart w:id="40" w:name="_Toc15377217"/>
      <w:r>
        <w:rPr>
          <w:rFonts w:ascii="仿宋" w:eastAsia="仿宋" w:hAnsi="仿宋" w:hint="eastAsia"/>
          <w:b/>
          <w:color w:val="000000"/>
          <w:sz w:val="32"/>
          <w:szCs w:val="32"/>
        </w:rPr>
        <w:t>（二）“三公”经费财政拨款支出决算具体情况说明</w:t>
      </w:r>
      <w:bookmarkEnd w:id="40"/>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pPr>
        <w:rPr>
          <w:rFonts w:ascii="仿宋" w:eastAsia="仿宋" w:hAnsi="仿宋"/>
          <w:color w:val="000000"/>
          <w:sz w:val="32"/>
          <w:szCs w:val="32"/>
        </w:rPr>
      </w:pPr>
      <w:r>
        <w:rPr>
          <w:rFonts w:ascii="仿宋" w:eastAsia="仿宋" w:hAnsi="仿宋"/>
          <w:color w:val="000000"/>
          <w:sz w:val="32"/>
          <w:szCs w:val="32"/>
        </w:rPr>
        <w:drawing>
          <wp:inline distT="0" distB="0" distL="0" distR="0">
            <wp:extent cx="5274310" cy="3076575"/>
            <wp:effectExtent l="0" t="0" r="0" b="0"/>
            <wp:docPr id="7" name="图表 9"/>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rPr>
          <w:rFonts w:ascii="仿宋" w:eastAsia="仿宋" w:hAnsi="仿宋"/>
          <w:color w:val="000000"/>
          <w:sz w:val="32"/>
          <w:szCs w:val="32"/>
        </w:rPr>
      </w:pPr>
      <w:r>
        <w:rPr>
          <w:rFonts w:ascii="仿宋" w:eastAsia="仿宋" w:hAnsi="仿宋" w:hint="eastAsia"/>
          <w:color w:val="000000"/>
          <w:sz w:val="32"/>
          <w:szCs w:val="32"/>
        </w:rPr>
        <w:t>（图8：“三公”经费财政拨款支出结构）（饼状图）</w:t>
      </w:r>
    </w:p>
    <w:p>
      <w:pPr>
        <w:spacing w:line="600" w:lineRule="exact"/>
        <w:ind w:firstLine="640"/>
        <w:rPr>
          <w:rFonts w:ascii="仿宋" w:eastAsia="仿宋" w:hAnsi="仿宋"/>
          <w:b/>
          <w:color w:val="000000"/>
          <w:sz w:val="32"/>
          <w:szCs w:val="32"/>
        </w:rPr>
      </w:pPr>
      <w:r>
        <w:rPr>
          <w:rFonts w:ascii="仿宋" w:eastAsia="仿宋" w:hAnsi="仿宋"/>
          <w:b/>
          <w:color w:val="000000"/>
          <w:sz w:val="32"/>
          <w:szCs w:val="32"/>
        </w:rPr>
        <w:t>1.</w:t>
      </w:r>
      <w:r>
        <w:rPr>
          <w:rFonts w:ascii="仿宋" w:eastAsia="仿宋" w:hAnsi="仿宋" w:hint="eastAsia"/>
          <w:b/>
          <w:color w:val="000000"/>
          <w:sz w:val="32"/>
          <w:szCs w:val="32"/>
        </w:rPr>
        <w:t>因公出国（境）经费支出</w:t>
      </w:r>
      <w:r>
        <w:rPr>
          <w:rFonts w:ascii="仿宋" w:eastAsia="仿宋" w:hAnsi="仿宋" w:hint="eastAsia"/>
          <w:color w:val="000000"/>
          <w:sz w:val="32"/>
          <w:szCs w:val="32"/>
        </w:rPr>
        <w:t>0万元，</w:t>
      </w:r>
      <w:r>
        <w:rPr>
          <w:rStyle w:val="22"/>
          <w:rFonts w:ascii="仿宋" w:eastAsia="仿宋" w:hAnsi="仿宋" w:hint="eastAsia"/>
          <w:b w:val="0"/>
          <w:bCs/>
          <w:color w:val="000000"/>
          <w:sz w:val="32"/>
          <w:szCs w:val="32"/>
        </w:rPr>
        <w:t>完成预算0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 w:eastAsia="仿宋" w:hAnsi="仿宋" w:hint="eastAsia"/>
          <w:color w:val="000000"/>
          <w:sz w:val="32"/>
          <w:szCs w:val="32"/>
        </w:rPr>
        <w:t>全年安排因公出国（境）团组0次，出国（境）0人。因公出国（境）支出决算与</w:t>
      </w:r>
      <w:r>
        <w:rPr>
          <w:rFonts w:ascii="仿宋" w:eastAsia="仿宋" w:hAnsi="仿宋"/>
          <w:color w:val="000000"/>
          <w:sz w:val="32"/>
          <w:szCs w:val="32"/>
        </w:rPr>
        <w:t>201</w:t>
      </w:r>
      <w:r>
        <w:rPr>
          <w:rFonts w:ascii="仿宋" w:eastAsia="仿宋" w:hAnsi="仿宋" w:hint="eastAsia"/>
          <w:color w:val="000000"/>
          <w:sz w:val="32"/>
          <w:szCs w:val="32"/>
        </w:rPr>
        <w:t>8年持平。</w:t>
      </w:r>
    </w:p>
    <w:p>
      <w:pPr>
        <w:spacing w:line="600" w:lineRule="exact"/>
        <w:ind w:firstLine="640"/>
        <w:rPr>
          <w:rFonts w:ascii="仿宋" w:eastAsia="仿宋" w:hAnsi="仿宋"/>
          <w:b/>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公务用车购置及运行维护费支出</w:t>
      </w:r>
      <w:r>
        <w:rPr>
          <w:rFonts w:ascii="仿宋" w:eastAsia="仿宋" w:hAnsi="仿宋" w:hint="eastAsia"/>
          <w:color w:val="000000"/>
          <w:sz w:val="32"/>
          <w:szCs w:val="32"/>
        </w:rPr>
        <w:t>0万元,</w:t>
      </w:r>
      <w:r>
        <w:rPr>
          <w:rStyle w:val="22"/>
          <w:rFonts w:ascii="仿宋" w:eastAsia="仿宋" w:hAnsi="仿宋" w:hint="eastAsia"/>
          <w:b w:val="0"/>
          <w:bCs/>
          <w:color w:val="000000"/>
          <w:sz w:val="32"/>
          <w:szCs w:val="32"/>
        </w:rPr>
        <w:t>完成预算</w:t>
      </w:r>
      <w:r>
        <w:rPr>
          <w:rFonts w:ascii="仿宋" w:eastAsia="仿宋" w:hAnsi="仿宋" w:hint="eastAsia"/>
          <w:color w:val="000000"/>
          <w:sz w:val="32"/>
          <w:szCs w:val="32"/>
        </w:rPr>
        <w:t>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 w:eastAsia="仿宋" w:hAnsi="仿宋" w:hint="eastAsia"/>
          <w:color w:val="000000"/>
          <w:sz w:val="32"/>
          <w:szCs w:val="32"/>
        </w:rPr>
        <w:t>公务用车购置及运行维护费支出决算比</w:t>
      </w:r>
      <w:r>
        <w:rPr>
          <w:rFonts w:ascii="仿宋" w:eastAsia="仿宋" w:hAnsi="仿宋"/>
          <w:color w:val="000000"/>
          <w:sz w:val="32"/>
          <w:szCs w:val="32"/>
        </w:rPr>
        <w:t>201</w:t>
      </w:r>
      <w:r>
        <w:rPr>
          <w:rFonts w:ascii="仿宋" w:eastAsia="仿宋" w:hAnsi="仿宋" w:hint="eastAsia"/>
          <w:color w:val="000000"/>
          <w:sz w:val="32"/>
          <w:szCs w:val="32"/>
        </w:rPr>
        <w:t>8年增加0万元，增长0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其中：</w:t>
      </w:r>
      <w:r>
        <w:rPr>
          <w:rFonts w:ascii="仿宋" w:eastAsia="仿宋" w:hAnsi="仿宋" w:hint="eastAsia"/>
          <w:b/>
          <w:color w:val="000000"/>
          <w:sz w:val="32"/>
          <w:szCs w:val="32"/>
        </w:rPr>
        <w:t>公务用车购置支出</w:t>
      </w:r>
      <w:r>
        <w:rPr>
          <w:rFonts w:ascii="仿宋" w:eastAsia="仿宋" w:hAnsi="仿宋" w:hint="eastAsia"/>
          <w:color w:val="000000"/>
          <w:sz w:val="32"/>
          <w:szCs w:val="32"/>
        </w:rPr>
        <w:t>0万元。全年按规定更新购置公务用车0辆，其中：轿车0辆、金额0万元，越野车0辆、金额0万元，载客汽车0辆、金额0万元0。截至</w:t>
      </w:r>
      <w:r>
        <w:rPr>
          <w:rFonts w:ascii="仿宋" w:eastAsia="仿宋" w:hAnsi="仿宋"/>
          <w:color w:val="000000"/>
          <w:sz w:val="32"/>
          <w:szCs w:val="32"/>
        </w:rPr>
        <w:t>201</w:t>
      </w:r>
      <w:r>
        <w:rPr>
          <w:rFonts w:ascii="仿宋" w:eastAsia="仿宋" w:hAnsi="仿宋" w:hint="eastAsia"/>
          <w:color w:val="000000"/>
          <w:sz w:val="32"/>
          <w:szCs w:val="32"/>
        </w:rPr>
        <w:t>9年</w:t>
      </w:r>
      <w:r>
        <w:rPr>
          <w:rFonts w:ascii="仿宋" w:eastAsia="仿宋" w:hAnsi="仿宋"/>
          <w:color w:val="000000"/>
          <w:sz w:val="32"/>
          <w:szCs w:val="32"/>
        </w:rPr>
        <w:t>12</w:t>
      </w:r>
      <w:r>
        <w:rPr>
          <w:rFonts w:ascii="仿宋" w:eastAsia="仿宋" w:hAnsi="仿宋" w:hint="eastAsia"/>
          <w:color w:val="000000"/>
          <w:sz w:val="32"/>
          <w:szCs w:val="32"/>
        </w:rPr>
        <w:t>月底，单位共有公务用车0辆，其中：轿车0辆、越野车0辆、载客汽车0辆。</w:t>
      </w:r>
    </w:p>
    <w:p>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公务用车运行维护费支出0</w:t>
      </w:r>
      <w:r>
        <w:rPr>
          <w:rFonts w:ascii="仿宋" w:eastAsia="仿宋" w:hAnsi="仿宋" w:hint="eastAsia"/>
          <w:color w:val="000000"/>
          <w:sz w:val="32"/>
          <w:szCs w:val="32"/>
        </w:rPr>
        <w:t>万元。0</w:t>
      </w:r>
      <w:r>
        <w:rPr>
          <w:rFonts w:ascii="仿宋" w:eastAsia="仿宋" w:hAnsi="仿宋"/>
          <w:b/>
          <w:color w:val="000000"/>
          <w:sz w:val="32"/>
          <w:szCs w:val="32"/>
        </w:rPr>
        <w:t>3.</w:t>
      </w:r>
      <w:r>
        <w:rPr>
          <w:rFonts w:ascii="仿宋" w:eastAsia="仿宋" w:hAnsi="仿宋" w:hint="eastAsia"/>
          <w:b/>
          <w:color w:val="000000"/>
          <w:sz w:val="32"/>
          <w:szCs w:val="32"/>
        </w:rPr>
        <w:t>公务接待费支出</w:t>
      </w:r>
      <w:r>
        <w:rPr>
          <w:rFonts w:ascii="仿宋" w:eastAsia="仿宋" w:hAnsi="仿宋" w:hint="eastAsia"/>
          <w:color w:val="000000"/>
          <w:sz w:val="32"/>
          <w:szCs w:val="32"/>
        </w:rPr>
        <w:t>0.05万元，</w:t>
      </w:r>
      <w:r>
        <w:rPr>
          <w:rStyle w:val="22"/>
          <w:rFonts w:ascii="仿宋" w:eastAsia="仿宋" w:hAnsi="仿宋" w:hint="eastAsia"/>
          <w:b w:val="0"/>
          <w:bCs/>
          <w:color w:val="000000"/>
          <w:sz w:val="32"/>
          <w:szCs w:val="32"/>
        </w:rPr>
        <w:t>完成预算</w:t>
      </w:r>
      <w:r>
        <w:rPr>
          <w:rFonts w:ascii="仿宋" w:eastAsia="仿宋" w:hAnsi="仿宋" w:hint="eastAsia"/>
          <w:color w:val="000000"/>
          <w:sz w:val="32"/>
          <w:szCs w:val="32"/>
        </w:rPr>
        <w:t>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 w:eastAsia="仿宋" w:hAnsi="仿宋" w:hint="eastAsia"/>
          <w:color w:val="000000"/>
          <w:sz w:val="32"/>
          <w:szCs w:val="32"/>
        </w:rPr>
        <w:t>公务接待费支出决算比</w:t>
      </w:r>
      <w:r>
        <w:rPr>
          <w:rFonts w:ascii="仿宋" w:eastAsia="仿宋" w:hAnsi="仿宋"/>
          <w:color w:val="000000"/>
          <w:sz w:val="32"/>
          <w:szCs w:val="32"/>
        </w:rPr>
        <w:t>201</w:t>
      </w:r>
      <w:r>
        <w:rPr>
          <w:rFonts w:ascii="仿宋" w:eastAsia="仿宋" w:hAnsi="仿宋" w:hint="eastAsia"/>
          <w:color w:val="000000"/>
          <w:sz w:val="32"/>
          <w:szCs w:val="32"/>
        </w:rPr>
        <w:t>8年减少0万元，下降0</w:t>
      </w:r>
      <w:r>
        <w:rPr>
          <w:rFonts w:ascii="仿宋" w:eastAsia="仿宋" w:hAnsi="仿宋"/>
          <w:color w:val="000000"/>
          <w:sz w:val="32"/>
          <w:szCs w:val="32"/>
        </w:rPr>
        <w:t>%</w:t>
      </w:r>
      <w:r>
        <w:rPr>
          <w:rFonts w:ascii="仿宋" w:eastAsia="仿宋" w:hAnsi="仿宋" w:hint="eastAsia"/>
          <w:color w:val="000000"/>
          <w:sz w:val="32"/>
          <w:szCs w:val="32"/>
        </w:rPr>
        <w:t>。主要原因是厉行节约，加大力度，严格执行公务接待审批制度有效压缩了公务接待开支。</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主要用于执行公务、开展业务活动开支的交通费、住宿费、用餐费等。国内公务接待2批次8人次（不包括陪同人员），共计支出0.05万元，具体内容包括：接待其他外市县参观共计0.05万元；接待省级单位检查工作等0万元；接待上级督查、检查0万元。等。其中：</w:t>
      </w:r>
    </w:p>
    <w:p>
      <w:pPr>
        <w:spacing w:line="600" w:lineRule="exact"/>
        <w:ind w:firstLineChars="200" w:firstLine="640"/>
        <w:rPr>
          <w:rFonts w:ascii="仿宋" w:eastAsia="仿宋" w:hAnsi="仿宋"/>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0万元，外事接待0批次，0人，共计支出0万元。</w:t>
      </w:r>
    </w:p>
    <w:p>
      <w:pPr>
        <w:spacing w:line="600" w:lineRule="exact"/>
        <w:ind w:firstLineChars="200" w:firstLine="640"/>
        <w:rPr>
          <w:rFonts w:ascii="仿宋" w:eastAsia="仿宋" w:hAnsi="仿宋"/>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0.05万元，具体内容包括：接待其他外市县参观共计0.05万元；接待省级单位检查工作等1.58万元；接待上级督查、检查0万元。</w:t>
      </w:r>
      <w:bookmarkStart w:id="41" w:name="_Toc15377218"/>
      <w:bookmarkStart w:id="42" w:name="_Toc15396610"/>
    </w:p>
    <w:p>
      <w:pPr>
        <w:spacing w:line="600" w:lineRule="exact"/>
        <w:ind w:firstLine="640"/>
        <w:outlineLvl w:val="1"/>
        <w:rPr>
          <w:rStyle w:val="2Char"/>
          <w:rFonts w:ascii="黑体" w:eastAsia="黑体" w:hAnsi="黑体"/>
        </w:rPr>
      </w:pPr>
      <w:r>
        <w:rPr>
          <w:rFonts w:ascii="黑体" w:eastAsia="黑体" w:hAnsi="黑体" w:hint="eastAsia"/>
          <w:color w:val="000000"/>
          <w:sz w:val="32"/>
          <w:szCs w:val="32"/>
        </w:rPr>
        <w:t>八、</w:t>
      </w:r>
      <w:r>
        <w:rPr>
          <w:rStyle w:val="2Char"/>
          <w:rFonts w:ascii="黑体" w:eastAsia="黑体" w:hAnsi="黑体" w:hint="eastAsia"/>
          <w:b w:val="0"/>
        </w:rPr>
        <w:t>政府性基金预算支出决算情况说明</w:t>
      </w:r>
      <w:bookmarkEnd w:id="41"/>
      <w:bookmarkEnd w:id="42"/>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9年政府性基金预算拨款支出0万元。</w:t>
      </w:r>
    </w:p>
    <w:p>
      <w:pPr>
        <w:numPr>
          <w:ilvl w:val="0"/>
          <w:numId w:val="2"/>
        </w:numPr>
        <w:spacing w:line="600" w:lineRule="exact"/>
        <w:ind w:left="0"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9年国有资本经营预算拨款支出0万元。</w:t>
      </w:r>
    </w:p>
    <w:p>
      <w:pPr>
        <w:pStyle w:val="28"/>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其他重要事项情况说明</w:t>
      </w:r>
    </w:p>
    <w:p>
      <w:pPr>
        <w:spacing w:line="600" w:lineRule="exact"/>
        <w:ind w:firstLineChars="200" w:firstLine="640"/>
        <w:outlineLvl w:val="2"/>
        <w:rPr>
          <w:rFonts w:ascii="仿宋" w:eastAsia="仿宋" w:hAnsi="仿宋"/>
          <w:color w:val="000000"/>
          <w:sz w:val="32"/>
          <w:szCs w:val="32"/>
        </w:rPr>
      </w:pPr>
      <w:r>
        <w:rPr>
          <w:rFonts w:ascii="仿宋" w:eastAsia="仿宋" w:hAnsi="仿宋" w:hint="eastAsia"/>
          <w:b/>
          <w:color w:val="000000"/>
          <w:sz w:val="32"/>
          <w:szCs w:val="32"/>
        </w:rPr>
        <w:t>（一）机关运行经费支出情况</w:t>
      </w:r>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9年，区老促会机关运行经费支出3.2万元，比</w:t>
      </w:r>
      <w:r>
        <w:rPr>
          <w:rFonts w:ascii="仿宋" w:eastAsia="仿宋" w:hAnsi="仿宋"/>
          <w:color w:val="000000"/>
          <w:sz w:val="32"/>
          <w:szCs w:val="32"/>
        </w:rPr>
        <w:t>201</w:t>
      </w:r>
      <w:r>
        <w:rPr>
          <w:rFonts w:ascii="仿宋" w:eastAsia="仿宋" w:hAnsi="仿宋" w:hint="eastAsia"/>
          <w:color w:val="000000"/>
          <w:sz w:val="32"/>
          <w:szCs w:val="32"/>
        </w:rPr>
        <w:t>8年增加</w:t>
      </w:r>
      <w:r>
        <w:rPr>
          <w:rFonts w:ascii="仿宋" w:eastAsia="仿宋" w:hAnsi="仿宋"/>
          <w:color w:val="000000"/>
          <w:sz w:val="32"/>
          <w:szCs w:val="32"/>
        </w:rPr>
        <w:t>/</w:t>
      </w:r>
      <w:r>
        <w:rPr>
          <w:rFonts w:ascii="仿宋" w:eastAsia="仿宋" w:hAnsi="仿宋" w:hint="eastAsia"/>
          <w:color w:val="000000"/>
          <w:sz w:val="32"/>
          <w:szCs w:val="32"/>
        </w:rPr>
        <w:t>减少0万元，增长</w:t>
      </w:r>
      <w:r>
        <w:rPr>
          <w:rFonts w:ascii="仿宋" w:eastAsia="仿宋" w:hAnsi="仿宋"/>
          <w:color w:val="000000"/>
          <w:sz w:val="32"/>
          <w:szCs w:val="32"/>
        </w:rPr>
        <w:t>/</w:t>
      </w:r>
      <w:r>
        <w:rPr>
          <w:rFonts w:ascii="仿宋" w:eastAsia="仿宋" w:hAnsi="仿宋" w:hint="eastAsia"/>
          <w:color w:val="000000"/>
          <w:sz w:val="32"/>
          <w:szCs w:val="32"/>
        </w:rPr>
        <w:t>下降0</w:t>
      </w:r>
      <w:r>
        <w:rPr>
          <w:rFonts w:ascii="仿宋" w:eastAsia="仿宋" w:hAnsi="仿宋"/>
          <w:color w:val="000000"/>
          <w:sz w:val="32"/>
          <w:szCs w:val="32"/>
        </w:rPr>
        <w:t>%</w:t>
      </w:r>
      <w:r>
        <w:rPr>
          <w:rFonts w:ascii="仿宋" w:eastAsia="仿宋" w:hAnsi="仿宋" w:hint="eastAsia"/>
          <w:color w:val="000000"/>
          <w:sz w:val="32"/>
          <w:szCs w:val="32"/>
        </w:rPr>
        <w:t>（或与</w:t>
      </w:r>
      <w:r>
        <w:rPr>
          <w:rFonts w:ascii="仿宋" w:eastAsia="仿宋" w:hAnsi="仿宋"/>
          <w:color w:val="000000"/>
          <w:sz w:val="32"/>
          <w:szCs w:val="32"/>
        </w:rPr>
        <w:t>201</w:t>
      </w:r>
      <w:r>
        <w:rPr>
          <w:rFonts w:ascii="仿宋" w:eastAsia="仿宋" w:hAnsi="仿宋" w:hint="eastAsia"/>
          <w:color w:val="000000"/>
          <w:sz w:val="32"/>
          <w:szCs w:val="32"/>
        </w:rPr>
        <w:t>8年决算数持平）。</w:t>
      </w:r>
    </w:p>
    <w:p>
      <w:pPr>
        <w:spacing w:line="600" w:lineRule="exact"/>
        <w:ind w:left="709"/>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left="709"/>
        <w:jc w:val="left"/>
        <w:outlineLvl w:val="2"/>
        <w:rPr>
          <w:rFonts w:ascii="仿宋" w:eastAsia="仿宋" w:hAnsi="仿宋"/>
          <w:b/>
          <w:sz w:val="32"/>
          <w:szCs w:val="32"/>
        </w:rPr>
      </w:pPr>
      <w:r>
        <w:rPr>
          <w:rFonts w:ascii="仿宋" w:eastAsia="仿宋" w:hAnsi="仿宋" w:hint="eastAsia"/>
          <w:b/>
          <w:sz w:val="32"/>
          <w:szCs w:val="32"/>
        </w:rPr>
        <w:t>（二）政府采购支出情况</w:t>
      </w:r>
    </w:p>
    <w:p>
      <w:pPr>
        <w:autoSpaceDE w:val="0"/>
        <w:autoSpaceDN w:val="0"/>
        <w:adjustRightInd w:val="0"/>
        <w:spacing w:line="600" w:lineRule="exact"/>
        <w:ind w:firstLineChars="200" w:firstLine="640"/>
        <w:jc w:val="left"/>
        <w:outlineLvl w:val="2"/>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9年，区老促会政府采购支出总额0万元，其中：政府采购货物支出0万元、政府采购工程支出0万元、政府采购服务支出0万元。授予中小企业合同金额0万元，占政府采购支出总额的0</w:t>
      </w:r>
      <w:r>
        <w:rPr>
          <w:rFonts w:ascii="仿宋" w:eastAsia="仿宋" w:hAnsi="仿宋"/>
          <w:sz w:val="32"/>
          <w:szCs w:val="32"/>
        </w:rPr>
        <w:t>%</w:t>
      </w:r>
      <w:r>
        <w:rPr>
          <w:rFonts w:ascii="仿宋" w:eastAsia="仿宋" w:hAnsi="仿宋" w:hint="eastAsia"/>
          <w:sz w:val="32"/>
          <w:szCs w:val="32"/>
        </w:rPr>
        <w:t>，其中：授予小微企业合同金额0万元，占政府采购支出总额的0</w:t>
      </w:r>
      <w:r>
        <w:rPr>
          <w:rFonts w:ascii="仿宋" w:eastAsia="仿宋" w:hAnsi="仿宋"/>
          <w:sz w:val="32"/>
          <w:szCs w:val="32"/>
        </w:rPr>
        <w:t>%</w:t>
      </w:r>
      <w:r>
        <w:rPr>
          <w:rFonts w:ascii="仿宋" w:eastAsia="仿宋" w:hAnsi="仿宋" w:hint="eastAsia"/>
          <w:sz w:val="32"/>
          <w:szCs w:val="32"/>
        </w:rPr>
        <w:t>。</w:t>
      </w:r>
    </w:p>
    <w:p>
      <w:pPr>
        <w:spacing w:line="600" w:lineRule="exact"/>
        <w:ind w:left="709"/>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left="709"/>
        <w:jc w:val="left"/>
        <w:outlineLvl w:val="2"/>
        <w:rPr>
          <w:rFonts w:ascii="仿宋" w:eastAsia="仿宋" w:hAnsi="仿宋"/>
          <w:b/>
          <w:color w:val="000000"/>
          <w:sz w:val="32"/>
          <w:szCs w:val="32"/>
        </w:rPr>
      </w:pPr>
      <w:r>
        <w:rPr>
          <w:rFonts w:ascii="仿宋" w:eastAsia="仿宋" w:hAnsi="仿宋" w:hint="eastAsia"/>
          <w:b/>
          <w:color w:val="000000"/>
          <w:sz w:val="32"/>
          <w:szCs w:val="32"/>
        </w:rPr>
        <w:t>（三）国有资产占有使用情况</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color w:val="000000"/>
          <w:sz w:val="32"/>
          <w:szCs w:val="32"/>
        </w:rPr>
        <w:t>截至</w:t>
      </w:r>
      <w:r>
        <w:rPr>
          <w:rFonts w:ascii="仿宋" w:eastAsia="仿宋" w:hAnsi="仿宋"/>
          <w:color w:val="000000"/>
          <w:sz w:val="32"/>
          <w:szCs w:val="32"/>
        </w:rPr>
        <w:t>201</w:t>
      </w:r>
      <w:r>
        <w:rPr>
          <w:rFonts w:ascii="仿宋" w:eastAsia="仿宋" w:hAnsi="仿宋" w:hint="eastAsia"/>
          <w:color w:val="000000"/>
          <w:sz w:val="32"/>
          <w:szCs w:val="32"/>
        </w:rPr>
        <w:t>9年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日，区老促会共有车辆0辆，其中：主要领导干部用车0辆、机要通信用车0辆、应急保障用车0辆、其他用车0辆，单价</w:t>
      </w:r>
      <w:r>
        <w:rPr>
          <w:rFonts w:ascii="仿宋" w:eastAsia="仿宋" w:hAnsi="仿宋"/>
          <w:color w:val="000000"/>
          <w:sz w:val="32"/>
          <w:szCs w:val="32"/>
        </w:rPr>
        <w:t>50</w:t>
      </w:r>
      <w:r>
        <w:rPr>
          <w:rFonts w:ascii="仿宋" w:eastAsia="仿宋" w:hAnsi="仿宋" w:hint="eastAsia"/>
          <w:color w:val="000000"/>
          <w:sz w:val="32"/>
          <w:szCs w:val="32"/>
        </w:rPr>
        <w:t>万元以上通用设备0台（套），单</w:t>
      </w:r>
      <w:r>
        <w:rPr>
          <w:rFonts w:ascii="仿宋" w:eastAsia="仿宋" w:hAnsi="仿宋" w:hint="eastAsia"/>
          <w:sz w:val="32"/>
          <w:szCs w:val="32"/>
        </w:rPr>
        <w:t>价</w:t>
      </w:r>
      <w:r>
        <w:rPr>
          <w:rFonts w:ascii="仿宋" w:eastAsia="仿宋" w:hAnsi="仿宋"/>
          <w:sz w:val="32"/>
          <w:szCs w:val="32"/>
        </w:rPr>
        <w:t>100</w:t>
      </w:r>
      <w:r>
        <w:rPr>
          <w:rFonts w:ascii="仿宋" w:eastAsia="仿宋" w:hAnsi="仿宋" w:hint="eastAsia"/>
          <w:sz w:val="32"/>
          <w:szCs w:val="32"/>
        </w:rPr>
        <w:t>万元以上专用设备0台（套）。</w:t>
      </w:r>
      <w:r>
        <w:rPr>
          <w:rFonts w:ascii="仿宋" w:eastAsia="仿宋" w:hAnsi="仿宋" w:hint="eastAsia"/>
          <w:b/>
          <w:sz w:val="32"/>
          <w:szCs w:val="32"/>
        </w:rPr>
        <w:t>（注：数据来源财决附</w:t>
      </w:r>
      <w:r>
        <w:rPr>
          <w:rFonts w:ascii="仿宋" w:eastAsia="仿宋" w:hAnsi="仿宋"/>
          <w:b/>
          <w:sz w:val="32"/>
          <w:szCs w:val="32"/>
        </w:rPr>
        <w:t>03</w:t>
      </w:r>
      <w:r>
        <w:rPr>
          <w:rFonts w:ascii="仿宋" w:eastAsia="仿宋" w:hAnsi="仿宋" w:hint="eastAsia"/>
          <w:b/>
          <w:sz w:val="32"/>
          <w:szCs w:val="32"/>
        </w:rPr>
        <w:t>表，按部门决算报表填报数据罗列车辆情况。）</w:t>
      </w:r>
    </w:p>
    <w:p>
      <w:pPr>
        <w:autoSpaceDE w:val="0"/>
        <w:autoSpaceDN w:val="0"/>
        <w:adjustRightInd w:val="0"/>
        <w:spacing w:line="600" w:lineRule="exact"/>
        <w:ind w:left="709"/>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pPr>
        <w:autoSpaceDE w:val="0"/>
        <w:autoSpaceDN w:val="0"/>
        <w:adjustRightInd w:val="0"/>
        <w:spacing w:line="600" w:lineRule="exact"/>
        <w:ind w:firstLineChars="250" w:firstLine="800"/>
        <w:jc w:val="left"/>
        <w:outlineLvl w:val="2"/>
        <w:rPr>
          <w:rFonts w:ascii="仿宋" w:eastAsia="仿宋" w:cs="仿宋_GB2312" w:hAnsi="仿宋"/>
          <w:sz w:val="32"/>
          <w:szCs w:val="32"/>
        </w:rPr>
      </w:pPr>
      <w:r>
        <w:rPr>
          <w:rFonts w:ascii="仿宋" w:eastAsia="仿宋" w:cs="仿宋_GB2312" w:hAnsi="仿宋" w:hint="eastAsia"/>
          <w:sz w:val="32"/>
          <w:szCs w:val="32"/>
        </w:rPr>
        <w:t>根据预算绩效管理要求，本部门（单位）在年初预算编制阶段，组织对办公室维修项目（项目名称）开展了预算事前绩效评估，对1个项目编制了绩效目标，预算执行过程中，选取1个项目开展绩效监控，年终执行完毕后，对1个项目开展了绩效目标完成情况自评。</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部门按要求对2019年部门整体支出开展绩效自评，从评价情况来看全面完成目标任务（简要说明整体绩效情况）。本部门还自行组织了0个项目支出绩效评价，从评价情况来看0（简要说明项目绩效情况；若未开展项目支出绩效评价，则说明未开展情况。如：本部门无专项预算项目，因此未组织开展项目支出绩效评价/本部门未组织开展项目支出绩效评价）。</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hint="eastAsia"/>
          <w:sz w:val="32"/>
          <w:szCs w:val="32"/>
        </w:rPr>
        <w:t>1.项目绩效目标完成情况。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本部门在2019年度部门决算中反映“办公室维修项目</w:t>
      </w:r>
      <w:r>
        <w:rPr>
          <w:rFonts w:ascii="仿宋" w:eastAsia="仿宋" w:cs="仿宋_GB2312" w:hAnsi="仿宋"/>
          <w:sz w:val="32"/>
          <w:szCs w:val="32"/>
        </w:rPr>
        <w:t>”</w:t>
      </w:r>
      <w:r>
        <w:rPr>
          <w:rFonts w:ascii="仿宋" w:eastAsia="仿宋" w:cs="仿宋_GB2312" w:hAnsi="仿宋" w:hint="eastAsia"/>
          <w:sz w:val="32"/>
          <w:szCs w:val="32"/>
        </w:rPr>
        <w:t>等1个项目绩效目标实际完成情况。（本单位部门项目绩效目标个数在5个以上的，选取5个项目进行公开，目标个数在5个以下的，全部进行公开，公开内容包括选取的全部项目完成情况综述和完成情况表）。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办公室维修项目项目绩效目标完成情况综述。项目全年预算数3.35万元，执行数为3.35万元，完成预算的100%。通过项目实施，保障了工作环境，发现的主要问题：原房屋老化，面积小。下一步改进措施：逐步改善工作环境。</w:t>
      </w:r>
    </w:p>
    <w:p>
      <w:pPr>
        <w:autoSpaceDE w:val="0"/>
        <w:autoSpaceDN w:val="0"/>
        <w:adjustRightInd w:val="0"/>
        <w:spacing w:line="600" w:lineRule="exact"/>
        <w:ind w:firstLineChars="200" w:firstLine="560"/>
        <w:jc w:val="left"/>
        <w:rPr>
          <w:rFonts w:ascii="仿宋_GB2312" w:eastAsia="仿宋_GB2312"/>
          <w:color w:val="000000"/>
          <w:sz w:val="28"/>
          <w:szCs w:val="28"/>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办公室维修运行费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广元市利州区老区建设促进会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3.35万元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3.35万元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全区老区建设项目正常进行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保障重点项目建设正常开展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办公条件得到改善，有力推动老区发展</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可持续影响</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abs>
                <w:tab w:val="left" w:pos="533"/>
              </w:tabs>
              <w:jc w:val="left"/>
              <w:textAlignment w:val="center"/>
              <w:rPr>
                <w:rFonts w:ascii="宋体" w:cs="宋体" w:hAnsi="宋体"/>
                <w:color w:val="000000"/>
                <w:sz w:val="24"/>
              </w:rPr>
            </w:pPr>
            <w:r>
              <w:rPr>
                <w:rFonts w:ascii="宋体" w:cs="宋体" w:hAnsi="宋体" w:hint="eastAsia"/>
                <w:color w:val="000000"/>
                <w:sz w:val="24"/>
              </w:rPr>
              <w:t>持续有效指导全区老促会重点工作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保障重点工作如期完成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方正仿宋简体" w:eastAsia="方正仿宋简体" w:cs="仿宋" w:hAnsi="仿宋" w:hint="eastAsia"/>
                <w:sz w:val="24"/>
              </w:rPr>
              <w:t>进一步加强宣传老区发展改革建设</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bl>
    <w:p>
      <w:pPr>
        <w:spacing w:line="600" w:lineRule="atLeast"/>
        <w:ind w:left="709"/>
        <w:rPr>
          <w:rFonts w:ascii="仿宋_GB2312" w:eastAsia="仿宋_GB2312"/>
          <w:b/>
          <w:color w:val="000000"/>
          <w:sz w:val="28"/>
          <w:szCs w:val="28"/>
        </w:rPr>
      </w:pPr>
    </w:p>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本部门按要求对2019年部门整体支出绩效评价情况开展自评，《广元市利州区老促会部门2019年部门整体支出绩效评价报告》见附件（附件1）。</w:t>
      </w:r>
    </w:p>
    <w:p>
      <w:pPr>
        <w:widowControl/>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按照预算管理要求，本部门对2019年整体支出开展绩效自评，自评得分96分，主要存在三个问题：一是绩效管理相关制度办法，但是绩效管理工作在事前、事中、事后缺乏有效的监督管理机制，二是绩效管理工作涉及领域广，事多，人员少工作开展难度加大，三是行政事业单位固定资产管理有待规范。下一步我们将抓好三个方面的工作，一是做好绩效管理工作的长效监督机制，二是整合资源，合理配置尽可能的在其他部门或第三方评估机构抽调人员开展绩效监督检查、督促有关项目整改落实，三是进一步加强国有资产监督管理，完善政府资产处置程序，确保国有资产保值增值。</w:t>
      </w:r>
    </w:p>
    <w:p>
      <w:pPr>
        <w:widowControl/>
        <w:jc w:val="center"/>
        <w:rPr>
          <w:rFonts w:ascii="黑体" w:eastAsia="黑体" w:hAnsi="黑体" w:hint="eastAsia"/>
          <w:b/>
          <w:color w:val="000000"/>
          <w:sz w:val="28"/>
          <w:szCs w:val="28"/>
        </w:rPr>
      </w:pPr>
      <w:bookmarkStart w:id="45" w:name="_Toc15396613"/>
      <w:bookmarkStart w:id="46" w:name="_Toc15377225"/>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Fonts w:ascii="黑体" w:eastAsia="黑体" w:hAnsi="黑体" w:hint="eastAsia"/>
          <w:b/>
          <w:color w:val="000000"/>
          <w:sz w:val="28"/>
          <w:szCs w:val="28"/>
        </w:rPr>
      </w:pPr>
    </w:p>
    <w:p>
      <w:pPr>
        <w:widowControl/>
        <w:jc w:val="center"/>
        <w:rPr>
          <w:rStyle w:val="1Char"/>
          <w:rFonts w:ascii="黑体" w:eastAsia="黑体" w:hAnsi="黑体"/>
          <w:b w:val="0"/>
        </w:rPr>
      </w:pPr>
      <w:r>
        <w:rPr>
          <w:rFonts w:ascii="黑体" w:eastAsia="黑体" w:hAnsi="黑体" w:hint="eastAsia"/>
          <w:b/>
          <w:color w:val="000000"/>
          <w:sz w:val="44"/>
          <w:szCs w:val="44"/>
        </w:rPr>
        <w:t>第三部分  名</w:t>
      </w:r>
      <w:r>
        <w:rPr>
          <w:rStyle w:val="1Char"/>
          <w:rFonts w:ascii="黑体" w:eastAsia="黑体" w:hAnsi="黑体" w:hint="eastAsia"/>
          <w:b w:val="0"/>
        </w:rPr>
        <w:t>词解释</w:t>
      </w:r>
      <w:bookmarkEnd w:id="45"/>
      <w:bookmarkEnd w:id="46"/>
    </w:p>
    <w:p>
      <w:pPr>
        <w:spacing w:line="600" w:lineRule="exact"/>
        <w:jc w:val="left"/>
        <w:rPr>
          <w:rFonts w:ascii="宋体"/>
          <w:b/>
          <w:color w:val="000000"/>
          <w:sz w:val="28"/>
          <w:szCs w:val="28"/>
        </w:rPr>
      </w:pPr>
    </w:p>
    <w:p>
      <w:pPr>
        <w:pStyle w:val="27"/>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财政拨款收入：指单位从同级财政部门取得的财政预算资金。</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事业收入：指事业单位开展专业业务活动及辅助活动取得的收入。如…（二级预算单位事业收入情况）等。</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经营收入：指事业单位在专业业务活动及其辅助活动之外开展非独立核算经营活动取得的收入。如…（二级预算单位经营收入情况）等。</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其他收入：指单位取得的除上述收入以外的各项收入。主要是…（收入类型）等。</w:t>
      </w:r>
      <w:r>
        <w:rPr>
          <w:rFonts w:ascii="仿宋_GB2312" w:eastAsia="仿宋_GB2312"/>
          <w:sz w:val="28"/>
          <w:szCs w:val="28"/>
        </w:rPr>
        <w:t xml:space="preserve"> </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28"/>
          <w:szCs w:val="28"/>
        </w:rPr>
        <w:t xml:space="preserve"> </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年初结转和结余：指以前年度尚未完成、结转到本年按有关规定继续使用的资金。</w:t>
      </w:r>
      <w:r>
        <w:rPr>
          <w:rFonts w:ascii="仿宋_GB2312" w:eastAsia="仿宋_GB2312"/>
          <w:sz w:val="28"/>
          <w:szCs w:val="28"/>
        </w:rPr>
        <w:t xml:space="preserve"> </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结余分配：指事业单位按照事业单位会计制度的规定从非财政补助结余中分配的事业基金和职工福利基金等。</w:t>
      </w:r>
    </w:p>
    <w:p>
      <w:pPr>
        <w:pStyle w:val="27"/>
        <w:spacing w:line="56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、年末结转和结余：指单位按有关规定结转到下年或以后年度继续使用的资金。</w:t>
      </w:r>
    </w:p>
    <w:p>
      <w:pPr>
        <w:ind w:firstLineChars="200" w:firstLine="560"/>
        <w:rPr>
          <w:rFonts w:ascii="仿宋_GB2312" w:eastAsia="仿宋_GB2312"/>
          <w:color w:val="FF0000"/>
          <w:sz w:val="28"/>
          <w:szCs w:val="28"/>
        </w:rPr>
      </w:pPr>
      <w:r>
        <w:rPr>
          <w:rFonts w:ascii="仿宋_GB2312" w:eastAsia="仿宋_GB2312"/>
          <w:sz w:val="28"/>
          <w:szCs w:val="28"/>
        </w:rPr>
        <w:t>9.</w:t>
      </w:r>
      <w:r>
        <w:rPr>
          <w:rStyle w:val="30"/>
          <w:rFonts w:ascii="方正仿宋简体" w:hAnsi="方正仿宋简体"/>
          <w:color w:val="000000"/>
          <w:sz w:val="28"/>
          <w:szCs w:val="28"/>
        </w:rPr>
        <w:t>一般公共服务（</w:t>
      </w:r>
      <w:r>
        <w:rPr>
          <w:rStyle w:val="30"/>
          <w:rFonts w:ascii="方正仿宋简体" w:hAnsi="方正仿宋简体" w:hint="eastAsia"/>
          <w:color w:val="000000"/>
          <w:sz w:val="28"/>
          <w:szCs w:val="28"/>
        </w:rPr>
        <w:t>201</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政府办公室及相关机构事务</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31</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行政运行</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01</w:t>
      </w:r>
      <w:r>
        <w:rPr>
          <w:rStyle w:val="30"/>
          <w:rFonts w:ascii="方正仿宋简体" w:hAnsi="方正仿宋简体"/>
          <w:color w:val="000000"/>
          <w:sz w:val="28"/>
          <w:szCs w:val="28"/>
        </w:rPr>
        <w:t>）</w:t>
      </w:r>
      <w:r>
        <w:rPr>
          <w:rFonts w:ascii="仿宋_GB2312" w:eastAsia="仿宋" w:cs="仿宋" w:hAnsi="Calibri"/>
          <w:color w:val="000000"/>
          <w:kern w:val="0"/>
          <w:sz w:val="28"/>
          <w:szCs w:val="28"/>
        </w:rPr>
        <w:t>：指行政单位的基本支出。一般公共服务（201）</w:t>
      </w:r>
      <w:r>
        <w:rPr>
          <w:rStyle w:val="30"/>
          <w:rFonts w:ascii="方正仿宋简体" w:eastAsia="仿宋" w:hAnsi="方正仿宋简体" w:hint="eastAsia"/>
          <w:color w:val="000000"/>
          <w:sz w:val="28"/>
          <w:szCs w:val="28"/>
        </w:rPr>
        <w:t>政府</w:t>
      </w:r>
      <w:r>
        <w:rPr>
          <w:rStyle w:val="30"/>
          <w:rFonts w:ascii="方正仿宋简体" w:hAnsi="方正仿宋简体" w:hint="eastAsia"/>
          <w:color w:val="000000"/>
          <w:sz w:val="28"/>
          <w:szCs w:val="28"/>
        </w:rPr>
        <w:t>办公室及相关机构事务</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31</w:t>
      </w:r>
      <w:r>
        <w:rPr>
          <w:rStyle w:val="30"/>
          <w:rFonts w:ascii="方正仿宋简体" w:hAnsi="方正仿宋简体"/>
          <w:color w:val="000000"/>
          <w:sz w:val="28"/>
          <w:szCs w:val="28"/>
        </w:rPr>
        <w:t>）</w:t>
      </w:r>
      <w:r>
        <w:rPr>
          <w:rStyle w:val="30"/>
          <w:rFonts w:ascii="方正仿宋简体" w:hAnsi="方正仿宋简体" w:hint="eastAsia"/>
          <w:b w:val="0"/>
          <w:bCs w:val="0"/>
          <w:color w:val="000000"/>
          <w:sz w:val="28"/>
          <w:szCs w:val="28"/>
        </w:rPr>
        <w:t>一般行政管理事务（02）</w:t>
      </w:r>
      <w:r>
        <w:rPr>
          <w:rFonts w:ascii="仿宋_GB2312" w:eastAsia="仿宋" w:cs="仿宋" w:hAnsi="Calibri"/>
          <w:color w:val="000000"/>
          <w:kern w:val="0"/>
          <w:sz w:val="28"/>
          <w:szCs w:val="28"/>
        </w:rPr>
        <w:t>：指行政单位未单独设置项级科目的其他项目支出。</w:t>
      </w:r>
    </w:p>
    <w:p>
      <w:pPr>
        <w:ind w:firstLineChars="200" w:firstLine="560"/>
        <w:rPr>
          <w:rFonts w:ascii="仿宋_GB2312" w:cs="仿宋" w:hAnsi="Calibri"/>
          <w:color w:val="000000"/>
          <w:kern w:val="0"/>
          <w:sz w:val="28"/>
          <w:szCs w:val="28"/>
        </w:rPr>
      </w:pPr>
      <w:r>
        <w:rPr>
          <w:rFonts w:ascii="仿宋_GB2312" w:eastAsia="仿宋_GB2312"/>
          <w:sz w:val="28"/>
          <w:szCs w:val="28"/>
        </w:rPr>
        <w:t>10</w:t>
      </w:r>
      <w:r>
        <w:rPr>
          <w:rFonts w:ascii="仿宋_GB2312" w:eastAsia="仿宋_GB2312"/>
          <w:color w:val="FF0000"/>
          <w:sz w:val="28"/>
          <w:szCs w:val="28"/>
        </w:rPr>
        <w:t>.</w:t>
      </w:r>
      <w:r>
        <w:rPr>
          <w:rStyle w:val="30"/>
          <w:rFonts w:ascii="方正仿宋简体" w:hAnsi="方正仿宋简体"/>
          <w:color w:val="000000"/>
          <w:sz w:val="28"/>
          <w:szCs w:val="28"/>
        </w:rPr>
        <w:t>科学技术（</w:t>
      </w:r>
      <w:r>
        <w:rPr>
          <w:rStyle w:val="30"/>
          <w:rFonts w:ascii="方正仿宋简体" w:hAnsi="方正仿宋简体" w:hint="eastAsia"/>
          <w:color w:val="000000"/>
          <w:sz w:val="28"/>
          <w:szCs w:val="28"/>
        </w:rPr>
        <w:t>206</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技术研究与开发</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04</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科技成果转化与扩散</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04</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:指党政内网建设经费支出。</w:t>
      </w:r>
    </w:p>
    <w:p>
      <w:pPr>
        <w:ind w:firstLineChars="200" w:firstLine="560"/>
        <w:rPr>
          <w:rFonts w:ascii="仿宋_GB2312" w:eastAsia="仿宋" w:cs="仿宋" w:hAnsi="Calibri"/>
          <w:color w:val="000000"/>
          <w:kern w:val="0"/>
          <w:sz w:val="28"/>
          <w:szCs w:val="28"/>
        </w:rPr>
      </w:pPr>
      <w:r>
        <w:rPr>
          <w:rFonts w:ascii="仿宋_GB2312" w:eastAsia="仿宋" w:cs="仿宋" w:hAnsi="Calibri" w:hint="eastAsia"/>
          <w:color w:val="000000"/>
          <w:kern w:val="0"/>
          <w:sz w:val="28"/>
          <w:szCs w:val="28"/>
        </w:rPr>
        <w:t>11.</w:t>
      </w:r>
      <w:r>
        <w:rPr>
          <w:rFonts w:ascii="仿宋_GB2312" w:eastAsia="仿宋" w:cs="仿宋" w:hAnsi="Calibri"/>
          <w:color w:val="000000"/>
          <w:kern w:val="0"/>
          <w:sz w:val="28"/>
          <w:szCs w:val="28"/>
        </w:rPr>
        <w:t>社会保障和就业（208）行政事业单位离退休（05）机关事业单位基本养老保险缴费支出（05）：指机关事业单位实施养老保险制度由单位缴纳的基本养老保险费支出。</w:t>
      </w:r>
    </w:p>
    <w:p>
      <w:pPr>
        <w:ind w:firstLineChars="200" w:firstLine="560"/>
        <w:rPr>
          <w:rFonts w:ascii="仿宋_GB2312" w:eastAsia="仿宋" w:cs="仿宋" w:hAnsi="Calibri"/>
          <w:color w:val="000000"/>
          <w:kern w:val="0"/>
          <w:sz w:val="28"/>
          <w:szCs w:val="28"/>
        </w:rPr>
      </w:pPr>
      <w:r>
        <w:rPr>
          <w:rFonts w:ascii="仿宋_GB2312" w:eastAsia="仿宋" w:cs="仿宋" w:hAnsi="Calibri" w:hint="eastAsia"/>
          <w:color w:val="000000"/>
          <w:kern w:val="0"/>
          <w:sz w:val="28"/>
          <w:szCs w:val="28"/>
        </w:rPr>
        <w:t>12</w:t>
      </w:r>
      <w:r>
        <w:rPr>
          <w:rFonts w:ascii="仿宋_GB2312" w:eastAsia="仿宋" w:cs="仿宋" w:hAnsi="Calibri"/>
          <w:color w:val="000000"/>
          <w:kern w:val="0"/>
          <w:sz w:val="28"/>
          <w:szCs w:val="28"/>
        </w:rPr>
        <w:t>.医疗卫生和计划生育支出（210）</w:t>
      </w:r>
      <w:r>
        <w:rPr>
          <w:rStyle w:val="30"/>
          <w:rFonts w:ascii="方正仿宋简体" w:hAnsi="方正仿宋简体" w:hint="eastAsia"/>
          <w:color w:val="000000"/>
          <w:sz w:val="28"/>
          <w:szCs w:val="28"/>
        </w:rPr>
        <w:t>行政事业单位医疗</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11</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行政单位医疗</w:t>
      </w:r>
      <w:r>
        <w:rPr>
          <w:rStyle w:val="30"/>
          <w:rFonts w:ascii="方正仿宋简体" w:hAnsi="方正仿宋简体"/>
          <w:color w:val="000000"/>
          <w:sz w:val="28"/>
          <w:szCs w:val="28"/>
        </w:rPr>
        <w:t>（</w:t>
      </w:r>
      <w:r>
        <w:rPr>
          <w:rStyle w:val="30"/>
          <w:rFonts w:ascii="方正仿宋简体" w:hAnsi="方正仿宋简体" w:hint="eastAsia"/>
          <w:color w:val="000000"/>
          <w:sz w:val="28"/>
          <w:szCs w:val="28"/>
        </w:rPr>
        <w:t>01</w:t>
      </w:r>
      <w:r>
        <w:rPr>
          <w:rStyle w:val="30"/>
          <w:rFonts w:ascii="方正仿宋简体" w:hAnsi="方正仿宋简体"/>
          <w:color w:val="000000"/>
          <w:sz w:val="28"/>
          <w:szCs w:val="28"/>
        </w:rPr>
        <w:t>）</w:t>
      </w:r>
      <w:r>
        <w:rPr>
          <w:rFonts w:ascii="仿宋_GB2312" w:eastAsia="仿宋" w:cs="仿宋" w:hAnsi="Calibri"/>
          <w:color w:val="000000"/>
          <w:kern w:val="0"/>
          <w:sz w:val="28"/>
          <w:szCs w:val="28"/>
        </w:rPr>
        <w:t>：指财政部门集中安排的行政单位基本医疗保险缴费经费。</w:t>
      </w:r>
    </w:p>
    <w:p>
      <w:pPr>
        <w:ind w:firstLineChars="200" w:firstLine="560"/>
        <w:rPr>
          <w:rFonts w:ascii="仿宋_GB2312" w:eastAsia="仿宋" w:cs="仿宋" w:hAnsi="Calibri"/>
          <w:color w:val="000000"/>
          <w:kern w:val="0"/>
          <w:sz w:val="28"/>
          <w:szCs w:val="28"/>
        </w:rPr>
      </w:pPr>
      <w:r>
        <w:rPr>
          <w:rFonts w:ascii="仿宋_GB2312" w:eastAsia="仿宋_GB2312" w:cs="仿宋" w:hAnsi="Calibri" w:hint="eastAsia"/>
          <w:color w:val="000000"/>
          <w:kern w:val="0"/>
          <w:sz w:val="28"/>
          <w:szCs w:val="28"/>
        </w:rPr>
        <w:t>13.农林水（类）213（款）05（项）99：指其他用于扶贫方面的支出。</w:t>
      </w:r>
    </w:p>
    <w:p>
      <w:pPr>
        <w:ind w:firstLineChars="200" w:firstLine="560"/>
        <w:rPr>
          <w:rFonts w:ascii="仿宋_GB2312" w:eastAsia="仿宋" w:cs="仿宋" w:hAnsi="Calibri"/>
          <w:color w:val="000000"/>
          <w:kern w:val="0"/>
          <w:sz w:val="28"/>
          <w:szCs w:val="28"/>
        </w:rPr>
      </w:pPr>
      <w:r>
        <w:rPr>
          <w:rFonts w:ascii="仿宋_GB2312" w:eastAsia="仿宋" w:cs="仿宋" w:hAnsi="Calibri"/>
          <w:color w:val="000000"/>
          <w:kern w:val="0"/>
          <w:sz w:val="28"/>
          <w:szCs w:val="28"/>
        </w:rPr>
        <w:t>1</w:t>
      </w:r>
      <w:r>
        <w:rPr>
          <w:rFonts w:ascii="仿宋_GB2312" w:eastAsia="仿宋" w:cs="仿宋" w:hAnsi="Calibri" w:hint="eastAsia"/>
          <w:color w:val="000000"/>
          <w:kern w:val="0"/>
          <w:sz w:val="28"/>
          <w:szCs w:val="28"/>
        </w:rPr>
        <w:t>4</w:t>
      </w:r>
      <w:r>
        <w:rPr>
          <w:rFonts w:ascii="仿宋_GB2312" w:eastAsia="仿宋" w:cs="仿宋" w:hAnsi="Calibri"/>
          <w:color w:val="000000"/>
          <w:kern w:val="0"/>
          <w:sz w:val="28"/>
          <w:szCs w:val="28"/>
        </w:rPr>
        <w:t>.住房保障支出（221）住房改革支出（02）住房公积金（01）：指行政事业单位按人力资源和社会保障部、财政部规定的基本工资和津贴补贴以及规定比例为职工缴纳的住房公积金。</w:t>
      </w:r>
    </w:p>
    <w:p>
      <w:pPr>
        <w:ind w:firstLineChars="200" w:firstLine="560"/>
        <w:rPr>
          <w:rFonts w:ascii="仿宋_GB2312" w:eastAsia="仿宋_GB2312"/>
          <w:color w:val="000000"/>
          <w:sz w:val="28"/>
          <w:szCs w:val="28"/>
        </w:rPr>
      </w:pPr>
      <w:r>
        <w:rPr>
          <w:rFonts w:ascii="仿宋_GB2312" w:eastAsia="仿宋_GB2312" w:hint="eastAsia"/>
          <w:color w:val="000000"/>
          <w:sz w:val="28"/>
          <w:szCs w:val="28"/>
        </w:rPr>
        <w:t>15</w:t>
      </w:r>
      <w:r>
        <w:rPr>
          <w:rFonts w:ascii="仿宋_GB2312" w:eastAsia="仿宋_GB2312"/>
          <w:color w:val="000000"/>
          <w:sz w:val="28"/>
          <w:szCs w:val="28"/>
        </w:rPr>
        <w:t>.</w:t>
      </w:r>
      <w:r>
        <w:rPr>
          <w:rFonts w:ascii="仿宋_GB2312" w:eastAsia="仿宋_GB2312" w:hint="eastAsia"/>
          <w:color w:val="000000"/>
          <w:sz w:val="28"/>
          <w:szCs w:val="28"/>
        </w:rPr>
        <w:t>基本支出：指为保障机构正常运转、完成日常工作任务而发生的人员支出和公用支出。</w:t>
      </w:r>
    </w:p>
    <w:p>
      <w:pPr>
        <w:ind w:firstLineChars="200" w:firstLine="560"/>
        <w:rPr>
          <w:rFonts w:ascii="仿宋_GB2312" w:eastAsia="仿宋_GB2312"/>
          <w:color w:val="000000"/>
          <w:sz w:val="28"/>
          <w:szCs w:val="28"/>
        </w:rPr>
      </w:pPr>
      <w:r>
        <w:rPr>
          <w:rFonts w:ascii="仿宋_GB2312" w:eastAsia="仿宋_GB2312" w:hint="eastAsia"/>
          <w:color w:val="000000"/>
          <w:sz w:val="28"/>
          <w:szCs w:val="28"/>
        </w:rPr>
        <w:t>16</w:t>
      </w:r>
      <w:r>
        <w:rPr>
          <w:rFonts w:ascii="仿宋_GB2312" w:eastAsia="仿宋_GB2312"/>
          <w:color w:val="000000"/>
          <w:sz w:val="28"/>
          <w:szCs w:val="28"/>
        </w:rPr>
        <w:t>.</w:t>
      </w:r>
      <w:r>
        <w:rPr>
          <w:rFonts w:ascii="仿宋_GB2312" w:eastAsia="仿宋_GB2312" w:hint="eastAsia"/>
          <w:color w:val="000000"/>
          <w:sz w:val="28"/>
          <w:szCs w:val="28"/>
        </w:rPr>
        <w:t>项目支出：指在基本支出之外为完成特定行政任务和事业发展目标所发生的支出。</w:t>
      </w:r>
      <w:r>
        <w:rPr>
          <w:rFonts w:ascii="仿宋_GB2312" w:eastAsia="仿宋_GB2312"/>
          <w:color w:val="000000"/>
          <w:sz w:val="28"/>
          <w:szCs w:val="28"/>
        </w:rPr>
        <w:t xml:space="preserve"> </w:t>
      </w:r>
    </w:p>
    <w:p>
      <w:pPr>
        <w:ind w:firstLineChars="200" w:firstLine="560"/>
        <w:rPr>
          <w:rFonts w:ascii="仿宋_GB2312" w:eastAsia="仿宋_GB2312"/>
          <w:color w:val="000000"/>
          <w:sz w:val="28"/>
          <w:szCs w:val="28"/>
        </w:rPr>
      </w:pPr>
      <w:r>
        <w:rPr>
          <w:rFonts w:ascii="仿宋_GB2312" w:eastAsia="仿宋_GB2312" w:hint="eastAsia"/>
          <w:color w:val="000000"/>
          <w:sz w:val="28"/>
          <w:szCs w:val="28"/>
        </w:rPr>
        <w:t>17</w:t>
      </w:r>
      <w:r>
        <w:rPr>
          <w:rFonts w:ascii="仿宋_GB2312" w:eastAsia="仿宋_GB2312"/>
          <w:color w:val="000000"/>
          <w:sz w:val="28"/>
          <w:szCs w:val="28"/>
        </w:rPr>
        <w:t>.</w:t>
      </w:r>
      <w:r>
        <w:rPr>
          <w:rFonts w:ascii="仿宋_GB2312" w:eastAsia="仿宋_GB2312" w:hint="eastAsia"/>
          <w:color w:val="000000"/>
          <w:sz w:val="28"/>
          <w:szCs w:val="28"/>
        </w:rPr>
        <w:t>经营支出：指事业单位在专业业务活动及其辅助活动之外开展非独立核算经营活动发生的支出。</w:t>
      </w:r>
    </w:p>
    <w:p>
      <w:pPr>
        <w:pStyle w:val="27"/>
        <w:spacing w:line="560" w:lineRule="exact"/>
        <w:ind w:firstLineChars="200" w:firstLine="560"/>
        <w:rPr>
          <w:rFonts w:ascii="仿宋_GB2312" w:eastAsia="仿宋_GB2312"/>
          <w:sz w:val="28"/>
          <w:szCs w:val="28"/>
        </w:rPr>
      </w:pPr>
      <w:r>
        <w:rPr>
          <w:rFonts w:ascii="仿宋_GB2312" w:eastAsia="仿宋_GB2312" w:hint="eastAsia"/>
          <w:sz w:val="28"/>
          <w:szCs w:val="28"/>
        </w:rPr>
        <w:t>18</w:t>
      </w:r>
      <w:r>
        <w:rPr>
          <w:rFonts w:ascii="仿宋_GB2312" w:eastAsia="仿宋_GB2312"/>
          <w:sz w:val="28"/>
          <w:szCs w:val="28"/>
        </w:rPr>
        <w:t>.</w:t>
      </w:r>
      <w:r>
        <w:rPr>
          <w:rFonts w:ascii="仿宋_GB2312" w:eastAsia="仿宋_GB2312"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560"/>
        <w:rPr>
          <w:rFonts w:ascii="仿宋_GB2312" w:eastAsia="仿宋_GB2312"/>
          <w:sz w:val="28"/>
          <w:szCs w:val="28"/>
        </w:rPr>
      </w:pPr>
      <w:r>
        <w:rPr>
          <w:rFonts w:ascii="仿宋_GB2312" w:eastAsia="仿宋_GB2312" w:hint="eastAsia"/>
          <w:sz w:val="28"/>
          <w:szCs w:val="28"/>
        </w:rPr>
        <w:t>19</w:t>
      </w:r>
      <w:r>
        <w:rPr>
          <w:rFonts w:ascii="仿宋_GB2312" w:eastAsia="仿宋_GB2312"/>
          <w:sz w:val="28"/>
          <w:szCs w:val="28"/>
        </w:rPr>
        <w:t>.</w:t>
      </w:r>
      <w:r>
        <w:rPr>
          <w:rFonts w:ascii="仿宋_GB2312" w:eastAsia="仿宋_GB2312"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560"/>
        <w:rPr>
          <w:rFonts w:ascii="仿宋" w:eastAsia="仿宋" w:hAnsi="仿宋"/>
          <w:b/>
          <w:color w:val="000000"/>
          <w:sz w:val="28"/>
          <w:szCs w:val="28"/>
        </w:rPr>
      </w:pPr>
    </w:p>
    <w:p>
      <w:pPr>
        <w:spacing w:line="600" w:lineRule="exact"/>
        <w:jc w:val="center"/>
        <w:outlineLvl w:val="0"/>
        <w:rPr>
          <w:rStyle w:val="1Char"/>
          <w:rFonts w:ascii="黑体" w:eastAsia="黑体" w:hAnsi="黑体"/>
          <w:b w:val="0"/>
        </w:rPr>
      </w:pPr>
      <w:bookmarkStart w:id="47" w:name="_Toc15377226"/>
      <w:r>
        <w:rPr>
          <w:rFonts w:ascii="宋体"/>
          <w:b/>
          <w:color w:val="000000"/>
          <w:sz w:val="28"/>
          <w:szCs w:val="28"/>
        </w:rPr>
        <w:br w:type="page"/>
      </w:r>
      <w:bookmarkStart w:id="48"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48"/>
    </w:p>
    <w:p>
      <w:pPr>
        <w:pStyle w:val="2"/>
        <w:rPr>
          <w:rStyle w:val="1Char"/>
          <w:rFonts w:ascii="仿宋" w:eastAsia="仿宋" w:hAnsi="仿宋"/>
          <w:sz w:val="28"/>
          <w:szCs w:val="28"/>
        </w:rPr>
      </w:pPr>
      <w:bookmarkStart w:id="49" w:name="_Toc15396615"/>
      <w:r>
        <w:rPr>
          <w:rStyle w:val="1Char"/>
          <w:rFonts w:ascii="仿宋" w:eastAsia="仿宋" w:hAnsi="仿宋" w:hint="eastAsia"/>
          <w:sz w:val="28"/>
          <w:szCs w:val="28"/>
        </w:rPr>
        <w:t>附件1</w:t>
      </w:r>
      <w:bookmarkEnd w:id="49"/>
    </w:p>
    <w:p>
      <w:pPr>
        <w:spacing w:line="600" w:lineRule="exact"/>
        <w:jc w:val="center"/>
        <w:outlineLvl w:val="0"/>
        <w:rPr>
          <w:rFonts w:ascii="黑体" w:eastAsia="黑体" w:cs="方正小标宋简体" w:hAnsi="黑体"/>
          <w:sz w:val="44"/>
          <w:szCs w:val="44"/>
        </w:rPr>
      </w:pPr>
      <w:bookmarkStart w:id="50" w:name="_Toc15396616"/>
      <w:r>
        <w:rPr>
          <w:rFonts w:ascii="黑体" w:eastAsia="黑体" w:cs="方正小标宋简体" w:hAnsi="黑体" w:hint="eastAsia"/>
          <w:sz w:val="44"/>
          <w:szCs w:val="44"/>
        </w:rPr>
        <w:t>广元市利州区老区建设促进会</w:t>
      </w:r>
    </w:p>
    <w:p>
      <w:pPr>
        <w:spacing w:line="600" w:lineRule="exact"/>
        <w:jc w:val="center"/>
        <w:outlineLvl w:val="0"/>
        <w:rPr>
          <w:rFonts w:ascii="黑体" w:eastAsia="黑体" w:cs="方正小标宋简体" w:hAnsi="黑体"/>
          <w:sz w:val="44"/>
          <w:szCs w:val="44"/>
        </w:rPr>
      </w:pPr>
      <w:r>
        <w:rPr>
          <w:rFonts w:ascii="黑体" w:eastAsia="黑体" w:cs="方正小标宋简体" w:hAnsi="黑体" w:hint="eastAsia"/>
          <w:sz w:val="44"/>
          <w:szCs w:val="44"/>
        </w:rPr>
        <w:t>2019年部门整体支出绩效评价报告</w:t>
      </w:r>
      <w:bookmarkEnd w:id="50"/>
    </w:p>
    <w:p>
      <w:pPr>
        <w:spacing w:line="580" w:lineRule="exact"/>
        <w:ind w:firstLineChars="200" w:firstLine="560"/>
        <w:rPr>
          <w:rFonts w:ascii="黑体" w:eastAsia="黑体" w:cs="黑体" w:hAnsi="黑体"/>
          <w:sz w:val="28"/>
          <w:szCs w:val="28"/>
        </w:rPr>
      </w:pPr>
    </w:p>
    <w:p>
      <w:pPr>
        <w:spacing w:line="580" w:lineRule="exact"/>
        <w:ind w:firstLineChars="200" w:firstLine="640"/>
        <w:rPr>
          <w:rFonts w:ascii="仿宋" w:eastAsia="仿宋" w:cs="黑体" w:hAnsi="仿宋"/>
          <w:sz w:val="32"/>
          <w:szCs w:val="32"/>
        </w:rPr>
      </w:pPr>
      <w:r>
        <w:rPr>
          <w:rFonts w:ascii="仿宋" w:eastAsia="仿宋" w:cs="黑体" w:hAnsi="仿宋" w:hint="eastAsia"/>
          <w:sz w:val="32"/>
          <w:szCs w:val="32"/>
        </w:rPr>
        <w:t>一、部门（单位）概况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p>
    <w:p>
      <w:pPr>
        <w:ind w:firstLineChars="200" w:firstLine="640"/>
        <w:rPr>
          <w:rFonts w:ascii="仿宋" w:eastAsia="仿宋" w:hAnsi="仿宋"/>
          <w:sz w:val="32"/>
          <w:szCs w:val="32"/>
        </w:rPr>
      </w:pPr>
      <w:r>
        <w:rPr>
          <w:rFonts w:ascii="仿宋" w:eastAsia="仿宋" w:hAnsi="仿宋" w:hint="eastAsia"/>
          <w:sz w:val="32"/>
          <w:szCs w:val="32"/>
        </w:rPr>
        <w:t xml:space="preserve">广元市利州区老区建设促进会属一级预算单位。 </w:t>
      </w:r>
    </w:p>
    <w:p>
      <w:pPr>
        <w:numPr>
          <w:ilvl w:val="0"/>
          <w:numId w:val="4"/>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机构职能。</w:t>
      </w:r>
    </w:p>
    <w:p>
      <w:pPr>
        <w:spacing w:line="580" w:lineRule="exact"/>
        <w:rPr>
          <w:rFonts w:ascii="仿宋" w:eastAsia="仿宋" w:cs="仿宋_GB2312" w:hAnsi="仿宋"/>
          <w:sz w:val="32"/>
          <w:szCs w:val="32"/>
        </w:rPr>
      </w:pPr>
      <w:r>
        <w:rPr>
          <w:rFonts w:ascii="仿宋" w:eastAsia="仿宋" w:cs="仿宋_GB2312" w:hAnsi="仿宋" w:hint="eastAsia"/>
          <w:sz w:val="32"/>
          <w:szCs w:val="32"/>
        </w:rPr>
        <w:t xml:space="preserve">    无内设机构</w:t>
      </w:r>
    </w:p>
    <w:p>
      <w:pPr>
        <w:pStyle w:val="2"/>
        <w:spacing w:before="0" w:after="0" w:line="576" w:lineRule="exact"/>
        <w:ind w:left="709"/>
        <w:rPr>
          <w:rFonts w:ascii="仿宋" w:eastAsia="仿宋" w:cs="Times New Roman" w:hAnsi="仿宋"/>
          <w:b w:val="0"/>
          <w:bCs w:val="0"/>
        </w:rPr>
      </w:pPr>
      <w:r>
        <w:rPr>
          <w:rFonts w:ascii="仿宋" w:eastAsia="仿宋" w:cs="Times New Roman" w:hAnsi="仿宋" w:hint="eastAsia"/>
          <w:b w:val="0"/>
        </w:rPr>
        <w:t>本职能及主要工作</w:t>
      </w:r>
    </w:p>
    <w:p>
      <w:pPr>
        <w:widowControl/>
        <w:ind w:firstLine="640"/>
        <w:rPr>
          <w:rFonts w:ascii="仿宋" w:eastAsia="仿宋" w:hAnsi="仿宋"/>
          <w:sz w:val="32"/>
          <w:szCs w:val="32"/>
        </w:rPr>
      </w:pPr>
      <w:r>
        <w:rPr>
          <w:rFonts w:ascii="仿宋" w:eastAsia="仿宋" w:hAnsi="Calibri" w:hint="eastAsia"/>
          <w:sz w:val="32"/>
          <w:szCs w:val="32"/>
        </w:rPr>
        <w:t> </w:t>
      </w:r>
      <w:r>
        <w:rPr>
          <w:rFonts w:ascii="仿宋" w:eastAsia="仿宋" w:hAnsi="仿宋" w:hint="eastAsia"/>
          <w:sz w:val="32"/>
          <w:szCs w:val="32"/>
        </w:rPr>
        <w:t>基本职能。深入调查研究，了解老区经济社会发展状况，向区委、政府提出合理化建议。宣传党关于革命老区建设的路线、方针、政策，老区的光荣传统，老区建设发展的成就。配合党委政府为老区办实事，为开发老区资源、发展经济，做好穿针引线工作。加强与各地老促会的联系，互相配合，共同促进老区建设为老区全面建成小康社会作贡献。</w:t>
      </w:r>
    </w:p>
    <w:p>
      <w:pPr>
        <w:widowControl/>
        <w:ind w:firstLine="640"/>
        <w:rPr>
          <w:rFonts w:ascii="仿宋" w:eastAsia="仿宋" w:hAnsi="仿宋"/>
          <w:sz w:val="32"/>
          <w:szCs w:val="32"/>
        </w:rPr>
      </w:pPr>
      <w:r>
        <w:rPr>
          <w:rFonts w:ascii="仿宋" w:eastAsia="仿宋" w:hAnsi="仿宋" w:hint="eastAsia"/>
          <w:sz w:val="32"/>
          <w:szCs w:val="32"/>
        </w:rPr>
        <w:t>（二）在区委政府的领导和上级主管部门的指导下工作开展情况。</w:t>
      </w:r>
    </w:p>
    <w:p>
      <w:pPr>
        <w:widowControl/>
        <w:ind w:firstLine="640"/>
        <w:rPr>
          <w:rFonts w:ascii="仿宋" w:eastAsia="仿宋" w:hAnsi="仿宋"/>
          <w:sz w:val="32"/>
          <w:szCs w:val="32"/>
        </w:rPr>
      </w:pPr>
      <w:r>
        <w:rPr>
          <w:rFonts w:ascii="仿宋" w:eastAsia="仿宋" w:hAnsi="仿宋" w:hint="eastAsia"/>
          <w:sz w:val="32"/>
          <w:szCs w:val="32"/>
        </w:rPr>
        <w:t>1、着力改善民生，构建和谐老区。</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2、大力开展我区扶贫工作以及“文化、科技、卫生”三下乡活动。</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3、调整农业结构，增加老区农民收入。</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4、大力开展老区宣传工作。</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5、完成区政府交办的其他事项。</w:t>
      </w:r>
    </w:p>
    <w:p>
      <w:pPr>
        <w:widowControl/>
        <w:ind w:firstLine="640"/>
        <w:rPr>
          <w:rFonts w:ascii="仿宋" w:eastAsia="仿宋" w:hAnsi="仿宋"/>
          <w:b/>
          <w:sz w:val="32"/>
          <w:szCs w:val="32"/>
        </w:rPr>
      </w:pPr>
      <w:r>
        <w:rPr>
          <w:rFonts w:ascii="仿宋" w:eastAsia="仿宋" w:cs="微软雅黑" w:hAnsi="仿宋" w:hint="eastAsia"/>
          <w:b/>
          <w:color w:val="000000"/>
          <w:kern w:val="0"/>
          <w:sz w:val="32"/>
          <w:szCs w:val="32"/>
          <w:shd w:val="clear" w:color="auto" w:fill="FFFFFF"/>
        </w:rPr>
        <w:t>二、部门概况</w:t>
      </w:r>
    </w:p>
    <w:p>
      <w:pPr>
        <w:widowControl/>
        <w:ind w:firstLine="640"/>
        <w:rPr>
          <w:rFonts w:ascii="仿宋" w:eastAsia="仿宋" w:hAnsi="仿宋"/>
          <w:sz w:val="32"/>
          <w:szCs w:val="32"/>
        </w:rPr>
      </w:pPr>
      <w:r>
        <w:rPr>
          <w:rFonts w:ascii="仿宋" w:eastAsia="仿宋" w:cs="微软雅黑" w:hAnsi="仿宋" w:hint="eastAsia"/>
          <w:color w:val="000000"/>
          <w:kern w:val="0"/>
          <w:sz w:val="32"/>
          <w:szCs w:val="32"/>
          <w:shd w:val="clear" w:color="auto" w:fill="FFFFFF"/>
        </w:rPr>
        <w:t>我会经区人民政府批准成立，共有编制1个,行政编制0个，工勤编制1个。经区领导同意批准共有三位老干部驻会参与领导、管理我会日常工作，并发放补助支出。</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cs="仿宋_GB2312" w:hAnsi="仿宋" w:hint="eastAsia"/>
          <w:sz w:val="32"/>
          <w:szCs w:val="32"/>
        </w:rPr>
        <w:t>区老促会共有编制数</w:t>
      </w:r>
      <w:r>
        <w:rPr>
          <w:rFonts w:ascii="仿宋" w:eastAsia="仿宋" w:cs="仿宋_GB2312" w:hAnsi="仿宋"/>
          <w:sz w:val="32"/>
          <w:szCs w:val="32"/>
        </w:rPr>
        <w:t>为</w:t>
      </w:r>
      <w:r>
        <w:rPr>
          <w:rFonts w:ascii="仿宋" w:eastAsia="仿宋" w:cs="仿宋_GB2312" w:hAnsi="仿宋" w:hint="eastAsia"/>
          <w:sz w:val="32"/>
          <w:szCs w:val="32"/>
        </w:rPr>
        <w:t>1</w:t>
      </w:r>
      <w:r>
        <w:rPr>
          <w:rFonts w:ascii="仿宋" w:eastAsia="仿宋" w:cs="仿宋_GB2312" w:hAnsi="仿宋"/>
          <w:sz w:val="32"/>
          <w:szCs w:val="32"/>
        </w:rPr>
        <w:t>名。其中，行政编制</w:t>
      </w:r>
      <w:r>
        <w:rPr>
          <w:rFonts w:ascii="仿宋" w:eastAsia="仿宋" w:cs="仿宋_GB2312" w:hAnsi="仿宋" w:hint="eastAsia"/>
          <w:sz w:val="32"/>
          <w:szCs w:val="32"/>
        </w:rPr>
        <w:t>0</w:t>
      </w:r>
      <w:r>
        <w:rPr>
          <w:rFonts w:ascii="仿宋" w:eastAsia="仿宋" w:cs="仿宋_GB2312" w:hAnsi="仿宋"/>
          <w:sz w:val="32"/>
          <w:szCs w:val="32"/>
        </w:rPr>
        <w:t>名，工勤编制</w:t>
      </w:r>
      <w:r>
        <w:rPr>
          <w:rFonts w:ascii="仿宋" w:eastAsia="仿宋" w:cs="仿宋_GB2312" w:hAnsi="仿宋" w:hint="eastAsia"/>
          <w:sz w:val="32"/>
          <w:szCs w:val="32"/>
        </w:rPr>
        <w:t>1</w:t>
      </w:r>
      <w:r>
        <w:rPr>
          <w:rFonts w:ascii="仿宋" w:eastAsia="仿宋" w:cs="仿宋_GB2312" w:hAnsi="仿宋"/>
          <w:sz w:val="32"/>
          <w:szCs w:val="32"/>
        </w:rPr>
        <w:t>名。</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（一）部门财政资金收入情况。</w:t>
      </w:r>
      <w:r>
        <w:rPr>
          <w:rFonts w:ascii="仿宋" w:eastAsia="仿宋" w:hAnsi="仿宋"/>
          <w:color w:val="000000"/>
          <w:sz w:val="32"/>
          <w:szCs w:val="32"/>
        </w:rPr>
        <w:t>201</w:t>
      </w:r>
      <w:r>
        <w:rPr>
          <w:rFonts w:ascii="仿宋" w:eastAsia="仿宋" w:hAnsi="仿宋" w:hint="eastAsia"/>
          <w:color w:val="000000"/>
          <w:sz w:val="32"/>
          <w:szCs w:val="32"/>
        </w:rPr>
        <w:t>9年本年收入合计24.08万元，其中：一般公共预算财政拨款收入24.08万元，占100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640"/>
        <w:rPr>
          <w:rFonts w:ascii="仿宋" w:eastAsia="仿宋" w:hAnsi="仿宋"/>
          <w:color w:val="000000"/>
          <w:sz w:val="32"/>
          <w:szCs w:val="32"/>
          <w:shd w:val="pct10" w:color="auto" w:fill="FFFFFF"/>
        </w:rPr>
      </w:pPr>
      <w:r>
        <w:rPr>
          <w:rFonts w:ascii="仿宋" w:eastAsia="仿宋" w:cs="仿宋_GB2312" w:hAnsi="仿宋"/>
          <w:sz w:val="32"/>
          <w:szCs w:val="32"/>
        </w:rPr>
        <w:t>（二）部门财政资金支出情况。</w:t>
      </w:r>
      <w:r>
        <w:rPr>
          <w:rFonts w:ascii="仿宋" w:eastAsia="仿宋" w:hAnsi="仿宋"/>
          <w:color w:val="000000"/>
          <w:sz w:val="32"/>
          <w:szCs w:val="32"/>
        </w:rPr>
        <w:t>201</w:t>
      </w:r>
      <w:r>
        <w:rPr>
          <w:rFonts w:ascii="仿宋" w:eastAsia="仿宋" w:hAnsi="仿宋" w:hint="eastAsia"/>
          <w:color w:val="000000"/>
          <w:sz w:val="32"/>
          <w:szCs w:val="32"/>
        </w:rPr>
        <w:t>9年本年支出合计22.43万元，其中：基本支出19.08万元，占85.06</w:t>
      </w:r>
      <w:r>
        <w:rPr>
          <w:rFonts w:ascii="仿宋" w:eastAsia="仿宋" w:hAnsi="仿宋"/>
          <w:color w:val="000000"/>
          <w:sz w:val="32"/>
          <w:szCs w:val="32"/>
        </w:rPr>
        <w:t>%</w:t>
      </w:r>
      <w:r>
        <w:rPr>
          <w:rFonts w:ascii="仿宋" w:eastAsia="仿宋" w:hAnsi="仿宋" w:hint="eastAsia"/>
          <w:color w:val="000000"/>
          <w:sz w:val="32"/>
          <w:szCs w:val="32"/>
        </w:rPr>
        <w:t>；项目支出3.35万元，占14.94</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580" w:lineRule="exact"/>
        <w:ind w:firstLineChars="200" w:firstLine="640"/>
        <w:rPr>
          <w:rFonts w:ascii="仿宋" w:eastAsia="仿宋" w:cs="黑体" w:hAnsi="仿宋"/>
          <w:sz w:val="32"/>
          <w:szCs w:val="32"/>
        </w:rPr>
      </w:pPr>
      <w:r>
        <w:rPr>
          <w:rFonts w:ascii="仿宋" w:eastAsia="仿宋" w:cs="黑体" w:hAnsi="仿宋"/>
          <w:sz w:val="32"/>
          <w:szCs w:val="32"/>
        </w:rPr>
        <w:t>三、部门整体预算绩效管理情况（根据适用指标体系进行调整）</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区老促会成立了以会长为组长、副会长等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100%以上，主要由于增资而增加的养老保险、医疗保险、住房公积金等存在暂未缴纳现象。全年无违规违纪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（二）专项预算管理。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区老促会在项目管理实施时先制定工作计划、明确责任领导和具体负责人等，严格项目绩效评估，根据工作进程进行资金拨付使用。未达到目标或者工作执行不到位时，暂停资金使用，待整改后再进行拨付使用。全年无违规违纪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（三）结果应用情况。</w:t>
      </w:r>
    </w:p>
    <w:p>
      <w:pPr>
        <w:overflowPunct w:val="0"/>
        <w:autoSpaceDE w:val="0"/>
        <w:autoSpaceDN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区老促会整体预算管理情况良好，各种资金使用公正公开，不徇私舞弊，不违规违纪。全年区委办公室围绕“五个坚持”，大力推进“六个机关”建设，全面提升新时代“三服务”工作质量，圆满完成各项目标任务。</w:t>
      </w:r>
    </w:p>
    <w:p>
      <w:pPr>
        <w:spacing w:line="580" w:lineRule="exact"/>
        <w:ind w:firstLineChars="200" w:firstLine="640"/>
        <w:rPr>
          <w:rFonts w:ascii="仿宋" w:eastAsia="仿宋" w:cs="黑体" w:hAnsi="仿宋"/>
          <w:sz w:val="32"/>
          <w:szCs w:val="32"/>
        </w:rPr>
      </w:pPr>
      <w:r>
        <w:rPr>
          <w:rFonts w:ascii="仿宋" w:eastAsia="仿宋" w:cs="黑体" w:hAnsi="仿宋"/>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r>
        <w:rPr>
          <w:rFonts w:ascii="仿宋" w:eastAsia="仿宋" w:cs="仿宋_GB2312" w:hAnsi="仿宋" w:hint="eastAsia"/>
          <w:sz w:val="32"/>
          <w:szCs w:val="32"/>
        </w:rPr>
        <w:t>：2019年区老促会在区委区政府的领导下，在市老促会的指导下，顺利完成了各项目标任务，通过绩效目标考核，并取得优异成绩。</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（二）存在问题</w:t>
      </w:r>
      <w:r>
        <w:rPr>
          <w:rFonts w:ascii="仿宋" w:eastAsia="仿宋" w:cs="仿宋_GB2312" w:hAnsi="仿宋" w:hint="eastAsia"/>
          <w:sz w:val="32"/>
          <w:szCs w:val="32"/>
        </w:rPr>
        <w:t>：全年在资金安排、高度上偶尔还存在不及时、不规范的现象。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（三）改进建议</w:t>
      </w:r>
      <w:r>
        <w:rPr>
          <w:rFonts w:ascii="仿宋" w:eastAsia="仿宋" w:cs="仿宋_GB2312" w:hAnsi="仿宋" w:hint="eastAsia"/>
          <w:sz w:val="32"/>
          <w:szCs w:val="32"/>
        </w:rPr>
        <w:t>：一是进一步加强财务人员业务水平的培训和提高；二是进一步完善财务管理制度，严格资金审批程序，加大资金监管力，确保各项资金正确使用，遵守资金使用制度，杜绝违规违纪现象。</w:t>
      </w:r>
    </w:p>
    <w:p>
      <w:pPr>
        <w:spacing w:line="580" w:lineRule="exact"/>
        <w:ind w:firstLineChars="200" w:firstLine="640"/>
        <w:rPr>
          <w:rFonts w:ascii="仿宋" w:eastAsia="仿宋" w:cs="仿宋_GB2312" w:hAnsi="仿宋"/>
          <w:sz w:val="32"/>
          <w:szCs w:val="32"/>
        </w:rPr>
      </w:pPr>
    </w:p>
    <w:p>
      <w:pPr>
        <w:widowControl/>
        <w:jc w:val="left"/>
        <w:rPr>
          <w:rFonts w:ascii="仿宋" w:eastAsia="仿宋" w:cs="仿宋_GB2312" w:hAnsi="仿宋"/>
          <w:sz w:val="32"/>
          <w:szCs w:val="32"/>
        </w:rPr>
      </w:pPr>
      <w:r>
        <w:rPr>
          <w:rFonts w:ascii="仿宋" w:eastAsia="仿宋" w:cs="仿宋_GB2312" w:hAnsi="仿宋"/>
          <w:sz w:val="32"/>
          <w:szCs w:val="32"/>
        </w:rPr>
        <w:br w:type="page"/>
      </w:r>
    </w:p>
    <w:p>
      <w:pPr>
        <w:pStyle w:val="2"/>
        <w:rPr>
          <w:rStyle w:val="1Char"/>
          <w:rFonts w:ascii="仿宋" w:eastAsia="仿宋" w:hAnsi="仿宋"/>
          <w:sz w:val="28"/>
          <w:szCs w:val="28"/>
        </w:rPr>
      </w:pPr>
      <w:bookmarkStart w:id="51" w:name="_Toc15396617"/>
      <w:r>
        <w:rPr>
          <w:rStyle w:val="1Char"/>
          <w:rFonts w:ascii="仿宋" w:eastAsia="仿宋" w:hAnsi="仿宋" w:hint="eastAsia"/>
          <w:sz w:val="28"/>
          <w:szCs w:val="28"/>
        </w:rPr>
        <w:t>附件2</w:t>
      </w:r>
      <w:bookmarkEnd w:id="51"/>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2019年区老促会办公室维修项目支出绩效评价报告</w:t>
      </w:r>
    </w:p>
    <w:p>
      <w:pPr>
        <w:spacing w:line="580" w:lineRule="exact"/>
        <w:ind w:firstLineChars="200" w:firstLine="640"/>
        <w:rPr>
          <w:rFonts w:ascii="仿宋" w:eastAsia="仿宋" w:cs="仿宋_GB2312" w:hAnsi="仿宋"/>
          <w:sz w:val="32"/>
          <w:szCs w:val="32"/>
        </w:rPr>
      </w:pPr>
    </w:p>
    <w:p>
      <w:pPr>
        <w:adjustRightInd w:val="0"/>
        <w:snapToGrid w:val="0"/>
        <w:spacing w:line="600" w:lineRule="exact"/>
        <w:ind w:firstLine="720"/>
        <w:rPr>
          <w:rFonts w:ascii="黑体" w:eastAsia="黑体" w:hAnsi="宋体"/>
          <w:sz w:val="32"/>
          <w:szCs w:val="32"/>
          <w:lang w:val="zh-CN"/>
        </w:rPr>
      </w:pPr>
      <w:r>
        <w:rPr>
          <w:rFonts w:ascii="仿宋" w:eastAsia="仿宋" w:cs="仿宋_GB2312" w:hAnsi="仿宋" w:hint="eastAsia"/>
          <w:sz w:val="32"/>
          <w:szCs w:val="32"/>
        </w:rPr>
        <w:t>一</w:t>
      </w:r>
      <w:r>
        <w:rPr>
          <w:rFonts w:ascii="仿宋" w:eastAsia="仿宋" w:cs="仿宋_GB2312" w:hAnsi="仿宋"/>
          <w:sz w:val="32"/>
          <w:szCs w:val="32"/>
        </w:rPr>
        <w:t>、</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widowControl/>
        <w:ind w:firstLine="640"/>
        <w:rPr>
          <w:sz w:val="28"/>
          <w:szCs w:val="28"/>
        </w:rPr>
      </w:pPr>
      <w:r>
        <w:rPr>
          <w:rFonts w:ascii="黑体" w:eastAsia="黑体" w:cs="方正小标宋简体" w:hAnsi="黑体" w:hint="eastAsia"/>
          <w:sz w:val="28"/>
          <w:szCs w:val="28"/>
        </w:rPr>
        <w:t>办公室维修</w:t>
      </w:r>
      <w:r>
        <w:rPr>
          <w:rFonts w:ascii="仿宋_GB2312" w:eastAsia="仿宋_GB2312" w:cs="仿宋_GB2312" w:hAnsi="仿宋_GB2312" w:hint="eastAsia"/>
          <w:sz w:val="32"/>
          <w:szCs w:val="32"/>
        </w:rPr>
        <w:t>项目绩效目标完成情况综述。项目全年预算数3.35万元，执行数为3.35万元，完成预算的100%。通过项目实施，保障了全区老区重点项目建设有序开展，</w:t>
      </w:r>
      <w:r>
        <w:rPr>
          <w:rFonts w:ascii="微软雅黑" w:eastAsia="微软雅黑" w:cs="微软雅黑" w:hAnsi="微软雅黑" w:hint="eastAsia"/>
          <w:color w:val="000000"/>
          <w:kern w:val="0"/>
          <w:sz w:val="28"/>
          <w:szCs w:val="28"/>
          <w:shd w:val="clear" w:color="auto" w:fill="FFFFFF"/>
        </w:rPr>
        <w:t>加强与各地老促会的联系，互相配合，共同促进老区建设为老区全面建成小康社会作贡献。</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发现的主要问题：经费使用过程中，对资金监管不严。下一步改进措施：进一步加强项目资金管理，进一步提高资金使用效率。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widowControl/>
        <w:ind w:firstLine="640"/>
        <w:rPr>
          <w:sz w:val="28"/>
          <w:szCs w:val="28"/>
        </w:rPr>
      </w:pPr>
      <w:r>
        <w:rPr>
          <w:rFonts w:ascii="仿宋_GB2312" w:eastAsia="仿宋_GB2312" w:cs="仿宋_GB2312" w:hAnsi="仿宋_GB2312" w:hint="eastAsia"/>
          <w:sz w:val="32"/>
          <w:szCs w:val="32"/>
        </w:rPr>
        <w:t>该项目全年预算数3.35万元，执行数为3.35万元，完成预算的100%。通过项目实施，保障有力推动各项工作落实落地，提高了办事效率，高质量完成省、市脱贫攻坚，</w:t>
      </w:r>
      <w:r>
        <w:rPr>
          <w:rFonts w:ascii="方正仿宋简体" w:eastAsia="方正仿宋简体" w:cs="宋体" w:hAnsi="宋体" w:hint="eastAsia"/>
          <w:sz w:val="28"/>
          <w:szCs w:val="28"/>
        </w:rPr>
        <w:t>宣传老区建设成果，加强与各兄弟市区协作促进</w:t>
      </w:r>
      <w:r>
        <w:rPr>
          <w:rFonts w:ascii="微软雅黑" w:eastAsia="微软雅黑" w:cs="微软雅黑" w:hAnsi="微软雅黑" w:hint="eastAsia"/>
          <w:color w:val="000000"/>
          <w:kern w:val="0"/>
          <w:sz w:val="28"/>
          <w:szCs w:val="28"/>
          <w:shd w:val="clear" w:color="auto" w:fill="FFFFFF"/>
        </w:rPr>
        <w:t>全面建成小康社会作贡献。</w:t>
      </w:r>
    </w:p>
    <w:p>
      <w:pPr>
        <w:rPr>
          <w:rFonts w:ascii="黑体" w:eastAsia="黑体" w:hAnsi="黑体"/>
          <w:color w:val="000000"/>
          <w:sz w:val="32"/>
          <w:szCs w:val="32"/>
        </w:rPr>
      </w:pPr>
      <w:r>
        <w:rPr>
          <w:rFonts w:ascii="黑体" w:eastAsia="黑体" w:cs="方正小标宋简体" w:hAnsi="黑体" w:hint="eastAsia"/>
          <w:sz w:val="30"/>
          <w:szCs w:val="30"/>
        </w:rPr>
        <w:t>区老促会办公室维修项目</w:t>
      </w:r>
      <w:r>
        <w:rPr>
          <w:rFonts w:ascii="黑体" w:eastAsia="黑体" w:hAnsi="黑体" w:hint="eastAsia"/>
          <w:color w:val="000000"/>
          <w:sz w:val="32"/>
          <w:szCs w:val="32"/>
        </w:rPr>
        <w:t>支出绩效评价得分表</w:t>
      </w:r>
    </w:p>
    <w:tbl>
      <w:tblPr>
        <w:jc w:val="cente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8"/>
        <w:gridCol w:w="2113"/>
        <w:gridCol w:w="3535"/>
        <w:gridCol w:w="1311"/>
        <w:gridCol w:w="1311"/>
      </w:tblGrid>
      <w:tr>
        <w:trPr>
          <w:trHeight w:val="639"/>
        </w:trPr>
        <w:tc>
          <w:tcPr>
            <w:tcW w:w="1618"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项目名称</w:t>
            </w:r>
          </w:p>
        </w:tc>
        <w:tc>
          <w:tcPr>
            <w:tcW w:w="8270" w:type="dxa"/>
            <w:gridSpan w:val="4"/>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黑体" w:eastAsia="黑体" w:hAnsi="黑体" w:hint="eastAsia"/>
                <w:color w:val="000000"/>
                <w:sz w:val="28"/>
                <w:szCs w:val="28"/>
              </w:rPr>
              <w:t>区委各项工作重大决策、政策研究</w:t>
            </w:r>
          </w:p>
        </w:tc>
      </w:tr>
      <w:tr>
        <w:trPr>
          <w:trHeight w:val="771"/>
        </w:trPr>
        <w:tc>
          <w:tcPr>
            <w:tcW w:w="1618"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2113"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3535"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三级指标</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18"/>
                <w:szCs w:val="18"/>
              </w:rPr>
            </w:pPr>
            <w:r>
              <w:rPr>
                <w:rFonts w:ascii="宋体" w:hAnsi="宋体" w:hint="eastAsia"/>
                <w:b/>
                <w:bCs/>
                <w:color w:val="000000"/>
                <w:kern w:val="0"/>
                <w:sz w:val="18"/>
                <w:szCs w:val="18"/>
              </w:rPr>
              <w:t>得分</w:t>
            </w:r>
          </w:p>
        </w:tc>
      </w:tr>
      <w:tr>
        <w:trPr>
          <w:trHeight w:val="409"/>
        </w:trPr>
        <w:tc>
          <w:tcPr>
            <w:tcW w:w="1618" w:type="dxa"/>
            <w:vMerge w:val="restart"/>
            <w:tcBorders>
              <w:top w:val="nil"/>
              <w:left w:val="single" w:sz="4" w:space="0" w:color="auto"/>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 xml:space="preserve">项目完成 </w:t>
            </w:r>
          </w:p>
        </w:tc>
        <w:tc>
          <w:tcPr>
            <w:tcW w:w="2113" w:type="dxa"/>
            <w:vMerge w:val="restart"/>
            <w:tcBorders>
              <w:top w:val="nil"/>
              <w:left w:val="nil"/>
              <w:bottom w:val="single" w:sz="4" w:space="0" w:color="auto"/>
              <w:right w:val="single" w:sz="4" w:space="0" w:color="auto"/>
            </w:tcBorders>
            <w:vAlign w:val="center"/>
          </w:tcPr>
          <w:p>
            <w:pPr>
              <w:widowControl/>
              <w:jc w:val="center"/>
              <w:textAlignment w:val="center"/>
              <w:rPr>
                <w:rFonts w:ascii="宋体" w:hAnsi="宋体"/>
                <w:color w:val="000000"/>
                <w:kern w:val="0"/>
                <w:sz w:val="20"/>
                <w:szCs w:val="20"/>
              </w:rPr>
            </w:pPr>
            <w:r>
              <w:rPr>
                <w:rFonts w:ascii="宋体" w:cs="宋体" w:hAnsi="宋体" w:hint="eastAsia"/>
                <w:color w:val="000000"/>
                <w:sz w:val="24"/>
              </w:rPr>
              <w:t>质量指标</w:t>
            </w:r>
          </w:p>
        </w:tc>
        <w:tc>
          <w:tcPr>
            <w:tcW w:w="3535" w:type="dxa"/>
            <w:tcBorders>
              <w:top w:val="single" w:sz="4" w:space="0" w:color="auto"/>
              <w:left w:val="nil"/>
              <w:bottom w:val="single" w:sz="4" w:space="0" w:color="auto"/>
              <w:right w:val="single" w:sz="4" w:space="0" w:color="auto"/>
            </w:tcBorders>
            <w:vAlign w:val="center"/>
          </w:tcPr>
          <w:p>
            <w:pPr>
              <w:widowControl/>
              <w:jc w:val="center"/>
              <w:textAlignment w:val="center"/>
              <w:rPr>
                <w:rFonts w:ascii="宋体" w:hAnsi="宋体"/>
                <w:color w:val="000000"/>
                <w:kern w:val="0"/>
                <w:sz w:val="20"/>
                <w:szCs w:val="20"/>
              </w:rPr>
            </w:pPr>
            <w:r>
              <w:rPr>
                <w:rFonts w:ascii="宋体" w:cs="宋体" w:hAnsi="宋体" w:hint="eastAsia"/>
                <w:color w:val="000000"/>
                <w:sz w:val="24"/>
              </w:rPr>
              <w:t>宣传发展建设项目正常进行</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40</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40</w:t>
            </w:r>
          </w:p>
        </w:tc>
      </w:tr>
      <w:tr>
        <w:trPr>
          <w:trHeight w:val="554"/>
        </w:trPr>
        <w:tc>
          <w:tcPr>
            <w:tcW w:w="1618" w:type="dxa"/>
            <w:vMerge/>
            <w:tcBorders>
              <w:top w:val="nil"/>
              <w:left w:val="single" w:sz="4" w:space="0" w:color="auto"/>
              <w:bottom w:val="single" w:sz="4" w:space="0" w:color="auto"/>
              <w:right w:val="single" w:sz="4" w:space="0" w:color="auto"/>
            </w:tcBorders>
            <w:vAlign w:val="center"/>
          </w:tcPr>
          <w:p/>
        </w:tc>
        <w:tc>
          <w:tcPr>
            <w:tcW w:w="2113" w:type="dxa"/>
            <w:vMerge/>
            <w:tcBorders>
              <w:top w:val="nil"/>
              <w:left w:val="nil"/>
              <w:bottom w:val="single" w:sz="4" w:space="0" w:color="auto"/>
              <w:right w:val="single" w:sz="4" w:space="0" w:color="auto"/>
            </w:tcBorders>
            <w:vAlign w:val="center"/>
          </w:tcPr>
          <w:p/>
        </w:tc>
        <w:tc>
          <w:tcPr>
            <w:tcW w:w="3535"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完成质量</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10</w:t>
            </w:r>
          </w:p>
        </w:tc>
      </w:tr>
      <w:tr>
        <w:trPr>
          <w:trHeight w:val="550"/>
        </w:trPr>
        <w:tc>
          <w:tcPr>
            <w:tcW w:w="1618" w:type="dxa"/>
            <w:vMerge/>
            <w:tcBorders>
              <w:top w:val="nil"/>
              <w:left w:val="single" w:sz="4" w:space="0" w:color="auto"/>
              <w:bottom w:val="single" w:sz="4" w:space="0" w:color="auto"/>
              <w:right w:val="single" w:sz="4" w:space="0" w:color="auto"/>
            </w:tcBorders>
            <w:vAlign w:val="center"/>
          </w:tcPr>
          <w:p/>
        </w:tc>
        <w:tc>
          <w:tcPr>
            <w:tcW w:w="2113" w:type="dxa"/>
            <w:vMerge/>
            <w:tcBorders>
              <w:top w:val="nil"/>
              <w:left w:val="nil"/>
              <w:bottom w:val="single" w:sz="4" w:space="0" w:color="auto"/>
              <w:right w:val="single" w:sz="4" w:space="0" w:color="auto"/>
            </w:tcBorders>
            <w:vAlign w:val="center"/>
          </w:tcPr>
          <w:p/>
        </w:tc>
        <w:tc>
          <w:tcPr>
            <w:tcW w:w="3535"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完成时效</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10</w:t>
            </w:r>
          </w:p>
        </w:tc>
      </w:tr>
      <w:tr>
        <w:trPr>
          <w:trHeight w:val="558"/>
        </w:trPr>
        <w:tc>
          <w:tcPr>
            <w:tcW w:w="1618" w:type="dxa"/>
            <w:vMerge/>
            <w:tcBorders>
              <w:top w:val="nil"/>
              <w:left w:val="single" w:sz="4" w:space="0" w:color="auto"/>
              <w:bottom w:val="single" w:sz="4" w:space="0" w:color="auto"/>
              <w:right w:val="single" w:sz="4" w:space="0" w:color="auto"/>
            </w:tcBorders>
            <w:vAlign w:val="center"/>
          </w:tcPr>
          <w:p/>
        </w:tc>
        <w:tc>
          <w:tcPr>
            <w:tcW w:w="2113" w:type="dxa"/>
            <w:vMerge/>
            <w:tcBorders>
              <w:top w:val="nil"/>
              <w:left w:val="nil"/>
              <w:bottom w:val="single" w:sz="4" w:space="0" w:color="auto"/>
              <w:right w:val="single" w:sz="4" w:space="0" w:color="auto"/>
            </w:tcBorders>
            <w:vAlign w:val="center"/>
          </w:tcPr>
          <w:p/>
        </w:tc>
        <w:tc>
          <w:tcPr>
            <w:tcW w:w="3535"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完成成本</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color w:val="000000"/>
                <w:kern w:val="0"/>
              </w:rPr>
              <w:t>5</w:t>
            </w:r>
          </w:p>
        </w:tc>
      </w:tr>
      <w:tr>
        <w:trPr>
          <w:trHeight w:val="1165"/>
        </w:trPr>
        <w:tc>
          <w:tcPr>
            <w:tcW w:w="1618" w:type="dxa"/>
            <w:vMerge/>
            <w:tcBorders>
              <w:top w:val="nil"/>
              <w:left w:val="single" w:sz="4" w:space="0" w:color="auto"/>
              <w:bottom w:val="single" w:sz="4" w:space="0" w:color="auto"/>
              <w:right w:val="single" w:sz="4" w:space="0" w:color="auto"/>
            </w:tcBorders>
            <w:vAlign w:val="center"/>
          </w:tcPr>
          <w:p/>
        </w:tc>
        <w:tc>
          <w:tcPr>
            <w:tcW w:w="2113" w:type="dxa"/>
            <w:vMerge w:val="restart"/>
            <w:tcBorders>
              <w:top w:val="nil"/>
              <w:left w:val="nil"/>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可持续影响</w:t>
            </w:r>
          </w:p>
          <w:p>
            <w:pPr>
              <w:widowControl/>
              <w:jc w:val="center"/>
              <w:textAlignment w:val="center"/>
              <w:rPr>
                <w:rFonts w:ascii="宋体" w:hAnsi="宋体"/>
                <w:color w:val="000000"/>
                <w:kern w:val="0"/>
                <w:sz w:val="20"/>
                <w:szCs w:val="20"/>
              </w:rPr>
            </w:pPr>
            <w:r>
              <w:rPr>
                <w:rFonts w:ascii="宋体" w:cs="宋体" w:hAnsi="宋体" w:hint="eastAsia"/>
                <w:color w:val="000000"/>
                <w:sz w:val="24"/>
              </w:rPr>
              <w:t>指标</w:t>
            </w:r>
          </w:p>
        </w:tc>
        <w:tc>
          <w:tcPr>
            <w:tcW w:w="3535" w:type="dxa"/>
            <w:tcBorders>
              <w:top w:val="single" w:sz="4" w:space="0" w:color="auto"/>
              <w:left w:val="nil"/>
              <w:right w:val="single" w:sz="4" w:space="0" w:color="auto"/>
            </w:tcBorders>
            <w:vAlign w:val="center"/>
          </w:tcPr>
          <w:p>
            <w:pPr>
              <w:widowControl/>
              <w:tabs>
                <w:tab w:val="left" w:pos="533"/>
              </w:tabs>
              <w:jc w:val="left"/>
              <w:textAlignment w:val="center"/>
              <w:rPr>
                <w:rFonts w:ascii="宋体" w:hAnsi="宋体"/>
                <w:color w:val="000000"/>
                <w:kern w:val="0"/>
                <w:sz w:val="20"/>
                <w:szCs w:val="20"/>
              </w:rPr>
            </w:pPr>
            <w:r>
              <w:rPr>
                <w:rFonts w:ascii="宋体" w:cs="宋体" w:hAnsi="宋体" w:hint="eastAsia"/>
                <w:color w:val="000000"/>
                <w:sz w:val="24"/>
              </w:rPr>
              <w:t>持续有效指导全区老区建设重点工作</w:t>
            </w:r>
          </w:p>
        </w:tc>
        <w:tc>
          <w:tcPr>
            <w:tcW w:w="1311" w:type="dxa"/>
            <w:tcBorders>
              <w:top w:val="nil"/>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30</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30</w:t>
            </w:r>
          </w:p>
        </w:tc>
      </w:tr>
      <w:tr>
        <w:trPr>
          <w:trHeight w:val="502"/>
        </w:trPr>
        <w:tc>
          <w:tcPr>
            <w:tcW w:w="1618" w:type="dxa"/>
            <w:vMerge/>
            <w:tcBorders>
              <w:top w:val="nil"/>
              <w:left w:val="single" w:sz="4" w:space="0" w:color="auto"/>
              <w:bottom w:val="single" w:sz="4" w:space="0" w:color="auto"/>
              <w:right w:val="single" w:sz="4" w:space="0" w:color="auto"/>
            </w:tcBorders>
            <w:vAlign w:val="center"/>
          </w:tcPr>
          <w:p/>
        </w:tc>
        <w:tc>
          <w:tcPr>
            <w:tcW w:w="2113" w:type="dxa"/>
            <w:vMerge/>
            <w:tcBorders>
              <w:top w:val="nil"/>
              <w:left w:val="nil"/>
              <w:bottom w:val="single" w:sz="4" w:space="0" w:color="auto"/>
              <w:right w:val="single" w:sz="4" w:space="0" w:color="auto"/>
            </w:tcBorders>
            <w:vAlign w:val="center"/>
          </w:tcPr>
          <w:p/>
        </w:tc>
        <w:tc>
          <w:tcPr>
            <w:tcW w:w="3535"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 xml:space="preserve">服务对象满意度    </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311" w:type="dxa"/>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5</w:t>
            </w:r>
          </w:p>
        </w:tc>
      </w:tr>
      <w:tr>
        <w:trPr>
          <w:trHeight w:val="396"/>
        </w:trPr>
        <w:tc>
          <w:tcPr>
            <w:tcW w:w="1618"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总分</w:t>
            </w:r>
          </w:p>
        </w:tc>
        <w:tc>
          <w:tcPr>
            <w:tcW w:w="8270" w:type="dxa"/>
            <w:gridSpan w:val="4"/>
            <w:tcBorders>
              <w:top w:val="single" w:sz="4" w:space="0" w:color="auto"/>
              <w:left w:val="nil"/>
              <w:bottom w:val="single" w:sz="4" w:space="0" w:color="auto"/>
              <w:right w:val="single" w:sz="4" w:space="0" w:color="auto"/>
            </w:tcBorders>
            <w:vAlign w:val="center"/>
          </w:tcPr>
          <w:p>
            <w:pPr>
              <w:widowControl/>
              <w:spacing w:line="260" w:lineRule="exact"/>
              <w:jc w:val="left"/>
              <w:rPr>
                <w:rFonts w:ascii="宋体" w:hAnsi="宋体"/>
                <w:color w:val="000000"/>
                <w:kern w:val="0"/>
              </w:rPr>
            </w:pPr>
            <w:r>
              <w:rPr>
                <w:rFonts w:ascii="宋体" w:hAnsi="宋体" w:hint="eastAsia"/>
                <w:color w:val="000000"/>
                <w:kern w:val="0"/>
              </w:rPr>
              <w:t>100</w:t>
            </w:r>
          </w:p>
        </w:tc>
      </w:tr>
    </w:tbl>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00"/>
        <w:rPr>
          <w:rFonts w:ascii="仿宋" w:eastAsia="仿宋" w:cs="仿宋_GB2312" w:hAnsi="仿宋"/>
          <w:sz w:val="32"/>
          <w:szCs w:val="32"/>
        </w:rPr>
      </w:pPr>
      <w:r>
        <w:rPr>
          <w:rFonts w:ascii="黑体" w:eastAsia="黑体" w:cs="方正小标宋简体" w:hAnsi="黑体" w:hint="eastAsia"/>
          <w:sz w:val="30"/>
          <w:szCs w:val="30"/>
        </w:rPr>
        <w:t>区老促会办公室维修</w:t>
      </w:r>
      <w:r>
        <w:rPr>
          <w:rFonts w:ascii="仿宋" w:eastAsia="仿宋" w:cs="仿宋_GB2312" w:hAnsi="仿宋"/>
          <w:sz w:val="32"/>
          <w:szCs w:val="32"/>
        </w:rPr>
        <w:t>项目</w:t>
      </w:r>
      <w:r>
        <w:rPr>
          <w:rFonts w:ascii="仿宋" w:eastAsia="仿宋" w:cs="仿宋_GB2312" w:hAnsi="仿宋" w:hint="eastAsia"/>
          <w:sz w:val="32"/>
          <w:szCs w:val="32"/>
        </w:rPr>
        <w:t>是为保障全区机构正常运行，推动各项工作高效开展的必要项目支出。绩效目标设置了质量指标和可持续影响指标，分别考核该项目的完成质量、时效、成本和满意度等。</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_GB2312" w:cs="仿宋_GB2312" w:hAnsi="仿宋"/>
          <w:sz w:val="32"/>
          <w:szCs w:val="32"/>
        </w:rPr>
      </w:pPr>
      <w:r>
        <w:rPr>
          <w:rFonts w:ascii="仿宋_GB2312" w:eastAsia="仿宋_GB2312" w:cs="仿宋_GB2312" w:hAnsi="仿宋_GB2312" w:hint="eastAsia"/>
          <w:sz w:val="32"/>
          <w:szCs w:val="32"/>
        </w:rPr>
        <w:t>该项目全年预算数3.35万元，材料费2万元，劳务费1.35</w:t>
      </w:r>
      <w:r>
        <w:rPr>
          <w:rFonts w:ascii="仿宋" w:eastAsia="仿宋" w:cs="仿宋_GB2312" w:hAnsi="仿宋" w:hint="eastAsia"/>
          <w:sz w:val="32"/>
          <w:szCs w:val="32"/>
        </w:rPr>
        <w:t>万元。全年支出合计3.35万元，严格安排项目进度支付项目资金。</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保障了维修项目建设有序开展，较大限度的节约财政资金，更好地为全区经济，社会事业全面健康发展服务，财政资金使用更加高效，合理规范，更好地为全区老区建设做出较大的贡献。</w:t>
      </w:r>
    </w:p>
    <w:p>
      <w:pPr>
        <w:spacing w:line="580" w:lineRule="exact"/>
        <w:ind w:left="640"/>
        <w:rPr>
          <w:rFonts w:ascii="仿宋" w:eastAsia="仿宋" w:cs="仿宋_GB2312" w:hAnsi="仿宋"/>
          <w:sz w:val="32"/>
          <w:szCs w:val="32"/>
        </w:rPr>
      </w:pPr>
      <w:r>
        <w:rPr>
          <w:rFonts w:ascii="仿宋" w:eastAsia="仿宋" w:cs="仿宋_GB2312" w:hAnsi="仿宋" w:hint="eastAsia"/>
          <w:sz w:val="32"/>
          <w:szCs w:val="32"/>
        </w:rPr>
        <w:t>三、存在的主</w:t>
      </w:r>
      <w:r>
        <w:rPr>
          <w:rFonts w:ascii="仿宋" w:eastAsia="仿宋" w:cs="仿宋_GB2312" w:hAnsi="仿宋"/>
          <w:sz w:val="32"/>
          <w:szCs w:val="32"/>
        </w:rPr>
        <w:t>要问题</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经费使用过程中，对资金动态监管不严。</w:t>
      </w:r>
    </w:p>
    <w:p>
      <w:pPr>
        <w:numPr>
          <w:ilvl w:val="0"/>
          <w:numId w:val="1"/>
        </w:numPr>
        <w:tabs>
          <w:tab w:val="left" w:pos="6816"/>
        </w:tabs>
        <w:spacing w:line="580" w:lineRule="exact"/>
        <w:rPr>
          <w:rFonts w:ascii="仿宋" w:eastAsia="仿宋" w:cs="仿宋_GB2312" w:hAnsi="仿宋"/>
          <w:sz w:val="32"/>
          <w:szCs w:val="32"/>
        </w:rPr>
      </w:pPr>
      <w:r>
        <w:rPr>
          <w:rFonts w:ascii="仿宋" w:eastAsia="仿宋" w:cs="仿宋_GB2312" w:hAnsi="仿宋"/>
          <w:sz w:val="32"/>
          <w:szCs w:val="32"/>
        </w:rPr>
        <w:t>相关措施建议</w:t>
      </w:r>
      <w:r>
        <w:rPr>
          <w:rFonts w:ascii="仿宋" w:eastAsia="仿宋" w:cs="仿宋_GB2312" w:hAnsi="仿宋" w:hint="eastAsia"/>
          <w:sz w:val="32"/>
          <w:szCs w:val="32"/>
        </w:rPr>
        <w:tab/>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我单位将进一步加强项目资金管理，进一步提高资金使用效率。</w:t>
      </w:r>
    </w:p>
    <w:p>
      <w:pPr>
        <w:tabs>
          <w:tab w:val="left" w:pos="85"/>
          <w:tab w:val="center" w:pos="4156"/>
        </w:tabs>
        <w:spacing w:line="580" w:lineRule="exact"/>
        <w:jc w:val="left"/>
        <w:rPr>
          <w:rFonts w:ascii="黑体" w:eastAsia="黑体" w:cs="方正小标宋简体" w:hAnsi="黑体"/>
          <w:sz w:val="28"/>
          <w:szCs w:val="28"/>
        </w:rPr>
      </w:pPr>
      <w:r>
        <w:rPr>
          <w:rFonts w:ascii="黑体" w:eastAsia="黑体" w:cs="方正小标宋简体" w:hAnsi="黑体"/>
          <w:sz w:val="28"/>
          <w:szCs w:val="28"/>
        </w:rPr>
        <w:tab/>
      </w:r>
      <w:r>
        <w:rPr>
          <w:rFonts w:ascii="黑体" w:eastAsia="黑体" w:cs="方正小标宋简体" w:hAnsi="黑体" w:hint="eastAsia"/>
          <w:sz w:val="28"/>
          <w:szCs w:val="28"/>
        </w:rPr>
        <w:t xml:space="preserve">     </w:t>
      </w:r>
    </w:p>
    <w:p>
      <w:pPr>
        <w:spacing w:line="580" w:lineRule="exact"/>
        <w:jc w:val="center"/>
        <w:rPr>
          <w:rFonts w:ascii="黑体" w:eastAsia="黑体" w:cs="方正小标宋简体" w:hAnsi="黑体"/>
          <w:sz w:val="28"/>
          <w:szCs w:val="28"/>
        </w:rPr>
      </w:pPr>
    </w:p>
    <w:p>
      <w:pPr>
        <w:spacing w:line="580" w:lineRule="exact"/>
        <w:ind w:firstLineChars="200" w:firstLine="560"/>
        <w:rPr>
          <w:rFonts w:ascii="仿宋" w:eastAsia="仿宋" w:cs="仿宋_GB2312" w:hAnsi="仿宋"/>
          <w:sz w:val="28"/>
          <w:szCs w:val="28"/>
        </w:rPr>
      </w:pPr>
    </w:p>
    <w:p>
      <w:pPr>
        <w:spacing w:line="580" w:lineRule="exact"/>
        <w:ind w:firstLineChars="200" w:firstLine="560"/>
        <w:rPr>
          <w:rFonts w:ascii="仿宋" w:eastAsia="仿宋" w:cs="仿宋_GB2312" w:hAnsi="仿宋"/>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_GB2312" w:eastAsia="仿宋_GB2312" w:cs="仿宋_GB2312" w:hAnsi="仿宋_GB2312"/>
          <w:sz w:val="28"/>
          <w:szCs w:val="28"/>
        </w:rPr>
      </w:pPr>
    </w:p>
    <w:p>
      <w:pPr>
        <w:spacing w:line="580" w:lineRule="exact"/>
        <w:ind w:firstLineChars="200" w:firstLine="560"/>
        <w:rPr>
          <w:rFonts w:ascii="仿宋" w:eastAsia="仿宋" w:cs="仿宋_GB2312" w:hAnsi="仿宋"/>
          <w:sz w:val="28"/>
          <w:szCs w:val="28"/>
        </w:rPr>
      </w:pPr>
    </w:p>
    <w:p>
      <w:pPr>
        <w:spacing w:line="580" w:lineRule="exact"/>
        <w:ind w:firstLineChars="200" w:firstLine="560"/>
        <w:rPr>
          <w:rFonts w:ascii="仿宋" w:eastAsia="仿宋" w:cs="仿宋_GB2312" w:hAnsi="仿宋"/>
          <w:sz w:val="28"/>
          <w:szCs w:val="28"/>
        </w:rPr>
      </w:pPr>
    </w:p>
    <w:p>
      <w:pPr>
        <w:spacing w:line="600" w:lineRule="exact"/>
        <w:jc w:val="center"/>
        <w:outlineLvl w:val="0"/>
        <w:rPr>
          <w:rFonts w:ascii="仿宋" w:eastAsia="仿宋" w:hAnsi="仿宋"/>
          <w:b/>
          <w:color w:val="000000"/>
          <w:sz w:val="44"/>
          <w:szCs w:val="44"/>
        </w:rPr>
      </w:pPr>
      <w:bookmarkStart w:id="52"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47"/>
      <w:bookmarkEnd w:id="52"/>
    </w:p>
    <w:p>
      <w:pPr>
        <w:pStyle w:val="2"/>
        <w:spacing w:before="0" w:after="0" w:line="576" w:lineRule="exact"/>
        <w:rPr>
          <w:rFonts w:ascii="仿宋" w:eastAsia="仿宋" w:hAnsi="仿宋"/>
          <w:color w:val="000000"/>
        </w:rPr>
      </w:pPr>
      <w:bookmarkStart w:id="53" w:name="_Toc15396619"/>
      <w:r>
        <w:rPr>
          <w:rFonts w:ascii="仿宋" w:eastAsia="仿宋" w:hAnsi="仿宋" w:hint="eastAsia"/>
          <w:b w:val="0"/>
          <w:color w:val="000000"/>
        </w:rPr>
        <w:t>一、收</w:t>
      </w:r>
      <w:r>
        <w:rPr>
          <w:rStyle w:val="2Char"/>
          <w:rFonts w:ascii="仿宋" w:eastAsia="仿宋" w:hAnsi="仿宋" w:hint="eastAsia"/>
        </w:rPr>
        <w:t>入支出决算总表</w:t>
      </w:r>
      <w:bookmarkEnd w:id="53"/>
    </w:p>
    <w:p>
      <w:pPr>
        <w:pStyle w:val="2"/>
        <w:spacing w:before="0" w:after="0" w:line="576" w:lineRule="exact"/>
        <w:rPr>
          <w:rFonts w:ascii="仿宋" w:eastAsia="仿宋" w:hAnsi="仿宋"/>
          <w:color w:val="000000"/>
        </w:rPr>
      </w:pPr>
      <w:bookmarkStart w:id="54" w:name="_Toc15396620"/>
      <w:r>
        <w:rPr>
          <w:rFonts w:ascii="仿宋" w:eastAsia="仿宋" w:hAnsi="仿宋" w:hint="eastAsia"/>
          <w:b w:val="0"/>
          <w:color w:val="000000"/>
        </w:rPr>
        <w:t>二、收</w:t>
      </w:r>
      <w:r>
        <w:rPr>
          <w:rStyle w:val="2Char"/>
          <w:rFonts w:ascii="仿宋" w:eastAsia="仿宋" w:hAnsi="仿宋" w:hint="eastAsia"/>
        </w:rPr>
        <w:t>入总表</w:t>
      </w:r>
      <w:bookmarkEnd w:id="54"/>
    </w:p>
    <w:p>
      <w:pPr>
        <w:pStyle w:val="2"/>
        <w:spacing w:before="0" w:after="0" w:line="576" w:lineRule="exact"/>
        <w:rPr>
          <w:rFonts w:ascii="仿宋" w:eastAsia="仿宋" w:hAnsi="仿宋"/>
          <w:color w:val="000000"/>
        </w:rPr>
      </w:pPr>
      <w:bookmarkStart w:id="5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55"/>
    </w:p>
    <w:p>
      <w:pPr>
        <w:pStyle w:val="2"/>
        <w:spacing w:before="0" w:after="0" w:line="576" w:lineRule="exact"/>
        <w:rPr>
          <w:rFonts w:ascii="仿宋" w:eastAsia="仿宋" w:hAnsi="仿宋"/>
          <w:b w:val="0"/>
          <w:color w:val="000000"/>
        </w:rPr>
      </w:pPr>
      <w:bookmarkStart w:id="5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6"/>
    </w:p>
    <w:p>
      <w:pPr>
        <w:pStyle w:val="2"/>
        <w:spacing w:before="0" w:after="0" w:line="576" w:lineRule="exact"/>
        <w:rPr>
          <w:rFonts w:ascii="仿宋" w:eastAsia="仿宋" w:hAnsi="仿宋"/>
          <w:color w:val="000000"/>
        </w:rPr>
      </w:pPr>
      <w:bookmarkStart w:id="5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57"/>
    </w:p>
    <w:p>
      <w:pPr>
        <w:pStyle w:val="2"/>
        <w:spacing w:before="0" w:after="0" w:line="576" w:lineRule="exact"/>
        <w:rPr>
          <w:rFonts w:ascii="仿宋" w:eastAsia="仿宋" w:hAnsi="仿宋"/>
          <w:color w:val="000000"/>
        </w:rPr>
      </w:pPr>
      <w:bookmarkStart w:id="58"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8"/>
    </w:p>
    <w:p>
      <w:pPr>
        <w:pStyle w:val="2"/>
        <w:spacing w:before="0" w:after="0" w:line="576" w:lineRule="exact"/>
        <w:rPr>
          <w:rFonts w:ascii="仿宋" w:eastAsia="仿宋" w:hAnsi="仿宋"/>
          <w:color w:val="000000"/>
        </w:rPr>
      </w:pPr>
      <w:bookmarkStart w:id="5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9"/>
    </w:p>
    <w:p>
      <w:pPr>
        <w:pStyle w:val="2"/>
        <w:spacing w:before="0" w:after="0" w:line="576" w:lineRule="exact"/>
        <w:rPr>
          <w:rFonts w:ascii="仿宋" w:eastAsia="仿宋" w:hAnsi="仿宋"/>
          <w:color w:val="000000"/>
        </w:rPr>
      </w:pPr>
      <w:bookmarkStart w:id="6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0"/>
    </w:p>
    <w:p>
      <w:pPr>
        <w:pStyle w:val="2"/>
        <w:spacing w:before="0" w:after="0" w:line="576" w:lineRule="exact"/>
        <w:rPr>
          <w:rFonts w:ascii="仿宋" w:eastAsia="仿宋" w:hAnsi="仿宋"/>
          <w:color w:val="000000"/>
        </w:rPr>
      </w:pPr>
      <w:bookmarkStart w:id="6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1"/>
    </w:p>
    <w:p>
      <w:pPr>
        <w:pStyle w:val="2"/>
        <w:spacing w:before="0" w:after="0" w:line="576" w:lineRule="exact"/>
        <w:rPr>
          <w:rFonts w:ascii="仿宋" w:eastAsia="仿宋" w:hAnsi="仿宋"/>
          <w:color w:val="000000"/>
        </w:rPr>
      </w:pPr>
      <w:bookmarkStart w:id="6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2"/>
    </w:p>
    <w:p>
      <w:pPr>
        <w:pStyle w:val="2"/>
        <w:spacing w:before="0" w:after="0" w:line="576" w:lineRule="exact"/>
        <w:rPr>
          <w:rFonts w:ascii="仿宋" w:eastAsia="仿宋" w:hAnsi="仿宋"/>
          <w:color w:val="000000"/>
        </w:rPr>
      </w:pPr>
      <w:bookmarkStart w:id="6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3"/>
    </w:p>
    <w:p>
      <w:pPr>
        <w:pStyle w:val="2"/>
        <w:spacing w:before="0" w:after="0" w:line="576" w:lineRule="exact"/>
        <w:rPr>
          <w:rFonts w:ascii="仿宋" w:eastAsia="仿宋" w:hAnsi="仿宋"/>
          <w:color w:val="000000"/>
        </w:rPr>
      </w:pPr>
      <w:bookmarkStart w:id="6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4"/>
    </w:p>
    <w:p>
      <w:pPr>
        <w:pStyle w:val="2"/>
        <w:spacing w:before="0" w:after="0" w:line="576" w:lineRule="exact"/>
        <w:rPr>
          <w:rFonts w:ascii="仿宋" w:eastAsia="仿宋" w:hAnsi="仿宋"/>
          <w:color w:val="000000"/>
        </w:rPr>
      </w:pPr>
      <w:bookmarkStart w:id="6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5"/>
    </w:p>
    <w:sectPr>
      <w:headerReference w:type="default" r:id="rId2"/>
      <w:footerReference w:type="default" r:id="rId3"/>
      <w:pgSz w:w="11906" w:h="16838"/>
      <w:pgMar w:top="1440" w:right="1797" w:bottom="1440" w:left="1797"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000000000000000"/>
    <w:charset w:val="86"/>
    <w:family w:val="auto"/>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auto"/>
    <w:pitch w:val="variable"/>
    <w:sig w:usb0="00000001" w:usb1="080E0000" w:usb2="00000000" w:usb3="00000000" w:csb0="00040000" w:csb1="00000000"/>
  </w:font>
  <w:font w:name="方正仿宋简体">
    <w:altName w:val="微软雅黑"/>
    <w:panose1 w:val="00000000000000000000"/>
    <w:charset w:val="86"/>
    <w:family w:val="auto"/>
    <w:pitch w:val="variable"/>
    <w:sig w:usb0="00000000" w:usb1="00000000" w:usb2="00000000" w:usb3="00000000" w:csb0="00040000" w:csb1="00000000"/>
  </w:font>
  <w:font w:name="楷体_GB2312">
    <w:altName w:val="楷体"/>
    <w:panose1 w:val="00000000000000000000"/>
    <w:charset w:val="86"/>
    <w:family w:val="auto"/>
    <w:pitch w:val="variable"/>
    <w:sig w:usb0="00000000" w:usb1="00000000" w:usb2="0000000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88789228"/>
    </w:sdtPr>
    <w:sdtContent>
      <w:p>
        <w:pPr>
          <w:pStyle w:val="18"/>
          <w:tabs>
            <w:tab w:val="center" w:pos="4153"/>
            <w:tab w:val="right" w:pos="8306"/>
          </w:tabs>
          <w:jc w:val="center"/>
        </w:pPr>
        <w:r>
          <w:fldChar w:fldCharType="begin"/>
        </w:r>
        <w:r>
          <w:instrText>PAGE   \* MERGEFORMAT</w:instrText>
        </w:r>
        <w:r>
          <w:fldChar w:fldCharType="separate"/>
        </w:r>
        <w:r>
          <w:rPr>
            <w:lang w:val="zh-CN"/>
          </w:rPr>
          <w:t>3</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7C2236FB"/>
    <w:multiLevelType w:val="singleLevel"/>
    <w:tmpl w:val="7C2236FB"/>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8"/>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character" w:customStyle="1" w:styleId="30">
    <w:name w:val="15"/>
    <w:basedOn w:val="10"/>
    <w:rPr>
      <w:rFonts w:ascii="Times New Roman" w:cs="Times New Roman" w:hAnsi="Times New Roman"/>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ln>
          <a:noFill/>
        </a:ln>
      </c:spPr>
    </c:floor>
    <c:sideWall>
      <c:thickness val="0"/>
      <c:spPr>
        <a:ln>
          <a:noFill/>
        </a:ln>
      </c:spPr>
    </c:sideWall>
    <c:backWall>
      <c:thickness val="0"/>
      <c:spPr>
        <a:ln>
          <a:noFill/>
        </a:ln>
      </c:spPr>
    </c:backWall>
    <c:plotArea>
      <c:layout/>
      <c:bar3DChart>
        <c:barDir val="col"/>
        <c:grouping val="clustered"/>
        <c:varyColors val="0"/>
        <c:ser>
          <c:idx val="0"/>
          <c:order val="0"/>
          <c:tx>
            <c:strRef>
              <c:f>'Sheet1'!$B$1</c:f>
              <c:strCache>
                <c:ptCount val="1"/>
                <c:pt idx="0">
                  <c:v>2018年度</c:v>
                </c:pt>
              </c:strCache>
            </c:strRef>
          </c:tx>
          <c:spPr>
            <a:solidFill>
              <a:srgbClr val="4F81BD"/>
            </a:solidFill>
          </c:spPr>
          <c:invertIfNegative val="0"/>
          <c:dLbls>
            <c:showLegendKey val="0"/>
            <c:showVal val="0"/>
            <c:showCatName val="0"/>
            <c:showSerName val="0"/>
            <c:showPercent val="0"/>
            <c:showBubbleSize val="0"/>
            <c:showLeaderLines val="0"/>
          </c:dLbls>
          <c:cat>
            <c:strRef>
              <c:f>'Sheet1'!$A$2:$A$3</c:f>
              <c:strCache>
                <c:ptCount val="2"/>
                <c:pt idx="0">
                  <c:v>总收入</c:v>
                </c:pt>
                <c:pt idx="1">
                  <c:v>总支出</c:v>
                </c:pt>
              </c:strCache>
            </c:strRef>
          </c:cat>
          <c:val>
            <c:numRef>
              <c:f>'Sheet1'!$B$2:$B$3</c:f>
              <c:numCache>
                <c:formatCode>General</c:formatCode>
                <c:ptCount val="2"/>
                <c:pt idx="0">
                  <c:v>26.7</c:v>
                </c:pt>
                <c:pt idx="1">
                  <c:v>26.7</c:v>
                </c:pt>
              </c:numCache>
            </c:numRef>
          </c:val>
        </c:ser>
        <c:ser>
          <c:idx val="1"/>
          <c:order val="1"/>
          <c:tx>
            <c:strRef>
              <c:f>'Sheet1'!$C$1</c:f>
              <c:strCache>
                <c:ptCount val="1"/>
                <c:pt idx="0">
                  <c:v>2019年度 </c:v>
                </c:pt>
              </c:strCache>
            </c:strRef>
          </c:tx>
          <c:spPr>
            <a:solidFill>
              <a:srgbClr val="C0504D"/>
            </a:solidFill>
          </c:spPr>
          <c:invertIfNegative val="0"/>
          <c:dLbls>
            <c:showLegendKey val="0"/>
            <c:showVal val="0"/>
            <c:showCatName val="0"/>
            <c:showSerName val="0"/>
            <c:showPercent val="0"/>
            <c:showBubbleSize val="0"/>
            <c:showLeaderLines val="0"/>
          </c:dLbls>
          <c:cat>
            <c:strRef>
              <c:f>'Sheet1'!$A$2:$A$3</c:f>
              <c:strCache>
                <c:ptCount val="2"/>
                <c:pt idx="0">
                  <c:v>总收入</c:v>
                </c:pt>
                <c:pt idx="1">
                  <c:v>总支出</c:v>
                </c:pt>
              </c:strCache>
            </c:strRef>
          </c:cat>
          <c:val>
            <c:numRef>
              <c:f>'Sheet1'!$C$2:$C$3</c:f>
              <c:numCache>
                <c:formatCode>General</c:formatCode>
                <c:ptCount val="2"/>
                <c:pt idx="0">
                  <c:v>24.08</c:v>
                </c:pt>
                <c:pt idx="1">
                  <c:v>22.43</c:v>
                </c:pt>
              </c:numCache>
            </c:numRef>
          </c:val>
        </c:ser>
        <c:gapWidth val="150"/>
        <c:gapDepth val="150"/>
        <c:shape val="cylinder"/>
        <c:axId val="0"/>
        <c:axId val="1"/>
      </c:bar3D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ln>
          <a:noFill/>
        </a:ln>
      </c:spPr>
    </c:backWall>
    <c:plotArea>
      <c:layout/>
      <c:pie3DChart>
        <c:varyColors val="1"/>
        <c:ser>
          <c:idx val="0"/>
          <c:order val="0"/>
          <c:tx>
            <c:v>2019年总收入</c:v>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Lbls>
            <c:showLegendKey val="0"/>
            <c:showVal val="0"/>
            <c:showCatName val="0"/>
            <c:showSerName val="0"/>
            <c:showPercent val="0"/>
            <c:showBubbleSize val="0"/>
            <c:showLeaderLines val="0"/>
          </c:dLbls>
          <c:cat>
            <c:strLit>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附属单位上缴收入</c:v>
              </c:pt>
            </c:strLit>
          </c:cat>
          <c:val>
            <c:numRef>
              <c:f/>
              <c:numCache>
                <c:formatCode>General</c:formatCode>
                <c:ptCount val="7"/>
                <c:pt idx="0">
                  <c:v>24.08</c:v>
                </c:pt>
                <c:pt idx="1">
                  <c:v>0.0</c:v>
                </c:pt>
                <c:pt idx="2">
                  <c:v>0.0</c:v>
                </c:pt>
                <c:pt idx="3">
                  <c:v>0.0</c:v>
                </c:pt>
                <c:pt idx="4">
                  <c:v>0.0</c:v>
                </c:pt>
                <c:pt idx="5">
                  <c:v>0.0</c:v>
                </c:pt>
                <c:pt idx="6">
                  <c:v>0.0</c:v>
                </c:pt>
              </c:numCache>
            </c:numRef>
          </c:val>
        </c:ser>
        <c:gapDepth val="150"/>
        <c:firstSliceAng val="0"/>
      </c:pie3DChart>
      <c:spPr>
        <a:solidFill>
          <a:srgbClr val="C0C0C0"/>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ln>
          <a:noFill/>
        </a:ln>
      </c:spPr>
    </c:backWall>
    <c:plotArea>
      <c:layout/>
      <c:pie3DChart>
        <c:varyColors val="1"/>
        <c:ser>
          <c:idx val="0"/>
          <c:order val="0"/>
          <c:tx>
            <c:strRef>
              <c:f>'Sheet1 (2)'!$B$1</c:f>
              <c:strCache>
                <c:ptCount val="1"/>
                <c:pt idx="0">
                  <c:v>2019年度总支出</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showLegendKey val="0"/>
            <c:showVal val="0"/>
            <c:showCatName val="0"/>
            <c:showSerName val="0"/>
            <c:showPercent val="0"/>
            <c:showBubbleSize val="0"/>
            <c:showLeaderLines val="0"/>
          </c:dLbls>
          <c:cat>
            <c:strRef>
              <c:f>'Sheet1 (2)'!$A$2:$A$6</c:f>
              <c:strCache>
                <c:ptCount val="5"/>
                <c:pt idx="0">
                  <c:v>基本支出</c:v>
                </c:pt>
                <c:pt idx="1">
                  <c:v>项目支出</c:v>
                </c:pt>
                <c:pt idx="2">
                  <c:v>上缴上级支出</c:v>
                </c:pt>
                <c:pt idx="3">
                  <c:v>经营支出</c:v>
                </c:pt>
                <c:pt idx="4">
                  <c:v>对附属单位补助支出</c:v>
                </c:pt>
              </c:strCache>
            </c:strRef>
          </c:cat>
          <c:val>
            <c:numRef>
              <c:f>'Sheet1 (2)'!$B$2:$B$6</c:f>
              <c:numCache>
                <c:formatCode>General</c:formatCode>
                <c:ptCount val="5"/>
                <c:pt idx="0">
                  <c:v>19.08</c:v>
                </c:pt>
                <c:pt idx="1">
                  <c:v>3.35</c:v>
                </c:pt>
                <c:pt idx="2">
                  <c:v>0.0</c:v>
                </c:pt>
                <c:pt idx="3">
                  <c:v>0.0</c:v>
                </c:pt>
                <c:pt idx="4">
                  <c:v>0.0</c:v>
                </c:pt>
              </c:numCache>
            </c:numRef>
          </c:val>
        </c:ser>
        <c:gapDepth val="150"/>
        <c:firstSliceAng val="0"/>
      </c:pie3DChart>
      <c:spPr>
        <a:solidFill>
          <a:srgbClr val="C0C0C0"/>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ln>
          <a:noFill/>
        </a:ln>
      </c:spPr>
    </c:floor>
    <c:sideWall>
      <c:thickness val="0"/>
      <c:spPr>
        <a:ln>
          <a:noFill/>
        </a:ln>
      </c:spPr>
    </c:sideWall>
    <c:backWall>
      <c:thickness val="0"/>
      <c:spPr>
        <a:ln>
          <a:noFill/>
        </a:ln>
      </c:spPr>
    </c:backWall>
    <c:plotArea>
      <c:layout/>
      <c:bar3DChart>
        <c:barDir val="col"/>
        <c:grouping val="clustered"/>
        <c:varyColors val="0"/>
        <c:ser>
          <c:idx val="0"/>
          <c:order val="0"/>
          <c:tx>
            <c:strRef>
              <c:f>'Sheet1 (3)'!$B$1</c:f>
              <c:strCache>
                <c:ptCount val="1"/>
                <c:pt idx="0">
                  <c:v>2018年度</c:v>
                </c:pt>
              </c:strCache>
            </c:strRef>
          </c:tx>
          <c:spPr>
            <a:solidFill>
              <a:srgbClr val="4F81BD"/>
            </a:solidFill>
          </c:spPr>
          <c:invertIfNegative val="0"/>
          <c:dLbls>
            <c:showLegendKey val="0"/>
            <c:showVal val="0"/>
            <c:showCatName val="0"/>
            <c:showSerName val="0"/>
            <c:showPercent val="0"/>
            <c:showBubbleSize val="0"/>
            <c:showLeaderLines val="0"/>
          </c:dLbls>
          <c:cat>
            <c:strRef>
              <c:f>'Sheet1 (3)'!$A$2:$A$3</c:f>
              <c:strCache>
                <c:ptCount val="2"/>
                <c:pt idx="0">
                  <c:v>总收入</c:v>
                </c:pt>
                <c:pt idx="1">
                  <c:v>总支出</c:v>
                </c:pt>
              </c:strCache>
            </c:strRef>
          </c:cat>
          <c:val>
            <c:numRef>
              <c:f>'Sheet1 (3)'!$B$2:$B$3</c:f>
              <c:numCache>
                <c:formatCode>General</c:formatCode>
                <c:ptCount val="2"/>
                <c:pt idx="0">
                  <c:v>26.7</c:v>
                </c:pt>
                <c:pt idx="1">
                  <c:v>26.7</c:v>
                </c:pt>
              </c:numCache>
            </c:numRef>
          </c:val>
        </c:ser>
        <c:ser>
          <c:idx val="1"/>
          <c:order val="1"/>
          <c:tx>
            <c:strRef>
              <c:f>'Sheet1 (3)'!$C$1</c:f>
              <c:strCache>
                <c:ptCount val="1"/>
                <c:pt idx="0">
                  <c:v>2019年度</c:v>
                </c:pt>
              </c:strCache>
            </c:strRef>
          </c:tx>
          <c:spPr>
            <a:solidFill>
              <a:srgbClr val="C0504D"/>
            </a:solidFill>
          </c:spPr>
          <c:invertIfNegative val="0"/>
          <c:dLbls>
            <c:showLegendKey val="0"/>
            <c:showVal val="0"/>
            <c:showCatName val="0"/>
            <c:showSerName val="0"/>
            <c:showPercent val="0"/>
            <c:showBubbleSize val="0"/>
            <c:showLeaderLines val="0"/>
          </c:dLbls>
          <c:cat>
            <c:strRef>
              <c:f>'Sheet1 (3)'!$A$2:$A$3</c:f>
              <c:strCache>
                <c:ptCount val="2"/>
                <c:pt idx="0">
                  <c:v>总收入</c:v>
                </c:pt>
                <c:pt idx="1">
                  <c:v>总支出</c:v>
                </c:pt>
              </c:strCache>
            </c:strRef>
          </c:cat>
          <c:val>
            <c:numRef>
              <c:f>'Sheet1 (3)'!$C$2:$C$3</c:f>
              <c:numCache>
                <c:formatCode>General</c:formatCode>
                <c:ptCount val="2"/>
                <c:pt idx="0">
                  <c:v>24.08</c:v>
                </c:pt>
                <c:pt idx="1">
                  <c:v>22.43</c:v>
                </c:pt>
              </c:numCache>
            </c:numRef>
          </c:val>
        </c:ser>
        <c:gapWidth val="150"/>
        <c:gapDepth val="150"/>
        <c:shape val="cylinder"/>
        <c:axId val="0"/>
        <c:axId val="1"/>
      </c:bar3D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ln>
          <a:noFill/>
        </a:ln>
      </c:spPr>
    </c:floor>
    <c:sideWall>
      <c:thickness val="0"/>
      <c:spPr>
        <a:ln>
          <a:noFill/>
        </a:ln>
      </c:spPr>
    </c:sideWall>
    <c:backWall>
      <c:thickness val="0"/>
      <c:spPr>
        <a:ln>
          <a:noFill/>
        </a:ln>
      </c:spPr>
    </c:backWall>
    <c:plotArea>
      <c:layout/>
      <c:bar3DChart>
        <c:barDir val="col"/>
        <c:grouping val="clustered"/>
        <c:varyColors val="0"/>
        <c:ser>
          <c:idx val="0"/>
          <c:order val="0"/>
          <c:tx>
            <c:strRef>
              <c:f>'Sheet1 (4)'!$B$1</c:f>
              <c:strCache>
                <c:ptCount val="1"/>
                <c:pt idx="0">
                  <c:v>一般公共预算财政拨款支出</c:v>
                </c:pt>
              </c:strCache>
            </c:strRef>
          </c:tx>
          <c:spPr>
            <a:solidFill>
              <a:srgbClr val="4F81BD"/>
            </a:solidFill>
          </c:spPr>
          <c:invertIfNegative val="0"/>
          <c:dLbls>
            <c:showLegendKey val="0"/>
            <c:showVal val="0"/>
            <c:showCatName val="0"/>
            <c:showSerName val="0"/>
            <c:showPercent val="0"/>
            <c:showBubbleSize val="0"/>
            <c:showLeaderLines val="0"/>
          </c:dLbls>
          <c:cat>
            <c:strRef>
              <c:f>'Sheet1 (4)'!$A$2:$A$3</c:f>
              <c:strCache>
                <c:ptCount val="2"/>
                <c:pt idx="0">
                  <c:v>2018年度</c:v>
                </c:pt>
                <c:pt idx="1">
                  <c:v>2019年度</c:v>
                </c:pt>
              </c:strCache>
            </c:strRef>
          </c:cat>
          <c:val>
            <c:numRef>
              <c:f>'Sheet1 (4)'!$B$2:$B$3</c:f>
              <c:numCache>
                <c:formatCode>General</c:formatCode>
                <c:ptCount val="2"/>
                <c:pt idx="0">
                  <c:v>26.7</c:v>
                </c:pt>
                <c:pt idx="1">
                  <c:v>22.43</c:v>
                </c:pt>
              </c:numCache>
            </c:numRef>
          </c:val>
        </c:ser>
        <c:gapWidth val="150"/>
        <c:gapDepth val="150"/>
        <c:shape val="cylinder"/>
        <c:axId val="0"/>
        <c:axId val="1"/>
      </c:bar3D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ln>
          <a:noFill/>
        </a:ln>
      </c:spPr>
    </c:backWall>
    <c:plotArea>
      <c:layout/>
      <c:pie3DChart>
        <c:varyColors val="1"/>
        <c:ser>
          <c:idx val="0"/>
          <c:order val="0"/>
          <c:tx>
            <c:strRef>
              <c:f>'Sheet1 (5)'!$B$1</c:f>
              <c:strCache>
                <c:ptCount val="1"/>
                <c:pt idx="0">
                  <c:v>一般公共预算财政拨款支出</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Lbls>
            <c:showLegendKey val="0"/>
            <c:showVal val="0"/>
            <c:showCatName val="0"/>
            <c:showSerName val="0"/>
            <c:showPercent val="0"/>
            <c:showBubbleSize val="0"/>
            <c:showLeaderLines val="0"/>
          </c:dLbls>
          <c:cat>
            <c:strRef>
              <c:f>'Sheet1 (5)'!$A$2:$A$7</c:f>
              <c:strCache>
                <c:ptCount val="6"/>
                <c:pt idx="0">
                  <c:v>一般公共服务（类）支出</c:v>
                </c:pt>
                <c:pt idx="1">
                  <c:v>科学技术（类）支出</c:v>
                </c:pt>
                <c:pt idx="2">
                  <c:v>社会保障和就业（类）支出</c:v>
                </c:pt>
                <c:pt idx="3">
                  <c:v>医疗卫生支出</c:v>
                </c:pt>
                <c:pt idx="4">
                  <c:v>农林水支出</c:v>
                </c:pt>
                <c:pt idx="5">
                  <c:v>住房保障支出</c:v>
                </c:pt>
              </c:strCache>
            </c:strRef>
          </c:cat>
          <c:val>
            <c:numRef>
              <c:f>'Sheet1 (5)'!$B$2:$B$7</c:f>
              <c:numCache>
                <c:formatCode>General</c:formatCode>
                <c:ptCount val="6"/>
                <c:pt idx="0">
                  <c:v>16.54</c:v>
                </c:pt>
                <c:pt idx="1">
                  <c:v>0.0</c:v>
                </c:pt>
                <c:pt idx="2">
                  <c:v>5.02</c:v>
                </c:pt>
                <c:pt idx="3">
                  <c:v>0.97</c:v>
                </c:pt>
                <c:pt idx="4">
                  <c:v>0.0</c:v>
                </c:pt>
                <c:pt idx="5">
                  <c:v>1.56</c:v>
                </c:pt>
              </c:numCache>
            </c:numRef>
          </c:val>
        </c:ser>
        <c:gapDepth val="150"/>
        <c:firstSliceAng val="0"/>
      </c:pie3DChart>
      <c:spPr>
        <a:solidFill>
          <a:srgbClr val="C0C0C0"/>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ln>
          <a:noFill/>
        </a:ln>
      </c:spPr>
    </c:backWall>
    <c:plotArea>
      <c:layout/>
      <c:pie3DChart>
        <c:varyColors val="1"/>
        <c:ser>
          <c:idx val="0"/>
          <c:order val="0"/>
          <c:tx>
            <c:strRef>
              <c:f>'Sheet1 (6)'!$B$1</c:f>
              <c:strCache>
                <c:ptCount val="1"/>
                <c:pt idx="0">
                  <c:v>“三公”经费财政拨款支出</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howLegendKey val="0"/>
            <c:showVal val="0"/>
            <c:showCatName val="0"/>
            <c:showSerName val="0"/>
            <c:showPercent val="0"/>
            <c:showBubbleSize val="0"/>
            <c:showLeaderLines val="0"/>
          </c:dLbls>
          <c:cat>
            <c:strRef>
              <c:f>'Sheet1 (6)'!$A$2:$A$4</c:f>
              <c:strCache>
                <c:ptCount val="3"/>
                <c:pt idx="0">
                  <c:v>“三公”经费财政拨款支出</c:v>
                </c:pt>
                <c:pt idx="1">
                  <c:v>公务用车购置及运行维护费支出</c:v>
                </c:pt>
                <c:pt idx="2">
                  <c:v>公务接待费支出</c:v>
                </c:pt>
              </c:strCache>
            </c:strRef>
          </c:cat>
          <c:val>
            <c:numRef>
              <c:f>'Sheet1 (6)'!$B$2:$B$4</c:f>
              <c:numCache>
                <c:formatCode>General</c:formatCode>
                <c:ptCount val="3"/>
                <c:pt idx="0">
                  <c:v>0.05</c:v>
                </c:pt>
                <c:pt idx="1">
                  <c:v>0.0</c:v>
                </c:pt>
                <c:pt idx="2">
                  <c:v>0.0</c:v>
                </c:pt>
              </c:numCache>
            </c:numRef>
          </c:val>
        </c:ser>
        <c:gapDepth val="150"/>
        <c:firstSliceAng val="0"/>
      </c:pie3DChart>
      <c:spPr>
        <a:solidFill>
          <a:srgbClr val="C0C0C0"/>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A8DBBEF-C482-4554-9755-8967880AA59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279</TotalTime>
  <Application>Yozo_Office27021597764231179</Application>
  <Pages>29</Pages>
  <Words>0</Words>
  <Characters>8121</Characters>
  <Lines>0</Lines>
  <Paragraphs>270</Paragraphs>
  <CharactersWithSpaces>10829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159</cp:revision>
  <cp:lastPrinted>2019-09-05T09:36:00Z</cp:lastPrinted>
  <dcterms:created xsi:type="dcterms:W3CDTF">2019-08-01T01:14:00Z</dcterms:created>
  <dcterms:modified xsi:type="dcterms:W3CDTF">2024-01-04T09:20:24Z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2052-11.1.0.8976</vt:lpwstr>
  </property>
</Properties>
</file>