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96475"/>
      <w:bookmarkStart w:id="3" w:name="_Toc15377193"/>
      <w:bookmarkStart w:id="4" w:name="_Toc15396597"/>
      <w:bookmarkStart w:id="5" w:name="_Toc15377425"/>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194"/>
      <w:bookmarkStart w:id="7" w:name="_Toc15378442"/>
      <w:bookmarkStart w:id="8" w:name="_Toc15396598"/>
      <w:bookmarkStart w:id="9" w:name="_Toc15377426"/>
      <w:bookmarkStart w:id="10" w:name="_Toc15396476"/>
      <w:r>
        <w:rPr>
          <w:rFonts w:hint="eastAsia" w:ascii="方正小标宋简体" w:hAnsi="宋体" w:eastAsia="方正小标宋简体"/>
          <w:color w:val="000000"/>
          <w:sz w:val="72"/>
          <w:szCs w:val="72"/>
          <w:lang w:eastAsia="zh-CN"/>
        </w:rPr>
        <w:t>广元市利州区</w:t>
      </w:r>
      <w:r>
        <w:rPr>
          <w:rFonts w:hint="eastAsia" w:ascii="方正小标宋简体" w:hAnsi="宋体" w:eastAsia="方正小标宋简体"/>
          <w:color w:val="000000"/>
          <w:sz w:val="72"/>
          <w:szCs w:val="72"/>
        </w:rPr>
        <w:t>天曌山国有林场</w:t>
      </w:r>
      <w:bookmarkEnd w:id="0"/>
      <w:bookmarkStart w:id="11" w:name="_Toc15306268"/>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Arial"/>
          <w:sz w:val="28"/>
          <w:szCs w:val="28"/>
        </w:rPr>
      </w:pPr>
    </w:p>
    <w:p>
      <w:pPr>
        <w:pStyle w:val="10"/>
      </w:pPr>
      <w:r>
        <w:rPr>
          <w:rFonts w:hint="eastAsia"/>
        </w:rPr>
        <w:t>公开时间：2020年9月3日</w:t>
      </w:r>
    </w:p>
    <w:p/>
    <w:p>
      <w:pPr>
        <w:pStyle w:val="10"/>
        <w:adjustRightInd w:val="0"/>
        <w:snapToGrid w:val="0"/>
        <w:spacing w:before="0" w:line="440" w:lineRule="exact"/>
        <w:jc w:val="left"/>
        <w:rPr>
          <w:rFonts w:eastAsia="仿宋" w:cs="Arial"/>
          <w:sz w:val="24"/>
          <w:szCs w:val="24"/>
          <w:lang w:val="en-US" w:eastAsia="zh-CN"/>
        </w:rPr>
      </w:pPr>
      <w:r>
        <w:rPr>
          <w:rFonts w:hint="eastAsia"/>
          <w:sz w:val="24"/>
        </w:rPr>
        <w:t>第一部分</w:t>
      </w:r>
      <w:r>
        <w:rPr>
          <w:sz w:val="24"/>
        </w:rPr>
        <w:t xml:space="preserve"> </w:t>
      </w:r>
      <w:r>
        <w:rPr>
          <w:rFonts w:hint="eastAsia"/>
          <w:sz w:val="24"/>
        </w:rPr>
        <w:t>部门概况</w:t>
      </w:r>
      <w:r>
        <w:rPr>
          <w:rFonts w:hint="eastAsia"/>
          <w:sz w:val="24"/>
          <w:lang w:val="en-US" w:eastAsia="zh-CN"/>
        </w:rPr>
        <w:t xml:space="preserve">                                         </w:t>
      </w:r>
    </w:p>
    <w:p>
      <w:pPr>
        <w:pStyle w:val="11"/>
        <w:adjustRightInd w:val="0"/>
        <w:snapToGrid w:val="0"/>
        <w:spacing w:line="440" w:lineRule="exact"/>
        <w:jc w:val="left"/>
        <w:rPr>
          <w:rFonts w:ascii="仿宋" w:hAnsi="仿宋" w:eastAsia="仿宋"/>
          <w:sz w:val="24"/>
        </w:rPr>
      </w:pPr>
      <w:r>
        <w:rPr>
          <w:rFonts w:hint="eastAsia"/>
          <w:sz w:val="24"/>
        </w:rPr>
        <w:t>一、基本职能及主要工作</w:t>
      </w:r>
    </w:p>
    <w:p>
      <w:pPr>
        <w:pStyle w:val="11"/>
        <w:adjustRightInd w:val="0"/>
        <w:snapToGrid w:val="0"/>
        <w:spacing w:line="440" w:lineRule="exact"/>
        <w:jc w:val="left"/>
        <w:rPr>
          <w:rFonts w:ascii="仿宋" w:hAnsi="仿宋" w:eastAsia="仿宋" w:cs="Arial"/>
          <w:sz w:val="24"/>
        </w:rPr>
      </w:pPr>
      <w:r>
        <w:rPr>
          <w:rFonts w:hint="eastAsia"/>
          <w:sz w:val="24"/>
        </w:rPr>
        <w:t>二、机构设置</w:t>
      </w:r>
    </w:p>
    <w:p>
      <w:pPr>
        <w:pStyle w:val="10"/>
        <w:adjustRightInd w:val="0"/>
        <w:snapToGrid w:val="0"/>
        <w:spacing w:before="0" w:line="440" w:lineRule="exact"/>
        <w:jc w:val="left"/>
        <w:rPr>
          <w:sz w:val="24"/>
          <w:szCs w:val="24"/>
        </w:rPr>
      </w:pPr>
      <w:r>
        <w:rPr>
          <w:rFonts w:hint="eastAsia"/>
          <w:sz w:val="24"/>
        </w:rPr>
        <w:t>第二部分度部门决算情况说明</w:t>
      </w:r>
    </w:p>
    <w:p>
      <w:pPr>
        <w:pStyle w:val="11"/>
        <w:adjustRightInd w:val="0"/>
        <w:snapToGrid w:val="0"/>
        <w:spacing w:line="440" w:lineRule="exact"/>
        <w:jc w:val="left"/>
        <w:rPr>
          <w:rFonts w:ascii="仿宋" w:hAnsi="仿宋" w:eastAsia="仿宋" w:cs="Arial"/>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cs="Arial"/>
          <w:sz w:val="24"/>
        </w:rPr>
      </w:pPr>
      <w:r>
        <w:rPr>
          <w:rFonts w:hint="eastAsia"/>
          <w:sz w:val="24"/>
        </w:rPr>
        <w:t>二、收入决算情况说明</w:t>
      </w:r>
    </w:p>
    <w:p>
      <w:pPr>
        <w:pStyle w:val="11"/>
        <w:adjustRightInd w:val="0"/>
        <w:snapToGrid w:val="0"/>
        <w:spacing w:line="440" w:lineRule="exact"/>
        <w:jc w:val="left"/>
        <w:rPr>
          <w:rFonts w:ascii="仿宋" w:hAnsi="仿宋" w:eastAsia="仿宋" w:cs="Arial"/>
          <w:sz w:val="24"/>
        </w:rPr>
      </w:pPr>
      <w:r>
        <w:rPr>
          <w:rFonts w:hint="eastAsia"/>
          <w:sz w:val="24"/>
        </w:rPr>
        <w:t>三、支出决算情况说明</w:t>
      </w:r>
    </w:p>
    <w:p>
      <w:pPr>
        <w:pStyle w:val="11"/>
        <w:adjustRightInd w:val="0"/>
        <w:snapToGrid w:val="0"/>
        <w:spacing w:line="440" w:lineRule="exact"/>
        <w:jc w:val="left"/>
        <w:rPr>
          <w:rFonts w:ascii="仿宋" w:hAnsi="仿宋" w:eastAsia="仿宋" w:cs="Arial"/>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cs="Arial"/>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cs="Arial"/>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cs="Arial"/>
          <w:sz w:val="24"/>
        </w:rPr>
      </w:pPr>
      <w:r>
        <w:rPr>
          <w:rFonts w:hint="eastAsia"/>
          <w:sz w:val="24"/>
        </w:rPr>
        <w:t>七、</w:t>
      </w:r>
      <w:r>
        <w:rPr>
          <w:sz w:val="24"/>
        </w:rPr>
        <w:t>“</w:t>
      </w:r>
      <w:r>
        <w:rPr>
          <w:rFonts w:hint="eastAsia"/>
          <w:sz w:val="24"/>
        </w:rPr>
        <w:t>三公”经费财政拨款支出决算情况说明</w:t>
      </w:r>
    </w:p>
    <w:p>
      <w:pPr>
        <w:pStyle w:val="11"/>
        <w:adjustRightInd w:val="0"/>
        <w:snapToGrid w:val="0"/>
        <w:spacing w:line="440" w:lineRule="exact"/>
        <w:jc w:val="left"/>
        <w:rPr>
          <w:rFonts w:ascii="仿宋" w:hAnsi="仿宋" w:eastAsia="仿宋" w:cs="Arial"/>
          <w:sz w:val="24"/>
        </w:rPr>
      </w:pPr>
      <w:r>
        <w:rPr>
          <w:rFonts w:hint="eastAsia"/>
          <w:sz w:val="24"/>
        </w:rPr>
        <w:t>八、政府性基金预算支出决算情况说明</w:t>
      </w:r>
    </w:p>
    <w:p>
      <w:pPr>
        <w:pStyle w:val="11"/>
        <w:adjustRightInd w:val="0"/>
        <w:snapToGrid w:val="0"/>
        <w:spacing w:line="440" w:lineRule="exact"/>
        <w:ind w:left="420"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p>
    <w:p>
      <w:pPr>
        <w:adjustRightInd w:val="0"/>
        <w:snapToGrid w:val="0"/>
        <w:spacing w:line="440" w:lineRule="exact"/>
        <w:ind w:firstLine="480" w:firstLineChars="200"/>
        <w:jc w:val="left"/>
        <w:rPr>
          <w:rFonts w:ascii="仿宋" w:hAnsi="仿宋" w:eastAsia="仿宋" w:cs="Arial"/>
          <w:sz w:val="24"/>
        </w:rPr>
      </w:pPr>
      <w:r>
        <w:rPr>
          <w:rStyle w:val="16"/>
          <w:rFonts w:hint="eastAsia" w:ascii="仿宋" w:hAnsi="仿宋" w:eastAsia="仿宋"/>
          <w:color w:val="000000"/>
          <w:sz w:val="24"/>
          <w:u w:val="none"/>
        </w:rPr>
        <w:t>十、</w:t>
      </w:r>
      <w:r>
        <w:rPr>
          <w:rFonts w:hint="eastAsia"/>
          <w:sz w:val="24"/>
        </w:rPr>
        <w:t>其他重要事项的情况说明</w:t>
      </w:r>
      <w:r>
        <w:rPr>
          <w:rFonts w:ascii="仿宋" w:hAnsi="仿宋" w:eastAsia="仿宋"/>
          <w:sz w:val="24"/>
        </w:rPr>
        <w:tab/>
      </w:r>
    </w:p>
    <w:p>
      <w:pPr>
        <w:pStyle w:val="10"/>
        <w:adjustRightInd w:val="0"/>
        <w:snapToGrid w:val="0"/>
        <w:spacing w:before="0" w:line="440" w:lineRule="exact"/>
        <w:jc w:val="left"/>
        <w:rPr>
          <w:rFonts w:cs="Arial"/>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line="440" w:lineRule="exact"/>
        <w:jc w:val="left"/>
        <w:rPr>
          <w:rFonts w:cs="Arial"/>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line="440" w:lineRule="exact"/>
        <w:jc w:val="left"/>
        <w:rPr>
          <w:rFonts w:ascii="仿宋" w:hAnsi="仿宋" w:eastAsia="仿宋" w:cs="Arial"/>
          <w:sz w:val="24"/>
        </w:rPr>
      </w:pPr>
      <w:r>
        <w:rPr>
          <w:rFonts w:hint="eastAsia"/>
          <w:sz w:val="24"/>
        </w:rPr>
        <w:t>附件</w:t>
      </w:r>
      <w:r>
        <w:rPr>
          <w:sz w:val="24"/>
        </w:rPr>
        <w:t>1</w:t>
      </w:r>
    </w:p>
    <w:p>
      <w:pPr>
        <w:pStyle w:val="11"/>
        <w:adjustRightInd w:val="0"/>
        <w:snapToGrid w:val="0"/>
        <w:spacing w:line="440" w:lineRule="exact"/>
        <w:jc w:val="left"/>
        <w:rPr>
          <w:rFonts w:ascii="仿宋" w:hAnsi="仿宋" w:eastAsia="仿宋" w:cs="Arial"/>
          <w:sz w:val="24"/>
        </w:rPr>
      </w:pPr>
      <w:r>
        <w:rPr>
          <w:rFonts w:hint="eastAsia"/>
          <w:sz w:val="24"/>
        </w:rPr>
        <w:t>附件</w:t>
      </w:r>
      <w:r>
        <w:rPr>
          <w:sz w:val="24"/>
        </w:rPr>
        <w:t>2</w:t>
      </w:r>
    </w:p>
    <w:p>
      <w:pPr>
        <w:pStyle w:val="10"/>
        <w:adjustRightInd w:val="0"/>
        <w:snapToGrid w:val="0"/>
        <w:spacing w:before="0" w:line="440" w:lineRule="exact"/>
        <w:jc w:val="left"/>
        <w:rPr>
          <w:rFonts w:cs="Arial"/>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jc w:val="left"/>
        <w:rPr>
          <w:rFonts w:ascii="仿宋" w:hAnsi="仿宋" w:eastAsia="仿宋" w:cs="Arial"/>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jc w:val="left"/>
        <w:rPr>
          <w:rFonts w:ascii="仿宋" w:hAnsi="仿宋" w:eastAsia="仿宋" w:cs="Arial"/>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Arial"/>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Arial"/>
          <w:sz w:val="24"/>
        </w:rPr>
      </w:pPr>
      <w:r>
        <w:rPr>
          <w:rFonts w:hint="eastAsia" w:ascii="仿宋" w:hAnsi="仿宋" w:eastAsia="仿宋"/>
          <w:sz w:val="24"/>
        </w:rPr>
        <w:t>四、</w:t>
      </w:r>
      <w:r>
        <w:rPr>
          <w:rFonts w:hint="eastAsia"/>
          <w:sz w:val="24"/>
        </w:rPr>
        <w:t>财政拨款收入支出决算总表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1"/>
        <w:adjustRightInd w:val="0"/>
        <w:snapToGrid w:val="0"/>
        <w:spacing w:line="440" w:lineRule="exact"/>
        <w:jc w:val="left"/>
        <w:rPr>
          <w:rFonts w:ascii="仿宋" w:hAnsi="仿宋" w:eastAsia="仿宋" w:cs="Arial"/>
          <w:sz w:val="24"/>
        </w:rPr>
      </w:pPr>
      <w:r>
        <w:rPr>
          <w:rFonts w:hint="eastAsia" w:ascii="仿宋" w:hAnsi="仿宋" w:eastAsia="仿宋"/>
          <w:sz w:val="24"/>
        </w:rPr>
        <w:t>六、</w:t>
      </w:r>
      <w:r>
        <w:rPr>
          <w:rFonts w:hint="eastAsia"/>
          <w:sz w:val="24"/>
        </w:rPr>
        <w:t>一般公共预算财政拨款支出决算表</w:t>
      </w:r>
    </w:p>
    <w:p>
      <w:pPr>
        <w:pStyle w:val="11"/>
        <w:adjustRightInd w:val="0"/>
        <w:snapToGrid w:val="0"/>
        <w:spacing w:line="440" w:lineRule="exact"/>
        <w:jc w:val="left"/>
        <w:rPr>
          <w:rFonts w:ascii="仿宋" w:hAnsi="仿宋" w:eastAsia="仿宋" w:cs="Arial"/>
          <w:sz w:val="24"/>
        </w:rPr>
      </w:pPr>
      <w:r>
        <w:rPr>
          <w:rFonts w:hint="eastAsia" w:ascii="仿宋" w:hAnsi="仿宋" w:eastAsia="仿宋"/>
          <w:sz w:val="24"/>
        </w:rPr>
        <w:t>七、</w:t>
      </w:r>
      <w:r>
        <w:rPr>
          <w:rFonts w:hint="eastAsia"/>
          <w:sz w:val="24"/>
        </w:rPr>
        <w:t>一般公共预算财政拨款支出决算明细表</w:t>
      </w:r>
    </w:p>
    <w:p>
      <w:pPr>
        <w:pStyle w:val="11"/>
        <w:adjustRightInd w:val="0"/>
        <w:snapToGrid w:val="0"/>
        <w:spacing w:line="440" w:lineRule="exact"/>
        <w:jc w:val="left"/>
        <w:rPr>
          <w:rFonts w:ascii="仿宋" w:hAnsi="仿宋" w:eastAsia="仿宋" w:cs="Arial"/>
          <w:sz w:val="24"/>
        </w:rPr>
      </w:pPr>
      <w:r>
        <w:rPr>
          <w:rFonts w:hint="eastAsia" w:ascii="仿宋" w:hAnsi="仿宋" w:eastAsia="仿宋"/>
          <w:sz w:val="24"/>
        </w:rPr>
        <w:t>八、</w:t>
      </w:r>
      <w:r>
        <w:rPr>
          <w:rFonts w:hint="eastAsia"/>
          <w:sz w:val="24"/>
        </w:rPr>
        <w:t>一般公共预算财政拨款基本支出决算表</w:t>
      </w:r>
    </w:p>
    <w:p>
      <w:pPr>
        <w:pStyle w:val="11"/>
        <w:adjustRightInd w:val="0"/>
        <w:snapToGrid w:val="0"/>
        <w:spacing w:line="440" w:lineRule="exact"/>
        <w:jc w:val="left"/>
        <w:rPr>
          <w:rFonts w:ascii="仿宋" w:hAnsi="仿宋" w:eastAsia="仿宋" w:cs="Arial"/>
          <w:sz w:val="24"/>
        </w:rPr>
      </w:pPr>
      <w:r>
        <w:rPr>
          <w:rFonts w:hint="eastAsia" w:ascii="仿宋" w:hAnsi="仿宋" w:eastAsia="仿宋"/>
          <w:sz w:val="24"/>
        </w:rPr>
        <w:t>九、</w:t>
      </w:r>
      <w:r>
        <w:rPr>
          <w:rFonts w:hint="eastAsia"/>
          <w:sz w:val="24"/>
        </w:rPr>
        <w:t>一般公共预算财政拨款项目支出决算表</w:t>
      </w:r>
    </w:p>
    <w:p>
      <w:pPr>
        <w:pStyle w:val="11"/>
        <w:adjustRightInd w:val="0"/>
        <w:snapToGrid w:val="0"/>
        <w:spacing w:line="440" w:lineRule="exact"/>
        <w:jc w:val="left"/>
        <w:rPr>
          <w:rFonts w:ascii="仿宋" w:hAnsi="仿宋" w:eastAsia="仿宋" w:cs="Arial"/>
          <w:sz w:val="24"/>
        </w:rPr>
      </w:pPr>
      <w:r>
        <w:rPr>
          <w:rFonts w:hint="eastAsia" w:ascii="仿宋" w:hAnsi="仿宋" w:eastAsia="仿宋"/>
          <w:sz w:val="24"/>
        </w:rPr>
        <w:t>十、</w:t>
      </w:r>
      <w:r>
        <w:rPr>
          <w:rFonts w:hint="eastAsia"/>
          <w:sz w:val="24"/>
        </w:rPr>
        <w:t>一般公共预算财政拨款“三公”经费支出决算表</w:t>
      </w:r>
    </w:p>
    <w:p>
      <w:pPr>
        <w:pStyle w:val="11"/>
        <w:adjustRightInd w:val="0"/>
        <w:snapToGrid w:val="0"/>
        <w:spacing w:line="440" w:lineRule="exact"/>
        <w:jc w:val="left"/>
        <w:rPr>
          <w:rFonts w:ascii="仿宋" w:hAnsi="仿宋" w:eastAsia="仿宋" w:cs="Arial"/>
          <w:sz w:val="24"/>
        </w:rPr>
      </w:pPr>
      <w:r>
        <w:rPr>
          <w:rFonts w:hint="eastAsia" w:ascii="仿宋" w:hAnsi="仿宋" w:eastAsia="仿宋"/>
          <w:sz w:val="24"/>
        </w:rPr>
        <w:t>十一、</w:t>
      </w:r>
      <w:r>
        <w:rPr>
          <w:rFonts w:hint="eastAsia"/>
          <w:sz w:val="24"/>
        </w:rPr>
        <w:t>政府性基金预算财政拨款收入支出决算表</w:t>
      </w:r>
    </w:p>
    <w:p>
      <w:pPr>
        <w:pStyle w:val="11"/>
        <w:adjustRightInd w:val="0"/>
        <w:snapToGrid w:val="0"/>
        <w:spacing w:line="440" w:lineRule="exact"/>
        <w:jc w:val="left"/>
        <w:rPr>
          <w:rFonts w:ascii="仿宋" w:hAnsi="仿宋" w:eastAsia="仿宋" w:cs="Arial"/>
          <w:sz w:val="24"/>
        </w:rPr>
      </w:pPr>
      <w:r>
        <w:rPr>
          <w:rFonts w:hint="eastAsia" w:ascii="仿宋" w:hAnsi="仿宋" w:eastAsia="仿宋"/>
          <w:sz w:val="24"/>
        </w:rPr>
        <w:t>十二、</w:t>
      </w:r>
      <w:r>
        <w:rPr>
          <w:rFonts w:hint="eastAsia"/>
          <w:sz w:val="24"/>
        </w:rPr>
        <w:t>政府性基金预算财政拨款“三公”经费支出决算表</w:t>
      </w:r>
    </w:p>
    <w:p>
      <w:pPr>
        <w:pStyle w:val="11"/>
        <w:adjustRightInd w:val="0"/>
        <w:snapToGrid w:val="0"/>
        <w:spacing w:line="440" w:lineRule="exact"/>
        <w:jc w:val="left"/>
        <w:rPr>
          <w:rFonts w:ascii="仿宋" w:hAnsi="仿宋" w:eastAsia="仿宋" w:cs="Arial"/>
          <w:sz w:val="24"/>
        </w:rPr>
      </w:pPr>
      <w:r>
        <w:rPr>
          <w:rFonts w:hint="eastAsia" w:ascii="仿宋" w:hAnsi="仿宋" w:eastAsia="仿宋"/>
          <w:sz w:val="24"/>
        </w:rPr>
        <w:t>十三、</w:t>
      </w:r>
      <w:r>
        <w:rPr>
          <w:rFonts w:hint="eastAsia"/>
          <w:sz w:val="24"/>
        </w:rPr>
        <w:t>国有资本经营预算支出决算表</w:t>
      </w:r>
    </w:p>
    <w:p>
      <w:pPr>
        <w:widowControl/>
        <w:adjustRightInd w:val="0"/>
        <w:snapToGrid w:val="0"/>
        <w:spacing w:line="440" w:lineRule="exact"/>
        <w:ind w:firstLine="1320" w:firstLineChars="550"/>
        <w:jc w:val="left"/>
        <w:rPr>
          <w:rFonts w:ascii="仿宋" w:hAnsi="仿宋" w:eastAsia="仿宋"/>
          <w:color w:val="FF0000"/>
          <w:sz w:val="24"/>
        </w:rPr>
      </w:pPr>
      <w:r>
        <w:rPr>
          <w:rFonts w:ascii="仿宋" w:hAnsi="仿宋" w:eastAsia="仿宋"/>
          <w:color w:val="FF0000"/>
          <w:sz w:val="24"/>
        </w:rPr>
        <w:t>(注：</w:t>
      </w:r>
      <w:r>
        <w:rPr>
          <w:rFonts w:hint="eastAsia" w:ascii="仿宋" w:hAnsi="仿宋" w:eastAsia="仿宋"/>
          <w:color w:val="FF0000"/>
          <w:sz w:val="24"/>
        </w:rPr>
        <w:t>请部门根据实际注明页码</w:t>
      </w:r>
      <w:r>
        <w:rPr>
          <w:rFonts w:ascii="仿宋" w:hAnsi="仿宋" w:eastAsia="仿宋"/>
          <w:color w:val="FF0000"/>
          <w:sz w:val="24"/>
        </w:rPr>
        <w:t>)</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2"/>
        <w:jc w:val="center"/>
        <w:rPr>
          <w:rStyle w:val="17"/>
          <w:rFonts w:ascii="黑体" w:hAnsi="黑体" w:eastAsia="黑体"/>
          <w:b/>
          <w:bCs w:val="0"/>
        </w:rPr>
      </w:pPr>
      <w:r>
        <w:rPr>
          <w:rFonts w:hint="eastAsia" w:ascii="黑体" w:hAnsi="黑体" w:eastAsia="黑体"/>
          <w:b w:val="0"/>
        </w:rPr>
        <w:t xml:space="preserve">第一部分 </w:t>
      </w:r>
      <w:r>
        <w:rPr>
          <w:rStyle w:val="17"/>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18"/>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18"/>
          <w:rFonts w:hint="eastAsia" w:ascii="黑体" w:hAnsi="黑体" w:eastAsia="黑体"/>
          <w:b w:val="0"/>
          <w:bCs w:val="0"/>
        </w:rPr>
        <w:t>本职能及主要工作</w:t>
      </w:r>
      <w:bookmarkEnd w:id="14"/>
      <w:bookmarkEnd w:id="15"/>
    </w:p>
    <w:p>
      <w:pPr>
        <w:pStyle w:val="5"/>
        <w:widowControl/>
        <w:adjustRightInd w:val="0"/>
        <w:snapToGrid w:val="0"/>
        <w:spacing w:before="93" w:beforeLines="0" w:line="600" w:lineRule="exact"/>
        <w:ind w:firstLine="668" w:firstLineChars="209"/>
        <w:outlineLvl w:val="2"/>
        <w:rPr>
          <w:rFonts w:hint="eastAsia" w:ascii="仿宋" w:hAnsi="仿宋" w:eastAsia="仿宋"/>
          <w:bCs/>
          <w:color w:val="000000"/>
          <w:sz w:val="32"/>
          <w:szCs w:val="32"/>
        </w:rPr>
      </w:pPr>
      <w:r>
        <w:rPr>
          <w:rFonts w:hint="eastAsia" w:ascii="仿宋" w:hAnsi="仿宋" w:eastAsia="仿宋"/>
          <w:bCs/>
          <w:color w:val="000000"/>
          <w:sz w:val="32"/>
          <w:szCs w:val="32"/>
        </w:rPr>
        <w:t>（一）主要职能。</w:t>
      </w:r>
    </w:p>
    <w:p>
      <w:pPr>
        <w:pStyle w:val="5"/>
        <w:widowControl/>
        <w:adjustRightInd w:val="0"/>
        <w:snapToGrid w:val="0"/>
        <w:spacing w:before="93" w:beforeLines="0" w:line="600" w:lineRule="exact"/>
        <w:ind w:firstLine="668" w:firstLineChars="209"/>
        <w:outlineLvl w:val="2"/>
        <w:rPr>
          <w:rFonts w:ascii="仿宋" w:hAnsi="仿宋" w:eastAsia="仿宋" w:cs="仿宋"/>
          <w:bCs/>
          <w:color w:val="000000"/>
          <w:sz w:val="32"/>
          <w:szCs w:val="32"/>
        </w:rPr>
      </w:pPr>
      <w:r>
        <w:rPr>
          <w:rFonts w:ascii="仿宋" w:hAnsi="仿宋" w:eastAsia="仿宋" w:cs="仿宋"/>
          <w:bCs/>
          <w:color w:val="000000"/>
          <w:sz w:val="32"/>
          <w:szCs w:val="32"/>
        </w:rPr>
        <w:t>1、拟定和组织实施森林公园建设和发展规划；</w:t>
      </w:r>
    </w:p>
    <w:p>
      <w:pPr>
        <w:pStyle w:val="5"/>
        <w:widowControl/>
        <w:adjustRightInd w:val="0"/>
        <w:snapToGrid w:val="0"/>
        <w:spacing w:before="93" w:beforeLines="0" w:line="600" w:lineRule="exact"/>
        <w:ind w:firstLine="668" w:firstLineChars="209"/>
        <w:outlineLvl w:val="2"/>
        <w:rPr>
          <w:rFonts w:ascii="仿宋" w:hAnsi="仿宋" w:eastAsia="仿宋" w:cs="仿宋"/>
          <w:bCs/>
          <w:color w:val="000000"/>
          <w:sz w:val="32"/>
          <w:szCs w:val="32"/>
        </w:rPr>
      </w:pPr>
      <w:r>
        <w:rPr>
          <w:rFonts w:ascii="仿宋" w:hAnsi="仿宋" w:eastAsia="仿宋" w:cs="仿宋"/>
          <w:bCs/>
          <w:color w:val="000000"/>
          <w:sz w:val="32"/>
          <w:szCs w:val="32"/>
        </w:rPr>
        <w:t>2、负责森林公园风景区历史、文化资源的开发利用和保护工作，协调做好景区内文物保护工作；</w:t>
      </w:r>
    </w:p>
    <w:p>
      <w:pPr>
        <w:pStyle w:val="5"/>
        <w:widowControl/>
        <w:adjustRightInd w:val="0"/>
        <w:snapToGrid w:val="0"/>
        <w:spacing w:before="93" w:beforeLines="0" w:line="600" w:lineRule="exact"/>
        <w:ind w:firstLine="668" w:firstLineChars="209"/>
        <w:outlineLvl w:val="2"/>
        <w:rPr>
          <w:rFonts w:ascii="仿宋" w:hAnsi="仿宋" w:eastAsia="仿宋" w:cs="仿宋"/>
          <w:bCs/>
          <w:color w:val="000000"/>
          <w:sz w:val="32"/>
          <w:szCs w:val="32"/>
        </w:rPr>
      </w:pPr>
      <w:r>
        <w:rPr>
          <w:rFonts w:ascii="仿宋" w:hAnsi="仿宋" w:eastAsia="仿宋" w:cs="仿宋"/>
          <w:bCs/>
          <w:color w:val="000000"/>
          <w:sz w:val="32"/>
          <w:szCs w:val="32"/>
        </w:rPr>
        <w:t>3、监督管理森林公园景区内从事旅游业和其他服务的单位、个人的经营活动；</w:t>
      </w:r>
    </w:p>
    <w:p>
      <w:pPr>
        <w:pStyle w:val="5"/>
        <w:widowControl/>
        <w:adjustRightInd w:val="0"/>
        <w:snapToGrid w:val="0"/>
        <w:spacing w:before="93" w:beforeLines="0" w:line="600" w:lineRule="exact"/>
        <w:ind w:firstLine="668" w:firstLineChars="209"/>
        <w:outlineLvl w:val="2"/>
        <w:rPr>
          <w:rFonts w:ascii="仿宋" w:hAnsi="仿宋" w:eastAsia="仿宋" w:cs="仿宋"/>
          <w:bCs/>
          <w:color w:val="000000"/>
          <w:sz w:val="32"/>
          <w:szCs w:val="32"/>
        </w:rPr>
      </w:pPr>
      <w:r>
        <w:rPr>
          <w:rFonts w:ascii="仿宋" w:hAnsi="仿宋" w:eastAsia="仿宋" w:cs="仿宋"/>
          <w:bCs/>
          <w:color w:val="000000"/>
          <w:sz w:val="32"/>
          <w:szCs w:val="32"/>
        </w:rPr>
        <w:t>4、会同有关部门协调改善旅游环境，促进旅游景区发展及项目打造；</w:t>
      </w:r>
    </w:p>
    <w:p>
      <w:pPr>
        <w:pStyle w:val="5"/>
        <w:widowControl/>
        <w:adjustRightInd w:val="0"/>
        <w:snapToGrid w:val="0"/>
        <w:spacing w:before="93" w:beforeLines="0" w:line="600" w:lineRule="exact"/>
        <w:ind w:firstLine="668" w:firstLineChars="209"/>
        <w:outlineLvl w:val="2"/>
        <w:rPr>
          <w:rFonts w:ascii="仿宋" w:hAnsi="仿宋" w:eastAsia="仿宋" w:cs="仿宋"/>
          <w:bCs/>
          <w:color w:val="000000"/>
          <w:sz w:val="32"/>
          <w:szCs w:val="32"/>
        </w:rPr>
      </w:pPr>
      <w:r>
        <w:rPr>
          <w:rFonts w:ascii="仿宋" w:hAnsi="仿宋" w:eastAsia="仿宋" w:cs="仿宋"/>
          <w:bCs/>
          <w:color w:val="000000"/>
          <w:sz w:val="32"/>
          <w:szCs w:val="32"/>
        </w:rPr>
        <w:t>5、监督管理森林公园景区内市场秩序和服务质量，受理消费者投诉，会同有关部门查处侵害消费者和经营者合法权益的行为；</w:t>
      </w:r>
    </w:p>
    <w:p>
      <w:pPr>
        <w:pStyle w:val="5"/>
        <w:widowControl/>
        <w:adjustRightInd w:val="0"/>
        <w:snapToGrid w:val="0"/>
        <w:spacing w:before="93" w:beforeLines="0" w:line="600" w:lineRule="exact"/>
        <w:ind w:firstLine="668" w:firstLineChars="209"/>
        <w:outlineLvl w:val="2"/>
        <w:rPr>
          <w:rFonts w:ascii="仿宋" w:hAnsi="仿宋" w:eastAsia="仿宋" w:cs="仿宋"/>
          <w:bCs/>
          <w:color w:val="000000"/>
          <w:sz w:val="32"/>
          <w:szCs w:val="32"/>
        </w:rPr>
      </w:pPr>
      <w:r>
        <w:rPr>
          <w:rFonts w:ascii="仿宋" w:hAnsi="仿宋" w:eastAsia="仿宋" w:cs="仿宋"/>
          <w:bCs/>
          <w:color w:val="000000"/>
          <w:sz w:val="32"/>
          <w:szCs w:val="32"/>
        </w:rPr>
        <w:t>6、负责森林公园景区宣传工作；</w:t>
      </w:r>
    </w:p>
    <w:p>
      <w:pPr>
        <w:pStyle w:val="5"/>
        <w:widowControl/>
        <w:adjustRightInd w:val="0"/>
        <w:snapToGrid w:val="0"/>
        <w:spacing w:before="93" w:beforeLines="0" w:line="600" w:lineRule="exact"/>
        <w:ind w:firstLine="668" w:firstLineChars="209"/>
        <w:outlineLvl w:val="2"/>
        <w:rPr>
          <w:rFonts w:ascii="仿宋" w:hAnsi="仿宋" w:eastAsia="仿宋" w:cs="仿宋"/>
          <w:bCs/>
          <w:color w:val="000000"/>
          <w:sz w:val="32"/>
          <w:szCs w:val="32"/>
        </w:rPr>
      </w:pPr>
      <w:r>
        <w:rPr>
          <w:rFonts w:ascii="仿宋" w:hAnsi="仿宋" w:eastAsia="仿宋" w:cs="仿宋"/>
          <w:bCs/>
          <w:color w:val="000000"/>
          <w:sz w:val="32"/>
          <w:szCs w:val="32"/>
        </w:rPr>
        <w:t>7、监管森林公园景区内经营及游客的人身、财产安全工作；</w:t>
      </w:r>
    </w:p>
    <w:p>
      <w:pPr>
        <w:pStyle w:val="5"/>
        <w:widowControl/>
        <w:adjustRightInd w:val="0"/>
        <w:snapToGrid w:val="0"/>
        <w:spacing w:before="93" w:beforeLines="0" w:line="600" w:lineRule="exact"/>
        <w:ind w:firstLine="668" w:firstLineChars="209"/>
        <w:outlineLvl w:val="2"/>
        <w:rPr>
          <w:rFonts w:ascii="仿宋" w:hAnsi="仿宋" w:eastAsia="仿宋" w:cs="仿宋"/>
          <w:bCs/>
          <w:color w:val="000000"/>
          <w:sz w:val="32"/>
          <w:szCs w:val="32"/>
        </w:rPr>
      </w:pPr>
      <w:r>
        <w:rPr>
          <w:rFonts w:ascii="仿宋" w:hAnsi="仿宋" w:eastAsia="仿宋" w:cs="仿宋"/>
          <w:bCs/>
          <w:color w:val="000000"/>
          <w:sz w:val="32"/>
          <w:szCs w:val="32"/>
        </w:rPr>
        <w:t>8、承担区政府交办的其他工作。</w:t>
      </w:r>
    </w:p>
    <w:p>
      <w:pPr>
        <w:spacing w:line="560" w:lineRule="exact"/>
        <w:ind w:firstLine="640" w:firstLineChars="200"/>
        <w:rPr>
          <w:rFonts w:hint="eastAsia" w:ascii="仿宋" w:hAnsi="仿宋" w:eastAsia="仿宋"/>
          <w:bCs/>
          <w:color w:val="000000"/>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从事森林资源培育与保护、森林病虫害预测与防治、林木良种选育与技术推广、护林防火、天然林保护工程等工作。</w:t>
      </w:r>
    </w:p>
    <w:p>
      <w:pPr>
        <w:pStyle w:val="5"/>
        <w:adjustRightInd w:val="0"/>
        <w:snapToGrid w:val="0"/>
        <w:spacing w:before="93" w:beforeLines="0" w:line="600" w:lineRule="exact"/>
        <w:outlineLvl w:val="2"/>
        <w:rPr>
          <w:rFonts w:hint="eastAsia" w:ascii="仿宋" w:hAnsi="仿宋" w:eastAsia="仿宋"/>
          <w:bCs/>
          <w:color w:val="000000"/>
          <w:sz w:val="32"/>
          <w:szCs w:val="32"/>
        </w:rPr>
      </w:pPr>
      <w:bookmarkStart w:id="16" w:name="_Toc15378446"/>
      <w:bookmarkStart w:id="17" w:name="_Toc15377199"/>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6"/>
      <w:bookmarkEnd w:id="17"/>
    </w:p>
    <w:p>
      <w:pPr>
        <w:keepNext w:val="0"/>
        <w:keepLines w:val="0"/>
        <w:pageBreakBefore w:val="0"/>
        <w:widowControl w:val="0"/>
        <w:kinsoku/>
        <w:wordWrap/>
        <w:overflowPunct w:val="0"/>
        <w:topLinePunct w:val="0"/>
        <w:autoSpaceDE/>
        <w:autoSpaceDN/>
        <w:bidi w:val="0"/>
        <w:adjustRightInd/>
        <w:snapToGrid w:val="0"/>
        <w:spacing w:line="576" w:lineRule="exact"/>
        <w:ind w:firstLine="640" w:firstLineChars="200"/>
        <w:textAlignment w:val="auto"/>
        <w:rPr>
          <w:rFonts w:hint="eastAsia" w:ascii="方正楷体简体" w:hAnsi="方正楷体简体" w:eastAsia="方正楷体简体" w:cs="方正楷体简体"/>
          <w:b w:val="0"/>
          <w:bCs w:val="0"/>
          <w:snapToGrid w:val="0"/>
          <w:color w:val="000000"/>
          <w:sz w:val="32"/>
          <w:szCs w:val="32"/>
        </w:rPr>
      </w:pPr>
      <w:r>
        <w:rPr>
          <w:rFonts w:hint="eastAsia" w:ascii="方正楷体简体" w:hAnsi="方正楷体简体" w:eastAsia="方正楷体简体" w:cs="方正楷体简体"/>
          <w:b w:val="0"/>
          <w:bCs w:val="0"/>
          <w:snapToGrid w:val="0"/>
          <w:color w:val="000000"/>
          <w:sz w:val="32"/>
          <w:szCs w:val="32"/>
        </w:rPr>
        <w:t>（</w:t>
      </w:r>
      <w:r>
        <w:rPr>
          <w:rFonts w:hint="eastAsia" w:ascii="方正楷体简体" w:hAnsi="方正楷体简体" w:eastAsia="方正楷体简体" w:cs="方正楷体简体"/>
          <w:b w:val="0"/>
          <w:bCs w:val="0"/>
          <w:snapToGrid w:val="0"/>
          <w:color w:val="000000"/>
          <w:sz w:val="32"/>
          <w:szCs w:val="32"/>
          <w:lang w:val="en-US" w:eastAsia="zh-CN"/>
        </w:rPr>
        <w:t>1</w:t>
      </w:r>
      <w:r>
        <w:rPr>
          <w:rFonts w:hint="eastAsia" w:ascii="方正楷体简体" w:hAnsi="方正楷体简体" w:eastAsia="方正楷体简体" w:cs="方正楷体简体"/>
          <w:b w:val="0"/>
          <w:bCs w:val="0"/>
          <w:snapToGrid w:val="0"/>
          <w:color w:val="000000"/>
          <w:sz w:val="32"/>
          <w:szCs w:val="32"/>
        </w:rPr>
        <w:t>）</w:t>
      </w:r>
      <w:r>
        <w:rPr>
          <w:rFonts w:hint="eastAsia" w:ascii="方正楷体简体" w:hAnsi="方正楷体简体" w:eastAsia="方正楷体简体" w:cs="方正楷体简体"/>
          <w:b w:val="0"/>
          <w:bCs w:val="0"/>
          <w:snapToGrid w:val="0"/>
          <w:color w:val="000000"/>
          <w:sz w:val="32"/>
          <w:szCs w:val="32"/>
          <w:lang w:eastAsia="zh-CN"/>
        </w:rPr>
        <w:t>全面</w:t>
      </w:r>
      <w:r>
        <w:rPr>
          <w:rFonts w:hint="eastAsia" w:ascii="方正楷体简体" w:hAnsi="方正楷体简体" w:eastAsia="方正楷体简体" w:cs="方正楷体简体"/>
          <w:b w:val="0"/>
          <w:bCs w:val="0"/>
          <w:snapToGrid w:val="0"/>
          <w:color w:val="000000"/>
          <w:sz w:val="32"/>
          <w:szCs w:val="32"/>
        </w:rPr>
        <w:t>完成全年经济目标</w:t>
      </w:r>
    </w:p>
    <w:p>
      <w:pPr>
        <w:keepNext w:val="0"/>
        <w:keepLines w:val="0"/>
        <w:pageBreakBefore w:val="0"/>
        <w:widowControl w:val="0"/>
        <w:kinsoku/>
        <w:wordWrap/>
        <w:overflowPunct w:val="0"/>
        <w:topLinePunct w:val="0"/>
        <w:autoSpaceDE/>
        <w:autoSpaceDN/>
        <w:bidi w:val="0"/>
        <w:adjustRightInd/>
        <w:snapToGrid w:val="0"/>
        <w:spacing w:line="576" w:lineRule="exact"/>
        <w:ind w:firstLine="640" w:firstLineChars="200"/>
        <w:textAlignment w:val="auto"/>
        <w:rPr>
          <w:rFonts w:hint="eastAsia" w:ascii="方正仿宋简体" w:hAnsi="方正仿宋简体" w:eastAsia="方正仿宋简体" w:cs="方正仿宋简体"/>
          <w:snapToGrid w:val="0"/>
          <w:color w:val="000000"/>
          <w:sz w:val="32"/>
          <w:szCs w:val="32"/>
        </w:rPr>
      </w:pPr>
      <w:r>
        <w:rPr>
          <w:rFonts w:hint="eastAsia" w:ascii="方正仿宋简体" w:hAnsi="方正仿宋简体" w:eastAsia="方正仿宋简体" w:cs="方正仿宋简体"/>
          <w:b w:val="0"/>
          <w:bCs w:val="0"/>
          <w:snapToGrid w:val="0"/>
          <w:color w:val="000000"/>
          <w:sz w:val="32"/>
          <w:szCs w:val="32"/>
          <w:lang w:val="en-US" w:eastAsia="zh-CN"/>
        </w:rPr>
        <w:t>1.完成</w:t>
      </w:r>
      <w:r>
        <w:rPr>
          <w:rFonts w:hint="eastAsia" w:ascii="方正仿宋简体" w:hAnsi="方正仿宋简体" w:eastAsia="方正仿宋简体" w:cs="方正仿宋简体"/>
          <w:snapToGrid w:val="0"/>
          <w:color w:val="000000"/>
          <w:sz w:val="32"/>
          <w:szCs w:val="32"/>
        </w:rPr>
        <w:t>固定资产入库</w:t>
      </w:r>
      <w:r>
        <w:rPr>
          <w:rFonts w:hint="eastAsia" w:ascii="方正仿宋简体" w:hAnsi="方正仿宋简体" w:eastAsia="方正仿宋简体" w:cs="方正仿宋简体"/>
          <w:snapToGrid w:val="0"/>
          <w:color w:val="000000"/>
          <w:sz w:val="32"/>
          <w:szCs w:val="32"/>
          <w:lang w:val="en-US" w:eastAsia="zh-CN"/>
        </w:rPr>
        <w:t>9498</w:t>
      </w:r>
      <w:r>
        <w:rPr>
          <w:rFonts w:hint="eastAsia" w:ascii="方正仿宋简体" w:hAnsi="方正仿宋简体" w:eastAsia="方正仿宋简体" w:cs="方正仿宋简体"/>
          <w:snapToGrid w:val="0"/>
          <w:color w:val="000000"/>
          <w:sz w:val="32"/>
          <w:szCs w:val="32"/>
        </w:rPr>
        <w:t>万元，</w:t>
      </w:r>
      <w:r>
        <w:rPr>
          <w:rFonts w:hint="eastAsia" w:ascii="方正仿宋简体" w:hAnsi="方正仿宋简体" w:eastAsia="方正仿宋简体" w:cs="方正仿宋简体"/>
          <w:b/>
          <w:bCs/>
          <w:snapToGrid w:val="0"/>
          <w:color w:val="000000"/>
          <w:sz w:val="32"/>
          <w:szCs w:val="32"/>
        </w:rPr>
        <w:t>占完成全年目标任务10</w:t>
      </w:r>
      <w:r>
        <w:rPr>
          <w:rFonts w:hint="eastAsia" w:ascii="方正仿宋简体" w:hAnsi="方正仿宋简体" w:eastAsia="方正仿宋简体" w:cs="方正仿宋简体"/>
          <w:b/>
          <w:bCs/>
          <w:snapToGrid w:val="0"/>
          <w:color w:val="000000"/>
          <w:sz w:val="32"/>
          <w:szCs w:val="32"/>
          <w:lang w:val="en-US" w:eastAsia="zh-CN"/>
        </w:rPr>
        <w:t>5</w:t>
      </w:r>
      <w:r>
        <w:rPr>
          <w:rFonts w:hint="eastAsia" w:ascii="方正仿宋简体" w:hAnsi="方正仿宋简体" w:eastAsia="方正仿宋简体" w:cs="方正仿宋简体"/>
          <w:b/>
          <w:bCs/>
          <w:snapToGrid w:val="0"/>
          <w:color w:val="000000"/>
          <w:sz w:val="32"/>
          <w:szCs w:val="32"/>
        </w:rPr>
        <w:t>.</w:t>
      </w:r>
      <w:r>
        <w:rPr>
          <w:rFonts w:hint="eastAsia" w:ascii="方正仿宋简体" w:hAnsi="方正仿宋简体" w:eastAsia="方正仿宋简体" w:cs="方正仿宋简体"/>
          <w:b/>
          <w:bCs/>
          <w:snapToGrid w:val="0"/>
          <w:color w:val="000000"/>
          <w:sz w:val="32"/>
          <w:szCs w:val="32"/>
          <w:lang w:val="en-US" w:eastAsia="zh-CN"/>
        </w:rPr>
        <w:t>5</w:t>
      </w:r>
      <w:r>
        <w:rPr>
          <w:rFonts w:hint="eastAsia" w:ascii="方正仿宋简体" w:hAnsi="方正仿宋简体" w:eastAsia="方正仿宋简体" w:cs="方正仿宋简体"/>
          <w:b/>
          <w:bCs/>
          <w:snapToGrid w:val="0"/>
          <w:color w:val="000000"/>
          <w:sz w:val="32"/>
          <w:szCs w:val="32"/>
        </w:rPr>
        <w:t>3%</w:t>
      </w:r>
      <w:r>
        <w:rPr>
          <w:rFonts w:hint="eastAsia" w:ascii="方正仿宋简体" w:hAnsi="方正仿宋简体" w:eastAsia="方正仿宋简体" w:cs="方正仿宋简体"/>
          <w:snapToGrid w:val="0"/>
          <w:color w:val="000000"/>
          <w:sz w:val="32"/>
          <w:szCs w:val="32"/>
        </w:rPr>
        <w:t>。</w:t>
      </w:r>
    </w:p>
    <w:p>
      <w:pPr>
        <w:keepNext w:val="0"/>
        <w:keepLines w:val="0"/>
        <w:pageBreakBefore w:val="0"/>
        <w:widowControl w:val="0"/>
        <w:kinsoku/>
        <w:wordWrap/>
        <w:overflowPunct w:val="0"/>
        <w:topLinePunct w:val="0"/>
        <w:autoSpaceDE/>
        <w:autoSpaceDN/>
        <w:bidi w:val="0"/>
        <w:adjustRightInd/>
        <w:snapToGrid w:val="0"/>
        <w:spacing w:line="576" w:lineRule="exact"/>
        <w:ind w:firstLine="640" w:firstLineChars="200"/>
        <w:textAlignment w:val="auto"/>
        <w:rPr>
          <w:rFonts w:hint="eastAsia" w:ascii="方正仿宋简体" w:hAnsi="方正仿宋简体" w:eastAsia="方正仿宋简体" w:cs="方正仿宋简体"/>
          <w:snapToGrid w:val="0"/>
          <w:color w:val="000000"/>
          <w:sz w:val="32"/>
          <w:szCs w:val="32"/>
        </w:rPr>
      </w:pPr>
      <w:r>
        <w:rPr>
          <w:rFonts w:hint="eastAsia" w:ascii="方正仿宋简体" w:hAnsi="方正仿宋简体" w:eastAsia="方正仿宋简体" w:cs="方正仿宋简体"/>
          <w:snapToGrid w:val="0"/>
          <w:color w:val="000000"/>
          <w:sz w:val="32"/>
          <w:szCs w:val="32"/>
          <w:lang w:val="en-US" w:eastAsia="zh-CN"/>
        </w:rPr>
        <w:t>2.</w:t>
      </w:r>
      <w:r>
        <w:rPr>
          <w:rFonts w:hint="eastAsia" w:ascii="方正仿宋简体" w:hAnsi="方正仿宋简体" w:eastAsia="方正仿宋简体" w:cs="方正仿宋简体"/>
          <w:snapToGrid w:val="0"/>
          <w:color w:val="000000"/>
          <w:sz w:val="32"/>
          <w:szCs w:val="32"/>
        </w:rPr>
        <w:t>完成项目储备十个，总投资26亿。</w:t>
      </w:r>
    </w:p>
    <w:p>
      <w:pPr>
        <w:keepNext w:val="0"/>
        <w:keepLines w:val="0"/>
        <w:pageBreakBefore w:val="0"/>
        <w:widowControl w:val="0"/>
        <w:kinsoku/>
        <w:wordWrap/>
        <w:overflowPunct w:val="0"/>
        <w:topLinePunct w:val="0"/>
        <w:autoSpaceDE/>
        <w:autoSpaceDN/>
        <w:bidi w:val="0"/>
        <w:adjustRightInd/>
        <w:snapToGrid w:val="0"/>
        <w:spacing w:line="576" w:lineRule="exact"/>
        <w:ind w:firstLine="640" w:firstLineChars="200"/>
        <w:textAlignment w:val="auto"/>
        <w:rPr>
          <w:rFonts w:hint="eastAsia" w:ascii="方正仿宋简体" w:hAnsi="方正仿宋简体" w:eastAsia="方正仿宋简体" w:cs="方正仿宋简体"/>
          <w:snapToGrid w:val="0"/>
          <w:color w:val="000000"/>
          <w:sz w:val="32"/>
          <w:szCs w:val="32"/>
          <w:lang w:eastAsia="zh-CN"/>
        </w:rPr>
      </w:pPr>
      <w:r>
        <w:rPr>
          <w:rFonts w:hint="eastAsia" w:ascii="方正仿宋简体" w:hAnsi="方正仿宋简体" w:eastAsia="方正仿宋简体" w:cs="方正仿宋简体"/>
          <w:b w:val="0"/>
          <w:bCs w:val="0"/>
          <w:snapToGrid w:val="0"/>
          <w:color w:val="000000"/>
          <w:sz w:val="32"/>
          <w:szCs w:val="32"/>
          <w:lang w:val="en-US" w:eastAsia="zh-CN"/>
        </w:rPr>
        <w:t>3.</w:t>
      </w:r>
      <w:r>
        <w:rPr>
          <w:rFonts w:hint="eastAsia" w:ascii="方正仿宋简体" w:hAnsi="方正仿宋简体" w:eastAsia="方正仿宋简体" w:cs="方正仿宋简体"/>
          <w:snapToGrid w:val="0"/>
          <w:color w:val="000000"/>
          <w:sz w:val="32"/>
          <w:szCs w:val="32"/>
          <w:lang w:eastAsia="zh-CN"/>
        </w:rPr>
        <w:t>完成向上</w:t>
      </w:r>
      <w:r>
        <w:rPr>
          <w:rFonts w:hint="eastAsia" w:ascii="方正仿宋简体" w:hAnsi="方正仿宋简体" w:eastAsia="方正仿宋简体" w:cs="方正仿宋简体"/>
          <w:snapToGrid w:val="0"/>
          <w:color w:val="000000"/>
          <w:sz w:val="32"/>
          <w:szCs w:val="32"/>
        </w:rPr>
        <w:t>争取资金</w:t>
      </w:r>
      <w:r>
        <w:rPr>
          <w:rFonts w:hint="eastAsia" w:ascii="仿宋" w:hAnsi="仿宋" w:eastAsia="仿宋"/>
          <w:color w:val="000000"/>
          <w:sz w:val="32"/>
          <w:szCs w:val="32"/>
          <w:lang w:val="en-US" w:eastAsia="zh-CN"/>
        </w:rPr>
        <w:t>2068.5</w:t>
      </w:r>
      <w:r>
        <w:rPr>
          <w:rFonts w:hint="eastAsia" w:ascii="方正仿宋简体" w:hAnsi="方正仿宋简体" w:eastAsia="方正仿宋简体" w:cs="方正仿宋简体"/>
          <w:snapToGrid w:val="0"/>
          <w:color w:val="000000"/>
          <w:sz w:val="32"/>
          <w:szCs w:val="32"/>
        </w:rPr>
        <w:t>万元，</w:t>
      </w:r>
      <w:r>
        <w:rPr>
          <w:rFonts w:hint="eastAsia" w:ascii="方正仿宋简体" w:hAnsi="方正仿宋简体" w:eastAsia="方正仿宋简体" w:cs="方正仿宋简体"/>
          <w:b/>
          <w:bCs/>
          <w:snapToGrid w:val="0"/>
          <w:color w:val="000000"/>
          <w:sz w:val="32"/>
          <w:szCs w:val="32"/>
        </w:rPr>
        <w:t>完成全年任务的</w:t>
      </w:r>
      <w:r>
        <w:rPr>
          <w:rFonts w:hint="eastAsia" w:ascii="方正仿宋简体" w:hAnsi="方正仿宋简体" w:eastAsia="方正仿宋简体" w:cs="方正仿宋简体"/>
          <w:b/>
          <w:bCs/>
          <w:snapToGrid w:val="0"/>
          <w:color w:val="000000"/>
          <w:sz w:val="32"/>
          <w:szCs w:val="32"/>
          <w:lang w:val="en-US" w:eastAsia="zh-CN"/>
        </w:rPr>
        <w:t>108.87</w:t>
      </w:r>
      <w:r>
        <w:rPr>
          <w:rFonts w:hint="eastAsia" w:ascii="方正仿宋简体" w:hAnsi="方正仿宋简体" w:eastAsia="方正仿宋简体" w:cs="方正仿宋简体"/>
          <w:b/>
          <w:bCs/>
          <w:snapToGrid w:val="0"/>
          <w:color w:val="000000"/>
          <w:sz w:val="32"/>
          <w:szCs w:val="32"/>
        </w:rPr>
        <w:t>%</w:t>
      </w:r>
      <w:r>
        <w:rPr>
          <w:rFonts w:hint="eastAsia" w:ascii="方正仿宋简体" w:hAnsi="方正仿宋简体" w:eastAsia="方正仿宋简体" w:cs="方正仿宋简体"/>
          <w:b/>
          <w:bCs/>
          <w:snapToGrid w:val="0"/>
          <w:color w:val="000000"/>
          <w:sz w:val="32"/>
          <w:szCs w:val="32"/>
          <w:lang w:eastAsia="zh-CN"/>
        </w:rPr>
        <w:t>。</w:t>
      </w:r>
    </w:p>
    <w:p>
      <w:pPr>
        <w:keepNext w:val="0"/>
        <w:keepLines w:val="0"/>
        <w:pageBreakBefore w:val="0"/>
        <w:widowControl w:val="0"/>
        <w:kinsoku/>
        <w:wordWrap/>
        <w:overflowPunct w:val="0"/>
        <w:topLinePunct w:val="0"/>
        <w:autoSpaceDE/>
        <w:autoSpaceDN/>
        <w:bidi w:val="0"/>
        <w:adjustRightInd/>
        <w:snapToGrid w:val="0"/>
        <w:spacing w:line="576" w:lineRule="exact"/>
        <w:ind w:firstLine="640" w:firstLineChars="200"/>
        <w:textAlignment w:val="auto"/>
        <w:rPr>
          <w:rFonts w:hint="eastAsia" w:ascii="方正仿宋简体" w:hAnsi="方正仿宋简体" w:eastAsia="方正仿宋简体" w:cs="方正仿宋简体"/>
          <w:snapToGrid w:val="0"/>
          <w:color w:val="000000"/>
          <w:sz w:val="32"/>
          <w:szCs w:val="32"/>
        </w:rPr>
      </w:pPr>
      <w:r>
        <w:rPr>
          <w:rFonts w:hint="eastAsia" w:ascii="方正仿宋简体" w:hAnsi="方正仿宋简体" w:eastAsia="方正仿宋简体" w:cs="方正仿宋简体"/>
          <w:b w:val="0"/>
          <w:bCs w:val="0"/>
          <w:snapToGrid w:val="0"/>
          <w:color w:val="000000"/>
          <w:sz w:val="32"/>
          <w:szCs w:val="32"/>
          <w:lang w:val="en-US" w:eastAsia="zh-CN"/>
        </w:rPr>
        <w:t>4.</w:t>
      </w:r>
      <w:r>
        <w:rPr>
          <w:rFonts w:hint="eastAsia" w:ascii="方正仿宋简体" w:hAnsi="方正仿宋简体" w:eastAsia="方正仿宋简体" w:cs="方正仿宋简体"/>
          <w:snapToGrid w:val="0"/>
          <w:color w:val="000000"/>
          <w:sz w:val="32"/>
          <w:szCs w:val="32"/>
          <w:lang w:eastAsia="zh-CN"/>
        </w:rPr>
        <w:t>全年景区</w:t>
      </w:r>
      <w:r>
        <w:rPr>
          <w:rFonts w:hint="eastAsia" w:ascii="方正仿宋简体" w:hAnsi="方正仿宋简体" w:eastAsia="方正仿宋简体" w:cs="方正仿宋简体"/>
          <w:snapToGrid w:val="0"/>
          <w:color w:val="000000"/>
          <w:sz w:val="32"/>
          <w:szCs w:val="32"/>
        </w:rPr>
        <w:t>接待旅游人数</w:t>
      </w:r>
      <w:r>
        <w:rPr>
          <w:rFonts w:hint="eastAsia" w:ascii="方正仿宋简体" w:hAnsi="方正仿宋简体" w:eastAsia="方正仿宋简体" w:cs="方正仿宋简体"/>
          <w:snapToGrid w:val="0"/>
          <w:color w:val="000000"/>
          <w:sz w:val="32"/>
          <w:szCs w:val="32"/>
          <w:lang w:val="en-US" w:eastAsia="zh-CN"/>
        </w:rPr>
        <w:t>128.81</w:t>
      </w:r>
      <w:r>
        <w:rPr>
          <w:rFonts w:hint="eastAsia" w:ascii="方正仿宋简体" w:hAnsi="方正仿宋简体" w:eastAsia="方正仿宋简体" w:cs="方正仿宋简体"/>
          <w:snapToGrid w:val="0"/>
          <w:color w:val="000000"/>
          <w:sz w:val="32"/>
          <w:szCs w:val="32"/>
        </w:rPr>
        <w:t>万人次，</w:t>
      </w:r>
      <w:r>
        <w:rPr>
          <w:rFonts w:hint="eastAsia" w:ascii="方正仿宋简体" w:hAnsi="方正仿宋简体" w:eastAsia="方正仿宋简体" w:cs="方正仿宋简体"/>
          <w:b/>
          <w:bCs/>
          <w:snapToGrid w:val="0"/>
          <w:color w:val="000000"/>
          <w:sz w:val="32"/>
          <w:szCs w:val="32"/>
        </w:rPr>
        <w:t>同比增长</w:t>
      </w:r>
      <w:r>
        <w:rPr>
          <w:rFonts w:hint="eastAsia" w:ascii="方正仿宋简体" w:hAnsi="方正仿宋简体" w:eastAsia="方正仿宋简体" w:cs="方正仿宋简体"/>
          <w:b/>
          <w:bCs/>
          <w:snapToGrid w:val="0"/>
          <w:color w:val="000000"/>
          <w:sz w:val="32"/>
          <w:szCs w:val="32"/>
          <w:lang w:val="en-US" w:eastAsia="zh-CN"/>
        </w:rPr>
        <w:t>9</w:t>
      </w:r>
      <w:r>
        <w:rPr>
          <w:rFonts w:hint="eastAsia" w:ascii="方正仿宋简体" w:hAnsi="方正仿宋简体" w:eastAsia="方正仿宋简体" w:cs="方正仿宋简体"/>
          <w:b/>
          <w:bCs/>
          <w:snapToGrid w:val="0"/>
          <w:color w:val="000000"/>
          <w:sz w:val="32"/>
          <w:szCs w:val="32"/>
        </w:rPr>
        <w:t>%</w:t>
      </w:r>
      <w:r>
        <w:rPr>
          <w:rFonts w:hint="eastAsia" w:ascii="方正仿宋简体" w:hAnsi="方正仿宋简体" w:eastAsia="方正仿宋简体" w:cs="方正仿宋简体"/>
          <w:b w:val="0"/>
          <w:bCs w:val="0"/>
          <w:snapToGrid w:val="0"/>
          <w:color w:val="000000"/>
          <w:sz w:val="32"/>
          <w:szCs w:val="32"/>
        </w:rPr>
        <w:t>；</w:t>
      </w:r>
      <w:r>
        <w:rPr>
          <w:rFonts w:hint="eastAsia" w:ascii="方正仿宋简体" w:hAnsi="方正仿宋简体" w:eastAsia="方正仿宋简体" w:cs="方正仿宋简体"/>
          <w:snapToGrid w:val="0"/>
          <w:color w:val="000000"/>
          <w:sz w:val="32"/>
          <w:szCs w:val="32"/>
        </w:rPr>
        <w:t>旅游综合收入实现</w:t>
      </w:r>
      <w:r>
        <w:rPr>
          <w:rFonts w:hint="eastAsia" w:ascii="方正仿宋简体" w:hAnsi="方正仿宋简体" w:eastAsia="方正仿宋简体" w:cs="方正仿宋简体"/>
          <w:snapToGrid w:val="0"/>
          <w:color w:val="000000"/>
          <w:sz w:val="32"/>
          <w:szCs w:val="32"/>
          <w:lang w:val="en-US" w:eastAsia="zh-CN"/>
        </w:rPr>
        <w:t>2.16亿</w:t>
      </w:r>
      <w:r>
        <w:rPr>
          <w:rFonts w:hint="eastAsia" w:ascii="方正仿宋简体" w:hAnsi="方正仿宋简体" w:eastAsia="方正仿宋简体" w:cs="方正仿宋简体"/>
          <w:snapToGrid w:val="0"/>
          <w:color w:val="000000"/>
          <w:sz w:val="32"/>
          <w:szCs w:val="32"/>
        </w:rPr>
        <w:t>元，</w:t>
      </w:r>
      <w:r>
        <w:rPr>
          <w:rFonts w:hint="eastAsia" w:ascii="方正仿宋简体" w:hAnsi="方正仿宋简体" w:eastAsia="方正仿宋简体" w:cs="方正仿宋简体"/>
          <w:b/>
          <w:bCs/>
          <w:snapToGrid w:val="0"/>
          <w:color w:val="000000"/>
          <w:sz w:val="32"/>
          <w:szCs w:val="32"/>
        </w:rPr>
        <w:t>同比增长</w:t>
      </w:r>
      <w:r>
        <w:rPr>
          <w:rFonts w:hint="eastAsia" w:ascii="方正仿宋简体" w:hAnsi="方正仿宋简体" w:eastAsia="方正仿宋简体" w:cs="方正仿宋简体"/>
          <w:b/>
          <w:bCs/>
          <w:snapToGrid w:val="0"/>
          <w:color w:val="000000"/>
          <w:sz w:val="32"/>
          <w:szCs w:val="32"/>
          <w:lang w:val="en-US" w:eastAsia="zh-CN"/>
        </w:rPr>
        <w:t>9</w:t>
      </w:r>
      <w:r>
        <w:rPr>
          <w:rFonts w:hint="eastAsia" w:ascii="方正仿宋简体" w:hAnsi="方正仿宋简体" w:eastAsia="方正仿宋简体" w:cs="方正仿宋简体"/>
          <w:b/>
          <w:bCs/>
          <w:snapToGrid w:val="0"/>
          <w:color w:val="000000"/>
          <w:sz w:val="32"/>
          <w:szCs w:val="32"/>
        </w:rPr>
        <w:t>%</w:t>
      </w:r>
      <w:r>
        <w:rPr>
          <w:rFonts w:hint="eastAsia" w:ascii="方正仿宋简体" w:hAnsi="方正仿宋简体" w:eastAsia="方正仿宋简体" w:cs="方正仿宋简体"/>
          <w:snapToGrid w:val="0"/>
          <w:color w:val="000000"/>
          <w:sz w:val="32"/>
          <w:szCs w:val="32"/>
        </w:rPr>
        <w:t>。</w:t>
      </w:r>
    </w:p>
    <w:p>
      <w:pPr>
        <w:keepNext w:val="0"/>
        <w:keepLines w:val="0"/>
        <w:pageBreakBefore w:val="0"/>
        <w:widowControl w:val="0"/>
        <w:tabs>
          <w:tab w:val="left" w:pos="595"/>
        </w:tabs>
        <w:kinsoku/>
        <w:wordWrap/>
        <w:overflowPunct w:val="0"/>
        <w:topLinePunct w:val="0"/>
        <w:autoSpaceDE/>
        <w:autoSpaceDN/>
        <w:bidi w:val="0"/>
        <w:adjustRightInd/>
        <w:spacing w:line="576" w:lineRule="exact"/>
        <w:ind w:firstLine="640"/>
        <w:textAlignment w:val="auto"/>
        <w:rPr>
          <w:rFonts w:hint="eastAsia" w:ascii="方正楷体简体" w:hAnsi="方正楷体简体" w:eastAsia="方正楷体简体" w:cs="方正楷体简体"/>
          <w:b w:val="0"/>
          <w:bCs w:val="0"/>
          <w:color w:val="000000"/>
          <w:sz w:val="32"/>
          <w:szCs w:val="32"/>
          <w:lang w:eastAsia="zh-CN"/>
        </w:rPr>
      </w:pPr>
      <w:r>
        <w:rPr>
          <w:rFonts w:hint="eastAsia" w:ascii="方正楷体简体" w:hAnsi="方正楷体简体" w:eastAsia="方正楷体简体" w:cs="方正楷体简体"/>
          <w:b w:val="0"/>
          <w:bCs w:val="0"/>
          <w:snapToGrid w:val="0"/>
          <w:color w:val="000000"/>
          <w:sz w:val="32"/>
          <w:szCs w:val="32"/>
        </w:rPr>
        <w:t>（</w:t>
      </w:r>
      <w:r>
        <w:rPr>
          <w:rFonts w:hint="eastAsia" w:ascii="方正楷体简体" w:hAnsi="方正楷体简体" w:eastAsia="方正楷体简体" w:cs="方正楷体简体"/>
          <w:b w:val="0"/>
          <w:bCs w:val="0"/>
          <w:snapToGrid w:val="0"/>
          <w:color w:val="000000"/>
          <w:sz w:val="32"/>
          <w:szCs w:val="32"/>
          <w:lang w:val="en-US" w:eastAsia="zh-CN"/>
        </w:rPr>
        <w:t>2</w:t>
      </w:r>
      <w:r>
        <w:rPr>
          <w:rFonts w:hint="eastAsia" w:ascii="方正楷体简体" w:hAnsi="方正楷体简体" w:eastAsia="方正楷体简体" w:cs="方正楷体简体"/>
          <w:b w:val="0"/>
          <w:bCs w:val="0"/>
          <w:snapToGrid w:val="0"/>
          <w:color w:val="000000"/>
          <w:sz w:val="32"/>
          <w:szCs w:val="32"/>
        </w:rPr>
        <w:t>）</w:t>
      </w:r>
      <w:r>
        <w:rPr>
          <w:rFonts w:hint="eastAsia" w:ascii="方正楷体简体" w:hAnsi="方正楷体简体" w:eastAsia="方正楷体简体" w:cs="方正楷体简体"/>
          <w:b w:val="0"/>
          <w:bCs w:val="0"/>
          <w:snapToGrid w:val="0"/>
          <w:color w:val="000000"/>
          <w:sz w:val="32"/>
          <w:szCs w:val="32"/>
          <w:lang w:eastAsia="zh-CN"/>
        </w:rPr>
        <w:t>推动</w:t>
      </w:r>
      <w:r>
        <w:rPr>
          <w:rFonts w:hint="eastAsia" w:ascii="方正楷体简体" w:hAnsi="方正楷体简体" w:eastAsia="方正楷体简体" w:cs="方正楷体简体"/>
          <w:b w:val="0"/>
          <w:bCs w:val="0"/>
          <w:color w:val="000000"/>
          <w:sz w:val="32"/>
          <w:szCs w:val="32"/>
        </w:rPr>
        <w:t>天曌山旅游区</w:t>
      </w:r>
      <w:r>
        <w:rPr>
          <w:rFonts w:hint="eastAsia" w:ascii="方正楷体简体" w:hAnsi="方正楷体简体" w:eastAsia="方正楷体简体" w:cs="方正楷体简体"/>
          <w:b w:val="0"/>
          <w:bCs w:val="0"/>
          <w:color w:val="000000"/>
          <w:sz w:val="32"/>
          <w:szCs w:val="32"/>
          <w:lang w:eastAsia="zh-CN"/>
        </w:rPr>
        <w:t>项目有序开展</w:t>
      </w:r>
    </w:p>
    <w:p>
      <w:pPr>
        <w:keepNext w:val="0"/>
        <w:keepLines w:val="0"/>
        <w:pageBreakBefore w:val="0"/>
        <w:widowControl w:val="0"/>
        <w:kinsoku/>
        <w:wordWrap/>
        <w:topLinePunct w:val="0"/>
        <w:autoSpaceDE/>
        <w:autoSpaceDN/>
        <w:bidi w:val="0"/>
        <w:adjustRightInd/>
        <w:spacing w:line="576" w:lineRule="exact"/>
        <w:ind w:firstLine="642" w:firstLineChars="200"/>
        <w:textAlignment w:val="auto"/>
        <w:rPr>
          <w:rFonts w:hint="eastAsia" w:ascii="方正楷体简体" w:hAnsi="方正楷体简体" w:eastAsia="方正楷体简体" w:cs="方正楷体简体"/>
          <w:color w:val="000000"/>
          <w:sz w:val="32"/>
          <w:szCs w:val="32"/>
        </w:rPr>
      </w:pPr>
      <w:r>
        <w:rPr>
          <w:rFonts w:hint="eastAsia" w:ascii="方正仿宋简体" w:hAnsi="方正仿宋简体" w:eastAsia="方正仿宋简体" w:cs="方正仿宋简体"/>
          <w:b/>
          <w:bCs w:val="0"/>
          <w:color w:val="000000"/>
          <w:sz w:val="32"/>
          <w:szCs w:val="32"/>
          <w:lang w:val="en-US" w:eastAsia="zh-CN"/>
        </w:rPr>
        <w:t>一是</w:t>
      </w:r>
      <w:r>
        <w:rPr>
          <w:rFonts w:hint="eastAsia" w:ascii="方正仿宋简体" w:hAnsi="方正仿宋简体" w:eastAsia="方正仿宋简体" w:cs="方正仿宋简体"/>
          <w:b/>
          <w:bCs w:val="0"/>
          <w:color w:val="000000"/>
          <w:sz w:val="32"/>
          <w:szCs w:val="32"/>
        </w:rPr>
        <w:t>全面推进广元联星天曌公司破产工作</w:t>
      </w:r>
      <w:r>
        <w:rPr>
          <w:rFonts w:hint="eastAsia" w:ascii="方正仿宋简体" w:hAnsi="方正仿宋简体" w:eastAsia="方正仿宋简体" w:cs="方正仿宋简体"/>
          <w:b/>
          <w:bCs w:val="0"/>
          <w:color w:val="000000"/>
          <w:sz w:val="32"/>
          <w:szCs w:val="32"/>
          <w:lang w:eastAsia="zh-CN"/>
        </w:rPr>
        <w:t>。</w:t>
      </w:r>
      <w:r>
        <w:rPr>
          <w:rFonts w:hint="eastAsia" w:ascii="方正仿宋简体" w:eastAsia="方正仿宋简体"/>
          <w:color w:val="000000"/>
          <w:sz w:val="32"/>
          <w:szCs w:val="32"/>
        </w:rPr>
        <w:t>市中级法院已</w:t>
      </w:r>
      <w:r>
        <w:rPr>
          <w:rFonts w:hint="eastAsia" w:ascii="方正仿宋简体" w:eastAsia="方正仿宋简体"/>
          <w:color w:val="000000"/>
          <w:sz w:val="32"/>
          <w:szCs w:val="32"/>
          <w:lang w:eastAsia="zh-CN"/>
        </w:rPr>
        <w:t>今年</w:t>
      </w:r>
      <w:r>
        <w:rPr>
          <w:rFonts w:hint="eastAsia" w:ascii="方正仿宋简体" w:eastAsia="方正仿宋简体"/>
          <w:color w:val="000000"/>
          <w:sz w:val="32"/>
          <w:szCs w:val="32"/>
          <w:lang w:val="en-US" w:eastAsia="zh-CN"/>
        </w:rPr>
        <w:t>6月</w:t>
      </w:r>
      <w:r>
        <w:rPr>
          <w:rFonts w:hint="eastAsia" w:ascii="方正仿宋简体" w:eastAsia="方正仿宋简体"/>
          <w:color w:val="000000"/>
          <w:sz w:val="32"/>
          <w:szCs w:val="32"/>
        </w:rPr>
        <w:t>正式受理联星公司破产申请，并完成资产管理人的确认</w:t>
      </w:r>
      <w:r>
        <w:rPr>
          <w:rFonts w:hint="eastAsia" w:ascii="方正仿宋简体" w:eastAsia="方正仿宋简体"/>
          <w:color w:val="000000"/>
          <w:sz w:val="32"/>
          <w:szCs w:val="32"/>
          <w:lang w:eastAsia="zh-CN"/>
        </w:rPr>
        <w:t>，相关工作正在有序推进。</w:t>
      </w:r>
      <w:r>
        <w:rPr>
          <w:rFonts w:hint="eastAsia" w:ascii="方正仿宋简体" w:hAnsi="方正仿宋简体" w:eastAsia="方正仿宋简体" w:cs="方正仿宋简体"/>
          <w:b/>
          <w:bCs/>
          <w:color w:val="000000"/>
          <w:sz w:val="32"/>
          <w:szCs w:val="32"/>
          <w:lang w:eastAsia="zh-CN"/>
        </w:rPr>
        <w:t>二是</w:t>
      </w:r>
      <w:r>
        <w:rPr>
          <w:rFonts w:hint="eastAsia" w:ascii="方正仿宋简体" w:hAnsi="方正仿宋简体" w:eastAsia="方正仿宋简体" w:cs="方正仿宋简体"/>
          <w:b/>
          <w:bCs/>
          <w:color w:val="000000"/>
          <w:sz w:val="32"/>
          <w:szCs w:val="32"/>
        </w:rPr>
        <w:t>加快</w:t>
      </w:r>
      <w:r>
        <w:rPr>
          <w:rFonts w:hint="eastAsia" w:ascii="方正仿宋简体" w:hAnsi="方正仿宋简体" w:eastAsia="方正仿宋简体" w:cs="方正仿宋简体"/>
          <w:b/>
          <w:bCs/>
          <w:color w:val="000000"/>
          <w:sz w:val="32"/>
          <w:szCs w:val="32"/>
          <w:lang w:eastAsia="zh-CN"/>
        </w:rPr>
        <w:t>四川省旅游投资集团有限责任</w:t>
      </w:r>
      <w:r>
        <w:rPr>
          <w:rFonts w:hint="eastAsia" w:ascii="方正仿宋简体" w:hAnsi="方正仿宋简体" w:eastAsia="方正仿宋简体" w:cs="方正仿宋简体"/>
          <w:b/>
          <w:bCs/>
          <w:color w:val="000000"/>
          <w:sz w:val="32"/>
          <w:szCs w:val="32"/>
        </w:rPr>
        <w:t>公司退出事宜</w:t>
      </w:r>
      <w:r>
        <w:rPr>
          <w:rFonts w:hint="eastAsia" w:ascii="方正仿宋简体" w:hAnsi="方正仿宋简体" w:eastAsia="方正仿宋简体" w:cs="方正仿宋简体"/>
          <w:b/>
          <w:bCs/>
          <w:color w:val="000000"/>
          <w:sz w:val="32"/>
          <w:szCs w:val="32"/>
          <w:lang w:eastAsia="zh-CN"/>
        </w:rPr>
        <w:t>。</w:t>
      </w:r>
      <w:r>
        <w:rPr>
          <w:rFonts w:hint="eastAsia" w:ascii="方正仿宋简体" w:hAnsi="方正仿宋简体" w:eastAsia="方正仿宋简体" w:cs="方正仿宋简体"/>
          <w:b w:val="0"/>
          <w:bCs/>
          <w:color w:val="000000"/>
          <w:sz w:val="32"/>
          <w:szCs w:val="32"/>
          <w:lang w:eastAsia="zh-CN"/>
        </w:rPr>
        <w:t>该公司</w:t>
      </w:r>
      <w:r>
        <w:rPr>
          <w:rFonts w:hint="eastAsia" w:ascii="方正仿宋简体" w:eastAsia="方正仿宋简体"/>
          <w:color w:val="000000"/>
          <w:sz w:val="32"/>
          <w:szCs w:val="32"/>
        </w:rPr>
        <w:t>于2019年7月来函明确退出该项目投资</w:t>
      </w:r>
      <w:r>
        <w:rPr>
          <w:rFonts w:hint="eastAsia" w:ascii="方正仿宋简体" w:eastAsia="方正仿宋简体"/>
          <w:color w:val="000000"/>
          <w:sz w:val="32"/>
          <w:szCs w:val="32"/>
          <w:lang w:eastAsia="zh-CN"/>
        </w:rPr>
        <w:t>，我场立即</w:t>
      </w:r>
      <w:r>
        <w:rPr>
          <w:rFonts w:hint="eastAsia" w:ascii="方正仿宋简体" w:eastAsia="方正仿宋简体"/>
          <w:color w:val="000000"/>
          <w:sz w:val="32"/>
          <w:szCs w:val="32"/>
        </w:rPr>
        <w:t>制定了终止合作工作方案，</w:t>
      </w:r>
      <w:r>
        <w:rPr>
          <w:rFonts w:hint="eastAsia" w:ascii="方正仿宋简体" w:eastAsia="方正仿宋简体"/>
          <w:color w:val="000000"/>
          <w:sz w:val="32"/>
          <w:szCs w:val="32"/>
          <w:lang w:eastAsia="zh-CN"/>
        </w:rPr>
        <w:t>并相继通过区政府常务会、区委常委会，各项工作正按照工作方案有序推进。</w:t>
      </w:r>
      <w:r>
        <w:rPr>
          <w:rFonts w:hint="eastAsia" w:ascii="方正仿宋简体" w:hAnsi="方正仿宋简体" w:eastAsia="方正仿宋简体" w:cs="方正仿宋简体"/>
          <w:b/>
          <w:bCs/>
          <w:color w:val="000000"/>
          <w:sz w:val="32"/>
          <w:szCs w:val="32"/>
          <w:lang w:eastAsia="zh-CN"/>
        </w:rPr>
        <w:t>三是</w:t>
      </w:r>
      <w:r>
        <w:rPr>
          <w:rFonts w:hint="eastAsia" w:ascii="方正仿宋简体" w:hAnsi="方正仿宋简体" w:eastAsia="方正仿宋简体" w:cs="方正仿宋简体"/>
          <w:b/>
          <w:bCs/>
          <w:color w:val="000000"/>
          <w:sz w:val="32"/>
          <w:szCs w:val="32"/>
        </w:rPr>
        <w:t>有序开展天曌山旅游区招商工作</w:t>
      </w:r>
      <w:r>
        <w:rPr>
          <w:rFonts w:hint="eastAsia" w:ascii="方正仿宋简体" w:hAnsi="方正仿宋简体" w:eastAsia="方正仿宋简体" w:cs="方正仿宋简体"/>
          <w:b/>
          <w:bCs/>
          <w:color w:val="000000"/>
          <w:sz w:val="32"/>
          <w:szCs w:val="32"/>
          <w:lang w:eastAsia="zh-CN"/>
        </w:rPr>
        <w:t>。</w:t>
      </w:r>
      <w:r>
        <w:rPr>
          <w:rFonts w:hint="eastAsia" w:ascii="方正仿宋简体" w:hAnsi="楷体" w:eastAsia="方正仿宋简体" w:cs="楷体"/>
          <w:snapToGrid w:val="0"/>
          <w:color w:val="000000"/>
          <w:sz w:val="32"/>
          <w:szCs w:val="32"/>
        </w:rPr>
        <w:t>制定招商引资工作方案，加大招商引资力度。先后有北京新华联、川商基金</w:t>
      </w:r>
      <w:r>
        <w:rPr>
          <w:rFonts w:hint="eastAsia" w:ascii="方正仿宋简体" w:hAnsi="楷体" w:eastAsia="方正仿宋简体" w:cs="楷体"/>
          <w:snapToGrid w:val="0"/>
          <w:color w:val="000000"/>
          <w:sz w:val="32"/>
          <w:szCs w:val="32"/>
          <w:lang w:eastAsia="zh-CN"/>
        </w:rPr>
        <w:t>协</w:t>
      </w:r>
      <w:r>
        <w:rPr>
          <w:rFonts w:hint="eastAsia" w:ascii="方正仿宋简体" w:hAnsi="楷体" w:eastAsia="方正仿宋简体" w:cs="楷体"/>
          <w:snapToGrid w:val="0"/>
          <w:color w:val="000000"/>
          <w:sz w:val="32"/>
          <w:szCs w:val="32"/>
        </w:rPr>
        <w:t>会、川高集团</w:t>
      </w:r>
      <w:r>
        <w:rPr>
          <w:rFonts w:hint="eastAsia" w:ascii="方正仿宋简体" w:hAnsi="楷体" w:eastAsia="方正仿宋简体" w:cs="楷体"/>
          <w:snapToGrid w:val="0"/>
          <w:color w:val="000000"/>
          <w:sz w:val="32"/>
          <w:szCs w:val="32"/>
          <w:lang w:eastAsia="zh-CN"/>
        </w:rPr>
        <w:t>、</w:t>
      </w:r>
      <w:r>
        <w:rPr>
          <w:rFonts w:hint="eastAsia" w:ascii="方正仿宋简体" w:hAnsi="楷体" w:eastAsia="方正仿宋简体" w:cs="楷体"/>
          <w:snapToGrid w:val="0"/>
          <w:color w:val="000000"/>
          <w:sz w:val="32"/>
          <w:szCs w:val="32"/>
        </w:rPr>
        <w:t>北京四川企业商会</w:t>
      </w:r>
      <w:r>
        <w:rPr>
          <w:rFonts w:hint="eastAsia" w:ascii="方正仿宋简体" w:hAnsi="楷体" w:eastAsia="方正仿宋简体" w:cs="楷体"/>
          <w:snapToGrid w:val="0"/>
          <w:color w:val="000000"/>
          <w:sz w:val="32"/>
          <w:szCs w:val="32"/>
          <w:lang w:eastAsia="zh-CN"/>
        </w:rPr>
        <w:t>、华东蓝城公司</w:t>
      </w:r>
      <w:r>
        <w:rPr>
          <w:rFonts w:hint="eastAsia" w:ascii="方正仿宋简体" w:hAnsi="楷体" w:eastAsia="方正仿宋简体" w:cs="楷体"/>
          <w:snapToGrid w:val="0"/>
          <w:color w:val="000000"/>
          <w:sz w:val="32"/>
          <w:szCs w:val="32"/>
        </w:rPr>
        <w:t>等</w:t>
      </w:r>
      <w:r>
        <w:rPr>
          <w:rFonts w:hint="eastAsia" w:ascii="方正仿宋简体" w:hAnsi="楷体" w:eastAsia="方正仿宋简体" w:cs="楷体"/>
          <w:snapToGrid w:val="0"/>
          <w:color w:val="000000"/>
          <w:sz w:val="32"/>
          <w:szCs w:val="32"/>
          <w:lang w:eastAsia="zh-CN"/>
        </w:rPr>
        <w:t>十余家</w:t>
      </w:r>
      <w:r>
        <w:rPr>
          <w:rFonts w:hint="eastAsia" w:ascii="方正仿宋简体" w:hAnsi="楷体" w:eastAsia="方正仿宋简体" w:cs="楷体"/>
          <w:snapToGrid w:val="0"/>
          <w:color w:val="000000"/>
          <w:sz w:val="32"/>
          <w:szCs w:val="32"/>
        </w:rPr>
        <w:t>企业来天曌山考察，目前，</w:t>
      </w:r>
      <w:r>
        <w:rPr>
          <w:rFonts w:hint="eastAsia" w:ascii="方正仿宋简体" w:hAnsi="楷体" w:eastAsia="方正仿宋简体" w:cs="楷体"/>
          <w:snapToGrid w:val="0"/>
          <w:color w:val="000000"/>
          <w:sz w:val="32"/>
          <w:szCs w:val="32"/>
          <w:lang w:eastAsia="zh-CN"/>
        </w:rPr>
        <w:t>正在就招商模式及相关条款进行进一步沟通磋商，力争年内招引落地</w:t>
      </w:r>
      <w:r>
        <w:rPr>
          <w:rFonts w:hint="eastAsia" w:ascii="方正仿宋简体" w:hAnsi="楷体" w:eastAsia="方正仿宋简体" w:cs="楷体"/>
          <w:snapToGrid w:val="0"/>
          <w:color w:val="000000"/>
          <w:sz w:val="32"/>
          <w:szCs w:val="32"/>
        </w:rPr>
        <w:t>。</w:t>
      </w:r>
    </w:p>
    <w:p>
      <w:pPr>
        <w:keepNext w:val="0"/>
        <w:keepLines w:val="0"/>
        <w:pageBreakBefore w:val="0"/>
        <w:widowControl w:val="0"/>
        <w:kinsoku/>
        <w:wordWrap/>
        <w:overflowPunct w:val="0"/>
        <w:topLinePunct w:val="0"/>
        <w:autoSpaceDE/>
        <w:autoSpaceDN/>
        <w:bidi w:val="0"/>
        <w:adjustRightInd/>
        <w:snapToGrid w:val="0"/>
        <w:spacing w:line="576" w:lineRule="exact"/>
        <w:ind w:firstLine="640" w:firstLineChars="200"/>
        <w:textAlignment w:val="auto"/>
        <w:rPr>
          <w:rFonts w:hint="eastAsia" w:ascii="方正楷体简体" w:hAnsi="方正楷体简体" w:eastAsia="方正楷体简体" w:cs="方正楷体简体"/>
          <w:b w:val="0"/>
          <w:bCs w:val="0"/>
          <w:color w:val="000000"/>
          <w:sz w:val="32"/>
          <w:szCs w:val="32"/>
        </w:rPr>
      </w:pPr>
      <w:r>
        <w:rPr>
          <w:rFonts w:hint="eastAsia" w:ascii="方正楷体简体" w:hAnsi="方正楷体简体" w:eastAsia="方正楷体简体" w:cs="方正楷体简体"/>
          <w:b w:val="0"/>
          <w:bCs w:val="0"/>
          <w:color w:val="000000"/>
          <w:sz w:val="32"/>
          <w:szCs w:val="32"/>
        </w:rPr>
        <w:t>（</w:t>
      </w:r>
      <w:r>
        <w:rPr>
          <w:rFonts w:hint="eastAsia" w:ascii="方正楷体简体" w:hAnsi="方正楷体简体" w:eastAsia="方正楷体简体" w:cs="方正楷体简体"/>
          <w:b w:val="0"/>
          <w:bCs w:val="0"/>
          <w:color w:val="000000"/>
          <w:sz w:val="32"/>
          <w:szCs w:val="32"/>
          <w:lang w:val="en-US" w:eastAsia="zh-CN"/>
        </w:rPr>
        <w:t>3</w:t>
      </w:r>
      <w:r>
        <w:rPr>
          <w:rFonts w:hint="eastAsia" w:ascii="方正楷体简体" w:hAnsi="方正楷体简体" w:eastAsia="方正楷体简体" w:cs="方正楷体简体"/>
          <w:b w:val="0"/>
          <w:bCs w:val="0"/>
          <w:color w:val="000000"/>
          <w:sz w:val="32"/>
          <w:szCs w:val="32"/>
        </w:rPr>
        <w:t>）</w:t>
      </w:r>
      <w:r>
        <w:rPr>
          <w:rFonts w:hint="eastAsia" w:ascii="方正楷体简体" w:hAnsi="方正楷体简体" w:eastAsia="方正楷体简体" w:cs="方正楷体简体"/>
          <w:b w:val="0"/>
          <w:bCs w:val="0"/>
          <w:color w:val="000000"/>
          <w:sz w:val="32"/>
          <w:szCs w:val="32"/>
          <w:lang w:eastAsia="zh-CN"/>
        </w:rPr>
        <w:t>稳步</w:t>
      </w:r>
      <w:r>
        <w:rPr>
          <w:rFonts w:hint="eastAsia" w:ascii="方正楷体简体" w:hAnsi="方正楷体简体" w:eastAsia="方正楷体简体" w:cs="方正楷体简体"/>
          <w:b w:val="0"/>
          <w:bCs w:val="0"/>
          <w:color w:val="000000"/>
          <w:sz w:val="32"/>
          <w:szCs w:val="32"/>
        </w:rPr>
        <w:t>推进景区提升</w:t>
      </w:r>
      <w:r>
        <w:rPr>
          <w:rFonts w:hint="eastAsia" w:ascii="方正楷体简体" w:hAnsi="方正楷体简体" w:eastAsia="方正楷体简体" w:cs="方正楷体简体"/>
          <w:b w:val="0"/>
          <w:bCs w:val="0"/>
          <w:color w:val="000000"/>
          <w:sz w:val="32"/>
          <w:szCs w:val="32"/>
          <w:lang w:eastAsia="zh-CN"/>
        </w:rPr>
        <w:t>建设</w:t>
      </w:r>
    </w:p>
    <w:p>
      <w:pPr>
        <w:keepNext w:val="0"/>
        <w:keepLines w:val="0"/>
        <w:pageBreakBefore w:val="0"/>
        <w:widowControl w:val="0"/>
        <w:kinsoku/>
        <w:wordWrap/>
        <w:overflowPunct w:val="0"/>
        <w:topLinePunct w:val="0"/>
        <w:autoSpaceDE/>
        <w:autoSpaceDN/>
        <w:bidi w:val="0"/>
        <w:adjustRightInd/>
        <w:spacing w:line="576" w:lineRule="exact"/>
        <w:ind w:firstLine="642" w:firstLineChars="200"/>
        <w:textAlignment w:val="auto"/>
        <w:rPr>
          <w:rFonts w:hint="eastAsia" w:ascii="方正仿宋简体" w:eastAsia="方正仿宋简体"/>
          <w:color w:val="000000"/>
          <w:sz w:val="32"/>
          <w:szCs w:val="32"/>
        </w:rPr>
      </w:pPr>
      <w:r>
        <w:rPr>
          <w:rFonts w:hint="eastAsia" w:ascii="方正仿宋简体" w:eastAsia="方正仿宋简体"/>
          <w:b/>
          <w:bCs/>
          <w:color w:val="000000"/>
          <w:sz w:val="32"/>
          <w:szCs w:val="32"/>
          <w:lang w:val="en-US" w:eastAsia="zh-CN"/>
        </w:rPr>
        <w:t>一是</w:t>
      </w:r>
      <w:r>
        <w:rPr>
          <w:rFonts w:hint="eastAsia" w:ascii="方正仿宋简体" w:eastAsia="方正仿宋简体"/>
          <w:color w:val="000000"/>
          <w:sz w:val="32"/>
          <w:szCs w:val="32"/>
        </w:rPr>
        <w:t>完成天曌山国家森林公园保护利用设施项目1、2标段工程</w:t>
      </w:r>
      <w:r>
        <w:rPr>
          <w:rFonts w:hint="eastAsia" w:ascii="方正仿宋简体" w:eastAsia="方正仿宋简体"/>
          <w:color w:val="000000"/>
          <w:sz w:val="32"/>
          <w:szCs w:val="32"/>
          <w:lang w:eastAsia="zh-CN"/>
        </w:rPr>
        <w:t>建设，</w:t>
      </w:r>
      <w:r>
        <w:rPr>
          <w:rFonts w:hint="eastAsia" w:ascii="方正仿宋简体" w:eastAsia="方正仿宋简体"/>
          <w:color w:val="000000"/>
          <w:sz w:val="32"/>
          <w:szCs w:val="32"/>
        </w:rPr>
        <w:t>并</w:t>
      </w:r>
      <w:r>
        <w:rPr>
          <w:rFonts w:hint="eastAsia" w:ascii="方正仿宋简体" w:eastAsia="方正仿宋简体"/>
          <w:color w:val="000000"/>
          <w:sz w:val="32"/>
          <w:szCs w:val="32"/>
          <w:lang w:eastAsia="zh-CN"/>
        </w:rPr>
        <w:t>通过</w:t>
      </w:r>
      <w:r>
        <w:rPr>
          <w:rFonts w:hint="eastAsia" w:ascii="方正仿宋简体" w:eastAsia="方正仿宋简体"/>
          <w:color w:val="000000"/>
          <w:sz w:val="32"/>
          <w:szCs w:val="32"/>
        </w:rPr>
        <w:t>竣工验收。</w:t>
      </w:r>
      <w:r>
        <w:rPr>
          <w:rFonts w:hint="eastAsia" w:ascii="方正仿宋简体" w:eastAsia="方正仿宋简体"/>
          <w:b/>
          <w:bCs/>
          <w:color w:val="000000"/>
          <w:sz w:val="32"/>
          <w:szCs w:val="32"/>
          <w:lang w:eastAsia="zh-CN"/>
        </w:rPr>
        <w:t>二是</w:t>
      </w:r>
      <w:r>
        <w:rPr>
          <w:rFonts w:hint="eastAsia" w:ascii="方正仿宋简体" w:eastAsia="方正仿宋简体"/>
          <w:color w:val="000000"/>
          <w:sz w:val="32"/>
          <w:szCs w:val="32"/>
        </w:rPr>
        <w:t>完成2017年、2018年国家重点生态功能区转移支付禁止开发区补助资金项目</w:t>
      </w:r>
      <w:r>
        <w:rPr>
          <w:rFonts w:hint="eastAsia" w:ascii="方正仿宋简体" w:eastAsia="方正仿宋简体"/>
          <w:color w:val="000000"/>
          <w:sz w:val="32"/>
          <w:szCs w:val="32"/>
          <w:lang w:eastAsia="zh-CN"/>
        </w:rPr>
        <w:t>，</w:t>
      </w:r>
      <w:r>
        <w:rPr>
          <w:rFonts w:hint="eastAsia" w:ascii="方正仿宋简体" w:eastAsia="方正仿宋简体"/>
          <w:color w:val="000000"/>
          <w:sz w:val="32"/>
          <w:szCs w:val="32"/>
        </w:rPr>
        <w:t>2019年国家重点生态功能区转移支付禁止开发区补助资金项目</w:t>
      </w:r>
      <w:r>
        <w:rPr>
          <w:rFonts w:hint="eastAsia" w:ascii="方正仿宋简体" w:eastAsia="方正仿宋简体"/>
          <w:color w:val="000000"/>
          <w:sz w:val="32"/>
          <w:szCs w:val="32"/>
          <w:lang w:eastAsia="zh-CN"/>
        </w:rPr>
        <w:t>开工建设</w:t>
      </w:r>
      <w:r>
        <w:rPr>
          <w:rFonts w:hint="eastAsia" w:ascii="方正仿宋简体" w:eastAsia="方正仿宋简体"/>
          <w:color w:val="000000"/>
          <w:sz w:val="32"/>
          <w:szCs w:val="32"/>
        </w:rPr>
        <w:t>。</w:t>
      </w:r>
      <w:r>
        <w:rPr>
          <w:rFonts w:hint="eastAsia" w:ascii="方正仿宋简体" w:eastAsia="方正仿宋简体"/>
          <w:b/>
          <w:bCs/>
          <w:color w:val="000000"/>
          <w:sz w:val="32"/>
          <w:szCs w:val="32"/>
          <w:lang w:eastAsia="zh-CN"/>
        </w:rPr>
        <w:t>三是</w:t>
      </w:r>
      <w:r>
        <w:rPr>
          <w:rFonts w:hint="eastAsia" w:ascii="方正仿宋简体" w:eastAsia="方正仿宋简体"/>
          <w:color w:val="000000"/>
          <w:sz w:val="32"/>
          <w:szCs w:val="32"/>
        </w:rPr>
        <w:t>完成天曌山林场通林下经济节点公路建设工程招投标工作。</w:t>
      </w:r>
      <w:r>
        <w:rPr>
          <w:rFonts w:hint="eastAsia" w:ascii="方正仿宋简体" w:eastAsia="方正仿宋简体"/>
          <w:b/>
          <w:bCs/>
          <w:color w:val="000000"/>
          <w:sz w:val="32"/>
          <w:szCs w:val="32"/>
          <w:lang w:eastAsia="zh-CN"/>
        </w:rPr>
        <w:t>四是</w:t>
      </w:r>
      <w:r>
        <w:rPr>
          <w:rFonts w:hint="eastAsia" w:ascii="方正仿宋简体" w:eastAsia="方正仿宋简体"/>
          <w:color w:val="000000"/>
          <w:sz w:val="32"/>
          <w:szCs w:val="32"/>
        </w:rPr>
        <w:t>完成2019年国有贫困林场扶贫资金项目。</w:t>
      </w:r>
    </w:p>
    <w:p>
      <w:pPr>
        <w:keepNext w:val="0"/>
        <w:keepLines w:val="0"/>
        <w:pageBreakBefore w:val="0"/>
        <w:widowControl w:val="0"/>
        <w:kinsoku/>
        <w:wordWrap/>
        <w:overflowPunct w:val="0"/>
        <w:topLinePunct w:val="0"/>
        <w:autoSpaceDE/>
        <w:autoSpaceDN/>
        <w:bidi w:val="0"/>
        <w:adjustRightInd/>
        <w:spacing w:line="576" w:lineRule="exact"/>
        <w:ind w:firstLine="640"/>
        <w:textAlignment w:val="auto"/>
        <w:rPr>
          <w:rFonts w:hint="eastAsia" w:ascii="方正楷体简体" w:hAnsi="方正楷体简体" w:eastAsia="方正楷体简体" w:cs="方正楷体简体"/>
          <w:b w:val="0"/>
          <w:bCs w:val="0"/>
          <w:color w:val="000000"/>
          <w:sz w:val="32"/>
          <w:szCs w:val="32"/>
        </w:rPr>
      </w:pPr>
      <w:r>
        <w:rPr>
          <w:rFonts w:hint="eastAsia" w:ascii="方正楷体简体" w:hAnsi="方正楷体简体" w:eastAsia="方正楷体简体" w:cs="方正楷体简体"/>
          <w:b w:val="0"/>
          <w:bCs w:val="0"/>
          <w:color w:val="000000"/>
          <w:sz w:val="32"/>
          <w:szCs w:val="32"/>
        </w:rPr>
        <w:t>（</w:t>
      </w:r>
      <w:r>
        <w:rPr>
          <w:rFonts w:hint="eastAsia" w:ascii="方正楷体简体" w:hAnsi="方正楷体简体" w:eastAsia="方正楷体简体" w:cs="方正楷体简体"/>
          <w:b w:val="0"/>
          <w:bCs w:val="0"/>
          <w:color w:val="000000"/>
          <w:sz w:val="32"/>
          <w:szCs w:val="32"/>
          <w:lang w:val="en-US" w:eastAsia="zh-CN"/>
        </w:rPr>
        <w:t>4</w:t>
      </w:r>
      <w:r>
        <w:rPr>
          <w:rFonts w:hint="eastAsia" w:ascii="方正楷体简体" w:hAnsi="方正楷体简体" w:eastAsia="方正楷体简体" w:cs="方正楷体简体"/>
          <w:b w:val="0"/>
          <w:bCs w:val="0"/>
          <w:color w:val="000000"/>
          <w:sz w:val="32"/>
          <w:szCs w:val="32"/>
        </w:rPr>
        <w:t>）</w:t>
      </w:r>
      <w:r>
        <w:rPr>
          <w:rFonts w:hint="eastAsia" w:ascii="方正楷体简体" w:hAnsi="方正楷体简体" w:eastAsia="方正楷体简体" w:cs="方正楷体简体"/>
          <w:b w:val="0"/>
          <w:bCs w:val="0"/>
          <w:color w:val="000000"/>
          <w:sz w:val="32"/>
          <w:szCs w:val="32"/>
          <w:lang w:eastAsia="zh-CN"/>
        </w:rPr>
        <w:t>有效开展景区</w:t>
      </w:r>
      <w:r>
        <w:rPr>
          <w:rFonts w:hint="eastAsia" w:ascii="方正楷体简体" w:hAnsi="方正楷体简体" w:eastAsia="方正楷体简体" w:cs="方正楷体简体"/>
          <w:b w:val="0"/>
          <w:bCs w:val="0"/>
          <w:color w:val="000000"/>
          <w:sz w:val="32"/>
          <w:szCs w:val="32"/>
        </w:rPr>
        <w:t>创建工作</w:t>
      </w:r>
    </w:p>
    <w:p>
      <w:pPr>
        <w:keepNext w:val="0"/>
        <w:keepLines w:val="0"/>
        <w:pageBreakBefore w:val="0"/>
        <w:widowControl w:val="0"/>
        <w:kinsoku/>
        <w:wordWrap/>
        <w:topLinePunct w:val="0"/>
        <w:autoSpaceDE/>
        <w:autoSpaceDN/>
        <w:bidi w:val="0"/>
        <w:adjustRightInd/>
        <w:spacing w:line="576" w:lineRule="exact"/>
        <w:ind w:firstLine="481" w:firstLineChars="150"/>
        <w:textAlignment w:val="auto"/>
        <w:rPr>
          <w:rFonts w:hint="eastAsia" w:ascii="方正仿宋简体" w:hAnsi="方正仿宋简体" w:eastAsia="方正仿宋简体" w:cs="方正仿宋简体"/>
          <w:color w:val="000000"/>
          <w:sz w:val="32"/>
          <w:szCs w:val="32"/>
        </w:rPr>
      </w:pPr>
      <w:r>
        <w:rPr>
          <w:rFonts w:hint="eastAsia" w:ascii="方正仿宋简体" w:eastAsia="方正仿宋简体"/>
          <w:b/>
          <w:bCs/>
          <w:color w:val="000000"/>
          <w:sz w:val="32"/>
          <w:szCs w:val="32"/>
          <w:lang w:eastAsia="zh-CN"/>
        </w:rPr>
        <w:t>一是</w:t>
      </w:r>
      <w:r>
        <w:rPr>
          <w:rFonts w:hint="eastAsia" w:ascii="方正仿宋简体" w:eastAsia="方正仿宋简体"/>
          <w:color w:val="000000"/>
          <w:sz w:val="32"/>
          <w:szCs w:val="32"/>
          <w:lang w:val="en-US" w:eastAsia="zh-CN"/>
        </w:rPr>
        <w:t>2019年</w:t>
      </w:r>
      <w:r>
        <w:rPr>
          <w:rFonts w:hint="eastAsia" w:ascii="方正仿宋简体" w:eastAsia="方正仿宋简体"/>
          <w:color w:val="000000"/>
          <w:sz w:val="32"/>
          <w:szCs w:val="32"/>
        </w:rPr>
        <w:t>3月，四川天曌山国家森林公园</w:t>
      </w:r>
      <w:r>
        <w:rPr>
          <w:rFonts w:hint="eastAsia" w:ascii="方正仿宋简体" w:eastAsia="方正仿宋简体"/>
          <w:color w:val="000000"/>
          <w:sz w:val="32"/>
          <w:szCs w:val="32"/>
          <w:lang w:eastAsia="zh-CN"/>
        </w:rPr>
        <w:t>被</w:t>
      </w:r>
      <w:r>
        <w:rPr>
          <w:rFonts w:hint="eastAsia" w:ascii="方正仿宋简体" w:eastAsia="方正仿宋简体"/>
          <w:color w:val="000000"/>
          <w:sz w:val="32"/>
          <w:szCs w:val="32"/>
        </w:rPr>
        <w:t>中国林业产业联合会森林休闲体验分会</w:t>
      </w:r>
      <w:r>
        <w:rPr>
          <w:rFonts w:hint="eastAsia" w:ascii="方正仿宋简体" w:eastAsia="方正仿宋简体"/>
          <w:color w:val="000000"/>
          <w:sz w:val="32"/>
          <w:szCs w:val="32"/>
          <w:lang w:eastAsia="zh-CN"/>
        </w:rPr>
        <w:t>授予</w:t>
      </w:r>
      <w:r>
        <w:rPr>
          <w:rFonts w:hint="eastAsia" w:ascii="方正仿宋简体" w:eastAsia="方正仿宋简体"/>
          <w:color w:val="000000"/>
          <w:sz w:val="32"/>
          <w:szCs w:val="32"/>
        </w:rPr>
        <w:t>“中国森林养生基地”称号。</w:t>
      </w:r>
      <w:r>
        <w:rPr>
          <w:rFonts w:hint="eastAsia" w:ascii="方正仿宋简体" w:eastAsia="方正仿宋简体"/>
          <w:b/>
          <w:bCs/>
          <w:color w:val="000000"/>
          <w:sz w:val="32"/>
          <w:szCs w:val="32"/>
          <w:lang w:eastAsia="zh-CN"/>
        </w:rPr>
        <w:t>二是</w:t>
      </w:r>
      <w:r>
        <w:rPr>
          <w:rFonts w:hint="eastAsia" w:ascii="方正仿宋简体" w:eastAsia="方正仿宋简体"/>
          <w:color w:val="000000"/>
          <w:sz w:val="32"/>
          <w:szCs w:val="32"/>
          <w:lang w:val="en-US" w:eastAsia="zh-CN"/>
        </w:rPr>
        <w:t>2019年</w:t>
      </w:r>
      <w:r>
        <w:rPr>
          <w:rFonts w:hint="eastAsia" w:ascii="方正仿宋简体" w:eastAsia="方正仿宋简体"/>
          <w:color w:val="000000"/>
          <w:sz w:val="32"/>
          <w:szCs w:val="32"/>
        </w:rPr>
        <w:t xml:space="preserve"> 10月，天曌山国有林场</w:t>
      </w:r>
      <w:r>
        <w:rPr>
          <w:rFonts w:hint="eastAsia" w:ascii="方正仿宋简体" w:eastAsia="方正仿宋简体"/>
          <w:color w:val="000000"/>
          <w:sz w:val="32"/>
          <w:szCs w:val="32"/>
          <w:lang w:eastAsia="zh-CN"/>
        </w:rPr>
        <w:t>被</w:t>
      </w:r>
      <w:r>
        <w:rPr>
          <w:rFonts w:hint="eastAsia" w:ascii="方正仿宋简体" w:eastAsia="方正仿宋简体"/>
          <w:color w:val="000000"/>
          <w:sz w:val="32"/>
          <w:szCs w:val="32"/>
        </w:rPr>
        <w:t>中国林场协会</w:t>
      </w:r>
      <w:r>
        <w:rPr>
          <w:rFonts w:hint="eastAsia" w:ascii="方正仿宋简体" w:eastAsia="方正仿宋简体"/>
          <w:color w:val="000000"/>
          <w:sz w:val="32"/>
          <w:szCs w:val="32"/>
          <w:lang w:eastAsia="zh-CN"/>
        </w:rPr>
        <w:t>授予</w:t>
      </w:r>
      <w:r>
        <w:rPr>
          <w:rFonts w:hint="eastAsia" w:ascii="方正仿宋简体" w:eastAsia="方正仿宋简体"/>
          <w:color w:val="000000"/>
          <w:sz w:val="32"/>
          <w:szCs w:val="32"/>
        </w:rPr>
        <w:t>“中国森林康养林场”称号。</w:t>
      </w:r>
      <w:r>
        <w:rPr>
          <w:rFonts w:hint="eastAsia" w:ascii="方正仿宋简体" w:eastAsia="方正仿宋简体"/>
          <w:b/>
          <w:bCs/>
          <w:color w:val="000000"/>
          <w:sz w:val="32"/>
          <w:szCs w:val="32"/>
          <w:lang w:eastAsia="zh-CN"/>
        </w:rPr>
        <w:t>三是</w:t>
      </w:r>
      <w:r>
        <w:rPr>
          <w:rFonts w:hint="eastAsia" w:ascii="方正仿宋简体" w:eastAsia="方正仿宋简体"/>
          <w:color w:val="000000"/>
          <w:sz w:val="32"/>
          <w:szCs w:val="32"/>
          <w:lang w:val="en-US" w:eastAsia="zh-CN"/>
        </w:rPr>
        <w:t>2019年</w:t>
      </w:r>
      <w:r>
        <w:rPr>
          <w:rFonts w:hint="eastAsia" w:ascii="方正仿宋简体" w:eastAsia="方正仿宋简体"/>
          <w:color w:val="000000"/>
          <w:sz w:val="32"/>
          <w:szCs w:val="32"/>
        </w:rPr>
        <w:t>10月，天曌山国有林场</w:t>
      </w:r>
      <w:r>
        <w:rPr>
          <w:rFonts w:hint="eastAsia" w:ascii="方正仿宋简体" w:eastAsia="方正仿宋简体"/>
          <w:color w:val="000000"/>
          <w:sz w:val="32"/>
          <w:szCs w:val="32"/>
          <w:lang w:eastAsia="zh-CN"/>
        </w:rPr>
        <w:t>被</w:t>
      </w:r>
      <w:r>
        <w:rPr>
          <w:rFonts w:hint="eastAsia" w:ascii="方正仿宋简体" w:eastAsia="方正仿宋简体"/>
          <w:color w:val="000000"/>
          <w:sz w:val="32"/>
          <w:szCs w:val="32"/>
        </w:rPr>
        <w:t>四川省林业和草原局</w:t>
      </w:r>
      <w:r>
        <w:rPr>
          <w:rFonts w:hint="eastAsia" w:ascii="方正仿宋简体" w:eastAsia="方正仿宋简体"/>
          <w:color w:val="000000"/>
          <w:sz w:val="32"/>
          <w:szCs w:val="32"/>
          <w:lang w:eastAsia="zh-CN"/>
        </w:rPr>
        <w:t>授予</w:t>
      </w:r>
      <w:r>
        <w:rPr>
          <w:rFonts w:hint="eastAsia" w:ascii="方正仿宋简体" w:eastAsia="方正仿宋简体"/>
          <w:color w:val="000000"/>
          <w:sz w:val="32"/>
          <w:szCs w:val="32"/>
        </w:rPr>
        <w:t>“四川省自然教育基地”称号。</w:t>
      </w:r>
      <w:r>
        <w:rPr>
          <w:rFonts w:hint="eastAsia" w:ascii="方正仿宋简体" w:eastAsia="方正仿宋简体"/>
          <w:b/>
          <w:bCs/>
          <w:color w:val="000000"/>
          <w:sz w:val="32"/>
          <w:szCs w:val="32"/>
          <w:lang w:eastAsia="zh-CN"/>
        </w:rPr>
        <w:t>四是</w:t>
      </w:r>
      <w:r>
        <w:rPr>
          <w:rFonts w:hint="eastAsia" w:ascii="方正仿宋简体" w:eastAsia="方正仿宋简体"/>
          <w:color w:val="000000"/>
          <w:sz w:val="32"/>
          <w:szCs w:val="32"/>
        </w:rPr>
        <w:t>2019</w:t>
      </w:r>
      <w:r>
        <w:rPr>
          <w:rFonts w:hint="eastAsia" w:ascii="方正仿宋简体" w:eastAsia="方正仿宋简体"/>
          <w:color w:val="000000"/>
          <w:sz w:val="32"/>
          <w:szCs w:val="32"/>
          <w:lang w:eastAsia="zh-CN"/>
        </w:rPr>
        <w:t>年</w:t>
      </w:r>
      <w:r>
        <w:rPr>
          <w:rFonts w:hint="eastAsia" w:ascii="方正仿宋简体" w:eastAsia="方正仿宋简体"/>
          <w:color w:val="000000"/>
          <w:sz w:val="32"/>
          <w:szCs w:val="32"/>
        </w:rPr>
        <w:t>10月，四川天曌山国家森林公园</w:t>
      </w:r>
      <w:r>
        <w:rPr>
          <w:rFonts w:hint="eastAsia" w:ascii="方正仿宋简体" w:eastAsia="方正仿宋简体"/>
          <w:color w:val="000000"/>
          <w:sz w:val="32"/>
          <w:szCs w:val="32"/>
          <w:lang w:eastAsia="zh-CN"/>
        </w:rPr>
        <w:t>被</w:t>
      </w:r>
      <w:r>
        <w:rPr>
          <w:rFonts w:hint="eastAsia" w:ascii="方正仿宋简体" w:eastAsia="方正仿宋简体"/>
          <w:color w:val="000000"/>
          <w:sz w:val="32"/>
          <w:szCs w:val="32"/>
        </w:rPr>
        <w:t>《森林与人类》编辑部</w:t>
      </w:r>
      <w:r>
        <w:rPr>
          <w:rFonts w:hint="eastAsia" w:ascii="方正仿宋简体" w:eastAsia="方正仿宋简体"/>
          <w:color w:val="000000"/>
          <w:sz w:val="32"/>
          <w:szCs w:val="32"/>
          <w:lang w:eastAsia="zh-CN"/>
        </w:rPr>
        <w:t>授予</w:t>
      </w:r>
      <w:r>
        <w:rPr>
          <w:rFonts w:hint="eastAsia" w:ascii="方正仿宋简体" w:eastAsia="方正仿宋简体"/>
          <w:color w:val="000000"/>
          <w:sz w:val="32"/>
          <w:szCs w:val="32"/>
        </w:rPr>
        <w:t>“中国森林氧吧”称号。</w:t>
      </w:r>
    </w:p>
    <w:p>
      <w:pPr>
        <w:keepNext w:val="0"/>
        <w:keepLines w:val="0"/>
        <w:pageBreakBefore w:val="0"/>
        <w:widowControl w:val="0"/>
        <w:tabs>
          <w:tab w:val="left" w:pos="595"/>
        </w:tabs>
        <w:kinsoku/>
        <w:wordWrap/>
        <w:overflowPunct w:val="0"/>
        <w:topLinePunct w:val="0"/>
        <w:autoSpaceDE/>
        <w:autoSpaceDN/>
        <w:bidi w:val="0"/>
        <w:adjustRightInd/>
        <w:spacing w:line="576" w:lineRule="exact"/>
        <w:ind w:firstLine="640"/>
        <w:textAlignment w:val="auto"/>
        <w:rPr>
          <w:rFonts w:hint="eastAsia" w:ascii="方正楷体简体" w:hAnsi="方正楷体简体" w:eastAsia="方正楷体简体" w:cs="方正楷体简体"/>
          <w:b w:val="0"/>
          <w:bCs w:val="0"/>
          <w:color w:val="000000"/>
          <w:sz w:val="32"/>
          <w:szCs w:val="32"/>
        </w:rPr>
      </w:pPr>
      <w:r>
        <w:rPr>
          <w:rFonts w:hint="eastAsia" w:ascii="方正楷体简体" w:hAnsi="方正楷体简体" w:eastAsia="方正楷体简体" w:cs="方正楷体简体"/>
          <w:b w:val="0"/>
          <w:bCs w:val="0"/>
          <w:color w:val="000000"/>
          <w:sz w:val="32"/>
          <w:szCs w:val="32"/>
        </w:rPr>
        <w:t>（</w:t>
      </w:r>
      <w:r>
        <w:rPr>
          <w:rFonts w:hint="eastAsia" w:ascii="方正楷体简体" w:hAnsi="方正楷体简体" w:eastAsia="方正楷体简体" w:cs="方正楷体简体"/>
          <w:b w:val="0"/>
          <w:bCs w:val="0"/>
          <w:color w:val="000000"/>
          <w:sz w:val="32"/>
          <w:szCs w:val="32"/>
          <w:lang w:val="en-US" w:eastAsia="zh-CN"/>
        </w:rPr>
        <w:t>5</w:t>
      </w:r>
      <w:r>
        <w:rPr>
          <w:rFonts w:hint="eastAsia" w:ascii="方正楷体简体" w:hAnsi="方正楷体简体" w:eastAsia="方正楷体简体" w:cs="方正楷体简体"/>
          <w:b w:val="0"/>
          <w:bCs w:val="0"/>
          <w:color w:val="000000"/>
          <w:sz w:val="32"/>
          <w:szCs w:val="32"/>
        </w:rPr>
        <w:t>）宣传营销工作稳步推进</w:t>
      </w:r>
    </w:p>
    <w:p>
      <w:pPr>
        <w:keepNext w:val="0"/>
        <w:keepLines w:val="0"/>
        <w:pageBreakBefore w:val="0"/>
        <w:widowControl w:val="0"/>
        <w:kinsoku/>
        <w:wordWrap/>
        <w:topLinePunct w:val="0"/>
        <w:autoSpaceDE/>
        <w:autoSpaceDN/>
        <w:bidi w:val="0"/>
        <w:adjustRightInd/>
        <w:spacing w:line="576" w:lineRule="exact"/>
        <w:ind w:firstLine="642"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lang w:eastAsia="zh-CN"/>
        </w:rPr>
        <w:t>一是</w:t>
      </w:r>
      <w:r>
        <w:rPr>
          <w:rFonts w:hint="eastAsia" w:ascii="方正仿宋简体" w:hAnsi="方正仿宋简体" w:eastAsia="方正仿宋简体" w:cs="方正仿宋简体"/>
          <w:b w:val="0"/>
          <w:bCs w:val="0"/>
          <w:color w:val="000000"/>
          <w:sz w:val="32"/>
          <w:szCs w:val="32"/>
          <w:lang w:eastAsia="zh-CN"/>
        </w:rPr>
        <w:t>积极</w:t>
      </w:r>
      <w:r>
        <w:rPr>
          <w:rFonts w:hint="eastAsia" w:ascii="方正仿宋简体" w:hAnsi="方正仿宋简体" w:eastAsia="方正仿宋简体" w:cs="方正仿宋简体"/>
          <w:b w:val="0"/>
          <w:bCs w:val="0"/>
          <w:color w:val="000000"/>
          <w:sz w:val="32"/>
          <w:szCs w:val="32"/>
        </w:rPr>
        <w:t>参加</w:t>
      </w:r>
      <w:r>
        <w:rPr>
          <w:rFonts w:hint="eastAsia" w:ascii="方正仿宋简体" w:hAnsi="方正仿宋简体" w:eastAsia="方正仿宋简体" w:cs="方正仿宋简体"/>
          <w:b w:val="0"/>
          <w:bCs w:val="0"/>
          <w:color w:val="000000"/>
          <w:sz w:val="32"/>
          <w:szCs w:val="32"/>
          <w:lang w:eastAsia="zh-CN"/>
        </w:rPr>
        <w:t>各类型推介活动，不断提高景区知晓度和影响力。</w:t>
      </w:r>
      <w:r>
        <w:rPr>
          <w:rFonts w:hint="eastAsia" w:ascii="方正仿宋简体" w:eastAsia="方正仿宋简体"/>
          <w:color w:val="000000"/>
          <w:sz w:val="32"/>
          <w:szCs w:val="32"/>
          <w:lang w:val="en-US" w:eastAsia="zh-CN"/>
        </w:rPr>
        <w:t>2019年</w:t>
      </w:r>
      <w:r>
        <w:rPr>
          <w:rFonts w:hint="eastAsia" w:ascii="方正仿宋简体" w:eastAsia="方正仿宋简体"/>
          <w:color w:val="000000"/>
          <w:sz w:val="32"/>
          <w:szCs w:val="32"/>
        </w:rPr>
        <w:t>6月，参加第三届重庆避暑旅游文化节</w:t>
      </w:r>
      <w:r>
        <w:rPr>
          <w:rFonts w:hint="eastAsia" w:ascii="方正仿宋简体" w:eastAsia="方正仿宋简体"/>
          <w:color w:val="000000"/>
          <w:sz w:val="32"/>
          <w:szCs w:val="32"/>
          <w:lang w:eastAsia="zh-CN"/>
        </w:rPr>
        <w:t>；</w:t>
      </w:r>
      <w:r>
        <w:rPr>
          <w:rFonts w:hint="eastAsia" w:ascii="方正仿宋简体" w:eastAsia="方正仿宋简体"/>
          <w:color w:val="000000"/>
          <w:sz w:val="32"/>
          <w:szCs w:val="32"/>
          <w:lang w:val="en-US" w:eastAsia="zh-CN"/>
        </w:rPr>
        <w:t>2019年</w:t>
      </w:r>
      <w:r>
        <w:rPr>
          <w:rFonts w:hint="eastAsia" w:ascii="方正仿宋简体" w:eastAsia="方正仿宋简体"/>
          <w:color w:val="000000"/>
          <w:sz w:val="32"/>
          <w:szCs w:val="32"/>
        </w:rPr>
        <w:t>7，参加由宝鸡市在广元举办的“游宝鸡 赏山水 知古今 品美食”2019宝鸡文化旅游（广元）推荐会</w:t>
      </w:r>
      <w:r>
        <w:rPr>
          <w:rFonts w:hint="eastAsia" w:ascii="方正仿宋简体" w:eastAsia="方正仿宋简体"/>
          <w:color w:val="000000"/>
          <w:sz w:val="32"/>
          <w:szCs w:val="32"/>
          <w:lang w:eastAsia="zh-CN"/>
        </w:rPr>
        <w:t>；</w:t>
      </w:r>
      <w:r>
        <w:rPr>
          <w:rFonts w:hint="eastAsia" w:ascii="方正仿宋简体" w:eastAsia="方正仿宋简体"/>
          <w:color w:val="000000"/>
          <w:sz w:val="32"/>
          <w:szCs w:val="32"/>
          <w:lang w:val="en-US" w:eastAsia="zh-CN"/>
        </w:rPr>
        <w:t>2019年</w:t>
      </w:r>
      <w:r>
        <w:rPr>
          <w:rFonts w:hint="eastAsia" w:ascii="方正仿宋简体" w:eastAsia="方正仿宋简体"/>
          <w:color w:val="000000"/>
          <w:sz w:val="32"/>
          <w:szCs w:val="32"/>
        </w:rPr>
        <w:t>9月，</w:t>
      </w:r>
      <w:r>
        <w:rPr>
          <w:rFonts w:hint="eastAsia" w:ascii="方正仿宋简体" w:eastAsia="方正仿宋简体"/>
          <w:color w:val="000000"/>
          <w:sz w:val="32"/>
          <w:szCs w:val="32"/>
          <w:lang w:eastAsia="zh-CN"/>
        </w:rPr>
        <w:t>组织</w:t>
      </w:r>
      <w:r>
        <w:rPr>
          <w:rFonts w:hint="eastAsia" w:ascii="方正仿宋简体" w:eastAsia="方正仿宋简体"/>
          <w:color w:val="000000"/>
          <w:sz w:val="32"/>
          <w:szCs w:val="32"/>
        </w:rPr>
        <w:t>联合国人居署驻华国家官员应盛一行来天曌山景区参观考察</w:t>
      </w:r>
      <w:r>
        <w:rPr>
          <w:rFonts w:hint="eastAsia" w:ascii="方正仿宋简体" w:eastAsia="方正仿宋简体"/>
          <w:color w:val="000000"/>
          <w:sz w:val="32"/>
          <w:szCs w:val="32"/>
          <w:lang w:eastAsia="zh-CN"/>
        </w:rPr>
        <w:t>；</w:t>
      </w:r>
      <w:r>
        <w:rPr>
          <w:rFonts w:hint="eastAsia" w:ascii="方正仿宋简体" w:eastAsia="方正仿宋简体"/>
          <w:color w:val="000000"/>
          <w:sz w:val="32"/>
          <w:szCs w:val="32"/>
          <w:lang w:val="en-US" w:eastAsia="zh-CN"/>
        </w:rPr>
        <w:t>2019年9月，参加</w:t>
      </w:r>
      <w:r>
        <w:rPr>
          <w:rFonts w:hint="eastAsia" w:ascii="方正仿宋简体" w:eastAsia="方正仿宋简体"/>
          <w:color w:val="000000"/>
          <w:sz w:val="32"/>
          <w:szCs w:val="32"/>
        </w:rPr>
        <w:t>浙江丽水主办的“秀山丽水 文旅走亲”2019浙江·丽水（广元）文旅宣传推广交流座谈会。</w:t>
      </w:r>
      <w:r>
        <w:rPr>
          <w:rFonts w:hint="eastAsia" w:ascii="方正仿宋简体" w:hAnsi="方正仿宋简体" w:eastAsia="方正仿宋简体" w:cs="方正仿宋简体"/>
          <w:b/>
          <w:bCs/>
          <w:color w:val="000000"/>
          <w:sz w:val="32"/>
          <w:szCs w:val="32"/>
          <w:lang w:eastAsia="zh-CN"/>
        </w:rPr>
        <w:t>二是</w:t>
      </w:r>
      <w:r>
        <w:rPr>
          <w:rFonts w:hint="eastAsia" w:ascii="方正仿宋简体" w:hAnsi="方正仿宋简体" w:eastAsia="方正仿宋简体" w:cs="方正仿宋简体"/>
          <w:b w:val="0"/>
          <w:bCs w:val="0"/>
          <w:color w:val="000000"/>
          <w:sz w:val="32"/>
          <w:szCs w:val="32"/>
          <w:lang w:eastAsia="zh-CN"/>
        </w:rPr>
        <w:t>增强</w:t>
      </w:r>
      <w:r>
        <w:rPr>
          <w:rFonts w:hint="eastAsia" w:ascii="方正仿宋简体" w:hAnsi="方正仿宋简体" w:eastAsia="方正仿宋简体" w:cs="方正仿宋简体"/>
          <w:color w:val="000000"/>
          <w:sz w:val="32"/>
          <w:szCs w:val="32"/>
          <w:lang w:eastAsia="zh-CN"/>
        </w:rPr>
        <w:t>网络媒体宣传力度。</w:t>
      </w:r>
      <w:r>
        <w:rPr>
          <w:rFonts w:hint="eastAsia" w:ascii="方正仿宋简体" w:hAnsi="方正仿宋简体" w:eastAsia="方正仿宋简体" w:cs="方正仿宋简体"/>
          <w:color w:val="000000"/>
          <w:sz w:val="32"/>
          <w:szCs w:val="32"/>
          <w:shd w:val="clear" w:color="auto" w:fill="FFFFFF"/>
          <w:lang w:val="en-US" w:eastAsia="zh-CN"/>
        </w:rPr>
        <w:t>2019年</w:t>
      </w:r>
      <w:r>
        <w:rPr>
          <w:rFonts w:hint="eastAsia" w:ascii="方正仿宋简体" w:eastAsia="方正仿宋简体"/>
          <w:color w:val="000000"/>
          <w:sz w:val="32"/>
          <w:szCs w:val="32"/>
        </w:rPr>
        <w:t>5月</w:t>
      </w:r>
      <w:r>
        <w:rPr>
          <w:rFonts w:hint="eastAsia" w:ascii="方正仿宋简体" w:eastAsia="方正仿宋简体"/>
          <w:color w:val="000000"/>
          <w:sz w:val="32"/>
          <w:szCs w:val="32"/>
          <w:lang w:eastAsia="zh-CN"/>
        </w:rPr>
        <w:t>，成功接待</w:t>
      </w:r>
      <w:r>
        <w:rPr>
          <w:rFonts w:hint="eastAsia" w:ascii="方正仿宋简体" w:eastAsia="方正仿宋简体"/>
          <w:color w:val="000000"/>
          <w:sz w:val="32"/>
          <w:szCs w:val="32"/>
        </w:rPr>
        <w:t>“行走天险蜀道</w:t>
      </w:r>
      <w:r>
        <w:rPr>
          <w:rFonts w:hint="eastAsia" w:ascii="方正仿宋简体" w:hAnsi="方正仿宋简体"/>
          <w:color w:val="000000"/>
          <w:sz w:val="32"/>
          <w:szCs w:val="32"/>
        </w:rPr>
        <w:t>﹒</w:t>
      </w:r>
      <w:r>
        <w:rPr>
          <w:rFonts w:hint="eastAsia" w:ascii="方正仿宋简体" w:eastAsia="方正仿宋简体"/>
          <w:color w:val="000000"/>
          <w:sz w:val="32"/>
          <w:szCs w:val="32"/>
        </w:rPr>
        <w:t>共话雄关剑门”俄罗斯媒体四川广元行</w:t>
      </w:r>
      <w:r>
        <w:rPr>
          <w:rFonts w:hint="eastAsia" w:ascii="方正仿宋简体" w:eastAsia="方正仿宋简体"/>
          <w:color w:val="000000"/>
          <w:sz w:val="32"/>
          <w:szCs w:val="32"/>
          <w:lang w:eastAsia="zh-CN"/>
        </w:rPr>
        <w:t>在</w:t>
      </w:r>
      <w:r>
        <w:rPr>
          <w:rFonts w:hint="eastAsia" w:ascii="方正仿宋简体" w:eastAsia="方正仿宋简体"/>
          <w:color w:val="000000"/>
          <w:sz w:val="32"/>
          <w:szCs w:val="32"/>
        </w:rPr>
        <w:t>天</w:t>
      </w:r>
      <w:r>
        <w:rPr>
          <w:rFonts w:hint="eastAsia" w:ascii="方正仿宋简体" w:hAnsi="方正仿宋简体"/>
          <w:color w:val="000000"/>
          <w:sz w:val="32"/>
          <w:szCs w:val="32"/>
        </w:rPr>
        <w:t>曌</w:t>
      </w:r>
      <w:r>
        <w:rPr>
          <w:rFonts w:hint="eastAsia" w:ascii="方正仿宋简体" w:eastAsia="方正仿宋简体"/>
          <w:color w:val="000000"/>
          <w:sz w:val="32"/>
          <w:szCs w:val="32"/>
        </w:rPr>
        <w:t>山景区</w:t>
      </w:r>
      <w:r>
        <w:rPr>
          <w:rFonts w:hint="eastAsia" w:ascii="方正仿宋简体" w:eastAsia="方正仿宋简体"/>
          <w:color w:val="000000"/>
          <w:sz w:val="32"/>
          <w:szCs w:val="32"/>
          <w:lang w:eastAsia="zh-CN"/>
        </w:rPr>
        <w:t>的采风；</w:t>
      </w:r>
      <w:r>
        <w:rPr>
          <w:rFonts w:hint="eastAsia" w:ascii="方正仿宋简体" w:hAnsi="方正仿宋简体" w:eastAsia="方正仿宋简体" w:cs="方正仿宋简体"/>
          <w:color w:val="000000"/>
          <w:sz w:val="32"/>
          <w:szCs w:val="32"/>
        </w:rPr>
        <w:t>多次邀请新华网、中国网、四川电视台、广元电视台等多家媒体对天曌山景区进行了专题宣传报道。</w:t>
      </w:r>
    </w:p>
    <w:p>
      <w:pPr>
        <w:keepNext w:val="0"/>
        <w:keepLines w:val="0"/>
        <w:pageBreakBefore w:val="0"/>
        <w:widowControl w:val="0"/>
        <w:kinsoku/>
        <w:wordWrap/>
        <w:overflowPunct w:val="0"/>
        <w:topLinePunct w:val="0"/>
        <w:autoSpaceDE/>
        <w:autoSpaceDN/>
        <w:bidi w:val="0"/>
        <w:adjustRightInd/>
        <w:spacing w:line="576" w:lineRule="exact"/>
        <w:ind w:firstLine="640" w:firstLineChars="200"/>
        <w:textAlignment w:val="auto"/>
        <w:rPr>
          <w:rFonts w:hint="eastAsia" w:ascii="方正楷体简体" w:hAnsi="方正楷体简体" w:eastAsia="方正楷体简体" w:cs="方正楷体简体"/>
          <w:b w:val="0"/>
          <w:bCs w:val="0"/>
          <w:color w:val="000000"/>
          <w:sz w:val="32"/>
          <w:szCs w:val="32"/>
          <w:shd w:val="clear" w:color="auto" w:fill="FFFFFF"/>
          <w:lang w:eastAsia="zh-CN"/>
        </w:rPr>
      </w:pPr>
      <w:r>
        <w:rPr>
          <w:rFonts w:hint="eastAsia" w:ascii="方正楷体简体" w:hAnsi="方正楷体简体" w:eastAsia="方正楷体简体" w:cs="方正楷体简体"/>
          <w:b w:val="0"/>
          <w:bCs w:val="0"/>
          <w:color w:val="000000"/>
          <w:kern w:val="0"/>
          <w:sz w:val="32"/>
          <w:szCs w:val="32"/>
        </w:rPr>
        <w:t>（</w:t>
      </w:r>
      <w:r>
        <w:rPr>
          <w:rFonts w:hint="eastAsia" w:ascii="方正楷体简体" w:hAnsi="方正楷体简体" w:eastAsia="方正楷体简体" w:cs="方正楷体简体"/>
          <w:b w:val="0"/>
          <w:bCs w:val="0"/>
          <w:color w:val="000000"/>
          <w:kern w:val="0"/>
          <w:sz w:val="32"/>
          <w:szCs w:val="32"/>
          <w:lang w:val="en-US" w:eastAsia="zh-CN"/>
        </w:rPr>
        <w:t>6</w:t>
      </w:r>
      <w:r>
        <w:rPr>
          <w:rFonts w:hint="eastAsia" w:ascii="方正楷体简体" w:hAnsi="方正楷体简体" w:eastAsia="方正楷体简体" w:cs="方正楷体简体"/>
          <w:b w:val="0"/>
          <w:bCs w:val="0"/>
          <w:color w:val="000000"/>
          <w:kern w:val="0"/>
          <w:sz w:val="32"/>
          <w:szCs w:val="32"/>
        </w:rPr>
        <w:t>）</w:t>
      </w:r>
      <w:r>
        <w:rPr>
          <w:rFonts w:hint="eastAsia" w:ascii="方正楷体简体" w:hAnsi="方正楷体简体" w:eastAsia="方正楷体简体" w:cs="方正楷体简体"/>
          <w:b w:val="0"/>
          <w:bCs w:val="0"/>
          <w:color w:val="000000"/>
          <w:kern w:val="0"/>
          <w:sz w:val="32"/>
          <w:szCs w:val="32"/>
          <w:lang w:eastAsia="zh-CN"/>
        </w:rPr>
        <w:t>狠抓党建工作</w:t>
      </w:r>
      <w:r>
        <w:rPr>
          <w:rFonts w:hint="eastAsia" w:ascii="方正楷体简体" w:hAnsi="方正楷体简体" w:eastAsia="方正楷体简体" w:cs="方正楷体简体"/>
          <w:b w:val="0"/>
          <w:bCs w:val="0"/>
          <w:color w:val="000000"/>
          <w:kern w:val="0"/>
          <w:sz w:val="32"/>
          <w:szCs w:val="32"/>
        </w:rPr>
        <w:t>，</w:t>
      </w:r>
      <w:r>
        <w:rPr>
          <w:rFonts w:hint="eastAsia" w:ascii="方正楷体简体" w:hAnsi="方正楷体简体" w:eastAsia="方正楷体简体" w:cs="方正楷体简体"/>
          <w:b w:val="0"/>
          <w:bCs w:val="0"/>
          <w:color w:val="000000"/>
          <w:kern w:val="0"/>
          <w:sz w:val="32"/>
          <w:szCs w:val="32"/>
          <w:lang w:eastAsia="zh-CN"/>
        </w:rPr>
        <w:t>强化干部队伍建设</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outlineLvl w:val="9"/>
        <w:rPr>
          <w:rFonts w:ascii="方正仿宋简体" w:hAnsi="方正仿宋简体" w:eastAsia="方正仿宋简体" w:cs="方正仿宋简体"/>
          <w:b/>
          <w:color w:val="000000"/>
          <w:sz w:val="32"/>
          <w:szCs w:val="32"/>
        </w:rPr>
      </w:pPr>
      <w:r>
        <w:rPr>
          <w:rFonts w:hint="eastAsia" w:ascii="方正仿宋简体" w:hAnsi="方正仿宋简体" w:eastAsia="方正仿宋简体" w:cs="方正仿宋简体"/>
          <w:b/>
          <w:bCs w:val="0"/>
          <w:color w:val="000000"/>
          <w:kern w:val="0"/>
          <w:sz w:val="32"/>
          <w:szCs w:val="32"/>
        </w:rPr>
        <w:t>一是</w:t>
      </w:r>
      <w:r>
        <w:rPr>
          <w:rFonts w:hint="eastAsia" w:ascii="方正仿宋简体" w:hAnsi="方正仿宋简体" w:eastAsia="方正仿宋简体" w:cs="方正仿宋简体"/>
          <w:b w:val="0"/>
          <w:bCs/>
          <w:color w:val="000000"/>
          <w:kern w:val="0"/>
          <w:sz w:val="32"/>
          <w:szCs w:val="32"/>
        </w:rPr>
        <w:t>认真开展理论学习</w:t>
      </w:r>
      <w:r>
        <w:rPr>
          <w:rFonts w:hint="eastAsia" w:ascii="方正仿宋简体" w:hAnsi="方正仿宋简体" w:eastAsia="方正仿宋简体" w:cs="方正仿宋简体"/>
          <w:b/>
          <w:bCs w:val="0"/>
          <w:color w:val="000000"/>
          <w:kern w:val="0"/>
          <w:sz w:val="32"/>
          <w:szCs w:val="32"/>
          <w:lang w:eastAsia="zh-CN"/>
        </w:rPr>
        <w:t>。</w:t>
      </w:r>
      <w:r>
        <w:rPr>
          <w:rFonts w:hint="eastAsia" w:ascii="方正仿宋简体" w:hAnsi="方正仿宋简体" w:eastAsia="方正仿宋简体" w:cs="方正仿宋简体"/>
          <w:color w:val="000000"/>
          <w:sz w:val="32"/>
          <w:szCs w:val="32"/>
          <w:shd w:val="clear" w:color="auto" w:fill="FFFFFF"/>
          <w:lang w:eastAsia="zh-CN"/>
        </w:rPr>
        <w:t>对习近平新时代中国特色社会主义思想和党的十九大、十九届二、三、四次全会、习近平总书记对四川工作系列重要指示精神以及省委十一届五次、市委七届十次、区委八届九次全会等重要精神，开展</w:t>
      </w:r>
      <w:r>
        <w:rPr>
          <w:rFonts w:hint="eastAsia" w:ascii="方正仿宋简体" w:hAnsi="方正仿宋简体" w:eastAsia="方正仿宋简体" w:cs="方正仿宋简体"/>
          <w:color w:val="000000"/>
          <w:kern w:val="0"/>
          <w:sz w:val="32"/>
          <w:szCs w:val="32"/>
        </w:rPr>
        <w:t>集中学习</w:t>
      </w:r>
      <w:r>
        <w:rPr>
          <w:rFonts w:hint="eastAsia" w:ascii="方正仿宋简体" w:hAnsi="方正仿宋简体" w:eastAsia="方正仿宋简体" w:cs="方正仿宋简体"/>
          <w:color w:val="000000"/>
          <w:kern w:val="0"/>
          <w:sz w:val="32"/>
          <w:szCs w:val="32"/>
          <w:lang w:val="en-US" w:eastAsia="zh-CN"/>
        </w:rPr>
        <w:t>6次</w:t>
      </w:r>
      <w:r>
        <w:rPr>
          <w:rFonts w:hint="eastAsia" w:ascii="方正仿宋简体" w:hAnsi="方正仿宋简体" w:eastAsia="方正仿宋简体" w:cs="方正仿宋简体"/>
          <w:color w:val="000000"/>
          <w:kern w:val="0"/>
          <w:sz w:val="32"/>
          <w:szCs w:val="32"/>
          <w:lang w:eastAsia="zh-CN"/>
        </w:rPr>
        <w:t>，</w:t>
      </w:r>
      <w:r>
        <w:rPr>
          <w:rFonts w:hint="eastAsia" w:ascii="方正仿宋简体" w:hAnsi="方正仿宋简体" w:eastAsia="方正仿宋简体" w:cs="方正仿宋简体"/>
          <w:color w:val="000000"/>
          <w:kern w:val="0"/>
          <w:sz w:val="32"/>
          <w:szCs w:val="32"/>
        </w:rPr>
        <w:t>每人撰写</w:t>
      </w:r>
      <w:r>
        <w:rPr>
          <w:rFonts w:hint="eastAsia" w:ascii="方正仿宋简体" w:hAnsi="方正仿宋简体" w:eastAsia="方正仿宋简体" w:cs="方正仿宋简体"/>
          <w:color w:val="000000"/>
          <w:kern w:val="0"/>
          <w:sz w:val="32"/>
          <w:szCs w:val="32"/>
          <w:lang w:val="en-US" w:eastAsia="zh-CN"/>
        </w:rPr>
        <w:t>1</w:t>
      </w:r>
      <w:r>
        <w:rPr>
          <w:rFonts w:hint="eastAsia" w:ascii="方正仿宋简体" w:hAnsi="方正仿宋简体" w:eastAsia="方正仿宋简体" w:cs="方正仿宋简体"/>
          <w:color w:val="000000"/>
          <w:kern w:val="0"/>
          <w:sz w:val="32"/>
          <w:szCs w:val="32"/>
        </w:rPr>
        <w:t>篇质量较高的理论文章</w:t>
      </w:r>
      <w:r>
        <w:rPr>
          <w:rFonts w:hint="eastAsia" w:ascii="方正仿宋简体" w:hAnsi="方正仿宋简体" w:eastAsia="方正仿宋简体" w:cs="方正仿宋简体"/>
          <w:color w:val="000000"/>
          <w:kern w:val="0"/>
          <w:sz w:val="32"/>
          <w:szCs w:val="32"/>
          <w:lang w:eastAsia="zh-CN"/>
        </w:rPr>
        <w:t>。</w:t>
      </w:r>
      <w:r>
        <w:rPr>
          <w:rFonts w:hint="eastAsia" w:ascii="方正仿宋简体" w:hAnsi="方正仿宋简体" w:eastAsia="方正仿宋简体" w:cs="方正仿宋简体"/>
          <w:b/>
          <w:bCs/>
          <w:color w:val="000000"/>
          <w:kern w:val="0"/>
          <w:sz w:val="32"/>
          <w:szCs w:val="32"/>
          <w:lang w:eastAsia="zh-CN"/>
        </w:rPr>
        <w:t>二是</w:t>
      </w:r>
      <w:r>
        <w:rPr>
          <w:rFonts w:hint="eastAsia" w:ascii="方正仿宋简体" w:hAnsi="方正仿宋简体" w:eastAsia="方正仿宋简体" w:cs="方正仿宋简体"/>
          <w:b w:val="0"/>
          <w:bCs w:val="0"/>
          <w:color w:val="000000"/>
          <w:kern w:val="0"/>
          <w:sz w:val="32"/>
          <w:szCs w:val="32"/>
          <w:lang w:eastAsia="zh-CN"/>
        </w:rPr>
        <w:t>扎实推进“不忘初心</w:t>
      </w:r>
      <w:r>
        <w:rPr>
          <w:rFonts w:ascii="方正仿宋简体" w:hAnsi="方正仿宋简体" w:eastAsia="方正仿宋简体" w:cs="方正仿宋简体"/>
          <w:b w:val="0"/>
          <w:bCs w:val="0"/>
          <w:color w:val="000000"/>
          <w:kern w:val="0"/>
          <w:sz w:val="32"/>
          <w:szCs w:val="32"/>
          <w:lang w:eastAsia="zh-CN"/>
        </w:rPr>
        <w:t>、</w:t>
      </w:r>
      <w:r>
        <w:rPr>
          <w:rFonts w:hint="eastAsia" w:ascii="方正仿宋简体" w:hAnsi="方正仿宋简体" w:eastAsia="方正仿宋简体" w:cs="方正仿宋简体"/>
          <w:b w:val="0"/>
          <w:bCs w:val="0"/>
          <w:color w:val="000000"/>
          <w:kern w:val="0"/>
          <w:sz w:val="32"/>
          <w:szCs w:val="32"/>
          <w:lang w:eastAsia="zh-CN"/>
        </w:rPr>
        <w:t>牢记使命”主题教育。</w:t>
      </w:r>
      <w:r>
        <w:rPr>
          <w:rFonts w:hint="eastAsia" w:ascii="方正仿宋简体" w:hAnsi="方正仿宋简体" w:eastAsia="方正仿宋简体" w:cs="方正仿宋简体"/>
          <w:color w:val="000000"/>
          <w:kern w:val="0"/>
          <w:sz w:val="32"/>
          <w:szCs w:val="32"/>
          <w:lang w:eastAsia="zh-CN"/>
        </w:rPr>
        <w:t>围绕“不忘初心</w:t>
      </w:r>
      <w:r>
        <w:rPr>
          <w:rFonts w:ascii="方正仿宋简体" w:hAnsi="方正仿宋简体" w:eastAsia="方正仿宋简体" w:cs="方正仿宋简体"/>
          <w:color w:val="000000"/>
          <w:kern w:val="0"/>
          <w:sz w:val="32"/>
          <w:szCs w:val="32"/>
          <w:lang w:eastAsia="zh-CN"/>
        </w:rPr>
        <w:t>、</w:t>
      </w:r>
      <w:r>
        <w:rPr>
          <w:rFonts w:hint="eastAsia" w:ascii="方正仿宋简体" w:hAnsi="方正仿宋简体" w:eastAsia="方正仿宋简体" w:cs="方正仿宋简体"/>
          <w:color w:val="000000"/>
          <w:kern w:val="0"/>
          <w:sz w:val="32"/>
          <w:szCs w:val="32"/>
          <w:lang w:eastAsia="zh-CN"/>
        </w:rPr>
        <w:t>牢记使命”主题教育，制定了学习方案，明确学习内容清单，</w:t>
      </w:r>
      <w:r>
        <w:rPr>
          <w:rFonts w:hint="eastAsia" w:ascii="方正仿宋简体" w:hAnsi="方正仿宋简体" w:eastAsia="方正仿宋简体" w:cs="方正仿宋简体"/>
          <w:color w:val="000000"/>
          <w:kern w:val="0"/>
          <w:sz w:val="32"/>
          <w:szCs w:val="32"/>
          <w:lang w:val="en-US" w:eastAsia="zh-CN"/>
        </w:rPr>
        <w:t>严格学习要求，</w:t>
      </w:r>
      <w:r>
        <w:rPr>
          <w:rFonts w:hint="eastAsia" w:ascii="方正仿宋简体" w:hAnsi="方正仿宋简体" w:eastAsia="方正仿宋简体" w:cs="方正仿宋简体"/>
          <w:color w:val="000000"/>
          <w:kern w:val="0"/>
          <w:sz w:val="32"/>
          <w:szCs w:val="32"/>
          <w:lang w:eastAsia="zh-CN"/>
        </w:rPr>
        <w:t>召开集中学习会</w:t>
      </w:r>
      <w:r>
        <w:rPr>
          <w:rFonts w:hint="eastAsia" w:ascii="方正仿宋简体" w:hAnsi="方正仿宋简体" w:eastAsia="方正仿宋简体" w:cs="方正仿宋简体"/>
          <w:color w:val="000000"/>
          <w:kern w:val="0"/>
          <w:sz w:val="32"/>
          <w:szCs w:val="32"/>
          <w:lang w:val="en-US" w:eastAsia="zh-CN"/>
        </w:rPr>
        <w:t>5次，领导干部形成检视剖析材料，针对具体问题开展调研撰写调研报告，</w:t>
      </w:r>
      <w:r>
        <w:rPr>
          <w:rFonts w:hint="eastAsia" w:ascii="方正仿宋简体" w:hAnsi="方正仿宋简体" w:eastAsia="方正仿宋简体" w:cs="方正仿宋简体"/>
          <w:color w:val="000000"/>
          <w:kern w:val="0"/>
          <w:sz w:val="32"/>
          <w:szCs w:val="32"/>
          <w:lang w:eastAsia="zh-CN"/>
        </w:rPr>
        <w:t>向组织推荐学习强国优秀学员</w:t>
      </w:r>
      <w:r>
        <w:rPr>
          <w:rFonts w:hint="eastAsia" w:ascii="方正仿宋简体" w:hAnsi="方正仿宋简体" w:eastAsia="方正仿宋简体" w:cs="方正仿宋简体"/>
          <w:color w:val="000000"/>
          <w:kern w:val="0"/>
          <w:sz w:val="32"/>
          <w:szCs w:val="32"/>
          <w:lang w:val="en-US" w:eastAsia="zh-CN"/>
        </w:rPr>
        <w:t>1名。</w:t>
      </w:r>
      <w:r>
        <w:rPr>
          <w:rFonts w:hint="eastAsia" w:ascii="方正仿宋简体" w:hAnsi="方正仿宋简体" w:eastAsia="方正仿宋简体" w:cs="方正仿宋简体"/>
          <w:b/>
          <w:bCs/>
          <w:color w:val="000000"/>
          <w:kern w:val="0"/>
          <w:sz w:val="32"/>
          <w:szCs w:val="32"/>
          <w:lang w:val="en-US" w:eastAsia="zh-CN"/>
        </w:rPr>
        <w:t>三</w:t>
      </w:r>
      <w:r>
        <w:rPr>
          <w:rFonts w:hint="eastAsia" w:ascii="方正仿宋简体" w:hAnsi="方正仿宋简体" w:eastAsia="方正仿宋简体" w:cs="方正仿宋简体"/>
          <w:b/>
          <w:bCs/>
          <w:color w:val="000000"/>
          <w:kern w:val="0"/>
          <w:sz w:val="32"/>
          <w:szCs w:val="32"/>
        </w:rPr>
        <w:t>是</w:t>
      </w:r>
      <w:r>
        <w:rPr>
          <w:rFonts w:hint="eastAsia" w:ascii="方正仿宋简体" w:hAnsi="方正仿宋简体" w:eastAsia="方正仿宋简体" w:cs="方正仿宋简体"/>
          <w:color w:val="000000"/>
          <w:kern w:val="0"/>
          <w:sz w:val="32"/>
          <w:szCs w:val="32"/>
        </w:rPr>
        <w:t>在“七一”期间，组织</w:t>
      </w:r>
      <w:r>
        <w:rPr>
          <w:rFonts w:hint="eastAsia" w:ascii="方正仿宋简体" w:hAnsi="方正仿宋简体" w:eastAsia="方正仿宋简体" w:cs="方正仿宋简体"/>
          <w:color w:val="000000"/>
          <w:kern w:val="0"/>
          <w:sz w:val="32"/>
          <w:szCs w:val="32"/>
          <w:lang w:eastAsia="zh-CN"/>
        </w:rPr>
        <w:t>天曌山林场、帮扶村党员、入党积极</w:t>
      </w:r>
      <w:r>
        <w:rPr>
          <w:rFonts w:ascii="方正仿宋简体" w:hAnsi="方正仿宋简体" w:eastAsia="方正仿宋简体" w:cs="方正仿宋简体"/>
          <w:color w:val="000000"/>
          <w:kern w:val="0"/>
          <w:sz w:val="32"/>
          <w:szCs w:val="32"/>
          <w:lang w:eastAsia="zh-CN"/>
        </w:rPr>
        <w:t>分</w:t>
      </w:r>
      <w:r>
        <w:rPr>
          <w:rFonts w:hint="eastAsia" w:ascii="方正仿宋简体" w:hAnsi="方正仿宋简体" w:eastAsia="方正仿宋简体" w:cs="方正仿宋简体"/>
          <w:color w:val="000000"/>
          <w:kern w:val="0"/>
          <w:sz w:val="32"/>
          <w:szCs w:val="32"/>
          <w:lang w:eastAsia="zh-CN"/>
        </w:rPr>
        <w:t>子，在帮扶村开展庆祝中国共产党建党</w:t>
      </w:r>
      <w:r>
        <w:rPr>
          <w:rFonts w:hint="eastAsia" w:ascii="方正仿宋简体" w:hAnsi="方正仿宋简体" w:eastAsia="方正仿宋简体" w:cs="方正仿宋简体"/>
          <w:color w:val="000000"/>
          <w:kern w:val="0"/>
          <w:sz w:val="32"/>
          <w:szCs w:val="32"/>
          <w:lang w:val="en-US" w:eastAsia="zh-CN"/>
        </w:rPr>
        <w:t>98周年“七一”系列活动。</w:t>
      </w:r>
      <w:r>
        <w:rPr>
          <w:rFonts w:hint="eastAsia" w:ascii="方正仿宋简体" w:hAnsi="方正仿宋简体" w:eastAsia="方正仿宋简体" w:cs="方正仿宋简体"/>
          <w:b/>
          <w:bCs/>
          <w:color w:val="000000"/>
          <w:kern w:val="0"/>
          <w:sz w:val="32"/>
          <w:szCs w:val="32"/>
          <w:lang w:eastAsia="zh-CN"/>
        </w:rPr>
        <w:t>四</w:t>
      </w:r>
      <w:r>
        <w:rPr>
          <w:rFonts w:hint="eastAsia" w:ascii="方正仿宋简体" w:hAnsi="方正仿宋简体" w:eastAsia="方正仿宋简体" w:cs="方正仿宋简体"/>
          <w:b/>
          <w:bCs w:val="0"/>
          <w:color w:val="000000"/>
          <w:sz w:val="32"/>
          <w:szCs w:val="32"/>
          <w:shd w:val="clear" w:color="auto" w:fill="FFFFFF"/>
        </w:rPr>
        <w:t>是</w:t>
      </w:r>
      <w:r>
        <w:rPr>
          <w:rFonts w:hint="eastAsia" w:ascii="方正仿宋简体" w:hAnsi="方正仿宋简体" w:eastAsia="方正仿宋简体" w:cs="方正仿宋简体"/>
          <w:b w:val="0"/>
          <w:bCs/>
          <w:color w:val="000000"/>
          <w:sz w:val="32"/>
          <w:szCs w:val="32"/>
          <w:shd w:val="clear" w:color="auto" w:fill="FFFFFF"/>
          <w:lang w:eastAsia="zh-CN"/>
        </w:rPr>
        <w:t>通过作风纪律专题学习、</w:t>
      </w:r>
      <w:r>
        <w:rPr>
          <w:rFonts w:hint="eastAsia" w:ascii="方正仿宋简体" w:hAnsi="方正仿宋简体" w:eastAsia="方正仿宋简体" w:cs="方正仿宋简体"/>
          <w:bCs/>
          <w:color w:val="000000"/>
          <w:spacing w:val="-1"/>
          <w:sz w:val="32"/>
          <w:szCs w:val="32"/>
          <w:shd w:val="clear" w:color="auto" w:fill="FFFFFF"/>
          <w:lang w:val="en-US" w:eastAsia="zh-CN"/>
        </w:rPr>
        <w:t>组织全体党员干部到</w:t>
      </w:r>
      <w:r>
        <w:rPr>
          <w:rFonts w:hint="eastAsia" w:ascii="方正仿宋简体" w:hAnsi="方正仿宋简体" w:eastAsia="方正仿宋简体" w:cs="方正仿宋简体"/>
          <w:b w:val="0"/>
          <w:i w:val="0"/>
          <w:caps w:val="0"/>
          <w:smallCaps w:val="0"/>
          <w:color w:val="000000"/>
          <w:spacing w:val="0"/>
          <w:sz w:val="32"/>
          <w:szCs w:val="32"/>
          <w:shd w:val="clear" w:color="auto" w:fill="FFFFFF"/>
        </w:rPr>
        <w:t>川北家风馆</w:t>
      </w:r>
      <w:r>
        <w:rPr>
          <w:rFonts w:hint="eastAsia" w:ascii="方正仿宋简体" w:hAnsi="方正仿宋简体" w:eastAsia="方正仿宋简体" w:cs="方正仿宋简体"/>
          <w:b w:val="0"/>
          <w:i w:val="0"/>
          <w:caps w:val="0"/>
          <w:smallCaps w:val="0"/>
          <w:color w:val="000000"/>
          <w:spacing w:val="0"/>
          <w:sz w:val="32"/>
          <w:szCs w:val="32"/>
          <w:shd w:val="clear" w:color="auto" w:fill="FFFFFF"/>
          <w:lang w:eastAsia="zh-CN"/>
        </w:rPr>
        <w:t>参观，集中观看警示</w:t>
      </w:r>
      <w:r>
        <w:rPr>
          <w:rFonts w:ascii="方正仿宋简体" w:hAnsi="方正仿宋简体" w:eastAsia="方正仿宋简体" w:cs="方正仿宋简体"/>
          <w:b w:val="0"/>
          <w:i w:val="0"/>
          <w:caps w:val="0"/>
          <w:smallCaps w:val="0"/>
          <w:color w:val="000000"/>
          <w:spacing w:val="0"/>
          <w:sz w:val="32"/>
          <w:szCs w:val="32"/>
          <w:shd w:val="clear" w:color="auto" w:fill="FFFFFF"/>
          <w:lang w:eastAsia="zh-CN"/>
        </w:rPr>
        <w:t>纪录</w:t>
      </w:r>
      <w:r>
        <w:rPr>
          <w:rFonts w:hint="eastAsia" w:ascii="方正仿宋简体" w:hAnsi="方正仿宋简体" w:eastAsia="方正仿宋简体" w:cs="方正仿宋简体"/>
          <w:b w:val="0"/>
          <w:i w:val="0"/>
          <w:caps w:val="0"/>
          <w:smallCaps w:val="0"/>
          <w:color w:val="000000"/>
          <w:spacing w:val="0"/>
          <w:sz w:val="32"/>
          <w:szCs w:val="32"/>
          <w:shd w:val="clear" w:color="auto" w:fill="FFFFFF"/>
          <w:lang w:eastAsia="zh-CN"/>
        </w:rPr>
        <w:t>片的方式强化干部职工工作作风</w:t>
      </w:r>
      <w:r>
        <w:rPr>
          <w:rFonts w:hint="eastAsia" w:ascii="方正仿宋简体" w:hAnsi="方正仿宋简体" w:eastAsia="方正仿宋简体" w:cs="方正仿宋简体"/>
          <w:color w:val="000000"/>
          <w:spacing w:val="-1"/>
          <w:sz w:val="32"/>
          <w:szCs w:val="32"/>
          <w:shd w:val="clear" w:color="auto" w:fill="FFFFFF"/>
          <w:lang w:eastAsia="zh-CN"/>
        </w:rPr>
        <w:t>。</w:t>
      </w:r>
      <w:r>
        <w:rPr>
          <w:rFonts w:hint="eastAsia" w:ascii="方正仿宋简体" w:hAnsi="方正仿宋简体" w:eastAsia="方正仿宋简体" w:cs="方正仿宋简体"/>
          <w:b/>
          <w:bCs/>
          <w:color w:val="000000"/>
          <w:spacing w:val="-1"/>
          <w:sz w:val="32"/>
          <w:szCs w:val="32"/>
          <w:shd w:val="clear" w:color="auto" w:fill="FFFFFF"/>
          <w:lang w:eastAsia="zh-CN"/>
        </w:rPr>
        <w:t>五是</w:t>
      </w:r>
      <w:r>
        <w:rPr>
          <w:rFonts w:hint="eastAsia" w:ascii="方正仿宋简体" w:hAnsi="方正仿宋简体" w:eastAsia="方正仿宋简体" w:cs="方正仿宋简体"/>
          <w:color w:val="000000"/>
          <w:spacing w:val="-1"/>
          <w:sz w:val="32"/>
          <w:szCs w:val="32"/>
          <w:shd w:val="clear" w:color="auto" w:fill="FFFFFF"/>
          <w:lang w:eastAsia="zh-CN"/>
        </w:rPr>
        <w:t>深入推进“文明单位助推文明创建”活动，积极参与第六届全国文明城市创建工作，努力完成承担的工作任务</w:t>
      </w:r>
      <w:r>
        <w:rPr>
          <w:rFonts w:hint="eastAsia" w:ascii="方正仿宋简体" w:hAnsi="方正仿宋简体" w:eastAsia="方正仿宋简体" w:cs="方正仿宋简体"/>
          <w:color w:val="000000"/>
          <w:spacing w:val="-1"/>
          <w:sz w:val="32"/>
          <w:szCs w:val="32"/>
          <w:shd w:val="clear" w:color="auto" w:fill="FFFFFF"/>
          <w:lang w:val="en-US" w:eastAsia="zh-CN"/>
        </w:rPr>
        <w:t>。</w:t>
      </w:r>
    </w:p>
    <w:p>
      <w:pPr>
        <w:keepNext w:val="0"/>
        <w:keepLines w:val="0"/>
        <w:pageBreakBefore w:val="0"/>
        <w:widowControl w:val="0"/>
        <w:tabs>
          <w:tab w:val="left" w:pos="595"/>
        </w:tabs>
        <w:kinsoku/>
        <w:wordWrap/>
        <w:overflowPunct w:val="0"/>
        <w:topLinePunct w:val="0"/>
        <w:autoSpaceDE/>
        <w:autoSpaceDN/>
        <w:bidi w:val="0"/>
        <w:adjustRightInd/>
        <w:spacing w:line="576" w:lineRule="exact"/>
        <w:ind w:left="0" w:firstLine="640" w:firstLineChars="200"/>
        <w:textAlignment w:val="auto"/>
        <w:rPr>
          <w:rFonts w:hint="eastAsia" w:ascii="方正楷体简体" w:hAnsi="方正楷体简体" w:eastAsia="方正楷体简体" w:cs="方正楷体简体"/>
          <w:b w:val="0"/>
          <w:bCs w:val="0"/>
          <w:color w:val="000000"/>
          <w:sz w:val="32"/>
          <w:szCs w:val="32"/>
          <w:lang w:val="en-US" w:eastAsia="zh-CN"/>
        </w:rPr>
      </w:pPr>
      <w:r>
        <w:rPr>
          <w:rFonts w:hint="eastAsia" w:ascii="方正楷体简体" w:hAnsi="方正楷体简体" w:eastAsia="方正楷体简体" w:cs="方正楷体简体"/>
          <w:b w:val="0"/>
          <w:bCs w:val="0"/>
          <w:color w:val="000000"/>
          <w:sz w:val="32"/>
          <w:szCs w:val="32"/>
          <w:lang w:eastAsia="zh-CN"/>
        </w:rPr>
        <w:t>（</w:t>
      </w:r>
      <w:r>
        <w:rPr>
          <w:rFonts w:hint="eastAsia" w:ascii="方正楷体简体" w:hAnsi="方正楷体简体" w:eastAsia="方正楷体简体" w:cs="方正楷体简体"/>
          <w:b w:val="0"/>
          <w:bCs w:val="0"/>
          <w:color w:val="000000"/>
          <w:sz w:val="32"/>
          <w:szCs w:val="32"/>
          <w:lang w:val="en-US" w:eastAsia="zh-CN"/>
        </w:rPr>
        <w:t>7</w:t>
      </w:r>
      <w:r>
        <w:rPr>
          <w:rFonts w:hint="eastAsia" w:ascii="方正楷体简体" w:hAnsi="方正楷体简体" w:eastAsia="方正楷体简体" w:cs="方正楷体简体"/>
          <w:b w:val="0"/>
          <w:bCs w:val="0"/>
          <w:color w:val="000000"/>
          <w:sz w:val="32"/>
          <w:szCs w:val="32"/>
          <w:lang w:eastAsia="zh-CN"/>
        </w:rPr>
        <w:t>）</w:t>
      </w:r>
      <w:r>
        <w:rPr>
          <w:rFonts w:hint="eastAsia" w:ascii="方正楷体简体" w:hAnsi="方正楷体简体" w:eastAsia="方正楷体简体" w:cs="方正楷体简体"/>
          <w:b w:val="0"/>
          <w:bCs w:val="0"/>
          <w:color w:val="000000"/>
          <w:sz w:val="32"/>
          <w:szCs w:val="32"/>
        </w:rPr>
        <w:t>加强</w:t>
      </w:r>
      <w:r>
        <w:rPr>
          <w:rFonts w:hint="eastAsia" w:ascii="方正楷体简体" w:hAnsi="方正楷体简体" w:eastAsia="方正楷体简体" w:cs="方正楷体简体"/>
          <w:b w:val="0"/>
          <w:bCs w:val="0"/>
          <w:color w:val="000000"/>
          <w:sz w:val="32"/>
          <w:szCs w:val="32"/>
          <w:lang w:val="en-US" w:eastAsia="zh-CN"/>
        </w:rPr>
        <w:t>安全及</w:t>
      </w:r>
      <w:r>
        <w:rPr>
          <w:rFonts w:hint="eastAsia" w:ascii="方正楷体简体" w:hAnsi="方正楷体简体" w:eastAsia="方正楷体简体" w:cs="方正楷体简体"/>
          <w:b w:val="0"/>
          <w:bCs w:val="0"/>
          <w:color w:val="000000"/>
          <w:sz w:val="32"/>
          <w:szCs w:val="32"/>
        </w:rPr>
        <w:t>标准化管理力度</w:t>
      </w:r>
    </w:p>
    <w:p>
      <w:pPr>
        <w:keepNext w:val="0"/>
        <w:keepLines w:val="0"/>
        <w:pageBreakBefore w:val="0"/>
        <w:widowControl w:val="0"/>
        <w:kinsoku/>
        <w:wordWrap/>
        <w:topLinePunct w:val="0"/>
        <w:autoSpaceDE/>
        <w:autoSpaceDN/>
        <w:bidi w:val="0"/>
        <w:adjustRightInd/>
        <w:spacing w:line="576" w:lineRule="exact"/>
        <w:ind w:firstLine="642" w:firstLineChars="200"/>
        <w:textAlignment w:val="auto"/>
        <w:rPr>
          <w:rStyle w:val="15"/>
          <w:rFonts w:hint="eastAsia" w:ascii="方正仿宋简体" w:hAnsi="方正仿宋简体" w:eastAsia="方正仿宋简体" w:cs="方正仿宋简体"/>
          <w:b w:val="0"/>
          <w:sz w:val="32"/>
          <w:szCs w:val="32"/>
        </w:rPr>
      </w:pPr>
      <w:r>
        <w:rPr>
          <w:rFonts w:hint="eastAsia" w:ascii="方正仿宋简体" w:hAnsi="方正仿宋简体" w:eastAsia="方正仿宋简体" w:cs="方正仿宋简体"/>
          <w:b/>
          <w:bCs/>
          <w:color w:val="000000"/>
          <w:sz w:val="32"/>
          <w:szCs w:val="32"/>
          <w:lang w:val="en-US" w:eastAsia="zh-CN"/>
        </w:rPr>
        <w:t>一是强化安全宣传工作。</w:t>
      </w:r>
      <w:r>
        <w:rPr>
          <w:rFonts w:hint="eastAsia" w:ascii="方正仿宋简体" w:hAnsi="方正仿宋简体" w:eastAsia="方正仿宋简体" w:cs="方正仿宋简体"/>
          <w:color w:val="000000"/>
          <w:sz w:val="32"/>
          <w:szCs w:val="32"/>
        </w:rPr>
        <w:t>采用</w:t>
      </w:r>
      <w:r>
        <w:rPr>
          <w:rFonts w:hint="eastAsia" w:ascii="方正仿宋简体" w:hAnsi="方正仿宋简体" w:eastAsia="方正仿宋简体" w:cs="方正仿宋简体"/>
          <w:color w:val="000000"/>
          <w:sz w:val="32"/>
          <w:szCs w:val="32"/>
          <w:lang w:eastAsia="zh-CN"/>
        </w:rPr>
        <w:t>流动</w:t>
      </w:r>
      <w:r>
        <w:rPr>
          <w:rFonts w:hint="eastAsia" w:ascii="方正仿宋简体" w:hAnsi="方正仿宋简体" w:eastAsia="方正仿宋简体" w:cs="方正仿宋简体"/>
          <w:color w:val="000000"/>
          <w:sz w:val="32"/>
          <w:szCs w:val="32"/>
        </w:rPr>
        <w:t>宣传车巡回宣传、LED显示屏</w:t>
      </w:r>
      <w:r>
        <w:rPr>
          <w:rFonts w:hint="eastAsia" w:ascii="方正仿宋简体" w:hAnsi="方正仿宋简体" w:eastAsia="方正仿宋简体" w:cs="方正仿宋简体"/>
          <w:color w:val="000000"/>
          <w:sz w:val="32"/>
          <w:szCs w:val="32"/>
          <w:lang w:eastAsia="zh-CN"/>
        </w:rPr>
        <w:t>滚动播放、志愿服务队入户的方式</w:t>
      </w:r>
      <w:r>
        <w:rPr>
          <w:rFonts w:hint="eastAsia" w:ascii="方正仿宋简体" w:hAnsi="方正仿宋简体" w:eastAsia="方正仿宋简体" w:cs="方正仿宋简体"/>
          <w:color w:val="000000"/>
          <w:sz w:val="32"/>
          <w:szCs w:val="32"/>
        </w:rPr>
        <w:t>，</w:t>
      </w:r>
      <w:r>
        <w:rPr>
          <w:rFonts w:hint="eastAsia" w:ascii="方正仿宋简体" w:hAnsi="方正仿宋简体" w:eastAsia="方正仿宋简体" w:cs="方正仿宋简体"/>
          <w:color w:val="000000"/>
          <w:sz w:val="32"/>
          <w:szCs w:val="32"/>
          <w:lang w:eastAsia="zh-CN"/>
        </w:rPr>
        <w:t>开展各类宣传活动</w:t>
      </w:r>
      <w:r>
        <w:rPr>
          <w:rFonts w:hint="eastAsia" w:ascii="方正仿宋简体" w:hAnsi="方正仿宋简体" w:eastAsia="方正仿宋简体" w:cs="方正仿宋简体"/>
          <w:color w:val="000000"/>
          <w:sz w:val="32"/>
          <w:szCs w:val="32"/>
          <w:lang w:val="en-US" w:eastAsia="zh-CN"/>
        </w:rPr>
        <w:t>3</w:t>
      </w:r>
      <w:r>
        <w:rPr>
          <w:rFonts w:hint="eastAsia" w:ascii="方正仿宋简体" w:hAnsi="方正仿宋简体" w:eastAsia="方正仿宋简体" w:cs="方正仿宋简体"/>
          <w:color w:val="000000"/>
          <w:sz w:val="32"/>
          <w:szCs w:val="32"/>
        </w:rPr>
        <w:t>0余次，在重要的节假日、庙会活动前组织联防人员进行林区安全隐患排查12余次。</w:t>
      </w:r>
      <w:r>
        <w:rPr>
          <w:rFonts w:hint="eastAsia" w:ascii="方正仿宋简体" w:hAnsi="方正仿宋简体" w:eastAsia="方正仿宋简体" w:cs="方正仿宋简体"/>
          <w:b/>
          <w:bCs/>
          <w:color w:val="000000"/>
          <w:sz w:val="32"/>
          <w:szCs w:val="32"/>
          <w:lang w:eastAsia="zh-CN"/>
        </w:rPr>
        <w:t>二是建立生产安全双重预防机制。</w:t>
      </w:r>
      <w:r>
        <w:rPr>
          <w:rFonts w:hint="eastAsia" w:ascii="方正仿宋简体" w:hAnsi="方正仿宋简体" w:eastAsia="方正仿宋简体" w:cs="方正仿宋简体"/>
          <w:b w:val="0"/>
          <w:bCs w:val="0"/>
          <w:color w:val="000000"/>
          <w:sz w:val="32"/>
          <w:szCs w:val="32"/>
          <w:lang w:eastAsia="zh-CN"/>
        </w:rPr>
        <w:t>教育培训常态化，强化干部职工安全认识，提高安全工作技术水平</w:t>
      </w:r>
      <w:r>
        <w:rPr>
          <w:rFonts w:hint="eastAsia" w:ascii="方正仿宋简体" w:hAnsi="方正仿宋简体" w:eastAsia="方正仿宋简体" w:cs="方正仿宋简体"/>
          <w:color w:val="000000"/>
          <w:sz w:val="32"/>
          <w:szCs w:val="32"/>
          <w:lang w:val="en-US" w:eastAsia="zh-CN"/>
        </w:rPr>
        <w:t>，每月固定时间进行林区隐患排查，形成系统化、科学化、常态化安全生产长效机制</w:t>
      </w:r>
      <w:r>
        <w:rPr>
          <w:rFonts w:hint="eastAsia" w:ascii="方正仿宋简体" w:hAnsi="方正仿宋简体" w:eastAsia="方正仿宋简体" w:cs="方正仿宋简体"/>
          <w:color w:val="000000"/>
          <w:sz w:val="32"/>
          <w:szCs w:val="32"/>
        </w:rPr>
        <w:t>。</w:t>
      </w:r>
      <w:r>
        <w:rPr>
          <w:rFonts w:hint="eastAsia" w:ascii="方正仿宋简体" w:hAnsi="方正仿宋简体" w:eastAsia="方正仿宋简体" w:cs="方正仿宋简体"/>
          <w:b/>
          <w:bCs/>
          <w:color w:val="000000"/>
          <w:sz w:val="32"/>
          <w:szCs w:val="32"/>
          <w:lang w:eastAsia="zh-CN"/>
        </w:rPr>
        <w:t>三是建立村社联防机制。</w:t>
      </w:r>
      <w:r>
        <w:rPr>
          <w:rFonts w:hint="eastAsia" w:ascii="方正仿宋简体" w:hAnsi="方正仿宋简体" w:eastAsia="方正仿宋简体" w:cs="方正仿宋简体"/>
          <w:b w:val="0"/>
          <w:bCs w:val="0"/>
          <w:color w:val="000000"/>
          <w:sz w:val="32"/>
          <w:szCs w:val="32"/>
          <w:lang w:eastAsia="zh-CN"/>
        </w:rPr>
        <w:t>以党员干部为主体</w:t>
      </w:r>
      <w:r>
        <w:rPr>
          <w:rFonts w:hint="eastAsia" w:ascii="方正仿宋简体" w:hAnsi="方正仿宋简体" w:eastAsia="方正仿宋简体" w:cs="方正仿宋简体"/>
          <w:color w:val="000000"/>
          <w:sz w:val="32"/>
          <w:szCs w:val="32"/>
          <w:lang w:eastAsia="zh-CN"/>
        </w:rPr>
        <w:t>组建</w:t>
      </w:r>
      <w:r>
        <w:rPr>
          <w:rFonts w:hint="eastAsia" w:ascii="方正仿宋简体" w:hAnsi="方正仿宋简体" w:eastAsia="方正仿宋简体" w:cs="方正仿宋简体"/>
          <w:color w:val="000000"/>
          <w:sz w:val="32"/>
          <w:szCs w:val="32"/>
        </w:rPr>
        <w:t>林</w:t>
      </w:r>
      <w:r>
        <w:rPr>
          <w:rFonts w:hint="eastAsia" w:ascii="方正仿宋简体" w:hAnsi="方正仿宋简体" w:eastAsia="方正仿宋简体" w:cs="方正仿宋简体"/>
          <w:color w:val="000000"/>
          <w:sz w:val="32"/>
          <w:szCs w:val="32"/>
          <w:lang w:eastAsia="zh-CN"/>
        </w:rPr>
        <w:t>区</w:t>
      </w:r>
      <w:r>
        <w:rPr>
          <w:rFonts w:hint="eastAsia" w:ascii="方正仿宋简体" w:hAnsi="方正仿宋简体" w:eastAsia="方正仿宋简体" w:cs="方正仿宋简体"/>
          <w:color w:val="000000"/>
          <w:sz w:val="32"/>
          <w:szCs w:val="32"/>
        </w:rPr>
        <w:t>森林防火应急救援</w:t>
      </w:r>
      <w:r>
        <w:rPr>
          <w:rFonts w:hint="eastAsia" w:ascii="方正仿宋简体" w:hAnsi="方正仿宋简体" w:eastAsia="方正仿宋简体" w:cs="方正仿宋简体"/>
          <w:color w:val="000000"/>
          <w:sz w:val="32"/>
          <w:szCs w:val="32"/>
          <w:lang w:eastAsia="zh-CN"/>
        </w:rPr>
        <w:t>队，并</w:t>
      </w:r>
      <w:r>
        <w:rPr>
          <w:rFonts w:hint="eastAsia" w:ascii="方正仿宋简体" w:hAnsi="方正仿宋简体" w:eastAsia="方正仿宋简体" w:cs="方正仿宋简体"/>
          <w:color w:val="000000"/>
          <w:sz w:val="32"/>
          <w:szCs w:val="32"/>
        </w:rPr>
        <w:t>在毗邻接边各村配备一名联防联调联络员</w:t>
      </w:r>
      <w:r>
        <w:rPr>
          <w:rFonts w:hint="eastAsia" w:ascii="方正仿宋简体" w:hAnsi="方正仿宋简体" w:eastAsia="方正仿宋简体" w:cs="方正仿宋简体"/>
          <w:color w:val="000000"/>
          <w:sz w:val="32"/>
          <w:szCs w:val="32"/>
          <w:lang w:eastAsia="zh-CN"/>
        </w:rPr>
        <w:t>，加强信息沟通与交流。对</w:t>
      </w:r>
      <w:r>
        <w:rPr>
          <w:rFonts w:hint="eastAsia" w:ascii="方正仿宋简体" w:hAnsi="方正仿宋简体" w:eastAsia="方正仿宋简体" w:cs="方正仿宋简体"/>
          <w:color w:val="000000"/>
          <w:sz w:val="32"/>
          <w:szCs w:val="32"/>
        </w:rPr>
        <w:t>各类</w:t>
      </w:r>
      <w:r>
        <w:rPr>
          <w:rFonts w:hint="eastAsia" w:ascii="方正仿宋简体" w:hAnsi="方正仿宋简体" w:eastAsia="方正仿宋简体" w:cs="方正仿宋简体"/>
          <w:color w:val="000000"/>
          <w:sz w:val="32"/>
          <w:szCs w:val="32"/>
          <w:lang w:eastAsia="zh-CN"/>
        </w:rPr>
        <w:t>突发问题进行及时</w:t>
      </w:r>
      <w:r>
        <w:rPr>
          <w:rFonts w:hint="eastAsia" w:ascii="方正仿宋简体" w:hAnsi="方正仿宋简体" w:eastAsia="方正仿宋简体" w:cs="方正仿宋简体"/>
          <w:color w:val="000000"/>
          <w:sz w:val="32"/>
          <w:szCs w:val="32"/>
        </w:rPr>
        <w:t>排查</w:t>
      </w:r>
      <w:r>
        <w:rPr>
          <w:rFonts w:hint="eastAsia" w:ascii="方正仿宋简体" w:hAnsi="方正仿宋简体" w:eastAsia="方正仿宋简体" w:cs="方正仿宋简体"/>
          <w:color w:val="000000"/>
          <w:sz w:val="32"/>
          <w:szCs w:val="32"/>
          <w:lang w:eastAsia="zh-CN"/>
        </w:rPr>
        <w:t>调解</w:t>
      </w:r>
      <w:r>
        <w:rPr>
          <w:rFonts w:hint="eastAsia" w:ascii="方正仿宋简体" w:hAnsi="方正仿宋简体" w:eastAsia="方正仿宋简体" w:cs="方正仿宋简体"/>
          <w:color w:val="000000"/>
          <w:sz w:val="32"/>
          <w:szCs w:val="32"/>
        </w:rPr>
        <w:t>。</w:t>
      </w:r>
      <w:r>
        <w:rPr>
          <w:rFonts w:hint="eastAsia" w:ascii="方正仿宋简体" w:hAnsi="方正仿宋简体" w:eastAsia="方正仿宋简体" w:cs="方正仿宋简体"/>
          <w:b/>
          <w:bCs/>
          <w:color w:val="000000"/>
          <w:sz w:val="32"/>
          <w:szCs w:val="32"/>
          <w:lang w:eastAsia="zh-CN"/>
        </w:rPr>
        <w:t>四是建立安全责任制。</w:t>
      </w:r>
      <w:r>
        <w:rPr>
          <w:rFonts w:hint="eastAsia" w:ascii="方正仿宋简体" w:hAnsi="方正仿宋简体" w:eastAsia="方正仿宋简体" w:cs="方正仿宋简体"/>
          <w:b w:val="0"/>
          <w:bCs w:val="0"/>
          <w:color w:val="000000"/>
          <w:sz w:val="32"/>
          <w:szCs w:val="32"/>
          <w:lang w:eastAsia="zh-CN"/>
        </w:rPr>
        <w:t>层层签订安全责任书，落实责任范围与职责，以森林防火和景区旅游安全为重点把安全工作纳入与日常工作同部署、同检查、同考核</w:t>
      </w:r>
      <w:r>
        <w:rPr>
          <w:rFonts w:hint="eastAsia" w:ascii="方正仿宋简体" w:hAnsi="方正仿宋简体" w:eastAsia="方正仿宋简体" w:cs="方正仿宋简体"/>
          <w:color w:val="000000"/>
          <w:sz w:val="32"/>
          <w:szCs w:val="32"/>
          <w:lang w:val="en-US" w:eastAsia="zh-CN"/>
        </w:rPr>
        <w:t>，全年</w:t>
      </w:r>
      <w:r>
        <w:rPr>
          <w:rFonts w:hint="eastAsia" w:ascii="方正仿宋简体" w:hAnsi="方正仿宋简体" w:eastAsia="方正仿宋简体" w:cs="方正仿宋简体"/>
          <w:sz w:val="32"/>
          <w:szCs w:val="32"/>
        </w:rPr>
        <w:t>未发生火情、火警，安全工作“零”事故</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color w:val="000000"/>
          <w:sz w:val="32"/>
          <w:szCs w:val="32"/>
          <w:lang w:val="en-US" w:eastAsia="zh-CN"/>
        </w:rPr>
        <w:t>不断推进和谐安全景区建设。</w:t>
      </w:r>
    </w:p>
    <w:p>
      <w:pPr>
        <w:keepNext w:val="0"/>
        <w:keepLines w:val="0"/>
        <w:pageBreakBefore w:val="0"/>
        <w:widowControl w:val="0"/>
        <w:kinsoku/>
        <w:wordWrap/>
        <w:topLinePunct w:val="0"/>
        <w:autoSpaceDE/>
        <w:autoSpaceDN/>
        <w:bidi w:val="0"/>
        <w:adjustRightInd/>
        <w:spacing w:line="576" w:lineRule="exact"/>
        <w:ind w:firstLine="640" w:firstLineChars="200"/>
        <w:textAlignment w:val="auto"/>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rPr>
        <w:t>（</w:t>
      </w:r>
      <w:r>
        <w:rPr>
          <w:rFonts w:hint="eastAsia" w:ascii="方正楷体简体" w:hAnsi="方正楷体简体" w:eastAsia="方正楷体简体" w:cs="方正楷体简体"/>
          <w:b w:val="0"/>
          <w:bCs w:val="0"/>
          <w:sz w:val="32"/>
          <w:szCs w:val="32"/>
          <w:lang w:val="en-US" w:eastAsia="zh-CN"/>
        </w:rPr>
        <w:t>8</w:t>
      </w:r>
      <w:r>
        <w:rPr>
          <w:rFonts w:hint="eastAsia" w:ascii="方正楷体简体" w:hAnsi="方正楷体简体" w:eastAsia="方正楷体简体" w:cs="方正楷体简体"/>
          <w:b w:val="0"/>
          <w:bCs w:val="0"/>
          <w:sz w:val="32"/>
          <w:szCs w:val="32"/>
        </w:rPr>
        <w:t>）狠抓林区资源保护</w:t>
      </w:r>
    </w:p>
    <w:p>
      <w:pPr>
        <w:keepNext w:val="0"/>
        <w:keepLines w:val="0"/>
        <w:pageBreakBefore w:val="0"/>
        <w:widowControl w:val="0"/>
        <w:kinsoku/>
        <w:wordWrap/>
        <w:topLinePunct w:val="0"/>
        <w:autoSpaceDE/>
        <w:autoSpaceDN/>
        <w:bidi w:val="0"/>
        <w:adjustRightInd/>
        <w:spacing w:line="576" w:lineRule="exact"/>
        <w:ind w:firstLine="642" w:firstLineChars="200"/>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b/>
          <w:bCs/>
          <w:sz w:val="32"/>
          <w:szCs w:val="32"/>
        </w:rPr>
        <w:t>一是</w:t>
      </w:r>
      <w:r>
        <w:rPr>
          <w:rFonts w:hint="eastAsia" w:ascii="方正仿宋简体" w:hAnsi="方正仿宋简体" w:eastAsia="方正仿宋简体" w:cs="方正仿宋简体"/>
          <w:sz w:val="32"/>
          <w:szCs w:val="32"/>
        </w:rPr>
        <w:t>做好林木、林地管理工作，禁止林区内乱采乱挖、乱捕，乱猎、毁林垦地、乱砍滥伐。</w:t>
      </w:r>
      <w:r>
        <w:rPr>
          <w:rFonts w:hint="eastAsia" w:ascii="方正仿宋简体" w:hAnsi="方正仿宋简体" w:eastAsia="方正仿宋简体" w:cs="方正仿宋简体"/>
          <w:b/>
          <w:bCs/>
          <w:sz w:val="32"/>
          <w:szCs w:val="32"/>
          <w:lang w:eastAsia="zh-CN"/>
        </w:rPr>
        <w:t>二是</w:t>
      </w:r>
      <w:r>
        <w:rPr>
          <w:rFonts w:hint="eastAsia" w:ascii="方正仿宋简体" w:hAnsi="方正黑体简体" w:eastAsia="方正仿宋简体" w:cs="方正黑体简体"/>
          <w:sz w:val="32"/>
          <w:szCs w:val="32"/>
        </w:rPr>
        <w:t>完成森林资源培育</w:t>
      </w:r>
      <w:r>
        <w:rPr>
          <w:rFonts w:hint="eastAsia" w:ascii="方正仿宋简体" w:hAnsi="方正黑体简体" w:eastAsia="方正仿宋简体" w:cs="方正黑体简体"/>
          <w:sz w:val="32"/>
          <w:szCs w:val="32"/>
          <w:lang w:eastAsia="zh-CN"/>
        </w:rPr>
        <w:t>及</w:t>
      </w:r>
      <w:r>
        <w:rPr>
          <w:rFonts w:hint="eastAsia" w:ascii="方正仿宋简体" w:hAnsi="方正黑体简体" w:eastAsia="方正仿宋简体" w:cs="方正黑体简体"/>
          <w:sz w:val="32"/>
          <w:szCs w:val="32"/>
        </w:rPr>
        <w:t>8亩欧云杉日常管护、监测</w:t>
      </w:r>
      <w:r>
        <w:rPr>
          <w:rFonts w:hint="eastAsia" w:ascii="方正仿宋简体" w:hAnsi="方正黑体简体" w:eastAsia="方正仿宋简体" w:cs="方正黑体简体"/>
          <w:sz w:val="32"/>
          <w:szCs w:val="32"/>
          <w:lang w:eastAsia="zh-CN"/>
        </w:rPr>
        <w:t>工作</w:t>
      </w:r>
      <w:r>
        <w:rPr>
          <w:rFonts w:hint="eastAsia" w:ascii="方正仿宋简体" w:hAnsi="方正黑体简体" w:eastAsia="方正仿宋简体" w:cs="方正黑体简体"/>
          <w:sz w:val="32"/>
          <w:szCs w:val="32"/>
        </w:rPr>
        <w:t>。</w:t>
      </w:r>
      <w:r>
        <w:rPr>
          <w:rFonts w:hint="eastAsia" w:ascii="方正仿宋简体" w:hAnsi="方正黑体简体" w:eastAsia="方正仿宋简体" w:cs="方正黑体简体"/>
          <w:b/>
          <w:bCs/>
          <w:sz w:val="32"/>
          <w:szCs w:val="32"/>
          <w:lang w:eastAsia="zh-CN"/>
        </w:rPr>
        <w:t>三是</w:t>
      </w:r>
      <w:r>
        <w:rPr>
          <w:rFonts w:hint="eastAsia" w:ascii="方正仿宋简体" w:hAnsi="方正黑体简体" w:eastAsia="方正仿宋简体" w:cs="方正黑体简体"/>
          <w:sz w:val="32"/>
          <w:szCs w:val="32"/>
        </w:rPr>
        <w:t>完成全场1.3万余亩马尾松、华山松有害生物病虫害防治、监测、预测、预报工作。</w:t>
      </w:r>
      <w:r>
        <w:rPr>
          <w:rFonts w:hint="eastAsia" w:ascii="方正仿宋简体" w:hAnsi="方正黑体简体" w:eastAsia="方正仿宋简体" w:cs="方正黑体简体"/>
          <w:b/>
          <w:bCs/>
          <w:sz w:val="32"/>
          <w:szCs w:val="32"/>
          <w:lang w:eastAsia="zh-CN"/>
        </w:rPr>
        <w:t>四是</w:t>
      </w:r>
      <w:r>
        <w:rPr>
          <w:rFonts w:hint="eastAsia" w:ascii="方正仿宋简体" w:hAnsi="方正黑体简体" w:eastAsia="方正仿宋简体" w:cs="方正黑体简体"/>
          <w:sz w:val="32"/>
          <w:szCs w:val="32"/>
        </w:rPr>
        <w:t>协助省林科院</w:t>
      </w:r>
      <w:r>
        <w:rPr>
          <w:rFonts w:hint="eastAsia" w:ascii="方正仿宋简体" w:hAnsi="方正黑体简体" w:eastAsia="方正仿宋简体" w:cs="方正黑体简体"/>
          <w:sz w:val="32"/>
          <w:szCs w:val="32"/>
          <w:lang w:eastAsia="zh-CN"/>
        </w:rPr>
        <w:t>完成</w:t>
      </w:r>
      <w:r>
        <w:rPr>
          <w:rFonts w:hint="eastAsia" w:ascii="方正仿宋简体" w:hAnsi="方正黑体简体" w:eastAsia="方正仿宋简体" w:cs="方正黑体简体"/>
          <w:sz w:val="32"/>
          <w:szCs w:val="32"/>
        </w:rPr>
        <w:t>天曌山植物种子资源调查工作。</w:t>
      </w:r>
      <w:r>
        <w:rPr>
          <w:rFonts w:hint="eastAsia" w:ascii="方正仿宋简体" w:hAnsi="方正黑体简体" w:eastAsia="方正仿宋简体" w:cs="方正黑体简体"/>
          <w:b/>
          <w:bCs/>
          <w:sz w:val="32"/>
          <w:szCs w:val="32"/>
          <w:lang w:eastAsia="zh-CN"/>
        </w:rPr>
        <w:t>五是</w:t>
      </w:r>
      <w:r>
        <w:rPr>
          <w:rFonts w:hint="eastAsia" w:ascii="方正仿宋简体" w:hAnsi="方正黑体简体" w:eastAsia="方正仿宋简体" w:cs="方正黑体简体"/>
          <w:sz w:val="32"/>
          <w:szCs w:val="32"/>
        </w:rPr>
        <w:t>邀请市、区森防专家对天曌山公路两侧近千株日本晚樱花树病虫害情况进行鉴定</w:t>
      </w:r>
      <w:r>
        <w:rPr>
          <w:rFonts w:hint="eastAsia" w:ascii="方正仿宋简体" w:hAnsi="方正黑体简体" w:eastAsia="方正仿宋简体" w:cs="方正黑体简体"/>
          <w:sz w:val="32"/>
          <w:szCs w:val="32"/>
          <w:lang w:eastAsia="zh-CN"/>
        </w:rPr>
        <w:t>诊断救治</w:t>
      </w:r>
      <w:r>
        <w:rPr>
          <w:rFonts w:hint="eastAsia" w:ascii="方正仿宋简体" w:hAnsi="方正黑体简体" w:eastAsia="方正仿宋简体" w:cs="方正黑体简体"/>
          <w:sz w:val="32"/>
          <w:szCs w:val="32"/>
        </w:rPr>
        <w:t>。</w:t>
      </w:r>
      <w:r>
        <w:rPr>
          <w:rFonts w:hint="eastAsia" w:ascii="方正仿宋简体" w:hAnsi="方正黑体简体" w:eastAsia="方正仿宋简体" w:cs="方正黑体简体"/>
          <w:b/>
          <w:bCs/>
          <w:sz w:val="32"/>
          <w:szCs w:val="32"/>
          <w:lang w:eastAsia="zh-CN"/>
        </w:rPr>
        <w:t>六是</w:t>
      </w:r>
      <w:r>
        <w:rPr>
          <w:rFonts w:hint="eastAsia" w:ascii="方正仿宋简体" w:hAnsi="方正黑体简体" w:eastAsia="方正仿宋简体" w:cs="方正黑体简体"/>
          <w:sz w:val="32"/>
          <w:szCs w:val="32"/>
        </w:rPr>
        <w:t>对林场梵天寺51株古树群</w:t>
      </w:r>
      <w:r>
        <w:rPr>
          <w:rFonts w:hint="eastAsia" w:ascii="方正仿宋简体" w:hAnsi="方正黑体简体" w:eastAsia="方正仿宋简体" w:cs="方正黑体简体"/>
          <w:sz w:val="32"/>
          <w:szCs w:val="32"/>
          <w:lang w:eastAsia="zh-CN"/>
        </w:rPr>
        <w:t>进行了</w:t>
      </w:r>
      <w:r>
        <w:rPr>
          <w:rFonts w:hint="eastAsia" w:ascii="方正仿宋简体" w:hAnsi="方正黑体简体" w:eastAsia="方正仿宋简体" w:cs="方正黑体简体"/>
          <w:sz w:val="32"/>
          <w:szCs w:val="32"/>
        </w:rPr>
        <w:t>挂牌，对3处古树保护配套设施进行了维修维护。</w:t>
      </w:r>
      <w:r>
        <w:rPr>
          <w:rFonts w:hint="eastAsia" w:ascii="方正仿宋简体" w:hAnsi="方正黑体简体" w:eastAsia="方正仿宋简体" w:cs="方正黑体简体"/>
          <w:b/>
          <w:bCs/>
          <w:sz w:val="32"/>
          <w:szCs w:val="32"/>
          <w:lang w:eastAsia="zh-CN"/>
        </w:rPr>
        <w:t>七是</w:t>
      </w:r>
      <w:r>
        <w:rPr>
          <w:rFonts w:hint="eastAsia" w:ascii="方正仿宋简体" w:hAnsi="方正黑体简体" w:eastAsia="方正仿宋简体" w:cs="方正黑体简体"/>
          <w:sz w:val="32"/>
          <w:szCs w:val="32"/>
        </w:rPr>
        <w:t>对林场游步道2期、林区消防蓄水池、神仙洞观景亭、梵天寺停车场公厕等项目林区地段进行建设期间生态保护监管。</w:t>
      </w:r>
    </w:p>
    <w:p>
      <w:pPr>
        <w:keepNext w:val="0"/>
        <w:keepLines w:val="0"/>
        <w:pageBreakBefore w:val="0"/>
        <w:widowControl w:val="0"/>
        <w:kinsoku/>
        <w:wordWrap/>
        <w:overflowPunct w:val="0"/>
        <w:topLinePunct w:val="0"/>
        <w:autoSpaceDE/>
        <w:autoSpaceDN/>
        <w:bidi w:val="0"/>
        <w:adjustRightInd/>
        <w:spacing w:line="576" w:lineRule="exact"/>
        <w:ind w:firstLine="640"/>
        <w:textAlignment w:val="auto"/>
        <w:rPr>
          <w:rFonts w:hint="eastAsia" w:ascii="方正楷体简体" w:hAnsi="方正楷体简体" w:eastAsia="方正楷体简体" w:cs="方正楷体简体"/>
          <w:b w:val="0"/>
          <w:bCs w:val="0"/>
          <w:color w:val="000000"/>
          <w:sz w:val="32"/>
          <w:szCs w:val="32"/>
        </w:rPr>
      </w:pPr>
      <w:r>
        <w:rPr>
          <w:rFonts w:hint="eastAsia" w:ascii="方正楷体简体" w:hAnsi="方正楷体简体" w:eastAsia="方正楷体简体" w:cs="方正楷体简体"/>
          <w:b w:val="0"/>
          <w:bCs w:val="0"/>
          <w:color w:val="000000"/>
          <w:sz w:val="32"/>
          <w:szCs w:val="32"/>
        </w:rPr>
        <w:t>（</w:t>
      </w:r>
      <w:r>
        <w:rPr>
          <w:rFonts w:hint="eastAsia" w:ascii="方正楷体简体" w:hAnsi="方正楷体简体" w:eastAsia="方正楷体简体" w:cs="方正楷体简体"/>
          <w:b w:val="0"/>
          <w:bCs w:val="0"/>
          <w:color w:val="000000"/>
          <w:sz w:val="32"/>
          <w:szCs w:val="32"/>
          <w:lang w:val="en-US" w:eastAsia="zh-CN"/>
        </w:rPr>
        <w:t>9</w:t>
      </w:r>
      <w:r>
        <w:rPr>
          <w:rFonts w:hint="eastAsia" w:ascii="方正楷体简体" w:hAnsi="方正楷体简体" w:eastAsia="方正楷体简体" w:cs="方正楷体简体"/>
          <w:b w:val="0"/>
          <w:bCs w:val="0"/>
          <w:color w:val="000000"/>
          <w:sz w:val="32"/>
          <w:szCs w:val="32"/>
        </w:rPr>
        <w:t>）全面完成脱贫攻坚各项工作任务</w:t>
      </w:r>
    </w:p>
    <w:p>
      <w:pPr>
        <w:pStyle w:val="12"/>
        <w:keepNext w:val="0"/>
        <w:keepLines w:val="0"/>
        <w:pageBreakBefore w:val="0"/>
        <w:widowControl/>
        <w:kinsoku/>
        <w:wordWrap/>
        <w:topLinePunct w:val="0"/>
        <w:autoSpaceDE/>
        <w:autoSpaceDN/>
        <w:bidi w:val="0"/>
        <w:adjustRightInd/>
        <w:spacing w:before="0" w:beforeAutospacing="0" w:after="0" w:afterAutospacing="0" w:line="576" w:lineRule="exact"/>
        <w:ind w:firstLine="642" w:firstLineChars="200"/>
        <w:textAlignment w:val="auto"/>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rPr>
        <w:t>一是</w:t>
      </w:r>
      <w:r>
        <w:rPr>
          <w:rFonts w:hint="eastAsia" w:ascii="方正仿宋简体" w:hAnsi="方正仿宋简体" w:eastAsia="方正仿宋简体" w:cs="方正仿宋简体"/>
          <w:b/>
          <w:bCs/>
          <w:color w:val="000000"/>
          <w:sz w:val="32"/>
          <w:szCs w:val="32"/>
          <w:lang w:eastAsia="zh-CN"/>
        </w:rPr>
        <w:t>进一步强化帮扶力量</w:t>
      </w:r>
      <w:r>
        <w:rPr>
          <w:rFonts w:hint="eastAsia" w:ascii="方正仿宋简体" w:hAnsi="方正仿宋简体" w:eastAsia="方正仿宋简体" w:cs="方正仿宋简体"/>
          <w:b/>
          <w:bCs/>
          <w:color w:val="000000"/>
          <w:sz w:val="32"/>
          <w:szCs w:val="32"/>
        </w:rPr>
        <w:t>，完善帮扶工作机制</w:t>
      </w:r>
      <w:r>
        <w:rPr>
          <w:rFonts w:hint="eastAsia" w:ascii="方正仿宋简体" w:hAnsi="方正仿宋简体" w:eastAsia="方正仿宋简体" w:cs="方正仿宋简体"/>
          <w:b/>
          <w:bCs/>
          <w:color w:val="000000"/>
          <w:sz w:val="32"/>
          <w:szCs w:val="32"/>
          <w:lang w:eastAsia="zh-CN"/>
        </w:rPr>
        <w:t>。</w:t>
      </w:r>
      <w:r>
        <w:rPr>
          <w:rFonts w:hint="eastAsia" w:ascii="方正仿宋简体" w:hAnsi="方正仿宋简体" w:eastAsia="方正仿宋简体" w:cs="方正仿宋简体"/>
          <w:color w:val="000000"/>
          <w:sz w:val="32"/>
          <w:szCs w:val="32"/>
          <w:lang w:eastAsia="zh-CN"/>
        </w:rPr>
        <w:t>为帮扶</w:t>
      </w:r>
      <w:r>
        <w:rPr>
          <w:rFonts w:hint="eastAsia" w:ascii="方正仿宋简体" w:hAnsi="方正仿宋简体" w:eastAsia="方正仿宋简体" w:cs="方正仿宋简体"/>
          <w:color w:val="000000"/>
          <w:sz w:val="32"/>
          <w:szCs w:val="32"/>
        </w:rPr>
        <w:t>村</w:t>
      </w:r>
      <w:r>
        <w:rPr>
          <w:rFonts w:hint="eastAsia" w:ascii="方正仿宋简体" w:hAnsi="方正仿宋简体" w:eastAsia="方正仿宋简体" w:cs="方正仿宋简体"/>
          <w:color w:val="000000"/>
          <w:sz w:val="32"/>
          <w:szCs w:val="32"/>
          <w:lang w:eastAsia="zh-CN"/>
        </w:rPr>
        <w:t>调整驻村工作队员，</w:t>
      </w:r>
      <w:r>
        <w:rPr>
          <w:rFonts w:hint="eastAsia" w:ascii="方正仿宋简体" w:hAnsi="方正仿宋简体" w:eastAsia="方正仿宋简体" w:cs="方正仿宋简体"/>
          <w:color w:val="000000"/>
          <w:sz w:val="32"/>
          <w:szCs w:val="32"/>
        </w:rPr>
        <w:t>帮扶责任人，</w:t>
      </w:r>
      <w:r>
        <w:rPr>
          <w:rFonts w:hint="eastAsia" w:ascii="方正仿宋简体" w:hAnsi="方正仿宋简体" w:eastAsia="方正仿宋简体" w:cs="方正仿宋简体"/>
          <w:color w:val="000000"/>
          <w:sz w:val="32"/>
          <w:szCs w:val="32"/>
          <w:lang w:eastAsia="zh-CN"/>
        </w:rPr>
        <w:t>建立帮扶工作制度，严明</w:t>
      </w:r>
      <w:r>
        <w:rPr>
          <w:rFonts w:hint="eastAsia" w:ascii="方正仿宋简体" w:hAnsi="方正仿宋简体" w:eastAsia="方正仿宋简体" w:cs="方正仿宋简体"/>
          <w:color w:val="000000"/>
          <w:sz w:val="32"/>
          <w:szCs w:val="32"/>
        </w:rPr>
        <w:t>帮扶工作</w:t>
      </w:r>
      <w:r>
        <w:rPr>
          <w:rFonts w:hint="eastAsia" w:ascii="方正仿宋简体" w:hAnsi="方正仿宋简体" w:eastAsia="方正仿宋简体" w:cs="方正仿宋简体"/>
          <w:color w:val="000000"/>
          <w:sz w:val="32"/>
          <w:szCs w:val="32"/>
          <w:lang w:eastAsia="zh-CN"/>
        </w:rPr>
        <w:t>纪律</w:t>
      </w:r>
      <w:r>
        <w:rPr>
          <w:rFonts w:hint="eastAsia" w:ascii="方正仿宋简体" w:hAnsi="方正仿宋简体" w:eastAsia="方正仿宋简体" w:cs="方正仿宋简体"/>
          <w:color w:val="000000"/>
          <w:sz w:val="32"/>
          <w:szCs w:val="32"/>
        </w:rPr>
        <w:t>。</w:t>
      </w:r>
      <w:r>
        <w:rPr>
          <w:rFonts w:hint="eastAsia" w:ascii="方正仿宋简体" w:hAnsi="方正仿宋简体" w:eastAsia="方正仿宋简体" w:cs="方正仿宋简体"/>
          <w:b/>
          <w:bCs/>
          <w:color w:val="000000"/>
          <w:sz w:val="32"/>
          <w:szCs w:val="32"/>
          <w:lang w:eastAsia="zh-CN"/>
        </w:rPr>
        <w:t>二是严格落实帮包责任。</w:t>
      </w:r>
      <w:r>
        <w:rPr>
          <w:rFonts w:hint="eastAsia" w:ascii="方正仿宋简体" w:hAnsi="方正仿宋简体" w:eastAsia="方正仿宋简体" w:cs="方正仿宋简体"/>
          <w:color w:val="000000"/>
          <w:sz w:val="32"/>
          <w:szCs w:val="32"/>
          <w:lang w:eastAsia="zh-CN"/>
        </w:rPr>
        <w:t>引导帮扶村党支部书记树立“头雁”意识，借助深化农村产权制度改革的契机，谋划村庄发展思路，铺好群众致富路。</w:t>
      </w:r>
      <w:r>
        <w:rPr>
          <w:rFonts w:hint="eastAsia" w:ascii="方正仿宋简体" w:hAnsi="方正仿宋简体" w:eastAsia="方正仿宋简体" w:cs="方正仿宋简体"/>
          <w:b/>
          <w:bCs/>
          <w:color w:val="000000"/>
          <w:sz w:val="32"/>
          <w:szCs w:val="32"/>
          <w:lang w:eastAsia="zh-CN"/>
        </w:rPr>
        <w:t>三是扎实开展帮扶工作。</w:t>
      </w:r>
      <w:r>
        <w:rPr>
          <w:rFonts w:hint="eastAsia" w:ascii="方正仿宋简体" w:hAnsi="方正仿宋简体" w:eastAsia="方正仿宋简体" w:cs="方正仿宋简体"/>
          <w:color w:val="000000"/>
          <w:sz w:val="32"/>
          <w:szCs w:val="32"/>
          <w:lang w:eastAsia="zh-CN"/>
        </w:rPr>
        <w:t>开展脱贫攻坚调研，深刻剖析存在问题，逐条制定整改措施，坚持精准算账，不断规范和细化贫困户档案资料管理；严把项目验收标准关，强化对项目实施的跟踪管理。</w:t>
      </w:r>
      <w:r>
        <w:rPr>
          <w:rFonts w:hint="eastAsia" w:ascii="方正仿宋简体" w:hAnsi="方正仿宋简体" w:eastAsia="方正仿宋简体" w:cs="方正仿宋简体"/>
          <w:b/>
          <w:bCs/>
          <w:color w:val="000000"/>
          <w:sz w:val="32"/>
          <w:szCs w:val="32"/>
        </w:rPr>
        <w:t>四是</w:t>
      </w:r>
      <w:r>
        <w:rPr>
          <w:rFonts w:hint="eastAsia" w:ascii="方正仿宋简体" w:hAnsi="方正仿宋简体" w:eastAsia="方正仿宋简体" w:cs="方正仿宋简体"/>
          <w:b/>
          <w:bCs/>
          <w:color w:val="000000"/>
          <w:sz w:val="32"/>
          <w:szCs w:val="32"/>
          <w:lang w:eastAsia="zh-CN"/>
        </w:rPr>
        <w:t>多措并举，强化保障。</w:t>
      </w:r>
      <w:r>
        <w:rPr>
          <w:rFonts w:hint="eastAsia" w:ascii="方正仿宋简体" w:hAnsi="方正仿宋简体" w:eastAsia="方正仿宋简体" w:cs="方正仿宋简体"/>
          <w:b w:val="0"/>
          <w:bCs w:val="0"/>
          <w:color w:val="000000"/>
          <w:sz w:val="32"/>
          <w:szCs w:val="32"/>
          <w:lang w:eastAsia="zh-CN"/>
        </w:rPr>
        <w:t>通过</w:t>
      </w:r>
      <w:r>
        <w:rPr>
          <w:rFonts w:hint="eastAsia" w:ascii="方正仿宋简体" w:hAnsi="方正仿宋简体" w:eastAsia="方正仿宋简体" w:cs="方正仿宋简体"/>
          <w:color w:val="000000"/>
          <w:sz w:val="32"/>
          <w:szCs w:val="32"/>
        </w:rPr>
        <w:t>开展“三同”活动</w:t>
      </w:r>
      <w:r>
        <w:rPr>
          <w:rFonts w:hint="eastAsia" w:ascii="方正仿宋简体" w:hAnsi="方正仿宋简体" w:eastAsia="方正仿宋简体" w:cs="方正仿宋简体"/>
          <w:color w:val="000000"/>
          <w:sz w:val="32"/>
          <w:szCs w:val="32"/>
          <w:lang w:eastAsia="zh-CN"/>
        </w:rPr>
        <w:t>、志愿服务活动、帮扶周的方式强化与贫困户的沟通联络，准确掌握群众动态</w:t>
      </w:r>
      <w:r>
        <w:rPr>
          <w:rFonts w:hint="eastAsia" w:ascii="方正仿宋简体" w:hAnsi="方正仿宋简体" w:eastAsia="方正仿宋简体" w:cs="方正仿宋简体"/>
          <w:color w:val="000000"/>
          <w:sz w:val="32"/>
          <w:szCs w:val="32"/>
        </w:rPr>
        <w:t>，加强对党员、贫困户和生病群众</w:t>
      </w:r>
      <w:r>
        <w:rPr>
          <w:rFonts w:hint="eastAsia" w:ascii="方正仿宋简体" w:hAnsi="方正仿宋简体" w:eastAsia="方正仿宋简体" w:cs="方正仿宋简体"/>
          <w:color w:val="000000"/>
          <w:sz w:val="32"/>
          <w:szCs w:val="32"/>
          <w:lang w:eastAsia="zh-CN"/>
        </w:rPr>
        <w:t>的慰问</w:t>
      </w:r>
      <w:r>
        <w:rPr>
          <w:rFonts w:hint="eastAsia" w:ascii="方正仿宋简体" w:hAnsi="方正仿宋简体" w:eastAsia="方正仿宋简体" w:cs="方正仿宋简体"/>
          <w:color w:val="000000"/>
          <w:sz w:val="32"/>
          <w:szCs w:val="32"/>
        </w:rPr>
        <w:t>。</w:t>
      </w:r>
    </w:p>
    <w:p>
      <w:pPr>
        <w:keepNext w:val="0"/>
        <w:keepLines w:val="0"/>
        <w:pageBreakBefore w:val="0"/>
        <w:widowControl w:val="0"/>
        <w:tabs>
          <w:tab w:val="left" w:pos="595"/>
        </w:tabs>
        <w:kinsoku/>
        <w:wordWrap/>
        <w:overflowPunct w:val="0"/>
        <w:topLinePunct w:val="0"/>
        <w:autoSpaceDE/>
        <w:autoSpaceDN/>
        <w:bidi w:val="0"/>
        <w:adjustRightInd/>
        <w:spacing w:line="576" w:lineRule="exact"/>
        <w:ind w:firstLine="640"/>
        <w:textAlignment w:val="auto"/>
        <w:rPr>
          <w:rFonts w:hint="eastAsia" w:ascii="方正楷体简体" w:hAnsi="方正楷体简体" w:eastAsia="方正楷体简体" w:cs="方正楷体简体"/>
          <w:b w:val="0"/>
          <w:bCs w:val="0"/>
          <w:color w:val="000000"/>
          <w:sz w:val="32"/>
          <w:szCs w:val="32"/>
        </w:rPr>
      </w:pPr>
      <w:r>
        <w:rPr>
          <w:rFonts w:hint="eastAsia" w:ascii="方正楷体简体" w:hAnsi="方正楷体简体" w:eastAsia="方正楷体简体" w:cs="方正楷体简体"/>
          <w:b w:val="0"/>
          <w:bCs w:val="0"/>
          <w:color w:val="000000"/>
          <w:sz w:val="32"/>
          <w:szCs w:val="32"/>
        </w:rPr>
        <w:t>（</w:t>
      </w:r>
      <w:r>
        <w:rPr>
          <w:rFonts w:hint="eastAsia" w:ascii="方正楷体简体" w:hAnsi="方正楷体简体" w:eastAsia="方正楷体简体" w:cs="方正楷体简体"/>
          <w:b w:val="0"/>
          <w:bCs w:val="0"/>
          <w:color w:val="000000"/>
          <w:sz w:val="32"/>
          <w:szCs w:val="32"/>
          <w:lang w:val="en-US" w:eastAsia="zh-CN"/>
        </w:rPr>
        <w:t>10</w:t>
      </w:r>
      <w:r>
        <w:rPr>
          <w:rFonts w:hint="eastAsia" w:ascii="方正楷体简体" w:hAnsi="方正楷体简体" w:eastAsia="方正楷体简体" w:cs="方正楷体简体"/>
          <w:b w:val="0"/>
          <w:bCs w:val="0"/>
          <w:color w:val="000000"/>
          <w:sz w:val="32"/>
          <w:szCs w:val="32"/>
        </w:rPr>
        <w:t>）强化保障，突出实效</w:t>
      </w:r>
    </w:p>
    <w:p>
      <w:pPr>
        <w:keepNext w:val="0"/>
        <w:keepLines w:val="0"/>
        <w:pageBreakBefore w:val="0"/>
        <w:widowControl w:val="0"/>
        <w:kinsoku/>
        <w:wordWrap/>
        <w:overflowPunct w:val="0"/>
        <w:topLinePunct w:val="0"/>
        <w:autoSpaceDE/>
        <w:autoSpaceDN/>
        <w:bidi w:val="0"/>
        <w:adjustRightInd/>
        <w:spacing w:line="576" w:lineRule="exact"/>
        <w:ind w:firstLine="640"/>
        <w:textAlignment w:val="auto"/>
        <w:rPr>
          <w:rFonts w:hint="eastAsia" w:ascii="仿宋" w:hAnsi="仿宋" w:eastAsia="仿宋"/>
          <w:bCs/>
          <w:color w:val="000000"/>
          <w:sz w:val="32"/>
          <w:szCs w:val="32"/>
        </w:rPr>
      </w:pPr>
      <w:r>
        <w:rPr>
          <w:rFonts w:hint="eastAsia" w:ascii="方正仿宋简体" w:hAnsi="方正仿宋简体" w:eastAsia="方正仿宋简体" w:cs="方正仿宋简体"/>
          <w:color w:val="000000"/>
          <w:sz w:val="32"/>
          <w:szCs w:val="32"/>
        </w:rPr>
        <w:t>按照区委、区政府</w:t>
      </w:r>
      <w:r>
        <w:rPr>
          <w:rFonts w:hint="eastAsia" w:ascii="方正仿宋简体" w:hAnsi="方正仿宋简体" w:eastAsia="方正仿宋简体" w:cs="方正仿宋简体"/>
          <w:color w:val="000000"/>
          <w:sz w:val="32"/>
          <w:szCs w:val="32"/>
          <w:lang w:eastAsia="zh-CN"/>
        </w:rPr>
        <w:t>2019</w:t>
      </w:r>
      <w:r>
        <w:rPr>
          <w:rFonts w:hint="eastAsia" w:ascii="方正仿宋简体" w:hAnsi="方正仿宋简体" w:eastAsia="方正仿宋简体" w:cs="方正仿宋简体"/>
          <w:color w:val="000000"/>
          <w:sz w:val="32"/>
          <w:szCs w:val="32"/>
        </w:rPr>
        <w:t>年目标任务和区级相关部门《工作要点》，抓好</w:t>
      </w:r>
      <w:r>
        <w:rPr>
          <w:rFonts w:hint="eastAsia" w:ascii="方正仿宋简体" w:hAnsi="方正仿宋简体" w:eastAsia="方正仿宋简体" w:cs="方正仿宋简体"/>
          <w:color w:val="000000"/>
          <w:sz w:val="32"/>
          <w:szCs w:val="32"/>
          <w:lang w:eastAsia="zh-CN"/>
        </w:rPr>
        <w:t>并完成了</w:t>
      </w:r>
      <w:r>
        <w:rPr>
          <w:rFonts w:hint="eastAsia" w:ascii="方正仿宋简体" w:hAnsi="方正仿宋简体" w:eastAsia="方正仿宋简体" w:cs="方正仿宋简体"/>
          <w:color w:val="000000"/>
          <w:sz w:val="32"/>
          <w:szCs w:val="32"/>
        </w:rPr>
        <w:t>依法治区、</w:t>
      </w:r>
      <w:r>
        <w:rPr>
          <w:rFonts w:hint="eastAsia" w:ascii="方正仿宋简体" w:eastAsia="方正仿宋简体"/>
          <w:color w:val="000000"/>
          <w:sz w:val="32"/>
          <w:szCs w:val="32"/>
        </w:rPr>
        <w:t>法治宣传</w:t>
      </w:r>
      <w:r>
        <w:rPr>
          <w:rFonts w:hint="eastAsia" w:ascii="方正仿宋简体" w:eastAsia="方正仿宋简体"/>
          <w:color w:val="000000"/>
          <w:sz w:val="32"/>
          <w:szCs w:val="32"/>
          <w:lang w:eastAsia="zh-CN"/>
        </w:rPr>
        <w:t>、</w:t>
      </w:r>
      <w:r>
        <w:rPr>
          <w:rFonts w:hint="eastAsia" w:ascii="方正仿宋简体" w:eastAsia="方正仿宋简体"/>
          <w:color w:val="000000"/>
          <w:sz w:val="32"/>
          <w:szCs w:val="32"/>
        </w:rPr>
        <w:t>普法治理</w:t>
      </w:r>
      <w:r>
        <w:rPr>
          <w:rFonts w:hint="eastAsia" w:ascii="方正仿宋简体" w:eastAsia="方正仿宋简体"/>
          <w:color w:val="000000"/>
          <w:sz w:val="32"/>
          <w:szCs w:val="32"/>
          <w:lang w:eastAsia="zh-CN"/>
        </w:rPr>
        <w:t>、</w:t>
      </w:r>
      <w:r>
        <w:rPr>
          <w:rFonts w:hint="eastAsia" w:ascii="方正仿宋简体" w:hAnsi="方正仿宋简体" w:eastAsia="方正仿宋简体" w:cs="方正仿宋简体"/>
          <w:color w:val="000000"/>
          <w:sz w:val="32"/>
          <w:szCs w:val="32"/>
        </w:rPr>
        <w:t>深化改革、机构编制管理、机要保密、防邪禁毒、政务服务和政务公开、群众信访、党务政务信息、维稳综治、节能减排、档案管理</w:t>
      </w:r>
      <w:r>
        <w:rPr>
          <w:rFonts w:hint="eastAsia" w:ascii="方正仿宋简体" w:hAnsi="方正仿宋简体" w:eastAsia="方正仿宋简体" w:cs="方正仿宋简体"/>
          <w:color w:val="000000"/>
          <w:sz w:val="32"/>
          <w:szCs w:val="32"/>
          <w:lang w:eastAsia="zh-CN"/>
        </w:rPr>
        <w:t>、扫黑除恶等工作</w:t>
      </w:r>
      <w:r>
        <w:rPr>
          <w:rFonts w:hint="eastAsia" w:ascii="方正仿宋简体" w:hAnsi="方正仿宋简体" w:eastAsia="方正仿宋简体" w:cs="方正仿宋简体"/>
          <w:color w:val="000000"/>
          <w:sz w:val="32"/>
          <w:szCs w:val="32"/>
        </w:rPr>
        <w:t>。</w:t>
      </w:r>
    </w:p>
    <w:p>
      <w:pPr>
        <w:pStyle w:val="3"/>
        <w:numPr>
          <w:ilvl w:val="0"/>
          <w:numId w:val="1"/>
        </w:numPr>
        <w:rPr>
          <w:rFonts w:ascii="仿宋" w:hAnsi="仿宋" w:eastAsia="仿宋"/>
          <w:sz w:val="32"/>
          <w:szCs w:val="32"/>
        </w:rPr>
      </w:pPr>
      <w:bookmarkStart w:id="18" w:name="_Toc15377200"/>
      <w:bookmarkStart w:id="19" w:name="_Toc15396601"/>
      <w:r>
        <w:rPr>
          <w:rFonts w:hint="eastAsia" w:ascii="黑体" w:hAnsi="黑体" w:eastAsia="黑体"/>
          <w:b w:val="0"/>
          <w:color w:val="000000"/>
        </w:rPr>
        <w:t>机</w:t>
      </w:r>
      <w:r>
        <w:rPr>
          <w:rStyle w:val="18"/>
          <w:rFonts w:hint="eastAsia" w:ascii="黑体" w:hAnsi="黑体" w:eastAsia="黑体"/>
          <w:b w:val="0"/>
          <w:bCs w:val="0"/>
        </w:rPr>
        <w:t>构设置</w:t>
      </w:r>
      <w:bookmarkEnd w:id="18"/>
      <w:bookmarkEnd w:id="19"/>
    </w:p>
    <w:p>
      <w:pPr>
        <w:pStyle w:val="3"/>
        <w:ind w:left="0" w:firstLine="642" w:firstLineChars="200"/>
        <w:rPr>
          <w:rFonts w:hint="eastAsia" w:ascii="仿宋" w:hAnsi="仿宋" w:eastAsia="仿宋"/>
          <w:sz w:val="32"/>
          <w:szCs w:val="32"/>
        </w:rPr>
      </w:pPr>
      <w:r>
        <w:rPr>
          <w:rFonts w:hint="eastAsia" w:ascii="仿宋" w:hAnsi="仿宋" w:eastAsia="仿宋"/>
          <w:sz w:val="32"/>
          <w:szCs w:val="32"/>
        </w:rPr>
        <w:t>天曌山国有林场下属二级单位0个，其中行政单位0个，参照公务员法管理的事业单位0个，其他事业单位1个。</w:t>
      </w:r>
    </w:p>
    <w:p>
      <w:pPr>
        <w:pStyle w:val="3"/>
        <w:ind w:left="0" w:firstLine="642" w:firstLineChars="200"/>
        <w:rPr>
          <w:rFonts w:ascii="仿宋" w:hAnsi="仿宋" w:eastAsia="仿宋"/>
          <w:color w:val="000000"/>
          <w:kern w:val="0"/>
          <w:sz w:val="32"/>
          <w:szCs w:val="32"/>
        </w:rPr>
      </w:pPr>
      <w:r>
        <w:rPr>
          <w:rFonts w:hint="eastAsia" w:ascii="仿宋" w:hAnsi="仿宋" w:eastAsia="仿宋"/>
          <w:color w:val="000000"/>
          <w:sz w:val="32"/>
          <w:szCs w:val="32"/>
        </w:rPr>
        <w:t>纳入0个201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年度部门决算编制范围的二级预算单位。</w:t>
      </w:r>
    </w:p>
    <w:p/>
    <w:p>
      <w:pPr>
        <w:pStyle w:val="2"/>
        <w:ind w:right="440"/>
        <w:jc w:val="right"/>
        <w:rPr>
          <w:rStyle w:val="17"/>
          <w:rFonts w:ascii="黑体" w:hAnsi="黑体" w:eastAsia="黑体"/>
          <w:b w:val="0"/>
          <w:bCs w:val="0"/>
        </w:rPr>
      </w:pPr>
      <w:bookmarkStart w:id="20" w:name="_Toc15396602"/>
      <w:bookmarkStart w:id="21"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17"/>
          <w:rFonts w:hint="eastAsia" w:ascii="黑体" w:hAnsi="黑体" w:eastAsia="黑体"/>
          <w:b w:val="0"/>
          <w:bCs w:val="0"/>
        </w:rPr>
        <w:t>2019年度部门决算情况说明</w:t>
      </w:r>
      <w:bookmarkEnd w:id="20"/>
      <w:bookmarkEnd w:id="21"/>
    </w:p>
    <w:p/>
    <w:p>
      <w:pPr>
        <w:pStyle w:val="23"/>
        <w:numPr>
          <w:ilvl w:val="0"/>
          <w:numId w:val="2"/>
        </w:numPr>
        <w:spacing w:line="600" w:lineRule="exact"/>
        <w:ind w:firstLineChars="0"/>
        <w:outlineLvl w:val="1"/>
        <w:rPr>
          <w:rStyle w:val="18"/>
          <w:rFonts w:ascii="黑体" w:hAnsi="黑体" w:eastAsia="黑体"/>
          <w:b w:val="0"/>
        </w:rPr>
      </w:pPr>
      <w:bookmarkStart w:id="22" w:name="_Toc15377205"/>
      <w:bookmarkStart w:id="23" w:name="_Toc15396603"/>
      <w:r>
        <w:rPr>
          <w:rFonts w:hint="eastAsia" w:ascii="黑体" w:hAnsi="黑体" w:eastAsia="黑体"/>
          <w:color w:val="000000"/>
          <w:sz w:val="32"/>
          <w:szCs w:val="32"/>
        </w:rPr>
        <w:t>收</w:t>
      </w:r>
      <w:r>
        <w:rPr>
          <w:rStyle w:val="18"/>
          <w:rFonts w:hint="eastAsia" w:ascii="黑体" w:hAnsi="黑体" w:eastAsia="黑体"/>
          <w:b w:val="0"/>
        </w:rPr>
        <w:t>入支出决算总体情况说明</w:t>
      </w:r>
      <w:bookmarkEnd w:id="22"/>
      <w:bookmarkEnd w:id="23"/>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年度收入总计</w:t>
      </w:r>
      <w:r>
        <w:rPr>
          <w:rFonts w:hint="eastAsia" w:ascii="仿宋" w:hAnsi="仿宋" w:eastAsia="仿宋"/>
          <w:color w:val="000000"/>
          <w:sz w:val="32"/>
          <w:szCs w:val="32"/>
          <w:lang w:val="en-US" w:eastAsia="zh-CN"/>
        </w:rPr>
        <w:t>1012.16万元。</w:t>
      </w:r>
      <w:r>
        <w:rPr>
          <w:rFonts w:hint="eastAsia" w:ascii="仿宋" w:hAnsi="仿宋" w:eastAsia="仿宋"/>
          <w:color w:val="000000"/>
          <w:sz w:val="32"/>
          <w:szCs w:val="32"/>
        </w:rPr>
        <w:t>与201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年相比，收入总计增加</w:t>
      </w:r>
      <w:r>
        <w:rPr>
          <w:rFonts w:hint="eastAsia" w:ascii="仿宋" w:hAnsi="仿宋" w:eastAsia="仿宋"/>
          <w:color w:val="000000"/>
          <w:sz w:val="32"/>
          <w:szCs w:val="32"/>
          <w:lang w:val="en-US" w:eastAsia="zh-CN"/>
        </w:rPr>
        <w:t>427.06</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72.99</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机构改革单位合并，人员经费及公用经费、项目的</w:t>
      </w:r>
      <w:r>
        <w:rPr>
          <w:rFonts w:hint="eastAsia" w:ascii="仿宋" w:hAnsi="仿宋" w:eastAsia="仿宋"/>
          <w:color w:val="000000"/>
          <w:sz w:val="32"/>
          <w:szCs w:val="32"/>
        </w:rPr>
        <w:t>增加。</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年度支出总计</w:t>
      </w:r>
      <w:r>
        <w:rPr>
          <w:rFonts w:hint="eastAsia" w:ascii="仿宋" w:hAnsi="仿宋" w:eastAsia="仿宋"/>
          <w:color w:val="000000"/>
          <w:sz w:val="32"/>
          <w:szCs w:val="32"/>
          <w:lang w:val="en-US" w:eastAsia="zh-CN"/>
        </w:rPr>
        <w:t>1037.34万元。</w:t>
      </w:r>
      <w:r>
        <w:rPr>
          <w:rFonts w:hint="eastAsia" w:ascii="仿宋" w:hAnsi="仿宋" w:eastAsia="仿宋"/>
          <w:color w:val="000000"/>
          <w:sz w:val="32"/>
          <w:szCs w:val="32"/>
        </w:rPr>
        <w:t>与201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年相比，支出总计</w:t>
      </w:r>
      <w:r>
        <w:rPr>
          <w:rFonts w:hint="eastAsia" w:ascii="仿宋" w:hAnsi="仿宋" w:eastAsia="仿宋"/>
          <w:color w:val="000000"/>
          <w:sz w:val="32"/>
          <w:szCs w:val="32"/>
          <w:lang w:val="en-US" w:eastAsia="zh-CN"/>
        </w:rPr>
        <w:t>增加429.04</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增长70.53</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机构改革单位合并，人员经费及公用经费、项目的</w:t>
      </w:r>
      <w:r>
        <w:rPr>
          <w:rFonts w:hint="eastAsia" w:ascii="仿宋" w:hAnsi="仿宋" w:eastAsia="仿宋"/>
          <w:color w:val="000000"/>
          <w:sz w:val="32"/>
          <w:szCs w:val="32"/>
        </w:rPr>
        <w:t>增加。</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：收、支决算总计变动情况图）（柱状图）</w:t>
      </w:r>
    </w:p>
    <w:p>
      <w:pPr>
        <w:spacing w:line="600" w:lineRule="exact"/>
        <w:ind w:firstLine="640" w:firstLineChars="200"/>
        <w:rPr>
          <w:rFonts w:hint="eastAsia" w:ascii="仿宋" w:hAnsi="仿宋" w:eastAsia="仿宋"/>
          <w:color w:val="000000"/>
          <w:sz w:val="32"/>
          <w:szCs w:val="32"/>
        </w:rPr>
      </w:pPr>
    </w:p>
    <w:p>
      <w:pPr>
        <w:ind w:firstLine="640" w:firstLineChars="200"/>
        <w:jc w:val="left"/>
        <w:rPr>
          <w:rFonts w:ascii="仿宋_GB2312" w:eastAsia="仿宋_GB2312" w:cs="仿宋_GB2312"/>
          <w:color w:val="000000"/>
          <w:sz w:val="32"/>
          <w:szCs w:val="32"/>
        </w:rPr>
      </w:pPr>
      <w:r>
        <w:rPr>
          <w:rFonts w:hint="eastAsia" w:ascii="仿宋_GB2312" w:eastAsia="仿宋_GB2312" w:cs="仿宋_GB2312"/>
          <w:color w:val="000000"/>
          <w:sz w:val="32"/>
          <w:szCs w:val="32"/>
        </w:rPr>
        <w:drawing>
          <wp:inline distT="0" distB="0" distL="0" distR="0">
            <wp:extent cx="5274310" cy="3076575"/>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jc w:val="left"/>
        <w:rPr>
          <w:rFonts w:ascii="仿宋_GB2312" w:eastAsia="仿宋_GB2312"/>
          <w:color w:val="000000"/>
          <w:sz w:val="32"/>
          <w:szCs w:val="32"/>
        </w:rPr>
      </w:pPr>
    </w:p>
    <w:p>
      <w:pPr>
        <w:pStyle w:val="23"/>
        <w:numPr>
          <w:ilvl w:val="0"/>
          <w:numId w:val="2"/>
        </w:numPr>
        <w:spacing w:line="600" w:lineRule="exact"/>
        <w:ind w:firstLineChars="0"/>
        <w:outlineLvl w:val="1"/>
        <w:rPr>
          <w:rStyle w:val="18"/>
          <w:rFonts w:ascii="黑体" w:hAnsi="黑体" w:eastAsia="黑体"/>
          <w:b w:val="0"/>
        </w:rPr>
      </w:pPr>
      <w:bookmarkStart w:id="24" w:name="_Toc15396604"/>
      <w:bookmarkStart w:id="25" w:name="_Toc15377206"/>
      <w:r>
        <w:rPr>
          <w:rFonts w:hint="eastAsia" w:ascii="黑体" w:hAnsi="黑体" w:eastAsia="黑体"/>
          <w:color w:val="000000"/>
          <w:sz w:val="32"/>
          <w:szCs w:val="32"/>
        </w:rPr>
        <w:t>收</w:t>
      </w:r>
      <w:r>
        <w:rPr>
          <w:rStyle w:val="18"/>
          <w:rFonts w:hint="eastAsia" w:ascii="黑体" w:hAnsi="黑体" w:eastAsia="黑体"/>
          <w:b w:val="0"/>
        </w:rPr>
        <w:t>入决算情况说明</w:t>
      </w:r>
      <w:bookmarkEnd w:id="24"/>
      <w:bookmarkEnd w:id="25"/>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1012.06</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1012.06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；上级补助收入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（图2：收入决算结构图）（饼状图）</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drawing>
          <wp:inline distT="0" distB="0" distL="0" distR="0">
            <wp:extent cx="5181600" cy="2771775"/>
            <wp:effectExtent l="0" t="0" r="0" b="0"/>
            <wp:docPr id="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3"/>
        <w:numPr>
          <w:ilvl w:val="0"/>
          <w:numId w:val="2"/>
        </w:numPr>
        <w:spacing w:line="600" w:lineRule="exact"/>
        <w:ind w:firstLineChars="0"/>
        <w:outlineLvl w:val="1"/>
        <w:rPr>
          <w:rStyle w:val="18"/>
          <w:rFonts w:ascii="黑体" w:hAnsi="黑体" w:eastAsia="黑体"/>
          <w:b w:val="0"/>
        </w:rPr>
      </w:pPr>
      <w:bookmarkStart w:id="26" w:name="_Toc15377207"/>
      <w:bookmarkStart w:id="27" w:name="_Toc15396605"/>
      <w:r>
        <w:rPr>
          <w:rFonts w:hint="eastAsia" w:ascii="黑体" w:hAnsi="黑体" w:eastAsia="黑体"/>
          <w:color w:val="000000"/>
          <w:sz w:val="32"/>
          <w:szCs w:val="32"/>
        </w:rPr>
        <w:t>支</w:t>
      </w:r>
      <w:r>
        <w:rPr>
          <w:rStyle w:val="18"/>
          <w:rFonts w:hint="eastAsia" w:ascii="黑体" w:hAnsi="黑体" w:eastAsia="黑体"/>
          <w:b w:val="0"/>
        </w:rPr>
        <w:t>出决算情况说明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1037.34</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641.62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61.85</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395.72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38.15</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（图3：支出决算结构图）（饼状图）</w:t>
      </w:r>
    </w:p>
    <w:p>
      <w:pPr>
        <w:ind w:firstLine="640" w:firstLineChars="200"/>
        <w:rPr>
          <w:rFonts w:ascii="仿宋_GB2312" w:eastAsia="仿宋_GB2312"/>
          <w:color w:val="FF0000"/>
          <w:sz w:val="32"/>
          <w:szCs w:val="32"/>
        </w:rPr>
      </w:pPr>
      <w:r>
        <w:rPr>
          <w:rFonts w:hint="eastAsia" w:ascii="仿宋_GB2312" w:eastAsia="仿宋_GB2312"/>
          <w:color w:val="FF0000"/>
          <w:sz w:val="32"/>
          <w:szCs w:val="32"/>
        </w:rPr>
        <w:drawing>
          <wp:inline distT="0" distB="0" distL="0" distR="0">
            <wp:extent cx="5274310" cy="3076575"/>
            <wp:effectExtent l="0" t="0" r="0" b="0"/>
            <wp:docPr id="3"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outlineLvl w:val="1"/>
        <w:rPr>
          <w:rStyle w:val="18"/>
          <w:rFonts w:ascii="黑体" w:hAnsi="黑体" w:eastAsia="黑体"/>
          <w:b w:val="0"/>
        </w:rPr>
      </w:pPr>
      <w:bookmarkStart w:id="28" w:name="_Toc15377208"/>
      <w:bookmarkStart w:id="29" w:name="_Toc15396606"/>
      <w:r>
        <w:rPr>
          <w:rFonts w:hint="eastAsia" w:ascii="黑体" w:hAnsi="黑体" w:eastAsia="黑体"/>
          <w:color w:val="000000"/>
          <w:sz w:val="32"/>
          <w:szCs w:val="32"/>
        </w:rPr>
        <w:t>四、财</w:t>
      </w:r>
      <w:r>
        <w:rPr>
          <w:rStyle w:val="18"/>
          <w:rFonts w:hint="eastAsia" w:ascii="黑体" w:hAnsi="黑体" w:eastAsia="黑体"/>
          <w:b w:val="0"/>
        </w:rPr>
        <w:t>政拨款收入支出决算总体情况说明</w:t>
      </w:r>
      <w:bookmarkEnd w:id="28"/>
      <w:bookmarkEnd w:id="29"/>
    </w:p>
    <w:p>
      <w:pPr>
        <w:spacing w:line="600" w:lineRule="exact"/>
        <w:ind w:firstLine="640" w:firstLineChars="200"/>
        <w:rPr>
          <w:rFonts w:ascii="仿宋" w:hAnsi="仿宋" w:eastAsia="仿宋"/>
          <w:color w:val="000000"/>
          <w:sz w:val="32"/>
          <w:szCs w:val="32"/>
        </w:rPr>
      </w:pPr>
      <w:r>
        <w:rPr>
          <w:rFonts w:hint="eastAsia" w:ascii="仿宋" w:hAnsi="仿宋" w:eastAsia="仿宋" w:cs="仿宋"/>
          <w:color w:val="000000"/>
          <w:sz w:val="32"/>
          <w:szCs w:val="32"/>
        </w:rPr>
        <w:t>201</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年财政拨款收入总计</w:t>
      </w:r>
      <w:r>
        <w:rPr>
          <w:rFonts w:hint="eastAsia" w:ascii="仿宋" w:hAnsi="仿宋" w:eastAsia="仿宋" w:cs="仿宋"/>
          <w:color w:val="000000"/>
          <w:sz w:val="32"/>
          <w:szCs w:val="32"/>
          <w:lang w:val="en-US" w:eastAsia="zh-CN"/>
        </w:rPr>
        <w:t>1012.06万元。</w:t>
      </w:r>
      <w:r>
        <w:rPr>
          <w:rFonts w:hint="eastAsia" w:ascii="仿宋" w:hAnsi="仿宋" w:eastAsia="仿宋" w:cs="仿宋"/>
          <w:color w:val="000000"/>
          <w:sz w:val="32"/>
          <w:szCs w:val="32"/>
        </w:rPr>
        <w:t>与201</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年相比，财政拨款收入总计增加</w:t>
      </w:r>
      <w:r>
        <w:rPr>
          <w:rFonts w:hint="eastAsia" w:ascii="仿宋" w:hAnsi="仿宋" w:eastAsia="仿宋" w:cs="仿宋"/>
          <w:color w:val="000000"/>
          <w:sz w:val="32"/>
          <w:szCs w:val="32"/>
          <w:lang w:val="en-US" w:eastAsia="zh-CN"/>
        </w:rPr>
        <w:t>427.06</w:t>
      </w:r>
      <w:r>
        <w:rPr>
          <w:rFonts w:hint="eastAsia" w:ascii="仿宋" w:hAnsi="仿宋" w:eastAsia="仿宋" w:cs="仿宋"/>
          <w:color w:val="000000"/>
          <w:sz w:val="32"/>
          <w:szCs w:val="32"/>
        </w:rPr>
        <w:t>万元，增长</w:t>
      </w:r>
      <w:r>
        <w:rPr>
          <w:rFonts w:hint="eastAsia" w:ascii="仿宋" w:hAnsi="仿宋" w:eastAsia="仿宋" w:cs="仿宋"/>
          <w:color w:val="000000"/>
          <w:sz w:val="32"/>
          <w:szCs w:val="32"/>
          <w:lang w:val="en-US" w:eastAsia="zh-CN"/>
        </w:rPr>
        <w:t>72.99</w:t>
      </w:r>
      <w:r>
        <w:rPr>
          <w:rFonts w:hint="eastAsia" w:ascii="仿宋" w:hAnsi="仿宋" w:eastAsia="仿宋" w:cs="仿宋"/>
          <w:color w:val="000000"/>
          <w:sz w:val="32"/>
          <w:szCs w:val="32"/>
        </w:rPr>
        <w:t>%。主要变动原因是</w:t>
      </w:r>
      <w:r>
        <w:rPr>
          <w:rFonts w:hint="eastAsia" w:ascii="仿宋" w:hAnsi="仿宋" w:eastAsia="仿宋"/>
          <w:color w:val="000000"/>
          <w:sz w:val="32"/>
          <w:szCs w:val="32"/>
          <w:lang w:val="en-US" w:eastAsia="zh-CN"/>
        </w:rPr>
        <w:t>机构改革单位合并，人员经费及公用经费、项目的</w:t>
      </w:r>
      <w:r>
        <w:rPr>
          <w:rFonts w:hint="eastAsia" w:ascii="仿宋" w:hAnsi="仿宋" w:eastAsia="仿宋"/>
          <w:color w:val="000000"/>
          <w:sz w:val="32"/>
          <w:szCs w:val="32"/>
        </w:rPr>
        <w:t>增加。</w:t>
      </w:r>
    </w:p>
    <w:p>
      <w:pPr>
        <w:spacing w:line="600" w:lineRule="exact"/>
        <w:ind w:firstLine="640" w:firstLineChars="200"/>
        <w:rPr>
          <w:rFonts w:ascii="仿宋" w:hAnsi="仿宋" w:eastAsia="仿宋"/>
          <w:color w:val="000000"/>
          <w:sz w:val="32"/>
          <w:szCs w:val="32"/>
        </w:rPr>
      </w:pPr>
      <w:r>
        <w:rPr>
          <w:rFonts w:hint="eastAsia" w:ascii="仿宋" w:hAnsi="仿宋" w:eastAsia="仿宋" w:cs="仿宋"/>
          <w:color w:val="000000"/>
          <w:sz w:val="32"/>
          <w:szCs w:val="32"/>
        </w:rPr>
        <w:t>201</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年财政拨款支出总计</w:t>
      </w:r>
      <w:r>
        <w:rPr>
          <w:rFonts w:hint="eastAsia" w:ascii="仿宋" w:hAnsi="仿宋" w:eastAsia="仿宋" w:cs="仿宋"/>
          <w:color w:val="000000"/>
          <w:sz w:val="32"/>
          <w:szCs w:val="32"/>
          <w:lang w:val="en-US" w:eastAsia="zh-CN"/>
        </w:rPr>
        <w:t>1037.34</w:t>
      </w:r>
      <w:r>
        <w:rPr>
          <w:rFonts w:hint="eastAsia" w:ascii="仿宋" w:hAnsi="仿宋" w:eastAsia="仿宋" w:cs="仿宋"/>
          <w:color w:val="000000"/>
          <w:sz w:val="32"/>
          <w:szCs w:val="32"/>
        </w:rPr>
        <w:t>万元。与201</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年相比，财政拨款支出总计</w:t>
      </w:r>
      <w:r>
        <w:rPr>
          <w:rFonts w:hint="eastAsia" w:ascii="仿宋" w:hAnsi="仿宋" w:eastAsia="仿宋" w:cs="仿宋"/>
          <w:color w:val="000000"/>
          <w:sz w:val="32"/>
          <w:szCs w:val="32"/>
          <w:lang w:val="en-US" w:eastAsia="zh-CN"/>
        </w:rPr>
        <w:t>增加429.04</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val="en-US" w:eastAsia="zh-CN"/>
        </w:rPr>
        <w:t>增长70.53</w:t>
      </w:r>
      <w:r>
        <w:rPr>
          <w:rFonts w:hint="eastAsia" w:ascii="仿宋" w:hAnsi="仿宋" w:eastAsia="仿宋" w:cs="仿宋"/>
          <w:color w:val="000000"/>
          <w:sz w:val="32"/>
          <w:szCs w:val="32"/>
        </w:rPr>
        <w:t>%。主要变动原因</w:t>
      </w:r>
      <w:r>
        <w:rPr>
          <w:rFonts w:hint="eastAsia" w:ascii="仿宋" w:hAnsi="仿宋" w:eastAsia="仿宋"/>
          <w:color w:val="000000"/>
          <w:sz w:val="32"/>
          <w:szCs w:val="32"/>
          <w:lang w:val="en-US" w:eastAsia="zh-CN"/>
        </w:rPr>
        <w:t>机构改革单位合并，人员经费及公用经费、项目的</w:t>
      </w:r>
      <w:r>
        <w:rPr>
          <w:rFonts w:hint="eastAsia" w:ascii="仿宋" w:hAnsi="仿宋" w:eastAsia="仿宋"/>
          <w:color w:val="000000"/>
          <w:sz w:val="32"/>
          <w:szCs w:val="32"/>
        </w:rPr>
        <w:t>增加。</w:t>
      </w:r>
    </w:p>
    <w:p>
      <w:pPr>
        <w:spacing w:line="600" w:lineRule="exact"/>
        <w:ind w:firstLine="640" w:firstLineChars="200"/>
        <w:outlineLvl w:val="1"/>
        <w:rPr>
          <w:rStyle w:val="18"/>
          <w:rFonts w:ascii="黑体" w:hAnsi="黑体" w:eastAsia="黑体"/>
          <w:b w:val="0"/>
        </w:rPr>
      </w:pPr>
      <w:bookmarkStart w:id="72" w:name="_GoBack"/>
      <w:bookmarkEnd w:id="72"/>
      <w:bookmarkStart w:id="30" w:name="_Toc15377209"/>
      <w:bookmarkStart w:id="31"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8"/>
          <w:rFonts w:hint="eastAsia" w:ascii="黑体" w:hAnsi="黑体" w:eastAsia="黑体"/>
          <w:b w:val="0"/>
        </w:rPr>
        <w:t>般公共预算财政拨款支出决算情况说明</w:t>
      </w:r>
      <w:bookmarkEnd w:id="30"/>
      <w:bookmarkEnd w:id="31"/>
    </w:p>
    <w:p>
      <w:pPr>
        <w:spacing w:line="600" w:lineRule="exact"/>
        <w:ind w:firstLine="642" w:firstLineChars="200"/>
        <w:outlineLvl w:val="2"/>
        <w:rPr>
          <w:rFonts w:ascii="仿宋" w:hAnsi="仿宋" w:eastAsia="仿宋"/>
          <w:b/>
          <w:color w:val="000000"/>
          <w:sz w:val="32"/>
          <w:szCs w:val="32"/>
        </w:rPr>
      </w:pPr>
      <w:bookmarkStart w:id="32" w:name="_Toc15377210"/>
      <w:r>
        <w:rPr>
          <w:rFonts w:hint="eastAsia" w:ascii="仿宋" w:hAnsi="仿宋" w:eastAsia="仿宋"/>
          <w:b/>
          <w:color w:val="000000"/>
          <w:sz w:val="32"/>
          <w:szCs w:val="32"/>
        </w:rPr>
        <w:t>（一）一般公共预算财政拨款支出决算总体情况</w:t>
      </w:r>
      <w:bookmarkEnd w:id="32"/>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1037.34</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8年相比，一般公共预算财政拨款增加</w:t>
      </w:r>
      <w:r>
        <w:rPr>
          <w:rFonts w:hint="eastAsia" w:ascii="仿宋" w:hAnsi="仿宋" w:eastAsia="仿宋"/>
          <w:color w:val="000000"/>
          <w:sz w:val="32"/>
          <w:szCs w:val="32"/>
          <w:lang w:val="en-US" w:eastAsia="zh-CN"/>
        </w:rPr>
        <w:t>429.04</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70.53</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机构改革单位合并，人员经费及公用经费、项目的</w:t>
      </w:r>
      <w:r>
        <w:rPr>
          <w:rFonts w:hint="eastAsia" w:ascii="仿宋" w:hAnsi="仿宋" w:eastAsia="仿宋"/>
          <w:color w:val="000000"/>
          <w:sz w:val="32"/>
          <w:szCs w:val="32"/>
        </w:rPr>
        <w:t>增加。</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（图5：一般公共预算财政拨款支出决算变动情况）（柱状图）</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drawing>
          <wp:inline distT="0" distB="0" distL="0" distR="0">
            <wp:extent cx="5274310" cy="3076575"/>
            <wp:effectExtent l="0" t="0" r="0" b="0"/>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2" w:firstLineChars="200"/>
        <w:outlineLvl w:val="2"/>
        <w:rPr>
          <w:rFonts w:ascii="仿宋" w:hAnsi="仿宋" w:eastAsia="仿宋"/>
          <w:b/>
          <w:color w:val="000000"/>
          <w:sz w:val="32"/>
          <w:szCs w:val="32"/>
        </w:rPr>
      </w:pPr>
      <w:bookmarkStart w:id="33" w:name="_Toc15377211"/>
      <w:r>
        <w:rPr>
          <w:rFonts w:hint="eastAsia" w:ascii="仿宋" w:hAnsi="仿宋" w:eastAsia="仿宋"/>
          <w:b/>
          <w:color w:val="000000"/>
          <w:sz w:val="32"/>
          <w:szCs w:val="32"/>
        </w:rPr>
        <w:t>（二）一般公共预算财政拨款支出决算结构情况</w:t>
      </w:r>
      <w:bookmarkEnd w:id="33"/>
    </w:p>
    <w:p>
      <w:pPr>
        <w:spacing w:line="600" w:lineRule="exact"/>
        <w:ind w:firstLine="640"/>
        <w:rPr>
          <w:rFonts w:ascii="仿宋" w:hAnsi="仿宋" w:eastAsia="仿宋"/>
          <w:color w:val="FF0000"/>
          <w:sz w:val="32"/>
          <w:szCs w:val="32"/>
        </w:rPr>
      </w:pPr>
      <w:r>
        <w:rPr>
          <w:rFonts w:ascii="仿宋" w:hAnsi="仿宋" w:eastAsia="仿宋"/>
          <w:color w:val="FF0000"/>
          <w:sz w:val="32"/>
          <w:szCs w:val="32"/>
        </w:rPr>
        <w:t>201</w:t>
      </w:r>
      <w:r>
        <w:rPr>
          <w:rFonts w:hint="eastAsia" w:ascii="仿宋" w:hAnsi="仿宋" w:eastAsia="仿宋"/>
          <w:color w:val="FF0000"/>
          <w:sz w:val="32"/>
          <w:szCs w:val="32"/>
          <w:lang w:val="en-US" w:eastAsia="zh-CN"/>
        </w:rPr>
        <w:t>9</w:t>
      </w:r>
      <w:r>
        <w:rPr>
          <w:rFonts w:hint="eastAsia" w:ascii="仿宋" w:hAnsi="仿宋" w:eastAsia="仿宋"/>
          <w:color w:val="FF0000"/>
          <w:sz w:val="32"/>
          <w:szCs w:val="32"/>
        </w:rPr>
        <w:t>年一般公共预算财政拨款支出</w:t>
      </w:r>
      <w:r>
        <w:rPr>
          <w:rFonts w:hint="eastAsia" w:ascii="仿宋" w:hAnsi="仿宋" w:eastAsia="仿宋"/>
          <w:color w:val="FF0000"/>
          <w:sz w:val="32"/>
          <w:szCs w:val="32"/>
          <w:lang w:val="en-US" w:eastAsia="zh-CN"/>
        </w:rPr>
        <w:t>1037.34</w:t>
      </w:r>
      <w:r>
        <w:rPr>
          <w:rFonts w:hint="eastAsia" w:ascii="仿宋" w:hAnsi="仿宋" w:eastAsia="仿宋"/>
          <w:color w:val="FF0000"/>
          <w:sz w:val="32"/>
          <w:szCs w:val="32"/>
        </w:rPr>
        <w:t>万元，主要用于以下方面</w:t>
      </w:r>
      <w:r>
        <w:rPr>
          <w:rFonts w:ascii="仿宋" w:hAnsi="仿宋" w:eastAsia="仿宋"/>
          <w:color w:val="FF0000"/>
          <w:sz w:val="32"/>
          <w:szCs w:val="32"/>
        </w:rPr>
        <w:t>:</w:t>
      </w:r>
      <w:r>
        <w:rPr>
          <w:rFonts w:hint="eastAsia" w:ascii="仿宋" w:hAnsi="仿宋" w:eastAsia="仿宋"/>
          <w:color w:val="FF0000"/>
          <w:sz w:val="32"/>
          <w:szCs w:val="32"/>
        </w:rPr>
        <w:t>农林水支出（类）</w:t>
      </w:r>
      <w:r>
        <w:rPr>
          <w:rFonts w:hint="eastAsia" w:ascii="仿宋" w:hAnsi="仿宋" w:eastAsia="仿宋"/>
          <w:color w:val="FF0000"/>
          <w:sz w:val="32"/>
          <w:szCs w:val="32"/>
          <w:lang w:val="en-US" w:eastAsia="zh-CN"/>
        </w:rPr>
        <w:t>522.93</w:t>
      </w:r>
      <w:r>
        <w:rPr>
          <w:rFonts w:hint="eastAsia" w:ascii="仿宋" w:hAnsi="仿宋" w:eastAsia="仿宋"/>
          <w:color w:val="FF0000"/>
          <w:sz w:val="32"/>
          <w:szCs w:val="32"/>
        </w:rPr>
        <w:t>万元，占</w:t>
      </w:r>
      <w:r>
        <w:rPr>
          <w:rFonts w:hint="eastAsia" w:ascii="仿宋" w:hAnsi="仿宋" w:eastAsia="仿宋"/>
          <w:color w:val="FF0000"/>
          <w:sz w:val="32"/>
          <w:szCs w:val="32"/>
          <w:lang w:val="en-US" w:eastAsia="zh-CN"/>
        </w:rPr>
        <w:t>50.41</w:t>
      </w:r>
      <w:r>
        <w:rPr>
          <w:rFonts w:ascii="仿宋" w:hAnsi="仿宋" w:eastAsia="仿宋"/>
          <w:color w:val="FF0000"/>
          <w:sz w:val="32"/>
          <w:szCs w:val="32"/>
        </w:rPr>
        <w:t>%</w:t>
      </w:r>
      <w:r>
        <w:rPr>
          <w:rFonts w:hint="eastAsia" w:ascii="仿宋" w:hAnsi="仿宋" w:eastAsia="仿宋"/>
          <w:color w:val="FF0000"/>
          <w:sz w:val="32"/>
          <w:szCs w:val="32"/>
        </w:rPr>
        <w:t>；</w:t>
      </w:r>
      <w:r>
        <w:rPr>
          <w:rFonts w:hint="eastAsia" w:ascii="仿宋" w:hAnsi="仿宋" w:eastAsia="仿宋"/>
          <w:b/>
          <w:color w:val="FF0000"/>
          <w:sz w:val="32"/>
          <w:szCs w:val="32"/>
        </w:rPr>
        <w:t>社会保障和就业</w:t>
      </w:r>
      <w:r>
        <w:rPr>
          <w:rFonts w:hint="eastAsia" w:ascii="仿宋" w:hAnsi="仿宋" w:eastAsia="仿宋"/>
          <w:color w:val="FF0000"/>
          <w:sz w:val="32"/>
          <w:szCs w:val="32"/>
        </w:rPr>
        <w:t>支出（类）</w:t>
      </w:r>
      <w:r>
        <w:rPr>
          <w:rFonts w:hint="eastAsia" w:ascii="仿宋" w:hAnsi="仿宋" w:eastAsia="仿宋"/>
          <w:color w:val="FF0000"/>
          <w:sz w:val="32"/>
          <w:szCs w:val="32"/>
          <w:lang w:val="en-US" w:eastAsia="zh-CN"/>
        </w:rPr>
        <w:t>62.19</w:t>
      </w:r>
      <w:r>
        <w:rPr>
          <w:rFonts w:hint="eastAsia" w:ascii="仿宋" w:hAnsi="仿宋" w:eastAsia="仿宋"/>
          <w:color w:val="FF0000"/>
          <w:sz w:val="32"/>
          <w:szCs w:val="32"/>
        </w:rPr>
        <w:t>万元，占</w:t>
      </w:r>
      <w:r>
        <w:rPr>
          <w:rFonts w:hint="eastAsia" w:ascii="仿宋" w:hAnsi="仿宋" w:eastAsia="仿宋"/>
          <w:color w:val="FF0000"/>
          <w:sz w:val="32"/>
          <w:szCs w:val="32"/>
          <w:lang w:val="en-US" w:eastAsia="zh-CN"/>
        </w:rPr>
        <w:t>6.0</w:t>
      </w:r>
      <w:r>
        <w:rPr>
          <w:rFonts w:ascii="仿宋" w:hAnsi="仿宋" w:eastAsia="仿宋"/>
          <w:color w:val="FF0000"/>
          <w:sz w:val="32"/>
          <w:szCs w:val="32"/>
        </w:rPr>
        <w:t>%</w:t>
      </w:r>
      <w:r>
        <w:rPr>
          <w:rFonts w:hint="eastAsia" w:ascii="仿宋" w:hAnsi="仿宋" w:eastAsia="仿宋"/>
          <w:color w:val="FF0000"/>
          <w:sz w:val="32"/>
          <w:szCs w:val="32"/>
        </w:rPr>
        <w:t>；医疗卫生与计划生育支出（类）</w:t>
      </w:r>
      <w:r>
        <w:rPr>
          <w:rFonts w:hint="eastAsia" w:ascii="仿宋" w:hAnsi="仿宋" w:eastAsia="仿宋"/>
          <w:color w:val="FF0000"/>
          <w:sz w:val="32"/>
          <w:szCs w:val="32"/>
          <w:lang w:val="en-US" w:eastAsia="zh-CN"/>
        </w:rPr>
        <w:t>26.10</w:t>
      </w:r>
      <w:r>
        <w:rPr>
          <w:rFonts w:hint="eastAsia" w:ascii="仿宋" w:hAnsi="仿宋" w:eastAsia="仿宋"/>
          <w:color w:val="FF0000"/>
          <w:sz w:val="32"/>
          <w:szCs w:val="32"/>
        </w:rPr>
        <w:t>万元，占</w:t>
      </w:r>
      <w:r>
        <w:rPr>
          <w:rFonts w:hint="eastAsia" w:ascii="仿宋" w:hAnsi="仿宋" w:eastAsia="仿宋"/>
          <w:color w:val="FF0000"/>
          <w:sz w:val="32"/>
          <w:szCs w:val="32"/>
          <w:lang w:val="en-US" w:eastAsia="zh-CN"/>
        </w:rPr>
        <w:t>2.52</w:t>
      </w:r>
      <w:r>
        <w:rPr>
          <w:rFonts w:ascii="仿宋" w:hAnsi="仿宋" w:eastAsia="仿宋"/>
          <w:color w:val="FF0000"/>
          <w:sz w:val="32"/>
          <w:szCs w:val="32"/>
        </w:rPr>
        <w:t>%</w:t>
      </w:r>
      <w:r>
        <w:rPr>
          <w:rFonts w:hint="eastAsia" w:ascii="仿宋" w:hAnsi="仿宋" w:eastAsia="仿宋"/>
          <w:color w:val="FF0000"/>
          <w:sz w:val="32"/>
          <w:szCs w:val="32"/>
        </w:rPr>
        <w:t>；住房保障支出（类）</w:t>
      </w:r>
      <w:r>
        <w:rPr>
          <w:rFonts w:hint="eastAsia" w:ascii="仿宋" w:hAnsi="仿宋" w:eastAsia="仿宋"/>
          <w:color w:val="FF0000"/>
          <w:sz w:val="32"/>
          <w:szCs w:val="32"/>
          <w:lang w:val="en-US" w:eastAsia="zh-CN"/>
        </w:rPr>
        <w:t>34.48</w:t>
      </w:r>
      <w:r>
        <w:rPr>
          <w:rFonts w:hint="eastAsia" w:ascii="仿宋" w:hAnsi="仿宋" w:eastAsia="仿宋"/>
          <w:color w:val="FF0000"/>
          <w:sz w:val="32"/>
          <w:szCs w:val="32"/>
        </w:rPr>
        <w:t>万元，占</w:t>
      </w:r>
      <w:r>
        <w:rPr>
          <w:rFonts w:hint="eastAsia" w:ascii="仿宋" w:hAnsi="仿宋" w:eastAsia="仿宋"/>
          <w:color w:val="FF0000"/>
          <w:sz w:val="32"/>
          <w:szCs w:val="32"/>
          <w:lang w:val="en-US" w:eastAsia="zh-CN"/>
        </w:rPr>
        <w:t>3.32</w:t>
      </w:r>
      <w:r>
        <w:rPr>
          <w:rFonts w:hint="eastAsia" w:ascii="仿宋" w:hAnsi="仿宋" w:eastAsia="仿宋"/>
          <w:color w:val="FF0000"/>
          <w:sz w:val="32"/>
          <w:szCs w:val="32"/>
        </w:rPr>
        <w:t>%</w:t>
      </w:r>
      <w:r>
        <w:rPr>
          <w:rFonts w:hint="eastAsia" w:ascii="仿宋" w:hAnsi="仿宋" w:eastAsia="仿宋"/>
          <w:color w:val="FF0000"/>
          <w:sz w:val="32"/>
          <w:szCs w:val="32"/>
          <w:lang w:eastAsia="zh-CN"/>
        </w:rPr>
        <w:t>；</w:t>
      </w:r>
      <w:r>
        <w:rPr>
          <w:rFonts w:hint="eastAsia" w:ascii="仿宋" w:hAnsi="仿宋" w:eastAsia="仿宋"/>
          <w:color w:val="FF0000"/>
          <w:sz w:val="32"/>
          <w:szCs w:val="32"/>
          <w:lang w:val="en-US" w:eastAsia="zh-CN"/>
        </w:rPr>
        <w:t>节能环保支出（类）391.64万元，占37.75%</w:t>
      </w:r>
      <w:r>
        <w:rPr>
          <w:rFonts w:hint="eastAsia" w:ascii="仿宋" w:hAnsi="仿宋" w:eastAsia="仿宋"/>
          <w:color w:val="FF0000"/>
          <w:sz w:val="32"/>
          <w:szCs w:val="32"/>
        </w:rPr>
        <w:t>。</w:t>
      </w:r>
      <w:r>
        <w:rPr>
          <w:rFonts w:hint="eastAsia" w:ascii="仿宋" w:hAnsi="仿宋" w:eastAsia="仿宋"/>
          <w:b/>
          <w:color w:val="FF0000"/>
          <w:sz w:val="32"/>
          <w:szCs w:val="32"/>
        </w:rPr>
        <w:t>（罗列全部功能分类科目，至类级。）</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drawing>
          <wp:inline distT="0" distB="0" distL="0" distR="0">
            <wp:extent cx="5274310" cy="3076575"/>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2" w:firstLineChars="200"/>
        <w:outlineLvl w:val="2"/>
        <w:rPr>
          <w:rFonts w:ascii="仿宋" w:hAnsi="仿宋" w:eastAsia="仿宋"/>
          <w:b/>
          <w:color w:val="000000"/>
          <w:sz w:val="32"/>
          <w:szCs w:val="32"/>
        </w:rPr>
      </w:pPr>
      <w:bookmarkStart w:id="34" w:name="_Toc15377212"/>
      <w:r>
        <w:rPr>
          <w:rFonts w:hint="eastAsia" w:ascii="仿宋" w:hAnsi="仿宋" w:eastAsia="仿宋"/>
          <w:b/>
          <w:color w:val="000000"/>
          <w:sz w:val="32"/>
          <w:szCs w:val="32"/>
        </w:rPr>
        <w:t>（三）一般公共预算财政拨款支出决算具体情况</w:t>
      </w:r>
      <w:bookmarkEnd w:id="34"/>
    </w:p>
    <w:p>
      <w:pPr>
        <w:spacing w:line="600" w:lineRule="exact"/>
        <w:ind w:firstLine="642" w:firstLineChars="200"/>
        <w:outlineLvl w:val="2"/>
        <w:rPr>
          <w:rStyle w:val="15"/>
          <w:rFonts w:hint="eastAsia" w:ascii="仿宋" w:hAnsi="仿宋" w:eastAsia="仿宋"/>
          <w:bCs/>
          <w:color w:val="000000"/>
          <w:sz w:val="32"/>
          <w:szCs w:val="32"/>
        </w:rPr>
      </w:pPr>
      <w:bookmarkStart w:id="35" w:name="_Toc15377444"/>
      <w:bookmarkStart w:id="36" w:name="_Toc15377213"/>
      <w:bookmarkStart w:id="37" w:name="_Toc15378460"/>
      <w:r>
        <w:rPr>
          <w:rFonts w:hint="eastAsia" w:ascii="仿宋" w:hAnsi="仿宋" w:eastAsia="仿宋"/>
          <w:b/>
          <w:color w:val="000000"/>
          <w:sz w:val="32"/>
          <w:szCs w:val="32"/>
        </w:rPr>
        <w:t>2019年</w:t>
      </w:r>
      <w:r>
        <w:rPr>
          <w:rFonts w:hint="eastAsia" w:ascii="仿宋" w:hAnsi="仿宋" w:eastAsia="仿宋"/>
          <w:b/>
          <w:color w:val="000000"/>
          <w:sz w:val="32"/>
          <w:szCs w:val="32"/>
          <w:lang w:val="en-US" w:eastAsia="zh-CN"/>
        </w:rPr>
        <w:t>一</w:t>
      </w:r>
      <w:r>
        <w:rPr>
          <w:rFonts w:hint="eastAsia" w:ascii="仿宋" w:hAnsi="仿宋" w:eastAsia="仿宋"/>
          <w:b/>
          <w:color w:val="000000"/>
          <w:sz w:val="32"/>
          <w:szCs w:val="32"/>
        </w:rPr>
        <w:t>般公共预算支出决算数为</w:t>
      </w:r>
      <w:r>
        <w:rPr>
          <w:rFonts w:hint="eastAsia" w:ascii="仿宋" w:hAnsi="仿宋" w:eastAsia="仿宋"/>
          <w:b/>
          <w:color w:val="000000"/>
          <w:sz w:val="32"/>
          <w:szCs w:val="32"/>
          <w:lang w:val="en-US" w:eastAsia="zh-CN"/>
        </w:rPr>
        <w:t>1037.34</w:t>
      </w:r>
      <w:r>
        <w:rPr>
          <w:rFonts w:hint="eastAsia" w:ascii="仿宋" w:hAnsi="仿宋" w:eastAsia="仿宋"/>
          <w:color w:val="000000"/>
          <w:sz w:val="32"/>
          <w:szCs w:val="32"/>
        </w:rPr>
        <w:t>，</w:t>
      </w:r>
      <w:r>
        <w:rPr>
          <w:rStyle w:val="15"/>
          <w:rFonts w:hint="eastAsia" w:ascii="仿宋" w:hAnsi="仿宋" w:eastAsia="仿宋"/>
          <w:bCs/>
          <w:color w:val="000000"/>
          <w:sz w:val="32"/>
          <w:szCs w:val="32"/>
        </w:rPr>
        <w:t>完成预算</w:t>
      </w:r>
      <w:r>
        <w:rPr>
          <w:rStyle w:val="15"/>
          <w:rFonts w:hint="eastAsia" w:ascii="仿宋" w:hAnsi="仿宋" w:eastAsia="仿宋"/>
          <w:bCs/>
          <w:color w:val="000000"/>
          <w:sz w:val="32"/>
          <w:szCs w:val="32"/>
          <w:lang w:val="en-US" w:eastAsia="zh-CN"/>
        </w:rPr>
        <w:t>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5"/>
      <w:bookmarkEnd w:id="36"/>
      <w:bookmarkEnd w:id="37"/>
    </w:p>
    <w:p>
      <w:pPr>
        <w:spacing w:line="600" w:lineRule="exact"/>
        <w:ind w:firstLine="640" w:firstLineChars="200"/>
        <w:rPr>
          <w:rStyle w:val="15"/>
          <w:rFonts w:ascii="仿宋" w:hAnsi="仿宋" w:eastAsia="仿宋"/>
          <w:b w:val="0"/>
          <w:bCs w:val="0"/>
          <w:color w:val="000000"/>
          <w:sz w:val="32"/>
          <w:szCs w:val="32"/>
          <w:highlight w:val="none"/>
        </w:rPr>
      </w:pPr>
      <w:r>
        <w:rPr>
          <w:rStyle w:val="15"/>
          <w:rFonts w:hint="eastAsia" w:ascii="仿宋" w:hAnsi="仿宋" w:eastAsia="仿宋"/>
          <w:b w:val="0"/>
          <w:bCs w:val="0"/>
          <w:color w:val="000000"/>
          <w:sz w:val="32"/>
          <w:szCs w:val="32"/>
          <w:highlight w:val="none"/>
        </w:rPr>
        <w:t>1、社会保障和就业支出（类）抚恤（款）死亡抚恤（项）</w:t>
      </w:r>
      <w:r>
        <w:rPr>
          <w:rStyle w:val="15"/>
          <w:rFonts w:ascii="仿宋" w:hAnsi="仿宋" w:eastAsia="仿宋"/>
          <w:b w:val="0"/>
          <w:bCs w:val="0"/>
          <w:color w:val="000000"/>
          <w:sz w:val="32"/>
          <w:szCs w:val="32"/>
          <w:highlight w:val="none"/>
        </w:rPr>
        <w:t xml:space="preserve">: </w:t>
      </w:r>
      <w:r>
        <w:rPr>
          <w:rStyle w:val="15"/>
          <w:rFonts w:hint="eastAsia" w:ascii="仿宋" w:hAnsi="仿宋" w:eastAsia="仿宋"/>
          <w:b w:val="0"/>
          <w:bCs w:val="0"/>
          <w:color w:val="000000"/>
          <w:sz w:val="32"/>
          <w:szCs w:val="32"/>
          <w:highlight w:val="none"/>
        </w:rPr>
        <w:t>支出决算为</w:t>
      </w:r>
      <w:r>
        <w:rPr>
          <w:rStyle w:val="15"/>
          <w:rFonts w:hint="eastAsia" w:ascii="仿宋" w:hAnsi="仿宋" w:eastAsia="仿宋"/>
          <w:b w:val="0"/>
          <w:bCs w:val="0"/>
          <w:color w:val="000000"/>
          <w:sz w:val="32"/>
          <w:szCs w:val="32"/>
          <w:highlight w:val="none"/>
          <w:lang w:val="en-US" w:eastAsia="zh-CN"/>
        </w:rPr>
        <w:t>3.48</w:t>
      </w:r>
      <w:r>
        <w:rPr>
          <w:rStyle w:val="15"/>
          <w:rFonts w:hint="eastAsia" w:ascii="仿宋" w:hAnsi="仿宋" w:eastAsia="仿宋"/>
          <w:b w:val="0"/>
          <w:bCs w:val="0"/>
          <w:color w:val="000000"/>
          <w:sz w:val="32"/>
          <w:szCs w:val="32"/>
          <w:highlight w:val="none"/>
        </w:rPr>
        <w:t>万元，完成预算100</w:t>
      </w:r>
      <w:r>
        <w:rPr>
          <w:rStyle w:val="15"/>
          <w:rFonts w:ascii="仿宋" w:hAnsi="仿宋" w:eastAsia="仿宋"/>
          <w:b w:val="0"/>
          <w:bCs w:val="0"/>
          <w:color w:val="000000"/>
          <w:sz w:val="32"/>
          <w:szCs w:val="32"/>
          <w:highlight w:val="none"/>
        </w:rPr>
        <w:t>%</w:t>
      </w:r>
      <w:r>
        <w:rPr>
          <w:rStyle w:val="15"/>
          <w:rFonts w:hint="eastAsia" w:ascii="仿宋" w:hAnsi="仿宋" w:eastAsia="仿宋"/>
          <w:b w:val="0"/>
          <w:bCs w:val="0"/>
          <w:color w:val="000000"/>
          <w:sz w:val="32"/>
          <w:szCs w:val="32"/>
          <w:highlight w:val="none"/>
        </w:rPr>
        <w:t>，决算数等于预算数。</w:t>
      </w:r>
    </w:p>
    <w:p>
      <w:pPr>
        <w:spacing w:line="600" w:lineRule="exact"/>
        <w:ind w:firstLine="642" w:firstLineChars="200"/>
        <w:rPr>
          <w:rStyle w:val="15"/>
          <w:rFonts w:hint="eastAsia" w:ascii="仿宋" w:hAnsi="仿宋" w:eastAsia="仿宋"/>
          <w:b w:val="0"/>
          <w:bCs/>
          <w:color w:val="000000"/>
          <w:sz w:val="32"/>
          <w:szCs w:val="32"/>
        </w:rPr>
      </w:pPr>
      <w:r>
        <w:rPr>
          <w:rFonts w:hint="eastAsia" w:ascii="仿宋" w:hAnsi="仿宋" w:eastAsia="仿宋"/>
          <w:b/>
          <w:color w:val="000000"/>
          <w:sz w:val="32"/>
          <w:szCs w:val="32"/>
        </w:rPr>
        <w:t>2、</w:t>
      </w:r>
      <w:r>
        <w:rPr>
          <w:rStyle w:val="15"/>
          <w:rFonts w:hint="eastAsia" w:ascii="仿宋" w:hAnsi="仿宋" w:eastAsia="仿宋"/>
          <w:bCs/>
          <w:color w:val="000000"/>
          <w:sz w:val="32"/>
          <w:szCs w:val="32"/>
        </w:rPr>
        <w:t>社会保障和就业支出（类）行政事业单位</w:t>
      </w:r>
      <w:r>
        <w:rPr>
          <w:rStyle w:val="15"/>
          <w:rFonts w:hint="eastAsia" w:ascii="仿宋" w:hAnsi="仿宋" w:eastAsia="仿宋"/>
          <w:bCs/>
          <w:color w:val="000000"/>
          <w:sz w:val="32"/>
          <w:szCs w:val="32"/>
          <w:lang w:val="en-US" w:eastAsia="zh-CN"/>
        </w:rPr>
        <w:t>离</w:t>
      </w:r>
      <w:r>
        <w:rPr>
          <w:rStyle w:val="15"/>
          <w:rFonts w:hint="eastAsia" w:ascii="仿宋" w:hAnsi="仿宋" w:eastAsia="仿宋"/>
          <w:bCs/>
          <w:color w:val="000000"/>
          <w:sz w:val="32"/>
          <w:szCs w:val="32"/>
        </w:rPr>
        <w:t>退休（款）机关事业单位基本养老保险缴费支出（项）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49.80</w:t>
      </w:r>
      <w:r>
        <w:rPr>
          <w:rStyle w:val="15"/>
          <w:rFonts w:hint="eastAsia" w:ascii="仿宋" w:hAnsi="仿宋" w:eastAsia="仿宋"/>
          <w:b w:val="0"/>
          <w:bCs/>
          <w:color w:val="000000"/>
          <w:sz w:val="32"/>
          <w:szCs w:val="32"/>
        </w:rPr>
        <w:t>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pPr>
        <w:spacing w:line="600" w:lineRule="exact"/>
        <w:ind w:firstLine="640" w:firstLineChars="200"/>
        <w:rPr>
          <w:rStyle w:val="15"/>
          <w:rFonts w:hint="eastAsia" w:ascii="仿宋" w:hAnsi="仿宋" w:eastAsia="仿宋"/>
          <w:b w:val="0"/>
          <w:bCs/>
          <w:color w:val="000000"/>
          <w:sz w:val="32"/>
          <w:szCs w:val="32"/>
        </w:rPr>
      </w:pPr>
      <w:r>
        <w:rPr>
          <w:rStyle w:val="15"/>
          <w:rFonts w:hint="eastAsia" w:ascii="仿宋" w:hAnsi="仿宋" w:eastAsia="仿宋"/>
          <w:b w:val="0"/>
          <w:bCs/>
          <w:color w:val="000000"/>
          <w:sz w:val="32"/>
          <w:szCs w:val="32"/>
          <w:lang w:val="en-US" w:eastAsia="zh-CN"/>
        </w:rPr>
        <w:t>3、</w:t>
      </w:r>
      <w:r>
        <w:rPr>
          <w:rStyle w:val="15"/>
          <w:rFonts w:hint="eastAsia" w:ascii="仿宋" w:hAnsi="仿宋" w:eastAsia="仿宋"/>
          <w:bCs/>
          <w:color w:val="000000"/>
          <w:sz w:val="32"/>
          <w:szCs w:val="32"/>
        </w:rPr>
        <w:t>社会保障和就业支出（类）行政事业单位</w:t>
      </w:r>
      <w:r>
        <w:rPr>
          <w:rStyle w:val="15"/>
          <w:rFonts w:hint="eastAsia" w:ascii="仿宋" w:hAnsi="仿宋" w:eastAsia="仿宋"/>
          <w:bCs/>
          <w:color w:val="000000"/>
          <w:sz w:val="32"/>
          <w:szCs w:val="32"/>
          <w:lang w:val="en-US" w:eastAsia="zh-CN"/>
        </w:rPr>
        <w:t>离</w:t>
      </w:r>
      <w:r>
        <w:rPr>
          <w:rStyle w:val="15"/>
          <w:rFonts w:hint="eastAsia" w:ascii="仿宋" w:hAnsi="仿宋" w:eastAsia="仿宋"/>
          <w:bCs/>
          <w:color w:val="000000"/>
          <w:sz w:val="32"/>
          <w:szCs w:val="32"/>
        </w:rPr>
        <w:t>退休（款）机关事业单位</w:t>
      </w:r>
      <w:r>
        <w:rPr>
          <w:rStyle w:val="15"/>
          <w:rFonts w:hint="eastAsia" w:ascii="仿宋" w:hAnsi="仿宋" w:eastAsia="仿宋"/>
          <w:bCs/>
          <w:color w:val="000000"/>
          <w:sz w:val="32"/>
          <w:szCs w:val="32"/>
          <w:lang w:val="en-US" w:eastAsia="zh-CN"/>
        </w:rPr>
        <w:t>职业年金缴</w:t>
      </w:r>
      <w:r>
        <w:rPr>
          <w:rStyle w:val="15"/>
          <w:rFonts w:hint="eastAsia" w:ascii="仿宋" w:hAnsi="仿宋" w:eastAsia="仿宋"/>
          <w:bCs/>
          <w:color w:val="000000"/>
          <w:sz w:val="32"/>
          <w:szCs w:val="32"/>
        </w:rPr>
        <w:t>费支出（项）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4.45</w:t>
      </w:r>
      <w:r>
        <w:rPr>
          <w:rStyle w:val="15"/>
          <w:rFonts w:hint="eastAsia" w:ascii="仿宋" w:hAnsi="仿宋" w:eastAsia="仿宋"/>
          <w:b w:val="0"/>
          <w:bCs/>
          <w:color w:val="000000"/>
          <w:sz w:val="32"/>
          <w:szCs w:val="32"/>
        </w:rPr>
        <w:t>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pPr>
        <w:spacing w:line="600" w:lineRule="exact"/>
        <w:ind w:firstLine="640" w:firstLineChars="200"/>
        <w:rPr>
          <w:rStyle w:val="15"/>
          <w:rFonts w:ascii="仿宋" w:hAnsi="仿宋" w:eastAsia="仿宋"/>
          <w:b w:val="0"/>
          <w:bCs/>
          <w:color w:val="000000"/>
          <w:sz w:val="32"/>
          <w:szCs w:val="32"/>
          <w:lang w:val="en-US" w:eastAsia="zh-CN"/>
        </w:rPr>
      </w:pPr>
      <w:r>
        <w:rPr>
          <w:rStyle w:val="15"/>
          <w:rFonts w:hint="eastAsia" w:ascii="仿宋" w:hAnsi="仿宋" w:eastAsia="仿宋"/>
          <w:b w:val="0"/>
          <w:bCs/>
          <w:color w:val="000000"/>
          <w:sz w:val="32"/>
          <w:szCs w:val="32"/>
          <w:lang w:val="en-US" w:eastAsia="zh-CN"/>
        </w:rPr>
        <w:t>4、</w:t>
      </w:r>
      <w:r>
        <w:rPr>
          <w:rStyle w:val="15"/>
          <w:rFonts w:hint="eastAsia" w:ascii="仿宋" w:hAnsi="仿宋" w:eastAsia="仿宋"/>
          <w:bCs/>
          <w:color w:val="000000"/>
          <w:sz w:val="32"/>
          <w:szCs w:val="32"/>
        </w:rPr>
        <w:t>社会保障和就业支出（类）</w:t>
      </w:r>
      <w:r>
        <w:rPr>
          <w:rStyle w:val="15"/>
          <w:rFonts w:hint="eastAsia" w:ascii="仿宋" w:hAnsi="仿宋" w:eastAsia="仿宋"/>
          <w:bCs/>
          <w:color w:val="000000"/>
          <w:sz w:val="32"/>
          <w:szCs w:val="32"/>
          <w:lang w:val="en-US" w:eastAsia="zh-CN"/>
        </w:rPr>
        <w:t>其他社会保障和就业支出</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val="en-US" w:eastAsia="zh-CN"/>
        </w:rPr>
        <w:t>其他社会保障和就业支出</w:t>
      </w:r>
      <w:r>
        <w:rPr>
          <w:rStyle w:val="15"/>
          <w:rFonts w:hint="eastAsia" w:ascii="仿宋" w:hAnsi="仿宋" w:eastAsia="仿宋"/>
          <w:bCs/>
          <w:color w:val="000000"/>
          <w:sz w:val="32"/>
          <w:szCs w:val="32"/>
        </w:rPr>
        <w:t>（项）</w:t>
      </w:r>
      <w:r>
        <w:rPr>
          <w:rStyle w:val="15"/>
          <w:rFonts w:hint="eastAsia" w:ascii="仿宋" w:hAnsi="仿宋" w:eastAsia="仿宋"/>
          <w:bCs/>
          <w:color w:val="000000"/>
          <w:sz w:val="32"/>
          <w:szCs w:val="32"/>
          <w:lang w:eastAsia="zh-CN"/>
        </w:rPr>
        <w:t>：</w:t>
      </w:r>
      <w:r>
        <w:rPr>
          <w:rStyle w:val="15"/>
          <w:rFonts w:hint="eastAsia" w:ascii="仿宋" w:hAnsi="仿宋" w:eastAsia="仿宋"/>
          <w:bCs/>
          <w:color w:val="000000"/>
          <w:sz w:val="32"/>
          <w:szCs w:val="32"/>
          <w:lang w:val="en-US" w:eastAsia="zh-CN"/>
        </w:rPr>
        <w:t>支出决算为4.46万元，</w:t>
      </w:r>
      <w:r>
        <w:rPr>
          <w:rStyle w:val="15"/>
          <w:rFonts w:hint="eastAsia" w:ascii="仿宋" w:hAnsi="仿宋" w:eastAsia="仿宋"/>
          <w:b w:val="0"/>
          <w:bCs/>
          <w:color w:val="000000"/>
          <w:sz w:val="32"/>
          <w:szCs w:val="32"/>
        </w:rPr>
        <w:t>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pPr>
        <w:spacing w:line="600" w:lineRule="exact"/>
        <w:ind w:firstLine="642"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lang w:val="en-US" w:eastAsia="zh-CN"/>
        </w:rPr>
        <w:t>5</w:t>
      </w:r>
      <w:r>
        <w:rPr>
          <w:rStyle w:val="15"/>
          <w:rFonts w:hint="eastAsia" w:ascii="仿宋" w:hAnsi="仿宋" w:eastAsia="仿宋"/>
          <w:bCs/>
          <w:color w:val="000000"/>
          <w:sz w:val="32"/>
          <w:szCs w:val="32"/>
        </w:rPr>
        <w:t>、</w:t>
      </w:r>
      <w:r>
        <w:rPr>
          <w:rStyle w:val="15"/>
          <w:rFonts w:hint="eastAsia" w:ascii="仿宋" w:hAnsi="仿宋" w:eastAsia="仿宋"/>
          <w:bCs/>
          <w:color w:val="000000"/>
          <w:sz w:val="32"/>
          <w:szCs w:val="32"/>
          <w:lang w:val="en-US" w:eastAsia="zh-CN"/>
        </w:rPr>
        <w:t>卫生健康支出</w:t>
      </w:r>
      <w:r>
        <w:rPr>
          <w:rStyle w:val="15"/>
          <w:rFonts w:hint="eastAsia" w:ascii="仿宋" w:hAnsi="仿宋" w:eastAsia="仿宋"/>
          <w:bCs/>
          <w:color w:val="000000"/>
          <w:sz w:val="32"/>
          <w:szCs w:val="32"/>
        </w:rPr>
        <w:t>（类）行政事业单位医疗（款）事业单位医疗（项）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26.10</w:t>
      </w:r>
      <w:r>
        <w:rPr>
          <w:rStyle w:val="15"/>
          <w:rFonts w:hint="eastAsia" w:ascii="仿宋" w:hAnsi="仿宋" w:eastAsia="仿宋"/>
          <w:b w:val="0"/>
          <w:bCs/>
          <w:color w:val="000000"/>
          <w:sz w:val="32"/>
          <w:szCs w:val="32"/>
        </w:rPr>
        <w:t>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pPr>
        <w:spacing w:line="600" w:lineRule="exact"/>
        <w:ind w:firstLine="642" w:firstLineChars="200"/>
        <w:rPr>
          <w:rStyle w:val="15"/>
          <w:rFonts w:ascii="仿宋" w:hAnsi="仿宋" w:eastAsia="仿宋"/>
          <w:b w:val="0"/>
          <w:bCs/>
          <w:color w:val="FF0000"/>
          <w:sz w:val="32"/>
          <w:szCs w:val="32"/>
        </w:rPr>
      </w:pPr>
      <w:r>
        <w:rPr>
          <w:rStyle w:val="15"/>
          <w:rFonts w:hint="eastAsia" w:ascii="仿宋" w:hAnsi="仿宋" w:eastAsia="仿宋"/>
          <w:bCs/>
          <w:color w:val="000000"/>
          <w:sz w:val="32"/>
          <w:szCs w:val="32"/>
          <w:lang w:val="en-US" w:eastAsia="zh-CN"/>
        </w:rPr>
        <w:t>6</w:t>
      </w:r>
      <w:r>
        <w:rPr>
          <w:rStyle w:val="15"/>
          <w:rFonts w:hint="eastAsia" w:ascii="仿宋" w:hAnsi="仿宋" w:eastAsia="仿宋"/>
          <w:bCs/>
          <w:color w:val="000000"/>
          <w:sz w:val="32"/>
          <w:szCs w:val="32"/>
        </w:rPr>
        <w:t>、</w:t>
      </w:r>
      <w:r>
        <w:rPr>
          <w:rStyle w:val="15"/>
          <w:rFonts w:hint="eastAsia" w:ascii="仿宋" w:hAnsi="仿宋" w:eastAsia="仿宋"/>
          <w:b w:val="0"/>
          <w:bCs/>
          <w:color w:val="000000"/>
          <w:sz w:val="32"/>
          <w:szCs w:val="32"/>
        </w:rPr>
        <w:t>住房保障支出（类）住房改革支出（款）住房公积金（项）：支出决算为</w:t>
      </w:r>
      <w:r>
        <w:rPr>
          <w:rStyle w:val="15"/>
          <w:rFonts w:hint="eastAsia" w:ascii="仿宋" w:hAnsi="仿宋" w:eastAsia="仿宋"/>
          <w:b w:val="0"/>
          <w:bCs/>
          <w:color w:val="000000"/>
          <w:sz w:val="32"/>
          <w:szCs w:val="32"/>
          <w:lang w:val="en-US" w:eastAsia="zh-CN"/>
        </w:rPr>
        <w:t>34.48</w:t>
      </w:r>
      <w:r>
        <w:rPr>
          <w:rStyle w:val="15"/>
          <w:rFonts w:hint="eastAsia" w:ascii="仿宋" w:hAnsi="仿宋" w:eastAsia="仿宋"/>
          <w:b w:val="0"/>
          <w:bCs/>
          <w:color w:val="000000"/>
          <w:sz w:val="32"/>
          <w:szCs w:val="32"/>
        </w:rPr>
        <w:t>万元，完成预算100%，决算数等于预算数。</w:t>
      </w:r>
    </w:p>
    <w:p>
      <w:pPr>
        <w:spacing w:line="600" w:lineRule="exact"/>
        <w:ind w:firstLine="642" w:firstLineChars="200"/>
        <w:rPr>
          <w:rFonts w:ascii="仿宋" w:hAnsi="仿宋" w:eastAsia="仿宋"/>
          <w:b/>
          <w:color w:val="000000"/>
          <w:sz w:val="32"/>
          <w:szCs w:val="32"/>
        </w:rPr>
      </w:pPr>
      <w:r>
        <w:rPr>
          <w:rStyle w:val="15"/>
          <w:rFonts w:hint="eastAsia" w:ascii="仿宋" w:hAnsi="仿宋" w:eastAsia="仿宋"/>
          <w:bCs/>
          <w:color w:val="000000"/>
          <w:sz w:val="32"/>
          <w:szCs w:val="32"/>
          <w:lang w:val="en-US" w:eastAsia="zh-CN"/>
        </w:rPr>
        <w:t>7</w:t>
      </w:r>
      <w:r>
        <w:rPr>
          <w:rStyle w:val="15"/>
          <w:rFonts w:hint="eastAsia" w:ascii="仿宋" w:hAnsi="仿宋" w:eastAsia="仿宋"/>
          <w:bCs/>
          <w:color w:val="000000"/>
          <w:sz w:val="32"/>
          <w:szCs w:val="32"/>
        </w:rPr>
        <w:t>、农林水支出（类）林业</w:t>
      </w:r>
      <w:r>
        <w:rPr>
          <w:rStyle w:val="15"/>
          <w:rFonts w:hint="eastAsia" w:ascii="仿宋" w:hAnsi="仿宋" w:eastAsia="仿宋"/>
          <w:bCs/>
          <w:color w:val="000000"/>
          <w:sz w:val="32"/>
          <w:szCs w:val="32"/>
          <w:lang w:val="en-US" w:eastAsia="zh-CN"/>
        </w:rPr>
        <w:t>和草原</w:t>
      </w:r>
      <w:r>
        <w:rPr>
          <w:rStyle w:val="15"/>
          <w:rFonts w:hint="eastAsia" w:ascii="仿宋" w:hAnsi="仿宋" w:eastAsia="仿宋"/>
          <w:bCs/>
          <w:color w:val="000000"/>
          <w:sz w:val="32"/>
          <w:szCs w:val="32"/>
        </w:rPr>
        <w:t>（款）行政运行（项）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518.85</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94.11</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w:t>
      </w:r>
      <w:r>
        <w:rPr>
          <w:rStyle w:val="15"/>
          <w:rFonts w:hint="eastAsia" w:ascii="仿宋" w:hAnsi="仿宋" w:eastAsia="仿宋"/>
          <w:b w:val="0"/>
          <w:bCs/>
          <w:color w:val="000000"/>
          <w:sz w:val="32"/>
          <w:szCs w:val="32"/>
          <w:lang w:val="en-US" w:eastAsia="zh-CN"/>
        </w:rPr>
        <w:t>小于</w:t>
      </w:r>
      <w:r>
        <w:rPr>
          <w:rStyle w:val="15"/>
          <w:rFonts w:hint="eastAsia" w:ascii="仿宋" w:hAnsi="仿宋" w:eastAsia="仿宋"/>
          <w:b w:val="0"/>
          <w:bCs/>
          <w:color w:val="000000"/>
          <w:sz w:val="32"/>
          <w:szCs w:val="32"/>
        </w:rPr>
        <w:t>预算数</w:t>
      </w:r>
      <w:r>
        <w:rPr>
          <w:rStyle w:val="15"/>
          <w:rFonts w:hint="eastAsia" w:ascii="仿宋" w:hAnsi="仿宋" w:eastAsia="仿宋"/>
          <w:b w:val="0"/>
          <w:bCs/>
          <w:color w:val="000000"/>
          <w:sz w:val="32"/>
          <w:szCs w:val="32"/>
          <w:lang w:val="en-US" w:eastAsia="zh-CN"/>
        </w:rPr>
        <w:t>的主要原因是人员基本工资提标还未发放</w:t>
      </w:r>
      <w:r>
        <w:rPr>
          <w:rStyle w:val="15"/>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FF0000"/>
          <w:sz w:val="32"/>
          <w:szCs w:val="32"/>
        </w:rPr>
      </w:pPr>
      <w:r>
        <w:rPr>
          <w:rStyle w:val="15"/>
          <w:rFonts w:hint="eastAsia" w:ascii="仿宋" w:hAnsi="仿宋" w:eastAsia="仿宋"/>
          <w:bCs/>
          <w:color w:val="FF0000"/>
          <w:sz w:val="32"/>
          <w:szCs w:val="32"/>
          <w:lang w:val="en-US" w:eastAsia="zh-CN"/>
        </w:rPr>
        <w:t>8</w:t>
      </w:r>
      <w:r>
        <w:rPr>
          <w:rStyle w:val="15"/>
          <w:rFonts w:ascii="仿宋" w:hAnsi="仿宋" w:eastAsia="仿宋"/>
          <w:bCs/>
          <w:color w:val="FF0000"/>
          <w:sz w:val="32"/>
          <w:szCs w:val="32"/>
        </w:rPr>
        <w:t>.</w:t>
      </w:r>
      <w:r>
        <w:rPr>
          <w:rStyle w:val="15"/>
          <w:rFonts w:hint="eastAsia" w:ascii="仿宋" w:hAnsi="仿宋" w:eastAsia="仿宋"/>
          <w:bCs/>
          <w:color w:val="FF0000"/>
          <w:sz w:val="32"/>
          <w:szCs w:val="32"/>
        </w:rPr>
        <w:t>农林水支出（类）林业</w:t>
      </w:r>
      <w:r>
        <w:rPr>
          <w:rStyle w:val="15"/>
          <w:rFonts w:hint="eastAsia" w:ascii="仿宋" w:hAnsi="仿宋" w:eastAsia="仿宋"/>
          <w:bCs/>
          <w:color w:val="FF0000"/>
          <w:sz w:val="32"/>
          <w:szCs w:val="32"/>
          <w:lang w:val="en-US" w:eastAsia="zh-CN"/>
        </w:rPr>
        <w:t>和草原</w:t>
      </w:r>
      <w:r>
        <w:rPr>
          <w:rStyle w:val="15"/>
          <w:rFonts w:hint="eastAsia" w:ascii="仿宋" w:hAnsi="仿宋" w:eastAsia="仿宋"/>
          <w:bCs/>
          <w:color w:val="FF0000"/>
          <w:sz w:val="32"/>
          <w:szCs w:val="32"/>
        </w:rPr>
        <w:t>（款）森林资源管理（项）</w:t>
      </w:r>
      <w:r>
        <w:rPr>
          <w:rStyle w:val="15"/>
          <w:rFonts w:ascii="仿宋" w:hAnsi="仿宋" w:eastAsia="仿宋"/>
          <w:bCs/>
          <w:color w:val="FF0000"/>
          <w:sz w:val="32"/>
          <w:szCs w:val="32"/>
        </w:rPr>
        <w:t>:</w:t>
      </w:r>
      <w:r>
        <w:rPr>
          <w:rStyle w:val="15"/>
          <w:rFonts w:ascii="仿宋" w:hAnsi="仿宋" w:eastAsia="仿宋"/>
          <w:b w:val="0"/>
          <w:bCs/>
          <w:color w:val="FF0000"/>
          <w:sz w:val="32"/>
          <w:szCs w:val="32"/>
        </w:rPr>
        <w:t xml:space="preserve"> </w:t>
      </w:r>
      <w:r>
        <w:rPr>
          <w:rStyle w:val="15"/>
          <w:rFonts w:hint="eastAsia" w:ascii="仿宋" w:hAnsi="仿宋" w:eastAsia="仿宋"/>
          <w:b w:val="0"/>
          <w:bCs/>
          <w:color w:val="FF0000"/>
          <w:sz w:val="32"/>
          <w:szCs w:val="32"/>
        </w:rPr>
        <w:t>支出决算为</w:t>
      </w:r>
      <w:r>
        <w:rPr>
          <w:rStyle w:val="15"/>
          <w:rFonts w:hint="eastAsia" w:ascii="仿宋" w:hAnsi="仿宋" w:eastAsia="仿宋"/>
          <w:b w:val="0"/>
          <w:bCs/>
          <w:color w:val="FF0000"/>
          <w:sz w:val="32"/>
          <w:szCs w:val="32"/>
          <w:lang w:val="en-US" w:eastAsia="zh-CN"/>
        </w:rPr>
        <w:t>0.95</w:t>
      </w:r>
      <w:r>
        <w:rPr>
          <w:rStyle w:val="15"/>
          <w:rFonts w:hint="eastAsia" w:ascii="仿宋" w:hAnsi="仿宋" w:eastAsia="仿宋"/>
          <w:b w:val="0"/>
          <w:bCs/>
          <w:color w:val="FF0000"/>
          <w:sz w:val="32"/>
          <w:szCs w:val="32"/>
        </w:rPr>
        <w:t>万元，完成预算</w:t>
      </w:r>
      <w:r>
        <w:rPr>
          <w:rStyle w:val="15"/>
          <w:rFonts w:hint="eastAsia" w:ascii="仿宋" w:hAnsi="仿宋" w:eastAsia="仿宋"/>
          <w:b w:val="0"/>
          <w:bCs/>
          <w:color w:val="FF0000"/>
          <w:sz w:val="32"/>
          <w:szCs w:val="32"/>
          <w:lang w:val="en-US" w:eastAsia="zh-CN"/>
        </w:rPr>
        <w:t>47.5</w:t>
      </w:r>
      <w:r>
        <w:rPr>
          <w:rStyle w:val="15"/>
          <w:rFonts w:ascii="仿宋" w:hAnsi="仿宋" w:eastAsia="仿宋"/>
          <w:b w:val="0"/>
          <w:bCs/>
          <w:color w:val="FF0000"/>
          <w:sz w:val="32"/>
          <w:szCs w:val="32"/>
        </w:rPr>
        <w:t>%</w:t>
      </w:r>
      <w:r>
        <w:rPr>
          <w:rStyle w:val="15"/>
          <w:rFonts w:hint="eastAsia" w:ascii="仿宋" w:hAnsi="仿宋" w:eastAsia="仿宋"/>
          <w:b w:val="0"/>
          <w:bCs/>
          <w:color w:val="FF0000"/>
          <w:sz w:val="32"/>
          <w:szCs w:val="32"/>
        </w:rPr>
        <w:t>，决算数小于预算数的主要原因是</w:t>
      </w:r>
      <w:r>
        <w:rPr>
          <w:rStyle w:val="15"/>
          <w:rFonts w:hint="eastAsia" w:ascii="仿宋" w:hAnsi="仿宋" w:eastAsia="仿宋"/>
          <w:b w:val="0"/>
          <w:bCs/>
          <w:color w:val="FF0000"/>
          <w:sz w:val="32"/>
          <w:szCs w:val="32"/>
          <w:lang w:val="en-US" w:eastAsia="zh-CN"/>
        </w:rPr>
        <w:t>森林防火监控维修合同还未到付款期</w:t>
      </w:r>
      <w:r>
        <w:rPr>
          <w:rStyle w:val="15"/>
          <w:rFonts w:hint="eastAsia" w:ascii="仿宋" w:hAnsi="仿宋" w:eastAsia="仿宋"/>
          <w:b w:val="0"/>
          <w:bCs/>
          <w:color w:val="FF0000"/>
          <w:sz w:val="32"/>
          <w:szCs w:val="32"/>
        </w:rPr>
        <w:t>。</w:t>
      </w:r>
    </w:p>
    <w:p>
      <w:pPr>
        <w:spacing w:line="600" w:lineRule="exact"/>
        <w:ind w:firstLine="642" w:firstLineChars="200"/>
        <w:rPr>
          <w:rStyle w:val="15"/>
          <w:rFonts w:ascii="仿宋" w:hAnsi="仿宋" w:eastAsia="仿宋"/>
          <w:b w:val="0"/>
          <w:bCs/>
          <w:color w:val="FF0000"/>
          <w:sz w:val="32"/>
          <w:szCs w:val="32"/>
        </w:rPr>
      </w:pPr>
      <w:r>
        <w:rPr>
          <w:rStyle w:val="15"/>
          <w:rFonts w:hint="eastAsia" w:ascii="仿宋" w:hAnsi="仿宋" w:eastAsia="仿宋"/>
          <w:bCs/>
          <w:color w:val="FF0000"/>
          <w:sz w:val="32"/>
          <w:szCs w:val="32"/>
          <w:lang w:val="en-US" w:eastAsia="zh-CN"/>
        </w:rPr>
        <w:t>9</w:t>
      </w:r>
      <w:r>
        <w:rPr>
          <w:rStyle w:val="15"/>
          <w:rFonts w:ascii="仿宋" w:hAnsi="仿宋" w:eastAsia="仿宋"/>
          <w:bCs/>
          <w:color w:val="FF0000"/>
          <w:sz w:val="32"/>
          <w:szCs w:val="32"/>
        </w:rPr>
        <w:t>.</w:t>
      </w:r>
      <w:r>
        <w:rPr>
          <w:rStyle w:val="15"/>
          <w:rFonts w:hint="eastAsia" w:ascii="仿宋" w:hAnsi="仿宋" w:eastAsia="仿宋"/>
          <w:bCs/>
          <w:color w:val="FF0000"/>
          <w:sz w:val="32"/>
          <w:szCs w:val="32"/>
        </w:rPr>
        <w:t>农林水支出（类）林业</w:t>
      </w:r>
      <w:r>
        <w:rPr>
          <w:rStyle w:val="15"/>
          <w:rFonts w:hint="eastAsia" w:ascii="仿宋" w:hAnsi="仿宋" w:eastAsia="仿宋"/>
          <w:bCs/>
          <w:color w:val="FF0000"/>
          <w:sz w:val="32"/>
          <w:szCs w:val="32"/>
          <w:lang w:val="en-US" w:eastAsia="zh-CN"/>
        </w:rPr>
        <w:t>和草原</w:t>
      </w:r>
      <w:r>
        <w:rPr>
          <w:rStyle w:val="15"/>
          <w:rFonts w:hint="eastAsia" w:ascii="仿宋" w:hAnsi="仿宋" w:eastAsia="仿宋"/>
          <w:bCs/>
          <w:color w:val="FF0000"/>
          <w:sz w:val="32"/>
          <w:szCs w:val="32"/>
        </w:rPr>
        <w:t>（款）动植物保护（项）</w:t>
      </w:r>
      <w:r>
        <w:rPr>
          <w:rStyle w:val="15"/>
          <w:rFonts w:ascii="仿宋" w:hAnsi="仿宋" w:eastAsia="仿宋"/>
          <w:bCs/>
          <w:color w:val="FF0000"/>
          <w:sz w:val="32"/>
          <w:szCs w:val="32"/>
        </w:rPr>
        <w:t>:</w:t>
      </w:r>
      <w:r>
        <w:rPr>
          <w:rStyle w:val="15"/>
          <w:rFonts w:ascii="仿宋" w:hAnsi="仿宋" w:eastAsia="仿宋"/>
          <w:b w:val="0"/>
          <w:bCs/>
          <w:color w:val="FF0000"/>
          <w:sz w:val="32"/>
          <w:szCs w:val="32"/>
        </w:rPr>
        <w:t xml:space="preserve"> </w:t>
      </w:r>
      <w:r>
        <w:rPr>
          <w:rStyle w:val="15"/>
          <w:rFonts w:hint="eastAsia" w:ascii="仿宋" w:hAnsi="仿宋" w:eastAsia="仿宋"/>
          <w:b w:val="0"/>
          <w:bCs/>
          <w:color w:val="FF0000"/>
          <w:sz w:val="32"/>
          <w:szCs w:val="32"/>
        </w:rPr>
        <w:t>支出决算为</w:t>
      </w:r>
      <w:r>
        <w:rPr>
          <w:rStyle w:val="15"/>
          <w:rFonts w:hint="eastAsia" w:ascii="仿宋" w:hAnsi="仿宋" w:eastAsia="仿宋"/>
          <w:b w:val="0"/>
          <w:bCs/>
          <w:color w:val="FF0000"/>
          <w:sz w:val="32"/>
          <w:szCs w:val="32"/>
          <w:lang w:val="en-US" w:eastAsia="zh-CN"/>
        </w:rPr>
        <w:t>0.79</w:t>
      </w:r>
      <w:r>
        <w:rPr>
          <w:rStyle w:val="15"/>
          <w:rFonts w:hint="eastAsia" w:ascii="仿宋" w:hAnsi="仿宋" w:eastAsia="仿宋"/>
          <w:b w:val="0"/>
          <w:bCs/>
          <w:color w:val="FF0000"/>
          <w:sz w:val="32"/>
          <w:szCs w:val="32"/>
        </w:rPr>
        <w:t>万元，完成预算</w:t>
      </w:r>
      <w:r>
        <w:rPr>
          <w:rStyle w:val="15"/>
          <w:rFonts w:hint="eastAsia" w:ascii="仿宋" w:hAnsi="仿宋" w:eastAsia="仿宋"/>
          <w:b w:val="0"/>
          <w:bCs/>
          <w:color w:val="FF0000"/>
          <w:sz w:val="32"/>
          <w:szCs w:val="32"/>
          <w:lang w:val="en-US" w:eastAsia="zh-CN"/>
        </w:rPr>
        <w:t>39.5</w:t>
      </w:r>
      <w:r>
        <w:rPr>
          <w:rStyle w:val="15"/>
          <w:rFonts w:ascii="仿宋" w:hAnsi="仿宋" w:eastAsia="仿宋"/>
          <w:b w:val="0"/>
          <w:bCs/>
          <w:color w:val="FF0000"/>
          <w:sz w:val="32"/>
          <w:szCs w:val="32"/>
        </w:rPr>
        <w:t>%</w:t>
      </w:r>
      <w:r>
        <w:rPr>
          <w:rStyle w:val="15"/>
          <w:rFonts w:hint="eastAsia" w:ascii="仿宋" w:hAnsi="仿宋" w:eastAsia="仿宋"/>
          <w:b w:val="0"/>
          <w:bCs/>
          <w:color w:val="FF0000"/>
          <w:sz w:val="32"/>
          <w:szCs w:val="32"/>
        </w:rPr>
        <w:t>，决算数</w:t>
      </w:r>
      <w:r>
        <w:rPr>
          <w:rStyle w:val="15"/>
          <w:rFonts w:hint="eastAsia" w:ascii="仿宋" w:hAnsi="仿宋" w:eastAsia="仿宋"/>
          <w:b w:val="0"/>
          <w:bCs/>
          <w:color w:val="FF0000"/>
          <w:sz w:val="32"/>
          <w:szCs w:val="32"/>
          <w:lang w:val="en-US" w:eastAsia="zh-CN"/>
        </w:rPr>
        <w:t>小于</w:t>
      </w:r>
      <w:r>
        <w:rPr>
          <w:rStyle w:val="15"/>
          <w:rFonts w:hint="eastAsia" w:ascii="仿宋" w:hAnsi="仿宋" w:eastAsia="仿宋"/>
          <w:b w:val="0"/>
          <w:bCs/>
          <w:color w:val="FF0000"/>
          <w:sz w:val="32"/>
          <w:szCs w:val="32"/>
        </w:rPr>
        <w:t>预算数的</w:t>
      </w:r>
      <w:r>
        <w:rPr>
          <w:rStyle w:val="15"/>
          <w:rFonts w:hint="eastAsia" w:ascii="仿宋" w:hAnsi="仿宋" w:eastAsia="仿宋"/>
          <w:b w:val="0"/>
          <w:bCs/>
          <w:color w:val="FF0000"/>
          <w:sz w:val="32"/>
          <w:szCs w:val="32"/>
          <w:lang w:val="en-US" w:eastAsia="zh-CN"/>
        </w:rPr>
        <w:t>主要原因是当年古树保护措施得当，未发生大的灾害，维护经费支出减少</w:t>
      </w:r>
      <w:r>
        <w:rPr>
          <w:rStyle w:val="15"/>
          <w:rFonts w:hint="eastAsia" w:ascii="仿宋" w:hAnsi="仿宋" w:eastAsia="仿宋"/>
          <w:b w:val="0"/>
          <w:bCs/>
          <w:color w:val="FF0000"/>
          <w:sz w:val="32"/>
          <w:szCs w:val="32"/>
        </w:rPr>
        <w:t>。</w:t>
      </w:r>
    </w:p>
    <w:p>
      <w:pPr>
        <w:spacing w:line="600" w:lineRule="exact"/>
        <w:ind w:firstLine="642" w:firstLineChars="200"/>
        <w:rPr>
          <w:rStyle w:val="15"/>
          <w:rFonts w:ascii="仿宋" w:hAnsi="仿宋" w:eastAsia="仿宋"/>
          <w:b w:val="0"/>
          <w:bCs/>
          <w:color w:val="FF0000"/>
          <w:sz w:val="32"/>
          <w:szCs w:val="32"/>
        </w:rPr>
      </w:pPr>
      <w:r>
        <w:rPr>
          <w:rStyle w:val="15"/>
          <w:rFonts w:hint="eastAsia" w:ascii="仿宋" w:hAnsi="仿宋" w:eastAsia="仿宋"/>
          <w:bCs/>
          <w:color w:val="FF0000"/>
          <w:sz w:val="32"/>
          <w:szCs w:val="32"/>
          <w:lang w:val="en-US" w:eastAsia="zh-CN"/>
        </w:rPr>
        <w:t>10</w:t>
      </w:r>
      <w:r>
        <w:rPr>
          <w:rStyle w:val="15"/>
          <w:rFonts w:ascii="仿宋" w:hAnsi="仿宋" w:eastAsia="仿宋"/>
          <w:bCs/>
          <w:color w:val="FF0000"/>
          <w:sz w:val="32"/>
          <w:szCs w:val="32"/>
        </w:rPr>
        <w:t>.</w:t>
      </w:r>
      <w:r>
        <w:rPr>
          <w:rStyle w:val="15"/>
          <w:rFonts w:hint="eastAsia" w:ascii="仿宋" w:hAnsi="仿宋" w:eastAsia="仿宋"/>
          <w:bCs/>
          <w:color w:val="FF0000"/>
          <w:sz w:val="32"/>
          <w:szCs w:val="32"/>
        </w:rPr>
        <w:t>农林水支出（类）林业</w:t>
      </w:r>
      <w:r>
        <w:rPr>
          <w:rStyle w:val="15"/>
          <w:rFonts w:hint="eastAsia" w:ascii="仿宋" w:hAnsi="仿宋" w:eastAsia="仿宋"/>
          <w:bCs/>
          <w:color w:val="FF0000"/>
          <w:sz w:val="32"/>
          <w:szCs w:val="32"/>
          <w:lang w:val="en-US" w:eastAsia="zh-CN"/>
        </w:rPr>
        <w:t>和草原</w:t>
      </w:r>
      <w:r>
        <w:rPr>
          <w:rStyle w:val="15"/>
          <w:rFonts w:hint="eastAsia" w:ascii="仿宋" w:hAnsi="仿宋" w:eastAsia="仿宋"/>
          <w:bCs/>
          <w:color w:val="FF0000"/>
          <w:sz w:val="32"/>
          <w:szCs w:val="32"/>
        </w:rPr>
        <w:t>（款）</w:t>
      </w:r>
      <w:r>
        <w:rPr>
          <w:rStyle w:val="15"/>
          <w:rFonts w:hint="eastAsia" w:ascii="仿宋" w:hAnsi="仿宋" w:eastAsia="仿宋"/>
          <w:bCs/>
          <w:color w:val="FF0000"/>
          <w:sz w:val="32"/>
          <w:szCs w:val="32"/>
          <w:lang w:val="en-US" w:eastAsia="zh-CN"/>
        </w:rPr>
        <w:t>防灾减灾</w:t>
      </w:r>
      <w:r>
        <w:rPr>
          <w:rStyle w:val="15"/>
          <w:rFonts w:hint="eastAsia" w:ascii="仿宋" w:hAnsi="仿宋" w:eastAsia="仿宋"/>
          <w:bCs/>
          <w:color w:val="FF0000"/>
          <w:sz w:val="32"/>
          <w:szCs w:val="32"/>
        </w:rPr>
        <w:t>（项）</w:t>
      </w:r>
      <w:r>
        <w:rPr>
          <w:rStyle w:val="15"/>
          <w:rFonts w:ascii="仿宋" w:hAnsi="仿宋" w:eastAsia="仿宋"/>
          <w:bCs/>
          <w:color w:val="FF0000"/>
          <w:sz w:val="32"/>
          <w:szCs w:val="32"/>
        </w:rPr>
        <w:t>:</w:t>
      </w:r>
      <w:r>
        <w:rPr>
          <w:rStyle w:val="15"/>
          <w:rFonts w:ascii="仿宋" w:hAnsi="仿宋" w:eastAsia="仿宋"/>
          <w:b w:val="0"/>
          <w:bCs/>
          <w:color w:val="FF0000"/>
          <w:sz w:val="32"/>
          <w:szCs w:val="32"/>
        </w:rPr>
        <w:t xml:space="preserve"> </w:t>
      </w:r>
      <w:r>
        <w:rPr>
          <w:rStyle w:val="15"/>
          <w:rFonts w:hint="eastAsia" w:ascii="仿宋" w:hAnsi="仿宋" w:eastAsia="仿宋"/>
          <w:b w:val="0"/>
          <w:bCs/>
          <w:color w:val="FF0000"/>
          <w:sz w:val="32"/>
          <w:szCs w:val="32"/>
        </w:rPr>
        <w:t>支出决算为1</w:t>
      </w:r>
      <w:r>
        <w:rPr>
          <w:rStyle w:val="15"/>
          <w:rFonts w:hint="eastAsia" w:ascii="仿宋" w:hAnsi="仿宋" w:eastAsia="仿宋"/>
          <w:b w:val="0"/>
          <w:bCs/>
          <w:color w:val="FF0000"/>
          <w:sz w:val="32"/>
          <w:szCs w:val="32"/>
          <w:lang w:val="en-US" w:eastAsia="zh-CN"/>
        </w:rPr>
        <w:t>.34</w:t>
      </w:r>
      <w:r>
        <w:rPr>
          <w:rStyle w:val="15"/>
          <w:rFonts w:hint="eastAsia" w:ascii="仿宋" w:hAnsi="仿宋" w:eastAsia="仿宋"/>
          <w:b w:val="0"/>
          <w:bCs/>
          <w:color w:val="FF0000"/>
          <w:sz w:val="32"/>
          <w:szCs w:val="32"/>
        </w:rPr>
        <w:t>万元，完成预算</w:t>
      </w:r>
      <w:r>
        <w:rPr>
          <w:rStyle w:val="15"/>
          <w:rFonts w:hint="eastAsia" w:ascii="仿宋" w:hAnsi="仿宋" w:eastAsia="仿宋"/>
          <w:b w:val="0"/>
          <w:bCs/>
          <w:color w:val="FF0000"/>
          <w:sz w:val="32"/>
          <w:szCs w:val="32"/>
          <w:lang w:val="en-US" w:eastAsia="zh-CN"/>
        </w:rPr>
        <w:t>44.67</w:t>
      </w:r>
      <w:r>
        <w:rPr>
          <w:rStyle w:val="15"/>
          <w:rFonts w:ascii="仿宋" w:hAnsi="仿宋" w:eastAsia="仿宋"/>
          <w:b w:val="0"/>
          <w:bCs/>
          <w:color w:val="FF0000"/>
          <w:sz w:val="32"/>
          <w:szCs w:val="32"/>
        </w:rPr>
        <w:t>%</w:t>
      </w:r>
      <w:r>
        <w:rPr>
          <w:rStyle w:val="15"/>
          <w:rFonts w:hint="eastAsia" w:ascii="仿宋" w:hAnsi="仿宋" w:eastAsia="仿宋"/>
          <w:b w:val="0"/>
          <w:bCs/>
          <w:color w:val="FF0000"/>
          <w:sz w:val="32"/>
          <w:szCs w:val="32"/>
        </w:rPr>
        <w:t>，决算数</w:t>
      </w:r>
      <w:r>
        <w:rPr>
          <w:rStyle w:val="15"/>
          <w:rFonts w:hint="eastAsia" w:ascii="仿宋" w:hAnsi="仿宋" w:eastAsia="仿宋"/>
          <w:b w:val="0"/>
          <w:bCs/>
          <w:color w:val="FF0000"/>
          <w:sz w:val="32"/>
          <w:szCs w:val="32"/>
          <w:lang w:val="en-US" w:eastAsia="zh-CN"/>
        </w:rPr>
        <w:t>小于</w:t>
      </w:r>
      <w:r>
        <w:rPr>
          <w:rStyle w:val="15"/>
          <w:rFonts w:hint="eastAsia" w:ascii="仿宋" w:hAnsi="仿宋" w:eastAsia="仿宋"/>
          <w:b w:val="0"/>
          <w:bCs/>
          <w:color w:val="FF0000"/>
          <w:sz w:val="32"/>
          <w:szCs w:val="32"/>
        </w:rPr>
        <w:t>预算数的主要原因是</w:t>
      </w:r>
      <w:r>
        <w:rPr>
          <w:rStyle w:val="15"/>
          <w:rFonts w:hint="eastAsia" w:ascii="仿宋" w:hAnsi="仿宋" w:eastAsia="仿宋"/>
          <w:b w:val="0"/>
          <w:bCs/>
          <w:color w:val="FF0000"/>
          <w:sz w:val="32"/>
          <w:szCs w:val="32"/>
          <w:lang w:val="en-US" w:eastAsia="zh-CN"/>
        </w:rPr>
        <w:t>森林防火减灾项目合同还未到付款期</w:t>
      </w:r>
      <w:r>
        <w:rPr>
          <w:rStyle w:val="15"/>
          <w:rFonts w:hint="eastAsia" w:ascii="仿宋" w:hAnsi="仿宋" w:eastAsia="仿宋"/>
          <w:b w:val="0"/>
          <w:bCs/>
          <w:color w:val="FF0000"/>
          <w:sz w:val="32"/>
          <w:szCs w:val="32"/>
        </w:rPr>
        <w:t>。</w:t>
      </w:r>
    </w:p>
    <w:p>
      <w:pPr>
        <w:spacing w:line="600" w:lineRule="exact"/>
        <w:ind w:firstLine="642" w:firstLineChars="200"/>
        <w:rPr>
          <w:rFonts w:ascii="仿宋" w:hAnsi="仿宋" w:eastAsia="仿宋"/>
          <w:b/>
          <w:color w:val="FF0000"/>
          <w:sz w:val="32"/>
          <w:szCs w:val="32"/>
        </w:rPr>
      </w:pPr>
      <w:r>
        <w:rPr>
          <w:rStyle w:val="15"/>
          <w:rFonts w:hint="eastAsia" w:ascii="仿宋" w:hAnsi="仿宋" w:eastAsia="仿宋"/>
          <w:bCs/>
          <w:color w:val="FF0000"/>
          <w:sz w:val="32"/>
          <w:szCs w:val="32"/>
          <w:lang w:val="en-US" w:eastAsia="zh-CN"/>
        </w:rPr>
        <w:t>11</w:t>
      </w:r>
      <w:r>
        <w:rPr>
          <w:rStyle w:val="15"/>
          <w:rFonts w:ascii="仿宋" w:hAnsi="仿宋" w:eastAsia="仿宋"/>
          <w:bCs/>
          <w:color w:val="FF0000"/>
          <w:sz w:val="32"/>
          <w:szCs w:val="32"/>
        </w:rPr>
        <w:t>.</w:t>
      </w:r>
      <w:r>
        <w:rPr>
          <w:rStyle w:val="15"/>
          <w:rFonts w:hint="eastAsia" w:ascii="仿宋" w:hAnsi="仿宋" w:eastAsia="仿宋"/>
          <w:bCs/>
          <w:color w:val="FF0000"/>
          <w:sz w:val="32"/>
          <w:szCs w:val="32"/>
        </w:rPr>
        <w:t>农林水支出（类）</w:t>
      </w:r>
      <w:r>
        <w:rPr>
          <w:rStyle w:val="15"/>
          <w:rFonts w:hint="eastAsia" w:ascii="仿宋" w:hAnsi="仿宋" w:eastAsia="仿宋"/>
          <w:bCs/>
          <w:color w:val="FF0000"/>
          <w:sz w:val="32"/>
          <w:szCs w:val="32"/>
          <w:lang w:val="en-US" w:eastAsia="zh-CN"/>
        </w:rPr>
        <w:t>扶贫</w:t>
      </w:r>
      <w:r>
        <w:rPr>
          <w:rStyle w:val="15"/>
          <w:rFonts w:hint="eastAsia" w:ascii="仿宋" w:hAnsi="仿宋" w:eastAsia="仿宋"/>
          <w:bCs/>
          <w:color w:val="FF0000"/>
          <w:sz w:val="32"/>
          <w:szCs w:val="32"/>
        </w:rPr>
        <w:t>（款）其他扶贫支出（项）</w:t>
      </w:r>
      <w:r>
        <w:rPr>
          <w:rStyle w:val="15"/>
          <w:rFonts w:ascii="仿宋" w:hAnsi="仿宋" w:eastAsia="仿宋"/>
          <w:bCs/>
          <w:color w:val="FF0000"/>
          <w:sz w:val="32"/>
          <w:szCs w:val="32"/>
        </w:rPr>
        <w:t>:</w:t>
      </w:r>
      <w:r>
        <w:rPr>
          <w:rStyle w:val="15"/>
          <w:rFonts w:ascii="仿宋" w:hAnsi="仿宋" w:eastAsia="仿宋"/>
          <w:b w:val="0"/>
          <w:bCs/>
          <w:color w:val="FF0000"/>
          <w:sz w:val="32"/>
          <w:szCs w:val="32"/>
        </w:rPr>
        <w:t xml:space="preserve"> </w:t>
      </w:r>
      <w:r>
        <w:rPr>
          <w:rStyle w:val="15"/>
          <w:rFonts w:hint="eastAsia" w:ascii="仿宋" w:hAnsi="仿宋" w:eastAsia="仿宋"/>
          <w:b w:val="0"/>
          <w:bCs/>
          <w:color w:val="FF0000"/>
          <w:sz w:val="32"/>
          <w:szCs w:val="32"/>
        </w:rPr>
        <w:t>支出决算为</w:t>
      </w:r>
      <w:r>
        <w:rPr>
          <w:rStyle w:val="15"/>
          <w:rFonts w:hint="eastAsia" w:ascii="仿宋" w:hAnsi="仿宋" w:eastAsia="仿宋"/>
          <w:b w:val="0"/>
          <w:bCs/>
          <w:color w:val="FF0000"/>
          <w:sz w:val="32"/>
          <w:szCs w:val="32"/>
          <w:lang w:val="en-US" w:eastAsia="zh-CN"/>
        </w:rPr>
        <w:t>1</w:t>
      </w:r>
      <w:r>
        <w:rPr>
          <w:rStyle w:val="15"/>
          <w:rFonts w:hint="eastAsia" w:ascii="仿宋" w:hAnsi="仿宋" w:eastAsia="仿宋"/>
          <w:b w:val="0"/>
          <w:bCs/>
          <w:color w:val="FF0000"/>
          <w:sz w:val="32"/>
          <w:szCs w:val="32"/>
        </w:rPr>
        <w:t>万元，完成预算100</w:t>
      </w:r>
      <w:r>
        <w:rPr>
          <w:rStyle w:val="15"/>
          <w:rFonts w:ascii="仿宋" w:hAnsi="仿宋" w:eastAsia="仿宋"/>
          <w:b w:val="0"/>
          <w:bCs/>
          <w:color w:val="FF0000"/>
          <w:sz w:val="32"/>
          <w:szCs w:val="32"/>
        </w:rPr>
        <w:t>%</w:t>
      </w:r>
      <w:r>
        <w:rPr>
          <w:rStyle w:val="15"/>
          <w:rFonts w:hint="eastAsia" w:ascii="仿宋" w:hAnsi="仿宋" w:eastAsia="仿宋"/>
          <w:b w:val="0"/>
          <w:bCs/>
          <w:color w:val="FF0000"/>
          <w:sz w:val="32"/>
          <w:szCs w:val="32"/>
        </w:rPr>
        <w:t>，决算数等于预算数。</w:t>
      </w:r>
    </w:p>
    <w:p>
      <w:pPr>
        <w:spacing w:line="600" w:lineRule="exact"/>
        <w:ind w:firstLine="642" w:firstLineChars="200"/>
        <w:rPr>
          <w:rFonts w:ascii="仿宋" w:hAnsi="仿宋" w:eastAsia="仿宋"/>
          <w:b/>
          <w:color w:val="000000"/>
          <w:sz w:val="32"/>
          <w:szCs w:val="32"/>
        </w:rPr>
      </w:pPr>
      <w:r>
        <w:rPr>
          <w:rStyle w:val="15"/>
          <w:rFonts w:hint="eastAsia" w:ascii="仿宋" w:hAnsi="仿宋" w:eastAsia="仿宋"/>
          <w:bCs/>
          <w:color w:val="000000"/>
          <w:sz w:val="32"/>
          <w:szCs w:val="32"/>
          <w:lang w:val="en-US" w:eastAsia="zh-CN"/>
        </w:rPr>
        <w:t>12.节能环保支出（类）自然生态保护（款）生态保护：</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391.64</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118.68</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w:t>
      </w:r>
      <w:r>
        <w:rPr>
          <w:rStyle w:val="15"/>
          <w:rFonts w:hint="eastAsia" w:ascii="仿宋" w:hAnsi="仿宋" w:eastAsia="仿宋"/>
          <w:b w:val="0"/>
          <w:bCs/>
          <w:color w:val="000000"/>
          <w:sz w:val="32"/>
          <w:szCs w:val="32"/>
          <w:lang w:val="en-US" w:eastAsia="zh-CN"/>
        </w:rPr>
        <w:t>大于</w:t>
      </w:r>
      <w:r>
        <w:rPr>
          <w:rStyle w:val="15"/>
          <w:rFonts w:hint="eastAsia" w:ascii="仿宋" w:hAnsi="仿宋" w:eastAsia="仿宋"/>
          <w:b w:val="0"/>
          <w:bCs/>
          <w:color w:val="000000"/>
          <w:sz w:val="32"/>
          <w:szCs w:val="32"/>
        </w:rPr>
        <w:t>预算数的主要原因是</w:t>
      </w:r>
      <w:r>
        <w:rPr>
          <w:rStyle w:val="15"/>
          <w:rFonts w:hint="eastAsia" w:ascii="仿宋" w:hAnsi="仿宋" w:eastAsia="仿宋"/>
          <w:b w:val="0"/>
          <w:bCs/>
          <w:color w:val="000000"/>
          <w:sz w:val="32"/>
          <w:szCs w:val="32"/>
          <w:lang w:val="en-US" w:eastAsia="zh-CN"/>
        </w:rPr>
        <w:t>18年未支付的项目款按合同约定在19年进行支付</w:t>
      </w:r>
      <w:r>
        <w:rPr>
          <w:rStyle w:val="15"/>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Fonts w:hint="eastAsia" w:ascii="仿宋" w:hAnsi="仿宋" w:eastAsia="仿宋"/>
          <w:b/>
          <w:color w:val="FF0000"/>
          <w:sz w:val="32"/>
          <w:szCs w:val="32"/>
        </w:rPr>
        <w:t>（注：数据来源于财决</w:t>
      </w:r>
      <w:r>
        <w:rPr>
          <w:rFonts w:ascii="仿宋" w:hAnsi="仿宋" w:eastAsia="仿宋"/>
          <w:b/>
          <w:color w:val="FF0000"/>
          <w:sz w:val="32"/>
          <w:szCs w:val="32"/>
        </w:rPr>
        <w:t>Z01-1</w:t>
      </w:r>
      <w:r>
        <w:rPr>
          <w:rFonts w:hint="eastAsia" w:ascii="仿宋" w:hAnsi="仿宋" w:eastAsia="仿宋"/>
          <w:b/>
          <w:color w:val="FF0000"/>
          <w:sz w:val="32"/>
          <w:szCs w:val="32"/>
        </w:rPr>
        <w:t>表，罗列全部功能分类科目至项级。上述“预算”口径为</w:t>
      </w:r>
      <w:r>
        <w:rPr>
          <w:rFonts w:hint="eastAsia" w:ascii="仿宋" w:hAnsi="仿宋" w:eastAsia="仿宋"/>
          <w:b/>
          <w:color w:val="FF0000"/>
          <w:sz w:val="32"/>
          <w:szCs w:val="32"/>
          <w:highlight w:val="yellow"/>
        </w:rPr>
        <w:t>调整预算数</w:t>
      </w:r>
      <w:r>
        <w:rPr>
          <w:rFonts w:hint="eastAsia" w:ascii="仿宋" w:hAnsi="仿宋" w:eastAsia="仿宋"/>
          <w:b/>
          <w:color w:val="FF0000"/>
          <w:sz w:val="32"/>
          <w:szCs w:val="32"/>
        </w:rPr>
        <w:t>。增减变动原因为决算数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和调整预算数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比较，与预算数持平可以不写原因。）</w:t>
      </w:r>
    </w:p>
    <w:p>
      <w:pPr>
        <w:tabs>
          <w:tab w:val="right" w:pos="8306"/>
        </w:tabs>
        <w:spacing w:line="600" w:lineRule="exact"/>
        <w:ind w:firstLine="640"/>
        <w:outlineLvl w:val="1"/>
        <w:rPr>
          <w:rStyle w:val="18"/>
        </w:rPr>
      </w:pPr>
      <w:bookmarkStart w:id="38" w:name="_Toc15377214"/>
      <w:bookmarkStart w:id="39"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8"/>
          <w:rFonts w:hint="eastAsia" w:ascii="黑体" w:hAnsi="黑体" w:eastAsia="黑体"/>
          <w:b w:val="0"/>
        </w:rPr>
        <w:t>般公共预算财政拨款基本支出决算情况说明</w:t>
      </w:r>
      <w:bookmarkEnd w:id="38"/>
      <w:bookmarkEnd w:id="39"/>
      <w:r>
        <w:rPr>
          <w:rStyle w:val="18"/>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641.62</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578.86</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62.76</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18"/>
          <w:rFonts w:ascii="黑体" w:hAnsi="黑体" w:eastAsia="黑体"/>
          <w:b w:val="0"/>
        </w:rPr>
      </w:pPr>
      <w:bookmarkStart w:id="40" w:name="_Toc15396609"/>
      <w:bookmarkStart w:id="41" w:name="_Toc15377215"/>
      <w:r>
        <w:rPr>
          <w:rFonts w:hint="eastAsia" w:ascii="黑体" w:eastAsia="黑体"/>
          <w:color w:val="000000"/>
          <w:sz w:val="32"/>
          <w:szCs w:val="32"/>
        </w:rPr>
        <w:t>七、</w:t>
      </w:r>
      <w:r>
        <w:rPr>
          <w:rStyle w:val="18"/>
          <w:rFonts w:hint="eastAsia" w:ascii="黑体" w:hAnsi="黑体" w:eastAsia="黑体"/>
        </w:rPr>
        <w:t>“</w:t>
      </w:r>
      <w:r>
        <w:rPr>
          <w:rStyle w:val="18"/>
          <w:rFonts w:hint="eastAsia" w:ascii="黑体" w:hAnsi="黑体" w:eastAsia="黑体"/>
          <w:b w:val="0"/>
        </w:rPr>
        <w:t>三公”经费财政拨款支出决算情况说明</w:t>
      </w:r>
      <w:bookmarkEnd w:id="40"/>
      <w:bookmarkEnd w:id="41"/>
    </w:p>
    <w:p>
      <w:pPr>
        <w:spacing w:line="600" w:lineRule="exact"/>
        <w:ind w:firstLine="640"/>
        <w:outlineLvl w:val="2"/>
        <w:rPr>
          <w:rFonts w:ascii="仿宋" w:hAnsi="仿宋" w:eastAsia="仿宋"/>
          <w:b/>
          <w:color w:val="000000"/>
          <w:sz w:val="32"/>
          <w:szCs w:val="32"/>
        </w:rPr>
      </w:pPr>
      <w:bookmarkStart w:id="42" w:name="_Toc15377216"/>
      <w:r>
        <w:rPr>
          <w:rFonts w:hint="eastAsia" w:ascii="仿宋" w:hAnsi="仿宋" w:eastAsia="仿宋"/>
          <w:b/>
          <w:color w:val="000000"/>
          <w:sz w:val="32"/>
          <w:szCs w:val="32"/>
        </w:rPr>
        <w:t>（一）“三公”经费财政拨款支出决算总体情况说明</w:t>
      </w:r>
      <w:bookmarkEnd w:id="42"/>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7.58</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69.86</w:t>
      </w:r>
      <w:r>
        <w:rPr>
          <w:rFonts w:ascii="仿宋" w:hAnsi="仿宋" w:eastAsia="仿宋"/>
          <w:color w:val="000000"/>
          <w:sz w:val="32"/>
          <w:szCs w:val="32"/>
        </w:rPr>
        <w:t>%</w:t>
      </w:r>
      <w:r>
        <w:rPr>
          <w:rFonts w:hint="eastAsia" w:ascii="仿宋" w:hAnsi="仿宋" w:eastAsia="仿宋"/>
          <w:color w:val="000000"/>
          <w:sz w:val="32"/>
          <w:szCs w:val="32"/>
        </w:rPr>
        <w:t>，决算数小于预算数的主要原因是</w:t>
      </w:r>
      <w:r>
        <w:rPr>
          <w:rFonts w:hint="eastAsia" w:ascii="仿宋" w:hAnsi="仿宋" w:eastAsia="仿宋"/>
          <w:color w:val="000000"/>
          <w:sz w:val="32"/>
          <w:szCs w:val="32"/>
          <w:lang w:val="en-US" w:eastAsia="zh-CN"/>
        </w:rPr>
        <w:t>公务接待费的压减</w:t>
      </w:r>
      <w:r>
        <w:rPr>
          <w:rFonts w:hint="eastAsia" w:ascii="仿宋" w:hAnsi="仿宋" w:eastAsia="仿宋"/>
          <w:color w:val="000000"/>
          <w:sz w:val="32"/>
          <w:szCs w:val="32"/>
        </w:rPr>
        <w:t>。</w:t>
      </w:r>
    </w:p>
    <w:p>
      <w:pPr>
        <w:spacing w:line="600" w:lineRule="exact"/>
        <w:ind w:firstLine="640"/>
        <w:rPr>
          <w:rFonts w:ascii="仿宋" w:hAnsi="仿宋" w:eastAsia="仿宋"/>
          <w:b/>
          <w:color w:val="FF0000"/>
          <w:sz w:val="32"/>
          <w:szCs w:val="32"/>
        </w:rPr>
      </w:pPr>
      <w:r>
        <w:rPr>
          <w:rFonts w:hint="eastAsia" w:ascii="仿宋" w:hAnsi="仿宋" w:eastAsia="仿宋"/>
          <w:b/>
          <w:color w:val="FF0000"/>
          <w:sz w:val="32"/>
          <w:szCs w:val="32"/>
        </w:rPr>
        <w:t>（注：上述“预算”口径为调整预算数，包括政府性基金支出决算情况。）</w:t>
      </w:r>
    </w:p>
    <w:p>
      <w:pPr>
        <w:spacing w:line="600" w:lineRule="exact"/>
        <w:ind w:firstLine="640"/>
        <w:outlineLvl w:val="2"/>
        <w:rPr>
          <w:rFonts w:ascii="仿宋" w:hAnsi="仿宋" w:eastAsia="仿宋"/>
          <w:b/>
          <w:color w:val="000000"/>
          <w:sz w:val="32"/>
          <w:szCs w:val="32"/>
        </w:rPr>
      </w:pPr>
      <w:bookmarkStart w:id="43" w:name="_Toc15377217"/>
      <w:r>
        <w:rPr>
          <w:rFonts w:hint="eastAsia" w:ascii="仿宋" w:hAnsi="仿宋" w:eastAsia="仿宋"/>
          <w:b/>
          <w:color w:val="000000"/>
          <w:sz w:val="32"/>
          <w:szCs w:val="32"/>
        </w:rPr>
        <w:t>（二）“三公”经费财政拨款支出决算具体情况说明</w:t>
      </w:r>
      <w:bookmarkEnd w:id="43"/>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6.95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91.69</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0.63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8.31</w:t>
      </w:r>
      <w:r>
        <w:rPr>
          <w:rFonts w:ascii="仿宋" w:hAnsi="仿宋" w:eastAsia="仿宋"/>
          <w:color w:val="000000"/>
          <w:sz w:val="32"/>
          <w:szCs w:val="32"/>
        </w:rPr>
        <w:t>%</w:t>
      </w:r>
      <w:r>
        <w:rPr>
          <w:rFonts w:hint="eastAsia" w:ascii="仿宋" w:hAnsi="仿宋" w:eastAsia="仿宋"/>
          <w:color w:val="000000"/>
          <w:sz w:val="32"/>
          <w:szCs w:val="32"/>
        </w:rPr>
        <w:t>。具体情况如下：</w:t>
      </w:r>
    </w:p>
    <w:p>
      <w:pPr>
        <w:ind w:firstLine="641"/>
        <w:rPr>
          <w:rFonts w:ascii="仿宋_GB2312" w:eastAsia="仿宋_GB2312"/>
          <w:b/>
          <w:color w:val="000000"/>
          <w:sz w:val="32"/>
          <w:szCs w:val="32"/>
        </w:rPr>
      </w:pPr>
      <w:r>
        <w:rPr>
          <w:rFonts w:ascii="仿宋_GB2312" w:eastAsia="仿宋_GB2312"/>
          <w:b/>
          <w:color w:val="000000"/>
          <w:sz w:val="32"/>
          <w:szCs w:val="32"/>
        </w:rPr>
        <w:drawing>
          <wp:inline distT="0" distB="0" distL="0" distR="0">
            <wp:extent cx="5274310" cy="3076575"/>
            <wp:effectExtent l="0" t="0" r="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（图7：“三公”经费财政拨款支出结构）（饼状图）</w:t>
      </w:r>
    </w:p>
    <w:p>
      <w:pPr>
        <w:spacing w:line="600" w:lineRule="exact"/>
        <w:ind w:firstLine="640"/>
        <w:rPr>
          <w:rFonts w:hint="eastAsia" w:ascii="仿宋" w:hAnsi="仿宋" w:eastAsia="仿宋"/>
          <w:color w:val="000000"/>
          <w:sz w:val="32"/>
          <w:szCs w:val="32"/>
        </w:rPr>
      </w:pP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b/>
          <w:color w:val="000000"/>
          <w:sz w:val="32"/>
          <w:szCs w:val="32"/>
          <w:lang w:val="en-US" w:eastAsia="zh-CN"/>
        </w:rPr>
        <w:t>6.95</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hint="eastAsia" w:ascii="仿宋_GB2312" w:eastAsia="仿宋_GB2312"/>
          <w:color w:val="000000"/>
          <w:sz w:val="32"/>
          <w:szCs w:val="32"/>
          <w:lang w:val="en-US" w:eastAsia="zh-CN"/>
        </w:rPr>
        <w:t>0.15</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2.21</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 w:hAnsi="仿宋" w:eastAsia="仿宋" w:cs="仿宋_GB2312"/>
          <w:color w:val="000000"/>
          <w:sz w:val="32"/>
          <w:szCs w:val="32"/>
        </w:rPr>
        <w:t>主要原因是接送班车老旧，维修及油耗增加。</w:t>
      </w:r>
    </w:p>
    <w:p>
      <w:pPr>
        <w:spacing w:line="60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 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其他车辆2辆。</w:t>
      </w:r>
    </w:p>
    <w:p>
      <w:pPr>
        <w:spacing w:line="600" w:lineRule="exact"/>
        <w:ind w:firstLine="642" w:firstLineChars="20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6</w:t>
      </w:r>
      <w:r>
        <w:rPr>
          <w:rFonts w:hint="eastAsia" w:ascii="仿宋_GB2312" w:eastAsia="仿宋_GB2312"/>
          <w:b/>
          <w:color w:val="000000"/>
          <w:sz w:val="32"/>
          <w:szCs w:val="32"/>
          <w:lang w:val="en-US" w:eastAsia="zh-CN"/>
        </w:rPr>
        <w:t>.</w:t>
      </w:r>
      <w:r>
        <w:rPr>
          <w:rFonts w:hint="eastAsia" w:ascii="仿宋_GB2312" w:eastAsia="仿宋_GB2312"/>
          <w:color w:val="000000"/>
          <w:sz w:val="32"/>
          <w:szCs w:val="32"/>
          <w:lang w:val="en-US" w:eastAsia="zh-CN"/>
        </w:rPr>
        <w:t>95</w:t>
      </w:r>
      <w:r>
        <w:rPr>
          <w:rFonts w:hint="eastAsia" w:ascii="仿宋_GB2312" w:eastAsia="仿宋_GB2312"/>
          <w:color w:val="000000"/>
          <w:sz w:val="32"/>
          <w:szCs w:val="32"/>
        </w:rPr>
        <w:t>万元。主要用于</w:t>
      </w:r>
      <w:r>
        <w:rPr>
          <w:rFonts w:hint="eastAsia" w:ascii="仿宋" w:hAnsi="仿宋" w:eastAsia="仿宋" w:cs="仿宋_GB2312"/>
          <w:color w:val="000000"/>
          <w:sz w:val="32"/>
          <w:szCs w:val="32"/>
        </w:rPr>
        <w:t>主要用于天曌山景区职工上下班接送以及森林防火及宣传等所需的公务用车燃料费、维修费、过路过桥费、保险费等支出。</w:t>
      </w:r>
    </w:p>
    <w:p>
      <w:pPr>
        <w:numPr>
          <w:ilvl w:val="0"/>
          <w:numId w:val="3"/>
        </w:numPr>
        <w:spacing w:line="600" w:lineRule="exact"/>
        <w:ind w:left="0" w:firstLine="640"/>
        <w:rPr>
          <w:rFonts w:ascii="仿宋_GB2312" w:eastAsia="仿宋_GB2312"/>
          <w:color w:val="000000"/>
          <w:sz w:val="32"/>
          <w:szCs w:val="32"/>
        </w:rPr>
      </w:pPr>
      <w:r>
        <w:rPr>
          <w:rFonts w:hint="eastAsia" w:ascii="仿宋_GB2312" w:eastAsia="仿宋_GB2312"/>
          <w:b/>
          <w:color w:val="000000"/>
          <w:sz w:val="32"/>
          <w:szCs w:val="32"/>
        </w:rPr>
        <w:t>公务接待费支出</w:t>
      </w:r>
      <w:r>
        <w:rPr>
          <w:rFonts w:hint="eastAsia" w:ascii="仿宋_GB2312" w:eastAsia="仿宋_GB2312"/>
          <w:b/>
          <w:color w:val="000000"/>
          <w:sz w:val="32"/>
          <w:szCs w:val="32"/>
          <w:lang w:val="en-US" w:eastAsia="zh-CN"/>
        </w:rPr>
        <w:t>0.63</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16.15</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2.07</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76.67</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三公经费压减。</w:t>
      </w:r>
      <w:r>
        <w:rPr>
          <w:rFonts w:hint="eastAsia" w:ascii="仿宋_GB2312" w:eastAsia="仿宋_GB2312"/>
          <w:color w:val="000000"/>
          <w:sz w:val="32"/>
          <w:szCs w:val="32"/>
        </w:rPr>
        <w:t>其中：</w:t>
      </w:r>
    </w:p>
    <w:p>
      <w:pPr>
        <w:spacing w:line="600" w:lineRule="exact"/>
        <w:ind w:firstLine="640"/>
        <w:rPr>
          <w:rFonts w:hint="eastAsia"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0.63</w:t>
      </w:r>
      <w:r>
        <w:rPr>
          <w:rFonts w:hint="eastAsia" w:ascii="仿宋_GB2312" w:eastAsia="仿宋_GB2312"/>
          <w:color w:val="000000"/>
          <w:sz w:val="32"/>
          <w:szCs w:val="32"/>
        </w:rPr>
        <w:t>万元，主要用于</w:t>
      </w:r>
      <w:r>
        <w:rPr>
          <w:rFonts w:hint="eastAsia" w:ascii="仿宋_GB2312" w:eastAsia="仿宋_GB2312"/>
          <w:color w:val="000000"/>
          <w:sz w:val="32"/>
          <w:szCs w:val="32"/>
          <w:lang w:val="en-US" w:eastAsia="zh-CN"/>
        </w:rPr>
        <w:t>景区招商引资项目的</w:t>
      </w:r>
      <w:r>
        <w:rPr>
          <w:rFonts w:hint="eastAsia" w:ascii="仿宋_GB2312" w:eastAsia="仿宋_GB2312"/>
          <w:color w:val="000000"/>
          <w:sz w:val="32"/>
          <w:szCs w:val="32"/>
        </w:rPr>
        <w:t>交通费、住宿费、用餐费等。国内公务接待</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50</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0.63</w:t>
      </w:r>
      <w:r>
        <w:rPr>
          <w:rFonts w:hint="eastAsia" w:ascii="仿宋_GB2312" w:eastAsia="仿宋_GB2312"/>
          <w:color w:val="000000"/>
          <w:sz w:val="32"/>
          <w:szCs w:val="32"/>
        </w:rPr>
        <w:t>万元，具体内容包括：</w:t>
      </w:r>
    </w:p>
    <w:p>
      <w:pPr>
        <w:numPr>
          <w:ilvl w:val="0"/>
          <w:numId w:val="4"/>
        </w:numPr>
        <w:spacing w:line="600" w:lineRule="exact"/>
        <w:ind w:left="0"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苏州悉地勘察设计公司项目设计勘察接待费1442元；</w:t>
      </w:r>
    </w:p>
    <w:p>
      <w:pPr>
        <w:numPr>
          <w:ilvl w:val="0"/>
          <w:numId w:val="4"/>
        </w:numPr>
        <w:spacing w:line="600" w:lineRule="exact"/>
        <w:ind w:left="0" w:firstLine="640"/>
        <w:rPr>
          <w:rFonts w:ascii="仿宋_GB2312" w:eastAsia="仿宋_GB2312"/>
          <w:color w:val="000000"/>
          <w:sz w:val="32"/>
          <w:szCs w:val="32"/>
        </w:rPr>
      </w:pPr>
      <w:r>
        <w:rPr>
          <w:rFonts w:hint="eastAsia" w:ascii="仿宋_GB2312" w:eastAsia="仿宋_GB2312"/>
          <w:color w:val="000000"/>
          <w:sz w:val="32"/>
          <w:szCs w:val="32"/>
          <w:lang w:val="en-US" w:eastAsia="zh-CN"/>
        </w:rPr>
        <w:t>四川富临实业集团招商引资项目接待费1220元；</w:t>
      </w:r>
    </w:p>
    <w:p>
      <w:pPr>
        <w:numPr>
          <w:ilvl w:val="0"/>
          <w:numId w:val="4"/>
        </w:numPr>
        <w:spacing w:line="600" w:lineRule="exact"/>
        <w:ind w:left="0" w:firstLine="640"/>
        <w:rPr>
          <w:rFonts w:ascii="仿宋_GB2312" w:eastAsia="仿宋_GB2312"/>
          <w:color w:val="000000"/>
          <w:sz w:val="32"/>
          <w:szCs w:val="32"/>
        </w:rPr>
      </w:pPr>
      <w:r>
        <w:rPr>
          <w:rFonts w:hint="eastAsia" w:ascii="仿宋_GB2312" w:eastAsia="仿宋_GB2312"/>
          <w:color w:val="000000"/>
          <w:sz w:val="32"/>
          <w:szCs w:val="32"/>
          <w:lang w:val="en-US" w:eastAsia="zh-CN"/>
        </w:rPr>
        <w:t>川高公司招商引资项目接待费1347元；</w:t>
      </w:r>
    </w:p>
    <w:p>
      <w:pPr>
        <w:numPr>
          <w:ilvl w:val="0"/>
          <w:numId w:val="4"/>
        </w:numPr>
        <w:spacing w:line="600" w:lineRule="exact"/>
        <w:ind w:left="0" w:firstLine="640"/>
        <w:rPr>
          <w:rFonts w:ascii="仿宋_GB2312" w:eastAsia="仿宋_GB2312"/>
          <w:color w:val="000000"/>
          <w:sz w:val="32"/>
          <w:szCs w:val="32"/>
        </w:rPr>
      </w:pPr>
      <w:r>
        <w:rPr>
          <w:rFonts w:hint="eastAsia" w:ascii="仿宋_GB2312" w:eastAsia="仿宋_GB2312"/>
          <w:color w:val="000000"/>
          <w:sz w:val="32"/>
          <w:szCs w:val="32"/>
          <w:lang w:val="en-US" w:eastAsia="zh-CN"/>
        </w:rPr>
        <w:t>福建商会招商引资项目接待费300元；</w:t>
      </w:r>
    </w:p>
    <w:p>
      <w:pPr>
        <w:numPr>
          <w:ilvl w:val="0"/>
          <w:numId w:val="4"/>
        </w:numPr>
        <w:spacing w:line="600" w:lineRule="exact"/>
        <w:ind w:left="0" w:firstLine="640"/>
        <w:rPr>
          <w:rFonts w:ascii="仿宋_GB2312" w:eastAsia="仿宋_GB2312"/>
          <w:color w:val="000000"/>
          <w:sz w:val="32"/>
          <w:szCs w:val="32"/>
        </w:rPr>
      </w:pPr>
      <w:r>
        <w:rPr>
          <w:rFonts w:hint="eastAsia" w:ascii="仿宋_GB2312" w:eastAsia="仿宋_GB2312"/>
          <w:color w:val="000000"/>
          <w:sz w:val="32"/>
          <w:szCs w:val="32"/>
          <w:lang w:val="en-US" w:eastAsia="zh-CN"/>
        </w:rPr>
        <w:t>成都绿烽林业科技有限公司林业普查项目接待费800元；</w:t>
      </w:r>
    </w:p>
    <w:p>
      <w:pPr>
        <w:numPr>
          <w:ilvl w:val="0"/>
          <w:numId w:val="4"/>
        </w:numPr>
        <w:spacing w:line="600" w:lineRule="exact"/>
        <w:ind w:left="0" w:firstLine="640"/>
        <w:rPr>
          <w:rFonts w:ascii="仿宋_GB2312" w:eastAsia="仿宋_GB2312"/>
          <w:color w:val="000000"/>
          <w:sz w:val="32"/>
          <w:szCs w:val="32"/>
        </w:rPr>
      </w:pPr>
      <w:r>
        <w:rPr>
          <w:rFonts w:hint="eastAsia" w:ascii="仿宋_GB2312" w:eastAsia="仿宋_GB2312"/>
          <w:color w:val="000000"/>
          <w:sz w:val="32"/>
          <w:szCs w:val="32"/>
          <w:lang w:val="en-US" w:eastAsia="zh-CN"/>
        </w:rPr>
        <w:t>华东蓝城集团招商引资项目接待费1191元</w:t>
      </w:r>
      <w:r>
        <w:rPr>
          <w:rFonts w:hint="eastAsia" w:ascii="仿宋_GB2312" w:eastAsia="仿宋_GB2312"/>
          <w:color w:val="000000"/>
          <w:sz w:val="32"/>
          <w:szCs w:val="32"/>
        </w:rPr>
        <w:t>（接待具体项目、金额）。</w:t>
      </w:r>
    </w:p>
    <w:p>
      <w:pPr>
        <w:spacing w:line="600" w:lineRule="exact"/>
        <w:ind w:firstLine="642" w:firstLineChars="200"/>
        <w:rPr>
          <w:rFonts w:hint="eastAsia" w:ascii="仿宋_GB2312" w:eastAsia="仿宋_GB2312"/>
          <w:color w:val="000000"/>
          <w:sz w:val="32"/>
          <w:szCs w:val="32"/>
          <w:lang w:eastAsia="zh-CN"/>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万元，外事接待</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人，共计支出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spacing w:line="600" w:lineRule="exact"/>
        <w:ind w:firstLine="640"/>
        <w:outlineLvl w:val="1"/>
        <w:rPr>
          <w:rStyle w:val="18"/>
          <w:rFonts w:ascii="黑体" w:hAnsi="黑体" w:eastAsia="黑体"/>
        </w:rPr>
      </w:pPr>
      <w:bookmarkStart w:id="44" w:name="_Toc15377218"/>
      <w:bookmarkStart w:id="45" w:name="_Toc15396610"/>
      <w:r>
        <w:rPr>
          <w:rFonts w:hint="eastAsia" w:ascii="黑体" w:eastAsia="黑体"/>
          <w:color w:val="000000"/>
          <w:sz w:val="32"/>
          <w:szCs w:val="32"/>
        </w:rPr>
        <w:t>八、</w:t>
      </w:r>
      <w:r>
        <w:rPr>
          <w:rStyle w:val="18"/>
          <w:rFonts w:hint="eastAsia" w:ascii="黑体" w:hAnsi="黑体" w:eastAsia="黑体"/>
          <w:b w:val="0"/>
        </w:rPr>
        <w:t>政府性基金预算支出决算情况说明</w:t>
      </w:r>
      <w:bookmarkEnd w:id="44"/>
      <w:bookmarkEnd w:id="45"/>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5"/>
        </w:numPr>
        <w:spacing w:line="600" w:lineRule="exact"/>
        <w:ind w:left="0" w:firstLine="640"/>
        <w:outlineLvl w:val="1"/>
        <w:rPr>
          <w:rStyle w:val="18"/>
          <w:rFonts w:ascii="黑体" w:hAnsi="黑体" w:eastAsia="黑体"/>
          <w:b w:val="0"/>
        </w:rPr>
      </w:pPr>
      <w:bookmarkStart w:id="46" w:name="_Toc15377219"/>
      <w:bookmarkStart w:id="47" w:name="_Toc15396611"/>
      <w:r>
        <w:rPr>
          <w:rStyle w:val="18"/>
          <w:rFonts w:hint="eastAsia" w:ascii="黑体" w:hAnsi="黑体" w:eastAsia="黑体"/>
          <w:b w:val="0"/>
        </w:rPr>
        <w:t>国有资本经营预算支出决算情况说明</w:t>
      </w:r>
      <w:bookmarkEnd w:id="46"/>
      <w:bookmarkEnd w:id="47"/>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9年国有资本经营预算拨款支出万元。</w:t>
      </w:r>
    </w:p>
    <w:p>
      <w:pPr>
        <w:spacing w:line="600" w:lineRule="exact"/>
        <w:ind w:firstLine="800" w:firstLineChars="250"/>
        <w:outlineLvl w:val="1"/>
        <w:rPr>
          <w:rStyle w:val="18"/>
          <w:rFonts w:ascii="黑体" w:hAnsi="黑体" w:eastAsia="黑体"/>
        </w:rPr>
      </w:pPr>
      <w:bookmarkStart w:id="48" w:name="_Toc15377221"/>
      <w:bookmarkStart w:id="49" w:name="_Toc15396612"/>
      <w:r>
        <w:rPr>
          <w:rFonts w:hint="eastAsia" w:ascii="黑体" w:hAnsi="黑体" w:eastAsia="黑体"/>
          <w:color w:val="000000"/>
          <w:sz w:val="32"/>
          <w:szCs w:val="32"/>
        </w:rPr>
        <w:t>十</w:t>
      </w:r>
      <w:r>
        <w:rPr>
          <w:rStyle w:val="18"/>
          <w:rFonts w:hint="eastAsia" w:ascii="黑体" w:hAnsi="黑体" w:eastAsia="黑体"/>
        </w:rPr>
        <w:t>、</w:t>
      </w:r>
      <w:r>
        <w:rPr>
          <w:rStyle w:val="18"/>
          <w:rFonts w:hint="eastAsia" w:ascii="黑体" w:hAnsi="黑体" w:eastAsia="黑体"/>
          <w:b w:val="0"/>
        </w:rPr>
        <w:t>其他重要事项的情况说明</w:t>
      </w:r>
      <w:bookmarkEnd w:id="48"/>
      <w:bookmarkEnd w:id="49"/>
    </w:p>
    <w:p>
      <w:pPr>
        <w:spacing w:line="600" w:lineRule="exact"/>
        <w:ind w:firstLine="642" w:firstLineChars="200"/>
        <w:outlineLvl w:val="2"/>
        <w:rPr>
          <w:rFonts w:ascii="仿宋" w:hAnsi="仿宋" w:eastAsia="仿宋"/>
          <w:color w:val="000000"/>
          <w:sz w:val="32"/>
          <w:szCs w:val="32"/>
        </w:rPr>
      </w:pPr>
      <w:bookmarkStart w:id="50" w:name="_Toc15377222"/>
      <w:r>
        <w:rPr>
          <w:rFonts w:hint="eastAsia" w:ascii="仿宋" w:hAnsi="仿宋" w:eastAsia="仿宋"/>
          <w:b/>
          <w:color w:val="000000"/>
          <w:sz w:val="32"/>
          <w:szCs w:val="32"/>
        </w:rPr>
        <w:t>（一）机关运行经费支出情况</w:t>
      </w:r>
      <w:bookmarkEnd w:id="50"/>
    </w:p>
    <w:p>
      <w:pPr>
        <w:spacing w:line="600" w:lineRule="exact"/>
        <w:ind w:firstLine="640" w:firstLineChars="200"/>
        <w:rPr>
          <w:rFonts w:ascii="仿宋_GB2312" w:eastAsia="仿宋_GB2312"/>
          <w:color w:val="000000"/>
          <w:sz w:val="32"/>
          <w:szCs w:val="32"/>
          <w:lang w:val="en-US" w:eastAsia="zh-CN"/>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val="en-US" w:eastAsia="zh-CN"/>
        </w:rPr>
        <w:t>广元市利州区天曌山国有林场</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62.76</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hint="eastAsia" w:ascii="仿宋_GB2312" w:eastAsia="仿宋_GB2312"/>
          <w:color w:val="000000"/>
          <w:sz w:val="32"/>
          <w:szCs w:val="32"/>
          <w:lang w:val="en-US" w:eastAsia="zh-CN"/>
        </w:rPr>
        <w:t>23.06</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58.09</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机改两个单位合并，机关运行经费增加。</w:t>
      </w:r>
    </w:p>
    <w:p>
      <w:pPr>
        <w:spacing w:line="600" w:lineRule="exact"/>
        <w:ind w:firstLine="642"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1" w:name="_Toc15377223"/>
      <w:r>
        <w:rPr>
          <w:rFonts w:hint="eastAsia" w:ascii="仿宋" w:hAnsi="仿宋" w:eastAsia="仿宋"/>
          <w:b/>
          <w:color w:val="000000"/>
          <w:sz w:val="32"/>
          <w:szCs w:val="32"/>
        </w:rPr>
        <w:t>（二）政府采购支出情况</w:t>
      </w:r>
      <w:bookmarkEnd w:id="51"/>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val="en-US" w:eastAsia="zh-CN"/>
        </w:rPr>
        <w:t>广元市利州区天曌山国有林场</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334.935</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83.5</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251.435</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w:t>
      </w:r>
      <w:r>
        <w:rPr>
          <w:rFonts w:hint="eastAsia" w:ascii="仿宋_GB2312" w:eastAsia="仿宋_GB2312"/>
          <w:color w:val="000000"/>
          <w:sz w:val="32"/>
          <w:szCs w:val="32"/>
          <w:lang w:val="en-US" w:eastAsia="zh-CN"/>
        </w:rPr>
        <w:t>办公设备、国有贫困林场项目和保护利用设施项目、生态功能区转移项目</w:t>
      </w:r>
      <w:r>
        <w:rPr>
          <w:rFonts w:hint="eastAsia" w:ascii="仿宋_GB2312" w:eastAsia="仿宋_GB2312"/>
          <w:color w:val="000000"/>
          <w:sz w:val="32"/>
          <w:szCs w:val="32"/>
        </w:rPr>
        <w:t>。授予中小企业合同金额</w:t>
      </w:r>
      <w:r>
        <w:rPr>
          <w:rFonts w:hint="eastAsia" w:ascii="仿宋_GB2312" w:eastAsia="仿宋_GB2312"/>
          <w:color w:val="000000"/>
          <w:sz w:val="32"/>
          <w:szCs w:val="32"/>
          <w:lang w:val="en-US" w:eastAsia="zh-CN"/>
        </w:rPr>
        <w:t>334.935</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100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2"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2" w:name="_Toc15377224"/>
      <w:r>
        <w:rPr>
          <w:rFonts w:hint="eastAsia" w:ascii="仿宋" w:hAnsi="仿宋" w:eastAsia="仿宋"/>
          <w:b/>
          <w:color w:val="000000"/>
          <w:sz w:val="32"/>
          <w:szCs w:val="32"/>
        </w:rPr>
        <w:t>（三）国有资产占有使用情况</w:t>
      </w:r>
      <w:bookmarkEnd w:id="52"/>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val="en-US" w:eastAsia="zh-CN"/>
        </w:rPr>
        <w:t>广元市利州区天曌山国有林场</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他用车主要是用于</w:t>
      </w:r>
      <w:r>
        <w:rPr>
          <w:rFonts w:hint="eastAsia" w:ascii="仿宋_GB2312" w:eastAsia="仿宋_GB2312"/>
          <w:color w:val="000000"/>
          <w:sz w:val="32"/>
          <w:szCs w:val="32"/>
          <w:lang w:val="en-US" w:eastAsia="zh-CN"/>
        </w:rPr>
        <w:t>接送职工上下班的班车和一般公务用车一辆。单</w:t>
      </w:r>
      <w:r>
        <w:rPr>
          <w:rFonts w:hint="eastAsia" w:ascii="仿宋_GB2312" w:eastAsia="仿宋_GB2312"/>
          <w:color w:val="000000"/>
          <w:sz w:val="32"/>
          <w:szCs w:val="32"/>
        </w:rPr>
        <w:t>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台（套）。</w:t>
      </w:r>
      <w:r>
        <w:rPr>
          <w:rFonts w:hint="eastAsia" w:ascii="仿宋" w:hAnsi="仿宋" w:eastAsia="仿宋"/>
          <w:b/>
          <w:color w:val="FF0000"/>
          <w:sz w:val="32"/>
          <w:szCs w:val="32"/>
        </w:rPr>
        <w:t>（注：数据来源财决附</w:t>
      </w:r>
      <w:r>
        <w:rPr>
          <w:rFonts w:ascii="仿宋" w:hAnsi="仿宋" w:eastAsia="仿宋"/>
          <w:b/>
          <w:color w:val="FF0000"/>
          <w:sz w:val="32"/>
          <w:szCs w:val="32"/>
        </w:rPr>
        <w:t>03</w:t>
      </w:r>
      <w:r>
        <w:rPr>
          <w:rFonts w:hint="eastAsia" w:ascii="仿宋" w:hAnsi="仿宋" w:eastAsia="仿宋"/>
          <w:b/>
          <w:color w:val="FF0000"/>
          <w:sz w:val="32"/>
          <w:szCs w:val="32"/>
        </w:rPr>
        <w:t>表，按部门决算报表填报数据罗列车辆情况。）</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 w:hAnsi="仿宋" w:eastAsia="仿宋" w:cs="仿宋_GB2312"/>
          <w:sz w:val="32"/>
          <w:szCs w:val="32"/>
        </w:rPr>
        <w:t>森林资源森林防火监控维修维护项目、林区病虫害防治项目、防火项目、古树保护项目</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重点生态功能区转移项目</w:t>
      </w:r>
      <w:r>
        <w:rPr>
          <w:rFonts w:hint="eastAsia" w:ascii="仿宋" w:hAnsi="仿宋" w:eastAsia="仿宋" w:cs="仿宋_GB2312"/>
          <w:sz w:val="32"/>
          <w:szCs w:val="32"/>
        </w:rPr>
        <w:t>开展了预算事前绩效评估，对</w:t>
      </w:r>
      <w:r>
        <w:rPr>
          <w:rFonts w:hint="eastAsia" w:ascii="仿宋" w:hAnsi="仿宋" w:eastAsia="仿宋" w:cs="仿宋_GB2312"/>
          <w:sz w:val="32"/>
          <w:szCs w:val="32"/>
          <w:lang w:val="en-US" w:eastAsia="zh-CN"/>
        </w:rPr>
        <w:t>五</w:t>
      </w:r>
      <w:r>
        <w:rPr>
          <w:rFonts w:hint="eastAsia" w:ascii="仿宋" w:hAnsi="仿宋" w:eastAsia="仿宋" w:cs="仿宋_GB2312"/>
          <w:sz w:val="32"/>
          <w:szCs w:val="32"/>
        </w:rPr>
        <w:t>个项目编制了绩效目标，森林资源森林防火监控维修维护项目、林区病虫害防治项目、防火项目、古树保护项目</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重点生态功能区转移</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ascii="仿宋" w:hAnsi="仿宋" w:eastAsia="仿宋" w:cs="仿宋_GB2312"/>
          <w:color w:val="000000"/>
          <w:sz w:val="32"/>
          <w:szCs w:val="32"/>
        </w:rPr>
      </w:pPr>
      <w:r>
        <w:rPr>
          <w:rFonts w:hint="eastAsia" w:ascii="仿宋_GB2312" w:hAnsi="仿宋_GB2312" w:eastAsia="仿宋_GB2312" w:cs="仿宋_GB2312"/>
          <w:sz w:val="32"/>
          <w:szCs w:val="32"/>
        </w:rPr>
        <w:t>本部门按要求对2019年部门整体支出开展绩效自评，从评价情况来看</w:t>
      </w:r>
      <w:r>
        <w:rPr>
          <w:rFonts w:hint="eastAsia" w:ascii="仿宋" w:hAnsi="仿宋" w:eastAsia="仿宋" w:cs="仿宋_GB2312"/>
          <w:color w:val="000000"/>
          <w:sz w:val="32"/>
          <w:szCs w:val="32"/>
        </w:rPr>
        <w:t>完成较好，及时、高效，保障了全场各项重点工作有序开展。本部门还自行组织了</w:t>
      </w:r>
      <w:r>
        <w:rPr>
          <w:rFonts w:hint="eastAsia" w:ascii="仿宋" w:hAnsi="仿宋" w:eastAsia="仿宋" w:cs="仿宋_GB2312"/>
          <w:color w:val="000000"/>
          <w:sz w:val="32"/>
          <w:szCs w:val="32"/>
          <w:lang w:val="en-US" w:eastAsia="zh-CN"/>
        </w:rPr>
        <w:t>五</w:t>
      </w:r>
      <w:r>
        <w:rPr>
          <w:rFonts w:hint="eastAsia" w:ascii="仿宋" w:hAnsi="仿宋" w:eastAsia="仿宋" w:cs="仿宋_GB2312"/>
          <w:color w:val="000000"/>
          <w:sz w:val="32"/>
          <w:szCs w:val="32"/>
        </w:rPr>
        <w:t>个项目绩效评价，从评价情况来看这</w:t>
      </w:r>
      <w:r>
        <w:rPr>
          <w:rFonts w:hint="eastAsia" w:ascii="仿宋" w:hAnsi="仿宋" w:eastAsia="仿宋" w:cs="仿宋_GB2312"/>
          <w:color w:val="000000"/>
          <w:sz w:val="32"/>
          <w:szCs w:val="32"/>
          <w:lang w:val="en-US" w:eastAsia="zh-CN"/>
        </w:rPr>
        <w:t>五</w:t>
      </w:r>
      <w:r>
        <w:rPr>
          <w:rFonts w:hint="eastAsia" w:ascii="仿宋" w:hAnsi="仿宋" w:eastAsia="仿宋" w:cs="仿宋_GB2312"/>
          <w:color w:val="000000"/>
          <w:sz w:val="32"/>
          <w:szCs w:val="32"/>
        </w:rPr>
        <w:t>个项目都已基本完成，达到预期目标，有效保障了全场各项重点工作有序开展。</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w:t>
      </w:r>
      <w:r>
        <w:rPr>
          <w:rFonts w:hint="eastAsia" w:ascii="仿宋" w:hAnsi="仿宋" w:eastAsia="仿宋" w:cs="仿宋_GB2312"/>
          <w:sz w:val="32"/>
          <w:szCs w:val="32"/>
        </w:rPr>
        <w:t>森林资源森林防火监控维修维护项目</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 w:hAnsi="仿宋" w:eastAsia="仿宋" w:cs="仿宋_GB2312"/>
          <w:sz w:val="32"/>
          <w:szCs w:val="32"/>
        </w:rPr>
        <w:t>林区病虫害防治项目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 w:hAnsi="仿宋" w:eastAsia="仿宋" w:cs="仿宋_GB2312"/>
          <w:sz w:val="32"/>
          <w:szCs w:val="32"/>
        </w:rPr>
        <w:t>防火项目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 w:hAnsi="仿宋" w:eastAsia="仿宋" w:cs="仿宋_GB2312"/>
          <w:sz w:val="32"/>
          <w:szCs w:val="32"/>
        </w:rPr>
        <w:t>古树保护项目</w:t>
      </w:r>
      <w:r>
        <w:rPr>
          <w:rFonts w:hint="eastAsia" w:ascii="仿宋_GB2312" w:hAnsi="仿宋_GB2312" w:eastAsia="仿宋_GB2312" w:cs="仿宋_GB2312"/>
          <w:sz w:val="32"/>
          <w:szCs w:val="32"/>
          <w:lang w:eastAsia="zh-CN"/>
        </w:rPr>
        <w:t>”“</w:t>
      </w:r>
      <w:r>
        <w:rPr>
          <w:rFonts w:hint="eastAsia" w:ascii="仿宋" w:hAnsi="仿宋" w:eastAsia="仿宋" w:cs="仿宋_GB2312"/>
          <w:sz w:val="32"/>
          <w:szCs w:val="32"/>
          <w:lang w:val="en-US" w:eastAsia="zh-CN"/>
        </w:rPr>
        <w:t>重点生态功能区转移项目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个项目绩效目标实际完成情况。（本单位部门项目绩效目标个数在5个以上的，选取5个项目进行公开，目标个数在5个以下的，全部进行公开，公开内容包括选取的全部项目完成情况综述和完成情况表）。</w:t>
      </w:r>
    </w:p>
    <w:p>
      <w:pPr>
        <w:tabs>
          <w:tab w:val="left" w:pos="312"/>
        </w:tabs>
        <w:spacing w:line="580"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（1）</w:t>
      </w:r>
      <w:r>
        <w:rPr>
          <w:rFonts w:hint="eastAsia" w:ascii="仿宋" w:hAnsi="仿宋" w:eastAsia="仿宋" w:cs="仿宋_GB2312"/>
          <w:sz w:val="32"/>
          <w:szCs w:val="32"/>
        </w:rPr>
        <w:t>森林资源森林防火监控维修维护项目</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0.952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47.60</w:t>
      </w:r>
      <w:r>
        <w:rPr>
          <w:rFonts w:hint="eastAsia" w:ascii="仿宋_GB2312" w:hAnsi="仿宋_GB2312" w:eastAsia="仿宋_GB2312" w:cs="仿宋_GB2312"/>
          <w:sz w:val="32"/>
          <w:szCs w:val="32"/>
        </w:rPr>
        <w:t>%。</w:t>
      </w:r>
      <w:r>
        <w:rPr>
          <w:rFonts w:hint="eastAsia" w:ascii="仿宋" w:hAnsi="仿宋" w:eastAsia="仿宋" w:cs="仿宋_GB2312"/>
          <w:sz w:val="32"/>
          <w:szCs w:val="32"/>
        </w:rPr>
        <w:t>通过项目实施，强化了林区的日常监测，保障了林区的安全，有效防范林区火灾的发生和滥伐林木的现象，发现的主要问题：由于林区比较潮湿，监控设施损坏率高，维修经费缺口大。下一步改进措施：加强对监控设施的保护和利用，向上级部门争取经费。</w:t>
      </w:r>
    </w:p>
    <w:p>
      <w:pPr>
        <w:ind w:firstLine="640" w:firstLineChars="200"/>
        <w:rPr>
          <w:rFonts w:ascii="仿宋" w:hAnsi="仿宋" w:eastAsia="仿宋" w:cs="宋体"/>
          <w:color w:val="000000"/>
          <w:kern w:val="0"/>
          <w:sz w:val="32"/>
          <w:szCs w:val="32"/>
        </w:rPr>
      </w:pPr>
      <w:r>
        <w:rPr>
          <w:rFonts w:hint="eastAsia" w:ascii="仿宋_GB2312" w:hAnsi="仿宋_GB2312" w:eastAsia="仿宋_GB2312" w:cs="仿宋_GB2312"/>
          <w:sz w:val="32"/>
          <w:szCs w:val="32"/>
        </w:rPr>
        <w:t>（2）</w:t>
      </w:r>
      <w:r>
        <w:rPr>
          <w:rFonts w:hint="eastAsia" w:ascii="仿宋" w:hAnsi="仿宋" w:eastAsia="仿宋" w:cs="仿宋_GB2312"/>
          <w:sz w:val="32"/>
          <w:szCs w:val="32"/>
        </w:rPr>
        <w:t>林区病虫害防治项目</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0.341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34.10</w:t>
      </w:r>
      <w:r>
        <w:rPr>
          <w:rFonts w:hint="eastAsia" w:ascii="仿宋_GB2312" w:hAnsi="仿宋_GB2312" w:eastAsia="仿宋_GB2312" w:cs="仿宋_GB2312"/>
          <w:sz w:val="32"/>
          <w:szCs w:val="32"/>
        </w:rPr>
        <w:t>%。</w:t>
      </w:r>
      <w:r>
        <w:rPr>
          <w:rFonts w:hint="eastAsia" w:ascii="仿宋" w:hAnsi="仿宋" w:eastAsia="仿宋" w:cs="仿宋_GB2312"/>
          <w:sz w:val="32"/>
          <w:szCs w:val="32"/>
        </w:rPr>
        <w:t>通过项目实施，全年共消杀林区病虫害125次，消杀面积400多亩，</w:t>
      </w:r>
      <w:r>
        <w:rPr>
          <w:rFonts w:hint="eastAsia" w:ascii="仿宋" w:hAnsi="仿宋" w:eastAsia="仿宋" w:cs="宋体"/>
          <w:color w:val="000000"/>
          <w:kern w:val="0"/>
          <w:sz w:val="32"/>
          <w:szCs w:val="32"/>
        </w:rPr>
        <w:t>预防病虫害林区面积达到5000多亩，有效防止了病虫害在林区的蔓延和扩散，提高了林区植物安全性，从而有效保障森林植物多样性。发现的主要问题：</w:t>
      </w:r>
      <w:r>
        <w:rPr>
          <w:rFonts w:hint="eastAsia" w:ascii="仿宋" w:hAnsi="仿宋" w:eastAsia="仿宋" w:cs="宋体"/>
          <w:color w:val="000000"/>
          <w:kern w:val="0"/>
          <w:sz w:val="32"/>
          <w:szCs w:val="32"/>
          <w:lang w:val="en-US" w:eastAsia="zh-CN"/>
        </w:rPr>
        <w:t>经费利用率不足</w:t>
      </w:r>
      <w:r>
        <w:rPr>
          <w:rFonts w:hint="eastAsia" w:ascii="仿宋" w:hAnsi="仿宋" w:eastAsia="仿宋" w:cs="宋体"/>
          <w:color w:val="000000"/>
          <w:kern w:val="0"/>
          <w:sz w:val="32"/>
          <w:szCs w:val="32"/>
        </w:rPr>
        <w:t>。下一步改进措施：</w:t>
      </w:r>
      <w:r>
        <w:rPr>
          <w:rFonts w:hint="eastAsia" w:ascii="仿宋" w:hAnsi="仿宋" w:eastAsia="仿宋" w:cs="宋体"/>
          <w:color w:val="000000"/>
          <w:kern w:val="0"/>
          <w:sz w:val="32"/>
          <w:szCs w:val="32"/>
          <w:lang w:val="en-US" w:eastAsia="zh-CN"/>
        </w:rPr>
        <w:t>全年要合理安排资金，</w:t>
      </w:r>
      <w:r>
        <w:rPr>
          <w:rFonts w:hint="eastAsia" w:ascii="仿宋" w:hAnsi="仿宋" w:eastAsia="仿宋" w:cs="宋体"/>
          <w:color w:val="000000"/>
          <w:kern w:val="0"/>
          <w:sz w:val="32"/>
          <w:szCs w:val="32"/>
        </w:rPr>
        <w:t>保障林区的安全。</w:t>
      </w:r>
    </w:p>
    <w:p>
      <w:pPr>
        <w:tabs>
          <w:tab w:val="left" w:pos="312"/>
        </w:tabs>
        <w:spacing w:line="580"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（3）</w:t>
      </w:r>
      <w:r>
        <w:rPr>
          <w:rFonts w:hint="eastAsia" w:ascii="仿宋" w:hAnsi="仿宋" w:eastAsia="仿宋" w:cs="仿宋_GB2312"/>
          <w:sz w:val="32"/>
          <w:szCs w:val="32"/>
        </w:rPr>
        <w:t>防火项目</w:t>
      </w:r>
      <w:r>
        <w:rPr>
          <w:rFonts w:hint="eastAsia" w:ascii="仿宋_GB2312" w:hAnsi="仿宋_GB2312" w:eastAsia="仿宋_GB2312" w:cs="仿宋_GB2312"/>
          <w:sz w:val="32"/>
          <w:szCs w:val="32"/>
        </w:rPr>
        <w:t>绩效目标完成情况综述。项目全年预算数</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w:t>
      </w:r>
      <w:r>
        <w:rPr>
          <w:rFonts w:hint="eastAsia" w:ascii="仿宋" w:hAnsi="仿宋" w:eastAsia="仿宋" w:cs="仿宋_GB2312"/>
          <w:sz w:val="32"/>
          <w:szCs w:val="32"/>
        </w:rPr>
        <w:t>通过项目实施，保障林区未发生重大火灾及地质灾害隐患，有效促进了森林生态的有续发展，发现的主要问题：经费严重不足，</w:t>
      </w:r>
      <w:r>
        <w:rPr>
          <w:rFonts w:hint="eastAsia" w:ascii="仿宋" w:hAnsi="仿宋" w:eastAsia="仿宋" w:cs="仿宋_GB2312"/>
          <w:sz w:val="32"/>
          <w:szCs w:val="32"/>
          <w:lang w:val="en-US" w:eastAsia="zh-CN"/>
        </w:rPr>
        <w:t>森林防火宣传力度不够</w:t>
      </w:r>
      <w:r>
        <w:rPr>
          <w:rFonts w:hint="eastAsia" w:ascii="仿宋" w:hAnsi="仿宋" w:eastAsia="仿宋" w:cs="仿宋_GB2312"/>
          <w:sz w:val="32"/>
          <w:szCs w:val="32"/>
        </w:rPr>
        <w:t>。下一步改进措施：依据林区灾害的实际情况，</w:t>
      </w:r>
      <w:r>
        <w:rPr>
          <w:rFonts w:hint="eastAsia" w:ascii="仿宋" w:hAnsi="仿宋" w:eastAsia="仿宋" w:cs="宋体"/>
          <w:color w:val="000000"/>
          <w:kern w:val="0"/>
          <w:sz w:val="32"/>
          <w:szCs w:val="32"/>
        </w:rPr>
        <w:t>向上级部门汇报并多方位争取和筹措资金，</w:t>
      </w:r>
      <w:r>
        <w:rPr>
          <w:rFonts w:hint="eastAsia" w:ascii="仿宋" w:hAnsi="仿宋" w:eastAsia="仿宋" w:cs="宋体"/>
          <w:color w:val="000000"/>
          <w:kern w:val="0"/>
          <w:sz w:val="32"/>
          <w:szCs w:val="32"/>
          <w:lang w:val="en-US" w:eastAsia="zh-CN"/>
        </w:rPr>
        <w:t>调动周边村组群众群防群治的积极</w:t>
      </w:r>
      <w:r>
        <w:rPr>
          <w:rFonts w:hint="eastAsia" w:ascii="仿宋" w:hAnsi="仿宋" w:eastAsia="仿宋" w:cs="宋体"/>
          <w:color w:val="000000"/>
          <w:kern w:val="0"/>
          <w:sz w:val="32"/>
          <w:szCs w:val="32"/>
        </w:rPr>
        <w:t>。</w:t>
      </w:r>
    </w:p>
    <w:p>
      <w:pPr>
        <w:ind w:firstLine="640" w:firstLineChars="200"/>
        <w:rPr>
          <w:rFonts w:hint="eastAsia" w:ascii="仿宋" w:hAnsi="仿宋" w:eastAsia="仿宋" w:cs="宋体"/>
          <w:color w:val="000000"/>
          <w:kern w:val="0"/>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 w:hAnsi="仿宋" w:eastAsia="仿宋" w:cs="仿宋_GB2312"/>
          <w:sz w:val="32"/>
          <w:szCs w:val="32"/>
        </w:rPr>
        <w:t>古树保护项目绩效目标完成情况综述。项目全年预算数</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万元，执行数为</w:t>
      </w:r>
      <w:r>
        <w:rPr>
          <w:rFonts w:hint="eastAsia" w:ascii="仿宋" w:hAnsi="仿宋" w:eastAsia="仿宋" w:cs="仿宋_GB2312"/>
          <w:sz w:val="32"/>
          <w:szCs w:val="32"/>
          <w:lang w:val="en-US" w:eastAsia="zh-CN"/>
        </w:rPr>
        <w:t>0.788</w:t>
      </w:r>
      <w:r>
        <w:rPr>
          <w:rFonts w:hint="eastAsia" w:ascii="仿宋" w:hAnsi="仿宋" w:eastAsia="仿宋" w:cs="仿宋_GB2312"/>
          <w:sz w:val="32"/>
          <w:szCs w:val="32"/>
        </w:rPr>
        <w:t>万元，完成预算的</w:t>
      </w:r>
      <w:r>
        <w:rPr>
          <w:rFonts w:hint="eastAsia" w:ascii="仿宋" w:hAnsi="仿宋" w:eastAsia="仿宋" w:cs="仿宋_GB2312"/>
          <w:sz w:val="32"/>
          <w:szCs w:val="32"/>
          <w:lang w:val="en-US" w:eastAsia="zh-CN"/>
        </w:rPr>
        <w:t>39.4</w:t>
      </w:r>
      <w:r>
        <w:rPr>
          <w:rFonts w:hint="eastAsia" w:ascii="仿宋" w:hAnsi="仿宋" w:eastAsia="仿宋" w:cs="仿宋_GB2312"/>
          <w:sz w:val="32"/>
          <w:szCs w:val="32"/>
        </w:rPr>
        <w:t>%。通过项目实施，保障林区50棵名贵古树的正常生长，从而提高了林区古树的存活，发现的主要问题：</w:t>
      </w:r>
      <w:r>
        <w:rPr>
          <w:rFonts w:hint="eastAsia" w:ascii="仿宋" w:hAnsi="仿宋" w:eastAsia="仿宋" w:cs="仿宋_GB2312"/>
          <w:sz w:val="32"/>
          <w:szCs w:val="32"/>
          <w:lang w:val="en-US" w:eastAsia="zh-CN"/>
        </w:rPr>
        <w:t>资金利用率不足</w:t>
      </w:r>
      <w:r>
        <w:rPr>
          <w:rFonts w:hint="eastAsia" w:ascii="仿宋" w:hAnsi="仿宋" w:eastAsia="仿宋" w:cs="仿宋_GB2312"/>
          <w:sz w:val="32"/>
          <w:szCs w:val="32"/>
        </w:rPr>
        <w:t>，无法有效保护古树的日常管护和病虫害防治。下一步改进措施：</w:t>
      </w:r>
      <w:r>
        <w:rPr>
          <w:rFonts w:hint="eastAsia" w:ascii="仿宋" w:hAnsi="仿宋" w:eastAsia="仿宋" w:cs="宋体"/>
          <w:color w:val="000000"/>
          <w:kern w:val="0"/>
          <w:sz w:val="32"/>
          <w:szCs w:val="32"/>
          <w:lang w:val="en-US" w:eastAsia="zh-CN"/>
        </w:rPr>
        <w:t>全年要合理安排资金，</w:t>
      </w:r>
      <w:r>
        <w:rPr>
          <w:rFonts w:hint="eastAsia" w:ascii="仿宋" w:hAnsi="仿宋" w:eastAsia="仿宋" w:cs="宋体"/>
          <w:color w:val="000000"/>
          <w:kern w:val="0"/>
          <w:sz w:val="32"/>
          <w:szCs w:val="32"/>
        </w:rPr>
        <w:t>保障林区的安全。</w:t>
      </w:r>
    </w:p>
    <w:p>
      <w:pPr>
        <w:spacing w:line="580" w:lineRule="exact"/>
        <w:ind w:left="0" w:firstLine="640" w:firstLineChars="200"/>
        <w:rPr>
          <w:rFonts w:hint="eastAsia" w:ascii="仿宋" w:hAnsi="仿宋" w:eastAsia="仿宋" w:cs="仿宋_GB2312"/>
          <w:color w:val="000000"/>
          <w:sz w:val="32"/>
          <w:szCs w:val="32"/>
        </w:rPr>
      </w:pP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5</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国</w:t>
      </w:r>
      <w:r>
        <w:rPr>
          <w:rFonts w:hint="eastAsia" w:ascii="仿宋" w:hAnsi="仿宋" w:eastAsia="仿宋" w:cs="宋体"/>
          <w:color w:val="000000"/>
          <w:sz w:val="32"/>
          <w:szCs w:val="32"/>
        </w:rPr>
        <w:t>家重点生态功能区转移支付资金项目</w:t>
      </w:r>
      <w:r>
        <w:rPr>
          <w:rFonts w:hint="eastAsia" w:ascii="仿宋" w:hAnsi="仿宋" w:eastAsia="仿宋" w:cs="仿宋_GB2312"/>
          <w:color w:val="000000"/>
          <w:sz w:val="32"/>
          <w:szCs w:val="32"/>
        </w:rPr>
        <w:t>绩效目标完成情况综述。项目全年预算数</w:t>
      </w:r>
      <w:r>
        <w:rPr>
          <w:rFonts w:hint="eastAsia" w:ascii="仿宋" w:hAnsi="仿宋" w:eastAsia="仿宋" w:cs="仿宋_GB2312"/>
          <w:color w:val="000000"/>
          <w:sz w:val="32"/>
          <w:szCs w:val="32"/>
          <w:lang w:val="en-US" w:eastAsia="zh-CN"/>
        </w:rPr>
        <w:t>908.90</w:t>
      </w:r>
      <w:r>
        <w:rPr>
          <w:rFonts w:hint="eastAsia" w:ascii="仿宋" w:hAnsi="仿宋" w:eastAsia="仿宋" w:cs="仿宋_GB2312"/>
          <w:color w:val="000000"/>
          <w:sz w:val="32"/>
          <w:szCs w:val="32"/>
        </w:rPr>
        <w:t>万元，执行数为</w:t>
      </w:r>
      <w:r>
        <w:rPr>
          <w:rFonts w:hint="eastAsia" w:ascii="仿宋" w:hAnsi="仿宋" w:eastAsia="仿宋" w:cs="仿宋_GB2312"/>
          <w:color w:val="000000"/>
          <w:sz w:val="32"/>
          <w:szCs w:val="32"/>
          <w:lang w:val="en-US" w:eastAsia="zh-CN"/>
        </w:rPr>
        <w:t>391.40</w:t>
      </w:r>
      <w:r>
        <w:rPr>
          <w:rFonts w:hint="eastAsia" w:ascii="仿宋" w:hAnsi="仿宋" w:eastAsia="仿宋" w:cs="仿宋_GB2312"/>
          <w:color w:val="000000"/>
          <w:sz w:val="32"/>
          <w:szCs w:val="32"/>
        </w:rPr>
        <w:t>万元，完成预算的</w:t>
      </w:r>
      <w:r>
        <w:rPr>
          <w:rFonts w:hint="eastAsia" w:ascii="仿宋" w:hAnsi="仿宋" w:eastAsia="仿宋" w:cs="仿宋_GB2312"/>
          <w:color w:val="000000"/>
          <w:sz w:val="32"/>
          <w:szCs w:val="32"/>
          <w:lang w:val="en-US" w:eastAsia="zh-CN"/>
        </w:rPr>
        <w:t>43.06</w:t>
      </w:r>
      <w:r>
        <w:rPr>
          <w:rFonts w:hint="eastAsia" w:ascii="仿宋" w:hAnsi="仿宋" w:eastAsia="仿宋" w:cs="仿宋_GB2312"/>
          <w:color w:val="000000"/>
          <w:sz w:val="32"/>
          <w:szCs w:val="32"/>
        </w:rPr>
        <w:t>%。通过项目实施，改善公园基础设施条件，完善了公园森林防火规划，提高了公园的管理能力水平，改善公园的森林生态景观，同时增加旅游综合收入，带动周边农家乐发展，增加了就业岗位，推进了我区旅游产业发展和经济建设。发现的主要问题：</w:t>
      </w:r>
      <w:r>
        <w:rPr>
          <w:rFonts w:hint="eastAsia" w:ascii="仿宋" w:hAnsi="仿宋" w:eastAsia="仿宋" w:cs="仿宋_GB2312"/>
          <w:color w:val="000000"/>
          <w:sz w:val="32"/>
          <w:szCs w:val="32"/>
          <w:lang w:val="en-US" w:eastAsia="zh-CN"/>
        </w:rPr>
        <w:t>由于单位机改合并，项目资金</w:t>
      </w:r>
      <w:r>
        <w:rPr>
          <w:rFonts w:ascii="仿宋" w:hAnsi="仿宋" w:eastAsia="仿宋" w:cs="仿宋_GB2312"/>
          <w:color w:val="000000"/>
          <w:sz w:val="32"/>
          <w:szCs w:val="32"/>
          <w:lang w:val="en-US" w:eastAsia="zh-CN"/>
        </w:rPr>
        <w:t>拨</w:t>
      </w:r>
      <w:r>
        <w:rPr>
          <w:rFonts w:hint="eastAsia" w:ascii="仿宋" w:hAnsi="仿宋" w:eastAsia="仿宋" w:cs="仿宋_GB2312"/>
          <w:color w:val="000000"/>
          <w:sz w:val="32"/>
          <w:szCs w:val="32"/>
          <w:lang w:val="en-US" w:eastAsia="zh-CN"/>
        </w:rPr>
        <w:t>付时间较晚，再加上</w:t>
      </w:r>
      <w:r>
        <w:rPr>
          <w:rFonts w:ascii="仿宋" w:hAnsi="仿宋" w:eastAsia="仿宋"/>
          <w:color w:val="000000"/>
          <w:sz w:val="32"/>
          <w:szCs w:val="32"/>
        </w:rPr>
        <w:t>天曌山国家森林公园海拔较高，冬季气候寒冷，每年10月底至第二年3月都不具备施工条件，项目进展缓慢</w:t>
      </w:r>
      <w:r>
        <w:rPr>
          <w:rFonts w:hint="eastAsia" w:ascii="仿宋" w:hAnsi="仿宋" w:eastAsia="仿宋" w:cs="仿宋_GB2312"/>
          <w:color w:val="000000"/>
          <w:sz w:val="32"/>
          <w:szCs w:val="32"/>
        </w:rPr>
        <w:t>下一步改进措施：在可施工时间段，加快进度，力争保质保量的完成项目。</w:t>
      </w:r>
    </w:p>
    <w:tbl>
      <w:tblPr>
        <w:tblStyle w:val="13"/>
        <w:tblpPr w:leftFromText="180" w:rightFromText="180" w:vertAnchor="text" w:horzAnchor="page" w:tblpXSpec="center" w:tblpY="423"/>
        <w:tblOverlap w:val="never"/>
        <w:tblW w:w="102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0"/>
        <w:gridCol w:w="269"/>
        <w:gridCol w:w="916"/>
        <w:gridCol w:w="182"/>
        <w:gridCol w:w="269"/>
        <w:gridCol w:w="756"/>
        <w:gridCol w:w="210"/>
        <w:gridCol w:w="59"/>
        <w:gridCol w:w="2123"/>
        <w:gridCol w:w="269"/>
        <w:gridCol w:w="2125"/>
        <w:gridCol w:w="102"/>
        <w:gridCol w:w="142"/>
        <w:gridCol w:w="25"/>
        <w:gridCol w:w="2123"/>
        <w:gridCol w:w="120"/>
        <w:gridCol w:w="1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34" w:hRule="atLeast"/>
        </w:trPr>
        <w:tc>
          <w:tcPr>
            <w:tcW w:w="10229" w:type="dxa"/>
            <w:gridSpan w:val="17"/>
            <w:shd w:val="clear" w:color="auto" w:fill="auto"/>
            <w:tcMar>
              <w:top w:w="15" w:type="dxa"/>
              <w:left w:w="15" w:type="dxa"/>
              <w:right w:w="15" w:type="dxa"/>
            </w:tcMar>
            <w:vAlign w:val="center"/>
          </w:tcPr>
          <w:p>
            <w:pPr>
              <w:pStyle w:val="26"/>
              <w:widowControl/>
              <w:ind w:left="4173" w:leftChars="1310" w:hanging="1422" w:hangingChars="395"/>
              <w:textAlignment w:val="center"/>
              <w:rPr>
                <w:rFonts w:ascii="宋体" w:hAnsi="宋体" w:cs="宋体"/>
                <w:color w:val="000000"/>
                <w:sz w:val="36"/>
                <w:szCs w:val="36"/>
              </w:rPr>
            </w:pPr>
            <w:r>
              <w:rPr>
                <w:rFonts w:hint="eastAsia" w:ascii="黑体" w:hAnsi="宋体" w:eastAsia="黑体" w:cs="宋体"/>
                <w:bCs/>
                <w:color w:val="000000"/>
                <w:kern w:val="0"/>
                <w:sz w:val="36"/>
                <w:szCs w:val="36"/>
              </w:rPr>
              <w:t>项目支出绩效目标完成情况表</w:t>
            </w:r>
            <w:r>
              <w:rPr>
                <w:rFonts w:hint="eastAsia" w:ascii="宋体" w:hAnsi="宋体" w:cs="宋体"/>
                <w:b/>
                <w:color w:val="000000"/>
                <w:kern w:val="0"/>
                <w:sz w:val="36"/>
                <w:szCs w:val="36"/>
              </w:rPr>
              <w:br w:type="textWrapping"/>
            </w:r>
            <w:r>
              <w:rPr>
                <w:rFonts w:hint="eastAsia" w:ascii="宋体" w:hAnsi="宋体" w:cs="宋体"/>
                <w:color w:val="000000"/>
                <w:kern w:val="0"/>
                <w:sz w:val="36"/>
                <w:szCs w:val="36"/>
              </w:rPr>
              <w:t>(201</w:t>
            </w:r>
            <w:r>
              <w:rPr>
                <w:rFonts w:hint="eastAsia" w:ascii="宋体" w:hAnsi="宋体" w:cs="宋体"/>
                <w:color w:val="000000"/>
                <w:kern w:val="0"/>
                <w:sz w:val="36"/>
                <w:szCs w:val="36"/>
                <w:lang w:val="en-US" w:eastAsia="zh-CN"/>
              </w:rPr>
              <w:t>9</w:t>
            </w:r>
            <w:r>
              <w:rPr>
                <w:rFonts w:hint="eastAsia" w:ascii="宋体" w:hAnsi="宋体" w:cs="宋体"/>
                <w:color w:val="000000"/>
                <w:kern w:val="0"/>
                <w:sz w:val="36"/>
                <w:szCs w:val="36"/>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6" w:hRule="atLeast"/>
        </w:trPr>
        <w:tc>
          <w:tcPr>
            <w:tcW w:w="305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四川天曌山国家森林公园国家重点生态功能区转移支付资金项目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6" w:hRule="atLeast"/>
        </w:trPr>
        <w:tc>
          <w:tcPr>
            <w:tcW w:w="305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6" w:hRule="atLeast"/>
        </w:trPr>
        <w:tc>
          <w:tcPr>
            <w:tcW w:w="6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908.9</w:t>
            </w:r>
            <w:r>
              <w:rPr>
                <w:rFonts w:hint="eastAsia" w:ascii="宋体" w:hAnsi="宋体" w:cs="宋体"/>
                <w:color w:val="000000"/>
                <w:sz w:val="24"/>
              </w:rPr>
              <w:t>万元</w:t>
            </w:r>
          </w:p>
        </w:tc>
        <w:tc>
          <w:tcPr>
            <w:tcW w:w="239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391.4</w:t>
            </w:r>
            <w:r>
              <w:rPr>
                <w:rFonts w:hint="eastAsia" w:ascii="宋体" w:hAnsi="宋体" w:cs="宋体"/>
                <w:color w:val="000000"/>
                <w:sz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6" w:hRule="atLeast"/>
        </w:trPr>
        <w:tc>
          <w:tcPr>
            <w:tcW w:w="6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239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908.9</w:t>
            </w:r>
            <w:r>
              <w:rPr>
                <w:rFonts w:hint="eastAsia" w:ascii="宋体" w:hAnsi="宋体" w:cs="宋体"/>
                <w:color w:val="000000"/>
                <w:sz w:val="24"/>
              </w:rPr>
              <w:t>万元</w:t>
            </w:r>
          </w:p>
        </w:tc>
        <w:tc>
          <w:tcPr>
            <w:tcW w:w="239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391.4</w:t>
            </w:r>
            <w:r>
              <w:rPr>
                <w:rFonts w:hint="eastAsia" w:ascii="宋体" w:hAnsi="宋体" w:cs="宋体"/>
                <w:color w:val="000000"/>
                <w:sz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11" w:hRule="atLeast"/>
        </w:trPr>
        <w:tc>
          <w:tcPr>
            <w:tcW w:w="6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239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6" w:hRule="atLeast"/>
        </w:trPr>
        <w:tc>
          <w:tcPr>
            <w:tcW w:w="6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59" w:hRule="atLeast"/>
        </w:trPr>
        <w:tc>
          <w:tcPr>
            <w:tcW w:w="6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4784"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ind w:firstLine="420" w:firstLineChars="200"/>
              <w:jc w:val="left"/>
              <w:textAlignment w:val="center"/>
              <w:rPr>
                <w:rFonts w:ascii="宋体" w:hAnsi="宋体" w:cs="宋体"/>
                <w:color w:val="000000"/>
                <w:szCs w:val="21"/>
              </w:rPr>
            </w:pPr>
            <w:r>
              <w:rPr>
                <w:rFonts w:hint="eastAsia" w:ascii="宋体" w:hAnsi="宋体" w:cs="仿宋_GB2312"/>
                <w:kern w:val="0"/>
                <w:szCs w:val="21"/>
                <w:lang w:val="en-US" w:eastAsia="zh-CN"/>
              </w:rPr>
              <w:t>预计</w:t>
            </w:r>
            <w:r>
              <w:rPr>
                <w:rFonts w:hint="eastAsia" w:ascii="宋体" w:hAnsi="宋体" w:cs="仿宋_GB2312"/>
                <w:kern w:val="0"/>
                <w:szCs w:val="21"/>
              </w:rPr>
              <w:t>完成</w:t>
            </w:r>
            <w:r>
              <w:rPr>
                <w:rFonts w:hint="eastAsia" w:ascii="宋体" w:hAnsi="宋体" w:cs="仿宋_GB2312"/>
                <w:kern w:val="0"/>
                <w:szCs w:val="21"/>
                <w:lang w:val="en-US" w:eastAsia="zh-CN"/>
              </w:rPr>
              <w:t>神仙洞景观修复</w:t>
            </w:r>
            <w:r>
              <w:rPr>
                <w:rFonts w:hint="eastAsia" w:ascii="宋体" w:hAnsi="宋体" w:cs="仿宋_GB2312"/>
                <w:kern w:val="0"/>
                <w:szCs w:val="21"/>
              </w:rPr>
              <w:t>工程项目</w:t>
            </w:r>
            <w:r>
              <w:rPr>
                <w:rFonts w:hint="eastAsia" w:ascii="宋体" w:hAnsi="宋体" w:cs="仿宋_GB2312"/>
                <w:kern w:val="0"/>
                <w:szCs w:val="21"/>
                <w:lang w:eastAsia="zh-CN"/>
              </w:rPr>
              <w:t>、</w:t>
            </w:r>
            <w:r>
              <w:rPr>
                <w:rFonts w:hint="eastAsia" w:ascii="宋体" w:hAnsi="宋体" w:cs="仿宋_GB2312"/>
                <w:kern w:val="0"/>
                <w:szCs w:val="21"/>
                <w:lang w:val="en-US" w:eastAsia="zh-CN"/>
              </w:rPr>
              <w:t>植被恢复和节点景观培育项目、后山消防水源工程、日月湖公厕维修及污水处理</w:t>
            </w:r>
            <w:r>
              <w:rPr>
                <w:rFonts w:hint="eastAsia" w:ascii="宋体" w:hAnsi="宋体" w:cs="仿宋_GB2312"/>
                <w:kern w:val="0"/>
                <w:szCs w:val="21"/>
              </w:rPr>
              <w:t>等工程项目</w:t>
            </w:r>
          </w:p>
        </w:tc>
        <w:tc>
          <w:tcPr>
            <w:tcW w:w="4786"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ind w:firstLine="420" w:firstLineChars="200"/>
              <w:jc w:val="left"/>
              <w:textAlignment w:val="center"/>
              <w:rPr>
                <w:rFonts w:ascii="宋体" w:hAnsi="宋体" w:cs="宋体"/>
                <w:color w:val="000000"/>
                <w:szCs w:val="21"/>
              </w:rPr>
            </w:pPr>
            <w:r>
              <w:rPr>
                <w:rFonts w:hint="eastAsia" w:ascii="宋体" w:hAnsi="宋体" w:cs="仿宋_GB2312"/>
                <w:kern w:val="0"/>
                <w:szCs w:val="21"/>
              </w:rPr>
              <w:t>完成</w:t>
            </w:r>
            <w:r>
              <w:rPr>
                <w:rFonts w:hint="eastAsia" w:ascii="宋体" w:hAnsi="宋体" w:cs="仿宋_GB2312"/>
                <w:kern w:val="0"/>
                <w:szCs w:val="21"/>
                <w:lang w:val="en-US" w:eastAsia="zh-CN"/>
              </w:rPr>
              <w:t>神仙洞景观修复</w:t>
            </w:r>
            <w:r>
              <w:rPr>
                <w:rFonts w:hint="eastAsia" w:ascii="宋体" w:hAnsi="宋体" w:cs="仿宋_GB2312"/>
                <w:kern w:val="0"/>
                <w:szCs w:val="21"/>
              </w:rPr>
              <w:t>工程项目</w:t>
            </w:r>
            <w:r>
              <w:rPr>
                <w:rFonts w:hint="eastAsia" w:ascii="宋体" w:hAnsi="宋体" w:cs="仿宋_GB2312"/>
                <w:kern w:val="0"/>
                <w:szCs w:val="21"/>
                <w:lang w:eastAsia="zh-CN"/>
              </w:rPr>
              <w:t>、</w:t>
            </w:r>
            <w:r>
              <w:rPr>
                <w:rFonts w:hint="eastAsia" w:ascii="宋体" w:hAnsi="宋体" w:cs="仿宋_GB2312"/>
                <w:kern w:val="0"/>
                <w:szCs w:val="21"/>
                <w:lang w:val="en-US" w:eastAsia="zh-CN"/>
              </w:rPr>
              <w:t>植被恢复和节点景观培育项目、后山消防水源工程、日月湖公厕维修及污水处理</w:t>
            </w:r>
            <w:r>
              <w:rPr>
                <w:rFonts w:hint="eastAsia" w:ascii="宋体" w:hAnsi="宋体" w:cs="仿宋_GB2312"/>
                <w:kern w:val="0"/>
                <w:szCs w:val="21"/>
              </w:rPr>
              <w:t>等工程项目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9" w:hRule="atLeast"/>
        </w:trPr>
        <w:tc>
          <w:tcPr>
            <w:tcW w:w="6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预期指标值(包含数字及文字描述)</w:t>
            </w:r>
          </w:p>
        </w:tc>
        <w:tc>
          <w:tcPr>
            <w:tcW w:w="23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98" w:hRule="atLeast"/>
        </w:trPr>
        <w:tc>
          <w:tcPr>
            <w:tcW w:w="6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13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宋体" w:hAnsi="宋体" w:cs="宋体"/>
                <w:color w:val="000000"/>
                <w:sz w:val="24"/>
              </w:rPr>
              <w:t>完成项目预期数量指标</w:t>
            </w:r>
          </w:p>
        </w:tc>
        <w:tc>
          <w:tcPr>
            <w:tcW w:w="239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cs="宋体"/>
                <w:color w:val="000000"/>
                <w:szCs w:val="21"/>
              </w:rPr>
            </w:pPr>
            <w:r>
              <w:rPr>
                <w:rFonts w:hint="eastAsia" w:ascii="宋体" w:hAnsi="宋体" w:cs="仿宋_GB2312"/>
                <w:kern w:val="0"/>
                <w:szCs w:val="21"/>
                <w:lang w:val="en-US" w:eastAsia="zh-CN"/>
              </w:rPr>
              <w:t>预计</w:t>
            </w:r>
            <w:r>
              <w:rPr>
                <w:rFonts w:hint="eastAsia" w:ascii="宋体" w:hAnsi="宋体" w:cs="仿宋_GB2312"/>
                <w:kern w:val="0"/>
                <w:szCs w:val="21"/>
              </w:rPr>
              <w:t>完成</w:t>
            </w:r>
            <w:r>
              <w:rPr>
                <w:rFonts w:hint="eastAsia" w:ascii="宋体" w:hAnsi="宋体" w:cs="仿宋_GB2312"/>
                <w:kern w:val="0"/>
                <w:szCs w:val="21"/>
                <w:lang w:val="en-US" w:eastAsia="zh-CN"/>
              </w:rPr>
              <w:t>神仙洞景观修复</w:t>
            </w:r>
            <w:r>
              <w:rPr>
                <w:rFonts w:hint="eastAsia" w:ascii="宋体" w:hAnsi="宋体" w:cs="仿宋_GB2312"/>
                <w:kern w:val="0"/>
                <w:szCs w:val="21"/>
              </w:rPr>
              <w:t>工程项目</w:t>
            </w:r>
            <w:r>
              <w:rPr>
                <w:rFonts w:hint="eastAsia" w:ascii="宋体" w:hAnsi="宋体" w:cs="仿宋_GB2312"/>
                <w:kern w:val="0"/>
                <w:szCs w:val="21"/>
                <w:lang w:eastAsia="zh-CN"/>
              </w:rPr>
              <w:t>、</w:t>
            </w:r>
            <w:r>
              <w:rPr>
                <w:rFonts w:hint="eastAsia" w:ascii="宋体" w:hAnsi="宋体" w:cs="仿宋_GB2312"/>
                <w:kern w:val="0"/>
                <w:szCs w:val="21"/>
                <w:lang w:val="en-US" w:eastAsia="zh-CN"/>
              </w:rPr>
              <w:t>植被恢复和节点景观培育项目、后山消防水源工程、日月湖公厕维修及污水处理</w:t>
            </w:r>
            <w:r>
              <w:rPr>
                <w:rFonts w:hint="eastAsia" w:ascii="宋体" w:hAnsi="宋体" w:cs="仿宋_GB2312"/>
                <w:kern w:val="0"/>
                <w:szCs w:val="21"/>
              </w:rPr>
              <w:t>等工程项目</w:t>
            </w:r>
          </w:p>
        </w:tc>
        <w:tc>
          <w:tcPr>
            <w:tcW w:w="23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cs="宋体"/>
                <w:color w:val="000000"/>
                <w:szCs w:val="21"/>
              </w:rPr>
            </w:pPr>
            <w:r>
              <w:rPr>
                <w:rFonts w:hint="eastAsia" w:ascii="宋体" w:hAnsi="宋体" w:cs="仿宋_GB2312"/>
                <w:kern w:val="0"/>
                <w:szCs w:val="21"/>
              </w:rPr>
              <w:t>完成</w:t>
            </w:r>
            <w:r>
              <w:rPr>
                <w:rFonts w:hint="eastAsia" w:ascii="宋体" w:hAnsi="宋体" w:cs="仿宋_GB2312"/>
                <w:kern w:val="0"/>
                <w:szCs w:val="21"/>
                <w:lang w:val="en-US" w:eastAsia="zh-CN"/>
              </w:rPr>
              <w:t>神仙洞景观修复</w:t>
            </w:r>
            <w:r>
              <w:rPr>
                <w:rFonts w:hint="eastAsia" w:ascii="宋体" w:hAnsi="宋体" w:cs="仿宋_GB2312"/>
                <w:kern w:val="0"/>
                <w:szCs w:val="21"/>
              </w:rPr>
              <w:t>工程项目</w:t>
            </w:r>
            <w:r>
              <w:rPr>
                <w:rFonts w:hint="eastAsia" w:ascii="宋体" w:hAnsi="宋体" w:cs="仿宋_GB2312"/>
                <w:kern w:val="0"/>
                <w:szCs w:val="21"/>
                <w:lang w:eastAsia="zh-CN"/>
              </w:rPr>
              <w:t>、</w:t>
            </w:r>
            <w:r>
              <w:rPr>
                <w:rFonts w:hint="eastAsia" w:ascii="宋体" w:hAnsi="宋体" w:cs="仿宋_GB2312"/>
                <w:kern w:val="0"/>
                <w:szCs w:val="21"/>
                <w:lang w:val="en-US" w:eastAsia="zh-CN"/>
              </w:rPr>
              <w:t>植被恢复和节点景观培育项目、后山消防水源工程、日月湖公厕维修及污水处理</w:t>
            </w:r>
            <w:r>
              <w:rPr>
                <w:rFonts w:hint="eastAsia" w:ascii="宋体" w:hAnsi="宋体" w:cs="仿宋_GB2312"/>
                <w:kern w:val="0"/>
                <w:szCs w:val="21"/>
              </w:rPr>
              <w:t>等工程项目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2" w:hRule="atLeast"/>
        </w:trPr>
        <w:tc>
          <w:tcPr>
            <w:tcW w:w="6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13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宋体" w:hAnsi="宋体" w:cs="宋体"/>
                <w:color w:val="000000"/>
                <w:sz w:val="24"/>
              </w:rPr>
              <w:t>按设计及国家质量标准要求完成工程</w:t>
            </w:r>
          </w:p>
        </w:tc>
        <w:tc>
          <w:tcPr>
            <w:tcW w:w="239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达到优良工程</w:t>
            </w:r>
          </w:p>
        </w:tc>
        <w:tc>
          <w:tcPr>
            <w:tcW w:w="23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达到优良工程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18" w:hRule="atLeast"/>
        </w:trPr>
        <w:tc>
          <w:tcPr>
            <w:tcW w:w="6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13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宋体" w:hAnsi="宋体" w:cs="宋体"/>
                <w:color w:val="000000"/>
                <w:sz w:val="24"/>
              </w:rPr>
              <w:t>按时完成年底工程建设内容</w:t>
            </w:r>
          </w:p>
        </w:tc>
        <w:tc>
          <w:tcPr>
            <w:tcW w:w="239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cs="宋体"/>
                <w:color w:val="000000"/>
                <w:szCs w:val="21"/>
              </w:rPr>
            </w:pPr>
            <w:r>
              <w:rPr>
                <w:rFonts w:hint="eastAsia" w:ascii="宋体" w:hAnsi="宋体" w:cs="宋体"/>
                <w:color w:val="000000"/>
                <w:szCs w:val="21"/>
              </w:rPr>
              <w:t>201</w:t>
            </w:r>
            <w:r>
              <w:rPr>
                <w:rFonts w:hint="eastAsia" w:ascii="宋体" w:hAnsi="宋体" w:cs="宋体"/>
                <w:color w:val="000000"/>
                <w:szCs w:val="21"/>
                <w:lang w:val="en-US" w:eastAsia="zh-CN"/>
              </w:rPr>
              <w:t>9</w:t>
            </w:r>
            <w:r>
              <w:rPr>
                <w:rFonts w:hint="eastAsia" w:ascii="宋体" w:hAnsi="宋体" w:cs="宋体"/>
                <w:color w:val="000000"/>
                <w:szCs w:val="21"/>
              </w:rPr>
              <w:t>年12月完成当年工程建设内容</w:t>
            </w:r>
          </w:p>
        </w:tc>
        <w:tc>
          <w:tcPr>
            <w:tcW w:w="23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cs="宋体"/>
                <w:color w:val="000000"/>
                <w:szCs w:val="21"/>
              </w:rPr>
            </w:pPr>
            <w:r>
              <w:rPr>
                <w:rFonts w:hint="eastAsia" w:ascii="宋体" w:hAnsi="宋体" w:cs="宋体"/>
                <w:color w:val="000000"/>
                <w:szCs w:val="21"/>
              </w:rPr>
              <w:t>201</w:t>
            </w:r>
            <w:r>
              <w:rPr>
                <w:rFonts w:hint="eastAsia" w:ascii="宋体" w:hAnsi="宋体" w:cs="宋体"/>
                <w:color w:val="000000"/>
                <w:szCs w:val="21"/>
                <w:lang w:val="en-US" w:eastAsia="zh-CN"/>
              </w:rPr>
              <w:t>9</w:t>
            </w:r>
            <w:r>
              <w:rPr>
                <w:rFonts w:hint="eastAsia" w:ascii="宋体" w:hAnsi="宋体" w:cs="宋体"/>
                <w:color w:val="000000"/>
                <w:szCs w:val="21"/>
              </w:rPr>
              <w:t>年12月完成当年工程建设内容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42" w:hRule="atLeast"/>
        </w:trPr>
        <w:tc>
          <w:tcPr>
            <w:tcW w:w="6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13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宋体" w:hAnsi="宋体" w:cs="宋体"/>
                <w:color w:val="000000"/>
                <w:sz w:val="24"/>
              </w:rPr>
              <w:t>经济效益</w:t>
            </w:r>
          </w:p>
          <w:p>
            <w:pPr>
              <w:widowControl/>
              <w:spacing w:line="360" w:lineRule="exact"/>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宋体" w:hAnsi="宋体" w:cs="宋体"/>
                <w:color w:val="000000"/>
                <w:sz w:val="24"/>
              </w:rPr>
              <w:t>增加旅游综合收入，带动周边发展和增加就业。</w:t>
            </w:r>
          </w:p>
        </w:tc>
        <w:tc>
          <w:tcPr>
            <w:tcW w:w="239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cs="宋体"/>
                <w:color w:val="000000"/>
                <w:szCs w:val="21"/>
              </w:rPr>
            </w:pPr>
            <w:r>
              <w:rPr>
                <w:rFonts w:hint="eastAsia" w:ascii="宋体" w:hAnsi="宋体" w:cs="宋体"/>
                <w:color w:val="000000"/>
                <w:szCs w:val="21"/>
              </w:rPr>
              <w:t>改善公园基础设施条件，增加旅游综合收入，带动周边20户农家乐发展，增加就业50人。</w:t>
            </w:r>
          </w:p>
        </w:tc>
        <w:tc>
          <w:tcPr>
            <w:tcW w:w="23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改善公园基础设施条件，增加旅游综合收入，带动周边20户农家乐发展，增加就业50人。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97" w:hRule="atLeast"/>
        </w:trPr>
        <w:tc>
          <w:tcPr>
            <w:tcW w:w="6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13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宋体" w:hAnsi="宋体" w:cs="宋体"/>
                <w:color w:val="000000"/>
                <w:sz w:val="24"/>
              </w:rPr>
              <w:t>社会效益</w:t>
            </w:r>
          </w:p>
          <w:p>
            <w:pPr>
              <w:widowControl/>
              <w:spacing w:line="360" w:lineRule="exact"/>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szCs w:val="21"/>
              </w:rPr>
              <w:t>提高天曌山国家森林公园的管理能力水平，改善公园森林生态景观，</w:t>
            </w:r>
            <w:r>
              <w:rPr>
                <w:rFonts w:hint="eastAsia" w:ascii="宋体" w:hAnsi="宋体" w:cs="宋体"/>
                <w:szCs w:val="21"/>
                <w:lang w:val="zh-CN"/>
              </w:rPr>
              <w:t>促进森林旅游活动开展，丰富森林旅游内容，推进我区旅游产业发展和</w:t>
            </w:r>
            <w:r>
              <w:rPr>
                <w:rFonts w:hint="eastAsia" w:ascii="宋体" w:hAnsi="宋体" w:cs="宋体"/>
                <w:kern w:val="0"/>
                <w:szCs w:val="21"/>
                <w:lang w:val="zh-CN"/>
              </w:rPr>
              <w:t>经济建设</w:t>
            </w:r>
            <w:r>
              <w:rPr>
                <w:rFonts w:ascii="宋体" w:hAnsi="宋体" w:cs="宋体"/>
                <w:color w:val="000000"/>
                <w:szCs w:val="21"/>
              </w:rPr>
              <w:t xml:space="preserve"> </w:t>
            </w:r>
          </w:p>
        </w:tc>
        <w:tc>
          <w:tcPr>
            <w:tcW w:w="239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cs="宋体"/>
                <w:color w:val="000000"/>
                <w:szCs w:val="21"/>
              </w:rPr>
            </w:pPr>
            <w:r>
              <w:rPr>
                <w:rFonts w:hint="eastAsia" w:ascii="宋体" w:hAnsi="宋体"/>
                <w:szCs w:val="21"/>
              </w:rPr>
              <w:t>提高天曌山国家森林公园的管理能力水平，改善公园森林生态景观，</w:t>
            </w:r>
            <w:r>
              <w:rPr>
                <w:rFonts w:hint="eastAsia" w:ascii="宋体" w:hAnsi="宋体" w:cs="宋体"/>
                <w:szCs w:val="21"/>
                <w:lang w:val="zh-CN"/>
              </w:rPr>
              <w:t>促进森林旅游活动开展，丰富森林旅游内容，推进我区旅游产业发展和</w:t>
            </w:r>
            <w:r>
              <w:rPr>
                <w:rFonts w:hint="eastAsia" w:ascii="宋体" w:hAnsi="宋体" w:cs="宋体"/>
                <w:kern w:val="0"/>
                <w:szCs w:val="21"/>
                <w:lang w:val="zh-CN"/>
              </w:rPr>
              <w:t>经济建设</w:t>
            </w:r>
          </w:p>
        </w:tc>
        <w:tc>
          <w:tcPr>
            <w:tcW w:w="23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cs="宋体"/>
                <w:color w:val="000000"/>
                <w:szCs w:val="21"/>
              </w:rPr>
            </w:pPr>
            <w:r>
              <w:rPr>
                <w:rFonts w:hint="eastAsia" w:ascii="宋体" w:hAnsi="宋体"/>
                <w:szCs w:val="21"/>
              </w:rPr>
              <w:t>提高天曌山国家森林公园的管理能力水平，改善公园森林生态景观，</w:t>
            </w:r>
            <w:r>
              <w:rPr>
                <w:rFonts w:hint="eastAsia" w:ascii="宋体" w:hAnsi="宋体" w:cs="宋体"/>
                <w:szCs w:val="21"/>
                <w:lang w:val="zh-CN"/>
              </w:rPr>
              <w:t>促进森林旅游活动开展，丰富森林旅游内容，推进我区旅游产业发展和</w:t>
            </w:r>
            <w:r>
              <w:rPr>
                <w:rFonts w:hint="eastAsia" w:ascii="宋体" w:hAnsi="宋体" w:cs="宋体"/>
                <w:kern w:val="0"/>
                <w:szCs w:val="21"/>
                <w:lang w:val="zh-CN"/>
              </w:rPr>
              <w:t>经济建设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97" w:hRule="atLeast"/>
        </w:trPr>
        <w:tc>
          <w:tcPr>
            <w:tcW w:w="6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13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宋体" w:hAnsi="宋体" w:cs="宋体"/>
                <w:color w:val="000000"/>
                <w:sz w:val="24"/>
              </w:rPr>
              <w:t>生态效益</w:t>
            </w:r>
          </w:p>
          <w:p>
            <w:pPr>
              <w:widowControl/>
              <w:spacing w:line="360" w:lineRule="exact"/>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szCs w:val="21"/>
              </w:rPr>
              <w:t>保护和合理利用森林风景资源和生物多样性、普及生态文化知识、发展生态旅游，使公园森林风景资源得到有效保护和利用</w:t>
            </w:r>
          </w:p>
        </w:tc>
        <w:tc>
          <w:tcPr>
            <w:tcW w:w="239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cs="宋体"/>
                <w:color w:val="000000"/>
                <w:sz w:val="24"/>
              </w:rPr>
            </w:pPr>
            <w:r>
              <w:rPr>
                <w:rFonts w:hint="eastAsia" w:ascii="宋体" w:hAnsi="宋体"/>
                <w:szCs w:val="21"/>
              </w:rPr>
              <w:t>保护和合理利用森林风景资源和生物多样性、普及生态文化知识、发展生态旅游，使公园森林风景资源得到有效保护和利用</w:t>
            </w:r>
          </w:p>
        </w:tc>
        <w:tc>
          <w:tcPr>
            <w:tcW w:w="23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宋体" w:hAnsi="宋体"/>
                <w:szCs w:val="21"/>
              </w:rPr>
              <w:t>保护和合理利用森林风景资源和生物多样性、普及生态文化知识、发展生态旅游，使公园森林风景资源得到有效保护和利用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50" w:hRule="atLeast"/>
        </w:trPr>
        <w:tc>
          <w:tcPr>
            <w:tcW w:w="6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13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宋体" w:hAnsi="宋体" w:cs="宋体"/>
                <w:color w:val="000000"/>
                <w:sz w:val="24"/>
              </w:rPr>
              <w:t>可持续影响指标</w:t>
            </w: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Times New Roman" w:hAnsi="Times New Roman"/>
              </w:rPr>
              <w:t>实现以游养林，以林促游的良性循环，达到森林资源的永续利用</w:t>
            </w:r>
          </w:p>
        </w:tc>
        <w:tc>
          <w:tcPr>
            <w:tcW w:w="239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cs="宋体"/>
                <w:color w:val="000000"/>
                <w:sz w:val="24"/>
              </w:rPr>
            </w:pPr>
            <w:r>
              <w:rPr>
                <w:rFonts w:hint="eastAsia" w:ascii="Times New Roman" w:hAnsi="Times New Roman"/>
              </w:rPr>
              <w:t>实现以游养林，以林促游的良性循环，达到森林资源的永续利用</w:t>
            </w:r>
          </w:p>
        </w:tc>
        <w:tc>
          <w:tcPr>
            <w:tcW w:w="23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Times New Roman" w:hAnsi="Times New Roman"/>
              </w:rPr>
              <w:t>实现以游养林，以林促游的良性循环，达到森林资源的永续利用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50" w:hRule="atLeast"/>
        </w:trPr>
        <w:tc>
          <w:tcPr>
            <w:tcW w:w="6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13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项目达优良工程，游客满意度达96%。</w:t>
            </w:r>
          </w:p>
        </w:tc>
        <w:tc>
          <w:tcPr>
            <w:tcW w:w="239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项目达优良工程，游客满意度达96%。</w:t>
            </w:r>
          </w:p>
        </w:tc>
        <w:tc>
          <w:tcPr>
            <w:tcW w:w="23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项目达优良工程，游客满意度达96%。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69" w:type="dxa"/>
          <w:trHeight w:val="1034" w:hRule="atLeast"/>
        </w:trPr>
        <w:tc>
          <w:tcPr>
            <w:tcW w:w="9960" w:type="dxa"/>
            <w:gridSpan w:val="15"/>
            <w:tcMar>
              <w:top w:w="15" w:type="dxa"/>
              <w:left w:w="15" w:type="dxa"/>
              <w:right w:w="15" w:type="dxa"/>
            </w:tcMar>
            <w:vAlign w:val="center"/>
          </w:tcPr>
          <w:p>
            <w:pPr>
              <w:pStyle w:val="23"/>
              <w:widowControl/>
              <w:ind w:left="4173" w:leftChars="1310" w:hanging="1422" w:hangingChars="395"/>
              <w:textAlignment w:val="center"/>
              <w:rPr>
                <w:rFonts w:hint="eastAsia" w:ascii="黑体" w:hAnsi="黑体" w:eastAsia="黑体" w:cs="宋体"/>
                <w:bCs/>
                <w:color w:val="000000"/>
                <w:kern w:val="0"/>
                <w:sz w:val="36"/>
                <w:szCs w:val="36"/>
              </w:rPr>
            </w:pPr>
          </w:p>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w:t>
            </w:r>
            <w:r>
              <w:rPr>
                <w:rFonts w:hint="eastAsia" w:ascii="宋体" w:hAnsi="宋体" w:cs="宋体"/>
                <w:color w:val="000000"/>
                <w:kern w:val="0"/>
                <w:sz w:val="36"/>
                <w:szCs w:val="36"/>
                <w:lang w:val="en-US" w:eastAsia="zh-CN"/>
              </w:rPr>
              <w:t>9</w:t>
            </w:r>
            <w:r>
              <w:rPr>
                <w:rFonts w:hint="eastAsia" w:ascii="宋体" w:hAnsi="宋体" w:cs="宋体"/>
                <w:color w:val="000000"/>
                <w:kern w:val="0"/>
                <w:sz w:val="36"/>
                <w:szCs w:val="36"/>
              </w:rPr>
              <w:t xml:space="preserve">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69" w:type="dxa"/>
          <w:trHeight w:val="276" w:hRule="atLeast"/>
        </w:trPr>
        <w:tc>
          <w:tcPr>
            <w:tcW w:w="2782"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项目名称</w:t>
            </w:r>
          </w:p>
        </w:tc>
        <w:tc>
          <w:tcPr>
            <w:tcW w:w="7178"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仿宋_GB2312"/>
                <w:sz w:val="24"/>
              </w:rPr>
              <w:t>林区病虫害防治项目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69" w:type="dxa"/>
          <w:trHeight w:val="276" w:hRule="atLeast"/>
        </w:trPr>
        <w:tc>
          <w:tcPr>
            <w:tcW w:w="2782"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预算单位</w:t>
            </w:r>
          </w:p>
        </w:tc>
        <w:tc>
          <w:tcPr>
            <w:tcW w:w="7178"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69" w:type="dxa"/>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预算执行情况(万元)</w:t>
            </w:r>
          </w:p>
        </w:tc>
        <w:tc>
          <w:tcPr>
            <w:tcW w:w="239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预算数:</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sz w:val="24"/>
              </w:rPr>
              <w:t>1万元</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执行数:</w:t>
            </w:r>
          </w:p>
        </w:tc>
        <w:tc>
          <w:tcPr>
            <w:tcW w:w="239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sz w:val="24"/>
                <w:lang w:val="en-US" w:eastAsia="zh-CN"/>
              </w:rPr>
              <w:t>0.341</w:t>
            </w:r>
            <w:r>
              <w:rPr>
                <w:rFonts w:hint="eastAsia" w:ascii="宋体" w:eastAsia="宋体" w:cs="宋体"/>
                <w:color w:val="000000"/>
                <w:sz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69" w:type="dxa"/>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tc>
        <w:tc>
          <w:tcPr>
            <w:tcW w:w="239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其中-财政拨款:</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sz w:val="24"/>
              </w:rPr>
              <w:t>1万元</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其中-财政拨款:</w:t>
            </w:r>
          </w:p>
        </w:tc>
        <w:tc>
          <w:tcPr>
            <w:tcW w:w="239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sz w:val="24"/>
                <w:lang w:val="en-US" w:eastAsia="zh-CN"/>
              </w:rPr>
              <w:t>0.341</w:t>
            </w:r>
            <w:r>
              <w:rPr>
                <w:rFonts w:hint="eastAsia" w:ascii="宋体" w:eastAsia="宋体" w:cs="宋体"/>
                <w:color w:val="000000"/>
                <w:sz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69" w:type="dxa"/>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tc>
        <w:tc>
          <w:tcPr>
            <w:tcW w:w="239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其它资金:</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0</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其它资金:</w:t>
            </w:r>
          </w:p>
        </w:tc>
        <w:tc>
          <w:tcPr>
            <w:tcW w:w="239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eastAsia="宋体" w:cs="宋体"/>
                <w:color w:val="000000"/>
                <w:sz w:val="24"/>
              </w:rPr>
            </w:pPr>
            <w:r>
              <w:rPr>
                <w:rFonts w:hint="eastAsia" w:ascii="宋体" w:eastAsia="宋体" w:cs="宋体"/>
                <w:color w:val="00000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69" w:type="dxa"/>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年度目标完成情况</w:t>
            </w:r>
          </w:p>
        </w:tc>
        <w:tc>
          <w:tcPr>
            <w:tcW w:w="4784"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预期目标</w:t>
            </w:r>
          </w:p>
        </w:tc>
        <w:tc>
          <w:tcPr>
            <w:tcW w:w="4786"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69" w:type="dxa"/>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tc>
        <w:tc>
          <w:tcPr>
            <w:tcW w:w="4784"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ascii="宋体" w:eastAsia="宋体" w:cs="宋体"/>
                <w:color w:val="000000"/>
                <w:sz w:val="24"/>
              </w:rPr>
              <w:t>通过对松毛虫、松材线虫、松褐天牛等害虫的防治，降低害虫的虫口密度，使得危害程度由重、中降为轻度，成灾控制在1</w:t>
            </w:r>
            <w:r>
              <w:rPr>
                <w:rFonts w:hint="eastAsia" w:ascii="宋体" w:eastAsia="宋体" w:cs="宋体"/>
                <w:color w:val="000000"/>
                <w:sz w:val="24"/>
              </w:rPr>
              <w:t>4%以下，有效控制这些害虫的扩展蔓延，预防大面积发生，造成毁灭性后果。</w:t>
            </w:r>
          </w:p>
        </w:tc>
        <w:tc>
          <w:tcPr>
            <w:tcW w:w="4786"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ascii="宋体" w:eastAsia="宋体" w:cs="宋体"/>
                <w:color w:val="000000"/>
                <w:sz w:val="24"/>
              </w:rPr>
              <w:t>全年通过对害虫的防治，控制了林区害虫的扩展蔓延，使得病虫害未大面积发生，未给林区造成严重后果。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69" w:type="dxa"/>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sz w:val="24"/>
              </w:rPr>
              <w:t>绩效指标完成情况</w:t>
            </w:r>
          </w:p>
        </w:tc>
        <w:tc>
          <w:tcPr>
            <w:tcW w:w="136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一级指标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二级指标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三级指标</w:t>
            </w:r>
          </w:p>
        </w:tc>
        <w:tc>
          <w:tcPr>
            <w:tcW w:w="263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预期指标值(包含数字及文字描述)</w:t>
            </w:r>
          </w:p>
        </w:tc>
        <w:tc>
          <w:tcPr>
            <w:tcW w:w="214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69" w:type="dxa"/>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tc>
        <w:tc>
          <w:tcPr>
            <w:tcW w:w="136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项目完成指标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宋体" w:eastAsia="宋体" w:cs="宋体"/>
                <w:color w:val="000000"/>
                <w:sz w:val="24"/>
              </w:rPr>
            </w:pPr>
            <w:r>
              <w:rPr>
                <w:rFonts w:hint="eastAsia" w:ascii="宋体" w:eastAsia="宋体" w:cs="宋体"/>
                <w:color w:val="000000"/>
                <w:sz w:val="24"/>
              </w:rPr>
              <w:t>数量指标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宋体" w:eastAsia="宋体" w:cs="宋体"/>
                <w:color w:val="000000"/>
                <w:sz w:val="24"/>
              </w:rPr>
            </w:pPr>
            <w:r>
              <w:rPr>
                <w:rFonts w:hint="eastAsia" w:ascii="宋体" w:eastAsia="宋体" w:cs="宋体"/>
                <w:color w:val="000000"/>
                <w:sz w:val="24"/>
              </w:rPr>
              <w:t>完成项目预期数量指标</w:t>
            </w:r>
          </w:p>
        </w:tc>
        <w:tc>
          <w:tcPr>
            <w:tcW w:w="263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仿宋_GB2312"/>
                <w:sz w:val="24"/>
              </w:rPr>
              <w:t>消杀面积400多亩，</w:t>
            </w:r>
            <w:r>
              <w:rPr>
                <w:rFonts w:hint="eastAsia" w:ascii="宋体" w:eastAsia="宋体" w:cs="宋体"/>
                <w:color w:val="000000"/>
                <w:kern w:val="0"/>
                <w:sz w:val="24"/>
              </w:rPr>
              <w:t>预防病虫害林区面积达到5000多亩</w:t>
            </w:r>
          </w:p>
        </w:tc>
        <w:tc>
          <w:tcPr>
            <w:tcW w:w="214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仿宋_GB2312"/>
                <w:sz w:val="24"/>
              </w:rPr>
              <w:t>消杀面积400多亩，</w:t>
            </w:r>
            <w:r>
              <w:rPr>
                <w:rFonts w:hint="eastAsia" w:ascii="宋体" w:eastAsia="宋体" w:cs="宋体"/>
                <w:color w:val="000000"/>
                <w:kern w:val="0"/>
                <w:sz w:val="24"/>
              </w:rPr>
              <w:t>预防病虫害林区面积达到5000多亩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69" w:type="dxa"/>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tc>
        <w:tc>
          <w:tcPr>
            <w:tcW w:w="136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项目完成指标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宋体" w:eastAsia="宋体" w:cs="宋体"/>
                <w:color w:val="000000"/>
                <w:sz w:val="24"/>
              </w:rPr>
            </w:pPr>
            <w:r>
              <w:rPr>
                <w:rFonts w:hint="eastAsia" w:ascii="宋体" w:eastAsia="宋体" w:cs="宋体"/>
                <w:color w:val="000000"/>
                <w:sz w:val="24"/>
              </w:rPr>
              <w:t>质量指标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宋体" w:eastAsia="宋体" w:cs="宋体"/>
                <w:color w:val="000000"/>
                <w:sz w:val="24"/>
              </w:rPr>
            </w:pPr>
            <w:r>
              <w:rPr>
                <w:rFonts w:hint="eastAsia" w:ascii="宋体" w:eastAsia="宋体" w:cs="宋体"/>
                <w:color w:val="000000"/>
                <w:sz w:val="24"/>
              </w:rPr>
              <w:t>按林区病虫害防治标准要求完成工程</w:t>
            </w:r>
          </w:p>
        </w:tc>
        <w:tc>
          <w:tcPr>
            <w:tcW w:w="263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ascii="宋体" w:eastAsia="宋体" w:cs="宋体"/>
                <w:color w:val="000000"/>
                <w:sz w:val="24"/>
              </w:rPr>
              <w:t>降低害虫的虫口密度，使得危害程度由重、中降为轻度，成灾控制在1</w:t>
            </w:r>
            <w:r>
              <w:rPr>
                <w:rFonts w:hint="eastAsia" w:ascii="宋体" w:eastAsia="宋体" w:cs="宋体"/>
                <w:color w:val="000000"/>
                <w:sz w:val="24"/>
              </w:rPr>
              <w:t>4%以下</w:t>
            </w:r>
          </w:p>
        </w:tc>
        <w:tc>
          <w:tcPr>
            <w:tcW w:w="214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ascii="宋体" w:eastAsia="宋体" w:cs="宋体"/>
                <w:color w:val="000000"/>
                <w:sz w:val="24"/>
              </w:rPr>
              <w:t>控制了林区害虫的扩展蔓延，使得病虫害未大面积发生，未给林区造成严重后果。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69" w:type="dxa"/>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tc>
        <w:tc>
          <w:tcPr>
            <w:tcW w:w="136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项目完成指标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ascii="宋体" w:eastAsia="宋体" w:cs="宋体"/>
                <w:color w:val="000000"/>
                <w:sz w:val="24"/>
              </w:rPr>
              <w:t>时效指标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ascii="宋体" w:eastAsia="宋体" w:cs="宋体"/>
                <w:color w:val="000000"/>
                <w:sz w:val="24"/>
              </w:rPr>
              <w:t>按时完成全年项目</w:t>
            </w:r>
          </w:p>
        </w:tc>
        <w:tc>
          <w:tcPr>
            <w:tcW w:w="263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sz w:val="24"/>
              </w:rPr>
              <w:t>201</w:t>
            </w:r>
            <w:r>
              <w:rPr>
                <w:rFonts w:hint="eastAsia" w:ascii="宋体" w:eastAsia="宋体" w:cs="宋体"/>
                <w:color w:val="000000"/>
                <w:sz w:val="24"/>
                <w:lang w:val="en-US" w:eastAsia="zh-CN"/>
              </w:rPr>
              <w:t>9</w:t>
            </w:r>
            <w:r>
              <w:rPr>
                <w:rFonts w:hint="eastAsia" w:ascii="宋体" w:eastAsia="宋体" w:cs="宋体"/>
                <w:color w:val="000000"/>
                <w:sz w:val="24"/>
              </w:rPr>
              <w:t>年全年</w:t>
            </w:r>
          </w:p>
        </w:tc>
        <w:tc>
          <w:tcPr>
            <w:tcW w:w="214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sz w:val="24"/>
              </w:rPr>
              <w:t>201</w:t>
            </w:r>
            <w:r>
              <w:rPr>
                <w:rFonts w:hint="eastAsia" w:ascii="宋体" w:eastAsia="宋体" w:cs="宋体"/>
                <w:color w:val="000000"/>
                <w:sz w:val="24"/>
                <w:lang w:val="en-US" w:eastAsia="zh-CN"/>
              </w:rPr>
              <w:t>9</w:t>
            </w:r>
            <w:r>
              <w:rPr>
                <w:rFonts w:hint="eastAsia" w:ascii="宋体" w:eastAsia="宋体" w:cs="宋体"/>
                <w:color w:val="000000"/>
                <w:sz w:val="24"/>
              </w:rPr>
              <w:t>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69" w:type="dxa"/>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tc>
        <w:tc>
          <w:tcPr>
            <w:tcW w:w="136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效益指标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宋体" w:eastAsia="宋体" w:cs="宋体"/>
                <w:color w:val="000000"/>
                <w:sz w:val="24"/>
              </w:rPr>
            </w:pPr>
            <w:r>
              <w:rPr>
                <w:rFonts w:hint="eastAsia" w:ascii="宋体" w:eastAsia="宋体" w:cs="宋体"/>
                <w:color w:val="000000"/>
                <w:sz w:val="24"/>
              </w:rPr>
              <w:t>经济效益</w:t>
            </w:r>
          </w:p>
          <w:p>
            <w:pPr>
              <w:widowControl/>
              <w:spacing w:line="360" w:lineRule="exact"/>
              <w:jc w:val="center"/>
              <w:textAlignment w:val="center"/>
              <w:rPr>
                <w:rFonts w:ascii="宋体" w:eastAsia="宋体" w:cs="宋体"/>
                <w:color w:val="000000"/>
                <w:sz w:val="24"/>
              </w:rPr>
            </w:pPr>
            <w:r>
              <w:rPr>
                <w:rFonts w:hint="eastAsia" w:ascii="宋体" w:eastAsia="宋体" w:cs="宋体"/>
                <w:color w:val="000000"/>
                <w:sz w:val="24"/>
              </w:rPr>
              <w:t>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ascii="宋体" w:eastAsia="宋体" w:cs="宋体"/>
                <w:color w:val="000000"/>
                <w:sz w:val="24"/>
              </w:rPr>
              <w:t>提高林区林木的整体质量</w:t>
            </w:r>
          </w:p>
        </w:tc>
        <w:tc>
          <w:tcPr>
            <w:tcW w:w="263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ascii="宋体" w:eastAsia="宋体" w:cs="宋体"/>
                <w:color w:val="000000"/>
                <w:sz w:val="24"/>
              </w:rPr>
              <w:t>提高林区林木的整体质量</w:t>
            </w:r>
          </w:p>
        </w:tc>
        <w:tc>
          <w:tcPr>
            <w:tcW w:w="214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ascii="宋体" w:eastAsia="宋体" w:cs="宋体"/>
                <w:color w:val="000000"/>
                <w:sz w:val="24"/>
              </w:rPr>
              <w:t>提高林区林木的整体质量，使得林区林木生长量逐渐增加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69" w:type="dxa"/>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tc>
        <w:tc>
          <w:tcPr>
            <w:tcW w:w="136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效益指标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宋体" w:eastAsia="宋体" w:cs="宋体"/>
                <w:color w:val="000000"/>
                <w:sz w:val="24"/>
              </w:rPr>
            </w:pPr>
            <w:r>
              <w:rPr>
                <w:rFonts w:hint="eastAsia" w:ascii="宋体" w:eastAsia="宋体" w:cs="宋体"/>
                <w:color w:val="000000"/>
                <w:sz w:val="24"/>
              </w:rPr>
              <w:t>社会效益</w:t>
            </w:r>
          </w:p>
          <w:p>
            <w:pPr>
              <w:widowControl/>
              <w:spacing w:line="360" w:lineRule="exact"/>
              <w:jc w:val="center"/>
              <w:textAlignment w:val="center"/>
              <w:rPr>
                <w:rFonts w:ascii="宋体" w:eastAsia="宋体" w:cs="宋体"/>
                <w:color w:val="000000"/>
                <w:sz w:val="24"/>
              </w:rPr>
            </w:pPr>
            <w:r>
              <w:rPr>
                <w:rFonts w:hint="eastAsia" w:ascii="宋体" w:eastAsia="宋体" w:cs="宋体"/>
                <w:color w:val="000000"/>
                <w:sz w:val="24"/>
              </w:rPr>
              <w:t>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color w:val="000000"/>
              </w:rPr>
              <w:t>保障森林安全</w:t>
            </w:r>
          </w:p>
          <w:p>
            <w:pPr>
              <w:widowControl/>
              <w:jc w:val="center"/>
              <w:textAlignment w:val="center"/>
              <w:rPr>
                <w:rFonts w:ascii="宋体" w:eastAsia="宋体" w:cs="宋体"/>
                <w:color w:val="000000"/>
                <w:sz w:val="24"/>
              </w:rPr>
            </w:pPr>
          </w:p>
        </w:tc>
        <w:tc>
          <w:tcPr>
            <w:tcW w:w="263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color w:val="000000"/>
              </w:rPr>
              <w:t>保障森林安全</w:t>
            </w:r>
          </w:p>
          <w:p>
            <w:pPr>
              <w:widowControl/>
              <w:jc w:val="center"/>
              <w:textAlignment w:val="center"/>
              <w:rPr>
                <w:rFonts w:ascii="宋体" w:eastAsia="宋体" w:cs="宋体"/>
                <w:color w:val="000000"/>
                <w:sz w:val="24"/>
              </w:rPr>
            </w:pPr>
          </w:p>
        </w:tc>
        <w:tc>
          <w:tcPr>
            <w:tcW w:w="214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color w:val="000000"/>
              </w:rPr>
              <w:t>保障森林安全</w:t>
            </w:r>
          </w:p>
          <w:p>
            <w:pPr>
              <w:widowControl/>
              <w:jc w:val="center"/>
              <w:textAlignment w:val="center"/>
              <w:rPr>
                <w:rFonts w:asci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69" w:type="dxa"/>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tc>
        <w:tc>
          <w:tcPr>
            <w:tcW w:w="136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kern w:val="0"/>
                <w:sz w:val="24"/>
              </w:rPr>
            </w:pPr>
            <w:r>
              <w:rPr>
                <w:rFonts w:hint="eastAsia" w:ascii="宋体" w:eastAsia="宋体" w:cs="宋体"/>
                <w:color w:val="000000"/>
                <w:kern w:val="0"/>
                <w:sz w:val="24"/>
              </w:rPr>
              <w:t>效益指标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宋体" w:eastAsia="宋体" w:cs="宋体"/>
                <w:color w:val="000000"/>
                <w:sz w:val="24"/>
              </w:rPr>
            </w:pPr>
            <w:r>
              <w:rPr>
                <w:rFonts w:hint="eastAsia" w:ascii="宋体" w:eastAsia="宋体" w:cs="宋体"/>
                <w:color w:val="000000"/>
                <w:sz w:val="24"/>
              </w:rPr>
              <w:t>生态效益</w:t>
            </w:r>
          </w:p>
          <w:p>
            <w:pPr>
              <w:widowControl/>
              <w:spacing w:line="360" w:lineRule="exact"/>
              <w:jc w:val="center"/>
              <w:textAlignment w:val="center"/>
              <w:rPr>
                <w:rFonts w:ascii="宋体" w:eastAsia="宋体" w:cs="宋体"/>
                <w:color w:val="000000"/>
                <w:sz w:val="24"/>
              </w:rPr>
            </w:pPr>
            <w:r>
              <w:rPr>
                <w:rFonts w:hint="eastAsia" w:ascii="宋体" w:eastAsia="宋体" w:cs="宋体"/>
                <w:color w:val="000000"/>
                <w:sz w:val="24"/>
              </w:rPr>
              <w:t>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ascii="宋体" w:eastAsia="宋体" w:cs="宋体"/>
                <w:color w:val="000000"/>
                <w:sz w:val="24"/>
              </w:rPr>
              <w:t>提高林区的生态的稳固，保护动植物的多样性</w:t>
            </w:r>
          </w:p>
        </w:tc>
        <w:tc>
          <w:tcPr>
            <w:tcW w:w="263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ascii="宋体" w:eastAsia="宋体" w:cs="宋体"/>
                <w:color w:val="000000"/>
                <w:sz w:val="24"/>
              </w:rPr>
              <w:t>提高林区的生态的稳固，保护动植物的多样性</w:t>
            </w:r>
          </w:p>
        </w:tc>
        <w:tc>
          <w:tcPr>
            <w:tcW w:w="214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ascii="宋体" w:eastAsia="宋体" w:cs="宋体"/>
                <w:color w:val="000000"/>
                <w:sz w:val="24"/>
              </w:rPr>
              <w:t>提高林区的生态的稳固，保护动植物的多样性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69" w:type="dxa"/>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tc>
        <w:tc>
          <w:tcPr>
            <w:tcW w:w="136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满意度指标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可持续影响指标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控制这些害虫的扩展蔓延，预防大面积发生，造成毁灭性后果，保障病虫害林木存活率90%</w:t>
            </w:r>
          </w:p>
        </w:tc>
        <w:tc>
          <w:tcPr>
            <w:tcW w:w="263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控制这些害虫的扩展蔓延，预防大面积发生，造成毁灭性后果，保障病虫害林木存活率90%</w:t>
            </w:r>
          </w:p>
        </w:tc>
        <w:tc>
          <w:tcPr>
            <w:tcW w:w="214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控制这些害虫的扩展蔓延，预防大面积发生，造成毁灭性后果，保障病虫害林木存活率90%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9" w:type="dxa"/>
          <w:trHeight w:val="1034" w:hRule="atLeast"/>
        </w:trPr>
        <w:tc>
          <w:tcPr>
            <w:tcW w:w="10080" w:type="dxa"/>
            <w:gridSpan w:val="16"/>
            <w:tcMar>
              <w:top w:w="15" w:type="dxa"/>
              <w:left w:w="15" w:type="dxa"/>
              <w:right w:w="15" w:type="dxa"/>
            </w:tcMar>
            <w:vAlign w:val="center"/>
          </w:tcPr>
          <w:p>
            <w:pPr>
              <w:widowControl/>
              <w:textAlignment w:val="center"/>
              <w:rPr>
                <w:rFonts w:hint="eastAsia" w:ascii="宋体" w:hAnsi="宋体" w:eastAsia="宋体" w:cs="宋体"/>
                <w:bCs/>
                <w:color w:val="000000"/>
                <w:kern w:val="0"/>
                <w:sz w:val="24"/>
                <w:szCs w:val="24"/>
              </w:rPr>
            </w:pPr>
          </w:p>
          <w:p>
            <w:pPr>
              <w:pStyle w:val="23"/>
              <w:widowControl/>
              <w:ind w:left="3699" w:leftChars="1310" w:hanging="948" w:hangingChars="395"/>
              <w:textAlignment w:val="center"/>
              <w:rPr>
                <w:rFonts w:hint="eastAsia" w:ascii="宋体" w:hAnsi="宋体" w:eastAsia="宋体" w:cs="宋体"/>
                <w:bCs/>
                <w:color w:val="000000"/>
                <w:kern w:val="0"/>
                <w:sz w:val="24"/>
                <w:szCs w:val="24"/>
              </w:rPr>
            </w:pPr>
          </w:p>
          <w:p>
            <w:pPr>
              <w:pStyle w:val="23"/>
              <w:widowControl/>
              <w:ind w:left="3699" w:leftChars="1310" w:hanging="948" w:hangingChars="395"/>
              <w:textAlignment w:val="center"/>
              <w:rPr>
                <w:rFonts w:hint="eastAsia" w:ascii="宋体" w:hAnsi="宋体" w:eastAsia="宋体" w:cs="宋体"/>
                <w:bCs/>
                <w:color w:val="000000"/>
                <w:kern w:val="0"/>
                <w:sz w:val="24"/>
                <w:szCs w:val="24"/>
              </w:rPr>
            </w:pPr>
          </w:p>
          <w:p>
            <w:pPr>
              <w:pStyle w:val="23"/>
              <w:widowControl/>
              <w:ind w:left="3699" w:leftChars="1310" w:hanging="948" w:hangingChars="395"/>
              <w:textAlignment w:val="center"/>
              <w:rPr>
                <w:rFonts w:hint="eastAsia" w:ascii="宋体" w:hAnsi="宋体" w:eastAsia="宋体" w:cs="宋体"/>
                <w:bCs/>
                <w:color w:val="000000"/>
                <w:kern w:val="0"/>
                <w:sz w:val="24"/>
                <w:szCs w:val="24"/>
              </w:rPr>
            </w:pPr>
          </w:p>
          <w:p>
            <w:pPr>
              <w:pStyle w:val="23"/>
              <w:widowControl/>
              <w:ind w:left="3699" w:leftChars="1310" w:hanging="948" w:hangingChars="395"/>
              <w:textAlignment w:val="center"/>
              <w:rPr>
                <w:rFonts w:hint="eastAsia" w:ascii="宋体" w:hAnsi="宋体" w:eastAsia="宋体" w:cs="宋体"/>
                <w:bCs/>
                <w:color w:val="000000"/>
                <w:kern w:val="0"/>
                <w:sz w:val="24"/>
                <w:szCs w:val="24"/>
              </w:rPr>
            </w:pPr>
          </w:p>
          <w:p>
            <w:pPr>
              <w:pStyle w:val="23"/>
              <w:widowControl/>
              <w:ind w:left="3699" w:leftChars="1310" w:hanging="948" w:hangingChars="395"/>
              <w:textAlignment w:val="center"/>
              <w:rPr>
                <w:rFonts w:hint="eastAsia" w:ascii="宋体" w:hAnsi="宋体" w:eastAsia="宋体" w:cs="宋体"/>
                <w:bCs/>
                <w:color w:val="000000"/>
                <w:kern w:val="0"/>
                <w:sz w:val="24"/>
                <w:szCs w:val="24"/>
              </w:rPr>
            </w:pPr>
          </w:p>
          <w:p>
            <w:pPr>
              <w:pStyle w:val="23"/>
              <w:widowControl/>
              <w:ind w:left="3699" w:leftChars="1310" w:hanging="948" w:hangingChars="395"/>
              <w:textAlignment w:val="center"/>
              <w:rPr>
                <w:rFonts w:hint="eastAsia" w:ascii="宋体" w:hAnsi="宋体" w:eastAsia="宋体" w:cs="宋体"/>
                <w:bCs/>
                <w:color w:val="000000"/>
                <w:kern w:val="0"/>
                <w:sz w:val="24"/>
                <w:szCs w:val="24"/>
              </w:rPr>
            </w:pPr>
          </w:p>
          <w:p>
            <w:pPr>
              <w:pStyle w:val="23"/>
              <w:widowControl/>
              <w:ind w:left="3699" w:leftChars="1310" w:hanging="948" w:hangingChars="395"/>
              <w:textAlignment w:val="center"/>
              <w:rPr>
                <w:rFonts w:hint="eastAsia" w:ascii="宋体" w:hAnsi="宋体" w:eastAsia="宋体" w:cs="宋体"/>
                <w:bCs/>
                <w:color w:val="000000"/>
                <w:kern w:val="0"/>
                <w:sz w:val="24"/>
                <w:szCs w:val="24"/>
              </w:rPr>
            </w:pPr>
          </w:p>
          <w:p>
            <w:pPr>
              <w:pStyle w:val="23"/>
              <w:widowControl/>
              <w:ind w:left="3699" w:leftChars="1310" w:hanging="948" w:hangingChars="395"/>
              <w:textAlignment w:val="center"/>
              <w:rPr>
                <w:rFonts w:hint="eastAsia" w:ascii="宋体" w:hAnsi="宋体" w:eastAsia="宋体" w:cs="宋体"/>
                <w:bCs/>
                <w:color w:val="000000"/>
                <w:kern w:val="0"/>
                <w:sz w:val="24"/>
                <w:szCs w:val="24"/>
              </w:rPr>
            </w:pPr>
          </w:p>
          <w:p>
            <w:pPr>
              <w:pStyle w:val="23"/>
              <w:widowControl/>
              <w:ind w:left="3699" w:leftChars="1310" w:hanging="948" w:hangingChars="395"/>
              <w:textAlignment w:val="center"/>
              <w:rPr>
                <w:rFonts w:hint="eastAsia" w:ascii="宋体" w:hAnsi="宋体" w:eastAsia="宋体" w:cs="宋体"/>
                <w:bCs/>
                <w:color w:val="000000"/>
                <w:kern w:val="0"/>
                <w:sz w:val="24"/>
                <w:szCs w:val="24"/>
              </w:rPr>
            </w:pPr>
          </w:p>
          <w:p>
            <w:pPr>
              <w:pStyle w:val="23"/>
              <w:widowControl/>
              <w:ind w:left="3699" w:leftChars="1310" w:hanging="948" w:hangingChars="395"/>
              <w:textAlignment w:val="center"/>
              <w:rPr>
                <w:rFonts w:hint="eastAsia" w:ascii="宋体" w:hAnsi="宋体" w:eastAsia="宋体" w:cs="宋体"/>
                <w:bCs/>
                <w:color w:val="000000"/>
                <w:kern w:val="0"/>
                <w:sz w:val="24"/>
                <w:szCs w:val="24"/>
              </w:rPr>
            </w:pPr>
          </w:p>
          <w:p>
            <w:pPr>
              <w:pStyle w:val="23"/>
              <w:widowControl/>
              <w:ind w:left="3699" w:leftChars="1310" w:hanging="948" w:hangingChars="395"/>
              <w:textAlignment w:val="center"/>
              <w:rPr>
                <w:rFonts w:hint="eastAsia" w:ascii="宋体" w:hAnsi="宋体" w:eastAsia="宋体" w:cs="宋体"/>
                <w:bCs/>
                <w:color w:val="000000"/>
                <w:kern w:val="0"/>
                <w:sz w:val="24"/>
                <w:szCs w:val="24"/>
              </w:rPr>
            </w:pPr>
          </w:p>
          <w:p>
            <w:pPr>
              <w:pStyle w:val="23"/>
              <w:widowControl/>
              <w:ind w:left="3699" w:leftChars="1310" w:hanging="948" w:hangingChars="395"/>
              <w:textAlignment w:val="center"/>
              <w:rPr>
                <w:rFonts w:hint="eastAsia" w:ascii="宋体" w:hAnsi="宋体" w:eastAsia="宋体" w:cs="宋体"/>
                <w:bCs/>
                <w:color w:val="000000"/>
                <w:kern w:val="0"/>
                <w:sz w:val="24"/>
                <w:szCs w:val="24"/>
              </w:rPr>
            </w:pPr>
          </w:p>
          <w:p>
            <w:pPr>
              <w:pStyle w:val="23"/>
              <w:widowControl/>
              <w:ind w:left="4015" w:leftChars="1310" w:hanging="1264" w:hangingChars="395"/>
              <w:textAlignment w:val="center"/>
              <w:rPr>
                <w:rFonts w:hint="eastAsia" w:ascii="宋体" w:hAnsi="宋体" w:eastAsia="宋体" w:cs="宋体"/>
                <w:color w:val="000000"/>
                <w:sz w:val="24"/>
                <w:szCs w:val="24"/>
              </w:rPr>
            </w:pPr>
            <w:r>
              <w:rPr>
                <w:rFonts w:hint="eastAsia" w:ascii="黑体" w:hAnsi="黑体" w:eastAsia="黑体" w:cs="黑体"/>
                <w:bCs/>
                <w:color w:val="000000"/>
                <w:kern w:val="0"/>
                <w:sz w:val="32"/>
                <w:szCs w:val="32"/>
              </w:rPr>
              <w:t>项目支出绩效目标完成情况表</w:t>
            </w:r>
            <w:r>
              <w:rPr>
                <w:rFonts w:hint="eastAsia" w:ascii="黑体" w:hAnsi="黑体" w:eastAsia="黑体" w:cs="黑体"/>
                <w:b/>
                <w:bCs/>
                <w:color w:val="000000"/>
                <w:kern w:val="0"/>
                <w:sz w:val="32"/>
                <w:szCs w:val="32"/>
              </w:rPr>
              <w:br w:type="textWrapping"/>
            </w:r>
            <w:r>
              <w:rPr>
                <w:rFonts w:hint="eastAsia" w:ascii="宋体" w:hAnsi="宋体" w:eastAsia="宋体" w:cs="宋体"/>
                <w:color w:val="000000"/>
                <w:kern w:val="0"/>
                <w:sz w:val="24"/>
                <w:szCs w:val="24"/>
              </w:rPr>
              <w:t>(201</w:t>
            </w:r>
            <w:r>
              <w:rPr>
                <w:rFonts w:hint="eastAsia" w:ascii="宋体" w:hAnsi="宋体" w:eastAsia="宋体" w:cs="宋体"/>
                <w:color w:val="000000"/>
                <w:kern w:val="0"/>
                <w:sz w:val="24"/>
                <w:szCs w:val="24"/>
                <w:lang w:val="en-US" w:eastAsia="zh-CN"/>
              </w:rPr>
              <w:t>9</w:t>
            </w:r>
            <w:r>
              <w:rPr>
                <w:rFonts w:hint="eastAsia" w:ascii="宋体" w:hAnsi="宋体" w:eastAsia="宋体" w:cs="宋体"/>
                <w:color w:val="000000"/>
                <w:kern w:val="0"/>
                <w:sz w:val="24"/>
                <w:szCs w:val="24"/>
              </w:rPr>
              <w:t xml:space="preserve">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9" w:type="dxa"/>
          <w:trHeight w:val="276" w:hRule="atLeast"/>
        </w:trPr>
        <w:tc>
          <w:tcPr>
            <w:tcW w:w="2782"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项目名称</w:t>
            </w:r>
          </w:p>
        </w:tc>
        <w:tc>
          <w:tcPr>
            <w:tcW w:w="7298"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rPr>
              <w:t>防火项目项目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9" w:type="dxa"/>
          <w:trHeight w:val="276" w:hRule="atLeast"/>
        </w:trPr>
        <w:tc>
          <w:tcPr>
            <w:tcW w:w="2782"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预算单位</w:t>
            </w:r>
          </w:p>
        </w:tc>
        <w:tc>
          <w:tcPr>
            <w:tcW w:w="7298"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9" w:type="dxa"/>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预算执行情况(万元)</w:t>
            </w:r>
          </w:p>
        </w:tc>
        <w:tc>
          <w:tcPr>
            <w:tcW w:w="239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预算数:</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2万元</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执行数:</w:t>
            </w:r>
          </w:p>
        </w:tc>
        <w:tc>
          <w:tcPr>
            <w:tcW w:w="251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9" w:type="dxa"/>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tc>
        <w:tc>
          <w:tcPr>
            <w:tcW w:w="239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其中-财政拨款:</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2万元</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其中-财政拨款:</w:t>
            </w:r>
          </w:p>
        </w:tc>
        <w:tc>
          <w:tcPr>
            <w:tcW w:w="251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9" w:type="dxa"/>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tc>
        <w:tc>
          <w:tcPr>
            <w:tcW w:w="239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其它资金:</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0</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其它资金:</w:t>
            </w:r>
          </w:p>
        </w:tc>
        <w:tc>
          <w:tcPr>
            <w:tcW w:w="251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9" w:type="dxa"/>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年度目标完成情况</w:t>
            </w:r>
          </w:p>
        </w:tc>
        <w:tc>
          <w:tcPr>
            <w:tcW w:w="4784"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预期目标</w:t>
            </w:r>
          </w:p>
        </w:tc>
        <w:tc>
          <w:tcPr>
            <w:tcW w:w="4906"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9" w:type="dxa"/>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tc>
        <w:tc>
          <w:tcPr>
            <w:tcW w:w="4784"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333333"/>
                <w:sz w:val="24"/>
                <w:szCs w:val="24"/>
                <w:shd w:val="clear" w:color="auto" w:fill="FFFFFF"/>
              </w:rPr>
              <w:t>森林防火投入，推动全区森林防火工作深入开展，确保人民群众生命财产安全和全区森林资源安全</w:t>
            </w:r>
          </w:p>
        </w:tc>
        <w:tc>
          <w:tcPr>
            <w:tcW w:w="4906"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333333"/>
                <w:sz w:val="24"/>
                <w:szCs w:val="24"/>
                <w:shd w:val="clear" w:color="auto" w:fill="FFFFFF"/>
              </w:rPr>
              <w:t>森林防火投入，推动全区森林防火工作深入开展，确保人民群众生命财产安全和全区森林资源安全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9" w:type="dxa"/>
          <w:trHeight w:val="869"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sz w:val="24"/>
              </w:rPr>
              <w:t>绩效指标完成情况</w:t>
            </w:r>
          </w:p>
        </w:tc>
        <w:tc>
          <w:tcPr>
            <w:tcW w:w="136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一级指标</w:t>
            </w:r>
          </w:p>
        </w:tc>
        <w:tc>
          <w:tcPr>
            <w:tcW w:w="123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二级指标</w:t>
            </w:r>
          </w:p>
        </w:tc>
        <w:tc>
          <w:tcPr>
            <w:tcW w:w="21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三级指标</w:t>
            </w:r>
          </w:p>
        </w:tc>
        <w:tc>
          <w:tcPr>
            <w:tcW w:w="263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预期指标值(包含数字及文字描述)</w:t>
            </w:r>
          </w:p>
        </w:tc>
        <w:tc>
          <w:tcPr>
            <w:tcW w:w="22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9" w:type="dxa"/>
          <w:trHeight w:val="79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tc>
        <w:tc>
          <w:tcPr>
            <w:tcW w:w="136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项目完成指标</w:t>
            </w:r>
          </w:p>
        </w:tc>
        <w:tc>
          <w:tcPr>
            <w:tcW w:w="123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数量指标</w:t>
            </w:r>
          </w:p>
        </w:tc>
        <w:tc>
          <w:tcPr>
            <w:tcW w:w="21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完成项目预期数量指标</w:t>
            </w:r>
          </w:p>
        </w:tc>
        <w:tc>
          <w:tcPr>
            <w:tcW w:w="263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333333"/>
                <w:sz w:val="24"/>
                <w:szCs w:val="24"/>
                <w:shd w:val="clear" w:color="auto" w:fill="FFFFFF"/>
              </w:rPr>
              <w:t>全场林地得到保护</w:t>
            </w:r>
          </w:p>
        </w:tc>
        <w:tc>
          <w:tcPr>
            <w:tcW w:w="22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1.7万亩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9" w:type="dxa"/>
          <w:trHeight w:val="954"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tc>
        <w:tc>
          <w:tcPr>
            <w:tcW w:w="136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项目完成指标</w:t>
            </w:r>
          </w:p>
        </w:tc>
        <w:tc>
          <w:tcPr>
            <w:tcW w:w="123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质量指标</w:t>
            </w:r>
          </w:p>
        </w:tc>
        <w:tc>
          <w:tcPr>
            <w:tcW w:w="21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333333"/>
                <w:sz w:val="24"/>
                <w:szCs w:val="24"/>
                <w:shd w:val="clear" w:color="auto" w:fill="FFFFFF"/>
              </w:rPr>
              <w:t>控制森林火灾受害率</w:t>
            </w:r>
          </w:p>
        </w:tc>
        <w:tc>
          <w:tcPr>
            <w:tcW w:w="263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2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9" w:type="dxa"/>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tc>
        <w:tc>
          <w:tcPr>
            <w:tcW w:w="136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项目完成指标</w:t>
            </w:r>
          </w:p>
        </w:tc>
        <w:tc>
          <w:tcPr>
            <w:tcW w:w="123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时效指标</w:t>
            </w:r>
          </w:p>
        </w:tc>
        <w:tc>
          <w:tcPr>
            <w:tcW w:w="21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333333"/>
                <w:sz w:val="24"/>
                <w:szCs w:val="24"/>
                <w:shd w:val="clear" w:color="auto" w:fill="FFFFFF"/>
              </w:rPr>
              <w:t>坚持24小时防火</w:t>
            </w:r>
          </w:p>
        </w:tc>
        <w:tc>
          <w:tcPr>
            <w:tcW w:w="263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全年每天24小时</w:t>
            </w:r>
          </w:p>
        </w:tc>
        <w:tc>
          <w:tcPr>
            <w:tcW w:w="22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全年每天24小时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9" w:type="dxa"/>
          <w:trHeight w:val="79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tc>
        <w:tc>
          <w:tcPr>
            <w:tcW w:w="136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效益指标</w:t>
            </w:r>
          </w:p>
        </w:tc>
        <w:tc>
          <w:tcPr>
            <w:tcW w:w="123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经济效益</w:t>
            </w:r>
          </w:p>
          <w:p>
            <w:pPr>
              <w:widowControl/>
              <w:spacing w:line="3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指标</w:t>
            </w:r>
          </w:p>
        </w:tc>
        <w:tc>
          <w:tcPr>
            <w:tcW w:w="21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333333"/>
                <w:sz w:val="24"/>
                <w:szCs w:val="24"/>
                <w:shd w:val="clear" w:color="auto" w:fill="FFFFFF"/>
              </w:rPr>
              <w:t>直接、间接经济效益</w:t>
            </w:r>
          </w:p>
        </w:tc>
        <w:tc>
          <w:tcPr>
            <w:tcW w:w="263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不可估量</w:t>
            </w:r>
          </w:p>
        </w:tc>
        <w:tc>
          <w:tcPr>
            <w:tcW w:w="22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不可估量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9" w:type="dxa"/>
          <w:trHeight w:val="82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tc>
        <w:tc>
          <w:tcPr>
            <w:tcW w:w="136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效益指标</w:t>
            </w:r>
          </w:p>
        </w:tc>
        <w:tc>
          <w:tcPr>
            <w:tcW w:w="123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社会效益</w:t>
            </w:r>
          </w:p>
          <w:p>
            <w:pPr>
              <w:widowControl/>
              <w:spacing w:line="3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指标</w:t>
            </w:r>
          </w:p>
        </w:tc>
        <w:tc>
          <w:tcPr>
            <w:tcW w:w="21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szCs w:val="24"/>
              </w:rPr>
            </w:pPr>
            <w:r>
              <w:rPr>
                <w:rFonts w:hint="eastAsia" w:ascii="宋体" w:hAnsi="宋体" w:eastAsia="宋体" w:cs="宋体"/>
                <w:color w:val="333333"/>
                <w:sz w:val="24"/>
                <w:szCs w:val="24"/>
                <w:shd w:val="clear" w:color="auto" w:fill="FFFFFF"/>
              </w:rPr>
              <w:t>社会综合效益</w:t>
            </w:r>
          </w:p>
        </w:tc>
        <w:tc>
          <w:tcPr>
            <w:tcW w:w="263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不可估量</w:t>
            </w:r>
          </w:p>
        </w:tc>
        <w:tc>
          <w:tcPr>
            <w:tcW w:w="22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不可估量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9" w:type="dxa"/>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tc>
        <w:tc>
          <w:tcPr>
            <w:tcW w:w="136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效益指标</w:t>
            </w:r>
          </w:p>
        </w:tc>
        <w:tc>
          <w:tcPr>
            <w:tcW w:w="123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生态效益</w:t>
            </w:r>
          </w:p>
          <w:p>
            <w:pPr>
              <w:widowControl/>
              <w:spacing w:line="3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指标</w:t>
            </w:r>
          </w:p>
        </w:tc>
        <w:tc>
          <w:tcPr>
            <w:tcW w:w="21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2"/>
              <w:spacing w:before="93" w:beforeAutospacing="0" w:after="0" w:afterAutospacing="0" w:line="480" w:lineRule="auto"/>
              <w:ind w:firstLine="530"/>
              <w:jc w:val="both"/>
              <w:rPr>
                <w:rFonts w:hint="eastAsia" w:ascii="宋体" w:hAnsi="宋体" w:eastAsia="宋体" w:cs="宋体"/>
                <w:color w:val="333333"/>
                <w:sz w:val="24"/>
                <w:szCs w:val="24"/>
              </w:rPr>
            </w:pPr>
            <w:r>
              <w:rPr>
                <w:rFonts w:hint="eastAsia" w:ascii="宋体" w:hAnsi="宋体" w:eastAsia="宋体" w:cs="宋体"/>
                <w:color w:val="333333"/>
                <w:sz w:val="24"/>
                <w:szCs w:val="24"/>
              </w:rPr>
              <w:t>生态环境明显改善</w:t>
            </w:r>
          </w:p>
        </w:tc>
        <w:tc>
          <w:tcPr>
            <w:tcW w:w="263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不可估量</w:t>
            </w:r>
          </w:p>
        </w:tc>
        <w:tc>
          <w:tcPr>
            <w:tcW w:w="22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不可估量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9" w:type="dxa"/>
          <w:trHeight w:val="114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tc>
        <w:tc>
          <w:tcPr>
            <w:tcW w:w="136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满意度指标</w:t>
            </w:r>
          </w:p>
        </w:tc>
        <w:tc>
          <w:tcPr>
            <w:tcW w:w="123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333333"/>
                <w:sz w:val="24"/>
                <w:szCs w:val="24"/>
              </w:rPr>
              <w:t>社会公众或服务对象满意度指标</w:t>
            </w:r>
          </w:p>
        </w:tc>
        <w:tc>
          <w:tcPr>
            <w:tcW w:w="21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2"/>
              <w:spacing w:before="93" w:beforeAutospacing="0" w:after="0" w:afterAutospacing="0" w:line="480" w:lineRule="auto"/>
              <w:ind w:firstLine="530"/>
              <w:jc w:val="both"/>
              <w:rPr>
                <w:rFonts w:hint="eastAsia" w:ascii="宋体" w:hAnsi="宋体" w:eastAsia="宋体" w:cs="宋体"/>
                <w:color w:val="333333"/>
                <w:sz w:val="24"/>
                <w:szCs w:val="24"/>
              </w:rPr>
            </w:pPr>
            <w:r>
              <w:rPr>
                <w:rFonts w:hint="eastAsia" w:ascii="宋体" w:hAnsi="宋体" w:eastAsia="宋体" w:cs="宋体"/>
                <w:color w:val="333333"/>
                <w:sz w:val="24"/>
                <w:szCs w:val="24"/>
              </w:rPr>
              <w:t>群众支持、满意度</w:t>
            </w:r>
          </w:p>
        </w:tc>
        <w:tc>
          <w:tcPr>
            <w:tcW w:w="263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2"/>
              <w:spacing w:before="93" w:beforeAutospacing="0" w:after="0" w:afterAutospacing="0" w:line="480" w:lineRule="auto"/>
              <w:ind w:firstLine="530"/>
              <w:jc w:val="both"/>
              <w:rPr>
                <w:rFonts w:hint="eastAsia" w:ascii="宋体" w:hAnsi="宋体" w:eastAsia="宋体" w:cs="宋体"/>
                <w:color w:val="333333"/>
                <w:sz w:val="24"/>
                <w:szCs w:val="24"/>
              </w:rPr>
            </w:pPr>
            <w:r>
              <w:rPr>
                <w:rFonts w:hint="eastAsia" w:ascii="宋体" w:hAnsi="宋体" w:eastAsia="宋体" w:cs="宋体"/>
                <w:color w:val="333333"/>
                <w:sz w:val="24"/>
                <w:szCs w:val="24"/>
              </w:rPr>
              <w:t>100%</w:t>
            </w:r>
          </w:p>
        </w:tc>
        <w:tc>
          <w:tcPr>
            <w:tcW w:w="22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2"/>
              <w:spacing w:before="93" w:beforeAutospacing="0" w:after="0" w:afterAutospacing="0" w:line="480" w:lineRule="auto"/>
              <w:ind w:firstLine="530"/>
              <w:jc w:val="both"/>
              <w:rPr>
                <w:rFonts w:hint="eastAsia" w:ascii="宋体" w:hAnsi="宋体" w:eastAsia="宋体" w:cs="宋体"/>
                <w:color w:val="333333"/>
                <w:sz w:val="24"/>
                <w:szCs w:val="24"/>
              </w:rPr>
            </w:pPr>
            <w:r>
              <w:rPr>
                <w:rFonts w:hint="eastAsia" w:ascii="宋体" w:hAnsi="宋体" w:eastAsia="宋体" w:cs="宋体"/>
                <w:color w:val="333333"/>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9" w:type="dxa"/>
          <w:trHeight w:val="1034" w:hRule="atLeast"/>
        </w:trPr>
        <w:tc>
          <w:tcPr>
            <w:tcW w:w="10080" w:type="dxa"/>
            <w:gridSpan w:val="16"/>
            <w:tcMar>
              <w:top w:w="15" w:type="dxa"/>
              <w:left w:w="15" w:type="dxa"/>
              <w:right w:w="15" w:type="dxa"/>
            </w:tcMar>
            <w:vAlign w:val="center"/>
          </w:tcPr>
          <w:p>
            <w:pPr>
              <w:widowControl/>
              <w:textAlignment w:val="center"/>
              <w:rPr>
                <w:rFonts w:hint="eastAsia" w:ascii="黑体" w:hAnsi="黑体" w:eastAsia="黑体" w:cs="宋体"/>
                <w:bCs/>
                <w:color w:val="000000"/>
                <w:kern w:val="0"/>
                <w:sz w:val="36"/>
                <w:szCs w:val="36"/>
              </w:rPr>
            </w:pPr>
          </w:p>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w:t>
            </w:r>
            <w:r>
              <w:rPr>
                <w:rFonts w:hint="eastAsia" w:ascii="宋体" w:hAnsi="宋体" w:cs="宋体"/>
                <w:color w:val="000000"/>
                <w:kern w:val="0"/>
                <w:sz w:val="36"/>
                <w:szCs w:val="36"/>
                <w:lang w:val="en-US" w:eastAsia="zh-CN"/>
              </w:rPr>
              <w:t>9</w:t>
            </w:r>
            <w:r>
              <w:rPr>
                <w:rFonts w:hint="eastAsia" w:ascii="宋体" w:hAnsi="宋体" w:cs="宋体"/>
                <w:color w:val="000000"/>
                <w:kern w:val="0"/>
                <w:sz w:val="36"/>
                <w:szCs w:val="36"/>
              </w:rPr>
              <w:t xml:space="preserve">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9" w:type="dxa"/>
          <w:trHeight w:val="276" w:hRule="atLeast"/>
        </w:trPr>
        <w:tc>
          <w:tcPr>
            <w:tcW w:w="2782"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项目名称</w:t>
            </w:r>
          </w:p>
        </w:tc>
        <w:tc>
          <w:tcPr>
            <w:tcW w:w="7298"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hAnsi="宋体" w:eastAsia="宋体" w:cs="宋体"/>
                <w:sz w:val="28"/>
                <w:szCs w:val="28"/>
              </w:rPr>
              <w:t>古树保护项目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9" w:type="dxa"/>
          <w:trHeight w:val="276" w:hRule="atLeast"/>
        </w:trPr>
        <w:tc>
          <w:tcPr>
            <w:tcW w:w="2782"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预算单位</w:t>
            </w:r>
          </w:p>
        </w:tc>
        <w:tc>
          <w:tcPr>
            <w:tcW w:w="7298"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9" w:type="dxa"/>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预算执行情况(万元)</w:t>
            </w:r>
          </w:p>
        </w:tc>
        <w:tc>
          <w:tcPr>
            <w:tcW w:w="239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预算数:</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sz w:val="24"/>
              </w:rPr>
              <w:t>2万元</w:t>
            </w:r>
          </w:p>
        </w:tc>
        <w:tc>
          <w:tcPr>
            <w:tcW w:w="263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执行数:</w:t>
            </w:r>
          </w:p>
        </w:tc>
        <w:tc>
          <w:tcPr>
            <w:tcW w:w="22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sz w:val="24"/>
                <w:lang w:val="en-US" w:eastAsia="zh-CN"/>
              </w:rPr>
              <w:t>0.788</w:t>
            </w:r>
            <w:r>
              <w:rPr>
                <w:rFonts w:hint="eastAsia" w:ascii="宋体" w:eastAsia="宋体" w:cs="宋体"/>
                <w:color w:val="000000"/>
                <w:sz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9" w:type="dxa"/>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tc>
        <w:tc>
          <w:tcPr>
            <w:tcW w:w="239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其中-财政拨款:</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sz w:val="24"/>
              </w:rPr>
              <w:t>2万元</w:t>
            </w:r>
          </w:p>
        </w:tc>
        <w:tc>
          <w:tcPr>
            <w:tcW w:w="263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其中-财政拨款:</w:t>
            </w:r>
          </w:p>
        </w:tc>
        <w:tc>
          <w:tcPr>
            <w:tcW w:w="22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sz w:val="24"/>
                <w:lang w:val="en-US" w:eastAsia="zh-CN"/>
              </w:rPr>
              <w:t>0.788</w:t>
            </w:r>
            <w:r>
              <w:rPr>
                <w:rFonts w:hint="eastAsia" w:ascii="宋体" w:eastAsia="宋体" w:cs="宋体"/>
                <w:color w:val="000000"/>
                <w:sz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9" w:type="dxa"/>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tc>
        <w:tc>
          <w:tcPr>
            <w:tcW w:w="239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其它资金:</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0</w:t>
            </w:r>
          </w:p>
        </w:tc>
        <w:tc>
          <w:tcPr>
            <w:tcW w:w="263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其它资金:</w:t>
            </w:r>
          </w:p>
        </w:tc>
        <w:tc>
          <w:tcPr>
            <w:tcW w:w="22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eastAsia="宋体" w:cs="宋体"/>
                <w:color w:val="000000"/>
                <w:sz w:val="24"/>
              </w:rPr>
            </w:pPr>
            <w:r>
              <w:rPr>
                <w:rFonts w:hint="eastAsia" w:ascii="宋体" w:eastAsia="宋体" w:cs="宋体"/>
                <w:color w:val="00000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9" w:type="dxa"/>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年度目标完成情况</w:t>
            </w:r>
          </w:p>
        </w:tc>
        <w:tc>
          <w:tcPr>
            <w:tcW w:w="4784"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预期目标</w:t>
            </w:r>
          </w:p>
        </w:tc>
        <w:tc>
          <w:tcPr>
            <w:tcW w:w="4906"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9" w:type="dxa"/>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tc>
        <w:tc>
          <w:tcPr>
            <w:tcW w:w="4784"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3"/>
              <w:widowControl/>
              <w:numPr>
                <w:ilvl w:val="0"/>
                <w:numId w:val="6"/>
              </w:numPr>
              <w:ind w:firstLineChars="0"/>
              <w:jc w:val="center"/>
              <w:textAlignment w:val="center"/>
              <w:rPr>
                <w:rFonts w:hint="eastAsia" w:ascii="宋体" w:eastAsia="宋体" w:cs="宋体"/>
                <w:color w:val="000000"/>
                <w:sz w:val="24"/>
              </w:rPr>
            </w:pPr>
            <w:r>
              <w:rPr>
                <w:rFonts w:hint="eastAsia" w:ascii="宋体" w:eastAsia="宋体" w:cs="宋体"/>
                <w:color w:val="000000"/>
                <w:sz w:val="24"/>
              </w:rPr>
              <w:t>对古树名木实施蓄水保土，病虫害防治；</w:t>
            </w:r>
          </w:p>
          <w:p>
            <w:pPr>
              <w:pStyle w:val="23"/>
              <w:widowControl/>
              <w:numPr>
                <w:ilvl w:val="0"/>
                <w:numId w:val="6"/>
              </w:numPr>
              <w:ind w:firstLineChars="0"/>
              <w:jc w:val="center"/>
              <w:textAlignment w:val="center"/>
              <w:rPr>
                <w:rFonts w:ascii="宋体" w:eastAsia="宋体" w:cs="宋体"/>
                <w:color w:val="000000"/>
                <w:sz w:val="24"/>
              </w:rPr>
            </w:pPr>
            <w:r>
              <w:rPr>
                <w:rFonts w:hint="eastAsia" w:ascii="宋体" w:eastAsia="宋体" w:cs="宋体"/>
                <w:color w:val="000000"/>
                <w:sz w:val="24"/>
              </w:rPr>
              <w:t>创伤空洞填补，延长树木寿命；</w:t>
            </w:r>
          </w:p>
        </w:tc>
        <w:tc>
          <w:tcPr>
            <w:tcW w:w="4906"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sz w:val="24"/>
              </w:rPr>
            </w:pPr>
            <w:r>
              <w:rPr>
                <w:rFonts w:hint="eastAsia" w:ascii="宋体" w:eastAsia="宋体" w:cs="宋体"/>
                <w:color w:val="000000"/>
                <w:sz w:val="24"/>
              </w:rPr>
              <w:t>对古树名木实施蓄水保土，病虫害防治；</w:t>
            </w:r>
          </w:p>
          <w:p>
            <w:pPr>
              <w:widowControl/>
              <w:jc w:val="center"/>
              <w:textAlignment w:val="center"/>
              <w:rPr>
                <w:rFonts w:ascii="宋体" w:eastAsia="宋体" w:cs="宋体"/>
                <w:color w:val="000000"/>
                <w:sz w:val="24"/>
              </w:rPr>
            </w:pPr>
            <w:r>
              <w:rPr>
                <w:rFonts w:hint="eastAsia" w:ascii="宋体" w:eastAsia="宋体" w:cs="宋体"/>
                <w:color w:val="000000"/>
                <w:sz w:val="24"/>
              </w:rPr>
              <w:t>创伤空洞填补，延长树木寿命；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9" w:type="dxa"/>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sz w:val="24"/>
              </w:rPr>
              <w:t>绩效指标完成情况</w:t>
            </w:r>
          </w:p>
        </w:tc>
        <w:tc>
          <w:tcPr>
            <w:tcW w:w="11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一级指标</w:t>
            </w:r>
          </w:p>
        </w:tc>
        <w:tc>
          <w:tcPr>
            <w:tcW w:w="120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二级指标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三级指标</w:t>
            </w:r>
          </w:p>
        </w:tc>
        <w:tc>
          <w:tcPr>
            <w:tcW w:w="249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预期指标值(包含数字及文字描述)</w:t>
            </w:r>
          </w:p>
        </w:tc>
        <w:tc>
          <w:tcPr>
            <w:tcW w:w="241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9" w:type="dxa"/>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tc>
        <w:tc>
          <w:tcPr>
            <w:tcW w:w="11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项目完成指标</w:t>
            </w:r>
          </w:p>
        </w:tc>
        <w:tc>
          <w:tcPr>
            <w:tcW w:w="120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宋体" w:eastAsia="宋体" w:cs="宋体"/>
                <w:color w:val="000000"/>
                <w:sz w:val="24"/>
              </w:rPr>
            </w:pPr>
            <w:r>
              <w:rPr>
                <w:rFonts w:hint="eastAsia" w:ascii="宋体" w:eastAsia="宋体" w:cs="宋体"/>
                <w:color w:val="000000"/>
                <w:sz w:val="24"/>
              </w:rPr>
              <w:t>数量指标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宋体" w:eastAsia="宋体" w:cs="宋体"/>
                <w:color w:val="000000"/>
                <w:sz w:val="24"/>
              </w:rPr>
            </w:pPr>
            <w:r>
              <w:rPr>
                <w:rFonts w:hint="eastAsia" w:ascii="宋体" w:eastAsia="宋体" w:cs="宋体"/>
                <w:color w:val="000000"/>
                <w:sz w:val="24"/>
              </w:rPr>
              <w:t>完成项目预期数量指标</w:t>
            </w:r>
          </w:p>
        </w:tc>
        <w:tc>
          <w:tcPr>
            <w:tcW w:w="249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eastAsia="宋体" w:cs="宋体"/>
                <w:color w:val="000000"/>
                <w:sz w:val="24"/>
              </w:rPr>
            </w:pPr>
            <w:r>
              <w:rPr>
                <w:rFonts w:ascii="宋体" w:eastAsia="宋体" w:cs="宋体"/>
                <w:color w:val="000000"/>
                <w:sz w:val="24"/>
              </w:rPr>
              <w:t>对5</w:t>
            </w:r>
            <w:r>
              <w:rPr>
                <w:rFonts w:hint="eastAsia" w:ascii="宋体" w:eastAsia="宋体" w:cs="宋体"/>
                <w:color w:val="000000"/>
                <w:sz w:val="24"/>
              </w:rPr>
              <w:t>0棵古树实施去除硬底化，打孔透气，实施病虫害防治</w:t>
            </w:r>
          </w:p>
        </w:tc>
        <w:tc>
          <w:tcPr>
            <w:tcW w:w="241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ascii="宋体" w:eastAsia="宋体" w:cs="宋体"/>
                <w:color w:val="000000"/>
                <w:sz w:val="24"/>
              </w:rPr>
              <w:t>对5</w:t>
            </w:r>
            <w:r>
              <w:rPr>
                <w:rFonts w:hint="eastAsia" w:ascii="宋体" w:eastAsia="宋体" w:cs="宋体"/>
                <w:color w:val="000000"/>
                <w:sz w:val="24"/>
              </w:rPr>
              <w:t>0棵古树实施去除硬底化，打孔透气，实施病虫害防治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9" w:type="dxa"/>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tc>
        <w:tc>
          <w:tcPr>
            <w:tcW w:w="11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项目完成指标</w:t>
            </w:r>
          </w:p>
        </w:tc>
        <w:tc>
          <w:tcPr>
            <w:tcW w:w="120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宋体" w:eastAsia="宋体" w:cs="宋体"/>
                <w:color w:val="000000"/>
                <w:sz w:val="24"/>
              </w:rPr>
            </w:pPr>
            <w:r>
              <w:rPr>
                <w:rFonts w:hint="eastAsia" w:ascii="宋体" w:eastAsia="宋体" w:cs="宋体"/>
                <w:color w:val="000000"/>
                <w:sz w:val="24"/>
              </w:rPr>
              <w:t>质量指标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宋体" w:eastAsia="宋体" w:cs="宋体"/>
                <w:color w:val="000000"/>
                <w:sz w:val="24"/>
              </w:rPr>
            </w:pPr>
            <w:r>
              <w:rPr>
                <w:rFonts w:ascii="宋体" w:eastAsia="宋体" w:cs="宋体"/>
                <w:color w:val="000000"/>
                <w:sz w:val="24"/>
              </w:rPr>
              <w:t>古树名木保护率</w:t>
            </w:r>
          </w:p>
        </w:tc>
        <w:tc>
          <w:tcPr>
            <w:tcW w:w="249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sz w:val="24"/>
              </w:rPr>
              <w:t>≥90%</w:t>
            </w:r>
          </w:p>
        </w:tc>
        <w:tc>
          <w:tcPr>
            <w:tcW w:w="241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sz w:val="24"/>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9" w:type="dxa"/>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tc>
        <w:tc>
          <w:tcPr>
            <w:tcW w:w="11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项目完成指标</w:t>
            </w:r>
          </w:p>
        </w:tc>
        <w:tc>
          <w:tcPr>
            <w:tcW w:w="120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ascii="宋体" w:eastAsia="宋体" w:cs="宋体"/>
                <w:color w:val="000000"/>
                <w:sz w:val="24"/>
              </w:rPr>
              <w:t>时效指标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ascii="宋体" w:eastAsia="宋体" w:cs="宋体"/>
                <w:color w:val="000000"/>
                <w:sz w:val="24"/>
              </w:rPr>
              <w:t>当年古树名木保护完成时间</w:t>
            </w:r>
          </w:p>
        </w:tc>
        <w:tc>
          <w:tcPr>
            <w:tcW w:w="249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sz w:val="24"/>
              </w:rPr>
              <w:t>201</w:t>
            </w:r>
            <w:r>
              <w:rPr>
                <w:rFonts w:hint="eastAsia" w:ascii="宋体" w:eastAsia="宋体" w:cs="宋体"/>
                <w:color w:val="000000"/>
                <w:sz w:val="24"/>
                <w:lang w:val="en-US" w:eastAsia="zh-CN"/>
              </w:rPr>
              <w:t>9</w:t>
            </w:r>
            <w:r>
              <w:rPr>
                <w:rFonts w:hint="eastAsia" w:ascii="宋体" w:eastAsia="宋体" w:cs="宋体"/>
                <w:color w:val="000000"/>
                <w:sz w:val="24"/>
              </w:rPr>
              <w:t>年12月20日前</w:t>
            </w:r>
          </w:p>
        </w:tc>
        <w:tc>
          <w:tcPr>
            <w:tcW w:w="241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sz w:val="24"/>
              </w:rPr>
              <w:t>201</w:t>
            </w:r>
            <w:r>
              <w:rPr>
                <w:rFonts w:hint="eastAsia" w:ascii="宋体" w:eastAsia="宋体" w:cs="宋体"/>
                <w:color w:val="000000"/>
                <w:sz w:val="24"/>
                <w:lang w:val="en-US" w:eastAsia="zh-CN"/>
              </w:rPr>
              <w:t>9</w:t>
            </w:r>
            <w:r>
              <w:rPr>
                <w:rFonts w:hint="eastAsia" w:ascii="宋体" w:eastAsia="宋体" w:cs="宋体"/>
                <w:color w:val="000000"/>
                <w:sz w:val="24"/>
              </w:rPr>
              <w:t>年12月20日前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9" w:type="dxa"/>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tc>
        <w:tc>
          <w:tcPr>
            <w:tcW w:w="11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效益指标</w:t>
            </w:r>
          </w:p>
        </w:tc>
        <w:tc>
          <w:tcPr>
            <w:tcW w:w="120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宋体" w:eastAsia="宋体" w:cs="宋体"/>
                <w:color w:val="000000"/>
                <w:sz w:val="24"/>
              </w:rPr>
            </w:pPr>
            <w:r>
              <w:rPr>
                <w:rFonts w:hint="eastAsia" w:ascii="宋体" w:eastAsia="宋体" w:cs="宋体"/>
                <w:color w:val="000000"/>
                <w:sz w:val="24"/>
              </w:rPr>
              <w:t>社会效益</w:t>
            </w:r>
          </w:p>
          <w:p>
            <w:pPr>
              <w:widowControl/>
              <w:spacing w:line="360" w:lineRule="exact"/>
              <w:jc w:val="center"/>
              <w:textAlignment w:val="center"/>
              <w:rPr>
                <w:rFonts w:ascii="宋体" w:eastAsia="宋体" w:cs="宋体"/>
                <w:color w:val="000000"/>
                <w:sz w:val="24"/>
              </w:rPr>
            </w:pPr>
            <w:r>
              <w:rPr>
                <w:rFonts w:hint="eastAsia" w:ascii="宋体" w:eastAsia="宋体" w:cs="宋体"/>
                <w:color w:val="000000"/>
                <w:sz w:val="24"/>
              </w:rPr>
              <w:t>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eastAsia="宋体" w:cs="宋体"/>
                <w:color w:val="000000"/>
                <w:sz w:val="24"/>
              </w:rPr>
            </w:pPr>
            <w:r>
              <w:rPr>
                <w:rFonts w:ascii="宋体" w:eastAsia="宋体" w:cs="宋体"/>
                <w:color w:val="000000"/>
                <w:sz w:val="24"/>
              </w:rPr>
              <w:t>促进古权名木健康生长</w:t>
            </w:r>
          </w:p>
        </w:tc>
        <w:tc>
          <w:tcPr>
            <w:tcW w:w="249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ascii="宋体" w:hAnsi="宋体" w:cs="宋体"/>
                <w:color w:val="000000"/>
                <w:sz w:val="24"/>
              </w:rPr>
              <w:t>优</w:t>
            </w:r>
          </w:p>
          <w:p>
            <w:pPr>
              <w:widowControl/>
              <w:jc w:val="center"/>
              <w:textAlignment w:val="center"/>
              <w:rPr>
                <w:rFonts w:ascii="宋体" w:eastAsia="宋体" w:cs="宋体"/>
                <w:color w:val="000000"/>
                <w:sz w:val="24"/>
              </w:rPr>
            </w:pPr>
          </w:p>
        </w:tc>
        <w:tc>
          <w:tcPr>
            <w:tcW w:w="241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ascii="宋体" w:hAnsi="宋体" w:cs="宋体"/>
                <w:color w:val="000000"/>
                <w:sz w:val="24"/>
              </w:rPr>
              <w:t>优</w:t>
            </w:r>
          </w:p>
          <w:p>
            <w:pPr>
              <w:widowControl/>
              <w:jc w:val="center"/>
              <w:textAlignment w:val="center"/>
              <w:rPr>
                <w:rFonts w:asci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9" w:type="dxa"/>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tc>
        <w:tc>
          <w:tcPr>
            <w:tcW w:w="11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kern w:val="0"/>
                <w:sz w:val="24"/>
              </w:rPr>
            </w:pPr>
            <w:r>
              <w:rPr>
                <w:rFonts w:hint="eastAsia" w:ascii="宋体" w:eastAsia="宋体" w:cs="宋体"/>
                <w:color w:val="000000"/>
                <w:kern w:val="0"/>
                <w:sz w:val="24"/>
              </w:rPr>
              <w:t>效益指标</w:t>
            </w:r>
          </w:p>
        </w:tc>
        <w:tc>
          <w:tcPr>
            <w:tcW w:w="120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宋体" w:eastAsia="宋体" w:cs="宋体"/>
                <w:color w:val="000000"/>
                <w:sz w:val="24"/>
              </w:rPr>
            </w:pPr>
            <w:r>
              <w:rPr>
                <w:rFonts w:hint="eastAsia" w:ascii="宋体" w:eastAsia="宋体" w:cs="宋体"/>
                <w:color w:val="000000"/>
                <w:sz w:val="24"/>
              </w:rPr>
              <w:t>生态效益</w:t>
            </w:r>
          </w:p>
          <w:p>
            <w:pPr>
              <w:widowControl/>
              <w:spacing w:line="360" w:lineRule="exact"/>
              <w:jc w:val="center"/>
              <w:textAlignment w:val="center"/>
              <w:rPr>
                <w:rFonts w:ascii="宋体" w:eastAsia="宋体" w:cs="宋体"/>
                <w:color w:val="000000"/>
                <w:sz w:val="24"/>
              </w:rPr>
            </w:pPr>
            <w:r>
              <w:rPr>
                <w:rFonts w:hint="eastAsia" w:ascii="宋体" w:eastAsia="宋体" w:cs="宋体"/>
                <w:color w:val="000000"/>
                <w:sz w:val="24"/>
              </w:rPr>
              <w:t>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eastAsia="宋体" w:cs="宋体"/>
                <w:color w:val="000000"/>
                <w:sz w:val="24"/>
              </w:rPr>
            </w:pPr>
            <w:r>
              <w:rPr>
                <w:rFonts w:ascii="宋体" w:eastAsia="宋体" w:cs="宋体"/>
                <w:color w:val="000000"/>
                <w:sz w:val="24"/>
              </w:rPr>
              <w:t>促进古权名木健康生长</w:t>
            </w:r>
          </w:p>
        </w:tc>
        <w:tc>
          <w:tcPr>
            <w:tcW w:w="249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ascii="宋体" w:hAnsi="宋体" w:cs="宋体"/>
                <w:color w:val="000000"/>
                <w:sz w:val="24"/>
              </w:rPr>
              <w:t>优</w:t>
            </w:r>
          </w:p>
          <w:p>
            <w:pPr>
              <w:widowControl/>
              <w:jc w:val="center"/>
              <w:textAlignment w:val="center"/>
              <w:rPr>
                <w:rFonts w:ascii="宋体" w:eastAsia="宋体" w:cs="宋体"/>
                <w:color w:val="000000"/>
                <w:sz w:val="24"/>
              </w:rPr>
            </w:pPr>
          </w:p>
        </w:tc>
        <w:tc>
          <w:tcPr>
            <w:tcW w:w="241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ascii="宋体" w:hAnsi="宋体" w:cs="宋体"/>
                <w:color w:val="000000"/>
                <w:sz w:val="24"/>
              </w:rPr>
              <w:t>优</w:t>
            </w:r>
          </w:p>
          <w:p>
            <w:pPr>
              <w:widowControl/>
              <w:jc w:val="center"/>
              <w:textAlignment w:val="center"/>
              <w:rPr>
                <w:rFonts w:asci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9" w:type="dxa"/>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tc>
        <w:tc>
          <w:tcPr>
            <w:tcW w:w="11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效益指标</w:t>
            </w:r>
          </w:p>
        </w:tc>
        <w:tc>
          <w:tcPr>
            <w:tcW w:w="120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宋体" w:eastAsia="宋体" w:cs="宋体"/>
                <w:color w:val="000000"/>
                <w:sz w:val="24"/>
              </w:rPr>
            </w:pPr>
            <w:r>
              <w:rPr>
                <w:rFonts w:hint="eastAsia" w:ascii="宋体" w:eastAsia="宋体" w:cs="宋体"/>
                <w:color w:val="000000"/>
                <w:sz w:val="24"/>
              </w:rPr>
              <w:t>可持续影响指标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eastAsia="宋体" w:cs="宋体"/>
                <w:color w:val="000000"/>
                <w:sz w:val="24"/>
              </w:rPr>
            </w:pPr>
            <w:r>
              <w:rPr>
                <w:rFonts w:ascii="宋体" w:eastAsia="宋体" w:cs="宋体"/>
                <w:color w:val="000000"/>
                <w:sz w:val="24"/>
              </w:rPr>
              <w:t>维护生态环境</w:t>
            </w:r>
          </w:p>
        </w:tc>
        <w:tc>
          <w:tcPr>
            <w:tcW w:w="249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ascii="宋体" w:eastAsia="宋体" w:cs="宋体"/>
                <w:color w:val="000000"/>
                <w:sz w:val="24"/>
              </w:rPr>
              <w:t>较好</w:t>
            </w:r>
          </w:p>
        </w:tc>
        <w:tc>
          <w:tcPr>
            <w:tcW w:w="241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ascii="宋体" w:eastAsia="宋体" w:cs="宋体"/>
                <w:color w:val="000000"/>
                <w:sz w:val="24"/>
              </w:rPr>
              <w:t>较好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9" w:type="dxa"/>
          <w:trHeight w:val="1050" w:hRule="atLeast"/>
        </w:trPr>
        <w:tc>
          <w:tcPr>
            <w:tcW w:w="390" w:type="dxa"/>
            <w:tcBorders>
              <w:left w:val="single" w:color="000000" w:sz="4" w:space="0"/>
              <w:bottom w:val="single" w:color="000000" w:sz="4" w:space="0"/>
              <w:right w:val="single" w:color="000000" w:sz="4" w:space="0"/>
            </w:tcBorders>
            <w:vAlign w:val="center"/>
          </w:tcPr>
          <w:p>
            <w:pPr>
              <w:widowControl/>
              <w:jc w:val="left"/>
              <w:rPr>
                <w:rFonts w:ascii="宋体" w:eastAsia="宋体" w:cs="宋体"/>
                <w:color w:val="000000"/>
                <w:sz w:val="24"/>
              </w:rPr>
            </w:pPr>
          </w:p>
        </w:tc>
        <w:tc>
          <w:tcPr>
            <w:tcW w:w="11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kern w:val="0"/>
                <w:sz w:val="24"/>
              </w:rPr>
            </w:pPr>
            <w:r>
              <w:rPr>
                <w:rFonts w:hint="eastAsia" w:ascii="宋体" w:eastAsia="宋体" w:cs="宋体"/>
                <w:color w:val="000000"/>
                <w:kern w:val="0"/>
                <w:sz w:val="24"/>
              </w:rPr>
              <w:t>满意度指标</w:t>
            </w:r>
          </w:p>
        </w:tc>
        <w:tc>
          <w:tcPr>
            <w:tcW w:w="120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eastAsia="宋体" w:cs="宋体"/>
                <w:color w:val="000000"/>
                <w:sz w:val="24"/>
              </w:rPr>
            </w:pPr>
            <w:r>
              <w:rPr>
                <w:rFonts w:hint="eastAsia" w:ascii="宋体" w:eastAsia="宋体" w:cs="宋体"/>
                <w:color w:val="000000"/>
                <w:sz w:val="24"/>
              </w:rPr>
              <w:t>受访人群满意度</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eastAsia="宋体" w:cs="宋体"/>
                <w:color w:val="000000"/>
                <w:sz w:val="24"/>
              </w:rPr>
            </w:pPr>
            <w:r>
              <w:rPr>
                <w:rFonts w:hint="eastAsia" w:ascii="宋体" w:eastAsia="宋体" w:cs="宋体"/>
                <w:color w:val="000000"/>
                <w:sz w:val="24"/>
              </w:rPr>
              <w:t>受访人群满意度</w:t>
            </w:r>
          </w:p>
        </w:tc>
        <w:tc>
          <w:tcPr>
            <w:tcW w:w="249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sz w:val="24"/>
              </w:rPr>
              <w:t>≥90%</w:t>
            </w:r>
          </w:p>
        </w:tc>
        <w:tc>
          <w:tcPr>
            <w:tcW w:w="241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sz w:val="24"/>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9" w:type="dxa"/>
          <w:trHeight w:val="1034" w:hRule="atLeast"/>
        </w:trPr>
        <w:tc>
          <w:tcPr>
            <w:tcW w:w="10080" w:type="dxa"/>
            <w:gridSpan w:val="16"/>
            <w:tcMar>
              <w:top w:w="15" w:type="dxa"/>
              <w:left w:w="15" w:type="dxa"/>
              <w:right w:w="15" w:type="dxa"/>
            </w:tcMar>
            <w:vAlign w:val="center"/>
          </w:tcPr>
          <w:p>
            <w:pPr>
              <w:widowControl/>
              <w:textAlignment w:val="center"/>
              <w:rPr>
                <w:rFonts w:hint="eastAsia" w:ascii="黑体" w:hAnsi="黑体" w:eastAsia="黑体" w:cs="宋体"/>
                <w:bCs/>
                <w:color w:val="000000"/>
                <w:kern w:val="0"/>
                <w:sz w:val="36"/>
                <w:szCs w:val="36"/>
              </w:rPr>
            </w:pPr>
          </w:p>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w:t>
            </w:r>
            <w:r>
              <w:rPr>
                <w:rFonts w:hint="eastAsia" w:ascii="宋体" w:hAnsi="宋体" w:cs="宋体"/>
                <w:color w:val="000000"/>
                <w:kern w:val="0"/>
                <w:sz w:val="36"/>
                <w:szCs w:val="36"/>
                <w:lang w:val="en-US" w:eastAsia="zh-CN"/>
              </w:rPr>
              <w:t>9</w:t>
            </w:r>
            <w:r>
              <w:rPr>
                <w:rFonts w:hint="eastAsia" w:ascii="宋体" w:hAnsi="宋体" w:cs="宋体"/>
                <w:color w:val="000000"/>
                <w:kern w:val="0"/>
                <w:sz w:val="36"/>
                <w:szCs w:val="36"/>
              </w:rPr>
              <w:t xml:space="preserve">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9" w:type="dxa"/>
          <w:trHeight w:val="276" w:hRule="atLeast"/>
        </w:trPr>
        <w:tc>
          <w:tcPr>
            <w:tcW w:w="2782"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项目名称</w:t>
            </w:r>
          </w:p>
        </w:tc>
        <w:tc>
          <w:tcPr>
            <w:tcW w:w="7298"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hAnsi="宋体" w:eastAsia="宋体" w:cs="宋体"/>
                <w:sz w:val="28"/>
                <w:szCs w:val="28"/>
              </w:rPr>
              <w:t>森林防火监控维修维护项目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9" w:type="dxa"/>
          <w:trHeight w:val="276" w:hRule="atLeast"/>
        </w:trPr>
        <w:tc>
          <w:tcPr>
            <w:tcW w:w="2782"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预算单位</w:t>
            </w:r>
          </w:p>
        </w:tc>
        <w:tc>
          <w:tcPr>
            <w:tcW w:w="7298"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9" w:type="dxa"/>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预算执行情况(万元)</w:t>
            </w:r>
          </w:p>
        </w:tc>
        <w:tc>
          <w:tcPr>
            <w:tcW w:w="239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预算数:</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sz w:val="24"/>
              </w:rPr>
              <w:t>2万元</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执行数:</w:t>
            </w:r>
          </w:p>
        </w:tc>
        <w:tc>
          <w:tcPr>
            <w:tcW w:w="251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sz w:val="24"/>
                <w:lang w:val="en-US" w:eastAsia="zh-CN"/>
              </w:rPr>
              <w:t>1</w:t>
            </w:r>
            <w:r>
              <w:rPr>
                <w:rFonts w:hint="eastAsia" w:ascii="宋体" w:eastAsia="宋体" w:cs="宋体"/>
                <w:color w:val="000000"/>
                <w:sz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9" w:type="dxa"/>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tc>
        <w:tc>
          <w:tcPr>
            <w:tcW w:w="239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其中-财政拨款:</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sz w:val="24"/>
              </w:rPr>
              <w:t>2万元</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其中-财政拨款:</w:t>
            </w:r>
          </w:p>
        </w:tc>
        <w:tc>
          <w:tcPr>
            <w:tcW w:w="251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sz w:val="24"/>
                <w:lang w:val="en-US" w:eastAsia="zh-CN"/>
              </w:rPr>
              <w:t>1</w:t>
            </w:r>
            <w:r>
              <w:rPr>
                <w:rFonts w:hint="eastAsia" w:ascii="宋体" w:eastAsia="宋体" w:cs="宋体"/>
                <w:color w:val="000000"/>
                <w:sz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9" w:type="dxa"/>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tc>
        <w:tc>
          <w:tcPr>
            <w:tcW w:w="239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其它资金:</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0</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其它资金:</w:t>
            </w:r>
          </w:p>
        </w:tc>
        <w:tc>
          <w:tcPr>
            <w:tcW w:w="251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eastAsia="宋体" w:cs="宋体"/>
                <w:color w:val="000000"/>
                <w:sz w:val="24"/>
              </w:rPr>
            </w:pPr>
            <w:r>
              <w:rPr>
                <w:rFonts w:hint="eastAsia" w:ascii="宋体" w:eastAsia="宋体" w:cs="宋体"/>
                <w:color w:val="00000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9" w:type="dxa"/>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年度目标完成情况</w:t>
            </w:r>
          </w:p>
        </w:tc>
        <w:tc>
          <w:tcPr>
            <w:tcW w:w="4784"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预期目标</w:t>
            </w:r>
          </w:p>
        </w:tc>
        <w:tc>
          <w:tcPr>
            <w:tcW w:w="4906"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9" w:type="dxa"/>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tc>
        <w:tc>
          <w:tcPr>
            <w:tcW w:w="4784"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8"/>
                <w:szCs w:val="28"/>
              </w:rPr>
            </w:pPr>
            <w:r>
              <w:rPr>
                <w:rFonts w:hint="eastAsia"/>
                <w:color w:val="333333"/>
                <w:sz w:val="28"/>
                <w:szCs w:val="28"/>
                <w:shd w:val="clear" w:color="auto" w:fill="FFFFFF"/>
              </w:rPr>
              <w:t>野外违规及项目施工用火得到控制，森林火灾明显下降，人民群众生命财产和森林资源得到有效保护。</w:t>
            </w:r>
          </w:p>
        </w:tc>
        <w:tc>
          <w:tcPr>
            <w:tcW w:w="4906"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8"/>
                <w:szCs w:val="28"/>
              </w:rPr>
            </w:pPr>
            <w:r>
              <w:rPr>
                <w:rFonts w:hint="eastAsia"/>
                <w:color w:val="333333"/>
                <w:sz w:val="28"/>
                <w:szCs w:val="28"/>
                <w:shd w:val="clear" w:color="auto" w:fill="FFFFFF"/>
              </w:rPr>
              <w:t>野外违规及项目施工用火得到控制，森林火灾明显下降，人民群众生命财产和森林资源得到有效保护。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9" w:type="dxa"/>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sz w:val="24"/>
              </w:rPr>
              <w:t>绩效指标完成情况</w:t>
            </w:r>
          </w:p>
        </w:tc>
        <w:tc>
          <w:tcPr>
            <w:tcW w:w="136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一级指标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二级指标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三级指标</w:t>
            </w:r>
          </w:p>
        </w:tc>
        <w:tc>
          <w:tcPr>
            <w:tcW w:w="249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预期指标值(包含数字及文字描述)</w:t>
            </w:r>
          </w:p>
        </w:tc>
        <w:tc>
          <w:tcPr>
            <w:tcW w:w="241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9" w:type="dxa"/>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tc>
        <w:tc>
          <w:tcPr>
            <w:tcW w:w="136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项目完成指标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宋体" w:eastAsia="宋体" w:cs="宋体"/>
                <w:color w:val="000000"/>
                <w:sz w:val="24"/>
              </w:rPr>
            </w:pPr>
            <w:r>
              <w:rPr>
                <w:rFonts w:hint="eastAsia" w:ascii="宋体" w:eastAsia="宋体" w:cs="宋体"/>
                <w:color w:val="000000"/>
                <w:sz w:val="24"/>
              </w:rPr>
              <w:t>数量指标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宋体" w:eastAsia="宋体" w:cs="宋体"/>
                <w:color w:val="000000"/>
                <w:sz w:val="24"/>
              </w:rPr>
            </w:pPr>
            <w:r>
              <w:rPr>
                <w:rFonts w:hint="eastAsia" w:ascii="宋体" w:eastAsia="宋体" w:cs="宋体"/>
                <w:color w:val="000000"/>
                <w:sz w:val="24"/>
              </w:rPr>
              <w:t>完成项目预期数量指标</w:t>
            </w:r>
          </w:p>
        </w:tc>
        <w:tc>
          <w:tcPr>
            <w:tcW w:w="249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color w:val="333333"/>
                <w:sz w:val="27"/>
                <w:szCs w:val="27"/>
                <w:shd w:val="clear" w:color="auto" w:fill="FFFFFF"/>
              </w:rPr>
              <w:t>全场林地得到保护</w:t>
            </w:r>
          </w:p>
        </w:tc>
        <w:tc>
          <w:tcPr>
            <w:tcW w:w="241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sz w:val="24"/>
              </w:rPr>
              <w:t>1.7万亩林地的保护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9" w:type="dxa"/>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tc>
        <w:tc>
          <w:tcPr>
            <w:tcW w:w="136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项目完成指标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宋体" w:eastAsia="宋体" w:cs="宋体"/>
                <w:color w:val="000000"/>
                <w:sz w:val="24"/>
              </w:rPr>
            </w:pPr>
            <w:r>
              <w:rPr>
                <w:rFonts w:hint="eastAsia" w:ascii="宋体" w:eastAsia="宋体" w:cs="宋体"/>
                <w:color w:val="000000"/>
                <w:sz w:val="24"/>
              </w:rPr>
              <w:t>质量指标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宋体" w:eastAsia="宋体" w:cs="宋体"/>
                <w:color w:val="000000"/>
                <w:sz w:val="24"/>
              </w:rPr>
            </w:pPr>
            <w:r>
              <w:rPr>
                <w:rFonts w:hint="eastAsia"/>
                <w:color w:val="333333"/>
                <w:sz w:val="27"/>
                <w:szCs w:val="27"/>
                <w:shd w:val="clear" w:color="auto" w:fill="FFFFFF"/>
              </w:rPr>
              <w:t>控制森林火灾受害率</w:t>
            </w:r>
          </w:p>
        </w:tc>
        <w:tc>
          <w:tcPr>
            <w:tcW w:w="249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color w:val="333333"/>
                <w:sz w:val="27"/>
                <w:szCs w:val="27"/>
                <w:shd w:val="clear" w:color="auto" w:fill="FFFFFF"/>
              </w:rPr>
              <w:t>1‰以内</w:t>
            </w:r>
          </w:p>
        </w:tc>
        <w:tc>
          <w:tcPr>
            <w:tcW w:w="241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color w:val="333333"/>
                <w:sz w:val="27"/>
                <w:szCs w:val="27"/>
                <w:shd w:val="clear" w:color="auto" w:fill="FFFFFF"/>
              </w:rPr>
              <w:t>1‰以内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9" w:type="dxa"/>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tc>
        <w:tc>
          <w:tcPr>
            <w:tcW w:w="136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项目完成指标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ascii="宋体" w:eastAsia="宋体" w:cs="宋体"/>
                <w:color w:val="000000"/>
                <w:sz w:val="24"/>
              </w:rPr>
              <w:t>时效指标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color w:val="333333"/>
                <w:sz w:val="27"/>
                <w:szCs w:val="27"/>
                <w:shd w:val="clear" w:color="auto" w:fill="FFFFFF"/>
              </w:rPr>
              <w:t>坚持24小时防火</w:t>
            </w:r>
          </w:p>
        </w:tc>
        <w:tc>
          <w:tcPr>
            <w:tcW w:w="249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sz w:val="24"/>
              </w:rPr>
              <w:t>201</w:t>
            </w:r>
            <w:r>
              <w:rPr>
                <w:rFonts w:hint="eastAsia" w:ascii="宋体" w:eastAsia="宋体" w:cs="宋体"/>
                <w:color w:val="000000"/>
                <w:sz w:val="24"/>
                <w:lang w:val="en-US" w:eastAsia="zh-CN"/>
              </w:rPr>
              <w:t>9</w:t>
            </w:r>
            <w:r>
              <w:rPr>
                <w:rFonts w:hint="eastAsia" w:ascii="宋体" w:eastAsia="宋体" w:cs="宋体"/>
                <w:color w:val="000000"/>
                <w:sz w:val="24"/>
              </w:rPr>
              <w:t>年全年24小时防火</w:t>
            </w:r>
          </w:p>
        </w:tc>
        <w:tc>
          <w:tcPr>
            <w:tcW w:w="241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sz w:val="24"/>
              </w:rPr>
              <w:t>201</w:t>
            </w:r>
            <w:r>
              <w:rPr>
                <w:rFonts w:hint="eastAsia" w:ascii="宋体" w:eastAsia="宋体" w:cs="宋体"/>
                <w:color w:val="000000"/>
                <w:sz w:val="24"/>
                <w:lang w:val="en-US" w:eastAsia="zh-CN"/>
              </w:rPr>
              <w:t>9</w:t>
            </w:r>
            <w:r>
              <w:rPr>
                <w:rFonts w:hint="eastAsia" w:ascii="宋体" w:eastAsia="宋体" w:cs="宋体"/>
                <w:color w:val="000000"/>
                <w:sz w:val="24"/>
              </w:rPr>
              <w:t>年全年24小时防火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9" w:type="dxa"/>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tc>
        <w:tc>
          <w:tcPr>
            <w:tcW w:w="136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效益指标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宋体" w:eastAsia="宋体" w:cs="宋体"/>
                <w:color w:val="000000"/>
                <w:sz w:val="24"/>
              </w:rPr>
            </w:pPr>
            <w:r>
              <w:rPr>
                <w:rFonts w:hint="eastAsia" w:ascii="宋体" w:eastAsia="宋体" w:cs="宋体"/>
                <w:color w:val="000000"/>
                <w:sz w:val="24"/>
              </w:rPr>
              <w:t>经济效益</w:t>
            </w:r>
          </w:p>
          <w:p>
            <w:pPr>
              <w:widowControl/>
              <w:spacing w:line="360" w:lineRule="exact"/>
              <w:jc w:val="center"/>
              <w:textAlignment w:val="center"/>
              <w:rPr>
                <w:rFonts w:ascii="宋体" w:eastAsia="宋体" w:cs="宋体"/>
                <w:color w:val="000000"/>
                <w:sz w:val="24"/>
              </w:rPr>
            </w:pPr>
            <w:r>
              <w:rPr>
                <w:rFonts w:hint="eastAsia" w:ascii="宋体" w:eastAsia="宋体" w:cs="宋体"/>
                <w:color w:val="000000"/>
                <w:sz w:val="24"/>
              </w:rPr>
              <w:t>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color w:val="333333"/>
                <w:sz w:val="27"/>
                <w:szCs w:val="27"/>
                <w:shd w:val="clear" w:color="auto" w:fill="FFFFFF"/>
              </w:rPr>
              <w:t>直接、间接经济效益</w:t>
            </w:r>
          </w:p>
        </w:tc>
        <w:tc>
          <w:tcPr>
            <w:tcW w:w="249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hAnsi="宋体" w:cs="宋体"/>
                <w:color w:val="333333"/>
                <w:kern w:val="0"/>
                <w:sz w:val="27"/>
                <w:szCs w:val="27"/>
              </w:rPr>
              <w:t>不可估量</w:t>
            </w:r>
          </w:p>
        </w:tc>
        <w:tc>
          <w:tcPr>
            <w:tcW w:w="241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hAnsi="宋体" w:cs="宋体"/>
                <w:color w:val="333333"/>
                <w:kern w:val="0"/>
                <w:sz w:val="27"/>
                <w:szCs w:val="27"/>
              </w:rPr>
              <w:t>不可估量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9" w:type="dxa"/>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tc>
        <w:tc>
          <w:tcPr>
            <w:tcW w:w="136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效益指标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宋体" w:eastAsia="宋体" w:cs="宋体"/>
                <w:color w:val="000000"/>
                <w:sz w:val="24"/>
              </w:rPr>
            </w:pPr>
            <w:r>
              <w:rPr>
                <w:rFonts w:hint="eastAsia" w:ascii="宋体" w:eastAsia="宋体" w:cs="宋体"/>
                <w:color w:val="000000"/>
                <w:sz w:val="24"/>
              </w:rPr>
              <w:t>社会效益</w:t>
            </w:r>
          </w:p>
          <w:p>
            <w:pPr>
              <w:widowControl/>
              <w:spacing w:line="360" w:lineRule="exact"/>
              <w:jc w:val="center"/>
              <w:textAlignment w:val="center"/>
              <w:rPr>
                <w:rFonts w:ascii="宋体" w:eastAsia="宋体" w:cs="宋体"/>
                <w:color w:val="000000"/>
                <w:sz w:val="24"/>
              </w:rPr>
            </w:pPr>
            <w:r>
              <w:rPr>
                <w:rFonts w:hint="eastAsia" w:ascii="宋体" w:eastAsia="宋体" w:cs="宋体"/>
                <w:color w:val="000000"/>
                <w:sz w:val="24"/>
              </w:rPr>
              <w:t>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eastAsia="宋体" w:cs="宋体"/>
                <w:color w:val="000000"/>
                <w:sz w:val="24"/>
              </w:rPr>
            </w:pPr>
            <w:r>
              <w:rPr>
                <w:rFonts w:hint="eastAsia"/>
                <w:color w:val="333333"/>
                <w:sz w:val="27"/>
                <w:szCs w:val="27"/>
                <w:shd w:val="clear" w:color="auto" w:fill="FFFFFF"/>
              </w:rPr>
              <w:t>社会综合效益</w:t>
            </w:r>
          </w:p>
        </w:tc>
        <w:tc>
          <w:tcPr>
            <w:tcW w:w="249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hAnsi="宋体" w:cs="宋体"/>
                <w:color w:val="333333"/>
                <w:kern w:val="0"/>
                <w:sz w:val="27"/>
                <w:szCs w:val="27"/>
              </w:rPr>
              <w:t>不可估量</w:t>
            </w:r>
          </w:p>
        </w:tc>
        <w:tc>
          <w:tcPr>
            <w:tcW w:w="241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hAnsi="宋体" w:cs="宋体"/>
                <w:color w:val="333333"/>
                <w:kern w:val="0"/>
                <w:sz w:val="27"/>
                <w:szCs w:val="27"/>
              </w:rPr>
              <w:t>不可估量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9" w:type="dxa"/>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tc>
        <w:tc>
          <w:tcPr>
            <w:tcW w:w="136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kern w:val="0"/>
                <w:sz w:val="24"/>
              </w:rPr>
            </w:pPr>
            <w:r>
              <w:rPr>
                <w:rFonts w:hint="eastAsia" w:ascii="宋体" w:eastAsia="宋体" w:cs="宋体"/>
                <w:color w:val="000000"/>
                <w:kern w:val="0"/>
                <w:sz w:val="24"/>
              </w:rPr>
              <w:t>效益指标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宋体" w:eastAsia="宋体" w:cs="宋体"/>
                <w:color w:val="000000"/>
                <w:sz w:val="24"/>
              </w:rPr>
            </w:pPr>
            <w:r>
              <w:rPr>
                <w:rFonts w:hint="eastAsia" w:ascii="宋体" w:eastAsia="宋体" w:cs="宋体"/>
                <w:color w:val="000000"/>
                <w:sz w:val="24"/>
              </w:rPr>
              <w:t>生态效益</w:t>
            </w:r>
          </w:p>
          <w:p>
            <w:pPr>
              <w:widowControl/>
              <w:spacing w:line="360" w:lineRule="exact"/>
              <w:jc w:val="center"/>
              <w:textAlignment w:val="center"/>
              <w:rPr>
                <w:rFonts w:ascii="宋体" w:eastAsia="宋体" w:cs="宋体"/>
                <w:color w:val="000000"/>
                <w:sz w:val="24"/>
              </w:rPr>
            </w:pPr>
            <w:r>
              <w:rPr>
                <w:rFonts w:hint="eastAsia" w:ascii="宋体" w:eastAsia="宋体" w:cs="宋体"/>
                <w:color w:val="000000"/>
                <w:sz w:val="24"/>
              </w:rPr>
              <w:t>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color w:val="333333"/>
                <w:sz w:val="27"/>
                <w:szCs w:val="27"/>
                <w:shd w:val="clear" w:color="auto" w:fill="FFFFFF"/>
              </w:rPr>
              <w:t>生态环境明显改善</w:t>
            </w:r>
          </w:p>
        </w:tc>
        <w:tc>
          <w:tcPr>
            <w:tcW w:w="249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hAnsi="宋体" w:cs="宋体"/>
                <w:color w:val="333333"/>
                <w:kern w:val="0"/>
                <w:sz w:val="27"/>
                <w:szCs w:val="27"/>
              </w:rPr>
              <w:t>不可估量</w:t>
            </w:r>
          </w:p>
        </w:tc>
        <w:tc>
          <w:tcPr>
            <w:tcW w:w="241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hAnsi="宋体" w:cs="宋体"/>
                <w:color w:val="333333"/>
                <w:kern w:val="0"/>
                <w:sz w:val="27"/>
                <w:szCs w:val="27"/>
              </w:rPr>
              <w:t>不可估量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9" w:type="dxa"/>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tc>
        <w:tc>
          <w:tcPr>
            <w:tcW w:w="136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eastAsia="宋体" w:cs="宋体"/>
                <w:color w:val="000000"/>
                <w:kern w:val="0"/>
                <w:sz w:val="24"/>
              </w:rPr>
              <w:t>满意度指标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宋体" w:eastAsia="宋体" w:cs="宋体"/>
                <w:color w:val="000000"/>
                <w:sz w:val="24"/>
              </w:rPr>
            </w:pPr>
            <w:r>
              <w:rPr>
                <w:rFonts w:hint="eastAsia" w:ascii="宋体" w:eastAsia="宋体" w:cs="宋体"/>
                <w:color w:val="000000"/>
                <w:sz w:val="24"/>
              </w:rPr>
              <w:t>可持续影响指标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color w:val="333333"/>
                <w:sz w:val="27"/>
                <w:szCs w:val="27"/>
                <w:shd w:val="clear" w:color="auto" w:fill="FFFFFF"/>
              </w:rPr>
              <w:t>生态环境得到有效保护</w:t>
            </w:r>
          </w:p>
        </w:tc>
        <w:tc>
          <w:tcPr>
            <w:tcW w:w="249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hAnsi="宋体" w:cs="宋体"/>
                <w:color w:val="333333"/>
                <w:kern w:val="0"/>
                <w:sz w:val="27"/>
                <w:szCs w:val="27"/>
              </w:rPr>
              <w:t>不可估量</w:t>
            </w:r>
          </w:p>
        </w:tc>
        <w:tc>
          <w:tcPr>
            <w:tcW w:w="241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hint="eastAsia" w:ascii="宋体" w:hAnsi="宋体" w:cs="宋体"/>
                <w:color w:val="333333"/>
                <w:kern w:val="0"/>
                <w:sz w:val="27"/>
                <w:szCs w:val="27"/>
              </w:rPr>
              <w:t>不可估量</w:t>
            </w:r>
          </w:p>
        </w:tc>
      </w:tr>
    </w:tbl>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本部门按要求对2019年部门整体支出绩效评价情况开展自评，《天曌山国有林场部门2019年部门整体支出绩效评价报告》见附件（附件1）。</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w:t>
      </w:r>
      <w:r>
        <w:rPr>
          <w:rFonts w:hint="eastAsia" w:ascii="仿宋" w:hAnsi="仿宋" w:eastAsia="仿宋" w:cs="仿宋_GB2312"/>
          <w:sz w:val="32"/>
          <w:szCs w:val="32"/>
          <w:lang w:val="en-US" w:eastAsia="zh-CN"/>
        </w:rPr>
        <w:t>重点生态功能区转移项目</w:t>
      </w:r>
      <w:r>
        <w:rPr>
          <w:rFonts w:hint="eastAsia" w:ascii="仿宋_GB2312" w:hAnsi="仿宋_GB2312" w:eastAsia="仿宋_GB2312" w:cs="仿宋_GB2312"/>
          <w:sz w:val="32"/>
          <w:szCs w:val="32"/>
        </w:rPr>
        <w:t>开展了绩效评价，《</w:t>
      </w:r>
      <w:r>
        <w:rPr>
          <w:rFonts w:hint="eastAsia" w:ascii="仿宋_GB2312" w:hAnsi="仿宋_GB2312" w:eastAsia="仿宋_GB2312" w:cs="仿宋_GB2312"/>
          <w:sz w:val="32"/>
          <w:szCs w:val="32"/>
          <w:lang w:val="en-US" w:eastAsia="zh-CN"/>
        </w:rPr>
        <w:t>国家</w:t>
      </w:r>
      <w:r>
        <w:rPr>
          <w:rFonts w:hint="eastAsia" w:ascii="仿宋" w:hAnsi="仿宋" w:eastAsia="仿宋" w:cs="仿宋_GB2312"/>
          <w:sz w:val="32"/>
          <w:szCs w:val="32"/>
          <w:lang w:val="en-US" w:eastAsia="zh-CN"/>
        </w:rPr>
        <w:t>重点生态功能区转移项目</w:t>
      </w:r>
      <w:r>
        <w:rPr>
          <w:rFonts w:hint="eastAsia" w:ascii="仿宋_GB2312" w:hAnsi="仿宋_GB2312" w:eastAsia="仿宋_GB2312" w:cs="仿宋_GB2312"/>
          <w:sz w:val="32"/>
          <w:szCs w:val="32"/>
        </w:rPr>
        <w:t>2019年绩效评价报告》见附件（附件2）。</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（非涉密部门均需公开部门整体支出评价报告，部门自行组织的绩效评价情况根据部门实际公开，若未组织项目绩效评价，则只需说明部门整体支出绩效评价情况）</w:t>
      </w:r>
    </w:p>
    <w:p>
      <w:pPr>
        <w:numPr>
          <w:ilvl w:val="0"/>
          <w:numId w:val="7"/>
        </w:numPr>
        <w:spacing w:line="600" w:lineRule="exact"/>
        <w:ind w:left="0" w:firstLine="660" w:firstLineChars="150"/>
        <w:jc w:val="center"/>
        <w:outlineLvl w:val="0"/>
        <w:rPr>
          <w:rStyle w:val="17"/>
          <w:rFonts w:ascii="黑体" w:hAnsi="黑体" w:eastAsia="黑体"/>
          <w:b w:val="0"/>
        </w:rPr>
      </w:pPr>
      <w:bookmarkStart w:id="53" w:name="_Toc15377225"/>
      <w:bookmarkStart w:id="54" w:name="_Toc15396613"/>
      <w:r>
        <w:rPr>
          <w:rFonts w:hint="eastAsia" w:ascii="黑体" w:hAnsi="黑体" w:eastAsia="黑体"/>
          <w:color w:val="000000"/>
          <w:sz w:val="44"/>
          <w:szCs w:val="44"/>
        </w:rPr>
        <w:t>名</w:t>
      </w:r>
      <w:r>
        <w:rPr>
          <w:rStyle w:val="17"/>
          <w:rFonts w:hint="eastAsia" w:ascii="黑体" w:hAnsi="黑体" w:eastAsia="黑体"/>
          <w:b w:val="0"/>
        </w:rPr>
        <w:t>词解释</w:t>
      </w:r>
      <w:bookmarkEnd w:id="53"/>
      <w:bookmarkEnd w:id="54"/>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Style w:val="15"/>
          <w:rFonts w:hint="eastAsia" w:ascii="仿宋" w:hAnsi="仿宋" w:eastAsia="仿宋"/>
          <w:b w:val="0"/>
          <w:bCs w:val="0"/>
          <w:color w:val="000000"/>
          <w:sz w:val="32"/>
          <w:szCs w:val="32"/>
          <w:highlight w:val="none"/>
          <w:lang w:val="en-US" w:eastAsia="zh-CN"/>
        </w:rPr>
        <w:t>9</w:t>
      </w:r>
      <w:r>
        <w:rPr>
          <w:rStyle w:val="15"/>
          <w:rFonts w:hint="eastAsia" w:ascii="仿宋" w:hAnsi="仿宋" w:eastAsia="仿宋"/>
          <w:b w:val="0"/>
          <w:bCs w:val="0"/>
          <w:color w:val="000000"/>
          <w:sz w:val="32"/>
          <w:szCs w:val="32"/>
          <w:highlight w:val="none"/>
        </w:rPr>
        <w:t>、社会保障和就业支出（类）抚恤（款）死亡抚恤（项）</w:t>
      </w:r>
      <w:r>
        <w:rPr>
          <w:rStyle w:val="15"/>
          <w:rFonts w:ascii="仿宋" w:hAnsi="仿宋" w:eastAsia="仿宋"/>
          <w:b w:val="0"/>
          <w:bCs w:val="0"/>
          <w:color w:val="000000"/>
          <w:sz w:val="32"/>
          <w:szCs w:val="32"/>
          <w:highlight w:val="none"/>
        </w:rPr>
        <w:t xml:space="preserve">: </w:t>
      </w:r>
      <w:r>
        <w:rPr>
          <w:rStyle w:val="15"/>
          <w:rFonts w:hint="eastAsia" w:ascii="仿宋" w:hAnsi="仿宋" w:eastAsia="仿宋"/>
          <w:b w:val="0"/>
          <w:bCs/>
          <w:color w:val="000000"/>
          <w:sz w:val="32"/>
          <w:szCs w:val="32"/>
        </w:rPr>
        <w:t>指反映按规定用于烈士和牺牲、病故人员家属的一次性和定期抚恤金以及丧葬补助费。</w:t>
      </w:r>
    </w:p>
    <w:p>
      <w:pPr>
        <w:spacing w:line="600" w:lineRule="exact"/>
        <w:ind w:firstLine="642" w:firstLineChars="200"/>
        <w:rPr>
          <w:rStyle w:val="15"/>
          <w:rFonts w:hint="eastAsia" w:ascii="仿宋" w:hAnsi="仿宋" w:eastAsia="仿宋" w:cs="仿宋"/>
          <w:bCs/>
          <w:color w:val="000000"/>
          <w:sz w:val="32"/>
          <w:szCs w:val="32"/>
          <w:lang w:eastAsia="zh-CN"/>
        </w:rPr>
      </w:pPr>
      <w:r>
        <w:rPr>
          <w:rFonts w:hint="eastAsia" w:ascii="仿宋" w:hAnsi="仿宋" w:eastAsia="仿宋"/>
          <w:b/>
          <w:color w:val="000000"/>
          <w:sz w:val="32"/>
          <w:szCs w:val="32"/>
          <w:lang w:val="en-US" w:eastAsia="zh-CN"/>
        </w:rPr>
        <w:t>10</w:t>
      </w:r>
      <w:r>
        <w:rPr>
          <w:rFonts w:hint="eastAsia" w:ascii="仿宋" w:hAnsi="仿宋" w:eastAsia="仿宋"/>
          <w:b/>
          <w:color w:val="000000"/>
          <w:sz w:val="32"/>
          <w:szCs w:val="32"/>
        </w:rPr>
        <w:t>、</w:t>
      </w:r>
      <w:r>
        <w:rPr>
          <w:rStyle w:val="15"/>
          <w:rFonts w:hint="eastAsia" w:ascii="仿宋" w:hAnsi="仿宋" w:eastAsia="仿宋"/>
          <w:bCs/>
          <w:color w:val="000000"/>
          <w:sz w:val="32"/>
          <w:szCs w:val="32"/>
        </w:rPr>
        <w:t>社会保障和就业支出（类）行政事业单位</w:t>
      </w:r>
      <w:r>
        <w:rPr>
          <w:rStyle w:val="15"/>
          <w:rFonts w:hint="eastAsia" w:ascii="仿宋" w:hAnsi="仿宋" w:eastAsia="仿宋"/>
          <w:bCs/>
          <w:color w:val="000000"/>
          <w:sz w:val="32"/>
          <w:szCs w:val="32"/>
          <w:lang w:val="en-US" w:eastAsia="zh-CN"/>
        </w:rPr>
        <w:t>离</w:t>
      </w:r>
      <w:r>
        <w:rPr>
          <w:rStyle w:val="15"/>
          <w:rFonts w:hint="eastAsia" w:ascii="仿宋" w:hAnsi="仿宋" w:eastAsia="仿宋"/>
          <w:bCs/>
          <w:color w:val="000000"/>
          <w:sz w:val="32"/>
          <w:szCs w:val="32"/>
        </w:rPr>
        <w:t>退休（款）机关事业单位基本养老保险缴费支出（项）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lang w:val="en-US" w:eastAsia="zh-CN"/>
        </w:rPr>
        <w:t>指</w:t>
      </w:r>
      <w:r>
        <w:rPr>
          <w:rStyle w:val="15"/>
          <w:rFonts w:hint="eastAsia" w:ascii="仿宋" w:hAnsi="仿宋" w:eastAsia="仿宋" w:cs="仿宋"/>
          <w:bCs/>
          <w:color w:val="000000"/>
          <w:sz w:val="32"/>
          <w:szCs w:val="32"/>
        </w:rPr>
        <w:t>反映机关事业单位实施养老保险制度由单位缴纳的基本养老保险费支出</w:t>
      </w:r>
      <w:r>
        <w:rPr>
          <w:rStyle w:val="15"/>
          <w:rFonts w:hint="eastAsia" w:ascii="仿宋" w:hAnsi="仿宋" w:eastAsia="仿宋" w:cs="仿宋"/>
          <w:bCs/>
          <w:color w:val="000000"/>
          <w:sz w:val="32"/>
          <w:szCs w:val="32"/>
          <w:lang w:eastAsia="zh-CN"/>
        </w:rPr>
        <w:t>。</w:t>
      </w:r>
    </w:p>
    <w:p>
      <w:pPr>
        <w:spacing w:line="600" w:lineRule="exact"/>
        <w:ind w:firstLine="640" w:firstLineChars="200"/>
        <w:rPr>
          <w:rStyle w:val="15"/>
          <w:rFonts w:hint="eastAsia" w:ascii="仿宋" w:hAnsi="仿宋" w:eastAsia="仿宋"/>
          <w:b w:val="0"/>
          <w:bCs/>
          <w:color w:val="000000"/>
          <w:sz w:val="32"/>
          <w:szCs w:val="32"/>
        </w:rPr>
      </w:pPr>
      <w:r>
        <w:rPr>
          <w:rStyle w:val="15"/>
          <w:rFonts w:hint="eastAsia" w:ascii="仿宋" w:hAnsi="仿宋" w:eastAsia="仿宋"/>
          <w:b w:val="0"/>
          <w:bCs/>
          <w:color w:val="000000"/>
          <w:sz w:val="32"/>
          <w:szCs w:val="32"/>
          <w:lang w:val="en-US" w:eastAsia="zh-CN"/>
        </w:rPr>
        <w:t>11、</w:t>
      </w:r>
      <w:r>
        <w:rPr>
          <w:rStyle w:val="15"/>
          <w:rFonts w:hint="eastAsia" w:ascii="仿宋" w:hAnsi="仿宋" w:eastAsia="仿宋"/>
          <w:bCs/>
          <w:color w:val="000000"/>
          <w:sz w:val="32"/>
          <w:szCs w:val="32"/>
        </w:rPr>
        <w:t>社会保障和就业支出（类）行政事业单位</w:t>
      </w:r>
      <w:r>
        <w:rPr>
          <w:rStyle w:val="15"/>
          <w:rFonts w:hint="eastAsia" w:ascii="仿宋" w:hAnsi="仿宋" w:eastAsia="仿宋"/>
          <w:bCs/>
          <w:color w:val="000000"/>
          <w:sz w:val="32"/>
          <w:szCs w:val="32"/>
          <w:lang w:val="en-US" w:eastAsia="zh-CN"/>
        </w:rPr>
        <w:t>离</w:t>
      </w:r>
      <w:r>
        <w:rPr>
          <w:rStyle w:val="15"/>
          <w:rFonts w:hint="eastAsia" w:ascii="仿宋" w:hAnsi="仿宋" w:eastAsia="仿宋"/>
          <w:bCs/>
          <w:color w:val="000000"/>
          <w:sz w:val="32"/>
          <w:szCs w:val="32"/>
        </w:rPr>
        <w:t>退休（款）机关事业单位</w:t>
      </w:r>
      <w:r>
        <w:rPr>
          <w:rStyle w:val="15"/>
          <w:rFonts w:hint="eastAsia" w:ascii="仿宋" w:hAnsi="仿宋" w:eastAsia="仿宋"/>
          <w:bCs/>
          <w:color w:val="000000"/>
          <w:sz w:val="32"/>
          <w:szCs w:val="32"/>
          <w:lang w:val="en-US" w:eastAsia="zh-CN"/>
        </w:rPr>
        <w:t>职业年金缴</w:t>
      </w:r>
      <w:r>
        <w:rPr>
          <w:rStyle w:val="15"/>
          <w:rFonts w:hint="eastAsia" w:ascii="仿宋" w:hAnsi="仿宋" w:eastAsia="仿宋"/>
          <w:bCs/>
          <w:color w:val="000000"/>
          <w:sz w:val="32"/>
          <w:szCs w:val="32"/>
        </w:rPr>
        <w:t>费支出（项）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lang w:val="en-US" w:eastAsia="zh-CN"/>
        </w:rPr>
        <w:t>指反映机关事业单位实施养老保险制度由单位实际缴纳的职业年金支出。</w:t>
      </w:r>
    </w:p>
    <w:p>
      <w:pPr>
        <w:spacing w:line="600" w:lineRule="exact"/>
        <w:ind w:firstLine="640" w:firstLineChars="200"/>
        <w:rPr>
          <w:rStyle w:val="15"/>
          <w:rFonts w:ascii="仿宋" w:hAnsi="仿宋" w:eastAsia="仿宋"/>
          <w:bCs/>
          <w:color w:val="000000"/>
          <w:sz w:val="32"/>
          <w:szCs w:val="32"/>
          <w:lang w:val="en-US" w:eastAsia="zh-CN"/>
        </w:rPr>
      </w:pPr>
      <w:r>
        <w:rPr>
          <w:rStyle w:val="15"/>
          <w:rFonts w:hint="eastAsia" w:ascii="仿宋" w:hAnsi="仿宋" w:eastAsia="仿宋"/>
          <w:b w:val="0"/>
          <w:bCs/>
          <w:color w:val="000000"/>
          <w:sz w:val="32"/>
          <w:szCs w:val="32"/>
          <w:lang w:val="en-US" w:eastAsia="zh-CN"/>
        </w:rPr>
        <w:t>12、</w:t>
      </w:r>
      <w:r>
        <w:rPr>
          <w:rStyle w:val="15"/>
          <w:rFonts w:hint="eastAsia" w:ascii="仿宋" w:hAnsi="仿宋" w:eastAsia="仿宋"/>
          <w:bCs/>
          <w:color w:val="000000"/>
          <w:sz w:val="32"/>
          <w:szCs w:val="32"/>
        </w:rPr>
        <w:t>社会保障和就业支出（类）</w:t>
      </w:r>
      <w:r>
        <w:rPr>
          <w:rStyle w:val="15"/>
          <w:rFonts w:hint="eastAsia" w:ascii="仿宋" w:hAnsi="仿宋" w:eastAsia="仿宋"/>
          <w:bCs/>
          <w:color w:val="000000"/>
          <w:sz w:val="32"/>
          <w:szCs w:val="32"/>
          <w:lang w:val="en-US" w:eastAsia="zh-CN"/>
        </w:rPr>
        <w:t>其他社会保障和就业支出</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val="en-US" w:eastAsia="zh-CN"/>
        </w:rPr>
        <w:t>其他社会保障和就业支出</w:t>
      </w:r>
      <w:r>
        <w:rPr>
          <w:rStyle w:val="15"/>
          <w:rFonts w:hint="eastAsia" w:ascii="仿宋" w:hAnsi="仿宋" w:eastAsia="仿宋"/>
          <w:bCs/>
          <w:color w:val="000000"/>
          <w:sz w:val="32"/>
          <w:szCs w:val="32"/>
        </w:rPr>
        <w:t>（项）</w:t>
      </w:r>
      <w:r>
        <w:rPr>
          <w:rStyle w:val="15"/>
          <w:rFonts w:hint="eastAsia" w:ascii="仿宋" w:hAnsi="仿宋" w:eastAsia="仿宋"/>
          <w:bCs/>
          <w:color w:val="000000"/>
          <w:sz w:val="32"/>
          <w:szCs w:val="32"/>
          <w:lang w:eastAsia="zh-CN"/>
        </w:rPr>
        <w:t>：</w:t>
      </w:r>
      <w:r>
        <w:rPr>
          <w:rStyle w:val="15"/>
          <w:rFonts w:hint="eastAsia" w:ascii="仿宋" w:hAnsi="仿宋" w:eastAsia="仿宋"/>
          <w:bCs/>
          <w:color w:val="000000"/>
          <w:sz w:val="32"/>
          <w:szCs w:val="32"/>
          <w:lang w:val="en-US" w:eastAsia="zh-CN"/>
        </w:rPr>
        <w:t>指反映除上述项目以外其他用于社会保障和就业方面的支出。</w:t>
      </w:r>
    </w:p>
    <w:p>
      <w:pPr>
        <w:spacing w:line="600" w:lineRule="exact"/>
        <w:ind w:firstLine="642" w:firstLineChars="200"/>
        <w:rPr>
          <w:rStyle w:val="15"/>
          <w:rFonts w:ascii="仿宋" w:hAnsi="仿宋" w:eastAsia="仿宋" w:cs="仿宋"/>
          <w:b w:val="0"/>
          <w:bCs/>
          <w:color w:val="000000"/>
          <w:sz w:val="32"/>
          <w:szCs w:val="32"/>
        </w:rPr>
      </w:pPr>
      <w:r>
        <w:rPr>
          <w:rStyle w:val="15"/>
          <w:rFonts w:hint="eastAsia" w:ascii="仿宋" w:hAnsi="仿宋" w:eastAsia="仿宋"/>
          <w:bCs/>
          <w:color w:val="000000"/>
          <w:sz w:val="32"/>
          <w:szCs w:val="32"/>
          <w:lang w:val="en-US" w:eastAsia="zh-CN"/>
        </w:rPr>
        <w:t>13</w:t>
      </w:r>
      <w:r>
        <w:rPr>
          <w:rStyle w:val="15"/>
          <w:rFonts w:hint="eastAsia" w:ascii="仿宋" w:hAnsi="仿宋" w:eastAsia="仿宋"/>
          <w:bCs/>
          <w:color w:val="000000"/>
          <w:sz w:val="32"/>
          <w:szCs w:val="32"/>
        </w:rPr>
        <w:t>、</w:t>
      </w:r>
      <w:r>
        <w:rPr>
          <w:rStyle w:val="15"/>
          <w:rFonts w:hint="eastAsia" w:ascii="仿宋" w:hAnsi="仿宋" w:eastAsia="仿宋"/>
          <w:bCs/>
          <w:color w:val="000000"/>
          <w:sz w:val="32"/>
          <w:szCs w:val="32"/>
          <w:lang w:val="en-US" w:eastAsia="zh-CN"/>
        </w:rPr>
        <w:t>卫生健康支出</w:t>
      </w:r>
      <w:r>
        <w:rPr>
          <w:rStyle w:val="15"/>
          <w:rFonts w:hint="eastAsia" w:ascii="仿宋" w:hAnsi="仿宋" w:eastAsia="仿宋"/>
          <w:bCs/>
          <w:color w:val="000000"/>
          <w:sz w:val="32"/>
          <w:szCs w:val="32"/>
        </w:rPr>
        <w:t>（类）行政事业单位医疗（款）事业单位医疗（项）</w:t>
      </w:r>
      <w:r>
        <w:rPr>
          <w:rStyle w:val="15"/>
          <w:rFonts w:ascii="仿宋" w:hAnsi="仿宋" w:eastAsia="仿宋"/>
          <w:bCs/>
          <w:color w:val="000000"/>
          <w:sz w:val="32"/>
          <w:szCs w:val="32"/>
        </w:rPr>
        <w:t>:</w:t>
      </w:r>
      <w:r>
        <w:rPr>
          <w:rStyle w:val="15"/>
          <w:rFonts w:hint="eastAsia" w:ascii="仿宋" w:hAnsi="仿宋" w:eastAsia="仿宋" w:cs="仿宋"/>
          <w:bCs/>
          <w:color w:val="000000"/>
          <w:sz w:val="32"/>
          <w:szCs w:val="32"/>
        </w:rPr>
        <w:t>反映财政部门集中安排的事业单位基本医疗保险缴费经费，未参加医疗保险的事业单位的公费医疗经费，按国家规定享受离休人员待遇的医疗经费。</w:t>
      </w:r>
    </w:p>
    <w:p>
      <w:pPr>
        <w:ind w:firstLine="642" w:firstLineChars="200"/>
        <w:rPr>
          <w:rStyle w:val="15"/>
          <w:rFonts w:hint="eastAsia" w:ascii="仿宋" w:hAnsi="仿宋" w:eastAsia="仿宋"/>
          <w:b w:val="0"/>
          <w:bCs/>
          <w:color w:val="000000"/>
          <w:sz w:val="32"/>
          <w:szCs w:val="32"/>
        </w:rPr>
      </w:pPr>
      <w:r>
        <w:rPr>
          <w:rStyle w:val="15"/>
          <w:rFonts w:hint="eastAsia" w:ascii="仿宋" w:hAnsi="仿宋" w:eastAsia="仿宋"/>
          <w:bCs/>
          <w:color w:val="000000"/>
          <w:sz w:val="32"/>
          <w:szCs w:val="32"/>
          <w:lang w:val="en-US" w:eastAsia="zh-CN"/>
        </w:rPr>
        <w:t>14</w:t>
      </w:r>
      <w:r>
        <w:rPr>
          <w:rStyle w:val="15"/>
          <w:rFonts w:hint="eastAsia" w:ascii="仿宋" w:hAnsi="仿宋" w:eastAsia="仿宋"/>
          <w:bCs/>
          <w:color w:val="000000"/>
          <w:sz w:val="32"/>
          <w:szCs w:val="32"/>
        </w:rPr>
        <w:t>、</w:t>
      </w:r>
      <w:r>
        <w:rPr>
          <w:rStyle w:val="15"/>
          <w:rFonts w:hint="eastAsia" w:ascii="仿宋" w:hAnsi="仿宋" w:eastAsia="仿宋"/>
          <w:b w:val="0"/>
          <w:bCs/>
          <w:color w:val="000000"/>
          <w:sz w:val="32"/>
          <w:szCs w:val="32"/>
        </w:rPr>
        <w:t>住房保障支出（类）住房改革支出（款）住房公积金（项）：</w:t>
      </w:r>
      <w:r>
        <w:rPr>
          <w:rFonts w:hint="eastAsia" w:ascii="仿宋" w:hAnsi="仿宋" w:eastAsia="仿宋" w:cs="仿宋"/>
          <w:color w:val="000000"/>
          <w:sz w:val="32"/>
          <w:szCs w:val="32"/>
        </w:rPr>
        <w:t>反映行政事业单位按人力资源和社会保障部、财政部规定的基本工资和津贴补贴以及规定比例为职工缴纳的住房公积金。</w:t>
      </w:r>
    </w:p>
    <w:p>
      <w:pPr>
        <w:ind w:firstLine="642" w:firstLineChars="200"/>
        <w:rPr>
          <w:rFonts w:ascii="仿宋_GB2312" w:hAnsi="仿宋_GB2312" w:eastAsia="仿宋"/>
          <w:color w:val="000000"/>
          <w:sz w:val="32"/>
          <w:szCs w:val="32"/>
        </w:rPr>
      </w:pPr>
      <w:r>
        <w:rPr>
          <w:rStyle w:val="15"/>
          <w:rFonts w:hint="eastAsia" w:ascii="仿宋" w:hAnsi="仿宋" w:eastAsia="仿宋"/>
          <w:bCs/>
          <w:color w:val="000000"/>
          <w:sz w:val="32"/>
          <w:szCs w:val="32"/>
          <w:lang w:val="en-US" w:eastAsia="zh-CN"/>
        </w:rPr>
        <w:t>15</w:t>
      </w:r>
      <w:r>
        <w:rPr>
          <w:rStyle w:val="15"/>
          <w:rFonts w:hint="eastAsia" w:ascii="仿宋" w:hAnsi="仿宋" w:eastAsia="仿宋"/>
          <w:bCs/>
          <w:color w:val="000000"/>
          <w:sz w:val="32"/>
          <w:szCs w:val="32"/>
        </w:rPr>
        <w:t>、农林水支出（类）林业</w:t>
      </w:r>
      <w:r>
        <w:rPr>
          <w:rStyle w:val="15"/>
          <w:rFonts w:hint="eastAsia" w:ascii="仿宋" w:hAnsi="仿宋" w:eastAsia="仿宋"/>
          <w:bCs/>
          <w:color w:val="000000"/>
          <w:sz w:val="32"/>
          <w:szCs w:val="32"/>
          <w:lang w:val="en-US" w:eastAsia="zh-CN"/>
        </w:rPr>
        <w:t>和草原</w:t>
      </w:r>
      <w:r>
        <w:rPr>
          <w:rStyle w:val="15"/>
          <w:rFonts w:hint="eastAsia" w:ascii="仿宋" w:hAnsi="仿宋" w:eastAsia="仿宋"/>
          <w:bCs/>
          <w:color w:val="000000"/>
          <w:sz w:val="32"/>
          <w:szCs w:val="32"/>
        </w:rPr>
        <w:t>（款）行政运行（项）</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反映行政单位（包括实行公务员管理的事业单位）的基本支出。</w:t>
      </w:r>
    </w:p>
    <w:p>
      <w:pPr>
        <w:ind w:firstLine="642" w:firstLineChars="200"/>
        <w:rPr>
          <w:rFonts w:ascii="仿宋_GB2312" w:eastAsia="仿宋_GB2312"/>
          <w:color w:val="000000"/>
          <w:sz w:val="32"/>
          <w:szCs w:val="32"/>
        </w:rPr>
      </w:pPr>
      <w:r>
        <w:rPr>
          <w:rStyle w:val="15"/>
          <w:rFonts w:hint="eastAsia" w:ascii="仿宋" w:hAnsi="仿宋" w:eastAsia="仿宋"/>
          <w:bCs/>
          <w:color w:val="000000"/>
          <w:sz w:val="32"/>
          <w:szCs w:val="32"/>
          <w:lang w:val="en-US" w:eastAsia="zh-CN"/>
        </w:rPr>
        <w:t>16</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农林水支出（类）林业</w:t>
      </w:r>
      <w:r>
        <w:rPr>
          <w:rStyle w:val="15"/>
          <w:rFonts w:hint="eastAsia" w:ascii="仿宋" w:hAnsi="仿宋" w:eastAsia="仿宋"/>
          <w:bCs/>
          <w:color w:val="000000"/>
          <w:sz w:val="32"/>
          <w:szCs w:val="32"/>
          <w:lang w:val="en-US" w:eastAsia="zh-CN"/>
        </w:rPr>
        <w:t>和草原</w:t>
      </w:r>
      <w:r>
        <w:rPr>
          <w:rStyle w:val="15"/>
          <w:rFonts w:hint="eastAsia" w:ascii="仿宋" w:hAnsi="仿宋" w:eastAsia="仿宋"/>
          <w:bCs/>
          <w:color w:val="000000"/>
          <w:sz w:val="32"/>
          <w:szCs w:val="32"/>
        </w:rPr>
        <w:t>（款）森林资源管理（项）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Cs/>
          <w:color w:val="000000"/>
          <w:sz w:val="32"/>
          <w:szCs w:val="32"/>
        </w:rPr>
        <w:t>指反映森林经营、利用、森林资源资产、林地保护及权属调处等森林资源管理方面的支出。</w:t>
      </w:r>
    </w:p>
    <w:p>
      <w:pPr>
        <w:spacing w:line="600" w:lineRule="exact"/>
        <w:ind w:firstLine="642" w:firstLineChars="200"/>
        <w:rPr>
          <w:rStyle w:val="15"/>
          <w:rFonts w:ascii="仿宋" w:hAnsi="仿宋" w:eastAsia="仿宋"/>
          <w:bCs/>
          <w:color w:val="000000"/>
          <w:sz w:val="32"/>
          <w:szCs w:val="32"/>
        </w:rPr>
      </w:pPr>
      <w:r>
        <w:rPr>
          <w:rStyle w:val="15"/>
          <w:rFonts w:hint="eastAsia" w:ascii="仿宋" w:hAnsi="仿宋" w:eastAsia="仿宋"/>
          <w:bCs/>
          <w:color w:val="000000"/>
          <w:sz w:val="32"/>
          <w:szCs w:val="32"/>
          <w:lang w:val="en-US" w:eastAsia="zh-CN"/>
        </w:rPr>
        <w:t>17</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农林水支出（类）林业</w:t>
      </w:r>
      <w:r>
        <w:rPr>
          <w:rStyle w:val="15"/>
          <w:rFonts w:hint="eastAsia" w:ascii="仿宋" w:hAnsi="仿宋" w:eastAsia="仿宋"/>
          <w:bCs/>
          <w:color w:val="000000"/>
          <w:sz w:val="32"/>
          <w:szCs w:val="32"/>
          <w:lang w:val="en-US" w:eastAsia="zh-CN"/>
        </w:rPr>
        <w:t>和草原</w:t>
      </w:r>
      <w:r>
        <w:rPr>
          <w:rStyle w:val="15"/>
          <w:rFonts w:hint="eastAsia" w:ascii="仿宋" w:hAnsi="仿宋" w:eastAsia="仿宋"/>
          <w:bCs/>
          <w:color w:val="000000"/>
          <w:sz w:val="32"/>
          <w:szCs w:val="32"/>
        </w:rPr>
        <w:t>（款）动植物保护（项）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Cs/>
          <w:color w:val="000000"/>
          <w:sz w:val="32"/>
          <w:szCs w:val="32"/>
        </w:rPr>
        <w:t>反映动植物资源及其生存环境调查、监测、动植物资源保护管理、野外放归、巡护，濒危野生动物拯救、繁育，野生动物疫源疫病监测防控等方面的支出。</w:t>
      </w:r>
    </w:p>
    <w:p>
      <w:pPr>
        <w:ind w:firstLine="642"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lang w:val="en-US" w:eastAsia="zh-CN"/>
        </w:rPr>
        <w:t>18</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农林水支出（类）林业</w:t>
      </w:r>
      <w:r>
        <w:rPr>
          <w:rStyle w:val="15"/>
          <w:rFonts w:hint="eastAsia" w:ascii="仿宋" w:hAnsi="仿宋" w:eastAsia="仿宋"/>
          <w:bCs/>
          <w:color w:val="000000"/>
          <w:sz w:val="32"/>
          <w:szCs w:val="32"/>
          <w:lang w:val="en-US" w:eastAsia="zh-CN"/>
        </w:rPr>
        <w:t>和草原</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val="en-US" w:eastAsia="zh-CN"/>
        </w:rPr>
        <w:t>防灾减灾</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Cs/>
          <w:color w:val="000000"/>
          <w:sz w:val="32"/>
          <w:szCs w:val="32"/>
        </w:rPr>
        <w:t>指反映为预防和扑救、救治森林为灾、林业有害生物灾害、自然水旱灾害等发生的支出。</w:t>
      </w:r>
    </w:p>
    <w:p>
      <w:pPr>
        <w:ind w:firstLine="642" w:firstLineChars="200"/>
        <w:rPr>
          <w:rFonts w:ascii="仿宋_GB2312" w:hAnsi="仿宋_GB2312" w:eastAsia="仿宋"/>
          <w:color w:val="000000"/>
          <w:sz w:val="32"/>
          <w:szCs w:val="32"/>
        </w:rPr>
      </w:pPr>
      <w:r>
        <w:rPr>
          <w:rStyle w:val="15"/>
          <w:rFonts w:hint="eastAsia" w:ascii="仿宋" w:hAnsi="仿宋" w:eastAsia="仿宋"/>
          <w:bCs/>
          <w:color w:val="000000"/>
          <w:sz w:val="32"/>
          <w:szCs w:val="32"/>
          <w:lang w:val="en-US" w:eastAsia="zh-CN"/>
        </w:rPr>
        <w:t>19</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农林水支出（类）</w:t>
      </w:r>
      <w:r>
        <w:rPr>
          <w:rStyle w:val="15"/>
          <w:rFonts w:hint="eastAsia" w:ascii="仿宋" w:hAnsi="仿宋" w:eastAsia="仿宋"/>
          <w:bCs/>
          <w:color w:val="000000"/>
          <w:sz w:val="32"/>
          <w:szCs w:val="32"/>
          <w:lang w:val="en-US" w:eastAsia="zh-CN"/>
        </w:rPr>
        <w:t>扶贫</w:t>
      </w:r>
      <w:r>
        <w:rPr>
          <w:rStyle w:val="15"/>
          <w:rFonts w:hint="eastAsia" w:ascii="仿宋" w:hAnsi="仿宋" w:eastAsia="仿宋"/>
          <w:bCs/>
          <w:color w:val="000000"/>
          <w:sz w:val="32"/>
          <w:szCs w:val="32"/>
        </w:rPr>
        <w:t>（款）其他扶贫支出（项）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Cs/>
          <w:color w:val="000000"/>
          <w:sz w:val="32"/>
          <w:szCs w:val="32"/>
        </w:rPr>
        <w:t>反映除上述项目以外其他用于扶贫方面的支出。</w:t>
      </w:r>
    </w:p>
    <w:p>
      <w:pPr>
        <w:spacing w:line="600" w:lineRule="exact"/>
        <w:ind w:firstLine="642" w:firstLineChars="200"/>
        <w:rPr>
          <w:rStyle w:val="15"/>
          <w:rFonts w:hint="eastAsia" w:ascii="仿宋" w:hAnsi="仿宋" w:eastAsia="仿宋"/>
          <w:bCs/>
          <w:color w:val="000000"/>
          <w:sz w:val="32"/>
          <w:szCs w:val="32"/>
        </w:rPr>
      </w:pPr>
      <w:r>
        <w:rPr>
          <w:rStyle w:val="15"/>
          <w:rFonts w:hint="eastAsia" w:ascii="仿宋" w:hAnsi="仿宋" w:eastAsia="仿宋"/>
          <w:bCs/>
          <w:color w:val="000000"/>
          <w:sz w:val="32"/>
          <w:szCs w:val="32"/>
          <w:lang w:val="en-US" w:eastAsia="zh-CN"/>
        </w:rPr>
        <w:t>20.节能环保支出（类）自然生态保护（款）生态保护：</w:t>
      </w:r>
      <w:r>
        <w:rPr>
          <w:rFonts w:hint="eastAsia" w:ascii="仿宋" w:hAnsi="仿宋" w:eastAsia="仿宋" w:cs="仿宋"/>
          <w:color w:val="000000"/>
          <w:sz w:val="30"/>
          <w:szCs w:val="30"/>
        </w:rPr>
        <w:t>反映用于生态功能保护区、生态示范区、生态省（市、县</w:t>
      </w:r>
      <w:r>
        <w:rPr>
          <w:rFonts w:ascii="仿宋" w:hAnsi="仿宋" w:eastAsia="仿宋" w:cs="仿宋"/>
          <w:color w:val="000000"/>
          <w:sz w:val="30"/>
          <w:szCs w:val="30"/>
        </w:rPr>
        <w:t>）管理及能力建设、日常管护、宣教、试点示范等支出，生态修复支出，资源开发生态监管等支出。</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lang w:val="en-US" w:eastAsia="zh-CN"/>
        </w:rPr>
        <w:t>1</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lang w:val="en-US" w:eastAsia="zh-CN"/>
        </w:rPr>
        <w:t>2</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lang w:val="en-US" w:eastAsia="zh-CN"/>
        </w:rPr>
        <w:t>3</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24</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25</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17"/>
          <w:rFonts w:ascii="黑体" w:hAnsi="黑体" w:eastAsia="黑体"/>
          <w:b w:val="0"/>
        </w:rPr>
      </w:pPr>
      <w:bookmarkStart w:id="55" w:name="_Toc15377226"/>
      <w:r>
        <w:rPr>
          <w:rFonts w:ascii="宋体"/>
          <w:b/>
          <w:color w:val="000000"/>
          <w:sz w:val="44"/>
          <w:szCs w:val="44"/>
        </w:rPr>
        <w:br w:type="page"/>
      </w:r>
      <w:bookmarkStart w:id="56" w:name="_Toc15396614"/>
      <w:r>
        <w:rPr>
          <w:rFonts w:hint="eastAsia" w:ascii="黑体" w:hAnsi="黑体" w:eastAsia="黑体"/>
          <w:color w:val="000000"/>
          <w:sz w:val="44"/>
          <w:szCs w:val="44"/>
        </w:rPr>
        <w:t>第</w:t>
      </w:r>
      <w:r>
        <w:rPr>
          <w:rStyle w:val="17"/>
          <w:rFonts w:hint="eastAsia" w:ascii="黑体" w:hAnsi="黑体" w:eastAsia="黑体"/>
          <w:b w:val="0"/>
        </w:rPr>
        <w:t>四部分 附件</w:t>
      </w:r>
      <w:bookmarkEnd w:id="56"/>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val="en-US" w:eastAsia="zh-CN"/>
        </w:rPr>
        <w:t>广元市利州区天曌山国有林场</w:t>
      </w:r>
      <w:r>
        <w:rPr>
          <w:rFonts w:hint="eastAsia" w:ascii="方正小标宋简体" w:hAnsi="宋体" w:eastAsia="方正小标宋简体"/>
          <w:color w:val="000000"/>
          <w:kern w:val="0"/>
          <w:sz w:val="40"/>
          <w:szCs w:val="44"/>
          <w:lang w:val="zh-CN"/>
        </w:rPr>
        <w:t>部门</w:t>
      </w: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widowControl/>
        <w:spacing w:line="580" w:lineRule="exact"/>
        <w:ind w:firstLine="640" w:firstLineChars="200"/>
        <w:contextualSpacing/>
        <w:jc w:val="center"/>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（报告范围包括机关和下属单位）</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r>
        <w:rPr>
          <w:rFonts w:hint="eastAsia" w:ascii="仿宋" w:hAnsi="仿宋" w:eastAsia="仿宋" w:cs="仿宋_GB2312"/>
          <w:sz w:val="32"/>
          <w:szCs w:val="32"/>
        </w:rPr>
        <w:t>本单位属利区全额拨款的公益一类事业单位，设办公室、财</w:t>
      </w:r>
      <w:r>
        <w:rPr>
          <w:rFonts w:hint="eastAsia" w:ascii="仿宋" w:hAnsi="仿宋" w:eastAsia="仿宋" w:cs="仿宋_GB2312"/>
          <w:sz w:val="32"/>
          <w:szCs w:val="32"/>
          <w:lang w:val="en-US" w:eastAsia="zh-CN"/>
        </w:rPr>
        <w:t>务</w:t>
      </w:r>
      <w:r>
        <w:rPr>
          <w:rFonts w:hint="eastAsia" w:ascii="仿宋" w:hAnsi="仿宋" w:eastAsia="仿宋" w:cs="仿宋_GB2312"/>
          <w:sz w:val="32"/>
          <w:szCs w:val="32"/>
        </w:rPr>
        <w:t>股、</w:t>
      </w:r>
      <w:r>
        <w:rPr>
          <w:rFonts w:hint="eastAsia" w:ascii="仿宋" w:hAnsi="仿宋" w:eastAsia="仿宋" w:cs="仿宋_GB2312"/>
          <w:sz w:val="32"/>
          <w:szCs w:val="32"/>
          <w:lang w:val="en-US" w:eastAsia="zh-CN"/>
        </w:rPr>
        <w:t>产业发展股、资源管理</w:t>
      </w:r>
      <w:r>
        <w:rPr>
          <w:rFonts w:hint="eastAsia" w:ascii="仿宋" w:hAnsi="仿宋" w:eastAsia="仿宋" w:cs="仿宋_GB2312"/>
          <w:sz w:val="32"/>
          <w:szCs w:val="32"/>
        </w:rPr>
        <w:t>股、</w:t>
      </w:r>
      <w:r>
        <w:rPr>
          <w:rFonts w:hint="eastAsia" w:ascii="仿宋" w:hAnsi="仿宋" w:eastAsia="仿宋" w:cs="仿宋_GB2312"/>
          <w:sz w:val="32"/>
          <w:szCs w:val="32"/>
          <w:lang w:val="en-US" w:eastAsia="zh-CN"/>
        </w:rPr>
        <w:t>安全生产管理股</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旅游股、市场营销股、规划建设股8</w:t>
      </w:r>
      <w:r>
        <w:rPr>
          <w:rFonts w:hint="eastAsia" w:ascii="仿宋" w:hAnsi="仿宋" w:eastAsia="仿宋" w:cs="仿宋_GB2312"/>
          <w:sz w:val="32"/>
          <w:szCs w:val="32"/>
        </w:rPr>
        <w:t>个内设机构。</w:t>
      </w:r>
    </w:p>
    <w:p>
      <w:pPr>
        <w:spacing w:line="580" w:lineRule="exact"/>
        <w:ind w:firstLine="640" w:firstLineChars="200"/>
        <w:rPr>
          <w:rFonts w:ascii="仿宋_GB2312" w:eastAsia="仿宋_GB2312"/>
          <w:sz w:val="32"/>
          <w:szCs w:val="32"/>
        </w:rPr>
      </w:pPr>
      <w:r>
        <w:rPr>
          <w:rFonts w:ascii="仿宋" w:hAnsi="仿宋" w:eastAsia="仿宋" w:cs="仿宋_GB2312"/>
          <w:sz w:val="32"/>
          <w:szCs w:val="32"/>
        </w:rPr>
        <w:t>（二）机构职能。</w:t>
      </w:r>
      <w:r>
        <w:rPr>
          <w:rFonts w:hint="eastAsia" w:ascii="黑体" w:hAnsi="黑体" w:eastAsia="黑体" w:cs="黑体"/>
          <w:sz w:val="32"/>
          <w:szCs w:val="32"/>
        </w:rPr>
        <w:t>主要以植树造林、森林抚育、森林资源保护、维护森林生态安全为重要职责任务。是</w:t>
      </w:r>
      <w:r>
        <w:rPr>
          <w:rFonts w:hint="eastAsia" w:ascii="黑体" w:hAnsi="黑体" w:eastAsia="黑体" w:cs="黑体"/>
          <w:iCs/>
          <w:sz w:val="30"/>
          <w:szCs w:val="30"/>
        </w:rPr>
        <w:t>全额财政</w:t>
      </w:r>
      <w:r>
        <w:rPr>
          <w:rFonts w:hint="eastAsia" w:ascii="黑体" w:hAnsi="黑体" w:eastAsia="黑体" w:cs="黑体"/>
          <w:sz w:val="32"/>
          <w:szCs w:val="32"/>
        </w:rPr>
        <w:t>公益一类事业单位。现森林经营总面积1.9万亩，活立木蓄积量26万余立方米，森林覆盖率达96.5%以上。</w:t>
      </w:r>
    </w:p>
    <w:p>
      <w:pPr>
        <w:spacing w:line="580" w:lineRule="exact"/>
        <w:ind w:firstLine="640" w:firstLineChars="200"/>
        <w:rPr>
          <w:rFonts w:ascii="仿宋_GB2312" w:hAnsi="宋体" w:eastAsia="仿宋_GB2312" w:cs="宋体"/>
          <w:color w:val="000000"/>
          <w:kern w:val="0"/>
          <w:sz w:val="32"/>
          <w:szCs w:val="32"/>
          <w:shd w:val="clear" w:color="auto" w:fill="FFFFFF"/>
          <w:lang w:val="zh-CN"/>
        </w:rPr>
      </w:pPr>
      <w:r>
        <w:rPr>
          <w:rFonts w:ascii="仿宋" w:hAnsi="仿宋" w:eastAsia="仿宋" w:cs="仿宋_GB2312"/>
          <w:sz w:val="32"/>
          <w:szCs w:val="32"/>
        </w:rPr>
        <w:t>（三）人员概况。</w:t>
      </w:r>
      <w:r>
        <w:rPr>
          <w:rFonts w:hint="eastAsia" w:ascii="仿宋" w:hAnsi="仿宋" w:eastAsia="仿宋" w:cs="仿宋_GB2312"/>
          <w:sz w:val="32"/>
          <w:szCs w:val="32"/>
        </w:rPr>
        <w:t>编制人数</w:t>
      </w:r>
      <w:r>
        <w:rPr>
          <w:rFonts w:hint="eastAsia" w:ascii="仿宋" w:hAnsi="仿宋" w:eastAsia="仿宋" w:cs="仿宋_GB2312"/>
          <w:sz w:val="32"/>
          <w:szCs w:val="32"/>
          <w:lang w:val="en-US" w:eastAsia="zh-CN"/>
        </w:rPr>
        <w:t>48</w:t>
      </w:r>
      <w:r>
        <w:rPr>
          <w:rFonts w:hint="eastAsia" w:ascii="仿宋" w:hAnsi="仿宋" w:eastAsia="仿宋" w:cs="仿宋_GB2312"/>
          <w:sz w:val="32"/>
          <w:szCs w:val="32"/>
        </w:rPr>
        <w:t>人，年末实有人数</w:t>
      </w:r>
      <w:r>
        <w:rPr>
          <w:rFonts w:hint="eastAsia" w:ascii="仿宋" w:hAnsi="仿宋" w:eastAsia="仿宋" w:cs="仿宋_GB2312"/>
          <w:sz w:val="32"/>
          <w:szCs w:val="32"/>
          <w:lang w:val="en-US" w:eastAsia="zh-CN"/>
        </w:rPr>
        <w:t>45</w:t>
      </w:r>
      <w:r>
        <w:rPr>
          <w:rFonts w:hint="eastAsia" w:ascii="仿宋" w:hAnsi="仿宋" w:eastAsia="仿宋" w:cs="仿宋_GB2312"/>
          <w:sz w:val="32"/>
          <w:szCs w:val="32"/>
        </w:rPr>
        <w:t>人，全额拨款事业人员</w:t>
      </w:r>
      <w:r>
        <w:rPr>
          <w:rFonts w:hint="eastAsia" w:ascii="仿宋" w:hAnsi="仿宋" w:eastAsia="仿宋" w:cs="仿宋_GB2312"/>
          <w:sz w:val="32"/>
          <w:szCs w:val="32"/>
          <w:lang w:val="en-US" w:eastAsia="zh-CN"/>
        </w:rPr>
        <w:t>45</w:t>
      </w:r>
      <w:r>
        <w:rPr>
          <w:rFonts w:hint="eastAsia" w:ascii="仿宋" w:hAnsi="仿宋" w:eastAsia="仿宋" w:cs="仿宋_GB2312"/>
          <w:sz w:val="32"/>
          <w:szCs w:val="32"/>
        </w:rPr>
        <w:t>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spacing w:line="580" w:lineRule="exact"/>
        <w:ind w:firstLine="640" w:firstLineChars="200"/>
        <w:rPr>
          <w:rFonts w:hint="eastAsia" w:ascii="仿宋_GB2312" w:hAnsi="宋体" w:eastAsia="仿宋_GB2312" w:cs="宋体"/>
          <w:color w:val="000000"/>
          <w:kern w:val="0"/>
          <w:sz w:val="32"/>
          <w:szCs w:val="32"/>
          <w:shd w:val="clear" w:color="auto" w:fill="FFFFFF"/>
          <w:lang w:val="zh-CN"/>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1012.06</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1012.06</w:t>
      </w:r>
      <w:r>
        <w:rPr>
          <w:rFonts w:hint="eastAsia" w:ascii="仿宋" w:hAnsi="仿宋" w:eastAsia="仿宋"/>
          <w:color w:val="000000"/>
          <w:sz w:val="32"/>
          <w:szCs w:val="32"/>
        </w:rPr>
        <w:t>万元，占100</w:t>
      </w:r>
      <w:r>
        <w:rPr>
          <w:rFonts w:ascii="仿宋" w:hAnsi="仿宋" w:eastAsia="仿宋"/>
          <w:color w:val="000000"/>
          <w:sz w:val="32"/>
          <w:szCs w:val="32"/>
        </w:rPr>
        <w:t>%</w:t>
      </w:r>
    </w:p>
    <w:p>
      <w:pPr>
        <w:spacing w:line="580" w:lineRule="exact"/>
        <w:ind w:firstLine="640" w:firstLineChars="200"/>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（二）部门财政资金支出情况。</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1037.34</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641.62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61.85</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395.72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38.15</w:t>
      </w:r>
      <w:r>
        <w:rPr>
          <w:rFonts w:ascii="仿宋" w:hAnsi="仿宋" w:eastAsia="仿宋"/>
          <w:color w:val="000000"/>
          <w:sz w:val="32"/>
          <w:szCs w:val="32"/>
        </w:rPr>
        <w:t>%</w:t>
      </w:r>
      <w:r>
        <w:rPr>
          <w:rFonts w:hint="eastAsia" w:ascii="仿宋" w:hAnsi="仿宋" w:eastAsia="仿宋"/>
          <w:color w:val="000000"/>
          <w:sz w:val="32"/>
          <w:szCs w:val="32"/>
        </w:rPr>
        <w:t>；</w:t>
      </w:r>
    </w:p>
    <w:p>
      <w:pPr>
        <w:widowControl/>
        <w:adjustRightInd w:val="0"/>
        <w:snapToGrid w:val="0"/>
        <w:spacing w:line="580" w:lineRule="exact"/>
        <w:ind w:firstLine="640" w:firstLineChars="200"/>
        <w:contextualSpacing/>
        <w:jc w:val="left"/>
        <w:rPr>
          <w:rFonts w:hint="eastAsia"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pStyle w:val="27"/>
        <w:spacing w:before="156" w:beforeLines="0" w:after="156" w:afterLines="0"/>
        <w:rPr>
          <w:rFonts w:hint="eastAsia" w:ascii="仿宋" w:hAnsi="仿宋" w:eastAsia="仿宋" w:cs="仿宋_GB2312"/>
          <w:color w:val="000000"/>
          <w:sz w:val="30"/>
          <w:szCs w:val="30"/>
        </w:rPr>
      </w:pPr>
      <w:r>
        <w:rPr>
          <w:rFonts w:ascii="仿宋" w:hAnsi="仿宋" w:eastAsia="仿宋"/>
          <w:sz w:val="30"/>
          <w:szCs w:val="30"/>
        </w:rPr>
        <w:t>我场积极开展预算绩效管理工作</w:t>
      </w:r>
      <w:r>
        <w:rPr>
          <w:rFonts w:hint="eastAsia" w:ascii="仿宋" w:hAnsi="仿宋" w:eastAsia="仿宋"/>
          <w:color w:val="474747"/>
          <w:sz w:val="30"/>
          <w:szCs w:val="30"/>
          <w:shd w:val="clear" w:color="auto" w:fill="FFFFFF"/>
        </w:rPr>
        <w:t>，</w:t>
      </w:r>
      <w:r>
        <w:rPr>
          <w:rFonts w:ascii="仿宋" w:hAnsi="仿宋" w:eastAsia="仿宋"/>
          <w:sz w:val="30"/>
          <w:szCs w:val="30"/>
        </w:rPr>
        <w:t>认真落实资金的动态管理制度，对整体财政资金和项目资金均进行了预算绩效评价。一年来</w:t>
      </w:r>
      <w:r>
        <w:rPr>
          <w:rFonts w:hint="eastAsia" w:ascii="仿宋" w:hAnsi="仿宋" w:eastAsia="仿宋"/>
          <w:color w:val="474747"/>
          <w:sz w:val="30"/>
          <w:szCs w:val="30"/>
          <w:shd w:val="clear" w:color="auto" w:fill="FFFFFF"/>
        </w:rPr>
        <w:t>，</w:t>
      </w:r>
      <w:r>
        <w:rPr>
          <w:rFonts w:ascii="仿宋" w:hAnsi="仿宋" w:eastAsia="仿宋"/>
          <w:sz w:val="30"/>
          <w:szCs w:val="30"/>
        </w:rPr>
        <w:t>我场狠抓重点工作，较好的完成了各项目标任务</w:t>
      </w:r>
      <w:r>
        <w:rPr>
          <w:rFonts w:hint="eastAsia" w:ascii="仿宋" w:hAnsi="仿宋" w:eastAsia="仿宋"/>
          <w:color w:val="474747"/>
          <w:sz w:val="30"/>
          <w:szCs w:val="30"/>
          <w:shd w:val="clear" w:color="auto" w:fill="FFFFFF"/>
        </w:rPr>
        <w:t>，</w:t>
      </w:r>
      <w:r>
        <w:rPr>
          <w:rFonts w:ascii="仿宋" w:hAnsi="仿宋" w:eastAsia="仿宋"/>
          <w:sz w:val="30"/>
          <w:szCs w:val="30"/>
        </w:rPr>
        <w:t>取得了良好的社会效益，公众满意度高</w:t>
      </w:r>
      <w:r>
        <w:rPr>
          <w:rFonts w:hint="eastAsia" w:ascii="仿宋" w:hAnsi="仿宋" w:eastAsia="仿宋"/>
          <w:color w:val="474747"/>
          <w:sz w:val="30"/>
          <w:szCs w:val="30"/>
          <w:shd w:val="clear" w:color="auto" w:fill="FFFFFF"/>
        </w:rPr>
        <w:t>。</w:t>
      </w:r>
      <w:r>
        <w:rPr>
          <w:rFonts w:ascii="仿宋" w:hAnsi="仿宋" w:eastAsia="仿宋"/>
          <w:sz w:val="30"/>
          <w:szCs w:val="30"/>
        </w:rPr>
        <w:t>预算执行方面，支出总额控制在预算总额以内</w:t>
      </w:r>
      <w:r>
        <w:rPr>
          <w:rFonts w:hint="eastAsia" w:ascii="仿宋" w:hAnsi="仿宋" w:eastAsia="仿宋"/>
          <w:color w:val="474747"/>
          <w:sz w:val="30"/>
          <w:szCs w:val="30"/>
          <w:shd w:val="clear" w:color="auto" w:fill="FFFFFF"/>
        </w:rPr>
        <w:t>；</w:t>
      </w:r>
      <w:r>
        <w:rPr>
          <w:rFonts w:ascii="仿宋" w:hAnsi="仿宋" w:eastAsia="仿宋"/>
          <w:sz w:val="30"/>
          <w:szCs w:val="30"/>
        </w:rPr>
        <w:t>不存在截留或滞留专项资金情况。</w:t>
      </w:r>
      <w:r>
        <w:rPr>
          <w:rFonts w:hint="eastAsia" w:ascii="仿宋" w:hAnsi="仿宋" w:eastAsia="仿宋" w:cs="仿宋_GB2312"/>
          <w:color w:val="000000"/>
          <w:sz w:val="30"/>
          <w:szCs w:val="30"/>
        </w:rPr>
        <w:t>全年预算完成率</w:t>
      </w:r>
      <w:r>
        <w:rPr>
          <w:rFonts w:hint="eastAsia" w:ascii="仿宋" w:hAnsi="仿宋" w:eastAsia="仿宋" w:cs="仿宋_GB2312"/>
          <w:color w:val="000000"/>
          <w:sz w:val="30"/>
          <w:szCs w:val="30"/>
          <w:lang w:val="en-US" w:eastAsia="zh-CN"/>
        </w:rPr>
        <w:t>100</w:t>
      </w:r>
      <w:r>
        <w:rPr>
          <w:rFonts w:hint="eastAsia" w:ascii="仿宋" w:hAnsi="仿宋" w:eastAsia="仿宋" w:cs="仿宋_GB2312"/>
          <w:color w:val="000000"/>
          <w:sz w:val="30"/>
          <w:szCs w:val="30"/>
        </w:rPr>
        <w:t>%，全年无违规违纪现象发生。</w:t>
      </w:r>
    </w:p>
    <w:p>
      <w:pPr>
        <w:pStyle w:val="27"/>
        <w:spacing w:before="156" w:beforeLines="0" w:after="156" w:afterLines="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00" w:firstLineChars="200"/>
        <w:rPr>
          <w:rFonts w:ascii="仿宋" w:hAnsi="仿宋" w:eastAsia="仿宋" w:cs="仿宋_GB2312"/>
          <w:sz w:val="32"/>
          <w:szCs w:val="32"/>
        </w:rPr>
      </w:pPr>
      <w:r>
        <w:rPr>
          <w:rFonts w:hint="eastAsia" w:ascii="仿宋" w:hAnsi="仿宋" w:eastAsia="仿宋" w:cs="仿宋_GB2312"/>
          <w:sz w:val="30"/>
          <w:szCs w:val="30"/>
        </w:rPr>
        <w:t>在项目管理实施时确定由项目实施股室为首要责任，先制定项目实施的工作计划，根据项目进程及验收的实际完成量，按合同约定进行资金拨付使用。未达到目标或者工作执行不到位的，暂停资金拨付，待整改后再进行拨付使用。全年无违规违纪现象发生。</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00" w:firstLineChars="200"/>
        <w:rPr>
          <w:rFonts w:ascii="仿宋" w:hAnsi="仿宋" w:eastAsia="仿宋" w:cs="黑体"/>
          <w:sz w:val="30"/>
          <w:szCs w:val="30"/>
        </w:rPr>
      </w:pPr>
      <w:r>
        <w:rPr>
          <w:rFonts w:hint="eastAsia" w:ascii="仿宋" w:hAnsi="仿宋" w:eastAsia="仿宋" w:cs="仿宋_GB2312"/>
          <w:sz w:val="30"/>
          <w:szCs w:val="30"/>
        </w:rPr>
        <w:t>我单位整体预算管理情况良好，各种资金严格按照资金用途来使用。</w:t>
      </w:r>
      <w:r>
        <w:rPr>
          <w:rFonts w:hint="eastAsia" w:ascii="仿宋" w:hAnsi="仿宋" w:eastAsia="仿宋"/>
          <w:sz w:val="30"/>
          <w:szCs w:val="30"/>
        </w:rPr>
        <w:t>根据单位实际情况，制定了相应的项目和资金管理办法，强化项目资金管理，认真做到专款专用，有效提高了资金的使用效益率。未出现截留、挪用、套取资金等违规违纪行为，保障了专项资金使用管理的规范性、安全性和有效。</w:t>
      </w:r>
    </w:p>
    <w:p>
      <w:pPr>
        <w:spacing w:line="580" w:lineRule="exact"/>
        <w:ind w:firstLine="640" w:firstLineChars="200"/>
        <w:rPr>
          <w:rFonts w:hint="eastAsia" w:ascii="仿宋" w:hAnsi="仿宋" w:eastAsia="仿宋" w:cs="仿宋_GB2312"/>
          <w:sz w:val="32"/>
          <w:szCs w:val="32"/>
        </w:rPr>
      </w:pPr>
    </w:p>
    <w:p>
      <w:pPr>
        <w:widowControl/>
        <w:adjustRightInd w:val="0"/>
        <w:snapToGrid w:val="0"/>
        <w:spacing w:line="580" w:lineRule="exact"/>
        <w:ind w:firstLine="640" w:firstLineChars="200"/>
        <w:contextualSpacing/>
        <w:jc w:val="left"/>
        <w:rPr>
          <w:rFonts w:hint="eastAsia" w:ascii="黑体" w:hAnsi="宋体" w:eastAsia="黑体" w:cs="宋体"/>
          <w:color w:val="000000"/>
          <w:kern w:val="0"/>
          <w:sz w:val="32"/>
          <w:szCs w:val="32"/>
          <w:shd w:val="clear" w:color="auto" w:fill="FFFFFF"/>
        </w:rPr>
      </w:pP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hint="eastAsia"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201</w:t>
      </w:r>
      <w:r>
        <w:rPr>
          <w:rFonts w:hint="eastAsia" w:ascii="仿宋" w:hAnsi="仿宋" w:eastAsia="仿宋" w:cs="仿宋_GB2312"/>
          <w:sz w:val="30"/>
          <w:szCs w:val="30"/>
          <w:lang w:val="en-US" w:eastAsia="zh-CN"/>
        </w:rPr>
        <w:t>9</w:t>
      </w:r>
      <w:r>
        <w:rPr>
          <w:rFonts w:hint="eastAsia" w:ascii="仿宋" w:hAnsi="仿宋" w:eastAsia="仿宋" w:cs="仿宋_GB2312"/>
          <w:sz w:val="30"/>
          <w:szCs w:val="30"/>
        </w:rPr>
        <w:t>年我单位在场班子正确领导及各股室同志共同努力下通过绩效目标考核，并取得一定成绩。</w:t>
      </w:r>
      <w:r>
        <w:rPr>
          <w:rFonts w:hint="eastAsia" w:ascii="仿宋" w:hAnsi="仿宋" w:eastAsia="仿宋"/>
          <w:sz w:val="30"/>
          <w:szCs w:val="30"/>
        </w:rPr>
        <w:t>项目总体执行情况较好、资金管理上未出现问题、项目实施成效明显，不但提高了林场的可持续性开发，还</w:t>
      </w:r>
      <w:r>
        <w:rPr>
          <w:rFonts w:hint="eastAsia" w:ascii="仿宋" w:hAnsi="仿宋" w:eastAsia="仿宋" w:cs="宋体"/>
          <w:color w:val="000000"/>
          <w:kern w:val="0"/>
          <w:sz w:val="32"/>
          <w:szCs w:val="32"/>
        </w:rPr>
        <w:t>提高了林区植物安全性，从而有效保障森林植物多样性</w:t>
      </w:r>
      <w:r>
        <w:rPr>
          <w:rFonts w:hint="eastAsia" w:ascii="仿宋" w:hAnsi="仿宋" w:eastAsia="仿宋"/>
          <w:sz w:val="30"/>
          <w:szCs w:val="30"/>
        </w:rPr>
        <w:t>，有力的推动了我区林木资源的发展。</w:t>
      </w:r>
    </w:p>
    <w:p>
      <w:pPr>
        <w:spacing w:line="58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（二）存在问题。</w:t>
      </w:r>
    </w:p>
    <w:p>
      <w:pPr>
        <w:spacing w:line="580" w:lineRule="exact"/>
        <w:ind w:firstLine="600" w:firstLineChars="200"/>
        <w:rPr>
          <w:rFonts w:ascii="仿宋" w:hAnsi="仿宋" w:eastAsia="仿宋"/>
          <w:color w:val="333333"/>
          <w:sz w:val="30"/>
          <w:szCs w:val="30"/>
          <w:shd w:val="clear" w:color="auto" w:fill="FFFFFF"/>
        </w:rPr>
      </w:pPr>
      <w:r>
        <w:rPr>
          <w:rFonts w:hint="eastAsia" w:ascii="仿宋" w:hAnsi="仿宋" w:eastAsia="仿宋" w:cs="仿宋_GB2312"/>
          <w:sz w:val="30"/>
          <w:szCs w:val="30"/>
        </w:rPr>
        <w:t>林场因资金来源</w:t>
      </w:r>
      <w:r>
        <w:rPr>
          <w:rFonts w:hint="eastAsia" w:ascii="仿宋" w:hAnsi="仿宋" w:eastAsia="仿宋"/>
          <w:color w:val="333333"/>
          <w:sz w:val="30"/>
          <w:szCs w:val="30"/>
          <w:shd w:val="clear" w:color="auto" w:fill="FFFFFF"/>
        </w:rPr>
        <w:t>缺乏，基础设施和人员不配套，难以保证森林资源管护工作的开展，滞约了国有林场及林业供给侧方面的改革，从而影响了林场的有序发展。</w:t>
      </w:r>
    </w:p>
    <w:p>
      <w:pPr>
        <w:spacing w:line="580" w:lineRule="exact"/>
        <w:ind w:firstLine="640" w:firstLineChars="200"/>
        <w:rPr>
          <w:rFonts w:hint="eastAsia" w:ascii="仿宋" w:hAnsi="仿宋" w:eastAsia="仿宋" w:cs="仿宋_GB2312"/>
          <w:sz w:val="32"/>
          <w:szCs w:val="32"/>
        </w:rPr>
      </w:pPr>
      <w:r>
        <w:rPr>
          <w:rFonts w:ascii="仿宋" w:hAnsi="仿宋" w:eastAsia="仿宋" w:cs="仿宋_GB2312"/>
          <w:sz w:val="32"/>
          <w:szCs w:val="32"/>
        </w:rPr>
        <w:t>（三）改进建议。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全年要安排和掌握好项目实施时间和进度，最大限度的利用好项目资金，提高项目资金的使用率。同时</w:t>
      </w:r>
      <w:r>
        <w:rPr>
          <w:rFonts w:hint="eastAsia" w:ascii="仿宋" w:hAnsi="仿宋" w:eastAsia="仿宋" w:cs="仿宋_GB2312"/>
          <w:sz w:val="32"/>
          <w:szCs w:val="32"/>
        </w:rPr>
        <w:t>向上级汇报并争取资金，同时扩大资金来源渠道。</w:t>
      </w:r>
    </w:p>
    <w:p>
      <w:pPr>
        <w:widowControl/>
        <w:jc w:val="left"/>
        <w:rPr>
          <w:rFonts w:ascii="仿宋" w:hAnsi="仿宋" w:eastAsia="仿宋"/>
          <w:sz w:val="30"/>
          <w:szCs w:val="30"/>
        </w:rPr>
      </w:pPr>
      <w:bookmarkStart w:id="57" w:name="_Toc15396617"/>
      <w:r>
        <w:rPr>
          <w:rStyle w:val="17"/>
          <w:rFonts w:hint="eastAsia" w:ascii="仿宋" w:hAnsi="仿宋" w:eastAsia="仿宋"/>
          <w:sz w:val="30"/>
          <w:szCs w:val="30"/>
        </w:rPr>
        <w:t>附件2</w:t>
      </w:r>
      <w:bookmarkEnd w:id="57"/>
    </w:p>
    <w:p>
      <w:pPr>
        <w:spacing w:line="600" w:lineRule="exact"/>
        <w:jc w:val="center"/>
        <w:rPr>
          <w:rFonts w:ascii="方正小标宋简体" w:hAnsi="宋体" w:eastAsia="方正小标宋简体"/>
          <w:color w:val="000000"/>
          <w:kern w:val="0"/>
          <w:sz w:val="44"/>
          <w:szCs w:val="44"/>
          <w:lang w:val="zh-CN"/>
        </w:rPr>
      </w:pPr>
      <w:r>
        <w:rPr>
          <w:rFonts w:hint="eastAsia" w:ascii="黑体" w:hAnsi="宋体" w:eastAsia="黑体" w:cs="方正小标宋简体"/>
          <w:sz w:val="44"/>
          <w:szCs w:val="44"/>
        </w:rPr>
        <w:t>201</w:t>
      </w:r>
      <w:r>
        <w:rPr>
          <w:rFonts w:hint="eastAsia" w:ascii="黑体" w:hAnsi="宋体" w:eastAsia="黑体" w:cs="方正小标宋简体"/>
          <w:sz w:val="44"/>
          <w:szCs w:val="44"/>
          <w:lang w:val="en-US" w:eastAsia="zh-CN"/>
        </w:rPr>
        <w:t>9</w:t>
      </w:r>
      <w:r>
        <w:rPr>
          <w:rFonts w:hint="eastAsia" w:ascii="黑体" w:hAnsi="宋体" w:eastAsia="黑体" w:cs="方正小标宋简体"/>
          <w:sz w:val="44"/>
          <w:szCs w:val="44"/>
        </w:rPr>
        <w:t>年国家重点生态功能区转移支付项目</w:t>
      </w:r>
      <w:r>
        <w:rPr>
          <w:rFonts w:hint="eastAsia" w:ascii="方正小标宋简体" w:hAnsi="宋体" w:eastAsia="方正小标宋简体"/>
          <w:color w:val="000000"/>
          <w:kern w:val="0"/>
          <w:sz w:val="44"/>
          <w:szCs w:val="44"/>
          <w:lang w:val="zh-CN"/>
        </w:rPr>
        <w:t>项目</w:t>
      </w: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hint="eastAsia" w:ascii="仿宋" w:hAnsi="仿宋" w:eastAsia="仿宋"/>
          <w:sz w:val="30"/>
          <w:szCs w:val="30"/>
          <w:lang w:eastAsia="zh-CN"/>
        </w:rPr>
      </w:pPr>
      <w:r>
        <w:rPr>
          <w:rFonts w:hint="eastAsia" w:ascii="仿宋" w:hAnsi="仿宋" w:eastAsia="仿宋" w:cs="宋体"/>
          <w:color w:val="000000"/>
          <w:sz w:val="30"/>
          <w:szCs w:val="30"/>
          <w:lang w:val="en-US" w:eastAsia="zh-CN"/>
        </w:rPr>
        <w:t>1、</w:t>
      </w:r>
      <w:r>
        <w:rPr>
          <w:rFonts w:hint="eastAsia" w:ascii="仿宋" w:hAnsi="仿宋" w:eastAsia="仿宋" w:cs="宋体"/>
          <w:color w:val="000000"/>
          <w:sz w:val="30"/>
          <w:szCs w:val="30"/>
        </w:rPr>
        <w:t>国家重点生态功能区转移支付资金项目是国家</w:t>
      </w:r>
      <w:r>
        <w:rPr>
          <w:rFonts w:hint="eastAsia" w:ascii="仿宋" w:hAnsi="仿宋" w:eastAsia="仿宋"/>
          <w:sz w:val="30"/>
          <w:szCs w:val="30"/>
        </w:rPr>
        <w:t>保护和合理利用森林风景资源和生物多样性、普及生态文化知识、发展生态旅游，使公园森林风景资源得到有效保护和利用的必要生态保障</w:t>
      </w:r>
      <w:r>
        <w:rPr>
          <w:rFonts w:hint="eastAsia" w:ascii="仿宋" w:hAnsi="仿宋" w:eastAsia="仿宋"/>
          <w:sz w:val="30"/>
          <w:szCs w:val="30"/>
          <w:lang w:eastAsia="zh-CN"/>
        </w:rPr>
        <w:t>。</w:t>
      </w:r>
    </w:p>
    <w:p>
      <w:pPr>
        <w:adjustRightInd w:val="0"/>
        <w:snapToGrid w:val="0"/>
        <w:spacing w:line="600" w:lineRule="exact"/>
        <w:ind w:firstLine="720"/>
        <w:rPr>
          <w:rFonts w:hint="eastAsia" w:ascii="仿宋" w:hAnsi="仿宋" w:eastAsia="仿宋" w:cs="仿宋"/>
          <w:sz w:val="32"/>
          <w:szCs w:val="32"/>
          <w:lang w:val="zh-CN"/>
        </w:rPr>
      </w:pPr>
      <w:r>
        <w:rPr>
          <w:rFonts w:hint="eastAsia" w:ascii="仿宋_GB2312" w:hAnsi="宋体" w:eastAsia="仿宋_GB2312"/>
          <w:sz w:val="32"/>
          <w:szCs w:val="32"/>
          <w:lang w:val="zh-CN"/>
        </w:rPr>
        <w:t>2．项目应实现的具体绩效目标：</w:t>
      </w:r>
      <w:r>
        <w:rPr>
          <w:rFonts w:hint="eastAsia" w:ascii="仿宋" w:hAnsi="仿宋" w:eastAsia="仿宋" w:cs="仿宋"/>
          <w:sz w:val="32"/>
          <w:szCs w:val="32"/>
        </w:rPr>
        <w:t>保护和合理利用森林风景资源和生物多样性、普及生态文化知识、发展生态旅游，使公园森林风景资源得到有效保护和利用</w:t>
      </w:r>
      <w:r>
        <w:rPr>
          <w:rFonts w:hint="eastAsia" w:ascii="仿宋" w:hAnsi="仿宋" w:eastAsia="仿宋" w:cs="仿宋"/>
          <w:sz w:val="32"/>
          <w:szCs w:val="32"/>
          <w:lang w:eastAsia="zh-CN"/>
        </w:rPr>
        <w:t>，</w:t>
      </w:r>
      <w:r>
        <w:rPr>
          <w:rFonts w:hint="eastAsia" w:ascii="仿宋" w:hAnsi="仿宋" w:eastAsia="仿宋" w:cs="仿宋"/>
          <w:color w:val="000000"/>
          <w:sz w:val="32"/>
          <w:szCs w:val="32"/>
        </w:rPr>
        <w:t>项目达优良工程，游客满意度达96%。</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3．评价申报内容与实际相符，申报目标合理可行。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1．项目主要内容。</w:t>
      </w:r>
    </w:p>
    <w:p>
      <w:pPr>
        <w:adjustRightInd w:val="0"/>
        <w:snapToGrid w:val="0"/>
        <w:spacing w:line="600" w:lineRule="exact"/>
        <w:ind w:firstLine="720"/>
        <w:rPr>
          <w:rFonts w:hint="eastAsia" w:ascii="仿宋_GB2312" w:hAnsi="宋体" w:eastAsia="仿宋"/>
          <w:sz w:val="32"/>
          <w:szCs w:val="32"/>
          <w:lang w:val="zh-CN" w:eastAsia="zh-CN"/>
        </w:rPr>
      </w:pPr>
      <w:r>
        <w:rPr>
          <w:rFonts w:hint="eastAsia" w:ascii="仿宋" w:hAnsi="仿宋" w:eastAsia="仿宋" w:cs="仿宋"/>
          <w:kern w:val="0"/>
          <w:sz w:val="32"/>
          <w:szCs w:val="32"/>
        </w:rPr>
        <w:t>完成</w:t>
      </w:r>
      <w:r>
        <w:rPr>
          <w:rFonts w:hint="eastAsia" w:ascii="仿宋" w:hAnsi="仿宋" w:eastAsia="仿宋" w:cs="仿宋"/>
          <w:kern w:val="0"/>
          <w:sz w:val="32"/>
          <w:szCs w:val="32"/>
          <w:lang w:val="en-US" w:eastAsia="zh-CN"/>
        </w:rPr>
        <w:t>神仙洞景观修复</w:t>
      </w:r>
      <w:r>
        <w:rPr>
          <w:rFonts w:hint="eastAsia" w:ascii="仿宋" w:hAnsi="仿宋" w:eastAsia="仿宋" w:cs="仿宋"/>
          <w:kern w:val="0"/>
          <w:sz w:val="32"/>
          <w:szCs w:val="32"/>
        </w:rPr>
        <w:t>工程项目</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植被恢复和节点景观培育项目、后山消防水源工程、日月湖公厕维修及污水处理</w:t>
      </w:r>
      <w:r>
        <w:rPr>
          <w:rFonts w:hint="eastAsia" w:ascii="仿宋" w:hAnsi="仿宋" w:eastAsia="仿宋" w:cs="仿宋"/>
          <w:kern w:val="0"/>
          <w:sz w:val="32"/>
          <w:szCs w:val="32"/>
        </w:rPr>
        <w:t>等工程项目</w:t>
      </w:r>
      <w:r>
        <w:rPr>
          <w:rFonts w:hint="eastAsia" w:ascii="仿宋" w:hAnsi="仿宋" w:eastAsia="仿宋" w:cs="仿宋"/>
          <w:kern w:val="0"/>
          <w:sz w:val="32"/>
          <w:szCs w:val="32"/>
          <w:lang w:eastAsia="zh-CN"/>
        </w:rPr>
        <w:t>。</w:t>
      </w:r>
    </w:p>
    <w:p>
      <w:pPr>
        <w:numPr>
          <w:ilvl w:val="0"/>
          <w:numId w:val="8"/>
        </w:numPr>
        <w:adjustRightInd w:val="0"/>
        <w:snapToGrid w:val="0"/>
        <w:spacing w:line="600" w:lineRule="exact"/>
        <w:ind w:left="0"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项目应实现的具体绩效目标</w:t>
      </w:r>
    </w:p>
    <w:p>
      <w:pPr>
        <w:adjustRightInd w:val="0"/>
        <w:snapToGrid w:val="0"/>
        <w:spacing w:line="600" w:lineRule="exact"/>
        <w:ind w:left="420" w:leftChars="200"/>
        <w:rPr>
          <w:rFonts w:hint="eastAsia" w:ascii="仿宋_GB2312" w:hAnsi="宋体" w:eastAsia="宋体"/>
          <w:sz w:val="32"/>
          <w:szCs w:val="32"/>
          <w:lang w:val="en-US" w:eastAsia="zh-CN"/>
        </w:rPr>
      </w:pPr>
      <w:r>
        <w:rPr>
          <w:rFonts w:hint="eastAsia" w:ascii="仿宋_GB2312" w:hAnsi="宋体" w:eastAsia="仿宋_GB2312"/>
          <w:sz w:val="32"/>
          <w:szCs w:val="32"/>
          <w:lang w:val="en-US" w:eastAsia="zh-CN"/>
        </w:rPr>
        <w:t xml:space="preserve"> 项目完成指标率、</w:t>
      </w:r>
      <w:r>
        <w:rPr>
          <w:rFonts w:hint="eastAsia" w:ascii="仿宋" w:hAnsi="仿宋" w:eastAsia="仿宋" w:cs="仿宋"/>
          <w:color w:val="000000"/>
          <w:kern w:val="0"/>
          <w:sz w:val="32"/>
          <w:szCs w:val="32"/>
        </w:rPr>
        <w:t>效益指标</w:t>
      </w:r>
      <w:r>
        <w:rPr>
          <w:rFonts w:hint="eastAsia" w:ascii="仿宋" w:hAnsi="仿宋" w:eastAsia="仿宋" w:cs="仿宋"/>
          <w:color w:val="000000"/>
          <w:kern w:val="0"/>
          <w:sz w:val="32"/>
          <w:szCs w:val="32"/>
          <w:lang w:val="en-US" w:eastAsia="zh-CN"/>
        </w:rPr>
        <w:t>率、</w:t>
      </w:r>
      <w:r>
        <w:rPr>
          <w:rFonts w:hint="eastAsia" w:ascii="仿宋" w:hAnsi="仿宋" w:eastAsia="仿宋" w:cs="仿宋"/>
          <w:color w:val="000000"/>
          <w:kern w:val="0"/>
          <w:sz w:val="32"/>
          <w:szCs w:val="32"/>
        </w:rPr>
        <w:t>满意度指标</w:t>
      </w:r>
      <w:r>
        <w:rPr>
          <w:rFonts w:hint="eastAsia" w:ascii="仿宋" w:hAnsi="仿宋" w:eastAsia="仿宋" w:cs="仿宋"/>
          <w:color w:val="000000"/>
          <w:kern w:val="0"/>
          <w:sz w:val="32"/>
          <w:szCs w:val="32"/>
          <w:lang w:val="en-US" w:eastAsia="zh-CN"/>
        </w:rPr>
        <w:t>率</w:t>
      </w:r>
    </w:p>
    <w:p>
      <w:pPr>
        <w:numPr>
          <w:ilvl w:val="0"/>
          <w:numId w:val="8"/>
        </w:numPr>
        <w:adjustRightInd w:val="0"/>
        <w:snapToGrid w:val="0"/>
        <w:spacing w:line="600" w:lineRule="exact"/>
        <w:ind w:left="0"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项目应实现的具体绩效目标</w:t>
      </w:r>
    </w:p>
    <w:p>
      <w:pPr>
        <w:adjustRightInd w:val="0"/>
        <w:snapToGrid w:val="0"/>
        <w:spacing w:line="600" w:lineRule="exact"/>
        <w:ind w:left="420" w:left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项目完成指标率细化为：数量指标、质量指标、时间指标；</w:t>
      </w:r>
    </w:p>
    <w:p>
      <w:pPr>
        <w:adjustRightInd w:val="0"/>
        <w:snapToGrid w:val="0"/>
        <w:spacing w:line="600" w:lineRule="exact"/>
        <w:ind w:left="420" w:leftChars="200"/>
        <w:rPr>
          <w:rFonts w:ascii="仿宋_GB2312" w:hAnsi="宋体" w:eastAsia="仿宋_GB2312"/>
          <w:sz w:val="32"/>
          <w:szCs w:val="32"/>
          <w:lang w:val="en-US" w:eastAsia="zh-CN"/>
        </w:rPr>
      </w:pPr>
      <w:r>
        <w:rPr>
          <w:rFonts w:hint="eastAsia" w:ascii="仿宋_GB2312" w:hAnsi="宋体" w:eastAsia="仿宋_GB2312"/>
          <w:sz w:val="32"/>
          <w:szCs w:val="32"/>
          <w:lang w:val="en-US" w:eastAsia="zh-CN"/>
        </w:rPr>
        <w:t>效益指标率细化为：经济效益、社会效益、生态效益；</w:t>
      </w:r>
    </w:p>
    <w:p>
      <w:pPr>
        <w:adjustRightInd w:val="0"/>
        <w:snapToGrid w:val="0"/>
        <w:spacing w:line="600" w:lineRule="exact"/>
        <w:ind w:left="420" w:left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满意度指标细化为：群众满意度</w:t>
      </w:r>
    </w:p>
    <w:p>
      <w:pPr>
        <w:adjustRightInd w:val="0"/>
        <w:snapToGrid w:val="0"/>
        <w:spacing w:line="600" w:lineRule="exact"/>
        <w:ind w:left="420" w:leftChars="200"/>
        <w:rPr>
          <w:rFonts w:ascii="仿宋_GB2312" w:hAnsi="宋体" w:eastAsia="仿宋_GB2312"/>
          <w:sz w:val="32"/>
          <w:szCs w:val="32"/>
          <w:lang w:val="zh-CN"/>
        </w:rPr>
      </w:pPr>
      <w:r>
        <w:rPr>
          <w:rFonts w:hint="eastAsia" w:ascii="仿宋_GB2312" w:hAnsi="宋体" w:eastAsia="仿宋_GB2312"/>
          <w:sz w:val="32"/>
          <w:szCs w:val="32"/>
          <w:lang w:val="zh-CN"/>
        </w:rPr>
        <w:t>3．评价申报内容与实际相符，申报目标合理可行。</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仿宋_GB2312" w:hAnsi="宋体" w:eastAsia="仿宋_GB2312"/>
          <w:sz w:val="32"/>
          <w:szCs w:val="32"/>
          <w:lang w:val="en-US" w:eastAsia="zh-CN"/>
        </w:rPr>
        <w:t>项目自评采用的与预算目标绩效及以前年度项目实施情况的对比方法进行评价，对自评中存在的问题进行完善。</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仿宋_GB2312" w:hAnsi="宋体" w:eastAsia="仿宋_GB2312"/>
          <w:sz w:val="32"/>
          <w:szCs w:val="32"/>
          <w:lang w:val="zh-CN"/>
        </w:rPr>
        <w:t>项目资金申报</w:t>
      </w:r>
      <w:r>
        <w:rPr>
          <w:rFonts w:hint="eastAsia" w:ascii="仿宋_GB2312" w:hAnsi="宋体" w:eastAsia="仿宋_GB2312"/>
          <w:sz w:val="32"/>
          <w:szCs w:val="32"/>
          <w:lang w:val="en-US" w:eastAsia="zh-CN"/>
        </w:rPr>
        <w:t>391.4万，</w:t>
      </w:r>
      <w:r>
        <w:rPr>
          <w:rFonts w:hint="eastAsia" w:ascii="仿宋_GB2312" w:hAnsi="宋体" w:eastAsia="仿宋_GB2312"/>
          <w:sz w:val="32"/>
          <w:szCs w:val="32"/>
          <w:lang w:val="zh-CN"/>
        </w:rPr>
        <w:t>批复</w:t>
      </w:r>
      <w:r>
        <w:rPr>
          <w:rFonts w:hint="eastAsia" w:ascii="仿宋_GB2312" w:hAnsi="宋体" w:eastAsia="仿宋_GB2312"/>
          <w:sz w:val="32"/>
          <w:szCs w:val="32"/>
          <w:lang w:val="en-US" w:eastAsia="zh-CN"/>
        </w:rPr>
        <w:t>391.4万，未进行</w:t>
      </w:r>
      <w:r>
        <w:rPr>
          <w:rFonts w:hint="eastAsia" w:ascii="仿宋_GB2312" w:hAnsi="宋体" w:eastAsia="仿宋_GB2312"/>
          <w:sz w:val="32"/>
          <w:szCs w:val="32"/>
          <w:lang w:val="zh-CN"/>
        </w:rPr>
        <w:t>预算调整。</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ascii="仿宋_GB2312" w:hAnsi="宋体" w:eastAsia="仿宋_GB2312"/>
          <w:sz w:val="32"/>
          <w:szCs w:val="32"/>
          <w:lang w:val="zh-CN"/>
        </w:rPr>
        <w:t>该项目</w:t>
      </w:r>
      <w:r>
        <w:rPr>
          <w:rFonts w:hint="eastAsia" w:ascii="仿宋_GB2312" w:hAnsi="宋体" w:eastAsia="仿宋_GB2312"/>
          <w:sz w:val="32"/>
          <w:szCs w:val="32"/>
          <w:lang w:val="en-US" w:eastAsia="zh-CN"/>
        </w:rPr>
        <w:t>是</w:t>
      </w:r>
      <w:r>
        <w:rPr>
          <w:rFonts w:hint="eastAsia" w:ascii="仿宋_GB2312" w:hAnsi="宋体" w:eastAsia="仿宋_GB2312"/>
          <w:sz w:val="32"/>
          <w:szCs w:val="32"/>
          <w:lang w:val="zh-CN"/>
        </w:rPr>
        <w:t>区财政资金。</w:t>
      </w:r>
    </w:p>
    <w:p>
      <w:pPr>
        <w:adjustRightInd w:val="0"/>
        <w:snapToGrid w:val="0"/>
        <w:spacing w:line="600" w:lineRule="exact"/>
        <w:ind w:firstLine="720"/>
        <w:rPr>
          <w:rFonts w:hint="eastAsia" w:ascii="楷体_GB2312" w:hAnsi="宋体" w:eastAsia="楷体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区财政资金</w:t>
      </w:r>
      <w:r>
        <w:rPr>
          <w:rFonts w:hint="eastAsia" w:ascii="仿宋_GB2312" w:hAnsi="宋体" w:eastAsia="仿宋_GB2312"/>
          <w:sz w:val="32"/>
          <w:szCs w:val="32"/>
          <w:lang w:val="en-US" w:eastAsia="zh-CN"/>
        </w:rPr>
        <w:t>在年初已经全部</w:t>
      </w:r>
      <w:r>
        <w:rPr>
          <w:rFonts w:hint="eastAsia" w:ascii="仿宋_GB2312" w:hAnsi="宋体" w:eastAsia="仿宋_GB2312"/>
          <w:sz w:val="32"/>
          <w:szCs w:val="32"/>
          <w:lang w:val="zh-CN"/>
        </w:rPr>
        <w:t>到位。</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楷体_GB2312" w:hAnsi="宋体" w:eastAsia="楷体_GB2312"/>
          <w:sz w:val="32"/>
          <w:szCs w:val="32"/>
          <w:lang w:val="en-US" w:eastAsia="zh-CN"/>
        </w:rPr>
        <w:t>该项目资金使用安全、规范也及时有效。</w:t>
      </w:r>
      <w:r>
        <w:rPr>
          <w:rFonts w:hint="eastAsia" w:ascii="仿宋_GB2312" w:hAnsi="宋体" w:eastAsia="仿宋_GB2312"/>
          <w:sz w:val="32"/>
          <w:szCs w:val="32"/>
          <w:lang w:val="zh-CN"/>
        </w:rPr>
        <w:t>资金支付范围</w:t>
      </w:r>
      <w:r>
        <w:rPr>
          <w:rFonts w:hint="eastAsia" w:ascii="仿宋_GB2312" w:hAnsi="宋体" w:eastAsia="仿宋_GB2312"/>
          <w:sz w:val="32"/>
          <w:szCs w:val="32"/>
          <w:lang w:val="en-US" w:eastAsia="zh-CN"/>
        </w:rPr>
        <w:t>严格按照项目设立时的实施方案在进行支付，</w:t>
      </w:r>
      <w:r>
        <w:rPr>
          <w:rFonts w:hint="eastAsia" w:ascii="仿宋_GB2312" w:hAnsi="宋体" w:eastAsia="仿宋_GB2312"/>
          <w:sz w:val="32"/>
          <w:szCs w:val="32"/>
          <w:lang w:val="zh-CN"/>
        </w:rPr>
        <w:t>支付标准</w:t>
      </w:r>
      <w:r>
        <w:rPr>
          <w:rFonts w:hint="eastAsia" w:ascii="仿宋_GB2312" w:hAnsi="宋体" w:eastAsia="仿宋_GB2312"/>
          <w:sz w:val="32"/>
          <w:szCs w:val="32"/>
          <w:lang w:val="en-US" w:eastAsia="zh-CN"/>
        </w:rPr>
        <w:t>和</w:t>
      </w:r>
      <w:r>
        <w:rPr>
          <w:rFonts w:hint="eastAsia" w:ascii="仿宋_GB2312" w:hAnsi="宋体" w:eastAsia="仿宋_GB2312"/>
          <w:sz w:val="32"/>
          <w:szCs w:val="32"/>
          <w:lang w:val="zh-CN"/>
        </w:rPr>
        <w:t>支付进度、支付依据等是合规合法、是与预算相符，并对自评中发现的相关问题进行</w:t>
      </w:r>
      <w:r>
        <w:rPr>
          <w:rFonts w:hint="eastAsia" w:ascii="仿宋_GB2312" w:hAnsi="宋体" w:eastAsia="仿宋_GB2312"/>
          <w:sz w:val="32"/>
          <w:szCs w:val="32"/>
          <w:lang w:val="en-US" w:eastAsia="zh-CN"/>
        </w:rPr>
        <w:t>项目完善</w:t>
      </w:r>
      <w:r>
        <w:rPr>
          <w:rFonts w:hint="eastAsia" w:ascii="仿宋_GB2312" w:hAnsi="宋体" w:eastAsia="仿宋_GB2312"/>
          <w:sz w:val="32"/>
          <w:szCs w:val="32"/>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总体评价各项目实施单位财务管理制度是否健全，是否严格执行财务管理制度，账务处理是否及时，会计核算是否规范等。</w:t>
      </w:r>
    </w:p>
    <w:p>
      <w:pPr>
        <w:numPr>
          <w:ilvl w:val="0"/>
          <w:numId w:val="2"/>
        </w:numPr>
        <w:adjustRightInd w:val="0"/>
        <w:snapToGrid w:val="0"/>
        <w:spacing w:line="600" w:lineRule="exact"/>
        <w:ind w:left="1360" w:hanging="720"/>
        <w:rPr>
          <w:rFonts w:hint="eastAsia" w:ascii="黑体" w:hAnsi="宋体" w:eastAsia="黑体"/>
          <w:sz w:val="32"/>
          <w:szCs w:val="32"/>
        </w:rPr>
      </w:pPr>
      <w:r>
        <w:rPr>
          <w:rFonts w:hint="eastAsia" w:ascii="黑体" w:hAnsi="宋体" w:eastAsia="黑体"/>
          <w:sz w:val="32"/>
          <w:szCs w:val="32"/>
        </w:rPr>
        <w:t>项目实施及管理情况</w:t>
      </w:r>
    </w:p>
    <w:p>
      <w:pPr>
        <w:numPr>
          <w:ilvl w:val="0"/>
          <w:numId w:val="9"/>
        </w:numPr>
        <w:adjustRightInd w:val="0"/>
        <w:snapToGrid w:val="0"/>
        <w:spacing w:line="600" w:lineRule="exact"/>
        <w:ind w:left="0"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项目组织架构及实施流程。</w:t>
      </w:r>
    </w:p>
    <w:p>
      <w:pPr>
        <w:adjustRightInd w:val="0"/>
        <w:snapToGrid w:val="0"/>
        <w:spacing w:line="600" w:lineRule="exact"/>
        <w:ind w:left="0"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产业发展股--项目分管领导--财务股--场领导的组织架构。</w:t>
      </w:r>
    </w:p>
    <w:p>
      <w:pPr>
        <w:adjustRightInd w:val="0"/>
        <w:snapToGrid w:val="0"/>
        <w:spacing w:line="600" w:lineRule="exact"/>
        <w:ind w:left="0" w:firstLine="640" w:firstLineChars="200"/>
        <w:rPr>
          <w:rFonts w:hint="eastAsia" w:ascii="仿宋" w:hAnsi="仿宋" w:eastAsia="仿宋" w:cs="仿宋"/>
          <w:b/>
          <w:sz w:val="32"/>
          <w:szCs w:val="32"/>
          <w:lang w:val="en-US" w:eastAsia="zh-CN"/>
        </w:rPr>
      </w:pPr>
      <w:r>
        <w:rPr>
          <w:rFonts w:hint="eastAsia" w:ascii="仿宋" w:hAnsi="仿宋" w:eastAsia="仿宋" w:cs="仿宋"/>
          <w:b w:val="0"/>
          <w:bCs/>
          <w:sz w:val="32"/>
          <w:szCs w:val="32"/>
          <w:lang w:val="en-US" w:eastAsia="zh-CN"/>
        </w:rPr>
        <w:t>实施流程：产业发展股组织施工设计、造价和编制工程量清单、财评、招投标、项目施工。</w:t>
      </w:r>
    </w:p>
    <w:p>
      <w:pPr>
        <w:numPr>
          <w:ilvl w:val="0"/>
          <w:numId w:val="9"/>
        </w:numPr>
        <w:adjustRightInd w:val="0"/>
        <w:snapToGrid w:val="0"/>
        <w:spacing w:line="600" w:lineRule="exact"/>
        <w:ind w:left="0"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项目管理情况。</w:t>
      </w:r>
    </w:p>
    <w:p>
      <w:pPr>
        <w:pStyle w:val="22"/>
        <w:ind w:firstLine="640" w:firstLineChars="200"/>
        <w:jc w:val="left"/>
        <w:rPr>
          <w:rFonts w:hint="eastAsia" w:ascii="楷体_GB2312" w:hAnsi="宋体" w:eastAsia="楷体_GB2312"/>
          <w:b/>
          <w:sz w:val="32"/>
          <w:szCs w:val="32"/>
          <w:lang w:val="zh-CN"/>
        </w:rPr>
      </w:pPr>
      <w:r>
        <w:rPr>
          <w:rFonts w:hint="eastAsia" w:ascii="仿宋" w:hAnsi="仿宋" w:eastAsia="仿宋" w:cs="仿宋"/>
          <w:b w:val="0"/>
          <w:bCs/>
          <w:sz w:val="32"/>
          <w:szCs w:val="32"/>
          <w:lang w:val="en-US" w:eastAsia="zh-CN"/>
        </w:rPr>
        <w:t>项目按进度实施完成，取得了良好的社会效益，管理成效明显。</w:t>
      </w:r>
    </w:p>
    <w:p>
      <w:pPr>
        <w:adjustRightInd w:val="0"/>
        <w:snapToGrid w:val="0"/>
        <w:spacing w:line="600" w:lineRule="exact"/>
        <w:ind w:left="420" w:leftChars="200" w:firstLine="642" w:firstLineChars="20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en-US" w:eastAsia="zh-CN"/>
        </w:rPr>
        <w:t>项目实施股和项目分管领导随时进行检查，费用发生时由监理人员审核完成量，经办人员进行先审报，领导分级审批，按相关财务制度进行审核和报销。</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hint="eastAsia" w:ascii="仿宋" w:hAnsi="仿宋" w:eastAsia="仿宋" w:cs="仿宋"/>
          <w:b/>
          <w:sz w:val="32"/>
          <w:szCs w:val="32"/>
          <w:lang w:val="zh-CN" w:eastAsia="zh-CN"/>
        </w:rPr>
      </w:pPr>
      <w:r>
        <w:rPr>
          <w:rFonts w:hint="eastAsia" w:ascii="仿宋" w:hAnsi="仿宋" w:eastAsia="仿宋" w:cs="仿宋"/>
          <w:color w:val="000000"/>
          <w:sz w:val="32"/>
          <w:szCs w:val="32"/>
          <w:lang w:val="en-US" w:eastAsia="zh-CN"/>
        </w:rPr>
        <w:t>进项目预计施工进度，以及</w:t>
      </w:r>
      <w:r>
        <w:rPr>
          <w:rFonts w:hint="eastAsia" w:ascii="仿宋" w:hAnsi="仿宋" w:eastAsia="仿宋" w:cs="仿宋"/>
          <w:color w:val="000000"/>
          <w:sz w:val="32"/>
          <w:szCs w:val="32"/>
        </w:rPr>
        <w:t>设计及国家质量标准要求完成工程</w:t>
      </w:r>
      <w:r>
        <w:rPr>
          <w:rFonts w:hint="eastAsia" w:ascii="仿宋" w:hAnsi="仿宋" w:eastAsia="仿宋" w:cs="仿宋"/>
          <w:color w:val="000000"/>
          <w:sz w:val="32"/>
          <w:szCs w:val="32"/>
          <w:lang w:eastAsia="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sz w:val="32"/>
          <w:szCs w:val="32"/>
          <w:lang w:val="zh-CN"/>
        </w:rPr>
      </w:pPr>
      <w:r>
        <w:rPr>
          <w:rFonts w:hint="eastAsia" w:ascii="仿宋" w:hAnsi="仿宋" w:eastAsia="仿宋" w:cs="仿宋"/>
          <w:sz w:val="32"/>
          <w:szCs w:val="32"/>
          <w:lang w:val="en-US" w:eastAsia="zh-CN"/>
        </w:rPr>
        <w:t>保</w:t>
      </w:r>
      <w:r>
        <w:rPr>
          <w:rFonts w:hint="eastAsia" w:ascii="仿宋" w:hAnsi="仿宋" w:eastAsia="仿宋" w:cs="仿宋"/>
          <w:sz w:val="32"/>
          <w:szCs w:val="32"/>
        </w:rPr>
        <w:t>护和合理利用森林风景资源和生物多样性、普及生态文化知识、发展生态旅游，使公园森林风景资源得到有效保护和利用</w:t>
      </w:r>
      <w:r>
        <w:rPr>
          <w:rFonts w:hint="eastAsia" w:ascii="仿宋" w:hAnsi="仿宋" w:eastAsia="仿宋" w:cs="仿宋"/>
          <w:sz w:val="32"/>
          <w:szCs w:val="32"/>
          <w:lang w:eastAsia="zh-CN"/>
        </w:rPr>
        <w:t>，</w:t>
      </w:r>
      <w:r>
        <w:rPr>
          <w:rFonts w:hint="eastAsia" w:ascii="仿宋" w:hAnsi="仿宋" w:eastAsia="仿宋" w:cs="仿宋"/>
          <w:color w:val="000000"/>
          <w:sz w:val="32"/>
          <w:szCs w:val="32"/>
        </w:rPr>
        <w:t>项目达优良工程，游客满意度达96%。</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ascii="仿宋" w:hAnsi="仿宋" w:eastAsia="仿宋" w:cs="仿宋_GB2312"/>
          <w:sz w:val="32"/>
          <w:szCs w:val="32"/>
        </w:rPr>
        <w:t>项目绩效评价总体结论</w:t>
      </w:r>
      <w:r>
        <w:rPr>
          <w:rFonts w:hint="eastAsia" w:ascii="仿宋" w:hAnsi="仿宋" w:eastAsia="仿宋" w:cs="仿宋_GB2312"/>
          <w:sz w:val="32"/>
          <w:szCs w:val="32"/>
          <w:lang w:eastAsia="zh-CN"/>
        </w:rPr>
        <w:t>：良好。</w:t>
      </w:r>
    </w:p>
    <w:p>
      <w:pPr>
        <w:numPr>
          <w:ilvl w:val="0"/>
          <w:numId w:val="9"/>
        </w:numPr>
        <w:adjustRightInd w:val="0"/>
        <w:snapToGrid w:val="0"/>
        <w:spacing w:line="600" w:lineRule="exact"/>
        <w:ind w:left="0" w:firstLine="720"/>
        <w:rPr>
          <w:rFonts w:hint="eastAsia" w:ascii="仿宋" w:hAnsi="仿宋" w:eastAsia="仿宋" w:cs="仿宋"/>
          <w:b/>
          <w:sz w:val="32"/>
          <w:szCs w:val="32"/>
          <w:lang w:val="zh-CN"/>
        </w:rPr>
      </w:pPr>
      <w:r>
        <w:rPr>
          <w:rFonts w:hint="eastAsia" w:ascii="仿宋" w:hAnsi="仿宋" w:eastAsia="仿宋" w:cs="仿宋"/>
          <w:b/>
          <w:sz w:val="32"/>
          <w:szCs w:val="32"/>
          <w:lang w:val="zh-CN"/>
        </w:rPr>
        <w:t>存在的问题。</w:t>
      </w:r>
    </w:p>
    <w:p>
      <w:pPr>
        <w:tabs>
          <w:tab w:val="left" w:pos="312"/>
        </w:tabs>
        <w:spacing w:line="58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sz w:val="32"/>
          <w:szCs w:val="32"/>
          <w:lang w:val="en-US" w:eastAsia="zh-CN"/>
        </w:rPr>
        <w:t>由于项目实施地的地理位置的特殊性，项目可施工时间短，工期紧张，</w:t>
      </w:r>
      <w:r>
        <w:rPr>
          <w:rFonts w:hint="eastAsia" w:ascii="仿宋" w:hAnsi="仿宋" w:eastAsia="仿宋" w:cs="仿宋"/>
          <w:color w:val="000000"/>
          <w:sz w:val="32"/>
          <w:szCs w:val="32"/>
          <w:lang w:val="en-US" w:eastAsia="zh-CN"/>
        </w:rPr>
        <w:t>上级</w:t>
      </w:r>
      <w:r>
        <w:rPr>
          <w:rFonts w:ascii="仿宋" w:hAnsi="仿宋" w:eastAsia="仿宋" w:cs="仿宋"/>
          <w:color w:val="000000"/>
          <w:sz w:val="32"/>
          <w:szCs w:val="32"/>
          <w:lang w:val="en-US" w:eastAsia="zh-CN"/>
        </w:rPr>
        <w:t>拨</w:t>
      </w:r>
      <w:r>
        <w:rPr>
          <w:rFonts w:hint="eastAsia" w:ascii="仿宋" w:hAnsi="仿宋" w:eastAsia="仿宋" w:cs="仿宋"/>
          <w:color w:val="000000"/>
          <w:sz w:val="32"/>
          <w:szCs w:val="32"/>
          <w:lang w:val="en-US" w:eastAsia="zh-CN"/>
        </w:rPr>
        <w:t>付项目资金时间一般在当年11月份，资金到位比较较晚</w:t>
      </w:r>
      <w:r>
        <w:rPr>
          <w:rFonts w:hint="eastAsia" w:ascii="仿宋" w:hAnsi="仿宋" w:eastAsia="仿宋" w:cs="仿宋"/>
          <w:b w:val="0"/>
          <w:bCs w:val="0"/>
          <w:color w:val="000000"/>
          <w:sz w:val="32"/>
          <w:szCs w:val="32"/>
          <w:lang w:val="en-US" w:eastAsia="zh-CN"/>
        </w:rPr>
        <w:t>，</w:t>
      </w:r>
      <w:r>
        <w:rPr>
          <w:rFonts w:hint="eastAsia" w:ascii="仿宋" w:hAnsi="仿宋" w:eastAsia="仿宋" w:cs="仿宋"/>
          <w:b w:val="0"/>
          <w:bCs w:val="0"/>
          <w:color w:val="000000"/>
          <w:kern w:val="0"/>
          <w:sz w:val="32"/>
          <w:szCs w:val="32"/>
          <w:lang w:val="en-US" w:eastAsia="zh-CN"/>
        </w:rPr>
        <w:t>项目建设推进缓慢限制了景区的建设。</w:t>
      </w:r>
    </w:p>
    <w:p>
      <w:pPr>
        <w:numPr>
          <w:ilvl w:val="0"/>
          <w:numId w:val="9"/>
        </w:numPr>
        <w:adjustRightInd w:val="0"/>
        <w:snapToGrid w:val="0"/>
        <w:spacing w:line="600" w:lineRule="exact"/>
        <w:ind w:left="0" w:firstLine="720"/>
        <w:rPr>
          <w:rFonts w:hint="eastAsia" w:ascii="仿宋" w:hAnsi="仿宋" w:eastAsia="仿宋" w:cs="仿宋"/>
          <w:b/>
          <w:sz w:val="32"/>
          <w:szCs w:val="32"/>
          <w:lang w:val="zh-CN"/>
        </w:rPr>
      </w:pPr>
      <w:r>
        <w:rPr>
          <w:rFonts w:hint="eastAsia" w:ascii="仿宋" w:hAnsi="仿宋" w:eastAsia="仿宋" w:cs="仿宋"/>
          <w:b/>
          <w:sz w:val="32"/>
          <w:szCs w:val="32"/>
          <w:lang w:val="zh-CN"/>
        </w:rPr>
        <w:t>相关建议。</w:t>
      </w:r>
    </w:p>
    <w:p>
      <w:pPr>
        <w:tabs>
          <w:tab w:val="left" w:pos="312"/>
        </w:tabs>
        <w:spacing w:line="580" w:lineRule="exact"/>
        <w:ind w:firstLine="640" w:firstLineChars="200"/>
        <w:rPr>
          <w:rStyle w:val="17"/>
          <w:rFonts w:ascii="黑体" w:hAnsi="黑体" w:eastAsia="黑体"/>
          <w:b w:val="0"/>
        </w:rPr>
      </w:pPr>
      <w:r>
        <w:rPr>
          <w:rFonts w:hint="eastAsia" w:ascii="仿宋" w:hAnsi="仿宋" w:eastAsia="仿宋" w:cs="仿宋"/>
          <w:b w:val="0"/>
          <w:bCs/>
          <w:sz w:val="32"/>
          <w:szCs w:val="32"/>
          <w:lang w:val="en-US" w:eastAsia="zh-CN"/>
        </w:rPr>
        <w:t>合理规划好施工期，按进度来实施项目，履行好监督和监管职责，</w:t>
      </w:r>
      <w:r>
        <w:rPr>
          <w:rFonts w:hint="eastAsia" w:ascii="仿宋" w:hAnsi="仿宋" w:eastAsia="仿宋" w:cs="仿宋"/>
          <w:b w:val="0"/>
          <w:bCs/>
          <w:color w:val="000000"/>
          <w:sz w:val="32"/>
          <w:szCs w:val="32"/>
          <w:lang w:val="en-US" w:eastAsia="zh-CN"/>
        </w:rPr>
        <w:t>向上级部门及财政部门多争取多汇报，尽早拨付资金，以</w:t>
      </w:r>
      <w:r>
        <w:rPr>
          <w:rFonts w:hint="eastAsia" w:ascii="仿宋" w:hAnsi="仿宋" w:eastAsia="仿宋" w:cs="仿宋"/>
          <w:b w:val="0"/>
          <w:bCs/>
          <w:color w:val="000000"/>
          <w:sz w:val="32"/>
          <w:szCs w:val="32"/>
        </w:rPr>
        <w:t>力争保质保量的完成项目。</w:t>
      </w:r>
    </w:p>
    <w:p>
      <w:pPr>
        <w:spacing w:line="600" w:lineRule="exact"/>
        <w:jc w:val="center"/>
        <w:outlineLvl w:val="0"/>
        <w:rPr>
          <w:rStyle w:val="17"/>
          <w:rFonts w:ascii="黑体" w:hAnsi="黑体" w:eastAsia="黑体"/>
          <w:b w:val="0"/>
        </w:rPr>
      </w:pPr>
      <w:bookmarkStart w:id="58" w:name="_Toc15396618"/>
      <w:r>
        <w:rPr>
          <w:rFonts w:hint="eastAsia" w:ascii="黑体" w:hAnsi="黑体" w:eastAsia="黑体"/>
          <w:color w:val="000000"/>
          <w:sz w:val="44"/>
          <w:szCs w:val="44"/>
        </w:rPr>
        <w:t>第</w:t>
      </w:r>
      <w:r>
        <w:rPr>
          <w:rStyle w:val="17"/>
          <w:rFonts w:hint="eastAsia" w:ascii="黑体" w:hAnsi="黑体" w:eastAsia="黑体"/>
          <w:b w:val="0"/>
        </w:rPr>
        <w:t>五部分 附表</w:t>
      </w:r>
      <w:bookmarkEnd w:id="55"/>
      <w:bookmarkEnd w:id="58"/>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59" w:name="_Toc15396619"/>
      <w:r>
        <w:rPr>
          <w:rFonts w:hint="eastAsia" w:ascii="仿宋" w:hAnsi="仿宋" w:eastAsia="仿宋"/>
          <w:b w:val="0"/>
          <w:color w:val="000000"/>
        </w:rPr>
        <w:t>一、收</w:t>
      </w:r>
      <w:r>
        <w:rPr>
          <w:rStyle w:val="18"/>
          <w:rFonts w:hint="eastAsia" w:ascii="仿宋" w:hAnsi="仿宋" w:eastAsia="仿宋"/>
          <w:b w:val="0"/>
          <w:bCs w:val="0"/>
        </w:rPr>
        <w:t>入支出决算总表</w:t>
      </w:r>
      <w:bookmarkEnd w:id="59"/>
    </w:p>
    <w:p>
      <w:pPr>
        <w:pStyle w:val="3"/>
        <w:rPr>
          <w:rFonts w:ascii="仿宋" w:hAnsi="仿宋" w:eastAsia="仿宋"/>
          <w:color w:val="000000"/>
        </w:rPr>
      </w:pPr>
      <w:bookmarkStart w:id="60" w:name="_Toc15396620"/>
      <w:r>
        <w:rPr>
          <w:rFonts w:hint="eastAsia" w:ascii="仿宋" w:hAnsi="仿宋" w:eastAsia="仿宋"/>
          <w:b w:val="0"/>
          <w:color w:val="000000"/>
        </w:rPr>
        <w:t>二、收</w:t>
      </w:r>
      <w:r>
        <w:rPr>
          <w:rStyle w:val="18"/>
          <w:rFonts w:hint="eastAsia" w:ascii="仿宋" w:hAnsi="仿宋" w:eastAsia="仿宋"/>
          <w:b w:val="0"/>
          <w:bCs w:val="0"/>
        </w:rPr>
        <w:t>入决算表</w:t>
      </w:r>
      <w:bookmarkEnd w:id="60"/>
    </w:p>
    <w:p>
      <w:pPr>
        <w:pStyle w:val="3"/>
        <w:rPr>
          <w:rFonts w:ascii="仿宋" w:hAnsi="仿宋" w:eastAsia="仿宋"/>
          <w:color w:val="000000"/>
        </w:rPr>
      </w:pPr>
      <w:bookmarkStart w:id="61" w:name="_Toc15396621"/>
      <w:r>
        <w:rPr>
          <w:rStyle w:val="18"/>
          <w:rFonts w:hint="eastAsia" w:ascii="仿宋" w:hAnsi="仿宋" w:eastAsia="仿宋"/>
          <w:b w:val="0"/>
          <w:bCs w:val="0"/>
        </w:rPr>
        <w:t>三、</w:t>
      </w:r>
      <w:r>
        <w:rPr>
          <w:rFonts w:hint="eastAsia" w:ascii="仿宋" w:hAnsi="仿宋" w:eastAsia="仿宋"/>
          <w:b w:val="0"/>
          <w:color w:val="000000"/>
        </w:rPr>
        <w:t>支</w:t>
      </w:r>
      <w:r>
        <w:rPr>
          <w:rStyle w:val="18"/>
          <w:rFonts w:hint="eastAsia" w:ascii="仿宋" w:hAnsi="仿宋" w:eastAsia="仿宋"/>
          <w:b w:val="0"/>
          <w:bCs w:val="0"/>
        </w:rPr>
        <w:t>出决算表</w:t>
      </w:r>
      <w:bookmarkEnd w:id="61"/>
    </w:p>
    <w:p>
      <w:pPr>
        <w:pStyle w:val="3"/>
        <w:rPr>
          <w:rFonts w:ascii="仿宋" w:hAnsi="仿宋" w:eastAsia="仿宋"/>
          <w:b w:val="0"/>
          <w:color w:val="000000"/>
        </w:rPr>
      </w:pPr>
      <w:bookmarkStart w:id="62" w:name="_Toc15396622"/>
      <w:r>
        <w:rPr>
          <w:rStyle w:val="18"/>
          <w:rFonts w:hint="eastAsia" w:ascii="仿宋" w:hAnsi="仿宋" w:eastAsia="仿宋"/>
          <w:b w:val="0"/>
          <w:bCs w:val="0"/>
        </w:rPr>
        <w:t>四、</w:t>
      </w:r>
      <w:r>
        <w:rPr>
          <w:rFonts w:hint="eastAsia" w:ascii="仿宋" w:hAnsi="仿宋" w:eastAsia="仿宋"/>
          <w:b w:val="0"/>
          <w:color w:val="000000"/>
        </w:rPr>
        <w:t>财</w:t>
      </w:r>
      <w:r>
        <w:rPr>
          <w:rStyle w:val="18"/>
          <w:rFonts w:hint="eastAsia" w:ascii="仿宋" w:hAnsi="仿宋" w:eastAsia="仿宋"/>
          <w:b w:val="0"/>
          <w:bCs w:val="0"/>
        </w:rPr>
        <w:t>政拨款收入支出决算总表</w:t>
      </w:r>
      <w:bookmarkEnd w:id="62"/>
    </w:p>
    <w:p>
      <w:pPr>
        <w:pStyle w:val="3"/>
        <w:rPr>
          <w:rStyle w:val="18"/>
          <w:rFonts w:ascii="仿宋" w:hAnsi="仿宋" w:eastAsia="仿宋"/>
          <w:b w:val="0"/>
          <w:bCs w:val="0"/>
        </w:rPr>
      </w:pPr>
      <w:bookmarkStart w:id="63" w:name="_Toc15396623"/>
      <w:r>
        <w:rPr>
          <w:rStyle w:val="18"/>
          <w:rFonts w:hint="eastAsia" w:ascii="仿宋" w:hAnsi="仿宋" w:eastAsia="仿宋"/>
          <w:b w:val="0"/>
          <w:bCs w:val="0"/>
        </w:rPr>
        <w:t>五、</w:t>
      </w:r>
      <w:r>
        <w:rPr>
          <w:rFonts w:hint="eastAsia" w:ascii="仿宋" w:hAnsi="仿宋" w:eastAsia="仿宋"/>
          <w:b w:val="0"/>
          <w:color w:val="000000"/>
        </w:rPr>
        <w:t>财</w:t>
      </w:r>
      <w:r>
        <w:rPr>
          <w:rStyle w:val="18"/>
          <w:rFonts w:hint="eastAsia" w:ascii="仿宋" w:hAnsi="仿宋" w:eastAsia="仿宋"/>
          <w:b w:val="0"/>
          <w:bCs w:val="0"/>
        </w:rPr>
        <w:t>政拨款支出决算明细表</w:t>
      </w:r>
      <w:bookmarkEnd w:id="63"/>
      <w:bookmarkStart w:id="64" w:name="_Toc15396624"/>
    </w:p>
    <w:p>
      <w:pPr>
        <w:pStyle w:val="3"/>
        <w:rPr>
          <w:rFonts w:ascii="仿宋" w:hAnsi="仿宋" w:eastAsia="仿宋"/>
          <w:color w:val="000000"/>
        </w:rPr>
      </w:pPr>
      <w:r>
        <w:rPr>
          <w:rStyle w:val="18"/>
          <w:rFonts w:hint="eastAsia" w:ascii="仿宋" w:hAnsi="仿宋" w:eastAsia="仿宋"/>
          <w:b w:val="0"/>
          <w:bCs w:val="0"/>
        </w:rPr>
        <w:t>六、</w:t>
      </w:r>
      <w:r>
        <w:rPr>
          <w:rFonts w:hint="eastAsia" w:ascii="仿宋" w:hAnsi="仿宋" w:eastAsia="仿宋"/>
          <w:b w:val="0"/>
          <w:color w:val="000000"/>
        </w:rPr>
        <w:t>一</w:t>
      </w:r>
      <w:r>
        <w:rPr>
          <w:rStyle w:val="18"/>
          <w:rFonts w:hint="eastAsia" w:ascii="仿宋" w:hAnsi="仿宋" w:eastAsia="仿宋"/>
          <w:b w:val="0"/>
          <w:bCs w:val="0"/>
        </w:rPr>
        <w:t>般公共预算财政拨款支出决算表</w:t>
      </w:r>
      <w:bookmarkEnd w:id="64"/>
    </w:p>
    <w:p>
      <w:pPr>
        <w:pStyle w:val="3"/>
        <w:rPr>
          <w:rFonts w:ascii="仿宋" w:hAnsi="仿宋" w:eastAsia="仿宋"/>
          <w:color w:val="000000"/>
        </w:rPr>
      </w:pPr>
      <w:bookmarkStart w:id="65" w:name="_Toc15396625"/>
      <w:r>
        <w:rPr>
          <w:rStyle w:val="18"/>
          <w:rFonts w:hint="eastAsia" w:ascii="仿宋" w:hAnsi="仿宋" w:eastAsia="仿宋"/>
          <w:b w:val="0"/>
          <w:bCs w:val="0"/>
        </w:rPr>
        <w:t>七、</w:t>
      </w:r>
      <w:r>
        <w:rPr>
          <w:rFonts w:hint="eastAsia" w:ascii="仿宋" w:hAnsi="仿宋" w:eastAsia="仿宋"/>
          <w:b w:val="0"/>
          <w:color w:val="000000"/>
        </w:rPr>
        <w:t>一</w:t>
      </w:r>
      <w:r>
        <w:rPr>
          <w:rStyle w:val="18"/>
          <w:rFonts w:hint="eastAsia" w:ascii="仿宋" w:hAnsi="仿宋" w:eastAsia="仿宋"/>
          <w:b w:val="0"/>
          <w:bCs w:val="0"/>
        </w:rPr>
        <w:t>般公共预算财政拨款支出决算明细表</w:t>
      </w:r>
      <w:bookmarkEnd w:id="65"/>
    </w:p>
    <w:p>
      <w:pPr>
        <w:pStyle w:val="3"/>
        <w:rPr>
          <w:rFonts w:ascii="仿宋" w:hAnsi="仿宋" w:eastAsia="仿宋"/>
          <w:color w:val="000000"/>
        </w:rPr>
      </w:pPr>
      <w:bookmarkStart w:id="66" w:name="_Toc15396626"/>
      <w:r>
        <w:rPr>
          <w:rStyle w:val="18"/>
          <w:rFonts w:hint="eastAsia" w:ascii="仿宋" w:hAnsi="仿宋" w:eastAsia="仿宋"/>
          <w:b w:val="0"/>
          <w:bCs w:val="0"/>
        </w:rPr>
        <w:t>八、</w:t>
      </w:r>
      <w:r>
        <w:rPr>
          <w:rFonts w:hint="eastAsia" w:ascii="仿宋" w:hAnsi="仿宋" w:eastAsia="仿宋"/>
          <w:b w:val="0"/>
          <w:color w:val="000000"/>
        </w:rPr>
        <w:t>一</w:t>
      </w:r>
      <w:r>
        <w:rPr>
          <w:rStyle w:val="18"/>
          <w:rFonts w:hint="eastAsia" w:ascii="仿宋" w:hAnsi="仿宋" w:eastAsia="仿宋"/>
          <w:b w:val="0"/>
          <w:bCs w:val="0"/>
        </w:rPr>
        <w:t>般公共预算财政拨款基本支出决算表</w:t>
      </w:r>
      <w:bookmarkEnd w:id="66"/>
    </w:p>
    <w:p>
      <w:pPr>
        <w:pStyle w:val="3"/>
        <w:rPr>
          <w:rFonts w:ascii="仿宋" w:hAnsi="仿宋" w:eastAsia="仿宋"/>
          <w:color w:val="000000"/>
        </w:rPr>
      </w:pPr>
      <w:bookmarkStart w:id="67" w:name="_Toc15396627"/>
      <w:r>
        <w:rPr>
          <w:rStyle w:val="18"/>
          <w:rFonts w:hint="eastAsia" w:ascii="仿宋" w:hAnsi="仿宋" w:eastAsia="仿宋"/>
          <w:b w:val="0"/>
          <w:bCs w:val="0"/>
        </w:rPr>
        <w:t>九、</w:t>
      </w:r>
      <w:r>
        <w:rPr>
          <w:rFonts w:hint="eastAsia" w:ascii="仿宋" w:hAnsi="仿宋" w:eastAsia="仿宋"/>
          <w:b w:val="0"/>
          <w:color w:val="000000"/>
        </w:rPr>
        <w:t>一</w:t>
      </w:r>
      <w:r>
        <w:rPr>
          <w:rStyle w:val="18"/>
          <w:rFonts w:hint="eastAsia" w:ascii="仿宋" w:hAnsi="仿宋" w:eastAsia="仿宋"/>
          <w:b w:val="0"/>
          <w:bCs w:val="0"/>
        </w:rPr>
        <w:t>般公共预算财政拨款项目支出决算表</w:t>
      </w:r>
      <w:bookmarkEnd w:id="67"/>
    </w:p>
    <w:p>
      <w:pPr>
        <w:pStyle w:val="3"/>
        <w:rPr>
          <w:rFonts w:ascii="仿宋" w:hAnsi="仿宋" w:eastAsia="仿宋"/>
          <w:color w:val="000000"/>
        </w:rPr>
      </w:pPr>
      <w:bookmarkStart w:id="68" w:name="_Toc15396628"/>
      <w:r>
        <w:rPr>
          <w:rStyle w:val="18"/>
          <w:rFonts w:hint="eastAsia" w:ascii="仿宋" w:hAnsi="仿宋" w:eastAsia="仿宋"/>
          <w:b w:val="0"/>
          <w:bCs w:val="0"/>
        </w:rPr>
        <w:t>十、</w:t>
      </w:r>
      <w:r>
        <w:rPr>
          <w:rFonts w:hint="eastAsia" w:ascii="仿宋" w:hAnsi="仿宋" w:eastAsia="仿宋"/>
          <w:b w:val="0"/>
          <w:color w:val="000000"/>
        </w:rPr>
        <w:t>一</w:t>
      </w:r>
      <w:r>
        <w:rPr>
          <w:rStyle w:val="18"/>
          <w:rFonts w:hint="eastAsia" w:ascii="仿宋" w:hAnsi="仿宋" w:eastAsia="仿宋"/>
          <w:b w:val="0"/>
          <w:bCs w:val="0"/>
        </w:rPr>
        <w:t>般公共预算财政拨款“三公”经费支出决算表</w:t>
      </w:r>
      <w:bookmarkEnd w:id="68"/>
    </w:p>
    <w:p>
      <w:pPr>
        <w:pStyle w:val="3"/>
        <w:rPr>
          <w:rFonts w:ascii="仿宋" w:hAnsi="仿宋" w:eastAsia="仿宋"/>
          <w:color w:val="000000"/>
        </w:rPr>
      </w:pPr>
      <w:bookmarkStart w:id="69" w:name="_Toc15396629"/>
      <w:r>
        <w:rPr>
          <w:rStyle w:val="18"/>
          <w:rFonts w:hint="eastAsia" w:ascii="仿宋" w:hAnsi="仿宋" w:eastAsia="仿宋"/>
          <w:b w:val="0"/>
          <w:bCs w:val="0"/>
        </w:rPr>
        <w:t>十一、</w:t>
      </w:r>
      <w:r>
        <w:rPr>
          <w:rFonts w:hint="eastAsia" w:ascii="仿宋" w:hAnsi="仿宋" w:eastAsia="仿宋"/>
          <w:b w:val="0"/>
          <w:color w:val="000000"/>
        </w:rPr>
        <w:t>政</w:t>
      </w:r>
      <w:r>
        <w:rPr>
          <w:rStyle w:val="18"/>
          <w:rFonts w:hint="eastAsia" w:ascii="仿宋" w:hAnsi="仿宋" w:eastAsia="仿宋"/>
          <w:b w:val="0"/>
          <w:bCs w:val="0"/>
        </w:rPr>
        <w:t>府性基金预算财政拨款收入支出决算表</w:t>
      </w:r>
      <w:bookmarkEnd w:id="69"/>
    </w:p>
    <w:p>
      <w:pPr>
        <w:pStyle w:val="3"/>
        <w:rPr>
          <w:rFonts w:ascii="仿宋" w:hAnsi="仿宋" w:eastAsia="仿宋"/>
          <w:color w:val="000000"/>
        </w:rPr>
      </w:pPr>
      <w:bookmarkStart w:id="70" w:name="_Toc15396630"/>
      <w:r>
        <w:rPr>
          <w:rStyle w:val="18"/>
          <w:rFonts w:hint="eastAsia" w:ascii="仿宋" w:hAnsi="仿宋" w:eastAsia="仿宋"/>
          <w:b w:val="0"/>
          <w:bCs w:val="0"/>
        </w:rPr>
        <w:t>十二、</w:t>
      </w:r>
      <w:r>
        <w:rPr>
          <w:rFonts w:hint="eastAsia" w:ascii="仿宋" w:hAnsi="仿宋" w:eastAsia="仿宋"/>
          <w:b w:val="0"/>
          <w:color w:val="000000"/>
        </w:rPr>
        <w:t>政</w:t>
      </w:r>
      <w:r>
        <w:rPr>
          <w:rStyle w:val="18"/>
          <w:rFonts w:hint="eastAsia" w:ascii="仿宋" w:hAnsi="仿宋" w:eastAsia="仿宋"/>
          <w:b w:val="0"/>
          <w:bCs w:val="0"/>
        </w:rPr>
        <w:t>府性基金预算财政拨款“三公”经费支出决算表</w:t>
      </w:r>
      <w:bookmarkEnd w:id="70"/>
    </w:p>
    <w:p>
      <w:pPr>
        <w:pStyle w:val="3"/>
        <w:rPr>
          <w:rFonts w:ascii="仿宋" w:hAnsi="仿宋" w:eastAsia="仿宋"/>
          <w:color w:val="000000"/>
        </w:rPr>
      </w:pPr>
      <w:bookmarkStart w:id="71" w:name="_Toc15396631"/>
      <w:r>
        <w:rPr>
          <w:rStyle w:val="18"/>
          <w:rFonts w:hint="eastAsia" w:ascii="仿宋" w:hAnsi="仿宋" w:eastAsia="仿宋"/>
          <w:b w:val="0"/>
          <w:bCs w:val="0"/>
        </w:rPr>
        <w:t>十三、</w:t>
      </w:r>
      <w:r>
        <w:rPr>
          <w:rFonts w:hint="eastAsia" w:ascii="仿宋" w:hAnsi="仿宋" w:eastAsia="仿宋"/>
          <w:b w:val="0"/>
          <w:color w:val="000000"/>
        </w:rPr>
        <w:t>国</w:t>
      </w:r>
      <w:r>
        <w:rPr>
          <w:rStyle w:val="18"/>
          <w:rFonts w:hint="eastAsia" w:ascii="仿宋" w:hAnsi="仿宋" w:eastAsia="仿宋"/>
          <w:b w:val="0"/>
          <w:bCs w:val="0"/>
        </w:rPr>
        <w:t>有资本经营预算支出决算表</w:t>
      </w:r>
      <w:bookmarkEnd w:id="71"/>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FB" w:usb2="0000002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楷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Lucida Sans">
    <w:panose1 w:val="020B0602030504020204"/>
    <w:charset w:val="01"/>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5569794"/>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A6B2F"/>
    <w:multiLevelType w:val="singleLevel"/>
    <w:tmpl w:val="97DA6B2F"/>
    <w:lvl w:ilvl="0" w:tentative="0">
      <w:start w:val="1"/>
      <w:numFmt w:val="chineseCounting"/>
      <w:suff w:val="nothing"/>
      <w:lvlText w:val="（%1）"/>
      <w:lvlJc w:val="left"/>
      <w:rPr>
        <w:rFonts w:hint="eastAsia"/>
      </w:rPr>
    </w:lvl>
  </w:abstractNum>
  <w:abstractNum w:abstractNumId="1">
    <w:nsid w:val="B026C66B"/>
    <w:multiLevelType w:val="singleLevel"/>
    <w:tmpl w:val="B026C66B"/>
    <w:lvl w:ilvl="0" w:tentative="0">
      <w:start w:val="1"/>
      <w:numFmt w:val="decimal"/>
      <w:lvlText w:val="%1."/>
      <w:lvlJc w:val="left"/>
      <w:pPr>
        <w:tabs>
          <w:tab w:val="left" w:pos="312"/>
        </w:tabs>
      </w:pPr>
    </w:lvl>
  </w:abstractNum>
  <w:abstractNum w:abstractNumId="2">
    <w:nsid w:val="C5B334E4"/>
    <w:multiLevelType w:val="singleLevel"/>
    <w:tmpl w:val="C5B334E4"/>
    <w:lvl w:ilvl="0" w:tentative="0">
      <w:start w:val="1"/>
      <w:numFmt w:val="decimal"/>
      <w:suff w:val="nothing"/>
      <w:lvlText w:val="%1、"/>
      <w:lvlJc w:val="left"/>
    </w:lvl>
  </w:abstractNum>
  <w:abstractNum w:abstractNumId="3">
    <w:nsid w:val="CF652CEC"/>
    <w:multiLevelType w:val="singleLevel"/>
    <w:tmpl w:val="CF652CEC"/>
    <w:lvl w:ilvl="0" w:tentative="0">
      <w:start w:val="9"/>
      <w:numFmt w:val="chineseCounting"/>
      <w:suff w:val="nothing"/>
      <w:lvlText w:val="%1、"/>
      <w:lvlJc w:val="left"/>
      <w:rPr>
        <w:rFonts w:hint="eastAsia"/>
      </w:rPr>
    </w:lvl>
  </w:abstractNum>
  <w:abstractNum w:abstractNumId="4">
    <w:nsid w:val="E2FA047D"/>
    <w:multiLevelType w:val="singleLevel"/>
    <w:tmpl w:val="E2FA047D"/>
    <w:lvl w:ilvl="0" w:tentative="0">
      <w:start w:val="3"/>
      <w:numFmt w:val="chineseCounting"/>
      <w:suff w:val="space"/>
      <w:lvlText w:val="第%1部分"/>
      <w:lvlJc w:val="left"/>
      <w:rPr>
        <w:rFonts w:hint="eastAsia"/>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139E4742"/>
    <w:multiLevelType w:val="multilevel"/>
    <w:tmpl w:val="139E474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F5F04AE"/>
    <w:multiLevelType w:val="singleLevel"/>
    <w:tmpl w:val="2F5F04AE"/>
    <w:lvl w:ilvl="0" w:tentative="0">
      <w:start w:val="3"/>
      <w:numFmt w:val="decimal"/>
      <w:lvlText w:val="%1."/>
      <w:lvlJc w:val="left"/>
      <w:pPr>
        <w:tabs>
          <w:tab w:val="left" w:pos="312"/>
        </w:tabs>
      </w:pPr>
    </w:lvl>
  </w:abstractNum>
  <w:abstractNum w:abstractNumId="8">
    <w:nsid w:val="62BDE4A6"/>
    <w:multiLevelType w:val="singleLevel"/>
    <w:tmpl w:val="62BDE4A6"/>
    <w:lvl w:ilvl="0" w:tentative="0">
      <w:start w:val="2"/>
      <w:numFmt w:val="chineseCounting"/>
      <w:suff w:val="nothing"/>
      <w:lvlText w:val="%1、"/>
      <w:lvlJc w:val="left"/>
      <w:rPr>
        <w:rFonts w:hint="eastAsia"/>
      </w:rPr>
    </w:lvl>
  </w:abstractNum>
  <w:num w:numId="1">
    <w:abstractNumId w:val="8"/>
  </w:num>
  <w:num w:numId="2">
    <w:abstractNumId w:val="5"/>
  </w:num>
  <w:num w:numId="3">
    <w:abstractNumId w:val="7"/>
  </w:num>
  <w:num w:numId="4">
    <w:abstractNumId w:val="2"/>
  </w:num>
  <w:num w:numId="5">
    <w:abstractNumId w:val="3"/>
  </w:num>
  <w:num w:numId="6">
    <w:abstractNumId w:val="6"/>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rsids>
    <w:rsidRoot w:val="00000000"/>
    <w:rsid w:val="7DFBBA4D"/>
    <w:rsid w:val="98DFC2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link w:val="18"/>
    <w:qFormat/>
    <w:uiPriority w:val="0"/>
    <w:pPr>
      <w:keepNext/>
      <w:keepLines/>
      <w:widowControl w:val="0"/>
      <w:spacing w:before="260" w:after="260" w:line="415" w:lineRule="auto"/>
      <w:outlineLvl w:val="1"/>
    </w:pPr>
    <w:rPr>
      <w:rFonts w:ascii="Cambria" w:hAnsi="Cambria" w:eastAsia="宋体" w:cs="Times New Roman"/>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before="30" w:beforeLines="30"/>
    </w:pPr>
    <w:rPr>
      <w:rFonts w:ascii="仿宋_GB2312" w:eastAsia="仿宋_GB2312"/>
      <w:kern w:val="0"/>
      <w:sz w:val="30"/>
    </w:rPr>
  </w:style>
  <w:style w:type="paragraph" w:styleId="6">
    <w:name w:val="toc 3"/>
    <w:basedOn w:val="1"/>
    <w:next w:val="1"/>
    <w:qFormat/>
    <w:uiPriority w:val="0"/>
    <w:pPr>
      <w:tabs>
        <w:tab w:val="right" w:leader="dot" w:pos="8296"/>
      </w:tabs>
      <w:ind w:left="400" w:leftChars="400"/>
    </w:p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qFormat/>
    <w:uiPriority w:val="0"/>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0"/>
    <w:pPr>
      <w:tabs>
        <w:tab w:val="right" w:leader="dot" w:pos="8296"/>
      </w:tabs>
      <w:ind w:left="200" w:leftChars="200"/>
    </w:p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character" w:customStyle="1" w:styleId="17">
    <w:name w:val="heading 1 Char"/>
    <w:basedOn w:val="14"/>
    <w:link w:val="2"/>
    <w:qFormat/>
    <w:uiPriority w:val="0"/>
    <w:rPr>
      <w:rFonts w:ascii="Times New Roman" w:hAnsi="Times New Roman" w:eastAsia="宋体" w:cs="Times New Roman"/>
      <w:b/>
      <w:bCs/>
      <w:kern w:val="44"/>
      <w:sz w:val="44"/>
      <w:szCs w:val="44"/>
      <w:lang w:val="en-US" w:eastAsia="zh-CN" w:bidi="ar-SA"/>
    </w:rPr>
  </w:style>
  <w:style w:type="character" w:customStyle="1" w:styleId="18">
    <w:name w:val="heading 2 Char"/>
    <w:basedOn w:val="14"/>
    <w:link w:val="3"/>
    <w:qFormat/>
    <w:uiPriority w:val="0"/>
    <w:rPr>
      <w:rFonts w:ascii="Cambria" w:hAnsi="Times New Roman" w:eastAsia="宋体" w:cs="Times New Roman"/>
      <w:b/>
      <w:bCs/>
      <w:kern w:val="2"/>
      <w:sz w:val="32"/>
      <w:szCs w:val="32"/>
      <w:lang w:val="en-US" w:eastAsia="zh-CN" w:bidi="ar-SA"/>
    </w:rPr>
  </w:style>
  <w:style w:type="character" w:customStyle="1" w:styleId="19">
    <w:name w:val="Header Char"/>
    <w:basedOn w:val="14"/>
    <w:qFormat/>
    <w:uiPriority w:val="0"/>
    <w:rPr>
      <w:rFonts w:ascii="Times New Roman" w:hAnsi="Times New Roman"/>
      <w:sz w:val="18"/>
      <w:szCs w:val="18"/>
    </w:rPr>
  </w:style>
  <w:style w:type="character" w:customStyle="1" w:styleId="20">
    <w:name w:val="Footer Char"/>
    <w:basedOn w:val="14"/>
    <w:qFormat/>
    <w:uiPriority w:val="0"/>
    <w:rPr>
      <w:rFonts w:ascii="Times New Roman" w:hAnsi="Times New Roman"/>
      <w:sz w:val="18"/>
      <w:szCs w:val="18"/>
    </w:rPr>
  </w:style>
  <w:style w:type="character" w:customStyle="1" w:styleId="21">
    <w:name w:val="Body Text Char"/>
    <w:basedOn w:val="14"/>
    <w:qFormat/>
    <w:uiPriority w:val="0"/>
    <w:rPr>
      <w:rFonts w:ascii="Times New Roman" w:hAnsi="Times New Roman"/>
      <w:szCs w:val="24"/>
    </w:rPr>
  </w:style>
  <w:style w:type="paragraph" w:customStyle="1" w:styleId="22">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0"/>
    <w:pPr>
      <w:ind w:firstLine="200" w:firstLineChars="200"/>
    </w:pPr>
  </w:style>
  <w:style w:type="paragraph" w:customStyle="1" w:styleId="24">
    <w:name w:val="TOC 标题1"/>
    <w:basedOn w:val="2"/>
    <w:next w:val="1"/>
    <w:qFormat/>
    <w:uiPriority w:val="0"/>
    <w:pPr>
      <w:keepNext/>
      <w:keepLines/>
      <w:widowControl/>
      <w:spacing w:before="480" w:after="0" w:line="276" w:lineRule="auto"/>
      <w:jc w:val="left"/>
      <w:outlineLvl w:val="9"/>
    </w:pPr>
    <w:rPr>
      <w:rFonts w:ascii="Cambria" w:hAnsi="Cambria" w:eastAsia="宋体" w:cs="Times New Roman"/>
      <w:color w:val="366091"/>
      <w:kern w:val="0"/>
      <w:sz w:val="28"/>
      <w:szCs w:val="28"/>
    </w:rPr>
  </w:style>
  <w:style w:type="paragraph" w:customStyle="1" w:styleId="25">
    <w:name w:val="TOC Heading"/>
    <w:basedOn w:val="2"/>
    <w:next w:val="1"/>
    <w:qFormat/>
    <w:uiPriority w:val="0"/>
    <w:pPr>
      <w:keepNext/>
      <w:keepLines/>
      <w:widowControl/>
      <w:spacing w:before="480" w:after="0" w:line="276" w:lineRule="auto"/>
      <w:jc w:val="left"/>
      <w:outlineLvl w:val="9"/>
    </w:pPr>
    <w:rPr>
      <w:rFonts w:ascii="Cambria" w:hAnsi="Cambria" w:eastAsia="宋体" w:cs="Times New Roman"/>
      <w:color w:val="366091"/>
      <w:kern w:val="0"/>
      <w:sz w:val="28"/>
      <w:szCs w:val="28"/>
    </w:rPr>
  </w:style>
  <w:style w:type="paragraph" w:customStyle="1" w:styleId="26">
    <w:name w:val="msolistparagraph"/>
    <w:basedOn w:val="1"/>
    <w:qFormat/>
    <w:uiPriority w:val="0"/>
    <w:pPr>
      <w:ind w:firstLine="200" w:firstLineChars="200"/>
    </w:pPr>
    <w:rPr>
      <w:rFonts w:ascii="Times New Roman" w:hAnsi="Times New Roman" w:eastAsia="宋体" w:cs="Times New Roman"/>
    </w:rPr>
  </w:style>
  <w:style w:type="paragraph" w:customStyle="1" w:styleId="27">
    <w:name w:val="样式 样式 样式 样式 样式 样式 样式 样式 样式 首行缩进:  3.5 字符 + 首行缩进:  2 字符 段前: 0.5 行..."/>
    <w:basedOn w:val="1"/>
    <w:qFormat/>
    <w:uiPriority w:val="0"/>
    <w:pPr>
      <w:spacing w:before="50" w:beforeLines="50" w:after="50" w:afterLines="50" w:line="360" w:lineRule="auto"/>
      <w:ind w:firstLine="200" w:firstLineChars="200"/>
    </w:pPr>
    <w:rPr>
      <w:rFonts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2019年</c:v>
                </c:pt>
              </c:strCache>
            </c:strRef>
          </c:tx>
          <c:spPr>
            <a:solidFill>
              <a:srgbClr val="4F81BD"/>
            </a:solidFill>
            <a:ln>
              <a:noFill/>
            </a:ln>
          </c:spPr>
          <c:invertIfNegative val="false"/>
          <c:dLbls>
            <c:dLbl>
              <c:idx val="0"/>
              <c:delete val="true"/>
            </c:dLbl>
            <c:dLbl>
              <c:idx val="1"/>
              <c:delete val="true"/>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dLblPos val="outEnd"/>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决算收入</c:v>
                </c:pt>
                <c:pt idx="1">
                  <c:v>决算支出</c:v>
                </c:pt>
              </c:strCache>
            </c:strRef>
          </c:cat>
          <c:val>
            <c:numRef>
              <c:f>'Sheet1'!$B$2:$B$3</c:f>
              <c:numCache>
                <c:formatCode>General</c:formatCode>
                <c:ptCount val="2"/>
                <c:pt idx="0">
                  <c:v>1012.16</c:v>
                </c:pt>
                <c:pt idx="1">
                  <c:v>1037.34</c:v>
                </c:pt>
              </c:numCache>
            </c:numRef>
          </c:val>
        </c:ser>
        <c:ser>
          <c:idx val="1"/>
          <c:order val="1"/>
          <c:tx>
            <c:strRef>
              <c:f>'Sheet1'!$C$1</c:f>
              <c:strCache>
                <c:ptCount val="1"/>
                <c:pt idx="0">
                  <c:v>2018年</c:v>
                </c:pt>
              </c:strCache>
            </c:strRef>
          </c:tx>
          <c:spPr>
            <a:solidFill>
              <a:srgbClr val="C0504D"/>
            </a:solidFill>
            <a:ln>
              <a:noFill/>
            </a:ln>
          </c:spPr>
          <c:invertIfNegative val="false"/>
          <c:dLbls>
            <c:dLbl>
              <c:idx val="0"/>
              <c:delete val="true"/>
            </c:dLbl>
            <c:dLbl>
              <c:idx val="1"/>
              <c:delete val="true"/>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dLblPos val="outEnd"/>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决算收入</c:v>
                </c:pt>
                <c:pt idx="1">
                  <c:v>决算支出</c:v>
                </c:pt>
              </c:strCache>
            </c:strRef>
          </c:cat>
          <c:val>
            <c:numRef>
              <c:f>'Sheet1'!$C$2:$C$3</c:f>
              <c:numCache>
                <c:formatCode>General</c:formatCode>
                <c:ptCount val="2"/>
                <c:pt idx="0">
                  <c:v>585.1</c:v>
                </c:pt>
                <c:pt idx="1">
                  <c:v>608.3</c:v>
                </c:pt>
              </c:numCache>
            </c:numRef>
          </c:val>
        </c:ser>
        <c:dLbls>
          <c:showLegendKey val="false"/>
          <c:showVal val="false"/>
          <c:showCatName val="false"/>
          <c:showSerName val="false"/>
          <c:showPercent val="false"/>
          <c:showBubbleSize val="false"/>
        </c:dLbls>
        <c:gapWidth val="150"/>
        <c:axId val="0"/>
        <c:axId val="1"/>
      </c:barChart>
      <c:catAx>
        <c:axId val="0"/>
        <c:scaling>
          <c:orientation val="minMax"/>
        </c:scaling>
        <c:delete val="false"/>
        <c:axPos val="b"/>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crossAx val="1"/>
        <c:crosses val="autoZero"/>
        <c:auto val="false"/>
        <c:lblAlgn val="ctr"/>
        <c:lblOffset val="100"/>
        <c:noMultiLvlLbl val="false"/>
      </c:catAx>
      <c:valAx>
        <c:axId val="1"/>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crossAx val="0"/>
        <c:crossesAt val="1"/>
        <c:crossBetween val="between"/>
      </c:valAx>
      <c:spPr>
        <a:solidFill>
          <a:srgbClr val="FFFFFF"/>
        </a:solidFill>
      </c:spPr>
    </c:plotArea>
    <c:legend>
      <c:legendPos val="r"/>
      <c:layout/>
      <c:overlay val="false"/>
      <c:spPr>
        <a:noFill/>
        <a:ln>
          <a:noFill/>
        </a:ln>
      </c:spPr>
      <c:txPr>
        <a:bodyPr rot="0" spcFirstLastPara="0" vertOverflow="ellipsis" vert="horz" wrap="square"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legend>
    <c:plotVisOnly val="true"/>
    <c:dispBlanksAs val="gap"/>
    <c:showDLblsOverMax val="false"/>
  </c:chart>
  <c:txPr>
    <a:bodyPr/>
    <a:lstStyle/>
    <a:p>
      <a:pPr>
        <a:defRPr lang="zh-CN" sz="1000" b="0" i="0" u="none" strike="noStrike" baseline="0">
          <a:solidFill>
            <a:srgbClr val="000000"/>
          </a:solidFill>
          <a:latin typeface="Times New Roman" panose="02020603050405020304"/>
          <a:ea typeface="宋体" panose="02010600030101010101" charset="-122"/>
          <a:cs typeface="Lucida Sans" panose="020B0602030504020204"/>
        </a:defRPr>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26486877"/>
          <c:y val="0.17915377"/>
          <c:w val="0.55939204"/>
          <c:h val="0.72177505"/>
        </c:manualLayout>
      </c:layout>
      <c:pieChart>
        <c:varyColors val="false"/>
        <c:ser>
          <c:idx val="0"/>
          <c:order val="0"/>
          <c:tx>
            <c:strRef>
              <c:f>'Sheet1 (2)'!$B$1</c:f>
              <c:strCache>
                <c:ptCount val="1"/>
                <c:pt idx="0">
                  <c:v>2019年收入</c:v>
                </c:pt>
              </c:strCache>
            </c:strRef>
          </c:tx>
          <c:spPr>
            <a:solidFill>
              <a:srgbClr val="4F81BD"/>
            </a:solidFill>
          </c:spPr>
          <c:explosion val="0"/>
          <c:dLbls>
            <c:dLbl>
              <c:idx val="0"/>
              <c:delete val="true"/>
            </c:dLbl>
            <c:dLbl>
              <c:idx val="1"/>
              <c:delete val="true"/>
            </c:dLbl>
            <c:dLbl>
              <c:idx val="2"/>
              <c:delete val="true"/>
            </c:dLbl>
            <c:dLbl>
              <c:idx val="3"/>
              <c:delete val="true"/>
            </c:dLbl>
            <c:dLbl>
              <c:idx val="4"/>
              <c:delete val="true"/>
            </c:dLbl>
            <c:dLbl>
              <c:idx val="5"/>
              <c:delete val="true"/>
            </c:dLbl>
            <c:dLbl>
              <c:idx val="6"/>
              <c:delete val="true"/>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dLblPos val="bestFit"/>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 (2)'!$A$2:$A$8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其他收入</c:v>
                </c:pt>
              </c:strCache>
            </c:strRef>
          </c:cat>
          <c:val>
            <c:numRef>
              <c:f>'Sheet1 (2)'!$B$2:$B$8</c:f>
              <c:numCache>
                <c:formatCode>General</c:formatCode>
                <c:ptCount val="7"/>
                <c:pt idx="0">
                  <c:v>100</c:v>
                </c:pt>
                <c:pt idx="1">
                  <c:v>0</c:v>
                </c:pt>
                <c:pt idx="2">
                  <c:v>0</c:v>
                </c:pt>
                <c:pt idx="3">
                  <c:v>0</c:v>
                </c:pt>
                <c:pt idx="4">
                  <c:v>0</c:v>
                </c:pt>
                <c:pt idx="5">
                  <c:v>0</c:v>
                </c:pt>
                <c:pt idx="6">
                  <c:v>0</c:v>
                </c:pt>
              </c:numCache>
            </c:numRef>
          </c:val>
        </c:ser>
        <c:dLbls>
          <c:showLegendKey val="false"/>
          <c:showVal val="false"/>
          <c:showCatName val="false"/>
          <c:showSerName val="false"/>
          <c:showPercent val="false"/>
          <c:showBubbleSize val="false"/>
          <c:showLeaderLines val="true"/>
        </c:dLbls>
        <c:firstSliceAng val="15"/>
      </c:pieChart>
      <c:spPr>
        <a:noFill/>
        <a:ln>
          <a:noFill/>
        </a:ln>
      </c:spPr>
    </c:plotArea>
    <c:legend>
      <c:legendPos val="r"/>
      <c:layout>
        <c:manualLayout>
          <c:xMode val="edge"/>
          <c:yMode val="edge"/>
          <c:x val="0.65570796"/>
          <c:y val="0.19330229"/>
          <c:w val="0.32984465"/>
          <c:h val="0.69347763"/>
        </c:manualLayout>
      </c:layout>
      <c:overlay val="false"/>
      <c:spPr>
        <a:noFill/>
        <a:ln>
          <a:noFill/>
        </a:ln>
      </c:spPr>
      <c:txPr>
        <a:bodyPr rot="0" spcFirstLastPara="0" vertOverflow="ellipsis" vert="horz" wrap="square"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legend>
    <c:plotVisOnly val="true"/>
    <c:dispBlanksAs val="gap"/>
    <c:showDLblsOverMax val="false"/>
  </c:chart>
  <c:txPr>
    <a:bodyPr/>
    <a:lstStyle/>
    <a:p>
      <a:pPr>
        <a:defRPr lang="zh-CN" sz="1000" b="0" i="0" u="none" strike="noStrike" baseline="0">
          <a:solidFill>
            <a:srgbClr val="000000"/>
          </a:solidFill>
          <a:latin typeface="Times New Roman" panose="02020603050405020304"/>
          <a:ea typeface="宋体" panose="02010600030101010101" charset="-122"/>
          <a:cs typeface="Lucida Sans" panose="020B0602030504020204"/>
        </a:defRPr>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rgbClr val="000000"/>
                </a:solidFill>
                <a:latin typeface="Times New Roman" panose="02020603050405020304"/>
                <a:ea typeface="宋体" panose="02010600030101010101" charset="-122"/>
                <a:cs typeface="Lucida Sans" panose="020B0602030504020204"/>
              </a:defRPr>
            </a:pPr>
            <a:r>
              <a:rPr lang="zh-CN"/>
              <a:t>支出决算</a:t>
            </a:r>
            <a:endParaRPr lang="zh-CN"/>
          </a:p>
        </c:rich>
      </c:tx>
      <c:layout/>
      <c:overlay val="false"/>
      <c:spPr>
        <a:ln>
          <a:noFill/>
        </a:ln>
      </c:spPr>
    </c:title>
    <c:autoTitleDeleted val="false"/>
    <c:plotArea>
      <c:layout/>
      <c:pieChart>
        <c:varyColors val="false"/>
        <c:ser>
          <c:idx val="0"/>
          <c:order val="0"/>
          <c:tx>
            <c:strRef>
              <c:f>'Sheet1 (3)'!$B$1</c:f>
              <c:strCache>
                <c:ptCount val="1"/>
                <c:pt idx="0">
                  <c:v>支出决算</c:v>
                </c:pt>
              </c:strCache>
            </c:strRef>
          </c:tx>
          <c:spPr>
            <a:solidFill>
              <a:srgbClr val="4F81BD"/>
            </a:solidFill>
            <a:ln>
              <a:noFill/>
            </a:ln>
          </c:spPr>
          <c:explosion val="0"/>
          <c:dLbls>
            <c:dLbl>
              <c:idx val="0"/>
              <c:delete val="true"/>
            </c:dLbl>
            <c:dLbl>
              <c:idx val="1"/>
              <c:delete val="true"/>
            </c:dLbl>
            <c:dLbl>
              <c:idx val="2"/>
              <c:delete val="true"/>
            </c:dLbl>
            <c:dLbl>
              <c:idx val="3"/>
              <c:delete val="true"/>
            </c:dLbl>
            <c:dLbl>
              <c:idx val="4"/>
              <c:delete val="true"/>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dLblPos val="bestFit"/>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 (3)'!$A$2:$A$6</c:f>
              <c:strCache>
                <c:ptCount val="5"/>
                <c:pt idx="0">
                  <c:v>基本支出</c:v>
                </c:pt>
                <c:pt idx="1">
                  <c:v>项目支出</c:v>
                </c:pt>
                <c:pt idx="2">
                  <c:v>上缴上级支出</c:v>
                </c:pt>
                <c:pt idx="3">
                  <c:v>经营支出</c:v>
                </c:pt>
                <c:pt idx="4">
                  <c:v>对附属单位补助支出</c:v>
                </c:pt>
              </c:strCache>
            </c:strRef>
          </c:cat>
          <c:val>
            <c:numRef>
              <c:f>'Sheet1 (3)'!$B$2:$B$6</c:f>
              <c:numCache>
                <c:formatCode>0.00%</c:formatCode>
                <c:ptCount val="5"/>
                <c:pt idx="0">
                  <c:v>0.6185</c:v>
                </c:pt>
                <c:pt idx="1">
                  <c:v>0.3815</c:v>
                </c:pt>
                <c:pt idx="2">
                  <c:v>0</c:v>
                </c:pt>
                <c:pt idx="3">
                  <c:v>0</c:v>
                </c:pt>
                <c:pt idx="4">
                  <c:v>0</c:v>
                </c:pt>
              </c:numCache>
            </c:numRef>
          </c:val>
        </c:ser>
        <c:dLbls>
          <c:showLegendKey val="false"/>
          <c:showVal val="false"/>
          <c:showCatName val="false"/>
          <c:showSerName val="false"/>
          <c:showPercent val="false"/>
          <c:showBubbleSize val="false"/>
          <c:showLeaderLines val="true"/>
        </c:dLbls>
        <c:firstSliceAng val="15"/>
      </c:pieChart>
      <c:spPr>
        <a:noFill/>
        <a:ln>
          <a:noFill/>
        </a:ln>
      </c:spPr>
    </c:plotArea>
    <c:legend>
      <c:legendPos val="r"/>
      <c:layout/>
      <c:overlay val="false"/>
      <c:spPr>
        <a:noFill/>
        <a:ln>
          <a:noFill/>
        </a:ln>
      </c:spPr>
      <c:txPr>
        <a:bodyPr rot="0" spcFirstLastPara="0" vertOverflow="ellipsis" vert="horz" wrap="square"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legend>
    <c:plotVisOnly val="true"/>
    <c:dispBlanksAs val="gap"/>
    <c:showDLblsOverMax val="false"/>
  </c:chart>
  <c:txPr>
    <a:bodyPr/>
    <a:lstStyle/>
    <a:p>
      <a:pPr>
        <a:defRPr lang="zh-CN" sz="1000" b="0" i="0" u="none" strike="noStrike" baseline="0">
          <a:solidFill>
            <a:srgbClr val="000000"/>
          </a:solidFill>
          <a:latin typeface="Times New Roman" panose="02020603050405020304"/>
          <a:ea typeface="宋体" panose="02010600030101010101" charset="-122"/>
          <a:cs typeface="Lucida Sans" panose="020B0602030504020204"/>
        </a:defRPr>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 (5)'!$B$1</c:f>
              <c:strCache>
                <c:ptCount val="1"/>
                <c:pt idx="0">
                  <c:v>2019年</c:v>
                </c:pt>
              </c:strCache>
            </c:strRef>
          </c:tx>
          <c:spPr>
            <a:solidFill>
              <a:srgbClr val="4F81BD"/>
            </a:solidFill>
          </c:spPr>
          <c:invertIfNegative val="false"/>
          <c:dLbls>
            <c:dLbl>
              <c:idx val="0"/>
              <c:delete val="true"/>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dLblPos val="outEnd"/>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 (5)'!$A$2</c:f>
              <c:strCache>
                <c:ptCount val="1"/>
                <c:pt idx="0">
                  <c:v>一般公共预算财政拨款支出</c:v>
                </c:pt>
              </c:strCache>
            </c:strRef>
          </c:cat>
          <c:val>
            <c:numRef>
              <c:f>Sheet1 (5)!$B$2</c:f>
              <c:numCache>
                <c:formatCode>General</c:formatCode>
                <c:ptCount val="1"/>
                <c:pt idx="0">
                  <c:v>1037.34</c:v>
                </c:pt>
              </c:numCache>
            </c:numRef>
          </c:val>
        </c:ser>
        <c:ser>
          <c:idx val="1"/>
          <c:order val="1"/>
          <c:tx>
            <c:strRef>
              <c:f>'Sheet1 (5)'!$C$1</c:f>
              <c:strCache>
                <c:ptCount val="1"/>
                <c:pt idx="0">
                  <c:v>2018</c:v>
                </c:pt>
              </c:strCache>
            </c:strRef>
          </c:tx>
          <c:spPr>
            <a:solidFill>
              <a:srgbClr val="C0504D"/>
            </a:solidFill>
          </c:spPr>
          <c:invertIfNegative val="false"/>
          <c:dLbls>
            <c:dLbl>
              <c:idx val="0"/>
              <c:delete val="true"/>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dLblPos val="outEnd"/>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 (5)'!$A$2</c:f>
              <c:strCache>
                <c:ptCount val="1"/>
                <c:pt idx="0">
                  <c:v>一般公共预算财政拨款支出</c:v>
                </c:pt>
              </c:strCache>
            </c:strRef>
          </c:cat>
          <c:val>
            <c:numRef>
              <c:f>Sheet1 (5)!$C$2</c:f>
              <c:numCache>
                <c:formatCode>General</c:formatCode>
                <c:ptCount val="1"/>
                <c:pt idx="0">
                  <c:v>608.3</c:v>
                </c:pt>
              </c:numCache>
            </c:numRef>
          </c:val>
        </c:ser>
        <c:dLbls>
          <c:showLegendKey val="false"/>
          <c:showVal val="false"/>
          <c:showCatName val="false"/>
          <c:showSerName val="false"/>
          <c:showPercent val="false"/>
          <c:showBubbleSize val="false"/>
        </c:dLbls>
        <c:gapWidth val="150"/>
        <c:axId val="0"/>
        <c:axId val="1"/>
      </c:barChart>
      <c:catAx>
        <c:axId val="0"/>
        <c:scaling>
          <c:orientation val="minMax"/>
        </c:scaling>
        <c:delete val="false"/>
        <c:axPos val="b"/>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crossAx val="1"/>
        <c:crosses val="autoZero"/>
        <c:auto val="false"/>
        <c:lblAlgn val="ctr"/>
        <c:lblOffset val="100"/>
        <c:noMultiLvlLbl val="false"/>
      </c:catAx>
      <c:valAx>
        <c:axId val="1"/>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crossAx val="0"/>
        <c:crossesAt val="1"/>
        <c:crossBetween val="between"/>
      </c:valAx>
      <c:spPr>
        <a:solidFill>
          <a:srgbClr val="FFFFFF"/>
        </a:solidFill>
      </c:spPr>
    </c:plotArea>
    <c:legend>
      <c:legendPos val="r"/>
      <c:layout/>
      <c:overlay val="false"/>
      <c:spPr>
        <a:noFill/>
        <a:ln>
          <a:noFill/>
        </a:ln>
      </c:spPr>
      <c:txPr>
        <a:bodyPr rot="0" spcFirstLastPara="0" vertOverflow="ellipsis" vert="horz" wrap="square"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legend>
    <c:plotVisOnly val="true"/>
    <c:dispBlanksAs val="gap"/>
    <c:showDLblsOverMax val="false"/>
  </c:chart>
  <c:txPr>
    <a:bodyPr/>
    <a:lstStyle/>
    <a:p>
      <a:pPr>
        <a:defRPr lang="zh-CN" sz="1000" b="0" i="0" u="none" strike="noStrike" baseline="0">
          <a:solidFill>
            <a:srgbClr val="000000"/>
          </a:solidFill>
          <a:latin typeface="Times New Roman" panose="02020603050405020304"/>
          <a:ea typeface="宋体" panose="02010600030101010101" charset="-122"/>
          <a:cs typeface="Lucida Sans" panose="020B0602030504020204"/>
        </a:defRPr>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false"/>
        <c:ser>
          <c:idx val="0"/>
          <c:order val="0"/>
          <c:tx>
            <c:strRef>
              <c:f>'Sheet1 (6)'!$B$1</c:f>
              <c:strCache>
                <c:ptCount val="1"/>
                <c:pt idx="0">
                  <c:v>2019年一般公共预算财政拨款支出</c:v>
                </c:pt>
              </c:strCache>
            </c:strRef>
          </c:tx>
          <c:spPr>
            <a:solidFill>
              <a:srgbClr val="4F81BD"/>
            </a:solidFill>
          </c:spPr>
          <c:explosion val="0"/>
          <c:dLbls>
            <c:dLbl>
              <c:idx val="0"/>
              <c:delete val="true"/>
            </c:dLbl>
            <c:dLbl>
              <c:idx val="1"/>
              <c:delete val="true"/>
            </c:dLbl>
            <c:dLbl>
              <c:idx val="2"/>
              <c:delete val="true"/>
            </c:dLbl>
            <c:dLbl>
              <c:idx val="3"/>
              <c:delete val="true"/>
            </c:dLbl>
            <c:dLbl>
              <c:idx val="4"/>
              <c:delete val="true"/>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dLblPos val="bestFit"/>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 (6)'!$A$2:$A$6</c:f>
              <c:strCache>
                <c:ptCount val="5"/>
                <c:pt idx="0">
                  <c:v>农林水（类）支出</c:v>
                </c:pt>
                <c:pt idx="1">
                  <c:v>社会保障和就业（类）支出</c:v>
                </c:pt>
                <c:pt idx="2">
                  <c:v>医疗卫生与计划生育(类)支出</c:v>
                </c:pt>
                <c:pt idx="3">
                  <c:v>节能环保（类）支出</c:v>
                </c:pt>
                <c:pt idx="4">
                  <c:v>住房保障（类）支出</c:v>
                </c:pt>
              </c:strCache>
            </c:strRef>
          </c:cat>
          <c:val>
            <c:numRef>
              <c:f>'Sheet1 (6)'!$B$2:$B$6</c:f>
              <c:numCache>
                <c:formatCode>General</c:formatCode>
                <c:ptCount val="5"/>
                <c:pt idx="0">
                  <c:v>522.93</c:v>
                </c:pt>
                <c:pt idx="1">
                  <c:v>62.19</c:v>
                </c:pt>
                <c:pt idx="2">
                  <c:v>26.1</c:v>
                </c:pt>
                <c:pt idx="3">
                  <c:v>391.64</c:v>
                </c:pt>
                <c:pt idx="4">
                  <c:v>34.48</c:v>
                </c:pt>
              </c:numCache>
            </c:numRef>
          </c:val>
        </c:ser>
        <c:dLbls>
          <c:showLegendKey val="false"/>
          <c:showVal val="false"/>
          <c:showCatName val="false"/>
          <c:showSerName val="false"/>
          <c:showPercent val="false"/>
          <c:showBubbleSize val="false"/>
          <c:showLeaderLines val="true"/>
        </c:dLbls>
        <c:firstSliceAng val="15"/>
      </c:pieChart>
      <c:spPr>
        <a:noFill/>
        <a:ln>
          <a:noFill/>
        </a:ln>
      </c:spPr>
    </c:plotArea>
    <c:legend>
      <c:legendPos val="r"/>
      <c:layout>
        <c:manualLayout>
          <c:xMode val="edge"/>
          <c:yMode val="edge"/>
          <c:x val="0.6372502"/>
          <c:y val="0.28998968"/>
        </c:manualLayout>
      </c:layout>
      <c:overlay val="false"/>
      <c:spPr>
        <a:noFill/>
        <a:ln>
          <a:noFill/>
        </a:ln>
      </c:spPr>
      <c:txPr>
        <a:bodyPr rot="0" spcFirstLastPara="0" vertOverflow="ellipsis" vert="horz" wrap="square"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legend>
    <c:plotVisOnly val="true"/>
    <c:dispBlanksAs val="gap"/>
    <c:showDLblsOverMax val="false"/>
  </c:chart>
  <c:txPr>
    <a:bodyPr/>
    <a:lstStyle/>
    <a:p>
      <a:pPr>
        <a:defRPr lang="zh-CN" sz="1000" b="0" i="0" u="none" strike="noStrike" baseline="0">
          <a:solidFill>
            <a:srgbClr val="000000"/>
          </a:solidFill>
          <a:latin typeface="Times New Roman" panose="02020603050405020304"/>
          <a:ea typeface="宋体" panose="02010600030101010101" charset="-122"/>
          <a:cs typeface="Lucida Sans" panose="020B0602030504020204"/>
        </a:defRPr>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rgbClr val="000000"/>
                </a:solidFill>
                <a:latin typeface="Times New Roman" panose="02020603050405020304"/>
                <a:ea typeface="宋体" panose="02010600030101010101" charset="-122"/>
                <a:cs typeface="Lucida Sans" panose="020B0602030504020204"/>
              </a:defRPr>
            </a:pPr>
            <a:r>
              <a:rPr lang="zh-CN"/>
              <a:t>"三公"经费财政拨款支出</a:t>
            </a:r>
            <a:endParaRPr lang="zh-CN"/>
          </a:p>
        </c:rich>
      </c:tx>
      <c:layout/>
      <c:overlay val="false"/>
      <c:spPr>
        <a:ln>
          <a:noFill/>
        </a:ln>
      </c:spPr>
    </c:title>
    <c:autoTitleDeleted val="false"/>
    <c:plotArea>
      <c:layout/>
      <c:pieChart>
        <c:varyColors val="false"/>
        <c:ser>
          <c:idx val="0"/>
          <c:order val="0"/>
          <c:tx>
            <c:strRef>
              <c:f>'Sheet1 (7)'!$B$1</c:f>
              <c:strCache>
                <c:ptCount val="1"/>
                <c:pt idx="0">
                  <c:v>"三公"经费财政拨款支出</c:v>
                </c:pt>
              </c:strCache>
            </c:strRef>
          </c:tx>
          <c:spPr>
            <a:solidFill>
              <a:srgbClr val="4F81BD"/>
            </a:solidFill>
            <a:ln>
              <a:noFill/>
            </a:ln>
          </c:spPr>
          <c:explosion val="0"/>
          <c:dLbls>
            <c:dLbl>
              <c:idx val="0"/>
              <c:delete val="true"/>
            </c:dLbl>
            <c:dLbl>
              <c:idx val="1"/>
              <c:delete val="true"/>
            </c:dLbl>
            <c:dLbl>
              <c:idx val="2"/>
              <c:delete val="true"/>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dLblPos val="bestFit"/>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 (7)'!$A$2:$A$4</c:f>
              <c:strCache>
                <c:ptCount val="3"/>
                <c:pt idx="0">
                  <c:v>因公出国（境）费</c:v>
                </c:pt>
                <c:pt idx="1">
                  <c:v>公务用车购置及运行维护费</c:v>
                </c:pt>
                <c:pt idx="2">
                  <c:v>公务接待费</c:v>
                </c:pt>
              </c:strCache>
            </c:strRef>
          </c:cat>
          <c:val>
            <c:numRef>
              <c:f>'Sheet1 (7)'!$B$2:$B$4</c:f>
              <c:numCache>
                <c:formatCode>General</c:formatCode>
                <c:ptCount val="3"/>
                <c:pt idx="0">
                  <c:v>0</c:v>
                </c:pt>
                <c:pt idx="1">
                  <c:v>6.95</c:v>
                </c:pt>
                <c:pt idx="2">
                  <c:v>0.63</c:v>
                </c:pt>
              </c:numCache>
            </c:numRef>
          </c:val>
        </c:ser>
        <c:dLbls>
          <c:showLegendKey val="false"/>
          <c:showVal val="false"/>
          <c:showCatName val="false"/>
          <c:showSerName val="false"/>
          <c:showPercent val="false"/>
          <c:showBubbleSize val="false"/>
          <c:showLeaderLines val="true"/>
        </c:dLbls>
        <c:firstSliceAng val="15"/>
      </c:pieChart>
      <c:spPr>
        <a:noFill/>
        <a:ln>
          <a:noFill/>
        </a:ln>
      </c:spPr>
    </c:plotArea>
    <c:legend>
      <c:legendPos val="r"/>
      <c:layout/>
      <c:overlay val="false"/>
      <c:spPr>
        <a:noFill/>
        <a:ln>
          <a:noFill/>
        </a:ln>
      </c:spPr>
      <c:txPr>
        <a:bodyPr rot="0" spcFirstLastPara="0" vertOverflow="ellipsis" vert="horz" wrap="square"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legend>
    <c:plotVisOnly val="true"/>
    <c:dispBlanksAs val="gap"/>
    <c:showDLblsOverMax val="false"/>
  </c:chart>
  <c:txPr>
    <a:bodyPr/>
    <a:lstStyle/>
    <a:p>
      <a:pPr>
        <a:defRPr lang="zh-CN" sz="1000" b="0" i="0" u="none" strike="noStrike" baseline="0">
          <a:solidFill>
            <a:srgbClr val="000000"/>
          </a:solidFill>
          <a:latin typeface="Times New Roman" panose="02020603050405020304"/>
          <a:ea typeface="宋体" panose="02010600030101010101" charset="-122"/>
          <a:cs typeface="Lucida Sans" panose="020B0602030504020204"/>
        </a:defRPr>
      </a:pPr>
    </a:p>
  </c:txPr>
  <c:externalData r:id="rId1">
    <c:autoUpdate val="false"/>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四川省财政厅</Company>
  <Pages>41</Pages>
  <Words>0</Words>
  <Characters>13617</Characters>
  <Lines>0</Lines>
  <Paragraphs>305</Paragraphs>
  <TotalTime>22</TotalTime>
  <ScaleCrop>false</ScaleCrop>
  <LinksUpToDate>false</LinksUpToDate>
  <CharactersWithSpaces>18157</CharactersWithSpaces>
  <Application>WPS Office_11.8.2.9980_F1E327BC-269C-435d-A152-05C5408002CA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2020-08-04T17:49:00Z</dcterms:created>
  <dc:creator>曹颖</dc:creator>
  <cp:lastModifiedBy>user</cp:lastModifiedBy>
  <cp:lastPrinted>2020-07-23T18:58:00Z</cp:lastPrinted>
  <dcterms:modified xsi:type="dcterms:W3CDTF">2024-05-28T09:31:35Z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