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77193"/>
      <w:bookmarkStart w:id="1" w:name="_Toc15377425"/>
      <w:bookmarkStart w:id="2" w:name="_Toc15396597"/>
      <w:bookmarkStart w:id="3" w:name="_Toc15396475"/>
      <w:bookmarkStart w:id="4" w:name="_Toc15306267"/>
      <w:bookmarkStart w:id="5" w:name="_Toc15378441"/>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bookmarkEnd w:id="0"/>
    <w:bookmarkEnd w:id="1"/>
    <w:bookmarkEnd w:id="2"/>
    <w:bookmarkEnd w:id="3"/>
    <w:bookmarkEnd w:id="4"/>
    <w:bookmarkEnd w:id="5"/>
    <w:p>
      <w:pPr>
        <w:adjustRightInd w:val="0"/>
        <w:snapToGrid w:val="0"/>
        <w:spacing w:line="880" w:lineRule="exact"/>
        <w:jc w:val="center"/>
        <w:outlineLvl w:val="0"/>
        <w:rPr>
          <w:rFonts w:hint="eastAsia" w:ascii="方正小标宋简体" w:hAnsi="仿宋" w:eastAsia="方正小标宋简体" w:cs="方正小标宋简体"/>
          <w:color w:val="000000"/>
          <w:sz w:val="72"/>
          <w:szCs w:val="72"/>
        </w:rPr>
      </w:pPr>
      <w:r>
        <w:rPr>
          <w:rFonts w:hint="eastAsia" w:ascii="方正小标宋简体" w:hAnsi="仿宋" w:eastAsia="方正小标宋简体" w:cs="方正小标宋简体"/>
          <w:color w:val="000000"/>
          <w:sz w:val="72"/>
          <w:szCs w:val="72"/>
        </w:rPr>
        <w:t>202</w:t>
      </w:r>
      <w:r>
        <w:rPr>
          <w:rFonts w:hint="eastAsia" w:ascii="方正小标宋简体" w:hAnsi="仿宋" w:eastAsia="方正小标宋简体" w:cs="方正小标宋简体"/>
          <w:color w:val="000000"/>
          <w:sz w:val="72"/>
          <w:szCs w:val="72"/>
          <w:lang w:val="en-US" w:eastAsia="zh-CN"/>
        </w:rPr>
        <w:t>1</w:t>
      </w:r>
      <w:r>
        <w:rPr>
          <w:rFonts w:hint="eastAsia" w:ascii="方正小标宋简体" w:hAnsi="仿宋" w:eastAsia="方正小标宋简体" w:cs="方正小标宋简体"/>
          <w:color w:val="000000"/>
          <w:sz w:val="72"/>
          <w:szCs w:val="72"/>
        </w:rPr>
        <w:t>年度</w:t>
      </w:r>
    </w:p>
    <w:p>
      <w:pPr>
        <w:adjustRightInd w:val="0"/>
        <w:snapToGrid w:val="0"/>
        <w:spacing w:line="880" w:lineRule="exact"/>
        <w:jc w:val="center"/>
        <w:outlineLvl w:val="0"/>
        <w:rPr>
          <w:rFonts w:hint="eastAsia" w:ascii="方正小标宋简体" w:hAnsi="仿宋" w:eastAsia="方正小标宋简体" w:cs="方正小标宋简体"/>
          <w:color w:val="000000"/>
          <w:sz w:val="72"/>
          <w:szCs w:val="72"/>
        </w:rPr>
      </w:pPr>
      <w:bookmarkStart w:id="6" w:name="_Toc15377194"/>
      <w:bookmarkStart w:id="7" w:name="_Toc15377426"/>
      <w:bookmarkStart w:id="8" w:name="_Toc15396598"/>
      <w:bookmarkStart w:id="9" w:name="_Toc15396476"/>
      <w:bookmarkStart w:id="10" w:name="_Toc15378442"/>
      <w:bookmarkStart w:id="11" w:name="_Toc15306268"/>
      <w:r>
        <w:rPr>
          <w:rFonts w:hint="eastAsia" w:ascii="方正小标宋简体" w:hAnsi="仿宋" w:eastAsia="方正小标宋简体" w:cs="方正小标宋简体"/>
          <w:color w:val="000000"/>
          <w:sz w:val="72"/>
          <w:szCs w:val="72"/>
        </w:rPr>
        <w:t>广元市利州区机</w:t>
      </w:r>
      <w:bookmarkStart w:id="73" w:name="_GoBack"/>
      <w:bookmarkEnd w:id="73"/>
      <w:r>
        <w:rPr>
          <w:rFonts w:hint="eastAsia" w:ascii="方正小标宋简体" w:hAnsi="仿宋" w:eastAsia="方正小标宋简体" w:cs="方正小标宋简体"/>
          <w:color w:val="000000"/>
          <w:sz w:val="72"/>
          <w:szCs w:val="72"/>
        </w:rPr>
        <w:t>关事务服务中心部门决算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bookmarkStart w:id="12" w:name="_Toc15396599"/>
      <w:bookmarkStart w:id="13" w:name="_Toc15377196"/>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 xml:space="preserve"> 9 </w:t>
      </w:r>
      <w:r>
        <w:rPr>
          <w:rFonts w:hint="eastAsia"/>
          <w:color w:val="auto"/>
          <w:highlight w:val="none"/>
        </w:rPr>
        <w:t>月</w:t>
      </w:r>
      <w:r>
        <w:rPr>
          <w:rFonts w:hint="eastAsia"/>
          <w:color w:val="auto"/>
          <w:highlight w:val="none"/>
          <w:lang w:val="en-US" w:eastAsia="zh-CN"/>
        </w:rPr>
        <w:t xml:space="preserve"> 26 </w:t>
      </w:r>
      <w:r>
        <w:rPr>
          <w:rFonts w:hint="eastAsia"/>
          <w:color w:val="auto"/>
          <w:highlight w:val="none"/>
        </w:rPr>
        <w:t>日</w:t>
      </w:r>
    </w:p>
    <w:p>
      <w:pPr>
        <w:rPr>
          <w:color w:val="auto"/>
          <w:highlight w:val="none"/>
        </w:rPr>
      </w:pPr>
    </w:p>
    <w:p>
      <w:pPr>
        <w:pStyle w:val="10"/>
        <w:keepNext w:val="0"/>
        <w:keepLines w:val="0"/>
        <w:pageBreakBefore w:val="0"/>
        <w:widowControl w:val="0"/>
        <w:kinsoku/>
        <w:wordWrap/>
        <w:overflowPunct/>
        <w:topLinePunct w:val="0"/>
        <w:autoSpaceDE/>
        <w:autoSpaceDN/>
        <w:bidi w:val="0"/>
        <w:adjustRightInd w:val="0"/>
        <w:snapToGrid w:val="0"/>
        <w:spacing w:before="0" w:line="576" w:lineRule="exact"/>
        <w:jc w:val="left"/>
        <w:textAlignment w:val="auto"/>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color w:val="auto"/>
          <w:sz w:val="24"/>
          <w:highlight w:val="none"/>
        </w:rPr>
        <w:t>一、基本职能及主要工作</w:t>
      </w:r>
      <w:r>
        <w:rPr>
          <w:rFonts w:hint="eastAsia" w:asciiTheme="minorEastAsia" w:hAnsiTheme="minorEastAsia" w:eastAsiaTheme="minorEastAsia" w:cstheme="minorEastAsia"/>
          <w:color w:val="auto"/>
          <w:sz w:val="24"/>
          <w:highlight w:val="none"/>
          <w:lang w:val="en-US" w:eastAsia="zh-CN"/>
        </w:rPr>
        <w:t>...............................................4</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二、机构设置</w:t>
      </w:r>
      <w:r>
        <w:rPr>
          <w:rFonts w:hint="eastAsia" w:asciiTheme="minorEastAsia" w:hAnsiTheme="minorEastAsia" w:eastAsiaTheme="minorEastAsia" w:cstheme="minorEastAsia"/>
          <w:color w:val="auto"/>
          <w:sz w:val="24"/>
          <w:highlight w:val="none"/>
          <w:lang w:val="en-US" w:eastAsia="zh-CN"/>
        </w:rPr>
        <w:t>.........................................................5</w:t>
      </w:r>
    </w:p>
    <w:p>
      <w:pPr>
        <w:pStyle w:val="10"/>
        <w:keepNext w:val="0"/>
        <w:keepLines w:val="0"/>
        <w:pageBreakBefore w:val="0"/>
        <w:widowControl w:val="0"/>
        <w:kinsoku/>
        <w:wordWrap/>
        <w:overflowPunct/>
        <w:topLinePunct w:val="0"/>
        <w:autoSpaceDE/>
        <w:autoSpaceDN/>
        <w:bidi w:val="0"/>
        <w:adjustRightInd w:val="0"/>
        <w:snapToGrid w:val="0"/>
        <w:spacing w:before="0" w:line="576" w:lineRule="exact"/>
        <w:jc w:val="left"/>
        <w:textAlignment w:val="auto"/>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asciiTheme="minorEastAsia" w:hAnsiTheme="minorEastAsia" w:eastAsiaTheme="minorEastAsia" w:cstheme="minorEastAsia"/>
          <w:color w:val="auto"/>
          <w:sz w:val="24"/>
          <w:highlight w:val="none"/>
          <w:lang w:val="en-US" w:eastAsia="zh-CN"/>
        </w:rPr>
        <w:t>.........................................6</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color w:val="auto"/>
          <w:sz w:val="24"/>
          <w:highlight w:val="none"/>
        </w:rPr>
        <w:t>二、收入决算情况说明</w:t>
      </w:r>
      <w:r>
        <w:rPr>
          <w:rFonts w:hint="eastAsia" w:asciiTheme="minorEastAsia" w:hAnsiTheme="minorEastAsia" w:eastAsiaTheme="minorEastAsia" w:cstheme="minorEastAsia"/>
          <w:color w:val="auto"/>
          <w:sz w:val="24"/>
          <w:highlight w:val="none"/>
          <w:lang w:val="en-US" w:eastAsia="zh-CN"/>
        </w:rPr>
        <w:t>.................................................7</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color w:val="auto"/>
          <w:sz w:val="24"/>
          <w:highlight w:val="none"/>
        </w:rPr>
        <w:t>三、支出决算情况说明</w:t>
      </w:r>
      <w:r>
        <w:rPr>
          <w:rFonts w:hint="eastAsia" w:asciiTheme="minorEastAsia" w:hAnsiTheme="minorEastAsia" w:eastAsiaTheme="minorEastAsia" w:cstheme="minorEastAsia"/>
          <w:color w:val="auto"/>
          <w:sz w:val="24"/>
          <w:highlight w:val="none"/>
          <w:lang w:val="en-US" w:eastAsia="zh-CN"/>
        </w:rPr>
        <w:t>.................................................7</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color w:val="auto"/>
          <w:sz w:val="24"/>
          <w:highlight w:val="none"/>
        </w:rPr>
        <w:t>四、财政拨款收入支出决算总体情况说明</w:t>
      </w:r>
      <w:r>
        <w:rPr>
          <w:rFonts w:hint="eastAsia" w:asciiTheme="minorEastAsia" w:hAnsiTheme="minorEastAsia" w:eastAsiaTheme="minorEastAsia" w:cstheme="minorEastAsia"/>
          <w:color w:val="auto"/>
          <w:sz w:val="24"/>
          <w:highlight w:val="none"/>
          <w:lang w:val="en-US" w:eastAsia="zh-CN"/>
        </w:rPr>
        <w:t>.................................8</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color w:val="auto"/>
          <w:sz w:val="24"/>
          <w:highlight w:val="none"/>
        </w:rPr>
        <w:t>五、一般公共预算财政拨款支出决算情况说明</w:t>
      </w:r>
      <w:r>
        <w:rPr>
          <w:rFonts w:hint="eastAsia" w:asciiTheme="minorEastAsia" w:hAnsiTheme="minorEastAsia" w:eastAsiaTheme="minorEastAsia" w:cstheme="minorEastAsia"/>
          <w:color w:val="auto"/>
          <w:sz w:val="24"/>
          <w:highlight w:val="none"/>
          <w:lang w:val="en-US" w:eastAsia="zh-CN"/>
        </w:rPr>
        <w:t>.............................10</w:t>
      </w:r>
      <w:r>
        <w:rPr>
          <w:rFonts w:hint="eastAsia"/>
          <w:color w:val="auto"/>
          <w:sz w:val="24"/>
          <w:highlight w:val="none"/>
        </w:rPr>
        <w:t>六、一般公共预算财政拨款基本支出决算情况说明</w:t>
      </w:r>
      <w:r>
        <w:rPr>
          <w:rFonts w:hint="eastAsia" w:asciiTheme="minorEastAsia" w:hAnsiTheme="minorEastAsia" w:eastAsiaTheme="minorEastAsia" w:cstheme="minorEastAsia"/>
          <w:color w:val="auto"/>
          <w:sz w:val="24"/>
          <w:highlight w:val="none"/>
          <w:lang w:val="en-US" w:eastAsia="zh-CN"/>
        </w:rPr>
        <w:t>.........................10</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asciiTheme="minorEastAsia" w:hAnsiTheme="minorEastAsia" w:eastAsiaTheme="minorEastAsia" w:cstheme="minorEastAsia"/>
          <w:color w:val="auto"/>
          <w:sz w:val="24"/>
          <w:highlight w:val="none"/>
          <w:lang w:val="en-US" w:eastAsia="zh-CN"/>
        </w:rPr>
        <w:t>..............................12</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asciiTheme="minorEastAsia" w:hAnsiTheme="minorEastAsia" w:eastAsiaTheme="minorEastAsia" w:cstheme="minorEastAsia"/>
          <w:color w:val="auto"/>
          <w:sz w:val="24"/>
          <w:highlight w:val="none"/>
          <w:lang w:val="en-US" w:eastAsia="zh-CN"/>
        </w:rPr>
        <w:t>...................................12</w:t>
      </w:r>
    </w:p>
    <w:p>
      <w:pPr>
        <w:pStyle w:val="11"/>
        <w:keepNext w:val="0"/>
        <w:keepLines w:val="0"/>
        <w:pageBreakBefore w:val="0"/>
        <w:widowControl w:val="0"/>
        <w:kinsoku/>
        <w:wordWrap/>
        <w:overflowPunct/>
        <w:topLinePunct w:val="0"/>
        <w:autoSpaceDE/>
        <w:autoSpaceDN/>
        <w:bidi w:val="0"/>
        <w:adjustRightInd w:val="0"/>
        <w:snapToGrid w:val="0"/>
        <w:spacing w:line="576" w:lineRule="exact"/>
        <w:ind w:leftChars="0"/>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lang w:val="en-US" w:eastAsia="zh-CN"/>
        </w:rPr>
        <w:t>.................................12</w:t>
      </w:r>
    </w:p>
    <w:p>
      <w:pPr>
        <w:pStyle w:val="11"/>
        <w:keepNext w:val="0"/>
        <w:keepLines w:val="0"/>
        <w:pageBreakBefore w:val="0"/>
        <w:widowControl w:val="0"/>
        <w:kinsoku/>
        <w:wordWrap/>
        <w:overflowPunct/>
        <w:topLinePunct w:val="0"/>
        <w:autoSpaceDE/>
        <w:autoSpaceDN/>
        <w:bidi w:val="0"/>
        <w:adjustRightInd w:val="0"/>
        <w:snapToGrid w:val="0"/>
        <w:spacing w:line="576" w:lineRule="exact"/>
        <w:ind w:leftChars="0"/>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十、预算绩效管理情况.................................................13</w:t>
      </w:r>
    </w:p>
    <w:p>
      <w:pPr>
        <w:pStyle w:val="11"/>
        <w:keepNext w:val="0"/>
        <w:keepLines w:val="0"/>
        <w:pageBreakBefore w:val="0"/>
        <w:widowControl w:val="0"/>
        <w:kinsoku/>
        <w:wordWrap/>
        <w:overflowPunct/>
        <w:topLinePunct w:val="0"/>
        <w:autoSpaceDE/>
        <w:autoSpaceDN/>
        <w:bidi w:val="0"/>
        <w:adjustRightInd w:val="0"/>
        <w:snapToGrid w:val="0"/>
        <w:spacing w:line="576" w:lineRule="exact"/>
        <w:ind w:leftChars="0"/>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十一、其他重要事项的情况</w:t>
      </w:r>
      <w:r>
        <w:rPr>
          <w:rFonts w:hint="eastAsia" w:asciiTheme="minorEastAsia" w:hAnsiTheme="minorEastAsia" w:eastAsiaTheme="minorEastAsia" w:cstheme="minorEastAsia"/>
          <w:color w:val="auto"/>
          <w:sz w:val="24"/>
          <w:highlight w:val="none"/>
          <w:lang w:eastAsia="zh-CN"/>
        </w:rPr>
        <w:t>说明</w:t>
      </w:r>
      <w:r>
        <w:rPr>
          <w:rFonts w:hint="eastAsia" w:asciiTheme="minorEastAsia" w:hAnsiTheme="minorEastAsia" w:eastAsiaTheme="minorEastAsia" w:cstheme="minorEastAsia"/>
          <w:color w:val="auto"/>
          <w:sz w:val="24"/>
          <w:highlight w:val="none"/>
          <w:lang w:val="en-US" w:eastAsia="zh-CN"/>
        </w:rPr>
        <w:t>.........................................13</w:t>
      </w:r>
    </w:p>
    <w:p>
      <w:pPr>
        <w:pStyle w:val="10"/>
        <w:keepNext w:val="0"/>
        <w:keepLines w:val="0"/>
        <w:pageBreakBefore w:val="0"/>
        <w:widowControl w:val="0"/>
        <w:kinsoku/>
        <w:wordWrap/>
        <w:overflowPunct/>
        <w:topLinePunct w:val="0"/>
        <w:autoSpaceDE/>
        <w:autoSpaceDN/>
        <w:bidi w:val="0"/>
        <w:adjustRightInd w:val="0"/>
        <w:snapToGrid w:val="0"/>
        <w:spacing w:before="0" w:line="576" w:lineRule="exact"/>
        <w:jc w:val="left"/>
        <w:textAlignment w:val="auto"/>
        <w:rPr>
          <w:rFonts w:hint="default"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sz w:val="24"/>
          <w:highlight w:val="none"/>
          <w:lang w:val="en-US" w:eastAsia="zh-CN"/>
        </w:rPr>
        <w:t>17</w:t>
      </w:r>
    </w:p>
    <w:p>
      <w:pPr>
        <w:pStyle w:val="10"/>
        <w:keepNext w:val="0"/>
        <w:keepLines w:val="0"/>
        <w:pageBreakBefore w:val="0"/>
        <w:widowControl w:val="0"/>
        <w:kinsoku/>
        <w:wordWrap/>
        <w:overflowPunct/>
        <w:topLinePunct w:val="0"/>
        <w:autoSpaceDE/>
        <w:autoSpaceDN/>
        <w:bidi w:val="0"/>
        <w:adjustRightInd w:val="0"/>
        <w:snapToGrid w:val="0"/>
        <w:spacing w:before="0" w:line="576" w:lineRule="exact"/>
        <w:jc w:val="left"/>
        <w:textAlignment w:val="auto"/>
        <w:rPr>
          <w:rFonts w:hint="eastAsia"/>
          <w:color w:val="auto"/>
          <w:sz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keepNext w:val="0"/>
        <w:keepLines w:val="0"/>
        <w:pageBreakBefore w:val="0"/>
        <w:widowControl w:val="0"/>
        <w:kinsoku/>
        <w:wordWrap/>
        <w:overflowPunct/>
        <w:topLinePunct w:val="0"/>
        <w:autoSpaceDE/>
        <w:autoSpaceDN/>
        <w:bidi w:val="0"/>
        <w:spacing w:line="576"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一、</w:t>
      </w:r>
      <w:r>
        <w:rPr>
          <w:rFonts w:hint="eastAsia" w:ascii="Times New Roman" w:hAnsi="Times New Roman" w:eastAsia="宋体" w:cs="Times New Roman"/>
          <w:color w:val="auto"/>
          <w:kern w:val="2"/>
          <w:sz w:val="24"/>
          <w:szCs w:val="24"/>
          <w:highlight w:val="none"/>
          <w:lang w:val="en-US" w:eastAsia="zh-CN" w:bidi="ar-SA"/>
        </w:rPr>
        <w:t>2021年</w:t>
      </w:r>
      <w:r>
        <w:rPr>
          <w:rFonts w:hint="eastAsia" w:cs="Times New Roman"/>
          <w:color w:val="auto"/>
          <w:kern w:val="2"/>
          <w:sz w:val="24"/>
          <w:szCs w:val="24"/>
          <w:highlight w:val="none"/>
          <w:lang w:val="en-US" w:eastAsia="zh-CN" w:bidi="ar-SA"/>
        </w:rPr>
        <w:t>利州区机关事务服务中心</w:t>
      </w:r>
      <w:r>
        <w:rPr>
          <w:rFonts w:hint="eastAsia" w:ascii="Times New Roman" w:hAnsi="Times New Roman" w:eastAsia="宋体" w:cs="Times New Roman"/>
          <w:color w:val="auto"/>
          <w:kern w:val="2"/>
          <w:sz w:val="24"/>
          <w:szCs w:val="24"/>
          <w:highlight w:val="none"/>
          <w:lang w:val="en-US" w:eastAsia="zh-CN" w:bidi="ar-SA"/>
        </w:rPr>
        <w:t>部门整体绩效评价报告</w:t>
      </w:r>
      <w:r>
        <w:rPr>
          <w:rFonts w:hint="eastAsia" w:asciiTheme="minorEastAsia" w:hAnsiTheme="minorEastAsia" w:eastAsiaTheme="minorEastAsia" w:cstheme="minorEastAsia"/>
          <w:color w:val="auto"/>
          <w:sz w:val="24"/>
          <w:highlight w:val="none"/>
          <w:lang w:val="en-US" w:eastAsia="zh-CN"/>
        </w:rPr>
        <w:t>...............25</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color w:val="auto"/>
          <w:sz w:val="24"/>
          <w:highlight w:val="none"/>
          <w:lang w:val="en-US" w:eastAsia="zh-CN"/>
        </w:rPr>
      </w:pPr>
      <w:r>
        <w:rPr>
          <w:rFonts w:hint="eastAsia"/>
          <w:color w:val="auto"/>
          <w:sz w:val="24"/>
          <w:highlight w:val="none"/>
          <w:lang w:val="en-US" w:eastAsia="zh-CN"/>
        </w:rPr>
        <w:t>二、2021年</w:t>
      </w:r>
      <w:r>
        <w:rPr>
          <w:rFonts w:hint="eastAsia"/>
          <w:color w:val="auto"/>
          <w:sz w:val="24"/>
          <w:highlight w:val="none"/>
          <w:lang w:val="zh-CN" w:eastAsia="zh-CN"/>
        </w:rPr>
        <w:t>专项预算项目支出绩效自评报告</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color w:val="auto"/>
          <w:sz w:val="24"/>
          <w:highlight w:val="none"/>
          <w:lang w:val="en-US" w:eastAsia="zh-CN"/>
        </w:rPr>
      </w:pPr>
      <w:r>
        <w:rPr>
          <w:rFonts w:hint="eastAsia"/>
          <w:color w:val="auto"/>
          <w:sz w:val="24"/>
          <w:highlight w:val="none"/>
          <w:lang w:val="en-US" w:eastAsia="zh-CN"/>
        </w:rPr>
        <w:t>1、机关食堂伙食补助</w:t>
      </w:r>
      <w:r>
        <w:rPr>
          <w:rFonts w:hint="eastAsia"/>
          <w:color w:val="auto"/>
          <w:sz w:val="24"/>
          <w:highlight w:val="none"/>
          <w:lang w:val="zh-CN" w:eastAsia="zh-CN"/>
        </w:rPr>
        <w:t>专项预算项目支出绩效自评报告</w:t>
      </w:r>
      <w:r>
        <w:rPr>
          <w:rFonts w:hint="eastAsia" w:asciiTheme="minorEastAsia" w:hAnsiTheme="minorEastAsia" w:eastAsiaTheme="minorEastAsia" w:cstheme="minorEastAsia"/>
          <w:color w:val="auto"/>
          <w:sz w:val="24"/>
          <w:highlight w:val="none"/>
          <w:lang w:val="en-US" w:eastAsia="zh-CN"/>
        </w:rPr>
        <w:t>.....................27</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color w:val="auto"/>
          <w:sz w:val="24"/>
          <w:highlight w:val="none"/>
          <w:lang w:val="en-US" w:eastAsia="zh-CN"/>
        </w:rPr>
      </w:pPr>
      <w:r>
        <w:rPr>
          <w:rFonts w:hint="eastAsia"/>
          <w:color w:val="auto"/>
          <w:sz w:val="24"/>
          <w:highlight w:val="none"/>
          <w:lang w:val="en-US" w:eastAsia="zh-CN"/>
        </w:rPr>
        <w:t>2、</w:t>
      </w:r>
      <w:r>
        <w:rPr>
          <w:rFonts w:hint="eastAsia"/>
          <w:color w:val="auto"/>
          <w:sz w:val="24"/>
          <w:highlight w:val="none"/>
          <w:lang w:eastAsia="zh-CN"/>
        </w:rPr>
        <w:t>节能减排</w:t>
      </w:r>
      <w:r>
        <w:rPr>
          <w:rFonts w:hint="eastAsia"/>
          <w:color w:val="auto"/>
          <w:sz w:val="24"/>
          <w:highlight w:val="none"/>
          <w:lang w:val="en-US" w:eastAsia="zh-CN"/>
        </w:rPr>
        <w:t>专项</w:t>
      </w:r>
      <w:r>
        <w:rPr>
          <w:rFonts w:hint="eastAsia"/>
          <w:color w:val="auto"/>
          <w:sz w:val="24"/>
          <w:highlight w:val="none"/>
          <w:lang w:val="zh-CN" w:eastAsia="zh-CN"/>
        </w:rPr>
        <w:t>预算项目支出绩效自评报告</w:t>
      </w:r>
      <w:r>
        <w:rPr>
          <w:rFonts w:hint="eastAsia" w:asciiTheme="minorEastAsia" w:hAnsiTheme="minorEastAsia" w:eastAsiaTheme="minorEastAsia" w:cstheme="minorEastAsia"/>
          <w:color w:val="auto"/>
          <w:sz w:val="24"/>
          <w:highlight w:val="none"/>
          <w:lang w:val="en-US" w:eastAsia="zh-CN"/>
        </w:rPr>
        <w:t>.............................29</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color w:val="auto"/>
          <w:sz w:val="24"/>
          <w:highlight w:val="none"/>
          <w:lang w:val="en-US" w:eastAsia="zh-CN"/>
        </w:rPr>
        <w:t>3、区警备室专项</w:t>
      </w:r>
      <w:r>
        <w:rPr>
          <w:rFonts w:hint="eastAsia"/>
          <w:color w:val="auto"/>
          <w:sz w:val="24"/>
          <w:highlight w:val="none"/>
          <w:lang w:val="zh-CN" w:eastAsia="zh-CN"/>
        </w:rPr>
        <w:t>预算项目支出绩效自评报告</w:t>
      </w:r>
      <w:r>
        <w:rPr>
          <w:rFonts w:hint="eastAsia" w:asciiTheme="minorEastAsia" w:hAnsiTheme="minorEastAsia" w:eastAsiaTheme="minorEastAsia" w:cstheme="minorEastAsia"/>
          <w:color w:val="auto"/>
          <w:sz w:val="24"/>
          <w:highlight w:val="none"/>
          <w:lang w:val="en-US" w:eastAsia="zh-CN"/>
        </w:rPr>
        <w:t>.............................31</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color w:val="auto"/>
          <w:sz w:val="24"/>
          <w:highlight w:val="none"/>
          <w:lang w:val="en-US" w:eastAsia="zh-CN"/>
        </w:rPr>
      </w:pPr>
      <w:r>
        <w:rPr>
          <w:rFonts w:hint="eastAsia"/>
          <w:color w:val="auto"/>
          <w:sz w:val="24"/>
          <w:highlight w:val="none"/>
          <w:lang w:val="en-US" w:eastAsia="zh-CN"/>
        </w:rPr>
        <w:t>4、万缘办公区物业管理及办公区、食堂水电气费专项</w:t>
      </w:r>
      <w:r>
        <w:rPr>
          <w:rFonts w:hint="eastAsia"/>
          <w:color w:val="auto"/>
          <w:sz w:val="24"/>
          <w:highlight w:val="none"/>
          <w:lang w:val="zh-CN" w:eastAsia="zh-CN"/>
        </w:rPr>
        <w:t>预算项目支出绩效自评报告</w:t>
      </w:r>
      <w:r>
        <w:rPr>
          <w:rFonts w:hint="eastAsia" w:asciiTheme="minorEastAsia" w:hAnsiTheme="minorEastAsia" w:eastAsiaTheme="minorEastAsia" w:cstheme="minorEastAsia"/>
          <w:color w:val="auto"/>
          <w:sz w:val="24"/>
          <w:highlight w:val="none"/>
          <w:lang w:val="en-US" w:eastAsia="zh-CN"/>
        </w:rPr>
        <w:t>..................................................................</w:t>
      </w:r>
      <w:r>
        <w:rPr>
          <w:rFonts w:hint="eastAsia"/>
          <w:color w:val="auto"/>
          <w:sz w:val="24"/>
          <w:highlight w:val="none"/>
          <w:lang w:val="en-US" w:eastAsia="zh-CN"/>
        </w:rPr>
        <w:t>33</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color w:val="auto"/>
          <w:sz w:val="24"/>
          <w:highlight w:val="none"/>
          <w:lang w:val="en-US" w:eastAsia="zh-CN"/>
        </w:rPr>
        <w:t>5、雪亮工程一、二、三办公区监控维护 专项</w:t>
      </w:r>
      <w:r>
        <w:rPr>
          <w:rFonts w:hint="eastAsia"/>
          <w:color w:val="auto"/>
          <w:sz w:val="24"/>
          <w:highlight w:val="none"/>
          <w:lang w:val="zh-CN" w:eastAsia="zh-CN"/>
        </w:rPr>
        <w:t>预算项目支出绩效自评报告</w:t>
      </w:r>
      <w:r>
        <w:rPr>
          <w:rFonts w:hint="eastAsia" w:asciiTheme="minorEastAsia" w:hAnsiTheme="minorEastAsia" w:eastAsiaTheme="minorEastAsia" w:cstheme="minorEastAsia"/>
          <w:color w:val="auto"/>
          <w:sz w:val="24"/>
          <w:highlight w:val="none"/>
          <w:lang w:val="en-US" w:eastAsia="zh-CN"/>
        </w:rPr>
        <w:t>......35</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color w:val="auto"/>
          <w:sz w:val="24"/>
          <w:highlight w:val="none"/>
          <w:lang w:val="en-US" w:eastAsia="zh-CN"/>
        </w:rPr>
        <w:t>6、公务用车综合保障平台建设经费专项</w:t>
      </w:r>
      <w:r>
        <w:rPr>
          <w:rFonts w:hint="eastAsia"/>
          <w:color w:val="auto"/>
          <w:sz w:val="24"/>
          <w:highlight w:val="none"/>
          <w:lang w:val="zh-CN" w:eastAsia="zh-CN"/>
        </w:rPr>
        <w:t>预算项目支出绩效自评报告</w:t>
      </w:r>
      <w:r>
        <w:rPr>
          <w:rFonts w:hint="eastAsia" w:asciiTheme="minorEastAsia" w:hAnsiTheme="minorEastAsia" w:eastAsiaTheme="minorEastAsia" w:cstheme="minorEastAsia"/>
          <w:color w:val="auto"/>
          <w:sz w:val="24"/>
          <w:highlight w:val="none"/>
          <w:lang w:val="en-US" w:eastAsia="zh-CN"/>
        </w:rPr>
        <w:t>..........38</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color w:val="auto"/>
          <w:sz w:val="24"/>
          <w:highlight w:val="none"/>
          <w:lang w:val="en-US" w:eastAsia="zh-CN"/>
        </w:rPr>
      </w:pPr>
      <w:r>
        <w:rPr>
          <w:rFonts w:hint="eastAsia"/>
          <w:color w:val="auto"/>
          <w:sz w:val="24"/>
          <w:highlight w:val="none"/>
          <w:lang w:val="en-US" w:eastAsia="zh-CN"/>
        </w:rPr>
        <w:t>7、视频会议系统建设专项</w:t>
      </w:r>
      <w:r>
        <w:rPr>
          <w:rFonts w:hint="eastAsia"/>
          <w:color w:val="auto"/>
          <w:sz w:val="24"/>
          <w:highlight w:val="none"/>
          <w:lang w:val="zh-CN" w:eastAsia="zh-CN"/>
        </w:rPr>
        <w:t>预算项目支出绩效自评报告</w:t>
      </w:r>
      <w:r>
        <w:rPr>
          <w:rFonts w:hint="eastAsia" w:asciiTheme="minorEastAsia" w:hAnsiTheme="minorEastAsia" w:eastAsiaTheme="minorEastAsia" w:cstheme="minorEastAsia"/>
          <w:color w:val="auto"/>
          <w:sz w:val="24"/>
          <w:highlight w:val="none"/>
          <w:lang w:val="en-US" w:eastAsia="zh-CN"/>
        </w:rPr>
        <w:t>.....................40</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color w:val="auto"/>
          <w:sz w:val="24"/>
          <w:highlight w:val="none"/>
          <w:lang w:val="en-US" w:eastAsia="zh-CN"/>
        </w:rPr>
        <w:t>8、万缘维修专项</w:t>
      </w:r>
      <w:r>
        <w:rPr>
          <w:rFonts w:hint="eastAsia"/>
          <w:color w:val="auto"/>
          <w:sz w:val="24"/>
          <w:highlight w:val="none"/>
          <w:lang w:val="zh-CN" w:eastAsia="zh-CN"/>
        </w:rPr>
        <w:t>预算项目支出绩效自评报告</w:t>
      </w:r>
      <w:r>
        <w:rPr>
          <w:rFonts w:hint="eastAsia" w:asciiTheme="minorEastAsia" w:hAnsiTheme="minorEastAsia" w:eastAsiaTheme="minorEastAsia" w:cstheme="minorEastAsia"/>
          <w:color w:val="auto"/>
          <w:sz w:val="24"/>
          <w:highlight w:val="none"/>
          <w:lang w:val="en-US" w:eastAsia="zh-CN"/>
        </w:rPr>
        <w:t>.............................42</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color w:val="auto"/>
          <w:sz w:val="24"/>
          <w:highlight w:val="none"/>
          <w:lang w:val="en-US" w:eastAsia="zh-CN"/>
        </w:rPr>
        <w:t>9、一办公区八楼滚动幕墙及万源办公区玻璃幕墙维修清理维护专项</w:t>
      </w:r>
      <w:r>
        <w:rPr>
          <w:rFonts w:hint="eastAsia"/>
          <w:color w:val="auto"/>
          <w:sz w:val="24"/>
          <w:highlight w:val="none"/>
          <w:lang w:val="zh-CN" w:eastAsia="zh-CN"/>
        </w:rPr>
        <w:t>预算项目支出绩效自评报告</w:t>
      </w:r>
      <w:r>
        <w:rPr>
          <w:rFonts w:hint="eastAsia" w:asciiTheme="minorEastAsia" w:hAnsiTheme="minorEastAsia" w:eastAsiaTheme="minorEastAsia" w:cstheme="minorEastAsia"/>
          <w:color w:val="auto"/>
          <w:sz w:val="24"/>
          <w:highlight w:val="none"/>
          <w:lang w:val="en-US" w:eastAsia="zh-CN"/>
        </w:rPr>
        <w:t>........................................................44</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color w:val="auto"/>
          <w:sz w:val="24"/>
          <w:highlight w:val="none"/>
          <w:lang w:val="en-US" w:eastAsia="zh-CN"/>
        </w:rPr>
      </w:pPr>
      <w:r>
        <w:rPr>
          <w:rFonts w:hint="eastAsia"/>
          <w:color w:val="auto"/>
          <w:sz w:val="24"/>
          <w:highlight w:val="none"/>
          <w:lang w:val="en-US" w:eastAsia="zh-CN"/>
        </w:rPr>
        <w:t>10、万缘行政中心光亮及LED显示屏维护专项</w:t>
      </w:r>
      <w:r>
        <w:rPr>
          <w:rFonts w:hint="eastAsia"/>
          <w:color w:val="auto"/>
          <w:sz w:val="24"/>
          <w:highlight w:val="none"/>
          <w:lang w:val="zh-CN" w:eastAsia="zh-CN"/>
        </w:rPr>
        <w:t>预算项目支出绩效自评报告</w:t>
      </w:r>
      <w:r>
        <w:rPr>
          <w:rFonts w:hint="eastAsia" w:asciiTheme="minorEastAsia" w:hAnsiTheme="minorEastAsia" w:eastAsiaTheme="minorEastAsia" w:cstheme="minorEastAsia"/>
          <w:color w:val="auto"/>
          <w:sz w:val="24"/>
          <w:highlight w:val="none"/>
          <w:lang w:val="en-US" w:eastAsia="zh-CN"/>
        </w:rPr>
        <w:t>..................................................................46</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color w:val="auto"/>
          <w:sz w:val="24"/>
          <w:highlight w:val="none"/>
          <w:lang w:val="en-US" w:eastAsia="zh-CN"/>
        </w:rPr>
      </w:pPr>
      <w:r>
        <w:rPr>
          <w:rFonts w:hint="eastAsia"/>
          <w:color w:val="auto"/>
          <w:sz w:val="24"/>
          <w:highlight w:val="none"/>
          <w:lang w:val="en-US" w:eastAsia="zh-CN"/>
        </w:rPr>
        <w:t>11、万缘行政中心绿化专项</w:t>
      </w:r>
      <w:r>
        <w:rPr>
          <w:rFonts w:hint="eastAsia"/>
          <w:color w:val="auto"/>
          <w:sz w:val="24"/>
          <w:highlight w:val="none"/>
          <w:lang w:val="zh-CN" w:eastAsia="zh-CN"/>
        </w:rPr>
        <w:t>预算项目支出绩效自评报告</w:t>
      </w:r>
      <w:r>
        <w:rPr>
          <w:rFonts w:hint="eastAsia" w:asciiTheme="minorEastAsia" w:hAnsiTheme="minorEastAsia" w:eastAsiaTheme="minorEastAsia" w:cstheme="minorEastAsia"/>
          <w:color w:val="auto"/>
          <w:sz w:val="24"/>
          <w:highlight w:val="none"/>
          <w:lang w:val="en-US" w:eastAsia="zh-CN"/>
        </w:rPr>
        <w:t>....................48</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color w:val="auto"/>
          <w:sz w:val="24"/>
          <w:highlight w:val="none"/>
          <w:lang w:val="en-US" w:eastAsia="zh-CN"/>
        </w:rPr>
      </w:pPr>
      <w:r>
        <w:rPr>
          <w:rFonts w:hint="eastAsia"/>
          <w:color w:val="auto"/>
          <w:sz w:val="24"/>
          <w:highlight w:val="none"/>
          <w:lang w:val="en-US" w:eastAsia="zh-CN"/>
        </w:rPr>
        <w:t>12、万源行政中心W.F全覆盖和车改平台专用光纤专项</w:t>
      </w:r>
      <w:r>
        <w:rPr>
          <w:rFonts w:hint="eastAsia"/>
          <w:color w:val="auto"/>
          <w:sz w:val="24"/>
          <w:highlight w:val="none"/>
          <w:lang w:val="zh-CN" w:eastAsia="zh-CN"/>
        </w:rPr>
        <w:t>预算项目支出绩效自评报告</w:t>
      </w:r>
      <w:r>
        <w:rPr>
          <w:rFonts w:hint="eastAsia" w:asciiTheme="minorEastAsia" w:hAnsiTheme="minorEastAsia" w:eastAsiaTheme="minorEastAsia" w:cstheme="minorEastAsia"/>
          <w:color w:val="auto"/>
          <w:sz w:val="24"/>
          <w:highlight w:val="none"/>
          <w:lang w:val="en-US" w:eastAsia="zh-CN"/>
        </w:rPr>
        <w:t>..................................................................50</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color w:val="auto"/>
          <w:sz w:val="24"/>
          <w:highlight w:val="none"/>
          <w:lang w:val="en-US" w:eastAsia="zh-CN"/>
        </w:rPr>
      </w:pPr>
      <w:r>
        <w:rPr>
          <w:rFonts w:hint="eastAsia"/>
          <w:color w:val="auto"/>
          <w:sz w:val="24"/>
          <w:highlight w:val="none"/>
          <w:lang w:val="en-US" w:eastAsia="zh-CN"/>
        </w:rPr>
        <w:t>13、</w:t>
      </w:r>
      <w:r>
        <w:rPr>
          <w:rFonts w:hint="eastAsia"/>
          <w:color w:val="auto"/>
          <w:sz w:val="24"/>
          <w:highlight w:val="none"/>
        </w:rPr>
        <w:t>租用办公用房</w:t>
      </w:r>
      <w:r>
        <w:rPr>
          <w:rFonts w:hint="eastAsia"/>
          <w:color w:val="auto"/>
          <w:sz w:val="24"/>
          <w:highlight w:val="none"/>
          <w:lang w:val="en-US" w:eastAsia="zh-CN"/>
        </w:rPr>
        <w:t>专项</w:t>
      </w:r>
      <w:r>
        <w:rPr>
          <w:rFonts w:hint="eastAsia"/>
          <w:color w:val="auto"/>
          <w:sz w:val="24"/>
          <w:highlight w:val="none"/>
          <w:lang w:val="zh-CN" w:eastAsia="zh-CN"/>
        </w:rPr>
        <w:t>预算项目支出绩效自评报告</w:t>
      </w:r>
      <w:r>
        <w:rPr>
          <w:rFonts w:hint="eastAsia" w:asciiTheme="minorEastAsia" w:hAnsiTheme="minorEastAsia" w:eastAsiaTheme="minorEastAsia" w:cstheme="minorEastAsia"/>
          <w:color w:val="auto"/>
          <w:sz w:val="24"/>
          <w:highlight w:val="none"/>
          <w:lang w:val="en-US" w:eastAsia="zh-CN"/>
        </w:rPr>
        <w:t>........................52</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color w:val="auto"/>
          <w:sz w:val="24"/>
          <w:highlight w:val="none"/>
          <w:lang w:val="en-US" w:eastAsia="zh-CN"/>
        </w:rPr>
      </w:pPr>
      <w:r>
        <w:rPr>
          <w:rFonts w:hint="eastAsia"/>
          <w:color w:val="auto"/>
          <w:sz w:val="24"/>
          <w:highlight w:val="none"/>
          <w:lang w:val="en-US" w:eastAsia="zh-CN"/>
        </w:rPr>
        <w:t>14、公务用车运行保障经费专项</w:t>
      </w:r>
      <w:r>
        <w:rPr>
          <w:rFonts w:hint="eastAsia"/>
          <w:color w:val="auto"/>
          <w:sz w:val="24"/>
          <w:highlight w:val="none"/>
          <w:lang w:val="zh-CN" w:eastAsia="zh-CN"/>
        </w:rPr>
        <w:t>预算项目支出绩效自评报告</w:t>
      </w:r>
      <w:r>
        <w:rPr>
          <w:rFonts w:hint="eastAsia" w:asciiTheme="minorEastAsia" w:hAnsiTheme="minorEastAsia" w:eastAsiaTheme="minorEastAsia" w:cstheme="minorEastAsia"/>
          <w:color w:val="auto"/>
          <w:sz w:val="24"/>
          <w:highlight w:val="none"/>
          <w:lang w:val="en-US" w:eastAsia="zh-CN"/>
        </w:rPr>
        <w:t>................55</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仿宋" w:hAnsi="仿宋" w:eastAsia="仿宋" w:cs="仿宋"/>
          <w:b/>
          <w:bCs w:val="0"/>
          <w:sz w:val="32"/>
          <w:szCs w:val="32"/>
          <w:lang w:val="en-US" w:eastAsia="zh-CN"/>
        </w:rPr>
      </w:pPr>
      <w:r>
        <w:rPr>
          <w:rFonts w:hint="eastAsia"/>
          <w:color w:val="auto"/>
          <w:sz w:val="24"/>
          <w:highlight w:val="none"/>
          <w:lang w:val="en-US" w:eastAsia="zh-CN"/>
        </w:rPr>
        <w:t>15、</w:t>
      </w:r>
      <w:r>
        <w:rPr>
          <w:rFonts w:hint="eastAsia"/>
          <w:color w:val="auto"/>
          <w:sz w:val="24"/>
          <w:highlight w:val="none"/>
        </w:rPr>
        <w:t>202</w:t>
      </w:r>
      <w:r>
        <w:rPr>
          <w:rFonts w:hint="eastAsia"/>
          <w:color w:val="auto"/>
          <w:sz w:val="24"/>
          <w:highlight w:val="none"/>
          <w:lang w:val="en-US" w:eastAsia="zh-CN"/>
        </w:rPr>
        <w:t>1</w:t>
      </w:r>
      <w:r>
        <w:rPr>
          <w:rFonts w:hint="eastAsia"/>
          <w:color w:val="auto"/>
          <w:sz w:val="24"/>
          <w:highlight w:val="none"/>
        </w:rPr>
        <w:t>年利州区人民法院配套设施改建工程</w:t>
      </w:r>
      <w:r>
        <w:rPr>
          <w:rFonts w:hint="eastAsia"/>
          <w:color w:val="auto"/>
          <w:sz w:val="24"/>
          <w:highlight w:val="none"/>
          <w:lang w:val="en-US" w:eastAsia="zh-CN"/>
        </w:rPr>
        <w:t>专项</w:t>
      </w:r>
      <w:r>
        <w:rPr>
          <w:rFonts w:hint="eastAsia"/>
          <w:color w:val="auto"/>
          <w:sz w:val="24"/>
          <w:highlight w:val="none"/>
          <w:lang w:val="zh-CN" w:eastAsia="zh-CN"/>
        </w:rPr>
        <w:t>预算项目支出绩效自评报告</w:t>
      </w:r>
      <w:r>
        <w:rPr>
          <w:rFonts w:hint="eastAsia" w:asciiTheme="minorEastAsia" w:hAnsiTheme="minorEastAsia" w:eastAsiaTheme="minorEastAsia" w:cstheme="minorEastAsia"/>
          <w:color w:val="auto"/>
          <w:sz w:val="24"/>
          <w:highlight w:val="none"/>
          <w:lang w:val="en-US" w:eastAsia="zh-CN"/>
        </w:rPr>
        <w:t>..................................................................58</w:t>
      </w:r>
    </w:p>
    <w:p>
      <w:pPr>
        <w:pStyle w:val="11"/>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三、2021年100万元以上（含）特定目标类部门预算项目绩效目标自评</w:t>
      </w:r>
    </w:p>
    <w:p>
      <w:pPr>
        <w:keepNext w:val="0"/>
        <w:keepLines w:val="0"/>
        <w:pageBreakBefore w:val="0"/>
        <w:widowControl w:val="0"/>
        <w:kinsoku/>
        <w:wordWrap/>
        <w:overflowPunct/>
        <w:topLinePunct w:val="0"/>
        <w:autoSpaceDE/>
        <w:autoSpaceDN/>
        <w:bidi w:val="0"/>
        <w:spacing w:line="576" w:lineRule="exact"/>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1、2021年区机关事务服务中心法院维修预算项目绩效目标自评</w:t>
      </w:r>
      <w:r>
        <w:rPr>
          <w:rFonts w:hint="eastAsia" w:asciiTheme="minorEastAsia" w:hAnsiTheme="minorEastAsia" w:eastAsiaTheme="minorEastAsia" w:cstheme="minorEastAsia"/>
          <w:color w:val="auto"/>
          <w:sz w:val="24"/>
          <w:highlight w:val="none"/>
          <w:lang w:val="en-US" w:eastAsia="zh-CN"/>
        </w:rPr>
        <w:t>............61</w:t>
      </w:r>
    </w:p>
    <w:p>
      <w:pPr>
        <w:keepNext w:val="0"/>
        <w:keepLines w:val="0"/>
        <w:pageBreakBefore w:val="0"/>
        <w:widowControl w:val="0"/>
        <w:kinsoku/>
        <w:wordWrap/>
        <w:overflowPunct/>
        <w:topLinePunct w:val="0"/>
        <w:autoSpaceDE/>
        <w:autoSpaceDN/>
        <w:bidi w:val="0"/>
        <w:spacing w:line="576" w:lineRule="exact"/>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2、2021年区机关事务服务中心租用办公用房预算项目绩效自评</w:t>
      </w:r>
      <w:r>
        <w:rPr>
          <w:rFonts w:hint="eastAsia" w:asciiTheme="minorEastAsia" w:hAnsiTheme="minorEastAsia" w:eastAsiaTheme="minorEastAsia" w:cstheme="minorEastAsia"/>
          <w:color w:val="auto"/>
          <w:sz w:val="24"/>
          <w:highlight w:val="none"/>
          <w:lang w:val="en-US" w:eastAsia="zh-CN"/>
        </w:rPr>
        <w:t>............62</w:t>
      </w:r>
    </w:p>
    <w:p>
      <w:pPr>
        <w:keepNext w:val="0"/>
        <w:keepLines w:val="0"/>
        <w:pageBreakBefore w:val="0"/>
        <w:widowControl w:val="0"/>
        <w:kinsoku/>
        <w:wordWrap/>
        <w:overflowPunct/>
        <w:topLinePunct w:val="0"/>
        <w:autoSpaceDE/>
        <w:autoSpaceDN/>
        <w:bidi w:val="0"/>
        <w:spacing w:line="576" w:lineRule="exact"/>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3、2021年集中办公区物业管理及水电气费预算项目绩效自评</w:t>
      </w:r>
      <w:r>
        <w:rPr>
          <w:rFonts w:hint="eastAsia" w:asciiTheme="minorEastAsia" w:hAnsiTheme="minorEastAsia" w:eastAsiaTheme="minorEastAsia" w:cstheme="minorEastAsia"/>
          <w:color w:val="auto"/>
          <w:sz w:val="24"/>
          <w:highlight w:val="none"/>
          <w:lang w:val="en-US" w:eastAsia="zh-CN"/>
        </w:rPr>
        <w:t>..............64</w:t>
      </w:r>
    </w:p>
    <w:p>
      <w:pPr>
        <w:keepNext w:val="0"/>
        <w:keepLines w:val="0"/>
        <w:pageBreakBefore w:val="0"/>
        <w:widowControl w:val="0"/>
        <w:kinsoku/>
        <w:wordWrap/>
        <w:overflowPunct/>
        <w:topLinePunct w:val="0"/>
        <w:autoSpaceDE/>
        <w:autoSpaceDN/>
        <w:bidi w:val="0"/>
        <w:spacing w:line="576" w:lineRule="exact"/>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4、2021年食堂伙食助预算项目绩效目标自评</w:t>
      </w:r>
      <w:r>
        <w:rPr>
          <w:rFonts w:hint="eastAsia" w:asciiTheme="minorEastAsia" w:hAnsiTheme="minorEastAsia" w:eastAsiaTheme="minorEastAsia" w:cstheme="minorEastAsia"/>
          <w:color w:val="auto"/>
          <w:sz w:val="24"/>
          <w:highlight w:val="none"/>
          <w:lang w:val="en-US" w:eastAsia="zh-CN"/>
        </w:rPr>
        <w:t>............................66</w:t>
      </w:r>
    </w:p>
    <w:p>
      <w:pPr>
        <w:keepNext w:val="0"/>
        <w:keepLines w:val="0"/>
        <w:pageBreakBefore w:val="0"/>
        <w:widowControl w:val="0"/>
        <w:kinsoku/>
        <w:wordWrap/>
        <w:overflowPunct/>
        <w:topLinePunct w:val="0"/>
        <w:autoSpaceDE/>
        <w:autoSpaceDN/>
        <w:bidi w:val="0"/>
        <w:spacing w:line="576" w:lineRule="exact"/>
        <w:ind w:firstLine="480" w:firstLineChars="200"/>
        <w:jc w:val="left"/>
        <w:textAlignment w:val="auto"/>
        <w:rPr>
          <w:rFonts w:hint="default"/>
          <w:color w:val="auto"/>
          <w:sz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5、2021年公务用车运行保障经费预算项目绩效目标自评</w:t>
      </w:r>
      <w:r>
        <w:rPr>
          <w:rFonts w:hint="eastAsia" w:asciiTheme="minorEastAsia" w:hAnsiTheme="minorEastAsia" w:eastAsiaTheme="minorEastAsia" w:cstheme="minorEastAsia"/>
          <w:color w:val="auto"/>
          <w:sz w:val="24"/>
          <w:highlight w:val="none"/>
          <w:lang w:val="en-US" w:eastAsia="zh-CN"/>
        </w:rPr>
        <w:t>..................68</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cstheme="minorBidi"/>
          <w:color w:val="auto"/>
          <w:sz w:val="24"/>
          <w:szCs w:val="24"/>
          <w:highlight w:val="none"/>
        </w:rPr>
      </w:pPr>
      <w:r>
        <w:rPr>
          <w:rFonts w:hint="eastAsia"/>
          <w:color w:val="auto"/>
          <w:sz w:val="24"/>
          <w:highlight w:val="none"/>
        </w:rPr>
        <w:t>第五部分 附表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十、一般公共预算财政拨款“三公”经费支出决算表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十一、政府性基金预算财政拨款收入支出决算表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十二、政府性基金预算财政拨款“三公”经费支出决算表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p>
    <w:p>
      <w:pPr>
        <w:pStyle w:val="11"/>
        <w:adjustRightInd w:val="0"/>
        <w:snapToGrid w:val="0"/>
        <w:spacing w:line="560" w:lineRule="exact"/>
        <w:jc w:val="left"/>
        <w:rPr>
          <w:rFonts w:hint="default" w:ascii="仿宋" w:hAnsi="仿宋" w:eastAsia="仿宋" w:cs="方正仿宋简体"/>
          <w:sz w:val="32"/>
          <w:szCs w:val="32"/>
          <w:lang w:val="en-US" w:eastAsia="zh-CN"/>
        </w:rPr>
      </w:pPr>
    </w:p>
    <w:p>
      <w:pPr>
        <w:pStyle w:val="11"/>
        <w:adjustRightInd w:val="0"/>
        <w:snapToGrid w:val="0"/>
        <w:spacing w:line="560" w:lineRule="exact"/>
        <w:ind w:left="0" w:leftChars="0"/>
        <w:jc w:val="both"/>
        <w:rPr>
          <w:rFonts w:ascii="仿宋" w:hAnsi="仿宋" w:eastAsia="仿宋" w:cs="方正仿宋简体"/>
          <w:sz w:val="32"/>
          <w:szCs w:val="32"/>
        </w:rPr>
        <w:sectPr>
          <w:footerReference r:id="rId3" w:type="default"/>
          <w:pgSz w:w="11906" w:h="16838"/>
          <w:pgMar w:top="2098" w:right="1474" w:bottom="1985" w:left="1588" w:header="851" w:footer="1588" w:gutter="0"/>
          <w:pgNumType w:start="1"/>
          <w:cols w:space="720" w:num="1"/>
          <w:titlePg/>
          <w:docGrid w:type="lines" w:linePitch="312" w:charSpace="0"/>
        </w:sectPr>
      </w:pPr>
    </w:p>
    <w:p>
      <w:pPr>
        <w:pStyle w:val="3"/>
        <w:jc w:val="center"/>
        <w:rPr>
          <w:rFonts w:ascii="黑体" w:eastAsia="黑体"/>
          <w:color w:val="auto"/>
          <w:sz w:val="32"/>
          <w:szCs w:val="32"/>
          <w:highlight w:val="none"/>
        </w:rPr>
      </w:pPr>
      <w:r>
        <w:rPr>
          <w:rFonts w:hint="eastAsia" w:ascii="黑体" w:hAnsi="黑体" w:eastAsia="黑体"/>
          <w:b w:val="0"/>
          <w:color w:val="auto"/>
          <w:sz w:val="32"/>
          <w:szCs w:val="32"/>
          <w:highlight w:val="none"/>
        </w:rPr>
        <w:t xml:space="preserve">第一部分 </w:t>
      </w:r>
      <w:r>
        <w:rPr>
          <w:rStyle w:val="24"/>
          <w:rFonts w:hint="eastAsia" w:ascii="黑体" w:hAnsi="黑体" w:eastAsia="黑体"/>
          <w:b w:val="0"/>
          <w:bCs w:val="0"/>
          <w:color w:val="auto"/>
          <w:sz w:val="32"/>
          <w:szCs w:val="32"/>
          <w:highlight w:val="none"/>
        </w:rPr>
        <w:t>部门概况</w:t>
      </w:r>
      <w:bookmarkEnd w:id="12"/>
      <w:bookmarkEnd w:id="13"/>
    </w:p>
    <w:p>
      <w:pPr>
        <w:pStyle w:val="4"/>
        <w:rPr>
          <w:rStyle w:val="25"/>
          <w:rFonts w:hint="eastAsia" w:ascii="黑体" w:hAnsi="黑体" w:eastAsia="黑体"/>
          <w:b w:val="0"/>
          <w:bCs w:val="0"/>
          <w:color w:val="auto"/>
          <w:highlight w:val="none"/>
        </w:rPr>
      </w:pPr>
      <w:bookmarkStart w:id="14" w:name="_Toc15396600"/>
      <w:bookmarkStart w:id="15" w:name="_Toc15377197"/>
      <w:r>
        <w:rPr>
          <w:rFonts w:hint="eastAsia" w:ascii="黑体" w:hAnsi="黑体" w:eastAsia="黑体"/>
          <w:b w:val="0"/>
          <w:color w:val="auto"/>
          <w:highlight w:val="none"/>
        </w:rPr>
        <w:t>一、基</w:t>
      </w:r>
      <w:r>
        <w:rPr>
          <w:rStyle w:val="25"/>
          <w:rFonts w:hint="eastAsia" w:ascii="黑体" w:hAnsi="黑体" w:eastAsia="黑体"/>
          <w:b w:val="0"/>
          <w:bCs w:val="0"/>
          <w:color w:val="auto"/>
          <w:highlight w:val="none"/>
        </w:rPr>
        <w:t>本职能及主要工作</w:t>
      </w:r>
      <w:bookmarkEnd w:id="14"/>
      <w:bookmarkEnd w:id="15"/>
      <w:bookmarkStart w:id="16" w:name="_Toc15378445"/>
      <w:bookmarkStart w:id="17" w:name="_Toc15377198"/>
      <w:bookmarkStart w:id="18" w:name="_Toc15377199"/>
      <w:bookmarkStart w:id="19" w:name="_Toc15378446"/>
    </w:p>
    <w:p>
      <w:pPr>
        <w:pStyle w:val="4"/>
        <w:pageBreakBefore w:val="0"/>
        <w:kinsoku/>
        <w:wordWrap/>
        <w:overflowPunct/>
        <w:topLinePunct w:val="0"/>
        <w:bidi w:val="0"/>
        <w:spacing w:line="576" w:lineRule="exact"/>
        <w:rPr>
          <w:rFonts w:hint="eastAsia" w:ascii="仿宋" w:hAnsi="仿宋" w:eastAsia="仿宋" w:cs="方正仿宋简体"/>
          <w:b/>
          <w:bCs/>
          <w:sz w:val="32"/>
          <w:szCs w:val="32"/>
        </w:rPr>
      </w:pPr>
      <w:r>
        <w:rPr>
          <w:rFonts w:hint="eastAsia" w:ascii="仿宋" w:hAnsi="仿宋" w:eastAsia="仿宋" w:cs="方正仿宋简体"/>
          <w:b/>
          <w:bCs/>
          <w:sz w:val="32"/>
          <w:szCs w:val="32"/>
        </w:rPr>
        <w:t>主要职能</w:t>
      </w:r>
      <w:bookmarkEnd w:id="16"/>
      <w:bookmarkEnd w:id="17"/>
    </w:p>
    <w:p>
      <w:pPr>
        <w:pageBreakBefore w:val="0"/>
        <w:kinsoku/>
        <w:wordWrap/>
        <w:overflowPunct/>
        <w:topLinePunct w:val="0"/>
        <w:bidi w:val="0"/>
        <w:spacing w:line="576" w:lineRule="exact"/>
        <w:ind w:firstLine="640" w:firstLineChars="200"/>
        <w:rPr>
          <w:rFonts w:hint="eastAsia" w:ascii="仿宋" w:hAnsi="仿宋" w:eastAsia="仿宋" w:cs="方正仿宋简体"/>
          <w:sz w:val="32"/>
          <w:szCs w:val="32"/>
        </w:rPr>
      </w:pPr>
      <w:r>
        <w:rPr>
          <w:rFonts w:hint="eastAsia" w:ascii="仿宋" w:hAnsi="仿宋" w:eastAsia="仿宋" w:cs="方正仿宋简体"/>
          <w:sz w:val="32"/>
          <w:szCs w:val="32"/>
        </w:rPr>
        <w:t>（一）贯彻执行国家、省、市有关机关事务工作的方针政策;拟定机关事务工作规划和规章制度并组织实施，负责区直机关事业单位机关事务的服务和保障工作。</w:t>
      </w:r>
    </w:p>
    <w:p>
      <w:pPr>
        <w:pageBreakBefore w:val="0"/>
        <w:kinsoku/>
        <w:wordWrap/>
        <w:overflowPunct/>
        <w:topLinePunct w:val="0"/>
        <w:bidi w:val="0"/>
        <w:spacing w:line="576" w:lineRule="exact"/>
        <w:ind w:firstLine="640" w:firstLineChars="200"/>
        <w:rPr>
          <w:rFonts w:hint="eastAsia" w:ascii="仿宋" w:hAnsi="仿宋" w:eastAsia="仿宋" w:cs="方正仿宋简体"/>
          <w:sz w:val="32"/>
          <w:szCs w:val="32"/>
        </w:rPr>
      </w:pPr>
      <w:r>
        <w:rPr>
          <w:rFonts w:hint="eastAsia" w:ascii="仿宋" w:hAnsi="仿宋" w:eastAsia="仿宋" w:cs="方正仿宋简体"/>
          <w:sz w:val="32"/>
          <w:szCs w:val="32"/>
        </w:rPr>
        <w:t>（二）负责区直机关行政事业单位办公用房的管理、调配和维修改造工作。</w:t>
      </w:r>
    </w:p>
    <w:p>
      <w:pPr>
        <w:pageBreakBefore w:val="0"/>
        <w:kinsoku/>
        <w:wordWrap/>
        <w:overflowPunct/>
        <w:topLinePunct w:val="0"/>
        <w:bidi w:val="0"/>
        <w:spacing w:line="576"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（三）承担区级公务用车管理涉及的事务性工作。</w:t>
      </w:r>
    </w:p>
    <w:p>
      <w:pPr>
        <w:pageBreakBefore w:val="0"/>
        <w:kinsoku/>
        <w:wordWrap/>
        <w:overflowPunct/>
        <w:topLinePunct w:val="0"/>
        <w:bidi w:val="0"/>
        <w:spacing w:line="576"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（四）承担全区公共机构节能工作。</w:t>
      </w:r>
    </w:p>
    <w:p>
      <w:pPr>
        <w:pageBreakBefore w:val="0"/>
        <w:kinsoku/>
        <w:wordWrap/>
        <w:overflowPunct/>
        <w:topLinePunct w:val="0"/>
        <w:bidi w:val="0"/>
        <w:spacing w:line="576"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（五）负责全区重大活动、重要会议会务服务工作。</w:t>
      </w:r>
    </w:p>
    <w:p>
      <w:pPr>
        <w:pageBreakBefore w:val="0"/>
        <w:kinsoku/>
        <w:wordWrap/>
        <w:overflowPunct/>
        <w:topLinePunct w:val="0"/>
        <w:bidi w:val="0"/>
        <w:spacing w:line="576"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（六）负责集中办公区机关食堂管理服务工作。</w:t>
      </w:r>
    </w:p>
    <w:p>
      <w:pPr>
        <w:pageBreakBefore w:val="0"/>
        <w:kinsoku/>
        <w:wordWrap/>
        <w:overflowPunct/>
        <w:topLinePunct w:val="0"/>
        <w:bidi w:val="0"/>
        <w:spacing w:line="576"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（七）负责集中办公区文印室管理和保密工作。</w:t>
      </w:r>
    </w:p>
    <w:p>
      <w:pPr>
        <w:pageBreakBefore w:val="0"/>
        <w:kinsoku/>
        <w:wordWrap/>
        <w:overflowPunct/>
        <w:topLinePunct w:val="0"/>
        <w:bidi w:val="0"/>
        <w:spacing w:line="576"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（八）负责集中办公区相关后勤服务工作。</w:t>
      </w:r>
    </w:p>
    <w:p>
      <w:pPr>
        <w:pageBreakBefore w:val="0"/>
        <w:kinsoku/>
        <w:wordWrap/>
        <w:overflowPunct/>
        <w:topLinePunct w:val="0"/>
        <w:bidi w:val="0"/>
        <w:spacing w:line="576"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（九）负责职责范围内的安全生产和职业健康、生态环境保护等工作。</w:t>
      </w:r>
    </w:p>
    <w:p>
      <w:pPr>
        <w:pageBreakBefore w:val="0"/>
        <w:kinsoku/>
        <w:wordWrap/>
        <w:overflowPunct/>
        <w:topLinePunct w:val="0"/>
        <w:bidi w:val="0"/>
        <w:spacing w:line="576"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（十）完成区委区政府交办的其他工作。</w:t>
      </w:r>
    </w:p>
    <w:p>
      <w:pPr>
        <w:pageBreakBefore w:val="0"/>
        <w:kinsoku/>
        <w:wordWrap/>
        <w:overflowPunct/>
        <w:topLinePunct w:val="0"/>
        <w:bidi w:val="0"/>
        <w:spacing w:line="576"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内设机构及职责</w:t>
      </w:r>
    </w:p>
    <w:p>
      <w:pPr>
        <w:pageBreakBefore w:val="0"/>
        <w:kinsoku/>
        <w:wordWrap/>
        <w:overflowPunct/>
        <w:topLinePunct w:val="0"/>
        <w:bidi w:val="0"/>
        <w:spacing w:line="576"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办公室。协调机关政务工作，制定机关内部工作制度；负责文电、信息宣传、机要、安全、保密、档案、群团组织、机关事务培训、环保等日常工作；承担廉政建设，绩效管理、机构编制、人事、财务、综治等工作；负责推进落实全区公共机构节约能源相关工作；负责区级公务用车管理涉及的事务性工作。</w:t>
      </w:r>
    </w:p>
    <w:p>
      <w:pPr>
        <w:pageBreakBefore w:val="0"/>
        <w:kinsoku/>
        <w:wordWrap/>
        <w:overflowPunct/>
        <w:topLinePunct w:val="0"/>
        <w:bidi w:val="0"/>
        <w:spacing w:line="576"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（二）资产股。负责区直机关、行政事业单位办公用房的管理调配和维修改造工作。对区直机关事业单位办公用房维修项目审核并提出实施建议，负责检查办公用房维修质量和安全等工作。</w:t>
      </w:r>
    </w:p>
    <w:p>
      <w:pPr>
        <w:pageBreakBefore w:val="0"/>
        <w:kinsoku/>
        <w:wordWrap/>
        <w:overflowPunct/>
        <w:topLinePunct w:val="0"/>
        <w:bidi w:val="0"/>
        <w:spacing w:line="576"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（三）机关事务股。负责会务中心日常管理、大型重要会议保障；负责集中办公区机关职工食堂后勤保障等工作；负责区委政府三个集中办公区安全保卫、治安防范、群众来访、消防应急、设施设备维护工作。</w:t>
      </w:r>
    </w:p>
    <w:p>
      <w:pPr>
        <w:pStyle w:val="2"/>
        <w:pageBreakBefore w:val="0"/>
        <w:kinsoku/>
        <w:wordWrap/>
        <w:overflowPunct/>
        <w:topLinePunct w:val="0"/>
        <w:bidi w:val="0"/>
        <w:adjustRightInd w:val="0"/>
        <w:snapToGrid w:val="0"/>
        <w:spacing w:before="93" w:line="576"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8"/>
      <w:bookmarkEnd w:id="19"/>
    </w:p>
    <w:p>
      <w:pPr>
        <w:pageBreakBefore w:val="0"/>
        <w:kinsoku/>
        <w:wordWrap/>
        <w:overflowPunct/>
        <w:topLinePunct w:val="0"/>
        <w:bidi w:val="0"/>
        <w:spacing w:line="576"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2021年以来，在区委区政府的坚强领导下，在上级部门的关心指导下，我们继续紧紧围绕中心、服务大局，利州区机关事务工作既保持着一如既往的水平和特色，又展现出新的亮点和优势，先后迎接了省机管局陈淮副局长一行的考察调研、省级节约型机关示范单位评价工作组的检查验收、巴中等兄弟单位的参观考察，我们的工作也得到了各级领导的一致认可。下面从四个方面就2021年利州区机关事务工作开展情况作简要汇报。</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 w:hAnsi="仿宋" w:eastAsia="仿宋" w:cs="方正仿宋简体"/>
          <w:b/>
          <w:bCs/>
          <w:kern w:val="2"/>
          <w:sz w:val="32"/>
          <w:szCs w:val="32"/>
          <w:lang w:val="en-US" w:eastAsia="zh-CN" w:bidi="ar-SA"/>
        </w:rPr>
      </w:pPr>
      <w:r>
        <w:rPr>
          <w:rFonts w:hint="eastAsia" w:ascii="仿宋" w:hAnsi="仿宋" w:eastAsia="仿宋" w:cs="方正仿宋简体"/>
          <w:b/>
          <w:bCs/>
          <w:kern w:val="2"/>
          <w:sz w:val="32"/>
          <w:szCs w:val="32"/>
          <w:lang w:val="en-US" w:eastAsia="zh-CN" w:bidi="ar-SA"/>
        </w:rPr>
        <w:t>一、党建引领，强化学习，做好先进支部表率</w:t>
      </w:r>
    </w:p>
    <w:p>
      <w:pPr>
        <w:pageBreakBefore w:val="0"/>
        <w:kinsoku/>
        <w:wordWrap/>
        <w:overflowPunct/>
        <w:topLinePunct w:val="0"/>
        <w:bidi w:val="0"/>
        <w:spacing w:line="576"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（一）坚持把党的政治建设摆在首位，严肃党内政治生活，扎实开展“三会一课”，认真抓好理论学习。2021年召开组织生活会2次，支委会11次，党员大会6次，</w:t>
      </w:r>
      <w:r>
        <w:rPr>
          <w:rFonts w:hint="eastAsia" w:ascii="仿宋" w:hAnsi="仿宋" w:eastAsia="仿宋"/>
          <w:color w:val="000000"/>
          <w:sz w:val="32"/>
          <w:szCs w:val="32"/>
        </w:rPr>
        <w:t>围绕贯彻习近平总书记关于党史的重要论述、在庆祝中国共产党成立100周年大会上的重要讲话精神</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党风廉政、意识形态等</w:t>
      </w:r>
      <w:r>
        <w:rPr>
          <w:rFonts w:hint="eastAsia" w:ascii="仿宋" w:hAnsi="仿宋" w:eastAsia="仿宋"/>
          <w:color w:val="000000"/>
          <w:sz w:val="32"/>
          <w:szCs w:val="32"/>
        </w:rPr>
        <w:t>开展专题学习</w:t>
      </w:r>
      <w:r>
        <w:rPr>
          <w:rFonts w:hint="eastAsia" w:ascii="仿宋" w:hAnsi="仿宋" w:eastAsia="仿宋"/>
          <w:color w:val="000000"/>
          <w:sz w:val="32"/>
          <w:szCs w:val="32"/>
          <w:lang w:val="en-US" w:eastAsia="zh-CN"/>
        </w:rPr>
        <w:t>8次。（二）高标准推进党史学习教育。中心支部组织专题党史学习7次，领导干部讲党史专题党课6次，开展主题党日活动10余次，支部统一为党员制发了党史学习教育笔记本，党员干部</w:t>
      </w:r>
      <w:r>
        <w:rPr>
          <w:rFonts w:hint="eastAsia" w:ascii="仿宋" w:hAnsi="仿宋" w:eastAsia="仿宋"/>
          <w:color w:val="000000"/>
          <w:sz w:val="32"/>
          <w:szCs w:val="32"/>
        </w:rPr>
        <w:t>充分利用8小时以外时间开展自学</w:t>
      </w:r>
      <w:r>
        <w:rPr>
          <w:rFonts w:hint="eastAsia" w:ascii="仿宋" w:hAnsi="仿宋" w:eastAsia="仿宋"/>
          <w:color w:val="000000"/>
          <w:sz w:val="32"/>
          <w:szCs w:val="32"/>
          <w:lang w:eastAsia="zh-CN"/>
        </w:rPr>
        <w:t>、</w:t>
      </w:r>
      <w:r>
        <w:rPr>
          <w:rFonts w:hint="eastAsia" w:ascii="仿宋" w:hAnsi="仿宋" w:eastAsia="仿宋"/>
          <w:color w:val="000000"/>
          <w:sz w:val="32"/>
          <w:szCs w:val="32"/>
        </w:rPr>
        <w:t>撰写心得体会，</w:t>
      </w:r>
      <w:r>
        <w:rPr>
          <w:rFonts w:hint="eastAsia" w:ascii="仿宋" w:hAnsi="仿宋" w:eastAsia="仿宋"/>
          <w:color w:val="000000"/>
          <w:sz w:val="32"/>
          <w:szCs w:val="32"/>
          <w:lang w:val="en-US" w:eastAsia="zh-CN"/>
        </w:rPr>
        <w:t>每人一本厚厚的学习记录就是党史学习教育的最好见证。（三）高质量推动为民办实事。主动为和平村家庭困难帮扶户李成林家协调民政救助3000余元；积极协调，为帮扶村荣山</w:t>
      </w:r>
      <w:r>
        <w:rPr>
          <w:rFonts w:hint="eastAsia" w:ascii="仿宋" w:hAnsi="仿宋" w:eastAsia="仿宋"/>
          <w:color w:val="000000"/>
          <w:sz w:val="32"/>
          <w:szCs w:val="32"/>
        </w:rPr>
        <w:t>镇</w:t>
      </w:r>
      <w:r>
        <w:rPr>
          <w:rFonts w:hint="eastAsia" w:ascii="仿宋" w:hAnsi="仿宋" w:eastAsia="仿宋"/>
          <w:color w:val="000000"/>
          <w:sz w:val="32"/>
          <w:szCs w:val="32"/>
          <w:lang w:val="en-US" w:eastAsia="zh-CN"/>
        </w:rPr>
        <w:t>大山村解决枯水期吃水难问题；为大山村公路塌陷争取项目资金40余万元。</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 w:hAnsi="仿宋" w:eastAsia="仿宋" w:cs="方正仿宋简体"/>
          <w:b/>
          <w:bCs/>
          <w:kern w:val="2"/>
          <w:sz w:val="32"/>
          <w:szCs w:val="32"/>
          <w:lang w:val="en-US" w:eastAsia="zh-CN" w:bidi="ar-SA"/>
        </w:rPr>
      </w:pPr>
      <w:r>
        <w:rPr>
          <w:rFonts w:hint="eastAsia" w:ascii="仿宋" w:hAnsi="仿宋" w:eastAsia="仿宋" w:cs="方正仿宋简体"/>
          <w:b/>
          <w:bCs/>
          <w:kern w:val="2"/>
          <w:sz w:val="32"/>
          <w:szCs w:val="32"/>
          <w:lang w:val="en-US" w:eastAsia="zh-CN" w:bidi="ar-SA"/>
        </w:rPr>
        <w:t>二、业务有为，工作有招，提升后勤保障质效</w:t>
      </w:r>
    </w:p>
    <w:p>
      <w:pPr>
        <w:pageBreakBefore w:val="0"/>
        <w:kinsoku/>
        <w:wordWrap/>
        <w:overflowPunct/>
        <w:topLinePunct w:val="0"/>
        <w:bidi w:val="0"/>
        <w:spacing w:line="576"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节约型机关创建有序推进。2021年以来，印发《利州区2021年节约型机关创建行动实施方案》、《2021年度全区公共机构节能目标责任考核指标任务》，我区18家单位创建工作已通过抽查验收，利州区公共机构能耗信息化监测平台及28个能耗监测点建设工作顺利完成，推进公共机构节能工作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i w:val="0"/>
          <w:iCs w:val="0"/>
          <w:caps w:val="0"/>
          <w:color w:val="040404"/>
          <w:spacing w:val="0"/>
          <w:kern w:val="2"/>
          <w:sz w:val="32"/>
          <w:szCs w:val="32"/>
          <w:highlight w:val="none"/>
          <w:shd w:val="clear" w:fill="FFFFFF"/>
          <w:lang w:val="en-US" w:eastAsia="zh-CN" w:bidi="ar-SA"/>
        </w:rPr>
        <w:t>（二）公车管理探索新路径</w:t>
      </w: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000000"/>
          <w:sz w:val="32"/>
          <w:szCs w:val="32"/>
          <w:lang w:val="en-US" w:eastAsia="zh-CN"/>
        </w:rPr>
        <w:t>我中心与12家维修企业，5家保险公司、2家加油站、2家洗车店签订定点服务合同，全面实行全区公务用车维修、租赁、加油、保险“四定点”；更新购置应急保障用车5辆，通过政府采购网上竞价，节约经费2.86万元；始终把安全管理放在工作首位，通过与驾驶员签订承诺书，定期召开安全教育警示大会，定期开展车况检查，从思想上拉紧安全阀，从源头上掐灭安全隐患，实现公车安全“零事故”。</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lang w:val="en-US" w:eastAsia="zh-CN"/>
        </w:rPr>
        <w:t>办公用房管理取得新实效。</w:t>
      </w:r>
      <w:r>
        <w:rPr>
          <w:rFonts w:hint="eastAsia" w:ascii="仿宋" w:hAnsi="仿宋" w:eastAsia="仿宋" w:cs="仿宋"/>
          <w:color w:val="000000"/>
          <w:sz w:val="32"/>
          <w:szCs w:val="32"/>
          <w:lang w:val="en-US" w:eastAsia="zh-CN"/>
        </w:rPr>
        <w:t>严格办公用房维修审批流程，更加关注项目建设及验收“全生命周期”。通过现场踩点，领导集中研判，即来即办，共审批区行政审批局、区财政局、区教育局等单位自主实施维修项目13个，由区机关事务服务中心负责实施区法院项目1处，审减资金80余万元，实现项目建设“零延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auto"/>
          <w:sz w:val="32"/>
          <w:szCs w:val="32"/>
          <w:highlight w:val="none"/>
          <w:lang w:val="en-US" w:eastAsia="zh-CN"/>
        </w:rPr>
        <w:t>（四）机关食堂管理开启新思路。</w:t>
      </w:r>
      <w:r>
        <w:rPr>
          <w:rFonts w:hint="eastAsia" w:ascii="仿宋" w:hAnsi="仿宋" w:eastAsia="仿宋" w:cs="仿宋"/>
          <w:color w:val="000000"/>
          <w:sz w:val="32"/>
          <w:szCs w:val="32"/>
          <w:lang w:val="en-US" w:eastAsia="zh-CN"/>
        </w:rPr>
        <w:t>积极建设“利州机关事务”微信服务号和小程序，将食堂饭卡充值、物业报修、发布每周菜单、留言板、失物招领、通知发布等多项功能嫁接在服务号上，通过小程序充值，实现随时充值、一秒到账，让新媒体成为宣传利州机关事务工作的新阵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auto"/>
          <w:sz w:val="32"/>
          <w:szCs w:val="32"/>
          <w:highlight w:val="none"/>
          <w:lang w:val="en-US" w:eastAsia="zh-CN"/>
        </w:rPr>
        <w:t>（五）打造物业会务新战线。</w:t>
      </w:r>
      <w:r>
        <w:rPr>
          <w:rFonts w:hint="eastAsia" w:ascii="仿宋" w:hAnsi="仿宋" w:eastAsia="仿宋" w:cs="仿宋"/>
          <w:color w:val="000000"/>
          <w:sz w:val="32"/>
          <w:szCs w:val="32"/>
          <w:lang w:val="en-US" w:eastAsia="zh-CN"/>
        </w:rPr>
        <w:t>对会务中心设备及系统进行升级改造，不断满足各类会议需要，全年共保障会议700场，其中视频会议112次。面对疫情新形势和防控新要求，我们通过严密部署，将集中办公区的疫情防控责任落实到岗、细化到人；通过严格管理，做实集中办公区后勤保障；党员志愿服务者严阵以待，抓实社区防疫志愿服务，扎实筑牢疫情防控后勤防线，实现物业安全“零风险”。</w:t>
      </w:r>
    </w:p>
    <w:p>
      <w:pPr>
        <w:pStyle w:val="4"/>
        <w:pageBreakBefore w:val="0"/>
        <w:kinsoku/>
        <w:wordWrap/>
        <w:overflowPunct/>
        <w:topLinePunct w:val="0"/>
        <w:bidi w:val="0"/>
        <w:spacing w:line="576" w:lineRule="exact"/>
        <w:rPr>
          <w:rStyle w:val="25"/>
          <w:rFonts w:hint="eastAsia" w:ascii="仿宋" w:hAnsi="仿宋" w:eastAsia="仿宋" w:cs="仿宋"/>
          <w:b/>
          <w:bCs w:val="0"/>
          <w:color w:val="auto"/>
          <w:highlight w:val="none"/>
        </w:rPr>
      </w:pPr>
      <w:bookmarkStart w:id="20" w:name="_Toc15396601"/>
      <w:bookmarkStart w:id="21" w:name="_Toc15377200"/>
      <w:r>
        <w:rPr>
          <w:rFonts w:hint="eastAsia" w:ascii="仿宋" w:hAnsi="仿宋" w:eastAsia="仿宋" w:cs="仿宋"/>
          <w:b/>
          <w:bCs w:val="0"/>
          <w:color w:val="auto"/>
          <w:highlight w:val="none"/>
        </w:rPr>
        <w:t>二、机</w:t>
      </w:r>
      <w:r>
        <w:rPr>
          <w:rStyle w:val="25"/>
          <w:rFonts w:hint="eastAsia" w:ascii="仿宋" w:hAnsi="仿宋" w:eastAsia="仿宋" w:cs="仿宋"/>
          <w:b/>
          <w:bCs w:val="0"/>
          <w:color w:val="auto"/>
          <w:highlight w:val="none"/>
        </w:rPr>
        <w:t>构设置</w:t>
      </w:r>
      <w:bookmarkEnd w:id="20"/>
      <w:bookmarkEnd w:id="21"/>
    </w:p>
    <w:p>
      <w:pPr>
        <w:pageBreakBefore w:val="0"/>
        <w:widowControl/>
        <w:kinsoku/>
        <w:wordWrap/>
        <w:overflowPunct/>
        <w:topLinePunct w:val="0"/>
        <w:bidi w:val="0"/>
        <w:spacing w:line="576" w:lineRule="exact"/>
        <w:ind w:firstLine="640" w:firstLineChars="200"/>
        <w:jc w:val="left"/>
        <w:rPr>
          <w:rFonts w:ascii="仿宋" w:hAnsi="仿宋" w:eastAsia="仿宋"/>
          <w:color w:val="auto"/>
          <w:kern w:val="0"/>
          <w:sz w:val="32"/>
          <w:szCs w:val="32"/>
          <w:highlight w:val="none"/>
        </w:rPr>
      </w:pPr>
      <w:r>
        <w:rPr>
          <w:rFonts w:hint="eastAsia" w:ascii="仿宋" w:hAnsi="仿宋" w:eastAsia="仿宋"/>
          <w:color w:val="000000"/>
          <w:sz w:val="32"/>
          <w:szCs w:val="32"/>
        </w:rPr>
        <w:t>广元市利州区机关事务服务中心参公编制7名。设主任1名，副主任2名，股级职数3名。下属二级单位1个，事业编制11名。广元市利州区机关事务服务中心性质是为区政府直属正科级事业单位,保留参公管理。统一信用代</w:t>
      </w:r>
      <w:r>
        <w:rPr>
          <w:rFonts w:hint="eastAsia" w:ascii="仿宋" w:hAnsi="仿宋" w:eastAsia="仿宋"/>
          <w:color w:val="000000"/>
          <w:sz w:val="32"/>
          <w:szCs w:val="32"/>
          <w:lang w:eastAsia="zh-CN"/>
        </w:rPr>
        <w:t>码</w:t>
      </w:r>
      <w:r>
        <w:rPr>
          <w:rFonts w:hint="eastAsia" w:ascii="仿宋" w:hAnsi="仿宋" w:eastAsia="仿宋"/>
          <w:color w:val="000000"/>
          <w:sz w:val="32"/>
          <w:szCs w:val="32"/>
        </w:rPr>
        <w:t>125107010084547951，预算编码317301，现有在职人员12人；其中：参公3人，机关工人1人，事业管理人员8人，退休7人，临聘人员</w:t>
      </w:r>
      <w:r>
        <w:rPr>
          <w:rFonts w:hint="eastAsia" w:ascii="仿宋" w:hAnsi="仿宋" w:eastAsia="仿宋"/>
          <w:color w:val="000000"/>
          <w:sz w:val="32"/>
          <w:szCs w:val="32"/>
          <w:lang w:val="en-US" w:eastAsia="zh-CN"/>
        </w:rPr>
        <w:t>115</w:t>
      </w:r>
      <w:r>
        <w:rPr>
          <w:rFonts w:hint="eastAsia" w:ascii="仿宋" w:hAnsi="仿宋" w:eastAsia="仿宋"/>
          <w:color w:val="000000"/>
          <w:sz w:val="32"/>
          <w:szCs w:val="32"/>
        </w:rPr>
        <w:t>人</w:t>
      </w:r>
      <w:r>
        <w:rPr>
          <w:rFonts w:hint="eastAsia" w:ascii="仿宋" w:hAnsi="仿宋" w:eastAsia="仿宋"/>
          <w:bCs/>
          <w:color w:val="000000"/>
          <w:sz w:val="32"/>
          <w:szCs w:val="32"/>
        </w:rPr>
        <w:t>。</w:t>
      </w:r>
      <w:r>
        <w:rPr>
          <w:rFonts w:ascii="仿宋" w:hAnsi="仿宋" w:eastAsia="仿宋"/>
          <w:color w:val="auto"/>
          <w:sz w:val="32"/>
          <w:szCs w:val="32"/>
          <w:highlight w:val="none"/>
        </w:rPr>
        <w:br w:type="page"/>
      </w:r>
    </w:p>
    <w:p>
      <w:pPr>
        <w:pStyle w:val="3"/>
        <w:pageBreakBefore w:val="0"/>
        <w:kinsoku/>
        <w:wordWrap/>
        <w:overflowPunct/>
        <w:topLinePunct w:val="0"/>
        <w:bidi w:val="0"/>
        <w:spacing w:line="576" w:lineRule="exact"/>
        <w:ind w:right="440"/>
        <w:jc w:val="center"/>
        <w:rPr>
          <w:rStyle w:val="24"/>
          <w:rFonts w:ascii="黑体" w:hAnsi="黑体" w:eastAsia="黑体"/>
          <w:b w:val="0"/>
          <w:bCs/>
          <w:color w:val="auto"/>
          <w:sz w:val="32"/>
          <w:szCs w:val="32"/>
          <w:highlight w:val="none"/>
        </w:rPr>
      </w:pPr>
      <w:bookmarkStart w:id="22" w:name="_Toc15396602"/>
      <w:bookmarkStart w:id="23" w:name="_Toc15377204"/>
      <w:r>
        <w:rPr>
          <w:rFonts w:hint="eastAsia" w:ascii="黑体" w:hAnsi="黑体" w:eastAsia="黑体"/>
          <w:b w:val="0"/>
          <w:bCs/>
          <w:color w:val="auto"/>
          <w:sz w:val="32"/>
          <w:szCs w:val="32"/>
          <w:highlight w:val="none"/>
        </w:rPr>
        <w:t xml:space="preserve">第二部分 </w:t>
      </w:r>
      <w:r>
        <w:rPr>
          <w:rFonts w:hint="eastAsia" w:ascii="黑体" w:hAnsi="黑体" w:eastAsia="黑体"/>
          <w:b w:val="0"/>
          <w:bCs/>
          <w:color w:val="auto"/>
          <w:sz w:val="32"/>
          <w:szCs w:val="32"/>
          <w:highlight w:val="none"/>
          <w:lang w:val="en-US" w:eastAsia="zh-CN"/>
        </w:rPr>
        <w:t>2021年度</w:t>
      </w:r>
      <w:r>
        <w:rPr>
          <w:rStyle w:val="24"/>
          <w:rFonts w:hint="eastAsia" w:ascii="黑体" w:hAnsi="黑体" w:eastAsia="黑体"/>
          <w:b w:val="0"/>
          <w:bCs/>
          <w:color w:val="auto"/>
          <w:sz w:val="32"/>
          <w:szCs w:val="32"/>
          <w:highlight w:val="none"/>
        </w:rPr>
        <w:t>部门决算情况说明</w:t>
      </w:r>
      <w:bookmarkEnd w:id="22"/>
      <w:bookmarkEnd w:id="23"/>
    </w:p>
    <w:p>
      <w:pPr>
        <w:pageBreakBefore w:val="0"/>
        <w:kinsoku/>
        <w:wordWrap/>
        <w:overflowPunct/>
        <w:topLinePunct w:val="0"/>
        <w:bidi w:val="0"/>
        <w:spacing w:line="576" w:lineRule="exact"/>
        <w:rPr>
          <w:color w:val="auto"/>
          <w:highlight w:val="none"/>
        </w:rPr>
      </w:pPr>
    </w:p>
    <w:p>
      <w:pPr>
        <w:pStyle w:val="23"/>
        <w:pageBreakBefore w:val="0"/>
        <w:numPr>
          <w:ilvl w:val="0"/>
          <w:numId w:val="1"/>
        </w:numPr>
        <w:kinsoku/>
        <w:wordWrap/>
        <w:overflowPunct/>
        <w:topLinePunct w:val="0"/>
        <w:bidi w:val="0"/>
        <w:spacing w:line="576" w:lineRule="exact"/>
        <w:ind w:firstLineChars="0"/>
        <w:outlineLvl w:val="1"/>
        <w:rPr>
          <w:rStyle w:val="25"/>
          <w:rFonts w:hint="eastAsia" w:ascii="仿宋" w:hAnsi="仿宋" w:eastAsia="仿宋"/>
          <w:b w:val="0"/>
        </w:rPr>
      </w:pPr>
      <w:bookmarkStart w:id="24" w:name="_Toc15377205"/>
      <w:bookmarkStart w:id="25"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24"/>
      <w:bookmarkEnd w:id="25"/>
    </w:p>
    <w:p>
      <w:pPr>
        <w:pageBreakBefore w:val="0"/>
        <w:kinsoku/>
        <w:wordWrap/>
        <w:overflowPunct/>
        <w:topLinePunct w:val="0"/>
        <w:bidi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年利州区机关事务服务中心本年收入合计</w:t>
      </w:r>
      <w:r>
        <w:rPr>
          <w:rFonts w:hint="eastAsia" w:ascii="仿宋" w:hAnsi="仿宋" w:eastAsia="仿宋"/>
          <w:sz w:val="32"/>
          <w:szCs w:val="32"/>
          <w:lang w:val="en-US" w:eastAsia="zh-CN"/>
        </w:rPr>
        <w:t>2602.14</w:t>
      </w:r>
      <w:r>
        <w:rPr>
          <w:rFonts w:hint="eastAsia" w:ascii="仿宋" w:hAnsi="仿宋" w:eastAsia="仿宋"/>
          <w:sz w:val="32"/>
          <w:szCs w:val="32"/>
        </w:rPr>
        <w:t>万元。财政拨款收入</w:t>
      </w:r>
      <w:r>
        <w:rPr>
          <w:rFonts w:hint="eastAsia" w:ascii="仿宋" w:hAnsi="仿宋" w:eastAsia="仿宋"/>
          <w:sz w:val="32"/>
          <w:szCs w:val="32"/>
          <w:lang w:val="en-US" w:eastAsia="zh-CN"/>
        </w:rPr>
        <w:t>1325.02</w:t>
      </w:r>
      <w:r>
        <w:rPr>
          <w:rFonts w:hint="eastAsia" w:ascii="仿宋" w:hAnsi="仿宋" w:eastAsia="仿宋"/>
          <w:sz w:val="32"/>
          <w:szCs w:val="32"/>
        </w:rPr>
        <w:t>万元。年初结转和结余</w:t>
      </w:r>
      <w:r>
        <w:rPr>
          <w:rFonts w:hint="eastAsia" w:ascii="仿宋" w:hAnsi="仿宋" w:eastAsia="仿宋"/>
          <w:sz w:val="32"/>
          <w:szCs w:val="32"/>
          <w:lang w:val="en-US" w:eastAsia="zh-CN"/>
        </w:rPr>
        <w:t>1277.11</w:t>
      </w:r>
      <w:r>
        <w:rPr>
          <w:rFonts w:hint="eastAsia" w:ascii="仿宋" w:hAnsi="仿宋" w:eastAsia="仿宋"/>
          <w:sz w:val="32"/>
          <w:szCs w:val="32"/>
        </w:rPr>
        <w:t>万元。</w:t>
      </w: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lang w:val="en-US" w:eastAsia="zh-CN"/>
        </w:rPr>
      </w:pPr>
      <w:r>
        <w:rPr>
          <w:sz w:val="32"/>
          <w:szCs w:val="32"/>
        </w:rPr>
        <w:drawing>
          <wp:anchor distT="0" distB="0" distL="114300" distR="114300" simplePos="0" relativeHeight="251659264" behindDoc="1" locked="0" layoutInCell="1" allowOverlap="1">
            <wp:simplePos x="0" y="0"/>
            <wp:positionH relativeFrom="column">
              <wp:posOffset>271145</wp:posOffset>
            </wp:positionH>
            <wp:positionV relativeFrom="paragraph">
              <wp:posOffset>2692400</wp:posOffset>
            </wp:positionV>
            <wp:extent cx="4790440" cy="3134360"/>
            <wp:effectExtent l="4445" t="4445" r="5715" b="2349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年利州区机关事务服务中心本年支出合计</w:t>
      </w:r>
      <w:r>
        <w:rPr>
          <w:rFonts w:hint="eastAsia" w:ascii="仿宋" w:hAnsi="仿宋" w:eastAsia="仿宋"/>
          <w:sz w:val="32"/>
          <w:szCs w:val="32"/>
          <w:lang w:val="en-US" w:eastAsia="zh-CN"/>
        </w:rPr>
        <w:t>2581.24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其中：基本支出</w:t>
      </w:r>
      <w:r>
        <w:rPr>
          <w:rFonts w:hint="eastAsia" w:ascii="仿宋" w:hAnsi="仿宋" w:eastAsia="仿宋"/>
          <w:sz w:val="32"/>
          <w:szCs w:val="32"/>
          <w:lang w:val="en-US" w:eastAsia="zh-CN"/>
        </w:rPr>
        <w:t>510.73</w:t>
      </w:r>
      <w:r>
        <w:rPr>
          <w:rFonts w:hint="eastAsia" w:ascii="仿宋" w:hAnsi="仿宋" w:eastAsia="仿宋"/>
          <w:sz w:val="32"/>
          <w:szCs w:val="32"/>
        </w:rPr>
        <w:t>万元，占</w:t>
      </w:r>
      <w:r>
        <w:rPr>
          <w:rFonts w:hint="eastAsia" w:ascii="仿宋" w:hAnsi="仿宋" w:eastAsia="仿宋"/>
          <w:sz w:val="32"/>
          <w:szCs w:val="32"/>
          <w:lang w:val="en-US" w:eastAsia="zh-CN"/>
        </w:rPr>
        <w:t>20</w:t>
      </w:r>
      <w:r>
        <w:rPr>
          <w:rFonts w:hint="eastAsia" w:ascii="仿宋" w:hAnsi="仿宋" w:eastAsia="仿宋"/>
          <w:sz w:val="32"/>
          <w:szCs w:val="32"/>
        </w:rPr>
        <w:t>%。项目支出</w:t>
      </w:r>
      <w:r>
        <w:rPr>
          <w:rFonts w:hint="eastAsia" w:ascii="仿宋" w:hAnsi="仿宋" w:eastAsia="仿宋"/>
          <w:sz w:val="32"/>
          <w:szCs w:val="32"/>
          <w:lang w:val="en-US" w:eastAsia="zh-CN"/>
        </w:rPr>
        <w:t>2070.51</w:t>
      </w:r>
      <w:r>
        <w:rPr>
          <w:rFonts w:hint="eastAsia" w:ascii="仿宋" w:hAnsi="仿宋" w:eastAsia="仿宋"/>
          <w:sz w:val="32"/>
          <w:szCs w:val="32"/>
        </w:rPr>
        <w:t>万元，占</w:t>
      </w:r>
      <w:r>
        <w:rPr>
          <w:rFonts w:hint="eastAsia" w:ascii="仿宋" w:hAnsi="仿宋" w:eastAsia="仿宋"/>
          <w:sz w:val="32"/>
          <w:szCs w:val="32"/>
          <w:lang w:val="en-US" w:eastAsia="zh-CN"/>
        </w:rPr>
        <w:t>80</w:t>
      </w:r>
      <w:r>
        <w:rPr>
          <w:rFonts w:hint="eastAsia" w:ascii="仿宋" w:hAnsi="仿宋" w:eastAsia="仿宋"/>
          <w:sz w:val="32"/>
          <w:szCs w:val="32"/>
        </w:rPr>
        <w:t>%。年末结转和结余</w:t>
      </w:r>
      <w:r>
        <w:rPr>
          <w:rFonts w:hint="eastAsia" w:ascii="仿宋" w:hAnsi="仿宋" w:eastAsia="仿宋"/>
          <w:sz w:val="32"/>
          <w:szCs w:val="32"/>
          <w:lang w:val="en-US" w:eastAsia="zh-CN"/>
        </w:rPr>
        <w:t>20.89</w:t>
      </w:r>
      <w:r>
        <w:rPr>
          <w:rFonts w:hint="eastAsia" w:ascii="仿宋" w:hAnsi="仿宋" w:eastAsia="仿宋"/>
          <w:sz w:val="32"/>
          <w:szCs w:val="32"/>
        </w:rPr>
        <w:t>万元。</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专项业务费年初预算专项清算</w:t>
      </w:r>
      <w:r>
        <w:rPr>
          <w:rFonts w:hint="eastAsia" w:ascii="仿宋" w:hAnsi="仿宋" w:eastAsia="仿宋"/>
          <w:color w:val="auto"/>
          <w:sz w:val="32"/>
          <w:szCs w:val="32"/>
          <w:highlight w:val="none"/>
          <w:lang w:val="en-US" w:eastAsia="zh-CN"/>
        </w:rPr>
        <w:t>933.83万元。2020年度财政应返还额度1277.11万元，2021年度财政应返还额度20.89万元。与2020年相比财政应返还额度减少1256.22万元。</w:t>
      </w: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3"/>
        <w:pageBreakBefore w:val="0"/>
        <w:numPr>
          <w:ilvl w:val="0"/>
          <w:numId w:val="1"/>
        </w:numPr>
        <w:kinsoku/>
        <w:wordWrap/>
        <w:overflowPunct/>
        <w:topLinePunct w:val="0"/>
        <w:bidi w:val="0"/>
        <w:spacing w:line="576" w:lineRule="exact"/>
        <w:ind w:firstLineChars="0"/>
        <w:outlineLvl w:val="1"/>
        <w:rPr>
          <w:rStyle w:val="25"/>
          <w:rFonts w:hint="eastAsia" w:ascii="仿宋" w:hAnsi="仿宋" w:eastAsia="仿宋" w:cs="仿宋"/>
          <w:b/>
          <w:bCs/>
          <w:color w:val="auto"/>
          <w:highlight w:val="none"/>
        </w:rPr>
      </w:pPr>
      <w:bookmarkStart w:id="26" w:name="_Toc15377206"/>
      <w:bookmarkStart w:id="27" w:name="_Toc15396604"/>
      <w:r>
        <w:rPr>
          <w:rFonts w:hint="eastAsia" w:ascii="仿宋" w:hAnsi="仿宋" w:eastAsia="仿宋" w:cs="仿宋"/>
          <w:b/>
          <w:bCs/>
          <w:color w:val="auto"/>
          <w:sz w:val="32"/>
          <w:szCs w:val="32"/>
          <w:highlight w:val="none"/>
        </w:rPr>
        <w:t>收</w:t>
      </w:r>
      <w:r>
        <w:rPr>
          <w:rStyle w:val="25"/>
          <w:rFonts w:hint="eastAsia" w:ascii="仿宋" w:hAnsi="仿宋" w:eastAsia="仿宋" w:cs="仿宋"/>
          <w:b/>
          <w:bCs/>
          <w:color w:val="auto"/>
          <w:highlight w:val="none"/>
        </w:rPr>
        <w:t>入决算情况说明</w:t>
      </w:r>
      <w:bookmarkEnd w:id="26"/>
      <w:bookmarkEnd w:id="27"/>
    </w:p>
    <w:p>
      <w:pPr>
        <w:pageBreakBefore w:val="0"/>
        <w:kinsoku/>
        <w:wordWrap/>
        <w:overflowPunct/>
        <w:topLinePunct w:val="0"/>
        <w:bidi w:val="0"/>
        <w:spacing w:line="576"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1325.02</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1325.02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rPr>
        <w:t>政府性基金预算财政拨款收入0万元，占0%；上级补助收入0万元，占0%；事业收入0元，占0%；经营收入0万元，占0%；附属单位上缴收入0万元，占0%；其他收入0万元，占0%。</w:t>
      </w:r>
    </w:p>
    <w:p>
      <w:pPr>
        <w:pageBreakBefore w:val="0"/>
        <w:kinsoku/>
        <w:wordWrap/>
        <w:overflowPunct/>
        <w:topLinePunct w:val="0"/>
        <w:bidi w:val="0"/>
        <w:spacing w:line="576" w:lineRule="exact"/>
        <w:ind w:firstLine="1470" w:firstLineChars="700"/>
        <w:outlineLvl w:val="1"/>
        <w:rPr>
          <w:rFonts w:ascii="仿宋_GB2312" w:eastAsia="仿宋_GB2312"/>
          <w:color w:val="auto"/>
          <w:sz w:val="32"/>
          <w:szCs w:val="32"/>
          <w:highlight w:val="none"/>
        </w:rPr>
      </w:pPr>
      <w:r>
        <w:drawing>
          <wp:anchor distT="0" distB="0" distL="114300" distR="114300" simplePos="0" relativeHeight="251660288" behindDoc="1" locked="0" layoutInCell="1" allowOverlap="1">
            <wp:simplePos x="0" y="0"/>
            <wp:positionH relativeFrom="column">
              <wp:posOffset>80010</wp:posOffset>
            </wp:positionH>
            <wp:positionV relativeFrom="paragraph">
              <wp:posOffset>300355</wp:posOffset>
            </wp:positionV>
            <wp:extent cx="5229860" cy="2104390"/>
            <wp:effectExtent l="4445" t="4445" r="23495" b="5715"/>
            <wp:wrapTight wrapText="bothSides">
              <wp:wrapPolygon>
                <wp:start x="-18" y="-46"/>
                <wp:lineTo x="-18" y="21463"/>
                <wp:lineTo x="21540" y="21463"/>
                <wp:lineTo x="21540" y="-46"/>
                <wp:lineTo x="-18" y="-46"/>
              </wp:wrapPolygon>
            </wp:wrapTight>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（图2：收入决算结构图）（饼状图）</w:t>
      </w:r>
    </w:p>
    <w:p>
      <w:pPr>
        <w:pStyle w:val="23"/>
        <w:pageBreakBefore w:val="0"/>
        <w:numPr>
          <w:ilvl w:val="0"/>
          <w:numId w:val="1"/>
        </w:numPr>
        <w:kinsoku/>
        <w:wordWrap/>
        <w:overflowPunct/>
        <w:topLinePunct w:val="0"/>
        <w:bidi w:val="0"/>
        <w:spacing w:line="576" w:lineRule="exact"/>
        <w:ind w:firstLineChars="0"/>
        <w:outlineLvl w:val="1"/>
        <w:rPr>
          <w:rStyle w:val="25"/>
          <w:rFonts w:hint="eastAsia" w:ascii="仿宋" w:hAnsi="仿宋" w:eastAsia="仿宋" w:cs="仿宋"/>
          <w:b/>
          <w:bCs/>
          <w:color w:val="auto"/>
          <w:highlight w:val="none"/>
        </w:rPr>
      </w:pPr>
      <w:bookmarkStart w:id="28" w:name="_Toc15377207"/>
      <w:bookmarkStart w:id="29" w:name="_Toc15396605"/>
      <w:r>
        <w:rPr>
          <w:rFonts w:hint="eastAsia" w:ascii="仿宋" w:hAnsi="仿宋" w:eastAsia="仿宋" w:cs="仿宋"/>
          <w:b/>
          <w:bCs/>
          <w:color w:val="auto"/>
          <w:sz w:val="32"/>
          <w:szCs w:val="32"/>
          <w:highlight w:val="none"/>
        </w:rPr>
        <w:t>支</w:t>
      </w:r>
      <w:r>
        <w:rPr>
          <w:rStyle w:val="25"/>
          <w:rFonts w:hint="eastAsia" w:ascii="仿宋" w:hAnsi="仿宋" w:eastAsia="仿宋" w:cs="仿宋"/>
          <w:b/>
          <w:bCs/>
          <w:color w:val="auto"/>
          <w:highlight w:val="none"/>
        </w:rPr>
        <w:t>出决算情况说明</w:t>
      </w:r>
      <w:bookmarkEnd w:id="28"/>
      <w:bookmarkEnd w:id="29"/>
    </w:p>
    <w:p>
      <w:pPr>
        <w:pageBreakBefore w:val="0"/>
        <w:kinsoku/>
        <w:wordWrap/>
        <w:overflowPunct/>
        <w:topLinePunct w:val="0"/>
        <w:bidi w:val="0"/>
        <w:spacing w:line="576"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2581.24</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510.73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2070.51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sz w:val="32"/>
          <w:szCs w:val="32"/>
        </w:rPr>
        <w:t>上缴上级支出0万元，占0%；经营支出0万元，占0%；对附属单位补助支出0万元，占0%。</w:t>
      </w:r>
    </w:p>
    <w:p>
      <w:pPr>
        <w:pageBreakBefore w:val="0"/>
        <w:kinsoku/>
        <w:wordWrap/>
        <w:overflowPunct/>
        <w:topLinePunct w:val="0"/>
        <w:bidi w:val="0"/>
        <w:spacing w:line="576" w:lineRule="exact"/>
        <w:ind w:firstLine="640"/>
        <w:rPr>
          <w:rFonts w:ascii="仿宋" w:hAnsi="仿宋" w:eastAsia="仿宋"/>
          <w:color w:val="auto"/>
          <w:sz w:val="32"/>
          <w:szCs w:val="32"/>
          <w:highlight w:val="none"/>
          <w:shd w:val="pct10" w:color="auto" w:fill="FFFFFF"/>
        </w:rPr>
      </w:pPr>
      <w:r>
        <w:drawing>
          <wp:anchor distT="0" distB="0" distL="114300" distR="114300" simplePos="0" relativeHeight="251659264" behindDoc="1" locked="0" layoutInCell="1" allowOverlap="1">
            <wp:simplePos x="0" y="0"/>
            <wp:positionH relativeFrom="column">
              <wp:posOffset>410845</wp:posOffset>
            </wp:positionH>
            <wp:positionV relativeFrom="paragraph">
              <wp:posOffset>109220</wp:posOffset>
            </wp:positionV>
            <wp:extent cx="4781550" cy="1743075"/>
            <wp:effectExtent l="4445" t="4445" r="14605" b="5080"/>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jc w:val="center"/>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jc w:val="center"/>
        <w:rPr>
          <w:rFonts w:hint="eastAsia" w:ascii="仿宋" w:hAnsi="仿宋" w:eastAsia="仿宋" w:cs="仿宋"/>
          <w:b/>
          <w:bCs/>
          <w:color w:val="auto"/>
          <w:sz w:val="32"/>
          <w:szCs w:val="32"/>
          <w:highlight w:val="none"/>
        </w:rPr>
      </w:pPr>
      <w:r>
        <w:rPr>
          <w:rFonts w:hint="eastAsia" w:ascii="仿宋" w:hAnsi="仿宋" w:eastAsia="仿宋"/>
          <w:color w:val="auto"/>
          <w:sz w:val="32"/>
          <w:szCs w:val="32"/>
          <w:highlight w:val="none"/>
        </w:rPr>
        <w:t>（图3：支出决算结构图）（饼状图）</w:t>
      </w:r>
      <w:bookmarkStart w:id="30" w:name="_Toc15396606"/>
      <w:bookmarkStart w:id="31" w:name="_Toc15377208"/>
    </w:p>
    <w:p>
      <w:pPr>
        <w:pageBreakBefore w:val="0"/>
        <w:kinsoku/>
        <w:wordWrap/>
        <w:overflowPunct/>
        <w:topLinePunct w:val="0"/>
        <w:bidi w:val="0"/>
        <w:spacing w:line="576" w:lineRule="exact"/>
        <w:ind w:firstLine="642" w:firstLineChars="200"/>
        <w:outlineLvl w:val="1"/>
        <w:rPr>
          <w:rStyle w:val="25"/>
          <w:rFonts w:hint="eastAsia" w:ascii="仿宋" w:hAnsi="仿宋" w:eastAsia="仿宋" w:cs="仿宋"/>
          <w:b/>
          <w:bCs/>
          <w:color w:val="auto"/>
          <w:highlight w:val="none"/>
        </w:rPr>
      </w:pPr>
      <w:r>
        <w:rPr>
          <w:rFonts w:hint="eastAsia" w:ascii="仿宋" w:hAnsi="仿宋" w:eastAsia="仿宋" w:cs="仿宋"/>
          <w:b/>
          <w:bCs/>
          <w:color w:val="auto"/>
          <w:sz w:val="32"/>
          <w:szCs w:val="32"/>
          <w:highlight w:val="none"/>
        </w:rPr>
        <w:t>四、财</w:t>
      </w:r>
      <w:r>
        <w:rPr>
          <w:rStyle w:val="25"/>
          <w:rFonts w:hint="eastAsia" w:ascii="仿宋" w:hAnsi="仿宋" w:eastAsia="仿宋" w:cs="仿宋"/>
          <w:b/>
          <w:bCs/>
          <w:color w:val="auto"/>
          <w:highlight w:val="none"/>
        </w:rPr>
        <w:t>政拨款收入支出决算总体情况说明</w:t>
      </w:r>
      <w:bookmarkEnd w:id="30"/>
      <w:bookmarkEnd w:id="31"/>
    </w:p>
    <w:p>
      <w:pPr>
        <w:pageBreakBefore w:val="0"/>
        <w:kinsoku/>
        <w:wordWrap/>
        <w:overflowPunct/>
        <w:topLinePunct w:val="0"/>
        <w:bidi w:val="0"/>
        <w:spacing w:line="576" w:lineRule="exact"/>
        <w:ind w:firstLine="626" w:firstLineChars="200"/>
        <w:rPr>
          <w:rFonts w:hint="eastAsia" w:ascii="仿宋" w:hAnsi="仿宋" w:eastAsia="仿宋"/>
          <w:w w:val="98"/>
          <w:sz w:val="32"/>
          <w:szCs w:val="32"/>
        </w:rPr>
      </w:pPr>
      <w:r>
        <w:rPr>
          <w:rFonts w:hint="eastAsia" w:ascii="仿宋" w:hAnsi="仿宋" w:eastAsia="仿宋"/>
          <w:w w:val="98"/>
          <w:sz w:val="32"/>
          <w:szCs w:val="32"/>
        </w:rPr>
        <w:t>202</w:t>
      </w:r>
      <w:r>
        <w:rPr>
          <w:rFonts w:hint="eastAsia" w:ascii="仿宋" w:hAnsi="仿宋" w:eastAsia="仿宋"/>
          <w:w w:val="98"/>
          <w:sz w:val="32"/>
          <w:szCs w:val="32"/>
          <w:lang w:val="en-US" w:eastAsia="zh-CN"/>
        </w:rPr>
        <w:t>1</w:t>
      </w:r>
      <w:r>
        <w:rPr>
          <w:rFonts w:hint="eastAsia" w:ascii="仿宋" w:hAnsi="仿宋" w:eastAsia="仿宋"/>
          <w:w w:val="98"/>
          <w:sz w:val="32"/>
          <w:szCs w:val="32"/>
        </w:rPr>
        <w:t>年利州区机关事务服务中心本年收入合计</w:t>
      </w:r>
      <w:r>
        <w:rPr>
          <w:rFonts w:hint="eastAsia" w:ascii="仿宋" w:hAnsi="仿宋" w:eastAsia="仿宋"/>
          <w:w w:val="98"/>
          <w:sz w:val="32"/>
          <w:szCs w:val="32"/>
          <w:lang w:val="en-US" w:eastAsia="zh-CN"/>
        </w:rPr>
        <w:t>2602.14</w:t>
      </w:r>
      <w:r>
        <w:rPr>
          <w:rFonts w:hint="eastAsia" w:ascii="仿宋" w:hAnsi="仿宋" w:eastAsia="仿宋"/>
          <w:w w:val="98"/>
          <w:sz w:val="32"/>
          <w:szCs w:val="32"/>
        </w:rPr>
        <w:t>万元。财政拨款收入</w:t>
      </w:r>
      <w:r>
        <w:rPr>
          <w:rFonts w:hint="eastAsia" w:ascii="仿宋" w:hAnsi="仿宋" w:eastAsia="仿宋"/>
          <w:w w:val="98"/>
          <w:sz w:val="32"/>
          <w:szCs w:val="32"/>
          <w:lang w:val="en-US" w:eastAsia="zh-CN"/>
        </w:rPr>
        <w:t>1325.02</w:t>
      </w:r>
      <w:r>
        <w:rPr>
          <w:rFonts w:hint="eastAsia" w:ascii="仿宋" w:hAnsi="仿宋" w:eastAsia="仿宋"/>
          <w:w w:val="98"/>
          <w:sz w:val="32"/>
          <w:szCs w:val="32"/>
        </w:rPr>
        <w:t>万元。年初结转和结余</w:t>
      </w:r>
      <w:r>
        <w:rPr>
          <w:rFonts w:hint="eastAsia" w:ascii="仿宋" w:hAnsi="仿宋" w:eastAsia="仿宋"/>
          <w:w w:val="98"/>
          <w:sz w:val="32"/>
          <w:szCs w:val="32"/>
          <w:lang w:val="en-US" w:eastAsia="zh-CN"/>
        </w:rPr>
        <w:t>1277.11</w:t>
      </w:r>
      <w:r>
        <w:rPr>
          <w:rFonts w:hint="eastAsia" w:ascii="仿宋" w:hAnsi="仿宋" w:eastAsia="仿宋"/>
          <w:w w:val="98"/>
          <w:sz w:val="32"/>
          <w:szCs w:val="32"/>
        </w:rPr>
        <w:t>万元。</w:t>
      </w: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lang w:val="en-US" w:eastAsia="zh-CN"/>
        </w:rPr>
      </w:pPr>
      <w:r>
        <w:rPr>
          <w:sz w:val="32"/>
          <w:szCs w:val="32"/>
        </w:rPr>
        <w:drawing>
          <wp:anchor distT="0" distB="0" distL="114300" distR="114300" simplePos="0" relativeHeight="251661312" behindDoc="1" locked="0" layoutInCell="1" allowOverlap="1">
            <wp:simplePos x="0" y="0"/>
            <wp:positionH relativeFrom="column">
              <wp:posOffset>4445</wp:posOffset>
            </wp:positionH>
            <wp:positionV relativeFrom="paragraph">
              <wp:posOffset>2510790</wp:posOffset>
            </wp:positionV>
            <wp:extent cx="5271770" cy="2647315"/>
            <wp:effectExtent l="4445" t="4445" r="19685" b="15240"/>
            <wp:wrapNone/>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年利州区机关事务服务中心本年支出合计</w:t>
      </w:r>
      <w:r>
        <w:rPr>
          <w:rFonts w:hint="eastAsia" w:ascii="仿宋" w:hAnsi="仿宋" w:eastAsia="仿宋"/>
          <w:sz w:val="32"/>
          <w:szCs w:val="32"/>
          <w:lang w:val="en-US" w:eastAsia="zh-CN"/>
        </w:rPr>
        <w:t>2581.24</w:t>
      </w:r>
      <w:r>
        <w:rPr>
          <w:rFonts w:hint="eastAsia" w:ascii="仿宋" w:hAnsi="仿宋" w:eastAsia="仿宋"/>
          <w:sz w:val="32"/>
          <w:szCs w:val="32"/>
        </w:rPr>
        <w:t>万元，其中：基本支出</w:t>
      </w:r>
      <w:r>
        <w:rPr>
          <w:rFonts w:hint="eastAsia" w:ascii="仿宋" w:hAnsi="仿宋" w:eastAsia="仿宋"/>
          <w:sz w:val="32"/>
          <w:szCs w:val="32"/>
          <w:lang w:val="en-US" w:eastAsia="zh-CN"/>
        </w:rPr>
        <w:t>510.73</w:t>
      </w:r>
      <w:r>
        <w:rPr>
          <w:rFonts w:hint="eastAsia" w:ascii="仿宋" w:hAnsi="仿宋" w:eastAsia="仿宋"/>
          <w:sz w:val="32"/>
          <w:szCs w:val="32"/>
        </w:rPr>
        <w:t>万元，占</w:t>
      </w:r>
      <w:r>
        <w:rPr>
          <w:rFonts w:hint="eastAsia" w:ascii="仿宋" w:hAnsi="仿宋" w:eastAsia="仿宋"/>
          <w:sz w:val="32"/>
          <w:szCs w:val="32"/>
          <w:lang w:val="en-US" w:eastAsia="zh-CN"/>
        </w:rPr>
        <w:t>20</w:t>
      </w:r>
      <w:r>
        <w:rPr>
          <w:rFonts w:hint="eastAsia" w:ascii="仿宋" w:hAnsi="仿宋" w:eastAsia="仿宋"/>
          <w:sz w:val="32"/>
          <w:szCs w:val="32"/>
        </w:rPr>
        <w:t>%。项目支出</w:t>
      </w:r>
      <w:r>
        <w:rPr>
          <w:rFonts w:hint="eastAsia" w:ascii="仿宋" w:hAnsi="仿宋" w:eastAsia="仿宋"/>
          <w:sz w:val="32"/>
          <w:szCs w:val="32"/>
          <w:lang w:val="en-US" w:eastAsia="zh-CN"/>
        </w:rPr>
        <w:t>2070.51</w:t>
      </w:r>
      <w:r>
        <w:rPr>
          <w:rFonts w:hint="eastAsia" w:ascii="仿宋" w:hAnsi="仿宋" w:eastAsia="仿宋"/>
          <w:sz w:val="32"/>
          <w:szCs w:val="32"/>
        </w:rPr>
        <w:t>万元，占</w:t>
      </w:r>
      <w:r>
        <w:rPr>
          <w:rFonts w:hint="eastAsia" w:ascii="仿宋" w:hAnsi="仿宋" w:eastAsia="仿宋"/>
          <w:sz w:val="32"/>
          <w:szCs w:val="32"/>
          <w:lang w:val="en-US" w:eastAsia="zh-CN"/>
        </w:rPr>
        <w:t>80</w:t>
      </w:r>
      <w:r>
        <w:rPr>
          <w:rFonts w:hint="eastAsia" w:ascii="仿宋" w:hAnsi="仿宋" w:eastAsia="仿宋"/>
          <w:sz w:val="32"/>
          <w:szCs w:val="32"/>
        </w:rPr>
        <w:t>%。年末结转和结余</w:t>
      </w:r>
      <w:r>
        <w:rPr>
          <w:rFonts w:hint="eastAsia" w:ascii="仿宋" w:hAnsi="仿宋" w:eastAsia="仿宋"/>
          <w:sz w:val="32"/>
          <w:szCs w:val="32"/>
          <w:lang w:val="en-US" w:eastAsia="zh-CN"/>
        </w:rPr>
        <w:t>20.89</w:t>
      </w:r>
      <w:r>
        <w:rPr>
          <w:rFonts w:hint="eastAsia" w:ascii="仿宋" w:hAnsi="仿宋" w:eastAsia="仿宋"/>
          <w:sz w:val="32"/>
          <w:szCs w:val="32"/>
        </w:rPr>
        <w:t>万元。</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专项业务费年初预算专项清算</w:t>
      </w:r>
      <w:r>
        <w:rPr>
          <w:rFonts w:hint="eastAsia" w:ascii="仿宋" w:hAnsi="仿宋" w:eastAsia="仿宋"/>
          <w:color w:val="auto"/>
          <w:sz w:val="32"/>
          <w:szCs w:val="32"/>
          <w:highlight w:val="none"/>
          <w:lang w:val="en-US" w:eastAsia="zh-CN"/>
        </w:rPr>
        <w:t>933.83万元。2020年度财政应返还额度1277.11万元，2021年度财政应返还额度20.89万源。与2020年相比财政应返还额度减少1256.22万元。</w:t>
      </w:r>
    </w:p>
    <w:p>
      <w:pPr>
        <w:pageBreakBefore w:val="0"/>
        <w:kinsoku/>
        <w:wordWrap/>
        <w:overflowPunct/>
        <w:topLinePunct w:val="0"/>
        <w:bidi w:val="0"/>
        <w:spacing w:line="576" w:lineRule="exact"/>
        <w:rPr>
          <w:rFonts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ageBreakBefore w:val="0"/>
        <w:kinsoku/>
        <w:wordWrap/>
        <w:overflowPunct/>
        <w:topLinePunct w:val="0"/>
        <w:bidi w:val="0"/>
        <w:spacing w:line="576" w:lineRule="exact"/>
        <w:ind w:firstLine="642" w:firstLineChars="200"/>
        <w:outlineLvl w:val="1"/>
        <w:rPr>
          <w:rStyle w:val="25"/>
          <w:rFonts w:hint="eastAsia" w:ascii="仿宋" w:hAnsi="仿宋" w:eastAsia="仿宋" w:cs="仿宋"/>
          <w:b/>
          <w:bCs/>
          <w:color w:val="auto"/>
          <w:highlight w:val="none"/>
        </w:rPr>
      </w:pPr>
      <w:bookmarkStart w:id="32" w:name="_Toc15396607"/>
      <w:bookmarkStart w:id="33" w:name="_Toc15377209"/>
      <w:r>
        <w:rPr>
          <w:rFonts w:hint="eastAsia" w:ascii="仿宋" w:hAnsi="仿宋" w:eastAsia="仿宋" w:cs="仿宋"/>
          <w:b/>
          <w:bCs/>
          <w:color w:val="auto"/>
          <w:sz w:val="32"/>
          <w:szCs w:val="32"/>
          <w:highlight w:val="none"/>
        </w:rPr>
        <w:t>五、一</w:t>
      </w:r>
      <w:r>
        <w:rPr>
          <w:rStyle w:val="25"/>
          <w:rFonts w:hint="eastAsia" w:ascii="仿宋" w:hAnsi="仿宋" w:eastAsia="仿宋" w:cs="仿宋"/>
          <w:b/>
          <w:bCs/>
          <w:color w:val="auto"/>
          <w:highlight w:val="none"/>
        </w:rPr>
        <w:t>般公共预算财政拨款支出决算情况说明</w:t>
      </w:r>
      <w:bookmarkEnd w:id="32"/>
      <w:bookmarkEnd w:id="33"/>
    </w:p>
    <w:p>
      <w:pPr>
        <w:pageBreakBefore w:val="0"/>
        <w:kinsoku/>
        <w:wordWrap/>
        <w:overflowPunct/>
        <w:topLinePunct w:val="0"/>
        <w:bidi w:val="0"/>
        <w:spacing w:line="576" w:lineRule="exact"/>
        <w:ind w:firstLine="642" w:firstLineChars="200"/>
        <w:outlineLvl w:val="2"/>
        <w:rPr>
          <w:rFonts w:hint="eastAsia" w:ascii="仿宋" w:hAnsi="仿宋" w:eastAsia="仿宋" w:cs="仿宋"/>
          <w:b/>
          <w:color w:val="auto"/>
          <w:sz w:val="32"/>
          <w:szCs w:val="32"/>
          <w:highlight w:val="none"/>
        </w:rPr>
      </w:pPr>
      <w:bookmarkStart w:id="34" w:name="_Toc15377210"/>
      <w:r>
        <w:rPr>
          <w:rFonts w:hint="eastAsia" w:ascii="仿宋" w:hAnsi="仿宋" w:eastAsia="仿宋" w:cs="仿宋"/>
          <w:b/>
          <w:color w:val="auto"/>
          <w:sz w:val="32"/>
          <w:szCs w:val="32"/>
          <w:highlight w:val="none"/>
        </w:rPr>
        <w:t>（一）一般公共预算财政拨款支出决算总体情况</w:t>
      </w:r>
      <w:bookmarkEnd w:id="34"/>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2581.24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1250.34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51.56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本年度支出</w:t>
      </w:r>
      <w:r>
        <w:rPr>
          <w:rFonts w:hint="eastAsia" w:ascii="仿宋" w:hAnsi="仿宋" w:eastAsia="仿宋"/>
          <w:color w:val="auto"/>
          <w:sz w:val="32"/>
          <w:szCs w:val="32"/>
          <w:highlight w:val="none"/>
          <w:lang w:val="en-US" w:eastAsia="zh-CN"/>
        </w:rPr>
        <w:t>2020年度财政应返还额度1277.11万元。</w:t>
      </w:r>
    </w:p>
    <w:p>
      <w:pPr>
        <w:pageBreakBefore w:val="0"/>
        <w:kinsoku/>
        <w:wordWrap/>
        <w:overflowPunct/>
        <w:topLinePunct w:val="0"/>
        <w:bidi w:val="0"/>
        <w:spacing w:line="576" w:lineRule="exact"/>
        <w:ind w:firstLine="420" w:firstLineChars="200"/>
        <w:rPr>
          <w:rFonts w:hint="eastAsia" w:ascii="仿宋" w:hAnsi="仿宋" w:eastAsia="仿宋"/>
          <w:color w:val="auto"/>
          <w:sz w:val="32"/>
          <w:szCs w:val="32"/>
          <w:highlight w:val="none"/>
        </w:rPr>
      </w:pPr>
      <w:r>
        <w:drawing>
          <wp:anchor distT="0" distB="0" distL="114300" distR="114300" simplePos="0" relativeHeight="251661312" behindDoc="1" locked="0" layoutInCell="1" allowOverlap="1">
            <wp:simplePos x="0" y="0"/>
            <wp:positionH relativeFrom="column">
              <wp:posOffset>280670</wp:posOffset>
            </wp:positionH>
            <wp:positionV relativeFrom="paragraph">
              <wp:posOffset>89535</wp:posOffset>
            </wp:positionV>
            <wp:extent cx="5269230" cy="2003425"/>
            <wp:effectExtent l="4445" t="4445" r="22225" b="11430"/>
            <wp:wrapNone/>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480" w:lineRule="exact"/>
        <w:ind w:firstLine="321" w:firstLineChars="100"/>
        <w:textAlignment w:val="auto"/>
        <w:outlineLvl w:val="2"/>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2581.24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2533.44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98.15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文化旅游体育与传媒（类）支出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13.05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0.51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7.35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0.28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eastAsia="zh-CN"/>
        </w:rPr>
        <w:t>农林水（类）</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3.19万元，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0.12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10.22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eastAsia="zh-CN"/>
        </w:rPr>
        <w:t>粮油物资储备</w:t>
      </w:r>
      <w:r>
        <w:rPr>
          <w:rFonts w:hint="eastAsia" w:ascii="仿宋" w:hAnsi="仿宋" w:eastAsia="仿宋"/>
          <w:b/>
          <w:bCs/>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14万元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0.54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olor w:val="auto"/>
          <w:sz w:val="32"/>
          <w:szCs w:val="32"/>
          <w:highlight w:val="none"/>
        </w:rPr>
      </w:pPr>
      <w:r>
        <w:drawing>
          <wp:anchor distT="0" distB="0" distL="114300" distR="114300" simplePos="0" relativeHeight="251661312" behindDoc="1" locked="0" layoutInCell="1" allowOverlap="1">
            <wp:simplePos x="0" y="0"/>
            <wp:positionH relativeFrom="column">
              <wp:posOffset>-14605</wp:posOffset>
            </wp:positionH>
            <wp:positionV relativeFrom="paragraph">
              <wp:posOffset>394335</wp:posOffset>
            </wp:positionV>
            <wp:extent cx="5273675" cy="2459990"/>
            <wp:effectExtent l="4445" t="4445" r="17780" b="50165"/>
            <wp:wrapTight wrapText="bothSides">
              <wp:wrapPolygon>
                <wp:start x="-18" y="-39"/>
                <wp:lineTo x="-18" y="21539"/>
                <wp:lineTo x="21517" y="21539"/>
                <wp:lineTo x="21517" y="-39"/>
                <wp:lineTo x="-18" y="-39"/>
              </wp:wrapPolygon>
            </wp:wrapTight>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ageBreakBefore w:val="0"/>
        <w:kinsoku/>
        <w:wordWrap/>
        <w:overflowPunct/>
        <w:topLinePunct w:val="0"/>
        <w:bidi w:val="0"/>
        <w:spacing w:line="576"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ageBreakBefore w:val="0"/>
        <w:kinsoku/>
        <w:wordWrap/>
        <w:overflowPunct/>
        <w:topLinePunct w:val="0"/>
        <w:bidi w:val="0"/>
        <w:spacing w:line="576" w:lineRule="exact"/>
        <w:ind w:firstLine="321" w:firstLineChars="100"/>
        <w:outlineLvl w:val="2"/>
        <w:rPr>
          <w:rFonts w:hint="eastAsia" w:ascii="仿宋" w:hAnsi="仿宋" w:eastAsia="仿宋"/>
          <w:b/>
          <w:color w:val="auto"/>
          <w:sz w:val="32"/>
          <w:szCs w:val="32"/>
          <w:highlight w:val="none"/>
        </w:rPr>
      </w:pPr>
      <w:bookmarkStart w:id="36" w:name="_Toc15377212"/>
    </w:p>
    <w:p>
      <w:pPr>
        <w:pageBreakBefore w:val="0"/>
        <w:kinsoku/>
        <w:wordWrap/>
        <w:overflowPunct/>
        <w:topLinePunct w:val="0"/>
        <w:bidi w:val="0"/>
        <w:spacing w:line="576" w:lineRule="exact"/>
        <w:ind w:firstLine="321" w:firstLineChars="1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36"/>
    </w:p>
    <w:p>
      <w:pPr>
        <w:pageBreakBefore w:val="0"/>
        <w:kinsoku/>
        <w:wordWrap/>
        <w:overflowPunct/>
        <w:topLinePunct w:val="0"/>
        <w:bidi w:val="0"/>
        <w:spacing w:line="576" w:lineRule="exact"/>
        <w:ind w:firstLine="640" w:firstLineChars="200"/>
        <w:outlineLvl w:val="2"/>
        <w:rPr>
          <w:rFonts w:ascii="仿宋" w:hAnsi="仿宋" w:eastAsia="仿宋"/>
          <w:b w:val="0"/>
          <w:bCs/>
          <w:color w:val="auto"/>
          <w:sz w:val="32"/>
          <w:szCs w:val="32"/>
          <w:highlight w:val="none"/>
        </w:rPr>
      </w:pPr>
      <w:bookmarkStart w:id="37" w:name="_Toc15377444"/>
      <w:bookmarkStart w:id="38" w:name="_Toc15378460"/>
      <w:bookmarkStart w:id="39" w:name="_Toc15377213"/>
      <w:r>
        <w:rPr>
          <w:rFonts w:hint="eastAsia" w:ascii="仿宋" w:hAnsi="仿宋" w:eastAsia="仿宋"/>
          <w:b w:val="0"/>
          <w:bCs/>
          <w:color w:val="auto"/>
          <w:sz w:val="32"/>
          <w:szCs w:val="32"/>
          <w:highlight w:val="none"/>
        </w:rPr>
        <w:t>20</w:t>
      </w:r>
      <w:r>
        <w:rPr>
          <w:rFonts w:hint="eastAsia" w:ascii="仿宋" w:hAnsi="仿宋" w:eastAsia="仿宋"/>
          <w:b w:val="0"/>
          <w:bCs/>
          <w:color w:val="auto"/>
          <w:sz w:val="32"/>
          <w:szCs w:val="32"/>
          <w:highlight w:val="none"/>
          <w:lang w:val="en-US" w:eastAsia="zh-CN"/>
        </w:rPr>
        <w:t>21</w:t>
      </w:r>
      <w:r>
        <w:rPr>
          <w:rFonts w:hint="eastAsia" w:ascii="仿宋" w:hAnsi="仿宋" w:eastAsia="仿宋"/>
          <w:b w:val="0"/>
          <w:bCs/>
          <w:color w:val="auto"/>
          <w:sz w:val="32"/>
          <w:szCs w:val="32"/>
          <w:highlight w:val="none"/>
        </w:rPr>
        <w:t>年</w:t>
      </w:r>
      <w:r>
        <w:rPr>
          <w:rFonts w:hint="eastAsia" w:ascii="仿宋" w:hAnsi="仿宋" w:eastAsia="仿宋"/>
          <w:b w:val="0"/>
          <w:bCs/>
          <w:color w:val="auto"/>
          <w:sz w:val="32"/>
          <w:szCs w:val="32"/>
          <w:highlight w:val="none"/>
          <w:lang w:eastAsia="zh-CN"/>
        </w:rPr>
        <w:t>一</w:t>
      </w:r>
      <w:r>
        <w:rPr>
          <w:rFonts w:hint="eastAsia" w:ascii="仿宋" w:hAnsi="仿宋" w:eastAsia="仿宋"/>
          <w:b w:val="0"/>
          <w:bCs/>
          <w:color w:val="auto"/>
          <w:sz w:val="32"/>
          <w:szCs w:val="32"/>
          <w:highlight w:val="none"/>
        </w:rPr>
        <w:t>般公共预算支出决算数为</w:t>
      </w:r>
      <w:r>
        <w:rPr>
          <w:rFonts w:hint="eastAsia" w:ascii="仿宋" w:hAnsi="仿宋" w:eastAsia="仿宋"/>
          <w:b w:val="0"/>
          <w:bCs/>
          <w:color w:val="auto"/>
          <w:sz w:val="32"/>
          <w:szCs w:val="32"/>
          <w:highlight w:val="none"/>
          <w:lang w:val="en-US" w:eastAsia="zh-CN"/>
        </w:rPr>
        <w:t>2581.24万元</w:t>
      </w:r>
      <w:r>
        <w:rPr>
          <w:rFonts w:hint="eastAsia"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。其中：</w:t>
      </w:r>
      <w:bookmarkEnd w:id="37"/>
      <w:bookmarkEnd w:id="38"/>
      <w:bookmarkEnd w:id="39"/>
    </w:p>
    <w:p>
      <w:pPr>
        <w:pageBreakBefore w:val="0"/>
        <w:kinsoku/>
        <w:wordWrap/>
        <w:overflowPunct/>
        <w:topLinePunct w:val="0"/>
        <w:bidi w:val="0"/>
        <w:spacing w:line="576" w:lineRule="exact"/>
        <w:ind w:firstLine="642" w:firstLineChars="200"/>
        <w:rPr>
          <w:rFonts w:hint="eastAsia" w:ascii="仿宋" w:hAnsi="仿宋" w:eastAsia="仿宋"/>
          <w:sz w:val="32"/>
          <w:szCs w:val="32"/>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lang w:val="en-US" w:eastAsia="zh-CN"/>
        </w:rPr>
        <w:t>.</w:t>
      </w:r>
      <w:r>
        <w:rPr>
          <w:rStyle w:val="14"/>
          <w:rFonts w:hint="eastAsia" w:ascii="仿宋" w:hAnsi="仿宋" w:eastAsia="仿宋"/>
          <w:sz w:val="32"/>
          <w:szCs w:val="32"/>
        </w:rPr>
        <w:t>一般公共服务支出-</w:t>
      </w:r>
      <w:r>
        <w:rPr>
          <w:rFonts w:hint="eastAsia" w:ascii="仿宋" w:hAnsi="仿宋" w:eastAsia="仿宋"/>
          <w:sz w:val="32"/>
          <w:szCs w:val="32"/>
        </w:rPr>
        <w:t>政府办公厅（室）及相关机构事务-机关服务:202</w:t>
      </w:r>
      <w:r>
        <w:rPr>
          <w:rFonts w:hint="eastAsia" w:ascii="仿宋" w:hAnsi="仿宋" w:eastAsia="仿宋"/>
          <w:sz w:val="32"/>
          <w:szCs w:val="32"/>
          <w:lang w:val="en-US" w:eastAsia="zh-CN"/>
        </w:rPr>
        <w:t>1</w:t>
      </w:r>
      <w:r>
        <w:rPr>
          <w:rFonts w:hint="eastAsia" w:ascii="仿宋" w:hAnsi="仿宋" w:eastAsia="仿宋"/>
          <w:sz w:val="32"/>
          <w:szCs w:val="32"/>
        </w:rPr>
        <w:t>年决算数为</w:t>
      </w:r>
      <w:r>
        <w:rPr>
          <w:rFonts w:hint="eastAsia" w:ascii="仿宋" w:hAnsi="仿宋" w:eastAsia="仿宋"/>
          <w:color w:val="000000"/>
          <w:sz w:val="32"/>
          <w:szCs w:val="32"/>
          <w:lang w:val="en-US" w:eastAsia="zh-CN"/>
        </w:rPr>
        <w:t>2533.24</w:t>
      </w:r>
      <w:r>
        <w:rPr>
          <w:rFonts w:hint="eastAsia" w:ascii="仿宋" w:hAnsi="仿宋" w:eastAsia="仿宋"/>
          <w:sz w:val="32"/>
          <w:szCs w:val="32"/>
        </w:rPr>
        <w:t>万元，完成预算100%。</w:t>
      </w:r>
    </w:p>
    <w:p>
      <w:pPr>
        <w:pageBreakBefore w:val="0"/>
        <w:kinsoku/>
        <w:wordWrap/>
        <w:overflowPunct/>
        <w:topLinePunct w:val="0"/>
        <w:bidi w:val="0"/>
        <w:spacing w:line="576" w:lineRule="exact"/>
        <w:ind w:firstLine="649"/>
        <w:rPr>
          <w:rFonts w:hint="eastAsia" w:ascii="仿宋" w:hAnsi="仿宋" w:eastAsia="仿宋"/>
          <w:sz w:val="32"/>
          <w:szCs w:val="32"/>
        </w:rPr>
      </w:pPr>
      <w:r>
        <w:rPr>
          <w:rStyle w:val="14"/>
          <w:rFonts w:hint="eastAsia" w:ascii="仿宋" w:hAnsi="仿宋" w:eastAsia="仿宋"/>
          <w:sz w:val="32"/>
          <w:szCs w:val="32"/>
          <w:lang w:val="en-US" w:eastAsia="zh-CN"/>
        </w:rPr>
        <w:t>2</w:t>
      </w:r>
      <w:r>
        <w:rPr>
          <w:rStyle w:val="14"/>
          <w:rFonts w:hint="eastAsia" w:ascii="仿宋" w:hAnsi="仿宋" w:eastAsia="仿宋"/>
          <w:sz w:val="32"/>
          <w:szCs w:val="32"/>
        </w:rPr>
        <w:t>.社会保障和就业支出</w:t>
      </w:r>
      <w:r>
        <w:rPr>
          <w:rFonts w:hint="eastAsia" w:ascii="仿宋" w:hAnsi="仿宋" w:eastAsia="仿宋"/>
          <w:sz w:val="32"/>
          <w:szCs w:val="32"/>
        </w:rPr>
        <w:t>-行政事业单位离退休-机关事业单位基本养老保险缴费支出：202</w:t>
      </w:r>
      <w:r>
        <w:rPr>
          <w:rFonts w:hint="eastAsia" w:ascii="仿宋" w:hAnsi="仿宋" w:eastAsia="仿宋"/>
          <w:sz w:val="32"/>
          <w:szCs w:val="32"/>
          <w:lang w:val="en-US" w:eastAsia="zh-CN"/>
        </w:rPr>
        <w:t>1</w:t>
      </w:r>
      <w:r>
        <w:rPr>
          <w:rFonts w:hint="eastAsia" w:ascii="仿宋" w:hAnsi="仿宋" w:eastAsia="仿宋"/>
          <w:sz w:val="32"/>
          <w:szCs w:val="32"/>
        </w:rPr>
        <w:t>年决算数为</w:t>
      </w:r>
      <w:r>
        <w:rPr>
          <w:rFonts w:hint="eastAsia" w:ascii="仿宋" w:hAnsi="仿宋" w:eastAsia="仿宋"/>
          <w:color w:val="000000"/>
          <w:sz w:val="32"/>
          <w:szCs w:val="32"/>
        </w:rPr>
        <w:t>13.</w:t>
      </w:r>
      <w:r>
        <w:rPr>
          <w:rFonts w:hint="eastAsia" w:ascii="仿宋" w:hAnsi="仿宋" w:eastAsia="仿宋"/>
          <w:color w:val="000000"/>
          <w:sz w:val="32"/>
          <w:szCs w:val="32"/>
          <w:lang w:val="en-US" w:eastAsia="zh-CN"/>
        </w:rPr>
        <w:t>05</w:t>
      </w:r>
      <w:r>
        <w:rPr>
          <w:rFonts w:hint="eastAsia" w:ascii="仿宋" w:hAnsi="仿宋" w:eastAsia="仿宋"/>
          <w:color w:val="000000"/>
          <w:sz w:val="32"/>
          <w:szCs w:val="32"/>
          <w:lang w:eastAsia="zh-CN"/>
        </w:rPr>
        <w:t>万</w:t>
      </w:r>
      <w:r>
        <w:rPr>
          <w:rFonts w:hint="eastAsia" w:ascii="仿宋" w:hAnsi="仿宋" w:eastAsia="仿宋"/>
          <w:sz w:val="32"/>
          <w:szCs w:val="32"/>
        </w:rPr>
        <w:t>元，完成预算100%。</w:t>
      </w:r>
    </w:p>
    <w:p>
      <w:pPr>
        <w:pageBreakBefore w:val="0"/>
        <w:kinsoku/>
        <w:wordWrap/>
        <w:overflowPunct/>
        <w:topLinePunct w:val="0"/>
        <w:bidi w:val="0"/>
        <w:spacing w:line="576" w:lineRule="exact"/>
        <w:ind w:firstLine="649"/>
        <w:rPr>
          <w:rFonts w:hint="eastAsia" w:ascii="仿宋" w:hAnsi="仿宋" w:eastAsia="仿宋"/>
          <w:sz w:val="32"/>
          <w:szCs w:val="32"/>
        </w:rPr>
      </w:pPr>
      <w:r>
        <w:rPr>
          <w:rStyle w:val="14"/>
          <w:rFonts w:hint="eastAsia" w:ascii="仿宋" w:hAnsi="仿宋" w:eastAsia="仿宋"/>
          <w:sz w:val="32"/>
          <w:szCs w:val="32"/>
          <w:lang w:val="en-US" w:eastAsia="zh-CN"/>
        </w:rPr>
        <w:t>3</w:t>
      </w:r>
      <w:r>
        <w:rPr>
          <w:rStyle w:val="14"/>
          <w:rFonts w:hint="eastAsia" w:ascii="仿宋" w:hAnsi="仿宋" w:eastAsia="仿宋"/>
          <w:sz w:val="32"/>
          <w:szCs w:val="32"/>
        </w:rPr>
        <w:t>.</w:t>
      </w:r>
      <w:r>
        <w:rPr>
          <w:rFonts w:hint="eastAsia" w:ascii="仿宋" w:hAnsi="仿宋" w:eastAsia="仿宋"/>
          <w:b/>
          <w:bCs/>
          <w:color w:val="000000"/>
          <w:sz w:val="32"/>
          <w:szCs w:val="32"/>
        </w:rPr>
        <w:t>卫生健康支出</w:t>
      </w:r>
      <w:r>
        <w:rPr>
          <w:rFonts w:hint="eastAsia" w:ascii="仿宋" w:hAnsi="仿宋" w:eastAsia="仿宋"/>
          <w:sz w:val="32"/>
          <w:szCs w:val="32"/>
        </w:rPr>
        <w:t>-医疗保障-事业单位医疗:202</w:t>
      </w:r>
      <w:r>
        <w:rPr>
          <w:rFonts w:hint="eastAsia" w:ascii="仿宋" w:hAnsi="仿宋" w:eastAsia="仿宋"/>
          <w:sz w:val="32"/>
          <w:szCs w:val="32"/>
          <w:lang w:val="en-US" w:eastAsia="zh-CN"/>
        </w:rPr>
        <w:t>1</w:t>
      </w:r>
      <w:r>
        <w:rPr>
          <w:rFonts w:hint="eastAsia" w:ascii="仿宋" w:hAnsi="仿宋" w:eastAsia="仿宋"/>
          <w:sz w:val="32"/>
          <w:szCs w:val="32"/>
        </w:rPr>
        <w:t>年决算数为</w:t>
      </w:r>
      <w:r>
        <w:rPr>
          <w:rFonts w:hint="eastAsia" w:ascii="仿宋" w:hAnsi="仿宋" w:eastAsia="仿宋"/>
          <w:color w:val="000000"/>
          <w:sz w:val="32"/>
          <w:szCs w:val="32"/>
          <w:lang w:val="en-US" w:eastAsia="zh-CN"/>
        </w:rPr>
        <w:t>7.35</w:t>
      </w:r>
      <w:r>
        <w:rPr>
          <w:rFonts w:hint="eastAsia" w:ascii="仿宋" w:hAnsi="仿宋" w:eastAsia="仿宋"/>
          <w:sz w:val="32"/>
          <w:szCs w:val="32"/>
        </w:rPr>
        <w:t>万元，完成预算100%。</w:t>
      </w:r>
    </w:p>
    <w:p>
      <w:pPr>
        <w:pageBreakBefore w:val="0"/>
        <w:kinsoku/>
        <w:wordWrap/>
        <w:overflowPunct/>
        <w:topLinePunct w:val="0"/>
        <w:bidi w:val="0"/>
        <w:spacing w:line="576" w:lineRule="exact"/>
        <w:ind w:firstLine="649"/>
        <w:rPr>
          <w:rFonts w:hint="eastAsia" w:ascii="仿宋" w:hAnsi="仿宋" w:eastAsia="仿宋"/>
          <w:sz w:val="32"/>
          <w:szCs w:val="32"/>
        </w:rPr>
      </w:pPr>
      <w:r>
        <w:rPr>
          <w:rStyle w:val="14"/>
          <w:rFonts w:hint="eastAsia" w:ascii="仿宋" w:hAnsi="仿宋" w:eastAsia="仿宋"/>
          <w:sz w:val="32"/>
          <w:szCs w:val="32"/>
          <w:lang w:val="en-US" w:eastAsia="zh-CN"/>
        </w:rPr>
        <w:t>4</w:t>
      </w:r>
      <w:r>
        <w:rPr>
          <w:rStyle w:val="14"/>
          <w:rFonts w:hint="eastAsia" w:ascii="仿宋" w:hAnsi="仿宋" w:eastAsia="仿宋"/>
          <w:sz w:val="32"/>
          <w:szCs w:val="32"/>
        </w:rPr>
        <w:t>.</w:t>
      </w:r>
      <w:r>
        <w:rPr>
          <w:rFonts w:hint="eastAsia" w:ascii="仿宋" w:hAnsi="仿宋" w:eastAsia="仿宋"/>
          <w:b/>
          <w:sz w:val="32"/>
          <w:szCs w:val="32"/>
        </w:rPr>
        <w:t>农林水支出-</w:t>
      </w:r>
      <w:r>
        <w:rPr>
          <w:rFonts w:hint="eastAsia" w:ascii="仿宋" w:hAnsi="仿宋" w:eastAsia="仿宋"/>
          <w:sz w:val="32"/>
          <w:szCs w:val="32"/>
        </w:rPr>
        <w:t>扶贫-其他扶贫支出：202</w:t>
      </w:r>
      <w:r>
        <w:rPr>
          <w:rFonts w:hint="eastAsia" w:ascii="仿宋" w:hAnsi="仿宋" w:eastAsia="仿宋"/>
          <w:sz w:val="32"/>
          <w:szCs w:val="32"/>
          <w:lang w:val="en-US" w:eastAsia="zh-CN"/>
        </w:rPr>
        <w:t>1</w:t>
      </w:r>
      <w:r>
        <w:rPr>
          <w:rFonts w:hint="eastAsia" w:ascii="仿宋" w:hAnsi="仿宋" w:eastAsia="仿宋"/>
          <w:sz w:val="32"/>
          <w:szCs w:val="32"/>
        </w:rPr>
        <w:t>年决算数为</w:t>
      </w:r>
      <w:r>
        <w:rPr>
          <w:rFonts w:hint="eastAsia" w:ascii="仿宋" w:hAnsi="仿宋" w:eastAsia="仿宋"/>
          <w:sz w:val="32"/>
          <w:szCs w:val="32"/>
          <w:lang w:val="en-US" w:eastAsia="zh-CN"/>
        </w:rPr>
        <w:t>3.19</w:t>
      </w:r>
      <w:r>
        <w:rPr>
          <w:rFonts w:hint="eastAsia" w:ascii="仿宋" w:hAnsi="仿宋" w:eastAsia="仿宋"/>
          <w:sz w:val="32"/>
          <w:szCs w:val="32"/>
        </w:rPr>
        <w:t>万元，完成预算100%。</w:t>
      </w:r>
    </w:p>
    <w:p>
      <w:pPr>
        <w:pageBreakBefore w:val="0"/>
        <w:kinsoku/>
        <w:wordWrap/>
        <w:overflowPunct/>
        <w:topLinePunct w:val="0"/>
        <w:bidi w:val="0"/>
        <w:spacing w:line="576" w:lineRule="exact"/>
        <w:ind w:firstLine="642" w:firstLineChars="200"/>
        <w:rPr>
          <w:rFonts w:hint="eastAsia" w:ascii="仿宋" w:hAnsi="仿宋" w:eastAsia="仿宋"/>
          <w:sz w:val="32"/>
          <w:szCs w:val="32"/>
        </w:rPr>
      </w:pPr>
      <w:r>
        <w:rPr>
          <w:rFonts w:hint="eastAsia" w:ascii="仿宋" w:hAnsi="仿宋" w:eastAsia="仿宋"/>
          <w:b/>
          <w:sz w:val="32"/>
          <w:szCs w:val="32"/>
          <w:lang w:val="en-US" w:eastAsia="zh-CN"/>
        </w:rPr>
        <w:t>5</w:t>
      </w:r>
      <w:r>
        <w:rPr>
          <w:rFonts w:hint="eastAsia" w:ascii="仿宋" w:hAnsi="仿宋" w:eastAsia="仿宋"/>
          <w:b/>
          <w:sz w:val="32"/>
          <w:szCs w:val="32"/>
        </w:rPr>
        <w:t>.住房保障支出-</w:t>
      </w:r>
      <w:r>
        <w:rPr>
          <w:rFonts w:hint="eastAsia" w:ascii="仿宋" w:hAnsi="仿宋" w:eastAsia="仿宋"/>
          <w:sz w:val="32"/>
          <w:szCs w:val="32"/>
        </w:rPr>
        <w:t>住房改革支出-住房公积金</w:t>
      </w:r>
      <w:r>
        <w:rPr>
          <w:rStyle w:val="14"/>
          <w:rFonts w:hint="eastAsia" w:ascii="仿宋" w:hAnsi="仿宋" w:eastAsia="仿宋"/>
          <w:sz w:val="32"/>
          <w:szCs w:val="32"/>
        </w:rPr>
        <w:t>：</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年决算数为</w:t>
      </w:r>
      <w:r>
        <w:rPr>
          <w:rFonts w:hint="eastAsia" w:ascii="仿宋" w:hAnsi="仿宋" w:eastAsia="仿宋"/>
          <w:sz w:val="32"/>
          <w:szCs w:val="32"/>
          <w:lang w:val="en-US" w:eastAsia="zh-CN"/>
        </w:rPr>
        <w:t>10.22</w:t>
      </w:r>
      <w:r>
        <w:rPr>
          <w:rFonts w:hint="eastAsia" w:ascii="仿宋" w:hAnsi="仿宋" w:eastAsia="仿宋"/>
          <w:sz w:val="32"/>
          <w:szCs w:val="32"/>
        </w:rPr>
        <w:t>万元，完成预算100%。</w:t>
      </w:r>
    </w:p>
    <w:p>
      <w:pPr>
        <w:pageBreakBefore w:val="0"/>
        <w:kinsoku/>
        <w:wordWrap/>
        <w:overflowPunct/>
        <w:topLinePunct w:val="0"/>
        <w:bidi w:val="0"/>
        <w:spacing w:line="576" w:lineRule="exact"/>
        <w:ind w:firstLine="642" w:firstLineChars="200"/>
        <w:rPr>
          <w:rFonts w:ascii="仿宋" w:hAnsi="仿宋" w:eastAsia="仿宋"/>
          <w:b/>
          <w:color w:val="auto"/>
          <w:sz w:val="32"/>
          <w:szCs w:val="32"/>
          <w:highlight w:val="none"/>
        </w:rPr>
      </w:pPr>
      <w:r>
        <w:rPr>
          <w:rStyle w:val="14"/>
          <w:rFonts w:hint="eastAsia" w:ascii="仿宋" w:hAnsi="仿宋" w:eastAsia="仿宋"/>
          <w:bCs/>
          <w:color w:val="000000"/>
          <w:sz w:val="32"/>
          <w:szCs w:val="32"/>
          <w:lang w:val="en-US" w:eastAsia="zh-CN"/>
        </w:rPr>
        <w:t>6</w:t>
      </w:r>
      <w:r>
        <w:rPr>
          <w:rStyle w:val="14"/>
          <w:rFonts w:hint="eastAsia" w:ascii="仿宋" w:hAnsi="仿宋" w:eastAsia="仿宋"/>
          <w:bCs/>
          <w:color w:val="000000"/>
          <w:sz w:val="32"/>
          <w:szCs w:val="32"/>
        </w:rPr>
        <w:t>.</w:t>
      </w:r>
      <w:r>
        <w:rPr>
          <w:rFonts w:hint="eastAsia" w:ascii="仿宋" w:hAnsi="仿宋" w:eastAsia="仿宋"/>
          <w:b/>
          <w:bCs/>
          <w:color w:val="000000"/>
          <w:sz w:val="32"/>
          <w:szCs w:val="32"/>
          <w:lang w:eastAsia="zh-CN"/>
        </w:rPr>
        <w:t>粮油物资储备住处</w:t>
      </w:r>
      <w:r>
        <w:rPr>
          <w:rFonts w:hint="eastAsia" w:ascii="仿宋" w:hAnsi="仿宋" w:eastAsia="仿宋"/>
          <w:sz w:val="32"/>
          <w:szCs w:val="32"/>
        </w:rPr>
        <w:t>-</w:t>
      </w:r>
      <w:r>
        <w:rPr>
          <w:rFonts w:hint="eastAsia" w:ascii="仿宋" w:hAnsi="仿宋" w:eastAsia="仿宋"/>
          <w:sz w:val="32"/>
          <w:szCs w:val="32"/>
          <w:lang w:eastAsia="zh-CN"/>
        </w:rPr>
        <w:t>粮油物质</w:t>
      </w:r>
      <w:r>
        <w:rPr>
          <w:rFonts w:hint="eastAsia" w:ascii="仿宋" w:hAnsi="仿宋" w:eastAsia="仿宋"/>
          <w:sz w:val="32"/>
          <w:szCs w:val="32"/>
        </w:rPr>
        <w:t>事务一般行政管理事务:202</w:t>
      </w:r>
      <w:r>
        <w:rPr>
          <w:rFonts w:hint="eastAsia" w:ascii="仿宋" w:hAnsi="仿宋" w:eastAsia="仿宋"/>
          <w:sz w:val="32"/>
          <w:szCs w:val="32"/>
          <w:lang w:val="en-US" w:eastAsia="zh-CN"/>
        </w:rPr>
        <w:t>1</w:t>
      </w:r>
      <w:r>
        <w:rPr>
          <w:rFonts w:hint="eastAsia" w:ascii="仿宋" w:hAnsi="仿宋" w:eastAsia="仿宋"/>
          <w:sz w:val="32"/>
          <w:szCs w:val="32"/>
        </w:rPr>
        <w:t>年决算数</w:t>
      </w:r>
      <w:r>
        <w:rPr>
          <w:rStyle w:val="14"/>
          <w:rFonts w:hint="eastAsia" w:ascii="仿宋" w:hAnsi="仿宋" w:eastAsia="仿宋"/>
          <w:b w:val="0"/>
          <w:bCs/>
          <w:color w:val="000000"/>
          <w:sz w:val="32"/>
          <w:szCs w:val="32"/>
        </w:rPr>
        <w:t>为</w:t>
      </w:r>
      <w:r>
        <w:rPr>
          <w:rStyle w:val="14"/>
          <w:rFonts w:hint="eastAsia" w:ascii="仿宋" w:hAnsi="仿宋" w:eastAsia="仿宋"/>
          <w:b w:val="0"/>
          <w:bCs/>
          <w:color w:val="000000"/>
          <w:sz w:val="32"/>
          <w:szCs w:val="32"/>
          <w:lang w:val="en-US" w:eastAsia="zh-CN"/>
        </w:rPr>
        <w:t>14</w:t>
      </w:r>
      <w:r>
        <w:rPr>
          <w:rStyle w:val="14"/>
          <w:rFonts w:hint="eastAsia" w:ascii="仿宋" w:hAnsi="仿宋" w:eastAsia="仿宋"/>
          <w:b w:val="0"/>
          <w:bCs/>
          <w:color w:val="000000"/>
          <w:sz w:val="32"/>
          <w:szCs w:val="32"/>
        </w:rPr>
        <w:t>万元，完成预算100%。</w:t>
      </w:r>
    </w:p>
    <w:p>
      <w:pPr>
        <w:pageBreakBefore w:val="0"/>
        <w:tabs>
          <w:tab w:val="right" w:pos="8306"/>
        </w:tabs>
        <w:kinsoku/>
        <w:wordWrap/>
        <w:overflowPunct/>
        <w:topLinePunct w:val="0"/>
        <w:bidi w:val="0"/>
        <w:spacing w:line="576" w:lineRule="exact"/>
        <w:ind w:firstLine="640"/>
        <w:outlineLvl w:val="1"/>
        <w:rPr>
          <w:rStyle w:val="25"/>
          <w:color w:val="auto"/>
          <w:highlight w:val="none"/>
        </w:rPr>
      </w:pPr>
      <w:bookmarkStart w:id="40" w:name="_Toc15377214"/>
      <w:bookmarkStart w:id="41" w:name="_Toc15396608"/>
      <w:r>
        <w:rPr>
          <w:rStyle w:val="25"/>
          <w:rFonts w:hint="eastAsia" w:ascii="黑体" w:hAnsi="黑体" w:eastAsia="黑体"/>
          <w:b w:val="0"/>
          <w:color w:val="auto"/>
          <w:highlight w:val="none"/>
        </w:rPr>
        <w:t>六、一般公共预算财政拨款基本支出决算情况说明</w:t>
      </w:r>
      <w:bookmarkEnd w:id="40"/>
      <w:bookmarkEnd w:id="41"/>
      <w:r>
        <w:rPr>
          <w:rStyle w:val="25"/>
          <w:rFonts w:hint="eastAsia"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576" w:lineRule="exact"/>
        <w:ind w:firstLine="646"/>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510.73</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olor w:val="auto"/>
          <w:w w:val="98"/>
          <w:sz w:val="32"/>
          <w:szCs w:val="32"/>
          <w:highlight w:val="none"/>
          <w:lang w:eastAsia="zh-CN"/>
        </w:rPr>
      </w:pPr>
      <w:r>
        <w:rPr>
          <w:rFonts w:hint="eastAsia" w:ascii="仿宋" w:hAnsi="仿宋" w:eastAsia="仿宋"/>
          <w:color w:val="auto"/>
          <w:w w:val="98"/>
          <w:sz w:val="32"/>
          <w:szCs w:val="32"/>
          <w:highlight w:val="none"/>
        </w:rPr>
        <w:t>其中：人员经费</w:t>
      </w:r>
      <w:r>
        <w:rPr>
          <w:rFonts w:hint="eastAsia" w:ascii="仿宋" w:hAnsi="仿宋" w:eastAsia="仿宋"/>
          <w:color w:val="auto"/>
          <w:w w:val="98"/>
          <w:sz w:val="32"/>
          <w:szCs w:val="32"/>
          <w:highlight w:val="none"/>
          <w:lang w:val="en-US" w:eastAsia="zh-CN"/>
        </w:rPr>
        <w:t>171.16</w:t>
      </w:r>
      <w:r>
        <w:rPr>
          <w:rFonts w:hint="eastAsia" w:ascii="仿宋" w:hAnsi="仿宋" w:eastAsia="仿宋"/>
          <w:color w:val="auto"/>
          <w:w w:val="98"/>
          <w:sz w:val="32"/>
          <w:szCs w:val="32"/>
          <w:highlight w:val="none"/>
        </w:rPr>
        <w:t>万元，主要包括：基本工资、津贴补贴、奖金、绩效工资、机关事业单位基本养老保险缴费、职业年金缴费、</w:t>
      </w:r>
      <w:r>
        <w:rPr>
          <w:rFonts w:hint="eastAsia" w:ascii="仿宋" w:hAnsi="仿宋" w:eastAsia="仿宋"/>
          <w:color w:val="auto"/>
          <w:w w:val="98"/>
          <w:sz w:val="32"/>
          <w:szCs w:val="32"/>
          <w:highlight w:val="none"/>
          <w:lang w:eastAsia="zh-CN"/>
        </w:rPr>
        <w:t>职工基本医疗保障缴费、</w:t>
      </w:r>
      <w:r>
        <w:rPr>
          <w:rFonts w:hint="eastAsia" w:ascii="仿宋" w:hAnsi="仿宋" w:eastAsia="仿宋"/>
          <w:color w:val="auto"/>
          <w:w w:val="98"/>
          <w:sz w:val="32"/>
          <w:szCs w:val="32"/>
          <w:highlight w:val="none"/>
        </w:rPr>
        <w:t>其他社会保障缴费、</w:t>
      </w:r>
      <w:r>
        <w:rPr>
          <w:rFonts w:hint="eastAsia" w:ascii="仿宋" w:hAnsi="仿宋" w:eastAsia="仿宋"/>
          <w:color w:val="auto"/>
          <w:w w:val="98"/>
          <w:sz w:val="32"/>
          <w:szCs w:val="32"/>
          <w:highlight w:val="none"/>
          <w:lang w:eastAsia="zh-CN"/>
        </w:rPr>
        <w:t>住房公积金</w:t>
      </w:r>
      <w:r>
        <w:rPr>
          <w:rFonts w:hint="eastAsia" w:ascii="仿宋" w:hAnsi="仿宋" w:eastAsia="仿宋"/>
          <w:color w:val="auto"/>
          <w:w w:val="98"/>
          <w:sz w:val="32"/>
          <w:szCs w:val="32"/>
          <w:highlight w:val="none"/>
        </w:rPr>
        <w:t>、生活补助、奖励金、其他对个人和家庭的补助支出等。</w:t>
      </w:r>
    </w:p>
    <w:p>
      <w:pPr>
        <w:keepNext w:val="0"/>
        <w:keepLines w:val="0"/>
        <w:pageBreakBefore w:val="0"/>
        <w:widowControl w:val="0"/>
        <w:kinsoku/>
        <w:wordWrap/>
        <w:overflowPunct/>
        <w:topLinePunct w:val="0"/>
        <w:autoSpaceDE/>
        <w:autoSpaceDN/>
        <w:bidi w:val="0"/>
        <w:adjustRightInd/>
        <w:snapToGrid/>
        <w:spacing w:line="576" w:lineRule="exact"/>
        <w:ind w:firstLine="646"/>
        <w:textAlignment w:val="auto"/>
        <w:rPr>
          <w:rFonts w:ascii="仿宋" w:hAnsi="仿宋" w:eastAsia="仿宋"/>
          <w:color w:val="auto"/>
          <w:w w:val="90"/>
          <w:sz w:val="32"/>
          <w:szCs w:val="32"/>
          <w:highlight w:val="none"/>
        </w:rPr>
      </w:pPr>
      <w:r>
        <w:rPr>
          <w:rFonts w:hint="eastAsia" w:ascii="仿宋" w:hAnsi="仿宋" w:eastAsia="仿宋"/>
          <w:color w:val="auto"/>
          <w:w w:val="95"/>
          <w:sz w:val="32"/>
          <w:szCs w:val="32"/>
          <w:highlight w:val="none"/>
        </w:rPr>
        <w:t>公用经费</w:t>
      </w:r>
      <w:r>
        <w:rPr>
          <w:rFonts w:hint="eastAsia" w:ascii="仿宋" w:hAnsi="仿宋" w:eastAsia="仿宋"/>
          <w:color w:val="auto"/>
          <w:w w:val="95"/>
          <w:sz w:val="32"/>
          <w:szCs w:val="32"/>
          <w:highlight w:val="none"/>
          <w:lang w:val="en-US" w:eastAsia="zh-CN"/>
        </w:rPr>
        <w:t>339.57</w:t>
      </w:r>
      <w:r>
        <w:rPr>
          <w:rFonts w:hint="eastAsia" w:ascii="仿宋" w:hAnsi="仿宋" w:eastAsia="仿宋"/>
          <w:color w:val="auto"/>
          <w:w w:val="95"/>
          <w:sz w:val="32"/>
          <w:szCs w:val="32"/>
          <w:highlight w:val="none"/>
        </w:rPr>
        <w:t>万元，主要包括：办公费、公务接待费、工会经费、福利费、公务用车运行维护费、其他交通费等</w:t>
      </w:r>
      <w:r>
        <w:rPr>
          <w:rFonts w:hint="eastAsia" w:ascii="仿宋" w:hAnsi="仿宋" w:eastAsia="仿宋"/>
          <w:color w:val="auto"/>
          <w:w w:val="90"/>
          <w:sz w:val="32"/>
          <w:szCs w:val="32"/>
          <w:highlight w:val="none"/>
        </w:rPr>
        <w:t>。</w:t>
      </w:r>
    </w:p>
    <w:p>
      <w:pPr>
        <w:pageBreakBefore w:val="0"/>
        <w:kinsoku/>
        <w:wordWrap/>
        <w:overflowPunct/>
        <w:topLinePunct w:val="0"/>
        <w:bidi w:val="0"/>
        <w:spacing w:line="576" w:lineRule="exact"/>
        <w:ind w:firstLine="640"/>
        <w:outlineLvl w:val="1"/>
        <w:rPr>
          <w:rStyle w:val="25"/>
          <w:rFonts w:ascii="黑体" w:hAnsi="黑体" w:eastAsia="黑体"/>
          <w:b w:val="0"/>
          <w:color w:val="auto"/>
          <w:highlight w:val="none"/>
        </w:rPr>
      </w:pPr>
      <w:bookmarkStart w:id="42" w:name="_Toc15377215"/>
      <w:bookmarkStart w:id="43" w:name="_Toc15396609"/>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42"/>
      <w:bookmarkEnd w:id="43"/>
    </w:p>
    <w:p>
      <w:pPr>
        <w:pageBreakBefore w:val="0"/>
        <w:kinsoku/>
        <w:wordWrap/>
        <w:overflowPunct/>
        <w:topLinePunct w:val="0"/>
        <w:bidi w:val="0"/>
        <w:spacing w:line="576" w:lineRule="exact"/>
        <w:ind w:firstLine="640"/>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pPr>
        <w:pageBreakBefore w:val="0"/>
        <w:kinsoku/>
        <w:wordWrap/>
        <w:overflowPunct/>
        <w:topLinePunct w:val="0"/>
        <w:bidi w:val="0"/>
        <w:spacing w:line="576"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464.51</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，决算数与预算数持平。</w:t>
      </w:r>
    </w:p>
    <w:p>
      <w:pPr>
        <w:pageBreakBefore w:val="0"/>
        <w:kinsoku/>
        <w:wordWrap/>
        <w:overflowPunct/>
        <w:topLinePunct w:val="0"/>
        <w:bidi w:val="0"/>
        <w:spacing w:line="576" w:lineRule="exact"/>
        <w:ind w:firstLine="640"/>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pageBreakBefore w:val="0"/>
        <w:kinsoku/>
        <w:wordWrap/>
        <w:overflowPunct/>
        <w:topLinePunct w:val="0"/>
        <w:bidi w:val="0"/>
        <w:spacing w:line="576" w:lineRule="exact"/>
        <w:ind w:firstLine="64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w:t>
      </w:r>
      <w:r>
        <w:rPr>
          <w:rFonts w:hint="eastAsia" w:ascii="仿宋" w:hAnsi="仿宋" w:eastAsia="仿宋" w:cs="Times New Roman"/>
          <w:color w:val="auto"/>
          <w:sz w:val="32"/>
          <w:szCs w:val="32"/>
          <w:highlight w:val="none"/>
          <w:lang w:val="en-US" w:eastAsia="zh-CN"/>
        </w:rPr>
        <w:t>21</w:t>
      </w:r>
      <w:r>
        <w:rPr>
          <w:rFonts w:hint="eastAsia" w:ascii="仿宋" w:hAnsi="仿宋" w:eastAsia="仿宋" w:cs="Times New Roman"/>
          <w:color w:val="auto"/>
          <w:sz w:val="32"/>
          <w:szCs w:val="32"/>
          <w:highlight w:val="none"/>
        </w:rPr>
        <w:t>年“三公”经费财政拨款支出决算中，因公出国（境）费支出决算</w:t>
      </w:r>
      <w:r>
        <w:rPr>
          <w:rFonts w:hint="eastAsia" w:ascii="仿宋" w:hAnsi="仿宋" w:eastAsia="仿宋" w:cs="Times New Roman"/>
          <w:color w:val="auto"/>
          <w:sz w:val="32"/>
          <w:szCs w:val="32"/>
          <w:highlight w:val="none"/>
          <w:lang w:val="en-US" w:eastAsia="zh-CN"/>
        </w:rPr>
        <w:t>0</w:t>
      </w:r>
      <w:r>
        <w:rPr>
          <w:rFonts w:hint="eastAsia" w:ascii="仿宋" w:hAnsi="仿宋" w:eastAsia="仿宋" w:cs="Times New Roman"/>
          <w:color w:val="auto"/>
          <w:sz w:val="32"/>
          <w:szCs w:val="32"/>
          <w:highlight w:val="none"/>
        </w:rPr>
        <w:t>万元，占</w:t>
      </w:r>
      <w:r>
        <w:rPr>
          <w:rFonts w:hint="eastAsia" w:ascii="仿宋" w:hAnsi="仿宋" w:eastAsia="仿宋" w:cs="Times New Roman"/>
          <w:color w:val="auto"/>
          <w:sz w:val="32"/>
          <w:szCs w:val="32"/>
          <w:highlight w:val="none"/>
          <w:lang w:val="en-US" w:eastAsia="zh-CN"/>
        </w:rPr>
        <w:t>0</w:t>
      </w:r>
      <w:r>
        <w:rPr>
          <w:rFonts w:hint="eastAsia" w:ascii="仿宋" w:hAnsi="仿宋" w:eastAsia="仿宋" w:cs="Times New Roman"/>
          <w:color w:val="auto"/>
          <w:sz w:val="32"/>
          <w:szCs w:val="32"/>
          <w:highlight w:val="none"/>
        </w:rPr>
        <w:t>%；公务用车购置及运行维护费支出决算</w:t>
      </w:r>
      <w:r>
        <w:rPr>
          <w:rFonts w:hint="eastAsia" w:ascii="仿宋" w:hAnsi="仿宋" w:eastAsia="仿宋" w:cs="Times New Roman"/>
          <w:color w:val="auto"/>
          <w:sz w:val="32"/>
          <w:szCs w:val="32"/>
          <w:highlight w:val="none"/>
          <w:lang w:val="en-US" w:eastAsia="zh-CN"/>
        </w:rPr>
        <w:t>462.51</w:t>
      </w:r>
      <w:r>
        <w:rPr>
          <w:rFonts w:hint="eastAsia" w:ascii="仿宋" w:hAnsi="仿宋" w:eastAsia="仿宋" w:cs="Times New Roman"/>
          <w:color w:val="auto"/>
          <w:sz w:val="32"/>
          <w:szCs w:val="32"/>
          <w:highlight w:val="none"/>
        </w:rPr>
        <w:t>万元，占</w:t>
      </w:r>
      <w:r>
        <w:rPr>
          <w:rFonts w:hint="eastAsia" w:ascii="仿宋" w:hAnsi="仿宋" w:eastAsia="仿宋" w:cs="Times New Roman"/>
          <w:color w:val="auto"/>
          <w:sz w:val="32"/>
          <w:szCs w:val="32"/>
          <w:highlight w:val="none"/>
          <w:lang w:val="en-US" w:eastAsia="zh-CN"/>
        </w:rPr>
        <w:t>99</w:t>
      </w:r>
      <w:r>
        <w:rPr>
          <w:rFonts w:hint="eastAsia" w:ascii="仿宋" w:hAnsi="仿宋" w:eastAsia="仿宋" w:cs="Times New Roman"/>
          <w:color w:val="auto"/>
          <w:sz w:val="32"/>
          <w:szCs w:val="32"/>
          <w:highlight w:val="none"/>
        </w:rPr>
        <w:t>%；公务接待费支出决算</w:t>
      </w:r>
      <w:r>
        <w:rPr>
          <w:rFonts w:hint="eastAsia" w:ascii="仿宋" w:hAnsi="仿宋" w:eastAsia="仿宋" w:cs="Times New Roman"/>
          <w:color w:val="auto"/>
          <w:sz w:val="32"/>
          <w:szCs w:val="32"/>
          <w:highlight w:val="none"/>
          <w:lang w:val="en-US" w:eastAsia="zh-CN"/>
        </w:rPr>
        <w:t>2</w:t>
      </w:r>
      <w:r>
        <w:rPr>
          <w:rFonts w:hint="eastAsia" w:ascii="仿宋" w:hAnsi="仿宋" w:eastAsia="仿宋" w:cs="Times New Roman"/>
          <w:color w:val="auto"/>
          <w:sz w:val="32"/>
          <w:szCs w:val="32"/>
          <w:highlight w:val="none"/>
        </w:rPr>
        <w:t>万元，占</w:t>
      </w: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rPr>
        <w:t>%。具体情况如下：</w:t>
      </w:r>
    </w:p>
    <w:p>
      <w:pPr>
        <w:pStyle w:val="2"/>
        <w:pageBreakBefore w:val="0"/>
        <w:kinsoku/>
        <w:wordWrap/>
        <w:overflowPunct/>
        <w:topLinePunct w:val="0"/>
        <w:bidi w:val="0"/>
        <w:spacing w:line="576" w:lineRule="exact"/>
        <w:rPr>
          <w:rFonts w:hint="eastAsia" w:ascii="仿宋" w:hAnsi="仿宋" w:eastAsia="仿宋"/>
          <w:color w:val="C00000"/>
          <w:sz w:val="32"/>
          <w:szCs w:val="32"/>
          <w:highlight w:val="none"/>
        </w:rPr>
      </w:pPr>
      <w:r>
        <w:drawing>
          <wp:anchor distT="0" distB="0" distL="114300" distR="114300" simplePos="0" relativeHeight="251661312" behindDoc="1" locked="0" layoutInCell="1" allowOverlap="1">
            <wp:simplePos x="0" y="0"/>
            <wp:positionH relativeFrom="column">
              <wp:posOffset>347345</wp:posOffset>
            </wp:positionH>
            <wp:positionV relativeFrom="paragraph">
              <wp:posOffset>13970</wp:posOffset>
            </wp:positionV>
            <wp:extent cx="5200650" cy="2152650"/>
            <wp:effectExtent l="4445" t="4445" r="14605" b="14605"/>
            <wp:wrapNone/>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ageBreakBefore w:val="0"/>
        <w:kinsoku/>
        <w:wordWrap/>
        <w:overflowPunct/>
        <w:topLinePunct w:val="0"/>
        <w:bidi w:val="0"/>
        <w:spacing w:line="576" w:lineRule="exact"/>
        <w:ind w:firstLine="640"/>
        <w:rPr>
          <w:rFonts w:hint="eastAsia" w:ascii="仿宋_GB2312" w:hAnsi="Times New Roman" w:eastAsia="仿宋_GB2312" w:cs="Times New Roman"/>
          <w:color w:val="auto"/>
          <w:sz w:val="32"/>
          <w:szCs w:val="32"/>
          <w:highlight w:val="none"/>
        </w:rPr>
      </w:pPr>
    </w:p>
    <w:p>
      <w:pPr>
        <w:pageBreakBefore w:val="0"/>
        <w:kinsoku/>
        <w:wordWrap/>
        <w:overflowPunct/>
        <w:topLinePunct w:val="0"/>
        <w:bidi w:val="0"/>
        <w:spacing w:line="576" w:lineRule="exact"/>
        <w:ind w:firstLine="640"/>
        <w:rPr>
          <w:rFonts w:hint="eastAsia" w:ascii="仿宋_GB2312" w:hAnsi="Times New Roman" w:eastAsia="仿宋_GB2312" w:cs="Times New Roman"/>
          <w:color w:val="auto"/>
          <w:sz w:val="32"/>
          <w:szCs w:val="32"/>
          <w:highlight w:val="none"/>
        </w:rPr>
      </w:pPr>
    </w:p>
    <w:p>
      <w:pPr>
        <w:pageBreakBefore w:val="0"/>
        <w:kinsoku/>
        <w:wordWrap/>
        <w:overflowPunct/>
        <w:topLinePunct w:val="0"/>
        <w:bidi w:val="0"/>
        <w:spacing w:line="576" w:lineRule="exact"/>
        <w:ind w:firstLine="640"/>
        <w:rPr>
          <w:rFonts w:hint="eastAsia" w:ascii="仿宋_GB2312" w:hAnsi="Times New Roman" w:eastAsia="仿宋_GB2312" w:cs="Times New Roman"/>
          <w:color w:val="auto"/>
          <w:sz w:val="32"/>
          <w:szCs w:val="32"/>
          <w:highlight w:val="none"/>
        </w:rPr>
      </w:pPr>
    </w:p>
    <w:p>
      <w:pPr>
        <w:pageBreakBefore w:val="0"/>
        <w:kinsoku/>
        <w:wordWrap/>
        <w:overflowPunct/>
        <w:topLinePunct w:val="0"/>
        <w:bidi w:val="0"/>
        <w:spacing w:line="576" w:lineRule="exact"/>
        <w:ind w:firstLine="640"/>
        <w:rPr>
          <w:rFonts w:hint="eastAsia" w:ascii="仿宋_GB2312" w:hAnsi="Times New Roman" w:eastAsia="仿宋_GB2312" w:cs="Times New Roman"/>
          <w:color w:val="auto"/>
          <w:sz w:val="32"/>
          <w:szCs w:val="32"/>
          <w:highlight w:val="none"/>
        </w:rPr>
      </w:pPr>
    </w:p>
    <w:p>
      <w:pPr>
        <w:pageBreakBefore w:val="0"/>
        <w:kinsoku/>
        <w:wordWrap/>
        <w:overflowPunct/>
        <w:topLinePunct w:val="0"/>
        <w:bidi w:val="0"/>
        <w:spacing w:line="576" w:lineRule="exact"/>
        <w:ind w:firstLine="640"/>
        <w:rPr>
          <w:rFonts w:hint="eastAsia" w:ascii="仿宋_GB2312" w:hAnsi="Times New Roman" w:eastAsia="仿宋_GB2312" w:cs="Times New Roman"/>
          <w:color w:val="auto"/>
          <w:sz w:val="32"/>
          <w:szCs w:val="32"/>
          <w:highlight w:val="none"/>
        </w:rPr>
      </w:pPr>
    </w:p>
    <w:p>
      <w:pPr>
        <w:pageBreakBefore w:val="0"/>
        <w:kinsoku/>
        <w:wordWrap/>
        <w:overflowPunct/>
        <w:topLinePunct w:val="0"/>
        <w:bidi w:val="0"/>
        <w:spacing w:line="576" w:lineRule="exact"/>
        <w:ind w:firstLine="64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（图7：“三公”经费财政拨款支出结构）（饼状图）</w:t>
      </w:r>
    </w:p>
    <w:p>
      <w:pPr>
        <w:pageBreakBefore w:val="0"/>
        <w:kinsoku/>
        <w:wordWrap/>
        <w:overflowPunct/>
        <w:topLinePunct w:val="0"/>
        <w:bidi w:val="0"/>
        <w:spacing w:line="576" w:lineRule="exact"/>
        <w:ind w:firstLine="640"/>
        <w:rPr>
          <w:rFonts w:ascii="仿宋_GB2312" w:eastAsia="仿宋_GB2312"/>
          <w:b/>
          <w:color w:val="auto"/>
          <w:w w:val="90"/>
          <w:sz w:val="32"/>
          <w:szCs w:val="32"/>
          <w:highlight w:val="none"/>
        </w:rPr>
      </w:pPr>
      <w:r>
        <w:rPr>
          <w:rFonts w:ascii="仿宋_GB2312" w:eastAsia="仿宋_GB2312"/>
          <w:b/>
          <w:color w:val="auto"/>
          <w:w w:val="90"/>
          <w:sz w:val="32"/>
          <w:szCs w:val="32"/>
          <w:highlight w:val="none"/>
        </w:rPr>
        <w:t>1.</w:t>
      </w:r>
      <w:r>
        <w:rPr>
          <w:rFonts w:hint="eastAsia" w:ascii="仿宋_GB2312" w:eastAsia="仿宋_GB2312"/>
          <w:b/>
          <w:color w:val="auto"/>
          <w:w w:val="90"/>
          <w:sz w:val="32"/>
          <w:szCs w:val="32"/>
          <w:highlight w:val="none"/>
        </w:rPr>
        <w:t>因公出国（境）经费支出</w:t>
      </w:r>
      <w:r>
        <w:rPr>
          <w:rFonts w:hint="eastAsia" w:ascii="仿宋_GB2312" w:eastAsia="仿宋_GB2312"/>
          <w:b/>
          <w:color w:val="auto"/>
          <w:w w:val="90"/>
          <w:sz w:val="32"/>
          <w:szCs w:val="32"/>
          <w:highlight w:val="none"/>
          <w:lang w:val="en-US" w:eastAsia="zh-CN"/>
        </w:rPr>
        <w:t>0</w:t>
      </w:r>
      <w:r>
        <w:rPr>
          <w:rFonts w:hint="eastAsia" w:ascii="仿宋_GB2312" w:eastAsia="仿宋_GB2312"/>
          <w:color w:val="auto"/>
          <w:w w:val="90"/>
          <w:sz w:val="32"/>
          <w:szCs w:val="32"/>
          <w:highlight w:val="none"/>
        </w:rPr>
        <w:t>万元，</w:t>
      </w:r>
      <w:r>
        <w:rPr>
          <w:rStyle w:val="14"/>
          <w:rFonts w:hint="eastAsia" w:ascii="仿宋" w:hAnsi="仿宋" w:eastAsia="仿宋"/>
          <w:b w:val="0"/>
          <w:bCs/>
          <w:color w:val="auto"/>
          <w:w w:val="90"/>
          <w:sz w:val="32"/>
          <w:szCs w:val="32"/>
          <w:highlight w:val="none"/>
        </w:rPr>
        <w:t>完成预算</w:t>
      </w:r>
      <w:r>
        <w:rPr>
          <w:rStyle w:val="14"/>
          <w:rFonts w:hint="eastAsia" w:ascii="仿宋" w:hAnsi="仿宋" w:eastAsia="仿宋"/>
          <w:b w:val="0"/>
          <w:bCs/>
          <w:color w:val="auto"/>
          <w:w w:val="90"/>
          <w:sz w:val="32"/>
          <w:szCs w:val="32"/>
          <w:highlight w:val="none"/>
          <w:lang w:val="en-US" w:eastAsia="zh-CN"/>
        </w:rPr>
        <w:t>0</w:t>
      </w:r>
      <w:r>
        <w:rPr>
          <w:rStyle w:val="14"/>
          <w:rFonts w:ascii="仿宋" w:hAnsi="仿宋" w:eastAsia="仿宋"/>
          <w:b w:val="0"/>
          <w:bCs/>
          <w:color w:val="auto"/>
          <w:w w:val="90"/>
          <w:sz w:val="32"/>
          <w:szCs w:val="32"/>
          <w:highlight w:val="none"/>
        </w:rPr>
        <w:t>%</w:t>
      </w:r>
      <w:r>
        <w:rPr>
          <w:rStyle w:val="14"/>
          <w:rFonts w:hint="eastAsia" w:ascii="仿宋" w:hAnsi="仿宋" w:eastAsia="仿宋"/>
          <w:b w:val="0"/>
          <w:bCs/>
          <w:color w:val="auto"/>
          <w:w w:val="90"/>
          <w:sz w:val="32"/>
          <w:szCs w:val="32"/>
          <w:highlight w:val="none"/>
        </w:rPr>
        <w:t>。</w:t>
      </w:r>
      <w:r>
        <w:rPr>
          <w:rFonts w:hint="eastAsia" w:ascii="仿宋_GB2312" w:eastAsia="仿宋_GB2312"/>
          <w:color w:val="auto"/>
          <w:w w:val="90"/>
          <w:sz w:val="32"/>
          <w:szCs w:val="32"/>
          <w:highlight w:val="none"/>
        </w:rPr>
        <w:t>全年安排因公出国（境）团组</w:t>
      </w:r>
      <w:r>
        <w:rPr>
          <w:rFonts w:hint="eastAsia" w:ascii="仿宋_GB2312" w:eastAsia="仿宋_GB2312"/>
          <w:color w:val="auto"/>
          <w:w w:val="90"/>
          <w:sz w:val="32"/>
          <w:szCs w:val="32"/>
          <w:highlight w:val="none"/>
          <w:lang w:val="en-US" w:eastAsia="zh-CN"/>
        </w:rPr>
        <w:t>0</w:t>
      </w:r>
      <w:r>
        <w:rPr>
          <w:rFonts w:hint="eastAsia" w:ascii="仿宋_GB2312" w:eastAsia="仿宋_GB2312"/>
          <w:color w:val="auto"/>
          <w:w w:val="90"/>
          <w:sz w:val="32"/>
          <w:szCs w:val="32"/>
          <w:highlight w:val="none"/>
        </w:rPr>
        <w:t>次，出国（境）</w:t>
      </w:r>
      <w:r>
        <w:rPr>
          <w:rFonts w:hint="eastAsia" w:ascii="仿宋_GB2312" w:eastAsia="仿宋_GB2312"/>
          <w:color w:val="auto"/>
          <w:w w:val="90"/>
          <w:sz w:val="32"/>
          <w:szCs w:val="32"/>
          <w:highlight w:val="none"/>
          <w:lang w:val="en-US" w:eastAsia="zh-CN"/>
        </w:rPr>
        <w:t>0</w:t>
      </w:r>
      <w:r>
        <w:rPr>
          <w:rFonts w:hint="eastAsia" w:ascii="仿宋_GB2312" w:eastAsia="仿宋_GB2312"/>
          <w:color w:val="auto"/>
          <w:w w:val="90"/>
          <w:sz w:val="32"/>
          <w:szCs w:val="32"/>
          <w:highlight w:val="none"/>
        </w:rPr>
        <w:t>人。因公出国（境）支出决算</w:t>
      </w:r>
      <w:r>
        <w:rPr>
          <w:rFonts w:hint="eastAsia" w:ascii="仿宋" w:hAnsi="仿宋" w:eastAsia="仿宋"/>
          <w:color w:val="000000"/>
          <w:w w:val="90"/>
          <w:sz w:val="32"/>
          <w:szCs w:val="32"/>
        </w:rPr>
        <w:t>与20</w:t>
      </w:r>
      <w:r>
        <w:rPr>
          <w:rFonts w:hint="eastAsia" w:ascii="仿宋" w:hAnsi="仿宋" w:eastAsia="仿宋"/>
          <w:color w:val="000000"/>
          <w:w w:val="90"/>
          <w:sz w:val="32"/>
          <w:szCs w:val="32"/>
          <w:lang w:val="en-US" w:eastAsia="zh-CN"/>
        </w:rPr>
        <w:t>20年支出决算</w:t>
      </w:r>
      <w:r>
        <w:rPr>
          <w:rFonts w:hint="eastAsia" w:ascii="仿宋" w:hAnsi="仿宋" w:eastAsia="仿宋"/>
          <w:color w:val="000000"/>
          <w:w w:val="90"/>
          <w:sz w:val="32"/>
          <w:szCs w:val="32"/>
        </w:rPr>
        <w:t>持平</w:t>
      </w:r>
      <w:r>
        <w:rPr>
          <w:rFonts w:hint="eastAsia" w:ascii="仿宋_GB2312" w:eastAsia="仿宋_GB2312"/>
          <w:color w:val="auto"/>
          <w:w w:val="90"/>
          <w:sz w:val="32"/>
          <w:szCs w:val="32"/>
          <w:highlight w:val="none"/>
        </w:rPr>
        <w:t>。</w:t>
      </w:r>
    </w:p>
    <w:p>
      <w:pPr>
        <w:pageBreakBefore w:val="0"/>
        <w:kinsoku/>
        <w:wordWrap/>
        <w:overflowPunct/>
        <w:topLinePunct w:val="0"/>
        <w:bidi w:val="0"/>
        <w:spacing w:line="576" w:lineRule="exact"/>
        <w:ind w:firstLine="640"/>
        <w:rPr>
          <w:rFonts w:ascii="仿宋_GB2312" w:eastAsia="仿宋_GB2312"/>
          <w:b/>
          <w:color w:val="auto"/>
          <w:w w:val="90"/>
          <w:sz w:val="32"/>
          <w:szCs w:val="32"/>
          <w:highlight w:val="none"/>
        </w:rPr>
      </w:pPr>
      <w:r>
        <w:rPr>
          <w:rFonts w:ascii="仿宋_GB2312" w:eastAsia="仿宋_GB2312"/>
          <w:b/>
          <w:color w:val="auto"/>
          <w:w w:val="90"/>
          <w:sz w:val="32"/>
          <w:szCs w:val="32"/>
          <w:highlight w:val="none"/>
        </w:rPr>
        <w:t>2.</w:t>
      </w:r>
      <w:r>
        <w:rPr>
          <w:rFonts w:hint="eastAsia" w:ascii="仿宋_GB2312" w:eastAsia="仿宋_GB2312"/>
          <w:b/>
          <w:color w:val="auto"/>
          <w:w w:val="90"/>
          <w:sz w:val="32"/>
          <w:szCs w:val="32"/>
          <w:highlight w:val="none"/>
        </w:rPr>
        <w:t>公务用车购置及运行维护费支出</w:t>
      </w:r>
      <w:r>
        <w:rPr>
          <w:rFonts w:hint="eastAsia" w:ascii="仿宋_GB2312" w:eastAsia="仿宋_GB2312"/>
          <w:color w:val="auto"/>
          <w:w w:val="90"/>
          <w:sz w:val="32"/>
          <w:szCs w:val="32"/>
          <w:highlight w:val="none"/>
          <w:lang w:val="en-US" w:eastAsia="zh-CN"/>
        </w:rPr>
        <w:t>462.51</w:t>
      </w:r>
      <w:r>
        <w:rPr>
          <w:rFonts w:hint="eastAsia" w:ascii="仿宋_GB2312" w:eastAsia="仿宋_GB2312"/>
          <w:color w:val="auto"/>
          <w:w w:val="90"/>
          <w:sz w:val="32"/>
          <w:szCs w:val="32"/>
          <w:highlight w:val="none"/>
        </w:rPr>
        <w:t>万元,</w:t>
      </w:r>
      <w:r>
        <w:rPr>
          <w:rStyle w:val="14"/>
          <w:rFonts w:hint="eastAsia" w:ascii="仿宋" w:hAnsi="仿宋" w:eastAsia="仿宋"/>
          <w:b w:val="0"/>
          <w:bCs/>
          <w:color w:val="auto"/>
          <w:w w:val="90"/>
          <w:sz w:val="32"/>
          <w:szCs w:val="32"/>
          <w:highlight w:val="none"/>
        </w:rPr>
        <w:t>完成预算</w:t>
      </w:r>
      <w:r>
        <w:rPr>
          <w:rStyle w:val="14"/>
          <w:rFonts w:hint="eastAsia" w:ascii="仿宋" w:hAnsi="仿宋" w:eastAsia="仿宋"/>
          <w:b w:val="0"/>
          <w:bCs/>
          <w:color w:val="auto"/>
          <w:w w:val="90"/>
          <w:sz w:val="32"/>
          <w:szCs w:val="32"/>
          <w:highlight w:val="none"/>
          <w:lang w:val="en-US" w:eastAsia="zh-CN"/>
        </w:rPr>
        <w:t>100</w:t>
      </w:r>
      <w:r>
        <w:rPr>
          <w:rStyle w:val="14"/>
          <w:rFonts w:ascii="仿宋" w:hAnsi="仿宋" w:eastAsia="仿宋"/>
          <w:b w:val="0"/>
          <w:bCs/>
          <w:color w:val="auto"/>
          <w:w w:val="90"/>
          <w:sz w:val="32"/>
          <w:szCs w:val="32"/>
          <w:highlight w:val="none"/>
        </w:rPr>
        <w:t>%</w:t>
      </w:r>
      <w:r>
        <w:rPr>
          <w:rStyle w:val="14"/>
          <w:rFonts w:hint="eastAsia" w:ascii="仿宋" w:hAnsi="仿宋" w:eastAsia="仿宋"/>
          <w:b w:val="0"/>
          <w:bCs/>
          <w:color w:val="auto"/>
          <w:w w:val="90"/>
          <w:sz w:val="32"/>
          <w:szCs w:val="32"/>
          <w:highlight w:val="none"/>
        </w:rPr>
        <w:t>。</w:t>
      </w:r>
      <w:r>
        <w:rPr>
          <w:rFonts w:hint="eastAsia" w:ascii="仿宋_GB2312" w:eastAsia="仿宋_GB2312"/>
          <w:color w:val="auto"/>
          <w:w w:val="90"/>
          <w:sz w:val="32"/>
          <w:szCs w:val="32"/>
          <w:highlight w:val="none"/>
        </w:rPr>
        <w:t>公务用车购置及运行维护费支出决算比</w:t>
      </w:r>
      <w:r>
        <w:rPr>
          <w:rFonts w:ascii="仿宋_GB2312" w:eastAsia="仿宋_GB2312"/>
          <w:color w:val="auto"/>
          <w:w w:val="90"/>
          <w:sz w:val="32"/>
          <w:szCs w:val="32"/>
          <w:highlight w:val="none"/>
        </w:rPr>
        <w:t>20</w:t>
      </w:r>
      <w:r>
        <w:rPr>
          <w:rFonts w:hint="eastAsia" w:ascii="仿宋_GB2312" w:eastAsia="仿宋_GB2312"/>
          <w:color w:val="auto"/>
          <w:w w:val="90"/>
          <w:sz w:val="32"/>
          <w:szCs w:val="32"/>
          <w:highlight w:val="none"/>
          <w:lang w:val="en-US" w:eastAsia="zh-CN"/>
        </w:rPr>
        <w:t>20</w:t>
      </w:r>
      <w:r>
        <w:rPr>
          <w:rFonts w:hint="eastAsia" w:ascii="仿宋_GB2312" w:eastAsia="仿宋_GB2312"/>
          <w:color w:val="auto"/>
          <w:w w:val="90"/>
          <w:sz w:val="32"/>
          <w:szCs w:val="32"/>
          <w:highlight w:val="none"/>
        </w:rPr>
        <w:t>年</w:t>
      </w:r>
      <w:r>
        <w:rPr>
          <w:rFonts w:hint="eastAsia" w:ascii="仿宋_GB2312" w:eastAsia="仿宋_GB2312"/>
          <w:color w:val="auto"/>
          <w:w w:val="90"/>
          <w:sz w:val="32"/>
          <w:szCs w:val="32"/>
          <w:highlight w:val="none"/>
          <w:lang w:eastAsia="zh-CN"/>
        </w:rPr>
        <w:t>增加</w:t>
      </w:r>
      <w:r>
        <w:rPr>
          <w:rFonts w:hint="eastAsia" w:ascii="仿宋_GB2312" w:eastAsia="仿宋_GB2312"/>
          <w:color w:val="auto"/>
          <w:w w:val="90"/>
          <w:sz w:val="32"/>
          <w:szCs w:val="32"/>
          <w:highlight w:val="none"/>
          <w:lang w:val="en-US" w:eastAsia="zh-CN"/>
        </w:rPr>
        <w:t>26</w:t>
      </w:r>
      <w:r>
        <w:rPr>
          <w:rFonts w:hint="eastAsia" w:ascii="仿宋_GB2312" w:eastAsia="仿宋_GB2312"/>
          <w:color w:val="auto"/>
          <w:w w:val="90"/>
          <w:sz w:val="32"/>
          <w:szCs w:val="32"/>
          <w:highlight w:val="none"/>
        </w:rPr>
        <w:t>万元。主要原因是</w:t>
      </w:r>
      <w:r>
        <w:rPr>
          <w:rFonts w:hint="eastAsia" w:ascii="仿宋" w:hAnsi="仿宋" w:eastAsia="仿宋"/>
          <w:color w:val="auto"/>
          <w:w w:val="90"/>
          <w:sz w:val="32"/>
          <w:szCs w:val="32"/>
          <w:highlight w:val="none"/>
          <w:lang w:eastAsia="zh-CN"/>
        </w:rPr>
        <w:t>公务用车</w:t>
      </w:r>
      <w:r>
        <w:rPr>
          <w:rFonts w:hint="eastAsia" w:ascii="仿宋_GB2312" w:eastAsia="仿宋_GB2312"/>
          <w:color w:val="auto"/>
          <w:w w:val="90"/>
          <w:sz w:val="32"/>
          <w:szCs w:val="32"/>
          <w:highlight w:val="none"/>
        </w:rPr>
        <w:t>越野车</w:t>
      </w:r>
      <w:r>
        <w:rPr>
          <w:rFonts w:hint="eastAsia" w:ascii="仿宋_GB2312" w:eastAsia="仿宋_GB2312"/>
          <w:color w:val="auto"/>
          <w:w w:val="90"/>
          <w:sz w:val="32"/>
          <w:szCs w:val="32"/>
          <w:highlight w:val="none"/>
          <w:lang w:eastAsia="zh-CN"/>
        </w:rPr>
        <w:t>和</w:t>
      </w:r>
      <w:r>
        <w:rPr>
          <w:rFonts w:hint="eastAsia" w:ascii="仿宋_GB2312" w:eastAsia="仿宋_GB2312"/>
          <w:color w:val="auto"/>
          <w:w w:val="90"/>
          <w:sz w:val="32"/>
          <w:szCs w:val="32"/>
          <w:highlight w:val="none"/>
          <w:lang w:val="en-US" w:eastAsia="zh-CN"/>
        </w:rPr>
        <w:t>轿车数量变化，导致公务用车运行经费增加</w:t>
      </w:r>
      <w:r>
        <w:rPr>
          <w:rFonts w:hint="eastAsia" w:ascii="仿宋_GB2312" w:eastAsia="仿宋_GB2312"/>
          <w:color w:val="auto"/>
          <w:w w:val="90"/>
          <w:sz w:val="32"/>
          <w:szCs w:val="32"/>
          <w:highlight w:val="none"/>
        </w:rPr>
        <w:t>。</w:t>
      </w:r>
    </w:p>
    <w:p>
      <w:pPr>
        <w:pageBreakBefore w:val="0"/>
        <w:kinsoku/>
        <w:wordWrap/>
        <w:overflowPunct/>
        <w:topLinePunct w:val="0"/>
        <w:bidi w:val="0"/>
        <w:spacing w:line="576" w:lineRule="exact"/>
        <w:ind w:firstLine="576" w:firstLineChars="200"/>
        <w:rPr>
          <w:rFonts w:ascii="仿宋_GB2312" w:eastAsia="仿宋_GB2312"/>
          <w:b/>
          <w:color w:val="auto"/>
          <w:w w:val="90"/>
          <w:sz w:val="32"/>
          <w:szCs w:val="32"/>
          <w:highlight w:val="none"/>
        </w:rPr>
      </w:pPr>
      <w:r>
        <w:rPr>
          <w:rFonts w:hint="eastAsia" w:ascii="仿宋_GB2312" w:eastAsia="仿宋_GB2312"/>
          <w:color w:val="auto"/>
          <w:w w:val="90"/>
          <w:sz w:val="32"/>
          <w:szCs w:val="32"/>
          <w:highlight w:val="none"/>
        </w:rPr>
        <w:t>其中：</w:t>
      </w:r>
      <w:r>
        <w:rPr>
          <w:rFonts w:hint="eastAsia" w:ascii="仿宋_GB2312" w:eastAsia="仿宋_GB2312"/>
          <w:b/>
          <w:color w:val="auto"/>
          <w:w w:val="90"/>
          <w:sz w:val="32"/>
          <w:szCs w:val="32"/>
          <w:highlight w:val="none"/>
        </w:rPr>
        <w:t>公务用车购置支出</w:t>
      </w:r>
      <w:r>
        <w:rPr>
          <w:rFonts w:hint="eastAsia" w:ascii="仿宋_GB2312" w:eastAsia="仿宋_GB2312"/>
          <w:color w:val="auto"/>
          <w:w w:val="90"/>
          <w:sz w:val="32"/>
          <w:szCs w:val="32"/>
          <w:highlight w:val="none"/>
          <w:lang w:val="en-US" w:eastAsia="zh-CN"/>
        </w:rPr>
        <w:t>0</w:t>
      </w:r>
      <w:r>
        <w:rPr>
          <w:rFonts w:hint="eastAsia" w:ascii="仿宋_GB2312" w:eastAsia="仿宋_GB2312"/>
          <w:color w:val="auto"/>
          <w:w w:val="90"/>
          <w:sz w:val="32"/>
          <w:szCs w:val="32"/>
          <w:highlight w:val="none"/>
        </w:rPr>
        <w:t>万元。全年按规定更新购置公务用车</w:t>
      </w:r>
      <w:r>
        <w:rPr>
          <w:rFonts w:hint="eastAsia" w:ascii="仿宋_GB2312" w:eastAsia="仿宋_GB2312"/>
          <w:color w:val="auto"/>
          <w:w w:val="90"/>
          <w:sz w:val="32"/>
          <w:szCs w:val="32"/>
          <w:highlight w:val="none"/>
          <w:lang w:val="en-US" w:eastAsia="zh-CN"/>
        </w:rPr>
        <w:t>0</w:t>
      </w:r>
      <w:r>
        <w:rPr>
          <w:rFonts w:hint="eastAsia" w:ascii="仿宋_GB2312" w:eastAsia="仿宋_GB2312"/>
          <w:color w:val="auto"/>
          <w:w w:val="90"/>
          <w:sz w:val="32"/>
          <w:szCs w:val="32"/>
          <w:highlight w:val="none"/>
        </w:rPr>
        <w:t>辆，其中：轿车</w:t>
      </w:r>
      <w:r>
        <w:rPr>
          <w:rFonts w:hint="eastAsia" w:ascii="仿宋_GB2312" w:eastAsia="仿宋_GB2312"/>
          <w:color w:val="auto"/>
          <w:w w:val="90"/>
          <w:sz w:val="32"/>
          <w:szCs w:val="32"/>
          <w:highlight w:val="none"/>
          <w:lang w:val="en-US" w:eastAsia="zh-CN"/>
        </w:rPr>
        <w:t>0</w:t>
      </w:r>
      <w:r>
        <w:rPr>
          <w:rFonts w:hint="eastAsia" w:ascii="仿宋_GB2312" w:eastAsia="仿宋_GB2312"/>
          <w:color w:val="auto"/>
          <w:w w:val="90"/>
          <w:sz w:val="32"/>
          <w:szCs w:val="32"/>
          <w:highlight w:val="none"/>
        </w:rPr>
        <w:t>辆、金额</w:t>
      </w:r>
      <w:r>
        <w:rPr>
          <w:rFonts w:hint="eastAsia" w:ascii="仿宋_GB2312" w:eastAsia="仿宋_GB2312"/>
          <w:color w:val="auto"/>
          <w:w w:val="90"/>
          <w:sz w:val="32"/>
          <w:szCs w:val="32"/>
          <w:highlight w:val="none"/>
          <w:lang w:val="en-US" w:eastAsia="zh-CN"/>
        </w:rPr>
        <w:t>0</w:t>
      </w:r>
      <w:r>
        <w:rPr>
          <w:rFonts w:hint="eastAsia" w:ascii="仿宋_GB2312" w:eastAsia="仿宋_GB2312"/>
          <w:color w:val="auto"/>
          <w:w w:val="90"/>
          <w:sz w:val="32"/>
          <w:szCs w:val="32"/>
          <w:highlight w:val="none"/>
        </w:rPr>
        <w:t>万元，越野车</w:t>
      </w:r>
      <w:r>
        <w:rPr>
          <w:rFonts w:hint="eastAsia" w:ascii="仿宋_GB2312" w:eastAsia="仿宋_GB2312"/>
          <w:color w:val="auto"/>
          <w:w w:val="90"/>
          <w:sz w:val="32"/>
          <w:szCs w:val="32"/>
          <w:highlight w:val="none"/>
          <w:lang w:val="en-US" w:eastAsia="zh-CN"/>
        </w:rPr>
        <w:t>0</w:t>
      </w:r>
      <w:r>
        <w:rPr>
          <w:rFonts w:hint="eastAsia" w:ascii="仿宋_GB2312" w:eastAsia="仿宋_GB2312"/>
          <w:color w:val="auto"/>
          <w:w w:val="90"/>
          <w:sz w:val="32"/>
          <w:szCs w:val="32"/>
          <w:highlight w:val="none"/>
        </w:rPr>
        <w:t>辆、金额</w:t>
      </w:r>
      <w:r>
        <w:rPr>
          <w:rFonts w:hint="eastAsia" w:ascii="仿宋_GB2312" w:eastAsia="仿宋_GB2312"/>
          <w:color w:val="auto"/>
          <w:w w:val="90"/>
          <w:sz w:val="32"/>
          <w:szCs w:val="32"/>
          <w:highlight w:val="none"/>
          <w:lang w:val="en-US" w:eastAsia="zh-CN"/>
        </w:rPr>
        <w:t>0</w:t>
      </w:r>
      <w:r>
        <w:rPr>
          <w:rFonts w:hint="eastAsia" w:ascii="仿宋_GB2312" w:eastAsia="仿宋_GB2312"/>
          <w:color w:val="auto"/>
          <w:w w:val="90"/>
          <w:sz w:val="32"/>
          <w:szCs w:val="32"/>
          <w:highlight w:val="none"/>
        </w:rPr>
        <w:t>万元，载客汽车</w:t>
      </w:r>
      <w:r>
        <w:rPr>
          <w:rFonts w:hint="eastAsia" w:ascii="仿宋_GB2312" w:eastAsia="仿宋_GB2312"/>
          <w:color w:val="auto"/>
          <w:w w:val="90"/>
          <w:sz w:val="32"/>
          <w:szCs w:val="32"/>
          <w:highlight w:val="none"/>
          <w:lang w:val="en-US" w:eastAsia="zh-CN"/>
        </w:rPr>
        <w:t>0</w:t>
      </w:r>
      <w:r>
        <w:rPr>
          <w:rFonts w:hint="eastAsia" w:ascii="仿宋_GB2312" w:eastAsia="仿宋_GB2312"/>
          <w:color w:val="auto"/>
          <w:w w:val="90"/>
          <w:sz w:val="32"/>
          <w:szCs w:val="32"/>
          <w:highlight w:val="none"/>
        </w:rPr>
        <w:t>辆、金额</w:t>
      </w:r>
      <w:r>
        <w:rPr>
          <w:rFonts w:hint="eastAsia" w:ascii="仿宋_GB2312" w:eastAsia="仿宋_GB2312"/>
          <w:color w:val="auto"/>
          <w:w w:val="90"/>
          <w:sz w:val="32"/>
          <w:szCs w:val="32"/>
          <w:highlight w:val="none"/>
          <w:lang w:val="en-US" w:eastAsia="zh-CN"/>
        </w:rPr>
        <w:t>0</w:t>
      </w:r>
      <w:r>
        <w:rPr>
          <w:rFonts w:hint="eastAsia" w:ascii="仿宋_GB2312" w:eastAsia="仿宋_GB2312"/>
          <w:color w:val="auto"/>
          <w:w w:val="90"/>
          <w:sz w:val="32"/>
          <w:szCs w:val="32"/>
          <w:highlight w:val="none"/>
        </w:rPr>
        <w:t>万元。截至</w:t>
      </w:r>
      <w:r>
        <w:rPr>
          <w:rFonts w:ascii="仿宋_GB2312" w:eastAsia="仿宋_GB2312"/>
          <w:color w:val="auto"/>
          <w:w w:val="90"/>
          <w:sz w:val="32"/>
          <w:szCs w:val="32"/>
          <w:highlight w:val="none"/>
        </w:rPr>
        <w:t>20</w:t>
      </w:r>
      <w:r>
        <w:rPr>
          <w:rFonts w:hint="eastAsia" w:ascii="仿宋_GB2312" w:eastAsia="仿宋_GB2312"/>
          <w:color w:val="auto"/>
          <w:w w:val="90"/>
          <w:sz w:val="32"/>
          <w:szCs w:val="32"/>
          <w:highlight w:val="none"/>
          <w:lang w:val="en-US" w:eastAsia="zh-CN"/>
        </w:rPr>
        <w:t>21</w:t>
      </w:r>
      <w:r>
        <w:rPr>
          <w:rFonts w:hint="eastAsia" w:ascii="仿宋_GB2312" w:eastAsia="仿宋_GB2312"/>
          <w:color w:val="auto"/>
          <w:w w:val="90"/>
          <w:sz w:val="32"/>
          <w:szCs w:val="32"/>
          <w:highlight w:val="none"/>
        </w:rPr>
        <w:t>年</w:t>
      </w:r>
      <w:r>
        <w:rPr>
          <w:rFonts w:ascii="仿宋_GB2312" w:eastAsia="仿宋_GB2312"/>
          <w:color w:val="auto"/>
          <w:w w:val="90"/>
          <w:sz w:val="32"/>
          <w:szCs w:val="32"/>
          <w:highlight w:val="none"/>
        </w:rPr>
        <w:t>12</w:t>
      </w:r>
      <w:r>
        <w:rPr>
          <w:rFonts w:hint="eastAsia" w:ascii="仿宋_GB2312" w:eastAsia="仿宋_GB2312"/>
          <w:color w:val="auto"/>
          <w:w w:val="90"/>
          <w:sz w:val="32"/>
          <w:szCs w:val="32"/>
          <w:highlight w:val="none"/>
        </w:rPr>
        <w:t>月底，单位共有公务用车</w:t>
      </w:r>
      <w:r>
        <w:rPr>
          <w:rFonts w:hint="eastAsia" w:ascii="仿宋_GB2312" w:eastAsia="仿宋_GB2312"/>
          <w:color w:val="auto"/>
          <w:w w:val="90"/>
          <w:sz w:val="32"/>
          <w:szCs w:val="32"/>
          <w:highlight w:val="none"/>
          <w:lang w:val="en-US" w:eastAsia="zh-CN"/>
        </w:rPr>
        <w:t>69</w:t>
      </w:r>
      <w:r>
        <w:rPr>
          <w:rFonts w:hint="eastAsia" w:ascii="仿宋_GB2312" w:eastAsia="仿宋_GB2312"/>
          <w:color w:val="auto"/>
          <w:w w:val="90"/>
          <w:sz w:val="32"/>
          <w:szCs w:val="32"/>
          <w:highlight w:val="none"/>
        </w:rPr>
        <w:t>辆，其中：轿车</w:t>
      </w:r>
      <w:r>
        <w:rPr>
          <w:rFonts w:hint="eastAsia" w:ascii="仿宋_GB2312" w:eastAsia="仿宋_GB2312"/>
          <w:color w:val="auto"/>
          <w:w w:val="90"/>
          <w:sz w:val="32"/>
          <w:szCs w:val="32"/>
          <w:highlight w:val="none"/>
          <w:lang w:val="en-US" w:eastAsia="zh-CN"/>
        </w:rPr>
        <w:t>20</w:t>
      </w:r>
      <w:r>
        <w:rPr>
          <w:rFonts w:hint="eastAsia" w:ascii="仿宋_GB2312" w:eastAsia="仿宋_GB2312"/>
          <w:color w:val="auto"/>
          <w:w w:val="90"/>
          <w:sz w:val="32"/>
          <w:szCs w:val="32"/>
          <w:highlight w:val="none"/>
        </w:rPr>
        <w:t>辆、越野车</w:t>
      </w:r>
      <w:r>
        <w:rPr>
          <w:rFonts w:hint="eastAsia" w:ascii="仿宋_GB2312" w:eastAsia="仿宋_GB2312"/>
          <w:color w:val="auto"/>
          <w:w w:val="90"/>
          <w:sz w:val="32"/>
          <w:szCs w:val="32"/>
          <w:highlight w:val="none"/>
          <w:lang w:val="en-US" w:eastAsia="zh-CN"/>
        </w:rPr>
        <w:t>44</w:t>
      </w:r>
      <w:r>
        <w:rPr>
          <w:rFonts w:hint="eastAsia" w:ascii="仿宋_GB2312" w:eastAsia="仿宋_GB2312"/>
          <w:color w:val="auto"/>
          <w:w w:val="90"/>
          <w:sz w:val="32"/>
          <w:szCs w:val="32"/>
          <w:highlight w:val="none"/>
        </w:rPr>
        <w:t>辆、</w:t>
      </w:r>
      <w:r>
        <w:rPr>
          <w:rFonts w:hint="eastAsia" w:ascii="仿宋_GB2312" w:eastAsia="仿宋_GB2312"/>
          <w:color w:val="auto"/>
          <w:w w:val="90"/>
          <w:sz w:val="32"/>
          <w:szCs w:val="32"/>
          <w:highlight w:val="none"/>
          <w:lang w:eastAsia="zh-CN"/>
        </w:rPr>
        <w:t>商务车</w:t>
      </w:r>
      <w:r>
        <w:rPr>
          <w:rFonts w:hint="eastAsia" w:ascii="仿宋_GB2312" w:eastAsia="仿宋_GB2312"/>
          <w:color w:val="auto"/>
          <w:w w:val="90"/>
          <w:sz w:val="32"/>
          <w:szCs w:val="32"/>
          <w:highlight w:val="none"/>
          <w:lang w:val="en-US" w:eastAsia="zh-CN"/>
        </w:rPr>
        <w:t>5</w:t>
      </w:r>
      <w:r>
        <w:rPr>
          <w:rFonts w:hint="eastAsia" w:ascii="仿宋_GB2312" w:eastAsia="仿宋_GB2312"/>
          <w:color w:val="auto"/>
          <w:w w:val="90"/>
          <w:sz w:val="32"/>
          <w:szCs w:val="32"/>
          <w:highlight w:val="none"/>
        </w:rPr>
        <w:t>辆。</w:t>
      </w:r>
    </w:p>
    <w:p>
      <w:pPr>
        <w:pageBreakBefore w:val="0"/>
        <w:kinsoku/>
        <w:wordWrap/>
        <w:overflowPunct/>
        <w:topLinePunct w:val="0"/>
        <w:bidi w:val="0"/>
        <w:spacing w:line="576" w:lineRule="exact"/>
        <w:ind w:firstLine="640"/>
        <w:rPr>
          <w:rFonts w:ascii="仿宋_GB2312" w:eastAsia="仿宋_GB2312"/>
          <w:color w:val="auto"/>
          <w:w w:val="90"/>
          <w:sz w:val="32"/>
          <w:szCs w:val="32"/>
          <w:highlight w:val="none"/>
        </w:rPr>
      </w:pPr>
      <w:r>
        <w:rPr>
          <w:rFonts w:hint="eastAsia" w:ascii="仿宋_GB2312" w:eastAsia="仿宋_GB2312"/>
          <w:b/>
          <w:color w:val="auto"/>
          <w:w w:val="90"/>
          <w:sz w:val="32"/>
          <w:szCs w:val="32"/>
          <w:highlight w:val="none"/>
        </w:rPr>
        <w:t>公务用车运行维护费支出</w:t>
      </w:r>
      <w:r>
        <w:rPr>
          <w:rFonts w:hint="eastAsia" w:ascii="仿宋_GB2312" w:eastAsia="仿宋_GB2312"/>
          <w:color w:val="auto"/>
          <w:w w:val="90"/>
          <w:sz w:val="32"/>
          <w:szCs w:val="32"/>
          <w:highlight w:val="none"/>
          <w:lang w:val="en-US" w:eastAsia="zh-CN"/>
        </w:rPr>
        <w:t>462.51</w:t>
      </w:r>
      <w:r>
        <w:rPr>
          <w:rFonts w:hint="eastAsia" w:ascii="仿宋_GB2312" w:eastAsia="仿宋_GB2312"/>
          <w:color w:val="auto"/>
          <w:w w:val="90"/>
          <w:sz w:val="32"/>
          <w:szCs w:val="32"/>
          <w:highlight w:val="none"/>
        </w:rPr>
        <w:t>万元。主要用于</w:t>
      </w:r>
      <w:r>
        <w:rPr>
          <w:rFonts w:hint="eastAsia" w:ascii="仿宋" w:hAnsi="仿宋" w:eastAsia="仿宋"/>
          <w:color w:val="000000"/>
          <w:w w:val="90"/>
          <w:sz w:val="32"/>
          <w:szCs w:val="32"/>
        </w:rPr>
        <w:t>务用车燃料费、维修费、过路过桥费、保险费等支出</w:t>
      </w:r>
      <w:r>
        <w:rPr>
          <w:rFonts w:hint="eastAsia" w:ascii="仿宋_GB2312" w:eastAsia="仿宋_GB2312"/>
          <w:color w:val="auto"/>
          <w:w w:val="90"/>
          <w:sz w:val="32"/>
          <w:szCs w:val="32"/>
          <w:highlight w:val="none"/>
        </w:rPr>
        <w:t>。</w:t>
      </w:r>
    </w:p>
    <w:p>
      <w:pPr>
        <w:pageBreakBefore w:val="0"/>
        <w:numPr>
          <w:ilvl w:val="0"/>
          <w:numId w:val="0"/>
        </w:numPr>
        <w:kinsoku/>
        <w:wordWrap/>
        <w:overflowPunct/>
        <w:topLinePunct w:val="0"/>
        <w:bidi w:val="0"/>
        <w:spacing w:line="576" w:lineRule="exact"/>
        <w:ind w:firstLine="578" w:firstLineChars="200"/>
        <w:rPr>
          <w:rFonts w:ascii="仿宋_GB2312" w:eastAsia="仿宋_GB2312"/>
          <w:color w:val="auto"/>
          <w:w w:val="90"/>
          <w:sz w:val="32"/>
          <w:szCs w:val="32"/>
          <w:highlight w:val="none"/>
        </w:rPr>
      </w:pPr>
      <w:r>
        <w:rPr>
          <w:rFonts w:hint="eastAsia" w:ascii="仿宋_GB2312" w:eastAsia="仿宋_GB2312"/>
          <w:b/>
          <w:color w:val="auto"/>
          <w:w w:val="90"/>
          <w:sz w:val="32"/>
          <w:szCs w:val="32"/>
          <w:highlight w:val="none"/>
        </w:rPr>
        <w:t>公务接待费支出</w:t>
      </w:r>
      <w:r>
        <w:rPr>
          <w:rFonts w:hint="eastAsia" w:ascii="仿宋_GB2312" w:eastAsia="仿宋_GB2312"/>
          <w:color w:val="auto"/>
          <w:w w:val="90"/>
          <w:sz w:val="32"/>
          <w:szCs w:val="32"/>
          <w:highlight w:val="none"/>
          <w:lang w:val="en-US" w:eastAsia="zh-CN"/>
        </w:rPr>
        <w:t>2</w:t>
      </w:r>
      <w:r>
        <w:rPr>
          <w:rFonts w:hint="eastAsia" w:ascii="仿宋_GB2312" w:eastAsia="仿宋_GB2312"/>
          <w:color w:val="auto"/>
          <w:w w:val="90"/>
          <w:sz w:val="32"/>
          <w:szCs w:val="32"/>
          <w:highlight w:val="none"/>
        </w:rPr>
        <w:t>万元，</w:t>
      </w:r>
      <w:r>
        <w:rPr>
          <w:rStyle w:val="14"/>
          <w:rFonts w:hint="eastAsia" w:ascii="仿宋" w:hAnsi="仿宋" w:eastAsia="仿宋"/>
          <w:b w:val="0"/>
          <w:bCs/>
          <w:color w:val="auto"/>
          <w:w w:val="90"/>
          <w:sz w:val="32"/>
          <w:szCs w:val="32"/>
          <w:highlight w:val="none"/>
        </w:rPr>
        <w:t>完成预算</w:t>
      </w:r>
      <w:r>
        <w:rPr>
          <w:rStyle w:val="14"/>
          <w:rFonts w:hint="eastAsia" w:ascii="仿宋" w:hAnsi="仿宋" w:eastAsia="仿宋"/>
          <w:b w:val="0"/>
          <w:bCs/>
          <w:color w:val="auto"/>
          <w:w w:val="90"/>
          <w:sz w:val="32"/>
          <w:szCs w:val="32"/>
          <w:highlight w:val="none"/>
          <w:lang w:val="en-US" w:eastAsia="zh-CN"/>
        </w:rPr>
        <w:t>100</w:t>
      </w:r>
      <w:r>
        <w:rPr>
          <w:rStyle w:val="14"/>
          <w:rFonts w:ascii="仿宋" w:hAnsi="仿宋" w:eastAsia="仿宋"/>
          <w:b w:val="0"/>
          <w:bCs/>
          <w:color w:val="auto"/>
          <w:w w:val="90"/>
          <w:sz w:val="32"/>
          <w:szCs w:val="32"/>
          <w:highlight w:val="none"/>
        </w:rPr>
        <w:t>%</w:t>
      </w:r>
      <w:r>
        <w:rPr>
          <w:rStyle w:val="14"/>
          <w:rFonts w:hint="eastAsia" w:ascii="仿宋" w:hAnsi="仿宋" w:eastAsia="仿宋"/>
          <w:b w:val="0"/>
          <w:bCs/>
          <w:color w:val="auto"/>
          <w:w w:val="90"/>
          <w:sz w:val="32"/>
          <w:szCs w:val="32"/>
          <w:highlight w:val="none"/>
        </w:rPr>
        <w:t>。</w:t>
      </w:r>
      <w:r>
        <w:rPr>
          <w:rFonts w:hint="eastAsia" w:ascii="仿宋_GB2312" w:eastAsia="仿宋_GB2312"/>
          <w:color w:val="auto"/>
          <w:w w:val="90"/>
          <w:sz w:val="32"/>
          <w:szCs w:val="32"/>
          <w:highlight w:val="none"/>
        </w:rPr>
        <w:t>公务接待费支出决算</w:t>
      </w:r>
      <w:r>
        <w:rPr>
          <w:rFonts w:hint="eastAsia" w:ascii="仿宋" w:hAnsi="仿宋" w:eastAsia="仿宋"/>
          <w:color w:val="000000"/>
          <w:w w:val="90"/>
          <w:sz w:val="32"/>
          <w:szCs w:val="32"/>
        </w:rPr>
        <w:t>数与20</w:t>
      </w:r>
      <w:r>
        <w:rPr>
          <w:rFonts w:hint="eastAsia" w:ascii="仿宋" w:hAnsi="仿宋" w:eastAsia="仿宋"/>
          <w:color w:val="000000"/>
          <w:w w:val="90"/>
          <w:sz w:val="32"/>
          <w:szCs w:val="32"/>
          <w:lang w:val="en-US" w:eastAsia="zh-CN"/>
        </w:rPr>
        <w:t>20</w:t>
      </w:r>
      <w:r>
        <w:rPr>
          <w:rFonts w:hint="eastAsia" w:ascii="仿宋" w:hAnsi="仿宋" w:eastAsia="仿宋"/>
          <w:color w:val="000000"/>
          <w:w w:val="90"/>
          <w:sz w:val="32"/>
          <w:szCs w:val="32"/>
        </w:rPr>
        <w:t>年支出</w:t>
      </w:r>
      <w:r>
        <w:rPr>
          <w:rFonts w:hint="eastAsia" w:ascii="仿宋_GB2312" w:eastAsia="仿宋_GB2312"/>
          <w:color w:val="auto"/>
          <w:w w:val="90"/>
          <w:sz w:val="32"/>
          <w:szCs w:val="32"/>
          <w:highlight w:val="none"/>
        </w:rPr>
        <w:t>决算</w:t>
      </w:r>
      <w:r>
        <w:rPr>
          <w:rFonts w:hint="eastAsia" w:ascii="仿宋" w:hAnsi="仿宋" w:eastAsia="仿宋"/>
          <w:color w:val="000000"/>
          <w:w w:val="90"/>
          <w:sz w:val="32"/>
          <w:szCs w:val="32"/>
        </w:rPr>
        <w:t>数持平。</w:t>
      </w:r>
      <w:r>
        <w:rPr>
          <w:rFonts w:hint="eastAsia" w:ascii="仿宋_GB2312" w:eastAsia="仿宋_GB2312"/>
          <w:color w:val="auto"/>
          <w:w w:val="90"/>
          <w:sz w:val="32"/>
          <w:szCs w:val="32"/>
          <w:highlight w:val="none"/>
        </w:rPr>
        <w:t>其中：</w:t>
      </w:r>
    </w:p>
    <w:p>
      <w:pPr>
        <w:pageBreakBefore w:val="0"/>
        <w:kinsoku/>
        <w:wordWrap/>
        <w:overflowPunct/>
        <w:topLinePunct w:val="0"/>
        <w:bidi w:val="0"/>
        <w:spacing w:line="576" w:lineRule="exact"/>
        <w:ind w:firstLine="640"/>
        <w:rPr>
          <w:rFonts w:hint="eastAsia" w:ascii="仿宋_GB2312" w:eastAsia="仿宋"/>
          <w:color w:val="auto"/>
          <w:w w:val="90"/>
          <w:sz w:val="32"/>
          <w:szCs w:val="32"/>
          <w:highlight w:val="none"/>
          <w:lang w:val="en-US" w:eastAsia="zh-CN"/>
        </w:rPr>
      </w:pPr>
      <w:r>
        <w:rPr>
          <w:rFonts w:hint="eastAsia" w:ascii="仿宋" w:hAnsi="仿宋" w:eastAsia="仿宋"/>
          <w:b/>
          <w:color w:val="auto"/>
          <w:w w:val="90"/>
          <w:sz w:val="32"/>
          <w:szCs w:val="32"/>
          <w:highlight w:val="none"/>
        </w:rPr>
        <w:t>国内公务接待支出</w:t>
      </w:r>
      <w:r>
        <w:rPr>
          <w:rFonts w:hint="eastAsia" w:ascii="仿宋" w:hAnsi="仿宋" w:eastAsia="仿宋"/>
          <w:color w:val="auto"/>
          <w:w w:val="90"/>
          <w:sz w:val="32"/>
          <w:szCs w:val="32"/>
          <w:highlight w:val="none"/>
          <w:lang w:val="en-US" w:eastAsia="zh-CN"/>
        </w:rPr>
        <w:t>2</w:t>
      </w:r>
      <w:r>
        <w:rPr>
          <w:rFonts w:hint="eastAsia" w:ascii="仿宋_GB2312" w:eastAsia="仿宋_GB2312"/>
          <w:color w:val="auto"/>
          <w:w w:val="90"/>
          <w:sz w:val="32"/>
          <w:szCs w:val="32"/>
          <w:highlight w:val="none"/>
        </w:rPr>
        <w:t>万元，</w:t>
      </w:r>
      <w:r>
        <w:rPr>
          <w:rFonts w:hint="eastAsia" w:ascii="仿宋" w:hAnsi="仿宋" w:eastAsia="仿宋"/>
          <w:color w:val="000000"/>
          <w:w w:val="90"/>
          <w:sz w:val="32"/>
          <w:szCs w:val="32"/>
        </w:rPr>
        <w:t>主要用于执行公务、开展业务活动开支的交通费、住宿费、用餐费等。国内公务接待</w:t>
      </w:r>
      <w:r>
        <w:rPr>
          <w:rFonts w:hint="eastAsia" w:ascii="仿宋" w:hAnsi="仿宋" w:eastAsia="仿宋"/>
          <w:color w:val="000000"/>
          <w:w w:val="90"/>
          <w:sz w:val="32"/>
          <w:szCs w:val="32"/>
          <w:lang w:val="en-US" w:eastAsia="zh-CN"/>
        </w:rPr>
        <w:t>43</w:t>
      </w:r>
      <w:r>
        <w:rPr>
          <w:rFonts w:hint="eastAsia" w:ascii="仿宋" w:hAnsi="仿宋" w:eastAsia="仿宋"/>
          <w:color w:val="000000"/>
          <w:w w:val="90"/>
          <w:sz w:val="32"/>
          <w:szCs w:val="32"/>
        </w:rPr>
        <w:t>批次，3</w:t>
      </w:r>
      <w:r>
        <w:rPr>
          <w:rFonts w:hint="eastAsia" w:ascii="仿宋" w:hAnsi="仿宋" w:eastAsia="仿宋"/>
          <w:color w:val="000000"/>
          <w:w w:val="90"/>
          <w:sz w:val="32"/>
          <w:szCs w:val="32"/>
          <w:lang w:val="en-US" w:eastAsia="zh-CN"/>
        </w:rPr>
        <w:t>1</w:t>
      </w:r>
      <w:r>
        <w:rPr>
          <w:rFonts w:hint="eastAsia" w:ascii="仿宋" w:hAnsi="仿宋" w:eastAsia="仿宋"/>
          <w:color w:val="000000"/>
          <w:w w:val="90"/>
          <w:sz w:val="32"/>
          <w:szCs w:val="32"/>
        </w:rPr>
        <w:t>0人次（包括陪同人员）</w:t>
      </w:r>
      <w:r>
        <w:rPr>
          <w:rFonts w:hint="eastAsia" w:ascii="仿宋_GB2312" w:eastAsia="仿宋_GB2312"/>
          <w:color w:val="auto"/>
          <w:w w:val="90"/>
          <w:sz w:val="32"/>
          <w:szCs w:val="32"/>
          <w:highlight w:val="none"/>
        </w:rPr>
        <w:t>。</w:t>
      </w:r>
    </w:p>
    <w:p>
      <w:pPr>
        <w:pageBreakBefore w:val="0"/>
        <w:kinsoku/>
        <w:wordWrap/>
        <w:overflowPunct/>
        <w:topLinePunct w:val="0"/>
        <w:bidi w:val="0"/>
        <w:spacing w:line="576" w:lineRule="exact"/>
        <w:ind w:firstLine="564" w:firstLineChars="200"/>
        <w:rPr>
          <w:rFonts w:ascii="黑体" w:eastAsia="黑体"/>
          <w:color w:val="auto"/>
          <w:w w:val="88"/>
          <w:sz w:val="32"/>
          <w:szCs w:val="32"/>
          <w:highlight w:val="none"/>
        </w:rPr>
      </w:pPr>
      <w:r>
        <w:rPr>
          <w:rFonts w:hint="eastAsia" w:ascii="仿宋" w:hAnsi="仿宋" w:eastAsia="仿宋"/>
          <w:b/>
          <w:color w:val="auto"/>
          <w:w w:val="88"/>
          <w:sz w:val="32"/>
          <w:szCs w:val="32"/>
          <w:highlight w:val="none"/>
        </w:rPr>
        <w:t>外事接待支出</w:t>
      </w:r>
      <w:r>
        <w:rPr>
          <w:rFonts w:hint="eastAsia" w:ascii="仿宋" w:hAnsi="仿宋" w:eastAsia="仿宋"/>
          <w:color w:val="auto"/>
          <w:w w:val="88"/>
          <w:sz w:val="32"/>
          <w:szCs w:val="32"/>
          <w:highlight w:val="none"/>
          <w:lang w:val="en-US" w:eastAsia="zh-CN"/>
        </w:rPr>
        <w:t>0</w:t>
      </w:r>
      <w:r>
        <w:rPr>
          <w:rFonts w:hint="eastAsia" w:ascii="仿宋_GB2312" w:eastAsia="仿宋_GB2312"/>
          <w:color w:val="auto"/>
          <w:w w:val="88"/>
          <w:sz w:val="32"/>
          <w:szCs w:val="32"/>
          <w:highlight w:val="none"/>
        </w:rPr>
        <w:t>万元，外事接待</w:t>
      </w:r>
      <w:r>
        <w:rPr>
          <w:rFonts w:hint="eastAsia" w:ascii="仿宋_GB2312" w:eastAsia="仿宋_GB2312"/>
          <w:color w:val="auto"/>
          <w:w w:val="88"/>
          <w:sz w:val="32"/>
          <w:szCs w:val="32"/>
          <w:highlight w:val="none"/>
          <w:lang w:val="en-US" w:eastAsia="zh-CN"/>
        </w:rPr>
        <w:t>0</w:t>
      </w:r>
      <w:r>
        <w:rPr>
          <w:rFonts w:hint="eastAsia" w:ascii="仿宋_GB2312" w:eastAsia="仿宋_GB2312"/>
          <w:color w:val="auto"/>
          <w:w w:val="88"/>
          <w:sz w:val="32"/>
          <w:szCs w:val="32"/>
          <w:highlight w:val="none"/>
        </w:rPr>
        <w:t>批次，</w:t>
      </w:r>
      <w:r>
        <w:rPr>
          <w:rFonts w:hint="eastAsia" w:ascii="仿宋_GB2312" w:eastAsia="仿宋_GB2312"/>
          <w:color w:val="auto"/>
          <w:w w:val="88"/>
          <w:sz w:val="32"/>
          <w:szCs w:val="32"/>
          <w:highlight w:val="none"/>
          <w:lang w:val="en-US" w:eastAsia="zh-CN"/>
        </w:rPr>
        <w:t>0</w:t>
      </w:r>
      <w:r>
        <w:rPr>
          <w:rFonts w:hint="eastAsia" w:ascii="仿宋_GB2312" w:eastAsia="仿宋_GB2312"/>
          <w:color w:val="auto"/>
          <w:w w:val="88"/>
          <w:sz w:val="32"/>
          <w:szCs w:val="32"/>
          <w:highlight w:val="none"/>
        </w:rPr>
        <w:t>人，共计支出</w:t>
      </w:r>
      <w:r>
        <w:rPr>
          <w:rFonts w:hint="eastAsia" w:ascii="仿宋_GB2312" w:eastAsia="仿宋_GB2312"/>
          <w:color w:val="auto"/>
          <w:w w:val="88"/>
          <w:sz w:val="32"/>
          <w:szCs w:val="32"/>
          <w:highlight w:val="none"/>
          <w:lang w:val="en-US" w:eastAsia="zh-CN"/>
        </w:rPr>
        <w:t>0</w:t>
      </w:r>
      <w:r>
        <w:rPr>
          <w:rFonts w:hint="eastAsia" w:ascii="仿宋_GB2312" w:eastAsia="仿宋_GB2312"/>
          <w:color w:val="auto"/>
          <w:w w:val="88"/>
          <w:sz w:val="32"/>
          <w:szCs w:val="32"/>
          <w:highlight w:val="none"/>
        </w:rPr>
        <w:t>万元。</w:t>
      </w:r>
      <w:bookmarkStart w:id="46" w:name="_Toc15396610"/>
      <w:bookmarkStart w:id="47" w:name="_Toc15377218"/>
    </w:p>
    <w:p>
      <w:pPr>
        <w:pageBreakBefore w:val="0"/>
        <w:kinsoku/>
        <w:wordWrap/>
        <w:overflowPunct/>
        <w:topLinePunct w:val="0"/>
        <w:bidi w:val="0"/>
        <w:spacing w:line="576" w:lineRule="exact"/>
        <w:ind w:firstLine="640"/>
        <w:outlineLvl w:val="1"/>
        <w:rPr>
          <w:rStyle w:val="25"/>
          <w:rFonts w:ascii="黑体" w:hAnsi="黑体" w:eastAsia="黑体"/>
          <w:color w:val="auto"/>
          <w:w w:val="90"/>
          <w:highlight w:val="none"/>
        </w:rPr>
      </w:pPr>
      <w:r>
        <w:rPr>
          <w:rFonts w:hint="eastAsia" w:ascii="黑体" w:eastAsia="黑体"/>
          <w:color w:val="auto"/>
          <w:w w:val="90"/>
          <w:sz w:val="32"/>
          <w:szCs w:val="32"/>
          <w:highlight w:val="none"/>
        </w:rPr>
        <w:t>八、</w:t>
      </w:r>
      <w:r>
        <w:rPr>
          <w:rStyle w:val="25"/>
          <w:rFonts w:hint="eastAsia" w:ascii="黑体" w:hAnsi="黑体" w:eastAsia="黑体"/>
          <w:b w:val="0"/>
          <w:color w:val="auto"/>
          <w:w w:val="90"/>
          <w:highlight w:val="none"/>
        </w:rPr>
        <w:t>政府性基金预算支出决算情况说明</w:t>
      </w:r>
      <w:bookmarkEnd w:id="46"/>
      <w:bookmarkEnd w:id="47"/>
    </w:p>
    <w:p>
      <w:pPr>
        <w:pageBreakBefore w:val="0"/>
        <w:kinsoku/>
        <w:wordWrap/>
        <w:overflowPunct/>
        <w:topLinePunct w:val="0"/>
        <w:bidi w:val="0"/>
        <w:spacing w:line="576" w:lineRule="exact"/>
        <w:ind w:firstLine="640"/>
        <w:rPr>
          <w:rFonts w:ascii="仿宋_GB2312" w:eastAsia="仿宋_GB2312"/>
          <w:color w:val="auto"/>
          <w:w w:val="90"/>
          <w:sz w:val="32"/>
          <w:szCs w:val="32"/>
          <w:highlight w:val="none"/>
        </w:rPr>
      </w:pPr>
      <w:r>
        <w:rPr>
          <w:rFonts w:ascii="仿宋_GB2312" w:eastAsia="仿宋_GB2312"/>
          <w:color w:val="auto"/>
          <w:w w:val="90"/>
          <w:sz w:val="32"/>
          <w:szCs w:val="32"/>
          <w:highlight w:val="none"/>
        </w:rPr>
        <w:t>20</w:t>
      </w:r>
      <w:r>
        <w:rPr>
          <w:rFonts w:hint="eastAsia" w:ascii="仿宋_GB2312" w:eastAsia="仿宋_GB2312"/>
          <w:color w:val="auto"/>
          <w:w w:val="90"/>
          <w:sz w:val="32"/>
          <w:szCs w:val="32"/>
          <w:highlight w:val="none"/>
          <w:lang w:val="en-US" w:eastAsia="zh-CN"/>
        </w:rPr>
        <w:t>21</w:t>
      </w:r>
      <w:r>
        <w:rPr>
          <w:rFonts w:hint="eastAsia" w:ascii="仿宋_GB2312" w:eastAsia="仿宋_GB2312"/>
          <w:color w:val="auto"/>
          <w:w w:val="90"/>
          <w:sz w:val="32"/>
          <w:szCs w:val="32"/>
          <w:highlight w:val="none"/>
        </w:rPr>
        <w:t>年政府性基金预算</w:t>
      </w:r>
      <w:r>
        <w:rPr>
          <w:rFonts w:hint="eastAsia" w:ascii="仿宋_GB2312" w:eastAsia="仿宋_GB2312"/>
          <w:color w:val="auto"/>
          <w:w w:val="90"/>
          <w:sz w:val="32"/>
          <w:szCs w:val="32"/>
          <w:highlight w:val="none"/>
          <w:lang w:eastAsia="zh-CN"/>
        </w:rPr>
        <w:t>财政</w:t>
      </w:r>
      <w:r>
        <w:rPr>
          <w:rFonts w:hint="eastAsia" w:ascii="仿宋_GB2312" w:eastAsia="仿宋_GB2312"/>
          <w:color w:val="auto"/>
          <w:w w:val="90"/>
          <w:sz w:val="32"/>
          <w:szCs w:val="32"/>
          <w:highlight w:val="none"/>
        </w:rPr>
        <w:t>拨款支出</w:t>
      </w:r>
      <w:r>
        <w:rPr>
          <w:rFonts w:hint="eastAsia" w:ascii="仿宋_GB2312" w:eastAsia="仿宋_GB2312"/>
          <w:color w:val="auto"/>
          <w:w w:val="90"/>
          <w:sz w:val="32"/>
          <w:szCs w:val="32"/>
          <w:highlight w:val="none"/>
          <w:lang w:val="en-US" w:eastAsia="zh-CN"/>
        </w:rPr>
        <w:t>0</w:t>
      </w:r>
      <w:r>
        <w:rPr>
          <w:rFonts w:hint="eastAsia" w:ascii="仿宋_GB2312" w:eastAsia="仿宋_GB2312"/>
          <w:color w:val="auto"/>
          <w:w w:val="90"/>
          <w:sz w:val="32"/>
          <w:szCs w:val="32"/>
          <w:highlight w:val="none"/>
        </w:rPr>
        <w:t>万元。</w:t>
      </w:r>
    </w:p>
    <w:p>
      <w:pPr>
        <w:pageBreakBefore w:val="0"/>
        <w:numPr>
          <w:ilvl w:val="0"/>
          <w:numId w:val="2"/>
        </w:numPr>
        <w:kinsoku/>
        <w:wordWrap/>
        <w:overflowPunct/>
        <w:topLinePunct w:val="0"/>
        <w:bidi w:val="0"/>
        <w:spacing w:line="576" w:lineRule="exact"/>
        <w:ind w:firstLine="640"/>
        <w:outlineLvl w:val="1"/>
        <w:rPr>
          <w:rStyle w:val="25"/>
          <w:rFonts w:ascii="黑体" w:hAnsi="黑体" w:eastAsia="黑体"/>
          <w:b w:val="0"/>
          <w:color w:val="auto"/>
          <w:w w:val="90"/>
          <w:highlight w:val="none"/>
        </w:rPr>
      </w:pPr>
      <w:bookmarkStart w:id="48" w:name="_Toc15377219"/>
      <w:bookmarkStart w:id="49" w:name="_Toc15396611"/>
      <w:r>
        <w:rPr>
          <w:rStyle w:val="25"/>
          <w:rFonts w:hint="eastAsia" w:ascii="黑体" w:hAnsi="黑体" w:eastAsia="黑体"/>
          <w:b w:val="0"/>
          <w:color w:val="auto"/>
          <w:w w:val="90"/>
          <w:highlight w:val="none"/>
        </w:rPr>
        <w:t>国有资本经营预算支出决算情况说明</w:t>
      </w:r>
      <w:bookmarkEnd w:id="48"/>
      <w:bookmarkEnd w:id="49"/>
    </w:p>
    <w:p>
      <w:pPr>
        <w:pageBreakBefore w:val="0"/>
        <w:kinsoku/>
        <w:wordWrap/>
        <w:overflowPunct/>
        <w:topLinePunct w:val="0"/>
        <w:bidi w:val="0"/>
        <w:spacing w:line="576" w:lineRule="exact"/>
        <w:ind w:firstLine="640"/>
        <w:rPr>
          <w:rFonts w:hint="eastAsia" w:ascii="仿宋_GB2312" w:eastAsia="仿宋_GB2312"/>
          <w:color w:val="auto"/>
          <w:w w:val="90"/>
          <w:sz w:val="32"/>
          <w:szCs w:val="32"/>
          <w:highlight w:val="none"/>
        </w:rPr>
      </w:pPr>
      <w:r>
        <w:rPr>
          <w:rFonts w:ascii="仿宋_GB2312" w:eastAsia="仿宋_GB2312"/>
          <w:color w:val="auto"/>
          <w:w w:val="90"/>
          <w:sz w:val="32"/>
          <w:szCs w:val="32"/>
          <w:highlight w:val="none"/>
        </w:rPr>
        <w:t>20</w:t>
      </w:r>
      <w:r>
        <w:rPr>
          <w:rFonts w:hint="eastAsia" w:ascii="仿宋_GB2312" w:eastAsia="仿宋_GB2312"/>
          <w:color w:val="auto"/>
          <w:w w:val="90"/>
          <w:sz w:val="32"/>
          <w:szCs w:val="32"/>
          <w:highlight w:val="none"/>
          <w:lang w:val="en-US" w:eastAsia="zh-CN"/>
        </w:rPr>
        <w:t>21</w:t>
      </w:r>
      <w:r>
        <w:rPr>
          <w:rFonts w:hint="eastAsia" w:ascii="仿宋_GB2312" w:eastAsia="仿宋_GB2312"/>
          <w:color w:val="auto"/>
          <w:w w:val="90"/>
          <w:sz w:val="32"/>
          <w:szCs w:val="32"/>
          <w:highlight w:val="none"/>
        </w:rPr>
        <w:t>年国有资本经营预算</w:t>
      </w:r>
      <w:r>
        <w:rPr>
          <w:rFonts w:hint="eastAsia" w:ascii="仿宋_GB2312" w:eastAsia="仿宋_GB2312"/>
          <w:color w:val="auto"/>
          <w:w w:val="90"/>
          <w:sz w:val="32"/>
          <w:szCs w:val="32"/>
          <w:highlight w:val="none"/>
          <w:lang w:eastAsia="zh-CN"/>
        </w:rPr>
        <w:t>财政</w:t>
      </w:r>
      <w:r>
        <w:rPr>
          <w:rFonts w:hint="eastAsia" w:ascii="仿宋_GB2312" w:eastAsia="仿宋_GB2312"/>
          <w:color w:val="auto"/>
          <w:w w:val="90"/>
          <w:sz w:val="32"/>
          <w:szCs w:val="32"/>
          <w:highlight w:val="none"/>
        </w:rPr>
        <w:t>拨款支出</w:t>
      </w:r>
      <w:r>
        <w:rPr>
          <w:rFonts w:hint="eastAsia" w:ascii="仿宋_GB2312" w:eastAsia="仿宋_GB2312"/>
          <w:color w:val="auto"/>
          <w:w w:val="90"/>
          <w:sz w:val="32"/>
          <w:szCs w:val="32"/>
          <w:highlight w:val="none"/>
          <w:lang w:val="en-US" w:eastAsia="zh-CN"/>
        </w:rPr>
        <w:t>0</w:t>
      </w:r>
      <w:r>
        <w:rPr>
          <w:rFonts w:hint="eastAsia" w:ascii="仿宋_GB2312" w:eastAsia="仿宋_GB2312"/>
          <w:color w:val="auto"/>
          <w:w w:val="90"/>
          <w:sz w:val="32"/>
          <w:szCs w:val="32"/>
          <w:highlight w:val="none"/>
        </w:rPr>
        <w:t>万元。</w:t>
      </w:r>
    </w:p>
    <w:p>
      <w:pPr>
        <w:pageBreakBefore w:val="0"/>
        <w:numPr>
          <w:ilvl w:val="0"/>
          <w:numId w:val="2"/>
        </w:numPr>
        <w:kinsoku/>
        <w:wordWrap/>
        <w:overflowPunct/>
        <w:topLinePunct w:val="0"/>
        <w:bidi w:val="0"/>
        <w:spacing w:line="576" w:lineRule="exact"/>
        <w:ind w:firstLine="640"/>
        <w:outlineLvl w:val="1"/>
        <w:rPr>
          <w:rStyle w:val="25"/>
          <w:rFonts w:hint="eastAsia" w:ascii="黑体" w:hAnsi="黑体" w:eastAsia="黑体"/>
          <w:b w:val="0"/>
          <w:color w:val="auto"/>
          <w:w w:val="90"/>
          <w:highlight w:val="none"/>
        </w:rPr>
      </w:pPr>
      <w:r>
        <w:rPr>
          <w:rStyle w:val="25"/>
          <w:rFonts w:hint="eastAsia" w:ascii="黑体" w:hAnsi="黑体" w:eastAsia="黑体"/>
          <w:b w:val="0"/>
          <w:color w:val="auto"/>
          <w:w w:val="90"/>
          <w:highlight w:val="none"/>
        </w:rPr>
        <w:t>预算绩效管理情况</w:t>
      </w:r>
    </w:p>
    <w:p>
      <w:pPr>
        <w:pageBreakBefore w:val="0"/>
        <w:kinsoku/>
        <w:wordWrap/>
        <w:overflowPunct/>
        <w:topLinePunct w:val="0"/>
        <w:bidi w:val="0"/>
        <w:spacing w:line="576" w:lineRule="exact"/>
        <w:ind w:firstLine="576" w:firstLineChars="200"/>
        <w:rPr>
          <w:rFonts w:hint="eastAsia" w:ascii="仿宋" w:hAnsi="仿宋" w:eastAsia="仿宋" w:cs="仿宋_GB2312"/>
          <w:color w:val="auto"/>
          <w:w w:val="90"/>
          <w:sz w:val="32"/>
          <w:szCs w:val="32"/>
        </w:rPr>
      </w:pPr>
      <w:r>
        <w:rPr>
          <w:rFonts w:hint="eastAsia" w:ascii="仿宋" w:hAnsi="仿宋" w:eastAsia="仿宋" w:cs="仿宋_GB2312"/>
          <w:color w:val="auto"/>
          <w:w w:val="90"/>
          <w:sz w:val="32"/>
          <w:szCs w:val="32"/>
        </w:rPr>
        <w:t>根据预算绩效管理要求，利州区机关事务服务中心组织对节能减排、区警备室、万缘行政中心绿化、万缘行政中心光亮及LED显示屏维护费、视频会议系统建设</w:t>
      </w:r>
      <w:r>
        <w:rPr>
          <w:rFonts w:hint="eastAsia" w:ascii="仿宋" w:hAnsi="仿宋" w:eastAsia="仿宋" w:cs="仿宋_GB2312"/>
          <w:color w:val="auto"/>
          <w:w w:val="90"/>
          <w:sz w:val="32"/>
          <w:szCs w:val="32"/>
          <w:lang w:eastAsia="zh-CN"/>
        </w:rPr>
        <w:t>等</w:t>
      </w:r>
      <w:r>
        <w:rPr>
          <w:rFonts w:hint="eastAsia" w:ascii="仿宋" w:hAnsi="仿宋" w:eastAsia="仿宋" w:cs="仿宋_GB2312"/>
          <w:color w:val="auto"/>
          <w:w w:val="90"/>
          <w:sz w:val="32"/>
          <w:szCs w:val="32"/>
          <w:lang w:val="en-US" w:eastAsia="zh-CN"/>
        </w:rPr>
        <w:t>15个项目</w:t>
      </w:r>
      <w:r>
        <w:rPr>
          <w:rFonts w:hint="eastAsia" w:ascii="仿宋" w:hAnsi="仿宋" w:eastAsia="仿宋" w:cs="仿宋_GB2312"/>
          <w:color w:val="auto"/>
          <w:w w:val="90"/>
          <w:sz w:val="32"/>
          <w:szCs w:val="32"/>
        </w:rPr>
        <w:t>开展了预算事前绩效评估，对1</w:t>
      </w:r>
      <w:r>
        <w:rPr>
          <w:rFonts w:hint="eastAsia" w:ascii="仿宋" w:hAnsi="仿宋" w:eastAsia="仿宋" w:cs="仿宋_GB2312"/>
          <w:color w:val="auto"/>
          <w:w w:val="90"/>
          <w:sz w:val="32"/>
          <w:szCs w:val="32"/>
          <w:lang w:val="en-US" w:eastAsia="zh-CN"/>
        </w:rPr>
        <w:t>5</w:t>
      </w:r>
      <w:r>
        <w:rPr>
          <w:rFonts w:hint="eastAsia" w:ascii="仿宋" w:hAnsi="仿宋" w:eastAsia="仿宋" w:cs="仿宋_GB2312"/>
          <w:color w:val="auto"/>
          <w:w w:val="90"/>
          <w:sz w:val="32"/>
          <w:szCs w:val="32"/>
        </w:rPr>
        <w:t>个项目编制了绩效目标，预算执行过程中，</w:t>
      </w:r>
      <w:r>
        <w:rPr>
          <w:rFonts w:hint="eastAsia" w:ascii="仿宋" w:hAnsi="仿宋" w:eastAsia="仿宋" w:cs="仿宋_GB2312"/>
          <w:color w:val="auto"/>
          <w:w w:val="90"/>
          <w:sz w:val="32"/>
          <w:szCs w:val="32"/>
          <w:lang w:eastAsia="zh-CN"/>
        </w:rPr>
        <w:t>对</w:t>
      </w:r>
      <w:r>
        <w:rPr>
          <w:rFonts w:hint="eastAsia" w:ascii="仿宋" w:hAnsi="仿宋" w:eastAsia="仿宋" w:cs="仿宋_GB2312"/>
          <w:color w:val="auto"/>
          <w:w w:val="90"/>
          <w:sz w:val="32"/>
          <w:szCs w:val="32"/>
          <w:lang w:val="en-US" w:eastAsia="zh-CN"/>
        </w:rPr>
        <w:t>15</w:t>
      </w:r>
      <w:r>
        <w:rPr>
          <w:rFonts w:hint="eastAsia" w:ascii="仿宋" w:hAnsi="仿宋" w:eastAsia="仿宋" w:cs="仿宋_GB2312"/>
          <w:color w:val="auto"/>
          <w:w w:val="90"/>
          <w:sz w:val="32"/>
          <w:szCs w:val="32"/>
        </w:rPr>
        <w:t>个项目开展绩效监控，年终执行完毕后，对</w:t>
      </w:r>
      <w:r>
        <w:rPr>
          <w:rFonts w:hint="eastAsia" w:ascii="仿宋" w:hAnsi="仿宋" w:eastAsia="仿宋" w:cs="仿宋_GB2312"/>
          <w:color w:val="auto"/>
          <w:w w:val="90"/>
          <w:sz w:val="32"/>
          <w:szCs w:val="32"/>
          <w:lang w:val="en-US" w:eastAsia="zh-CN"/>
        </w:rPr>
        <w:t>15</w:t>
      </w:r>
      <w:r>
        <w:rPr>
          <w:rFonts w:hint="eastAsia" w:ascii="仿宋" w:hAnsi="仿宋" w:eastAsia="仿宋" w:cs="仿宋_GB2312"/>
          <w:color w:val="auto"/>
          <w:w w:val="90"/>
          <w:sz w:val="32"/>
          <w:szCs w:val="32"/>
        </w:rPr>
        <w:t>个项目开展了绩效目标完成情况自评。</w:t>
      </w:r>
    </w:p>
    <w:p>
      <w:pPr>
        <w:pageBreakBefore w:val="0"/>
        <w:kinsoku/>
        <w:wordWrap/>
        <w:overflowPunct/>
        <w:topLinePunct w:val="0"/>
        <w:bidi w:val="0"/>
        <w:spacing w:line="576" w:lineRule="exact"/>
        <w:ind w:firstLine="576" w:firstLineChars="200"/>
        <w:rPr>
          <w:w w:val="90"/>
        </w:rPr>
      </w:pPr>
      <w:r>
        <w:rPr>
          <w:rFonts w:hint="eastAsia" w:ascii="仿宋" w:hAnsi="仿宋" w:eastAsia="仿宋" w:cs="仿宋_GB2312"/>
          <w:color w:val="auto"/>
          <w:w w:val="90"/>
          <w:sz w:val="32"/>
          <w:szCs w:val="32"/>
        </w:rPr>
        <w:t>本部门按要求对202</w:t>
      </w:r>
      <w:r>
        <w:rPr>
          <w:rFonts w:hint="eastAsia" w:ascii="仿宋" w:hAnsi="仿宋" w:eastAsia="仿宋" w:cs="仿宋_GB2312"/>
          <w:color w:val="auto"/>
          <w:w w:val="90"/>
          <w:sz w:val="32"/>
          <w:szCs w:val="32"/>
          <w:lang w:val="en-US" w:eastAsia="zh-CN"/>
        </w:rPr>
        <w:t>1</w:t>
      </w:r>
      <w:r>
        <w:rPr>
          <w:rFonts w:hint="eastAsia" w:ascii="仿宋" w:hAnsi="仿宋" w:eastAsia="仿宋" w:cs="仿宋_GB2312"/>
          <w:color w:val="auto"/>
          <w:w w:val="90"/>
          <w:sz w:val="32"/>
          <w:szCs w:val="32"/>
        </w:rPr>
        <w:t>年部门整体支出开展绩效自评，从评价情况来看整体绩效完成较好，本部门层面达到了重大决策、政策研究及时、高效，保障了全区各项重点工作有序开展。本部门还自行组织了</w:t>
      </w:r>
      <w:r>
        <w:rPr>
          <w:rFonts w:hint="eastAsia" w:ascii="仿宋" w:hAnsi="仿宋" w:eastAsia="仿宋" w:cs="仿宋_GB2312"/>
          <w:color w:val="auto"/>
          <w:w w:val="90"/>
          <w:sz w:val="32"/>
          <w:szCs w:val="32"/>
          <w:lang w:val="en-US" w:eastAsia="zh-CN"/>
        </w:rPr>
        <w:t>15</w:t>
      </w:r>
      <w:r>
        <w:rPr>
          <w:rFonts w:hint="eastAsia" w:ascii="仿宋" w:hAnsi="仿宋" w:eastAsia="仿宋" w:cs="仿宋_GB2312"/>
          <w:color w:val="auto"/>
          <w:w w:val="90"/>
          <w:sz w:val="32"/>
          <w:szCs w:val="32"/>
        </w:rPr>
        <w:t>个项目绩效评价，从评价情况来看这</w:t>
      </w:r>
      <w:r>
        <w:rPr>
          <w:rFonts w:hint="eastAsia" w:ascii="仿宋" w:hAnsi="仿宋" w:eastAsia="仿宋" w:cs="仿宋_GB2312"/>
          <w:color w:val="auto"/>
          <w:w w:val="90"/>
          <w:sz w:val="32"/>
          <w:szCs w:val="32"/>
          <w:lang w:val="en-US" w:eastAsia="zh-CN"/>
        </w:rPr>
        <w:t>15</w:t>
      </w:r>
      <w:r>
        <w:rPr>
          <w:rFonts w:hint="eastAsia" w:ascii="仿宋" w:hAnsi="仿宋" w:eastAsia="仿宋" w:cs="仿宋_GB2312"/>
          <w:color w:val="auto"/>
          <w:w w:val="90"/>
          <w:sz w:val="32"/>
          <w:szCs w:val="32"/>
        </w:rPr>
        <w:t>个项目都已圆满完成，达到预期目标，有效保障了机关事务服务中心各项重点工作有序开展。</w:t>
      </w:r>
    </w:p>
    <w:p>
      <w:pPr>
        <w:pageBreakBefore w:val="0"/>
        <w:numPr>
          <w:ilvl w:val="0"/>
          <w:numId w:val="2"/>
        </w:numPr>
        <w:kinsoku/>
        <w:wordWrap/>
        <w:overflowPunct/>
        <w:topLinePunct w:val="0"/>
        <w:bidi w:val="0"/>
        <w:spacing w:line="576" w:lineRule="exact"/>
        <w:ind w:firstLine="640"/>
        <w:outlineLvl w:val="1"/>
        <w:rPr>
          <w:rStyle w:val="25"/>
          <w:rFonts w:hint="eastAsia" w:ascii="仿宋" w:hAnsi="仿宋" w:eastAsia="仿宋" w:cs="仿宋"/>
          <w:b/>
          <w:bCs w:val="0"/>
          <w:color w:val="auto"/>
          <w:w w:val="90"/>
          <w:highlight w:val="none"/>
        </w:rPr>
      </w:pPr>
      <w:bookmarkStart w:id="50" w:name="_Toc15377221"/>
      <w:bookmarkStart w:id="51" w:name="_Toc15396612"/>
      <w:r>
        <w:rPr>
          <w:rStyle w:val="25"/>
          <w:rFonts w:hint="eastAsia" w:ascii="仿宋" w:hAnsi="仿宋" w:eastAsia="仿宋" w:cs="仿宋"/>
          <w:b/>
          <w:bCs w:val="0"/>
          <w:color w:val="auto"/>
          <w:w w:val="90"/>
          <w:highlight w:val="none"/>
        </w:rPr>
        <w:t>其他重要事项的情况说明</w:t>
      </w:r>
      <w:bookmarkEnd w:id="50"/>
      <w:bookmarkEnd w:id="51"/>
    </w:p>
    <w:p>
      <w:pPr>
        <w:pageBreakBefore w:val="0"/>
        <w:kinsoku/>
        <w:wordWrap/>
        <w:overflowPunct/>
        <w:topLinePunct w:val="0"/>
        <w:bidi w:val="0"/>
        <w:spacing w:line="576" w:lineRule="exact"/>
        <w:ind w:firstLine="578" w:firstLineChars="200"/>
        <w:outlineLvl w:val="2"/>
        <w:rPr>
          <w:rFonts w:ascii="仿宋" w:hAnsi="仿宋" w:eastAsia="仿宋"/>
          <w:color w:val="auto"/>
          <w:w w:val="90"/>
          <w:sz w:val="32"/>
          <w:szCs w:val="32"/>
          <w:highlight w:val="none"/>
        </w:rPr>
      </w:pPr>
      <w:bookmarkStart w:id="52" w:name="_Toc15377222"/>
      <w:r>
        <w:rPr>
          <w:rFonts w:hint="eastAsia" w:ascii="仿宋" w:hAnsi="仿宋" w:eastAsia="仿宋"/>
          <w:b/>
          <w:color w:val="auto"/>
          <w:w w:val="90"/>
          <w:sz w:val="32"/>
          <w:szCs w:val="32"/>
          <w:highlight w:val="none"/>
        </w:rPr>
        <w:t>（一）机关运行经费支出情况</w:t>
      </w:r>
      <w:bookmarkEnd w:id="52"/>
    </w:p>
    <w:p>
      <w:pPr>
        <w:pageBreakBefore w:val="0"/>
        <w:kinsoku/>
        <w:wordWrap/>
        <w:overflowPunct/>
        <w:topLinePunct w:val="0"/>
        <w:bidi w:val="0"/>
        <w:spacing w:line="576" w:lineRule="exact"/>
        <w:ind w:firstLine="576" w:firstLineChars="200"/>
        <w:rPr>
          <w:rFonts w:ascii="仿宋" w:hAnsi="仿宋" w:eastAsia="仿宋"/>
          <w:b/>
          <w:color w:val="auto"/>
          <w:w w:val="90"/>
          <w:sz w:val="32"/>
          <w:szCs w:val="32"/>
          <w:highlight w:val="none"/>
        </w:rPr>
      </w:pPr>
      <w:r>
        <w:rPr>
          <w:rFonts w:ascii="仿宋_GB2312" w:eastAsia="仿宋_GB2312"/>
          <w:color w:val="auto"/>
          <w:w w:val="90"/>
          <w:sz w:val="32"/>
          <w:szCs w:val="32"/>
          <w:highlight w:val="none"/>
        </w:rPr>
        <w:t>20</w:t>
      </w:r>
      <w:r>
        <w:rPr>
          <w:rFonts w:hint="eastAsia" w:ascii="仿宋_GB2312" w:eastAsia="仿宋_GB2312"/>
          <w:color w:val="auto"/>
          <w:w w:val="90"/>
          <w:sz w:val="32"/>
          <w:szCs w:val="32"/>
          <w:highlight w:val="none"/>
          <w:lang w:val="en-US" w:eastAsia="zh-CN"/>
        </w:rPr>
        <w:t>21</w:t>
      </w:r>
      <w:r>
        <w:rPr>
          <w:rFonts w:hint="eastAsia" w:ascii="仿宋_GB2312" w:eastAsia="仿宋_GB2312"/>
          <w:color w:val="auto"/>
          <w:w w:val="90"/>
          <w:sz w:val="32"/>
          <w:szCs w:val="32"/>
          <w:highlight w:val="none"/>
        </w:rPr>
        <w:t>年，</w:t>
      </w:r>
      <w:r>
        <w:rPr>
          <w:rFonts w:hint="eastAsia" w:ascii="仿宋" w:hAnsi="仿宋" w:eastAsia="仿宋"/>
          <w:color w:val="000000"/>
          <w:w w:val="90"/>
          <w:sz w:val="32"/>
          <w:szCs w:val="32"/>
        </w:rPr>
        <w:t>广元市利州区机关事务服务中心机关运行经费</w:t>
      </w:r>
      <w:r>
        <w:rPr>
          <w:rFonts w:hint="eastAsia" w:ascii="仿宋" w:hAnsi="仿宋" w:eastAsia="仿宋"/>
          <w:w w:val="90"/>
          <w:sz w:val="32"/>
          <w:szCs w:val="32"/>
          <w:lang w:val="en-US" w:eastAsia="zh-CN"/>
        </w:rPr>
        <w:t>1325.02</w:t>
      </w:r>
      <w:r>
        <w:rPr>
          <w:rFonts w:hint="eastAsia" w:ascii="仿宋_GB2312" w:eastAsia="仿宋_GB2312"/>
          <w:color w:val="auto"/>
          <w:w w:val="90"/>
          <w:sz w:val="32"/>
          <w:szCs w:val="32"/>
          <w:highlight w:val="none"/>
        </w:rPr>
        <w:t>万元，比</w:t>
      </w:r>
      <w:r>
        <w:rPr>
          <w:rFonts w:ascii="仿宋_GB2312" w:eastAsia="仿宋_GB2312"/>
          <w:color w:val="auto"/>
          <w:w w:val="90"/>
          <w:sz w:val="32"/>
          <w:szCs w:val="32"/>
          <w:highlight w:val="none"/>
        </w:rPr>
        <w:t>20</w:t>
      </w:r>
      <w:r>
        <w:rPr>
          <w:rFonts w:hint="eastAsia" w:ascii="仿宋_GB2312" w:eastAsia="仿宋_GB2312"/>
          <w:color w:val="auto"/>
          <w:w w:val="90"/>
          <w:sz w:val="32"/>
          <w:szCs w:val="32"/>
          <w:highlight w:val="none"/>
          <w:lang w:val="en-US" w:eastAsia="zh-CN"/>
        </w:rPr>
        <w:t>20</w:t>
      </w:r>
      <w:r>
        <w:rPr>
          <w:rFonts w:hint="eastAsia" w:ascii="仿宋_GB2312" w:eastAsia="仿宋_GB2312"/>
          <w:color w:val="auto"/>
          <w:w w:val="90"/>
          <w:sz w:val="32"/>
          <w:szCs w:val="32"/>
          <w:highlight w:val="none"/>
        </w:rPr>
        <w:t>年</w:t>
      </w:r>
      <w:r>
        <w:rPr>
          <w:rFonts w:hint="eastAsia" w:ascii="仿宋_GB2312" w:eastAsia="仿宋_GB2312"/>
          <w:color w:val="auto"/>
          <w:w w:val="90"/>
          <w:sz w:val="32"/>
          <w:szCs w:val="32"/>
          <w:highlight w:val="none"/>
          <w:lang w:eastAsia="zh-CN"/>
        </w:rPr>
        <w:t>减少</w:t>
      </w:r>
      <w:r>
        <w:rPr>
          <w:rFonts w:hint="eastAsia" w:ascii="仿宋_GB2312" w:eastAsia="仿宋_GB2312"/>
          <w:color w:val="auto"/>
          <w:w w:val="90"/>
          <w:sz w:val="32"/>
          <w:szCs w:val="32"/>
          <w:highlight w:val="none"/>
          <w:lang w:val="en-US" w:eastAsia="zh-CN"/>
        </w:rPr>
        <w:t>1218.5</w:t>
      </w:r>
      <w:r>
        <w:rPr>
          <w:rFonts w:hint="eastAsia" w:ascii="仿宋_GB2312" w:eastAsia="仿宋_GB2312"/>
          <w:color w:val="auto"/>
          <w:w w:val="90"/>
          <w:sz w:val="32"/>
          <w:szCs w:val="32"/>
          <w:highlight w:val="none"/>
        </w:rPr>
        <w:t>万元，</w:t>
      </w:r>
      <w:r>
        <w:rPr>
          <w:rFonts w:hint="eastAsia" w:ascii="仿宋_GB2312" w:eastAsia="仿宋_GB2312"/>
          <w:color w:val="auto"/>
          <w:w w:val="90"/>
          <w:sz w:val="32"/>
          <w:szCs w:val="32"/>
          <w:highlight w:val="none"/>
          <w:lang w:eastAsia="zh-CN"/>
        </w:rPr>
        <w:t>减少</w:t>
      </w:r>
      <w:r>
        <w:rPr>
          <w:rFonts w:hint="eastAsia" w:ascii="仿宋_GB2312" w:eastAsia="仿宋_GB2312"/>
          <w:color w:val="auto"/>
          <w:w w:val="90"/>
          <w:sz w:val="32"/>
          <w:szCs w:val="32"/>
          <w:highlight w:val="none"/>
          <w:lang w:val="en-US" w:eastAsia="zh-CN"/>
        </w:rPr>
        <w:t>54</w:t>
      </w:r>
      <w:r>
        <w:rPr>
          <w:rFonts w:ascii="仿宋_GB2312" w:eastAsia="仿宋_GB2312"/>
          <w:color w:val="auto"/>
          <w:w w:val="90"/>
          <w:sz w:val="32"/>
          <w:szCs w:val="32"/>
          <w:highlight w:val="none"/>
        </w:rPr>
        <w:t>%</w:t>
      </w:r>
      <w:r>
        <w:rPr>
          <w:rFonts w:hint="eastAsia" w:ascii="仿宋_GB2312" w:eastAsia="仿宋_GB2312"/>
          <w:color w:val="auto"/>
          <w:w w:val="90"/>
          <w:sz w:val="32"/>
          <w:szCs w:val="32"/>
          <w:highlight w:val="none"/>
        </w:rPr>
        <w:t>。主要原因是</w:t>
      </w:r>
      <w:r>
        <w:rPr>
          <w:rFonts w:hint="eastAsia" w:ascii="仿宋" w:hAnsi="仿宋" w:eastAsia="仿宋"/>
          <w:color w:val="auto"/>
          <w:w w:val="90"/>
          <w:sz w:val="32"/>
          <w:szCs w:val="32"/>
          <w:highlight w:val="none"/>
          <w:lang w:eastAsia="zh-CN"/>
        </w:rPr>
        <w:t>专项业务费年初预算专项清算</w:t>
      </w:r>
      <w:r>
        <w:rPr>
          <w:rFonts w:hint="eastAsia" w:ascii="仿宋" w:hAnsi="仿宋" w:eastAsia="仿宋"/>
          <w:color w:val="auto"/>
          <w:w w:val="90"/>
          <w:sz w:val="32"/>
          <w:szCs w:val="32"/>
          <w:highlight w:val="none"/>
          <w:lang w:val="en-US" w:eastAsia="zh-CN"/>
        </w:rPr>
        <w:t>933.83万元</w:t>
      </w:r>
      <w:r>
        <w:rPr>
          <w:rFonts w:hint="eastAsia" w:ascii="仿宋" w:hAnsi="仿宋" w:eastAsia="仿宋"/>
          <w:color w:val="000000"/>
          <w:w w:val="90"/>
          <w:sz w:val="32"/>
          <w:szCs w:val="32"/>
          <w:lang w:eastAsia="zh-CN"/>
        </w:rPr>
        <w:t>。</w:t>
      </w:r>
    </w:p>
    <w:p>
      <w:pPr>
        <w:pageBreakBefore w:val="0"/>
        <w:kinsoku/>
        <w:wordWrap/>
        <w:overflowPunct/>
        <w:topLinePunct w:val="0"/>
        <w:autoSpaceDE w:val="0"/>
        <w:autoSpaceDN w:val="0"/>
        <w:bidi w:val="0"/>
        <w:adjustRightInd w:val="0"/>
        <w:spacing w:line="576" w:lineRule="exact"/>
        <w:ind w:firstLine="578" w:firstLineChars="200"/>
        <w:jc w:val="left"/>
        <w:outlineLvl w:val="2"/>
        <w:rPr>
          <w:rFonts w:ascii="仿宋" w:hAnsi="仿宋" w:eastAsia="仿宋"/>
          <w:b/>
          <w:color w:val="auto"/>
          <w:w w:val="90"/>
          <w:sz w:val="32"/>
          <w:szCs w:val="32"/>
          <w:highlight w:val="none"/>
        </w:rPr>
      </w:pPr>
      <w:bookmarkStart w:id="53" w:name="_Toc15377223"/>
      <w:r>
        <w:rPr>
          <w:rFonts w:hint="eastAsia" w:ascii="仿宋" w:hAnsi="仿宋" w:eastAsia="仿宋"/>
          <w:b/>
          <w:color w:val="auto"/>
          <w:w w:val="90"/>
          <w:sz w:val="32"/>
          <w:szCs w:val="32"/>
          <w:highlight w:val="none"/>
        </w:rPr>
        <w:t>（二）政府采购支出情况</w:t>
      </w:r>
      <w:bookmarkEnd w:id="53"/>
    </w:p>
    <w:p>
      <w:pPr>
        <w:pageBreakBefore w:val="0"/>
        <w:kinsoku/>
        <w:wordWrap/>
        <w:overflowPunct/>
        <w:topLinePunct w:val="0"/>
        <w:bidi w:val="0"/>
        <w:spacing w:line="576" w:lineRule="exact"/>
        <w:ind w:firstLine="576" w:firstLineChars="200"/>
        <w:rPr>
          <w:rFonts w:hint="eastAsia" w:ascii="仿宋" w:hAnsi="仿宋" w:eastAsia="仿宋" w:cs="仿宋"/>
          <w:color w:val="auto"/>
          <w:w w:val="90"/>
          <w:sz w:val="32"/>
          <w:szCs w:val="32"/>
          <w:highlight w:val="none"/>
        </w:rPr>
      </w:pPr>
      <w:r>
        <w:rPr>
          <w:rFonts w:hint="eastAsia" w:ascii="仿宋" w:hAnsi="仿宋" w:eastAsia="仿宋" w:cs="仿宋"/>
          <w:color w:val="auto"/>
          <w:w w:val="90"/>
          <w:sz w:val="32"/>
          <w:szCs w:val="32"/>
          <w:highlight w:val="none"/>
        </w:rPr>
        <w:t>20</w:t>
      </w:r>
      <w:r>
        <w:rPr>
          <w:rFonts w:hint="eastAsia" w:ascii="仿宋" w:hAnsi="仿宋" w:eastAsia="仿宋" w:cs="仿宋"/>
          <w:color w:val="auto"/>
          <w:w w:val="90"/>
          <w:sz w:val="32"/>
          <w:szCs w:val="32"/>
          <w:highlight w:val="none"/>
          <w:lang w:val="en-US" w:eastAsia="zh-CN"/>
        </w:rPr>
        <w:t>21</w:t>
      </w:r>
      <w:r>
        <w:rPr>
          <w:rFonts w:hint="eastAsia" w:ascii="仿宋" w:hAnsi="仿宋" w:eastAsia="仿宋" w:cs="仿宋"/>
          <w:color w:val="auto"/>
          <w:w w:val="90"/>
          <w:sz w:val="32"/>
          <w:szCs w:val="32"/>
          <w:highlight w:val="none"/>
        </w:rPr>
        <w:t>年，</w:t>
      </w:r>
      <w:r>
        <w:rPr>
          <w:rFonts w:hint="eastAsia" w:ascii="仿宋" w:hAnsi="仿宋" w:eastAsia="仿宋" w:cs="仿宋"/>
          <w:color w:val="000000"/>
          <w:w w:val="90"/>
          <w:sz w:val="32"/>
          <w:szCs w:val="32"/>
        </w:rPr>
        <w:t>广元市利州区机关事务服务中心</w:t>
      </w:r>
      <w:r>
        <w:rPr>
          <w:rFonts w:hint="eastAsia" w:ascii="仿宋" w:hAnsi="仿宋" w:eastAsia="仿宋" w:cs="仿宋"/>
          <w:color w:val="auto"/>
          <w:w w:val="90"/>
          <w:sz w:val="32"/>
          <w:szCs w:val="32"/>
          <w:highlight w:val="none"/>
        </w:rPr>
        <w:t>政府采购支出总额</w:t>
      </w:r>
      <w:r>
        <w:rPr>
          <w:rFonts w:hint="eastAsia" w:ascii="仿宋" w:hAnsi="仿宋" w:eastAsia="仿宋" w:cs="仿宋"/>
          <w:color w:val="auto"/>
          <w:w w:val="90"/>
          <w:sz w:val="32"/>
          <w:szCs w:val="32"/>
          <w:highlight w:val="none"/>
          <w:lang w:val="en-US" w:eastAsia="zh-CN"/>
        </w:rPr>
        <w:t>579.01</w:t>
      </w:r>
      <w:r>
        <w:rPr>
          <w:rFonts w:hint="eastAsia" w:ascii="仿宋" w:hAnsi="仿宋" w:eastAsia="仿宋" w:cs="仿宋"/>
          <w:color w:val="auto"/>
          <w:w w:val="90"/>
          <w:sz w:val="32"/>
          <w:szCs w:val="32"/>
          <w:highlight w:val="none"/>
        </w:rPr>
        <w:t>万元</w:t>
      </w:r>
      <w:r>
        <w:rPr>
          <w:rFonts w:hint="eastAsia" w:ascii="仿宋" w:hAnsi="仿宋" w:eastAsia="仿宋" w:cs="仿宋"/>
          <w:color w:val="auto"/>
          <w:w w:val="90"/>
          <w:sz w:val="32"/>
          <w:szCs w:val="32"/>
          <w:highlight w:val="none"/>
          <w:lang w:eastAsia="zh-CN"/>
        </w:rPr>
        <w:t>。</w:t>
      </w:r>
      <w:r>
        <w:rPr>
          <w:rFonts w:hint="eastAsia" w:ascii="仿宋" w:hAnsi="仿宋" w:eastAsia="仿宋" w:cs="仿宋"/>
          <w:color w:val="auto"/>
          <w:w w:val="90"/>
          <w:sz w:val="32"/>
          <w:szCs w:val="32"/>
          <w:highlight w:val="none"/>
        </w:rPr>
        <w:t>其中：政府采购货物支出</w:t>
      </w:r>
      <w:r>
        <w:rPr>
          <w:rFonts w:hint="eastAsia" w:ascii="仿宋" w:hAnsi="仿宋" w:eastAsia="仿宋" w:cs="仿宋"/>
          <w:color w:val="auto"/>
          <w:w w:val="90"/>
          <w:sz w:val="32"/>
          <w:szCs w:val="32"/>
          <w:highlight w:val="none"/>
          <w:lang w:val="en-US" w:eastAsia="zh-CN"/>
        </w:rPr>
        <w:t>217.33</w:t>
      </w:r>
      <w:r>
        <w:rPr>
          <w:rFonts w:hint="eastAsia" w:ascii="仿宋" w:hAnsi="仿宋" w:eastAsia="仿宋" w:cs="仿宋"/>
          <w:color w:val="auto"/>
          <w:w w:val="90"/>
          <w:sz w:val="32"/>
          <w:szCs w:val="32"/>
          <w:highlight w:val="none"/>
        </w:rPr>
        <w:t>万元、政府采购工程支出</w:t>
      </w:r>
      <w:r>
        <w:rPr>
          <w:rFonts w:hint="eastAsia" w:ascii="仿宋" w:hAnsi="仿宋" w:eastAsia="仿宋" w:cs="仿宋"/>
          <w:color w:val="auto"/>
          <w:w w:val="90"/>
          <w:sz w:val="32"/>
          <w:szCs w:val="32"/>
          <w:highlight w:val="none"/>
          <w:lang w:val="en-US" w:eastAsia="zh-CN"/>
        </w:rPr>
        <w:t>361.68</w:t>
      </w:r>
      <w:r>
        <w:rPr>
          <w:rFonts w:hint="eastAsia" w:ascii="仿宋" w:hAnsi="仿宋" w:eastAsia="仿宋" w:cs="仿宋"/>
          <w:color w:val="auto"/>
          <w:w w:val="90"/>
          <w:sz w:val="32"/>
          <w:szCs w:val="32"/>
          <w:highlight w:val="none"/>
        </w:rPr>
        <w:t>万元、政府采购服务支出</w:t>
      </w:r>
      <w:r>
        <w:rPr>
          <w:rFonts w:hint="eastAsia" w:ascii="仿宋" w:hAnsi="仿宋" w:eastAsia="仿宋" w:cs="仿宋"/>
          <w:color w:val="auto"/>
          <w:w w:val="90"/>
          <w:sz w:val="32"/>
          <w:szCs w:val="32"/>
          <w:highlight w:val="none"/>
          <w:lang w:val="en-US" w:eastAsia="zh-CN"/>
        </w:rPr>
        <w:t>0</w:t>
      </w:r>
      <w:r>
        <w:rPr>
          <w:rFonts w:hint="eastAsia" w:ascii="仿宋" w:hAnsi="仿宋" w:eastAsia="仿宋" w:cs="仿宋"/>
          <w:color w:val="auto"/>
          <w:w w:val="90"/>
          <w:sz w:val="32"/>
          <w:szCs w:val="32"/>
          <w:highlight w:val="none"/>
        </w:rPr>
        <w:t>万元。主要用于</w:t>
      </w:r>
      <w:r>
        <w:rPr>
          <w:rFonts w:hint="eastAsia" w:ascii="仿宋" w:hAnsi="仿宋" w:eastAsia="仿宋" w:cs="仿宋"/>
          <w:color w:val="000000"/>
          <w:w w:val="90"/>
          <w:sz w:val="32"/>
          <w:szCs w:val="32"/>
        </w:rPr>
        <w:t>主要用于购买、打印机、电脑、办公用房</w:t>
      </w:r>
      <w:r>
        <w:rPr>
          <w:rFonts w:hint="eastAsia" w:ascii="仿宋" w:hAnsi="仿宋" w:eastAsia="仿宋" w:cs="仿宋"/>
          <w:color w:val="000000"/>
          <w:w w:val="90"/>
          <w:sz w:val="32"/>
          <w:szCs w:val="32"/>
          <w:lang w:eastAsia="zh-CN"/>
        </w:rPr>
        <w:t>租赁</w:t>
      </w:r>
      <w:r>
        <w:rPr>
          <w:rFonts w:hint="eastAsia" w:ascii="仿宋" w:hAnsi="仿宋" w:eastAsia="仿宋" w:cs="仿宋"/>
          <w:color w:val="auto"/>
          <w:w w:val="90"/>
          <w:sz w:val="32"/>
          <w:szCs w:val="32"/>
          <w:highlight w:val="none"/>
        </w:rPr>
        <w:t>。授予中小企业合同金额</w:t>
      </w:r>
      <w:r>
        <w:rPr>
          <w:rFonts w:hint="eastAsia" w:ascii="仿宋" w:hAnsi="仿宋" w:eastAsia="仿宋" w:cs="仿宋"/>
          <w:color w:val="auto"/>
          <w:w w:val="90"/>
          <w:sz w:val="32"/>
          <w:szCs w:val="32"/>
          <w:highlight w:val="none"/>
          <w:lang w:val="en-US" w:eastAsia="zh-CN"/>
        </w:rPr>
        <w:t>579.01</w:t>
      </w:r>
      <w:r>
        <w:rPr>
          <w:rFonts w:hint="eastAsia" w:ascii="仿宋" w:hAnsi="仿宋" w:eastAsia="仿宋" w:cs="仿宋"/>
          <w:color w:val="auto"/>
          <w:w w:val="90"/>
          <w:sz w:val="32"/>
          <w:szCs w:val="32"/>
          <w:highlight w:val="none"/>
        </w:rPr>
        <w:t>万元，占政府采购支出总额的</w:t>
      </w:r>
      <w:r>
        <w:rPr>
          <w:rFonts w:hint="eastAsia" w:ascii="仿宋" w:hAnsi="仿宋" w:eastAsia="仿宋" w:cs="仿宋"/>
          <w:color w:val="auto"/>
          <w:w w:val="90"/>
          <w:sz w:val="32"/>
          <w:szCs w:val="32"/>
          <w:highlight w:val="none"/>
          <w:lang w:val="en-US" w:eastAsia="zh-CN"/>
        </w:rPr>
        <w:t>100</w:t>
      </w:r>
      <w:r>
        <w:rPr>
          <w:rFonts w:hint="eastAsia" w:ascii="仿宋" w:hAnsi="仿宋" w:eastAsia="仿宋" w:cs="仿宋"/>
          <w:color w:val="auto"/>
          <w:w w:val="90"/>
          <w:sz w:val="32"/>
          <w:szCs w:val="32"/>
          <w:highlight w:val="none"/>
        </w:rPr>
        <w:t>%</w:t>
      </w:r>
      <w:r>
        <w:rPr>
          <w:rFonts w:hint="eastAsia" w:ascii="仿宋" w:hAnsi="仿宋" w:eastAsia="仿宋" w:cs="仿宋"/>
          <w:color w:val="auto"/>
          <w:w w:val="90"/>
          <w:sz w:val="32"/>
          <w:szCs w:val="32"/>
          <w:highlight w:val="none"/>
          <w:lang w:eastAsia="zh-CN"/>
        </w:rPr>
        <w:t>。</w:t>
      </w:r>
      <w:r>
        <w:rPr>
          <w:rFonts w:hint="eastAsia" w:ascii="仿宋" w:hAnsi="仿宋" w:eastAsia="仿宋" w:cs="仿宋"/>
          <w:color w:val="auto"/>
          <w:w w:val="90"/>
          <w:sz w:val="32"/>
          <w:szCs w:val="32"/>
          <w:highlight w:val="none"/>
        </w:rPr>
        <w:t>其中：授予小微企业合同金额</w:t>
      </w:r>
      <w:r>
        <w:rPr>
          <w:rFonts w:hint="eastAsia" w:ascii="仿宋" w:hAnsi="仿宋" w:eastAsia="仿宋" w:cs="仿宋"/>
          <w:color w:val="auto"/>
          <w:w w:val="90"/>
          <w:sz w:val="32"/>
          <w:szCs w:val="32"/>
          <w:highlight w:val="none"/>
          <w:lang w:val="en-US" w:eastAsia="zh-CN"/>
        </w:rPr>
        <w:t>579.01</w:t>
      </w:r>
      <w:r>
        <w:rPr>
          <w:rFonts w:hint="eastAsia" w:ascii="仿宋" w:hAnsi="仿宋" w:eastAsia="仿宋" w:cs="仿宋"/>
          <w:color w:val="auto"/>
          <w:w w:val="90"/>
          <w:sz w:val="32"/>
          <w:szCs w:val="32"/>
          <w:highlight w:val="none"/>
        </w:rPr>
        <w:t>万元，占政府采购支出总额的</w:t>
      </w:r>
      <w:r>
        <w:rPr>
          <w:rFonts w:hint="eastAsia" w:ascii="仿宋" w:hAnsi="仿宋" w:eastAsia="仿宋" w:cs="仿宋"/>
          <w:color w:val="auto"/>
          <w:w w:val="90"/>
          <w:sz w:val="32"/>
          <w:szCs w:val="32"/>
          <w:highlight w:val="none"/>
          <w:lang w:val="en-US" w:eastAsia="zh-CN"/>
        </w:rPr>
        <w:t>100</w:t>
      </w:r>
      <w:r>
        <w:rPr>
          <w:rFonts w:hint="eastAsia" w:ascii="仿宋" w:hAnsi="仿宋" w:eastAsia="仿宋" w:cs="仿宋"/>
          <w:color w:val="auto"/>
          <w:w w:val="90"/>
          <w:sz w:val="32"/>
          <w:szCs w:val="32"/>
          <w:highlight w:val="none"/>
        </w:rPr>
        <w:t>%。</w:t>
      </w:r>
    </w:p>
    <w:p>
      <w:pPr>
        <w:pageBreakBefore w:val="0"/>
        <w:kinsoku/>
        <w:wordWrap/>
        <w:overflowPunct/>
        <w:topLinePunct w:val="0"/>
        <w:autoSpaceDE w:val="0"/>
        <w:autoSpaceDN w:val="0"/>
        <w:bidi w:val="0"/>
        <w:adjustRightInd w:val="0"/>
        <w:spacing w:line="576" w:lineRule="exact"/>
        <w:ind w:firstLine="578" w:firstLineChars="200"/>
        <w:jc w:val="left"/>
        <w:outlineLvl w:val="2"/>
        <w:rPr>
          <w:rFonts w:ascii="仿宋" w:hAnsi="仿宋" w:eastAsia="仿宋"/>
          <w:b/>
          <w:color w:val="auto"/>
          <w:w w:val="90"/>
          <w:sz w:val="32"/>
          <w:szCs w:val="32"/>
          <w:highlight w:val="none"/>
        </w:rPr>
      </w:pPr>
      <w:bookmarkStart w:id="54" w:name="_Toc15377224"/>
      <w:r>
        <w:rPr>
          <w:rFonts w:hint="eastAsia" w:ascii="仿宋" w:hAnsi="仿宋" w:eastAsia="仿宋"/>
          <w:b/>
          <w:color w:val="auto"/>
          <w:w w:val="90"/>
          <w:sz w:val="32"/>
          <w:szCs w:val="32"/>
          <w:highlight w:val="none"/>
        </w:rPr>
        <w:t>（三）国有资产占有使用情况</w:t>
      </w:r>
      <w:bookmarkEnd w:id="54"/>
    </w:p>
    <w:p>
      <w:pPr>
        <w:pageBreakBefore w:val="0"/>
        <w:numPr>
          <w:ilvl w:val="0"/>
          <w:numId w:val="0"/>
        </w:numPr>
        <w:kinsoku/>
        <w:wordWrap/>
        <w:overflowPunct/>
        <w:topLinePunct w:val="0"/>
        <w:bidi w:val="0"/>
        <w:spacing w:line="576" w:lineRule="exact"/>
        <w:ind w:firstLine="576" w:firstLineChars="200"/>
        <w:rPr>
          <w:rFonts w:hint="eastAsia" w:ascii="仿宋_GB2312" w:eastAsia="仿宋_GB2312"/>
          <w:color w:val="auto"/>
          <w:w w:val="90"/>
          <w:sz w:val="32"/>
          <w:szCs w:val="32"/>
          <w:highlight w:val="none"/>
        </w:rPr>
      </w:pPr>
      <w:r>
        <w:rPr>
          <w:rFonts w:hint="eastAsia" w:ascii="仿宋_GB2312" w:eastAsia="仿宋_GB2312"/>
          <w:color w:val="auto"/>
          <w:w w:val="90"/>
          <w:sz w:val="32"/>
          <w:szCs w:val="32"/>
          <w:highlight w:val="none"/>
        </w:rPr>
        <w:t>截至</w:t>
      </w:r>
      <w:r>
        <w:rPr>
          <w:rFonts w:ascii="仿宋_GB2312" w:eastAsia="仿宋_GB2312"/>
          <w:color w:val="auto"/>
          <w:w w:val="90"/>
          <w:sz w:val="32"/>
          <w:szCs w:val="32"/>
          <w:highlight w:val="none"/>
        </w:rPr>
        <w:t>20</w:t>
      </w:r>
      <w:r>
        <w:rPr>
          <w:rFonts w:hint="eastAsia" w:ascii="仿宋_GB2312" w:eastAsia="仿宋_GB2312"/>
          <w:color w:val="auto"/>
          <w:w w:val="90"/>
          <w:sz w:val="32"/>
          <w:szCs w:val="32"/>
          <w:highlight w:val="none"/>
          <w:lang w:val="en-US" w:eastAsia="zh-CN"/>
        </w:rPr>
        <w:t>21</w:t>
      </w:r>
      <w:r>
        <w:rPr>
          <w:rFonts w:hint="eastAsia" w:ascii="仿宋_GB2312" w:eastAsia="仿宋_GB2312"/>
          <w:color w:val="auto"/>
          <w:w w:val="90"/>
          <w:sz w:val="32"/>
          <w:szCs w:val="32"/>
          <w:highlight w:val="none"/>
        </w:rPr>
        <w:t>年</w:t>
      </w:r>
      <w:r>
        <w:rPr>
          <w:rFonts w:ascii="仿宋_GB2312" w:eastAsia="仿宋_GB2312"/>
          <w:color w:val="auto"/>
          <w:w w:val="90"/>
          <w:sz w:val="32"/>
          <w:szCs w:val="32"/>
          <w:highlight w:val="none"/>
        </w:rPr>
        <w:t>12</w:t>
      </w:r>
      <w:r>
        <w:rPr>
          <w:rFonts w:hint="eastAsia" w:ascii="仿宋_GB2312" w:eastAsia="仿宋_GB2312"/>
          <w:color w:val="auto"/>
          <w:w w:val="90"/>
          <w:sz w:val="32"/>
          <w:szCs w:val="32"/>
          <w:highlight w:val="none"/>
        </w:rPr>
        <w:t>月</w:t>
      </w:r>
      <w:r>
        <w:rPr>
          <w:rFonts w:ascii="仿宋_GB2312" w:eastAsia="仿宋_GB2312"/>
          <w:color w:val="auto"/>
          <w:w w:val="90"/>
          <w:sz w:val="32"/>
          <w:szCs w:val="32"/>
          <w:highlight w:val="none"/>
        </w:rPr>
        <w:t>31</w:t>
      </w:r>
      <w:r>
        <w:rPr>
          <w:rFonts w:hint="eastAsia" w:ascii="仿宋_GB2312" w:eastAsia="仿宋_GB2312"/>
          <w:color w:val="auto"/>
          <w:w w:val="90"/>
          <w:sz w:val="32"/>
          <w:szCs w:val="32"/>
          <w:highlight w:val="none"/>
        </w:rPr>
        <w:t>日，</w:t>
      </w:r>
      <w:r>
        <w:rPr>
          <w:rFonts w:hint="eastAsia" w:ascii="仿宋" w:hAnsi="仿宋" w:eastAsia="仿宋"/>
          <w:color w:val="000000"/>
          <w:w w:val="90"/>
          <w:sz w:val="32"/>
          <w:szCs w:val="32"/>
        </w:rPr>
        <w:t>广元市利州区机关事务服务中心</w:t>
      </w:r>
      <w:r>
        <w:rPr>
          <w:rFonts w:hint="eastAsia" w:ascii="仿宋_GB2312" w:eastAsia="仿宋_GB2312"/>
          <w:color w:val="auto"/>
          <w:w w:val="90"/>
          <w:sz w:val="32"/>
          <w:szCs w:val="32"/>
          <w:highlight w:val="none"/>
        </w:rPr>
        <w:t>共有车辆</w:t>
      </w:r>
      <w:r>
        <w:rPr>
          <w:rFonts w:hint="eastAsia" w:ascii="仿宋_GB2312" w:eastAsia="仿宋_GB2312"/>
          <w:color w:val="auto"/>
          <w:w w:val="90"/>
          <w:sz w:val="32"/>
          <w:szCs w:val="32"/>
          <w:highlight w:val="none"/>
          <w:lang w:val="en-US" w:eastAsia="zh-CN"/>
        </w:rPr>
        <w:t>69</w:t>
      </w:r>
      <w:r>
        <w:rPr>
          <w:rFonts w:hint="eastAsia" w:ascii="仿宋_GB2312" w:eastAsia="仿宋_GB2312"/>
          <w:color w:val="auto"/>
          <w:w w:val="90"/>
          <w:sz w:val="32"/>
          <w:szCs w:val="32"/>
          <w:highlight w:val="none"/>
        </w:rPr>
        <w:t>辆，其中：主要领导干部用车</w:t>
      </w:r>
      <w:r>
        <w:rPr>
          <w:rFonts w:hint="eastAsia" w:ascii="仿宋_GB2312" w:eastAsia="仿宋_GB2312"/>
          <w:color w:val="auto"/>
          <w:w w:val="90"/>
          <w:sz w:val="32"/>
          <w:szCs w:val="32"/>
          <w:highlight w:val="none"/>
          <w:lang w:val="en-US" w:eastAsia="zh-CN"/>
        </w:rPr>
        <w:t>0</w:t>
      </w:r>
      <w:r>
        <w:rPr>
          <w:rFonts w:hint="eastAsia" w:ascii="仿宋_GB2312" w:eastAsia="仿宋_GB2312"/>
          <w:color w:val="auto"/>
          <w:w w:val="90"/>
          <w:sz w:val="32"/>
          <w:szCs w:val="32"/>
          <w:highlight w:val="none"/>
        </w:rPr>
        <w:t>辆、机要通信用车</w:t>
      </w:r>
      <w:r>
        <w:rPr>
          <w:rFonts w:hint="eastAsia" w:ascii="仿宋_GB2312" w:eastAsia="仿宋_GB2312"/>
          <w:color w:val="auto"/>
          <w:w w:val="90"/>
          <w:sz w:val="32"/>
          <w:szCs w:val="32"/>
          <w:highlight w:val="none"/>
          <w:lang w:val="en-US" w:eastAsia="zh-CN"/>
        </w:rPr>
        <w:t>0</w:t>
      </w:r>
      <w:r>
        <w:rPr>
          <w:rFonts w:hint="eastAsia" w:ascii="仿宋_GB2312" w:eastAsia="仿宋_GB2312"/>
          <w:color w:val="auto"/>
          <w:w w:val="90"/>
          <w:sz w:val="32"/>
          <w:szCs w:val="32"/>
          <w:highlight w:val="none"/>
        </w:rPr>
        <w:t>辆、应急保障用车</w:t>
      </w:r>
      <w:r>
        <w:rPr>
          <w:rFonts w:hint="eastAsia" w:ascii="仿宋_GB2312" w:eastAsia="仿宋_GB2312"/>
          <w:color w:val="auto"/>
          <w:w w:val="90"/>
          <w:sz w:val="32"/>
          <w:szCs w:val="32"/>
          <w:highlight w:val="none"/>
          <w:lang w:val="en-US" w:eastAsia="zh-CN"/>
        </w:rPr>
        <w:t>69</w:t>
      </w:r>
      <w:r>
        <w:rPr>
          <w:rFonts w:hint="eastAsia" w:ascii="仿宋_GB2312" w:eastAsia="仿宋_GB2312"/>
          <w:color w:val="auto"/>
          <w:w w:val="90"/>
          <w:sz w:val="32"/>
          <w:szCs w:val="32"/>
          <w:highlight w:val="none"/>
        </w:rPr>
        <w:t>辆、其他用车</w:t>
      </w:r>
      <w:r>
        <w:rPr>
          <w:rFonts w:hint="eastAsia" w:ascii="仿宋_GB2312" w:eastAsia="仿宋_GB2312"/>
          <w:color w:val="auto"/>
          <w:w w:val="90"/>
          <w:sz w:val="32"/>
          <w:szCs w:val="32"/>
          <w:highlight w:val="none"/>
          <w:lang w:val="en-US" w:eastAsia="zh-CN"/>
        </w:rPr>
        <w:t>0</w:t>
      </w:r>
      <w:r>
        <w:rPr>
          <w:rFonts w:hint="eastAsia" w:ascii="仿宋_GB2312" w:eastAsia="仿宋_GB2312"/>
          <w:color w:val="auto"/>
          <w:w w:val="90"/>
          <w:sz w:val="32"/>
          <w:szCs w:val="32"/>
          <w:highlight w:val="none"/>
        </w:rPr>
        <w:t>辆。</w:t>
      </w:r>
      <w:r>
        <w:rPr>
          <w:rFonts w:hint="eastAsia" w:ascii="仿宋" w:hAnsi="仿宋" w:eastAsia="仿宋"/>
          <w:color w:val="000000"/>
          <w:w w:val="90"/>
          <w:sz w:val="32"/>
          <w:szCs w:val="32"/>
        </w:rPr>
        <w:t>用于</w:t>
      </w:r>
      <w:r>
        <w:rPr>
          <w:rFonts w:hint="eastAsia" w:ascii="仿宋_GB2312" w:eastAsia="仿宋_GB2312"/>
          <w:color w:val="auto"/>
          <w:w w:val="90"/>
          <w:sz w:val="32"/>
          <w:szCs w:val="32"/>
          <w:highlight w:val="none"/>
        </w:rPr>
        <w:t>全区重大活动保障。</w:t>
      </w:r>
    </w:p>
    <w:p>
      <w:pPr>
        <w:pStyle w:val="2"/>
        <w:rPr>
          <w:rFonts w:hint="eastAsia"/>
        </w:rPr>
      </w:pPr>
    </w:p>
    <w:p>
      <w:pPr>
        <w:pStyle w:val="2"/>
        <w:rPr>
          <w:rFonts w:hint="eastAsia"/>
        </w:rPr>
      </w:pPr>
    </w:p>
    <w:p>
      <w:pPr>
        <w:pStyle w:val="2"/>
      </w:pPr>
    </w:p>
    <w:p>
      <w:pPr>
        <w:pageBreakBefore w:val="0"/>
        <w:numPr>
          <w:ilvl w:val="0"/>
          <w:numId w:val="3"/>
        </w:numPr>
        <w:kinsoku/>
        <w:wordWrap/>
        <w:overflowPunct/>
        <w:topLinePunct w:val="0"/>
        <w:bidi w:val="0"/>
        <w:spacing w:line="576" w:lineRule="exact"/>
        <w:ind w:firstLine="480" w:firstLineChars="150"/>
        <w:jc w:val="center"/>
        <w:outlineLvl w:val="0"/>
        <w:rPr>
          <w:rStyle w:val="24"/>
          <w:rFonts w:hint="eastAsia" w:ascii="仿宋" w:hAnsi="仿宋" w:eastAsia="仿宋" w:cs="仿宋"/>
          <w:b w:val="0"/>
          <w:color w:val="auto"/>
          <w:sz w:val="32"/>
          <w:szCs w:val="32"/>
          <w:highlight w:val="none"/>
        </w:rPr>
      </w:pPr>
      <w:bookmarkStart w:id="55" w:name="_Toc15377225"/>
      <w:bookmarkStart w:id="56" w:name="_Toc15396613"/>
      <w:r>
        <w:rPr>
          <w:rFonts w:hint="eastAsia" w:ascii="仿宋" w:hAnsi="仿宋" w:eastAsia="仿宋" w:cs="仿宋"/>
          <w:color w:val="auto"/>
          <w:sz w:val="32"/>
          <w:szCs w:val="32"/>
          <w:highlight w:val="none"/>
        </w:rPr>
        <w:t>名</w:t>
      </w:r>
      <w:r>
        <w:rPr>
          <w:rStyle w:val="24"/>
          <w:rFonts w:hint="eastAsia" w:ascii="仿宋" w:hAnsi="仿宋" w:eastAsia="仿宋" w:cs="仿宋"/>
          <w:b w:val="0"/>
          <w:color w:val="auto"/>
          <w:sz w:val="32"/>
          <w:szCs w:val="32"/>
          <w:highlight w:val="none"/>
        </w:rPr>
        <w:t>词解释</w:t>
      </w:r>
      <w:bookmarkEnd w:id="55"/>
      <w:bookmarkEnd w:id="56"/>
    </w:p>
    <w:p>
      <w:pPr>
        <w:pageBreakBefore w:val="0"/>
        <w:kinsoku/>
        <w:wordWrap/>
        <w:overflowPunct/>
        <w:topLinePunct w:val="0"/>
        <w:bidi w:val="0"/>
        <w:spacing w:line="576" w:lineRule="exact"/>
        <w:jc w:val="left"/>
        <w:rPr>
          <w:rFonts w:ascii="宋体"/>
          <w:b/>
          <w:color w:val="auto"/>
          <w:sz w:val="44"/>
          <w:szCs w:val="44"/>
          <w:highlight w:val="none"/>
        </w:rPr>
      </w:pPr>
    </w:p>
    <w:p>
      <w:pPr>
        <w:pStyle w:val="22"/>
        <w:pageBreakBefore w:val="0"/>
        <w:kinsoku/>
        <w:wordWrap/>
        <w:overflowPunct/>
        <w:topLinePunct w:val="0"/>
        <w:autoSpaceDE/>
        <w:autoSpaceDN/>
        <w:bidi w:val="0"/>
        <w:spacing w:line="576" w:lineRule="exact"/>
        <w:ind w:firstLine="642" w:firstLineChars="200"/>
        <w:rPr>
          <w:rFonts w:hint="eastAsia" w:hAnsi="仿宋"/>
          <w:sz w:val="32"/>
          <w:szCs w:val="32"/>
        </w:rPr>
      </w:pPr>
      <w:r>
        <w:rPr>
          <w:rFonts w:hint="eastAsia" w:hAnsi="仿宋"/>
          <w:b/>
          <w:bCs/>
          <w:sz w:val="32"/>
          <w:szCs w:val="32"/>
        </w:rPr>
        <w:t>1.财政拨款收入：</w:t>
      </w:r>
      <w:r>
        <w:rPr>
          <w:rFonts w:hint="eastAsia" w:hAnsi="仿宋"/>
          <w:sz w:val="32"/>
          <w:szCs w:val="32"/>
        </w:rPr>
        <w:t>指单位从同级财政部门取得的财政预算资金。</w:t>
      </w:r>
    </w:p>
    <w:p>
      <w:pPr>
        <w:pStyle w:val="22"/>
        <w:pageBreakBefore w:val="0"/>
        <w:kinsoku/>
        <w:wordWrap/>
        <w:overflowPunct/>
        <w:topLinePunct w:val="0"/>
        <w:autoSpaceDE/>
        <w:autoSpaceDN/>
        <w:bidi w:val="0"/>
        <w:spacing w:line="576" w:lineRule="exact"/>
        <w:ind w:firstLine="642" w:firstLineChars="200"/>
        <w:rPr>
          <w:rFonts w:hint="eastAsia" w:hAnsi="仿宋"/>
          <w:sz w:val="32"/>
          <w:szCs w:val="32"/>
        </w:rPr>
      </w:pPr>
      <w:r>
        <w:rPr>
          <w:rFonts w:hint="eastAsia" w:hAnsi="仿宋"/>
          <w:b/>
          <w:bCs/>
          <w:sz w:val="32"/>
          <w:szCs w:val="32"/>
        </w:rPr>
        <w:t>2.事业收入：</w:t>
      </w:r>
      <w:r>
        <w:rPr>
          <w:rFonts w:hint="eastAsia" w:hAnsi="仿宋"/>
          <w:sz w:val="32"/>
          <w:szCs w:val="32"/>
        </w:rPr>
        <w:t>指事业单位开展专业业务活动及辅助活动取得的收入。</w:t>
      </w:r>
    </w:p>
    <w:p>
      <w:pPr>
        <w:pStyle w:val="22"/>
        <w:pageBreakBefore w:val="0"/>
        <w:kinsoku/>
        <w:wordWrap/>
        <w:overflowPunct/>
        <w:topLinePunct w:val="0"/>
        <w:autoSpaceDE/>
        <w:autoSpaceDN/>
        <w:bidi w:val="0"/>
        <w:spacing w:line="576" w:lineRule="exact"/>
        <w:ind w:firstLine="642" w:firstLineChars="200"/>
        <w:rPr>
          <w:rFonts w:hint="eastAsia" w:hAnsi="仿宋"/>
          <w:sz w:val="32"/>
          <w:szCs w:val="32"/>
        </w:rPr>
      </w:pPr>
      <w:r>
        <w:rPr>
          <w:rFonts w:hint="eastAsia" w:hAnsi="仿宋"/>
          <w:b/>
          <w:bCs/>
          <w:sz w:val="32"/>
          <w:szCs w:val="32"/>
        </w:rPr>
        <w:t>3.经营收入：</w:t>
      </w:r>
      <w:r>
        <w:rPr>
          <w:rFonts w:hint="eastAsia" w:hAnsi="仿宋"/>
          <w:sz w:val="32"/>
          <w:szCs w:val="32"/>
        </w:rPr>
        <w:t>指事业单位在专业业务活动及其辅助活动之外开展非独立核算经营活动取得的收入。</w:t>
      </w:r>
    </w:p>
    <w:p>
      <w:pPr>
        <w:pStyle w:val="22"/>
        <w:pageBreakBefore w:val="0"/>
        <w:kinsoku/>
        <w:wordWrap/>
        <w:overflowPunct/>
        <w:topLinePunct w:val="0"/>
        <w:autoSpaceDE/>
        <w:autoSpaceDN/>
        <w:bidi w:val="0"/>
        <w:spacing w:line="576" w:lineRule="exact"/>
        <w:ind w:firstLine="642" w:firstLineChars="200"/>
        <w:rPr>
          <w:rFonts w:hint="eastAsia" w:hAnsi="仿宋"/>
          <w:sz w:val="32"/>
          <w:szCs w:val="32"/>
        </w:rPr>
      </w:pPr>
      <w:r>
        <w:rPr>
          <w:rFonts w:hint="eastAsia" w:hAnsi="仿宋"/>
          <w:b/>
          <w:bCs/>
          <w:sz w:val="32"/>
          <w:szCs w:val="32"/>
        </w:rPr>
        <w:t>4.其他收入：</w:t>
      </w:r>
      <w:r>
        <w:rPr>
          <w:rFonts w:hint="eastAsia" w:hAnsi="仿宋"/>
          <w:sz w:val="32"/>
          <w:szCs w:val="32"/>
        </w:rPr>
        <w:t xml:space="preserve">指单位取得的除上述收入以外的各项收入。 </w:t>
      </w:r>
    </w:p>
    <w:p>
      <w:pPr>
        <w:pStyle w:val="22"/>
        <w:pageBreakBefore w:val="0"/>
        <w:kinsoku/>
        <w:wordWrap/>
        <w:overflowPunct/>
        <w:topLinePunct w:val="0"/>
        <w:autoSpaceDE/>
        <w:autoSpaceDN/>
        <w:bidi w:val="0"/>
        <w:spacing w:line="576" w:lineRule="exact"/>
        <w:ind w:firstLine="642" w:firstLineChars="200"/>
        <w:rPr>
          <w:rFonts w:hint="eastAsia" w:hAnsi="仿宋"/>
          <w:sz w:val="32"/>
          <w:szCs w:val="32"/>
        </w:rPr>
      </w:pPr>
      <w:r>
        <w:rPr>
          <w:rFonts w:hint="eastAsia" w:hAnsi="仿宋"/>
          <w:b/>
          <w:bCs/>
          <w:sz w:val="32"/>
          <w:szCs w:val="32"/>
        </w:rPr>
        <w:t>5.用事业基金弥补收支差额：</w:t>
      </w:r>
      <w:r>
        <w:rPr>
          <w:rFonts w:hint="eastAsia" w:hAnsi="仿宋"/>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pageBreakBefore w:val="0"/>
        <w:kinsoku/>
        <w:wordWrap/>
        <w:overflowPunct/>
        <w:topLinePunct w:val="0"/>
        <w:autoSpaceDE/>
        <w:autoSpaceDN/>
        <w:bidi w:val="0"/>
        <w:spacing w:line="576" w:lineRule="exact"/>
        <w:ind w:firstLine="642" w:firstLineChars="200"/>
        <w:rPr>
          <w:rFonts w:hint="eastAsia" w:hAnsi="仿宋"/>
          <w:sz w:val="32"/>
          <w:szCs w:val="32"/>
        </w:rPr>
      </w:pPr>
      <w:r>
        <w:rPr>
          <w:rFonts w:hint="eastAsia" w:hAnsi="仿宋"/>
          <w:b/>
          <w:bCs/>
          <w:sz w:val="32"/>
          <w:szCs w:val="32"/>
        </w:rPr>
        <w:t>6.年初结转和结余：</w:t>
      </w:r>
      <w:r>
        <w:rPr>
          <w:rFonts w:hint="eastAsia" w:hAnsi="仿宋"/>
          <w:sz w:val="32"/>
          <w:szCs w:val="32"/>
        </w:rPr>
        <w:t xml:space="preserve">指以前年度尚未完成、结转到本年按有关规定继续使用的资金。 </w:t>
      </w:r>
    </w:p>
    <w:p>
      <w:pPr>
        <w:pStyle w:val="22"/>
        <w:pageBreakBefore w:val="0"/>
        <w:kinsoku/>
        <w:wordWrap/>
        <w:overflowPunct/>
        <w:topLinePunct w:val="0"/>
        <w:autoSpaceDE/>
        <w:autoSpaceDN/>
        <w:bidi w:val="0"/>
        <w:spacing w:line="576" w:lineRule="exact"/>
        <w:ind w:firstLine="642" w:firstLineChars="200"/>
        <w:rPr>
          <w:rFonts w:hint="eastAsia" w:hAnsi="仿宋"/>
          <w:sz w:val="32"/>
          <w:szCs w:val="32"/>
        </w:rPr>
      </w:pPr>
      <w:r>
        <w:rPr>
          <w:rFonts w:hint="eastAsia" w:hAnsi="仿宋"/>
          <w:b/>
          <w:bCs/>
          <w:sz w:val="32"/>
          <w:szCs w:val="32"/>
        </w:rPr>
        <w:t>7.结余分配：</w:t>
      </w:r>
      <w:r>
        <w:rPr>
          <w:rFonts w:hint="eastAsia" w:hAnsi="仿宋"/>
          <w:sz w:val="32"/>
          <w:szCs w:val="32"/>
        </w:rPr>
        <w:t>指事业单位按照事业单位会计制度的规定从非财政补助结余中分配的事业基金和职工福利基金等。</w:t>
      </w:r>
    </w:p>
    <w:p>
      <w:pPr>
        <w:pStyle w:val="22"/>
        <w:pageBreakBefore w:val="0"/>
        <w:kinsoku/>
        <w:wordWrap/>
        <w:overflowPunct/>
        <w:topLinePunct w:val="0"/>
        <w:autoSpaceDE/>
        <w:autoSpaceDN/>
        <w:bidi w:val="0"/>
        <w:spacing w:line="576" w:lineRule="exact"/>
        <w:ind w:firstLine="642" w:firstLineChars="200"/>
        <w:rPr>
          <w:rFonts w:hint="eastAsia" w:hAnsi="仿宋"/>
          <w:sz w:val="32"/>
          <w:szCs w:val="32"/>
        </w:rPr>
      </w:pPr>
      <w:r>
        <w:rPr>
          <w:rFonts w:hint="eastAsia" w:hAnsi="仿宋"/>
          <w:b/>
          <w:bCs/>
          <w:sz w:val="32"/>
          <w:szCs w:val="32"/>
        </w:rPr>
        <w:t>8、年末结转和结余：</w:t>
      </w:r>
      <w:r>
        <w:rPr>
          <w:rFonts w:hint="eastAsia" w:hAnsi="仿宋"/>
          <w:sz w:val="32"/>
          <w:szCs w:val="32"/>
        </w:rPr>
        <w:t>指单位按有关规定结转到下年或以后年度继续使用的资金。</w:t>
      </w:r>
    </w:p>
    <w:p>
      <w:pPr>
        <w:pageBreakBefore w:val="0"/>
        <w:kinsoku/>
        <w:wordWrap/>
        <w:overflowPunct/>
        <w:topLinePunct w:val="0"/>
        <w:bidi w:val="0"/>
        <w:spacing w:line="576" w:lineRule="exact"/>
        <w:ind w:firstLine="642" w:firstLineChars="200"/>
        <w:rPr>
          <w:rFonts w:hint="eastAsia" w:ascii="仿宋" w:hAnsi="仿宋" w:eastAsia="仿宋"/>
          <w:sz w:val="32"/>
          <w:szCs w:val="32"/>
        </w:rPr>
      </w:pPr>
      <w:r>
        <w:rPr>
          <w:rFonts w:hint="eastAsia" w:ascii="仿宋" w:hAnsi="仿宋" w:eastAsia="仿宋"/>
          <w:b/>
          <w:bCs/>
          <w:sz w:val="32"/>
          <w:szCs w:val="32"/>
        </w:rPr>
        <w:t>9、一般公共服务支出（201）政协事务（02）一般行政管理事务（02）：</w:t>
      </w:r>
      <w:r>
        <w:rPr>
          <w:rFonts w:hint="eastAsia" w:ascii="仿宋" w:hAnsi="仿宋" w:eastAsia="仿宋"/>
          <w:sz w:val="32"/>
          <w:szCs w:val="32"/>
        </w:rPr>
        <w:t>指行政单位（包括实行公务员管理的事业单位）未单独设置项级科目的其他项目支出。</w:t>
      </w:r>
    </w:p>
    <w:p>
      <w:pPr>
        <w:pageBreakBefore w:val="0"/>
        <w:kinsoku/>
        <w:wordWrap/>
        <w:overflowPunct/>
        <w:topLinePunct w:val="0"/>
        <w:bidi w:val="0"/>
        <w:spacing w:line="576" w:lineRule="exact"/>
        <w:ind w:firstLine="642" w:firstLineChars="200"/>
        <w:rPr>
          <w:rFonts w:hint="eastAsia" w:ascii="仿宋" w:hAnsi="仿宋" w:eastAsia="仿宋"/>
          <w:sz w:val="32"/>
          <w:szCs w:val="32"/>
        </w:rPr>
      </w:pPr>
      <w:r>
        <w:rPr>
          <w:rFonts w:hint="eastAsia" w:ascii="仿宋" w:hAnsi="仿宋" w:eastAsia="仿宋"/>
          <w:b/>
          <w:bCs/>
          <w:sz w:val="32"/>
          <w:szCs w:val="32"/>
        </w:rPr>
        <w:t>10.</w:t>
      </w:r>
      <w:r>
        <w:rPr>
          <w:rStyle w:val="30"/>
          <w:rFonts w:hint="eastAsia" w:ascii="仿宋" w:hAnsi="仿宋" w:eastAsia="仿宋"/>
          <w:b/>
          <w:bCs/>
          <w:color w:val="000000"/>
          <w:sz w:val="32"/>
          <w:szCs w:val="32"/>
        </w:rPr>
        <w:t>一般公共服务支出（201）</w:t>
      </w:r>
      <w:r>
        <w:rPr>
          <w:rFonts w:hint="eastAsia" w:ascii="仿宋" w:hAnsi="仿宋" w:eastAsia="仿宋"/>
          <w:b/>
          <w:bCs/>
          <w:sz w:val="32"/>
          <w:szCs w:val="32"/>
        </w:rPr>
        <w:t>政府办公厅（室）及相关机构事务</w:t>
      </w:r>
      <w:r>
        <w:rPr>
          <w:rStyle w:val="30"/>
          <w:rFonts w:hint="eastAsia" w:ascii="仿宋" w:hAnsi="仿宋" w:eastAsia="仿宋"/>
          <w:b/>
          <w:bCs/>
          <w:color w:val="000000"/>
          <w:sz w:val="32"/>
          <w:szCs w:val="32"/>
        </w:rPr>
        <w:t>（03）</w:t>
      </w:r>
      <w:r>
        <w:rPr>
          <w:rFonts w:hint="eastAsia" w:ascii="仿宋" w:hAnsi="仿宋" w:eastAsia="仿宋"/>
          <w:b/>
          <w:bCs/>
          <w:sz w:val="32"/>
          <w:szCs w:val="32"/>
        </w:rPr>
        <w:t>机关服务</w:t>
      </w:r>
      <w:r>
        <w:rPr>
          <w:rStyle w:val="30"/>
          <w:rFonts w:hint="eastAsia" w:ascii="仿宋" w:hAnsi="仿宋" w:eastAsia="仿宋"/>
          <w:b/>
          <w:bCs/>
          <w:color w:val="000000"/>
          <w:sz w:val="32"/>
          <w:szCs w:val="32"/>
        </w:rPr>
        <w:t>（03）</w:t>
      </w:r>
      <w:r>
        <w:rPr>
          <w:rFonts w:hint="eastAsia" w:ascii="仿宋" w:hAnsi="仿宋" w:eastAsia="仿宋" w:cs="仿宋"/>
          <w:b/>
          <w:bCs/>
          <w:color w:val="000000"/>
          <w:kern w:val="0"/>
          <w:sz w:val="32"/>
          <w:szCs w:val="32"/>
        </w:rPr>
        <w:t>：</w:t>
      </w:r>
      <w:r>
        <w:rPr>
          <w:rFonts w:hint="eastAsia" w:ascii="仿宋" w:hAnsi="仿宋" w:eastAsia="仿宋" w:cs="仿宋"/>
          <w:color w:val="000000"/>
          <w:kern w:val="0"/>
          <w:sz w:val="32"/>
          <w:szCs w:val="32"/>
        </w:rPr>
        <w:t>指</w:t>
      </w:r>
      <w:r>
        <w:rPr>
          <w:rFonts w:hint="eastAsia" w:ascii="仿宋" w:hAnsi="仿宋" w:eastAsia="仿宋"/>
          <w:sz w:val="32"/>
          <w:szCs w:val="32"/>
        </w:rPr>
        <w:t>指行政单位（包括实行公务员管理的事业单位）提供后勤服务的各类后勤服务中心、医务室等附属事业单位的支出。其他事业单位支出，凡单独设置了项级科目的，在单独设置了项级科目中反映。未设置了项级科目的，在“其他”项级科目中反映。</w:t>
      </w:r>
    </w:p>
    <w:p>
      <w:pPr>
        <w:pageBreakBefore w:val="0"/>
        <w:kinsoku/>
        <w:wordWrap/>
        <w:overflowPunct/>
        <w:topLinePunct w:val="0"/>
        <w:bidi w:val="0"/>
        <w:spacing w:line="576" w:lineRule="exact"/>
        <w:ind w:firstLine="642" w:firstLineChars="200"/>
        <w:rPr>
          <w:rFonts w:hint="eastAsia" w:ascii="仿宋" w:hAnsi="仿宋" w:eastAsia="仿宋" w:cs="仿宋"/>
          <w:color w:val="000000"/>
          <w:kern w:val="0"/>
          <w:sz w:val="32"/>
          <w:szCs w:val="32"/>
        </w:rPr>
      </w:pPr>
      <w:r>
        <w:rPr>
          <w:rFonts w:hint="eastAsia" w:ascii="仿宋" w:hAnsi="仿宋" w:eastAsia="仿宋"/>
          <w:b/>
          <w:bCs/>
          <w:sz w:val="32"/>
          <w:szCs w:val="32"/>
        </w:rPr>
        <w:t>11.</w:t>
      </w:r>
      <w:r>
        <w:rPr>
          <w:rStyle w:val="30"/>
          <w:rFonts w:hint="eastAsia" w:ascii="仿宋" w:hAnsi="仿宋" w:eastAsia="仿宋"/>
          <w:b/>
          <w:bCs/>
          <w:color w:val="000000"/>
          <w:sz w:val="32"/>
          <w:szCs w:val="32"/>
        </w:rPr>
        <w:t>一般公共服务支出（201）</w:t>
      </w:r>
      <w:r>
        <w:rPr>
          <w:rFonts w:hint="eastAsia" w:ascii="仿宋" w:hAnsi="仿宋" w:eastAsia="仿宋"/>
          <w:b/>
          <w:bCs/>
          <w:sz w:val="32"/>
          <w:szCs w:val="32"/>
        </w:rPr>
        <w:t>纪检监察事务（11）一般行政管理事务（02）：</w:t>
      </w:r>
      <w:r>
        <w:rPr>
          <w:rFonts w:hint="eastAsia" w:ascii="仿宋" w:hAnsi="仿宋" w:eastAsia="仿宋"/>
          <w:sz w:val="32"/>
          <w:szCs w:val="32"/>
        </w:rPr>
        <w:t>指行政单位（包括实行公务员管理的事业单位）未单独设置项级科目的其他项目支出。</w:t>
      </w:r>
    </w:p>
    <w:p>
      <w:pPr>
        <w:pageBreakBefore w:val="0"/>
        <w:kinsoku/>
        <w:wordWrap/>
        <w:overflowPunct/>
        <w:topLinePunct w:val="0"/>
        <w:bidi w:val="0"/>
        <w:spacing w:line="576" w:lineRule="exact"/>
        <w:ind w:firstLine="642"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12.社会保障和就业（208）行政事业单位离退休（05）机关事业单位基本养老保险缴费支出（05）：</w:t>
      </w:r>
      <w:r>
        <w:rPr>
          <w:rFonts w:hint="eastAsia" w:ascii="仿宋" w:hAnsi="仿宋" w:eastAsia="仿宋" w:cs="仿宋"/>
          <w:color w:val="000000"/>
          <w:kern w:val="0"/>
          <w:sz w:val="32"/>
          <w:szCs w:val="32"/>
        </w:rPr>
        <w:t>指机关事业单位实施养老保险制度由单位缴纳的基本养老保险费支出。</w:t>
      </w:r>
    </w:p>
    <w:p>
      <w:pPr>
        <w:pageBreakBefore w:val="0"/>
        <w:kinsoku/>
        <w:wordWrap/>
        <w:overflowPunct/>
        <w:topLinePunct w:val="0"/>
        <w:bidi w:val="0"/>
        <w:spacing w:line="576" w:lineRule="exact"/>
        <w:ind w:firstLine="642"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13.医疗卫生和计划生育支出（210）</w:t>
      </w:r>
      <w:r>
        <w:rPr>
          <w:rStyle w:val="30"/>
          <w:rFonts w:hint="eastAsia" w:ascii="仿宋" w:hAnsi="仿宋" w:eastAsia="仿宋"/>
          <w:b/>
          <w:bCs/>
          <w:color w:val="000000"/>
          <w:sz w:val="32"/>
          <w:szCs w:val="32"/>
        </w:rPr>
        <w:t>行政事业单位医疗（11）行政单位医疗（01）</w:t>
      </w:r>
      <w:r>
        <w:rPr>
          <w:rFonts w:hint="eastAsia" w:ascii="仿宋" w:hAnsi="仿宋" w:eastAsia="仿宋" w:cs="仿宋"/>
          <w:b/>
          <w:bCs/>
          <w:color w:val="000000"/>
          <w:kern w:val="0"/>
          <w:sz w:val="32"/>
          <w:szCs w:val="32"/>
        </w:rPr>
        <w:t>：</w:t>
      </w:r>
      <w:r>
        <w:rPr>
          <w:rFonts w:hint="eastAsia" w:ascii="仿宋" w:hAnsi="仿宋" w:eastAsia="仿宋" w:cs="仿宋"/>
          <w:color w:val="000000"/>
          <w:kern w:val="0"/>
          <w:sz w:val="32"/>
          <w:szCs w:val="32"/>
        </w:rPr>
        <w:t>指财政部门集中安排的行政单位基本医疗保险缴费经费。</w:t>
      </w:r>
    </w:p>
    <w:p>
      <w:pPr>
        <w:pageBreakBefore w:val="0"/>
        <w:kinsoku/>
        <w:wordWrap/>
        <w:overflowPunct/>
        <w:topLinePunct w:val="0"/>
        <w:bidi w:val="0"/>
        <w:spacing w:line="576" w:lineRule="exact"/>
        <w:ind w:firstLine="642"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14.农林水（类）213（款）05（项）99：</w:t>
      </w:r>
      <w:r>
        <w:rPr>
          <w:rFonts w:hint="eastAsia" w:ascii="仿宋" w:hAnsi="仿宋" w:eastAsia="仿宋" w:cs="仿宋"/>
          <w:color w:val="000000"/>
          <w:kern w:val="0"/>
          <w:sz w:val="32"/>
          <w:szCs w:val="32"/>
        </w:rPr>
        <w:t>指其他用于扶贫方面的支出。</w:t>
      </w:r>
    </w:p>
    <w:p>
      <w:pPr>
        <w:pageBreakBefore w:val="0"/>
        <w:kinsoku/>
        <w:wordWrap/>
        <w:overflowPunct/>
        <w:topLinePunct w:val="0"/>
        <w:bidi w:val="0"/>
        <w:spacing w:line="576" w:lineRule="exact"/>
        <w:ind w:firstLine="642"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15.住房保障支出（221）住房改革支出（02）住房公积金（01）：</w:t>
      </w:r>
      <w:r>
        <w:rPr>
          <w:rFonts w:hint="eastAsia" w:ascii="仿宋" w:hAnsi="仿宋" w:eastAsia="仿宋" w:cs="仿宋"/>
          <w:color w:val="000000"/>
          <w:kern w:val="0"/>
          <w:sz w:val="32"/>
          <w:szCs w:val="32"/>
        </w:rPr>
        <w:t>指行政事业单位按人力资源和社会保障部、财政部规定的基本工资和津贴补贴以及规定比例为职工缴纳的住房公积金。</w:t>
      </w:r>
    </w:p>
    <w:p>
      <w:pPr>
        <w:pageBreakBefore w:val="0"/>
        <w:kinsoku/>
        <w:wordWrap/>
        <w:overflowPunct/>
        <w:topLinePunct w:val="0"/>
        <w:bidi w:val="0"/>
        <w:spacing w:line="576" w:lineRule="exact"/>
        <w:ind w:firstLine="642" w:firstLineChars="200"/>
        <w:rPr>
          <w:rStyle w:val="14"/>
          <w:rFonts w:hint="eastAsia" w:ascii="仿宋" w:hAnsi="仿宋" w:eastAsia="仿宋"/>
          <w:b w:val="0"/>
          <w:bCs/>
          <w:color w:val="000000"/>
          <w:sz w:val="32"/>
          <w:szCs w:val="32"/>
        </w:rPr>
      </w:pPr>
      <w:r>
        <w:rPr>
          <w:rFonts w:hint="eastAsia" w:ascii="仿宋" w:hAnsi="仿宋" w:eastAsia="仿宋" w:cs="仿宋"/>
          <w:b/>
          <w:bCs/>
          <w:color w:val="000000"/>
          <w:kern w:val="0"/>
          <w:sz w:val="32"/>
          <w:szCs w:val="32"/>
        </w:rPr>
        <w:t>16.教育管理服务</w:t>
      </w:r>
      <w:r>
        <w:rPr>
          <w:rFonts w:hint="eastAsia" w:ascii="仿宋" w:hAnsi="仿宋" w:eastAsia="仿宋"/>
          <w:b/>
          <w:bCs/>
          <w:color w:val="000000"/>
          <w:sz w:val="32"/>
          <w:szCs w:val="32"/>
        </w:rPr>
        <w:t>（205）行政运行（</w:t>
      </w:r>
      <w:r>
        <w:rPr>
          <w:rFonts w:hint="eastAsia" w:ascii="仿宋" w:hAnsi="仿宋" w:eastAsia="仿宋"/>
          <w:b/>
          <w:bCs/>
          <w:sz w:val="32"/>
          <w:szCs w:val="32"/>
        </w:rPr>
        <w:t>01</w:t>
      </w:r>
      <w:r>
        <w:rPr>
          <w:rFonts w:hint="eastAsia" w:ascii="仿宋" w:hAnsi="仿宋" w:eastAsia="仿宋"/>
          <w:b/>
          <w:bCs/>
          <w:color w:val="000000"/>
          <w:sz w:val="32"/>
          <w:szCs w:val="32"/>
        </w:rPr>
        <w:t>）一</w:t>
      </w:r>
      <w:r>
        <w:rPr>
          <w:rFonts w:hint="eastAsia" w:ascii="仿宋" w:hAnsi="仿宋" w:eastAsia="仿宋"/>
          <w:b/>
          <w:bCs/>
          <w:sz w:val="32"/>
          <w:szCs w:val="32"/>
        </w:rPr>
        <w:t>般行政管理事务:</w:t>
      </w:r>
      <w:r>
        <w:rPr>
          <w:rFonts w:hint="eastAsia" w:ascii="仿宋" w:hAnsi="仿宋" w:eastAsia="仿宋"/>
          <w:sz w:val="32"/>
          <w:szCs w:val="32"/>
        </w:rPr>
        <w:t>指行政单位（包括实行公务员管理的事业单位）未单独设置项级科目的其他项目支出。</w:t>
      </w:r>
    </w:p>
    <w:p>
      <w:pPr>
        <w:pageBreakBefore w:val="0"/>
        <w:kinsoku/>
        <w:wordWrap/>
        <w:overflowPunct/>
        <w:topLinePunct w:val="0"/>
        <w:bidi w:val="0"/>
        <w:spacing w:line="576" w:lineRule="exact"/>
        <w:ind w:firstLine="642"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17.</w:t>
      </w:r>
      <w:r>
        <w:rPr>
          <w:rFonts w:hint="eastAsia" w:ascii="仿宋" w:hAnsi="仿宋" w:eastAsia="仿宋"/>
          <w:b/>
          <w:bCs/>
          <w:color w:val="000000"/>
          <w:sz w:val="32"/>
          <w:szCs w:val="32"/>
        </w:rPr>
        <w:t>粮油物资储备支出（222）</w:t>
      </w:r>
      <w:r>
        <w:rPr>
          <w:rFonts w:hint="eastAsia" w:ascii="仿宋" w:hAnsi="仿宋" w:eastAsia="仿宋"/>
          <w:b/>
          <w:bCs/>
          <w:sz w:val="32"/>
          <w:szCs w:val="32"/>
        </w:rPr>
        <w:t>粮油事务（01）一般行政管理事务（02）：</w:t>
      </w:r>
      <w:r>
        <w:rPr>
          <w:rFonts w:hint="eastAsia" w:ascii="仿宋" w:hAnsi="仿宋" w:eastAsia="仿宋"/>
          <w:sz w:val="32"/>
          <w:szCs w:val="32"/>
        </w:rPr>
        <w:t>指指行政单位（包括实行公务员管理的事业单位）未单独设置项级科目的其他项目支出。</w:t>
      </w:r>
    </w:p>
    <w:p>
      <w:pPr>
        <w:pageBreakBefore w:val="0"/>
        <w:kinsoku/>
        <w:wordWrap/>
        <w:overflowPunct/>
        <w:topLinePunct w:val="0"/>
        <w:bidi w:val="0"/>
        <w:spacing w:line="576" w:lineRule="exact"/>
        <w:ind w:firstLine="642" w:firstLineChars="200"/>
        <w:rPr>
          <w:rFonts w:hint="eastAsia" w:ascii="仿宋" w:hAnsi="仿宋" w:eastAsia="仿宋"/>
          <w:color w:val="000000"/>
          <w:sz w:val="32"/>
          <w:szCs w:val="32"/>
        </w:rPr>
      </w:pPr>
      <w:r>
        <w:rPr>
          <w:rFonts w:hint="eastAsia" w:ascii="仿宋" w:hAnsi="仿宋" w:eastAsia="仿宋"/>
          <w:b/>
          <w:bCs/>
          <w:color w:val="000000"/>
          <w:sz w:val="32"/>
          <w:szCs w:val="32"/>
        </w:rPr>
        <w:t>18.基本支出：</w:t>
      </w:r>
      <w:r>
        <w:rPr>
          <w:rFonts w:hint="eastAsia" w:ascii="仿宋" w:hAnsi="仿宋" w:eastAsia="仿宋"/>
          <w:color w:val="000000"/>
          <w:sz w:val="32"/>
          <w:szCs w:val="32"/>
        </w:rPr>
        <w:t>指为保障机构正常运转、完成日常工作任务而发生的人员支出和公用支出。</w:t>
      </w:r>
    </w:p>
    <w:p>
      <w:pPr>
        <w:pageBreakBefore w:val="0"/>
        <w:kinsoku/>
        <w:wordWrap/>
        <w:overflowPunct/>
        <w:topLinePunct w:val="0"/>
        <w:bidi w:val="0"/>
        <w:spacing w:line="576" w:lineRule="exact"/>
        <w:ind w:firstLine="642" w:firstLineChars="200"/>
        <w:rPr>
          <w:rFonts w:hint="eastAsia" w:ascii="仿宋" w:hAnsi="仿宋" w:eastAsia="仿宋"/>
          <w:color w:val="000000"/>
          <w:sz w:val="32"/>
          <w:szCs w:val="32"/>
        </w:rPr>
      </w:pPr>
      <w:r>
        <w:rPr>
          <w:rFonts w:hint="eastAsia" w:ascii="仿宋" w:hAnsi="仿宋" w:eastAsia="仿宋"/>
          <w:b/>
          <w:bCs/>
          <w:color w:val="000000"/>
          <w:sz w:val="32"/>
          <w:szCs w:val="32"/>
        </w:rPr>
        <w:t>19.项目支出：</w:t>
      </w:r>
      <w:r>
        <w:rPr>
          <w:rFonts w:hint="eastAsia" w:ascii="仿宋" w:hAnsi="仿宋" w:eastAsia="仿宋"/>
          <w:color w:val="000000"/>
          <w:sz w:val="32"/>
          <w:szCs w:val="32"/>
        </w:rPr>
        <w:t xml:space="preserve">指在基本支出之外为完成特定行政任务和事业发展目标所发生的支出。 </w:t>
      </w:r>
    </w:p>
    <w:p>
      <w:pPr>
        <w:pageBreakBefore w:val="0"/>
        <w:kinsoku/>
        <w:wordWrap/>
        <w:overflowPunct/>
        <w:topLinePunct w:val="0"/>
        <w:bidi w:val="0"/>
        <w:spacing w:line="576" w:lineRule="exact"/>
        <w:ind w:firstLine="642" w:firstLineChars="200"/>
        <w:rPr>
          <w:rFonts w:hint="eastAsia" w:ascii="仿宋" w:hAnsi="仿宋" w:eastAsia="仿宋"/>
          <w:color w:val="000000"/>
          <w:sz w:val="32"/>
          <w:szCs w:val="32"/>
        </w:rPr>
      </w:pPr>
      <w:r>
        <w:rPr>
          <w:rFonts w:hint="eastAsia" w:ascii="仿宋" w:hAnsi="仿宋" w:eastAsia="仿宋"/>
          <w:b/>
          <w:bCs/>
          <w:color w:val="000000"/>
          <w:sz w:val="32"/>
          <w:szCs w:val="32"/>
        </w:rPr>
        <w:t>20.经营支出：</w:t>
      </w:r>
      <w:r>
        <w:rPr>
          <w:rFonts w:hint="eastAsia" w:ascii="仿宋" w:hAnsi="仿宋" w:eastAsia="仿宋"/>
          <w:color w:val="000000"/>
          <w:sz w:val="32"/>
          <w:szCs w:val="32"/>
        </w:rPr>
        <w:t>指事业单位在专业业务活动及其辅助活动之外开展非独立核算经营活动发生的支出。</w:t>
      </w:r>
    </w:p>
    <w:p>
      <w:pPr>
        <w:pStyle w:val="22"/>
        <w:pageBreakBefore w:val="0"/>
        <w:kinsoku/>
        <w:wordWrap/>
        <w:overflowPunct/>
        <w:topLinePunct w:val="0"/>
        <w:autoSpaceDE/>
        <w:autoSpaceDN/>
        <w:bidi w:val="0"/>
        <w:spacing w:line="576" w:lineRule="exact"/>
        <w:ind w:firstLine="642" w:firstLineChars="200"/>
        <w:rPr>
          <w:rFonts w:hint="eastAsia" w:hAnsi="仿宋"/>
          <w:sz w:val="32"/>
          <w:szCs w:val="32"/>
        </w:rPr>
      </w:pPr>
      <w:r>
        <w:rPr>
          <w:rFonts w:hint="eastAsia" w:hAnsi="仿宋"/>
          <w:b/>
          <w:bCs/>
          <w:sz w:val="32"/>
          <w:szCs w:val="32"/>
        </w:rPr>
        <w:t>21.“三公”经费：</w:t>
      </w:r>
      <w:r>
        <w:rPr>
          <w:rFonts w:hint="eastAsia" w:hAnsi="仿宋"/>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pageBreakBefore w:val="0"/>
        <w:kinsoku/>
        <w:wordWrap/>
        <w:overflowPunct/>
        <w:topLinePunct w:val="0"/>
        <w:autoSpaceDE/>
        <w:autoSpaceDN/>
        <w:bidi w:val="0"/>
        <w:spacing w:line="576" w:lineRule="exact"/>
        <w:ind w:firstLine="642" w:firstLineChars="200"/>
        <w:rPr>
          <w:rFonts w:hint="eastAsia" w:hAnsi="仿宋"/>
          <w:sz w:val="32"/>
          <w:szCs w:val="32"/>
        </w:rPr>
      </w:pPr>
      <w:r>
        <w:rPr>
          <w:rFonts w:hint="eastAsia" w:hAnsi="仿宋"/>
          <w:b/>
          <w:bCs/>
          <w:sz w:val="32"/>
          <w:szCs w:val="32"/>
        </w:rPr>
        <w:t>22.机关运行经费：</w:t>
      </w:r>
      <w:r>
        <w:rPr>
          <w:rFonts w:hint="eastAsia" w:hAnsi="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76" w:lineRule="exact"/>
        <w:ind w:firstLine="642" w:firstLineChars="200"/>
        <w:rPr>
          <w:rFonts w:hint="eastAsia" w:ascii="仿宋" w:hAnsi="仿宋" w:eastAsia="仿宋"/>
          <w:color w:val="000000"/>
          <w:sz w:val="32"/>
          <w:szCs w:val="32"/>
        </w:rPr>
      </w:pPr>
      <w:r>
        <w:rPr>
          <w:rFonts w:hint="eastAsia" w:ascii="仿宋" w:hAnsi="仿宋" w:eastAsia="仿宋"/>
          <w:b/>
          <w:bCs/>
          <w:color w:val="000000"/>
          <w:sz w:val="32"/>
          <w:szCs w:val="32"/>
        </w:rPr>
        <w:t>27.基本支出：</w:t>
      </w:r>
      <w:r>
        <w:rPr>
          <w:rFonts w:hint="eastAsia" w:ascii="仿宋" w:hAnsi="仿宋" w:eastAsia="仿宋"/>
          <w:color w:val="000000"/>
          <w:sz w:val="32"/>
          <w:szCs w:val="32"/>
        </w:rPr>
        <w:t>指为保障机构正常运转、完成日常工作任务而发生的人员支出和公用支出。</w:t>
      </w:r>
    </w:p>
    <w:p>
      <w:pPr>
        <w:pageBreakBefore w:val="0"/>
        <w:kinsoku/>
        <w:wordWrap/>
        <w:overflowPunct/>
        <w:topLinePunct w:val="0"/>
        <w:bidi w:val="0"/>
        <w:spacing w:line="576" w:lineRule="exact"/>
        <w:ind w:firstLine="642" w:firstLineChars="200"/>
        <w:rPr>
          <w:rFonts w:hint="eastAsia" w:ascii="仿宋" w:hAnsi="仿宋" w:eastAsia="仿宋"/>
          <w:color w:val="000000"/>
          <w:sz w:val="32"/>
          <w:szCs w:val="32"/>
        </w:rPr>
      </w:pPr>
      <w:r>
        <w:rPr>
          <w:rFonts w:hint="eastAsia" w:ascii="仿宋" w:hAnsi="仿宋" w:eastAsia="仿宋"/>
          <w:b/>
          <w:bCs/>
          <w:color w:val="000000"/>
          <w:sz w:val="32"/>
          <w:szCs w:val="32"/>
        </w:rPr>
        <w:t>28.项目支出：</w:t>
      </w:r>
      <w:r>
        <w:rPr>
          <w:rFonts w:hint="eastAsia" w:ascii="仿宋" w:hAnsi="仿宋" w:eastAsia="仿宋"/>
          <w:color w:val="000000"/>
          <w:sz w:val="32"/>
          <w:szCs w:val="32"/>
        </w:rPr>
        <w:t xml:space="preserve">指在基本支出之外为完成特定行政任务和事业发展目标所发生的支出。 </w:t>
      </w:r>
    </w:p>
    <w:p>
      <w:pPr>
        <w:pageBreakBefore w:val="0"/>
        <w:kinsoku/>
        <w:wordWrap/>
        <w:overflowPunct/>
        <w:topLinePunct w:val="0"/>
        <w:bidi w:val="0"/>
        <w:spacing w:line="576" w:lineRule="exact"/>
        <w:ind w:firstLine="642" w:firstLineChars="200"/>
        <w:rPr>
          <w:rFonts w:hint="eastAsia" w:ascii="仿宋" w:hAnsi="仿宋" w:eastAsia="仿宋"/>
          <w:color w:val="000000"/>
          <w:sz w:val="32"/>
          <w:szCs w:val="32"/>
        </w:rPr>
      </w:pPr>
      <w:r>
        <w:rPr>
          <w:rFonts w:hint="eastAsia" w:ascii="仿宋" w:hAnsi="仿宋" w:eastAsia="仿宋"/>
          <w:b/>
          <w:bCs/>
          <w:color w:val="000000"/>
          <w:sz w:val="32"/>
          <w:szCs w:val="32"/>
        </w:rPr>
        <w:t>29.经营支出：</w:t>
      </w:r>
      <w:r>
        <w:rPr>
          <w:rFonts w:hint="eastAsia" w:ascii="仿宋" w:hAnsi="仿宋" w:eastAsia="仿宋"/>
          <w:color w:val="000000"/>
          <w:sz w:val="32"/>
          <w:szCs w:val="32"/>
        </w:rPr>
        <w:t>指事业单位在专业业务活动及其辅助活动之外开展非独立核算经营活动发生的支出。</w:t>
      </w:r>
    </w:p>
    <w:p>
      <w:pPr>
        <w:pStyle w:val="22"/>
        <w:pageBreakBefore w:val="0"/>
        <w:kinsoku/>
        <w:wordWrap/>
        <w:overflowPunct/>
        <w:topLinePunct w:val="0"/>
        <w:autoSpaceDE/>
        <w:autoSpaceDN/>
        <w:bidi w:val="0"/>
        <w:spacing w:line="576" w:lineRule="exact"/>
        <w:ind w:firstLine="642" w:firstLineChars="200"/>
        <w:rPr>
          <w:rFonts w:hint="eastAsia" w:hAnsi="仿宋"/>
          <w:sz w:val="32"/>
          <w:szCs w:val="32"/>
        </w:rPr>
      </w:pPr>
      <w:r>
        <w:rPr>
          <w:rFonts w:hint="eastAsia" w:hAnsi="仿宋"/>
          <w:b/>
          <w:bCs/>
          <w:sz w:val="32"/>
          <w:szCs w:val="32"/>
        </w:rPr>
        <w:t>30.“三公”经费：</w:t>
      </w:r>
      <w:r>
        <w:rPr>
          <w:rFonts w:hint="eastAsia" w:hAnsi="仿宋"/>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pageBreakBefore w:val="0"/>
        <w:kinsoku/>
        <w:wordWrap/>
        <w:overflowPunct/>
        <w:topLinePunct w:val="0"/>
        <w:autoSpaceDE/>
        <w:autoSpaceDN/>
        <w:bidi w:val="0"/>
        <w:spacing w:line="576" w:lineRule="exact"/>
        <w:ind w:firstLine="642" w:firstLineChars="200"/>
        <w:jc w:val="both"/>
        <w:rPr>
          <w:rStyle w:val="24"/>
          <w:rFonts w:hint="eastAsia" w:ascii="仿宋" w:hAnsi="仿宋" w:eastAsia="仿宋" w:cs="仿宋"/>
          <w:b/>
          <w:bCs w:val="0"/>
          <w:color w:val="auto"/>
          <w:sz w:val="32"/>
          <w:szCs w:val="32"/>
          <w:highlight w:val="none"/>
          <w:lang w:eastAsia="zh-CN"/>
        </w:rPr>
      </w:pPr>
      <w:r>
        <w:rPr>
          <w:rFonts w:hint="eastAsia" w:hAnsi="仿宋"/>
          <w:b/>
          <w:bCs/>
          <w:sz w:val="32"/>
          <w:szCs w:val="32"/>
        </w:rPr>
        <w:t>31.机关运行经费：</w:t>
      </w:r>
      <w:r>
        <w:rPr>
          <w:rFonts w:hint="eastAsia" w:hAnsi="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7" w:name="_Toc15377226"/>
      <w:r>
        <w:rPr>
          <w:rFonts w:ascii="宋体"/>
          <w:b/>
          <w:color w:val="auto"/>
          <w:sz w:val="32"/>
          <w:szCs w:val="32"/>
          <w:highlight w:val="none"/>
        </w:rPr>
        <w:br w:type="page"/>
      </w:r>
      <w:bookmarkStart w:id="58" w:name="_Toc15396614"/>
      <w:r>
        <w:rPr>
          <w:rFonts w:hint="eastAsia" w:ascii="宋体"/>
          <w:b/>
          <w:color w:val="auto"/>
          <w:sz w:val="44"/>
          <w:szCs w:val="44"/>
          <w:highlight w:val="none"/>
          <w:lang w:val="en-US" w:eastAsia="zh-CN"/>
        </w:rPr>
        <w:t xml:space="preserve">             </w:t>
      </w:r>
      <w:r>
        <w:rPr>
          <w:rFonts w:hint="eastAsia" w:ascii="仿宋" w:hAnsi="仿宋" w:eastAsia="仿宋" w:cs="仿宋"/>
          <w:b/>
          <w:bCs w:val="0"/>
          <w:color w:val="auto"/>
          <w:sz w:val="32"/>
          <w:szCs w:val="32"/>
          <w:highlight w:val="none"/>
          <w:lang w:val="en-US" w:eastAsia="zh-CN"/>
        </w:rPr>
        <w:t xml:space="preserve">  </w:t>
      </w:r>
      <w:r>
        <w:rPr>
          <w:rFonts w:hint="eastAsia" w:ascii="仿宋" w:hAnsi="仿宋" w:eastAsia="仿宋" w:cs="仿宋"/>
          <w:b/>
          <w:bCs w:val="0"/>
          <w:color w:val="auto"/>
          <w:sz w:val="32"/>
          <w:szCs w:val="32"/>
          <w:highlight w:val="none"/>
        </w:rPr>
        <w:t>第</w:t>
      </w:r>
      <w:r>
        <w:rPr>
          <w:rStyle w:val="24"/>
          <w:rFonts w:hint="eastAsia" w:ascii="仿宋" w:hAnsi="仿宋" w:eastAsia="仿宋" w:cs="仿宋"/>
          <w:b/>
          <w:bCs w:val="0"/>
          <w:color w:val="auto"/>
          <w:sz w:val="32"/>
          <w:szCs w:val="32"/>
          <w:highlight w:val="none"/>
        </w:rPr>
        <w:t>四部分 附件</w:t>
      </w:r>
      <w:bookmarkEnd w:id="58"/>
    </w:p>
    <w:p>
      <w:pPr>
        <w:pageBreakBefore w:val="0"/>
        <w:kinsoku/>
        <w:wordWrap/>
        <w:overflowPunct/>
        <w:topLinePunct w:val="0"/>
        <w:bidi w:val="0"/>
        <w:spacing w:line="576" w:lineRule="exact"/>
        <w:ind w:firstLine="642" w:firstLineChars="200"/>
        <w:jc w:val="center"/>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2021年广元市利州区机关事务服务中心</w:t>
      </w:r>
    </w:p>
    <w:p>
      <w:pPr>
        <w:pageBreakBefore w:val="0"/>
        <w:kinsoku/>
        <w:wordWrap/>
        <w:overflowPunct/>
        <w:topLinePunct w:val="0"/>
        <w:bidi w:val="0"/>
        <w:spacing w:line="576" w:lineRule="exact"/>
        <w:ind w:firstLine="642" w:firstLineChars="200"/>
        <w:jc w:val="center"/>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部门</w:t>
      </w:r>
      <w:r>
        <w:rPr>
          <w:rFonts w:hint="eastAsia" w:ascii="仿宋" w:hAnsi="仿宋" w:eastAsia="仿宋" w:cs="仿宋"/>
          <w:b/>
          <w:bCs/>
          <w:color w:val="000000"/>
          <w:kern w:val="0"/>
          <w:sz w:val="32"/>
          <w:szCs w:val="32"/>
          <w:lang w:val="zh-CN" w:eastAsia="zh-CN" w:bidi="ar-SA"/>
        </w:rPr>
        <w:t>整体支出绩效评价报告</w:t>
      </w:r>
    </w:p>
    <w:p>
      <w:pPr>
        <w:keepNext w:val="0"/>
        <w:keepLines w:val="0"/>
        <w:pageBreakBefore w:val="0"/>
        <w:widowControl/>
        <w:kinsoku/>
        <w:wordWrap/>
        <w:overflowPunct/>
        <w:topLinePunct w:val="0"/>
        <w:autoSpaceDE/>
        <w:autoSpaceDN/>
        <w:bidi w:val="0"/>
        <w:adjustRightInd w:val="0"/>
        <w:snapToGrid w:val="0"/>
        <w:spacing w:line="576" w:lineRule="exact"/>
        <w:ind w:firstLine="642" w:firstLineChars="200"/>
        <w:contextualSpacing/>
        <w:jc w:val="left"/>
        <w:textAlignment w:val="auto"/>
        <w:rPr>
          <w:rFonts w:hint="eastAsia" w:ascii="仿宋" w:hAnsi="仿宋" w:eastAsia="仿宋" w:cs="仿宋"/>
          <w:b/>
          <w:bCs/>
          <w:color w:val="auto"/>
          <w:kern w:val="0"/>
          <w:sz w:val="32"/>
          <w:szCs w:val="32"/>
          <w:highlight w:val="none"/>
          <w:shd w:val="clear" w:color="auto" w:fill="FFFFFF"/>
          <w:lang w:val="zh-CN"/>
        </w:rPr>
      </w:pPr>
      <w:r>
        <w:rPr>
          <w:rFonts w:hint="eastAsia" w:ascii="仿宋" w:hAnsi="仿宋" w:eastAsia="仿宋" w:cs="仿宋"/>
          <w:b/>
          <w:bCs/>
          <w:color w:val="auto"/>
          <w:kern w:val="0"/>
          <w:sz w:val="32"/>
          <w:szCs w:val="32"/>
          <w:highlight w:val="none"/>
          <w:shd w:val="clear" w:color="auto" w:fill="FFFFFF"/>
        </w:rPr>
        <w:t>一、</w:t>
      </w:r>
      <w:r>
        <w:rPr>
          <w:rFonts w:hint="eastAsia" w:ascii="仿宋" w:hAnsi="仿宋" w:eastAsia="仿宋" w:cs="仿宋"/>
          <w:b/>
          <w:bCs/>
          <w:color w:val="auto"/>
          <w:kern w:val="0"/>
          <w:sz w:val="32"/>
          <w:szCs w:val="32"/>
          <w:highlight w:val="none"/>
          <w:shd w:val="clear" w:color="auto" w:fill="FFFFFF"/>
          <w:lang w:val="zh-CN"/>
        </w:rPr>
        <w:t>部门（单位）概况</w:t>
      </w:r>
    </w:p>
    <w:p>
      <w:pPr>
        <w:pageBreakBefore w:val="0"/>
        <w:kinsoku/>
        <w:wordWrap/>
        <w:overflowPunct/>
        <w:topLinePunct w:val="0"/>
        <w:bidi w:val="0"/>
        <w:spacing w:line="576" w:lineRule="exact"/>
        <w:ind w:firstLine="642" w:firstLineChars="2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（一）机构组成</w:t>
      </w:r>
    </w:p>
    <w:p>
      <w:pPr>
        <w:pageBreakBefore w:val="0"/>
        <w:kinsoku/>
        <w:wordWrap/>
        <w:overflowPunct/>
        <w:topLinePunct w:val="0"/>
        <w:bidi w:val="0"/>
        <w:spacing w:line="576" w:lineRule="exact"/>
        <w:ind w:firstLine="626" w:firstLineChars="200"/>
        <w:rPr>
          <w:rFonts w:hint="eastAsia" w:ascii="仿宋" w:hAnsi="仿宋" w:eastAsia="仿宋" w:cs="仿宋"/>
          <w:color w:val="000000"/>
          <w:w w:val="98"/>
          <w:kern w:val="0"/>
          <w:sz w:val="32"/>
          <w:szCs w:val="32"/>
          <w:lang w:val="en-US" w:eastAsia="zh-CN" w:bidi="ar-SA"/>
        </w:rPr>
      </w:pPr>
      <w:r>
        <w:rPr>
          <w:rFonts w:hint="eastAsia" w:ascii="仿宋" w:hAnsi="仿宋" w:eastAsia="仿宋" w:cs="仿宋"/>
          <w:color w:val="000000"/>
          <w:w w:val="98"/>
          <w:kern w:val="0"/>
          <w:sz w:val="32"/>
          <w:szCs w:val="32"/>
          <w:lang w:val="en-US" w:eastAsia="zh-CN" w:bidi="ar-SA"/>
        </w:rPr>
        <w:t>根据《中共广元市利州区委、广元市利州区人民政府关于印发〈广元市利州区机构改革方案〉和广元市利州区机构改革方案的实施意见的通知》（广利委发〔2019〕6号）文件反映，广元市利州区机关事务服务中心是广元市利州区人民政府直属事业单位，为正科级。内设机构：办公室、资产股、机关事务股、公务用车保障中心。</w:t>
      </w:r>
    </w:p>
    <w:p>
      <w:pPr>
        <w:pageBreakBefore w:val="0"/>
        <w:numPr>
          <w:ilvl w:val="0"/>
          <w:numId w:val="4"/>
        </w:numPr>
        <w:kinsoku/>
        <w:wordWrap/>
        <w:overflowPunct/>
        <w:topLinePunct w:val="0"/>
        <w:bidi w:val="0"/>
        <w:spacing w:line="576" w:lineRule="exact"/>
        <w:ind w:firstLine="642" w:firstLineChars="2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机构职能</w:t>
      </w:r>
    </w:p>
    <w:p>
      <w:pPr>
        <w:pageBreakBefore w:val="0"/>
        <w:kinsoku/>
        <w:wordWrap/>
        <w:overflowPunct/>
        <w:topLinePunct w:val="0"/>
        <w:bidi w:val="0"/>
        <w:spacing w:line="576" w:lineRule="exact"/>
        <w:ind w:firstLine="626" w:firstLineChars="200"/>
        <w:rPr>
          <w:rFonts w:hint="eastAsia" w:ascii="仿宋" w:hAnsi="仿宋" w:eastAsia="仿宋" w:cs="仿宋"/>
          <w:color w:val="000000"/>
          <w:w w:val="98"/>
          <w:kern w:val="0"/>
          <w:sz w:val="32"/>
          <w:szCs w:val="32"/>
          <w:lang w:val="en-US" w:eastAsia="zh-CN" w:bidi="ar-SA"/>
        </w:rPr>
      </w:pPr>
      <w:r>
        <w:rPr>
          <w:rFonts w:hint="eastAsia" w:ascii="仿宋" w:hAnsi="仿宋" w:eastAsia="仿宋" w:cs="仿宋"/>
          <w:color w:val="000000"/>
          <w:w w:val="98"/>
          <w:kern w:val="0"/>
          <w:sz w:val="32"/>
          <w:szCs w:val="32"/>
          <w:lang w:val="en-US" w:eastAsia="zh-CN" w:bidi="ar-SA"/>
        </w:rPr>
        <w:t>根据中共广元市利州区委办公室、广元市利州区人民政府办公室《关于印发广元市利州区机关事务中心职能配置、内设机构和人员编制规定的通知》（广利委办函[2019]34号）文件规定，机关事务服务中心主要职责是：</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1.贯彻执行国家、省、市、区有关机关事务工作的方针政策；拟订机关事务工作规划和规章制度并组织实施，负责区行政事业单位机关事务的服务保障工作。</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2.负责区直行政事业单位办公用房的管理、调配和维修改造工作；</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3.承担区级公务用车管理涉及的事务性工作；</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4.承担全区公共机构节能工作；</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5.负责全区重大活动、重要会议会务服务工作；</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6.负责集中办公区机关食堂管理服务工作；</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7.负责集中办公区文印室管理和保密工作；</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8. 负责集中办公区相关后勤服务工作；</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9. 负责职责范围内的安全生产和职业健康、生态环境保护等工作；</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10. 完成区委区政府交办的其他工作。</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（三）</w:t>
      </w:r>
      <w:r>
        <w:rPr>
          <w:rFonts w:hint="eastAsia" w:ascii="仿宋" w:hAnsi="仿宋" w:eastAsia="仿宋" w:cs="仿宋"/>
          <w:b/>
          <w:bCs/>
          <w:color w:val="000000"/>
          <w:kern w:val="0"/>
          <w:sz w:val="32"/>
          <w:szCs w:val="32"/>
          <w:lang w:val="en-US" w:eastAsia="zh-CN" w:bidi="ar-SA"/>
        </w:rPr>
        <w:t>人员概况</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根据《关于印发广元市利州区机关事务中心职能配置、内设机构和人员编制规定的通知》（广利委办函[2019]34号）文件精神：核定机关事务服务中心事业编制7人，其中：主任1人，副主任2人；股级职数3人。人员实有情况：截至2021年12月31日，服务中心在职人员12人；其中：行政人员（参公人员）3人；机关工人1人，事业管理人员8人，退休7人，临聘人员115人。</w:t>
      </w:r>
    </w:p>
    <w:p>
      <w:pPr>
        <w:pageBreakBefore w:val="0"/>
        <w:widowControl/>
        <w:kinsoku/>
        <w:wordWrap/>
        <w:overflowPunct/>
        <w:topLinePunct w:val="0"/>
        <w:bidi w:val="0"/>
        <w:adjustRightInd w:val="0"/>
        <w:snapToGrid w:val="0"/>
        <w:spacing w:line="576" w:lineRule="exact"/>
        <w:ind w:firstLine="642" w:firstLineChars="200"/>
        <w:contextualSpacing/>
        <w:jc w:val="left"/>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 xml:space="preserve">二、部门财政资金收支情况 </w:t>
      </w:r>
    </w:p>
    <w:p>
      <w:pPr>
        <w:pageBreakBefore w:val="0"/>
        <w:kinsoku/>
        <w:wordWrap/>
        <w:overflowPunct/>
        <w:topLinePunct w:val="0"/>
        <w:bidi w:val="0"/>
        <w:spacing w:line="576" w:lineRule="exact"/>
        <w:ind w:firstLine="642" w:firstLineChars="2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（一）收入情况</w:t>
      </w:r>
    </w:p>
    <w:p>
      <w:pPr>
        <w:pageBreakBefore w:val="0"/>
        <w:kinsoku/>
        <w:wordWrap/>
        <w:overflowPunct/>
        <w:topLinePunct w:val="0"/>
        <w:bidi w:val="0"/>
        <w:spacing w:line="576" w:lineRule="exact"/>
        <w:ind w:firstLine="626" w:firstLineChars="200"/>
        <w:rPr>
          <w:rFonts w:hint="eastAsia" w:ascii="仿宋" w:hAnsi="仿宋" w:eastAsia="仿宋" w:cs="仿宋"/>
          <w:color w:val="000000"/>
          <w:w w:val="98"/>
          <w:kern w:val="0"/>
          <w:sz w:val="32"/>
          <w:szCs w:val="32"/>
          <w:lang w:val="en-US" w:eastAsia="zh-CN" w:bidi="ar-SA"/>
        </w:rPr>
      </w:pPr>
      <w:r>
        <w:rPr>
          <w:rFonts w:hint="eastAsia" w:ascii="仿宋" w:hAnsi="仿宋" w:eastAsia="仿宋" w:cs="仿宋"/>
          <w:color w:val="000000"/>
          <w:w w:val="98"/>
          <w:kern w:val="0"/>
          <w:sz w:val="32"/>
          <w:szCs w:val="32"/>
          <w:lang w:val="en-US" w:eastAsia="zh-CN" w:bidi="ar-SA"/>
        </w:rPr>
        <w:t>广元市利州区机关事务服务中心2021年预算安排收入1325.02万元，其中：当年财政拨款收入2581.24万元，其他收入0.00万元，上年结转1277.11万元。具体明细见下表：</w:t>
      </w:r>
    </w:p>
    <w:p>
      <w:pPr>
        <w:pageBreakBefore w:val="0"/>
        <w:kinsoku/>
        <w:wordWrap/>
        <w:overflowPunct/>
        <w:topLinePunct w:val="0"/>
        <w:bidi w:val="0"/>
        <w:spacing w:line="576" w:lineRule="exact"/>
        <w:ind w:right="18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2021年预算收入明细表          单位：万元</w:t>
      </w:r>
    </w:p>
    <w:tbl>
      <w:tblPr>
        <w:tblStyle w:val="1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3"/>
        <w:gridCol w:w="1157"/>
        <w:gridCol w:w="1221"/>
        <w:gridCol w:w="1817"/>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183" w:type="dxa"/>
            <w:vMerge w:val="restart"/>
            <w:noWrap/>
            <w:vAlign w:val="center"/>
          </w:tcPr>
          <w:p>
            <w:pPr>
              <w:pageBreakBefore w:val="0"/>
              <w:widowControl/>
              <w:kinsoku/>
              <w:wordWrap/>
              <w:overflowPunct/>
              <w:topLinePunct w:val="0"/>
              <w:bidi w:val="0"/>
              <w:spacing w:line="576" w:lineRule="exact"/>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5657" w:type="dxa"/>
            <w:gridSpan w:val="4"/>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年初预算数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183" w:type="dxa"/>
            <w:vMerge w:val="continue"/>
            <w:noWrap w:val="0"/>
            <w:vAlign w:val="center"/>
          </w:tcPr>
          <w:p>
            <w:pPr>
              <w:pageBreakBefore w:val="0"/>
              <w:widowControl/>
              <w:kinsoku/>
              <w:wordWrap/>
              <w:overflowPunct/>
              <w:topLinePunct w:val="0"/>
              <w:bidi w:val="0"/>
              <w:spacing w:line="576" w:lineRule="exact"/>
              <w:jc w:val="left"/>
              <w:rPr>
                <w:rFonts w:ascii="宋体" w:hAnsi="宋体" w:cs="宋体"/>
                <w:color w:val="000000"/>
                <w:kern w:val="0"/>
                <w:sz w:val="18"/>
                <w:szCs w:val="18"/>
              </w:rPr>
            </w:pPr>
          </w:p>
        </w:tc>
        <w:tc>
          <w:tcPr>
            <w:tcW w:w="1157" w:type="dxa"/>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1221" w:type="dxa"/>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上年结转</w:t>
            </w:r>
          </w:p>
        </w:tc>
        <w:tc>
          <w:tcPr>
            <w:tcW w:w="1817" w:type="dxa"/>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当年财政拨款收入</w:t>
            </w:r>
          </w:p>
        </w:tc>
        <w:tc>
          <w:tcPr>
            <w:tcW w:w="1462" w:type="dxa"/>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3" w:type="dxa"/>
            <w:noWrap/>
            <w:vAlign w:val="center"/>
          </w:tcPr>
          <w:p>
            <w:pPr>
              <w:pageBreakBefore w:val="0"/>
              <w:widowControl/>
              <w:kinsoku/>
              <w:wordWrap/>
              <w:overflowPunct/>
              <w:topLinePunct w:val="0"/>
              <w:bidi w:val="0"/>
              <w:spacing w:line="576"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一般公共服务支出</w:t>
            </w:r>
          </w:p>
        </w:tc>
        <w:tc>
          <w:tcPr>
            <w:tcW w:w="1157" w:type="dxa"/>
            <w:noWrap/>
            <w:vAlign w:val="center"/>
          </w:tcPr>
          <w:p>
            <w:pPr>
              <w:pageBreakBefore w:val="0"/>
              <w:widowControl/>
              <w:kinsoku/>
              <w:wordWrap/>
              <w:overflowPunct/>
              <w:topLinePunct w:val="0"/>
              <w:bidi w:val="0"/>
              <w:spacing w:line="576"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1284.86</w:t>
            </w:r>
          </w:p>
        </w:tc>
        <w:tc>
          <w:tcPr>
            <w:tcW w:w="1221" w:type="dxa"/>
            <w:noWrap/>
            <w:vAlign w:val="center"/>
          </w:tcPr>
          <w:p>
            <w:pPr>
              <w:pageBreakBefore w:val="0"/>
              <w:widowControl/>
              <w:kinsoku/>
              <w:wordWrap/>
              <w:overflowPunct/>
              <w:topLinePunct w:val="0"/>
              <w:bidi w:val="0"/>
              <w:spacing w:line="576"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1263.11</w:t>
            </w:r>
          </w:p>
        </w:tc>
        <w:tc>
          <w:tcPr>
            <w:tcW w:w="1817" w:type="dxa"/>
            <w:noWrap/>
            <w:vAlign w:val="center"/>
          </w:tcPr>
          <w:p>
            <w:pPr>
              <w:pageBreakBefore w:val="0"/>
              <w:widowControl/>
              <w:kinsoku/>
              <w:wordWrap/>
              <w:overflowPunct/>
              <w:topLinePunct w:val="0"/>
              <w:bidi w:val="0"/>
              <w:spacing w:line="576"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1284.86</w:t>
            </w:r>
          </w:p>
        </w:tc>
        <w:tc>
          <w:tcPr>
            <w:tcW w:w="1462" w:type="dxa"/>
            <w:noWrap/>
            <w:vAlign w:val="center"/>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3183" w:type="dxa"/>
            <w:noWrap/>
            <w:vAlign w:val="center"/>
          </w:tcPr>
          <w:p>
            <w:pPr>
              <w:pageBreakBefore w:val="0"/>
              <w:widowControl/>
              <w:kinsoku/>
              <w:wordWrap/>
              <w:overflowPunct/>
              <w:topLinePunct w:val="0"/>
              <w:bidi w:val="0"/>
              <w:spacing w:line="576"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1157" w:type="dxa"/>
            <w:noWrap/>
            <w:vAlign w:val="center"/>
          </w:tcPr>
          <w:p>
            <w:pPr>
              <w:pageBreakBefore w:val="0"/>
              <w:widowControl/>
              <w:kinsoku/>
              <w:wordWrap/>
              <w:overflowPunct/>
              <w:topLinePunct w:val="0"/>
              <w:bidi w:val="0"/>
              <w:spacing w:line="576"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19.41</w:t>
            </w:r>
          </w:p>
        </w:tc>
        <w:tc>
          <w:tcPr>
            <w:tcW w:w="1221" w:type="dxa"/>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p>
        </w:tc>
        <w:tc>
          <w:tcPr>
            <w:tcW w:w="1817" w:type="dxa"/>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19.41</w:t>
            </w:r>
          </w:p>
        </w:tc>
        <w:tc>
          <w:tcPr>
            <w:tcW w:w="1462" w:type="dxa"/>
            <w:noWrap/>
            <w:vAlign w:val="center"/>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183" w:type="dxa"/>
            <w:noWrap/>
            <w:vAlign w:val="center"/>
          </w:tcPr>
          <w:p>
            <w:pPr>
              <w:pageBreakBefore w:val="0"/>
              <w:widowControl/>
              <w:kinsoku/>
              <w:wordWrap/>
              <w:overflowPunct/>
              <w:topLinePunct w:val="0"/>
              <w:bidi w:val="0"/>
              <w:spacing w:line="576"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卫生健康支出</w:t>
            </w:r>
          </w:p>
        </w:tc>
        <w:tc>
          <w:tcPr>
            <w:tcW w:w="1157" w:type="dxa"/>
            <w:noWrap/>
            <w:vAlign w:val="center"/>
          </w:tcPr>
          <w:p>
            <w:pPr>
              <w:pageBreakBefore w:val="0"/>
              <w:widowControl/>
              <w:kinsoku/>
              <w:wordWrap/>
              <w:overflowPunct/>
              <w:topLinePunct w:val="0"/>
              <w:bidi w:val="0"/>
              <w:spacing w:line="576"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7.35</w:t>
            </w:r>
          </w:p>
        </w:tc>
        <w:tc>
          <w:tcPr>
            <w:tcW w:w="1221" w:type="dxa"/>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p>
        </w:tc>
        <w:tc>
          <w:tcPr>
            <w:tcW w:w="1817" w:type="dxa"/>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7.35</w:t>
            </w:r>
          </w:p>
        </w:tc>
        <w:tc>
          <w:tcPr>
            <w:tcW w:w="1462" w:type="dxa"/>
            <w:noWrap/>
            <w:vAlign w:val="center"/>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183" w:type="dxa"/>
            <w:noWrap/>
            <w:vAlign w:val="center"/>
          </w:tcPr>
          <w:p>
            <w:pPr>
              <w:pageBreakBefore w:val="0"/>
              <w:widowControl/>
              <w:kinsoku/>
              <w:wordWrap/>
              <w:overflowPunct/>
              <w:topLinePunct w:val="0"/>
              <w:bidi w:val="0"/>
              <w:spacing w:line="576"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农林水支出</w:t>
            </w:r>
          </w:p>
        </w:tc>
        <w:tc>
          <w:tcPr>
            <w:tcW w:w="1157" w:type="dxa"/>
            <w:noWrap/>
            <w:vAlign w:val="center"/>
          </w:tcPr>
          <w:p>
            <w:pPr>
              <w:pageBreakBefore w:val="0"/>
              <w:widowControl/>
              <w:kinsoku/>
              <w:wordWrap/>
              <w:overflowPunct/>
              <w:topLinePunct w:val="0"/>
              <w:bidi w:val="0"/>
              <w:spacing w:line="576"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3.19</w:t>
            </w:r>
          </w:p>
        </w:tc>
        <w:tc>
          <w:tcPr>
            <w:tcW w:w="1221" w:type="dxa"/>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p>
        </w:tc>
        <w:tc>
          <w:tcPr>
            <w:tcW w:w="1817" w:type="dxa"/>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3.19</w:t>
            </w:r>
          </w:p>
        </w:tc>
        <w:tc>
          <w:tcPr>
            <w:tcW w:w="1462" w:type="dxa"/>
            <w:noWrap/>
            <w:vAlign w:val="center"/>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183" w:type="dxa"/>
            <w:noWrap/>
            <w:vAlign w:val="center"/>
          </w:tcPr>
          <w:p>
            <w:pPr>
              <w:pageBreakBefore w:val="0"/>
              <w:widowControl/>
              <w:kinsoku/>
              <w:wordWrap/>
              <w:overflowPunct/>
              <w:topLinePunct w:val="0"/>
              <w:bidi w:val="0"/>
              <w:spacing w:line="576"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住房保障支出</w:t>
            </w:r>
          </w:p>
        </w:tc>
        <w:tc>
          <w:tcPr>
            <w:tcW w:w="1157" w:type="dxa"/>
            <w:noWrap/>
            <w:vAlign w:val="center"/>
          </w:tcPr>
          <w:p>
            <w:pPr>
              <w:pageBreakBefore w:val="0"/>
              <w:widowControl/>
              <w:kinsoku/>
              <w:wordWrap/>
              <w:overflowPunct/>
              <w:topLinePunct w:val="0"/>
              <w:bidi w:val="0"/>
              <w:spacing w:line="576"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10.22</w:t>
            </w:r>
          </w:p>
        </w:tc>
        <w:tc>
          <w:tcPr>
            <w:tcW w:w="1221" w:type="dxa"/>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p>
        </w:tc>
        <w:tc>
          <w:tcPr>
            <w:tcW w:w="1817" w:type="dxa"/>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10.22</w:t>
            </w:r>
          </w:p>
        </w:tc>
        <w:tc>
          <w:tcPr>
            <w:tcW w:w="1462" w:type="dxa"/>
            <w:noWrap/>
            <w:vAlign w:val="center"/>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3183" w:type="dxa"/>
            <w:noWrap/>
            <w:vAlign w:val="center"/>
          </w:tcPr>
          <w:p>
            <w:pPr>
              <w:pageBreakBefore w:val="0"/>
              <w:widowControl/>
              <w:kinsoku/>
              <w:wordWrap/>
              <w:overflowPunct/>
              <w:topLinePunct w:val="0"/>
              <w:bidi w:val="0"/>
              <w:spacing w:line="576"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粮油物资储备支出</w:t>
            </w:r>
          </w:p>
        </w:tc>
        <w:tc>
          <w:tcPr>
            <w:tcW w:w="1157" w:type="dxa"/>
            <w:noWrap/>
            <w:vAlign w:val="center"/>
          </w:tcPr>
          <w:p>
            <w:pPr>
              <w:pageBreakBefore w:val="0"/>
              <w:widowControl/>
              <w:kinsoku/>
              <w:wordWrap/>
              <w:overflowPunct/>
              <w:topLinePunct w:val="0"/>
              <w:bidi w:val="0"/>
              <w:spacing w:line="576"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14</w:t>
            </w:r>
          </w:p>
        </w:tc>
        <w:tc>
          <w:tcPr>
            <w:tcW w:w="1221" w:type="dxa"/>
            <w:noWrap/>
            <w:vAlign w:val="center"/>
          </w:tcPr>
          <w:p>
            <w:pPr>
              <w:pageBreakBefore w:val="0"/>
              <w:widowControl/>
              <w:kinsoku/>
              <w:wordWrap/>
              <w:overflowPunct/>
              <w:topLinePunct w:val="0"/>
              <w:bidi w:val="0"/>
              <w:spacing w:line="576"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14</w:t>
            </w:r>
          </w:p>
        </w:tc>
        <w:tc>
          <w:tcPr>
            <w:tcW w:w="1817" w:type="dxa"/>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p>
        </w:tc>
        <w:tc>
          <w:tcPr>
            <w:tcW w:w="1462" w:type="dxa"/>
            <w:noWrap/>
            <w:vAlign w:val="center"/>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183" w:type="dxa"/>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合  计</w:t>
            </w:r>
          </w:p>
        </w:tc>
        <w:tc>
          <w:tcPr>
            <w:tcW w:w="1157" w:type="dxa"/>
            <w:noWrap/>
            <w:vAlign w:val="center"/>
          </w:tcPr>
          <w:p>
            <w:pPr>
              <w:pageBreakBefore w:val="0"/>
              <w:widowControl/>
              <w:kinsoku/>
              <w:wordWrap/>
              <w:overflowPunct/>
              <w:topLinePunct w:val="0"/>
              <w:bidi w:val="0"/>
              <w:spacing w:line="576"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2581.24</w:t>
            </w:r>
          </w:p>
        </w:tc>
        <w:tc>
          <w:tcPr>
            <w:tcW w:w="1221" w:type="dxa"/>
            <w:noWrap/>
            <w:vAlign w:val="center"/>
          </w:tcPr>
          <w:p>
            <w:pPr>
              <w:pageBreakBefore w:val="0"/>
              <w:widowControl/>
              <w:kinsoku/>
              <w:wordWrap/>
              <w:overflowPunct/>
              <w:topLinePunct w:val="0"/>
              <w:bidi w:val="0"/>
              <w:spacing w:line="576"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1277.11</w:t>
            </w:r>
          </w:p>
        </w:tc>
        <w:tc>
          <w:tcPr>
            <w:tcW w:w="1817" w:type="dxa"/>
            <w:noWrap/>
            <w:vAlign w:val="center"/>
          </w:tcPr>
          <w:p>
            <w:pPr>
              <w:pageBreakBefore w:val="0"/>
              <w:widowControl/>
              <w:kinsoku/>
              <w:wordWrap/>
              <w:overflowPunct/>
              <w:topLinePunct w:val="0"/>
              <w:bidi w:val="0"/>
              <w:spacing w:line="576"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1325.02</w:t>
            </w:r>
          </w:p>
        </w:tc>
        <w:tc>
          <w:tcPr>
            <w:tcW w:w="1462" w:type="dxa"/>
            <w:noWrap/>
            <w:vAlign w:val="center"/>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决算报表反映，机关事务服务中心收入1325.02万元，其中：当年财政拨款收入2581.24万元，其他收入0.00万元，年初结转1277.11万元。具体明细见下表：</w:t>
      </w:r>
    </w:p>
    <w:tbl>
      <w:tblPr>
        <w:tblStyle w:val="12"/>
        <w:tblW w:w="8791" w:type="dxa"/>
        <w:tblInd w:w="108" w:type="dxa"/>
        <w:tblLayout w:type="autofit"/>
        <w:tblCellMar>
          <w:top w:w="0" w:type="dxa"/>
          <w:left w:w="108" w:type="dxa"/>
          <w:bottom w:w="0" w:type="dxa"/>
          <w:right w:w="108" w:type="dxa"/>
        </w:tblCellMar>
      </w:tblPr>
      <w:tblGrid>
        <w:gridCol w:w="2568"/>
        <w:gridCol w:w="1252"/>
        <w:gridCol w:w="1116"/>
        <w:gridCol w:w="1430"/>
        <w:gridCol w:w="1274"/>
        <w:gridCol w:w="1151"/>
      </w:tblGrid>
      <w:tr>
        <w:tblPrEx>
          <w:tblCellMar>
            <w:top w:w="0" w:type="dxa"/>
            <w:left w:w="108" w:type="dxa"/>
            <w:bottom w:w="0" w:type="dxa"/>
            <w:right w:w="108" w:type="dxa"/>
          </w:tblCellMar>
        </w:tblPrEx>
        <w:trPr>
          <w:trHeight w:val="326" w:hRule="atLeast"/>
        </w:trPr>
        <w:tc>
          <w:tcPr>
            <w:tcW w:w="8791" w:type="dxa"/>
            <w:gridSpan w:val="6"/>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pacing w:line="576" w:lineRule="exact"/>
              <w:ind w:right="90"/>
              <w:jc w:val="center"/>
              <w:rPr>
                <w:color w:val="000000"/>
                <w:sz w:val="24"/>
                <w:szCs w:val="24"/>
              </w:rPr>
            </w:pPr>
            <w:r>
              <w:rPr>
                <w:rFonts w:hint="eastAsia"/>
                <w:color w:val="000000"/>
                <w:sz w:val="24"/>
                <w:szCs w:val="24"/>
                <w:lang w:val="en-US" w:eastAsia="zh-CN"/>
              </w:rPr>
              <w:t xml:space="preserve"> 2021年决算收入明细表                单位：万元</w:t>
            </w:r>
          </w:p>
        </w:tc>
      </w:tr>
      <w:tr>
        <w:trPr>
          <w:trHeight w:val="326" w:hRule="atLeast"/>
        </w:trPr>
        <w:tc>
          <w:tcPr>
            <w:tcW w:w="2568" w:type="dxa"/>
            <w:vMerge w:val="restar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科目名称</w:t>
            </w:r>
          </w:p>
        </w:tc>
        <w:tc>
          <w:tcPr>
            <w:tcW w:w="1252"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p>
        </w:tc>
        <w:tc>
          <w:tcPr>
            <w:tcW w:w="4971" w:type="dxa"/>
            <w:gridSpan w:val="4"/>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决算数</w:t>
            </w:r>
          </w:p>
        </w:tc>
      </w:tr>
      <w:tr>
        <w:tblPrEx>
          <w:tblCellMar>
            <w:top w:w="0" w:type="dxa"/>
            <w:left w:w="108" w:type="dxa"/>
            <w:bottom w:w="0" w:type="dxa"/>
            <w:right w:w="108" w:type="dxa"/>
          </w:tblCellMar>
        </w:tblPrEx>
        <w:trPr>
          <w:trHeight w:val="326" w:hRule="atLeast"/>
        </w:trPr>
        <w:tc>
          <w:tcPr>
            <w:tcW w:w="2568"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576" w:lineRule="exact"/>
              <w:jc w:val="left"/>
              <w:rPr>
                <w:rFonts w:ascii="宋体" w:hAnsi="宋体" w:cs="宋体"/>
                <w:color w:val="000000"/>
                <w:kern w:val="0"/>
                <w:sz w:val="18"/>
                <w:szCs w:val="18"/>
              </w:rPr>
            </w:pPr>
          </w:p>
        </w:tc>
        <w:tc>
          <w:tcPr>
            <w:tcW w:w="1252" w:type="dxa"/>
            <w:vMerge w:val="restar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1116" w:type="dxa"/>
            <w:vMerge w:val="restart"/>
            <w:tcBorders>
              <w:top w:val="single" w:color="auto" w:sz="4" w:space="0"/>
              <w:left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上年结转</w:t>
            </w:r>
          </w:p>
        </w:tc>
        <w:tc>
          <w:tcPr>
            <w:tcW w:w="2704"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当年财政拨款收入</w:t>
            </w:r>
          </w:p>
        </w:tc>
        <w:tc>
          <w:tcPr>
            <w:tcW w:w="115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其他收入</w:t>
            </w:r>
          </w:p>
        </w:tc>
      </w:tr>
      <w:tr>
        <w:trPr>
          <w:trHeight w:val="326" w:hRule="atLeast"/>
        </w:trPr>
        <w:tc>
          <w:tcPr>
            <w:tcW w:w="2568" w:type="dxa"/>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left"/>
              <w:rPr>
                <w:rFonts w:hint="eastAsia" w:ascii="宋体" w:hAnsi="宋体" w:cs="宋体"/>
                <w:color w:val="000000"/>
                <w:kern w:val="0"/>
                <w:sz w:val="18"/>
                <w:szCs w:val="18"/>
              </w:rPr>
            </w:pPr>
          </w:p>
        </w:tc>
        <w:tc>
          <w:tcPr>
            <w:tcW w:w="1252" w:type="dxa"/>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p>
        </w:tc>
        <w:tc>
          <w:tcPr>
            <w:tcW w:w="1116" w:type="dxa"/>
            <w:vMerge w:val="continue"/>
            <w:tcBorders>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p>
        </w:tc>
        <w:tc>
          <w:tcPr>
            <w:tcW w:w="1430" w:type="dxa"/>
            <w:tcBorders>
              <w:top w:val="nil"/>
              <w:left w:val="nil"/>
              <w:bottom w:val="single" w:color="auto" w:sz="8" w:space="0"/>
              <w:right w:val="single" w:color="auto" w:sz="8" w:space="0"/>
            </w:tcBorders>
            <w:noWrap/>
            <w:vAlign w:val="center"/>
          </w:tcPr>
          <w:p>
            <w:pPr>
              <w:pageBreakBefore w:val="0"/>
              <w:widowControl/>
              <w:kinsoku/>
              <w:wordWrap/>
              <w:overflowPunct/>
              <w:topLinePunct w:val="0"/>
              <w:bidi w:val="0"/>
              <w:spacing w:line="576" w:lineRule="exact"/>
              <w:jc w:val="center"/>
              <w:rPr>
                <w:rFonts w:ascii="宋体" w:hAnsi="宋体" w:cs="宋体"/>
                <w:color w:val="000000"/>
                <w:kern w:val="0"/>
                <w:sz w:val="18"/>
                <w:szCs w:val="18"/>
              </w:rPr>
            </w:pPr>
            <w:r>
              <w:rPr>
                <w:rFonts w:hint="eastAsia" w:ascii="宋体" w:hAnsi="宋体" w:cs="宋体"/>
                <w:color w:val="000000"/>
                <w:kern w:val="0"/>
                <w:sz w:val="18"/>
                <w:szCs w:val="18"/>
              </w:rPr>
              <w:t>一般公共预算</w:t>
            </w:r>
          </w:p>
        </w:tc>
        <w:tc>
          <w:tcPr>
            <w:tcW w:w="1274" w:type="dxa"/>
            <w:tcBorders>
              <w:top w:val="nil"/>
              <w:left w:val="nil"/>
              <w:bottom w:val="single" w:color="auto" w:sz="8" w:space="0"/>
              <w:right w:val="single" w:color="auto" w:sz="8" w:space="0"/>
            </w:tcBorders>
            <w:noWrap w:val="0"/>
            <w:vAlign w:val="center"/>
          </w:tcPr>
          <w:p>
            <w:pPr>
              <w:pageBreakBefore w:val="0"/>
              <w:widowControl/>
              <w:kinsoku/>
              <w:wordWrap/>
              <w:overflowPunct/>
              <w:topLinePunct w:val="0"/>
              <w:bidi w:val="0"/>
              <w:spacing w:line="576" w:lineRule="exact"/>
              <w:jc w:val="center"/>
              <w:rPr>
                <w:rFonts w:ascii="宋体" w:hAnsi="宋体" w:cs="宋体"/>
                <w:color w:val="000000"/>
                <w:kern w:val="0"/>
                <w:sz w:val="18"/>
                <w:szCs w:val="18"/>
              </w:rPr>
            </w:pPr>
            <w:r>
              <w:rPr>
                <w:rFonts w:hint="eastAsia" w:ascii="宋体" w:hAnsi="宋体" w:cs="宋体"/>
                <w:color w:val="000000"/>
                <w:kern w:val="0"/>
                <w:sz w:val="18"/>
                <w:szCs w:val="18"/>
              </w:rPr>
              <w:t>政府性基金</w:t>
            </w:r>
          </w:p>
        </w:tc>
        <w:tc>
          <w:tcPr>
            <w:tcW w:w="115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326" w:hRule="atLeast"/>
        </w:trPr>
        <w:tc>
          <w:tcPr>
            <w:tcW w:w="256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一般公共服务支出</w:t>
            </w:r>
          </w:p>
        </w:tc>
        <w:tc>
          <w:tcPr>
            <w:tcW w:w="1252"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1284.86</w:t>
            </w:r>
          </w:p>
        </w:tc>
        <w:tc>
          <w:tcPr>
            <w:tcW w:w="111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1263.11</w:t>
            </w:r>
          </w:p>
        </w:tc>
        <w:tc>
          <w:tcPr>
            <w:tcW w:w="1430"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1284.86</w:t>
            </w:r>
          </w:p>
        </w:tc>
        <w:tc>
          <w:tcPr>
            <w:tcW w:w="127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p>
        </w:tc>
        <w:tc>
          <w:tcPr>
            <w:tcW w:w="115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rPr>
          <w:trHeight w:val="326" w:hRule="atLeast"/>
        </w:trPr>
        <w:tc>
          <w:tcPr>
            <w:tcW w:w="256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1252"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19.41</w:t>
            </w:r>
          </w:p>
        </w:tc>
        <w:tc>
          <w:tcPr>
            <w:tcW w:w="111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p>
        </w:tc>
        <w:tc>
          <w:tcPr>
            <w:tcW w:w="1430"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19.41</w:t>
            </w:r>
          </w:p>
        </w:tc>
        <w:tc>
          <w:tcPr>
            <w:tcW w:w="127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p>
        </w:tc>
        <w:tc>
          <w:tcPr>
            <w:tcW w:w="115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26" w:hRule="atLeast"/>
        </w:trPr>
        <w:tc>
          <w:tcPr>
            <w:tcW w:w="256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卫生健康支出</w:t>
            </w:r>
          </w:p>
        </w:tc>
        <w:tc>
          <w:tcPr>
            <w:tcW w:w="1252"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7.35</w:t>
            </w:r>
          </w:p>
        </w:tc>
        <w:tc>
          <w:tcPr>
            <w:tcW w:w="111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p>
        </w:tc>
        <w:tc>
          <w:tcPr>
            <w:tcW w:w="1430"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7.35</w:t>
            </w:r>
          </w:p>
        </w:tc>
        <w:tc>
          <w:tcPr>
            <w:tcW w:w="127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p>
        </w:tc>
        <w:tc>
          <w:tcPr>
            <w:tcW w:w="115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rPr>
          <w:trHeight w:val="326" w:hRule="atLeast"/>
        </w:trPr>
        <w:tc>
          <w:tcPr>
            <w:tcW w:w="256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农林水支出</w:t>
            </w:r>
          </w:p>
        </w:tc>
        <w:tc>
          <w:tcPr>
            <w:tcW w:w="1252"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3.19</w:t>
            </w:r>
          </w:p>
        </w:tc>
        <w:tc>
          <w:tcPr>
            <w:tcW w:w="111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p>
        </w:tc>
        <w:tc>
          <w:tcPr>
            <w:tcW w:w="1430"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3.19</w:t>
            </w:r>
          </w:p>
        </w:tc>
        <w:tc>
          <w:tcPr>
            <w:tcW w:w="127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p>
        </w:tc>
        <w:tc>
          <w:tcPr>
            <w:tcW w:w="115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26" w:hRule="atLeast"/>
        </w:trPr>
        <w:tc>
          <w:tcPr>
            <w:tcW w:w="256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住房保障支出</w:t>
            </w:r>
          </w:p>
        </w:tc>
        <w:tc>
          <w:tcPr>
            <w:tcW w:w="1252"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10.22</w:t>
            </w:r>
          </w:p>
        </w:tc>
        <w:tc>
          <w:tcPr>
            <w:tcW w:w="111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p>
        </w:tc>
        <w:tc>
          <w:tcPr>
            <w:tcW w:w="1430"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10.22</w:t>
            </w:r>
          </w:p>
        </w:tc>
        <w:tc>
          <w:tcPr>
            <w:tcW w:w="127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p>
        </w:tc>
        <w:tc>
          <w:tcPr>
            <w:tcW w:w="115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rPr>
          <w:trHeight w:val="326" w:hRule="atLeast"/>
        </w:trPr>
        <w:tc>
          <w:tcPr>
            <w:tcW w:w="256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粮油物资储备支出</w:t>
            </w:r>
          </w:p>
        </w:tc>
        <w:tc>
          <w:tcPr>
            <w:tcW w:w="1252"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14</w:t>
            </w:r>
          </w:p>
        </w:tc>
        <w:tc>
          <w:tcPr>
            <w:tcW w:w="111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14</w:t>
            </w:r>
          </w:p>
        </w:tc>
        <w:tc>
          <w:tcPr>
            <w:tcW w:w="1430"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p>
        </w:tc>
        <w:tc>
          <w:tcPr>
            <w:tcW w:w="115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26" w:hRule="atLeast"/>
        </w:trPr>
        <w:tc>
          <w:tcPr>
            <w:tcW w:w="2568"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合  计</w:t>
            </w:r>
          </w:p>
        </w:tc>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2581.24</w:t>
            </w:r>
          </w:p>
        </w:tc>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1277.11</w:t>
            </w:r>
          </w:p>
        </w:tc>
        <w:tc>
          <w:tcPr>
            <w:tcW w:w="1430"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1325.02</w:t>
            </w:r>
          </w:p>
        </w:tc>
        <w:tc>
          <w:tcPr>
            <w:tcW w:w="127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p>
        </w:tc>
        <w:tc>
          <w:tcPr>
            <w:tcW w:w="115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right"/>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ageBreakBefore w:val="0"/>
        <w:kinsoku/>
        <w:wordWrap/>
        <w:overflowPunct/>
        <w:topLinePunct w:val="0"/>
        <w:bidi w:val="0"/>
        <w:spacing w:line="576" w:lineRule="exact"/>
        <w:ind w:firstLine="642" w:firstLineChars="2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（二）支出情况</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年初预算反映，机关事务服务中心 2021年预算安排支出2602.13万元，其中：基本支出531.62万元，项目支出2070.51万元。决算报表反映，机关事务服务中心2021年决算支出2581.24万元，其中：基本支出510.73万元（人员经费171.16万元、日常公用经费339.57万元），项目支出2070.51万元。明细见下表：</w:t>
      </w:r>
    </w:p>
    <w:tbl>
      <w:tblPr>
        <w:tblStyle w:val="12"/>
        <w:tblW w:w="8893" w:type="dxa"/>
        <w:tblInd w:w="108" w:type="dxa"/>
        <w:tblLayout w:type="autofit"/>
        <w:tblCellMar>
          <w:top w:w="0" w:type="dxa"/>
          <w:left w:w="108" w:type="dxa"/>
          <w:bottom w:w="0" w:type="dxa"/>
          <w:right w:w="108" w:type="dxa"/>
        </w:tblCellMar>
      </w:tblPr>
      <w:tblGrid>
        <w:gridCol w:w="2008"/>
        <w:gridCol w:w="1147"/>
        <w:gridCol w:w="1291"/>
        <w:gridCol w:w="1148"/>
        <w:gridCol w:w="1003"/>
        <w:gridCol w:w="1147"/>
        <w:gridCol w:w="1149"/>
      </w:tblGrid>
      <w:tr>
        <w:tblPrEx>
          <w:tblCellMar>
            <w:top w:w="0" w:type="dxa"/>
            <w:left w:w="108" w:type="dxa"/>
            <w:bottom w:w="0" w:type="dxa"/>
            <w:right w:w="108" w:type="dxa"/>
          </w:tblCellMar>
        </w:tblPrEx>
        <w:trPr>
          <w:trHeight w:val="360" w:hRule="atLeast"/>
        </w:trPr>
        <w:tc>
          <w:tcPr>
            <w:tcW w:w="8893" w:type="dxa"/>
            <w:gridSpan w:val="7"/>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576" w:lineRule="exact"/>
              <w:ind w:right="90"/>
              <w:jc w:val="center"/>
              <w:rPr>
                <w:color w:val="000000"/>
                <w:sz w:val="18"/>
                <w:szCs w:val="18"/>
              </w:rPr>
            </w:pPr>
            <w:r>
              <w:rPr>
                <w:rFonts w:hint="eastAsia"/>
                <w:color w:val="000000"/>
                <w:sz w:val="24"/>
                <w:szCs w:val="24"/>
                <w:lang w:val="en-US" w:eastAsia="zh-CN"/>
              </w:rPr>
              <w:t xml:space="preserve">                   </w:t>
            </w:r>
            <w:r>
              <w:rPr>
                <w:color w:val="000000"/>
                <w:sz w:val="24"/>
                <w:szCs w:val="24"/>
              </w:rPr>
              <w:t>202</w:t>
            </w:r>
            <w:r>
              <w:rPr>
                <w:rFonts w:hint="eastAsia"/>
                <w:color w:val="000000"/>
                <w:sz w:val="24"/>
                <w:szCs w:val="24"/>
                <w:lang w:val="en-US" w:eastAsia="zh-CN"/>
              </w:rPr>
              <w:t>1</w:t>
            </w:r>
            <w:r>
              <w:rPr>
                <w:rFonts w:hint="eastAsia"/>
                <w:color w:val="000000"/>
                <w:sz w:val="24"/>
                <w:szCs w:val="24"/>
              </w:rPr>
              <w:t>年支出情况明细表</w:t>
            </w:r>
            <w:r>
              <w:rPr>
                <w:color w:val="000000"/>
                <w:sz w:val="24"/>
                <w:szCs w:val="24"/>
              </w:rPr>
              <w:t xml:space="preserve">               </w:t>
            </w:r>
            <w:r>
              <w:rPr>
                <w:rFonts w:hint="eastAsia"/>
                <w:color w:val="000000"/>
                <w:sz w:val="24"/>
                <w:szCs w:val="24"/>
              </w:rPr>
              <w:t>单位：万元</w:t>
            </w:r>
          </w:p>
        </w:tc>
      </w:tr>
      <w:tr>
        <w:tblPrEx>
          <w:tblCellMar>
            <w:top w:w="0" w:type="dxa"/>
            <w:left w:w="108" w:type="dxa"/>
            <w:bottom w:w="0" w:type="dxa"/>
            <w:right w:w="108" w:type="dxa"/>
          </w:tblCellMar>
        </w:tblPrEx>
        <w:trPr>
          <w:trHeight w:val="360" w:hRule="atLeast"/>
        </w:trPr>
        <w:tc>
          <w:tcPr>
            <w:tcW w:w="2008"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3586"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年初预算数</w:t>
            </w:r>
          </w:p>
        </w:tc>
        <w:tc>
          <w:tcPr>
            <w:tcW w:w="3298"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决算</w:t>
            </w:r>
          </w:p>
        </w:tc>
      </w:tr>
      <w:tr>
        <w:tblPrEx>
          <w:tblCellMar>
            <w:top w:w="0" w:type="dxa"/>
            <w:left w:w="108" w:type="dxa"/>
            <w:bottom w:w="0" w:type="dxa"/>
            <w:right w:w="108" w:type="dxa"/>
          </w:tblCellMar>
        </w:tblPrEx>
        <w:trPr>
          <w:trHeight w:val="360" w:hRule="atLeast"/>
        </w:trPr>
        <w:tc>
          <w:tcPr>
            <w:tcW w:w="2008"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76" w:lineRule="exact"/>
              <w:jc w:val="left"/>
              <w:rPr>
                <w:rFonts w:ascii="宋体" w:hAnsi="宋体" w:cs="宋体"/>
                <w:color w:val="000000"/>
                <w:kern w:val="0"/>
                <w:sz w:val="18"/>
                <w:szCs w:val="18"/>
              </w:rPr>
            </w:pP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129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基本支出</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项目支出</w:t>
            </w:r>
          </w:p>
        </w:tc>
        <w:tc>
          <w:tcPr>
            <w:tcW w:w="100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基本支出</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项目支出</w:t>
            </w:r>
          </w:p>
        </w:tc>
      </w:tr>
      <w:tr>
        <w:tblPrEx>
          <w:tblCellMar>
            <w:top w:w="0" w:type="dxa"/>
            <w:left w:w="108" w:type="dxa"/>
            <w:bottom w:w="0" w:type="dxa"/>
            <w:right w:w="108" w:type="dxa"/>
          </w:tblCellMar>
        </w:tblPrEx>
        <w:trPr>
          <w:trHeight w:val="600" w:hRule="atLeast"/>
        </w:trPr>
        <w:tc>
          <w:tcPr>
            <w:tcW w:w="200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一般公共服务支出</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2554.33</w:t>
            </w:r>
          </w:p>
        </w:tc>
        <w:tc>
          <w:tcPr>
            <w:tcW w:w="129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501</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2053.33</w:t>
            </w:r>
          </w:p>
        </w:tc>
        <w:tc>
          <w:tcPr>
            <w:tcW w:w="100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2533.44</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480.11</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2053.33</w:t>
            </w:r>
          </w:p>
        </w:tc>
      </w:tr>
      <w:tr>
        <w:tblPrEx>
          <w:tblCellMar>
            <w:top w:w="0" w:type="dxa"/>
            <w:left w:w="108" w:type="dxa"/>
            <w:bottom w:w="0" w:type="dxa"/>
            <w:right w:w="108" w:type="dxa"/>
          </w:tblCellMar>
        </w:tblPrEx>
        <w:trPr>
          <w:trHeight w:val="360" w:hRule="atLeast"/>
        </w:trPr>
        <w:tc>
          <w:tcPr>
            <w:tcW w:w="200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left"/>
              <w:rPr>
                <w:rFonts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19.41</w:t>
            </w:r>
          </w:p>
        </w:tc>
        <w:tc>
          <w:tcPr>
            <w:tcW w:w="129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13.05</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p>
        </w:tc>
        <w:tc>
          <w:tcPr>
            <w:tcW w:w="100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19.41</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13.05</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60" w:hRule="atLeast"/>
        </w:trPr>
        <w:tc>
          <w:tcPr>
            <w:tcW w:w="200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left"/>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7.35</w:t>
            </w:r>
          </w:p>
        </w:tc>
        <w:tc>
          <w:tcPr>
            <w:tcW w:w="129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7.35</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p>
        </w:tc>
        <w:tc>
          <w:tcPr>
            <w:tcW w:w="100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7.35</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7.35</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60" w:hRule="atLeast"/>
        </w:trPr>
        <w:tc>
          <w:tcPr>
            <w:tcW w:w="200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left"/>
              <w:rPr>
                <w:rFonts w:ascii="宋体" w:hAnsi="宋体" w:cs="宋体"/>
                <w:color w:val="000000"/>
                <w:kern w:val="0"/>
                <w:sz w:val="18"/>
                <w:szCs w:val="18"/>
              </w:rPr>
            </w:pPr>
            <w:r>
              <w:rPr>
                <w:rFonts w:hint="eastAsia" w:ascii="宋体" w:hAnsi="宋体" w:cs="宋体"/>
                <w:color w:val="000000"/>
                <w:kern w:val="0"/>
                <w:sz w:val="18"/>
                <w:szCs w:val="18"/>
              </w:rPr>
              <w:t>农林水支出</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3.19</w:t>
            </w:r>
          </w:p>
        </w:tc>
        <w:tc>
          <w:tcPr>
            <w:tcW w:w="129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3.19</w:t>
            </w:r>
          </w:p>
        </w:tc>
        <w:tc>
          <w:tcPr>
            <w:tcW w:w="100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3.19</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3.19</w:t>
            </w:r>
          </w:p>
        </w:tc>
      </w:tr>
      <w:tr>
        <w:tblPrEx>
          <w:tblCellMar>
            <w:top w:w="0" w:type="dxa"/>
            <w:left w:w="108" w:type="dxa"/>
            <w:bottom w:w="0" w:type="dxa"/>
            <w:right w:w="108" w:type="dxa"/>
          </w:tblCellMar>
        </w:tblPrEx>
        <w:trPr>
          <w:trHeight w:val="360" w:hRule="atLeast"/>
        </w:trPr>
        <w:tc>
          <w:tcPr>
            <w:tcW w:w="200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10.22</w:t>
            </w:r>
          </w:p>
        </w:tc>
        <w:tc>
          <w:tcPr>
            <w:tcW w:w="129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10.22</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p>
        </w:tc>
        <w:tc>
          <w:tcPr>
            <w:tcW w:w="100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10.22</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10.22</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60" w:hRule="atLeast"/>
        </w:trPr>
        <w:tc>
          <w:tcPr>
            <w:tcW w:w="200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left"/>
              <w:rPr>
                <w:rFonts w:ascii="宋体" w:hAnsi="宋体" w:cs="宋体"/>
                <w:color w:val="000000"/>
                <w:kern w:val="0"/>
                <w:sz w:val="18"/>
                <w:szCs w:val="18"/>
              </w:rPr>
            </w:pPr>
            <w:r>
              <w:rPr>
                <w:rFonts w:hint="eastAsia" w:ascii="宋体" w:hAnsi="宋体" w:cs="宋体"/>
                <w:color w:val="000000"/>
                <w:kern w:val="0"/>
                <w:sz w:val="18"/>
                <w:szCs w:val="18"/>
              </w:rPr>
              <w:t>粮油物资储备支出</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14</w:t>
            </w:r>
          </w:p>
        </w:tc>
        <w:tc>
          <w:tcPr>
            <w:tcW w:w="129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14</w:t>
            </w:r>
          </w:p>
        </w:tc>
        <w:tc>
          <w:tcPr>
            <w:tcW w:w="100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14</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14</w:t>
            </w:r>
          </w:p>
        </w:tc>
      </w:tr>
      <w:tr>
        <w:tblPrEx>
          <w:tblCellMar>
            <w:top w:w="0" w:type="dxa"/>
            <w:left w:w="108" w:type="dxa"/>
            <w:bottom w:w="0" w:type="dxa"/>
            <w:right w:w="108" w:type="dxa"/>
          </w:tblCellMar>
        </w:tblPrEx>
        <w:trPr>
          <w:trHeight w:val="360" w:hRule="atLeast"/>
        </w:trPr>
        <w:tc>
          <w:tcPr>
            <w:tcW w:w="200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合</w:t>
            </w:r>
            <w:r>
              <w:rPr>
                <w:color w:val="000000"/>
                <w:kern w:val="0"/>
                <w:sz w:val="18"/>
                <w:szCs w:val="18"/>
              </w:rPr>
              <w:t xml:space="preserve">  </w:t>
            </w:r>
            <w:r>
              <w:rPr>
                <w:rFonts w:hint="eastAsia" w:ascii="宋体" w:hAnsi="宋体" w:cs="宋体"/>
                <w:color w:val="000000"/>
                <w:kern w:val="0"/>
                <w:sz w:val="18"/>
                <w:szCs w:val="18"/>
              </w:rPr>
              <w:t>计</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2602.13</w:t>
            </w:r>
          </w:p>
        </w:tc>
        <w:tc>
          <w:tcPr>
            <w:tcW w:w="1291"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5531.62</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2070.51</w:t>
            </w:r>
          </w:p>
        </w:tc>
        <w:tc>
          <w:tcPr>
            <w:tcW w:w="1003"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2581.24</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510.73</w:t>
            </w:r>
          </w:p>
        </w:tc>
        <w:tc>
          <w:tcPr>
            <w:tcW w:w="11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2070.51</w:t>
            </w:r>
          </w:p>
        </w:tc>
      </w:tr>
    </w:tbl>
    <w:p>
      <w:pPr>
        <w:pageBreakBefore w:val="0"/>
        <w:kinsoku/>
        <w:wordWrap/>
        <w:overflowPunct/>
        <w:topLinePunct w:val="0"/>
        <w:bidi w:val="0"/>
        <w:spacing w:line="576" w:lineRule="exact"/>
        <w:ind w:firstLine="642" w:firstLineChars="2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 xml:space="preserve">（三）结余分配和结转结余情况 </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决算报表反映，机关事务中心2021年末结转和结余20.89万元，其中：财政拨款结转20.89万元。明细见下表：</w:t>
      </w:r>
    </w:p>
    <w:tbl>
      <w:tblPr>
        <w:tblStyle w:val="12"/>
        <w:tblW w:w="8861" w:type="dxa"/>
        <w:tblInd w:w="108" w:type="dxa"/>
        <w:tblLayout w:type="autofit"/>
        <w:tblCellMar>
          <w:top w:w="0" w:type="dxa"/>
          <w:left w:w="108" w:type="dxa"/>
          <w:bottom w:w="0" w:type="dxa"/>
          <w:right w:w="108" w:type="dxa"/>
        </w:tblCellMar>
      </w:tblPr>
      <w:tblGrid>
        <w:gridCol w:w="3046"/>
        <w:gridCol w:w="1522"/>
        <w:gridCol w:w="1799"/>
        <w:gridCol w:w="2494"/>
      </w:tblGrid>
      <w:tr>
        <w:tblPrEx>
          <w:tblCellMar>
            <w:top w:w="0" w:type="dxa"/>
            <w:left w:w="108" w:type="dxa"/>
            <w:bottom w:w="0" w:type="dxa"/>
            <w:right w:w="108" w:type="dxa"/>
          </w:tblCellMar>
        </w:tblPrEx>
        <w:trPr>
          <w:trHeight w:val="1121" w:hRule="atLeast"/>
        </w:trPr>
        <w:tc>
          <w:tcPr>
            <w:tcW w:w="8861" w:type="dxa"/>
            <w:gridSpan w:val="4"/>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576" w:lineRule="exact"/>
              <w:ind w:right="90"/>
              <w:jc w:val="left"/>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color w:val="000000"/>
                <w:sz w:val="24"/>
                <w:szCs w:val="24"/>
              </w:rPr>
              <w:t xml:space="preserve">             </w:t>
            </w:r>
            <w:r>
              <w:rPr>
                <w:color w:val="000000"/>
                <w:sz w:val="24"/>
                <w:szCs w:val="24"/>
              </w:rPr>
              <w:t xml:space="preserve">        </w:t>
            </w:r>
            <w:r>
              <w:rPr>
                <w:rFonts w:hint="eastAsia"/>
                <w:color w:val="000000"/>
                <w:sz w:val="24"/>
                <w:szCs w:val="24"/>
              </w:rPr>
              <w:t xml:space="preserve"> 202</w:t>
            </w:r>
            <w:r>
              <w:rPr>
                <w:rFonts w:hint="eastAsia"/>
                <w:color w:val="000000"/>
                <w:sz w:val="24"/>
                <w:szCs w:val="24"/>
                <w:lang w:val="en-US" w:eastAsia="zh-CN"/>
              </w:rPr>
              <w:t>1</w:t>
            </w:r>
            <w:r>
              <w:rPr>
                <w:rFonts w:hint="eastAsia"/>
                <w:color w:val="000000"/>
                <w:sz w:val="24"/>
                <w:szCs w:val="24"/>
              </w:rPr>
              <w:t>年</w:t>
            </w:r>
            <w:r>
              <w:rPr>
                <w:color w:val="000000"/>
                <w:sz w:val="24"/>
                <w:szCs w:val="24"/>
              </w:rPr>
              <w:t>末结转结余</w:t>
            </w:r>
            <w:r>
              <w:rPr>
                <w:rFonts w:hint="eastAsia"/>
                <w:color w:val="000000"/>
                <w:sz w:val="24"/>
                <w:szCs w:val="24"/>
              </w:rPr>
              <w:t xml:space="preserve">明细表   </w:t>
            </w:r>
            <w:r>
              <w:rPr>
                <w:color w:val="000000"/>
                <w:sz w:val="24"/>
                <w:szCs w:val="24"/>
              </w:rPr>
              <w:t xml:space="preserve">           </w:t>
            </w:r>
            <w:r>
              <w:rPr>
                <w:rFonts w:hint="eastAsia"/>
                <w:color w:val="000000"/>
                <w:sz w:val="24"/>
                <w:szCs w:val="24"/>
              </w:rPr>
              <w:t>单位：万元</w:t>
            </w:r>
          </w:p>
        </w:tc>
      </w:tr>
      <w:tr>
        <w:tblPrEx>
          <w:tblCellMar>
            <w:top w:w="0" w:type="dxa"/>
            <w:left w:w="108" w:type="dxa"/>
            <w:bottom w:w="0" w:type="dxa"/>
            <w:right w:w="108" w:type="dxa"/>
          </w:tblCellMar>
        </w:tblPrEx>
        <w:trPr>
          <w:trHeight w:val="383" w:hRule="atLeast"/>
        </w:trPr>
        <w:tc>
          <w:tcPr>
            <w:tcW w:w="3046"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科目名称</w:t>
            </w:r>
          </w:p>
        </w:tc>
        <w:tc>
          <w:tcPr>
            <w:tcW w:w="5815"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年末结转结余</w:t>
            </w:r>
          </w:p>
        </w:tc>
      </w:tr>
      <w:tr>
        <w:tblPrEx>
          <w:tblCellMar>
            <w:top w:w="0" w:type="dxa"/>
            <w:left w:w="108" w:type="dxa"/>
            <w:bottom w:w="0" w:type="dxa"/>
            <w:right w:w="108" w:type="dxa"/>
          </w:tblCellMar>
        </w:tblPrEx>
        <w:trPr>
          <w:trHeight w:val="751" w:hRule="atLeast"/>
        </w:trPr>
        <w:tc>
          <w:tcPr>
            <w:tcW w:w="3046"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576" w:lineRule="exact"/>
              <w:jc w:val="left"/>
              <w:rPr>
                <w:rFonts w:ascii="宋体" w:hAnsi="宋体" w:cs="宋体"/>
                <w:color w:val="000000"/>
                <w:kern w:val="0"/>
                <w:sz w:val="18"/>
                <w:szCs w:val="18"/>
              </w:rPr>
            </w:pPr>
          </w:p>
        </w:tc>
        <w:tc>
          <w:tcPr>
            <w:tcW w:w="1522"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179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基本支出</w:t>
            </w:r>
          </w:p>
        </w:tc>
        <w:tc>
          <w:tcPr>
            <w:tcW w:w="249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项目支出</w:t>
            </w:r>
          </w:p>
        </w:tc>
      </w:tr>
      <w:tr>
        <w:tblPrEx>
          <w:tblCellMar>
            <w:top w:w="0" w:type="dxa"/>
            <w:left w:w="108" w:type="dxa"/>
            <w:bottom w:w="0" w:type="dxa"/>
            <w:right w:w="108" w:type="dxa"/>
          </w:tblCellMar>
        </w:tblPrEx>
        <w:trPr>
          <w:trHeight w:val="796" w:hRule="atLeast"/>
        </w:trPr>
        <w:tc>
          <w:tcPr>
            <w:tcW w:w="304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一般公共服务支出</w:t>
            </w:r>
          </w:p>
        </w:tc>
        <w:tc>
          <w:tcPr>
            <w:tcW w:w="1522"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20.89</w:t>
            </w:r>
          </w:p>
        </w:tc>
        <w:tc>
          <w:tcPr>
            <w:tcW w:w="179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20.89</w:t>
            </w:r>
          </w:p>
        </w:tc>
        <w:tc>
          <w:tcPr>
            <w:tcW w:w="249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1011" w:hRule="atLeast"/>
        </w:trPr>
        <w:tc>
          <w:tcPr>
            <w:tcW w:w="304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1522"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20.89</w:t>
            </w:r>
          </w:p>
        </w:tc>
        <w:tc>
          <w:tcPr>
            <w:tcW w:w="179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20.89</w:t>
            </w:r>
          </w:p>
        </w:tc>
        <w:tc>
          <w:tcPr>
            <w:tcW w:w="249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576" w:lineRule="exact"/>
              <w:jc w:val="center"/>
              <w:rPr>
                <w:rFonts w:hint="eastAsia" w:ascii="宋体" w:hAnsi="宋体" w:cs="宋体"/>
                <w:color w:val="000000"/>
                <w:kern w:val="0"/>
                <w:sz w:val="18"/>
                <w:szCs w:val="18"/>
              </w:rPr>
            </w:pPr>
          </w:p>
        </w:tc>
      </w:tr>
    </w:tbl>
    <w:p>
      <w:pPr>
        <w:pageBreakBefore w:val="0"/>
        <w:kinsoku/>
        <w:wordWrap/>
        <w:overflowPunct/>
        <w:topLinePunct w:val="0"/>
        <w:bidi w:val="0"/>
        <w:spacing w:line="576" w:lineRule="exact"/>
        <w:ind w:firstLine="1285" w:firstLineChars="4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部门预算项目绩效管理</w:t>
      </w:r>
    </w:p>
    <w:p>
      <w:pPr>
        <w:pageBreakBefore w:val="0"/>
        <w:kinsoku/>
        <w:wordWrap/>
        <w:overflowPunct/>
        <w:topLinePunct w:val="0"/>
        <w:bidi w:val="0"/>
        <w:spacing w:line="576" w:lineRule="exact"/>
        <w:ind w:firstLine="626" w:firstLineChars="200"/>
        <w:rPr>
          <w:rFonts w:hint="eastAsia" w:ascii="仿宋" w:hAnsi="仿宋" w:eastAsia="仿宋" w:cs="仿宋"/>
          <w:color w:val="000000"/>
          <w:w w:val="98"/>
          <w:kern w:val="0"/>
          <w:sz w:val="32"/>
          <w:szCs w:val="32"/>
          <w:lang w:val="en-US" w:eastAsia="zh-CN" w:bidi="ar-SA"/>
        </w:rPr>
      </w:pPr>
      <w:r>
        <w:rPr>
          <w:rFonts w:hint="eastAsia" w:ascii="仿宋" w:hAnsi="仿宋" w:eastAsia="仿宋" w:cs="仿宋"/>
          <w:color w:val="000000"/>
          <w:w w:val="98"/>
          <w:kern w:val="0"/>
          <w:sz w:val="32"/>
          <w:szCs w:val="32"/>
          <w:lang w:val="en-US" w:eastAsia="zh-CN" w:bidi="ar-SA"/>
        </w:rPr>
        <w:t>（1）目标管理方面：满分15分，得分12分，得分率80%。</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根据《中华人民共和国预算法》《四川省级预算管理绩效目标管理办法》（川财绩﹝2017﹞5号）的相关要求，2021年初我中心制定部门整体绩效目标，预算经费为1325.02万元，均为财政拨款。我中心绩效目标是根据项目实际情况和年度工作任务设定的，编制内容完整，要素齐全，切实可行，与预算投入资金相匹配。绩效目标编制要素完整、绩效指标细化量化、绩效目标纳入主任办公会集体决策，以项目完成数量为核心，评价项目实现完成情况和预期绩效目标基本一致。</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根据指标分值=15。</w:t>
      </w:r>
    </w:p>
    <w:p>
      <w:pPr>
        <w:pageBreakBefore w:val="0"/>
        <w:kinsoku/>
        <w:wordWrap/>
        <w:overflowPunct/>
        <w:topLinePunct w:val="0"/>
        <w:bidi w:val="0"/>
        <w:spacing w:line="576" w:lineRule="exact"/>
        <w:ind w:firstLine="640" w:firstLineChars="20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动态调整方面：满分10分，得分9分，得分率90%。</w:t>
      </w:r>
    </w:p>
    <w:p>
      <w:pPr>
        <w:pageBreakBefore w:val="0"/>
        <w:kinsoku/>
        <w:wordWrap/>
        <w:overflowPunct/>
        <w:topLinePunct w:val="0"/>
        <w:bidi w:val="0"/>
        <w:spacing w:line="576" w:lineRule="exact"/>
        <w:ind w:firstLine="640" w:firstLineChars="200"/>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我中心日常公用经费、项目支出中的办公费、差旅费、水费、电费、维护费、物业管理费等年初预算数和决算数无偏差。本单位开展绩效运行监控，并将绩效监控结果运用到预算调整。机关事务服务中心预算收入总数2602.13万元，部门绩效监控调整为0.00万元，预算结余20.89万元。预算执行进度基本达到序时进度并达到量化指标。</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根据指标分值=15。</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完成效率方面：满分15分，得分13分，得分率86%。</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机关事务服务中心预算收入总数2602.13万元，预算项目12月预算执行进度达到99.993%。一般公共服务支出结余资金结余20.89万元，项目资金结余金额为0，结余率小于0.007。审计部门未对我中心开展审计。财政检查预算管理方面无违纪违规问题。</w:t>
      </w:r>
    </w:p>
    <w:p>
      <w:pPr>
        <w:pageBreakBefore w:val="0"/>
        <w:kinsoku/>
        <w:wordWrap/>
        <w:overflowPunct/>
        <w:topLinePunct w:val="0"/>
        <w:bidi w:val="0"/>
        <w:spacing w:line="576" w:lineRule="exact"/>
        <w:ind w:firstLine="642" w:firstLineChars="2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专项预算项目绩效管理</w:t>
      </w:r>
    </w:p>
    <w:p>
      <w:pPr>
        <w:pageBreakBefore w:val="0"/>
        <w:kinsoku/>
        <w:wordWrap/>
        <w:overflowPunct/>
        <w:topLinePunct w:val="0"/>
        <w:bidi w:val="0"/>
        <w:spacing w:line="576"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专项预算项目绩效管理满分40分，得分40分，得分率100%。</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我中心严格按照专项预算项目事前开展事前评估、事中绩效监控、事后开展自评预算执行进度达到序时进度并达到量化指标。</w:t>
      </w:r>
    </w:p>
    <w:p>
      <w:pPr>
        <w:pageBreakBefore w:val="0"/>
        <w:kinsoku/>
        <w:wordWrap/>
        <w:overflowPunct/>
        <w:topLinePunct w:val="0"/>
        <w:bidi w:val="0"/>
        <w:spacing w:line="576" w:lineRule="exact"/>
        <w:ind w:firstLine="642" w:firstLineChars="2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绩效结果应用</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我中心绩效结果与预算挂钩，并将绩效自评纳入考核体系，建立绩效管理制度，本单位有相应资金对应的业务本门具体实施，各业务部门对所管理项目和使用资金预算绩效评价直接责任并开展自评。我中心按照《中华人民共和国预算法》、《中华人民共和国政府信息公开条例》、《国务院关于深化预算管理制度改革的决定》、《中共中央办公厅、国务院办公厅关于进一步推进预算公开工作的意见》以及财政部《地方预决算公开操作规程》的要求进行2021年度预决算信息公开。财政检查预算管理方面无违纪违规问题。</w:t>
      </w:r>
    </w:p>
    <w:p>
      <w:pPr>
        <w:pageBreakBefore w:val="0"/>
        <w:kinsoku/>
        <w:wordWrap/>
        <w:overflowPunct/>
        <w:topLinePunct w:val="0"/>
        <w:bidi w:val="0"/>
        <w:spacing w:line="576" w:lineRule="exact"/>
        <w:ind w:firstLine="642" w:firstLineChars="2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自评质量</w:t>
      </w:r>
    </w:p>
    <w:p>
      <w:pPr>
        <w:pageBreakBefore w:val="0"/>
        <w:kinsoku/>
        <w:wordWrap/>
        <w:overflowPunct/>
        <w:topLinePunct w:val="0"/>
        <w:bidi w:val="0"/>
        <w:spacing w:line="576" w:lineRule="exact"/>
        <w:ind w:firstLine="640" w:firstLineChars="200"/>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综合以上各项指标，我单位财务管理健全规范，整体绩效目标设定合理，编制内容完整，要素齐全，与预算投入资金相匹配，绩效自评科学、准确，没有发生违法违规现象，我单位2021年的部门整体支出绩效自我评价自评结果：总评分96分。</w:t>
      </w:r>
    </w:p>
    <w:p>
      <w:pPr>
        <w:pageBreakBefore w:val="0"/>
        <w:kinsoku/>
        <w:wordWrap/>
        <w:overflowPunct/>
        <w:topLinePunct w:val="0"/>
        <w:bidi w:val="0"/>
        <w:spacing w:line="576" w:lineRule="exact"/>
        <w:ind w:firstLine="642" w:firstLineChars="2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四、评价结论及建议</w:t>
      </w:r>
    </w:p>
    <w:p>
      <w:pPr>
        <w:pageBreakBefore w:val="0"/>
        <w:kinsoku/>
        <w:wordWrap/>
        <w:overflowPunct/>
        <w:topLinePunct w:val="0"/>
        <w:bidi w:val="0"/>
        <w:spacing w:line="576" w:lineRule="exact"/>
        <w:ind w:firstLine="642" w:firstLineChars="2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（一）评价结论</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按照《2021年度部门整体支出绩效评价指标体系》，机关事务服务中心2021年度部门整体绩效评价得分96分。详见下表：</w:t>
      </w:r>
    </w:p>
    <w:tbl>
      <w:tblPr>
        <w:tblStyle w:val="12"/>
        <w:tblpPr w:leftFromText="180" w:rightFromText="180" w:vertAnchor="text" w:horzAnchor="margin" w:tblpXSpec="right" w:tblpY="194"/>
        <w:tblOverlap w:val="never"/>
        <w:tblW w:w="8603"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867"/>
        <w:gridCol w:w="2919"/>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一级指标</w:t>
            </w:r>
          </w:p>
        </w:tc>
        <w:tc>
          <w:tcPr>
            <w:tcW w:w="18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二级指标</w:t>
            </w:r>
          </w:p>
        </w:tc>
        <w:tc>
          <w:tcPr>
            <w:tcW w:w="29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三级指标</w:t>
            </w:r>
          </w:p>
        </w:tc>
        <w:tc>
          <w:tcPr>
            <w:tcW w:w="25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7"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szCs w:val="21"/>
              </w:rPr>
            </w:pPr>
          </w:p>
        </w:tc>
        <w:tc>
          <w:tcPr>
            <w:tcW w:w="1867"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szCs w:val="21"/>
              </w:rPr>
            </w:pPr>
          </w:p>
        </w:tc>
        <w:tc>
          <w:tcPr>
            <w:tcW w:w="2919"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szCs w:val="21"/>
              </w:rPr>
            </w:pPr>
          </w:p>
        </w:tc>
        <w:tc>
          <w:tcPr>
            <w:tcW w:w="254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r>
              <w:rPr>
                <w:rFonts w:hint="eastAsia" w:ascii="宋体" w:hAnsi="宋体" w:cs="宋体"/>
                <w:kern w:val="0"/>
                <w:sz w:val="18"/>
                <w:szCs w:val="18"/>
              </w:rPr>
              <w:t>部门预算项目绩效管理（40分）</w:t>
            </w:r>
          </w:p>
        </w:tc>
        <w:tc>
          <w:tcPr>
            <w:tcW w:w="18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r>
              <w:rPr>
                <w:rFonts w:hint="eastAsia" w:ascii="宋体" w:hAnsi="宋体" w:cs="宋体"/>
                <w:kern w:val="0"/>
                <w:sz w:val="18"/>
                <w:szCs w:val="18"/>
              </w:rPr>
              <w:t>目标管理（15分）</w:t>
            </w:r>
          </w:p>
        </w:tc>
        <w:tc>
          <w:tcPr>
            <w:tcW w:w="291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r>
              <w:rPr>
                <w:rFonts w:hint="eastAsia" w:ascii="宋体" w:hAnsi="宋体" w:cs="宋体"/>
                <w:kern w:val="0"/>
                <w:sz w:val="18"/>
                <w:szCs w:val="18"/>
              </w:rPr>
              <w:t>目标制定</w:t>
            </w:r>
          </w:p>
        </w:tc>
        <w:tc>
          <w:tcPr>
            <w:tcW w:w="25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color w:val="000000"/>
                <w:sz w:val="18"/>
                <w:szCs w:val="18"/>
              </w:rPr>
            </w:pPr>
            <w:r>
              <w:rPr>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2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cs="宋体"/>
                <w:color w:val="000000"/>
                <w:szCs w:val="21"/>
              </w:rPr>
            </w:pPr>
          </w:p>
        </w:tc>
        <w:tc>
          <w:tcPr>
            <w:tcW w:w="18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p>
        </w:tc>
        <w:tc>
          <w:tcPr>
            <w:tcW w:w="291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r>
              <w:rPr>
                <w:rFonts w:hint="eastAsia" w:ascii="宋体" w:hAnsi="宋体" w:cs="宋体"/>
                <w:kern w:val="0"/>
                <w:sz w:val="18"/>
                <w:szCs w:val="18"/>
              </w:rPr>
              <w:t>目标实现</w:t>
            </w:r>
          </w:p>
        </w:tc>
        <w:tc>
          <w:tcPr>
            <w:tcW w:w="25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eastAsia="宋体"/>
                <w:color w:val="000000"/>
                <w:sz w:val="18"/>
                <w:szCs w:val="18"/>
                <w:lang w:val="en-US" w:eastAsia="zh-CN"/>
              </w:rPr>
            </w:pPr>
            <w:r>
              <w:rPr>
                <w:rFonts w:hint="eastAsia"/>
                <w:color w:val="000000"/>
                <w:sz w:val="18"/>
                <w:szCs w:val="1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2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cs="宋体"/>
                <w:color w:val="000000"/>
                <w:szCs w:val="21"/>
              </w:rPr>
            </w:pPr>
          </w:p>
        </w:tc>
        <w:tc>
          <w:tcPr>
            <w:tcW w:w="18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r>
              <w:rPr>
                <w:rFonts w:hint="eastAsia" w:ascii="宋体" w:hAnsi="宋体" w:cs="宋体"/>
                <w:kern w:val="0"/>
                <w:sz w:val="18"/>
                <w:szCs w:val="18"/>
              </w:rPr>
              <w:t>动态调整（10分）</w:t>
            </w:r>
          </w:p>
        </w:tc>
        <w:tc>
          <w:tcPr>
            <w:tcW w:w="291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r>
              <w:rPr>
                <w:rFonts w:hint="eastAsia" w:ascii="宋体" w:hAnsi="宋体" w:cs="宋体"/>
                <w:kern w:val="0"/>
                <w:sz w:val="18"/>
                <w:szCs w:val="18"/>
              </w:rPr>
              <w:t>支出控制</w:t>
            </w:r>
          </w:p>
        </w:tc>
        <w:tc>
          <w:tcPr>
            <w:tcW w:w="25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color w:val="000000"/>
                <w:sz w:val="18"/>
                <w:szCs w:val="18"/>
              </w:rPr>
            </w:pPr>
            <w:r>
              <w:rPr>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cs="宋体"/>
                <w:color w:val="000000"/>
                <w:szCs w:val="21"/>
              </w:rPr>
            </w:pPr>
          </w:p>
        </w:tc>
        <w:tc>
          <w:tcPr>
            <w:tcW w:w="18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p>
        </w:tc>
        <w:tc>
          <w:tcPr>
            <w:tcW w:w="291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r>
              <w:rPr>
                <w:rFonts w:hint="eastAsia" w:ascii="宋体" w:hAnsi="宋体" w:cs="宋体"/>
                <w:kern w:val="0"/>
                <w:sz w:val="18"/>
                <w:szCs w:val="18"/>
              </w:rPr>
              <w:t>及时处置</w:t>
            </w:r>
          </w:p>
        </w:tc>
        <w:tc>
          <w:tcPr>
            <w:tcW w:w="25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eastAsia="宋体"/>
                <w:color w:val="000000"/>
                <w:sz w:val="18"/>
                <w:szCs w:val="18"/>
                <w:lang w:eastAsia="zh-CN"/>
              </w:rPr>
            </w:pPr>
            <w:r>
              <w:rPr>
                <w:rFonts w:hint="eastAsia"/>
                <w:color w:val="00000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cs="宋体"/>
                <w:color w:val="000000"/>
                <w:szCs w:val="21"/>
              </w:rPr>
            </w:pPr>
          </w:p>
        </w:tc>
        <w:tc>
          <w:tcPr>
            <w:tcW w:w="18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p>
        </w:tc>
        <w:tc>
          <w:tcPr>
            <w:tcW w:w="291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r>
              <w:rPr>
                <w:rFonts w:hint="eastAsia" w:ascii="宋体" w:hAnsi="宋体" w:cs="宋体"/>
                <w:kern w:val="0"/>
                <w:sz w:val="18"/>
                <w:szCs w:val="18"/>
              </w:rPr>
              <w:t>执行进度</w:t>
            </w:r>
          </w:p>
        </w:tc>
        <w:tc>
          <w:tcPr>
            <w:tcW w:w="25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eastAsia="宋体"/>
                <w:color w:val="000000"/>
                <w:sz w:val="18"/>
                <w:szCs w:val="18"/>
                <w:lang w:eastAsia="zh-CN"/>
              </w:rPr>
            </w:pPr>
            <w:r>
              <w:rPr>
                <w:rFonts w:hint="eastAsia"/>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cs="宋体"/>
                <w:color w:val="000000"/>
                <w:szCs w:val="21"/>
              </w:rPr>
            </w:pPr>
          </w:p>
        </w:tc>
        <w:tc>
          <w:tcPr>
            <w:tcW w:w="18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r>
              <w:rPr>
                <w:rFonts w:hint="eastAsia" w:ascii="宋体" w:hAnsi="宋体" w:cs="宋体"/>
                <w:kern w:val="0"/>
                <w:sz w:val="18"/>
                <w:szCs w:val="18"/>
              </w:rPr>
              <w:t>完成效率（15分）</w:t>
            </w:r>
          </w:p>
        </w:tc>
        <w:tc>
          <w:tcPr>
            <w:tcW w:w="291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r>
              <w:rPr>
                <w:rFonts w:hint="eastAsia" w:ascii="宋体" w:hAnsi="宋体" w:cs="宋体"/>
                <w:kern w:val="0"/>
                <w:sz w:val="18"/>
                <w:szCs w:val="18"/>
              </w:rPr>
              <w:t>预算完成</w:t>
            </w:r>
          </w:p>
        </w:tc>
        <w:tc>
          <w:tcPr>
            <w:tcW w:w="25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eastAsia="宋体"/>
                <w:color w:val="000000"/>
                <w:sz w:val="18"/>
                <w:szCs w:val="18"/>
                <w:lang w:eastAsia="zh-CN"/>
              </w:rPr>
            </w:pPr>
            <w:r>
              <w:rPr>
                <w:rFonts w:hint="eastAsia"/>
                <w:color w:val="00000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cs="宋体"/>
                <w:color w:val="000000"/>
                <w:szCs w:val="21"/>
              </w:rPr>
            </w:pPr>
          </w:p>
        </w:tc>
        <w:tc>
          <w:tcPr>
            <w:tcW w:w="18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p>
        </w:tc>
        <w:tc>
          <w:tcPr>
            <w:tcW w:w="291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r>
              <w:rPr>
                <w:rFonts w:hint="eastAsia" w:ascii="宋体" w:hAnsi="宋体" w:cs="宋体"/>
                <w:kern w:val="0"/>
                <w:sz w:val="18"/>
                <w:szCs w:val="18"/>
              </w:rPr>
              <w:t>资金结余率（低效无效率）</w:t>
            </w:r>
          </w:p>
        </w:tc>
        <w:tc>
          <w:tcPr>
            <w:tcW w:w="25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eastAsia="宋体"/>
                <w:color w:val="000000"/>
                <w:sz w:val="18"/>
                <w:szCs w:val="18"/>
                <w:lang w:eastAsia="zh-CN"/>
              </w:rPr>
            </w:pPr>
            <w:r>
              <w:rPr>
                <w:rFonts w:hint="eastAsia"/>
                <w:color w:val="00000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cs="宋体"/>
                <w:color w:val="000000"/>
                <w:szCs w:val="21"/>
              </w:rPr>
            </w:pPr>
          </w:p>
        </w:tc>
        <w:tc>
          <w:tcPr>
            <w:tcW w:w="18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p>
        </w:tc>
        <w:tc>
          <w:tcPr>
            <w:tcW w:w="291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r>
              <w:rPr>
                <w:rFonts w:hint="eastAsia" w:ascii="宋体" w:hAnsi="宋体" w:cs="宋体"/>
                <w:kern w:val="0"/>
                <w:sz w:val="18"/>
                <w:szCs w:val="18"/>
              </w:rPr>
              <w:t>违规记录</w:t>
            </w:r>
          </w:p>
        </w:tc>
        <w:tc>
          <w:tcPr>
            <w:tcW w:w="254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eastAsia="宋体"/>
                <w:color w:val="000000"/>
                <w:sz w:val="18"/>
                <w:szCs w:val="18"/>
                <w:lang w:eastAsia="zh-CN"/>
              </w:rPr>
            </w:pPr>
            <w:r>
              <w:rPr>
                <w:rFonts w:hint="eastAsia"/>
                <w:color w:val="000000"/>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cs="宋体"/>
                <w:b w:val="0"/>
                <w:bCs w:val="0"/>
                <w:color w:val="000000"/>
                <w:szCs w:val="21"/>
              </w:rPr>
            </w:pPr>
            <w:r>
              <w:rPr>
                <w:rFonts w:hint="eastAsia" w:ascii="宋体" w:hAnsi="宋体" w:cs="宋体"/>
                <w:kern w:val="0"/>
                <w:sz w:val="18"/>
                <w:szCs w:val="18"/>
              </w:rPr>
              <w:t>专项预算项目绩效管理（40分）</w:t>
            </w:r>
          </w:p>
        </w:tc>
        <w:tc>
          <w:tcPr>
            <w:tcW w:w="7326" w:type="dxa"/>
            <w:gridSpan w:val="3"/>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cs="宋体"/>
                <w:b w:val="0"/>
                <w:bCs w:val="0"/>
                <w:color w:val="000000"/>
                <w:szCs w:val="21"/>
              </w:rPr>
            </w:pPr>
            <w:r>
              <w:rPr>
                <w:rFonts w:hint="eastAsia" w:ascii="宋体" w:hAnsi="宋体" w:cs="宋体"/>
                <w:kern w:val="0"/>
                <w:sz w:val="18"/>
                <w:szCs w:val="18"/>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p>
            <w:pPr>
              <w:keepNext w:val="0"/>
              <w:keepLines w:val="0"/>
              <w:pageBreakBefore w:val="0"/>
              <w:widowControl/>
              <w:kinsoku/>
              <w:wordWrap/>
              <w:overflowPunct/>
              <w:topLinePunct w:val="0"/>
              <w:autoSpaceDE/>
              <w:autoSpaceDN/>
              <w:bidi w:val="0"/>
              <w:adjustRightInd/>
              <w:snapToGrid/>
              <w:spacing w:line="320" w:lineRule="exact"/>
              <w:jc w:val="left"/>
              <w:rPr>
                <w:b w:val="0"/>
                <w:bCs w:val="0"/>
                <w:color w:val="000000"/>
                <w:sz w:val="18"/>
                <w:szCs w:val="18"/>
              </w:rPr>
            </w:pPr>
            <w:r>
              <w:rPr>
                <w:rFonts w:hint="eastAsia" w:ascii="宋体" w:hAnsi="宋体" w:cs="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b w:val="0"/>
                <w:bCs w:val="0"/>
                <w:color w:val="000000"/>
                <w:szCs w:val="21"/>
              </w:rPr>
            </w:pPr>
            <w:r>
              <w:rPr>
                <w:rFonts w:hint="eastAsia" w:ascii="宋体" w:hAnsi="宋体" w:cs="宋体"/>
                <w:kern w:val="0"/>
                <w:sz w:val="18"/>
                <w:szCs w:val="18"/>
              </w:rPr>
              <w:t>绩效结果应用（10分）</w:t>
            </w: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b w:val="0"/>
                <w:bCs w:val="0"/>
                <w:color w:val="000000"/>
                <w:szCs w:val="21"/>
              </w:rPr>
            </w:pPr>
            <w:r>
              <w:rPr>
                <w:rFonts w:hint="eastAsia" w:ascii="宋体" w:hAnsi="宋体" w:cs="宋体"/>
                <w:kern w:val="0"/>
                <w:sz w:val="18"/>
                <w:szCs w:val="18"/>
              </w:rPr>
              <w:t>内部应用（4分）</w:t>
            </w:r>
          </w:p>
        </w:tc>
        <w:tc>
          <w:tcPr>
            <w:tcW w:w="291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b w:val="0"/>
                <w:bCs w:val="0"/>
                <w:color w:val="000000"/>
                <w:szCs w:val="21"/>
              </w:rPr>
            </w:pPr>
            <w:r>
              <w:rPr>
                <w:rFonts w:hint="eastAsia" w:ascii="宋体" w:hAnsi="宋体" w:cs="宋体"/>
                <w:kern w:val="0"/>
                <w:sz w:val="18"/>
                <w:szCs w:val="18"/>
              </w:rPr>
              <w:t>预算挂钩</w:t>
            </w:r>
          </w:p>
        </w:tc>
        <w:tc>
          <w:tcPr>
            <w:tcW w:w="25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b w:val="0"/>
                <w:bCs w:val="0"/>
                <w:color w:val="000000"/>
                <w:sz w:val="18"/>
                <w:szCs w:val="18"/>
              </w:rPr>
            </w:pPr>
            <w:r>
              <w:rPr>
                <w:rFonts w:hint="eastAsia" w:ascii="宋体" w:hAnsi="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cs="宋体"/>
                <w:b w:val="0"/>
                <w:bCs w:val="0"/>
                <w:color w:val="000000"/>
                <w:szCs w:val="21"/>
              </w:rPr>
            </w:pP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b w:val="0"/>
                <w:bCs w:val="0"/>
                <w:color w:val="000000"/>
                <w:szCs w:val="21"/>
              </w:rPr>
            </w:pPr>
            <w:r>
              <w:rPr>
                <w:rFonts w:hint="eastAsia" w:ascii="宋体" w:hAnsi="宋体" w:cs="宋体"/>
                <w:kern w:val="0"/>
                <w:sz w:val="18"/>
                <w:szCs w:val="18"/>
              </w:rPr>
              <w:t>信息公开（2分）</w:t>
            </w:r>
          </w:p>
        </w:tc>
        <w:tc>
          <w:tcPr>
            <w:tcW w:w="291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b w:val="0"/>
                <w:bCs w:val="0"/>
                <w:color w:val="000000"/>
                <w:szCs w:val="21"/>
              </w:rPr>
            </w:pPr>
            <w:r>
              <w:rPr>
                <w:rFonts w:hint="eastAsia" w:ascii="宋体" w:hAnsi="宋体" w:cs="宋体"/>
                <w:kern w:val="0"/>
                <w:sz w:val="18"/>
                <w:szCs w:val="18"/>
              </w:rPr>
              <w:t>自评公开</w:t>
            </w:r>
          </w:p>
        </w:tc>
        <w:tc>
          <w:tcPr>
            <w:tcW w:w="25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b w:val="0"/>
                <w:bCs w:val="0"/>
                <w:color w:val="00000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cs="宋体"/>
                <w:b w:val="0"/>
                <w:bCs w:val="0"/>
                <w:color w:val="000000"/>
                <w:szCs w:val="21"/>
              </w:rPr>
            </w:pPr>
          </w:p>
        </w:tc>
        <w:tc>
          <w:tcPr>
            <w:tcW w:w="186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b w:val="0"/>
                <w:bCs w:val="0"/>
                <w:color w:val="000000"/>
                <w:szCs w:val="21"/>
              </w:rPr>
            </w:pPr>
            <w:r>
              <w:rPr>
                <w:rFonts w:hint="eastAsia" w:ascii="宋体" w:hAnsi="宋体" w:cs="宋体"/>
                <w:kern w:val="0"/>
                <w:sz w:val="18"/>
                <w:szCs w:val="18"/>
              </w:rPr>
              <w:t>整改反馈（4分）</w:t>
            </w:r>
          </w:p>
        </w:tc>
        <w:tc>
          <w:tcPr>
            <w:tcW w:w="291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b w:val="0"/>
                <w:bCs w:val="0"/>
                <w:color w:val="000000"/>
                <w:szCs w:val="21"/>
              </w:rPr>
            </w:pPr>
            <w:r>
              <w:rPr>
                <w:rFonts w:hint="eastAsia" w:ascii="宋体" w:hAnsi="宋体" w:cs="宋体"/>
                <w:kern w:val="0"/>
                <w:sz w:val="18"/>
                <w:szCs w:val="18"/>
              </w:rPr>
              <w:t>问题整改</w:t>
            </w:r>
          </w:p>
        </w:tc>
        <w:tc>
          <w:tcPr>
            <w:tcW w:w="25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b w:val="0"/>
                <w:bCs w:val="0"/>
                <w:color w:val="00000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cs="宋体"/>
                <w:b w:val="0"/>
                <w:bCs w:val="0"/>
                <w:color w:val="000000"/>
                <w:szCs w:val="21"/>
              </w:rPr>
            </w:pPr>
          </w:p>
        </w:tc>
        <w:tc>
          <w:tcPr>
            <w:tcW w:w="18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cs="宋体"/>
                <w:b w:val="0"/>
                <w:bCs w:val="0"/>
                <w:color w:val="000000"/>
                <w:szCs w:val="21"/>
              </w:rPr>
            </w:pPr>
          </w:p>
        </w:tc>
        <w:tc>
          <w:tcPr>
            <w:tcW w:w="291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b w:val="0"/>
                <w:bCs w:val="0"/>
                <w:color w:val="000000"/>
                <w:szCs w:val="21"/>
              </w:rPr>
            </w:pPr>
            <w:r>
              <w:rPr>
                <w:rFonts w:hint="eastAsia" w:ascii="宋体" w:hAnsi="宋体" w:cs="宋体"/>
                <w:kern w:val="0"/>
                <w:sz w:val="18"/>
                <w:szCs w:val="18"/>
              </w:rPr>
              <w:t>应用反馈</w:t>
            </w:r>
          </w:p>
        </w:tc>
        <w:tc>
          <w:tcPr>
            <w:tcW w:w="25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b w:val="0"/>
                <w:bCs w:val="0"/>
                <w:color w:val="000000"/>
                <w:sz w:val="18"/>
                <w:szCs w:val="18"/>
              </w:rPr>
            </w:pPr>
            <w:r>
              <w:rPr>
                <w:rFonts w:hint="eastAsia" w:ascii="宋体" w:hAnsi="宋体"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7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kern w:val="0"/>
                <w:sz w:val="18"/>
                <w:szCs w:val="18"/>
              </w:rPr>
            </w:pPr>
            <w:r>
              <w:rPr>
                <w:rFonts w:hint="eastAsia" w:ascii="宋体" w:hAnsi="宋体" w:cs="宋体"/>
                <w:kern w:val="0"/>
                <w:sz w:val="18"/>
                <w:szCs w:val="18"/>
              </w:rPr>
              <w:t>自评质量</w:t>
            </w: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r>
              <w:rPr>
                <w:rFonts w:hint="eastAsia" w:ascii="宋体" w:hAnsi="宋体" w:cs="宋体"/>
                <w:kern w:val="0"/>
                <w:sz w:val="18"/>
                <w:szCs w:val="18"/>
              </w:rPr>
              <w:t>（10分）</w:t>
            </w:r>
          </w:p>
        </w:tc>
        <w:tc>
          <w:tcPr>
            <w:tcW w:w="186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r>
              <w:rPr>
                <w:rFonts w:hint="eastAsia" w:ascii="宋体" w:hAnsi="宋体" w:cs="宋体"/>
                <w:kern w:val="0"/>
                <w:sz w:val="18"/>
                <w:szCs w:val="18"/>
              </w:rPr>
              <w:t>自评质量</w:t>
            </w:r>
          </w:p>
        </w:tc>
        <w:tc>
          <w:tcPr>
            <w:tcW w:w="291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r>
              <w:rPr>
                <w:rFonts w:hint="eastAsia" w:ascii="宋体" w:hAnsi="宋体" w:cs="宋体"/>
                <w:kern w:val="0"/>
                <w:sz w:val="18"/>
                <w:szCs w:val="18"/>
              </w:rPr>
              <w:t>自评质量</w:t>
            </w:r>
          </w:p>
        </w:tc>
        <w:tc>
          <w:tcPr>
            <w:tcW w:w="25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color w:val="000000"/>
                <w:sz w:val="18"/>
                <w:szCs w:val="18"/>
              </w:rPr>
            </w:pPr>
            <w:r>
              <w:rPr>
                <w:rFonts w:hint="eastAsia" w:ascii="宋体" w:hAnsi="宋体" w:cs="宋体"/>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063" w:type="dxa"/>
            <w:gridSpan w:val="3"/>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cs="宋体"/>
                <w:color w:val="000000"/>
                <w:szCs w:val="21"/>
              </w:rPr>
            </w:pPr>
            <w:r>
              <w:rPr>
                <w:rFonts w:hint="eastAsia" w:ascii="宋体" w:hAnsi="宋体" w:cs="宋体"/>
                <w:kern w:val="0"/>
                <w:sz w:val="18"/>
                <w:szCs w:val="18"/>
              </w:rPr>
              <w:t>扣分项（10分）</w:t>
            </w:r>
          </w:p>
        </w:tc>
        <w:tc>
          <w:tcPr>
            <w:tcW w:w="254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color w:val="000000"/>
                <w:sz w:val="18"/>
                <w:szCs w:val="18"/>
              </w:rPr>
            </w:pPr>
          </w:p>
        </w:tc>
      </w:tr>
    </w:tbl>
    <w:p>
      <w:pPr>
        <w:pageBreakBefore w:val="0"/>
        <w:kinsoku/>
        <w:wordWrap/>
        <w:overflowPunct/>
        <w:topLinePunct w:val="0"/>
        <w:bidi w:val="0"/>
        <w:spacing w:line="576" w:lineRule="exact"/>
        <w:ind w:firstLine="642" w:firstLineChars="2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（二）存在的主要问题</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个别项目绩效目标编制有待提高。一是个别项目绩效目标要素完整度。二是个别项目绩效目标编制不够完整。个别项目数量指标列示为金额，未完整体现出项目的数量和功能功能。三是个别项目指标细化量化有待提高，应明确具体预期工作目标并具备可考核性。</w:t>
      </w:r>
    </w:p>
    <w:p>
      <w:pPr>
        <w:pageBreakBefore w:val="0"/>
        <w:kinsoku/>
        <w:wordWrap/>
        <w:overflowPunct/>
        <w:topLinePunct w:val="0"/>
        <w:bidi w:val="0"/>
        <w:spacing w:line="576" w:lineRule="exact"/>
        <w:ind w:firstLine="642" w:firstLineChars="2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（三）改进建议</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强化绩效目标管理，落实绩效管理责任针对绩效目标编制存在的问题，建议进一步强化对绩效目标编报的管理工作，落实相应管理责任，谁使用资金，谁编报目标并承担相应管理责任；应符合“量化细化、相应匹配、指向明确”，并具备可考核性。</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强化绩效管理意识，提高绩效自评质量一是进一步加大绩效管理理念的宣传力度；二是进一步完善部门相关绩效管理办法；三是落实绩效管理责任，确保绩效管理相关工作延续性，按要求开展绩效管理结果应用；严格按要求开展绩效自评工作，提高绩效自评质量。</w:t>
      </w:r>
    </w:p>
    <w:p>
      <w:pPr>
        <w:pageBreakBefore w:val="0"/>
        <w:kinsoku/>
        <w:wordWrap/>
        <w:overflowPunct/>
        <w:topLinePunct w:val="0"/>
        <w:bidi w:val="0"/>
        <w:spacing w:line="576"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强化预算编制执行，提高预算管理水平针对预算编制准确度不够准确、预算反映不够完整，我中心应进一步加强预算的编制和执行工作，提高预算编制科学性和准确性，对预算执行开展动态监控，发现问题及时调整修正，提高预算执行效率。</w:t>
      </w:r>
    </w:p>
    <w:p>
      <w:pPr>
        <w:pStyle w:val="2"/>
        <w:pageBreakBefore w:val="0"/>
        <w:kinsoku/>
        <w:wordWrap/>
        <w:overflowPunct/>
        <w:topLinePunct w:val="0"/>
        <w:bidi w:val="0"/>
        <w:spacing w:line="576" w:lineRule="exact"/>
        <w:rPr>
          <w:rFonts w:hint="eastAsia" w:hAnsi="宋体" w:cs="宋体"/>
          <w:color w:val="auto"/>
          <w:kern w:val="0"/>
          <w:sz w:val="32"/>
          <w:szCs w:val="32"/>
          <w:highlight w:val="none"/>
          <w:shd w:val="clear" w:color="auto" w:fill="FFFFFF"/>
          <w:lang w:val="zh-CN"/>
        </w:rPr>
      </w:pPr>
    </w:p>
    <w:p>
      <w:pPr>
        <w:pStyle w:val="2"/>
        <w:pageBreakBefore w:val="0"/>
        <w:kinsoku/>
        <w:wordWrap/>
        <w:overflowPunct/>
        <w:topLinePunct w:val="0"/>
        <w:bidi w:val="0"/>
        <w:spacing w:line="576" w:lineRule="exact"/>
        <w:rPr>
          <w:rFonts w:hint="eastAsia" w:hAnsi="宋体" w:cs="宋体"/>
          <w:color w:val="auto"/>
          <w:kern w:val="0"/>
          <w:sz w:val="32"/>
          <w:szCs w:val="32"/>
          <w:highlight w:val="none"/>
          <w:shd w:val="clear" w:color="auto" w:fill="FFFFFF"/>
          <w:lang w:val="zh-CN"/>
        </w:rPr>
      </w:pPr>
    </w:p>
    <w:p>
      <w:pPr>
        <w:pStyle w:val="2"/>
        <w:pageBreakBefore w:val="0"/>
        <w:kinsoku/>
        <w:wordWrap/>
        <w:overflowPunct/>
        <w:topLinePunct w:val="0"/>
        <w:bidi w:val="0"/>
        <w:spacing w:line="576" w:lineRule="exact"/>
        <w:rPr>
          <w:rFonts w:hint="eastAsia" w:hAnsi="宋体" w:cs="宋体"/>
          <w:color w:val="auto"/>
          <w:kern w:val="0"/>
          <w:sz w:val="32"/>
          <w:szCs w:val="32"/>
          <w:highlight w:val="none"/>
          <w:shd w:val="clear" w:color="auto" w:fill="FFFFFF"/>
          <w:lang w:val="zh-CN"/>
        </w:rPr>
      </w:pPr>
    </w:p>
    <w:p>
      <w:pPr>
        <w:pStyle w:val="2"/>
        <w:pageBreakBefore w:val="0"/>
        <w:kinsoku/>
        <w:wordWrap/>
        <w:overflowPunct/>
        <w:topLinePunct w:val="0"/>
        <w:bidi w:val="0"/>
        <w:spacing w:line="576" w:lineRule="exact"/>
        <w:rPr>
          <w:rFonts w:hint="eastAsia" w:hAnsi="宋体" w:cs="宋体"/>
          <w:color w:val="auto"/>
          <w:kern w:val="0"/>
          <w:sz w:val="32"/>
          <w:szCs w:val="32"/>
          <w:highlight w:val="none"/>
          <w:shd w:val="clear" w:color="auto" w:fill="FFFFFF"/>
          <w:lang w:val="zh-CN"/>
        </w:rPr>
      </w:pPr>
    </w:p>
    <w:p>
      <w:pPr>
        <w:pStyle w:val="2"/>
        <w:pageBreakBefore w:val="0"/>
        <w:kinsoku/>
        <w:wordWrap/>
        <w:overflowPunct/>
        <w:topLinePunct w:val="0"/>
        <w:bidi w:val="0"/>
        <w:spacing w:line="576" w:lineRule="exact"/>
        <w:rPr>
          <w:rFonts w:hint="eastAsia" w:hAnsi="宋体" w:cs="宋体"/>
          <w:color w:val="auto"/>
          <w:kern w:val="0"/>
          <w:sz w:val="32"/>
          <w:szCs w:val="32"/>
          <w:highlight w:val="none"/>
          <w:shd w:val="clear" w:color="auto" w:fill="FFFFFF"/>
          <w:lang w:val="zh-CN"/>
        </w:rPr>
      </w:pPr>
    </w:p>
    <w:p>
      <w:pPr>
        <w:pStyle w:val="2"/>
        <w:pageBreakBefore w:val="0"/>
        <w:kinsoku/>
        <w:wordWrap/>
        <w:overflowPunct/>
        <w:topLinePunct w:val="0"/>
        <w:bidi w:val="0"/>
        <w:spacing w:line="576" w:lineRule="exact"/>
        <w:rPr>
          <w:rFonts w:hint="eastAsia" w:hAnsi="宋体" w:cs="宋体"/>
          <w:color w:val="auto"/>
          <w:kern w:val="0"/>
          <w:sz w:val="32"/>
          <w:szCs w:val="32"/>
          <w:highlight w:val="none"/>
          <w:shd w:val="clear" w:color="auto" w:fill="FFFFFF"/>
          <w:lang w:val="zh-CN"/>
        </w:rPr>
      </w:pPr>
    </w:p>
    <w:p>
      <w:pPr>
        <w:pStyle w:val="2"/>
        <w:pageBreakBefore w:val="0"/>
        <w:kinsoku/>
        <w:wordWrap/>
        <w:overflowPunct/>
        <w:topLinePunct w:val="0"/>
        <w:bidi w:val="0"/>
        <w:spacing w:line="576" w:lineRule="exact"/>
        <w:rPr>
          <w:rFonts w:hint="eastAsia"/>
          <w:color w:val="auto"/>
          <w:highlight w:val="none"/>
          <w:lang w:val="zh-CN"/>
        </w:rPr>
      </w:pP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2021年专项预算项目支出绩效自评报告</w:t>
      </w:r>
    </w:p>
    <w:p>
      <w:pPr>
        <w:pStyle w:val="11"/>
        <w:adjustRightInd w:val="0"/>
        <w:snapToGrid w:val="0"/>
        <w:spacing w:line="440" w:lineRule="exact"/>
        <w:jc w:val="center"/>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机关食堂伙食补助</w:t>
      </w:r>
    </w:p>
    <w:p>
      <w:pPr>
        <w:pStyle w:val="11"/>
        <w:adjustRightInd w:val="0"/>
        <w:snapToGrid w:val="0"/>
        <w:spacing w:line="440" w:lineRule="exact"/>
        <w:jc w:val="center"/>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专项</w:t>
      </w:r>
      <w:r>
        <w:rPr>
          <w:rFonts w:hint="eastAsia" w:ascii="仿宋" w:hAnsi="仿宋" w:eastAsia="仿宋" w:cs="仿宋"/>
          <w:b/>
          <w:bCs/>
          <w:color w:val="auto"/>
          <w:kern w:val="2"/>
          <w:sz w:val="32"/>
          <w:szCs w:val="32"/>
          <w:lang w:val="zh-CN" w:eastAsia="zh-CN" w:bidi="ar-SA"/>
        </w:rPr>
        <w:t>预算项目支出绩效自评报告</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仿宋" w:hAnsi="仿宋" w:eastAsia="仿宋" w:cs="仿宋"/>
          <w:b/>
          <w:bCs w:val="0"/>
          <w:sz w:val="32"/>
          <w:szCs w:val="32"/>
          <w:lang w:val="zh-CN"/>
        </w:rPr>
      </w:pPr>
      <w:r>
        <w:rPr>
          <w:rFonts w:hint="eastAsia" w:ascii="仿宋" w:hAnsi="仿宋" w:eastAsia="仿宋" w:cs="仿宋"/>
          <w:b/>
          <w:bCs w:val="0"/>
          <w:sz w:val="32"/>
          <w:szCs w:val="32"/>
        </w:rPr>
        <w:t>一、</w:t>
      </w:r>
      <w:r>
        <w:rPr>
          <w:rFonts w:hint="eastAsia" w:ascii="仿宋" w:hAnsi="仿宋" w:eastAsia="仿宋" w:cs="仿宋"/>
          <w:b/>
          <w:bCs w:val="0"/>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610" w:firstLineChars="200"/>
        <w:textAlignment w:val="auto"/>
        <w:rPr>
          <w:rFonts w:hint="eastAsia" w:ascii="仿宋" w:hAnsi="仿宋" w:eastAsia="仿宋" w:cs="仿宋"/>
          <w:color w:val="auto"/>
          <w:w w:val="95"/>
          <w:kern w:val="2"/>
          <w:sz w:val="32"/>
          <w:szCs w:val="32"/>
          <w:lang w:val="en-US" w:eastAsia="zh-CN" w:bidi="ar-SA"/>
        </w:rPr>
      </w:pPr>
      <w:r>
        <w:rPr>
          <w:rFonts w:hint="eastAsia" w:ascii="仿宋" w:hAnsi="仿宋" w:eastAsia="仿宋" w:cs="仿宋"/>
          <w:b/>
          <w:bCs w:val="0"/>
          <w:w w:val="95"/>
          <w:sz w:val="32"/>
          <w:szCs w:val="32"/>
          <w:lang w:val="zh-CN"/>
        </w:rPr>
        <w:t>（</w:t>
      </w:r>
      <w:r>
        <w:rPr>
          <w:rFonts w:hint="eastAsia" w:ascii="仿宋" w:hAnsi="仿宋" w:eastAsia="仿宋" w:cs="仿宋"/>
          <w:b/>
          <w:bCs w:val="0"/>
          <w:color w:val="auto"/>
          <w:w w:val="95"/>
          <w:kern w:val="2"/>
          <w:sz w:val="32"/>
          <w:szCs w:val="32"/>
          <w:lang w:val="zh-CN" w:eastAsia="zh-CN" w:bidi="ar-SA"/>
        </w:rPr>
        <w:t>一）项目基本情况。</w:t>
      </w:r>
      <w:r>
        <w:rPr>
          <w:rFonts w:hint="eastAsia" w:ascii="仿宋" w:hAnsi="仿宋" w:eastAsia="仿宋" w:cs="仿宋"/>
          <w:color w:val="auto"/>
          <w:w w:val="95"/>
          <w:kern w:val="2"/>
          <w:sz w:val="32"/>
          <w:szCs w:val="32"/>
          <w:lang w:val="en-US" w:eastAsia="zh-CN" w:bidi="ar-SA"/>
        </w:rPr>
        <w:t>主要保障机关食堂、会务服务临聘人员等费用；机关食堂就餐人员伙食补助费用；一、三办公区会务购买消耗用品。如：茶叶、卫生纸、消毒用品等，此项目预算288.36万元。该项目属常年性项目，通常在工作需要开展前，根据需要开支金额进行申报，能保证工作的正常开展，使用过程符合资金管理办法相关规定，无违规现象。</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5"/>
          <w:sz w:val="32"/>
          <w:szCs w:val="32"/>
          <w:lang w:val="en-US" w:eastAsia="zh-CN"/>
        </w:rPr>
      </w:pPr>
      <w:r>
        <w:rPr>
          <w:rFonts w:hint="eastAsia" w:ascii="仿宋" w:hAnsi="仿宋" w:eastAsia="仿宋" w:cs="仿宋"/>
          <w:b/>
          <w:bCs w:val="0"/>
          <w:w w:val="95"/>
          <w:sz w:val="32"/>
          <w:szCs w:val="32"/>
          <w:lang w:val="zh-CN"/>
        </w:rPr>
        <w:t>（二）项目绩效目标。</w:t>
      </w:r>
      <w:r>
        <w:rPr>
          <w:rFonts w:hint="eastAsia" w:ascii="仿宋" w:hAnsi="仿宋" w:eastAsia="仿宋" w:cs="仿宋"/>
          <w:color w:val="auto"/>
          <w:w w:val="95"/>
          <w:kern w:val="2"/>
          <w:sz w:val="32"/>
          <w:szCs w:val="32"/>
          <w:lang w:val="en-US" w:eastAsia="zh-CN" w:bidi="ar-SA"/>
        </w:rPr>
        <w:t>保障机关食堂、会务人员工资支出，确保集中办公区后勤服务保障运行有力有序，保障干部职工日常就餐，保障会议服务工作有序进行。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5"/>
          <w:sz w:val="32"/>
          <w:szCs w:val="32"/>
          <w:lang w:val="zh-CN"/>
        </w:rPr>
      </w:pPr>
      <w:r>
        <w:rPr>
          <w:rFonts w:hint="eastAsia" w:ascii="仿宋" w:hAnsi="仿宋" w:eastAsia="仿宋" w:cs="仿宋"/>
          <w:b/>
          <w:bCs w:val="0"/>
          <w:w w:val="95"/>
          <w:sz w:val="32"/>
          <w:szCs w:val="32"/>
          <w:lang w:val="zh-CN"/>
        </w:rPr>
        <w:t>（三）项目自评步骤及方法。</w:t>
      </w:r>
      <w:r>
        <w:rPr>
          <w:rFonts w:hint="eastAsia" w:ascii="仿宋" w:hAnsi="仿宋" w:eastAsia="仿宋" w:cs="仿宋"/>
          <w:w w:val="95"/>
          <w:sz w:val="32"/>
          <w:szCs w:val="32"/>
          <w:lang w:val="zh-CN"/>
        </w:rPr>
        <w:t>通过加强人员管理，提高餐饮、会务服务质量，极大提升了机关干部职工满意度。</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w w:val="95"/>
          <w:sz w:val="32"/>
          <w:szCs w:val="32"/>
          <w:lang w:eastAsia="zh-CN"/>
        </w:rPr>
      </w:pPr>
      <w:r>
        <w:rPr>
          <w:rFonts w:hint="eastAsia" w:ascii="仿宋" w:hAnsi="仿宋" w:eastAsia="仿宋" w:cs="仿宋"/>
          <w:b/>
          <w:bCs w:val="0"/>
          <w:w w:val="95"/>
          <w:sz w:val="32"/>
          <w:szCs w:val="32"/>
        </w:rPr>
        <w:t>二、项目</w:t>
      </w:r>
      <w:r>
        <w:rPr>
          <w:rFonts w:hint="eastAsia" w:ascii="仿宋" w:hAnsi="仿宋" w:eastAsia="仿宋" w:cs="仿宋"/>
          <w:b/>
          <w:bCs w:val="0"/>
          <w:w w:val="95"/>
          <w:sz w:val="32"/>
          <w:szCs w:val="32"/>
          <w:lang w:eastAsia="zh-CN"/>
        </w:rPr>
        <w:t>资金申报及使用情况</w:t>
      </w:r>
      <w:r>
        <w:rPr>
          <w:rFonts w:hint="eastAsia" w:ascii="仿宋" w:hAnsi="仿宋" w:eastAsia="仿宋" w:cs="仿宋"/>
          <w:b/>
          <w:bCs w:val="0"/>
          <w:w w:val="95"/>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5"/>
          <w:sz w:val="32"/>
          <w:szCs w:val="32"/>
          <w:lang w:val="en-US" w:eastAsia="zh-CN"/>
        </w:rPr>
      </w:pPr>
      <w:r>
        <w:rPr>
          <w:rFonts w:hint="eastAsia" w:ascii="仿宋" w:hAnsi="仿宋" w:eastAsia="仿宋" w:cs="仿宋"/>
          <w:b/>
          <w:bCs w:val="0"/>
          <w:w w:val="95"/>
          <w:sz w:val="32"/>
          <w:szCs w:val="32"/>
          <w:lang w:val="zh-CN"/>
        </w:rPr>
        <w:t>（一）资金申报及批复情况。</w:t>
      </w:r>
      <w:r>
        <w:rPr>
          <w:rFonts w:hint="eastAsia" w:ascii="仿宋" w:hAnsi="仿宋" w:eastAsia="仿宋" w:cs="仿宋"/>
          <w:w w:val="95"/>
          <w:sz w:val="32"/>
          <w:szCs w:val="32"/>
          <w:lang w:val="zh-CN"/>
        </w:rPr>
        <w:t>资金计划及到位</w:t>
      </w:r>
      <w:r>
        <w:rPr>
          <w:rFonts w:hint="eastAsia" w:ascii="仿宋" w:hAnsi="仿宋" w:eastAsia="仿宋" w:cs="仿宋"/>
          <w:w w:val="95"/>
          <w:sz w:val="32"/>
          <w:szCs w:val="32"/>
          <w:lang w:val="en-US" w:eastAsia="zh-CN"/>
        </w:rPr>
        <w:t>情况。机关食堂伙食补助</w:t>
      </w:r>
      <w:r>
        <w:rPr>
          <w:rFonts w:hint="eastAsia" w:ascii="仿宋" w:hAnsi="仿宋" w:eastAsia="仿宋" w:cs="仿宋"/>
          <w:color w:val="auto"/>
          <w:w w:val="95"/>
          <w:kern w:val="2"/>
          <w:sz w:val="32"/>
          <w:szCs w:val="32"/>
          <w:lang w:val="en-US" w:eastAsia="zh-CN" w:bidi="ar-SA"/>
        </w:rPr>
        <w:t>项目</w:t>
      </w:r>
      <w:r>
        <w:rPr>
          <w:rFonts w:hint="eastAsia" w:ascii="仿宋" w:hAnsi="仿宋" w:eastAsia="仿宋" w:cs="仿宋"/>
          <w:w w:val="95"/>
          <w:sz w:val="32"/>
          <w:szCs w:val="32"/>
          <w:lang w:val="en-US" w:eastAsia="zh-CN"/>
        </w:rPr>
        <w:t>预算288.36万元，按时间节点按期支付。</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5"/>
          <w:sz w:val="32"/>
          <w:szCs w:val="32"/>
          <w:lang w:val="en-US" w:eastAsia="zh-CN"/>
        </w:rPr>
      </w:pPr>
      <w:r>
        <w:rPr>
          <w:rFonts w:hint="eastAsia" w:ascii="仿宋" w:hAnsi="仿宋" w:eastAsia="仿宋" w:cs="仿宋"/>
          <w:b/>
          <w:bCs/>
          <w:w w:val="95"/>
          <w:sz w:val="32"/>
          <w:szCs w:val="32"/>
          <w:lang w:val="zh-CN"/>
        </w:rPr>
        <w:t>（二）资金计划，到位及使用</w:t>
      </w:r>
      <w:r>
        <w:rPr>
          <w:rFonts w:hint="eastAsia" w:ascii="仿宋" w:hAnsi="仿宋" w:eastAsia="仿宋" w:cs="仿宋"/>
          <w:b/>
          <w:bCs/>
          <w:w w:val="95"/>
          <w:sz w:val="32"/>
          <w:szCs w:val="32"/>
          <w:lang w:val="en-US" w:eastAsia="zh-CN"/>
        </w:rPr>
        <w:t>情况。</w:t>
      </w:r>
      <w:r>
        <w:rPr>
          <w:rFonts w:hint="eastAsia" w:ascii="仿宋" w:hAnsi="仿宋" w:eastAsia="仿宋" w:cs="仿宋"/>
          <w:w w:val="95"/>
          <w:sz w:val="32"/>
          <w:szCs w:val="32"/>
          <w:lang w:val="en-US" w:eastAsia="zh-CN"/>
        </w:rPr>
        <w:t>该项目资金主要用人员工资费用支出，机关食堂就餐人员伙食补助及会务日常消耗品的购买，维持机关运行需要，按相关规定执行，资金到位及时，</w:t>
      </w:r>
      <w:r>
        <w:rPr>
          <w:rFonts w:hint="eastAsia" w:ascii="仿宋" w:hAnsi="仿宋" w:eastAsia="仿宋" w:cs="仿宋"/>
          <w:w w:val="95"/>
          <w:sz w:val="32"/>
          <w:szCs w:val="32"/>
          <w:lang w:val="zh-CN"/>
        </w:rPr>
        <w:t>支付依据合规合法，与预算相符。</w:t>
      </w:r>
    </w:p>
    <w:p>
      <w:pPr>
        <w:keepNext w:val="0"/>
        <w:keepLines w:val="0"/>
        <w:pageBreakBefore w:val="0"/>
        <w:widowControl w:val="0"/>
        <w:kinsoku/>
        <w:wordWrap/>
        <w:overflowPunct/>
        <w:topLinePunct w:val="0"/>
        <w:autoSpaceDE/>
        <w:autoSpaceDN/>
        <w:bidi w:val="0"/>
        <w:adjustRightInd w:val="0"/>
        <w:snapToGrid w:val="0"/>
        <w:spacing w:line="576" w:lineRule="exact"/>
        <w:ind w:firstLine="610" w:firstLineChars="200"/>
        <w:textAlignment w:val="auto"/>
        <w:rPr>
          <w:rFonts w:hint="eastAsia" w:ascii="仿宋" w:hAnsi="仿宋" w:eastAsia="仿宋" w:cs="仿宋"/>
          <w:w w:val="95"/>
          <w:sz w:val="32"/>
          <w:szCs w:val="32"/>
          <w:lang w:val="zh-CN"/>
        </w:rPr>
      </w:pPr>
      <w:r>
        <w:rPr>
          <w:rFonts w:hint="eastAsia" w:ascii="仿宋" w:hAnsi="仿宋" w:eastAsia="仿宋" w:cs="仿宋"/>
          <w:b/>
          <w:bCs/>
          <w:w w:val="95"/>
          <w:sz w:val="32"/>
          <w:szCs w:val="32"/>
          <w:lang w:val="zh-CN"/>
        </w:rPr>
        <w:t>（三）项目财务管理情况。</w:t>
      </w:r>
      <w:r>
        <w:rPr>
          <w:rFonts w:hint="eastAsia" w:ascii="仿宋" w:hAnsi="仿宋" w:eastAsia="仿宋" w:cs="仿宋"/>
          <w:w w:val="95"/>
          <w:sz w:val="32"/>
          <w:szCs w:val="32"/>
          <w:lang w:val="en-US" w:eastAsia="zh-CN"/>
        </w:rPr>
        <w:t>区机关事务服务中心建立了相关财务制度，</w:t>
      </w:r>
      <w:r>
        <w:rPr>
          <w:rFonts w:hint="eastAsia" w:ascii="仿宋" w:hAnsi="仿宋" w:eastAsia="仿宋" w:cs="仿宋"/>
          <w:w w:val="95"/>
          <w:sz w:val="32"/>
          <w:szCs w:val="32"/>
          <w:lang w:val="zh-CN"/>
        </w:rPr>
        <w:t>会计核算及账务处理</w:t>
      </w:r>
      <w:r>
        <w:rPr>
          <w:rFonts w:hint="eastAsia" w:ascii="仿宋" w:hAnsi="仿宋" w:eastAsia="仿宋" w:cs="仿宋"/>
          <w:w w:val="95"/>
          <w:sz w:val="32"/>
          <w:szCs w:val="32"/>
          <w:lang w:val="en-US" w:eastAsia="zh-CN"/>
        </w:rPr>
        <w:t>境均按相关规定执行</w:t>
      </w:r>
      <w:r>
        <w:rPr>
          <w:rFonts w:hint="eastAsia" w:ascii="仿宋" w:hAnsi="仿宋" w:eastAsia="仿宋" w:cs="仿宋"/>
          <w:w w:val="95"/>
          <w:sz w:val="32"/>
          <w:szCs w:val="32"/>
          <w:lang w:val="zh-CN"/>
        </w:rPr>
        <w:t>。严格执行财务管理制度、财务处理及时、会计核算规范。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w w:val="95"/>
          <w:sz w:val="32"/>
          <w:szCs w:val="32"/>
          <w:lang w:val="zh-CN"/>
        </w:rPr>
      </w:pPr>
      <w:r>
        <w:rPr>
          <w:rFonts w:hint="eastAsia" w:ascii="仿宋" w:hAnsi="仿宋" w:eastAsia="仿宋" w:cs="仿宋"/>
          <w:b/>
          <w:bCs/>
          <w:w w:val="95"/>
          <w:sz w:val="32"/>
          <w:szCs w:val="32"/>
          <w:lang w:val="zh-CN"/>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该项目主要由分管领导及相关股室负责实施，根据工作实际情况，依据支付流程，经主要领导或主任办公会同意后执行。</w:t>
      </w:r>
    </w:p>
    <w:p>
      <w:pPr>
        <w:keepNext w:val="0"/>
        <w:keepLines w:val="0"/>
        <w:pageBreakBefore w:val="0"/>
        <w:widowControl w:val="0"/>
        <w:kinsoku/>
        <w:wordWrap/>
        <w:overflowPunct/>
        <w:topLinePunct w:val="0"/>
        <w:autoSpaceDE/>
        <w:autoSpaceDN/>
        <w:bidi w:val="0"/>
        <w:adjustRightInd w:val="0"/>
        <w:snapToGrid w:val="0"/>
        <w:spacing w:line="576" w:lineRule="exact"/>
        <w:ind w:firstLine="610" w:firstLineChars="200"/>
        <w:textAlignment w:val="auto"/>
        <w:rPr>
          <w:rFonts w:hint="eastAsia" w:ascii="仿宋" w:hAnsi="仿宋" w:eastAsia="仿宋" w:cs="仿宋"/>
          <w:b/>
          <w:bCs w:val="0"/>
          <w:w w:val="95"/>
          <w:sz w:val="32"/>
          <w:szCs w:val="32"/>
        </w:rPr>
      </w:pPr>
      <w:r>
        <w:rPr>
          <w:rFonts w:hint="eastAsia" w:ascii="仿宋" w:hAnsi="仿宋" w:eastAsia="仿宋" w:cs="仿宋"/>
          <w:b/>
          <w:bCs w:val="0"/>
          <w:w w:val="95"/>
          <w:sz w:val="32"/>
          <w:szCs w:val="32"/>
          <w:lang w:eastAsia="zh-CN"/>
        </w:rPr>
        <w:t>四</w:t>
      </w:r>
      <w:r>
        <w:rPr>
          <w:rFonts w:hint="eastAsia" w:ascii="仿宋" w:hAnsi="仿宋" w:eastAsia="仿宋" w:cs="仿宋"/>
          <w:b/>
          <w:bCs w:val="0"/>
          <w:w w:val="95"/>
          <w:sz w:val="32"/>
          <w:szCs w:val="32"/>
        </w:rPr>
        <w:t>、项目绩效情况</w:t>
      </w:r>
      <w:r>
        <w:rPr>
          <w:rFonts w:hint="eastAsia" w:ascii="仿宋" w:hAnsi="仿宋" w:eastAsia="仿宋" w:cs="仿宋"/>
          <w:b/>
          <w:bCs w:val="0"/>
          <w:w w:val="95"/>
          <w:sz w:val="32"/>
          <w:szCs w:val="32"/>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5"/>
          <w:sz w:val="32"/>
          <w:szCs w:val="32"/>
          <w:lang w:val="en-US" w:eastAsia="zh-CN"/>
        </w:rPr>
      </w:pPr>
      <w:r>
        <w:rPr>
          <w:rFonts w:hint="eastAsia" w:ascii="仿宋" w:hAnsi="仿宋" w:eastAsia="仿宋" w:cs="仿宋"/>
          <w:b w:val="0"/>
          <w:bCs w:val="0"/>
          <w:w w:val="95"/>
          <w:sz w:val="32"/>
          <w:szCs w:val="32"/>
          <w:lang w:val="zh-CN"/>
        </w:rPr>
        <w:t>（一）项目完成情况。</w:t>
      </w:r>
      <w:r>
        <w:rPr>
          <w:rFonts w:hint="eastAsia" w:ascii="仿宋" w:hAnsi="仿宋" w:eastAsia="仿宋" w:cs="仿宋"/>
          <w:w w:val="95"/>
          <w:sz w:val="32"/>
          <w:szCs w:val="32"/>
          <w:lang w:val="en-US" w:eastAsia="zh-CN"/>
        </w:rPr>
        <w:t>该项目能按时、按质、按量完成，本着厉行节约的思想，具体经办人根据采取比价等方式控制成本。项目自评能达到优秀。</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5"/>
          <w:sz w:val="32"/>
          <w:szCs w:val="32"/>
          <w:lang w:val="en-US" w:eastAsia="zh-CN"/>
        </w:rPr>
      </w:pPr>
      <w:r>
        <w:rPr>
          <w:rFonts w:hint="eastAsia" w:ascii="仿宋" w:hAnsi="仿宋" w:eastAsia="仿宋" w:cs="仿宋"/>
          <w:b w:val="0"/>
          <w:bCs w:val="0"/>
          <w:w w:val="95"/>
          <w:sz w:val="32"/>
          <w:szCs w:val="32"/>
          <w:lang w:val="zh-CN"/>
        </w:rPr>
        <w:t>（二）项目效益情况。</w:t>
      </w:r>
      <w:r>
        <w:rPr>
          <w:rFonts w:hint="eastAsia" w:ascii="仿宋" w:hAnsi="仿宋" w:eastAsia="仿宋" w:cs="仿宋"/>
          <w:color w:val="auto"/>
          <w:w w:val="95"/>
          <w:kern w:val="2"/>
          <w:sz w:val="32"/>
          <w:szCs w:val="32"/>
          <w:lang w:val="en-US" w:eastAsia="zh-CN" w:bidi="ar-SA"/>
        </w:rPr>
        <w:t>一是机关食堂、会务中心、物业后勤运行有序，人员管理规范，按要求定时支付工资费用，无拖欠薪资情况发生；二是机关食堂运行良好，有力保障了领导干部、职工的就餐，每日就餐人数不低于750人次/餐，干部职工满意度高；三是会务保障有力，全年保障会议800余场次，各项后勤物资保障及时充分，充分满足会议所需。</w:t>
      </w:r>
    </w:p>
    <w:p>
      <w:pPr>
        <w:keepNext w:val="0"/>
        <w:keepLines w:val="0"/>
        <w:pageBreakBefore w:val="0"/>
        <w:widowControl w:val="0"/>
        <w:kinsoku/>
        <w:wordWrap/>
        <w:overflowPunct/>
        <w:topLinePunct w:val="0"/>
        <w:autoSpaceDE/>
        <w:autoSpaceDN/>
        <w:bidi w:val="0"/>
        <w:adjustRightInd w:val="0"/>
        <w:snapToGrid w:val="0"/>
        <w:spacing w:line="576" w:lineRule="exact"/>
        <w:ind w:firstLine="610" w:firstLineChars="200"/>
        <w:textAlignment w:val="auto"/>
        <w:rPr>
          <w:rFonts w:hint="eastAsia" w:ascii="仿宋" w:hAnsi="仿宋" w:eastAsia="仿宋" w:cs="仿宋"/>
          <w:b/>
          <w:bCs w:val="0"/>
          <w:w w:val="95"/>
          <w:sz w:val="32"/>
          <w:szCs w:val="32"/>
        </w:rPr>
      </w:pPr>
      <w:r>
        <w:rPr>
          <w:rFonts w:hint="eastAsia" w:ascii="仿宋" w:hAnsi="仿宋" w:eastAsia="仿宋" w:cs="仿宋"/>
          <w:b/>
          <w:bCs w:val="0"/>
          <w:w w:val="95"/>
          <w:sz w:val="32"/>
          <w:szCs w:val="32"/>
          <w:lang w:eastAsia="zh-CN"/>
        </w:rPr>
        <w:t>五</w:t>
      </w:r>
      <w:r>
        <w:rPr>
          <w:rFonts w:hint="eastAsia" w:ascii="仿宋" w:hAnsi="仿宋" w:eastAsia="仿宋" w:cs="仿宋"/>
          <w:b/>
          <w:bCs w:val="0"/>
          <w:w w:val="95"/>
          <w:sz w:val="32"/>
          <w:szCs w:val="32"/>
        </w:rPr>
        <w:t>、</w:t>
      </w:r>
      <w:r>
        <w:rPr>
          <w:rFonts w:hint="eastAsia" w:ascii="仿宋" w:hAnsi="仿宋" w:eastAsia="仿宋" w:cs="仿宋"/>
          <w:b/>
          <w:bCs w:val="0"/>
          <w:w w:val="95"/>
          <w:sz w:val="32"/>
          <w:szCs w:val="32"/>
          <w:lang w:eastAsia="zh-CN"/>
        </w:rPr>
        <w:t>评价结论</w:t>
      </w:r>
      <w:r>
        <w:rPr>
          <w:rFonts w:hint="eastAsia" w:ascii="仿宋" w:hAnsi="仿宋" w:eastAsia="仿宋" w:cs="仿宋"/>
          <w:b/>
          <w:bCs w:val="0"/>
          <w:w w:val="95"/>
          <w:sz w:val="32"/>
          <w:szCs w:val="32"/>
        </w:rPr>
        <w:t>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val="0"/>
          <w:bCs w:val="0"/>
          <w:w w:val="95"/>
          <w:sz w:val="32"/>
          <w:szCs w:val="32"/>
          <w:lang w:val="zh-CN"/>
        </w:rPr>
      </w:pPr>
      <w:r>
        <w:rPr>
          <w:rFonts w:hint="eastAsia" w:ascii="仿宋" w:hAnsi="仿宋" w:eastAsia="仿宋" w:cs="仿宋"/>
          <w:b w:val="0"/>
          <w:bCs w:val="0"/>
          <w:w w:val="95"/>
          <w:sz w:val="32"/>
          <w:szCs w:val="32"/>
          <w:lang w:val="zh-CN"/>
        </w:rPr>
        <w:t>（一）评价结论。项目的实施，保证了集中办公区干部职工正常就餐和区委区政府会议</w:t>
      </w:r>
      <w:r>
        <w:rPr>
          <w:rFonts w:hint="eastAsia" w:ascii="仿宋" w:hAnsi="仿宋" w:eastAsia="仿宋" w:cs="仿宋"/>
          <w:b w:val="0"/>
          <w:bCs w:val="0"/>
          <w:w w:val="95"/>
          <w:sz w:val="32"/>
          <w:szCs w:val="32"/>
          <w:lang w:val="zh-CN" w:eastAsia="zh-CN"/>
        </w:rPr>
        <w:t>正常召开</w:t>
      </w:r>
      <w:r>
        <w:rPr>
          <w:rFonts w:hint="eastAsia" w:ascii="仿宋" w:hAnsi="仿宋" w:eastAsia="仿宋" w:cs="仿宋"/>
          <w:b w:val="0"/>
          <w:bCs w:val="0"/>
          <w:w w:val="95"/>
          <w:sz w:val="32"/>
          <w:szCs w:val="32"/>
          <w:lang w:val="zh-CN"/>
        </w:rPr>
        <w:t>，得到区领导和机关干部职工一致好评。</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w w:val="95"/>
          <w:sz w:val="32"/>
          <w:szCs w:val="32"/>
          <w:lang w:val="zh-CN"/>
        </w:rPr>
      </w:pPr>
      <w:r>
        <w:rPr>
          <w:rFonts w:hint="eastAsia" w:ascii="仿宋" w:hAnsi="仿宋" w:eastAsia="仿宋" w:cs="仿宋"/>
          <w:b/>
          <w:bCs/>
          <w:w w:val="95"/>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无。</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w w:val="95"/>
          <w:sz w:val="32"/>
          <w:szCs w:val="32"/>
          <w:lang w:val="zh-CN"/>
        </w:rPr>
      </w:pPr>
      <w:r>
        <w:rPr>
          <w:rFonts w:hint="eastAsia" w:ascii="仿宋" w:hAnsi="仿宋" w:eastAsia="仿宋" w:cs="仿宋"/>
          <w:b/>
          <w:bCs/>
          <w:w w:val="95"/>
          <w:sz w:val="32"/>
          <w:szCs w:val="32"/>
          <w:lang w:val="zh-CN"/>
        </w:rPr>
        <w:t>（三）相关建议</w:t>
      </w:r>
    </w:p>
    <w:p>
      <w:pPr>
        <w:keepNext w:val="0"/>
        <w:keepLines w:val="0"/>
        <w:pageBreakBefore w:val="0"/>
        <w:widowControl w:val="0"/>
        <w:kinsoku/>
        <w:wordWrap/>
        <w:overflowPunct/>
        <w:topLinePunct w:val="0"/>
        <w:autoSpaceDE/>
        <w:autoSpaceDN/>
        <w:bidi w:val="0"/>
        <w:spacing w:line="576" w:lineRule="exact"/>
        <w:ind w:firstLine="608" w:firstLineChars="200"/>
        <w:jc w:val="both"/>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无。</w:t>
      </w:r>
    </w:p>
    <w:p>
      <w:pPr>
        <w:pStyle w:val="31"/>
        <w:pageBreakBefore w:val="0"/>
        <w:kinsoku/>
        <w:wordWrap/>
        <w:overflowPunct/>
        <w:topLinePunct w:val="0"/>
        <w:bidi w:val="0"/>
        <w:spacing w:line="576" w:lineRule="exact"/>
        <w:jc w:val="both"/>
        <w:rPr>
          <w:rFonts w:hint="eastAsia" w:ascii="仿宋" w:hAnsi="仿宋" w:eastAsia="仿宋" w:cs="仿宋"/>
          <w:bCs/>
          <w:sz w:val="32"/>
          <w:szCs w:val="32"/>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11"/>
        <w:adjustRightInd w:val="0"/>
        <w:snapToGrid w:val="0"/>
        <w:spacing w:line="440" w:lineRule="exact"/>
        <w:ind w:firstLine="642" w:firstLineChars="200"/>
        <w:jc w:val="both"/>
        <w:rPr>
          <w:rFonts w:hint="eastAsia" w:ascii="方正小标宋简体" w:hAnsi="方正小标宋简体" w:eastAsia="方正小标宋简体" w:cs="方正小标宋简体"/>
          <w:sz w:val="32"/>
          <w:szCs w:val="32"/>
        </w:rPr>
      </w:pPr>
      <w:r>
        <w:rPr>
          <w:rFonts w:hint="eastAsia" w:ascii="仿宋" w:hAnsi="仿宋" w:eastAsia="仿宋" w:cs="仿宋"/>
          <w:b/>
          <w:bCs w:val="0"/>
          <w:sz w:val="32"/>
          <w:szCs w:val="32"/>
          <w:lang w:eastAsia="zh-CN"/>
        </w:rPr>
        <w:t>节能减排</w:t>
      </w:r>
      <w:r>
        <w:rPr>
          <w:rFonts w:hint="eastAsia" w:ascii="仿宋" w:hAnsi="仿宋" w:eastAsia="仿宋" w:cs="仿宋"/>
          <w:b/>
          <w:bCs/>
          <w:color w:val="auto"/>
          <w:kern w:val="2"/>
          <w:sz w:val="32"/>
          <w:szCs w:val="32"/>
          <w:lang w:val="en-US" w:eastAsia="zh-CN" w:bidi="ar-SA"/>
        </w:rPr>
        <w:t>专项</w:t>
      </w:r>
      <w:r>
        <w:rPr>
          <w:rFonts w:hint="eastAsia" w:ascii="仿宋" w:hAnsi="仿宋" w:eastAsia="仿宋" w:cs="仿宋"/>
          <w:b/>
          <w:bCs/>
          <w:color w:val="auto"/>
          <w:kern w:val="2"/>
          <w:sz w:val="32"/>
          <w:szCs w:val="32"/>
          <w:lang w:val="zh-CN" w:eastAsia="zh-CN" w:bidi="ar-SA"/>
        </w:rPr>
        <w:t>预算项目支出绩效自评报告</w:t>
      </w:r>
    </w:p>
    <w:p>
      <w:pPr>
        <w:keepNext w:val="0"/>
        <w:keepLines w:val="0"/>
        <w:pageBreakBefore w:val="0"/>
        <w:widowControl w:val="0"/>
        <w:kinsoku/>
        <w:wordWrap/>
        <w:overflowPunct/>
        <w:topLinePunct w:val="0"/>
        <w:autoSpaceDE/>
        <w:autoSpaceDN/>
        <w:bidi w:val="0"/>
        <w:adjustRightInd w:val="0"/>
        <w:snapToGrid w:val="0"/>
        <w:spacing w:line="576" w:lineRule="exact"/>
        <w:ind w:firstLine="720"/>
        <w:jc w:val="left"/>
        <w:textAlignment w:val="auto"/>
        <w:rPr>
          <w:rFonts w:hint="eastAsia" w:ascii="仿宋" w:hAnsi="仿宋" w:eastAsia="仿宋" w:cs="仿宋"/>
          <w:b/>
          <w:bCs w:val="0"/>
          <w:sz w:val="32"/>
          <w:szCs w:val="32"/>
          <w:lang w:val="zh-CN"/>
        </w:rPr>
      </w:pPr>
      <w:r>
        <w:rPr>
          <w:rFonts w:hint="eastAsia" w:ascii="仿宋" w:hAnsi="仿宋" w:eastAsia="仿宋" w:cs="仿宋"/>
          <w:b/>
          <w:bCs w:val="0"/>
          <w:sz w:val="32"/>
          <w:szCs w:val="32"/>
        </w:rPr>
        <w:t>一、</w:t>
      </w:r>
      <w:r>
        <w:rPr>
          <w:rFonts w:hint="eastAsia" w:ascii="仿宋" w:hAnsi="仿宋" w:eastAsia="仿宋" w:cs="仿宋"/>
          <w:b/>
          <w:bCs w:val="0"/>
          <w:sz w:val="32"/>
          <w:szCs w:val="32"/>
          <w:lang w:val="zh-CN"/>
        </w:rPr>
        <w:t>项目概况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320" w:firstLineChars="100"/>
        <w:textAlignment w:val="auto"/>
        <w:rPr>
          <w:rFonts w:hint="eastAsia" w:ascii="仿宋" w:hAnsi="仿宋" w:eastAsia="仿宋" w:cs="仿宋"/>
          <w:sz w:val="32"/>
          <w:szCs w:val="32"/>
          <w:lang w:val="zh-CN"/>
        </w:rPr>
      </w:pPr>
      <w:r>
        <w:rPr>
          <w:rFonts w:hint="eastAsia" w:ascii="仿宋" w:hAnsi="仿宋" w:eastAsia="仿宋" w:cs="仿宋"/>
          <w:bCs/>
          <w:sz w:val="32"/>
          <w:szCs w:val="32"/>
          <w:lang w:val="zh-CN" w:eastAsia="zh-CN"/>
        </w:rPr>
        <w:t>（一）项目基本情况</w:t>
      </w:r>
      <w:r>
        <w:rPr>
          <w:rFonts w:hint="eastAsia" w:ascii="仿宋" w:hAnsi="仿宋" w:eastAsia="仿宋" w:cs="仿宋"/>
          <w:bCs/>
          <w:sz w:val="32"/>
          <w:szCs w:val="32"/>
          <w:lang w:val="en-US" w:eastAsia="zh-CN"/>
        </w:rPr>
        <w:t>。该项目属于常年性项目，项目预算资金为2万元，在开展工作前，按照预算金额进行申报，使用过程程序规范、执行严格，无违规现象。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bCs/>
          <w:sz w:val="32"/>
          <w:szCs w:val="32"/>
          <w:lang w:val="zh-CN" w:eastAsia="zh-CN"/>
        </w:rPr>
        <w:t>（二）项目绩效目标。</w:t>
      </w:r>
      <w:r>
        <w:rPr>
          <w:rFonts w:hint="eastAsia" w:ascii="仿宋" w:hAnsi="仿宋" w:eastAsia="仿宋" w:cs="仿宋"/>
          <w:sz w:val="32"/>
          <w:szCs w:val="32"/>
          <w:lang w:val="en-US" w:eastAsia="zh-CN"/>
        </w:rPr>
        <w:t>主要是完成年度省市两级下达的能耗下降指标，助力全区公共机构降低能源资源消耗，为推进节约型机关建设、实现碳达峰、碳中和的目标奠定坚实基础。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320" w:firstLineChars="100"/>
        <w:textAlignment w:val="auto"/>
        <w:rPr>
          <w:rFonts w:hint="eastAsia" w:ascii="仿宋" w:hAnsi="仿宋" w:eastAsia="仿宋" w:cs="仿宋"/>
          <w:bCs/>
          <w:sz w:val="32"/>
          <w:szCs w:val="32"/>
          <w:lang w:val="zh-CN" w:eastAsia="zh-CN"/>
        </w:rPr>
      </w:pPr>
      <w:r>
        <w:rPr>
          <w:rFonts w:hint="eastAsia" w:ascii="仿宋" w:hAnsi="仿宋" w:eastAsia="仿宋" w:cs="仿宋"/>
          <w:b w:val="0"/>
          <w:bCs/>
          <w:sz w:val="32"/>
          <w:szCs w:val="32"/>
          <w:lang w:val="zh-CN"/>
        </w:rPr>
        <w:t>（三）项目自评步骤及方法。</w:t>
      </w:r>
      <w:r>
        <w:rPr>
          <w:rFonts w:hint="eastAsia" w:ascii="仿宋" w:hAnsi="仿宋" w:eastAsia="仿宋" w:cs="仿宋"/>
          <w:bCs/>
          <w:sz w:val="32"/>
          <w:szCs w:val="32"/>
          <w:lang w:val="en-US" w:eastAsia="zh-CN"/>
        </w:rPr>
        <w:t>项目资金从申报到使用符合相关规定，执行合理可行。</w:t>
      </w:r>
    </w:p>
    <w:p>
      <w:pPr>
        <w:keepNext w:val="0"/>
        <w:keepLines w:val="0"/>
        <w:pageBreakBefore w:val="0"/>
        <w:widowControl w:val="0"/>
        <w:numPr>
          <w:ilvl w:val="0"/>
          <w:numId w:val="5"/>
        </w:numPr>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项目实施及管理情况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b/>
          <w:bCs/>
          <w:sz w:val="32"/>
          <w:szCs w:val="32"/>
          <w:lang w:val="en-US" w:eastAsia="zh-CN"/>
        </w:rPr>
        <w:t>项目资金申报及批复情况。</w:t>
      </w:r>
      <w:r>
        <w:rPr>
          <w:rFonts w:hint="eastAsia" w:ascii="仿宋" w:hAnsi="仿宋" w:eastAsia="仿宋" w:cs="仿宋"/>
          <w:sz w:val="32"/>
          <w:szCs w:val="32"/>
          <w:lang w:val="zh-CN"/>
        </w:rPr>
        <w:t>工作</w:t>
      </w:r>
      <w:r>
        <w:rPr>
          <w:rFonts w:hint="eastAsia" w:ascii="仿宋" w:hAnsi="仿宋" w:eastAsia="仿宋" w:cs="仿宋"/>
          <w:sz w:val="32"/>
          <w:szCs w:val="32"/>
          <w:lang w:val="en-US" w:eastAsia="zh-CN"/>
        </w:rPr>
        <w:t>经费预算2万元，</w:t>
      </w:r>
      <w:r>
        <w:rPr>
          <w:rFonts w:hint="eastAsia" w:ascii="仿宋" w:hAnsi="仿宋" w:eastAsia="仿宋" w:cs="仿宋"/>
          <w:sz w:val="32"/>
          <w:szCs w:val="32"/>
          <w:lang w:val="zh-CN"/>
        </w:rPr>
        <w:t>截止评价时点</w:t>
      </w:r>
      <w:r>
        <w:rPr>
          <w:rFonts w:hint="eastAsia" w:ascii="仿宋" w:hAnsi="仿宋" w:eastAsia="仿宋" w:cs="仿宋"/>
          <w:sz w:val="32"/>
          <w:szCs w:val="32"/>
          <w:lang w:val="en-US" w:eastAsia="zh-CN"/>
        </w:rPr>
        <w:t>已全部执行。资金到位率100%。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（二）</w:t>
      </w:r>
      <w:r>
        <w:rPr>
          <w:rFonts w:hint="eastAsia" w:ascii="仿宋" w:hAnsi="仿宋" w:eastAsia="仿宋" w:cs="仿宋"/>
          <w:b/>
          <w:bCs/>
          <w:sz w:val="32"/>
          <w:szCs w:val="32"/>
          <w:lang w:val="zh-CN"/>
        </w:rPr>
        <w:t>资金计划、到位及使用情况</w:t>
      </w:r>
      <w:r>
        <w:rPr>
          <w:rFonts w:hint="eastAsia" w:ascii="仿宋" w:hAnsi="仿宋" w:eastAsia="仿宋" w:cs="仿宋"/>
          <w:sz w:val="32"/>
          <w:szCs w:val="32"/>
          <w:lang w:val="en-US" w:eastAsia="zh-CN"/>
        </w:rPr>
        <w:t>。该项目资金主要用于开展全区节能宣传周活动、推进全区节约型机关创建、垃圾分类不断深化、节能改造创新升级等，均按相关规定执行，无超标准现象。</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（三）项目财务管理情况。</w:t>
      </w:r>
      <w:r>
        <w:rPr>
          <w:rFonts w:hint="eastAsia" w:ascii="仿宋" w:hAnsi="仿宋" w:eastAsia="仿宋" w:cs="仿宋"/>
          <w:sz w:val="32"/>
          <w:szCs w:val="32"/>
          <w:lang w:val="en-US" w:eastAsia="zh-CN"/>
        </w:rPr>
        <w:t>区机关事务服务中心建立了相关财务制度，</w:t>
      </w:r>
      <w:r>
        <w:rPr>
          <w:rFonts w:hint="eastAsia" w:ascii="仿宋" w:hAnsi="仿宋" w:eastAsia="仿宋" w:cs="仿宋"/>
          <w:sz w:val="32"/>
          <w:szCs w:val="32"/>
          <w:lang w:val="zh-CN"/>
        </w:rPr>
        <w:t>会计核算及账务处理</w:t>
      </w:r>
      <w:r>
        <w:rPr>
          <w:rFonts w:hint="eastAsia" w:ascii="仿宋" w:hAnsi="仿宋" w:eastAsia="仿宋" w:cs="仿宋"/>
          <w:sz w:val="32"/>
          <w:szCs w:val="32"/>
          <w:lang w:val="en-US" w:eastAsia="zh-CN"/>
        </w:rPr>
        <w:t>均按相关规定执行</w:t>
      </w:r>
      <w:r>
        <w:rPr>
          <w:rFonts w:hint="eastAsia" w:ascii="仿宋" w:hAnsi="仿宋" w:eastAsia="仿宋" w:cs="仿宋"/>
          <w:sz w:val="32"/>
          <w:szCs w:val="32"/>
          <w:lang w:val="zh-CN"/>
        </w:rPr>
        <w:t>。严格执行财务管理制度、财务处理及时、会计核算规范。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Cs/>
          <w:sz w:val="32"/>
          <w:szCs w:val="32"/>
        </w:rPr>
      </w:pPr>
      <w:r>
        <w:rPr>
          <w:rFonts w:hint="eastAsia" w:ascii="仿宋" w:hAnsi="仿宋" w:eastAsia="仿宋" w:cs="仿宋"/>
          <w:sz w:val="32"/>
          <w:szCs w:val="32"/>
          <w:lang w:val="en-US" w:eastAsia="zh-CN"/>
        </w:rPr>
        <w:t>该项目主要由分管领导及相关股室负责实施，根据工作实际情况，提出申请，经主要领导或主任办公会同意后方可执行。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sz w:val="32"/>
          <w:szCs w:val="32"/>
          <w:lang w:val="zh-CN"/>
        </w:rPr>
      </w:pPr>
      <w:r>
        <w:rPr>
          <w:rFonts w:hint="eastAsia" w:ascii="仿宋" w:hAnsi="仿宋" w:eastAsia="仿宋" w:cs="仿宋"/>
          <w:b/>
          <w:bCs w:val="0"/>
          <w:sz w:val="32"/>
          <w:szCs w:val="32"/>
          <w:lang w:eastAsia="zh-CN"/>
        </w:rPr>
        <w:t>四</w:t>
      </w:r>
      <w:r>
        <w:rPr>
          <w:rFonts w:hint="eastAsia" w:ascii="仿宋" w:hAnsi="仿宋" w:eastAsia="仿宋" w:cs="仿宋"/>
          <w:b/>
          <w:bCs w:val="0"/>
          <w:sz w:val="32"/>
          <w:szCs w:val="32"/>
        </w:rPr>
        <w:t>、项目绩效情况</w:t>
      </w:r>
      <w:r>
        <w:rPr>
          <w:rFonts w:hint="eastAsia" w:ascii="仿宋" w:hAnsi="仿宋" w:eastAsia="仿宋" w:cs="仿宋"/>
          <w:b/>
          <w:bCs w:val="0"/>
          <w:sz w:val="32"/>
          <w:szCs w:val="32"/>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（一）项目完成情况。</w:t>
      </w:r>
      <w:r>
        <w:rPr>
          <w:rFonts w:hint="eastAsia" w:ascii="仿宋" w:hAnsi="仿宋" w:eastAsia="仿宋" w:cs="仿宋"/>
          <w:sz w:val="32"/>
          <w:szCs w:val="32"/>
          <w:lang w:val="en-US" w:eastAsia="zh-CN"/>
        </w:rPr>
        <w:t>该项目按照厉行节约、绿色办公要求，全面完成年度全区能耗下降指标，扎实做好节能宣传，组织全区开展节能宣传周活动，及时上报节能宣传信息，完成年度节约型机关创建任务，项目自评能达到优秀。</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（二）项目效益情况。</w:t>
      </w:r>
      <w:r>
        <w:rPr>
          <w:rFonts w:hint="eastAsia" w:ascii="仿宋" w:hAnsi="仿宋" w:eastAsia="仿宋" w:cs="仿宋"/>
          <w:sz w:val="32"/>
          <w:szCs w:val="32"/>
          <w:lang w:val="en-US" w:eastAsia="zh-CN"/>
        </w:rPr>
        <w:t>积极推进全区公共机构降低能源资源消耗，以节约型机关创建工作带动全区公共机构绿色低碳发展、节约集约使用。</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五</w:t>
      </w:r>
      <w:r>
        <w:rPr>
          <w:rFonts w:hint="eastAsia" w:ascii="仿宋" w:hAnsi="仿宋" w:eastAsia="仿宋" w:cs="仿宋"/>
          <w:b/>
          <w:bCs w:val="0"/>
          <w:sz w:val="32"/>
          <w:szCs w:val="32"/>
        </w:rPr>
        <w:t>、问题及建议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Cs/>
          <w:sz w:val="32"/>
          <w:szCs w:val="32"/>
          <w:lang w:eastAsia="zh-CN"/>
        </w:rPr>
      </w:pPr>
      <w:r>
        <w:rPr>
          <w:rFonts w:hint="eastAsia" w:ascii="仿宋" w:hAnsi="仿宋" w:eastAsia="仿宋" w:cs="仿宋"/>
          <w:b/>
          <w:bCs w:val="0"/>
          <w:sz w:val="32"/>
          <w:szCs w:val="32"/>
          <w:lang w:eastAsia="zh-CN"/>
        </w:rPr>
        <w:t>（一）评价结论。</w:t>
      </w:r>
      <w:r>
        <w:rPr>
          <w:rFonts w:hint="eastAsia" w:ascii="仿宋" w:hAnsi="仿宋" w:eastAsia="仿宋" w:cs="仿宋"/>
          <w:bCs/>
          <w:sz w:val="32"/>
          <w:szCs w:val="32"/>
          <w:lang w:eastAsia="zh-CN"/>
        </w:rPr>
        <w:t>该项目按照年初节能工作指标开展工作，通过节能管理、氛围宣传、开展示范创建等措施，全面完成全年节能降耗目标任务。</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zh-CN"/>
        </w:rPr>
        <w:t>（二）存在的问题。</w:t>
      </w:r>
      <w:r>
        <w:rPr>
          <w:rFonts w:hint="eastAsia" w:ascii="仿宋" w:hAnsi="仿宋" w:eastAsia="仿宋" w:cs="仿宋"/>
          <w:sz w:val="32"/>
          <w:szCs w:val="32"/>
          <w:lang w:val="en-US" w:eastAsia="zh-CN"/>
        </w:rPr>
        <w:t>经费预算不足，需增加预算。</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（三）相关建议</w:t>
      </w:r>
    </w:p>
    <w:p>
      <w:pPr>
        <w:keepNext w:val="0"/>
        <w:keepLines w:val="0"/>
        <w:pageBreakBefore w:val="0"/>
        <w:widowControl w:val="0"/>
        <w:kinsoku/>
        <w:wordWrap/>
        <w:overflowPunct/>
        <w:topLinePunct w:val="0"/>
        <w:autoSpaceDE/>
        <w:autoSpaceDN/>
        <w:bidi w:val="0"/>
        <w:spacing w:line="576" w:lineRule="exact"/>
        <w:ind w:firstLine="960" w:firstLineChars="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spacing w:line="576" w:lineRule="exact"/>
        <w:jc w:val="both"/>
        <w:textAlignment w:val="auto"/>
        <w:rPr>
          <w:rFonts w:hint="eastAsia" w:ascii="仿宋" w:hAnsi="仿宋" w:eastAsia="仿宋" w:cs="仿宋"/>
          <w:sz w:val="32"/>
          <w:szCs w:val="32"/>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 w:hAnsi="仿宋" w:eastAsia="仿宋" w:cs="仿宋"/>
          <w:b/>
          <w:bCs w:val="0"/>
          <w:sz w:val="32"/>
          <w:szCs w:val="32"/>
          <w:lang w:val="en-US" w:eastAsia="zh-CN"/>
        </w:rPr>
        <w:t>区警备室</w:t>
      </w:r>
      <w:r>
        <w:rPr>
          <w:rFonts w:hint="eastAsia" w:ascii="仿宋" w:hAnsi="仿宋" w:eastAsia="仿宋" w:cs="仿宋"/>
          <w:b/>
          <w:bCs/>
          <w:color w:val="auto"/>
          <w:kern w:val="2"/>
          <w:sz w:val="32"/>
          <w:szCs w:val="32"/>
          <w:lang w:val="en-US" w:eastAsia="zh-CN" w:bidi="ar-SA"/>
        </w:rPr>
        <w:t>专项</w:t>
      </w:r>
      <w:r>
        <w:rPr>
          <w:rFonts w:hint="eastAsia" w:ascii="仿宋" w:hAnsi="仿宋" w:eastAsia="仿宋" w:cs="仿宋"/>
          <w:b/>
          <w:bCs/>
          <w:color w:val="auto"/>
          <w:kern w:val="2"/>
          <w:sz w:val="32"/>
          <w:szCs w:val="32"/>
          <w:lang w:val="zh-CN" w:eastAsia="zh-CN" w:bidi="ar-SA"/>
        </w:rPr>
        <w:t>预算项目支出绩效自评报告</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sz w:val="32"/>
          <w:szCs w:val="32"/>
          <w:lang w:val="zh-CN"/>
        </w:rPr>
      </w:pPr>
      <w:r>
        <w:rPr>
          <w:rFonts w:hint="eastAsia" w:ascii="仿宋" w:hAnsi="仿宋" w:eastAsia="仿宋" w:cs="仿宋"/>
          <w:b/>
          <w:bCs w:val="0"/>
          <w:sz w:val="32"/>
          <w:szCs w:val="32"/>
        </w:rPr>
        <w:t>一、</w:t>
      </w:r>
      <w:r>
        <w:rPr>
          <w:rFonts w:hint="eastAsia" w:ascii="仿宋" w:hAnsi="仿宋" w:eastAsia="仿宋" w:cs="仿宋"/>
          <w:b/>
          <w:bCs w:val="0"/>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(一)</w:t>
      </w:r>
      <w:r>
        <w:rPr>
          <w:rFonts w:hint="eastAsia" w:ascii="仿宋" w:hAnsi="仿宋" w:eastAsia="仿宋" w:cs="仿宋"/>
          <w:bCs/>
          <w:sz w:val="32"/>
          <w:szCs w:val="32"/>
          <w:lang w:val="zh-CN" w:eastAsia="zh-CN"/>
        </w:rPr>
        <w:t>项目基本情况。</w:t>
      </w:r>
      <w:r>
        <w:rPr>
          <w:rFonts w:hint="eastAsia" w:ascii="仿宋" w:hAnsi="仿宋" w:eastAsia="仿宋" w:cs="仿宋"/>
          <w:bCs/>
          <w:sz w:val="32"/>
          <w:szCs w:val="32"/>
          <w:lang w:val="zh-CN"/>
        </w:rPr>
        <w:t>项目资金申报及批复情况</w:t>
      </w:r>
      <w:r>
        <w:rPr>
          <w:rFonts w:hint="eastAsia" w:ascii="仿宋" w:hAnsi="仿宋" w:eastAsia="仿宋" w:cs="仿宋"/>
          <w:bCs/>
          <w:sz w:val="32"/>
          <w:szCs w:val="32"/>
          <w:lang w:val="zh-CN" w:eastAsia="zh-CN"/>
        </w:rPr>
        <w:t>。</w:t>
      </w:r>
      <w:r>
        <w:rPr>
          <w:rFonts w:hint="eastAsia" w:ascii="仿宋" w:hAnsi="仿宋" w:eastAsia="仿宋" w:cs="仿宋"/>
          <w:sz w:val="32"/>
          <w:szCs w:val="32"/>
          <w:lang w:val="en-US" w:eastAsia="zh-CN"/>
        </w:rPr>
        <w:t>该项目属常年维稳性项目，按预算金额进行申报，使用过程符合资金管理办法相关规定，无违规现象。警备室维稳项目</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此项目预算1万元。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bCs/>
          <w:sz w:val="32"/>
          <w:szCs w:val="32"/>
          <w:lang w:val="zh-CN"/>
        </w:rPr>
        <w:t>（二）项目绩效目标。</w:t>
      </w:r>
      <w:r>
        <w:rPr>
          <w:rFonts w:hint="eastAsia" w:ascii="仿宋" w:hAnsi="仿宋" w:eastAsia="仿宋" w:cs="仿宋"/>
          <w:sz w:val="32"/>
          <w:szCs w:val="32"/>
          <w:lang w:val="en-US" w:eastAsia="zh-CN"/>
        </w:rPr>
        <w:t>主要用于警备室规范化建设，为保卫工作奠定坚实的基础，为促进公共机构公共安全具有深远意义。</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Cs/>
          <w:sz w:val="32"/>
          <w:szCs w:val="32"/>
        </w:rPr>
      </w:pPr>
      <w:r>
        <w:rPr>
          <w:rFonts w:hint="eastAsia" w:ascii="仿宋" w:hAnsi="仿宋" w:eastAsia="仿宋" w:cs="仿宋"/>
          <w:bCs/>
          <w:sz w:val="32"/>
          <w:szCs w:val="32"/>
          <w:lang w:val="zh-CN"/>
        </w:rPr>
        <w:t>（三）项目自评步骤及方法。</w:t>
      </w:r>
      <w:r>
        <w:rPr>
          <w:rFonts w:hint="eastAsia" w:ascii="仿宋" w:hAnsi="仿宋" w:eastAsia="仿宋" w:cs="仿宋"/>
          <w:sz w:val="32"/>
          <w:szCs w:val="32"/>
          <w:lang w:val="en-US" w:eastAsia="zh-CN"/>
        </w:rPr>
        <w:t>项目资金从申报到使用符合相关规定，执行合理可行。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（一）项目资金申报及批复情况。</w:t>
      </w:r>
      <w:r>
        <w:rPr>
          <w:rFonts w:hint="eastAsia" w:ascii="仿宋" w:hAnsi="仿宋" w:eastAsia="仿宋" w:cs="仿宋"/>
          <w:sz w:val="32"/>
          <w:szCs w:val="32"/>
          <w:lang w:val="zh-CN"/>
        </w:rPr>
        <w:t>资金计划及到位</w:t>
      </w:r>
      <w:r>
        <w:rPr>
          <w:rFonts w:hint="eastAsia" w:ascii="仿宋" w:hAnsi="仿宋" w:eastAsia="仿宋" w:cs="仿宋"/>
          <w:sz w:val="32"/>
          <w:szCs w:val="32"/>
          <w:lang w:val="en-US" w:eastAsia="zh-CN"/>
        </w:rPr>
        <w:t>情况。</w:t>
      </w:r>
      <w:r>
        <w:rPr>
          <w:rFonts w:hint="eastAsia" w:ascii="仿宋" w:hAnsi="仿宋" w:eastAsia="仿宋" w:cs="仿宋"/>
          <w:sz w:val="32"/>
          <w:szCs w:val="32"/>
          <w:lang w:val="zh-CN"/>
        </w:rPr>
        <w:t>工作</w:t>
      </w:r>
      <w:r>
        <w:rPr>
          <w:rFonts w:hint="eastAsia" w:ascii="仿宋" w:hAnsi="仿宋" w:eastAsia="仿宋" w:cs="仿宋"/>
          <w:sz w:val="32"/>
          <w:szCs w:val="32"/>
          <w:lang w:val="en-US" w:eastAsia="zh-CN"/>
        </w:rPr>
        <w:t>经费预算1万元，</w:t>
      </w:r>
      <w:r>
        <w:rPr>
          <w:rFonts w:hint="eastAsia" w:ascii="仿宋" w:hAnsi="仿宋" w:eastAsia="仿宋" w:cs="仿宋"/>
          <w:sz w:val="32"/>
          <w:szCs w:val="32"/>
          <w:lang w:val="zh-CN"/>
        </w:rPr>
        <w:t>截止评价时点</w:t>
      </w:r>
      <w:r>
        <w:rPr>
          <w:rFonts w:hint="eastAsia" w:ascii="仿宋" w:hAnsi="仿宋" w:eastAsia="仿宋" w:cs="仿宋"/>
          <w:sz w:val="32"/>
          <w:szCs w:val="32"/>
          <w:lang w:val="en-US" w:eastAsia="zh-CN"/>
        </w:rPr>
        <w:t>已全部执行。资金到位率100%。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color w:val="333333"/>
          <w:sz w:val="32"/>
          <w:szCs w:val="32"/>
        </w:rPr>
      </w:pPr>
      <w:r>
        <w:rPr>
          <w:rFonts w:hint="eastAsia" w:ascii="仿宋" w:hAnsi="仿宋" w:eastAsia="仿宋" w:cs="仿宋"/>
          <w:b/>
          <w:bCs/>
          <w:sz w:val="32"/>
          <w:szCs w:val="32"/>
          <w:lang w:val="zh-CN"/>
        </w:rPr>
        <w:t>（二）资金计划、到位及使用情况。</w:t>
      </w:r>
      <w:r>
        <w:rPr>
          <w:rFonts w:hint="eastAsia" w:ascii="仿宋" w:hAnsi="仿宋" w:eastAsia="仿宋" w:cs="仿宋"/>
          <w:sz w:val="32"/>
          <w:szCs w:val="32"/>
          <w:lang w:val="en-US" w:eastAsia="zh-CN"/>
        </w:rPr>
        <w:t>该项目资金主要用于在岗警备员开展工作时应当配备必要的防卫性器材装备，为便于开展安保服务工作，根据不同的岗位需要配备一定的交通、通讯工具。同时配备了一定的救生器材及防疫必需品等。均安相关规定执行，无超标现象。</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（三）项目财务管理情况。</w:t>
      </w:r>
      <w:r>
        <w:rPr>
          <w:rFonts w:hint="eastAsia" w:ascii="仿宋" w:hAnsi="仿宋" w:eastAsia="仿宋" w:cs="仿宋"/>
          <w:sz w:val="32"/>
          <w:szCs w:val="32"/>
          <w:lang w:val="en-US" w:eastAsia="zh-CN"/>
        </w:rPr>
        <w:t>区机关事务服务中心建立了相关财务制度，</w:t>
      </w:r>
      <w:r>
        <w:rPr>
          <w:rFonts w:hint="eastAsia" w:ascii="仿宋" w:hAnsi="仿宋" w:eastAsia="仿宋" w:cs="仿宋"/>
          <w:sz w:val="32"/>
          <w:szCs w:val="32"/>
          <w:lang w:val="zh-CN"/>
        </w:rPr>
        <w:t>会计核算及账务处理</w:t>
      </w:r>
      <w:r>
        <w:rPr>
          <w:rFonts w:hint="eastAsia" w:ascii="仿宋" w:hAnsi="仿宋" w:eastAsia="仿宋" w:cs="仿宋"/>
          <w:sz w:val="32"/>
          <w:szCs w:val="32"/>
          <w:lang w:val="en-US" w:eastAsia="zh-CN"/>
        </w:rPr>
        <w:t>均按相关规定执行</w:t>
      </w:r>
      <w:r>
        <w:rPr>
          <w:rFonts w:hint="eastAsia" w:ascii="仿宋" w:hAnsi="仿宋" w:eastAsia="仿宋" w:cs="仿宋"/>
          <w:sz w:val="32"/>
          <w:szCs w:val="32"/>
          <w:lang w:val="zh-CN"/>
        </w:rPr>
        <w:t>。严格执行财务管理制度、财务处理及时、会计核算规范。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该项目主要由分管领导及相关股室负责实施，根据工作实际情况，提出申请，经主要领导或主任办公会同意后方可执行。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sz w:val="32"/>
          <w:szCs w:val="32"/>
          <w:lang w:val="zh-CN"/>
        </w:rPr>
      </w:pPr>
      <w:r>
        <w:rPr>
          <w:rFonts w:hint="eastAsia" w:ascii="仿宋" w:hAnsi="仿宋" w:eastAsia="仿宋" w:cs="仿宋"/>
          <w:b/>
          <w:bCs w:val="0"/>
          <w:sz w:val="32"/>
          <w:szCs w:val="32"/>
          <w:lang w:eastAsia="zh-CN"/>
        </w:rPr>
        <w:t>四</w:t>
      </w:r>
      <w:r>
        <w:rPr>
          <w:rFonts w:hint="eastAsia" w:ascii="仿宋" w:hAnsi="仿宋" w:eastAsia="仿宋" w:cs="仿宋"/>
          <w:b/>
          <w:bCs w:val="0"/>
          <w:sz w:val="32"/>
          <w:szCs w:val="32"/>
        </w:rPr>
        <w:t>、项目绩效情况</w:t>
      </w:r>
      <w:r>
        <w:rPr>
          <w:rFonts w:hint="eastAsia" w:ascii="仿宋" w:hAnsi="仿宋" w:eastAsia="仿宋" w:cs="仿宋"/>
          <w:b/>
          <w:bCs w:val="0"/>
          <w:sz w:val="32"/>
          <w:szCs w:val="32"/>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（一）项目完成情况。</w:t>
      </w:r>
      <w:r>
        <w:rPr>
          <w:rFonts w:hint="eastAsia" w:ascii="仿宋" w:hAnsi="仿宋" w:eastAsia="仿宋" w:cs="仿宋"/>
          <w:sz w:val="32"/>
          <w:szCs w:val="32"/>
          <w:lang w:val="en-US" w:eastAsia="zh-CN"/>
        </w:rPr>
        <w:t>该项目通过严格执行，认真登记来访人员，积极协助群工局处理集体上访，维护一、二、三办公区正常办公秩序，提升信访工作水平，促进全区经济发展、民生改善、社会和谐稳定，项目自评能达到优秀。</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Cs/>
          <w:sz w:val="32"/>
          <w:szCs w:val="32"/>
        </w:rPr>
      </w:pPr>
      <w:r>
        <w:rPr>
          <w:rFonts w:hint="eastAsia" w:ascii="仿宋" w:hAnsi="仿宋" w:eastAsia="仿宋" w:cs="仿宋"/>
          <w:sz w:val="32"/>
          <w:szCs w:val="32"/>
          <w:lang w:val="en-US" w:eastAsia="zh-CN"/>
        </w:rPr>
        <w:t>保障集中办公区良好的工作秩序，为干部职工提供安全高效的工作环境，维护和谐稳定社会秩序。</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（一）评价结论。通过</w:t>
      </w:r>
      <w:r>
        <w:rPr>
          <w:rFonts w:hint="eastAsia" w:ascii="仿宋" w:hAnsi="仿宋" w:eastAsia="仿宋" w:cs="仿宋"/>
          <w:sz w:val="32"/>
          <w:szCs w:val="32"/>
          <w:lang w:val="en-US" w:eastAsia="zh-CN"/>
        </w:rPr>
        <w:t>警备室规范化建设，为保卫工作奠定坚实的基础，确保集中办公区正常安全的办公区秩序。</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（三）相关建议。</w:t>
      </w:r>
    </w:p>
    <w:p>
      <w:pPr>
        <w:keepNext w:val="0"/>
        <w:keepLines w:val="0"/>
        <w:pageBreakBefore w:val="0"/>
        <w:widowControl w:val="0"/>
        <w:kinsoku/>
        <w:wordWrap/>
        <w:overflowPunct/>
        <w:topLinePunct w:val="0"/>
        <w:autoSpaceDE/>
        <w:autoSpaceDN/>
        <w:bidi w:val="0"/>
        <w:spacing w:line="576" w:lineRule="exact"/>
        <w:ind w:firstLine="960" w:firstLineChars="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 xml:space="preserve"> </w:t>
      </w: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万缘办公区物业管理及办公区、食堂水电气费</w:t>
      </w: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 w:hAnsi="仿宋" w:eastAsia="仿宋" w:cs="仿宋"/>
          <w:b/>
          <w:bCs/>
          <w:color w:val="auto"/>
          <w:kern w:val="2"/>
          <w:sz w:val="32"/>
          <w:szCs w:val="32"/>
          <w:lang w:val="en-US" w:eastAsia="zh-CN" w:bidi="ar-SA"/>
        </w:rPr>
        <w:t>专项</w:t>
      </w:r>
      <w:r>
        <w:rPr>
          <w:rFonts w:hint="eastAsia" w:ascii="仿宋" w:hAnsi="仿宋" w:eastAsia="仿宋" w:cs="仿宋"/>
          <w:b/>
          <w:bCs/>
          <w:color w:val="auto"/>
          <w:kern w:val="2"/>
          <w:sz w:val="32"/>
          <w:szCs w:val="32"/>
          <w:lang w:val="zh-CN" w:eastAsia="zh-CN" w:bidi="ar-SA"/>
        </w:rPr>
        <w:t>预算项目支出绩效自评报告</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val="0"/>
          <w:sz w:val="32"/>
          <w:szCs w:val="32"/>
          <w:lang w:val="zh-CN"/>
        </w:rPr>
      </w:pPr>
      <w:r>
        <w:rPr>
          <w:rFonts w:hint="eastAsia" w:ascii="仿宋" w:hAnsi="仿宋" w:eastAsia="仿宋" w:cs="仿宋"/>
          <w:b/>
          <w:bCs w:val="0"/>
          <w:sz w:val="32"/>
          <w:szCs w:val="32"/>
        </w:rPr>
        <w:t>一、</w:t>
      </w:r>
      <w:r>
        <w:rPr>
          <w:rFonts w:hint="eastAsia" w:ascii="仿宋" w:hAnsi="仿宋" w:eastAsia="仿宋" w:cs="仿宋"/>
          <w:b/>
          <w:bCs w:val="0"/>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zh-CN"/>
        </w:rPr>
        <w:t>（一）项目基本情况。</w:t>
      </w:r>
      <w:r>
        <w:rPr>
          <w:rFonts w:hint="eastAsia" w:ascii="仿宋" w:hAnsi="仿宋" w:eastAsia="仿宋" w:cs="仿宋"/>
          <w:sz w:val="32"/>
          <w:szCs w:val="32"/>
          <w:lang w:val="en-US" w:eastAsia="zh-CN"/>
        </w:rPr>
        <w:t>集中办公区物业管理及办公区、食堂水电气费</w:t>
      </w:r>
      <w:r>
        <w:rPr>
          <w:rFonts w:hint="eastAsia" w:ascii="仿宋" w:hAnsi="仿宋" w:eastAsia="仿宋" w:cs="仿宋"/>
          <w:sz w:val="32"/>
          <w:szCs w:val="32"/>
          <w:lang w:val="zh-CN"/>
        </w:rPr>
        <w:t>，主要用于保障集中办公区正常秩序，</w:t>
      </w:r>
      <w:r>
        <w:rPr>
          <w:rFonts w:hint="eastAsia" w:ascii="仿宋" w:hAnsi="仿宋" w:eastAsia="仿宋" w:cs="仿宋"/>
          <w:sz w:val="32"/>
          <w:szCs w:val="32"/>
          <w:lang w:val="en-US" w:eastAsia="zh-CN"/>
        </w:rPr>
        <w:t>此项目预算109万元。该项目属常年性项目，通常在工作需要开展前，根据需要开支金额进行申报，能保证工作的正常开展，使用过程符合资金管理办法相关规定，无违规现象。</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val="0"/>
          <w:sz w:val="32"/>
          <w:szCs w:val="32"/>
          <w:lang w:val="zh-CN"/>
        </w:rPr>
        <w:t>（二）项目绩效目标。</w:t>
      </w:r>
      <w:r>
        <w:rPr>
          <w:rFonts w:hint="eastAsia" w:ascii="仿宋" w:hAnsi="仿宋" w:eastAsia="仿宋" w:cs="仿宋"/>
          <w:bCs/>
          <w:sz w:val="32"/>
          <w:szCs w:val="32"/>
          <w:lang w:val="zh-CN"/>
        </w:rPr>
        <w:t>集中办公区</w:t>
      </w:r>
      <w:r>
        <w:rPr>
          <w:rFonts w:hint="eastAsia" w:ascii="仿宋" w:hAnsi="仿宋" w:eastAsia="仿宋" w:cs="仿宋"/>
          <w:sz w:val="32"/>
          <w:szCs w:val="32"/>
          <w:lang w:val="en-US" w:eastAsia="zh-CN"/>
        </w:rPr>
        <w:t>物业管理及办公区、食堂水电气费</w:t>
      </w:r>
      <w:r>
        <w:rPr>
          <w:rFonts w:hint="eastAsia" w:ascii="仿宋" w:hAnsi="仿宋" w:eastAsia="仿宋" w:cs="仿宋"/>
          <w:sz w:val="32"/>
          <w:szCs w:val="32"/>
          <w:lang w:val="zh-CN"/>
        </w:rPr>
        <w:t>工作，</w:t>
      </w:r>
      <w:r>
        <w:rPr>
          <w:rFonts w:hint="eastAsia" w:ascii="仿宋" w:hAnsi="仿宋" w:eastAsia="仿宋" w:cs="仿宋"/>
          <w:sz w:val="32"/>
          <w:szCs w:val="32"/>
          <w:lang w:val="en-US" w:eastAsia="zh-CN"/>
        </w:rPr>
        <w:t>主要是用于集中办公区水电气管理，保障集中办公区正常运行。物业管理对</w:t>
      </w:r>
      <w:r>
        <w:rPr>
          <w:rFonts w:hint="eastAsia" w:ascii="仿宋" w:hAnsi="仿宋" w:eastAsia="仿宋" w:cs="仿宋"/>
          <w:kern w:val="0"/>
          <w:sz w:val="32"/>
          <w:szCs w:val="32"/>
          <w:lang w:val="en-US" w:eastAsia="zh-CN" w:bidi="ar-SA"/>
        </w:rPr>
        <w:t>外来人员接待方面，积极做好办公区信访人员的来访接待登记，严格按照信访条例及程序进行处置，维护了集中办公区正常办公秩序。实名登记来人来访办事人员17000余人次，接待信访人员800余人次，信访件184件。</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Cs/>
          <w:sz w:val="32"/>
          <w:szCs w:val="32"/>
        </w:rPr>
      </w:pPr>
      <w:r>
        <w:rPr>
          <w:rFonts w:hint="eastAsia" w:ascii="仿宋" w:hAnsi="仿宋" w:eastAsia="仿宋" w:cs="仿宋"/>
          <w:b/>
          <w:bCs w:val="0"/>
          <w:sz w:val="32"/>
          <w:szCs w:val="32"/>
          <w:lang w:val="zh-CN"/>
        </w:rPr>
        <w:t>（三）项目资金申报相符性。</w:t>
      </w:r>
      <w:r>
        <w:rPr>
          <w:rFonts w:hint="eastAsia" w:ascii="仿宋" w:hAnsi="仿宋" w:eastAsia="仿宋" w:cs="仿宋"/>
          <w:sz w:val="32"/>
          <w:szCs w:val="32"/>
          <w:lang w:val="en-US" w:eastAsia="zh-CN"/>
        </w:rPr>
        <w:t>项目资金从申报到使用符合相关规定，执行合理可行。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w:t>
      </w:r>
      <w:r>
        <w:rPr>
          <w:rFonts w:hint="eastAsia" w:ascii="仿宋" w:hAnsi="仿宋" w:eastAsia="仿宋" w:cs="仿宋"/>
          <w:b/>
          <w:bCs w:val="0"/>
          <w:sz w:val="32"/>
          <w:szCs w:val="32"/>
          <w:lang w:eastAsia="zh-CN"/>
        </w:rPr>
        <w:t>项目资金申报及使用</w:t>
      </w:r>
      <w:r>
        <w:rPr>
          <w:rFonts w:hint="eastAsia" w:ascii="仿宋" w:hAnsi="仿宋" w:eastAsia="仿宋" w:cs="仿宋"/>
          <w:b/>
          <w:bCs w:val="0"/>
          <w:sz w:val="32"/>
          <w:szCs w:val="32"/>
        </w:rPr>
        <w:t>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zh-CN"/>
        </w:rPr>
        <w:t>（一）项目资金申报及批复情况。</w:t>
      </w:r>
      <w:r>
        <w:rPr>
          <w:rFonts w:hint="eastAsia" w:ascii="仿宋" w:hAnsi="仿宋" w:eastAsia="仿宋" w:cs="仿宋"/>
          <w:b w:val="0"/>
          <w:bCs w:val="0"/>
          <w:sz w:val="32"/>
          <w:szCs w:val="32"/>
          <w:lang w:val="zh-CN"/>
        </w:rPr>
        <w:t>集中办公区</w:t>
      </w:r>
      <w:r>
        <w:rPr>
          <w:rFonts w:hint="eastAsia" w:ascii="仿宋" w:hAnsi="仿宋" w:eastAsia="仿宋" w:cs="仿宋"/>
          <w:color w:val="auto"/>
          <w:kern w:val="2"/>
          <w:sz w:val="32"/>
          <w:szCs w:val="32"/>
          <w:lang w:val="en-US" w:eastAsia="zh-CN" w:bidi="ar-SA"/>
        </w:rPr>
        <w:t>物业管理及办公区、食堂水电气费项目</w:t>
      </w:r>
      <w:r>
        <w:rPr>
          <w:rFonts w:hint="eastAsia" w:ascii="仿宋" w:hAnsi="仿宋" w:eastAsia="仿宋" w:cs="仿宋"/>
          <w:sz w:val="32"/>
          <w:szCs w:val="32"/>
          <w:lang w:val="en-US" w:eastAsia="zh-CN"/>
        </w:rPr>
        <w:t>预算109万元，</w:t>
      </w:r>
      <w:r>
        <w:rPr>
          <w:rFonts w:hint="eastAsia" w:ascii="仿宋" w:hAnsi="仿宋" w:eastAsia="仿宋" w:cs="仿宋"/>
          <w:sz w:val="32"/>
          <w:szCs w:val="32"/>
          <w:lang w:val="zh-CN"/>
        </w:rPr>
        <w:t>截止评价时</w:t>
      </w:r>
      <w:r>
        <w:rPr>
          <w:rFonts w:hint="eastAsia" w:ascii="仿宋" w:hAnsi="仿宋" w:eastAsia="仿宋" w:cs="仿宋"/>
          <w:sz w:val="32"/>
          <w:szCs w:val="32"/>
          <w:lang w:val="en-US" w:eastAsia="zh-CN"/>
        </w:rPr>
        <w:t>已全部执行。</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zh-CN"/>
        </w:rPr>
        <w:t>（二）资金计划、到位及使用情况。</w:t>
      </w:r>
      <w:r>
        <w:rPr>
          <w:rFonts w:hint="eastAsia" w:ascii="仿宋" w:hAnsi="仿宋" w:eastAsia="仿宋" w:cs="仿宋"/>
          <w:sz w:val="32"/>
          <w:szCs w:val="32"/>
          <w:lang w:val="en-US" w:eastAsia="zh-CN"/>
        </w:rPr>
        <w:t>该项目资金主要用于集中办公区及食堂水电气费，保障集中办公区正常秩序、物业管理方面等工作按相关规定执行，无超标准现象。物业管理根据要求采取财政直接支付方式进行结算。</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（三）项目监管情况。</w:t>
      </w:r>
      <w:r>
        <w:rPr>
          <w:rFonts w:hint="eastAsia" w:ascii="仿宋" w:hAnsi="仿宋" w:eastAsia="仿宋" w:cs="仿宋"/>
          <w:sz w:val="32"/>
          <w:szCs w:val="32"/>
          <w:lang w:val="en-US" w:eastAsia="zh-CN"/>
        </w:rPr>
        <w:t>区机关事务服务中心建立了相关财务制度，</w:t>
      </w:r>
      <w:r>
        <w:rPr>
          <w:rFonts w:hint="eastAsia" w:ascii="仿宋" w:hAnsi="仿宋" w:eastAsia="仿宋" w:cs="仿宋"/>
          <w:sz w:val="32"/>
          <w:szCs w:val="32"/>
          <w:lang w:val="zh-CN"/>
        </w:rPr>
        <w:t>会计核算及账务处理</w:t>
      </w:r>
      <w:r>
        <w:rPr>
          <w:rFonts w:hint="eastAsia" w:ascii="仿宋" w:hAnsi="仿宋" w:eastAsia="仿宋" w:cs="仿宋"/>
          <w:sz w:val="32"/>
          <w:szCs w:val="32"/>
          <w:lang w:val="en-US" w:eastAsia="zh-CN"/>
        </w:rPr>
        <w:t>境均按相关规定执行</w:t>
      </w:r>
      <w:r>
        <w:rPr>
          <w:rFonts w:hint="eastAsia" w:ascii="仿宋" w:hAnsi="仿宋" w:eastAsia="仿宋" w:cs="仿宋"/>
          <w:sz w:val="32"/>
          <w:szCs w:val="32"/>
          <w:lang w:val="zh-CN"/>
        </w:rPr>
        <w:t>。严格执行财务管理制度、财务处理及时、会计核算规范。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该项目主要由分管领导及相关股室负责实施，根据工作实际情况，提出申请，经主要领导或主任办公会同意后方可执行。</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四</w:t>
      </w:r>
      <w:r>
        <w:rPr>
          <w:rFonts w:hint="eastAsia" w:ascii="仿宋" w:hAnsi="仿宋" w:eastAsia="仿宋" w:cs="仿宋"/>
          <w:b/>
          <w:bCs w:val="0"/>
          <w:sz w:val="32"/>
          <w:szCs w:val="32"/>
        </w:rPr>
        <w:t>、项目绩效情况</w:t>
      </w:r>
      <w:r>
        <w:rPr>
          <w:rFonts w:hint="eastAsia" w:ascii="仿宋" w:hAnsi="仿宋" w:eastAsia="仿宋" w:cs="仿宋"/>
          <w:b/>
          <w:bCs w:val="0"/>
          <w:sz w:val="32"/>
          <w:szCs w:val="32"/>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zh-CN"/>
        </w:rPr>
        <w:t>（一）项目完成情况。</w:t>
      </w:r>
      <w:r>
        <w:rPr>
          <w:rFonts w:hint="eastAsia" w:ascii="仿宋" w:hAnsi="仿宋" w:eastAsia="仿宋" w:cs="仿宋"/>
          <w:sz w:val="32"/>
          <w:szCs w:val="32"/>
          <w:lang w:val="en-US" w:eastAsia="zh-CN"/>
        </w:rPr>
        <w:t>该项目能按时、按质、按量完成，本着厉行节约的思想，具体经办人根据采购招标合同方式控制成本。项目自评能达到优秀。</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zh-CN"/>
        </w:rPr>
        <w:t>（二）项目效益情况。</w:t>
      </w:r>
      <w:r>
        <w:rPr>
          <w:rFonts w:hint="eastAsia" w:ascii="仿宋" w:hAnsi="仿宋" w:eastAsia="仿宋" w:cs="仿宋"/>
          <w:sz w:val="32"/>
          <w:szCs w:val="32"/>
          <w:lang w:val="en-US" w:eastAsia="zh-CN"/>
        </w:rPr>
        <w:t>该项目能得到服务对象对机关事务工作的认可，使他们更好地为经济社会发展服务。</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五</w:t>
      </w:r>
      <w:r>
        <w:rPr>
          <w:rFonts w:hint="eastAsia" w:ascii="仿宋" w:hAnsi="仿宋" w:eastAsia="仿宋" w:cs="仿宋"/>
          <w:b/>
          <w:bCs w:val="0"/>
          <w:sz w:val="32"/>
          <w:szCs w:val="32"/>
        </w:rPr>
        <w:t>、</w:t>
      </w:r>
      <w:r>
        <w:rPr>
          <w:rFonts w:hint="eastAsia" w:ascii="仿宋" w:hAnsi="仿宋" w:eastAsia="仿宋" w:cs="仿宋"/>
          <w:b/>
          <w:bCs w:val="0"/>
          <w:sz w:val="32"/>
          <w:szCs w:val="32"/>
          <w:lang w:eastAsia="zh-CN"/>
        </w:rPr>
        <w:t>评价结论</w:t>
      </w:r>
      <w:r>
        <w:rPr>
          <w:rFonts w:hint="eastAsia" w:ascii="仿宋" w:hAnsi="仿宋" w:eastAsia="仿宋" w:cs="仿宋"/>
          <w:b/>
          <w:bCs w:val="0"/>
          <w:sz w:val="32"/>
          <w:szCs w:val="32"/>
        </w:rPr>
        <w:t>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评价结论。通过社会化服务保障，确保集中办公区正常的办公区秩序和干净整洁的办公环境，项目实施顺利圆满，达到目的，自评为优秀。</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val="zh-CN"/>
        </w:rPr>
        <w:t>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（三）相关建议</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31"/>
        <w:keepNext w:val="0"/>
        <w:keepLines w:val="0"/>
        <w:pageBreakBefore w:val="0"/>
        <w:widowControl w:val="0"/>
        <w:kinsoku/>
        <w:wordWrap/>
        <w:overflowPunct/>
        <w:topLinePunct w:val="0"/>
        <w:autoSpaceDE/>
        <w:autoSpaceDN/>
        <w:bidi w:val="0"/>
        <w:spacing w:line="576" w:lineRule="exact"/>
        <w:ind w:firstLine="642" w:firstLineChars="200"/>
        <w:jc w:val="center"/>
        <w:textAlignment w:val="auto"/>
        <w:rPr>
          <w:rFonts w:hint="eastAsia" w:ascii="仿宋" w:hAnsi="仿宋" w:eastAsia="仿宋" w:cs="仿宋"/>
          <w:b/>
          <w:bCs w:val="0"/>
          <w:sz w:val="32"/>
          <w:szCs w:val="32"/>
          <w:lang w:val="en-US" w:eastAsia="zh-CN"/>
        </w:rPr>
      </w:pPr>
    </w:p>
    <w:p>
      <w:pPr>
        <w:pStyle w:val="31"/>
        <w:keepNext w:val="0"/>
        <w:keepLines w:val="0"/>
        <w:pageBreakBefore w:val="0"/>
        <w:widowControl w:val="0"/>
        <w:kinsoku/>
        <w:wordWrap/>
        <w:overflowPunct/>
        <w:topLinePunct w:val="0"/>
        <w:autoSpaceDE/>
        <w:autoSpaceDN/>
        <w:bidi w:val="0"/>
        <w:spacing w:line="576" w:lineRule="exact"/>
        <w:ind w:firstLine="642" w:firstLineChars="200"/>
        <w:jc w:val="center"/>
        <w:textAlignment w:val="auto"/>
        <w:rPr>
          <w:rFonts w:hint="eastAsia" w:ascii="仿宋" w:hAnsi="仿宋" w:eastAsia="仿宋" w:cs="仿宋"/>
          <w:b/>
          <w:bCs w:val="0"/>
          <w:sz w:val="32"/>
          <w:szCs w:val="32"/>
          <w:lang w:val="en-US" w:eastAsia="zh-CN"/>
        </w:rPr>
      </w:pPr>
    </w:p>
    <w:p>
      <w:pPr>
        <w:pStyle w:val="31"/>
        <w:keepNext w:val="0"/>
        <w:keepLines w:val="0"/>
        <w:pageBreakBefore w:val="0"/>
        <w:widowControl w:val="0"/>
        <w:kinsoku/>
        <w:wordWrap/>
        <w:overflowPunct/>
        <w:topLinePunct w:val="0"/>
        <w:autoSpaceDE/>
        <w:autoSpaceDN/>
        <w:bidi w:val="0"/>
        <w:spacing w:line="576" w:lineRule="exact"/>
        <w:ind w:firstLine="642" w:firstLineChars="20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雪亮工程一、二、三办公区监控维护</w:t>
      </w: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val="0"/>
          <w:sz w:val="32"/>
          <w:szCs w:val="32"/>
        </w:rPr>
      </w:pPr>
      <w:r>
        <w:rPr>
          <w:rFonts w:hint="eastAsia" w:ascii="仿宋" w:hAnsi="仿宋" w:eastAsia="仿宋" w:cs="仿宋"/>
          <w:b/>
          <w:bCs/>
          <w:color w:val="auto"/>
          <w:kern w:val="2"/>
          <w:sz w:val="32"/>
          <w:szCs w:val="32"/>
          <w:lang w:val="en-US" w:eastAsia="zh-CN" w:bidi="ar-SA"/>
        </w:rPr>
        <w:t xml:space="preserve">   专项</w:t>
      </w:r>
      <w:r>
        <w:rPr>
          <w:rFonts w:hint="eastAsia" w:ascii="仿宋" w:hAnsi="仿宋" w:eastAsia="仿宋" w:cs="仿宋"/>
          <w:b/>
          <w:bCs/>
          <w:color w:val="auto"/>
          <w:kern w:val="2"/>
          <w:sz w:val="32"/>
          <w:szCs w:val="32"/>
          <w:lang w:val="zh-CN" w:eastAsia="zh-CN" w:bidi="ar-SA"/>
        </w:rPr>
        <w:t>预算项目支出绩效自评报告</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val="0"/>
          <w:sz w:val="32"/>
          <w:szCs w:val="32"/>
          <w:lang w:val="zh-CN"/>
        </w:rPr>
      </w:pPr>
      <w:r>
        <w:rPr>
          <w:rFonts w:hint="eastAsia" w:ascii="仿宋" w:hAnsi="仿宋" w:eastAsia="仿宋" w:cs="仿宋"/>
          <w:b/>
          <w:bCs w:val="0"/>
          <w:sz w:val="32"/>
          <w:szCs w:val="32"/>
        </w:rPr>
        <w:t>一、</w:t>
      </w:r>
      <w:r>
        <w:rPr>
          <w:rFonts w:hint="eastAsia" w:ascii="仿宋" w:hAnsi="仿宋" w:eastAsia="仿宋" w:cs="仿宋"/>
          <w:b/>
          <w:bCs w:val="0"/>
          <w:sz w:val="32"/>
          <w:szCs w:val="32"/>
          <w:lang w:val="zh-CN"/>
        </w:rPr>
        <w:t>项目概况</w:t>
      </w:r>
    </w:p>
    <w:p>
      <w:pPr>
        <w:pStyle w:val="31"/>
        <w:keepNext w:val="0"/>
        <w:keepLines w:val="0"/>
        <w:pageBreakBefore w:val="0"/>
        <w:widowControl w:val="0"/>
        <w:kinsoku/>
        <w:wordWrap/>
        <w:overflowPunct/>
        <w:topLinePunct w:val="0"/>
        <w:autoSpaceDE/>
        <w:autoSpaceDN/>
        <w:bidi w:val="0"/>
        <w:spacing w:line="576" w:lineRule="exact"/>
        <w:jc w:val="left"/>
        <w:textAlignment w:val="auto"/>
        <w:rPr>
          <w:rFonts w:hint="eastAsia" w:ascii="仿宋" w:hAnsi="仿宋" w:eastAsia="仿宋" w:cs="仿宋"/>
          <w:sz w:val="32"/>
          <w:szCs w:val="32"/>
          <w:lang w:val="en-US" w:eastAsia="zh-CN"/>
        </w:rPr>
      </w:pPr>
      <w:r>
        <w:rPr>
          <w:rFonts w:hint="eastAsia" w:ascii="仿宋" w:hAnsi="仿宋" w:eastAsia="仿宋" w:cs="仿宋"/>
          <w:color w:val="auto"/>
          <w:kern w:val="2"/>
          <w:sz w:val="32"/>
          <w:szCs w:val="32"/>
          <w:lang w:val="en-US" w:eastAsia="zh-CN" w:bidi="ar-SA"/>
        </w:rPr>
        <w:t xml:space="preserve">   </w:t>
      </w:r>
      <w:r>
        <w:rPr>
          <w:rFonts w:hint="eastAsia" w:ascii="仿宋" w:hAnsi="仿宋" w:eastAsia="仿宋" w:cs="仿宋"/>
          <w:b/>
          <w:sz w:val="32"/>
          <w:szCs w:val="32"/>
          <w:lang w:val="zh-CN"/>
        </w:rPr>
        <w:t>（一）项目基本情况。</w:t>
      </w:r>
      <w:r>
        <w:rPr>
          <w:rFonts w:hint="eastAsia" w:ascii="仿宋" w:hAnsi="仿宋" w:eastAsia="仿宋" w:cs="仿宋"/>
          <w:color w:val="auto"/>
          <w:kern w:val="2"/>
          <w:sz w:val="32"/>
          <w:szCs w:val="32"/>
          <w:lang w:val="en-US" w:eastAsia="zh-CN" w:bidi="ar-SA"/>
        </w:rPr>
        <w:t>雪亮工程一、二、三办公区监控维护</w:t>
      </w:r>
      <w:r>
        <w:rPr>
          <w:rFonts w:hint="eastAsia" w:ascii="仿宋" w:hAnsi="仿宋" w:eastAsia="仿宋" w:cs="仿宋"/>
          <w:sz w:val="32"/>
          <w:szCs w:val="32"/>
          <w:lang w:val="zh-CN"/>
        </w:rPr>
        <w:t>，主要打造雪亮工程，完成一、二、三办公区监控维修及改造，安装智能高清视频监控设备，织密视频监控网络，实现视频监控无死角无盲区，建设安全放心的办公环境。</w:t>
      </w:r>
      <w:r>
        <w:rPr>
          <w:rFonts w:hint="eastAsia" w:ascii="仿宋" w:hAnsi="仿宋" w:eastAsia="仿宋" w:cs="仿宋"/>
          <w:sz w:val="32"/>
          <w:szCs w:val="32"/>
          <w:lang w:val="en-US" w:eastAsia="zh-CN"/>
        </w:rPr>
        <w:t>此项目预算9万元。该项目属常年性项目，通常在工作需要开展前，根据需要开支金额进行申报，能保证工作的正常开展，使用过程符合资金管理办法相关规定，无违规现象。</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val="0"/>
          <w:sz w:val="32"/>
          <w:szCs w:val="32"/>
          <w:lang w:val="zh-CN"/>
        </w:rPr>
        <w:t>（二）项目绩效目标</w:t>
      </w:r>
      <w:r>
        <w:rPr>
          <w:rFonts w:hint="eastAsia" w:ascii="仿宋" w:hAnsi="仿宋" w:eastAsia="仿宋" w:cs="仿宋"/>
          <w:b/>
          <w:bCs w:val="0"/>
          <w:sz w:val="32"/>
          <w:szCs w:val="32"/>
          <w:lang w:val="zh-CN" w:eastAsia="zh-CN"/>
        </w:rPr>
        <w:t>。</w:t>
      </w:r>
      <w:r>
        <w:rPr>
          <w:rFonts w:hint="eastAsia" w:ascii="仿宋" w:hAnsi="仿宋" w:eastAsia="仿宋" w:cs="仿宋"/>
          <w:color w:val="auto"/>
          <w:kern w:val="2"/>
          <w:sz w:val="32"/>
          <w:szCs w:val="32"/>
          <w:lang w:val="en-US" w:eastAsia="zh-CN" w:bidi="ar-SA"/>
        </w:rPr>
        <w:t>雪亮工程一、二、三办公区监控维护</w:t>
      </w:r>
      <w:r>
        <w:rPr>
          <w:rFonts w:hint="eastAsia" w:ascii="仿宋" w:hAnsi="仿宋" w:eastAsia="仿宋" w:cs="仿宋"/>
          <w:sz w:val="32"/>
          <w:szCs w:val="32"/>
          <w:lang w:val="en-US" w:eastAsia="zh-CN"/>
        </w:rPr>
        <w:t>主要</w:t>
      </w:r>
      <w:r>
        <w:rPr>
          <w:rFonts w:hint="eastAsia" w:ascii="仿宋" w:hAnsi="仿宋" w:eastAsia="仿宋" w:cs="仿宋"/>
          <w:sz w:val="32"/>
          <w:szCs w:val="32"/>
          <w:lang w:val="zh-CN"/>
        </w:rPr>
        <w:t>一、二、三办公区监控维修及改造，安装智能高清视频监控设备，织密视频监控网络，实现视频监控无死角无盲区，建设安全放心的办公环境</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b/>
          <w:bCs w:val="0"/>
          <w:sz w:val="32"/>
          <w:szCs w:val="32"/>
          <w:lang w:val="zh-CN"/>
        </w:rPr>
        <w:t>（三）项目资金申报相符性。</w:t>
      </w:r>
      <w:r>
        <w:rPr>
          <w:rFonts w:hint="eastAsia" w:ascii="仿宋" w:hAnsi="仿宋" w:eastAsia="仿宋" w:cs="仿宋"/>
          <w:sz w:val="32"/>
          <w:szCs w:val="32"/>
          <w:lang w:val="en-US" w:eastAsia="zh-CN"/>
        </w:rPr>
        <w:t>项目资金从申报到使用符合相关规定，执行合理可行。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Cs/>
          <w:sz w:val="32"/>
          <w:szCs w:val="32"/>
          <w:lang w:eastAsia="zh-CN"/>
        </w:rPr>
      </w:pPr>
      <w:r>
        <w:rPr>
          <w:rFonts w:hint="eastAsia" w:ascii="仿宋" w:hAnsi="仿宋" w:eastAsia="仿宋" w:cs="仿宋"/>
          <w:b/>
          <w:bCs w:val="0"/>
          <w:sz w:val="32"/>
          <w:szCs w:val="32"/>
        </w:rPr>
        <w:t>二、</w:t>
      </w:r>
      <w:r>
        <w:rPr>
          <w:rFonts w:hint="eastAsia" w:ascii="仿宋" w:hAnsi="仿宋" w:eastAsia="仿宋" w:cs="仿宋"/>
          <w:b/>
          <w:bCs w:val="0"/>
          <w:sz w:val="32"/>
          <w:szCs w:val="32"/>
          <w:lang w:val="zh-CN"/>
        </w:rPr>
        <w:t>项</w:t>
      </w:r>
      <w:r>
        <w:rPr>
          <w:rFonts w:hint="eastAsia" w:ascii="仿宋" w:hAnsi="仿宋" w:eastAsia="仿宋" w:cs="仿宋"/>
          <w:b/>
          <w:bCs/>
          <w:sz w:val="32"/>
          <w:szCs w:val="32"/>
          <w:lang w:val="zh-CN"/>
        </w:rPr>
        <w:t>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资金计划及到位</w:t>
      </w:r>
      <w:r>
        <w:rPr>
          <w:rFonts w:hint="eastAsia" w:ascii="仿宋" w:hAnsi="仿宋" w:eastAsia="仿宋" w:cs="仿宋"/>
          <w:sz w:val="32"/>
          <w:szCs w:val="32"/>
          <w:lang w:val="en-US" w:eastAsia="zh-CN"/>
        </w:rPr>
        <w:t>情况。</w:t>
      </w:r>
      <w:r>
        <w:rPr>
          <w:rFonts w:hint="eastAsia" w:ascii="仿宋" w:hAnsi="仿宋" w:eastAsia="仿宋" w:cs="仿宋"/>
          <w:color w:val="auto"/>
          <w:kern w:val="2"/>
          <w:sz w:val="32"/>
          <w:szCs w:val="32"/>
          <w:lang w:val="en-US" w:eastAsia="zh-CN" w:bidi="ar-SA"/>
        </w:rPr>
        <w:t>雪亮工程一、二、三办公区监控维护项目</w:t>
      </w:r>
      <w:r>
        <w:rPr>
          <w:rFonts w:hint="eastAsia" w:ascii="仿宋" w:hAnsi="仿宋" w:eastAsia="仿宋" w:cs="仿宋"/>
          <w:sz w:val="32"/>
          <w:szCs w:val="32"/>
          <w:lang w:val="en-US" w:eastAsia="zh-CN"/>
        </w:rPr>
        <w:t>预算9万元，按照</w:t>
      </w:r>
      <w:r>
        <w:rPr>
          <w:rFonts w:hint="eastAsia" w:ascii="仿宋" w:hAnsi="仿宋" w:eastAsia="仿宋" w:cs="仿宋"/>
          <w:sz w:val="32"/>
          <w:szCs w:val="32"/>
          <w:lang w:val="zh-CN"/>
        </w:rPr>
        <w:t>合同</w:t>
      </w:r>
      <w:r>
        <w:rPr>
          <w:rFonts w:hint="eastAsia" w:ascii="仿宋" w:hAnsi="仿宋" w:eastAsia="仿宋" w:cs="仿宋"/>
          <w:sz w:val="32"/>
          <w:szCs w:val="32"/>
          <w:lang w:val="en-US" w:eastAsia="zh-CN"/>
        </w:rPr>
        <w:t>执行。该项目资金主要用于</w:t>
      </w:r>
      <w:r>
        <w:rPr>
          <w:rFonts w:hint="eastAsia" w:ascii="仿宋" w:hAnsi="仿宋" w:eastAsia="仿宋" w:cs="仿宋"/>
          <w:sz w:val="32"/>
          <w:szCs w:val="32"/>
          <w:lang w:val="zh-CN"/>
        </w:rPr>
        <w:t>清视频监控设备维护，</w:t>
      </w:r>
      <w:r>
        <w:rPr>
          <w:rFonts w:hint="eastAsia" w:ascii="仿宋" w:hAnsi="仿宋" w:eastAsia="仿宋" w:cs="仿宋"/>
          <w:sz w:val="32"/>
          <w:szCs w:val="32"/>
          <w:lang w:val="en-US" w:eastAsia="zh-CN"/>
        </w:rPr>
        <w:t>该项目根据活动完毕后按年度转账支付方式进行结算。区机关事务服务中心建立了相关财务制度，</w:t>
      </w:r>
      <w:r>
        <w:rPr>
          <w:rFonts w:hint="eastAsia" w:ascii="仿宋" w:hAnsi="仿宋" w:eastAsia="仿宋" w:cs="仿宋"/>
          <w:sz w:val="32"/>
          <w:szCs w:val="32"/>
          <w:lang w:val="zh-CN"/>
        </w:rPr>
        <w:t>会计核算及账务处理</w:t>
      </w:r>
      <w:r>
        <w:rPr>
          <w:rFonts w:hint="eastAsia" w:ascii="仿宋" w:hAnsi="仿宋" w:eastAsia="仿宋" w:cs="仿宋"/>
          <w:sz w:val="32"/>
          <w:szCs w:val="32"/>
          <w:lang w:val="en-US" w:eastAsia="zh-CN"/>
        </w:rPr>
        <w:t>境均按相关规定执行</w:t>
      </w:r>
      <w:r>
        <w:rPr>
          <w:rFonts w:hint="eastAsia" w:ascii="仿宋" w:hAnsi="仿宋" w:eastAsia="仿宋" w:cs="仿宋"/>
          <w:sz w:val="32"/>
          <w:szCs w:val="32"/>
          <w:lang w:val="zh-CN"/>
        </w:rPr>
        <w:t>。严格执行财务管理制度、财务处理及时、会计核算规范。</w:t>
      </w:r>
    </w:p>
    <w:p>
      <w:pPr>
        <w:keepNext w:val="0"/>
        <w:keepLines w:val="0"/>
        <w:pageBreakBefore w:val="0"/>
        <w:widowControl w:val="0"/>
        <w:numPr>
          <w:ilvl w:val="0"/>
          <w:numId w:val="6"/>
        </w:numPr>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项目组织实施情况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该项目主要由分管领导及相关股室负责实施，根据工作实际情况，提出申请，经主要领导或主任办公会同意后方可执行。</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四</w:t>
      </w:r>
      <w:r>
        <w:rPr>
          <w:rFonts w:hint="eastAsia" w:ascii="仿宋" w:hAnsi="仿宋" w:eastAsia="仿宋" w:cs="仿宋"/>
          <w:b/>
          <w:bCs w:val="0"/>
          <w:sz w:val="32"/>
          <w:szCs w:val="32"/>
        </w:rPr>
        <w:t>、项目绩效情况</w:t>
      </w:r>
      <w:r>
        <w:rPr>
          <w:rFonts w:hint="eastAsia" w:ascii="仿宋" w:hAnsi="仿宋" w:eastAsia="仿宋" w:cs="仿宋"/>
          <w:b/>
          <w:bCs w:val="0"/>
          <w:sz w:val="32"/>
          <w:szCs w:val="32"/>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该项目能按时、按质、按量完成，本着厉行节约的思想，具体经办人根据采取比价等方式控制成本。项目自评能达到优秀。</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该项目能得到服务对象对机关事务工作的认可，使他们更好地为经济社会发展服务。</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五</w:t>
      </w:r>
      <w:r>
        <w:rPr>
          <w:rFonts w:hint="eastAsia" w:ascii="仿宋" w:hAnsi="仿宋" w:eastAsia="仿宋" w:cs="仿宋"/>
          <w:b/>
          <w:bCs w:val="0"/>
          <w:sz w:val="32"/>
          <w:szCs w:val="32"/>
        </w:rPr>
        <w:t>、</w:t>
      </w:r>
      <w:r>
        <w:rPr>
          <w:rFonts w:hint="eastAsia" w:ascii="仿宋" w:hAnsi="仿宋" w:eastAsia="仿宋" w:cs="仿宋"/>
          <w:b/>
          <w:bCs w:val="0"/>
          <w:sz w:val="32"/>
          <w:szCs w:val="32"/>
          <w:lang w:eastAsia="zh-CN"/>
        </w:rPr>
        <w:t>评价结论</w:t>
      </w:r>
      <w:r>
        <w:rPr>
          <w:rFonts w:hint="eastAsia" w:ascii="仿宋" w:hAnsi="仿宋" w:eastAsia="仿宋" w:cs="仿宋"/>
          <w:b/>
          <w:bCs w:val="0"/>
          <w:sz w:val="32"/>
          <w:szCs w:val="32"/>
        </w:rPr>
        <w:t>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（一）存在的问题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（二）相关建议</w:t>
      </w:r>
    </w:p>
    <w:p>
      <w:pPr>
        <w:keepNext w:val="0"/>
        <w:keepLines w:val="0"/>
        <w:pageBreakBefore w:val="0"/>
        <w:widowControl w:val="0"/>
        <w:kinsoku/>
        <w:wordWrap/>
        <w:overflowPunct/>
        <w:topLinePunct w:val="0"/>
        <w:autoSpaceDE/>
        <w:autoSpaceDN/>
        <w:bidi w:val="0"/>
        <w:spacing w:line="576" w:lineRule="exact"/>
        <w:ind w:firstLine="960" w:firstLineChars="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spacing w:line="576" w:lineRule="exact"/>
        <w:jc w:val="both"/>
        <w:textAlignment w:val="auto"/>
        <w:rPr>
          <w:rFonts w:hint="eastAsia" w:ascii="仿宋_GB2312" w:hAnsi="仿宋_GB2312" w:eastAsia="仿宋_GB2312" w:cs="仿宋_GB2312"/>
          <w:sz w:val="32"/>
          <w:szCs w:val="32"/>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仿宋" w:hAnsi="仿宋" w:eastAsia="仿宋" w:cs="仿宋"/>
          <w:b/>
          <w:bCs w:val="0"/>
          <w:sz w:val="32"/>
          <w:szCs w:val="32"/>
          <w:lang w:val="en-US" w:eastAsia="zh-CN"/>
        </w:rPr>
      </w:pPr>
    </w:p>
    <w:p>
      <w:pPr>
        <w:pStyle w:val="31"/>
        <w:pageBreakBefore w:val="0"/>
        <w:kinsoku/>
        <w:wordWrap/>
        <w:overflowPunct/>
        <w:topLinePunct w:val="0"/>
        <w:bidi w:val="0"/>
        <w:spacing w:line="576" w:lineRule="exact"/>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公务用车综合保障平台建设经费</w:t>
      </w: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val="0"/>
          <w:sz w:val="32"/>
          <w:szCs w:val="32"/>
        </w:rPr>
      </w:pPr>
      <w:r>
        <w:rPr>
          <w:rFonts w:hint="eastAsia" w:ascii="仿宋" w:hAnsi="仿宋" w:eastAsia="仿宋" w:cs="仿宋"/>
          <w:b/>
          <w:bCs/>
          <w:color w:val="auto"/>
          <w:kern w:val="2"/>
          <w:sz w:val="32"/>
          <w:szCs w:val="32"/>
          <w:lang w:val="en-US" w:eastAsia="zh-CN" w:bidi="ar-SA"/>
        </w:rPr>
        <w:t>专项</w:t>
      </w:r>
      <w:r>
        <w:rPr>
          <w:rFonts w:hint="eastAsia" w:ascii="仿宋" w:hAnsi="仿宋" w:eastAsia="仿宋" w:cs="仿宋"/>
          <w:b/>
          <w:bCs/>
          <w:color w:val="auto"/>
          <w:kern w:val="2"/>
          <w:sz w:val="32"/>
          <w:szCs w:val="32"/>
          <w:lang w:val="zh-CN" w:eastAsia="zh-CN" w:bidi="ar-SA"/>
        </w:rPr>
        <w:t>预算项目支出绩效自评报告</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sz w:val="32"/>
          <w:szCs w:val="32"/>
          <w:lang w:val="zh-CN"/>
        </w:rPr>
      </w:pPr>
      <w:r>
        <w:rPr>
          <w:rFonts w:hint="eastAsia" w:ascii="仿宋" w:hAnsi="仿宋" w:eastAsia="仿宋" w:cs="仿宋"/>
          <w:b/>
          <w:bCs w:val="0"/>
          <w:sz w:val="32"/>
          <w:szCs w:val="32"/>
        </w:rPr>
        <w:t>一、</w:t>
      </w:r>
      <w:r>
        <w:rPr>
          <w:rFonts w:hint="eastAsia" w:ascii="仿宋" w:hAnsi="仿宋" w:eastAsia="仿宋" w:cs="仿宋"/>
          <w:b/>
          <w:bCs w:val="0"/>
          <w:sz w:val="32"/>
          <w:szCs w:val="32"/>
          <w:lang w:val="zh-CN"/>
        </w:rPr>
        <w:t>项目概况</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60"/>
        <w:textAlignment w:val="auto"/>
        <w:outlineLvl w:val="9"/>
        <w:rPr>
          <w:rFonts w:hint="eastAsia" w:ascii="仿宋" w:hAnsi="仿宋" w:eastAsia="仿宋" w:cs="仿宋"/>
          <w:sz w:val="32"/>
          <w:szCs w:val="32"/>
          <w:lang w:val="en-US" w:eastAsia="zh-CN"/>
        </w:rPr>
      </w:pPr>
      <w:r>
        <w:rPr>
          <w:rFonts w:hint="eastAsia" w:ascii="仿宋" w:hAnsi="仿宋" w:eastAsia="仿宋" w:cs="仿宋"/>
          <w:b/>
          <w:sz w:val="32"/>
          <w:szCs w:val="32"/>
          <w:lang w:val="zh-CN"/>
        </w:rPr>
        <w:t>（一）项目基本情况。</w:t>
      </w:r>
      <w:r>
        <w:rPr>
          <w:rFonts w:hint="eastAsia" w:ascii="仿宋" w:hAnsi="仿宋" w:eastAsia="仿宋" w:cs="仿宋"/>
          <w:sz w:val="32"/>
          <w:szCs w:val="32"/>
          <w:lang w:val="en-US" w:eastAsia="zh-CN"/>
        </w:rPr>
        <w:t>在全省率先建立集车辆调度、运行、监督为一体的信息化公务用车监管平台，将互联网+手机APP相融合，成功对接省公务用车管理平台，实现全省“一张网”管理模式，对车辆进行信息化管理，张贴公务用车标识，安装终端定位系统，与第三方公司签订技术服务协议，实现用车审批、档案管理、车辆定位等管理的信息化和快捷化。按照保障公务、厉行节约、科学规范、务实高效的原则加强公务用车管理。此项目预算4.62万元。该项目属常年性项目，通常在工作需要开展前，根据需要开支金额进行申报，能保证工作的正常开展，使用过程符合资金管理办法相关规定，无违规现象。</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8"/>
          <w:sz w:val="32"/>
          <w:szCs w:val="32"/>
          <w:lang w:val="en-US" w:eastAsia="zh-CN"/>
        </w:rPr>
      </w:pPr>
      <w:r>
        <w:rPr>
          <w:rFonts w:hint="eastAsia" w:ascii="仿宋" w:hAnsi="仿宋" w:eastAsia="仿宋" w:cs="仿宋"/>
          <w:b/>
          <w:bCs/>
          <w:sz w:val="32"/>
          <w:szCs w:val="32"/>
          <w:lang w:val="zh-CN" w:eastAsia="zh-CN"/>
        </w:rPr>
        <w:t>（二）项目绩效目标。</w:t>
      </w:r>
      <w:r>
        <w:rPr>
          <w:rFonts w:hint="eastAsia" w:ascii="仿宋" w:hAnsi="仿宋" w:eastAsia="仿宋" w:cs="仿宋"/>
          <w:w w:val="98"/>
          <w:sz w:val="32"/>
          <w:szCs w:val="32"/>
          <w:lang w:val="en-US" w:eastAsia="zh-CN"/>
        </w:rPr>
        <w:t xml:space="preserve">严格履行车辆更新、处置审批程序，对车辆维修和保险进行公开招标，与12家维修企业，5家保险公司、2家加油站、2家洗车店签订定点服务合同，因地制宜探索出“三早四把控”公车运行模式（重大活动早对接，应急抢险早谋划、日常公务早预约，审批一键把控、路径全程把控、“病车”集中把控、费用定点把控），逐步建立管理科学化、服务标准化、保障专业化的公务用车管理体系。 </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b/>
          <w:bCs w:val="0"/>
          <w:sz w:val="32"/>
          <w:szCs w:val="32"/>
          <w:lang w:val="zh-CN"/>
        </w:rPr>
        <w:t>（三）项目资金申报相符性。</w:t>
      </w:r>
      <w:r>
        <w:rPr>
          <w:rFonts w:hint="eastAsia" w:ascii="仿宋" w:hAnsi="仿宋" w:eastAsia="仿宋" w:cs="仿宋"/>
          <w:sz w:val="32"/>
          <w:szCs w:val="32"/>
          <w:lang w:val="en-US" w:eastAsia="zh-CN"/>
        </w:rPr>
        <w:t>项目资金从申报到使用符合相关规定，执行合理可行。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rPr>
        <w:t>二、</w:t>
      </w:r>
      <w:r>
        <w:rPr>
          <w:rFonts w:hint="eastAsia" w:ascii="仿宋" w:hAnsi="仿宋" w:eastAsia="仿宋" w:cs="仿宋"/>
          <w:b/>
          <w:bCs w:val="0"/>
          <w:sz w:val="32"/>
          <w:szCs w:val="32"/>
          <w:lang w:eastAsia="zh-CN"/>
        </w:rPr>
        <w:t>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kern w:val="2"/>
          <w:sz w:val="32"/>
          <w:szCs w:val="32"/>
          <w:lang w:val="en-US" w:eastAsia="zh-CN" w:bidi="ar-SA"/>
        </w:rPr>
        <w:t>车辆平台系统运行项目</w:t>
      </w:r>
      <w:r>
        <w:rPr>
          <w:rFonts w:hint="eastAsia" w:ascii="仿宋" w:hAnsi="仿宋" w:eastAsia="仿宋" w:cs="仿宋"/>
          <w:sz w:val="32"/>
          <w:szCs w:val="32"/>
          <w:lang w:val="en-US" w:eastAsia="zh-CN"/>
        </w:rPr>
        <w:t>预算4.62万元，</w:t>
      </w:r>
      <w:r>
        <w:rPr>
          <w:rFonts w:hint="eastAsia" w:ascii="仿宋" w:hAnsi="仿宋" w:eastAsia="仿宋" w:cs="仿宋"/>
          <w:sz w:val="32"/>
          <w:szCs w:val="32"/>
          <w:lang w:val="zh-CN"/>
        </w:rPr>
        <w:t>截止评价时点</w:t>
      </w:r>
      <w:r>
        <w:rPr>
          <w:rFonts w:hint="eastAsia" w:ascii="仿宋" w:hAnsi="仿宋" w:eastAsia="仿宋" w:cs="仿宋"/>
          <w:sz w:val="32"/>
          <w:szCs w:val="32"/>
          <w:lang w:val="en-US" w:eastAsia="zh-CN"/>
        </w:rPr>
        <w:t>已全部执行。该项目资金主要用于车辆终端定位设备维护、平台系统网络维护、无超标准现象。平台系统运行维护根据要求采取财政直接支付方式进行结算。严格落实《四川省党政机关公务用车管理实施办法》，严格按照统一编制，统一标准、统一购置经费，统一采购配备的原则购置公务用车。要求全区各公务用车单位在申请车辆编制和采购车辆等方面一律先审核再上报。各采购单位须先行落实购置经费，明确采购车辆数量、品牌、用途报车辆编制管理部门签发意见后上报审批编制，待编制落实后按程序采购。通过公务用车从严审批、长途选择公共交通工具或拼车出行，减少公车出行，节约运行成本。2021年以来，区机关事务服务中心报废处置、更新购置应急保障用车5辆，通过政府采购网上竞价，节约经费2.92万元。</w:t>
      </w:r>
    </w:p>
    <w:p>
      <w:pPr>
        <w:keepNext w:val="0"/>
        <w:keepLines w:val="0"/>
        <w:pageBreakBefore w:val="0"/>
        <w:widowControl w:val="0"/>
        <w:numPr>
          <w:ilvl w:val="0"/>
          <w:numId w:val="7"/>
        </w:numPr>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项目组织实施情况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26" w:firstLineChars="200"/>
        <w:textAlignment w:val="auto"/>
        <w:rPr>
          <w:rFonts w:hint="eastAsia" w:ascii="仿宋" w:hAnsi="仿宋" w:eastAsia="仿宋" w:cs="仿宋"/>
          <w:w w:val="98"/>
          <w:sz w:val="32"/>
          <w:szCs w:val="32"/>
          <w:lang w:val="en-US" w:eastAsia="zh-CN"/>
        </w:rPr>
      </w:pPr>
      <w:r>
        <w:rPr>
          <w:rFonts w:hint="eastAsia" w:ascii="仿宋" w:hAnsi="仿宋" w:eastAsia="仿宋" w:cs="仿宋"/>
          <w:w w:val="98"/>
          <w:sz w:val="32"/>
          <w:szCs w:val="32"/>
          <w:lang w:val="en-US" w:eastAsia="zh-CN"/>
        </w:rPr>
        <w:t>该项目主要由分管领导及相关股室负责实施，根据工作实际情况，提出申请，经主要领导或主任办公会同意后方可执行。</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四</w:t>
      </w:r>
      <w:r>
        <w:rPr>
          <w:rFonts w:hint="eastAsia" w:ascii="仿宋" w:hAnsi="仿宋" w:eastAsia="仿宋" w:cs="仿宋"/>
          <w:b/>
          <w:bCs w:val="0"/>
          <w:sz w:val="32"/>
          <w:szCs w:val="32"/>
        </w:rPr>
        <w:t>、项目绩效情况</w:t>
      </w:r>
      <w:r>
        <w:rPr>
          <w:rFonts w:hint="eastAsia" w:ascii="仿宋" w:hAnsi="仿宋" w:eastAsia="仿宋" w:cs="仿宋"/>
          <w:b/>
          <w:bCs w:val="0"/>
          <w:sz w:val="32"/>
          <w:szCs w:val="32"/>
        </w:rPr>
        <w:tab/>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该项目能按时、按质、按量完成，本着厉行节约的思想，具体经办人根据采购招标合同方式控制成本。项目自评能达到优秀。该项目能得到服务对象对机关事务工作的认可，使他们更好地为经济社会发展服务。</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五</w:t>
      </w:r>
      <w:r>
        <w:rPr>
          <w:rFonts w:hint="eastAsia" w:ascii="仿宋" w:hAnsi="仿宋" w:eastAsia="仿宋" w:cs="仿宋"/>
          <w:b/>
          <w:bCs w:val="0"/>
          <w:sz w:val="32"/>
          <w:szCs w:val="32"/>
        </w:rPr>
        <w:t>、问题及建议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（一）评价结论。</w:t>
      </w:r>
      <w:r>
        <w:rPr>
          <w:rFonts w:hint="eastAsia" w:ascii="仿宋" w:hAnsi="仿宋" w:eastAsia="仿宋" w:cs="仿宋"/>
          <w:sz w:val="32"/>
          <w:szCs w:val="32"/>
          <w:lang w:val="en-US" w:eastAsia="zh-CN"/>
        </w:rPr>
        <w:t>做到了“车在网上派，人在网上管，事在网上办，费在网上算”，不断创新公务用车监管模式，初步实现管理规范透明、出行方便快捷，费用节约可控、监管科学有效的目标，不断提升公务用车信息化管理水平。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（二）存在的问题。</w:t>
      </w:r>
      <w:r>
        <w:rPr>
          <w:rFonts w:hint="eastAsia" w:ascii="仿宋" w:hAnsi="仿宋" w:eastAsia="仿宋" w:cs="仿宋"/>
          <w:sz w:val="32"/>
          <w:szCs w:val="32"/>
          <w:lang w:val="en-US" w:eastAsia="zh-CN"/>
        </w:rPr>
        <w:t>公车改革后，我区公务用车普遍老化严重，超过8年以上的车辆60辆，其中行驶里程达30万公里以上的8辆，20万公里以上的40辆，部分车辆维修维护成本较高，严重影响公车保障效率和行车安全</w:t>
      </w:r>
      <w:r>
        <w:rPr>
          <w:rFonts w:hint="eastAsia" w:ascii="仿宋" w:hAnsi="仿宋" w:eastAsia="仿宋" w:cs="仿宋"/>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（三）相关建议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both"/>
        <w:textAlignment w:val="auto"/>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仿宋" w:hAnsi="仿宋" w:eastAsia="仿宋" w:cs="仿宋"/>
          <w:b/>
          <w:bCs w:val="0"/>
          <w:sz w:val="32"/>
          <w:szCs w:val="32"/>
          <w:lang w:val="en-US" w:eastAsia="zh-CN"/>
        </w:rPr>
      </w:pPr>
    </w:p>
    <w:p>
      <w:pPr>
        <w:pStyle w:val="31"/>
        <w:pageBreakBefore w:val="0"/>
        <w:kinsoku/>
        <w:wordWrap/>
        <w:overflowPunct/>
        <w:topLinePunct w:val="0"/>
        <w:bidi w:val="0"/>
        <w:spacing w:line="576" w:lineRule="exact"/>
        <w:jc w:val="center"/>
        <w:rPr>
          <w:rFonts w:hint="eastAsia" w:ascii="仿宋" w:hAnsi="仿宋" w:eastAsia="仿宋" w:cs="仿宋"/>
          <w:b/>
          <w:bCs w:val="0"/>
          <w:sz w:val="32"/>
          <w:szCs w:val="32"/>
          <w:lang w:val="en-US" w:eastAsia="zh-CN"/>
        </w:rPr>
      </w:pPr>
    </w:p>
    <w:p>
      <w:pPr>
        <w:pStyle w:val="31"/>
        <w:pageBreakBefore w:val="0"/>
        <w:kinsoku/>
        <w:wordWrap/>
        <w:overflowPunct/>
        <w:topLinePunct w:val="0"/>
        <w:bidi w:val="0"/>
        <w:spacing w:line="576" w:lineRule="exact"/>
        <w:jc w:val="center"/>
        <w:rPr>
          <w:rFonts w:hint="eastAsia" w:ascii="仿宋" w:hAnsi="仿宋" w:eastAsia="仿宋" w:cs="仿宋"/>
          <w:b/>
          <w:bCs w:val="0"/>
          <w:sz w:val="32"/>
          <w:szCs w:val="32"/>
          <w:lang w:val="en-US" w:eastAsia="zh-CN"/>
        </w:rPr>
      </w:pPr>
    </w:p>
    <w:p>
      <w:pPr>
        <w:pStyle w:val="31"/>
        <w:pageBreakBefore w:val="0"/>
        <w:kinsoku/>
        <w:wordWrap/>
        <w:overflowPunct/>
        <w:topLinePunct w:val="0"/>
        <w:bidi w:val="0"/>
        <w:spacing w:line="576" w:lineRule="exact"/>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视频会议系统建设</w:t>
      </w: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 w:hAnsi="仿宋" w:eastAsia="仿宋" w:cs="仿宋"/>
          <w:b/>
          <w:bCs/>
          <w:color w:val="auto"/>
          <w:kern w:val="2"/>
          <w:sz w:val="32"/>
          <w:szCs w:val="32"/>
          <w:lang w:val="en-US" w:eastAsia="zh-CN" w:bidi="ar-SA"/>
        </w:rPr>
        <w:t>专项</w:t>
      </w:r>
      <w:r>
        <w:rPr>
          <w:rFonts w:hint="eastAsia" w:ascii="仿宋" w:hAnsi="仿宋" w:eastAsia="仿宋" w:cs="仿宋"/>
          <w:b/>
          <w:bCs/>
          <w:color w:val="auto"/>
          <w:kern w:val="2"/>
          <w:sz w:val="32"/>
          <w:szCs w:val="32"/>
          <w:lang w:val="zh-CN" w:eastAsia="zh-CN" w:bidi="ar-SA"/>
        </w:rPr>
        <w:t>预算项目支出绩效自评报告</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sz w:val="32"/>
          <w:szCs w:val="32"/>
          <w:lang w:val="zh-CN"/>
        </w:rPr>
      </w:pPr>
      <w:r>
        <w:rPr>
          <w:rFonts w:hint="eastAsia" w:ascii="仿宋" w:hAnsi="仿宋" w:eastAsia="仿宋" w:cs="仿宋"/>
          <w:b/>
          <w:bCs w:val="0"/>
          <w:sz w:val="32"/>
          <w:szCs w:val="32"/>
        </w:rPr>
        <w:t>一、</w:t>
      </w:r>
      <w:r>
        <w:rPr>
          <w:rFonts w:hint="eastAsia" w:ascii="仿宋" w:hAnsi="仿宋" w:eastAsia="仿宋" w:cs="仿宋"/>
          <w:b/>
          <w:bCs w:val="0"/>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zh-CN"/>
        </w:rPr>
        <w:t>（一）项目基本情况。</w:t>
      </w:r>
      <w:r>
        <w:rPr>
          <w:rFonts w:hint="eastAsia" w:ascii="仿宋" w:hAnsi="仿宋" w:eastAsia="仿宋" w:cs="仿宋"/>
          <w:sz w:val="32"/>
          <w:szCs w:val="32"/>
          <w:lang w:val="en-US" w:eastAsia="zh-CN"/>
        </w:rPr>
        <w:t>视频会议系统建设</w:t>
      </w:r>
      <w:r>
        <w:rPr>
          <w:rFonts w:hint="eastAsia" w:ascii="仿宋" w:hAnsi="仿宋" w:eastAsia="仿宋" w:cs="仿宋"/>
          <w:sz w:val="32"/>
          <w:szCs w:val="32"/>
          <w:lang w:val="zh-CN"/>
        </w:rPr>
        <w:t>，主要会议管理规范，服务优质，确保全区重大会议顺利召开。</w:t>
      </w:r>
      <w:r>
        <w:rPr>
          <w:rFonts w:hint="eastAsia" w:ascii="仿宋" w:hAnsi="仿宋" w:eastAsia="仿宋" w:cs="仿宋"/>
          <w:sz w:val="32"/>
          <w:szCs w:val="32"/>
          <w:lang w:val="en-US" w:eastAsia="zh-CN"/>
        </w:rPr>
        <w:t>此项目预算5.85万元。</w:t>
      </w:r>
      <w:r>
        <w:rPr>
          <w:rFonts w:hint="eastAsia" w:ascii="仿宋" w:hAnsi="仿宋" w:eastAsia="仿宋" w:cs="仿宋"/>
          <w:bCs/>
          <w:sz w:val="32"/>
          <w:szCs w:val="32"/>
          <w:lang w:val="zh-CN"/>
        </w:rPr>
        <w:t>项目资金申报及批复情况</w:t>
      </w:r>
      <w:r>
        <w:rPr>
          <w:rFonts w:hint="eastAsia" w:ascii="仿宋" w:hAnsi="仿宋" w:eastAsia="仿宋" w:cs="仿宋"/>
          <w:bCs/>
          <w:sz w:val="32"/>
          <w:szCs w:val="32"/>
          <w:lang w:val="zh-CN" w:eastAsia="zh-CN"/>
        </w:rPr>
        <w:t>。</w:t>
      </w:r>
      <w:r>
        <w:rPr>
          <w:rFonts w:hint="eastAsia" w:ascii="仿宋" w:hAnsi="仿宋" w:eastAsia="仿宋" w:cs="仿宋"/>
          <w:sz w:val="32"/>
          <w:szCs w:val="32"/>
          <w:lang w:val="en-US" w:eastAsia="zh-CN"/>
        </w:rPr>
        <w:t>该项目属常年性项目，通常在工作需要开展前，根据需要开支金额进行申报，能保证工作的正常开展，使用过程符合资金管理办法相关规定，无违规现象。</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val="0"/>
          <w:sz w:val="32"/>
          <w:szCs w:val="32"/>
          <w:lang w:val="zh-CN"/>
        </w:rPr>
        <w:t>（二）项目绩效目标。</w:t>
      </w:r>
      <w:r>
        <w:rPr>
          <w:rFonts w:hint="eastAsia" w:ascii="仿宋" w:hAnsi="仿宋" w:eastAsia="仿宋" w:cs="仿宋"/>
          <w:sz w:val="32"/>
          <w:szCs w:val="32"/>
          <w:lang w:val="en-US" w:eastAsia="zh-CN"/>
        </w:rPr>
        <w:t>视频会议系统建设主要</w:t>
      </w:r>
      <w:r>
        <w:rPr>
          <w:rFonts w:hint="eastAsia" w:ascii="仿宋" w:hAnsi="仿宋" w:eastAsia="仿宋" w:cs="仿宋"/>
          <w:sz w:val="32"/>
          <w:szCs w:val="32"/>
          <w:lang w:val="zh-CN"/>
        </w:rPr>
        <w:t>会议管理规范，服务优质，确保全区重大会议顺利召开。</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b/>
          <w:bCs w:val="0"/>
          <w:sz w:val="32"/>
          <w:szCs w:val="32"/>
          <w:lang w:val="zh-CN"/>
        </w:rPr>
        <w:t>（三）项目资金申报相符性。</w:t>
      </w:r>
      <w:r>
        <w:rPr>
          <w:rFonts w:hint="eastAsia" w:ascii="仿宋" w:hAnsi="仿宋" w:eastAsia="仿宋" w:cs="仿宋"/>
          <w:sz w:val="32"/>
          <w:szCs w:val="32"/>
          <w:lang w:val="en-US" w:eastAsia="zh-CN"/>
        </w:rPr>
        <w:t>项目资金从申报到使用符合相关规定，执行合理可行。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rPr>
        <w:t>二、</w:t>
      </w:r>
      <w:r>
        <w:rPr>
          <w:rFonts w:hint="eastAsia" w:ascii="仿宋" w:hAnsi="仿宋" w:eastAsia="仿宋" w:cs="仿宋"/>
          <w:b/>
          <w:bCs w:val="0"/>
          <w:sz w:val="32"/>
          <w:szCs w:val="32"/>
          <w:lang w:eastAsia="zh-CN"/>
        </w:rPr>
        <w:t>项目资金申报及使用情况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该项目资金主要用于</w:t>
      </w:r>
      <w:r>
        <w:rPr>
          <w:rFonts w:hint="eastAsia" w:ascii="仿宋" w:hAnsi="仿宋" w:eastAsia="仿宋" w:cs="仿宋"/>
          <w:kern w:val="0"/>
          <w:sz w:val="32"/>
          <w:szCs w:val="32"/>
          <w:lang w:val="en-US" w:eastAsia="zh-CN" w:bidi="ar-SA"/>
        </w:rPr>
        <w:t>6间多功能会议室可同时容纳600人召开在线视频会议</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该项目根据活动完毕后按季度转账支付方式进行结算，视频会议系统建设</w:t>
      </w:r>
      <w:r>
        <w:rPr>
          <w:rFonts w:hint="eastAsia" w:ascii="仿宋" w:hAnsi="仿宋" w:eastAsia="仿宋" w:cs="仿宋"/>
          <w:color w:val="auto"/>
          <w:kern w:val="2"/>
          <w:sz w:val="32"/>
          <w:szCs w:val="32"/>
          <w:lang w:val="en-US" w:eastAsia="zh-CN" w:bidi="ar-SA"/>
        </w:rPr>
        <w:t>项目</w:t>
      </w:r>
      <w:r>
        <w:rPr>
          <w:rFonts w:hint="eastAsia" w:ascii="仿宋" w:hAnsi="仿宋" w:eastAsia="仿宋" w:cs="仿宋"/>
          <w:sz w:val="32"/>
          <w:szCs w:val="32"/>
          <w:lang w:val="en-US" w:eastAsia="zh-CN"/>
        </w:rPr>
        <w:t>预算5.85万元，</w:t>
      </w:r>
      <w:r>
        <w:rPr>
          <w:rFonts w:hint="eastAsia" w:ascii="仿宋" w:hAnsi="仿宋" w:eastAsia="仿宋" w:cs="仿宋"/>
          <w:sz w:val="32"/>
          <w:szCs w:val="32"/>
          <w:lang w:val="zh-CN"/>
        </w:rPr>
        <w:t>截止评价时点</w:t>
      </w:r>
      <w:r>
        <w:rPr>
          <w:rFonts w:hint="eastAsia" w:ascii="仿宋" w:hAnsi="仿宋" w:eastAsia="仿宋" w:cs="仿宋"/>
          <w:sz w:val="32"/>
          <w:szCs w:val="32"/>
          <w:lang w:val="en-US" w:eastAsia="zh-CN"/>
        </w:rPr>
        <w:t>已全部执行。区机关事务服务中心建立了相关财务制度，</w:t>
      </w:r>
      <w:r>
        <w:rPr>
          <w:rFonts w:hint="eastAsia" w:ascii="仿宋" w:hAnsi="仿宋" w:eastAsia="仿宋" w:cs="仿宋"/>
          <w:sz w:val="32"/>
          <w:szCs w:val="32"/>
          <w:lang w:val="zh-CN"/>
        </w:rPr>
        <w:t>会计核算及账务处理</w:t>
      </w:r>
      <w:r>
        <w:rPr>
          <w:rFonts w:hint="eastAsia" w:ascii="仿宋" w:hAnsi="仿宋" w:eastAsia="仿宋" w:cs="仿宋"/>
          <w:sz w:val="32"/>
          <w:szCs w:val="32"/>
          <w:lang w:val="en-US" w:eastAsia="zh-CN"/>
        </w:rPr>
        <w:t>境均按相关规定执行</w:t>
      </w:r>
      <w:r>
        <w:rPr>
          <w:rFonts w:hint="eastAsia" w:ascii="仿宋" w:hAnsi="仿宋" w:eastAsia="仿宋" w:cs="仿宋"/>
          <w:sz w:val="32"/>
          <w:szCs w:val="32"/>
          <w:lang w:val="zh-CN"/>
        </w:rPr>
        <w:t>。严格执行财务管理制度、财务处理及时、会计核算规范。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该项目主要由分管领导及相关股室负责实施，根据工作实际情况，提出申请，经主要领导或主任办公会同意后方可执行。</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四</w:t>
      </w:r>
      <w:r>
        <w:rPr>
          <w:rFonts w:hint="eastAsia" w:ascii="仿宋" w:hAnsi="仿宋" w:eastAsia="仿宋" w:cs="仿宋"/>
          <w:b/>
          <w:bCs w:val="0"/>
          <w:sz w:val="32"/>
          <w:szCs w:val="32"/>
        </w:rPr>
        <w:t>、项目绩效情况</w:t>
      </w:r>
      <w:r>
        <w:rPr>
          <w:rFonts w:hint="eastAsia" w:ascii="仿宋" w:hAnsi="仿宋" w:eastAsia="仿宋" w:cs="仿宋"/>
          <w:b/>
          <w:bCs w:val="0"/>
          <w:sz w:val="32"/>
          <w:szCs w:val="32"/>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该项目能按时、按质、按量完成，本着厉行节约的思想，具体经办人根据采取比价等方式控制成本。项目自评能达到优秀。该项目能得到服务对象对机关事务工作的认可，使他们更好地为经济社会发展服务。</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五</w:t>
      </w:r>
      <w:r>
        <w:rPr>
          <w:rFonts w:hint="eastAsia" w:ascii="仿宋" w:hAnsi="仿宋" w:eastAsia="仿宋" w:cs="仿宋"/>
          <w:b/>
          <w:bCs w:val="0"/>
          <w:sz w:val="32"/>
          <w:szCs w:val="32"/>
        </w:rPr>
        <w:t>、</w:t>
      </w:r>
      <w:r>
        <w:rPr>
          <w:rFonts w:hint="eastAsia" w:ascii="仿宋" w:hAnsi="仿宋" w:eastAsia="仿宋" w:cs="仿宋"/>
          <w:b/>
          <w:bCs w:val="0"/>
          <w:sz w:val="32"/>
          <w:szCs w:val="32"/>
          <w:lang w:eastAsia="zh-CN"/>
        </w:rPr>
        <w:t>评价结论</w:t>
      </w:r>
      <w:r>
        <w:rPr>
          <w:rFonts w:hint="eastAsia" w:ascii="仿宋" w:hAnsi="仿宋" w:eastAsia="仿宋" w:cs="仿宋"/>
          <w:b/>
          <w:bCs w:val="0"/>
          <w:sz w:val="32"/>
          <w:szCs w:val="32"/>
        </w:rPr>
        <w:t>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zh-CN"/>
        </w:rPr>
        <w:t>（一）评价结论。</w:t>
      </w:r>
      <w:r>
        <w:rPr>
          <w:rFonts w:hint="eastAsia" w:ascii="仿宋" w:hAnsi="仿宋" w:eastAsia="仿宋" w:cs="仿宋"/>
          <w:sz w:val="32"/>
          <w:szCs w:val="32"/>
          <w:lang w:val="en-US" w:eastAsia="zh-CN"/>
        </w:rPr>
        <w:t>视频会议系统建设为</w:t>
      </w:r>
      <w:r>
        <w:rPr>
          <w:rFonts w:hint="eastAsia" w:ascii="仿宋" w:hAnsi="仿宋" w:eastAsia="仿宋" w:cs="仿宋"/>
          <w:b w:val="0"/>
          <w:bCs w:val="0"/>
          <w:sz w:val="32"/>
          <w:szCs w:val="32"/>
          <w:lang w:val="zh-CN"/>
        </w:rPr>
        <w:t>区委区政府提供了管理规范、服务优质会议保障。</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（三）相关建议</w:t>
      </w:r>
    </w:p>
    <w:p>
      <w:pPr>
        <w:keepNext w:val="0"/>
        <w:keepLines w:val="0"/>
        <w:pageBreakBefore w:val="0"/>
        <w:widowControl w:val="0"/>
        <w:kinsoku/>
        <w:wordWrap/>
        <w:overflowPunct/>
        <w:topLinePunct w:val="0"/>
        <w:autoSpaceDE/>
        <w:autoSpaceDN/>
        <w:bidi w:val="0"/>
        <w:spacing w:line="576" w:lineRule="exact"/>
        <w:ind w:firstLine="960" w:firstLineChars="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31"/>
        <w:pageBreakBefore w:val="0"/>
        <w:kinsoku/>
        <w:wordWrap/>
        <w:overflowPunct/>
        <w:topLinePunct w:val="0"/>
        <w:bidi w:val="0"/>
        <w:spacing w:line="576" w:lineRule="exact"/>
        <w:jc w:val="center"/>
        <w:rPr>
          <w:rFonts w:hint="eastAsia" w:ascii="仿宋" w:hAnsi="仿宋" w:eastAsia="仿宋" w:cs="仿宋"/>
          <w:bCs/>
          <w:sz w:val="44"/>
          <w:szCs w:val="44"/>
          <w:lang w:val="en-US" w:eastAsia="zh-CN"/>
        </w:rPr>
      </w:pPr>
    </w:p>
    <w:p>
      <w:pPr>
        <w:pStyle w:val="31"/>
        <w:pageBreakBefore w:val="0"/>
        <w:kinsoku/>
        <w:wordWrap/>
        <w:overflowPunct/>
        <w:topLinePunct w:val="0"/>
        <w:bidi w:val="0"/>
        <w:spacing w:line="576" w:lineRule="exact"/>
        <w:jc w:val="center"/>
        <w:rPr>
          <w:rFonts w:hint="eastAsia" w:ascii="仿宋" w:hAnsi="仿宋" w:eastAsia="仿宋" w:cs="仿宋"/>
          <w:bCs/>
          <w:sz w:val="44"/>
          <w:szCs w:val="44"/>
          <w:lang w:val="en-US" w:eastAsia="zh-CN"/>
        </w:rPr>
      </w:pPr>
    </w:p>
    <w:p>
      <w:pPr>
        <w:pStyle w:val="31"/>
        <w:pageBreakBefore w:val="0"/>
        <w:kinsoku/>
        <w:wordWrap/>
        <w:overflowPunct/>
        <w:topLinePunct w:val="0"/>
        <w:bidi w:val="0"/>
        <w:spacing w:line="576" w:lineRule="exact"/>
        <w:jc w:val="center"/>
        <w:rPr>
          <w:rFonts w:hint="eastAsia" w:ascii="仿宋" w:hAnsi="仿宋" w:eastAsia="仿宋" w:cs="仿宋"/>
          <w:bCs/>
          <w:sz w:val="44"/>
          <w:szCs w:val="44"/>
          <w:lang w:val="en-US" w:eastAsia="zh-CN"/>
        </w:rPr>
      </w:pPr>
    </w:p>
    <w:p>
      <w:pPr>
        <w:pStyle w:val="31"/>
        <w:pageBreakBefore w:val="0"/>
        <w:kinsoku/>
        <w:wordWrap/>
        <w:overflowPunct/>
        <w:topLinePunct w:val="0"/>
        <w:bidi w:val="0"/>
        <w:spacing w:line="576" w:lineRule="exact"/>
        <w:jc w:val="center"/>
        <w:rPr>
          <w:rFonts w:hint="eastAsia" w:ascii="仿宋" w:hAnsi="仿宋" w:eastAsia="仿宋" w:cs="仿宋"/>
          <w:bCs/>
          <w:sz w:val="44"/>
          <w:szCs w:val="44"/>
          <w:lang w:val="en-US" w:eastAsia="zh-CN"/>
        </w:rPr>
      </w:pPr>
    </w:p>
    <w:p>
      <w:pPr>
        <w:pStyle w:val="31"/>
        <w:pageBreakBefore w:val="0"/>
        <w:kinsoku/>
        <w:wordWrap/>
        <w:overflowPunct/>
        <w:topLinePunct w:val="0"/>
        <w:bidi w:val="0"/>
        <w:spacing w:line="576" w:lineRule="exact"/>
        <w:jc w:val="center"/>
        <w:rPr>
          <w:rFonts w:hint="eastAsia" w:ascii="仿宋" w:hAnsi="仿宋" w:eastAsia="仿宋" w:cs="仿宋"/>
          <w:bCs/>
          <w:sz w:val="44"/>
          <w:szCs w:val="44"/>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仿宋" w:hAnsi="仿宋" w:eastAsia="仿宋" w:cs="仿宋"/>
          <w:b/>
          <w:bCs w:val="0"/>
          <w:sz w:val="44"/>
          <w:szCs w:val="44"/>
          <w:lang w:val="en-US" w:eastAsia="zh-CN"/>
        </w:rPr>
      </w:pPr>
    </w:p>
    <w:p>
      <w:pPr>
        <w:pStyle w:val="31"/>
        <w:pageBreakBefore w:val="0"/>
        <w:kinsoku/>
        <w:wordWrap/>
        <w:overflowPunct/>
        <w:topLinePunct w:val="0"/>
        <w:bidi w:val="0"/>
        <w:spacing w:line="576" w:lineRule="exact"/>
        <w:jc w:val="center"/>
        <w:rPr>
          <w:rFonts w:hint="eastAsia" w:ascii="黑体" w:hAnsi="黑体" w:eastAsia="黑体" w:cs="黑体"/>
          <w:bCs/>
          <w:sz w:val="32"/>
          <w:szCs w:val="32"/>
        </w:rPr>
      </w:pPr>
      <w:r>
        <w:rPr>
          <w:rFonts w:hint="eastAsia" w:ascii="仿宋" w:hAnsi="仿宋" w:eastAsia="仿宋" w:cs="仿宋"/>
          <w:b/>
          <w:bCs w:val="0"/>
          <w:sz w:val="32"/>
          <w:szCs w:val="32"/>
          <w:lang w:val="en-US" w:eastAsia="zh-CN"/>
        </w:rPr>
        <w:t>万缘维修专项</w:t>
      </w:r>
      <w:r>
        <w:rPr>
          <w:rFonts w:hint="eastAsia" w:ascii="仿宋" w:hAnsi="仿宋" w:eastAsia="仿宋" w:cs="仿宋"/>
          <w:b/>
          <w:bCs w:val="0"/>
          <w:sz w:val="32"/>
          <w:szCs w:val="32"/>
          <w:lang w:val="zh-CN" w:eastAsia="zh-CN"/>
        </w:rPr>
        <w:t>预算项目支出绩效自评报告</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val="0"/>
          <w:sz w:val="32"/>
          <w:szCs w:val="32"/>
          <w:lang w:val="zh-CN"/>
        </w:rPr>
      </w:pPr>
      <w:r>
        <w:rPr>
          <w:rFonts w:hint="eastAsia" w:ascii="仿宋" w:hAnsi="仿宋" w:eastAsia="仿宋" w:cs="仿宋"/>
          <w:b/>
          <w:bCs w:val="0"/>
          <w:sz w:val="32"/>
          <w:szCs w:val="32"/>
        </w:rPr>
        <w:t>一、</w:t>
      </w:r>
      <w:r>
        <w:rPr>
          <w:rFonts w:hint="eastAsia" w:ascii="仿宋" w:hAnsi="仿宋" w:eastAsia="仿宋" w:cs="仿宋"/>
          <w:b/>
          <w:bCs w:val="0"/>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zh-CN"/>
        </w:rPr>
        <w:t>（一）项目基本情况。</w:t>
      </w:r>
      <w:r>
        <w:rPr>
          <w:rFonts w:hint="eastAsia" w:ascii="仿宋" w:hAnsi="仿宋" w:eastAsia="仿宋" w:cs="仿宋"/>
          <w:sz w:val="32"/>
          <w:szCs w:val="32"/>
          <w:lang w:val="en-US" w:eastAsia="zh-CN"/>
        </w:rPr>
        <w:t>万源行政中心维修项目</w:t>
      </w:r>
      <w:r>
        <w:rPr>
          <w:rFonts w:hint="eastAsia" w:ascii="仿宋" w:hAnsi="仿宋" w:eastAsia="仿宋" w:cs="仿宋"/>
          <w:sz w:val="32"/>
          <w:szCs w:val="32"/>
          <w:lang w:val="zh-CN"/>
        </w:rPr>
        <w:t>，主要地基沉降、地下排污管道瘫痪、化粪池、检查井、外墙筑砖脱落、防盗门、电梯自动平层装置、三办公区高低压配电系统监测（供电局）、消防更换控制维修，提供舒适安全的办公环境。</w:t>
      </w:r>
      <w:r>
        <w:rPr>
          <w:rFonts w:hint="eastAsia" w:ascii="仿宋" w:hAnsi="仿宋" w:eastAsia="仿宋" w:cs="仿宋"/>
          <w:sz w:val="32"/>
          <w:szCs w:val="32"/>
          <w:lang w:val="en-US" w:eastAsia="zh-CN"/>
        </w:rPr>
        <w:t>此项目预算10万元。该项目属常年性项目，通常在工作需要开展前，根据需要开支金额进行申报，能保证工作的正常开展，使用过程符合资金管理办法相关规定，无违规现象。</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val="0"/>
          <w:sz w:val="32"/>
          <w:szCs w:val="32"/>
          <w:lang w:val="zh-CN"/>
        </w:rPr>
        <w:t>（二）项目绩效目标。</w:t>
      </w:r>
      <w:r>
        <w:rPr>
          <w:rFonts w:hint="eastAsia" w:ascii="仿宋" w:hAnsi="仿宋" w:eastAsia="仿宋" w:cs="仿宋"/>
          <w:color w:val="auto"/>
          <w:kern w:val="2"/>
          <w:sz w:val="32"/>
          <w:szCs w:val="32"/>
          <w:lang w:val="en-US" w:eastAsia="zh-CN" w:bidi="ar-SA"/>
        </w:rPr>
        <w:t>万源行政中心维修项目</w:t>
      </w:r>
      <w:r>
        <w:rPr>
          <w:rFonts w:hint="eastAsia" w:ascii="仿宋" w:hAnsi="仿宋" w:eastAsia="仿宋" w:cs="仿宋"/>
          <w:sz w:val="32"/>
          <w:szCs w:val="32"/>
          <w:lang w:val="en-US" w:eastAsia="zh-CN"/>
        </w:rPr>
        <w:t>主要</w:t>
      </w:r>
      <w:r>
        <w:rPr>
          <w:rFonts w:hint="eastAsia" w:ascii="仿宋" w:hAnsi="仿宋" w:eastAsia="仿宋" w:cs="仿宋"/>
          <w:kern w:val="0"/>
          <w:sz w:val="32"/>
          <w:szCs w:val="32"/>
          <w:lang w:val="en-US" w:eastAsia="zh-CN" w:bidi="ar-SA"/>
        </w:rPr>
        <w:t>对集中办公区电子监控系统、消防系统等进行及时保养维护。按照节能减排的要求，办公楼电梯实行单双层停靠制，提升运行效率，三个集中办公区全年未发生任何安全事故。在排危排障方面，修补了三办公区破损路面200平方米，更换路沿石30余米，铺设下水涵管10余米；及时更换部分虫害树木，排除倾倒危险。</w:t>
      </w:r>
      <w:r>
        <w:rPr>
          <w:rFonts w:hint="eastAsia" w:ascii="仿宋" w:hAnsi="仿宋" w:eastAsia="仿宋" w:cs="仿宋"/>
          <w:sz w:val="32"/>
          <w:szCs w:val="32"/>
          <w:lang w:val="en-US" w:eastAsia="zh-CN"/>
        </w:rPr>
        <w:t>提供舒适安全的办公环境。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Cs/>
          <w:sz w:val="32"/>
          <w:szCs w:val="32"/>
        </w:rPr>
      </w:pPr>
      <w:r>
        <w:rPr>
          <w:rFonts w:hint="eastAsia" w:ascii="仿宋" w:hAnsi="仿宋" w:eastAsia="仿宋" w:cs="仿宋"/>
          <w:b/>
          <w:bCs w:val="0"/>
          <w:sz w:val="32"/>
          <w:szCs w:val="32"/>
          <w:lang w:val="zh-CN"/>
        </w:rPr>
        <w:t>（三）项目资金申报相符性。</w:t>
      </w:r>
      <w:r>
        <w:rPr>
          <w:rFonts w:hint="eastAsia" w:ascii="仿宋" w:hAnsi="仿宋" w:eastAsia="仿宋" w:cs="仿宋"/>
          <w:sz w:val="32"/>
          <w:szCs w:val="32"/>
          <w:lang w:val="en-US" w:eastAsia="zh-CN"/>
        </w:rPr>
        <w:t>项目资金从申报到使用符合相关规定，执行合理可行。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二、项目</w:t>
      </w:r>
      <w:r>
        <w:rPr>
          <w:rFonts w:hint="eastAsia" w:ascii="仿宋" w:hAnsi="仿宋" w:eastAsia="仿宋" w:cs="仿宋"/>
          <w:b/>
          <w:bCs w:val="0"/>
          <w:sz w:val="32"/>
          <w:szCs w:val="32"/>
          <w:lang w:eastAsia="zh-CN"/>
        </w:rPr>
        <w:t>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9"/>
          <w:sz w:val="32"/>
          <w:szCs w:val="32"/>
          <w:lang w:val="zh-CN"/>
        </w:rPr>
      </w:pPr>
      <w:r>
        <w:rPr>
          <w:rFonts w:hint="eastAsia" w:ascii="仿宋" w:hAnsi="仿宋" w:eastAsia="仿宋" w:cs="仿宋"/>
          <w:w w:val="99"/>
          <w:sz w:val="32"/>
          <w:szCs w:val="32"/>
          <w:lang w:val="en-US" w:eastAsia="zh-CN"/>
        </w:rPr>
        <w:t>该项目资金主要用于集中办公区突发性维修，保障集中办公区正常秩序按相关规定执行，突发维修项目根据活动完毕后采取转账支付方式进行结算。万源行政中心维修项目预算10万元，</w:t>
      </w:r>
      <w:r>
        <w:rPr>
          <w:rFonts w:hint="eastAsia" w:ascii="仿宋" w:hAnsi="仿宋" w:eastAsia="仿宋" w:cs="仿宋"/>
          <w:w w:val="99"/>
          <w:sz w:val="32"/>
          <w:szCs w:val="32"/>
          <w:lang w:val="zh-CN"/>
        </w:rPr>
        <w:t>截止评价时</w:t>
      </w:r>
      <w:r>
        <w:rPr>
          <w:rFonts w:hint="eastAsia" w:ascii="仿宋" w:hAnsi="仿宋" w:eastAsia="仿宋" w:cs="仿宋"/>
          <w:w w:val="99"/>
          <w:sz w:val="32"/>
          <w:szCs w:val="32"/>
          <w:lang w:val="en-US" w:eastAsia="zh-CN"/>
        </w:rPr>
        <w:t>已全部执行。区机关事务服务中心建立了相关财务制度，</w:t>
      </w:r>
      <w:r>
        <w:rPr>
          <w:rFonts w:hint="eastAsia" w:ascii="仿宋" w:hAnsi="仿宋" w:eastAsia="仿宋" w:cs="仿宋"/>
          <w:w w:val="99"/>
          <w:sz w:val="32"/>
          <w:szCs w:val="32"/>
          <w:lang w:val="zh-CN"/>
        </w:rPr>
        <w:t>会计核算及账务处理</w:t>
      </w:r>
      <w:r>
        <w:rPr>
          <w:rFonts w:hint="eastAsia" w:ascii="仿宋" w:hAnsi="仿宋" w:eastAsia="仿宋" w:cs="仿宋"/>
          <w:w w:val="99"/>
          <w:sz w:val="32"/>
          <w:szCs w:val="32"/>
          <w:lang w:val="en-US" w:eastAsia="zh-CN"/>
        </w:rPr>
        <w:t>境均按相关规定执行</w:t>
      </w:r>
      <w:r>
        <w:rPr>
          <w:rFonts w:hint="eastAsia" w:ascii="仿宋" w:hAnsi="仿宋" w:eastAsia="仿宋" w:cs="仿宋"/>
          <w:w w:val="99"/>
          <w:sz w:val="32"/>
          <w:szCs w:val="32"/>
          <w:lang w:val="zh-CN"/>
        </w:rPr>
        <w:t>。严格执行财务管理制度、财务处理及时、会计核算规范。</w:t>
      </w:r>
    </w:p>
    <w:p>
      <w:pPr>
        <w:keepNext w:val="0"/>
        <w:keepLines w:val="0"/>
        <w:pageBreakBefore w:val="0"/>
        <w:widowControl w:val="0"/>
        <w:numPr>
          <w:ilvl w:val="0"/>
          <w:numId w:val="8"/>
        </w:numPr>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项目组织实施情况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该项目主要由分管领导及相关股室负责实施，根据工作实际情况，提出申请，经主要领导或主任办公会同意后方可执行。</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Cs/>
          <w:sz w:val="32"/>
          <w:szCs w:val="32"/>
        </w:rPr>
      </w:pPr>
      <w:r>
        <w:rPr>
          <w:rFonts w:hint="eastAsia" w:ascii="仿宋" w:hAnsi="仿宋" w:eastAsia="仿宋" w:cs="仿宋"/>
          <w:b/>
          <w:bCs w:val="0"/>
          <w:sz w:val="32"/>
          <w:szCs w:val="32"/>
          <w:lang w:eastAsia="zh-CN"/>
        </w:rPr>
        <w:t>四</w:t>
      </w:r>
      <w:r>
        <w:rPr>
          <w:rFonts w:hint="eastAsia" w:ascii="仿宋" w:hAnsi="仿宋" w:eastAsia="仿宋" w:cs="仿宋"/>
          <w:b/>
          <w:bCs w:val="0"/>
          <w:sz w:val="32"/>
          <w:szCs w:val="32"/>
        </w:rPr>
        <w:t>、项目绩效情况</w:t>
      </w:r>
      <w:r>
        <w:rPr>
          <w:rFonts w:hint="eastAsia" w:ascii="仿宋" w:hAnsi="仿宋" w:eastAsia="仿宋" w:cs="仿宋"/>
          <w:b/>
          <w:bCs w:val="0"/>
          <w:sz w:val="32"/>
          <w:szCs w:val="32"/>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该项目能按时、按质、按量完成，本着厉行节约的思想，具体经办人根据采取比价等方式控制成本。项目自评能达到优秀。该项目能得到服务对象对机关事务工作的认可，使他们更好地为经济社会发展服务。</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五</w:t>
      </w:r>
      <w:r>
        <w:rPr>
          <w:rFonts w:hint="eastAsia" w:ascii="仿宋" w:hAnsi="仿宋" w:eastAsia="仿宋" w:cs="仿宋"/>
          <w:b/>
          <w:bCs w:val="0"/>
          <w:sz w:val="32"/>
          <w:szCs w:val="32"/>
        </w:rPr>
        <w:t>、</w:t>
      </w:r>
      <w:r>
        <w:rPr>
          <w:rFonts w:hint="eastAsia" w:ascii="仿宋" w:hAnsi="仿宋" w:eastAsia="仿宋" w:cs="仿宋"/>
          <w:b/>
          <w:bCs w:val="0"/>
          <w:sz w:val="32"/>
          <w:szCs w:val="32"/>
          <w:lang w:eastAsia="zh-CN"/>
        </w:rPr>
        <w:t>评价结论</w:t>
      </w:r>
      <w:r>
        <w:rPr>
          <w:rFonts w:hint="eastAsia" w:ascii="仿宋" w:hAnsi="仿宋" w:eastAsia="仿宋" w:cs="仿宋"/>
          <w:b/>
          <w:bCs w:val="0"/>
          <w:sz w:val="32"/>
          <w:szCs w:val="32"/>
        </w:rPr>
        <w:t>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（一）评价结论。</w:t>
      </w:r>
      <w:r>
        <w:rPr>
          <w:rFonts w:hint="eastAsia" w:ascii="仿宋" w:hAnsi="仿宋" w:eastAsia="仿宋" w:cs="仿宋"/>
          <w:color w:val="auto"/>
          <w:kern w:val="2"/>
          <w:sz w:val="32"/>
          <w:szCs w:val="32"/>
          <w:lang w:val="en-US" w:eastAsia="zh-CN" w:bidi="ar-SA"/>
        </w:rPr>
        <w:t>万源行政中心维修项目</w:t>
      </w:r>
      <w:r>
        <w:rPr>
          <w:rFonts w:hint="eastAsia" w:ascii="仿宋" w:hAnsi="仿宋" w:eastAsia="仿宋" w:cs="仿宋"/>
          <w:sz w:val="32"/>
          <w:szCs w:val="32"/>
          <w:lang w:val="en-US" w:eastAsia="zh-CN"/>
        </w:rPr>
        <w:t>主要</w:t>
      </w:r>
      <w:r>
        <w:rPr>
          <w:rFonts w:hint="eastAsia" w:ascii="仿宋" w:hAnsi="仿宋" w:eastAsia="仿宋" w:cs="仿宋"/>
          <w:kern w:val="0"/>
          <w:sz w:val="32"/>
          <w:szCs w:val="32"/>
          <w:lang w:val="en-US" w:eastAsia="zh-CN" w:bidi="ar-SA"/>
        </w:rPr>
        <w:t>对集中办公区电子监控系统、消防系统等进行及时保养维护，为集中办公区干部职工</w:t>
      </w:r>
      <w:r>
        <w:rPr>
          <w:rFonts w:hint="eastAsia" w:ascii="仿宋" w:hAnsi="仿宋" w:eastAsia="仿宋" w:cs="仿宋"/>
          <w:sz w:val="32"/>
          <w:szCs w:val="32"/>
          <w:lang w:val="en-US" w:eastAsia="zh-CN"/>
        </w:rPr>
        <w:t>提供舒适安全的办公环境。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（三）相关建议</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Cs/>
          <w:sz w:val="32"/>
          <w:szCs w:val="32"/>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Cs/>
          <w:sz w:val="32"/>
          <w:szCs w:val="32"/>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Cs/>
          <w:sz w:val="32"/>
          <w:szCs w:val="32"/>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val="0"/>
          <w:sz w:val="32"/>
          <w:szCs w:val="32"/>
          <w:lang w:val="en-US" w:eastAsia="zh-CN"/>
        </w:rPr>
      </w:pPr>
    </w:p>
    <w:p>
      <w:pPr>
        <w:pStyle w:val="31"/>
        <w:pageBreakBefore w:val="0"/>
        <w:kinsoku/>
        <w:wordWrap/>
        <w:overflowPunct/>
        <w:topLinePunct w:val="0"/>
        <w:bidi w:val="0"/>
        <w:spacing w:line="576" w:lineRule="exact"/>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一办公区八楼滚动幕墙及万源办公区玻璃幕墙</w:t>
      </w:r>
    </w:p>
    <w:p>
      <w:pPr>
        <w:pStyle w:val="31"/>
        <w:pageBreakBefore w:val="0"/>
        <w:kinsoku/>
        <w:wordWrap/>
        <w:overflowPunct/>
        <w:topLinePunct w:val="0"/>
        <w:bidi w:val="0"/>
        <w:spacing w:line="576" w:lineRule="exact"/>
        <w:jc w:val="center"/>
        <w:rPr>
          <w:rFonts w:hint="eastAsia" w:ascii="黑体" w:hAnsi="黑体" w:eastAsia="黑体" w:cs="黑体"/>
          <w:bCs/>
          <w:sz w:val="32"/>
          <w:szCs w:val="32"/>
        </w:rPr>
      </w:pPr>
      <w:r>
        <w:rPr>
          <w:rFonts w:hint="eastAsia" w:ascii="仿宋" w:hAnsi="仿宋" w:eastAsia="仿宋" w:cs="仿宋"/>
          <w:b/>
          <w:bCs w:val="0"/>
          <w:sz w:val="32"/>
          <w:szCs w:val="32"/>
          <w:lang w:val="en-US" w:eastAsia="zh-CN"/>
        </w:rPr>
        <w:t>维修清理维护专项</w:t>
      </w:r>
      <w:r>
        <w:rPr>
          <w:rFonts w:hint="eastAsia" w:ascii="仿宋" w:hAnsi="仿宋" w:eastAsia="仿宋" w:cs="仿宋"/>
          <w:b/>
          <w:bCs w:val="0"/>
          <w:sz w:val="32"/>
          <w:szCs w:val="32"/>
          <w:lang w:val="zh-CN" w:eastAsia="zh-CN"/>
        </w:rPr>
        <w:t>预算项目支出绩效自评报告</w:t>
      </w:r>
    </w:p>
    <w:p>
      <w:pPr>
        <w:keepNext w:val="0"/>
        <w:keepLines w:val="0"/>
        <w:pageBreakBefore w:val="0"/>
        <w:widowControl w:val="0"/>
        <w:numPr>
          <w:ilvl w:val="0"/>
          <w:numId w:val="9"/>
        </w:numPr>
        <w:kinsoku/>
        <w:wordWrap/>
        <w:overflowPunct/>
        <w:topLinePunct w:val="0"/>
        <w:autoSpaceDE/>
        <w:autoSpaceDN/>
        <w:bidi w:val="0"/>
        <w:adjustRightInd w:val="0"/>
        <w:snapToGrid w:val="0"/>
        <w:spacing w:line="576" w:lineRule="exact"/>
        <w:ind w:firstLine="514" w:firstLineChars="200"/>
        <w:textAlignment w:val="auto"/>
        <w:rPr>
          <w:rFonts w:hint="eastAsia" w:ascii="仿宋" w:hAnsi="仿宋" w:eastAsia="仿宋" w:cs="仿宋"/>
          <w:b/>
          <w:bCs w:val="0"/>
          <w:w w:val="80"/>
          <w:sz w:val="32"/>
          <w:szCs w:val="32"/>
          <w:lang w:val="zh-CN"/>
        </w:rPr>
      </w:pPr>
      <w:r>
        <w:rPr>
          <w:rFonts w:hint="eastAsia" w:ascii="仿宋" w:hAnsi="仿宋" w:eastAsia="仿宋" w:cs="仿宋"/>
          <w:b/>
          <w:bCs w:val="0"/>
          <w:w w:val="80"/>
          <w:sz w:val="32"/>
          <w:szCs w:val="32"/>
          <w:lang w:val="zh-CN"/>
        </w:rPr>
        <w:t>项目概况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512" w:firstLineChars="200"/>
        <w:textAlignment w:val="auto"/>
        <w:rPr>
          <w:rFonts w:hint="eastAsia" w:ascii="仿宋" w:hAnsi="仿宋" w:eastAsia="仿宋" w:cs="仿宋"/>
          <w:bCs/>
          <w:w w:val="80"/>
          <w:sz w:val="32"/>
          <w:szCs w:val="32"/>
          <w:lang w:val="en-US" w:eastAsia="zh-CN"/>
        </w:rPr>
      </w:pPr>
      <w:r>
        <w:rPr>
          <w:rFonts w:hint="eastAsia" w:ascii="仿宋" w:hAnsi="仿宋" w:eastAsia="仿宋" w:cs="仿宋"/>
          <w:bCs/>
          <w:w w:val="80"/>
          <w:sz w:val="32"/>
          <w:szCs w:val="32"/>
          <w:lang w:val="en-US" w:eastAsia="zh-CN"/>
        </w:rPr>
        <w:t>(一）项目基本情况</w:t>
      </w:r>
    </w:p>
    <w:p>
      <w:pPr>
        <w:pStyle w:val="31"/>
        <w:keepNext w:val="0"/>
        <w:keepLines w:val="0"/>
        <w:pageBreakBefore w:val="0"/>
        <w:widowControl w:val="0"/>
        <w:kinsoku/>
        <w:wordWrap/>
        <w:overflowPunct/>
        <w:topLinePunct w:val="0"/>
        <w:autoSpaceDE/>
        <w:autoSpaceDN/>
        <w:bidi w:val="0"/>
        <w:adjustRightInd/>
        <w:snapToGrid/>
        <w:spacing w:line="576" w:lineRule="exact"/>
        <w:ind w:firstLine="512" w:firstLineChars="200"/>
        <w:jc w:val="both"/>
        <w:textAlignment w:val="auto"/>
        <w:rPr>
          <w:rFonts w:hint="eastAsia" w:ascii="仿宋" w:hAnsi="仿宋" w:eastAsia="仿宋" w:cs="仿宋"/>
          <w:w w:val="80"/>
          <w:sz w:val="32"/>
          <w:szCs w:val="32"/>
          <w:lang w:val="en-US" w:eastAsia="zh-CN"/>
        </w:rPr>
      </w:pPr>
      <w:r>
        <w:rPr>
          <w:rFonts w:hint="eastAsia" w:ascii="仿宋" w:hAnsi="仿宋" w:eastAsia="仿宋" w:cs="仿宋"/>
          <w:color w:val="auto"/>
          <w:w w:val="80"/>
          <w:kern w:val="2"/>
          <w:sz w:val="32"/>
          <w:szCs w:val="32"/>
          <w:lang w:val="en-US" w:eastAsia="zh-CN" w:bidi="ar-SA"/>
        </w:rPr>
        <w:t>1.一办公区八楼滚动幕墙及万源办公区玻璃幕墙维修清理维护</w:t>
      </w:r>
      <w:r>
        <w:rPr>
          <w:rFonts w:hint="eastAsia" w:ascii="仿宋" w:hAnsi="仿宋" w:eastAsia="仿宋" w:cs="仿宋"/>
          <w:w w:val="80"/>
          <w:sz w:val="32"/>
          <w:szCs w:val="32"/>
          <w:lang w:val="zh-CN"/>
        </w:rPr>
        <w:t>，主要检测维修维护玻璃幕墙，拆除和更换已损坏的钢化玻璃，排除安全隐患；清洗玻璃幕墙，达到无尘、无垢、确保办公大楼整洁明亮。</w:t>
      </w:r>
      <w:r>
        <w:rPr>
          <w:rFonts w:hint="eastAsia" w:ascii="仿宋" w:hAnsi="仿宋" w:eastAsia="仿宋" w:cs="仿宋"/>
          <w:w w:val="80"/>
          <w:sz w:val="32"/>
          <w:szCs w:val="32"/>
          <w:lang w:val="en-US" w:eastAsia="zh-CN"/>
        </w:rPr>
        <w:t>此项目预算5万元。</w:t>
      </w:r>
    </w:p>
    <w:p>
      <w:pPr>
        <w:keepNext w:val="0"/>
        <w:keepLines w:val="0"/>
        <w:pageBreakBefore w:val="0"/>
        <w:widowControl w:val="0"/>
        <w:kinsoku/>
        <w:wordWrap/>
        <w:overflowPunct/>
        <w:topLinePunct w:val="0"/>
        <w:autoSpaceDE/>
        <w:autoSpaceDN/>
        <w:bidi w:val="0"/>
        <w:adjustRightInd w:val="0"/>
        <w:snapToGrid w:val="0"/>
        <w:spacing w:line="576" w:lineRule="exact"/>
        <w:ind w:firstLine="512" w:firstLineChars="200"/>
        <w:textAlignment w:val="auto"/>
        <w:rPr>
          <w:rFonts w:hint="eastAsia" w:ascii="仿宋" w:hAnsi="仿宋" w:eastAsia="仿宋" w:cs="仿宋"/>
          <w:w w:val="80"/>
          <w:sz w:val="32"/>
          <w:szCs w:val="32"/>
          <w:lang w:val="en-US" w:eastAsia="zh-CN"/>
        </w:rPr>
      </w:pPr>
      <w:r>
        <w:rPr>
          <w:rFonts w:hint="eastAsia" w:ascii="仿宋" w:hAnsi="仿宋" w:eastAsia="仿宋" w:cs="仿宋"/>
          <w:bCs/>
          <w:w w:val="80"/>
          <w:sz w:val="32"/>
          <w:szCs w:val="32"/>
          <w:lang w:val="en-US" w:eastAsia="zh-CN"/>
        </w:rPr>
        <w:t>2.</w:t>
      </w:r>
      <w:r>
        <w:rPr>
          <w:rFonts w:hint="eastAsia" w:ascii="仿宋" w:hAnsi="仿宋" w:eastAsia="仿宋" w:cs="仿宋"/>
          <w:bCs/>
          <w:w w:val="80"/>
          <w:sz w:val="32"/>
          <w:szCs w:val="32"/>
          <w:lang w:val="zh-CN"/>
        </w:rPr>
        <w:t>项目立项、资金申报的依据</w:t>
      </w:r>
      <w:r>
        <w:rPr>
          <w:rFonts w:hint="eastAsia" w:ascii="仿宋" w:hAnsi="仿宋" w:eastAsia="仿宋" w:cs="仿宋"/>
          <w:bCs/>
          <w:w w:val="80"/>
          <w:sz w:val="32"/>
          <w:szCs w:val="32"/>
          <w:lang w:val="zh-CN" w:eastAsia="zh-CN"/>
        </w:rPr>
        <w:t>。</w:t>
      </w:r>
      <w:r>
        <w:rPr>
          <w:rFonts w:hint="eastAsia" w:ascii="仿宋" w:hAnsi="仿宋" w:eastAsia="仿宋" w:cs="仿宋"/>
          <w:w w:val="80"/>
          <w:sz w:val="32"/>
          <w:szCs w:val="32"/>
          <w:lang w:val="en-US" w:eastAsia="zh-CN"/>
        </w:rPr>
        <w:t>该项目属常年性项目，通常在工作需要开展前，根据需要开支金额进行申报，能保证工作的正常开展，使用过程符合资金管理办法相关规定，无违规现象。</w:t>
      </w:r>
    </w:p>
    <w:p>
      <w:pPr>
        <w:keepNext w:val="0"/>
        <w:keepLines w:val="0"/>
        <w:pageBreakBefore w:val="0"/>
        <w:widowControl w:val="0"/>
        <w:kinsoku/>
        <w:wordWrap/>
        <w:overflowPunct/>
        <w:topLinePunct w:val="0"/>
        <w:autoSpaceDE/>
        <w:autoSpaceDN/>
        <w:bidi w:val="0"/>
        <w:adjustRightInd w:val="0"/>
        <w:snapToGrid w:val="0"/>
        <w:spacing w:line="576" w:lineRule="exact"/>
        <w:ind w:firstLine="256" w:firstLineChars="100"/>
        <w:textAlignment w:val="auto"/>
        <w:rPr>
          <w:rFonts w:hint="eastAsia" w:ascii="仿宋" w:hAnsi="仿宋" w:eastAsia="仿宋" w:cs="仿宋"/>
          <w:w w:val="80"/>
          <w:sz w:val="32"/>
          <w:szCs w:val="32"/>
          <w:lang w:val="en-US" w:eastAsia="zh-CN"/>
        </w:rPr>
      </w:pPr>
      <w:r>
        <w:rPr>
          <w:rFonts w:hint="eastAsia" w:ascii="仿宋" w:hAnsi="仿宋" w:eastAsia="仿宋" w:cs="仿宋"/>
          <w:bCs/>
          <w:w w:val="80"/>
          <w:sz w:val="32"/>
          <w:szCs w:val="32"/>
          <w:lang w:val="zh-CN" w:eastAsia="zh-CN"/>
        </w:rPr>
        <w:t>（二）项目绩效目标。</w:t>
      </w:r>
      <w:r>
        <w:rPr>
          <w:rFonts w:hint="eastAsia" w:ascii="仿宋" w:hAnsi="仿宋" w:eastAsia="仿宋" w:cs="仿宋"/>
          <w:color w:val="auto"/>
          <w:w w:val="80"/>
          <w:kern w:val="2"/>
          <w:sz w:val="32"/>
          <w:szCs w:val="32"/>
          <w:lang w:val="en-US" w:eastAsia="zh-CN" w:bidi="ar-SA"/>
        </w:rPr>
        <w:t>一办公区八楼滚动幕墙及万缘办公区玻璃幕墙维修清理维护</w:t>
      </w:r>
      <w:r>
        <w:rPr>
          <w:rFonts w:hint="eastAsia" w:ascii="仿宋" w:hAnsi="仿宋" w:eastAsia="仿宋" w:cs="仿宋"/>
          <w:w w:val="80"/>
          <w:sz w:val="32"/>
          <w:szCs w:val="32"/>
          <w:lang w:val="en-US" w:eastAsia="zh-CN"/>
        </w:rPr>
        <w:t>主要</w:t>
      </w:r>
      <w:r>
        <w:rPr>
          <w:rFonts w:hint="eastAsia" w:ascii="仿宋" w:hAnsi="仿宋" w:eastAsia="仿宋" w:cs="仿宋"/>
          <w:w w:val="80"/>
          <w:sz w:val="32"/>
          <w:szCs w:val="32"/>
          <w:lang w:val="zh-CN"/>
        </w:rPr>
        <w:t>检测维修维护玻璃幕墙，拆除和更换已损坏的钢化玻璃，排除安全隐患；清洗玻璃幕墙，达到无尘、无垢、确保办公大楼整洁明亮</w:t>
      </w:r>
      <w:r>
        <w:rPr>
          <w:rFonts w:hint="eastAsia" w:ascii="仿宋" w:hAnsi="仿宋" w:eastAsia="仿宋" w:cs="仿宋"/>
          <w:w w:val="8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256" w:firstLineChars="100"/>
        <w:textAlignment w:val="auto"/>
        <w:rPr>
          <w:rFonts w:hint="eastAsia" w:ascii="仿宋" w:hAnsi="仿宋" w:eastAsia="仿宋" w:cs="仿宋"/>
          <w:w w:val="80"/>
          <w:sz w:val="32"/>
          <w:szCs w:val="32"/>
          <w:lang w:val="en-US" w:eastAsia="zh-CN"/>
        </w:rPr>
      </w:pPr>
      <w:r>
        <w:rPr>
          <w:rFonts w:hint="eastAsia" w:ascii="仿宋" w:hAnsi="仿宋" w:eastAsia="仿宋" w:cs="仿宋"/>
          <w:bCs/>
          <w:w w:val="80"/>
          <w:sz w:val="32"/>
          <w:szCs w:val="32"/>
          <w:lang w:val="zh-CN"/>
        </w:rPr>
        <w:t>（三）项目自评步骤及方法。</w:t>
      </w:r>
      <w:r>
        <w:rPr>
          <w:rFonts w:hint="eastAsia" w:ascii="仿宋" w:hAnsi="仿宋" w:eastAsia="仿宋" w:cs="仿宋"/>
          <w:w w:val="80"/>
          <w:sz w:val="32"/>
          <w:szCs w:val="32"/>
          <w:lang w:val="en-US" w:eastAsia="zh-CN"/>
        </w:rPr>
        <w:t>项目资金从申报到使用符合相关规定，执行合理可行。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514" w:firstLineChars="200"/>
        <w:textAlignment w:val="auto"/>
        <w:rPr>
          <w:rFonts w:hint="eastAsia" w:ascii="仿宋" w:hAnsi="仿宋" w:eastAsia="仿宋" w:cs="仿宋"/>
          <w:b/>
          <w:bCs w:val="0"/>
          <w:w w:val="80"/>
          <w:sz w:val="32"/>
          <w:szCs w:val="32"/>
        </w:rPr>
      </w:pPr>
      <w:r>
        <w:rPr>
          <w:rFonts w:hint="eastAsia" w:ascii="仿宋" w:hAnsi="仿宋" w:eastAsia="仿宋" w:cs="仿宋"/>
          <w:b/>
          <w:bCs w:val="0"/>
          <w:w w:val="80"/>
          <w:sz w:val="32"/>
          <w:szCs w:val="32"/>
        </w:rPr>
        <w:t>二、项目</w:t>
      </w:r>
      <w:r>
        <w:rPr>
          <w:rFonts w:hint="eastAsia" w:ascii="仿宋" w:hAnsi="仿宋" w:eastAsia="仿宋" w:cs="仿宋"/>
          <w:b/>
          <w:bCs w:val="0"/>
          <w:w w:val="80"/>
          <w:sz w:val="32"/>
          <w:szCs w:val="32"/>
          <w:lang w:eastAsia="zh-CN"/>
        </w:rPr>
        <w:t>资金申报及使用</w:t>
      </w:r>
      <w:r>
        <w:rPr>
          <w:rFonts w:hint="eastAsia" w:ascii="仿宋" w:hAnsi="仿宋" w:eastAsia="仿宋" w:cs="仿宋"/>
          <w:b/>
          <w:bCs w:val="0"/>
          <w:w w:val="80"/>
          <w:sz w:val="32"/>
          <w:szCs w:val="32"/>
        </w:rPr>
        <w:t>情况</w:t>
      </w:r>
    </w:p>
    <w:p>
      <w:pPr>
        <w:keepNext w:val="0"/>
        <w:keepLines w:val="0"/>
        <w:pageBreakBefore w:val="0"/>
        <w:widowControl w:val="0"/>
        <w:kinsoku/>
        <w:wordWrap/>
        <w:overflowPunct/>
        <w:topLinePunct w:val="0"/>
        <w:autoSpaceDE/>
        <w:autoSpaceDN/>
        <w:bidi w:val="0"/>
        <w:adjustRightInd w:val="0"/>
        <w:snapToGrid w:val="0"/>
        <w:spacing w:line="576" w:lineRule="exact"/>
        <w:ind w:firstLine="512" w:firstLineChars="200"/>
        <w:textAlignment w:val="auto"/>
        <w:rPr>
          <w:rFonts w:hint="eastAsia" w:ascii="仿宋" w:hAnsi="仿宋" w:eastAsia="仿宋" w:cs="仿宋"/>
          <w:bCs/>
          <w:w w:val="80"/>
          <w:sz w:val="32"/>
          <w:szCs w:val="32"/>
          <w:lang w:eastAsia="zh-CN"/>
        </w:rPr>
      </w:pPr>
      <w:r>
        <w:rPr>
          <w:rFonts w:hint="eastAsia" w:ascii="仿宋" w:hAnsi="仿宋" w:eastAsia="仿宋" w:cs="仿宋"/>
          <w:bCs/>
          <w:w w:val="80"/>
          <w:sz w:val="32"/>
          <w:szCs w:val="32"/>
          <w:lang w:eastAsia="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512" w:firstLineChars="200"/>
        <w:textAlignment w:val="auto"/>
        <w:rPr>
          <w:rFonts w:hint="eastAsia" w:ascii="仿宋" w:hAnsi="仿宋" w:eastAsia="仿宋" w:cs="仿宋"/>
          <w:bCs/>
          <w:w w:val="80"/>
          <w:sz w:val="32"/>
          <w:szCs w:val="32"/>
          <w:lang w:eastAsia="zh-CN"/>
        </w:rPr>
      </w:pPr>
      <w:r>
        <w:rPr>
          <w:rFonts w:hint="eastAsia" w:ascii="仿宋" w:hAnsi="仿宋" w:eastAsia="仿宋" w:cs="仿宋"/>
          <w:color w:val="auto"/>
          <w:w w:val="80"/>
          <w:kern w:val="2"/>
          <w:sz w:val="32"/>
          <w:szCs w:val="32"/>
          <w:lang w:val="en-US" w:eastAsia="zh-CN" w:bidi="ar-SA"/>
        </w:rPr>
        <w:t>办公区八楼滚动幕墙及万缘办公区玻璃幕墙维修清理维护申报资金5万源，</w:t>
      </w:r>
      <w:r>
        <w:rPr>
          <w:rFonts w:hint="eastAsia" w:ascii="仿宋" w:hAnsi="仿宋" w:eastAsia="仿宋" w:cs="仿宋"/>
          <w:w w:val="80"/>
          <w:sz w:val="32"/>
          <w:szCs w:val="32"/>
          <w:lang w:val="en-US" w:eastAsia="zh-CN"/>
        </w:rPr>
        <w:t>批复5万元，该项目在自评开展前按照进度全部实施完成。</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w w:val="80"/>
          <w:sz w:val="32"/>
          <w:szCs w:val="32"/>
          <w:lang w:val="zh-CN"/>
        </w:rPr>
      </w:pPr>
      <w:r>
        <w:rPr>
          <w:rFonts w:hint="eastAsia" w:ascii="仿宋" w:hAnsi="仿宋" w:eastAsia="仿宋" w:cs="仿宋"/>
          <w:b/>
          <w:bCs/>
          <w:w w:val="80"/>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80"/>
          <w:sz w:val="32"/>
          <w:szCs w:val="32"/>
          <w:lang w:val="en-US" w:eastAsia="zh-CN"/>
        </w:rPr>
      </w:pPr>
      <w:r>
        <w:rPr>
          <w:rFonts w:hint="eastAsia" w:ascii="仿宋" w:hAnsi="仿宋" w:eastAsia="仿宋" w:cs="仿宋"/>
          <w:w w:val="80"/>
          <w:sz w:val="32"/>
          <w:szCs w:val="32"/>
          <w:lang w:val="zh-CN"/>
        </w:rPr>
        <w:t>1．资金计划及到位</w:t>
      </w:r>
      <w:r>
        <w:rPr>
          <w:rFonts w:hint="eastAsia" w:ascii="仿宋" w:hAnsi="仿宋" w:eastAsia="仿宋" w:cs="仿宋"/>
          <w:w w:val="80"/>
          <w:sz w:val="32"/>
          <w:szCs w:val="32"/>
          <w:lang w:val="en-US" w:eastAsia="zh-CN"/>
        </w:rPr>
        <w:t>情况。</w:t>
      </w:r>
      <w:r>
        <w:rPr>
          <w:rFonts w:hint="eastAsia" w:ascii="仿宋" w:hAnsi="仿宋" w:eastAsia="仿宋" w:cs="仿宋"/>
          <w:color w:val="auto"/>
          <w:w w:val="80"/>
          <w:kern w:val="2"/>
          <w:sz w:val="32"/>
          <w:szCs w:val="32"/>
          <w:lang w:val="en-US" w:eastAsia="zh-CN" w:bidi="ar-SA"/>
        </w:rPr>
        <w:t>一办公区八楼滚动幕墙及万缘办公区玻璃幕墙维修清理维护</w:t>
      </w:r>
      <w:r>
        <w:rPr>
          <w:rFonts w:hint="eastAsia" w:ascii="仿宋" w:hAnsi="仿宋" w:eastAsia="仿宋" w:cs="仿宋"/>
          <w:w w:val="80"/>
          <w:sz w:val="32"/>
          <w:szCs w:val="32"/>
          <w:lang w:val="en-US" w:eastAsia="zh-CN"/>
        </w:rPr>
        <w:t>预算5万元，按照</w:t>
      </w:r>
      <w:r>
        <w:rPr>
          <w:rFonts w:hint="eastAsia" w:ascii="仿宋" w:hAnsi="仿宋" w:eastAsia="仿宋" w:cs="仿宋"/>
          <w:w w:val="80"/>
          <w:sz w:val="32"/>
          <w:szCs w:val="32"/>
          <w:lang w:val="zh-CN"/>
        </w:rPr>
        <w:t>合同</w:t>
      </w:r>
      <w:r>
        <w:rPr>
          <w:rFonts w:hint="eastAsia" w:ascii="仿宋" w:hAnsi="仿宋" w:eastAsia="仿宋" w:cs="仿宋"/>
          <w:w w:val="80"/>
          <w:sz w:val="32"/>
          <w:szCs w:val="32"/>
          <w:lang w:val="en-US" w:eastAsia="zh-CN"/>
        </w:rPr>
        <w:t>执行。</w:t>
      </w:r>
    </w:p>
    <w:p>
      <w:pPr>
        <w:keepNext w:val="0"/>
        <w:keepLines w:val="0"/>
        <w:pageBreakBefore w:val="0"/>
        <w:widowControl w:val="0"/>
        <w:kinsoku/>
        <w:wordWrap/>
        <w:overflowPunct/>
        <w:topLinePunct w:val="0"/>
        <w:autoSpaceDE/>
        <w:autoSpaceDN/>
        <w:bidi w:val="0"/>
        <w:adjustRightInd w:val="0"/>
        <w:snapToGrid w:val="0"/>
        <w:spacing w:line="576" w:lineRule="exact"/>
        <w:ind w:firstLine="512" w:firstLineChars="200"/>
        <w:textAlignment w:val="auto"/>
        <w:rPr>
          <w:rFonts w:hint="eastAsia" w:ascii="仿宋" w:hAnsi="仿宋" w:eastAsia="仿宋" w:cs="仿宋"/>
          <w:w w:val="80"/>
          <w:sz w:val="32"/>
          <w:szCs w:val="32"/>
          <w:lang w:val="en-US" w:eastAsia="zh-CN"/>
        </w:rPr>
      </w:pPr>
      <w:r>
        <w:rPr>
          <w:rFonts w:hint="eastAsia" w:ascii="仿宋" w:hAnsi="仿宋" w:eastAsia="仿宋" w:cs="仿宋"/>
          <w:w w:val="80"/>
          <w:sz w:val="32"/>
          <w:szCs w:val="32"/>
          <w:lang w:val="zh-CN"/>
        </w:rPr>
        <w:t>2．资金使用</w:t>
      </w:r>
      <w:r>
        <w:rPr>
          <w:rFonts w:hint="eastAsia" w:ascii="仿宋" w:hAnsi="仿宋" w:eastAsia="仿宋" w:cs="仿宋"/>
          <w:w w:val="80"/>
          <w:sz w:val="32"/>
          <w:szCs w:val="32"/>
          <w:lang w:val="en-US" w:eastAsia="zh-CN"/>
        </w:rPr>
        <w:t>情况。该项目资金主要用于</w:t>
      </w:r>
      <w:r>
        <w:rPr>
          <w:rFonts w:hint="eastAsia" w:ascii="仿宋" w:hAnsi="仿宋" w:eastAsia="仿宋" w:cs="仿宋"/>
          <w:w w:val="80"/>
          <w:sz w:val="32"/>
          <w:szCs w:val="32"/>
          <w:lang w:val="zh-CN"/>
        </w:rPr>
        <w:t>检测维修维护玻璃幕墙，</w:t>
      </w:r>
      <w:r>
        <w:rPr>
          <w:rFonts w:hint="eastAsia" w:ascii="仿宋" w:hAnsi="仿宋" w:eastAsia="仿宋" w:cs="仿宋"/>
          <w:w w:val="80"/>
          <w:sz w:val="32"/>
          <w:szCs w:val="32"/>
          <w:lang w:val="en-US" w:eastAsia="zh-CN"/>
        </w:rPr>
        <w:t>该项目根据活动完毕后按年度转账支付方式进行结算。</w:t>
      </w:r>
    </w:p>
    <w:p>
      <w:pPr>
        <w:keepNext w:val="0"/>
        <w:keepLines w:val="0"/>
        <w:pageBreakBefore w:val="0"/>
        <w:widowControl w:val="0"/>
        <w:kinsoku/>
        <w:wordWrap/>
        <w:overflowPunct/>
        <w:topLinePunct w:val="0"/>
        <w:autoSpaceDE/>
        <w:autoSpaceDN/>
        <w:bidi w:val="0"/>
        <w:adjustRightInd w:val="0"/>
        <w:snapToGrid w:val="0"/>
        <w:spacing w:line="576" w:lineRule="exact"/>
        <w:ind w:firstLine="514" w:firstLineChars="200"/>
        <w:textAlignment w:val="auto"/>
        <w:rPr>
          <w:rFonts w:hint="eastAsia" w:ascii="仿宋" w:hAnsi="仿宋" w:eastAsia="仿宋" w:cs="仿宋"/>
          <w:w w:val="80"/>
          <w:sz w:val="32"/>
          <w:szCs w:val="32"/>
          <w:lang w:val="zh-CN"/>
        </w:rPr>
      </w:pPr>
      <w:r>
        <w:rPr>
          <w:rFonts w:hint="eastAsia" w:ascii="仿宋" w:hAnsi="仿宋" w:eastAsia="仿宋" w:cs="仿宋"/>
          <w:b/>
          <w:bCs/>
          <w:w w:val="80"/>
          <w:sz w:val="32"/>
          <w:szCs w:val="32"/>
          <w:lang w:val="zh-CN"/>
        </w:rPr>
        <w:t>（三）项目财务管理情况。</w:t>
      </w:r>
      <w:r>
        <w:rPr>
          <w:rFonts w:hint="eastAsia" w:ascii="仿宋" w:hAnsi="仿宋" w:eastAsia="仿宋" w:cs="仿宋"/>
          <w:w w:val="80"/>
          <w:sz w:val="32"/>
          <w:szCs w:val="32"/>
          <w:lang w:val="en-US" w:eastAsia="zh-CN"/>
        </w:rPr>
        <w:t>区机关事务服务中心建立了相关财务制度，</w:t>
      </w:r>
      <w:r>
        <w:rPr>
          <w:rFonts w:hint="eastAsia" w:ascii="仿宋" w:hAnsi="仿宋" w:eastAsia="仿宋" w:cs="仿宋"/>
          <w:w w:val="80"/>
          <w:sz w:val="32"/>
          <w:szCs w:val="32"/>
          <w:lang w:val="zh-CN"/>
        </w:rPr>
        <w:t>会计核算及账务处理</w:t>
      </w:r>
      <w:r>
        <w:rPr>
          <w:rFonts w:hint="eastAsia" w:ascii="仿宋" w:hAnsi="仿宋" w:eastAsia="仿宋" w:cs="仿宋"/>
          <w:w w:val="80"/>
          <w:sz w:val="32"/>
          <w:szCs w:val="32"/>
          <w:lang w:val="en-US" w:eastAsia="zh-CN"/>
        </w:rPr>
        <w:t>境均按相关规定执行</w:t>
      </w:r>
      <w:r>
        <w:rPr>
          <w:rFonts w:hint="eastAsia" w:ascii="仿宋" w:hAnsi="仿宋" w:eastAsia="仿宋" w:cs="仿宋"/>
          <w:w w:val="80"/>
          <w:sz w:val="32"/>
          <w:szCs w:val="32"/>
          <w:lang w:val="zh-CN"/>
        </w:rPr>
        <w:t>。严格执行财务管理制度、财务处理及时、会计核算规范。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514" w:firstLineChars="200"/>
        <w:textAlignment w:val="auto"/>
        <w:rPr>
          <w:rFonts w:hint="eastAsia" w:ascii="仿宋" w:hAnsi="仿宋" w:eastAsia="仿宋" w:cs="仿宋"/>
          <w:b/>
          <w:bCs/>
          <w:w w:val="80"/>
          <w:sz w:val="32"/>
          <w:szCs w:val="32"/>
          <w:lang w:val="zh-CN"/>
        </w:rPr>
      </w:pPr>
      <w:r>
        <w:rPr>
          <w:rFonts w:hint="eastAsia" w:ascii="仿宋" w:hAnsi="仿宋" w:eastAsia="仿宋" w:cs="仿宋"/>
          <w:b/>
          <w:bCs/>
          <w:w w:val="80"/>
          <w:sz w:val="32"/>
          <w:szCs w:val="32"/>
          <w:lang w:val="zh-CN"/>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512" w:firstLineChars="200"/>
        <w:textAlignment w:val="auto"/>
        <w:rPr>
          <w:rFonts w:hint="eastAsia" w:ascii="仿宋" w:hAnsi="仿宋" w:eastAsia="仿宋" w:cs="仿宋"/>
          <w:w w:val="80"/>
          <w:sz w:val="32"/>
          <w:szCs w:val="32"/>
          <w:lang w:val="en-US" w:eastAsia="zh-CN"/>
        </w:rPr>
      </w:pPr>
      <w:r>
        <w:rPr>
          <w:rFonts w:hint="eastAsia" w:ascii="仿宋" w:hAnsi="仿宋" w:eastAsia="仿宋" w:cs="仿宋"/>
          <w:w w:val="80"/>
          <w:sz w:val="32"/>
          <w:szCs w:val="32"/>
          <w:lang w:val="en-US" w:eastAsia="zh-CN"/>
        </w:rPr>
        <w:t>该项目主要由分管领导及相关股室负责实施，根据工作实际情况，提出申请，经主要领导或主任办公会同意后方可执行。</w:t>
      </w:r>
    </w:p>
    <w:p>
      <w:pPr>
        <w:keepNext w:val="0"/>
        <w:keepLines w:val="0"/>
        <w:pageBreakBefore w:val="0"/>
        <w:widowControl w:val="0"/>
        <w:kinsoku/>
        <w:wordWrap/>
        <w:overflowPunct/>
        <w:topLinePunct w:val="0"/>
        <w:autoSpaceDE/>
        <w:autoSpaceDN/>
        <w:bidi w:val="0"/>
        <w:adjustRightInd w:val="0"/>
        <w:snapToGrid w:val="0"/>
        <w:spacing w:line="576" w:lineRule="exact"/>
        <w:ind w:firstLine="514" w:firstLineChars="200"/>
        <w:textAlignment w:val="auto"/>
        <w:rPr>
          <w:rFonts w:hint="eastAsia" w:ascii="仿宋" w:hAnsi="仿宋" w:eastAsia="仿宋" w:cs="仿宋"/>
          <w:bCs/>
          <w:w w:val="80"/>
          <w:sz w:val="32"/>
          <w:szCs w:val="32"/>
        </w:rPr>
      </w:pPr>
      <w:r>
        <w:rPr>
          <w:rFonts w:hint="eastAsia" w:ascii="仿宋" w:hAnsi="仿宋" w:eastAsia="仿宋" w:cs="仿宋"/>
          <w:b/>
          <w:bCs w:val="0"/>
          <w:w w:val="80"/>
          <w:sz w:val="32"/>
          <w:szCs w:val="32"/>
          <w:lang w:eastAsia="zh-CN"/>
        </w:rPr>
        <w:t>四</w:t>
      </w:r>
      <w:r>
        <w:rPr>
          <w:rFonts w:hint="eastAsia" w:ascii="仿宋" w:hAnsi="仿宋" w:eastAsia="仿宋" w:cs="仿宋"/>
          <w:b/>
          <w:bCs w:val="0"/>
          <w:w w:val="80"/>
          <w:sz w:val="32"/>
          <w:szCs w:val="32"/>
        </w:rPr>
        <w:t>、项目绩效情况</w:t>
      </w:r>
      <w:r>
        <w:rPr>
          <w:rFonts w:hint="eastAsia" w:ascii="仿宋" w:hAnsi="仿宋" w:eastAsia="仿宋" w:cs="仿宋"/>
          <w:bCs/>
          <w:w w:val="80"/>
          <w:sz w:val="32"/>
          <w:szCs w:val="32"/>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514" w:firstLineChars="200"/>
        <w:textAlignment w:val="auto"/>
        <w:rPr>
          <w:rFonts w:hint="eastAsia" w:ascii="仿宋" w:hAnsi="仿宋" w:eastAsia="仿宋" w:cs="仿宋"/>
          <w:w w:val="80"/>
          <w:sz w:val="32"/>
          <w:szCs w:val="32"/>
          <w:lang w:val="en-US" w:eastAsia="zh-CN"/>
        </w:rPr>
      </w:pPr>
      <w:r>
        <w:rPr>
          <w:rFonts w:hint="eastAsia" w:ascii="仿宋" w:hAnsi="仿宋" w:eastAsia="仿宋" w:cs="仿宋"/>
          <w:b/>
          <w:bCs/>
          <w:w w:val="80"/>
          <w:sz w:val="32"/>
          <w:szCs w:val="32"/>
          <w:lang w:val="zh-CN"/>
        </w:rPr>
        <w:t>（一）项目完成情况。</w:t>
      </w:r>
      <w:r>
        <w:rPr>
          <w:rFonts w:hint="eastAsia" w:ascii="仿宋" w:hAnsi="仿宋" w:eastAsia="仿宋" w:cs="仿宋"/>
          <w:w w:val="80"/>
          <w:sz w:val="32"/>
          <w:szCs w:val="32"/>
          <w:lang w:val="en-US" w:eastAsia="zh-CN"/>
        </w:rPr>
        <w:t>该项目能按时、按质、按量完成，本着厉行节约的思想，具体经办人根据采取比价等方式控制成本。项目自评能达到优秀。</w:t>
      </w:r>
    </w:p>
    <w:p>
      <w:pPr>
        <w:keepNext w:val="0"/>
        <w:keepLines w:val="0"/>
        <w:pageBreakBefore w:val="0"/>
        <w:widowControl w:val="0"/>
        <w:kinsoku/>
        <w:wordWrap/>
        <w:overflowPunct/>
        <w:topLinePunct w:val="0"/>
        <w:autoSpaceDE/>
        <w:autoSpaceDN/>
        <w:bidi w:val="0"/>
        <w:adjustRightInd w:val="0"/>
        <w:snapToGrid w:val="0"/>
        <w:spacing w:line="576" w:lineRule="exact"/>
        <w:ind w:firstLine="514" w:firstLineChars="200"/>
        <w:textAlignment w:val="auto"/>
        <w:rPr>
          <w:rFonts w:hint="eastAsia" w:ascii="仿宋" w:hAnsi="仿宋" w:eastAsia="仿宋" w:cs="仿宋"/>
          <w:w w:val="80"/>
          <w:sz w:val="32"/>
          <w:szCs w:val="32"/>
          <w:lang w:val="en-US" w:eastAsia="zh-CN"/>
        </w:rPr>
      </w:pPr>
      <w:r>
        <w:rPr>
          <w:rFonts w:hint="eastAsia" w:ascii="仿宋" w:hAnsi="仿宋" w:eastAsia="仿宋" w:cs="仿宋"/>
          <w:b/>
          <w:bCs/>
          <w:w w:val="80"/>
          <w:sz w:val="32"/>
          <w:szCs w:val="32"/>
          <w:lang w:val="zh-CN"/>
        </w:rPr>
        <w:t>（二）项目效益情况。</w:t>
      </w:r>
      <w:r>
        <w:rPr>
          <w:rFonts w:hint="eastAsia" w:ascii="仿宋" w:hAnsi="仿宋" w:eastAsia="仿宋" w:cs="仿宋"/>
          <w:w w:val="80"/>
          <w:sz w:val="32"/>
          <w:szCs w:val="32"/>
          <w:lang w:val="en-US" w:eastAsia="zh-CN"/>
        </w:rPr>
        <w:t>该项目能得到服务对象对机关事务工作的认可，使他们更好地为经济社会发展服务。</w:t>
      </w:r>
    </w:p>
    <w:p>
      <w:pPr>
        <w:keepNext w:val="0"/>
        <w:keepLines w:val="0"/>
        <w:pageBreakBefore w:val="0"/>
        <w:widowControl w:val="0"/>
        <w:kinsoku/>
        <w:wordWrap/>
        <w:overflowPunct/>
        <w:topLinePunct w:val="0"/>
        <w:autoSpaceDE/>
        <w:autoSpaceDN/>
        <w:bidi w:val="0"/>
        <w:adjustRightInd w:val="0"/>
        <w:snapToGrid w:val="0"/>
        <w:spacing w:line="576" w:lineRule="exact"/>
        <w:ind w:firstLine="514" w:firstLineChars="200"/>
        <w:textAlignment w:val="auto"/>
        <w:rPr>
          <w:rFonts w:hint="eastAsia" w:ascii="仿宋" w:hAnsi="仿宋" w:eastAsia="仿宋" w:cs="仿宋"/>
          <w:b/>
          <w:bCs w:val="0"/>
          <w:w w:val="80"/>
          <w:sz w:val="32"/>
          <w:szCs w:val="32"/>
        </w:rPr>
      </w:pPr>
      <w:r>
        <w:rPr>
          <w:rFonts w:hint="eastAsia" w:ascii="仿宋" w:hAnsi="仿宋" w:eastAsia="仿宋" w:cs="仿宋"/>
          <w:b/>
          <w:bCs w:val="0"/>
          <w:w w:val="80"/>
          <w:sz w:val="32"/>
          <w:szCs w:val="32"/>
          <w:lang w:eastAsia="zh-CN"/>
        </w:rPr>
        <w:t>五</w:t>
      </w:r>
      <w:r>
        <w:rPr>
          <w:rFonts w:hint="eastAsia" w:ascii="仿宋" w:hAnsi="仿宋" w:eastAsia="仿宋" w:cs="仿宋"/>
          <w:b/>
          <w:bCs w:val="0"/>
          <w:w w:val="80"/>
          <w:sz w:val="32"/>
          <w:szCs w:val="32"/>
        </w:rPr>
        <w:t>、</w:t>
      </w:r>
      <w:r>
        <w:rPr>
          <w:rFonts w:hint="eastAsia" w:ascii="仿宋" w:hAnsi="仿宋" w:eastAsia="仿宋" w:cs="仿宋"/>
          <w:b/>
          <w:bCs w:val="0"/>
          <w:w w:val="80"/>
          <w:sz w:val="32"/>
          <w:szCs w:val="32"/>
          <w:lang w:eastAsia="zh-CN"/>
        </w:rPr>
        <w:t>评价结论</w:t>
      </w:r>
      <w:r>
        <w:rPr>
          <w:rFonts w:hint="eastAsia" w:ascii="仿宋" w:hAnsi="仿宋" w:eastAsia="仿宋" w:cs="仿宋"/>
          <w:b/>
          <w:bCs w:val="0"/>
          <w:w w:val="80"/>
          <w:sz w:val="32"/>
          <w:szCs w:val="32"/>
        </w:rPr>
        <w:t>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512" w:firstLineChars="200"/>
        <w:textAlignment w:val="auto"/>
        <w:rPr>
          <w:rFonts w:hint="eastAsia" w:ascii="仿宋" w:hAnsi="仿宋" w:eastAsia="仿宋" w:cs="仿宋"/>
          <w:bCs/>
          <w:w w:val="80"/>
          <w:sz w:val="32"/>
          <w:szCs w:val="32"/>
          <w:lang w:eastAsia="zh-CN"/>
        </w:rPr>
      </w:pPr>
      <w:r>
        <w:rPr>
          <w:rFonts w:hint="eastAsia" w:ascii="仿宋" w:hAnsi="仿宋" w:eastAsia="仿宋" w:cs="仿宋"/>
          <w:bCs/>
          <w:w w:val="80"/>
          <w:sz w:val="32"/>
          <w:szCs w:val="32"/>
          <w:lang w:eastAsia="zh-CN"/>
        </w:rPr>
        <w:t>（一）评价结论</w:t>
      </w:r>
    </w:p>
    <w:p>
      <w:pPr>
        <w:pStyle w:val="31"/>
        <w:keepNext w:val="0"/>
        <w:keepLines w:val="0"/>
        <w:pageBreakBefore w:val="0"/>
        <w:widowControl w:val="0"/>
        <w:kinsoku/>
        <w:wordWrap/>
        <w:overflowPunct/>
        <w:topLinePunct w:val="0"/>
        <w:autoSpaceDE/>
        <w:autoSpaceDN/>
        <w:bidi w:val="0"/>
        <w:spacing w:line="576" w:lineRule="exact"/>
        <w:ind w:firstLine="512" w:firstLineChars="200"/>
        <w:jc w:val="left"/>
        <w:textAlignment w:val="auto"/>
        <w:rPr>
          <w:rFonts w:hint="eastAsia" w:ascii="仿宋" w:hAnsi="仿宋" w:eastAsia="仿宋" w:cs="仿宋"/>
          <w:w w:val="80"/>
          <w:sz w:val="32"/>
          <w:szCs w:val="32"/>
          <w:lang w:val="en-US" w:eastAsia="zh-CN"/>
        </w:rPr>
      </w:pPr>
      <w:r>
        <w:rPr>
          <w:rFonts w:hint="eastAsia" w:ascii="仿宋" w:hAnsi="仿宋" w:eastAsia="仿宋" w:cs="仿宋"/>
          <w:w w:val="80"/>
          <w:sz w:val="32"/>
          <w:szCs w:val="32"/>
          <w:lang w:val="zh-CN"/>
        </w:rPr>
        <w:t>该项目主要检测维修维护玻璃幕墙，拆除和更换已损坏的钢化玻璃，排除安全隐患；清洗玻璃幕墙，达到无尘、无垢、确保办公大楼整洁明亮</w:t>
      </w:r>
      <w:r>
        <w:rPr>
          <w:rFonts w:hint="eastAsia" w:ascii="仿宋" w:hAnsi="仿宋" w:eastAsia="仿宋" w:cs="仿宋"/>
          <w:w w:val="80"/>
          <w:sz w:val="32"/>
          <w:szCs w:val="32"/>
          <w:lang w:val="en-US" w:eastAsia="zh-CN"/>
        </w:rPr>
        <w:t>。一办公区八楼滚动幕墙及万缘办公区玻璃幕墙维修清理维护</w:t>
      </w:r>
      <w:r>
        <w:rPr>
          <w:rFonts w:hint="eastAsia" w:ascii="仿宋" w:hAnsi="仿宋" w:eastAsia="仿宋" w:cs="仿宋"/>
          <w:w w:val="80"/>
          <w:sz w:val="32"/>
          <w:szCs w:val="32"/>
          <w:lang w:val="zh-CN"/>
        </w:rPr>
        <w:t>项目自评为优秀。</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w w:val="80"/>
          <w:sz w:val="32"/>
          <w:szCs w:val="32"/>
          <w:lang w:val="zh-CN"/>
        </w:rPr>
      </w:pPr>
      <w:r>
        <w:rPr>
          <w:rFonts w:hint="eastAsia" w:ascii="仿宋" w:hAnsi="仿宋" w:eastAsia="仿宋" w:cs="仿宋"/>
          <w:b/>
          <w:bCs/>
          <w:w w:val="80"/>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512" w:firstLineChars="200"/>
        <w:textAlignment w:val="auto"/>
        <w:rPr>
          <w:rFonts w:hint="eastAsia" w:ascii="仿宋" w:hAnsi="仿宋" w:eastAsia="仿宋" w:cs="仿宋"/>
          <w:w w:val="80"/>
          <w:sz w:val="32"/>
          <w:szCs w:val="32"/>
          <w:lang w:val="en-US" w:eastAsia="zh-CN"/>
        </w:rPr>
      </w:pPr>
      <w:r>
        <w:rPr>
          <w:rFonts w:hint="eastAsia" w:ascii="仿宋" w:hAnsi="仿宋" w:eastAsia="仿宋" w:cs="仿宋"/>
          <w:w w:val="80"/>
          <w:sz w:val="32"/>
          <w:szCs w:val="32"/>
          <w:lang w:val="en-US" w:eastAsia="zh-CN"/>
        </w:rPr>
        <w:t>无。</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w w:val="80"/>
          <w:sz w:val="32"/>
          <w:szCs w:val="32"/>
          <w:lang w:val="zh-CN"/>
        </w:rPr>
      </w:pPr>
      <w:r>
        <w:rPr>
          <w:rFonts w:hint="eastAsia" w:ascii="仿宋" w:hAnsi="仿宋" w:eastAsia="仿宋" w:cs="仿宋"/>
          <w:b/>
          <w:bCs/>
          <w:w w:val="80"/>
          <w:sz w:val="32"/>
          <w:szCs w:val="32"/>
          <w:lang w:val="zh-CN"/>
        </w:rPr>
        <w:t>（三）相关建议</w:t>
      </w:r>
    </w:p>
    <w:p>
      <w:pPr>
        <w:keepNext w:val="0"/>
        <w:keepLines w:val="0"/>
        <w:pageBreakBefore w:val="0"/>
        <w:widowControl w:val="0"/>
        <w:kinsoku/>
        <w:wordWrap/>
        <w:overflowPunct/>
        <w:topLinePunct w:val="0"/>
        <w:autoSpaceDE/>
        <w:autoSpaceDN/>
        <w:bidi w:val="0"/>
        <w:spacing w:line="576" w:lineRule="exact"/>
        <w:ind w:firstLine="512" w:firstLineChars="200"/>
        <w:jc w:val="both"/>
        <w:textAlignment w:val="auto"/>
        <w:rPr>
          <w:rFonts w:hint="eastAsia" w:ascii="仿宋" w:hAnsi="仿宋" w:eastAsia="仿宋" w:cs="仿宋"/>
          <w:w w:val="80"/>
          <w:sz w:val="32"/>
          <w:szCs w:val="32"/>
          <w:lang w:val="en-US" w:eastAsia="zh-CN"/>
        </w:rPr>
      </w:pPr>
      <w:r>
        <w:rPr>
          <w:rFonts w:hint="eastAsia" w:ascii="仿宋" w:hAnsi="仿宋" w:eastAsia="仿宋" w:cs="仿宋"/>
          <w:w w:val="80"/>
          <w:sz w:val="32"/>
          <w:szCs w:val="32"/>
          <w:lang w:val="en-US" w:eastAsia="zh-CN"/>
        </w:rPr>
        <w:t>无。</w:t>
      </w: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Cs/>
          <w:w w:val="80"/>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val="0"/>
          <w:sz w:val="32"/>
          <w:szCs w:val="32"/>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val="0"/>
          <w:sz w:val="32"/>
          <w:szCs w:val="32"/>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万缘行政中心光亮及LED显示屏维护</w:t>
      </w: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 w:hAnsi="仿宋" w:eastAsia="仿宋" w:cs="仿宋"/>
          <w:b/>
          <w:bCs w:val="0"/>
          <w:sz w:val="32"/>
          <w:szCs w:val="32"/>
          <w:lang w:val="en-US" w:eastAsia="zh-CN"/>
        </w:rPr>
        <w:t>专项</w:t>
      </w:r>
      <w:r>
        <w:rPr>
          <w:rFonts w:hint="eastAsia" w:ascii="仿宋" w:hAnsi="仿宋" w:eastAsia="仿宋" w:cs="仿宋"/>
          <w:b/>
          <w:bCs w:val="0"/>
          <w:sz w:val="32"/>
          <w:szCs w:val="32"/>
          <w:lang w:val="zh-CN" w:eastAsia="zh-CN"/>
        </w:rPr>
        <w:t>预算项目支出绩效自评报告</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w w:val="90"/>
          <w:sz w:val="32"/>
          <w:szCs w:val="32"/>
          <w:lang w:val="zh-CN"/>
        </w:rPr>
      </w:pPr>
      <w:r>
        <w:rPr>
          <w:rFonts w:hint="eastAsia" w:ascii="仿宋" w:hAnsi="仿宋" w:eastAsia="仿宋" w:cs="仿宋"/>
          <w:b/>
          <w:bCs w:val="0"/>
          <w:w w:val="90"/>
          <w:sz w:val="32"/>
          <w:szCs w:val="32"/>
          <w:lang w:val="zh-CN"/>
        </w:rPr>
        <w:t>项目概况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576" w:firstLineChars="200"/>
        <w:textAlignment w:val="auto"/>
        <w:rPr>
          <w:rFonts w:hint="eastAsia" w:ascii="仿宋" w:hAnsi="仿宋" w:eastAsia="仿宋" w:cs="仿宋"/>
          <w:bCs/>
          <w:w w:val="90"/>
          <w:sz w:val="32"/>
          <w:szCs w:val="32"/>
          <w:lang w:val="zh-CN"/>
        </w:rPr>
      </w:pPr>
      <w:r>
        <w:rPr>
          <w:rFonts w:hint="eastAsia" w:ascii="仿宋" w:hAnsi="仿宋" w:eastAsia="仿宋" w:cs="仿宋"/>
          <w:bCs/>
          <w:w w:val="90"/>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1.项目管理中的职能，万缘行政中心光亮及LED显示屏维护费</w:t>
      </w:r>
      <w:r>
        <w:rPr>
          <w:rFonts w:hint="eastAsia" w:ascii="仿宋" w:hAnsi="仿宋" w:eastAsia="仿宋" w:cs="仿宋"/>
          <w:w w:val="90"/>
          <w:sz w:val="32"/>
          <w:szCs w:val="32"/>
          <w:lang w:val="zh-CN"/>
        </w:rPr>
        <w:t>，主要集中办公区打造“光亮工程”，美化办公环境，提升办公楼宇整体形象；视频会议系统建设及安装LED显示屏，优质、便捷、高效提升会务服务水平。</w:t>
      </w:r>
      <w:r>
        <w:rPr>
          <w:rFonts w:hint="eastAsia" w:ascii="仿宋" w:hAnsi="仿宋" w:eastAsia="仿宋" w:cs="仿宋"/>
          <w:w w:val="90"/>
          <w:sz w:val="32"/>
          <w:szCs w:val="32"/>
          <w:lang w:val="en-US" w:eastAsia="zh-CN"/>
        </w:rPr>
        <w:t>此项目预算2万元。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0"/>
          <w:sz w:val="32"/>
          <w:szCs w:val="32"/>
          <w:lang w:val="en-US" w:eastAsia="zh-CN"/>
        </w:rPr>
      </w:pPr>
      <w:r>
        <w:rPr>
          <w:rFonts w:hint="eastAsia" w:ascii="仿宋" w:hAnsi="仿宋" w:eastAsia="仿宋" w:cs="仿宋"/>
          <w:bCs/>
          <w:w w:val="90"/>
          <w:sz w:val="32"/>
          <w:szCs w:val="32"/>
          <w:lang w:val="en-US" w:eastAsia="zh-CN"/>
        </w:rPr>
        <w:t>2.项目立项、资金申报的依据，</w:t>
      </w:r>
      <w:r>
        <w:rPr>
          <w:rFonts w:hint="eastAsia" w:ascii="仿宋" w:hAnsi="仿宋" w:eastAsia="仿宋" w:cs="仿宋"/>
          <w:bCs/>
          <w:w w:val="90"/>
          <w:sz w:val="32"/>
          <w:szCs w:val="32"/>
          <w:lang w:val="zh-CN"/>
        </w:rPr>
        <w:t>项目资金申报及批复情况</w:t>
      </w:r>
      <w:r>
        <w:rPr>
          <w:rFonts w:hint="eastAsia" w:ascii="仿宋" w:hAnsi="仿宋" w:eastAsia="仿宋" w:cs="仿宋"/>
          <w:bCs/>
          <w:w w:val="90"/>
          <w:sz w:val="32"/>
          <w:szCs w:val="32"/>
          <w:lang w:val="zh-CN" w:eastAsia="zh-CN"/>
        </w:rPr>
        <w:t>。</w:t>
      </w:r>
      <w:r>
        <w:rPr>
          <w:rFonts w:hint="eastAsia" w:ascii="仿宋" w:hAnsi="仿宋" w:eastAsia="仿宋" w:cs="仿宋"/>
          <w:w w:val="90"/>
          <w:sz w:val="32"/>
          <w:szCs w:val="32"/>
          <w:lang w:val="en-US" w:eastAsia="zh-CN"/>
        </w:rPr>
        <w:t>该项目属常年性项目，通常在工作需要开展前，根据需要开支金额进行申报，能保证工作的正常开展，使用过程符合资金管理办法相关规定，无违规现象。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576" w:firstLineChars="200"/>
        <w:textAlignment w:val="auto"/>
        <w:rPr>
          <w:rFonts w:hint="eastAsia" w:ascii="仿宋" w:hAnsi="仿宋" w:eastAsia="仿宋" w:cs="仿宋"/>
          <w:bCs/>
          <w:w w:val="90"/>
          <w:sz w:val="32"/>
          <w:szCs w:val="32"/>
          <w:lang w:val="zh-CN"/>
        </w:rPr>
      </w:pPr>
      <w:r>
        <w:rPr>
          <w:rFonts w:hint="eastAsia" w:ascii="仿宋" w:hAnsi="仿宋" w:eastAsia="仿宋" w:cs="仿宋"/>
          <w:bCs/>
          <w:w w:val="90"/>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576"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项目主要内容，万缘行政中心光亮及LED显示屏维护费</w:t>
      </w:r>
      <w:r>
        <w:rPr>
          <w:rFonts w:hint="eastAsia" w:ascii="仿宋" w:hAnsi="仿宋" w:eastAsia="仿宋" w:cs="仿宋"/>
          <w:color w:val="auto"/>
          <w:w w:val="90"/>
          <w:kern w:val="2"/>
          <w:sz w:val="32"/>
          <w:szCs w:val="32"/>
          <w:lang w:val="en-US" w:eastAsia="zh-CN" w:bidi="ar-SA"/>
        </w:rPr>
        <w:t>项目</w:t>
      </w:r>
      <w:r>
        <w:rPr>
          <w:rFonts w:hint="eastAsia" w:ascii="仿宋" w:hAnsi="仿宋" w:eastAsia="仿宋" w:cs="仿宋"/>
          <w:w w:val="90"/>
          <w:sz w:val="32"/>
          <w:szCs w:val="32"/>
          <w:lang w:val="en-US" w:eastAsia="zh-CN"/>
        </w:rPr>
        <w:t>主要</w:t>
      </w:r>
      <w:r>
        <w:rPr>
          <w:rFonts w:hint="eastAsia" w:ascii="仿宋" w:hAnsi="仿宋" w:eastAsia="仿宋" w:cs="仿宋"/>
          <w:w w:val="90"/>
          <w:kern w:val="0"/>
          <w:sz w:val="32"/>
          <w:szCs w:val="32"/>
          <w:lang w:val="en-US" w:eastAsia="zh-CN" w:bidi="ar-SA"/>
        </w:rPr>
        <w:t>对集中办公区视频会议系统建设及安装LED显示屏，优质、便捷、高效提升会务服务水平。</w:t>
      </w:r>
      <w:r>
        <w:rPr>
          <w:rFonts w:hint="eastAsia" w:ascii="仿宋" w:hAnsi="仿宋" w:eastAsia="仿宋" w:cs="仿宋"/>
          <w:w w:val="90"/>
          <w:sz w:val="32"/>
          <w:szCs w:val="32"/>
          <w:lang w:val="en-US" w:eastAsia="zh-CN"/>
        </w:rPr>
        <w:t>美化办公环境，提升办公楼整体形象。</w:t>
      </w:r>
    </w:p>
    <w:p>
      <w:pPr>
        <w:keepNext w:val="0"/>
        <w:keepLines w:val="0"/>
        <w:pageBreakBefore w:val="0"/>
        <w:widowControl w:val="0"/>
        <w:kinsoku/>
        <w:wordWrap/>
        <w:overflowPunct/>
        <w:topLinePunct w:val="0"/>
        <w:autoSpaceDE/>
        <w:autoSpaceDN/>
        <w:bidi w:val="0"/>
        <w:adjustRightInd w:val="0"/>
        <w:snapToGrid w:val="0"/>
        <w:spacing w:line="576" w:lineRule="exact"/>
        <w:ind w:firstLine="576" w:firstLineChars="200"/>
        <w:textAlignment w:val="auto"/>
        <w:rPr>
          <w:rFonts w:hint="eastAsia" w:ascii="仿宋" w:hAnsi="仿宋" w:eastAsia="仿宋" w:cs="仿宋"/>
          <w:w w:val="90"/>
          <w:sz w:val="32"/>
          <w:szCs w:val="32"/>
          <w:lang w:val="en-US" w:eastAsia="zh-CN"/>
        </w:rPr>
      </w:pPr>
      <w:r>
        <w:rPr>
          <w:rFonts w:hint="eastAsia" w:ascii="仿宋" w:hAnsi="仿宋" w:eastAsia="仿宋" w:cs="仿宋"/>
          <w:bCs/>
          <w:w w:val="90"/>
          <w:sz w:val="32"/>
          <w:szCs w:val="32"/>
          <w:lang w:val="zh-CN"/>
        </w:rPr>
        <w:t>项目自评步骤及方法。</w:t>
      </w:r>
      <w:r>
        <w:rPr>
          <w:rFonts w:hint="eastAsia" w:ascii="仿宋" w:hAnsi="仿宋" w:eastAsia="仿宋" w:cs="仿宋"/>
          <w:w w:val="90"/>
          <w:sz w:val="32"/>
          <w:szCs w:val="32"/>
          <w:lang w:val="en-US" w:eastAsia="zh-CN"/>
        </w:rPr>
        <w:t>项目资金从申报到使用符合相关规定，执行合理可行。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578" w:firstLineChars="200"/>
        <w:textAlignment w:val="auto"/>
        <w:rPr>
          <w:rFonts w:hint="eastAsia" w:ascii="仿宋" w:hAnsi="仿宋" w:eastAsia="仿宋" w:cs="仿宋"/>
          <w:b/>
          <w:bCs w:val="0"/>
          <w:w w:val="90"/>
          <w:sz w:val="32"/>
          <w:szCs w:val="32"/>
        </w:rPr>
      </w:pPr>
      <w:r>
        <w:rPr>
          <w:rFonts w:hint="eastAsia" w:ascii="仿宋" w:hAnsi="仿宋" w:eastAsia="仿宋" w:cs="仿宋"/>
          <w:b/>
          <w:bCs w:val="0"/>
          <w:w w:val="90"/>
          <w:sz w:val="32"/>
          <w:szCs w:val="32"/>
        </w:rPr>
        <w:t>二、项目</w:t>
      </w:r>
      <w:r>
        <w:rPr>
          <w:rFonts w:hint="eastAsia" w:ascii="仿宋" w:hAnsi="仿宋" w:eastAsia="仿宋" w:cs="仿宋"/>
          <w:b/>
          <w:bCs w:val="0"/>
          <w:w w:val="90"/>
          <w:sz w:val="32"/>
          <w:szCs w:val="32"/>
          <w:lang w:eastAsia="zh-CN"/>
        </w:rPr>
        <w:t>资金申报及使用</w:t>
      </w:r>
      <w:r>
        <w:rPr>
          <w:rFonts w:hint="eastAsia" w:ascii="仿宋" w:hAnsi="仿宋" w:eastAsia="仿宋" w:cs="仿宋"/>
          <w:b/>
          <w:bCs w:val="0"/>
          <w:w w:val="90"/>
          <w:sz w:val="32"/>
          <w:szCs w:val="32"/>
        </w:rPr>
        <w:t>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w w:val="90"/>
          <w:sz w:val="32"/>
          <w:szCs w:val="32"/>
          <w:lang w:val="zh-CN"/>
        </w:rPr>
      </w:pPr>
      <w:r>
        <w:rPr>
          <w:rFonts w:hint="eastAsia" w:ascii="仿宋" w:hAnsi="仿宋" w:eastAsia="仿宋" w:cs="仿宋"/>
          <w:b/>
          <w:bCs/>
          <w:w w:val="90"/>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576"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zh-CN"/>
        </w:rPr>
        <w:t>资金计划及到位</w:t>
      </w:r>
      <w:r>
        <w:rPr>
          <w:rFonts w:hint="eastAsia" w:ascii="仿宋" w:hAnsi="仿宋" w:eastAsia="仿宋" w:cs="仿宋"/>
          <w:w w:val="90"/>
          <w:sz w:val="32"/>
          <w:szCs w:val="32"/>
          <w:lang w:val="en-US" w:eastAsia="zh-CN"/>
        </w:rPr>
        <w:t>情况。万缘行政中心光亮及LED显示屏维护费</w:t>
      </w:r>
      <w:r>
        <w:rPr>
          <w:rFonts w:hint="eastAsia" w:ascii="仿宋" w:hAnsi="仿宋" w:eastAsia="仿宋" w:cs="仿宋"/>
          <w:color w:val="auto"/>
          <w:w w:val="90"/>
          <w:kern w:val="2"/>
          <w:sz w:val="32"/>
          <w:szCs w:val="32"/>
          <w:lang w:val="en-US" w:eastAsia="zh-CN" w:bidi="ar-SA"/>
        </w:rPr>
        <w:t>项目</w:t>
      </w:r>
      <w:r>
        <w:rPr>
          <w:rFonts w:hint="eastAsia" w:ascii="仿宋" w:hAnsi="仿宋" w:eastAsia="仿宋" w:cs="仿宋"/>
          <w:w w:val="90"/>
          <w:sz w:val="32"/>
          <w:szCs w:val="32"/>
          <w:lang w:val="en-US" w:eastAsia="zh-CN"/>
        </w:rPr>
        <w:t>预算2万元，</w:t>
      </w:r>
      <w:r>
        <w:rPr>
          <w:rFonts w:hint="eastAsia" w:ascii="仿宋" w:hAnsi="仿宋" w:eastAsia="仿宋" w:cs="仿宋"/>
          <w:w w:val="90"/>
          <w:sz w:val="32"/>
          <w:szCs w:val="32"/>
          <w:lang w:val="zh-CN"/>
        </w:rPr>
        <w:t>截止评价时点</w:t>
      </w:r>
      <w:r>
        <w:rPr>
          <w:rFonts w:hint="eastAsia" w:ascii="仿宋" w:hAnsi="仿宋" w:eastAsia="仿宋" w:cs="仿宋"/>
          <w:w w:val="90"/>
          <w:sz w:val="32"/>
          <w:szCs w:val="32"/>
          <w:lang w:val="en-US" w:eastAsia="zh-CN"/>
        </w:rPr>
        <w:t>已全部执行。</w:t>
      </w:r>
    </w:p>
    <w:p>
      <w:pPr>
        <w:keepNext w:val="0"/>
        <w:keepLines w:val="0"/>
        <w:pageBreakBefore w:val="0"/>
        <w:widowControl w:val="0"/>
        <w:kinsoku/>
        <w:wordWrap/>
        <w:overflowPunct/>
        <w:topLinePunct w:val="0"/>
        <w:autoSpaceDE/>
        <w:autoSpaceDN/>
        <w:bidi w:val="0"/>
        <w:adjustRightInd w:val="0"/>
        <w:snapToGrid w:val="0"/>
        <w:spacing w:line="576" w:lineRule="exact"/>
        <w:ind w:firstLine="576" w:firstLineChars="20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zh-CN"/>
        </w:rPr>
        <w:t>资金计划、到位及使用情况</w:t>
      </w:r>
      <w:r>
        <w:rPr>
          <w:rFonts w:hint="eastAsia" w:ascii="仿宋" w:hAnsi="仿宋" w:eastAsia="仿宋" w:cs="仿宋"/>
          <w:w w:val="90"/>
          <w:sz w:val="32"/>
          <w:szCs w:val="32"/>
          <w:lang w:val="en-US" w:eastAsia="zh-CN"/>
        </w:rPr>
        <w:t>。该项目资金主要用于万缘行政中心光亮及LED显示屏维护费</w:t>
      </w:r>
      <w:r>
        <w:rPr>
          <w:rFonts w:hint="eastAsia" w:ascii="仿宋" w:hAnsi="仿宋" w:eastAsia="仿宋" w:cs="仿宋"/>
          <w:color w:val="auto"/>
          <w:w w:val="90"/>
          <w:kern w:val="2"/>
          <w:sz w:val="32"/>
          <w:szCs w:val="32"/>
          <w:lang w:val="en-US" w:eastAsia="zh-CN" w:bidi="ar-SA"/>
        </w:rPr>
        <w:t>项目</w:t>
      </w:r>
      <w:r>
        <w:rPr>
          <w:rFonts w:hint="eastAsia" w:ascii="仿宋" w:hAnsi="仿宋" w:eastAsia="仿宋" w:cs="仿宋"/>
          <w:w w:val="90"/>
          <w:sz w:val="32"/>
          <w:szCs w:val="32"/>
          <w:lang w:val="en-US" w:eastAsia="zh-CN"/>
        </w:rPr>
        <w:t>，美化办公环境，提升办公楼整体形象按相关规定执行，该项目根据活动完毕后采取刷公务卡或转账支付方式进行结算。</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0"/>
          <w:sz w:val="32"/>
          <w:szCs w:val="32"/>
          <w:lang w:val="zh-CN"/>
        </w:rPr>
      </w:pPr>
      <w:r>
        <w:rPr>
          <w:rFonts w:hint="eastAsia" w:ascii="仿宋" w:hAnsi="仿宋" w:eastAsia="仿宋" w:cs="仿宋"/>
          <w:b/>
          <w:bCs/>
          <w:w w:val="90"/>
          <w:sz w:val="32"/>
          <w:szCs w:val="32"/>
          <w:lang w:val="zh-CN"/>
        </w:rPr>
        <w:t>（三）项目财务管理情况。</w:t>
      </w:r>
      <w:r>
        <w:rPr>
          <w:rFonts w:hint="eastAsia" w:ascii="仿宋" w:hAnsi="仿宋" w:eastAsia="仿宋" w:cs="仿宋"/>
          <w:w w:val="90"/>
          <w:sz w:val="32"/>
          <w:szCs w:val="32"/>
          <w:lang w:val="en-US" w:eastAsia="zh-CN"/>
        </w:rPr>
        <w:t>区机关事务服务中心建立了相关财务制度，</w:t>
      </w:r>
      <w:r>
        <w:rPr>
          <w:rFonts w:hint="eastAsia" w:ascii="仿宋" w:hAnsi="仿宋" w:eastAsia="仿宋" w:cs="仿宋"/>
          <w:w w:val="90"/>
          <w:sz w:val="32"/>
          <w:szCs w:val="32"/>
          <w:lang w:val="zh-CN"/>
        </w:rPr>
        <w:t>会计核算及账务处理</w:t>
      </w:r>
      <w:r>
        <w:rPr>
          <w:rFonts w:hint="eastAsia" w:ascii="仿宋" w:hAnsi="仿宋" w:eastAsia="仿宋" w:cs="仿宋"/>
          <w:w w:val="90"/>
          <w:sz w:val="32"/>
          <w:szCs w:val="32"/>
          <w:lang w:val="en-US" w:eastAsia="zh-CN"/>
        </w:rPr>
        <w:t>境均按相关规定执行</w:t>
      </w:r>
      <w:r>
        <w:rPr>
          <w:rFonts w:hint="eastAsia" w:ascii="仿宋" w:hAnsi="仿宋" w:eastAsia="仿宋" w:cs="仿宋"/>
          <w:w w:val="90"/>
          <w:sz w:val="32"/>
          <w:szCs w:val="32"/>
          <w:lang w:val="zh-CN"/>
        </w:rPr>
        <w:t>。严格执行财务管理制度、财务处理及时、会计核算规范。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578" w:firstLineChars="200"/>
        <w:textAlignment w:val="auto"/>
        <w:rPr>
          <w:rFonts w:hint="eastAsia" w:ascii="仿宋" w:hAnsi="仿宋" w:eastAsia="仿宋" w:cs="仿宋"/>
          <w:b/>
          <w:bCs/>
          <w:w w:val="90"/>
          <w:sz w:val="32"/>
          <w:szCs w:val="32"/>
          <w:lang w:val="zh-CN"/>
        </w:rPr>
      </w:pPr>
      <w:r>
        <w:rPr>
          <w:rFonts w:hint="eastAsia" w:ascii="仿宋" w:hAnsi="仿宋" w:eastAsia="仿宋" w:cs="仿宋"/>
          <w:b/>
          <w:bCs/>
          <w:w w:val="90"/>
          <w:sz w:val="32"/>
          <w:szCs w:val="32"/>
          <w:lang w:val="zh-CN"/>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该项目主要由分管领导及相关股室负责实施，根据工作实际情况，提出申请，经主要领导或主任办公会同意后方可执行。</w:t>
      </w:r>
    </w:p>
    <w:p>
      <w:pPr>
        <w:keepNext w:val="0"/>
        <w:keepLines w:val="0"/>
        <w:pageBreakBefore w:val="0"/>
        <w:widowControl w:val="0"/>
        <w:kinsoku/>
        <w:wordWrap/>
        <w:overflowPunct/>
        <w:topLinePunct w:val="0"/>
        <w:autoSpaceDE/>
        <w:autoSpaceDN/>
        <w:bidi w:val="0"/>
        <w:adjustRightInd w:val="0"/>
        <w:snapToGrid w:val="0"/>
        <w:spacing w:line="576" w:lineRule="exact"/>
        <w:ind w:firstLine="578" w:firstLineChars="200"/>
        <w:textAlignment w:val="auto"/>
        <w:rPr>
          <w:rFonts w:hint="eastAsia" w:ascii="仿宋" w:hAnsi="仿宋" w:eastAsia="仿宋" w:cs="仿宋"/>
          <w:b/>
          <w:bCs w:val="0"/>
          <w:w w:val="90"/>
          <w:sz w:val="32"/>
          <w:szCs w:val="32"/>
        </w:rPr>
      </w:pPr>
      <w:r>
        <w:rPr>
          <w:rFonts w:hint="eastAsia" w:ascii="仿宋" w:hAnsi="仿宋" w:eastAsia="仿宋" w:cs="仿宋"/>
          <w:b/>
          <w:bCs w:val="0"/>
          <w:w w:val="90"/>
          <w:sz w:val="32"/>
          <w:szCs w:val="32"/>
          <w:lang w:eastAsia="zh-CN"/>
        </w:rPr>
        <w:t>四</w:t>
      </w:r>
      <w:r>
        <w:rPr>
          <w:rFonts w:hint="eastAsia" w:ascii="仿宋" w:hAnsi="仿宋" w:eastAsia="仿宋" w:cs="仿宋"/>
          <w:b/>
          <w:bCs w:val="0"/>
          <w:w w:val="90"/>
          <w:sz w:val="32"/>
          <w:szCs w:val="32"/>
        </w:rPr>
        <w:t>、项目绩效情况</w:t>
      </w:r>
      <w:r>
        <w:rPr>
          <w:rFonts w:hint="eastAsia" w:ascii="仿宋" w:hAnsi="仿宋" w:eastAsia="仿宋" w:cs="仿宋"/>
          <w:b/>
          <w:bCs w:val="0"/>
          <w:w w:val="90"/>
          <w:sz w:val="32"/>
          <w:szCs w:val="32"/>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578" w:firstLineChars="200"/>
        <w:textAlignment w:val="auto"/>
        <w:rPr>
          <w:rFonts w:hint="eastAsia" w:ascii="仿宋" w:hAnsi="仿宋" w:eastAsia="仿宋" w:cs="仿宋"/>
          <w:w w:val="90"/>
          <w:sz w:val="32"/>
          <w:szCs w:val="32"/>
          <w:lang w:val="en-US" w:eastAsia="zh-CN"/>
        </w:rPr>
      </w:pPr>
      <w:r>
        <w:rPr>
          <w:rFonts w:hint="eastAsia" w:ascii="仿宋" w:hAnsi="仿宋" w:eastAsia="仿宋" w:cs="仿宋"/>
          <w:b/>
          <w:bCs/>
          <w:w w:val="90"/>
          <w:sz w:val="32"/>
          <w:szCs w:val="32"/>
          <w:lang w:val="zh-CN"/>
        </w:rPr>
        <w:t>（一）项目完成情况。</w:t>
      </w:r>
      <w:r>
        <w:rPr>
          <w:rFonts w:hint="eastAsia" w:ascii="仿宋" w:hAnsi="仿宋" w:eastAsia="仿宋" w:cs="仿宋"/>
          <w:w w:val="90"/>
          <w:sz w:val="32"/>
          <w:szCs w:val="32"/>
          <w:lang w:val="en-US" w:eastAsia="zh-CN"/>
        </w:rPr>
        <w:t>该项目能按时、按质、按量完成，本着厉行节约的思想，具体经办人根据采取比价等方式控制成本。</w:t>
      </w:r>
    </w:p>
    <w:p>
      <w:pPr>
        <w:keepNext w:val="0"/>
        <w:keepLines w:val="0"/>
        <w:pageBreakBefore w:val="0"/>
        <w:widowControl w:val="0"/>
        <w:kinsoku/>
        <w:wordWrap/>
        <w:overflowPunct/>
        <w:topLinePunct w:val="0"/>
        <w:autoSpaceDE/>
        <w:autoSpaceDN/>
        <w:bidi w:val="0"/>
        <w:adjustRightInd w:val="0"/>
        <w:snapToGrid w:val="0"/>
        <w:spacing w:line="576" w:lineRule="exact"/>
        <w:ind w:firstLine="578" w:firstLineChars="200"/>
        <w:textAlignment w:val="auto"/>
        <w:rPr>
          <w:rFonts w:hint="eastAsia" w:ascii="仿宋" w:hAnsi="仿宋" w:eastAsia="仿宋" w:cs="仿宋"/>
          <w:w w:val="90"/>
          <w:sz w:val="32"/>
          <w:szCs w:val="32"/>
          <w:lang w:val="en-US" w:eastAsia="zh-CN"/>
        </w:rPr>
      </w:pPr>
      <w:r>
        <w:rPr>
          <w:rFonts w:hint="eastAsia" w:ascii="仿宋" w:hAnsi="仿宋" w:eastAsia="仿宋" w:cs="仿宋"/>
          <w:b/>
          <w:bCs/>
          <w:w w:val="90"/>
          <w:sz w:val="32"/>
          <w:szCs w:val="32"/>
          <w:lang w:val="zh-CN"/>
        </w:rPr>
        <w:t>（二）项目效益情况。</w:t>
      </w:r>
      <w:r>
        <w:rPr>
          <w:rFonts w:hint="eastAsia" w:ascii="仿宋" w:hAnsi="仿宋" w:eastAsia="仿宋" w:cs="仿宋"/>
          <w:w w:val="90"/>
          <w:sz w:val="32"/>
          <w:szCs w:val="32"/>
          <w:lang w:val="en-US" w:eastAsia="zh-CN"/>
        </w:rPr>
        <w:t>该项目能得到服务对象对机关事务工作的认可，使他们更好地为经济社会发展服务。</w:t>
      </w:r>
    </w:p>
    <w:p>
      <w:pPr>
        <w:keepNext w:val="0"/>
        <w:keepLines w:val="0"/>
        <w:pageBreakBefore w:val="0"/>
        <w:widowControl w:val="0"/>
        <w:kinsoku/>
        <w:wordWrap/>
        <w:overflowPunct/>
        <w:topLinePunct w:val="0"/>
        <w:autoSpaceDE/>
        <w:autoSpaceDN/>
        <w:bidi w:val="0"/>
        <w:adjustRightInd w:val="0"/>
        <w:snapToGrid w:val="0"/>
        <w:spacing w:line="576" w:lineRule="exact"/>
        <w:ind w:firstLine="578" w:firstLineChars="200"/>
        <w:textAlignment w:val="auto"/>
        <w:rPr>
          <w:rFonts w:hint="eastAsia" w:ascii="仿宋" w:hAnsi="仿宋" w:eastAsia="仿宋" w:cs="仿宋"/>
          <w:b/>
          <w:bCs w:val="0"/>
          <w:w w:val="90"/>
          <w:sz w:val="32"/>
          <w:szCs w:val="32"/>
        </w:rPr>
      </w:pPr>
      <w:r>
        <w:rPr>
          <w:rFonts w:hint="eastAsia" w:ascii="仿宋" w:hAnsi="仿宋" w:eastAsia="仿宋" w:cs="仿宋"/>
          <w:b/>
          <w:bCs w:val="0"/>
          <w:w w:val="90"/>
          <w:sz w:val="32"/>
          <w:szCs w:val="32"/>
          <w:lang w:eastAsia="zh-CN"/>
        </w:rPr>
        <w:t>五</w:t>
      </w:r>
      <w:r>
        <w:rPr>
          <w:rFonts w:hint="eastAsia" w:ascii="仿宋" w:hAnsi="仿宋" w:eastAsia="仿宋" w:cs="仿宋"/>
          <w:b/>
          <w:bCs w:val="0"/>
          <w:w w:val="90"/>
          <w:sz w:val="32"/>
          <w:szCs w:val="32"/>
        </w:rPr>
        <w:t>、</w:t>
      </w:r>
      <w:r>
        <w:rPr>
          <w:rFonts w:hint="eastAsia" w:ascii="仿宋" w:hAnsi="仿宋" w:eastAsia="仿宋" w:cs="仿宋"/>
          <w:b/>
          <w:bCs w:val="0"/>
          <w:w w:val="90"/>
          <w:sz w:val="32"/>
          <w:szCs w:val="32"/>
          <w:lang w:eastAsia="zh-CN"/>
        </w:rPr>
        <w:t>评价结论</w:t>
      </w:r>
      <w:r>
        <w:rPr>
          <w:rFonts w:hint="eastAsia" w:ascii="仿宋" w:hAnsi="仿宋" w:eastAsia="仿宋" w:cs="仿宋"/>
          <w:b/>
          <w:bCs w:val="0"/>
          <w:w w:val="90"/>
          <w:sz w:val="32"/>
          <w:szCs w:val="32"/>
        </w:rPr>
        <w:t>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w w:val="90"/>
          <w:sz w:val="32"/>
          <w:szCs w:val="32"/>
          <w:lang w:val="zh-CN"/>
        </w:rPr>
      </w:pPr>
      <w:r>
        <w:rPr>
          <w:rFonts w:hint="eastAsia" w:ascii="仿宋" w:hAnsi="仿宋" w:eastAsia="仿宋" w:cs="仿宋"/>
          <w:b/>
          <w:bCs/>
          <w:w w:val="90"/>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576" w:firstLineChars="200"/>
        <w:textAlignment w:val="auto"/>
        <w:rPr>
          <w:rFonts w:hint="eastAsia" w:ascii="仿宋" w:hAnsi="仿宋" w:eastAsia="仿宋" w:cs="仿宋"/>
          <w:b/>
          <w:bCs/>
          <w:w w:val="90"/>
          <w:sz w:val="32"/>
          <w:szCs w:val="32"/>
          <w:lang w:val="zh-CN"/>
        </w:rPr>
      </w:pPr>
      <w:r>
        <w:rPr>
          <w:rFonts w:hint="eastAsia" w:ascii="仿宋" w:hAnsi="仿宋" w:eastAsia="仿宋" w:cs="仿宋"/>
          <w:w w:val="90"/>
          <w:sz w:val="32"/>
          <w:szCs w:val="32"/>
          <w:lang w:val="en-US" w:eastAsia="zh-CN"/>
        </w:rPr>
        <w:t>万源行政中心光亮及LED显示屏维护费</w:t>
      </w:r>
      <w:r>
        <w:rPr>
          <w:rFonts w:hint="eastAsia" w:ascii="仿宋" w:hAnsi="仿宋" w:eastAsia="仿宋" w:cs="仿宋"/>
          <w:color w:val="auto"/>
          <w:w w:val="90"/>
          <w:kern w:val="2"/>
          <w:sz w:val="32"/>
          <w:szCs w:val="32"/>
          <w:lang w:val="en-US" w:eastAsia="zh-CN" w:bidi="ar-SA"/>
        </w:rPr>
        <w:t>项目</w:t>
      </w:r>
      <w:r>
        <w:rPr>
          <w:rFonts w:hint="eastAsia" w:ascii="仿宋" w:hAnsi="仿宋" w:eastAsia="仿宋" w:cs="仿宋"/>
          <w:w w:val="90"/>
          <w:sz w:val="32"/>
          <w:szCs w:val="32"/>
          <w:lang w:val="en-US" w:eastAsia="zh-CN"/>
        </w:rPr>
        <w:t>主要</w:t>
      </w:r>
      <w:r>
        <w:rPr>
          <w:rFonts w:hint="eastAsia" w:ascii="仿宋" w:hAnsi="仿宋" w:eastAsia="仿宋" w:cs="仿宋"/>
          <w:w w:val="90"/>
          <w:kern w:val="0"/>
          <w:sz w:val="32"/>
          <w:szCs w:val="32"/>
          <w:lang w:val="en-US" w:eastAsia="zh-CN" w:bidi="ar-SA"/>
        </w:rPr>
        <w:t>对集中办公区视频会议系统建设及安装LED显示屏，优质、便捷、高效提升会务服务水平。</w:t>
      </w:r>
      <w:r>
        <w:rPr>
          <w:rFonts w:hint="eastAsia" w:ascii="仿宋" w:hAnsi="仿宋" w:eastAsia="仿宋" w:cs="仿宋"/>
          <w:w w:val="90"/>
          <w:sz w:val="32"/>
          <w:szCs w:val="32"/>
          <w:lang w:val="en-US" w:eastAsia="zh-CN"/>
        </w:rPr>
        <w:t>美化办公环境，提升办公楼整体形象。资金使用规范合理，项目自评能达到优秀。</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w w:val="90"/>
          <w:sz w:val="32"/>
          <w:szCs w:val="32"/>
          <w:lang w:val="zh-CN"/>
        </w:rPr>
      </w:pPr>
      <w:r>
        <w:rPr>
          <w:rFonts w:hint="eastAsia" w:ascii="仿宋" w:hAnsi="仿宋" w:eastAsia="仿宋" w:cs="仿宋"/>
          <w:b/>
          <w:bCs/>
          <w:w w:val="90"/>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无</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w w:val="90"/>
          <w:sz w:val="32"/>
          <w:szCs w:val="32"/>
          <w:lang w:val="zh-CN"/>
        </w:rPr>
      </w:pPr>
      <w:r>
        <w:rPr>
          <w:rFonts w:hint="eastAsia" w:ascii="仿宋" w:hAnsi="仿宋" w:eastAsia="仿宋" w:cs="仿宋"/>
          <w:b/>
          <w:bCs/>
          <w:w w:val="90"/>
          <w:sz w:val="32"/>
          <w:szCs w:val="32"/>
          <w:lang w:val="zh-CN"/>
        </w:rPr>
        <w:t>（三）相关建议</w:t>
      </w:r>
    </w:p>
    <w:p>
      <w:pPr>
        <w:keepNext w:val="0"/>
        <w:keepLines w:val="0"/>
        <w:pageBreakBefore w:val="0"/>
        <w:widowControl w:val="0"/>
        <w:kinsoku/>
        <w:wordWrap/>
        <w:overflowPunct/>
        <w:topLinePunct w:val="0"/>
        <w:autoSpaceDE/>
        <w:autoSpaceDN/>
        <w:bidi w:val="0"/>
        <w:spacing w:line="576" w:lineRule="exact"/>
        <w:ind w:firstLine="576" w:firstLineChars="200"/>
        <w:jc w:val="both"/>
        <w:textAlignment w:val="auto"/>
        <w:rPr>
          <w:rFonts w:hint="eastAsia" w:ascii="方正小标宋简体" w:hAnsi="方正小标宋简体" w:eastAsia="方正小标宋简体" w:cs="方正小标宋简体"/>
          <w:bCs/>
          <w:sz w:val="44"/>
          <w:szCs w:val="44"/>
          <w:lang w:val="en-US" w:eastAsia="zh-CN"/>
        </w:rPr>
      </w:pPr>
      <w:r>
        <w:rPr>
          <w:rFonts w:hint="eastAsia" w:ascii="仿宋" w:hAnsi="仿宋" w:eastAsia="仿宋" w:cs="仿宋"/>
          <w:w w:val="90"/>
          <w:sz w:val="32"/>
          <w:szCs w:val="32"/>
          <w:lang w:val="en-US" w:eastAsia="zh-CN"/>
        </w:rPr>
        <w:t>无</w:t>
      </w: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val="0"/>
          <w:sz w:val="32"/>
          <w:szCs w:val="32"/>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万缘行政中心绿化</w:t>
      </w: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 w:hAnsi="仿宋" w:eastAsia="仿宋" w:cs="仿宋"/>
          <w:b/>
          <w:bCs w:val="0"/>
          <w:sz w:val="32"/>
          <w:szCs w:val="32"/>
          <w:lang w:val="en-US" w:eastAsia="zh-CN"/>
        </w:rPr>
        <w:t>专项</w:t>
      </w:r>
      <w:r>
        <w:rPr>
          <w:rFonts w:hint="eastAsia" w:ascii="仿宋" w:hAnsi="仿宋" w:eastAsia="仿宋" w:cs="仿宋"/>
          <w:b/>
          <w:bCs w:val="0"/>
          <w:sz w:val="32"/>
          <w:szCs w:val="32"/>
          <w:lang w:val="zh-CN" w:eastAsia="zh-CN"/>
        </w:rPr>
        <w:t>预算项目支出绩效自评报告</w:t>
      </w:r>
    </w:p>
    <w:p>
      <w:pPr>
        <w:keepNext w:val="0"/>
        <w:keepLines w:val="0"/>
        <w:pageBreakBefore w:val="0"/>
        <w:numPr>
          <w:ilvl w:val="0"/>
          <w:numId w:val="11"/>
        </w:numPr>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sz w:val="32"/>
          <w:szCs w:val="32"/>
          <w:lang w:val="zh-CN"/>
        </w:rPr>
      </w:pPr>
      <w:r>
        <w:rPr>
          <w:rFonts w:hint="eastAsia" w:ascii="仿宋" w:hAnsi="仿宋" w:eastAsia="仿宋" w:cs="仿宋"/>
          <w:b/>
          <w:bCs w:val="0"/>
          <w:sz w:val="32"/>
          <w:szCs w:val="32"/>
          <w:lang w:val="zh-CN"/>
        </w:rPr>
        <w:t>项目概况</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(一）项目基本情况</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1.万缘行政中心绿化项目</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此项目预算4万元。</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lang w:val="zh-CN"/>
        </w:rPr>
        <w:t>项目立项、资金申报的依据</w:t>
      </w:r>
      <w:r>
        <w:rPr>
          <w:rFonts w:hint="eastAsia" w:ascii="仿宋" w:hAnsi="仿宋" w:eastAsia="仿宋" w:cs="仿宋"/>
          <w:bCs/>
          <w:sz w:val="32"/>
          <w:szCs w:val="32"/>
          <w:lang w:val="zh-CN" w:eastAsia="zh-CN"/>
        </w:rPr>
        <w:t>。</w:t>
      </w:r>
      <w:r>
        <w:rPr>
          <w:rFonts w:hint="eastAsia" w:ascii="仿宋" w:hAnsi="仿宋" w:eastAsia="仿宋" w:cs="仿宋"/>
          <w:sz w:val="32"/>
          <w:szCs w:val="32"/>
          <w:lang w:val="en-US" w:eastAsia="zh-CN"/>
        </w:rPr>
        <w:t>该项目属常年性项目，通常在年初开展，按预算金额进行申报，使用过程符合资金管理办法相关规定，无违规现象。</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Cs/>
          <w:sz w:val="32"/>
          <w:szCs w:val="32"/>
          <w:lang w:val="zh-CN" w:eastAsia="zh-CN"/>
        </w:rPr>
        <w:t>（二）项目绩效目标。</w:t>
      </w:r>
      <w:r>
        <w:rPr>
          <w:rFonts w:hint="eastAsia" w:ascii="仿宋" w:hAnsi="仿宋" w:eastAsia="仿宋" w:cs="仿宋"/>
          <w:sz w:val="32"/>
          <w:szCs w:val="32"/>
          <w:lang w:val="en-US" w:eastAsia="zh-CN"/>
        </w:rPr>
        <w:t>主要用于万缘行政中心绿化建设，为干部职工打造一个良好的工作环境，全面完成国家园林城市示范点创建工作。</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Cs/>
          <w:sz w:val="32"/>
          <w:szCs w:val="32"/>
        </w:rPr>
      </w:pPr>
      <w:r>
        <w:rPr>
          <w:rFonts w:hint="eastAsia" w:ascii="仿宋" w:hAnsi="仿宋" w:eastAsia="仿宋" w:cs="仿宋"/>
          <w:bCs/>
          <w:sz w:val="32"/>
          <w:szCs w:val="32"/>
          <w:lang w:val="zh-CN" w:eastAsia="zh-CN"/>
        </w:rPr>
        <w:t>（三）项目自评步骤及方法。</w:t>
      </w:r>
      <w:r>
        <w:rPr>
          <w:rFonts w:hint="eastAsia" w:ascii="仿宋" w:hAnsi="仿宋" w:eastAsia="仿宋" w:cs="仿宋"/>
          <w:sz w:val="32"/>
          <w:szCs w:val="32"/>
          <w:lang w:val="en-US" w:eastAsia="zh-CN"/>
        </w:rPr>
        <w:t>项目资金从申报到使用符合相关规定，执行合理可行。</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二、项目实施及管理情况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sz w:val="32"/>
          <w:szCs w:val="32"/>
          <w:lang w:val="zh-CN"/>
        </w:rPr>
      </w:pPr>
      <w:r>
        <w:rPr>
          <w:rFonts w:hint="eastAsia" w:ascii="仿宋" w:hAnsi="仿宋" w:eastAsia="仿宋" w:cs="仿宋"/>
          <w:b/>
          <w:bCs/>
          <w:sz w:val="32"/>
          <w:szCs w:val="32"/>
          <w:lang w:val="zh-CN"/>
        </w:rPr>
        <w:t>（一）资金资金申报及批复情况。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资金计划及到位</w:t>
      </w:r>
      <w:r>
        <w:rPr>
          <w:rFonts w:hint="eastAsia" w:ascii="仿宋" w:hAnsi="仿宋" w:eastAsia="仿宋" w:cs="仿宋"/>
          <w:sz w:val="32"/>
          <w:szCs w:val="32"/>
          <w:lang w:val="en-US" w:eastAsia="zh-CN"/>
        </w:rPr>
        <w:t>情况。</w:t>
      </w:r>
      <w:r>
        <w:rPr>
          <w:rFonts w:hint="eastAsia" w:ascii="仿宋" w:hAnsi="仿宋" w:eastAsia="仿宋" w:cs="仿宋"/>
          <w:sz w:val="32"/>
          <w:szCs w:val="32"/>
          <w:lang w:val="zh-CN"/>
        </w:rPr>
        <w:t>工作</w:t>
      </w:r>
      <w:r>
        <w:rPr>
          <w:rFonts w:hint="eastAsia" w:ascii="仿宋" w:hAnsi="仿宋" w:eastAsia="仿宋" w:cs="仿宋"/>
          <w:sz w:val="32"/>
          <w:szCs w:val="32"/>
          <w:lang w:val="en-US" w:eastAsia="zh-CN"/>
        </w:rPr>
        <w:t>经费预算4万元，</w:t>
      </w:r>
      <w:r>
        <w:rPr>
          <w:rFonts w:hint="eastAsia" w:ascii="仿宋" w:hAnsi="仿宋" w:eastAsia="仿宋" w:cs="仿宋"/>
          <w:sz w:val="32"/>
          <w:szCs w:val="32"/>
          <w:lang w:val="zh-CN"/>
        </w:rPr>
        <w:t>截止评价时点</w:t>
      </w:r>
      <w:r>
        <w:rPr>
          <w:rFonts w:hint="eastAsia" w:ascii="仿宋" w:hAnsi="仿宋" w:eastAsia="仿宋" w:cs="仿宋"/>
          <w:sz w:val="32"/>
          <w:szCs w:val="32"/>
          <w:lang w:val="en-US" w:eastAsia="zh-CN"/>
        </w:rPr>
        <w:t>已全部执行。资金到位率100%。</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color w:val="333333"/>
          <w:sz w:val="32"/>
          <w:szCs w:val="32"/>
        </w:rPr>
      </w:pPr>
      <w:r>
        <w:rPr>
          <w:rFonts w:hint="eastAsia" w:ascii="仿宋" w:hAnsi="仿宋" w:eastAsia="仿宋" w:cs="仿宋"/>
          <w:b/>
          <w:bCs/>
          <w:sz w:val="32"/>
          <w:szCs w:val="32"/>
          <w:lang w:val="zh-CN"/>
        </w:rPr>
        <w:t>（二）资金计划、到位及使用情况</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该项目资金主要用于区委区政府办公区绿化美化工作提供人员支持。为提高绿化栽植苗木存活率，美化绿植环境提供必要的物质保障。均按相关规定执行，无超标现象。</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（三）项目财务管理情况。</w:t>
      </w:r>
      <w:r>
        <w:rPr>
          <w:rFonts w:hint="eastAsia" w:ascii="仿宋" w:hAnsi="仿宋" w:eastAsia="仿宋" w:cs="仿宋"/>
          <w:sz w:val="32"/>
          <w:szCs w:val="32"/>
          <w:lang w:val="en-US" w:eastAsia="zh-CN"/>
        </w:rPr>
        <w:t>区机关事务服务中心建立了相关财务制度，</w:t>
      </w:r>
      <w:r>
        <w:rPr>
          <w:rFonts w:hint="eastAsia" w:ascii="仿宋" w:hAnsi="仿宋" w:eastAsia="仿宋" w:cs="仿宋"/>
          <w:sz w:val="32"/>
          <w:szCs w:val="32"/>
          <w:lang w:val="zh-CN"/>
        </w:rPr>
        <w:t>会计核算及账务处理</w:t>
      </w:r>
      <w:r>
        <w:rPr>
          <w:rFonts w:hint="eastAsia" w:ascii="仿宋" w:hAnsi="仿宋" w:eastAsia="仿宋" w:cs="仿宋"/>
          <w:sz w:val="32"/>
          <w:szCs w:val="32"/>
          <w:lang w:val="en-US" w:eastAsia="zh-CN"/>
        </w:rPr>
        <w:t>境均按相关规定执行</w:t>
      </w:r>
      <w:r>
        <w:rPr>
          <w:rFonts w:hint="eastAsia" w:ascii="仿宋" w:hAnsi="仿宋" w:eastAsia="仿宋" w:cs="仿宋"/>
          <w:sz w:val="32"/>
          <w:szCs w:val="32"/>
          <w:lang w:val="zh-CN"/>
        </w:rPr>
        <w:t>。严格执行财务管理制度、财务处理及时、会计核算规范。</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三、项目组织实施及管理情况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Cs/>
          <w:w w:val="96"/>
          <w:sz w:val="32"/>
          <w:szCs w:val="32"/>
        </w:rPr>
      </w:pPr>
      <w:r>
        <w:rPr>
          <w:rFonts w:hint="eastAsia" w:ascii="仿宋" w:hAnsi="仿宋" w:eastAsia="仿宋" w:cs="仿宋"/>
          <w:w w:val="96"/>
          <w:sz w:val="32"/>
          <w:szCs w:val="32"/>
          <w:lang w:val="en-US" w:eastAsia="zh-CN"/>
        </w:rPr>
        <w:t>该项目主要由分管领导及相关股室负责实施，根据工作实际情况，提出申请，经主要领导或主任办公会同意后方可执行。</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sz w:val="32"/>
          <w:szCs w:val="32"/>
          <w:lang w:val="zh-CN"/>
        </w:rPr>
      </w:pPr>
      <w:r>
        <w:rPr>
          <w:rFonts w:hint="eastAsia" w:ascii="仿宋" w:hAnsi="仿宋" w:eastAsia="仿宋" w:cs="仿宋"/>
          <w:b/>
          <w:bCs w:val="0"/>
          <w:sz w:val="32"/>
          <w:szCs w:val="32"/>
          <w:lang w:eastAsia="zh-CN"/>
        </w:rPr>
        <w:t>四</w:t>
      </w:r>
      <w:r>
        <w:rPr>
          <w:rFonts w:hint="eastAsia" w:ascii="仿宋" w:hAnsi="仿宋" w:eastAsia="仿宋" w:cs="仿宋"/>
          <w:b/>
          <w:bCs w:val="0"/>
          <w:sz w:val="32"/>
          <w:szCs w:val="32"/>
        </w:rPr>
        <w:t>、项目绩效情况</w:t>
      </w:r>
      <w:r>
        <w:rPr>
          <w:rFonts w:hint="eastAsia" w:ascii="仿宋" w:hAnsi="仿宋" w:eastAsia="仿宋" w:cs="仿宋"/>
          <w:b/>
          <w:bCs w:val="0"/>
          <w:sz w:val="32"/>
          <w:szCs w:val="32"/>
        </w:rPr>
        <w:tab/>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（一）项目完成情况。</w:t>
      </w:r>
      <w:r>
        <w:rPr>
          <w:rFonts w:hint="eastAsia" w:ascii="仿宋" w:hAnsi="仿宋" w:eastAsia="仿宋" w:cs="仿宋"/>
          <w:sz w:val="32"/>
          <w:szCs w:val="32"/>
          <w:lang w:val="en-US" w:eastAsia="zh-CN"/>
        </w:rPr>
        <w:t>该项目搞好环境卫生，保证干部职工工作的良好环境，提升舒适度。通过提质扩绿、绿化亮绿、增彩添绿、节点用绿、爱绿护绿“五绿工程”，</w:t>
      </w:r>
      <w:r>
        <w:rPr>
          <w:rFonts w:hint="eastAsia" w:ascii="仿宋" w:hAnsi="仿宋" w:eastAsia="仿宋" w:cs="仿宋"/>
          <w:kern w:val="2"/>
          <w:sz w:val="32"/>
          <w:szCs w:val="32"/>
          <w:lang w:val="en-US" w:eastAsia="zh-CN" w:bidi="ar-SA"/>
        </w:rPr>
        <w:t>保护和改善自然环境，</w:t>
      </w:r>
      <w:r>
        <w:rPr>
          <w:rFonts w:hint="eastAsia" w:ascii="仿宋" w:hAnsi="仿宋" w:eastAsia="仿宋" w:cs="仿宋"/>
          <w:sz w:val="32"/>
          <w:szCs w:val="32"/>
          <w:lang w:val="en-US" w:eastAsia="zh-CN"/>
        </w:rPr>
        <w:t>建设园林办公区。</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zh-CN"/>
        </w:rPr>
        <w:t>（二）项目效益情况。</w:t>
      </w:r>
      <w:r>
        <w:rPr>
          <w:rFonts w:hint="eastAsia" w:ascii="仿宋" w:hAnsi="仿宋" w:eastAsia="仿宋" w:cs="仿宋"/>
          <w:sz w:val="32"/>
          <w:szCs w:val="32"/>
          <w:lang w:val="en-US" w:eastAsia="zh-CN"/>
        </w:rPr>
        <w:t>保障集中办公区整洁有序的工作环境，提升机关干部满意度、舒适度。</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五、评价结论及建议</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（一）评价结论</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Cs/>
          <w:sz w:val="32"/>
          <w:szCs w:val="32"/>
          <w:lang w:eastAsia="zh-CN"/>
        </w:rPr>
      </w:pPr>
      <w:r>
        <w:rPr>
          <w:rFonts w:hint="eastAsia" w:ascii="仿宋" w:hAnsi="仿宋" w:eastAsia="仿宋" w:cs="仿宋"/>
          <w:sz w:val="32"/>
          <w:szCs w:val="32"/>
          <w:lang w:val="en-US" w:eastAsia="zh-CN"/>
        </w:rPr>
        <w:t>该项目主要用于万缘行政中心绿化建设，为干部职工打造一个良好的工作环境，全面完成国家园林城市示范点创建工作。资金使用规范合理。项目自评能达到优秀。</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（二）存在的问题</w:t>
      </w:r>
    </w:p>
    <w:p>
      <w:pPr>
        <w:keepNext w:val="0"/>
        <w:keepLines w:val="0"/>
        <w:pageBreakBefore w:val="0"/>
        <w:kinsoku/>
        <w:wordWrap/>
        <w:overflowPunct/>
        <w:topLinePunct w:val="0"/>
        <w:autoSpaceDE/>
        <w:autoSpaceDN/>
        <w:bidi w:val="0"/>
        <w:adjustRightInd w:val="0"/>
        <w:snapToGrid w:val="0"/>
        <w:spacing w:line="576" w:lineRule="exact"/>
        <w:ind w:firstLine="72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kinsoku/>
        <w:wordWrap/>
        <w:overflowPunct/>
        <w:topLinePunct w:val="0"/>
        <w:autoSpaceDE/>
        <w:autoSpaceDN/>
        <w:bidi w:val="0"/>
        <w:adjustRightInd w:val="0"/>
        <w:snapToGrid w:val="0"/>
        <w:spacing w:line="576" w:lineRule="exact"/>
        <w:ind w:firstLine="720"/>
        <w:jc w:val="left"/>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（三）相关建议</w:t>
      </w:r>
    </w:p>
    <w:p>
      <w:pPr>
        <w:keepNext w:val="0"/>
        <w:keepLines w:val="0"/>
        <w:pageBreakBefore w:val="0"/>
        <w:kinsoku/>
        <w:wordWrap/>
        <w:overflowPunct/>
        <w:topLinePunct w:val="0"/>
        <w:autoSpaceDE/>
        <w:autoSpaceDN/>
        <w:bidi w:val="0"/>
        <w:spacing w:line="576"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31"/>
        <w:pageBreakBefore w:val="0"/>
        <w:kinsoku/>
        <w:wordWrap/>
        <w:overflowPunct/>
        <w:topLinePunct w:val="0"/>
        <w:bidi w:val="0"/>
        <w:spacing w:line="576" w:lineRule="exact"/>
        <w:jc w:val="center"/>
        <w:rPr>
          <w:rFonts w:hint="eastAsia" w:ascii="仿宋" w:hAnsi="仿宋" w:eastAsia="仿宋" w:cs="仿宋"/>
          <w:bCs/>
          <w:sz w:val="32"/>
          <w:szCs w:val="32"/>
          <w:lang w:val="en-US" w:eastAsia="zh-CN"/>
        </w:rPr>
      </w:pPr>
    </w:p>
    <w:p>
      <w:pPr>
        <w:pStyle w:val="31"/>
        <w:pageBreakBefore w:val="0"/>
        <w:kinsoku/>
        <w:wordWrap/>
        <w:overflowPunct/>
        <w:topLinePunct w:val="0"/>
        <w:bidi w:val="0"/>
        <w:spacing w:line="576" w:lineRule="exact"/>
        <w:jc w:val="center"/>
        <w:rPr>
          <w:rFonts w:hint="eastAsia" w:ascii="仿宋" w:hAnsi="仿宋" w:eastAsia="仿宋" w:cs="仿宋"/>
          <w:bCs/>
          <w:sz w:val="32"/>
          <w:szCs w:val="32"/>
          <w:lang w:val="en-US" w:eastAsia="zh-CN"/>
        </w:rPr>
      </w:pPr>
    </w:p>
    <w:p>
      <w:pPr>
        <w:pStyle w:val="31"/>
        <w:pageBreakBefore w:val="0"/>
        <w:kinsoku/>
        <w:wordWrap/>
        <w:overflowPunct/>
        <w:topLinePunct w:val="0"/>
        <w:bidi w:val="0"/>
        <w:spacing w:line="576" w:lineRule="exact"/>
        <w:jc w:val="both"/>
        <w:rPr>
          <w:rFonts w:hint="eastAsia" w:ascii="方正小标宋简体" w:hAnsi="方正小标宋简体" w:eastAsia="方正小标宋简体" w:cs="方正小标宋简体"/>
          <w:bCs/>
          <w:sz w:val="44"/>
          <w:szCs w:val="44"/>
          <w:lang w:val="en-US" w:eastAsia="zh-CN"/>
        </w:rPr>
      </w:pPr>
    </w:p>
    <w:p>
      <w:pPr>
        <w:pStyle w:val="31"/>
        <w:pageBreakBefore w:val="0"/>
        <w:kinsoku/>
        <w:wordWrap/>
        <w:overflowPunct/>
        <w:topLinePunct w:val="0"/>
        <w:bidi w:val="0"/>
        <w:spacing w:line="576" w:lineRule="exact"/>
        <w:jc w:val="center"/>
        <w:rPr>
          <w:rFonts w:hint="eastAsia" w:ascii="仿宋" w:hAnsi="仿宋" w:eastAsia="仿宋" w:cs="仿宋"/>
          <w:b/>
          <w:bCs w:val="0"/>
          <w:sz w:val="32"/>
          <w:szCs w:val="32"/>
          <w:lang w:val="en-US" w:eastAsia="zh-CN"/>
        </w:rPr>
      </w:pPr>
    </w:p>
    <w:p>
      <w:pPr>
        <w:pStyle w:val="31"/>
        <w:pageBreakBefore w:val="0"/>
        <w:kinsoku/>
        <w:wordWrap/>
        <w:overflowPunct/>
        <w:topLinePunct w:val="0"/>
        <w:bidi w:val="0"/>
        <w:spacing w:line="576" w:lineRule="exact"/>
        <w:jc w:val="center"/>
        <w:rPr>
          <w:rFonts w:hint="eastAsia" w:ascii="仿宋" w:hAnsi="仿宋" w:eastAsia="仿宋" w:cs="仿宋"/>
          <w:b/>
          <w:bCs w:val="0"/>
          <w:sz w:val="32"/>
          <w:szCs w:val="32"/>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万源行政中心W.F全覆盖和车改平台专用光纤</w:t>
      </w: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 w:hAnsi="仿宋" w:eastAsia="仿宋" w:cs="仿宋"/>
          <w:b/>
          <w:bCs w:val="0"/>
          <w:sz w:val="32"/>
          <w:szCs w:val="32"/>
          <w:lang w:val="en-US" w:eastAsia="zh-CN"/>
        </w:rPr>
        <w:t>专项</w:t>
      </w:r>
      <w:r>
        <w:rPr>
          <w:rFonts w:hint="eastAsia" w:ascii="仿宋" w:hAnsi="仿宋" w:eastAsia="仿宋" w:cs="仿宋"/>
          <w:b/>
          <w:bCs w:val="0"/>
          <w:sz w:val="32"/>
          <w:szCs w:val="32"/>
          <w:lang w:val="zh-CN" w:eastAsia="zh-CN"/>
        </w:rPr>
        <w:t>预算项目支出绩效自评报告</w:t>
      </w:r>
    </w:p>
    <w:p>
      <w:pPr>
        <w:keepNext w:val="0"/>
        <w:keepLines w:val="0"/>
        <w:pageBreakBefore w:val="0"/>
        <w:widowControl w:val="0"/>
        <w:kinsoku/>
        <w:wordWrap/>
        <w:overflowPunct/>
        <w:topLinePunct w:val="0"/>
        <w:autoSpaceDE/>
        <w:autoSpaceDN/>
        <w:bidi w:val="0"/>
        <w:adjustRightInd w:val="0"/>
        <w:snapToGrid w:val="0"/>
        <w:spacing w:line="576" w:lineRule="exact"/>
        <w:ind w:firstLine="596" w:firstLineChars="200"/>
        <w:textAlignment w:val="auto"/>
        <w:rPr>
          <w:rFonts w:hint="eastAsia" w:ascii="仿宋" w:hAnsi="仿宋" w:eastAsia="仿宋" w:cs="仿宋"/>
          <w:b/>
          <w:bCs w:val="0"/>
          <w:w w:val="93"/>
          <w:sz w:val="32"/>
          <w:szCs w:val="32"/>
          <w:lang w:val="zh-CN"/>
        </w:rPr>
      </w:pPr>
      <w:r>
        <w:rPr>
          <w:rFonts w:hint="eastAsia" w:ascii="仿宋" w:hAnsi="仿宋" w:eastAsia="仿宋" w:cs="仿宋"/>
          <w:b/>
          <w:bCs w:val="0"/>
          <w:w w:val="93"/>
          <w:sz w:val="32"/>
          <w:szCs w:val="32"/>
        </w:rPr>
        <w:t>一、</w:t>
      </w:r>
      <w:r>
        <w:rPr>
          <w:rFonts w:hint="eastAsia" w:ascii="仿宋" w:hAnsi="仿宋" w:eastAsia="仿宋" w:cs="仿宋"/>
          <w:b/>
          <w:bCs w:val="0"/>
          <w:w w:val="93"/>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3"/>
          <w:sz w:val="32"/>
          <w:szCs w:val="32"/>
          <w:lang w:val="en-US" w:eastAsia="zh-CN"/>
        </w:rPr>
      </w:pPr>
      <w:r>
        <w:rPr>
          <w:rFonts w:hint="eastAsia" w:ascii="仿宋" w:hAnsi="仿宋" w:eastAsia="仿宋" w:cs="仿宋"/>
          <w:w w:val="93"/>
          <w:sz w:val="32"/>
          <w:szCs w:val="32"/>
          <w:lang w:val="en-US" w:eastAsia="zh-CN"/>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594" w:firstLineChars="200"/>
        <w:textAlignment w:val="auto"/>
        <w:rPr>
          <w:rFonts w:hint="eastAsia" w:ascii="仿宋" w:hAnsi="仿宋" w:eastAsia="仿宋" w:cs="仿宋"/>
          <w:w w:val="93"/>
          <w:sz w:val="32"/>
          <w:szCs w:val="32"/>
          <w:lang w:val="en-US" w:eastAsia="zh-CN"/>
        </w:rPr>
      </w:pPr>
      <w:r>
        <w:rPr>
          <w:rFonts w:hint="eastAsia" w:ascii="仿宋" w:hAnsi="仿宋" w:eastAsia="仿宋" w:cs="仿宋"/>
          <w:w w:val="93"/>
          <w:sz w:val="32"/>
          <w:szCs w:val="32"/>
          <w:lang w:val="en-US" w:eastAsia="zh-CN"/>
        </w:rPr>
        <w:t>万源行政中心W.F全覆盖和车改平台专用光纤</w:t>
      </w:r>
      <w:r>
        <w:rPr>
          <w:rFonts w:hint="eastAsia" w:ascii="仿宋" w:hAnsi="仿宋" w:eastAsia="仿宋" w:cs="仿宋"/>
          <w:w w:val="93"/>
          <w:sz w:val="32"/>
          <w:szCs w:val="32"/>
          <w:lang w:val="zh-CN"/>
        </w:rPr>
        <w:t>，主要保证万缘办公区W.F区社情民意短信平台正常使用维护,及时发送政策、法律、法规宣传及信访事项办理流程，重大突发及群体性事件宣传等。</w:t>
      </w:r>
      <w:r>
        <w:rPr>
          <w:rFonts w:hint="eastAsia" w:ascii="仿宋" w:hAnsi="仿宋" w:eastAsia="仿宋" w:cs="仿宋"/>
          <w:w w:val="93"/>
          <w:sz w:val="32"/>
          <w:szCs w:val="32"/>
          <w:lang w:val="en-US" w:eastAsia="zh-CN"/>
        </w:rPr>
        <w:t>此项目预算19.40万元。</w:t>
      </w:r>
    </w:p>
    <w:p>
      <w:pPr>
        <w:keepNext w:val="0"/>
        <w:keepLines w:val="0"/>
        <w:pageBreakBefore w:val="0"/>
        <w:widowControl w:val="0"/>
        <w:kinsoku/>
        <w:wordWrap/>
        <w:overflowPunct/>
        <w:topLinePunct w:val="0"/>
        <w:autoSpaceDE/>
        <w:autoSpaceDN/>
        <w:bidi w:val="0"/>
        <w:adjustRightInd w:val="0"/>
        <w:snapToGrid w:val="0"/>
        <w:spacing w:line="576" w:lineRule="exact"/>
        <w:ind w:firstLine="594" w:firstLineChars="200"/>
        <w:textAlignment w:val="auto"/>
        <w:rPr>
          <w:rFonts w:hint="eastAsia" w:ascii="仿宋" w:hAnsi="仿宋" w:eastAsia="仿宋" w:cs="仿宋"/>
          <w:w w:val="93"/>
          <w:sz w:val="32"/>
          <w:szCs w:val="32"/>
          <w:lang w:val="en-US" w:eastAsia="zh-CN"/>
        </w:rPr>
      </w:pPr>
      <w:r>
        <w:rPr>
          <w:rFonts w:hint="eastAsia" w:ascii="仿宋" w:hAnsi="仿宋" w:eastAsia="仿宋" w:cs="仿宋"/>
          <w:w w:val="93"/>
          <w:sz w:val="32"/>
          <w:szCs w:val="32"/>
          <w:lang w:val="en-US" w:eastAsia="zh-CN"/>
        </w:rPr>
        <w:t>该项目属常年性项目，通常在工作需要开展前，根据需要开支金额进行申报，能保证工作的正常开展，使用过程符合资金管理办法相关规定，无违规现象。</w:t>
      </w:r>
    </w:p>
    <w:p>
      <w:pPr>
        <w:keepNext w:val="0"/>
        <w:keepLines w:val="0"/>
        <w:pageBreakBefore w:val="0"/>
        <w:widowControl w:val="0"/>
        <w:kinsoku/>
        <w:wordWrap/>
        <w:overflowPunct/>
        <w:topLinePunct w:val="0"/>
        <w:autoSpaceDE/>
        <w:autoSpaceDN/>
        <w:bidi w:val="0"/>
        <w:adjustRightInd w:val="0"/>
        <w:snapToGrid w:val="0"/>
        <w:spacing w:line="576" w:lineRule="exact"/>
        <w:ind w:firstLine="594" w:firstLineChars="200"/>
        <w:textAlignment w:val="auto"/>
        <w:rPr>
          <w:rFonts w:hint="eastAsia" w:ascii="仿宋" w:hAnsi="仿宋" w:eastAsia="仿宋" w:cs="仿宋"/>
          <w:w w:val="93"/>
          <w:sz w:val="32"/>
          <w:szCs w:val="32"/>
          <w:lang w:val="en-US" w:eastAsia="zh-CN"/>
        </w:rPr>
      </w:pPr>
      <w:r>
        <w:rPr>
          <w:rFonts w:hint="eastAsia" w:ascii="仿宋" w:hAnsi="仿宋" w:eastAsia="仿宋" w:cs="仿宋"/>
          <w:w w:val="93"/>
          <w:sz w:val="32"/>
          <w:szCs w:val="32"/>
          <w:lang w:val="zh-CN" w:eastAsia="zh-CN"/>
        </w:rPr>
        <w:t>（二）项目绩效目标。</w:t>
      </w:r>
      <w:r>
        <w:rPr>
          <w:rFonts w:hint="eastAsia" w:ascii="仿宋" w:hAnsi="仿宋" w:eastAsia="仿宋" w:cs="仿宋"/>
          <w:w w:val="93"/>
          <w:sz w:val="32"/>
          <w:szCs w:val="32"/>
          <w:lang w:val="en-US" w:eastAsia="zh-CN"/>
        </w:rPr>
        <w:t>万源行政中心W.F全覆盖和车改平台专用光纤主要</w:t>
      </w:r>
      <w:r>
        <w:rPr>
          <w:rFonts w:hint="eastAsia" w:ascii="仿宋" w:hAnsi="仿宋" w:eastAsia="仿宋" w:cs="仿宋"/>
          <w:w w:val="93"/>
          <w:kern w:val="0"/>
          <w:sz w:val="32"/>
          <w:szCs w:val="32"/>
          <w:lang w:val="en-US" w:eastAsia="zh-CN" w:bidi="ar-SA"/>
        </w:rPr>
        <w:t>本级81辆应急保障用车和44辆执法执勤车接入全省一张网，</w:t>
      </w:r>
      <w:r>
        <w:rPr>
          <w:rFonts w:hint="eastAsia" w:ascii="仿宋" w:hAnsi="仿宋" w:eastAsia="仿宋" w:cs="仿宋"/>
          <w:w w:val="93"/>
          <w:sz w:val="32"/>
          <w:szCs w:val="32"/>
          <w:lang w:val="zh-CN"/>
        </w:rPr>
        <w:t>万缘办公区W.F区社情民意短信平台正常使用维护</w:t>
      </w:r>
      <w:r>
        <w:rPr>
          <w:rFonts w:hint="eastAsia" w:ascii="仿宋" w:hAnsi="仿宋" w:eastAsia="仿宋" w:cs="仿宋"/>
          <w:w w:val="93"/>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594" w:firstLineChars="200"/>
        <w:textAlignment w:val="auto"/>
        <w:rPr>
          <w:rFonts w:hint="eastAsia" w:ascii="仿宋" w:hAnsi="仿宋" w:eastAsia="仿宋" w:cs="仿宋"/>
          <w:w w:val="93"/>
          <w:sz w:val="32"/>
          <w:szCs w:val="32"/>
          <w:lang w:val="zh-CN" w:eastAsia="zh-CN"/>
        </w:rPr>
      </w:pPr>
      <w:r>
        <w:rPr>
          <w:rFonts w:hint="eastAsia" w:ascii="仿宋" w:hAnsi="仿宋" w:eastAsia="仿宋" w:cs="仿宋"/>
          <w:w w:val="93"/>
          <w:sz w:val="32"/>
          <w:szCs w:val="32"/>
          <w:lang w:val="zh-CN" w:eastAsia="zh-CN"/>
        </w:rPr>
        <w:t>（三）项目资金自评步骤及方法。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Cs/>
          <w:w w:val="93"/>
          <w:sz w:val="32"/>
          <w:szCs w:val="32"/>
        </w:rPr>
      </w:pPr>
      <w:r>
        <w:rPr>
          <w:rFonts w:hint="eastAsia" w:ascii="仿宋" w:hAnsi="仿宋" w:eastAsia="仿宋" w:cs="仿宋"/>
          <w:w w:val="93"/>
          <w:sz w:val="32"/>
          <w:szCs w:val="32"/>
          <w:lang w:val="en-US" w:eastAsia="zh-CN"/>
        </w:rPr>
        <w:t>项目资金从申报到使用符合相关规定，执行合理可行。</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w w:val="93"/>
          <w:sz w:val="32"/>
          <w:szCs w:val="32"/>
          <w:lang w:eastAsia="zh-CN"/>
        </w:rPr>
      </w:pPr>
      <w:r>
        <w:rPr>
          <w:rFonts w:hint="eastAsia" w:ascii="仿宋" w:hAnsi="仿宋" w:eastAsia="仿宋" w:cs="仿宋"/>
          <w:b/>
          <w:bCs w:val="0"/>
          <w:w w:val="93"/>
          <w:sz w:val="32"/>
          <w:szCs w:val="32"/>
        </w:rPr>
        <w:t>项目实</w:t>
      </w:r>
      <w:r>
        <w:rPr>
          <w:rFonts w:hint="eastAsia" w:ascii="仿宋" w:hAnsi="仿宋" w:eastAsia="仿宋" w:cs="仿宋"/>
          <w:b/>
          <w:bCs w:val="0"/>
          <w:w w:val="93"/>
          <w:sz w:val="32"/>
          <w:szCs w:val="32"/>
          <w:lang w:eastAsia="zh-CN"/>
        </w:rPr>
        <w:t>资金申报及使用情况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596" w:firstLineChars="200"/>
        <w:textAlignment w:val="auto"/>
        <w:rPr>
          <w:rFonts w:hint="eastAsia" w:ascii="仿宋" w:hAnsi="仿宋" w:eastAsia="仿宋" w:cs="仿宋"/>
          <w:b/>
          <w:w w:val="93"/>
          <w:sz w:val="32"/>
          <w:szCs w:val="32"/>
          <w:lang w:val="zh-CN"/>
        </w:rPr>
      </w:pPr>
      <w:r>
        <w:rPr>
          <w:rFonts w:hint="eastAsia" w:ascii="仿宋" w:hAnsi="仿宋" w:eastAsia="仿宋" w:cs="仿宋"/>
          <w:b/>
          <w:bCs/>
          <w:w w:val="93"/>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3"/>
          <w:sz w:val="32"/>
          <w:szCs w:val="32"/>
          <w:lang w:val="en-US" w:eastAsia="zh-CN"/>
        </w:rPr>
      </w:pPr>
      <w:r>
        <w:rPr>
          <w:rFonts w:hint="eastAsia" w:ascii="仿宋" w:hAnsi="仿宋" w:eastAsia="仿宋" w:cs="仿宋"/>
          <w:w w:val="93"/>
          <w:sz w:val="32"/>
          <w:szCs w:val="32"/>
          <w:lang w:val="zh-CN"/>
        </w:rPr>
        <w:t>资金计划及到位</w:t>
      </w:r>
      <w:r>
        <w:rPr>
          <w:rFonts w:hint="eastAsia" w:ascii="仿宋" w:hAnsi="仿宋" w:eastAsia="仿宋" w:cs="仿宋"/>
          <w:w w:val="93"/>
          <w:sz w:val="32"/>
          <w:szCs w:val="32"/>
          <w:lang w:val="en-US" w:eastAsia="zh-CN"/>
        </w:rPr>
        <w:t>情况。万源行政中心W.F全覆盖和车改平台专用光纤</w:t>
      </w:r>
      <w:r>
        <w:rPr>
          <w:rFonts w:hint="eastAsia" w:ascii="仿宋" w:hAnsi="仿宋" w:eastAsia="仿宋" w:cs="仿宋"/>
          <w:color w:val="auto"/>
          <w:w w:val="93"/>
          <w:kern w:val="2"/>
          <w:sz w:val="32"/>
          <w:szCs w:val="32"/>
          <w:lang w:val="en-US" w:eastAsia="zh-CN" w:bidi="ar-SA"/>
        </w:rPr>
        <w:t>项目</w:t>
      </w:r>
      <w:r>
        <w:rPr>
          <w:rFonts w:hint="eastAsia" w:ascii="仿宋" w:hAnsi="仿宋" w:eastAsia="仿宋" w:cs="仿宋"/>
          <w:w w:val="93"/>
          <w:sz w:val="32"/>
          <w:szCs w:val="32"/>
          <w:lang w:val="en-US" w:eastAsia="zh-CN"/>
        </w:rPr>
        <w:t>预算19.40万元，</w:t>
      </w:r>
      <w:r>
        <w:rPr>
          <w:rFonts w:hint="eastAsia" w:ascii="仿宋" w:hAnsi="仿宋" w:eastAsia="仿宋" w:cs="仿宋"/>
          <w:w w:val="93"/>
          <w:sz w:val="32"/>
          <w:szCs w:val="32"/>
          <w:lang w:val="zh-CN"/>
        </w:rPr>
        <w:t>截止评价时点</w:t>
      </w:r>
      <w:r>
        <w:rPr>
          <w:rFonts w:hint="eastAsia" w:ascii="仿宋" w:hAnsi="仿宋" w:eastAsia="仿宋" w:cs="仿宋"/>
          <w:w w:val="93"/>
          <w:sz w:val="32"/>
          <w:szCs w:val="32"/>
          <w:lang w:val="en-US" w:eastAsia="zh-CN"/>
        </w:rPr>
        <w:t>已全部执行。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596" w:firstLineChars="200"/>
        <w:textAlignment w:val="auto"/>
        <w:rPr>
          <w:rFonts w:hint="eastAsia" w:ascii="仿宋" w:hAnsi="仿宋" w:eastAsia="仿宋" w:cs="仿宋"/>
          <w:b/>
          <w:bCs/>
          <w:w w:val="93"/>
          <w:sz w:val="32"/>
          <w:szCs w:val="32"/>
          <w:lang w:val="en-US" w:eastAsia="zh-CN"/>
        </w:rPr>
      </w:pPr>
      <w:r>
        <w:rPr>
          <w:rFonts w:hint="eastAsia" w:ascii="仿宋" w:hAnsi="仿宋" w:eastAsia="仿宋" w:cs="仿宋"/>
          <w:b/>
          <w:bCs/>
          <w:w w:val="93"/>
          <w:sz w:val="32"/>
          <w:szCs w:val="32"/>
          <w:lang w:val="zh-CN"/>
        </w:rPr>
        <w:t>（二）资金计划、到位及使用</w:t>
      </w:r>
      <w:r>
        <w:rPr>
          <w:rFonts w:hint="eastAsia" w:ascii="仿宋" w:hAnsi="仿宋" w:eastAsia="仿宋" w:cs="仿宋"/>
          <w:b/>
          <w:bCs/>
          <w:w w:val="93"/>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594" w:firstLineChars="200"/>
        <w:textAlignment w:val="auto"/>
        <w:rPr>
          <w:rFonts w:hint="eastAsia" w:ascii="仿宋" w:hAnsi="仿宋" w:eastAsia="仿宋" w:cs="仿宋"/>
          <w:w w:val="93"/>
          <w:sz w:val="32"/>
          <w:szCs w:val="32"/>
          <w:lang w:val="en-US" w:eastAsia="zh-CN"/>
        </w:rPr>
      </w:pPr>
      <w:r>
        <w:rPr>
          <w:rFonts w:hint="eastAsia" w:ascii="仿宋" w:hAnsi="仿宋" w:eastAsia="仿宋" w:cs="仿宋"/>
          <w:w w:val="93"/>
          <w:sz w:val="32"/>
          <w:szCs w:val="32"/>
          <w:lang w:val="en-US" w:eastAsia="zh-CN"/>
        </w:rPr>
        <w:t>该项目资金主要用于</w:t>
      </w:r>
      <w:r>
        <w:rPr>
          <w:rFonts w:hint="eastAsia" w:ascii="仿宋" w:hAnsi="仿宋" w:eastAsia="仿宋" w:cs="仿宋"/>
          <w:w w:val="93"/>
          <w:kern w:val="0"/>
          <w:sz w:val="32"/>
          <w:szCs w:val="32"/>
          <w:lang w:val="en-US" w:eastAsia="zh-CN" w:bidi="ar-SA"/>
        </w:rPr>
        <w:t>81辆应急保障用车和44辆执法执勤车接入全省一张网，</w:t>
      </w:r>
      <w:r>
        <w:rPr>
          <w:rFonts w:hint="eastAsia" w:ascii="仿宋" w:hAnsi="仿宋" w:eastAsia="仿宋" w:cs="仿宋"/>
          <w:w w:val="93"/>
          <w:sz w:val="32"/>
          <w:szCs w:val="32"/>
          <w:lang w:val="zh-CN"/>
        </w:rPr>
        <w:t>万缘办公区W.F区社情民意短信平台正常使用维护，</w:t>
      </w:r>
      <w:r>
        <w:rPr>
          <w:rFonts w:hint="eastAsia" w:ascii="仿宋" w:hAnsi="仿宋" w:eastAsia="仿宋" w:cs="仿宋"/>
          <w:w w:val="93"/>
          <w:sz w:val="32"/>
          <w:szCs w:val="32"/>
          <w:lang w:val="en-US" w:eastAsia="zh-CN"/>
        </w:rPr>
        <w:t>该项目根据合同约定转账支付方式进行结算。</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3"/>
          <w:sz w:val="32"/>
          <w:szCs w:val="32"/>
          <w:lang w:val="zh-CN"/>
        </w:rPr>
      </w:pPr>
      <w:r>
        <w:rPr>
          <w:rFonts w:hint="eastAsia" w:ascii="仿宋" w:hAnsi="仿宋" w:eastAsia="仿宋" w:cs="仿宋"/>
          <w:b/>
          <w:bCs/>
          <w:w w:val="93"/>
          <w:sz w:val="32"/>
          <w:szCs w:val="32"/>
          <w:lang w:val="zh-CN"/>
        </w:rPr>
        <w:t>（三）项目财务管理情况。</w:t>
      </w:r>
      <w:r>
        <w:rPr>
          <w:rFonts w:hint="eastAsia" w:ascii="仿宋" w:hAnsi="仿宋" w:eastAsia="仿宋" w:cs="仿宋"/>
          <w:w w:val="93"/>
          <w:sz w:val="32"/>
          <w:szCs w:val="32"/>
          <w:lang w:val="en-US" w:eastAsia="zh-CN"/>
        </w:rPr>
        <w:t>区机关事务服务中心建立了相关财务制度，</w:t>
      </w:r>
      <w:r>
        <w:rPr>
          <w:rFonts w:hint="eastAsia" w:ascii="仿宋" w:hAnsi="仿宋" w:eastAsia="仿宋" w:cs="仿宋"/>
          <w:w w:val="93"/>
          <w:sz w:val="32"/>
          <w:szCs w:val="32"/>
          <w:lang w:val="zh-CN"/>
        </w:rPr>
        <w:t>会计核算及账务处理</w:t>
      </w:r>
      <w:r>
        <w:rPr>
          <w:rFonts w:hint="eastAsia" w:ascii="仿宋" w:hAnsi="仿宋" w:eastAsia="仿宋" w:cs="仿宋"/>
          <w:w w:val="93"/>
          <w:sz w:val="32"/>
          <w:szCs w:val="32"/>
          <w:lang w:val="en-US" w:eastAsia="zh-CN"/>
        </w:rPr>
        <w:t>境均按相关规定执行</w:t>
      </w:r>
      <w:r>
        <w:rPr>
          <w:rFonts w:hint="eastAsia" w:ascii="仿宋" w:hAnsi="仿宋" w:eastAsia="仿宋" w:cs="仿宋"/>
          <w:w w:val="93"/>
          <w:sz w:val="32"/>
          <w:szCs w:val="32"/>
          <w:lang w:val="zh-CN"/>
        </w:rPr>
        <w:t>。严格执行财务管理制度、财务处理及时、会计核算规范。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w w:val="93"/>
          <w:sz w:val="32"/>
          <w:szCs w:val="32"/>
          <w:lang w:val="zh-CN"/>
        </w:rPr>
      </w:pPr>
      <w:r>
        <w:rPr>
          <w:rFonts w:hint="eastAsia" w:ascii="仿宋" w:hAnsi="仿宋" w:eastAsia="仿宋" w:cs="仿宋"/>
          <w:b/>
          <w:bCs/>
          <w:w w:val="93"/>
          <w:sz w:val="32"/>
          <w:szCs w:val="32"/>
          <w:lang w:val="zh-CN"/>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3"/>
          <w:sz w:val="32"/>
          <w:szCs w:val="32"/>
          <w:lang w:val="en-US" w:eastAsia="zh-CN"/>
        </w:rPr>
      </w:pPr>
      <w:r>
        <w:rPr>
          <w:rFonts w:hint="eastAsia" w:ascii="仿宋" w:hAnsi="仿宋" w:eastAsia="仿宋" w:cs="仿宋"/>
          <w:w w:val="93"/>
          <w:sz w:val="32"/>
          <w:szCs w:val="32"/>
          <w:lang w:val="en-US" w:eastAsia="zh-CN"/>
        </w:rPr>
        <w:t>该项目主要由分管领导及相关股室负责实施，根据工作实际情况，提出申请，经主要领导或主任办公会同意后方可执行。</w:t>
      </w:r>
    </w:p>
    <w:p>
      <w:pPr>
        <w:keepNext w:val="0"/>
        <w:keepLines w:val="0"/>
        <w:pageBreakBefore w:val="0"/>
        <w:widowControl w:val="0"/>
        <w:kinsoku/>
        <w:wordWrap/>
        <w:overflowPunct/>
        <w:topLinePunct w:val="0"/>
        <w:autoSpaceDE/>
        <w:autoSpaceDN/>
        <w:bidi w:val="0"/>
        <w:adjustRightInd w:val="0"/>
        <w:snapToGrid w:val="0"/>
        <w:spacing w:line="576" w:lineRule="exact"/>
        <w:ind w:firstLine="596" w:firstLineChars="200"/>
        <w:textAlignment w:val="auto"/>
        <w:rPr>
          <w:rFonts w:hint="eastAsia" w:ascii="仿宋" w:hAnsi="仿宋" w:eastAsia="仿宋" w:cs="仿宋"/>
          <w:bCs/>
          <w:w w:val="93"/>
          <w:sz w:val="32"/>
          <w:szCs w:val="32"/>
        </w:rPr>
      </w:pPr>
      <w:r>
        <w:rPr>
          <w:rFonts w:hint="eastAsia" w:ascii="仿宋" w:hAnsi="仿宋" w:eastAsia="仿宋" w:cs="仿宋"/>
          <w:b/>
          <w:bCs w:val="0"/>
          <w:w w:val="93"/>
          <w:sz w:val="32"/>
          <w:szCs w:val="32"/>
          <w:lang w:eastAsia="zh-CN"/>
        </w:rPr>
        <w:t>四</w:t>
      </w:r>
      <w:r>
        <w:rPr>
          <w:rFonts w:hint="eastAsia" w:ascii="仿宋" w:hAnsi="仿宋" w:eastAsia="仿宋" w:cs="仿宋"/>
          <w:b/>
          <w:bCs w:val="0"/>
          <w:w w:val="93"/>
          <w:sz w:val="32"/>
          <w:szCs w:val="32"/>
        </w:rPr>
        <w:t>、项目绩效情况</w:t>
      </w:r>
      <w:r>
        <w:rPr>
          <w:rFonts w:hint="eastAsia" w:ascii="仿宋" w:hAnsi="仿宋" w:eastAsia="仿宋" w:cs="仿宋"/>
          <w:bCs/>
          <w:w w:val="93"/>
          <w:sz w:val="32"/>
          <w:szCs w:val="32"/>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596" w:firstLineChars="200"/>
        <w:textAlignment w:val="auto"/>
        <w:rPr>
          <w:rFonts w:hint="eastAsia" w:ascii="仿宋" w:hAnsi="仿宋" w:eastAsia="仿宋" w:cs="仿宋"/>
          <w:w w:val="93"/>
          <w:sz w:val="32"/>
          <w:szCs w:val="32"/>
          <w:lang w:val="en-US" w:eastAsia="zh-CN"/>
        </w:rPr>
      </w:pPr>
      <w:r>
        <w:rPr>
          <w:rFonts w:hint="eastAsia" w:ascii="仿宋" w:hAnsi="仿宋" w:eastAsia="仿宋" w:cs="仿宋"/>
          <w:b/>
          <w:bCs/>
          <w:w w:val="93"/>
          <w:sz w:val="32"/>
          <w:szCs w:val="32"/>
          <w:lang w:val="zh-CN"/>
        </w:rPr>
        <w:t>（一）项目完成情况。</w:t>
      </w:r>
      <w:r>
        <w:rPr>
          <w:rFonts w:hint="eastAsia" w:ascii="仿宋" w:hAnsi="仿宋" w:eastAsia="仿宋" w:cs="仿宋"/>
          <w:w w:val="93"/>
          <w:sz w:val="32"/>
          <w:szCs w:val="32"/>
          <w:lang w:val="en-US" w:eastAsia="zh-CN"/>
        </w:rPr>
        <w:t>该项目能按时、按质、按量完成，本着厉行节约的思想，具体经办人根据采取比价等方式控制成本。项目自评能达到优秀。</w:t>
      </w:r>
    </w:p>
    <w:p>
      <w:pPr>
        <w:keepNext w:val="0"/>
        <w:keepLines w:val="0"/>
        <w:pageBreakBefore w:val="0"/>
        <w:widowControl w:val="0"/>
        <w:kinsoku/>
        <w:wordWrap/>
        <w:overflowPunct/>
        <w:topLinePunct w:val="0"/>
        <w:autoSpaceDE/>
        <w:autoSpaceDN/>
        <w:bidi w:val="0"/>
        <w:adjustRightInd w:val="0"/>
        <w:snapToGrid w:val="0"/>
        <w:spacing w:line="576" w:lineRule="exact"/>
        <w:ind w:firstLine="596" w:firstLineChars="200"/>
        <w:textAlignment w:val="auto"/>
        <w:rPr>
          <w:rFonts w:hint="eastAsia" w:ascii="仿宋" w:hAnsi="仿宋" w:eastAsia="仿宋" w:cs="仿宋"/>
          <w:w w:val="93"/>
          <w:sz w:val="32"/>
          <w:szCs w:val="32"/>
          <w:lang w:val="en-US" w:eastAsia="zh-CN"/>
        </w:rPr>
      </w:pPr>
      <w:r>
        <w:rPr>
          <w:rFonts w:hint="eastAsia" w:ascii="仿宋" w:hAnsi="仿宋" w:eastAsia="仿宋" w:cs="仿宋"/>
          <w:b/>
          <w:bCs/>
          <w:w w:val="93"/>
          <w:sz w:val="32"/>
          <w:szCs w:val="32"/>
          <w:lang w:val="zh-CN"/>
        </w:rPr>
        <w:t>（二）项目效益情况。</w:t>
      </w:r>
      <w:r>
        <w:rPr>
          <w:rFonts w:hint="eastAsia" w:ascii="仿宋" w:hAnsi="仿宋" w:eastAsia="仿宋" w:cs="仿宋"/>
          <w:w w:val="93"/>
          <w:sz w:val="32"/>
          <w:szCs w:val="32"/>
          <w:lang w:val="en-US" w:eastAsia="zh-CN"/>
        </w:rPr>
        <w:t>该项目能得到服务对象对机关事务工作的认可，使他们更好地为经济社会发展服务。</w:t>
      </w:r>
    </w:p>
    <w:p>
      <w:pPr>
        <w:keepNext w:val="0"/>
        <w:keepLines w:val="0"/>
        <w:pageBreakBefore w:val="0"/>
        <w:widowControl w:val="0"/>
        <w:kinsoku/>
        <w:wordWrap/>
        <w:overflowPunct/>
        <w:topLinePunct w:val="0"/>
        <w:autoSpaceDE/>
        <w:autoSpaceDN/>
        <w:bidi w:val="0"/>
        <w:adjustRightInd w:val="0"/>
        <w:snapToGrid w:val="0"/>
        <w:spacing w:line="576" w:lineRule="exact"/>
        <w:ind w:firstLine="596" w:firstLineChars="200"/>
        <w:textAlignment w:val="auto"/>
        <w:rPr>
          <w:rFonts w:hint="eastAsia" w:ascii="仿宋" w:hAnsi="仿宋" w:eastAsia="仿宋" w:cs="仿宋"/>
          <w:b/>
          <w:bCs w:val="0"/>
          <w:w w:val="93"/>
          <w:sz w:val="32"/>
          <w:szCs w:val="32"/>
          <w:lang w:eastAsia="zh-CN"/>
        </w:rPr>
      </w:pPr>
      <w:r>
        <w:rPr>
          <w:rFonts w:hint="eastAsia" w:ascii="仿宋" w:hAnsi="仿宋" w:eastAsia="仿宋" w:cs="仿宋"/>
          <w:b/>
          <w:bCs w:val="0"/>
          <w:w w:val="93"/>
          <w:sz w:val="32"/>
          <w:szCs w:val="32"/>
          <w:lang w:eastAsia="zh-CN"/>
        </w:rPr>
        <w:t>五</w:t>
      </w:r>
      <w:r>
        <w:rPr>
          <w:rFonts w:hint="eastAsia" w:ascii="仿宋" w:hAnsi="仿宋" w:eastAsia="仿宋" w:cs="仿宋"/>
          <w:b/>
          <w:bCs w:val="0"/>
          <w:w w:val="93"/>
          <w:sz w:val="32"/>
          <w:szCs w:val="32"/>
        </w:rPr>
        <w:t>、</w:t>
      </w:r>
      <w:r>
        <w:rPr>
          <w:rFonts w:hint="eastAsia" w:ascii="仿宋" w:hAnsi="仿宋" w:eastAsia="仿宋" w:cs="仿宋"/>
          <w:b/>
          <w:bCs w:val="0"/>
          <w:w w:val="93"/>
          <w:sz w:val="32"/>
          <w:szCs w:val="32"/>
          <w:lang w:eastAsia="zh-CN"/>
        </w:rPr>
        <w:t>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594" w:firstLineChars="200"/>
        <w:textAlignment w:val="auto"/>
        <w:rPr>
          <w:rFonts w:hint="eastAsia" w:ascii="仿宋" w:hAnsi="仿宋" w:eastAsia="仿宋" w:cs="仿宋"/>
          <w:bCs/>
          <w:w w:val="93"/>
          <w:sz w:val="32"/>
          <w:szCs w:val="32"/>
          <w:lang w:eastAsia="zh-CN"/>
        </w:rPr>
      </w:pPr>
      <w:r>
        <w:rPr>
          <w:rFonts w:hint="eastAsia" w:ascii="仿宋" w:hAnsi="仿宋" w:eastAsia="仿宋" w:cs="仿宋"/>
          <w:bCs/>
          <w:w w:val="93"/>
          <w:sz w:val="32"/>
          <w:szCs w:val="32"/>
          <w:lang w:eastAsia="zh-CN"/>
        </w:rPr>
        <w:t>（一）评价结论</w:t>
      </w:r>
    </w:p>
    <w:p>
      <w:pPr>
        <w:keepNext w:val="0"/>
        <w:keepLines w:val="0"/>
        <w:pageBreakBefore w:val="0"/>
        <w:widowControl w:val="0"/>
        <w:kinsoku/>
        <w:wordWrap/>
        <w:overflowPunct/>
        <w:topLinePunct w:val="0"/>
        <w:autoSpaceDE/>
        <w:autoSpaceDN/>
        <w:bidi w:val="0"/>
        <w:adjustRightInd w:val="0"/>
        <w:snapToGrid w:val="0"/>
        <w:spacing w:line="576" w:lineRule="exact"/>
        <w:ind w:firstLine="594" w:firstLineChars="200"/>
        <w:textAlignment w:val="auto"/>
        <w:rPr>
          <w:rFonts w:hint="eastAsia" w:ascii="仿宋" w:hAnsi="仿宋" w:eastAsia="仿宋" w:cs="仿宋"/>
          <w:bCs/>
          <w:w w:val="93"/>
          <w:sz w:val="32"/>
          <w:szCs w:val="32"/>
          <w:lang w:eastAsia="zh-CN"/>
        </w:rPr>
      </w:pPr>
      <w:r>
        <w:rPr>
          <w:rFonts w:hint="eastAsia" w:ascii="仿宋" w:hAnsi="仿宋" w:eastAsia="仿宋" w:cs="仿宋"/>
          <w:w w:val="93"/>
          <w:sz w:val="32"/>
          <w:szCs w:val="32"/>
          <w:lang w:val="zh-CN"/>
        </w:rPr>
        <w:t>该项目保证万缘办公区W.F区社情民意短信平台正常使用维护,及时发送政策、法律、法规宣传及信访事项办理流程，重大突发及群体性事件宣传，资金使用过程中符合相关规定。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w w:val="93"/>
          <w:sz w:val="32"/>
          <w:szCs w:val="32"/>
          <w:lang w:val="zh-CN"/>
        </w:rPr>
      </w:pPr>
      <w:r>
        <w:rPr>
          <w:rFonts w:hint="eastAsia" w:ascii="仿宋" w:hAnsi="仿宋" w:eastAsia="仿宋" w:cs="仿宋"/>
          <w:b/>
          <w:bCs/>
          <w:w w:val="93"/>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w w:val="93"/>
          <w:sz w:val="32"/>
          <w:szCs w:val="32"/>
          <w:lang w:val="en-US" w:eastAsia="zh-CN"/>
        </w:rPr>
      </w:pPr>
      <w:r>
        <w:rPr>
          <w:rFonts w:hint="eastAsia" w:ascii="仿宋" w:hAnsi="仿宋" w:eastAsia="仿宋" w:cs="仿宋"/>
          <w:w w:val="93"/>
          <w:sz w:val="32"/>
          <w:szCs w:val="32"/>
          <w:lang w:val="en-US" w:eastAsia="zh-CN"/>
        </w:rPr>
        <w:t>无。</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w w:val="93"/>
          <w:sz w:val="32"/>
          <w:szCs w:val="32"/>
          <w:lang w:val="zh-CN"/>
        </w:rPr>
      </w:pPr>
      <w:r>
        <w:rPr>
          <w:rFonts w:hint="eastAsia" w:ascii="仿宋" w:hAnsi="仿宋" w:eastAsia="仿宋" w:cs="仿宋"/>
          <w:b/>
          <w:bCs/>
          <w:w w:val="93"/>
          <w:sz w:val="32"/>
          <w:szCs w:val="32"/>
          <w:lang w:val="zh-CN"/>
        </w:rPr>
        <w:t>（三）相关建议</w:t>
      </w:r>
    </w:p>
    <w:p>
      <w:pPr>
        <w:keepNext w:val="0"/>
        <w:keepLines w:val="0"/>
        <w:pageBreakBefore w:val="0"/>
        <w:widowControl w:val="0"/>
        <w:kinsoku/>
        <w:wordWrap/>
        <w:overflowPunct/>
        <w:topLinePunct w:val="0"/>
        <w:autoSpaceDE/>
        <w:autoSpaceDN/>
        <w:bidi w:val="0"/>
        <w:spacing w:line="576" w:lineRule="exact"/>
        <w:ind w:firstLine="594" w:firstLineChars="200"/>
        <w:jc w:val="both"/>
        <w:textAlignment w:val="auto"/>
        <w:rPr>
          <w:rFonts w:hint="eastAsia" w:ascii="仿宋" w:hAnsi="仿宋" w:eastAsia="仿宋" w:cs="仿宋"/>
          <w:w w:val="93"/>
          <w:sz w:val="32"/>
          <w:szCs w:val="32"/>
          <w:lang w:val="en-US" w:eastAsia="zh-CN"/>
        </w:rPr>
      </w:pPr>
      <w:r>
        <w:rPr>
          <w:rFonts w:hint="eastAsia" w:ascii="仿宋" w:hAnsi="仿宋" w:eastAsia="仿宋" w:cs="仿宋"/>
          <w:w w:val="93"/>
          <w:sz w:val="32"/>
          <w:szCs w:val="32"/>
          <w:lang w:val="en-US" w:eastAsia="zh-CN"/>
        </w:rPr>
        <w:t>无。</w:t>
      </w: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Cs/>
          <w:w w:val="93"/>
          <w:sz w:val="32"/>
          <w:szCs w:val="32"/>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Cs/>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val="0"/>
          <w:sz w:val="32"/>
          <w:szCs w:val="32"/>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val="0"/>
          <w:sz w:val="32"/>
          <w:szCs w:val="32"/>
        </w:rPr>
      </w:pPr>
      <w:r>
        <w:rPr>
          <w:rFonts w:hint="eastAsia" w:ascii="仿宋" w:hAnsi="仿宋" w:eastAsia="仿宋" w:cs="仿宋"/>
          <w:b/>
          <w:bCs w:val="0"/>
          <w:sz w:val="32"/>
          <w:szCs w:val="32"/>
        </w:rPr>
        <w:t>租用办公用房</w:t>
      </w: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 w:hAnsi="仿宋" w:eastAsia="仿宋" w:cs="仿宋"/>
          <w:b/>
          <w:bCs w:val="0"/>
          <w:sz w:val="32"/>
          <w:szCs w:val="32"/>
          <w:lang w:val="en-US" w:eastAsia="zh-CN"/>
        </w:rPr>
        <w:t>专项</w:t>
      </w:r>
      <w:r>
        <w:rPr>
          <w:rFonts w:hint="eastAsia" w:ascii="仿宋" w:hAnsi="仿宋" w:eastAsia="仿宋" w:cs="仿宋"/>
          <w:b/>
          <w:bCs w:val="0"/>
          <w:sz w:val="32"/>
          <w:szCs w:val="32"/>
          <w:lang w:val="zh-CN" w:eastAsia="zh-CN"/>
        </w:rPr>
        <w:t>预算项目支出绩效自评报告</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sz w:val="32"/>
          <w:szCs w:val="32"/>
          <w:lang w:val="zh-CN"/>
        </w:rPr>
      </w:pPr>
      <w:r>
        <w:rPr>
          <w:rFonts w:hint="eastAsia" w:ascii="仿宋" w:hAnsi="仿宋" w:eastAsia="仿宋" w:cs="仿宋"/>
          <w:b/>
          <w:bCs w:val="0"/>
          <w:sz w:val="32"/>
          <w:szCs w:val="32"/>
        </w:rPr>
        <w:t>一、</w:t>
      </w:r>
      <w:r>
        <w:rPr>
          <w:rFonts w:hint="eastAsia" w:ascii="仿宋" w:hAnsi="仿宋" w:eastAsia="仿宋" w:cs="仿宋"/>
          <w:b/>
          <w:bCs w:val="0"/>
          <w:sz w:val="32"/>
          <w:szCs w:val="32"/>
          <w:lang w:val="zh-CN"/>
        </w:rPr>
        <w:t>项目概况</w:t>
      </w:r>
    </w:p>
    <w:p>
      <w:pPr>
        <w:pStyle w:val="31"/>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（一）项目基本情况</w:t>
      </w:r>
    </w:p>
    <w:p>
      <w:pPr>
        <w:pStyle w:val="31"/>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kern w:val="2"/>
          <w:sz w:val="32"/>
          <w:szCs w:val="32"/>
          <w:lang w:val="en-US" w:eastAsia="zh-CN" w:bidi="ar-SA"/>
        </w:rPr>
        <w:t>该项目包含区委区政府第三办公区食堂租赁，区委群工局、区不动产中心办公用房租赁。此项目预算105万元。</w:t>
      </w:r>
      <w:r>
        <w:rPr>
          <w:rFonts w:hint="eastAsia" w:ascii="仿宋" w:hAnsi="仿宋" w:eastAsia="仿宋" w:cs="仿宋"/>
          <w:sz w:val="32"/>
          <w:szCs w:val="32"/>
        </w:rPr>
        <w:t>该项目通过</w:t>
      </w:r>
      <w:r>
        <w:rPr>
          <w:rFonts w:hint="eastAsia" w:ascii="仿宋" w:hAnsi="仿宋" w:eastAsia="仿宋" w:cs="仿宋"/>
          <w:sz w:val="32"/>
          <w:szCs w:val="32"/>
          <w:lang w:eastAsia="zh-CN"/>
        </w:rPr>
        <w:t>政府采购招标，</w:t>
      </w:r>
      <w:r>
        <w:rPr>
          <w:rFonts w:hint="eastAsia" w:ascii="仿宋" w:hAnsi="仿宋" w:eastAsia="仿宋" w:cs="仿宋"/>
          <w:sz w:val="32"/>
          <w:szCs w:val="32"/>
        </w:rPr>
        <w:t>财政预算，使用过程符合资金管理办法相关规定，无违规现象。</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sz w:val="32"/>
          <w:szCs w:val="32"/>
        </w:rPr>
      </w:pPr>
      <w:r>
        <w:rPr>
          <w:rFonts w:hint="eastAsia" w:ascii="仿宋" w:hAnsi="仿宋" w:eastAsia="仿宋" w:cs="仿宋"/>
          <w:b/>
          <w:bCs w:val="0"/>
          <w:sz w:val="32"/>
          <w:szCs w:val="32"/>
          <w:lang w:val="zh-CN"/>
        </w:rPr>
        <w:t>（二）项目绩效目标。</w:t>
      </w:r>
      <w:r>
        <w:rPr>
          <w:rFonts w:hint="eastAsia" w:ascii="仿宋" w:hAnsi="仿宋" w:eastAsia="仿宋" w:cs="仿宋"/>
          <w:sz w:val="32"/>
          <w:szCs w:val="32"/>
        </w:rPr>
        <w:t>该项目可解决区政府第三办公区职工就近方便用餐，方便群众合理反映诉求，办理不动产证。</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仿宋" w:hAnsi="仿宋" w:eastAsia="仿宋" w:cs="仿宋"/>
          <w:bCs/>
          <w:sz w:val="32"/>
          <w:szCs w:val="32"/>
          <w:lang w:val="zh-CN"/>
        </w:rPr>
      </w:pPr>
      <w:r>
        <w:rPr>
          <w:rFonts w:hint="eastAsia" w:ascii="仿宋" w:hAnsi="仿宋" w:eastAsia="仿宋" w:cs="仿宋"/>
          <w:bCs/>
          <w:sz w:val="32"/>
          <w:szCs w:val="32"/>
          <w:lang w:val="zh-CN"/>
        </w:rPr>
        <w:t>项目资金申报与项目实施相符。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Cs/>
          <w:sz w:val="32"/>
          <w:szCs w:val="32"/>
        </w:rPr>
      </w:pPr>
      <w:r>
        <w:rPr>
          <w:rFonts w:hint="eastAsia" w:ascii="仿宋" w:hAnsi="仿宋" w:eastAsia="仿宋" w:cs="仿宋"/>
          <w:b/>
          <w:bCs w:val="0"/>
          <w:sz w:val="32"/>
          <w:szCs w:val="32"/>
          <w:lang w:val="zh-CN"/>
        </w:rPr>
        <w:t>（三）</w:t>
      </w:r>
      <w:r>
        <w:rPr>
          <w:rFonts w:hint="eastAsia" w:ascii="仿宋" w:hAnsi="仿宋" w:eastAsia="仿宋" w:cs="仿宋"/>
          <w:b/>
          <w:bCs w:val="0"/>
          <w:sz w:val="32"/>
          <w:szCs w:val="32"/>
          <w:lang w:val="zh-CN" w:eastAsia="zh-CN"/>
        </w:rPr>
        <w:t>项目自评步骤及方法。</w:t>
      </w:r>
      <w:r>
        <w:rPr>
          <w:rFonts w:hint="eastAsia" w:ascii="仿宋" w:hAnsi="仿宋" w:eastAsia="仿宋" w:cs="仿宋"/>
          <w:sz w:val="32"/>
          <w:szCs w:val="32"/>
        </w:rPr>
        <w:t>项目资金从申报到使用符合相关规定，执行合理可行。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二</w:t>
      </w:r>
      <w:r>
        <w:rPr>
          <w:rFonts w:hint="eastAsia" w:ascii="仿宋" w:hAnsi="仿宋" w:eastAsia="仿宋" w:cs="仿宋"/>
          <w:b/>
          <w:bCs w:val="0"/>
          <w:sz w:val="32"/>
          <w:szCs w:val="32"/>
        </w:rPr>
        <w:t>、项目</w:t>
      </w:r>
      <w:r>
        <w:rPr>
          <w:rFonts w:hint="eastAsia" w:ascii="仿宋" w:hAnsi="仿宋" w:eastAsia="仿宋" w:cs="仿宋"/>
          <w:b/>
          <w:bCs w:val="0"/>
          <w:sz w:val="32"/>
          <w:szCs w:val="32"/>
          <w:lang w:eastAsia="zh-CN"/>
        </w:rPr>
        <w:t>资金申报及使用情况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rPr>
      </w:pPr>
      <w:r>
        <w:rPr>
          <w:rFonts w:hint="eastAsia" w:ascii="仿宋" w:hAnsi="仿宋" w:eastAsia="仿宋" w:cs="仿宋"/>
          <w:b/>
          <w:bCs/>
          <w:sz w:val="32"/>
          <w:szCs w:val="32"/>
          <w:lang w:val="zh-CN"/>
        </w:rPr>
        <w:t>（一）项目资金申报及批复情况。</w:t>
      </w:r>
      <w:r>
        <w:rPr>
          <w:rFonts w:hint="eastAsia" w:ascii="仿宋" w:hAnsi="仿宋" w:eastAsia="仿宋" w:cs="仿宋"/>
          <w:sz w:val="32"/>
          <w:szCs w:val="32"/>
          <w:lang w:val="zh-CN"/>
        </w:rPr>
        <w:t>租用办公用房项目资金申报按公开招标、合同及时支付</w:t>
      </w:r>
      <w:r>
        <w:rPr>
          <w:rFonts w:hint="eastAsia" w:ascii="仿宋" w:hAnsi="仿宋" w:eastAsia="仿宋" w:cs="仿宋"/>
          <w:sz w:val="32"/>
          <w:szCs w:val="32"/>
          <w:lang w:eastAsia="zh-CN"/>
        </w:rPr>
        <w:t>。</w:t>
      </w:r>
      <w:r>
        <w:rPr>
          <w:rFonts w:hint="eastAsia" w:ascii="仿宋" w:hAnsi="仿宋" w:eastAsia="仿宋" w:cs="仿宋"/>
          <w:sz w:val="32"/>
          <w:szCs w:val="32"/>
        </w:rPr>
        <w:t>经费预算</w:t>
      </w:r>
      <w:r>
        <w:rPr>
          <w:rFonts w:hint="eastAsia" w:ascii="仿宋" w:hAnsi="仿宋" w:eastAsia="仿宋" w:cs="仿宋"/>
          <w:sz w:val="32"/>
          <w:szCs w:val="32"/>
          <w:lang w:val="en-US" w:eastAsia="zh-CN"/>
        </w:rPr>
        <w:t>105</w:t>
      </w:r>
      <w:r>
        <w:rPr>
          <w:rFonts w:hint="eastAsia" w:ascii="仿宋" w:hAnsi="仿宋" w:eastAsia="仿宋" w:cs="仿宋"/>
          <w:sz w:val="32"/>
          <w:szCs w:val="32"/>
        </w:rPr>
        <w:t>万元，资金到位率100%。该项目资金主要用于区委区政府第三办公区食堂租赁，区委群工局、区不动产中心办公用房租赁，根据合同要求每半年支付。</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76" w:lineRule="exact"/>
        <w:ind w:left="0"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zh-CN" w:eastAsia="zh-CN"/>
        </w:rPr>
        <w:t>资金计划、到位及使用情况。</w:t>
      </w:r>
      <w:r>
        <w:rPr>
          <w:rFonts w:hint="eastAsia" w:ascii="仿宋" w:hAnsi="仿宋" w:eastAsia="仿宋" w:cs="仿宋"/>
          <w:sz w:val="32"/>
          <w:szCs w:val="32"/>
        </w:rPr>
        <w:t>租用办公用房项目</w:t>
      </w:r>
      <w:r>
        <w:rPr>
          <w:rFonts w:hint="eastAsia" w:ascii="仿宋" w:hAnsi="仿宋" w:eastAsia="仿宋" w:cs="仿宋"/>
          <w:sz w:val="32"/>
          <w:szCs w:val="32"/>
          <w:lang w:eastAsia="zh-CN"/>
        </w:rPr>
        <w:t>资金计划按照公开招标、签订合同，每半年支付一次，总金额</w:t>
      </w:r>
      <w:r>
        <w:rPr>
          <w:rFonts w:hint="eastAsia" w:ascii="仿宋" w:hAnsi="仿宋" w:eastAsia="仿宋" w:cs="仿宋"/>
          <w:sz w:val="32"/>
          <w:szCs w:val="32"/>
          <w:lang w:val="en-US" w:eastAsia="zh-CN"/>
        </w:rPr>
        <w:t>105万，</w:t>
      </w:r>
      <w:r>
        <w:rPr>
          <w:rFonts w:hint="eastAsia" w:ascii="仿宋" w:hAnsi="仿宋" w:eastAsia="仿宋" w:cs="仿宋"/>
          <w:sz w:val="32"/>
          <w:szCs w:val="32"/>
        </w:rPr>
        <w:t>使用过程</w:t>
      </w:r>
      <w:r>
        <w:rPr>
          <w:rFonts w:hint="eastAsia" w:ascii="仿宋" w:hAnsi="仿宋" w:eastAsia="仿宋" w:cs="仿宋"/>
          <w:sz w:val="32"/>
          <w:szCs w:val="32"/>
          <w:lang w:eastAsia="zh-CN"/>
        </w:rPr>
        <w:t>合规合法，与预算相符，</w:t>
      </w:r>
      <w:r>
        <w:rPr>
          <w:rFonts w:hint="eastAsia" w:ascii="仿宋" w:hAnsi="仿宋" w:eastAsia="仿宋" w:cs="仿宋"/>
          <w:sz w:val="32"/>
          <w:szCs w:val="32"/>
        </w:rPr>
        <w:t>符合资金管理办法相关规定，</w:t>
      </w:r>
      <w:r>
        <w:rPr>
          <w:rFonts w:hint="eastAsia" w:ascii="仿宋" w:hAnsi="仿宋" w:eastAsia="仿宋" w:cs="仿宋"/>
          <w:sz w:val="32"/>
          <w:szCs w:val="32"/>
          <w:lang w:eastAsia="zh-CN"/>
        </w:rPr>
        <w:t>无违规违纪现象。</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76" w:lineRule="exact"/>
        <w:ind w:left="0" w:leftChars="0" w:firstLine="642"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项目财务管理情况。</w:t>
      </w:r>
      <w:r>
        <w:rPr>
          <w:rFonts w:hint="eastAsia" w:ascii="仿宋" w:hAnsi="仿宋" w:eastAsia="仿宋" w:cs="仿宋"/>
          <w:sz w:val="32"/>
          <w:szCs w:val="32"/>
        </w:rPr>
        <w:t>区机关事务服务中心建立了相关财务制度，</w:t>
      </w:r>
      <w:r>
        <w:rPr>
          <w:rFonts w:hint="eastAsia" w:ascii="仿宋" w:hAnsi="仿宋" w:eastAsia="仿宋" w:cs="仿宋"/>
          <w:sz w:val="32"/>
          <w:szCs w:val="32"/>
          <w:lang w:val="zh-CN"/>
        </w:rPr>
        <w:t>会计核算及账务处理</w:t>
      </w:r>
      <w:r>
        <w:rPr>
          <w:rFonts w:hint="eastAsia" w:ascii="仿宋" w:hAnsi="仿宋" w:eastAsia="仿宋" w:cs="仿宋"/>
          <w:sz w:val="32"/>
          <w:szCs w:val="32"/>
        </w:rPr>
        <w:t>境均按相关规定执行</w:t>
      </w:r>
      <w:r>
        <w:rPr>
          <w:rFonts w:hint="eastAsia" w:ascii="仿宋" w:hAnsi="仿宋" w:eastAsia="仿宋" w:cs="仿宋"/>
          <w:sz w:val="32"/>
          <w:szCs w:val="32"/>
          <w:lang w:val="zh-CN"/>
        </w:rPr>
        <w:t>。严格执行财务管理制度、财务处理及时、会计核算规范。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三、项目实施及管理情况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该项目主要由副主任及相关股室负责实施，根据工作实际情况，提出申请，经主要领导或主任办公会同意后方可执行。</w:t>
      </w:r>
    </w:p>
    <w:p>
      <w:pPr>
        <w:keepNext w:val="0"/>
        <w:keepLines w:val="0"/>
        <w:pageBreakBefore w:val="0"/>
        <w:widowControl w:val="0"/>
        <w:numPr>
          <w:ilvl w:val="0"/>
          <w:numId w:val="14"/>
        </w:numPr>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租用办公用房总体评价该项目实施我单位执行相关法律法规及项目管理制度，该项目采用政府采购，符合项目招标、公示等相关规定。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Cs/>
          <w:sz w:val="32"/>
          <w:szCs w:val="32"/>
          <w:lang w:val="zh-CN"/>
        </w:rPr>
      </w:pPr>
      <w:r>
        <w:rPr>
          <w:rFonts w:hint="eastAsia" w:ascii="仿宋" w:hAnsi="仿宋" w:eastAsia="仿宋" w:cs="仿宋"/>
          <w:b/>
          <w:bCs w:val="0"/>
          <w:sz w:val="32"/>
          <w:szCs w:val="32"/>
          <w:lang w:eastAsia="zh-CN"/>
        </w:rPr>
        <w:t>四、</w:t>
      </w:r>
      <w:r>
        <w:rPr>
          <w:rFonts w:hint="eastAsia" w:ascii="仿宋" w:hAnsi="仿宋" w:eastAsia="仿宋" w:cs="仿宋"/>
          <w:b/>
          <w:bCs w:val="0"/>
          <w:sz w:val="32"/>
          <w:szCs w:val="32"/>
        </w:rPr>
        <w:t>项目绩效情况</w:t>
      </w:r>
      <w:r>
        <w:rPr>
          <w:rFonts w:hint="eastAsia" w:ascii="仿宋" w:hAnsi="仿宋" w:eastAsia="仿宋" w:cs="仿宋"/>
          <w:bCs/>
          <w:sz w:val="32"/>
          <w:szCs w:val="32"/>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（一）项目完成情况。</w:t>
      </w:r>
      <w:r>
        <w:rPr>
          <w:rFonts w:hint="eastAsia" w:ascii="仿宋" w:hAnsi="仿宋" w:eastAsia="仿宋" w:cs="仿宋"/>
          <w:sz w:val="32"/>
          <w:szCs w:val="32"/>
        </w:rPr>
        <w:t>该项目能按时、按质、按量完成，本着厉行节约的思想。项目自评能达到优秀。</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Cs/>
          <w:sz w:val="32"/>
          <w:szCs w:val="32"/>
        </w:rPr>
      </w:pPr>
      <w:r>
        <w:rPr>
          <w:rFonts w:hint="eastAsia" w:ascii="仿宋" w:hAnsi="仿宋" w:eastAsia="仿宋" w:cs="仿宋"/>
          <w:b/>
          <w:bCs/>
          <w:sz w:val="32"/>
          <w:szCs w:val="32"/>
          <w:lang w:val="zh-CN"/>
        </w:rPr>
        <w:t>（二）项目效益情况。</w:t>
      </w:r>
      <w:r>
        <w:rPr>
          <w:rFonts w:hint="eastAsia" w:ascii="仿宋" w:hAnsi="仿宋" w:eastAsia="仿宋" w:cs="仿宋"/>
          <w:sz w:val="32"/>
          <w:szCs w:val="32"/>
        </w:rPr>
        <w:t>该项目能得到服务对象的认可，使他们</w:t>
      </w:r>
      <w:r>
        <w:rPr>
          <w:rFonts w:hint="eastAsia" w:ascii="仿宋" w:hAnsi="仿宋" w:eastAsia="仿宋" w:cs="仿宋"/>
          <w:sz w:val="32"/>
          <w:szCs w:val="32"/>
          <w:lang w:eastAsia="zh-CN"/>
        </w:rPr>
        <w:t>更好地为</w:t>
      </w:r>
      <w:r>
        <w:rPr>
          <w:rFonts w:hint="eastAsia" w:ascii="仿宋" w:hAnsi="仿宋" w:eastAsia="仿宋" w:cs="仿宋"/>
          <w:sz w:val="32"/>
          <w:szCs w:val="32"/>
        </w:rPr>
        <w:t>经济社会发展服务。</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五</w:t>
      </w:r>
      <w:r>
        <w:rPr>
          <w:rFonts w:hint="eastAsia" w:ascii="仿宋" w:hAnsi="仿宋" w:eastAsia="仿宋" w:cs="仿宋"/>
          <w:bCs/>
          <w:sz w:val="32"/>
          <w:szCs w:val="32"/>
        </w:rPr>
        <w:t>、</w:t>
      </w:r>
      <w:r>
        <w:rPr>
          <w:rFonts w:hint="eastAsia" w:ascii="仿宋" w:hAnsi="仿宋" w:eastAsia="仿宋" w:cs="仿宋"/>
          <w:bCs/>
          <w:sz w:val="32"/>
          <w:szCs w:val="32"/>
          <w:lang w:eastAsia="zh-CN"/>
        </w:rPr>
        <w:t>评价结论</w:t>
      </w:r>
      <w:r>
        <w:rPr>
          <w:rFonts w:hint="eastAsia" w:ascii="仿宋" w:hAnsi="仿宋" w:eastAsia="仿宋" w:cs="仿宋"/>
          <w:bCs/>
          <w:sz w:val="32"/>
          <w:szCs w:val="32"/>
        </w:rPr>
        <w:t>及建议</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（一）评价结论。</w:t>
      </w:r>
      <w:r>
        <w:rPr>
          <w:rFonts w:hint="eastAsia" w:ascii="仿宋" w:hAnsi="仿宋" w:eastAsia="仿宋" w:cs="仿宋"/>
          <w:sz w:val="32"/>
          <w:szCs w:val="32"/>
          <w:lang w:eastAsia="zh-CN"/>
        </w:rPr>
        <w:t>租用办公用房项目</w:t>
      </w:r>
      <w:r>
        <w:rPr>
          <w:rFonts w:hint="eastAsia" w:ascii="仿宋" w:hAnsi="仿宋" w:eastAsia="仿宋" w:cs="仿宋"/>
          <w:sz w:val="32"/>
          <w:szCs w:val="32"/>
        </w:rPr>
        <w:t>解决</w:t>
      </w:r>
      <w:r>
        <w:rPr>
          <w:rFonts w:hint="eastAsia" w:ascii="仿宋" w:hAnsi="仿宋" w:eastAsia="仿宋" w:cs="仿宋"/>
          <w:sz w:val="32"/>
          <w:szCs w:val="32"/>
          <w:lang w:eastAsia="zh-CN"/>
        </w:rPr>
        <w:t>了</w:t>
      </w:r>
      <w:r>
        <w:rPr>
          <w:rFonts w:hint="eastAsia" w:ascii="仿宋" w:hAnsi="仿宋" w:eastAsia="仿宋" w:cs="仿宋"/>
          <w:sz w:val="32"/>
          <w:szCs w:val="32"/>
        </w:rPr>
        <w:t>区政府第三办公区职工就近方便用餐，方便群众合理反映诉求，办理不动产证。</w:t>
      </w:r>
      <w:r>
        <w:rPr>
          <w:rFonts w:hint="eastAsia" w:ascii="仿宋" w:hAnsi="仿宋" w:eastAsia="仿宋" w:cs="仿宋"/>
          <w:bCs/>
          <w:sz w:val="32"/>
          <w:szCs w:val="32"/>
          <w:lang w:val="zh-CN"/>
        </w:rPr>
        <w:t>项目资金申报、使用与项目实施相符。</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无</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（三）相关建议</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cs="仿宋"/>
          <w:b/>
          <w:bCs w:val="0"/>
          <w:spacing w:val="-17"/>
          <w:sz w:val="32"/>
          <w:szCs w:val="32"/>
          <w:lang w:val="en-US" w:eastAsia="zh-CN"/>
        </w:rPr>
      </w:pPr>
      <w:r>
        <w:rPr>
          <w:rFonts w:hint="eastAsia" w:ascii="仿宋" w:hAnsi="仿宋" w:eastAsia="仿宋" w:cs="仿宋"/>
          <w:sz w:val="32"/>
          <w:szCs w:val="32"/>
        </w:rPr>
        <w:t>无</w:t>
      </w:r>
      <w:r>
        <w:rPr>
          <w:rFonts w:hint="eastAsia" w:ascii="仿宋" w:hAnsi="仿宋" w:eastAsia="仿宋" w:cs="仿宋"/>
          <w:sz w:val="32"/>
          <w:szCs w:val="32"/>
          <w:lang w:eastAsia="zh-CN"/>
        </w:rPr>
        <w:t>。</w:t>
      </w: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val="0"/>
          <w:spacing w:val="-17"/>
          <w:sz w:val="32"/>
          <w:szCs w:val="32"/>
          <w:lang w:val="en-US" w:eastAsia="zh-CN"/>
        </w:rPr>
      </w:pPr>
      <w:r>
        <w:rPr>
          <w:rFonts w:hint="eastAsia" w:ascii="仿宋" w:hAnsi="仿宋" w:eastAsia="仿宋" w:cs="仿宋"/>
          <w:b/>
          <w:bCs w:val="0"/>
          <w:spacing w:val="-17"/>
          <w:sz w:val="32"/>
          <w:szCs w:val="32"/>
          <w:lang w:val="en-US" w:eastAsia="zh-CN"/>
        </w:rPr>
        <w:t>公务用车运行保障经费</w:t>
      </w: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 w:hAnsi="仿宋" w:eastAsia="仿宋" w:cs="仿宋"/>
          <w:b/>
          <w:bCs w:val="0"/>
          <w:sz w:val="32"/>
          <w:szCs w:val="32"/>
          <w:lang w:val="en-US" w:eastAsia="zh-CN"/>
        </w:rPr>
        <w:t>专项</w:t>
      </w:r>
      <w:r>
        <w:rPr>
          <w:rFonts w:hint="eastAsia" w:ascii="仿宋" w:hAnsi="仿宋" w:eastAsia="仿宋" w:cs="仿宋"/>
          <w:b/>
          <w:bCs w:val="0"/>
          <w:sz w:val="32"/>
          <w:szCs w:val="32"/>
          <w:lang w:val="zh-CN" w:eastAsia="zh-CN"/>
        </w:rPr>
        <w:t>预算项目支出绩效自评报告</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bCs w:val="0"/>
          <w:sz w:val="32"/>
          <w:szCs w:val="32"/>
          <w:lang w:val="zh-CN"/>
        </w:rPr>
      </w:pPr>
      <w:r>
        <w:rPr>
          <w:rFonts w:hint="eastAsia" w:ascii="仿宋" w:hAnsi="仿宋" w:eastAsia="仿宋" w:cs="仿宋"/>
          <w:b/>
          <w:bCs w:val="0"/>
          <w:sz w:val="32"/>
          <w:szCs w:val="32"/>
        </w:rPr>
        <w:t>一、</w:t>
      </w:r>
      <w:r>
        <w:rPr>
          <w:rFonts w:hint="eastAsia" w:ascii="仿宋" w:hAnsi="仿宋" w:eastAsia="仿宋" w:cs="仿宋"/>
          <w:b/>
          <w:bCs w:val="0"/>
          <w:sz w:val="32"/>
          <w:szCs w:val="32"/>
          <w:lang w:val="zh-CN"/>
        </w:rPr>
        <w:t>项目概况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val="0"/>
          <w:sz w:val="32"/>
          <w:szCs w:val="32"/>
          <w:lang w:val="zh-CN"/>
        </w:rPr>
        <w:t>（一）项目基本情况。</w:t>
      </w:r>
      <w:r>
        <w:rPr>
          <w:rFonts w:hint="eastAsia" w:ascii="仿宋" w:hAnsi="仿宋" w:eastAsia="仿宋" w:cs="仿宋"/>
          <w:sz w:val="32"/>
          <w:szCs w:val="32"/>
          <w:lang w:val="en-US" w:eastAsia="zh-CN"/>
        </w:rPr>
        <w:t>项目管理中的职能，公务用车运行保障经费</w:t>
      </w:r>
      <w:r>
        <w:rPr>
          <w:rFonts w:hint="eastAsia" w:ascii="仿宋" w:hAnsi="仿宋" w:eastAsia="仿宋" w:cs="仿宋"/>
          <w:sz w:val="32"/>
          <w:szCs w:val="32"/>
          <w:lang w:val="zh-CN" w:eastAsia="zh-CN"/>
        </w:rPr>
        <w:t>项目在管理中的职能：区公务用车保障中心为公益一类</w:t>
      </w:r>
      <w:r>
        <w:rPr>
          <w:rFonts w:hint="eastAsia" w:ascii="仿宋" w:hAnsi="仿宋" w:eastAsia="仿宋" w:cs="仿宋"/>
          <w:sz w:val="32"/>
          <w:szCs w:val="32"/>
          <w:lang w:val="en-US" w:eastAsia="zh-CN"/>
        </w:rPr>
        <w:t>股级</w:t>
      </w:r>
      <w:r>
        <w:rPr>
          <w:rFonts w:hint="eastAsia" w:ascii="仿宋" w:hAnsi="仿宋" w:eastAsia="仿宋" w:cs="仿宋"/>
          <w:sz w:val="32"/>
          <w:szCs w:val="32"/>
          <w:lang w:val="zh-CN" w:eastAsia="zh-CN"/>
        </w:rPr>
        <w:t>事业单位，核定事业</w:t>
      </w:r>
      <w:r>
        <w:rPr>
          <w:rFonts w:hint="eastAsia" w:ascii="仿宋" w:hAnsi="仿宋" w:eastAsia="仿宋" w:cs="仿宋"/>
          <w:sz w:val="32"/>
          <w:szCs w:val="32"/>
          <w:lang w:val="en-US" w:eastAsia="zh-CN"/>
        </w:rPr>
        <w:t>编制11名，</w:t>
      </w:r>
      <w:r>
        <w:rPr>
          <w:rFonts w:hint="eastAsia" w:ascii="仿宋" w:hAnsi="仿宋" w:eastAsia="仿宋" w:cs="仿宋"/>
          <w:sz w:val="32"/>
          <w:szCs w:val="32"/>
          <w:lang w:val="zh-CN" w:eastAsia="zh-CN"/>
        </w:rPr>
        <w:t>由区机关事务服务中心管理</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主要职责</w:t>
      </w:r>
      <w:r>
        <w:rPr>
          <w:rFonts w:hint="eastAsia" w:ascii="仿宋" w:hAnsi="仿宋" w:eastAsia="仿宋" w:cs="仿宋"/>
          <w:sz w:val="32"/>
          <w:szCs w:val="32"/>
          <w:lang w:val="en-US" w:eastAsia="zh-CN"/>
        </w:rPr>
        <w:t>：负责区级公务用车管理涉及的事务性工作；负责区本级保留的机要通信和应急车辆及调研工作用车的集中管理工作；负责区级公务用车定点维修、定点加油、定点保险、定点租赁服务机构评选工作；负责驾驶员招聘、政治思想教育，安全管理培训，日常监督管理和绩效考核等工作。此项目预算554.75万元。该项目属常年性项目，通常在工作需要开展前，根据需要开支金额进行申报，能保证工作的正常开展，使用过程符合资金管理办法相关规定，无违规现象。</w:t>
      </w:r>
    </w:p>
    <w:p>
      <w:pPr>
        <w:pageBreakBefore w:val="0"/>
        <w:kinsoku/>
        <w:wordWrap/>
        <w:overflowPunct/>
        <w:topLinePunct w:val="0"/>
        <w:bidi w:val="0"/>
        <w:adjustRightInd w:val="0"/>
        <w:snapToGrid w:val="0"/>
        <w:spacing w:line="576" w:lineRule="exact"/>
        <w:ind w:firstLine="642" w:firstLineChars="200"/>
        <w:rPr>
          <w:rFonts w:hint="eastAsia" w:ascii="仿宋" w:hAnsi="仿宋" w:eastAsia="仿宋" w:cs="仿宋"/>
          <w:sz w:val="32"/>
          <w:szCs w:val="32"/>
          <w:lang w:val="en-US" w:eastAsia="zh-CN"/>
        </w:rPr>
      </w:pPr>
      <w:r>
        <w:rPr>
          <w:rFonts w:hint="eastAsia" w:ascii="仿宋" w:hAnsi="仿宋" w:eastAsia="仿宋" w:cs="仿宋"/>
          <w:b/>
          <w:bCs w:val="0"/>
          <w:sz w:val="32"/>
          <w:szCs w:val="32"/>
          <w:lang w:val="zh-CN"/>
        </w:rPr>
        <w:t>（二）项目绩效目标。</w:t>
      </w:r>
      <w:r>
        <w:rPr>
          <w:rFonts w:hint="eastAsia" w:ascii="仿宋" w:hAnsi="仿宋" w:eastAsia="仿宋" w:cs="仿宋"/>
          <w:sz w:val="32"/>
          <w:szCs w:val="32"/>
          <w:lang w:val="en-US" w:eastAsia="zh-CN"/>
        </w:rPr>
        <w:t>紧紧围绕区委区政府重大公务活动和一般应急公务出行，按照先急后缓的原则调派车辆，始终教育和提醒驾驶员坚持岗位即责任、服务即形象，效能即生命的服务理念，全力保障了全区疫情防控、脱贫攻坚督导回头看、县区脱贫攻坚交叉检查，环保大督查，区第八次党代会、区人大、区政协等重大会议安全用车，做到了保障到位、服务到位，安全到位，全年公务用车出行8000余次，安全运行近65万公里，有力的保障了全区公务出行安全、及时、高效。</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lang w:val="zh-CN" w:eastAsia="zh-CN"/>
        </w:rPr>
        <w:t>（三）项目资金自评步骤及方法。</w:t>
      </w:r>
      <w:r>
        <w:rPr>
          <w:rFonts w:hint="eastAsia" w:ascii="仿宋" w:hAnsi="仿宋" w:eastAsia="仿宋" w:cs="仿宋"/>
          <w:sz w:val="32"/>
          <w:szCs w:val="32"/>
          <w:lang w:val="en-US" w:eastAsia="zh-CN"/>
        </w:rPr>
        <w:t>项目资金从申报到使用符合相关规定，执行合理可行。</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bCs w:val="0"/>
          <w:sz w:val="32"/>
          <w:szCs w:val="32"/>
        </w:rPr>
      </w:pPr>
      <w:r>
        <w:rPr>
          <w:rFonts w:hint="eastAsia" w:ascii="仿宋" w:hAnsi="仿宋" w:eastAsia="仿宋" w:cs="仿宋"/>
          <w:b/>
          <w:bCs w:val="0"/>
          <w:sz w:val="32"/>
          <w:szCs w:val="32"/>
        </w:rPr>
        <w:t>二、项目实施及管理情况</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sz w:val="32"/>
          <w:szCs w:val="32"/>
          <w:lang w:val="zh-CN"/>
        </w:rPr>
      </w:pPr>
      <w:r>
        <w:rPr>
          <w:rFonts w:hint="eastAsia" w:ascii="仿宋" w:hAnsi="仿宋" w:eastAsia="仿宋" w:cs="仿宋"/>
          <w:b/>
          <w:bCs/>
          <w:sz w:val="32"/>
          <w:szCs w:val="32"/>
          <w:lang w:val="zh-CN"/>
        </w:rPr>
        <w:t>（一）项目资金申报及使用情况</w:t>
      </w:r>
    </w:p>
    <w:p>
      <w:pPr>
        <w:pageBreakBefore w:val="0"/>
        <w:kinsoku/>
        <w:wordWrap/>
        <w:overflowPunct/>
        <w:topLinePunct w:val="0"/>
        <w:bidi w:val="0"/>
        <w:adjustRightInd w:val="0"/>
        <w:snapToGrid w:val="0"/>
        <w:spacing w:line="576"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zh-CN"/>
        </w:rPr>
        <w:t>资金计划及到位</w:t>
      </w:r>
      <w:r>
        <w:rPr>
          <w:rFonts w:hint="eastAsia" w:ascii="仿宋" w:hAnsi="仿宋" w:eastAsia="仿宋" w:cs="仿宋"/>
          <w:sz w:val="32"/>
          <w:szCs w:val="32"/>
          <w:lang w:val="en-US" w:eastAsia="zh-CN"/>
        </w:rPr>
        <w:t>情况。</w:t>
      </w:r>
      <w:r>
        <w:rPr>
          <w:rFonts w:hint="eastAsia" w:ascii="仿宋" w:hAnsi="仿宋" w:eastAsia="仿宋" w:cs="仿宋"/>
          <w:color w:val="auto"/>
          <w:kern w:val="2"/>
          <w:sz w:val="32"/>
          <w:szCs w:val="32"/>
          <w:lang w:val="en-US" w:eastAsia="zh-CN" w:bidi="ar-SA"/>
        </w:rPr>
        <w:t>公务用车运行项目</w:t>
      </w:r>
      <w:r>
        <w:rPr>
          <w:rFonts w:hint="eastAsia" w:ascii="仿宋" w:hAnsi="仿宋" w:eastAsia="仿宋" w:cs="仿宋"/>
          <w:sz w:val="32"/>
          <w:szCs w:val="32"/>
          <w:lang w:val="en-US" w:eastAsia="zh-CN"/>
        </w:rPr>
        <w:t>预算554.75万元，</w:t>
      </w:r>
      <w:r>
        <w:rPr>
          <w:rFonts w:hint="eastAsia" w:ascii="仿宋" w:hAnsi="仿宋" w:eastAsia="仿宋" w:cs="仿宋"/>
          <w:sz w:val="32"/>
          <w:szCs w:val="32"/>
          <w:lang w:val="zh-CN"/>
        </w:rPr>
        <w:t>截止评价时</w:t>
      </w:r>
      <w:r>
        <w:rPr>
          <w:rFonts w:hint="eastAsia" w:ascii="仿宋" w:hAnsi="仿宋" w:eastAsia="仿宋" w:cs="仿宋"/>
          <w:sz w:val="32"/>
          <w:szCs w:val="32"/>
          <w:lang w:val="en-US" w:eastAsia="zh-CN"/>
        </w:rPr>
        <w:t>已全部执行。</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bCs/>
          <w:sz w:val="32"/>
          <w:szCs w:val="32"/>
          <w:lang w:val="en-US" w:eastAsia="zh-CN"/>
        </w:rPr>
      </w:pPr>
      <w:r>
        <w:rPr>
          <w:rFonts w:hint="eastAsia" w:ascii="仿宋" w:hAnsi="仿宋" w:eastAsia="仿宋" w:cs="仿宋"/>
          <w:b/>
          <w:bCs/>
          <w:sz w:val="32"/>
          <w:szCs w:val="32"/>
          <w:lang w:val="zh-CN"/>
        </w:rPr>
        <w:t>（二）资金计划、到位及使用情况</w:t>
      </w:r>
      <w:r>
        <w:rPr>
          <w:rFonts w:hint="eastAsia" w:ascii="仿宋" w:hAnsi="仿宋" w:eastAsia="仿宋" w:cs="仿宋"/>
          <w:b/>
          <w:bCs/>
          <w:sz w:val="32"/>
          <w:szCs w:val="32"/>
          <w:lang w:val="en-US" w:eastAsia="zh-CN"/>
        </w:rPr>
        <w:t>。</w:t>
      </w:r>
    </w:p>
    <w:p>
      <w:pPr>
        <w:pageBreakBefore w:val="0"/>
        <w:numPr>
          <w:ilvl w:val="0"/>
          <w:numId w:val="0"/>
        </w:numPr>
        <w:kinsoku/>
        <w:wordWrap/>
        <w:overflowPunct/>
        <w:topLinePunct w:val="0"/>
        <w:bidi w:val="0"/>
        <w:adjustRightInd w:val="0"/>
        <w:snapToGrid w:val="0"/>
        <w:spacing w:line="576"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资金主要用于司勤人员工资、保险、住房公积金、车辆维修、保险、加油、车辆清洗等服务项目，保障区级机关正常的应急公务出行等工作，按相关规定执行，无超标准现象。公车运行经费根据要求采取财政直接支付方式进行结算。</w:t>
      </w:r>
    </w:p>
    <w:p>
      <w:pPr>
        <w:pageBreakBefore w:val="0"/>
        <w:kinsoku/>
        <w:wordWrap/>
        <w:overflowPunct/>
        <w:topLinePunct w:val="0"/>
        <w:bidi w:val="0"/>
        <w:adjustRightInd w:val="0"/>
        <w:snapToGrid w:val="0"/>
        <w:spacing w:line="576" w:lineRule="exact"/>
        <w:ind w:firstLine="720"/>
        <w:rPr>
          <w:rFonts w:hint="eastAsia" w:ascii="仿宋" w:hAnsi="仿宋" w:eastAsia="仿宋" w:cs="仿宋"/>
          <w:sz w:val="32"/>
          <w:szCs w:val="32"/>
          <w:lang w:val="en-US" w:eastAsia="zh-CN"/>
        </w:rPr>
      </w:pPr>
      <w:r>
        <w:rPr>
          <w:rFonts w:hint="eastAsia" w:ascii="仿宋" w:hAnsi="仿宋" w:eastAsia="仿宋" w:cs="仿宋"/>
          <w:b/>
          <w:bCs/>
          <w:sz w:val="32"/>
          <w:szCs w:val="32"/>
          <w:lang w:val="zh-CN"/>
        </w:rPr>
        <w:t>（三）项目财务管理情况。</w:t>
      </w:r>
      <w:r>
        <w:rPr>
          <w:rFonts w:hint="eastAsia" w:ascii="仿宋" w:hAnsi="仿宋" w:eastAsia="仿宋" w:cs="仿宋"/>
          <w:sz w:val="32"/>
          <w:szCs w:val="32"/>
          <w:lang w:val="en-US" w:eastAsia="zh-CN"/>
        </w:rPr>
        <w:t>紧紧围绕建设节约型、廉洁型机关要求，转发《广元市党政机关公务用车管理实施细则》，印发《广元市利州区党政机关公务用车出行保障办法》，制定《广元市利州区公务用车保障中心公务用车管理制度》《广元市利州区公务用车保障中心驾驶员绩效考评办法》等有关规章制度，本着管理规范透明、出行方便快捷，费用节约可控、监管科学有效的保障原则，从严审核公务用车保障范围和申请用车事由，根据申请单位工作轻重缓急，合理统筹调派。严格按照统一编制，统一标准、统一购置经费，统一采购配备的原则购置公务用车。</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bCs/>
          <w:sz w:val="32"/>
          <w:szCs w:val="32"/>
          <w:lang w:val="zh-CN"/>
        </w:rPr>
      </w:pPr>
      <w:r>
        <w:rPr>
          <w:rFonts w:hint="eastAsia" w:ascii="仿宋" w:hAnsi="仿宋" w:eastAsia="仿宋" w:cs="仿宋"/>
          <w:b/>
          <w:bCs/>
          <w:sz w:val="32"/>
          <w:szCs w:val="32"/>
          <w:lang w:val="zh-CN"/>
        </w:rPr>
        <w:t>三、项目组织实施情况</w:t>
      </w:r>
    </w:p>
    <w:p>
      <w:pPr>
        <w:pageBreakBefore w:val="0"/>
        <w:kinsoku/>
        <w:wordWrap/>
        <w:overflowPunct/>
        <w:topLinePunct w:val="0"/>
        <w:bidi w:val="0"/>
        <w:adjustRightInd w:val="0"/>
        <w:snapToGrid w:val="0"/>
        <w:spacing w:line="576"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该项目主要由分管领导及相关股室负责实施，根据工作实际情况，提出申请，经主要领导或主任办公会同意后方可执行。</w:t>
      </w:r>
    </w:p>
    <w:p>
      <w:pPr>
        <w:pageBreakBefore w:val="0"/>
        <w:kinsoku/>
        <w:wordWrap/>
        <w:overflowPunct/>
        <w:topLinePunct w:val="0"/>
        <w:bidi w:val="0"/>
        <w:adjustRightInd w:val="0"/>
        <w:snapToGrid w:val="0"/>
        <w:spacing w:line="576" w:lineRule="exact"/>
        <w:ind w:firstLine="642" w:firstLineChars="200"/>
        <w:rPr>
          <w:rFonts w:hint="eastAsia" w:ascii="仿宋" w:hAnsi="仿宋" w:eastAsia="仿宋" w:cs="仿宋"/>
          <w:b/>
          <w:bCs w:val="0"/>
          <w:sz w:val="32"/>
          <w:szCs w:val="32"/>
        </w:rPr>
      </w:pPr>
      <w:r>
        <w:rPr>
          <w:rFonts w:hint="eastAsia" w:ascii="仿宋" w:hAnsi="仿宋" w:eastAsia="仿宋" w:cs="仿宋"/>
          <w:b/>
          <w:bCs w:val="0"/>
          <w:sz w:val="32"/>
          <w:szCs w:val="32"/>
          <w:lang w:eastAsia="zh-CN"/>
        </w:rPr>
        <w:t>四</w:t>
      </w:r>
      <w:r>
        <w:rPr>
          <w:rFonts w:hint="eastAsia" w:ascii="仿宋" w:hAnsi="仿宋" w:eastAsia="仿宋" w:cs="仿宋"/>
          <w:b/>
          <w:bCs w:val="0"/>
          <w:sz w:val="32"/>
          <w:szCs w:val="32"/>
        </w:rPr>
        <w:t>、项目绩效情况</w:t>
      </w:r>
      <w:r>
        <w:rPr>
          <w:rFonts w:hint="eastAsia" w:ascii="仿宋" w:hAnsi="仿宋" w:eastAsia="仿宋" w:cs="仿宋"/>
          <w:b/>
          <w:bCs w:val="0"/>
          <w:sz w:val="32"/>
          <w:szCs w:val="32"/>
        </w:rPr>
        <w:tab/>
      </w:r>
    </w:p>
    <w:p>
      <w:pPr>
        <w:pageBreakBefore w:val="0"/>
        <w:kinsoku/>
        <w:wordWrap/>
        <w:overflowPunct/>
        <w:topLinePunct w:val="0"/>
        <w:bidi w:val="0"/>
        <w:adjustRightInd w:val="0"/>
        <w:snapToGrid w:val="0"/>
        <w:spacing w:line="576" w:lineRule="exact"/>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zh-CN"/>
        </w:rPr>
        <w:t>（一）项目完成情况。</w:t>
      </w:r>
      <w:r>
        <w:rPr>
          <w:rFonts w:hint="eastAsia" w:ascii="仿宋" w:hAnsi="仿宋" w:eastAsia="仿宋" w:cs="仿宋"/>
          <w:sz w:val="32"/>
          <w:szCs w:val="32"/>
          <w:lang w:val="en-US" w:eastAsia="zh-CN"/>
        </w:rPr>
        <w:t>该项目能按时、按质、按量完成，本着厉行节约的思想，具体经办人根据采购招标合同方式控制成本。项目自评能达到优秀。</w:t>
      </w:r>
    </w:p>
    <w:p>
      <w:pPr>
        <w:pageBreakBefore w:val="0"/>
        <w:kinsoku/>
        <w:wordWrap/>
        <w:overflowPunct/>
        <w:topLinePunct w:val="0"/>
        <w:bidi w:val="0"/>
        <w:adjustRightInd w:val="0"/>
        <w:snapToGrid w:val="0"/>
        <w:spacing w:line="576" w:lineRule="exact"/>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zh-CN"/>
        </w:rPr>
        <w:t>（二）项目效益情况。</w:t>
      </w:r>
      <w:r>
        <w:rPr>
          <w:rFonts w:hint="eastAsia" w:ascii="仿宋" w:hAnsi="仿宋" w:eastAsia="仿宋" w:cs="仿宋"/>
          <w:sz w:val="32"/>
          <w:szCs w:val="32"/>
          <w:lang w:val="en-US" w:eastAsia="zh-CN"/>
        </w:rPr>
        <w:t>该项目能得到服务对象对机关事务工作的认可，使他们更好地为经济社会发展服务。</w:t>
      </w:r>
    </w:p>
    <w:p>
      <w:pPr>
        <w:pageBreakBefore w:val="0"/>
        <w:kinsoku/>
        <w:wordWrap/>
        <w:overflowPunct/>
        <w:topLinePunct w:val="0"/>
        <w:bidi w:val="0"/>
        <w:adjustRightInd w:val="0"/>
        <w:snapToGrid w:val="0"/>
        <w:spacing w:line="576" w:lineRule="exact"/>
        <w:ind w:firstLine="642" w:firstLineChars="200"/>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五</w:t>
      </w:r>
      <w:r>
        <w:rPr>
          <w:rFonts w:hint="eastAsia" w:ascii="仿宋" w:hAnsi="仿宋" w:eastAsia="仿宋" w:cs="仿宋"/>
          <w:b/>
          <w:bCs w:val="0"/>
          <w:sz w:val="32"/>
          <w:szCs w:val="32"/>
        </w:rPr>
        <w:t>、</w:t>
      </w:r>
      <w:r>
        <w:rPr>
          <w:rFonts w:hint="eastAsia" w:ascii="仿宋" w:hAnsi="仿宋" w:eastAsia="仿宋" w:cs="仿宋"/>
          <w:b/>
          <w:bCs w:val="0"/>
          <w:sz w:val="32"/>
          <w:szCs w:val="32"/>
          <w:lang w:eastAsia="zh-CN"/>
        </w:rPr>
        <w:t>评价结论及建设</w:t>
      </w:r>
    </w:p>
    <w:p>
      <w:pPr>
        <w:pageBreakBefore w:val="0"/>
        <w:kinsoku/>
        <w:wordWrap/>
        <w:overflowPunct/>
        <w:topLinePunct w:val="0"/>
        <w:bidi w:val="0"/>
        <w:adjustRightInd w:val="0"/>
        <w:snapToGrid w:val="0"/>
        <w:spacing w:line="576"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eastAsia="zh-CN"/>
        </w:rPr>
        <w:t>（一）评价结论。</w:t>
      </w:r>
      <w:r>
        <w:rPr>
          <w:rFonts w:hint="eastAsia" w:ascii="仿宋" w:hAnsi="仿宋" w:eastAsia="仿宋" w:cs="仿宋"/>
          <w:color w:val="auto"/>
          <w:kern w:val="2"/>
          <w:sz w:val="32"/>
          <w:szCs w:val="32"/>
          <w:lang w:val="en-US" w:eastAsia="zh-CN" w:bidi="ar-SA"/>
        </w:rPr>
        <w:t>公务用车运行项目</w:t>
      </w:r>
      <w:r>
        <w:rPr>
          <w:rFonts w:hint="eastAsia" w:ascii="仿宋" w:hAnsi="仿宋" w:eastAsia="仿宋" w:cs="仿宋"/>
          <w:sz w:val="32"/>
          <w:szCs w:val="32"/>
          <w:lang w:val="en-US" w:eastAsia="zh-CN"/>
        </w:rPr>
        <w:t>预算554.75万元，</w:t>
      </w:r>
      <w:r>
        <w:rPr>
          <w:rFonts w:hint="eastAsia" w:ascii="仿宋" w:hAnsi="仿宋" w:eastAsia="仿宋" w:cs="仿宋"/>
          <w:sz w:val="32"/>
          <w:szCs w:val="32"/>
          <w:lang w:val="zh-CN"/>
        </w:rPr>
        <w:t>截止评价时</w:t>
      </w:r>
      <w:r>
        <w:rPr>
          <w:rFonts w:hint="eastAsia" w:ascii="仿宋" w:hAnsi="仿宋" w:eastAsia="仿宋" w:cs="仿宋"/>
          <w:sz w:val="32"/>
          <w:szCs w:val="32"/>
          <w:lang w:val="en-US" w:eastAsia="zh-CN"/>
        </w:rPr>
        <w:t>已全部执行，保障了全区，保障了全区公务出行安全、及时、高效。</w:t>
      </w:r>
    </w:p>
    <w:p>
      <w:pPr>
        <w:pageBreakBefore w:val="0"/>
        <w:kinsoku/>
        <w:wordWrap/>
        <w:overflowPunct/>
        <w:topLinePunct w:val="0"/>
        <w:bidi w:val="0"/>
        <w:adjustRightInd w:val="0"/>
        <w:snapToGrid w:val="0"/>
        <w:spacing w:line="576" w:lineRule="exact"/>
        <w:ind w:firstLine="720"/>
        <w:rPr>
          <w:rFonts w:hint="eastAsia" w:ascii="仿宋" w:hAnsi="仿宋" w:eastAsia="仿宋" w:cs="仿宋"/>
          <w:sz w:val="32"/>
          <w:szCs w:val="32"/>
          <w:lang w:val="en-US" w:eastAsia="zh-CN"/>
        </w:rPr>
      </w:pPr>
      <w:r>
        <w:rPr>
          <w:rFonts w:hint="eastAsia" w:ascii="仿宋" w:hAnsi="仿宋" w:eastAsia="仿宋" w:cs="仿宋"/>
          <w:b/>
          <w:bCs/>
          <w:sz w:val="32"/>
          <w:szCs w:val="32"/>
          <w:lang w:val="zh-CN"/>
        </w:rPr>
        <w:t>（二）存在的问题。</w:t>
      </w:r>
      <w:r>
        <w:rPr>
          <w:rFonts w:hint="eastAsia" w:ascii="仿宋" w:hAnsi="仿宋" w:eastAsia="仿宋" w:cs="仿宋"/>
          <w:sz w:val="32"/>
          <w:szCs w:val="32"/>
          <w:lang w:val="en-US" w:eastAsia="zh-CN"/>
        </w:rPr>
        <w:t>公车改革后，我区公务用车普遍老化严重，超过8年以上的车辆60辆，其中行驶里程达30万公里以上的8辆，20万公里以上的40辆，部分车辆维修维护成本较高，严重影响公车保障效率和行车安全。</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bCs/>
          <w:sz w:val="32"/>
          <w:szCs w:val="32"/>
          <w:lang w:val="zh-CN"/>
        </w:rPr>
      </w:pPr>
      <w:r>
        <w:rPr>
          <w:rFonts w:hint="eastAsia" w:ascii="仿宋" w:hAnsi="仿宋" w:eastAsia="仿宋" w:cs="仿宋"/>
          <w:b/>
          <w:bCs/>
          <w:sz w:val="32"/>
          <w:szCs w:val="32"/>
          <w:lang w:val="zh-CN"/>
        </w:rPr>
        <w:t>（三）相关建议</w:t>
      </w:r>
    </w:p>
    <w:p>
      <w:pPr>
        <w:pageBreakBefore w:val="0"/>
        <w:kinsoku/>
        <w:wordWrap/>
        <w:overflowPunct/>
        <w:topLinePunct w:val="0"/>
        <w:bidi w:val="0"/>
        <w:adjustRightInd w:val="0"/>
        <w:snapToGrid w:val="0"/>
        <w:spacing w:line="576"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财政预算每年适时更新车辆费用。</w:t>
      </w:r>
    </w:p>
    <w:p>
      <w:pPr>
        <w:pageBreakBefore w:val="0"/>
        <w:kinsoku/>
        <w:wordWrap/>
        <w:overflowPunct/>
        <w:topLinePunct w:val="0"/>
        <w:bidi w:val="0"/>
        <w:spacing w:line="576" w:lineRule="exact"/>
        <w:jc w:val="center"/>
        <w:rPr>
          <w:rFonts w:hint="eastAsia" w:ascii="方正小标宋简体" w:hAnsi="方正小标宋简体" w:eastAsia="方正小标宋简体" w:cs="方正小标宋简体"/>
          <w:b w:val="0"/>
          <w:bCs w:val="0"/>
          <w:color w:val="000000"/>
          <w:w w:val="100"/>
          <w:sz w:val="44"/>
          <w:szCs w:val="44"/>
          <w:lang w:val="en-US" w:eastAsia="zh-CN"/>
        </w:rPr>
      </w:pPr>
    </w:p>
    <w:p>
      <w:pPr>
        <w:pageBreakBefore w:val="0"/>
        <w:kinsoku/>
        <w:wordWrap/>
        <w:overflowPunct/>
        <w:topLinePunct w:val="0"/>
        <w:bidi w:val="0"/>
        <w:spacing w:line="576" w:lineRule="exact"/>
        <w:jc w:val="center"/>
        <w:rPr>
          <w:rFonts w:hint="eastAsia" w:ascii="方正小标宋简体" w:hAnsi="方正小标宋简体" w:eastAsia="方正小标宋简体" w:cs="方正小标宋简体"/>
          <w:b w:val="0"/>
          <w:bCs w:val="0"/>
          <w:color w:val="000000"/>
          <w:w w:val="100"/>
          <w:sz w:val="44"/>
          <w:szCs w:val="44"/>
          <w:lang w:val="en-US" w:eastAsia="zh-CN"/>
        </w:rPr>
      </w:pPr>
    </w:p>
    <w:p>
      <w:pPr>
        <w:pageBreakBefore w:val="0"/>
        <w:kinsoku/>
        <w:wordWrap/>
        <w:overflowPunct/>
        <w:topLinePunct w:val="0"/>
        <w:bidi w:val="0"/>
        <w:spacing w:line="576" w:lineRule="exact"/>
        <w:jc w:val="center"/>
        <w:rPr>
          <w:rFonts w:hint="eastAsia" w:ascii="方正小标宋简体" w:hAnsi="方正小标宋简体" w:eastAsia="方正小标宋简体" w:cs="方正小标宋简体"/>
          <w:b w:val="0"/>
          <w:bCs w:val="0"/>
          <w:color w:val="000000"/>
          <w:w w:val="100"/>
          <w:sz w:val="44"/>
          <w:szCs w:val="44"/>
          <w:lang w:val="en-US" w:eastAsia="zh-CN"/>
        </w:rPr>
      </w:pPr>
    </w:p>
    <w:p>
      <w:pPr>
        <w:pageBreakBefore w:val="0"/>
        <w:kinsoku/>
        <w:wordWrap/>
        <w:overflowPunct/>
        <w:topLinePunct w:val="0"/>
        <w:bidi w:val="0"/>
        <w:spacing w:line="576" w:lineRule="exact"/>
        <w:jc w:val="center"/>
        <w:rPr>
          <w:rFonts w:hint="eastAsia" w:ascii="方正小标宋简体" w:hAnsi="方正小标宋简体" w:eastAsia="方正小标宋简体" w:cs="方正小标宋简体"/>
          <w:b w:val="0"/>
          <w:bCs w:val="0"/>
          <w:color w:val="000000"/>
          <w:w w:val="100"/>
          <w:sz w:val="44"/>
          <w:szCs w:val="44"/>
          <w:lang w:val="en-US" w:eastAsia="zh-CN"/>
        </w:rPr>
      </w:pPr>
    </w:p>
    <w:p>
      <w:pPr>
        <w:pageBreakBefore w:val="0"/>
        <w:kinsoku/>
        <w:wordWrap/>
        <w:overflowPunct/>
        <w:topLinePunct w:val="0"/>
        <w:bidi w:val="0"/>
        <w:spacing w:line="576" w:lineRule="exact"/>
        <w:jc w:val="center"/>
        <w:rPr>
          <w:rFonts w:hint="eastAsia" w:ascii="方正小标宋简体" w:hAnsi="方正小标宋简体" w:eastAsia="方正小标宋简体" w:cs="方正小标宋简体"/>
          <w:b w:val="0"/>
          <w:bCs w:val="0"/>
          <w:color w:val="000000"/>
          <w:w w:val="100"/>
          <w:sz w:val="44"/>
          <w:szCs w:val="44"/>
          <w:lang w:val="en-US" w:eastAsia="zh-CN"/>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color w:val="000000"/>
          <w:w w:val="100"/>
          <w:sz w:val="32"/>
          <w:szCs w:val="32"/>
        </w:rPr>
      </w:pP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color w:val="000000"/>
          <w:w w:val="100"/>
          <w:sz w:val="32"/>
          <w:szCs w:val="32"/>
        </w:rPr>
      </w:pPr>
      <w:r>
        <w:rPr>
          <w:rFonts w:hint="eastAsia" w:ascii="仿宋" w:hAnsi="仿宋" w:eastAsia="仿宋" w:cs="仿宋"/>
          <w:b/>
          <w:bCs/>
          <w:color w:val="000000"/>
          <w:w w:val="100"/>
          <w:sz w:val="32"/>
          <w:szCs w:val="32"/>
        </w:rPr>
        <w:t>202</w:t>
      </w:r>
      <w:r>
        <w:rPr>
          <w:rFonts w:hint="eastAsia" w:ascii="仿宋" w:hAnsi="仿宋" w:eastAsia="仿宋" w:cs="仿宋"/>
          <w:b/>
          <w:bCs/>
          <w:color w:val="000000"/>
          <w:w w:val="100"/>
          <w:sz w:val="32"/>
          <w:szCs w:val="32"/>
          <w:lang w:val="en-US" w:eastAsia="zh-CN"/>
        </w:rPr>
        <w:t>1</w:t>
      </w:r>
      <w:r>
        <w:rPr>
          <w:rFonts w:hint="eastAsia" w:ascii="仿宋" w:hAnsi="仿宋" w:eastAsia="仿宋" w:cs="仿宋"/>
          <w:b/>
          <w:bCs/>
          <w:color w:val="000000"/>
          <w:w w:val="100"/>
          <w:sz w:val="32"/>
          <w:szCs w:val="32"/>
        </w:rPr>
        <w:t>年利州区人民法院配套设施改建工程</w:t>
      </w:r>
    </w:p>
    <w:p>
      <w:pPr>
        <w:pStyle w:val="31"/>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b/>
          <w:bCs/>
          <w:color w:val="000000"/>
          <w:sz w:val="32"/>
          <w:szCs w:val="32"/>
        </w:rPr>
      </w:pPr>
      <w:r>
        <w:rPr>
          <w:rFonts w:hint="eastAsia" w:ascii="仿宋" w:hAnsi="仿宋" w:eastAsia="仿宋" w:cs="仿宋"/>
          <w:b/>
          <w:bCs w:val="0"/>
          <w:sz w:val="32"/>
          <w:szCs w:val="32"/>
          <w:lang w:val="en-US" w:eastAsia="zh-CN"/>
        </w:rPr>
        <w:t>专项</w:t>
      </w:r>
      <w:r>
        <w:rPr>
          <w:rFonts w:hint="eastAsia" w:ascii="仿宋" w:hAnsi="仿宋" w:eastAsia="仿宋" w:cs="仿宋"/>
          <w:b/>
          <w:bCs w:val="0"/>
          <w:sz w:val="32"/>
          <w:szCs w:val="32"/>
          <w:lang w:val="zh-CN" w:eastAsia="zh-CN"/>
        </w:rPr>
        <w:t>预算项目支出绩效自评报告</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bCs w:val="0"/>
          <w:sz w:val="32"/>
          <w:szCs w:val="32"/>
          <w:lang w:val="zh-CN"/>
        </w:rPr>
      </w:pPr>
      <w:r>
        <w:rPr>
          <w:rFonts w:hint="eastAsia" w:ascii="仿宋" w:hAnsi="仿宋" w:eastAsia="仿宋" w:cs="仿宋"/>
          <w:b/>
          <w:bCs w:val="0"/>
          <w:sz w:val="32"/>
          <w:szCs w:val="32"/>
        </w:rPr>
        <w:t>一、</w:t>
      </w:r>
      <w:r>
        <w:rPr>
          <w:rFonts w:hint="eastAsia" w:ascii="仿宋" w:hAnsi="仿宋" w:eastAsia="仿宋" w:cs="仿宋"/>
          <w:b/>
          <w:bCs w:val="0"/>
          <w:sz w:val="32"/>
          <w:szCs w:val="32"/>
          <w:lang w:val="zh-CN"/>
        </w:rPr>
        <w:t>项目概况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（一）项目基本情况。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1、利州区人民法院配套设施改建工程</w:t>
      </w:r>
      <w:r>
        <w:rPr>
          <w:rFonts w:hint="eastAsia" w:ascii="仿宋" w:hAnsi="仿宋" w:eastAsia="仿宋" w:cs="仿宋"/>
          <w:sz w:val="32"/>
          <w:szCs w:val="32"/>
          <w:lang w:val="zh-CN" w:eastAsia="zh-CN"/>
        </w:rPr>
        <w:t>项目在管理中的职能</w:t>
      </w:r>
      <w:r>
        <w:rPr>
          <w:rFonts w:hint="eastAsia" w:ascii="仿宋" w:hAnsi="仿宋" w:eastAsia="仿宋" w:cs="仿宋"/>
          <w:sz w:val="32"/>
          <w:szCs w:val="32"/>
          <w:lang w:val="en-US" w:eastAsia="zh-CN"/>
        </w:rPr>
        <w:t>广元市利州区法院主体建筑及其法院内配套附属设施均于1998年竣工交付使用。2008年汶川大地震后，完成了利州区法院内主楼西侧审判综合楼的建设，与利州区法院主楼连成。通过本项目建设，将能满足法院工作的需要，保证其正常工作的开展，切实满足辖区人民群众的司法需求和对社会公平正义期待。本项目预算资金为145万元。</w:t>
      </w:r>
    </w:p>
    <w:p>
      <w:pPr>
        <w:keepNext w:val="0"/>
        <w:keepLines w:val="0"/>
        <w:pageBreakBefore w:val="0"/>
        <w:numPr>
          <w:ilvl w:val="0"/>
          <w:numId w:val="15"/>
        </w:numPr>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bCs/>
          <w:sz w:val="32"/>
          <w:szCs w:val="32"/>
          <w:lang w:val="zh-CN"/>
        </w:rPr>
        <w:t>项目立项、资金申报的依据。</w:t>
      </w:r>
      <w:r>
        <w:rPr>
          <w:rFonts w:hint="eastAsia" w:ascii="仿宋" w:hAnsi="仿宋" w:eastAsia="仿宋" w:cs="仿宋"/>
          <w:sz w:val="32"/>
          <w:szCs w:val="32"/>
          <w:lang w:val="en-US" w:eastAsia="zh-CN"/>
        </w:rPr>
        <w:t>该项目通过公开招标，项目开展前，根据需要开支金额进行申报，能保证工作的正常开展，使用过程符合资金管理办法相关规定，无违规现象。</w:t>
      </w:r>
    </w:p>
    <w:p>
      <w:pPr>
        <w:keepNext w:val="0"/>
        <w:keepLines w:val="0"/>
        <w:pageBreakBefore w:val="0"/>
        <w:kinsoku/>
        <w:wordWrap/>
        <w:overflowPunct/>
        <w:topLinePunct w:val="0"/>
        <w:autoSpaceDE/>
        <w:autoSpaceDN/>
        <w:bidi w:val="0"/>
        <w:spacing w:line="576" w:lineRule="exact"/>
        <w:ind w:firstLine="642" w:firstLineChars="200"/>
        <w:textAlignment w:val="auto"/>
        <w:rPr>
          <w:rFonts w:hint="eastAsia" w:ascii="仿宋" w:hAnsi="仿宋" w:eastAsia="仿宋" w:cs="仿宋"/>
          <w:sz w:val="32"/>
          <w:szCs w:val="32"/>
          <w:lang w:val="zh-CN" w:eastAsia="zh-CN"/>
        </w:rPr>
      </w:pPr>
      <w:r>
        <w:rPr>
          <w:rFonts w:hint="eastAsia" w:ascii="仿宋" w:hAnsi="仿宋" w:eastAsia="仿宋" w:cs="仿宋"/>
          <w:b/>
          <w:bCs w:val="0"/>
          <w:sz w:val="32"/>
          <w:szCs w:val="32"/>
          <w:lang w:val="zh-CN"/>
        </w:rPr>
        <w:t>（二）项目绩效目标。</w:t>
      </w:r>
      <w:r>
        <w:rPr>
          <w:rFonts w:hint="eastAsia" w:ascii="仿宋" w:hAnsi="仿宋" w:eastAsia="仿宋" w:cs="仿宋"/>
          <w:sz w:val="32"/>
          <w:szCs w:val="32"/>
          <w:lang w:val="en-US" w:eastAsia="zh-CN"/>
        </w:rPr>
        <w:t>实施广元市利州区人民法院配套设施改建工程，有利于利州区人民法院通过就近就地便民的优势充分发挥审判职能作用，为预防和解决纠纷，拓宽服务领域，加大服务力度，满足利州区人民法院服务辖区内经济发展对法律服务的需求，保障和促进市场经济的健康运行和城乡经济的顺利发展都将起到重要作用。</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二、项目实施及管理情况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zh-CN"/>
        </w:rPr>
        <w:t>（一）项目资金申报及批复情况。</w:t>
      </w:r>
      <w:r>
        <w:rPr>
          <w:rFonts w:hint="eastAsia" w:ascii="仿宋" w:hAnsi="仿宋" w:eastAsia="仿宋" w:cs="仿宋"/>
          <w:sz w:val="32"/>
          <w:szCs w:val="32"/>
          <w:lang w:val="zh-CN"/>
        </w:rPr>
        <w:t>资金计划及到位</w:t>
      </w:r>
      <w:r>
        <w:rPr>
          <w:rFonts w:hint="eastAsia" w:ascii="仿宋" w:hAnsi="仿宋" w:eastAsia="仿宋" w:cs="仿宋"/>
          <w:sz w:val="32"/>
          <w:szCs w:val="32"/>
          <w:lang w:val="en-US" w:eastAsia="zh-CN"/>
        </w:rPr>
        <w:t>情况。广元市利州区人民法院配套设施改建工程项目预算145万元，</w:t>
      </w:r>
      <w:r>
        <w:rPr>
          <w:rFonts w:hint="eastAsia" w:ascii="仿宋" w:hAnsi="仿宋" w:eastAsia="仿宋" w:cs="仿宋"/>
          <w:sz w:val="32"/>
          <w:szCs w:val="32"/>
          <w:lang w:val="zh-CN" w:eastAsia="zh-CN"/>
        </w:rPr>
        <w:t>截止评价时</w:t>
      </w:r>
      <w:r>
        <w:rPr>
          <w:rFonts w:hint="eastAsia" w:ascii="仿宋" w:hAnsi="仿宋" w:eastAsia="仿宋" w:cs="仿宋"/>
          <w:sz w:val="32"/>
          <w:szCs w:val="32"/>
          <w:lang w:val="en-US" w:eastAsia="zh-CN"/>
        </w:rPr>
        <w:t>已全部执行。</w:t>
      </w:r>
    </w:p>
    <w:p>
      <w:pPr>
        <w:keepNext w:val="0"/>
        <w:keepLines w:val="0"/>
        <w:pageBreakBefore w:val="0"/>
        <w:numPr>
          <w:ilvl w:val="0"/>
          <w:numId w:val="16"/>
        </w:numPr>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zh-CN"/>
        </w:rPr>
        <w:t>资金计划、到位及使用情况。</w:t>
      </w:r>
      <w:r>
        <w:rPr>
          <w:rFonts w:hint="eastAsia" w:ascii="仿宋" w:hAnsi="仿宋" w:eastAsia="仿宋" w:cs="仿宋"/>
          <w:sz w:val="32"/>
          <w:szCs w:val="32"/>
          <w:lang w:val="en-US" w:eastAsia="zh-CN"/>
        </w:rPr>
        <w:t>该项目资金主要用于人工费、材料费、图审费等相关费用，按相关规定执行，无超标准现象。项目经费根据合同约定采取财政直接支付方式进行结算。</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eastAsia="zh-CN"/>
        </w:rPr>
        <w:t>（三）项目财务管理情况。</w:t>
      </w:r>
      <w:r>
        <w:rPr>
          <w:rFonts w:hint="eastAsia" w:ascii="仿宋" w:hAnsi="仿宋" w:eastAsia="仿宋" w:cs="仿宋"/>
          <w:sz w:val="32"/>
          <w:szCs w:val="32"/>
          <w:lang w:val="en-US" w:eastAsia="zh-CN"/>
        </w:rPr>
        <w:t>区机关事务服务中心建立了相关财务制度，</w:t>
      </w:r>
      <w:r>
        <w:rPr>
          <w:rFonts w:hint="eastAsia" w:ascii="仿宋" w:hAnsi="仿宋" w:eastAsia="仿宋" w:cs="仿宋"/>
          <w:sz w:val="32"/>
          <w:szCs w:val="32"/>
          <w:lang w:val="zh-CN"/>
        </w:rPr>
        <w:t>会计核算及账务处理</w:t>
      </w:r>
      <w:r>
        <w:rPr>
          <w:rFonts w:hint="eastAsia" w:ascii="仿宋" w:hAnsi="仿宋" w:eastAsia="仿宋" w:cs="仿宋"/>
          <w:sz w:val="32"/>
          <w:szCs w:val="32"/>
          <w:lang w:val="en-US" w:eastAsia="zh-CN"/>
        </w:rPr>
        <w:t>均按相关规定执行</w:t>
      </w:r>
      <w:r>
        <w:rPr>
          <w:rFonts w:hint="eastAsia" w:ascii="仿宋" w:hAnsi="仿宋" w:eastAsia="仿宋" w:cs="仿宋"/>
          <w:sz w:val="32"/>
          <w:szCs w:val="32"/>
          <w:lang w:val="zh-CN"/>
        </w:rPr>
        <w:t>。严格执行财务管理制度、财务处理及时、会计核算规范。</w:t>
      </w:r>
    </w:p>
    <w:p>
      <w:pPr>
        <w:keepNext w:val="0"/>
        <w:keepLines w:val="0"/>
        <w:pageBreakBefore w:val="0"/>
        <w:kinsoku/>
        <w:wordWrap/>
        <w:overflowPunct/>
        <w:topLinePunct w:val="0"/>
        <w:autoSpaceDE/>
        <w:autoSpaceDN/>
        <w:bidi w:val="0"/>
        <w:spacing w:line="576" w:lineRule="exact"/>
        <w:ind w:firstLine="642" w:firstLineChars="20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三、项目实施及管理情况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b/>
          <w:color w:val="000000"/>
          <w:sz w:val="32"/>
          <w:szCs w:val="32"/>
        </w:rPr>
      </w:pPr>
      <w:r>
        <w:rPr>
          <w:rFonts w:hint="eastAsia" w:ascii="仿宋" w:hAnsi="仿宋" w:eastAsia="仿宋" w:cs="仿宋"/>
          <w:sz w:val="32"/>
          <w:szCs w:val="32"/>
          <w:lang w:val="en-US" w:eastAsia="zh-CN"/>
        </w:rPr>
        <w:t>该项目采用政府采购招标，主要由分管领导及相关股室负责实施，根据工作实际情况，提出申请，经主要领导或主任办公会同意后方可执行。</w:t>
      </w:r>
    </w:p>
    <w:p>
      <w:pPr>
        <w:keepNext w:val="0"/>
        <w:keepLines w:val="0"/>
        <w:pageBreakBefore w:val="0"/>
        <w:widowControl/>
        <w:kinsoku/>
        <w:wordWrap/>
        <w:overflowPunct/>
        <w:topLinePunct w:val="0"/>
        <w:autoSpaceDE/>
        <w:autoSpaceDN/>
        <w:bidi w:val="0"/>
        <w:spacing w:line="576" w:lineRule="exact"/>
        <w:ind w:firstLine="642" w:firstLineChars="200"/>
        <w:jc w:val="left"/>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四、项目绩效情况</w:t>
      </w:r>
    </w:p>
    <w:p>
      <w:pPr>
        <w:keepNext w:val="0"/>
        <w:keepLines w:val="0"/>
        <w:pageBreakBefore w:val="0"/>
        <w:widowControl/>
        <w:kinsoku/>
        <w:wordWrap/>
        <w:overflowPunct/>
        <w:topLinePunct w:val="0"/>
        <w:autoSpaceDE/>
        <w:autoSpaceDN/>
        <w:bidi w:val="0"/>
        <w:spacing w:line="576" w:lineRule="exact"/>
        <w:ind w:firstLine="642"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zh-CN"/>
        </w:rPr>
        <w:t>（一）项目完成情况。</w:t>
      </w:r>
      <w:r>
        <w:rPr>
          <w:rFonts w:hint="eastAsia" w:ascii="仿宋" w:hAnsi="仿宋" w:eastAsia="仿宋" w:cs="仿宋"/>
          <w:sz w:val="32"/>
          <w:szCs w:val="32"/>
          <w:lang w:val="en-US" w:eastAsia="zh-CN"/>
        </w:rPr>
        <w:t>本项目是保证利州区人民法院正常工作的开展，保障和促进市场经济健康运行和城乡经济顺利发展的必要举措，主要包括：在利州区法院审判综合楼与东坝法庭之间新增连廊与楼梯；对利州区法院附属楼南侧立面进行改造（包括粘贴外墙砖、新增女儿墙、屋面防水及墙体加固）；在利州区法院后院内配套建设附属工程（包括新增通透式围墙、入户道路及沥青混凝土道路、主入口、次入口、停车位、绿化系统、雨水沟、健身场所等）。</w:t>
      </w:r>
    </w:p>
    <w:p>
      <w:pPr>
        <w:keepNext w:val="0"/>
        <w:keepLines w:val="0"/>
        <w:pageBreakBefore w:val="0"/>
        <w:kinsoku/>
        <w:wordWrap/>
        <w:overflowPunct/>
        <w:topLinePunct w:val="0"/>
        <w:autoSpaceDE/>
        <w:autoSpaceDN/>
        <w:bidi w:val="0"/>
        <w:spacing w:line="576" w:lineRule="exact"/>
        <w:ind w:firstLine="480" w:firstLineChars="150"/>
        <w:jc w:val="left"/>
        <w:textAlignment w:val="auto"/>
        <w:rPr>
          <w:rFonts w:hint="eastAsia" w:ascii="仿宋" w:hAnsi="仿宋" w:eastAsia="仿宋" w:cs="仿宋"/>
          <w:color w:val="000000"/>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zh-CN"/>
        </w:rPr>
        <w:t>（二）项目效益情况。</w:t>
      </w:r>
      <w:r>
        <w:rPr>
          <w:rFonts w:hint="eastAsia" w:ascii="仿宋" w:hAnsi="仿宋" w:eastAsia="仿宋" w:cs="仿宋"/>
          <w:sz w:val="32"/>
          <w:szCs w:val="32"/>
          <w:lang w:val="en-US" w:eastAsia="zh-CN"/>
        </w:rPr>
        <w:t>项目内容符合与区委区政府决策部署相关的要求；项目实施内容为我中心职能职责中的承担日常的事务性工作，与我中心职能职责密切相关。项目属于公共财政支出范围，符合相关财政支出政策。</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 五</w:t>
      </w:r>
      <w:r>
        <w:rPr>
          <w:rFonts w:hint="eastAsia" w:ascii="仿宋" w:hAnsi="仿宋" w:eastAsia="仿宋" w:cs="仿宋"/>
          <w:b/>
          <w:bCs/>
          <w:sz w:val="32"/>
          <w:szCs w:val="32"/>
          <w:lang w:eastAsia="zh-CN"/>
        </w:rPr>
        <w:t>、评价结论及建议</w:t>
      </w:r>
    </w:p>
    <w:p>
      <w:pPr>
        <w:pageBreakBefore w:val="0"/>
        <w:kinsoku/>
        <w:wordWrap/>
        <w:overflowPunct/>
        <w:topLinePunct w:val="0"/>
        <w:bidi w:val="0"/>
        <w:adjustRightInd w:val="0"/>
        <w:snapToGrid w:val="0"/>
        <w:spacing w:line="576"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eastAsia="zh-CN"/>
        </w:rPr>
        <w:t>（一）评价结论。</w:t>
      </w:r>
      <w:r>
        <w:rPr>
          <w:rFonts w:hint="eastAsia" w:ascii="仿宋" w:hAnsi="仿宋" w:eastAsia="仿宋" w:cs="仿宋"/>
          <w:sz w:val="32"/>
          <w:szCs w:val="32"/>
          <w:lang w:val="zh-CN"/>
        </w:rPr>
        <w:t>资金计划及到位，</w:t>
      </w:r>
      <w:r>
        <w:rPr>
          <w:rFonts w:hint="eastAsia" w:ascii="仿宋" w:hAnsi="仿宋" w:eastAsia="仿宋" w:cs="仿宋"/>
          <w:sz w:val="32"/>
          <w:szCs w:val="32"/>
          <w:lang w:val="en-US" w:eastAsia="zh-CN"/>
        </w:rPr>
        <w:t>利州区人民法院配套设施改建工程项目预算145万元，</w:t>
      </w:r>
      <w:r>
        <w:rPr>
          <w:rFonts w:hint="eastAsia" w:ascii="仿宋" w:hAnsi="仿宋" w:eastAsia="仿宋" w:cs="仿宋"/>
          <w:sz w:val="32"/>
          <w:szCs w:val="32"/>
          <w:lang w:val="zh-CN" w:eastAsia="zh-CN"/>
        </w:rPr>
        <w:t>截止评</w:t>
      </w:r>
      <w:r>
        <w:rPr>
          <w:rFonts w:hint="eastAsia" w:ascii="仿宋" w:hAnsi="仿宋" w:eastAsia="仿宋" w:cs="仿宋"/>
          <w:sz w:val="32"/>
          <w:szCs w:val="32"/>
          <w:lang w:val="zh-CN"/>
        </w:rPr>
        <w:t>价时</w:t>
      </w:r>
      <w:r>
        <w:rPr>
          <w:rFonts w:hint="eastAsia" w:ascii="仿宋" w:hAnsi="仿宋" w:eastAsia="仿宋" w:cs="仿宋"/>
          <w:sz w:val="32"/>
          <w:szCs w:val="32"/>
          <w:lang w:val="en-US" w:eastAsia="zh-CN"/>
        </w:rPr>
        <w:t>已全部执行，保障了全区，保障了法院办公用房正常使用。</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kern w:val="0"/>
          <w:sz w:val="32"/>
          <w:szCs w:val="32"/>
          <w:lang w:val="en-US" w:eastAsia="zh-CN"/>
        </w:rPr>
      </w:pPr>
      <w:r>
        <w:rPr>
          <w:rFonts w:hint="eastAsia" w:ascii="仿宋" w:hAnsi="仿宋" w:eastAsia="仿宋" w:cs="仿宋"/>
          <w:b/>
          <w:bCs/>
          <w:sz w:val="32"/>
          <w:szCs w:val="32"/>
          <w:lang w:val="zh-CN"/>
        </w:rPr>
        <w:t>（二）存在的问题。</w:t>
      </w:r>
      <w:r>
        <w:rPr>
          <w:rFonts w:hint="eastAsia" w:ascii="仿宋" w:hAnsi="仿宋" w:eastAsia="仿宋" w:cs="仿宋"/>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firstLine="960" w:firstLineChars="3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无。</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rPr>
        <w:t>（三）相关建议</w:t>
      </w:r>
    </w:p>
    <w:p>
      <w:pPr>
        <w:keepNext w:val="0"/>
        <w:keepLines w:val="0"/>
        <w:pageBreakBefore w:val="0"/>
        <w:widowControl w:val="0"/>
        <w:kinsoku/>
        <w:wordWrap/>
        <w:overflowPunct/>
        <w:topLinePunct w:val="0"/>
        <w:autoSpaceDE/>
        <w:autoSpaceDN/>
        <w:bidi w:val="0"/>
        <w:spacing w:line="576" w:lineRule="exact"/>
        <w:ind w:firstLine="960" w:firstLineChars="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pageBreakBefore w:val="0"/>
        <w:kinsoku/>
        <w:wordWrap/>
        <w:overflowPunct/>
        <w:topLinePunct w:val="0"/>
        <w:bidi w:val="0"/>
        <w:spacing w:line="576" w:lineRule="exact"/>
        <w:rPr>
          <w:rFonts w:hint="eastAsia" w:ascii="仿宋" w:hAnsi="仿宋" w:eastAsia="仿宋" w:cs="仿宋"/>
          <w:sz w:val="32"/>
          <w:szCs w:val="32"/>
          <w:lang w:val="en-US" w:eastAsia="zh-CN"/>
        </w:rPr>
      </w:pPr>
    </w:p>
    <w:p>
      <w:pPr>
        <w:pStyle w:val="2"/>
        <w:pageBreakBefore w:val="0"/>
        <w:kinsoku/>
        <w:wordWrap/>
        <w:overflowPunct/>
        <w:topLinePunct w:val="0"/>
        <w:bidi w:val="0"/>
        <w:spacing w:line="576" w:lineRule="exact"/>
        <w:rPr>
          <w:rFonts w:hint="eastAsia" w:ascii="仿宋" w:hAnsi="仿宋" w:eastAsia="仿宋" w:cs="仿宋"/>
          <w:sz w:val="32"/>
          <w:szCs w:val="32"/>
          <w:lang w:val="en-US" w:eastAsia="zh-CN"/>
        </w:rPr>
      </w:pPr>
    </w:p>
    <w:p>
      <w:pPr>
        <w:pStyle w:val="2"/>
        <w:pageBreakBefore w:val="0"/>
        <w:kinsoku/>
        <w:wordWrap/>
        <w:overflowPunct/>
        <w:topLinePunct w:val="0"/>
        <w:bidi w:val="0"/>
        <w:spacing w:line="576" w:lineRule="exact"/>
        <w:rPr>
          <w:rFonts w:hint="eastAsia"/>
          <w:lang w:val="en-US" w:eastAsia="zh-CN"/>
        </w:rPr>
      </w:pPr>
    </w:p>
    <w:p>
      <w:pPr>
        <w:pStyle w:val="2"/>
        <w:pageBreakBefore w:val="0"/>
        <w:kinsoku/>
        <w:wordWrap/>
        <w:overflowPunct/>
        <w:topLinePunct w:val="0"/>
        <w:bidi w:val="0"/>
        <w:spacing w:line="576" w:lineRule="exact"/>
        <w:rPr>
          <w:rFonts w:hint="eastAsia"/>
          <w:lang w:val="en-US" w:eastAsia="zh-CN"/>
        </w:rPr>
      </w:pPr>
    </w:p>
    <w:p>
      <w:pPr>
        <w:pStyle w:val="2"/>
        <w:pageBreakBefore w:val="0"/>
        <w:kinsoku/>
        <w:wordWrap/>
        <w:overflowPunct/>
        <w:topLinePunct w:val="0"/>
        <w:bidi w:val="0"/>
        <w:spacing w:line="576" w:lineRule="exact"/>
        <w:rPr>
          <w:rFonts w:hint="eastAsia"/>
          <w:lang w:val="en-US" w:eastAsia="zh-CN"/>
        </w:rPr>
      </w:pPr>
    </w:p>
    <w:p>
      <w:pPr>
        <w:pStyle w:val="2"/>
        <w:pageBreakBefore w:val="0"/>
        <w:kinsoku/>
        <w:wordWrap/>
        <w:overflowPunct/>
        <w:topLinePunct w:val="0"/>
        <w:bidi w:val="0"/>
        <w:spacing w:line="576" w:lineRule="exact"/>
        <w:rPr>
          <w:rFonts w:hint="eastAsia"/>
          <w:lang w:val="en-US" w:eastAsia="zh-CN"/>
        </w:rPr>
      </w:pPr>
    </w:p>
    <w:p>
      <w:pPr>
        <w:pStyle w:val="2"/>
        <w:pageBreakBefore w:val="0"/>
        <w:kinsoku/>
        <w:wordWrap/>
        <w:overflowPunct/>
        <w:topLinePunct w:val="0"/>
        <w:bidi w:val="0"/>
        <w:spacing w:line="576" w:lineRule="exact"/>
        <w:rPr>
          <w:rFonts w:hint="eastAsia"/>
          <w:lang w:val="en-US" w:eastAsia="zh-CN"/>
        </w:rPr>
      </w:pPr>
    </w:p>
    <w:p>
      <w:pPr>
        <w:pStyle w:val="2"/>
        <w:pageBreakBefore w:val="0"/>
        <w:kinsoku/>
        <w:wordWrap/>
        <w:overflowPunct/>
        <w:topLinePunct w:val="0"/>
        <w:bidi w:val="0"/>
        <w:spacing w:line="576" w:lineRule="exact"/>
        <w:rPr>
          <w:rFonts w:hint="eastAsia"/>
          <w:lang w:val="en-US" w:eastAsia="zh-CN"/>
        </w:rPr>
      </w:pPr>
    </w:p>
    <w:p>
      <w:pPr>
        <w:pStyle w:val="2"/>
        <w:pageBreakBefore w:val="0"/>
        <w:kinsoku/>
        <w:wordWrap/>
        <w:overflowPunct/>
        <w:topLinePunct w:val="0"/>
        <w:bidi w:val="0"/>
        <w:spacing w:line="576" w:lineRule="exact"/>
        <w:rPr>
          <w:rFonts w:hint="eastAsia"/>
          <w:lang w:val="en-US" w:eastAsia="zh-CN"/>
        </w:rPr>
      </w:pPr>
    </w:p>
    <w:p>
      <w:pPr>
        <w:pStyle w:val="2"/>
        <w:pageBreakBefore w:val="0"/>
        <w:kinsoku/>
        <w:wordWrap/>
        <w:overflowPunct/>
        <w:topLinePunct w:val="0"/>
        <w:bidi w:val="0"/>
        <w:spacing w:line="576" w:lineRule="exact"/>
        <w:rPr>
          <w:rFonts w:hint="eastAsia"/>
          <w:lang w:val="en-US" w:eastAsia="zh-CN"/>
        </w:rPr>
      </w:pPr>
    </w:p>
    <w:p>
      <w:pPr>
        <w:pStyle w:val="2"/>
        <w:pageBreakBefore w:val="0"/>
        <w:kinsoku/>
        <w:wordWrap/>
        <w:overflowPunct/>
        <w:topLinePunct w:val="0"/>
        <w:bidi w:val="0"/>
        <w:spacing w:line="576" w:lineRule="exact"/>
        <w:rPr>
          <w:rFonts w:hint="default"/>
          <w:lang w:val="en-US" w:eastAsia="zh-CN"/>
        </w:rPr>
      </w:pPr>
    </w:p>
    <w:p>
      <w:pPr>
        <w:pStyle w:val="2"/>
        <w:pageBreakBefore w:val="0"/>
        <w:kinsoku/>
        <w:wordWrap/>
        <w:overflowPunct/>
        <w:topLinePunct w:val="0"/>
        <w:bidi w:val="0"/>
        <w:spacing w:line="576" w:lineRule="exact"/>
        <w:rPr>
          <w:rFonts w:hint="default"/>
          <w:lang w:val="en-US" w:eastAsia="zh-CN"/>
        </w:rPr>
      </w:pPr>
    </w:p>
    <w:p>
      <w:pPr>
        <w:pStyle w:val="2"/>
        <w:pageBreakBefore w:val="0"/>
        <w:kinsoku/>
        <w:wordWrap/>
        <w:overflowPunct/>
        <w:topLinePunct w:val="0"/>
        <w:bidi w:val="0"/>
        <w:spacing w:line="576" w:lineRule="exact"/>
        <w:rPr>
          <w:rFonts w:hint="default"/>
          <w:lang w:val="en-US" w:eastAsia="zh-CN"/>
        </w:rPr>
      </w:pPr>
    </w:p>
    <w:p>
      <w:pPr>
        <w:pageBreakBefore w:val="0"/>
        <w:kinsoku/>
        <w:wordWrap/>
        <w:overflowPunct/>
        <w:topLinePunct w:val="0"/>
        <w:bidi w:val="0"/>
        <w:spacing w:line="576" w:lineRule="exact"/>
        <w:ind w:firstLine="321" w:firstLineChars="100"/>
        <w:jc w:val="center"/>
        <w:rPr>
          <w:rFonts w:hint="eastAsia" w:ascii="仿宋" w:hAnsi="仿宋" w:eastAsia="仿宋" w:cs="仿宋"/>
          <w:b/>
          <w:bCs/>
          <w:color w:val="000000"/>
          <w:sz w:val="32"/>
          <w:szCs w:val="32"/>
          <w:lang w:val="en-US" w:eastAsia="zh-CN"/>
        </w:rPr>
      </w:pPr>
    </w:p>
    <w:p>
      <w:pPr>
        <w:pageBreakBefore w:val="0"/>
        <w:kinsoku/>
        <w:wordWrap/>
        <w:overflowPunct/>
        <w:topLinePunct w:val="0"/>
        <w:bidi w:val="0"/>
        <w:spacing w:line="576" w:lineRule="exact"/>
        <w:ind w:firstLine="321" w:firstLineChars="100"/>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2021年100万以上（含）特定目标类部门</w:t>
      </w:r>
    </w:p>
    <w:p>
      <w:pPr>
        <w:pageBreakBefore w:val="0"/>
        <w:kinsoku/>
        <w:wordWrap/>
        <w:overflowPunct/>
        <w:topLinePunct w:val="0"/>
        <w:bidi w:val="0"/>
        <w:spacing w:line="576" w:lineRule="exact"/>
        <w:ind w:firstLine="321" w:firstLineChars="100"/>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预算项目绩效目标</w:t>
      </w:r>
    </w:p>
    <w:p>
      <w:pPr>
        <w:pageBreakBefore w:val="0"/>
        <w:kinsoku/>
        <w:wordWrap/>
        <w:overflowPunct/>
        <w:topLinePunct w:val="0"/>
        <w:bidi w:val="0"/>
        <w:spacing w:line="576" w:lineRule="exact"/>
        <w:ind w:firstLine="1960" w:firstLineChars="700"/>
        <w:jc w:val="both"/>
        <w:rPr>
          <w:rFonts w:hint="eastAsia" w:ascii="方正黑体简体" w:hAnsi="宋体" w:eastAsia="方正黑体简体" w:cs="宋体"/>
          <w:color w:val="000000"/>
          <w:sz w:val="28"/>
          <w:szCs w:val="28"/>
          <w:lang w:eastAsia="zh-CN"/>
        </w:rPr>
      </w:pPr>
      <w:r>
        <w:rPr>
          <w:rFonts w:hint="eastAsia" w:ascii="方正黑体简体" w:hAnsi="宋体" w:eastAsia="方正黑体简体" w:cs="宋体"/>
          <w:color w:val="000000"/>
          <w:sz w:val="28"/>
          <w:szCs w:val="28"/>
        </w:rPr>
        <w:t>2021年</w:t>
      </w:r>
      <w:r>
        <w:rPr>
          <w:rFonts w:hint="eastAsia" w:ascii="方正黑体简体" w:hAnsi="宋体" w:eastAsia="方正黑体简体" w:cs="宋体"/>
          <w:color w:val="000000"/>
          <w:sz w:val="28"/>
          <w:szCs w:val="28"/>
          <w:lang w:eastAsia="zh-CN"/>
        </w:rPr>
        <w:t>区机关事务服务中心法院维修</w:t>
      </w:r>
    </w:p>
    <w:p>
      <w:pPr>
        <w:pageBreakBefore w:val="0"/>
        <w:kinsoku/>
        <w:wordWrap/>
        <w:overflowPunct/>
        <w:topLinePunct w:val="0"/>
        <w:bidi w:val="0"/>
        <w:spacing w:line="576" w:lineRule="exact"/>
        <w:ind w:firstLine="2800" w:firstLineChars="1000"/>
        <w:jc w:val="both"/>
        <w:rPr>
          <w:rFonts w:hint="eastAsia" w:ascii="方正黑体简体" w:eastAsia="方正黑体简体"/>
          <w:sz w:val="28"/>
          <w:szCs w:val="28"/>
          <w:lang w:eastAsia="zh-CN"/>
        </w:rPr>
      </w:pPr>
      <w:r>
        <w:rPr>
          <w:rFonts w:hint="eastAsia" w:ascii="方正黑体简体" w:hAnsi="宋体" w:eastAsia="方正黑体简体" w:cs="宋体"/>
          <w:color w:val="000000"/>
          <w:sz w:val="28"/>
          <w:szCs w:val="28"/>
        </w:rPr>
        <w:t>预算项目绩效目标自评</w:t>
      </w:r>
    </w:p>
    <w:tbl>
      <w:tblPr>
        <w:tblStyle w:val="12"/>
        <w:tblpPr w:leftFromText="180" w:rightFromText="180" w:vertAnchor="text" w:horzAnchor="margin" w:tblpY="510"/>
        <w:tblOverlap w:val="never"/>
        <w:tblW w:w="5276" w:type="pct"/>
        <w:tblInd w:w="0" w:type="dxa"/>
        <w:tblLayout w:type="autofit"/>
        <w:tblCellMar>
          <w:top w:w="0" w:type="dxa"/>
          <w:left w:w="108" w:type="dxa"/>
          <w:bottom w:w="0" w:type="dxa"/>
          <w:right w:w="108" w:type="dxa"/>
        </w:tblCellMar>
      </w:tblPr>
      <w:tblGrid>
        <w:gridCol w:w="2146"/>
        <w:gridCol w:w="759"/>
        <w:gridCol w:w="1227"/>
        <w:gridCol w:w="734"/>
        <w:gridCol w:w="1157"/>
        <w:gridCol w:w="1017"/>
        <w:gridCol w:w="1952"/>
      </w:tblGrid>
      <w:tr>
        <w:tblPrEx>
          <w:tblCellMar>
            <w:top w:w="0" w:type="dxa"/>
            <w:left w:w="108" w:type="dxa"/>
            <w:bottom w:w="0" w:type="dxa"/>
            <w:right w:w="108" w:type="dxa"/>
          </w:tblCellMar>
        </w:tblPrEx>
        <w:trPr>
          <w:trHeight w:val="224" w:hRule="atLeast"/>
        </w:trPr>
        <w:tc>
          <w:tcPr>
            <w:tcW w:w="161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主管部门及代码</w:t>
            </w:r>
          </w:p>
        </w:tc>
        <w:tc>
          <w:tcPr>
            <w:tcW w:w="173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广元市利州区机关事务服务</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中心</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317301</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实施单位</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szCs w:val="21"/>
              </w:rPr>
              <w:t>区机关事务服务中心</w:t>
            </w:r>
          </w:p>
        </w:tc>
      </w:tr>
      <w:tr>
        <w:tblPrEx>
          <w:tblCellMar>
            <w:top w:w="0" w:type="dxa"/>
            <w:left w:w="108" w:type="dxa"/>
            <w:bottom w:w="0" w:type="dxa"/>
            <w:right w:w="108" w:type="dxa"/>
          </w:tblCellMar>
        </w:tblPrEx>
        <w:trPr>
          <w:trHeight w:val="300" w:hRule="atLeast"/>
        </w:trPr>
        <w:tc>
          <w:tcPr>
            <w:tcW w:w="1615"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项目预算</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执行情况</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（万元）</w:t>
            </w:r>
          </w:p>
        </w:tc>
        <w:tc>
          <w:tcPr>
            <w:tcW w:w="10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预算数：</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szCs w:val="21"/>
              </w:rPr>
              <w:t>145万</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kern w:val="0"/>
                <w:szCs w:val="21"/>
                <w:lang w:bidi="ar"/>
              </w:rPr>
              <w:t>执行数：</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szCs w:val="21"/>
              </w:rPr>
              <w:t>145万</w:t>
            </w:r>
          </w:p>
        </w:tc>
      </w:tr>
      <w:tr>
        <w:tblPrEx>
          <w:tblCellMar>
            <w:top w:w="0" w:type="dxa"/>
            <w:left w:w="108" w:type="dxa"/>
            <w:bottom w:w="0" w:type="dxa"/>
            <w:right w:w="108" w:type="dxa"/>
          </w:tblCellMar>
        </w:tblPrEx>
        <w:trPr>
          <w:trHeight w:val="570" w:hRule="atLeast"/>
        </w:trPr>
        <w:tc>
          <w:tcPr>
            <w:tcW w:w="161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cs="宋体"/>
                <w:color w:val="000000"/>
                <w:szCs w:val="21"/>
              </w:rPr>
            </w:pPr>
          </w:p>
        </w:tc>
        <w:tc>
          <w:tcPr>
            <w:tcW w:w="10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其中：</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财政拨款</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szCs w:val="21"/>
              </w:rPr>
              <w:t>145万</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其中：</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kern w:val="0"/>
                <w:szCs w:val="21"/>
                <w:lang w:bidi="ar"/>
              </w:rPr>
              <w:t>财政拨款</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szCs w:val="21"/>
              </w:rPr>
              <w:t>145万</w:t>
            </w:r>
          </w:p>
        </w:tc>
      </w:tr>
      <w:tr>
        <w:tblPrEx>
          <w:tblCellMar>
            <w:top w:w="0" w:type="dxa"/>
            <w:left w:w="108" w:type="dxa"/>
            <w:bottom w:w="0" w:type="dxa"/>
            <w:right w:w="108" w:type="dxa"/>
          </w:tblCellMar>
        </w:tblPrEx>
        <w:trPr>
          <w:trHeight w:val="300" w:hRule="atLeast"/>
        </w:trPr>
        <w:tc>
          <w:tcPr>
            <w:tcW w:w="161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cs="宋体"/>
                <w:color w:val="000000"/>
                <w:szCs w:val="21"/>
              </w:rPr>
            </w:pPr>
          </w:p>
        </w:tc>
        <w:tc>
          <w:tcPr>
            <w:tcW w:w="10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其他资金</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szCs w:val="21"/>
              </w:rPr>
              <w:t>0</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其他资金</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szCs w:val="21"/>
              </w:rPr>
              <w:t>0</w:t>
            </w:r>
          </w:p>
        </w:tc>
      </w:tr>
      <w:tr>
        <w:tblPrEx>
          <w:tblCellMar>
            <w:top w:w="0" w:type="dxa"/>
            <w:left w:w="108" w:type="dxa"/>
            <w:bottom w:w="0" w:type="dxa"/>
            <w:right w:w="108" w:type="dxa"/>
          </w:tblCellMar>
        </w:tblPrEx>
        <w:trPr>
          <w:trHeight w:val="191" w:hRule="atLeast"/>
        </w:trPr>
        <w:tc>
          <w:tcPr>
            <w:tcW w:w="119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年度总体目标</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完成情况</w:t>
            </w:r>
          </w:p>
        </w:tc>
        <w:tc>
          <w:tcPr>
            <w:tcW w:w="215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kern w:val="0"/>
                <w:szCs w:val="21"/>
                <w:lang w:bidi="ar"/>
              </w:rPr>
              <w:t>预期目标</w:t>
            </w:r>
          </w:p>
        </w:tc>
        <w:tc>
          <w:tcPr>
            <w:tcW w:w="16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宋体" w:hAnsi="宋体" w:cs="宋体"/>
                <w:color w:val="000000"/>
                <w:szCs w:val="21"/>
              </w:rPr>
            </w:pPr>
            <w:r>
              <w:rPr>
                <w:rFonts w:hint="eastAsia" w:ascii="宋体" w:hAnsi="宋体" w:cs="宋体"/>
                <w:color w:val="000000"/>
                <w:kern w:val="0"/>
                <w:szCs w:val="21"/>
                <w:lang w:bidi="ar"/>
              </w:rPr>
              <w:t>目标实际完成情况</w:t>
            </w:r>
          </w:p>
        </w:tc>
      </w:tr>
      <w:tr>
        <w:tblPrEx>
          <w:tblCellMar>
            <w:top w:w="0" w:type="dxa"/>
            <w:left w:w="108" w:type="dxa"/>
            <w:bottom w:w="0" w:type="dxa"/>
            <w:right w:w="108" w:type="dxa"/>
          </w:tblCellMar>
        </w:tblPrEx>
        <w:trPr>
          <w:trHeight w:val="1425" w:hRule="atLeast"/>
        </w:trPr>
        <w:tc>
          <w:tcPr>
            <w:tcW w:w="119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cs="宋体"/>
                <w:color w:val="000000"/>
                <w:szCs w:val="21"/>
              </w:rPr>
            </w:pPr>
          </w:p>
        </w:tc>
        <w:tc>
          <w:tcPr>
            <w:tcW w:w="215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top"/>
              <w:rPr>
                <w:rFonts w:ascii="宋体" w:hAnsi="宋体" w:cs="宋体"/>
                <w:color w:val="000000"/>
                <w:szCs w:val="21"/>
              </w:rPr>
            </w:pPr>
            <w:r>
              <w:rPr>
                <w:rFonts w:hint="eastAsia" w:ascii="宋体" w:hAnsi="宋体" w:cs="宋体"/>
                <w:color w:val="000000"/>
                <w:szCs w:val="21"/>
              </w:rPr>
              <w:t>通过该项目实施，为法院业务工作提供更好的基础保障，解决区人民法院配套设施不足的问题，满足法院需要，为地区经济社会持续健康发展提供有力的法治环境。</w:t>
            </w:r>
          </w:p>
        </w:tc>
        <w:tc>
          <w:tcPr>
            <w:tcW w:w="16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top"/>
              <w:rPr>
                <w:rFonts w:ascii="宋体" w:hAnsi="宋体" w:cs="宋体"/>
                <w:color w:val="000000"/>
                <w:szCs w:val="21"/>
              </w:rPr>
            </w:pPr>
            <w:r>
              <w:rPr>
                <w:rFonts w:hint="eastAsia" w:ascii="宋体" w:hAnsi="宋体" w:cs="宋体"/>
                <w:color w:val="000000"/>
                <w:szCs w:val="21"/>
              </w:rPr>
              <w:t>通过该项目实施，为法院业务工作提供更好的基础保障，解决区人民法院配套设施不足的问题，满足法院需要，为地区经济社会持续健康发展提供有力的法治环境。</w:t>
            </w:r>
          </w:p>
        </w:tc>
      </w:tr>
      <w:tr>
        <w:tblPrEx>
          <w:tblCellMar>
            <w:top w:w="0" w:type="dxa"/>
            <w:left w:w="108" w:type="dxa"/>
            <w:bottom w:w="0" w:type="dxa"/>
            <w:right w:w="108" w:type="dxa"/>
          </w:tblCellMar>
        </w:tblPrEx>
        <w:trPr>
          <w:trHeight w:val="650" w:hRule="atLeast"/>
        </w:trPr>
        <w:tc>
          <w:tcPr>
            <w:tcW w:w="1193"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lang w:bidi="ar"/>
              </w:rPr>
              <w:t>年度绩效指标完成情况</w:t>
            </w:r>
          </w:p>
        </w:tc>
        <w:tc>
          <w:tcPr>
            <w:tcW w:w="42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cs="仿宋_GB2312"/>
                <w:color w:val="000000"/>
                <w:kern w:val="0"/>
                <w:szCs w:val="21"/>
                <w:lang w:bidi="ar"/>
              </w:rPr>
            </w:pPr>
            <w:r>
              <w:rPr>
                <w:rFonts w:hint="eastAsia" w:ascii="仿宋_GB2312" w:hAnsi="仿宋_GB2312" w:cs="仿宋_GB2312"/>
                <w:color w:val="000000"/>
                <w:kern w:val="0"/>
                <w:szCs w:val="21"/>
                <w:lang w:bidi="ar"/>
              </w:rPr>
              <w:t>一级</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lang w:bidi="ar"/>
              </w:rPr>
              <w:t>指标</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cs="仿宋_GB2312"/>
                <w:color w:val="000000"/>
                <w:kern w:val="0"/>
                <w:szCs w:val="21"/>
                <w:lang w:bidi="ar"/>
              </w:rPr>
            </w:pPr>
            <w:r>
              <w:rPr>
                <w:rFonts w:hint="eastAsia" w:ascii="仿宋_GB2312" w:hAnsi="仿宋_GB2312" w:cs="仿宋_GB2312"/>
                <w:color w:val="000000"/>
                <w:kern w:val="0"/>
                <w:szCs w:val="21"/>
                <w:lang w:bidi="ar"/>
              </w:rPr>
              <w:t>二级</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lang w:bidi="ar"/>
              </w:rPr>
              <w:t>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cs="仿宋_GB2312"/>
                <w:color w:val="000000"/>
                <w:kern w:val="0"/>
                <w:szCs w:val="21"/>
                <w:lang w:bidi="ar"/>
              </w:rPr>
            </w:pPr>
            <w:r>
              <w:rPr>
                <w:rFonts w:hint="eastAsia" w:ascii="仿宋_GB2312" w:hAnsi="仿宋_GB2312" w:cs="仿宋_GB2312"/>
                <w:color w:val="000000"/>
                <w:kern w:val="0"/>
                <w:szCs w:val="21"/>
                <w:lang w:bidi="ar"/>
              </w:rPr>
              <w:t>三级</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lang w:bidi="ar"/>
              </w:rPr>
              <w:t>指标</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lang w:bidi="ar"/>
              </w:rPr>
              <w:t>预期指标值</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lang w:bidi="ar"/>
              </w:rPr>
              <w:t>实际完成指标值</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kern w:val="0"/>
                <w:szCs w:val="21"/>
                <w:lang w:bidi="ar"/>
              </w:rPr>
            </w:pPr>
            <w:r>
              <w:rPr>
                <w:rFonts w:hint="eastAsia" w:ascii="仿宋_GB2312" w:hAnsi="仿宋_GB2312" w:cs="仿宋_GB2312"/>
                <w:color w:val="000000"/>
                <w:kern w:val="0"/>
                <w:szCs w:val="21"/>
                <w:lang w:bidi="ar"/>
              </w:rPr>
              <w:t>完成</w:t>
            </w:r>
          </w:p>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指标</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利州区法院审判综合楼与东坝法庭4-6层间新增连廊</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22㎡</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910"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利州区法院审判综合楼与东坝法庭 4-6层间新增楼梯</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7㎡</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790"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将立面楼屋顶栏杆拆除之后新建女儿墙</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2.376</w:t>
            </w:r>
            <w:r>
              <w:t xml:space="preserve"> </w:t>
            </w:r>
            <w:r>
              <w:rPr>
                <w:rFonts w:ascii="仿宋_GB2312" w:cs="仿宋_GB2312"/>
                <w:color w:val="000000"/>
                <w:szCs w:val="21"/>
              </w:rPr>
              <w:t>m3</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屋面防水处理</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176㎡</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新增通透式围墙</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133m</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28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重新修复排水沟</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257m</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90"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新增沥青混凝土停车位</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82个、总面积约1128 ㎡</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新增非机动车车位（含路基层及车棚搭建）</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32㎡</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打造健身区域</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206㎡</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新增庭院灯</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12盏</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拆除原有老旧破损道路</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320㎡</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590"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法院内道路铺设透水砖</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180㎡</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院内铺设沥青混凝土道路</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600㎡</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新建值班室</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21㎡</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新增电子伸缩门</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10m</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新增成品岗亭</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1座</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新增绿化系统</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85</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绿化</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1539㎡</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新增花池</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38</w:t>
            </w:r>
            <w:r>
              <w:t xml:space="preserve"> </w:t>
            </w:r>
            <w:r>
              <w:rPr>
                <w:rFonts w:ascii="仿宋_GB2312" w:cs="仿宋_GB2312"/>
                <w:color w:val="000000"/>
                <w:szCs w:val="21"/>
              </w:rPr>
              <w:t>m³</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安装电瓶车充电桩</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7个</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cs="仿宋_GB2312"/>
                <w:color w:val="000000"/>
                <w:szCs w:val="21"/>
              </w:rPr>
            </w:pPr>
            <w:r>
              <w:rPr>
                <w:rFonts w:hint="eastAsia" w:ascii="仿宋_GB2312" w:cs="仿宋_GB2312"/>
                <w:color w:val="000000"/>
                <w:szCs w:val="21"/>
              </w:rPr>
              <w:t>墙面粘贴外墙瓷砖</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58㎡</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数量指标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cs="仿宋_GB2312"/>
                <w:color w:val="000000"/>
                <w:szCs w:val="21"/>
              </w:rPr>
            </w:pPr>
            <w:r>
              <w:rPr>
                <w:rFonts w:hint="eastAsia" w:ascii="仿宋_GB2312" w:cs="仿宋_GB2312"/>
                <w:color w:val="000000"/>
                <w:szCs w:val="21"/>
              </w:rPr>
              <w:t>新增排水沟</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257m</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质量指标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按《建筑工程施工质量评价标准》GB/T50375-2016</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1</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质量指标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按《建筑工程施工质量验收统一标准》GB50300-2013</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1</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358"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时效指标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项目规划建设期</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10月</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388"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时效指标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项目建设工期</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3月</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37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时效指标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项目完成时间</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2021年</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成本指标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配套设施改建工程费</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382万元</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560"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eastAsia="宋体" w:cs="仿宋_GB2312"/>
                <w:color w:val="000000"/>
                <w:kern w:val="0"/>
                <w:szCs w:val="21"/>
                <w:lang w:eastAsia="zh-CN" w:bidi="ar"/>
              </w:rPr>
            </w:pPr>
            <w:r>
              <w:rPr>
                <w:rFonts w:hint="eastAsia" w:ascii="仿宋_GB2312" w:hAnsi="仿宋_GB2312" w:cs="仿宋_GB2312"/>
                <w:color w:val="000000"/>
                <w:kern w:val="0"/>
                <w:szCs w:val="21"/>
                <w:lang w:bidi="ar"/>
              </w:rPr>
              <w:t>效益</w:t>
            </w:r>
          </w:p>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指标</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经济效益</w:t>
            </w:r>
            <w:r>
              <w:rPr>
                <w:rFonts w:ascii="仿宋_GB2312" w:hAnsi="仿宋_GB2312" w:cs="仿宋_GB2312"/>
                <w:color w:val="000000"/>
                <w:kern w:val="0"/>
                <w:szCs w:val="21"/>
                <w:lang w:bidi="ar"/>
              </w:rPr>
              <w:t xml:space="preserve">  </w:t>
            </w:r>
            <w:r>
              <w:rPr>
                <w:rFonts w:hint="eastAsia" w:ascii="仿宋_GB2312" w:hAnsi="仿宋_GB2312" w:cs="仿宋_GB2312"/>
                <w:color w:val="000000"/>
                <w:kern w:val="0"/>
                <w:szCs w:val="21"/>
                <w:lang w:bidi="ar"/>
              </w:rPr>
              <w:t>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带动就业、推动区域经济发</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一定程度</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社会效益</w:t>
            </w:r>
            <w:r>
              <w:rPr>
                <w:rFonts w:ascii="仿宋_GB2312" w:hAnsi="仿宋_GB2312" w:cs="仿宋_GB2312"/>
                <w:color w:val="000000"/>
                <w:kern w:val="0"/>
                <w:szCs w:val="21"/>
                <w:lang w:bidi="ar"/>
              </w:rPr>
              <w:t xml:space="preserve">  </w:t>
            </w:r>
            <w:r>
              <w:rPr>
                <w:rFonts w:hint="eastAsia" w:ascii="仿宋_GB2312" w:hAnsi="仿宋_GB2312" w:cs="仿宋_GB2312"/>
                <w:color w:val="000000"/>
                <w:kern w:val="0"/>
                <w:szCs w:val="21"/>
                <w:lang w:bidi="ar"/>
              </w:rPr>
              <w:t>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确保利州区法院工作的正常开展</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长期保障</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cs="仿宋_GB2312"/>
                <w:color w:val="000000"/>
                <w:kern w:val="0"/>
                <w:szCs w:val="21"/>
                <w:lang w:bidi="ar"/>
              </w:rPr>
            </w:pPr>
            <w:r>
              <w:rPr>
                <w:rFonts w:hint="eastAsia" w:ascii="仿宋_GB2312" w:hAnsi="仿宋_GB2312" w:cs="仿宋_GB2312"/>
                <w:color w:val="000000"/>
                <w:kern w:val="0"/>
                <w:szCs w:val="21"/>
                <w:lang w:bidi="ar"/>
              </w:rPr>
              <w:t>社会效益</w:t>
            </w:r>
            <w:r>
              <w:rPr>
                <w:rFonts w:ascii="仿宋_GB2312" w:hAnsi="仿宋_GB2312" w:cs="仿宋_GB2312"/>
                <w:color w:val="000000"/>
                <w:kern w:val="0"/>
                <w:szCs w:val="21"/>
                <w:lang w:bidi="ar"/>
              </w:rPr>
              <w:t xml:space="preserve">  </w:t>
            </w:r>
            <w:r>
              <w:rPr>
                <w:rFonts w:hint="eastAsia" w:ascii="仿宋_GB2312" w:hAnsi="仿宋_GB2312" w:cs="仿宋_GB2312"/>
                <w:color w:val="000000"/>
                <w:kern w:val="0"/>
                <w:szCs w:val="21"/>
                <w:lang w:bidi="ar"/>
              </w:rPr>
              <w:t>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优化法院布局，提升办案条件</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一定程度</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515"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93" w:leftChars="87" w:hanging="210" w:hangingChars="100"/>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生态益指标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节能、降耗</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一定程度</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可持续影响</w:t>
            </w:r>
            <w:r>
              <w:rPr>
                <w:rFonts w:ascii="仿宋_GB2312" w:hAnsi="仿宋_GB2312" w:cs="仿宋_GB2312"/>
                <w:color w:val="000000"/>
                <w:kern w:val="0"/>
                <w:szCs w:val="21"/>
                <w:lang w:bidi="ar"/>
              </w:rPr>
              <w:t xml:space="preserve"> </w:t>
            </w:r>
            <w:r>
              <w:rPr>
                <w:rFonts w:hint="eastAsia" w:ascii="仿宋_GB2312" w:hAnsi="仿宋_GB2312" w:cs="仿宋_GB2312"/>
                <w:color w:val="000000"/>
                <w:kern w:val="0"/>
                <w:szCs w:val="21"/>
                <w:lang w:bidi="ar"/>
              </w:rPr>
              <w:t>指标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维护基层会稳定</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一定程度</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r>
        <w:tblPrEx>
          <w:tblCellMar>
            <w:top w:w="0" w:type="dxa"/>
            <w:left w:w="108" w:type="dxa"/>
            <w:bottom w:w="0" w:type="dxa"/>
            <w:right w:w="108" w:type="dxa"/>
          </w:tblCellMar>
        </w:tblPrEx>
        <w:trPr>
          <w:trHeight w:val="423" w:hRule="atLeast"/>
        </w:trPr>
        <w:tc>
          <w:tcPr>
            <w:tcW w:w="1193"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4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仿宋_GB2312" w:cs="仿宋_GB2312"/>
                <w:color w:val="000000"/>
                <w:szCs w:val="21"/>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hint="eastAsia" w:ascii="仿宋_GB2312" w:hAnsi="仿宋_GB2312" w:eastAsia="宋体" w:cs="仿宋_GB2312"/>
                <w:color w:val="000000"/>
                <w:kern w:val="0"/>
                <w:szCs w:val="21"/>
                <w:lang w:eastAsia="zh-CN" w:bidi="ar"/>
              </w:rPr>
            </w:pPr>
            <w:r>
              <w:rPr>
                <w:rFonts w:hint="eastAsia" w:ascii="仿宋_GB2312" w:hAnsi="仿宋_GB2312" w:cs="仿宋_GB2312"/>
                <w:color w:val="000000"/>
                <w:kern w:val="0"/>
                <w:szCs w:val="21"/>
                <w:lang w:bidi="ar"/>
              </w:rPr>
              <w:t>可持续影响</w:t>
            </w:r>
            <w:r>
              <w:rPr>
                <w:rFonts w:ascii="仿宋_GB2312" w:hAnsi="仿宋_GB2312" w:cs="仿宋_GB2312"/>
                <w:color w:val="000000"/>
                <w:kern w:val="0"/>
                <w:szCs w:val="21"/>
                <w:lang w:bidi="ar"/>
              </w:rPr>
              <w:t xml:space="preserve"> </w:t>
            </w:r>
            <w:r>
              <w:rPr>
                <w:rFonts w:hint="eastAsia" w:ascii="仿宋_GB2312" w:hAnsi="仿宋_GB2312" w:cs="仿宋_GB2312"/>
                <w:color w:val="000000"/>
                <w:kern w:val="0"/>
                <w:szCs w:val="21"/>
                <w:lang w:bidi="ar"/>
              </w:rPr>
              <w:t>指标</w:t>
            </w:r>
            <w:r>
              <w:rPr>
                <w:rFonts w:hint="eastAsia" w:ascii="仿宋_GB2312" w:hAnsi="仿宋_GB2312" w:cs="仿宋_GB2312"/>
                <w:color w:val="000000"/>
                <w:kern w:val="0"/>
                <w:szCs w:val="21"/>
                <w:lang w:eastAsia="zh-CN" w:bidi="ar"/>
              </w:rPr>
              <w:t>标</w:t>
            </w:r>
          </w:p>
        </w:tc>
        <w:tc>
          <w:tcPr>
            <w:tcW w:w="105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促进城乡经济发展</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一定程度</w:t>
            </w:r>
          </w:p>
        </w:tc>
        <w:tc>
          <w:tcPr>
            <w:tcW w:w="10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bottom"/>
              <w:rPr>
                <w:rFonts w:ascii="仿宋_GB2312" w:cs="仿宋_GB2312"/>
                <w:color w:val="000000"/>
                <w:szCs w:val="21"/>
              </w:rPr>
            </w:pPr>
            <w:r>
              <w:rPr>
                <w:rFonts w:hint="eastAsia" w:ascii="仿宋_GB2312" w:cs="仿宋_GB2312"/>
                <w:color w:val="000000"/>
                <w:szCs w:val="21"/>
              </w:rPr>
              <w:t>全部完成</w:t>
            </w:r>
          </w:p>
        </w:tc>
      </w:tr>
    </w:tbl>
    <w:p>
      <w:pPr>
        <w:pageBreakBefore w:val="0"/>
        <w:kinsoku/>
        <w:wordWrap/>
        <w:overflowPunct/>
        <w:topLinePunct w:val="0"/>
        <w:bidi w:val="0"/>
        <w:spacing w:line="576" w:lineRule="exact"/>
        <w:jc w:val="both"/>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center"/>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center"/>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center"/>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center"/>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center"/>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center"/>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center"/>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center"/>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center"/>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center"/>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center"/>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center"/>
        <w:rPr>
          <w:rFonts w:hint="eastAsia" w:ascii="方正黑体简体" w:hAnsi="宋体" w:eastAsia="方正黑体简体" w:cs="宋体"/>
          <w:color w:val="000000"/>
          <w:sz w:val="32"/>
          <w:szCs w:val="32"/>
          <w:lang w:eastAsia="zh-CN"/>
        </w:rPr>
      </w:pPr>
      <w:r>
        <w:rPr>
          <w:rFonts w:hint="eastAsia" w:ascii="方正黑体简体" w:hAnsi="宋体" w:eastAsia="方正黑体简体" w:cs="宋体"/>
          <w:color w:val="000000"/>
          <w:sz w:val="32"/>
          <w:szCs w:val="32"/>
        </w:rPr>
        <w:t>2021年</w:t>
      </w:r>
      <w:r>
        <w:rPr>
          <w:rFonts w:hint="eastAsia" w:ascii="方正黑体简体" w:hAnsi="宋体" w:eastAsia="方正黑体简体" w:cs="宋体"/>
          <w:color w:val="000000"/>
          <w:sz w:val="32"/>
          <w:szCs w:val="32"/>
          <w:lang w:eastAsia="zh-CN"/>
        </w:rPr>
        <w:t>区机关事务服务中心租用办公用房</w:t>
      </w:r>
    </w:p>
    <w:p>
      <w:pPr>
        <w:pageBreakBefore w:val="0"/>
        <w:kinsoku/>
        <w:wordWrap/>
        <w:overflowPunct/>
        <w:topLinePunct w:val="0"/>
        <w:bidi w:val="0"/>
        <w:spacing w:line="576" w:lineRule="exact"/>
        <w:jc w:val="center"/>
        <w:rPr>
          <w:rFonts w:hint="eastAsia" w:ascii="方正黑体简体" w:eastAsia="方正黑体简体"/>
          <w:lang w:eastAsia="zh-CN"/>
        </w:rPr>
      </w:pPr>
      <w:r>
        <w:rPr>
          <w:rFonts w:hint="eastAsia" w:ascii="方正黑体简体" w:hAnsi="宋体" w:eastAsia="方正黑体简体" w:cs="宋体"/>
          <w:color w:val="000000"/>
          <w:sz w:val="32"/>
          <w:szCs w:val="32"/>
        </w:rPr>
        <w:t>预算项目绩效自评</w:t>
      </w:r>
    </w:p>
    <w:tbl>
      <w:tblPr>
        <w:tblStyle w:val="12"/>
        <w:tblpPr w:leftFromText="180" w:rightFromText="180" w:vertAnchor="text" w:horzAnchor="margin" w:tblpY="510"/>
        <w:tblOverlap w:val="never"/>
        <w:tblW w:w="5018" w:type="pct"/>
        <w:tblInd w:w="0" w:type="dxa"/>
        <w:tblLayout w:type="autofit"/>
        <w:tblCellMar>
          <w:top w:w="0" w:type="dxa"/>
          <w:left w:w="108" w:type="dxa"/>
          <w:bottom w:w="0" w:type="dxa"/>
          <w:right w:w="108" w:type="dxa"/>
        </w:tblCellMar>
      </w:tblPr>
      <w:tblGrid>
        <w:gridCol w:w="2296"/>
        <w:gridCol w:w="840"/>
        <w:gridCol w:w="1128"/>
        <w:gridCol w:w="606"/>
        <w:gridCol w:w="929"/>
        <w:gridCol w:w="1395"/>
        <w:gridCol w:w="1359"/>
      </w:tblGrid>
      <w:tr>
        <w:tblPrEx>
          <w:tblCellMar>
            <w:top w:w="0" w:type="dxa"/>
            <w:left w:w="108" w:type="dxa"/>
            <w:bottom w:w="0" w:type="dxa"/>
            <w:right w:w="108" w:type="dxa"/>
          </w:tblCellMar>
        </w:tblPrEx>
        <w:trPr>
          <w:trHeight w:val="224" w:hRule="atLeast"/>
        </w:trPr>
        <w:tc>
          <w:tcPr>
            <w:tcW w:w="18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主管部门及代码</w:t>
            </w:r>
          </w:p>
        </w:tc>
        <w:tc>
          <w:tcPr>
            <w:tcW w:w="155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eastAsia="zh-CN"/>
              </w:rPr>
              <w:t>广元市利州区机关事务服务中心</w:t>
            </w:r>
            <w:r>
              <w:rPr>
                <w:rFonts w:hint="eastAsia" w:ascii="宋体" w:hAnsi="宋体" w:cs="宋体"/>
                <w:color w:val="000000"/>
                <w:szCs w:val="21"/>
                <w:lang w:val="en-US" w:eastAsia="zh-CN"/>
              </w:rPr>
              <w:t>317301</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实施单位</w:t>
            </w:r>
          </w:p>
        </w:tc>
        <w:tc>
          <w:tcPr>
            <w:tcW w:w="7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szCs w:val="21"/>
              </w:rPr>
              <w:t>区机关事务服务中心</w:t>
            </w:r>
          </w:p>
        </w:tc>
      </w:tr>
      <w:tr>
        <w:tblPrEx>
          <w:tblCellMar>
            <w:top w:w="0" w:type="dxa"/>
            <w:left w:w="108" w:type="dxa"/>
            <w:bottom w:w="0" w:type="dxa"/>
            <w:right w:w="108" w:type="dxa"/>
          </w:tblCellMar>
        </w:tblPrEx>
        <w:trPr>
          <w:trHeight w:val="300" w:hRule="atLeast"/>
        </w:trPr>
        <w:tc>
          <w:tcPr>
            <w:tcW w:w="183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项目预算</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执行情况</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（万元）</w:t>
            </w:r>
          </w:p>
        </w:tc>
        <w:tc>
          <w:tcPr>
            <w:tcW w:w="101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kern w:val="0"/>
                <w:szCs w:val="21"/>
                <w:lang w:bidi="ar"/>
              </w:rPr>
              <w:t>预算数：</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szCs w:val="21"/>
              </w:rPr>
              <w:t>105万</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kern w:val="0"/>
                <w:szCs w:val="21"/>
                <w:lang w:bidi="ar"/>
              </w:rPr>
              <w:t>执行数：</w:t>
            </w:r>
          </w:p>
        </w:tc>
        <w:tc>
          <w:tcPr>
            <w:tcW w:w="7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szCs w:val="21"/>
              </w:rPr>
              <w:t>105万</w:t>
            </w:r>
          </w:p>
        </w:tc>
      </w:tr>
      <w:tr>
        <w:tblPrEx>
          <w:tblCellMar>
            <w:top w:w="0" w:type="dxa"/>
            <w:left w:w="108" w:type="dxa"/>
            <w:bottom w:w="0" w:type="dxa"/>
            <w:right w:w="108" w:type="dxa"/>
          </w:tblCellMar>
        </w:tblPrEx>
        <w:trPr>
          <w:trHeight w:val="508" w:hRule="atLeast"/>
        </w:trPr>
        <w:tc>
          <w:tcPr>
            <w:tcW w:w="183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color w:val="000000"/>
                <w:szCs w:val="21"/>
              </w:rPr>
            </w:pPr>
          </w:p>
        </w:tc>
        <w:tc>
          <w:tcPr>
            <w:tcW w:w="101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其中：</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kern w:val="0"/>
                <w:szCs w:val="21"/>
                <w:lang w:bidi="ar"/>
              </w:rPr>
              <w:t>财政拨款</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szCs w:val="21"/>
              </w:rPr>
              <w:t>105万</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其中：</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kern w:val="0"/>
                <w:szCs w:val="21"/>
                <w:lang w:bidi="ar"/>
              </w:rPr>
              <w:t>财政拨款</w:t>
            </w:r>
          </w:p>
        </w:tc>
        <w:tc>
          <w:tcPr>
            <w:tcW w:w="7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szCs w:val="21"/>
              </w:rPr>
              <w:t>105万</w:t>
            </w:r>
          </w:p>
        </w:tc>
      </w:tr>
      <w:tr>
        <w:tblPrEx>
          <w:tblCellMar>
            <w:top w:w="0" w:type="dxa"/>
            <w:left w:w="108" w:type="dxa"/>
            <w:bottom w:w="0" w:type="dxa"/>
            <w:right w:w="108" w:type="dxa"/>
          </w:tblCellMar>
        </w:tblPrEx>
        <w:trPr>
          <w:trHeight w:val="300" w:hRule="atLeast"/>
        </w:trPr>
        <w:tc>
          <w:tcPr>
            <w:tcW w:w="183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color w:val="000000"/>
                <w:szCs w:val="21"/>
              </w:rPr>
            </w:pPr>
          </w:p>
        </w:tc>
        <w:tc>
          <w:tcPr>
            <w:tcW w:w="101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其他资金</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szCs w:val="21"/>
              </w:rPr>
              <w:t>0</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其他资金</w:t>
            </w:r>
          </w:p>
        </w:tc>
        <w:tc>
          <w:tcPr>
            <w:tcW w:w="7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szCs w:val="21"/>
              </w:rPr>
              <w:t>0</w:t>
            </w:r>
          </w:p>
        </w:tc>
      </w:tr>
      <w:tr>
        <w:tblPrEx>
          <w:tblCellMar>
            <w:top w:w="0" w:type="dxa"/>
            <w:left w:w="108" w:type="dxa"/>
            <w:bottom w:w="0" w:type="dxa"/>
            <w:right w:w="108" w:type="dxa"/>
          </w:tblCellMar>
        </w:tblPrEx>
        <w:trPr>
          <w:trHeight w:val="191" w:hRule="atLeast"/>
        </w:trPr>
        <w:tc>
          <w:tcPr>
            <w:tcW w:w="13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年度总体目标</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kern w:val="0"/>
                <w:szCs w:val="21"/>
                <w:lang w:bidi="ar"/>
              </w:rPr>
              <w:t>完成情况</w:t>
            </w:r>
          </w:p>
        </w:tc>
        <w:tc>
          <w:tcPr>
            <w:tcW w:w="204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kern w:val="0"/>
                <w:szCs w:val="21"/>
                <w:lang w:bidi="ar"/>
              </w:rPr>
              <w:t>预期目标</w:t>
            </w:r>
          </w:p>
        </w:tc>
        <w:tc>
          <w:tcPr>
            <w:tcW w:w="16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Cs w:val="21"/>
              </w:rPr>
            </w:pPr>
            <w:r>
              <w:rPr>
                <w:rFonts w:hint="eastAsia" w:ascii="宋体" w:hAnsi="宋体" w:cs="宋体"/>
                <w:color w:val="000000"/>
                <w:kern w:val="0"/>
                <w:szCs w:val="21"/>
                <w:lang w:bidi="ar"/>
              </w:rPr>
              <w:t>目标实际完成情况</w:t>
            </w:r>
          </w:p>
        </w:tc>
      </w:tr>
      <w:tr>
        <w:tblPrEx>
          <w:tblCellMar>
            <w:top w:w="0" w:type="dxa"/>
            <w:left w:w="108" w:type="dxa"/>
            <w:bottom w:w="0" w:type="dxa"/>
            <w:right w:w="108" w:type="dxa"/>
          </w:tblCellMar>
        </w:tblPrEx>
        <w:trPr>
          <w:trHeight w:val="578" w:hRule="atLeast"/>
        </w:trPr>
        <w:tc>
          <w:tcPr>
            <w:tcW w:w="134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宋体"/>
                <w:color w:val="000000"/>
                <w:szCs w:val="21"/>
              </w:rPr>
            </w:pPr>
          </w:p>
        </w:tc>
        <w:tc>
          <w:tcPr>
            <w:tcW w:w="2047"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top"/>
              <w:rPr>
                <w:rFonts w:ascii="宋体" w:hAnsi="宋体" w:cs="宋体"/>
                <w:color w:val="000000"/>
                <w:szCs w:val="21"/>
              </w:rPr>
            </w:pPr>
            <w:r>
              <w:rPr>
                <w:rFonts w:hint="eastAsia" w:ascii="宋体" w:hAnsi="宋体" w:cs="宋体"/>
                <w:color w:val="000000"/>
                <w:szCs w:val="21"/>
              </w:rPr>
              <w:t>区委区政府第三办公区机关食堂租赁2000㎡，120万元/年。</w:t>
            </w:r>
          </w:p>
        </w:tc>
        <w:tc>
          <w:tcPr>
            <w:tcW w:w="1609"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top"/>
              <w:rPr>
                <w:rFonts w:ascii="宋体" w:hAnsi="宋体" w:cs="宋体"/>
                <w:color w:val="000000"/>
                <w:szCs w:val="21"/>
              </w:rPr>
            </w:pPr>
            <w:r>
              <w:rPr>
                <w:rFonts w:hint="eastAsia" w:ascii="宋体" w:hAnsi="宋体" w:cs="宋体"/>
                <w:color w:val="000000"/>
                <w:szCs w:val="21"/>
              </w:rPr>
              <w:t>区委区政府第三办公区机关食堂租赁2000㎡，120万元/年。</w:t>
            </w:r>
          </w:p>
        </w:tc>
      </w:tr>
      <w:tr>
        <w:tblPrEx>
          <w:tblCellMar>
            <w:top w:w="0" w:type="dxa"/>
            <w:left w:w="108" w:type="dxa"/>
            <w:bottom w:w="0" w:type="dxa"/>
            <w:right w:w="108" w:type="dxa"/>
          </w:tblCellMar>
        </w:tblPrEx>
        <w:trPr>
          <w:trHeight w:val="605" w:hRule="atLeast"/>
        </w:trPr>
        <w:tc>
          <w:tcPr>
            <w:tcW w:w="134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lang w:bidi="ar"/>
              </w:rPr>
              <w:t>年度绩效指标完成情况</w:t>
            </w:r>
          </w:p>
        </w:tc>
        <w:tc>
          <w:tcPr>
            <w:tcW w:w="49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cs="仿宋_GB2312"/>
                <w:color w:val="000000"/>
                <w:kern w:val="0"/>
                <w:szCs w:val="21"/>
                <w:lang w:bidi="ar"/>
              </w:rPr>
            </w:pPr>
            <w:r>
              <w:rPr>
                <w:rFonts w:hint="eastAsia" w:ascii="仿宋_GB2312" w:hAnsi="仿宋_GB2312" w:cs="仿宋_GB2312"/>
                <w:color w:val="000000"/>
                <w:kern w:val="0"/>
                <w:szCs w:val="21"/>
                <w:lang w:bidi="ar"/>
              </w:rPr>
              <w:t>一级</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lang w:bidi="ar"/>
              </w:rPr>
              <w:t>指标</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cs="仿宋_GB2312"/>
                <w:color w:val="000000"/>
                <w:kern w:val="0"/>
                <w:szCs w:val="21"/>
                <w:lang w:bidi="ar"/>
              </w:rPr>
            </w:pPr>
            <w:r>
              <w:rPr>
                <w:rFonts w:hint="eastAsia" w:ascii="仿宋_GB2312" w:hAnsi="仿宋_GB2312" w:cs="仿宋_GB2312"/>
                <w:color w:val="000000"/>
                <w:kern w:val="0"/>
                <w:szCs w:val="21"/>
                <w:lang w:bidi="ar"/>
              </w:rPr>
              <w:t>二级</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lang w:bidi="ar"/>
              </w:rPr>
              <w:t>指标</w:t>
            </w:r>
          </w:p>
        </w:tc>
        <w:tc>
          <w:tcPr>
            <w:tcW w:w="89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cs="仿宋_GB2312"/>
                <w:color w:val="000000"/>
                <w:kern w:val="0"/>
                <w:szCs w:val="21"/>
                <w:lang w:bidi="ar"/>
              </w:rPr>
            </w:pPr>
            <w:r>
              <w:rPr>
                <w:rFonts w:hint="eastAsia" w:ascii="仿宋_GB2312" w:hAnsi="仿宋_GB2312" w:cs="仿宋_GB2312"/>
                <w:color w:val="000000"/>
                <w:kern w:val="0"/>
                <w:szCs w:val="21"/>
                <w:lang w:bidi="ar"/>
              </w:rPr>
              <w:t>三级</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lang w:bidi="ar"/>
              </w:rPr>
              <w:t>指标</w:t>
            </w:r>
          </w:p>
        </w:tc>
        <w:tc>
          <w:tcPr>
            <w:tcW w:w="8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lang w:bidi="ar"/>
              </w:rPr>
              <w:t>预期指标值</w:t>
            </w:r>
          </w:p>
        </w:tc>
        <w:tc>
          <w:tcPr>
            <w:tcW w:w="7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lang w:bidi="ar"/>
              </w:rPr>
              <w:t>实际完成指标值</w:t>
            </w:r>
          </w:p>
        </w:tc>
      </w:tr>
      <w:tr>
        <w:tblPrEx>
          <w:tblCellMar>
            <w:top w:w="0" w:type="dxa"/>
            <w:left w:w="108" w:type="dxa"/>
            <w:bottom w:w="0" w:type="dxa"/>
            <w:right w:w="108" w:type="dxa"/>
          </w:tblCellMar>
        </w:tblPrEx>
        <w:trPr>
          <w:trHeight w:val="775" w:hRule="atLeast"/>
        </w:trPr>
        <w:tc>
          <w:tcPr>
            <w:tcW w:w="1342"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cs="仿宋_GB2312"/>
                <w:color w:val="000000"/>
                <w:szCs w:val="21"/>
              </w:rPr>
            </w:pPr>
          </w:p>
        </w:tc>
        <w:tc>
          <w:tcPr>
            <w:tcW w:w="4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仿宋_GB2312" w:cs="仿宋_GB2312"/>
                <w:color w:val="000000"/>
                <w:kern w:val="0"/>
                <w:szCs w:val="21"/>
                <w:lang w:bidi="ar"/>
              </w:rPr>
            </w:pPr>
            <w:r>
              <w:rPr>
                <w:rFonts w:hint="eastAsia" w:ascii="仿宋_GB2312" w:hAnsi="仿宋_GB2312" w:cs="仿宋_GB2312"/>
                <w:color w:val="000000"/>
                <w:kern w:val="0"/>
                <w:szCs w:val="21"/>
                <w:lang w:bidi="ar"/>
              </w:rPr>
              <w:t>完成</w:t>
            </w:r>
          </w:p>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指标</w:t>
            </w:r>
          </w:p>
        </w:tc>
        <w:tc>
          <w:tcPr>
            <w:tcW w:w="6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hAnsi="仿宋_GB2312" w:cs="仿宋_GB2312"/>
                <w:color w:val="000000"/>
                <w:kern w:val="0"/>
                <w:szCs w:val="21"/>
                <w:lang w:bidi="ar"/>
              </w:rPr>
              <w:t>数量指标</w:t>
            </w:r>
          </w:p>
        </w:tc>
        <w:tc>
          <w:tcPr>
            <w:tcW w:w="897"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宋体" w:hAnsi="宋体" w:cs="宋体"/>
                <w:color w:val="000000"/>
                <w:szCs w:val="21"/>
              </w:rPr>
              <w:t>三办公区机关食堂</w:t>
            </w:r>
          </w:p>
        </w:tc>
        <w:tc>
          <w:tcPr>
            <w:tcW w:w="81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厨房、就餐区等2000㎡</w:t>
            </w:r>
          </w:p>
        </w:tc>
        <w:tc>
          <w:tcPr>
            <w:tcW w:w="79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厨房、就餐区等2000㎡</w:t>
            </w:r>
          </w:p>
        </w:tc>
      </w:tr>
      <w:tr>
        <w:tblPrEx>
          <w:tblCellMar>
            <w:top w:w="0" w:type="dxa"/>
            <w:left w:w="108" w:type="dxa"/>
            <w:bottom w:w="0" w:type="dxa"/>
            <w:right w:w="108" w:type="dxa"/>
          </w:tblCellMar>
        </w:tblPrEx>
        <w:trPr>
          <w:trHeight w:val="423" w:hRule="atLeast"/>
        </w:trPr>
        <w:tc>
          <w:tcPr>
            <w:tcW w:w="1342"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cs="仿宋_GB2312"/>
                <w:color w:val="000000"/>
                <w:szCs w:val="21"/>
              </w:rPr>
            </w:pPr>
          </w:p>
        </w:tc>
        <w:tc>
          <w:tcPr>
            <w:tcW w:w="491"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cs="仿宋_GB2312"/>
                <w:color w:val="000000"/>
                <w:szCs w:val="21"/>
              </w:rPr>
            </w:pPr>
          </w:p>
        </w:tc>
        <w:tc>
          <w:tcPr>
            <w:tcW w:w="6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hAnsi="仿宋_GB2312" w:cs="仿宋_GB2312"/>
                <w:color w:val="000000"/>
                <w:kern w:val="0"/>
                <w:szCs w:val="21"/>
                <w:lang w:bidi="ar"/>
              </w:rPr>
              <w:t>质量指标</w:t>
            </w:r>
          </w:p>
        </w:tc>
        <w:tc>
          <w:tcPr>
            <w:tcW w:w="897"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租赁期内保证正常使用</w:t>
            </w:r>
          </w:p>
        </w:tc>
        <w:tc>
          <w:tcPr>
            <w:tcW w:w="81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正常使用</w:t>
            </w:r>
          </w:p>
        </w:tc>
        <w:tc>
          <w:tcPr>
            <w:tcW w:w="79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正常使用</w:t>
            </w:r>
          </w:p>
        </w:tc>
      </w:tr>
      <w:tr>
        <w:tblPrEx>
          <w:tblCellMar>
            <w:top w:w="0" w:type="dxa"/>
            <w:left w:w="108" w:type="dxa"/>
            <w:bottom w:w="0" w:type="dxa"/>
            <w:right w:w="108" w:type="dxa"/>
          </w:tblCellMar>
        </w:tblPrEx>
        <w:trPr>
          <w:trHeight w:val="885" w:hRule="atLeast"/>
        </w:trPr>
        <w:tc>
          <w:tcPr>
            <w:tcW w:w="1342"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cs="仿宋_GB2312"/>
                <w:color w:val="000000"/>
                <w:szCs w:val="21"/>
              </w:rPr>
            </w:pPr>
          </w:p>
        </w:tc>
        <w:tc>
          <w:tcPr>
            <w:tcW w:w="491"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cs="仿宋_GB2312"/>
                <w:color w:val="000000"/>
                <w:szCs w:val="21"/>
              </w:rPr>
            </w:pPr>
          </w:p>
        </w:tc>
        <w:tc>
          <w:tcPr>
            <w:tcW w:w="6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hAnsi="仿宋_GB2312" w:cs="仿宋_GB2312"/>
                <w:color w:val="000000"/>
                <w:kern w:val="0"/>
                <w:szCs w:val="21"/>
                <w:lang w:bidi="ar"/>
              </w:rPr>
              <w:t>时效指标</w:t>
            </w:r>
          </w:p>
        </w:tc>
        <w:tc>
          <w:tcPr>
            <w:tcW w:w="897"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按时完成租赁</w:t>
            </w:r>
          </w:p>
        </w:tc>
        <w:tc>
          <w:tcPr>
            <w:tcW w:w="81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合同期满前2个月通知出租方签订合同</w:t>
            </w:r>
          </w:p>
        </w:tc>
        <w:tc>
          <w:tcPr>
            <w:tcW w:w="79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合同期满前2个月通知出租方签订合同</w:t>
            </w:r>
          </w:p>
        </w:tc>
      </w:tr>
      <w:tr>
        <w:tblPrEx>
          <w:tblCellMar>
            <w:top w:w="0" w:type="dxa"/>
            <w:left w:w="108" w:type="dxa"/>
            <w:bottom w:w="0" w:type="dxa"/>
            <w:right w:w="108" w:type="dxa"/>
          </w:tblCellMar>
        </w:tblPrEx>
        <w:trPr>
          <w:trHeight w:val="423" w:hRule="atLeast"/>
        </w:trPr>
        <w:tc>
          <w:tcPr>
            <w:tcW w:w="1342"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cs="仿宋_GB2312"/>
                <w:color w:val="000000"/>
                <w:szCs w:val="21"/>
              </w:rPr>
            </w:pPr>
          </w:p>
        </w:tc>
        <w:tc>
          <w:tcPr>
            <w:tcW w:w="491"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cs="仿宋_GB2312"/>
                <w:color w:val="000000"/>
                <w:szCs w:val="21"/>
              </w:rPr>
            </w:pPr>
          </w:p>
        </w:tc>
        <w:tc>
          <w:tcPr>
            <w:tcW w:w="6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hAnsi="仿宋_GB2312" w:cs="仿宋_GB2312"/>
                <w:color w:val="000000"/>
                <w:kern w:val="0"/>
                <w:szCs w:val="21"/>
                <w:lang w:bidi="ar"/>
              </w:rPr>
              <w:t>成本指标</w:t>
            </w:r>
          </w:p>
        </w:tc>
        <w:tc>
          <w:tcPr>
            <w:tcW w:w="897"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政府采购降低成本</w:t>
            </w:r>
          </w:p>
        </w:tc>
        <w:tc>
          <w:tcPr>
            <w:tcW w:w="81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通过政府采购控制成本</w:t>
            </w:r>
          </w:p>
        </w:tc>
        <w:tc>
          <w:tcPr>
            <w:tcW w:w="79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通过政府采购控制成本</w:t>
            </w:r>
          </w:p>
        </w:tc>
      </w:tr>
      <w:tr>
        <w:tblPrEx>
          <w:tblCellMar>
            <w:top w:w="0" w:type="dxa"/>
            <w:left w:w="108" w:type="dxa"/>
            <w:bottom w:w="0" w:type="dxa"/>
            <w:right w:w="108" w:type="dxa"/>
          </w:tblCellMar>
        </w:tblPrEx>
        <w:trPr>
          <w:trHeight w:val="423" w:hRule="atLeast"/>
        </w:trPr>
        <w:tc>
          <w:tcPr>
            <w:tcW w:w="1342"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cs="仿宋_GB2312"/>
                <w:color w:val="000000"/>
                <w:szCs w:val="21"/>
              </w:rPr>
            </w:pPr>
          </w:p>
        </w:tc>
        <w:tc>
          <w:tcPr>
            <w:tcW w:w="49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仿宋_GB2312" w:hAnsi="仿宋_GB2312" w:eastAsia="宋体" w:cs="仿宋_GB2312"/>
                <w:color w:val="000000"/>
                <w:kern w:val="0"/>
                <w:szCs w:val="21"/>
                <w:lang w:eastAsia="zh-CN" w:bidi="ar"/>
              </w:rPr>
            </w:pPr>
            <w:r>
              <w:rPr>
                <w:rFonts w:hint="eastAsia" w:ascii="仿宋_GB2312" w:hAnsi="仿宋_GB2312" w:cs="仿宋_GB2312"/>
                <w:color w:val="000000"/>
                <w:kern w:val="0"/>
                <w:szCs w:val="21"/>
                <w:lang w:bidi="ar"/>
              </w:rPr>
              <w:t>效益</w:t>
            </w:r>
          </w:p>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指标</w:t>
            </w:r>
          </w:p>
        </w:tc>
        <w:tc>
          <w:tcPr>
            <w:tcW w:w="6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hAnsi="仿宋_GB2312" w:cs="仿宋_GB2312"/>
                <w:color w:val="000000"/>
                <w:kern w:val="0"/>
                <w:szCs w:val="21"/>
                <w:lang w:bidi="ar"/>
              </w:rPr>
              <w:t>经济效益</w:t>
            </w:r>
            <w:r>
              <w:rPr>
                <w:rFonts w:ascii="仿宋_GB2312" w:hAnsi="仿宋_GB2312" w:cs="仿宋_GB2312"/>
                <w:color w:val="000000"/>
                <w:kern w:val="0"/>
                <w:szCs w:val="21"/>
                <w:lang w:bidi="ar"/>
              </w:rPr>
              <w:t xml:space="preserve">  </w:t>
            </w:r>
            <w:r>
              <w:rPr>
                <w:rFonts w:hint="eastAsia" w:ascii="仿宋_GB2312" w:hAnsi="仿宋_GB2312" w:cs="仿宋_GB2312"/>
                <w:color w:val="000000"/>
                <w:kern w:val="0"/>
                <w:szCs w:val="21"/>
                <w:lang w:bidi="ar"/>
              </w:rPr>
              <w:t>指标</w:t>
            </w:r>
          </w:p>
        </w:tc>
        <w:tc>
          <w:tcPr>
            <w:tcW w:w="897"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集中办公区干部职工集中就餐，节约经费</w:t>
            </w:r>
          </w:p>
        </w:tc>
        <w:tc>
          <w:tcPr>
            <w:tcW w:w="81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统一办公地点，节约经费</w:t>
            </w:r>
          </w:p>
        </w:tc>
        <w:tc>
          <w:tcPr>
            <w:tcW w:w="79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统一办公地点，节约经费</w:t>
            </w:r>
          </w:p>
        </w:tc>
      </w:tr>
      <w:tr>
        <w:tblPrEx>
          <w:tblCellMar>
            <w:top w:w="0" w:type="dxa"/>
            <w:left w:w="108" w:type="dxa"/>
            <w:bottom w:w="0" w:type="dxa"/>
            <w:right w:w="108" w:type="dxa"/>
          </w:tblCellMar>
        </w:tblPrEx>
        <w:trPr>
          <w:trHeight w:val="423" w:hRule="atLeast"/>
        </w:trPr>
        <w:tc>
          <w:tcPr>
            <w:tcW w:w="1342"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cs="仿宋_GB2312"/>
                <w:color w:val="000000"/>
                <w:szCs w:val="21"/>
              </w:rPr>
            </w:pPr>
          </w:p>
        </w:tc>
        <w:tc>
          <w:tcPr>
            <w:tcW w:w="491"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cs="仿宋_GB2312"/>
                <w:color w:val="000000"/>
                <w:szCs w:val="21"/>
              </w:rPr>
            </w:pPr>
          </w:p>
        </w:tc>
        <w:tc>
          <w:tcPr>
            <w:tcW w:w="6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hAnsi="仿宋_GB2312" w:cs="仿宋_GB2312"/>
                <w:color w:val="000000"/>
                <w:kern w:val="0"/>
                <w:szCs w:val="21"/>
                <w:lang w:bidi="ar"/>
              </w:rPr>
              <w:t>社会效益</w:t>
            </w:r>
            <w:r>
              <w:rPr>
                <w:rFonts w:ascii="仿宋_GB2312" w:hAnsi="仿宋_GB2312" w:cs="仿宋_GB2312"/>
                <w:color w:val="000000"/>
                <w:kern w:val="0"/>
                <w:szCs w:val="21"/>
                <w:lang w:bidi="ar"/>
              </w:rPr>
              <w:t xml:space="preserve">  </w:t>
            </w:r>
            <w:r>
              <w:rPr>
                <w:rFonts w:hint="eastAsia" w:ascii="仿宋_GB2312" w:hAnsi="仿宋_GB2312" w:cs="仿宋_GB2312"/>
                <w:color w:val="000000"/>
                <w:kern w:val="0"/>
                <w:szCs w:val="21"/>
                <w:lang w:bidi="ar"/>
              </w:rPr>
              <w:t>指标</w:t>
            </w:r>
          </w:p>
        </w:tc>
        <w:tc>
          <w:tcPr>
            <w:tcW w:w="897"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方便集中办公区干部职工就近就餐</w:t>
            </w:r>
          </w:p>
        </w:tc>
        <w:tc>
          <w:tcPr>
            <w:tcW w:w="81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三办公区800人就近就餐</w:t>
            </w:r>
          </w:p>
        </w:tc>
        <w:tc>
          <w:tcPr>
            <w:tcW w:w="79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三办公区800人就近就餐</w:t>
            </w:r>
          </w:p>
        </w:tc>
      </w:tr>
      <w:tr>
        <w:tblPrEx>
          <w:tblCellMar>
            <w:top w:w="0" w:type="dxa"/>
            <w:left w:w="108" w:type="dxa"/>
            <w:bottom w:w="0" w:type="dxa"/>
            <w:right w:w="108" w:type="dxa"/>
          </w:tblCellMar>
        </w:tblPrEx>
        <w:trPr>
          <w:trHeight w:val="423" w:hRule="atLeast"/>
        </w:trPr>
        <w:tc>
          <w:tcPr>
            <w:tcW w:w="1342"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cs="仿宋_GB2312"/>
                <w:color w:val="000000"/>
                <w:szCs w:val="21"/>
              </w:rPr>
            </w:pPr>
          </w:p>
        </w:tc>
        <w:tc>
          <w:tcPr>
            <w:tcW w:w="491"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cs="仿宋_GB2312"/>
                <w:color w:val="000000"/>
                <w:szCs w:val="21"/>
              </w:rPr>
            </w:pPr>
          </w:p>
        </w:tc>
        <w:tc>
          <w:tcPr>
            <w:tcW w:w="6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hAnsi="仿宋_GB2312" w:cs="仿宋_GB2312"/>
                <w:color w:val="000000"/>
                <w:kern w:val="0"/>
                <w:szCs w:val="21"/>
                <w:lang w:bidi="ar"/>
              </w:rPr>
              <w:t>可持续影响</w:t>
            </w:r>
            <w:r>
              <w:rPr>
                <w:rFonts w:ascii="仿宋_GB2312" w:hAnsi="仿宋_GB2312" w:cs="仿宋_GB2312"/>
                <w:color w:val="000000"/>
                <w:kern w:val="0"/>
                <w:szCs w:val="21"/>
                <w:lang w:bidi="ar"/>
              </w:rPr>
              <w:t xml:space="preserve"> </w:t>
            </w:r>
            <w:r>
              <w:rPr>
                <w:rFonts w:hint="eastAsia" w:ascii="仿宋_GB2312" w:hAnsi="仿宋_GB2312" w:cs="仿宋_GB2312"/>
                <w:color w:val="000000"/>
                <w:kern w:val="0"/>
                <w:szCs w:val="21"/>
                <w:lang w:bidi="ar"/>
              </w:rPr>
              <w:t>指标</w:t>
            </w:r>
          </w:p>
        </w:tc>
        <w:tc>
          <w:tcPr>
            <w:tcW w:w="897"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良好的就餐环境</w:t>
            </w:r>
          </w:p>
        </w:tc>
        <w:tc>
          <w:tcPr>
            <w:tcW w:w="81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提升全体干部职工工作积极性</w:t>
            </w:r>
          </w:p>
        </w:tc>
        <w:tc>
          <w:tcPr>
            <w:tcW w:w="79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提升全体干部职工工作积极性</w:t>
            </w:r>
          </w:p>
        </w:tc>
      </w:tr>
      <w:tr>
        <w:tblPrEx>
          <w:tblCellMar>
            <w:top w:w="0" w:type="dxa"/>
            <w:left w:w="108" w:type="dxa"/>
            <w:bottom w:w="0" w:type="dxa"/>
            <w:right w:w="108" w:type="dxa"/>
          </w:tblCellMar>
        </w:tblPrEx>
        <w:trPr>
          <w:trHeight w:val="423" w:hRule="atLeast"/>
        </w:trPr>
        <w:tc>
          <w:tcPr>
            <w:tcW w:w="134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仿宋_GB2312" w:cs="仿宋_GB2312"/>
                <w:color w:val="000000"/>
                <w:szCs w:val="21"/>
              </w:rPr>
            </w:pPr>
          </w:p>
        </w:tc>
        <w:tc>
          <w:tcPr>
            <w:tcW w:w="491" w:type="pct"/>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hint="eastAsia" w:ascii="仿宋_GB2312" w:hAnsi="仿宋_GB2312" w:eastAsia="宋体" w:cs="仿宋_GB2312"/>
                <w:color w:val="000000"/>
                <w:kern w:val="0"/>
                <w:szCs w:val="21"/>
                <w:lang w:eastAsia="zh-CN" w:bidi="ar"/>
              </w:rPr>
            </w:pPr>
            <w:r>
              <w:rPr>
                <w:rFonts w:hint="eastAsia" w:ascii="仿宋_GB2312" w:hAnsi="仿宋_GB2312" w:cs="仿宋_GB2312"/>
                <w:color w:val="000000"/>
                <w:kern w:val="0"/>
                <w:szCs w:val="21"/>
                <w:lang w:bidi="ar"/>
              </w:rPr>
              <w:t>满意</w:t>
            </w:r>
          </w:p>
          <w:p>
            <w:pPr>
              <w:keepNext w:val="0"/>
              <w:keepLines w:val="0"/>
              <w:pageBreakBefore w:val="0"/>
              <w:widowControl/>
              <w:kinsoku/>
              <w:wordWrap/>
              <w:overflowPunct/>
              <w:topLinePunct w:val="0"/>
              <w:autoSpaceDE/>
              <w:autoSpaceDN/>
              <w:bidi w:val="0"/>
              <w:adjustRightInd/>
              <w:snapToGrid/>
              <w:spacing w:line="30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度指标</w:t>
            </w:r>
          </w:p>
        </w:tc>
        <w:tc>
          <w:tcPr>
            <w:tcW w:w="65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kern w:val="0"/>
                <w:szCs w:val="21"/>
                <w:lang w:bidi="ar"/>
              </w:rPr>
            </w:pPr>
            <w:r>
              <w:rPr>
                <w:rFonts w:hint="eastAsia" w:ascii="仿宋_GB2312" w:hAnsi="仿宋_GB2312" w:cs="仿宋_GB2312"/>
                <w:color w:val="000000"/>
                <w:kern w:val="0"/>
                <w:szCs w:val="21"/>
                <w:lang w:bidi="ar"/>
              </w:rPr>
              <w:t>满意度</w:t>
            </w:r>
          </w:p>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hAnsi="仿宋_GB2312" w:cs="仿宋_GB2312"/>
                <w:color w:val="000000"/>
                <w:kern w:val="0"/>
                <w:szCs w:val="21"/>
                <w:lang w:bidi="ar"/>
              </w:rPr>
              <w:t>指标</w:t>
            </w:r>
          </w:p>
        </w:tc>
        <w:tc>
          <w:tcPr>
            <w:tcW w:w="897"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以集中办公区干部职工满意为要求</w:t>
            </w:r>
          </w:p>
        </w:tc>
        <w:tc>
          <w:tcPr>
            <w:tcW w:w="81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达到90%满意度</w:t>
            </w:r>
          </w:p>
        </w:tc>
        <w:tc>
          <w:tcPr>
            <w:tcW w:w="79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bottom"/>
              <w:rPr>
                <w:rFonts w:ascii="仿宋_GB2312" w:cs="仿宋_GB2312"/>
                <w:color w:val="000000"/>
                <w:szCs w:val="21"/>
              </w:rPr>
            </w:pPr>
            <w:r>
              <w:rPr>
                <w:rFonts w:hint="eastAsia" w:ascii="仿宋_GB2312" w:cs="仿宋_GB2312"/>
                <w:color w:val="000000"/>
                <w:szCs w:val="21"/>
              </w:rPr>
              <w:t>达到90%满意度</w:t>
            </w:r>
          </w:p>
        </w:tc>
      </w:tr>
    </w:tbl>
    <w:p>
      <w:pPr>
        <w:pageBreakBefore w:val="0"/>
        <w:kinsoku/>
        <w:wordWrap/>
        <w:overflowPunct/>
        <w:topLinePunct w:val="0"/>
        <w:bidi w:val="0"/>
        <w:spacing w:line="576" w:lineRule="exact"/>
        <w:jc w:val="both"/>
        <w:rPr>
          <w:rFonts w:hint="eastAsia" w:ascii="方正黑体简体" w:hAnsi="宋体" w:eastAsia="方正黑体简体" w:cs="宋体"/>
          <w:color w:val="000000"/>
          <w:sz w:val="32"/>
          <w:szCs w:val="32"/>
          <w:lang w:eastAsia="zh-CN"/>
        </w:rPr>
      </w:pPr>
    </w:p>
    <w:p>
      <w:pPr>
        <w:pageBreakBefore w:val="0"/>
        <w:kinsoku/>
        <w:wordWrap/>
        <w:overflowPunct/>
        <w:topLinePunct w:val="0"/>
        <w:bidi w:val="0"/>
        <w:spacing w:line="576" w:lineRule="exact"/>
        <w:jc w:val="center"/>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center"/>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center"/>
        <w:rPr>
          <w:rFonts w:hint="eastAsia" w:ascii="方正黑体简体" w:hAnsi="宋体" w:eastAsia="方正黑体简体" w:cs="宋体"/>
          <w:color w:val="000000"/>
          <w:sz w:val="32"/>
          <w:szCs w:val="32"/>
          <w:lang w:val="en-US" w:eastAsia="zh-CN"/>
        </w:rPr>
      </w:pPr>
      <w:r>
        <w:rPr>
          <w:rFonts w:hint="eastAsia" w:ascii="方正黑体简体" w:hAnsi="宋体" w:eastAsia="方正黑体简体" w:cs="宋体"/>
          <w:color w:val="000000"/>
          <w:sz w:val="32"/>
          <w:szCs w:val="32"/>
        </w:rPr>
        <w:t>2021年</w:t>
      </w:r>
      <w:r>
        <w:rPr>
          <w:rFonts w:hint="eastAsia" w:ascii="方正黑体简体" w:hAnsi="宋体" w:eastAsia="方正黑体简体" w:cs="宋体"/>
          <w:color w:val="000000"/>
          <w:sz w:val="32"/>
          <w:szCs w:val="32"/>
          <w:lang w:val="en-US" w:eastAsia="zh-CN"/>
        </w:rPr>
        <w:t>集中办公区物业管理及水电气费</w:t>
      </w:r>
    </w:p>
    <w:p>
      <w:pPr>
        <w:pageBreakBefore w:val="0"/>
        <w:kinsoku/>
        <w:wordWrap/>
        <w:overflowPunct/>
        <w:topLinePunct w:val="0"/>
        <w:bidi w:val="0"/>
        <w:spacing w:line="576" w:lineRule="exact"/>
        <w:jc w:val="center"/>
        <w:rPr>
          <w:rFonts w:hint="eastAsia" w:ascii="方正黑体简体" w:eastAsia="方正黑体简体"/>
          <w:lang w:eastAsia="zh-CN"/>
        </w:rPr>
      </w:pPr>
      <w:r>
        <w:rPr>
          <w:rFonts w:hint="eastAsia" w:ascii="方正黑体简体" w:hAnsi="宋体" w:eastAsia="方正黑体简体" w:cs="宋体"/>
          <w:color w:val="000000"/>
          <w:sz w:val="32"/>
          <w:szCs w:val="32"/>
        </w:rPr>
        <w:t>预算项目绩效自评</w:t>
      </w:r>
    </w:p>
    <w:tbl>
      <w:tblPr>
        <w:tblStyle w:val="12"/>
        <w:tblpPr w:leftFromText="180" w:rightFromText="180" w:vertAnchor="text" w:horzAnchor="margin" w:tblpY="510"/>
        <w:tblOverlap w:val="never"/>
        <w:tblW w:w="5018" w:type="pct"/>
        <w:tblInd w:w="0" w:type="dxa"/>
        <w:tblLayout w:type="autofit"/>
        <w:tblCellMar>
          <w:top w:w="0" w:type="dxa"/>
          <w:left w:w="108" w:type="dxa"/>
          <w:bottom w:w="0" w:type="dxa"/>
          <w:right w:w="108" w:type="dxa"/>
        </w:tblCellMar>
      </w:tblPr>
      <w:tblGrid>
        <w:gridCol w:w="2269"/>
        <w:gridCol w:w="811"/>
        <w:gridCol w:w="1309"/>
        <w:gridCol w:w="1292"/>
        <w:gridCol w:w="1227"/>
        <w:gridCol w:w="1645"/>
      </w:tblGrid>
      <w:tr>
        <w:tblPrEx>
          <w:tblCellMar>
            <w:top w:w="0" w:type="dxa"/>
            <w:left w:w="108" w:type="dxa"/>
            <w:bottom w:w="0" w:type="dxa"/>
            <w:right w:w="108" w:type="dxa"/>
          </w:tblCellMar>
        </w:tblPrEx>
        <w:trPr>
          <w:trHeight w:val="224" w:hRule="atLeast"/>
        </w:trPr>
        <w:tc>
          <w:tcPr>
            <w:tcW w:w="1800" w:type="pct"/>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Cs w:val="21"/>
              </w:rPr>
            </w:pPr>
            <w:r>
              <w:rPr>
                <w:rFonts w:hint="eastAsia" w:ascii="宋体" w:hAnsi="宋体" w:cs="宋体"/>
                <w:color w:val="000000"/>
                <w:kern w:val="0"/>
                <w:szCs w:val="21"/>
                <w:lang w:bidi="ar"/>
              </w:rPr>
              <w:t>主管部门及代码</w:t>
            </w:r>
          </w:p>
        </w:tc>
        <w:tc>
          <w:tcPr>
            <w:tcW w:w="1520" w:type="pct"/>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textAlignment w:val="center"/>
              <w:rPr>
                <w:rFonts w:ascii="宋体" w:hAnsi="宋体" w:cs="宋体"/>
                <w:color w:val="000000"/>
                <w:szCs w:val="21"/>
              </w:rPr>
            </w:pPr>
            <w:r>
              <w:rPr>
                <w:rFonts w:hint="eastAsia" w:ascii="宋体" w:hAnsi="宋体" w:cs="宋体"/>
                <w:color w:val="000000"/>
                <w:szCs w:val="21"/>
                <w:lang w:eastAsia="zh-CN"/>
              </w:rPr>
              <w:t>广元市利州区机关事务服务中心</w:t>
            </w:r>
            <w:r>
              <w:rPr>
                <w:rFonts w:hint="eastAsia" w:ascii="宋体" w:hAnsi="宋体" w:cs="宋体"/>
                <w:color w:val="000000"/>
                <w:szCs w:val="21"/>
                <w:lang w:val="en-US" w:eastAsia="zh-CN"/>
              </w:rPr>
              <w:t xml:space="preserve">       317301</w:t>
            </w:r>
          </w:p>
        </w:tc>
        <w:tc>
          <w:tcPr>
            <w:tcW w:w="7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Cs w:val="21"/>
              </w:rPr>
            </w:pPr>
            <w:r>
              <w:rPr>
                <w:rFonts w:hint="eastAsia" w:ascii="宋体" w:hAnsi="宋体" w:cs="宋体"/>
                <w:color w:val="000000"/>
                <w:kern w:val="0"/>
                <w:szCs w:val="21"/>
                <w:lang w:bidi="ar"/>
              </w:rPr>
              <w:t>实施单位</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Cs w:val="21"/>
              </w:rPr>
            </w:pPr>
            <w:r>
              <w:rPr>
                <w:rFonts w:hint="eastAsia" w:ascii="宋体" w:hAnsi="宋体" w:cs="宋体"/>
                <w:color w:val="000000"/>
                <w:szCs w:val="21"/>
                <w:lang w:eastAsia="zh-CN"/>
              </w:rPr>
              <w:t>区机关事务服务中心</w:t>
            </w:r>
          </w:p>
        </w:tc>
      </w:tr>
      <w:tr>
        <w:tblPrEx>
          <w:tblCellMar>
            <w:top w:w="0" w:type="dxa"/>
            <w:left w:w="108" w:type="dxa"/>
            <w:bottom w:w="0" w:type="dxa"/>
            <w:right w:w="108" w:type="dxa"/>
          </w:tblCellMar>
        </w:tblPrEx>
        <w:trPr>
          <w:trHeight w:val="300" w:hRule="atLeast"/>
        </w:trPr>
        <w:tc>
          <w:tcPr>
            <w:tcW w:w="180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项目预算</w:t>
            </w:r>
          </w:p>
          <w:p>
            <w:pPr>
              <w:pageBreakBefore w:val="0"/>
              <w:widowControl/>
              <w:kinsoku/>
              <w:wordWrap/>
              <w:overflowPunct/>
              <w:topLinePunct w:val="0"/>
              <w:bidi w:val="0"/>
              <w:spacing w:line="576" w:lineRule="exact"/>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执行情况</w:t>
            </w:r>
          </w:p>
          <w:p>
            <w:pPr>
              <w:pageBreakBefore w:val="0"/>
              <w:widowControl/>
              <w:kinsoku/>
              <w:wordWrap/>
              <w:overflowPunct/>
              <w:topLinePunct w:val="0"/>
              <w:bidi w:val="0"/>
              <w:spacing w:line="576" w:lineRule="exact"/>
              <w:jc w:val="center"/>
              <w:textAlignment w:val="center"/>
              <w:rPr>
                <w:rFonts w:ascii="宋体" w:hAnsi="宋体" w:cs="宋体"/>
                <w:color w:val="000000"/>
                <w:szCs w:val="21"/>
              </w:rPr>
            </w:pPr>
            <w:r>
              <w:rPr>
                <w:rFonts w:hint="eastAsia" w:ascii="宋体" w:hAnsi="宋体" w:cs="宋体"/>
                <w:color w:val="000000"/>
                <w:kern w:val="0"/>
                <w:szCs w:val="21"/>
                <w:lang w:bidi="ar"/>
              </w:rPr>
              <w:t>（万元）</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ascii="宋体" w:hAnsi="宋体" w:cs="宋体"/>
                <w:color w:val="000000"/>
                <w:szCs w:val="21"/>
              </w:rPr>
            </w:pPr>
            <w:r>
              <w:rPr>
                <w:rFonts w:ascii="宋体" w:hAnsi="宋体" w:cs="宋体"/>
                <w:color w:val="000000"/>
                <w:kern w:val="0"/>
                <w:szCs w:val="21"/>
                <w:lang w:bidi="ar"/>
              </w:rPr>
              <w:t xml:space="preserve"> </w:t>
            </w:r>
            <w:r>
              <w:rPr>
                <w:rFonts w:hint="eastAsia" w:ascii="宋体" w:hAnsi="宋体" w:cs="宋体"/>
                <w:color w:val="000000"/>
                <w:kern w:val="0"/>
                <w:szCs w:val="21"/>
                <w:lang w:bidi="ar"/>
              </w:rPr>
              <w:t>预算数：</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109</w:t>
            </w:r>
          </w:p>
        </w:tc>
        <w:tc>
          <w:tcPr>
            <w:tcW w:w="7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ascii="宋体" w:hAnsi="宋体" w:cs="宋体"/>
                <w:color w:val="000000"/>
                <w:szCs w:val="21"/>
              </w:rPr>
            </w:pPr>
            <w:r>
              <w:rPr>
                <w:rFonts w:ascii="宋体" w:hAnsi="宋体" w:cs="宋体"/>
                <w:color w:val="000000"/>
                <w:kern w:val="0"/>
                <w:szCs w:val="21"/>
                <w:lang w:bidi="ar"/>
              </w:rPr>
              <w:t xml:space="preserve"> </w:t>
            </w:r>
            <w:r>
              <w:rPr>
                <w:rFonts w:hint="eastAsia" w:ascii="宋体" w:hAnsi="宋体" w:cs="宋体"/>
                <w:color w:val="000000"/>
                <w:kern w:val="0"/>
                <w:szCs w:val="21"/>
                <w:lang w:bidi="ar"/>
              </w:rPr>
              <w:t>执行数：</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both"/>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109</w:t>
            </w:r>
          </w:p>
        </w:tc>
      </w:tr>
      <w:tr>
        <w:tblPrEx>
          <w:tblCellMar>
            <w:top w:w="0" w:type="dxa"/>
            <w:left w:w="108" w:type="dxa"/>
            <w:bottom w:w="0" w:type="dxa"/>
            <w:right w:w="108" w:type="dxa"/>
          </w:tblCellMar>
        </w:tblPrEx>
        <w:trPr>
          <w:trHeight w:val="508" w:hRule="atLeast"/>
        </w:trPr>
        <w:tc>
          <w:tcPr>
            <w:tcW w:w="180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宋体" w:hAnsi="宋体" w:cs="宋体"/>
                <w:color w:val="000000"/>
                <w:szCs w:val="21"/>
              </w:rPr>
            </w:pPr>
          </w:p>
        </w:tc>
        <w:tc>
          <w:tcPr>
            <w:tcW w:w="76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其中：</w:t>
            </w:r>
          </w:p>
          <w:p>
            <w:pPr>
              <w:pageBreakBefore w:val="0"/>
              <w:widowControl/>
              <w:kinsoku/>
              <w:wordWrap/>
              <w:overflowPunct/>
              <w:topLinePunct w:val="0"/>
              <w:bidi w:val="0"/>
              <w:spacing w:line="576" w:lineRule="exact"/>
              <w:jc w:val="left"/>
              <w:textAlignment w:val="center"/>
              <w:rPr>
                <w:rFonts w:ascii="宋体" w:hAnsi="宋体" w:cs="宋体"/>
                <w:color w:val="000000"/>
                <w:szCs w:val="21"/>
              </w:rPr>
            </w:pPr>
            <w:r>
              <w:rPr>
                <w:rFonts w:hint="eastAsia" w:ascii="宋体" w:hAnsi="宋体" w:cs="宋体"/>
                <w:color w:val="000000"/>
                <w:kern w:val="0"/>
                <w:szCs w:val="21"/>
                <w:lang w:bidi="ar"/>
              </w:rPr>
              <w:t>财政拨款</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109</w:t>
            </w:r>
          </w:p>
        </w:tc>
        <w:tc>
          <w:tcPr>
            <w:tcW w:w="7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其中：</w:t>
            </w:r>
          </w:p>
          <w:p>
            <w:pPr>
              <w:pageBreakBefore w:val="0"/>
              <w:widowControl/>
              <w:kinsoku/>
              <w:wordWrap/>
              <w:overflowPunct/>
              <w:topLinePunct w:val="0"/>
              <w:bidi w:val="0"/>
              <w:spacing w:line="576" w:lineRule="exact"/>
              <w:jc w:val="left"/>
              <w:textAlignment w:val="center"/>
              <w:rPr>
                <w:rFonts w:ascii="宋体" w:hAnsi="宋体" w:cs="宋体"/>
                <w:color w:val="000000"/>
                <w:szCs w:val="21"/>
              </w:rPr>
            </w:pPr>
            <w:r>
              <w:rPr>
                <w:rFonts w:hint="eastAsia" w:ascii="宋体" w:hAnsi="宋体" w:cs="宋体"/>
                <w:color w:val="000000"/>
                <w:kern w:val="0"/>
                <w:szCs w:val="21"/>
                <w:lang w:bidi="ar"/>
              </w:rPr>
              <w:t>财政拨款</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109</w:t>
            </w:r>
          </w:p>
        </w:tc>
      </w:tr>
      <w:tr>
        <w:tblPrEx>
          <w:tblCellMar>
            <w:top w:w="0" w:type="dxa"/>
            <w:left w:w="108" w:type="dxa"/>
            <w:bottom w:w="0" w:type="dxa"/>
            <w:right w:w="108" w:type="dxa"/>
          </w:tblCellMar>
        </w:tblPrEx>
        <w:trPr>
          <w:trHeight w:val="300" w:hRule="atLeast"/>
        </w:trPr>
        <w:tc>
          <w:tcPr>
            <w:tcW w:w="180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宋体" w:hAnsi="宋体" w:cs="宋体"/>
                <w:color w:val="000000"/>
                <w:szCs w:val="21"/>
              </w:rPr>
            </w:pPr>
          </w:p>
        </w:tc>
        <w:tc>
          <w:tcPr>
            <w:tcW w:w="76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ascii="宋体" w:hAnsi="宋体" w:cs="宋体"/>
                <w:color w:val="000000"/>
                <w:szCs w:val="21"/>
              </w:rPr>
            </w:pPr>
            <w:r>
              <w:rPr>
                <w:rFonts w:hint="eastAsia" w:ascii="宋体" w:hAnsi="宋体" w:cs="宋体"/>
                <w:color w:val="000000"/>
                <w:kern w:val="0"/>
                <w:szCs w:val="21"/>
                <w:lang w:bidi="ar"/>
              </w:rPr>
              <w:t>其他资金</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ascii="宋体" w:hAnsi="宋体" w:cs="宋体"/>
                <w:color w:val="000000"/>
                <w:szCs w:val="21"/>
              </w:rPr>
            </w:pPr>
          </w:p>
        </w:tc>
        <w:tc>
          <w:tcPr>
            <w:tcW w:w="7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ascii="宋体" w:hAnsi="宋体" w:cs="宋体"/>
                <w:color w:val="000000"/>
                <w:szCs w:val="21"/>
              </w:rPr>
            </w:pPr>
            <w:r>
              <w:rPr>
                <w:rFonts w:hint="eastAsia" w:ascii="宋体" w:hAnsi="宋体" w:cs="宋体"/>
                <w:color w:val="000000"/>
                <w:kern w:val="0"/>
                <w:szCs w:val="21"/>
                <w:lang w:bidi="ar"/>
              </w:rPr>
              <w:t>其他资金</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191" w:hRule="atLeast"/>
        </w:trPr>
        <w:tc>
          <w:tcPr>
            <w:tcW w:w="1326" w:type="pct"/>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年度总体目标</w:t>
            </w:r>
          </w:p>
          <w:p>
            <w:pPr>
              <w:pageBreakBefore w:val="0"/>
              <w:widowControl/>
              <w:kinsoku/>
              <w:wordWrap/>
              <w:overflowPunct/>
              <w:topLinePunct w:val="0"/>
              <w:bidi w:val="0"/>
              <w:spacing w:line="576" w:lineRule="exact"/>
              <w:jc w:val="center"/>
              <w:textAlignment w:val="center"/>
              <w:rPr>
                <w:rFonts w:ascii="宋体" w:hAnsi="宋体" w:cs="宋体"/>
                <w:color w:val="000000"/>
                <w:szCs w:val="21"/>
              </w:rPr>
            </w:pPr>
            <w:r>
              <w:rPr>
                <w:rFonts w:hint="eastAsia" w:ascii="宋体" w:hAnsi="宋体" w:cs="宋体"/>
                <w:color w:val="000000"/>
                <w:kern w:val="0"/>
                <w:szCs w:val="21"/>
                <w:lang w:bidi="ar"/>
              </w:rPr>
              <w:t>完成情况</w:t>
            </w:r>
          </w:p>
        </w:tc>
        <w:tc>
          <w:tcPr>
            <w:tcW w:w="1994" w:type="pct"/>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Cs w:val="21"/>
              </w:rPr>
            </w:pPr>
            <w:r>
              <w:rPr>
                <w:rFonts w:hint="eastAsia" w:ascii="宋体" w:hAnsi="宋体" w:cs="宋体"/>
                <w:color w:val="000000"/>
                <w:kern w:val="0"/>
                <w:szCs w:val="21"/>
                <w:lang w:bidi="ar"/>
              </w:rPr>
              <w:t>预期目标</w:t>
            </w:r>
          </w:p>
        </w:tc>
        <w:tc>
          <w:tcPr>
            <w:tcW w:w="1678" w:type="pct"/>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Cs w:val="21"/>
              </w:rPr>
            </w:pPr>
            <w:r>
              <w:rPr>
                <w:rFonts w:hint="eastAsia" w:ascii="宋体" w:hAnsi="宋体" w:cs="宋体"/>
                <w:color w:val="000000"/>
                <w:kern w:val="0"/>
                <w:szCs w:val="21"/>
                <w:lang w:bidi="ar"/>
              </w:rPr>
              <w:t>目标实际完成情况</w:t>
            </w:r>
          </w:p>
        </w:tc>
      </w:tr>
      <w:tr>
        <w:tblPrEx>
          <w:tblCellMar>
            <w:top w:w="0" w:type="dxa"/>
            <w:left w:w="108" w:type="dxa"/>
            <w:bottom w:w="0" w:type="dxa"/>
            <w:right w:w="108" w:type="dxa"/>
          </w:tblCellMar>
        </w:tblPrEx>
        <w:trPr>
          <w:trHeight w:val="1715" w:hRule="atLeast"/>
        </w:trPr>
        <w:tc>
          <w:tcPr>
            <w:tcW w:w="1326" w:type="pct"/>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宋体" w:hAnsi="宋体" w:cs="宋体"/>
                <w:color w:val="000000"/>
                <w:szCs w:val="21"/>
              </w:rPr>
            </w:pPr>
          </w:p>
        </w:tc>
        <w:tc>
          <w:tcPr>
            <w:tcW w:w="1994" w:type="pct"/>
            <w:gridSpan w:val="3"/>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bidi w:val="0"/>
              <w:spacing w:line="576" w:lineRule="exact"/>
              <w:jc w:val="left"/>
              <w:textAlignment w:val="top"/>
              <w:rPr>
                <w:rFonts w:ascii="宋体" w:hAnsi="宋体" w:cs="宋体"/>
                <w:color w:val="000000"/>
                <w:sz w:val="21"/>
                <w:szCs w:val="21"/>
              </w:rPr>
            </w:pPr>
            <w:r>
              <w:rPr>
                <w:rFonts w:hint="eastAsia"/>
                <w:color w:val="000000"/>
                <w:sz w:val="21"/>
                <w:szCs w:val="21"/>
              </w:rPr>
              <w:t>保证工作有序，维护我区和谐稳定社会秩序，为机关单位提供优质的服务场所和设施。做好机关办公区保洁工作，营造良好办公环境。打造节约型机关，方便群众办事，规范道路摆放，减少占地。</w:t>
            </w:r>
          </w:p>
        </w:tc>
        <w:tc>
          <w:tcPr>
            <w:tcW w:w="1678" w:type="pct"/>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bidi w:val="0"/>
              <w:spacing w:line="576" w:lineRule="exact"/>
              <w:jc w:val="left"/>
              <w:textAlignment w:val="top"/>
              <w:rPr>
                <w:rFonts w:hint="default" w:ascii="宋体" w:hAnsi="宋体" w:eastAsia="宋体" w:cs="宋体"/>
                <w:color w:val="000000"/>
                <w:sz w:val="21"/>
                <w:szCs w:val="21"/>
                <w:lang w:val="en-US" w:eastAsia="zh-CN"/>
              </w:rPr>
            </w:pPr>
            <w:r>
              <w:rPr>
                <w:rFonts w:hint="eastAsia"/>
                <w:color w:val="000000"/>
                <w:sz w:val="21"/>
                <w:szCs w:val="21"/>
                <w:lang w:val="en-US" w:eastAsia="zh-CN"/>
              </w:rPr>
              <w:t>及时</w:t>
            </w:r>
            <w:r>
              <w:rPr>
                <w:rFonts w:hint="eastAsia"/>
                <w:color w:val="000000"/>
                <w:sz w:val="21"/>
                <w:szCs w:val="21"/>
              </w:rPr>
              <w:t>做好机关办公区保洁</w:t>
            </w:r>
            <w:r>
              <w:rPr>
                <w:rFonts w:hint="eastAsia"/>
                <w:color w:val="000000"/>
                <w:sz w:val="21"/>
                <w:szCs w:val="21"/>
                <w:lang w:eastAsia="zh-CN"/>
              </w:rPr>
              <w:t>、</w:t>
            </w:r>
            <w:r>
              <w:rPr>
                <w:rFonts w:hint="eastAsia"/>
                <w:color w:val="000000"/>
                <w:sz w:val="21"/>
                <w:szCs w:val="21"/>
                <w:lang w:val="en-US" w:eastAsia="zh-CN"/>
              </w:rPr>
              <w:t>设施设备维护保养、</w:t>
            </w:r>
            <w:r>
              <w:rPr>
                <w:rFonts w:hint="eastAsia"/>
                <w:color w:val="000000"/>
                <w:sz w:val="21"/>
                <w:szCs w:val="21"/>
              </w:rPr>
              <w:t>秩序维护</w:t>
            </w:r>
            <w:r>
              <w:rPr>
                <w:rFonts w:hint="eastAsia"/>
                <w:color w:val="000000"/>
                <w:sz w:val="21"/>
                <w:szCs w:val="21"/>
                <w:lang w:val="en-US" w:eastAsia="zh-CN"/>
              </w:rPr>
              <w:t>工作，</w:t>
            </w:r>
            <w:r>
              <w:rPr>
                <w:rFonts w:hint="eastAsia"/>
                <w:color w:val="000000"/>
                <w:sz w:val="21"/>
                <w:szCs w:val="21"/>
              </w:rPr>
              <w:t>营造良好办公环境。</w:t>
            </w:r>
          </w:p>
        </w:tc>
      </w:tr>
      <w:tr>
        <w:tblPrEx>
          <w:tblCellMar>
            <w:top w:w="0" w:type="dxa"/>
            <w:left w:w="108" w:type="dxa"/>
            <w:bottom w:w="0" w:type="dxa"/>
            <w:right w:w="108" w:type="dxa"/>
          </w:tblCellMar>
        </w:tblPrEx>
        <w:trPr>
          <w:trHeight w:val="650" w:hRule="atLeast"/>
        </w:trPr>
        <w:tc>
          <w:tcPr>
            <w:tcW w:w="1326" w:type="pct"/>
            <w:vMerge w:val="restart"/>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仿宋_GB2312" w:cs="仿宋_GB2312"/>
                <w:color w:val="000000"/>
                <w:szCs w:val="21"/>
              </w:rPr>
            </w:pPr>
            <w:r>
              <w:rPr>
                <w:rFonts w:hint="eastAsia" w:ascii="仿宋_GB2312" w:hAnsi="仿宋_GB2312" w:cs="仿宋_GB2312"/>
                <w:color w:val="000000"/>
                <w:kern w:val="0"/>
                <w:szCs w:val="21"/>
                <w:lang w:bidi="ar"/>
              </w:rPr>
              <w:t>年度绩效指标完成情况</w:t>
            </w:r>
          </w:p>
        </w:tc>
        <w:tc>
          <w:tcPr>
            <w:tcW w:w="4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仿宋_GB2312" w:cs="仿宋_GB2312"/>
                <w:color w:val="000000"/>
                <w:kern w:val="0"/>
                <w:szCs w:val="21"/>
                <w:lang w:bidi="ar"/>
              </w:rPr>
            </w:pPr>
            <w:r>
              <w:rPr>
                <w:rFonts w:hint="eastAsia" w:ascii="仿宋_GB2312" w:hAnsi="仿宋_GB2312" w:cs="仿宋_GB2312"/>
                <w:color w:val="000000"/>
                <w:kern w:val="0"/>
                <w:szCs w:val="21"/>
                <w:lang w:bidi="ar"/>
              </w:rPr>
              <w:t>一级</w:t>
            </w:r>
          </w:p>
          <w:p>
            <w:pPr>
              <w:pageBreakBefore w:val="0"/>
              <w:widowControl/>
              <w:kinsoku/>
              <w:wordWrap/>
              <w:overflowPunct/>
              <w:topLinePunct w:val="0"/>
              <w:bidi w:val="0"/>
              <w:spacing w:line="576" w:lineRule="exact"/>
              <w:jc w:val="center"/>
              <w:textAlignment w:val="center"/>
              <w:rPr>
                <w:rFonts w:ascii="仿宋_GB2312" w:cs="仿宋_GB2312"/>
                <w:color w:val="000000"/>
                <w:szCs w:val="21"/>
              </w:rPr>
            </w:pPr>
            <w:r>
              <w:rPr>
                <w:rFonts w:hint="eastAsia" w:ascii="仿宋_GB2312" w:hAnsi="仿宋_GB2312" w:cs="仿宋_GB2312"/>
                <w:color w:val="000000"/>
                <w:kern w:val="0"/>
                <w:szCs w:val="21"/>
                <w:lang w:bidi="ar"/>
              </w:rPr>
              <w:t>指标</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仿宋_GB2312" w:cs="仿宋_GB2312"/>
                <w:color w:val="000000"/>
                <w:kern w:val="0"/>
                <w:szCs w:val="21"/>
                <w:lang w:bidi="ar"/>
              </w:rPr>
            </w:pPr>
            <w:r>
              <w:rPr>
                <w:rFonts w:hint="eastAsia" w:ascii="仿宋_GB2312" w:hAnsi="仿宋_GB2312" w:cs="仿宋_GB2312"/>
                <w:color w:val="000000"/>
                <w:kern w:val="0"/>
                <w:szCs w:val="21"/>
                <w:lang w:bidi="ar"/>
              </w:rPr>
              <w:t>二级</w:t>
            </w:r>
          </w:p>
          <w:p>
            <w:pPr>
              <w:pageBreakBefore w:val="0"/>
              <w:widowControl/>
              <w:kinsoku/>
              <w:wordWrap/>
              <w:overflowPunct/>
              <w:topLinePunct w:val="0"/>
              <w:bidi w:val="0"/>
              <w:spacing w:line="576" w:lineRule="exact"/>
              <w:jc w:val="center"/>
              <w:textAlignment w:val="center"/>
              <w:rPr>
                <w:rFonts w:ascii="仿宋_GB2312" w:cs="仿宋_GB2312"/>
                <w:color w:val="000000"/>
                <w:szCs w:val="21"/>
              </w:rPr>
            </w:pPr>
            <w:r>
              <w:rPr>
                <w:rFonts w:hint="eastAsia" w:ascii="仿宋_GB2312" w:hAnsi="仿宋_GB2312" w:cs="仿宋_GB2312"/>
                <w:color w:val="000000"/>
                <w:kern w:val="0"/>
                <w:szCs w:val="21"/>
                <w:lang w:bidi="ar"/>
              </w:rPr>
              <w:t>指标</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仿宋_GB2312" w:cs="仿宋_GB2312"/>
                <w:color w:val="000000"/>
                <w:kern w:val="0"/>
                <w:szCs w:val="21"/>
                <w:lang w:bidi="ar"/>
              </w:rPr>
            </w:pPr>
            <w:r>
              <w:rPr>
                <w:rFonts w:hint="eastAsia" w:ascii="仿宋_GB2312" w:hAnsi="仿宋_GB2312" w:cs="仿宋_GB2312"/>
                <w:color w:val="000000"/>
                <w:kern w:val="0"/>
                <w:szCs w:val="21"/>
                <w:lang w:bidi="ar"/>
              </w:rPr>
              <w:t>三级</w:t>
            </w:r>
          </w:p>
          <w:p>
            <w:pPr>
              <w:pageBreakBefore w:val="0"/>
              <w:widowControl/>
              <w:kinsoku/>
              <w:wordWrap/>
              <w:overflowPunct/>
              <w:topLinePunct w:val="0"/>
              <w:bidi w:val="0"/>
              <w:spacing w:line="576" w:lineRule="exact"/>
              <w:jc w:val="center"/>
              <w:textAlignment w:val="center"/>
              <w:rPr>
                <w:rFonts w:ascii="仿宋_GB2312" w:cs="仿宋_GB2312"/>
                <w:color w:val="000000"/>
                <w:szCs w:val="21"/>
              </w:rPr>
            </w:pPr>
            <w:r>
              <w:rPr>
                <w:rFonts w:hint="eastAsia" w:ascii="仿宋_GB2312" w:hAnsi="仿宋_GB2312" w:cs="仿宋_GB2312"/>
                <w:color w:val="000000"/>
                <w:kern w:val="0"/>
                <w:szCs w:val="21"/>
                <w:lang w:bidi="ar"/>
              </w:rPr>
              <w:t>指标</w:t>
            </w:r>
          </w:p>
        </w:tc>
        <w:tc>
          <w:tcPr>
            <w:tcW w:w="71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仿宋_GB2312" w:cs="仿宋_GB2312"/>
                <w:color w:val="000000"/>
                <w:szCs w:val="21"/>
              </w:rPr>
            </w:pPr>
            <w:r>
              <w:rPr>
                <w:rFonts w:hint="eastAsia" w:ascii="仿宋_GB2312" w:hAnsi="仿宋_GB2312" w:cs="仿宋_GB2312"/>
                <w:color w:val="000000"/>
                <w:kern w:val="0"/>
                <w:szCs w:val="21"/>
                <w:lang w:bidi="ar"/>
              </w:rPr>
              <w:t>预期指标值</w:t>
            </w:r>
          </w:p>
        </w:tc>
        <w:tc>
          <w:tcPr>
            <w:tcW w:w="96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仿宋_GB2312" w:cs="仿宋_GB2312"/>
                <w:color w:val="000000"/>
                <w:szCs w:val="21"/>
              </w:rPr>
            </w:pPr>
            <w:r>
              <w:rPr>
                <w:rFonts w:hint="eastAsia" w:ascii="仿宋_GB2312" w:hAnsi="仿宋_GB2312" w:cs="仿宋_GB2312"/>
                <w:color w:val="000000"/>
                <w:kern w:val="0"/>
                <w:szCs w:val="21"/>
                <w:lang w:bidi="ar"/>
              </w:rPr>
              <w:t>实际完成指标值</w:t>
            </w:r>
          </w:p>
        </w:tc>
      </w:tr>
      <w:tr>
        <w:tblPrEx>
          <w:tblCellMar>
            <w:top w:w="0" w:type="dxa"/>
            <w:left w:w="108" w:type="dxa"/>
            <w:bottom w:w="0" w:type="dxa"/>
            <w:right w:w="108" w:type="dxa"/>
          </w:tblCellMar>
        </w:tblPrEx>
        <w:trPr>
          <w:trHeight w:val="423" w:hRule="atLeast"/>
        </w:trPr>
        <w:tc>
          <w:tcPr>
            <w:tcW w:w="132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Cs w:val="21"/>
              </w:rPr>
            </w:pPr>
          </w:p>
        </w:tc>
        <w:tc>
          <w:tcPr>
            <w:tcW w:w="474" w:type="pct"/>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bottom"/>
              <w:rPr>
                <w:rFonts w:ascii="仿宋_GB2312" w:cs="仿宋_GB2312"/>
                <w:color w:val="000000"/>
                <w:kern w:val="0"/>
                <w:szCs w:val="21"/>
                <w:lang w:bidi="ar"/>
              </w:rPr>
            </w:pPr>
            <w:r>
              <w:rPr>
                <w:rFonts w:hint="eastAsia" w:ascii="仿宋_GB2312" w:hAnsi="仿宋_GB2312" w:cs="仿宋_GB2312"/>
                <w:color w:val="000000"/>
                <w:kern w:val="0"/>
                <w:szCs w:val="21"/>
                <w:lang w:bidi="ar"/>
              </w:rPr>
              <w:t>完成</w:t>
            </w:r>
          </w:p>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指标</w:t>
            </w:r>
          </w:p>
        </w:tc>
        <w:tc>
          <w:tcPr>
            <w:tcW w:w="765"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数量指标</w:t>
            </w:r>
          </w:p>
        </w:tc>
        <w:tc>
          <w:tcPr>
            <w:tcW w:w="755"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hint="default" w:ascii="仿宋_GB2312" w:eastAsia="宋体" w:cs="仿宋_GB2312"/>
                <w:color w:val="000000"/>
                <w:szCs w:val="21"/>
                <w:lang w:val="en-US" w:eastAsia="zh-CN"/>
              </w:rPr>
            </w:pPr>
            <w:r>
              <w:rPr>
                <w:rFonts w:hint="eastAsia" w:ascii="仿宋_GB2312" w:cs="仿宋_GB2312"/>
                <w:color w:val="000000"/>
                <w:szCs w:val="21"/>
                <w:lang w:val="en-US" w:eastAsia="zh-CN"/>
              </w:rPr>
              <w:t>办公区日常维护面积</w:t>
            </w:r>
          </w:p>
        </w:tc>
        <w:tc>
          <w:tcPr>
            <w:tcW w:w="717"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hint="eastAsia" w:ascii="Calibri" w:hAnsi="Calibri" w:cs="宋体"/>
                <w:color w:val="000000"/>
                <w:kern w:val="0"/>
                <w:szCs w:val="21"/>
              </w:rPr>
              <w:t>41628㎡</w:t>
            </w:r>
          </w:p>
        </w:tc>
        <w:tc>
          <w:tcPr>
            <w:tcW w:w="961"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hint="eastAsia" w:ascii="仿宋_GB2312" w:eastAsia="宋体" w:cs="仿宋_GB2312"/>
                <w:color w:val="000000"/>
                <w:szCs w:val="21"/>
                <w:lang w:val="en-US" w:eastAsia="zh-CN"/>
              </w:rPr>
            </w:pPr>
            <w:r>
              <w:rPr>
                <w:rFonts w:hint="eastAsia" w:ascii="仿宋_GB2312" w:cs="仿宋_GB2312"/>
                <w:color w:val="000000"/>
                <w:szCs w:val="21"/>
                <w:lang w:val="en-US" w:eastAsia="zh-CN"/>
              </w:rPr>
              <w:t>完成</w:t>
            </w:r>
          </w:p>
        </w:tc>
      </w:tr>
      <w:tr>
        <w:tblPrEx>
          <w:tblCellMar>
            <w:top w:w="0" w:type="dxa"/>
            <w:left w:w="108" w:type="dxa"/>
            <w:bottom w:w="0" w:type="dxa"/>
            <w:right w:w="108" w:type="dxa"/>
          </w:tblCellMar>
        </w:tblPrEx>
        <w:trPr>
          <w:trHeight w:val="423" w:hRule="atLeast"/>
        </w:trPr>
        <w:tc>
          <w:tcPr>
            <w:tcW w:w="132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Cs w:val="21"/>
              </w:rPr>
            </w:pP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bottom"/>
          </w:tcPr>
          <w:p>
            <w:pPr>
              <w:pageBreakBefore w:val="0"/>
              <w:kinsoku/>
              <w:wordWrap/>
              <w:overflowPunct/>
              <w:topLinePunct w:val="0"/>
              <w:bidi w:val="0"/>
              <w:spacing w:line="576" w:lineRule="exact"/>
              <w:jc w:val="center"/>
              <w:rPr>
                <w:rFonts w:ascii="仿宋_GB2312" w:cs="仿宋_GB2312"/>
                <w:color w:val="000000"/>
                <w:szCs w:val="21"/>
              </w:rPr>
            </w:pPr>
          </w:p>
        </w:tc>
        <w:tc>
          <w:tcPr>
            <w:tcW w:w="765"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质量指标</w:t>
            </w:r>
          </w:p>
        </w:tc>
        <w:tc>
          <w:tcPr>
            <w:tcW w:w="755"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ascii="宋体" w:hAnsi="宋体" w:cs="宋体"/>
                <w:color w:val="000000"/>
                <w:kern w:val="0"/>
                <w:sz w:val="21"/>
                <w:szCs w:val="21"/>
              </w:rPr>
              <w:t>办公区</w:t>
            </w:r>
            <w:r>
              <w:rPr>
                <w:rFonts w:hint="eastAsia" w:ascii="宋体" w:hAnsi="宋体" w:cs="宋体"/>
                <w:color w:val="000000"/>
                <w:kern w:val="0"/>
                <w:sz w:val="21"/>
                <w:szCs w:val="21"/>
                <w:lang w:val="en-US" w:eastAsia="zh-CN"/>
              </w:rPr>
              <w:t>运行</w:t>
            </w:r>
            <w:r>
              <w:rPr>
                <w:rFonts w:ascii="宋体" w:hAnsi="宋体" w:cs="宋体"/>
                <w:color w:val="000000"/>
                <w:kern w:val="0"/>
                <w:sz w:val="21"/>
                <w:szCs w:val="21"/>
              </w:rPr>
              <w:t>管理情况</w:t>
            </w:r>
          </w:p>
        </w:tc>
        <w:tc>
          <w:tcPr>
            <w:tcW w:w="717"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hint="eastAsia" w:ascii="仿宋_GB2312" w:eastAsia="宋体" w:cs="仿宋_GB2312"/>
                <w:color w:val="000000"/>
                <w:szCs w:val="21"/>
                <w:lang w:val="en-US" w:eastAsia="zh-CN"/>
              </w:rPr>
            </w:pPr>
            <w:r>
              <w:rPr>
                <w:rFonts w:hint="eastAsia" w:ascii="仿宋_GB2312" w:cs="仿宋_GB2312"/>
                <w:color w:val="000000"/>
                <w:szCs w:val="21"/>
                <w:lang w:val="en-US" w:eastAsia="zh-CN"/>
              </w:rPr>
              <w:t>良好</w:t>
            </w:r>
          </w:p>
        </w:tc>
        <w:tc>
          <w:tcPr>
            <w:tcW w:w="961"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hint="eastAsia" w:ascii="仿宋_GB2312" w:cs="仿宋_GB2312"/>
                <w:color w:val="000000"/>
                <w:szCs w:val="21"/>
                <w:lang w:val="en-US" w:eastAsia="zh-CN"/>
              </w:rPr>
              <w:t>良好</w:t>
            </w:r>
          </w:p>
        </w:tc>
      </w:tr>
      <w:tr>
        <w:tblPrEx>
          <w:tblCellMar>
            <w:top w:w="0" w:type="dxa"/>
            <w:left w:w="108" w:type="dxa"/>
            <w:bottom w:w="0" w:type="dxa"/>
            <w:right w:w="108" w:type="dxa"/>
          </w:tblCellMar>
        </w:tblPrEx>
        <w:trPr>
          <w:trHeight w:val="423" w:hRule="atLeast"/>
        </w:trPr>
        <w:tc>
          <w:tcPr>
            <w:tcW w:w="132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Cs w:val="21"/>
              </w:rPr>
            </w:pP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bottom"/>
          </w:tcPr>
          <w:p>
            <w:pPr>
              <w:pageBreakBefore w:val="0"/>
              <w:kinsoku/>
              <w:wordWrap/>
              <w:overflowPunct/>
              <w:topLinePunct w:val="0"/>
              <w:bidi w:val="0"/>
              <w:spacing w:line="576" w:lineRule="exact"/>
              <w:jc w:val="center"/>
              <w:rPr>
                <w:rFonts w:ascii="仿宋_GB2312" w:cs="仿宋_GB2312"/>
                <w:color w:val="000000"/>
                <w:szCs w:val="21"/>
              </w:rPr>
            </w:pPr>
          </w:p>
        </w:tc>
        <w:tc>
          <w:tcPr>
            <w:tcW w:w="765"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时效指标</w:t>
            </w:r>
          </w:p>
        </w:tc>
        <w:tc>
          <w:tcPr>
            <w:tcW w:w="755"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ascii="宋体" w:hAnsi="宋体" w:cs="宋体"/>
                <w:color w:val="000000"/>
                <w:kern w:val="0"/>
                <w:sz w:val="21"/>
                <w:szCs w:val="21"/>
              </w:rPr>
              <w:t>设施设备维保及时率</w:t>
            </w:r>
          </w:p>
        </w:tc>
        <w:tc>
          <w:tcPr>
            <w:tcW w:w="717"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hint="eastAsia" w:ascii="仿宋_GB2312" w:eastAsia="宋体" w:cs="仿宋_GB2312"/>
                <w:color w:val="000000"/>
                <w:szCs w:val="21"/>
                <w:lang w:val="en-US" w:eastAsia="zh-CN"/>
              </w:rPr>
            </w:pPr>
            <w:r>
              <w:rPr>
                <w:rFonts w:hint="eastAsia" w:ascii="仿宋_GB2312" w:cs="仿宋_GB2312"/>
                <w:color w:val="000000"/>
                <w:szCs w:val="21"/>
                <w:lang w:val="en-US" w:eastAsia="zh-CN"/>
              </w:rPr>
              <w:t>及时</w:t>
            </w:r>
          </w:p>
        </w:tc>
        <w:tc>
          <w:tcPr>
            <w:tcW w:w="961"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hint="eastAsia" w:ascii="仿宋_GB2312" w:eastAsia="宋体" w:cs="仿宋_GB2312"/>
                <w:color w:val="000000"/>
                <w:szCs w:val="21"/>
                <w:lang w:val="en-US" w:eastAsia="zh-CN"/>
              </w:rPr>
            </w:pPr>
            <w:r>
              <w:rPr>
                <w:rFonts w:hint="eastAsia" w:ascii="仿宋_GB2312" w:cs="仿宋_GB2312"/>
                <w:color w:val="000000"/>
                <w:szCs w:val="21"/>
                <w:lang w:val="en-US" w:eastAsia="zh-CN"/>
              </w:rPr>
              <w:t>及时</w:t>
            </w:r>
          </w:p>
        </w:tc>
      </w:tr>
      <w:tr>
        <w:tblPrEx>
          <w:tblCellMar>
            <w:top w:w="0" w:type="dxa"/>
            <w:left w:w="108" w:type="dxa"/>
            <w:bottom w:w="0" w:type="dxa"/>
            <w:right w:w="108" w:type="dxa"/>
          </w:tblCellMar>
        </w:tblPrEx>
        <w:trPr>
          <w:trHeight w:val="1648" w:hRule="atLeast"/>
        </w:trPr>
        <w:tc>
          <w:tcPr>
            <w:tcW w:w="132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Cs w:val="21"/>
              </w:rPr>
            </w:pP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bottom"/>
          </w:tcPr>
          <w:p>
            <w:pPr>
              <w:pageBreakBefore w:val="0"/>
              <w:kinsoku/>
              <w:wordWrap/>
              <w:overflowPunct/>
              <w:topLinePunct w:val="0"/>
              <w:bidi w:val="0"/>
              <w:spacing w:line="576" w:lineRule="exact"/>
              <w:jc w:val="center"/>
              <w:rPr>
                <w:rFonts w:ascii="仿宋_GB2312" w:cs="仿宋_GB2312"/>
                <w:color w:val="000000"/>
                <w:szCs w:val="21"/>
              </w:rPr>
            </w:pPr>
          </w:p>
        </w:tc>
        <w:tc>
          <w:tcPr>
            <w:tcW w:w="765"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成本指标</w:t>
            </w:r>
          </w:p>
        </w:tc>
        <w:tc>
          <w:tcPr>
            <w:tcW w:w="755"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hint="default" w:ascii="仿宋_GB2312" w:eastAsia="宋体" w:cs="仿宋_GB2312"/>
                <w:color w:val="000000"/>
                <w:szCs w:val="21"/>
                <w:lang w:val="en-US" w:eastAsia="zh-CN"/>
              </w:rPr>
            </w:pPr>
            <w:r>
              <w:rPr>
                <w:rFonts w:hint="eastAsia" w:ascii="仿宋_GB2312" w:cs="仿宋_GB2312"/>
                <w:color w:val="000000"/>
                <w:sz w:val="20"/>
                <w:szCs w:val="20"/>
                <w:lang w:val="en-US" w:eastAsia="zh-CN"/>
              </w:rPr>
              <w:t>集中办公区物业管理及水电气费</w:t>
            </w:r>
          </w:p>
        </w:tc>
        <w:tc>
          <w:tcPr>
            <w:tcW w:w="717"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hint="default" w:ascii="仿宋_GB2312" w:eastAsia="宋体" w:cs="仿宋_GB2312"/>
                <w:color w:val="000000"/>
                <w:szCs w:val="21"/>
                <w:lang w:val="en-US" w:eastAsia="zh-CN"/>
              </w:rPr>
            </w:pPr>
            <w:r>
              <w:rPr>
                <w:rFonts w:hint="eastAsia" w:ascii="仿宋_GB2312" w:cs="仿宋_GB2312"/>
                <w:color w:val="000000"/>
                <w:szCs w:val="21"/>
                <w:lang w:val="en-US" w:eastAsia="zh-CN"/>
              </w:rPr>
              <w:t>109</w:t>
            </w:r>
          </w:p>
        </w:tc>
        <w:tc>
          <w:tcPr>
            <w:tcW w:w="961"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hint="default" w:ascii="仿宋_GB2312" w:eastAsia="宋体" w:cs="仿宋_GB2312"/>
                <w:color w:val="000000"/>
                <w:szCs w:val="21"/>
                <w:lang w:val="en-US" w:eastAsia="zh-CN"/>
              </w:rPr>
            </w:pPr>
            <w:r>
              <w:rPr>
                <w:rFonts w:hint="eastAsia" w:ascii="仿宋_GB2312" w:cs="仿宋_GB2312"/>
                <w:color w:val="000000"/>
                <w:szCs w:val="21"/>
                <w:lang w:val="en-US" w:eastAsia="zh-CN"/>
              </w:rPr>
              <w:t>按时支付</w:t>
            </w:r>
          </w:p>
        </w:tc>
      </w:tr>
      <w:tr>
        <w:tblPrEx>
          <w:tblCellMar>
            <w:top w:w="0" w:type="dxa"/>
            <w:left w:w="108" w:type="dxa"/>
            <w:bottom w:w="0" w:type="dxa"/>
            <w:right w:w="108" w:type="dxa"/>
          </w:tblCellMar>
        </w:tblPrEx>
        <w:trPr>
          <w:trHeight w:val="423" w:hRule="atLeast"/>
        </w:trPr>
        <w:tc>
          <w:tcPr>
            <w:tcW w:w="132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Cs w:val="21"/>
              </w:rPr>
            </w:pP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bottom"/>
          </w:tcPr>
          <w:p>
            <w:pPr>
              <w:pageBreakBefore w:val="0"/>
              <w:kinsoku/>
              <w:wordWrap/>
              <w:overflowPunct/>
              <w:topLinePunct w:val="0"/>
              <w:bidi w:val="0"/>
              <w:spacing w:line="576" w:lineRule="exact"/>
              <w:jc w:val="center"/>
              <w:rPr>
                <w:rFonts w:ascii="仿宋_GB2312" w:cs="仿宋_GB2312"/>
                <w:color w:val="000000"/>
                <w:szCs w:val="21"/>
              </w:rPr>
            </w:pPr>
          </w:p>
        </w:tc>
        <w:tc>
          <w:tcPr>
            <w:tcW w:w="765"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社会效益</w:t>
            </w:r>
            <w:r>
              <w:rPr>
                <w:rFonts w:ascii="仿宋_GB2312" w:hAnsi="仿宋_GB2312" w:cs="仿宋_GB2312"/>
                <w:color w:val="000000"/>
                <w:kern w:val="0"/>
                <w:szCs w:val="21"/>
                <w:lang w:bidi="ar"/>
              </w:rPr>
              <w:t xml:space="preserve">  </w:t>
            </w:r>
            <w:r>
              <w:rPr>
                <w:rFonts w:hint="eastAsia" w:ascii="仿宋_GB2312" w:hAnsi="仿宋_GB2312" w:cs="仿宋_GB2312"/>
                <w:color w:val="000000"/>
                <w:kern w:val="0"/>
                <w:szCs w:val="21"/>
                <w:lang w:bidi="ar"/>
              </w:rPr>
              <w:t>指标</w:t>
            </w:r>
          </w:p>
        </w:tc>
        <w:tc>
          <w:tcPr>
            <w:tcW w:w="755"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ascii="宋体" w:hAnsi="宋体" w:cs="宋体"/>
                <w:color w:val="000000"/>
                <w:kern w:val="0"/>
                <w:sz w:val="21"/>
                <w:szCs w:val="21"/>
              </w:rPr>
              <w:t>保障办公区内单位正常运转</w:t>
            </w:r>
          </w:p>
        </w:tc>
        <w:tc>
          <w:tcPr>
            <w:tcW w:w="717"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ascii="宋体" w:hAnsi="宋体" w:cs="宋体"/>
                <w:color w:val="000000"/>
                <w:kern w:val="0"/>
                <w:sz w:val="22"/>
                <w:szCs w:val="22"/>
              </w:rPr>
              <w:t>长期保障</w:t>
            </w:r>
          </w:p>
        </w:tc>
        <w:tc>
          <w:tcPr>
            <w:tcW w:w="961"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hint="eastAsia" w:ascii="仿宋_GB2312" w:eastAsia="宋体" w:cs="仿宋_GB2312"/>
                <w:color w:val="000000"/>
                <w:szCs w:val="21"/>
                <w:lang w:val="en-US" w:eastAsia="zh-CN"/>
              </w:rPr>
            </w:pPr>
            <w:r>
              <w:rPr>
                <w:rFonts w:hint="eastAsia" w:ascii="仿宋_GB2312" w:cs="仿宋_GB2312"/>
                <w:color w:val="000000"/>
                <w:szCs w:val="21"/>
                <w:lang w:val="en-US" w:eastAsia="zh-CN"/>
              </w:rPr>
              <w:t>完成</w:t>
            </w:r>
          </w:p>
        </w:tc>
      </w:tr>
      <w:tr>
        <w:tblPrEx>
          <w:tblCellMar>
            <w:top w:w="0" w:type="dxa"/>
            <w:left w:w="108" w:type="dxa"/>
            <w:bottom w:w="0" w:type="dxa"/>
            <w:right w:w="108" w:type="dxa"/>
          </w:tblCellMar>
        </w:tblPrEx>
        <w:trPr>
          <w:trHeight w:val="508" w:hRule="atLeast"/>
        </w:trPr>
        <w:tc>
          <w:tcPr>
            <w:tcW w:w="132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Cs w:val="21"/>
              </w:rPr>
            </w:pP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bottom"/>
          </w:tcPr>
          <w:p>
            <w:pPr>
              <w:pageBreakBefore w:val="0"/>
              <w:kinsoku/>
              <w:wordWrap/>
              <w:overflowPunct/>
              <w:topLinePunct w:val="0"/>
              <w:bidi w:val="0"/>
              <w:spacing w:line="576" w:lineRule="exact"/>
              <w:jc w:val="center"/>
              <w:rPr>
                <w:rFonts w:ascii="仿宋_GB2312" w:cs="仿宋_GB2312"/>
                <w:color w:val="000000"/>
                <w:szCs w:val="21"/>
              </w:rPr>
            </w:pPr>
          </w:p>
        </w:tc>
        <w:tc>
          <w:tcPr>
            <w:tcW w:w="765"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ind w:left="393" w:leftChars="87" w:hanging="210" w:hangingChars="100"/>
              <w:jc w:val="left"/>
              <w:textAlignment w:val="bottom"/>
              <w:rPr>
                <w:rFonts w:ascii="仿宋_GB2312" w:cs="仿宋_GB2312"/>
                <w:color w:val="000000"/>
                <w:szCs w:val="21"/>
              </w:rPr>
            </w:pPr>
            <w:r>
              <w:rPr>
                <w:rFonts w:hint="eastAsia" w:ascii="仿宋_GB2312" w:hAnsi="仿宋_GB2312" w:cs="仿宋_GB2312"/>
                <w:color w:val="000000"/>
                <w:kern w:val="0"/>
                <w:szCs w:val="21"/>
                <w:lang w:bidi="ar"/>
              </w:rPr>
              <w:t>生态效益</w:t>
            </w:r>
            <w:r>
              <w:rPr>
                <w:rFonts w:ascii="仿宋_GB2312" w:hAnsi="仿宋_GB2312" w:cs="仿宋_GB2312"/>
                <w:color w:val="000000"/>
                <w:kern w:val="0"/>
                <w:szCs w:val="21"/>
                <w:lang w:bidi="ar"/>
              </w:rPr>
              <w:t xml:space="preserve">  </w:t>
            </w:r>
            <w:r>
              <w:rPr>
                <w:rFonts w:hint="eastAsia" w:ascii="仿宋_GB2312" w:hAnsi="仿宋_GB2312" w:cs="仿宋_GB2312"/>
                <w:color w:val="000000"/>
                <w:kern w:val="0"/>
                <w:szCs w:val="21"/>
                <w:lang w:bidi="ar"/>
              </w:rPr>
              <w:t>指标</w:t>
            </w:r>
          </w:p>
        </w:tc>
        <w:tc>
          <w:tcPr>
            <w:tcW w:w="755"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p>
        </w:tc>
        <w:tc>
          <w:tcPr>
            <w:tcW w:w="717"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p>
        </w:tc>
        <w:tc>
          <w:tcPr>
            <w:tcW w:w="961"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p>
        </w:tc>
      </w:tr>
      <w:tr>
        <w:tblPrEx>
          <w:tblCellMar>
            <w:top w:w="0" w:type="dxa"/>
            <w:left w:w="108" w:type="dxa"/>
            <w:bottom w:w="0" w:type="dxa"/>
            <w:right w:w="108" w:type="dxa"/>
          </w:tblCellMar>
        </w:tblPrEx>
        <w:trPr>
          <w:trHeight w:val="423" w:hRule="atLeast"/>
        </w:trPr>
        <w:tc>
          <w:tcPr>
            <w:tcW w:w="132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Cs w:val="21"/>
              </w:rPr>
            </w:pPr>
          </w:p>
        </w:tc>
        <w:tc>
          <w:tcPr>
            <w:tcW w:w="474" w:type="pct"/>
            <w:vMerge w:val="continue"/>
            <w:tcBorders>
              <w:top w:val="single" w:color="000000" w:sz="4" w:space="0"/>
              <w:left w:val="single" w:color="000000" w:sz="4" w:space="0"/>
              <w:bottom w:val="single" w:color="000000" w:sz="4" w:space="0"/>
              <w:right w:val="single" w:color="000000" w:sz="4" w:space="0"/>
            </w:tcBorders>
            <w:noWrap w:val="0"/>
            <w:vAlign w:val="bottom"/>
          </w:tcPr>
          <w:p>
            <w:pPr>
              <w:pageBreakBefore w:val="0"/>
              <w:kinsoku/>
              <w:wordWrap/>
              <w:overflowPunct/>
              <w:topLinePunct w:val="0"/>
              <w:bidi w:val="0"/>
              <w:spacing w:line="576" w:lineRule="exact"/>
              <w:jc w:val="center"/>
              <w:rPr>
                <w:rFonts w:ascii="仿宋_GB2312" w:cs="仿宋_GB2312"/>
                <w:color w:val="000000"/>
                <w:szCs w:val="21"/>
              </w:rPr>
            </w:pPr>
          </w:p>
        </w:tc>
        <w:tc>
          <w:tcPr>
            <w:tcW w:w="765"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可持续影响</w:t>
            </w:r>
            <w:r>
              <w:rPr>
                <w:rFonts w:ascii="仿宋_GB2312" w:hAnsi="仿宋_GB2312" w:cs="仿宋_GB2312"/>
                <w:color w:val="000000"/>
                <w:kern w:val="0"/>
                <w:szCs w:val="21"/>
                <w:lang w:bidi="ar"/>
              </w:rPr>
              <w:t xml:space="preserve"> </w:t>
            </w:r>
            <w:r>
              <w:rPr>
                <w:rFonts w:hint="eastAsia" w:ascii="仿宋_GB2312" w:hAnsi="仿宋_GB2312" w:cs="仿宋_GB2312"/>
                <w:color w:val="000000"/>
                <w:kern w:val="0"/>
                <w:szCs w:val="21"/>
                <w:lang w:bidi="ar"/>
              </w:rPr>
              <w:t>指标</w:t>
            </w:r>
          </w:p>
        </w:tc>
        <w:tc>
          <w:tcPr>
            <w:tcW w:w="755"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hint="eastAsia" w:ascii="宋体" w:hAnsi="宋体" w:cs="宋体"/>
                <w:color w:val="000000"/>
                <w:kern w:val="0"/>
                <w:sz w:val="21"/>
                <w:szCs w:val="21"/>
              </w:rPr>
              <w:t>按照规定及时保洁、维修项目延续性</w:t>
            </w:r>
          </w:p>
        </w:tc>
        <w:tc>
          <w:tcPr>
            <w:tcW w:w="717"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hint="eastAsia" w:ascii="宋体" w:hAnsi="宋体" w:cs="宋体"/>
                <w:color w:val="000000"/>
                <w:kern w:val="0"/>
                <w:sz w:val="22"/>
                <w:szCs w:val="22"/>
              </w:rPr>
              <w:t>长期保障</w:t>
            </w:r>
          </w:p>
        </w:tc>
        <w:tc>
          <w:tcPr>
            <w:tcW w:w="961"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hint="eastAsia" w:ascii="宋体" w:hAnsi="宋体" w:cs="宋体"/>
                <w:color w:val="000000"/>
                <w:kern w:val="0"/>
                <w:sz w:val="22"/>
                <w:szCs w:val="22"/>
              </w:rPr>
              <w:t>保障规范</w:t>
            </w:r>
          </w:p>
        </w:tc>
      </w:tr>
      <w:tr>
        <w:tblPrEx>
          <w:tblCellMar>
            <w:top w:w="0" w:type="dxa"/>
            <w:left w:w="108" w:type="dxa"/>
            <w:bottom w:w="0" w:type="dxa"/>
            <w:right w:w="108" w:type="dxa"/>
          </w:tblCellMar>
        </w:tblPrEx>
        <w:trPr>
          <w:trHeight w:val="423" w:hRule="atLeast"/>
        </w:trPr>
        <w:tc>
          <w:tcPr>
            <w:tcW w:w="1326" w:type="pct"/>
            <w:vMerge w:val="continue"/>
            <w:tcBorders>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Cs w:val="21"/>
              </w:rPr>
            </w:pPr>
          </w:p>
        </w:tc>
        <w:tc>
          <w:tcPr>
            <w:tcW w:w="474"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hint="eastAsia" w:ascii="仿宋_GB2312" w:hAnsi="仿宋_GB2312" w:eastAsia="宋体" w:cs="仿宋_GB2312"/>
                <w:color w:val="000000"/>
                <w:kern w:val="0"/>
                <w:szCs w:val="21"/>
                <w:lang w:eastAsia="zh-CN" w:bidi="ar"/>
              </w:rPr>
            </w:pPr>
            <w:r>
              <w:rPr>
                <w:rFonts w:hint="eastAsia" w:ascii="仿宋_GB2312" w:hAnsi="仿宋_GB2312" w:cs="仿宋_GB2312"/>
                <w:color w:val="000000"/>
                <w:kern w:val="0"/>
                <w:szCs w:val="21"/>
                <w:lang w:bidi="ar"/>
              </w:rPr>
              <w:t>满意</w:t>
            </w:r>
          </w:p>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度指标</w:t>
            </w:r>
          </w:p>
        </w:tc>
        <w:tc>
          <w:tcPr>
            <w:tcW w:w="765"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kern w:val="0"/>
                <w:szCs w:val="21"/>
                <w:lang w:bidi="ar"/>
              </w:rPr>
            </w:pPr>
            <w:r>
              <w:rPr>
                <w:rFonts w:hint="eastAsia" w:ascii="仿宋_GB2312" w:hAnsi="仿宋_GB2312" w:cs="仿宋_GB2312"/>
                <w:color w:val="000000"/>
                <w:kern w:val="0"/>
                <w:szCs w:val="21"/>
                <w:lang w:bidi="ar"/>
              </w:rPr>
              <w:t>满意度</w:t>
            </w:r>
          </w:p>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hint="eastAsia" w:ascii="仿宋_GB2312" w:hAnsi="仿宋_GB2312" w:cs="仿宋_GB2312"/>
                <w:color w:val="000000"/>
                <w:kern w:val="0"/>
                <w:szCs w:val="21"/>
                <w:lang w:bidi="ar"/>
              </w:rPr>
              <w:t>指标</w:t>
            </w:r>
          </w:p>
        </w:tc>
        <w:tc>
          <w:tcPr>
            <w:tcW w:w="755"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hint="eastAsia" w:ascii="宋体" w:hAnsi="宋体" w:cs="宋体"/>
                <w:color w:val="000000"/>
                <w:kern w:val="0"/>
                <w:sz w:val="21"/>
                <w:szCs w:val="21"/>
              </w:rPr>
              <w:t>以机关干部满意度、舒适度为指标</w:t>
            </w:r>
          </w:p>
        </w:tc>
        <w:tc>
          <w:tcPr>
            <w:tcW w:w="717"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ascii="方正仿宋_GBK" w:hAnsi="方正仿宋_GBK"/>
                <w:sz w:val="20"/>
              </w:rPr>
              <w:t>≥95%</w:t>
            </w:r>
          </w:p>
        </w:tc>
        <w:tc>
          <w:tcPr>
            <w:tcW w:w="961" w:type="pct"/>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wordWrap/>
              <w:overflowPunct/>
              <w:topLinePunct w:val="0"/>
              <w:bidi w:val="0"/>
              <w:spacing w:line="576" w:lineRule="exact"/>
              <w:jc w:val="center"/>
              <w:textAlignment w:val="bottom"/>
              <w:rPr>
                <w:rFonts w:ascii="仿宋_GB2312" w:cs="仿宋_GB2312"/>
                <w:color w:val="000000"/>
                <w:szCs w:val="21"/>
              </w:rPr>
            </w:pPr>
            <w:r>
              <w:rPr>
                <w:rFonts w:ascii="方正仿宋_GBK" w:hAnsi="方正仿宋_GBK"/>
                <w:sz w:val="20"/>
              </w:rPr>
              <w:t>≥95%</w:t>
            </w:r>
          </w:p>
        </w:tc>
      </w:tr>
    </w:tbl>
    <w:p>
      <w:pPr>
        <w:pageBreakBefore w:val="0"/>
        <w:kinsoku/>
        <w:wordWrap/>
        <w:overflowPunct/>
        <w:topLinePunct w:val="0"/>
        <w:bidi w:val="0"/>
        <w:spacing w:line="576" w:lineRule="exact"/>
        <w:jc w:val="both"/>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both"/>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both"/>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both"/>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both"/>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both"/>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both"/>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both"/>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jc w:val="both"/>
        <w:rPr>
          <w:rFonts w:hint="eastAsia" w:ascii="方正黑体简体" w:hAnsi="宋体" w:eastAsia="方正黑体简体" w:cs="宋体"/>
          <w:color w:val="000000"/>
          <w:sz w:val="32"/>
          <w:szCs w:val="32"/>
        </w:rPr>
      </w:pPr>
    </w:p>
    <w:p>
      <w:pPr>
        <w:pageBreakBefore w:val="0"/>
        <w:kinsoku/>
        <w:wordWrap/>
        <w:overflowPunct/>
        <w:topLinePunct w:val="0"/>
        <w:bidi w:val="0"/>
        <w:spacing w:line="576" w:lineRule="exact"/>
        <w:ind w:firstLine="960" w:firstLineChars="300"/>
        <w:jc w:val="center"/>
        <w:rPr>
          <w:rFonts w:hint="eastAsia" w:ascii="方正黑体简体" w:eastAsia="方正黑体简体"/>
          <w:lang w:eastAsia="zh-CN"/>
        </w:rPr>
      </w:pPr>
      <w:r>
        <w:rPr>
          <w:rFonts w:hint="eastAsia" w:ascii="方正黑体简体" w:hAnsi="宋体" w:eastAsia="方正黑体简体" w:cs="宋体"/>
          <w:color w:val="000000"/>
          <w:sz w:val="32"/>
          <w:szCs w:val="32"/>
        </w:rPr>
        <w:t>2021年</w:t>
      </w:r>
      <w:r>
        <w:rPr>
          <w:rFonts w:hint="eastAsia" w:ascii="方正黑体简体" w:hAnsi="宋体" w:eastAsia="方正黑体简体" w:cs="宋体"/>
          <w:color w:val="000000"/>
          <w:sz w:val="32"/>
          <w:szCs w:val="32"/>
          <w:lang w:eastAsia="zh-CN"/>
        </w:rPr>
        <w:t>食堂伙食助</w:t>
      </w:r>
      <w:r>
        <w:rPr>
          <w:rFonts w:hint="eastAsia" w:ascii="方正黑体简体" w:hAnsi="宋体" w:eastAsia="方正黑体简体" w:cs="宋体"/>
          <w:color w:val="000000"/>
          <w:sz w:val="32"/>
          <w:szCs w:val="32"/>
        </w:rPr>
        <w:t>预算项目绩效目标自评</w:t>
      </w:r>
    </w:p>
    <w:tbl>
      <w:tblPr>
        <w:tblStyle w:val="12"/>
        <w:tblpPr w:leftFromText="180" w:rightFromText="180" w:vertAnchor="text" w:horzAnchor="margin" w:tblpY="510"/>
        <w:tblOverlap w:val="never"/>
        <w:tblW w:w="5214" w:type="pct"/>
        <w:tblInd w:w="0" w:type="dxa"/>
        <w:tblLayout w:type="autofit"/>
        <w:tblCellMar>
          <w:top w:w="0" w:type="dxa"/>
          <w:left w:w="108" w:type="dxa"/>
          <w:bottom w:w="0" w:type="dxa"/>
          <w:right w:w="108" w:type="dxa"/>
        </w:tblCellMar>
      </w:tblPr>
      <w:tblGrid>
        <w:gridCol w:w="1664"/>
        <w:gridCol w:w="1468"/>
        <w:gridCol w:w="1271"/>
        <w:gridCol w:w="1607"/>
        <w:gridCol w:w="1019"/>
        <w:gridCol w:w="1858"/>
      </w:tblGrid>
      <w:tr>
        <w:trPr>
          <w:trHeight w:val="1037" w:hRule="atLeast"/>
        </w:trPr>
        <w:tc>
          <w:tcPr>
            <w:tcW w:w="1762" w:type="pct"/>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Cs w:val="21"/>
              </w:rPr>
            </w:pPr>
            <w:r>
              <w:rPr>
                <w:rFonts w:hint="eastAsia" w:ascii="宋体" w:hAnsi="宋体" w:cs="宋体"/>
                <w:color w:val="000000"/>
                <w:kern w:val="0"/>
                <w:szCs w:val="21"/>
                <w:lang w:bidi="ar"/>
              </w:rPr>
              <w:t>主管部门及代码</w:t>
            </w:r>
          </w:p>
        </w:tc>
        <w:tc>
          <w:tcPr>
            <w:tcW w:w="1619" w:type="pct"/>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eastAsia="zh-CN"/>
              </w:rPr>
              <w:t>广元市利州区机关事务服务中心</w:t>
            </w:r>
            <w:r>
              <w:rPr>
                <w:rFonts w:hint="eastAsia" w:ascii="宋体" w:hAnsi="宋体" w:cs="宋体"/>
                <w:color w:val="000000"/>
                <w:szCs w:val="21"/>
                <w:lang w:val="en-US" w:eastAsia="zh-CN"/>
              </w:rPr>
              <w:t>317301</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Cs w:val="21"/>
              </w:rPr>
            </w:pPr>
            <w:r>
              <w:rPr>
                <w:rFonts w:hint="eastAsia" w:ascii="宋体" w:hAnsi="宋体" w:cs="宋体"/>
                <w:color w:val="000000"/>
                <w:kern w:val="0"/>
                <w:szCs w:val="21"/>
                <w:lang w:bidi="ar"/>
              </w:rPr>
              <w:t>实施单位</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Cs w:val="21"/>
              </w:rPr>
            </w:pPr>
            <w:r>
              <w:rPr>
                <w:rFonts w:hint="eastAsia" w:ascii="宋体" w:hAnsi="宋体" w:cs="宋体"/>
                <w:color w:val="000000"/>
                <w:szCs w:val="21"/>
                <w:lang w:eastAsia="zh-CN"/>
              </w:rPr>
              <w:t>区机关事务服务中心</w:t>
            </w:r>
          </w:p>
        </w:tc>
      </w:tr>
      <w:tr>
        <w:tblPrEx>
          <w:tblCellMar>
            <w:top w:w="0" w:type="dxa"/>
            <w:left w:w="108" w:type="dxa"/>
            <w:bottom w:w="0" w:type="dxa"/>
            <w:right w:w="108" w:type="dxa"/>
          </w:tblCellMar>
        </w:tblPrEx>
        <w:trPr>
          <w:trHeight w:val="435" w:hRule="atLeast"/>
        </w:trPr>
        <w:tc>
          <w:tcPr>
            <w:tcW w:w="176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项目预算</w:t>
            </w:r>
          </w:p>
          <w:p>
            <w:pPr>
              <w:pageBreakBefore w:val="0"/>
              <w:widowControl/>
              <w:kinsoku/>
              <w:wordWrap/>
              <w:overflowPunct/>
              <w:topLinePunct w:val="0"/>
              <w:bidi w:val="0"/>
              <w:spacing w:line="576" w:lineRule="exact"/>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执行情况</w:t>
            </w:r>
          </w:p>
          <w:p>
            <w:pPr>
              <w:pageBreakBefore w:val="0"/>
              <w:widowControl/>
              <w:kinsoku/>
              <w:wordWrap/>
              <w:overflowPunct/>
              <w:topLinePunct w:val="0"/>
              <w:bidi w:val="0"/>
              <w:spacing w:line="576" w:lineRule="exact"/>
              <w:jc w:val="center"/>
              <w:textAlignment w:val="center"/>
              <w:rPr>
                <w:rFonts w:ascii="宋体" w:hAnsi="宋体" w:cs="宋体"/>
                <w:color w:val="000000"/>
                <w:szCs w:val="21"/>
              </w:rPr>
            </w:pPr>
            <w:r>
              <w:rPr>
                <w:rFonts w:hint="eastAsia" w:ascii="宋体" w:hAnsi="宋体" w:cs="宋体"/>
                <w:color w:val="000000"/>
                <w:kern w:val="0"/>
                <w:szCs w:val="21"/>
                <w:lang w:bidi="ar"/>
              </w:rPr>
              <w:t>（万元）</w:t>
            </w:r>
          </w:p>
        </w:tc>
        <w:tc>
          <w:tcPr>
            <w:tcW w:w="71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ascii="宋体" w:hAnsi="宋体" w:cs="宋体"/>
                <w:color w:val="000000"/>
                <w:szCs w:val="21"/>
              </w:rPr>
            </w:pPr>
            <w:r>
              <w:rPr>
                <w:rFonts w:ascii="宋体" w:hAnsi="宋体" w:cs="宋体"/>
                <w:color w:val="000000"/>
                <w:kern w:val="0"/>
                <w:szCs w:val="21"/>
                <w:lang w:bidi="ar"/>
              </w:rPr>
              <w:t xml:space="preserve"> </w:t>
            </w:r>
            <w:r>
              <w:rPr>
                <w:rFonts w:hint="eastAsia" w:ascii="宋体" w:hAnsi="宋体" w:cs="宋体"/>
                <w:color w:val="000000"/>
                <w:kern w:val="0"/>
                <w:szCs w:val="21"/>
                <w:lang w:bidi="ar"/>
              </w:rPr>
              <w:t>预算数：</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288.36</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ascii="宋体" w:hAnsi="宋体" w:cs="宋体"/>
                <w:color w:val="000000"/>
                <w:szCs w:val="21"/>
              </w:rPr>
            </w:pPr>
            <w:r>
              <w:rPr>
                <w:rFonts w:ascii="宋体" w:hAnsi="宋体" w:cs="宋体"/>
                <w:color w:val="000000"/>
                <w:kern w:val="0"/>
                <w:szCs w:val="21"/>
                <w:lang w:bidi="ar"/>
              </w:rPr>
              <w:t xml:space="preserve"> </w:t>
            </w:r>
            <w:r>
              <w:rPr>
                <w:rFonts w:hint="eastAsia" w:ascii="宋体" w:hAnsi="宋体" w:cs="宋体"/>
                <w:color w:val="000000"/>
                <w:kern w:val="0"/>
                <w:szCs w:val="21"/>
                <w:lang w:bidi="ar"/>
              </w:rPr>
              <w:t>执行数：</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288.36</w:t>
            </w:r>
          </w:p>
        </w:tc>
      </w:tr>
      <w:tr>
        <w:tblPrEx>
          <w:tblCellMar>
            <w:top w:w="0" w:type="dxa"/>
            <w:left w:w="108" w:type="dxa"/>
            <w:bottom w:w="0" w:type="dxa"/>
            <w:right w:w="108" w:type="dxa"/>
          </w:tblCellMar>
        </w:tblPrEx>
        <w:trPr>
          <w:trHeight w:val="540" w:hRule="atLeast"/>
        </w:trPr>
        <w:tc>
          <w:tcPr>
            <w:tcW w:w="176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宋体" w:hAnsi="宋体" w:cs="宋体"/>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其中：</w:t>
            </w:r>
          </w:p>
          <w:p>
            <w:pPr>
              <w:pageBreakBefore w:val="0"/>
              <w:widowControl/>
              <w:kinsoku/>
              <w:wordWrap/>
              <w:overflowPunct/>
              <w:topLinePunct w:val="0"/>
              <w:bidi w:val="0"/>
              <w:spacing w:line="576" w:lineRule="exact"/>
              <w:jc w:val="left"/>
              <w:textAlignment w:val="center"/>
              <w:rPr>
                <w:rFonts w:ascii="宋体" w:hAnsi="宋体" w:cs="宋体"/>
                <w:color w:val="000000"/>
                <w:szCs w:val="21"/>
              </w:rPr>
            </w:pPr>
            <w:r>
              <w:rPr>
                <w:rFonts w:hint="eastAsia" w:ascii="宋体" w:hAnsi="宋体" w:cs="宋体"/>
                <w:color w:val="000000"/>
                <w:kern w:val="0"/>
                <w:szCs w:val="21"/>
                <w:lang w:bidi="ar"/>
              </w:rPr>
              <w:t>财政拨款</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ascii="宋体" w:hAnsi="宋体" w:cs="宋体"/>
                <w:color w:val="000000"/>
                <w:szCs w:val="21"/>
              </w:rPr>
            </w:pPr>
            <w:r>
              <w:rPr>
                <w:rFonts w:hint="eastAsia" w:ascii="宋体" w:hAnsi="宋体" w:cs="宋体"/>
                <w:color w:val="000000"/>
                <w:szCs w:val="21"/>
                <w:lang w:val="en-US" w:eastAsia="zh-CN"/>
              </w:rPr>
              <w:t>288.36</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其中：</w:t>
            </w:r>
          </w:p>
          <w:p>
            <w:pPr>
              <w:pageBreakBefore w:val="0"/>
              <w:widowControl/>
              <w:kinsoku/>
              <w:wordWrap/>
              <w:overflowPunct/>
              <w:topLinePunct w:val="0"/>
              <w:bidi w:val="0"/>
              <w:spacing w:line="576" w:lineRule="exact"/>
              <w:jc w:val="left"/>
              <w:textAlignment w:val="center"/>
              <w:rPr>
                <w:rFonts w:ascii="宋体" w:hAnsi="宋体" w:cs="宋体"/>
                <w:color w:val="000000"/>
                <w:szCs w:val="21"/>
              </w:rPr>
            </w:pPr>
            <w:r>
              <w:rPr>
                <w:rFonts w:hint="eastAsia" w:ascii="宋体" w:hAnsi="宋体" w:cs="宋体"/>
                <w:color w:val="000000"/>
                <w:kern w:val="0"/>
                <w:szCs w:val="21"/>
                <w:lang w:bidi="ar"/>
              </w:rPr>
              <w:t>财政拨款</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textAlignment w:val="center"/>
              <w:rPr>
                <w:rFonts w:ascii="宋体" w:hAnsi="宋体" w:cs="宋体"/>
                <w:color w:val="000000"/>
                <w:szCs w:val="21"/>
              </w:rPr>
            </w:pPr>
            <w:r>
              <w:rPr>
                <w:rFonts w:hint="eastAsia" w:ascii="宋体" w:hAnsi="宋体" w:cs="宋体"/>
                <w:color w:val="000000"/>
                <w:szCs w:val="21"/>
                <w:lang w:val="en-US" w:eastAsia="zh-CN"/>
              </w:rPr>
              <w:t>288.36</w:t>
            </w:r>
          </w:p>
        </w:tc>
      </w:tr>
      <w:tr>
        <w:trPr>
          <w:trHeight w:val="300" w:hRule="atLeast"/>
        </w:trPr>
        <w:tc>
          <w:tcPr>
            <w:tcW w:w="176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宋体" w:hAnsi="宋体" w:cs="宋体"/>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ascii="宋体" w:hAnsi="宋体" w:cs="宋体"/>
                <w:color w:val="000000"/>
                <w:szCs w:val="21"/>
              </w:rPr>
            </w:pPr>
            <w:r>
              <w:rPr>
                <w:rFonts w:hint="eastAsia" w:ascii="宋体" w:hAnsi="宋体" w:cs="宋体"/>
                <w:color w:val="000000"/>
                <w:kern w:val="0"/>
                <w:szCs w:val="21"/>
                <w:lang w:bidi="ar"/>
              </w:rPr>
              <w:t>其他资金</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ascii="宋体" w:hAnsi="宋体" w:cs="宋体"/>
                <w:color w:val="000000"/>
                <w:szCs w:val="21"/>
              </w:rPr>
            </w:pP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ascii="宋体" w:hAnsi="宋体" w:cs="宋体"/>
                <w:color w:val="000000"/>
                <w:szCs w:val="21"/>
              </w:rPr>
            </w:pPr>
            <w:r>
              <w:rPr>
                <w:rFonts w:hint="eastAsia" w:ascii="宋体" w:hAnsi="宋体" w:cs="宋体"/>
                <w:color w:val="000000"/>
                <w:kern w:val="0"/>
                <w:szCs w:val="21"/>
                <w:lang w:bidi="ar"/>
              </w:rPr>
              <w:t>其他资金</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Cs w:val="21"/>
              </w:rPr>
            </w:pPr>
          </w:p>
        </w:tc>
      </w:tr>
      <w:tr>
        <w:trPr>
          <w:trHeight w:val="191" w:hRule="atLeast"/>
        </w:trPr>
        <w:tc>
          <w:tcPr>
            <w:tcW w:w="936" w:type="pct"/>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年度总体目标</w:t>
            </w:r>
          </w:p>
          <w:p>
            <w:pPr>
              <w:pageBreakBefore w:val="0"/>
              <w:widowControl/>
              <w:kinsoku/>
              <w:wordWrap/>
              <w:overflowPunct/>
              <w:topLinePunct w:val="0"/>
              <w:bidi w:val="0"/>
              <w:spacing w:line="576" w:lineRule="exact"/>
              <w:jc w:val="center"/>
              <w:textAlignment w:val="center"/>
              <w:rPr>
                <w:rFonts w:ascii="宋体" w:hAnsi="宋体" w:cs="宋体"/>
                <w:color w:val="000000"/>
                <w:szCs w:val="21"/>
              </w:rPr>
            </w:pPr>
            <w:r>
              <w:rPr>
                <w:rFonts w:hint="eastAsia" w:ascii="宋体" w:hAnsi="宋体" w:cs="宋体"/>
                <w:color w:val="000000"/>
                <w:kern w:val="0"/>
                <w:szCs w:val="21"/>
                <w:lang w:bidi="ar"/>
              </w:rPr>
              <w:t>完成情况</w:t>
            </w:r>
          </w:p>
        </w:tc>
        <w:tc>
          <w:tcPr>
            <w:tcW w:w="2444" w:type="pct"/>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Cs w:val="21"/>
              </w:rPr>
            </w:pPr>
            <w:r>
              <w:rPr>
                <w:rFonts w:hint="eastAsia" w:ascii="宋体" w:hAnsi="宋体" w:cs="宋体"/>
                <w:color w:val="000000"/>
                <w:kern w:val="0"/>
                <w:szCs w:val="21"/>
                <w:lang w:bidi="ar"/>
              </w:rPr>
              <w:t>预期目标</w:t>
            </w:r>
          </w:p>
        </w:tc>
        <w:tc>
          <w:tcPr>
            <w:tcW w:w="1618" w:type="pct"/>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Cs w:val="21"/>
              </w:rPr>
            </w:pPr>
            <w:r>
              <w:rPr>
                <w:rFonts w:hint="eastAsia" w:ascii="宋体" w:hAnsi="宋体" w:cs="宋体"/>
                <w:color w:val="000000"/>
                <w:kern w:val="0"/>
                <w:szCs w:val="21"/>
                <w:lang w:bidi="ar"/>
              </w:rPr>
              <w:t>目标实际完成情况</w:t>
            </w:r>
          </w:p>
        </w:tc>
      </w:tr>
      <w:tr>
        <w:tblPrEx>
          <w:tblCellMar>
            <w:top w:w="0" w:type="dxa"/>
            <w:left w:w="108" w:type="dxa"/>
            <w:bottom w:w="0" w:type="dxa"/>
            <w:right w:w="108" w:type="dxa"/>
          </w:tblCellMar>
        </w:tblPrEx>
        <w:trPr>
          <w:trHeight w:val="1820" w:hRule="atLeast"/>
        </w:trPr>
        <w:tc>
          <w:tcPr>
            <w:tcW w:w="936" w:type="pct"/>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宋体" w:hAnsi="宋体" w:cs="宋体"/>
                <w:color w:val="000000"/>
                <w:szCs w:val="21"/>
              </w:rPr>
            </w:pPr>
          </w:p>
        </w:tc>
        <w:tc>
          <w:tcPr>
            <w:tcW w:w="2444" w:type="pct"/>
            <w:gridSpan w:val="3"/>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bidi w:val="0"/>
              <w:spacing w:line="576" w:lineRule="exact"/>
              <w:jc w:val="left"/>
              <w:textAlignment w:val="top"/>
              <w:rPr>
                <w:rFonts w:hint="eastAsia" w:ascii="宋体" w:hAnsi="宋体" w:cs="宋体"/>
                <w:color w:val="000000"/>
                <w:sz w:val="21"/>
                <w:szCs w:val="21"/>
              </w:rPr>
            </w:pPr>
          </w:p>
          <w:p>
            <w:pPr>
              <w:pageBreakBefore w:val="0"/>
              <w:widowControl/>
              <w:kinsoku/>
              <w:wordWrap/>
              <w:overflowPunct/>
              <w:topLinePunct w:val="0"/>
              <w:bidi w:val="0"/>
              <w:spacing w:line="576" w:lineRule="exact"/>
              <w:jc w:val="left"/>
              <w:textAlignment w:val="top"/>
              <w:rPr>
                <w:rFonts w:ascii="宋体" w:hAnsi="宋体" w:cs="宋体"/>
                <w:color w:val="000000"/>
                <w:sz w:val="21"/>
                <w:szCs w:val="21"/>
              </w:rPr>
            </w:pPr>
            <w:r>
              <w:rPr>
                <w:rFonts w:hint="eastAsia" w:ascii="宋体" w:hAnsi="宋体" w:cs="宋体"/>
                <w:color w:val="000000"/>
                <w:sz w:val="21"/>
                <w:szCs w:val="21"/>
              </w:rPr>
              <w:t>严把食品安全关、强化岗前培训关、提升菜品质量关、确保全年无食品安全事故；会议管理规范，服务优质，确保区委区政府重大会议顺利召开</w:t>
            </w:r>
          </w:p>
        </w:tc>
        <w:tc>
          <w:tcPr>
            <w:tcW w:w="1618" w:type="pct"/>
            <w:gridSpan w:val="2"/>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wordWrap/>
              <w:overflowPunct/>
              <w:topLinePunct w:val="0"/>
              <w:bidi w:val="0"/>
              <w:spacing w:line="576" w:lineRule="exact"/>
              <w:jc w:val="left"/>
              <w:textAlignment w:val="top"/>
              <w:rPr>
                <w:rFonts w:hint="eastAsia" w:ascii="宋体" w:hAnsi="宋体" w:cs="宋体"/>
                <w:color w:val="000000"/>
                <w:sz w:val="21"/>
                <w:szCs w:val="21"/>
              </w:rPr>
            </w:pPr>
          </w:p>
          <w:p>
            <w:pPr>
              <w:pageBreakBefore w:val="0"/>
              <w:widowControl/>
              <w:kinsoku/>
              <w:wordWrap/>
              <w:overflowPunct/>
              <w:topLinePunct w:val="0"/>
              <w:bidi w:val="0"/>
              <w:spacing w:line="576" w:lineRule="exact"/>
              <w:jc w:val="left"/>
              <w:textAlignment w:val="top"/>
              <w:rPr>
                <w:rFonts w:ascii="宋体" w:hAnsi="宋体" w:cs="宋体"/>
                <w:color w:val="000000"/>
                <w:sz w:val="21"/>
                <w:szCs w:val="21"/>
              </w:rPr>
            </w:pPr>
            <w:r>
              <w:rPr>
                <w:rFonts w:hint="eastAsia" w:ascii="宋体" w:hAnsi="宋体" w:cs="宋体"/>
                <w:color w:val="000000"/>
                <w:sz w:val="21"/>
                <w:szCs w:val="21"/>
              </w:rPr>
              <w:t>严把食品安全关、强化岗前培训关、提升菜品质量关、确保全年无食品安全事故；会议管理规范，服务优质，确保区委区政府重大会议顺利召开。</w:t>
            </w:r>
          </w:p>
        </w:tc>
      </w:tr>
      <w:tr>
        <w:tblPrEx>
          <w:tblCellMar>
            <w:top w:w="0" w:type="dxa"/>
            <w:left w:w="108" w:type="dxa"/>
            <w:bottom w:w="0" w:type="dxa"/>
            <w:right w:w="108" w:type="dxa"/>
          </w:tblCellMar>
        </w:tblPrEx>
        <w:trPr>
          <w:trHeight w:val="650" w:hRule="atLeast"/>
        </w:trPr>
        <w:tc>
          <w:tcPr>
            <w:tcW w:w="936" w:type="pct"/>
            <w:vMerge w:val="restart"/>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ascii="仿宋_GB2312" w:cs="仿宋_GB2312"/>
                <w:color w:val="000000"/>
                <w:sz w:val="21"/>
                <w:szCs w:val="21"/>
              </w:rPr>
            </w:pPr>
            <w:r>
              <w:rPr>
                <w:rFonts w:hint="eastAsia" w:ascii="仿宋_GB2312" w:hAnsi="仿宋_GB2312" w:cs="仿宋_GB2312"/>
                <w:color w:val="000000"/>
                <w:kern w:val="0"/>
                <w:sz w:val="21"/>
                <w:szCs w:val="21"/>
                <w:lang w:bidi="ar"/>
              </w:rPr>
              <w:t>年度绩效指标完成情况</w:t>
            </w:r>
          </w:p>
        </w:tc>
        <w:tc>
          <w:tcPr>
            <w:tcW w:w="82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asci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asci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7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asci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asci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asci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asci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ascii="仿宋_GB2312" w:cs="仿宋_GB2312"/>
                <w:color w:val="000000"/>
                <w:sz w:val="21"/>
                <w:szCs w:val="21"/>
              </w:rPr>
            </w:pPr>
            <w:r>
              <w:rPr>
                <w:rFonts w:hint="eastAsia" w:ascii="仿宋_GB2312" w:hAnsi="仿宋_GB2312" w:cs="仿宋_GB2312"/>
                <w:color w:val="000000"/>
                <w:kern w:val="0"/>
                <w:sz w:val="21"/>
                <w:szCs w:val="21"/>
                <w:lang w:bidi="ar"/>
              </w:rPr>
              <w:t>预期指标值</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ascii="仿宋_GB2312" w:cs="仿宋_GB2312"/>
                <w:color w:val="000000"/>
                <w:sz w:val="21"/>
                <w:szCs w:val="21"/>
              </w:rPr>
            </w:pPr>
            <w:r>
              <w:rPr>
                <w:rFonts w:hint="eastAsia" w:ascii="仿宋_GB2312" w:hAnsi="仿宋_GB2312" w:cs="仿宋_GB2312"/>
                <w:color w:val="000000"/>
                <w:kern w:val="0"/>
                <w:sz w:val="21"/>
                <w:szCs w:val="21"/>
                <w:lang w:bidi="ar"/>
              </w:rPr>
              <w:t>实际完成指标值</w:t>
            </w:r>
          </w:p>
        </w:tc>
      </w:tr>
      <w:tr>
        <w:trPr>
          <w:trHeight w:val="700" w:hRule="atLeast"/>
        </w:trPr>
        <w:tc>
          <w:tcPr>
            <w:tcW w:w="93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 w:val="21"/>
                <w:szCs w:val="21"/>
              </w:rPr>
            </w:pPr>
          </w:p>
        </w:tc>
        <w:tc>
          <w:tcPr>
            <w:tcW w:w="8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kern w:val="0"/>
                <w:sz w:val="21"/>
                <w:szCs w:val="21"/>
                <w:lang w:bidi="ar"/>
              </w:rPr>
            </w:pPr>
            <w:r>
              <w:rPr>
                <w:rFonts w:hint="eastAsia" w:ascii="仿宋_GB2312" w:hAnsi="仿宋_GB2312" w:cs="仿宋_GB2312"/>
                <w:color w:val="000000"/>
                <w:kern w:val="0"/>
                <w:sz w:val="21"/>
                <w:szCs w:val="21"/>
                <w:lang w:bidi="ar"/>
              </w:rPr>
              <w:t>完成</w:t>
            </w:r>
          </w:p>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7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hAnsi="仿宋_GB2312" w:cs="仿宋_GB2312"/>
                <w:color w:val="000000"/>
                <w:kern w:val="0"/>
                <w:sz w:val="21"/>
                <w:szCs w:val="21"/>
                <w:lang w:bidi="ar"/>
              </w:rPr>
              <w:t>数量指标</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76" w:lineRule="exact"/>
              <w:jc w:val="center"/>
              <w:textAlignment w:val="bottom"/>
              <w:rPr>
                <w:rFonts w:hint="default" w:ascii="仿宋_GB2312" w:eastAsia="宋体" w:cs="仿宋_GB2312"/>
                <w:color w:val="000000"/>
                <w:sz w:val="21"/>
                <w:szCs w:val="21"/>
                <w:lang w:val="en-US" w:eastAsia="zh-CN"/>
              </w:rPr>
            </w:pPr>
            <w:r>
              <w:rPr>
                <w:rFonts w:hint="eastAsia" w:ascii="仿宋_GB2312" w:cs="仿宋_GB2312"/>
                <w:color w:val="000000"/>
                <w:sz w:val="21"/>
                <w:szCs w:val="21"/>
                <w:lang w:val="en-US" w:eastAsia="zh-CN"/>
              </w:rPr>
              <w:t>临聘食堂、会务人员控制数</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default" w:ascii="仿宋_GB2312" w:eastAsia="宋体" w:cs="仿宋_GB2312"/>
                <w:color w:val="000000"/>
                <w:sz w:val="21"/>
                <w:szCs w:val="21"/>
                <w:lang w:val="en-US" w:eastAsia="zh-CN"/>
              </w:rPr>
            </w:pPr>
            <w:r>
              <w:rPr>
                <w:rFonts w:hint="eastAsia" w:ascii="仿宋_GB2312" w:cs="仿宋_GB2312"/>
                <w:color w:val="000000"/>
                <w:sz w:val="21"/>
                <w:szCs w:val="21"/>
                <w:lang w:val="en-US" w:eastAsia="zh-CN"/>
              </w:rPr>
              <w:t>43人</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default" w:ascii="仿宋_GB2312" w:eastAsia="宋体" w:cs="仿宋_GB2312"/>
                <w:color w:val="000000"/>
                <w:sz w:val="21"/>
                <w:szCs w:val="21"/>
                <w:lang w:val="en-US" w:eastAsia="zh-CN"/>
              </w:rPr>
            </w:pPr>
            <w:r>
              <w:rPr>
                <w:rFonts w:hint="eastAsia" w:ascii="仿宋_GB2312" w:cs="仿宋_GB2312"/>
                <w:color w:val="000000"/>
                <w:sz w:val="21"/>
                <w:szCs w:val="21"/>
                <w:lang w:val="en-US" w:eastAsia="zh-CN"/>
              </w:rPr>
              <w:t>按时支付聘用人员工资和保险</w:t>
            </w:r>
          </w:p>
        </w:tc>
      </w:tr>
      <w:tr>
        <w:trPr>
          <w:trHeight w:val="330" w:hRule="atLeast"/>
        </w:trPr>
        <w:tc>
          <w:tcPr>
            <w:tcW w:w="93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 w:val="21"/>
                <w:szCs w:val="21"/>
              </w:rPr>
            </w:pPr>
          </w:p>
        </w:tc>
        <w:tc>
          <w:tcPr>
            <w:tcW w:w="825"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hAnsi="仿宋_GB2312" w:cs="仿宋_GB2312"/>
                <w:color w:val="000000"/>
                <w:kern w:val="0"/>
                <w:sz w:val="21"/>
                <w:szCs w:val="21"/>
                <w:lang w:bidi="ar"/>
              </w:rPr>
            </w:pPr>
          </w:p>
        </w:tc>
        <w:tc>
          <w:tcPr>
            <w:tcW w:w="7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数量指标</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76" w:lineRule="exact"/>
              <w:jc w:val="center"/>
              <w:textAlignment w:val="bottom"/>
              <w:rPr>
                <w:rFonts w:hint="eastAsia" w:ascii="仿宋_GB2312" w:cs="仿宋_GB2312"/>
                <w:color w:val="000000"/>
                <w:sz w:val="21"/>
                <w:szCs w:val="21"/>
                <w:lang w:val="en-US" w:eastAsia="zh-CN"/>
              </w:rPr>
            </w:pPr>
            <w:r>
              <w:rPr>
                <w:rFonts w:hint="eastAsia" w:ascii="仿宋_GB2312" w:cs="仿宋_GB2312"/>
                <w:color w:val="000000"/>
                <w:sz w:val="21"/>
                <w:szCs w:val="21"/>
                <w:lang w:val="en-US" w:eastAsia="zh-CN"/>
              </w:rPr>
              <w:t>领导伙食补助</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default" w:ascii="仿宋_GB2312" w:cs="仿宋_GB2312"/>
                <w:color w:val="000000"/>
                <w:sz w:val="21"/>
                <w:szCs w:val="21"/>
                <w:lang w:val="en-US" w:eastAsia="zh-CN"/>
              </w:rPr>
            </w:pPr>
            <w:r>
              <w:rPr>
                <w:rFonts w:hint="eastAsia" w:ascii="仿宋_GB2312" w:cs="仿宋_GB2312"/>
                <w:color w:val="000000"/>
                <w:sz w:val="21"/>
                <w:szCs w:val="21"/>
                <w:lang w:val="en-US" w:eastAsia="zh-CN"/>
              </w:rPr>
              <w:t>40人</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cs="仿宋_GB2312"/>
                <w:color w:val="000000"/>
                <w:sz w:val="21"/>
                <w:szCs w:val="21"/>
                <w:lang w:val="en-US" w:eastAsia="zh-CN"/>
              </w:rPr>
            </w:pPr>
            <w:r>
              <w:rPr>
                <w:rFonts w:hint="eastAsia" w:ascii="仿宋_GB2312" w:cs="仿宋_GB2312"/>
                <w:color w:val="000000"/>
                <w:sz w:val="21"/>
                <w:szCs w:val="21"/>
                <w:lang w:val="en-US" w:eastAsia="zh-CN"/>
              </w:rPr>
              <w:t>已完成</w:t>
            </w:r>
          </w:p>
        </w:tc>
      </w:tr>
      <w:tr>
        <w:tblPrEx>
          <w:tblCellMar>
            <w:top w:w="0" w:type="dxa"/>
            <w:left w:w="108" w:type="dxa"/>
            <w:bottom w:w="0" w:type="dxa"/>
            <w:right w:w="108" w:type="dxa"/>
          </w:tblCellMar>
        </w:tblPrEx>
        <w:trPr>
          <w:trHeight w:val="310" w:hRule="atLeast"/>
        </w:trPr>
        <w:tc>
          <w:tcPr>
            <w:tcW w:w="93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 w:val="21"/>
                <w:szCs w:val="21"/>
              </w:rPr>
            </w:pPr>
          </w:p>
        </w:tc>
        <w:tc>
          <w:tcPr>
            <w:tcW w:w="825"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hAnsi="仿宋_GB2312" w:cs="仿宋_GB2312"/>
                <w:color w:val="000000"/>
                <w:kern w:val="0"/>
                <w:sz w:val="21"/>
                <w:szCs w:val="21"/>
                <w:lang w:bidi="ar"/>
              </w:rPr>
            </w:pPr>
          </w:p>
        </w:tc>
        <w:tc>
          <w:tcPr>
            <w:tcW w:w="7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数量指标</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76" w:lineRule="exact"/>
              <w:jc w:val="center"/>
              <w:textAlignment w:val="bottom"/>
              <w:rPr>
                <w:rFonts w:hint="eastAsia" w:ascii="仿宋_GB2312" w:cs="仿宋_GB2312"/>
                <w:color w:val="000000"/>
                <w:sz w:val="21"/>
                <w:szCs w:val="21"/>
                <w:lang w:val="en-US" w:eastAsia="zh-CN"/>
              </w:rPr>
            </w:pPr>
            <w:r>
              <w:rPr>
                <w:rFonts w:hint="eastAsia" w:ascii="仿宋_GB2312" w:cs="仿宋_GB2312"/>
                <w:color w:val="000000"/>
                <w:sz w:val="21"/>
                <w:szCs w:val="21"/>
                <w:lang w:val="en-US" w:eastAsia="zh-CN"/>
              </w:rPr>
              <w:t>伙食补助其他人员</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default" w:ascii="仿宋_GB2312" w:cs="仿宋_GB2312"/>
                <w:color w:val="000000"/>
                <w:sz w:val="21"/>
                <w:szCs w:val="21"/>
                <w:lang w:val="en-US" w:eastAsia="zh-CN"/>
              </w:rPr>
            </w:pPr>
            <w:r>
              <w:rPr>
                <w:rFonts w:hint="eastAsia" w:ascii="仿宋_GB2312" w:cs="仿宋_GB2312"/>
                <w:color w:val="000000"/>
                <w:sz w:val="21"/>
                <w:szCs w:val="21"/>
                <w:lang w:val="en-US" w:eastAsia="zh-CN"/>
              </w:rPr>
              <w:t>660人</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cs="仿宋_GB2312"/>
                <w:color w:val="000000"/>
                <w:sz w:val="21"/>
                <w:szCs w:val="21"/>
                <w:lang w:val="en-US" w:eastAsia="zh-CN"/>
              </w:rPr>
            </w:pPr>
            <w:r>
              <w:rPr>
                <w:rFonts w:hint="eastAsia" w:ascii="仿宋_GB2312" w:cs="仿宋_GB2312"/>
                <w:color w:val="000000"/>
                <w:sz w:val="21"/>
                <w:szCs w:val="21"/>
                <w:lang w:val="en-US" w:eastAsia="zh-CN"/>
              </w:rPr>
              <w:t>已完成</w:t>
            </w:r>
          </w:p>
        </w:tc>
      </w:tr>
      <w:tr>
        <w:tblPrEx>
          <w:tblCellMar>
            <w:top w:w="0" w:type="dxa"/>
            <w:left w:w="108" w:type="dxa"/>
            <w:bottom w:w="0" w:type="dxa"/>
            <w:right w:w="108" w:type="dxa"/>
          </w:tblCellMar>
        </w:tblPrEx>
        <w:trPr>
          <w:trHeight w:val="485" w:hRule="atLeast"/>
        </w:trPr>
        <w:tc>
          <w:tcPr>
            <w:tcW w:w="93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 w:val="21"/>
                <w:szCs w:val="21"/>
              </w:rPr>
            </w:pPr>
          </w:p>
        </w:tc>
        <w:tc>
          <w:tcPr>
            <w:tcW w:w="825"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rPr>
                <w:rFonts w:ascii="仿宋_GB2312" w:cs="仿宋_GB2312"/>
                <w:color w:val="000000"/>
                <w:sz w:val="21"/>
                <w:szCs w:val="21"/>
              </w:rPr>
            </w:pPr>
          </w:p>
        </w:tc>
        <w:tc>
          <w:tcPr>
            <w:tcW w:w="7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hAnsi="仿宋_GB2312" w:cs="仿宋_GB2312"/>
                <w:color w:val="000000"/>
                <w:kern w:val="0"/>
                <w:sz w:val="21"/>
                <w:szCs w:val="21"/>
                <w:lang w:bidi="ar"/>
              </w:rPr>
              <w:t>质量指标</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76" w:lineRule="exact"/>
              <w:jc w:val="center"/>
              <w:textAlignment w:val="bottom"/>
              <w:rPr>
                <w:rFonts w:hint="default" w:ascii="仿宋_GB2312" w:cs="仿宋_GB2312"/>
                <w:color w:val="000000"/>
                <w:sz w:val="21"/>
                <w:szCs w:val="21"/>
                <w:lang w:val="en-US" w:eastAsia="zh-CN"/>
              </w:rPr>
            </w:pPr>
            <w:r>
              <w:rPr>
                <w:rFonts w:hint="eastAsia" w:ascii="仿宋_GB2312" w:cs="仿宋_GB2312"/>
                <w:color w:val="000000"/>
                <w:sz w:val="21"/>
                <w:szCs w:val="21"/>
                <w:lang w:val="en-US" w:eastAsia="zh-CN"/>
              </w:rPr>
              <w:t>聘用人员保险按时购买</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cs="仿宋_GB2312"/>
                <w:color w:val="000000"/>
                <w:sz w:val="21"/>
                <w:szCs w:val="21"/>
                <w:lang w:val="en-US" w:eastAsia="zh-CN"/>
              </w:rPr>
              <w:t>43人</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eastAsia="宋体" w:cs="仿宋_GB2312"/>
                <w:color w:val="000000"/>
                <w:sz w:val="21"/>
                <w:szCs w:val="21"/>
                <w:lang w:val="en-US" w:eastAsia="zh-CN"/>
              </w:rPr>
            </w:pPr>
            <w:r>
              <w:rPr>
                <w:rFonts w:hint="eastAsia" w:ascii="仿宋_GB2312" w:cs="仿宋_GB2312"/>
                <w:color w:val="000000"/>
                <w:sz w:val="21"/>
                <w:szCs w:val="21"/>
                <w:lang w:val="en-US" w:eastAsia="zh-CN"/>
              </w:rPr>
              <w:t>按时完成</w:t>
            </w:r>
          </w:p>
        </w:tc>
      </w:tr>
      <w:tr>
        <w:trPr>
          <w:trHeight w:val="373" w:hRule="atLeast"/>
        </w:trPr>
        <w:tc>
          <w:tcPr>
            <w:tcW w:w="93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 w:val="21"/>
                <w:szCs w:val="21"/>
              </w:rPr>
            </w:pPr>
          </w:p>
        </w:tc>
        <w:tc>
          <w:tcPr>
            <w:tcW w:w="825"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rPr>
                <w:rFonts w:ascii="仿宋_GB2312" w:cs="仿宋_GB2312"/>
                <w:color w:val="000000"/>
                <w:sz w:val="21"/>
                <w:szCs w:val="21"/>
              </w:rPr>
            </w:pPr>
          </w:p>
        </w:tc>
        <w:tc>
          <w:tcPr>
            <w:tcW w:w="7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hAnsi="仿宋_GB2312" w:cs="仿宋_GB2312"/>
                <w:color w:val="000000"/>
                <w:kern w:val="0"/>
                <w:sz w:val="21"/>
                <w:szCs w:val="21"/>
                <w:lang w:bidi="ar"/>
              </w:rPr>
              <w:t>质量指标</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76" w:lineRule="exact"/>
              <w:jc w:val="center"/>
              <w:textAlignment w:val="bottom"/>
              <w:rPr>
                <w:rFonts w:hint="default" w:ascii="仿宋_GB2312" w:cs="仿宋_GB2312"/>
                <w:color w:val="000000"/>
                <w:sz w:val="21"/>
                <w:szCs w:val="21"/>
                <w:lang w:val="en-US" w:eastAsia="zh-CN"/>
              </w:rPr>
            </w:pPr>
            <w:r>
              <w:rPr>
                <w:rFonts w:hint="eastAsia" w:ascii="仿宋_GB2312" w:cs="仿宋_GB2312"/>
                <w:color w:val="000000"/>
                <w:sz w:val="21"/>
                <w:szCs w:val="21"/>
                <w:lang w:val="en-US" w:eastAsia="zh-CN"/>
              </w:rPr>
              <w:t>严把食品安全关</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eastAsia="宋体" w:cs="仿宋_GB2312"/>
                <w:color w:val="000000"/>
                <w:sz w:val="21"/>
                <w:szCs w:val="21"/>
                <w:lang w:eastAsia="zh-CN"/>
              </w:rPr>
            </w:pPr>
            <w:r>
              <w:rPr>
                <w:rFonts w:hint="eastAsia" w:ascii="仿宋_GB2312" w:cs="仿宋_GB2312"/>
                <w:color w:val="000000"/>
                <w:sz w:val="21"/>
                <w:szCs w:val="21"/>
                <w:lang w:eastAsia="zh-CN"/>
              </w:rPr>
              <w:t>食品安全</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cs="仿宋_GB2312"/>
                <w:color w:val="000000"/>
                <w:sz w:val="21"/>
                <w:szCs w:val="21"/>
                <w:lang w:val="en-US" w:eastAsia="zh-CN"/>
              </w:rPr>
              <w:t>已完成</w:t>
            </w:r>
          </w:p>
        </w:tc>
      </w:tr>
      <w:tr>
        <w:trPr>
          <w:trHeight w:val="535" w:hRule="atLeast"/>
        </w:trPr>
        <w:tc>
          <w:tcPr>
            <w:tcW w:w="93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 w:val="21"/>
                <w:szCs w:val="21"/>
              </w:rPr>
            </w:pPr>
          </w:p>
        </w:tc>
        <w:tc>
          <w:tcPr>
            <w:tcW w:w="825"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rPr>
                <w:rFonts w:ascii="仿宋_GB2312" w:cs="仿宋_GB2312"/>
                <w:color w:val="000000"/>
                <w:sz w:val="21"/>
                <w:szCs w:val="21"/>
              </w:rPr>
            </w:pPr>
          </w:p>
        </w:tc>
        <w:tc>
          <w:tcPr>
            <w:tcW w:w="7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时效指标</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76" w:lineRule="exact"/>
              <w:jc w:val="center"/>
              <w:textAlignment w:val="bottom"/>
              <w:rPr>
                <w:rFonts w:hint="eastAsia" w:ascii="仿宋_GB2312" w:cs="仿宋_GB2312"/>
                <w:color w:val="000000"/>
                <w:sz w:val="21"/>
                <w:szCs w:val="21"/>
                <w:lang w:val="en-US" w:eastAsia="zh-CN"/>
              </w:rPr>
            </w:pPr>
            <w:r>
              <w:rPr>
                <w:rFonts w:hint="eastAsia" w:ascii="仿宋_GB2312" w:cs="仿宋_GB2312"/>
                <w:color w:val="000000"/>
                <w:sz w:val="21"/>
                <w:szCs w:val="21"/>
                <w:lang w:val="en-US" w:eastAsia="zh-CN"/>
              </w:rPr>
              <w:t>按时按期发放工资、保险</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eastAsia="宋体" w:cs="仿宋_GB2312"/>
                <w:color w:val="000000"/>
                <w:sz w:val="21"/>
                <w:szCs w:val="21"/>
                <w:lang w:eastAsia="zh-CN"/>
              </w:rPr>
            </w:pPr>
            <w:r>
              <w:rPr>
                <w:rFonts w:hint="eastAsia" w:ascii="仿宋_GB2312" w:cs="仿宋_GB2312"/>
                <w:color w:val="000000"/>
                <w:sz w:val="21"/>
                <w:szCs w:val="21"/>
                <w:lang w:eastAsia="zh-CN"/>
              </w:rPr>
              <w:t>按时发放</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cs="仿宋_GB2312"/>
                <w:color w:val="000000"/>
                <w:sz w:val="21"/>
                <w:szCs w:val="21"/>
                <w:lang w:val="en-US" w:eastAsia="zh-CN"/>
              </w:rPr>
              <w:t>已完成</w:t>
            </w:r>
          </w:p>
        </w:tc>
      </w:tr>
      <w:tr>
        <w:tblPrEx>
          <w:tblCellMar>
            <w:top w:w="0" w:type="dxa"/>
            <w:left w:w="108" w:type="dxa"/>
            <w:bottom w:w="0" w:type="dxa"/>
            <w:right w:w="108" w:type="dxa"/>
          </w:tblCellMar>
        </w:tblPrEx>
        <w:trPr>
          <w:trHeight w:val="423" w:hRule="atLeast"/>
        </w:trPr>
        <w:tc>
          <w:tcPr>
            <w:tcW w:w="93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 w:val="21"/>
                <w:szCs w:val="21"/>
              </w:rPr>
            </w:pPr>
          </w:p>
        </w:tc>
        <w:tc>
          <w:tcPr>
            <w:tcW w:w="825"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rPr>
                <w:rFonts w:ascii="仿宋_GB2312" w:cs="仿宋_GB2312"/>
                <w:color w:val="000000"/>
                <w:sz w:val="21"/>
                <w:szCs w:val="21"/>
              </w:rPr>
            </w:pPr>
          </w:p>
        </w:tc>
        <w:tc>
          <w:tcPr>
            <w:tcW w:w="7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hAnsi="仿宋_GB2312" w:cs="仿宋_GB2312"/>
                <w:color w:val="000000"/>
                <w:kern w:val="0"/>
                <w:sz w:val="21"/>
                <w:szCs w:val="21"/>
                <w:lang w:bidi="ar"/>
              </w:rPr>
              <w:t>成本指标</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default" w:ascii="仿宋_GB2312" w:eastAsia="宋体" w:cs="仿宋_GB2312"/>
                <w:color w:val="000000"/>
                <w:sz w:val="21"/>
                <w:szCs w:val="21"/>
                <w:lang w:val="en-US" w:eastAsia="zh-CN"/>
              </w:rPr>
            </w:pPr>
            <w:r>
              <w:rPr>
                <w:rFonts w:hint="eastAsia" w:ascii="仿宋_GB2312" w:cs="仿宋_GB2312"/>
                <w:color w:val="000000"/>
                <w:sz w:val="21"/>
                <w:szCs w:val="21"/>
                <w:lang w:val="en-US" w:eastAsia="zh-CN"/>
              </w:rPr>
              <w:t>完成伙食补助、保险，按时开餐</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eastAsia="宋体" w:cs="仿宋_GB2312"/>
                <w:color w:val="000000"/>
                <w:sz w:val="21"/>
                <w:szCs w:val="21"/>
                <w:lang w:eastAsia="zh-CN"/>
              </w:rPr>
            </w:pPr>
            <w:r>
              <w:rPr>
                <w:rFonts w:hint="eastAsia" w:ascii="仿宋_GB2312" w:cs="仿宋_GB2312"/>
                <w:color w:val="000000"/>
                <w:sz w:val="21"/>
                <w:szCs w:val="21"/>
                <w:lang w:eastAsia="zh-CN"/>
              </w:rPr>
              <w:t>按时开餐</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cs="仿宋_GB2312"/>
                <w:color w:val="000000"/>
                <w:sz w:val="21"/>
                <w:szCs w:val="21"/>
                <w:lang w:val="en-US" w:eastAsia="zh-CN"/>
              </w:rPr>
              <w:t>已完成</w:t>
            </w:r>
          </w:p>
        </w:tc>
      </w:tr>
      <w:tr>
        <w:tblPrEx>
          <w:tblCellMar>
            <w:top w:w="0" w:type="dxa"/>
            <w:left w:w="108" w:type="dxa"/>
            <w:bottom w:w="0" w:type="dxa"/>
            <w:right w:w="108" w:type="dxa"/>
          </w:tblCellMar>
        </w:tblPrEx>
        <w:trPr>
          <w:trHeight w:val="480" w:hRule="atLeast"/>
        </w:trPr>
        <w:tc>
          <w:tcPr>
            <w:tcW w:w="93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 w:val="21"/>
                <w:szCs w:val="21"/>
              </w:rPr>
            </w:pPr>
          </w:p>
        </w:tc>
        <w:tc>
          <w:tcPr>
            <w:tcW w:w="8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hAnsi="仿宋_GB2312" w:eastAsia="宋体" w:cs="仿宋_GB2312"/>
                <w:color w:val="000000"/>
                <w:kern w:val="0"/>
                <w:sz w:val="21"/>
                <w:szCs w:val="21"/>
                <w:lang w:eastAsia="zh-CN" w:bidi="ar"/>
              </w:rPr>
            </w:pPr>
            <w:r>
              <w:rPr>
                <w:rFonts w:hint="eastAsia" w:ascii="仿宋_GB2312" w:hAnsi="仿宋_GB2312" w:cs="仿宋_GB2312"/>
                <w:color w:val="000000"/>
                <w:kern w:val="0"/>
                <w:sz w:val="21"/>
                <w:szCs w:val="21"/>
                <w:lang w:bidi="ar"/>
              </w:rPr>
              <w:t>效益</w:t>
            </w:r>
          </w:p>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7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hAnsi="仿宋_GB2312" w:cs="仿宋_GB2312"/>
                <w:color w:val="000000"/>
                <w:kern w:val="0"/>
                <w:sz w:val="21"/>
                <w:szCs w:val="21"/>
                <w:lang w:bidi="ar"/>
              </w:rPr>
              <w:t>经济效益</w:t>
            </w:r>
            <w:r>
              <w:rPr>
                <w:rFonts w:ascii="仿宋_GB2312" w:hAnsi="仿宋_GB2312" w:cs="仿宋_GB2312"/>
                <w:color w:val="000000"/>
                <w:kern w:val="0"/>
                <w:sz w:val="21"/>
                <w:szCs w:val="21"/>
                <w:lang w:bidi="ar"/>
              </w:rPr>
              <w:t xml:space="preserve">  </w:t>
            </w:r>
            <w:r>
              <w:rPr>
                <w:rFonts w:hint="eastAsia" w:ascii="仿宋_GB2312" w:hAnsi="仿宋_GB2312" w:cs="仿宋_GB2312"/>
                <w:color w:val="000000"/>
                <w:kern w:val="0"/>
                <w:sz w:val="21"/>
                <w:szCs w:val="21"/>
                <w:lang w:bidi="ar"/>
              </w:rPr>
              <w:t>指标</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cs="仿宋_GB2312"/>
                <w:color w:val="000000"/>
                <w:sz w:val="21"/>
                <w:szCs w:val="21"/>
                <w:lang w:val="en-US" w:eastAsia="zh-CN"/>
              </w:rPr>
              <w:t>就餐环境健康保障率</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eastAsia="宋体" w:cs="仿宋_GB2312"/>
                <w:color w:val="000000"/>
                <w:sz w:val="21"/>
                <w:szCs w:val="21"/>
                <w:lang w:eastAsia="zh-CN"/>
              </w:rPr>
            </w:pPr>
            <w:r>
              <w:rPr>
                <w:rFonts w:hint="eastAsia" w:ascii="仿宋_GB2312" w:cs="仿宋_GB2312"/>
                <w:color w:val="000000"/>
                <w:sz w:val="21"/>
                <w:szCs w:val="21"/>
                <w:lang w:eastAsia="zh-CN"/>
              </w:rPr>
              <w:t>食品安全</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cs="仿宋_GB2312"/>
                <w:color w:val="000000"/>
                <w:sz w:val="21"/>
                <w:szCs w:val="21"/>
                <w:lang w:val="en-US" w:eastAsia="zh-CN"/>
              </w:rPr>
              <w:t>已完成</w:t>
            </w:r>
          </w:p>
        </w:tc>
      </w:tr>
      <w:tr>
        <w:trPr>
          <w:trHeight w:val="423" w:hRule="atLeast"/>
        </w:trPr>
        <w:tc>
          <w:tcPr>
            <w:tcW w:w="93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 w:val="21"/>
                <w:szCs w:val="21"/>
              </w:rPr>
            </w:pPr>
          </w:p>
        </w:tc>
        <w:tc>
          <w:tcPr>
            <w:tcW w:w="825"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rPr>
                <w:rFonts w:ascii="仿宋_GB2312" w:cs="仿宋_GB2312"/>
                <w:color w:val="000000"/>
                <w:sz w:val="21"/>
                <w:szCs w:val="21"/>
              </w:rPr>
            </w:pPr>
          </w:p>
        </w:tc>
        <w:tc>
          <w:tcPr>
            <w:tcW w:w="7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hAnsi="仿宋_GB2312" w:cs="仿宋_GB2312"/>
                <w:color w:val="000000"/>
                <w:kern w:val="0"/>
                <w:sz w:val="21"/>
                <w:szCs w:val="21"/>
                <w:lang w:bidi="ar"/>
              </w:rPr>
              <w:t>社会效益</w:t>
            </w:r>
            <w:r>
              <w:rPr>
                <w:rFonts w:ascii="仿宋_GB2312" w:hAnsi="仿宋_GB2312" w:cs="仿宋_GB2312"/>
                <w:color w:val="000000"/>
                <w:kern w:val="0"/>
                <w:sz w:val="21"/>
                <w:szCs w:val="21"/>
                <w:lang w:bidi="ar"/>
              </w:rPr>
              <w:t xml:space="preserve">  </w:t>
            </w:r>
            <w:r>
              <w:rPr>
                <w:rFonts w:hint="eastAsia" w:ascii="仿宋_GB2312" w:hAnsi="仿宋_GB2312" w:cs="仿宋_GB2312"/>
                <w:color w:val="000000"/>
                <w:kern w:val="0"/>
                <w:sz w:val="21"/>
                <w:szCs w:val="21"/>
                <w:lang w:bidi="ar"/>
              </w:rPr>
              <w:t>指标</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76" w:lineRule="exact"/>
              <w:jc w:val="center"/>
              <w:textAlignment w:val="bottom"/>
              <w:rPr>
                <w:rFonts w:hint="default" w:ascii="仿宋_GB2312" w:cs="仿宋_GB2312"/>
                <w:color w:val="000000"/>
                <w:sz w:val="21"/>
                <w:szCs w:val="21"/>
                <w:lang w:val="en-US" w:eastAsia="zh-CN"/>
              </w:rPr>
            </w:pPr>
            <w:r>
              <w:rPr>
                <w:rFonts w:hint="eastAsia" w:ascii="仿宋_GB2312" w:cs="仿宋_GB2312"/>
                <w:color w:val="000000"/>
                <w:sz w:val="21"/>
                <w:szCs w:val="21"/>
                <w:lang w:val="en-US" w:eastAsia="zh-CN"/>
              </w:rPr>
              <w:t>保障区委区政府集中办公区干部职工就餐</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eastAsia="宋体" w:cs="仿宋_GB2312"/>
                <w:color w:val="000000"/>
                <w:sz w:val="21"/>
                <w:szCs w:val="21"/>
                <w:lang w:eastAsia="zh-CN"/>
              </w:rPr>
            </w:pPr>
            <w:r>
              <w:rPr>
                <w:rFonts w:hint="eastAsia" w:ascii="仿宋_GB2312" w:cs="仿宋_GB2312"/>
                <w:color w:val="000000"/>
                <w:sz w:val="21"/>
                <w:szCs w:val="21"/>
                <w:lang w:eastAsia="zh-CN"/>
              </w:rPr>
              <w:t>良好的环境</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cs="仿宋_GB2312"/>
                <w:color w:val="000000"/>
                <w:sz w:val="21"/>
                <w:szCs w:val="21"/>
                <w:lang w:val="en-US" w:eastAsia="zh-CN"/>
              </w:rPr>
              <w:t>已完成</w:t>
            </w:r>
          </w:p>
        </w:tc>
      </w:tr>
      <w:tr>
        <w:trPr>
          <w:trHeight w:val="615" w:hRule="atLeast"/>
        </w:trPr>
        <w:tc>
          <w:tcPr>
            <w:tcW w:w="93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 w:val="21"/>
                <w:szCs w:val="21"/>
              </w:rPr>
            </w:pPr>
          </w:p>
        </w:tc>
        <w:tc>
          <w:tcPr>
            <w:tcW w:w="825"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rPr>
                <w:rFonts w:ascii="仿宋_GB2312" w:cs="仿宋_GB2312"/>
                <w:color w:val="000000"/>
                <w:sz w:val="21"/>
                <w:szCs w:val="21"/>
              </w:rPr>
            </w:pPr>
          </w:p>
        </w:tc>
        <w:tc>
          <w:tcPr>
            <w:tcW w:w="7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393" w:leftChars="87" w:hanging="210" w:hangingChars="100"/>
              <w:jc w:val="center"/>
              <w:textAlignment w:val="bottom"/>
              <w:rPr>
                <w:rFonts w:ascii="仿宋_GB2312" w:cs="仿宋_GB2312"/>
                <w:color w:val="000000"/>
                <w:sz w:val="21"/>
                <w:szCs w:val="21"/>
              </w:rPr>
            </w:pPr>
            <w:r>
              <w:rPr>
                <w:rFonts w:hint="eastAsia" w:ascii="仿宋_GB2312" w:hAnsi="仿宋_GB2312" w:cs="仿宋_GB2312"/>
                <w:color w:val="000000"/>
                <w:kern w:val="0"/>
                <w:sz w:val="21"/>
                <w:szCs w:val="21"/>
                <w:lang w:bidi="ar"/>
              </w:rPr>
              <w:t>可持续影响</w:t>
            </w:r>
            <w:r>
              <w:rPr>
                <w:rFonts w:ascii="仿宋_GB2312" w:hAnsi="仿宋_GB2312" w:cs="仿宋_GB2312"/>
                <w:color w:val="000000"/>
                <w:kern w:val="0"/>
                <w:sz w:val="21"/>
                <w:szCs w:val="21"/>
                <w:lang w:bidi="ar"/>
              </w:rPr>
              <w:t xml:space="preserve"> </w:t>
            </w:r>
            <w:r>
              <w:rPr>
                <w:rFonts w:hint="eastAsia" w:ascii="仿宋_GB2312" w:hAnsi="仿宋_GB2312" w:cs="仿宋_GB2312"/>
                <w:color w:val="000000"/>
                <w:kern w:val="0"/>
                <w:sz w:val="21"/>
                <w:szCs w:val="21"/>
                <w:lang w:bidi="ar"/>
              </w:rPr>
              <w:t>指标</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cs="仿宋_GB2312"/>
                <w:color w:val="000000"/>
                <w:sz w:val="21"/>
                <w:szCs w:val="21"/>
                <w:lang w:val="en-US" w:eastAsia="zh-CN"/>
              </w:rPr>
              <w:t>保障人员稳定，积极性提高</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eastAsia="宋体" w:cs="仿宋_GB2312"/>
                <w:color w:val="000000"/>
                <w:sz w:val="21"/>
                <w:szCs w:val="21"/>
                <w:lang w:eastAsia="zh-CN"/>
              </w:rPr>
            </w:pPr>
            <w:r>
              <w:rPr>
                <w:rFonts w:hint="eastAsia" w:ascii="仿宋_GB2312" w:cs="仿宋_GB2312"/>
                <w:color w:val="000000"/>
                <w:sz w:val="21"/>
                <w:szCs w:val="21"/>
                <w:lang w:eastAsia="zh-CN"/>
              </w:rPr>
              <w:t>后勤保障顺利开展</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cs="仿宋_GB2312"/>
                <w:color w:val="000000"/>
                <w:sz w:val="21"/>
                <w:szCs w:val="21"/>
                <w:lang w:val="en-US" w:eastAsia="zh-CN"/>
              </w:rPr>
              <w:t>已完成</w:t>
            </w:r>
          </w:p>
        </w:tc>
      </w:tr>
      <w:tr>
        <w:tblPrEx>
          <w:tblCellMar>
            <w:top w:w="0" w:type="dxa"/>
            <w:left w:w="108" w:type="dxa"/>
            <w:bottom w:w="0" w:type="dxa"/>
            <w:right w:w="108" w:type="dxa"/>
          </w:tblCellMar>
        </w:tblPrEx>
        <w:trPr>
          <w:trHeight w:val="423" w:hRule="atLeast"/>
        </w:trPr>
        <w:tc>
          <w:tcPr>
            <w:tcW w:w="93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 w:val="21"/>
                <w:szCs w:val="21"/>
              </w:rPr>
            </w:pPr>
          </w:p>
        </w:tc>
        <w:tc>
          <w:tcPr>
            <w:tcW w:w="825"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rPr>
                <w:rFonts w:ascii="仿宋_GB2312" w:cs="仿宋_GB2312"/>
                <w:color w:val="000000"/>
                <w:sz w:val="21"/>
                <w:szCs w:val="21"/>
              </w:rPr>
            </w:pPr>
          </w:p>
        </w:tc>
        <w:tc>
          <w:tcPr>
            <w:tcW w:w="7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hAnsi="仿宋_GB2312" w:cs="仿宋_GB2312"/>
                <w:color w:val="000000"/>
                <w:kern w:val="0"/>
                <w:sz w:val="21"/>
                <w:szCs w:val="21"/>
                <w:lang w:bidi="ar"/>
              </w:rPr>
              <w:t>可持续影响</w:t>
            </w:r>
            <w:r>
              <w:rPr>
                <w:rFonts w:ascii="仿宋_GB2312" w:hAnsi="仿宋_GB2312" w:cs="仿宋_GB2312"/>
                <w:color w:val="000000"/>
                <w:kern w:val="0"/>
                <w:sz w:val="21"/>
                <w:szCs w:val="21"/>
                <w:lang w:bidi="ar"/>
              </w:rPr>
              <w:t xml:space="preserve"> </w:t>
            </w:r>
            <w:r>
              <w:rPr>
                <w:rFonts w:hint="eastAsia" w:ascii="仿宋_GB2312" w:hAnsi="仿宋_GB2312" w:cs="仿宋_GB2312"/>
                <w:color w:val="000000"/>
                <w:kern w:val="0"/>
                <w:sz w:val="21"/>
                <w:szCs w:val="21"/>
                <w:lang w:bidi="ar"/>
              </w:rPr>
              <w:t>指标</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76" w:lineRule="exact"/>
              <w:jc w:val="center"/>
              <w:textAlignment w:val="bottom"/>
              <w:rPr>
                <w:rFonts w:hint="default" w:ascii="仿宋_GB2312" w:cs="仿宋_GB2312"/>
                <w:color w:val="000000"/>
                <w:sz w:val="21"/>
                <w:szCs w:val="21"/>
                <w:lang w:val="en-US" w:eastAsia="zh-CN"/>
              </w:rPr>
            </w:pPr>
            <w:r>
              <w:rPr>
                <w:rFonts w:hint="eastAsia" w:ascii="仿宋_GB2312" w:cs="仿宋_GB2312"/>
                <w:color w:val="000000"/>
                <w:sz w:val="21"/>
                <w:szCs w:val="21"/>
                <w:lang w:val="en-US" w:eastAsia="zh-CN"/>
              </w:rPr>
              <w:t>运行机制健康发展</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p>
        </w:tc>
        <w:tc>
          <w:tcPr>
            <w:tcW w:w="10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cs="仿宋_GB2312"/>
                <w:color w:val="000000"/>
                <w:sz w:val="21"/>
                <w:szCs w:val="21"/>
                <w:lang w:val="en-US" w:eastAsia="zh-CN"/>
              </w:rPr>
              <w:t>已完成</w:t>
            </w:r>
          </w:p>
        </w:tc>
      </w:tr>
      <w:tr>
        <w:tblPrEx>
          <w:tblCellMar>
            <w:top w:w="0" w:type="dxa"/>
            <w:left w:w="108" w:type="dxa"/>
            <w:bottom w:w="0" w:type="dxa"/>
            <w:right w:w="108" w:type="dxa"/>
          </w:tblCellMar>
        </w:tblPrEx>
        <w:trPr>
          <w:trHeight w:val="605" w:hRule="atLeast"/>
        </w:trPr>
        <w:tc>
          <w:tcPr>
            <w:tcW w:w="936" w:type="pct"/>
            <w:vMerge w:val="continue"/>
            <w:tcBorders>
              <w:left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 w:val="21"/>
                <w:szCs w:val="21"/>
              </w:rPr>
            </w:pPr>
          </w:p>
        </w:tc>
        <w:tc>
          <w:tcPr>
            <w:tcW w:w="825" w:type="pct"/>
            <w:vMerge w:val="restart"/>
            <w:tcBorders>
              <w:top w:val="single" w:color="000000" w:sz="4" w:space="0"/>
              <w:left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hAnsi="仿宋_GB2312" w:eastAsia="宋体" w:cs="仿宋_GB2312"/>
                <w:color w:val="000000"/>
                <w:kern w:val="0"/>
                <w:sz w:val="21"/>
                <w:szCs w:val="21"/>
                <w:lang w:eastAsia="zh-CN" w:bidi="ar"/>
              </w:rPr>
            </w:pPr>
            <w:r>
              <w:rPr>
                <w:rFonts w:hint="eastAsia" w:ascii="仿宋_GB2312" w:hAnsi="仿宋_GB2312" w:cs="仿宋_GB2312"/>
                <w:color w:val="000000"/>
                <w:kern w:val="0"/>
                <w:sz w:val="21"/>
                <w:szCs w:val="21"/>
                <w:lang w:bidi="ar"/>
              </w:rPr>
              <w:t>满意</w:t>
            </w:r>
          </w:p>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hAnsi="仿宋_GB2312" w:cs="仿宋_GB2312"/>
                <w:color w:val="000000"/>
                <w:kern w:val="0"/>
                <w:sz w:val="21"/>
                <w:szCs w:val="21"/>
                <w:lang w:bidi="ar"/>
              </w:rPr>
              <w:t>度指标</w:t>
            </w:r>
          </w:p>
        </w:tc>
        <w:tc>
          <w:tcPr>
            <w:tcW w:w="7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kern w:val="0"/>
                <w:sz w:val="21"/>
                <w:szCs w:val="21"/>
                <w:lang w:bidi="ar"/>
              </w:rPr>
            </w:pPr>
            <w:r>
              <w:rPr>
                <w:rFonts w:hint="eastAsia" w:ascii="仿宋_GB2312" w:hAnsi="仿宋_GB2312" w:cs="仿宋_GB2312"/>
                <w:color w:val="000000"/>
                <w:kern w:val="0"/>
                <w:sz w:val="21"/>
                <w:szCs w:val="21"/>
                <w:lang w:bidi="ar"/>
              </w:rPr>
              <w:t>满意度</w:t>
            </w:r>
          </w:p>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76" w:lineRule="exact"/>
              <w:jc w:val="center"/>
              <w:textAlignment w:val="bottom"/>
              <w:rPr>
                <w:rFonts w:hint="default" w:ascii="仿宋_GB2312" w:cs="仿宋_GB2312"/>
                <w:color w:val="000000"/>
                <w:sz w:val="21"/>
                <w:szCs w:val="21"/>
                <w:lang w:val="en-US" w:eastAsia="zh-CN"/>
              </w:rPr>
            </w:pPr>
            <w:r>
              <w:rPr>
                <w:rFonts w:hint="eastAsia" w:ascii="仿宋_GB2312" w:cs="仿宋_GB2312"/>
                <w:color w:val="000000"/>
                <w:sz w:val="21"/>
                <w:szCs w:val="21"/>
                <w:lang w:val="en-US" w:eastAsia="zh-CN"/>
              </w:rPr>
              <w:t>聘用人员满意</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eastAsia="宋体" w:cs="仿宋_GB2312"/>
                <w:color w:val="000000"/>
                <w:sz w:val="21"/>
                <w:szCs w:val="21"/>
                <w:lang w:eastAsia="zh-CN"/>
              </w:rPr>
            </w:pPr>
            <w:r>
              <w:rPr>
                <w:rFonts w:hint="eastAsia" w:ascii="仿宋_GB2312" w:cs="仿宋_GB2312"/>
                <w:color w:val="000000"/>
                <w:sz w:val="21"/>
                <w:szCs w:val="21"/>
                <w:lang w:eastAsia="zh-CN"/>
              </w:rPr>
              <w:t>临聘人员满意</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sz w:val="21"/>
                <w:szCs w:val="21"/>
              </w:rPr>
            </w:pPr>
            <w:r>
              <w:rPr>
                <w:rFonts w:ascii="方正仿宋_GBK" w:hAnsi="方正仿宋_GBK"/>
                <w:sz w:val="21"/>
                <w:szCs w:val="21"/>
              </w:rPr>
              <w:t>≥95%</w:t>
            </w:r>
          </w:p>
        </w:tc>
      </w:tr>
      <w:tr>
        <w:trPr>
          <w:trHeight w:val="423" w:hRule="atLeast"/>
        </w:trPr>
        <w:tc>
          <w:tcPr>
            <w:tcW w:w="936" w:type="pct"/>
            <w:tcBorders>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ascii="仿宋_GB2312" w:cs="仿宋_GB2312"/>
                <w:color w:val="000000"/>
                <w:sz w:val="21"/>
                <w:szCs w:val="21"/>
              </w:rPr>
            </w:pPr>
          </w:p>
        </w:tc>
        <w:tc>
          <w:tcPr>
            <w:tcW w:w="825" w:type="pct"/>
            <w:vMerge w:val="continue"/>
            <w:tcBorders>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hAnsi="仿宋_GB2312" w:cs="仿宋_GB2312"/>
                <w:color w:val="000000"/>
                <w:kern w:val="0"/>
                <w:sz w:val="21"/>
                <w:szCs w:val="21"/>
                <w:lang w:bidi="ar"/>
              </w:rPr>
            </w:pPr>
          </w:p>
        </w:tc>
        <w:tc>
          <w:tcPr>
            <w:tcW w:w="7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ascii="仿宋_GB2312" w:cs="仿宋_GB2312"/>
                <w:color w:val="000000"/>
                <w:kern w:val="0"/>
                <w:sz w:val="21"/>
                <w:szCs w:val="21"/>
                <w:lang w:bidi="ar"/>
              </w:rPr>
            </w:pPr>
            <w:r>
              <w:rPr>
                <w:rFonts w:hint="eastAsia" w:ascii="仿宋_GB2312" w:hAnsi="仿宋_GB2312" w:cs="仿宋_GB2312"/>
                <w:color w:val="000000"/>
                <w:kern w:val="0"/>
                <w:sz w:val="21"/>
                <w:szCs w:val="21"/>
                <w:lang w:bidi="ar"/>
              </w:rPr>
              <w:t>满意度</w:t>
            </w:r>
          </w:p>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76" w:lineRule="exact"/>
              <w:jc w:val="center"/>
              <w:textAlignment w:val="bottom"/>
              <w:rPr>
                <w:rFonts w:hint="eastAsia" w:ascii="仿宋_GB2312" w:cs="仿宋_GB2312"/>
                <w:color w:val="000000"/>
                <w:sz w:val="21"/>
                <w:szCs w:val="21"/>
                <w:lang w:val="en-US" w:eastAsia="zh-CN"/>
              </w:rPr>
            </w:pPr>
            <w:r>
              <w:rPr>
                <w:rFonts w:hint="eastAsia" w:ascii="仿宋_GB2312" w:cs="仿宋_GB2312"/>
                <w:color w:val="000000"/>
                <w:sz w:val="21"/>
                <w:szCs w:val="21"/>
                <w:lang w:val="en-US" w:eastAsia="zh-CN"/>
              </w:rPr>
              <w:t>提高就餐人员满意度</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eastAsia="宋体" w:cs="仿宋_GB2312"/>
                <w:color w:val="000000"/>
                <w:sz w:val="21"/>
                <w:szCs w:val="21"/>
                <w:lang w:eastAsia="zh-CN"/>
              </w:rPr>
            </w:pPr>
            <w:r>
              <w:rPr>
                <w:rFonts w:hint="eastAsia" w:ascii="仿宋_GB2312" w:cs="仿宋_GB2312"/>
                <w:color w:val="000000"/>
                <w:sz w:val="21"/>
                <w:szCs w:val="21"/>
                <w:lang w:eastAsia="zh-CN"/>
              </w:rPr>
              <w:t>就餐人员满意</w:t>
            </w:r>
          </w:p>
        </w:tc>
        <w:tc>
          <w:tcPr>
            <w:tcW w:w="10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_GB2312" w:eastAsia="宋体" w:cs="仿宋_GB2312"/>
                <w:color w:val="000000"/>
                <w:sz w:val="21"/>
                <w:szCs w:val="21"/>
                <w:lang w:eastAsia="zh-CN"/>
              </w:rPr>
            </w:pPr>
            <w:r>
              <w:rPr>
                <w:rFonts w:hint="eastAsia" w:ascii="仿宋_GB2312" w:cs="仿宋_GB2312"/>
                <w:color w:val="000000"/>
                <w:sz w:val="21"/>
                <w:szCs w:val="21"/>
                <w:lang w:eastAsia="zh-CN"/>
              </w:rPr>
              <w:t>满意度</w:t>
            </w:r>
            <w:r>
              <w:rPr>
                <w:rFonts w:ascii="方正仿宋_GBK" w:hAnsi="方正仿宋_GBK"/>
                <w:sz w:val="21"/>
                <w:szCs w:val="21"/>
              </w:rPr>
              <w:t>≥95%</w:t>
            </w:r>
          </w:p>
        </w:tc>
      </w:tr>
    </w:tbl>
    <w:p>
      <w:pPr>
        <w:pageBreakBefore w:val="0"/>
        <w:kinsoku/>
        <w:wordWrap/>
        <w:overflowPunct/>
        <w:topLinePunct w:val="0"/>
        <w:bidi w:val="0"/>
        <w:spacing w:line="576" w:lineRule="exact"/>
        <w:jc w:val="both"/>
        <w:rPr>
          <w:rFonts w:hint="eastAsia" w:ascii="方正黑体简体" w:hAnsi="宋体" w:eastAsia="方正黑体简体" w:cs="宋体"/>
          <w:color w:val="000000"/>
          <w:sz w:val="32"/>
          <w:szCs w:val="32"/>
          <w:lang w:eastAsia="zh-CN"/>
        </w:rPr>
      </w:pPr>
    </w:p>
    <w:p>
      <w:pPr>
        <w:pageBreakBefore w:val="0"/>
        <w:kinsoku/>
        <w:wordWrap/>
        <w:overflowPunct/>
        <w:topLinePunct w:val="0"/>
        <w:bidi w:val="0"/>
        <w:spacing w:line="576" w:lineRule="exact"/>
        <w:ind w:firstLine="1600" w:firstLineChars="500"/>
        <w:jc w:val="both"/>
        <w:rPr>
          <w:rFonts w:hint="eastAsia" w:ascii="方正黑体简体" w:hAnsi="宋体" w:eastAsia="方正黑体简体" w:cs="宋体"/>
          <w:color w:val="000000"/>
          <w:sz w:val="32"/>
          <w:szCs w:val="32"/>
        </w:rPr>
      </w:pPr>
      <w:r>
        <w:rPr>
          <w:rFonts w:hint="eastAsia" w:ascii="方正黑体简体" w:hAnsi="宋体" w:eastAsia="方正黑体简体" w:cs="宋体"/>
          <w:color w:val="000000"/>
          <w:sz w:val="32"/>
          <w:szCs w:val="32"/>
        </w:rPr>
        <w:t>2021年</w:t>
      </w:r>
      <w:r>
        <w:rPr>
          <w:rFonts w:hint="eastAsia" w:ascii="方正黑体简体" w:hAnsi="宋体" w:eastAsia="方正黑体简体" w:cs="宋体"/>
          <w:color w:val="000000"/>
          <w:sz w:val="32"/>
          <w:szCs w:val="32"/>
          <w:lang w:eastAsia="zh-CN"/>
        </w:rPr>
        <w:t>公务用车运行保障经费</w:t>
      </w:r>
      <w:r>
        <w:rPr>
          <w:rFonts w:hint="eastAsia" w:ascii="方正黑体简体" w:hAnsi="宋体" w:eastAsia="方正黑体简体" w:cs="宋体"/>
          <w:color w:val="000000"/>
          <w:sz w:val="32"/>
          <w:szCs w:val="32"/>
        </w:rPr>
        <w:t>预算项目</w:t>
      </w:r>
    </w:p>
    <w:p>
      <w:pPr>
        <w:pageBreakBefore w:val="0"/>
        <w:kinsoku/>
        <w:wordWrap/>
        <w:overflowPunct/>
        <w:topLinePunct w:val="0"/>
        <w:bidi w:val="0"/>
        <w:spacing w:line="576" w:lineRule="exact"/>
        <w:ind w:firstLine="3520" w:firstLineChars="1100"/>
        <w:jc w:val="both"/>
        <w:rPr>
          <w:rFonts w:hint="eastAsia" w:ascii="方正黑体简体" w:eastAsia="方正黑体简体"/>
          <w:lang w:eastAsia="zh-CN"/>
        </w:rPr>
      </w:pPr>
      <w:r>
        <w:rPr>
          <w:rFonts w:hint="eastAsia" w:ascii="方正黑体简体" w:hAnsi="宋体" w:eastAsia="方正黑体简体" w:cs="宋体"/>
          <w:color w:val="000000"/>
          <w:sz w:val="32"/>
          <w:szCs w:val="32"/>
        </w:rPr>
        <w:t>绩效目标自评</w:t>
      </w:r>
    </w:p>
    <w:tbl>
      <w:tblPr>
        <w:tblStyle w:val="12"/>
        <w:tblpPr w:leftFromText="180" w:rightFromText="180" w:vertAnchor="text" w:horzAnchor="margin" w:tblpY="510"/>
        <w:tblOverlap w:val="never"/>
        <w:tblW w:w="5109" w:type="pct"/>
        <w:tblInd w:w="0" w:type="dxa"/>
        <w:tblLayout w:type="autofit"/>
        <w:tblCellMar>
          <w:top w:w="0" w:type="dxa"/>
          <w:left w:w="108" w:type="dxa"/>
          <w:bottom w:w="0" w:type="dxa"/>
          <w:right w:w="108" w:type="dxa"/>
        </w:tblCellMar>
      </w:tblPr>
      <w:tblGrid>
        <w:gridCol w:w="1787"/>
        <w:gridCol w:w="815"/>
        <w:gridCol w:w="1533"/>
        <w:gridCol w:w="1725"/>
        <w:gridCol w:w="1688"/>
        <w:gridCol w:w="1160"/>
      </w:tblGrid>
      <w:tr>
        <w:tblPrEx>
          <w:tblCellMar>
            <w:top w:w="0" w:type="dxa"/>
            <w:left w:w="108" w:type="dxa"/>
            <w:bottom w:w="0" w:type="dxa"/>
            <w:right w:w="108" w:type="dxa"/>
          </w:tblCellMar>
        </w:tblPrEx>
        <w:trPr>
          <w:trHeight w:val="1568" w:hRule="atLeast"/>
        </w:trPr>
        <w:tc>
          <w:tcPr>
            <w:tcW w:w="1494" w:type="pct"/>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主管部门及代码</w:t>
            </w:r>
          </w:p>
        </w:tc>
        <w:tc>
          <w:tcPr>
            <w:tcW w:w="1870" w:type="pct"/>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hint="eastAsia" w:ascii="仿宋" w:hAnsi="仿宋" w:eastAsia="仿宋" w:cs="仿宋"/>
                <w:color w:val="000000"/>
                <w:w w:val="90"/>
                <w:sz w:val="21"/>
                <w:szCs w:val="21"/>
                <w:lang w:val="en-US" w:eastAsia="zh-CN"/>
              </w:rPr>
            </w:pPr>
            <w:r>
              <w:rPr>
                <w:rFonts w:hint="eastAsia" w:ascii="仿宋" w:hAnsi="仿宋" w:eastAsia="仿宋" w:cs="仿宋"/>
                <w:color w:val="000000"/>
                <w:w w:val="90"/>
                <w:sz w:val="21"/>
                <w:szCs w:val="21"/>
                <w:lang w:eastAsia="zh-CN"/>
              </w:rPr>
              <w:t>广元市利州区机关事务服务中心</w:t>
            </w:r>
            <w:r>
              <w:rPr>
                <w:rFonts w:hint="eastAsia" w:ascii="仿宋" w:hAnsi="仿宋" w:eastAsia="仿宋" w:cs="仿宋"/>
                <w:color w:val="000000"/>
                <w:w w:val="90"/>
                <w:sz w:val="21"/>
                <w:szCs w:val="21"/>
                <w:lang w:val="en-US" w:eastAsia="zh-CN"/>
              </w:rPr>
              <w:t>317301</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实施单位</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hint="eastAsia" w:ascii="仿宋" w:hAnsi="仿宋" w:eastAsia="仿宋" w:cs="仿宋"/>
                <w:color w:val="000000"/>
                <w:w w:val="90"/>
                <w:sz w:val="21"/>
                <w:szCs w:val="21"/>
              </w:rPr>
            </w:pPr>
            <w:r>
              <w:rPr>
                <w:rFonts w:hint="eastAsia" w:ascii="仿宋" w:hAnsi="仿宋" w:eastAsia="仿宋" w:cs="仿宋"/>
                <w:color w:val="000000"/>
                <w:w w:val="90"/>
                <w:sz w:val="21"/>
                <w:szCs w:val="21"/>
                <w:lang w:eastAsia="zh-CN"/>
              </w:rPr>
              <w:t>区机关事务服务中心</w:t>
            </w:r>
          </w:p>
        </w:tc>
      </w:tr>
      <w:tr>
        <w:tblPrEx>
          <w:tblCellMar>
            <w:top w:w="0" w:type="dxa"/>
            <w:left w:w="108" w:type="dxa"/>
            <w:bottom w:w="0" w:type="dxa"/>
            <w:right w:w="108" w:type="dxa"/>
          </w:tblCellMar>
        </w:tblPrEx>
        <w:trPr>
          <w:trHeight w:val="300" w:hRule="atLeast"/>
        </w:trPr>
        <w:tc>
          <w:tcPr>
            <w:tcW w:w="149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hint="eastAsia" w:ascii="仿宋" w:hAnsi="仿宋" w:eastAsia="仿宋" w:cs="仿宋"/>
                <w:color w:val="000000"/>
                <w:w w:val="90"/>
                <w:kern w:val="0"/>
                <w:sz w:val="21"/>
                <w:szCs w:val="21"/>
                <w:lang w:eastAsia="zh-CN" w:bidi="ar"/>
              </w:rPr>
            </w:pPr>
            <w:r>
              <w:rPr>
                <w:rFonts w:hint="eastAsia" w:ascii="仿宋" w:hAnsi="仿宋" w:eastAsia="仿宋" w:cs="仿宋"/>
                <w:color w:val="000000"/>
                <w:w w:val="90"/>
                <w:kern w:val="0"/>
                <w:sz w:val="21"/>
                <w:szCs w:val="21"/>
                <w:lang w:bidi="ar"/>
              </w:rPr>
              <w:t>项目预算</w:t>
            </w:r>
          </w:p>
          <w:p>
            <w:pPr>
              <w:pageBreakBefore w:val="0"/>
              <w:widowControl/>
              <w:kinsoku/>
              <w:wordWrap/>
              <w:overflowPunct/>
              <w:topLinePunct w:val="0"/>
              <w:bidi w:val="0"/>
              <w:spacing w:line="576" w:lineRule="exact"/>
              <w:jc w:val="center"/>
              <w:textAlignment w:val="center"/>
              <w:rPr>
                <w:rFonts w:hint="eastAsia" w:ascii="仿宋" w:hAnsi="仿宋" w:eastAsia="仿宋" w:cs="仿宋"/>
                <w:color w:val="000000"/>
                <w:w w:val="90"/>
                <w:kern w:val="0"/>
                <w:sz w:val="21"/>
                <w:szCs w:val="21"/>
                <w:lang w:eastAsia="zh-CN" w:bidi="ar"/>
              </w:rPr>
            </w:pPr>
            <w:r>
              <w:rPr>
                <w:rFonts w:hint="eastAsia" w:ascii="仿宋" w:hAnsi="仿宋" w:eastAsia="仿宋" w:cs="仿宋"/>
                <w:color w:val="000000"/>
                <w:w w:val="90"/>
                <w:kern w:val="0"/>
                <w:sz w:val="21"/>
                <w:szCs w:val="21"/>
                <w:lang w:bidi="ar"/>
              </w:rPr>
              <w:t>执行情况</w:t>
            </w:r>
          </w:p>
          <w:p>
            <w:pPr>
              <w:pageBreakBefore w:val="0"/>
              <w:widowControl/>
              <w:kinsoku/>
              <w:wordWrap/>
              <w:overflowPunct/>
              <w:topLinePunct w:val="0"/>
              <w:bidi w:val="0"/>
              <w:spacing w:line="576" w:lineRule="exact"/>
              <w:jc w:val="center"/>
              <w:textAlignment w:val="center"/>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（万元）</w:t>
            </w: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 xml:space="preserve"> 预算数：</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hint="eastAsia" w:ascii="仿宋" w:hAnsi="仿宋" w:eastAsia="仿宋" w:cs="仿宋"/>
                <w:color w:val="000000"/>
                <w:w w:val="90"/>
                <w:sz w:val="21"/>
                <w:szCs w:val="21"/>
                <w:lang w:val="en-US" w:eastAsia="zh-CN"/>
              </w:rPr>
            </w:pPr>
            <w:r>
              <w:rPr>
                <w:rFonts w:hint="eastAsia" w:ascii="仿宋" w:hAnsi="仿宋" w:eastAsia="仿宋" w:cs="仿宋"/>
                <w:color w:val="000000"/>
                <w:w w:val="90"/>
                <w:sz w:val="21"/>
                <w:szCs w:val="21"/>
                <w:lang w:val="en-US" w:eastAsia="zh-CN"/>
              </w:rPr>
              <w:t>554.75</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 xml:space="preserve"> 执行数：</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hint="eastAsia" w:ascii="仿宋" w:hAnsi="仿宋" w:eastAsia="仿宋" w:cs="仿宋"/>
                <w:color w:val="000000"/>
                <w:w w:val="90"/>
                <w:sz w:val="21"/>
                <w:szCs w:val="21"/>
                <w:lang w:val="en-US" w:eastAsia="zh-CN"/>
              </w:rPr>
            </w:pPr>
            <w:r>
              <w:rPr>
                <w:rFonts w:hint="eastAsia" w:ascii="仿宋" w:hAnsi="仿宋" w:eastAsia="仿宋" w:cs="仿宋"/>
                <w:color w:val="000000"/>
                <w:w w:val="90"/>
                <w:sz w:val="21"/>
                <w:szCs w:val="21"/>
                <w:lang w:val="en-US" w:eastAsia="zh-CN"/>
              </w:rPr>
              <w:t>554.75</w:t>
            </w:r>
          </w:p>
        </w:tc>
      </w:tr>
      <w:tr>
        <w:tblPrEx>
          <w:tblCellMar>
            <w:top w:w="0" w:type="dxa"/>
            <w:left w:w="108" w:type="dxa"/>
            <w:bottom w:w="0" w:type="dxa"/>
            <w:right w:w="108" w:type="dxa"/>
          </w:tblCellMar>
        </w:tblPrEx>
        <w:trPr>
          <w:trHeight w:val="540" w:hRule="atLeast"/>
        </w:trPr>
        <w:tc>
          <w:tcPr>
            <w:tcW w:w="149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hint="eastAsia" w:ascii="仿宋" w:hAnsi="仿宋" w:eastAsia="仿宋" w:cs="仿宋"/>
                <w:color w:val="000000"/>
                <w:w w:val="90"/>
                <w:sz w:val="21"/>
                <w:szCs w:val="21"/>
              </w:rPr>
            </w:pP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hint="eastAsia" w:ascii="仿宋" w:hAnsi="仿宋" w:eastAsia="仿宋" w:cs="仿宋"/>
                <w:color w:val="000000"/>
                <w:w w:val="90"/>
                <w:kern w:val="0"/>
                <w:sz w:val="21"/>
                <w:szCs w:val="21"/>
                <w:lang w:bidi="ar"/>
              </w:rPr>
            </w:pPr>
            <w:r>
              <w:rPr>
                <w:rFonts w:hint="eastAsia" w:ascii="仿宋" w:hAnsi="仿宋" w:eastAsia="仿宋" w:cs="仿宋"/>
                <w:color w:val="000000"/>
                <w:w w:val="90"/>
                <w:kern w:val="0"/>
                <w:sz w:val="21"/>
                <w:szCs w:val="21"/>
                <w:lang w:bidi="ar"/>
              </w:rPr>
              <w:t>其中：</w:t>
            </w:r>
          </w:p>
          <w:p>
            <w:pPr>
              <w:pageBreakBefore w:val="0"/>
              <w:widowControl/>
              <w:kinsoku/>
              <w:wordWrap/>
              <w:overflowPunct/>
              <w:topLinePunct w:val="0"/>
              <w:bidi w:val="0"/>
              <w:spacing w:line="576" w:lineRule="exact"/>
              <w:jc w:val="left"/>
              <w:textAlignment w:val="center"/>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财政拨款</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hint="eastAsia" w:ascii="仿宋" w:hAnsi="仿宋" w:eastAsia="仿宋" w:cs="仿宋"/>
                <w:color w:val="000000"/>
                <w:w w:val="90"/>
                <w:sz w:val="21"/>
                <w:szCs w:val="21"/>
                <w:lang w:val="en-US"/>
              </w:rPr>
            </w:pPr>
            <w:r>
              <w:rPr>
                <w:rFonts w:hint="eastAsia" w:ascii="仿宋" w:hAnsi="仿宋" w:eastAsia="仿宋" w:cs="仿宋"/>
                <w:color w:val="000000"/>
                <w:w w:val="90"/>
                <w:sz w:val="21"/>
                <w:szCs w:val="21"/>
                <w:lang w:val="en-US" w:eastAsia="zh-CN"/>
              </w:rPr>
              <w:t>554.75</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hint="eastAsia" w:ascii="仿宋" w:hAnsi="仿宋" w:eastAsia="仿宋" w:cs="仿宋"/>
                <w:color w:val="000000"/>
                <w:w w:val="90"/>
                <w:kern w:val="0"/>
                <w:sz w:val="21"/>
                <w:szCs w:val="21"/>
                <w:lang w:bidi="ar"/>
              </w:rPr>
            </w:pPr>
            <w:r>
              <w:rPr>
                <w:rFonts w:hint="eastAsia" w:ascii="仿宋" w:hAnsi="仿宋" w:eastAsia="仿宋" w:cs="仿宋"/>
                <w:color w:val="000000"/>
                <w:w w:val="90"/>
                <w:kern w:val="0"/>
                <w:sz w:val="21"/>
                <w:szCs w:val="21"/>
                <w:lang w:bidi="ar"/>
              </w:rPr>
              <w:t>其中：</w:t>
            </w:r>
          </w:p>
          <w:p>
            <w:pPr>
              <w:pageBreakBefore w:val="0"/>
              <w:widowControl/>
              <w:kinsoku/>
              <w:wordWrap/>
              <w:overflowPunct/>
              <w:topLinePunct w:val="0"/>
              <w:bidi w:val="0"/>
              <w:spacing w:line="576" w:lineRule="exact"/>
              <w:jc w:val="left"/>
              <w:textAlignment w:val="center"/>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财政拨款</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textAlignment w:val="center"/>
              <w:rPr>
                <w:rFonts w:hint="eastAsia" w:ascii="仿宋" w:hAnsi="仿宋" w:eastAsia="仿宋" w:cs="仿宋"/>
                <w:color w:val="000000"/>
                <w:w w:val="90"/>
                <w:sz w:val="21"/>
                <w:szCs w:val="21"/>
                <w:lang w:val="en-US" w:eastAsia="zh-CN"/>
              </w:rPr>
            </w:pPr>
            <w:r>
              <w:rPr>
                <w:rFonts w:hint="eastAsia" w:ascii="仿宋" w:hAnsi="仿宋" w:eastAsia="仿宋" w:cs="仿宋"/>
                <w:color w:val="000000"/>
                <w:w w:val="90"/>
                <w:sz w:val="21"/>
                <w:szCs w:val="21"/>
                <w:lang w:val="en-US" w:eastAsia="zh-CN"/>
              </w:rPr>
              <w:t>554.75</w:t>
            </w:r>
          </w:p>
        </w:tc>
      </w:tr>
      <w:tr>
        <w:tblPrEx>
          <w:tblCellMar>
            <w:top w:w="0" w:type="dxa"/>
            <w:left w:w="108" w:type="dxa"/>
            <w:bottom w:w="0" w:type="dxa"/>
            <w:right w:w="108" w:type="dxa"/>
          </w:tblCellMar>
        </w:tblPrEx>
        <w:trPr>
          <w:trHeight w:val="300" w:hRule="atLeast"/>
        </w:trPr>
        <w:tc>
          <w:tcPr>
            <w:tcW w:w="149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76" w:lineRule="exact"/>
              <w:jc w:val="center"/>
              <w:rPr>
                <w:rFonts w:hint="eastAsia" w:ascii="仿宋" w:hAnsi="仿宋" w:eastAsia="仿宋" w:cs="仿宋"/>
                <w:color w:val="000000"/>
                <w:w w:val="90"/>
                <w:sz w:val="21"/>
                <w:szCs w:val="21"/>
              </w:rPr>
            </w:pP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其他资金</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hint="eastAsia" w:ascii="仿宋" w:hAnsi="仿宋" w:eastAsia="仿宋" w:cs="仿宋"/>
                <w:color w:val="000000"/>
                <w:w w:val="90"/>
                <w:sz w:val="21"/>
                <w:szCs w:val="21"/>
              </w:rPr>
            </w:pP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left"/>
              <w:textAlignment w:val="center"/>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其他资金</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576" w:lineRule="exact"/>
              <w:jc w:val="center"/>
              <w:textAlignment w:val="center"/>
              <w:rPr>
                <w:rFonts w:hint="eastAsia" w:ascii="仿宋" w:hAnsi="仿宋" w:eastAsia="仿宋" w:cs="仿宋"/>
                <w:color w:val="000000"/>
                <w:w w:val="90"/>
                <w:sz w:val="21"/>
                <w:szCs w:val="21"/>
              </w:rPr>
            </w:pPr>
          </w:p>
        </w:tc>
      </w:tr>
      <w:tr>
        <w:tblPrEx>
          <w:tblCellMar>
            <w:top w:w="0" w:type="dxa"/>
            <w:left w:w="108" w:type="dxa"/>
            <w:bottom w:w="0" w:type="dxa"/>
            <w:right w:w="108" w:type="dxa"/>
          </w:tblCellMar>
        </w:tblPrEx>
        <w:trPr>
          <w:trHeight w:val="90" w:hRule="atLeast"/>
        </w:trPr>
        <w:tc>
          <w:tcPr>
            <w:tcW w:w="10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仿宋" w:hAnsi="仿宋" w:eastAsia="仿宋" w:cs="仿宋"/>
                <w:color w:val="000000"/>
                <w:w w:val="90"/>
                <w:kern w:val="0"/>
                <w:sz w:val="21"/>
                <w:szCs w:val="21"/>
                <w:lang w:bidi="ar"/>
              </w:rPr>
            </w:pPr>
            <w:r>
              <w:rPr>
                <w:rFonts w:hint="eastAsia" w:ascii="仿宋" w:hAnsi="仿宋" w:eastAsia="仿宋" w:cs="仿宋"/>
                <w:color w:val="000000"/>
                <w:w w:val="90"/>
                <w:kern w:val="0"/>
                <w:sz w:val="21"/>
                <w:szCs w:val="21"/>
                <w:lang w:bidi="ar"/>
              </w:rPr>
              <w:t>年度总体目标</w:t>
            </w:r>
          </w:p>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完成情况</w:t>
            </w:r>
          </w:p>
        </w:tc>
        <w:tc>
          <w:tcPr>
            <w:tcW w:w="2338"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预期目标</w:t>
            </w:r>
          </w:p>
        </w:tc>
        <w:tc>
          <w:tcPr>
            <w:tcW w:w="163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目标实际完成情况</w:t>
            </w:r>
          </w:p>
        </w:tc>
      </w:tr>
      <w:tr>
        <w:tblPrEx>
          <w:tblCellMar>
            <w:top w:w="0" w:type="dxa"/>
            <w:left w:w="108" w:type="dxa"/>
            <w:bottom w:w="0" w:type="dxa"/>
            <w:right w:w="108" w:type="dxa"/>
          </w:tblCellMar>
        </w:tblPrEx>
        <w:trPr>
          <w:trHeight w:val="1384" w:hRule="atLeast"/>
        </w:trPr>
        <w:tc>
          <w:tcPr>
            <w:tcW w:w="10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2338" w:type="pct"/>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76" w:lineRule="exact"/>
              <w:jc w:val="left"/>
              <w:textAlignment w:val="top"/>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通过人员管理制度化、公车调派网络化、运行管理数据化、重点加强安全教育的“三化一重”管理模式，达到司勤人员凝心聚力，公车调派全面把控，油耗数据规范透明，公务出行安全可靠的目的。</w:t>
            </w:r>
          </w:p>
          <w:p>
            <w:pPr>
              <w:keepNext w:val="0"/>
              <w:keepLines w:val="0"/>
              <w:pageBreakBefore w:val="0"/>
              <w:widowControl/>
              <w:kinsoku/>
              <w:wordWrap/>
              <w:overflowPunct/>
              <w:topLinePunct w:val="0"/>
              <w:autoSpaceDE/>
              <w:autoSpaceDN/>
              <w:bidi w:val="0"/>
              <w:adjustRightInd/>
              <w:snapToGrid/>
              <w:spacing w:line="576" w:lineRule="exact"/>
              <w:jc w:val="left"/>
              <w:textAlignment w:val="top"/>
              <w:rPr>
                <w:rFonts w:hint="eastAsia" w:ascii="仿宋" w:hAnsi="仿宋" w:eastAsia="仿宋" w:cs="仿宋"/>
                <w:color w:val="000000"/>
                <w:w w:val="90"/>
                <w:sz w:val="21"/>
                <w:szCs w:val="21"/>
              </w:rPr>
            </w:pPr>
          </w:p>
        </w:tc>
        <w:tc>
          <w:tcPr>
            <w:tcW w:w="1635"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76" w:lineRule="exact"/>
              <w:jc w:val="left"/>
              <w:textAlignment w:val="top"/>
              <w:rPr>
                <w:rFonts w:hint="eastAsia" w:ascii="仿宋" w:hAnsi="仿宋" w:eastAsia="仿宋" w:cs="仿宋"/>
                <w:color w:val="000000"/>
                <w:w w:val="90"/>
                <w:sz w:val="21"/>
                <w:szCs w:val="21"/>
              </w:rPr>
            </w:pPr>
            <w:r>
              <w:rPr>
                <w:rFonts w:hint="eastAsia" w:ascii="仿宋" w:hAnsi="仿宋" w:eastAsia="仿宋" w:cs="仿宋"/>
                <w:color w:val="000000"/>
                <w:w w:val="90"/>
                <w:sz w:val="21"/>
                <w:szCs w:val="21"/>
              </w:rPr>
              <w:t>通过人员管理制度化、公车调派网络化、运行管理数据化、重点加强安全教育的“三化一重”管理模式，达到司勤人员凝心聚力，公车调派全面把控，油耗数据规范透明，公务出行安全可靠的目的。</w:t>
            </w:r>
          </w:p>
        </w:tc>
      </w:tr>
      <w:tr>
        <w:tblPrEx>
          <w:tblCellMar>
            <w:top w:w="0" w:type="dxa"/>
            <w:left w:w="108" w:type="dxa"/>
            <w:bottom w:w="0" w:type="dxa"/>
            <w:right w:w="108" w:type="dxa"/>
          </w:tblCellMar>
        </w:tblPrEx>
        <w:trPr>
          <w:trHeight w:val="650" w:hRule="atLeast"/>
        </w:trPr>
        <w:tc>
          <w:tcPr>
            <w:tcW w:w="1026"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年度绩效指标完成情况</w:t>
            </w:r>
          </w:p>
        </w:tc>
        <w:tc>
          <w:tcPr>
            <w:tcW w:w="46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仿宋" w:hAnsi="仿宋" w:eastAsia="仿宋" w:cs="仿宋"/>
                <w:color w:val="000000"/>
                <w:w w:val="90"/>
                <w:kern w:val="0"/>
                <w:sz w:val="21"/>
                <w:szCs w:val="21"/>
                <w:lang w:bidi="ar"/>
              </w:rPr>
            </w:pPr>
            <w:r>
              <w:rPr>
                <w:rFonts w:hint="eastAsia" w:ascii="仿宋" w:hAnsi="仿宋" w:eastAsia="仿宋" w:cs="仿宋"/>
                <w:color w:val="000000"/>
                <w:w w:val="90"/>
                <w:kern w:val="0"/>
                <w:sz w:val="21"/>
                <w:szCs w:val="21"/>
                <w:lang w:bidi="ar"/>
              </w:rPr>
              <w:t>一级</w:t>
            </w:r>
          </w:p>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指标</w:t>
            </w: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仿宋" w:hAnsi="仿宋" w:eastAsia="仿宋" w:cs="仿宋"/>
                <w:color w:val="000000"/>
                <w:w w:val="90"/>
                <w:kern w:val="0"/>
                <w:sz w:val="21"/>
                <w:szCs w:val="21"/>
                <w:lang w:bidi="ar"/>
              </w:rPr>
            </w:pPr>
            <w:r>
              <w:rPr>
                <w:rFonts w:hint="eastAsia" w:ascii="仿宋" w:hAnsi="仿宋" w:eastAsia="仿宋" w:cs="仿宋"/>
                <w:color w:val="000000"/>
                <w:w w:val="90"/>
                <w:kern w:val="0"/>
                <w:sz w:val="21"/>
                <w:szCs w:val="21"/>
                <w:lang w:bidi="ar"/>
              </w:rPr>
              <w:t>二级</w:t>
            </w:r>
          </w:p>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指标</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仿宋" w:hAnsi="仿宋" w:eastAsia="仿宋" w:cs="仿宋"/>
                <w:color w:val="000000"/>
                <w:w w:val="90"/>
                <w:kern w:val="0"/>
                <w:sz w:val="21"/>
                <w:szCs w:val="21"/>
                <w:lang w:bidi="ar"/>
              </w:rPr>
            </w:pPr>
            <w:r>
              <w:rPr>
                <w:rFonts w:hint="eastAsia" w:ascii="仿宋" w:hAnsi="仿宋" w:eastAsia="仿宋" w:cs="仿宋"/>
                <w:color w:val="000000"/>
                <w:w w:val="90"/>
                <w:kern w:val="0"/>
                <w:sz w:val="21"/>
                <w:szCs w:val="21"/>
                <w:lang w:bidi="ar"/>
              </w:rPr>
              <w:t>三级</w:t>
            </w:r>
          </w:p>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指标</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预期指标值</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实际完成指标值</w:t>
            </w:r>
          </w:p>
        </w:tc>
      </w:tr>
      <w:tr>
        <w:tblPrEx>
          <w:tblCellMar>
            <w:top w:w="0" w:type="dxa"/>
            <w:left w:w="108" w:type="dxa"/>
            <w:bottom w:w="0" w:type="dxa"/>
            <w:right w:w="108" w:type="dxa"/>
          </w:tblCellMar>
        </w:tblPrEx>
        <w:trPr>
          <w:trHeight w:val="700" w:hRule="atLeast"/>
        </w:trPr>
        <w:tc>
          <w:tcPr>
            <w:tcW w:w="1026"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bidi="ar"/>
              </w:rPr>
            </w:pPr>
            <w:r>
              <w:rPr>
                <w:rFonts w:hint="eastAsia" w:ascii="仿宋" w:hAnsi="仿宋" w:eastAsia="仿宋" w:cs="仿宋"/>
                <w:color w:val="000000"/>
                <w:w w:val="90"/>
                <w:kern w:val="0"/>
                <w:sz w:val="21"/>
                <w:szCs w:val="21"/>
                <w:lang w:bidi="ar"/>
              </w:rPr>
              <w:t>完成</w:t>
            </w:r>
          </w:p>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指标</w:t>
            </w: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数量指标</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lang w:val="en-US" w:eastAsia="zh-CN"/>
              </w:rPr>
            </w:pPr>
            <w:r>
              <w:rPr>
                <w:rFonts w:hint="eastAsia" w:ascii="仿宋" w:hAnsi="仿宋" w:eastAsia="仿宋" w:cs="仿宋"/>
                <w:color w:val="000000"/>
                <w:w w:val="90"/>
                <w:sz w:val="21"/>
                <w:szCs w:val="21"/>
                <w:lang w:val="en-US" w:eastAsia="zh-CN"/>
              </w:rPr>
              <w:t>车辆维护保养</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lang w:val="en-US" w:eastAsia="zh-CN"/>
              </w:rPr>
            </w:pPr>
            <w:r>
              <w:rPr>
                <w:rFonts w:hint="eastAsia" w:ascii="仿宋" w:hAnsi="仿宋" w:eastAsia="仿宋" w:cs="仿宋"/>
                <w:color w:val="000000"/>
                <w:w w:val="90"/>
                <w:sz w:val="21"/>
                <w:szCs w:val="21"/>
                <w:lang w:val="en-US" w:eastAsia="zh-CN"/>
              </w:rPr>
              <w:t>69辆车</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lang w:val="en-US" w:eastAsia="zh-CN"/>
              </w:rPr>
            </w:pPr>
          </w:p>
        </w:tc>
      </w:tr>
      <w:tr>
        <w:tblPrEx>
          <w:tblCellMar>
            <w:top w:w="0" w:type="dxa"/>
            <w:left w:w="108" w:type="dxa"/>
            <w:bottom w:w="0" w:type="dxa"/>
            <w:right w:w="108" w:type="dxa"/>
          </w:tblCellMar>
        </w:tblPrEx>
        <w:trPr>
          <w:trHeight w:val="330" w:hRule="atLeast"/>
        </w:trPr>
        <w:tc>
          <w:tcPr>
            <w:tcW w:w="1026"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467"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bidi="ar"/>
              </w:rPr>
            </w:pP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bidi="ar"/>
              </w:rPr>
            </w:pPr>
            <w:r>
              <w:rPr>
                <w:rFonts w:hint="eastAsia" w:ascii="仿宋" w:hAnsi="仿宋" w:eastAsia="仿宋" w:cs="仿宋"/>
                <w:color w:val="000000"/>
                <w:w w:val="90"/>
                <w:kern w:val="0"/>
                <w:sz w:val="21"/>
                <w:szCs w:val="21"/>
                <w:lang w:bidi="ar"/>
              </w:rPr>
              <w:t>数量指标</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lang w:val="en-US" w:eastAsia="zh-CN"/>
              </w:rPr>
            </w:pPr>
            <w:r>
              <w:rPr>
                <w:rFonts w:hint="eastAsia" w:ascii="仿宋" w:hAnsi="仿宋" w:eastAsia="仿宋" w:cs="仿宋"/>
                <w:color w:val="000000"/>
                <w:w w:val="90"/>
                <w:sz w:val="21"/>
                <w:szCs w:val="21"/>
                <w:lang w:val="en-US" w:eastAsia="zh-CN"/>
              </w:rPr>
              <w:t>公务用车保障中心平台运行保障数量</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lang w:val="en-US" w:eastAsia="zh-CN"/>
              </w:rPr>
            </w:pPr>
            <w:r>
              <w:rPr>
                <w:rFonts w:hint="eastAsia" w:ascii="仿宋" w:hAnsi="仿宋" w:eastAsia="仿宋" w:cs="仿宋"/>
                <w:color w:val="000000"/>
                <w:w w:val="90"/>
                <w:sz w:val="21"/>
                <w:szCs w:val="21"/>
                <w:lang w:val="en-US" w:eastAsia="zh-CN"/>
              </w:rPr>
              <w:t>69辆车</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lang w:val="en-US" w:eastAsia="zh-CN"/>
              </w:rPr>
            </w:pPr>
          </w:p>
        </w:tc>
      </w:tr>
      <w:tr>
        <w:tblPrEx>
          <w:tblCellMar>
            <w:top w:w="0" w:type="dxa"/>
            <w:left w:w="108" w:type="dxa"/>
            <w:bottom w:w="0" w:type="dxa"/>
            <w:right w:w="108" w:type="dxa"/>
          </w:tblCellMar>
        </w:tblPrEx>
        <w:trPr>
          <w:trHeight w:val="280" w:hRule="atLeast"/>
        </w:trPr>
        <w:tc>
          <w:tcPr>
            <w:tcW w:w="1026"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467"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bidi="ar"/>
              </w:rPr>
            </w:pP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bidi="ar"/>
              </w:rPr>
            </w:pPr>
            <w:r>
              <w:rPr>
                <w:rFonts w:hint="eastAsia" w:ascii="仿宋" w:hAnsi="仿宋" w:eastAsia="仿宋" w:cs="仿宋"/>
                <w:color w:val="000000"/>
                <w:w w:val="90"/>
                <w:kern w:val="0"/>
                <w:sz w:val="21"/>
                <w:szCs w:val="21"/>
                <w:lang w:bidi="ar"/>
              </w:rPr>
              <w:t>数量指标</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val="en-US" w:eastAsia="zh-CN" w:bidi="ar"/>
              </w:rPr>
            </w:pPr>
            <w:r>
              <w:rPr>
                <w:rFonts w:hint="eastAsia" w:ascii="仿宋" w:hAnsi="仿宋" w:eastAsia="仿宋" w:cs="仿宋"/>
                <w:color w:val="000000"/>
                <w:w w:val="90"/>
                <w:kern w:val="0"/>
                <w:sz w:val="21"/>
                <w:szCs w:val="21"/>
                <w:lang w:val="en-US" w:eastAsia="zh-CN" w:bidi="ar"/>
              </w:rPr>
              <w:t>驾驶人员数量</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val="en-US" w:eastAsia="zh-CN" w:bidi="ar"/>
              </w:rPr>
            </w:pPr>
            <w:r>
              <w:rPr>
                <w:rFonts w:hint="eastAsia" w:ascii="仿宋" w:hAnsi="仿宋" w:eastAsia="仿宋" w:cs="仿宋"/>
                <w:color w:val="000000"/>
                <w:w w:val="90"/>
                <w:kern w:val="0"/>
                <w:sz w:val="21"/>
                <w:szCs w:val="21"/>
                <w:lang w:val="en-US" w:eastAsia="zh-CN" w:bidi="ar"/>
              </w:rPr>
              <w:t>69人</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lang w:val="en-US" w:eastAsia="zh-CN"/>
              </w:rPr>
            </w:pPr>
          </w:p>
        </w:tc>
      </w:tr>
      <w:tr>
        <w:tblPrEx>
          <w:tblCellMar>
            <w:top w:w="0" w:type="dxa"/>
            <w:left w:w="108" w:type="dxa"/>
            <w:bottom w:w="0" w:type="dxa"/>
            <w:right w:w="108" w:type="dxa"/>
          </w:tblCellMar>
        </w:tblPrEx>
        <w:trPr>
          <w:trHeight w:val="405" w:hRule="atLeast"/>
        </w:trPr>
        <w:tc>
          <w:tcPr>
            <w:tcW w:w="1026"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质量指标</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val="en-US" w:eastAsia="zh-CN" w:bidi="ar"/>
              </w:rPr>
            </w:pPr>
            <w:r>
              <w:rPr>
                <w:rFonts w:hint="eastAsia" w:ascii="仿宋" w:hAnsi="仿宋" w:eastAsia="仿宋" w:cs="仿宋"/>
                <w:color w:val="000000"/>
                <w:w w:val="90"/>
                <w:kern w:val="0"/>
                <w:sz w:val="21"/>
                <w:szCs w:val="21"/>
                <w:lang w:val="en-US" w:eastAsia="zh-CN" w:bidi="ar"/>
              </w:rPr>
              <w:t>公务用车安全行驶</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bidi="ar"/>
              </w:rPr>
            </w:pPr>
            <w:r>
              <w:rPr>
                <w:rFonts w:hint="eastAsia" w:ascii="仿宋" w:hAnsi="仿宋" w:eastAsia="仿宋" w:cs="仿宋"/>
                <w:color w:val="000000"/>
                <w:w w:val="90"/>
                <w:kern w:val="0"/>
                <w:sz w:val="21"/>
                <w:szCs w:val="21"/>
                <w:lang w:val="en-US" w:eastAsia="zh-CN" w:bidi="ar"/>
              </w:rPr>
              <w:t>69辆车</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lang w:val="en-US" w:eastAsia="zh-CN"/>
              </w:rPr>
            </w:pPr>
          </w:p>
        </w:tc>
      </w:tr>
      <w:tr>
        <w:tblPrEx>
          <w:tblCellMar>
            <w:top w:w="0" w:type="dxa"/>
            <w:left w:w="108" w:type="dxa"/>
            <w:bottom w:w="0" w:type="dxa"/>
            <w:right w:w="108" w:type="dxa"/>
          </w:tblCellMar>
        </w:tblPrEx>
        <w:trPr>
          <w:trHeight w:val="343" w:hRule="atLeast"/>
        </w:trPr>
        <w:tc>
          <w:tcPr>
            <w:tcW w:w="1026"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质量指标</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val="en-US" w:eastAsia="zh-CN" w:bidi="ar"/>
              </w:rPr>
            </w:pPr>
            <w:r>
              <w:rPr>
                <w:rFonts w:hint="eastAsia" w:ascii="仿宋" w:hAnsi="仿宋" w:eastAsia="仿宋" w:cs="仿宋"/>
                <w:color w:val="000000"/>
                <w:w w:val="90"/>
                <w:kern w:val="0"/>
                <w:sz w:val="21"/>
                <w:szCs w:val="21"/>
                <w:lang w:val="en-US" w:eastAsia="zh-CN" w:bidi="ar"/>
              </w:rPr>
              <w:t>车辆保险办理率</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eastAsia="zh-CN" w:bidi="ar"/>
              </w:rPr>
            </w:pPr>
            <w:r>
              <w:rPr>
                <w:rFonts w:hint="eastAsia" w:ascii="仿宋" w:hAnsi="仿宋" w:eastAsia="仿宋" w:cs="仿宋"/>
                <w:color w:val="000000"/>
                <w:w w:val="90"/>
                <w:kern w:val="0"/>
                <w:sz w:val="21"/>
                <w:szCs w:val="21"/>
                <w:lang w:val="en-US" w:eastAsia="zh-CN" w:bidi="ar"/>
              </w:rPr>
              <w:t>69辆车</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rPr>
            </w:pPr>
          </w:p>
        </w:tc>
      </w:tr>
      <w:tr>
        <w:tblPrEx>
          <w:tblCellMar>
            <w:top w:w="0" w:type="dxa"/>
            <w:left w:w="108" w:type="dxa"/>
            <w:bottom w:w="0" w:type="dxa"/>
            <w:right w:w="108" w:type="dxa"/>
          </w:tblCellMar>
        </w:tblPrEx>
        <w:trPr>
          <w:trHeight w:val="535" w:hRule="atLeast"/>
        </w:trPr>
        <w:tc>
          <w:tcPr>
            <w:tcW w:w="1026"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bidi="ar"/>
              </w:rPr>
            </w:pPr>
            <w:r>
              <w:rPr>
                <w:rFonts w:hint="eastAsia" w:ascii="仿宋" w:hAnsi="仿宋" w:eastAsia="仿宋" w:cs="仿宋"/>
                <w:color w:val="000000"/>
                <w:w w:val="90"/>
                <w:kern w:val="0"/>
                <w:sz w:val="21"/>
                <w:szCs w:val="21"/>
                <w:lang w:bidi="ar"/>
              </w:rPr>
              <w:t>时效指标</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val="en-US" w:eastAsia="zh-CN" w:bidi="ar"/>
              </w:rPr>
            </w:pPr>
            <w:r>
              <w:rPr>
                <w:rFonts w:hint="eastAsia" w:ascii="仿宋" w:hAnsi="仿宋" w:eastAsia="仿宋" w:cs="仿宋"/>
                <w:color w:val="000000"/>
                <w:w w:val="90"/>
                <w:kern w:val="0"/>
                <w:sz w:val="21"/>
                <w:szCs w:val="21"/>
                <w:lang w:val="en-US" w:eastAsia="zh-CN" w:bidi="ar"/>
              </w:rPr>
              <w:t>根据用车单位需求，实时保障公务出行</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eastAsia="zh-CN" w:bidi="ar"/>
              </w:rPr>
            </w:pPr>
            <w:r>
              <w:rPr>
                <w:rFonts w:hint="eastAsia" w:ascii="仿宋" w:hAnsi="仿宋" w:eastAsia="仿宋" w:cs="仿宋"/>
                <w:color w:val="000000"/>
                <w:w w:val="90"/>
                <w:kern w:val="0"/>
                <w:sz w:val="21"/>
                <w:szCs w:val="21"/>
                <w:lang w:eastAsia="zh-CN" w:bidi="ar"/>
              </w:rPr>
              <w:t>保障安全出行</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rPr>
            </w:pPr>
          </w:p>
        </w:tc>
      </w:tr>
      <w:tr>
        <w:tblPrEx>
          <w:tblCellMar>
            <w:top w:w="0" w:type="dxa"/>
            <w:left w:w="108" w:type="dxa"/>
            <w:bottom w:w="0" w:type="dxa"/>
            <w:right w:w="108" w:type="dxa"/>
          </w:tblCellMar>
        </w:tblPrEx>
        <w:trPr>
          <w:trHeight w:val="1057" w:hRule="atLeast"/>
        </w:trPr>
        <w:tc>
          <w:tcPr>
            <w:tcW w:w="1026"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bidi="ar"/>
              </w:rPr>
            </w:pPr>
            <w:r>
              <w:rPr>
                <w:rFonts w:hint="eastAsia" w:ascii="仿宋" w:hAnsi="仿宋" w:eastAsia="仿宋" w:cs="仿宋"/>
                <w:color w:val="000000"/>
                <w:w w:val="90"/>
                <w:kern w:val="0"/>
                <w:sz w:val="21"/>
                <w:szCs w:val="21"/>
                <w:lang w:bidi="ar"/>
              </w:rPr>
              <w:t>时效指标</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val="en-US" w:eastAsia="zh-CN" w:bidi="ar"/>
              </w:rPr>
            </w:pPr>
            <w:r>
              <w:rPr>
                <w:rFonts w:hint="eastAsia" w:ascii="仿宋" w:hAnsi="仿宋" w:eastAsia="仿宋" w:cs="仿宋"/>
                <w:color w:val="000000"/>
                <w:w w:val="90"/>
                <w:kern w:val="0"/>
                <w:sz w:val="21"/>
                <w:szCs w:val="21"/>
                <w:lang w:val="en-US" w:eastAsia="zh-CN" w:bidi="ar"/>
              </w:rPr>
              <w:t>公车保险车船税到期</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eastAsia="zh-CN" w:bidi="ar"/>
              </w:rPr>
            </w:pPr>
            <w:r>
              <w:rPr>
                <w:rFonts w:hint="eastAsia" w:ascii="仿宋" w:hAnsi="仿宋" w:eastAsia="仿宋" w:cs="仿宋"/>
                <w:color w:val="000000"/>
                <w:w w:val="90"/>
                <w:kern w:val="0"/>
                <w:sz w:val="21"/>
                <w:szCs w:val="21"/>
                <w:lang w:eastAsia="zh-CN" w:bidi="ar"/>
              </w:rPr>
              <w:t>按时缴纳保险</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lang w:val="en-US" w:eastAsia="zh-CN"/>
              </w:rPr>
            </w:pPr>
          </w:p>
        </w:tc>
      </w:tr>
      <w:tr>
        <w:tblPrEx>
          <w:tblCellMar>
            <w:top w:w="0" w:type="dxa"/>
            <w:left w:w="108" w:type="dxa"/>
            <w:bottom w:w="0" w:type="dxa"/>
            <w:right w:w="108" w:type="dxa"/>
          </w:tblCellMar>
        </w:tblPrEx>
        <w:trPr>
          <w:trHeight w:val="675" w:hRule="atLeast"/>
        </w:trPr>
        <w:tc>
          <w:tcPr>
            <w:tcW w:w="1026"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成本指标</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val="en-US" w:eastAsia="zh-CN" w:bidi="ar"/>
              </w:rPr>
            </w:pPr>
            <w:r>
              <w:rPr>
                <w:rFonts w:hint="eastAsia" w:ascii="仿宋" w:hAnsi="仿宋" w:eastAsia="仿宋" w:cs="仿宋"/>
                <w:color w:val="000000"/>
                <w:w w:val="90"/>
                <w:kern w:val="0"/>
                <w:sz w:val="21"/>
                <w:szCs w:val="21"/>
                <w:lang w:val="en-US" w:eastAsia="zh-CN" w:bidi="ar"/>
              </w:rPr>
              <w:t>公务用车运行维护费</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eastAsia="zh-CN" w:bidi="ar"/>
              </w:rPr>
            </w:pPr>
            <w:r>
              <w:rPr>
                <w:rFonts w:hint="eastAsia" w:ascii="仿宋" w:hAnsi="仿宋" w:eastAsia="仿宋" w:cs="仿宋"/>
                <w:color w:val="000000"/>
                <w:w w:val="90"/>
                <w:kern w:val="0"/>
                <w:sz w:val="21"/>
                <w:szCs w:val="21"/>
                <w:lang w:eastAsia="zh-CN" w:bidi="ar"/>
              </w:rPr>
              <w:t>节约运行费用，定点维修、加油</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lang w:val="en-US"/>
              </w:rPr>
            </w:pPr>
          </w:p>
        </w:tc>
      </w:tr>
      <w:tr>
        <w:tblPrEx>
          <w:tblCellMar>
            <w:top w:w="0" w:type="dxa"/>
            <w:left w:w="108" w:type="dxa"/>
            <w:bottom w:w="0" w:type="dxa"/>
            <w:right w:w="108" w:type="dxa"/>
          </w:tblCellMar>
        </w:tblPrEx>
        <w:trPr>
          <w:trHeight w:val="510" w:hRule="atLeast"/>
        </w:trPr>
        <w:tc>
          <w:tcPr>
            <w:tcW w:w="1026"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46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eastAsia="zh-CN" w:bidi="ar"/>
              </w:rPr>
            </w:pPr>
            <w:r>
              <w:rPr>
                <w:rFonts w:hint="eastAsia" w:ascii="仿宋" w:hAnsi="仿宋" w:eastAsia="仿宋" w:cs="仿宋"/>
                <w:color w:val="000000"/>
                <w:w w:val="90"/>
                <w:kern w:val="0"/>
                <w:sz w:val="21"/>
                <w:szCs w:val="21"/>
                <w:lang w:bidi="ar"/>
              </w:rPr>
              <w:t>效益</w:t>
            </w:r>
          </w:p>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指标</w:t>
            </w: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社会效益  指标</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bidi="ar"/>
              </w:rPr>
            </w:pPr>
            <w:r>
              <w:rPr>
                <w:rFonts w:hint="eastAsia" w:ascii="仿宋" w:hAnsi="仿宋" w:eastAsia="仿宋" w:cs="仿宋"/>
                <w:color w:val="000000"/>
                <w:w w:val="90"/>
                <w:kern w:val="0"/>
                <w:sz w:val="21"/>
                <w:szCs w:val="21"/>
                <w:lang w:val="en-US" w:eastAsia="zh-CN" w:bidi="ar"/>
              </w:rPr>
              <w:t>日常确保党政机关用车</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eastAsia="zh-CN" w:bidi="ar"/>
              </w:rPr>
            </w:pPr>
            <w:r>
              <w:rPr>
                <w:rFonts w:hint="eastAsia" w:ascii="仿宋" w:hAnsi="仿宋" w:eastAsia="仿宋" w:cs="仿宋"/>
                <w:color w:val="000000"/>
                <w:w w:val="90"/>
                <w:kern w:val="0"/>
                <w:sz w:val="21"/>
                <w:szCs w:val="21"/>
                <w:lang w:eastAsia="zh-CN" w:bidi="ar"/>
              </w:rPr>
              <w:t>车辆安全出行</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rPr>
            </w:pPr>
          </w:p>
        </w:tc>
      </w:tr>
      <w:tr>
        <w:tblPrEx>
          <w:tblCellMar>
            <w:top w:w="0" w:type="dxa"/>
            <w:left w:w="108" w:type="dxa"/>
            <w:bottom w:w="0" w:type="dxa"/>
            <w:right w:w="108" w:type="dxa"/>
          </w:tblCellMar>
        </w:tblPrEx>
        <w:trPr>
          <w:trHeight w:val="862" w:hRule="atLeast"/>
        </w:trPr>
        <w:tc>
          <w:tcPr>
            <w:tcW w:w="1026"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社会效益  指标</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val="en-US" w:eastAsia="zh-CN" w:bidi="ar"/>
              </w:rPr>
            </w:pPr>
            <w:r>
              <w:rPr>
                <w:rFonts w:hint="eastAsia" w:ascii="仿宋" w:hAnsi="仿宋" w:eastAsia="仿宋" w:cs="仿宋"/>
                <w:color w:val="000000"/>
                <w:w w:val="90"/>
                <w:kern w:val="0"/>
                <w:sz w:val="21"/>
                <w:szCs w:val="21"/>
                <w:lang w:val="en-US" w:eastAsia="zh-CN" w:bidi="ar"/>
              </w:rPr>
              <w:t>公车出行安全率</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eastAsia="zh-CN" w:bidi="ar"/>
              </w:rPr>
            </w:pPr>
            <w:r>
              <w:rPr>
                <w:rFonts w:hint="eastAsia" w:ascii="仿宋" w:hAnsi="仿宋" w:eastAsia="仿宋" w:cs="仿宋"/>
                <w:color w:val="000000"/>
                <w:w w:val="90"/>
                <w:kern w:val="0"/>
                <w:sz w:val="21"/>
                <w:szCs w:val="21"/>
                <w:lang w:eastAsia="zh-CN" w:bidi="ar"/>
              </w:rPr>
              <w:t>保障车辆安全出行</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rPr>
            </w:pPr>
          </w:p>
        </w:tc>
      </w:tr>
      <w:tr>
        <w:tblPrEx>
          <w:tblCellMar>
            <w:top w:w="0" w:type="dxa"/>
            <w:left w:w="108" w:type="dxa"/>
            <w:bottom w:w="0" w:type="dxa"/>
            <w:right w:w="108" w:type="dxa"/>
          </w:tblCellMar>
        </w:tblPrEx>
        <w:trPr>
          <w:trHeight w:val="530" w:hRule="atLeast"/>
        </w:trPr>
        <w:tc>
          <w:tcPr>
            <w:tcW w:w="1026"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372" w:leftChars="87" w:hanging="189" w:hangingChars="100"/>
              <w:jc w:val="center"/>
              <w:textAlignment w:val="bottom"/>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可持续影响 指标</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bidi="ar"/>
              </w:rPr>
            </w:pPr>
            <w:r>
              <w:rPr>
                <w:rFonts w:hint="eastAsia" w:ascii="仿宋" w:hAnsi="仿宋" w:eastAsia="仿宋" w:cs="仿宋"/>
                <w:color w:val="000000"/>
                <w:w w:val="90"/>
                <w:kern w:val="0"/>
                <w:sz w:val="21"/>
                <w:szCs w:val="21"/>
                <w:lang w:val="en-US" w:eastAsia="zh-CN" w:bidi="ar"/>
              </w:rPr>
              <w:t>按照规定用车标准及时派车</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eastAsia="zh-CN" w:bidi="ar"/>
              </w:rPr>
            </w:pPr>
            <w:r>
              <w:rPr>
                <w:rFonts w:hint="eastAsia" w:ascii="仿宋" w:hAnsi="仿宋" w:eastAsia="仿宋" w:cs="仿宋"/>
                <w:color w:val="000000"/>
                <w:w w:val="90"/>
                <w:kern w:val="0"/>
                <w:sz w:val="21"/>
                <w:szCs w:val="21"/>
                <w:lang w:eastAsia="zh-CN" w:bidi="ar"/>
              </w:rPr>
              <w:t>根据需求及时派车</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rPr>
            </w:pPr>
          </w:p>
        </w:tc>
      </w:tr>
      <w:tr>
        <w:tblPrEx>
          <w:tblCellMar>
            <w:top w:w="0" w:type="dxa"/>
            <w:left w:w="108" w:type="dxa"/>
            <w:bottom w:w="0" w:type="dxa"/>
            <w:right w:w="108" w:type="dxa"/>
          </w:tblCellMar>
        </w:tblPrEx>
        <w:trPr>
          <w:trHeight w:val="832" w:hRule="atLeast"/>
        </w:trPr>
        <w:tc>
          <w:tcPr>
            <w:tcW w:w="1026"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467" w:type="pct"/>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可持续影响 指标</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val="en-US" w:eastAsia="zh-CN" w:bidi="ar"/>
              </w:rPr>
            </w:pPr>
            <w:r>
              <w:rPr>
                <w:rFonts w:hint="eastAsia" w:ascii="仿宋" w:hAnsi="仿宋" w:eastAsia="仿宋" w:cs="仿宋"/>
                <w:color w:val="000000"/>
                <w:w w:val="90"/>
                <w:kern w:val="0"/>
                <w:sz w:val="21"/>
                <w:szCs w:val="21"/>
                <w:lang w:val="en-US" w:eastAsia="zh-CN" w:bidi="ar"/>
              </w:rPr>
              <w:t>项目延续性</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bidi="ar"/>
              </w:rPr>
            </w:pP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rPr>
            </w:pPr>
          </w:p>
        </w:tc>
      </w:tr>
      <w:tr>
        <w:tblPrEx>
          <w:tblCellMar>
            <w:top w:w="0" w:type="dxa"/>
            <w:left w:w="108" w:type="dxa"/>
            <w:bottom w:w="0" w:type="dxa"/>
            <w:right w:w="108" w:type="dxa"/>
          </w:tblCellMar>
        </w:tblPrEx>
        <w:trPr>
          <w:trHeight w:val="490" w:hRule="atLeast"/>
        </w:trPr>
        <w:tc>
          <w:tcPr>
            <w:tcW w:w="1026" w:type="pct"/>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467" w:type="pct"/>
            <w:vMerge w:val="restart"/>
            <w:tcBorders>
              <w:top w:val="single" w:color="000000" w:sz="4" w:space="0"/>
              <w:left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eastAsia="zh-CN" w:bidi="ar"/>
              </w:rPr>
            </w:pPr>
            <w:r>
              <w:rPr>
                <w:rFonts w:hint="eastAsia" w:ascii="仿宋" w:hAnsi="仿宋" w:eastAsia="仿宋" w:cs="仿宋"/>
                <w:color w:val="000000"/>
                <w:w w:val="90"/>
                <w:kern w:val="0"/>
                <w:sz w:val="21"/>
                <w:szCs w:val="21"/>
                <w:lang w:bidi="ar"/>
              </w:rPr>
              <w:t>满意</w:t>
            </w:r>
          </w:p>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度指标</w:t>
            </w: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bidi="ar"/>
              </w:rPr>
            </w:pPr>
            <w:r>
              <w:rPr>
                <w:rFonts w:hint="eastAsia" w:ascii="仿宋" w:hAnsi="仿宋" w:eastAsia="仿宋" w:cs="仿宋"/>
                <w:color w:val="000000"/>
                <w:w w:val="90"/>
                <w:kern w:val="0"/>
                <w:sz w:val="21"/>
                <w:szCs w:val="21"/>
                <w:lang w:bidi="ar"/>
              </w:rPr>
              <w:t>满意度</w:t>
            </w:r>
          </w:p>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rPr>
            </w:pPr>
            <w:r>
              <w:rPr>
                <w:rFonts w:hint="eastAsia" w:ascii="仿宋" w:hAnsi="仿宋" w:eastAsia="仿宋" w:cs="仿宋"/>
                <w:color w:val="000000"/>
                <w:w w:val="90"/>
                <w:kern w:val="0"/>
                <w:sz w:val="21"/>
                <w:szCs w:val="21"/>
                <w:lang w:bidi="ar"/>
              </w:rPr>
              <w:t>指标</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val="en-US" w:eastAsia="zh-CN" w:bidi="ar"/>
              </w:rPr>
            </w:pPr>
            <w:r>
              <w:rPr>
                <w:rFonts w:hint="eastAsia" w:ascii="仿宋" w:hAnsi="仿宋" w:eastAsia="仿宋" w:cs="仿宋"/>
                <w:color w:val="000000"/>
                <w:w w:val="90"/>
                <w:kern w:val="0"/>
                <w:sz w:val="21"/>
                <w:szCs w:val="21"/>
                <w:lang w:val="en-US" w:eastAsia="zh-CN" w:bidi="ar"/>
              </w:rPr>
              <w:t>用车单位满意度</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eastAsia="zh-CN" w:bidi="ar"/>
              </w:rPr>
            </w:pPr>
            <w:r>
              <w:rPr>
                <w:rFonts w:hint="eastAsia" w:ascii="仿宋" w:hAnsi="仿宋" w:eastAsia="仿宋" w:cs="仿宋"/>
                <w:color w:val="000000"/>
                <w:w w:val="90"/>
                <w:kern w:val="0"/>
                <w:sz w:val="21"/>
                <w:szCs w:val="21"/>
                <w:lang w:eastAsia="zh-CN" w:bidi="ar"/>
              </w:rPr>
              <w:t>用车单位人员满意</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rPr>
            </w:pPr>
            <w:r>
              <w:rPr>
                <w:rFonts w:hint="eastAsia" w:ascii="仿宋" w:hAnsi="仿宋" w:eastAsia="仿宋" w:cs="仿宋"/>
                <w:color w:val="000000"/>
                <w:w w:val="90"/>
                <w:sz w:val="21"/>
                <w:szCs w:val="21"/>
                <w:lang w:eastAsia="zh-CN"/>
              </w:rPr>
              <w:t>满意度</w:t>
            </w:r>
            <w:r>
              <w:rPr>
                <w:rFonts w:hint="eastAsia" w:ascii="仿宋" w:hAnsi="仿宋" w:eastAsia="仿宋" w:cs="仿宋"/>
                <w:w w:val="90"/>
                <w:sz w:val="21"/>
                <w:szCs w:val="21"/>
              </w:rPr>
              <w:t>≥95%</w:t>
            </w:r>
          </w:p>
        </w:tc>
      </w:tr>
      <w:tr>
        <w:tblPrEx>
          <w:tblCellMar>
            <w:top w:w="0" w:type="dxa"/>
            <w:left w:w="108" w:type="dxa"/>
            <w:bottom w:w="0" w:type="dxa"/>
            <w:right w:w="108" w:type="dxa"/>
          </w:tblCellMar>
        </w:tblPrEx>
        <w:trPr>
          <w:trHeight w:val="423" w:hRule="atLeast"/>
        </w:trPr>
        <w:tc>
          <w:tcPr>
            <w:tcW w:w="1026" w:type="pct"/>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rPr>
                <w:rFonts w:hint="eastAsia" w:ascii="仿宋" w:hAnsi="仿宋" w:eastAsia="仿宋" w:cs="仿宋"/>
                <w:color w:val="000000"/>
                <w:w w:val="90"/>
                <w:sz w:val="21"/>
                <w:szCs w:val="21"/>
              </w:rPr>
            </w:pPr>
          </w:p>
        </w:tc>
        <w:tc>
          <w:tcPr>
            <w:tcW w:w="467" w:type="pct"/>
            <w:vMerge w:val="continue"/>
            <w:tcBorders>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bidi="ar"/>
              </w:rPr>
            </w:pPr>
          </w:p>
        </w:tc>
        <w:tc>
          <w:tcPr>
            <w:tcW w:w="8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bidi="ar"/>
              </w:rPr>
            </w:pPr>
            <w:r>
              <w:rPr>
                <w:rFonts w:hint="eastAsia" w:ascii="仿宋" w:hAnsi="仿宋" w:eastAsia="仿宋" w:cs="仿宋"/>
                <w:color w:val="000000"/>
                <w:w w:val="90"/>
                <w:kern w:val="0"/>
                <w:sz w:val="21"/>
                <w:szCs w:val="21"/>
                <w:lang w:bidi="ar"/>
              </w:rPr>
              <w:t>满意度</w:t>
            </w:r>
          </w:p>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bidi="ar"/>
              </w:rPr>
            </w:pPr>
            <w:r>
              <w:rPr>
                <w:rFonts w:hint="eastAsia" w:ascii="仿宋" w:hAnsi="仿宋" w:eastAsia="仿宋" w:cs="仿宋"/>
                <w:color w:val="000000"/>
                <w:w w:val="90"/>
                <w:kern w:val="0"/>
                <w:sz w:val="21"/>
                <w:szCs w:val="21"/>
                <w:lang w:bidi="ar"/>
              </w:rPr>
              <w:t>指标</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val="en-US" w:eastAsia="zh-CN" w:bidi="ar"/>
              </w:rPr>
            </w:pPr>
            <w:r>
              <w:rPr>
                <w:rFonts w:hint="eastAsia" w:ascii="仿宋" w:hAnsi="仿宋" w:eastAsia="仿宋" w:cs="仿宋"/>
                <w:color w:val="000000"/>
                <w:w w:val="90"/>
                <w:kern w:val="0"/>
                <w:sz w:val="21"/>
                <w:szCs w:val="21"/>
                <w:lang w:val="en-US" w:eastAsia="zh-CN" w:bidi="ar"/>
              </w:rPr>
              <w:t>用车干部、职工满意度</w:t>
            </w:r>
          </w:p>
        </w:tc>
        <w:tc>
          <w:tcPr>
            <w:tcW w:w="9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kern w:val="0"/>
                <w:sz w:val="21"/>
                <w:szCs w:val="21"/>
                <w:lang w:eastAsia="zh-CN" w:bidi="ar"/>
              </w:rPr>
            </w:pPr>
            <w:r>
              <w:rPr>
                <w:rFonts w:hint="eastAsia" w:ascii="仿宋" w:hAnsi="仿宋" w:eastAsia="仿宋" w:cs="仿宋"/>
                <w:color w:val="000000"/>
                <w:w w:val="90"/>
                <w:kern w:val="0"/>
                <w:sz w:val="21"/>
                <w:szCs w:val="21"/>
                <w:lang w:val="en-US" w:eastAsia="zh-CN" w:bidi="ar"/>
              </w:rPr>
              <w:t>用车干部、职工满意度</w:t>
            </w:r>
          </w:p>
        </w:tc>
        <w:tc>
          <w:tcPr>
            <w:tcW w:w="6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bottom"/>
              <w:rPr>
                <w:rFonts w:hint="eastAsia" w:ascii="仿宋" w:hAnsi="仿宋" w:eastAsia="仿宋" w:cs="仿宋"/>
                <w:color w:val="000000"/>
                <w:w w:val="90"/>
                <w:sz w:val="21"/>
                <w:szCs w:val="21"/>
                <w:lang w:eastAsia="zh-CN"/>
              </w:rPr>
            </w:pPr>
            <w:r>
              <w:rPr>
                <w:rFonts w:hint="eastAsia" w:ascii="仿宋" w:hAnsi="仿宋" w:eastAsia="仿宋" w:cs="仿宋"/>
                <w:color w:val="000000"/>
                <w:w w:val="90"/>
                <w:sz w:val="21"/>
                <w:szCs w:val="21"/>
                <w:lang w:eastAsia="zh-CN"/>
              </w:rPr>
              <w:t>满意度</w:t>
            </w:r>
            <w:r>
              <w:rPr>
                <w:rFonts w:hint="eastAsia" w:ascii="仿宋" w:hAnsi="仿宋" w:eastAsia="仿宋" w:cs="仿宋"/>
                <w:w w:val="90"/>
                <w:sz w:val="21"/>
                <w:szCs w:val="21"/>
              </w:rPr>
              <w:t>≥95%</w:t>
            </w:r>
          </w:p>
        </w:tc>
      </w:tr>
    </w:tbl>
    <w:p>
      <w:pPr>
        <w:pageBreakBefore w:val="0"/>
        <w:kinsoku/>
        <w:wordWrap/>
        <w:overflowPunct/>
        <w:topLinePunct w:val="0"/>
        <w:bidi w:val="0"/>
        <w:spacing w:line="576" w:lineRule="exact"/>
        <w:ind w:firstLine="1323" w:firstLineChars="700"/>
        <w:jc w:val="both"/>
        <w:outlineLvl w:val="0"/>
        <w:rPr>
          <w:rFonts w:hint="eastAsia" w:ascii="仿宋" w:hAnsi="仿宋" w:eastAsia="仿宋" w:cs="仿宋"/>
          <w:color w:val="auto"/>
          <w:w w:val="90"/>
          <w:sz w:val="21"/>
          <w:szCs w:val="21"/>
          <w:highlight w:val="none"/>
        </w:rPr>
      </w:pPr>
      <w:bookmarkStart w:id="59" w:name="_Toc15396618"/>
    </w:p>
    <w:p>
      <w:pPr>
        <w:pageBreakBefore w:val="0"/>
        <w:kinsoku/>
        <w:wordWrap/>
        <w:overflowPunct/>
        <w:topLinePunct w:val="0"/>
        <w:bidi w:val="0"/>
        <w:spacing w:line="576" w:lineRule="exact"/>
        <w:ind w:firstLine="3080" w:firstLineChars="700"/>
        <w:jc w:val="both"/>
        <w:outlineLvl w:val="0"/>
        <w:rPr>
          <w:rFonts w:hint="eastAsia" w:ascii="黑体" w:hAnsi="黑体" w:eastAsia="黑体"/>
          <w:color w:val="auto"/>
          <w:sz w:val="44"/>
          <w:szCs w:val="44"/>
          <w:highlight w:val="none"/>
        </w:rPr>
      </w:pPr>
    </w:p>
    <w:p>
      <w:pPr>
        <w:pageBreakBefore w:val="0"/>
        <w:kinsoku/>
        <w:wordWrap/>
        <w:overflowPunct/>
        <w:topLinePunct w:val="0"/>
        <w:bidi w:val="0"/>
        <w:spacing w:line="576" w:lineRule="exact"/>
        <w:ind w:firstLine="3080" w:firstLineChars="700"/>
        <w:jc w:val="both"/>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7"/>
      <w:bookmarkEnd w:id="59"/>
      <w:bookmarkStart w:id="60" w:name="_Toc15396619"/>
    </w:p>
    <w:p>
      <w:pPr>
        <w:pStyle w:val="4"/>
        <w:pageBreakBefore w:val="0"/>
        <w:kinsoku/>
        <w:wordWrap/>
        <w:overflowPunct/>
        <w:topLinePunct w:val="0"/>
        <w:bidi w:val="0"/>
        <w:spacing w:line="576" w:lineRule="exact"/>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60"/>
    </w:p>
    <w:p>
      <w:pPr>
        <w:pStyle w:val="4"/>
        <w:pageBreakBefore w:val="0"/>
        <w:kinsoku/>
        <w:wordWrap/>
        <w:overflowPunct/>
        <w:topLinePunct w:val="0"/>
        <w:bidi w:val="0"/>
        <w:spacing w:line="576" w:lineRule="exact"/>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61"/>
    </w:p>
    <w:p>
      <w:pPr>
        <w:pStyle w:val="4"/>
        <w:pageBreakBefore w:val="0"/>
        <w:kinsoku/>
        <w:wordWrap/>
        <w:overflowPunct/>
        <w:topLinePunct w:val="0"/>
        <w:bidi w:val="0"/>
        <w:spacing w:line="576" w:lineRule="exact"/>
        <w:rPr>
          <w:rFonts w:ascii="仿宋" w:hAnsi="仿宋" w:eastAsia="仿宋"/>
          <w:color w:val="auto"/>
          <w:highlight w:val="none"/>
        </w:rPr>
      </w:pPr>
      <w:bookmarkStart w:id="62"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62"/>
    </w:p>
    <w:p>
      <w:pPr>
        <w:pStyle w:val="4"/>
        <w:pageBreakBefore w:val="0"/>
        <w:kinsoku/>
        <w:wordWrap/>
        <w:overflowPunct/>
        <w:topLinePunct w:val="0"/>
        <w:bidi w:val="0"/>
        <w:spacing w:line="576" w:lineRule="exact"/>
        <w:rPr>
          <w:rFonts w:ascii="仿宋" w:hAnsi="仿宋" w:eastAsia="仿宋"/>
          <w:b w:val="0"/>
          <w:color w:val="auto"/>
          <w:highlight w:val="none"/>
        </w:rPr>
      </w:pPr>
      <w:bookmarkStart w:id="63"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63"/>
    </w:p>
    <w:p>
      <w:pPr>
        <w:pStyle w:val="4"/>
        <w:pageBreakBefore w:val="0"/>
        <w:kinsoku/>
        <w:wordWrap/>
        <w:overflowPunct/>
        <w:topLinePunct w:val="0"/>
        <w:bidi w:val="0"/>
        <w:spacing w:line="576" w:lineRule="exact"/>
        <w:rPr>
          <w:rStyle w:val="25"/>
          <w:rFonts w:ascii="仿宋" w:hAnsi="仿宋" w:eastAsia="仿宋"/>
          <w:b w:val="0"/>
          <w:bCs w:val="0"/>
          <w:color w:val="auto"/>
          <w:highlight w:val="none"/>
        </w:rPr>
      </w:pPr>
      <w:bookmarkStart w:id="64"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64"/>
      <w:bookmarkStart w:id="65" w:name="_Toc15396624"/>
    </w:p>
    <w:p>
      <w:pPr>
        <w:pStyle w:val="4"/>
        <w:pageBreakBefore w:val="0"/>
        <w:kinsoku/>
        <w:wordWrap/>
        <w:overflowPunct/>
        <w:topLinePunct w:val="0"/>
        <w:bidi w:val="0"/>
        <w:spacing w:line="576" w:lineRule="exact"/>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65"/>
    </w:p>
    <w:p>
      <w:pPr>
        <w:pStyle w:val="4"/>
        <w:pageBreakBefore w:val="0"/>
        <w:kinsoku/>
        <w:wordWrap/>
        <w:overflowPunct/>
        <w:topLinePunct w:val="0"/>
        <w:bidi w:val="0"/>
        <w:spacing w:line="576" w:lineRule="exact"/>
        <w:rPr>
          <w:rFonts w:ascii="仿宋" w:hAnsi="仿宋" w:eastAsia="仿宋"/>
          <w:color w:val="auto"/>
          <w:highlight w:val="none"/>
        </w:rPr>
      </w:pPr>
      <w:bookmarkStart w:id="66"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6"/>
    </w:p>
    <w:p>
      <w:pPr>
        <w:pStyle w:val="4"/>
        <w:pageBreakBefore w:val="0"/>
        <w:kinsoku/>
        <w:wordWrap/>
        <w:overflowPunct/>
        <w:topLinePunct w:val="0"/>
        <w:bidi w:val="0"/>
        <w:spacing w:line="576" w:lineRule="exact"/>
        <w:rPr>
          <w:rFonts w:ascii="仿宋" w:hAnsi="仿宋" w:eastAsia="仿宋"/>
          <w:color w:val="auto"/>
          <w:highlight w:val="none"/>
        </w:rPr>
      </w:pPr>
      <w:bookmarkStart w:id="67"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7"/>
    </w:p>
    <w:p>
      <w:pPr>
        <w:pStyle w:val="4"/>
        <w:pageBreakBefore w:val="0"/>
        <w:kinsoku/>
        <w:wordWrap/>
        <w:overflowPunct/>
        <w:topLinePunct w:val="0"/>
        <w:bidi w:val="0"/>
        <w:spacing w:line="576" w:lineRule="exact"/>
        <w:rPr>
          <w:rFonts w:ascii="仿宋" w:hAnsi="仿宋" w:eastAsia="仿宋"/>
          <w:color w:val="auto"/>
          <w:highlight w:val="none"/>
        </w:rPr>
      </w:pPr>
      <w:bookmarkStart w:id="68"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8"/>
    </w:p>
    <w:p>
      <w:pPr>
        <w:pStyle w:val="4"/>
        <w:pageBreakBefore w:val="0"/>
        <w:kinsoku/>
        <w:wordWrap/>
        <w:overflowPunct/>
        <w:topLinePunct w:val="0"/>
        <w:bidi w:val="0"/>
        <w:spacing w:line="576" w:lineRule="exact"/>
        <w:rPr>
          <w:rFonts w:ascii="仿宋" w:hAnsi="仿宋" w:eastAsia="仿宋"/>
          <w:color w:val="auto"/>
          <w:highlight w:val="none"/>
        </w:rPr>
      </w:pPr>
      <w:bookmarkStart w:id="69" w:name="_Toc15396628"/>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69"/>
    </w:p>
    <w:p>
      <w:pPr>
        <w:pStyle w:val="4"/>
        <w:pageBreakBefore w:val="0"/>
        <w:kinsoku/>
        <w:wordWrap/>
        <w:overflowPunct/>
        <w:topLinePunct w:val="0"/>
        <w:bidi w:val="0"/>
        <w:spacing w:line="576" w:lineRule="exact"/>
        <w:rPr>
          <w:rFonts w:ascii="仿宋" w:hAnsi="仿宋" w:eastAsia="仿宋"/>
          <w:color w:val="auto"/>
          <w:highlight w:val="none"/>
        </w:rPr>
      </w:pPr>
      <w:bookmarkStart w:id="70" w:name="_Toc15396629"/>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70"/>
    </w:p>
    <w:p>
      <w:pPr>
        <w:pStyle w:val="4"/>
        <w:pageBreakBefore w:val="0"/>
        <w:kinsoku/>
        <w:wordWrap/>
        <w:overflowPunct/>
        <w:topLinePunct w:val="0"/>
        <w:bidi w:val="0"/>
        <w:spacing w:line="576" w:lineRule="exact"/>
        <w:rPr>
          <w:rFonts w:ascii="仿宋" w:hAnsi="仿宋" w:eastAsia="仿宋"/>
          <w:color w:val="auto"/>
          <w:highlight w:val="none"/>
        </w:rPr>
      </w:pPr>
      <w:bookmarkStart w:id="71" w:name="_Toc15396630"/>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71"/>
    </w:p>
    <w:p>
      <w:pPr>
        <w:pStyle w:val="4"/>
        <w:pageBreakBefore w:val="0"/>
        <w:kinsoku/>
        <w:wordWrap/>
        <w:overflowPunct/>
        <w:topLinePunct w:val="0"/>
        <w:bidi w:val="0"/>
        <w:spacing w:line="576" w:lineRule="exact"/>
        <w:rPr>
          <w:rStyle w:val="25"/>
          <w:rFonts w:hint="eastAsia" w:ascii="仿宋" w:hAnsi="仿宋" w:eastAsia="仿宋"/>
          <w:b w:val="0"/>
          <w:bCs w:val="0"/>
          <w:color w:val="auto"/>
          <w:highlight w:val="none"/>
        </w:rPr>
      </w:pPr>
      <w:bookmarkStart w:id="72" w:name="_Toc15396631"/>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72"/>
    </w:p>
    <w:p>
      <w:pPr>
        <w:pageBreakBefore w:val="0"/>
        <w:kinsoku/>
        <w:wordWrap/>
        <w:overflowPunct/>
        <w:topLinePunct w:val="0"/>
        <w:bidi w:val="0"/>
        <w:spacing w:line="576" w:lineRule="exact"/>
        <w:rPr>
          <w:rFonts w:hint="eastAsia" w:eastAsia="仿宋"/>
          <w:color w:val="auto"/>
          <w:highlight w:val="none"/>
          <w:lang w:eastAsia="zh-CN"/>
        </w:rPr>
      </w:pPr>
      <w:r>
        <w:rPr>
          <w:rStyle w:val="25"/>
          <w:rFonts w:hint="eastAsia" w:ascii="仿宋" w:hAnsi="仿宋" w:eastAsia="仿宋"/>
          <w:b w:val="0"/>
          <w:bCs w:val="0"/>
          <w:color w:val="auto"/>
          <w:highlight w:val="none"/>
          <w:lang w:eastAsia="zh-CN"/>
        </w:rPr>
        <w:t>十四、国有资本经营预算财政拨款支出决算表</w:t>
      </w:r>
    </w:p>
    <w:sectPr>
      <w:headerReference r:id="rId4" w:type="defaul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DD542"/>
    <w:multiLevelType w:val="singleLevel"/>
    <w:tmpl w:val="910DD542"/>
    <w:lvl w:ilvl="0" w:tentative="0">
      <w:start w:val="1"/>
      <w:numFmt w:val="chineseCounting"/>
      <w:suff w:val="nothing"/>
      <w:lvlText w:val="%1、"/>
      <w:lvlJc w:val="left"/>
      <w:rPr>
        <w:rFonts w:hint="eastAsia"/>
        <w:b/>
        <w:bCs/>
      </w:rPr>
    </w:lvl>
  </w:abstractNum>
  <w:abstractNum w:abstractNumId="1">
    <w:nsid w:val="9116F069"/>
    <w:multiLevelType w:val="singleLevel"/>
    <w:tmpl w:val="9116F069"/>
    <w:lvl w:ilvl="0" w:tentative="0">
      <w:start w:val="2"/>
      <w:numFmt w:val="chineseCounting"/>
      <w:suff w:val="nothing"/>
      <w:lvlText w:val="（%1）"/>
      <w:lvlJc w:val="left"/>
      <w:rPr>
        <w:rFonts w:hint="eastAsia"/>
      </w:rPr>
    </w:lvl>
  </w:abstractNum>
  <w:abstractNum w:abstractNumId="2">
    <w:nsid w:val="9D4D0426"/>
    <w:multiLevelType w:val="singleLevel"/>
    <w:tmpl w:val="9D4D0426"/>
    <w:lvl w:ilvl="0" w:tentative="0">
      <w:start w:val="2"/>
      <w:numFmt w:val="chineseCounting"/>
      <w:suff w:val="nothing"/>
      <w:lvlText w:val="（%1）"/>
      <w:lvlJc w:val="left"/>
      <w:rPr>
        <w:rFonts w:hint="eastAsia"/>
      </w:rPr>
    </w:lvl>
  </w:abstractNum>
  <w:abstractNum w:abstractNumId="3">
    <w:nsid w:val="A3B89C23"/>
    <w:multiLevelType w:val="singleLevel"/>
    <w:tmpl w:val="A3B89C23"/>
    <w:lvl w:ilvl="0" w:tentative="0">
      <w:start w:val="2"/>
      <w:numFmt w:val="chineseCounting"/>
      <w:suff w:val="nothing"/>
      <w:lvlText w:val="%1、"/>
      <w:lvlJc w:val="left"/>
      <w:rPr>
        <w:rFonts w:hint="eastAsia"/>
        <w:b/>
        <w:bCs/>
      </w:rPr>
    </w:lvl>
  </w:abstractNum>
  <w:abstractNum w:abstractNumId="4">
    <w:nsid w:val="B02AEABE"/>
    <w:multiLevelType w:val="singleLevel"/>
    <w:tmpl w:val="B02AEABE"/>
    <w:lvl w:ilvl="0" w:tentative="0">
      <w:start w:val="1"/>
      <w:numFmt w:val="chineseCounting"/>
      <w:suff w:val="nothing"/>
      <w:lvlText w:val="%1、"/>
      <w:lvlJc w:val="left"/>
      <w:rPr>
        <w:rFonts w:hint="eastAsia"/>
        <w:b/>
        <w:bCs/>
      </w:rPr>
    </w:lvl>
  </w:abstractNum>
  <w:abstractNum w:abstractNumId="5">
    <w:nsid w:val="C0449E69"/>
    <w:multiLevelType w:val="singleLevel"/>
    <w:tmpl w:val="C0449E69"/>
    <w:lvl w:ilvl="0" w:tentative="0">
      <w:start w:val="3"/>
      <w:numFmt w:val="chineseCounting"/>
      <w:suff w:val="nothing"/>
      <w:lvlText w:val="%1、"/>
      <w:lvlJc w:val="left"/>
      <w:rPr>
        <w:rFonts w:hint="eastAsia"/>
      </w:rPr>
    </w:lvl>
  </w:abstractNum>
  <w:abstractNum w:abstractNumId="6">
    <w:nsid w:val="CF652CEC"/>
    <w:multiLevelType w:val="singleLevel"/>
    <w:tmpl w:val="CF652CEC"/>
    <w:lvl w:ilvl="0" w:tentative="0">
      <w:start w:val="9"/>
      <w:numFmt w:val="chineseCounting"/>
      <w:suff w:val="nothing"/>
      <w:lvlText w:val="%1、"/>
      <w:lvlJc w:val="left"/>
      <w:rPr>
        <w:rFonts w:hint="eastAsia"/>
      </w:rPr>
    </w:lvl>
  </w:abstractNum>
  <w:abstractNum w:abstractNumId="7">
    <w:nsid w:val="E2FA047D"/>
    <w:multiLevelType w:val="singleLevel"/>
    <w:tmpl w:val="E2FA047D"/>
    <w:lvl w:ilvl="0" w:tentative="0">
      <w:start w:val="3"/>
      <w:numFmt w:val="chineseCounting"/>
      <w:suff w:val="space"/>
      <w:lvlText w:val="第%1部分"/>
      <w:lvlJc w:val="left"/>
      <w:rPr>
        <w:rFonts w:hint="eastAsia"/>
      </w:rPr>
    </w:lvl>
  </w:abstractNum>
  <w:abstractNum w:abstractNumId="8">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460067D3"/>
    <w:multiLevelType w:val="singleLevel"/>
    <w:tmpl w:val="460067D3"/>
    <w:lvl w:ilvl="0" w:tentative="0">
      <w:start w:val="3"/>
      <w:numFmt w:val="chineseCounting"/>
      <w:suff w:val="nothing"/>
      <w:lvlText w:val="%1、"/>
      <w:lvlJc w:val="left"/>
      <w:rPr>
        <w:rFonts w:hint="eastAsia"/>
        <w:b/>
        <w:bCs/>
      </w:rPr>
    </w:lvl>
  </w:abstractNum>
  <w:abstractNum w:abstractNumId="10">
    <w:nsid w:val="4A9B107B"/>
    <w:multiLevelType w:val="singleLevel"/>
    <w:tmpl w:val="4A9B107B"/>
    <w:lvl w:ilvl="0" w:tentative="0">
      <w:start w:val="2"/>
      <w:numFmt w:val="chineseCounting"/>
      <w:suff w:val="nothing"/>
      <w:lvlText w:val="%1、"/>
      <w:lvlJc w:val="left"/>
      <w:rPr>
        <w:rFonts w:hint="eastAsia"/>
      </w:rPr>
    </w:lvl>
  </w:abstractNum>
  <w:abstractNum w:abstractNumId="11">
    <w:nsid w:val="4D547EEA"/>
    <w:multiLevelType w:val="singleLevel"/>
    <w:tmpl w:val="4D547EEA"/>
    <w:lvl w:ilvl="0" w:tentative="0">
      <w:start w:val="2"/>
      <w:numFmt w:val="decimal"/>
      <w:suff w:val="nothing"/>
      <w:lvlText w:val="%1、"/>
      <w:lvlJc w:val="left"/>
    </w:lvl>
  </w:abstractNum>
  <w:abstractNum w:abstractNumId="12">
    <w:nsid w:val="65D4194B"/>
    <w:multiLevelType w:val="singleLevel"/>
    <w:tmpl w:val="65D4194B"/>
    <w:lvl w:ilvl="0" w:tentative="0">
      <w:start w:val="1"/>
      <w:numFmt w:val="chineseCounting"/>
      <w:suff w:val="nothing"/>
      <w:lvlText w:val="%1、"/>
      <w:lvlJc w:val="left"/>
      <w:rPr>
        <w:rFonts w:hint="eastAsia"/>
        <w:b/>
        <w:bCs/>
      </w:rPr>
    </w:lvl>
  </w:abstractNum>
  <w:abstractNum w:abstractNumId="13">
    <w:nsid w:val="6B763AC1"/>
    <w:multiLevelType w:val="singleLevel"/>
    <w:tmpl w:val="6B763AC1"/>
    <w:lvl w:ilvl="0" w:tentative="0">
      <w:start w:val="2"/>
      <w:numFmt w:val="chineseCounting"/>
      <w:suff w:val="nothing"/>
      <w:lvlText w:val="(%1）"/>
      <w:lvlJc w:val="left"/>
      <w:rPr>
        <w:rFonts w:hint="eastAsia"/>
      </w:rPr>
    </w:lvl>
  </w:abstractNum>
  <w:abstractNum w:abstractNumId="14">
    <w:nsid w:val="73547ABA"/>
    <w:multiLevelType w:val="singleLevel"/>
    <w:tmpl w:val="73547ABA"/>
    <w:lvl w:ilvl="0" w:tentative="0">
      <w:start w:val="3"/>
      <w:numFmt w:val="chineseCounting"/>
      <w:suff w:val="nothing"/>
      <w:lvlText w:val="%1、"/>
      <w:lvlJc w:val="left"/>
      <w:rPr>
        <w:rFonts w:hint="eastAsia"/>
      </w:rPr>
    </w:lvl>
  </w:abstractNum>
  <w:abstractNum w:abstractNumId="15">
    <w:nsid w:val="7D808E6E"/>
    <w:multiLevelType w:val="singleLevel"/>
    <w:tmpl w:val="7D808E6E"/>
    <w:lvl w:ilvl="0" w:tentative="0">
      <w:start w:val="2"/>
      <w:numFmt w:val="chineseCounting"/>
      <w:suff w:val="nothing"/>
      <w:lvlText w:val="（%1）"/>
      <w:lvlJc w:val="left"/>
      <w:rPr>
        <w:rFonts w:hint="eastAsia"/>
      </w:rPr>
    </w:lvl>
  </w:abstractNum>
  <w:num w:numId="1">
    <w:abstractNumId w:val="8"/>
  </w:num>
  <w:num w:numId="2">
    <w:abstractNumId w:val="6"/>
  </w:num>
  <w:num w:numId="3">
    <w:abstractNumId w:val="7"/>
  </w:num>
  <w:num w:numId="4">
    <w:abstractNumId w:val="13"/>
  </w:num>
  <w:num w:numId="5">
    <w:abstractNumId w:val="3"/>
  </w:num>
  <w:num w:numId="6">
    <w:abstractNumId w:val="14"/>
  </w:num>
  <w:num w:numId="7">
    <w:abstractNumId w:val="5"/>
  </w:num>
  <w:num w:numId="8">
    <w:abstractNumId w:val="9"/>
  </w:num>
  <w:num w:numId="9">
    <w:abstractNumId w:val="0"/>
  </w:num>
  <w:num w:numId="10">
    <w:abstractNumId w:val="4"/>
  </w:num>
  <w:num w:numId="11">
    <w:abstractNumId w:val="12"/>
  </w:num>
  <w:num w:numId="12">
    <w:abstractNumId w:val="10"/>
  </w:num>
  <w:num w:numId="13">
    <w:abstractNumId w:val="2"/>
  </w:num>
  <w:num w:numId="14">
    <w:abstractNumId w:val="1"/>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MjQ2NzE0MDhlOTAzZGY3MzA0Zjk4N2FkYjhiM2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E53A5"/>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6C134C"/>
    <w:rsid w:val="01E747D2"/>
    <w:rsid w:val="01F41213"/>
    <w:rsid w:val="01F77570"/>
    <w:rsid w:val="02226DE7"/>
    <w:rsid w:val="02F325CD"/>
    <w:rsid w:val="02F34ED4"/>
    <w:rsid w:val="02FF5FC4"/>
    <w:rsid w:val="0379240A"/>
    <w:rsid w:val="054022C8"/>
    <w:rsid w:val="05622C5A"/>
    <w:rsid w:val="05661647"/>
    <w:rsid w:val="05B83637"/>
    <w:rsid w:val="066E0107"/>
    <w:rsid w:val="06C8571F"/>
    <w:rsid w:val="06E51E4D"/>
    <w:rsid w:val="07996F6E"/>
    <w:rsid w:val="07E44909"/>
    <w:rsid w:val="0A2032A3"/>
    <w:rsid w:val="0A607363"/>
    <w:rsid w:val="0ADC3A6D"/>
    <w:rsid w:val="0CD86F38"/>
    <w:rsid w:val="0FC05ABE"/>
    <w:rsid w:val="101860EC"/>
    <w:rsid w:val="10BC6BB5"/>
    <w:rsid w:val="10C055FF"/>
    <w:rsid w:val="111676F8"/>
    <w:rsid w:val="115E0B93"/>
    <w:rsid w:val="118107EC"/>
    <w:rsid w:val="12C33AC5"/>
    <w:rsid w:val="1340747B"/>
    <w:rsid w:val="13D24B68"/>
    <w:rsid w:val="13D50BC4"/>
    <w:rsid w:val="13F976AF"/>
    <w:rsid w:val="14070C39"/>
    <w:rsid w:val="169E4696"/>
    <w:rsid w:val="16BB723D"/>
    <w:rsid w:val="179B30D6"/>
    <w:rsid w:val="18BE1FCB"/>
    <w:rsid w:val="19212A1A"/>
    <w:rsid w:val="195F4104"/>
    <w:rsid w:val="1B2453AC"/>
    <w:rsid w:val="1B923271"/>
    <w:rsid w:val="1BE8440E"/>
    <w:rsid w:val="1C745098"/>
    <w:rsid w:val="1D155CEE"/>
    <w:rsid w:val="1D395EDF"/>
    <w:rsid w:val="1D562F59"/>
    <w:rsid w:val="23403CCB"/>
    <w:rsid w:val="23860B96"/>
    <w:rsid w:val="23C3659F"/>
    <w:rsid w:val="240371BF"/>
    <w:rsid w:val="25E602E6"/>
    <w:rsid w:val="25F21E6F"/>
    <w:rsid w:val="271D619A"/>
    <w:rsid w:val="27361A9E"/>
    <w:rsid w:val="27D23622"/>
    <w:rsid w:val="27E26FA4"/>
    <w:rsid w:val="280E65D3"/>
    <w:rsid w:val="2814263E"/>
    <w:rsid w:val="29FD04D3"/>
    <w:rsid w:val="2A3F7165"/>
    <w:rsid w:val="2B242804"/>
    <w:rsid w:val="2B571819"/>
    <w:rsid w:val="2C8A61B5"/>
    <w:rsid w:val="2DF04E50"/>
    <w:rsid w:val="2E1A197C"/>
    <w:rsid w:val="2EAE73B9"/>
    <w:rsid w:val="30F2169A"/>
    <w:rsid w:val="319F7F4E"/>
    <w:rsid w:val="31D31B41"/>
    <w:rsid w:val="32112AC1"/>
    <w:rsid w:val="32170A33"/>
    <w:rsid w:val="3252202B"/>
    <w:rsid w:val="32932BD6"/>
    <w:rsid w:val="32A50F33"/>
    <w:rsid w:val="32ED7014"/>
    <w:rsid w:val="34F226A3"/>
    <w:rsid w:val="353C14F7"/>
    <w:rsid w:val="36AA5135"/>
    <w:rsid w:val="36AF2723"/>
    <w:rsid w:val="36D73939"/>
    <w:rsid w:val="36D8480D"/>
    <w:rsid w:val="372B34AE"/>
    <w:rsid w:val="37E16F03"/>
    <w:rsid w:val="37EF5A09"/>
    <w:rsid w:val="39A167A0"/>
    <w:rsid w:val="3A9610E1"/>
    <w:rsid w:val="3A997960"/>
    <w:rsid w:val="3BEC4ABF"/>
    <w:rsid w:val="3BF10314"/>
    <w:rsid w:val="3D421874"/>
    <w:rsid w:val="3D98207C"/>
    <w:rsid w:val="3DBF4A4F"/>
    <w:rsid w:val="3FBEFC6D"/>
    <w:rsid w:val="3FF22A5A"/>
    <w:rsid w:val="4061277B"/>
    <w:rsid w:val="40BA093B"/>
    <w:rsid w:val="410E3E35"/>
    <w:rsid w:val="425067CD"/>
    <w:rsid w:val="42C70660"/>
    <w:rsid w:val="43FD424B"/>
    <w:rsid w:val="440C7D39"/>
    <w:rsid w:val="44A14B19"/>
    <w:rsid w:val="44E268DA"/>
    <w:rsid w:val="46DA265E"/>
    <w:rsid w:val="47623728"/>
    <w:rsid w:val="47DF0117"/>
    <w:rsid w:val="488520C4"/>
    <w:rsid w:val="490A36DF"/>
    <w:rsid w:val="49707BAA"/>
    <w:rsid w:val="49B77AE0"/>
    <w:rsid w:val="49C71893"/>
    <w:rsid w:val="49D5105C"/>
    <w:rsid w:val="4A346ECD"/>
    <w:rsid w:val="4A560724"/>
    <w:rsid w:val="4A627F82"/>
    <w:rsid w:val="4AB12FBE"/>
    <w:rsid w:val="4AD73FE7"/>
    <w:rsid w:val="4B4A5BD5"/>
    <w:rsid w:val="4B4F25DA"/>
    <w:rsid w:val="4BE068DB"/>
    <w:rsid w:val="4C304D44"/>
    <w:rsid w:val="4D577224"/>
    <w:rsid w:val="4D636650"/>
    <w:rsid w:val="4E0B69DA"/>
    <w:rsid w:val="4EAB630A"/>
    <w:rsid w:val="4ECE2238"/>
    <w:rsid w:val="50EC093D"/>
    <w:rsid w:val="51A925A1"/>
    <w:rsid w:val="51FA2EFE"/>
    <w:rsid w:val="52D153BA"/>
    <w:rsid w:val="52D941BD"/>
    <w:rsid w:val="534C2BE5"/>
    <w:rsid w:val="54CF74A6"/>
    <w:rsid w:val="55404E47"/>
    <w:rsid w:val="55CC6156"/>
    <w:rsid w:val="55E15B65"/>
    <w:rsid w:val="566B231E"/>
    <w:rsid w:val="57BD4A5B"/>
    <w:rsid w:val="58FA5DED"/>
    <w:rsid w:val="5945561B"/>
    <w:rsid w:val="5AF92295"/>
    <w:rsid w:val="5B87592C"/>
    <w:rsid w:val="5CD71FC4"/>
    <w:rsid w:val="5D79270E"/>
    <w:rsid w:val="5E5E779A"/>
    <w:rsid w:val="5F2C785A"/>
    <w:rsid w:val="5FC229EE"/>
    <w:rsid w:val="5FF160F1"/>
    <w:rsid w:val="601D6507"/>
    <w:rsid w:val="60510994"/>
    <w:rsid w:val="61EF537D"/>
    <w:rsid w:val="621B0F45"/>
    <w:rsid w:val="63496D92"/>
    <w:rsid w:val="635F42CD"/>
    <w:rsid w:val="63CD4CE2"/>
    <w:rsid w:val="63F63329"/>
    <w:rsid w:val="6435052A"/>
    <w:rsid w:val="651320A8"/>
    <w:rsid w:val="66D409A1"/>
    <w:rsid w:val="677772D0"/>
    <w:rsid w:val="679B3910"/>
    <w:rsid w:val="67F55CD4"/>
    <w:rsid w:val="69D12417"/>
    <w:rsid w:val="69EA1BEA"/>
    <w:rsid w:val="6B4671A5"/>
    <w:rsid w:val="6B980FF3"/>
    <w:rsid w:val="6C4A05C8"/>
    <w:rsid w:val="6D3056A3"/>
    <w:rsid w:val="6D5C1B3A"/>
    <w:rsid w:val="6D725612"/>
    <w:rsid w:val="6DD5715E"/>
    <w:rsid w:val="6E607C9C"/>
    <w:rsid w:val="6E706050"/>
    <w:rsid w:val="6E7E3605"/>
    <w:rsid w:val="6F58167B"/>
    <w:rsid w:val="6F801E01"/>
    <w:rsid w:val="6F886CD6"/>
    <w:rsid w:val="6FF5CC65"/>
    <w:rsid w:val="70837CBA"/>
    <w:rsid w:val="70E36668"/>
    <w:rsid w:val="715C0E4B"/>
    <w:rsid w:val="71BA0EAB"/>
    <w:rsid w:val="722A671B"/>
    <w:rsid w:val="725755A3"/>
    <w:rsid w:val="72734D90"/>
    <w:rsid w:val="72816186"/>
    <w:rsid w:val="73AD73D5"/>
    <w:rsid w:val="73B6EB34"/>
    <w:rsid w:val="75B3067F"/>
    <w:rsid w:val="75C810ED"/>
    <w:rsid w:val="76C124D4"/>
    <w:rsid w:val="7801298E"/>
    <w:rsid w:val="787A3D0F"/>
    <w:rsid w:val="7967201E"/>
    <w:rsid w:val="79EE5BA4"/>
    <w:rsid w:val="7A894339"/>
    <w:rsid w:val="7AF24EBB"/>
    <w:rsid w:val="7E0C5521"/>
    <w:rsid w:val="7E492B50"/>
    <w:rsid w:val="7EEF11D3"/>
    <w:rsid w:val="7F574F68"/>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15"/>
    <w:basedOn w:val="13"/>
    <w:qFormat/>
    <w:uiPriority w:val="0"/>
    <w:rPr>
      <w:rFonts w:hint="default" w:ascii="Times New Roman" w:hAnsi="Times New Roman" w:cs="Times New Roman"/>
      <w:b/>
      <w:bCs/>
    </w:rPr>
  </w:style>
  <w:style w:type="paragraph" w:customStyle="1" w:styleId="31">
    <w:name w:val="四号正文"/>
    <w:basedOn w:val="1"/>
    <w:qFormat/>
    <w:uiPriority w:val="0"/>
    <w:pPr>
      <w:spacing w:line="360" w:lineRule="auto"/>
    </w:pPr>
    <w:rPr>
      <w:rFonts w:ascii="??" w:hAnsi="??" w:eastAsia="Times New Roman"/>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K:\&#24037;&#20250;\&#39044;&#31639;&#12289;&#20915;&#31639;\2019&#24180;&#24230;\2019&#20915;&#31639;&#20844;&#24320;\&#20915;&#31639;&#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K:\&#24037;&#20250;\&#39044;&#31639;&#12289;&#20915;&#31639;\2019&#24180;&#24230;\2019&#20915;&#31639;&#20844;&#24320;\&#20915;&#31639;&#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K:\&#24037;&#20250;\&#39044;&#31639;&#12289;&#20915;&#31639;\2019&#24180;&#24230;\2019&#20915;&#31639;&#20844;&#24320;\&#20915;&#31639;&#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K:\&#24037;&#20250;\&#39044;&#31639;&#12289;&#20915;&#31639;\2019&#24180;&#24230;\2019&#20915;&#31639;&#20844;&#24320;\&#20915;&#31639;&#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K:\&#24037;&#20250;\&#39044;&#31639;&#12289;&#20915;&#31639;\2019&#24180;&#24230;\2019&#20915;&#31639;&#20844;&#24320;\&#20915;&#31639;&#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K:\&#24037;&#20250;\&#39044;&#31639;&#12289;&#20915;&#31639;\2019&#24180;&#24230;\2019&#20915;&#31639;&#20844;&#24320;\&#20915;&#31639;&#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K:\&#24037;&#20250;\&#39044;&#31639;&#12289;&#20915;&#31639;\2019&#24180;&#24230;\2019&#20915;&#31639;&#20844;&#24320;\&#20915;&#31639;&#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2000" b="1">
                <a:latin typeface="+mn-ea"/>
              </a:rPr>
              <a:t>收、支决算总计变动情况图</a:t>
            </a:r>
            <a:endParaRPr sz="2000" b="1">
              <a:latin typeface="+mn-ea"/>
            </a:endParaRP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Lbl>
              <c:idx val="2"/>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2602.1</a:t>
                    </a:r>
                    <a:r>
                      <a:rPr lang="en-US" altLang="zh-CN"/>
                      <a:t>4</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multiLvlStrRef>
              <c:f>[决算图.xlsx]Sheet1!$A$3:$D$4</c:f>
              <c:multiLvlStrCache>
                <c:ptCount val="4"/>
                <c:lvl>
                  <c:pt idx="0">
                    <c:v>收入</c:v>
                  </c:pt>
                  <c:pt idx="1">
                    <c:v>支出</c:v>
                  </c:pt>
                  <c:pt idx="2">
                    <c:v>收入</c:v>
                  </c:pt>
                  <c:pt idx="3">
                    <c:v>支出</c:v>
                  </c:pt>
                </c:lvl>
                <c:lvl>
                  <c:pt idx="0">
                    <c:v>2020年</c:v>
                  </c:pt>
                  <c:pt idx="2">
                    <c:v>2021年</c:v>
                  </c:pt>
                </c:lvl>
              </c:multiLvlStrCache>
            </c:multiLvlStrRef>
          </c:cat>
          <c:val>
            <c:numRef>
              <c:f>[决算图.xlsx]Sheet1!$A$5:$D$5</c:f>
              <c:numCache>
                <c:formatCode>General</c:formatCode>
                <c:ptCount val="4"/>
                <c:pt idx="0">
                  <c:v>2543.52</c:v>
                </c:pt>
                <c:pt idx="1">
                  <c:v>1330.9</c:v>
                </c:pt>
                <c:pt idx="2">
                  <c:v>2602.13</c:v>
                </c:pt>
                <c:pt idx="3">
                  <c:v>2581.24</c:v>
                </c:pt>
              </c:numCache>
            </c:numRef>
          </c:val>
        </c:ser>
        <c:dLbls>
          <c:showLegendKey val="false"/>
          <c:showVal val="true"/>
          <c:showCatName val="false"/>
          <c:showSerName val="false"/>
          <c:showPercent val="false"/>
          <c:showBubbleSize val="false"/>
        </c:dLbls>
        <c:gapWidth val="219"/>
        <c:overlap val="-27"/>
        <c:axId val="763732949"/>
        <c:axId val="167925603"/>
      </c:barChart>
      <c:catAx>
        <c:axId val="763732949"/>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altLang="en-US"/>
                  <a:t>单位：万元</a:t>
                </a:r>
                <a:endParaRPr altLang="en-US"/>
              </a:p>
            </c:rich>
          </c:tx>
          <c:layout>
            <c:manualLayout>
              <c:xMode val="edge"/>
              <c:yMode val="edge"/>
              <c:x val="0.833152173913043"/>
              <c:y val="0.129209621993127"/>
            </c:manualLayout>
          </c:layout>
          <c:overlay val="false"/>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7925603"/>
        <c:crosses val="autoZero"/>
        <c:auto val="true"/>
        <c:lblAlgn val="ctr"/>
        <c:lblOffset val="100"/>
        <c:noMultiLvlLbl val="false"/>
      </c:catAx>
      <c:valAx>
        <c:axId val="16792560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63732949"/>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t>收入决算结构图</a:t>
            </a:r>
            <a:endParaRPr sz="1800" b="1"/>
          </a:p>
        </c:rich>
      </c:tx>
      <c:layout>
        <c:manualLayout>
          <c:xMode val="edge"/>
          <c:yMode val="edge"/>
          <c:x val="0.372942937722145"/>
          <c:y val="0.016283679784945"/>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dLbl>
              <c:idx val="0"/>
              <c:layout>
                <c:manualLayout>
                  <c:x val="-0.00125028427830567"/>
                  <c:y val="-0.0617411654590374"/>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828931420187203"/>
                  <c:y val="-0.0104787482490724"/>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817800151440057"/>
                  <c:y val="0.0170784680050145"/>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0231700640203099"/>
                  <c:y val="-0.0285299178390756"/>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108333567566771"/>
                  <c:y val="0.031933207901571"/>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5"/>
              <c:layout>
                <c:manualLayout>
                  <c:x val="0.100284690816787"/>
                  <c:y val="0.0506605546061248"/>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6"/>
              <c:layout>
                <c:manualLayout>
                  <c:x val="-0.0149830421456613"/>
                  <c:y val="-0.0335890531285434"/>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[决算图.xlsx]Sheet2!$A$2:$G$2</c:f>
              <c:strCache>
                <c:ptCount val="7"/>
                <c:pt idx="0">
                  <c:v>一般公共预算财政拨款</c:v>
                </c:pt>
                <c:pt idx="1">
                  <c:v>政府性基金预算财政拨款</c:v>
                </c:pt>
                <c:pt idx="2">
                  <c:v>上级补助</c:v>
                </c:pt>
                <c:pt idx="3">
                  <c:v>事业收入</c:v>
                </c:pt>
                <c:pt idx="4">
                  <c:v>经营收入</c:v>
                </c:pt>
                <c:pt idx="5">
                  <c:v>附属单位上缴收入</c:v>
                </c:pt>
                <c:pt idx="6">
                  <c:v>其他收入</c:v>
                </c:pt>
              </c:strCache>
            </c:strRef>
          </c:cat>
          <c:val>
            <c:numRef>
              <c:f>[决算图.xlsx]Sheet2!$A$3:$G$3</c:f>
              <c:numCache>
                <c:formatCode>General</c:formatCode>
                <c:ptCount val="7"/>
                <c:pt idx="0">
                  <c:v>1325.02</c:v>
                </c:pt>
                <c:pt idx="1">
                  <c:v>0</c:v>
                </c:pt>
                <c:pt idx="2">
                  <c:v>0</c:v>
                </c:pt>
                <c:pt idx="3">
                  <c:v>0</c:v>
                </c:pt>
                <c:pt idx="4">
                  <c:v>0</c:v>
                </c:pt>
                <c:pt idx="5">
                  <c:v>0</c:v>
                </c:pt>
                <c:pt idx="6">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t>支出决算结构图</a:t>
            </a:r>
            <a:endParaRPr sz="1800" b="1"/>
          </a:p>
        </c:rich>
      </c:tx>
      <c:layout>
        <c:manualLayout>
          <c:xMode val="edge"/>
          <c:yMode val="edge"/>
          <c:x val="0.315072302558398"/>
          <c:y val="0.0160839160839161"/>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Lbl>
              <c:idx val="0"/>
              <c:layout>
                <c:manualLayout>
                  <c:x val="0.075631733890288"/>
                  <c:y val="-0.0152901552184379"/>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888451891185972"/>
                  <c:y val="0.0193452609394237"/>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542271541087726"/>
                  <c:y val="0.00361072261013283"/>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130422456569759"/>
                  <c:y val="0.0478997668991771"/>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0461621673595255"/>
                  <c:y val="-0.00105128205187183"/>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[决算图.xlsx]Sheet3!$A$2:$E$2</c:f>
              <c:strCache>
                <c:ptCount val="5"/>
                <c:pt idx="0">
                  <c:v>基本支出</c:v>
                </c:pt>
                <c:pt idx="1">
                  <c:v>项目支出</c:v>
                </c:pt>
                <c:pt idx="2">
                  <c:v>上缴上级</c:v>
                </c:pt>
                <c:pt idx="3">
                  <c:v>经营支出</c:v>
                </c:pt>
                <c:pt idx="4">
                  <c:v>附属单位补助支出</c:v>
                </c:pt>
              </c:strCache>
            </c:strRef>
          </c:cat>
          <c:val>
            <c:numRef>
              <c:f>[决算图.xlsx]Sheet3!$A$3:$E$3</c:f>
              <c:numCache>
                <c:formatCode>General</c:formatCode>
                <c:ptCount val="5"/>
                <c:pt idx="0">
                  <c:v>510.73</c:v>
                </c:pt>
                <c:pt idx="1">
                  <c:v>2070.51</c:v>
                </c:pt>
                <c:pt idx="2">
                  <c:v>0</c:v>
                </c:pt>
                <c:pt idx="3">
                  <c:v>0</c:v>
                </c:pt>
                <c:pt idx="4">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t>财政拨款收、支决算总计变动情况</a:t>
            </a:r>
            <a:endParaRPr sz="1800" b="1"/>
          </a:p>
        </c:rich>
      </c:tx>
      <c:layout/>
      <c:overlay val="false"/>
      <c:spPr>
        <a:noFill/>
        <a:ln>
          <a:noFill/>
        </a:ln>
        <a:effectLst/>
      </c:spPr>
    </c:title>
    <c:autoTitleDeleted val="false"/>
    <c:plotArea>
      <c:layout/>
      <c:barChart>
        <c:barDir val="col"/>
        <c:grouping val="clustered"/>
        <c:varyColors val="false"/>
        <c:ser>
          <c:idx val="0"/>
          <c:order val="0"/>
          <c:tx>
            <c:strRef>
              <c:f>"单位：万元"</c:f>
              <c:strCache>
                <c:ptCount val="1"/>
                <c:pt idx="0">
                  <c:v>单位：万元</c:v>
                </c:pt>
              </c:strCache>
            </c:strRef>
          </c:tx>
          <c:spPr>
            <a:solidFill>
              <a:schemeClr val="accent1"/>
            </a:solidFill>
            <a:ln>
              <a:noFill/>
            </a:ln>
            <a:effectLst/>
          </c:spPr>
          <c:invertIfNegative val="false"/>
          <c:dLbls>
            <c:dLbl>
              <c:idx val="2"/>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2602.1</a:t>
                    </a:r>
                    <a:r>
                      <a:rPr lang="en-US" altLang="zh-CN"/>
                      <a:t>4</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multiLvlStrRef>
              <c:f>[决算图.xlsx]Sheet4!$A$2:$D$3</c:f>
              <c:multiLvlStrCache>
                <c:ptCount val="4"/>
                <c:lvl>
                  <c:pt idx="0">
                    <c:v>收入</c:v>
                  </c:pt>
                  <c:pt idx="1">
                    <c:v>支出</c:v>
                  </c:pt>
                  <c:pt idx="2">
                    <c:v>收入</c:v>
                  </c:pt>
                  <c:pt idx="3">
                    <c:v>支出</c:v>
                  </c:pt>
                </c:lvl>
                <c:lvl>
                  <c:pt idx="0">
                    <c:v>2020年</c:v>
                  </c:pt>
                  <c:pt idx="2">
                    <c:v>2021年</c:v>
                  </c:pt>
                </c:lvl>
              </c:multiLvlStrCache>
            </c:multiLvlStrRef>
          </c:cat>
          <c:val>
            <c:numRef>
              <c:f>[决算图.xlsx]Sheet4!$A$4:$D$4</c:f>
              <c:numCache>
                <c:formatCode>General</c:formatCode>
                <c:ptCount val="4"/>
                <c:pt idx="0">
                  <c:v>2543.52</c:v>
                </c:pt>
                <c:pt idx="1">
                  <c:v>1330.9</c:v>
                </c:pt>
                <c:pt idx="2">
                  <c:v>2602.13</c:v>
                </c:pt>
                <c:pt idx="3">
                  <c:v>2581.24</c:v>
                </c:pt>
              </c:numCache>
            </c:numRef>
          </c:val>
        </c:ser>
        <c:dLbls>
          <c:showLegendKey val="false"/>
          <c:showVal val="true"/>
          <c:showCatName val="false"/>
          <c:showSerName val="false"/>
          <c:showPercent val="false"/>
          <c:showBubbleSize val="false"/>
        </c:dLbls>
        <c:gapWidth val="219"/>
        <c:overlap val="-27"/>
        <c:axId val="328877021"/>
        <c:axId val="125449407"/>
      </c:barChart>
      <c:catAx>
        <c:axId val="328877021"/>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834287925696594"/>
              <c:y val="0.0743838028169014"/>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25449407"/>
        <c:crosses val="autoZero"/>
        <c:auto val="true"/>
        <c:lblAlgn val="ctr"/>
        <c:lblOffset val="100"/>
        <c:noMultiLvlLbl val="false"/>
      </c:catAx>
      <c:valAx>
        <c:axId val="12544940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28877021"/>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t>一般公共预算财政拨款支出决算</a:t>
            </a:r>
            <a:endParaRPr sz="1800" b="1"/>
          </a:p>
          <a:p>
            <a:pPr defTabSz="914400">
              <a:defRPr lang="zh-CN" sz="1400" b="0" i="0" u="none" strike="noStrike" kern="1200" spc="0" baseline="0">
                <a:solidFill>
                  <a:schemeClr val="tx1">
                    <a:lumMod val="65000"/>
                    <a:lumOff val="35000"/>
                  </a:schemeClr>
                </a:solidFill>
                <a:latin typeface="+mn-lt"/>
                <a:ea typeface="+mn-ea"/>
                <a:cs typeface="+mn-cs"/>
              </a:defRPr>
            </a:pPr>
            <a:r>
              <a:rPr sz="1800" b="1"/>
              <a:t>变动情况</a:t>
            </a:r>
            <a:endParaRPr sz="1800" b="1"/>
          </a:p>
        </c:rich>
      </c:tx>
      <c:layout>
        <c:manualLayout>
          <c:xMode val="edge"/>
          <c:yMode val="edge"/>
          <c:x val="0.135439881275246"/>
          <c:y val="0.00950871632329636"/>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[决算图.xlsx]Sheet5!$A$2:$B$2</c:f>
              <c:strCache>
                <c:ptCount val="2"/>
                <c:pt idx="0">
                  <c:v>2020年</c:v>
                </c:pt>
                <c:pt idx="1">
                  <c:v>2021年</c:v>
                </c:pt>
              </c:strCache>
            </c:strRef>
          </c:cat>
          <c:val>
            <c:numRef>
              <c:f>[决算图.xlsx]Sheet5!$A$3:$B$3</c:f>
              <c:numCache>
                <c:formatCode>General</c:formatCode>
                <c:ptCount val="2"/>
                <c:pt idx="0">
                  <c:v>1330.9</c:v>
                </c:pt>
                <c:pt idx="1">
                  <c:v>2581.24</c:v>
                </c:pt>
              </c:numCache>
            </c:numRef>
          </c:val>
        </c:ser>
        <c:dLbls>
          <c:showLegendKey val="false"/>
          <c:showVal val="true"/>
          <c:showCatName val="false"/>
          <c:showSerName val="false"/>
          <c:showPercent val="false"/>
          <c:showBubbleSize val="false"/>
        </c:dLbls>
        <c:gapWidth val="219"/>
        <c:overlap val="-27"/>
        <c:axId val="460263767"/>
        <c:axId val="650268838"/>
      </c:barChart>
      <c:catAx>
        <c:axId val="460263767"/>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853202022329893"/>
              <c:y val="0.1021409455843"/>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50268838"/>
        <c:crosses val="autoZero"/>
        <c:auto val="true"/>
        <c:lblAlgn val="ctr"/>
        <c:lblOffset val="100"/>
        <c:noMultiLvlLbl val="false"/>
      </c:catAx>
      <c:valAx>
        <c:axId val="65026883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6026376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t>一般公共预算财政拨款支出决算结构</a:t>
            </a:r>
            <a:endParaRPr sz="1600" b="1"/>
          </a:p>
        </c:rich>
      </c:tx>
      <c:layout>
        <c:manualLayout>
          <c:xMode val="edge"/>
          <c:yMode val="edge"/>
          <c:x val="0.210521077756781"/>
          <c:y val="0.00705218617771509"/>
        </c:manualLayout>
      </c:layout>
      <c:overlay val="false"/>
      <c:spPr>
        <a:noFill/>
        <a:ln>
          <a:noFill/>
        </a:ln>
        <a:effectLst/>
      </c:spPr>
    </c:title>
    <c:autoTitleDeleted val="false"/>
    <c:plotArea>
      <c:layout/>
      <c:pieChart>
        <c:varyColors val="true"/>
        <c:ser>
          <c:idx val="0"/>
          <c:order val="0"/>
          <c:tx>
            <c:strRef>
              <c:f>"单位：万元"</c:f>
              <c:strCache>
                <c:ptCount val="1"/>
                <c:pt idx="0">
                  <c:v>单位：万元</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Pt>
            <c:idx val="8"/>
            <c:bubble3D val="false"/>
            <c:spPr>
              <a:solidFill>
                <a:schemeClr val="accent3">
                  <a:lumMod val="60000"/>
                </a:schemeClr>
              </a:solidFill>
              <a:ln w="19050">
                <a:solidFill>
                  <a:schemeClr val="lt1"/>
                </a:solidFill>
              </a:ln>
              <a:effectLst/>
            </c:spPr>
          </c:dPt>
          <c:dLbls>
            <c:dLbl>
              <c:idx val="1"/>
              <c:layout>
                <c:manualLayout>
                  <c:x val="-0.125173232404246"/>
                  <c:y val="0.0937748681193581"/>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104036829185544"/>
                  <c:y val="-0.0290801219919753"/>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142102081303625"/>
                  <c:y val="0.0366545005085149"/>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119935859014534"/>
                  <c:y val="-0.0820202267242967"/>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5"/>
              <c:layout>
                <c:manualLayout>
                  <c:x val="-0.0225794727735935"/>
                  <c:y val="-0.0509175928556441"/>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6"/>
              <c:layout>
                <c:manualLayout>
                  <c:x val="0.0696170140373094"/>
                  <c:y val="-0.0315727332972619"/>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dLbl>
              <c:idx val="7"/>
              <c:layout>
                <c:manualLayout>
                  <c:x val="0.151241147731625"/>
                  <c:y val="0.0184213003465313"/>
                </c:manualLayout>
              </c:layout>
              <c:dLblPos val="bestFit"/>
              <c:showLegendKey val="true"/>
              <c:showVal val="fals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tru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[决算图.xlsx]Sheet6!$A$6:$I$6</c:f>
              <c:strCache>
                <c:ptCount val="9"/>
                <c:pt idx="0">
                  <c:v>一般公共服务（类）</c:v>
                </c:pt>
                <c:pt idx="1">
                  <c:v>教育支出（类）</c:v>
                </c:pt>
                <c:pt idx="2">
                  <c:v>科学技术（类）</c:v>
                </c:pt>
                <c:pt idx="3">
                  <c:v>文化旅游体育与传媒（类）</c:v>
                </c:pt>
                <c:pt idx="4">
                  <c:v>社会保障和就业（类）</c:v>
                </c:pt>
                <c:pt idx="5">
                  <c:v>卫生健康支出（类）</c:v>
                </c:pt>
                <c:pt idx="6">
                  <c:v>农林水（类）</c:v>
                </c:pt>
                <c:pt idx="7">
                  <c:v>住房保障（类）</c:v>
                </c:pt>
                <c:pt idx="8">
                  <c:v>粮油物资储备支出（类）</c:v>
                </c:pt>
              </c:strCache>
            </c:strRef>
          </c:cat>
          <c:val>
            <c:numRef>
              <c:f>[决算图.xlsx]Sheet6!$A$7:$I$7</c:f>
              <c:numCache>
                <c:formatCode>General</c:formatCode>
                <c:ptCount val="9"/>
                <c:pt idx="0">
                  <c:v>2533.44</c:v>
                </c:pt>
                <c:pt idx="1">
                  <c:v>0</c:v>
                </c:pt>
                <c:pt idx="2">
                  <c:v>0</c:v>
                </c:pt>
                <c:pt idx="3">
                  <c:v>0</c:v>
                </c:pt>
                <c:pt idx="4">
                  <c:v>13.05</c:v>
                </c:pt>
                <c:pt idx="5">
                  <c:v>7.35</c:v>
                </c:pt>
                <c:pt idx="6">
                  <c:v>3.19</c:v>
                </c:pt>
                <c:pt idx="7">
                  <c:v>10.22</c:v>
                </c:pt>
                <c:pt idx="8">
                  <c:v>14</c:v>
                </c:pt>
              </c:numCache>
            </c:numRef>
          </c:val>
        </c:ser>
        <c:dLbls>
          <c:showLegendKey val="tru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latin typeface="+mn-ea"/>
                <a:cs typeface="+mn-ea"/>
              </a:rPr>
              <a:t>“三公”经费财政拨款支出结构</a:t>
            </a:r>
            <a:endParaRPr sz="1800" b="1">
              <a:latin typeface="+mn-ea"/>
              <a:cs typeface="+mn-ea"/>
            </a:endParaRP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1"/>
              <c:layout>
                <c:manualLayout>
                  <c:x val="-0.0981753887316608"/>
                  <c:y val="0.0327029832425112"/>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115681482477037"/>
                  <c:y val="0.0399602592917139"/>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[决算图.xlsx]Sheet7!$A$4:$C$4</c:f>
              <c:strCache>
                <c:ptCount val="3"/>
                <c:pt idx="0">
                  <c:v>公务用车购置及运行维护费支出</c:v>
                </c:pt>
                <c:pt idx="1">
                  <c:v>因公出国（境）费支出</c:v>
                </c:pt>
                <c:pt idx="2">
                  <c:v>公务接待费支出</c:v>
                </c:pt>
              </c:strCache>
            </c:strRef>
          </c:cat>
          <c:val>
            <c:numRef>
              <c:f>[决算图.xlsx]Sheet7!$A$5:$C$5</c:f>
              <c:numCache>
                <c:formatCode>General</c:formatCode>
                <c:ptCount val="3"/>
                <c:pt idx="0">
                  <c:v>189.76</c:v>
                </c:pt>
                <c:pt idx="1">
                  <c:v>0</c:v>
                </c:pt>
                <c:pt idx="2">
                  <c:v>2</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manualLayout>
          <c:xMode val="edge"/>
          <c:yMode val="edge"/>
          <c:x val="0.588888888888889"/>
          <c:y val="0.379398148148148"/>
          <c:w val="0.394444444444444"/>
          <c:h val="0.35439814814814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73</Pages>
  <Words>28362</Words>
  <Characters>31257</Characters>
  <Lines>61</Lines>
  <Paragraphs>17</Paragraphs>
  <TotalTime>359</TotalTime>
  <ScaleCrop>false</ScaleCrop>
  <LinksUpToDate>false</LinksUpToDate>
  <CharactersWithSpaces>31868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2022-09-15T09:31:00Z</cp:lastPrinted>
  <dcterms:modified xsi:type="dcterms:W3CDTF">2024-05-31T08:53:35Z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2C8B2D493ACC43F39DA937A0C355147C</vt:lpwstr>
  </property>
</Properties>
</file>