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sz w:val="72"/>
          <w:szCs w:val="72"/>
        </w:rPr>
      </w:pPr>
      <w:bookmarkStart w:id="0" w:name="_Toc15306267"/>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bookmarkEnd w:id="0"/>
    <w:p>
      <w:pPr>
        <w:adjustRightInd w:val="0"/>
        <w:snapToGrid w:val="0"/>
        <w:spacing w:line="360" w:lineRule="auto"/>
        <w:jc w:val="center"/>
        <w:outlineLvl w:val="0"/>
        <w:rPr>
          <w:rFonts w:ascii="方正小标宋简体" w:hAnsi="宋体" w:eastAsia="方正小标宋简体"/>
          <w:sz w:val="72"/>
          <w:szCs w:val="72"/>
        </w:rPr>
      </w:pPr>
      <w:bookmarkStart w:id="1" w:name="_Toc15378441"/>
      <w:bookmarkStart w:id="2" w:name="_Toc15377193"/>
      <w:bookmarkStart w:id="3" w:name="_Toc15396475"/>
      <w:bookmarkStart w:id="4" w:name="_Toc15377425"/>
      <w:bookmarkStart w:id="5" w:name="_Toc15396597"/>
      <w:bookmarkStart w:id="6" w:name="_Toc19089858"/>
      <w:r>
        <w:rPr>
          <w:rFonts w:ascii="黑体" w:hAnsi="黑体" w:eastAsia="黑体"/>
          <w:sz w:val="72"/>
          <w:szCs w:val="72"/>
        </w:rPr>
        <w:t>20</w:t>
      </w:r>
      <w:r>
        <w:rPr>
          <w:rFonts w:hint="eastAsia" w:ascii="黑体" w:hAnsi="黑体" w:eastAsia="黑体"/>
          <w:sz w:val="72"/>
          <w:szCs w:val="72"/>
        </w:rPr>
        <w:t>20</w:t>
      </w:r>
      <w:r>
        <w:rPr>
          <w:rFonts w:hint="eastAsia" w:ascii="方正小标宋简体" w:hAnsi="宋体" w:eastAsia="方正小标宋简体"/>
          <w:sz w:val="72"/>
          <w:szCs w:val="72"/>
        </w:rPr>
        <w:t>年度</w:t>
      </w:r>
      <w:bookmarkEnd w:id="1"/>
      <w:bookmarkEnd w:id="2"/>
      <w:bookmarkEnd w:id="3"/>
      <w:bookmarkEnd w:id="4"/>
      <w:bookmarkEnd w:id="5"/>
      <w:bookmarkEnd w:id="6"/>
    </w:p>
    <w:p>
      <w:pPr>
        <w:adjustRightInd w:val="0"/>
        <w:snapToGrid w:val="0"/>
        <w:spacing w:line="360" w:lineRule="auto"/>
        <w:jc w:val="center"/>
        <w:outlineLvl w:val="0"/>
        <w:rPr>
          <w:rFonts w:ascii="方正小标宋简体" w:hAnsi="宋体" w:eastAsia="方正小标宋简体"/>
          <w:sz w:val="56"/>
          <w:szCs w:val="56"/>
        </w:rPr>
      </w:pPr>
      <w:bookmarkStart w:id="7" w:name="_Toc19089859"/>
      <w:bookmarkStart w:id="8" w:name="_Toc15378442"/>
      <w:bookmarkStart w:id="9" w:name="_Toc15396476"/>
      <w:bookmarkStart w:id="10" w:name="_Toc15396598"/>
      <w:bookmarkStart w:id="11" w:name="_Toc15377426"/>
      <w:bookmarkStart w:id="12" w:name="_Toc15377194"/>
      <w:r>
        <w:rPr>
          <w:rFonts w:hint="eastAsia" w:ascii="方正小标宋简体" w:hAnsi="宋体" w:eastAsia="方正小标宋简体"/>
          <w:sz w:val="56"/>
          <w:szCs w:val="56"/>
        </w:rPr>
        <w:t>四川省</w:t>
      </w:r>
      <w:bookmarkStart w:id="13" w:name="_Toc15306268"/>
      <w:r>
        <w:rPr>
          <w:rFonts w:hint="eastAsia" w:ascii="方正小标宋简体" w:hAnsi="宋体" w:eastAsia="方正小标宋简体"/>
          <w:sz w:val="56"/>
          <w:szCs w:val="56"/>
        </w:rPr>
        <w:t>广元市利州区教育局</w:t>
      </w:r>
      <w:bookmarkEnd w:id="7"/>
    </w:p>
    <w:p>
      <w:pPr>
        <w:adjustRightInd w:val="0"/>
        <w:snapToGrid w:val="0"/>
        <w:spacing w:line="360" w:lineRule="auto"/>
        <w:jc w:val="center"/>
        <w:outlineLvl w:val="0"/>
        <w:rPr>
          <w:rFonts w:ascii="方正小标宋简体" w:hAnsi="宋体" w:eastAsia="方正小标宋简体"/>
          <w:sz w:val="72"/>
          <w:szCs w:val="72"/>
        </w:rPr>
      </w:pPr>
      <w:bookmarkStart w:id="14" w:name="_Toc19089860"/>
      <w:r>
        <w:rPr>
          <w:rFonts w:hint="eastAsia" w:ascii="方正小标宋简体" w:hAnsi="宋体" w:eastAsia="方正小标宋简体"/>
          <w:sz w:val="72"/>
          <w:szCs w:val="72"/>
        </w:rPr>
        <w:t>部门决算</w:t>
      </w:r>
      <w:bookmarkEnd w:id="8"/>
      <w:bookmarkEnd w:id="9"/>
      <w:bookmarkEnd w:id="10"/>
      <w:bookmarkEnd w:id="11"/>
      <w:bookmarkEnd w:id="12"/>
      <w:bookmarkEnd w:id="13"/>
      <w:bookmarkEnd w:id="14"/>
      <w:bookmarkStart w:id="94" w:name="_GoBack"/>
      <w:bookmarkEnd w:id="94"/>
    </w:p>
    <w:p>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pPr>
        <w:widowControl/>
        <w:jc w:val="center"/>
        <w:rPr>
          <w:rFonts w:ascii="黑体" w:hAnsi="黑体" w:eastAsia="黑体"/>
          <w:sz w:val="48"/>
          <w:szCs w:val="48"/>
        </w:rPr>
      </w:pPr>
    </w:p>
    <w:p>
      <w:pPr>
        <w:widowControl/>
        <w:jc w:val="right"/>
        <w:rPr>
          <w:rFonts w:ascii="仿宋" w:hAnsi="仿宋" w:eastAsia="仿宋"/>
          <w:sz w:val="32"/>
          <w:szCs w:val="32"/>
        </w:rPr>
      </w:pPr>
      <w:r>
        <w:rPr>
          <w:rFonts w:hint="eastAsia" w:ascii="黑体" w:hAnsi="黑体" w:eastAsia="黑体"/>
          <w:sz w:val="32"/>
          <w:szCs w:val="32"/>
        </w:rPr>
        <w:t>第一部分 部门概况</w:t>
      </w:r>
      <w:r>
        <w:rPr>
          <w:rFonts w:hint="eastAsia" w:ascii="仿宋" w:hAnsi="仿宋" w:eastAsia="仿宋"/>
          <w:sz w:val="32"/>
          <w:szCs w:val="32"/>
        </w:rPr>
        <w:t>································5</w:t>
      </w:r>
    </w:p>
    <w:p>
      <w:pPr>
        <w:widowControl/>
        <w:ind w:firstLine="640" w:firstLineChars="200"/>
        <w:rPr>
          <w:rFonts w:ascii="仿宋" w:hAnsi="仿宋" w:eastAsia="仿宋"/>
          <w:sz w:val="32"/>
          <w:szCs w:val="32"/>
        </w:rPr>
      </w:pPr>
      <w:r>
        <w:rPr>
          <w:rFonts w:hint="eastAsia" w:ascii="仿宋" w:hAnsi="仿宋" w:eastAsia="仿宋"/>
          <w:sz w:val="32"/>
          <w:szCs w:val="32"/>
        </w:rPr>
        <w:t>一、基本职能及主要工作························5</w:t>
      </w:r>
    </w:p>
    <w:p>
      <w:pPr>
        <w:widowControl/>
        <w:ind w:firstLine="640" w:firstLineChars="200"/>
        <w:jc w:val="right"/>
        <w:rPr>
          <w:rFonts w:ascii="仿宋" w:hAnsi="仿宋" w:eastAsia="仿宋"/>
          <w:sz w:val="32"/>
          <w:szCs w:val="32"/>
        </w:rPr>
      </w:pPr>
      <w:r>
        <w:rPr>
          <w:rFonts w:hint="eastAsia" w:ascii="仿宋" w:hAnsi="仿宋" w:eastAsia="仿宋"/>
          <w:sz w:val="32"/>
          <w:szCs w:val="32"/>
        </w:rPr>
        <w:t>二、机构设置·································14</w:t>
      </w:r>
    </w:p>
    <w:p>
      <w:pPr>
        <w:widowControl/>
        <w:jc w:val="left"/>
        <w:rPr>
          <w:rFonts w:ascii="仿宋" w:hAnsi="仿宋" w:eastAsia="仿宋"/>
          <w:sz w:val="32"/>
          <w:szCs w:val="32"/>
        </w:rPr>
      </w:pPr>
      <w:r>
        <w:rPr>
          <w:rFonts w:hint="eastAsia" w:ascii="黑体" w:hAnsi="黑体" w:eastAsia="黑体"/>
          <w:sz w:val="32"/>
          <w:szCs w:val="32"/>
        </w:rPr>
        <w:t>第二部分 2020年度部门决算情况说明</w:t>
      </w:r>
      <w:r>
        <w:rPr>
          <w:rFonts w:hint="eastAsia" w:ascii="仿宋" w:hAnsi="仿宋" w:eastAsia="仿宋"/>
          <w:sz w:val="32"/>
          <w:szCs w:val="32"/>
        </w:rPr>
        <w:t>···············</w:t>
      </w:r>
      <w:r>
        <w:rPr>
          <w:rFonts w:hint="eastAsia" w:ascii="仿宋" w:hAnsi="仿宋" w:eastAsia="仿宋"/>
          <w:sz w:val="32"/>
          <w:szCs w:val="32"/>
        </w:rPr>
        <w:tab/>
      </w:r>
      <w:r>
        <w:rPr>
          <w:rFonts w:hint="eastAsia" w:ascii="仿宋" w:hAnsi="仿宋" w:eastAsia="仿宋"/>
          <w:sz w:val="32"/>
          <w:szCs w:val="32"/>
        </w:rPr>
        <w:t>18</w:t>
      </w:r>
    </w:p>
    <w:p>
      <w:pPr>
        <w:widowControl/>
        <w:ind w:firstLine="640" w:firstLineChars="200"/>
        <w:jc w:val="left"/>
        <w:rPr>
          <w:rFonts w:ascii="仿宋" w:hAnsi="仿宋" w:eastAsia="仿宋"/>
          <w:sz w:val="32"/>
          <w:szCs w:val="32"/>
        </w:rPr>
      </w:pPr>
      <w:r>
        <w:rPr>
          <w:rFonts w:hint="eastAsia" w:ascii="仿宋" w:hAnsi="仿宋" w:eastAsia="仿宋"/>
          <w:sz w:val="32"/>
          <w:szCs w:val="32"/>
        </w:rPr>
        <w:t>一、收入支出决算总体情况说明·················18</w:t>
      </w:r>
    </w:p>
    <w:p>
      <w:pPr>
        <w:widowControl/>
        <w:ind w:firstLine="640" w:firstLineChars="200"/>
        <w:jc w:val="left"/>
        <w:rPr>
          <w:rFonts w:ascii="仿宋" w:hAnsi="仿宋" w:eastAsia="仿宋"/>
          <w:sz w:val="32"/>
          <w:szCs w:val="32"/>
        </w:rPr>
      </w:pPr>
      <w:r>
        <w:rPr>
          <w:rFonts w:hint="eastAsia" w:ascii="仿宋" w:hAnsi="仿宋" w:eastAsia="仿宋"/>
          <w:sz w:val="32"/>
          <w:szCs w:val="32"/>
        </w:rPr>
        <w:t>二、收入决算情况说明·························18</w:t>
      </w:r>
    </w:p>
    <w:p>
      <w:pPr>
        <w:widowControl/>
        <w:ind w:firstLine="640" w:firstLineChars="200"/>
        <w:jc w:val="left"/>
        <w:rPr>
          <w:rFonts w:ascii="仿宋" w:hAnsi="仿宋" w:eastAsia="仿宋"/>
          <w:sz w:val="32"/>
          <w:szCs w:val="32"/>
        </w:rPr>
      </w:pPr>
      <w:r>
        <w:rPr>
          <w:rFonts w:hint="eastAsia" w:ascii="仿宋" w:hAnsi="仿宋" w:eastAsia="仿宋"/>
          <w:sz w:val="32"/>
          <w:szCs w:val="32"/>
        </w:rPr>
        <w:t>三、支出决算情况说明·························19</w:t>
      </w:r>
    </w:p>
    <w:p>
      <w:pPr>
        <w:widowControl/>
        <w:ind w:firstLine="640" w:firstLineChars="200"/>
        <w:jc w:val="left"/>
        <w:rPr>
          <w:rFonts w:ascii="仿宋" w:hAnsi="仿宋" w:eastAsia="仿宋"/>
          <w:sz w:val="32"/>
          <w:szCs w:val="32"/>
        </w:rPr>
      </w:pPr>
      <w:r>
        <w:rPr>
          <w:rFonts w:hint="eastAsia" w:ascii="仿宋" w:hAnsi="仿宋" w:eastAsia="仿宋"/>
          <w:sz w:val="32"/>
          <w:szCs w:val="32"/>
        </w:rPr>
        <w:t>四、财政拨款收入支出决算总体情况说明·········20</w:t>
      </w:r>
    </w:p>
    <w:p>
      <w:pPr>
        <w:widowControl/>
        <w:ind w:firstLine="640" w:firstLineChars="200"/>
        <w:jc w:val="left"/>
        <w:rPr>
          <w:rFonts w:ascii="仿宋" w:hAnsi="仿宋" w:eastAsia="仿宋"/>
          <w:sz w:val="32"/>
          <w:szCs w:val="32"/>
        </w:rPr>
      </w:pPr>
      <w:r>
        <w:rPr>
          <w:rFonts w:hint="eastAsia" w:ascii="仿宋" w:hAnsi="仿宋" w:eastAsia="仿宋"/>
          <w:sz w:val="32"/>
          <w:szCs w:val="32"/>
        </w:rPr>
        <w:t>五、一般公共预算财政拨款支出决算情况说明····</w:t>
      </w:r>
      <w:r>
        <w:rPr>
          <w:rFonts w:hint="eastAsia" w:ascii="仿宋" w:hAnsi="仿宋" w:eastAsia="仿宋"/>
          <w:sz w:val="32"/>
          <w:szCs w:val="32"/>
        </w:rPr>
        <w:tab/>
      </w:r>
      <w:r>
        <w:rPr>
          <w:rFonts w:hint="eastAsia" w:ascii="仿宋" w:hAnsi="仿宋" w:eastAsia="仿宋"/>
          <w:sz w:val="32"/>
          <w:szCs w:val="32"/>
        </w:rPr>
        <w:t>21</w:t>
      </w:r>
    </w:p>
    <w:p>
      <w:pPr>
        <w:widowControl/>
        <w:ind w:firstLine="640" w:firstLineChars="200"/>
        <w:jc w:val="left"/>
        <w:rPr>
          <w:rFonts w:hint="eastAsia" w:ascii="仿宋" w:hAnsi="仿宋" w:eastAsia="仿宋"/>
          <w:sz w:val="32"/>
          <w:szCs w:val="32"/>
          <w:lang w:eastAsia="zh-CN"/>
        </w:rPr>
      </w:pPr>
      <w:r>
        <w:rPr>
          <w:rFonts w:hint="eastAsia" w:ascii="仿宋" w:hAnsi="仿宋" w:eastAsia="仿宋"/>
          <w:sz w:val="32"/>
          <w:szCs w:val="32"/>
        </w:rPr>
        <w:t>六、一般公共预算财政拨款基本支出决算情况说明·2</w:t>
      </w:r>
      <w:r>
        <w:rPr>
          <w:rFonts w:hint="eastAsia" w:ascii="仿宋" w:hAnsi="仿宋" w:eastAsia="仿宋"/>
          <w:sz w:val="32"/>
          <w:szCs w:val="32"/>
          <w:lang w:val="en-US" w:eastAsia="zh-CN"/>
        </w:rPr>
        <w:t>9</w:t>
      </w:r>
    </w:p>
    <w:p>
      <w:pPr>
        <w:widowControl/>
        <w:ind w:firstLine="640" w:firstLineChars="200"/>
        <w:jc w:val="left"/>
        <w:rPr>
          <w:rFonts w:hint="default" w:ascii="仿宋" w:hAnsi="仿宋" w:eastAsia="仿宋"/>
          <w:sz w:val="32"/>
          <w:szCs w:val="32"/>
          <w:lang w:val="en-US" w:eastAsia="zh-CN"/>
        </w:rPr>
      </w:pPr>
      <w:r>
        <w:rPr>
          <w:rFonts w:hint="eastAsia" w:ascii="仿宋" w:hAnsi="仿宋" w:eastAsia="仿宋"/>
          <w:sz w:val="32"/>
          <w:szCs w:val="32"/>
        </w:rPr>
        <w:t>七、“三公”经费财政拨款支出决算情况说明······</w:t>
      </w:r>
      <w:r>
        <w:rPr>
          <w:rFonts w:hint="eastAsia" w:ascii="仿宋" w:hAnsi="仿宋" w:eastAsia="仿宋"/>
          <w:sz w:val="32"/>
          <w:szCs w:val="32"/>
          <w:lang w:val="en-US" w:eastAsia="zh-CN"/>
        </w:rPr>
        <w:t>30</w:t>
      </w:r>
    </w:p>
    <w:p>
      <w:pPr>
        <w:widowControl/>
        <w:ind w:firstLine="640" w:firstLineChars="200"/>
        <w:jc w:val="left"/>
        <w:rPr>
          <w:rFonts w:hint="eastAsia" w:ascii="仿宋" w:hAnsi="仿宋" w:eastAsia="仿宋"/>
          <w:sz w:val="32"/>
          <w:szCs w:val="32"/>
          <w:lang w:eastAsia="zh-CN"/>
        </w:rPr>
      </w:pPr>
      <w:r>
        <w:rPr>
          <w:rFonts w:hint="eastAsia" w:ascii="仿宋" w:hAnsi="仿宋" w:eastAsia="仿宋"/>
          <w:sz w:val="32"/>
          <w:szCs w:val="32"/>
        </w:rPr>
        <w:t>八、政府性基金预算支出决算情况说明···········3</w:t>
      </w:r>
      <w:r>
        <w:rPr>
          <w:rFonts w:hint="eastAsia" w:ascii="仿宋" w:hAnsi="仿宋" w:eastAsia="仿宋"/>
          <w:sz w:val="32"/>
          <w:szCs w:val="32"/>
          <w:lang w:val="en-US" w:eastAsia="zh-CN"/>
        </w:rPr>
        <w:t>2</w:t>
      </w:r>
    </w:p>
    <w:p>
      <w:pPr>
        <w:widowControl/>
        <w:ind w:firstLine="640" w:firstLineChars="200"/>
        <w:jc w:val="left"/>
        <w:rPr>
          <w:rFonts w:hint="eastAsia" w:ascii="仿宋" w:hAnsi="仿宋" w:eastAsia="仿宋"/>
          <w:sz w:val="32"/>
          <w:szCs w:val="32"/>
          <w:lang w:eastAsia="zh-CN"/>
        </w:rPr>
      </w:pPr>
      <w:r>
        <w:rPr>
          <w:rFonts w:hint="eastAsia" w:ascii="仿宋" w:hAnsi="仿宋" w:eastAsia="仿宋"/>
          <w:sz w:val="32"/>
          <w:szCs w:val="32"/>
        </w:rPr>
        <w:t>九、 国有资本经营预算支出决算情况说明········3</w:t>
      </w:r>
      <w:r>
        <w:rPr>
          <w:rFonts w:hint="eastAsia" w:ascii="仿宋" w:hAnsi="仿宋" w:eastAsia="仿宋"/>
          <w:sz w:val="32"/>
          <w:szCs w:val="32"/>
          <w:lang w:val="en-US" w:eastAsia="zh-CN"/>
        </w:rPr>
        <w:t>2</w:t>
      </w:r>
    </w:p>
    <w:p>
      <w:pPr>
        <w:widowControl/>
        <w:ind w:firstLine="640" w:firstLineChars="200"/>
        <w:jc w:val="left"/>
        <w:rPr>
          <w:rFonts w:hint="eastAsia" w:ascii="仿宋" w:hAnsi="仿宋" w:eastAsia="仿宋"/>
          <w:sz w:val="32"/>
          <w:szCs w:val="32"/>
          <w:lang w:eastAsia="zh-CN"/>
        </w:rPr>
      </w:pPr>
      <w:r>
        <w:rPr>
          <w:rFonts w:hint="eastAsia" w:ascii="仿宋" w:hAnsi="仿宋" w:eastAsia="仿宋"/>
          <w:sz w:val="32"/>
          <w:szCs w:val="32"/>
        </w:rPr>
        <w:t>十、预算绩效情况说明·························3</w:t>
      </w:r>
      <w:r>
        <w:rPr>
          <w:rFonts w:hint="eastAsia" w:ascii="仿宋" w:hAnsi="仿宋" w:eastAsia="仿宋"/>
          <w:sz w:val="32"/>
          <w:szCs w:val="32"/>
          <w:lang w:val="en-US" w:eastAsia="zh-CN"/>
        </w:rPr>
        <w:t>2</w:t>
      </w:r>
    </w:p>
    <w:p>
      <w:pPr>
        <w:widowControl/>
        <w:ind w:firstLine="640" w:firstLineChars="200"/>
        <w:jc w:val="left"/>
        <w:rPr>
          <w:rFonts w:hint="eastAsia" w:ascii="仿宋" w:hAnsi="仿宋" w:eastAsia="仿宋"/>
          <w:sz w:val="32"/>
          <w:szCs w:val="32"/>
          <w:lang w:eastAsia="zh-CN"/>
        </w:rPr>
      </w:pPr>
      <w:r>
        <w:rPr>
          <w:rFonts w:hint="eastAsia" w:ascii="仿宋" w:hAnsi="仿宋" w:eastAsia="仿宋"/>
          <w:sz w:val="32"/>
          <w:szCs w:val="32"/>
        </w:rPr>
        <w:t>十一、其他重要事项的情况说明·················3</w:t>
      </w:r>
      <w:r>
        <w:rPr>
          <w:rFonts w:hint="eastAsia" w:ascii="仿宋" w:hAnsi="仿宋" w:eastAsia="仿宋"/>
          <w:sz w:val="32"/>
          <w:szCs w:val="32"/>
          <w:lang w:val="en-US" w:eastAsia="zh-CN"/>
        </w:rPr>
        <w:t>5</w:t>
      </w:r>
    </w:p>
    <w:p>
      <w:pPr>
        <w:widowControl/>
        <w:jc w:val="left"/>
        <w:rPr>
          <w:rFonts w:hint="eastAsia" w:ascii="仿宋" w:hAnsi="仿宋" w:eastAsia="仿宋"/>
          <w:sz w:val="32"/>
          <w:szCs w:val="32"/>
          <w:lang w:eastAsia="zh-CN"/>
        </w:rPr>
      </w:pPr>
      <w:r>
        <w:rPr>
          <w:rFonts w:hint="eastAsia" w:ascii="黑体" w:hAnsi="黑体" w:eastAsia="黑体"/>
          <w:sz w:val="32"/>
          <w:szCs w:val="32"/>
        </w:rPr>
        <w:t>第三部分 名词解释·</w:t>
      </w:r>
      <w:r>
        <w:rPr>
          <w:rFonts w:hint="eastAsia" w:ascii="仿宋" w:hAnsi="仿宋" w:eastAsia="仿宋"/>
          <w:sz w:val="32"/>
          <w:szCs w:val="32"/>
        </w:rPr>
        <w:t>·······························3</w:t>
      </w:r>
      <w:r>
        <w:rPr>
          <w:rFonts w:hint="eastAsia" w:ascii="仿宋" w:hAnsi="仿宋" w:eastAsia="仿宋"/>
          <w:sz w:val="32"/>
          <w:szCs w:val="32"/>
          <w:lang w:val="en-US" w:eastAsia="zh-CN"/>
        </w:rPr>
        <w:t>7</w:t>
      </w:r>
    </w:p>
    <w:p>
      <w:pPr>
        <w:widowControl/>
        <w:jc w:val="left"/>
        <w:rPr>
          <w:rFonts w:hint="default" w:ascii="仿宋" w:hAnsi="仿宋" w:eastAsia="仿宋"/>
          <w:sz w:val="32"/>
          <w:szCs w:val="32"/>
          <w:lang w:val="en-US" w:eastAsia="zh-CN"/>
        </w:rPr>
      </w:pPr>
      <w:r>
        <w:rPr>
          <w:rFonts w:hint="eastAsia" w:ascii="黑体" w:hAnsi="黑体" w:eastAsia="黑体"/>
          <w:sz w:val="32"/>
          <w:szCs w:val="32"/>
        </w:rPr>
        <w:t>第四部分 附件</w:t>
      </w:r>
      <w:r>
        <w:rPr>
          <w:rFonts w:hint="eastAsia" w:ascii="黑体" w:hAnsi="黑体" w:eastAsia="黑体"/>
          <w:sz w:val="32"/>
          <w:szCs w:val="32"/>
        </w:rPr>
        <w:tab/>
      </w:r>
      <w:r>
        <w:rPr>
          <w:rFonts w:hint="eastAsia" w:ascii="仿宋" w:hAnsi="仿宋" w:eastAsia="仿宋"/>
          <w:sz w:val="32"/>
          <w:szCs w:val="32"/>
        </w:rPr>
        <w:t>····································</w:t>
      </w:r>
      <w:r>
        <w:rPr>
          <w:rFonts w:hint="eastAsia" w:ascii="仿宋" w:hAnsi="仿宋" w:eastAsia="仿宋"/>
          <w:sz w:val="32"/>
          <w:szCs w:val="32"/>
          <w:lang w:val="en-US" w:eastAsia="zh-CN"/>
        </w:rPr>
        <w:t>42</w:t>
      </w:r>
    </w:p>
    <w:p>
      <w:pPr>
        <w:widowControl/>
        <w:ind w:firstLine="640" w:firstLineChars="200"/>
        <w:jc w:val="left"/>
        <w:rPr>
          <w:rFonts w:hint="eastAsia" w:ascii="仿宋" w:hAnsi="仿宋" w:eastAsia="仿宋"/>
          <w:sz w:val="32"/>
          <w:szCs w:val="32"/>
          <w:lang w:eastAsia="zh-CN"/>
        </w:rPr>
      </w:pPr>
      <w:r>
        <w:rPr>
          <w:rFonts w:hint="eastAsia" w:ascii="仿宋" w:hAnsi="仿宋" w:eastAsia="仿宋"/>
          <w:sz w:val="32"/>
          <w:szCs w:val="32"/>
        </w:rPr>
        <w:t>附件1 2020年部门整体支出绩效评价报告········4</w:t>
      </w:r>
      <w:r>
        <w:rPr>
          <w:rFonts w:hint="eastAsia" w:ascii="仿宋" w:hAnsi="仿宋" w:eastAsia="仿宋"/>
          <w:sz w:val="32"/>
          <w:szCs w:val="32"/>
          <w:lang w:val="en-US" w:eastAsia="zh-CN"/>
        </w:rPr>
        <w:t>3</w:t>
      </w:r>
    </w:p>
    <w:p>
      <w:pPr>
        <w:widowControl/>
        <w:ind w:firstLine="640" w:firstLineChars="200"/>
        <w:jc w:val="left"/>
        <w:rPr>
          <w:rFonts w:hint="eastAsia" w:ascii="仿宋" w:hAnsi="仿宋" w:eastAsia="仿宋"/>
          <w:sz w:val="32"/>
          <w:szCs w:val="32"/>
          <w:lang w:eastAsia="zh-CN"/>
        </w:rPr>
      </w:pPr>
      <w:r>
        <w:rPr>
          <w:rFonts w:hint="eastAsia" w:ascii="仿宋" w:hAnsi="仿宋" w:eastAsia="仿宋"/>
          <w:sz w:val="32"/>
          <w:szCs w:val="32"/>
        </w:rPr>
        <w:t>附件2</w:t>
      </w:r>
      <w:r>
        <w:rPr>
          <w:rFonts w:hint="eastAsia" w:ascii="仿宋" w:hAnsi="仿宋" w:eastAsia="仿宋"/>
          <w:sz w:val="32"/>
          <w:szCs w:val="32"/>
        </w:rPr>
        <w:tab/>
      </w:r>
      <w:r>
        <w:rPr>
          <w:rFonts w:hint="eastAsia" w:ascii="仿宋" w:hAnsi="仿宋" w:eastAsia="仿宋"/>
          <w:sz w:val="32"/>
          <w:szCs w:val="32"/>
        </w:rPr>
        <w:t>2020年教育系统本（专）科建档立卡资助项目支出绩效评价报告·································4</w:t>
      </w:r>
      <w:r>
        <w:rPr>
          <w:rFonts w:hint="eastAsia" w:ascii="仿宋" w:hAnsi="仿宋" w:eastAsia="仿宋"/>
          <w:sz w:val="32"/>
          <w:szCs w:val="32"/>
          <w:lang w:val="en-US" w:eastAsia="zh-CN"/>
        </w:rPr>
        <w:t>9</w:t>
      </w:r>
    </w:p>
    <w:p>
      <w:pPr>
        <w:widowControl/>
        <w:ind w:firstLine="640" w:firstLineChars="200"/>
        <w:jc w:val="left"/>
        <w:rPr>
          <w:rFonts w:hint="eastAsia" w:ascii="仿宋" w:hAnsi="仿宋" w:eastAsia="仿宋"/>
          <w:sz w:val="32"/>
          <w:szCs w:val="32"/>
          <w:lang w:eastAsia="zh-CN"/>
        </w:rPr>
      </w:pPr>
      <w:r>
        <w:rPr>
          <w:rFonts w:hint="eastAsia" w:ascii="仿宋" w:hAnsi="仿宋" w:eastAsia="仿宋"/>
          <w:sz w:val="32"/>
          <w:szCs w:val="32"/>
        </w:rPr>
        <w:t>附件3</w:t>
      </w:r>
      <w:r>
        <w:rPr>
          <w:rFonts w:hint="eastAsia" w:ascii="仿宋" w:hAnsi="仿宋" w:eastAsia="仿宋"/>
          <w:sz w:val="32"/>
          <w:szCs w:val="32"/>
        </w:rPr>
        <w:tab/>
      </w:r>
      <w:r>
        <w:rPr>
          <w:rFonts w:hint="eastAsia" w:ascii="仿宋" w:hAnsi="仿宋" w:eastAsia="仿宋"/>
          <w:sz w:val="32"/>
          <w:szCs w:val="32"/>
        </w:rPr>
        <w:t>2020年教育系统中职建档立卡资助项目支出绩效评价报告·······································5</w:t>
      </w:r>
      <w:r>
        <w:rPr>
          <w:rFonts w:hint="eastAsia" w:ascii="仿宋" w:hAnsi="仿宋" w:eastAsia="仿宋"/>
          <w:sz w:val="32"/>
          <w:szCs w:val="32"/>
          <w:lang w:val="en-US" w:eastAsia="zh-CN"/>
        </w:rPr>
        <w:t>6</w:t>
      </w:r>
    </w:p>
    <w:p>
      <w:pPr>
        <w:widowControl/>
        <w:ind w:firstLine="640" w:firstLineChars="200"/>
        <w:jc w:val="left"/>
        <w:rPr>
          <w:rFonts w:hint="default" w:ascii="仿宋" w:hAnsi="仿宋" w:eastAsia="仿宋"/>
          <w:sz w:val="32"/>
          <w:szCs w:val="32"/>
          <w:lang w:val="en-US" w:eastAsia="zh-CN"/>
        </w:rPr>
      </w:pPr>
      <w:r>
        <w:rPr>
          <w:rFonts w:hint="eastAsia" w:ascii="仿宋" w:hAnsi="仿宋" w:eastAsia="仿宋"/>
          <w:sz w:val="32"/>
          <w:szCs w:val="32"/>
        </w:rPr>
        <w:t>附件4</w:t>
      </w:r>
      <w:r>
        <w:rPr>
          <w:rFonts w:hint="eastAsia" w:ascii="仿宋" w:hAnsi="仿宋" w:eastAsia="仿宋"/>
          <w:sz w:val="32"/>
          <w:szCs w:val="32"/>
        </w:rPr>
        <w:tab/>
      </w:r>
      <w:r>
        <w:rPr>
          <w:rFonts w:hint="eastAsia" w:ascii="仿宋" w:hAnsi="仿宋" w:eastAsia="仿宋"/>
          <w:sz w:val="32"/>
          <w:szCs w:val="32"/>
        </w:rPr>
        <w:t>2020年学生营养改善计划项目支出绩效评价报告···············································</w:t>
      </w:r>
      <w:r>
        <w:rPr>
          <w:rFonts w:hint="eastAsia" w:ascii="仿宋" w:hAnsi="仿宋" w:eastAsia="仿宋"/>
          <w:sz w:val="32"/>
          <w:szCs w:val="32"/>
          <w:lang w:val="en-US" w:eastAsia="zh-CN"/>
        </w:rPr>
        <w:t>63</w:t>
      </w:r>
    </w:p>
    <w:p>
      <w:pPr>
        <w:widowControl/>
        <w:ind w:firstLine="640" w:firstLineChars="200"/>
        <w:jc w:val="left"/>
        <w:rPr>
          <w:rFonts w:hint="default" w:ascii="仿宋" w:hAnsi="仿宋" w:eastAsia="仿宋"/>
          <w:sz w:val="32"/>
          <w:szCs w:val="32"/>
          <w:lang w:val="en-US" w:eastAsia="zh-CN"/>
        </w:rPr>
      </w:pPr>
      <w:r>
        <w:rPr>
          <w:rFonts w:hint="eastAsia" w:ascii="仿宋" w:hAnsi="仿宋" w:eastAsia="仿宋"/>
          <w:sz w:val="32"/>
          <w:szCs w:val="32"/>
        </w:rPr>
        <w:t>附件5</w:t>
      </w:r>
      <w:r>
        <w:rPr>
          <w:rFonts w:hint="eastAsia" w:ascii="仿宋" w:hAnsi="仿宋" w:eastAsia="仿宋"/>
          <w:sz w:val="32"/>
          <w:szCs w:val="32"/>
        </w:rPr>
        <w:tab/>
      </w:r>
      <w:r>
        <w:rPr>
          <w:rFonts w:hint="eastAsia" w:ascii="仿宋" w:hAnsi="仿宋" w:eastAsia="仿宋"/>
          <w:sz w:val="32"/>
          <w:szCs w:val="32"/>
        </w:rPr>
        <w:t>2020年川师大广元万达中学公用经费补助项目支出绩效评价报告·································</w:t>
      </w:r>
      <w:r>
        <w:rPr>
          <w:rFonts w:hint="eastAsia" w:ascii="仿宋" w:hAnsi="仿宋" w:eastAsia="仿宋"/>
          <w:sz w:val="32"/>
          <w:szCs w:val="32"/>
          <w:lang w:val="en-US" w:eastAsia="zh-CN"/>
        </w:rPr>
        <w:t>72</w:t>
      </w:r>
    </w:p>
    <w:p>
      <w:pPr>
        <w:widowControl/>
        <w:ind w:firstLine="640" w:firstLineChars="200"/>
        <w:jc w:val="left"/>
        <w:rPr>
          <w:rFonts w:hint="default" w:ascii="仿宋" w:hAnsi="仿宋" w:eastAsia="仿宋"/>
          <w:sz w:val="32"/>
          <w:szCs w:val="32"/>
          <w:lang w:val="en-US" w:eastAsia="zh-CN"/>
        </w:rPr>
      </w:pPr>
      <w:r>
        <w:rPr>
          <w:rFonts w:hint="eastAsia" w:ascii="仿宋" w:hAnsi="仿宋" w:eastAsia="仿宋"/>
          <w:sz w:val="32"/>
          <w:szCs w:val="32"/>
        </w:rPr>
        <w:t>附件6</w:t>
      </w:r>
      <w:r>
        <w:rPr>
          <w:rFonts w:hint="eastAsia" w:ascii="仿宋" w:hAnsi="仿宋" w:eastAsia="仿宋"/>
          <w:sz w:val="32"/>
          <w:szCs w:val="32"/>
        </w:rPr>
        <w:tab/>
      </w:r>
      <w:r>
        <w:rPr>
          <w:rFonts w:hint="eastAsia" w:ascii="仿宋" w:hAnsi="仿宋" w:eastAsia="仿宋"/>
          <w:sz w:val="32"/>
          <w:szCs w:val="32"/>
        </w:rPr>
        <w:t>2020年政府购买社工服务项目支出绩效评价报告···············································</w:t>
      </w:r>
      <w:r>
        <w:rPr>
          <w:rFonts w:hint="eastAsia" w:ascii="仿宋" w:hAnsi="仿宋" w:eastAsia="仿宋"/>
          <w:sz w:val="32"/>
          <w:szCs w:val="32"/>
          <w:lang w:val="en-US" w:eastAsia="zh-CN"/>
        </w:rPr>
        <w:t>81</w:t>
      </w:r>
    </w:p>
    <w:p>
      <w:pPr>
        <w:widowControl/>
        <w:jc w:val="left"/>
        <w:rPr>
          <w:rFonts w:hint="default" w:ascii="仿宋" w:hAnsi="仿宋" w:eastAsia="仿宋"/>
          <w:sz w:val="32"/>
          <w:szCs w:val="32"/>
          <w:lang w:val="en-US" w:eastAsia="zh-CN"/>
        </w:rPr>
      </w:pPr>
      <w:r>
        <w:rPr>
          <w:rFonts w:hint="eastAsia" w:ascii="黑体" w:hAnsi="黑体" w:eastAsia="黑体"/>
          <w:sz w:val="32"/>
          <w:szCs w:val="32"/>
        </w:rPr>
        <w:t>第五部分 附表</w:t>
      </w:r>
      <w:r>
        <w:rPr>
          <w:rFonts w:hint="eastAsia" w:ascii="仿宋" w:hAnsi="仿宋" w:eastAsia="仿宋"/>
          <w:sz w:val="32"/>
          <w:szCs w:val="32"/>
        </w:rPr>
        <w:tab/>
      </w:r>
      <w:r>
        <w:rPr>
          <w:rFonts w:hint="eastAsia" w:ascii="仿宋" w:hAnsi="仿宋" w:eastAsia="仿宋"/>
          <w:sz w:val="32"/>
          <w:szCs w:val="32"/>
        </w:rPr>
        <w:t>····································</w:t>
      </w:r>
      <w:r>
        <w:rPr>
          <w:rFonts w:hint="eastAsia" w:ascii="仿宋" w:hAnsi="仿宋" w:eastAsia="仿宋"/>
          <w:sz w:val="32"/>
          <w:szCs w:val="32"/>
          <w:lang w:val="en-US" w:eastAsia="zh-CN"/>
        </w:rPr>
        <w:t>89</w:t>
      </w:r>
    </w:p>
    <w:p>
      <w:pPr>
        <w:widowControl/>
        <w:ind w:firstLine="640" w:firstLineChars="200"/>
        <w:jc w:val="left"/>
        <w:rPr>
          <w:rFonts w:hint="default" w:ascii="仿宋" w:hAnsi="仿宋" w:eastAsia="仿宋"/>
          <w:sz w:val="32"/>
          <w:szCs w:val="32"/>
          <w:lang w:val="en-US" w:eastAsia="zh-CN"/>
        </w:rPr>
      </w:pPr>
      <w:r>
        <w:rPr>
          <w:rFonts w:hint="eastAsia" w:ascii="仿宋" w:hAnsi="仿宋" w:eastAsia="仿宋"/>
          <w:sz w:val="32"/>
          <w:szCs w:val="32"/>
        </w:rPr>
        <w:t>一、收入支出决算总表·························</w:t>
      </w:r>
      <w:r>
        <w:rPr>
          <w:rFonts w:hint="eastAsia" w:ascii="仿宋" w:hAnsi="仿宋" w:eastAsia="仿宋"/>
          <w:sz w:val="32"/>
          <w:szCs w:val="32"/>
          <w:lang w:val="en-US" w:eastAsia="zh-CN"/>
        </w:rPr>
        <w:t>90</w:t>
      </w:r>
    </w:p>
    <w:p>
      <w:pPr>
        <w:widowControl/>
        <w:ind w:firstLine="640" w:firstLineChars="200"/>
        <w:jc w:val="left"/>
        <w:rPr>
          <w:rFonts w:hint="default" w:ascii="仿宋" w:hAnsi="仿宋" w:eastAsia="仿宋"/>
          <w:sz w:val="32"/>
          <w:szCs w:val="32"/>
          <w:lang w:val="en-US" w:eastAsia="zh-CN"/>
        </w:rPr>
      </w:pPr>
      <w:r>
        <w:rPr>
          <w:rFonts w:hint="eastAsia" w:ascii="仿宋" w:hAnsi="仿宋" w:eastAsia="仿宋"/>
          <w:sz w:val="32"/>
          <w:szCs w:val="32"/>
        </w:rPr>
        <w:t>二、收入总表·································</w:t>
      </w:r>
      <w:r>
        <w:rPr>
          <w:rFonts w:hint="eastAsia" w:ascii="仿宋" w:hAnsi="仿宋" w:eastAsia="仿宋"/>
          <w:sz w:val="32"/>
          <w:szCs w:val="32"/>
          <w:lang w:val="en-US" w:eastAsia="zh-CN"/>
        </w:rPr>
        <w:t>91</w:t>
      </w:r>
    </w:p>
    <w:p>
      <w:pPr>
        <w:widowControl/>
        <w:ind w:firstLine="640" w:firstLineChars="200"/>
        <w:jc w:val="left"/>
        <w:rPr>
          <w:rFonts w:hint="default" w:ascii="仿宋" w:hAnsi="仿宋" w:eastAsia="仿宋"/>
          <w:sz w:val="32"/>
          <w:szCs w:val="32"/>
          <w:lang w:val="en-US" w:eastAsia="zh-CN"/>
        </w:rPr>
      </w:pPr>
      <w:r>
        <w:rPr>
          <w:rFonts w:hint="eastAsia" w:ascii="仿宋" w:hAnsi="仿宋" w:eastAsia="仿宋"/>
          <w:sz w:val="32"/>
          <w:szCs w:val="32"/>
        </w:rPr>
        <w:t>三、支出总表·································</w:t>
      </w:r>
      <w:r>
        <w:rPr>
          <w:rFonts w:hint="eastAsia" w:ascii="仿宋" w:hAnsi="仿宋" w:eastAsia="仿宋"/>
          <w:sz w:val="32"/>
          <w:szCs w:val="32"/>
          <w:lang w:val="en-US" w:eastAsia="zh-CN"/>
        </w:rPr>
        <w:t>92</w:t>
      </w:r>
    </w:p>
    <w:p>
      <w:pPr>
        <w:widowControl/>
        <w:ind w:firstLine="640" w:firstLineChars="200"/>
        <w:jc w:val="left"/>
        <w:rPr>
          <w:rFonts w:hint="eastAsia" w:ascii="仿宋" w:hAnsi="仿宋" w:eastAsia="仿宋"/>
          <w:sz w:val="32"/>
          <w:szCs w:val="32"/>
          <w:lang w:eastAsia="zh-CN"/>
        </w:rPr>
      </w:pPr>
      <w:r>
        <w:rPr>
          <w:rFonts w:hint="eastAsia" w:ascii="仿宋" w:hAnsi="仿宋" w:eastAsia="仿宋"/>
          <w:sz w:val="32"/>
          <w:szCs w:val="32"/>
        </w:rPr>
        <w:t>四、财政拨款收入支出决算总表·················9</w:t>
      </w:r>
      <w:r>
        <w:rPr>
          <w:rFonts w:hint="eastAsia" w:ascii="仿宋" w:hAnsi="仿宋" w:eastAsia="仿宋"/>
          <w:sz w:val="32"/>
          <w:szCs w:val="32"/>
          <w:lang w:val="en-US" w:eastAsia="zh-CN"/>
        </w:rPr>
        <w:t>3</w:t>
      </w:r>
    </w:p>
    <w:p>
      <w:pPr>
        <w:widowControl/>
        <w:ind w:firstLine="640" w:firstLineChars="200"/>
        <w:jc w:val="left"/>
        <w:rPr>
          <w:rFonts w:hint="eastAsia" w:ascii="仿宋" w:hAnsi="仿宋" w:eastAsia="仿宋"/>
          <w:sz w:val="32"/>
          <w:szCs w:val="32"/>
          <w:lang w:eastAsia="zh-CN"/>
        </w:rPr>
      </w:pPr>
      <w:r>
        <w:rPr>
          <w:rFonts w:hint="eastAsia" w:ascii="仿宋" w:hAnsi="仿宋" w:eastAsia="仿宋"/>
          <w:sz w:val="32"/>
          <w:szCs w:val="32"/>
        </w:rPr>
        <w:t>五、财政拨款支出决算明细表···················9</w:t>
      </w:r>
      <w:r>
        <w:rPr>
          <w:rFonts w:hint="eastAsia" w:ascii="仿宋" w:hAnsi="仿宋" w:eastAsia="仿宋"/>
          <w:sz w:val="32"/>
          <w:szCs w:val="32"/>
          <w:lang w:val="en-US" w:eastAsia="zh-CN"/>
        </w:rPr>
        <w:t>4</w:t>
      </w:r>
    </w:p>
    <w:p>
      <w:pPr>
        <w:widowControl/>
        <w:ind w:firstLine="640" w:firstLineChars="200"/>
        <w:jc w:val="left"/>
        <w:rPr>
          <w:rFonts w:hint="eastAsia" w:ascii="仿宋" w:hAnsi="仿宋" w:eastAsia="仿宋"/>
          <w:sz w:val="32"/>
          <w:szCs w:val="32"/>
          <w:lang w:eastAsia="zh-CN"/>
        </w:rPr>
      </w:pPr>
      <w:r>
        <w:rPr>
          <w:rFonts w:hint="eastAsia" w:ascii="仿宋" w:hAnsi="仿宋" w:eastAsia="仿宋"/>
          <w:sz w:val="32"/>
          <w:szCs w:val="32"/>
        </w:rPr>
        <w:t>六、一般公共预算财政拨款支出决算表···········9</w:t>
      </w:r>
      <w:r>
        <w:rPr>
          <w:rFonts w:hint="eastAsia" w:ascii="仿宋" w:hAnsi="仿宋" w:eastAsia="仿宋"/>
          <w:sz w:val="32"/>
          <w:szCs w:val="32"/>
          <w:lang w:val="en-US" w:eastAsia="zh-CN"/>
        </w:rPr>
        <w:t>5</w:t>
      </w:r>
    </w:p>
    <w:p>
      <w:pPr>
        <w:widowControl/>
        <w:ind w:firstLine="640" w:firstLineChars="200"/>
        <w:jc w:val="left"/>
        <w:rPr>
          <w:rFonts w:hint="eastAsia" w:ascii="仿宋" w:hAnsi="仿宋" w:eastAsia="仿宋"/>
          <w:sz w:val="32"/>
          <w:szCs w:val="32"/>
          <w:lang w:eastAsia="zh-CN"/>
        </w:rPr>
      </w:pPr>
      <w:r>
        <w:rPr>
          <w:rFonts w:hint="eastAsia" w:ascii="仿宋" w:hAnsi="仿宋" w:eastAsia="仿宋"/>
          <w:sz w:val="32"/>
          <w:szCs w:val="32"/>
        </w:rPr>
        <w:t>七、一般公共预算财政拨款支出决算明细表·······9</w:t>
      </w:r>
      <w:r>
        <w:rPr>
          <w:rFonts w:hint="eastAsia" w:ascii="仿宋" w:hAnsi="仿宋" w:eastAsia="仿宋"/>
          <w:sz w:val="32"/>
          <w:szCs w:val="32"/>
          <w:lang w:val="en-US" w:eastAsia="zh-CN"/>
        </w:rPr>
        <w:t>6</w:t>
      </w:r>
    </w:p>
    <w:p>
      <w:pPr>
        <w:widowControl/>
        <w:ind w:firstLine="640" w:firstLineChars="200"/>
        <w:jc w:val="left"/>
        <w:rPr>
          <w:rFonts w:hint="eastAsia" w:ascii="仿宋" w:hAnsi="仿宋" w:eastAsia="仿宋"/>
          <w:sz w:val="32"/>
          <w:szCs w:val="32"/>
          <w:lang w:eastAsia="zh-CN"/>
        </w:rPr>
      </w:pPr>
      <w:r>
        <w:rPr>
          <w:rFonts w:hint="eastAsia" w:ascii="仿宋" w:hAnsi="仿宋" w:eastAsia="仿宋"/>
          <w:sz w:val="32"/>
          <w:szCs w:val="32"/>
        </w:rPr>
        <w:t>八、一般公共预算财政拨款基本支出决算表·······9</w:t>
      </w:r>
      <w:r>
        <w:rPr>
          <w:rFonts w:hint="eastAsia" w:ascii="仿宋" w:hAnsi="仿宋" w:eastAsia="仿宋"/>
          <w:sz w:val="32"/>
          <w:szCs w:val="32"/>
          <w:lang w:val="en-US" w:eastAsia="zh-CN"/>
        </w:rPr>
        <w:t>7</w:t>
      </w:r>
    </w:p>
    <w:p>
      <w:pPr>
        <w:widowControl/>
        <w:ind w:firstLine="640" w:firstLineChars="200"/>
        <w:jc w:val="left"/>
        <w:rPr>
          <w:rFonts w:hint="eastAsia" w:ascii="仿宋" w:hAnsi="仿宋" w:eastAsia="仿宋"/>
          <w:sz w:val="32"/>
          <w:szCs w:val="32"/>
          <w:lang w:eastAsia="zh-CN"/>
        </w:rPr>
      </w:pPr>
      <w:r>
        <w:rPr>
          <w:rFonts w:hint="eastAsia" w:ascii="仿宋" w:hAnsi="仿宋" w:eastAsia="仿宋"/>
          <w:sz w:val="32"/>
          <w:szCs w:val="32"/>
        </w:rPr>
        <w:t>九、一般公共预算财政拨款项目支出决算表·······9</w:t>
      </w:r>
      <w:r>
        <w:rPr>
          <w:rFonts w:hint="eastAsia" w:ascii="仿宋" w:hAnsi="仿宋" w:eastAsia="仿宋"/>
          <w:sz w:val="32"/>
          <w:szCs w:val="32"/>
          <w:lang w:val="en-US" w:eastAsia="zh-CN"/>
        </w:rPr>
        <w:t>8</w:t>
      </w:r>
    </w:p>
    <w:p>
      <w:pPr>
        <w:widowControl/>
        <w:ind w:firstLine="640" w:firstLineChars="200"/>
        <w:jc w:val="left"/>
        <w:rPr>
          <w:rFonts w:ascii="仿宋" w:hAnsi="仿宋" w:eastAsia="仿宋"/>
          <w:sz w:val="32"/>
          <w:szCs w:val="32"/>
        </w:rPr>
      </w:pPr>
      <w:r>
        <w:rPr>
          <w:rFonts w:hint="eastAsia" w:ascii="仿宋" w:hAnsi="仿宋" w:eastAsia="仿宋"/>
          <w:sz w:val="32"/>
          <w:szCs w:val="32"/>
        </w:rPr>
        <w:t>十、一般公共预算财政拨款“三公”经费支出决算表··</w:t>
      </w:r>
    </w:p>
    <w:p>
      <w:pPr>
        <w:widowControl/>
        <w:ind w:firstLine="1280" w:firstLineChars="400"/>
        <w:jc w:val="left"/>
        <w:rPr>
          <w:rFonts w:hint="eastAsia" w:ascii="仿宋" w:hAnsi="仿宋" w:eastAsia="仿宋"/>
          <w:sz w:val="32"/>
          <w:szCs w:val="32"/>
          <w:lang w:eastAsia="zh-CN"/>
        </w:rPr>
      </w:pPr>
      <w:r>
        <w:rPr>
          <w:rFonts w:hint="eastAsia" w:ascii="仿宋" w:hAnsi="仿宋" w:eastAsia="仿宋"/>
          <w:sz w:val="32"/>
          <w:szCs w:val="32"/>
        </w:rPr>
        <w:t>·········································9</w:t>
      </w:r>
      <w:r>
        <w:rPr>
          <w:rFonts w:hint="eastAsia" w:ascii="仿宋" w:hAnsi="仿宋" w:eastAsia="仿宋"/>
          <w:sz w:val="32"/>
          <w:szCs w:val="32"/>
          <w:lang w:val="en-US" w:eastAsia="zh-CN"/>
        </w:rPr>
        <w:t>9</w:t>
      </w:r>
    </w:p>
    <w:p>
      <w:pPr>
        <w:widowControl/>
        <w:ind w:firstLine="640" w:firstLineChars="200"/>
        <w:jc w:val="left"/>
        <w:rPr>
          <w:rFonts w:hint="default" w:ascii="仿宋" w:hAnsi="仿宋" w:eastAsia="仿宋"/>
          <w:sz w:val="32"/>
          <w:szCs w:val="32"/>
          <w:lang w:val="en-US" w:eastAsia="zh-CN"/>
        </w:rPr>
      </w:pPr>
      <w:r>
        <w:rPr>
          <w:rFonts w:hint="eastAsia" w:ascii="仿宋" w:hAnsi="仿宋" w:eastAsia="仿宋"/>
          <w:sz w:val="32"/>
          <w:szCs w:val="32"/>
        </w:rPr>
        <w:t>十一、政府性基金预算财政拨款收入支出决算表···</w:t>
      </w:r>
      <w:r>
        <w:rPr>
          <w:rFonts w:hint="eastAsia" w:ascii="仿宋" w:hAnsi="仿宋" w:eastAsia="仿宋"/>
          <w:sz w:val="32"/>
          <w:szCs w:val="32"/>
          <w:lang w:val="en-US" w:eastAsia="zh-CN"/>
        </w:rPr>
        <w:t>100</w:t>
      </w:r>
    </w:p>
    <w:p>
      <w:pPr>
        <w:widowControl/>
        <w:ind w:firstLine="640" w:firstLineChars="200"/>
        <w:jc w:val="left"/>
        <w:rPr>
          <w:rFonts w:hint="default" w:ascii="仿宋" w:hAnsi="仿宋" w:eastAsia="仿宋"/>
          <w:sz w:val="32"/>
          <w:szCs w:val="32"/>
          <w:lang w:val="en-US" w:eastAsia="zh-CN"/>
        </w:rPr>
      </w:pPr>
      <w:r>
        <w:rPr>
          <w:rFonts w:hint="eastAsia" w:ascii="仿宋" w:hAnsi="仿宋" w:eastAsia="仿宋"/>
          <w:sz w:val="32"/>
          <w:szCs w:val="32"/>
        </w:rPr>
        <w:t>十二、政府性基金预算财政拨款“三公”经费支出决算表··············································</w:t>
      </w:r>
      <w:r>
        <w:rPr>
          <w:rFonts w:hint="eastAsia" w:ascii="仿宋" w:hAnsi="仿宋" w:eastAsia="仿宋"/>
          <w:sz w:val="32"/>
          <w:szCs w:val="32"/>
          <w:lang w:val="en-US" w:eastAsia="zh-CN"/>
        </w:rPr>
        <w:t>101</w:t>
      </w:r>
    </w:p>
    <w:p>
      <w:pPr>
        <w:widowControl/>
        <w:ind w:firstLine="640" w:firstLineChars="200"/>
        <w:jc w:val="left"/>
        <w:rPr>
          <w:rFonts w:hint="default" w:ascii="仿宋" w:hAnsi="仿宋" w:eastAsia="仿宋"/>
          <w:sz w:val="32"/>
          <w:szCs w:val="32"/>
          <w:lang w:val="en-US" w:eastAsia="zh-CN"/>
        </w:rPr>
      </w:pPr>
      <w:r>
        <w:rPr>
          <w:rFonts w:hint="eastAsia" w:ascii="仿宋" w:hAnsi="仿宋" w:eastAsia="仿宋"/>
          <w:sz w:val="32"/>
          <w:szCs w:val="32"/>
        </w:rPr>
        <w:t>十三、国有资本经营预算财政拨款收入支出决算表·</w:t>
      </w:r>
      <w:r>
        <w:rPr>
          <w:rFonts w:hint="eastAsia" w:ascii="仿宋" w:hAnsi="仿宋" w:eastAsia="仿宋"/>
          <w:sz w:val="32"/>
          <w:szCs w:val="32"/>
          <w:lang w:val="en-US" w:eastAsia="zh-CN"/>
        </w:rPr>
        <w:t>102</w:t>
      </w:r>
    </w:p>
    <w:p>
      <w:pPr>
        <w:widowControl/>
        <w:ind w:firstLine="640" w:firstLineChars="200"/>
        <w:jc w:val="left"/>
        <w:rPr>
          <w:rFonts w:hint="default" w:ascii="仿宋" w:hAnsi="仿宋" w:eastAsia="仿宋"/>
          <w:sz w:val="32"/>
          <w:szCs w:val="32"/>
          <w:lang w:val="en-US" w:eastAsia="zh-CN"/>
        </w:rPr>
      </w:pPr>
      <w:r>
        <w:rPr>
          <w:rFonts w:hint="eastAsia" w:ascii="仿宋" w:hAnsi="仿宋" w:eastAsia="仿宋"/>
          <w:sz w:val="32"/>
          <w:szCs w:val="32"/>
          <w:lang w:val="en-US" w:eastAsia="zh-CN"/>
        </w:rPr>
        <w:t>十四、</w:t>
      </w:r>
      <w:r>
        <w:rPr>
          <w:rFonts w:hint="eastAsia" w:ascii="仿宋" w:hAnsi="仿宋" w:eastAsia="仿宋"/>
          <w:sz w:val="32"/>
          <w:szCs w:val="32"/>
        </w:rPr>
        <w:t>国有资本经营预算支出决算表·············</w:t>
      </w:r>
      <w:r>
        <w:rPr>
          <w:rFonts w:hint="eastAsia" w:ascii="仿宋" w:hAnsi="仿宋" w:eastAsia="仿宋"/>
          <w:sz w:val="32"/>
          <w:szCs w:val="32"/>
          <w:lang w:val="en-US" w:eastAsia="zh-CN"/>
        </w:rPr>
        <w:t>103</w:t>
      </w:r>
    </w:p>
    <w:p>
      <w:pPr>
        <w:widowControl/>
        <w:jc w:val="center"/>
        <w:rPr>
          <w:rFonts w:ascii="黑体" w:hAnsi="黑体" w:eastAsia="黑体"/>
          <w:sz w:val="48"/>
          <w:szCs w:val="48"/>
        </w:rPr>
      </w:pPr>
    </w:p>
    <w:p>
      <w:pPr>
        <w:widowControl/>
        <w:jc w:val="center"/>
        <w:rPr>
          <w:rFonts w:ascii="黑体" w:hAnsi="黑体" w:eastAsia="黑体"/>
          <w:sz w:val="48"/>
          <w:szCs w:val="48"/>
        </w:rPr>
      </w:pPr>
      <w:r>
        <w:rPr>
          <w:rFonts w:ascii="黑体" w:hAnsi="黑体" w:eastAsia="黑体"/>
          <w:sz w:val="48"/>
          <w:szCs w:val="48"/>
        </w:rPr>
        <w:t> </w:t>
      </w:r>
    </w:p>
    <w:p>
      <w:pPr>
        <w:widowControl/>
        <w:jc w:val="left"/>
        <w:rPr>
          <w:rFonts w:ascii="黑体" w:hAnsi="黑体" w:eastAsia="黑体"/>
          <w:sz w:val="48"/>
          <w:szCs w:val="48"/>
        </w:rPr>
      </w:pPr>
      <w:r>
        <w:rPr>
          <w:rFonts w:ascii="黑体" w:hAnsi="黑体" w:eastAsia="黑体"/>
          <w:sz w:val="48"/>
          <w:szCs w:val="48"/>
        </w:rPr>
        <w:br w:type="page"/>
      </w:r>
    </w:p>
    <w:p>
      <w:pPr>
        <w:widowControl/>
        <w:jc w:val="center"/>
        <w:rPr>
          <w:rFonts w:ascii="黑体" w:hAnsi="黑体" w:eastAsia="黑体"/>
          <w:sz w:val="48"/>
          <w:szCs w:val="48"/>
        </w:rPr>
      </w:pPr>
    </w:p>
    <w:p>
      <w:pPr>
        <w:pStyle w:val="2"/>
        <w:jc w:val="center"/>
        <w:rPr>
          <w:rFonts w:ascii="黑体" w:hAnsi="黑体" w:eastAsia="黑体"/>
          <w:bCs w:val="0"/>
        </w:rPr>
      </w:pPr>
      <w:bookmarkStart w:id="15" w:name="_Toc19089861"/>
      <w:bookmarkStart w:id="16" w:name="_Toc15377196"/>
      <w:r>
        <w:rPr>
          <w:rFonts w:hint="eastAsia" w:ascii="黑体" w:hAnsi="黑体" w:eastAsia="黑体"/>
          <w:b w:val="0"/>
        </w:rPr>
        <w:t xml:space="preserve">第一部分 </w:t>
      </w:r>
      <w:r>
        <w:rPr>
          <w:rStyle w:val="24"/>
          <w:rFonts w:hint="eastAsia" w:ascii="黑体" w:hAnsi="黑体" w:eastAsia="黑体"/>
          <w:b w:val="0"/>
          <w:bCs w:val="0"/>
        </w:rPr>
        <w:t>部门概况</w:t>
      </w:r>
      <w:bookmarkEnd w:id="15"/>
      <w:bookmarkEnd w:id="16"/>
    </w:p>
    <w:p>
      <w:pPr>
        <w:pStyle w:val="3"/>
        <w:rPr>
          <w:rStyle w:val="25"/>
          <w:rFonts w:ascii="仿宋" w:hAnsi="仿宋" w:eastAsia="仿宋"/>
          <w:b w:val="0"/>
          <w:bCs w:val="0"/>
        </w:rPr>
      </w:pPr>
      <w:bookmarkStart w:id="17" w:name="_Toc19089862"/>
      <w:bookmarkStart w:id="18" w:name="_Toc15377197"/>
      <w:r>
        <w:rPr>
          <w:rFonts w:hint="eastAsia" w:ascii="黑体" w:hAnsi="黑体" w:eastAsia="黑体"/>
          <w:b w:val="0"/>
        </w:rPr>
        <w:t>一、基</w:t>
      </w:r>
      <w:r>
        <w:rPr>
          <w:rStyle w:val="25"/>
          <w:rFonts w:hint="eastAsia" w:ascii="黑体" w:hAnsi="黑体" w:eastAsia="黑体"/>
          <w:b w:val="0"/>
          <w:bCs w:val="0"/>
        </w:rPr>
        <w:t>本职能及主要工作</w:t>
      </w:r>
      <w:bookmarkEnd w:id="17"/>
      <w:bookmarkEnd w:id="18"/>
    </w:p>
    <w:p>
      <w:pPr>
        <w:spacing w:line="600" w:lineRule="exact"/>
        <w:ind w:firstLine="640" w:firstLineChars="200"/>
        <w:rPr>
          <w:bCs/>
          <w:sz w:val="32"/>
          <w:szCs w:val="32"/>
        </w:rPr>
      </w:pPr>
      <w:bookmarkStart w:id="19" w:name="_Toc15378445"/>
      <w:bookmarkStart w:id="20" w:name="_Toc15377198"/>
      <w:bookmarkStart w:id="21" w:name="_Toc15377204"/>
      <w:r>
        <w:rPr>
          <w:rFonts w:hint="eastAsia" w:ascii="仿宋" w:hAnsi="仿宋" w:eastAsia="仿宋"/>
          <w:bCs/>
          <w:sz w:val="32"/>
          <w:szCs w:val="32"/>
        </w:rPr>
        <w:t>（一）主要职能</w:t>
      </w:r>
      <w:bookmarkEnd w:id="19"/>
      <w:bookmarkEnd w:id="20"/>
      <w:bookmarkStart w:id="22" w:name="_Toc15378446"/>
      <w:bookmarkStart w:id="23" w:name="_Toc15377199"/>
    </w:p>
    <w:p>
      <w:pPr>
        <w:snapToGrid w:val="0"/>
        <w:spacing w:line="576" w:lineRule="exact"/>
        <w:ind w:firstLine="640" w:firstLineChars="20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贯彻执行党和国家关于教育改革和发展的各项方针、政策，拟订全区教育事业发展规划和有关教育的规范性文件并组织实施；指导协调全区学校的教育、教学体制改革。</w:t>
      </w:r>
    </w:p>
    <w:p>
      <w:pPr>
        <w:snapToGrid w:val="0"/>
        <w:spacing w:line="576" w:lineRule="exact"/>
        <w:ind w:firstLine="640" w:firstLineChars="200"/>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负责教育系统教育经费的统筹管理，参与拟订筹措教育经费、教育拨款、教育基建投资办法和方案；监督教育经费的筹措和使用；宣传贯彻执行国家和省市有关学生资助工作方针和政策，统筹管理全区贫困家庭学生资助工作。</w:t>
      </w:r>
    </w:p>
    <w:p>
      <w:pPr>
        <w:snapToGrid w:val="0"/>
        <w:spacing w:line="576" w:lineRule="exact"/>
        <w:ind w:firstLine="640" w:firstLineChars="200"/>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负责推进义务教育均衡发展和促进教育公平，负责义务教育的宏观指导与协调；指导普通高中教育、幼儿教育、特殊教育工作，全面实施素质教育；督促检查全区各类学校的办学标准、教学基本要求、教学基本条件的落实情况。</w:t>
      </w:r>
    </w:p>
    <w:p>
      <w:pPr>
        <w:snapToGrid w:val="0"/>
        <w:spacing w:line="576" w:lineRule="exact"/>
        <w:ind w:firstLine="640" w:firstLineChars="200"/>
        <w:rPr>
          <w:rFonts w:ascii="仿宋" w:hAnsi="仿宋" w:eastAsia="仿宋"/>
          <w:sz w:val="32"/>
          <w:szCs w:val="32"/>
        </w:rPr>
      </w:pPr>
      <w:r>
        <w:rPr>
          <w:rFonts w:hint="eastAsia" w:ascii="仿宋" w:hAnsi="仿宋" w:eastAsia="仿宋"/>
          <w:sz w:val="32"/>
          <w:szCs w:val="32"/>
        </w:rPr>
        <w:t>4．</w:t>
      </w:r>
      <w:r>
        <w:rPr>
          <w:rFonts w:ascii="仿宋" w:hAnsi="仿宋" w:eastAsia="仿宋"/>
          <w:sz w:val="32"/>
          <w:szCs w:val="32"/>
        </w:rPr>
        <w:t xml:space="preserve">指导全区的教育督导工作；组织指导对基础教育发展水平、质量的监测工作。 </w:t>
      </w:r>
    </w:p>
    <w:p>
      <w:pPr>
        <w:snapToGrid w:val="0"/>
        <w:spacing w:line="576" w:lineRule="exact"/>
        <w:ind w:firstLine="640" w:firstLineChars="200"/>
        <w:rPr>
          <w:rFonts w:ascii="仿宋" w:hAnsi="仿宋" w:eastAsia="仿宋"/>
          <w:sz w:val="32"/>
          <w:szCs w:val="32"/>
        </w:rPr>
      </w:pPr>
      <w:r>
        <w:rPr>
          <w:rFonts w:hint="eastAsia" w:ascii="仿宋" w:hAnsi="仿宋" w:eastAsia="仿宋"/>
          <w:sz w:val="32"/>
          <w:szCs w:val="32"/>
        </w:rPr>
        <w:t>5．</w:t>
      </w:r>
      <w:r>
        <w:rPr>
          <w:rFonts w:ascii="仿宋" w:hAnsi="仿宋" w:eastAsia="仿宋"/>
          <w:sz w:val="32"/>
          <w:szCs w:val="32"/>
        </w:rPr>
        <w:t>统筹管理和协调全区社会力量办学的教育工作。</w:t>
      </w:r>
    </w:p>
    <w:p>
      <w:pPr>
        <w:snapToGrid w:val="0"/>
        <w:spacing w:line="576" w:lineRule="exact"/>
        <w:ind w:firstLine="640" w:firstLineChars="200"/>
        <w:rPr>
          <w:rFonts w:ascii="仿宋" w:hAnsi="仿宋" w:eastAsia="仿宋"/>
          <w:sz w:val="32"/>
          <w:szCs w:val="32"/>
        </w:rPr>
      </w:pPr>
      <w:r>
        <w:rPr>
          <w:rFonts w:hint="eastAsia" w:ascii="仿宋" w:hAnsi="仿宋" w:eastAsia="仿宋"/>
          <w:sz w:val="32"/>
          <w:szCs w:val="32"/>
        </w:rPr>
        <w:t>6．</w:t>
      </w:r>
      <w:r>
        <w:rPr>
          <w:rFonts w:ascii="仿宋" w:hAnsi="仿宋" w:eastAsia="仿宋"/>
          <w:sz w:val="32"/>
          <w:szCs w:val="32"/>
        </w:rPr>
        <w:t xml:space="preserve">指导全区学校的依法治校、安全、综合治理、档案、保密、计划生育工作。 </w:t>
      </w:r>
    </w:p>
    <w:p>
      <w:pPr>
        <w:snapToGrid w:val="0"/>
        <w:spacing w:line="576" w:lineRule="exact"/>
        <w:ind w:firstLine="640" w:firstLineChars="200"/>
        <w:rPr>
          <w:rFonts w:ascii="仿宋" w:hAnsi="仿宋" w:eastAsia="仿宋"/>
          <w:sz w:val="32"/>
          <w:szCs w:val="32"/>
        </w:rPr>
      </w:pPr>
      <w:r>
        <w:rPr>
          <w:rFonts w:hint="eastAsia" w:ascii="仿宋" w:hAnsi="仿宋" w:eastAsia="仿宋"/>
          <w:sz w:val="32"/>
          <w:szCs w:val="32"/>
        </w:rPr>
        <w:t>7．</w:t>
      </w:r>
      <w:r>
        <w:rPr>
          <w:rFonts w:ascii="仿宋" w:hAnsi="仿宋" w:eastAsia="仿宋"/>
          <w:sz w:val="32"/>
          <w:szCs w:val="32"/>
        </w:rPr>
        <w:t xml:space="preserve">统筹管理和协调全区学校体育、卫生与艺术教育工作。 </w:t>
      </w:r>
    </w:p>
    <w:p>
      <w:pPr>
        <w:snapToGrid w:val="0"/>
        <w:spacing w:line="576" w:lineRule="exact"/>
        <w:ind w:firstLine="640" w:firstLineChars="200"/>
        <w:rPr>
          <w:rFonts w:ascii="仿宋" w:hAnsi="仿宋" w:eastAsia="仿宋"/>
          <w:sz w:val="32"/>
          <w:szCs w:val="32"/>
        </w:rPr>
      </w:pPr>
      <w:r>
        <w:rPr>
          <w:rFonts w:hint="eastAsia" w:ascii="仿宋" w:hAnsi="仿宋" w:eastAsia="仿宋"/>
          <w:sz w:val="32"/>
          <w:szCs w:val="32"/>
        </w:rPr>
        <w:t>8．</w:t>
      </w:r>
      <w:r>
        <w:rPr>
          <w:rFonts w:ascii="仿宋" w:hAnsi="仿宋" w:eastAsia="仿宋"/>
          <w:sz w:val="32"/>
          <w:szCs w:val="32"/>
        </w:rPr>
        <w:t>指导全区教育系统人事制度改革工作，推行和实施校长、教师聘任制。</w:t>
      </w:r>
    </w:p>
    <w:p>
      <w:pPr>
        <w:snapToGrid w:val="0"/>
        <w:spacing w:line="576" w:lineRule="exact"/>
        <w:ind w:firstLine="640" w:firstLineChars="200"/>
        <w:rPr>
          <w:rFonts w:ascii="仿宋" w:hAnsi="仿宋" w:eastAsia="仿宋"/>
          <w:sz w:val="32"/>
          <w:szCs w:val="32"/>
        </w:rPr>
      </w:pPr>
      <w:r>
        <w:rPr>
          <w:rFonts w:hint="eastAsia" w:ascii="仿宋" w:hAnsi="仿宋" w:eastAsia="仿宋"/>
          <w:sz w:val="32"/>
          <w:szCs w:val="32"/>
        </w:rPr>
        <w:t>9．</w:t>
      </w:r>
      <w:r>
        <w:rPr>
          <w:rFonts w:ascii="仿宋" w:hAnsi="仿宋" w:eastAsia="仿宋"/>
          <w:sz w:val="32"/>
          <w:szCs w:val="32"/>
        </w:rPr>
        <w:t xml:space="preserve">主管全区教师工作；组织实施各级各类教师资格证书制度；统筹规划学校教师和管理人员队伍建设；负责全区中小学（含幼儿园）校（园）长、教师的继续教育和课程改革新教材的培训工作；会同有关部门负责全区中小学教师专业技术职务评审工作；指导全区教育系统人才队伍建设。 </w:t>
      </w:r>
    </w:p>
    <w:p>
      <w:pPr>
        <w:snapToGrid w:val="0"/>
        <w:spacing w:line="576" w:lineRule="exact"/>
        <w:ind w:firstLine="640" w:firstLineChars="200"/>
        <w:rPr>
          <w:rFonts w:ascii="仿宋" w:hAnsi="仿宋" w:eastAsia="仿宋"/>
          <w:sz w:val="32"/>
          <w:szCs w:val="32"/>
        </w:rPr>
      </w:pPr>
      <w:r>
        <w:rPr>
          <w:rFonts w:hint="eastAsia" w:ascii="仿宋" w:hAnsi="仿宋" w:eastAsia="仿宋"/>
          <w:sz w:val="32"/>
          <w:szCs w:val="32"/>
        </w:rPr>
        <w:t>10．</w:t>
      </w:r>
      <w:r>
        <w:rPr>
          <w:rFonts w:ascii="仿宋" w:hAnsi="仿宋" w:eastAsia="仿宋"/>
          <w:sz w:val="32"/>
          <w:szCs w:val="32"/>
        </w:rPr>
        <w:t>统筹管理各类学历教育的招生考试工作，会同有关部门编制并监督实施成人高校、中等职业学校和普通高中的招生计划，组织协调招生管理工作；指导大中专学校开展就业创业工作。</w:t>
      </w:r>
    </w:p>
    <w:p>
      <w:pPr>
        <w:snapToGrid w:val="0"/>
        <w:spacing w:line="576" w:lineRule="exact"/>
        <w:ind w:firstLine="640" w:firstLineChars="200"/>
        <w:rPr>
          <w:rFonts w:ascii="仿宋" w:hAnsi="仿宋" w:eastAsia="仿宋"/>
          <w:sz w:val="32"/>
          <w:szCs w:val="32"/>
        </w:rPr>
      </w:pPr>
      <w:r>
        <w:rPr>
          <w:rFonts w:hint="eastAsia" w:ascii="仿宋" w:hAnsi="仿宋" w:eastAsia="仿宋"/>
          <w:sz w:val="32"/>
          <w:szCs w:val="32"/>
        </w:rPr>
        <w:t>11．</w:t>
      </w:r>
      <w:r>
        <w:rPr>
          <w:rFonts w:ascii="仿宋" w:hAnsi="仿宋" w:eastAsia="仿宋"/>
          <w:sz w:val="32"/>
          <w:szCs w:val="32"/>
        </w:rPr>
        <w:t xml:space="preserve">负责中等职业学校和专业的设置、合并、撤销的组织论证和申报指导工作；负责社会力量举办各级各类学校及教育机构的申报、评估、审批（备案）和管理工作。 </w:t>
      </w:r>
    </w:p>
    <w:p>
      <w:pPr>
        <w:snapToGrid w:val="0"/>
        <w:spacing w:line="576" w:lineRule="exact"/>
        <w:ind w:firstLine="640" w:firstLineChars="200"/>
        <w:rPr>
          <w:rFonts w:ascii="仿宋" w:hAnsi="仿宋" w:eastAsia="仿宋"/>
          <w:sz w:val="32"/>
          <w:szCs w:val="32"/>
        </w:rPr>
      </w:pPr>
      <w:r>
        <w:rPr>
          <w:rFonts w:hint="eastAsia" w:ascii="仿宋" w:hAnsi="仿宋" w:eastAsia="仿宋"/>
          <w:sz w:val="32"/>
          <w:szCs w:val="32"/>
        </w:rPr>
        <w:t>12．</w:t>
      </w:r>
      <w:r>
        <w:rPr>
          <w:rFonts w:ascii="仿宋" w:hAnsi="仿宋" w:eastAsia="仿宋"/>
          <w:sz w:val="32"/>
          <w:szCs w:val="32"/>
        </w:rPr>
        <w:t>指导和管理教育系统的科学研究工作，组织、协调高、中等职业学校、成人教育学校的科技开发、科研成果转化和教育兴农工作。</w:t>
      </w:r>
    </w:p>
    <w:p>
      <w:pPr>
        <w:snapToGrid w:val="0"/>
        <w:spacing w:line="576" w:lineRule="exact"/>
        <w:ind w:firstLine="640" w:firstLineChars="200"/>
        <w:rPr>
          <w:rFonts w:ascii="仿宋" w:hAnsi="仿宋" w:eastAsia="仿宋"/>
          <w:sz w:val="32"/>
          <w:szCs w:val="32"/>
        </w:rPr>
      </w:pPr>
      <w:r>
        <w:rPr>
          <w:rFonts w:hint="eastAsia" w:ascii="仿宋" w:hAnsi="仿宋" w:eastAsia="仿宋"/>
          <w:sz w:val="32"/>
          <w:szCs w:val="32"/>
        </w:rPr>
        <w:t>13．</w:t>
      </w:r>
      <w:r>
        <w:rPr>
          <w:rFonts w:ascii="仿宋" w:hAnsi="仿宋" w:eastAsia="仿宋"/>
          <w:sz w:val="32"/>
          <w:szCs w:val="32"/>
        </w:rPr>
        <w:t xml:space="preserve">组织指导教育方面的对外交流与合作、对外宣传。 </w:t>
      </w:r>
    </w:p>
    <w:p>
      <w:pPr>
        <w:snapToGrid w:val="0"/>
        <w:spacing w:line="576" w:lineRule="exact"/>
        <w:ind w:firstLine="640" w:firstLineChars="200"/>
        <w:rPr>
          <w:rFonts w:ascii="仿宋" w:hAnsi="仿宋" w:eastAsia="仿宋"/>
          <w:sz w:val="32"/>
          <w:szCs w:val="32"/>
        </w:rPr>
      </w:pPr>
      <w:r>
        <w:rPr>
          <w:rFonts w:hint="eastAsia" w:ascii="仿宋" w:hAnsi="仿宋" w:eastAsia="仿宋"/>
          <w:sz w:val="32"/>
          <w:szCs w:val="32"/>
        </w:rPr>
        <w:t>14．</w:t>
      </w:r>
      <w:r>
        <w:rPr>
          <w:rFonts w:ascii="仿宋" w:hAnsi="仿宋" w:eastAsia="仿宋"/>
          <w:sz w:val="32"/>
          <w:szCs w:val="32"/>
        </w:rPr>
        <w:t>指导、协调各级各类学校后勤保障、信息化建设以及教学仪器设备和图书资料装备工作；指导、管理教育信息统计、分析和发布；指导有关的教育学会、协会工作。</w:t>
      </w:r>
    </w:p>
    <w:p>
      <w:pPr>
        <w:pStyle w:val="5"/>
        <w:adjustRightInd w:val="0"/>
        <w:snapToGrid w:val="0"/>
        <w:spacing w:before="93" w:line="600" w:lineRule="exact"/>
        <w:ind w:firstLine="672" w:firstLineChars="210"/>
        <w:rPr>
          <w:bCs/>
          <w:sz w:val="32"/>
          <w:szCs w:val="32"/>
        </w:rPr>
      </w:pPr>
      <w:r>
        <w:rPr>
          <w:rFonts w:hint="eastAsia" w:ascii="仿宋" w:hAnsi="仿宋" w:eastAsia="仿宋"/>
          <w:sz w:val="32"/>
          <w:szCs w:val="32"/>
        </w:rPr>
        <w:t>15．</w:t>
      </w:r>
      <w:r>
        <w:rPr>
          <w:rFonts w:ascii="仿宋" w:hAnsi="仿宋" w:eastAsia="仿宋"/>
          <w:sz w:val="32"/>
          <w:szCs w:val="32"/>
        </w:rPr>
        <w:t>贯彻执行国家语言文字工作的方针、政策，编制语言文字工作中长期规划；组织协调语言文字的规范和标准的监督检查；指导和组织推广普通话、推行规范汉字；开展普通话培训和测试工作。</w:t>
      </w:r>
    </w:p>
    <w:p>
      <w:pPr>
        <w:pStyle w:val="5"/>
        <w:adjustRightInd w:val="0"/>
        <w:snapToGrid w:val="0"/>
        <w:spacing w:before="93" w:line="600" w:lineRule="exact"/>
        <w:ind w:firstLine="672" w:firstLineChars="210"/>
        <w:outlineLvl w:val="2"/>
        <w:rPr>
          <w:rFonts w:ascii="仿宋" w:hAnsi="仿宋" w:eastAsia="仿宋"/>
          <w:bCs/>
          <w:sz w:val="32"/>
          <w:szCs w:val="32"/>
        </w:rPr>
      </w:pPr>
      <w:r>
        <w:rPr>
          <w:rFonts w:hint="eastAsia" w:ascii="仿宋" w:hAnsi="仿宋" w:eastAsia="仿宋"/>
          <w:bCs/>
          <w:sz w:val="32"/>
          <w:szCs w:val="32"/>
        </w:rPr>
        <w:t>（二）</w:t>
      </w:r>
      <w:r>
        <w:rPr>
          <w:rFonts w:ascii="仿宋" w:hAnsi="仿宋" w:eastAsia="仿宋"/>
          <w:bCs/>
          <w:sz w:val="32"/>
          <w:szCs w:val="32"/>
        </w:rPr>
        <w:t>20</w:t>
      </w:r>
      <w:r>
        <w:rPr>
          <w:rFonts w:hint="eastAsia" w:ascii="仿宋" w:hAnsi="仿宋" w:eastAsia="仿宋"/>
          <w:bCs/>
          <w:sz w:val="32"/>
          <w:szCs w:val="32"/>
        </w:rPr>
        <w:t>20年重点工作完成情况</w:t>
      </w:r>
      <w:bookmarkEnd w:id="22"/>
      <w:bookmarkEnd w:id="23"/>
    </w:p>
    <w:p>
      <w:pPr>
        <w:snapToGrid w:val="0"/>
        <w:spacing w:line="576" w:lineRule="exact"/>
        <w:ind w:firstLine="770" w:firstLineChars="250"/>
        <w:rPr>
          <w:rFonts w:ascii="仿宋" w:hAnsi="仿宋" w:eastAsia="仿宋" w:cs="仿宋"/>
          <w:color w:val="0000FF"/>
          <w:spacing w:val="-6"/>
          <w:sz w:val="32"/>
          <w:szCs w:val="32"/>
        </w:rPr>
      </w:pPr>
      <w:r>
        <w:rPr>
          <w:rFonts w:hint="eastAsia" w:ascii="楷体" w:hAnsi="楷体" w:eastAsia="楷体" w:cs="楷体"/>
          <w:color w:val="0000FF"/>
          <w:spacing w:val="-6"/>
          <w:sz w:val="32"/>
          <w:szCs w:val="32"/>
        </w:rPr>
        <w:t>1.依法履行教育职责,全面规范办学行为。</w:t>
      </w:r>
      <w:r>
        <w:rPr>
          <w:rFonts w:hint="eastAsia" w:ascii="仿宋" w:hAnsi="仿宋" w:eastAsia="仿宋" w:cs="仿宋"/>
          <w:color w:val="0000FF"/>
          <w:spacing w:val="-6"/>
          <w:sz w:val="32"/>
          <w:szCs w:val="32"/>
        </w:rPr>
        <w:t>一是全面贯彻党的教育方针。坚持以习近平新时代中国特色社会主义思想为指导，组织教育系统广大干部职工深入学习党的十九大、十九届五中全会精神和习近平总书记关于教育的重要论述和指示批示精神，从思想上着力解决“培养什么人、怎样培养人、为谁培养人”这一教育根本问题。二是严格执行各项法律法规。加强对《教育法》《教师法》《未成年人保护法》《民办教育促进法》《民法典》等法律法规的学习宣传培训，提高依法行政、依法治教能力，依法保障广大师生的合法权益。三是认真执行各级决议决定。严格执行国家、省、市各项政策法规，认真落实区委、区人大、区政府、区政协各项决议决定。认真办理人大代表、政协委员意见、建议和提案，做到件件有落实，事事有回音。今年办理区人大代表建议6件、区政协委员提案18件（主办13件，协办5件），办结率和满意率均达100%。</w:t>
      </w:r>
    </w:p>
    <w:p>
      <w:pPr>
        <w:snapToGrid w:val="0"/>
        <w:spacing w:line="576" w:lineRule="exact"/>
        <w:ind w:firstLine="770" w:firstLineChars="250"/>
        <w:rPr>
          <w:rFonts w:ascii="仿宋" w:hAnsi="仿宋" w:eastAsia="仿宋" w:cs="仿宋"/>
          <w:color w:val="0000FF"/>
          <w:spacing w:val="-6"/>
          <w:sz w:val="32"/>
          <w:szCs w:val="32"/>
        </w:rPr>
      </w:pPr>
      <w:r>
        <w:rPr>
          <w:rFonts w:hint="eastAsia" w:ascii="楷体" w:hAnsi="楷体" w:eastAsia="楷体" w:cs="楷体"/>
          <w:color w:val="0000FF"/>
          <w:spacing w:val="-6"/>
          <w:sz w:val="32"/>
          <w:szCs w:val="32"/>
        </w:rPr>
        <w:t>2.始终坚持五育并举,全面提升教育质量。</w:t>
      </w:r>
      <w:r>
        <w:rPr>
          <w:rFonts w:hint="eastAsia" w:ascii="仿宋" w:hAnsi="仿宋" w:eastAsia="仿宋" w:cs="仿宋"/>
          <w:color w:val="0000FF"/>
          <w:spacing w:val="-6"/>
          <w:sz w:val="32"/>
          <w:szCs w:val="32"/>
        </w:rPr>
        <w:t>坚持以质量为中心、立德树人为根本任务，不断创新工作思路，一手抓疫情防控，一手抓教育教学，各项指标连年攀升。一是教学质量持续提升。全区中考总成绩和单项考核指标连续十二年位居全市第一；高考本科上线541人，同比增长45.4%，其中重本上线127人，同比增长60.7%，创历史新高。区教育局被市教育局评为2019-2020学年度基础教育质量考核义务教育质量优秀奖。二是素质教育取得新成绩。坚持以兴趣特长培养为抓手，充分发挥青少年校外活动中心和18个社区辅导站作用，将特色项目与学校12个优秀学生艺术体育社团有机结合，强化特色项目课程资源开发与应用，年均参与师生达8000余人次，完成了《儿童陶艺》《演讲与主持》《足球》等校外活动教程编写，受到了来自上海和杭州等地教育专家的高度肯定并作为范本推广。青少年校外活动中心被四川省教育厅命名为“四川省中小学美育实践基地”。三是德育工作取得新成效。组织师生学习《新时代爱国主义教育实施纲要》81场次，开展清明祭英烈、吃国庆面、中国人民抗日战争暨世界反法西斯战争胜利纪念日、抗美援朝纪念日、“12.9”学生爱国运动纪念日、国家公祭日活动，以及习近平新时代中国特色社会主义思想和社会主义核心价值观“进校园、进课堂、进头脑”“扣好人生第一粒扣子”、爱国主义读书教育等主题实践活动1000余场次。3名学生在青少年爱国主义读书教育活动中获市级一等奖，1名学生获全省一等奖并参加全国比赛。区教育局被市教育局评为2019-2020学年度学校德育工作先进集体，被教育部关心下一代委员会评为“新时代好少年”主题教育读书活动先进集体。</w:t>
      </w:r>
    </w:p>
    <w:p>
      <w:pPr>
        <w:snapToGrid w:val="0"/>
        <w:spacing w:line="576" w:lineRule="exact"/>
        <w:ind w:firstLine="770" w:firstLineChars="250"/>
        <w:rPr>
          <w:rFonts w:hint="eastAsia" w:ascii="仿宋" w:hAnsi="仿宋" w:eastAsia="仿宋" w:cs="仿宋"/>
          <w:color w:val="0000FF"/>
          <w:spacing w:val="-6"/>
          <w:sz w:val="32"/>
          <w:szCs w:val="32"/>
        </w:rPr>
      </w:pPr>
      <w:r>
        <w:rPr>
          <w:rFonts w:hint="eastAsia" w:ascii="楷体" w:hAnsi="楷体" w:eastAsia="楷体" w:cs="楷体"/>
          <w:color w:val="0000FF"/>
          <w:spacing w:val="-6"/>
          <w:sz w:val="32"/>
          <w:szCs w:val="32"/>
        </w:rPr>
        <w:t>3.统筹加大教育投入，全面改善办学条件。</w:t>
      </w:r>
      <w:r>
        <w:rPr>
          <w:rFonts w:hint="eastAsia" w:ascii="仿宋" w:hAnsi="仿宋" w:eastAsia="仿宋" w:cs="仿宋"/>
          <w:color w:val="0000FF"/>
          <w:spacing w:val="-6"/>
          <w:sz w:val="32"/>
          <w:szCs w:val="32"/>
        </w:rPr>
        <w:t>一是抢抓国家大力实施义务教育薄弱环节改善与能力提升工作机遇，争取3437万元中央和609万元省级专项资金用于上西中学、吴家浩小学和兴安初级中学项目建设，为全区义务教育优质均衡发展打下坚实基础。二是打好“消除义务教育学校大班额三年攻坚计划”攻坚战。累计投入4.36亿元，加快上西中学还建、吴家浩小学迁建、兴安初级中学和红军小学项目建设进度</w:t>
      </w:r>
      <w:r>
        <w:rPr>
          <w:rFonts w:hint="eastAsia" w:ascii="仿宋" w:hAnsi="仿宋" w:eastAsia="仿宋" w:cs="仿宋"/>
          <w:color w:val="0000FF"/>
          <w:spacing w:val="-6"/>
          <w:sz w:val="32"/>
          <w:szCs w:val="32"/>
          <w:lang w:eastAsia="zh-CN"/>
        </w:rPr>
        <w:t>，</w:t>
      </w:r>
      <w:r>
        <w:rPr>
          <w:rFonts w:hint="eastAsia" w:ascii="仿宋" w:hAnsi="仿宋" w:eastAsia="仿宋" w:cs="仿宋"/>
          <w:color w:val="0000FF"/>
          <w:spacing w:val="-6"/>
          <w:sz w:val="32"/>
          <w:szCs w:val="32"/>
          <w:lang w:val="en-US" w:eastAsia="zh-CN"/>
        </w:rPr>
        <w:t>目前，上述</w:t>
      </w:r>
      <w:r>
        <w:rPr>
          <w:rFonts w:hint="eastAsia" w:ascii="仿宋" w:hAnsi="仿宋" w:eastAsia="仿宋" w:cs="仿宋"/>
          <w:color w:val="0000FF"/>
          <w:spacing w:val="-6"/>
          <w:sz w:val="32"/>
          <w:szCs w:val="32"/>
        </w:rPr>
        <w:t>建设项目已</w:t>
      </w:r>
      <w:r>
        <w:rPr>
          <w:rFonts w:hint="eastAsia" w:ascii="仿宋" w:hAnsi="仿宋" w:eastAsia="仿宋" w:cs="仿宋"/>
          <w:color w:val="0000FF"/>
          <w:spacing w:val="-6"/>
          <w:sz w:val="32"/>
          <w:szCs w:val="32"/>
          <w:lang w:val="en-US" w:eastAsia="zh-CN"/>
        </w:rPr>
        <w:t>全部</w:t>
      </w:r>
      <w:r>
        <w:rPr>
          <w:rFonts w:hint="eastAsia" w:ascii="仿宋" w:hAnsi="仿宋" w:eastAsia="仿宋" w:cs="仿宋"/>
          <w:color w:val="0000FF"/>
          <w:spacing w:val="-6"/>
          <w:sz w:val="32"/>
          <w:szCs w:val="32"/>
        </w:rPr>
        <w:t>竣工</w:t>
      </w:r>
      <w:r>
        <w:rPr>
          <w:rFonts w:hint="eastAsia" w:ascii="仿宋" w:hAnsi="仿宋" w:eastAsia="仿宋" w:cs="仿宋"/>
          <w:color w:val="0000FF"/>
          <w:spacing w:val="-6"/>
          <w:sz w:val="32"/>
          <w:szCs w:val="32"/>
          <w:lang w:val="en-US" w:eastAsia="zh-CN"/>
        </w:rPr>
        <w:t>并</w:t>
      </w:r>
      <w:r>
        <w:rPr>
          <w:rFonts w:hint="eastAsia" w:ascii="仿宋" w:hAnsi="仿宋" w:eastAsia="仿宋" w:cs="仿宋"/>
          <w:color w:val="0000FF"/>
          <w:spacing w:val="-6"/>
          <w:sz w:val="32"/>
          <w:szCs w:val="32"/>
        </w:rPr>
        <w:t>投入使用</w:t>
      </w:r>
      <w:r>
        <w:rPr>
          <w:rFonts w:hint="eastAsia" w:ascii="仿宋" w:hAnsi="仿宋" w:eastAsia="仿宋" w:cs="仿宋"/>
          <w:color w:val="0000FF"/>
          <w:spacing w:val="-6"/>
          <w:sz w:val="32"/>
          <w:szCs w:val="32"/>
          <w:lang w:eastAsia="zh-CN"/>
        </w:rPr>
        <w:t>，</w:t>
      </w:r>
      <w:r>
        <w:rPr>
          <w:rFonts w:hint="eastAsia" w:ascii="仿宋" w:hAnsi="仿宋" w:eastAsia="仿宋" w:cs="仿宋"/>
          <w:color w:val="0000FF"/>
          <w:spacing w:val="-6"/>
          <w:sz w:val="32"/>
          <w:szCs w:val="32"/>
        </w:rPr>
        <w:t>累计新增校舍6.8万平方米、运动场1.37万平方米、小学学位2700个、初中学位2000个、寄宿生床位3300个。三是加快重点项目推进。规划投入6.7亿元，推进大东英才学校迁建和万达中学西校区新建项目，项目建成后可提供义务教育阶段学位3870个，高中学位2000个，将有效化解市城区“大校额”“大班额”问题。</w:t>
      </w:r>
    </w:p>
    <w:p>
      <w:pPr>
        <w:snapToGrid w:val="0"/>
        <w:spacing w:line="576" w:lineRule="exact"/>
        <w:ind w:firstLine="770" w:firstLineChars="250"/>
        <w:rPr>
          <w:rFonts w:ascii="仿宋" w:hAnsi="仿宋" w:eastAsia="仿宋" w:cs="仿宋"/>
          <w:color w:val="0000FF"/>
          <w:spacing w:val="-6"/>
          <w:sz w:val="32"/>
          <w:szCs w:val="32"/>
        </w:rPr>
      </w:pPr>
      <w:r>
        <w:rPr>
          <w:rFonts w:hint="eastAsia" w:ascii="楷体" w:hAnsi="楷体" w:eastAsia="楷体" w:cs="楷体"/>
          <w:color w:val="0000FF"/>
          <w:spacing w:val="-6"/>
          <w:sz w:val="32"/>
          <w:szCs w:val="32"/>
        </w:rPr>
        <w:t>4.扎实开展教育脱贫，有效阻断贫困代际传递。</w:t>
      </w:r>
      <w:r>
        <w:rPr>
          <w:rFonts w:hint="eastAsia" w:ascii="仿宋" w:hAnsi="仿宋" w:eastAsia="仿宋" w:cs="仿宋"/>
          <w:color w:val="0000FF"/>
          <w:spacing w:val="-6"/>
          <w:sz w:val="32"/>
          <w:szCs w:val="32"/>
        </w:rPr>
        <w:t>一是教育扶贫高质量完成。全区15所乡镇标准中心校全部达标；压紧压实“七长”控辍保学责任，全区46807名6-15周岁适龄少年儿童入学率、巩固率均达到100%。学前至高等教育的各类学生免、奖、助、贷、补政策全部落实，各类建档立卡贫困学生实现应助尽助，累计资助18700人3690.89万元。二是驻村帮扶有力有效。充分发挥教育战线资源优势，精心抽调帮扶干部结对帮扶51户贫困户，多方筹措交通资金800万，协调落地唐天溪大桥民生捐赠项目1个，打通金龙村泥池丫至三堆镇小河村3.2公里富民路，解决金龙村在内4个村2000余名群众出行难问题；发展金龙村、长林村露地蔬菜300亩，栽培冬梨树230亩，种植的土豆、萝卜和辣椒等农产品直销全区教育系统，实现人均增收200余元。</w:t>
      </w:r>
    </w:p>
    <w:p>
      <w:pPr>
        <w:snapToGrid w:val="0"/>
        <w:spacing w:line="576" w:lineRule="exact"/>
        <w:ind w:firstLine="770" w:firstLineChars="250"/>
        <w:rPr>
          <w:rFonts w:ascii="仿宋" w:hAnsi="仿宋" w:eastAsia="仿宋" w:cs="仿宋"/>
          <w:color w:val="0000FF"/>
          <w:spacing w:val="-6"/>
          <w:sz w:val="32"/>
          <w:szCs w:val="32"/>
        </w:rPr>
      </w:pPr>
      <w:r>
        <w:rPr>
          <w:rFonts w:hint="eastAsia" w:ascii="楷体" w:hAnsi="楷体" w:eastAsia="楷体" w:cs="楷体"/>
          <w:color w:val="0000FF"/>
          <w:spacing w:val="-6"/>
          <w:sz w:val="32"/>
          <w:szCs w:val="32"/>
        </w:rPr>
        <w:t>5.深入推进教育改革，全面夯筑教育根基。</w:t>
      </w:r>
      <w:r>
        <w:rPr>
          <w:rFonts w:hint="eastAsia" w:ascii="仿宋" w:hAnsi="仿宋" w:eastAsia="仿宋" w:cs="仿宋"/>
          <w:color w:val="0000FF"/>
          <w:spacing w:val="-6"/>
          <w:sz w:val="32"/>
          <w:szCs w:val="32"/>
        </w:rPr>
        <w:t>一是强化教育信息化能力运用，扎实推进“互联网+”线上教育教学活动，保障疫情期间“延期不停教、停课不停学”，区教育局《开展线上教学的实践与思考》获广元市在线教学案例一等奖，应邀在中国教育论坛2020第三届世界教育前沿论坛作经验交流。二是深度推进益智课堂实践。成功举办全国第二届“国育杯”思维运动会区域选拔赛，利州代表队从全国170余个代表队中成功入围团体总决赛并获得优秀奖。三是深入实施“1+5”生本教育改革并有新起色。坚持“以德养慧，成就幸福人生”办学理念，探寻素质教育的真谛，生本教育改革实践回眸“以生为本，小荷争露尖尖角”被《中国教育报》刊发。四是推进综合实践活动课程建设。加强学校劳动教育课程培训，积极争创国家劳动教育实验区，申报综合实践活动基地学校8所，其中工农小学成功举办“梦想大篷车”综合实践课程推进活动。五是教育科研效果显著。科学有效做好国家、省市级课题的申报、开题、过程研究和结题等过程管理，着力提高全区教育科学研究水平。全区教育系统53名教师在省第十五届校园影视教育、中小学电脑制作数字创作、中小学实验教学等系列教学展示竞赛活动中荣获一、二等奖，《初中道德与法治学科区域教研机制建设》《小学美育主题式综合实践活动校本课程开发研究》等10项课题荣获省市级一、二等奖。</w:t>
      </w:r>
    </w:p>
    <w:p>
      <w:pPr>
        <w:snapToGrid w:val="0"/>
        <w:spacing w:line="576" w:lineRule="exact"/>
        <w:ind w:firstLine="770" w:firstLineChars="250"/>
        <w:rPr>
          <w:rFonts w:ascii="仿宋" w:hAnsi="仿宋" w:eastAsia="仿宋" w:cs="仿宋"/>
          <w:color w:val="0000FF"/>
          <w:spacing w:val="-6"/>
          <w:sz w:val="32"/>
          <w:szCs w:val="32"/>
        </w:rPr>
      </w:pPr>
      <w:r>
        <w:rPr>
          <w:rFonts w:hint="eastAsia" w:ascii="楷体" w:hAnsi="楷体" w:eastAsia="楷体" w:cs="楷体"/>
          <w:color w:val="0000FF"/>
          <w:spacing w:val="-6"/>
          <w:sz w:val="32"/>
          <w:szCs w:val="32"/>
        </w:rPr>
        <w:t>6.着力加强队伍建设，全面提升综合素养。</w:t>
      </w:r>
      <w:r>
        <w:rPr>
          <w:rFonts w:hint="eastAsia" w:ascii="仿宋" w:hAnsi="仿宋" w:eastAsia="仿宋" w:cs="仿宋"/>
          <w:color w:val="0000FF"/>
          <w:spacing w:val="-6"/>
          <w:sz w:val="32"/>
          <w:szCs w:val="32"/>
        </w:rPr>
        <w:t>一是加强师德建设。印发了《师德师风建设实施方案》，建立了师德负面清单、述职和承诺、信息报告等三项制度，开展了2020年师德师风建设专项整治和宣传教育活动，组织学习了全市“立德树人关爱学生好老师”先进事迹，引导广大教师时刻坚守师德底线，努力成为“四有”好老师，着力培养德智体美劳全面发展的社会主义建设者和接班人。二是及时补充新教师。今年公开考招教师80名（含特岗教师24名），签约公费师范生7名。三是促进教师专业发展。今年通过国培和省市区级培训5000余人次。选派校级领导人员及骨干教师赴重庆、成都等地高校研修200余人次。四是组织教师支教交流。城区学校教师到农村学校开展驻点支教31人次、灵活性支教63人次，农村学校交流到城镇学校教师58人次，开展名师“送教到校”100余人次。五是营造尊师重教浓厚氛围。评选表扬“最美乡村教师”“优秀班主任”“优秀教师”“优秀教育工作者”等186人，累计评选市级名师37名、区级名师100名，行业名人20名，市区“科技拔尖人才”10名。区教育局被市教育局评为师培工作先进单位。</w:t>
      </w:r>
    </w:p>
    <w:p>
      <w:pPr>
        <w:snapToGrid w:val="0"/>
        <w:spacing w:line="576" w:lineRule="exact"/>
        <w:ind w:firstLine="770" w:firstLineChars="250"/>
        <w:rPr>
          <w:rFonts w:ascii="仿宋" w:hAnsi="仿宋" w:eastAsia="仿宋" w:cs="仿宋"/>
          <w:color w:val="0000FF"/>
          <w:spacing w:val="-6"/>
          <w:sz w:val="32"/>
          <w:szCs w:val="32"/>
        </w:rPr>
      </w:pPr>
      <w:r>
        <w:rPr>
          <w:rFonts w:hint="eastAsia" w:ascii="楷体" w:hAnsi="楷体" w:eastAsia="楷体" w:cs="楷体"/>
          <w:color w:val="0000FF"/>
          <w:spacing w:val="-6"/>
          <w:sz w:val="32"/>
          <w:szCs w:val="32"/>
        </w:rPr>
        <w:t>7.深化教育保障治理，持续优化育人环境。</w:t>
      </w:r>
      <w:r>
        <w:rPr>
          <w:rFonts w:hint="eastAsia" w:ascii="仿宋" w:hAnsi="仿宋" w:eastAsia="仿宋" w:cs="仿宋"/>
          <w:color w:val="0000FF"/>
          <w:spacing w:val="-6"/>
          <w:sz w:val="32"/>
          <w:szCs w:val="32"/>
        </w:rPr>
        <w:t>一是抓实安全服务保障。认真落实营养改善计划，提升后勤管理服务水平，学校食堂米、面、油、肉等大宗原材料一律实行政府招标采购，其他物资实行定点采购，严把入口关。会同市场监管、卫健、疾控等部门培训管理人员5000余人次，开展联合监督检查20余场次，保障了校园食品安全。加强学校“人防、物防、技防”建设，将140余名保安人员全额纳入财政预算，完善学校警务室建设和校门防撞设施，配齐保安器材和实现高清视频监控、一键式报警系统全覆盖。坚持校园及周边安全隐患排查整治常态化开展，持续开展“校长教师陪餐”、学生“平安度假”“平安回家”“三千教师访万家”和暑假教师“义务巡河”以及“社区医生驻校”等活动，健全了学校、社会、家庭安全网络体系，杜绝了重大安全事故发生。二是民办教育健康发展。继续开展校外培训机构治理，规范社会办学行为。进一步清理整顿无证无照教育机构44家。稳步推进小区配套园治理，促进学前教育普惠发展。结合小区配套幼儿园前期投入、运营成本、办园水平、星级评定和年检结果等方面，按照“一园一策”制定补助方案和标准，基本完成20所小区配套园转普惠任务，全区普惠园幼儿占比达83.7%，其经验做法被</w:t>
      </w:r>
      <w:r>
        <w:rPr>
          <w:rFonts w:hint="eastAsia" w:ascii="仿宋" w:hAnsi="仿宋" w:eastAsia="仿宋" w:cs="仿宋"/>
          <w:color w:val="0000FF"/>
          <w:spacing w:val="-6"/>
          <w:sz w:val="32"/>
          <w:szCs w:val="32"/>
          <w:lang w:eastAsia="zh-CN"/>
        </w:rPr>
        <w:t>省教育厅</w:t>
      </w:r>
      <w:r>
        <w:rPr>
          <w:rFonts w:hint="eastAsia" w:ascii="仿宋" w:hAnsi="仿宋" w:eastAsia="仿宋" w:cs="仿宋"/>
          <w:color w:val="0000FF"/>
          <w:spacing w:val="-6"/>
          <w:sz w:val="32"/>
          <w:szCs w:val="32"/>
        </w:rPr>
        <w:t>肯定并上报教育部。三是全面规范进校园活动。成立“清理整顿中小学违规竞赛活动领导小组”，严格执行《教育部办公厅关于严禁商业广告、商业活动进入中小学校和幼儿园的紧急通知》、省委教育工作领导小组印发《关于规范进校园活动切实减轻中小学（幼儿园）负担的实施意见》等系列文件精神，实行审批备案制度，切实减轻师生负担。四是强化教育宣传。全区教育系统在《光明日报》《中国青年报》《人民日报（海外版）》《广元日报》《教育导报网》等各级报刊、网站中刊发新闻简讯1000余篇，撰写经验性稿件在《市委要情》、市政府网站、2020年第三届世界教育前沿论坛、四川省教育学会农村教育分会2020年学术年会等刊发和作经验交流。区教育局被市教育局和省教育厅表彰为2019-2020年度四川教育宣传工作先进单位。</w:t>
      </w:r>
    </w:p>
    <w:p>
      <w:pPr>
        <w:snapToGrid w:val="0"/>
        <w:spacing w:line="576" w:lineRule="exact"/>
        <w:ind w:firstLine="770" w:firstLineChars="250"/>
        <w:rPr>
          <w:rFonts w:ascii="仿宋" w:hAnsi="仿宋" w:eastAsia="仿宋" w:cs="仿宋"/>
          <w:color w:val="0000FF"/>
          <w:spacing w:val="-6"/>
          <w:sz w:val="32"/>
          <w:szCs w:val="32"/>
        </w:rPr>
      </w:pPr>
      <w:r>
        <w:rPr>
          <w:rFonts w:hint="eastAsia" w:ascii="楷体" w:hAnsi="楷体" w:eastAsia="楷体" w:cs="楷体"/>
          <w:color w:val="0000FF"/>
          <w:spacing w:val="-6"/>
          <w:sz w:val="32"/>
          <w:szCs w:val="32"/>
        </w:rPr>
        <w:t>8.严肃教育考试纪律，确保国考顺利实施。</w:t>
      </w:r>
      <w:r>
        <w:rPr>
          <w:rFonts w:hint="eastAsia" w:ascii="仿宋" w:hAnsi="仿宋" w:eastAsia="仿宋" w:cs="仿宋"/>
          <w:color w:val="0000FF"/>
          <w:spacing w:val="-6"/>
          <w:sz w:val="32"/>
          <w:szCs w:val="32"/>
        </w:rPr>
        <w:t>顺利完成2020年成考、自考、高考、中考以及书法水平测试等组考工作，获得全市“国家教育考试安全保密考风考纪目标责任考评先进单位”和“招生自考工作目标考评一等奖”。</w:t>
      </w:r>
    </w:p>
    <w:p>
      <w:pPr>
        <w:snapToGrid w:val="0"/>
        <w:spacing w:line="576" w:lineRule="exact"/>
        <w:ind w:firstLine="770" w:firstLineChars="250"/>
        <w:rPr>
          <w:rFonts w:ascii="仿宋" w:hAnsi="仿宋" w:eastAsia="仿宋" w:cs="仿宋"/>
          <w:color w:val="0000FF"/>
          <w:spacing w:val="-6"/>
          <w:sz w:val="32"/>
          <w:szCs w:val="32"/>
        </w:rPr>
      </w:pPr>
      <w:r>
        <w:rPr>
          <w:rFonts w:hint="eastAsia" w:ascii="楷体" w:hAnsi="楷体" w:eastAsia="楷体" w:cs="楷体"/>
          <w:color w:val="0000FF"/>
          <w:spacing w:val="-6"/>
          <w:sz w:val="32"/>
          <w:szCs w:val="32"/>
        </w:rPr>
        <w:t>9.抓细抓实常态化防控，有效应对新冠疫情。</w:t>
      </w:r>
      <w:r>
        <w:rPr>
          <w:rFonts w:hint="eastAsia" w:ascii="仿宋" w:hAnsi="仿宋" w:eastAsia="仿宋" w:cs="仿宋"/>
          <w:color w:val="0000FF"/>
          <w:spacing w:val="-6"/>
          <w:sz w:val="32"/>
          <w:szCs w:val="32"/>
        </w:rPr>
        <w:t>坚决打好疫情防控阻击战。严格落实《防控新型冠状病毒感染肺炎疫情工作预案》《传染病疫情及突发公共卫生事件报告制度》《学生晨检午检晚检制度》等预案要求和“查健康码+测温”进校园管理相关制度，精准掌握师生每日健康状况，严防外部病例输入和内部聚集性活动。会同卫健、疾控、市场监管等部门，开展学校卫生工作人员专题培训，做好校园环境消杀、食堂卫生管理、防疫物资保障等工作，驻校开展学校卫生及疫情防控工作医务工作人员92人，视频在线培训并考核合格学校校（园）长、疫情防控和卫生管理人员1100余人次，学校卫生防疫管理工作人员专业、技术规范，对出现发热、干咳、乏力等症状的师生，能够及时分类采取措施，做到早发现、早报告、早隔离、早治疗。南鹰小学《我与武汉的距离》抗疫诗朗诵走上央视荧屏。</w:t>
      </w:r>
    </w:p>
    <w:p>
      <w:pPr>
        <w:snapToGrid w:val="0"/>
        <w:spacing w:line="576" w:lineRule="exact"/>
        <w:ind w:firstLine="770" w:firstLineChars="250"/>
        <w:rPr>
          <w:rFonts w:ascii="仿宋" w:hAnsi="仿宋" w:eastAsia="仿宋" w:cs="仿宋"/>
          <w:color w:val="0000FF"/>
          <w:sz w:val="32"/>
          <w:szCs w:val="32"/>
        </w:rPr>
      </w:pPr>
      <w:r>
        <w:rPr>
          <w:rFonts w:hint="eastAsia" w:ascii="楷体" w:hAnsi="楷体" w:eastAsia="楷体" w:cs="楷体"/>
          <w:color w:val="0000FF"/>
          <w:spacing w:val="-6"/>
          <w:sz w:val="32"/>
          <w:szCs w:val="32"/>
        </w:rPr>
        <w:t>10.全面加强党的领导，确保党建业务双促进。</w:t>
      </w:r>
      <w:r>
        <w:rPr>
          <w:rFonts w:hint="eastAsia" w:ascii="仿宋" w:hAnsi="仿宋" w:eastAsia="仿宋" w:cs="仿宋"/>
          <w:color w:val="0000FF"/>
          <w:spacing w:val="-6"/>
          <w:sz w:val="32"/>
          <w:szCs w:val="32"/>
        </w:rPr>
        <w:t>一是健全体制机制。成立了区委教育工作领导小组，印发了《广元市利州区中小学校实行党组织领导下的校长负责制改革实施意见（试行）》《党组织领导下的校长负责制工作方案》。召开了领导小组第二次会议，审议通过了《2020-2022年教育改革发展重点工作》。二是强化党员党性教育。开展科级领导干部网络学习及考试7人次，组织党务工作者参加市委党校和网络专题学习40人次，1775名党员全部参与“学习强国”学习。三是抓好意识形态阵地管理。加强对课堂教学、讲座论坛、校报期刊、校园网站等监督检查，准确把握学术研究和理论宣传、言论自由和政治纪律的关系，把课堂讲授有纪律、公开言论守规则、思想解放不逾矩的要求渗透到师生思想深处。2020年成功创建市区级社会主义核心价值观示范学校4所。四是推进党组织标准化规范化建设。规范落实领导干部双重组织生活制度，严肃党内组织生活，把党的建设、党风廉政建设与业务工作同部署、同落实、同检查、同考核。全面规范基础学校党的组织建设并完成党员清理工作，完成整改“后进”支部4个。五是实施思想政治工作提升工程，大力提升中小学思想政治工作水平，开展思政课教师集中培训和技能展示活动1次，组织开展思政课教师转岗培训102人次并考核合格。</w:t>
      </w:r>
    </w:p>
    <w:p>
      <w:pPr>
        <w:pStyle w:val="3"/>
        <w:rPr>
          <w:rStyle w:val="25"/>
          <w:b w:val="0"/>
          <w:bCs w:val="0"/>
        </w:rPr>
      </w:pPr>
      <w:bookmarkStart w:id="24" w:name="_Toc19089863"/>
      <w:bookmarkStart w:id="25" w:name="_Toc15377200"/>
      <w:r>
        <w:rPr>
          <w:rFonts w:hint="eastAsia" w:ascii="黑体" w:eastAsia="黑体"/>
          <w:b w:val="0"/>
        </w:rPr>
        <w:t>二、</w:t>
      </w:r>
      <w:r>
        <w:rPr>
          <w:rFonts w:hint="eastAsia" w:ascii="黑体" w:hAnsi="黑体" w:eastAsia="黑体"/>
          <w:b w:val="0"/>
        </w:rPr>
        <w:t>机</w:t>
      </w:r>
      <w:r>
        <w:rPr>
          <w:rStyle w:val="25"/>
          <w:rFonts w:hint="eastAsia" w:ascii="黑体" w:hAnsi="黑体" w:eastAsia="黑体"/>
          <w:b w:val="0"/>
          <w:bCs w:val="0"/>
        </w:rPr>
        <w:t>构设置</w:t>
      </w:r>
      <w:bookmarkEnd w:id="24"/>
      <w:bookmarkEnd w:id="25"/>
    </w:p>
    <w:p>
      <w:pPr>
        <w:pStyle w:val="5"/>
        <w:adjustRightInd w:val="0"/>
        <w:snapToGrid w:val="0"/>
        <w:spacing w:before="93" w:line="600" w:lineRule="exact"/>
        <w:ind w:firstLine="672" w:firstLineChars="210"/>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广元市利州区教育局下属二级单位</w:t>
      </w:r>
      <w:r>
        <w:rPr>
          <w:rFonts w:hint="eastAsia"/>
          <w:color w:val="0000FF"/>
          <w:sz w:val="32"/>
          <w:szCs w:val="32"/>
        </w:rPr>
        <w:t>59</w:t>
      </w:r>
      <w:r>
        <w:rPr>
          <w:rFonts w:hint="eastAsia"/>
          <w:color w:val="000000" w:themeColor="text1"/>
          <w:sz w:val="32"/>
          <w:szCs w:val="32"/>
          <w14:textFill>
            <w14:solidFill>
              <w14:schemeClr w14:val="tx1"/>
            </w14:solidFill>
          </w14:textFill>
        </w:rPr>
        <w:t>个，其中行政单位</w:t>
      </w:r>
      <w:r>
        <w:rPr>
          <w:rFonts w:hint="eastAsia"/>
          <w:color w:val="0000FF"/>
          <w:sz w:val="32"/>
          <w:szCs w:val="32"/>
        </w:rPr>
        <w:t>1</w:t>
      </w:r>
      <w:r>
        <w:rPr>
          <w:rFonts w:hint="eastAsia"/>
          <w:color w:val="000000" w:themeColor="text1"/>
          <w:sz w:val="32"/>
          <w:szCs w:val="32"/>
          <w14:textFill>
            <w14:solidFill>
              <w14:schemeClr w14:val="tx1"/>
            </w14:solidFill>
          </w14:textFill>
        </w:rPr>
        <w:t>个，参照公务员法管理的事业单位0个，其他事业单位</w:t>
      </w:r>
      <w:r>
        <w:rPr>
          <w:rFonts w:hint="eastAsia"/>
          <w:color w:val="0000FF"/>
          <w:sz w:val="32"/>
          <w:szCs w:val="32"/>
        </w:rPr>
        <w:t>58</w:t>
      </w:r>
      <w:r>
        <w:rPr>
          <w:rFonts w:hint="eastAsia"/>
          <w:color w:val="000000" w:themeColor="text1"/>
          <w:sz w:val="32"/>
          <w:szCs w:val="32"/>
          <w14:textFill>
            <w14:solidFill>
              <w14:schemeClr w14:val="tx1"/>
            </w14:solidFill>
          </w14:textFill>
        </w:rPr>
        <w:t>个。</w:t>
      </w:r>
    </w:p>
    <w:p>
      <w:pPr>
        <w:pStyle w:val="5"/>
        <w:adjustRightInd w:val="0"/>
        <w:snapToGrid w:val="0"/>
        <w:spacing w:before="93" w:line="600" w:lineRule="exact"/>
        <w:ind w:firstLine="672" w:firstLineChars="210"/>
        <w:rPr>
          <w:rFonts w:ascii="仿宋" w:hAnsi="仿宋" w:eastAsia="仿宋"/>
          <w:sz w:val="32"/>
          <w:szCs w:val="32"/>
        </w:rPr>
      </w:pPr>
      <w:r>
        <w:rPr>
          <w:rFonts w:hint="eastAsia" w:ascii="仿宋" w:hAnsi="仿宋" w:eastAsia="仿宋"/>
          <w:sz w:val="32"/>
          <w:szCs w:val="32"/>
        </w:rPr>
        <w:t>纳入利州区教育局2020年度部门决算编制范围的二级预算单位包括：</w:t>
      </w:r>
    </w:p>
    <w:p>
      <w:pPr>
        <w:pStyle w:val="5"/>
        <w:adjustRightInd w:val="0"/>
        <w:snapToGrid w:val="0"/>
        <w:spacing w:before="93" w:line="540" w:lineRule="exact"/>
        <w:ind w:firstLine="640" w:firstLineChars="200"/>
        <w:rPr>
          <w:rFonts w:ascii="仿宋" w:hAnsi="仿宋" w:eastAsia="仿宋"/>
          <w:color w:val="0000FF"/>
          <w:sz w:val="32"/>
          <w:szCs w:val="32"/>
        </w:rPr>
      </w:pPr>
      <w:r>
        <w:rPr>
          <w:rFonts w:hint="eastAsia" w:ascii="仿宋" w:hAnsi="仿宋" w:eastAsia="仿宋"/>
          <w:color w:val="0000FF"/>
          <w:sz w:val="32"/>
          <w:szCs w:val="32"/>
        </w:rPr>
        <w:t>1. 广元市利州区青少年校外活动中心</w:t>
      </w:r>
    </w:p>
    <w:p>
      <w:pPr>
        <w:pStyle w:val="5"/>
        <w:adjustRightInd w:val="0"/>
        <w:snapToGrid w:val="0"/>
        <w:spacing w:before="93" w:line="540" w:lineRule="exact"/>
        <w:ind w:firstLine="640" w:firstLineChars="200"/>
        <w:rPr>
          <w:rFonts w:ascii="仿宋" w:hAnsi="仿宋" w:eastAsia="仿宋"/>
          <w:color w:val="0000FF"/>
          <w:sz w:val="32"/>
          <w:szCs w:val="32"/>
        </w:rPr>
      </w:pPr>
      <w:r>
        <w:rPr>
          <w:rFonts w:hint="eastAsia" w:ascii="仿宋" w:hAnsi="仿宋" w:eastAsia="仿宋"/>
          <w:color w:val="0000FF"/>
          <w:sz w:val="32"/>
          <w:szCs w:val="32"/>
        </w:rPr>
        <w:t>2. 广元市利州区东坝幼儿园</w:t>
      </w:r>
    </w:p>
    <w:p>
      <w:pPr>
        <w:pStyle w:val="5"/>
        <w:adjustRightInd w:val="0"/>
        <w:snapToGrid w:val="0"/>
        <w:spacing w:before="93" w:line="540" w:lineRule="exact"/>
        <w:ind w:firstLine="640" w:firstLineChars="200"/>
        <w:rPr>
          <w:rFonts w:ascii="仿宋" w:hAnsi="仿宋" w:eastAsia="仿宋"/>
          <w:color w:val="0000FF"/>
          <w:sz w:val="32"/>
          <w:szCs w:val="32"/>
        </w:rPr>
      </w:pPr>
      <w:r>
        <w:rPr>
          <w:rFonts w:hint="eastAsia" w:ascii="仿宋" w:hAnsi="仿宋" w:eastAsia="仿宋"/>
          <w:color w:val="0000FF"/>
          <w:sz w:val="32"/>
          <w:szCs w:val="32"/>
        </w:rPr>
        <w:t>3. 广元市利州区北街幼儿园</w:t>
      </w:r>
    </w:p>
    <w:p>
      <w:pPr>
        <w:pStyle w:val="5"/>
        <w:adjustRightInd w:val="0"/>
        <w:snapToGrid w:val="0"/>
        <w:spacing w:before="93" w:line="540" w:lineRule="exact"/>
        <w:ind w:firstLine="640" w:firstLineChars="200"/>
        <w:rPr>
          <w:rFonts w:ascii="仿宋" w:hAnsi="仿宋" w:eastAsia="仿宋"/>
          <w:color w:val="0000FF"/>
          <w:sz w:val="32"/>
          <w:szCs w:val="32"/>
        </w:rPr>
      </w:pPr>
      <w:r>
        <w:rPr>
          <w:rFonts w:hint="eastAsia" w:ascii="仿宋" w:hAnsi="仿宋" w:eastAsia="仿宋"/>
          <w:color w:val="0000FF"/>
          <w:sz w:val="32"/>
          <w:szCs w:val="32"/>
        </w:rPr>
        <w:t>4. 广元市利州区回龙小学</w:t>
      </w:r>
    </w:p>
    <w:p>
      <w:pPr>
        <w:pStyle w:val="5"/>
        <w:adjustRightInd w:val="0"/>
        <w:snapToGrid w:val="0"/>
        <w:spacing w:before="93" w:line="540" w:lineRule="exact"/>
        <w:ind w:firstLine="640" w:firstLineChars="200"/>
        <w:rPr>
          <w:rFonts w:ascii="仿宋" w:hAnsi="仿宋" w:eastAsia="仿宋"/>
          <w:color w:val="0000FF"/>
          <w:sz w:val="32"/>
          <w:szCs w:val="32"/>
        </w:rPr>
      </w:pPr>
      <w:r>
        <w:rPr>
          <w:rFonts w:hint="eastAsia" w:ascii="仿宋" w:hAnsi="仿宋" w:eastAsia="仿宋"/>
          <w:color w:val="0000FF"/>
          <w:sz w:val="32"/>
          <w:szCs w:val="32"/>
        </w:rPr>
        <w:t>5. 广元市利州区嘉陵小学</w:t>
      </w:r>
    </w:p>
    <w:p>
      <w:pPr>
        <w:pStyle w:val="5"/>
        <w:adjustRightInd w:val="0"/>
        <w:snapToGrid w:val="0"/>
        <w:spacing w:before="93" w:line="540" w:lineRule="exact"/>
        <w:ind w:firstLine="640" w:firstLineChars="200"/>
        <w:rPr>
          <w:rFonts w:ascii="仿宋" w:hAnsi="仿宋" w:eastAsia="仿宋"/>
          <w:color w:val="0000FF"/>
          <w:sz w:val="32"/>
          <w:szCs w:val="32"/>
        </w:rPr>
      </w:pPr>
      <w:r>
        <w:rPr>
          <w:rFonts w:hint="eastAsia" w:ascii="仿宋" w:hAnsi="仿宋" w:eastAsia="仿宋"/>
          <w:color w:val="0000FF"/>
          <w:sz w:val="32"/>
          <w:szCs w:val="32"/>
        </w:rPr>
        <w:t>6. 广元市利州区莲花初级中学</w:t>
      </w:r>
    </w:p>
    <w:p>
      <w:pPr>
        <w:pStyle w:val="5"/>
        <w:adjustRightInd w:val="0"/>
        <w:snapToGrid w:val="0"/>
        <w:spacing w:before="93" w:line="540" w:lineRule="exact"/>
        <w:ind w:firstLine="640" w:firstLineChars="200"/>
        <w:rPr>
          <w:rFonts w:ascii="仿宋" w:hAnsi="仿宋" w:eastAsia="仿宋"/>
          <w:color w:val="0000FF"/>
          <w:sz w:val="32"/>
          <w:szCs w:val="32"/>
        </w:rPr>
      </w:pPr>
      <w:r>
        <w:rPr>
          <w:rFonts w:hint="eastAsia" w:ascii="仿宋" w:hAnsi="仿宋" w:eastAsia="仿宋"/>
          <w:color w:val="0000FF"/>
          <w:sz w:val="32"/>
          <w:szCs w:val="32"/>
        </w:rPr>
        <w:t>7. 广元市利州区栖凤小学</w:t>
      </w:r>
    </w:p>
    <w:p>
      <w:pPr>
        <w:pStyle w:val="5"/>
        <w:adjustRightInd w:val="0"/>
        <w:snapToGrid w:val="0"/>
        <w:spacing w:before="93" w:line="540" w:lineRule="exact"/>
        <w:ind w:firstLine="640" w:firstLineChars="200"/>
        <w:rPr>
          <w:rFonts w:ascii="仿宋" w:hAnsi="仿宋" w:eastAsia="仿宋"/>
          <w:color w:val="0000FF"/>
          <w:sz w:val="32"/>
          <w:szCs w:val="32"/>
        </w:rPr>
      </w:pPr>
      <w:r>
        <w:rPr>
          <w:rFonts w:hint="eastAsia" w:ascii="仿宋" w:hAnsi="仿宋" w:eastAsia="仿宋"/>
          <w:color w:val="0000FF"/>
          <w:sz w:val="32"/>
          <w:szCs w:val="32"/>
        </w:rPr>
        <w:t>8. 广元市利州区雪峰小学</w:t>
      </w:r>
    </w:p>
    <w:p>
      <w:pPr>
        <w:pStyle w:val="5"/>
        <w:adjustRightInd w:val="0"/>
        <w:snapToGrid w:val="0"/>
        <w:spacing w:before="93" w:line="540" w:lineRule="exact"/>
        <w:ind w:firstLine="640" w:firstLineChars="200"/>
        <w:rPr>
          <w:rFonts w:ascii="仿宋" w:hAnsi="仿宋" w:eastAsia="仿宋"/>
          <w:color w:val="0000FF"/>
          <w:sz w:val="32"/>
          <w:szCs w:val="32"/>
        </w:rPr>
      </w:pPr>
      <w:r>
        <w:rPr>
          <w:rFonts w:hint="eastAsia" w:ascii="仿宋" w:hAnsi="仿宋" w:eastAsia="仿宋"/>
          <w:color w:val="0000FF"/>
          <w:sz w:val="32"/>
          <w:szCs w:val="32"/>
        </w:rPr>
        <w:t>9. 广元市利州区北街小学</w:t>
      </w:r>
    </w:p>
    <w:p>
      <w:pPr>
        <w:pStyle w:val="5"/>
        <w:adjustRightInd w:val="0"/>
        <w:snapToGrid w:val="0"/>
        <w:spacing w:before="93" w:line="540" w:lineRule="exact"/>
        <w:ind w:firstLine="640" w:firstLineChars="200"/>
        <w:rPr>
          <w:rFonts w:ascii="仿宋" w:hAnsi="仿宋" w:eastAsia="仿宋"/>
          <w:color w:val="0000FF"/>
          <w:sz w:val="32"/>
          <w:szCs w:val="32"/>
        </w:rPr>
      </w:pPr>
      <w:r>
        <w:rPr>
          <w:rFonts w:hint="eastAsia" w:ascii="仿宋" w:hAnsi="仿宋" w:eastAsia="仿宋"/>
          <w:color w:val="0000FF"/>
          <w:sz w:val="32"/>
          <w:szCs w:val="32"/>
        </w:rPr>
        <w:t>10. 广元市利州区八一小学</w:t>
      </w:r>
    </w:p>
    <w:p>
      <w:pPr>
        <w:pStyle w:val="5"/>
        <w:adjustRightInd w:val="0"/>
        <w:snapToGrid w:val="0"/>
        <w:spacing w:before="93" w:line="540" w:lineRule="exact"/>
        <w:ind w:firstLine="640" w:firstLineChars="200"/>
        <w:rPr>
          <w:rFonts w:ascii="仿宋" w:hAnsi="仿宋" w:eastAsia="仿宋"/>
          <w:color w:val="0000FF"/>
          <w:sz w:val="32"/>
          <w:szCs w:val="32"/>
        </w:rPr>
      </w:pPr>
      <w:r>
        <w:rPr>
          <w:rFonts w:hint="eastAsia" w:ascii="仿宋" w:hAnsi="仿宋" w:eastAsia="仿宋"/>
          <w:color w:val="0000FF"/>
          <w:sz w:val="32"/>
          <w:szCs w:val="32"/>
        </w:rPr>
        <w:t>11. 广元市利州区杨家岩小学</w:t>
      </w:r>
    </w:p>
    <w:p>
      <w:pPr>
        <w:pStyle w:val="5"/>
        <w:adjustRightInd w:val="0"/>
        <w:snapToGrid w:val="0"/>
        <w:spacing w:before="93" w:line="540" w:lineRule="exact"/>
        <w:ind w:firstLine="640" w:firstLineChars="200"/>
        <w:rPr>
          <w:rFonts w:ascii="仿宋" w:hAnsi="仿宋" w:eastAsia="仿宋"/>
          <w:color w:val="0000FF"/>
          <w:sz w:val="32"/>
          <w:szCs w:val="32"/>
        </w:rPr>
      </w:pPr>
      <w:r>
        <w:rPr>
          <w:rFonts w:hint="eastAsia" w:ascii="仿宋" w:hAnsi="仿宋" w:eastAsia="仿宋"/>
          <w:color w:val="0000FF"/>
          <w:sz w:val="32"/>
          <w:szCs w:val="32"/>
        </w:rPr>
        <w:t>12. 广元市利州区南鹰小学</w:t>
      </w:r>
    </w:p>
    <w:p>
      <w:pPr>
        <w:pStyle w:val="5"/>
        <w:adjustRightInd w:val="0"/>
        <w:snapToGrid w:val="0"/>
        <w:spacing w:before="93" w:line="540" w:lineRule="exact"/>
        <w:ind w:firstLine="640" w:firstLineChars="200"/>
        <w:rPr>
          <w:rFonts w:ascii="仿宋" w:hAnsi="仿宋" w:eastAsia="仿宋"/>
          <w:color w:val="0000FF"/>
          <w:sz w:val="32"/>
          <w:szCs w:val="32"/>
        </w:rPr>
      </w:pPr>
      <w:r>
        <w:rPr>
          <w:rFonts w:hint="eastAsia" w:ascii="仿宋" w:hAnsi="仿宋" w:eastAsia="仿宋"/>
          <w:color w:val="0000FF"/>
          <w:sz w:val="32"/>
          <w:szCs w:val="32"/>
        </w:rPr>
        <w:t>13. 广元市利州区下西小学</w:t>
      </w:r>
    </w:p>
    <w:p>
      <w:pPr>
        <w:pStyle w:val="5"/>
        <w:adjustRightInd w:val="0"/>
        <w:snapToGrid w:val="0"/>
        <w:spacing w:before="93" w:line="540" w:lineRule="exact"/>
        <w:ind w:firstLine="640" w:firstLineChars="200"/>
        <w:rPr>
          <w:rFonts w:ascii="仿宋" w:hAnsi="仿宋" w:eastAsia="仿宋"/>
          <w:color w:val="0000FF"/>
          <w:sz w:val="32"/>
          <w:szCs w:val="32"/>
        </w:rPr>
      </w:pPr>
      <w:r>
        <w:rPr>
          <w:rFonts w:hint="eastAsia" w:ascii="仿宋" w:hAnsi="仿宋" w:eastAsia="仿宋"/>
          <w:color w:val="0000FF"/>
          <w:sz w:val="32"/>
          <w:szCs w:val="32"/>
        </w:rPr>
        <w:t>14. 广元市利州区上西小学</w:t>
      </w:r>
    </w:p>
    <w:p>
      <w:pPr>
        <w:pStyle w:val="5"/>
        <w:adjustRightInd w:val="0"/>
        <w:snapToGrid w:val="0"/>
        <w:spacing w:before="93" w:line="540" w:lineRule="exact"/>
        <w:ind w:firstLine="640" w:firstLineChars="200"/>
        <w:rPr>
          <w:rFonts w:ascii="仿宋" w:hAnsi="仿宋" w:eastAsia="仿宋"/>
          <w:color w:val="0000FF"/>
          <w:sz w:val="32"/>
          <w:szCs w:val="32"/>
        </w:rPr>
      </w:pPr>
      <w:r>
        <w:rPr>
          <w:rFonts w:hint="eastAsia" w:ascii="仿宋" w:hAnsi="仿宋" w:eastAsia="仿宋"/>
          <w:color w:val="0000FF"/>
          <w:sz w:val="32"/>
          <w:szCs w:val="32"/>
        </w:rPr>
        <w:t>15. 广元市利州区吴家浩小学</w:t>
      </w:r>
    </w:p>
    <w:p>
      <w:pPr>
        <w:pStyle w:val="5"/>
        <w:adjustRightInd w:val="0"/>
        <w:snapToGrid w:val="0"/>
        <w:spacing w:before="93" w:line="540" w:lineRule="exact"/>
        <w:ind w:firstLine="640" w:firstLineChars="200"/>
        <w:rPr>
          <w:rFonts w:ascii="仿宋" w:hAnsi="仿宋" w:eastAsia="仿宋"/>
          <w:color w:val="0000FF"/>
          <w:sz w:val="32"/>
          <w:szCs w:val="32"/>
        </w:rPr>
      </w:pPr>
      <w:r>
        <w:rPr>
          <w:rFonts w:hint="eastAsia" w:ascii="仿宋" w:hAnsi="仿宋" w:eastAsia="仿宋"/>
          <w:color w:val="0000FF"/>
          <w:sz w:val="32"/>
          <w:szCs w:val="32"/>
        </w:rPr>
        <w:t>16. 广元市利州区东城实验学校</w:t>
      </w:r>
    </w:p>
    <w:p>
      <w:pPr>
        <w:pStyle w:val="5"/>
        <w:adjustRightInd w:val="0"/>
        <w:snapToGrid w:val="0"/>
        <w:spacing w:before="93" w:line="540" w:lineRule="exact"/>
        <w:ind w:firstLine="640" w:firstLineChars="200"/>
        <w:rPr>
          <w:rFonts w:ascii="仿宋" w:hAnsi="仿宋" w:eastAsia="仿宋"/>
          <w:color w:val="0000FF"/>
          <w:sz w:val="32"/>
          <w:szCs w:val="32"/>
        </w:rPr>
      </w:pPr>
      <w:r>
        <w:rPr>
          <w:rFonts w:hint="eastAsia" w:ascii="仿宋" w:hAnsi="仿宋" w:eastAsia="仿宋"/>
          <w:color w:val="0000FF"/>
          <w:sz w:val="32"/>
          <w:szCs w:val="32"/>
        </w:rPr>
        <w:t>17. 广元市利州区嘉陵第一初级中学</w:t>
      </w:r>
    </w:p>
    <w:p>
      <w:pPr>
        <w:pStyle w:val="5"/>
        <w:adjustRightInd w:val="0"/>
        <w:snapToGrid w:val="0"/>
        <w:spacing w:before="93" w:line="540" w:lineRule="exact"/>
        <w:ind w:firstLine="640" w:firstLineChars="200"/>
        <w:rPr>
          <w:rFonts w:ascii="仿宋" w:hAnsi="仿宋" w:eastAsia="仿宋"/>
          <w:color w:val="0000FF"/>
          <w:sz w:val="32"/>
          <w:szCs w:val="32"/>
        </w:rPr>
      </w:pPr>
      <w:r>
        <w:rPr>
          <w:rFonts w:hint="eastAsia" w:ascii="仿宋" w:hAnsi="仿宋" w:eastAsia="仿宋"/>
          <w:color w:val="0000FF"/>
          <w:sz w:val="32"/>
          <w:szCs w:val="32"/>
        </w:rPr>
        <w:t>18. 广元市利州区大东英才学校</w:t>
      </w:r>
    </w:p>
    <w:p>
      <w:pPr>
        <w:pStyle w:val="5"/>
        <w:adjustRightInd w:val="0"/>
        <w:snapToGrid w:val="0"/>
        <w:spacing w:before="93" w:line="540" w:lineRule="exact"/>
        <w:ind w:firstLine="640" w:firstLineChars="200"/>
        <w:rPr>
          <w:rFonts w:ascii="仿宋" w:hAnsi="仿宋" w:eastAsia="仿宋"/>
          <w:color w:val="0000FF"/>
          <w:sz w:val="32"/>
          <w:szCs w:val="32"/>
        </w:rPr>
      </w:pPr>
      <w:r>
        <w:rPr>
          <w:rFonts w:hint="eastAsia" w:ascii="仿宋" w:hAnsi="仿宋" w:eastAsia="仿宋"/>
          <w:color w:val="0000FF"/>
          <w:sz w:val="32"/>
          <w:szCs w:val="32"/>
        </w:rPr>
        <w:t>19. 广元市利州区西城初级中学</w:t>
      </w:r>
    </w:p>
    <w:p>
      <w:pPr>
        <w:pStyle w:val="5"/>
        <w:adjustRightInd w:val="0"/>
        <w:snapToGrid w:val="0"/>
        <w:spacing w:before="93" w:line="540" w:lineRule="exact"/>
        <w:ind w:firstLine="640" w:firstLineChars="200"/>
        <w:rPr>
          <w:rFonts w:ascii="仿宋" w:hAnsi="仿宋" w:eastAsia="仿宋"/>
          <w:color w:val="0000FF"/>
          <w:sz w:val="32"/>
          <w:szCs w:val="32"/>
        </w:rPr>
      </w:pPr>
      <w:r>
        <w:rPr>
          <w:rFonts w:hint="eastAsia" w:ascii="仿宋" w:hAnsi="仿宋" w:eastAsia="仿宋"/>
          <w:color w:val="0000FF"/>
          <w:sz w:val="32"/>
          <w:szCs w:val="32"/>
        </w:rPr>
        <w:t>20. 四川省广元市上西中学</w:t>
      </w:r>
    </w:p>
    <w:p>
      <w:pPr>
        <w:pStyle w:val="5"/>
        <w:adjustRightInd w:val="0"/>
        <w:snapToGrid w:val="0"/>
        <w:spacing w:before="93" w:line="540" w:lineRule="exact"/>
        <w:ind w:firstLine="640" w:firstLineChars="200"/>
        <w:rPr>
          <w:rFonts w:ascii="仿宋" w:hAnsi="仿宋" w:eastAsia="仿宋"/>
          <w:color w:val="0000FF"/>
          <w:sz w:val="32"/>
          <w:szCs w:val="32"/>
        </w:rPr>
      </w:pPr>
      <w:r>
        <w:rPr>
          <w:rFonts w:hint="eastAsia" w:ascii="仿宋" w:hAnsi="仿宋" w:eastAsia="仿宋"/>
          <w:color w:val="0000FF"/>
          <w:sz w:val="32"/>
          <w:szCs w:val="32"/>
        </w:rPr>
        <w:t>21. 四川省广元市第一职业技术学校</w:t>
      </w:r>
    </w:p>
    <w:p>
      <w:pPr>
        <w:pStyle w:val="5"/>
        <w:adjustRightInd w:val="0"/>
        <w:snapToGrid w:val="0"/>
        <w:spacing w:before="93" w:line="540" w:lineRule="exact"/>
        <w:ind w:firstLine="640" w:firstLineChars="200"/>
        <w:rPr>
          <w:rFonts w:ascii="仿宋" w:hAnsi="仿宋" w:eastAsia="仿宋"/>
          <w:color w:val="0000FF"/>
          <w:sz w:val="32"/>
          <w:szCs w:val="32"/>
        </w:rPr>
      </w:pPr>
      <w:r>
        <w:rPr>
          <w:rFonts w:hint="eastAsia" w:ascii="仿宋" w:hAnsi="仿宋" w:eastAsia="仿宋"/>
          <w:color w:val="0000FF"/>
          <w:sz w:val="32"/>
          <w:szCs w:val="32"/>
        </w:rPr>
        <w:t>22. 广元特殊教育学校</w:t>
      </w:r>
    </w:p>
    <w:p>
      <w:pPr>
        <w:pStyle w:val="5"/>
        <w:adjustRightInd w:val="0"/>
        <w:snapToGrid w:val="0"/>
        <w:spacing w:before="93" w:line="540" w:lineRule="exact"/>
        <w:ind w:firstLine="640" w:firstLineChars="200"/>
        <w:rPr>
          <w:rFonts w:ascii="仿宋" w:hAnsi="仿宋" w:eastAsia="仿宋"/>
          <w:color w:val="0000FF"/>
          <w:sz w:val="32"/>
          <w:szCs w:val="32"/>
        </w:rPr>
      </w:pPr>
      <w:r>
        <w:rPr>
          <w:rFonts w:hint="eastAsia" w:ascii="仿宋" w:hAnsi="仿宋" w:eastAsia="仿宋"/>
          <w:color w:val="0000FF"/>
          <w:sz w:val="32"/>
          <w:szCs w:val="32"/>
        </w:rPr>
        <w:t>23. 广元市利州区广明小学</w:t>
      </w:r>
    </w:p>
    <w:p>
      <w:pPr>
        <w:pStyle w:val="5"/>
        <w:adjustRightInd w:val="0"/>
        <w:snapToGrid w:val="0"/>
        <w:spacing w:before="93" w:line="540" w:lineRule="exact"/>
        <w:ind w:firstLine="640" w:firstLineChars="200"/>
        <w:rPr>
          <w:rFonts w:ascii="仿宋" w:hAnsi="仿宋" w:eastAsia="仿宋"/>
          <w:color w:val="0000FF"/>
          <w:sz w:val="32"/>
          <w:szCs w:val="32"/>
        </w:rPr>
      </w:pPr>
      <w:r>
        <w:rPr>
          <w:rFonts w:hint="eastAsia" w:ascii="仿宋" w:hAnsi="仿宋" w:eastAsia="仿宋"/>
          <w:color w:val="0000FF"/>
          <w:sz w:val="32"/>
          <w:szCs w:val="32"/>
        </w:rPr>
        <w:t>24. 广元市利州区建平初级中学</w:t>
      </w:r>
    </w:p>
    <w:p>
      <w:pPr>
        <w:pStyle w:val="5"/>
        <w:adjustRightInd w:val="0"/>
        <w:snapToGrid w:val="0"/>
        <w:spacing w:before="93" w:line="540" w:lineRule="exact"/>
        <w:ind w:firstLine="640" w:firstLineChars="200"/>
        <w:rPr>
          <w:rFonts w:ascii="仿宋" w:hAnsi="仿宋" w:eastAsia="仿宋"/>
          <w:color w:val="0000FF"/>
          <w:sz w:val="32"/>
          <w:szCs w:val="32"/>
        </w:rPr>
      </w:pPr>
      <w:r>
        <w:rPr>
          <w:rFonts w:hint="eastAsia" w:ascii="仿宋" w:hAnsi="仿宋" w:eastAsia="仿宋"/>
          <w:color w:val="0000FF"/>
          <w:sz w:val="32"/>
          <w:szCs w:val="32"/>
        </w:rPr>
        <w:t>25. 广元市正德中学</w:t>
      </w:r>
    </w:p>
    <w:p>
      <w:pPr>
        <w:pStyle w:val="5"/>
        <w:adjustRightInd w:val="0"/>
        <w:snapToGrid w:val="0"/>
        <w:spacing w:before="93" w:line="540" w:lineRule="exact"/>
        <w:ind w:firstLine="640" w:firstLineChars="200"/>
        <w:rPr>
          <w:rFonts w:ascii="仿宋" w:hAnsi="仿宋" w:eastAsia="仿宋"/>
          <w:color w:val="0000FF"/>
          <w:sz w:val="32"/>
          <w:szCs w:val="32"/>
        </w:rPr>
      </w:pPr>
      <w:r>
        <w:rPr>
          <w:rFonts w:hint="eastAsia" w:ascii="仿宋" w:hAnsi="仿宋" w:eastAsia="仿宋"/>
          <w:color w:val="0000FF"/>
          <w:sz w:val="32"/>
          <w:szCs w:val="32"/>
        </w:rPr>
        <w:t>26. 广元市利州区杨家浩小学</w:t>
      </w:r>
    </w:p>
    <w:p>
      <w:pPr>
        <w:pStyle w:val="5"/>
        <w:adjustRightInd w:val="0"/>
        <w:snapToGrid w:val="0"/>
        <w:spacing w:before="93" w:line="540" w:lineRule="exact"/>
        <w:ind w:firstLine="640" w:firstLineChars="200"/>
        <w:rPr>
          <w:rFonts w:ascii="仿宋" w:hAnsi="仿宋" w:eastAsia="仿宋"/>
          <w:color w:val="0000FF"/>
          <w:sz w:val="32"/>
          <w:szCs w:val="32"/>
        </w:rPr>
      </w:pPr>
      <w:r>
        <w:rPr>
          <w:rFonts w:hint="eastAsia" w:ascii="仿宋" w:hAnsi="仿宋" w:eastAsia="仿宋"/>
          <w:color w:val="0000FF"/>
          <w:sz w:val="32"/>
          <w:szCs w:val="32"/>
        </w:rPr>
        <w:t>27. 广元市利州区宝轮幼儿园</w:t>
      </w:r>
    </w:p>
    <w:p>
      <w:pPr>
        <w:pStyle w:val="5"/>
        <w:adjustRightInd w:val="0"/>
        <w:snapToGrid w:val="0"/>
        <w:spacing w:before="93" w:line="540" w:lineRule="exact"/>
        <w:ind w:firstLine="640" w:firstLineChars="200"/>
        <w:rPr>
          <w:rFonts w:ascii="仿宋" w:hAnsi="仿宋" w:eastAsia="仿宋"/>
          <w:color w:val="0000FF"/>
          <w:sz w:val="32"/>
          <w:szCs w:val="32"/>
        </w:rPr>
      </w:pPr>
      <w:r>
        <w:rPr>
          <w:rFonts w:hint="eastAsia" w:ascii="仿宋" w:hAnsi="仿宋" w:eastAsia="仿宋"/>
          <w:color w:val="0000FF"/>
          <w:sz w:val="32"/>
          <w:szCs w:val="32"/>
        </w:rPr>
        <w:t>28. 广元市利州区白朝小学</w:t>
      </w:r>
    </w:p>
    <w:p>
      <w:pPr>
        <w:pStyle w:val="5"/>
        <w:adjustRightInd w:val="0"/>
        <w:snapToGrid w:val="0"/>
        <w:spacing w:before="93" w:line="540" w:lineRule="exact"/>
        <w:ind w:firstLine="640" w:firstLineChars="200"/>
        <w:rPr>
          <w:rFonts w:ascii="仿宋" w:hAnsi="仿宋" w:eastAsia="仿宋"/>
          <w:color w:val="0000FF"/>
          <w:sz w:val="32"/>
          <w:szCs w:val="32"/>
        </w:rPr>
      </w:pPr>
      <w:r>
        <w:rPr>
          <w:rFonts w:hint="eastAsia" w:ascii="仿宋" w:hAnsi="仿宋" w:eastAsia="仿宋"/>
          <w:color w:val="0000FF"/>
          <w:sz w:val="32"/>
          <w:szCs w:val="32"/>
        </w:rPr>
        <w:t>29. 广元市利州区石羊小学</w:t>
      </w:r>
    </w:p>
    <w:p>
      <w:pPr>
        <w:pStyle w:val="5"/>
        <w:adjustRightInd w:val="0"/>
        <w:snapToGrid w:val="0"/>
        <w:spacing w:before="93" w:line="540" w:lineRule="exact"/>
        <w:ind w:firstLine="640" w:firstLineChars="200"/>
        <w:rPr>
          <w:rFonts w:ascii="仿宋" w:hAnsi="仿宋" w:eastAsia="仿宋"/>
          <w:color w:val="0000FF"/>
          <w:sz w:val="32"/>
          <w:szCs w:val="32"/>
        </w:rPr>
      </w:pPr>
      <w:r>
        <w:rPr>
          <w:rFonts w:hint="eastAsia" w:ascii="仿宋" w:hAnsi="仿宋" w:eastAsia="仿宋"/>
          <w:color w:val="0000FF"/>
          <w:sz w:val="32"/>
          <w:szCs w:val="32"/>
        </w:rPr>
        <w:t>30. 广元市利州区宝轮第一小学</w:t>
      </w:r>
    </w:p>
    <w:p>
      <w:pPr>
        <w:pStyle w:val="5"/>
        <w:adjustRightInd w:val="0"/>
        <w:snapToGrid w:val="0"/>
        <w:spacing w:before="93" w:line="540" w:lineRule="exact"/>
        <w:ind w:firstLine="640" w:firstLineChars="200"/>
        <w:rPr>
          <w:rFonts w:ascii="仿宋" w:hAnsi="仿宋" w:eastAsia="仿宋"/>
          <w:color w:val="0000FF"/>
          <w:sz w:val="32"/>
          <w:szCs w:val="32"/>
        </w:rPr>
      </w:pPr>
      <w:r>
        <w:rPr>
          <w:rFonts w:hint="eastAsia" w:ascii="仿宋" w:hAnsi="仿宋" w:eastAsia="仿宋"/>
          <w:color w:val="0000FF"/>
          <w:sz w:val="32"/>
          <w:szCs w:val="32"/>
        </w:rPr>
        <w:t>31. 广元市利州区七一宝轮小学</w:t>
      </w:r>
    </w:p>
    <w:p>
      <w:pPr>
        <w:pStyle w:val="5"/>
        <w:adjustRightInd w:val="0"/>
        <w:snapToGrid w:val="0"/>
        <w:spacing w:before="93" w:line="540" w:lineRule="exact"/>
        <w:ind w:firstLine="640" w:firstLineChars="200"/>
        <w:rPr>
          <w:rFonts w:ascii="仿宋" w:hAnsi="仿宋" w:eastAsia="仿宋"/>
          <w:color w:val="0000FF"/>
          <w:sz w:val="32"/>
          <w:szCs w:val="32"/>
        </w:rPr>
      </w:pPr>
      <w:r>
        <w:rPr>
          <w:rFonts w:hint="eastAsia" w:ascii="仿宋" w:hAnsi="仿宋" w:eastAsia="仿宋"/>
          <w:color w:val="0000FF"/>
          <w:sz w:val="32"/>
          <w:szCs w:val="32"/>
        </w:rPr>
        <w:t>32. 广元市利州区石龙小学</w:t>
      </w:r>
    </w:p>
    <w:p>
      <w:pPr>
        <w:pStyle w:val="5"/>
        <w:adjustRightInd w:val="0"/>
        <w:snapToGrid w:val="0"/>
        <w:spacing w:before="93" w:line="540" w:lineRule="exact"/>
        <w:ind w:firstLine="640" w:firstLineChars="200"/>
        <w:rPr>
          <w:rFonts w:ascii="仿宋" w:hAnsi="仿宋" w:eastAsia="仿宋"/>
          <w:color w:val="0000FF"/>
          <w:sz w:val="32"/>
          <w:szCs w:val="32"/>
        </w:rPr>
      </w:pPr>
      <w:r>
        <w:rPr>
          <w:rFonts w:hint="eastAsia" w:ascii="仿宋" w:hAnsi="仿宋" w:eastAsia="仿宋"/>
          <w:color w:val="0000FF"/>
          <w:sz w:val="32"/>
          <w:szCs w:val="32"/>
        </w:rPr>
        <w:t>33. 广元市利州区盘龙第三小学</w:t>
      </w:r>
    </w:p>
    <w:p>
      <w:pPr>
        <w:pStyle w:val="5"/>
        <w:adjustRightInd w:val="0"/>
        <w:snapToGrid w:val="0"/>
        <w:spacing w:before="93" w:line="540" w:lineRule="exact"/>
        <w:ind w:firstLine="640" w:firstLineChars="200"/>
        <w:rPr>
          <w:rFonts w:ascii="仿宋" w:hAnsi="仿宋" w:eastAsia="仿宋"/>
          <w:color w:val="0000FF"/>
          <w:sz w:val="32"/>
          <w:szCs w:val="32"/>
        </w:rPr>
      </w:pPr>
      <w:r>
        <w:rPr>
          <w:rFonts w:hint="eastAsia" w:ascii="仿宋" w:hAnsi="仿宋" w:eastAsia="仿宋"/>
          <w:color w:val="0000FF"/>
          <w:sz w:val="32"/>
          <w:szCs w:val="32"/>
        </w:rPr>
        <w:t>34. 广元市利州区宝轮第三小学</w:t>
      </w:r>
    </w:p>
    <w:p>
      <w:pPr>
        <w:pStyle w:val="5"/>
        <w:adjustRightInd w:val="0"/>
        <w:snapToGrid w:val="0"/>
        <w:spacing w:before="93" w:line="540" w:lineRule="exact"/>
        <w:ind w:firstLine="640" w:firstLineChars="200"/>
        <w:rPr>
          <w:rFonts w:ascii="仿宋" w:hAnsi="仿宋" w:eastAsia="仿宋"/>
          <w:color w:val="0000FF"/>
          <w:sz w:val="32"/>
          <w:szCs w:val="32"/>
        </w:rPr>
      </w:pPr>
      <w:r>
        <w:rPr>
          <w:rFonts w:hint="eastAsia" w:ascii="仿宋" w:hAnsi="仿宋" w:eastAsia="仿宋"/>
          <w:color w:val="0000FF"/>
          <w:sz w:val="32"/>
          <w:szCs w:val="32"/>
        </w:rPr>
        <w:t>35. 广元市利州区范家小学</w:t>
      </w:r>
    </w:p>
    <w:p>
      <w:pPr>
        <w:pStyle w:val="5"/>
        <w:adjustRightInd w:val="0"/>
        <w:snapToGrid w:val="0"/>
        <w:spacing w:before="93" w:line="540" w:lineRule="exact"/>
        <w:ind w:firstLine="640" w:firstLineChars="200"/>
        <w:rPr>
          <w:rFonts w:ascii="仿宋" w:hAnsi="仿宋" w:eastAsia="仿宋"/>
          <w:color w:val="0000FF"/>
          <w:sz w:val="32"/>
          <w:szCs w:val="32"/>
        </w:rPr>
      </w:pPr>
      <w:r>
        <w:rPr>
          <w:rFonts w:hint="eastAsia" w:ascii="仿宋" w:hAnsi="仿宋" w:eastAsia="仿宋"/>
          <w:color w:val="0000FF"/>
          <w:sz w:val="32"/>
          <w:szCs w:val="32"/>
        </w:rPr>
        <w:t>36. 广元市利州区金洞小学</w:t>
      </w:r>
    </w:p>
    <w:p>
      <w:pPr>
        <w:pStyle w:val="5"/>
        <w:adjustRightInd w:val="0"/>
        <w:snapToGrid w:val="0"/>
        <w:spacing w:before="93" w:line="540" w:lineRule="exact"/>
        <w:ind w:firstLine="640" w:firstLineChars="200"/>
        <w:rPr>
          <w:rFonts w:ascii="仿宋" w:hAnsi="仿宋" w:eastAsia="仿宋"/>
          <w:color w:val="0000FF"/>
          <w:sz w:val="32"/>
          <w:szCs w:val="32"/>
        </w:rPr>
      </w:pPr>
      <w:r>
        <w:rPr>
          <w:rFonts w:hint="eastAsia" w:ascii="仿宋" w:hAnsi="仿宋" w:eastAsia="仿宋"/>
          <w:color w:val="0000FF"/>
          <w:sz w:val="32"/>
          <w:szCs w:val="32"/>
        </w:rPr>
        <w:t>37. 广元市利州区清河小学</w:t>
      </w:r>
    </w:p>
    <w:p>
      <w:pPr>
        <w:pStyle w:val="5"/>
        <w:adjustRightInd w:val="0"/>
        <w:snapToGrid w:val="0"/>
        <w:spacing w:before="93" w:line="540" w:lineRule="exact"/>
        <w:ind w:firstLine="640" w:firstLineChars="200"/>
        <w:rPr>
          <w:rFonts w:ascii="仿宋" w:hAnsi="仿宋" w:eastAsia="仿宋"/>
          <w:color w:val="0000FF"/>
          <w:sz w:val="32"/>
          <w:szCs w:val="32"/>
        </w:rPr>
      </w:pPr>
      <w:r>
        <w:rPr>
          <w:rFonts w:hint="eastAsia" w:ascii="仿宋" w:hAnsi="仿宋" w:eastAsia="仿宋"/>
          <w:color w:val="0000FF"/>
          <w:sz w:val="32"/>
          <w:szCs w:val="32"/>
        </w:rPr>
        <w:t>38. 广元市利州区三堆小学</w:t>
      </w:r>
    </w:p>
    <w:p>
      <w:pPr>
        <w:pStyle w:val="5"/>
        <w:adjustRightInd w:val="0"/>
        <w:snapToGrid w:val="0"/>
        <w:spacing w:before="93" w:line="540" w:lineRule="exact"/>
        <w:ind w:firstLine="640" w:firstLineChars="200"/>
        <w:rPr>
          <w:rFonts w:ascii="仿宋" w:hAnsi="仿宋" w:eastAsia="仿宋"/>
          <w:color w:val="0000FF"/>
          <w:sz w:val="32"/>
          <w:szCs w:val="32"/>
        </w:rPr>
      </w:pPr>
      <w:r>
        <w:rPr>
          <w:rFonts w:hint="eastAsia" w:ascii="仿宋" w:hAnsi="仿宋" w:eastAsia="仿宋"/>
          <w:color w:val="0000FF"/>
          <w:sz w:val="32"/>
          <w:szCs w:val="32"/>
        </w:rPr>
        <w:t>39. 广元市利州区宝珠小学</w:t>
      </w:r>
    </w:p>
    <w:p>
      <w:pPr>
        <w:pStyle w:val="5"/>
        <w:adjustRightInd w:val="0"/>
        <w:snapToGrid w:val="0"/>
        <w:spacing w:before="93" w:line="540" w:lineRule="exact"/>
        <w:ind w:firstLine="640" w:firstLineChars="200"/>
        <w:rPr>
          <w:rFonts w:ascii="仿宋" w:hAnsi="仿宋" w:eastAsia="仿宋"/>
          <w:color w:val="0000FF"/>
          <w:sz w:val="32"/>
          <w:szCs w:val="32"/>
        </w:rPr>
      </w:pPr>
      <w:r>
        <w:rPr>
          <w:rFonts w:hint="eastAsia" w:ascii="仿宋" w:hAnsi="仿宋" w:eastAsia="仿宋"/>
          <w:color w:val="0000FF"/>
          <w:sz w:val="32"/>
          <w:szCs w:val="32"/>
        </w:rPr>
        <w:t>40. 广元市利州区井田小学</w:t>
      </w:r>
    </w:p>
    <w:p>
      <w:pPr>
        <w:pStyle w:val="5"/>
        <w:adjustRightInd w:val="0"/>
        <w:snapToGrid w:val="0"/>
        <w:spacing w:before="93" w:line="540" w:lineRule="exact"/>
        <w:ind w:firstLine="640" w:firstLineChars="200"/>
        <w:rPr>
          <w:rFonts w:ascii="仿宋" w:hAnsi="仿宋" w:eastAsia="仿宋"/>
          <w:color w:val="0000FF"/>
          <w:sz w:val="32"/>
          <w:szCs w:val="32"/>
        </w:rPr>
      </w:pPr>
      <w:r>
        <w:rPr>
          <w:rFonts w:hint="eastAsia" w:ascii="仿宋" w:hAnsi="仿宋" w:eastAsia="仿宋"/>
          <w:color w:val="0000FF"/>
          <w:sz w:val="32"/>
          <w:szCs w:val="32"/>
        </w:rPr>
        <w:t>41. 广元市利州区盘龙第一小学</w:t>
      </w:r>
    </w:p>
    <w:p>
      <w:pPr>
        <w:pStyle w:val="5"/>
        <w:adjustRightInd w:val="0"/>
        <w:snapToGrid w:val="0"/>
        <w:spacing w:before="93" w:line="540" w:lineRule="exact"/>
        <w:ind w:firstLine="640" w:firstLineChars="200"/>
        <w:rPr>
          <w:rFonts w:ascii="仿宋" w:hAnsi="仿宋" w:eastAsia="仿宋"/>
          <w:color w:val="0000FF"/>
          <w:sz w:val="32"/>
          <w:szCs w:val="32"/>
        </w:rPr>
      </w:pPr>
      <w:r>
        <w:rPr>
          <w:rFonts w:hint="eastAsia" w:ascii="仿宋" w:hAnsi="仿宋" w:eastAsia="仿宋"/>
          <w:color w:val="0000FF"/>
          <w:sz w:val="32"/>
          <w:szCs w:val="32"/>
        </w:rPr>
        <w:t>42. 广元市利州区盘龙第二小学</w:t>
      </w:r>
    </w:p>
    <w:p>
      <w:pPr>
        <w:pStyle w:val="5"/>
        <w:adjustRightInd w:val="0"/>
        <w:snapToGrid w:val="0"/>
        <w:spacing w:before="93" w:line="540" w:lineRule="exact"/>
        <w:ind w:firstLine="640" w:firstLineChars="200"/>
        <w:rPr>
          <w:rFonts w:ascii="仿宋" w:hAnsi="仿宋" w:eastAsia="仿宋"/>
          <w:color w:val="0000FF"/>
          <w:sz w:val="32"/>
          <w:szCs w:val="32"/>
        </w:rPr>
      </w:pPr>
      <w:r>
        <w:rPr>
          <w:rFonts w:hint="eastAsia" w:ascii="仿宋" w:hAnsi="仿宋" w:eastAsia="仿宋"/>
          <w:color w:val="0000FF"/>
          <w:sz w:val="32"/>
          <w:szCs w:val="32"/>
        </w:rPr>
        <w:t>43. 广元市利州区工农小学</w:t>
      </w:r>
    </w:p>
    <w:p>
      <w:pPr>
        <w:pStyle w:val="5"/>
        <w:adjustRightInd w:val="0"/>
        <w:snapToGrid w:val="0"/>
        <w:spacing w:before="93" w:line="540" w:lineRule="exact"/>
        <w:ind w:firstLine="640" w:firstLineChars="200"/>
        <w:rPr>
          <w:rFonts w:ascii="仿宋" w:hAnsi="仿宋" w:eastAsia="仿宋"/>
          <w:color w:val="0000FF"/>
          <w:sz w:val="32"/>
          <w:szCs w:val="32"/>
        </w:rPr>
      </w:pPr>
      <w:r>
        <w:rPr>
          <w:rFonts w:hint="eastAsia" w:ascii="仿宋" w:hAnsi="仿宋" w:eastAsia="仿宋"/>
          <w:color w:val="0000FF"/>
          <w:sz w:val="32"/>
          <w:szCs w:val="32"/>
        </w:rPr>
        <w:t>44. 广元市利州区龙潭小学</w:t>
      </w:r>
    </w:p>
    <w:p>
      <w:pPr>
        <w:pStyle w:val="5"/>
        <w:adjustRightInd w:val="0"/>
        <w:snapToGrid w:val="0"/>
        <w:spacing w:before="93" w:line="540" w:lineRule="exact"/>
        <w:ind w:firstLine="640" w:firstLineChars="200"/>
        <w:rPr>
          <w:rFonts w:ascii="仿宋" w:hAnsi="仿宋" w:eastAsia="仿宋"/>
          <w:color w:val="0000FF"/>
          <w:sz w:val="32"/>
          <w:szCs w:val="32"/>
        </w:rPr>
      </w:pPr>
      <w:r>
        <w:rPr>
          <w:rFonts w:hint="eastAsia" w:ascii="仿宋" w:hAnsi="仿宋" w:eastAsia="仿宋"/>
          <w:color w:val="0000FF"/>
          <w:sz w:val="32"/>
          <w:szCs w:val="32"/>
        </w:rPr>
        <w:t>45. 广元市利州区民族小学</w:t>
      </w:r>
    </w:p>
    <w:p>
      <w:pPr>
        <w:pStyle w:val="5"/>
        <w:adjustRightInd w:val="0"/>
        <w:snapToGrid w:val="0"/>
        <w:spacing w:before="93" w:line="540" w:lineRule="exact"/>
        <w:ind w:firstLine="640" w:firstLineChars="200"/>
        <w:rPr>
          <w:rFonts w:ascii="仿宋" w:hAnsi="仿宋" w:eastAsia="仿宋"/>
          <w:color w:val="0000FF"/>
          <w:sz w:val="32"/>
          <w:szCs w:val="32"/>
        </w:rPr>
      </w:pPr>
      <w:r>
        <w:rPr>
          <w:rFonts w:hint="eastAsia" w:ascii="仿宋" w:hAnsi="仿宋" w:eastAsia="仿宋"/>
          <w:color w:val="0000FF"/>
          <w:sz w:val="32"/>
          <w:szCs w:val="32"/>
        </w:rPr>
        <w:t>46. 广元市利州区大石小学</w:t>
      </w:r>
    </w:p>
    <w:p>
      <w:pPr>
        <w:pStyle w:val="5"/>
        <w:adjustRightInd w:val="0"/>
        <w:snapToGrid w:val="0"/>
        <w:spacing w:before="93" w:line="540" w:lineRule="exact"/>
        <w:ind w:firstLine="640" w:firstLineChars="200"/>
        <w:rPr>
          <w:rFonts w:ascii="仿宋" w:hAnsi="仿宋" w:eastAsia="仿宋"/>
          <w:color w:val="0000FF"/>
          <w:sz w:val="32"/>
          <w:szCs w:val="32"/>
        </w:rPr>
      </w:pPr>
      <w:r>
        <w:rPr>
          <w:rFonts w:hint="eastAsia" w:ascii="仿宋" w:hAnsi="仿宋" w:eastAsia="仿宋"/>
          <w:color w:val="0000FF"/>
          <w:sz w:val="32"/>
          <w:szCs w:val="32"/>
        </w:rPr>
        <w:t>47. 广元市利州区龙王小学</w:t>
      </w:r>
    </w:p>
    <w:p>
      <w:pPr>
        <w:pStyle w:val="5"/>
        <w:adjustRightInd w:val="0"/>
        <w:snapToGrid w:val="0"/>
        <w:spacing w:before="93" w:line="540" w:lineRule="exact"/>
        <w:ind w:firstLine="640" w:firstLineChars="200"/>
        <w:rPr>
          <w:rFonts w:ascii="仿宋" w:hAnsi="仿宋" w:eastAsia="仿宋"/>
          <w:color w:val="0000FF"/>
          <w:sz w:val="32"/>
          <w:szCs w:val="32"/>
        </w:rPr>
      </w:pPr>
      <w:r>
        <w:rPr>
          <w:rFonts w:hint="eastAsia" w:ascii="仿宋" w:hAnsi="仿宋" w:eastAsia="仿宋"/>
          <w:color w:val="0000FF"/>
          <w:sz w:val="32"/>
          <w:szCs w:val="32"/>
        </w:rPr>
        <w:t>48. 广元市利州区荣山第三小学</w:t>
      </w:r>
    </w:p>
    <w:p>
      <w:pPr>
        <w:pStyle w:val="5"/>
        <w:adjustRightInd w:val="0"/>
        <w:snapToGrid w:val="0"/>
        <w:spacing w:before="93" w:line="540" w:lineRule="exact"/>
        <w:ind w:firstLine="640" w:firstLineChars="200"/>
        <w:rPr>
          <w:rFonts w:ascii="仿宋" w:hAnsi="仿宋" w:eastAsia="仿宋"/>
          <w:color w:val="0000FF"/>
          <w:sz w:val="32"/>
          <w:szCs w:val="32"/>
        </w:rPr>
      </w:pPr>
      <w:r>
        <w:rPr>
          <w:rFonts w:hint="eastAsia" w:ascii="仿宋" w:hAnsi="仿宋" w:eastAsia="仿宋"/>
          <w:color w:val="0000FF"/>
          <w:sz w:val="32"/>
          <w:szCs w:val="32"/>
        </w:rPr>
        <w:t>49. 广元市利州区赤化初级中学</w:t>
      </w:r>
    </w:p>
    <w:p>
      <w:pPr>
        <w:pStyle w:val="5"/>
        <w:adjustRightInd w:val="0"/>
        <w:snapToGrid w:val="0"/>
        <w:spacing w:before="93" w:line="540" w:lineRule="exact"/>
        <w:ind w:firstLine="640" w:firstLineChars="200"/>
        <w:rPr>
          <w:rFonts w:ascii="仿宋" w:hAnsi="仿宋" w:eastAsia="仿宋"/>
          <w:color w:val="0000FF"/>
          <w:sz w:val="32"/>
          <w:szCs w:val="32"/>
        </w:rPr>
      </w:pPr>
      <w:r>
        <w:rPr>
          <w:rFonts w:hint="eastAsia" w:ascii="仿宋" w:hAnsi="仿宋" w:eastAsia="仿宋"/>
          <w:color w:val="0000FF"/>
          <w:sz w:val="32"/>
          <w:szCs w:val="32"/>
        </w:rPr>
        <w:t>50. 广元市利州区三堆初级中学</w:t>
      </w:r>
    </w:p>
    <w:p>
      <w:pPr>
        <w:pStyle w:val="5"/>
        <w:adjustRightInd w:val="0"/>
        <w:snapToGrid w:val="0"/>
        <w:spacing w:before="93" w:line="540" w:lineRule="exact"/>
        <w:ind w:firstLine="640" w:firstLineChars="200"/>
        <w:rPr>
          <w:rFonts w:ascii="仿宋" w:hAnsi="仿宋" w:eastAsia="仿宋"/>
          <w:color w:val="0000FF"/>
          <w:sz w:val="32"/>
          <w:szCs w:val="32"/>
        </w:rPr>
      </w:pPr>
      <w:r>
        <w:rPr>
          <w:rFonts w:hint="eastAsia" w:ascii="仿宋" w:hAnsi="仿宋" w:eastAsia="仿宋"/>
          <w:color w:val="0000FF"/>
          <w:sz w:val="32"/>
          <w:szCs w:val="32"/>
        </w:rPr>
        <w:t>51. 广元市利州区盘龙初级中学</w:t>
      </w:r>
    </w:p>
    <w:p>
      <w:pPr>
        <w:pStyle w:val="5"/>
        <w:adjustRightInd w:val="0"/>
        <w:snapToGrid w:val="0"/>
        <w:spacing w:before="93" w:line="540" w:lineRule="exact"/>
        <w:ind w:firstLine="640" w:firstLineChars="200"/>
        <w:rPr>
          <w:rFonts w:ascii="仿宋" w:hAnsi="仿宋" w:eastAsia="仿宋"/>
          <w:color w:val="0000FF"/>
          <w:sz w:val="32"/>
          <w:szCs w:val="32"/>
        </w:rPr>
      </w:pPr>
      <w:r>
        <w:rPr>
          <w:rFonts w:hint="eastAsia" w:ascii="仿宋" w:hAnsi="仿宋" w:eastAsia="仿宋"/>
          <w:color w:val="0000FF"/>
          <w:sz w:val="32"/>
          <w:szCs w:val="32"/>
        </w:rPr>
        <w:t>52. 广元市利州区大石初级中学</w:t>
      </w:r>
    </w:p>
    <w:p>
      <w:pPr>
        <w:pStyle w:val="5"/>
        <w:adjustRightInd w:val="0"/>
        <w:snapToGrid w:val="0"/>
        <w:spacing w:before="93" w:line="540" w:lineRule="exact"/>
        <w:ind w:firstLine="640" w:firstLineChars="200"/>
        <w:rPr>
          <w:rFonts w:ascii="仿宋" w:hAnsi="仿宋" w:eastAsia="仿宋"/>
          <w:color w:val="0000FF"/>
          <w:sz w:val="32"/>
          <w:szCs w:val="32"/>
        </w:rPr>
      </w:pPr>
      <w:r>
        <w:rPr>
          <w:rFonts w:hint="eastAsia" w:ascii="仿宋" w:hAnsi="仿宋" w:eastAsia="仿宋"/>
          <w:color w:val="0000FF"/>
          <w:sz w:val="32"/>
          <w:szCs w:val="32"/>
        </w:rPr>
        <w:t>53. 广元市利州区荣山初级中学</w:t>
      </w:r>
    </w:p>
    <w:p>
      <w:pPr>
        <w:pStyle w:val="5"/>
        <w:adjustRightInd w:val="0"/>
        <w:snapToGrid w:val="0"/>
        <w:spacing w:before="93" w:line="540" w:lineRule="exact"/>
        <w:ind w:firstLine="640" w:firstLineChars="200"/>
        <w:rPr>
          <w:rFonts w:ascii="仿宋" w:hAnsi="仿宋" w:eastAsia="仿宋"/>
          <w:color w:val="0000FF"/>
          <w:sz w:val="32"/>
          <w:szCs w:val="32"/>
        </w:rPr>
      </w:pPr>
      <w:r>
        <w:rPr>
          <w:rFonts w:hint="eastAsia" w:ascii="仿宋" w:hAnsi="仿宋" w:eastAsia="仿宋"/>
          <w:color w:val="0000FF"/>
          <w:sz w:val="32"/>
          <w:szCs w:val="32"/>
        </w:rPr>
        <w:t>54. 四川省广元市利州区宝轮中学</w:t>
      </w:r>
    </w:p>
    <w:p>
      <w:pPr>
        <w:pStyle w:val="5"/>
        <w:adjustRightInd w:val="0"/>
        <w:snapToGrid w:val="0"/>
        <w:spacing w:before="93" w:line="540" w:lineRule="exact"/>
        <w:ind w:firstLine="640" w:firstLineChars="200"/>
        <w:rPr>
          <w:rFonts w:ascii="仿宋" w:hAnsi="仿宋" w:eastAsia="仿宋"/>
          <w:color w:val="0000FF"/>
          <w:sz w:val="32"/>
          <w:szCs w:val="32"/>
        </w:rPr>
      </w:pPr>
      <w:r>
        <w:rPr>
          <w:rFonts w:hint="eastAsia" w:ascii="仿宋" w:hAnsi="仿宋" w:eastAsia="仿宋"/>
          <w:color w:val="0000FF"/>
          <w:sz w:val="32"/>
          <w:szCs w:val="32"/>
        </w:rPr>
        <w:t>55. 广元市利州区宝轮第四小学</w:t>
      </w:r>
    </w:p>
    <w:p>
      <w:pPr>
        <w:pStyle w:val="5"/>
        <w:adjustRightInd w:val="0"/>
        <w:snapToGrid w:val="0"/>
        <w:spacing w:before="93" w:line="540" w:lineRule="exact"/>
        <w:ind w:firstLine="640" w:firstLineChars="200"/>
        <w:rPr>
          <w:rFonts w:ascii="仿宋" w:hAnsi="仿宋" w:eastAsia="仿宋"/>
          <w:color w:val="0000FF"/>
          <w:sz w:val="32"/>
          <w:szCs w:val="32"/>
        </w:rPr>
      </w:pPr>
      <w:r>
        <w:rPr>
          <w:rFonts w:hint="eastAsia" w:ascii="仿宋" w:hAnsi="仿宋" w:eastAsia="仿宋"/>
          <w:color w:val="0000FF"/>
          <w:sz w:val="32"/>
          <w:szCs w:val="32"/>
        </w:rPr>
        <w:t>56. 广元市利州区三堆国凡幼儿园</w:t>
      </w:r>
    </w:p>
    <w:p>
      <w:pPr>
        <w:pStyle w:val="5"/>
        <w:adjustRightInd w:val="0"/>
        <w:snapToGrid w:val="0"/>
        <w:spacing w:before="93" w:line="540" w:lineRule="exact"/>
        <w:ind w:firstLine="640" w:firstLineChars="200"/>
        <w:rPr>
          <w:rFonts w:ascii="仿宋" w:hAnsi="仿宋" w:eastAsia="仿宋"/>
          <w:color w:val="0000FF"/>
          <w:sz w:val="32"/>
          <w:szCs w:val="32"/>
        </w:rPr>
      </w:pPr>
      <w:r>
        <w:rPr>
          <w:rFonts w:hint="eastAsia" w:ascii="仿宋" w:hAnsi="仿宋" w:eastAsia="仿宋"/>
          <w:color w:val="0000FF"/>
          <w:sz w:val="32"/>
          <w:szCs w:val="32"/>
        </w:rPr>
        <w:t>57. 四川省广元市川师大万达中学</w:t>
      </w:r>
    </w:p>
    <w:p>
      <w:pPr>
        <w:pStyle w:val="5"/>
        <w:adjustRightInd w:val="0"/>
        <w:snapToGrid w:val="0"/>
        <w:spacing w:before="93" w:line="540" w:lineRule="exact"/>
        <w:ind w:firstLine="640" w:firstLineChars="200"/>
        <w:rPr>
          <w:rFonts w:ascii="仿宋" w:hAnsi="仿宋" w:eastAsia="仿宋"/>
          <w:color w:val="0000FF"/>
          <w:sz w:val="32"/>
          <w:szCs w:val="32"/>
        </w:rPr>
      </w:pPr>
      <w:r>
        <w:rPr>
          <w:rFonts w:hint="eastAsia" w:ascii="仿宋" w:hAnsi="仿宋" w:eastAsia="仿宋"/>
          <w:color w:val="0000FF"/>
          <w:sz w:val="32"/>
          <w:szCs w:val="32"/>
        </w:rPr>
        <w:t>58. 广元市利州区兴安初级中学</w:t>
      </w:r>
    </w:p>
    <w:p>
      <w:pPr>
        <w:pStyle w:val="5"/>
        <w:adjustRightInd w:val="0"/>
        <w:snapToGrid w:val="0"/>
        <w:spacing w:before="93" w:line="540" w:lineRule="exact"/>
        <w:ind w:firstLine="640" w:firstLineChars="200"/>
        <w:rPr>
          <w:rFonts w:ascii="仿宋" w:hAnsi="仿宋" w:eastAsia="仿宋"/>
          <w:sz w:val="32"/>
          <w:szCs w:val="32"/>
        </w:rPr>
      </w:pPr>
      <w:r>
        <w:rPr>
          <w:rFonts w:hint="eastAsia" w:ascii="仿宋" w:hAnsi="仿宋" w:eastAsia="仿宋"/>
          <w:color w:val="0000FF"/>
          <w:sz w:val="32"/>
          <w:szCs w:val="32"/>
        </w:rPr>
        <w:t>59. 广元市利州区教育局（本级）</w:t>
      </w:r>
    </w:p>
    <w:p>
      <w:pPr>
        <w:widowControl/>
        <w:jc w:val="left"/>
        <w:rPr>
          <w:rFonts w:ascii="仿宋" w:hAnsi="仿宋" w:eastAsia="仿宋"/>
          <w:kern w:val="0"/>
          <w:sz w:val="32"/>
          <w:szCs w:val="32"/>
        </w:rPr>
      </w:pPr>
      <w:r>
        <w:rPr>
          <w:rFonts w:ascii="仿宋" w:hAnsi="仿宋" w:eastAsia="仿宋"/>
          <w:sz w:val="32"/>
          <w:szCs w:val="32"/>
        </w:rPr>
        <w:br w:type="page"/>
      </w:r>
    </w:p>
    <w:p>
      <w:pPr>
        <w:pStyle w:val="2"/>
        <w:ind w:right="440"/>
        <w:jc w:val="right"/>
        <w:rPr>
          <w:rFonts w:ascii="黑体" w:hAnsi="黑体" w:eastAsia="黑体"/>
          <w:b w:val="0"/>
          <w:bCs w:val="0"/>
        </w:rPr>
      </w:pPr>
      <w:bookmarkStart w:id="26" w:name="_Toc19089864"/>
      <w:r>
        <w:rPr>
          <w:rFonts w:hint="eastAsia" w:ascii="黑体" w:hAnsi="黑体" w:eastAsia="黑体"/>
          <w:b w:val="0"/>
        </w:rPr>
        <w:t>第二部分</w:t>
      </w:r>
      <w:r>
        <w:rPr>
          <w:rFonts w:hint="eastAsia" w:ascii="黑体" w:hAnsi="黑体" w:eastAsia="黑体"/>
        </w:rPr>
        <w:t xml:space="preserve"> </w:t>
      </w:r>
      <w:r>
        <w:rPr>
          <w:rStyle w:val="24"/>
          <w:rFonts w:hint="eastAsia" w:ascii="黑体" w:hAnsi="黑体" w:eastAsia="黑体"/>
          <w:b w:val="0"/>
          <w:bCs w:val="0"/>
        </w:rPr>
        <w:t>2020年度部门决算情况说明</w:t>
      </w:r>
      <w:bookmarkEnd w:id="21"/>
      <w:bookmarkEnd w:id="26"/>
    </w:p>
    <w:p>
      <w:pPr>
        <w:pStyle w:val="23"/>
        <w:numPr>
          <w:ilvl w:val="0"/>
          <w:numId w:val="1"/>
        </w:numPr>
        <w:spacing w:line="520" w:lineRule="exact"/>
        <w:ind w:firstLineChars="0"/>
        <w:outlineLvl w:val="1"/>
        <w:rPr>
          <w:rStyle w:val="25"/>
          <w:rFonts w:ascii="黑体" w:hAnsi="黑体" w:eastAsia="黑体"/>
          <w:b w:val="0"/>
        </w:rPr>
      </w:pPr>
      <w:bookmarkStart w:id="27" w:name="_Toc19089865"/>
      <w:bookmarkStart w:id="28" w:name="_Toc15377205"/>
      <w:r>
        <w:rPr>
          <w:rFonts w:hint="eastAsia" w:ascii="黑体" w:hAnsi="黑体" w:eastAsia="黑体"/>
          <w:sz w:val="32"/>
          <w:szCs w:val="32"/>
        </w:rPr>
        <w:t>收</w:t>
      </w:r>
      <w:r>
        <w:rPr>
          <w:rStyle w:val="25"/>
          <w:rFonts w:hint="eastAsia" w:ascii="黑体" w:hAnsi="黑体" w:eastAsia="黑体"/>
          <w:b w:val="0"/>
        </w:rPr>
        <w:t>入支出决算总体情况说明</w:t>
      </w:r>
      <w:bookmarkEnd w:id="27"/>
      <w:bookmarkEnd w:id="28"/>
    </w:p>
    <w:p>
      <w:pPr>
        <w:spacing w:line="520" w:lineRule="exact"/>
        <w:ind w:firstLine="640" w:firstLineChars="200"/>
        <w:rPr>
          <w:rFonts w:ascii="仿宋" w:hAnsi="仿宋" w:eastAsia="仿宋_GB2312"/>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2020年度利州区教育局收入总计</w:t>
      </w:r>
      <w:r>
        <w:rPr>
          <w:rFonts w:hint="eastAsia" w:ascii="仿宋" w:hAnsi="仿宋" w:eastAsia="仿宋"/>
          <w:color w:val="0000FF"/>
          <w:sz w:val="32"/>
          <w:szCs w:val="32"/>
        </w:rPr>
        <w:t>76833.87万元</w:t>
      </w:r>
      <w:r>
        <w:rPr>
          <w:rFonts w:hint="eastAsia" w:ascii="仿宋" w:hAnsi="仿宋" w:eastAsia="仿宋"/>
          <w:color w:val="000000" w:themeColor="text1"/>
          <w:sz w:val="32"/>
          <w:szCs w:val="32"/>
          <w14:textFill>
            <w14:solidFill>
              <w14:schemeClr w14:val="tx1"/>
            </w14:solidFill>
          </w14:textFill>
        </w:rPr>
        <w:t>，与2019年相比</w:t>
      </w:r>
      <w:r>
        <w:rPr>
          <w:rFonts w:hint="eastAsia" w:ascii="仿宋" w:hAnsi="仿宋" w:eastAsia="仿宋"/>
          <w:color w:val="FF0000"/>
          <w:sz w:val="32"/>
          <w:szCs w:val="32"/>
        </w:rPr>
        <w:t>（</w:t>
      </w:r>
      <w:r>
        <w:rPr>
          <w:rFonts w:hint="eastAsia" w:ascii="仿宋" w:hAnsi="仿宋" w:eastAsia="仿宋"/>
          <w:color w:val="0000FF"/>
          <w:sz w:val="32"/>
          <w:szCs w:val="32"/>
        </w:rPr>
        <w:t>76286.36万元</w:t>
      </w:r>
      <w:r>
        <w:rPr>
          <w:rFonts w:hint="eastAsia" w:ascii="仿宋" w:hAnsi="仿宋" w:eastAsia="仿宋"/>
          <w:color w:val="FF0000"/>
          <w:sz w:val="32"/>
          <w:szCs w:val="32"/>
        </w:rPr>
        <w:t>）</w:t>
      </w:r>
      <w:r>
        <w:rPr>
          <w:rFonts w:hint="eastAsia" w:ascii="仿宋" w:hAnsi="仿宋" w:eastAsia="仿宋"/>
          <w:color w:val="000000" w:themeColor="text1"/>
          <w:sz w:val="32"/>
          <w:szCs w:val="32"/>
          <w14:textFill>
            <w14:solidFill>
              <w14:schemeClr w14:val="tx1"/>
            </w14:solidFill>
          </w14:textFill>
        </w:rPr>
        <w:t>，收入总计增加</w:t>
      </w:r>
      <w:r>
        <w:rPr>
          <w:rFonts w:hint="eastAsia" w:ascii="仿宋" w:hAnsi="仿宋" w:eastAsia="仿宋"/>
          <w:color w:val="0000FF"/>
          <w:sz w:val="32"/>
          <w:szCs w:val="32"/>
        </w:rPr>
        <w:t>547.51万元</w:t>
      </w:r>
      <w:r>
        <w:rPr>
          <w:rFonts w:hint="eastAsia" w:ascii="仿宋" w:hAnsi="仿宋" w:eastAsia="仿宋"/>
          <w:color w:val="000000" w:themeColor="text1"/>
          <w:sz w:val="32"/>
          <w:szCs w:val="32"/>
          <w14:textFill>
            <w14:solidFill>
              <w14:schemeClr w14:val="tx1"/>
            </w14:solidFill>
          </w14:textFill>
        </w:rPr>
        <w:t>，增涨</w:t>
      </w:r>
      <w:r>
        <w:rPr>
          <w:rFonts w:hint="eastAsia" w:ascii="仿宋" w:hAnsi="仿宋" w:eastAsia="仿宋"/>
          <w:color w:val="0000FF"/>
          <w:sz w:val="32"/>
          <w:szCs w:val="32"/>
        </w:rPr>
        <w:t>0.71%</w:t>
      </w:r>
      <w:r>
        <w:rPr>
          <w:rFonts w:hint="eastAsia" w:ascii="仿宋" w:hAnsi="仿宋" w:eastAsia="仿宋"/>
          <w:color w:val="000000" w:themeColor="text1"/>
          <w:sz w:val="32"/>
          <w:szCs w:val="32"/>
          <w14:textFill>
            <w14:solidFill>
              <w14:schemeClr w14:val="tx1"/>
            </w14:solidFill>
          </w14:textFill>
        </w:rPr>
        <w:t>。收入主要变动原因</w:t>
      </w:r>
      <w:r>
        <w:rPr>
          <w:rFonts w:hint="eastAsia" w:ascii="仿宋" w:hAnsi="仿宋" w:eastAsia="仿宋"/>
          <w:color w:val="FF0000"/>
          <w:sz w:val="32"/>
          <w:szCs w:val="32"/>
        </w:rPr>
        <w:t>一是区财政新增安排优质教育质量考核奖励资金</w:t>
      </w:r>
      <w:r>
        <w:rPr>
          <w:rFonts w:hint="eastAsia" w:ascii="仿宋" w:hAnsi="仿宋" w:eastAsia="仿宋"/>
          <w:color w:val="0000FF"/>
          <w:sz w:val="32"/>
          <w:szCs w:val="32"/>
        </w:rPr>
        <w:t>300.00万元</w:t>
      </w:r>
      <w:r>
        <w:rPr>
          <w:rFonts w:hint="eastAsia" w:ascii="仿宋" w:hAnsi="仿宋" w:eastAsia="仿宋"/>
          <w:color w:val="FF0000"/>
          <w:sz w:val="32"/>
          <w:szCs w:val="32"/>
        </w:rPr>
        <w:t>，该项资金在2020年收入中占比</w:t>
      </w:r>
      <w:r>
        <w:rPr>
          <w:rFonts w:hint="eastAsia" w:ascii="仿宋" w:hAnsi="仿宋" w:eastAsia="仿宋"/>
          <w:color w:val="0000FF"/>
          <w:sz w:val="32"/>
          <w:szCs w:val="32"/>
        </w:rPr>
        <w:t>3.9%</w:t>
      </w:r>
      <w:r>
        <w:rPr>
          <w:rFonts w:hint="eastAsia" w:ascii="仿宋" w:hAnsi="仿宋" w:eastAsia="仿宋"/>
          <w:color w:val="FF0000"/>
          <w:sz w:val="32"/>
          <w:szCs w:val="32"/>
        </w:rPr>
        <w:t>；二是因人员工资支出增涨和教职工总数增加，财政人员经费拨款收入增涨；三是个别建设项目规模大、建设周期长，建设资金已纳入2019年预算安排下达。</w:t>
      </w:r>
    </w:p>
    <w:p>
      <w:pPr>
        <w:spacing w:line="52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2020年度支出合计</w:t>
      </w:r>
      <w:r>
        <w:rPr>
          <w:rFonts w:hint="eastAsia" w:ascii="仿宋" w:hAnsi="仿宋" w:eastAsia="仿宋"/>
          <w:color w:val="0000FF"/>
          <w:sz w:val="32"/>
          <w:szCs w:val="32"/>
        </w:rPr>
        <w:t>76373.49万元</w:t>
      </w:r>
      <w:r>
        <w:rPr>
          <w:rFonts w:hint="eastAsia" w:ascii="仿宋" w:hAnsi="仿宋" w:eastAsia="仿宋"/>
          <w:color w:val="000000" w:themeColor="text1"/>
          <w:sz w:val="32"/>
          <w:szCs w:val="32"/>
          <w14:textFill>
            <w14:solidFill>
              <w14:schemeClr w14:val="tx1"/>
            </w14:solidFill>
          </w14:textFill>
        </w:rPr>
        <w:t>，与2019年相比（</w:t>
      </w:r>
      <w:r>
        <w:rPr>
          <w:rFonts w:hint="eastAsia" w:ascii="仿宋" w:hAnsi="仿宋" w:eastAsia="仿宋"/>
          <w:color w:val="0000FF"/>
          <w:sz w:val="32"/>
          <w:szCs w:val="32"/>
        </w:rPr>
        <w:t>74439.39万元</w:t>
      </w:r>
      <w:r>
        <w:rPr>
          <w:rFonts w:hint="eastAsia" w:ascii="仿宋" w:hAnsi="仿宋" w:eastAsia="仿宋"/>
          <w:color w:val="000000" w:themeColor="text1"/>
          <w:sz w:val="32"/>
          <w:szCs w:val="32"/>
          <w14:textFill>
            <w14:solidFill>
              <w14:schemeClr w14:val="tx1"/>
            </w14:solidFill>
          </w14:textFill>
        </w:rPr>
        <w:t>），支出增加</w:t>
      </w:r>
      <w:r>
        <w:rPr>
          <w:rFonts w:hint="eastAsia" w:ascii="仿宋" w:hAnsi="仿宋" w:eastAsia="仿宋"/>
          <w:color w:val="0000FF"/>
          <w:sz w:val="32"/>
          <w:szCs w:val="32"/>
        </w:rPr>
        <w:t>1934.00万元</w:t>
      </w:r>
      <w:r>
        <w:rPr>
          <w:rFonts w:hint="eastAsia" w:ascii="仿宋" w:hAnsi="仿宋" w:eastAsia="仿宋"/>
          <w:color w:val="000000" w:themeColor="text1"/>
          <w:sz w:val="32"/>
          <w:szCs w:val="32"/>
          <w14:textFill>
            <w14:solidFill>
              <w14:schemeClr w14:val="tx1"/>
            </w14:solidFill>
          </w14:textFill>
        </w:rPr>
        <w:t>，增加</w:t>
      </w:r>
      <w:r>
        <w:rPr>
          <w:rFonts w:hint="eastAsia" w:ascii="仿宋" w:hAnsi="仿宋" w:eastAsia="仿宋"/>
          <w:color w:val="0000FF"/>
          <w:sz w:val="32"/>
          <w:szCs w:val="32"/>
        </w:rPr>
        <w:t>2.60%</w:t>
      </w:r>
      <w:r>
        <w:rPr>
          <w:rFonts w:hint="eastAsia" w:ascii="仿宋" w:hAnsi="仿宋" w:eastAsia="仿宋"/>
          <w:color w:val="000000" w:themeColor="text1"/>
          <w:sz w:val="32"/>
          <w:szCs w:val="32"/>
          <w14:textFill>
            <w14:solidFill>
              <w14:schemeClr w14:val="tx1"/>
            </w14:solidFill>
          </w14:textFill>
        </w:rPr>
        <w:t>。支出主要变动原因</w:t>
      </w:r>
      <w:r>
        <w:rPr>
          <w:rFonts w:hint="eastAsia" w:ascii="仿宋" w:hAnsi="仿宋" w:eastAsia="仿宋"/>
          <w:color w:val="FF0000"/>
          <w:sz w:val="32"/>
          <w:szCs w:val="32"/>
        </w:rPr>
        <w:t>是</w:t>
      </w:r>
      <w:r>
        <w:rPr>
          <w:rFonts w:hint="eastAsia" w:ascii="仿宋_GB2312" w:eastAsia="仿宋_GB2312"/>
          <w:color w:val="FF0000"/>
          <w:kern w:val="0"/>
          <w:sz w:val="32"/>
          <w:szCs w:val="32"/>
        </w:rPr>
        <w:t>人员工资支出增长和教职工总数增加，</w:t>
      </w:r>
      <w:r>
        <w:rPr>
          <w:rFonts w:hint="eastAsia" w:ascii="仿宋" w:hAnsi="仿宋" w:eastAsia="仿宋"/>
          <w:color w:val="FF0000"/>
          <w:sz w:val="32"/>
          <w:szCs w:val="32"/>
        </w:rPr>
        <w:t>人员经费支出（</w:t>
      </w:r>
      <w:r>
        <w:rPr>
          <w:rFonts w:hint="eastAsia" w:ascii="仿宋" w:hAnsi="仿宋" w:eastAsia="仿宋"/>
          <w:color w:val="0000FF"/>
          <w:sz w:val="32"/>
          <w:szCs w:val="32"/>
        </w:rPr>
        <w:t>49193.67万元</w:t>
      </w:r>
      <w:r>
        <w:rPr>
          <w:rFonts w:hint="eastAsia" w:ascii="仿宋" w:hAnsi="仿宋" w:eastAsia="仿宋"/>
          <w:color w:val="FF0000"/>
          <w:sz w:val="32"/>
          <w:szCs w:val="32"/>
        </w:rPr>
        <w:t>）相比2019年（</w:t>
      </w:r>
      <w:r>
        <w:rPr>
          <w:rFonts w:hint="eastAsia" w:ascii="仿宋" w:hAnsi="仿宋" w:eastAsia="仿宋"/>
          <w:color w:val="0000FF"/>
          <w:sz w:val="32"/>
          <w:szCs w:val="32"/>
        </w:rPr>
        <w:t>47563.86万元</w:t>
      </w:r>
      <w:r>
        <w:rPr>
          <w:rFonts w:hint="eastAsia" w:ascii="仿宋" w:hAnsi="仿宋" w:eastAsia="仿宋"/>
          <w:color w:val="FF0000"/>
          <w:sz w:val="32"/>
          <w:szCs w:val="32"/>
        </w:rPr>
        <w:t>）增涨</w:t>
      </w:r>
      <w:r>
        <w:rPr>
          <w:rFonts w:hint="eastAsia" w:ascii="仿宋" w:hAnsi="仿宋" w:eastAsia="仿宋"/>
          <w:color w:val="0000FF"/>
          <w:sz w:val="32"/>
          <w:szCs w:val="32"/>
        </w:rPr>
        <w:t>1629.81万元</w:t>
      </w:r>
      <w:r>
        <w:rPr>
          <w:rFonts w:hint="eastAsia" w:ascii="仿宋" w:hAnsi="仿宋" w:eastAsia="仿宋"/>
          <w:color w:val="FF0000"/>
          <w:sz w:val="32"/>
          <w:szCs w:val="32"/>
        </w:rPr>
        <w:t>，增幅</w:t>
      </w:r>
      <w:r>
        <w:rPr>
          <w:rFonts w:hint="eastAsia" w:ascii="仿宋" w:hAnsi="仿宋" w:eastAsia="仿宋"/>
          <w:color w:val="0000FF"/>
          <w:sz w:val="32"/>
          <w:szCs w:val="32"/>
        </w:rPr>
        <w:t>3.43%</w:t>
      </w:r>
      <w:r>
        <w:rPr>
          <w:rFonts w:hint="eastAsia" w:ascii="仿宋_GB2312" w:eastAsia="仿宋_GB2312"/>
          <w:color w:val="FF0000"/>
          <w:kern w:val="0"/>
          <w:sz w:val="32"/>
          <w:szCs w:val="32"/>
        </w:rPr>
        <w:t>。</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：收、支决算总计变动情况图）（柱状图）</w:t>
      </w:r>
    </w:p>
    <w:p>
      <w:pPr>
        <w:spacing w:line="600" w:lineRule="exact"/>
        <w:ind w:firstLine="640" w:firstLineChars="200"/>
        <w:jc w:val="left"/>
        <w:rPr>
          <w:rStyle w:val="25"/>
          <w:rFonts w:ascii="黑体" w:hAnsi="黑体" w:eastAsia="黑体"/>
          <w:b w:val="0"/>
        </w:rPr>
      </w:pPr>
      <w:bookmarkStart w:id="29" w:name="_Toc15377206"/>
      <w:r>
        <w:rPr>
          <w:rFonts w:ascii="仿宋_GB2312" w:eastAsia="仿宋_GB2312"/>
          <w:sz w:val="32"/>
          <w:szCs w:val="32"/>
        </w:rPr>
        <w:drawing>
          <wp:anchor distT="0" distB="0" distL="114300" distR="114300" simplePos="0" relativeHeight="251659264" behindDoc="1" locked="0" layoutInCell="1" allowOverlap="1">
            <wp:simplePos x="0" y="0"/>
            <wp:positionH relativeFrom="column">
              <wp:posOffset>52705</wp:posOffset>
            </wp:positionH>
            <wp:positionV relativeFrom="paragraph">
              <wp:posOffset>112395</wp:posOffset>
            </wp:positionV>
            <wp:extent cx="5201285" cy="2157730"/>
            <wp:effectExtent l="4445" t="4445" r="13970" b="9525"/>
            <wp:wrapTight wrapText="bothSides">
              <wp:wrapPolygon>
                <wp:start x="-18" y="-44"/>
                <wp:lineTo x="-18" y="21505"/>
                <wp:lineTo x="21579" y="21505"/>
                <wp:lineTo x="21579" y="-44"/>
                <wp:lineTo x="-18" y="-44"/>
              </wp:wrapPolygon>
            </wp:wrapTight>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r>
        <w:rPr>
          <w:rFonts w:hint="eastAsia" w:ascii="黑体" w:hAnsi="黑体" w:eastAsia="黑体"/>
          <w:sz w:val="32"/>
          <w:szCs w:val="32"/>
        </w:rPr>
        <w:t>二、收</w:t>
      </w:r>
      <w:r>
        <w:rPr>
          <w:rStyle w:val="25"/>
          <w:rFonts w:hint="eastAsia" w:ascii="黑体" w:hAnsi="黑体" w:eastAsia="黑体"/>
          <w:b w:val="0"/>
        </w:rPr>
        <w:t>入决算情况说明</w:t>
      </w:r>
      <w:bookmarkEnd w:id="29"/>
    </w:p>
    <w:p>
      <w:pPr>
        <w:spacing w:line="600" w:lineRule="exact"/>
        <w:ind w:firstLine="640" w:firstLineChars="200"/>
        <w:outlineLvl w:val="1"/>
        <w:rPr>
          <w:rFonts w:ascii="仿宋" w:hAnsi="仿宋" w:eastAsia="仿宋"/>
          <w:sz w:val="32"/>
          <w:szCs w:val="32"/>
        </w:rPr>
      </w:pPr>
      <w:bookmarkStart w:id="30" w:name="_Toc19089866"/>
      <w:r>
        <w:rPr>
          <w:rFonts w:ascii="仿宋" w:hAnsi="仿宋" w:eastAsia="仿宋"/>
          <w:sz w:val="32"/>
          <w:szCs w:val="32"/>
        </w:rPr>
        <w:t>20</w:t>
      </w:r>
      <w:r>
        <w:rPr>
          <w:rFonts w:hint="eastAsia" w:ascii="仿宋" w:hAnsi="仿宋" w:eastAsia="仿宋"/>
          <w:sz w:val="32"/>
          <w:szCs w:val="32"/>
        </w:rPr>
        <w:t>20年本年收入合计</w:t>
      </w:r>
      <w:r>
        <w:rPr>
          <w:rFonts w:hint="eastAsia" w:ascii="仿宋" w:hAnsi="仿宋" w:eastAsia="仿宋"/>
          <w:color w:val="0000FF"/>
          <w:sz w:val="32"/>
          <w:szCs w:val="32"/>
        </w:rPr>
        <w:t>76833.87万元</w:t>
      </w:r>
      <w:r>
        <w:rPr>
          <w:rFonts w:hint="eastAsia" w:ascii="仿宋" w:hAnsi="仿宋" w:eastAsia="仿宋"/>
          <w:sz w:val="32"/>
          <w:szCs w:val="32"/>
        </w:rPr>
        <w:t>，其中：一般公共预算财政拨款收入</w:t>
      </w:r>
      <w:r>
        <w:rPr>
          <w:rFonts w:hint="eastAsia" w:ascii="仿宋" w:hAnsi="仿宋" w:eastAsia="仿宋"/>
          <w:color w:val="0000FF"/>
          <w:sz w:val="32"/>
          <w:szCs w:val="32"/>
        </w:rPr>
        <w:t>74709.88万元</w:t>
      </w:r>
      <w:r>
        <w:rPr>
          <w:rFonts w:hint="eastAsia" w:ascii="仿宋" w:hAnsi="仿宋" w:eastAsia="仿宋"/>
          <w:sz w:val="32"/>
          <w:szCs w:val="32"/>
        </w:rPr>
        <w:t>，占比</w:t>
      </w:r>
      <w:r>
        <w:rPr>
          <w:rFonts w:hint="eastAsia" w:ascii="仿宋" w:hAnsi="仿宋" w:eastAsia="仿宋"/>
          <w:color w:val="0000FF"/>
          <w:sz w:val="32"/>
          <w:szCs w:val="32"/>
        </w:rPr>
        <w:t>97.24%</w:t>
      </w:r>
      <w:r>
        <w:rPr>
          <w:rFonts w:hint="eastAsia" w:ascii="仿宋" w:hAnsi="仿宋" w:eastAsia="仿宋"/>
          <w:sz w:val="32"/>
          <w:szCs w:val="32"/>
        </w:rPr>
        <w:t>；政府性基金预算财政拨款收入</w:t>
      </w:r>
      <w:r>
        <w:rPr>
          <w:rFonts w:hint="eastAsia" w:ascii="仿宋" w:hAnsi="仿宋" w:eastAsia="仿宋"/>
          <w:color w:val="0000FF"/>
          <w:sz w:val="32"/>
          <w:szCs w:val="32"/>
        </w:rPr>
        <w:t>233.35万元</w:t>
      </w:r>
      <w:r>
        <w:rPr>
          <w:rFonts w:hint="eastAsia" w:ascii="仿宋" w:hAnsi="仿宋" w:eastAsia="仿宋"/>
          <w:sz w:val="32"/>
          <w:szCs w:val="32"/>
        </w:rPr>
        <w:t>，占</w:t>
      </w:r>
      <w:r>
        <w:rPr>
          <w:rFonts w:hint="eastAsia" w:ascii="仿宋" w:hAnsi="仿宋" w:eastAsia="仿宋"/>
          <w:sz w:val="32"/>
          <w:szCs w:val="32"/>
          <w:lang w:val="en-US" w:eastAsia="zh-CN"/>
        </w:rPr>
        <w:t>比</w:t>
      </w:r>
      <w:r>
        <w:rPr>
          <w:rFonts w:hint="eastAsia" w:ascii="仿宋" w:hAnsi="仿宋" w:eastAsia="仿宋"/>
          <w:color w:val="0000FF"/>
          <w:sz w:val="32"/>
          <w:szCs w:val="32"/>
        </w:rPr>
        <w:t>0.30%</w:t>
      </w:r>
      <w:r>
        <w:rPr>
          <w:rFonts w:hint="eastAsia" w:ascii="仿宋" w:hAnsi="仿宋" w:eastAsia="仿宋"/>
          <w:sz w:val="32"/>
          <w:szCs w:val="32"/>
        </w:rPr>
        <w:t>；国有资本经营预算财政拨款收入0.00万元，占</w:t>
      </w:r>
      <w:r>
        <w:rPr>
          <w:rFonts w:hint="eastAsia" w:ascii="仿宋" w:hAnsi="仿宋" w:eastAsia="仿宋"/>
          <w:sz w:val="32"/>
          <w:szCs w:val="32"/>
          <w:lang w:val="en-US" w:eastAsia="zh-CN"/>
        </w:rPr>
        <w:t>比</w:t>
      </w:r>
      <w:r>
        <w:rPr>
          <w:rFonts w:hint="eastAsia" w:ascii="仿宋" w:hAnsi="仿宋" w:eastAsia="仿宋"/>
          <w:sz w:val="32"/>
          <w:szCs w:val="32"/>
        </w:rPr>
        <w:t>0.00</w:t>
      </w:r>
      <w:r>
        <w:rPr>
          <w:rFonts w:ascii="仿宋" w:hAnsi="仿宋" w:eastAsia="仿宋"/>
          <w:sz w:val="32"/>
          <w:szCs w:val="32"/>
        </w:rPr>
        <w:t>%</w:t>
      </w:r>
      <w:r>
        <w:rPr>
          <w:rFonts w:hint="eastAsia" w:ascii="仿宋" w:hAnsi="仿宋" w:eastAsia="仿宋"/>
          <w:sz w:val="32"/>
          <w:szCs w:val="32"/>
        </w:rPr>
        <w:t>；事业收入0.00万元，占</w:t>
      </w:r>
      <w:r>
        <w:rPr>
          <w:rFonts w:hint="eastAsia" w:ascii="仿宋" w:hAnsi="仿宋" w:eastAsia="仿宋"/>
          <w:sz w:val="32"/>
          <w:szCs w:val="32"/>
          <w:lang w:val="en-US" w:eastAsia="zh-CN"/>
        </w:rPr>
        <w:t>比</w:t>
      </w:r>
      <w:r>
        <w:rPr>
          <w:rFonts w:hint="eastAsia" w:ascii="仿宋" w:hAnsi="仿宋" w:eastAsia="仿宋"/>
          <w:sz w:val="32"/>
          <w:szCs w:val="32"/>
        </w:rPr>
        <w:t>0.00</w:t>
      </w:r>
      <w:r>
        <w:rPr>
          <w:rFonts w:ascii="仿宋" w:hAnsi="仿宋" w:eastAsia="仿宋"/>
          <w:sz w:val="32"/>
          <w:szCs w:val="32"/>
        </w:rPr>
        <w:t>%</w:t>
      </w:r>
      <w:r>
        <w:rPr>
          <w:rFonts w:hint="eastAsia" w:ascii="仿宋" w:hAnsi="仿宋" w:eastAsia="仿宋"/>
          <w:sz w:val="32"/>
          <w:szCs w:val="32"/>
        </w:rPr>
        <w:t>；经营收入0.00万元，占</w:t>
      </w:r>
      <w:r>
        <w:rPr>
          <w:rFonts w:hint="eastAsia" w:ascii="仿宋" w:hAnsi="仿宋" w:eastAsia="仿宋"/>
          <w:sz w:val="32"/>
          <w:szCs w:val="32"/>
          <w:lang w:val="en-US" w:eastAsia="zh-CN"/>
        </w:rPr>
        <w:t>比</w:t>
      </w:r>
      <w:r>
        <w:rPr>
          <w:rFonts w:hint="eastAsia" w:ascii="仿宋" w:hAnsi="仿宋" w:eastAsia="仿宋"/>
          <w:sz w:val="32"/>
          <w:szCs w:val="32"/>
        </w:rPr>
        <w:t>0.00</w:t>
      </w:r>
      <w:r>
        <w:rPr>
          <w:rFonts w:ascii="仿宋" w:hAnsi="仿宋" w:eastAsia="仿宋"/>
          <w:sz w:val="32"/>
          <w:szCs w:val="32"/>
        </w:rPr>
        <w:t>%</w:t>
      </w:r>
      <w:r>
        <w:rPr>
          <w:rFonts w:hint="eastAsia" w:ascii="仿宋" w:hAnsi="仿宋" w:eastAsia="仿宋"/>
          <w:sz w:val="32"/>
          <w:szCs w:val="32"/>
        </w:rPr>
        <w:t>；附属单位上缴收入0.00万元，占</w:t>
      </w:r>
      <w:r>
        <w:rPr>
          <w:rFonts w:hint="eastAsia" w:ascii="仿宋" w:hAnsi="仿宋" w:eastAsia="仿宋"/>
          <w:sz w:val="32"/>
          <w:szCs w:val="32"/>
          <w:lang w:val="en-US" w:eastAsia="zh-CN"/>
        </w:rPr>
        <w:t>比</w:t>
      </w:r>
      <w:r>
        <w:rPr>
          <w:rFonts w:hint="eastAsia" w:ascii="仿宋" w:hAnsi="仿宋" w:eastAsia="仿宋"/>
          <w:sz w:val="32"/>
          <w:szCs w:val="32"/>
        </w:rPr>
        <w:t>0.00</w:t>
      </w:r>
      <w:r>
        <w:rPr>
          <w:rFonts w:ascii="仿宋" w:hAnsi="仿宋" w:eastAsia="仿宋"/>
          <w:sz w:val="32"/>
          <w:szCs w:val="32"/>
        </w:rPr>
        <w:t>%</w:t>
      </w:r>
      <w:r>
        <w:rPr>
          <w:rFonts w:hint="eastAsia" w:ascii="仿宋" w:hAnsi="仿宋" w:eastAsia="仿宋"/>
          <w:sz w:val="32"/>
          <w:szCs w:val="32"/>
        </w:rPr>
        <w:t>；其他收入</w:t>
      </w:r>
      <w:r>
        <w:rPr>
          <w:rFonts w:hint="eastAsia" w:ascii="仿宋" w:hAnsi="仿宋" w:eastAsia="仿宋"/>
          <w:color w:val="0000FF"/>
          <w:sz w:val="32"/>
          <w:szCs w:val="32"/>
        </w:rPr>
        <w:t>1890.64万元</w:t>
      </w:r>
      <w:r>
        <w:rPr>
          <w:rFonts w:hint="eastAsia" w:ascii="仿宋" w:hAnsi="仿宋" w:eastAsia="仿宋"/>
          <w:sz w:val="32"/>
          <w:szCs w:val="32"/>
        </w:rPr>
        <w:t>，占</w:t>
      </w:r>
      <w:r>
        <w:rPr>
          <w:rFonts w:hint="eastAsia" w:ascii="仿宋" w:hAnsi="仿宋" w:eastAsia="仿宋"/>
          <w:sz w:val="32"/>
          <w:szCs w:val="32"/>
          <w:lang w:val="en-US" w:eastAsia="zh-CN"/>
        </w:rPr>
        <w:t>比</w:t>
      </w:r>
      <w:r>
        <w:rPr>
          <w:rFonts w:hint="eastAsia" w:ascii="仿宋" w:hAnsi="仿宋" w:eastAsia="仿宋"/>
          <w:color w:val="0000FF"/>
          <w:sz w:val="32"/>
          <w:szCs w:val="32"/>
        </w:rPr>
        <w:t>2.46%</w:t>
      </w:r>
      <w:r>
        <w:rPr>
          <w:rFonts w:hint="eastAsia" w:ascii="仿宋" w:hAnsi="仿宋" w:eastAsia="仿宋"/>
          <w:sz w:val="32"/>
          <w:szCs w:val="32"/>
        </w:rPr>
        <w:t>。</w:t>
      </w:r>
      <w:bookmarkEnd w:id="30"/>
    </w:p>
    <w:p>
      <w:pPr>
        <w:spacing w:line="600" w:lineRule="exact"/>
        <w:ind w:firstLine="640" w:firstLineChars="200"/>
        <w:rPr>
          <w:rFonts w:ascii="仿宋" w:hAnsi="仿宋" w:eastAsia="仿宋"/>
          <w:sz w:val="32"/>
          <w:szCs w:val="32"/>
        </w:rPr>
      </w:pPr>
      <w:r>
        <w:rPr>
          <w:rFonts w:hint="eastAsia" w:ascii="仿宋" w:hAnsi="仿宋" w:eastAsia="仿宋"/>
          <w:sz w:val="32"/>
          <w:szCs w:val="32"/>
        </w:rPr>
        <w:t>（图2：收入决算结构图）（饼状图）</w:t>
      </w:r>
    </w:p>
    <w:p>
      <w:pPr>
        <w:spacing w:line="600" w:lineRule="exact"/>
        <w:ind w:firstLine="640" w:firstLineChars="200"/>
        <w:rPr>
          <w:rFonts w:ascii="仿宋_GB2312" w:eastAsia="仿宋_GB2312"/>
          <w:sz w:val="32"/>
          <w:szCs w:val="32"/>
        </w:rPr>
      </w:pPr>
      <w:r>
        <w:rPr>
          <w:rFonts w:ascii="仿宋_GB2312" w:eastAsia="仿宋_GB2312"/>
          <w:sz w:val="32"/>
          <w:szCs w:val="32"/>
        </w:rPr>
        <w:drawing>
          <wp:anchor distT="0" distB="0" distL="114300" distR="114300" simplePos="0" relativeHeight="251660288" behindDoc="0" locked="0" layoutInCell="1" allowOverlap="1">
            <wp:simplePos x="0" y="0"/>
            <wp:positionH relativeFrom="column">
              <wp:posOffset>216535</wp:posOffset>
            </wp:positionH>
            <wp:positionV relativeFrom="paragraph">
              <wp:posOffset>153670</wp:posOffset>
            </wp:positionV>
            <wp:extent cx="5274310" cy="3076575"/>
            <wp:effectExtent l="0" t="0" r="21590" b="9525"/>
            <wp:wrapSquare wrapText="bothSides"/>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spacing w:line="600" w:lineRule="exact"/>
        <w:ind w:firstLine="640" w:firstLineChars="200"/>
        <w:outlineLvl w:val="1"/>
        <w:rPr>
          <w:rStyle w:val="25"/>
          <w:rFonts w:ascii="黑体" w:hAnsi="黑体" w:eastAsia="黑体"/>
          <w:b w:val="0"/>
        </w:rPr>
      </w:pPr>
      <w:bookmarkStart w:id="31" w:name="_Toc19089867"/>
      <w:bookmarkStart w:id="32" w:name="_Toc15377207"/>
      <w:r>
        <w:rPr>
          <w:rFonts w:hint="eastAsia" w:ascii="黑体" w:hAnsi="黑体" w:eastAsia="黑体"/>
          <w:sz w:val="32"/>
          <w:szCs w:val="32"/>
        </w:rPr>
        <w:t>三、支</w:t>
      </w:r>
      <w:r>
        <w:rPr>
          <w:rStyle w:val="25"/>
          <w:rFonts w:hint="eastAsia" w:ascii="黑体" w:hAnsi="黑体" w:eastAsia="黑体"/>
          <w:b w:val="0"/>
        </w:rPr>
        <w:t>出决算情况说明</w:t>
      </w:r>
      <w:bookmarkEnd w:id="31"/>
      <w:bookmarkEnd w:id="32"/>
    </w:p>
    <w:p>
      <w:pPr>
        <w:spacing w:line="600" w:lineRule="exact"/>
        <w:ind w:firstLine="640"/>
        <w:rPr>
          <w:rFonts w:ascii="仿宋" w:hAnsi="仿宋" w:eastAsia="仿宋"/>
          <w:sz w:val="32"/>
          <w:szCs w:val="32"/>
          <w:shd w:val="pct10" w:color="auto" w:fill="FFFFFF"/>
        </w:rPr>
      </w:pPr>
      <w:r>
        <w:rPr>
          <w:rFonts w:ascii="仿宋" w:hAnsi="仿宋" w:eastAsia="仿宋"/>
          <w:sz w:val="32"/>
          <w:szCs w:val="32"/>
        </w:rPr>
        <w:t>20</w:t>
      </w:r>
      <w:r>
        <w:rPr>
          <w:rFonts w:hint="eastAsia" w:ascii="仿宋" w:hAnsi="仿宋" w:eastAsia="仿宋"/>
          <w:sz w:val="32"/>
          <w:szCs w:val="32"/>
        </w:rPr>
        <w:t>20年本年支出合计</w:t>
      </w:r>
      <w:r>
        <w:rPr>
          <w:rFonts w:hint="eastAsia" w:ascii="仿宋" w:hAnsi="仿宋" w:eastAsia="仿宋"/>
          <w:color w:val="0000FF"/>
          <w:sz w:val="32"/>
          <w:szCs w:val="32"/>
        </w:rPr>
        <w:t>76373.49万元</w:t>
      </w:r>
      <w:r>
        <w:rPr>
          <w:rFonts w:hint="eastAsia" w:ascii="仿宋" w:hAnsi="仿宋" w:eastAsia="仿宋"/>
          <w:sz w:val="32"/>
          <w:szCs w:val="32"/>
        </w:rPr>
        <w:t>，其中：基本支出</w:t>
      </w:r>
      <w:r>
        <w:rPr>
          <w:rFonts w:hint="eastAsia" w:ascii="仿宋" w:hAnsi="仿宋" w:eastAsia="仿宋"/>
          <w:color w:val="0000FF"/>
          <w:sz w:val="32"/>
          <w:szCs w:val="32"/>
        </w:rPr>
        <w:t>58576.48万元</w:t>
      </w:r>
      <w:r>
        <w:rPr>
          <w:rFonts w:hint="eastAsia" w:ascii="仿宋" w:hAnsi="仿宋" w:eastAsia="仿宋"/>
          <w:sz w:val="32"/>
          <w:szCs w:val="32"/>
        </w:rPr>
        <w:t>，占</w:t>
      </w:r>
      <w:r>
        <w:rPr>
          <w:rFonts w:hint="eastAsia" w:ascii="仿宋" w:hAnsi="仿宋" w:eastAsia="仿宋"/>
          <w:sz w:val="32"/>
          <w:szCs w:val="32"/>
          <w:lang w:val="en-US" w:eastAsia="zh-CN"/>
        </w:rPr>
        <w:t>比</w:t>
      </w:r>
      <w:r>
        <w:rPr>
          <w:rFonts w:hint="eastAsia" w:ascii="仿宋" w:hAnsi="仿宋" w:eastAsia="仿宋"/>
          <w:color w:val="0000FF"/>
          <w:sz w:val="32"/>
          <w:szCs w:val="32"/>
        </w:rPr>
        <w:t>76.70%</w:t>
      </w:r>
      <w:r>
        <w:rPr>
          <w:rFonts w:hint="eastAsia" w:ascii="仿宋" w:hAnsi="仿宋" w:eastAsia="仿宋"/>
          <w:sz w:val="32"/>
          <w:szCs w:val="32"/>
        </w:rPr>
        <w:t>；项目支出</w:t>
      </w:r>
      <w:r>
        <w:rPr>
          <w:rFonts w:hint="eastAsia" w:ascii="仿宋" w:hAnsi="仿宋" w:eastAsia="仿宋"/>
          <w:color w:val="0000FF"/>
          <w:sz w:val="32"/>
          <w:szCs w:val="32"/>
        </w:rPr>
        <w:t>17797.01万元</w:t>
      </w:r>
      <w:r>
        <w:rPr>
          <w:rFonts w:hint="eastAsia" w:ascii="仿宋" w:hAnsi="仿宋" w:eastAsia="仿宋"/>
          <w:sz w:val="32"/>
          <w:szCs w:val="32"/>
        </w:rPr>
        <w:t>，占</w:t>
      </w:r>
      <w:r>
        <w:rPr>
          <w:rFonts w:hint="eastAsia" w:ascii="仿宋" w:hAnsi="仿宋" w:eastAsia="仿宋"/>
          <w:sz w:val="32"/>
          <w:szCs w:val="32"/>
          <w:lang w:val="en-US" w:eastAsia="zh-CN"/>
        </w:rPr>
        <w:t>比</w:t>
      </w:r>
      <w:r>
        <w:rPr>
          <w:rFonts w:hint="eastAsia" w:ascii="仿宋" w:hAnsi="仿宋" w:eastAsia="仿宋"/>
          <w:color w:val="0000FF"/>
          <w:sz w:val="32"/>
          <w:szCs w:val="32"/>
        </w:rPr>
        <w:t>23.30%；</w:t>
      </w:r>
      <w:r>
        <w:rPr>
          <w:rFonts w:hint="eastAsia" w:ascii="仿宋" w:hAnsi="仿宋" w:eastAsia="仿宋"/>
          <w:sz w:val="32"/>
          <w:szCs w:val="32"/>
        </w:rPr>
        <w:t>上缴上级支出0.00万元，占</w:t>
      </w:r>
      <w:r>
        <w:rPr>
          <w:rFonts w:hint="eastAsia" w:ascii="仿宋" w:hAnsi="仿宋" w:eastAsia="仿宋"/>
          <w:sz w:val="32"/>
          <w:szCs w:val="32"/>
          <w:lang w:val="en-US" w:eastAsia="zh-CN"/>
        </w:rPr>
        <w:t>比</w:t>
      </w:r>
      <w:r>
        <w:rPr>
          <w:rFonts w:hint="eastAsia" w:ascii="仿宋" w:hAnsi="仿宋" w:eastAsia="仿宋"/>
          <w:sz w:val="32"/>
          <w:szCs w:val="32"/>
        </w:rPr>
        <w:t>0.00</w:t>
      </w:r>
      <w:r>
        <w:rPr>
          <w:rFonts w:ascii="仿宋" w:hAnsi="仿宋" w:eastAsia="仿宋"/>
          <w:sz w:val="32"/>
          <w:szCs w:val="32"/>
        </w:rPr>
        <w:t>%</w:t>
      </w:r>
      <w:r>
        <w:rPr>
          <w:rFonts w:hint="eastAsia" w:ascii="仿宋" w:hAnsi="仿宋" w:eastAsia="仿宋"/>
          <w:sz w:val="32"/>
          <w:szCs w:val="32"/>
        </w:rPr>
        <w:t>；经营支出0.00万元，占</w:t>
      </w:r>
      <w:r>
        <w:rPr>
          <w:rFonts w:hint="eastAsia" w:ascii="仿宋" w:hAnsi="仿宋" w:eastAsia="仿宋"/>
          <w:sz w:val="32"/>
          <w:szCs w:val="32"/>
          <w:lang w:val="en-US" w:eastAsia="zh-CN"/>
        </w:rPr>
        <w:t>比</w:t>
      </w:r>
      <w:r>
        <w:rPr>
          <w:rFonts w:hint="eastAsia" w:ascii="仿宋" w:hAnsi="仿宋" w:eastAsia="仿宋"/>
          <w:sz w:val="32"/>
          <w:szCs w:val="32"/>
        </w:rPr>
        <w:t>0.00</w:t>
      </w:r>
      <w:r>
        <w:rPr>
          <w:rFonts w:ascii="仿宋" w:hAnsi="仿宋" w:eastAsia="仿宋"/>
          <w:sz w:val="32"/>
          <w:szCs w:val="32"/>
        </w:rPr>
        <w:t>%</w:t>
      </w:r>
      <w:r>
        <w:rPr>
          <w:rFonts w:hint="eastAsia" w:ascii="仿宋" w:hAnsi="仿宋" w:eastAsia="仿宋"/>
          <w:sz w:val="32"/>
          <w:szCs w:val="32"/>
        </w:rPr>
        <w:t>；对附属单位补助支出0.00万元，占</w:t>
      </w:r>
      <w:r>
        <w:rPr>
          <w:rFonts w:hint="eastAsia" w:ascii="仿宋" w:hAnsi="仿宋" w:eastAsia="仿宋"/>
          <w:sz w:val="32"/>
          <w:szCs w:val="32"/>
          <w:lang w:val="en-US" w:eastAsia="zh-CN"/>
        </w:rPr>
        <w:t>比</w:t>
      </w:r>
      <w:r>
        <w:rPr>
          <w:rFonts w:hint="eastAsia" w:ascii="仿宋" w:hAnsi="仿宋" w:eastAsia="仿宋"/>
          <w:sz w:val="32"/>
          <w:szCs w:val="32"/>
        </w:rPr>
        <w:t>0.00</w:t>
      </w:r>
      <w:r>
        <w:rPr>
          <w:rFonts w:ascii="仿宋" w:hAnsi="仿宋" w:eastAsia="仿宋"/>
          <w:sz w:val="32"/>
          <w:szCs w:val="32"/>
        </w:rPr>
        <w:t>%</w:t>
      </w:r>
      <w:r>
        <w:rPr>
          <w:rFonts w:hint="eastAsia" w:ascii="仿宋" w:hAnsi="仿宋" w:eastAsia="仿宋"/>
          <w:sz w:val="32"/>
          <w:szCs w:val="32"/>
        </w:rPr>
        <w:t>。</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（图3：支出决算结构图）（饼状图）</w:t>
      </w:r>
    </w:p>
    <w:p>
      <w:pPr>
        <w:spacing w:line="600" w:lineRule="exact"/>
        <w:ind w:firstLine="640" w:firstLineChars="200"/>
        <w:rPr>
          <w:rFonts w:ascii="仿宋_GB2312" w:eastAsia="仿宋_GB2312"/>
          <w:sz w:val="32"/>
          <w:szCs w:val="32"/>
        </w:rPr>
      </w:pPr>
      <w:r>
        <w:rPr>
          <w:rFonts w:ascii="仿宋_GB2312" w:eastAsia="仿宋_GB2312"/>
          <w:sz w:val="32"/>
          <w:szCs w:val="32"/>
        </w:rPr>
        <w:drawing>
          <wp:anchor distT="0" distB="0" distL="114300" distR="114300" simplePos="0" relativeHeight="251661312" behindDoc="0" locked="0" layoutInCell="1" allowOverlap="1">
            <wp:simplePos x="0" y="0"/>
            <wp:positionH relativeFrom="column">
              <wp:posOffset>25400</wp:posOffset>
            </wp:positionH>
            <wp:positionV relativeFrom="paragraph">
              <wp:posOffset>19685</wp:posOffset>
            </wp:positionV>
            <wp:extent cx="5274310" cy="3076575"/>
            <wp:effectExtent l="0" t="0" r="21590" b="9525"/>
            <wp:wrapSquare wrapText="bothSides"/>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spacing w:line="600" w:lineRule="exact"/>
        <w:ind w:firstLine="640" w:firstLineChars="200"/>
        <w:outlineLvl w:val="1"/>
        <w:rPr>
          <w:rStyle w:val="25"/>
          <w:rFonts w:ascii="黑体" w:hAnsi="黑体" w:eastAsia="黑体"/>
          <w:b w:val="0"/>
        </w:rPr>
      </w:pPr>
      <w:bookmarkStart w:id="33" w:name="_Toc15377208"/>
      <w:bookmarkStart w:id="34" w:name="_Toc19089868"/>
      <w:r>
        <w:rPr>
          <w:rFonts w:hint="eastAsia" w:ascii="黑体" w:hAnsi="黑体" w:eastAsia="黑体"/>
          <w:sz w:val="32"/>
          <w:szCs w:val="32"/>
        </w:rPr>
        <w:t>四、财</w:t>
      </w:r>
      <w:r>
        <w:rPr>
          <w:rStyle w:val="25"/>
          <w:rFonts w:hint="eastAsia" w:ascii="黑体" w:hAnsi="黑体" w:eastAsia="黑体"/>
          <w:b w:val="0"/>
        </w:rPr>
        <w:t>政拨款收入支出决算总体情况说明</w:t>
      </w:r>
      <w:bookmarkEnd w:id="33"/>
      <w:bookmarkEnd w:id="34"/>
    </w:p>
    <w:p>
      <w:pPr>
        <w:spacing w:line="600" w:lineRule="exact"/>
        <w:ind w:firstLine="640" w:firstLineChars="200"/>
        <w:rPr>
          <w:rFonts w:ascii="仿宋" w:hAnsi="仿宋" w:eastAsia="仿宋"/>
          <w:color w:val="FF0000"/>
          <w:sz w:val="32"/>
          <w:szCs w:val="32"/>
        </w:rPr>
      </w:pPr>
      <w:r>
        <w:rPr>
          <w:rFonts w:hint="eastAsia" w:ascii="仿宋" w:hAnsi="仿宋" w:eastAsia="仿宋"/>
          <w:color w:val="000000" w:themeColor="text1"/>
          <w:sz w:val="32"/>
          <w:szCs w:val="32"/>
          <w14:textFill>
            <w14:solidFill>
              <w14:schemeClr w14:val="tx1"/>
            </w14:solidFill>
          </w14:textFill>
        </w:rPr>
        <w:t>2020年财政拨款收入总计</w:t>
      </w:r>
      <w:r>
        <w:rPr>
          <w:rFonts w:hint="eastAsia" w:ascii="仿宋" w:hAnsi="仿宋" w:eastAsia="仿宋"/>
          <w:color w:val="0000FF"/>
          <w:sz w:val="32"/>
          <w:szCs w:val="32"/>
        </w:rPr>
        <w:t>74943.23万元</w:t>
      </w:r>
      <w:r>
        <w:rPr>
          <w:rFonts w:hint="eastAsia" w:ascii="仿宋" w:hAnsi="仿宋" w:eastAsia="仿宋"/>
          <w:color w:val="FF0000"/>
          <w:sz w:val="32"/>
          <w:szCs w:val="32"/>
        </w:rPr>
        <w:t>。</w:t>
      </w:r>
      <w:r>
        <w:rPr>
          <w:rFonts w:hint="eastAsia" w:ascii="仿宋" w:hAnsi="仿宋" w:eastAsia="仿宋"/>
          <w:color w:val="000000" w:themeColor="text1"/>
          <w:sz w:val="32"/>
          <w:szCs w:val="32"/>
          <w14:textFill>
            <w14:solidFill>
              <w14:schemeClr w14:val="tx1"/>
            </w14:solidFill>
          </w14:textFill>
        </w:rPr>
        <w:t>与2019年相比（</w:t>
      </w:r>
      <w:r>
        <w:rPr>
          <w:rFonts w:hint="eastAsia" w:ascii="仿宋" w:hAnsi="仿宋" w:eastAsia="仿宋"/>
          <w:color w:val="0000FF"/>
          <w:sz w:val="32"/>
          <w:szCs w:val="32"/>
        </w:rPr>
        <w:t>72925.47万元</w:t>
      </w:r>
      <w:r>
        <w:rPr>
          <w:rFonts w:hint="eastAsia" w:ascii="仿宋" w:hAnsi="仿宋" w:eastAsia="仿宋"/>
          <w:color w:val="000000" w:themeColor="text1"/>
          <w:sz w:val="32"/>
          <w:szCs w:val="32"/>
          <w14:textFill>
            <w14:solidFill>
              <w14:schemeClr w14:val="tx1"/>
            </w14:solidFill>
          </w14:textFill>
        </w:rPr>
        <w:t>），财政拨款收入总计增加</w:t>
      </w:r>
      <w:r>
        <w:rPr>
          <w:rFonts w:hint="eastAsia" w:ascii="仿宋" w:hAnsi="仿宋" w:eastAsia="仿宋"/>
          <w:color w:val="0000FF"/>
          <w:sz w:val="32"/>
          <w:szCs w:val="32"/>
        </w:rPr>
        <w:t>2017.76万元</w:t>
      </w:r>
      <w:r>
        <w:rPr>
          <w:rFonts w:hint="eastAsia" w:ascii="仿宋" w:hAnsi="仿宋" w:eastAsia="仿宋"/>
          <w:color w:val="000000" w:themeColor="text1"/>
          <w:sz w:val="32"/>
          <w:szCs w:val="32"/>
          <w14:textFill>
            <w14:solidFill>
              <w14:schemeClr w14:val="tx1"/>
            </w14:solidFill>
          </w14:textFill>
        </w:rPr>
        <w:t>，增涨</w:t>
      </w:r>
      <w:r>
        <w:rPr>
          <w:rFonts w:hint="eastAsia" w:ascii="仿宋" w:hAnsi="仿宋" w:eastAsia="仿宋"/>
          <w:color w:val="0000FF"/>
          <w:sz w:val="32"/>
          <w:szCs w:val="32"/>
        </w:rPr>
        <w:t>2.77%</w:t>
      </w:r>
      <w:r>
        <w:rPr>
          <w:rFonts w:hint="eastAsia" w:ascii="仿宋" w:hAnsi="仿宋" w:eastAsia="仿宋"/>
          <w:color w:val="000000" w:themeColor="text1"/>
          <w:sz w:val="32"/>
          <w:szCs w:val="32"/>
          <w14:textFill>
            <w14:solidFill>
              <w14:schemeClr w14:val="tx1"/>
            </w14:solidFill>
          </w14:textFill>
        </w:rPr>
        <w:t>。</w:t>
      </w:r>
      <w:r>
        <w:rPr>
          <w:rFonts w:hint="eastAsia" w:ascii="仿宋_GB2312" w:eastAsia="仿宋_GB2312"/>
          <w:color w:val="000000" w:themeColor="text1"/>
          <w:kern w:val="0"/>
          <w:sz w:val="32"/>
          <w:szCs w:val="32"/>
          <w14:textFill>
            <w14:solidFill>
              <w14:schemeClr w14:val="tx1"/>
            </w14:solidFill>
          </w14:textFill>
        </w:rPr>
        <w:t>主要变动原因</w:t>
      </w:r>
      <w:r>
        <w:rPr>
          <w:rFonts w:hint="eastAsia" w:ascii="仿宋" w:hAnsi="仿宋" w:eastAsia="仿宋"/>
          <w:color w:val="FF0000"/>
          <w:sz w:val="32"/>
          <w:szCs w:val="32"/>
        </w:rPr>
        <w:t>一是区财政新增安排优质教育质量考核奖励资金</w:t>
      </w:r>
      <w:r>
        <w:rPr>
          <w:rFonts w:hint="eastAsia" w:ascii="仿宋" w:hAnsi="仿宋" w:eastAsia="仿宋"/>
          <w:color w:val="0000FF"/>
          <w:sz w:val="32"/>
          <w:szCs w:val="32"/>
        </w:rPr>
        <w:t>300.00万元</w:t>
      </w:r>
      <w:r>
        <w:rPr>
          <w:rFonts w:hint="eastAsia" w:ascii="仿宋" w:hAnsi="仿宋" w:eastAsia="仿宋"/>
          <w:color w:val="FF0000"/>
          <w:sz w:val="32"/>
          <w:szCs w:val="32"/>
        </w:rPr>
        <w:t>，该项资金在2020年收入中占比</w:t>
      </w:r>
      <w:r>
        <w:rPr>
          <w:rFonts w:hint="eastAsia" w:ascii="仿宋" w:hAnsi="仿宋" w:eastAsia="仿宋"/>
          <w:color w:val="0000FF"/>
          <w:sz w:val="32"/>
          <w:szCs w:val="32"/>
        </w:rPr>
        <w:t>3.9%</w:t>
      </w:r>
      <w:r>
        <w:rPr>
          <w:rFonts w:hint="eastAsia" w:ascii="仿宋" w:hAnsi="仿宋" w:eastAsia="仿宋"/>
          <w:color w:val="FF0000"/>
          <w:sz w:val="32"/>
          <w:szCs w:val="32"/>
        </w:rPr>
        <w:t>；二是因人员工资支出增涨和教职工总数增加，财政人员经费拨款收入增涨；三是个别建设项目规模大、建设周期长，建设资金已纳入2019年预算安排下达。</w:t>
      </w:r>
    </w:p>
    <w:p>
      <w:pPr>
        <w:spacing w:line="600" w:lineRule="exact"/>
        <w:ind w:firstLine="640" w:firstLineChars="200"/>
        <w:rPr>
          <w:rFonts w:ascii="仿宋_GB2312" w:eastAsia="仿宋_GB2312"/>
          <w:color w:val="000000" w:themeColor="text1"/>
          <w:kern w:val="0"/>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2020年财政拨款支出总计</w:t>
      </w:r>
      <w:r>
        <w:rPr>
          <w:rFonts w:hint="eastAsia" w:ascii="仿宋" w:hAnsi="仿宋" w:eastAsia="仿宋"/>
          <w:color w:val="0000FF"/>
          <w:sz w:val="32"/>
          <w:szCs w:val="32"/>
        </w:rPr>
        <w:t>74602.73万元</w:t>
      </w:r>
      <w:r>
        <w:rPr>
          <w:rFonts w:hint="eastAsia" w:ascii="仿宋" w:hAnsi="仿宋" w:eastAsia="仿宋"/>
          <w:color w:val="000000" w:themeColor="text1"/>
          <w:sz w:val="32"/>
          <w:szCs w:val="32"/>
          <w14:textFill>
            <w14:solidFill>
              <w14:schemeClr w14:val="tx1"/>
            </w14:solidFill>
          </w14:textFill>
        </w:rPr>
        <w:t>。与20</w:t>
      </w:r>
      <w:r>
        <w:rPr>
          <w:rFonts w:hint="eastAsia" w:ascii="仿宋" w:hAnsi="仿宋" w:eastAsia="仿宋"/>
          <w:color w:val="000000" w:themeColor="text1"/>
          <w:sz w:val="32"/>
          <w:szCs w:val="32"/>
          <w:lang w:val="en-US" w:eastAsia="zh-CN"/>
          <w14:textFill>
            <w14:solidFill>
              <w14:schemeClr w14:val="tx1"/>
            </w14:solidFill>
          </w14:textFill>
        </w:rPr>
        <w:t>19</w:t>
      </w:r>
      <w:r>
        <w:rPr>
          <w:rFonts w:hint="eastAsia" w:ascii="仿宋" w:hAnsi="仿宋" w:eastAsia="仿宋"/>
          <w:color w:val="000000" w:themeColor="text1"/>
          <w:sz w:val="32"/>
          <w:szCs w:val="32"/>
          <w14:textFill>
            <w14:solidFill>
              <w14:schemeClr w14:val="tx1"/>
            </w14:solidFill>
          </w14:textFill>
        </w:rPr>
        <w:t>年相比（</w:t>
      </w:r>
      <w:r>
        <w:rPr>
          <w:rFonts w:hint="eastAsia" w:ascii="仿宋" w:hAnsi="仿宋" w:eastAsia="仿宋"/>
          <w:color w:val="0000FF"/>
          <w:sz w:val="32"/>
          <w:szCs w:val="32"/>
        </w:rPr>
        <w:t>71088.15万元</w:t>
      </w:r>
      <w:r>
        <w:rPr>
          <w:rFonts w:hint="eastAsia" w:ascii="仿宋" w:hAnsi="仿宋" w:eastAsia="仿宋"/>
          <w:color w:val="000000" w:themeColor="text1"/>
          <w:sz w:val="32"/>
          <w:szCs w:val="32"/>
          <w14:textFill>
            <w14:solidFill>
              <w14:schemeClr w14:val="tx1"/>
            </w14:solidFill>
          </w14:textFill>
        </w:rPr>
        <w:t>），财政拨款支出总计增加</w:t>
      </w:r>
      <w:r>
        <w:rPr>
          <w:rFonts w:hint="eastAsia" w:ascii="仿宋" w:hAnsi="仿宋" w:eastAsia="仿宋"/>
          <w:color w:val="0000FF"/>
          <w:sz w:val="32"/>
          <w:szCs w:val="32"/>
        </w:rPr>
        <w:t>3514.58万元</w:t>
      </w:r>
      <w:r>
        <w:rPr>
          <w:rFonts w:hint="eastAsia" w:ascii="仿宋" w:hAnsi="仿宋" w:eastAsia="仿宋"/>
          <w:color w:val="000000" w:themeColor="text1"/>
          <w:sz w:val="32"/>
          <w:szCs w:val="32"/>
          <w14:textFill>
            <w14:solidFill>
              <w14:schemeClr w14:val="tx1"/>
            </w14:solidFill>
          </w14:textFill>
        </w:rPr>
        <w:t>，增涨</w:t>
      </w:r>
      <w:r>
        <w:rPr>
          <w:rFonts w:hint="eastAsia" w:ascii="仿宋" w:hAnsi="仿宋" w:eastAsia="仿宋"/>
          <w:color w:val="0000FF"/>
          <w:sz w:val="32"/>
          <w:szCs w:val="32"/>
        </w:rPr>
        <w:t>4.94%</w:t>
      </w:r>
      <w:r>
        <w:rPr>
          <w:rFonts w:hint="eastAsia" w:ascii="仿宋" w:hAnsi="仿宋" w:eastAsia="仿宋"/>
          <w:color w:val="000000" w:themeColor="text1"/>
          <w:sz w:val="32"/>
          <w:szCs w:val="32"/>
          <w14:textFill>
            <w14:solidFill>
              <w14:schemeClr w14:val="tx1"/>
            </w14:solidFill>
          </w14:textFill>
        </w:rPr>
        <w:t>。</w:t>
      </w:r>
      <w:r>
        <w:rPr>
          <w:rFonts w:hint="eastAsia" w:ascii="仿宋_GB2312" w:eastAsia="仿宋_GB2312"/>
          <w:color w:val="000000" w:themeColor="text1"/>
          <w:kern w:val="0"/>
          <w:sz w:val="32"/>
          <w:szCs w:val="32"/>
          <w14:textFill>
            <w14:solidFill>
              <w14:schemeClr w14:val="tx1"/>
            </w14:solidFill>
          </w14:textFill>
        </w:rPr>
        <w:t>主要变动原因</w:t>
      </w:r>
      <w:r>
        <w:rPr>
          <w:rFonts w:hint="eastAsia" w:ascii="仿宋_GB2312" w:eastAsia="仿宋_GB2312"/>
          <w:color w:val="FF0000"/>
          <w:kern w:val="0"/>
          <w:sz w:val="32"/>
          <w:szCs w:val="32"/>
        </w:rPr>
        <w:t>一是2019年度区财政下达的</w:t>
      </w:r>
      <w:r>
        <w:rPr>
          <w:rFonts w:hint="eastAsia" w:ascii="仿宋" w:hAnsi="仿宋" w:eastAsia="仿宋"/>
          <w:color w:val="FF0000"/>
          <w:sz w:val="32"/>
          <w:szCs w:val="32"/>
        </w:rPr>
        <w:t>“智慧广元”二期建设资金、学前教育债券建设资金等本年度项目正式启动，相关支出于本年列支；</w:t>
      </w:r>
      <w:r>
        <w:rPr>
          <w:rFonts w:hint="eastAsia" w:ascii="仿宋_GB2312" w:eastAsia="仿宋_GB2312"/>
          <w:color w:val="FF0000"/>
          <w:kern w:val="0"/>
          <w:sz w:val="32"/>
          <w:szCs w:val="32"/>
        </w:rPr>
        <w:t>二是人员工资支出增长和教职工总数增加，</w:t>
      </w:r>
      <w:r>
        <w:rPr>
          <w:rFonts w:hint="eastAsia" w:ascii="仿宋" w:hAnsi="仿宋" w:eastAsia="仿宋"/>
          <w:color w:val="FF0000"/>
          <w:sz w:val="32"/>
          <w:szCs w:val="32"/>
        </w:rPr>
        <w:t>人员经费支出（</w:t>
      </w:r>
      <w:r>
        <w:rPr>
          <w:rFonts w:hint="eastAsia" w:ascii="仿宋" w:hAnsi="仿宋" w:eastAsia="仿宋"/>
          <w:color w:val="0000FF"/>
          <w:sz w:val="32"/>
          <w:szCs w:val="32"/>
        </w:rPr>
        <w:t>49193.67万元</w:t>
      </w:r>
      <w:r>
        <w:rPr>
          <w:rFonts w:hint="eastAsia" w:ascii="仿宋" w:hAnsi="仿宋" w:eastAsia="仿宋"/>
          <w:color w:val="FF0000"/>
          <w:sz w:val="32"/>
          <w:szCs w:val="32"/>
        </w:rPr>
        <w:t>）相比2019年（</w:t>
      </w:r>
      <w:r>
        <w:rPr>
          <w:rFonts w:hint="eastAsia" w:ascii="仿宋" w:hAnsi="仿宋" w:eastAsia="仿宋"/>
          <w:color w:val="0000FF"/>
          <w:sz w:val="32"/>
          <w:szCs w:val="32"/>
        </w:rPr>
        <w:t>47563.86万元</w:t>
      </w:r>
      <w:r>
        <w:rPr>
          <w:rFonts w:hint="eastAsia" w:ascii="仿宋" w:hAnsi="仿宋" w:eastAsia="仿宋"/>
          <w:color w:val="FF0000"/>
          <w:sz w:val="32"/>
          <w:szCs w:val="32"/>
        </w:rPr>
        <w:t>）增涨</w:t>
      </w:r>
      <w:r>
        <w:rPr>
          <w:rFonts w:hint="eastAsia" w:ascii="仿宋" w:hAnsi="仿宋" w:eastAsia="仿宋"/>
          <w:color w:val="0000FF"/>
          <w:sz w:val="32"/>
          <w:szCs w:val="32"/>
        </w:rPr>
        <w:t>1629.81万元</w:t>
      </w:r>
      <w:r>
        <w:rPr>
          <w:rFonts w:hint="eastAsia" w:ascii="仿宋" w:hAnsi="仿宋" w:eastAsia="仿宋"/>
          <w:color w:val="FF0000"/>
          <w:sz w:val="32"/>
          <w:szCs w:val="32"/>
        </w:rPr>
        <w:t>，增幅</w:t>
      </w:r>
      <w:r>
        <w:rPr>
          <w:rFonts w:hint="eastAsia" w:ascii="仿宋" w:hAnsi="仿宋" w:eastAsia="仿宋"/>
          <w:color w:val="0000FF"/>
          <w:sz w:val="32"/>
          <w:szCs w:val="32"/>
        </w:rPr>
        <w:t>3.43%</w:t>
      </w:r>
      <w:r>
        <w:rPr>
          <w:rFonts w:hint="eastAsia" w:ascii="仿宋_GB2312" w:eastAsia="仿宋_GB2312"/>
          <w:color w:val="FF0000"/>
          <w:kern w:val="0"/>
          <w:sz w:val="32"/>
          <w:szCs w:val="32"/>
        </w:rPr>
        <w:t>。</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（图4：财政拨款收、支决算总计变动情况）（柱状图）</w:t>
      </w:r>
    </w:p>
    <w:p>
      <w:pPr>
        <w:spacing w:line="600" w:lineRule="exact"/>
        <w:ind w:firstLine="640"/>
        <w:rPr>
          <w:rFonts w:ascii="仿宋" w:hAnsi="仿宋" w:eastAsia="仿宋"/>
          <w:b/>
          <w:sz w:val="32"/>
          <w:szCs w:val="32"/>
        </w:rPr>
      </w:pPr>
      <w:r>
        <w:rPr>
          <w:rFonts w:hint="eastAsia" w:ascii="仿宋" w:hAnsi="仿宋" w:eastAsia="仿宋"/>
          <w:b/>
          <w:sz w:val="32"/>
          <w:szCs w:val="32"/>
        </w:rPr>
        <w:drawing>
          <wp:anchor distT="0" distB="0" distL="114300" distR="114300" simplePos="0" relativeHeight="251662336" behindDoc="0" locked="0" layoutInCell="1" allowOverlap="1">
            <wp:simplePos x="0" y="0"/>
            <wp:positionH relativeFrom="column">
              <wp:posOffset>101600</wp:posOffset>
            </wp:positionH>
            <wp:positionV relativeFrom="paragraph">
              <wp:posOffset>146050</wp:posOffset>
            </wp:positionV>
            <wp:extent cx="5274310" cy="3076575"/>
            <wp:effectExtent l="0" t="0" r="21590" b="9525"/>
            <wp:wrapSquare wrapText="bothSides"/>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rFonts w:hint="eastAsia" w:ascii="仿宋" w:hAnsi="仿宋" w:eastAsia="仿宋"/>
          <w:b/>
          <w:sz w:val="32"/>
          <w:szCs w:val="32"/>
        </w:rPr>
        <w:t>（除国有资本经营预算外，数据来源于财决</w:t>
      </w:r>
      <w:r>
        <w:rPr>
          <w:rFonts w:ascii="仿宋" w:hAnsi="仿宋" w:eastAsia="仿宋"/>
          <w:b/>
          <w:sz w:val="32"/>
          <w:szCs w:val="32"/>
        </w:rPr>
        <w:t>Z01-1</w:t>
      </w:r>
      <w:r>
        <w:rPr>
          <w:rFonts w:hint="eastAsia" w:ascii="仿宋" w:hAnsi="仿宋" w:eastAsia="仿宋"/>
          <w:b/>
          <w:sz w:val="32"/>
          <w:szCs w:val="32"/>
        </w:rPr>
        <w:t>表，口径为“总计”数+国有资本经营预算）</w:t>
      </w:r>
    </w:p>
    <w:p>
      <w:pPr>
        <w:spacing w:line="600" w:lineRule="exact"/>
        <w:ind w:firstLine="640" w:firstLineChars="200"/>
        <w:outlineLvl w:val="1"/>
        <w:rPr>
          <w:rStyle w:val="25"/>
          <w:rFonts w:ascii="黑体" w:hAnsi="黑体" w:eastAsia="黑体"/>
          <w:b w:val="0"/>
        </w:rPr>
      </w:pPr>
      <w:bookmarkStart w:id="35" w:name="_Toc15377209"/>
      <w:bookmarkStart w:id="36" w:name="_Toc19089869"/>
      <w:r>
        <w:rPr>
          <w:rFonts w:hint="eastAsia" w:ascii="黑体" w:hAnsi="黑体" w:eastAsia="黑体"/>
          <w:sz w:val="32"/>
          <w:szCs w:val="32"/>
        </w:rPr>
        <w:t>五、</w:t>
      </w:r>
      <w:r>
        <w:rPr>
          <w:rFonts w:hint="eastAsia" w:ascii="黑体" w:hAnsi="黑体" w:eastAsia="黑体"/>
          <w:b/>
          <w:sz w:val="32"/>
          <w:szCs w:val="32"/>
        </w:rPr>
        <w:t>一</w:t>
      </w:r>
      <w:r>
        <w:rPr>
          <w:rStyle w:val="25"/>
          <w:rFonts w:hint="eastAsia" w:ascii="黑体" w:hAnsi="黑体" w:eastAsia="黑体"/>
          <w:b w:val="0"/>
        </w:rPr>
        <w:t>般公共预算财政拨款支出决算情况说明</w:t>
      </w:r>
      <w:bookmarkEnd w:id="35"/>
      <w:bookmarkEnd w:id="36"/>
    </w:p>
    <w:p>
      <w:pPr>
        <w:spacing w:line="600" w:lineRule="exact"/>
        <w:ind w:firstLine="642" w:firstLineChars="200"/>
        <w:outlineLvl w:val="2"/>
        <w:rPr>
          <w:rFonts w:ascii="仿宋" w:hAnsi="仿宋" w:eastAsia="仿宋"/>
          <w:b/>
          <w:sz w:val="32"/>
          <w:szCs w:val="32"/>
        </w:rPr>
      </w:pPr>
      <w:bookmarkStart w:id="37" w:name="_Toc15377210"/>
      <w:r>
        <w:rPr>
          <w:rFonts w:hint="eastAsia" w:ascii="仿宋" w:hAnsi="仿宋" w:eastAsia="仿宋"/>
          <w:b/>
          <w:sz w:val="32"/>
          <w:szCs w:val="32"/>
        </w:rPr>
        <w:t>（一）一般公共预算财政拨款支出决算总体情况</w:t>
      </w:r>
      <w:bookmarkEnd w:id="37"/>
    </w:p>
    <w:p>
      <w:pPr>
        <w:spacing w:line="600" w:lineRule="exact"/>
        <w:ind w:firstLine="640" w:firstLineChars="20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20年一般公共预算财政拨款支出</w:t>
      </w:r>
      <w:r>
        <w:rPr>
          <w:rFonts w:hint="eastAsia" w:ascii="仿宋" w:hAnsi="仿宋" w:eastAsia="仿宋"/>
          <w:color w:val="0000FF"/>
          <w:sz w:val="32"/>
          <w:szCs w:val="32"/>
        </w:rPr>
        <w:t>74301.01万元</w:t>
      </w:r>
      <w:r>
        <w:rPr>
          <w:rFonts w:hint="eastAsia" w:ascii="仿宋" w:hAnsi="仿宋" w:eastAsia="仿宋"/>
          <w:sz w:val="32"/>
          <w:szCs w:val="32"/>
        </w:rPr>
        <w:t>，占本年支出合计（</w:t>
      </w:r>
      <w:r>
        <w:rPr>
          <w:rFonts w:hint="eastAsia" w:ascii="仿宋" w:hAnsi="仿宋" w:eastAsia="仿宋"/>
          <w:color w:val="0000FF"/>
          <w:sz w:val="32"/>
          <w:szCs w:val="32"/>
        </w:rPr>
        <w:t>76373.49</w:t>
      </w:r>
      <w:r>
        <w:rPr>
          <w:rFonts w:ascii="仿宋" w:hAnsi="仿宋" w:eastAsia="仿宋"/>
          <w:color w:val="0000FF"/>
          <w:sz w:val="32"/>
          <w:szCs w:val="32"/>
        </w:rPr>
        <w:t>万元</w:t>
      </w:r>
      <w:r>
        <w:rPr>
          <w:rFonts w:hint="eastAsia" w:ascii="仿宋" w:hAnsi="仿宋" w:eastAsia="仿宋"/>
          <w:sz w:val="32"/>
          <w:szCs w:val="32"/>
        </w:rPr>
        <w:t>）的</w:t>
      </w:r>
      <w:r>
        <w:rPr>
          <w:rFonts w:hint="eastAsia" w:ascii="仿宋" w:hAnsi="仿宋" w:eastAsia="仿宋"/>
          <w:color w:val="FF0000"/>
          <w:sz w:val="32"/>
          <w:szCs w:val="32"/>
        </w:rPr>
        <w:t>97.29</w:t>
      </w:r>
      <w:r>
        <w:rPr>
          <w:rFonts w:ascii="仿宋" w:hAnsi="仿宋" w:eastAsia="仿宋"/>
          <w:color w:val="FF0000"/>
          <w:sz w:val="32"/>
          <w:szCs w:val="32"/>
        </w:rPr>
        <w:t>%</w:t>
      </w:r>
      <w:r>
        <w:rPr>
          <w:rFonts w:hint="eastAsia" w:ascii="仿宋" w:hAnsi="仿宋" w:eastAsia="仿宋"/>
          <w:sz w:val="32"/>
          <w:szCs w:val="32"/>
        </w:rPr>
        <w:t>。与</w:t>
      </w:r>
      <w:r>
        <w:rPr>
          <w:rFonts w:ascii="仿宋" w:hAnsi="仿宋" w:eastAsia="仿宋"/>
          <w:sz w:val="32"/>
          <w:szCs w:val="32"/>
        </w:rPr>
        <w:t>201</w:t>
      </w:r>
      <w:r>
        <w:rPr>
          <w:rFonts w:hint="eastAsia" w:ascii="仿宋" w:hAnsi="仿宋" w:eastAsia="仿宋"/>
          <w:sz w:val="32"/>
          <w:szCs w:val="32"/>
        </w:rPr>
        <w:t>9年相比（</w:t>
      </w:r>
      <w:r>
        <w:rPr>
          <w:rFonts w:hint="eastAsia" w:ascii="仿宋" w:hAnsi="仿宋" w:eastAsia="仿宋"/>
          <w:color w:val="0000FF"/>
          <w:sz w:val="32"/>
          <w:szCs w:val="32"/>
        </w:rPr>
        <w:t>67415.26万元</w:t>
      </w:r>
      <w:r>
        <w:rPr>
          <w:rFonts w:hint="eastAsia" w:ascii="仿宋" w:hAnsi="仿宋" w:eastAsia="仿宋"/>
          <w:sz w:val="32"/>
          <w:szCs w:val="32"/>
        </w:rPr>
        <w:t>），一般公共预算财政拨款支出增加</w:t>
      </w:r>
      <w:r>
        <w:rPr>
          <w:rFonts w:hint="eastAsia" w:ascii="仿宋" w:hAnsi="仿宋" w:eastAsia="仿宋"/>
          <w:color w:val="FF0000"/>
          <w:sz w:val="32"/>
          <w:szCs w:val="32"/>
        </w:rPr>
        <w:t>6885.75</w:t>
      </w:r>
      <w:r>
        <w:rPr>
          <w:rFonts w:hint="eastAsia" w:ascii="仿宋" w:hAnsi="仿宋" w:eastAsia="仿宋"/>
          <w:sz w:val="32"/>
          <w:szCs w:val="32"/>
        </w:rPr>
        <w:t>万元</w:t>
      </w:r>
      <w:r>
        <w:rPr>
          <w:rFonts w:hint="eastAsia" w:ascii="仿宋" w:hAnsi="仿宋" w:eastAsia="仿宋"/>
          <w:color w:val="000000" w:themeColor="text1"/>
          <w:sz w:val="32"/>
          <w:szCs w:val="32"/>
          <w14:textFill>
            <w14:solidFill>
              <w14:schemeClr w14:val="tx1"/>
            </w14:solidFill>
          </w14:textFill>
        </w:rPr>
        <w:t>，增长</w:t>
      </w:r>
      <w:r>
        <w:rPr>
          <w:rFonts w:hint="eastAsia" w:ascii="仿宋" w:hAnsi="仿宋" w:eastAsia="仿宋"/>
          <w:color w:val="0000FF"/>
          <w:sz w:val="32"/>
          <w:szCs w:val="32"/>
        </w:rPr>
        <w:t>10.21</w:t>
      </w:r>
      <w:r>
        <w:rPr>
          <w:rFonts w:ascii="仿宋" w:hAnsi="仿宋" w:eastAsia="仿宋"/>
          <w:color w:val="0000FF"/>
          <w:sz w:val="32"/>
          <w:szCs w:val="32"/>
        </w:rPr>
        <w:t>%</w:t>
      </w:r>
      <w:r>
        <w:rPr>
          <w:rFonts w:hint="eastAsia" w:ascii="仿宋" w:hAnsi="仿宋" w:eastAsia="仿宋"/>
          <w:color w:val="000000" w:themeColor="text1"/>
          <w:sz w:val="32"/>
          <w:szCs w:val="32"/>
          <w14:textFill>
            <w14:solidFill>
              <w14:schemeClr w14:val="tx1"/>
            </w14:solidFill>
          </w14:textFill>
        </w:rPr>
        <w:t>。</w:t>
      </w:r>
      <w:r>
        <w:rPr>
          <w:rFonts w:hint="eastAsia" w:ascii="仿宋_GB2312" w:eastAsia="仿宋_GB2312"/>
          <w:color w:val="000000" w:themeColor="text1"/>
          <w:kern w:val="0"/>
          <w:sz w:val="32"/>
          <w:szCs w:val="32"/>
          <w14:textFill>
            <w14:solidFill>
              <w14:schemeClr w14:val="tx1"/>
            </w14:solidFill>
          </w14:textFill>
        </w:rPr>
        <w:t>主要变动原因</w:t>
      </w:r>
      <w:r>
        <w:rPr>
          <w:rFonts w:hint="eastAsia" w:ascii="仿宋_GB2312" w:eastAsia="仿宋_GB2312"/>
          <w:color w:val="FF0000"/>
          <w:kern w:val="0"/>
          <w:sz w:val="32"/>
          <w:szCs w:val="32"/>
        </w:rPr>
        <w:t>一是学前教育债券建设项目</w:t>
      </w:r>
      <w:r>
        <w:rPr>
          <w:rFonts w:hint="eastAsia" w:ascii="仿宋" w:hAnsi="仿宋" w:eastAsia="仿宋"/>
          <w:color w:val="FF0000"/>
          <w:sz w:val="32"/>
          <w:szCs w:val="32"/>
        </w:rPr>
        <w:t>启动后，支出总额达</w:t>
      </w:r>
      <w:r>
        <w:rPr>
          <w:rFonts w:hint="eastAsia" w:ascii="仿宋" w:hAnsi="仿宋" w:eastAsia="仿宋"/>
          <w:color w:val="0000FF"/>
          <w:sz w:val="32"/>
          <w:szCs w:val="32"/>
        </w:rPr>
        <w:t>3693.85万元</w:t>
      </w:r>
      <w:r>
        <w:rPr>
          <w:rFonts w:hint="eastAsia" w:ascii="仿宋" w:hAnsi="仿宋" w:eastAsia="仿宋"/>
          <w:color w:val="FF0000"/>
          <w:sz w:val="32"/>
          <w:szCs w:val="32"/>
        </w:rPr>
        <w:t>，占当年一般公共预算财政拨款支出总数的</w:t>
      </w:r>
      <w:r>
        <w:rPr>
          <w:rFonts w:hint="eastAsia" w:ascii="仿宋" w:hAnsi="仿宋" w:eastAsia="仿宋"/>
          <w:color w:val="0000FF"/>
          <w:sz w:val="32"/>
          <w:szCs w:val="32"/>
        </w:rPr>
        <w:t>4.97%</w:t>
      </w:r>
      <w:r>
        <w:rPr>
          <w:rFonts w:hint="eastAsia" w:ascii="仿宋" w:hAnsi="仿宋" w:eastAsia="仿宋"/>
          <w:color w:val="FF0000"/>
          <w:sz w:val="32"/>
          <w:szCs w:val="32"/>
        </w:rPr>
        <w:t>；</w:t>
      </w:r>
      <w:r>
        <w:rPr>
          <w:rFonts w:hint="eastAsia" w:ascii="仿宋_GB2312" w:eastAsia="仿宋_GB2312"/>
          <w:color w:val="FF0000"/>
          <w:kern w:val="0"/>
          <w:sz w:val="32"/>
          <w:szCs w:val="32"/>
        </w:rPr>
        <w:t>二是人员工资支出增长和教职工总数增加，</w:t>
      </w:r>
      <w:r>
        <w:rPr>
          <w:rFonts w:hint="eastAsia" w:ascii="仿宋" w:hAnsi="仿宋" w:eastAsia="仿宋"/>
          <w:color w:val="FF0000"/>
          <w:sz w:val="32"/>
          <w:szCs w:val="32"/>
        </w:rPr>
        <w:t>人员经费支出（</w:t>
      </w:r>
      <w:r>
        <w:rPr>
          <w:rFonts w:hint="eastAsia" w:ascii="仿宋" w:hAnsi="仿宋" w:eastAsia="仿宋"/>
          <w:color w:val="0000FF"/>
          <w:sz w:val="32"/>
          <w:szCs w:val="32"/>
        </w:rPr>
        <w:t>49193.67万元</w:t>
      </w:r>
      <w:r>
        <w:rPr>
          <w:rFonts w:hint="eastAsia" w:ascii="仿宋" w:hAnsi="仿宋" w:eastAsia="仿宋"/>
          <w:color w:val="FF0000"/>
          <w:sz w:val="32"/>
          <w:szCs w:val="32"/>
        </w:rPr>
        <w:t>）相比2019年（</w:t>
      </w:r>
      <w:r>
        <w:rPr>
          <w:rFonts w:hint="eastAsia" w:ascii="仿宋" w:hAnsi="仿宋" w:eastAsia="仿宋"/>
          <w:color w:val="0000FF"/>
          <w:sz w:val="32"/>
          <w:szCs w:val="32"/>
        </w:rPr>
        <w:t>47563.86万元</w:t>
      </w:r>
      <w:r>
        <w:rPr>
          <w:rFonts w:hint="eastAsia" w:ascii="仿宋" w:hAnsi="仿宋" w:eastAsia="仿宋"/>
          <w:color w:val="FF0000"/>
          <w:sz w:val="32"/>
          <w:szCs w:val="32"/>
        </w:rPr>
        <w:t>）增涨</w:t>
      </w:r>
      <w:r>
        <w:rPr>
          <w:rFonts w:hint="eastAsia" w:ascii="仿宋" w:hAnsi="仿宋" w:eastAsia="仿宋"/>
          <w:color w:val="0000FF"/>
          <w:sz w:val="32"/>
          <w:szCs w:val="32"/>
        </w:rPr>
        <w:t>1629.81万元</w:t>
      </w:r>
      <w:r>
        <w:rPr>
          <w:rFonts w:hint="eastAsia" w:ascii="仿宋" w:hAnsi="仿宋" w:eastAsia="仿宋"/>
          <w:color w:val="FF0000"/>
          <w:sz w:val="32"/>
          <w:szCs w:val="32"/>
        </w:rPr>
        <w:t>，增幅</w:t>
      </w:r>
      <w:r>
        <w:rPr>
          <w:rFonts w:hint="eastAsia" w:ascii="仿宋" w:hAnsi="仿宋" w:eastAsia="仿宋"/>
          <w:color w:val="0000FF"/>
          <w:sz w:val="32"/>
          <w:szCs w:val="32"/>
        </w:rPr>
        <w:t>3.43%</w:t>
      </w:r>
      <w:r>
        <w:rPr>
          <w:rFonts w:hint="eastAsia" w:ascii="仿宋_GB2312" w:eastAsia="仿宋_GB2312"/>
          <w:color w:val="FF0000"/>
          <w:kern w:val="0"/>
          <w:sz w:val="32"/>
          <w:szCs w:val="32"/>
        </w:rPr>
        <w:t>。。</w:t>
      </w:r>
    </w:p>
    <w:p>
      <w:pPr>
        <w:spacing w:line="600" w:lineRule="exact"/>
        <w:ind w:firstLine="642" w:firstLineChars="200"/>
        <w:rPr>
          <w:rFonts w:ascii="仿宋" w:hAnsi="仿宋" w:eastAsia="仿宋"/>
          <w:sz w:val="32"/>
          <w:szCs w:val="32"/>
        </w:rPr>
      </w:pPr>
      <w:r>
        <w:rPr>
          <w:rFonts w:hint="eastAsia" w:ascii="仿宋" w:hAnsi="仿宋" w:eastAsia="仿宋"/>
          <w:b/>
          <w:sz w:val="32"/>
          <w:szCs w:val="32"/>
        </w:rPr>
        <w:drawing>
          <wp:anchor distT="0" distB="0" distL="114300" distR="114300" simplePos="0" relativeHeight="251666432" behindDoc="0" locked="0" layoutInCell="1" allowOverlap="1">
            <wp:simplePos x="0" y="0"/>
            <wp:positionH relativeFrom="column">
              <wp:posOffset>26035</wp:posOffset>
            </wp:positionH>
            <wp:positionV relativeFrom="paragraph">
              <wp:posOffset>155575</wp:posOffset>
            </wp:positionV>
            <wp:extent cx="5202555" cy="1863090"/>
            <wp:effectExtent l="4445" t="4445" r="12700" b="18415"/>
            <wp:wrapSquare wrapText="bothSides"/>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hint="eastAsia" w:ascii="仿宋" w:hAnsi="仿宋" w:eastAsia="仿宋"/>
          <w:sz w:val="32"/>
          <w:szCs w:val="32"/>
        </w:rPr>
        <w:t>（图5：一般公共预算财政拨款支出决算变动情况）（柱状图）</w:t>
      </w:r>
    </w:p>
    <w:p>
      <w:pPr>
        <w:spacing w:line="600" w:lineRule="exact"/>
        <w:ind w:firstLine="642" w:firstLineChars="200"/>
        <w:outlineLvl w:val="2"/>
        <w:rPr>
          <w:rFonts w:ascii="仿宋" w:hAnsi="仿宋" w:eastAsia="仿宋"/>
          <w:b/>
          <w:sz w:val="32"/>
          <w:szCs w:val="32"/>
        </w:rPr>
      </w:pPr>
      <w:bookmarkStart w:id="38" w:name="_Toc15377211"/>
      <w:r>
        <w:rPr>
          <w:rFonts w:hint="eastAsia" w:ascii="仿宋" w:hAnsi="仿宋" w:eastAsia="仿宋"/>
          <w:b/>
          <w:sz w:val="32"/>
          <w:szCs w:val="32"/>
        </w:rPr>
        <w:t>（二）一般公共预算财政拨款支出决算结构情况</w:t>
      </w:r>
      <w:bookmarkEnd w:id="38"/>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20年一般公共预算财政拨款支出</w:t>
      </w:r>
      <w:r>
        <w:rPr>
          <w:rFonts w:hint="eastAsia" w:ascii="仿宋" w:hAnsi="仿宋" w:eastAsia="仿宋"/>
          <w:color w:val="0000FF"/>
          <w:sz w:val="32"/>
          <w:szCs w:val="32"/>
        </w:rPr>
        <w:t>74301.01万元</w:t>
      </w:r>
      <w:r>
        <w:rPr>
          <w:rFonts w:hint="eastAsia" w:ascii="仿宋" w:hAnsi="仿宋" w:eastAsia="仿宋"/>
          <w:sz w:val="32"/>
          <w:szCs w:val="32"/>
        </w:rPr>
        <w:t>，主要用于以下方面</w:t>
      </w:r>
      <w:r>
        <w:rPr>
          <w:rFonts w:ascii="仿宋" w:hAnsi="仿宋" w:eastAsia="仿宋"/>
          <w:sz w:val="32"/>
          <w:szCs w:val="32"/>
        </w:rPr>
        <w:t>:</w:t>
      </w:r>
      <w:r>
        <w:rPr>
          <w:rFonts w:hint="eastAsia" w:ascii="仿宋" w:hAnsi="仿宋" w:eastAsia="仿宋"/>
          <w:b/>
          <w:sz w:val="32"/>
          <w:szCs w:val="32"/>
        </w:rPr>
        <w:t>一般公共服务（类）</w:t>
      </w:r>
      <w:r>
        <w:rPr>
          <w:rFonts w:hint="eastAsia" w:ascii="仿宋" w:hAnsi="仿宋" w:eastAsia="仿宋"/>
          <w:sz w:val="32"/>
          <w:szCs w:val="32"/>
        </w:rPr>
        <w:t>支出0.00万元，占0.00</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教育支出（类）</w:t>
      </w:r>
      <w:r>
        <w:rPr>
          <w:rFonts w:hint="eastAsia" w:ascii="仿宋" w:hAnsi="仿宋" w:eastAsia="仿宋"/>
          <w:color w:val="0000FF"/>
          <w:sz w:val="32"/>
          <w:szCs w:val="32"/>
        </w:rPr>
        <w:t>66200.90万元</w:t>
      </w:r>
      <w:r>
        <w:rPr>
          <w:rFonts w:hint="eastAsia" w:ascii="仿宋" w:hAnsi="仿宋" w:eastAsia="仿宋"/>
          <w:sz w:val="32"/>
          <w:szCs w:val="32"/>
        </w:rPr>
        <w:t>，占</w:t>
      </w:r>
      <w:r>
        <w:rPr>
          <w:rFonts w:hint="eastAsia" w:ascii="仿宋" w:hAnsi="仿宋" w:eastAsia="仿宋"/>
          <w:color w:val="0000FF"/>
          <w:sz w:val="32"/>
          <w:szCs w:val="32"/>
        </w:rPr>
        <w:t>89.10</w:t>
      </w:r>
      <w:r>
        <w:rPr>
          <w:rFonts w:hint="eastAsia" w:ascii="仿宋" w:hAnsi="仿宋" w:eastAsia="仿宋"/>
          <w:color w:val="FF0000"/>
          <w:sz w:val="32"/>
          <w:szCs w:val="32"/>
        </w:rPr>
        <w:t>%</w:t>
      </w:r>
      <w:r>
        <w:rPr>
          <w:rFonts w:hint="eastAsia" w:ascii="仿宋" w:hAnsi="仿宋" w:eastAsia="仿宋"/>
          <w:sz w:val="32"/>
          <w:szCs w:val="32"/>
        </w:rPr>
        <w:t>；</w:t>
      </w:r>
      <w:r>
        <w:rPr>
          <w:rFonts w:hint="eastAsia" w:ascii="仿宋" w:hAnsi="仿宋" w:eastAsia="仿宋"/>
          <w:b/>
          <w:sz w:val="32"/>
          <w:szCs w:val="32"/>
        </w:rPr>
        <w:t>文化旅游体育与传媒（类）</w:t>
      </w:r>
      <w:r>
        <w:rPr>
          <w:rFonts w:hint="eastAsia" w:ascii="仿宋" w:hAnsi="仿宋" w:eastAsia="仿宋"/>
          <w:sz w:val="32"/>
          <w:szCs w:val="32"/>
        </w:rPr>
        <w:t>支出</w:t>
      </w:r>
      <w:r>
        <w:rPr>
          <w:rFonts w:hint="eastAsia" w:ascii="仿宋" w:hAnsi="仿宋" w:eastAsia="仿宋"/>
          <w:color w:val="0000FF"/>
          <w:sz w:val="32"/>
          <w:szCs w:val="32"/>
        </w:rPr>
        <w:t>53.68万元</w:t>
      </w:r>
      <w:r>
        <w:rPr>
          <w:rFonts w:hint="eastAsia" w:ascii="仿宋" w:hAnsi="仿宋" w:eastAsia="仿宋"/>
          <w:sz w:val="32"/>
          <w:szCs w:val="32"/>
        </w:rPr>
        <w:t>，占</w:t>
      </w:r>
      <w:r>
        <w:rPr>
          <w:rFonts w:hint="eastAsia" w:ascii="仿宋" w:hAnsi="仿宋" w:eastAsia="仿宋"/>
          <w:color w:val="0000FF"/>
          <w:sz w:val="32"/>
          <w:szCs w:val="32"/>
        </w:rPr>
        <w:t>0.07</w:t>
      </w:r>
      <w:r>
        <w:rPr>
          <w:rFonts w:ascii="仿宋" w:hAnsi="仿宋" w:eastAsia="仿宋"/>
          <w:color w:val="0000FF"/>
          <w:sz w:val="32"/>
          <w:szCs w:val="32"/>
        </w:rPr>
        <w:t>%</w:t>
      </w:r>
      <w:r>
        <w:rPr>
          <w:rFonts w:hint="eastAsia" w:ascii="仿宋" w:hAnsi="仿宋" w:eastAsia="仿宋"/>
          <w:sz w:val="32"/>
          <w:szCs w:val="32"/>
        </w:rPr>
        <w:t>；</w:t>
      </w:r>
      <w:r>
        <w:rPr>
          <w:rFonts w:hint="eastAsia" w:ascii="仿宋" w:hAnsi="仿宋" w:eastAsia="仿宋"/>
          <w:b/>
          <w:sz w:val="32"/>
          <w:szCs w:val="32"/>
        </w:rPr>
        <w:t>社会保障和就业（类）</w:t>
      </w:r>
      <w:r>
        <w:rPr>
          <w:rFonts w:hint="eastAsia" w:ascii="仿宋" w:hAnsi="仿宋" w:eastAsia="仿宋"/>
          <w:sz w:val="32"/>
          <w:szCs w:val="32"/>
        </w:rPr>
        <w:t>支出</w:t>
      </w:r>
      <w:r>
        <w:rPr>
          <w:rFonts w:hint="eastAsia" w:ascii="仿宋" w:hAnsi="仿宋" w:eastAsia="仿宋"/>
          <w:color w:val="0000FF"/>
          <w:sz w:val="32"/>
          <w:szCs w:val="32"/>
        </w:rPr>
        <w:t>5569.95万元</w:t>
      </w:r>
      <w:r>
        <w:rPr>
          <w:rFonts w:hint="eastAsia" w:ascii="仿宋" w:hAnsi="仿宋" w:eastAsia="仿宋"/>
          <w:sz w:val="32"/>
          <w:szCs w:val="32"/>
        </w:rPr>
        <w:t>，占</w:t>
      </w:r>
      <w:r>
        <w:rPr>
          <w:rFonts w:hint="eastAsia" w:ascii="仿宋" w:hAnsi="仿宋" w:eastAsia="仿宋"/>
          <w:color w:val="0000FF"/>
          <w:sz w:val="32"/>
          <w:szCs w:val="32"/>
        </w:rPr>
        <w:t>7.50</w:t>
      </w:r>
      <w:r>
        <w:rPr>
          <w:rFonts w:ascii="仿宋" w:hAnsi="仿宋" w:eastAsia="仿宋"/>
          <w:color w:val="0000FF"/>
          <w:sz w:val="32"/>
          <w:szCs w:val="32"/>
        </w:rPr>
        <w:t>%</w:t>
      </w:r>
      <w:r>
        <w:rPr>
          <w:rFonts w:hint="eastAsia" w:ascii="仿宋" w:hAnsi="仿宋" w:eastAsia="仿宋"/>
          <w:sz w:val="32"/>
          <w:szCs w:val="32"/>
        </w:rPr>
        <w:t>；</w:t>
      </w:r>
      <w:r>
        <w:rPr>
          <w:rFonts w:hint="eastAsia" w:ascii="仿宋" w:hAnsi="仿宋" w:eastAsia="仿宋"/>
          <w:b/>
          <w:sz w:val="32"/>
          <w:szCs w:val="32"/>
        </w:rPr>
        <w:t>卫生健康（类）</w:t>
      </w:r>
      <w:r>
        <w:rPr>
          <w:rFonts w:hint="eastAsia" w:ascii="仿宋" w:hAnsi="仿宋" w:eastAsia="仿宋"/>
          <w:sz w:val="32"/>
          <w:szCs w:val="32"/>
        </w:rPr>
        <w:t>支出</w:t>
      </w:r>
      <w:r>
        <w:rPr>
          <w:rFonts w:hint="eastAsia" w:ascii="仿宋" w:hAnsi="仿宋" w:eastAsia="仿宋"/>
          <w:color w:val="0000FF"/>
          <w:sz w:val="32"/>
          <w:szCs w:val="32"/>
        </w:rPr>
        <w:t>1955.75万元</w:t>
      </w:r>
      <w:r>
        <w:rPr>
          <w:rFonts w:hint="eastAsia" w:ascii="仿宋" w:hAnsi="仿宋" w:eastAsia="仿宋"/>
          <w:sz w:val="32"/>
          <w:szCs w:val="32"/>
        </w:rPr>
        <w:t>，占</w:t>
      </w:r>
      <w:r>
        <w:rPr>
          <w:rFonts w:hint="eastAsia" w:ascii="仿宋" w:hAnsi="仿宋" w:eastAsia="仿宋"/>
          <w:color w:val="0000FF"/>
          <w:sz w:val="32"/>
          <w:szCs w:val="32"/>
        </w:rPr>
        <w:t>2.63%</w:t>
      </w:r>
      <w:r>
        <w:rPr>
          <w:rFonts w:hint="eastAsia" w:ascii="仿宋" w:hAnsi="仿宋" w:eastAsia="仿宋"/>
          <w:sz w:val="32"/>
          <w:szCs w:val="32"/>
        </w:rPr>
        <w:t>；</w:t>
      </w:r>
      <w:r>
        <w:rPr>
          <w:rFonts w:hint="eastAsia" w:ascii="仿宋" w:hAnsi="仿宋" w:eastAsia="仿宋"/>
          <w:b/>
          <w:sz w:val="32"/>
          <w:szCs w:val="32"/>
        </w:rPr>
        <w:t>农林水（类）</w:t>
      </w:r>
      <w:r>
        <w:rPr>
          <w:rFonts w:hint="eastAsia" w:ascii="仿宋" w:hAnsi="仿宋" w:eastAsia="仿宋"/>
          <w:sz w:val="32"/>
          <w:szCs w:val="32"/>
        </w:rPr>
        <w:t>支出</w:t>
      </w:r>
      <w:r>
        <w:rPr>
          <w:rFonts w:hint="eastAsia" w:ascii="仿宋" w:hAnsi="仿宋" w:eastAsia="仿宋"/>
          <w:color w:val="0000FF"/>
          <w:sz w:val="32"/>
          <w:szCs w:val="32"/>
        </w:rPr>
        <w:t>13.73万元</w:t>
      </w:r>
      <w:r>
        <w:rPr>
          <w:rFonts w:hint="eastAsia" w:ascii="仿宋" w:hAnsi="仿宋" w:eastAsia="仿宋"/>
          <w:sz w:val="32"/>
          <w:szCs w:val="32"/>
        </w:rPr>
        <w:t>，占</w:t>
      </w:r>
      <w:r>
        <w:rPr>
          <w:rFonts w:hint="eastAsia" w:ascii="仿宋" w:hAnsi="仿宋" w:eastAsia="仿宋"/>
          <w:color w:val="FF0000"/>
          <w:sz w:val="32"/>
          <w:szCs w:val="32"/>
        </w:rPr>
        <w:t>0.02%</w:t>
      </w:r>
      <w:r>
        <w:rPr>
          <w:rFonts w:hint="eastAsia" w:ascii="仿宋" w:hAnsi="仿宋" w:eastAsia="仿宋"/>
          <w:sz w:val="32"/>
          <w:szCs w:val="32"/>
        </w:rPr>
        <w:t>；</w:t>
      </w:r>
      <w:r>
        <w:rPr>
          <w:rFonts w:hint="eastAsia" w:ascii="仿宋" w:hAnsi="仿宋" w:eastAsia="仿宋"/>
          <w:b/>
          <w:sz w:val="32"/>
          <w:szCs w:val="32"/>
        </w:rPr>
        <w:t>住房保障(类)</w:t>
      </w:r>
      <w:r>
        <w:rPr>
          <w:rFonts w:hint="eastAsia" w:ascii="仿宋" w:hAnsi="仿宋" w:eastAsia="仿宋"/>
          <w:sz w:val="32"/>
          <w:szCs w:val="32"/>
        </w:rPr>
        <w:t>支出</w:t>
      </w:r>
      <w:r>
        <w:rPr>
          <w:rFonts w:hint="eastAsia" w:ascii="仿宋" w:hAnsi="仿宋" w:eastAsia="仿宋"/>
          <w:color w:val="0000FF"/>
          <w:sz w:val="32"/>
          <w:szCs w:val="32"/>
        </w:rPr>
        <w:t>500.00万元</w:t>
      </w:r>
      <w:r>
        <w:rPr>
          <w:rFonts w:hint="eastAsia" w:ascii="仿宋" w:hAnsi="仿宋" w:eastAsia="仿宋"/>
          <w:sz w:val="32"/>
          <w:szCs w:val="32"/>
        </w:rPr>
        <w:t>，占</w:t>
      </w:r>
      <w:r>
        <w:rPr>
          <w:rFonts w:hint="eastAsia" w:ascii="仿宋" w:hAnsi="仿宋" w:eastAsia="仿宋"/>
          <w:color w:val="0000FF"/>
          <w:sz w:val="32"/>
          <w:szCs w:val="32"/>
        </w:rPr>
        <w:t>0.67</w:t>
      </w:r>
      <w:r>
        <w:rPr>
          <w:rFonts w:ascii="仿宋" w:hAnsi="仿宋" w:eastAsia="仿宋"/>
          <w:color w:val="0000FF"/>
          <w:sz w:val="32"/>
          <w:szCs w:val="32"/>
        </w:rPr>
        <w:t>%</w:t>
      </w:r>
      <w:r>
        <w:rPr>
          <w:rFonts w:hint="eastAsia" w:ascii="仿宋" w:hAnsi="仿宋" w:eastAsia="仿宋"/>
          <w:sz w:val="32"/>
          <w:szCs w:val="32"/>
        </w:rPr>
        <w:t>；</w:t>
      </w:r>
      <w:r>
        <w:rPr>
          <w:rFonts w:hint="eastAsia" w:ascii="仿宋" w:hAnsi="仿宋" w:eastAsia="仿宋"/>
          <w:b/>
          <w:sz w:val="32"/>
          <w:szCs w:val="32"/>
        </w:rPr>
        <w:t>灾害防治及应急管理（类）</w:t>
      </w:r>
      <w:r>
        <w:rPr>
          <w:rFonts w:hint="eastAsia" w:ascii="仿宋" w:hAnsi="仿宋" w:eastAsia="仿宋"/>
          <w:sz w:val="32"/>
          <w:szCs w:val="32"/>
        </w:rPr>
        <w:t>支出7.00万元，占0.01%。</w:t>
      </w:r>
    </w:p>
    <w:p>
      <w:pPr>
        <w:spacing w:line="600" w:lineRule="exact"/>
        <w:ind w:firstLine="640" w:firstLineChars="200"/>
        <w:rPr>
          <w:rFonts w:ascii="仿宋" w:hAnsi="仿宋" w:eastAsia="仿宋"/>
          <w:sz w:val="32"/>
          <w:szCs w:val="32"/>
        </w:rPr>
      </w:pPr>
      <w:r>
        <w:rPr>
          <w:rFonts w:ascii="仿宋" w:hAnsi="仿宋" w:eastAsia="仿宋"/>
          <w:sz w:val="32"/>
          <w:szCs w:val="32"/>
        </w:rPr>
        <w:drawing>
          <wp:anchor distT="0" distB="0" distL="114300" distR="114300" simplePos="0" relativeHeight="251663360" behindDoc="0" locked="0" layoutInCell="1" allowOverlap="1">
            <wp:simplePos x="0" y="0"/>
            <wp:positionH relativeFrom="column">
              <wp:posOffset>-158750</wp:posOffset>
            </wp:positionH>
            <wp:positionV relativeFrom="paragraph">
              <wp:posOffset>527050</wp:posOffset>
            </wp:positionV>
            <wp:extent cx="5521325" cy="2447925"/>
            <wp:effectExtent l="4445" t="4445" r="17780" b="5080"/>
            <wp:wrapSquare wrapText="bothSides"/>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rFonts w:hint="eastAsia" w:ascii="仿宋" w:hAnsi="仿宋" w:eastAsia="仿宋"/>
          <w:sz w:val="32"/>
          <w:szCs w:val="32"/>
        </w:rPr>
        <w:t>（图6：一般公共预算财政拨款支出决算结构）（饼状图）</w:t>
      </w:r>
    </w:p>
    <w:p>
      <w:pPr>
        <w:spacing w:line="600" w:lineRule="exact"/>
        <w:rPr>
          <w:rFonts w:ascii="仿宋" w:hAnsi="仿宋" w:eastAsia="仿宋"/>
          <w:sz w:val="32"/>
          <w:szCs w:val="32"/>
        </w:rPr>
      </w:pPr>
    </w:p>
    <w:p>
      <w:pPr>
        <w:spacing w:line="600" w:lineRule="exact"/>
        <w:ind w:firstLine="642" w:firstLineChars="200"/>
        <w:outlineLvl w:val="2"/>
        <w:rPr>
          <w:rFonts w:ascii="仿宋" w:hAnsi="仿宋" w:eastAsia="仿宋"/>
          <w:b/>
          <w:sz w:val="32"/>
          <w:szCs w:val="32"/>
        </w:rPr>
      </w:pPr>
      <w:bookmarkStart w:id="39" w:name="_Toc15377212"/>
      <w:r>
        <w:rPr>
          <w:rFonts w:hint="eastAsia" w:ascii="仿宋" w:hAnsi="仿宋" w:eastAsia="仿宋"/>
          <w:b/>
          <w:sz w:val="32"/>
          <w:szCs w:val="32"/>
        </w:rPr>
        <w:t>（三）一般公共预算财政拨款支出决算具体情况</w:t>
      </w:r>
      <w:bookmarkEnd w:id="39"/>
    </w:p>
    <w:p>
      <w:pPr>
        <w:spacing w:line="600" w:lineRule="exact"/>
        <w:ind w:firstLine="642" w:firstLineChars="200"/>
        <w:outlineLvl w:val="2"/>
        <w:rPr>
          <w:rFonts w:ascii="仿宋" w:hAnsi="仿宋" w:eastAsia="仿宋"/>
          <w:sz w:val="32"/>
          <w:szCs w:val="32"/>
        </w:rPr>
      </w:pPr>
      <w:bookmarkStart w:id="40" w:name="_Toc15377444"/>
      <w:bookmarkStart w:id="41" w:name="_Toc15378460"/>
      <w:bookmarkStart w:id="42" w:name="_Toc15377213"/>
      <w:r>
        <w:rPr>
          <w:rFonts w:hint="eastAsia" w:ascii="仿宋" w:hAnsi="仿宋" w:eastAsia="仿宋"/>
          <w:b/>
          <w:sz w:val="32"/>
          <w:szCs w:val="32"/>
        </w:rPr>
        <w:t>2020年一般公共预算支出决算数为</w:t>
      </w:r>
      <w:r>
        <w:rPr>
          <w:rFonts w:hint="eastAsia" w:ascii="仿宋" w:hAnsi="仿宋" w:eastAsia="仿宋"/>
          <w:b/>
          <w:color w:val="0000FF"/>
          <w:sz w:val="32"/>
          <w:szCs w:val="32"/>
        </w:rPr>
        <w:t>74301.01万元</w:t>
      </w:r>
      <w:r>
        <w:rPr>
          <w:rFonts w:hint="eastAsia" w:ascii="仿宋" w:hAnsi="仿宋" w:eastAsia="仿宋"/>
          <w:sz w:val="32"/>
          <w:szCs w:val="32"/>
        </w:rPr>
        <w:t>，</w:t>
      </w:r>
      <w:r>
        <w:rPr>
          <w:rStyle w:val="14"/>
          <w:rFonts w:hint="eastAsia" w:ascii="仿宋" w:hAnsi="仿宋" w:eastAsia="仿宋"/>
          <w:bCs/>
          <w:sz w:val="32"/>
          <w:szCs w:val="32"/>
        </w:rPr>
        <w:t>完成预算</w:t>
      </w:r>
      <w:r>
        <w:rPr>
          <w:rStyle w:val="14"/>
          <w:rFonts w:hint="eastAsia" w:ascii="仿宋" w:hAnsi="仿宋" w:eastAsia="仿宋"/>
          <w:bCs/>
          <w:color w:val="0000FF"/>
          <w:sz w:val="32"/>
          <w:szCs w:val="32"/>
        </w:rPr>
        <w:t>79.59</w:t>
      </w:r>
      <w:r>
        <w:rPr>
          <w:rStyle w:val="14"/>
          <w:rFonts w:ascii="仿宋" w:hAnsi="仿宋" w:eastAsia="仿宋"/>
          <w:bCs/>
          <w:color w:val="0000FF"/>
          <w:sz w:val="32"/>
          <w:szCs w:val="32"/>
        </w:rPr>
        <w:t>%</w:t>
      </w:r>
      <w:r>
        <w:rPr>
          <w:rStyle w:val="14"/>
          <w:rFonts w:hint="eastAsia" w:ascii="仿宋" w:hAnsi="仿宋" w:eastAsia="仿宋"/>
          <w:bCs/>
          <w:sz w:val="32"/>
          <w:szCs w:val="32"/>
        </w:rPr>
        <w:t>。其中：</w:t>
      </w:r>
      <w:bookmarkEnd w:id="40"/>
      <w:bookmarkEnd w:id="41"/>
      <w:bookmarkEnd w:id="42"/>
    </w:p>
    <w:p>
      <w:pPr>
        <w:spacing w:line="600" w:lineRule="exact"/>
        <w:ind w:firstLine="642" w:firstLineChars="200"/>
        <w:rPr>
          <w:rFonts w:ascii="仿宋" w:hAnsi="仿宋" w:eastAsia="仿宋"/>
          <w:b/>
          <w:sz w:val="32"/>
          <w:szCs w:val="32"/>
        </w:rPr>
      </w:pPr>
      <w:r>
        <w:rPr>
          <w:rStyle w:val="14"/>
          <w:rFonts w:ascii="仿宋" w:hAnsi="仿宋" w:eastAsia="仿宋"/>
          <w:bCs/>
          <w:sz w:val="32"/>
          <w:szCs w:val="32"/>
        </w:rPr>
        <w:t>1.</w:t>
      </w:r>
      <w:r>
        <w:rPr>
          <w:rFonts w:ascii="仿宋" w:hAnsi="仿宋" w:eastAsia="仿宋"/>
          <w:bCs/>
          <w:sz w:val="32"/>
          <w:szCs w:val="32"/>
        </w:rPr>
        <w:t xml:space="preserve"> </w:t>
      </w:r>
      <w:r>
        <w:rPr>
          <w:rStyle w:val="14"/>
          <w:rFonts w:ascii="仿宋" w:hAnsi="仿宋" w:eastAsia="仿宋"/>
          <w:bCs/>
          <w:sz w:val="32"/>
          <w:szCs w:val="32"/>
        </w:rPr>
        <w:t>教育支出</w:t>
      </w:r>
      <w:r>
        <w:rPr>
          <w:rStyle w:val="14"/>
          <w:rFonts w:hint="eastAsia" w:ascii="仿宋" w:hAnsi="仿宋" w:eastAsia="仿宋"/>
          <w:bCs/>
          <w:sz w:val="32"/>
          <w:szCs w:val="32"/>
        </w:rPr>
        <w:t>（类）教育管理事务（款）行政运行（项）</w:t>
      </w:r>
      <w:r>
        <w:rPr>
          <w:rStyle w:val="14"/>
          <w:rFonts w:ascii="仿宋" w:hAnsi="仿宋" w:eastAsia="仿宋"/>
          <w:bCs/>
          <w:sz w:val="32"/>
          <w:szCs w:val="32"/>
        </w:rPr>
        <w:t>:</w:t>
      </w:r>
      <w:r>
        <w:rPr>
          <w:rStyle w:val="14"/>
          <w:rFonts w:ascii="仿宋" w:hAnsi="仿宋" w:eastAsia="仿宋"/>
          <w:b w:val="0"/>
          <w:bCs/>
          <w:sz w:val="32"/>
          <w:szCs w:val="32"/>
        </w:rPr>
        <w:t xml:space="preserve"> </w:t>
      </w:r>
      <w:r>
        <w:rPr>
          <w:rStyle w:val="14"/>
          <w:rFonts w:hint="eastAsia" w:ascii="仿宋" w:hAnsi="仿宋" w:eastAsia="仿宋"/>
          <w:b w:val="0"/>
          <w:bCs/>
          <w:sz w:val="32"/>
          <w:szCs w:val="32"/>
        </w:rPr>
        <w:t>支出决算</w:t>
      </w:r>
      <w:r>
        <w:rPr>
          <w:rStyle w:val="14"/>
          <w:rFonts w:hint="eastAsia" w:ascii="仿宋" w:hAnsi="仿宋" w:eastAsia="仿宋"/>
          <w:b w:val="0"/>
          <w:bCs/>
          <w:color w:val="000000" w:themeColor="text1"/>
          <w:sz w:val="32"/>
          <w:szCs w:val="32"/>
          <w14:textFill>
            <w14:solidFill>
              <w14:schemeClr w14:val="tx1"/>
            </w14:solidFill>
          </w14:textFill>
        </w:rPr>
        <w:t>数</w:t>
      </w:r>
      <w:r>
        <w:rPr>
          <w:rStyle w:val="14"/>
          <w:rFonts w:hint="eastAsia" w:ascii="仿宋" w:hAnsi="仿宋" w:eastAsia="仿宋"/>
          <w:b w:val="0"/>
          <w:bCs/>
          <w:sz w:val="32"/>
          <w:szCs w:val="32"/>
        </w:rPr>
        <w:t>为</w:t>
      </w:r>
      <w:r>
        <w:rPr>
          <w:rStyle w:val="14"/>
          <w:rFonts w:hint="eastAsia" w:ascii="仿宋" w:hAnsi="仿宋" w:eastAsia="仿宋"/>
          <w:b w:val="0"/>
          <w:bCs/>
          <w:color w:val="0000FF"/>
          <w:sz w:val="32"/>
          <w:szCs w:val="32"/>
        </w:rPr>
        <w:t>267.33万元</w:t>
      </w:r>
      <w:r>
        <w:rPr>
          <w:rStyle w:val="14"/>
          <w:rFonts w:hint="eastAsia" w:ascii="仿宋" w:hAnsi="仿宋" w:eastAsia="仿宋"/>
          <w:b w:val="0"/>
          <w:bCs/>
          <w:sz w:val="32"/>
          <w:szCs w:val="32"/>
        </w:rPr>
        <w:t>，完成预算</w:t>
      </w:r>
      <w:r>
        <w:rPr>
          <w:rStyle w:val="14"/>
          <w:rFonts w:hint="eastAsia" w:ascii="仿宋" w:hAnsi="仿宋" w:eastAsia="仿宋"/>
          <w:b w:val="0"/>
          <w:bCs/>
          <w:color w:val="0000FF"/>
          <w:sz w:val="32"/>
          <w:szCs w:val="32"/>
        </w:rPr>
        <w:t>100.00</w:t>
      </w:r>
      <w:r>
        <w:rPr>
          <w:rStyle w:val="14"/>
          <w:rFonts w:ascii="仿宋" w:hAnsi="仿宋" w:eastAsia="仿宋"/>
          <w:b w:val="0"/>
          <w:bCs/>
          <w:color w:val="0000FF"/>
          <w:sz w:val="32"/>
          <w:szCs w:val="32"/>
        </w:rPr>
        <w:t>%</w:t>
      </w:r>
      <w:r>
        <w:rPr>
          <w:rStyle w:val="14"/>
          <w:rFonts w:hint="eastAsia" w:ascii="仿宋" w:hAnsi="仿宋" w:eastAsia="仿宋"/>
          <w:b w:val="0"/>
          <w:bCs/>
          <w:sz w:val="32"/>
          <w:szCs w:val="32"/>
        </w:rPr>
        <w:t>。</w:t>
      </w:r>
    </w:p>
    <w:p>
      <w:pPr>
        <w:spacing w:line="600" w:lineRule="exact"/>
        <w:ind w:firstLine="642" w:firstLineChars="200"/>
        <w:rPr>
          <w:rFonts w:ascii="仿宋" w:hAnsi="仿宋" w:eastAsia="仿宋"/>
          <w:b/>
          <w:color w:val="000000" w:themeColor="text1"/>
          <w:sz w:val="32"/>
          <w:szCs w:val="32"/>
          <w14:textFill>
            <w14:solidFill>
              <w14:schemeClr w14:val="tx1"/>
            </w14:solidFill>
          </w14:textFill>
        </w:rPr>
      </w:pPr>
      <w:r>
        <w:rPr>
          <w:rStyle w:val="14"/>
          <w:rFonts w:ascii="仿宋" w:hAnsi="仿宋" w:eastAsia="仿宋"/>
          <w:bCs/>
          <w:sz w:val="32"/>
          <w:szCs w:val="32"/>
        </w:rPr>
        <w:t>2.</w:t>
      </w:r>
      <w:r>
        <w:rPr>
          <w:rFonts w:ascii="仿宋" w:hAnsi="仿宋" w:eastAsia="仿宋"/>
          <w:bCs/>
          <w:sz w:val="32"/>
          <w:szCs w:val="32"/>
        </w:rPr>
        <w:t xml:space="preserve"> </w:t>
      </w:r>
      <w:r>
        <w:rPr>
          <w:rStyle w:val="14"/>
          <w:rFonts w:ascii="仿宋" w:hAnsi="仿宋" w:eastAsia="仿宋"/>
          <w:bCs/>
          <w:sz w:val="32"/>
          <w:szCs w:val="32"/>
        </w:rPr>
        <w:t>教育支出</w:t>
      </w:r>
      <w:r>
        <w:rPr>
          <w:rStyle w:val="14"/>
          <w:rFonts w:hint="eastAsia" w:ascii="仿宋" w:hAnsi="仿宋" w:eastAsia="仿宋"/>
          <w:bCs/>
          <w:sz w:val="32"/>
          <w:szCs w:val="32"/>
        </w:rPr>
        <w:t>（类）教育管理事务（款）一般行政管理事务（项）</w:t>
      </w:r>
      <w:r>
        <w:rPr>
          <w:rStyle w:val="14"/>
          <w:rFonts w:ascii="仿宋" w:hAnsi="仿宋" w:eastAsia="仿宋"/>
          <w:bCs/>
          <w:sz w:val="32"/>
          <w:szCs w:val="32"/>
        </w:rPr>
        <w:t>:</w:t>
      </w:r>
      <w:r>
        <w:rPr>
          <w:rStyle w:val="14"/>
          <w:rFonts w:ascii="仿宋" w:hAnsi="仿宋" w:eastAsia="仿宋"/>
          <w:b w:val="0"/>
          <w:bCs/>
          <w:sz w:val="32"/>
          <w:szCs w:val="32"/>
        </w:rPr>
        <w:t xml:space="preserve"> </w:t>
      </w:r>
      <w:r>
        <w:rPr>
          <w:rStyle w:val="14"/>
          <w:rFonts w:hint="eastAsia" w:ascii="仿宋" w:hAnsi="仿宋" w:eastAsia="仿宋"/>
          <w:b w:val="0"/>
          <w:bCs/>
          <w:sz w:val="32"/>
          <w:szCs w:val="32"/>
        </w:rPr>
        <w:t>支出决算</w:t>
      </w:r>
      <w:r>
        <w:rPr>
          <w:rStyle w:val="14"/>
          <w:rFonts w:hint="eastAsia" w:ascii="仿宋" w:hAnsi="仿宋" w:eastAsia="仿宋"/>
          <w:b w:val="0"/>
          <w:bCs/>
          <w:color w:val="000000" w:themeColor="text1"/>
          <w:sz w:val="32"/>
          <w:szCs w:val="32"/>
          <w14:textFill>
            <w14:solidFill>
              <w14:schemeClr w14:val="tx1"/>
            </w14:solidFill>
          </w14:textFill>
        </w:rPr>
        <w:t>数</w:t>
      </w:r>
      <w:r>
        <w:rPr>
          <w:rStyle w:val="14"/>
          <w:rFonts w:hint="eastAsia" w:ascii="仿宋" w:hAnsi="仿宋" w:eastAsia="仿宋"/>
          <w:b w:val="0"/>
          <w:bCs/>
          <w:sz w:val="32"/>
          <w:szCs w:val="32"/>
        </w:rPr>
        <w:t>为</w:t>
      </w:r>
      <w:r>
        <w:rPr>
          <w:rStyle w:val="14"/>
          <w:rFonts w:hint="eastAsia" w:ascii="仿宋" w:hAnsi="仿宋" w:eastAsia="仿宋"/>
          <w:b w:val="0"/>
          <w:bCs/>
          <w:color w:val="0000FF"/>
          <w:sz w:val="32"/>
          <w:szCs w:val="32"/>
        </w:rPr>
        <w:t>56.01万元</w:t>
      </w:r>
      <w:r>
        <w:rPr>
          <w:rStyle w:val="14"/>
          <w:rFonts w:hint="eastAsia" w:ascii="仿宋" w:hAnsi="仿宋" w:eastAsia="仿宋"/>
          <w:b w:val="0"/>
          <w:bCs/>
          <w:sz w:val="32"/>
          <w:szCs w:val="32"/>
        </w:rPr>
        <w:t>，完成预算</w:t>
      </w:r>
      <w:r>
        <w:rPr>
          <w:rStyle w:val="14"/>
          <w:rFonts w:hint="eastAsia" w:ascii="仿宋" w:hAnsi="仿宋" w:eastAsia="仿宋"/>
          <w:b w:val="0"/>
          <w:bCs/>
          <w:color w:val="0000FF"/>
          <w:sz w:val="32"/>
          <w:szCs w:val="32"/>
        </w:rPr>
        <w:t>100</w:t>
      </w:r>
      <w:r>
        <w:rPr>
          <w:rStyle w:val="14"/>
          <w:rFonts w:ascii="仿宋" w:hAnsi="仿宋" w:eastAsia="仿宋"/>
          <w:b w:val="0"/>
          <w:bCs/>
          <w:color w:val="0000FF"/>
          <w:sz w:val="32"/>
          <w:szCs w:val="32"/>
        </w:rPr>
        <w:t>%</w:t>
      </w:r>
      <w:r>
        <w:rPr>
          <w:rStyle w:val="14"/>
          <w:rFonts w:hint="eastAsia" w:ascii="仿宋" w:hAnsi="仿宋" w:eastAsia="仿宋"/>
          <w:b w:val="0"/>
          <w:bCs/>
          <w:color w:val="000000" w:themeColor="text1"/>
          <w:sz w:val="32"/>
          <w:szCs w:val="32"/>
          <w14:textFill>
            <w14:solidFill>
              <w14:schemeClr w14:val="tx1"/>
            </w14:solidFill>
          </w14:textFill>
        </w:rPr>
        <w:t>。</w:t>
      </w:r>
    </w:p>
    <w:p>
      <w:pPr>
        <w:spacing w:line="600" w:lineRule="exact"/>
        <w:ind w:firstLine="642" w:firstLineChars="200"/>
        <w:rPr>
          <w:rFonts w:ascii="仿宋" w:hAnsi="仿宋" w:eastAsia="仿宋"/>
          <w:b/>
          <w:color w:val="FF0000"/>
          <w:sz w:val="32"/>
          <w:szCs w:val="32"/>
        </w:rPr>
      </w:pPr>
      <w:r>
        <w:rPr>
          <w:rStyle w:val="14"/>
          <w:rFonts w:ascii="仿宋" w:hAnsi="仿宋" w:eastAsia="仿宋"/>
          <w:bCs/>
          <w:sz w:val="32"/>
          <w:szCs w:val="32"/>
        </w:rPr>
        <w:t>3.</w:t>
      </w:r>
      <w:r>
        <w:rPr>
          <w:rFonts w:ascii="仿宋" w:hAnsi="仿宋" w:eastAsia="仿宋"/>
          <w:bCs/>
          <w:sz w:val="32"/>
          <w:szCs w:val="32"/>
        </w:rPr>
        <w:t xml:space="preserve"> </w:t>
      </w:r>
      <w:r>
        <w:rPr>
          <w:rStyle w:val="14"/>
          <w:rFonts w:ascii="仿宋" w:hAnsi="仿宋" w:eastAsia="仿宋"/>
          <w:bCs/>
          <w:color w:val="000000" w:themeColor="text1"/>
          <w:sz w:val="32"/>
          <w:szCs w:val="32"/>
          <w14:textFill>
            <w14:solidFill>
              <w14:schemeClr w14:val="tx1"/>
            </w14:solidFill>
          </w14:textFill>
        </w:rPr>
        <w:t>教育支出</w:t>
      </w:r>
      <w:r>
        <w:rPr>
          <w:rStyle w:val="14"/>
          <w:rFonts w:hint="eastAsia" w:ascii="仿宋" w:hAnsi="仿宋" w:eastAsia="仿宋"/>
          <w:bCs/>
          <w:color w:val="000000" w:themeColor="text1"/>
          <w:sz w:val="32"/>
          <w:szCs w:val="32"/>
          <w14:textFill>
            <w14:solidFill>
              <w14:schemeClr w14:val="tx1"/>
            </w14:solidFill>
          </w14:textFill>
        </w:rPr>
        <w:t>（类）普通教育（款）学前教育（项）</w:t>
      </w:r>
      <w:r>
        <w:rPr>
          <w:rStyle w:val="14"/>
          <w:rFonts w:ascii="仿宋" w:hAnsi="仿宋" w:eastAsia="仿宋"/>
          <w:bCs/>
          <w:color w:val="000000" w:themeColor="text1"/>
          <w:sz w:val="32"/>
          <w:szCs w:val="32"/>
          <w14:textFill>
            <w14:solidFill>
              <w14:schemeClr w14:val="tx1"/>
            </w14:solidFill>
          </w14:textFill>
        </w:rPr>
        <w:t>:</w:t>
      </w:r>
      <w:r>
        <w:rPr>
          <w:rStyle w:val="14"/>
          <w:rFonts w:ascii="仿宋" w:hAnsi="仿宋" w:eastAsia="仿宋"/>
          <w:b w:val="0"/>
          <w:bCs/>
          <w:color w:val="000000" w:themeColor="text1"/>
          <w:sz w:val="32"/>
          <w:szCs w:val="32"/>
          <w14:textFill>
            <w14:solidFill>
              <w14:schemeClr w14:val="tx1"/>
            </w14:solidFill>
          </w14:textFill>
        </w:rPr>
        <w:t xml:space="preserve"> </w:t>
      </w:r>
      <w:r>
        <w:rPr>
          <w:rStyle w:val="14"/>
          <w:rFonts w:hint="eastAsia" w:ascii="仿宋" w:hAnsi="仿宋" w:eastAsia="仿宋"/>
          <w:b w:val="0"/>
          <w:bCs/>
          <w:color w:val="000000" w:themeColor="text1"/>
          <w:sz w:val="32"/>
          <w:szCs w:val="32"/>
          <w14:textFill>
            <w14:solidFill>
              <w14:schemeClr w14:val="tx1"/>
            </w14:solidFill>
          </w14:textFill>
        </w:rPr>
        <w:t>支出决算数为</w:t>
      </w:r>
      <w:r>
        <w:rPr>
          <w:rStyle w:val="14"/>
          <w:rFonts w:hint="eastAsia" w:ascii="仿宋" w:hAnsi="仿宋" w:eastAsia="仿宋"/>
          <w:b w:val="0"/>
          <w:bCs/>
          <w:color w:val="0000FF"/>
          <w:sz w:val="32"/>
          <w:szCs w:val="32"/>
        </w:rPr>
        <w:t>7119.35万元</w:t>
      </w:r>
      <w:r>
        <w:rPr>
          <w:rStyle w:val="14"/>
          <w:rFonts w:hint="eastAsia" w:ascii="仿宋" w:hAnsi="仿宋" w:eastAsia="仿宋"/>
          <w:b w:val="0"/>
          <w:bCs/>
          <w:color w:val="000000" w:themeColor="text1"/>
          <w:sz w:val="32"/>
          <w:szCs w:val="32"/>
          <w14:textFill>
            <w14:solidFill>
              <w14:schemeClr w14:val="tx1"/>
            </w14:solidFill>
          </w14:textFill>
        </w:rPr>
        <w:t>，完成预算</w:t>
      </w:r>
      <w:r>
        <w:rPr>
          <w:rStyle w:val="14"/>
          <w:rFonts w:hint="eastAsia" w:ascii="仿宋" w:hAnsi="仿宋" w:eastAsia="仿宋"/>
          <w:b w:val="0"/>
          <w:bCs/>
          <w:color w:val="0000FF"/>
          <w:sz w:val="32"/>
          <w:szCs w:val="32"/>
        </w:rPr>
        <w:t>50.52%</w:t>
      </w:r>
      <w:r>
        <w:rPr>
          <w:rStyle w:val="14"/>
          <w:rFonts w:hint="eastAsia" w:ascii="仿宋" w:hAnsi="仿宋" w:eastAsia="仿宋"/>
          <w:b w:val="0"/>
          <w:bCs/>
          <w:color w:val="000000" w:themeColor="text1"/>
          <w:sz w:val="32"/>
          <w:szCs w:val="32"/>
          <w14:textFill>
            <w14:solidFill>
              <w14:schemeClr w14:val="tx1"/>
            </w14:solidFill>
          </w14:textFill>
        </w:rPr>
        <w:t>，决算数小于预算数的主要原因</w:t>
      </w:r>
      <w:r>
        <w:rPr>
          <w:rStyle w:val="14"/>
          <w:rFonts w:hint="eastAsia" w:ascii="仿宋" w:hAnsi="仿宋" w:eastAsia="仿宋"/>
          <w:b w:val="0"/>
          <w:bCs/>
          <w:color w:val="000000" w:themeColor="text1"/>
          <w:sz w:val="32"/>
          <w:szCs w:val="32"/>
          <w:lang w:val="en-US" w:eastAsia="zh-CN"/>
          <w14:textFill>
            <w14:solidFill>
              <w14:schemeClr w14:val="tx1"/>
            </w14:solidFill>
          </w14:textFill>
        </w:rPr>
        <w:t>一</w:t>
      </w:r>
      <w:r>
        <w:rPr>
          <w:rStyle w:val="14"/>
          <w:rFonts w:hint="eastAsia" w:ascii="仿宋" w:hAnsi="仿宋" w:eastAsia="仿宋"/>
          <w:b w:val="0"/>
          <w:bCs/>
          <w:color w:val="0000FF"/>
          <w:sz w:val="32"/>
          <w:szCs w:val="32"/>
        </w:rPr>
        <w:t>是年末下达的各民办幼儿园学前教育发展资金</w:t>
      </w:r>
      <w:r>
        <w:rPr>
          <w:rStyle w:val="14"/>
          <w:rFonts w:hint="eastAsia" w:ascii="仿宋" w:hAnsi="仿宋" w:eastAsia="仿宋"/>
          <w:b w:val="0"/>
          <w:bCs/>
          <w:color w:val="0000FF"/>
          <w:sz w:val="32"/>
          <w:szCs w:val="32"/>
          <w:lang w:eastAsia="zh-CN"/>
        </w:rPr>
        <w:t>（</w:t>
      </w:r>
      <w:r>
        <w:rPr>
          <w:rStyle w:val="14"/>
          <w:rFonts w:hint="eastAsia" w:ascii="仿宋" w:hAnsi="仿宋" w:eastAsia="仿宋"/>
          <w:b w:val="0"/>
          <w:bCs/>
          <w:color w:val="0000FF"/>
          <w:sz w:val="32"/>
          <w:szCs w:val="32"/>
        </w:rPr>
        <w:t>602万元</w:t>
      </w:r>
      <w:r>
        <w:rPr>
          <w:rStyle w:val="14"/>
          <w:rFonts w:hint="eastAsia" w:ascii="仿宋" w:hAnsi="仿宋" w:eastAsia="仿宋"/>
          <w:b w:val="0"/>
          <w:bCs/>
          <w:color w:val="0000FF"/>
          <w:sz w:val="32"/>
          <w:szCs w:val="32"/>
          <w:lang w:eastAsia="zh-CN"/>
        </w:rPr>
        <w:t>）</w:t>
      </w:r>
      <w:r>
        <w:rPr>
          <w:rStyle w:val="14"/>
          <w:rFonts w:hint="eastAsia" w:ascii="仿宋" w:hAnsi="仿宋" w:eastAsia="仿宋"/>
          <w:b w:val="0"/>
          <w:bCs/>
          <w:color w:val="0000FF"/>
          <w:sz w:val="32"/>
          <w:szCs w:val="32"/>
          <w:lang w:val="en-US" w:eastAsia="zh-CN"/>
        </w:rPr>
        <w:t>和</w:t>
      </w:r>
      <w:r>
        <w:rPr>
          <w:rStyle w:val="14"/>
          <w:rFonts w:hint="eastAsia" w:ascii="仿宋" w:hAnsi="仿宋" w:eastAsia="仿宋"/>
          <w:b w:val="0"/>
          <w:bCs/>
          <w:color w:val="0000FF"/>
          <w:sz w:val="32"/>
          <w:szCs w:val="32"/>
        </w:rPr>
        <w:t>民办学前教育建设、运营补贴资金</w:t>
      </w:r>
      <w:r>
        <w:rPr>
          <w:rStyle w:val="14"/>
          <w:rFonts w:hint="eastAsia" w:ascii="仿宋" w:hAnsi="仿宋" w:eastAsia="仿宋"/>
          <w:b w:val="0"/>
          <w:bCs/>
          <w:color w:val="0000FF"/>
          <w:sz w:val="32"/>
          <w:szCs w:val="32"/>
          <w:lang w:eastAsia="zh-CN"/>
        </w:rPr>
        <w:t>（</w:t>
      </w:r>
      <w:r>
        <w:rPr>
          <w:rStyle w:val="14"/>
          <w:rFonts w:hint="eastAsia" w:ascii="仿宋" w:hAnsi="仿宋" w:eastAsia="仿宋"/>
          <w:b w:val="0"/>
          <w:bCs/>
          <w:color w:val="0000FF"/>
          <w:sz w:val="32"/>
          <w:szCs w:val="32"/>
        </w:rPr>
        <w:t>135.55万元</w:t>
      </w:r>
      <w:r>
        <w:rPr>
          <w:rStyle w:val="14"/>
          <w:rFonts w:hint="eastAsia" w:ascii="仿宋" w:hAnsi="仿宋" w:eastAsia="仿宋"/>
          <w:b w:val="0"/>
          <w:bCs/>
          <w:color w:val="0000FF"/>
          <w:sz w:val="32"/>
          <w:szCs w:val="32"/>
          <w:lang w:eastAsia="zh-CN"/>
        </w:rPr>
        <w:t>）</w:t>
      </w:r>
      <w:r>
        <w:rPr>
          <w:rStyle w:val="14"/>
          <w:rFonts w:hint="eastAsia" w:ascii="仿宋" w:hAnsi="仿宋" w:eastAsia="仿宋"/>
          <w:b w:val="0"/>
          <w:bCs/>
          <w:color w:val="0000FF"/>
          <w:sz w:val="32"/>
          <w:szCs w:val="32"/>
        </w:rPr>
        <w:t>结转下年</w:t>
      </w:r>
      <w:r>
        <w:rPr>
          <w:rStyle w:val="14"/>
          <w:rFonts w:hint="eastAsia" w:ascii="仿宋" w:hAnsi="仿宋" w:eastAsia="仿宋"/>
          <w:b w:val="0"/>
          <w:bCs/>
          <w:color w:val="0000FF"/>
          <w:sz w:val="32"/>
          <w:szCs w:val="32"/>
          <w:lang w:val="en-US" w:eastAsia="zh-CN"/>
        </w:rPr>
        <w:t>后</w:t>
      </w:r>
      <w:r>
        <w:rPr>
          <w:rStyle w:val="14"/>
          <w:rFonts w:hint="eastAsia" w:ascii="仿宋" w:hAnsi="仿宋" w:eastAsia="仿宋"/>
          <w:b w:val="0"/>
          <w:bCs/>
          <w:color w:val="0000FF"/>
          <w:sz w:val="32"/>
          <w:szCs w:val="32"/>
          <w:lang w:eastAsia="zh-CN"/>
        </w:rPr>
        <w:t>，</w:t>
      </w:r>
      <w:r>
        <w:rPr>
          <w:rStyle w:val="14"/>
          <w:rFonts w:hint="eastAsia" w:ascii="仿宋" w:hAnsi="仿宋" w:eastAsia="仿宋"/>
          <w:b w:val="0"/>
          <w:bCs/>
          <w:color w:val="0000FF"/>
          <w:sz w:val="32"/>
          <w:szCs w:val="32"/>
          <w:lang w:val="en-US" w:eastAsia="zh-CN"/>
        </w:rPr>
        <w:t>根据学校考核结果拨付使用</w:t>
      </w:r>
      <w:r>
        <w:rPr>
          <w:rStyle w:val="14"/>
          <w:rFonts w:hint="eastAsia" w:ascii="仿宋" w:hAnsi="仿宋" w:eastAsia="仿宋"/>
          <w:b w:val="0"/>
          <w:bCs/>
          <w:color w:val="0000FF"/>
          <w:sz w:val="32"/>
          <w:szCs w:val="32"/>
        </w:rPr>
        <w:t>；</w:t>
      </w:r>
      <w:r>
        <w:rPr>
          <w:rStyle w:val="14"/>
          <w:rFonts w:hint="eastAsia" w:ascii="仿宋" w:hAnsi="仿宋" w:eastAsia="仿宋"/>
          <w:b w:val="0"/>
          <w:bCs/>
          <w:color w:val="0000FF"/>
          <w:sz w:val="32"/>
          <w:szCs w:val="32"/>
          <w:lang w:val="en-US" w:eastAsia="zh-CN"/>
        </w:rPr>
        <w:t>二</w:t>
      </w:r>
      <w:r>
        <w:rPr>
          <w:rStyle w:val="14"/>
          <w:rFonts w:hint="eastAsia" w:ascii="仿宋" w:hAnsi="仿宋" w:eastAsia="仿宋"/>
          <w:b w:val="0"/>
          <w:bCs/>
          <w:color w:val="0000FF"/>
          <w:sz w:val="32"/>
          <w:szCs w:val="32"/>
        </w:rPr>
        <w:t>是年末下达了2020年度学前教育债券专项资金3248.15万元结转下年</w:t>
      </w:r>
      <w:r>
        <w:rPr>
          <w:rStyle w:val="14"/>
          <w:rFonts w:hint="eastAsia" w:ascii="仿宋" w:hAnsi="仿宋" w:eastAsia="仿宋"/>
          <w:b w:val="0"/>
          <w:bCs/>
          <w:color w:val="0000FF"/>
          <w:sz w:val="32"/>
          <w:szCs w:val="32"/>
          <w:lang w:eastAsia="zh-CN"/>
        </w:rPr>
        <w:t>，</w:t>
      </w:r>
      <w:r>
        <w:rPr>
          <w:rStyle w:val="14"/>
          <w:rFonts w:hint="eastAsia" w:ascii="仿宋" w:hAnsi="仿宋" w:eastAsia="仿宋"/>
          <w:b w:val="0"/>
          <w:bCs/>
          <w:color w:val="0000FF"/>
          <w:sz w:val="32"/>
          <w:szCs w:val="32"/>
          <w:lang w:val="en-US" w:eastAsia="zh-CN"/>
        </w:rPr>
        <w:t>根据项目实施进度拨付</w:t>
      </w:r>
      <w:r>
        <w:rPr>
          <w:rStyle w:val="14"/>
          <w:rFonts w:hint="eastAsia" w:ascii="仿宋" w:hAnsi="仿宋" w:eastAsia="仿宋"/>
          <w:b w:val="0"/>
          <w:bCs/>
          <w:color w:val="0000FF"/>
          <w:sz w:val="32"/>
          <w:szCs w:val="32"/>
        </w:rPr>
        <w:t>使用；</w:t>
      </w:r>
      <w:r>
        <w:rPr>
          <w:rStyle w:val="14"/>
          <w:rFonts w:hint="eastAsia" w:ascii="仿宋" w:hAnsi="仿宋" w:eastAsia="仿宋"/>
          <w:b w:val="0"/>
          <w:bCs/>
          <w:color w:val="0000FF"/>
          <w:sz w:val="32"/>
          <w:szCs w:val="32"/>
          <w:lang w:val="en-US" w:eastAsia="zh-CN"/>
        </w:rPr>
        <w:t>三</w:t>
      </w:r>
      <w:r>
        <w:rPr>
          <w:rStyle w:val="14"/>
          <w:rFonts w:hint="eastAsia" w:ascii="仿宋" w:hAnsi="仿宋" w:eastAsia="仿宋"/>
          <w:b w:val="0"/>
          <w:bCs/>
          <w:color w:val="0000FF"/>
          <w:sz w:val="32"/>
          <w:szCs w:val="32"/>
        </w:rPr>
        <w:t>是2019年度学前教育债券建设资金因项目正在实施还未竣工验收，项目建设资金1818.00万元结转下年使用</w:t>
      </w:r>
      <w:r>
        <w:rPr>
          <w:rStyle w:val="14"/>
          <w:rFonts w:hint="eastAsia" w:ascii="仿宋" w:hAnsi="仿宋" w:eastAsia="仿宋"/>
          <w:b w:val="0"/>
          <w:bCs/>
          <w:color w:val="0000FF"/>
          <w:sz w:val="32"/>
          <w:szCs w:val="32"/>
          <w:lang w:eastAsia="zh-CN"/>
        </w:rPr>
        <w:t>；</w:t>
      </w:r>
      <w:r>
        <w:rPr>
          <w:rStyle w:val="14"/>
          <w:rFonts w:hint="eastAsia" w:ascii="仿宋" w:hAnsi="仿宋" w:eastAsia="仿宋"/>
          <w:b w:val="0"/>
          <w:bCs/>
          <w:color w:val="0000FF"/>
          <w:sz w:val="32"/>
          <w:szCs w:val="32"/>
          <w:lang w:val="en-US" w:eastAsia="zh-CN"/>
        </w:rPr>
        <w:t>四</w:t>
      </w:r>
      <w:r>
        <w:rPr>
          <w:rStyle w:val="14"/>
          <w:rFonts w:hint="eastAsia" w:ascii="仿宋" w:hAnsi="仿宋" w:eastAsia="仿宋"/>
          <w:b w:val="0"/>
          <w:bCs/>
          <w:color w:val="0000FF"/>
          <w:sz w:val="32"/>
          <w:szCs w:val="32"/>
        </w:rPr>
        <w:t>是万缘一幼（400万元）、雪峰小学（146.80万元）、三堆小学（131.76万元）、石龙小学（18万元）等校学前教育校舍改造项目正在实施，资金结转下年使用</w:t>
      </w:r>
      <w:r>
        <w:rPr>
          <w:rStyle w:val="14"/>
          <w:rFonts w:hint="eastAsia" w:ascii="仿宋" w:hAnsi="仿宋" w:eastAsia="仿宋"/>
          <w:b w:val="0"/>
          <w:bCs/>
          <w:color w:val="FF0000"/>
          <w:sz w:val="32"/>
          <w:szCs w:val="32"/>
        </w:rPr>
        <w:t>。</w:t>
      </w:r>
    </w:p>
    <w:p>
      <w:pPr>
        <w:spacing w:line="600" w:lineRule="exact"/>
        <w:ind w:firstLine="642" w:firstLineChars="200"/>
        <w:rPr>
          <w:rFonts w:ascii="仿宋" w:hAnsi="仿宋" w:eastAsia="仿宋"/>
          <w:b/>
          <w:color w:val="000000" w:themeColor="text1"/>
          <w:sz w:val="32"/>
          <w:szCs w:val="32"/>
          <w14:textFill>
            <w14:solidFill>
              <w14:schemeClr w14:val="tx1"/>
            </w14:solidFill>
          </w14:textFill>
        </w:rPr>
      </w:pPr>
      <w:r>
        <w:rPr>
          <w:rStyle w:val="14"/>
          <w:rFonts w:hint="eastAsia" w:ascii="仿宋" w:hAnsi="仿宋" w:eastAsia="仿宋"/>
          <w:bCs/>
          <w:color w:val="000000" w:themeColor="text1"/>
          <w:sz w:val="32"/>
          <w:szCs w:val="32"/>
          <w14:textFill>
            <w14:solidFill>
              <w14:schemeClr w14:val="tx1"/>
            </w14:solidFill>
          </w14:textFill>
        </w:rPr>
        <w:t>4</w:t>
      </w:r>
      <w:r>
        <w:rPr>
          <w:rStyle w:val="14"/>
          <w:rFonts w:ascii="仿宋" w:hAnsi="仿宋" w:eastAsia="仿宋"/>
          <w:bCs/>
          <w:color w:val="000000" w:themeColor="text1"/>
          <w:sz w:val="32"/>
          <w:szCs w:val="32"/>
          <w14:textFill>
            <w14:solidFill>
              <w14:schemeClr w14:val="tx1"/>
            </w14:solidFill>
          </w14:textFill>
        </w:rPr>
        <w:t>.</w:t>
      </w:r>
      <w:r>
        <w:rPr>
          <w:rFonts w:ascii="仿宋" w:hAnsi="仿宋" w:eastAsia="仿宋"/>
          <w:bCs/>
          <w:color w:val="000000" w:themeColor="text1"/>
          <w:sz w:val="32"/>
          <w:szCs w:val="32"/>
          <w14:textFill>
            <w14:solidFill>
              <w14:schemeClr w14:val="tx1"/>
            </w14:solidFill>
          </w14:textFill>
        </w:rPr>
        <w:t xml:space="preserve"> </w:t>
      </w:r>
      <w:r>
        <w:rPr>
          <w:rStyle w:val="14"/>
          <w:rFonts w:ascii="仿宋" w:hAnsi="仿宋" w:eastAsia="仿宋"/>
          <w:bCs/>
          <w:color w:val="000000" w:themeColor="text1"/>
          <w:sz w:val="32"/>
          <w:szCs w:val="32"/>
          <w14:textFill>
            <w14:solidFill>
              <w14:schemeClr w14:val="tx1"/>
            </w14:solidFill>
          </w14:textFill>
        </w:rPr>
        <w:t>教育支出</w:t>
      </w:r>
      <w:r>
        <w:rPr>
          <w:rStyle w:val="14"/>
          <w:rFonts w:hint="eastAsia" w:ascii="仿宋" w:hAnsi="仿宋" w:eastAsia="仿宋"/>
          <w:bCs/>
          <w:color w:val="000000" w:themeColor="text1"/>
          <w:sz w:val="32"/>
          <w:szCs w:val="32"/>
          <w14:textFill>
            <w14:solidFill>
              <w14:schemeClr w14:val="tx1"/>
            </w14:solidFill>
          </w14:textFill>
        </w:rPr>
        <w:t>（类）普通教育（款）小学教育（项）</w:t>
      </w:r>
      <w:r>
        <w:rPr>
          <w:rStyle w:val="14"/>
          <w:rFonts w:ascii="仿宋" w:hAnsi="仿宋" w:eastAsia="仿宋"/>
          <w:bCs/>
          <w:color w:val="000000" w:themeColor="text1"/>
          <w:sz w:val="32"/>
          <w:szCs w:val="32"/>
          <w14:textFill>
            <w14:solidFill>
              <w14:schemeClr w14:val="tx1"/>
            </w14:solidFill>
          </w14:textFill>
        </w:rPr>
        <w:t>:</w:t>
      </w:r>
      <w:r>
        <w:rPr>
          <w:rStyle w:val="14"/>
          <w:rFonts w:ascii="仿宋" w:hAnsi="仿宋" w:eastAsia="仿宋"/>
          <w:b w:val="0"/>
          <w:bCs/>
          <w:color w:val="000000" w:themeColor="text1"/>
          <w:sz w:val="32"/>
          <w:szCs w:val="32"/>
          <w14:textFill>
            <w14:solidFill>
              <w14:schemeClr w14:val="tx1"/>
            </w14:solidFill>
          </w14:textFill>
        </w:rPr>
        <w:t xml:space="preserve"> </w:t>
      </w:r>
      <w:r>
        <w:rPr>
          <w:rStyle w:val="14"/>
          <w:rFonts w:hint="eastAsia" w:ascii="仿宋" w:hAnsi="仿宋" w:eastAsia="仿宋"/>
          <w:b w:val="0"/>
          <w:bCs/>
          <w:color w:val="000000" w:themeColor="text1"/>
          <w:sz w:val="32"/>
          <w:szCs w:val="32"/>
          <w14:textFill>
            <w14:solidFill>
              <w14:schemeClr w14:val="tx1"/>
            </w14:solidFill>
          </w14:textFill>
        </w:rPr>
        <w:t>支出决算数为</w:t>
      </w:r>
      <w:r>
        <w:rPr>
          <w:rStyle w:val="14"/>
          <w:rFonts w:hint="eastAsia" w:ascii="仿宋" w:hAnsi="仿宋" w:eastAsia="仿宋"/>
          <w:b w:val="0"/>
          <w:bCs/>
          <w:color w:val="0000FF"/>
          <w:sz w:val="32"/>
          <w:szCs w:val="32"/>
        </w:rPr>
        <w:t>26577.90万元</w:t>
      </w:r>
      <w:r>
        <w:rPr>
          <w:rStyle w:val="14"/>
          <w:rFonts w:hint="eastAsia" w:ascii="仿宋" w:hAnsi="仿宋" w:eastAsia="仿宋"/>
          <w:b w:val="0"/>
          <w:bCs/>
          <w:color w:val="000000" w:themeColor="text1"/>
          <w:sz w:val="32"/>
          <w:szCs w:val="32"/>
          <w14:textFill>
            <w14:solidFill>
              <w14:schemeClr w14:val="tx1"/>
            </w14:solidFill>
          </w14:textFill>
        </w:rPr>
        <w:t>，完成预算</w:t>
      </w:r>
      <w:r>
        <w:rPr>
          <w:rStyle w:val="14"/>
          <w:rFonts w:hint="eastAsia" w:ascii="仿宋" w:hAnsi="仿宋" w:eastAsia="仿宋"/>
          <w:b w:val="0"/>
          <w:bCs/>
          <w:color w:val="0000FF"/>
          <w:sz w:val="32"/>
          <w:szCs w:val="32"/>
        </w:rPr>
        <w:t>83.92%</w:t>
      </w:r>
      <w:r>
        <w:rPr>
          <w:rStyle w:val="14"/>
          <w:rFonts w:hint="eastAsia" w:ascii="仿宋" w:hAnsi="仿宋" w:eastAsia="仿宋"/>
          <w:b w:val="0"/>
          <w:bCs/>
          <w:color w:val="000000" w:themeColor="text1"/>
          <w:sz w:val="32"/>
          <w:szCs w:val="32"/>
          <w14:textFill>
            <w14:solidFill>
              <w14:schemeClr w14:val="tx1"/>
            </w14:solidFill>
          </w14:textFill>
        </w:rPr>
        <w:t>。决算数小于预算数的主要原因</w:t>
      </w:r>
      <w:r>
        <w:rPr>
          <w:rStyle w:val="14"/>
          <w:rFonts w:hint="eastAsia" w:ascii="仿宋" w:hAnsi="仿宋" w:eastAsia="仿宋"/>
          <w:b w:val="0"/>
          <w:bCs/>
          <w:color w:val="0000FF"/>
          <w:sz w:val="32"/>
          <w:szCs w:val="32"/>
        </w:rPr>
        <w:t>吴家浩小学迁建项目（255.46万元）、雪峰小学改扩建项目（619.51万元）、三堆小学校舍维修改造及教师周转宿舍建设（246.5万元）、栖凤小学义务教育提升工程（57.83万元）、盘龙二小校舍维修改造工程（60万元）等项目正在实施，资金结转下年使用。</w:t>
      </w:r>
    </w:p>
    <w:p>
      <w:pPr>
        <w:spacing w:line="600" w:lineRule="exact"/>
        <w:ind w:firstLine="642" w:firstLineChars="200"/>
        <w:rPr>
          <w:rFonts w:ascii="仿宋" w:hAnsi="仿宋" w:eastAsia="仿宋"/>
          <w:b/>
          <w:color w:val="000000" w:themeColor="text1"/>
          <w:sz w:val="32"/>
          <w:szCs w:val="32"/>
          <w14:textFill>
            <w14:solidFill>
              <w14:schemeClr w14:val="tx1"/>
            </w14:solidFill>
          </w14:textFill>
        </w:rPr>
      </w:pPr>
      <w:r>
        <w:rPr>
          <w:rStyle w:val="14"/>
          <w:rFonts w:hint="eastAsia" w:ascii="仿宋" w:hAnsi="仿宋" w:eastAsia="仿宋"/>
          <w:bCs/>
          <w:color w:val="000000" w:themeColor="text1"/>
          <w:sz w:val="32"/>
          <w:szCs w:val="32"/>
          <w14:textFill>
            <w14:solidFill>
              <w14:schemeClr w14:val="tx1"/>
            </w14:solidFill>
          </w14:textFill>
        </w:rPr>
        <w:t>5</w:t>
      </w:r>
      <w:r>
        <w:rPr>
          <w:rStyle w:val="14"/>
          <w:rFonts w:ascii="仿宋" w:hAnsi="仿宋" w:eastAsia="仿宋"/>
          <w:bCs/>
          <w:color w:val="000000" w:themeColor="text1"/>
          <w:sz w:val="32"/>
          <w:szCs w:val="32"/>
          <w14:textFill>
            <w14:solidFill>
              <w14:schemeClr w14:val="tx1"/>
            </w14:solidFill>
          </w14:textFill>
        </w:rPr>
        <w:t>.</w:t>
      </w:r>
      <w:r>
        <w:rPr>
          <w:rFonts w:ascii="仿宋" w:hAnsi="仿宋" w:eastAsia="仿宋"/>
          <w:bCs/>
          <w:color w:val="000000" w:themeColor="text1"/>
          <w:sz w:val="32"/>
          <w:szCs w:val="32"/>
          <w14:textFill>
            <w14:solidFill>
              <w14:schemeClr w14:val="tx1"/>
            </w14:solidFill>
          </w14:textFill>
        </w:rPr>
        <w:t xml:space="preserve"> </w:t>
      </w:r>
      <w:r>
        <w:rPr>
          <w:rStyle w:val="14"/>
          <w:rFonts w:ascii="仿宋" w:hAnsi="仿宋" w:eastAsia="仿宋"/>
          <w:bCs/>
          <w:color w:val="000000" w:themeColor="text1"/>
          <w:sz w:val="32"/>
          <w:szCs w:val="32"/>
          <w14:textFill>
            <w14:solidFill>
              <w14:schemeClr w14:val="tx1"/>
            </w14:solidFill>
          </w14:textFill>
        </w:rPr>
        <w:t>教育支出</w:t>
      </w:r>
      <w:r>
        <w:rPr>
          <w:rStyle w:val="14"/>
          <w:rFonts w:hint="eastAsia" w:ascii="仿宋" w:hAnsi="仿宋" w:eastAsia="仿宋"/>
          <w:bCs/>
          <w:color w:val="000000" w:themeColor="text1"/>
          <w:sz w:val="32"/>
          <w:szCs w:val="32"/>
          <w14:textFill>
            <w14:solidFill>
              <w14:schemeClr w14:val="tx1"/>
            </w14:solidFill>
          </w14:textFill>
        </w:rPr>
        <w:t>（类）普通教育（款）初中教育（项）</w:t>
      </w:r>
      <w:r>
        <w:rPr>
          <w:rStyle w:val="14"/>
          <w:rFonts w:ascii="仿宋" w:hAnsi="仿宋" w:eastAsia="仿宋"/>
          <w:bCs/>
          <w:color w:val="000000" w:themeColor="text1"/>
          <w:sz w:val="32"/>
          <w:szCs w:val="32"/>
          <w14:textFill>
            <w14:solidFill>
              <w14:schemeClr w14:val="tx1"/>
            </w14:solidFill>
          </w14:textFill>
        </w:rPr>
        <w:t>:</w:t>
      </w:r>
      <w:r>
        <w:rPr>
          <w:rStyle w:val="14"/>
          <w:rFonts w:ascii="仿宋" w:hAnsi="仿宋" w:eastAsia="仿宋"/>
          <w:b w:val="0"/>
          <w:bCs/>
          <w:color w:val="000000" w:themeColor="text1"/>
          <w:sz w:val="32"/>
          <w:szCs w:val="32"/>
          <w14:textFill>
            <w14:solidFill>
              <w14:schemeClr w14:val="tx1"/>
            </w14:solidFill>
          </w14:textFill>
        </w:rPr>
        <w:t xml:space="preserve"> </w:t>
      </w:r>
      <w:r>
        <w:rPr>
          <w:rStyle w:val="14"/>
          <w:rFonts w:hint="eastAsia" w:ascii="仿宋" w:hAnsi="仿宋" w:eastAsia="仿宋"/>
          <w:b w:val="0"/>
          <w:bCs/>
          <w:color w:val="000000" w:themeColor="text1"/>
          <w:sz w:val="32"/>
          <w:szCs w:val="32"/>
          <w14:textFill>
            <w14:solidFill>
              <w14:schemeClr w14:val="tx1"/>
            </w14:solidFill>
          </w14:textFill>
        </w:rPr>
        <w:t>支出决算数为</w:t>
      </w:r>
      <w:r>
        <w:rPr>
          <w:rStyle w:val="14"/>
          <w:rFonts w:hint="eastAsia" w:ascii="仿宋" w:hAnsi="仿宋" w:eastAsia="仿宋"/>
          <w:b w:val="0"/>
          <w:bCs/>
          <w:color w:val="0000FF"/>
          <w:sz w:val="32"/>
          <w:szCs w:val="32"/>
        </w:rPr>
        <w:t>20854.94万元</w:t>
      </w:r>
      <w:r>
        <w:rPr>
          <w:rStyle w:val="14"/>
          <w:rFonts w:hint="eastAsia" w:ascii="仿宋" w:hAnsi="仿宋" w:eastAsia="仿宋"/>
          <w:b w:val="0"/>
          <w:bCs/>
          <w:color w:val="000000" w:themeColor="text1"/>
          <w:sz w:val="32"/>
          <w:szCs w:val="32"/>
          <w14:textFill>
            <w14:solidFill>
              <w14:schemeClr w14:val="tx1"/>
            </w14:solidFill>
          </w14:textFill>
        </w:rPr>
        <w:t>，完成预算</w:t>
      </w:r>
      <w:r>
        <w:rPr>
          <w:rStyle w:val="14"/>
          <w:rFonts w:hint="eastAsia" w:ascii="仿宋" w:hAnsi="仿宋" w:eastAsia="仿宋"/>
          <w:b w:val="0"/>
          <w:bCs/>
          <w:color w:val="0000FF"/>
          <w:sz w:val="32"/>
          <w:szCs w:val="32"/>
        </w:rPr>
        <w:t>84.33</w:t>
      </w:r>
      <w:r>
        <w:rPr>
          <w:rStyle w:val="14"/>
          <w:rFonts w:ascii="仿宋" w:hAnsi="仿宋" w:eastAsia="仿宋"/>
          <w:b w:val="0"/>
          <w:bCs/>
          <w:color w:val="0000FF"/>
          <w:sz w:val="32"/>
          <w:szCs w:val="32"/>
        </w:rPr>
        <w:t>%</w:t>
      </w:r>
      <w:r>
        <w:rPr>
          <w:rStyle w:val="14"/>
          <w:rFonts w:hint="eastAsia" w:ascii="仿宋" w:hAnsi="仿宋" w:eastAsia="仿宋"/>
          <w:b w:val="0"/>
          <w:bCs/>
          <w:color w:val="000000" w:themeColor="text1"/>
          <w:sz w:val="32"/>
          <w:szCs w:val="32"/>
          <w14:textFill>
            <w14:solidFill>
              <w14:schemeClr w14:val="tx1"/>
            </w14:solidFill>
          </w14:textFill>
        </w:rPr>
        <w:t>，决算数小于预算数的主要原因是</w:t>
      </w:r>
      <w:r>
        <w:rPr>
          <w:rStyle w:val="14"/>
          <w:rFonts w:hint="eastAsia" w:ascii="仿宋" w:hAnsi="仿宋" w:eastAsia="仿宋"/>
          <w:b w:val="0"/>
          <w:bCs/>
          <w:color w:val="0000FF"/>
          <w:sz w:val="32"/>
          <w:szCs w:val="32"/>
        </w:rPr>
        <w:t>莲花初中校舍维修改造项目（209万元）、盘龙初中校舍维修改造项目（96.53万元）、兴安初级中学新建（446.72万元）等工程正在实施中，资金结转下年使用。</w:t>
      </w:r>
    </w:p>
    <w:p>
      <w:pPr>
        <w:spacing w:line="600" w:lineRule="exact"/>
        <w:ind w:firstLine="642" w:firstLineChars="200"/>
        <w:rPr>
          <w:rStyle w:val="14"/>
          <w:rFonts w:ascii="仿宋" w:hAnsi="仿宋" w:eastAsia="仿宋"/>
          <w:b w:val="0"/>
          <w:bCs/>
          <w:color w:val="0000FF"/>
          <w:sz w:val="32"/>
          <w:szCs w:val="32"/>
        </w:rPr>
      </w:pPr>
      <w:r>
        <w:rPr>
          <w:rStyle w:val="14"/>
          <w:rFonts w:hint="eastAsia" w:ascii="仿宋" w:hAnsi="仿宋" w:eastAsia="仿宋"/>
          <w:bCs/>
          <w:color w:val="000000" w:themeColor="text1"/>
          <w:sz w:val="32"/>
          <w:szCs w:val="32"/>
          <w14:textFill>
            <w14:solidFill>
              <w14:schemeClr w14:val="tx1"/>
            </w14:solidFill>
          </w14:textFill>
        </w:rPr>
        <w:t>6</w:t>
      </w:r>
      <w:r>
        <w:rPr>
          <w:rStyle w:val="14"/>
          <w:rFonts w:ascii="仿宋" w:hAnsi="仿宋" w:eastAsia="仿宋"/>
          <w:bCs/>
          <w:color w:val="000000" w:themeColor="text1"/>
          <w:sz w:val="32"/>
          <w:szCs w:val="32"/>
          <w14:textFill>
            <w14:solidFill>
              <w14:schemeClr w14:val="tx1"/>
            </w14:solidFill>
          </w14:textFill>
        </w:rPr>
        <w:t>.</w:t>
      </w:r>
      <w:r>
        <w:rPr>
          <w:rFonts w:ascii="仿宋" w:hAnsi="仿宋" w:eastAsia="仿宋"/>
          <w:bCs/>
          <w:color w:val="000000" w:themeColor="text1"/>
          <w:sz w:val="32"/>
          <w:szCs w:val="32"/>
          <w14:textFill>
            <w14:solidFill>
              <w14:schemeClr w14:val="tx1"/>
            </w14:solidFill>
          </w14:textFill>
        </w:rPr>
        <w:t xml:space="preserve"> </w:t>
      </w:r>
      <w:r>
        <w:rPr>
          <w:rStyle w:val="14"/>
          <w:rFonts w:ascii="仿宋" w:hAnsi="仿宋" w:eastAsia="仿宋"/>
          <w:bCs/>
          <w:color w:val="000000" w:themeColor="text1"/>
          <w:sz w:val="32"/>
          <w:szCs w:val="32"/>
          <w14:textFill>
            <w14:solidFill>
              <w14:schemeClr w14:val="tx1"/>
            </w14:solidFill>
          </w14:textFill>
        </w:rPr>
        <w:t>教育支出</w:t>
      </w:r>
      <w:r>
        <w:rPr>
          <w:rStyle w:val="14"/>
          <w:rFonts w:hint="eastAsia" w:ascii="仿宋" w:hAnsi="仿宋" w:eastAsia="仿宋"/>
          <w:bCs/>
          <w:color w:val="000000" w:themeColor="text1"/>
          <w:sz w:val="32"/>
          <w:szCs w:val="32"/>
          <w14:textFill>
            <w14:solidFill>
              <w14:schemeClr w14:val="tx1"/>
            </w14:solidFill>
          </w14:textFill>
        </w:rPr>
        <w:t>（类）普通教育（款）高中教育（项）</w:t>
      </w:r>
      <w:r>
        <w:rPr>
          <w:rStyle w:val="14"/>
          <w:rFonts w:ascii="仿宋" w:hAnsi="仿宋" w:eastAsia="仿宋"/>
          <w:bCs/>
          <w:color w:val="000000" w:themeColor="text1"/>
          <w:sz w:val="32"/>
          <w:szCs w:val="32"/>
          <w14:textFill>
            <w14:solidFill>
              <w14:schemeClr w14:val="tx1"/>
            </w14:solidFill>
          </w14:textFill>
        </w:rPr>
        <w:t>:</w:t>
      </w:r>
      <w:r>
        <w:rPr>
          <w:rStyle w:val="14"/>
          <w:rFonts w:ascii="仿宋" w:hAnsi="仿宋" w:eastAsia="仿宋"/>
          <w:b w:val="0"/>
          <w:bCs/>
          <w:color w:val="000000" w:themeColor="text1"/>
          <w:sz w:val="32"/>
          <w:szCs w:val="32"/>
          <w14:textFill>
            <w14:solidFill>
              <w14:schemeClr w14:val="tx1"/>
            </w14:solidFill>
          </w14:textFill>
        </w:rPr>
        <w:t xml:space="preserve"> </w:t>
      </w:r>
      <w:r>
        <w:rPr>
          <w:rStyle w:val="14"/>
          <w:rFonts w:hint="eastAsia" w:ascii="仿宋" w:hAnsi="仿宋" w:eastAsia="仿宋"/>
          <w:b w:val="0"/>
          <w:bCs/>
          <w:color w:val="000000" w:themeColor="text1"/>
          <w:sz w:val="32"/>
          <w:szCs w:val="32"/>
          <w14:textFill>
            <w14:solidFill>
              <w14:schemeClr w14:val="tx1"/>
            </w14:solidFill>
          </w14:textFill>
        </w:rPr>
        <w:t>支出决算数为</w:t>
      </w:r>
      <w:r>
        <w:rPr>
          <w:rStyle w:val="14"/>
          <w:rFonts w:hint="eastAsia" w:ascii="仿宋" w:hAnsi="仿宋" w:eastAsia="仿宋"/>
          <w:b w:val="0"/>
          <w:bCs/>
          <w:color w:val="0000FF"/>
          <w:sz w:val="32"/>
          <w:szCs w:val="32"/>
        </w:rPr>
        <w:t>5082.35万元</w:t>
      </w:r>
      <w:r>
        <w:rPr>
          <w:rStyle w:val="14"/>
          <w:rFonts w:hint="eastAsia" w:ascii="仿宋" w:hAnsi="仿宋" w:eastAsia="仿宋"/>
          <w:b w:val="0"/>
          <w:bCs/>
          <w:color w:val="000000" w:themeColor="text1"/>
          <w:sz w:val="32"/>
          <w:szCs w:val="32"/>
          <w14:textFill>
            <w14:solidFill>
              <w14:schemeClr w14:val="tx1"/>
            </w14:solidFill>
          </w14:textFill>
        </w:rPr>
        <w:t>，完成预算</w:t>
      </w:r>
      <w:r>
        <w:rPr>
          <w:rStyle w:val="14"/>
          <w:rFonts w:hint="eastAsia" w:ascii="仿宋" w:hAnsi="仿宋" w:eastAsia="仿宋"/>
          <w:b w:val="0"/>
          <w:bCs/>
          <w:color w:val="0000FF"/>
          <w:sz w:val="32"/>
          <w:szCs w:val="32"/>
        </w:rPr>
        <w:t>79.99</w:t>
      </w:r>
      <w:r>
        <w:rPr>
          <w:rStyle w:val="14"/>
          <w:rFonts w:ascii="仿宋" w:hAnsi="仿宋" w:eastAsia="仿宋"/>
          <w:b w:val="0"/>
          <w:bCs/>
          <w:color w:val="0000FF"/>
          <w:sz w:val="32"/>
          <w:szCs w:val="32"/>
        </w:rPr>
        <w:t>%</w:t>
      </w:r>
      <w:r>
        <w:rPr>
          <w:rStyle w:val="14"/>
          <w:rFonts w:hint="eastAsia" w:ascii="仿宋" w:hAnsi="仿宋" w:eastAsia="仿宋"/>
          <w:b w:val="0"/>
          <w:bCs/>
          <w:color w:val="000000" w:themeColor="text1"/>
          <w:sz w:val="32"/>
          <w:szCs w:val="32"/>
          <w14:textFill>
            <w14:solidFill>
              <w14:schemeClr w14:val="tx1"/>
            </w14:solidFill>
          </w14:textFill>
        </w:rPr>
        <w:t>，决算数小于预算数的主要原因</w:t>
      </w:r>
      <w:r>
        <w:rPr>
          <w:rStyle w:val="14"/>
          <w:rFonts w:hint="eastAsia" w:ascii="仿宋" w:hAnsi="仿宋" w:eastAsia="仿宋"/>
          <w:b w:val="0"/>
          <w:bCs/>
          <w:color w:val="0000FF"/>
          <w:sz w:val="32"/>
          <w:szCs w:val="32"/>
        </w:rPr>
        <w:t>是年末下达年度优质教育质量考核奖励</w:t>
      </w:r>
      <w:r>
        <w:rPr>
          <w:rStyle w:val="14"/>
          <w:rFonts w:hint="eastAsia" w:ascii="仿宋" w:hAnsi="仿宋" w:eastAsia="仿宋"/>
          <w:b w:val="0"/>
          <w:bCs/>
          <w:color w:val="0000FF"/>
          <w:sz w:val="32"/>
          <w:szCs w:val="32"/>
          <w:lang w:val="en-US" w:eastAsia="zh-CN"/>
        </w:rPr>
        <w:t>等</w:t>
      </w:r>
      <w:r>
        <w:rPr>
          <w:rStyle w:val="14"/>
          <w:rFonts w:hint="eastAsia" w:ascii="仿宋" w:hAnsi="仿宋" w:eastAsia="仿宋"/>
          <w:b w:val="0"/>
          <w:bCs/>
          <w:color w:val="0000FF"/>
          <w:sz w:val="32"/>
          <w:szCs w:val="32"/>
        </w:rPr>
        <w:t>资金结转下年</w:t>
      </w:r>
      <w:r>
        <w:rPr>
          <w:rStyle w:val="14"/>
          <w:rFonts w:hint="eastAsia" w:ascii="仿宋" w:hAnsi="仿宋" w:eastAsia="仿宋"/>
          <w:b w:val="0"/>
          <w:bCs/>
          <w:color w:val="0000FF"/>
          <w:sz w:val="32"/>
          <w:szCs w:val="32"/>
          <w:lang w:eastAsia="zh-CN"/>
        </w:rPr>
        <w:t>，</w:t>
      </w:r>
      <w:r>
        <w:rPr>
          <w:rStyle w:val="14"/>
          <w:rFonts w:hint="eastAsia" w:ascii="仿宋" w:hAnsi="仿宋" w:eastAsia="仿宋"/>
          <w:b w:val="0"/>
          <w:bCs/>
          <w:color w:val="0000FF"/>
          <w:sz w:val="32"/>
          <w:szCs w:val="32"/>
          <w:lang w:val="en-US" w:eastAsia="zh-CN"/>
        </w:rPr>
        <w:t>根据相关考核情况拨付</w:t>
      </w:r>
      <w:r>
        <w:rPr>
          <w:rStyle w:val="14"/>
          <w:rFonts w:hint="eastAsia" w:ascii="仿宋" w:hAnsi="仿宋" w:eastAsia="仿宋"/>
          <w:b w:val="0"/>
          <w:bCs/>
          <w:color w:val="0000FF"/>
          <w:sz w:val="32"/>
          <w:szCs w:val="32"/>
        </w:rPr>
        <w:t>使用。</w:t>
      </w:r>
    </w:p>
    <w:p>
      <w:pPr>
        <w:spacing w:line="600" w:lineRule="exact"/>
        <w:ind w:firstLine="642" w:firstLineChars="200"/>
        <w:rPr>
          <w:rStyle w:val="14"/>
          <w:rFonts w:hint="eastAsia" w:ascii="仿宋" w:hAnsi="仿宋" w:eastAsia="仿宋"/>
          <w:b w:val="0"/>
          <w:bCs/>
          <w:color w:val="0000FF"/>
          <w:sz w:val="32"/>
          <w:szCs w:val="32"/>
          <w:lang w:eastAsia="zh-CN"/>
        </w:rPr>
      </w:pPr>
      <w:r>
        <w:rPr>
          <w:rStyle w:val="14"/>
          <w:rFonts w:hint="eastAsia" w:ascii="仿宋" w:hAnsi="仿宋" w:eastAsia="仿宋"/>
          <w:bCs/>
          <w:color w:val="000000" w:themeColor="text1"/>
          <w:sz w:val="32"/>
          <w:szCs w:val="32"/>
          <w14:textFill>
            <w14:solidFill>
              <w14:schemeClr w14:val="tx1"/>
            </w14:solidFill>
          </w14:textFill>
        </w:rPr>
        <w:t>7</w:t>
      </w:r>
      <w:r>
        <w:rPr>
          <w:rStyle w:val="14"/>
          <w:rFonts w:ascii="仿宋" w:hAnsi="仿宋" w:eastAsia="仿宋"/>
          <w:bCs/>
          <w:color w:val="000000" w:themeColor="text1"/>
          <w:sz w:val="32"/>
          <w:szCs w:val="32"/>
          <w14:textFill>
            <w14:solidFill>
              <w14:schemeClr w14:val="tx1"/>
            </w14:solidFill>
          </w14:textFill>
        </w:rPr>
        <w:t>.</w:t>
      </w:r>
      <w:r>
        <w:rPr>
          <w:rFonts w:ascii="仿宋" w:hAnsi="仿宋" w:eastAsia="仿宋"/>
          <w:bCs/>
          <w:color w:val="000000" w:themeColor="text1"/>
          <w:sz w:val="32"/>
          <w:szCs w:val="32"/>
          <w14:textFill>
            <w14:solidFill>
              <w14:schemeClr w14:val="tx1"/>
            </w14:solidFill>
          </w14:textFill>
        </w:rPr>
        <w:t xml:space="preserve"> </w:t>
      </w:r>
      <w:r>
        <w:rPr>
          <w:rStyle w:val="14"/>
          <w:rFonts w:ascii="仿宋" w:hAnsi="仿宋" w:eastAsia="仿宋"/>
          <w:bCs/>
          <w:color w:val="000000" w:themeColor="text1"/>
          <w:sz w:val="32"/>
          <w:szCs w:val="32"/>
          <w14:textFill>
            <w14:solidFill>
              <w14:schemeClr w14:val="tx1"/>
            </w14:solidFill>
          </w14:textFill>
        </w:rPr>
        <w:t>教育支出</w:t>
      </w:r>
      <w:r>
        <w:rPr>
          <w:rStyle w:val="14"/>
          <w:rFonts w:hint="eastAsia" w:ascii="仿宋" w:hAnsi="仿宋" w:eastAsia="仿宋"/>
          <w:bCs/>
          <w:color w:val="000000" w:themeColor="text1"/>
          <w:sz w:val="32"/>
          <w:szCs w:val="32"/>
          <w14:textFill>
            <w14:solidFill>
              <w14:schemeClr w14:val="tx1"/>
            </w14:solidFill>
          </w14:textFill>
        </w:rPr>
        <w:t>（类）普通教育（款）高等教育（项）</w:t>
      </w:r>
      <w:r>
        <w:rPr>
          <w:rStyle w:val="14"/>
          <w:rFonts w:ascii="仿宋" w:hAnsi="仿宋" w:eastAsia="仿宋"/>
          <w:bCs/>
          <w:color w:val="000000" w:themeColor="text1"/>
          <w:sz w:val="32"/>
          <w:szCs w:val="32"/>
          <w14:textFill>
            <w14:solidFill>
              <w14:schemeClr w14:val="tx1"/>
            </w14:solidFill>
          </w14:textFill>
        </w:rPr>
        <w:t>:</w:t>
      </w:r>
      <w:r>
        <w:rPr>
          <w:rStyle w:val="14"/>
          <w:rFonts w:ascii="仿宋" w:hAnsi="仿宋" w:eastAsia="仿宋"/>
          <w:b w:val="0"/>
          <w:bCs/>
          <w:color w:val="000000" w:themeColor="text1"/>
          <w:sz w:val="32"/>
          <w:szCs w:val="32"/>
          <w14:textFill>
            <w14:solidFill>
              <w14:schemeClr w14:val="tx1"/>
            </w14:solidFill>
          </w14:textFill>
        </w:rPr>
        <w:t xml:space="preserve"> </w:t>
      </w:r>
      <w:r>
        <w:rPr>
          <w:rStyle w:val="14"/>
          <w:rFonts w:hint="eastAsia" w:ascii="仿宋" w:hAnsi="仿宋" w:eastAsia="仿宋"/>
          <w:b w:val="0"/>
          <w:bCs/>
          <w:color w:val="000000" w:themeColor="text1"/>
          <w:sz w:val="32"/>
          <w:szCs w:val="32"/>
          <w14:textFill>
            <w14:solidFill>
              <w14:schemeClr w14:val="tx1"/>
            </w14:solidFill>
          </w14:textFill>
        </w:rPr>
        <w:t>支出决算数为</w:t>
      </w:r>
      <w:r>
        <w:rPr>
          <w:rStyle w:val="14"/>
          <w:rFonts w:hint="eastAsia" w:ascii="仿宋" w:hAnsi="仿宋" w:eastAsia="仿宋"/>
          <w:b w:val="0"/>
          <w:bCs/>
          <w:color w:val="0000FF"/>
          <w:sz w:val="32"/>
          <w:szCs w:val="32"/>
        </w:rPr>
        <w:t>74万元</w:t>
      </w:r>
      <w:r>
        <w:rPr>
          <w:rStyle w:val="14"/>
          <w:rFonts w:hint="eastAsia" w:ascii="仿宋" w:hAnsi="仿宋" w:eastAsia="仿宋"/>
          <w:b w:val="0"/>
          <w:bCs/>
          <w:color w:val="000000" w:themeColor="text1"/>
          <w:sz w:val="32"/>
          <w:szCs w:val="32"/>
          <w14:textFill>
            <w14:solidFill>
              <w14:schemeClr w14:val="tx1"/>
            </w14:solidFill>
          </w14:textFill>
        </w:rPr>
        <w:t>，完成预算</w:t>
      </w:r>
      <w:r>
        <w:rPr>
          <w:rStyle w:val="14"/>
          <w:rFonts w:hint="eastAsia" w:ascii="仿宋" w:hAnsi="仿宋" w:eastAsia="仿宋"/>
          <w:b w:val="0"/>
          <w:bCs/>
          <w:color w:val="0000FF"/>
          <w:sz w:val="32"/>
          <w:szCs w:val="32"/>
        </w:rPr>
        <w:t>100</w:t>
      </w:r>
      <w:r>
        <w:rPr>
          <w:rStyle w:val="14"/>
          <w:rFonts w:ascii="仿宋" w:hAnsi="仿宋" w:eastAsia="仿宋"/>
          <w:b w:val="0"/>
          <w:bCs/>
          <w:color w:val="0000FF"/>
          <w:sz w:val="32"/>
          <w:szCs w:val="32"/>
        </w:rPr>
        <w:t>%</w:t>
      </w:r>
      <w:r>
        <w:rPr>
          <w:rStyle w:val="14"/>
          <w:rFonts w:hint="eastAsia" w:ascii="仿宋" w:hAnsi="仿宋" w:eastAsia="仿宋"/>
          <w:b w:val="0"/>
          <w:bCs/>
          <w:color w:val="0000FF"/>
          <w:sz w:val="32"/>
          <w:szCs w:val="32"/>
          <w:lang w:eastAsia="zh-CN"/>
        </w:rPr>
        <w:t>。</w:t>
      </w:r>
    </w:p>
    <w:p>
      <w:pPr>
        <w:spacing w:line="600" w:lineRule="exact"/>
        <w:ind w:firstLine="642" w:firstLineChars="200"/>
        <w:rPr>
          <w:rFonts w:ascii="仿宋" w:hAnsi="仿宋" w:eastAsia="仿宋"/>
          <w:b/>
          <w:color w:val="000000" w:themeColor="text1"/>
          <w:sz w:val="32"/>
          <w:szCs w:val="32"/>
          <w14:textFill>
            <w14:solidFill>
              <w14:schemeClr w14:val="tx1"/>
            </w14:solidFill>
          </w14:textFill>
        </w:rPr>
      </w:pPr>
      <w:r>
        <w:rPr>
          <w:rStyle w:val="14"/>
          <w:rFonts w:hint="eastAsia" w:ascii="仿宋" w:hAnsi="仿宋" w:eastAsia="仿宋"/>
          <w:bCs/>
          <w:color w:val="000000" w:themeColor="text1"/>
          <w:sz w:val="32"/>
          <w:szCs w:val="32"/>
          <w14:textFill>
            <w14:solidFill>
              <w14:schemeClr w14:val="tx1"/>
            </w14:solidFill>
          </w14:textFill>
        </w:rPr>
        <w:t>8</w:t>
      </w:r>
      <w:r>
        <w:rPr>
          <w:rStyle w:val="14"/>
          <w:rFonts w:ascii="仿宋" w:hAnsi="仿宋" w:eastAsia="仿宋"/>
          <w:bCs/>
          <w:color w:val="000000" w:themeColor="text1"/>
          <w:sz w:val="32"/>
          <w:szCs w:val="32"/>
          <w14:textFill>
            <w14:solidFill>
              <w14:schemeClr w14:val="tx1"/>
            </w14:solidFill>
          </w14:textFill>
        </w:rPr>
        <w:t>.</w:t>
      </w:r>
      <w:r>
        <w:rPr>
          <w:rFonts w:ascii="仿宋" w:hAnsi="仿宋" w:eastAsia="仿宋"/>
          <w:bCs/>
          <w:color w:val="000000" w:themeColor="text1"/>
          <w:sz w:val="32"/>
          <w:szCs w:val="32"/>
          <w14:textFill>
            <w14:solidFill>
              <w14:schemeClr w14:val="tx1"/>
            </w14:solidFill>
          </w14:textFill>
        </w:rPr>
        <w:t xml:space="preserve"> </w:t>
      </w:r>
      <w:r>
        <w:rPr>
          <w:rStyle w:val="14"/>
          <w:rFonts w:ascii="仿宋" w:hAnsi="仿宋" w:eastAsia="仿宋"/>
          <w:bCs/>
          <w:color w:val="000000" w:themeColor="text1"/>
          <w:sz w:val="32"/>
          <w:szCs w:val="32"/>
          <w14:textFill>
            <w14:solidFill>
              <w14:schemeClr w14:val="tx1"/>
            </w14:solidFill>
          </w14:textFill>
        </w:rPr>
        <w:t>教育支出</w:t>
      </w:r>
      <w:r>
        <w:rPr>
          <w:rStyle w:val="14"/>
          <w:rFonts w:hint="eastAsia" w:ascii="仿宋" w:hAnsi="仿宋" w:eastAsia="仿宋"/>
          <w:bCs/>
          <w:color w:val="000000" w:themeColor="text1"/>
          <w:sz w:val="32"/>
          <w:szCs w:val="32"/>
          <w14:textFill>
            <w14:solidFill>
              <w14:schemeClr w14:val="tx1"/>
            </w14:solidFill>
          </w14:textFill>
        </w:rPr>
        <w:t>（类）普通教育（款）其它普通教育（项）</w:t>
      </w:r>
      <w:r>
        <w:rPr>
          <w:rStyle w:val="14"/>
          <w:rFonts w:ascii="仿宋" w:hAnsi="仿宋" w:eastAsia="仿宋"/>
          <w:bCs/>
          <w:color w:val="000000" w:themeColor="text1"/>
          <w:sz w:val="32"/>
          <w:szCs w:val="32"/>
          <w14:textFill>
            <w14:solidFill>
              <w14:schemeClr w14:val="tx1"/>
            </w14:solidFill>
          </w14:textFill>
        </w:rPr>
        <w:t>:</w:t>
      </w:r>
      <w:r>
        <w:rPr>
          <w:rStyle w:val="14"/>
          <w:rFonts w:ascii="仿宋" w:hAnsi="仿宋" w:eastAsia="仿宋"/>
          <w:b w:val="0"/>
          <w:bCs/>
          <w:color w:val="000000" w:themeColor="text1"/>
          <w:sz w:val="32"/>
          <w:szCs w:val="32"/>
          <w14:textFill>
            <w14:solidFill>
              <w14:schemeClr w14:val="tx1"/>
            </w14:solidFill>
          </w14:textFill>
        </w:rPr>
        <w:t xml:space="preserve"> </w:t>
      </w:r>
      <w:r>
        <w:rPr>
          <w:rStyle w:val="14"/>
          <w:rFonts w:hint="eastAsia" w:ascii="仿宋" w:hAnsi="仿宋" w:eastAsia="仿宋"/>
          <w:b w:val="0"/>
          <w:bCs/>
          <w:color w:val="000000" w:themeColor="text1"/>
          <w:sz w:val="32"/>
          <w:szCs w:val="32"/>
          <w14:textFill>
            <w14:solidFill>
              <w14:schemeClr w14:val="tx1"/>
            </w14:solidFill>
          </w14:textFill>
        </w:rPr>
        <w:t>支出决算数为</w:t>
      </w:r>
      <w:r>
        <w:rPr>
          <w:rStyle w:val="14"/>
          <w:rFonts w:hint="eastAsia" w:ascii="仿宋" w:hAnsi="仿宋" w:eastAsia="仿宋"/>
          <w:b w:val="0"/>
          <w:bCs/>
          <w:color w:val="0000FF"/>
          <w:sz w:val="32"/>
          <w:szCs w:val="32"/>
        </w:rPr>
        <w:t>965.93万元</w:t>
      </w:r>
      <w:r>
        <w:rPr>
          <w:rStyle w:val="14"/>
          <w:rFonts w:hint="eastAsia" w:ascii="仿宋" w:hAnsi="仿宋" w:eastAsia="仿宋"/>
          <w:b w:val="0"/>
          <w:bCs/>
          <w:color w:val="000000" w:themeColor="text1"/>
          <w:sz w:val="32"/>
          <w:szCs w:val="32"/>
          <w14:textFill>
            <w14:solidFill>
              <w14:schemeClr w14:val="tx1"/>
            </w14:solidFill>
          </w14:textFill>
        </w:rPr>
        <w:t>，完成预算</w:t>
      </w:r>
      <w:r>
        <w:rPr>
          <w:rStyle w:val="14"/>
          <w:rFonts w:hint="eastAsia" w:ascii="仿宋" w:hAnsi="仿宋" w:eastAsia="仿宋"/>
          <w:b w:val="0"/>
          <w:bCs/>
          <w:color w:val="0000FF"/>
          <w:sz w:val="32"/>
          <w:szCs w:val="32"/>
        </w:rPr>
        <w:t>68.69%</w:t>
      </w:r>
      <w:r>
        <w:rPr>
          <w:rStyle w:val="14"/>
          <w:rFonts w:hint="eastAsia" w:ascii="仿宋" w:hAnsi="仿宋" w:eastAsia="仿宋"/>
          <w:b w:val="0"/>
          <w:bCs/>
          <w:color w:val="000000" w:themeColor="text1"/>
          <w:sz w:val="32"/>
          <w:szCs w:val="32"/>
          <w14:textFill>
            <w14:solidFill>
              <w14:schemeClr w14:val="tx1"/>
            </w14:solidFill>
          </w14:textFill>
        </w:rPr>
        <w:t>。决算数小于预算数的主要原因</w:t>
      </w:r>
      <w:r>
        <w:rPr>
          <w:rStyle w:val="14"/>
          <w:rFonts w:hint="eastAsia" w:ascii="仿宋" w:hAnsi="仿宋" w:eastAsia="仿宋"/>
          <w:b w:val="0"/>
          <w:bCs/>
          <w:color w:val="0000FF"/>
          <w:sz w:val="32"/>
          <w:szCs w:val="32"/>
        </w:rPr>
        <w:t>一是区财政年末下达</w:t>
      </w:r>
      <w:r>
        <w:rPr>
          <w:rStyle w:val="14"/>
          <w:rFonts w:hint="eastAsia" w:ascii="仿宋" w:hAnsi="仿宋" w:eastAsia="仿宋"/>
          <w:b w:val="0"/>
          <w:bCs/>
          <w:color w:val="0000FF"/>
          <w:sz w:val="32"/>
          <w:szCs w:val="32"/>
          <w:lang w:val="en-US" w:eastAsia="zh-CN"/>
        </w:rPr>
        <w:t>深化教育改革和能力提升</w:t>
      </w:r>
      <w:r>
        <w:rPr>
          <w:rStyle w:val="14"/>
          <w:rFonts w:hint="eastAsia" w:ascii="仿宋" w:hAnsi="仿宋" w:eastAsia="仿宋"/>
          <w:b w:val="0"/>
          <w:bCs/>
          <w:color w:val="0000FF"/>
          <w:sz w:val="32"/>
          <w:szCs w:val="32"/>
        </w:rPr>
        <w:t>等资金结转下年使用；二是区财政年末下达西城初中、建平初中、白朝小学等校热水澡运行维护资金结转下年使用；三是区财政年末下达东城实验学校三名工程和皮划艇项目工作经费结转下年使用；四是区财政年末下达北街小学、北街幼儿园、万达中学等校名师工作室工作经费结转下年使用</w:t>
      </w:r>
      <w:r>
        <w:rPr>
          <w:rStyle w:val="14"/>
          <w:rFonts w:hint="eastAsia" w:ascii="仿宋" w:hAnsi="仿宋" w:eastAsia="仿宋"/>
          <w:b w:val="0"/>
          <w:bCs/>
          <w:color w:val="FF0000"/>
          <w:sz w:val="32"/>
          <w:szCs w:val="32"/>
        </w:rPr>
        <w:t>。</w:t>
      </w:r>
    </w:p>
    <w:p>
      <w:pPr>
        <w:spacing w:line="600" w:lineRule="exact"/>
        <w:ind w:firstLine="642" w:firstLineChars="200"/>
        <w:rPr>
          <w:rStyle w:val="14"/>
          <w:rFonts w:eastAsia="仿宋"/>
          <w:bCs/>
          <w:color w:val="000000" w:themeColor="text1"/>
          <w14:textFill>
            <w14:solidFill>
              <w14:schemeClr w14:val="tx1"/>
            </w14:solidFill>
          </w14:textFill>
        </w:rPr>
      </w:pPr>
      <w:r>
        <w:rPr>
          <w:rStyle w:val="14"/>
          <w:rFonts w:hint="eastAsia" w:ascii="仿宋" w:hAnsi="仿宋" w:eastAsia="仿宋"/>
          <w:bCs/>
          <w:color w:val="000000" w:themeColor="text1"/>
          <w:sz w:val="32"/>
          <w:szCs w:val="32"/>
          <w14:textFill>
            <w14:solidFill>
              <w14:schemeClr w14:val="tx1"/>
            </w14:solidFill>
          </w14:textFill>
        </w:rPr>
        <w:t>9</w:t>
      </w:r>
      <w:r>
        <w:rPr>
          <w:rStyle w:val="14"/>
          <w:rFonts w:ascii="仿宋" w:hAnsi="仿宋" w:eastAsia="仿宋"/>
          <w:bCs/>
          <w:color w:val="000000" w:themeColor="text1"/>
          <w:sz w:val="32"/>
          <w:szCs w:val="32"/>
          <w14:textFill>
            <w14:solidFill>
              <w14:schemeClr w14:val="tx1"/>
            </w14:solidFill>
          </w14:textFill>
        </w:rPr>
        <w:t>.</w:t>
      </w:r>
      <w:r>
        <w:rPr>
          <w:rFonts w:ascii="仿宋" w:hAnsi="仿宋" w:eastAsia="仿宋"/>
          <w:bCs/>
          <w:color w:val="000000" w:themeColor="text1"/>
          <w:sz w:val="32"/>
          <w:szCs w:val="32"/>
          <w14:textFill>
            <w14:solidFill>
              <w14:schemeClr w14:val="tx1"/>
            </w14:solidFill>
          </w14:textFill>
        </w:rPr>
        <w:t xml:space="preserve"> </w:t>
      </w:r>
      <w:r>
        <w:rPr>
          <w:rStyle w:val="14"/>
          <w:rFonts w:ascii="仿宋" w:hAnsi="仿宋" w:eastAsia="仿宋"/>
          <w:bCs/>
          <w:color w:val="000000" w:themeColor="text1"/>
          <w:sz w:val="32"/>
          <w:szCs w:val="32"/>
          <w14:textFill>
            <w14:solidFill>
              <w14:schemeClr w14:val="tx1"/>
            </w14:solidFill>
          </w14:textFill>
        </w:rPr>
        <w:t>教育支出</w:t>
      </w:r>
      <w:r>
        <w:rPr>
          <w:rStyle w:val="14"/>
          <w:rFonts w:hint="eastAsia" w:ascii="仿宋" w:hAnsi="仿宋" w:eastAsia="仿宋"/>
          <w:bCs/>
          <w:color w:val="000000" w:themeColor="text1"/>
          <w:sz w:val="32"/>
          <w:szCs w:val="32"/>
          <w14:textFill>
            <w14:solidFill>
              <w14:schemeClr w14:val="tx1"/>
            </w14:solidFill>
          </w14:textFill>
        </w:rPr>
        <w:t>（类）职业教育（款）中等职业教育（项）</w:t>
      </w:r>
      <w:r>
        <w:rPr>
          <w:rStyle w:val="14"/>
          <w:rFonts w:ascii="仿宋" w:hAnsi="仿宋" w:eastAsia="仿宋"/>
          <w:bCs/>
          <w:color w:val="000000" w:themeColor="text1"/>
          <w:sz w:val="32"/>
          <w:szCs w:val="32"/>
          <w14:textFill>
            <w14:solidFill>
              <w14:schemeClr w14:val="tx1"/>
            </w14:solidFill>
          </w14:textFill>
        </w:rPr>
        <w:t>:</w:t>
      </w:r>
      <w:r>
        <w:rPr>
          <w:rStyle w:val="14"/>
          <w:rFonts w:ascii="仿宋" w:hAnsi="仿宋" w:eastAsia="仿宋"/>
          <w:b w:val="0"/>
          <w:bCs/>
          <w:color w:val="000000" w:themeColor="text1"/>
          <w:sz w:val="32"/>
          <w:szCs w:val="32"/>
          <w14:textFill>
            <w14:solidFill>
              <w14:schemeClr w14:val="tx1"/>
            </w14:solidFill>
          </w14:textFill>
        </w:rPr>
        <w:t xml:space="preserve"> </w:t>
      </w:r>
      <w:r>
        <w:rPr>
          <w:rStyle w:val="14"/>
          <w:rFonts w:hint="eastAsia" w:ascii="仿宋" w:hAnsi="仿宋" w:eastAsia="仿宋"/>
          <w:b w:val="0"/>
          <w:bCs/>
          <w:color w:val="000000" w:themeColor="text1"/>
          <w:sz w:val="32"/>
          <w:szCs w:val="32"/>
          <w14:textFill>
            <w14:solidFill>
              <w14:schemeClr w14:val="tx1"/>
            </w14:solidFill>
          </w14:textFill>
        </w:rPr>
        <w:t>支出决算数为</w:t>
      </w:r>
      <w:r>
        <w:rPr>
          <w:rStyle w:val="14"/>
          <w:rFonts w:hint="eastAsia" w:ascii="仿宋" w:hAnsi="仿宋" w:eastAsia="仿宋"/>
          <w:b w:val="0"/>
          <w:bCs/>
          <w:color w:val="0000FF"/>
          <w:sz w:val="32"/>
          <w:szCs w:val="32"/>
        </w:rPr>
        <w:t>795.37万元</w:t>
      </w:r>
      <w:r>
        <w:rPr>
          <w:rStyle w:val="14"/>
          <w:rFonts w:hint="eastAsia" w:ascii="仿宋" w:hAnsi="仿宋" w:eastAsia="仿宋"/>
          <w:b w:val="0"/>
          <w:bCs/>
          <w:color w:val="000000" w:themeColor="text1"/>
          <w:sz w:val="32"/>
          <w:szCs w:val="32"/>
          <w14:textFill>
            <w14:solidFill>
              <w14:schemeClr w14:val="tx1"/>
            </w14:solidFill>
          </w14:textFill>
        </w:rPr>
        <w:t>，完成预算</w:t>
      </w:r>
      <w:r>
        <w:rPr>
          <w:rStyle w:val="14"/>
          <w:rFonts w:hint="eastAsia" w:ascii="仿宋" w:hAnsi="仿宋" w:eastAsia="仿宋"/>
          <w:b w:val="0"/>
          <w:bCs/>
          <w:color w:val="0000FF"/>
          <w:sz w:val="32"/>
          <w:szCs w:val="32"/>
        </w:rPr>
        <w:t>93.49%</w:t>
      </w:r>
      <w:r>
        <w:rPr>
          <w:rStyle w:val="14"/>
          <w:rFonts w:hint="eastAsia" w:ascii="仿宋" w:hAnsi="仿宋" w:eastAsia="仿宋"/>
          <w:b w:val="0"/>
          <w:bCs/>
          <w:color w:val="000000" w:themeColor="text1"/>
          <w:sz w:val="32"/>
          <w:szCs w:val="32"/>
          <w14:textFill>
            <w14:solidFill>
              <w14:schemeClr w14:val="tx1"/>
            </w14:solidFill>
          </w14:textFill>
        </w:rPr>
        <w:t>。决算数小于预算数的主要原因</w:t>
      </w:r>
      <w:r>
        <w:rPr>
          <w:rStyle w:val="14"/>
          <w:rFonts w:hint="eastAsia" w:ascii="仿宋" w:hAnsi="仿宋" w:eastAsia="仿宋"/>
          <w:b w:val="0"/>
          <w:bCs/>
          <w:color w:val="000000" w:themeColor="text1"/>
          <w:sz w:val="32"/>
          <w:szCs w:val="32"/>
          <w:lang w:val="en-US" w:eastAsia="zh-CN"/>
          <w14:textFill>
            <w14:solidFill>
              <w14:schemeClr w14:val="tx1"/>
            </w14:solidFill>
          </w14:textFill>
        </w:rPr>
        <w:t>是</w:t>
      </w:r>
      <w:r>
        <w:rPr>
          <w:rStyle w:val="14"/>
          <w:rFonts w:hint="eastAsia" w:ascii="仿宋" w:hAnsi="仿宋" w:eastAsia="仿宋"/>
          <w:b w:val="0"/>
          <w:bCs/>
          <w:color w:val="0000FF"/>
          <w:sz w:val="32"/>
          <w:szCs w:val="32"/>
        </w:rPr>
        <w:t>教师奖励性绩效工资结转次年元月发放。</w:t>
      </w:r>
    </w:p>
    <w:p>
      <w:pPr>
        <w:spacing w:line="600" w:lineRule="exact"/>
        <w:ind w:firstLine="642" w:firstLineChars="200"/>
        <w:rPr>
          <w:rStyle w:val="14"/>
          <w:rFonts w:ascii="仿宋" w:hAnsi="仿宋" w:eastAsia="仿宋"/>
          <w:b w:val="0"/>
          <w:bCs/>
          <w:color w:val="000000" w:themeColor="text1"/>
          <w:sz w:val="32"/>
          <w:szCs w:val="32"/>
          <w14:textFill>
            <w14:solidFill>
              <w14:schemeClr w14:val="tx1"/>
            </w14:solidFill>
          </w14:textFill>
        </w:rPr>
      </w:pPr>
      <w:r>
        <w:rPr>
          <w:rStyle w:val="14"/>
          <w:rFonts w:hint="eastAsia" w:ascii="仿宋" w:hAnsi="仿宋" w:eastAsia="仿宋"/>
          <w:bCs/>
          <w:color w:val="000000" w:themeColor="text1"/>
          <w:sz w:val="32"/>
          <w:szCs w:val="32"/>
          <w14:textFill>
            <w14:solidFill>
              <w14:schemeClr w14:val="tx1"/>
            </w14:solidFill>
          </w14:textFill>
        </w:rPr>
        <w:t>10</w:t>
      </w:r>
      <w:r>
        <w:rPr>
          <w:rStyle w:val="14"/>
          <w:rFonts w:ascii="仿宋" w:hAnsi="仿宋" w:eastAsia="仿宋"/>
          <w:bCs/>
          <w:color w:val="000000" w:themeColor="text1"/>
          <w:sz w:val="32"/>
          <w:szCs w:val="32"/>
          <w14:textFill>
            <w14:solidFill>
              <w14:schemeClr w14:val="tx1"/>
            </w14:solidFill>
          </w14:textFill>
        </w:rPr>
        <w:t>.</w:t>
      </w:r>
      <w:r>
        <w:rPr>
          <w:rFonts w:ascii="仿宋" w:hAnsi="仿宋" w:eastAsia="仿宋"/>
          <w:bCs/>
          <w:color w:val="000000" w:themeColor="text1"/>
          <w:sz w:val="32"/>
          <w:szCs w:val="32"/>
          <w14:textFill>
            <w14:solidFill>
              <w14:schemeClr w14:val="tx1"/>
            </w14:solidFill>
          </w14:textFill>
        </w:rPr>
        <w:t xml:space="preserve"> </w:t>
      </w:r>
      <w:r>
        <w:rPr>
          <w:rStyle w:val="14"/>
          <w:rFonts w:ascii="仿宋" w:hAnsi="仿宋" w:eastAsia="仿宋"/>
          <w:bCs/>
          <w:color w:val="000000" w:themeColor="text1"/>
          <w:sz w:val="32"/>
          <w:szCs w:val="32"/>
          <w14:textFill>
            <w14:solidFill>
              <w14:schemeClr w14:val="tx1"/>
            </w14:solidFill>
          </w14:textFill>
        </w:rPr>
        <w:t>教育支出</w:t>
      </w:r>
      <w:r>
        <w:rPr>
          <w:rStyle w:val="14"/>
          <w:rFonts w:hint="eastAsia" w:ascii="仿宋" w:hAnsi="仿宋" w:eastAsia="仿宋"/>
          <w:bCs/>
          <w:color w:val="000000" w:themeColor="text1"/>
          <w:sz w:val="32"/>
          <w:szCs w:val="32"/>
          <w14:textFill>
            <w14:solidFill>
              <w14:schemeClr w14:val="tx1"/>
            </w14:solidFill>
          </w14:textFill>
        </w:rPr>
        <w:t>（类）职业教育（款）技校教育（项）</w:t>
      </w:r>
      <w:r>
        <w:rPr>
          <w:rStyle w:val="14"/>
          <w:rFonts w:ascii="仿宋" w:hAnsi="仿宋" w:eastAsia="仿宋"/>
          <w:bCs/>
          <w:color w:val="000000" w:themeColor="text1"/>
          <w:sz w:val="32"/>
          <w:szCs w:val="32"/>
          <w14:textFill>
            <w14:solidFill>
              <w14:schemeClr w14:val="tx1"/>
            </w14:solidFill>
          </w14:textFill>
        </w:rPr>
        <w:t>:</w:t>
      </w:r>
      <w:r>
        <w:rPr>
          <w:rStyle w:val="14"/>
          <w:rFonts w:hint="eastAsia" w:ascii="仿宋" w:hAnsi="仿宋" w:eastAsia="仿宋"/>
          <w:b w:val="0"/>
          <w:bCs/>
          <w:color w:val="000000" w:themeColor="text1"/>
          <w:sz w:val="32"/>
          <w:szCs w:val="32"/>
          <w14:textFill>
            <w14:solidFill>
              <w14:schemeClr w14:val="tx1"/>
            </w14:solidFill>
          </w14:textFill>
        </w:rPr>
        <w:t>支出决算数为</w:t>
      </w:r>
      <w:r>
        <w:rPr>
          <w:rStyle w:val="14"/>
          <w:rFonts w:hint="eastAsia" w:ascii="仿宋" w:hAnsi="仿宋" w:eastAsia="仿宋"/>
          <w:b w:val="0"/>
          <w:bCs/>
          <w:color w:val="0000FF"/>
          <w:sz w:val="32"/>
          <w:szCs w:val="32"/>
        </w:rPr>
        <w:t>2.68万元</w:t>
      </w:r>
      <w:r>
        <w:rPr>
          <w:rStyle w:val="14"/>
          <w:rFonts w:hint="eastAsia" w:ascii="仿宋" w:hAnsi="仿宋" w:eastAsia="仿宋"/>
          <w:b w:val="0"/>
          <w:bCs/>
          <w:color w:val="000000" w:themeColor="text1"/>
          <w:sz w:val="32"/>
          <w:szCs w:val="32"/>
          <w14:textFill>
            <w14:solidFill>
              <w14:schemeClr w14:val="tx1"/>
            </w14:solidFill>
          </w14:textFill>
        </w:rPr>
        <w:t>，完成预算</w:t>
      </w:r>
      <w:r>
        <w:rPr>
          <w:rStyle w:val="14"/>
          <w:rFonts w:hint="eastAsia" w:ascii="仿宋" w:hAnsi="仿宋" w:eastAsia="仿宋"/>
          <w:b w:val="0"/>
          <w:bCs/>
          <w:color w:val="0000FF"/>
          <w:sz w:val="32"/>
          <w:szCs w:val="32"/>
        </w:rPr>
        <w:t>100%</w:t>
      </w:r>
      <w:r>
        <w:rPr>
          <w:rStyle w:val="14"/>
          <w:rFonts w:hint="eastAsia" w:ascii="仿宋" w:hAnsi="仿宋" w:eastAsia="仿宋"/>
          <w:b w:val="0"/>
          <w:bCs/>
          <w:color w:val="000000" w:themeColor="text1"/>
          <w:sz w:val="32"/>
          <w:szCs w:val="32"/>
          <w14:textFill>
            <w14:solidFill>
              <w14:schemeClr w14:val="tx1"/>
            </w14:solidFill>
          </w14:textFill>
        </w:rPr>
        <w:t>。</w:t>
      </w:r>
    </w:p>
    <w:p>
      <w:pPr>
        <w:spacing w:line="600" w:lineRule="exact"/>
        <w:ind w:firstLine="642" w:firstLineChars="200"/>
        <w:rPr>
          <w:rStyle w:val="14"/>
          <w:rFonts w:ascii="仿宋" w:hAnsi="仿宋" w:eastAsia="仿宋"/>
          <w:b w:val="0"/>
          <w:bCs/>
          <w:color w:val="000000" w:themeColor="text1"/>
          <w:sz w:val="32"/>
          <w:szCs w:val="32"/>
          <w14:textFill>
            <w14:solidFill>
              <w14:schemeClr w14:val="tx1"/>
            </w14:solidFill>
          </w14:textFill>
        </w:rPr>
      </w:pPr>
      <w:r>
        <w:rPr>
          <w:rStyle w:val="14"/>
          <w:rFonts w:hint="eastAsia" w:ascii="仿宋" w:hAnsi="仿宋" w:eastAsia="仿宋"/>
          <w:bCs/>
          <w:color w:val="000000" w:themeColor="text1"/>
          <w:sz w:val="32"/>
          <w:szCs w:val="32"/>
          <w14:textFill>
            <w14:solidFill>
              <w14:schemeClr w14:val="tx1"/>
            </w14:solidFill>
          </w14:textFill>
        </w:rPr>
        <w:t>11</w:t>
      </w:r>
      <w:r>
        <w:rPr>
          <w:rStyle w:val="14"/>
          <w:rFonts w:ascii="仿宋" w:hAnsi="仿宋" w:eastAsia="仿宋"/>
          <w:bCs/>
          <w:color w:val="000000" w:themeColor="text1"/>
          <w:sz w:val="32"/>
          <w:szCs w:val="32"/>
          <w14:textFill>
            <w14:solidFill>
              <w14:schemeClr w14:val="tx1"/>
            </w14:solidFill>
          </w14:textFill>
        </w:rPr>
        <w:t>.</w:t>
      </w:r>
      <w:r>
        <w:rPr>
          <w:rFonts w:ascii="仿宋" w:hAnsi="仿宋" w:eastAsia="仿宋"/>
          <w:bCs/>
          <w:color w:val="000000" w:themeColor="text1"/>
          <w:sz w:val="32"/>
          <w:szCs w:val="32"/>
          <w14:textFill>
            <w14:solidFill>
              <w14:schemeClr w14:val="tx1"/>
            </w14:solidFill>
          </w14:textFill>
        </w:rPr>
        <w:t xml:space="preserve"> </w:t>
      </w:r>
      <w:r>
        <w:rPr>
          <w:rStyle w:val="14"/>
          <w:rFonts w:ascii="仿宋" w:hAnsi="仿宋" w:eastAsia="仿宋"/>
          <w:bCs/>
          <w:color w:val="000000" w:themeColor="text1"/>
          <w:sz w:val="32"/>
          <w:szCs w:val="32"/>
          <w14:textFill>
            <w14:solidFill>
              <w14:schemeClr w14:val="tx1"/>
            </w14:solidFill>
          </w14:textFill>
        </w:rPr>
        <w:t>教育支出</w:t>
      </w:r>
      <w:r>
        <w:rPr>
          <w:rStyle w:val="14"/>
          <w:rFonts w:hint="eastAsia" w:ascii="仿宋" w:hAnsi="仿宋" w:eastAsia="仿宋"/>
          <w:bCs/>
          <w:color w:val="000000" w:themeColor="text1"/>
          <w:sz w:val="32"/>
          <w:szCs w:val="32"/>
          <w14:textFill>
            <w14:solidFill>
              <w14:schemeClr w14:val="tx1"/>
            </w14:solidFill>
          </w14:textFill>
        </w:rPr>
        <w:t>（类）职业教育（款）高等职业教育（项）</w:t>
      </w:r>
      <w:r>
        <w:rPr>
          <w:rStyle w:val="14"/>
          <w:rFonts w:ascii="仿宋" w:hAnsi="仿宋" w:eastAsia="仿宋"/>
          <w:bCs/>
          <w:color w:val="000000" w:themeColor="text1"/>
          <w:sz w:val="32"/>
          <w:szCs w:val="32"/>
          <w14:textFill>
            <w14:solidFill>
              <w14:schemeClr w14:val="tx1"/>
            </w14:solidFill>
          </w14:textFill>
        </w:rPr>
        <w:t>:</w:t>
      </w:r>
      <w:r>
        <w:rPr>
          <w:rStyle w:val="14"/>
          <w:rFonts w:hint="eastAsia" w:ascii="仿宋" w:hAnsi="仿宋" w:eastAsia="仿宋"/>
          <w:b w:val="0"/>
          <w:bCs/>
          <w:color w:val="000000" w:themeColor="text1"/>
          <w:sz w:val="32"/>
          <w:szCs w:val="32"/>
          <w14:textFill>
            <w14:solidFill>
              <w14:schemeClr w14:val="tx1"/>
            </w14:solidFill>
          </w14:textFill>
        </w:rPr>
        <w:t>支出决算数为</w:t>
      </w:r>
      <w:r>
        <w:rPr>
          <w:rStyle w:val="14"/>
          <w:rFonts w:hint="eastAsia" w:ascii="仿宋" w:hAnsi="仿宋" w:eastAsia="仿宋"/>
          <w:b w:val="0"/>
          <w:bCs/>
          <w:color w:val="0000FF"/>
          <w:sz w:val="32"/>
          <w:szCs w:val="32"/>
        </w:rPr>
        <w:t>78.7万元</w:t>
      </w:r>
      <w:r>
        <w:rPr>
          <w:rStyle w:val="14"/>
          <w:rFonts w:hint="eastAsia" w:ascii="仿宋" w:hAnsi="仿宋" w:eastAsia="仿宋"/>
          <w:b w:val="0"/>
          <w:bCs/>
          <w:color w:val="000000" w:themeColor="text1"/>
          <w:sz w:val="32"/>
          <w:szCs w:val="32"/>
          <w14:textFill>
            <w14:solidFill>
              <w14:schemeClr w14:val="tx1"/>
            </w14:solidFill>
          </w14:textFill>
        </w:rPr>
        <w:t>，完成预算</w:t>
      </w:r>
      <w:r>
        <w:rPr>
          <w:rStyle w:val="14"/>
          <w:rFonts w:hint="eastAsia" w:ascii="仿宋" w:hAnsi="仿宋" w:eastAsia="仿宋"/>
          <w:b w:val="0"/>
          <w:bCs/>
          <w:color w:val="0000FF"/>
          <w:sz w:val="32"/>
          <w:szCs w:val="32"/>
        </w:rPr>
        <w:t>100%</w:t>
      </w:r>
      <w:r>
        <w:rPr>
          <w:rStyle w:val="14"/>
          <w:rFonts w:hint="eastAsia" w:ascii="仿宋" w:hAnsi="仿宋" w:eastAsia="仿宋"/>
          <w:b w:val="0"/>
          <w:bCs/>
          <w:color w:val="000000" w:themeColor="text1"/>
          <w:sz w:val="32"/>
          <w:szCs w:val="32"/>
          <w14:textFill>
            <w14:solidFill>
              <w14:schemeClr w14:val="tx1"/>
            </w14:solidFill>
          </w14:textFill>
        </w:rPr>
        <w:t>。</w:t>
      </w:r>
    </w:p>
    <w:p>
      <w:pPr>
        <w:spacing w:line="600" w:lineRule="exact"/>
        <w:ind w:firstLine="642" w:firstLineChars="200"/>
        <w:rPr>
          <w:rStyle w:val="14"/>
          <w:rFonts w:ascii="仿宋" w:hAnsi="仿宋" w:eastAsia="仿宋"/>
          <w:b w:val="0"/>
          <w:bCs/>
          <w:color w:val="FF0000"/>
          <w:sz w:val="32"/>
          <w:szCs w:val="32"/>
        </w:rPr>
      </w:pPr>
      <w:r>
        <w:rPr>
          <w:rStyle w:val="14"/>
          <w:rFonts w:hint="eastAsia" w:ascii="仿宋" w:hAnsi="仿宋" w:eastAsia="仿宋"/>
          <w:bCs/>
          <w:color w:val="000000" w:themeColor="text1"/>
          <w:sz w:val="32"/>
          <w:szCs w:val="32"/>
          <w14:textFill>
            <w14:solidFill>
              <w14:schemeClr w14:val="tx1"/>
            </w14:solidFill>
          </w14:textFill>
        </w:rPr>
        <w:t xml:space="preserve">12. </w:t>
      </w:r>
      <w:r>
        <w:rPr>
          <w:rStyle w:val="14"/>
          <w:rFonts w:ascii="仿宋" w:hAnsi="仿宋" w:eastAsia="仿宋"/>
          <w:bCs/>
          <w:color w:val="000000" w:themeColor="text1"/>
          <w:sz w:val="32"/>
          <w:szCs w:val="32"/>
          <w14:textFill>
            <w14:solidFill>
              <w14:schemeClr w14:val="tx1"/>
            </w14:solidFill>
          </w14:textFill>
        </w:rPr>
        <w:t>教育支出</w:t>
      </w:r>
      <w:r>
        <w:rPr>
          <w:rStyle w:val="14"/>
          <w:rFonts w:hint="eastAsia" w:ascii="仿宋" w:hAnsi="仿宋" w:eastAsia="仿宋"/>
          <w:bCs/>
          <w:color w:val="000000" w:themeColor="text1"/>
          <w:sz w:val="32"/>
          <w:szCs w:val="32"/>
          <w14:textFill>
            <w14:solidFill>
              <w14:schemeClr w14:val="tx1"/>
            </w14:solidFill>
          </w14:textFill>
        </w:rPr>
        <w:t>（类）特殊教育（款）特殊学校教育（项）：</w:t>
      </w:r>
      <w:r>
        <w:rPr>
          <w:rStyle w:val="14"/>
          <w:rFonts w:hint="eastAsia" w:ascii="仿宋" w:hAnsi="仿宋" w:eastAsia="仿宋"/>
          <w:b w:val="0"/>
          <w:bCs/>
          <w:color w:val="000000" w:themeColor="text1"/>
          <w:sz w:val="32"/>
          <w:szCs w:val="32"/>
          <w14:textFill>
            <w14:solidFill>
              <w14:schemeClr w14:val="tx1"/>
            </w14:solidFill>
          </w14:textFill>
        </w:rPr>
        <w:t>支出决算数为</w:t>
      </w:r>
      <w:r>
        <w:rPr>
          <w:rStyle w:val="14"/>
          <w:rFonts w:hint="eastAsia" w:ascii="仿宋" w:hAnsi="仿宋" w:eastAsia="仿宋"/>
          <w:b w:val="0"/>
          <w:bCs/>
          <w:color w:val="0000FF"/>
          <w:sz w:val="32"/>
          <w:szCs w:val="32"/>
        </w:rPr>
        <w:t>317.53万元</w:t>
      </w:r>
      <w:r>
        <w:rPr>
          <w:rStyle w:val="14"/>
          <w:rFonts w:hint="eastAsia" w:ascii="仿宋" w:hAnsi="仿宋" w:eastAsia="仿宋"/>
          <w:b w:val="0"/>
          <w:bCs/>
          <w:color w:val="000000" w:themeColor="text1"/>
          <w:sz w:val="32"/>
          <w:szCs w:val="32"/>
          <w14:textFill>
            <w14:solidFill>
              <w14:schemeClr w14:val="tx1"/>
            </w14:solidFill>
          </w14:textFill>
        </w:rPr>
        <w:t>，完成预算</w:t>
      </w:r>
      <w:r>
        <w:rPr>
          <w:rStyle w:val="14"/>
          <w:rFonts w:hint="eastAsia" w:ascii="仿宋" w:hAnsi="仿宋" w:eastAsia="仿宋"/>
          <w:b w:val="0"/>
          <w:bCs/>
          <w:color w:val="0000FF"/>
          <w:sz w:val="32"/>
          <w:szCs w:val="32"/>
        </w:rPr>
        <w:t>85.25%</w:t>
      </w:r>
      <w:r>
        <w:rPr>
          <w:rStyle w:val="14"/>
          <w:rFonts w:hint="eastAsia" w:ascii="仿宋" w:hAnsi="仿宋" w:eastAsia="仿宋"/>
          <w:b w:val="0"/>
          <w:bCs/>
          <w:color w:val="000000" w:themeColor="text1"/>
          <w:sz w:val="32"/>
          <w:szCs w:val="32"/>
          <w14:textFill>
            <w14:solidFill>
              <w14:schemeClr w14:val="tx1"/>
            </w14:solidFill>
          </w14:textFill>
        </w:rPr>
        <w:t>。决算数小于预算数的主要原因</w:t>
      </w:r>
      <w:r>
        <w:rPr>
          <w:rStyle w:val="14"/>
          <w:rFonts w:hint="eastAsia" w:ascii="仿宋" w:hAnsi="仿宋" w:eastAsia="仿宋"/>
          <w:b w:val="0"/>
          <w:bCs/>
          <w:color w:val="0000FF"/>
          <w:sz w:val="32"/>
          <w:szCs w:val="32"/>
        </w:rPr>
        <w:t>一是教师奖励性绩效工资结转次年元月发放；二是特殊教育学校教学设施采购项目正在实施，项目资金结转下年使用。</w:t>
      </w:r>
    </w:p>
    <w:p>
      <w:pPr>
        <w:spacing w:line="600" w:lineRule="exact"/>
        <w:ind w:firstLine="642" w:firstLineChars="200"/>
        <w:rPr>
          <w:rStyle w:val="14"/>
          <w:rFonts w:ascii="仿宋" w:hAnsi="仿宋" w:eastAsia="仿宋"/>
          <w:b w:val="0"/>
          <w:bCs/>
          <w:color w:val="FF0000"/>
          <w:sz w:val="32"/>
          <w:szCs w:val="32"/>
        </w:rPr>
      </w:pPr>
      <w:r>
        <w:rPr>
          <w:rStyle w:val="14"/>
          <w:rFonts w:hint="eastAsia" w:ascii="仿宋" w:hAnsi="仿宋" w:eastAsia="仿宋"/>
          <w:bCs/>
          <w:color w:val="000000" w:themeColor="text1"/>
          <w:sz w:val="32"/>
          <w:szCs w:val="32"/>
          <w14:textFill>
            <w14:solidFill>
              <w14:schemeClr w14:val="tx1"/>
            </w14:solidFill>
          </w14:textFill>
        </w:rPr>
        <w:t xml:space="preserve">13. </w:t>
      </w:r>
      <w:r>
        <w:rPr>
          <w:rStyle w:val="14"/>
          <w:rFonts w:ascii="仿宋" w:hAnsi="仿宋" w:eastAsia="仿宋"/>
          <w:bCs/>
          <w:color w:val="000000" w:themeColor="text1"/>
          <w:sz w:val="32"/>
          <w:szCs w:val="32"/>
          <w14:textFill>
            <w14:solidFill>
              <w14:schemeClr w14:val="tx1"/>
            </w14:solidFill>
          </w14:textFill>
        </w:rPr>
        <w:t>教育支出</w:t>
      </w:r>
      <w:r>
        <w:rPr>
          <w:rStyle w:val="14"/>
          <w:rFonts w:hint="eastAsia" w:ascii="仿宋" w:hAnsi="仿宋" w:eastAsia="仿宋"/>
          <w:bCs/>
          <w:color w:val="000000" w:themeColor="text1"/>
          <w:sz w:val="32"/>
          <w:szCs w:val="32"/>
          <w14:textFill>
            <w14:solidFill>
              <w14:schemeClr w14:val="tx1"/>
            </w14:solidFill>
          </w14:textFill>
        </w:rPr>
        <w:t>（类）特殊教育（款）工读学校教育（项）：</w:t>
      </w:r>
      <w:r>
        <w:rPr>
          <w:rStyle w:val="14"/>
          <w:rFonts w:hint="eastAsia" w:ascii="仿宋" w:hAnsi="仿宋" w:eastAsia="仿宋"/>
          <w:b w:val="0"/>
          <w:bCs/>
          <w:color w:val="000000" w:themeColor="text1"/>
          <w:sz w:val="32"/>
          <w:szCs w:val="32"/>
          <w14:textFill>
            <w14:solidFill>
              <w14:schemeClr w14:val="tx1"/>
            </w14:solidFill>
          </w14:textFill>
        </w:rPr>
        <w:t>支出决算数为</w:t>
      </w:r>
      <w:r>
        <w:rPr>
          <w:rStyle w:val="14"/>
          <w:rFonts w:hint="eastAsia" w:ascii="仿宋" w:hAnsi="仿宋" w:eastAsia="仿宋"/>
          <w:b w:val="0"/>
          <w:bCs/>
          <w:color w:val="0000FF"/>
          <w:sz w:val="32"/>
          <w:szCs w:val="32"/>
        </w:rPr>
        <w:t>219.78万元</w:t>
      </w:r>
      <w:r>
        <w:rPr>
          <w:rStyle w:val="14"/>
          <w:rFonts w:hint="eastAsia" w:ascii="仿宋" w:hAnsi="仿宋" w:eastAsia="仿宋"/>
          <w:b w:val="0"/>
          <w:bCs/>
          <w:color w:val="000000" w:themeColor="text1"/>
          <w:sz w:val="32"/>
          <w:szCs w:val="32"/>
          <w14:textFill>
            <w14:solidFill>
              <w14:schemeClr w14:val="tx1"/>
            </w14:solidFill>
          </w14:textFill>
        </w:rPr>
        <w:t>，完成预算</w:t>
      </w:r>
      <w:r>
        <w:rPr>
          <w:rStyle w:val="14"/>
          <w:rFonts w:hint="eastAsia" w:ascii="仿宋" w:hAnsi="仿宋" w:eastAsia="仿宋"/>
          <w:b w:val="0"/>
          <w:bCs/>
          <w:color w:val="0000FF"/>
          <w:sz w:val="32"/>
          <w:szCs w:val="32"/>
        </w:rPr>
        <w:t>74.73%</w:t>
      </w:r>
      <w:r>
        <w:rPr>
          <w:rStyle w:val="14"/>
          <w:rFonts w:hint="eastAsia" w:ascii="仿宋" w:hAnsi="仿宋" w:eastAsia="仿宋"/>
          <w:b w:val="0"/>
          <w:bCs/>
          <w:color w:val="000000" w:themeColor="text1"/>
          <w:sz w:val="32"/>
          <w:szCs w:val="32"/>
          <w14:textFill>
            <w14:solidFill>
              <w14:schemeClr w14:val="tx1"/>
            </w14:solidFill>
          </w14:textFill>
        </w:rPr>
        <w:t>。决算数小于预算数的主要原因</w:t>
      </w:r>
      <w:r>
        <w:rPr>
          <w:rStyle w:val="14"/>
          <w:rFonts w:hint="eastAsia" w:ascii="仿宋" w:hAnsi="仿宋" w:eastAsia="仿宋"/>
          <w:b w:val="0"/>
          <w:bCs/>
          <w:color w:val="0000FF"/>
          <w:sz w:val="32"/>
          <w:szCs w:val="32"/>
        </w:rPr>
        <w:t>教师奖励性绩效工资结转至次年元月发放。</w:t>
      </w:r>
    </w:p>
    <w:p>
      <w:pPr>
        <w:spacing w:line="600" w:lineRule="exact"/>
        <w:ind w:firstLine="642" w:firstLineChars="200"/>
        <w:rPr>
          <w:rStyle w:val="14"/>
          <w:rFonts w:ascii="仿宋" w:hAnsi="仿宋" w:eastAsia="仿宋"/>
          <w:bCs/>
          <w:color w:val="000000" w:themeColor="text1"/>
          <w:sz w:val="32"/>
          <w:szCs w:val="32"/>
          <w14:textFill>
            <w14:solidFill>
              <w14:schemeClr w14:val="tx1"/>
            </w14:solidFill>
          </w14:textFill>
        </w:rPr>
      </w:pPr>
      <w:r>
        <w:rPr>
          <w:rStyle w:val="14"/>
          <w:rFonts w:hint="eastAsia" w:ascii="仿宋" w:hAnsi="仿宋" w:eastAsia="仿宋"/>
          <w:bCs/>
          <w:color w:val="000000" w:themeColor="text1"/>
          <w:sz w:val="32"/>
          <w:szCs w:val="32"/>
          <w14:textFill>
            <w14:solidFill>
              <w14:schemeClr w14:val="tx1"/>
            </w14:solidFill>
          </w14:textFill>
        </w:rPr>
        <w:t>14.</w:t>
      </w:r>
      <w:r>
        <w:rPr>
          <w:rFonts w:ascii="仿宋" w:hAnsi="仿宋" w:eastAsia="仿宋"/>
          <w:bCs/>
          <w:color w:val="000000" w:themeColor="text1"/>
          <w:sz w:val="32"/>
          <w:szCs w:val="32"/>
          <w14:textFill>
            <w14:solidFill>
              <w14:schemeClr w14:val="tx1"/>
            </w14:solidFill>
          </w14:textFill>
        </w:rPr>
        <w:t xml:space="preserve"> </w:t>
      </w:r>
      <w:r>
        <w:rPr>
          <w:rStyle w:val="14"/>
          <w:rFonts w:ascii="仿宋" w:hAnsi="仿宋" w:eastAsia="仿宋"/>
          <w:bCs/>
          <w:color w:val="000000" w:themeColor="text1"/>
          <w:sz w:val="32"/>
          <w:szCs w:val="32"/>
          <w14:textFill>
            <w14:solidFill>
              <w14:schemeClr w14:val="tx1"/>
            </w14:solidFill>
          </w14:textFill>
        </w:rPr>
        <w:t>教育支出</w:t>
      </w:r>
      <w:r>
        <w:rPr>
          <w:rStyle w:val="14"/>
          <w:rFonts w:hint="eastAsia" w:ascii="仿宋" w:hAnsi="仿宋" w:eastAsia="仿宋"/>
          <w:bCs/>
          <w:color w:val="000000" w:themeColor="text1"/>
          <w:sz w:val="32"/>
          <w:szCs w:val="32"/>
          <w14:textFill>
            <w14:solidFill>
              <w14:schemeClr w14:val="tx1"/>
            </w14:solidFill>
          </w14:textFill>
        </w:rPr>
        <w:t>（类）教育附加费安排的支出（款）农村中小学校舍建设（项）</w:t>
      </w:r>
      <w:r>
        <w:rPr>
          <w:rStyle w:val="14"/>
          <w:rFonts w:ascii="仿宋" w:hAnsi="仿宋" w:eastAsia="仿宋"/>
          <w:bCs/>
          <w:color w:val="000000" w:themeColor="text1"/>
          <w:sz w:val="32"/>
          <w:szCs w:val="32"/>
          <w14:textFill>
            <w14:solidFill>
              <w14:schemeClr w14:val="tx1"/>
            </w14:solidFill>
          </w14:textFill>
        </w:rPr>
        <w:t>:</w:t>
      </w:r>
      <w:r>
        <w:rPr>
          <w:rStyle w:val="14"/>
          <w:rFonts w:hint="eastAsia" w:ascii="仿宋" w:hAnsi="仿宋" w:eastAsia="仿宋"/>
          <w:b w:val="0"/>
          <w:bCs/>
          <w:color w:val="000000" w:themeColor="text1"/>
          <w:sz w:val="32"/>
          <w:szCs w:val="32"/>
          <w14:textFill>
            <w14:solidFill>
              <w14:schemeClr w14:val="tx1"/>
            </w14:solidFill>
          </w14:textFill>
        </w:rPr>
        <w:t>支出决算为</w:t>
      </w:r>
      <w:r>
        <w:rPr>
          <w:rStyle w:val="14"/>
          <w:rFonts w:hint="eastAsia" w:ascii="仿宋" w:hAnsi="仿宋" w:eastAsia="仿宋"/>
          <w:b w:val="0"/>
          <w:bCs/>
          <w:color w:val="0000FF"/>
          <w:sz w:val="32"/>
          <w:szCs w:val="32"/>
        </w:rPr>
        <w:t>0万元，</w:t>
      </w:r>
      <w:r>
        <w:rPr>
          <w:rStyle w:val="14"/>
          <w:rFonts w:hint="eastAsia" w:ascii="仿宋" w:hAnsi="仿宋" w:eastAsia="仿宋"/>
          <w:b w:val="0"/>
          <w:bCs/>
          <w:color w:val="000000" w:themeColor="text1"/>
          <w:sz w:val="32"/>
          <w:szCs w:val="32"/>
          <w14:textFill>
            <w14:solidFill>
              <w14:schemeClr w14:val="tx1"/>
            </w14:solidFill>
          </w14:textFill>
        </w:rPr>
        <w:t>完成预算</w:t>
      </w:r>
      <w:r>
        <w:rPr>
          <w:rStyle w:val="14"/>
          <w:rFonts w:hint="eastAsia" w:ascii="仿宋" w:hAnsi="仿宋" w:eastAsia="仿宋"/>
          <w:b w:val="0"/>
          <w:bCs/>
          <w:color w:val="0000FF"/>
          <w:sz w:val="32"/>
          <w:szCs w:val="32"/>
        </w:rPr>
        <w:t>0.00%。</w:t>
      </w:r>
    </w:p>
    <w:p>
      <w:pPr>
        <w:spacing w:line="600" w:lineRule="exact"/>
        <w:ind w:firstLine="642" w:firstLineChars="200"/>
        <w:rPr>
          <w:rFonts w:ascii="仿宋" w:hAnsi="仿宋" w:eastAsia="仿宋"/>
          <w:b/>
          <w:color w:val="000000" w:themeColor="text1"/>
          <w:sz w:val="32"/>
          <w:szCs w:val="32"/>
          <w14:textFill>
            <w14:solidFill>
              <w14:schemeClr w14:val="tx1"/>
            </w14:solidFill>
          </w14:textFill>
        </w:rPr>
      </w:pPr>
      <w:r>
        <w:rPr>
          <w:rStyle w:val="14"/>
          <w:rFonts w:hint="eastAsia" w:ascii="仿宋" w:hAnsi="仿宋" w:eastAsia="仿宋"/>
          <w:bCs/>
          <w:color w:val="000000" w:themeColor="text1"/>
          <w:sz w:val="32"/>
          <w:szCs w:val="32"/>
          <w14:textFill>
            <w14:solidFill>
              <w14:schemeClr w14:val="tx1"/>
            </w14:solidFill>
          </w14:textFill>
        </w:rPr>
        <w:t>15.</w:t>
      </w:r>
      <w:r>
        <w:rPr>
          <w:rFonts w:ascii="仿宋" w:hAnsi="仿宋" w:eastAsia="仿宋"/>
          <w:bCs/>
          <w:color w:val="000000" w:themeColor="text1"/>
          <w:sz w:val="32"/>
          <w:szCs w:val="32"/>
          <w14:textFill>
            <w14:solidFill>
              <w14:schemeClr w14:val="tx1"/>
            </w14:solidFill>
          </w14:textFill>
        </w:rPr>
        <w:t xml:space="preserve"> </w:t>
      </w:r>
      <w:r>
        <w:rPr>
          <w:rStyle w:val="14"/>
          <w:rFonts w:ascii="仿宋" w:hAnsi="仿宋" w:eastAsia="仿宋"/>
          <w:bCs/>
          <w:color w:val="000000" w:themeColor="text1"/>
          <w:sz w:val="32"/>
          <w:szCs w:val="32"/>
          <w14:textFill>
            <w14:solidFill>
              <w14:schemeClr w14:val="tx1"/>
            </w14:solidFill>
          </w14:textFill>
        </w:rPr>
        <w:t>教育支出</w:t>
      </w:r>
      <w:r>
        <w:rPr>
          <w:rStyle w:val="14"/>
          <w:rFonts w:hint="eastAsia" w:ascii="仿宋" w:hAnsi="仿宋" w:eastAsia="仿宋"/>
          <w:bCs/>
          <w:color w:val="000000" w:themeColor="text1"/>
          <w:sz w:val="32"/>
          <w:szCs w:val="32"/>
          <w14:textFill>
            <w14:solidFill>
              <w14:schemeClr w14:val="tx1"/>
            </w14:solidFill>
          </w14:textFill>
        </w:rPr>
        <w:t>（类）教育附加费安排的支出（款）农村中小学教学设施（项）</w:t>
      </w:r>
      <w:r>
        <w:rPr>
          <w:rStyle w:val="14"/>
          <w:rFonts w:ascii="仿宋" w:hAnsi="仿宋" w:eastAsia="仿宋"/>
          <w:bCs/>
          <w:color w:val="000000" w:themeColor="text1"/>
          <w:sz w:val="32"/>
          <w:szCs w:val="32"/>
          <w14:textFill>
            <w14:solidFill>
              <w14:schemeClr w14:val="tx1"/>
            </w14:solidFill>
          </w14:textFill>
        </w:rPr>
        <w:t>:</w:t>
      </w:r>
      <w:r>
        <w:rPr>
          <w:rStyle w:val="14"/>
          <w:rFonts w:hint="eastAsia" w:ascii="仿宋" w:hAnsi="仿宋" w:eastAsia="仿宋"/>
          <w:b w:val="0"/>
          <w:bCs/>
          <w:color w:val="000000" w:themeColor="text1"/>
          <w:sz w:val="32"/>
          <w:szCs w:val="32"/>
          <w14:textFill>
            <w14:solidFill>
              <w14:schemeClr w14:val="tx1"/>
            </w14:solidFill>
          </w14:textFill>
        </w:rPr>
        <w:t>支出决算为</w:t>
      </w:r>
      <w:r>
        <w:rPr>
          <w:rStyle w:val="14"/>
          <w:rFonts w:hint="eastAsia" w:ascii="仿宋" w:hAnsi="仿宋" w:eastAsia="仿宋"/>
          <w:b w:val="0"/>
          <w:bCs/>
          <w:color w:val="0000FF"/>
          <w:sz w:val="32"/>
          <w:szCs w:val="32"/>
        </w:rPr>
        <w:t>1430.35万元</w:t>
      </w:r>
      <w:r>
        <w:rPr>
          <w:rStyle w:val="14"/>
          <w:rFonts w:hint="eastAsia" w:ascii="仿宋" w:hAnsi="仿宋" w:eastAsia="仿宋"/>
          <w:b w:val="0"/>
          <w:bCs/>
          <w:color w:val="000000" w:themeColor="text1"/>
          <w:sz w:val="32"/>
          <w:szCs w:val="32"/>
          <w14:textFill>
            <w14:solidFill>
              <w14:schemeClr w14:val="tx1"/>
            </w14:solidFill>
          </w14:textFill>
        </w:rPr>
        <w:t>，完成预算</w:t>
      </w:r>
      <w:r>
        <w:rPr>
          <w:rStyle w:val="14"/>
          <w:rFonts w:hint="eastAsia" w:ascii="仿宋" w:hAnsi="仿宋" w:eastAsia="仿宋"/>
          <w:b w:val="0"/>
          <w:bCs/>
          <w:color w:val="0000FF"/>
          <w:sz w:val="32"/>
          <w:szCs w:val="32"/>
        </w:rPr>
        <w:t>100</w:t>
      </w:r>
      <w:r>
        <w:rPr>
          <w:rStyle w:val="14"/>
          <w:rFonts w:ascii="仿宋" w:hAnsi="仿宋" w:eastAsia="仿宋"/>
          <w:b w:val="0"/>
          <w:bCs/>
          <w:color w:val="0000FF"/>
          <w:sz w:val="32"/>
          <w:szCs w:val="32"/>
        </w:rPr>
        <w:t>%</w:t>
      </w:r>
      <w:r>
        <w:rPr>
          <w:rStyle w:val="14"/>
          <w:rFonts w:hint="eastAsia" w:ascii="仿宋" w:hAnsi="仿宋" w:eastAsia="仿宋"/>
          <w:b w:val="0"/>
          <w:bCs/>
          <w:color w:val="000000" w:themeColor="text1"/>
          <w:sz w:val="32"/>
          <w:szCs w:val="32"/>
          <w14:textFill>
            <w14:solidFill>
              <w14:schemeClr w14:val="tx1"/>
            </w14:solidFill>
          </w14:textFill>
        </w:rPr>
        <w:t>。</w:t>
      </w:r>
    </w:p>
    <w:p>
      <w:pPr>
        <w:spacing w:line="600" w:lineRule="exact"/>
        <w:ind w:firstLine="642" w:firstLineChars="200"/>
        <w:rPr>
          <w:rStyle w:val="14"/>
          <w:rFonts w:ascii="仿宋" w:hAnsi="仿宋" w:eastAsia="仿宋"/>
          <w:bCs/>
          <w:color w:val="000000" w:themeColor="text1"/>
          <w:sz w:val="32"/>
          <w:szCs w:val="32"/>
          <w14:textFill>
            <w14:solidFill>
              <w14:schemeClr w14:val="tx1"/>
            </w14:solidFill>
          </w14:textFill>
        </w:rPr>
      </w:pPr>
      <w:r>
        <w:rPr>
          <w:rStyle w:val="14"/>
          <w:rFonts w:hint="eastAsia" w:ascii="仿宋" w:hAnsi="仿宋" w:eastAsia="仿宋"/>
          <w:bCs/>
          <w:color w:val="000000" w:themeColor="text1"/>
          <w:sz w:val="32"/>
          <w:szCs w:val="32"/>
          <w14:textFill>
            <w14:solidFill>
              <w14:schemeClr w14:val="tx1"/>
            </w14:solidFill>
          </w14:textFill>
        </w:rPr>
        <w:t>16.</w:t>
      </w:r>
      <w:r>
        <w:rPr>
          <w:rFonts w:ascii="仿宋" w:hAnsi="仿宋" w:eastAsia="仿宋"/>
          <w:bCs/>
          <w:color w:val="000000" w:themeColor="text1"/>
          <w:sz w:val="32"/>
          <w:szCs w:val="32"/>
          <w14:textFill>
            <w14:solidFill>
              <w14:schemeClr w14:val="tx1"/>
            </w14:solidFill>
          </w14:textFill>
        </w:rPr>
        <w:t xml:space="preserve"> </w:t>
      </w:r>
      <w:r>
        <w:rPr>
          <w:rStyle w:val="14"/>
          <w:rFonts w:ascii="仿宋" w:hAnsi="仿宋" w:eastAsia="仿宋"/>
          <w:bCs/>
          <w:color w:val="000000" w:themeColor="text1"/>
          <w:sz w:val="32"/>
          <w:szCs w:val="32"/>
          <w14:textFill>
            <w14:solidFill>
              <w14:schemeClr w14:val="tx1"/>
            </w14:solidFill>
          </w14:textFill>
        </w:rPr>
        <w:t>教育支出</w:t>
      </w:r>
      <w:r>
        <w:rPr>
          <w:rStyle w:val="14"/>
          <w:rFonts w:hint="eastAsia" w:ascii="仿宋" w:hAnsi="仿宋" w:eastAsia="仿宋"/>
          <w:bCs/>
          <w:color w:val="000000" w:themeColor="text1"/>
          <w:sz w:val="32"/>
          <w:szCs w:val="32"/>
          <w14:textFill>
            <w14:solidFill>
              <w14:schemeClr w14:val="tx1"/>
            </w14:solidFill>
          </w14:textFill>
        </w:rPr>
        <w:t>（类）教育附加费安排的支出（款）城市中小学校舍建设（项）</w:t>
      </w:r>
      <w:r>
        <w:rPr>
          <w:rStyle w:val="14"/>
          <w:rFonts w:ascii="仿宋" w:hAnsi="仿宋" w:eastAsia="仿宋"/>
          <w:bCs/>
          <w:color w:val="000000" w:themeColor="text1"/>
          <w:sz w:val="32"/>
          <w:szCs w:val="32"/>
          <w14:textFill>
            <w14:solidFill>
              <w14:schemeClr w14:val="tx1"/>
            </w14:solidFill>
          </w14:textFill>
        </w:rPr>
        <w:t>:</w:t>
      </w:r>
      <w:r>
        <w:rPr>
          <w:rStyle w:val="14"/>
          <w:rFonts w:hint="eastAsia" w:ascii="仿宋" w:hAnsi="仿宋" w:eastAsia="仿宋"/>
          <w:b w:val="0"/>
          <w:bCs/>
          <w:color w:val="000000" w:themeColor="text1"/>
          <w:sz w:val="32"/>
          <w:szCs w:val="32"/>
          <w14:textFill>
            <w14:solidFill>
              <w14:schemeClr w14:val="tx1"/>
            </w14:solidFill>
          </w14:textFill>
        </w:rPr>
        <w:t>支出决算为</w:t>
      </w:r>
      <w:r>
        <w:rPr>
          <w:rStyle w:val="14"/>
          <w:rFonts w:hint="eastAsia" w:ascii="仿宋" w:hAnsi="仿宋" w:eastAsia="仿宋"/>
          <w:b w:val="0"/>
          <w:bCs/>
          <w:color w:val="0000FF"/>
          <w:sz w:val="32"/>
          <w:szCs w:val="32"/>
        </w:rPr>
        <w:t>1282.30万元</w:t>
      </w:r>
      <w:r>
        <w:rPr>
          <w:rStyle w:val="14"/>
          <w:rFonts w:hint="eastAsia" w:ascii="仿宋" w:hAnsi="仿宋" w:eastAsia="仿宋"/>
          <w:b w:val="0"/>
          <w:bCs/>
          <w:color w:val="000000" w:themeColor="text1"/>
          <w:sz w:val="32"/>
          <w:szCs w:val="32"/>
          <w14:textFill>
            <w14:solidFill>
              <w14:schemeClr w14:val="tx1"/>
            </w14:solidFill>
          </w14:textFill>
        </w:rPr>
        <w:t>，完成预算</w:t>
      </w:r>
      <w:r>
        <w:rPr>
          <w:rStyle w:val="14"/>
          <w:rFonts w:hint="eastAsia" w:ascii="仿宋" w:hAnsi="仿宋" w:eastAsia="仿宋"/>
          <w:b w:val="0"/>
          <w:bCs/>
          <w:color w:val="0000FF"/>
          <w:sz w:val="32"/>
          <w:szCs w:val="32"/>
        </w:rPr>
        <w:t>88.32</w:t>
      </w:r>
      <w:r>
        <w:rPr>
          <w:rStyle w:val="14"/>
          <w:rFonts w:ascii="仿宋" w:hAnsi="仿宋" w:eastAsia="仿宋"/>
          <w:b w:val="0"/>
          <w:bCs/>
          <w:color w:val="0000FF"/>
          <w:sz w:val="32"/>
          <w:szCs w:val="32"/>
        </w:rPr>
        <w:t>%</w:t>
      </w:r>
      <w:r>
        <w:rPr>
          <w:rStyle w:val="14"/>
          <w:rFonts w:hint="eastAsia" w:ascii="仿宋" w:hAnsi="仿宋" w:eastAsia="仿宋"/>
          <w:b w:val="0"/>
          <w:bCs/>
          <w:color w:val="FF0000"/>
          <w:sz w:val="32"/>
          <w:szCs w:val="32"/>
        </w:rPr>
        <w:t>。</w:t>
      </w:r>
      <w:r>
        <w:rPr>
          <w:rStyle w:val="14"/>
          <w:rFonts w:hint="eastAsia" w:ascii="仿宋" w:hAnsi="仿宋" w:eastAsia="仿宋"/>
          <w:b w:val="0"/>
          <w:bCs/>
          <w:color w:val="000000" w:themeColor="text1"/>
          <w:sz w:val="32"/>
          <w:szCs w:val="32"/>
          <w14:textFill>
            <w14:solidFill>
              <w14:schemeClr w14:val="tx1"/>
            </w14:solidFill>
          </w14:textFill>
        </w:rPr>
        <w:t>决算数小于预算数的主要原因是</w:t>
      </w:r>
      <w:r>
        <w:rPr>
          <w:rStyle w:val="14"/>
          <w:rFonts w:hint="eastAsia" w:ascii="仿宋" w:hAnsi="仿宋" w:eastAsia="仿宋"/>
          <w:b w:val="0"/>
          <w:bCs/>
          <w:color w:val="0000FF"/>
          <w:sz w:val="32"/>
          <w:szCs w:val="32"/>
        </w:rPr>
        <w:t>红军小学、兴安初级中学等新建项目正在实施，资金结转下年使用</w:t>
      </w:r>
      <w:r>
        <w:rPr>
          <w:rStyle w:val="14"/>
          <w:rFonts w:hint="eastAsia" w:ascii="仿宋" w:hAnsi="仿宋" w:eastAsia="仿宋"/>
          <w:b w:val="0"/>
          <w:bCs/>
          <w:color w:val="000000" w:themeColor="text1"/>
          <w:sz w:val="32"/>
          <w:szCs w:val="32"/>
          <w14:textFill>
            <w14:solidFill>
              <w14:schemeClr w14:val="tx1"/>
            </w14:solidFill>
          </w14:textFill>
        </w:rPr>
        <w:t>。</w:t>
      </w:r>
    </w:p>
    <w:p>
      <w:pPr>
        <w:spacing w:line="600" w:lineRule="exact"/>
        <w:ind w:firstLine="642" w:firstLineChars="200"/>
        <w:rPr>
          <w:rStyle w:val="14"/>
          <w:rFonts w:ascii="仿宋" w:hAnsi="仿宋" w:eastAsia="仿宋"/>
          <w:bCs/>
          <w:color w:val="000000" w:themeColor="text1"/>
          <w:sz w:val="32"/>
          <w:szCs w:val="32"/>
          <w14:textFill>
            <w14:solidFill>
              <w14:schemeClr w14:val="tx1"/>
            </w14:solidFill>
          </w14:textFill>
        </w:rPr>
      </w:pPr>
      <w:r>
        <w:rPr>
          <w:rStyle w:val="14"/>
          <w:rFonts w:hint="eastAsia" w:ascii="仿宋" w:hAnsi="仿宋" w:eastAsia="仿宋"/>
          <w:bCs/>
          <w:color w:val="000000" w:themeColor="text1"/>
          <w:sz w:val="32"/>
          <w:szCs w:val="32"/>
          <w14:textFill>
            <w14:solidFill>
              <w14:schemeClr w14:val="tx1"/>
            </w14:solidFill>
          </w14:textFill>
        </w:rPr>
        <w:t>17.</w:t>
      </w:r>
      <w:r>
        <w:rPr>
          <w:rFonts w:ascii="仿宋" w:hAnsi="仿宋" w:eastAsia="仿宋"/>
          <w:bCs/>
          <w:color w:val="000000" w:themeColor="text1"/>
          <w:sz w:val="32"/>
          <w:szCs w:val="32"/>
          <w14:textFill>
            <w14:solidFill>
              <w14:schemeClr w14:val="tx1"/>
            </w14:solidFill>
          </w14:textFill>
        </w:rPr>
        <w:t xml:space="preserve"> </w:t>
      </w:r>
      <w:r>
        <w:rPr>
          <w:rStyle w:val="14"/>
          <w:rFonts w:ascii="仿宋" w:hAnsi="仿宋" w:eastAsia="仿宋"/>
          <w:bCs/>
          <w:color w:val="000000" w:themeColor="text1"/>
          <w:sz w:val="32"/>
          <w:szCs w:val="32"/>
          <w14:textFill>
            <w14:solidFill>
              <w14:schemeClr w14:val="tx1"/>
            </w14:solidFill>
          </w14:textFill>
        </w:rPr>
        <w:t>教育支出</w:t>
      </w:r>
      <w:r>
        <w:rPr>
          <w:rStyle w:val="14"/>
          <w:rFonts w:hint="eastAsia" w:ascii="仿宋" w:hAnsi="仿宋" w:eastAsia="仿宋"/>
          <w:bCs/>
          <w:color w:val="000000" w:themeColor="text1"/>
          <w:sz w:val="32"/>
          <w:szCs w:val="32"/>
          <w14:textFill>
            <w14:solidFill>
              <w14:schemeClr w14:val="tx1"/>
            </w14:solidFill>
          </w14:textFill>
        </w:rPr>
        <w:t>（类）教育附加费安排的支出（款）城市中小学教学设施（项）</w:t>
      </w:r>
      <w:r>
        <w:rPr>
          <w:rStyle w:val="14"/>
          <w:rFonts w:ascii="仿宋" w:hAnsi="仿宋" w:eastAsia="仿宋"/>
          <w:bCs/>
          <w:color w:val="000000" w:themeColor="text1"/>
          <w:sz w:val="32"/>
          <w:szCs w:val="32"/>
          <w14:textFill>
            <w14:solidFill>
              <w14:schemeClr w14:val="tx1"/>
            </w14:solidFill>
          </w14:textFill>
        </w:rPr>
        <w:t>:</w:t>
      </w:r>
      <w:r>
        <w:rPr>
          <w:rStyle w:val="14"/>
          <w:rFonts w:hint="eastAsia" w:ascii="仿宋" w:hAnsi="仿宋" w:eastAsia="仿宋"/>
          <w:b w:val="0"/>
          <w:bCs/>
          <w:color w:val="000000" w:themeColor="text1"/>
          <w:sz w:val="32"/>
          <w:szCs w:val="32"/>
          <w14:textFill>
            <w14:solidFill>
              <w14:schemeClr w14:val="tx1"/>
            </w14:solidFill>
          </w14:textFill>
        </w:rPr>
        <w:t>支出决算为</w:t>
      </w:r>
      <w:r>
        <w:rPr>
          <w:rStyle w:val="14"/>
          <w:rFonts w:hint="eastAsia" w:ascii="仿宋" w:hAnsi="仿宋" w:eastAsia="仿宋"/>
          <w:b w:val="0"/>
          <w:bCs/>
          <w:color w:val="0000FF"/>
          <w:sz w:val="32"/>
          <w:szCs w:val="32"/>
        </w:rPr>
        <w:t>24.81万元</w:t>
      </w:r>
      <w:r>
        <w:rPr>
          <w:rStyle w:val="14"/>
          <w:rFonts w:hint="eastAsia" w:ascii="仿宋" w:hAnsi="仿宋" w:eastAsia="仿宋"/>
          <w:b w:val="0"/>
          <w:bCs/>
          <w:color w:val="000000" w:themeColor="text1"/>
          <w:sz w:val="32"/>
          <w:szCs w:val="32"/>
          <w14:textFill>
            <w14:solidFill>
              <w14:schemeClr w14:val="tx1"/>
            </w14:solidFill>
          </w14:textFill>
        </w:rPr>
        <w:t>，完成预算</w:t>
      </w:r>
      <w:r>
        <w:rPr>
          <w:rStyle w:val="14"/>
          <w:rFonts w:hint="eastAsia" w:ascii="仿宋" w:hAnsi="仿宋" w:eastAsia="仿宋"/>
          <w:b w:val="0"/>
          <w:bCs/>
          <w:color w:val="0000FF"/>
          <w:sz w:val="32"/>
          <w:szCs w:val="32"/>
        </w:rPr>
        <w:t>8.34%</w:t>
      </w:r>
      <w:r>
        <w:rPr>
          <w:rStyle w:val="14"/>
          <w:rFonts w:hint="eastAsia" w:ascii="仿宋" w:hAnsi="仿宋" w:eastAsia="仿宋"/>
          <w:b w:val="0"/>
          <w:bCs/>
          <w:color w:val="000000" w:themeColor="text1"/>
          <w:sz w:val="32"/>
          <w:szCs w:val="32"/>
          <w14:textFill>
            <w14:solidFill>
              <w14:schemeClr w14:val="tx1"/>
            </w14:solidFill>
          </w14:textFill>
        </w:rPr>
        <w:t>。决算数小于预算数的主要原因是</w:t>
      </w:r>
      <w:r>
        <w:rPr>
          <w:rStyle w:val="14"/>
          <w:rFonts w:hint="eastAsia" w:ascii="仿宋" w:hAnsi="仿宋" w:eastAsia="仿宋"/>
          <w:b w:val="0"/>
          <w:bCs/>
          <w:color w:val="0000FF"/>
          <w:sz w:val="32"/>
          <w:szCs w:val="32"/>
        </w:rPr>
        <w:t>智慧广元二期建设项目正在实施，资金结转下年使用。</w:t>
      </w:r>
    </w:p>
    <w:p>
      <w:pPr>
        <w:spacing w:line="600" w:lineRule="exact"/>
        <w:ind w:firstLine="642" w:firstLineChars="200"/>
        <w:rPr>
          <w:rStyle w:val="14"/>
          <w:rFonts w:ascii="仿宋" w:hAnsi="仿宋" w:eastAsia="仿宋"/>
          <w:b w:val="0"/>
          <w:bCs/>
          <w:color w:val="000000" w:themeColor="text1"/>
          <w:sz w:val="32"/>
          <w:szCs w:val="32"/>
          <w14:textFill>
            <w14:solidFill>
              <w14:schemeClr w14:val="tx1"/>
            </w14:solidFill>
          </w14:textFill>
        </w:rPr>
      </w:pPr>
      <w:r>
        <w:rPr>
          <w:rStyle w:val="14"/>
          <w:rFonts w:hint="eastAsia" w:ascii="仿宋" w:hAnsi="仿宋" w:eastAsia="仿宋"/>
          <w:bCs/>
          <w:color w:val="000000" w:themeColor="text1"/>
          <w:sz w:val="32"/>
          <w:szCs w:val="32"/>
          <w14:textFill>
            <w14:solidFill>
              <w14:schemeClr w14:val="tx1"/>
            </w14:solidFill>
          </w14:textFill>
        </w:rPr>
        <w:t>18.</w:t>
      </w:r>
      <w:r>
        <w:rPr>
          <w:rFonts w:ascii="仿宋" w:hAnsi="仿宋" w:eastAsia="仿宋"/>
          <w:bCs/>
          <w:color w:val="000000" w:themeColor="text1"/>
          <w:sz w:val="32"/>
          <w:szCs w:val="32"/>
          <w14:textFill>
            <w14:solidFill>
              <w14:schemeClr w14:val="tx1"/>
            </w14:solidFill>
          </w14:textFill>
        </w:rPr>
        <w:t xml:space="preserve"> </w:t>
      </w:r>
      <w:r>
        <w:rPr>
          <w:rStyle w:val="14"/>
          <w:rFonts w:ascii="仿宋" w:hAnsi="仿宋" w:eastAsia="仿宋"/>
          <w:bCs/>
          <w:color w:val="000000" w:themeColor="text1"/>
          <w:sz w:val="32"/>
          <w:szCs w:val="32"/>
          <w14:textFill>
            <w14:solidFill>
              <w14:schemeClr w14:val="tx1"/>
            </w14:solidFill>
          </w14:textFill>
        </w:rPr>
        <w:t>教育支出</w:t>
      </w:r>
      <w:r>
        <w:rPr>
          <w:rStyle w:val="14"/>
          <w:rFonts w:hint="eastAsia" w:ascii="仿宋" w:hAnsi="仿宋" w:eastAsia="仿宋"/>
          <w:bCs/>
          <w:color w:val="000000" w:themeColor="text1"/>
          <w:sz w:val="32"/>
          <w:szCs w:val="32"/>
          <w14:textFill>
            <w14:solidFill>
              <w14:schemeClr w14:val="tx1"/>
            </w14:solidFill>
          </w14:textFill>
        </w:rPr>
        <w:t>（类）教育附加费安排的支出（款）其他教育附加安排的支出（项）</w:t>
      </w:r>
      <w:r>
        <w:rPr>
          <w:rStyle w:val="14"/>
          <w:rFonts w:ascii="仿宋" w:hAnsi="仿宋" w:eastAsia="仿宋"/>
          <w:bCs/>
          <w:color w:val="000000" w:themeColor="text1"/>
          <w:sz w:val="32"/>
          <w:szCs w:val="32"/>
          <w14:textFill>
            <w14:solidFill>
              <w14:schemeClr w14:val="tx1"/>
            </w14:solidFill>
          </w14:textFill>
        </w:rPr>
        <w:t>:</w:t>
      </w:r>
      <w:r>
        <w:rPr>
          <w:rStyle w:val="14"/>
          <w:rFonts w:ascii="仿宋" w:hAnsi="仿宋" w:eastAsia="仿宋"/>
          <w:b w:val="0"/>
          <w:bCs/>
          <w:color w:val="000000" w:themeColor="text1"/>
          <w:sz w:val="32"/>
          <w:szCs w:val="32"/>
          <w14:textFill>
            <w14:solidFill>
              <w14:schemeClr w14:val="tx1"/>
            </w14:solidFill>
          </w14:textFill>
        </w:rPr>
        <w:t xml:space="preserve"> </w:t>
      </w:r>
      <w:r>
        <w:rPr>
          <w:rStyle w:val="14"/>
          <w:rFonts w:hint="eastAsia" w:ascii="仿宋" w:hAnsi="仿宋" w:eastAsia="仿宋"/>
          <w:b w:val="0"/>
          <w:bCs/>
          <w:color w:val="000000" w:themeColor="text1"/>
          <w:sz w:val="32"/>
          <w:szCs w:val="32"/>
          <w14:textFill>
            <w14:solidFill>
              <w14:schemeClr w14:val="tx1"/>
            </w14:solidFill>
          </w14:textFill>
        </w:rPr>
        <w:t>支出决算为</w:t>
      </w:r>
      <w:r>
        <w:rPr>
          <w:rStyle w:val="14"/>
          <w:rFonts w:hint="eastAsia" w:ascii="仿宋" w:hAnsi="仿宋" w:eastAsia="仿宋"/>
          <w:b w:val="0"/>
          <w:bCs/>
          <w:color w:val="0000FF"/>
          <w:sz w:val="32"/>
          <w:szCs w:val="32"/>
        </w:rPr>
        <w:t>571.56万元</w:t>
      </w:r>
      <w:r>
        <w:rPr>
          <w:rStyle w:val="14"/>
          <w:rFonts w:hint="eastAsia" w:ascii="仿宋" w:hAnsi="仿宋" w:eastAsia="仿宋"/>
          <w:b w:val="0"/>
          <w:bCs/>
          <w:color w:val="000000" w:themeColor="text1"/>
          <w:sz w:val="32"/>
          <w:szCs w:val="32"/>
          <w14:textFill>
            <w14:solidFill>
              <w14:schemeClr w14:val="tx1"/>
            </w14:solidFill>
          </w14:textFill>
        </w:rPr>
        <w:t>，完成预算</w:t>
      </w:r>
      <w:r>
        <w:rPr>
          <w:rStyle w:val="14"/>
          <w:rFonts w:hint="eastAsia" w:ascii="仿宋" w:hAnsi="仿宋" w:eastAsia="仿宋"/>
          <w:b w:val="0"/>
          <w:bCs/>
          <w:color w:val="0000FF"/>
          <w:sz w:val="32"/>
          <w:szCs w:val="32"/>
        </w:rPr>
        <w:t>54.70</w:t>
      </w:r>
      <w:r>
        <w:rPr>
          <w:rStyle w:val="14"/>
          <w:rFonts w:ascii="仿宋" w:hAnsi="仿宋" w:eastAsia="仿宋"/>
          <w:b w:val="0"/>
          <w:bCs/>
          <w:color w:val="0000FF"/>
          <w:sz w:val="32"/>
          <w:szCs w:val="32"/>
        </w:rPr>
        <w:t>%</w:t>
      </w:r>
      <w:r>
        <w:rPr>
          <w:rStyle w:val="14"/>
          <w:rFonts w:hint="eastAsia" w:ascii="仿宋" w:hAnsi="仿宋" w:eastAsia="仿宋"/>
          <w:b w:val="0"/>
          <w:bCs/>
          <w:color w:val="000000" w:themeColor="text1"/>
          <w:sz w:val="32"/>
          <w:szCs w:val="32"/>
          <w14:textFill>
            <w14:solidFill>
              <w14:schemeClr w14:val="tx1"/>
            </w14:solidFill>
          </w14:textFill>
        </w:rPr>
        <w:t>，决算数小于预算数的</w:t>
      </w:r>
      <w:r>
        <w:rPr>
          <w:rStyle w:val="14"/>
          <w:rFonts w:hint="eastAsia" w:ascii="仿宋" w:hAnsi="仿宋" w:eastAsia="仿宋"/>
          <w:b w:val="0"/>
          <w:bCs/>
          <w:color w:val="0000FF"/>
          <w:sz w:val="32"/>
          <w:szCs w:val="32"/>
        </w:rPr>
        <w:t>主要原因一是年末下达农村中小学热水澡运行维护资金结转下年使用</w:t>
      </w:r>
      <w:r>
        <w:rPr>
          <w:rStyle w:val="14"/>
          <w:rFonts w:hint="eastAsia" w:ascii="仿宋" w:hAnsi="仿宋" w:eastAsia="仿宋"/>
          <w:b w:val="0"/>
          <w:bCs/>
          <w:color w:val="FF0000"/>
          <w:sz w:val="32"/>
          <w:szCs w:val="32"/>
        </w:rPr>
        <w:t>；</w:t>
      </w:r>
      <w:r>
        <w:rPr>
          <w:rStyle w:val="14"/>
          <w:rFonts w:hint="eastAsia" w:ascii="仿宋" w:hAnsi="仿宋" w:eastAsia="仿宋"/>
          <w:b w:val="0"/>
          <w:bCs/>
          <w:color w:val="0000FF"/>
          <w:sz w:val="32"/>
          <w:szCs w:val="32"/>
        </w:rPr>
        <w:t>二是特殊教育学校迁建项目正在实施，建设资金388.84万元结转下年使用；三是白朝小学教学设备采购项目正在实施，项目资金结转下年使用。</w:t>
      </w:r>
    </w:p>
    <w:p>
      <w:pPr>
        <w:spacing w:line="600" w:lineRule="exact"/>
        <w:ind w:firstLine="642" w:firstLineChars="200"/>
        <w:rPr>
          <w:rFonts w:ascii="仿宋" w:hAnsi="仿宋" w:eastAsia="仿宋"/>
          <w:b/>
          <w:color w:val="000000" w:themeColor="text1"/>
          <w:sz w:val="32"/>
          <w:szCs w:val="32"/>
          <w14:textFill>
            <w14:solidFill>
              <w14:schemeClr w14:val="tx1"/>
            </w14:solidFill>
          </w14:textFill>
        </w:rPr>
      </w:pPr>
      <w:r>
        <w:rPr>
          <w:rStyle w:val="14"/>
          <w:rFonts w:hint="eastAsia" w:ascii="仿宋" w:hAnsi="仿宋" w:eastAsia="仿宋"/>
          <w:bCs/>
          <w:color w:val="000000" w:themeColor="text1"/>
          <w:sz w:val="32"/>
          <w:szCs w:val="32"/>
          <w14:textFill>
            <w14:solidFill>
              <w14:schemeClr w14:val="tx1"/>
            </w14:solidFill>
          </w14:textFill>
        </w:rPr>
        <w:t>19</w:t>
      </w:r>
      <w:r>
        <w:rPr>
          <w:rStyle w:val="14"/>
          <w:rFonts w:ascii="仿宋" w:hAnsi="仿宋" w:eastAsia="仿宋"/>
          <w:bCs/>
          <w:color w:val="000000" w:themeColor="text1"/>
          <w:sz w:val="32"/>
          <w:szCs w:val="32"/>
          <w14:textFill>
            <w14:solidFill>
              <w14:schemeClr w14:val="tx1"/>
            </w14:solidFill>
          </w14:textFill>
        </w:rPr>
        <w:t>.</w:t>
      </w:r>
      <w:r>
        <w:rPr>
          <w:rFonts w:ascii="仿宋" w:hAnsi="仿宋" w:eastAsia="仿宋"/>
          <w:bCs/>
          <w:color w:val="000000" w:themeColor="text1"/>
          <w:sz w:val="32"/>
          <w:szCs w:val="32"/>
          <w14:textFill>
            <w14:solidFill>
              <w14:schemeClr w14:val="tx1"/>
            </w14:solidFill>
          </w14:textFill>
        </w:rPr>
        <w:t xml:space="preserve"> </w:t>
      </w:r>
      <w:r>
        <w:rPr>
          <w:rStyle w:val="14"/>
          <w:rFonts w:ascii="仿宋" w:hAnsi="仿宋" w:eastAsia="仿宋"/>
          <w:bCs/>
          <w:color w:val="000000" w:themeColor="text1"/>
          <w:sz w:val="32"/>
          <w:szCs w:val="32"/>
          <w14:textFill>
            <w14:solidFill>
              <w14:schemeClr w14:val="tx1"/>
            </w14:solidFill>
          </w14:textFill>
        </w:rPr>
        <w:t>教育支出</w:t>
      </w:r>
      <w:r>
        <w:rPr>
          <w:rStyle w:val="14"/>
          <w:rFonts w:hint="eastAsia" w:ascii="仿宋" w:hAnsi="仿宋" w:eastAsia="仿宋"/>
          <w:bCs/>
          <w:color w:val="000000" w:themeColor="text1"/>
          <w:sz w:val="32"/>
          <w:szCs w:val="32"/>
          <w14:textFill>
            <w14:solidFill>
              <w14:schemeClr w14:val="tx1"/>
            </w14:solidFill>
          </w14:textFill>
        </w:rPr>
        <w:t>（类）其它教育支出（款）其他教育支出（项）</w:t>
      </w:r>
      <w:r>
        <w:rPr>
          <w:rStyle w:val="14"/>
          <w:rFonts w:ascii="仿宋" w:hAnsi="仿宋" w:eastAsia="仿宋"/>
          <w:bCs/>
          <w:color w:val="000000" w:themeColor="text1"/>
          <w:sz w:val="32"/>
          <w:szCs w:val="32"/>
          <w14:textFill>
            <w14:solidFill>
              <w14:schemeClr w14:val="tx1"/>
            </w14:solidFill>
          </w14:textFill>
        </w:rPr>
        <w:t>:</w:t>
      </w:r>
      <w:r>
        <w:rPr>
          <w:rStyle w:val="14"/>
          <w:rFonts w:ascii="仿宋" w:hAnsi="仿宋" w:eastAsia="仿宋"/>
          <w:b w:val="0"/>
          <w:bCs/>
          <w:color w:val="000000" w:themeColor="text1"/>
          <w:sz w:val="32"/>
          <w:szCs w:val="32"/>
          <w14:textFill>
            <w14:solidFill>
              <w14:schemeClr w14:val="tx1"/>
            </w14:solidFill>
          </w14:textFill>
        </w:rPr>
        <w:t xml:space="preserve"> </w:t>
      </w:r>
      <w:r>
        <w:rPr>
          <w:rStyle w:val="14"/>
          <w:rFonts w:hint="eastAsia" w:ascii="仿宋" w:hAnsi="仿宋" w:eastAsia="仿宋"/>
          <w:b w:val="0"/>
          <w:bCs/>
          <w:color w:val="000000" w:themeColor="text1"/>
          <w:sz w:val="32"/>
          <w:szCs w:val="32"/>
          <w14:textFill>
            <w14:solidFill>
              <w14:schemeClr w14:val="tx1"/>
            </w14:solidFill>
          </w14:textFill>
        </w:rPr>
        <w:t>支出决算为</w:t>
      </w:r>
      <w:r>
        <w:rPr>
          <w:rStyle w:val="14"/>
          <w:rFonts w:hint="eastAsia" w:ascii="仿宋" w:hAnsi="仿宋" w:eastAsia="仿宋"/>
          <w:b w:val="0"/>
          <w:bCs/>
          <w:color w:val="0000FF"/>
          <w:sz w:val="32"/>
          <w:szCs w:val="32"/>
        </w:rPr>
        <w:t>480万元</w:t>
      </w:r>
      <w:r>
        <w:rPr>
          <w:rStyle w:val="14"/>
          <w:rFonts w:hint="eastAsia" w:ascii="仿宋" w:hAnsi="仿宋" w:eastAsia="仿宋"/>
          <w:b w:val="0"/>
          <w:bCs/>
          <w:color w:val="000000" w:themeColor="text1"/>
          <w:sz w:val="32"/>
          <w:szCs w:val="32"/>
          <w14:textFill>
            <w14:solidFill>
              <w14:schemeClr w14:val="tx1"/>
            </w14:solidFill>
          </w14:textFill>
        </w:rPr>
        <w:t>，完成预算</w:t>
      </w:r>
      <w:r>
        <w:rPr>
          <w:rStyle w:val="14"/>
          <w:rFonts w:hint="eastAsia" w:ascii="仿宋" w:hAnsi="仿宋" w:eastAsia="仿宋"/>
          <w:b w:val="0"/>
          <w:bCs/>
          <w:color w:val="0000FF"/>
          <w:sz w:val="32"/>
          <w:szCs w:val="32"/>
        </w:rPr>
        <w:t>79.05%</w:t>
      </w:r>
      <w:r>
        <w:rPr>
          <w:rStyle w:val="14"/>
          <w:rFonts w:hint="eastAsia" w:ascii="仿宋" w:hAnsi="仿宋" w:eastAsia="仿宋"/>
          <w:b w:val="0"/>
          <w:bCs/>
          <w:color w:val="000000" w:themeColor="text1"/>
          <w:sz w:val="32"/>
          <w:szCs w:val="32"/>
          <w14:textFill>
            <w14:solidFill>
              <w14:schemeClr w14:val="tx1"/>
            </w14:solidFill>
          </w14:textFill>
        </w:rPr>
        <w:t>，决算数小于预算数的主要原因</w:t>
      </w:r>
      <w:r>
        <w:rPr>
          <w:rStyle w:val="14"/>
          <w:rFonts w:hint="eastAsia" w:ascii="仿宋" w:hAnsi="仿宋" w:eastAsia="仿宋"/>
          <w:b w:val="0"/>
          <w:bCs/>
          <w:color w:val="0000FF"/>
          <w:sz w:val="32"/>
          <w:szCs w:val="32"/>
        </w:rPr>
        <w:t>一是幼儿园债券建设项目正在实施，建设资金结转下年使用，二是西城中学改扩建项目正在实施，建设资金结转下年使用。</w:t>
      </w:r>
    </w:p>
    <w:p>
      <w:pPr>
        <w:spacing w:line="600" w:lineRule="exact"/>
        <w:ind w:firstLine="642" w:firstLineChars="200"/>
        <w:rPr>
          <w:rStyle w:val="14"/>
          <w:rFonts w:ascii="仿宋" w:hAnsi="仿宋" w:eastAsia="仿宋"/>
          <w:bCs/>
          <w:color w:val="000000" w:themeColor="text1"/>
          <w:sz w:val="32"/>
          <w:szCs w:val="32"/>
          <w14:textFill>
            <w14:solidFill>
              <w14:schemeClr w14:val="tx1"/>
            </w14:solidFill>
          </w14:textFill>
        </w:rPr>
      </w:pPr>
      <w:r>
        <w:rPr>
          <w:rStyle w:val="14"/>
          <w:rFonts w:hint="eastAsia" w:ascii="仿宋" w:hAnsi="仿宋" w:eastAsia="仿宋"/>
          <w:bCs/>
          <w:color w:val="000000" w:themeColor="text1"/>
          <w:sz w:val="32"/>
          <w:szCs w:val="32"/>
          <w14:textFill>
            <w14:solidFill>
              <w14:schemeClr w14:val="tx1"/>
            </w14:solidFill>
          </w14:textFill>
        </w:rPr>
        <w:t>20</w:t>
      </w:r>
      <w:r>
        <w:rPr>
          <w:rStyle w:val="14"/>
          <w:rFonts w:ascii="仿宋" w:hAnsi="仿宋" w:eastAsia="仿宋"/>
          <w:bCs/>
          <w:color w:val="000000" w:themeColor="text1"/>
          <w:sz w:val="32"/>
          <w:szCs w:val="32"/>
          <w14:textFill>
            <w14:solidFill>
              <w14:schemeClr w14:val="tx1"/>
            </w14:solidFill>
          </w14:textFill>
        </w:rPr>
        <w:t>.</w:t>
      </w:r>
      <w:r>
        <w:rPr>
          <w:rFonts w:ascii="仿宋" w:hAnsi="仿宋" w:eastAsia="仿宋"/>
          <w:bCs/>
          <w:color w:val="000000" w:themeColor="text1"/>
          <w:sz w:val="32"/>
          <w:szCs w:val="32"/>
          <w14:textFill>
            <w14:solidFill>
              <w14:schemeClr w14:val="tx1"/>
            </w14:solidFill>
          </w14:textFill>
        </w:rPr>
        <w:t xml:space="preserve"> </w:t>
      </w:r>
      <w:r>
        <w:rPr>
          <w:rStyle w:val="14"/>
          <w:rFonts w:hint="eastAsia" w:ascii="仿宋" w:hAnsi="仿宋" w:eastAsia="仿宋"/>
          <w:bCs/>
          <w:color w:val="000000" w:themeColor="text1"/>
          <w:sz w:val="32"/>
          <w:szCs w:val="32"/>
          <w14:textFill>
            <w14:solidFill>
              <w14:schemeClr w14:val="tx1"/>
            </w14:solidFill>
          </w14:textFill>
        </w:rPr>
        <w:t>文化旅游体育与传媒支出（类）体育（款）体育竞赛（项）</w:t>
      </w:r>
      <w:r>
        <w:rPr>
          <w:rStyle w:val="14"/>
          <w:rFonts w:ascii="仿宋" w:hAnsi="仿宋" w:eastAsia="仿宋"/>
          <w:bCs/>
          <w:color w:val="000000" w:themeColor="text1"/>
          <w:sz w:val="32"/>
          <w:szCs w:val="32"/>
          <w14:textFill>
            <w14:solidFill>
              <w14:schemeClr w14:val="tx1"/>
            </w14:solidFill>
          </w14:textFill>
        </w:rPr>
        <w:t>:</w:t>
      </w:r>
      <w:r>
        <w:rPr>
          <w:rStyle w:val="14"/>
          <w:rFonts w:hint="eastAsia" w:ascii="仿宋" w:hAnsi="仿宋" w:eastAsia="仿宋"/>
          <w:b w:val="0"/>
          <w:bCs/>
          <w:color w:val="000000" w:themeColor="text1"/>
          <w:sz w:val="32"/>
          <w:szCs w:val="32"/>
          <w14:textFill>
            <w14:solidFill>
              <w14:schemeClr w14:val="tx1"/>
            </w14:solidFill>
          </w14:textFill>
        </w:rPr>
        <w:t>支出决算为</w:t>
      </w:r>
      <w:r>
        <w:rPr>
          <w:rStyle w:val="14"/>
          <w:rFonts w:hint="eastAsia" w:ascii="仿宋" w:hAnsi="仿宋" w:eastAsia="仿宋"/>
          <w:b w:val="0"/>
          <w:bCs/>
          <w:color w:val="0000FF"/>
          <w:sz w:val="32"/>
          <w:szCs w:val="32"/>
        </w:rPr>
        <w:t>53.68万元</w:t>
      </w:r>
      <w:r>
        <w:rPr>
          <w:rStyle w:val="14"/>
          <w:rFonts w:hint="eastAsia" w:ascii="仿宋" w:hAnsi="仿宋" w:eastAsia="仿宋"/>
          <w:b w:val="0"/>
          <w:bCs/>
          <w:color w:val="000000" w:themeColor="text1"/>
          <w:sz w:val="32"/>
          <w:szCs w:val="32"/>
          <w14:textFill>
            <w14:solidFill>
              <w14:schemeClr w14:val="tx1"/>
            </w14:solidFill>
          </w14:textFill>
        </w:rPr>
        <w:t>，完成预算</w:t>
      </w:r>
      <w:r>
        <w:rPr>
          <w:rStyle w:val="14"/>
          <w:rFonts w:hint="eastAsia" w:ascii="仿宋" w:hAnsi="仿宋" w:eastAsia="仿宋"/>
          <w:b w:val="0"/>
          <w:bCs/>
          <w:color w:val="0000FF"/>
          <w:sz w:val="32"/>
          <w:szCs w:val="32"/>
        </w:rPr>
        <w:t>100%</w:t>
      </w:r>
      <w:r>
        <w:rPr>
          <w:rStyle w:val="14"/>
          <w:rFonts w:hint="eastAsia" w:ascii="仿宋" w:hAnsi="仿宋" w:eastAsia="仿宋"/>
          <w:b w:val="0"/>
          <w:bCs/>
          <w:color w:val="000000" w:themeColor="text1"/>
          <w:sz w:val="32"/>
          <w:szCs w:val="32"/>
          <w14:textFill>
            <w14:solidFill>
              <w14:schemeClr w14:val="tx1"/>
            </w14:solidFill>
          </w14:textFill>
        </w:rPr>
        <w:t>。</w:t>
      </w:r>
    </w:p>
    <w:p>
      <w:pPr>
        <w:spacing w:line="600" w:lineRule="exact"/>
        <w:ind w:firstLine="642" w:firstLineChars="200"/>
        <w:rPr>
          <w:rStyle w:val="14"/>
          <w:rFonts w:ascii="仿宋" w:hAnsi="仿宋" w:eastAsia="仿宋"/>
          <w:b w:val="0"/>
          <w:bCs/>
          <w:color w:val="0000FF"/>
          <w:sz w:val="32"/>
          <w:szCs w:val="32"/>
        </w:rPr>
      </w:pPr>
      <w:r>
        <w:rPr>
          <w:rStyle w:val="14"/>
          <w:rFonts w:hint="eastAsia" w:ascii="仿宋" w:hAnsi="仿宋" w:eastAsia="仿宋"/>
          <w:bCs/>
          <w:color w:val="000000" w:themeColor="text1"/>
          <w:sz w:val="32"/>
          <w:szCs w:val="32"/>
          <w14:textFill>
            <w14:solidFill>
              <w14:schemeClr w14:val="tx1"/>
            </w14:solidFill>
          </w14:textFill>
        </w:rPr>
        <w:t>21</w:t>
      </w:r>
      <w:r>
        <w:rPr>
          <w:rStyle w:val="14"/>
          <w:rFonts w:ascii="仿宋" w:hAnsi="仿宋" w:eastAsia="仿宋"/>
          <w:bCs/>
          <w:color w:val="000000" w:themeColor="text1"/>
          <w:sz w:val="32"/>
          <w:szCs w:val="32"/>
          <w14:textFill>
            <w14:solidFill>
              <w14:schemeClr w14:val="tx1"/>
            </w14:solidFill>
          </w14:textFill>
        </w:rPr>
        <w:t>.</w:t>
      </w:r>
      <w:r>
        <w:rPr>
          <w:rFonts w:ascii="仿宋" w:hAnsi="仿宋" w:eastAsia="仿宋"/>
          <w:bCs/>
          <w:color w:val="000000" w:themeColor="text1"/>
          <w:sz w:val="32"/>
          <w:szCs w:val="32"/>
          <w14:textFill>
            <w14:solidFill>
              <w14:schemeClr w14:val="tx1"/>
            </w14:solidFill>
          </w14:textFill>
        </w:rPr>
        <w:t xml:space="preserve"> </w:t>
      </w:r>
      <w:r>
        <w:rPr>
          <w:rFonts w:ascii="仿宋" w:hAnsi="仿宋" w:eastAsia="仿宋"/>
          <w:b/>
          <w:bCs/>
          <w:color w:val="000000" w:themeColor="text1"/>
          <w:sz w:val="32"/>
          <w:szCs w:val="32"/>
          <w14:textFill>
            <w14:solidFill>
              <w14:schemeClr w14:val="tx1"/>
            </w14:solidFill>
          </w14:textFill>
        </w:rPr>
        <w:t>社会保障和就业支出</w:t>
      </w:r>
      <w:r>
        <w:rPr>
          <w:rStyle w:val="14"/>
          <w:rFonts w:hint="eastAsia" w:ascii="仿宋" w:hAnsi="仿宋" w:eastAsia="仿宋"/>
          <w:bCs/>
          <w:color w:val="000000" w:themeColor="text1"/>
          <w:sz w:val="32"/>
          <w:szCs w:val="32"/>
          <w14:textFill>
            <w14:solidFill>
              <w14:schemeClr w14:val="tx1"/>
            </w14:solidFill>
          </w14:textFill>
        </w:rPr>
        <w:t>（类）行政事业单位养老支出（款）行政单位离退休（项）</w:t>
      </w:r>
      <w:r>
        <w:rPr>
          <w:rStyle w:val="14"/>
          <w:rFonts w:ascii="仿宋" w:hAnsi="仿宋" w:eastAsia="仿宋"/>
          <w:bCs/>
          <w:color w:val="000000" w:themeColor="text1"/>
          <w:sz w:val="32"/>
          <w:szCs w:val="32"/>
          <w14:textFill>
            <w14:solidFill>
              <w14:schemeClr w14:val="tx1"/>
            </w14:solidFill>
          </w14:textFill>
        </w:rPr>
        <w:t>:</w:t>
      </w:r>
      <w:r>
        <w:rPr>
          <w:rStyle w:val="14"/>
          <w:rFonts w:hint="eastAsia" w:ascii="仿宋" w:hAnsi="仿宋" w:eastAsia="仿宋"/>
          <w:b w:val="0"/>
          <w:bCs/>
          <w:color w:val="000000" w:themeColor="text1"/>
          <w:sz w:val="32"/>
          <w:szCs w:val="32"/>
          <w14:textFill>
            <w14:solidFill>
              <w14:schemeClr w14:val="tx1"/>
            </w14:solidFill>
          </w14:textFill>
        </w:rPr>
        <w:t>支出决算为</w:t>
      </w:r>
      <w:r>
        <w:rPr>
          <w:rStyle w:val="14"/>
          <w:rFonts w:hint="eastAsia" w:ascii="仿宋" w:hAnsi="仿宋" w:eastAsia="仿宋"/>
          <w:b w:val="0"/>
          <w:bCs/>
          <w:color w:val="0000FF"/>
          <w:sz w:val="32"/>
          <w:szCs w:val="32"/>
        </w:rPr>
        <w:t>18.17万元</w:t>
      </w:r>
      <w:r>
        <w:rPr>
          <w:rStyle w:val="14"/>
          <w:rFonts w:hint="eastAsia" w:ascii="仿宋" w:hAnsi="仿宋" w:eastAsia="仿宋"/>
          <w:b w:val="0"/>
          <w:bCs/>
          <w:color w:val="000000" w:themeColor="text1"/>
          <w:sz w:val="32"/>
          <w:szCs w:val="32"/>
          <w14:textFill>
            <w14:solidFill>
              <w14:schemeClr w14:val="tx1"/>
            </w14:solidFill>
          </w14:textFill>
        </w:rPr>
        <w:t>，完成预算</w:t>
      </w:r>
      <w:r>
        <w:rPr>
          <w:rStyle w:val="14"/>
          <w:rFonts w:hint="eastAsia" w:ascii="仿宋" w:hAnsi="仿宋" w:eastAsia="仿宋"/>
          <w:b w:val="0"/>
          <w:bCs/>
          <w:color w:val="0000FF"/>
          <w:sz w:val="32"/>
          <w:szCs w:val="32"/>
        </w:rPr>
        <w:t>100</w:t>
      </w:r>
      <w:r>
        <w:rPr>
          <w:rStyle w:val="14"/>
          <w:rFonts w:ascii="仿宋" w:hAnsi="仿宋" w:eastAsia="仿宋"/>
          <w:b w:val="0"/>
          <w:bCs/>
          <w:color w:val="0000FF"/>
          <w:sz w:val="32"/>
          <w:szCs w:val="32"/>
        </w:rPr>
        <w:t>%</w:t>
      </w:r>
      <w:r>
        <w:rPr>
          <w:rStyle w:val="14"/>
          <w:rFonts w:hint="eastAsia" w:ascii="仿宋" w:hAnsi="仿宋" w:eastAsia="仿宋"/>
          <w:b w:val="0"/>
          <w:bCs/>
          <w:color w:val="0000FF"/>
          <w:sz w:val="32"/>
          <w:szCs w:val="32"/>
        </w:rPr>
        <w:t>。</w:t>
      </w:r>
    </w:p>
    <w:p>
      <w:pPr>
        <w:spacing w:line="600" w:lineRule="exact"/>
        <w:ind w:firstLine="642" w:firstLineChars="200"/>
        <w:rPr>
          <w:rStyle w:val="14"/>
          <w:rFonts w:ascii="仿宋" w:hAnsi="仿宋" w:eastAsia="仿宋"/>
          <w:b w:val="0"/>
          <w:bCs/>
          <w:color w:val="0000FF"/>
          <w:sz w:val="32"/>
          <w:szCs w:val="32"/>
        </w:rPr>
      </w:pPr>
      <w:r>
        <w:rPr>
          <w:rStyle w:val="14"/>
          <w:rFonts w:hint="eastAsia" w:ascii="仿宋" w:hAnsi="仿宋" w:eastAsia="仿宋"/>
          <w:bCs/>
          <w:color w:val="000000" w:themeColor="text1"/>
          <w:sz w:val="32"/>
          <w:szCs w:val="32"/>
          <w14:textFill>
            <w14:solidFill>
              <w14:schemeClr w14:val="tx1"/>
            </w14:solidFill>
          </w14:textFill>
        </w:rPr>
        <w:t>22</w:t>
      </w:r>
      <w:r>
        <w:rPr>
          <w:rStyle w:val="14"/>
          <w:rFonts w:ascii="仿宋" w:hAnsi="仿宋" w:eastAsia="仿宋"/>
          <w:bCs/>
          <w:color w:val="000000" w:themeColor="text1"/>
          <w:sz w:val="32"/>
          <w:szCs w:val="32"/>
          <w14:textFill>
            <w14:solidFill>
              <w14:schemeClr w14:val="tx1"/>
            </w14:solidFill>
          </w14:textFill>
        </w:rPr>
        <w:t>.</w:t>
      </w:r>
      <w:r>
        <w:rPr>
          <w:rFonts w:ascii="仿宋" w:hAnsi="仿宋" w:eastAsia="仿宋"/>
          <w:bCs/>
          <w:color w:val="000000" w:themeColor="text1"/>
          <w:sz w:val="32"/>
          <w:szCs w:val="32"/>
          <w14:textFill>
            <w14:solidFill>
              <w14:schemeClr w14:val="tx1"/>
            </w14:solidFill>
          </w14:textFill>
        </w:rPr>
        <w:t xml:space="preserve"> </w:t>
      </w:r>
      <w:r>
        <w:rPr>
          <w:rFonts w:ascii="仿宋" w:hAnsi="仿宋" w:eastAsia="仿宋"/>
          <w:b/>
          <w:bCs/>
          <w:color w:val="000000" w:themeColor="text1"/>
          <w:sz w:val="32"/>
          <w:szCs w:val="32"/>
          <w14:textFill>
            <w14:solidFill>
              <w14:schemeClr w14:val="tx1"/>
            </w14:solidFill>
          </w14:textFill>
        </w:rPr>
        <w:t>社会保障和就业支出</w:t>
      </w:r>
      <w:r>
        <w:rPr>
          <w:rStyle w:val="14"/>
          <w:rFonts w:hint="eastAsia" w:ascii="仿宋" w:hAnsi="仿宋" w:eastAsia="仿宋"/>
          <w:bCs/>
          <w:color w:val="000000" w:themeColor="text1"/>
          <w:sz w:val="32"/>
          <w:szCs w:val="32"/>
          <w14:textFill>
            <w14:solidFill>
              <w14:schemeClr w14:val="tx1"/>
            </w14:solidFill>
          </w14:textFill>
        </w:rPr>
        <w:t>（类）行政事业单位养老支出（款）事业单位离退休（项）</w:t>
      </w:r>
      <w:r>
        <w:rPr>
          <w:rStyle w:val="14"/>
          <w:rFonts w:ascii="仿宋" w:hAnsi="仿宋" w:eastAsia="仿宋"/>
          <w:bCs/>
          <w:color w:val="000000" w:themeColor="text1"/>
          <w:sz w:val="32"/>
          <w:szCs w:val="32"/>
          <w14:textFill>
            <w14:solidFill>
              <w14:schemeClr w14:val="tx1"/>
            </w14:solidFill>
          </w14:textFill>
        </w:rPr>
        <w:t>:</w:t>
      </w:r>
      <w:r>
        <w:rPr>
          <w:rStyle w:val="14"/>
          <w:rFonts w:hint="eastAsia" w:ascii="仿宋" w:hAnsi="仿宋" w:eastAsia="仿宋"/>
          <w:b w:val="0"/>
          <w:bCs/>
          <w:color w:val="000000" w:themeColor="text1"/>
          <w:sz w:val="32"/>
          <w:szCs w:val="32"/>
          <w14:textFill>
            <w14:solidFill>
              <w14:schemeClr w14:val="tx1"/>
            </w14:solidFill>
          </w14:textFill>
        </w:rPr>
        <w:t>支出决算为</w:t>
      </w:r>
      <w:r>
        <w:rPr>
          <w:rStyle w:val="14"/>
          <w:rFonts w:hint="eastAsia" w:ascii="仿宋" w:hAnsi="仿宋" w:eastAsia="仿宋"/>
          <w:b w:val="0"/>
          <w:bCs/>
          <w:color w:val="0000FF"/>
          <w:sz w:val="32"/>
          <w:szCs w:val="32"/>
        </w:rPr>
        <w:t>452.15万元</w:t>
      </w:r>
      <w:r>
        <w:rPr>
          <w:rStyle w:val="14"/>
          <w:rFonts w:hint="eastAsia" w:ascii="仿宋" w:hAnsi="仿宋" w:eastAsia="仿宋"/>
          <w:b w:val="0"/>
          <w:bCs/>
          <w:color w:val="000000" w:themeColor="text1"/>
          <w:sz w:val="32"/>
          <w:szCs w:val="32"/>
          <w14:textFill>
            <w14:solidFill>
              <w14:schemeClr w14:val="tx1"/>
            </w14:solidFill>
          </w14:textFill>
        </w:rPr>
        <w:t>，完成预算</w:t>
      </w:r>
      <w:r>
        <w:rPr>
          <w:rStyle w:val="14"/>
          <w:rFonts w:hint="eastAsia" w:ascii="仿宋" w:hAnsi="仿宋" w:eastAsia="仿宋"/>
          <w:b w:val="0"/>
          <w:bCs/>
          <w:color w:val="0000FF"/>
          <w:sz w:val="32"/>
          <w:szCs w:val="32"/>
        </w:rPr>
        <w:t>100</w:t>
      </w:r>
      <w:r>
        <w:rPr>
          <w:rStyle w:val="14"/>
          <w:rFonts w:ascii="仿宋" w:hAnsi="仿宋" w:eastAsia="仿宋"/>
          <w:b w:val="0"/>
          <w:bCs/>
          <w:color w:val="0000FF"/>
          <w:sz w:val="32"/>
          <w:szCs w:val="32"/>
        </w:rPr>
        <w:t>%</w:t>
      </w:r>
      <w:r>
        <w:rPr>
          <w:rStyle w:val="14"/>
          <w:rFonts w:hint="eastAsia" w:ascii="仿宋" w:hAnsi="仿宋" w:eastAsia="仿宋"/>
          <w:b w:val="0"/>
          <w:bCs/>
          <w:color w:val="0000FF"/>
          <w:sz w:val="32"/>
          <w:szCs w:val="32"/>
        </w:rPr>
        <w:t>。</w:t>
      </w:r>
    </w:p>
    <w:p>
      <w:pPr>
        <w:spacing w:line="600" w:lineRule="exact"/>
        <w:ind w:firstLine="642" w:firstLineChars="200"/>
        <w:rPr>
          <w:rStyle w:val="14"/>
          <w:rFonts w:ascii="仿宋" w:hAnsi="仿宋" w:eastAsia="仿宋"/>
          <w:b w:val="0"/>
          <w:bCs/>
          <w:color w:val="000000" w:themeColor="text1"/>
          <w:sz w:val="32"/>
          <w:szCs w:val="32"/>
          <w14:textFill>
            <w14:solidFill>
              <w14:schemeClr w14:val="tx1"/>
            </w14:solidFill>
          </w14:textFill>
        </w:rPr>
      </w:pPr>
      <w:r>
        <w:rPr>
          <w:rStyle w:val="14"/>
          <w:rFonts w:hint="eastAsia" w:ascii="仿宋" w:hAnsi="仿宋" w:eastAsia="仿宋"/>
          <w:bCs/>
          <w:color w:val="000000" w:themeColor="text1"/>
          <w:sz w:val="32"/>
          <w:szCs w:val="32"/>
          <w14:textFill>
            <w14:solidFill>
              <w14:schemeClr w14:val="tx1"/>
            </w14:solidFill>
          </w14:textFill>
        </w:rPr>
        <w:t>23</w:t>
      </w:r>
      <w:r>
        <w:rPr>
          <w:rStyle w:val="14"/>
          <w:rFonts w:ascii="仿宋" w:hAnsi="仿宋" w:eastAsia="仿宋"/>
          <w:bCs/>
          <w:color w:val="000000" w:themeColor="text1"/>
          <w:sz w:val="32"/>
          <w:szCs w:val="32"/>
          <w14:textFill>
            <w14:solidFill>
              <w14:schemeClr w14:val="tx1"/>
            </w14:solidFill>
          </w14:textFill>
        </w:rPr>
        <w:t>.</w:t>
      </w:r>
      <w:r>
        <w:rPr>
          <w:rFonts w:ascii="仿宋" w:hAnsi="仿宋" w:eastAsia="仿宋"/>
          <w:bCs/>
          <w:color w:val="000000" w:themeColor="text1"/>
          <w:sz w:val="32"/>
          <w:szCs w:val="32"/>
          <w14:textFill>
            <w14:solidFill>
              <w14:schemeClr w14:val="tx1"/>
            </w14:solidFill>
          </w14:textFill>
        </w:rPr>
        <w:t xml:space="preserve"> </w:t>
      </w:r>
      <w:r>
        <w:rPr>
          <w:rFonts w:ascii="仿宋" w:hAnsi="仿宋" w:eastAsia="仿宋"/>
          <w:b/>
          <w:bCs/>
          <w:color w:val="000000" w:themeColor="text1"/>
          <w:sz w:val="32"/>
          <w:szCs w:val="32"/>
          <w14:textFill>
            <w14:solidFill>
              <w14:schemeClr w14:val="tx1"/>
            </w14:solidFill>
          </w14:textFill>
        </w:rPr>
        <w:t>社会保障和就业支出</w:t>
      </w:r>
      <w:r>
        <w:rPr>
          <w:rStyle w:val="14"/>
          <w:rFonts w:hint="eastAsia" w:ascii="仿宋" w:hAnsi="仿宋" w:eastAsia="仿宋"/>
          <w:bCs/>
          <w:color w:val="000000" w:themeColor="text1"/>
          <w:sz w:val="32"/>
          <w:szCs w:val="32"/>
          <w14:textFill>
            <w14:solidFill>
              <w14:schemeClr w14:val="tx1"/>
            </w14:solidFill>
          </w14:textFill>
        </w:rPr>
        <w:t>（类）行政事业单位养老支出（款）机关事业单位基本养老保险缴费支出（项）</w:t>
      </w:r>
      <w:r>
        <w:rPr>
          <w:rStyle w:val="14"/>
          <w:rFonts w:ascii="仿宋" w:hAnsi="仿宋" w:eastAsia="仿宋"/>
          <w:bCs/>
          <w:color w:val="000000" w:themeColor="text1"/>
          <w:sz w:val="32"/>
          <w:szCs w:val="32"/>
          <w14:textFill>
            <w14:solidFill>
              <w14:schemeClr w14:val="tx1"/>
            </w14:solidFill>
          </w14:textFill>
        </w:rPr>
        <w:t>:</w:t>
      </w:r>
      <w:r>
        <w:rPr>
          <w:rStyle w:val="14"/>
          <w:rFonts w:ascii="仿宋" w:hAnsi="仿宋" w:eastAsia="仿宋"/>
          <w:b w:val="0"/>
          <w:bCs/>
          <w:color w:val="000000" w:themeColor="text1"/>
          <w:sz w:val="32"/>
          <w:szCs w:val="32"/>
          <w14:textFill>
            <w14:solidFill>
              <w14:schemeClr w14:val="tx1"/>
            </w14:solidFill>
          </w14:textFill>
        </w:rPr>
        <w:t xml:space="preserve"> </w:t>
      </w:r>
      <w:r>
        <w:rPr>
          <w:rStyle w:val="14"/>
          <w:rFonts w:hint="eastAsia" w:ascii="仿宋" w:hAnsi="仿宋" w:eastAsia="仿宋"/>
          <w:b w:val="0"/>
          <w:bCs/>
          <w:color w:val="000000" w:themeColor="text1"/>
          <w:sz w:val="32"/>
          <w:szCs w:val="32"/>
          <w14:textFill>
            <w14:solidFill>
              <w14:schemeClr w14:val="tx1"/>
            </w14:solidFill>
          </w14:textFill>
        </w:rPr>
        <w:t>支出决算为</w:t>
      </w:r>
      <w:r>
        <w:rPr>
          <w:rStyle w:val="14"/>
          <w:rFonts w:hint="eastAsia" w:ascii="仿宋" w:hAnsi="仿宋" w:eastAsia="仿宋"/>
          <w:b w:val="0"/>
          <w:bCs/>
          <w:color w:val="0000FF"/>
          <w:sz w:val="32"/>
          <w:szCs w:val="32"/>
        </w:rPr>
        <w:t>4187.77万元</w:t>
      </w:r>
      <w:r>
        <w:rPr>
          <w:rStyle w:val="14"/>
          <w:rFonts w:hint="eastAsia" w:ascii="仿宋" w:hAnsi="仿宋" w:eastAsia="仿宋"/>
          <w:b w:val="0"/>
          <w:bCs/>
          <w:color w:val="000000" w:themeColor="text1"/>
          <w:sz w:val="32"/>
          <w:szCs w:val="32"/>
          <w14:textFill>
            <w14:solidFill>
              <w14:schemeClr w14:val="tx1"/>
            </w14:solidFill>
          </w14:textFill>
        </w:rPr>
        <w:t>，完成预算</w:t>
      </w:r>
      <w:r>
        <w:rPr>
          <w:rStyle w:val="14"/>
          <w:rFonts w:hint="eastAsia" w:ascii="仿宋" w:hAnsi="仿宋" w:eastAsia="仿宋"/>
          <w:b w:val="0"/>
          <w:bCs/>
          <w:color w:val="0000FF"/>
          <w:sz w:val="32"/>
          <w:szCs w:val="32"/>
        </w:rPr>
        <w:t>99.17</w:t>
      </w:r>
      <w:r>
        <w:rPr>
          <w:rStyle w:val="14"/>
          <w:rFonts w:ascii="仿宋" w:hAnsi="仿宋" w:eastAsia="仿宋"/>
          <w:b w:val="0"/>
          <w:bCs/>
          <w:color w:val="0000FF"/>
          <w:sz w:val="32"/>
          <w:szCs w:val="32"/>
        </w:rPr>
        <w:t>%</w:t>
      </w:r>
      <w:r>
        <w:rPr>
          <w:rStyle w:val="14"/>
          <w:rFonts w:hint="eastAsia" w:ascii="仿宋" w:hAnsi="仿宋" w:eastAsia="仿宋"/>
          <w:b w:val="0"/>
          <w:bCs/>
          <w:color w:val="000000" w:themeColor="text1"/>
          <w:sz w:val="32"/>
          <w:szCs w:val="32"/>
          <w14:textFill>
            <w14:solidFill>
              <w14:schemeClr w14:val="tx1"/>
            </w14:solidFill>
          </w14:textFill>
        </w:rPr>
        <w:t>。决算数小于预算数的主要原因是</w:t>
      </w:r>
      <w:r>
        <w:rPr>
          <w:rStyle w:val="14"/>
          <w:rFonts w:hint="eastAsia" w:ascii="仿宋" w:hAnsi="仿宋" w:eastAsia="仿宋"/>
          <w:b w:val="0"/>
          <w:bCs/>
          <w:color w:val="0000FF"/>
          <w:sz w:val="32"/>
          <w:szCs w:val="32"/>
        </w:rPr>
        <w:t>个别学校年底大平台资金清算，12月</w:t>
      </w:r>
      <w:r>
        <w:rPr>
          <w:rStyle w:val="14"/>
          <w:rFonts w:hint="eastAsia" w:ascii="仿宋" w:hAnsi="仿宋" w:eastAsia="仿宋"/>
          <w:b w:val="0"/>
          <w:bCs/>
          <w:color w:val="0000FF"/>
          <w:sz w:val="32"/>
          <w:szCs w:val="32"/>
          <w:highlight w:val="yellow"/>
        </w:rPr>
        <w:t>养老保险缴费资金未按时缴纳，资金结转</w:t>
      </w:r>
      <w:r>
        <w:rPr>
          <w:rStyle w:val="14"/>
          <w:rFonts w:hint="eastAsia" w:ascii="仿宋" w:hAnsi="仿宋" w:eastAsia="仿宋"/>
          <w:b w:val="0"/>
          <w:bCs/>
          <w:color w:val="0000FF"/>
          <w:sz w:val="32"/>
          <w:szCs w:val="32"/>
          <w:highlight w:val="yellow"/>
          <w:lang w:val="en-US" w:eastAsia="zh-CN"/>
        </w:rPr>
        <w:t>次年元月</w:t>
      </w:r>
      <w:r>
        <w:rPr>
          <w:rStyle w:val="14"/>
          <w:rFonts w:hint="eastAsia" w:ascii="仿宋" w:hAnsi="仿宋" w:eastAsia="仿宋"/>
          <w:b w:val="0"/>
          <w:bCs/>
          <w:color w:val="0000FF"/>
          <w:sz w:val="32"/>
          <w:szCs w:val="32"/>
          <w:highlight w:val="yellow"/>
        </w:rPr>
        <w:t>使用。</w:t>
      </w:r>
    </w:p>
    <w:p>
      <w:pPr>
        <w:spacing w:line="600" w:lineRule="exact"/>
        <w:ind w:firstLine="642" w:firstLineChars="200"/>
        <w:rPr>
          <w:rStyle w:val="14"/>
          <w:rFonts w:ascii="仿宋" w:hAnsi="仿宋" w:eastAsia="仿宋"/>
          <w:b w:val="0"/>
          <w:bCs/>
          <w:color w:val="000000" w:themeColor="text1"/>
          <w:sz w:val="32"/>
          <w:szCs w:val="32"/>
          <w14:textFill>
            <w14:solidFill>
              <w14:schemeClr w14:val="tx1"/>
            </w14:solidFill>
          </w14:textFill>
        </w:rPr>
      </w:pPr>
      <w:r>
        <w:rPr>
          <w:rStyle w:val="14"/>
          <w:rFonts w:hint="eastAsia" w:ascii="仿宋" w:hAnsi="仿宋" w:eastAsia="仿宋"/>
          <w:bCs/>
          <w:color w:val="000000" w:themeColor="text1"/>
          <w:sz w:val="32"/>
          <w:szCs w:val="32"/>
          <w14:textFill>
            <w14:solidFill>
              <w14:schemeClr w14:val="tx1"/>
            </w14:solidFill>
          </w14:textFill>
        </w:rPr>
        <w:t>24</w:t>
      </w:r>
      <w:r>
        <w:rPr>
          <w:rStyle w:val="14"/>
          <w:rFonts w:ascii="仿宋" w:hAnsi="仿宋" w:eastAsia="仿宋"/>
          <w:bCs/>
          <w:color w:val="000000" w:themeColor="text1"/>
          <w:sz w:val="32"/>
          <w:szCs w:val="32"/>
          <w14:textFill>
            <w14:solidFill>
              <w14:schemeClr w14:val="tx1"/>
            </w14:solidFill>
          </w14:textFill>
        </w:rPr>
        <w:t>.</w:t>
      </w:r>
      <w:r>
        <w:rPr>
          <w:rFonts w:ascii="仿宋" w:hAnsi="仿宋" w:eastAsia="仿宋"/>
          <w:bCs/>
          <w:color w:val="000000" w:themeColor="text1"/>
          <w:sz w:val="32"/>
          <w:szCs w:val="32"/>
          <w14:textFill>
            <w14:solidFill>
              <w14:schemeClr w14:val="tx1"/>
            </w14:solidFill>
          </w14:textFill>
        </w:rPr>
        <w:t xml:space="preserve"> </w:t>
      </w:r>
      <w:r>
        <w:rPr>
          <w:rFonts w:ascii="仿宋" w:hAnsi="仿宋" w:eastAsia="仿宋"/>
          <w:b/>
          <w:bCs/>
          <w:color w:val="000000" w:themeColor="text1"/>
          <w:sz w:val="32"/>
          <w:szCs w:val="32"/>
          <w14:textFill>
            <w14:solidFill>
              <w14:schemeClr w14:val="tx1"/>
            </w14:solidFill>
          </w14:textFill>
        </w:rPr>
        <w:t>社会保障和就业支出</w:t>
      </w:r>
      <w:r>
        <w:rPr>
          <w:rStyle w:val="14"/>
          <w:rFonts w:hint="eastAsia" w:ascii="仿宋" w:hAnsi="仿宋" w:eastAsia="仿宋"/>
          <w:bCs/>
          <w:color w:val="000000" w:themeColor="text1"/>
          <w:sz w:val="32"/>
          <w:szCs w:val="32"/>
          <w14:textFill>
            <w14:solidFill>
              <w14:schemeClr w14:val="tx1"/>
            </w14:solidFill>
          </w14:textFill>
        </w:rPr>
        <w:t>（类）行政事业单位离退休（款）机关事业单位职业年金缴费支出（项）</w:t>
      </w:r>
      <w:r>
        <w:rPr>
          <w:rStyle w:val="14"/>
          <w:rFonts w:ascii="仿宋" w:hAnsi="仿宋" w:eastAsia="仿宋"/>
          <w:bCs/>
          <w:color w:val="000000" w:themeColor="text1"/>
          <w:sz w:val="32"/>
          <w:szCs w:val="32"/>
          <w14:textFill>
            <w14:solidFill>
              <w14:schemeClr w14:val="tx1"/>
            </w14:solidFill>
          </w14:textFill>
        </w:rPr>
        <w:t>:</w:t>
      </w:r>
      <w:r>
        <w:rPr>
          <w:rStyle w:val="14"/>
          <w:rFonts w:ascii="仿宋" w:hAnsi="仿宋" w:eastAsia="仿宋"/>
          <w:b w:val="0"/>
          <w:bCs/>
          <w:color w:val="000000" w:themeColor="text1"/>
          <w:sz w:val="32"/>
          <w:szCs w:val="32"/>
          <w14:textFill>
            <w14:solidFill>
              <w14:schemeClr w14:val="tx1"/>
            </w14:solidFill>
          </w14:textFill>
        </w:rPr>
        <w:t xml:space="preserve"> </w:t>
      </w:r>
      <w:r>
        <w:rPr>
          <w:rStyle w:val="14"/>
          <w:rFonts w:hint="eastAsia" w:ascii="仿宋" w:hAnsi="仿宋" w:eastAsia="仿宋"/>
          <w:b w:val="0"/>
          <w:bCs/>
          <w:color w:val="000000" w:themeColor="text1"/>
          <w:sz w:val="32"/>
          <w:szCs w:val="32"/>
          <w14:textFill>
            <w14:solidFill>
              <w14:schemeClr w14:val="tx1"/>
            </w14:solidFill>
          </w14:textFill>
        </w:rPr>
        <w:t>支出决算为</w:t>
      </w:r>
      <w:r>
        <w:rPr>
          <w:rStyle w:val="14"/>
          <w:rFonts w:hint="eastAsia" w:ascii="仿宋" w:hAnsi="仿宋" w:eastAsia="仿宋"/>
          <w:b w:val="0"/>
          <w:bCs/>
          <w:color w:val="0000FF"/>
          <w:sz w:val="32"/>
          <w:szCs w:val="32"/>
        </w:rPr>
        <w:t>333.94万元</w:t>
      </w:r>
      <w:r>
        <w:rPr>
          <w:rStyle w:val="14"/>
          <w:rFonts w:hint="eastAsia" w:ascii="仿宋" w:hAnsi="仿宋" w:eastAsia="仿宋"/>
          <w:b w:val="0"/>
          <w:bCs/>
          <w:color w:val="000000" w:themeColor="text1"/>
          <w:sz w:val="32"/>
          <w:szCs w:val="32"/>
          <w14:textFill>
            <w14:solidFill>
              <w14:schemeClr w14:val="tx1"/>
            </w14:solidFill>
          </w14:textFill>
        </w:rPr>
        <w:t>，完成预算</w:t>
      </w:r>
      <w:r>
        <w:rPr>
          <w:rStyle w:val="14"/>
          <w:rFonts w:hint="eastAsia" w:ascii="仿宋" w:hAnsi="仿宋" w:eastAsia="仿宋"/>
          <w:b w:val="0"/>
          <w:bCs/>
          <w:color w:val="0000FF"/>
          <w:sz w:val="32"/>
          <w:szCs w:val="32"/>
        </w:rPr>
        <w:t>100</w:t>
      </w:r>
      <w:r>
        <w:rPr>
          <w:rStyle w:val="14"/>
          <w:rFonts w:ascii="仿宋" w:hAnsi="仿宋" w:eastAsia="仿宋"/>
          <w:b w:val="0"/>
          <w:bCs/>
          <w:color w:val="0000FF"/>
          <w:sz w:val="32"/>
          <w:szCs w:val="32"/>
        </w:rPr>
        <w:t>%</w:t>
      </w:r>
      <w:r>
        <w:rPr>
          <w:rStyle w:val="14"/>
          <w:rFonts w:hint="eastAsia" w:ascii="仿宋" w:hAnsi="仿宋" w:eastAsia="仿宋"/>
          <w:b w:val="0"/>
          <w:bCs/>
          <w:color w:val="000000" w:themeColor="text1"/>
          <w:sz w:val="32"/>
          <w:szCs w:val="32"/>
          <w14:textFill>
            <w14:solidFill>
              <w14:schemeClr w14:val="tx1"/>
            </w14:solidFill>
          </w14:textFill>
        </w:rPr>
        <w:t>。</w:t>
      </w:r>
    </w:p>
    <w:p>
      <w:pPr>
        <w:spacing w:line="600" w:lineRule="exact"/>
        <w:ind w:firstLine="642" w:firstLineChars="200"/>
        <w:rPr>
          <w:rStyle w:val="14"/>
          <w:rFonts w:ascii="仿宋" w:hAnsi="仿宋" w:eastAsia="仿宋"/>
          <w:b w:val="0"/>
          <w:bCs/>
          <w:color w:val="000000" w:themeColor="text1"/>
          <w:sz w:val="32"/>
          <w:szCs w:val="32"/>
          <w14:textFill>
            <w14:solidFill>
              <w14:schemeClr w14:val="tx1"/>
            </w14:solidFill>
          </w14:textFill>
        </w:rPr>
      </w:pPr>
      <w:r>
        <w:rPr>
          <w:rStyle w:val="14"/>
          <w:rFonts w:hint="eastAsia" w:ascii="仿宋" w:hAnsi="仿宋" w:eastAsia="仿宋"/>
          <w:bCs/>
          <w:color w:val="000000" w:themeColor="text1"/>
          <w:sz w:val="32"/>
          <w:szCs w:val="32"/>
          <w14:textFill>
            <w14:solidFill>
              <w14:schemeClr w14:val="tx1"/>
            </w14:solidFill>
          </w14:textFill>
        </w:rPr>
        <w:t>25</w:t>
      </w:r>
      <w:r>
        <w:rPr>
          <w:rStyle w:val="14"/>
          <w:rFonts w:ascii="仿宋" w:hAnsi="仿宋" w:eastAsia="仿宋"/>
          <w:bCs/>
          <w:color w:val="000000" w:themeColor="text1"/>
          <w:sz w:val="32"/>
          <w:szCs w:val="32"/>
          <w14:textFill>
            <w14:solidFill>
              <w14:schemeClr w14:val="tx1"/>
            </w14:solidFill>
          </w14:textFill>
        </w:rPr>
        <w:t>.</w:t>
      </w:r>
      <w:r>
        <w:rPr>
          <w:rFonts w:ascii="仿宋" w:hAnsi="仿宋" w:eastAsia="仿宋"/>
          <w:bCs/>
          <w:color w:val="000000" w:themeColor="text1"/>
          <w:sz w:val="32"/>
          <w:szCs w:val="32"/>
          <w14:textFill>
            <w14:solidFill>
              <w14:schemeClr w14:val="tx1"/>
            </w14:solidFill>
          </w14:textFill>
        </w:rPr>
        <w:t xml:space="preserve"> </w:t>
      </w:r>
      <w:r>
        <w:rPr>
          <w:rFonts w:ascii="仿宋" w:hAnsi="仿宋" w:eastAsia="仿宋"/>
          <w:b/>
          <w:bCs/>
          <w:color w:val="000000" w:themeColor="text1"/>
          <w:sz w:val="32"/>
          <w:szCs w:val="32"/>
          <w14:textFill>
            <w14:solidFill>
              <w14:schemeClr w14:val="tx1"/>
            </w14:solidFill>
          </w14:textFill>
        </w:rPr>
        <w:t>社会保障和就业支出</w:t>
      </w:r>
      <w:r>
        <w:rPr>
          <w:rStyle w:val="14"/>
          <w:rFonts w:hint="eastAsia" w:ascii="仿宋" w:hAnsi="仿宋" w:eastAsia="仿宋"/>
          <w:bCs/>
          <w:color w:val="000000" w:themeColor="text1"/>
          <w:sz w:val="32"/>
          <w:szCs w:val="32"/>
          <w14:textFill>
            <w14:solidFill>
              <w14:schemeClr w14:val="tx1"/>
            </w14:solidFill>
          </w14:textFill>
        </w:rPr>
        <w:t>（类）抚恤（款）死亡抚恤（项）</w:t>
      </w:r>
      <w:r>
        <w:rPr>
          <w:rStyle w:val="14"/>
          <w:rFonts w:ascii="仿宋" w:hAnsi="仿宋" w:eastAsia="仿宋"/>
          <w:bCs/>
          <w:color w:val="000000" w:themeColor="text1"/>
          <w:sz w:val="32"/>
          <w:szCs w:val="32"/>
          <w14:textFill>
            <w14:solidFill>
              <w14:schemeClr w14:val="tx1"/>
            </w14:solidFill>
          </w14:textFill>
        </w:rPr>
        <w:t>:</w:t>
      </w:r>
      <w:r>
        <w:rPr>
          <w:rStyle w:val="14"/>
          <w:rFonts w:hint="eastAsia" w:ascii="仿宋" w:hAnsi="仿宋" w:eastAsia="仿宋"/>
          <w:b w:val="0"/>
          <w:bCs/>
          <w:color w:val="000000" w:themeColor="text1"/>
          <w:sz w:val="32"/>
          <w:szCs w:val="32"/>
          <w14:textFill>
            <w14:solidFill>
              <w14:schemeClr w14:val="tx1"/>
            </w14:solidFill>
          </w14:textFill>
        </w:rPr>
        <w:t>支出决算为</w:t>
      </w:r>
      <w:r>
        <w:rPr>
          <w:rStyle w:val="14"/>
          <w:rFonts w:hint="eastAsia" w:ascii="仿宋" w:hAnsi="仿宋" w:eastAsia="仿宋"/>
          <w:b w:val="0"/>
          <w:bCs/>
          <w:color w:val="0000FF"/>
          <w:sz w:val="32"/>
          <w:szCs w:val="32"/>
        </w:rPr>
        <w:t>192.07万元</w:t>
      </w:r>
      <w:r>
        <w:rPr>
          <w:rStyle w:val="14"/>
          <w:rFonts w:hint="eastAsia" w:ascii="仿宋" w:hAnsi="仿宋" w:eastAsia="仿宋"/>
          <w:b w:val="0"/>
          <w:bCs/>
          <w:color w:val="000000" w:themeColor="text1"/>
          <w:sz w:val="32"/>
          <w:szCs w:val="32"/>
          <w14:textFill>
            <w14:solidFill>
              <w14:schemeClr w14:val="tx1"/>
            </w14:solidFill>
          </w14:textFill>
        </w:rPr>
        <w:t>，完成预算</w:t>
      </w:r>
      <w:r>
        <w:rPr>
          <w:rStyle w:val="14"/>
          <w:rFonts w:hint="eastAsia" w:ascii="仿宋" w:hAnsi="仿宋" w:eastAsia="仿宋"/>
          <w:b w:val="0"/>
          <w:bCs/>
          <w:color w:val="0000FF"/>
          <w:sz w:val="32"/>
          <w:szCs w:val="32"/>
        </w:rPr>
        <w:t>100</w:t>
      </w:r>
      <w:r>
        <w:rPr>
          <w:rStyle w:val="14"/>
          <w:rFonts w:ascii="仿宋" w:hAnsi="仿宋" w:eastAsia="仿宋"/>
          <w:b w:val="0"/>
          <w:bCs/>
          <w:color w:val="0000FF"/>
          <w:sz w:val="32"/>
          <w:szCs w:val="32"/>
        </w:rPr>
        <w:t>%</w:t>
      </w:r>
      <w:r>
        <w:rPr>
          <w:rStyle w:val="14"/>
          <w:rFonts w:hint="eastAsia" w:ascii="仿宋" w:hAnsi="仿宋" w:eastAsia="仿宋"/>
          <w:b w:val="0"/>
          <w:bCs/>
          <w:color w:val="000000" w:themeColor="text1"/>
          <w:sz w:val="32"/>
          <w:szCs w:val="32"/>
          <w14:textFill>
            <w14:solidFill>
              <w14:schemeClr w14:val="tx1"/>
            </w14:solidFill>
          </w14:textFill>
        </w:rPr>
        <w:t>。</w:t>
      </w:r>
    </w:p>
    <w:p>
      <w:pPr>
        <w:spacing w:line="600" w:lineRule="exact"/>
        <w:ind w:firstLine="642" w:firstLineChars="200"/>
        <w:rPr>
          <w:rStyle w:val="14"/>
          <w:rFonts w:ascii="仿宋" w:hAnsi="仿宋" w:eastAsia="仿宋"/>
          <w:b w:val="0"/>
          <w:bCs/>
          <w:color w:val="000000" w:themeColor="text1"/>
          <w:sz w:val="32"/>
          <w:szCs w:val="32"/>
          <w14:textFill>
            <w14:solidFill>
              <w14:schemeClr w14:val="tx1"/>
            </w14:solidFill>
          </w14:textFill>
        </w:rPr>
      </w:pPr>
      <w:r>
        <w:rPr>
          <w:rStyle w:val="14"/>
          <w:rFonts w:hint="eastAsia" w:ascii="仿宋" w:hAnsi="仿宋" w:eastAsia="仿宋"/>
          <w:bCs/>
          <w:color w:val="000000" w:themeColor="text1"/>
          <w:sz w:val="32"/>
          <w:szCs w:val="32"/>
          <w14:textFill>
            <w14:solidFill>
              <w14:schemeClr w14:val="tx1"/>
            </w14:solidFill>
          </w14:textFill>
        </w:rPr>
        <w:t>26</w:t>
      </w:r>
      <w:r>
        <w:rPr>
          <w:rStyle w:val="14"/>
          <w:rFonts w:ascii="仿宋" w:hAnsi="仿宋" w:eastAsia="仿宋"/>
          <w:bCs/>
          <w:color w:val="000000" w:themeColor="text1"/>
          <w:sz w:val="32"/>
          <w:szCs w:val="32"/>
          <w14:textFill>
            <w14:solidFill>
              <w14:schemeClr w14:val="tx1"/>
            </w14:solidFill>
          </w14:textFill>
        </w:rPr>
        <w:t>.</w:t>
      </w:r>
      <w:r>
        <w:rPr>
          <w:rFonts w:ascii="仿宋" w:hAnsi="仿宋" w:eastAsia="仿宋"/>
          <w:bCs/>
          <w:color w:val="000000" w:themeColor="text1"/>
          <w:sz w:val="32"/>
          <w:szCs w:val="32"/>
          <w14:textFill>
            <w14:solidFill>
              <w14:schemeClr w14:val="tx1"/>
            </w14:solidFill>
          </w14:textFill>
        </w:rPr>
        <w:t xml:space="preserve"> </w:t>
      </w:r>
      <w:r>
        <w:rPr>
          <w:rFonts w:ascii="仿宋" w:hAnsi="仿宋" w:eastAsia="仿宋"/>
          <w:b/>
          <w:bCs/>
          <w:color w:val="000000" w:themeColor="text1"/>
          <w:sz w:val="32"/>
          <w:szCs w:val="32"/>
          <w14:textFill>
            <w14:solidFill>
              <w14:schemeClr w14:val="tx1"/>
            </w14:solidFill>
          </w14:textFill>
        </w:rPr>
        <w:t>社会保障和就业支出</w:t>
      </w:r>
      <w:r>
        <w:rPr>
          <w:rStyle w:val="14"/>
          <w:rFonts w:hint="eastAsia" w:ascii="仿宋" w:hAnsi="仿宋" w:eastAsia="仿宋"/>
          <w:bCs/>
          <w:color w:val="000000" w:themeColor="text1"/>
          <w:sz w:val="32"/>
          <w:szCs w:val="32"/>
          <w14:textFill>
            <w14:solidFill>
              <w14:schemeClr w14:val="tx1"/>
            </w14:solidFill>
          </w14:textFill>
        </w:rPr>
        <w:t>（类）其它社会保障和就业支出（款）其它社会保障和就业支出（项）</w:t>
      </w:r>
      <w:r>
        <w:rPr>
          <w:rStyle w:val="14"/>
          <w:rFonts w:ascii="仿宋" w:hAnsi="仿宋" w:eastAsia="仿宋"/>
          <w:bCs/>
          <w:color w:val="000000" w:themeColor="text1"/>
          <w:sz w:val="32"/>
          <w:szCs w:val="32"/>
          <w14:textFill>
            <w14:solidFill>
              <w14:schemeClr w14:val="tx1"/>
            </w14:solidFill>
          </w14:textFill>
        </w:rPr>
        <w:t>:</w:t>
      </w:r>
      <w:r>
        <w:rPr>
          <w:rStyle w:val="14"/>
          <w:rFonts w:hint="eastAsia" w:ascii="仿宋" w:hAnsi="仿宋" w:eastAsia="仿宋"/>
          <w:b w:val="0"/>
          <w:bCs/>
          <w:color w:val="000000" w:themeColor="text1"/>
          <w:sz w:val="32"/>
          <w:szCs w:val="32"/>
          <w14:textFill>
            <w14:solidFill>
              <w14:schemeClr w14:val="tx1"/>
            </w14:solidFill>
          </w14:textFill>
        </w:rPr>
        <w:t>支出决算为</w:t>
      </w:r>
      <w:r>
        <w:rPr>
          <w:rStyle w:val="14"/>
          <w:rFonts w:hint="eastAsia" w:ascii="仿宋" w:hAnsi="仿宋" w:eastAsia="仿宋"/>
          <w:b w:val="0"/>
          <w:bCs/>
          <w:color w:val="0000FF"/>
          <w:sz w:val="32"/>
          <w:szCs w:val="32"/>
        </w:rPr>
        <w:t>385.85万元</w:t>
      </w:r>
      <w:r>
        <w:rPr>
          <w:rStyle w:val="14"/>
          <w:rFonts w:hint="eastAsia" w:ascii="仿宋" w:hAnsi="仿宋" w:eastAsia="仿宋"/>
          <w:b w:val="0"/>
          <w:bCs/>
          <w:color w:val="000000" w:themeColor="text1"/>
          <w:sz w:val="32"/>
          <w:szCs w:val="32"/>
          <w14:textFill>
            <w14:solidFill>
              <w14:schemeClr w14:val="tx1"/>
            </w14:solidFill>
          </w14:textFill>
        </w:rPr>
        <w:t>，完成预算</w:t>
      </w:r>
      <w:r>
        <w:rPr>
          <w:rStyle w:val="14"/>
          <w:rFonts w:hint="eastAsia" w:ascii="仿宋" w:hAnsi="仿宋" w:eastAsia="仿宋"/>
          <w:b w:val="0"/>
          <w:bCs/>
          <w:color w:val="0000FF"/>
          <w:sz w:val="32"/>
          <w:szCs w:val="32"/>
        </w:rPr>
        <w:t>100</w:t>
      </w:r>
      <w:r>
        <w:rPr>
          <w:rStyle w:val="14"/>
          <w:rFonts w:ascii="仿宋" w:hAnsi="仿宋" w:eastAsia="仿宋"/>
          <w:b w:val="0"/>
          <w:bCs/>
          <w:color w:val="0000FF"/>
          <w:sz w:val="32"/>
          <w:szCs w:val="32"/>
        </w:rPr>
        <w:t>%</w:t>
      </w:r>
      <w:r>
        <w:rPr>
          <w:rStyle w:val="14"/>
          <w:rFonts w:hint="eastAsia" w:ascii="仿宋" w:hAnsi="仿宋" w:eastAsia="仿宋"/>
          <w:b w:val="0"/>
          <w:bCs/>
          <w:color w:val="000000" w:themeColor="text1"/>
          <w:sz w:val="32"/>
          <w:szCs w:val="32"/>
          <w14:textFill>
            <w14:solidFill>
              <w14:schemeClr w14:val="tx1"/>
            </w14:solidFill>
          </w14:textFill>
        </w:rPr>
        <w:t>。</w:t>
      </w:r>
    </w:p>
    <w:p>
      <w:pPr>
        <w:spacing w:line="600" w:lineRule="exact"/>
        <w:ind w:firstLine="642" w:firstLineChars="200"/>
        <w:rPr>
          <w:rStyle w:val="14"/>
          <w:rFonts w:ascii="仿宋" w:hAnsi="仿宋" w:eastAsia="仿宋"/>
          <w:b w:val="0"/>
          <w:bCs/>
          <w:color w:val="000000" w:themeColor="text1"/>
          <w:sz w:val="32"/>
          <w:szCs w:val="32"/>
          <w14:textFill>
            <w14:solidFill>
              <w14:schemeClr w14:val="tx1"/>
            </w14:solidFill>
          </w14:textFill>
        </w:rPr>
      </w:pPr>
      <w:r>
        <w:rPr>
          <w:rStyle w:val="14"/>
          <w:rFonts w:hint="eastAsia" w:ascii="仿宋" w:hAnsi="仿宋" w:eastAsia="仿宋"/>
          <w:bCs/>
          <w:color w:val="000000" w:themeColor="text1"/>
          <w:sz w:val="32"/>
          <w:szCs w:val="32"/>
          <w14:textFill>
            <w14:solidFill>
              <w14:schemeClr w14:val="tx1"/>
            </w14:solidFill>
          </w14:textFill>
        </w:rPr>
        <w:t>27</w:t>
      </w:r>
      <w:r>
        <w:rPr>
          <w:rStyle w:val="14"/>
          <w:rFonts w:ascii="仿宋" w:hAnsi="仿宋" w:eastAsia="仿宋"/>
          <w:bCs/>
          <w:color w:val="000000" w:themeColor="text1"/>
          <w:sz w:val="32"/>
          <w:szCs w:val="32"/>
          <w14:textFill>
            <w14:solidFill>
              <w14:schemeClr w14:val="tx1"/>
            </w14:solidFill>
          </w14:textFill>
        </w:rPr>
        <w:t>.</w:t>
      </w:r>
      <w:r>
        <w:rPr>
          <w:rFonts w:ascii="仿宋" w:hAnsi="仿宋" w:eastAsia="仿宋"/>
          <w:bCs/>
          <w:color w:val="000000" w:themeColor="text1"/>
          <w:sz w:val="32"/>
          <w:szCs w:val="32"/>
          <w14:textFill>
            <w14:solidFill>
              <w14:schemeClr w14:val="tx1"/>
            </w14:solidFill>
          </w14:textFill>
        </w:rPr>
        <w:t xml:space="preserve"> </w:t>
      </w:r>
      <w:r>
        <w:rPr>
          <w:rFonts w:hint="eastAsia" w:ascii="仿宋" w:hAnsi="仿宋" w:eastAsia="仿宋"/>
          <w:b/>
          <w:bCs/>
          <w:color w:val="000000" w:themeColor="text1"/>
          <w:sz w:val="32"/>
          <w:szCs w:val="32"/>
          <w14:textFill>
            <w14:solidFill>
              <w14:schemeClr w14:val="tx1"/>
            </w14:solidFill>
          </w14:textFill>
        </w:rPr>
        <w:t>卫生健康支出</w:t>
      </w:r>
      <w:r>
        <w:rPr>
          <w:rStyle w:val="14"/>
          <w:rFonts w:hint="eastAsia" w:ascii="仿宋" w:hAnsi="仿宋" w:eastAsia="仿宋"/>
          <w:bCs/>
          <w:color w:val="000000" w:themeColor="text1"/>
          <w:sz w:val="32"/>
          <w:szCs w:val="32"/>
          <w14:textFill>
            <w14:solidFill>
              <w14:schemeClr w14:val="tx1"/>
            </w14:solidFill>
          </w14:textFill>
        </w:rPr>
        <w:t>（类）行政事业单位医疗（款）行政单位医疗（项）</w:t>
      </w:r>
      <w:r>
        <w:rPr>
          <w:rStyle w:val="14"/>
          <w:rFonts w:ascii="仿宋" w:hAnsi="仿宋" w:eastAsia="仿宋"/>
          <w:bCs/>
          <w:color w:val="000000" w:themeColor="text1"/>
          <w:sz w:val="32"/>
          <w:szCs w:val="32"/>
          <w14:textFill>
            <w14:solidFill>
              <w14:schemeClr w14:val="tx1"/>
            </w14:solidFill>
          </w14:textFill>
        </w:rPr>
        <w:t>:</w:t>
      </w:r>
      <w:r>
        <w:rPr>
          <w:rStyle w:val="14"/>
          <w:rFonts w:ascii="仿宋" w:hAnsi="仿宋" w:eastAsia="仿宋"/>
          <w:b w:val="0"/>
          <w:bCs/>
          <w:color w:val="000000" w:themeColor="text1"/>
          <w:sz w:val="32"/>
          <w:szCs w:val="32"/>
          <w14:textFill>
            <w14:solidFill>
              <w14:schemeClr w14:val="tx1"/>
            </w14:solidFill>
          </w14:textFill>
        </w:rPr>
        <w:t xml:space="preserve"> </w:t>
      </w:r>
      <w:r>
        <w:rPr>
          <w:rStyle w:val="14"/>
          <w:rFonts w:hint="eastAsia" w:ascii="仿宋" w:hAnsi="仿宋" w:eastAsia="仿宋"/>
          <w:b w:val="0"/>
          <w:bCs/>
          <w:color w:val="000000" w:themeColor="text1"/>
          <w:sz w:val="32"/>
          <w:szCs w:val="32"/>
          <w14:textFill>
            <w14:solidFill>
              <w14:schemeClr w14:val="tx1"/>
            </w14:solidFill>
          </w14:textFill>
        </w:rPr>
        <w:t>支出决算为</w:t>
      </w:r>
      <w:r>
        <w:rPr>
          <w:rStyle w:val="14"/>
          <w:rFonts w:hint="eastAsia" w:ascii="仿宋" w:hAnsi="仿宋" w:eastAsia="仿宋"/>
          <w:b w:val="0"/>
          <w:bCs/>
          <w:color w:val="0000FF"/>
          <w:sz w:val="32"/>
          <w:szCs w:val="32"/>
        </w:rPr>
        <w:t>7.21万元</w:t>
      </w:r>
      <w:r>
        <w:rPr>
          <w:rStyle w:val="14"/>
          <w:rFonts w:hint="eastAsia" w:ascii="仿宋" w:hAnsi="仿宋" w:eastAsia="仿宋"/>
          <w:b w:val="0"/>
          <w:bCs/>
          <w:color w:val="000000" w:themeColor="text1"/>
          <w:sz w:val="32"/>
          <w:szCs w:val="32"/>
          <w14:textFill>
            <w14:solidFill>
              <w14:schemeClr w14:val="tx1"/>
            </w14:solidFill>
          </w14:textFill>
        </w:rPr>
        <w:t>，完成预算</w:t>
      </w:r>
      <w:r>
        <w:rPr>
          <w:rStyle w:val="14"/>
          <w:rFonts w:hint="eastAsia" w:ascii="仿宋" w:hAnsi="仿宋" w:eastAsia="仿宋"/>
          <w:b w:val="0"/>
          <w:bCs/>
          <w:color w:val="0000FF"/>
          <w:sz w:val="32"/>
          <w:szCs w:val="32"/>
        </w:rPr>
        <w:t>100</w:t>
      </w:r>
      <w:r>
        <w:rPr>
          <w:rStyle w:val="14"/>
          <w:rFonts w:ascii="仿宋" w:hAnsi="仿宋" w:eastAsia="仿宋"/>
          <w:b w:val="0"/>
          <w:bCs/>
          <w:color w:val="0000FF"/>
          <w:sz w:val="32"/>
          <w:szCs w:val="32"/>
        </w:rPr>
        <w:t>%</w:t>
      </w:r>
      <w:r>
        <w:rPr>
          <w:rStyle w:val="14"/>
          <w:rFonts w:hint="eastAsia" w:ascii="仿宋" w:hAnsi="仿宋" w:eastAsia="仿宋"/>
          <w:b w:val="0"/>
          <w:bCs/>
          <w:color w:val="000000" w:themeColor="text1"/>
          <w:sz w:val="32"/>
          <w:szCs w:val="32"/>
          <w14:textFill>
            <w14:solidFill>
              <w14:schemeClr w14:val="tx1"/>
            </w14:solidFill>
          </w14:textFill>
        </w:rPr>
        <w:t>。</w:t>
      </w:r>
    </w:p>
    <w:p>
      <w:pPr>
        <w:spacing w:line="600" w:lineRule="exact"/>
        <w:ind w:firstLine="642" w:firstLineChars="200"/>
        <w:rPr>
          <w:rFonts w:ascii="仿宋" w:hAnsi="仿宋" w:eastAsia="仿宋"/>
          <w:b/>
          <w:color w:val="0000FF"/>
          <w:sz w:val="32"/>
          <w:szCs w:val="32"/>
        </w:rPr>
      </w:pPr>
      <w:r>
        <w:rPr>
          <w:rStyle w:val="14"/>
          <w:rFonts w:hint="eastAsia" w:ascii="仿宋" w:hAnsi="仿宋" w:eastAsia="仿宋"/>
          <w:bCs/>
          <w:color w:val="000000" w:themeColor="text1"/>
          <w:sz w:val="32"/>
          <w:szCs w:val="32"/>
          <w14:textFill>
            <w14:solidFill>
              <w14:schemeClr w14:val="tx1"/>
            </w14:solidFill>
          </w14:textFill>
        </w:rPr>
        <w:t>25</w:t>
      </w:r>
      <w:r>
        <w:rPr>
          <w:rStyle w:val="14"/>
          <w:rFonts w:ascii="仿宋" w:hAnsi="仿宋" w:eastAsia="仿宋"/>
          <w:bCs/>
          <w:color w:val="000000" w:themeColor="text1"/>
          <w:sz w:val="32"/>
          <w:szCs w:val="32"/>
          <w14:textFill>
            <w14:solidFill>
              <w14:schemeClr w14:val="tx1"/>
            </w14:solidFill>
          </w14:textFill>
        </w:rPr>
        <w:t>.</w:t>
      </w:r>
      <w:r>
        <w:rPr>
          <w:rFonts w:ascii="仿宋" w:hAnsi="仿宋" w:eastAsia="仿宋"/>
          <w:bCs/>
          <w:color w:val="000000" w:themeColor="text1"/>
          <w:sz w:val="32"/>
          <w:szCs w:val="32"/>
          <w14:textFill>
            <w14:solidFill>
              <w14:schemeClr w14:val="tx1"/>
            </w14:solidFill>
          </w14:textFill>
        </w:rPr>
        <w:t xml:space="preserve"> </w:t>
      </w:r>
      <w:r>
        <w:rPr>
          <w:rFonts w:ascii="仿宋" w:hAnsi="仿宋" w:eastAsia="仿宋"/>
          <w:b/>
          <w:bCs/>
          <w:color w:val="000000" w:themeColor="text1"/>
          <w:sz w:val="32"/>
          <w:szCs w:val="32"/>
          <w14:textFill>
            <w14:solidFill>
              <w14:schemeClr w14:val="tx1"/>
            </w14:solidFill>
          </w14:textFill>
        </w:rPr>
        <w:t>医疗卫生与计划生育</w:t>
      </w:r>
      <w:r>
        <w:rPr>
          <w:rStyle w:val="14"/>
          <w:rFonts w:hint="eastAsia" w:ascii="仿宋" w:hAnsi="仿宋" w:eastAsia="仿宋"/>
          <w:bCs/>
          <w:color w:val="000000" w:themeColor="text1"/>
          <w:sz w:val="32"/>
          <w:szCs w:val="32"/>
          <w14:textFill>
            <w14:solidFill>
              <w14:schemeClr w14:val="tx1"/>
            </w14:solidFill>
          </w14:textFill>
        </w:rPr>
        <w:t>（类）行政事业单位医疗（款）事业单位医疗（项）</w:t>
      </w:r>
      <w:r>
        <w:rPr>
          <w:rStyle w:val="14"/>
          <w:rFonts w:ascii="仿宋" w:hAnsi="仿宋" w:eastAsia="仿宋"/>
          <w:bCs/>
          <w:color w:val="000000" w:themeColor="text1"/>
          <w:sz w:val="32"/>
          <w:szCs w:val="32"/>
          <w14:textFill>
            <w14:solidFill>
              <w14:schemeClr w14:val="tx1"/>
            </w14:solidFill>
          </w14:textFill>
        </w:rPr>
        <w:t>:</w:t>
      </w:r>
      <w:r>
        <w:rPr>
          <w:rStyle w:val="14"/>
          <w:rFonts w:ascii="仿宋" w:hAnsi="仿宋" w:eastAsia="仿宋"/>
          <w:b w:val="0"/>
          <w:bCs/>
          <w:color w:val="000000" w:themeColor="text1"/>
          <w:sz w:val="32"/>
          <w:szCs w:val="32"/>
          <w14:textFill>
            <w14:solidFill>
              <w14:schemeClr w14:val="tx1"/>
            </w14:solidFill>
          </w14:textFill>
        </w:rPr>
        <w:t xml:space="preserve"> </w:t>
      </w:r>
      <w:r>
        <w:rPr>
          <w:rStyle w:val="14"/>
          <w:rFonts w:hint="eastAsia" w:ascii="仿宋" w:hAnsi="仿宋" w:eastAsia="仿宋"/>
          <w:b w:val="0"/>
          <w:bCs/>
          <w:color w:val="000000" w:themeColor="text1"/>
          <w:sz w:val="32"/>
          <w:szCs w:val="32"/>
          <w14:textFill>
            <w14:solidFill>
              <w14:schemeClr w14:val="tx1"/>
            </w14:solidFill>
          </w14:textFill>
        </w:rPr>
        <w:t>支出决算为</w:t>
      </w:r>
      <w:r>
        <w:rPr>
          <w:rStyle w:val="14"/>
          <w:rFonts w:hint="eastAsia" w:ascii="仿宋" w:hAnsi="仿宋" w:eastAsia="仿宋"/>
          <w:b w:val="0"/>
          <w:bCs/>
          <w:color w:val="0000FF"/>
          <w:sz w:val="32"/>
          <w:szCs w:val="32"/>
        </w:rPr>
        <w:t>1948.54万元</w:t>
      </w:r>
      <w:r>
        <w:rPr>
          <w:rStyle w:val="14"/>
          <w:rFonts w:hint="eastAsia" w:ascii="仿宋" w:hAnsi="仿宋" w:eastAsia="仿宋"/>
          <w:b w:val="0"/>
          <w:bCs/>
          <w:color w:val="000000" w:themeColor="text1"/>
          <w:sz w:val="32"/>
          <w:szCs w:val="32"/>
          <w14:textFill>
            <w14:solidFill>
              <w14:schemeClr w14:val="tx1"/>
            </w14:solidFill>
          </w14:textFill>
        </w:rPr>
        <w:t>，完成预算</w:t>
      </w:r>
      <w:r>
        <w:rPr>
          <w:rStyle w:val="14"/>
          <w:rFonts w:hint="eastAsia" w:ascii="仿宋" w:hAnsi="仿宋" w:eastAsia="仿宋"/>
          <w:b w:val="0"/>
          <w:bCs/>
          <w:color w:val="0000FF"/>
          <w:sz w:val="32"/>
          <w:szCs w:val="32"/>
        </w:rPr>
        <w:t>99.95</w:t>
      </w:r>
      <w:r>
        <w:rPr>
          <w:rStyle w:val="14"/>
          <w:rFonts w:ascii="仿宋" w:hAnsi="仿宋" w:eastAsia="仿宋"/>
          <w:b w:val="0"/>
          <w:bCs/>
          <w:color w:val="0000FF"/>
          <w:sz w:val="32"/>
          <w:szCs w:val="32"/>
        </w:rPr>
        <w:t>%</w:t>
      </w:r>
      <w:r>
        <w:rPr>
          <w:rStyle w:val="14"/>
          <w:rFonts w:hint="eastAsia" w:ascii="仿宋" w:hAnsi="仿宋" w:eastAsia="仿宋"/>
          <w:b w:val="0"/>
          <w:bCs/>
          <w:color w:val="000000" w:themeColor="text1"/>
          <w:sz w:val="32"/>
          <w:szCs w:val="32"/>
          <w14:textFill>
            <w14:solidFill>
              <w14:schemeClr w14:val="tx1"/>
            </w14:solidFill>
          </w14:textFill>
        </w:rPr>
        <w:t>。决算数小于预算数的主要原因是</w:t>
      </w:r>
      <w:r>
        <w:rPr>
          <w:rStyle w:val="14"/>
          <w:rFonts w:hint="eastAsia" w:ascii="仿宋" w:hAnsi="仿宋" w:eastAsia="仿宋"/>
          <w:b w:val="0"/>
          <w:bCs/>
          <w:color w:val="0000FF"/>
          <w:sz w:val="32"/>
          <w:szCs w:val="32"/>
        </w:rPr>
        <w:t>个别学校年底大平台资金清算，未按时缴纳12月保险缴费，资金结转</w:t>
      </w:r>
      <w:r>
        <w:rPr>
          <w:rStyle w:val="14"/>
          <w:rFonts w:hint="eastAsia" w:ascii="仿宋" w:hAnsi="仿宋" w:eastAsia="仿宋"/>
          <w:b w:val="0"/>
          <w:bCs/>
          <w:color w:val="0000FF"/>
          <w:sz w:val="32"/>
          <w:szCs w:val="32"/>
          <w:lang w:val="en-US" w:eastAsia="zh-CN"/>
        </w:rPr>
        <w:t>次年元月</w:t>
      </w:r>
      <w:r>
        <w:rPr>
          <w:rStyle w:val="14"/>
          <w:rFonts w:hint="eastAsia" w:ascii="仿宋" w:hAnsi="仿宋" w:eastAsia="仿宋"/>
          <w:b w:val="0"/>
          <w:bCs/>
          <w:color w:val="0000FF"/>
          <w:sz w:val="32"/>
          <w:szCs w:val="32"/>
        </w:rPr>
        <w:t>使用。</w:t>
      </w:r>
    </w:p>
    <w:p>
      <w:pPr>
        <w:spacing w:line="600" w:lineRule="exact"/>
        <w:ind w:firstLine="642" w:firstLineChars="200"/>
        <w:rPr>
          <w:rFonts w:ascii="仿宋" w:hAnsi="仿宋" w:eastAsia="仿宋"/>
          <w:b/>
          <w:color w:val="000000" w:themeColor="text1"/>
          <w:sz w:val="32"/>
          <w:szCs w:val="32"/>
          <w14:textFill>
            <w14:solidFill>
              <w14:schemeClr w14:val="tx1"/>
            </w14:solidFill>
          </w14:textFill>
        </w:rPr>
      </w:pPr>
      <w:r>
        <w:rPr>
          <w:rStyle w:val="14"/>
          <w:rFonts w:hint="eastAsia" w:ascii="仿宋" w:hAnsi="仿宋" w:eastAsia="仿宋"/>
          <w:bCs/>
          <w:color w:val="000000" w:themeColor="text1"/>
          <w:sz w:val="32"/>
          <w:szCs w:val="32"/>
          <w14:textFill>
            <w14:solidFill>
              <w14:schemeClr w14:val="tx1"/>
            </w14:solidFill>
          </w14:textFill>
        </w:rPr>
        <w:t>26</w:t>
      </w:r>
      <w:r>
        <w:rPr>
          <w:rStyle w:val="14"/>
          <w:rFonts w:ascii="仿宋" w:hAnsi="仿宋" w:eastAsia="仿宋"/>
          <w:bCs/>
          <w:color w:val="000000" w:themeColor="text1"/>
          <w:sz w:val="32"/>
          <w:szCs w:val="32"/>
          <w14:textFill>
            <w14:solidFill>
              <w14:schemeClr w14:val="tx1"/>
            </w14:solidFill>
          </w14:textFill>
        </w:rPr>
        <w:t>.</w:t>
      </w:r>
      <w:r>
        <w:rPr>
          <w:rFonts w:ascii="仿宋" w:hAnsi="仿宋" w:eastAsia="仿宋"/>
          <w:bCs/>
          <w:color w:val="000000" w:themeColor="text1"/>
          <w:sz w:val="32"/>
          <w:szCs w:val="32"/>
          <w14:textFill>
            <w14:solidFill>
              <w14:schemeClr w14:val="tx1"/>
            </w14:solidFill>
          </w14:textFill>
        </w:rPr>
        <w:t xml:space="preserve"> </w:t>
      </w:r>
      <w:r>
        <w:rPr>
          <w:rFonts w:ascii="仿宋" w:hAnsi="仿宋" w:eastAsia="仿宋"/>
          <w:b/>
          <w:bCs/>
          <w:color w:val="000000" w:themeColor="text1"/>
          <w:sz w:val="32"/>
          <w:szCs w:val="32"/>
          <w14:textFill>
            <w14:solidFill>
              <w14:schemeClr w14:val="tx1"/>
            </w14:solidFill>
          </w14:textFill>
        </w:rPr>
        <w:t>农林水支出</w:t>
      </w:r>
      <w:r>
        <w:rPr>
          <w:rStyle w:val="14"/>
          <w:rFonts w:hint="eastAsia" w:ascii="仿宋" w:hAnsi="仿宋" w:eastAsia="仿宋"/>
          <w:bCs/>
          <w:color w:val="000000" w:themeColor="text1"/>
          <w:sz w:val="32"/>
          <w:szCs w:val="32"/>
          <w14:textFill>
            <w14:solidFill>
              <w14:schemeClr w14:val="tx1"/>
            </w14:solidFill>
          </w14:textFill>
        </w:rPr>
        <w:t>（类）扶贫（款）其它扶贫支出（项）</w:t>
      </w:r>
      <w:r>
        <w:rPr>
          <w:rStyle w:val="14"/>
          <w:rFonts w:ascii="仿宋" w:hAnsi="仿宋" w:eastAsia="仿宋"/>
          <w:bCs/>
          <w:color w:val="000000" w:themeColor="text1"/>
          <w:sz w:val="32"/>
          <w:szCs w:val="32"/>
          <w14:textFill>
            <w14:solidFill>
              <w14:schemeClr w14:val="tx1"/>
            </w14:solidFill>
          </w14:textFill>
        </w:rPr>
        <w:t>:</w:t>
      </w:r>
      <w:r>
        <w:rPr>
          <w:rStyle w:val="14"/>
          <w:rFonts w:ascii="仿宋" w:hAnsi="仿宋" w:eastAsia="仿宋"/>
          <w:b w:val="0"/>
          <w:bCs/>
          <w:color w:val="000000" w:themeColor="text1"/>
          <w:sz w:val="32"/>
          <w:szCs w:val="32"/>
          <w14:textFill>
            <w14:solidFill>
              <w14:schemeClr w14:val="tx1"/>
            </w14:solidFill>
          </w14:textFill>
        </w:rPr>
        <w:t xml:space="preserve"> </w:t>
      </w:r>
      <w:r>
        <w:rPr>
          <w:rStyle w:val="14"/>
          <w:rFonts w:hint="eastAsia" w:ascii="仿宋" w:hAnsi="仿宋" w:eastAsia="仿宋"/>
          <w:b w:val="0"/>
          <w:bCs/>
          <w:color w:val="000000" w:themeColor="text1"/>
          <w:sz w:val="32"/>
          <w:szCs w:val="32"/>
          <w14:textFill>
            <w14:solidFill>
              <w14:schemeClr w14:val="tx1"/>
            </w14:solidFill>
          </w14:textFill>
        </w:rPr>
        <w:t>支出决算为</w:t>
      </w:r>
      <w:r>
        <w:rPr>
          <w:rStyle w:val="14"/>
          <w:rFonts w:hint="eastAsia" w:ascii="仿宋" w:hAnsi="仿宋" w:eastAsia="仿宋"/>
          <w:b w:val="0"/>
          <w:bCs/>
          <w:color w:val="0000FF"/>
          <w:sz w:val="32"/>
          <w:szCs w:val="32"/>
        </w:rPr>
        <w:t>13.73万元</w:t>
      </w:r>
      <w:r>
        <w:rPr>
          <w:rStyle w:val="14"/>
          <w:rFonts w:hint="eastAsia" w:ascii="仿宋" w:hAnsi="仿宋" w:eastAsia="仿宋"/>
          <w:b w:val="0"/>
          <w:bCs/>
          <w:color w:val="000000" w:themeColor="text1"/>
          <w:sz w:val="32"/>
          <w:szCs w:val="32"/>
          <w14:textFill>
            <w14:solidFill>
              <w14:schemeClr w14:val="tx1"/>
            </w14:solidFill>
          </w14:textFill>
        </w:rPr>
        <w:t>，完成预算</w:t>
      </w:r>
      <w:r>
        <w:rPr>
          <w:rStyle w:val="14"/>
          <w:rFonts w:hint="eastAsia" w:ascii="仿宋" w:hAnsi="仿宋" w:eastAsia="仿宋"/>
          <w:b w:val="0"/>
          <w:bCs/>
          <w:color w:val="0000FF"/>
          <w:sz w:val="32"/>
          <w:szCs w:val="32"/>
        </w:rPr>
        <w:t>100</w:t>
      </w:r>
      <w:r>
        <w:rPr>
          <w:rStyle w:val="14"/>
          <w:rFonts w:ascii="仿宋" w:hAnsi="仿宋" w:eastAsia="仿宋"/>
          <w:b w:val="0"/>
          <w:bCs/>
          <w:color w:val="0000FF"/>
          <w:sz w:val="32"/>
          <w:szCs w:val="32"/>
        </w:rPr>
        <w:t>%</w:t>
      </w:r>
      <w:r>
        <w:rPr>
          <w:rStyle w:val="14"/>
          <w:rFonts w:hint="eastAsia" w:ascii="仿宋" w:hAnsi="仿宋" w:eastAsia="仿宋"/>
          <w:b w:val="0"/>
          <w:bCs/>
          <w:color w:val="000000" w:themeColor="text1"/>
          <w:sz w:val="32"/>
          <w:szCs w:val="32"/>
          <w14:textFill>
            <w14:solidFill>
              <w14:schemeClr w14:val="tx1"/>
            </w14:solidFill>
          </w14:textFill>
        </w:rPr>
        <w:t>。</w:t>
      </w:r>
    </w:p>
    <w:p>
      <w:pPr>
        <w:spacing w:line="600" w:lineRule="exact"/>
        <w:ind w:firstLine="642" w:firstLineChars="200"/>
        <w:rPr>
          <w:rStyle w:val="14"/>
          <w:rFonts w:ascii="仿宋" w:hAnsi="仿宋" w:eastAsia="仿宋"/>
          <w:b w:val="0"/>
          <w:bCs/>
          <w:color w:val="000000" w:themeColor="text1"/>
          <w:sz w:val="32"/>
          <w:szCs w:val="32"/>
          <w14:textFill>
            <w14:solidFill>
              <w14:schemeClr w14:val="tx1"/>
            </w14:solidFill>
          </w14:textFill>
        </w:rPr>
      </w:pPr>
      <w:r>
        <w:rPr>
          <w:rStyle w:val="14"/>
          <w:rFonts w:hint="eastAsia" w:ascii="仿宋" w:hAnsi="仿宋" w:eastAsia="仿宋"/>
          <w:bCs/>
          <w:color w:val="000000" w:themeColor="text1"/>
          <w:sz w:val="32"/>
          <w:szCs w:val="32"/>
          <w14:textFill>
            <w14:solidFill>
              <w14:schemeClr w14:val="tx1"/>
            </w14:solidFill>
          </w14:textFill>
        </w:rPr>
        <w:t>27</w:t>
      </w:r>
      <w:r>
        <w:rPr>
          <w:rStyle w:val="14"/>
          <w:rFonts w:ascii="仿宋" w:hAnsi="仿宋" w:eastAsia="仿宋"/>
          <w:bCs/>
          <w:color w:val="000000" w:themeColor="text1"/>
          <w:sz w:val="32"/>
          <w:szCs w:val="32"/>
          <w14:textFill>
            <w14:solidFill>
              <w14:schemeClr w14:val="tx1"/>
            </w14:solidFill>
          </w14:textFill>
        </w:rPr>
        <w:t>.</w:t>
      </w:r>
      <w:r>
        <w:rPr>
          <w:rFonts w:ascii="仿宋" w:hAnsi="仿宋" w:eastAsia="仿宋"/>
          <w:bCs/>
          <w:color w:val="000000" w:themeColor="text1"/>
          <w:sz w:val="32"/>
          <w:szCs w:val="32"/>
          <w14:textFill>
            <w14:solidFill>
              <w14:schemeClr w14:val="tx1"/>
            </w14:solidFill>
          </w14:textFill>
        </w:rPr>
        <w:t xml:space="preserve"> </w:t>
      </w:r>
      <w:r>
        <w:rPr>
          <w:rFonts w:ascii="仿宋" w:hAnsi="仿宋" w:eastAsia="仿宋"/>
          <w:b/>
          <w:bCs/>
          <w:color w:val="000000" w:themeColor="text1"/>
          <w:sz w:val="32"/>
          <w:szCs w:val="32"/>
          <w14:textFill>
            <w14:solidFill>
              <w14:schemeClr w14:val="tx1"/>
            </w14:solidFill>
          </w14:textFill>
        </w:rPr>
        <w:t>住房保障支出</w:t>
      </w:r>
      <w:r>
        <w:rPr>
          <w:rStyle w:val="14"/>
          <w:rFonts w:hint="eastAsia" w:ascii="仿宋" w:hAnsi="仿宋" w:eastAsia="仿宋"/>
          <w:bCs/>
          <w:color w:val="000000" w:themeColor="text1"/>
          <w:sz w:val="32"/>
          <w:szCs w:val="32"/>
          <w14:textFill>
            <w14:solidFill>
              <w14:schemeClr w14:val="tx1"/>
            </w14:solidFill>
          </w14:textFill>
        </w:rPr>
        <w:t>（类）住房改革支出（款）住房公积金（项）</w:t>
      </w:r>
      <w:r>
        <w:rPr>
          <w:rStyle w:val="14"/>
          <w:rFonts w:ascii="仿宋" w:hAnsi="仿宋" w:eastAsia="仿宋"/>
          <w:bCs/>
          <w:color w:val="000000" w:themeColor="text1"/>
          <w:sz w:val="32"/>
          <w:szCs w:val="32"/>
          <w14:textFill>
            <w14:solidFill>
              <w14:schemeClr w14:val="tx1"/>
            </w14:solidFill>
          </w14:textFill>
        </w:rPr>
        <w:t>:</w:t>
      </w:r>
      <w:r>
        <w:rPr>
          <w:rStyle w:val="14"/>
          <w:rFonts w:ascii="仿宋" w:hAnsi="仿宋" w:eastAsia="仿宋"/>
          <w:b w:val="0"/>
          <w:bCs/>
          <w:color w:val="000000" w:themeColor="text1"/>
          <w:sz w:val="32"/>
          <w:szCs w:val="32"/>
          <w14:textFill>
            <w14:solidFill>
              <w14:schemeClr w14:val="tx1"/>
            </w14:solidFill>
          </w14:textFill>
        </w:rPr>
        <w:t xml:space="preserve"> </w:t>
      </w:r>
      <w:r>
        <w:rPr>
          <w:rStyle w:val="14"/>
          <w:rFonts w:hint="eastAsia" w:ascii="仿宋" w:hAnsi="仿宋" w:eastAsia="仿宋"/>
          <w:b w:val="0"/>
          <w:bCs/>
          <w:color w:val="000000" w:themeColor="text1"/>
          <w:sz w:val="32"/>
          <w:szCs w:val="32"/>
          <w14:textFill>
            <w14:solidFill>
              <w14:schemeClr w14:val="tx1"/>
            </w14:solidFill>
          </w14:textFill>
        </w:rPr>
        <w:t>支出决算为</w:t>
      </w:r>
      <w:r>
        <w:rPr>
          <w:rStyle w:val="14"/>
          <w:rFonts w:hint="eastAsia" w:ascii="仿宋" w:hAnsi="仿宋" w:eastAsia="仿宋"/>
          <w:b w:val="0"/>
          <w:bCs/>
          <w:color w:val="0000FF"/>
          <w:sz w:val="32"/>
          <w:szCs w:val="32"/>
        </w:rPr>
        <w:t>500万元</w:t>
      </w:r>
      <w:r>
        <w:rPr>
          <w:rStyle w:val="14"/>
          <w:rFonts w:hint="eastAsia" w:ascii="仿宋" w:hAnsi="仿宋" w:eastAsia="仿宋"/>
          <w:b w:val="0"/>
          <w:bCs/>
          <w:color w:val="000000" w:themeColor="text1"/>
          <w:sz w:val="32"/>
          <w:szCs w:val="32"/>
          <w14:textFill>
            <w14:solidFill>
              <w14:schemeClr w14:val="tx1"/>
            </w14:solidFill>
          </w14:textFill>
        </w:rPr>
        <w:t>，完成预算</w:t>
      </w:r>
      <w:r>
        <w:rPr>
          <w:rStyle w:val="14"/>
          <w:rFonts w:hint="eastAsia" w:ascii="仿宋" w:hAnsi="仿宋" w:eastAsia="仿宋"/>
          <w:b w:val="0"/>
          <w:bCs/>
          <w:color w:val="0000FF"/>
          <w:sz w:val="32"/>
          <w:szCs w:val="32"/>
        </w:rPr>
        <w:t>100</w:t>
      </w:r>
      <w:r>
        <w:rPr>
          <w:rStyle w:val="14"/>
          <w:rFonts w:ascii="仿宋" w:hAnsi="仿宋" w:eastAsia="仿宋"/>
          <w:b w:val="0"/>
          <w:bCs/>
          <w:color w:val="0000FF"/>
          <w:sz w:val="32"/>
          <w:szCs w:val="32"/>
        </w:rPr>
        <w:t>%</w:t>
      </w:r>
      <w:r>
        <w:rPr>
          <w:rStyle w:val="14"/>
          <w:rFonts w:hint="eastAsia" w:ascii="仿宋" w:hAnsi="仿宋" w:eastAsia="仿宋"/>
          <w:b w:val="0"/>
          <w:bCs/>
          <w:color w:val="000000" w:themeColor="text1"/>
          <w:sz w:val="32"/>
          <w:szCs w:val="32"/>
          <w14:textFill>
            <w14:solidFill>
              <w14:schemeClr w14:val="tx1"/>
            </w14:solidFill>
          </w14:textFill>
        </w:rPr>
        <w:t>。</w:t>
      </w:r>
    </w:p>
    <w:p>
      <w:pPr>
        <w:spacing w:line="600" w:lineRule="exact"/>
        <w:ind w:firstLine="640"/>
        <w:rPr>
          <w:rStyle w:val="14"/>
          <w:rFonts w:ascii="仿宋" w:hAnsi="仿宋" w:eastAsia="仿宋"/>
          <w:b w:val="0"/>
          <w:bCs/>
          <w:color w:val="000000" w:themeColor="text1"/>
          <w:sz w:val="32"/>
          <w:szCs w:val="32"/>
          <w14:textFill>
            <w14:solidFill>
              <w14:schemeClr w14:val="tx1"/>
            </w14:solidFill>
          </w14:textFill>
        </w:rPr>
      </w:pPr>
      <w:r>
        <w:rPr>
          <w:rStyle w:val="14"/>
          <w:rFonts w:hint="eastAsia" w:ascii="仿宋" w:hAnsi="仿宋" w:eastAsia="仿宋"/>
          <w:bCs/>
          <w:color w:val="000000" w:themeColor="text1"/>
          <w:sz w:val="32"/>
          <w:szCs w:val="32"/>
          <w14:textFill>
            <w14:solidFill>
              <w14:schemeClr w14:val="tx1"/>
            </w14:solidFill>
          </w14:textFill>
        </w:rPr>
        <w:t>28</w:t>
      </w:r>
      <w:r>
        <w:rPr>
          <w:rStyle w:val="14"/>
          <w:rFonts w:ascii="仿宋" w:hAnsi="仿宋" w:eastAsia="仿宋"/>
          <w:bCs/>
          <w:color w:val="000000" w:themeColor="text1"/>
          <w:sz w:val="32"/>
          <w:szCs w:val="32"/>
          <w14:textFill>
            <w14:solidFill>
              <w14:schemeClr w14:val="tx1"/>
            </w14:solidFill>
          </w14:textFill>
        </w:rPr>
        <w:t>.</w:t>
      </w:r>
      <w:r>
        <w:rPr>
          <w:rFonts w:ascii="仿宋" w:hAnsi="仿宋" w:eastAsia="仿宋"/>
          <w:bCs/>
          <w:color w:val="000000" w:themeColor="text1"/>
          <w:sz w:val="32"/>
          <w:szCs w:val="32"/>
          <w14:textFill>
            <w14:solidFill>
              <w14:schemeClr w14:val="tx1"/>
            </w14:solidFill>
          </w14:textFill>
        </w:rPr>
        <w:t xml:space="preserve"> </w:t>
      </w:r>
      <w:r>
        <w:rPr>
          <w:rFonts w:hint="eastAsia" w:ascii="仿宋" w:hAnsi="仿宋" w:eastAsia="仿宋"/>
          <w:bCs/>
          <w:color w:val="000000" w:themeColor="text1"/>
          <w:sz w:val="32"/>
          <w:szCs w:val="32"/>
          <w14:textFill>
            <w14:solidFill>
              <w14:schemeClr w14:val="tx1"/>
            </w14:solidFill>
          </w14:textFill>
        </w:rPr>
        <w:t>灾害防治及应急管理支出</w:t>
      </w:r>
      <w:r>
        <w:rPr>
          <w:rStyle w:val="14"/>
          <w:rFonts w:hint="eastAsia" w:ascii="仿宋" w:hAnsi="仿宋" w:eastAsia="仿宋"/>
          <w:bCs/>
          <w:color w:val="000000" w:themeColor="text1"/>
          <w:sz w:val="32"/>
          <w:szCs w:val="32"/>
          <w14:textFill>
            <w14:solidFill>
              <w14:schemeClr w14:val="tx1"/>
            </w14:solidFill>
          </w14:textFill>
        </w:rPr>
        <w:t>（类）自然灾害救灾及恢复重建支出（款）其他自然灾害救灾及恢复重建支出（项）</w:t>
      </w:r>
      <w:r>
        <w:rPr>
          <w:rStyle w:val="14"/>
          <w:rFonts w:ascii="仿宋" w:hAnsi="仿宋" w:eastAsia="仿宋"/>
          <w:bCs/>
          <w:color w:val="000000" w:themeColor="text1"/>
          <w:sz w:val="32"/>
          <w:szCs w:val="32"/>
          <w14:textFill>
            <w14:solidFill>
              <w14:schemeClr w14:val="tx1"/>
            </w14:solidFill>
          </w14:textFill>
        </w:rPr>
        <w:t>:</w:t>
      </w:r>
      <w:r>
        <w:rPr>
          <w:rStyle w:val="14"/>
          <w:rFonts w:ascii="仿宋" w:hAnsi="仿宋" w:eastAsia="仿宋"/>
          <w:b w:val="0"/>
          <w:bCs/>
          <w:color w:val="000000" w:themeColor="text1"/>
          <w:sz w:val="32"/>
          <w:szCs w:val="32"/>
          <w14:textFill>
            <w14:solidFill>
              <w14:schemeClr w14:val="tx1"/>
            </w14:solidFill>
          </w14:textFill>
        </w:rPr>
        <w:t xml:space="preserve"> </w:t>
      </w:r>
      <w:r>
        <w:rPr>
          <w:rStyle w:val="14"/>
          <w:rFonts w:hint="eastAsia" w:ascii="仿宋" w:hAnsi="仿宋" w:eastAsia="仿宋"/>
          <w:b w:val="0"/>
          <w:bCs/>
          <w:color w:val="000000" w:themeColor="text1"/>
          <w:sz w:val="32"/>
          <w:szCs w:val="32"/>
          <w14:textFill>
            <w14:solidFill>
              <w14:schemeClr w14:val="tx1"/>
            </w14:solidFill>
          </w14:textFill>
        </w:rPr>
        <w:t>支出决算为</w:t>
      </w:r>
      <w:r>
        <w:rPr>
          <w:rStyle w:val="14"/>
          <w:rFonts w:hint="eastAsia" w:ascii="仿宋" w:hAnsi="仿宋" w:eastAsia="仿宋"/>
          <w:b w:val="0"/>
          <w:bCs/>
          <w:color w:val="0000FF"/>
          <w:sz w:val="32"/>
          <w:szCs w:val="32"/>
        </w:rPr>
        <w:t>7万元</w:t>
      </w:r>
      <w:r>
        <w:rPr>
          <w:rStyle w:val="14"/>
          <w:rFonts w:hint="eastAsia" w:ascii="仿宋" w:hAnsi="仿宋" w:eastAsia="仿宋"/>
          <w:b w:val="0"/>
          <w:bCs/>
          <w:color w:val="000000" w:themeColor="text1"/>
          <w:sz w:val="32"/>
          <w:szCs w:val="32"/>
          <w14:textFill>
            <w14:solidFill>
              <w14:schemeClr w14:val="tx1"/>
            </w14:solidFill>
          </w14:textFill>
        </w:rPr>
        <w:t>，完成预算</w:t>
      </w:r>
      <w:r>
        <w:rPr>
          <w:rStyle w:val="14"/>
          <w:rFonts w:hint="eastAsia" w:ascii="仿宋" w:hAnsi="仿宋" w:eastAsia="仿宋"/>
          <w:b w:val="0"/>
          <w:bCs/>
          <w:color w:val="0000FF"/>
          <w:sz w:val="32"/>
          <w:szCs w:val="32"/>
        </w:rPr>
        <w:t>100</w:t>
      </w:r>
      <w:r>
        <w:rPr>
          <w:rStyle w:val="14"/>
          <w:rFonts w:ascii="仿宋" w:hAnsi="仿宋" w:eastAsia="仿宋"/>
          <w:b w:val="0"/>
          <w:bCs/>
          <w:color w:val="0000FF"/>
          <w:sz w:val="32"/>
          <w:szCs w:val="32"/>
        </w:rPr>
        <w:t>%</w:t>
      </w:r>
      <w:r>
        <w:rPr>
          <w:rStyle w:val="14"/>
          <w:rFonts w:hint="eastAsia" w:ascii="仿宋" w:hAnsi="仿宋" w:eastAsia="仿宋"/>
          <w:b w:val="0"/>
          <w:bCs/>
          <w:color w:val="000000" w:themeColor="text1"/>
          <w:sz w:val="32"/>
          <w:szCs w:val="32"/>
          <w14:textFill>
            <w14:solidFill>
              <w14:schemeClr w14:val="tx1"/>
            </w14:solidFill>
          </w14:textFill>
        </w:rPr>
        <w:t>。</w:t>
      </w:r>
    </w:p>
    <w:p>
      <w:pPr>
        <w:spacing w:line="600" w:lineRule="exact"/>
        <w:ind w:firstLine="640"/>
        <w:rPr>
          <w:rFonts w:ascii="仿宋" w:hAnsi="仿宋" w:eastAsia="仿宋"/>
          <w:b/>
          <w:sz w:val="32"/>
          <w:szCs w:val="32"/>
        </w:rPr>
      </w:pPr>
      <w:r>
        <w:rPr>
          <w:rFonts w:hint="eastAsia" w:ascii="仿宋" w:hAnsi="仿宋" w:eastAsia="仿宋"/>
          <w:b/>
          <w:sz w:val="32"/>
          <w:szCs w:val="32"/>
        </w:rPr>
        <w:t>（数据来源财决</w:t>
      </w:r>
      <w:r>
        <w:rPr>
          <w:rFonts w:ascii="仿宋" w:hAnsi="仿宋" w:eastAsia="仿宋"/>
          <w:b/>
          <w:sz w:val="32"/>
          <w:szCs w:val="32"/>
        </w:rPr>
        <w:t>08</w:t>
      </w:r>
      <w:r>
        <w:rPr>
          <w:rFonts w:hint="eastAsia" w:ascii="仿宋" w:hAnsi="仿宋" w:eastAsia="仿宋"/>
          <w:b/>
          <w:sz w:val="32"/>
          <w:szCs w:val="32"/>
        </w:rPr>
        <w:t>表，罗列全部功能分类科目至项级。上述“预算”口径为调整预算数。增减变动原因为决算数</w:t>
      </w:r>
      <w:r>
        <w:rPr>
          <w:rFonts w:ascii="仿宋" w:hAnsi="仿宋" w:eastAsia="仿宋"/>
          <w:b/>
          <w:sz w:val="32"/>
          <w:szCs w:val="32"/>
        </w:rPr>
        <w:t>&lt;</w:t>
      </w:r>
      <w:r>
        <w:rPr>
          <w:rFonts w:hint="eastAsia" w:ascii="仿宋" w:hAnsi="仿宋" w:eastAsia="仿宋"/>
          <w:b/>
          <w:sz w:val="32"/>
          <w:szCs w:val="32"/>
        </w:rPr>
        <w:t>项级</w:t>
      </w:r>
      <w:r>
        <w:rPr>
          <w:rFonts w:ascii="仿宋" w:hAnsi="仿宋" w:eastAsia="仿宋"/>
          <w:b/>
          <w:sz w:val="32"/>
          <w:szCs w:val="32"/>
        </w:rPr>
        <w:t>&gt;</w:t>
      </w:r>
      <w:r>
        <w:rPr>
          <w:rFonts w:hint="eastAsia" w:ascii="仿宋" w:hAnsi="仿宋" w:eastAsia="仿宋"/>
          <w:b/>
          <w:sz w:val="32"/>
          <w:szCs w:val="32"/>
        </w:rPr>
        <w:t>和调整预算数</w:t>
      </w:r>
      <w:r>
        <w:rPr>
          <w:rFonts w:ascii="仿宋" w:hAnsi="仿宋" w:eastAsia="仿宋"/>
          <w:b/>
          <w:sz w:val="32"/>
          <w:szCs w:val="32"/>
        </w:rPr>
        <w:t>&lt;</w:t>
      </w:r>
      <w:r>
        <w:rPr>
          <w:rFonts w:hint="eastAsia" w:ascii="仿宋" w:hAnsi="仿宋" w:eastAsia="仿宋"/>
          <w:b/>
          <w:sz w:val="32"/>
          <w:szCs w:val="32"/>
        </w:rPr>
        <w:t>项级</w:t>
      </w:r>
      <w:r>
        <w:rPr>
          <w:rFonts w:ascii="仿宋" w:hAnsi="仿宋" w:eastAsia="仿宋"/>
          <w:b/>
          <w:sz w:val="32"/>
          <w:szCs w:val="32"/>
        </w:rPr>
        <w:t>&gt;</w:t>
      </w:r>
      <w:r>
        <w:rPr>
          <w:rFonts w:hint="eastAsia" w:ascii="仿宋" w:hAnsi="仿宋" w:eastAsia="仿宋"/>
          <w:b/>
          <w:sz w:val="32"/>
          <w:szCs w:val="32"/>
        </w:rPr>
        <w:t>比较，与预算数持平可以不写原因。）</w:t>
      </w:r>
    </w:p>
    <w:p>
      <w:pPr>
        <w:spacing w:line="600" w:lineRule="exact"/>
        <w:ind w:firstLine="640"/>
        <w:rPr>
          <w:rFonts w:ascii="仿宋" w:hAnsi="仿宋" w:eastAsia="仿宋"/>
          <w:sz w:val="32"/>
          <w:szCs w:val="32"/>
        </w:rPr>
      </w:pPr>
      <w:r>
        <w:rPr>
          <w:rFonts w:hint="eastAsia" w:ascii="仿宋" w:hAnsi="仿宋" w:eastAsia="仿宋"/>
          <w:sz w:val="32"/>
          <w:szCs w:val="32"/>
        </w:rPr>
        <w:t>（图7：一般公共预算财政拨款支出完成比例情况图）</w:t>
      </w:r>
    </w:p>
    <w:p>
      <w:pPr>
        <w:spacing w:line="600" w:lineRule="exact"/>
        <w:ind w:firstLine="640"/>
        <w:rPr>
          <w:rStyle w:val="25"/>
        </w:rPr>
      </w:pPr>
      <w:r>
        <w:rPr>
          <w:rFonts w:ascii="仿宋" w:hAnsi="仿宋" w:eastAsia="仿宋"/>
          <w:sz w:val="32"/>
          <w:szCs w:val="32"/>
        </w:rPr>
        <w:drawing>
          <wp:anchor distT="0" distB="0" distL="114300" distR="114300" simplePos="0" relativeHeight="251665408" behindDoc="0" locked="0" layoutInCell="1" allowOverlap="1">
            <wp:simplePos x="0" y="0"/>
            <wp:positionH relativeFrom="column">
              <wp:posOffset>-368300</wp:posOffset>
            </wp:positionH>
            <wp:positionV relativeFrom="paragraph">
              <wp:posOffset>127000</wp:posOffset>
            </wp:positionV>
            <wp:extent cx="6179185" cy="5198110"/>
            <wp:effectExtent l="4445" t="4445" r="7620" b="17145"/>
            <wp:wrapSquare wrapText="bothSides"/>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bookmarkStart w:id="43" w:name="_Toc15377214"/>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5"/>
          <w:rFonts w:hint="eastAsia" w:ascii="黑体" w:hAnsi="黑体" w:eastAsia="黑体"/>
          <w:b w:val="0"/>
        </w:rPr>
        <w:t>般公共预算财政拨款基本支出决算情况说明</w:t>
      </w:r>
      <w:bookmarkEnd w:id="43"/>
      <w:r>
        <w:rPr>
          <w:rStyle w:val="25"/>
          <w:rFonts w:ascii="黑体" w:hAnsi="黑体" w:eastAsia="黑体"/>
          <w:b w:val="0"/>
        </w:rPr>
        <w:tab/>
      </w:r>
    </w:p>
    <w:p>
      <w:pPr>
        <w:spacing w:line="600" w:lineRule="exact"/>
        <w:ind w:firstLine="645"/>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20年一般公共预算财政拨款基本支出</w:t>
      </w:r>
      <w:r>
        <w:rPr>
          <w:rFonts w:hint="eastAsia" w:ascii="仿宋" w:hAnsi="仿宋" w:eastAsia="仿宋"/>
          <w:color w:val="FF0000"/>
          <w:sz w:val="32"/>
          <w:szCs w:val="32"/>
        </w:rPr>
        <w:t>57050.47万元</w:t>
      </w:r>
      <w:r>
        <w:rPr>
          <w:rFonts w:hint="eastAsia" w:ascii="仿宋" w:hAnsi="仿宋" w:eastAsia="仿宋"/>
          <w:sz w:val="32"/>
          <w:szCs w:val="32"/>
        </w:rPr>
        <w:t>，其中：</w:t>
      </w:r>
    </w:p>
    <w:p>
      <w:pPr>
        <w:spacing w:line="600" w:lineRule="exact"/>
        <w:ind w:firstLine="645"/>
        <w:rPr>
          <w:rFonts w:ascii="仿宋" w:hAnsi="仿宋" w:eastAsia="仿宋"/>
          <w:sz w:val="32"/>
          <w:szCs w:val="32"/>
        </w:rPr>
      </w:pPr>
      <w:r>
        <w:rPr>
          <w:rFonts w:hint="eastAsia" w:ascii="仿宋" w:hAnsi="仿宋" w:eastAsia="仿宋"/>
          <w:sz w:val="32"/>
          <w:szCs w:val="32"/>
        </w:rPr>
        <w:t>人员经费</w:t>
      </w:r>
      <w:r>
        <w:rPr>
          <w:rFonts w:hint="eastAsia" w:ascii="仿宋" w:hAnsi="仿宋" w:eastAsia="仿宋"/>
          <w:color w:val="FF0000"/>
          <w:sz w:val="32"/>
          <w:szCs w:val="32"/>
        </w:rPr>
        <w:t>49193.69万元</w:t>
      </w:r>
      <w:r>
        <w:rPr>
          <w:rFonts w:hint="eastAsia" w:ascii="仿宋" w:hAnsi="仿宋" w:eastAsia="仿宋"/>
          <w:sz w:val="32"/>
          <w:szCs w:val="32"/>
        </w:rPr>
        <w:t>，主要包括：基本工资</w:t>
      </w:r>
      <w:r>
        <w:rPr>
          <w:rFonts w:hint="eastAsia" w:ascii="仿宋" w:hAnsi="仿宋" w:eastAsia="仿宋"/>
          <w:color w:val="FF0000"/>
          <w:sz w:val="32"/>
          <w:szCs w:val="32"/>
        </w:rPr>
        <w:t>15954.53万元</w:t>
      </w:r>
      <w:r>
        <w:rPr>
          <w:rFonts w:hint="eastAsia" w:ascii="仿宋" w:hAnsi="仿宋" w:eastAsia="仿宋"/>
          <w:sz w:val="32"/>
          <w:szCs w:val="32"/>
        </w:rPr>
        <w:t>、津贴补贴</w:t>
      </w:r>
      <w:r>
        <w:rPr>
          <w:rFonts w:hint="eastAsia" w:ascii="仿宋" w:hAnsi="仿宋" w:eastAsia="仿宋"/>
          <w:color w:val="FF0000"/>
          <w:sz w:val="32"/>
          <w:szCs w:val="32"/>
        </w:rPr>
        <w:t>1853.39万元</w:t>
      </w:r>
      <w:r>
        <w:rPr>
          <w:rFonts w:hint="eastAsia" w:ascii="仿宋" w:hAnsi="仿宋" w:eastAsia="仿宋"/>
          <w:sz w:val="32"/>
          <w:szCs w:val="32"/>
        </w:rPr>
        <w:t>、奖金</w:t>
      </w:r>
      <w:r>
        <w:rPr>
          <w:rFonts w:hint="eastAsia" w:ascii="仿宋" w:hAnsi="仿宋" w:eastAsia="仿宋"/>
          <w:color w:val="FF0000"/>
          <w:sz w:val="32"/>
          <w:szCs w:val="32"/>
        </w:rPr>
        <w:t>115.5万元</w:t>
      </w:r>
      <w:r>
        <w:rPr>
          <w:rFonts w:hint="eastAsia" w:ascii="仿宋" w:hAnsi="仿宋" w:eastAsia="仿宋"/>
          <w:sz w:val="32"/>
          <w:szCs w:val="32"/>
        </w:rPr>
        <w:t>、伙食补助费</w:t>
      </w:r>
      <w:r>
        <w:rPr>
          <w:rFonts w:hint="eastAsia" w:ascii="仿宋" w:hAnsi="仿宋" w:eastAsia="仿宋"/>
          <w:color w:val="FF0000"/>
          <w:sz w:val="32"/>
          <w:szCs w:val="32"/>
        </w:rPr>
        <w:t>0.00万元</w:t>
      </w:r>
      <w:r>
        <w:rPr>
          <w:rFonts w:hint="eastAsia" w:ascii="仿宋" w:hAnsi="仿宋" w:eastAsia="仿宋"/>
          <w:sz w:val="32"/>
          <w:szCs w:val="32"/>
        </w:rPr>
        <w:t>、绩效工资</w:t>
      </w:r>
      <w:r>
        <w:rPr>
          <w:rFonts w:hint="eastAsia" w:ascii="仿宋" w:hAnsi="仿宋" w:eastAsia="仿宋"/>
          <w:color w:val="FF0000"/>
          <w:sz w:val="32"/>
          <w:szCs w:val="32"/>
        </w:rPr>
        <w:t>10069.09万元</w:t>
      </w:r>
      <w:r>
        <w:rPr>
          <w:rFonts w:hint="eastAsia" w:ascii="仿宋" w:hAnsi="仿宋" w:eastAsia="仿宋"/>
          <w:sz w:val="32"/>
          <w:szCs w:val="32"/>
        </w:rPr>
        <w:t>、机关事业单位基本养老保险缴费</w:t>
      </w:r>
      <w:r>
        <w:rPr>
          <w:rFonts w:hint="eastAsia" w:ascii="仿宋" w:hAnsi="仿宋" w:eastAsia="仿宋"/>
          <w:color w:val="FF0000"/>
          <w:sz w:val="32"/>
          <w:szCs w:val="32"/>
        </w:rPr>
        <w:t>4357.79万元</w:t>
      </w:r>
      <w:r>
        <w:rPr>
          <w:rFonts w:hint="eastAsia" w:ascii="仿宋" w:hAnsi="仿宋" w:eastAsia="仿宋"/>
          <w:sz w:val="32"/>
          <w:szCs w:val="32"/>
        </w:rPr>
        <w:t>、职业年金缴费</w:t>
      </w:r>
      <w:r>
        <w:rPr>
          <w:rFonts w:hint="eastAsia" w:ascii="仿宋" w:hAnsi="仿宋" w:eastAsia="仿宋"/>
          <w:color w:val="FF0000"/>
          <w:sz w:val="32"/>
          <w:szCs w:val="32"/>
        </w:rPr>
        <w:t>433.70万元</w:t>
      </w:r>
      <w:r>
        <w:rPr>
          <w:rFonts w:hint="eastAsia" w:ascii="仿宋" w:hAnsi="仿宋" w:eastAsia="仿宋"/>
          <w:sz w:val="32"/>
          <w:szCs w:val="32"/>
        </w:rPr>
        <w:t>、职工基本医疗保险缴费</w:t>
      </w:r>
      <w:r>
        <w:rPr>
          <w:rFonts w:hint="eastAsia" w:ascii="仿宋" w:hAnsi="仿宋" w:eastAsia="仿宋"/>
          <w:color w:val="FF0000"/>
          <w:sz w:val="32"/>
          <w:szCs w:val="32"/>
        </w:rPr>
        <w:t>2274.03万元</w:t>
      </w:r>
      <w:r>
        <w:rPr>
          <w:rFonts w:hint="eastAsia" w:ascii="仿宋" w:hAnsi="仿宋" w:eastAsia="仿宋"/>
          <w:sz w:val="32"/>
          <w:szCs w:val="32"/>
        </w:rPr>
        <w:t>、其他社会保障缴费</w:t>
      </w:r>
      <w:r>
        <w:rPr>
          <w:rFonts w:hint="eastAsia" w:ascii="仿宋" w:hAnsi="仿宋" w:eastAsia="仿宋"/>
          <w:color w:val="FF0000"/>
          <w:sz w:val="32"/>
          <w:szCs w:val="32"/>
        </w:rPr>
        <w:t>916.58万元</w:t>
      </w:r>
      <w:r>
        <w:rPr>
          <w:rFonts w:hint="eastAsia" w:ascii="仿宋" w:hAnsi="仿宋" w:eastAsia="仿宋"/>
          <w:sz w:val="32"/>
          <w:szCs w:val="32"/>
        </w:rPr>
        <w:t>、住房公积金</w:t>
      </w:r>
      <w:r>
        <w:rPr>
          <w:rFonts w:hint="eastAsia" w:ascii="仿宋" w:hAnsi="仿宋" w:eastAsia="仿宋"/>
          <w:color w:val="FF0000"/>
          <w:sz w:val="32"/>
          <w:szCs w:val="32"/>
        </w:rPr>
        <w:t>3117.32万元</w:t>
      </w:r>
      <w:r>
        <w:rPr>
          <w:rFonts w:hint="eastAsia" w:ascii="仿宋" w:hAnsi="仿宋" w:eastAsia="仿宋"/>
          <w:sz w:val="32"/>
          <w:szCs w:val="32"/>
        </w:rPr>
        <w:t>、其他工资福利支出</w:t>
      </w:r>
      <w:r>
        <w:rPr>
          <w:rFonts w:hint="eastAsia" w:ascii="仿宋" w:hAnsi="仿宋" w:eastAsia="仿宋"/>
          <w:color w:val="FF0000"/>
          <w:sz w:val="32"/>
          <w:szCs w:val="32"/>
        </w:rPr>
        <w:t>6554.07万元</w:t>
      </w:r>
      <w:r>
        <w:rPr>
          <w:rFonts w:hint="eastAsia" w:ascii="仿宋" w:hAnsi="仿宋" w:eastAsia="仿宋"/>
          <w:sz w:val="32"/>
          <w:szCs w:val="32"/>
        </w:rPr>
        <w:t>、离休费</w:t>
      </w:r>
      <w:r>
        <w:rPr>
          <w:rFonts w:hint="eastAsia" w:ascii="仿宋" w:hAnsi="仿宋" w:eastAsia="仿宋"/>
          <w:color w:val="FF0000"/>
          <w:sz w:val="32"/>
          <w:szCs w:val="32"/>
        </w:rPr>
        <w:t>8.84万元</w:t>
      </w:r>
      <w:r>
        <w:rPr>
          <w:rFonts w:hint="eastAsia" w:ascii="仿宋" w:hAnsi="仿宋" w:eastAsia="仿宋"/>
          <w:sz w:val="32"/>
          <w:szCs w:val="32"/>
        </w:rPr>
        <w:t>、退休费</w:t>
      </w:r>
      <w:r>
        <w:rPr>
          <w:rFonts w:hint="eastAsia" w:ascii="仿宋" w:hAnsi="仿宋" w:eastAsia="仿宋"/>
          <w:color w:val="FF0000"/>
          <w:sz w:val="32"/>
          <w:szCs w:val="32"/>
        </w:rPr>
        <w:t>99.7万元</w:t>
      </w:r>
      <w:r>
        <w:rPr>
          <w:rFonts w:hint="eastAsia" w:ascii="仿宋" w:hAnsi="仿宋" w:eastAsia="仿宋"/>
          <w:sz w:val="32"/>
          <w:szCs w:val="32"/>
        </w:rPr>
        <w:t>、抚恤金</w:t>
      </w:r>
      <w:r>
        <w:rPr>
          <w:rFonts w:hint="eastAsia" w:ascii="仿宋" w:hAnsi="仿宋" w:eastAsia="仿宋"/>
          <w:color w:val="FF0000"/>
          <w:sz w:val="32"/>
          <w:szCs w:val="32"/>
        </w:rPr>
        <w:t>1992.07万元</w:t>
      </w:r>
      <w:r>
        <w:rPr>
          <w:rFonts w:hint="eastAsia" w:ascii="仿宋" w:hAnsi="仿宋" w:eastAsia="仿宋"/>
          <w:sz w:val="32"/>
          <w:szCs w:val="32"/>
        </w:rPr>
        <w:t>、生活补助</w:t>
      </w:r>
      <w:r>
        <w:rPr>
          <w:rFonts w:hint="eastAsia" w:ascii="仿宋" w:hAnsi="仿宋" w:eastAsia="仿宋"/>
          <w:color w:val="FF0000"/>
          <w:sz w:val="32"/>
          <w:szCs w:val="32"/>
        </w:rPr>
        <w:t>3076.03万元</w:t>
      </w:r>
      <w:r>
        <w:rPr>
          <w:rFonts w:hint="eastAsia" w:ascii="仿宋" w:hAnsi="仿宋" w:eastAsia="仿宋"/>
          <w:sz w:val="32"/>
          <w:szCs w:val="32"/>
        </w:rPr>
        <w:t>、助学金</w:t>
      </w:r>
      <w:r>
        <w:rPr>
          <w:rFonts w:hint="eastAsia" w:ascii="仿宋" w:hAnsi="仿宋" w:eastAsia="仿宋"/>
          <w:color w:val="FF0000"/>
          <w:sz w:val="32"/>
          <w:szCs w:val="32"/>
        </w:rPr>
        <w:t>112.33万</w:t>
      </w:r>
      <w:r>
        <w:rPr>
          <w:rFonts w:hint="eastAsia" w:ascii="仿宋" w:hAnsi="仿宋" w:eastAsia="仿宋"/>
          <w:sz w:val="32"/>
          <w:szCs w:val="32"/>
        </w:rPr>
        <w:t>元、奖励金</w:t>
      </w:r>
      <w:r>
        <w:rPr>
          <w:rFonts w:hint="eastAsia" w:ascii="仿宋" w:hAnsi="仿宋" w:eastAsia="仿宋"/>
          <w:color w:val="FF0000"/>
          <w:sz w:val="32"/>
          <w:szCs w:val="32"/>
        </w:rPr>
        <w:t>58.72万元</w:t>
      </w:r>
      <w:r>
        <w:rPr>
          <w:rFonts w:hint="eastAsia" w:ascii="仿宋" w:hAnsi="仿宋" w:eastAsia="仿宋"/>
          <w:sz w:val="32"/>
          <w:szCs w:val="32"/>
        </w:rPr>
        <w:t>等。</w:t>
      </w:r>
      <w:r>
        <w:rPr>
          <w:rFonts w:ascii="仿宋" w:hAnsi="仿宋" w:eastAsia="仿宋"/>
          <w:sz w:val="32"/>
          <w:szCs w:val="32"/>
        </w:rPr>
        <w:br w:type="textWrapping"/>
      </w:r>
      <w:r>
        <w:rPr>
          <w:rFonts w:hint="eastAsia" w:ascii="仿宋" w:hAnsi="仿宋" w:eastAsia="仿宋"/>
          <w:sz w:val="32"/>
          <w:szCs w:val="32"/>
        </w:rPr>
        <w:t>　　公用经费</w:t>
      </w:r>
      <w:r>
        <w:rPr>
          <w:rFonts w:hint="eastAsia" w:ascii="仿宋" w:hAnsi="仿宋" w:eastAsia="仿宋"/>
          <w:color w:val="FF0000"/>
          <w:sz w:val="32"/>
          <w:szCs w:val="32"/>
        </w:rPr>
        <w:t>7856.78万元</w:t>
      </w:r>
      <w:r>
        <w:rPr>
          <w:rFonts w:hint="eastAsia" w:ascii="仿宋" w:hAnsi="仿宋" w:eastAsia="仿宋"/>
          <w:sz w:val="32"/>
          <w:szCs w:val="32"/>
        </w:rPr>
        <w:t>，主要包括：办公费</w:t>
      </w:r>
      <w:r>
        <w:rPr>
          <w:rFonts w:hint="eastAsia" w:ascii="仿宋" w:hAnsi="仿宋" w:eastAsia="仿宋"/>
          <w:color w:val="FF0000"/>
          <w:sz w:val="32"/>
          <w:szCs w:val="32"/>
        </w:rPr>
        <w:t>1463.98万元</w:t>
      </w:r>
      <w:r>
        <w:rPr>
          <w:rFonts w:hint="eastAsia" w:ascii="仿宋" w:hAnsi="仿宋" w:eastAsia="仿宋"/>
          <w:sz w:val="32"/>
          <w:szCs w:val="32"/>
        </w:rPr>
        <w:t>、印刷费</w:t>
      </w:r>
      <w:r>
        <w:rPr>
          <w:rFonts w:hint="eastAsia" w:ascii="仿宋" w:hAnsi="仿宋" w:eastAsia="仿宋"/>
          <w:color w:val="FF0000"/>
          <w:sz w:val="32"/>
          <w:szCs w:val="32"/>
        </w:rPr>
        <w:t>242.11万元</w:t>
      </w:r>
      <w:r>
        <w:rPr>
          <w:rFonts w:hint="eastAsia" w:ascii="仿宋" w:hAnsi="仿宋" w:eastAsia="仿宋"/>
          <w:sz w:val="32"/>
          <w:szCs w:val="32"/>
        </w:rPr>
        <w:t>、咨询费</w:t>
      </w:r>
      <w:r>
        <w:rPr>
          <w:rFonts w:hint="eastAsia" w:ascii="仿宋" w:hAnsi="仿宋" w:eastAsia="仿宋"/>
          <w:color w:val="FF0000"/>
          <w:sz w:val="32"/>
          <w:szCs w:val="32"/>
        </w:rPr>
        <w:t>27.34万元</w:t>
      </w:r>
      <w:r>
        <w:rPr>
          <w:rFonts w:hint="eastAsia" w:ascii="仿宋" w:hAnsi="仿宋" w:eastAsia="仿宋"/>
          <w:sz w:val="32"/>
          <w:szCs w:val="32"/>
        </w:rPr>
        <w:t>、手续费</w:t>
      </w:r>
      <w:r>
        <w:rPr>
          <w:rFonts w:hint="eastAsia" w:ascii="仿宋" w:hAnsi="仿宋" w:eastAsia="仿宋"/>
          <w:color w:val="FF0000"/>
          <w:sz w:val="32"/>
          <w:szCs w:val="32"/>
        </w:rPr>
        <w:t>29.27万元</w:t>
      </w:r>
      <w:r>
        <w:rPr>
          <w:rFonts w:hint="eastAsia" w:ascii="仿宋" w:hAnsi="仿宋" w:eastAsia="仿宋"/>
          <w:sz w:val="32"/>
          <w:szCs w:val="32"/>
        </w:rPr>
        <w:t>、水费</w:t>
      </w:r>
      <w:r>
        <w:rPr>
          <w:rFonts w:hint="eastAsia" w:ascii="仿宋" w:hAnsi="仿宋" w:eastAsia="仿宋"/>
          <w:color w:val="FF0000"/>
          <w:sz w:val="32"/>
          <w:szCs w:val="32"/>
        </w:rPr>
        <w:t>349.9万元</w:t>
      </w:r>
      <w:r>
        <w:rPr>
          <w:rFonts w:hint="eastAsia" w:ascii="仿宋" w:hAnsi="仿宋" w:eastAsia="仿宋"/>
          <w:sz w:val="32"/>
          <w:szCs w:val="32"/>
        </w:rPr>
        <w:t>、电费</w:t>
      </w:r>
      <w:r>
        <w:rPr>
          <w:rFonts w:hint="eastAsia" w:ascii="仿宋" w:hAnsi="仿宋" w:eastAsia="仿宋"/>
          <w:color w:val="FF0000"/>
          <w:sz w:val="32"/>
          <w:szCs w:val="32"/>
        </w:rPr>
        <w:t>307.36万元</w:t>
      </w:r>
      <w:r>
        <w:rPr>
          <w:rFonts w:hint="eastAsia" w:ascii="仿宋" w:hAnsi="仿宋" w:eastAsia="仿宋"/>
          <w:sz w:val="32"/>
          <w:szCs w:val="32"/>
        </w:rPr>
        <w:t>、邮电费</w:t>
      </w:r>
      <w:r>
        <w:rPr>
          <w:rFonts w:hint="eastAsia" w:ascii="仿宋" w:hAnsi="仿宋" w:eastAsia="仿宋"/>
          <w:color w:val="FF0000"/>
          <w:sz w:val="32"/>
          <w:szCs w:val="32"/>
        </w:rPr>
        <w:t>140.65万元</w:t>
      </w:r>
      <w:r>
        <w:rPr>
          <w:rFonts w:hint="eastAsia" w:ascii="仿宋" w:hAnsi="仿宋" w:eastAsia="仿宋"/>
          <w:sz w:val="32"/>
          <w:szCs w:val="32"/>
        </w:rPr>
        <w:t>、物业管理费</w:t>
      </w:r>
      <w:r>
        <w:rPr>
          <w:rFonts w:hint="eastAsia" w:ascii="仿宋" w:hAnsi="仿宋" w:eastAsia="仿宋"/>
          <w:color w:val="FF0000"/>
          <w:sz w:val="32"/>
          <w:szCs w:val="32"/>
        </w:rPr>
        <w:t>255.93万元</w:t>
      </w:r>
      <w:r>
        <w:rPr>
          <w:rFonts w:hint="eastAsia" w:ascii="仿宋" w:hAnsi="仿宋" w:eastAsia="仿宋"/>
          <w:sz w:val="32"/>
          <w:szCs w:val="32"/>
        </w:rPr>
        <w:t>、差旅费</w:t>
      </w:r>
      <w:r>
        <w:rPr>
          <w:rFonts w:hint="eastAsia" w:ascii="仿宋" w:hAnsi="仿宋" w:eastAsia="仿宋"/>
          <w:color w:val="FF0000"/>
          <w:sz w:val="32"/>
          <w:szCs w:val="32"/>
        </w:rPr>
        <w:t>196.67万元</w:t>
      </w:r>
      <w:r>
        <w:rPr>
          <w:rFonts w:hint="eastAsia" w:ascii="仿宋" w:hAnsi="仿宋" w:eastAsia="仿宋"/>
          <w:sz w:val="32"/>
          <w:szCs w:val="32"/>
        </w:rPr>
        <w:t>、因公出国（境）费用0.00万元、维修（护）费</w:t>
      </w:r>
      <w:r>
        <w:rPr>
          <w:rFonts w:hint="eastAsia" w:ascii="仿宋" w:hAnsi="仿宋" w:eastAsia="仿宋"/>
          <w:color w:val="FF0000"/>
          <w:sz w:val="32"/>
          <w:szCs w:val="32"/>
        </w:rPr>
        <w:t>979.75万元</w:t>
      </w:r>
      <w:r>
        <w:rPr>
          <w:rFonts w:hint="eastAsia" w:ascii="仿宋" w:hAnsi="仿宋" w:eastAsia="仿宋"/>
          <w:sz w:val="32"/>
          <w:szCs w:val="32"/>
        </w:rPr>
        <w:t>、租赁费</w:t>
      </w:r>
      <w:r>
        <w:rPr>
          <w:rFonts w:hint="eastAsia" w:ascii="仿宋" w:hAnsi="仿宋" w:eastAsia="仿宋"/>
          <w:color w:val="FF0000"/>
          <w:sz w:val="32"/>
          <w:szCs w:val="32"/>
        </w:rPr>
        <w:t>28.66万元</w:t>
      </w:r>
      <w:r>
        <w:rPr>
          <w:rFonts w:hint="eastAsia" w:ascii="仿宋" w:hAnsi="仿宋" w:eastAsia="仿宋"/>
          <w:sz w:val="32"/>
          <w:szCs w:val="32"/>
        </w:rPr>
        <w:t>、会议费</w:t>
      </w:r>
      <w:r>
        <w:rPr>
          <w:rFonts w:hint="eastAsia" w:ascii="仿宋" w:hAnsi="仿宋" w:eastAsia="仿宋"/>
          <w:color w:val="FF0000"/>
          <w:sz w:val="32"/>
          <w:szCs w:val="32"/>
        </w:rPr>
        <w:t>56.29万元</w:t>
      </w:r>
      <w:r>
        <w:rPr>
          <w:rFonts w:hint="eastAsia" w:ascii="仿宋" w:hAnsi="仿宋" w:eastAsia="仿宋"/>
          <w:sz w:val="32"/>
          <w:szCs w:val="32"/>
        </w:rPr>
        <w:t>、培训费</w:t>
      </w:r>
      <w:r>
        <w:rPr>
          <w:rFonts w:hint="eastAsia" w:ascii="仿宋" w:hAnsi="仿宋" w:eastAsia="仿宋"/>
          <w:color w:val="FF0000"/>
          <w:sz w:val="32"/>
          <w:szCs w:val="32"/>
        </w:rPr>
        <w:t>169.99万元</w:t>
      </w:r>
      <w:r>
        <w:rPr>
          <w:rFonts w:hint="eastAsia" w:ascii="仿宋" w:hAnsi="仿宋" w:eastAsia="仿宋"/>
          <w:sz w:val="32"/>
          <w:szCs w:val="32"/>
        </w:rPr>
        <w:t>、公务接待费</w:t>
      </w:r>
      <w:r>
        <w:rPr>
          <w:rFonts w:hint="eastAsia" w:ascii="仿宋" w:hAnsi="仿宋" w:eastAsia="仿宋"/>
          <w:color w:val="FF0000"/>
          <w:sz w:val="32"/>
          <w:szCs w:val="32"/>
        </w:rPr>
        <w:t>4.79万元</w:t>
      </w:r>
      <w:r>
        <w:rPr>
          <w:rFonts w:hint="eastAsia" w:ascii="仿宋" w:hAnsi="仿宋" w:eastAsia="仿宋"/>
          <w:sz w:val="32"/>
          <w:szCs w:val="32"/>
        </w:rPr>
        <w:t>、专用材料费</w:t>
      </w:r>
      <w:r>
        <w:rPr>
          <w:rFonts w:hint="eastAsia" w:ascii="仿宋" w:hAnsi="仿宋" w:eastAsia="仿宋"/>
          <w:color w:val="FF0000"/>
          <w:sz w:val="32"/>
          <w:szCs w:val="32"/>
        </w:rPr>
        <w:t>78.27万元</w:t>
      </w:r>
      <w:r>
        <w:rPr>
          <w:rFonts w:hint="eastAsia" w:ascii="仿宋" w:hAnsi="仿宋" w:eastAsia="仿宋"/>
          <w:sz w:val="32"/>
          <w:szCs w:val="32"/>
        </w:rPr>
        <w:t>、劳务费</w:t>
      </w:r>
      <w:r>
        <w:rPr>
          <w:rFonts w:hint="eastAsia" w:ascii="仿宋" w:hAnsi="仿宋" w:eastAsia="仿宋"/>
          <w:color w:val="FF0000"/>
          <w:sz w:val="32"/>
          <w:szCs w:val="32"/>
        </w:rPr>
        <w:t>2008.19万元</w:t>
      </w:r>
      <w:r>
        <w:rPr>
          <w:rFonts w:hint="eastAsia" w:ascii="仿宋" w:hAnsi="仿宋" w:eastAsia="仿宋"/>
          <w:sz w:val="32"/>
          <w:szCs w:val="32"/>
        </w:rPr>
        <w:t>、委托业务费0.00万元、工会经费</w:t>
      </w:r>
      <w:r>
        <w:rPr>
          <w:rFonts w:hint="eastAsia" w:ascii="仿宋" w:hAnsi="仿宋" w:eastAsia="仿宋"/>
          <w:color w:val="FF0000"/>
          <w:sz w:val="32"/>
          <w:szCs w:val="32"/>
        </w:rPr>
        <w:t>565.82万元</w:t>
      </w:r>
      <w:r>
        <w:rPr>
          <w:rFonts w:hint="eastAsia" w:ascii="仿宋" w:hAnsi="仿宋" w:eastAsia="仿宋"/>
          <w:sz w:val="32"/>
          <w:szCs w:val="32"/>
        </w:rPr>
        <w:t>、福利费</w:t>
      </w:r>
      <w:r>
        <w:rPr>
          <w:rFonts w:hint="eastAsia" w:ascii="仿宋" w:hAnsi="仿宋" w:eastAsia="仿宋"/>
          <w:color w:val="FF0000"/>
          <w:sz w:val="32"/>
          <w:szCs w:val="32"/>
        </w:rPr>
        <w:t>786.71万元</w:t>
      </w:r>
      <w:r>
        <w:rPr>
          <w:rFonts w:hint="eastAsia" w:ascii="仿宋" w:hAnsi="仿宋" w:eastAsia="仿宋"/>
          <w:sz w:val="32"/>
          <w:szCs w:val="32"/>
        </w:rPr>
        <w:t>、公务用车运行维护费0.00万元、其他交通费</w:t>
      </w:r>
      <w:r>
        <w:rPr>
          <w:rFonts w:hint="eastAsia" w:ascii="仿宋" w:hAnsi="仿宋" w:eastAsia="仿宋"/>
          <w:color w:val="FF0000"/>
          <w:sz w:val="32"/>
          <w:szCs w:val="32"/>
        </w:rPr>
        <w:t>18.43万元</w:t>
      </w:r>
      <w:r>
        <w:rPr>
          <w:rFonts w:hint="eastAsia" w:ascii="仿宋" w:hAnsi="仿宋" w:eastAsia="仿宋"/>
          <w:sz w:val="32"/>
          <w:szCs w:val="32"/>
        </w:rPr>
        <w:t>、税金及附加费用0.00万元、其他商品和服务支出0.00万元、办公设备购置</w:t>
      </w:r>
      <w:r>
        <w:rPr>
          <w:rFonts w:hint="eastAsia" w:ascii="仿宋" w:hAnsi="仿宋" w:eastAsia="仿宋"/>
          <w:color w:val="FF0000"/>
          <w:sz w:val="32"/>
          <w:szCs w:val="32"/>
        </w:rPr>
        <w:t>120.8万元</w:t>
      </w:r>
      <w:r>
        <w:rPr>
          <w:rFonts w:hint="eastAsia" w:ascii="仿宋" w:hAnsi="仿宋" w:eastAsia="仿宋"/>
          <w:sz w:val="32"/>
          <w:szCs w:val="32"/>
        </w:rPr>
        <w:t>、专用设备购置</w:t>
      </w:r>
      <w:r>
        <w:rPr>
          <w:rFonts w:hint="eastAsia" w:ascii="仿宋" w:hAnsi="仿宋" w:eastAsia="仿宋"/>
          <w:color w:val="FF0000"/>
          <w:sz w:val="32"/>
          <w:szCs w:val="32"/>
        </w:rPr>
        <w:t>8.42万元</w:t>
      </w:r>
      <w:r>
        <w:rPr>
          <w:rFonts w:hint="eastAsia" w:ascii="仿宋" w:hAnsi="仿宋" w:eastAsia="仿宋"/>
          <w:sz w:val="32"/>
          <w:szCs w:val="32"/>
        </w:rPr>
        <w:t>、信息网络及软件购置更新</w:t>
      </w:r>
      <w:r>
        <w:rPr>
          <w:rFonts w:hint="eastAsia" w:ascii="仿宋" w:hAnsi="仿宋" w:eastAsia="仿宋"/>
          <w:color w:val="FF0000"/>
          <w:sz w:val="32"/>
          <w:szCs w:val="32"/>
        </w:rPr>
        <w:t>17.45万元</w:t>
      </w:r>
      <w:r>
        <w:rPr>
          <w:rFonts w:hint="eastAsia" w:ascii="仿宋" w:hAnsi="仿宋" w:eastAsia="仿宋"/>
          <w:sz w:val="32"/>
          <w:szCs w:val="32"/>
        </w:rPr>
        <w:t>、其他资本性支出0.00万元等。</w:t>
      </w:r>
    </w:p>
    <w:p>
      <w:pPr>
        <w:spacing w:line="600" w:lineRule="exact"/>
        <w:ind w:firstLine="640"/>
        <w:rPr>
          <w:rFonts w:ascii="仿宋" w:hAnsi="仿宋" w:eastAsia="仿宋"/>
          <w:b/>
          <w:sz w:val="32"/>
          <w:szCs w:val="32"/>
        </w:rPr>
      </w:pPr>
      <w:r>
        <w:rPr>
          <w:rFonts w:hint="eastAsia" w:ascii="仿宋" w:hAnsi="仿宋" w:eastAsia="仿宋"/>
          <w:b/>
          <w:sz w:val="32"/>
          <w:szCs w:val="32"/>
        </w:rPr>
        <w:t>（数据来源财决</w:t>
      </w:r>
      <w:r>
        <w:rPr>
          <w:rFonts w:ascii="仿宋" w:hAnsi="仿宋" w:eastAsia="仿宋"/>
          <w:b/>
          <w:sz w:val="32"/>
          <w:szCs w:val="32"/>
        </w:rPr>
        <w:t>0</w:t>
      </w:r>
      <w:r>
        <w:rPr>
          <w:rFonts w:hint="eastAsia" w:ascii="仿宋" w:hAnsi="仿宋" w:eastAsia="仿宋"/>
          <w:b/>
          <w:sz w:val="32"/>
          <w:szCs w:val="32"/>
        </w:rPr>
        <w:t>7表，根据本部门实际支出情况罗列全部经济分类科目。）</w:t>
      </w:r>
    </w:p>
    <w:p>
      <w:pPr>
        <w:spacing w:line="600" w:lineRule="exact"/>
        <w:ind w:firstLine="640"/>
        <w:outlineLvl w:val="1"/>
        <w:rPr>
          <w:rStyle w:val="25"/>
          <w:rFonts w:ascii="黑体" w:hAnsi="黑体" w:eastAsia="黑体"/>
          <w:b w:val="0"/>
        </w:rPr>
      </w:pPr>
      <w:bookmarkStart w:id="44" w:name="_Toc15377215"/>
      <w:bookmarkStart w:id="45" w:name="_Toc19089870"/>
      <w:r>
        <w:rPr>
          <w:rFonts w:hint="eastAsia" w:ascii="黑体" w:eastAsia="黑体"/>
          <w:sz w:val="32"/>
          <w:szCs w:val="32"/>
        </w:rPr>
        <w:t>七、</w:t>
      </w:r>
      <w:r>
        <w:rPr>
          <w:rStyle w:val="25"/>
          <w:rFonts w:hint="eastAsia" w:ascii="黑体" w:hAnsi="黑体" w:eastAsia="黑体"/>
        </w:rPr>
        <w:t>“</w:t>
      </w:r>
      <w:r>
        <w:rPr>
          <w:rStyle w:val="25"/>
          <w:rFonts w:hint="eastAsia" w:ascii="黑体" w:hAnsi="黑体" w:eastAsia="黑体"/>
          <w:b w:val="0"/>
        </w:rPr>
        <w:t>三公”经费财政拨款支出决算情况说明</w:t>
      </w:r>
      <w:bookmarkEnd w:id="44"/>
      <w:bookmarkEnd w:id="45"/>
    </w:p>
    <w:p>
      <w:pPr>
        <w:spacing w:line="600" w:lineRule="exact"/>
        <w:ind w:firstLine="640"/>
        <w:outlineLvl w:val="2"/>
        <w:rPr>
          <w:rFonts w:ascii="仿宋" w:hAnsi="仿宋" w:eastAsia="仿宋"/>
          <w:b/>
          <w:sz w:val="32"/>
          <w:szCs w:val="32"/>
        </w:rPr>
      </w:pPr>
      <w:bookmarkStart w:id="46" w:name="_Toc15377216"/>
      <w:r>
        <w:rPr>
          <w:rFonts w:hint="eastAsia" w:ascii="仿宋" w:hAnsi="仿宋" w:eastAsia="仿宋"/>
          <w:b/>
          <w:sz w:val="32"/>
          <w:szCs w:val="32"/>
        </w:rPr>
        <w:t>（一）“三公”经费财政拨款支出决算总体情况说明</w:t>
      </w:r>
      <w:bookmarkEnd w:id="46"/>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20年“三公”经费财政拨款支出决算为</w:t>
      </w:r>
      <w:r>
        <w:rPr>
          <w:rFonts w:hint="eastAsia" w:ascii="仿宋_GB2312" w:hAnsi="仿宋_GB2312" w:eastAsia="仿宋_GB2312" w:cs="仿宋_GB2312"/>
          <w:color w:val="FF0000"/>
          <w:sz w:val="32"/>
          <w:szCs w:val="32"/>
        </w:rPr>
        <w:t>4.79万元</w:t>
      </w:r>
      <w:r>
        <w:rPr>
          <w:rFonts w:hint="eastAsia" w:ascii="仿宋" w:hAnsi="仿宋" w:eastAsia="仿宋"/>
          <w:sz w:val="32"/>
          <w:szCs w:val="32"/>
        </w:rPr>
        <w:t>，完成预算</w:t>
      </w:r>
      <w:r>
        <w:rPr>
          <w:rFonts w:hint="eastAsia" w:ascii="仿宋_GB2312" w:hAnsi="仿宋_GB2312" w:eastAsia="仿宋_GB2312" w:cs="仿宋_GB2312"/>
          <w:color w:val="FF0000"/>
          <w:sz w:val="32"/>
          <w:szCs w:val="32"/>
        </w:rPr>
        <w:t>100%</w:t>
      </w:r>
      <w:r>
        <w:rPr>
          <w:rFonts w:hint="eastAsia" w:ascii="仿宋" w:hAnsi="仿宋" w:eastAsia="仿宋"/>
          <w:sz w:val="32"/>
          <w:szCs w:val="32"/>
        </w:rPr>
        <w:t>，决算数与预算数持平的主要原因是合理安排预算,严格控制因公出国、出境事项和公务接待事项。</w:t>
      </w:r>
    </w:p>
    <w:p>
      <w:pPr>
        <w:spacing w:line="600" w:lineRule="exact"/>
        <w:ind w:firstLine="640"/>
        <w:outlineLvl w:val="2"/>
        <w:rPr>
          <w:rFonts w:ascii="仿宋" w:hAnsi="仿宋" w:eastAsia="仿宋"/>
          <w:b/>
          <w:sz w:val="32"/>
          <w:szCs w:val="32"/>
        </w:rPr>
      </w:pPr>
      <w:bookmarkStart w:id="47" w:name="_Toc15377217"/>
      <w:r>
        <w:rPr>
          <w:rFonts w:hint="eastAsia" w:ascii="仿宋" w:hAnsi="仿宋" w:eastAsia="仿宋"/>
          <w:b/>
          <w:sz w:val="32"/>
          <w:szCs w:val="32"/>
        </w:rPr>
        <w:t>（二）“三公”经费财政拨款支出决算具体情况说明</w:t>
      </w:r>
      <w:bookmarkEnd w:id="47"/>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20年“三公”经费财政拨款支出决算中，因公出国（境）费支出决算</w:t>
      </w:r>
      <w:r>
        <w:rPr>
          <w:rFonts w:hint="eastAsia" w:ascii="仿宋_GB2312" w:hAnsi="仿宋_GB2312" w:eastAsia="仿宋_GB2312" w:cs="仿宋_GB2312"/>
          <w:color w:val="FF0000"/>
          <w:sz w:val="32"/>
          <w:szCs w:val="32"/>
        </w:rPr>
        <w:t>0.00</w:t>
      </w:r>
      <w:r>
        <w:rPr>
          <w:rFonts w:hint="eastAsia" w:ascii="仿宋" w:hAnsi="仿宋" w:eastAsia="仿宋"/>
          <w:sz w:val="32"/>
          <w:szCs w:val="32"/>
        </w:rPr>
        <w:t>万元，占</w:t>
      </w:r>
      <w:r>
        <w:rPr>
          <w:rFonts w:hint="eastAsia" w:ascii="仿宋_GB2312" w:hAnsi="仿宋_GB2312" w:eastAsia="仿宋_GB2312" w:cs="仿宋_GB2312"/>
          <w:color w:val="FF0000"/>
          <w:sz w:val="32"/>
          <w:szCs w:val="32"/>
        </w:rPr>
        <w:t>0.00%</w:t>
      </w:r>
      <w:r>
        <w:rPr>
          <w:rFonts w:hint="eastAsia" w:ascii="仿宋" w:hAnsi="仿宋" w:eastAsia="仿宋"/>
          <w:sz w:val="32"/>
          <w:szCs w:val="32"/>
        </w:rPr>
        <w:t>；公务用车购置及运行维护费支出决算0.00万元，占0.00</w:t>
      </w:r>
      <w:r>
        <w:rPr>
          <w:rFonts w:ascii="仿宋" w:hAnsi="仿宋" w:eastAsia="仿宋"/>
          <w:sz w:val="32"/>
          <w:szCs w:val="32"/>
        </w:rPr>
        <w:t>%</w:t>
      </w:r>
      <w:r>
        <w:rPr>
          <w:rFonts w:hint="eastAsia" w:ascii="仿宋" w:hAnsi="仿宋" w:eastAsia="仿宋"/>
          <w:sz w:val="32"/>
          <w:szCs w:val="32"/>
        </w:rPr>
        <w:t>；公务接待费支出决算</w:t>
      </w:r>
      <w:r>
        <w:rPr>
          <w:rFonts w:hint="eastAsia" w:ascii="仿宋_GB2312" w:hAnsi="仿宋_GB2312" w:eastAsia="仿宋_GB2312" w:cs="仿宋_GB2312"/>
          <w:color w:val="FF0000"/>
          <w:sz w:val="32"/>
          <w:szCs w:val="32"/>
        </w:rPr>
        <w:t>4.79万元</w:t>
      </w:r>
      <w:r>
        <w:rPr>
          <w:rFonts w:hint="eastAsia" w:ascii="仿宋" w:hAnsi="仿宋" w:eastAsia="仿宋"/>
          <w:sz w:val="32"/>
          <w:szCs w:val="32"/>
        </w:rPr>
        <w:t>，占</w:t>
      </w:r>
      <w:r>
        <w:rPr>
          <w:rFonts w:hint="eastAsia" w:ascii="仿宋_GB2312" w:hAnsi="仿宋_GB2312" w:eastAsia="仿宋_GB2312" w:cs="仿宋_GB2312"/>
          <w:color w:val="FF0000"/>
          <w:sz w:val="32"/>
          <w:szCs w:val="32"/>
        </w:rPr>
        <w:t>100%</w:t>
      </w:r>
      <w:r>
        <w:rPr>
          <w:rFonts w:hint="eastAsia" w:ascii="仿宋" w:hAnsi="仿宋" w:eastAsia="仿宋"/>
          <w:sz w:val="32"/>
          <w:szCs w:val="32"/>
        </w:rPr>
        <w:t>。具体情况如下：</w:t>
      </w:r>
    </w:p>
    <w:p>
      <w:pPr>
        <w:spacing w:line="600" w:lineRule="exact"/>
        <w:ind w:firstLine="640"/>
        <w:rPr>
          <w:rFonts w:ascii="仿宋" w:hAnsi="仿宋" w:eastAsia="仿宋"/>
          <w:sz w:val="32"/>
          <w:szCs w:val="32"/>
        </w:rPr>
      </w:pPr>
      <w:r>
        <w:rPr>
          <w:rFonts w:hint="eastAsia" w:ascii="仿宋" w:hAnsi="仿宋" w:eastAsia="仿宋"/>
          <w:sz w:val="32"/>
          <w:szCs w:val="32"/>
        </w:rPr>
        <w:t>（图8：“三公”经费财政拨款支出结构）（饼状图）</w:t>
      </w:r>
      <w:r>
        <w:rPr>
          <w:rFonts w:ascii="仿宋" w:hAnsi="仿宋" w:eastAsia="仿宋"/>
          <w:sz w:val="32"/>
          <w:szCs w:val="32"/>
        </w:rPr>
        <w:drawing>
          <wp:anchor distT="0" distB="0" distL="114300" distR="114300" simplePos="0" relativeHeight="251664384" behindDoc="0" locked="0" layoutInCell="1" allowOverlap="1">
            <wp:simplePos x="0" y="0"/>
            <wp:positionH relativeFrom="column">
              <wp:posOffset>57150</wp:posOffset>
            </wp:positionH>
            <wp:positionV relativeFrom="paragraph">
              <wp:posOffset>69850</wp:posOffset>
            </wp:positionV>
            <wp:extent cx="5073650" cy="2635250"/>
            <wp:effectExtent l="0" t="0" r="12700" b="12700"/>
            <wp:wrapSquare wrapText="bothSides"/>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pPr>
        <w:spacing w:line="600" w:lineRule="exact"/>
        <w:ind w:firstLine="640"/>
        <w:rPr>
          <w:rFonts w:ascii="仿宋_GB2312" w:eastAsia="仿宋_GB2312"/>
          <w:b/>
          <w:sz w:val="32"/>
          <w:szCs w:val="32"/>
        </w:rPr>
      </w:pPr>
      <w:r>
        <w:rPr>
          <w:rFonts w:ascii="仿宋_GB2312" w:eastAsia="仿宋_GB2312"/>
          <w:b/>
          <w:sz w:val="32"/>
          <w:szCs w:val="32"/>
        </w:rPr>
        <w:t>1.</w:t>
      </w:r>
      <w:r>
        <w:rPr>
          <w:rFonts w:hint="eastAsia" w:ascii="仿宋_GB2312" w:eastAsia="仿宋_GB2312"/>
          <w:b/>
          <w:sz w:val="32"/>
          <w:szCs w:val="32"/>
        </w:rPr>
        <w:t>因公出国（境）经费支出</w:t>
      </w:r>
      <w:r>
        <w:rPr>
          <w:rFonts w:hint="eastAsia" w:ascii="仿宋_GB2312" w:hAnsi="仿宋_GB2312" w:eastAsia="仿宋_GB2312" w:cs="仿宋_GB2312"/>
          <w:color w:val="FF0000"/>
          <w:sz w:val="32"/>
          <w:szCs w:val="32"/>
        </w:rPr>
        <w:t>0.00万元</w:t>
      </w:r>
      <w:r>
        <w:rPr>
          <w:rStyle w:val="14"/>
          <w:rFonts w:hint="eastAsia" w:ascii="仿宋" w:hAnsi="仿宋" w:eastAsia="仿宋"/>
          <w:b w:val="0"/>
          <w:bCs/>
          <w:sz w:val="32"/>
          <w:szCs w:val="32"/>
        </w:rPr>
        <w:t>。</w:t>
      </w:r>
      <w:r>
        <w:rPr>
          <w:rFonts w:hint="eastAsia" w:ascii="仿宋_GB2312" w:eastAsia="仿宋_GB2312"/>
          <w:sz w:val="32"/>
          <w:szCs w:val="32"/>
        </w:rPr>
        <w:t>全年安排因公出国（境）团组</w:t>
      </w:r>
      <w:r>
        <w:rPr>
          <w:rFonts w:hint="eastAsia" w:ascii="仿宋_GB2312" w:hAnsi="仿宋_GB2312" w:eastAsia="仿宋_GB2312" w:cs="仿宋_GB2312"/>
          <w:color w:val="FF0000"/>
          <w:sz w:val="32"/>
          <w:szCs w:val="32"/>
        </w:rPr>
        <w:t>0</w:t>
      </w:r>
      <w:r>
        <w:rPr>
          <w:rFonts w:hint="eastAsia" w:ascii="仿宋_GB2312" w:eastAsia="仿宋_GB2312"/>
          <w:sz w:val="32"/>
          <w:szCs w:val="32"/>
        </w:rPr>
        <w:t>次，出国（境）</w:t>
      </w:r>
      <w:r>
        <w:rPr>
          <w:rFonts w:hint="eastAsia" w:ascii="仿宋_GB2312" w:hAnsi="仿宋_GB2312" w:eastAsia="仿宋_GB2312" w:cs="仿宋_GB2312"/>
          <w:color w:val="FF0000"/>
          <w:sz w:val="32"/>
          <w:szCs w:val="32"/>
        </w:rPr>
        <w:t>0</w:t>
      </w:r>
      <w:r>
        <w:rPr>
          <w:rFonts w:hint="eastAsia" w:ascii="仿宋_GB2312" w:eastAsia="仿宋_GB2312"/>
          <w:sz w:val="32"/>
          <w:szCs w:val="32"/>
        </w:rPr>
        <w:t>人。因公出国（境）支出决算比</w:t>
      </w:r>
      <w:r>
        <w:rPr>
          <w:rFonts w:ascii="仿宋_GB2312" w:eastAsia="仿宋_GB2312"/>
          <w:sz w:val="32"/>
          <w:szCs w:val="32"/>
        </w:rPr>
        <w:t>20</w:t>
      </w:r>
      <w:r>
        <w:rPr>
          <w:rFonts w:hint="eastAsia" w:ascii="仿宋_GB2312" w:eastAsia="仿宋_GB2312"/>
          <w:sz w:val="32"/>
          <w:szCs w:val="32"/>
        </w:rPr>
        <w:t>19年减少</w:t>
      </w:r>
      <w:r>
        <w:rPr>
          <w:rFonts w:hint="eastAsia" w:ascii="仿宋_GB2312" w:hAnsi="仿宋_GB2312" w:eastAsia="仿宋_GB2312" w:cs="仿宋_GB2312"/>
          <w:color w:val="FF0000"/>
          <w:sz w:val="32"/>
          <w:szCs w:val="32"/>
        </w:rPr>
        <w:t>1.56</w:t>
      </w:r>
      <w:r>
        <w:rPr>
          <w:rFonts w:hint="eastAsia" w:ascii="仿宋_GB2312" w:eastAsia="仿宋_GB2312"/>
          <w:sz w:val="32"/>
          <w:szCs w:val="32"/>
        </w:rPr>
        <w:t>万元，降低</w:t>
      </w:r>
      <w:r>
        <w:rPr>
          <w:rFonts w:hint="eastAsia" w:ascii="仿宋_GB2312" w:hAnsi="仿宋_GB2312" w:eastAsia="仿宋_GB2312" w:cs="仿宋_GB2312"/>
          <w:color w:val="FF0000"/>
          <w:sz w:val="32"/>
          <w:szCs w:val="32"/>
        </w:rPr>
        <w:t>100.00%</w:t>
      </w:r>
      <w:r>
        <w:rPr>
          <w:rFonts w:hint="eastAsia" w:ascii="仿宋_GB2312" w:eastAsia="仿宋_GB2312"/>
          <w:sz w:val="32"/>
          <w:szCs w:val="32"/>
        </w:rPr>
        <w:t>。主要原因是本年未安排出国（境）公务活动。</w:t>
      </w:r>
    </w:p>
    <w:p>
      <w:pPr>
        <w:spacing w:line="600" w:lineRule="exact"/>
        <w:ind w:firstLine="640"/>
        <w:rPr>
          <w:rFonts w:ascii="仿宋_GB2312" w:eastAsia="仿宋_GB2312"/>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p>
    <w:p>
      <w:pPr>
        <w:spacing w:line="600" w:lineRule="exact"/>
        <w:ind w:firstLine="640"/>
        <w:rPr>
          <w:rFonts w:ascii="仿宋_GB2312" w:eastAsia="仿宋_GB2312"/>
          <w:sz w:val="32"/>
          <w:szCs w:val="32"/>
        </w:rPr>
      </w:pPr>
      <w:r>
        <w:rPr>
          <w:rFonts w:hint="eastAsia" w:ascii="仿宋_GB2312" w:eastAsia="仿宋_GB2312"/>
          <w:sz w:val="32"/>
          <w:szCs w:val="32"/>
        </w:rPr>
        <w:t>2016年公务用车改革后，我局未保留公务用车。2020年度无公务用车购置及运行维护费开支。</w:t>
      </w:r>
    </w:p>
    <w:p>
      <w:pPr>
        <w:spacing w:line="600" w:lineRule="exact"/>
        <w:ind w:firstLine="64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hint="eastAsia" w:ascii="仿宋_GB2312" w:hAnsi="仿宋_GB2312" w:eastAsia="仿宋_GB2312" w:cs="仿宋_GB2312"/>
          <w:color w:val="FF0000"/>
          <w:sz w:val="32"/>
          <w:szCs w:val="32"/>
        </w:rPr>
        <w:t>4.79</w:t>
      </w:r>
      <w:r>
        <w:rPr>
          <w:rFonts w:hint="eastAsia" w:ascii="仿宋_GB2312" w:eastAsia="仿宋_GB2312"/>
          <w:sz w:val="32"/>
          <w:szCs w:val="32"/>
        </w:rPr>
        <w:t>万元，</w:t>
      </w:r>
      <w:r>
        <w:rPr>
          <w:rStyle w:val="14"/>
          <w:rFonts w:hint="eastAsia" w:ascii="仿宋" w:hAnsi="仿宋" w:eastAsia="仿宋"/>
          <w:b w:val="0"/>
          <w:bCs/>
          <w:sz w:val="32"/>
          <w:szCs w:val="32"/>
        </w:rPr>
        <w:t>完成预算</w:t>
      </w:r>
      <w:r>
        <w:rPr>
          <w:rFonts w:hint="eastAsia" w:ascii="仿宋_GB2312" w:hAnsi="仿宋_GB2312" w:eastAsia="仿宋_GB2312" w:cs="仿宋_GB2312"/>
          <w:color w:val="FF0000"/>
          <w:sz w:val="32"/>
          <w:szCs w:val="32"/>
        </w:rPr>
        <w:t>99.79%</w:t>
      </w:r>
      <w:r>
        <w:rPr>
          <w:rStyle w:val="14"/>
          <w:rFonts w:hint="eastAsia" w:ascii="仿宋" w:hAnsi="仿宋" w:eastAsia="仿宋"/>
          <w:b w:val="0"/>
          <w:bCs/>
          <w:sz w:val="32"/>
          <w:szCs w:val="32"/>
        </w:rPr>
        <w:t>。</w:t>
      </w:r>
      <w:r>
        <w:rPr>
          <w:rFonts w:hint="eastAsia" w:ascii="仿宋_GB2312" w:eastAsia="仿宋_GB2312"/>
          <w:sz w:val="32"/>
          <w:szCs w:val="32"/>
        </w:rPr>
        <w:t>公务接待费支出决算与</w:t>
      </w:r>
      <w:r>
        <w:rPr>
          <w:rFonts w:hint="eastAsia" w:ascii="仿宋_GB2312" w:hAnsi="仿宋_GB2312" w:eastAsia="仿宋_GB2312" w:cs="仿宋_GB2312"/>
          <w:color w:val="FF0000"/>
          <w:sz w:val="32"/>
          <w:szCs w:val="32"/>
        </w:rPr>
        <w:t>2019相比基本持平</w:t>
      </w:r>
      <w:r>
        <w:rPr>
          <w:rFonts w:hint="eastAsia" w:ascii="仿宋_GB2312" w:eastAsia="仿宋_GB2312"/>
          <w:sz w:val="32"/>
          <w:szCs w:val="32"/>
        </w:rPr>
        <w:t>。主要原因是合理安排预算,严格控制</w:t>
      </w:r>
      <w:r>
        <w:rPr>
          <w:rFonts w:hint="eastAsia" w:ascii="仿宋_GB2312" w:eastAsia="仿宋_GB2312"/>
          <w:sz w:val="32"/>
          <w:szCs w:val="32"/>
          <w:lang w:val="en-US" w:eastAsia="zh-CN"/>
        </w:rPr>
        <w:t>各类</w:t>
      </w:r>
      <w:r>
        <w:rPr>
          <w:rFonts w:hint="eastAsia" w:ascii="仿宋_GB2312" w:eastAsia="仿宋_GB2312"/>
          <w:sz w:val="32"/>
          <w:szCs w:val="32"/>
        </w:rPr>
        <w:t>公务接待</w:t>
      </w:r>
      <w:r>
        <w:rPr>
          <w:rFonts w:hint="eastAsia" w:ascii="仿宋_GB2312" w:eastAsia="仿宋_GB2312"/>
          <w:sz w:val="32"/>
          <w:szCs w:val="32"/>
          <w:lang w:val="en-US" w:eastAsia="zh-CN"/>
        </w:rPr>
        <w:t>活动</w:t>
      </w:r>
      <w:r>
        <w:rPr>
          <w:rFonts w:hint="eastAsia" w:ascii="仿宋_GB2312" w:eastAsia="仿宋_GB2312"/>
          <w:sz w:val="32"/>
          <w:szCs w:val="32"/>
        </w:rPr>
        <w:t>。</w:t>
      </w:r>
    </w:p>
    <w:p>
      <w:pPr>
        <w:spacing w:line="600" w:lineRule="exact"/>
        <w:ind w:firstLine="640" w:firstLineChars="200"/>
        <w:rPr>
          <w:rFonts w:ascii="仿宋_GB2312" w:eastAsia="仿宋_GB2312"/>
          <w:sz w:val="32"/>
          <w:szCs w:val="32"/>
        </w:rPr>
      </w:pPr>
      <w:r>
        <w:rPr>
          <w:rFonts w:hint="eastAsia" w:ascii="仿宋_GB2312" w:eastAsia="仿宋_GB2312"/>
          <w:sz w:val="32"/>
          <w:szCs w:val="32"/>
          <w:lang w:val="en-US" w:eastAsia="zh-CN"/>
        </w:rPr>
        <w:t>2020年</w:t>
      </w:r>
      <w:r>
        <w:rPr>
          <w:rFonts w:hint="eastAsia" w:ascii="仿宋_GB2312" w:eastAsia="仿宋_GB2312"/>
          <w:sz w:val="32"/>
          <w:szCs w:val="32"/>
        </w:rPr>
        <w:t>国内公务接待42批次，524人次，共计支出4.79万元，其中：</w:t>
      </w:r>
      <w:r>
        <w:rPr>
          <w:rFonts w:hint="eastAsia" w:ascii="仿宋" w:hAnsi="仿宋" w:eastAsia="仿宋"/>
          <w:b/>
          <w:sz w:val="32"/>
          <w:szCs w:val="32"/>
        </w:rPr>
        <w:t>外事接待支出</w:t>
      </w:r>
      <w:r>
        <w:rPr>
          <w:rFonts w:hint="eastAsia" w:ascii="仿宋" w:hAnsi="仿宋" w:eastAsia="仿宋"/>
          <w:sz w:val="32"/>
          <w:szCs w:val="32"/>
        </w:rPr>
        <w:t>0.00</w:t>
      </w:r>
      <w:r>
        <w:rPr>
          <w:rFonts w:hint="eastAsia" w:ascii="仿宋_GB2312" w:eastAsia="仿宋_GB2312"/>
          <w:sz w:val="32"/>
          <w:szCs w:val="32"/>
        </w:rPr>
        <w:t>万元，外事接待0批次，0人，共计支出0.00万元。</w:t>
      </w:r>
    </w:p>
    <w:p>
      <w:pPr>
        <w:spacing w:line="600" w:lineRule="exact"/>
        <w:ind w:firstLine="640"/>
        <w:outlineLvl w:val="1"/>
        <w:rPr>
          <w:rStyle w:val="25"/>
          <w:rFonts w:ascii="黑体" w:hAnsi="黑体" w:eastAsia="黑体"/>
        </w:rPr>
      </w:pPr>
      <w:bookmarkStart w:id="48" w:name="_Toc19089871"/>
      <w:bookmarkStart w:id="49" w:name="_Toc15377218"/>
      <w:r>
        <w:rPr>
          <w:rFonts w:hint="eastAsia" w:ascii="黑体" w:eastAsia="黑体"/>
          <w:sz w:val="32"/>
          <w:szCs w:val="32"/>
        </w:rPr>
        <w:t>八、</w:t>
      </w:r>
      <w:r>
        <w:rPr>
          <w:rStyle w:val="25"/>
          <w:rFonts w:hint="eastAsia" w:ascii="黑体" w:hAnsi="黑体" w:eastAsia="黑体"/>
          <w:b w:val="0"/>
        </w:rPr>
        <w:t>政府性基金预算支出决算情况说明</w:t>
      </w:r>
      <w:bookmarkEnd w:id="48"/>
      <w:bookmarkEnd w:id="49"/>
    </w:p>
    <w:p>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20年政府性基金预算拨款支出</w:t>
      </w:r>
      <w:r>
        <w:rPr>
          <w:rFonts w:hint="eastAsia" w:ascii="仿宋_GB2312" w:hAnsi="仿宋_GB2312" w:eastAsia="仿宋_GB2312" w:cs="仿宋_GB2312"/>
          <w:color w:val="FF0000"/>
          <w:sz w:val="32"/>
          <w:szCs w:val="32"/>
        </w:rPr>
        <w:t>301.73</w:t>
      </w:r>
      <w:r>
        <w:rPr>
          <w:rFonts w:hint="eastAsia" w:ascii="仿宋_GB2312" w:eastAsia="仿宋_GB2312"/>
          <w:sz w:val="32"/>
          <w:szCs w:val="32"/>
        </w:rPr>
        <w:t>万元，完成预算63.23%。支出数小于预算数的原因为特殊教育学校特教设备采购项目正在实施，资金结转下年使用。</w:t>
      </w:r>
    </w:p>
    <w:p>
      <w:pPr>
        <w:numPr>
          <w:ilvl w:val="0"/>
          <w:numId w:val="2"/>
        </w:numPr>
        <w:spacing w:line="600" w:lineRule="exact"/>
        <w:ind w:firstLine="640"/>
        <w:outlineLvl w:val="1"/>
        <w:rPr>
          <w:rStyle w:val="25"/>
          <w:rFonts w:ascii="黑体" w:hAnsi="黑体" w:eastAsia="黑体"/>
          <w:b w:val="0"/>
        </w:rPr>
      </w:pPr>
      <w:bookmarkStart w:id="50" w:name="_Toc19089872"/>
      <w:bookmarkStart w:id="51" w:name="_Toc15377219"/>
      <w:r>
        <w:rPr>
          <w:rStyle w:val="25"/>
          <w:rFonts w:hint="eastAsia" w:ascii="黑体" w:hAnsi="黑体" w:eastAsia="黑体"/>
          <w:b w:val="0"/>
        </w:rPr>
        <w:t>国有资本经营预算支出决算情况说明</w:t>
      </w:r>
      <w:bookmarkEnd w:id="50"/>
      <w:bookmarkEnd w:id="51"/>
    </w:p>
    <w:p>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20年国有资本经营预算拨款支出0.00万元。</w:t>
      </w:r>
    </w:p>
    <w:p>
      <w:pPr>
        <w:pStyle w:val="23"/>
        <w:numPr>
          <w:ilvl w:val="0"/>
          <w:numId w:val="3"/>
        </w:numPr>
        <w:spacing w:line="580" w:lineRule="exact"/>
        <w:ind w:firstLineChars="0"/>
        <w:rPr>
          <w:rStyle w:val="25"/>
          <w:rFonts w:ascii="黑体" w:hAnsi="黑体" w:eastAsia="黑体"/>
          <w:b w:val="0"/>
        </w:rPr>
      </w:pPr>
      <w:bookmarkStart w:id="52" w:name="_Toc19089873"/>
      <w:r>
        <w:rPr>
          <w:rStyle w:val="25"/>
          <w:rFonts w:hint="eastAsia" w:ascii="黑体" w:hAnsi="黑体" w:eastAsia="黑体"/>
          <w:b w:val="0"/>
        </w:rPr>
        <w:t>预算绩效情况说明</w:t>
      </w:r>
      <w:bookmarkEnd w:id="52"/>
    </w:p>
    <w:p>
      <w:pPr>
        <w:numPr>
          <w:ilvl w:val="0"/>
          <w:numId w:val="4"/>
        </w:numPr>
        <w:spacing w:line="580" w:lineRule="exact"/>
        <w:ind w:firstLine="642" w:firstLineChars="200"/>
        <w:rPr>
          <w:rFonts w:ascii="仿宋" w:hAnsi="仿宋" w:eastAsia="仿宋" w:cs="楷体_GB2312"/>
          <w:b/>
          <w:bCs/>
          <w:sz w:val="32"/>
          <w:szCs w:val="32"/>
        </w:rPr>
      </w:pPr>
      <w:r>
        <w:rPr>
          <w:rFonts w:hint="eastAsia" w:ascii="仿宋" w:hAnsi="仿宋" w:eastAsia="仿宋" w:cs="楷体_GB2312"/>
          <w:b/>
          <w:bCs/>
          <w:sz w:val="32"/>
          <w:szCs w:val="32"/>
        </w:rPr>
        <w:t>预算绩效管理工作开展情况</w:t>
      </w:r>
    </w:p>
    <w:p>
      <w:pPr>
        <w:spacing w:line="58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根据预算绩效管理要求，本部门在年初预算编制阶段，组织对购买社工服务、建档立卡中职、本专科助学金、学生营养改善计划等</w:t>
      </w:r>
      <w:r>
        <w:rPr>
          <w:rFonts w:hint="eastAsia" w:ascii="仿宋_GB2312" w:hAnsi="仿宋_GB2312" w:eastAsia="仿宋_GB2312" w:cs="仿宋_GB2312"/>
          <w:color w:val="FF0000"/>
          <w:sz w:val="32"/>
          <w:szCs w:val="32"/>
        </w:rPr>
        <w:t>37</w:t>
      </w:r>
      <w:r>
        <w:rPr>
          <w:rFonts w:hint="eastAsia" w:ascii="仿宋_GB2312" w:hAnsi="仿宋_GB2312" w:eastAsia="仿宋_GB2312" w:cs="仿宋_GB2312"/>
          <w:color w:val="000000" w:themeColor="text1"/>
          <w:sz w:val="32"/>
          <w:szCs w:val="32"/>
          <w14:textFill>
            <w14:solidFill>
              <w14:schemeClr w14:val="tx1"/>
            </w14:solidFill>
          </w14:textFill>
        </w:rPr>
        <w:t>个项目开展了预算事前绩效评估，对</w:t>
      </w:r>
      <w:r>
        <w:rPr>
          <w:rFonts w:hint="eastAsia" w:ascii="仿宋_GB2312" w:hAnsi="仿宋_GB2312" w:eastAsia="仿宋_GB2312" w:cs="仿宋_GB2312"/>
          <w:color w:val="FF0000"/>
          <w:sz w:val="32"/>
          <w:szCs w:val="32"/>
        </w:rPr>
        <w:t>37</w:t>
      </w:r>
      <w:r>
        <w:rPr>
          <w:rFonts w:hint="eastAsia" w:ascii="仿宋_GB2312" w:hAnsi="仿宋_GB2312" w:eastAsia="仿宋_GB2312" w:cs="仿宋_GB2312"/>
          <w:color w:val="000000" w:themeColor="text1"/>
          <w:sz w:val="32"/>
          <w:szCs w:val="32"/>
          <w14:textFill>
            <w14:solidFill>
              <w14:schemeClr w14:val="tx1"/>
            </w14:solidFill>
          </w14:textFill>
        </w:rPr>
        <w:t>个项目编制了绩效目标，预算执行过程中，选取</w:t>
      </w:r>
      <w:r>
        <w:rPr>
          <w:rFonts w:hint="eastAsia" w:ascii="仿宋_GB2312" w:hAnsi="仿宋_GB2312" w:eastAsia="仿宋_GB2312" w:cs="仿宋_GB2312"/>
          <w:color w:val="FF0000"/>
          <w:sz w:val="32"/>
          <w:szCs w:val="32"/>
        </w:rPr>
        <w:t>10</w:t>
      </w:r>
      <w:r>
        <w:rPr>
          <w:rFonts w:hint="eastAsia" w:ascii="仿宋_GB2312" w:hAnsi="仿宋_GB2312" w:eastAsia="仿宋_GB2312" w:cs="仿宋_GB2312"/>
          <w:color w:val="000000" w:themeColor="text1"/>
          <w:sz w:val="32"/>
          <w:szCs w:val="32"/>
          <w14:textFill>
            <w14:solidFill>
              <w14:schemeClr w14:val="tx1"/>
            </w14:solidFill>
          </w14:textFill>
        </w:rPr>
        <w:t>个项目开展绩效监控，年终执行完毕后，对</w:t>
      </w:r>
      <w:r>
        <w:rPr>
          <w:rFonts w:hint="eastAsia" w:ascii="仿宋_GB2312" w:hAnsi="仿宋_GB2312" w:eastAsia="仿宋_GB2312" w:cs="仿宋_GB2312"/>
          <w:color w:val="FF0000"/>
          <w:sz w:val="32"/>
          <w:szCs w:val="32"/>
        </w:rPr>
        <w:t>5</w:t>
      </w:r>
      <w:r>
        <w:rPr>
          <w:rFonts w:hint="eastAsia" w:ascii="仿宋_GB2312" w:hAnsi="仿宋_GB2312" w:eastAsia="仿宋_GB2312" w:cs="仿宋_GB2312"/>
          <w:color w:val="000000" w:themeColor="text1"/>
          <w:sz w:val="32"/>
          <w:szCs w:val="32"/>
          <w14:textFill>
            <w14:solidFill>
              <w14:schemeClr w14:val="tx1"/>
            </w14:solidFill>
          </w14:textFill>
        </w:rPr>
        <w:t>个项目开展了绩效目标完成情况梳理填报。</w:t>
      </w:r>
    </w:p>
    <w:p>
      <w:pPr>
        <w:spacing w:line="580" w:lineRule="exact"/>
        <w:ind w:firstLine="800" w:firstLineChars="250"/>
        <w:rPr>
          <w:rFonts w:ascii="仿宋_GB2312" w:hAnsi="仿宋_GB2312" w:eastAsia="仿宋_GB2312" w:cs="仿宋_GB2312"/>
          <w:sz w:val="32"/>
          <w:szCs w:val="32"/>
        </w:rPr>
      </w:pPr>
      <w:r>
        <w:rPr>
          <w:rFonts w:hint="eastAsia" w:ascii="仿宋_GB2312" w:hAnsi="仿宋_GB2312" w:eastAsia="仿宋_GB2312" w:cs="仿宋_GB2312"/>
          <w:color w:val="000000" w:themeColor="text1"/>
          <w:sz w:val="32"/>
          <w:szCs w:val="32"/>
          <w14:textFill>
            <w14:solidFill>
              <w14:schemeClr w14:val="tx1"/>
            </w14:solidFill>
          </w14:textFill>
        </w:rPr>
        <w:t>本部门按要求对20</w:t>
      </w:r>
      <w:r>
        <w:rPr>
          <w:rFonts w:hint="eastAsia" w:ascii="仿宋_GB2312" w:hAnsi="仿宋_GB2312" w:eastAsia="仿宋_GB2312" w:cs="仿宋_GB2312"/>
          <w:sz w:val="32"/>
          <w:szCs w:val="32"/>
        </w:rPr>
        <w:t>20年部门整体支出开展绩效自评，从评价情况来看教育系统整体支出绩效评价自评结果良好，全年基本支出保障了</w:t>
      </w:r>
      <w:r>
        <w:rPr>
          <w:rFonts w:hint="eastAsia" w:ascii="仿宋_GB2312" w:hAnsi="仿宋_GB2312" w:eastAsia="仿宋_GB2312" w:cs="仿宋_GB2312"/>
          <w:sz w:val="32"/>
          <w:szCs w:val="32"/>
          <w:lang w:val="en-US" w:eastAsia="zh-CN"/>
        </w:rPr>
        <w:t>部门</w:t>
      </w:r>
      <w:r>
        <w:rPr>
          <w:rFonts w:hint="eastAsia" w:ascii="仿宋_GB2312" w:hAnsi="仿宋_GB2312" w:eastAsia="仿宋_GB2312" w:cs="仿宋_GB2312"/>
          <w:sz w:val="32"/>
          <w:szCs w:val="32"/>
        </w:rPr>
        <w:t>的正常运行和日常工作的正常开展，项目支出保障了重点工作的开展，各项支出均达到了预期的绩效管理目标。</w:t>
      </w:r>
    </w:p>
    <w:p>
      <w:pPr>
        <w:spacing w:line="540" w:lineRule="exact"/>
        <w:ind w:firstLine="640" w:firstLineChars="200"/>
        <w:rPr>
          <w:rFonts w:ascii="华文仿宋" w:hAnsi="华文仿宋" w:eastAsia="华文仿宋"/>
          <w:color w:val="000000" w:themeColor="text1"/>
          <w:sz w:val="32"/>
          <w:szCs w:val="32"/>
          <w14:textFill>
            <w14:solidFill>
              <w14:schemeClr w14:val="tx1"/>
            </w14:solidFill>
          </w14:textFill>
        </w:rPr>
      </w:pPr>
      <w:r>
        <w:rPr>
          <w:rFonts w:hint="eastAsia" w:ascii="仿宋_GB2312" w:eastAsia="仿宋_GB2312"/>
          <w:sz w:val="32"/>
          <w:szCs w:val="32"/>
        </w:rPr>
        <w:t>存在的问题：</w:t>
      </w:r>
      <w:r>
        <w:rPr>
          <w:rFonts w:hint="eastAsia" w:ascii="仿宋_GB2312" w:hAnsi="宋体" w:eastAsia="仿宋_GB2312" w:cs="仿宋_GB2312"/>
          <w:color w:val="000000" w:themeColor="text1"/>
          <w:sz w:val="32"/>
          <w:szCs w:val="32"/>
          <w14:textFill>
            <w14:solidFill>
              <w14:schemeClr w14:val="tx1"/>
            </w14:solidFill>
          </w14:textFill>
        </w:rPr>
        <w:t>一是绩效评价管理工作制度建设有待进一步加强，绩效管理缺乏系统性；二是</w:t>
      </w:r>
      <w:r>
        <w:rPr>
          <w:rFonts w:hint="eastAsia" w:ascii="华文仿宋" w:hAnsi="华文仿宋" w:eastAsia="华文仿宋"/>
          <w:color w:val="000000" w:themeColor="text1"/>
          <w:sz w:val="32"/>
          <w:szCs w:val="32"/>
          <w14:textFill>
            <w14:solidFill>
              <w14:schemeClr w14:val="tx1"/>
            </w14:solidFill>
          </w14:textFill>
        </w:rPr>
        <w:t>缺乏绩效评价专业人才，系统现有评价工作人员的知识体系和业务技能还需进一步提高，以适应绩效评价工作相关要求。</w:t>
      </w:r>
    </w:p>
    <w:p>
      <w:pPr>
        <w:spacing w:line="540" w:lineRule="exact"/>
        <w:ind w:firstLine="640" w:firstLineChars="200"/>
        <w:rPr>
          <w:rFonts w:ascii="华文仿宋" w:hAnsi="华文仿宋" w:eastAsia="华文仿宋"/>
          <w:sz w:val="32"/>
          <w:szCs w:val="32"/>
        </w:rPr>
      </w:pPr>
      <w:r>
        <w:rPr>
          <w:rFonts w:hint="eastAsia" w:ascii="仿宋_GB2312" w:eastAsia="仿宋_GB2312"/>
          <w:sz w:val="32"/>
          <w:szCs w:val="32"/>
        </w:rPr>
        <w:t>下一步改进措施：</w:t>
      </w:r>
      <w:r>
        <w:rPr>
          <w:rStyle w:val="14"/>
          <w:rFonts w:hint="eastAsia" w:ascii="仿宋_GB2312" w:hAnsi="宋体" w:eastAsia="仿宋_GB2312" w:cs="仿宋_GB2312"/>
          <w:sz w:val="32"/>
          <w:szCs w:val="32"/>
        </w:rPr>
        <w:t>一是</w:t>
      </w:r>
      <w:r>
        <w:rPr>
          <w:rFonts w:hint="eastAsia" w:ascii="仿宋_GB2312" w:hAnsi="宋体" w:eastAsia="仿宋_GB2312" w:cs="仿宋_GB2312"/>
          <w:sz w:val="32"/>
          <w:szCs w:val="32"/>
        </w:rPr>
        <w:t>进一步加强绩效评价管理制度建设；</w:t>
      </w:r>
      <w:r>
        <w:rPr>
          <w:rFonts w:hint="eastAsia" w:ascii="仿宋_GB2312" w:hAnsi="宋体" w:eastAsia="仿宋_GB2312" w:cs="仿宋_GB2312"/>
          <w:b/>
          <w:sz w:val="32"/>
          <w:szCs w:val="32"/>
        </w:rPr>
        <w:t>二是</w:t>
      </w:r>
      <w:r>
        <w:rPr>
          <w:rFonts w:hint="eastAsia" w:ascii="仿宋_GB2312" w:hAnsi="宋体" w:eastAsia="仿宋_GB2312" w:cs="仿宋_GB2312"/>
          <w:sz w:val="32"/>
          <w:szCs w:val="32"/>
        </w:rPr>
        <w:t>建立有效的绩效管理体系；</w:t>
      </w:r>
      <w:r>
        <w:rPr>
          <w:rStyle w:val="14"/>
          <w:rFonts w:hint="eastAsia" w:ascii="仿宋_GB2312" w:hAnsi="宋体" w:eastAsia="仿宋_GB2312" w:cs="仿宋_GB2312"/>
          <w:sz w:val="32"/>
          <w:szCs w:val="32"/>
        </w:rPr>
        <w:t>三是</w:t>
      </w:r>
      <w:r>
        <w:rPr>
          <w:rFonts w:hint="eastAsia" w:ascii="仿宋_GB2312" w:hAnsi="宋体" w:eastAsia="仿宋_GB2312" w:cs="仿宋_GB2312"/>
          <w:sz w:val="32"/>
          <w:szCs w:val="32"/>
        </w:rPr>
        <w:t>强化绩效管理数据分析，强化绩效管理数据运用；</w:t>
      </w:r>
      <w:r>
        <w:rPr>
          <w:rFonts w:hint="eastAsia" w:ascii="仿宋_GB2312" w:hAnsi="宋体" w:eastAsia="仿宋_GB2312" w:cs="仿宋_GB2312"/>
          <w:b/>
          <w:sz w:val="32"/>
          <w:szCs w:val="32"/>
        </w:rPr>
        <w:t>四是</w:t>
      </w:r>
      <w:r>
        <w:rPr>
          <w:rFonts w:hint="eastAsia" w:ascii="仿宋_GB2312" w:hAnsi="宋体" w:eastAsia="仿宋_GB2312" w:cs="仿宋_GB2312"/>
          <w:sz w:val="32"/>
          <w:szCs w:val="32"/>
        </w:rPr>
        <w:t>强化绩效评价专业技能的培训；</w:t>
      </w:r>
      <w:r>
        <w:rPr>
          <w:rFonts w:hint="eastAsia" w:ascii="华文仿宋" w:hAnsi="华文仿宋" w:eastAsia="华文仿宋"/>
          <w:b/>
          <w:sz w:val="32"/>
          <w:szCs w:val="32"/>
        </w:rPr>
        <w:t>五是</w:t>
      </w:r>
      <w:r>
        <w:rPr>
          <w:rFonts w:hint="eastAsia" w:ascii="华文仿宋" w:hAnsi="华文仿宋" w:eastAsia="华文仿宋"/>
          <w:sz w:val="32"/>
          <w:szCs w:val="32"/>
        </w:rPr>
        <w:t>探索与预算编制相结合的财政绩效管理，奖绩效评价逐步从事后评价延伸至事前、事中评价。</w:t>
      </w:r>
    </w:p>
    <w:p>
      <w:pPr>
        <w:numPr>
          <w:ilvl w:val="0"/>
          <w:numId w:val="5"/>
        </w:numPr>
        <w:spacing w:line="580" w:lineRule="exact"/>
        <w:ind w:firstLine="642" w:firstLineChars="200"/>
        <w:rPr>
          <w:rFonts w:ascii="仿宋_GB2312" w:hAnsi="仿宋_GB2312" w:eastAsia="仿宋_GB2312" w:cs="仿宋_GB2312"/>
          <w:sz w:val="32"/>
          <w:szCs w:val="32"/>
        </w:rPr>
      </w:pPr>
      <w:r>
        <w:rPr>
          <w:rFonts w:hint="eastAsia" w:ascii="仿宋" w:hAnsi="仿宋" w:eastAsia="仿宋" w:cs="楷体_GB2312"/>
          <w:b/>
          <w:bCs/>
          <w:sz w:val="32"/>
          <w:szCs w:val="32"/>
        </w:rPr>
        <w:t>项目绩效目标完成情况</w:t>
      </w:r>
      <w:r>
        <w:rPr>
          <w:rFonts w:hint="eastAsia" w:ascii="楷体_GB2312" w:hAnsi="楷体_GB2312" w:eastAsia="楷体_GB2312" w:cs="楷体_GB2312"/>
          <w:b/>
          <w:bCs/>
          <w:sz w:val="32"/>
          <w:szCs w:val="32"/>
        </w:rPr>
        <w:br w:type="textWrapping"/>
      </w:r>
      <w:r>
        <w:rPr>
          <w:rFonts w:hint="eastAsia" w:ascii="仿宋_GB2312" w:hAnsi="仿宋_GB2312" w:eastAsia="仿宋_GB2312" w:cs="仿宋_GB2312"/>
          <w:sz w:val="32"/>
          <w:szCs w:val="32"/>
        </w:rPr>
        <w:t xml:space="preserve">    本部门在2020年度部门决算中反映“政府购买社工服务”等</w:t>
      </w:r>
      <w:r>
        <w:rPr>
          <w:rFonts w:hint="eastAsia" w:ascii="仿宋" w:hAnsi="仿宋" w:eastAsia="仿宋" w:cs="仿宋_GB2312"/>
          <w:color w:val="FF0000"/>
          <w:sz w:val="32"/>
          <w:szCs w:val="32"/>
        </w:rPr>
        <w:t>5</w:t>
      </w:r>
      <w:r>
        <w:rPr>
          <w:rFonts w:hint="eastAsia" w:ascii="仿宋_GB2312" w:hAnsi="仿宋_GB2312" w:eastAsia="仿宋_GB2312" w:cs="仿宋_GB2312"/>
          <w:sz w:val="32"/>
          <w:szCs w:val="32"/>
        </w:rPr>
        <w:t>个项目绩效目标实际完成情况。</w:t>
      </w:r>
    </w:p>
    <w:p>
      <w:pPr>
        <w:tabs>
          <w:tab w:val="left" w:pos="312"/>
        </w:tabs>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1.2020年政府购买社工服务费项目绩效目标完成情况综述。项目全年预算数</w:t>
      </w:r>
      <w:r>
        <w:rPr>
          <w:rFonts w:hint="eastAsia" w:ascii="仿宋" w:hAnsi="仿宋" w:eastAsia="仿宋" w:cs="仿宋_GB2312"/>
          <w:color w:val="FF0000"/>
          <w:sz w:val="32"/>
          <w:szCs w:val="32"/>
        </w:rPr>
        <w:t>40万元</w:t>
      </w:r>
      <w:r>
        <w:rPr>
          <w:rFonts w:hint="eastAsia" w:ascii="仿宋_GB2312" w:hAnsi="仿宋_GB2312" w:eastAsia="仿宋_GB2312" w:cs="仿宋_GB2312"/>
          <w:sz w:val="32"/>
          <w:szCs w:val="32"/>
        </w:rPr>
        <w:t>，执行数为</w:t>
      </w:r>
      <w:r>
        <w:rPr>
          <w:rFonts w:hint="eastAsia" w:ascii="仿宋" w:hAnsi="仿宋" w:eastAsia="仿宋" w:cs="仿宋_GB2312"/>
          <w:color w:val="FF0000"/>
          <w:sz w:val="32"/>
          <w:szCs w:val="32"/>
        </w:rPr>
        <w:t>40万元</w:t>
      </w:r>
      <w:r>
        <w:rPr>
          <w:rFonts w:hint="eastAsia" w:ascii="仿宋_GB2312" w:hAnsi="仿宋_GB2312" w:eastAsia="仿宋_GB2312" w:cs="仿宋_GB2312"/>
          <w:sz w:val="32"/>
          <w:szCs w:val="32"/>
        </w:rPr>
        <w:t>，完成预算的</w:t>
      </w:r>
      <w:r>
        <w:rPr>
          <w:rFonts w:hint="eastAsia" w:ascii="仿宋" w:hAnsi="仿宋" w:eastAsia="仿宋" w:cs="仿宋_GB2312"/>
          <w:color w:val="FF0000"/>
          <w:sz w:val="32"/>
          <w:szCs w:val="32"/>
        </w:rPr>
        <w:t>100%</w:t>
      </w:r>
      <w:r>
        <w:rPr>
          <w:rFonts w:hint="eastAsia" w:ascii="仿宋_GB2312" w:hAnsi="仿宋_GB2312" w:eastAsia="仿宋_GB2312" w:cs="仿宋_GB2312"/>
          <w:sz w:val="32"/>
          <w:szCs w:val="32"/>
        </w:rPr>
        <w:t>。通过项目实施，有效促进了我区青少年领域社工服务，推进驻校社工服务深入发展，根据青少年发展阶段的不同需求，协助在校学生解决各种适应性问题和生活学习中的苦恼。拓展社工服务项目资源，提升社工中心项目化运作能力，保障了社工中心积极开展对外链接，统筹整合本地资源，促进了社工服务机构项目化运作的转型。</w:t>
      </w:r>
    </w:p>
    <w:p>
      <w:pPr>
        <w:tabs>
          <w:tab w:val="left" w:pos="312"/>
        </w:tabs>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2.川师大万达中学公用经费补助项目绩效目标完成情况综述。项目全年预算数</w:t>
      </w:r>
      <w:r>
        <w:rPr>
          <w:rFonts w:hint="eastAsia" w:ascii="仿宋" w:hAnsi="仿宋" w:eastAsia="仿宋" w:cs="仿宋_GB2312"/>
          <w:color w:val="FF0000"/>
          <w:sz w:val="32"/>
          <w:szCs w:val="32"/>
        </w:rPr>
        <w:t>50万元</w:t>
      </w:r>
      <w:r>
        <w:rPr>
          <w:rFonts w:hint="eastAsia" w:ascii="仿宋_GB2312" w:hAnsi="仿宋_GB2312" w:eastAsia="仿宋_GB2312" w:cs="仿宋_GB2312"/>
          <w:sz w:val="32"/>
          <w:szCs w:val="32"/>
        </w:rPr>
        <w:t>，执行数为</w:t>
      </w:r>
      <w:r>
        <w:rPr>
          <w:rFonts w:hint="eastAsia" w:ascii="仿宋" w:hAnsi="仿宋" w:eastAsia="仿宋" w:cs="仿宋_GB2312"/>
          <w:color w:val="FF0000"/>
          <w:sz w:val="32"/>
          <w:szCs w:val="32"/>
        </w:rPr>
        <w:t>50万元</w:t>
      </w:r>
      <w:r>
        <w:rPr>
          <w:rFonts w:hint="eastAsia" w:ascii="仿宋_GB2312" w:hAnsi="仿宋_GB2312" w:eastAsia="仿宋_GB2312" w:cs="仿宋_GB2312"/>
          <w:sz w:val="32"/>
          <w:szCs w:val="32"/>
        </w:rPr>
        <w:t>，完成预算的</w:t>
      </w:r>
      <w:r>
        <w:rPr>
          <w:rFonts w:hint="eastAsia" w:ascii="仿宋" w:hAnsi="仿宋" w:eastAsia="仿宋" w:cs="仿宋_GB2312"/>
          <w:color w:val="FF0000"/>
          <w:sz w:val="32"/>
          <w:szCs w:val="32"/>
        </w:rPr>
        <w:t>100%</w:t>
      </w:r>
      <w:r>
        <w:rPr>
          <w:rFonts w:hint="eastAsia" w:ascii="仿宋_GB2312" w:hAnsi="仿宋_GB2312" w:eastAsia="仿宋_GB2312" w:cs="仿宋_GB2312"/>
          <w:sz w:val="32"/>
          <w:szCs w:val="32"/>
        </w:rPr>
        <w:t>。通过项目实施，保障了万达中学正常运转、完成教育教学活动和其它日常工作任务等方面的支出。有效促进了该校教学业务与管理、教学竞赛和教学质量的提升，保障了第三方评价的政府购买服务、教师培训、学生实验和</w:t>
      </w:r>
      <w:r>
        <w:rPr>
          <w:rFonts w:hint="eastAsia" w:ascii="仿宋_GB2312" w:hAnsi="仿宋_GB2312" w:eastAsia="仿宋_GB2312" w:cs="仿宋_GB2312"/>
          <w:sz w:val="32"/>
          <w:szCs w:val="32"/>
          <w:lang w:val="en-US" w:eastAsia="zh-CN"/>
        </w:rPr>
        <w:t>文体</w:t>
      </w:r>
      <w:r>
        <w:rPr>
          <w:rFonts w:hint="eastAsia" w:ascii="仿宋_GB2312" w:hAnsi="仿宋_GB2312" w:eastAsia="仿宋_GB2312" w:cs="仿宋_GB2312"/>
          <w:sz w:val="32"/>
          <w:szCs w:val="32"/>
        </w:rPr>
        <w:t>活动的正常开</w:t>
      </w:r>
      <w:r>
        <w:rPr>
          <w:rFonts w:hint="eastAsia" w:ascii="仿宋_GB2312" w:hAnsi="仿宋_GB2312" w:eastAsia="仿宋_GB2312" w:cs="仿宋_GB2312"/>
          <w:sz w:val="32"/>
          <w:szCs w:val="32"/>
          <w:lang w:val="en-US" w:eastAsia="zh-CN"/>
        </w:rPr>
        <w:t>展</w:t>
      </w:r>
      <w:r>
        <w:rPr>
          <w:rFonts w:hint="eastAsia" w:ascii="仿宋_GB2312" w:hAnsi="仿宋_GB2312" w:eastAsia="仿宋_GB2312" w:cs="仿宋_GB2312"/>
          <w:sz w:val="32"/>
          <w:szCs w:val="32"/>
        </w:rPr>
        <w:t>。</w:t>
      </w:r>
    </w:p>
    <w:p>
      <w:pPr>
        <w:tabs>
          <w:tab w:val="left" w:pos="312"/>
        </w:tabs>
        <w:spacing w:line="580" w:lineRule="exact"/>
        <w:ind w:firstLine="800" w:firstLineChars="25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3.建档立卡全日制本（专）科学费和生活费补助项目绩效目标完成情况综述。项目全年预算数</w:t>
      </w:r>
      <w:r>
        <w:rPr>
          <w:rFonts w:hint="eastAsia" w:ascii="仿宋" w:hAnsi="仿宋" w:eastAsia="仿宋" w:cs="仿宋_GB2312"/>
          <w:color w:val="FF0000"/>
          <w:sz w:val="32"/>
          <w:szCs w:val="32"/>
        </w:rPr>
        <w:t>139.2万元</w:t>
      </w:r>
      <w:r>
        <w:rPr>
          <w:rFonts w:hint="eastAsia" w:ascii="仿宋_GB2312" w:hAnsi="仿宋_GB2312" w:eastAsia="仿宋_GB2312" w:cs="仿宋_GB2312"/>
          <w:color w:val="000000" w:themeColor="text1"/>
          <w:sz w:val="32"/>
          <w:szCs w:val="32"/>
          <w14:textFill>
            <w14:solidFill>
              <w14:schemeClr w14:val="tx1"/>
            </w14:solidFill>
          </w14:textFill>
        </w:rPr>
        <w:t>，执行数为</w:t>
      </w:r>
      <w:r>
        <w:rPr>
          <w:rFonts w:hint="eastAsia" w:ascii="仿宋" w:hAnsi="仿宋" w:eastAsia="仿宋" w:cs="仿宋_GB2312"/>
          <w:color w:val="FF0000"/>
          <w:sz w:val="32"/>
          <w:szCs w:val="32"/>
        </w:rPr>
        <w:t>139.2万元</w:t>
      </w:r>
      <w:r>
        <w:rPr>
          <w:rFonts w:hint="eastAsia" w:ascii="仿宋_GB2312" w:hAnsi="仿宋_GB2312" w:eastAsia="仿宋_GB2312" w:cs="仿宋_GB2312"/>
          <w:color w:val="000000" w:themeColor="text1"/>
          <w:sz w:val="32"/>
          <w:szCs w:val="32"/>
          <w14:textFill>
            <w14:solidFill>
              <w14:schemeClr w14:val="tx1"/>
            </w14:solidFill>
          </w14:textFill>
        </w:rPr>
        <w:t>，完成预算的</w:t>
      </w:r>
      <w:r>
        <w:rPr>
          <w:rFonts w:hint="eastAsia" w:ascii="仿宋" w:hAnsi="仿宋" w:eastAsia="仿宋" w:cs="仿宋_GB2312"/>
          <w:color w:val="FF0000"/>
          <w:sz w:val="32"/>
          <w:szCs w:val="32"/>
        </w:rPr>
        <w:t>100%</w:t>
      </w:r>
      <w:r>
        <w:rPr>
          <w:rFonts w:hint="eastAsia" w:ascii="仿宋_GB2312" w:hAnsi="仿宋_GB2312" w:eastAsia="仿宋_GB2312" w:cs="仿宋_GB2312"/>
          <w:color w:val="000000" w:themeColor="text1"/>
          <w:sz w:val="32"/>
          <w:szCs w:val="32"/>
          <w14:textFill>
            <w14:solidFill>
              <w14:schemeClr w14:val="tx1"/>
            </w14:solidFill>
          </w14:textFill>
        </w:rPr>
        <w:t>。通过项目实施，贯彻落实了本专科建档立卡贫困户学生学费、生活费补助资助政策，实现了建档立卡本专科学生受助全覆盖，进一步减轻了贫困家庭子女教育的经济负担，确保学生顺利完成学业。发现的主要问题：</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个别学生个人社保卡未及时开通资金收付功能，在一卡通系统进行资金拨付时，影响资金拨付进度</w:t>
      </w:r>
      <w:r>
        <w:rPr>
          <w:rFonts w:hint="eastAsia" w:ascii="仿宋_GB2312" w:hAnsi="仿宋_GB2312" w:eastAsia="仿宋_GB2312" w:cs="仿宋_GB2312"/>
          <w:color w:val="000000" w:themeColor="text1"/>
          <w:sz w:val="32"/>
          <w:szCs w:val="32"/>
          <w14:textFill>
            <w14:solidFill>
              <w14:schemeClr w14:val="tx1"/>
            </w14:solidFill>
          </w14:textFill>
        </w:rPr>
        <w:t>。下一步改进措施：要求辖区学校进一步加强政策宣传，</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确保受助学生及时开通社保卡资金收付功能</w:t>
      </w:r>
      <w:r>
        <w:rPr>
          <w:rFonts w:hint="eastAsia" w:ascii="仿宋_GB2312" w:hAnsi="仿宋_GB2312" w:eastAsia="仿宋_GB2312" w:cs="仿宋_GB2312"/>
          <w:color w:val="000000" w:themeColor="text1"/>
          <w:sz w:val="32"/>
          <w:szCs w:val="32"/>
          <w14:textFill>
            <w14:solidFill>
              <w14:schemeClr w14:val="tx1"/>
            </w14:solidFill>
          </w14:textFill>
        </w:rPr>
        <w:t>。</w:t>
      </w:r>
    </w:p>
    <w:p>
      <w:pPr>
        <w:tabs>
          <w:tab w:val="left" w:pos="312"/>
        </w:tabs>
        <w:spacing w:line="580" w:lineRule="exact"/>
        <w:ind w:firstLine="800" w:firstLineChars="250"/>
        <w:rPr>
          <w:rFonts w:ascii="仿宋_GB2312" w:hAnsi="仿宋_GB2312" w:eastAsia="仿宋_GB2312" w:cs="仿宋_GB2312"/>
          <w:sz w:val="32"/>
          <w:szCs w:val="32"/>
        </w:rPr>
      </w:pPr>
      <w:r>
        <w:rPr>
          <w:rFonts w:hint="eastAsia" w:ascii="仿宋_GB2312" w:hAnsi="仿宋_GB2312" w:eastAsia="仿宋_GB2312" w:cs="仿宋_GB2312"/>
          <w:color w:val="000000" w:themeColor="text1"/>
          <w:sz w:val="32"/>
          <w:szCs w:val="32"/>
          <w14:textFill>
            <w14:solidFill>
              <w14:schemeClr w14:val="tx1"/>
            </w14:solidFill>
          </w14:textFill>
        </w:rPr>
        <w:t>4.学生营养改善计划项目绩效目标完成情况综述。项目全年预算数</w:t>
      </w:r>
      <w:r>
        <w:rPr>
          <w:rFonts w:hint="eastAsia" w:ascii="仿宋" w:hAnsi="仿宋" w:eastAsia="仿宋" w:cs="仿宋_GB2312"/>
          <w:color w:val="FF0000"/>
          <w:sz w:val="32"/>
          <w:szCs w:val="32"/>
        </w:rPr>
        <w:t>951.56万元</w:t>
      </w:r>
      <w:r>
        <w:rPr>
          <w:rFonts w:hint="eastAsia" w:ascii="仿宋_GB2312" w:hAnsi="仿宋_GB2312" w:eastAsia="仿宋_GB2312" w:cs="仿宋_GB2312"/>
          <w:color w:val="000000" w:themeColor="text1"/>
          <w:sz w:val="32"/>
          <w:szCs w:val="32"/>
          <w14:textFill>
            <w14:solidFill>
              <w14:schemeClr w14:val="tx1"/>
            </w14:solidFill>
          </w14:textFill>
        </w:rPr>
        <w:t>，执行数为</w:t>
      </w:r>
      <w:r>
        <w:rPr>
          <w:rFonts w:hint="eastAsia" w:ascii="仿宋" w:hAnsi="仿宋" w:eastAsia="仿宋" w:cs="仿宋_GB2312"/>
          <w:color w:val="FF0000"/>
          <w:sz w:val="32"/>
          <w:szCs w:val="32"/>
        </w:rPr>
        <w:t>951.56万元</w:t>
      </w:r>
      <w:r>
        <w:rPr>
          <w:rFonts w:hint="eastAsia" w:ascii="仿宋_GB2312" w:hAnsi="仿宋_GB2312" w:eastAsia="仿宋_GB2312" w:cs="仿宋_GB2312"/>
          <w:color w:val="000000" w:themeColor="text1"/>
          <w:sz w:val="32"/>
          <w:szCs w:val="32"/>
          <w14:textFill>
            <w14:solidFill>
              <w14:schemeClr w14:val="tx1"/>
            </w14:solidFill>
          </w14:textFill>
        </w:rPr>
        <w:t>，完成预算的100.00%。通过项目实施，规范了各校营养改善计划食堂管理、改善了义务教</w:t>
      </w:r>
      <w:r>
        <w:rPr>
          <w:rFonts w:hint="eastAsia" w:ascii="仿宋_GB2312" w:hAnsi="仿宋_GB2312" w:eastAsia="仿宋_GB2312" w:cs="仿宋_GB2312"/>
          <w:sz w:val="32"/>
          <w:szCs w:val="32"/>
        </w:rPr>
        <w:t>育学校学生营养状况，逐步提高师生健康水平，确保了全区所有农村义务教育阶段学校营养改善计划落到实处。</w:t>
      </w:r>
    </w:p>
    <w:p>
      <w:pPr>
        <w:tabs>
          <w:tab w:val="left" w:pos="312"/>
        </w:tabs>
        <w:spacing w:line="580" w:lineRule="exact"/>
        <w:ind w:firstLine="800" w:firstLineChars="25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sz w:val="32"/>
          <w:szCs w:val="32"/>
        </w:rPr>
        <w:t>5.建档立</w:t>
      </w:r>
      <w:r>
        <w:rPr>
          <w:rFonts w:hint="eastAsia" w:ascii="仿宋_GB2312" w:hAnsi="仿宋_GB2312" w:eastAsia="仿宋_GB2312" w:cs="仿宋_GB2312"/>
          <w:color w:val="000000" w:themeColor="text1"/>
          <w:sz w:val="32"/>
          <w:szCs w:val="32"/>
          <w14:textFill>
            <w14:solidFill>
              <w14:schemeClr w14:val="tx1"/>
            </w14:solidFill>
          </w14:textFill>
        </w:rPr>
        <w:t>卡贫困家庭中职学生学费、生活费补助项目绩效目标完成情况综述。项目全年预算数</w:t>
      </w:r>
      <w:r>
        <w:rPr>
          <w:rFonts w:hint="eastAsia" w:ascii="仿宋" w:hAnsi="仿宋" w:eastAsia="仿宋" w:cs="仿宋_GB2312"/>
          <w:color w:val="FF0000"/>
          <w:sz w:val="32"/>
          <w:szCs w:val="32"/>
        </w:rPr>
        <w:t>12.4万元</w:t>
      </w:r>
      <w:r>
        <w:rPr>
          <w:rFonts w:hint="eastAsia" w:ascii="仿宋_GB2312" w:hAnsi="仿宋_GB2312" w:eastAsia="仿宋_GB2312" w:cs="仿宋_GB2312"/>
          <w:color w:val="000000" w:themeColor="text1"/>
          <w:sz w:val="32"/>
          <w:szCs w:val="32"/>
          <w14:textFill>
            <w14:solidFill>
              <w14:schemeClr w14:val="tx1"/>
            </w14:solidFill>
          </w14:textFill>
        </w:rPr>
        <w:t>，执行数为</w:t>
      </w:r>
      <w:r>
        <w:rPr>
          <w:rFonts w:hint="eastAsia" w:ascii="仿宋" w:hAnsi="仿宋" w:eastAsia="仿宋" w:cs="仿宋_GB2312"/>
          <w:color w:val="FF0000"/>
          <w:sz w:val="32"/>
          <w:szCs w:val="32"/>
        </w:rPr>
        <w:t>12.4万元</w:t>
      </w:r>
      <w:r>
        <w:rPr>
          <w:rFonts w:hint="eastAsia" w:ascii="仿宋_GB2312" w:hAnsi="仿宋_GB2312" w:eastAsia="仿宋_GB2312" w:cs="仿宋_GB2312"/>
          <w:color w:val="000000" w:themeColor="text1"/>
          <w:sz w:val="32"/>
          <w:szCs w:val="32"/>
          <w14:textFill>
            <w14:solidFill>
              <w14:schemeClr w14:val="tx1"/>
            </w14:solidFill>
          </w14:textFill>
        </w:rPr>
        <w:t>，完成预算的100%。通过项目实施，贯彻落实了本专科建档立卡贫困户学生学费、生活费补助资助政策，实现了建档立卡本专科学生受助全覆盖，进一步减轻了贫困家庭子女教育的经济负担，确保学生顺利完成学业。发现的主要问题：</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个别学生个人社保卡未及时开通资金收付功能，在一卡通系统进行资金拨付时，影响资金拨付进度</w:t>
      </w:r>
      <w:r>
        <w:rPr>
          <w:rFonts w:hint="eastAsia" w:ascii="仿宋_GB2312" w:hAnsi="仿宋_GB2312" w:eastAsia="仿宋_GB2312" w:cs="仿宋_GB2312"/>
          <w:color w:val="000000" w:themeColor="text1"/>
          <w:sz w:val="32"/>
          <w:szCs w:val="32"/>
          <w14:textFill>
            <w14:solidFill>
              <w14:schemeClr w14:val="tx1"/>
            </w14:solidFill>
          </w14:textFill>
        </w:rPr>
        <w:t>。下一步改进措施：要求辖区学校进一步加强政策宣传，</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确保受助学生及时开通社保卡资金收付功能</w:t>
      </w:r>
      <w:r>
        <w:rPr>
          <w:rFonts w:hint="eastAsia" w:ascii="仿宋_GB2312" w:hAnsi="仿宋_GB2312" w:eastAsia="仿宋_GB2312" w:cs="仿宋_GB2312"/>
          <w:color w:val="000000" w:themeColor="text1"/>
          <w:sz w:val="32"/>
          <w:szCs w:val="32"/>
          <w14:textFill>
            <w14:solidFill>
              <w14:schemeClr w14:val="tx1"/>
            </w14:solidFill>
          </w14:textFill>
        </w:rPr>
        <w:t>。</w:t>
      </w:r>
    </w:p>
    <w:p>
      <w:pPr>
        <w:numPr>
          <w:ilvl w:val="0"/>
          <w:numId w:val="4"/>
        </w:numPr>
        <w:spacing w:line="580" w:lineRule="exact"/>
        <w:ind w:firstLine="642" w:firstLineChars="200"/>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楷体_GB2312"/>
          <w:b/>
          <w:bCs/>
          <w:color w:val="000000" w:themeColor="text1"/>
          <w:sz w:val="32"/>
          <w:szCs w:val="32"/>
          <w14:textFill>
            <w14:solidFill>
              <w14:schemeClr w14:val="tx1"/>
            </w14:solidFill>
          </w14:textFill>
        </w:rPr>
        <w:t>部门开展绩效评价结果。</w:t>
      </w:r>
    </w:p>
    <w:p>
      <w:pPr>
        <w:spacing w:line="58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本部门按要求对2020年部门整体支出绩效评价情况开展自评，《广元市利州区教育局部门2020年部门整体支出绩效评价报告》见附件。</w:t>
      </w:r>
    </w:p>
    <w:p>
      <w:pPr>
        <w:spacing w:line="58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部门自行组织对本专科建档立卡贫困学生特别资助项目、中职建档立卡贫困学生特别资助项目、学生营养改善计划项目、川师大万达中学公用经费补助项目和政府购买社工服务项目开展了绩效评价，各项目2020年绩效评价报告见附件。</w:t>
      </w:r>
    </w:p>
    <w:p>
      <w:pPr>
        <w:spacing w:line="600" w:lineRule="exact"/>
        <w:ind w:firstLine="800" w:firstLineChars="250"/>
        <w:outlineLvl w:val="1"/>
        <w:rPr>
          <w:rStyle w:val="25"/>
          <w:rFonts w:ascii="黑体" w:hAnsi="黑体" w:eastAsia="黑体"/>
          <w:color w:val="000000" w:themeColor="text1"/>
          <w14:textFill>
            <w14:solidFill>
              <w14:schemeClr w14:val="tx1"/>
            </w14:solidFill>
          </w14:textFill>
        </w:rPr>
      </w:pPr>
      <w:bookmarkStart w:id="53" w:name="_Toc19089874"/>
      <w:bookmarkStart w:id="54" w:name="_Toc15377221"/>
      <w:r>
        <w:rPr>
          <w:rFonts w:hint="eastAsia" w:ascii="黑体" w:hAnsi="黑体" w:eastAsia="黑体"/>
          <w:color w:val="000000" w:themeColor="text1"/>
          <w:sz w:val="32"/>
          <w:szCs w:val="32"/>
          <w14:textFill>
            <w14:solidFill>
              <w14:schemeClr w14:val="tx1"/>
            </w14:solidFill>
          </w14:textFill>
        </w:rPr>
        <w:t>十</w:t>
      </w:r>
      <w:r>
        <w:rPr>
          <w:rStyle w:val="25"/>
          <w:rFonts w:hint="eastAsia" w:ascii="黑体" w:hAnsi="黑体" w:eastAsia="黑体"/>
          <w:color w:val="000000" w:themeColor="text1"/>
          <w14:textFill>
            <w14:solidFill>
              <w14:schemeClr w14:val="tx1"/>
            </w14:solidFill>
          </w14:textFill>
        </w:rPr>
        <w:t>一、</w:t>
      </w:r>
      <w:r>
        <w:rPr>
          <w:rStyle w:val="25"/>
          <w:rFonts w:hint="eastAsia" w:ascii="黑体" w:hAnsi="黑体" w:eastAsia="黑体"/>
          <w:b w:val="0"/>
          <w:color w:val="000000" w:themeColor="text1"/>
          <w14:textFill>
            <w14:solidFill>
              <w14:schemeClr w14:val="tx1"/>
            </w14:solidFill>
          </w14:textFill>
        </w:rPr>
        <w:t>其他重要事项的情况说明</w:t>
      </w:r>
      <w:bookmarkEnd w:id="53"/>
      <w:bookmarkEnd w:id="54"/>
    </w:p>
    <w:p>
      <w:pPr>
        <w:spacing w:line="600" w:lineRule="exact"/>
        <w:ind w:firstLine="642" w:firstLineChars="200"/>
        <w:outlineLvl w:val="2"/>
        <w:rPr>
          <w:rFonts w:ascii="仿宋" w:hAnsi="仿宋" w:eastAsia="仿宋"/>
          <w:color w:val="000000" w:themeColor="text1"/>
          <w:sz w:val="32"/>
          <w:szCs w:val="32"/>
          <w14:textFill>
            <w14:solidFill>
              <w14:schemeClr w14:val="tx1"/>
            </w14:solidFill>
          </w14:textFill>
        </w:rPr>
      </w:pPr>
      <w:bookmarkStart w:id="55" w:name="_Toc15377222"/>
      <w:r>
        <w:rPr>
          <w:rFonts w:hint="eastAsia" w:ascii="仿宋" w:hAnsi="仿宋" w:eastAsia="仿宋"/>
          <w:b/>
          <w:color w:val="000000" w:themeColor="text1"/>
          <w:sz w:val="32"/>
          <w:szCs w:val="32"/>
          <w14:textFill>
            <w14:solidFill>
              <w14:schemeClr w14:val="tx1"/>
            </w14:solidFill>
          </w14:textFill>
        </w:rPr>
        <w:t>（一）机关运行经费支出情况</w:t>
      </w:r>
      <w:bookmarkEnd w:id="55"/>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20</w:t>
      </w:r>
      <w:r>
        <w:rPr>
          <w:rFonts w:hint="eastAsia" w:ascii="仿宋_GB2312" w:eastAsia="仿宋_GB2312"/>
          <w:color w:val="000000" w:themeColor="text1"/>
          <w:sz w:val="32"/>
          <w:szCs w:val="32"/>
          <w14:textFill>
            <w14:solidFill>
              <w14:schemeClr w14:val="tx1"/>
            </w14:solidFill>
          </w14:textFill>
        </w:rPr>
        <w:t>20年利州区教育局机关运行经费支出84.35万元，与2019年度基本持平。主要原因是按照区委、区政府的要求，进一步完善了各项事前审批制度，严格按照事前审批权限要求严控机关日常运行经费开支。</w:t>
      </w:r>
    </w:p>
    <w:p>
      <w:pPr>
        <w:spacing w:line="600" w:lineRule="exact"/>
        <w:ind w:firstLine="640"/>
        <w:rPr>
          <w:rFonts w:ascii="仿宋" w:hAnsi="仿宋" w:eastAsia="仿宋"/>
          <w:b/>
          <w:sz w:val="32"/>
          <w:szCs w:val="32"/>
        </w:rPr>
      </w:pPr>
      <w:r>
        <w:rPr>
          <w:rFonts w:hint="eastAsia" w:ascii="仿宋" w:hAnsi="仿宋" w:eastAsia="仿宋"/>
          <w:b/>
          <w:sz w:val="32"/>
          <w:szCs w:val="32"/>
        </w:rPr>
        <w:t>（数据来源财决</w:t>
      </w:r>
      <w:r>
        <w:rPr>
          <w:rFonts w:ascii="仿宋" w:hAnsi="仿宋" w:eastAsia="仿宋"/>
          <w:b/>
          <w:sz w:val="32"/>
          <w:szCs w:val="32"/>
        </w:rPr>
        <w:t>CS05</w:t>
      </w:r>
      <w:r>
        <w:rPr>
          <w:rFonts w:hint="eastAsia" w:ascii="仿宋" w:hAnsi="仿宋" w:eastAsia="仿宋"/>
          <w:b/>
          <w:sz w:val="32"/>
          <w:szCs w:val="32"/>
        </w:rPr>
        <w:t>表）</w:t>
      </w:r>
    </w:p>
    <w:p>
      <w:pPr>
        <w:autoSpaceDE w:val="0"/>
        <w:autoSpaceDN w:val="0"/>
        <w:adjustRightInd w:val="0"/>
        <w:spacing w:line="600" w:lineRule="exact"/>
        <w:ind w:firstLine="642" w:firstLineChars="200"/>
        <w:jc w:val="left"/>
        <w:outlineLvl w:val="2"/>
        <w:rPr>
          <w:rFonts w:ascii="仿宋" w:hAnsi="仿宋" w:eastAsia="仿宋"/>
          <w:b/>
          <w:sz w:val="32"/>
          <w:szCs w:val="32"/>
        </w:rPr>
      </w:pPr>
      <w:bookmarkStart w:id="56" w:name="_Toc15377223"/>
      <w:r>
        <w:rPr>
          <w:rFonts w:hint="eastAsia" w:ascii="仿宋" w:hAnsi="仿宋" w:eastAsia="仿宋"/>
          <w:b/>
          <w:sz w:val="32"/>
          <w:szCs w:val="32"/>
        </w:rPr>
        <w:t>（二）政府采购支出情况</w:t>
      </w:r>
      <w:bookmarkEnd w:id="56"/>
    </w:p>
    <w:p>
      <w:pPr>
        <w:spacing w:line="600" w:lineRule="exact"/>
        <w:ind w:firstLine="640" w:firstLineChars="200"/>
        <w:rPr>
          <w:rFonts w:ascii="仿宋_GB2312" w:eastAsia="仿宋_GB2312"/>
          <w:sz w:val="32"/>
          <w:szCs w:val="32"/>
          <w:highlight w:val="none"/>
        </w:rPr>
      </w:pPr>
      <w:r>
        <w:rPr>
          <w:rFonts w:ascii="仿宋_GB2312" w:eastAsia="仿宋_GB2312"/>
          <w:sz w:val="32"/>
          <w:szCs w:val="32"/>
          <w:highlight w:val="none"/>
        </w:rPr>
        <w:t>20</w:t>
      </w:r>
      <w:r>
        <w:rPr>
          <w:rFonts w:hint="eastAsia" w:ascii="仿宋_GB2312" w:eastAsia="仿宋_GB2312"/>
          <w:sz w:val="32"/>
          <w:szCs w:val="32"/>
          <w:highlight w:val="none"/>
        </w:rPr>
        <w:t>20年，利州区教育局政府采购支出总额0.00万元，其中：政府采购货物支出0.00万元、政府采购工程支出0.00万元、政府采购服务支出0.00万元。</w:t>
      </w:r>
    </w:p>
    <w:p>
      <w:pPr>
        <w:autoSpaceDE w:val="0"/>
        <w:autoSpaceDN w:val="0"/>
        <w:adjustRightInd w:val="0"/>
        <w:spacing w:line="600" w:lineRule="exact"/>
        <w:ind w:firstLine="642" w:firstLineChars="200"/>
        <w:jc w:val="left"/>
        <w:outlineLvl w:val="2"/>
        <w:rPr>
          <w:rFonts w:ascii="仿宋" w:hAnsi="仿宋" w:eastAsia="仿宋"/>
          <w:b/>
          <w:sz w:val="32"/>
          <w:szCs w:val="32"/>
        </w:rPr>
      </w:pPr>
      <w:r>
        <w:rPr>
          <w:rFonts w:hint="eastAsia" w:ascii="仿宋" w:hAnsi="仿宋" w:eastAsia="仿宋"/>
          <w:b/>
          <w:sz w:val="32"/>
          <w:szCs w:val="32"/>
        </w:rPr>
        <w:t>（数据来源财决</w:t>
      </w:r>
      <w:r>
        <w:rPr>
          <w:rFonts w:ascii="仿宋" w:hAnsi="仿宋" w:eastAsia="仿宋"/>
          <w:b/>
          <w:sz w:val="32"/>
          <w:szCs w:val="32"/>
        </w:rPr>
        <w:t>CS06</w:t>
      </w:r>
      <w:r>
        <w:rPr>
          <w:rFonts w:hint="eastAsia" w:ascii="仿宋" w:hAnsi="仿宋" w:eastAsia="仿宋"/>
          <w:b/>
          <w:sz w:val="32"/>
          <w:szCs w:val="32"/>
        </w:rPr>
        <w:t>表）</w:t>
      </w:r>
    </w:p>
    <w:p>
      <w:pPr>
        <w:autoSpaceDE w:val="0"/>
        <w:autoSpaceDN w:val="0"/>
        <w:adjustRightInd w:val="0"/>
        <w:spacing w:line="600" w:lineRule="exact"/>
        <w:ind w:firstLine="642" w:firstLineChars="200"/>
        <w:jc w:val="left"/>
        <w:outlineLvl w:val="2"/>
        <w:rPr>
          <w:rFonts w:ascii="仿宋" w:hAnsi="仿宋" w:eastAsia="仿宋"/>
          <w:b/>
          <w:sz w:val="32"/>
          <w:szCs w:val="32"/>
        </w:rPr>
      </w:pPr>
      <w:bookmarkStart w:id="57" w:name="_Toc15377224"/>
      <w:r>
        <w:rPr>
          <w:rFonts w:hint="eastAsia" w:ascii="仿宋" w:hAnsi="仿宋" w:eastAsia="仿宋"/>
          <w:b/>
          <w:sz w:val="32"/>
          <w:szCs w:val="32"/>
        </w:rPr>
        <w:t>（三）国有资产占有使用情况</w:t>
      </w:r>
      <w:bookmarkEnd w:id="57"/>
    </w:p>
    <w:p>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w:t>
      </w:r>
      <w:r>
        <w:rPr>
          <w:rFonts w:ascii="仿宋_GB2312" w:eastAsia="仿宋_GB2312"/>
          <w:sz w:val="32"/>
          <w:szCs w:val="32"/>
        </w:rPr>
        <w:t>20</w:t>
      </w:r>
      <w:r>
        <w:rPr>
          <w:rFonts w:hint="eastAsia" w:ascii="仿宋_GB2312" w:eastAsia="仿宋_GB2312"/>
          <w:sz w:val="32"/>
          <w:szCs w:val="32"/>
        </w:rPr>
        <w:t>20年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日，利州区教育局共有车辆0辆，单价</w:t>
      </w:r>
      <w:r>
        <w:rPr>
          <w:rFonts w:ascii="仿宋_GB2312" w:eastAsia="仿宋_GB2312"/>
          <w:sz w:val="32"/>
          <w:szCs w:val="32"/>
        </w:rPr>
        <w:t>50</w:t>
      </w:r>
      <w:r>
        <w:rPr>
          <w:rFonts w:hint="eastAsia" w:ascii="仿宋_GB2312" w:eastAsia="仿宋_GB2312"/>
          <w:sz w:val="32"/>
          <w:szCs w:val="32"/>
        </w:rPr>
        <w:t>万元以上通用设备0台（套），单价</w:t>
      </w:r>
      <w:r>
        <w:rPr>
          <w:rFonts w:ascii="仿宋_GB2312" w:eastAsia="仿宋_GB2312"/>
          <w:sz w:val="32"/>
          <w:szCs w:val="32"/>
        </w:rPr>
        <w:t>100</w:t>
      </w:r>
      <w:r>
        <w:rPr>
          <w:rFonts w:hint="eastAsia" w:ascii="仿宋_GB2312" w:eastAsia="仿宋_GB2312"/>
          <w:sz w:val="32"/>
          <w:szCs w:val="32"/>
        </w:rPr>
        <w:t>万元以上专用设备0台（套）。</w:t>
      </w:r>
    </w:p>
    <w:p>
      <w:pPr>
        <w:autoSpaceDE w:val="0"/>
        <w:autoSpaceDN w:val="0"/>
        <w:adjustRightInd w:val="0"/>
        <w:spacing w:line="600" w:lineRule="exact"/>
        <w:ind w:firstLine="642" w:firstLineChars="200"/>
        <w:jc w:val="left"/>
        <w:outlineLvl w:val="2"/>
        <w:rPr>
          <w:rFonts w:ascii="仿宋" w:hAnsi="仿宋" w:eastAsia="仿宋"/>
          <w:b/>
          <w:sz w:val="32"/>
          <w:szCs w:val="32"/>
        </w:rPr>
      </w:pPr>
      <w:r>
        <w:rPr>
          <w:rFonts w:hint="eastAsia" w:ascii="仿宋" w:hAnsi="仿宋" w:eastAsia="仿宋"/>
          <w:b/>
          <w:sz w:val="32"/>
          <w:szCs w:val="32"/>
        </w:rPr>
        <w:t>（数据来源财决</w:t>
      </w:r>
      <w:r>
        <w:rPr>
          <w:rFonts w:ascii="仿宋" w:hAnsi="仿宋" w:eastAsia="仿宋"/>
          <w:b/>
          <w:sz w:val="32"/>
          <w:szCs w:val="32"/>
        </w:rPr>
        <w:t>CS05</w:t>
      </w:r>
      <w:r>
        <w:rPr>
          <w:rFonts w:hint="eastAsia" w:ascii="仿宋" w:hAnsi="仿宋" w:eastAsia="仿宋"/>
          <w:b/>
          <w:sz w:val="32"/>
          <w:szCs w:val="32"/>
        </w:rPr>
        <w:t>表，按部门决算报表填报数据罗列车辆情况。）</w:t>
      </w:r>
    </w:p>
    <w:p>
      <w:pPr>
        <w:widowControl/>
        <w:jc w:val="left"/>
        <w:rPr>
          <w:rFonts w:ascii="仿宋" w:hAnsi="仿宋" w:eastAsia="仿宋"/>
          <w:b/>
          <w:sz w:val="32"/>
          <w:szCs w:val="32"/>
        </w:rPr>
      </w:pPr>
      <w:r>
        <w:rPr>
          <w:rFonts w:ascii="仿宋" w:hAnsi="仿宋" w:eastAsia="仿宋"/>
          <w:b/>
          <w:sz w:val="32"/>
          <w:szCs w:val="32"/>
        </w:rPr>
        <w:br w:type="page"/>
      </w:r>
    </w:p>
    <w:p>
      <w:pPr>
        <w:autoSpaceDE w:val="0"/>
        <w:autoSpaceDN w:val="0"/>
        <w:adjustRightInd w:val="0"/>
        <w:spacing w:line="600" w:lineRule="exact"/>
        <w:ind w:firstLine="642" w:firstLineChars="200"/>
        <w:jc w:val="left"/>
        <w:outlineLvl w:val="2"/>
        <w:rPr>
          <w:rFonts w:ascii="仿宋" w:hAnsi="仿宋" w:eastAsia="仿宋"/>
          <w:b/>
          <w:sz w:val="32"/>
          <w:szCs w:val="32"/>
        </w:rPr>
      </w:pPr>
    </w:p>
    <w:p>
      <w:pPr>
        <w:numPr>
          <w:ilvl w:val="0"/>
          <w:numId w:val="6"/>
        </w:numPr>
        <w:spacing w:line="600" w:lineRule="exact"/>
        <w:ind w:firstLine="662" w:firstLineChars="150"/>
        <w:jc w:val="center"/>
        <w:outlineLvl w:val="0"/>
        <w:rPr>
          <w:rFonts w:ascii="黑体" w:hAnsi="黑体" w:eastAsia="黑体"/>
          <w:bCs/>
          <w:kern w:val="44"/>
          <w:sz w:val="44"/>
          <w:szCs w:val="44"/>
        </w:rPr>
      </w:pPr>
      <w:bookmarkStart w:id="58" w:name="_Toc15377225"/>
      <w:bookmarkStart w:id="59" w:name="_Toc19089875"/>
      <w:r>
        <w:rPr>
          <w:rFonts w:hint="eastAsia" w:ascii="黑体" w:hAnsi="黑体" w:eastAsia="黑体"/>
          <w:b/>
          <w:sz w:val="44"/>
          <w:szCs w:val="44"/>
        </w:rPr>
        <w:t>名</w:t>
      </w:r>
      <w:r>
        <w:rPr>
          <w:rStyle w:val="24"/>
          <w:rFonts w:hint="eastAsia" w:ascii="黑体" w:hAnsi="黑体" w:eastAsia="黑体"/>
          <w:b w:val="0"/>
        </w:rPr>
        <w:t>词解释</w:t>
      </w:r>
      <w:bookmarkEnd w:id="58"/>
      <w:bookmarkEnd w:id="59"/>
    </w:p>
    <w:p>
      <w:pPr>
        <w:pStyle w:val="22"/>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1.财政拨款收入：指单位从同级财政部门取得的财政预算资金。</w:t>
      </w:r>
    </w:p>
    <w:p>
      <w:pPr>
        <w:pStyle w:val="22"/>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2.事业收入：指事业单位开展专业业务活动及辅助活动取得的收入。</w:t>
      </w:r>
    </w:p>
    <w:p>
      <w:pPr>
        <w:pStyle w:val="22"/>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3.经营收入：指事业单位在专业业务活动及其辅助活动之外开展非独立核算经营活动取得的收入。。</w:t>
      </w:r>
    </w:p>
    <w:p>
      <w:pPr>
        <w:pStyle w:val="22"/>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 xml:space="preserve">4.其他收入：指单位取得的除上述收入以外的各项收入。主要是学前教育保育教育费收入、银行存款利息收入等。 </w:t>
      </w:r>
    </w:p>
    <w:p>
      <w:pPr>
        <w:pStyle w:val="22"/>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 xml:space="preserve">5.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pPr>
        <w:pStyle w:val="22"/>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 xml:space="preserve">6.年初结转和结余：指以前年度尚未完成、结转到本年按有关规定继续使用的资金。 </w:t>
      </w:r>
    </w:p>
    <w:p>
      <w:pPr>
        <w:pStyle w:val="22"/>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7.结余分配：指事业单位按照事业单位会计制度的规定从非财政补助结余中分配的事业基金和职工福利基金等。</w:t>
      </w:r>
    </w:p>
    <w:p>
      <w:pPr>
        <w:pStyle w:val="22"/>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8.年末结转和结余：指单位按有关规定结转到下年或以后年度继续使用的资金。</w:t>
      </w:r>
    </w:p>
    <w:p>
      <w:pPr>
        <w:pStyle w:val="22"/>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9.教育支出（类）教育管理事务（款）行政运行（项）:反映教育行政单位（包括实行公务员管理的事业单位）的基本支出</w:t>
      </w:r>
    </w:p>
    <w:p>
      <w:pPr>
        <w:pStyle w:val="22"/>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10. 教育支出（类）教育管理事务（款）一般行政管理事务（项）:反映行政单位（包括实行公务员管理的事业单位）未单独设置项级科目的其它项目支出。</w:t>
      </w:r>
    </w:p>
    <w:p>
      <w:pPr>
        <w:pStyle w:val="22"/>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11. 教育支出（类）教育管理事务（款）其它教育管理事务支出（项）:反映除上述项目以外其它用户教育管理事务方面的支出。</w:t>
      </w:r>
    </w:p>
    <w:p>
      <w:pPr>
        <w:pStyle w:val="22"/>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12. 教育支出（类）普通教育（款）学前教育（项）:反映各部门举办的学前教育支出。</w:t>
      </w:r>
    </w:p>
    <w:p>
      <w:pPr>
        <w:pStyle w:val="22"/>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13. 教育支出（类）普通教育（款）小学教育（项）:反映各部门举办的小学教育支出。政府各部门对社会中介组织等举办的小学的资助，如各类捐赠、补贴等，也在本科目中反映。</w:t>
      </w:r>
    </w:p>
    <w:p>
      <w:pPr>
        <w:pStyle w:val="22"/>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14. 教育支出（类）普通教育（款）初中教育（项）: 反映各部门举办的初中教育支出。政府各部门对社会中介组织等举办的初中教育的资助，如捐赠、补贴等，也在本科目中反映。</w:t>
      </w:r>
    </w:p>
    <w:p>
      <w:pPr>
        <w:pStyle w:val="22"/>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15. 教育支出（类）普通教育（款）高中教育（项）: 反映各部门举办的高级中学教育支出。政府各部门对社会中介组织等举办的高级中学的资助，如捐赠、补贴等，也在本科目中反映。</w:t>
      </w:r>
    </w:p>
    <w:p>
      <w:pPr>
        <w:pStyle w:val="22"/>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16. 教育支出（类）普通教育（款）其它普通教育（项）: 反映除上述项目以外其他用于普通教育方面的支出。</w:t>
      </w:r>
    </w:p>
    <w:p>
      <w:pPr>
        <w:pStyle w:val="22"/>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17. 教育支出（类）职业教育（款）职业高中教育（项）: 反映各部门举办的职业中学、农业中学（含普通高中改制的）、半工（农）半读中学的支出或补助费</w:t>
      </w:r>
    </w:p>
    <w:p>
      <w:pPr>
        <w:pStyle w:val="22"/>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18. 教育支出（类）职业教育（款）高等职业教育（项）:反映经国家批准设立的高等职业大学、专科职业教育等方面的支出。</w:t>
      </w:r>
    </w:p>
    <w:p>
      <w:pPr>
        <w:pStyle w:val="22"/>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19. 教育支出（类）特殊教育（款）特殊学校教育（项）: 指各部门举办的盲童学校、聋哑学校、智力落后儿童学校、其它生理缺陷儿童学校的支出。</w:t>
      </w:r>
    </w:p>
    <w:p>
      <w:pPr>
        <w:pStyle w:val="22"/>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20. 教育支出（类）特殊教育（款）工读学校教育（项）:指各部门举办的工读学校的支出。</w:t>
      </w:r>
    </w:p>
    <w:p>
      <w:pPr>
        <w:pStyle w:val="22"/>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21. 教育支出（类）教育附加费安排的支出（款）农村中小学校舍建设（项）:反映教育附加费安排用于农村中小学校舍新建、改建、修缮和维护的支出。</w:t>
      </w:r>
    </w:p>
    <w:p>
      <w:pPr>
        <w:pStyle w:val="22"/>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22. 教育支出（类）教育附加费安排的支出（款）城市中小学校舍建设（项）: 反映教育附加费安排用于城市中小学校舍新建、改建、修缮和维护的支出。</w:t>
      </w:r>
    </w:p>
    <w:p>
      <w:pPr>
        <w:pStyle w:val="22"/>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23. 教育支出（类）教育附加费安排的支出（款）其它教育附加费安排的支出（项）: 指除上述项目以外的教育附加费支出。</w:t>
      </w:r>
    </w:p>
    <w:p>
      <w:pPr>
        <w:pStyle w:val="22"/>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24. 教育支出（类）其它教育支出（款）其他教育支出（项）: 指上述项目以外其他用于教育方面的支出。</w:t>
      </w:r>
    </w:p>
    <w:p>
      <w:pPr>
        <w:pStyle w:val="22"/>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25. 社会保障和就业支出（类）行政事业单位离退休（款）机关事业单位基本养老保险缴费支出（项）: 指机关事业单位实施养老保险制度由单位缴纳的基本养老保险费支出。</w:t>
      </w:r>
    </w:p>
    <w:p>
      <w:pPr>
        <w:pStyle w:val="22"/>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26. 社会保障和就业支出（类）行政事业单位离退休（款）机关事业单位职业年金缴费支出（项）: 指机关事业单位实施养老保险制度由单位实际缴纳的职业年金支出。</w:t>
      </w:r>
    </w:p>
    <w:p>
      <w:pPr>
        <w:pStyle w:val="22"/>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27. 社会保障和就业支出（类）抚恤（款）死亡抚恤（项）: 指按规定用于烈士和牺牲、病故人员家属的一次性和定期抚恤金以及丧葬补助费。</w:t>
      </w:r>
    </w:p>
    <w:p>
      <w:pPr>
        <w:pStyle w:val="22"/>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28. 医疗卫生与计划生育（类）行政事业单位医疗（款）行政单位医疗（项）: 指财政部门安排的行政单位（包括实行公务员管理的事业单位，下同）基本医疗保险缴费经费，未参加医疗保险的行政单位的公费医疗经费，按国家规定享受离休人员、红军老战士待遇人员的医疗经费。</w:t>
      </w:r>
    </w:p>
    <w:p>
      <w:pPr>
        <w:pStyle w:val="22"/>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29. 医疗卫生与计划生育（类）行政事业单位医疗（款）事业单位医疗（项）: 指财政部门安排的事业单位基本医疗保险缴费经费，未参加医疗保险的事业单位的公费医疗经费，按国家规定享受离休人员待遇的医疗经费。</w:t>
      </w:r>
    </w:p>
    <w:p>
      <w:pPr>
        <w:pStyle w:val="22"/>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30. 农林水支出（类）扶贫（款）其它扶贫支出（项）: 指除上述项目以外其他用于扶贫方面的支出。</w:t>
      </w:r>
    </w:p>
    <w:p>
      <w:pPr>
        <w:pStyle w:val="22"/>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31. 住房保障支出（类）住房改革支出（款）住房公积金（项）: 指行政事业单位按人力资源和社会保障部、财政部规定的基本工资和津贴补贴以及规定比例为职工缴纳的住房公积金。</w:t>
      </w:r>
    </w:p>
    <w:p>
      <w:pPr>
        <w:pStyle w:val="22"/>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32. 其他支出（类）其他支出（款）其他支出（项）: 指上述项目以外其他不能划分到具体功能科目中的支出项目。</w:t>
      </w:r>
    </w:p>
    <w:p>
      <w:pPr>
        <w:pStyle w:val="22"/>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33.基本支出：指为保障机构正常运转、完成日常工作任务而发生的人员支出和公用支出。</w:t>
      </w:r>
    </w:p>
    <w:p>
      <w:pPr>
        <w:pStyle w:val="22"/>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 xml:space="preserve">34.项目支出：指在基本支出之外为完成特定行政任务和事业发展目标所发生的支出。 </w:t>
      </w:r>
    </w:p>
    <w:p>
      <w:pPr>
        <w:pStyle w:val="22"/>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35.经营支出：指事业单位在专业业务活动及其辅助活动之外开展非独立核算经营活动发生的支出。</w:t>
      </w:r>
    </w:p>
    <w:p>
      <w:pPr>
        <w:pStyle w:val="22"/>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36.“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2"/>
        <w:spacing w:line="560" w:lineRule="exact"/>
        <w:ind w:firstLine="640" w:firstLineChars="200"/>
        <w:rPr>
          <w:rFonts w:ascii="仿宋_GB2312" w:eastAsia="仿宋_GB2312" w:cs="黑体"/>
          <w:color w:val="auto"/>
          <w:sz w:val="32"/>
          <w:szCs w:val="32"/>
        </w:rPr>
      </w:pPr>
      <w:r>
        <w:rPr>
          <w:rFonts w:hint="eastAsia" w:ascii="仿宋_GB2312" w:eastAsia="仿宋_GB2312"/>
          <w:color w:val="auto"/>
          <w:sz w:val="32"/>
          <w:szCs w:val="32"/>
        </w:rPr>
        <w:t>37.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2" w:firstLineChars="200"/>
        <w:rPr>
          <w:rFonts w:ascii="仿宋" w:hAnsi="仿宋" w:eastAsia="仿宋"/>
          <w:b/>
          <w:sz w:val="32"/>
          <w:szCs w:val="32"/>
        </w:rPr>
      </w:pPr>
      <w:r>
        <w:rPr>
          <w:rFonts w:hint="eastAsia" w:ascii="仿宋" w:hAnsi="仿宋" w:eastAsia="仿宋"/>
          <w:b/>
          <w:sz w:val="32"/>
          <w:szCs w:val="32"/>
        </w:rPr>
        <w:t>（名词解释部分请根据各部门实际列支情况罗列，并根据本部门职责职能增减名词解释内容。）</w:t>
      </w:r>
    </w:p>
    <w:p>
      <w:pPr>
        <w:spacing w:line="600" w:lineRule="exact"/>
        <w:jc w:val="center"/>
        <w:outlineLvl w:val="0"/>
        <w:rPr>
          <w:rFonts w:ascii="黑体" w:hAnsi="黑体" w:eastAsia="黑体"/>
          <w:sz w:val="44"/>
          <w:szCs w:val="44"/>
        </w:rPr>
      </w:pPr>
      <w:bookmarkStart w:id="60" w:name="_Toc19089876"/>
      <w:bookmarkStart w:id="61" w:name="_Toc15377226"/>
    </w:p>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spacing w:line="600" w:lineRule="exact"/>
        <w:jc w:val="center"/>
        <w:outlineLvl w:val="0"/>
        <w:rPr>
          <w:rStyle w:val="24"/>
          <w:rFonts w:ascii="黑体" w:hAnsi="黑体" w:eastAsia="黑体"/>
          <w:b w:val="0"/>
        </w:rPr>
      </w:pPr>
      <w:r>
        <w:rPr>
          <w:rFonts w:hint="eastAsia" w:ascii="黑体" w:hAnsi="黑体" w:eastAsia="黑体"/>
          <w:sz w:val="44"/>
          <w:szCs w:val="44"/>
        </w:rPr>
        <w:t>第</w:t>
      </w:r>
      <w:r>
        <w:rPr>
          <w:rStyle w:val="24"/>
          <w:rFonts w:hint="eastAsia" w:ascii="黑体" w:hAnsi="黑体" w:eastAsia="黑体"/>
          <w:b w:val="0"/>
        </w:rPr>
        <w:t>四部分 附件</w:t>
      </w:r>
      <w:bookmarkEnd w:id="60"/>
    </w:p>
    <w:p>
      <w:pPr>
        <w:rPr>
          <w:rFonts w:hint="eastAsia" w:ascii="仿宋" w:hAnsi="仿宋" w:eastAsia="仿宋"/>
          <w:kern w:val="44"/>
          <w:sz w:val="32"/>
          <w:szCs w:val="32"/>
        </w:rPr>
      </w:pPr>
      <w:bookmarkStart w:id="62" w:name="_Toc19089877"/>
      <w:r>
        <w:rPr>
          <w:rFonts w:hint="eastAsia" w:ascii="仿宋" w:hAnsi="仿宋" w:eastAsia="仿宋"/>
          <w:kern w:val="44"/>
          <w:sz w:val="32"/>
          <w:szCs w:val="32"/>
        </w:rPr>
        <w:br w:type="page"/>
      </w:r>
    </w:p>
    <w:p>
      <w:pPr>
        <w:rPr>
          <w:rFonts w:ascii="仿宋" w:hAnsi="仿宋" w:eastAsia="仿宋"/>
          <w:kern w:val="44"/>
          <w:sz w:val="32"/>
          <w:szCs w:val="32"/>
        </w:rPr>
      </w:pPr>
      <w:r>
        <w:rPr>
          <w:rFonts w:hint="eastAsia" w:ascii="仿宋" w:hAnsi="仿宋" w:eastAsia="仿宋"/>
          <w:kern w:val="44"/>
          <w:sz w:val="32"/>
          <w:szCs w:val="32"/>
        </w:rPr>
        <w:t>附件1</w:t>
      </w:r>
      <w:bookmarkEnd w:id="62"/>
    </w:p>
    <w:p>
      <w:pPr>
        <w:spacing w:line="600" w:lineRule="exact"/>
        <w:jc w:val="center"/>
        <w:outlineLvl w:val="0"/>
        <w:rPr>
          <w:rFonts w:ascii="黑体" w:hAnsi="黑体" w:eastAsia="黑体" w:cs="方正小标宋简体"/>
          <w:sz w:val="36"/>
          <w:szCs w:val="36"/>
        </w:rPr>
      </w:pPr>
      <w:bookmarkStart w:id="63" w:name="_Toc19089878"/>
      <w:bookmarkStart w:id="64" w:name="_Toc15396616"/>
      <w:r>
        <w:rPr>
          <w:rFonts w:hint="eastAsia" w:ascii="黑体" w:hAnsi="黑体" w:eastAsia="黑体" w:cs="方正小标宋简体"/>
          <w:sz w:val="36"/>
          <w:szCs w:val="36"/>
        </w:rPr>
        <w:t>广元市利州区教育局2020年部门整体支出</w:t>
      </w:r>
      <w:bookmarkEnd w:id="63"/>
    </w:p>
    <w:p>
      <w:pPr>
        <w:spacing w:line="600" w:lineRule="exact"/>
        <w:jc w:val="center"/>
        <w:outlineLvl w:val="0"/>
        <w:rPr>
          <w:rFonts w:ascii="黑体" w:hAnsi="黑体" w:eastAsia="黑体" w:cs="方正小标宋简体"/>
          <w:sz w:val="36"/>
          <w:szCs w:val="36"/>
        </w:rPr>
      </w:pPr>
      <w:bookmarkStart w:id="65" w:name="_Toc19089879"/>
      <w:r>
        <w:rPr>
          <w:rFonts w:hint="eastAsia" w:ascii="黑体" w:hAnsi="黑体" w:eastAsia="黑体" w:cs="方正小标宋简体"/>
          <w:sz w:val="36"/>
          <w:szCs w:val="36"/>
        </w:rPr>
        <w:t>绩效评价报告</w:t>
      </w:r>
      <w:bookmarkEnd w:id="64"/>
      <w:bookmarkEnd w:id="65"/>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一、部门（单位）概况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（一）机构组成</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广元市利州区教育局下属二级单位</w:t>
      </w:r>
      <w:r>
        <w:rPr>
          <w:rFonts w:hint="eastAsia" w:ascii="仿宋" w:hAnsi="仿宋" w:eastAsia="仿宋" w:cs="仿宋_GB2312"/>
          <w:color w:val="FF0000"/>
          <w:sz w:val="32"/>
          <w:szCs w:val="32"/>
        </w:rPr>
        <w:t>59</w:t>
      </w:r>
      <w:r>
        <w:rPr>
          <w:rFonts w:hint="eastAsia" w:ascii="仿宋" w:hAnsi="仿宋" w:eastAsia="仿宋" w:cs="仿宋_GB2312"/>
          <w:sz w:val="32"/>
          <w:szCs w:val="32"/>
        </w:rPr>
        <w:t>个，其中行政单位</w:t>
      </w:r>
      <w:r>
        <w:rPr>
          <w:rFonts w:hint="eastAsia" w:ascii="仿宋" w:hAnsi="仿宋" w:eastAsia="仿宋" w:cs="仿宋_GB2312"/>
          <w:color w:val="FF0000"/>
          <w:sz w:val="32"/>
          <w:szCs w:val="32"/>
        </w:rPr>
        <w:t>1个</w:t>
      </w:r>
      <w:r>
        <w:rPr>
          <w:rFonts w:hint="eastAsia" w:ascii="仿宋" w:hAnsi="仿宋" w:eastAsia="仿宋" w:cs="仿宋_GB2312"/>
          <w:sz w:val="32"/>
          <w:szCs w:val="32"/>
        </w:rPr>
        <w:t>，参照公务员法管理的事业单位</w:t>
      </w:r>
      <w:r>
        <w:rPr>
          <w:rFonts w:hint="eastAsia" w:ascii="仿宋" w:hAnsi="仿宋" w:eastAsia="仿宋" w:cs="仿宋_GB2312"/>
          <w:color w:val="FF0000"/>
          <w:sz w:val="32"/>
          <w:szCs w:val="32"/>
        </w:rPr>
        <w:t>0个</w:t>
      </w:r>
      <w:r>
        <w:rPr>
          <w:rFonts w:hint="eastAsia" w:ascii="仿宋" w:hAnsi="仿宋" w:eastAsia="仿宋" w:cs="仿宋_GB2312"/>
          <w:sz w:val="32"/>
          <w:szCs w:val="32"/>
        </w:rPr>
        <w:t>，其他事业单位</w:t>
      </w:r>
      <w:r>
        <w:rPr>
          <w:rFonts w:hint="eastAsia" w:ascii="仿宋" w:hAnsi="仿宋" w:eastAsia="仿宋" w:cs="仿宋_GB2312"/>
          <w:color w:val="FF0000"/>
          <w:sz w:val="32"/>
          <w:szCs w:val="32"/>
        </w:rPr>
        <w:t>58个</w:t>
      </w:r>
      <w:r>
        <w:rPr>
          <w:rFonts w:hint="eastAsia" w:ascii="仿宋" w:hAnsi="仿宋" w:eastAsia="仿宋" w:cs="仿宋_GB2312"/>
          <w:sz w:val="32"/>
          <w:szCs w:val="32"/>
        </w:rPr>
        <w:t>。</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（二）机构职能</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1．贯彻执行党和国家关于教育改革和发展的各项方针、政策，拟订全区教育事业发展规划和有关教育的规范性文件并组织实施；指导协调全区学校的教育、教学体制改革。</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负责教育系统教育经费的统筹管理，参与拟订筹措教育经费、教育拨款、教育基建投资办法和方案；监督教育经费的筹措和使用；宣传贯彻执行国家和省市有关学生资助工作方针和政策，统筹管理全区贫困家庭学生资助工作。</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3．负责推进义务教育均衡发展和促进教育公平，负责义务教育的宏观指导与协调；指导普通高中教育、幼儿教育、特殊教育工作，全面实施素质教育；督促检查全区各类学校的办学标准、教学基本要求、教学基本条件的落实情况。</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 xml:space="preserve">4．指导全区的教育督导工作；组织指导对基础教育发展水平、质量的监测工作。 </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5．统筹管理和协调全区社会力量办学的教育工作。</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 xml:space="preserve">6．指导全区学校的依法治校、安全、综合治理、档案、保密、计划生育工作。 </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 xml:space="preserve">7．统筹管理和协调全区学校体育、卫生与艺术教育工作。 </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8．指导全区教育系统人事制度改革工作，推行和实施校长、教师聘任制。</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 xml:space="preserve">9．主管全区教师工作；组织实施各级各类教师资格证书制度；统筹规划学校教师和管理人员队伍建设；负责全区中小学（含幼儿园）校（园）长、教师的继续教育和课程改革新教材的培训工作；会同有关部门负责全区中小学教师专业技术职务评审工作；指导全区教育系统人才队伍建设。 </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10．统筹管理各类学历教育的招生考试工作，会同有关部门编制并监督实施成人高校、中等职业学校和普通高中的招生计划，组织协调招生管理工作；指导大中专学校开展就业创业工作。</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 xml:space="preserve">11．负责中等职业学校和专业的设置、合并、撤销的组织论证和申报指导工作；负责社会力量举办各级各类学校及教育机构的申报、评估、审批（备案）和管理工作。 </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12．指导和管理教育系统的科学研究工作，组织、协调高、中等职业学校、成人教育学校的科技开发、科研成果转化和教育兴农工作。</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 xml:space="preserve">13．组织指导教育方面的对外交流与合作、对外宣传。 </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14．指导、协调各级各类学校后勤保障、信息化建设以及教学仪器设备和图书资料装备工作；指导、管理教育信息统计、分析和发布；指导有关的教育学会、协会工作。</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15．贯彻执行国家语言文字工作的方针、政策，编制语言文字工作中长期规划；组织协调语言文字的规范和标准的监督检查；指导和组织推广普通话、推行规范汉字；开展普通话培训和测试工作。</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（三）人员概况</w:t>
      </w:r>
    </w:p>
    <w:p>
      <w:pPr>
        <w:spacing w:line="580" w:lineRule="exact"/>
        <w:ind w:firstLine="640" w:firstLineChars="200"/>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广元市利州区教育局及下属学校共有编制</w:t>
      </w:r>
      <w:r>
        <w:rPr>
          <w:rFonts w:hint="eastAsia" w:ascii="仿宋" w:hAnsi="仿宋" w:eastAsia="仿宋" w:cs="仿宋_GB2312"/>
          <w:color w:val="FF0000"/>
          <w:sz w:val="32"/>
          <w:szCs w:val="32"/>
        </w:rPr>
        <w:t>3490名</w:t>
      </w:r>
      <w:r>
        <w:rPr>
          <w:rFonts w:hint="eastAsia" w:ascii="仿宋" w:hAnsi="仿宋" w:eastAsia="仿宋" w:cs="仿宋_GB2312"/>
          <w:color w:val="000000" w:themeColor="text1"/>
          <w:sz w:val="32"/>
          <w:szCs w:val="32"/>
          <w14:textFill>
            <w14:solidFill>
              <w14:schemeClr w14:val="tx1"/>
            </w14:solidFill>
          </w14:textFill>
        </w:rPr>
        <w:t>，其中行政编制</w:t>
      </w:r>
      <w:r>
        <w:rPr>
          <w:rFonts w:hint="eastAsia" w:ascii="仿宋" w:hAnsi="仿宋" w:eastAsia="仿宋" w:cs="仿宋_GB2312"/>
          <w:color w:val="FF0000"/>
          <w:sz w:val="32"/>
          <w:szCs w:val="32"/>
        </w:rPr>
        <w:t>14人</w:t>
      </w:r>
      <w:r>
        <w:rPr>
          <w:rFonts w:hint="eastAsia" w:ascii="仿宋" w:hAnsi="仿宋" w:eastAsia="仿宋" w:cs="仿宋_GB2312"/>
          <w:color w:val="000000" w:themeColor="text1"/>
          <w:sz w:val="32"/>
          <w:szCs w:val="32"/>
          <w14:textFill>
            <w14:solidFill>
              <w14:schemeClr w14:val="tx1"/>
            </w14:solidFill>
          </w14:textFill>
        </w:rPr>
        <w:t>，全额财政补助事业编制</w:t>
      </w:r>
      <w:r>
        <w:rPr>
          <w:rFonts w:hint="eastAsia" w:ascii="仿宋" w:hAnsi="仿宋" w:eastAsia="仿宋" w:cs="仿宋_GB2312"/>
          <w:color w:val="FF0000"/>
          <w:sz w:val="32"/>
          <w:szCs w:val="32"/>
        </w:rPr>
        <w:t>3476人</w:t>
      </w:r>
      <w:r>
        <w:rPr>
          <w:rFonts w:hint="eastAsia" w:ascii="仿宋" w:hAnsi="仿宋" w:eastAsia="仿宋" w:cs="仿宋_GB2312"/>
          <w:color w:val="000000" w:themeColor="text1"/>
          <w:sz w:val="32"/>
          <w:szCs w:val="32"/>
          <w14:textFill>
            <w14:solidFill>
              <w14:schemeClr w14:val="tx1"/>
            </w14:solidFill>
          </w14:textFill>
        </w:rPr>
        <w:t>。截至2020年末，实有在职人员</w:t>
      </w:r>
      <w:r>
        <w:rPr>
          <w:rFonts w:hint="eastAsia" w:ascii="仿宋" w:hAnsi="仿宋" w:eastAsia="仿宋" w:cs="仿宋_GB2312"/>
          <w:color w:val="FF0000"/>
          <w:sz w:val="32"/>
          <w:szCs w:val="32"/>
        </w:rPr>
        <w:t>3490人</w:t>
      </w:r>
      <w:r>
        <w:rPr>
          <w:rFonts w:hint="eastAsia" w:ascii="仿宋" w:hAnsi="仿宋" w:eastAsia="仿宋" w:cs="仿宋_GB2312"/>
          <w:color w:val="000000" w:themeColor="text1"/>
          <w:sz w:val="32"/>
          <w:szCs w:val="32"/>
          <w14:textFill>
            <w14:solidFill>
              <w14:schemeClr w14:val="tx1"/>
            </w14:solidFill>
          </w14:textFill>
        </w:rPr>
        <w:t>，离休人员</w:t>
      </w:r>
      <w:r>
        <w:rPr>
          <w:rFonts w:hint="eastAsia" w:ascii="仿宋" w:hAnsi="仿宋" w:eastAsia="仿宋" w:cs="仿宋_GB2312"/>
          <w:color w:val="FF0000"/>
          <w:sz w:val="32"/>
          <w:szCs w:val="32"/>
        </w:rPr>
        <w:t>1人</w:t>
      </w:r>
      <w:r>
        <w:rPr>
          <w:rFonts w:hint="eastAsia" w:ascii="仿宋" w:hAnsi="仿宋" w:eastAsia="仿宋" w:cs="仿宋_GB2312"/>
          <w:color w:val="000000" w:themeColor="text1"/>
          <w:sz w:val="32"/>
          <w:szCs w:val="32"/>
          <w14:textFill>
            <w14:solidFill>
              <w14:schemeClr w14:val="tx1"/>
            </w14:solidFill>
          </w14:textFill>
        </w:rPr>
        <w:t>，未归口管理的退休人员</w:t>
      </w:r>
      <w:r>
        <w:rPr>
          <w:rFonts w:hint="eastAsia" w:ascii="仿宋" w:hAnsi="仿宋" w:eastAsia="仿宋" w:cs="仿宋_GB2312"/>
          <w:color w:val="FF0000"/>
          <w:sz w:val="32"/>
          <w:szCs w:val="32"/>
        </w:rPr>
        <w:t>44人</w:t>
      </w:r>
      <w:r>
        <w:rPr>
          <w:rFonts w:hint="eastAsia" w:ascii="仿宋" w:hAnsi="仿宋" w:eastAsia="仿宋" w:cs="仿宋_GB2312"/>
          <w:color w:val="000000" w:themeColor="text1"/>
          <w:sz w:val="32"/>
          <w:szCs w:val="32"/>
          <w14:textFill>
            <w14:solidFill>
              <w14:schemeClr w14:val="tx1"/>
            </w14:solidFill>
          </w14:textFill>
        </w:rPr>
        <w:t>，全区各级各类学校实有学生</w:t>
      </w:r>
      <w:r>
        <w:rPr>
          <w:rFonts w:hint="eastAsia" w:ascii="仿宋" w:hAnsi="仿宋" w:eastAsia="仿宋" w:cs="仿宋_GB2312"/>
          <w:color w:val="FF0000"/>
          <w:sz w:val="32"/>
          <w:szCs w:val="32"/>
        </w:rPr>
        <w:t>80171人</w:t>
      </w:r>
      <w:r>
        <w:rPr>
          <w:rFonts w:hint="eastAsia" w:ascii="仿宋" w:hAnsi="仿宋" w:eastAsia="仿宋" w:cs="仿宋_GB2312"/>
          <w:color w:val="000000" w:themeColor="text1"/>
          <w:sz w:val="32"/>
          <w:szCs w:val="32"/>
          <w14:textFill>
            <w14:solidFill>
              <w14:schemeClr w14:val="tx1"/>
            </w14:solidFill>
          </w14:textFill>
        </w:rPr>
        <w:t>。</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二、部门财政资金收支情况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（一）部门财政资金收入情况</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2020年财政拨款收入总计</w:t>
      </w:r>
      <w:r>
        <w:rPr>
          <w:rFonts w:hint="eastAsia" w:ascii="仿宋" w:hAnsi="仿宋" w:eastAsia="仿宋" w:cs="仿宋_GB2312"/>
          <w:color w:val="FF0000"/>
          <w:sz w:val="32"/>
          <w:szCs w:val="32"/>
        </w:rPr>
        <w:t>74943.23万元</w:t>
      </w:r>
      <w:r>
        <w:rPr>
          <w:rFonts w:hint="eastAsia" w:ascii="仿宋" w:hAnsi="仿宋" w:eastAsia="仿宋" w:cs="仿宋_GB2312"/>
          <w:sz w:val="32"/>
          <w:szCs w:val="32"/>
        </w:rPr>
        <w:t>。与2019年相比（</w:t>
      </w:r>
      <w:r>
        <w:rPr>
          <w:rFonts w:hint="eastAsia" w:ascii="仿宋" w:hAnsi="仿宋" w:eastAsia="仿宋" w:cs="仿宋_GB2312"/>
          <w:color w:val="FF0000"/>
          <w:sz w:val="32"/>
          <w:szCs w:val="32"/>
        </w:rPr>
        <w:t>72925.47万元</w:t>
      </w:r>
      <w:r>
        <w:rPr>
          <w:rFonts w:hint="eastAsia" w:ascii="仿宋" w:hAnsi="仿宋" w:eastAsia="仿宋" w:cs="仿宋_GB2312"/>
          <w:sz w:val="32"/>
          <w:szCs w:val="32"/>
        </w:rPr>
        <w:t>），财政拨款收入总计增加</w:t>
      </w:r>
      <w:r>
        <w:rPr>
          <w:rFonts w:hint="eastAsia" w:ascii="仿宋" w:hAnsi="仿宋" w:eastAsia="仿宋" w:cs="仿宋_GB2312"/>
          <w:color w:val="FF0000"/>
          <w:sz w:val="32"/>
          <w:szCs w:val="32"/>
        </w:rPr>
        <w:t>2017.76万元</w:t>
      </w:r>
      <w:r>
        <w:rPr>
          <w:rFonts w:hint="eastAsia" w:ascii="仿宋" w:hAnsi="仿宋" w:eastAsia="仿宋" w:cs="仿宋_GB2312"/>
          <w:sz w:val="32"/>
          <w:szCs w:val="32"/>
        </w:rPr>
        <w:t>，增涨</w:t>
      </w:r>
      <w:r>
        <w:rPr>
          <w:rFonts w:hint="eastAsia" w:ascii="仿宋" w:hAnsi="仿宋" w:eastAsia="仿宋" w:cs="仿宋_GB2312"/>
          <w:color w:val="FF0000"/>
          <w:sz w:val="32"/>
          <w:szCs w:val="32"/>
        </w:rPr>
        <w:t>2.77%</w:t>
      </w:r>
      <w:r>
        <w:rPr>
          <w:rFonts w:hint="eastAsia" w:ascii="仿宋" w:hAnsi="仿宋" w:eastAsia="仿宋" w:cs="仿宋_GB2312"/>
          <w:sz w:val="32"/>
          <w:szCs w:val="32"/>
        </w:rPr>
        <w:t>。</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（二）部门财政资金支出情况</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2020年财政拨款支出总计</w:t>
      </w:r>
      <w:r>
        <w:rPr>
          <w:rFonts w:hint="eastAsia" w:ascii="仿宋" w:hAnsi="仿宋" w:eastAsia="仿宋" w:cs="仿宋_GB2312"/>
          <w:color w:val="FF0000"/>
          <w:sz w:val="32"/>
          <w:szCs w:val="32"/>
        </w:rPr>
        <w:t>74602.73万元</w:t>
      </w:r>
      <w:r>
        <w:rPr>
          <w:rFonts w:hint="eastAsia" w:ascii="仿宋" w:hAnsi="仿宋" w:eastAsia="仿宋" w:cs="仿宋_GB2312"/>
          <w:sz w:val="32"/>
          <w:szCs w:val="32"/>
        </w:rPr>
        <w:t>。与2019年相比（</w:t>
      </w:r>
      <w:r>
        <w:rPr>
          <w:rFonts w:hint="eastAsia" w:ascii="仿宋" w:hAnsi="仿宋" w:eastAsia="仿宋" w:cs="仿宋_GB2312"/>
          <w:color w:val="FF0000"/>
          <w:sz w:val="32"/>
          <w:szCs w:val="32"/>
        </w:rPr>
        <w:t>71088.15万元</w:t>
      </w:r>
      <w:r>
        <w:rPr>
          <w:rFonts w:hint="eastAsia" w:ascii="仿宋" w:hAnsi="仿宋" w:eastAsia="仿宋" w:cs="仿宋_GB2312"/>
          <w:sz w:val="32"/>
          <w:szCs w:val="32"/>
        </w:rPr>
        <w:t>），财政拨款支出总计增加</w:t>
      </w:r>
      <w:r>
        <w:rPr>
          <w:rFonts w:hint="eastAsia" w:ascii="仿宋" w:hAnsi="仿宋" w:eastAsia="仿宋" w:cs="仿宋_GB2312"/>
          <w:color w:val="FF0000"/>
          <w:sz w:val="32"/>
          <w:szCs w:val="32"/>
        </w:rPr>
        <w:t>3514.58万元</w:t>
      </w:r>
      <w:r>
        <w:rPr>
          <w:rFonts w:hint="eastAsia" w:ascii="仿宋" w:hAnsi="仿宋" w:eastAsia="仿宋" w:cs="仿宋_GB2312"/>
          <w:sz w:val="32"/>
          <w:szCs w:val="32"/>
        </w:rPr>
        <w:t>，增长4.94%。</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三、部门整体预算绩效管理情况（根据适用指标体系进行调整）</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（一）部门预算管理</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w:t>
      </w:r>
      <w:r>
        <w:rPr>
          <w:rFonts w:ascii="仿宋" w:hAnsi="仿宋" w:eastAsia="仿宋" w:cs="仿宋_GB2312"/>
          <w:sz w:val="32"/>
          <w:szCs w:val="32"/>
        </w:rPr>
        <w:t>部门绩效目标制定</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（1）部门绩效目标充分考虑到各项资金的使用内容、范围、方向和预期效果，符合国民经济和社会发展规划，符合部门职能及事业发展规划。</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（2）部门绩效目标从数量、质量、成本、时效以及经济效益、社会效益、生态效益、可持续影响、满意度等方面进行了细化和定量表述，具有可衡量性。</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（3）绩效目标的设定经过了调查研究和科学论证，符合客观实际，能够在一定期限内如期实现。</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（4）绩效目标相关指标设定与预算安排金额相对应，未超预算安排资金。</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w:t>
      </w:r>
      <w:r>
        <w:rPr>
          <w:rFonts w:ascii="仿宋" w:hAnsi="仿宋" w:eastAsia="仿宋" w:cs="仿宋_GB2312"/>
          <w:sz w:val="32"/>
          <w:szCs w:val="32"/>
        </w:rPr>
        <w:t>预算编制</w:t>
      </w:r>
      <w:r>
        <w:rPr>
          <w:rFonts w:hint="eastAsia" w:ascii="仿宋" w:hAnsi="仿宋" w:eastAsia="仿宋" w:cs="仿宋_GB2312"/>
          <w:sz w:val="32"/>
          <w:szCs w:val="32"/>
        </w:rPr>
        <w:t>和执行</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（1）部门预算报送时间严格按照财政部门预算编制要求的时间及时报送部门预算。预算编制完整、准确，基础信息和科目使用准确。</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（2）严格执行预算，执行中一般不调整预算项目。年度预算收支平衡，人员支出按时间表进度执行，无挪用情况，完成部门经济和社会事业发展职能职责。</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3）基本支出主要用于日常工作运转开支，包括人员的工资福利支出、一般商品和服务支出、对个人和家庭的补助支出、对企事业单位的补贴及其他资本性支出。人员经费的开支主要是按照区组织和人事部门审批执行，公用经费按照厉行节约的原则规范资金使用流程，尤其是“三公”经费严格控制在预算指标内。接待费的报销必须附有接待公函、接待申报单、接待明细及公务卡支出</w:t>
      </w:r>
      <w:r>
        <w:rPr>
          <w:rFonts w:hint="eastAsia" w:ascii="仿宋" w:hAnsi="仿宋" w:eastAsia="仿宋" w:cs="仿宋_GB2312"/>
          <w:sz w:val="32"/>
          <w:szCs w:val="32"/>
          <w:lang w:val="en-US" w:eastAsia="zh-CN"/>
        </w:rPr>
        <w:t>凭据</w:t>
      </w:r>
      <w:r>
        <w:rPr>
          <w:rFonts w:hint="eastAsia" w:ascii="仿宋" w:hAnsi="仿宋" w:eastAsia="仿宋" w:cs="仿宋_GB2312"/>
          <w:sz w:val="32"/>
          <w:szCs w:val="32"/>
        </w:rPr>
        <w:t>。</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（4）按时送部门决算，决算数据真实准确、帐表一致，部门决算编制人员与供养人员系统一致。</w:t>
      </w:r>
    </w:p>
    <w:p>
      <w:pPr>
        <w:spacing w:line="580" w:lineRule="exact"/>
        <w:ind w:firstLine="640" w:firstLineChars="200"/>
        <w:jc w:val="left"/>
        <w:rPr>
          <w:rFonts w:ascii="仿宋" w:hAnsi="仿宋" w:eastAsia="仿宋" w:cs="仿宋_GB2312"/>
          <w:sz w:val="32"/>
          <w:szCs w:val="32"/>
        </w:rPr>
      </w:pPr>
      <w:r>
        <w:rPr>
          <w:rFonts w:ascii="仿宋" w:hAnsi="仿宋" w:eastAsia="仿宋" w:cs="仿宋_GB2312"/>
          <w:sz w:val="32"/>
          <w:szCs w:val="32"/>
        </w:rPr>
        <w:t>（二）专项预算管理。</w:t>
      </w:r>
    </w:p>
    <w:p>
      <w:pPr>
        <w:spacing w:line="58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1.专项预算编制情况</w:t>
      </w:r>
    </w:p>
    <w:p>
      <w:pPr>
        <w:spacing w:line="580" w:lineRule="exact"/>
        <w:ind w:firstLine="640" w:firstLineChars="200"/>
        <w:jc w:val="left"/>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各项专项预算的编制严格按照“二上二下”的程序，先由支出股室或下属学校根据年度工作目标提出当年的专项预算项目建议方案，经分管领导审核后由财务股汇总编制并呈局务会批准上报区财政。根据区财政下达的年度各类专项资金年度预算指标，分解下达各支出股室或下属学校，进一步完善专项预算方案。方案完善后，财务股统一汇总再次上报区财政。</w:t>
      </w:r>
      <w:r>
        <w:rPr>
          <w:rFonts w:hint="eastAsia" w:ascii="仿宋" w:hAnsi="仿宋" w:eastAsia="仿宋" w:cs="仿宋_GB2312"/>
          <w:color w:val="000000" w:themeColor="text1"/>
          <w:sz w:val="32"/>
          <w:szCs w:val="32"/>
          <w:lang w:val="en-US" w:eastAsia="zh-CN"/>
          <w14:textFill>
            <w14:solidFill>
              <w14:schemeClr w14:val="tx1"/>
            </w14:solidFill>
          </w14:textFill>
        </w:rPr>
        <w:t>区</w:t>
      </w:r>
      <w:r>
        <w:rPr>
          <w:rFonts w:hint="eastAsia" w:ascii="仿宋" w:hAnsi="仿宋" w:eastAsia="仿宋" w:cs="仿宋_GB2312"/>
          <w:color w:val="000000" w:themeColor="text1"/>
          <w:sz w:val="32"/>
          <w:szCs w:val="32"/>
          <w14:textFill>
            <w14:solidFill>
              <w14:schemeClr w14:val="tx1"/>
            </w14:solidFill>
          </w14:textFill>
        </w:rPr>
        <w:t>财政最终批复后，财务股将各类专项预算指标分解下达各支出股室和下属学校。</w:t>
      </w:r>
    </w:p>
    <w:p>
      <w:pPr>
        <w:spacing w:line="58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2.专项预算执行</w:t>
      </w:r>
    </w:p>
    <w:p>
      <w:pPr>
        <w:spacing w:line="58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对于上级或区本级下达的各类专项预算支出，严格按照预算批复的开支范围和标准执行，不准擅自调项、扩项、缩项，更不准拆借、挪用、挤占和随意扣压；资金拨付动向，按不同专项资金的要求执行，不准任意改变；</w:t>
      </w:r>
    </w:p>
    <w:p>
      <w:pPr>
        <w:spacing w:line="58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3.专项预算绩效目标完成情况</w:t>
      </w:r>
    </w:p>
    <w:p>
      <w:pPr>
        <w:spacing w:line="580" w:lineRule="exact"/>
        <w:ind w:firstLine="640" w:firstLineChars="200"/>
        <w:jc w:val="left"/>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2020年局机关和下属学校各类财政专项预算支出共</w:t>
      </w:r>
      <w:r>
        <w:rPr>
          <w:rFonts w:hint="eastAsia" w:ascii="仿宋" w:hAnsi="仿宋" w:eastAsia="仿宋" w:cs="仿宋_GB2312"/>
          <w:color w:val="FF0000"/>
          <w:sz w:val="32"/>
          <w:szCs w:val="32"/>
        </w:rPr>
        <w:t>17797.00万元</w:t>
      </w:r>
      <w:r>
        <w:rPr>
          <w:rFonts w:hint="eastAsia" w:ascii="仿宋" w:hAnsi="仿宋" w:eastAsia="仿宋" w:cs="仿宋_GB2312"/>
          <w:color w:val="000000" w:themeColor="text1"/>
          <w:sz w:val="32"/>
          <w:szCs w:val="32"/>
          <w14:textFill>
            <w14:solidFill>
              <w14:schemeClr w14:val="tx1"/>
            </w14:solidFill>
          </w14:textFill>
        </w:rPr>
        <w:t>，除个别年末下达的项目</w:t>
      </w:r>
      <w:r>
        <w:rPr>
          <w:rFonts w:hint="eastAsia" w:ascii="仿宋" w:hAnsi="仿宋" w:eastAsia="仿宋" w:cs="仿宋_GB2312"/>
          <w:color w:val="000000" w:themeColor="text1"/>
          <w:sz w:val="32"/>
          <w:szCs w:val="32"/>
          <w:lang w:val="en-US" w:eastAsia="zh-CN"/>
          <w14:textFill>
            <w14:solidFill>
              <w14:schemeClr w14:val="tx1"/>
            </w14:solidFill>
          </w14:textFill>
        </w:rPr>
        <w:t>正在</w:t>
      </w:r>
      <w:r>
        <w:rPr>
          <w:rFonts w:hint="eastAsia" w:ascii="仿宋" w:hAnsi="仿宋" w:eastAsia="仿宋" w:cs="仿宋_GB2312"/>
          <w:color w:val="000000" w:themeColor="text1"/>
          <w:sz w:val="32"/>
          <w:szCs w:val="32"/>
          <w14:textFill>
            <w14:solidFill>
              <w14:schemeClr w14:val="tx1"/>
            </w14:solidFill>
          </w14:textFill>
        </w:rPr>
        <w:t>实施外，其余一般公共预算和政府性基金预算项目预算完成率均达到85%以上。</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四、评价结论及建议</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（一）评价结论</w:t>
      </w:r>
    </w:p>
    <w:p>
      <w:pPr>
        <w:spacing w:line="580" w:lineRule="exact"/>
        <w:ind w:firstLine="640" w:firstLineChars="200"/>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sz w:val="32"/>
          <w:szCs w:val="32"/>
        </w:rPr>
        <w:t>从总体上看，部门整体绩效目标依据充分，整体绩效目标与部门履职相符，基本支出预算编制合理，项目支出预算准确；组织管理机构健全，规章制度完善，资金使用规范合理；预算执行、预算管理、资产管理、职责履行绩效评价目</w:t>
      </w:r>
      <w:r>
        <w:rPr>
          <w:rFonts w:hint="eastAsia" w:ascii="仿宋" w:hAnsi="仿宋" w:eastAsia="仿宋" w:cs="仿宋_GB2312"/>
          <w:color w:val="000000" w:themeColor="text1"/>
          <w:sz w:val="32"/>
          <w:szCs w:val="32"/>
          <w14:textFill>
            <w14:solidFill>
              <w14:schemeClr w14:val="tx1"/>
            </w14:solidFill>
          </w14:textFill>
        </w:rPr>
        <w:t>标实现较为理想，达到预期目的。部门整体绩效评价得分97.3分。</w:t>
      </w:r>
    </w:p>
    <w:p>
      <w:pPr>
        <w:spacing w:line="580" w:lineRule="exact"/>
        <w:ind w:firstLine="640" w:firstLineChars="200"/>
        <w:rPr>
          <w:rFonts w:ascii="仿宋" w:hAnsi="仿宋" w:eastAsia="仿宋" w:cs="仿宋_GB2312"/>
          <w:color w:val="000000" w:themeColor="text1"/>
          <w:sz w:val="32"/>
          <w:szCs w:val="32"/>
          <w14:textFill>
            <w14:solidFill>
              <w14:schemeClr w14:val="tx1"/>
            </w14:solidFill>
          </w14:textFill>
        </w:rPr>
      </w:pPr>
      <w:r>
        <w:rPr>
          <w:rFonts w:ascii="仿宋" w:hAnsi="仿宋" w:eastAsia="仿宋" w:cs="仿宋_GB2312"/>
          <w:color w:val="000000" w:themeColor="text1"/>
          <w:sz w:val="32"/>
          <w:szCs w:val="32"/>
          <w14:textFill>
            <w14:solidFill>
              <w14:schemeClr w14:val="tx1"/>
            </w14:solidFill>
          </w14:textFill>
        </w:rPr>
        <w:t>（二）存在问题</w:t>
      </w:r>
    </w:p>
    <w:p>
      <w:pPr>
        <w:spacing w:line="580" w:lineRule="exact"/>
        <w:ind w:firstLine="640" w:firstLineChars="200"/>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预算追加经费下达时间较晚，个别大型的项目执行时间较长，造成</w:t>
      </w:r>
      <w:r>
        <w:rPr>
          <w:rFonts w:hint="eastAsia" w:ascii="仿宋" w:hAnsi="仿宋" w:eastAsia="仿宋" w:cs="仿宋_GB2312"/>
          <w:color w:val="000000" w:themeColor="text1"/>
          <w:sz w:val="32"/>
          <w:szCs w:val="32"/>
          <w:lang w:val="en-US" w:eastAsia="zh-CN"/>
          <w14:textFill>
            <w14:solidFill>
              <w14:schemeClr w14:val="tx1"/>
            </w14:solidFill>
          </w14:textFill>
        </w:rPr>
        <w:t>年度</w:t>
      </w:r>
      <w:r>
        <w:rPr>
          <w:rFonts w:hint="eastAsia" w:ascii="仿宋" w:hAnsi="仿宋" w:eastAsia="仿宋" w:cs="仿宋_GB2312"/>
          <w:color w:val="000000" w:themeColor="text1"/>
          <w:sz w:val="32"/>
          <w:szCs w:val="32"/>
          <w14:textFill>
            <w14:solidFill>
              <w14:schemeClr w14:val="tx1"/>
            </w14:solidFill>
          </w14:textFill>
        </w:rPr>
        <w:t>预算执行率</w:t>
      </w:r>
      <w:r>
        <w:rPr>
          <w:rFonts w:hint="eastAsia" w:ascii="仿宋" w:hAnsi="仿宋" w:eastAsia="仿宋" w:cs="仿宋_GB2312"/>
          <w:color w:val="000000" w:themeColor="text1"/>
          <w:sz w:val="32"/>
          <w:szCs w:val="32"/>
          <w:lang w:val="en-US" w:eastAsia="zh-CN"/>
          <w14:textFill>
            <w14:solidFill>
              <w14:schemeClr w14:val="tx1"/>
            </w14:solidFill>
          </w14:textFill>
        </w:rPr>
        <w:t>存在差异</w:t>
      </w:r>
      <w:r>
        <w:rPr>
          <w:rFonts w:hint="eastAsia" w:ascii="仿宋" w:hAnsi="仿宋" w:eastAsia="仿宋" w:cs="仿宋_GB2312"/>
          <w:color w:val="000000" w:themeColor="text1"/>
          <w:sz w:val="32"/>
          <w:szCs w:val="32"/>
          <w14:textFill>
            <w14:solidFill>
              <w14:schemeClr w14:val="tx1"/>
            </w14:solidFill>
          </w14:textFill>
        </w:rPr>
        <w:t>。</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（三）改进建议</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1.进一步完善各类项目支出的支出标准，严格按项目和进度执行预算，增强预算的约束力和严肃性。</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2.落实预算执行分析，及时了解预算执行差异，合理调整、纠正预算执行偏差，切实提高部门预算收支管理水平。</w:t>
      </w:r>
    </w:p>
    <w:p>
      <w:pPr>
        <w:widowControl/>
        <w:jc w:val="left"/>
        <w:rPr>
          <w:rFonts w:ascii="仿宋_GB2312" w:hAnsi="仿宋_GB2312" w:eastAsia="仿宋_GB2312" w:cs="仿宋_GB2312"/>
          <w:sz w:val="32"/>
          <w:szCs w:val="32"/>
        </w:rPr>
      </w:pPr>
      <w:r>
        <w:rPr>
          <w:rFonts w:ascii="仿宋_GB2312" w:hAnsi="仿宋_GB2312" w:eastAsia="仿宋_GB2312" w:cs="仿宋_GB2312"/>
          <w:sz w:val="32"/>
          <w:szCs w:val="32"/>
        </w:rPr>
        <w:br w:type="page"/>
      </w:r>
    </w:p>
    <w:p>
      <w:pPr>
        <w:pStyle w:val="3"/>
        <w:rPr>
          <w:rStyle w:val="24"/>
          <w:rFonts w:ascii="仿宋" w:hAnsi="仿宋" w:eastAsia="仿宋"/>
          <w:b w:val="0"/>
          <w:bCs w:val="0"/>
          <w:sz w:val="36"/>
        </w:rPr>
      </w:pPr>
      <w:bookmarkStart w:id="66" w:name="_Toc19089880"/>
      <w:bookmarkStart w:id="67" w:name="_Toc19089881"/>
      <w:r>
        <w:rPr>
          <w:rStyle w:val="24"/>
          <w:rFonts w:hint="eastAsia" w:ascii="仿宋" w:hAnsi="仿宋" w:eastAsia="仿宋"/>
          <w:b w:val="0"/>
          <w:bCs w:val="0"/>
          <w:sz w:val="36"/>
        </w:rPr>
        <w:t>附件2</w:t>
      </w:r>
      <w:bookmarkEnd w:id="66"/>
    </w:p>
    <w:p>
      <w:pPr>
        <w:spacing w:line="580" w:lineRule="exact"/>
        <w:jc w:val="center"/>
        <w:rPr>
          <w:rFonts w:ascii="黑体" w:hAnsi="黑体" w:eastAsia="黑体" w:cs="方正小标宋简体"/>
          <w:sz w:val="44"/>
          <w:szCs w:val="44"/>
        </w:rPr>
      </w:pPr>
      <w:r>
        <w:rPr>
          <w:rFonts w:hint="eastAsia" w:ascii="黑体" w:hAnsi="黑体" w:eastAsia="黑体" w:cs="方正小标宋简体"/>
          <w:sz w:val="44"/>
          <w:szCs w:val="44"/>
        </w:rPr>
        <w:t>2020年教育系统</w:t>
      </w:r>
      <w:bookmarkStart w:id="68" w:name="OLE_LINK7"/>
      <w:r>
        <w:rPr>
          <w:rFonts w:hint="eastAsia" w:ascii="黑体" w:hAnsi="黑体" w:eastAsia="黑体" w:cs="方正小标宋简体"/>
          <w:sz w:val="44"/>
          <w:szCs w:val="44"/>
        </w:rPr>
        <w:t>本（专）科建档立卡贫困学生特别资助项目</w:t>
      </w:r>
      <w:bookmarkEnd w:id="68"/>
      <w:r>
        <w:rPr>
          <w:rFonts w:hint="eastAsia" w:ascii="黑体" w:hAnsi="黑体" w:eastAsia="黑体" w:cs="方正小标宋简体"/>
          <w:sz w:val="44"/>
          <w:szCs w:val="44"/>
        </w:rPr>
        <w:t>支出绩效评价报告</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w:t>
      </w:r>
      <w:r>
        <w:rPr>
          <w:rFonts w:ascii="仿宋" w:hAnsi="仿宋" w:eastAsia="仿宋" w:cs="仿宋_GB2312"/>
          <w:sz w:val="32"/>
          <w:szCs w:val="32"/>
        </w:rPr>
        <w:t>、评价工作开展及项目情况</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（一）项目选点</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本项目已实施</w:t>
      </w:r>
      <w:r>
        <w:rPr>
          <w:rFonts w:hint="eastAsia" w:ascii="仿宋" w:hAnsi="仿宋" w:eastAsia="仿宋" w:cs="仿宋_GB2312"/>
          <w:color w:val="FF0000"/>
          <w:sz w:val="32"/>
          <w:szCs w:val="32"/>
        </w:rPr>
        <w:t>三</w:t>
      </w:r>
      <w:r>
        <w:rPr>
          <w:rFonts w:hint="eastAsia" w:ascii="仿宋" w:hAnsi="仿宋" w:eastAsia="仿宋" w:cs="仿宋_GB2312"/>
          <w:sz w:val="32"/>
          <w:szCs w:val="32"/>
        </w:rPr>
        <w:t>年，本次绩效评价期间为2020年度。</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本项目主要对本（专）科建档立卡贫困家庭学生按政策标准进行资助，使建档立卡贫困家庭学生减轻经济负担，保障学生能够顺利完成学业，提高建档立卡贫困家庭送子女就读高校的积极性。项目内容及范围包括：对全省建档立卡的贫困户家庭新入学的全日制本（专）科学生（含高职、专科、本科），按照每生每学年4000元的标准给予资助，直到学业结束。</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通过实施“本（专）科建档立卡学生特别资助项目”，全面推进脱贫攻坚，坚持扶贫先扶智、治穷先治愚，阻断贫困代际传递，实现脱贫奔康。</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（二）绩效评价指标体系</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绩效评价指标是指衡量绩效目标实现程度的考核工具。绩效评价指标的确定应当遵循以下原则：相关性原则、重要性原则、可比性原则、系统性原则、经济性原则。绩效评价指标分为共性指标和个性指标，共性指标由财政部门统一制定，个性指标由财政部门会同预算部门制定。</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被评价项目绩效评价指标体系设置</w:t>
      </w:r>
      <w:r>
        <w:rPr>
          <w:rFonts w:hint="eastAsia" w:ascii="仿宋" w:hAnsi="仿宋" w:eastAsia="仿宋" w:cs="仿宋_GB2312"/>
          <w:sz w:val="32"/>
          <w:szCs w:val="32"/>
          <w:lang w:val="en-US" w:eastAsia="zh-CN"/>
        </w:rPr>
        <w:t>3</w:t>
      </w:r>
      <w:r>
        <w:rPr>
          <w:rFonts w:hint="eastAsia" w:ascii="仿宋" w:hAnsi="仿宋" w:eastAsia="仿宋" w:cs="仿宋_GB2312"/>
          <w:sz w:val="32"/>
          <w:szCs w:val="32"/>
        </w:rPr>
        <w:t>个一级指标、</w:t>
      </w:r>
      <w:r>
        <w:rPr>
          <w:rFonts w:hint="eastAsia" w:ascii="仿宋" w:hAnsi="仿宋" w:eastAsia="仿宋" w:cs="仿宋_GB2312"/>
          <w:sz w:val="32"/>
          <w:szCs w:val="32"/>
          <w:lang w:val="en-US" w:eastAsia="zh-CN"/>
        </w:rPr>
        <w:t>8</w:t>
      </w:r>
      <w:r>
        <w:rPr>
          <w:rFonts w:hint="eastAsia" w:ascii="仿宋" w:hAnsi="仿宋" w:eastAsia="仿宋" w:cs="仿宋_GB2312"/>
          <w:sz w:val="32"/>
          <w:szCs w:val="32"/>
        </w:rPr>
        <w:t>个二级指标、</w:t>
      </w:r>
      <w:r>
        <w:rPr>
          <w:rFonts w:hint="eastAsia" w:ascii="仿宋" w:hAnsi="仿宋" w:eastAsia="仿宋" w:cs="仿宋_GB2312"/>
          <w:sz w:val="32"/>
          <w:szCs w:val="32"/>
          <w:lang w:val="en-US" w:eastAsia="zh-CN"/>
        </w:rPr>
        <w:t>12个</w:t>
      </w:r>
      <w:r>
        <w:rPr>
          <w:rFonts w:hint="eastAsia" w:ascii="仿宋" w:hAnsi="仿宋" w:eastAsia="仿宋" w:cs="仿宋_GB2312"/>
          <w:sz w:val="32"/>
          <w:szCs w:val="32"/>
        </w:rPr>
        <w:t>三级指标。</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（1）一级指标：项目设置项目完成、项目效益、满意度指标</w:t>
      </w:r>
      <w:r>
        <w:rPr>
          <w:rFonts w:hint="eastAsia" w:ascii="仿宋" w:hAnsi="仿宋" w:eastAsia="仿宋" w:cs="仿宋_GB2312"/>
          <w:sz w:val="32"/>
          <w:szCs w:val="32"/>
          <w:lang w:val="en-US" w:eastAsia="zh-CN"/>
        </w:rPr>
        <w:t>3</w:t>
      </w:r>
      <w:r>
        <w:rPr>
          <w:rFonts w:hint="eastAsia" w:ascii="仿宋" w:hAnsi="仿宋" w:eastAsia="仿宋" w:cs="仿宋_GB2312"/>
          <w:sz w:val="32"/>
          <w:szCs w:val="32"/>
        </w:rPr>
        <w:t>个。</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（2）二级指标：项目完成设置数量目标、质量指标、时效指标和成本指标</w:t>
      </w:r>
      <w:r>
        <w:rPr>
          <w:rFonts w:hint="eastAsia" w:ascii="仿宋" w:hAnsi="仿宋" w:eastAsia="仿宋" w:cs="仿宋_GB2312"/>
          <w:sz w:val="32"/>
          <w:szCs w:val="32"/>
          <w:lang w:val="en-US" w:eastAsia="zh-CN"/>
        </w:rPr>
        <w:t>4</w:t>
      </w:r>
      <w:r>
        <w:rPr>
          <w:rFonts w:hint="eastAsia" w:ascii="仿宋" w:hAnsi="仿宋" w:eastAsia="仿宋" w:cs="仿宋_GB2312"/>
          <w:sz w:val="32"/>
          <w:szCs w:val="32"/>
        </w:rPr>
        <w:t>个，项目效益设置经济效益、社会效益和可持续影响指标</w:t>
      </w:r>
      <w:r>
        <w:rPr>
          <w:rFonts w:hint="eastAsia" w:ascii="仿宋" w:hAnsi="仿宋" w:eastAsia="仿宋" w:cs="仿宋_GB2312"/>
          <w:sz w:val="32"/>
          <w:szCs w:val="32"/>
          <w:lang w:val="en-US" w:eastAsia="zh-CN"/>
        </w:rPr>
        <w:t>3</w:t>
      </w:r>
      <w:r>
        <w:rPr>
          <w:rFonts w:hint="eastAsia" w:ascii="仿宋" w:hAnsi="仿宋" w:eastAsia="仿宋" w:cs="仿宋_GB2312"/>
          <w:sz w:val="32"/>
          <w:szCs w:val="32"/>
        </w:rPr>
        <w:t>个，满意度指标设置社会满意度指标</w:t>
      </w:r>
      <w:r>
        <w:rPr>
          <w:rFonts w:hint="eastAsia" w:ascii="仿宋" w:hAnsi="仿宋" w:eastAsia="仿宋" w:cs="仿宋_GB2312"/>
          <w:sz w:val="32"/>
          <w:szCs w:val="32"/>
          <w:lang w:val="en-US" w:eastAsia="zh-CN"/>
        </w:rPr>
        <w:t>1</w:t>
      </w:r>
      <w:r>
        <w:rPr>
          <w:rFonts w:hint="eastAsia" w:ascii="仿宋" w:hAnsi="仿宋" w:eastAsia="仿宋" w:cs="仿宋_GB2312"/>
          <w:sz w:val="32"/>
          <w:szCs w:val="32"/>
        </w:rPr>
        <w:t>个。</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3）三级指标：数量指标设置资助总数和受助学生完成率2个，质量指标设置建档立卡贫困户入学大中专学生受助比例指标1个；时效指标设置资金足额发放比例指标1个，成本指标执行设置执行标准1个，经济效益指标设置增收指标1个；社会效益设置救助足额、群众知晓率指标2个；可持续影响指标设置资助年限、可持续发展影响指标2个；社会满意度指标设置学生满意度、家长满意度指标2个。</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（三）评价标准和评价方法</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1.评价标准</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绩效评价标准是指衡量财政支出绩效目标完成程度的尺度。绩效评价标准具体包括：计划标准、行业标准、历史标准、其他经财政部门确认的标准。</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2.评价方法</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绩效评价方法主要采用成本效益分析法、比较法、因素分析法、最低成本法、公众评判法等。</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二、评价结论及绩效分析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（一）评价结论</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总体上看， “本（专）科建档立卡学生特别资助项目”财政支出目标明确、具体，决策程序科学、有效，项目管理较为完善，基本达成了项目目标和效果。</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1、项目决策</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（1）必要性：</w:t>
      </w:r>
      <w:bookmarkStart w:id="69" w:name="OLE_LINK9"/>
      <w:r>
        <w:rPr>
          <w:rFonts w:hint="eastAsia" w:ascii="仿宋" w:hAnsi="仿宋" w:eastAsia="仿宋" w:cs="仿宋_GB2312"/>
          <w:sz w:val="32"/>
          <w:szCs w:val="32"/>
        </w:rPr>
        <w:t>通过实施该项目能够提高建档立卡贫困家庭送子女就读高校的积极性，减轻建档立卡贫困家庭经济负担，保障建档立卡高校学生能顺利完成学业。</w:t>
      </w:r>
      <w:bookmarkEnd w:id="69"/>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（2）可行性：广元市利州区教育局制定了《广元市利州区教育局关于进一步做好教育扶贫资助工作的通知》（广利教函</w:t>
      </w:r>
      <w:r>
        <w:rPr>
          <w:rFonts w:hint="eastAsia" w:ascii="宋体" w:hAnsi="宋体" w:cs="宋体"/>
          <w:sz w:val="32"/>
          <w:szCs w:val="32"/>
        </w:rPr>
        <w:t>〔</w:t>
      </w:r>
      <w:r>
        <w:rPr>
          <w:rFonts w:hint="eastAsia" w:ascii="仿宋" w:hAnsi="仿宋" w:eastAsia="仿宋" w:cs="仿宋_GB2312"/>
          <w:sz w:val="32"/>
          <w:szCs w:val="32"/>
        </w:rPr>
        <w:t>2017</w:t>
      </w:r>
      <w:r>
        <w:rPr>
          <w:rFonts w:hint="eastAsia" w:ascii="宋体" w:hAnsi="宋体" w:cs="宋体"/>
          <w:sz w:val="32"/>
          <w:szCs w:val="32"/>
        </w:rPr>
        <w:t>〕</w:t>
      </w:r>
      <w:r>
        <w:rPr>
          <w:rFonts w:hint="eastAsia" w:ascii="仿宋" w:hAnsi="仿宋" w:eastAsia="仿宋" w:cs="仿宋_GB2312"/>
          <w:sz w:val="32"/>
          <w:szCs w:val="32"/>
        </w:rPr>
        <w:t>211号）、《广元市利州区教育局关于印发教育系统财务项目资助工作易发问题清单的通知》广利教函</w:t>
      </w:r>
      <w:r>
        <w:rPr>
          <w:rFonts w:hint="eastAsia" w:ascii="宋体" w:hAnsi="宋体" w:cs="宋体"/>
          <w:sz w:val="32"/>
          <w:szCs w:val="32"/>
        </w:rPr>
        <w:t>〔</w:t>
      </w:r>
      <w:r>
        <w:rPr>
          <w:rFonts w:hint="eastAsia" w:ascii="仿宋" w:hAnsi="仿宋" w:eastAsia="仿宋" w:cs="仿宋_GB2312"/>
          <w:sz w:val="32"/>
          <w:szCs w:val="32"/>
        </w:rPr>
        <w:t>2019</w:t>
      </w:r>
      <w:r>
        <w:rPr>
          <w:rFonts w:hint="eastAsia" w:ascii="宋体" w:hAnsi="宋体" w:cs="宋体"/>
          <w:sz w:val="32"/>
          <w:szCs w:val="32"/>
        </w:rPr>
        <w:t>〕</w:t>
      </w:r>
      <w:r>
        <w:rPr>
          <w:rFonts w:hint="eastAsia" w:ascii="仿宋" w:hAnsi="仿宋" w:eastAsia="仿宋" w:cs="仿宋_GB2312"/>
          <w:sz w:val="32"/>
          <w:szCs w:val="32"/>
        </w:rPr>
        <w:t>219号）为项目可行性给予了具体指导意见及管理办法。</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（3）</w:t>
      </w:r>
      <w:r>
        <w:rPr>
          <w:rFonts w:ascii="仿宋" w:hAnsi="仿宋" w:eastAsia="仿宋" w:cs="仿宋_GB2312"/>
          <w:sz w:val="32"/>
          <w:szCs w:val="32"/>
        </w:rPr>
        <w:t>绩效目标设置情况</w:t>
      </w:r>
      <w:r>
        <w:rPr>
          <w:rFonts w:hint="eastAsia" w:ascii="仿宋" w:hAnsi="仿宋" w:eastAsia="仿宋" w:cs="仿宋_GB2312"/>
          <w:sz w:val="32"/>
          <w:szCs w:val="32"/>
        </w:rPr>
        <w:t>：</w:t>
      </w:r>
    </w:p>
    <w:p>
      <w:pPr>
        <w:spacing w:line="580" w:lineRule="exact"/>
        <w:ind w:firstLine="800" w:firstLineChars="250"/>
        <w:rPr>
          <w:rFonts w:ascii="仿宋" w:hAnsi="仿宋" w:eastAsia="仿宋" w:cs="仿宋_GB2312"/>
          <w:sz w:val="32"/>
          <w:szCs w:val="32"/>
        </w:rPr>
      </w:pPr>
      <w:r>
        <w:rPr>
          <w:rFonts w:hint="eastAsia" w:ascii="仿宋" w:hAnsi="仿宋" w:eastAsia="仿宋" w:cs="仿宋_GB2312"/>
          <w:sz w:val="32"/>
          <w:szCs w:val="32"/>
        </w:rPr>
        <w:t>一是明确性：按照标准对建档立卡贫困家庭学生资助，按照资金使用范围和要求，切实做到公开、公正，不虚报冒领，及时发放，确保资助工作顺利开展，绩效目标明确。二是合理性：通过该项目的实施，按政策规定标准资助建档立卡贫困家庭学生。项目实施符合省教育厅、财政厅统一安排部署，绩效目标设定符合实际需求，合理可行。</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2、项目管理</w:t>
      </w:r>
    </w:p>
    <w:p>
      <w:pPr>
        <w:spacing w:line="580" w:lineRule="exact"/>
        <w:ind w:firstLine="640" w:firstLineChars="200"/>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（1）资金分配：被评价项目2020年共计支出资金</w:t>
      </w:r>
      <w:r>
        <w:rPr>
          <w:rFonts w:hint="eastAsia" w:ascii="仿宋" w:hAnsi="仿宋" w:eastAsia="仿宋" w:cs="仿宋_GB2312"/>
          <w:color w:val="0000FF"/>
          <w:sz w:val="32"/>
          <w:szCs w:val="32"/>
        </w:rPr>
        <w:t>139.2万元</w:t>
      </w:r>
      <w:r>
        <w:rPr>
          <w:rFonts w:hint="eastAsia" w:ascii="仿宋" w:hAnsi="仿宋" w:eastAsia="仿宋" w:cs="仿宋_GB2312"/>
          <w:color w:val="000000" w:themeColor="text1"/>
          <w:sz w:val="32"/>
          <w:szCs w:val="32"/>
          <w14:textFill>
            <w14:solidFill>
              <w14:schemeClr w14:val="tx1"/>
            </w14:solidFill>
          </w14:textFill>
        </w:rPr>
        <w:t>，资助学生</w:t>
      </w:r>
      <w:r>
        <w:rPr>
          <w:rFonts w:hint="eastAsia" w:ascii="仿宋" w:hAnsi="仿宋" w:eastAsia="仿宋" w:cs="仿宋_GB2312"/>
          <w:color w:val="0000FF"/>
          <w:sz w:val="32"/>
          <w:szCs w:val="32"/>
        </w:rPr>
        <w:t>348</w:t>
      </w:r>
      <w:r>
        <w:rPr>
          <w:rFonts w:hint="eastAsia" w:ascii="仿宋" w:hAnsi="仿宋" w:eastAsia="仿宋" w:cs="仿宋_GB2312"/>
          <w:color w:val="000000" w:themeColor="text1"/>
          <w:sz w:val="32"/>
          <w:szCs w:val="32"/>
          <w14:textFill>
            <w14:solidFill>
              <w14:schemeClr w14:val="tx1"/>
            </w14:solidFill>
          </w14:textFill>
        </w:rPr>
        <w:t>人次，其中区级配套资金</w:t>
      </w:r>
      <w:r>
        <w:rPr>
          <w:rFonts w:hint="eastAsia" w:ascii="仿宋" w:hAnsi="仿宋" w:eastAsia="仿宋" w:cs="仿宋_GB2312"/>
          <w:color w:val="0000FF"/>
          <w:sz w:val="32"/>
          <w:szCs w:val="32"/>
        </w:rPr>
        <w:t>48.69万元</w:t>
      </w:r>
      <w:r>
        <w:rPr>
          <w:rFonts w:hint="eastAsia" w:ascii="仿宋" w:hAnsi="仿宋" w:eastAsia="仿宋" w:cs="仿宋_GB2312"/>
          <w:color w:val="000000" w:themeColor="text1"/>
          <w:sz w:val="32"/>
          <w:szCs w:val="32"/>
          <w14:textFill>
            <w14:solidFill>
              <w14:schemeClr w14:val="tx1"/>
            </w14:solidFill>
          </w14:textFill>
        </w:rPr>
        <w:t>，按要求配足配齐了相关资金。</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（2）资金使用：项目支出真实、完整、合法，支付依据符合规定，不存在大额现金支付、虚列经费等情况。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3、项目绩效</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（1）项目目标完成情况</w:t>
      </w:r>
    </w:p>
    <w:p>
      <w:pPr>
        <w:spacing w:line="580" w:lineRule="exact"/>
        <w:ind w:firstLine="640" w:firstLineChars="200"/>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sz w:val="32"/>
          <w:szCs w:val="32"/>
        </w:rPr>
        <w:t>完成数量方面：</w:t>
      </w:r>
      <w:bookmarkStart w:id="70" w:name="OLE_LINK8"/>
      <w:r>
        <w:rPr>
          <w:rFonts w:hint="eastAsia" w:ascii="仿宋" w:hAnsi="仿宋" w:eastAsia="仿宋" w:cs="仿宋_GB2312"/>
          <w:sz w:val="32"/>
          <w:szCs w:val="32"/>
        </w:rPr>
        <w:t>按照广元市利州区财政局下达的资金及学生自主申请情况，区教育局按计划完成了2020年本（专）科建档立卡贫困家庭学生特别资助相关工</w:t>
      </w:r>
      <w:r>
        <w:rPr>
          <w:rFonts w:hint="eastAsia" w:ascii="仿宋" w:hAnsi="仿宋" w:eastAsia="仿宋" w:cs="仿宋_GB2312"/>
          <w:color w:val="000000" w:themeColor="text1"/>
          <w:sz w:val="32"/>
          <w:szCs w:val="32"/>
          <w14:textFill>
            <w14:solidFill>
              <w14:schemeClr w14:val="tx1"/>
            </w14:solidFill>
          </w14:textFill>
        </w:rPr>
        <w:t>作。截止2020年12月，资助本专科学生</w:t>
      </w:r>
      <w:r>
        <w:rPr>
          <w:rFonts w:hint="eastAsia" w:ascii="仿宋" w:hAnsi="仿宋" w:eastAsia="仿宋" w:cs="仿宋_GB2312"/>
          <w:color w:val="0000FF"/>
          <w:sz w:val="32"/>
          <w:szCs w:val="32"/>
        </w:rPr>
        <w:t>348</w:t>
      </w:r>
      <w:r>
        <w:rPr>
          <w:rFonts w:hint="eastAsia" w:ascii="仿宋" w:hAnsi="仿宋" w:eastAsia="仿宋" w:cs="仿宋_GB2312"/>
          <w:color w:val="000000" w:themeColor="text1"/>
          <w:sz w:val="32"/>
          <w:szCs w:val="32"/>
          <w14:textFill>
            <w14:solidFill>
              <w14:schemeClr w14:val="tx1"/>
            </w14:solidFill>
          </w14:textFill>
        </w:rPr>
        <w:t>人次，与计划人数相同。</w:t>
      </w:r>
      <w:bookmarkEnd w:id="70"/>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完成时效方面：项目资金于春季和秋季通过“广元市惠民惠农财政补贴资金社会保障卡一卡通发放监管系统”全额支付给资助对象，资助</w:t>
      </w:r>
      <w:r>
        <w:rPr>
          <w:rFonts w:hint="eastAsia" w:ascii="仿宋" w:hAnsi="仿宋" w:eastAsia="仿宋" w:cs="仿宋_GB2312"/>
          <w:sz w:val="32"/>
          <w:szCs w:val="32"/>
          <w:lang w:val="en-US" w:eastAsia="zh-CN"/>
        </w:rPr>
        <w:t>资金</w:t>
      </w:r>
      <w:r>
        <w:rPr>
          <w:rFonts w:hint="eastAsia" w:ascii="仿宋" w:hAnsi="仿宋" w:eastAsia="仿宋" w:cs="仿宋_GB2312"/>
          <w:sz w:val="32"/>
          <w:szCs w:val="32"/>
        </w:rPr>
        <w:t>及时</w:t>
      </w:r>
      <w:r>
        <w:rPr>
          <w:rFonts w:hint="eastAsia" w:ascii="仿宋" w:hAnsi="仿宋" w:eastAsia="仿宋" w:cs="仿宋_GB2312"/>
          <w:sz w:val="32"/>
          <w:szCs w:val="32"/>
          <w:lang w:val="en-US" w:eastAsia="zh-CN"/>
        </w:rPr>
        <w:t>高效</w:t>
      </w:r>
      <w:r>
        <w:rPr>
          <w:rFonts w:hint="eastAsia" w:ascii="仿宋" w:hAnsi="仿宋" w:eastAsia="仿宋" w:cs="仿宋_GB2312"/>
          <w:sz w:val="32"/>
          <w:szCs w:val="32"/>
        </w:rPr>
        <w:t>。</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（2）项目效益情况</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资助及时：本项目自资助对象确定后区财政及时下达资金预算并及时到位配套资金，发放及时。</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救助标准：按本专科4000元/年标准足额发放到个人账户。</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群众知晓率：区教育局通过多项措施加强政策宣传，受助学生和家长政策知晓率达到96%。</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服务对象满意度：通过部分采集市内受助对象满意度信息，整体满意度平均得分为97 %，受助对象满意度为：满意。</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三</w:t>
      </w:r>
      <w:r>
        <w:rPr>
          <w:rFonts w:ascii="仿宋" w:hAnsi="仿宋" w:eastAsia="仿宋" w:cs="仿宋_GB2312"/>
          <w:sz w:val="32"/>
          <w:szCs w:val="32"/>
        </w:rPr>
        <w:t>、存在主要问题</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资助对象信息采</w:t>
      </w:r>
      <w:r>
        <w:rPr>
          <w:rFonts w:hint="eastAsia" w:ascii="仿宋" w:hAnsi="仿宋" w:eastAsia="仿宋" w:cs="仿宋_GB2312"/>
          <w:sz w:val="32"/>
          <w:szCs w:val="32"/>
          <w:lang w:val="en-US" w:eastAsia="zh-CN"/>
        </w:rPr>
        <w:t>集</w:t>
      </w:r>
      <w:r>
        <w:rPr>
          <w:rFonts w:hint="eastAsia" w:ascii="仿宋" w:hAnsi="仿宋" w:eastAsia="仿宋" w:cs="仿宋_GB2312"/>
          <w:sz w:val="32"/>
          <w:szCs w:val="32"/>
        </w:rPr>
        <w:t>不够准确，导致</w:t>
      </w:r>
      <w:r>
        <w:rPr>
          <w:rFonts w:hint="eastAsia" w:ascii="仿宋" w:hAnsi="仿宋" w:eastAsia="仿宋" w:cs="仿宋_GB2312"/>
          <w:sz w:val="32"/>
          <w:szCs w:val="32"/>
          <w:lang w:val="en-US" w:eastAsia="zh-CN"/>
        </w:rPr>
        <w:t>个别</w:t>
      </w:r>
      <w:r>
        <w:rPr>
          <w:rFonts w:hint="eastAsia" w:ascii="仿宋" w:hAnsi="仿宋" w:eastAsia="仿宋" w:cs="仿宋_GB2312"/>
          <w:sz w:val="32"/>
          <w:szCs w:val="32"/>
        </w:rPr>
        <w:t>资助资金发放延迟。该项资金由受助学生本人通过资助平台网站申报后，经学校、主管部门审核后使用“广元市惠民惠农财政补贴资金社会保障卡一卡通发放监管系统”发放。但由于个别学生社保卡未开通银行收付款功能</w:t>
      </w:r>
      <w:r>
        <w:rPr>
          <w:rFonts w:hint="eastAsia" w:ascii="仿宋" w:hAnsi="仿宋" w:eastAsia="仿宋" w:cs="仿宋_GB2312"/>
          <w:sz w:val="32"/>
          <w:szCs w:val="32"/>
          <w:lang w:eastAsia="zh-CN"/>
        </w:rPr>
        <w:t>，</w:t>
      </w:r>
      <w:r>
        <w:rPr>
          <w:rFonts w:hint="eastAsia" w:ascii="仿宋" w:hAnsi="仿宋" w:eastAsia="仿宋" w:cs="仿宋_GB2312"/>
          <w:sz w:val="32"/>
          <w:szCs w:val="32"/>
          <w:lang w:val="en-US" w:eastAsia="zh-CN"/>
        </w:rPr>
        <w:t>影响资金拨付进度</w:t>
      </w:r>
      <w:r>
        <w:rPr>
          <w:rFonts w:hint="eastAsia" w:ascii="仿宋" w:hAnsi="仿宋" w:eastAsia="仿宋" w:cs="仿宋_GB2312"/>
          <w:sz w:val="32"/>
          <w:szCs w:val="32"/>
        </w:rPr>
        <w:t>。</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四</w:t>
      </w:r>
      <w:r>
        <w:rPr>
          <w:rFonts w:ascii="仿宋" w:hAnsi="仿宋" w:eastAsia="仿宋" w:cs="仿宋_GB2312"/>
          <w:sz w:val="32"/>
          <w:szCs w:val="32"/>
        </w:rPr>
        <w:t>、相关措施建议</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w:t>
      </w:r>
      <w:r>
        <w:rPr>
          <w:rFonts w:hint="eastAsia" w:ascii="仿宋_GB2312" w:hAnsi="仿宋_GB2312" w:eastAsia="仿宋_GB2312" w:cs="仿宋_GB2312"/>
          <w:sz w:val="32"/>
          <w:szCs w:val="32"/>
        </w:rPr>
        <w:t>要求辖区学校进一步加强政策宣传，力争政策知晓率达到100%。</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（二）加强学生资助账户信息核实工作。建议省资助平台进一步完善申报信息采集功能，在个人申报阶段对社保卡开通状态进行验证，保证资助资金按时到位。</w:t>
      </w:r>
    </w:p>
    <w:p>
      <w:pPr>
        <w:rPr>
          <w:rFonts w:ascii="仿宋" w:hAnsi="仿宋" w:eastAsia="仿宋" w:cs="仿宋_GB2312"/>
          <w:sz w:val="32"/>
          <w:szCs w:val="32"/>
        </w:rPr>
      </w:pPr>
      <w:r>
        <w:rPr>
          <w:rFonts w:ascii="仿宋" w:hAnsi="仿宋" w:eastAsia="仿宋" w:cs="仿宋_GB2312"/>
          <w:sz w:val="32"/>
          <w:szCs w:val="32"/>
        </w:rPr>
        <w:br w:type="page"/>
      </w:r>
    </w:p>
    <w:tbl>
      <w:tblPr>
        <w:tblStyle w:val="12"/>
        <w:tblW w:w="5000" w:type="pct"/>
        <w:tblInd w:w="0" w:type="dxa"/>
        <w:tblLayout w:type="autofit"/>
        <w:tblCellMar>
          <w:top w:w="0" w:type="dxa"/>
          <w:left w:w="108" w:type="dxa"/>
          <w:bottom w:w="0" w:type="dxa"/>
          <w:right w:w="108" w:type="dxa"/>
        </w:tblCellMar>
      </w:tblPr>
      <w:tblGrid>
        <w:gridCol w:w="804"/>
        <w:gridCol w:w="804"/>
        <w:gridCol w:w="804"/>
        <w:gridCol w:w="1848"/>
        <w:gridCol w:w="2131"/>
        <w:gridCol w:w="2131"/>
      </w:tblGrid>
      <w:tr>
        <w:tblPrEx>
          <w:tblCellMar>
            <w:top w:w="0" w:type="dxa"/>
            <w:left w:w="108" w:type="dxa"/>
            <w:bottom w:w="0" w:type="dxa"/>
            <w:right w:w="108" w:type="dxa"/>
          </w:tblCellMar>
        </w:tblPrEx>
        <w:trPr>
          <w:trHeight w:val="450" w:hRule="atLeast"/>
        </w:trPr>
        <w:tc>
          <w:tcPr>
            <w:tcW w:w="5000" w:type="pct"/>
            <w:gridSpan w:val="6"/>
            <w:tcBorders>
              <w:top w:val="nil"/>
              <w:left w:val="nil"/>
              <w:bottom w:val="nil"/>
              <w:right w:val="nil"/>
            </w:tcBorders>
            <w:shd w:val="clear" w:color="auto" w:fill="auto"/>
            <w:vAlign w:val="center"/>
          </w:tcPr>
          <w:p>
            <w:pPr>
              <w:widowControl/>
              <w:jc w:val="center"/>
              <w:rPr>
                <w:rFonts w:ascii="黑体" w:hAnsi="黑体" w:eastAsia="黑体" w:cs="宋体"/>
                <w:kern w:val="0"/>
                <w:sz w:val="36"/>
                <w:szCs w:val="36"/>
              </w:rPr>
            </w:pPr>
            <w:r>
              <w:rPr>
                <w:rFonts w:hint="eastAsia" w:ascii="黑体" w:hAnsi="黑体" w:eastAsia="黑体" w:cs="宋体"/>
                <w:kern w:val="0"/>
                <w:sz w:val="36"/>
                <w:szCs w:val="36"/>
              </w:rPr>
              <w:t>本（专）科建档立卡贫困学生特别资助项目支出绩效目标完成情况表</w:t>
            </w:r>
          </w:p>
        </w:tc>
      </w:tr>
      <w:tr>
        <w:tblPrEx>
          <w:tblCellMar>
            <w:top w:w="0" w:type="dxa"/>
            <w:left w:w="108" w:type="dxa"/>
            <w:bottom w:w="0" w:type="dxa"/>
            <w:right w:w="108" w:type="dxa"/>
          </w:tblCellMar>
        </w:tblPrEx>
        <w:trPr>
          <w:trHeight w:val="450" w:hRule="atLeast"/>
        </w:trPr>
        <w:tc>
          <w:tcPr>
            <w:tcW w:w="5000" w:type="pct"/>
            <w:gridSpan w:val="6"/>
            <w:tcBorders>
              <w:top w:val="nil"/>
              <w:left w:val="nil"/>
              <w:bottom w:val="nil"/>
              <w:right w:val="nil"/>
            </w:tcBorders>
            <w:shd w:val="clear" w:color="auto" w:fill="auto"/>
            <w:vAlign w:val="center"/>
          </w:tcPr>
          <w:p>
            <w:pPr>
              <w:widowControl/>
              <w:jc w:val="center"/>
              <w:rPr>
                <w:rFonts w:ascii="宋体" w:hAnsi="宋体" w:cs="宋体"/>
                <w:kern w:val="0"/>
                <w:sz w:val="36"/>
                <w:szCs w:val="36"/>
              </w:rPr>
            </w:pPr>
            <w:r>
              <w:rPr>
                <w:rFonts w:hint="eastAsia" w:ascii="宋体" w:hAnsi="宋体" w:cs="宋体"/>
                <w:kern w:val="0"/>
                <w:sz w:val="36"/>
                <w:szCs w:val="36"/>
              </w:rPr>
              <w:t>(2020 年度)</w:t>
            </w:r>
          </w:p>
        </w:tc>
      </w:tr>
      <w:tr>
        <w:tblPrEx>
          <w:tblCellMar>
            <w:top w:w="0" w:type="dxa"/>
            <w:left w:w="108" w:type="dxa"/>
            <w:bottom w:w="0" w:type="dxa"/>
            <w:right w:w="108" w:type="dxa"/>
          </w:tblCellMar>
        </w:tblPrEx>
        <w:trPr>
          <w:trHeight w:val="555" w:hRule="atLeast"/>
        </w:trPr>
        <w:tc>
          <w:tcPr>
            <w:tcW w:w="1415"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项目名称</w:t>
            </w:r>
          </w:p>
        </w:tc>
        <w:tc>
          <w:tcPr>
            <w:tcW w:w="3585"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本（专）科建档立卡贫困学生特别资助项目</w:t>
            </w:r>
          </w:p>
        </w:tc>
      </w:tr>
      <w:tr>
        <w:trPr>
          <w:trHeight w:val="555" w:hRule="atLeast"/>
        </w:trPr>
        <w:tc>
          <w:tcPr>
            <w:tcW w:w="1415"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预算单位</w:t>
            </w:r>
          </w:p>
        </w:tc>
        <w:tc>
          <w:tcPr>
            <w:tcW w:w="3585"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广元市利州区教育局</w:t>
            </w:r>
          </w:p>
        </w:tc>
      </w:tr>
      <w:tr>
        <w:tblPrEx>
          <w:tblCellMar>
            <w:top w:w="0" w:type="dxa"/>
            <w:left w:w="108" w:type="dxa"/>
            <w:bottom w:w="0" w:type="dxa"/>
            <w:right w:w="108" w:type="dxa"/>
          </w:tblCellMar>
        </w:tblPrEx>
        <w:trPr>
          <w:trHeight w:val="555" w:hRule="atLeast"/>
        </w:trPr>
        <w:tc>
          <w:tcPr>
            <w:tcW w:w="472"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预算执行情况(万元)</w:t>
            </w:r>
          </w:p>
        </w:tc>
        <w:tc>
          <w:tcPr>
            <w:tcW w:w="943"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预算数:</w:t>
            </w:r>
          </w:p>
        </w:tc>
        <w:tc>
          <w:tcPr>
            <w:tcW w:w="108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FF0000"/>
                <w:kern w:val="0"/>
                <w:sz w:val="24"/>
              </w:rPr>
              <w:t>139.2万元</w:t>
            </w:r>
          </w:p>
        </w:tc>
        <w:tc>
          <w:tcPr>
            <w:tcW w:w="12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执行数:</w:t>
            </w:r>
          </w:p>
        </w:tc>
        <w:tc>
          <w:tcPr>
            <w:tcW w:w="12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FF0000"/>
                <w:kern w:val="0"/>
                <w:sz w:val="24"/>
              </w:rPr>
            </w:pPr>
            <w:r>
              <w:rPr>
                <w:rFonts w:hint="eastAsia" w:ascii="宋体" w:hAnsi="宋体" w:cs="宋体"/>
                <w:color w:val="FF0000"/>
                <w:kern w:val="0"/>
                <w:sz w:val="24"/>
              </w:rPr>
              <w:t>139.2万元</w:t>
            </w:r>
          </w:p>
        </w:tc>
      </w:tr>
      <w:tr>
        <w:tblPrEx>
          <w:tblCellMar>
            <w:top w:w="0" w:type="dxa"/>
            <w:left w:w="108" w:type="dxa"/>
            <w:bottom w:w="0" w:type="dxa"/>
            <w:right w:w="108" w:type="dxa"/>
          </w:tblCellMar>
        </w:tblPrEx>
        <w:trPr>
          <w:trHeight w:val="555" w:hRule="atLeast"/>
        </w:trPr>
        <w:tc>
          <w:tcPr>
            <w:tcW w:w="47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943"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其中-财政拨款:</w:t>
            </w:r>
          </w:p>
        </w:tc>
        <w:tc>
          <w:tcPr>
            <w:tcW w:w="108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FF0000"/>
                <w:kern w:val="0"/>
                <w:sz w:val="24"/>
              </w:rPr>
            </w:pPr>
            <w:r>
              <w:rPr>
                <w:rFonts w:hint="eastAsia" w:ascii="宋体" w:hAnsi="宋体" w:cs="宋体"/>
                <w:color w:val="FF0000"/>
                <w:kern w:val="0"/>
                <w:sz w:val="24"/>
              </w:rPr>
              <w:t>139.2万元</w:t>
            </w:r>
          </w:p>
        </w:tc>
        <w:tc>
          <w:tcPr>
            <w:tcW w:w="12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其中-财政拨款:</w:t>
            </w:r>
          </w:p>
        </w:tc>
        <w:tc>
          <w:tcPr>
            <w:tcW w:w="12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FF0000"/>
                <w:kern w:val="0"/>
                <w:sz w:val="24"/>
              </w:rPr>
            </w:pPr>
            <w:r>
              <w:rPr>
                <w:rFonts w:hint="eastAsia" w:ascii="宋体" w:hAnsi="宋体" w:cs="宋体"/>
                <w:color w:val="FF0000"/>
                <w:kern w:val="0"/>
                <w:sz w:val="24"/>
              </w:rPr>
              <w:t>139.2万元</w:t>
            </w:r>
          </w:p>
        </w:tc>
      </w:tr>
      <w:tr>
        <w:tblPrEx>
          <w:tblCellMar>
            <w:top w:w="0" w:type="dxa"/>
            <w:left w:w="108" w:type="dxa"/>
            <w:bottom w:w="0" w:type="dxa"/>
            <w:right w:w="108" w:type="dxa"/>
          </w:tblCellMar>
        </w:tblPrEx>
        <w:trPr>
          <w:trHeight w:val="705" w:hRule="atLeast"/>
        </w:trPr>
        <w:tc>
          <w:tcPr>
            <w:tcW w:w="47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943"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其它资金:</w:t>
            </w:r>
          </w:p>
        </w:tc>
        <w:tc>
          <w:tcPr>
            <w:tcW w:w="108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12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其它资金:</w:t>
            </w:r>
          </w:p>
        </w:tc>
        <w:tc>
          <w:tcPr>
            <w:tcW w:w="12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555" w:hRule="atLeast"/>
        </w:trPr>
        <w:tc>
          <w:tcPr>
            <w:tcW w:w="472"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年度目标完成情况</w:t>
            </w:r>
          </w:p>
        </w:tc>
        <w:tc>
          <w:tcPr>
            <w:tcW w:w="2028"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预期目标</w:t>
            </w:r>
          </w:p>
        </w:tc>
        <w:tc>
          <w:tcPr>
            <w:tcW w:w="2501"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实际完成目标</w:t>
            </w:r>
          </w:p>
        </w:tc>
      </w:tr>
      <w:tr>
        <w:tblPrEx>
          <w:tblCellMar>
            <w:top w:w="0" w:type="dxa"/>
            <w:left w:w="108" w:type="dxa"/>
            <w:bottom w:w="0" w:type="dxa"/>
            <w:right w:w="108" w:type="dxa"/>
          </w:tblCellMar>
        </w:tblPrEx>
        <w:trPr>
          <w:trHeight w:val="2700" w:hRule="atLeast"/>
        </w:trPr>
        <w:tc>
          <w:tcPr>
            <w:tcW w:w="47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028" w:type="pct"/>
            <w:gridSpan w:val="3"/>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本项目主要对本（专）科建档立卡贫困家庭学生按政策标准进行资助，使建档立卡贫困家庭学生减轻经济负担，保障学生能够顺利完成学业，提高建档立卡贫困家庭送子女就读高校的积极性。项目内容及范围包括：对全省建档立卡的贫困户家庭新入学的全日制本（专）科学生（含高职、专科、本科），按照每生每学年4000元的标准给予资助，连续资助直到学业结束。</w:t>
            </w:r>
          </w:p>
        </w:tc>
        <w:tc>
          <w:tcPr>
            <w:tcW w:w="2501" w:type="pct"/>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按照广元市利州区财政局下达的资金及学生自主申请情况，区教育局按计划完成了2020年本（专）科建档立卡贫困家庭学生特别资助相关工作。截止2020年12月，资助本专科学生</w:t>
            </w:r>
            <w:r>
              <w:rPr>
                <w:rFonts w:hint="eastAsia" w:ascii="宋体" w:hAnsi="宋体" w:cs="宋体"/>
                <w:color w:val="FF0000"/>
                <w:kern w:val="0"/>
                <w:sz w:val="20"/>
                <w:szCs w:val="20"/>
              </w:rPr>
              <w:t>348</w:t>
            </w:r>
            <w:r>
              <w:rPr>
                <w:rFonts w:hint="eastAsia" w:ascii="宋体" w:hAnsi="宋体" w:cs="宋体"/>
                <w:color w:val="000000" w:themeColor="text1"/>
                <w:kern w:val="0"/>
                <w:sz w:val="20"/>
                <w:szCs w:val="20"/>
                <w14:textFill>
                  <w14:solidFill>
                    <w14:schemeClr w14:val="tx1"/>
                  </w14:solidFill>
                </w14:textFill>
              </w:rPr>
              <w:t>人次，与计划人数相同。通过实施该项目能够提高建档立卡贫困家庭送子女就读高校的积极性，减轻建档立卡贫困家庭经济负担，保障建档立卡高校学生能顺利完成学业</w:t>
            </w:r>
          </w:p>
        </w:tc>
      </w:tr>
      <w:tr>
        <w:tblPrEx>
          <w:tblCellMar>
            <w:top w:w="0" w:type="dxa"/>
            <w:left w:w="108" w:type="dxa"/>
            <w:bottom w:w="0" w:type="dxa"/>
            <w:right w:w="108" w:type="dxa"/>
          </w:tblCellMar>
        </w:tblPrEx>
        <w:trPr>
          <w:trHeight w:val="570" w:hRule="atLeast"/>
        </w:trPr>
        <w:tc>
          <w:tcPr>
            <w:tcW w:w="472"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绩效指标完成情况</w:t>
            </w:r>
          </w:p>
        </w:tc>
        <w:tc>
          <w:tcPr>
            <w:tcW w:w="47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一级指标</w:t>
            </w:r>
          </w:p>
        </w:tc>
        <w:tc>
          <w:tcPr>
            <w:tcW w:w="47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二级指标</w:t>
            </w:r>
          </w:p>
        </w:tc>
        <w:tc>
          <w:tcPr>
            <w:tcW w:w="108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三级指标</w:t>
            </w:r>
          </w:p>
        </w:tc>
        <w:tc>
          <w:tcPr>
            <w:tcW w:w="12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预期指标值(包含数字及文字描述)</w:t>
            </w:r>
          </w:p>
        </w:tc>
        <w:tc>
          <w:tcPr>
            <w:tcW w:w="12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实际完成指标值(包含数字及文字描述)</w:t>
            </w:r>
          </w:p>
        </w:tc>
      </w:tr>
      <w:tr>
        <w:tblPrEx>
          <w:tblCellMar>
            <w:top w:w="0" w:type="dxa"/>
            <w:left w:w="108" w:type="dxa"/>
            <w:bottom w:w="0" w:type="dxa"/>
            <w:right w:w="108" w:type="dxa"/>
          </w:tblCellMar>
        </w:tblPrEx>
        <w:trPr>
          <w:trHeight w:val="480" w:hRule="atLeast"/>
        </w:trPr>
        <w:tc>
          <w:tcPr>
            <w:tcW w:w="47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472"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项目完成</w:t>
            </w:r>
          </w:p>
        </w:tc>
        <w:tc>
          <w:tcPr>
            <w:tcW w:w="472"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数量指标</w:t>
            </w:r>
          </w:p>
        </w:tc>
        <w:tc>
          <w:tcPr>
            <w:tcW w:w="108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资助学生数</w:t>
            </w:r>
          </w:p>
        </w:tc>
        <w:tc>
          <w:tcPr>
            <w:tcW w:w="125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资助全区建档立卡贫困户2017年入学的大中专学生：</w:t>
            </w:r>
            <w:r>
              <w:rPr>
                <w:rFonts w:hint="eastAsia" w:ascii="宋体" w:hAnsi="宋体" w:cs="宋体"/>
                <w:color w:val="FF0000"/>
                <w:kern w:val="0"/>
                <w:sz w:val="20"/>
                <w:szCs w:val="20"/>
              </w:rPr>
              <w:t>348</w:t>
            </w:r>
            <w:r>
              <w:rPr>
                <w:rFonts w:hint="eastAsia" w:ascii="宋体" w:hAnsi="宋体" w:cs="宋体"/>
                <w:kern w:val="0"/>
                <w:sz w:val="20"/>
                <w:szCs w:val="20"/>
              </w:rPr>
              <w:t>人次</w:t>
            </w:r>
          </w:p>
        </w:tc>
        <w:tc>
          <w:tcPr>
            <w:tcW w:w="125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全年实际资助建档立卡贫困家庭学生348人次</w:t>
            </w:r>
          </w:p>
        </w:tc>
      </w:tr>
      <w:tr>
        <w:tblPrEx>
          <w:tblCellMar>
            <w:top w:w="0" w:type="dxa"/>
            <w:left w:w="108" w:type="dxa"/>
            <w:bottom w:w="0" w:type="dxa"/>
            <w:right w:w="108" w:type="dxa"/>
          </w:tblCellMar>
        </w:tblPrEx>
        <w:trPr>
          <w:trHeight w:val="270" w:hRule="atLeast"/>
        </w:trPr>
        <w:tc>
          <w:tcPr>
            <w:tcW w:w="47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47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47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08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受助学生完成率</w:t>
            </w:r>
          </w:p>
        </w:tc>
        <w:tc>
          <w:tcPr>
            <w:tcW w:w="125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受助学生人数完成率：100%</w:t>
            </w:r>
          </w:p>
        </w:tc>
        <w:tc>
          <w:tcPr>
            <w:tcW w:w="125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受助学生人数完成率100%</w:t>
            </w:r>
          </w:p>
        </w:tc>
      </w:tr>
      <w:tr>
        <w:tblPrEx>
          <w:tblCellMar>
            <w:top w:w="0" w:type="dxa"/>
            <w:left w:w="108" w:type="dxa"/>
            <w:bottom w:w="0" w:type="dxa"/>
            <w:right w:w="108" w:type="dxa"/>
          </w:tblCellMar>
        </w:tblPrEx>
        <w:trPr>
          <w:trHeight w:val="480" w:hRule="atLeast"/>
        </w:trPr>
        <w:tc>
          <w:tcPr>
            <w:tcW w:w="47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47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47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质量指标</w:t>
            </w:r>
          </w:p>
        </w:tc>
        <w:tc>
          <w:tcPr>
            <w:tcW w:w="108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建档立卡家庭学生受助比率</w:t>
            </w:r>
          </w:p>
        </w:tc>
        <w:tc>
          <w:tcPr>
            <w:tcW w:w="125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建档立卡贫困户2017年入学的大中专学生受到资助比例：100%</w:t>
            </w:r>
          </w:p>
        </w:tc>
        <w:tc>
          <w:tcPr>
            <w:tcW w:w="12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新入学本专科学生受助比例</w:t>
            </w:r>
            <w:r>
              <w:rPr>
                <w:rFonts w:hint="eastAsia" w:ascii="宋体" w:hAnsi="宋体" w:cs="宋体"/>
                <w:color w:val="000000" w:themeColor="text1"/>
                <w:kern w:val="0"/>
                <w:sz w:val="20"/>
                <w:szCs w:val="20"/>
                <w:lang w:val="en-US" w:eastAsia="zh-CN"/>
                <w14:textFill>
                  <w14:solidFill>
                    <w14:schemeClr w14:val="tx1"/>
                  </w14:solidFill>
                </w14:textFill>
              </w:rPr>
              <w:t>100</w:t>
            </w:r>
            <w:r>
              <w:rPr>
                <w:rFonts w:hint="eastAsia" w:ascii="宋体" w:hAnsi="宋体" w:cs="宋体"/>
                <w:color w:val="000000" w:themeColor="text1"/>
                <w:kern w:val="0"/>
                <w:sz w:val="20"/>
                <w:szCs w:val="20"/>
                <w14:textFill>
                  <w14:solidFill>
                    <w14:schemeClr w14:val="tx1"/>
                  </w14:solidFill>
                </w14:textFill>
              </w:rPr>
              <w:t>%</w:t>
            </w:r>
          </w:p>
        </w:tc>
      </w:tr>
      <w:tr>
        <w:tblPrEx>
          <w:tblCellMar>
            <w:top w:w="0" w:type="dxa"/>
            <w:left w:w="108" w:type="dxa"/>
            <w:bottom w:w="0" w:type="dxa"/>
            <w:right w:w="108" w:type="dxa"/>
          </w:tblCellMar>
        </w:tblPrEx>
        <w:trPr>
          <w:trHeight w:val="480" w:hRule="atLeast"/>
        </w:trPr>
        <w:tc>
          <w:tcPr>
            <w:tcW w:w="47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47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47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时效指标</w:t>
            </w:r>
          </w:p>
        </w:tc>
        <w:tc>
          <w:tcPr>
            <w:tcW w:w="108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补助资金及时到位、足额发放</w:t>
            </w:r>
          </w:p>
        </w:tc>
        <w:tc>
          <w:tcPr>
            <w:tcW w:w="125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补助资金及时足额发放率：100%</w:t>
            </w:r>
          </w:p>
        </w:tc>
        <w:tc>
          <w:tcPr>
            <w:tcW w:w="125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补助资金及时到位</w:t>
            </w:r>
          </w:p>
        </w:tc>
      </w:tr>
      <w:tr>
        <w:tblPrEx>
          <w:tblCellMar>
            <w:top w:w="0" w:type="dxa"/>
            <w:left w:w="108" w:type="dxa"/>
            <w:bottom w:w="0" w:type="dxa"/>
            <w:right w:w="108" w:type="dxa"/>
          </w:tblCellMar>
        </w:tblPrEx>
        <w:trPr>
          <w:trHeight w:val="480" w:hRule="atLeast"/>
        </w:trPr>
        <w:tc>
          <w:tcPr>
            <w:tcW w:w="47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47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47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成本指标</w:t>
            </w:r>
          </w:p>
        </w:tc>
        <w:tc>
          <w:tcPr>
            <w:tcW w:w="108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按标准拨付补助资金</w:t>
            </w:r>
          </w:p>
        </w:tc>
        <w:tc>
          <w:tcPr>
            <w:tcW w:w="125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受助学生享受资金资助标准：4000元/生/年</w:t>
            </w:r>
          </w:p>
        </w:tc>
        <w:tc>
          <w:tcPr>
            <w:tcW w:w="125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补助资金按标准拨付</w:t>
            </w:r>
          </w:p>
        </w:tc>
      </w:tr>
      <w:tr>
        <w:tblPrEx>
          <w:tblCellMar>
            <w:top w:w="0" w:type="dxa"/>
            <w:left w:w="108" w:type="dxa"/>
            <w:bottom w:w="0" w:type="dxa"/>
            <w:right w:w="108" w:type="dxa"/>
          </w:tblCellMar>
        </w:tblPrEx>
        <w:trPr>
          <w:trHeight w:val="480" w:hRule="atLeast"/>
        </w:trPr>
        <w:tc>
          <w:tcPr>
            <w:tcW w:w="47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472"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项目效益</w:t>
            </w:r>
          </w:p>
        </w:tc>
        <w:tc>
          <w:tcPr>
            <w:tcW w:w="47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经济效益</w:t>
            </w:r>
            <w:r>
              <w:rPr>
                <w:rFonts w:hint="eastAsia" w:ascii="宋体" w:hAnsi="宋体" w:cs="宋体"/>
                <w:kern w:val="0"/>
                <w:sz w:val="20"/>
                <w:szCs w:val="20"/>
              </w:rPr>
              <w:br w:type="textWrapping"/>
            </w:r>
            <w:r>
              <w:rPr>
                <w:rFonts w:hint="eastAsia" w:ascii="宋体" w:hAnsi="宋体" w:cs="宋体"/>
                <w:kern w:val="0"/>
                <w:sz w:val="20"/>
                <w:szCs w:val="20"/>
              </w:rPr>
              <w:t>指标</w:t>
            </w:r>
          </w:p>
        </w:tc>
        <w:tc>
          <w:tcPr>
            <w:tcW w:w="108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增加建档立卡家庭经济收入</w:t>
            </w:r>
          </w:p>
        </w:tc>
        <w:tc>
          <w:tcPr>
            <w:tcW w:w="125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增加建档立卡贫困家庭经济收入：0.4万元</w:t>
            </w:r>
          </w:p>
        </w:tc>
        <w:tc>
          <w:tcPr>
            <w:tcW w:w="125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建档立卡家庭经济收入增加0.4万元/年</w:t>
            </w:r>
          </w:p>
        </w:tc>
      </w:tr>
      <w:tr>
        <w:tblPrEx>
          <w:tblCellMar>
            <w:top w:w="0" w:type="dxa"/>
            <w:left w:w="108" w:type="dxa"/>
            <w:bottom w:w="0" w:type="dxa"/>
            <w:right w:w="108" w:type="dxa"/>
          </w:tblCellMar>
        </w:tblPrEx>
        <w:trPr>
          <w:trHeight w:val="1200" w:hRule="atLeast"/>
        </w:trPr>
        <w:tc>
          <w:tcPr>
            <w:tcW w:w="47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47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472"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社会效益</w:t>
            </w:r>
            <w:r>
              <w:rPr>
                <w:rFonts w:hint="eastAsia" w:ascii="宋体" w:hAnsi="宋体" w:cs="宋体"/>
                <w:kern w:val="0"/>
                <w:sz w:val="20"/>
                <w:szCs w:val="20"/>
              </w:rPr>
              <w:br w:type="textWrapping"/>
            </w:r>
            <w:r>
              <w:rPr>
                <w:rFonts w:hint="eastAsia" w:ascii="宋体" w:hAnsi="宋体" w:cs="宋体"/>
                <w:kern w:val="0"/>
                <w:sz w:val="20"/>
                <w:szCs w:val="20"/>
              </w:rPr>
              <w:t>指标</w:t>
            </w:r>
          </w:p>
        </w:tc>
        <w:tc>
          <w:tcPr>
            <w:tcW w:w="108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减轻建档立卡家庭教育负担</w:t>
            </w:r>
          </w:p>
        </w:tc>
        <w:tc>
          <w:tcPr>
            <w:tcW w:w="125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减轻建档立卡贫困学生家庭负担，确保学生顺利完成学业</w:t>
            </w:r>
          </w:p>
        </w:tc>
        <w:tc>
          <w:tcPr>
            <w:tcW w:w="12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通过实施该项目有效提高建档立卡贫困家庭送子女就读高校的积极性，减轻建档立卡贫困家庭经济负担，保障建档立卡高校学生能顺利完成学业。</w:t>
            </w:r>
          </w:p>
        </w:tc>
      </w:tr>
      <w:tr>
        <w:tblPrEx>
          <w:tblCellMar>
            <w:top w:w="0" w:type="dxa"/>
            <w:left w:w="108" w:type="dxa"/>
            <w:bottom w:w="0" w:type="dxa"/>
            <w:right w:w="108" w:type="dxa"/>
          </w:tblCellMar>
        </w:tblPrEx>
        <w:trPr>
          <w:trHeight w:val="270" w:hRule="atLeast"/>
        </w:trPr>
        <w:tc>
          <w:tcPr>
            <w:tcW w:w="47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47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47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08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群众政策知晓率</w:t>
            </w:r>
          </w:p>
        </w:tc>
        <w:tc>
          <w:tcPr>
            <w:tcW w:w="125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政策知晓率：95%</w:t>
            </w:r>
          </w:p>
        </w:tc>
        <w:tc>
          <w:tcPr>
            <w:tcW w:w="12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政策知晓率96%</w:t>
            </w:r>
          </w:p>
        </w:tc>
      </w:tr>
      <w:tr>
        <w:tblPrEx>
          <w:tblCellMar>
            <w:top w:w="0" w:type="dxa"/>
            <w:left w:w="108" w:type="dxa"/>
            <w:bottom w:w="0" w:type="dxa"/>
            <w:right w:w="108" w:type="dxa"/>
          </w:tblCellMar>
        </w:tblPrEx>
        <w:trPr>
          <w:trHeight w:val="480" w:hRule="atLeast"/>
        </w:trPr>
        <w:tc>
          <w:tcPr>
            <w:tcW w:w="47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47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472"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可持续影响</w:t>
            </w:r>
            <w:r>
              <w:rPr>
                <w:rFonts w:hint="eastAsia" w:ascii="宋体" w:hAnsi="宋体" w:cs="宋体"/>
                <w:kern w:val="0"/>
                <w:sz w:val="20"/>
                <w:szCs w:val="20"/>
              </w:rPr>
              <w:br w:type="textWrapping"/>
            </w:r>
            <w:r>
              <w:rPr>
                <w:rFonts w:hint="eastAsia" w:ascii="宋体" w:hAnsi="宋体" w:cs="宋体"/>
                <w:kern w:val="0"/>
                <w:sz w:val="20"/>
                <w:szCs w:val="20"/>
              </w:rPr>
              <w:t>指标</w:t>
            </w:r>
          </w:p>
        </w:tc>
        <w:tc>
          <w:tcPr>
            <w:tcW w:w="108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受助年限</w:t>
            </w:r>
          </w:p>
        </w:tc>
        <w:tc>
          <w:tcPr>
            <w:tcW w:w="125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大中专建档立卡贫困家庭学生学费生活费补助资助年限：2-4年</w:t>
            </w:r>
          </w:p>
        </w:tc>
        <w:tc>
          <w:tcPr>
            <w:tcW w:w="125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本专科受助年限2至4年</w:t>
            </w:r>
          </w:p>
        </w:tc>
      </w:tr>
      <w:tr>
        <w:tblPrEx>
          <w:tblCellMar>
            <w:top w:w="0" w:type="dxa"/>
            <w:left w:w="108" w:type="dxa"/>
            <w:bottom w:w="0" w:type="dxa"/>
            <w:right w:w="108" w:type="dxa"/>
          </w:tblCellMar>
        </w:tblPrEx>
        <w:trPr>
          <w:trHeight w:val="1200" w:hRule="atLeast"/>
        </w:trPr>
        <w:tc>
          <w:tcPr>
            <w:tcW w:w="47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47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47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08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对社会经济发展的可持续影响</w:t>
            </w:r>
          </w:p>
        </w:tc>
        <w:tc>
          <w:tcPr>
            <w:tcW w:w="125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对社会、经济发展可持续影响：100%</w:t>
            </w:r>
          </w:p>
        </w:tc>
        <w:tc>
          <w:tcPr>
            <w:tcW w:w="125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通过实施“本（专）科建档立卡学生特别资助项目”，全面推进脱贫攻坚，坚持扶贫先扶智、治穷先治愚，阻断贫困代际传递，实现脱贫奔康。</w:t>
            </w:r>
          </w:p>
        </w:tc>
      </w:tr>
      <w:tr>
        <w:tblPrEx>
          <w:tblCellMar>
            <w:top w:w="0" w:type="dxa"/>
            <w:left w:w="108" w:type="dxa"/>
            <w:bottom w:w="0" w:type="dxa"/>
            <w:right w:w="108" w:type="dxa"/>
          </w:tblCellMar>
        </w:tblPrEx>
        <w:trPr>
          <w:trHeight w:val="480" w:hRule="atLeast"/>
        </w:trPr>
        <w:tc>
          <w:tcPr>
            <w:tcW w:w="47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472"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满意度指标</w:t>
            </w:r>
          </w:p>
        </w:tc>
        <w:tc>
          <w:tcPr>
            <w:tcW w:w="472"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满意度指标</w:t>
            </w:r>
          </w:p>
        </w:tc>
        <w:tc>
          <w:tcPr>
            <w:tcW w:w="108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学生满意度</w:t>
            </w:r>
          </w:p>
        </w:tc>
        <w:tc>
          <w:tcPr>
            <w:tcW w:w="125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建档立卡贫困户享受补助学生满意度：90%</w:t>
            </w:r>
          </w:p>
        </w:tc>
        <w:tc>
          <w:tcPr>
            <w:tcW w:w="125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学生满意度98%</w:t>
            </w:r>
          </w:p>
        </w:tc>
      </w:tr>
      <w:tr>
        <w:tblPrEx>
          <w:tblCellMar>
            <w:top w:w="0" w:type="dxa"/>
            <w:left w:w="108" w:type="dxa"/>
            <w:bottom w:w="0" w:type="dxa"/>
            <w:right w:w="108" w:type="dxa"/>
          </w:tblCellMar>
        </w:tblPrEx>
        <w:trPr>
          <w:trHeight w:val="480" w:hRule="atLeast"/>
        </w:trPr>
        <w:tc>
          <w:tcPr>
            <w:tcW w:w="47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47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47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08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家长满意度</w:t>
            </w:r>
          </w:p>
        </w:tc>
        <w:tc>
          <w:tcPr>
            <w:tcW w:w="125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建档立卡贫困户享受补助家长满意度：90%</w:t>
            </w:r>
          </w:p>
        </w:tc>
        <w:tc>
          <w:tcPr>
            <w:tcW w:w="125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家长满意度97%</w:t>
            </w:r>
          </w:p>
        </w:tc>
      </w:tr>
    </w:tbl>
    <w:p>
      <w:pPr>
        <w:pStyle w:val="3"/>
        <w:rPr>
          <w:rFonts w:ascii="仿宋" w:hAnsi="仿宋" w:eastAsia="仿宋" w:cs="仿宋_GB2312"/>
          <w:b w:val="0"/>
          <w:bCs w:val="0"/>
        </w:rPr>
      </w:pPr>
    </w:p>
    <w:p>
      <w:pPr>
        <w:rPr>
          <w:rStyle w:val="24"/>
          <w:rFonts w:ascii="仿宋" w:hAnsi="仿宋" w:eastAsia="仿宋"/>
          <w:b w:val="0"/>
          <w:bCs w:val="0"/>
          <w:sz w:val="36"/>
        </w:rPr>
      </w:pPr>
      <w:r>
        <w:rPr>
          <w:rStyle w:val="24"/>
          <w:rFonts w:hint="eastAsia" w:ascii="仿宋" w:hAnsi="仿宋" w:eastAsia="仿宋"/>
          <w:b w:val="0"/>
          <w:bCs w:val="0"/>
          <w:sz w:val="36"/>
        </w:rPr>
        <w:br w:type="page"/>
      </w:r>
    </w:p>
    <w:bookmarkEnd w:id="67"/>
    <w:p>
      <w:pPr>
        <w:pStyle w:val="3"/>
        <w:rPr>
          <w:rStyle w:val="24"/>
          <w:rFonts w:ascii="仿宋" w:hAnsi="仿宋" w:eastAsia="仿宋"/>
          <w:b w:val="0"/>
          <w:bCs w:val="0"/>
          <w:sz w:val="36"/>
        </w:rPr>
      </w:pPr>
      <w:bookmarkStart w:id="71" w:name="_Toc19089882"/>
      <w:r>
        <w:rPr>
          <w:rStyle w:val="24"/>
          <w:rFonts w:hint="eastAsia" w:ascii="仿宋" w:hAnsi="仿宋" w:eastAsia="仿宋"/>
          <w:b w:val="0"/>
          <w:bCs w:val="0"/>
          <w:sz w:val="36"/>
        </w:rPr>
        <w:t>附件3</w:t>
      </w:r>
    </w:p>
    <w:p>
      <w:pPr>
        <w:spacing w:line="580" w:lineRule="exact"/>
        <w:jc w:val="center"/>
        <w:rPr>
          <w:rFonts w:ascii="黑体" w:hAnsi="黑体" w:eastAsia="黑体" w:cs="方正小标宋简体"/>
          <w:sz w:val="44"/>
          <w:szCs w:val="44"/>
        </w:rPr>
      </w:pPr>
      <w:r>
        <w:rPr>
          <w:rFonts w:hint="eastAsia" w:ascii="黑体" w:hAnsi="黑体" w:eastAsia="黑体" w:cs="方正小标宋简体"/>
          <w:sz w:val="44"/>
          <w:szCs w:val="44"/>
        </w:rPr>
        <w:t>2020年教育系统中职建档立卡贫困学生特别资助项目支出绩效评价报告</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w:t>
      </w:r>
      <w:r>
        <w:rPr>
          <w:rFonts w:ascii="仿宋" w:hAnsi="仿宋" w:eastAsia="仿宋" w:cs="仿宋_GB2312"/>
          <w:sz w:val="32"/>
          <w:szCs w:val="32"/>
        </w:rPr>
        <w:t>、评价工作开展及项目情况</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（一）项目选点</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本项目已实施</w:t>
      </w:r>
      <w:r>
        <w:rPr>
          <w:rFonts w:hint="eastAsia" w:ascii="仿宋" w:hAnsi="仿宋" w:eastAsia="仿宋" w:cs="仿宋_GB2312"/>
          <w:color w:val="FF0000"/>
          <w:sz w:val="32"/>
          <w:szCs w:val="32"/>
        </w:rPr>
        <w:t>三</w:t>
      </w:r>
      <w:r>
        <w:rPr>
          <w:rFonts w:hint="eastAsia" w:ascii="仿宋" w:hAnsi="仿宋" w:eastAsia="仿宋" w:cs="仿宋_GB2312"/>
          <w:sz w:val="32"/>
          <w:szCs w:val="32"/>
        </w:rPr>
        <w:t>年，本次绩效评价期间为2020年度。</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本项目主要对建档立卡贫困家庭学生按政策标准进行资助，使建档立卡贫困家庭学生减轻经济负担，保障学生能够顺利完成学业，提高建档立卡贫困家庭送子女就读中等职业技术学校的积极性。项目内容及范围包括：中职建档立卡贫困家庭学生在发放中职助学金的基础上，再给予每生每学期500元（每学年1000元）的生活补助。生活补助资金由学生生源地的教育、人社部门负责组织发放，连续资助直到学业结束。</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通过实施“中职建档立卡贫困学生特别资助项目”，全面推进脱贫攻坚，坚持扶贫先扶智、治穷先治愚，阻断贫困代际传递，实现脱贫奔康。</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（二）绩效评价指标体系</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绩效评价指标是指衡量绩效目标实现程度的考核工具。绩效评价指标的确定应当遵循以下原则：相关性原则、重要性原则、可比性原则、系统性原则、经济性原则。绩效评价指标分为共性指标和个性指标，共性指标由财政部门统一制定，个性指标由财政部门会同预算部门制定。</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被评价项目绩效评价指标体系设置</w:t>
      </w:r>
      <w:r>
        <w:rPr>
          <w:rFonts w:hint="eastAsia" w:ascii="仿宋" w:hAnsi="仿宋" w:eastAsia="仿宋" w:cs="仿宋_GB2312"/>
          <w:sz w:val="32"/>
          <w:szCs w:val="32"/>
          <w:lang w:val="en-US" w:eastAsia="zh-CN"/>
        </w:rPr>
        <w:t>3</w:t>
      </w:r>
      <w:r>
        <w:rPr>
          <w:rFonts w:hint="eastAsia" w:ascii="仿宋" w:hAnsi="仿宋" w:eastAsia="仿宋" w:cs="仿宋_GB2312"/>
          <w:sz w:val="32"/>
          <w:szCs w:val="32"/>
        </w:rPr>
        <w:t>个一级指标、</w:t>
      </w:r>
      <w:r>
        <w:rPr>
          <w:rFonts w:hint="eastAsia" w:ascii="仿宋" w:hAnsi="仿宋" w:eastAsia="仿宋" w:cs="仿宋_GB2312"/>
          <w:sz w:val="32"/>
          <w:szCs w:val="32"/>
          <w:lang w:val="en-US" w:eastAsia="zh-CN"/>
        </w:rPr>
        <w:t>8</w:t>
      </w:r>
      <w:r>
        <w:rPr>
          <w:rFonts w:hint="eastAsia" w:ascii="仿宋" w:hAnsi="仿宋" w:eastAsia="仿宋" w:cs="仿宋_GB2312"/>
          <w:sz w:val="32"/>
          <w:szCs w:val="32"/>
        </w:rPr>
        <w:t>个二级指标、</w:t>
      </w:r>
      <w:r>
        <w:rPr>
          <w:rFonts w:hint="eastAsia" w:ascii="仿宋" w:hAnsi="仿宋" w:eastAsia="仿宋" w:cs="仿宋_GB2312"/>
          <w:sz w:val="32"/>
          <w:szCs w:val="32"/>
          <w:lang w:val="en-US" w:eastAsia="zh-CN"/>
        </w:rPr>
        <w:t>12</w:t>
      </w:r>
      <w:r>
        <w:rPr>
          <w:rFonts w:hint="eastAsia" w:ascii="仿宋" w:hAnsi="仿宋" w:eastAsia="仿宋" w:cs="仿宋_GB2312"/>
          <w:sz w:val="32"/>
          <w:szCs w:val="32"/>
        </w:rPr>
        <w:t>个三级指标。</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（1）一级指标：项目设置项目完成、项目效益、满意度指标</w:t>
      </w:r>
      <w:r>
        <w:rPr>
          <w:rFonts w:hint="eastAsia" w:ascii="仿宋" w:hAnsi="仿宋" w:eastAsia="仿宋" w:cs="仿宋_GB2312"/>
          <w:sz w:val="32"/>
          <w:szCs w:val="32"/>
          <w:lang w:val="en-US" w:eastAsia="zh-CN"/>
        </w:rPr>
        <w:t>3</w:t>
      </w:r>
      <w:r>
        <w:rPr>
          <w:rFonts w:hint="eastAsia" w:ascii="仿宋" w:hAnsi="仿宋" w:eastAsia="仿宋" w:cs="仿宋_GB2312"/>
          <w:sz w:val="32"/>
          <w:szCs w:val="32"/>
        </w:rPr>
        <w:t>个。</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（2）二级指标：项目完成设置数量目标、质量指标、时效指标和成本指标</w:t>
      </w:r>
      <w:r>
        <w:rPr>
          <w:rFonts w:hint="eastAsia" w:ascii="仿宋" w:hAnsi="仿宋" w:eastAsia="仿宋" w:cs="仿宋_GB2312"/>
          <w:sz w:val="32"/>
          <w:szCs w:val="32"/>
          <w:lang w:val="en-US" w:eastAsia="zh-CN"/>
        </w:rPr>
        <w:t>4</w:t>
      </w:r>
      <w:r>
        <w:rPr>
          <w:rFonts w:hint="eastAsia" w:ascii="仿宋" w:hAnsi="仿宋" w:eastAsia="仿宋" w:cs="仿宋_GB2312"/>
          <w:sz w:val="32"/>
          <w:szCs w:val="32"/>
        </w:rPr>
        <w:t>个，项目效益设置经济效益、社会效益和可持续影响指标</w:t>
      </w:r>
      <w:r>
        <w:rPr>
          <w:rFonts w:hint="eastAsia" w:ascii="仿宋" w:hAnsi="仿宋" w:eastAsia="仿宋" w:cs="仿宋_GB2312"/>
          <w:sz w:val="32"/>
          <w:szCs w:val="32"/>
          <w:lang w:val="en-US" w:eastAsia="zh-CN"/>
        </w:rPr>
        <w:t>3</w:t>
      </w:r>
      <w:r>
        <w:rPr>
          <w:rFonts w:hint="eastAsia" w:ascii="仿宋" w:hAnsi="仿宋" w:eastAsia="仿宋" w:cs="仿宋_GB2312"/>
          <w:sz w:val="32"/>
          <w:szCs w:val="32"/>
        </w:rPr>
        <w:t>个，满意度指标设置社会满意度指标</w:t>
      </w:r>
      <w:r>
        <w:rPr>
          <w:rFonts w:hint="eastAsia" w:ascii="仿宋" w:hAnsi="仿宋" w:eastAsia="仿宋" w:cs="仿宋_GB2312"/>
          <w:sz w:val="32"/>
          <w:szCs w:val="32"/>
          <w:lang w:val="en-US" w:eastAsia="zh-CN"/>
        </w:rPr>
        <w:t>1</w:t>
      </w:r>
      <w:r>
        <w:rPr>
          <w:rFonts w:hint="eastAsia" w:ascii="仿宋" w:hAnsi="仿宋" w:eastAsia="仿宋" w:cs="仿宋_GB2312"/>
          <w:sz w:val="32"/>
          <w:szCs w:val="32"/>
        </w:rPr>
        <w:t>个。</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3）三级指标：数量指标设置资助总数和受助学生完成率2个，质量指标设置建档立卡贫困户入学中等职业技术学校学生受助比例指标1个；时效指标设置资金足额发放比例指标1个，成本指标执行设置执行标准1个，经济效益指标设置增收指标1个；社会效益设置救助足额、群众知晓率指标2个；可持续影响指标设置资助年限、可持续发展影响指标2个；社会满意度指标设置学生满意度、家长满意度指标2个。</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（三）评价标准和评价方法</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1.评价标准</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绩效评价标准是指衡量财政支出绩效目标完成程度的尺度。绩效评价标准具体包括：计划标准、行业标准、历史标准、其他经财政部门确认的标准。</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2.评价方法</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绩效评价方法主要采用成本效益分析法、比较法、因素分析法、最低成本法、公众评判法等。</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二、评价结论及绩效分析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（一）评价结论</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总体上看， “中职建档立卡贫困学生特别资助项目”财政支出目标明确具体，决策程序科学有效，项目管理较为完善，基本达成了项目目标和效果。</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1、项目决策</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（1）必要性：通过实施该项目能够提高建档立卡贫困家庭送子女就读中职学校的积极性，减轻建档立卡贫困家庭经济负担，保障中职建档立卡贫困学生能顺利完成学业。</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可行性：广元市利州区教育局制定了《广元市利州区教育局关于进一步做好教育扶贫资助工作的通知》（广利教函【2017】211号）、《广元市利州区教育局关于印发教育系统财务项目资助工作易发问题清单的通知》广利教函</w:t>
      </w:r>
      <w:r>
        <w:rPr>
          <w:rFonts w:hint="eastAsia" w:ascii="宋体" w:hAnsi="宋体" w:cs="宋体"/>
          <w:sz w:val="32"/>
          <w:szCs w:val="32"/>
        </w:rPr>
        <w:t>〔</w:t>
      </w:r>
      <w:r>
        <w:rPr>
          <w:rFonts w:hint="eastAsia" w:ascii="仿宋" w:hAnsi="仿宋" w:eastAsia="仿宋" w:cs="仿宋_GB2312"/>
          <w:sz w:val="32"/>
          <w:szCs w:val="32"/>
        </w:rPr>
        <w:t>2019</w:t>
      </w:r>
      <w:r>
        <w:rPr>
          <w:rFonts w:hint="eastAsia" w:ascii="宋体" w:hAnsi="宋体" w:cs="宋体"/>
          <w:sz w:val="32"/>
          <w:szCs w:val="32"/>
        </w:rPr>
        <w:t>〕</w:t>
      </w:r>
      <w:r>
        <w:rPr>
          <w:rFonts w:hint="eastAsia" w:ascii="仿宋" w:hAnsi="仿宋" w:eastAsia="仿宋" w:cs="仿宋_GB2312"/>
          <w:sz w:val="32"/>
          <w:szCs w:val="32"/>
        </w:rPr>
        <w:t>219号）为项目可行性给予了具体指导意见及管理办法。</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（3）</w:t>
      </w:r>
      <w:r>
        <w:rPr>
          <w:rFonts w:ascii="仿宋" w:hAnsi="仿宋" w:eastAsia="仿宋" w:cs="仿宋_GB2312"/>
          <w:sz w:val="32"/>
          <w:szCs w:val="32"/>
        </w:rPr>
        <w:t>绩效目标设置情况</w:t>
      </w:r>
      <w:r>
        <w:rPr>
          <w:rFonts w:hint="eastAsia" w:ascii="仿宋" w:hAnsi="仿宋" w:eastAsia="仿宋" w:cs="仿宋_GB2312"/>
          <w:sz w:val="32"/>
          <w:szCs w:val="32"/>
        </w:rPr>
        <w:t>：</w:t>
      </w:r>
    </w:p>
    <w:p>
      <w:pPr>
        <w:spacing w:line="580" w:lineRule="exact"/>
        <w:ind w:firstLine="800" w:firstLineChars="250"/>
        <w:rPr>
          <w:rFonts w:ascii="仿宋" w:hAnsi="仿宋" w:eastAsia="仿宋" w:cs="仿宋_GB2312"/>
          <w:sz w:val="32"/>
          <w:szCs w:val="32"/>
        </w:rPr>
      </w:pPr>
      <w:r>
        <w:rPr>
          <w:rFonts w:hint="eastAsia" w:ascii="仿宋" w:hAnsi="仿宋" w:eastAsia="仿宋" w:cs="仿宋_GB2312"/>
          <w:sz w:val="32"/>
          <w:szCs w:val="32"/>
        </w:rPr>
        <w:t>一是明确性：按照标准对建档立卡贫困家庭学生</w:t>
      </w:r>
      <w:r>
        <w:rPr>
          <w:rFonts w:hint="eastAsia" w:ascii="仿宋" w:hAnsi="仿宋" w:eastAsia="仿宋" w:cs="仿宋_GB2312"/>
          <w:sz w:val="32"/>
          <w:szCs w:val="32"/>
          <w:lang w:val="en-US" w:eastAsia="zh-CN"/>
        </w:rPr>
        <w:t>进行</w:t>
      </w:r>
      <w:r>
        <w:rPr>
          <w:rFonts w:hint="eastAsia" w:ascii="仿宋" w:hAnsi="仿宋" w:eastAsia="仿宋" w:cs="仿宋_GB2312"/>
          <w:sz w:val="32"/>
          <w:szCs w:val="32"/>
        </w:rPr>
        <w:t>资助，按照资金使用范围和要求，切实做到公开、公正，不虚报冒领，及时发放，确保资助工作顺利开展，绩效目标明确。二是合理性：通过该项目的实施，按政策规定标准资助建档立卡贫困家庭学生。项目实施符合省教育厅、财政厅统一安排部署，绩效目标设定符合实际需求，合理可行。</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2、项目管理</w:t>
      </w:r>
    </w:p>
    <w:p>
      <w:pPr>
        <w:spacing w:line="580" w:lineRule="exact"/>
        <w:ind w:firstLine="640" w:firstLineChars="200"/>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sz w:val="32"/>
          <w:szCs w:val="32"/>
        </w:rPr>
        <w:t>（1）资金分配：被评价项目2020年共计</w:t>
      </w:r>
      <w:r>
        <w:rPr>
          <w:rFonts w:hint="eastAsia" w:ascii="仿宋" w:hAnsi="仿宋" w:eastAsia="仿宋" w:cs="仿宋_GB2312"/>
          <w:color w:val="000000" w:themeColor="text1"/>
          <w:sz w:val="32"/>
          <w:szCs w:val="32"/>
          <w14:textFill>
            <w14:solidFill>
              <w14:schemeClr w14:val="tx1"/>
            </w14:solidFill>
          </w14:textFill>
        </w:rPr>
        <w:t>支出资金</w:t>
      </w:r>
      <w:r>
        <w:rPr>
          <w:rFonts w:hint="eastAsia" w:ascii="仿宋" w:hAnsi="仿宋" w:eastAsia="仿宋" w:cs="仿宋_GB2312"/>
          <w:color w:val="FF0000"/>
          <w:sz w:val="32"/>
          <w:szCs w:val="32"/>
        </w:rPr>
        <w:t>12.4</w:t>
      </w:r>
      <w:r>
        <w:rPr>
          <w:rFonts w:hint="eastAsia" w:ascii="仿宋" w:hAnsi="仿宋" w:eastAsia="仿宋" w:cs="仿宋_GB2312"/>
          <w:color w:val="000000" w:themeColor="text1"/>
          <w:sz w:val="32"/>
          <w:szCs w:val="32"/>
          <w14:textFill>
            <w14:solidFill>
              <w14:schemeClr w14:val="tx1"/>
            </w14:solidFill>
          </w14:textFill>
        </w:rPr>
        <w:t>万元，其中区级配套资金</w:t>
      </w:r>
      <w:r>
        <w:rPr>
          <w:rFonts w:hint="eastAsia" w:ascii="仿宋" w:hAnsi="仿宋" w:eastAsia="仿宋" w:cs="仿宋_GB2312"/>
          <w:color w:val="FF0000"/>
          <w:sz w:val="32"/>
          <w:szCs w:val="32"/>
          <w:highlight w:val="yellow"/>
        </w:rPr>
        <w:t>5.73</w:t>
      </w:r>
      <w:r>
        <w:rPr>
          <w:rFonts w:hint="eastAsia" w:ascii="仿宋" w:hAnsi="仿宋" w:eastAsia="仿宋" w:cs="仿宋_GB2312"/>
          <w:color w:val="000000" w:themeColor="text1"/>
          <w:sz w:val="32"/>
          <w:szCs w:val="32"/>
          <w14:textFill>
            <w14:solidFill>
              <w14:schemeClr w14:val="tx1"/>
            </w14:solidFill>
          </w14:textFill>
        </w:rPr>
        <w:t>万元，按要求配足配齐了相关资金。</w:t>
      </w:r>
    </w:p>
    <w:p>
      <w:pPr>
        <w:spacing w:line="580" w:lineRule="exact"/>
        <w:ind w:firstLine="640" w:firstLineChars="200"/>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（2）资金使用：项目支出真实、完整、合法，支付依据符合规定，不存在大额现金支付、虚列经费等情况。</w:t>
      </w:r>
    </w:p>
    <w:p>
      <w:pPr>
        <w:spacing w:line="580" w:lineRule="exact"/>
        <w:ind w:firstLine="640" w:firstLineChars="200"/>
        <w:rPr>
          <w:rFonts w:ascii="仿宋" w:hAnsi="仿宋" w:eastAsia="仿宋" w:cs="仿宋_GB2312"/>
          <w:color w:val="000000" w:themeColor="text1"/>
          <w:sz w:val="32"/>
          <w:szCs w:val="32"/>
          <w14:textFill>
            <w14:solidFill>
              <w14:schemeClr w14:val="tx1"/>
            </w14:solidFill>
          </w14:textFill>
        </w:rPr>
      </w:pPr>
      <w:r>
        <w:rPr>
          <w:rFonts w:ascii="仿宋" w:hAnsi="仿宋" w:eastAsia="仿宋" w:cs="仿宋_GB2312"/>
          <w:color w:val="000000" w:themeColor="text1"/>
          <w:sz w:val="32"/>
          <w:szCs w:val="32"/>
          <w14:textFill>
            <w14:solidFill>
              <w14:schemeClr w14:val="tx1"/>
            </w14:solidFill>
          </w14:textFill>
        </w:rPr>
        <w:t>3、项目绩效</w:t>
      </w:r>
    </w:p>
    <w:p>
      <w:pPr>
        <w:spacing w:line="580" w:lineRule="exact"/>
        <w:ind w:firstLine="640" w:firstLineChars="200"/>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（1）项目目标完成情况</w:t>
      </w:r>
    </w:p>
    <w:p>
      <w:pPr>
        <w:spacing w:line="580" w:lineRule="exact"/>
        <w:ind w:firstLine="640" w:firstLineChars="200"/>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完成数量方面：按照广元市利州区财政局下达的资金及学生自主申请情况，区教育局按计划完成了2020年建档立卡贫困家庭学生特别资助相关工作。截止2020年12月，资助中职（技工）学生248人次</w:t>
      </w:r>
      <w:r>
        <w:rPr>
          <w:rFonts w:hint="eastAsia" w:ascii="仿宋" w:hAnsi="仿宋" w:eastAsia="仿宋" w:cs="仿宋_GB2312"/>
          <w:color w:val="FF0000"/>
          <w:sz w:val="32"/>
          <w:szCs w:val="32"/>
        </w:rPr>
        <w:t>（春季110人次，秋季138人次）</w:t>
      </w:r>
      <w:r>
        <w:rPr>
          <w:rFonts w:hint="eastAsia" w:ascii="仿宋" w:hAnsi="仿宋" w:eastAsia="仿宋" w:cs="仿宋_GB2312"/>
          <w:color w:val="000000" w:themeColor="text1"/>
          <w:sz w:val="32"/>
          <w:szCs w:val="32"/>
          <w14:textFill>
            <w14:solidFill>
              <w14:schemeClr w14:val="tx1"/>
            </w14:solidFill>
          </w14:textFill>
        </w:rPr>
        <w:t>，与计划人数相同。</w:t>
      </w:r>
    </w:p>
    <w:p>
      <w:pPr>
        <w:spacing w:line="580" w:lineRule="exact"/>
        <w:ind w:firstLine="640" w:firstLineChars="200"/>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完成时效方面：项目资金于春季和秋季全额支付给资助对象，资助相对及时。但由于极个别学生社保卡未开通银行收付款功能，导致个别资助资金到账延后。</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（2）项目效益情况</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资助及时：本项目自资助对象确定后区财政及时下达资金预算并及时到位配套资金，发放及时。</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救助标准：按中职学生500元/期/生标准足额发放到个人账户。</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群众知晓率：区教育局通过多项措施加强政策宣传，受助学生和家长政策知晓率达到99%。</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服务对象满意度：通过部分采集市内受助对象满意度信息，整体满意度平均得分为95 %，受助对象满意度为：满意。</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三</w:t>
      </w:r>
      <w:r>
        <w:rPr>
          <w:rFonts w:ascii="仿宋" w:hAnsi="仿宋" w:eastAsia="仿宋" w:cs="仿宋_GB2312"/>
          <w:sz w:val="32"/>
          <w:szCs w:val="32"/>
        </w:rPr>
        <w:t>、存在主要问题</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资助对象信息采购不够准确，导致部分资助资金发放延迟。该项资金由受助学生本人通过资助平台网站申报后，经学校、主管部门审核后使用“广元市惠民惠农财政补贴资金社会保障卡一卡通发放监管系统”发放。但由于个别学生社保卡未开通银行收付款功能</w:t>
      </w:r>
      <w:r>
        <w:rPr>
          <w:rFonts w:hint="eastAsia" w:ascii="仿宋" w:hAnsi="仿宋" w:eastAsia="仿宋" w:cs="仿宋_GB2312"/>
          <w:sz w:val="32"/>
          <w:szCs w:val="32"/>
          <w:lang w:eastAsia="zh-CN"/>
        </w:rPr>
        <w:t>，</w:t>
      </w:r>
      <w:r>
        <w:rPr>
          <w:rFonts w:hint="eastAsia" w:ascii="仿宋" w:hAnsi="仿宋" w:eastAsia="仿宋" w:cs="仿宋_GB2312"/>
          <w:sz w:val="32"/>
          <w:szCs w:val="32"/>
          <w:lang w:val="en-US" w:eastAsia="zh-CN"/>
        </w:rPr>
        <w:t>影响资金拨付进度</w:t>
      </w:r>
      <w:r>
        <w:rPr>
          <w:rFonts w:hint="eastAsia" w:ascii="仿宋" w:hAnsi="仿宋" w:eastAsia="仿宋" w:cs="仿宋_GB2312"/>
          <w:sz w:val="32"/>
          <w:szCs w:val="32"/>
        </w:rPr>
        <w:t>。</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四</w:t>
      </w:r>
      <w:r>
        <w:rPr>
          <w:rFonts w:ascii="仿宋" w:hAnsi="仿宋" w:eastAsia="仿宋" w:cs="仿宋_GB2312"/>
          <w:sz w:val="32"/>
          <w:szCs w:val="32"/>
        </w:rPr>
        <w:t>、相关措施建议</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w:t>
      </w:r>
      <w:r>
        <w:rPr>
          <w:rFonts w:hint="eastAsia" w:ascii="仿宋_GB2312" w:hAnsi="仿宋_GB2312" w:eastAsia="仿宋_GB2312" w:cs="仿宋_GB2312"/>
          <w:sz w:val="32"/>
          <w:szCs w:val="32"/>
        </w:rPr>
        <w:t>要求辖区学校进一步加强政策宣传，力争政策知晓率达到100%。</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（二）加强学生资助账户信息核实工作。建议省资助平台进一步完善申报信息采集功能，在个人申报阶段对社保卡开通状态进行验证，保证资助资金按时到位。</w:t>
      </w:r>
    </w:p>
    <w:p>
      <w:pPr>
        <w:widowControl/>
        <w:jc w:val="left"/>
        <w:rPr>
          <w:rFonts w:ascii="仿宋" w:hAnsi="仿宋" w:eastAsia="仿宋" w:cs="仿宋_GB2312"/>
          <w:sz w:val="32"/>
          <w:szCs w:val="32"/>
        </w:rPr>
      </w:pPr>
      <w:r>
        <w:rPr>
          <w:rFonts w:ascii="仿宋" w:hAnsi="仿宋" w:eastAsia="仿宋" w:cs="仿宋_GB2312"/>
          <w:sz w:val="32"/>
          <w:szCs w:val="32"/>
        </w:rPr>
        <w:br w:type="page"/>
      </w:r>
    </w:p>
    <w:tbl>
      <w:tblPr>
        <w:tblStyle w:val="12"/>
        <w:tblW w:w="5000" w:type="pct"/>
        <w:tblInd w:w="0" w:type="dxa"/>
        <w:tblLayout w:type="autofit"/>
        <w:tblCellMar>
          <w:top w:w="0" w:type="dxa"/>
          <w:left w:w="108" w:type="dxa"/>
          <w:bottom w:w="0" w:type="dxa"/>
          <w:right w:w="108" w:type="dxa"/>
        </w:tblCellMar>
      </w:tblPr>
      <w:tblGrid>
        <w:gridCol w:w="804"/>
        <w:gridCol w:w="804"/>
        <w:gridCol w:w="804"/>
        <w:gridCol w:w="1848"/>
        <w:gridCol w:w="2131"/>
        <w:gridCol w:w="2131"/>
      </w:tblGrid>
      <w:tr>
        <w:tblPrEx>
          <w:tblCellMar>
            <w:top w:w="0" w:type="dxa"/>
            <w:left w:w="108" w:type="dxa"/>
            <w:bottom w:w="0" w:type="dxa"/>
            <w:right w:w="108" w:type="dxa"/>
          </w:tblCellMar>
        </w:tblPrEx>
        <w:trPr>
          <w:trHeight w:val="450" w:hRule="atLeast"/>
        </w:trPr>
        <w:tc>
          <w:tcPr>
            <w:tcW w:w="5000" w:type="pct"/>
            <w:gridSpan w:val="6"/>
            <w:tcBorders>
              <w:top w:val="nil"/>
              <w:left w:val="nil"/>
              <w:bottom w:val="nil"/>
              <w:right w:val="nil"/>
            </w:tcBorders>
            <w:shd w:val="clear" w:color="auto" w:fill="auto"/>
            <w:vAlign w:val="center"/>
          </w:tcPr>
          <w:p>
            <w:pPr>
              <w:widowControl/>
              <w:jc w:val="center"/>
              <w:rPr>
                <w:rFonts w:ascii="黑体" w:hAnsi="黑体" w:eastAsia="黑体" w:cs="宋体"/>
                <w:kern w:val="0"/>
                <w:sz w:val="36"/>
                <w:szCs w:val="36"/>
              </w:rPr>
            </w:pPr>
            <w:r>
              <w:rPr>
                <w:rFonts w:hint="eastAsia" w:ascii="黑体" w:hAnsi="黑体" w:eastAsia="黑体" w:cs="宋体"/>
                <w:kern w:val="0"/>
                <w:sz w:val="36"/>
                <w:szCs w:val="36"/>
              </w:rPr>
              <w:t>中职建档立卡贫困学生特别资助项目支出绩效目标完成情况表</w:t>
            </w:r>
          </w:p>
        </w:tc>
      </w:tr>
      <w:tr>
        <w:tblPrEx>
          <w:tblCellMar>
            <w:top w:w="0" w:type="dxa"/>
            <w:left w:w="108" w:type="dxa"/>
            <w:bottom w:w="0" w:type="dxa"/>
            <w:right w:w="108" w:type="dxa"/>
          </w:tblCellMar>
        </w:tblPrEx>
        <w:trPr>
          <w:trHeight w:val="450" w:hRule="atLeast"/>
        </w:trPr>
        <w:tc>
          <w:tcPr>
            <w:tcW w:w="5000" w:type="pct"/>
            <w:gridSpan w:val="6"/>
            <w:tcBorders>
              <w:top w:val="nil"/>
              <w:left w:val="nil"/>
              <w:bottom w:val="nil"/>
              <w:right w:val="nil"/>
            </w:tcBorders>
            <w:shd w:val="clear" w:color="auto" w:fill="auto"/>
            <w:vAlign w:val="center"/>
          </w:tcPr>
          <w:p>
            <w:pPr>
              <w:widowControl/>
              <w:jc w:val="center"/>
              <w:rPr>
                <w:rFonts w:ascii="宋体" w:hAnsi="宋体" w:cs="宋体"/>
                <w:kern w:val="0"/>
                <w:sz w:val="36"/>
                <w:szCs w:val="36"/>
              </w:rPr>
            </w:pPr>
            <w:r>
              <w:rPr>
                <w:rFonts w:hint="eastAsia" w:ascii="宋体" w:hAnsi="宋体" w:cs="宋体"/>
                <w:kern w:val="0"/>
                <w:sz w:val="36"/>
                <w:szCs w:val="36"/>
              </w:rPr>
              <w:t>(2020年度)</w:t>
            </w:r>
          </w:p>
        </w:tc>
      </w:tr>
      <w:tr>
        <w:tblPrEx>
          <w:tblCellMar>
            <w:top w:w="0" w:type="dxa"/>
            <w:left w:w="108" w:type="dxa"/>
            <w:bottom w:w="0" w:type="dxa"/>
            <w:right w:w="108" w:type="dxa"/>
          </w:tblCellMar>
        </w:tblPrEx>
        <w:trPr>
          <w:trHeight w:val="555" w:hRule="atLeast"/>
        </w:trPr>
        <w:tc>
          <w:tcPr>
            <w:tcW w:w="1416"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项目名称</w:t>
            </w:r>
          </w:p>
        </w:tc>
        <w:tc>
          <w:tcPr>
            <w:tcW w:w="3584"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中职建档立卡贫困学生特别资助项目</w:t>
            </w:r>
          </w:p>
        </w:tc>
      </w:tr>
      <w:tr>
        <w:tblPrEx>
          <w:tblCellMar>
            <w:top w:w="0" w:type="dxa"/>
            <w:left w:w="108" w:type="dxa"/>
            <w:bottom w:w="0" w:type="dxa"/>
            <w:right w:w="108" w:type="dxa"/>
          </w:tblCellMar>
        </w:tblPrEx>
        <w:trPr>
          <w:trHeight w:val="555" w:hRule="atLeast"/>
        </w:trPr>
        <w:tc>
          <w:tcPr>
            <w:tcW w:w="1416"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预算单位</w:t>
            </w:r>
          </w:p>
        </w:tc>
        <w:tc>
          <w:tcPr>
            <w:tcW w:w="3584"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广元市利州区教育局</w:t>
            </w:r>
          </w:p>
        </w:tc>
      </w:tr>
      <w:tr>
        <w:tblPrEx>
          <w:tblCellMar>
            <w:top w:w="0" w:type="dxa"/>
            <w:left w:w="108" w:type="dxa"/>
            <w:bottom w:w="0" w:type="dxa"/>
            <w:right w:w="108" w:type="dxa"/>
          </w:tblCellMar>
        </w:tblPrEx>
        <w:trPr>
          <w:trHeight w:val="555" w:hRule="atLeast"/>
        </w:trPr>
        <w:tc>
          <w:tcPr>
            <w:tcW w:w="472"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预算执行情况(万元)</w:t>
            </w:r>
          </w:p>
        </w:tc>
        <w:tc>
          <w:tcPr>
            <w:tcW w:w="944"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预算数:</w:t>
            </w:r>
          </w:p>
        </w:tc>
        <w:tc>
          <w:tcPr>
            <w:tcW w:w="108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FF0000"/>
                <w:kern w:val="0"/>
                <w:sz w:val="24"/>
              </w:rPr>
            </w:pPr>
            <w:r>
              <w:rPr>
                <w:rFonts w:hint="eastAsia" w:ascii="宋体" w:hAnsi="宋体" w:cs="宋体"/>
                <w:color w:val="FF0000"/>
                <w:kern w:val="0"/>
                <w:sz w:val="24"/>
              </w:rPr>
              <w:t>12.4万元</w:t>
            </w:r>
          </w:p>
        </w:tc>
        <w:tc>
          <w:tcPr>
            <w:tcW w:w="12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执行数:</w:t>
            </w:r>
          </w:p>
        </w:tc>
        <w:tc>
          <w:tcPr>
            <w:tcW w:w="12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FF0000"/>
                <w:kern w:val="0"/>
                <w:sz w:val="24"/>
              </w:rPr>
            </w:pPr>
            <w:r>
              <w:rPr>
                <w:rFonts w:hint="eastAsia" w:ascii="宋体" w:hAnsi="宋体" w:cs="宋体"/>
                <w:color w:val="FF0000"/>
                <w:kern w:val="0"/>
                <w:sz w:val="24"/>
              </w:rPr>
              <w:t>12.4万元</w:t>
            </w:r>
          </w:p>
        </w:tc>
      </w:tr>
      <w:tr>
        <w:tblPrEx>
          <w:tblCellMar>
            <w:top w:w="0" w:type="dxa"/>
            <w:left w:w="108" w:type="dxa"/>
            <w:bottom w:w="0" w:type="dxa"/>
            <w:right w:w="108" w:type="dxa"/>
          </w:tblCellMar>
        </w:tblPrEx>
        <w:trPr>
          <w:trHeight w:val="555" w:hRule="atLeast"/>
        </w:trPr>
        <w:tc>
          <w:tcPr>
            <w:tcW w:w="47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944"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其中-财政拨款:</w:t>
            </w:r>
          </w:p>
        </w:tc>
        <w:tc>
          <w:tcPr>
            <w:tcW w:w="108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FF0000"/>
                <w:kern w:val="0"/>
                <w:sz w:val="24"/>
              </w:rPr>
            </w:pPr>
            <w:r>
              <w:rPr>
                <w:rFonts w:hint="eastAsia" w:ascii="宋体" w:hAnsi="宋体" w:cs="宋体"/>
                <w:color w:val="FF0000"/>
                <w:kern w:val="0"/>
                <w:sz w:val="24"/>
              </w:rPr>
              <w:t>12.4万元</w:t>
            </w:r>
          </w:p>
        </w:tc>
        <w:tc>
          <w:tcPr>
            <w:tcW w:w="12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其中-财政拨款:</w:t>
            </w:r>
          </w:p>
        </w:tc>
        <w:tc>
          <w:tcPr>
            <w:tcW w:w="12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FF0000"/>
                <w:kern w:val="0"/>
                <w:sz w:val="24"/>
              </w:rPr>
            </w:pPr>
            <w:r>
              <w:rPr>
                <w:rFonts w:hint="eastAsia" w:ascii="宋体" w:hAnsi="宋体" w:cs="宋体"/>
                <w:color w:val="FF0000"/>
                <w:kern w:val="0"/>
                <w:sz w:val="24"/>
              </w:rPr>
              <w:t>12.4万元</w:t>
            </w:r>
          </w:p>
        </w:tc>
      </w:tr>
      <w:tr>
        <w:tblPrEx>
          <w:tblCellMar>
            <w:top w:w="0" w:type="dxa"/>
            <w:left w:w="108" w:type="dxa"/>
            <w:bottom w:w="0" w:type="dxa"/>
            <w:right w:w="108" w:type="dxa"/>
          </w:tblCellMar>
        </w:tblPrEx>
        <w:trPr>
          <w:trHeight w:val="705" w:hRule="atLeast"/>
        </w:trPr>
        <w:tc>
          <w:tcPr>
            <w:tcW w:w="47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944"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其它资金:</w:t>
            </w:r>
          </w:p>
        </w:tc>
        <w:tc>
          <w:tcPr>
            <w:tcW w:w="108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12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其它资金:</w:t>
            </w:r>
          </w:p>
        </w:tc>
        <w:tc>
          <w:tcPr>
            <w:tcW w:w="12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r>
      <w:tr>
        <w:tblPrEx>
          <w:tblCellMar>
            <w:top w:w="0" w:type="dxa"/>
            <w:left w:w="108" w:type="dxa"/>
            <w:bottom w:w="0" w:type="dxa"/>
            <w:right w:w="108" w:type="dxa"/>
          </w:tblCellMar>
        </w:tblPrEx>
        <w:trPr>
          <w:trHeight w:val="285" w:hRule="atLeast"/>
        </w:trPr>
        <w:tc>
          <w:tcPr>
            <w:tcW w:w="472"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年度目标完成情况</w:t>
            </w:r>
          </w:p>
        </w:tc>
        <w:tc>
          <w:tcPr>
            <w:tcW w:w="2028"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预期目标</w:t>
            </w:r>
          </w:p>
        </w:tc>
        <w:tc>
          <w:tcPr>
            <w:tcW w:w="2500"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实际完成目标</w:t>
            </w:r>
          </w:p>
        </w:tc>
      </w:tr>
      <w:tr>
        <w:tblPrEx>
          <w:tblCellMar>
            <w:top w:w="0" w:type="dxa"/>
            <w:left w:w="108" w:type="dxa"/>
            <w:bottom w:w="0" w:type="dxa"/>
            <w:right w:w="108" w:type="dxa"/>
          </w:tblCellMar>
        </w:tblPrEx>
        <w:trPr>
          <w:trHeight w:val="2340" w:hRule="atLeast"/>
        </w:trPr>
        <w:tc>
          <w:tcPr>
            <w:tcW w:w="47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028" w:type="pct"/>
            <w:gridSpan w:val="3"/>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本项目主要对建档立卡贫困家庭学生按政策标准进行资助，使建档立卡贫困家庭学生减轻经济负担，保障学生能够顺利完成学业，提高建档立卡贫困家庭送子女就读中等职业技术学校的积极性。项目内容及范围包括：中职建档立卡贫困家庭学生在发放中职助学金的基础上，再给予每生每学期500元（每学年1000元）的生活补助。生活补助资金由学生生源地的教育、人社部门负责组织发放，连续资助直到学业结束。</w:t>
            </w:r>
          </w:p>
        </w:tc>
        <w:tc>
          <w:tcPr>
            <w:tcW w:w="2500" w:type="pct"/>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按照广元市利州区财政局下达的资金及学生自主申请情况，区教育局按计划完成了2020年建档立卡贫困家庭学生特别资助相关工作。截止2020年12月，资助中职（技工）学生248人次，与计划人数相同。通过实施该项目能够提高建档立卡贫困家庭送子女就读高校的积极性，减轻建档立卡贫困家庭经济负担，保障建档立卡高校学生能顺利完成学业</w:t>
            </w:r>
          </w:p>
        </w:tc>
      </w:tr>
      <w:tr>
        <w:tblPrEx>
          <w:tblCellMar>
            <w:top w:w="0" w:type="dxa"/>
            <w:left w:w="108" w:type="dxa"/>
            <w:bottom w:w="0" w:type="dxa"/>
            <w:right w:w="108" w:type="dxa"/>
          </w:tblCellMar>
        </w:tblPrEx>
        <w:trPr>
          <w:trHeight w:val="570" w:hRule="atLeast"/>
        </w:trPr>
        <w:tc>
          <w:tcPr>
            <w:tcW w:w="472"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绩效指标完成情况</w:t>
            </w:r>
          </w:p>
        </w:tc>
        <w:tc>
          <w:tcPr>
            <w:tcW w:w="47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一级指标</w:t>
            </w:r>
          </w:p>
        </w:tc>
        <w:tc>
          <w:tcPr>
            <w:tcW w:w="47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二级指标</w:t>
            </w:r>
          </w:p>
        </w:tc>
        <w:tc>
          <w:tcPr>
            <w:tcW w:w="108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三级指标</w:t>
            </w:r>
          </w:p>
        </w:tc>
        <w:tc>
          <w:tcPr>
            <w:tcW w:w="12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预期指标值(包含数字及文字描述)</w:t>
            </w:r>
          </w:p>
        </w:tc>
        <w:tc>
          <w:tcPr>
            <w:tcW w:w="12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实际完成指标值(包含数字及文字描述)</w:t>
            </w:r>
          </w:p>
        </w:tc>
      </w:tr>
      <w:tr>
        <w:tblPrEx>
          <w:tblCellMar>
            <w:top w:w="0" w:type="dxa"/>
            <w:left w:w="108" w:type="dxa"/>
            <w:bottom w:w="0" w:type="dxa"/>
            <w:right w:w="108" w:type="dxa"/>
          </w:tblCellMar>
        </w:tblPrEx>
        <w:trPr>
          <w:trHeight w:val="480" w:hRule="atLeast"/>
        </w:trPr>
        <w:tc>
          <w:tcPr>
            <w:tcW w:w="47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472"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项目完成</w:t>
            </w:r>
          </w:p>
        </w:tc>
        <w:tc>
          <w:tcPr>
            <w:tcW w:w="472"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数量指标</w:t>
            </w:r>
          </w:p>
        </w:tc>
        <w:tc>
          <w:tcPr>
            <w:tcW w:w="108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资助学生数</w:t>
            </w:r>
          </w:p>
        </w:tc>
        <w:tc>
          <w:tcPr>
            <w:tcW w:w="125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资助全区建档立卡贫困户中职学生：248人次</w:t>
            </w:r>
          </w:p>
        </w:tc>
        <w:tc>
          <w:tcPr>
            <w:tcW w:w="125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全年实际资助建档立卡贫困家庭学生248人次</w:t>
            </w:r>
          </w:p>
        </w:tc>
      </w:tr>
      <w:tr>
        <w:tblPrEx>
          <w:tblCellMar>
            <w:top w:w="0" w:type="dxa"/>
            <w:left w:w="108" w:type="dxa"/>
            <w:bottom w:w="0" w:type="dxa"/>
            <w:right w:w="108" w:type="dxa"/>
          </w:tblCellMar>
        </w:tblPrEx>
        <w:trPr>
          <w:trHeight w:val="270" w:hRule="atLeast"/>
        </w:trPr>
        <w:tc>
          <w:tcPr>
            <w:tcW w:w="47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47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47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08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受助学生完成率</w:t>
            </w:r>
          </w:p>
        </w:tc>
        <w:tc>
          <w:tcPr>
            <w:tcW w:w="125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受助学生人数完成率：100%</w:t>
            </w:r>
          </w:p>
        </w:tc>
        <w:tc>
          <w:tcPr>
            <w:tcW w:w="125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受助学生人数完成率100%</w:t>
            </w:r>
          </w:p>
        </w:tc>
      </w:tr>
      <w:tr>
        <w:tblPrEx>
          <w:tblCellMar>
            <w:top w:w="0" w:type="dxa"/>
            <w:left w:w="108" w:type="dxa"/>
            <w:bottom w:w="0" w:type="dxa"/>
            <w:right w:w="108" w:type="dxa"/>
          </w:tblCellMar>
        </w:tblPrEx>
        <w:trPr>
          <w:trHeight w:val="480" w:hRule="atLeast"/>
        </w:trPr>
        <w:tc>
          <w:tcPr>
            <w:tcW w:w="47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47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47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质量指标</w:t>
            </w:r>
          </w:p>
        </w:tc>
        <w:tc>
          <w:tcPr>
            <w:tcW w:w="108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建档立卡家庭学生受助比率</w:t>
            </w:r>
          </w:p>
        </w:tc>
        <w:tc>
          <w:tcPr>
            <w:tcW w:w="125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资助全区建档立卡贫困户中职学生比例：100%</w:t>
            </w:r>
          </w:p>
        </w:tc>
        <w:tc>
          <w:tcPr>
            <w:tcW w:w="12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新入学中职学生受助比例</w:t>
            </w:r>
            <w:r>
              <w:rPr>
                <w:rFonts w:hint="eastAsia" w:ascii="宋体" w:hAnsi="宋体" w:cs="宋体"/>
                <w:color w:val="000000" w:themeColor="text1"/>
                <w:kern w:val="0"/>
                <w:sz w:val="20"/>
                <w:szCs w:val="20"/>
                <w:lang w:val="en-US" w:eastAsia="zh-CN"/>
                <w14:textFill>
                  <w14:solidFill>
                    <w14:schemeClr w14:val="tx1"/>
                  </w14:solidFill>
                </w14:textFill>
              </w:rPr>
              <w:t>100</w:t>
            </w:r>
            <w:r>
              <w:rPr>
                <w:rFonts w:hint="eastAsia" w:ascii="宋体" w:hAnsi="宋体" w:cs="宋体"/>
                <w:color w:val="000000" w:themeColor="text1"/>
                <w:kern w:val="0"/>
                <w:sz w:val="20"/>
                <w:szCs w:val="20"/>
                <w14:textFill>
                  <w14:solidFill>
                    <w14:schemeClr w14:val="tx1"/>
                  </w14:solidFill>
                </w14:textFill>
              </w:rPr>
              <w:t>%</w:t>
            </w:r>
          </w:p>
        </w:tc>
      </w:tr>
      <w:tr>
        <w:tblPrEx>
          <w:tblCellMar>
            <w:top w:w="0" w:type="dxa"/>
            <w:left w:w="108" w:type="dxa"/>
            <w:bottom w:w="0" w:type="dxa"/>
            <w:right w:w="108" w:type="dxa"/>
          </w:tblCellMar>
        </w:tblPrEx>
        <w:trPr>
          <w:trHeight w:val="480" w:hRule="atLeast"/>
        </w:trPr>
        <w:tc>
          <w:tcPr>
            <w:tcW w:w="47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47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47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时效指标</w:t>
            </w:r>
          </w:p>
        </w:tc>
        <w:tc>
          <w:tcPr>
            <w:tcW w:w="108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补助资金及时到位、足额发放</w:t>
            </w:r>
          </w:p>
        </w:tc>
        <w:tc>
          <w:tcPr>
            <w:tcW w:w="125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补助资金及时足额发放率：100%</w:t>
            </w:r>
          </w:p>
        </w:tc>
        <w:tc>
          <w:tcPr>
            <w:tcW w:w="125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补助资金及时到位</w:t>
            </w:r>
          </w:p>
        </w:tc>
      </w:tr>
      <w:tr>
        <w:tblPrEx>
          <w:tblCellMar>
            <w:top w:w="0" w:type="dxa"/>
            <w:left w:w="108" w:type="dxa"/>
            <w:bottom w:w="0" w:type="dxa"/>
            <w:right w:w="108" w:type="dxa"/>
          </w:tblCellMar>
        </w:tblPrEx>
        <w:trPr>
          <w:trHeight w:val="480" w:hRule="atLeast"/>
        </w:trPr>
        <w:tc>
          <w:tcPr>
            <w:tcW w:w="47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47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47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成本指标</w:t>
            </w:r>
          </w:p>
        </w:tc>
        <w:tc>
          <w:tcPr>
            <w:tcW w:w="108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按标准拨付补助资金</w:t>
            </w:r>
          </w:p>
        </w:tc>
        <w:tc>
          <w:tcPr>
            <w:tcW w:w="125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受助学生享受资金资助标准：1000元/生/年</w:t>
            </w:r>
          </w:p>
        </w:tc>
        <w:tc>
          <w:tcPr>
            <w:tcW w:w="125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补助资金按标准拨付</w:t>
            </w:r>
          </w:p>
        </w:tc>
      </w:tr>
      <w:tr>
        <w:tblPrEx>
          <w:tblCellMar>
            <w:top w:w="0" w:type="dxa"/>
            <w:left w:w="108" w:type="dxa"/>
            <w:bottom w:w="0" w:type="dxa"/>
            <w:right w:w="108" w:type="dxa"/>
          </w:tblCellMar>
        </w:tblPrEx>
        <w:trPr>
          <w:trHeight w:val="480" w:hRule="atLeast"/>
        </w:trPr>
        <w:tc>
          <w:tcPr>
            <w:tcW w:w="47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472"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项目效益</w:t>
            </w:r>
          </w:p>
        </w:tc>
        <w:tc>
          <w:tcPr>
            <w:tcW w:w="47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经济效益</w:t>
            </w:r>
            <w:r>
              <w:rPr>
                <w:rFonts w:hint="eastAsia" w:ascii="宋体" w:hAnsi="宋体" w:cs="宋体"/>
                <w:kern w:val="0"/>
                <w:sz w:val="20"/>
                <w:szCs w:val="20"/>
              </w:rPr>
              <w:br w:type="textWrapping"/>
            </w:r>
            <w:r>
              <w:rPr>
                <w:rFonts w:hint="eastAsia" w:ascii="宋体" w:hAnsi="宋体" w:cs="宋体"/>
                <w:kern w:val="0"/>
                <w:sz w:val="20"/>
                <w:szCs w:val="20"/>
              </w:rPr>
              <w:t>指标</w:t>
            </w:r>
          </w:p>
        </w:tc>
        <w:tc>
          <w:tcPr>
            <w:tcW w:w="108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增加建档立卡家庭经济收入</w:t>
            </w:r>
          </w:p>
        </w:tc>
        <w:tc>
          <w:tcPr>
            <w:tcW w:w="125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增加建档立卡贫困家庭经济收入：0.1万元</w:t>
            </w:r>
          </w:p>
        </w:tc>
        <w:tc>
          <w:tcPr>
            <w:tcW w:w="125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建档立卡家庭经济收入增加0.1万元/年</w:t>
            </w:r>
          </w:p>
        </w:tc>
      </w:tr>
      <w:tr>
        <w:tblPrEx>
          <w:tblCellMar>
            <w:top w:w="0" w:type="dxa"/>
            <w:left w:w="108" w:type="dxa"/>
            <w:bottom w:w="0" w:type="dxa"/>
            <w:right w:w="108" w:type="dxa"/>
          </w:tblCellMar>
        </w:tblPrEx>
        <w:trPr>
          <w:trHeight w:val="1200" w:hRule="atLeast"/>
        </w:trPr>
        <w:tc>
          <w:tcPr>
            <w:tcW w:w="47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47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472"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社会效益</w:t>
            </w:r>
            <w:r>
              <w:rPr>
                <w:rFonts w:hint="eastAsia" w:ascii="宋体" w:hAnsi="宋体" w:cs="宋体"/>
                <w:kern w:val="0"/>
                <w:sz w:val="20"/>
                <w:szCs w:val="20"/>
              </w:rPr>
              <w:br w:type="textWrapping"/>
            </w:r>
            <w:r>
              <w:rPr>
                <w:rFonts w:hint="eastAsia" w:ascii="宋体" w:hAnsi="宋体" w:cs="宋体"/>
                <w:kern w:val="0"/>
                <w:sz w:val="20"/>
                <w:szCs w:val="20"/>
              </w:rPr>
              <w:t>指标</w:t>
            </w:r>
          </w:p>
        </w:tc>
        <w:tc>
          <w:tcPr>
            <w:tcW w:w="108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减轻建档立卡家庭教育负担</w:t>
            </w:r>
          </w:p>
        </w:tc>
        <w:tc>
          <w:tcPr>
            <w:tcW w:w="125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减轻建档立卡贫困学生家庭负担，确保学生顺利完成学业</w:t>
            </w:r>
          </w:p>
        </w:tc>
        <w:tc>
          <w:tcPr>
            <w:tcW w:w="12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通过实施该项目有效提高建档立卡贫困家庭送子女就读高校的积极性，减轻建档立卡贫困家庭经济负担，保障建档立卡高校学生能顺利完成学业。</w:t>
            </w:r>
          </w:p>
        </w:tc>
      </w:tr>
      <w:tr>
        <w:tblPrEx>
          <w:tblCellMar>
            <w:top w:w="0" w:type="dxa"/>
            <w:left w:w="108" w:type="dxa"/>
            <w:bottom w:w="0" w:type="dxa"/>
            <w:right w:w="108" w:type="dxa"/>
          </w:tblCellMar>
        </w:tblPrEx>
        <w:trPr>
          <w:trHeight w:val="270" w:hRule="atLeast"/>
        </w:trPr>
        <w:tc>
          <w:tcPr>
            <w:tcW w:w="47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47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47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08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群众政策知晓率</w:t>
            </w:r>
          </w:p>
        </w:tc>
        <w:tc>
          <w:tcPr>
            <w:tcW w:w="125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政策知晓率：95%</w:t>
            </w:r>
          </w:p>
        </w:tc>
        <w:tc>
          <w:tcPr>
            <w:tcW w:w="12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政策知晓率99%</w:t>
            </w:r>
          </w:p>
        </w:tc>
      </w:tr>
      <w:tr>
        <w:tblPrEx>
          <w:tblCellMar>
            <w:top w:w="0" w:type="dxa"/>
            <w:left w:w="108" w:type="dxa"/>
            <w:bottom w:w="0" w:type="dxa"/>
            <w:right w:w="108" w:type="dxa"/>
          </w:tblCellMar>
        </w:tblPrEx>
        <w:trPr>
          <w:trHeight w:val="270" w:hRule="atLeast"/>
        </w:trPr>
        <w:tc>
          <w:tcPr>
            <w:tcW w:w="47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47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472"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可持续影响</w:t>
            </w:r>
            <w:r>
              <w:rPr>
                <w:rFonts w:hint="eastAsia" w:ascii="宋体" w:hAnsi="宋体" w:cs="宋体"/>
                <w:kern w:val="0"/>
                <w:sz w:val="20"/>
                <w:szCs w:val="20"/>
              </w:rPr>
              <w:br w:type="textWrapping"/>
            </w:r>
            <w:r>
              <w:rPr>
                <w:rFonts w:hint="eastAsia" w:ascii="宋体" w:hAnsi="宋体" w:cs="宋体"/>
                <w:kern w:val="0"/>
                <w:sz w:val="20"/>
                <w:szCs w:val="20"/>
              </w:rPr>
              <w:t>指标</w:t>
            </w:r>
          </w:p>
        </w:tc>
        <w:tc>
          <w:tcPr>
            <w:tcW w:w="108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受助年限</w:t>
            </w:r>
          </w:p>
        </w:tc>
        <w:tc>
          <w:tcPr>
            <w:tcW w:w="125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生活费补助资助年限：3年</w:t>
            </w:r>
          </w:p>
        </w:tc>
        <w:tc>
          <w:tcPr>
            <w:tcW w:w="125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中职（专）受助年限3年</w:t>
            </w:r>
          </w:p>
        </w:tc>
      </w:tr>
      <w:tr>
        <w:tblPrEx>
          <w:tblCellMar>
            <w:top w:w="0" w:type="dxa"/>
            <w:left w:w="108" w:type="dxa"/>
            <w:bottom w:w="0" w:type="dxa"/>
            <w:right w:w="108" w:type="dxa"/>
          </w:tblCellMar>
        </w:tblPrEx>
        <w:trPr>
          <w:trHeight w:val="1200" w:hRule="atLeast"/>
        </w:trPr>
        <w:tc>
          <w:tcPr>
            <w:tcW w:w="47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47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47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08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对社会经济发展的可持续影响</w:t>
            </w:r>
          </w:p>
        </w:tc>
        <w:tc>
          <w:tcPr>
            <w:tcW w:w="125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对社会、经济发展可持续影响：100%</w:t>
            </w:r>
          </w:p>
        </w:tc>
        <w:tc>
          <w:tcPr>
            <w:tcW w:w="125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通过实施“中职建档立卡学生特别资助项目”，全面推进脱贫攻坚，坚持扶贫先扶智、治穷先治愚，阻断贫困代际传递，实现脱贫奔康。</w:t>
            </w:r>
          </w:p>
        </w:tc>
      </w:tr>
      <w:tr>
        <w:tblPrEx>
          <w:tblCellMar>
            <w:top w:w="0" w:type="dxa"/>
            <w:left w:w="108" w:type="dxa"/>
            <w:bottom w:w="0" w:type="dxa"/>
            <w:right w:w="108" w:type="dxa"/>
          </w:tblCellMar>
        </w:tblPrEx>
        <w:trPr>
          <w:trHeight w:val="480" w:hRule="atLeast"/>
        </w:trPr>
        <w:tc>
          <w:tcPr>
            <w:tcW w:w="47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472"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满意度指标</w:t>
            </w:r>
          </w:p>
        </w:tc>
        <w:tc>
          <w:tcPr>
            <w:tcW w:w="472"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满意度指标</w:t>
            </w:r>
          </w:p>
        </w:tc>
        <w:tc>
          <w:tcPr>
            <w:tcW w:w="108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学生满意度</w:t>
            </w:r>
          </w:p>
        </w:tc>
        <w:tc>
          <w:tcPr>
            <w:tcW w:w="125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建档立卡贫困户享受补助学生满意度：95%</w:t>
            </w:r>
          </w:p>
        </w:tc>
        <w:tc>
          <w:tcPr>
            <w:tcW w:w="125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学生满意度98%</w:t>
            </w:r>
          </w:p>
        </w:tc>
      </w:tr>
      <w:tr>
        <w:tblPrEx>
          <w:tblCellMar>
            <w:top w:w="0" w:type="dxa"/>
            <w:left w:w="108" w:type="dxa"/>
            <w:bottom w:w="0" w:type="dxa"/>
            <w:right w:w="108" w:type="dxa"/>
          </w:tblCellMar>
        </w:tblPrEx>
        <w:trPr>
          <w:trHeight w:val="480" w:hRule="atLeast"/>
        </w:trPr>
        <w:tc>
          <w:tcPr>
            <w:tcW w:w="47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47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47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08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家长满意度</w:t>
            </w:r>
          </w:p>
        </w:tc>
        <w:tc>
          <w:tcPr>
            <w:tcW w:w="125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建档立卡贫困户享受补助家长满意度：90%</w:t>
            </w:r>
          </w:p>
        </w:tc>
        <w:tc>
          <w:tcPr>
            <w:tcW w:w="125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家长满意度95%</w:t>
            </w:r>
          </w:p>
        </w:tc>
      </w:tr>
    </w:tbl>
    <w:p>
      <w:pPr>
        <w:rPr>
          <w:rStyle w:val="24"/>
          <w:rFonts w:ascii="仿宋" w:hAnsi="仿宋" w:eastAsia="仿宋"/>
          <w:sz w:val="32"/>
        </w:rPr>
      </w:pPr>
      <w:r>
        <w:rPr>
          <w:rStyle w:val="24"/>
          <w:rFonts w:hint="eastAsia" w:ascii="仿宋" w:hAnsi="仿宋" w:eastAsia="仿宋"/>
          <w:sz w:val="32"/>
        </w:rPr>
        <w:br w:type="page"/>
      </w:r>
    </w:p>
    <w:bookmarkEnd w:id="71"/>
    <w:p>
      <w:pPr>
        <w:widowControl/>
        <w:jc w:val="left"/>
        <w:rPr>
          <w:rStyle w:val="24"/>
          <w:rFonts w:ascii="仿宋" w:hAnsi="仿宋" w:eastAsia="仿宋"/>
          <w:sz w:val="32"/>
        </w:rPr>
      </w:pPr>
      <w:r>
        <w:rPr>
          <w:rStyle w:val="24"/>
          <w:rFonts w:hint="eastAsia" w:ascii="仿宋" w:hAnsi="仿宋" w:eastAsia="仿宋"/>
          <w:sz w:val="32"/>
        </w:rPr>
        <w:t>附件4</w:t>
      </w:r>
    </w:p>
    <w:p>
      <w:pPr>
        <w:spacing w:line="580" w:lineRule="exact"/>
        <w:jc w:val="center"/>
        <w:rPr>
          <w:rFonts w:ascii="黑体" w:hAnsi="黑体" w:eastAsia="黑体" w:cs="方正小标宋简体"/>
          <w:sz w:val="44"/>
          <w:szCs w:val="44"/>
        </w:rPr>
      </w:pPr>
      <w:r>
        <w:rPr>
          <w:rFonts w:hint="eastAsia" w:ascii="黑体" w:hAnsi="黑体" w:eastAsia="黑体" w:cs="方正小标宋简体"/>
          <w:sz w:val="44"/>
          <w:szCs w:val="44"/>
        </w:rPr>
        <w:t>2020年学生营养改善计划项目支出</w:t>
      </w:r>
    </w:p>
    <w:p>
      <w:pPr>
        <w:spacing w:line="580" w:lineRule="exact"/>
        <w:jc w:val="center"/>
        <w:rPr>
          <w:rFonts w:ascii="黑体" w:hAnsi="黑体" w:eastAsia="黑体" w:cs="方正小标宋简体"/>
          <w:sz w:val="44"/>
          <w:szCs w:val="44"/>
        </w:rPr>
      </w:pPr>
      <w:r>
        <w:rPr>
          <w:rFonts w:hint="eastAsia" w:ascii="黑体" w:hAnsi="黑体" w:eastAsia="黑体" w:cs="方正小标宋简体"/>
          <w:sz w:val="44"/>
          <w:szCs w:val="44"/>
        </w:rPr>
        <w:t>绩效评价报告</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w:t>
      </w:r>
      <w:r>
        <w:rPr>
          <w:rFonts w:ascii="仿宋" w:hAnsi="仿宋" w:eastAsia="仿宋" w:cs="仿宋_GB2312"/>
          <w:sz w:val="32"/>
          <w:szCs w:val="32"/>
        </w:rPr>
        <w:t>、评价工作开展及项目情况</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（一）项目选点</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利州区学生营养改善计划项目已实施9个年度（2012年开始实施），本次绩效评价期间为2020年度。</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本项目主要对农村义务教育阶段学校根据《四川省教育厅关于追加下达地方试点县2015年农村义务教育学生营养改善计划提标省级补助资金预算的通知》（川财教【2015】10号）文件要求，按照每人每天</w:t>
      </w:r>
      <w:r>
        <w:rPr>
          <w:rFonts w:hint="eastAsia" w:ascii="仿宋" w:hAnsi="仿宋" w:eastAsia="仿宋" w:cs="仿宋_GB2312"/>
          <w:color w:val="FF0000"/>
          <w:sz w:val="32"/>
          <w:szCs w:val="32"/>
        </w:rPr>
        <w:t>4</w:t>
      </w:r>
      <w:r>
        <w:rPr>
          <w:rFonts w:hint="eastAsia" w:ascii="仿宋" w:hAnsi="仿宋" w:eastAsia="仿宋" w:cs="仿宋_GB2312"/>
          <w:sz w:val="32"/>
          <w:szCs w:val="32"/>
        </w:rPr>
        <w:t>元标准进行补助。全区纳入补助范围学</w:t>
      </w:r>
      <w:r>
        <w:rPr>
          <w:rFonts w:hint="eastAsia" w:ascii="仿宋" w:hAnsi="仿宋" w:eastAsia="仿宋" w:cs="仿宋_GB2312"/>
          <w:sz w:val="32"/>
          <w:szCs w:val="32"/>
          <w:highlight w:val="none"/>
        </w:rPr>
        <w:t>校</w:t>
      </w:r>
      <w:r>
        <w:rPr>
          <w:rFonts w:hint="eastAsia" w:ascii="仿宋" w:hAnsi="仿宋" w:eastAsia="仿宋" w:cs="仿宋_GB2312"/>
          <w:color w:val="000000" w:themeColor="text1"/>
          <w:sz w:val="32"/>
          <w:szCs w:val="32"/>
          <w:highlight w:val="none"/>
          <w14:textFill>
            <w14:solidFill>
              <w14:schemeClr w14:val="tx1"/>
            </w14:solidFill>
          </w14:textFill>
        </w:rPr>
        <w:t>共</w:t>
      </w:r>
      <w:r>
        <w:rPr>
          <w:rFonts w:hint="eastAsia" w:ascii="仿宋" w:hAnsi="仿宋" w:eastAsia="仿宋" w:cs="仿宋_GB2312"/>
          <w:color w:val="FF0000"/>
          <w:sz w:val="32"/>
          <w:szCs w:val="32"/>
          <w:highlight w:val="none"/>
        </w:rPr>
        <w:t>38</w:t>
      </w:r>
      <w:r>
        <w:rPr>
          <w:rFonts w:hint="eastAsia" w:ascii="仿宋" w:hAnsi="仿宋" w:eastAsia="仿宋" w:cs="仿宋_GB2312"/>
          <w:color w:val="000000" w:themeColor="text1"/>
          <w:sz w:val="32"/>
          <w:szCs w:val="32"/>
          <w:highlight w:val="none"/>
          <w14:textFill>
            <w14:solidFill>
              <w14:schemeClr w14:val="tx1"/>
            </w14:solidFill>
          </w14:textFill>
        </w:rPr>
        <w:t>所，受补助学生</w:t>
      </w:r>
      <w:r>
        <w:rPr>
          <w:rFonts w:ascii="仿宋" w:hAnsi="仿宋" w:eastAsia="仿宋" w:cs="仿宋_GB2312"/>
          <w:color w:val="FF0000"/>
          <w:sz w:val="32"/>
          <w:szCs w:val="32"/>
          <w:highlight w:val="none"/>
        </w:rPr>
        <w:t>16191</w:t>
      </w:r>
      <w:r>
        <w:rPr>
          <w:rFonts w:hint="eastAsia" w:ascii="仿宋" w:hAnsi="仿宋" w:eastAsia="仿宋" w:cs="仿宋_GB2312"/>
          <w:color w:val="000000" w:themeColor="text1"/>
          <w:sz w:val="32"/>
          <w:szCs w:val="32"/>
          <w:highlight w:val="none"/>
          <w14:textFill>
            <w14:solidFill>
              <w14:schemeClr w14:val="tx1"/>
            </w14:solidFill>
          </w14:textFill>
        </w:rPr>
        <w:t>人，</w:t>
      </w:r>
      <w:r>
        <w:rPr>
          <w:rFonts w:hint="eastAsia" w:ascii="仿宋" w:hAnsi="仿宋" w:eastAsia="仿宋" w:cs="仿宋_GB2312"/>
          <w:sz w:val="32"/>
          <w:szCs w:val="32"/>
        </w:rPr>
        <w:t>全部采用食堂供餐模式。项目资金由中央、省、市、区四级财政共同分担。</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通过项目的实施进一步贯彻落实了《国务院办公厅关于实施农村义务教育学生营养改善计划的意见》（国办发【2011】54号）、《四川省人民政府办公厅关于实施农村义务教育学生营养改善计划地方试点工作的通知》（川办发【2012】21号）和省、市相关会议精神，切实改善我区农村学生营养状况，提高农村学生健康水平。</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（二）绩效评价指标体系</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绩效评价指标是指衡量绩效目标实现程度的考核工具。绩效评价指标的确定应当遵循以下原则：相关性原则、重要性原则、可比性原则、系统性原则、经济性原则。绩效评价指标分为共性指标和个性指标，共性指标由财政部门统一制定，个性指标由财政部门会同预算部门制定。</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被评价项目绩效评价指标体系设置</w:t>
      </w:r>
      <w:r>
        <w:rPr>
          <w:rFonts w:hint="eastAsia" w:ascii="仿宋" w:hAnsi="仿宋" w:eastAsia="仿宋" w:cs="仿宋_GB2312"/>
          <w:sz w:val="32"/>
          <w:szCs w:val="32"/>
          <w:lang w:val="en-US" w:eastAsia="zh-CN"/>
        </w:rPr>
        <w:t>3</w:t>
      </w:r>
      <w:r>
        <w:rPr>
          <w:rFonts w:hint="eastAsia" w:ascii="仿宋" w:hAnsi="仿宋" w:eastAsia="仿宋" w:cs="仿宋_GB2312"/>
          <w:sz w:val="32"/>
          <w:szCs w:val="32"/>
        </w:rPr>
        <w:t>个一级指标、</w:t>
      </w:r>
      <w:r>
        <w:rPr>
          <w:rFonts w:hint="eastAsia" w:ascii="仿宋" w:hAnsi="仿宋" w:eastAsia="仿宋" w:cs="仿宋_GB2312"/>
          <w:sz w:val="32"/>
          <w:szCs w:val="32"/>
          <w:lang w:val="en-US" w:eastAsia="zh-CN"/>
        </w:rPr>
        <w:t>8</w:t>
      </w:r>
      <w:r>
        <w:rPr>
          <w:rFonts w:hint="eastAsia" w:ascii="仿宋" w:hAnsi="仿宋" w:eastAsia="仿宋" w:cs="仿宋_GB2312"/>
          <w:sz w:val="32"/>
          <w:szCs w:val="32"/>
        </w:rPr>
        <w:t>个二级指标、</w:t>
      </w:r>
      <w:r>
        <w:rPr>
          <w:rFonts w:hint="eastAsia" w:ascii="仿宋" w:hAnsi="仿宋" w:eastAsia="仿宋" w:cs="仿宋_GB2312"/>
          <w:sz w:val="32"/>
          <w:szCs w:val="32"/>
          <w:lang w:val="en-US" w:eastAsia="zh-CN"/>
        </w:rPr>
        <w:t>15</w:t>
      </w:r>
      <w:r>
        <w:rPr>
          <w:rFonts w:hint="eastAsia" w:ascii="仿宋" w:hAnsi="仿宋" w:eastAsia="仿宋" w:cs="仿宋_GB2312"/>
          <w:sz w:val="32"/>
          <w:szCs w:val="32"/>
        </w:rPr>
        <w:t>个三级指标。</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（1）一级指标：设置了项目完成、项目效益、满意度指标</w:t>
      </w:r>
      <w:r>
        <w:rPr>
          <w:rFonts w:hint="eastAsia" w:ascii="仿宋" w:hAnsi="仿宋" w:eastAsia="仿宋" w:cs="仿宋_GB2312"/>
          <w:sz w:val="32"/>
          <w:szCs w:val="32"/>
          <w:lang w:val="en-US" w:eastAsia="zh-CN"/>
        </w:rPr>
        <w:t>3</w:t>
      </w:r>
      <w:r>
        <w:rPr>
          <w:rFonts w:hint="eastAsia" w:ascii="仿宋" w:hAnsi="仿宋" w:eastAsia="仿宋" w:cs="仿宋_GB2312"/>
          <w:sz w:val="32"/>
          <w:szCs w:val="32"/>
        </w:rPr>
        <w:t>个。</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（2）二级指标：项目完成设置了数量目标、质量指标、时效指标和成本指标</w:t>
      </w:r>
      <w:r>
        <w:rPr>
          <w:rFonts w:hint="eastAsia" w:ascii="仿宋" w:hAnsi="仿宋" w:eastAsia="仿宋" w:cs="仿宋_GB2312"/>
          <w:sz w:val="32"/>
          <w:szCs w:val="32"/>
          <w:lang w:val="en-US" w:eastAsia="zh-CN"/>
        </w:rPr>
        <w:t>4</w:t>
      </w:r>
      <w:r>
        <w:rPr>
          <w:rFonts w:hint="eastAsia" w:ascii="仿宋" w:hAnsi="仿宋" w:eastAsia="仿宋" w:cs="仿宋_GB2312"/>
          <w:sz w:val="32"/>
          <w:szCs w:val="32"/>
        </w:rPr>
        <w:t>个，项目效益设置经济效益、社会效益和可持续影响指标</w:t>
      </w:r>
      <w:r>
        <w:rPr>
          <w:rFonts w:hint="eastAsia" w:ascii="仿宋" w:hAnsi="仿宋" w:eastAsia="仿宋" w:cs="仿宋_GB2312"/>
          <w:sz w:val="32"/>
          <w:szCs w:val="32"/>
          <w:lang w:val="en-US" w:eastAsia="zh-CN"/>
        </w:rPr>
        <w:t>3</w:t>
      </w:r>
      <w:r>
        <w:rPr>
          <w:rFonts w:hint="eastAsia" w:ascii="仿宋" w:hAnsi="仿宋" w:eastAsia="仿宋" w:cs="仿宋_GB2312"/>
          <w:sz w:val="32"/>
          <w:szCs w:val="32"/>
        </w:rPr>
        <w:t>个，满意度指标设置社会满意度指标</w:t>
      </w:r>
      <w:r>
        <w:rPr>
          <w:rFonts w:hint="eastAsia" w:ascii="仿宋" w:hAnsi="仿宋" w:eastAsia="仿宋" w:cs="仿宋_GB2312"/>
          <w:sz w:val="32"/>
          <w:szCs w:val="32"/>
          <w:lang w:val="en-US" w:eastAsia="zh-CN"/>
        </w:rPr>
        <w:t>1</w:t>
      </w:r>
      <w:r>
        <w:rPr>
          <w:rFonts w:hint="eastAsia" w:ascii="仿宋" w:hAnsi="仿宋" w:eastAsia="仿宋" w:cs="仿宋_GB2312"/>
          <w:sz w:val="32"/>
          <w:szCs w:val="32"/>
        </w:rPr>
        <w:t>个。</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3）三级指标：数量指标设置资助总数和建档立卡学生补助人数2个，质量指标设置补助人数比例和建档立卡补助人数比例指标2个；时效指标设置补助及时指标1个，成本指标设置人均补助标准指标1个，经济效益指标设置增收指标1个；社会效益设置减轻教育负担、提高健康水平和政策知晓率指标3个；可持续影响指标设置小学资助年限、初中资助年限和可持续发展影响指标3个；社会满意度指标设置学生满意度、家长满意度指标2个。</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（三）评价标准和评价方法</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1.评价标准</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绩效评价标准是指衡量财政支出绩效目标完成程度的尺度。绩效评价标准具体包括：计划标准、行业标准、历史标准、其他经财政部门确认的标准。</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2.评价方法</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绩效评价方法主要采用成本效益分析法、比较法、因素分析法、最低成本法、公众评判法等。</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w:t>
      </w:r>
      <w:r>
        <w:rPr>
          <w:rFonts w:ascii="仿宋" w:hAnsi="仿宋" w:eastAsia="仿宋" w:cs="仿宋_GB2312"/>
          <w:sz w:val="32"/>
          <w:szCs w:val="32"/>
        </w:rPr>
        <w:t>、评价结论及绩效分析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（一）评价结论</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2020年度农村义务教育阶段学校营养改善计划项目实现了农村义务教育阶段学校营养改善计划全覆盖，项目受益学生</w:t>
      </w:r>
      <w:r>
        <w:rPr>
          <w:rFonts w:ascii="仿宋" w:hAnsi="仿宋" w:eastAsia="仿宋" w:cs="仿宋_GB2312"/>
          <w:color w:val="FF0000"/>
          <w:sz w:val="32"/>
          <w:szCs w:val="32"/>
          <w:highlight w:val="yellow"/>
        </w:rPr>
        <w:t>16191</w:t>
      </w:r>
      <w:r>
        <w:rPr>
          <w:rFonts w:hint="eastAsia" w:ascii="仿宋" w:hAnsi="仿宋" w:eastAsia="仿宋" w:cs="仿宋_GB2312"/>
          <w:color w:val="000000" w:themeColor="text1"/>
          <w:sz w:val="32"/>
          <w:szCs w:val="32"/>
          <w14:textFill>
            <w14:solidFill>
              <w14:schemeClr w14:val="tx1"/>
            </w14:solidFill>
          </w14:textFill>
        </w:rPr>
        <w:t>人，补助资金</w:t>
      </w:r>
      <w:r>
        <w:rPr>
          <w:rFonts w:hint="eastAsia" w:ascii="仿宋" w:hAnsi="仿宋" w:eastAsia="仿宋" w:cs="仿宋_GB2312"/>
          <w:color w:val="0070C0"/>
          <w:sz w:val="32"/>
          <w:szCs w:val="32"/>
        </w:rPr>
        <w:t>951.56</w:t>
      </w:r>
      <w:r>
        <w:rPr>
          <w:rFonts w:hint="eastAsia" w:ascii="仿宋" w:hAnsi="仿宋" w:eastAsia="仿宋" w:cs="仿宋_GB2312"/>
          <w:color w:val="000000" w:themeColor="text1"/>
          <w:sz w:val="32"/>
          <w:szCs w:val="32"/>
          <w14:textFill>
            <w14:solidFill>
              <w14:schemeClr w14:val="tx1"/>
            </w14:solidFill>
          </w14:textFill>
        </w:rPr>
        <w:t>万元，食堂供餐率达到</w:t>
      </w:r>
      <w:r>
        <w:rPr>
          <w:rFonts w:hint="eastAsia" w:ascii="仿宋" w:hAnsi="仿宋" w:eastAsia="仿宋" w:cs="仿宋_GB2312"/>
          <w:color w:val="FF0000"/>
          <w:sz w:val="32"/>
          <w:szCs w:val="32"/>
        </w:rPr>
        <w:t>100%</w:t>
      </w:r>
      <w:r>
        <w:rPr>
          <w:rFonts w:hint="eastAsia" w:ascii="仿宋" w:hAnsi="仿宋" w:eastAsia="仿宋" w:cs="仿宋_GB2312"/>
          <w:color w:val="000000" w:themeColor="text1"/>
          <w:sz w:val="32"/>
          <w:szCs w:val="32"/>
          <w14:textFill>
            <w14:solidFill>
              <w14:schemeClr w14:val="tx1"/>
            </w14:solidFill>
          </w14:textFill>
        </w:rPr>
        <w:t>。项目目标明确、资金到位率高、资金使用规范、组织监管体系完善，项目质量达到相关行业标准，符合经济社会发展和</w:t>
      </w:r>
      <w:r>
        <w:rPr>
          <w:rFonts w:hint="eastAsia" w:ascii="仿宋" w:hAnsi="仿宋" w:eastAsia="仿宋" w:cs="仿宋_GB2312"/>
          <w:sz w:val="32"/>
          <w:szCs w:val="32"/>
        </w:rPr>
        <w:t>客观实际的要求，达到预期绩效目标要求。</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1、项目决策</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（1）必要性：该项目进一步贯彻落实了《国务院办公厅关于实施农村义务教育学生营养改善计划的意见》（国办发</w:t>
      </w:r>
      <w:r>
        <w:rPr>
          <w:rFonts w:hint="eastAsia" w:ascii="宋体" w:hAnsi="宋体" w:eastAsia="宋体" w:cs="宋体"/>
          <w:sz w:val="32"/>
          <w:szCs w:val="32"/>
        </w:rPr>
        <w:t>〔</w:t>
      </w:r>
      <w:r>
        <w:rPr>
          <w:rFonts w:hint="eastAsia" w:ascii="仿宋" w:hAnsi="仿宋" w:eastAsia="仿宋" w:cs="仿宋_GB2312"/>
          <w:sz w:val="32"/>
          <w:szCs w:val="32"/>
        </w:rPr>
        <w:t>2011</w:t>
      </w:r>
      <w:r>
        <w:rPr>
          <w:rFonts w:hint="eastAsia" w:ascii="宋体" w:hAnsi="宋体" w:eastAsia="宋体" w:cs="宋体"/>
          <w:sz w:val="32"/>
          <w:szCs w:val="32"/>
        </w:rPr>
        <w:t>〕</w:t>
      </w:r>
      <w:r>
        <w:rPr>
          <w:rFonts w:hint="eastAsia" w:ascii="仿宋" w:hAnsi="仿宋" w:eastAsia="仿宋" w:cs="仿宋_GB2312"/>
          <w:sz w:val="32"/>
          <w:szCs w:val="32"/>
        </w:rPr>
        <w:t>54号）、《四川省人民政府办公厅关于实施农村义务教育学生营养改善计划地方试点工作的通知》（川办发</w:t>
      </w:r>
      <w:r>
        <w:rPr>
          <w:rFonts w:hint="eastAsia" w:ascii="宋体" w:hAnsi="宋体" w:eastAsia="宋体" w:cs="宋体"/>
          <w:sz w:val="32"/>
          <w:szCs w:val="32"/>
        </w:rPr>
        <w:t>〔</w:t>
      </w:r>
      <w:r>
        <w:rPr>
          <w:rFonts w:hint="eastAsia" w:ascii="仿宋" w:hAnsi="仿宋" w:eastAsia="仿宋" w:cs="仿宋_GB2312"/>
          <w:sz w:val="32"/>
          <w:szCs w:val="32"/>
        </w:rPr>
        <w:t>2012</w:t>
      </w:r>
      <w:r>
        <w:rPr>
          <w:rFonts w:hint="eastAsia" w:ascii="宋体" w:hAnsi="宋体" w:eastAsia="宋体" w:cs="宋体"/>
          <w:sz w:val="32"/>
          <w:szCs w:val="32"/>
        </w:rPr>
        <w:t>〕</w:t>
      </w:r>
      <w:r>
        <w:rPr>
          <w:rFonts w:hint="eastAsia" w:ascii="仿宋" w:hAnsi="仿宋" w:eastAsia="仿宋" w:cs="仿宋_GB2312"/>
          <w:sz w:val="32"/>
          <w:szCs w:val="32"/>
        </w:rPr>
        <w:t>21号）文件要求。改善了农村学生营养状况，促进了学生身心健康的发展，有力支持了教育事业的发展，</w:t>
      </w:r>
      <w:bookmarkStart w:id="72" w:name="OLE_LINK4"/>
      <w:r>
        <w:rPr>
          <w:rFonts w:hint="eastAsia" w:ascii="仿宋" w:hAnsi="仿宋" w:eastAsia="仿宋" w:cs="仿宋_GB2312"/>
          <w:sz w:val="32"/>
          <w:szCs w:val="32"/>
        </w:rPr>
        <w:t>减轻了贫困家庭的经济负担，广大群众看到了变化，有了实实在在的“获得感”。</w:t>
      </w:r>
      <w:bookmarkEnd w:id="72"/>
      <w:r>
        <w:rPr>
          <w:rFonts w:hint="eastAsia" w:ascii="仿宋" w:hAnsi="仿宋" w:eastAsia="仿宋" w:cs="仿宋_GB2312"/>
          <w:sz w:val="32"/>
          <w:szCs w:val="32"/>
        </w:rPr>
        <w:t>对加快农村教育发展，促进教育公平起了积极的作用。</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（2）可行性：市教育主管部门制定了《广元市教育局关于加强学校食堂财务管理的实施意见》（广教发</w:t>
      </w:r>
      <w:r>
        <w:rPr>
          <w:rFonts w:hint="eastAsia" w:ascii="宋体" w:hAnsi="宋体" w:cs="仿宋_GB2312"/>
          <w:sz w:val="32"/>
          <w:szCs w:val="32"/>
        </w:rPr>
        <w:t>〔2016〕13号</w:t>
      </w:r>
      <w:r>
        <w:rPr>
          <w:rFonts w:hint="eastAsia" w:ascii="仿宋" w:hAnsi="仿宋" w:eastAsia="仿宋" w:cs="仿宋_GB2312"/>
          <w:sz w:val="32"/>
          <w:szCs w:val="32"/>
        </w:rPr>
        <w:t>），进一步完善了食堂资金管理使用及内控的相关制度。利州区人民政府高度重视学生营养改善计划工作，将此项工作纳入区重点民生工程，区教育局作为学生营养改善计划的实施部门，与各供餐学校、供货单位、从业人员、管理人员层层签订了目标责任书，明确岗位职责，层层压实责任，有效推进了营养改善计划各项工作的推进</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2、项目管理</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w:t>
      </w:r>
      <w:r>
        <w:rPr>
          <w:rFonts w:ascii="仿宋" w:hAnsi="仿宋" w:eastAsia="仿宋" w:cs="仿宋_GB2312"/>
          <w:sz w:val="32"/>
          <w:szCs w:val="32"/>
        </w:rPr>
        <w:t>资金分配情况（资金分配管理的科学合理性）</w:t>
      </w:r>
    </w:p>
    <w:p>
      <w:pPr>
        <w:spacing w:line="580" w:lineRule="exact"/>
        <w:ind w:firstLine="640" w:firstLineChars="200"/>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2020年农村义务教育学生营养改善计划项目收到中央奖补资金</w:t>
      </w:r>
      <w:r>
        <w:rPr>
          <w:rFonts w:ascii="仿宋" w:hAnsi="仿宋" w:eastAsia="仿宋" w:cs="仿宋_GB2312"/>
          <w:color w:val="FF0000"/>
          <w:sz w:val="32"/>
          <w:szCs w:val="32"/>
        </w:rPr>
        <w:t>652</w:t>
      </w:r>
      <w:r>
        <w:rPr>
          <w:rFonts w:hint="eastAsia" w:ascii="仿宋" w:hAnsi="仿宋" w:eastAsia="仿宋" w:cs="仿宋_GB2312"/>
          <w:color w:val="000000" w:themeColor="text1"/>
          <w:sz w:val="32"/>
          <w:szCs w:val="32"/>
          <w14:textFill>
            <w14:solidFill>
              <w14:schemeClr w14:val="tx1"/>
            </w14:solidFill>
          </w14:textFill>
        </w:rPr>
        <w:t>万、省级补助资金</w:t>
      </w:r>
      <w:r>
        <w:rPr>
          <w:rFonts w:ascii="仿宋" w:hAnsi="仿宋" w:eastAsia="仿宋" w:cs="仿宋_GB2312"/>
          <w:color w:val="FF0000"/>
          <w:sz w:val="32"/>
          <w:szCs w:val="32"/>
        </w:rPr>
        <w:t>201</w:t>
      </w:r>
      <w:r>
        <w:rPr>
          <w:rFonts w:hint="eastAsia" w:ascii="仿宋" w:hAnsi="仿宋" w:eastAsia="仿宋" w:cs="仿宋_GB2312"/>
          <w:color w:val="000000" w:themeColor="text1"/>
          <w:sz w:val="32"/>
          <w:szCs w:val="32"/>
          <w14:textFill>
            <w14:solidFill>
              <w14:schemeClr w14:val="tx1"/>
            </w14:solidFill>
          </w14:textFill>
        </w:rPr>
        <w:t>万元、市级补助资金</w:t>
      </w:r>
      <w:r>
        <w:rPr>
          <w:rFonts w:ascii="仿宋" w:hAnsi="仿宋" w:eastAsia="仿宋" w:cs="仿宋_GB2312"/>
          <w:color w:val="FF0000"/>
          <w:sz w:val="32"/>
          <w:szCs w:val="32"/>
        </w:rPr>
        <w:t>50.5</w:t>
      </w:r>
      <w:r>
        <w:rPr>
          <w:rFonts w:hint="eastAsia" w:ascii="仿宋" w:hAnsi="仿宋" w:eastAsia="仿宋" w:cs="仿宋_GB2312"/>
          <w:color w:val="000000" w:themeColor="text1"/>
          <w:sz w:val="32"/>
          <w:szCs w:val="32"/>
          <w14:textFill>
            <w14:solidFill>
              <w14:schemeClr w14:val="tx1"/>
            </w14:solidFill>
          </w14:textFill>
        </w:rPr>
        <w:t>万元，区级补助资金</w:t>
      </w:r>
      <w:r>
        <w:rPr>
          <w:rFonts w:ascii="仿宋" w:hAnsi="仿宋" w:eastAsia="仿宋" w:cs="仿宋_GB2312"/>
          <w:color w:val="FF0000"/>
          <w:sz w:val="32"/>
          <w:szCs w:val="32"/>
        </w:rPr>
        <w:t>48.06</w:t>
      </w:r>
      <w:r>
        <w:rPr>
          <w:rFonts w:hint="eastAsia" w:ascii="仿宋" w:hAnsi="仿宋" w:eastAsia="仿宋" w:cs="仿宋_GB2312"/>
          <w:color w:val="000000" w:themeColor="text1"/>
          <w:sz w:val="32"/>
          <w:szCs w:val="32"/>
          <w14:textFill>
            <w14:solidFill>
              <w14:schemeClr w14:val="tx1"/>
            </w14:solidFill>
          </w14:textFill>
        </w:rPr>
        <w:t>万元，共计</w:t>
      </w:r>
      <w:r>
        <w:rPr>
          <w:rFonts w:ascii="仿宋" w:hAnsi="仿宋" w:eastAsia="仿宋" w:cs="仿宋_GB2312"/>
          <w:color w:val="FF0000"/>
          <w:sz w:val="32"/>
          <w:szCs w:val="32"/>
        </w:rPr>
        <w:t>951.56</w:t>
      </w:r>
      <w:r>
        <w:rPr>
          <w:rFonts w:hint="eastAsia" w:ascii="仿宋" w:hAnsi="仿宋" w:eastAsia="仿宋" w:cs="仿宋_GB2312"/>
          <w:color w:val="000000" w:themeColor="text1"/>
          <w:sz w:val="32"/>
          <w:szCs w:val="32"/>
          <w14:textFill>
            <w14:solidFill>
              <w14:schemeClr w14:val="tx1"/>
            </w14:solidFill>
          </w14:textFill>
        </w:rPr>
        <w:t>万元。能够满足利州区农村义务教育学生营养改善计划补助资金</w:t>
      </w:r>
      <w:r>
        <w:rPr>
          <w:rFonts w:hint="eastAsia" w:ascii="仿宋" w:hAnsi="仿宋" w:eastAsia="仿宋" w:cs="仿宋_GB2312"/>
          <w:color w:val="000000" w:themeColor="text1"/>
          <w:sz w:val="32"/>
          <w:szCs w:val="32"/>
          <w:lang w:val="en-US" w:eastAsia="zh-CN"/>
          <w14:textFill>
            <w14:solidFill>
              <w14:schemeClr w14:val="tx1"/>
            </w14:solidFill>
          </w14:textFill>
        </w:rPr>
        <w:t>需求</w:t>
      </w:r>
      <w:r>
        <w:rPr>
          <w:rFonts w:hint="eastAsia" w:ascii="仿宋" w:hAnsi="仿宋" w:eastAsia="仿宋" w:cs="仿宋_GB2312"/>
          <w:color w:val="000000" w:themeColor="text1"/>
          <w:sz w:val="32"/>
          <w:szCs w:val="32"/>
          <w14:textFill>
            <w14:solidFill>
              <w14:schemeClr w14:val="tx1"/>
            </w14:solidFill>
          </w14:textFill>
        </w:rPr>
        <w:t xml:space="preserve">。 </w:t>
      </w:r>
    </w:p>
    <w:p>
      <w:pPr>
        <w:spacing w:line="580" w:lineRule="exact"/>
        <w:ind w:firstLine="640" w:firstLineChars="200"/>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截止2020年12月31日实际拨付各校营养改善计划项目资金</w:t>
      </w:r>
      <w:r>
        <w:rPr>
          <w:rFonts w:ascii="仿宋" w:hAnsi="仿宋" w:eastAsia="仿宋" w:cs="仿宋_GB2312"/>
          <w:color w:val="FF0000"/>
          <w:sz w:val="32"/>
          <w:szCs w:val="32"/>
        </w:rPr>
        <w:t>951.56</w:t>
      </w:r>
      <w:r>
        <w:rPr>
          <w:rFonts w:hint="eastAsia" w:ascii="仿宋" w:hAnsi="仿宋" w:eastAsia="仿宋" w:cs="仿宋_GB2312"/>
          <w:color w:val="000000" w:themeColor="text1"/>
          <w:sz w:val="32"/>
          <w:szCs w:val="32"/>
          <w14:textFill>
            <w14:solidFill>
              <w14:schemeClr w14:val="tx1"/>
            </w14:solidFill>
          </w14:textFill>
        </w:rPr>
        <w:t>万元，当年结转项目资金0.00万元，项目资金累计结余0.00万元。</w:t>
      </w:r>
    </w:p>
    <w:p>
      <w:pPr>
        <w:spacing w:line="580" w:lineRule="exact"/>
        <w:ind w:firstLine="640" w:firstLineChars="200"/>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（2）</w:t>
      </w:r>
      <w:r>
        <w:rPr>
          <w:rFonts w:ascii="仿宋" w:hAnsi="仿宋" w:eastAsia="仿宋" w:cs="仿宋_GB2312"/>
          <w:color w:val="000000" w:themeColor="text1"/>
          <w:sz w:val="32"/>
          <w:szCs w:val="32"/>
          <w14:textFill>
            <w14:solidFill>
              <w14:schemeClr w14:val="tx1"/>
            </w14:solidFill>
          </w14:textFill>
        </w:rPr>
        <w:t>资金使用情况</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在资金使用上，各校按照市、区教育主管部门要求，制定了相应的财务管理制度，做到专款专用、专项核算。各供餐学校每周公布带量食谱及核算价格，校长、教师“陪餐”费用自理。各校资金支出手续齐全，收支票据规范，原始凭证合规，无白条抵账、不合规凭证和大额现金支付等现象，无超范围使用或挪作他用的现象，确保了膳食补助资金足额用于学生营养改善。全区用于日常运转的配套资金和食堂聘用人员工资、设备设施购置等费用</w:t>
      </w:r>
      <w:r>
        <w:rPr>
          <w:rFonts w:hint="eastAsia" w:ascii="仿宋" w:hAnsi="仿宋" w:eastAsia="仿宋" w:cs="仿宋_GB2312"/>
          <w:sz w:val="32"/>
          <w:szCs w:val="32"/>
          <w:lang w:val="en-US" w:eastAsia="zh-CN"/>
        </w:rPr>
        <w:t>部分</w:t>
      </w:r>
      <w:r>
        <w:rPr>
          <w:rFonts w:hint="eastAsia" w:ascii="仿宋" w:hAnsi="仿宋" w:eastAsia="仿宋" w:cs="仿宋_GB2312"/>
          <w:sz w:val="32"/>
          <w:szCs w:val="32"/>
        </w:rPr>
        <w:t>纳入年度财政预算管理，保障了实施学生营养改善计划所需资金的正常运转。</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3、项目绩效</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w:t>
      </w:r>
      <w:r>
        <w:rPr>
          <w:rFonts w:ascii="仿宋" w:hAnsi="仿宋" w:eastAsia="仿宋" w:cs="仿宋_GB2312"/>
          <w:sz w:val="32"/>
          <w:szCs w:val="32"/>
        </w:rPr>
        <w:t>项目目标完成情况</w:t>
      </w:r>
      <w:r>
        <w:rPr>
          <w:rFonts w:hint="eastAsia" w:ascii="仿宋" w:hAnsi="仿宋" w:eastAsia="仿宋" w:cs="仿宋_GB2312"/>
          <w:sz w:val="32"/>
          <w:szCs w:val="32"/>
        </w:rPr>
        <w:t>。</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2020年度全区农村义务教育阶段学校营养改善计划补助资金覆盖率达到100%，食堂供餐率达到100%。营养改善计划资金按月结算并拨付到位。市、区食品监督部门、市场监督管理部门定期抽查供餐学校食品及进货验收资料，已抽检的供餐食品质量符合要求；随机突击查看供餐单位现场，无供餐数量和品种与公示菜谱不相符的现象。</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（2）项</w:t>
      </w:r>
      <w:r>
        <w:rPr>
          <w:rFonts w:ascii="仿宋" w:hAnsi="仿宋" w:eastAsia="仿宋" w:cs="仿宋_GB2312"/>
          <w:sz w:val="32"/>
          <w:szCs w:val="32"/>
        </w:rPr>
        <w:t>目效益情况（经济效益、项目社会效益、生态效益、可持续效益、公平性、资金使用效率、受益群体满意度等）。</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项目的实施改善了农村学生营养状况，促进了学生身心健康的发展，有力支持了教育事业的发展，减轻了贫困家庭的经济负担，广大群众看到了变化，有了实实在在的“获得感”。学生营养状况改善明显，促进了学生身心的健康发展。</w:t>
      </w:r>
      <w:bookmarkStart w:id="73" w:name="OLE_LINK5"/>
      <w:r>
        <w:rPr>
          <w:rFonts w:hint="eastAsia" w:ascii="仿宋" w:hAnsi="仿宋" w:eastAsia="仿宋" w:cs="仿宋_GB2312"/>
          <w:sz w:val="32"/>
          <w:szCs w:val="32"/>
        </w:rPr>
        <w:t>从全区2018至2020年《国家学生体质健康标准》测试和学生调查问卷结果显示，与往年同期相比，农村学生平均身高、肺活量有所增加，学生肥胖现象有所减少，学习能力有所提高。</w:t>
      </w:r>
      <w:bookmarkEnd w:id="73"/>
      <w:r>
        <w:rPr>
          <w:rFonts w:hint="eastAsia" w:ascii="仿宋" w:hAnsi="仿宋" w:eastAsia="仿宋" w:cs="仿宋_GB2312"/>
          <w:sz w:val="32"/>
          <w:szCs w:val="32"/>
        </w:rPr>
        <w:t>在区委、区政府高度重视下，各校积极开展学生行为习惯教育，学生厌食偏食现象明显改善，绝大多数已养成良好的就餐习惯</w:t>
      </w:r>
      <w:r>
        <w:rPr>
          <w:rFonts w:hint="eastAsia" w:ascii="仿宋" w:hAnsi="仿宋" w:eastAsia="仿宋" w:cs="仿宋_GB2312"/>
          <w:sz w:val="32"/>
          <w:szCs w:val="32"/>
          <w:lang w:eastAsia="zh-CN"/>
        </w:rPr>
        <w:t>。</w:t>
      </w:r>
      <w:r>
        <w:rPr>
          <w:rFonts w:hint="eastAsia" w:ascii="仿宋" w:hAnsi="仿宋" w:eastAsia="仿宋" w:cs="仿宋_GB2312"/>
          <w:sz w:val="32"/>
          <w:szCs w:val="32"/>
        </w:rPr>
        <w:t>同时，</w:t>
      </w:r>
      <w:bookmarkStart w:id="74" w:name="OLE_LINK6"/>
      <w:r>
        <w:rPr>
          <w:rFonts w:hint="eastAsia" w:ascii="仿宋" w:hAnsi="仿宋" w:eastAsia="仿宋" w:cs="仿宋_GB2312"/>
          <w:sz w:val="32"/>
          <w:szCs w:val="32"/>
        </w:rPr>
        <w:t>项目的实施对加快农村教育发展，促进教育公平起了积极的作用，各农村义务教育阶段学校就读学生数明显增加，有效缓解了城区学位压力。</w:t>
      </w:r>
      <w:bookmarkEnd w:id="74"/>
    </w:p>
    <w:p>
      <w:pPr>
        <w:spacing w:line="580" w:lineRule="exact"/>
        <w:ind w:firstLine="640" w:firstLineChars="200"/>
        <w:rPr>
          <w:rFonts w:hint="eastAsia" w:ascii="仿宋" w:hAnsi="仿宋" w:eastAsia="仿宋" w:cs="仿宋_GB2312"/>
          <w:sz w:val="32"/>
          <w:szCs w:val="32"/>
          <w:lang w:eastAsia="zh-CN"/>
        </w:rPr>
      </w:pPr>
      <w:r>
        <w:rPr>
          <w:rFonts w:hint="eastAsia" w:ascii="仿宋" w:hAnsi="仿宋" w:eastAsia="仿宋" w:cs="仿宋_GB2312"/>
          <w:sz w:val="32"/>
          <w:szCs w:val="32"/>
        </w:rPr>
        <w:t>通过问卷调查、电话访问、现场走访等形式，对学生、教师和学生家长等进行的调查反映，营养改善计划相关政策知晓率和受益满意度达95%以上。广大师生和社会公众对实施学生营养改善计划信任度高、认同感强，社会反响好</w:t>
      </w:r>
      <w:r>
        <w:rPr>
          <w:rFonts w:hint="eastAsia" w:ascii="仿宋" w:hAnsi="仿宋" w:eastAsia="仿宋" w:cs="仿宋_GB2312"/>
          <w:sz w:val="32"/>
          <w:szCs w:val="32"/>
          <w:lang w:eastAsia="zh-CN"/>
        </w:rPr>
        <w:t>。</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三</w:t>
      </w:r>
      <w:r>
        <w:rPr>
          <w:rFonts w:ascii="仿宋" w:hAnsi="仿宋" w:eastAsia="仿宋" w:cs="仿宋_GB2312"/>
          <w:sz w:val="32"/>
          <w:szCs w:val="32"/>
        </w:rPr>
        <w:t>、存在主要问题</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（一）营养配餐能力不足。各项目学校缺乏营养配餐、科学饮食方面的指导，难以提供科学合理的营养食谱，制约了学生营养的科学化、合理化。</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（二）学生饮食习惯不健康。各校积极开展学生行为习惯教育，</w:t>
      </w:r>
      <w:r>
        <w:rPr>
          <w:rFonts w:hint="eastAsia" w:ascii="仿宋" w:hAnsi="仿宋" w:eastAsia="仿宋" w:cs="仿宋_GB2312"/>
          <w:sz w:val="32"/>
          <w:szCs w:val="32"/>
          <w:lang w:val="en-US" w:eastAsia="zh-CN"/>
        </w:rPr>
        <w:t>但个别</w:t>
      </w:r>
      <w:r>
        <w:rPr>
          <w:rFonts w:hint="eastAsia" w:ascii="仿宋" w:hAnsi="仿宋" w:eastAsia="仿宋" w:cs="仿宋_GB2312"/>
          <w:sz w:val="32"/>
          <w:szCs w:val="32"/>
        </w:rPr>
        <w:t>学生</w:t>
      </w:r>
      <w:r>
        <w:rPr>
          <w:rFonts w:hint="eastAsia" w:ascii="仿宋" w:hAnsi="仿宋" w:eastAsia="仿宋" w:cs="仿宋_GB2312"/>
          <w:sz w:val="32"/>
          <w:szCs w:val="32"/>
          <w:lang w:val="en-US" w:eastAsia="zh-CN"/>
        </w:rPr>
        <w:t>仍</w:t>
      </w:r>
      <w:r>
        <w:rPr>
          <w:rFonts w:hint="eastAsia" w:ascii="仿宋" w:hAnsi="仿宋" w:eastAsia="仿宋" w:cs="仿宋_GB2312"/>
          <w:sz w:val="32"/>
          <w:szCs w:val="32"/>
        </w:rPr>
        <w:t>存在偏食、挑食等不良饮食习惯，缺乏科学合理的营养膳食观念。</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（三）财政配套压力大，利州区财政收入有限，资金缺口严重，每年除营养改善计划</w:t>
      </w:r>
      <w:r>
        <w:rPr>
          <w:rFonts w:hint="eastAsia" w:ascii="仿宋" w:hAnsi="仿宋" w:eastAsia="仿宋" w:cs="仿宋_GB2312"/>
          <w:sz w:val="32"/>
          <w:szCs w:val="32"/>
          <w:lang w:val="en-US" w:eastAsia="zh-CN"/>
        </w:rPr>
        <w:t>区</w:t>
      </w:r>
      <w:r>
        <w:rPr>
          <w:rFonts w:hint="eastAsia" w:ascii="仿宋" w:hAnsi="仿宋" w:eastAsia="仿宋" w:cs="仿宋_GB2312"/>
          <w:sz w:val="32"/>
          <w:szCs w:val="32"/>
        </w:rPr>
        <w:t xml:space="preserve">级配套资金外，还要配备食堂建设、从业人员薪酬、食堂设施设备配备等资金，财政压力较大。 </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四）学校食堂工作人员配备不足，影响食堂供餐的质量。区内各营养改善计划实施学校，食堂工作人员配备严重不足，聘用厨师和工作人员薪酬区级财政虽部分纳入财政预算予以补助，但仍与社会其他行业中厨师工资差距较大。学校每天中午要安排部分教师组织学生就餐，并做好学生餐后在校期间的看护工作，以上工作增加了教师的工作量，占用教师午间休息时间，应出台相关政策给予一定的补助。</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四</w:t>
      </w:r>
      <w:r>
        <w:rPr>
          <w:rFonts w:ascii="仿宋" w:hAnsi="仿宋" w:eastAsia="仿宋" w:cs="仿宋_GB2312"/>
          <w:sz w:val="32"/>
          <w:szCs w:val="32"/>
        </w:rPr>
        <w:t>、相关措施建议</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（一）做好宣传教育工作。通过多种形式，向社会广泛宣传营养改善计划政策措施，引导社会和家长正确认识营养改善计划政策，普及营养科学知识，引导学生树立科学的营养观念、养成健康的饮食习惯。</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（二）加强上级财政资金支持，提高食堂从业人员工资待遇，对教师陪餐、午间看护给予适当补助，确保学校食堂正常运行。</w:t>
      </w:r>
    </w:p>
    <w:p>
      <w:pPr>
        <w:spacing w:line="580" w:lineRule="exact"/>
        <w:ind w:firstLine="640" w:firstLineChars="200"/>
        <w:rPr>
          <w:rStyle w:val="24"/>
          <w:rFonts w:ascii="仿宋" w:hAnsi="仿宋" w:eastAsia="仿宋" w:cs="仿宋_GB2312"/>
          <w:b w:val="0"/>
          <w:bCs w:val="0"/>
          <w:sz w:val="32"/>
          <w:szCs w:val="32"/>
        </w:rPr>
      </w:pPr>
      <w:r>
        <w:rPr>
          <w:rFonts w:hint="eastAsia" w:ascii="仿宋" w:hAnsi="仿宋" w:eastAsia="仿宋" w:cs="仿宋_GB2312"/>
          <w:sz w:val="32"/>
          <w:szCs w:val="32"/>
        </w:rPr>
        <w:t>（三）加大学校食堂从业人员培训力度，提高各校营养配餐能力。</w:t>
      </w:r>
    </w:p>
    <w:p>
      <w:pPr>
        <w:widowControl/>
        <w:jc w:val="left"/>
        <w:rPr>
          <w:rFonts w:ascii="黑体" w:hAnsi="黑体" w:eastAsia="黑体"/>
          <w:sz w:val="44"/>
          <w:szCs w:val="44"/>
        </w:rPr>
      </w:pPr>
      <w:r>
        <w:rPr>
          <w:rFonts w:ascii="黑体" w:hAnsi="黑体" w:eastAsia="黑体"/>
          <w:sz w:val="44"/>
          <w:szCs w:val="44"/>
        </w:rPr>
        <w:br w:type="page"/>
      </w:r>
    </w:p>
    <w:tbl>
      <w:tblPr>
        <w:tblStyle w:val="12"/>
        <w:tblW w:w="5187" w:type="pct"/>
        <w:tblInd w:w="-318" w:type="dxa"/>
        <w:tblLayout w:type="fixed"/>
        <w:tblCellMar>
          <w:top w:w="0" w:type="dxa"/>
          <w:left w:w="108" w:type="dxa"/>
          <w:bottom w:w="0" w:type="dxa"/>
          <w:right w:w="108" w:type="dxa"/>
        </w:tblCellMar>
      </w:tblPr>
      <w:tblGrid>
        <w:gridCol w:w="879"/>
        <w:gridCol w:w="447"/>
        <w:gridCol w:w="803"/>
        <w:gridCol w:w="2414"/>
        <w:gridCol w:w="2120"/>
        <w:gridCol w:w="7"/>
        <w:gridCol w:w="2171"/>
      </w:tblGrid>
      <w:tr>
        <w:tblPrEx>
          <w:tblCellMar>
            <w:top w:w="0" w:type="dxa"/>
            <w:left w:w="108" w:type="dxa"/>
            <w:bottom w:w="0" w:type="dxa"/>
            <w:right w:w="108" w:type="dxa"/>
          </w:tblCellMar>
        </w:tblPrEx>
        <w:trPr>
          <w:trHeight w:val="450" w:hRule="atLeast"/>
        </w:trPr>
        <w:tc>
          <w:tcPr>
            <w:tcW w:w="5000" w:type="pct"/>
            <w:gridSpan w:val="7"/>
            <w:tcBorders>
              <w:top w:val="nil"/>
              <w:left w:val="nil"/>
              <w:bottom w:val="nil"/>
              <w:right w:val="nil"/>
            </w:tcBorders>
            <w:shd w:val="clear" w:color="auto" w:fill="auto"/>
            <w:vAlign w:val="center"/>
          </w:tcPr>
          <w:p>
            <w:pPr>
              <w:widowControl/>
              <w:jc w:val="center"/>
              <w:rPr>
                <w:rFonts w:ascii="黑体" w:hAnsi="黑体" w:eastAsia="黑体" w:cs="宋体"/>
                <w:kern w:val="0"/>
                <w:sz w:val="36"/>
                <w:szCs w:val="36"/>
              </w:rPr>
            </w:pPr>
            <w:r>
              <w:rPr>
                <w:rFonts w:hint="eastAsia" w:ascii="黑体" w:hAnsi="黑体" w:eastAsia="黑体" w:cs="宋体"/>
                <w:kern w:val="0"/>
                <w:sz w:val="36"/>
                <w:szCs w:val="36"/>
              </w:rPr>
              <w:t>2020年学生营养改善计划项目支出绩效目标</w:t>
            </w:r>
          </w:p>
          <w:p>
            <w:pPr>
              <w:widowControl/>
              <w:jc w:val="center"/>
              <w:rPr>
                <w:rFonts w:ascii="黑体" w:hAnsi="黑体" w:eastAsia="黑体" w:cs="宋体"/>
                <w:kern w:val="0"/>
                <w:sz w:val="36"/>
                <w:szCs w:val="36"/>
              </w:rPr>
            </w:pPr>
            <w:r>
              <w:rPr>
                <w:rFonts w:hint="eastAsia" w:ascii="黑体" w:hAnsi="黑体" w:eastAsia="黑体" w:cs="宋体"/>
                <w:kern w:val="0"/>
                <w:sz w:val="36"/>
                <w:szCs w:val="36"/>
              </w:rPr>
              <w:t>完成情况表</w:t>
            </w:r>
          </w:p>
        </w:tc>
      </w:tr>
      <w:tr>
        <w:tblPrEx>
          <w:tblCellMar>
            <w:top w:w="0" w:type="dxa"/>
            <w:left w:w="108" w:type="dxa"/>
            <w:bottom w:w="0" w:type="dxa"/>
            <w:right w:w="108" w:type="dxa"/>
          </w:tblCellMar>
        </w:tblPrEx>
        <w:trPr>
          <w:trHeight w:val="450" w:hRule="atLeast"/>
        </w:trPr>
        <w:tc>
          <w:tcPr>
            <w:tcW w:w="5000" w:type="pct"/>
            <w:gridSpan w:val="7"/>
            <w:tcBorders>
              <w:top w:val="nil"/>
              <w:left w:val="nil"/>
              <w:bottom w:val="nil"/>
              <w:right w:val="nil"/>
            </w:tcBorders>
            <w:shd w:val="clear" w:color="auto" w:fill="auto"/>
            <w:vAlign w:val="center"/>
          </w:tcPr>
          <w:p>
            <w:pPr>
              <w:widowControl/>
              <w:jc w:val="center"/>
              <w:rPr>
                <w:rFonts w:ascii="宋体" w:hAnsi="宋体" w:cs="宋体"/>
                <w:kern w:val="0"/>
                <w:sz w:val="36"/>
                <w:szCs w:val="36"/>
              </w:rPr>
            </w:pPr>
            <w:r>
              <w:rPr>
                <w:rFonts w:hint="eastAsia" w:ascii="宋体" w:hAnsi="宋体" w:cs="宋体"/>
                <w:kern w:val="0"/>
                <w:sz w:val="36"/>
                <w:szCs w:val="36"/>
              </w:rPr>
              <w:t>(2020 年度)</w:t>
            </w:r>
          </w:p>
        </w:tc>
      </w:tr>
      <w:tr>
        <w:tblPrEx>
          <w:tblCellMar>
            <w:top w:w="0" w:type="dxa"/>
            <w:left w:w="108" w:type="dxa"/>
            <w:bottom w:w="0" w:type="dxa"/>
            <w:right w:w="108" w:type="dxa"/>
          </w:tblCellMar>
        </w:tblPrEx>
        <w:trPr>
          <w:trHeight w:val="555" w:hRule="atLeast"/>
        </w:trPr>
        <w:tc>
          <w:tcPr>
            <w:tcW w:w="1204"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项目名称</w:t>
            </w:r>
          </w:p>
        </w:tc>
        <w:tc>
          <w:tcPr>
            <w:tcW w:w="3796" w:type="pct"/>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2020年学生营养改善计划项目</w:t>
            </w:r>
          </w:p>
        </w:tc>
      </w:tr>
      <w:tr>
        <w:tblPrEx>
          <w:tblCellMar>
            <w:top w:w="0" w:type="dxa"/>
            <w:left w:w="108" w:type="dxa"/>
            <w:bottom w:w="0" w:type="dxa"/>
            <w:right w:w="108" w:type="dxa"/>
          </w:tblCellMar>
        </w:tblPrEx>
        <w:trPr>
          <w:trHeight w:val="555" w:hRule="atLeast"/>
        </w:trPr>
        <w:tc>
          <w:tcPr>
            <w:tcW w:w="1204"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预算单位</w:t>
            </w:r>
          </w:p>
        </w:tc>
        <w:tc>
          <w:tcPr>
            <w:tcW w:w="3796" w:type="pct"/>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广元市利州区教育局</w:t>
            </w:r>
          </w:p>
        </w:tc>
      </w:tr>
      <w:tr>
        <w:tblPrEx>
          <w:tblCellMar>
            <w:top w:w="0" w:type="dxa"/>
            <w:left w:w="108" w:type="dxa"/>
            <w:bottom w:w="0" w:type="dxa"/>
            <w:right w:w="108" w:type="dxa"/>
          </w:tblCellMar>
        </w:tblPrEx>
        <w:trPr>
          <w:trHeight w:val="555" w:hRule="atLeast"/>
        </w:trPr>
        <w:tc>
          <w:tcPr>
            <w:tcW w:w="497"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预算执行情况(万元)</w:t>
            </w:r>
          </w:p>
        </w:tc>
        <w:tc>
          <w:tcPr>
            <w:tcW w:w="707"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预算数:</w:t>
            </w:r>
          </w:p>
        </w:tc>
        <w:tc>
          <w:tcPr>
            <w:tcW w:w="136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FF0000"/>
                <w:kern w:val="0"/>
                <w:sz w:val="24"/>
              </w:rPr>
            </w:pPr>
            <w:r>
              <w:rPr>
                <w:rFonts w:hint="eastAsia" w:ascii="宋体" w:hAnsi="宋体" w:cs="宋体"/>
                <w:color w:val="FF0000"/>
                <w:kern w:val="0"/>
                <w:sz w:val="24"/>
              </w:rPr>
              <w:t>951.56万元</w:t>
            </w:r>
          </w:p>
        </w:tc>
        <w:tc>
          <w:tcPr>
            <w:tcW w:w="1203"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执行数:</w:t>
            </w:r>
          </w:p>
        </w:tc>
        <w:tc>
          <w:tcPr>
            <w:tcW w:w="122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FF0000"/>
                <w:kern w:val="0"/>
                <w:sz w:val="24"/>
              </w:rPr>
            </w:pPr>
            <w:r>
              <w:rPr>
                <w:rFonts w:hint="eastAsia" w:ascii="宋体" w:hAnsi="宋体" w:cs="宋体"/>
                <w:color w:val="FF0000"/>
                <w:kern w:val="0"/>
                <w:sz w:val="24"/>
              </w:rPr>
              <w:t>951.56万元</w:t>
            </w:r>
          </w:p>
        </w:tc>
      </w:tr>
      <w:tr>
        <w:tblPrEx>
          <w:tblCellMar>
            <w:top w:w="0" w:type="dxa"/>
            <w:left w:w="108" w:type="dxa"/>
            <w:bottom w:w="0" w:type="dxa"/>
            <w:right w:w="108" w:type="dxa"/>
          </w:tblCellMar>
        </w:tblPrEx>
        <w:trPr>
          <w:trHeight w:val="555" w:hRule="atLeast"/>
        </w:trPr>
        <w:tc>
          <w:tcPr>
            <w:tcW w:w="497"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14:textFill>
                  <w14:solidFill>
                    <w14:schemeClr w14:val="tx1"/>
                  </w14:solidFill>
                </w14:textFill>
              </w:rPr>
            </w:pPr>
          </w:p>
        </w:tc>
        <w:tc>
          <w:tcPr>
            <w:tcW w:w="707"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其中-财政拨款:</w:t>
            </w:r>
          </w:p>
        </w:tc>
        <w:tc>
          <w:tcPr>
            <w:tcW w:w="136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FF0000"/>
                <w:kern w:val="0"/>
                <w:sz w:val="24"/>
              </w:rPr>
            </w:pPr>
            <w:r>
              <w:rPr>
                <w:rFonts w:hint="eastAsia" w:ascii="宋体" w:hAnsi="宋体" w:cs="宋体"/>
                <w:color w:val="FF0000"/>
                <w:kern w:val="0"/>
                <w:sz w:val="24"/>
              </w:rPr>
              <w:t>951.56万元</w:t>
            </w:r>
          </w:p>
        </w:tc>
        <w:tc>
          <w:tcPr>
            <w:tcW w:w="1203"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其中-财政拨款:</w:t>
            </w:r>
          </w:p>
        </w:tc>
        <w:tc>
          <w:tcPr>
            <w:tcW w:w="122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FF0000"/>
                <w:kern w:val="0"/>
                <w:sz w:val="24"/>
              </w:rPr>
            </w:pPr>
            <w:r>
              <w:rPr>
                <w:rFonts w:hint="eastAsia" w:ascii="宋体" w:hAnsi="宋体" w:cs="宋体"/>
                <w:color w:val="FF0000"/>
                <w:kern w:val="0"/>
                <w:sz w:val="24"/>
              </w:rPr>
              <w:t>951.56万元</w:t>
            </w:r>
          </w:p>
        </w:tc>
      </w:tr>
      <w:tr>
        <w:tblPrEx>
          <w:tblCellMar>
            <w:top w:w="0" w:type="dxa"/>
            <w:left w:w="108" w:type="dxa"/>
            <w:bottom w:w="0" w:type="dxa"/>
            <w:right w:w="108" w:type="dxa"/>
          </w:tblCellMar>
        </w:tblPrEx>
        <w:trPr>
          <w:trHeight w:val="705" w:hRule="atLeast"/>
        </w:trPr>
        <w:tc>
          <w:tcPr>
            <w:tcW w:w="497"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14:textFill>
                  <w14:solidFill>
                    <w14:schemeClr w14:val="tx1"/>
                  </w14:solidFill>
                </w14:textFill>
              </w:rPr>
            </w:pPr>
          </w:p>
        </w:tc>
        <w:tc>
          <w:tcPr>
            <w:tcW w:w="707"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其它资金:</w:t>
            </w:r>
          </w:p>
        </w:tc>
        <w:tc>
          <w:tcPr>
            <w:tcW w:w="136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1203"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其它资金:</w:t>
            </w:r>
          </w:p>
        </w:tc>
        <w:tc>
          <w:tcPr>
            <w:tcW w:w="122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r>
      <w:tr>
        <w:tblPrEx>
          <w:tblCellMar>
            <w:top w:w="0" w:type="dxa"/>
            <w:left w:w="108" w:type="dxa"/>
            <w:bottom w:w="0" w:type="dxa"/>
            <w:right w:w="108" w:type="dxa"/>
          </w:tblCellMar>
        </w:tblPrEx>
        <w:trPr>
          <w:trHeight w:val="555" w:hRule="atLeast"/>
        </w:trPr>
        <w:tc>
          <w:tcPr>
            <w:tcW w:w="497"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年度目标完成情况</w:t>
            </w:r>
          </w:p>
        </w:tc>
        <w:tc>
          <w:tcPr>
            <w:tcW w:w="2072"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预期目标</w:t>
            </w:r>
          </w:p>
        </w:tc>
        <w:tc>
          <w:tcPr>
            <w:tcW w:w="2431"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实际完成目标</w:t>
            </w:r>
          </w:p>
        </w:tc>
      </w:tr>
      <w:tr>
        <w:tblPrEx>
          <w:tblCellMar>
            <w:top w:w="0" w:type="dxa"/>
            <w:left w:w="108" w:type="dxa"/>
            <w:bottom w:w="0" w:type="dxa"/>
            <w:right w:w="108" w:type="dxa"/>
          </w:tblCellMar>
        </w:tblPrEx>
        <w:trPr>
          <w:trHeight w:val="2700" w:hRule="atLeast"/>
        </w:trPr>
        <w:tc>
          <w:tcPr>
            <w:tcW w:w="497"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14:textFill>
                  <w14:solidFill>
                    <w14:schemeClr w14:val="tx1"/>
                  </w14:solidFill>
                </w14:textFill>
              </w:rPr>
            </w:pPr>
          </w:p>
        </w:tc>
        <w:tc>
          <w:tcPr>
            <w:tcW w:w="2072" w:type="pct"/>
            <w:gridSpan w:val="3"/>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进一步贯彻落实了《国务院办公厅关于实施农村义务教育学生营养改善计划的意见》（国办发【2011】54号）、《四川省人民政府办公厅关于实施农村义务教育学生营养改善计划地方试点工作的通知》（川办发【2012】21号）和省、市相关会议精神，切实改善我区农村学生营养状况，提高农村学生健康水平。</w:t>
            </w:r>
          </w:p>
        </w:tc>
        <w:tc>
          <w:tcPr>
            <w:tcW w:w="2431" w:type="pct"/>
            <w:gridSpan w:val="3"/>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2020年度农村义务教育阶段学校营养改善计划项目实现了农村义务教育阶段学校营养改善计划全覆盖，项目受益学生</w:t>
            </w:r>
            <w:r>
              <w:rPr>
                <w:rFonts w:hint="eastAsia" w:ascii="宋体" w:hAnsi="宋体" w:cs="宋体"/>
                <w:color w:val="FF0000"/>
                <w:kern w:val="0"/>
                <w:sz w:val="20"/>
                <w:szCs w:val="20"/>
              </w:rPr>
              <w:t>16191</w:t>
            </w:r>
            <w:r>
              <w:rPr>
                <w:rFonts w:hint="eastAsia" w:ascii="宋体" w:hAnsi="宋体" w:cs="宋体"/>
                <w:color w:val="000000" w:themeColor="text1"/>
                <w:kern w:val="0"/>
                <w:sz w:val="20"/>
                <w:szCs w:val="20"/>
                <w14:textFill>
                  <w14:solidFill>
                    <w14:schemeClr w14:val="tx1"/>
                  </w14:solidFill>
                </w14:textFill>
              </w:rPr>
              <w:t>人，补助资金</w:t>
            </w:r>
            <w:r>
              <w:rPr>
                <w:rFonts w:hint="eastAsia" w:ascii="宋体" w:hAnsi="宋体" w:cs="宋体"/>
                <w:color w:val="FF0000"/>
                <w:kern w:val="0"/>
                <w:sz w:val="24"/>
              </w:rPr>
              <w:t>951.56</w:t>
            </w:r>
            <w:r>
              <w:rPr>
                <w:rFonts w:hint="eastAsia" w:ascii="宋体" w:hAnsi="宋体" w:cs="宋体"/>
                <w:color w:val="000000" w:themeColor="text1"/>
                <w:kern w:val="0"/>
                <w:sz w:val="20"/>
                <w:szCs w:val="20"/>
                <w14:textFill>
                  <w14:solidFill>
                    <w14:schemeClr w14:val="tx1"/>
                  </w14:solidFill>
                </w14:textFill>
              </w:rPr>
              <w:t>万元，食堂供餐率达到100%。项目目标明确、资金到位率高、资金使用规范、组织监管体系完善，项目质量达到相关行业标准，符合经济社会发展和客观实际的要求，达到预期绩效目标要求。</w:t>
            </w:r>
          </w:p>
        </w:tc>
      </w:tr>
      <w:tr>
        <w:tblPrEx>
          <w:tblCellMar>
            <w:top w:w="0" w:type="dxa"/>
            <w:left w:w="108" w:type="dxa"/>
            <w:bottom w:w="0" w:type="dxa"/>
            <w:right w:w="108" w:type="dxa"/>
          </w:tblCellMar>
        </w:tblPrEx>
        <w:trPr>
          <w:trHeight w:val="570" w:hRule="atLeast"/>
        </w:trPr>
        <w:tc>
          <w:tcPr>
            <w:tcW w:w="497"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绩效指标完成情况</w:t>
            </w:r>
          </w:p>
        </w:tc>
        <w:tc>
          <w:tcPr>
            <w:tcW w:w="25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一级指标</w:t>
            </w:r>
          </w:p>
        </w:tc>
        <w:tc>
          <w:tcPr>
            <w:tcW w:w="45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二级指标</w:t>
            </w:r>
          </w:p>
        </w:tc>
        <w:tc>
          <w:tcPr>
            <w:tcW w:w="136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三级指标</w:t>
            </w:r>
          </w:p>
        </w:tc>
        <w:tc>
          <w:tcPr>
            <w:tcW w:w="11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预期指标值(包含数字及文字描述)</w:t>
            </w:r>
          </w:p>
        </w:tc>
        <w:tc>
          <w:tcPr>
            <w:tcW w:w="1232"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实际完成指标值(包含数字及文字描述)</w:t>
            </w:r>
          </w:p>
        </w:tc>
      </w:tr>
      <w:tr>
        <w:tblPrEx>
          <w:tblCellMar>
            <w:top w:w="0" w:type="dxa"/>
            <w:left w:w="108" w:type="dxa"/>
            <w:bottom w:w="0" w:type="dxa"/>
            <w:right w:w="108" w:type="dxa"/>
          </w:tblCellMar>
        </w:tblPrEx>
        <w:trPr>
          <w:trHeight w:val="480" w:hRule="atLeast"/>
        </w:trPr>
        <w:tc>
          <w:tcPr>
            <w:tcW w:w="497"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14:textFill>
                  <w14:solidFill>
                    <w14:schemeClr w14:val="tx1"/>
                  </w14:solidFill>
                </w14:textFill>
              </w:rPr>
            </w:pPr>
          </w:p>
        </w:tc>
        <w:tc>
          <w:tcPr>
            <w:tcW w:w="253"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项目完成</w:t>
            </w:r>
          </w:p>
        </w:tc>
        <w:tc>
          <w:tcPr>
            <w:tcW w:w="45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数量指标</w:t>
            </w:r>
          </w:p>
        </w:tc>
        <w:tc>
          <w:tcPr>
            <w:tcW w:w="136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收益学生数</w:t>
            </w:r>
          </w:p>
        </w:tc>
        <w:tc>
          <w:tcPr>
            <w:tcW w:w="119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农村代码义务教育阶段学生补助人数：</w:t>
            </w:r>
            <w:r>
              <w:rPr>
                <w:rFonts w:hint="eastAsia" w:ascii="宋体" w:hAnsi="宋体" w:cs="宋体"/>
                <w:color w:val="FF0000"/>
                <w:kern w:val="0"/>
                <w:sz w:val="20"/>
                <w:szCs w:val="20"/>
              </w:rPr>
              <w:t>16191人</w:t>
            </w:r>
          </w:p>
        </w:tc>
        <w:tc>
          <w:tcPr>
            <w:tcW w:w="1232" w:type="pct"/>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全区实现了农村义务教学学校营养改善计划全覆盖</w:t>
            </w:r>
          </w:p>
        </w:tc>
      </w:tr>
      <w:tr>
        <w:tblPrEx>
          <w:tblCellMar>
            <w:top w:w="0" w:type="dxa"/>
            <w:left w:w="108" w:type="dxa"/>
            <w:bottom w:w="0" w:type="dxa"/>
            <w:right w:w="108" w:type="dxa"/>
          </w:tblCellMar>
        </w:tblPrEx>
        <w:trPr>
          <w:trHeight w:val="480" w:hRule="atLeast"/>
        </w:trPr>
        <w:tc>
          <w:tcPr>
            <w:tcW w:w="497"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14:textFill>
                  <w14:solidFill>
                    <w14:schemeClr w14:val="tx1"/>
                  </w14:solidFill>
                </w14:textFill>
              </w:rPr>
            </w:pPr>
          </w:p>
        </w:tc>
        <w:tc>
          <w:tcPr>
            <w:tcW w:w="253"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p>
        </w:tc>
        <w:tc>
          <w:tcPr>
            <w:tcW w:w="45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p>
        </w:tc>
        <w:tc>
          <w:tcPr>
            <w:tcW w:w="136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收益贫困家庭学生数</w:t>
            </w:r>
          </w:p>
        </w:tc>
        <w:tc>
          <w:tcPr>
            <w:tcW w:w="119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建档立卡贫困户学生补助人数：</w:t>
            </w:r>
            <w:r>
              <w:rPr>
                <w:rFonts w:hint="eastAsia" w:ascii="宋体" w:hAnsi="宋体" w:cs="宋体"/>
                <w:color w:val="FF0000"/>
                <w:kern w:val="0"/>
                <w:sz w:val="20"/>
                <w:szCs w:val="20"/>
              </w:rPr>
              <w:t>1350</w:t>
            </w:r>
            <w:r>
              <w:rPr>
                <w:rFonts w:hint="eastAsia" w:ascii="宋体" w:hAnsi="宋体" w:cs="宋体"/>
                <w:color w:val="000000" w:themeColor="text1"/>
                <w:kern w:val="0"/>
                <w:sz w:val="20"/>
                <w:szCs w:val="20"/>
                <w14:textFill>
                  <w14:solidFill>
                    <w14:schemeClr w14:val="tx1"/>
                  </w14:solidFill>
                </w14:textFill>
              </w:rPr>
              <w:t>人</w:t>
            </w:r>
          </w:p>
        </w:tc>
        <w:tc>
          <w:tcPr>
            <w:tcW w:w="1232" w:type="pct"/>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建档立卡贫困家庭学生受益全覆盖</w:t>
            </w:r>
          </w:p>
        </w:tc>
      </w:tr>
      <w:tr>
        <w:tblPrEx>
          <w:tblCellMar>
            <w:top w:w="0" w:type="dxa"/>
            <w:left w:w="108" w:type="dxa"/>
            <w:bottom w:w="0" w:type="dxa"/>
            <w:right w:w="108" w:type="dxa"/>
          </w:tblCellMar>
        </w:tblPrEx>
        <w:trPr>
          <w:trHeight w:val="480" w:hRule="atLeast"/>
        </w:trPr>
        <w:tc>
          <w:tcPr>
            <w:tcW w:w="497"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14:textFill>
                  <w14:solidFill>
                    <w14:schemeClr w14:val="tx1"/>
                  </w14:solidFill>
                </w14:textFill>
              </w:rPr>
            </w:pPr>
          </w:p>
        </w:tc>
        <w:tc>
          <w:tcPr>
            <w:tcW w:w="253"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p>
        </w:tc>
        <w:tc>
          <w:tcPr>
            <w:tcW w:w="45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质量指标</w:t>
            </w:r>
          </w:p>
        </w:tc>
        <w:tc>
          <w:tcPr>
            <w:tcW w:w="136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收益学生比率</w:t>
            </w:r>
          </w:p>
        </w:tc>
        <w:tc>
          <w:tcPr>
            <w:tcW w:w="119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农村中小学阶段补助人数所占比例：</w:t>
            </w:r>
            <w:r>
              <w:rPr>
                <w:rFonts w:hint="eastAsia" w:ascii="宋体" w:hAnsi="宋体" w:cs="宋体"/>
                <w:color w:val="FF0000"/>
                <w:kern w:val="0"/>
                <w:sz w:val="20"/>
                <w:szCs w:val="20"/>
              </w:rPr>
              <w:t>100%</w:t>
            </w:r>
          </w:p>
        </w:tc>
        <w:tc>
          <w:tcPr>
            <w:tcW w:w="1232" w:type="pct"/>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全区实现了农村义务教学学校营养改善计划全覆盖</w:t>
            </w:r>
          </w:p>
        </w:tc>
      </w:tr>
      <w:tr>
        <w:tblPrEx>
          <w:tblCellMar>
            <w:top w:w="0" w:type="dxa"/>
            <w:left w:w="108" w:type="dxa"/>
            <w:bottom w:w="0" w:type="dxa"/>
            <w:right w:w="108" w:type="dxa"/>
          </w:tblCellMar>
        </w:tblPrEx>
        <w:trPr>
          <w:trHeight w:val="480" w:hRule="atLeast"/>
        </w:trPr>
        <w:tc>
          <w:tcPr>
            <w:tcW w:w="497"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14:textFill>
                  <w14:solidFill>
                    <w14:schemeClr w14:val="tx1"/>
                  </w14:solidFill>
                </w14:textFill>
              </w:rPr>
            </w:pPr>
          </w:p>
        </w:tc>
        <w:tc>
          <w:tcPr>
            <w:tcW w:w="253"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p>
        </w:tc>
        <w:tc>
          <w:tcPr>
            <w:tcW w:w="45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p>
        </w:tc>
        <w:tc>
          <w:tcPr>
            <w:tcW w:w="136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收益建档立卡家庭学生比率</w:t>
            </w:r>
          </w:p>
        </w:tc>
        <w:tc>
          <w:tcPr>
            <w:tcW w:w="119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农村中小学阶段建档立卡贫困户学生补助人数所占比例：</w:t>
            </w:r>
            <w:r>
              <w:rPr>
                <w:rFonts w:hint="eastAsia" w:ascii="宋体" w:hAnsi="宋体" w:cs="宋体"/>
                <w:color w:val="FF0000"/>
                <w:kern w:val="0"/>
                <w:sz w:val="20"/>
                <w:szCs w:val="20"/>
              </w:rPr>
              <w:t>100</w:t>
            </w:r>
            <w:r>
              <w:rPr>
                <w:rFonts w:hint="eastAsia" w:ascii="宋体" w:hAnsi="宋体" w:cs="宋体"/>
                <w:color w:val="000000" w:themeColor="text1"/>
                <w:kern w:val="0"/>
                <w:sz w:val="20"/>
                <w:szCs w:val="20"/>
                <w14:textFill>
                  <w14:solidFill>
                    <w14:schemeClr w14:val="tx1"/>
                  </w14:solidFill>
                </w14:textFill>
              </w:rPr>
              <w:t>%</w:t>
            </w:r>
          </w:p>
        </w:tc>
        <w:tc>
          <w:tcPr>
            <w:tcW w:w="1232" w:type="pct"/>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建档立卡贫困家庭学生受益全覆盖</w:t>
            </w:r>
          </w:p>
        </w:tc>
      </w:tr>
      <w:tr>
        <w:tblPrEx>
          <w:tblCellMar>
            <w:top w:w="0" w:type="dxa"/>
            <w:left w:w="108" w:type="dxa"/>
            <w:bottom w:w="0" w:type="dxa"/>
            <w:right w:w="108" w:type="dxa"/>
          </w:tblCellMar>
        </w:tblPrEx>
        <w:trPr>
          <w:trHeight w:val="270" w:hRule="atLeast"/>
        </w:trPr>
        <w:tc>
          <w:tcPr>
            <w:tcW w:w="497"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14:textFill>
                  <w14:solidFill>
                    <w14:schemeClr w14:val="tx1"/>
                  </w14:solidFill>
                </w14:textFill>
              </w:rPr>
            </w:pPr>
          </w:p>
        </w:tc>
        <w:tc>
          <w:tcPr>
            <w:tcW w:w="253"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p>
        </w:tc>
        <w:tc>
          <w:tcPr>
            <w:tcW w:w="45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时效指标</w:t>
            </w:r>
          </w:p>
        </w:tc>
        <w:tc>
          <w:tcPr>
            <w:tcW w:w="136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资金拨付及时</w:t>
            </w:r>
          </w:p>
        </w:tc>
        <w:tc>
          <w:tcPr>
            <w:tcW w:w="119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补助资金及时，足额供餐</w:t>
            </w:r>
          </w:p>
        </w:tc>
        <w:tc>
          <w:tcPr>
            <w:tcW w:w="1232" w:type="pct"/>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资金按月申报并拨付供餐学校</w:t>
            </w:r>
          </w:p>
        </w:tc>
      </w:tr>
      <w:tr>
        <w:tblPrEx>
          <w:tblCellMar>
            <w:top w:w="0" w:type="dxa"/>
            <w:left w:w="108" w:type="dxa"/>
            <w:bottom w:w="0" w:type="dxa"/>
            <w:right w:w="108" w:type="dxa"/>
          </w:tblCellMar>
        </w:tblPrEx>
        <w:trPr>
          <w:trHeight w:val="480" w:hRule="atLeast"/>
        </w:trPr>
        <w:tc>
          <w:tcPr>
            <w:tcW w:w="497"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14:textFill>
                  <w14:solidFill>
                    <w14:schemeClr w14:val="tx1"/>
                  </w14:solidFill>
                </w14:textFill>
              </w:rPr>
            </w:pPr>
          </w:p>
        </w:tc>
        <w:tc>
          <w:tcPr>
            <w:tcW w:w="253"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p>
        </w:tc>
        <w:tc>
          <w:tcPr>
            <w:tcW w:w="45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成本指标</w:t>
            </w:r>
          </w:p>
        </w:tc>
        <w:tc>
          <w:tcPr>
            <w:tcW w:w="136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人均补助标准足额</w:t>
            </w:r>
          </w:p>
        </w:tc>
        <w:tc>
          <w:tcPr>
            <w:tcW w:w="119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人均补助标准：</w:t>
            </w:r>
            <w:r>
              <w:rPr>
                <w:rFonts w:hint="eastAsia" w:ascii="宋体" w:hAnsi="宋体" w:cs="宋体"/>
                <w:color w:val="FF0000"/>
                <w:kern w:val="0"/>
                <w:sz w:val="20"/>
                <w:szCs w:val="20"/>
              </w:rPr>
              <w:t>760</w:t>
            </w:r>
            <w:r>
              <w:rPr>
                <w:rFonts w:hint="eastAsia" w:ascii="宋体" w:hAnsi="宋体" w:cs="宋体"/>
                <w:color w:val="000000" w:themeColor="text1"/>
                <w:kern w:val="0"/>
                <w:sz w:val="20"/>
                <w:szCs w:val="20"/>
                <w14:textFill>
                  <w14:solidFill>
                    <w14:schemeClr w14:val="tx1"/>
                  </w14:solidFill>
                </w14:textFill>
              </w:rPr>
              <w:t>元/生/年</w:t>
            </w:r>
          </w:p>
        </w:tc>
        <w:tc>
          <w:tcPr>
            <w:tcW w:w="1232" w:type="pct"/>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人均补助标准达到了</w:t>
            </w:r>
            <w:r>
              <w:rPr>
                <w:rFonts w:hint="eastAsia" w:ascii="宋体" w:hAnsi="宋体" w:cs="宋体"/>
                <w:color w:val="FF0000"/>
                <w:kern w:val="0"/>
                <w:sz w:val="20"/>
                <w:szCs w:val="20"/>
              </w:rPr>
              <w:t>760</w:t>
            </w:r>
            <w:r>
              <w:rPr>
                <w:rFonts w:hint="eastAsia" w:ascii="宋体" w:hAnsi="宋体" w:cs="宋体"/>
                <w:color w:val="000000" w:themeColor="text1"/>
                <w:kern w:val="0"/>
                <w:sz w:val="20"/>
                <w:szCs w:val="20"/>
                <w14:textFill>
                  <w14:solidFill>
                    <w14:schemeClr w14:val="tx1"/>
                  </w14:solidFill>
                </w14:textFill>
              </w:rPr>
              <w:t>元/生·年</w:t>
            </w:r>
          </w:p>
        </w:tc>
      </w:tr>
      <w:tr>
        <w:tblPrEx>
          <w:tblCellMar>
            <w:top w:w="0" w:type="dxa"/>
            <w:left w:w="108" w:type="dxa"/>
            <w:bottom w:w="0" w:type="dxa"/>
            <w:right w:w="108" w:type="dxa"/>
          </w:tblCellMar>
        </w:tblPrEx>
        <w:trPr>
          <w:trHeight w:val="480" w:hRule="atLeast"/>
        </w:trPr>
        <w:tc>
          <w:tcPr>
            <w:tcW w:w="497"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14:textFill>
                  <w14:solidFill>
                    <w14:schemeClr w14:val="tx1"/>
                  </w14:solidFill>
                </w14:textFill>
              </w:rPr>
            </w:pPr>
          </w:p>
        </w:tc>
        <w:tc>
          <w:tcPr>
            <w:tcW w:w="253"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项目效益</w:t>
            </w:r>
          </w:p>
        </w:tc>
        <w:tc>
          <w:tcPr>
            <w:tcW w:w="45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经济效益</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指标</w:t>
            </w:r>
          </w:p>
        </w:tc>
        <w:tc>
          <w:tcPr>
            <w:tcW w:w="136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贫困家庭增收</w:t>
            </w:r>
          </w:p>
        </w:tc>
        <w:tc>
          <w:tcPr>
            <w:tcW w:w="119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增加农村中小学家庭经济收入：</w:t>
            </w:r>
            <w:r>
              <w:rPr>
                <w:rFonts w:hint="eastAsia" w:ascii="宋体" w:hAnsi="宋体" w:cs="宋体"/>
                <w:color w:val="FF0000"/>
                <w:kern w:val="0"/>
                <w:sz w:val="20"/>
                <w:szCs w:val="20"/>
              </w:rPr>
              <w:t>760</w:t>
            </w:r>
            <w:r>
              <w:rPr>
                <w:rFonts w:hint="eastAsia" w:ascii="宋体" w:hAnsi="宋体" w:cs="宋体"/>
                <w:color w:val="000000" w:themeColor="text1"/>
                <w:kern w:val="0"/>
                <w:sz w:val="20"/>
                <w:szCs w:val="20"/>
                <w14:textFill>
                  <w14:solidFill>
                    <w14:schemeClr w14:val="tx1"/>
                  </w14:solidFill>
                </w14:textFill>
              </w:rPr>
              <w:t>元</w:t>
            </w:r>
          </w:p>
        </w:tc>
        <w:tc>
          <w:tcPr>
            <w:tcW w:w="1232"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农村中小学家庭经济收入增加</w:t>
            </w:r>
            <w:r>
              <w:rPr>
                <w:rFonts w:hint="eastAsia" w:ascii="宋体" w:hAnsi="宋体" w:cs="宋体"/>
                <w:color w:val="FF0000"/>
                <w:kern w:val="0"/>
                <w:sz w:val="20"/>
                <w:szCs w:val="20"/>
              </w:rPr>
              <w:t>760</w:t>
            </w:r>
            <w:r>
              <w:rPr>
                <w:rFonts w:hint="eastAsia" w:ascii="宋体" w:hAnsi="宋体" w:cs="宋体"/>
                <w:color w:val="000000" w:themeColor="text1"/>
                <w:kern w:val="0"/>
                <w:sz w:val="20"/>
                <w:szCs w:val="20"/>
                <w14:textFill>
                  <w14:solidFill>
                    <w14:schemeClr w14:val="tx1"/>
                  </w14:solidFill>
                </w14:textFill>
              </w:rPr>
              <w:t>元/年</w:t>
            </w:r>
          </w:p>
        </w:tc>
      </w:tr>
      <w:tr>
        <w:tblPrEx>
          <w:tblCellMar>
            <w:top w:w="0" w:type="dxa"/>
            <w:left w:w="108" w:type="dxa"/>
            <w:bottom w:w="0" w:type="dxa"/>
            <w:right w:w="108" w:type="dxa"/>
          </w:tblCellMar>
        </w:tblPrEx>
        <w:trPr>
          <w:trHeight w:val="720" w:hRule="atLeast"/>
        </w:trPr>
        <w:tc>
          <w:tcPr>
            <w:tcW w:w="497"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14:textFill>
                  <w14:solidFill>
                    <w14:schemeClr w14:val="tx1"/>
                  </w14:solidFill>
                </w14:textFill>
              </w:rPr>
            </w:pPr>
          </w:p>
        </w:tc>
        <w:tc>
          <w:tcPr>
            <w:tcW w:w="253"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p>
        </w:tc>
        <w:tc>
          <w:tcPr>
            <w:tcW w:w="45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社会效益</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指标</w:t>
            </w:r>
          </w:p>
        </w:tc>
        <w:tc>
          <w:tcPr>
            <w:tcW w:w="136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减轻贫困学生家庭负担</w:t>
            </w:r>
          </w:p>
        </w:tc>
        <w:tc>
          <w:tcPr>
            <w:tcW w:w="119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减轻贫困学生家庭负担，确保农村义务教育阶段学生入学</w:t>
            </w:r>
          </w:p>
        </w:tc>
        <w:tc>
          <w:tcPr>
            <w:tcW w:w="1232"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减轻了贫困家庭的经济负担，广大群众看到了变化，有了实实在在的"获得感"。</w:t>
            </w:r>
          </w:p>
        </w:tc>
      </w:tr>
      <w:tr>
        <w:tblPrEx>
          <w:tblCellMar>
            <w:top w:w="0" w:type="dxa"/>
            <w:left w:w="108" w:type="dxa"/>
            <w:bottom w:w="0" w:type="dxa"/>
            <w:right w:w="108" w:type="dxa"/>
          </w:tblCellMar>
        </w:tblPrEx>
        <w:trPr>
          <w:trHeight w:val="270" w:hRule="atLeast"/>
        </w:trPr>
        <w:tc>
          <w:tcPr>
            <w:tcW w:w="497"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14:textFill>
                  <w14:solidFill>
                    <w14:schemeClr w14:val="tx1"/>
                  </w14:solidFill>
                </w14:textFill>
              </w:rPr>
            </w:pPr>
          </w:p>
        </w:tc>
        <w:tc>
          <w:tcPr>
            <w:tcW w:w="253"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p>
        </w:tc>
        <w:tc>
          <w:tcPr>
            <w:tcW w:w="45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p>
        </w:tc>
        <w:tc>
          <w:tcPr>
            <w:tcW w:w="136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提高学生身体健康水平</w:t>
            </w:r>
          </w:p>
        </w:tc>
        <w:tc>
          <w:tcPr>
            <w:tcW w:w="119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全面提高学生身体健康水平</w:t>
            </w:r>
          </w:p>
        </w:tc>
        <w:tc>
          <w:tcPr>
            <w:tcW w:w="1232" w:type="pct"/>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从全区2018至2020年《国家学生体质健康标准》测试和学生调查问卷结果显示，与往年同期相比，农村学生平均身高、肺活量有所增加，学生肥胖现象有所减少，学习能力有所提高。</w:t>
            </w:r>
          </w:p>
        </w:tc>
      </w:tr>
      <w:tr>
        <w:tblPrEx>
          <w:tblCellMar>
            <w:top w:w="0" w:type="dxa"/>
            <w:left w:w="108" w:type="dxa"/>
            <w:bottom w:w="0" w:type="dxa"/>
            <w:right w:w="108" w:type="dxa"/>
          </w:tblCellMar>
        </w:tblPrEx>
        <w:trPr>
          <w:trHeight w:val="270" w:hRule="atLeast"/>
        </w:trPr>
        <w:tc>
          <w:tcPr>
            <w:tcW w:w="497"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14:textFill>
                  <w14:solidFill>
                    <w14:schemeClr w14:val="tx1"/>
                  </w14:solidFill>
                </w14:textFill>
              </w:rPr>
            </w:pPr>
          </w:p>
        </w:tc>
        <w:tc>
          <w:tcPr>
            <w:tcW w:w="253"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p>
        </w:tc>
        <w:tc>
          <w:tcPr>
            <w:tcW w:w="45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p>
        </w:tc>
        <w:tc>
          <w:tcPr>
            <w:tcW w:w="136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政策知晓率</w:t>
            </w:r>
          </w:p>
        </w:tc>
        <w:tc>
          <w:tcPr>
            <w:tcW w:w="119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政策知晓率：95%</w:t>
            </w:r>
          </w:p>
        </w:tc>
        <w:tc>
          <w:tcPr>
            <w:tcW w:w="1232" w:type="pct"/>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政策知晓率达98%</w:t>
            </w:r>
          </w:p>
        </w:tc>
      </w:tr>
      <w:tr>
        <w:tblPrEx>
          <w:tblCellMar>
            <w:top w:w="0" w:type="dxa"/>
            <w:left w:w="108" w:type="dxa"/>
            <w:bottom w:w="0" w:type="dxa"/>
            <w:right w:w="108" w:type="dxa"/>
          </w:tblCellMar>
        </w:tblPrEx>
        <w:trPr>
          <w:trHeight w:val="480" w:hRule="atLeast"/>
        </w:trPr>
        <w:tc>
          <w:tcPr>
            <w:tcW w:w="497"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14:textFill>
                  <w14:solidFill>
                    <w14:schemeClr w14:val="tx1"/>
                  </w14:solidFill>
                </w14:textFill>
              </w:rPr>
            </w:pPr>
          </w:p>
        </w:tc>
        <w:tc>
          <w:tcPr>
            <w:tcW w:w="253"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p>
        </w:tc>
        <w:tc>
          <w:tcPr>
            <w:tcW w:w="45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可持续影响</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指标</w:t>
            </w:r>
          </w:p>
        </w:tc>
        <w:tc>
          <w:tcPr>
            <w:tcW w:w="136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小学受助年限</w:t>
            </w:r>
          </w:p>
        </w:tc>
        <w:tc>
          <w:tcPr>
            <w:tcW w:w="119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小学教育阶段学生受助年限：6年</w:t>
            </w:r>
          </w:p>
        </w:tc>
        <w:tc>
          <w:tcPr>
            <w:tcW w:w="1232" w:type="pct"/>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小学教育阶段学生受助年限6年</w:t>
            </w:r>
          </w:p>
        </w:tc>
      </w:tr>
      <w:tr>
        <w:tblPrEx>
          <w:tblCellMar>
            <w:top w:w="0" w:type="dxa"/>
            <w:left w:w="108" w:type="dxa"/>
            <w:bottom w:w="0" w:type="dxa"/>
            <w:right w:w="108" w:type="dxa"/>
          </w:tblCellMar>
        </w:tblPrEx>
        <w:trPr>
          <w:trHeight w:val="480" w:hRule="atLeast"/>
        </w:trPr>
        <w:tc>
          <w:tcPr>
            <w:tcW w:w="497"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14:textFill>
                  <w14:solidFill>
                    <w14:schemeClr w14:val="tx1"/>
                  </w14:solidFill>
                </w14:textFill>
              </w:rPr>
            </w:pPr>
          </w:p>
        </w:tc>
        <w:tc>
          <w:tcPr>
            <w:tcW w:w="253"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p>
        </w:tc>
        <w:tc>
          <w:tcPr>
            <w:tcW w:w="45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p>
        </w:tc>
        <w:tc>
          <w:tcPr>
            <w:tcW w:w="136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初中受助年限</w:t>
            </w:r>
          </w:p>
        </w:tc>
        <w:tc>
          <w:tcPr>
            <w:tcW w:w="119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初中教育阶段学生受助年限：3年</w:t>
            </w:r>
          </w:p>
        </w:tc>
        <w:tc>
          <w:tcPr>
            <w:tcW w:w="1232" w:type="pct"/>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初中教育阶段学生受助年限3年</w:t>
            </w:r>
          </w:p>
        </w:tc>
      </w:tr>
      <w:tr>
        <w:tblPrEx>
          <w:tblCellMar>
            <w:top w:w="0" w:type="dxa"/>
            <w:left w:w="108" w:type="dxa"/>
            <w:bottom w:w="0" w:type="dxa"/>
            <w:right w:w="108" w:type="dxa"/>
          </w:tblCellMar>
        </w:tblPrEx>
        <w:trPr>
          <w:trHeight w:val="480" w:hRule="atLeast"/>
        </w:trPr>
        <w:tc>
          <w:tcPr>
            <w:tcW w:w="497"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14:textFill>
                  <w14:solidFill>
                    <w14:schemeClr w14:val="tx1"/>
                  </w14:solidFill>
                </w14:textFill>
              </w:rPr>
            </w:pPr>
          </w:p>
        </w:tc>
        <w:tc>
          <w:tcPr>
            <w:tcW w:w="253"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p>
        </w:tc>
        <w:tc>
          <w:tcPr>
            <w:tcW w:w="45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p>
        </w:tc>
        <w:tc>
          <w:tcPr>
            <w:tcW w:w="136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对社会、经济发展的持续影响</w:t>
            </w:r>
          </w:p>
        </w:tc>
        <w:tc>
          <w:tcPr>
            <w:tcW w:w="119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对社会、经济发展可持续影响：100%</w:t>
            </w:r>
          </w:p>
        </w:tc>
        <w:tc>
          <w:tcPr>
            <w:tcW w:w="1232" w:type="pct"/>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项目的实施对加快农村教育发展，促进教育公平起了积极的作用，各农村义务教育阶段学校就读学生数明显增加，有效缓解了城区学位压力。</w:t>
            </w:r>
          </w:p>
        </w:tc>
      </w:tr>
      <w:tr>
        <w:tblPrEx>
          <w:tblCellMar>
            <w:top w:w="0" w:type="dxa"/>
            <w:left w:w="108" w:type="dxa"/>
            <w:bottom w:w="0" w:type="dxa"/>
            <w:right w:w="108" w:type="dxa"/>
          </w:tblCellMar>
        </w:tblPrEx>
        <w:trPr>
          <w:trHeight w:val="270" w:hRule="atLeast"/>
        </w:trPr>
        <w:tc>
          <w:tcPr>
            <w:tcW w:w="497"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14:textFill>
                  <w14:solidFill>
                    <w14:schemeClr w14:val="tx1"/>
                  </w14:solidFill>
                </w14:textFill>
              </w:rPr>
            </w:pPr>
          </w:p>
        </w:tc>
        <w:tc>
          <w:tcPr>
            <w:tcW w:w="253"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满意度指标</w:t>
            </w:r>
          </w:p>
        </w:tc>
        <w:tc>
          <w:tcPr>
            <w:tcW w:w="45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满意度指标</w:t>
            </w:r>
          </w:p>
        </w:tc>
        <w:tc>
          <w:tcPr>
            <w:tcW w:w="136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学生满意度</w:t>
            </w:r>
          </w:p>
        </w:tc>
        <w:tc>
          <w:tcPr>
            <w:tcW w:w="119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享受营养餐学生满意度：85%</w:t>
            </w:r>
          </w:p>
        </w:tc>
        <w:tc>
          <w:tcPr>
            <w:tcW w:w="1232" w:type="pct"/>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享受营养餐学生满意度97%</w:t>
            </w:r>
          </w:p>
        </w:tc>
      </w:tr>
      <w:tr>
        <w:tblPrEx>
          <w:tblCellMar>
            <w:top w:w="0" w:type="dxa"/>
            <w:left w:w="108" w:type="dxa"/>
            <w:bottom w:w="0" w:type="dxa"/>
            <w:right w:w="108" w:type="dxa"/>
          </w:tblCellMar>
        </w:tblPrEx>
        <w:trPr>
          <w:trHeight w:val="270" w:hRule="atLeast"/>
        </w:trPr>
        <w:tc>
          <w:tcPr>
            <w:tcW w:w="497"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14:textFill>
                  <w14:solidFill>
                    <w14:schemeClr w14:val="tx1"/>
                  </w14:solidFill>
                </w14:textFill>
              </w:rPr>
            </w:pPr>
          </w:p>
        </w:tc>
        <w:tc>
          <w:tcPr>
            <w:tcW w:w="253"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p>
        </w:tc>
        <w:tc>
          <w:tcPr>
            <w:tcW w:w="45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p>
        </w:tc>
        <w:tc>
          <w:tcPr>
            <w:tcW w:w="136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家长满意度</w:t>
            </w:r>
          </w:p>
        </w:tc>
        <w:tc>
          <w:tcPr>
            <w:tcW w:w="119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享受营养餐学生家长满意度：85%</w:t>
            </w:r>
          </w:p>
        </w:tc>
        <w:tc>
          <w:tcPr>
            <w:tcW w:w="1232" w:type="pct"/>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享受营养餐学生家长满意度95%</w:t>
            </w:r>
          </w:p>
        </w:tc>
      </w:tr>
    </w:tbl>
    <w:p>
      <w:pPr>
        <w:widowControl/>
        <w:jc w:val="left"/>
        <w:rPr>
          <w:rFonts w:ascii="黑体" w:hAnsi="黑体" w:eastAsia="黑体"/>
          <w:color w:val="000000" w:themeColor="text1"/>
          <w:sz w:val="44"/>
          <w:szCs w:val="44"/>
          <w14:textFill>
            <w14:solidFill>
              <w14:schemeClr w14:val="tx1"/>
            </w14:solidFill>
          </w14:textFill>
        </w:rPr>
      </w:pPr>
      <w:r>
        <w:rPr>
          <w:rFonts w:ascii="黑体" w:hAnsi="黑体" w:eastAsia="黑体"/>
          <w:color w:val="000000" w:themeColor="text1"/>
          <w:sz w:val="44"/>
          <w:szCs w:val="44"/>
          <w14:textFill>
            <w14:solidFill>
              <w14:schemeClr w14:val="tx1"/>
            </w14:solidFill>
          </w14:textFill>
        </w:rPr>
        <w:br w:type="page"/>
      </w:r>
    </w:p>
    <w:p>
      <w:pPr>
        <w:pStyle w:val="3"/>
        <w:rPr>
          <w:rStyle w:val="24"/>
          <w:rFonts w:ascii="仿宋" w:hAnsi="仿宋" w:eastAsia="仿宋"/>
          <w:b w:val="0"/>
          <w:bCs w:val="0"/>
          <w:sz w:val="32"/>
        </w:rPr>
      </w:pPr>
      <w:bookmarkStart w:id="75" w:name="_Toc19089883"/>
      <w:r>
        <w:rPr>
          <w:rStyle w:val="24"/>
          <w:rFonts w:hint="eastAsia" w:ascii="仿宋" w:hAnsi="仿宋" w:eastAsia="仿宋"/>
          <w:b w:val="0"/>
          <w:bCs w:val="0"/>
          <w:sz w:val="32"/>
        </w:rPr>
        <w:t>附件5</w:t>
      </w:r>
      <w:bookmarkEnd w:id="75"/>
    </w:p>
    <w:p>
      <w:pPr>
        <w:spacing w:line="580" w:lineRule="exact"/>
        <w:jc w:val="center"/>
        <w:rPr>
          <w:rFonts w:ascii="黑体" w:hAnsi="黑体" w:eastAsia="黑体" w:cs="方正小标宋简体"/>
          <w:sz w:val="44"/>
          <w:szCs w:val="44"/>
        </w:rPr>
      </w:pPr>
      <w:r>
        <w:rPr>
          <w:rFonts w:hint="eastAsia" w:ascii="黑体" w:hAnsi="黑体" w:eastAsia="黑体" w:cs="方正小标宋简体"/>
          <w:sz w:val="44"/>
          <w:szCs w:val="44"/>
        </w:rPr>
        <w:t>2020年川师大万达中学公用经费补助项目支出绩效评价报告</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w:t>
      </w:r>
      <w:r>
        <w:rPr>
          <w:rFonts w:ascii="仿宋" w:hAnsi="仿宋" w:eastAsia="仿宋" w:cs="仿宋_GB2312"/>
          <w:sz w:val="32"/>
          <w:szCs w:val="32"/>
        </w:rPr>
        <w:t>、评价工作开展及项目情况</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(一)项目基本情况</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川师大万达中学项目是由市政府引进大连万达商业地产股份有限公司捐赠资金及四川师范大学优质教育品牌新建的一所公办完全中学，该校于2015年竣工并投入使用，由利州区政府负责建设和管理。</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万达中学现有教学班85个，其中初中53个、高中32个；学生总数3296人，其中初中2052人，高中1244人；现有教师276人，其中初中155人，高中121人</w:t>
      </w:r>
      <w:r>
        <w:rPr>
          <w:rFonts w:hint="eastAsia" w:ascii="仿宋" w:hAnsi="仿宋" w:eastAsia="仿宋" w:cs="仿宋_GB2312"/>
          <w:sz w:val="32"/>
          <w:szCs w:val="32"/>
          <w:lang w:eastAsia="zh-CN"/>
        </w:rPr>
        <w:t>，</w:t>
      </w:r>
      <w:r>
        <w:rPr>
          <w:rFonts w:hint="eastAsia" w:ascii="仿宋" w:hAnsi="仿宋" w:eastAsia="仿宋" w:cs="仿宋_GB2312"/>
          <w:sz w:val="32"/>
          <w:szCs w:val="32"/>
        </w:rPr>
        <w:t>研究生学历 45人，大学本科学历 231人，学历达标率100%。</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万达中学自成立以来，为保障该校正常运转，完成教育教学活动和其它日常工作任务，加快推进省一级示范性高中创建工作，经区委、区政府批准给予每年50万元公用经费补助，该项经费的具体开支范围包括：教学业务与管理、教学竞赛、教学质量提升及第三方评价的政府购买服务、办公、会议、印刷、教师培训、实验实习、文体活动、水电、取暖、交通差旅、邮电、教育信息化网络费用、仪器设备及图书资料等购置、学生课桌凳、床铺、食堂设施设备的零星补充购置及维修维护，房屋、建筑物、校园内道路、围墙、大门、运动场地、教室内教师讲台及仪器设备的日常维修维护，校园绿化美化、校园文化建设、学生健康体检、校方责任保险、公务接待费</w:t>
      </w:r>
      <w:r>
        <w:rPr>
          <w:rFonts w:hint="eastAsia" w:ascii="仿宋" w:hAnsi="仿宋" w:eastAsia="仿宋" w:cs="仿宋_GB2312"/>
          <w:sz w:val="32"/>
          <w:szCs w:val="32"/>
          <w:lang w:val="en-US" w:eastAsia="zh-CN"/>
        </w:rPr>
        <w:t>和</w:t>
      </w:r>
      <w:r>
        <w:rPr>
          <w:rFonts w:hint="eastAsia" w:ascii="仿宋" w:hAnsi="仿宋" w:eastAsia="仿宋" w:cs="仿宋_GB2312"/>
          <w:sz w:val="32"/>
          <w:szCs w:val="32"/>
        </w:rPr>
        <w:t>非财政供养人员经费等。</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（二）绩效评价指标体系</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绩效评价指标是指衡量绩效目标实现程度的考核工具。绩效评价指标的确定应当遵循以下原则：相关性原则、重要性原则、可比性原则、系统性原则、经济性原则。绩效评价指标分为共性指标和个性指标，共性指标由财政部门统一制定，个性指标由财政部门会同预算部门制定。</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被评价项目绩效评价指标体系设置</w:t>
      </w:r>
      <w:r>
        <w:rPr>
          <w:rFonts w:hint="eastAsia" w:ascii="仿宋" w:hAnsi="仿宋" w:eastAsia="仿宋" w:cs="仿宋_GB2312"/>
          <w:sz w:val="32"/>
          <w:szCs w:val="32"/>
          <w:lang w:val="en-US" w:eastAsia="zh-CN"/>
        </w:rPr>
        <w:t>3</w:t>
      </w:r>
      <w:r>
        <w:rPr>
          <w:rFonts w:hint="eastAsia" w:ascii="仿宋" w:hAnsi="仿宋" w:eastAsia="仿宋" w:cs="仿宋_GB2312"/>
          <w:sz w:val="32"/>
          <w:szCs w:val="32"/>
        </w:rPr>
        <w:t>个一级指标、</w:t>
      </w:r>
      <w:r>
        <w:rPr>
          <w:rFonts w:hint="eastAsia" w:ascii="仿宋" w:hAnsi="仿宋" w:eastAsia="仿宋" w:cs="仿宋_GB2312"/>
          <w:sz w:val="32"/>
          <w:szCs w:val="32"/>
          <w:lang w:val="en-US" w:eastAsia="zh-CN"/>
        </w:rPr>
        <w:t>7</w:t>
      </w:r>
      <w:r>
        <w:rPr>
          <w:rFonts w:hint="eastAsia" w:ascii="仿宋" w:hAnsi="仿宋" w:eastAsia="仿宋" w:cs="仿宋_GB2312"/>
          <w:sz w:val="32"/>
          <w:szCs w:val="32"/>
        </w:rPr>
        <w:t>个二级指标、</w:t>
      </w:r>
      <w:r>
        <w:rPr>
          <w:rFonts w:hint="eastAsia" w:ascii="仿宋" w:hAnsi="仿宋" w:eastAsia="仿宋" w:cs="仿宋_GB2312"/>
          <w:sz w:val="32"/>
          <w:szCs w:val="32"/>
          <w:lang w:val="en-US" w:eastAsia="zh-CN"/>
        </w:rPr>
        <w:t>14</w:t>
      </w:r>
      <w:r>
        <w:rPr>
          <w:rFonts w:hint="eastAsia" w:ascii="仿宋" w:hAnsi="仿宋" w:eastAsia="仿宋" w:cs="仿宋_GB2312"/>
          <w:sz w:val="32"/>
          <w:szCs w:val="32"/>
        </w:rPr>
        <w:t>个三级指标。</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（1）一级指标：设置项目完成、项目效益、满意度指标</w:t>
      </w:r>
      <w:r>
        <w:rPr>
          <w:rFonts w:hint="eastAsia" w:ascii="仿宋" w:hAnsi="仿宋" w:eastAsia="仿宋" w:cs="仿宋_GB2312"/>
          <w:sz w:val="32"/>
          <w:szCs w:val="32"/>
          <w:lang w:val="en-US" w:eastAsia="zh-CN"/>
        </w:rPr>
        <w:t>3</w:t>
      </w:r>
      <w:r>
        <w:rPr>
          <w:rFonts w:hint="eastAsia" w:ascii="仿宋" w:hAnsi="仿宋" w:eastAsia="仿宋" w:cs="仿宋_GB2312"/>
          <w:sz w:val="32"/>
          <w:szCs w:val="32"/>
        </w:rPr>
        <w:t>个。</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（2）二级指标：项目完成设置数量目标、质量指标、时效指标和成本指标</w:t>
      </w:r>
      <w:r>
        <w:rPr>
          <w:rFonts w:hint="eastAsia" w:ascii="仿宋" w:hAnsi="仿宋" w:eastAsia="仿宋" w:cs="仿宋_GB2312"/>
          <w:sz w:val="32"/>
          <w:szCs w:val="32"/>
          <w:lang w:val="en-US" w:eastAsia="zh-CN"/>
        </w:rPr>
        <w:t>4</w:t>
      </w:r>
      <w:r>
        <w:rPr>
          <w:rFonts w:hint="eastAsia" w:ascii="仿宋" w:hAnsi="仿宋" w:eastAsia="仿宋" w:cs="仿宋_GB2312"/>
          <w:sz w:val="32"/>
          <w:szCs w:val="32"/>
        </w:rPr>
        <w:t>个，项目效益设置社会效益和可持续影响指标</w:t>
      </w:r>
      <w:r>
        <w:rPr>
          <w:rFonts w:hint="eastAsia" w:ascii="仿宋" w:hAnsi="仿宋" w:eastAsia="仿宋" w:cs="仿宋_GB2312"/>
          <w:sz w:val="32"/>
          <w:szCs w:val="32"/>
          <w:lang w:val="en-US" w:eastAsia="zh-CN"/>
        </w:rPr>
        <w:t>2</w:t>
      </w:r>
      <w:r>
        <w:rPr>
          <w:rFonts w:hint="eastAsia" w:ascii="仿宋" w:hAnsi="仿宋" w:eastAsia="仿宋" w:cs="仿宋_GB2312"/>
          <w:sz w:val="32"/>
          <w:szCs w:val="32"/>
        </w:rPr>
        <w:t>个，满意度指标设置社会满意度指标</w:t>
      </w:r>
      <w:r>
        <w:rPr>
          <w:rFonts w:hint="eastAsia" w:ascii="仿宋" w:hAnsi="仿宋" w:eastAsia="仿宋" w:cs="仿宋_GB2312"/>
          <w:sz w:val="32"/>
          <w:szCs w:val="32"/>
          <w:lang w:val="en-US" w:eastAsia="zh-CN"/>
        </w:rPr>
        <w:t>1</w:t>
      </w:r>
      <w:r>
        <w:rPr>
          <w:rFonts w:hint="eastAsia" w:ascii="仿宋" w:hAnsi="仿宋" w:eastAsia="仿宋" w:cs="仿宋_GB2312"/>
          <w:sz w:val="32"/>
          <w:szCs w:val="32"/>
        </w:rPr>
        <w:t>个。</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3）三级指标：数量指标设置补助学校数、收益学生和建档立卡学生收益率3个，质量指标设置建档立卡学生完成学业率、贫困家庭学生完成学业率和年度工作目标完成率指标3个；时效指标设置按时划拨经费指标2个，成本指标执行设置补助标准1个；社会效益设置减轻学生家庭负担指标1个；可持续影响指标设置补助年限、可持续发展影响指标2个；社会满意度指标设置学生满意度、教师满意度指标2个。</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（三）评价标准和评价方法</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1.评价标准</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绩效评价标准是指衡量财政支出绩效目标完成程度的尺度。绩效评价标准具体包括：计划标准、行业标准、历史标准、其他经财政部门确认的标准。</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2.评价方法</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绩效评价方法主要采用成本效益分析法、比较法、因素分析法、最低成本法、公众评判法等。</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项目评价实施方案情况（包括选点、评价指标、评价方法、基础数据表等情况）</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w:t>
      </w:r>
      <w:r>
        <w:rPr>
          <w:rFonts w:ascii="仿宋" w:hAnsi="仿宋" w:eastAsia="仿宋" w:cs="仿宋_GB2312"/>
          <w:sz w:val="32"/>
          <w:szCs w:val="32"/>
        </w:rPr>
        <w:t>、评价结论及绩效分析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（一）评价结论</w:t>
      </w:r>
    </w:p>
    <w:p>
      <w:pPr>
        <w:spacing w:line="500" w:lineRule="exact"/>
        <w:ind w:firstLine="640"/>
        <w:rPr>
          <w:rFonts w:ascii="仿宋" w:hAnsi="仿宋" w:eastAsia="仿宋" w:cs="宋体"/>
          <w:color w:val="000000" w:themeColor="text1"/>
          <w:kern w:val="0"/>
          <w:sz w:val="32"/>
          <w:szCs w:val="32"/>
          <w14:textFill>
            <w14:solidFill>
              <w14:schemeClr w14:val="tx1"/>
            </w14:solidFill>
          </w14:textFill>
        </w:rPr>
      </w:pPr>
      <w:bookmarkStart w:id="76" w:name="OLE_LINK2"/>
      <w:r>
        <w:rPr>
          <w:rFonts w:hint="eastAsia" w:ascii="仿宋" w:hAnsi="仿宋" w:eastAsia="仿宋" w:cs="仿宋_GB2312"/>
          <w:sz w:val="32"/>
          <w:szCs w:val="32"/>
        </w:rPr>
        <w:t>通过项目实施，该校教育教学活动有序开展，圆满完成教育教学年度目标。同时，学校的其它各项工作均取得了较好的成绩，多次得到上级有关部门表彰。</w:t>
      </w:r>
      <w:bookmarkEnd w:id="76"/>
      <w:r>
        <w:rPr>
          <w:rFonts w:hint="eastAsia" w:ascii="仿宋" w:hAnsi="仿宋" w:eastAsia="仿宋"/>
          <w:color w:val="000000" w:themeColor="text1"/>
          <w:sz w:val="32"/>
          <w:szCs w:val="32"/>
          <w14:textFill>
            <w14:solidFill>
              <w14:schemeClr w14:val="tx1"/>
            </w14:solidFill>
          </w14:textFill>
        </w:rPr>
        <w:t>校长姚辉荣获广元市2020教学质量管理先进个人；李致宇、赵玉婷、王春桥获市级名师称号；周元杰、李致宇、彭思文分别获得市级优秀教师、优秀教育工作者等荣誉称号；周磊、虎东魁</w:t>
      </w:r>
      <w:r>
        <w:rPr>
          <w:rFonts w:hint="eastAsia" w:ascii="仿宋" w:hAnsi="仿宋" w:eastAsia="仿宋" w:cs="宋体"/>
          <w:color w:val="000000" w:themeColor="text1"/>
          <w:kern w:val="0"/>
          <w:sz w:val="32"/>
          <w:szCs w:val="32"/>
          <w14:textFill>
            <w14:solidFill>
              <w14:schemeClr w14:val="tx1"/>
            </w14:solidFill>
          </w14:textFill>
        </w:rPr>
        <w:t>等老师指导的学生参加省、市学科竞赛有23人次获省市奖励；黄子会等84人次老师的教研论文荣获国家、省、市级奖励；王玮婷等22人次老师参加市级以上赛课获得表彰奖励。</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1、项目决策</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根据市、区人民政府与大连万达商业地产股份有限公司等五方共同签订的《捐资建学协议》，万达中学将以建成省一级示范性高中（原国家重点中学）为办学目标，学校教学质量和整体办学水平的提高，不仅需要先进的教学设施设备，还需要优秀的教师及管理团</w:t>
      </w:r>
      <w:r>
        <w:rPr>
          <w:rFonts w:hint="eastAsia" w:ascii="仿宋" w:hAnsi="仿宋" w:eastAsia="仿宋" w:cs="仿宋_GB2312"/>
          <w:color w:val="000000" w:themeColor="text1"/>
          <w:sz w:val="32"/>
          <w:szCs w:val="32"/>
          <w14:textFill>
            <w14:solidFill>
              <w14:schemeClr w14:val="tx1"/>
            </w14:solidFill>
          </w14:textFill>
        </w:rPr>
        <w:t>队。自2016年起，区级财政每年向该校配套高中公用经费补助50万元，有利于该校不断提高设施设备配备水平，有利于引进优秀教师和管理人才，为省一级示范性高中的创建工作提供了强</w:t>
      </w:r>
      <w:r>
        <w:rPr>
          <w:rFonts w:hint="eastAsia" w:ascii="仿宋" w:hAnsi="仿宋" w:eastAsia="仿宋" w:cs="仿宋_GB2312"/>
          <w:sz w:val="32"/>
          <w:szCs w:val="32"/>
        </w:rPr>
        <w:t>力保障。</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2、项目管理</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w:t>
      </w:r>
      <w:r>
        <w:rPr>
          <w:rFonts w:ascii="仿宋" w:hAnsi="仿宋" w:eastAsia="仿宋" w:cs="仿宋_GB2312"/>
          <w:sz w:val="32"/>
          <w:szCs w:val="32"/>
        </w:rPr>
        <w:t>资金</w:t>
      </w:r>
      <w:r>
        <w:rPr>
          <w:rFonts w:hint="eastAsia" w:ascii="仿宋" w:hAnsi="仿宋" w:eastAsia="仿宋" w:cs="仿宋_GB2312"/>
          <w:sz w:val="32"/>
          <w:szCs w:val="32"/>
        </w:rPr>
        <w:t>到位</w:t>
      </w:r>
      <w:r>
        <w:rPr>
          <w:rFonts w:ascii="仿宋" w:hAnsi="仿宋" w:eastAsia="仿宋" w:cs="仿宋_GB2312"/>
          <w:sz w:val="32"/>
          <w:szCs w:val="32"/>
        </w:rPr>
        <w:t>情况（资金分配管理的科学合理性）</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该项目资金共50万元，由我局按照春秋两季分别通过财政大平台拨付到位。</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w:t>
      </w:r>
      <w:r>
        <w:rPr>
          <w:rFonts w:ascii="仿宋" w:hAnsi="仿宋" w:eastAsia="仿宋" w:cs="仿宋_GB2312"/>
          <w:sz w:val="32"/>
          <w:szCs w:val="32"/>
        </w:rPr>
        <w:t>资金使用情况（项目、资金管理的科学规范性）</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在经费使用过程中，我们严格按照预算批复拨付经费。项目学校严格执行国家、省和市、区教育公用经费开支的范围和标准，经费支出规范、合理，无虚列、虚报冒领和挤占挪用现象，票据规范、合法有效。财务信息公开透明，对预算批复、执行和“三公”经费等基本支出以及设施设备采购和校舍维修等大额支出情况，主动公示并接受师生和群众监督。在区财政和教育主管部门定期组织对学校经费使用情况的检查、审计中未发现重大违规、违纪现象。</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3、项目绩效</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w:t>
      </w:r>
      <w:r>
        <w:rPr>
          <w:rFonts w:ascii="仿宋" w:hAnsi="仿宋" w:eastAsia="仿宋" w:cs="仿宋_GB2312"/>
          <w:sz w:val="32"/>
          <w:szCs w:val="32"/>
        </w:rPr>
        <w:t>项目目标完成情况（数量、质量、时效、成本）</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项目学校</w:t>
      </w:r>
      <w:r>
        <w:rPr>
          <w:rFonts w:hint="eastAsia" w:ascii="仿宋" w:hAnsi="仿宋" w:eastAsia="仿宋"/>
          <w:color w:val="000000" w:themeColor="text1"/>
          <w:sz w:val="32"/>
          <w:szCs w:val="32"/>
          <w14:textFill>
            <w14:solidFill>
              <w14:schemeClr w14:val="tx1"/>
            </w14:solidFill>
          </w14:textFill>
        </w:rPr>
        <w:t>坚持每周教研活动分学科学习，学年寒暑假期集中学习制，并特邀金太阳教育专家、绵阳市教育科研所专家、四川省名校长工作室专家到校作教学质量提升策略讲座与学术交流。</w:t>
      </w:r>
      <w:r>
        <w:rPr>
          <w:rFonts w:hint="eastAsia" w:ascii="仿宋" w:hAnsi="仿宋" w:eastAsia="仿宋"/>
          <w:color w:val="000000" w:themeColor="text1"/>
          <w:sz w:val="32"/>
          <w:szCs w:val="32"/>
          <w:lang w:val="en-US" w:eastAsia="zh-CN"/>
          <w14:textFill>
            <w14:solidFill>
              <w14:schemeClr w14:val="tx1"/>
            </w14:solidFill>
          </w14:textFill>
        </w:rPr>
        <w:t>该校</w:t>
      </w:r>
      <w:r>
        <w:rPr>
          <w:rFonts w:hint="eastAsia" w:ascii="仿宋" w:hAnsi="仿宋" w:eastAsia="仿宋"/>
          <w:color w:val="000000" w:themeColor="text1"/>
          <w:sz w:val="32"/>
          <w:szCs w:val="32"/>
          <w14:textFill>
            <w14:solidFill>
              <w14:schemeClr w14:val="tx1"/>
            </w14:solidFill>
          </w14:textFill>
        </w:rPr>
        <w:t>总计派出100余人次教师到市内、市外、省外参加各级各类高效课堂研讨会、复习备考会以及业务提升学习培训；先后同川师大四中、苍溪中学、棠湖中学开展同课异构、友好教学交流活动；继42位老师从南山中学学习归来后，今年8月30日又派出2位老师去绵阳南山中学跟岗学习。</w:t>
      </w:r>
    </w:p>
    <w:p>
      <w:pPr>
        <w:spacing w:line="500" w:lineRule="exact"/>
        <w:ind w:firstLine="643"/>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继</w:t>
      </w:r>
      <w:r>
        <w:rPr>
          <w:rFonts w:hint="eastAsia" w:ascii="仿宋" w:hAnsi="仿宋" w:eastAsia="仿宋"/>
          <w:color w:val="000000" w:themeColor="text1"/>
          <w:sz w:val="32"/>
          <w:szCs w:val="32"/>
          <w:lang w:val="en-US" w:eastAsia="zh-CN"/>
          <w14:textFill>
            <w14:solidFill>
              <w14:schemeClr w14:val="tx1"/>
            </w14:solidFill>
          </w14:textFill>
        </w:rPr>
        <w:t>该校</w:t>
      </w:r>
      <w:r>
        <w:rPr>
          <w:rFonts w:hint="eastAsia" w:ascii="仿宋" w:hAnsi="仿宋" w:eastAsia="仿宋"/>
          <w:color w:val="000000" w:themeColor="text1"/>
          <w:sz w:val="32"/>
          <w:szCs w:val="32"/>
          <w14:textFill>
            <w14:solidFill>
              <w14:schemeClr w14:val="tx1"/>
            </w14:solidFill>
          </w14:textFill>
        </w:rPr>
        <w:t>数学组承研的教育部中国智慧教育督导的“十三五”重点规划课题《教师教学能力发展研究》子课题“以问题为中心的生本课堂教学初探”、语文组承研的中国语文现代化学会“十三五”重点规划课题《古代经典阅读与中华优秀文化传承》2019年结题，并荣获一等奖后，本年度，英语组主研的国家级课题《新课改背景下智慧课堂与高中英语阅读教学深度实践融合》结题；政治组赵玉婷老师主研的国家级课题《新课程背景下高中政治教学有效性研究》结题；语文组申报的省级课题《基于群文阅读的高中语文文学作品课堂建模研究》又批准立项。</w:t>
      </w:r>
    </w:p>
    <w:p>
      <w:pPr>
        <w:spacing w:line="500" w:lineRule="exact"/>
        <w:ind w:firstLine="627" w:firstLineChars="196"/>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学校全方面抓实德育工作，重视学生综合素质的培养，学生综合能力得到全面提升。本年度，</w:t>
      </w:r>
      <w:r>
        <w:rPr>
          <w:rFonts w:hint="eastAsia" w:ascii="仿宋" w:hAnsi="仿宋" w:eastAsia="仿宋"/>
          <w:color w:val="000000" w:themeColor="text1"/>
          <w:sz w:val="32"/>
          <w:szCs w:val="32"/>
          <w:lang w:val="en-US" w:eastAsia="zh-CN"/>
          <w14:textFill>
            <w14:solidFill>
              <w14:schemeClr w14:val="tx1"/>
            </w14:solidFill>
          </w14:textFill>
        </w:rPr>
        <w:t>该校</w:t>
      </w:r>
      <w:r>
        <w:rPr>
          <w:rFonts w:hint="eastAsia" w:ascii="仿宋" w:hAnsi="仿宋" w:eastAsia="仿宋"/>
          <w:color w:val="000000" w:themeColor="text1"/>
          <w:sz w:val="32"/>
          <w:szCs w:val="32"/>
          <w14:textFill>
            <w14:solidFill>
              <w14:schemeClr w14:val="tx1"/>
            </w14:solidFill>
          </w14:textFill>
        </w:rPr>
        <w:t>学生参加广元市教育局、民政局、广元日报社组织的第三届“小青草”征文系列活动，敬耀秋、贾雨昕等6名同学获一、二等奖，学校荣获“优秀组织”奖；参加广元市教育局组织的“拒绝舌尖上的浪费”视频创作赛，贾清蓉、李明霞等5名同学获一、二等奖，学校集体获一等奖；参加广元市教育局组织的“经典诵读讲演写”比赛，杨凤若、张南山同学分获一二等奖；参加广元市教育局组织的“优学乐学”在线教育案例征文比赛，王李瑞、杨文等5名同学分获一二三等奖；参加广元市教育局组织的“世界环境日文轩教育杯漫画比赛，杨懿、赵佩君获二等奖；参加广元市教育局组织的“学习新思想，做好接班人”主题征文比赛，严欢、白梦雨、胡俊杰等6位同学获一二等奖；参加四川省教育厅组织的“学宪法、讲宪法”演讲比赛，汪彦伶同学获三等奖；参加四川省教育厅组织的“中小学电脑制作活动”，张奇同学获一等奖（入围全国决赛），谢玲、徐菲等4名同学获二等奖。</w:t>
      </w:r>
    </w:p>
    <w:p>
      <w:pPr>
        <w:spacing w:line="500" w:lineRule="exact"/>
        <w:ind w:firstLine="627" w:firstLineChars="196"/>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学校严格按照疫情防控管理制度，认真落实《晨午晚检制》《学生因病缺勤登记、病因追踪报告制》《学生健康管理制》《环境卫生检查通报制》《通风换气消毒制》等制度，做到疫情防控常态化，确保师生健康安全。本年度，学校多次接受省市区防疫安全检查，均受到好评。</w:t>
      </w:r>
    </w:p>
    <w:p>
      <w:pPr>
        <w:spacing w:line="500" w:lineRule="exact"/>
        <w:ind w:firstLine="640" w:firstLineChars="200"/>
        <w:rPr>
          <w:rFonts w:ascii="仿宋" w:hAnsi="仿宋" w:eastAsia="仿宋" w:cs="仿宋_GB2312"/>
          <w:sz w:val="32"/>
          <w:szCs w:val="32"/>
        </w:rPr>
      </w:pPr>
      <w:r>
        <w:rPr>
          <w:rFonts w:hint="eastAsia" w:ascii="仿宋" w:hAnsi="仿宋" w:eastAsia="仿宋"/>
          <w:color w:val="000000" w:themeColor="text1"/>
          <w:sz w:val="32"/>
          <w:szCs w:val="32"/>
          <w14:textFill>
            <w14:solidFill>
              <w14:schemeClr w14:val="tx1"/>
            </w14:solidFill>
          </w14:textFill>
        </w:rPr>
        <w:t>2020年高考，</w:t>
      </w:r>
      <w:r>
        <w:rPr>
          <w:rFonts w:hint="eastAsia" w:ascii="仿宋" w:hAnsi="仿宋" w:eastAsia="仿宋"/>
          <w:color w:val="000000"/>
          <w:sz w:val="32"/>
          <w:szCs w:val="32"/>
        </w:rPr>
        <w:t>一本上线93人，较去年增长35人；本科上线295人，较去年增长112人；34名同学被国家“双一流”大学录取。按广元市教育科学研究所表彰数据统计，</w:t>
      </w:r>
      <w:r>
        <w:rPr>
          <w:rFonts w:hint="eastAsia" w:ascii="仿宋" w:hAnsi="仿宋" w:eastAsia="仿宋"/>
          <w:color w:val="000000"/>
          <w:sz w:val="32"/>
          <w:szCs w:val="32"/>
          <w:lang w:val="en-US" w:eastAsia="zh-CN"/>
        </w:rPr>
        <w:t>该校</w:t>
      </w:r>
      <w:r>
        <w:rPr>
          <w:rFonts w:hint="eastAsia" w:ascii="仿宋" w:hAnsi="仿宋" w:eastAsia="仿宋"/>
          <w:color w:val="000000"/>
          <w:sz w:val="32"/>
          <w:szCs w:val="32"/>
        </w:rPr>
        <w:t>一本、二本增长人数，入口平均分、入口优生全市前8000名培养发展均位居全市前三名。由此，学校与广元中学、天立等学校荣获“广元市2020年高中教学质量考核二等奖”。</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w:t>
      </w:r>
      <w:r>
        <w:rPr>
          <w:rFonts w:ascii="仿宋" w:hAnsi="仿宋" w:eastAsia="仿宋" w:cs="仿宋_GB2312"/>
          <w:sz w:val="32"/>
          <w:szCs w:val="32"/>
        </w:rPr>
        <w:t>项目效益情况（经济效益、项目社会效益、生态效益、可持续效益、公平性、资金使用效率、受益群体满意度等）。</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一是财务管理进一步规范。坚持以服务教育教学为中心，以保障正常开展各项日常教育教学活动为重点，为学校日常运转提供了有力保障。</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二是办学条件进一步加强。</w:t>
      </w:r>
      <w:bookmarkStart w:id="77" w:name="OLE_LINK3"/>
      <w:r>
        <w:rPr>
          <w:rFonts w:hint="eastAsia" w:ascii="仿宋" w:hAnsi="仿宋" w:eastAsia="仿宋" w:cs="仿宋_GB2312"/>
          <w:sz w:val="32"/>
          <w:szCs w:val="32"/>
        </w:rPr>
        <w:t>学校设施设备发生了巨大的变化，办学条件得到了进一步加强，为创建省级示范性高中打下了良好的基础。</w:t>
      </w:r>
      <w:bookmarkEnd w:id="77"/>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三是教师业务水平不断提升。随着公用经费支出中对校本教研和教师培训经费保障的进一步强化，为教师提供了更多的学习、培训机会，教师专业化水平和综合素质得到了不断提升。</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四是群众满意度进一步提高。随着宣传工作的不断深入和学校财务管理的不断规范，群众对于政策知晓度和满意进一步提高。</w:t>
      </w:r>
    </w:p>
    <w:p>
      <w:pPr>
        <w:numPr>
          <w:ilvl w:val="0"/>
          <w:numId w:val="7"/>
        </w:num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存在主要问题</w:t>
      </w:r>
    </w:p>
    <w:p>
      <w:pPr>
        <w:spacing w:line="580" w:lineRule="exact"/>
        <w:ind w:firstLine="640" w:firstLineChars="200"/>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第一、万达中学办学规模发展过快，学生课间活动、食堂就餐、住宿等</w:t>
      </w:r>
      <w:r>
        <w:rPr>
          <w:rFonts w:hint="eastAsia" w:ascii="仿宋" w:hAnsi="仿宋" w:eastAsia="仿宋"/>
          <w:color w:val="000000" w:themeColor="text1"/>
          <w:sz w:val="32"/>
          <w:szCs w:val="32"/>
          <w:lang w:val="en-US" w:eastAsia="zh-CN"/>
          <w14:textFill>
            <w14:solidFill>
              <w14:schemeClr w14:val="tx1"/>
            </w14:solidFill>
          </w14:textFill>
        </w:rPr>
        <w:t>方面硬件发展滞后</w:t>
      </w:r>
      <w:r>
        <w:rPr>
          <w:rFonts w:hint="eastAsia" w:ascii="仿宋" w:hAnsi="仿宋" w:eastAsia="仿宋"/>
          <w:color w:val="000000" w:themeColor="text1"/>
          <w:sz w:val="32"/>
          <w:szCs w:val="32"/>
          <w14:textFill>
            <w14:solidFill>
              <w14:schemeClr w14:val="tx1"/>
            </w14:solidFill>
          </w14:textFill>
        </w:rPr>
        <w:t>，按照新高考选课走班制要求，现有教室及相应设施严重短缺，须加快步伐，启动西校区建设</w:t>
      </w:r>
      <w:r>
        <w:rPr>
          <w:rFonts w:hint="eastAsia" w:ascii="仿宋" w:hAnsi="仿宋" w:eastAsia="仿宋"/>
          <w:color w:val="000000" w:themeColor="text1"/>
          <w:sz w:val="32"/>
          <w:szCs w:val="32"/>
          <w:lang w:eastAsia="zh-CN"/>
          <w14:textFill>
            <w14:solidFill>
              <w14:schemeClr w14:val="tx1"/>
            </w14:solidFill>
          </w14:textFill>
        </w:rPr>
        <w:t>。</w:t>
      </w:r>
    </w:p>
    <w:p>
      <w:pPr>
        <w:spacing w:line="580" w:lineRule="exact"/>
        <w:ind w:firstLine="640" w:firstLineChars="200"/>
        <w:rPr>
          <w:rFonts w:ascii="仿宋" w:hAnsi="仿宋" w:eastAsia="仿宋" w:cs="仿宋_GB2312"/>
          <w:sz w:val="32"/>
          <w:szCs w:val="32"/>
        </w:rPr>
      </w:pPr>
      <w:r>
        <w:rPr>
          <w:rFonts w:hint="eastAsia" w:ascii="仿宋" w:hAnsi="仿宋" w:eastAsia="仿宋"/>
          <w:color w:val="000000" w:themeColor="text1"/>
          <w:sz w:val="32"/>
          <w:szCs w:val="32"/>
          <w14:textFill>
            <w14:solidFill>
              <w14:schemeClr w14:val="tx1"/>
            </w14:solidFill>
          </w14:textFill>
        </w:rPr>
        <w:t>第二、特优生培养乏力，各年级组须在特优生培养上再添举措，抓出实效。</w:t>
      </w:r>
    </w:p>
    <w:p>
      <w:pPr>
        <w:spacing w:line="580" w:lineRule="exact"/>
        <w:ind w:firstLine="640" w:firstLineChars="200"/>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四</w:t>
      </w:r>
      <w:r>
        <w:rPr>
          <w:rFonts w:ascii="仿宋" w:hAnsi="仿宋" w:eastAsia="仿宋" w:cs="仿宋_GB2312"/>
          <w:color w:val="000000" w:themeColor="text1"/>
          <w:sz w:val="32"/>
          <w:szCs w:val="32"/>
          <w14:textFill>
            <w14:solidFill>
              <w14:schemeClr w14:val="tx1"/>
            </w14:solidFill>
          </w14:textFill>
        </w:rPr>
        <w:t>、相关措施建议</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（一）从政策层面研究制定教职工早晚自习、住校生管理等劳务支出的管理办法，加大对寄宿制学校的资金补助力度，为教师劳务所得提供政策依据。</w:t>
      </w:r>
    </w:p>
    <w:p>
      <w:pPr>
        <w:spacing w:line="580" w:lineRule="exact"/>
        <w:ind w:firstLine="640" w:firstLineChars="200"/>
        <w:rPr>
          <w:rStyle w:val="24"/>
          <w:rFonts w:ascii="仿宋" w:hAnsi="仿宋" w:eastAsia="仿宋" w:cs="仿宋_GB2312"/>
          <w:b w:val="0"/>
          <w:bCs w:val="0"/>
          <w:sz w:val="32"/>
          <w:szCs w:val="32"/>
        </w:rPr>
      </w:pPr>
      <w:r>
        <w:rPr>
          <w:rFonts w:hint="eastAsia" w:ascii="仿宋" w:hAnsi="仿宋" w:eastAsia="仿宋" w:cs="仿宋_GB2312"/>
          <w:sz w:val="32"/>
          <w:szCs w:val="32"/>
        </w:rPr>
        <w:t>（二）建议省、市教育主管部门，加强对教师培训工作的研究，加大对</w:t>
      </w:r>
      <w:r>
        <w:rPr>
          <w:rFonts w:hint="eastAsia" w:ascii="仿宋" w:hAnsi="仿宋" w:eastAsia="仿宋" w:cs="仿宋_GB2312"/>
          <w:sz w:val="32"/>
          <w:szCs w:val="32"/>
          <w:lang w:val="en-US" w:eastAsia="zh-CN"/>
        </w:rPr>
        <w:t>教师</w:t>
      </w:r>
      <w:r>
        <w:rPr>
          <w:rFonts w:hint="eastAsia" w:ascii="仿宋" w:hAnsi="仿宋" w:eastAsia="仿宋" w:cs="仿宋_GB2312"/>
          <w:sz w:val="32"/>
          <w:szCs w:val="32"/>
        </w:rPr>
        <w:t>培训市场和各种民办教研机构的管理，让教师培训工作落在实处。</w:t>
      </w:r>
    </w:p>
    <w:p>
      <w:pPr>
        <w:widowControl/>
        <w:jc w:val="left"/>
        <w:rPr>
          <w:rFonts w:ascii="黑体" w:hAnsi="黑体" w:eastAsia="黑体"/>
          <w:sz w:val="44"/>
          <w:szCs w:val="44"/>
        </w:rPr>
      </w:pPr>
      <w:r>
        <w:rPr>
          <w:rFonts w:ascii="黑体" w:hAnsi="黑体" w:eastAsia="黑体"/>
          <w:sz w:val="44"/>
          <w:szCs w:val="44"/>
        </w:rPr>
        <w:br w:type="page"/>
      </w:r>
    </w:p>
    <w:tbl>
      <w:tblPr>
        <w:tblStyle w:val="12"/>
        <w:tblW w:w="5572" w:type="pct"/>
        <w:tblInd w:w="-459" w:type="dxa"/>
        <w:tblLayout w:type="autofit"/>
        <w:tblCellMar>
          <w:top w:w="0" w:type="dxa"/>
          <w:left w:w="108" w:type="dxa"/>
          <w:bottom w:w="0" w:type="dxa"/>
          <w:right w:w="108" w:type="dxa"/>
        </w:tblCellMar>
      </w:tblPr>
      <w:tblGrid>
        <w:gridCol w:w="1035"/>
        <w:gridCol w:w="520"/>
        <w:gridCol w:w="733"/>
        <w:gridCol w:w="2446"/>
        <w:gridCol w:w="2124"/>
        <w:gridCol w:w="2639"/>
      </w:tblGrid>
      <w:tr>
        <w:tblPrEx>
          <w:tblCellMar>
            <w:top w:w="0" w:type="dxa"/>
            <w:left w:w="108" w:type="dxa"/>
            <w:bottom w:w="0" w:type="dxa"/>
            <w:right w:w="108" w:type="dxa"/>
          </w:tblCellMar>
        </w:tblPrEx>
        <w:trPr>
          <w:trHeight w:val="450" w:hRule="atLeast"/>
        </w:trPr>
        <w:tc>
          <w:tcPr>
            <w:tcW w:w="5000" w:type="pct"/>
            <w:gridSpan w:val="6"/>
            <w:tcBorders>
              <w:top w:val="nil"/>
              <w:left w:val="nil"/>
              <w:bottom w:val="nil"/>
              <w:right w:val="nil"/>
            </w:tcBorders>
            <w:shd w:val="clear" w:color="auto" w:fill="auto"/>
            <w:vAlign w:val="center"/>
          </w:tcPr>
          <w:p>
            <w:pPr>
              <w:widowControl/>
              <w:jc w:val="center"/>
              <w:rPr>
                <w:rFonts w:ascii="黑体" w:hAnsi="黑体" w:eastAsia="黑体" w:cs="宋体"/>
                <w:kern w:val="0"/>
                <w:sz w:val="36"/>
                <w:szCs w:val="36"/>
              </w:rPr>
            </w:pPr>
            <w:r>
              <w:rPr>
                <w:rFonts w:hint="eastAsia" w:ascii="黑体" w:hAnsi="黑体" w:eastAsia="黑体" w:cs="宋体"/>
                <w:kern w:val="0"/>
                <w:sz w:val="36"/>
                <w:szCs w:val="36"/>
              </w:rPr>
              <w:t>项目支出绩效目标完成情况表</w:t>
            </w:r>
          </w:p>
        </w:tc>
      </w:tr>
      <w:tr>
        <w:tblPrEx>
          <w:tblCellMar>
            <w:top w:w="0" w:type="dxa"/>
            <w:left w:w="108" w:type="dxa"/>
            <w:bottom w:w="0" w:type="dxa"/>
            <w:right w:w="108" w:type="dxa"/>
          </w:tblCellMar>
        </w:tblPrEx>
        <w:trPr>
          <w:trHeight w:val="450" w:hRule="atLeast"/>
        </w:trPr>
        <w:tc>
          <w:tcPr>
            <w:tcW w:w="5000" w:type="pct"/>
            <w:gridSpan w:val="6"/>
            <w:tcBorders>
              <w:top w:val="nil"/>
              <w:left w:val="nil"/>
              <w:bottom w:val="nil"/>
              <w:right w:val="nil"/>
            </w:tcBorders>
            <w:shd w:val="clear" w:color="auto" w:fill="auto"/>
            <w:vAlign w:val="center"/>
          </w:tcPr>
          <w:p>
            <w:pPr>
              <w:widowControl/>
              <w:jc w:val="center"/>
              <w:rPr>
                <w:rFonts w:ascii="宋体" w:hAnsi="宋体" w:cs="宋体"/>
                <w:kern w:val="0"/>
                <w:sz w:val="36"/>
                <w:szCs w:val="36"/>
              </w:rPr>
            </w:pPr>
            <w:r>
              <w:rPr>
                <w:rFonts w:hint="eastAsia" w:ascii="宋体" w:hAnsi="宋体" w:cs="宋体"/>
                <w:kern w:val="0"/>
                <w:sz w:val="36"/>
                <w:szCs w:val="36"/>
              </w:rPr>
              <w:t>(2020年度)</w:t>
            </w:r>
          </w:p>
        </w:tc>
      </w:tr>
      <w:tr>
        <w:tblPrEx>
          <w:tblCellMar>
            <w:top w:w="0" w:type="dxa"/>
            <w:left w:w="108" w:type="dxa"/>
            <w:bottom w:w="0" w:type="dxa"/>
            <w:right w:w="108" w:type="dxa"/>
          </w:tblCellMar>
        </w:tblPrEx>
        <w:trPr>
          <w:trHeight w:val="555" w:hRule="atLeast"/>
        </w:trPr>
        <w:tc>
          <w:tcPr>
            <w:tcW w:w="1205"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项目名称</w:t>
            </w:r>
          </w:p>
        </w:tc>
        <w:tc>
          <w:tcPr>
            <w:tcW w:w="3795"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川师大万达中学公用经费补助项目</w:t>
            </w:r>
          </w:p>
        </w:tc>
      </w:tr>
      <w:tr>
        <w:tblPrEx>
          <w:tblCellMar>
            <w:top w:w="0" w:type="dxa"/>
            <w:left w:w="108" w:type="dxa"/>
            <w:bottom w:w="0" w:type="dxa"/>
            <w:right w:w="108" w:type="dxa"/>
          </w:tblCellMar>
        </w:tblPrEx>
        <w:trPr>
          <w:trHeight w:val="555" w:hRule="atLeast"/>
        </w:trPr>
        <w:tc>
          <w:tcPr>
            <w:tcW w:w="1205"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预算单位</w:t>
            </w:r>
          </w:p>
        </w:tc>
        <w:tc>
          <w:tcPr>
            <w:tcW w:w="3795"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广元市利州区教育局</w:t>
            </w:r>
          </w:p>
        </w:tc>
      </w:tr>
      <w:tr>
        <w:tblPrEx>
          <w:tblCellMar>
            <w:top w:w="0" w:type="dxa"/>
            <w:left w:w="108" w:type="dxa"/>
            <w:bottom w:w="0" w:type="dxa"/>
            <w:right w:w="108" w:type="dxa"/>
          </w:tblCellMar>
        </w:tblPrEx>
        <w:trPr>
          <w:trHeight w:val="555" w:hRule="atLeast"/>
        </w:trPr>
        <w:tc>
          <w:tcPr>
            <w:tcW w:w="545"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预算执行情况(万元)</w:t>
            </w:r>
          </w:p>
        </w:tc>
        <w:tc>
          <w:tcPr>
            <w:tcW w:w="660"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预算数:</w:t>
            </w:r>
          </w:p>
        </w:tc>
        <w:tc>
          <w:tcPr>
            <w:tcW w:w="128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50万元</w:t>
            </w:r>
          </w:p>
        </w:tc>
        <w:tc>
          <w:tcPr>
            <w:tcW w:w="111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执行数:</w:t>
            </w:r>
          </w:p>
        </w:tc>
        <w:tc>
          <w:tcPr>
            <w:tcW w:w="13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50万元</w:t>
            </w:r>
          </w:p>
        </w:tc>
      </w:tr>
      <w:tr>
        <w:tblPrEx>
          <w:tblCellMar>
            <w:top w:w="0" w:type="dxa"/>
            <w:left w:w="108" w:type="dxa"/>
            <w:bottom w:w="0" w:type="dxa"/>
            <w:right w:w="108" w:type="dxa"/>
          </w:tblCellMar>
        </w:tblPrEx>
        <w:trPr>
          <w:trHeight w:val="555" w:hRule="atLeast"/>
        </w:trPr>
        <w:tc>
          <w:tcPr>
            <w:tcW w:w="545"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660"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其中-财政拨款:</w:t>
            </w:r>
          </w:p>
        </w:tc>
        <w:tc>
          <w:tcPr>
            <w:tcW w:w="128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50万元</w:t>
            </w:r>
          </w:p>
        </w:tc>
        <w:tc>
          <w:tcPr>
            <w:tcW w:w="111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其中-财政拨款:</w:t>
            </w:r>
          </w:p>
        </w:tc>
        <w:tc>
          <w:tcPr>
            <w:tcW w:w="13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50万元</w:t>
            </w:r>
          </w:p>
        </w:tc>
      </w:tr>
      <w:tr>
        <w:tblPrEx>
          <w:tblCellMar>
            <w:top w:w="0" w:type="dxa"/>
            <w:left w:w="108" w:type="dxa"/>
            <w:bottom w:w="0" w:type="dxa"/>
            <w:right w:w="108" w:type="dxa"/>
          </w:tblCellMar>
        </w:tblPrEx>
        <w:trPr>
          <w:trHeight w:val="705" w:hRule="atLeast"/>
        </w:trPr>
        <w:tc>
          <w:tcPr>
            <w:tcW w:w="545"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660"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其它资金:</w:t>
            </w:r>
          </w:p>
        </w:tc>
        <w:tc>
          <w:tcPr>
            <w:tcW w:w="128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111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其它资金:</w:t>
            </w:r>
          </w:p>
        </w:tc>
        <w:tc>
          <w:tcPr>
            <w:tcW w:w="13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555" w:hRule="atLeast"/>
        </w:trPr>
        <w:tc>
          <w:tcPr>
            <w:tcW w:w="545"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年度目标完成情况</w:t>
            </w:r>
          </w:p>
        </w:tc>
        <w:tc>
          <w:tcPr>
            <w:tcW w:w="1947"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预期目标</w:t>
            </w:r>
          </w:p>
        </w:tc>
        <w:tc>
          <w:tcPr>
            <w:tcW w:w="2508"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实际完成目标</w:t>
            </w:r>
          </w:p>
        </w:tc>
      </w:tr>
      <w:tr>
        <w:tblPrEx>
          <w:tblCellMar>
            <w:top w:w="0" w:type="dxa"/>
            <w:left w:w="108" w:type="dxa"/>
            <w:bottom w:w="0" w:type="dxa"/>
            <w:right w:w="108" w:type="dxa"/>
          </w:tblCellMar>
        </w:tblPrEx>
        <w:trPr>
          <w:trHeight w:val="2700" w:hRule="atLeast"/>
        </w:trPr>
        <w:tc>
          <w:tcPr>
            <w:tcW w:w="545"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947" w:type="pct"/>
            <w:gridSpan w:val="3"/>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保障万达中学正常运转、完成教育教学活动和其他日常工作任务等方面的支出，该经费的具体开支范围是：教学业务与管理、教学竞赛、教学质量提升及第三方评价的政府购买服务、办公、会议、印刷、教师培训、实验实习、文体活动、水电、取暖、交通差旅、邮电、教育信息化网络费用、仪器设备及图书资料等购置、学生课桌凳、床铺、食堂设施设备的零星补充购置及维修维护，房屋、建筑物、校园内道路、围墙、大门、运动场地、教室内教师讲台及仪器设备的日常维修维护，校园绿化美化、校园文化建设、学生健康体检、校方责任保险、公务接待费，非财政供养人员经费等。</w:t>
            </w:r>
          </w:p>
        </w:tc>
        <w:tc>
          <w:tcPr>
            <w:tcW w:w="2508" w:type="pct"/>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2020年高考，一本上线93人，较去年增长35人；本科上线295人，较去年增长112人；34名同学被国家“双一流”大学录取。按广元市教育科学研究所表彰数据统计，我校一本、二本增长人数，入口平均分、入口优生全市前8000名培养发展均位居全市前三名。由此，学校与广元中学、天立等学校荣获“广元市2020年高中教学质量考核二等奖”。</w:t>
            </w:r>
          </w:p>
          <w:p>
            <w:pPr>
              <w:widowControl/>
              <w:jc w:val="left"/>
              <w:rPr>
                <w:rFonts w:ascii="宋体" w:hAnsi="宋体" w:cs="宋体"/>
                <w:kern w:val="0"/>
                <w:sz w:val="20"/>
                <w:szCs w:val="20"/>
              </w:rPr>
            </w:pPr>
          </w:p>
        </w:tc>
      </w:tr>
      <w:tr>
        <w:tblPrEx>
          <w:tblCellMar>
            <w:top w:w="0" w:type="dxa"/>
            <w:left w:w="108" w:type="dxa"/>
            <w:bottom w:w="0" w:type="dxa"/>
            <w:right w:w="108" w:type="dxa"/>
          </w:tblCellMar>
        </w:tblPrEx>
        <w:trPr>
          <w:trHeight w:val="570" w:hRule="atLeast"/>
        </w:trPr>
        <w:tc>
          <w:tcPr>
            <w:tcW w:w="545"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绩效指标完成情况</w:t>
            </w:r>
          </w:p>
        </w:tc>
        <w:tc>
          <w:tcPr>
            <w:tcW w:w="27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一级指标</w:t>
            </w:r>
          </w:p>
        </w:tc>
        <w:tc>
          <w:tcPr>
            <w:tcW w:w="38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二级指标</w:t>
            </w:r>
          </w:p>
        </w:tc>
        <w:tc>
          <w:tcPr>
            <w:tcW w:w="128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三级指标</w:t>
            </w:r>
          </w:p>
        </w:tc>
        <w:tc>
          <w:tcPr>
            <w:tcW w:w="111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预期指标值(包含数字及文字描述)</w:t>
            </w:r>
          </w:p>
        </w:tc>
        <w:tc>
          <w:tcPr>
            <w:tcW w:w="13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实际完成指标值(包含数字及文字描述)</w:t>
            </w:r>
          </w:p>
        </w:tc>
      </w:tr>
      <w:tr>
        <w:tblPrEx>
          <w:tblCellMar>
            <w:top w:w="0" w:type="dxa"/>
            <w:left w:w="108" w:type="dxa"/>
            <w:bottom w:w="0" w:type="dxa"/>
            <w:right w:w="108" w:type="dxa"/>
          </w:tblCellMar>
        </w:tblPrEx>
        <w:trPr>
          <w:trHeight w:val="570" w:hRule="atLeast"/>
        </w:trPr>
        <w:tc>
          <w:tcPr>
            <w:tcW w:w="545"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74" w:type="pct"/>
            <w:vMerge w:val="restart"/>
            <w:tcBorders>
              <w:top w:val="nil"/>
              <w:left w:val="single" w:color="auto" w:sz="4" w:space="0"/>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项目完成</w:t>
            </w:r>
          </w:p>
        </w:tc>
        <w:tc>
          <w:tcPr>
            <w:tcW w:w="385"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数量指标</w:t>
            </w:r>
          </w:p>
        </w:tc>
        <w:tc>
          <w:tcPr>
            <w:tcW w:w="128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收益学校数</w:t>
            </w:r>
          </w:p>
        </w:tc>
        <w:tc>
          <w:tcPr>
            <w:tcW w:w="111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补助高中学校：1所</w:t>
            </w:r>
          </w:p>
        </w:tc>
        <w:tc>
          <w:tcPr>
            <w:tcW w:w="138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补助高中学校：1所</w:t>
            </w:r>
          </w:p>
        </w:tc>
      </w:tr>
      <w:tr>
        <w:tblPrEx>
          <w:tblCellMar>
            <w:top w:w="0" w:type="dxa"/>
            <w:left w:w="108" w:type="dxa"/>
            <w:bottom w:w="0" w:type="dxa"/>
            <w:right w:w="108" w:type="dxa"/>
          </w:tblCellMar>
        </w:tblPrEx>
        <w:trPr>
          <w:trHeight w:val="420" w:hRule="atLeast"/>
        </w:trPr>
        <w:tc>
          <w:tcPr>
            <w:tcW w:w="545"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74" w:type="pct"/>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385"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28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收益学生人数</w:t>
            </w:r>
          </w:p>
        </w:tc>
        <w:tc>
          <w:tcPr>
            <w:tcW w:w="111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受益学生数：1244人</w:t>
            </w:r>
          </w:p>
        </w:tc>
        <w:tc>
          <w:tcPr>
            <w:tcW w:w="138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受益学生数以达到1244人</w:t>
            </w:r>
          </w:p>
        </w:tc>
      </w:tr>
      <w:tr>
        <w:tblPrEx>
          <w:tblCellMar>
            <w:top w:w="0" w:type="dxa"/>
            <w:left w:w="108" w:type="dxa"/>
            <w:bottom w:w="0" w:type="dxa"/>
            <w:right w:w="108" w:type="dxa"/>
          </w:tblCellMar>
        </w:tblPrEx>
        <w:trPr>
          <w:trHeight w:val="270" w:hRule="atLeast"/>
        </w:trPr>
        <w:tc>
          <w:tcPr>
            <w:tcW w:w="545"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74" w:type="pct"/>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385"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28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收益贫困学生数</w:t>
            </w:r>
          </w:p>
        </w:tc>
        <w:tc>
          <w:tcPr>
            <w:tcW w:w="111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建档立卡家庭学生受益率：100%</w:t>
            </w:r>
          </w:p>
        </w:tc>
        <w:tc>
          <w:tcPr>
            <w:tcW w:w="138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建档立卡学生收益率达到100%</w:t>
            </w:r>
          </w:p>
        </w:tc>
      </w:tr>
      <w:tr>
        <w:tblPrEx>
          <w:tblCellMar>
            <w:top w:w="0" w:type="dxa"/>
            <w:left w:w="108" w:type="dxa"/>
            <w:bottom w:w="0" w:type="dxa"/>
            <w:right w:w="108" w:type="dxa"/>
          </w:tblCellMar>
        </w:tblPrEx>
        <w:trPr>
          <w:trHeight w:val="420" w:hRule="atLeast"/>
        </w:trPr>
        <w:tc>
          <w:tcPr>
            <w:tcW w:w="545"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74" w:type="pct"/>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385"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质量指标</w:t>
            </w:r>
          </w:p>
        </w:tc>
        <w:tc>
          <w:tcPr>
            <w:tcW w:w="128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建档立卡学业完成率</w:t>
            </w:r>
          </w:p>
        </w:tc>
        <w:tc>
          <w:tcPr>
            <w:tcW w:w="111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建档立卡家庭高中学生完成学业率：100%</w:t>
            </w:r>
          </w:p>
        </w:tc>
        <w:tc>
          <w:tcPr>
            <w:tcW w:w="138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建档立卡家庭高中学生完成学业率达100%</w:t>
            </w:r>
          </w:p>
        </w:tc>
      </w:tr>
      <w:tr>
        <w:tblPrEx>
          <w:tblCellMar>
            <w:top w:w="0" w:type="dxa"/>
            <w:left w:w="108" w:type="dxa"/>
            <w:bottom w:w="0" w:type="dxa"/>
            <w:right w:w="108" w:type="dxa"/>
          </w:tblCellMar>
        </w:tblPrEx>
        <w:trPr>
          <w:trHeight w:val="615" w:hRule="atLeast"/>
        </w:trPr>
        <w:tc>
          <w:tcPr>
            <w:tcW w:w="545"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74" w:type="pct"/>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385"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28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贫困家庭学生学业完成率</w:t>
            </w:r>
          </w:p>
        </w:tc>
        <w:tc>
          <w:tcPr>
            <w:tcW w:w="111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贫困家庭高中学生完成学业率：100%</w:t>
            </w:r>
          </w:p>
        </w:tc>
        <w:tc>
          <w:tcPr>
            <w:tcW w:w="138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贫困家庭高中学生都能够顺利的完成高中学业</w:t>
            </w:r>
          </w:p>
        </w:tc>
      </w:tr>
      <w:tr>
        <w:tblPrEx>
          <w:tblCellMar>
            <w:top w:w="0" w:type="dxa"/>
            <w:left w:w="108" w:type="dxa"/>
            <w:bottom w:w="0" w:type="dxa"/>
            <w:right w:w="108" w:type="dxa"/>
          </w:tblCellMar>
        </w:tblPrEx>
        <w:trPr>
          <w:trHeight w:val="1200" w:hRule="atLeast"/>
        </w:trPr>
        <w:tc>
          <w:tcPr>
            <w:tcW w:w="545"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74" w:type="pct"/>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385"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28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学校目标任务完成率</w:t>
            </w:r>
          </w:p>
        </w:tc>
        <w:tc>
          <w:tcPr>
            <w:tcW w:w="111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上级下达学校的各项工作任务完成率：99%</w:t>
            </w:r>
          </w:p>
        </w:tc>
        <w:tc>
          <w:tcPr>
            <w:tcW w:w="138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通过项目实施，该校教育教学活动有序开展，圆满完成教育教学年度目标。同时，学校的其它各项工作均取得了较好的成绩，多次得到上级有关部门表彰。</w:t>
            </w:r>
          </w:p>
        </w:tc>
      </w:tr>
      <w:tr>
        <w:tblPrEx>
          <w:tblCellMar>
            <w:top w:w="0" w:type="dxa"/>
            <w:left w:w="108" w:type="dxa"/>
            <w:bottom w:w="0" w:type="dxa"/>
            <w:right w:w="108" w:type="dxa"/>
          </w:tblCellMar>
        </w:tblPrEx>
        <w:trPr>
          <w:trHeight w:val="420" w:hRule="atLeast"/>
        </w:trPr>
        <w:tc>
          <w:tcPr>
            <w:tcW w:w="545"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74" w:type="pct"/>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385"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时效指标</w:t>
            </w:r>
          </w:p>
        </w:tc>
        <w:tc>
          <w:tcPr>
            <w:tcW w:w="128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春季资金到位时限指标</w:t>
            </w:r>
          </w:p>
        </w:tc>
        <w:tc>
          <w:tcPr>
            <w:tcW w:w="111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2020年4月足额拨付到校</w:t>
            </w:r>
          </w:p>
        </w:tc>
        <w:tc>
          <w:tcPr>
            <w:tcW w:w="13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春季学期于3月初拨付到位</w:t>
            </w:r>
          </w:p>
        </w:tc>
      </w:tr>
      <w:tr>
        <w:tblPrEx>
          <w:tblCellMar>
            <w:top w:w="0" w:type="dxa"/>
            <w:left w:w="108" w:type="dxa"/>
            <w:bottom w:w="0" w:type="dxa"/>
            <w:right w:w="108" w:type="dxa"/>
          </w:tblCellMar>
        </w:tblPrEx>
        <w:trPr>
          <w:trHeight w:val="420" w:hRule="atLeast"/>
        </w:trPr>
        <w:tc>
          <w:tcPr>
            <w:tcW w:w="545"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74" w:type="pct"/>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385"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28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秋季资金到位时限指标</w:t>
            </w:r>
          </w:p>
        </w:tc>
        <w:tc>
          <w:tcPr>
            <w:tcW w:w="111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2020年10月足额拨付到校</w:t>
            </w:r>
          </w:p>
        </w:tc>
        <w:tc>
          <w:tcPr>
            <w:tcW w:w="13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lang w:val="en-US" w:eastAsia="zh-CN"/>
              </w:rPr>
              <w:t>秋</w:t>
            </w:r>
            <w:r>
              <w:rPr>
                <w:rFonts w:hint="eastAsia" w:ascii="宋体" w:hAnsi="宋体" w:cs="宋体"/>
                <w:kern w:val="0"/>
                <w:sz w:val="20"/>
                <w:szCs w:val="20"/>
              </w:rPr>
              <w:t>季学期于10月初拨付到位</w:t>
            </w:r>
          </w:p>
        </w:tc>
      </w:tr>
      <w:tr>
        <w:tblPrEx>
          <w:tblCellMar>
            <w:top w:w="0" w:type="dxa"/>
            <w:left w:w="108" w:type="dxa"/>
            <w:bottom w:w="0" w:type="dxa"/>
            <w:right w:w="108" w:type="dxa"/>
          </w:tblCellMar>
        </w:tblPrEx>
        <w:trPr>
          <w:trHeight w:val="615" w:hRule="atLeast"/>
        </w:trPr>
        <w:tc>
          <w:tcPr>
            <w:tcW w:w="545"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74" w:type="pct"/>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385" w:type="pct"/>
            <w:tcBorders>
              <w:top w:val="nil"/>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成本指标</w:t>
            </w:r>
          </w:p>
        </w:tc>
        <w:tc>
          <w:tcPr>
            <w:tcW w:w="128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资金拨付比例</w:t>
            </w:r>
          </w:p>
        </w:tc>
        <w:tc>
          <w:tcPr>
            <w:tcW w:w="111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补助标准：50万元/年</w:t>
            </w:r>
          </w:p>
        </w:tc>
        <w:tc>
          <w:tcPr>
            <w:tcW w:w="138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按标准拨付项目补助资金</w:t>
            </w:r>
          </w:p>
        </w:tc>
      </w:tr>
      <w:tr>
        <w:tblPrEx>
          <w:tblCellMar>
            <w:top w:w="0" w:type="dxa"/>
            <w:left w:w="108" w:type="dxa"/>
            <w:bottom w:w="0" w:type="dxa"/>
            <w:right w:w="108" w:type="dxa"/>
          </w:tblCellMar>
        </w:tblPrEx>
        <w:trPr>
          <w:trHeight w:val="480" w:hRule="atLeast"/>
        </w:trPr>
        <w:tc>
          <w:tcPr>
            <w:tcW w:w="545"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74"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项目效益</w:t>
            </w:r>
          </w:p>
        </w:tc>
        <w:tc>
          <w:tcPr>
            <w:tcW w:w="385" w:type="pct"/>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社会效益</w:t>
            </w:r>
            <w:r>
              <w:rPr>
                <w:rFonts w:hint="eastAsia" w:ascii="宋体" w:hAnsi="宋体" w:cs="宋体"/>
                <w:kern w:val="0"/>
                <w:sz w:val="20"/>
                <w:szCs w:val="20"/>
              </w:rPr>
              <w:br w:type="textWrapping"/>
            </w:r>
            <w:r>
              <w:rPr>
                <w:rFonts w:hint="eastAsia" w:ascii="宋体" w:hAnsi="宋体" w:cs="宋体"/>
                <w:kern w:val="0"/>
                <w:sz w:val="20"/>
                <w:szCs w:val="20"/>
              </w:rPr>
              <w:t>指标</w:t>
            </w:r>
          </w:p>
        </w:tc>
        <w:tc>
          <w:tcPr>
            <w:tcW w:w="128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减轻贫困家庭学生负担</w:t>
            </w:r>
          </w:p>
        </w:tc>
        <w:tc>
          <w:tcPr>
            <w:tcW w:w="111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减轻贫困学生家庭负担，确保贫困家庭子女顺利完成高中学业</w:t>
            </w:r>
          </w:p>
        </w:tc>
        <w:tc>
          <w:tcPr>
            <w:tcW w:w="138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切实减轻了贫困家庭学生负担，全年无一例辍学现象</w:t>
            </w:r>
          </w:p>
        </w:tc>
      </w:tr>
      <w:tr>
        <w:tblPrEx>
          <w:tblCellMar>
            <w:top w:w="0" w:type="dxa"/>
            <w:left w:w="108" w:type="dxa"/>
            <w:bottom w:w="0" w:type="dxa"/>
            <w:right w:w="108" w:type="dxa"/>
          </w:tblCellMar>
        </w:tblPrEx>
        <w:trPr>
          <w:trHeight w:val="720" w:hRule="atLeast"/>
        </w:trPr>
        <w:tc>
          <w:tcPr>
            <w:tcW w:w="545"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74"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385" w:type="pct"/>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可持续影响</w:t>
            </w:r>
            <w:r>
              <w:rPr>
                <w:rFonts w:hint="eastAsia" w:ascii="宋体" w:hAnsi="宋体" w:cs="宋体"/>
                <w:kern w:val="0"/>
                <w:sz w:val="20"/>
                <w:szCs w:val="20"/>
              </w:rPr>
              <w:br w:type="textWrapping"/>
            </w:r>
            <w:r>
              <w:rPr>
                <w:rFonts w:hint="eastAsia" w:ascii="宋体" w:hAnsi="宋体" w:cs="宋体"/>
                <w:kern w:val="0"/>
                <w:sz w:val="20"/>
                <w:szCs w:val="20"/>
              </w:rPr>
              <w:t>指标</w:t>
            </w:r>
          </w:p>
        </w:tc>
        <w:tc>
          <w:tcPr>
            <w:tcW w:w="128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补助年限</w:t>
            </w:r>
          </w:p>
        </w:tc>
        <w:tc>
          <w:tcPr>
            <w:tcW w:w="111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公用经费补助年限：3年</w:t>
            </w:r>
          </w:p>
        </w:tc>
        <w:tc>
          <w:tcPr>
            <w:tcW w:w="138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该项目已顺利实施四年</w:t>
            </w:r>
          </w:p>
        </w:tc>
      </w:tr>
      <w:tr>
        <w:tblPrEx>
          <w:tblCellMar>
            <w:top w:w="0" w:type="dxa"/>
            <w:left w:w="108" w:type="dxa"/>
            <w:bottom w:w="0" w:type="dxa"/>
            <w:right w:w="108" w:type="dxa"/>
          </w:tblCellMar>
        </w:tblPrEx>
        <w:trPr>
          <w:trHeight w:val="720" w:hRule="atLeast"/>
        </w:trPr>
        <w:tc>
          <w:tcPr>
            <w:tcW w:w="545"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7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38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28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对社会经济发展的影响</w:t>
            </w:r>
          </w:p>
        </w:tc>
        <w:tc>
          <w:tcPr>
            <w:tcW w:w="111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对社会、经济发展可持续影响：100%</w:t>
            </w:r>
          </w:p>
        </w:tc>
        <w:tc>
          <w:tcPr>
            <w:tcW w:w="138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学校办学条件得到了进一步加强，为创建省级示范性高中打下了良好的基础。</w:t>
            </w:r>
          </w:p>
        </w:tc>
      </w:tr>
      <w:tr>
        <w:tblPrEx>
          <w:tblCellMar>
            <w:top w:w="0" w:type="dxa"/>
            <w:left w:w="108" w:type="dxa"/>
            <w:bottom w:w="0" w:type="dxa"/>
            <w:right w:w="108" w:type="dxa"/>
          </w:tblCellMar>
        </w:tblPrEx>
        <w:trPr>
          <w:trHeight w:val="270" w:hRule="atLeast"/>
        </w:trPr>
        <w:tc>
          <w:tcPr>
            <w:tcW w:w="545"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7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满意度指标</w:t>
            </w:r>
          </w:p>
        </w:tc>
        <w:tc>
          <w:tcPr>
            <w:tcW w:w="38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满意度指标</w:t>
            </w:r>
          </w:p>
        </w:tc>
        <w:tc>
          <w:tcPr>
            <w:tcW w:w="128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高中学生满意度</w:t>
            </w:r>
          </w:p>
        </w:tc>
        <w:tc>
          <w:tcPr>
            <w:tcW w:w="111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高中学生满意度：95%</w:t>
            </w:r>
          </w:p>
        </w:tc>
        <w:tc>
          <w:tcPr>
            <w:tcW w:w="138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高中学生满意度98%</w:t>
            </w:r>
          </w:p>
        </w:tc>
      </w:tr>
      <w:tr>
        <w:tblPrEx>
          <w:tblCellMar>
            <w:top w:w="0" w:type="dxa"/>
            <w:left w:w="108" w:type="dxa"/>
            <w:bottom w:w="0" w:type="dxa"/>
            <w:right w:w="108" w:type="dxa"/>
          </w:tblCellMar>
        </w:tblPrEx>
        <w:trPr>
          <w:trHeight w:val="420" w:hRule="atLeast"/>
        </w:trPr>
        <w:tc>
          <w:tcPr>
            <w:tcW w:w="545"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7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38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28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教师满意度</w:t>
            </w:r>
          </w:p>
        </w:tc>
        <w:tc>
          <w:tcPr>
            <w:tcW w:w="111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教师满意度：90%</w:t>
            </w:r>
          </w:p>
        </w:tc>
        <w:tc>
          <w:tcPr>
            <w:tcW w:w="138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教师满意度：97%</w:t>
            </w:r>
          </w:p>
        </w:tc>
      </w:tr>
    </w:tbl>
    <w:p>
      <w:pPr>
        <w:widowControl/>
        <w:jc w:val="left"/>
        <w:rPr>
          <w:rFonts w:ascii="黑体" w:hAnsi="黑体" w:eastAsia="黑体"/>
          <w:sz w:val="44"/>
          <w:szCs w:val="44"/>
        </w:rPr>
      </w:pPr>
    </w:p>
    <w:p>
      <w:pPr>
        <w:widowControl/>
        <w:jc w:val="left"/>
      </w:pPr>
    </w:p>
    <w:p>
      <w:pPr>
        <w:widowControl/>
        <w:jc w:val="left"/>
        <w:rPr>
          <w:rFonts w:ascii="黑体" w:hAnsi="黑体" w:eastAsia="黑体"/>
          <w:sz w:val="44"/>
          <w:szCs w:val="44"/>
        </w:rPr>
      </w:pPr>
    </w:p>
    <w:p>
      <w:pPr>
        <w:widowControl/>
        <w:jc w:val="left"/>
        <w:rPr>
          <w:rFonts w:ascii="黑体" w:hAnsi="黑体" w:eastAsia="黑体"/>
          <w:sz w:val="44"/>
          <w:szCs w:val="44"/>
        </w:rPr>
      </w:pPr>
      <w:r>
        <w:rPr>
          <w:rFonts w:ascii="黑体" w:hAnsi="黑体" w:eastAsia="黑体"/>
          <w:sz w:val="44"/>
          <w:szCs w:val="44"/>
        </w:rPr>
        <w:br w:type="page"/>
      </w:r>
    </w:p>
    <w:p>
      <w:pPr>
        <w:pStyle w:val="3"/>
        <w:rPr>
          <w:rStyle w:val="24"/>
          <w:rFonts w:ascii="仿宋" w:hAnsi="仿宋" w:eastAsia="仿宋"/>
          <w:b w:val="0"/>
          <w:bCs w:val="0"/>
          <w:sz w:val="32"/>
        </w:rPr>
      </w:pPr>
      <w:bookmarkStart w:id="78" w:name="_Toc19089884"/>
      <w:r>
        <w:rPr>
          <w:rStyle w:val="24"/>
          <w:rFonts w:hint="eastAsia" w:ascii="仿宋" w:hAnsi="仿宋" w:eastAsia="仿宋"/>
          <w:b w:val="0"/>
          <w:bCs w:val="0"/>
          <w:sz w:val="32"/>
        </w:rPr>
        <w:t>附件6</w:t>
      </w:r>
      <w:bookmarkEnd w:id="78"/>
    </w:p>
    <w:p>
      <w:pPr>
        <w:spacing w:line="580" w:lineRule="exact"/>
        <w:jc w:val="center"/>
        <w:rPr>
          <w:rFonts w:ascii="黑体" w:hAnsi="黑体" w:eastAsia="黑体" w:cs="方正小标宋简体"/>
          <w:sz w:val="44"/>
          <w:szCs w:val="44"/>
        </w:rPr>
      </w:pPr>
      <w:r>
        <w:rPr>
          <w:rFonts w:hint="eastAsia" w:ascii="黑体" w:hAnsi="黑体" w:eastAsia="黑体" w:cs="方正小标宋简体"/>
          <w:sz w:val="44"/>
          <w:szCs w:val="44"/>
        </w:rPr>
        <w:t>2020年政府购买社工服务项目支出</w:t>
      </w:r>
    </w:p>
    <w:p>
      <w:pPr>
        <w:spacing w:line="580" w:lineRule="exact"/>
        <w:jc w:val="center"/>
        <w:rPr>
          <w:rFonts w:ascii="黑体" w:hAnsi="黑体" w:eastAsia="黑体" w:cs="方正小标宋简体"/>
          <w:sz w:val="44"/>
          <w:szCs w:val="44"/>
        </w:rPr>
      </w:pPr>
      <w:r>
        <w:rPr>
          <w:rFonts w:hint="eastAsia" w:ascii="黑体" w:hAnsi="黑体" w:eastAsia="黑体" w:cs="方正小标宋简体"/>
          <w:sz w:val="44"/>
          <w:szCs w:val="44"/>
        </w:rPr>
        <w:t>绩效评价报告</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w:t>
      </w:r>
      <w:r>
        <w:rPr>
          <w:rFonts w:ascii="仿宋" w:hAnsi="仿宋" w:eastAsia="仿宋" w:cs="仿宋_GB2312"/>
          <w:sz w:val="32"/>
          <w:szCs w:val="32"/>
        </w:rPr>
        <w:t>、评价工作开展及项目情况</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（一）项目基本情况</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本项目为年度经常性项目。为进一步巩固“希望工程社工”的广元模式，促进建立“一校一社工”制度，让全区青少年接收更优质的教育资源，按照2011年1月广元市利州区人民政府、中国青少年发展基金会和中国社工教育协会共同签署的《三方协议》约定，由区人民政府向广元市利州区希望社工服务中心购买社工服务，其内容包括向利州区中小学派驻学校社会工作者、推广社工理念、提供社工培训和开展多元化社工专业服务。</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通过项目实施保障希望社工服务中心专职社工和志愿者活动正常开展，发展青少年领域社工服务，推进驻校社工服务的深入发展，根据青少年发展阶段的不同需求协助学校解决各种适应性问题。同时，拓展社工服务项目资源，提升社工中心项目化运作能力，促进服务中心项目化运作转型。</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（二）绩效评价指标体系</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绩效评价指标是指衡量绩效目标实现程度的考核工具。绩效评价指标的确定应当遵循以下原则：相关性原则、重要性原则、可比性原则、系统性原则、经济性原则。绩效评价指标分为共性指标和个性指标，共性指标由财政部门统一制定，个性指标由财政部门会同预算部门制定。</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被评价项目绩效评价指标体系设置</w:t>
      </w:r>
      <w:r>
        <w:rPr>
          <w:rFonts w:hint="eastAsia" w:ascii="仿宋" w:hAnsi="仿宋" w:eastAsia="仿宋" w:cs="仿宋_GB2312"/>
          <w:sz w:val="32"/>
          <w:szCs w:val="32"/>
          <w:lang w:val="en-US" w:eastAsia="zh-CN"/>
        </w:rPr>
        <w:t>3</w:t>
      </w:r>
      <w:r>
        <w:rPr>
          <w:rFonts w:hint="eastAsia" w:ascii="仿宋" w:hAnsi="仿宋" w:eastAsia="仿宋" w:cs="仿宋_GB2312"/>
          <w:sz w:val="32"/>
          <w:szCs w:val="32"/>
        </w:rPr>
        <w:t>个一级指标、</w:t>
      </w:r>
      <w:r>
        <w:rPr>
          <w:rFonts w:hint="eastAsia" w:ascii="仿宋" w:hAnsi="仿宋" w:eastAsia="仿宋" w:cs="仿宋_GB2312"/>
          <w:sz w:val="32"/>
          <w:szCs w:val="32"/>
          <w:lang w:val="en-US" w:eastAsia="zh-CN"/>
        </w:rPr>
        <w:t>8</w:t>
      </w:r>
      <w:r>
        <w:rPr>
          <w:rFonts w:hint="eastAsia" w:ascii="仿宋" w:hAnsi="仿宋" w:eastAsia="仿宋" w:cs="仿宋_GB2312"/>
          <w:sz w:val="32"/>
          <w:szCs w:val="32"/>
        </w:rPr>
        <w:t>个二级指标、</w:t>
      </w:r>
      <w:r>
        <w:rPr>
          <w:rFonts w:hint="eastAsia" w:ascii="仿宋" w:hAnsi="仿宋" w:eastAsia="仿宋" w:cs="仿宋_GB2312"/>
          <w:sz w:val="32"/>
          <w:szCs w:val="32"/>
          <w:lang w:val="en-US" w:eastAsia="zh-CN"/>
        </w:rPr>
        <w:t>16</w:t>
      </w:r>
      <w:r>
        <w:rPr>
          <w:rFonts w:hint="eastAsia" w:ascii="仿宋" w:hAnsi="仿宋" w:eastAsia="仿宋" w:cs="仿宋_GB2312"/>
          <w:sz w:val="32"/>
          <w:szCs w:val="32"/>
        </w:rPr>
        <w:t>个三级指标。</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（1）一级指标：设置项目完成、项目效益、满意度指标</w:t>
      </w:r>
      <w:r>
        <w:rPr>
          <w:rFonts w:hint="eastAsia" w:ascii="仿宋" w:hAnsi="仿宋" w:eastAsia="仿宋" w:cs="仿宋_GB2312"/>
          <w:sz w:val="32"/>
          <w:szCs w:val="32"/>
          <w:lang w:val="en-US" w:eastAsia="zh-CN"/>
        </w:rPr>
        <w:t>3</w:t>
      </w:r>
      <w:r>
        <w:rPr>
          <w:rFonts w:hint="eastAsia" w:ascii="仿宋" w:hAnsi="仿宋" w:eastAsia="仿宋" w:cs="仿宋_GB2312"/>
          <w:sz w:val="32"/>
          <w:szCs w:val="32"/>
        </w:rPr>
        <w:t>个。</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（2）二级指标：项目完成设置数量目标、质量指标、时效指标和成本指标</w:t>
      </w:r>
      <w:r>
        <w:rPr>
          <w:rFonts w:hint="eastAsia" w:ascii="仿宋" w:hAnsi="仿宋" w:eastAsia="仿宋" w:cs="仿宋_GB2312"/>
          <w:sz w:val="32"/>
          <w:szCs w:val="32"/>
          <w:lang w:val="en-US" w:eastAsia="zh-CN"/>
        </w:rPr>
        <w:t>4</w:t>
      </w:r>
      <w:r>
        <w:rPr>
          <w:rFonts w:hint="eastAsia" w:ascii="仿宋" w:hAnsi="仿宋" w:eastAsia="仿宋" w:cs="仿宋_GB2312"/>
          <w:sz w:val="32"/>
          <w:szCs w:val="32"/>
        </w:rPr>
        <w:t>个，项目效益设置社会效益和可持续影响指标</w:t>
      </w:r>
      <w:r>
        <w:rPr>
          <w:rFonts w:hint="eastAsia" w:ascii="仿宋" w:hAnsi="仿宋" w:eastAsia="仿宋" w:cs="仿宋_GB2312"/>
          <w:sz w:val="32"/>
          <w:szCs w:val="32"/>
          <w:lang w:val="en-US" w:eastAsia="zh-CN"/>
        </w:rPr>
        <w:t>2</w:t>
      </w:r>
      <w:r>
        <w:rPr>
          <w:rFonts w:hint="eastAsia" w:ascii="仿宋" w:hAnsi="仿宋" w:eastAsia="仿宋" w:cs="仿宋_GB2312"/>
          <w:sz w:val="32"/>
          <w:szCs w:val="32"/>
        </w:rPr>
        <w:t>个，满意度指标设置社会满意度指标</w:t>
      </w:r>
      <w:r>
        <w:rPr>
          <w:rFonts w:hint="eastAsia" w:ascii="仿宋" w:hAnsi="仿宋" w:eastAsia="仿宋" w:cs="仿宋_GB2312"/>
          <w:sz w:val="32"/>
          <w:szCs w:val="32"/>
          <w:lang w:val="en-US" w:eastAsia="zh-CN"/>
        </w:rPr>
        <w:t>1</w:t>
      </w:r>
      <w:r>
        <w:rPr>
          <w:rFonts w:hint="eastAsia" w:ascii="仿宋" w:hAnsi="仿宋" w:eastAsia="仿宋" w:cs="仿宋_GB2312"/>
          <w:sz w:val="32"/>
          <w:szCs w:val="32"/>
        </w:rPr>
        <w:t>个。</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3）三级指标：数量指标设置保障人数、覆盖学校和服务案例指标3个，质量指标设置服务覆盖面和学生问题解决率指标2个；时效指标设置按进度拨付资金和年度支出总额指标2个，成本指标设置年度标准1个；社会效益设置群众知晓率指标和服务项目指标2个；可持续影响指标设置服务和发展、可持续发展影响指标3个；社会满意度指标设置驻点学校服务满意度、社工满意度和群众满意度指标3个。</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（三）评价标准和评价方法</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1.评价标准</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绩效评价标准是指衡量财政支出绩效目标完成程度的尺度。绩效评价标准具体包括：计划标准、行业标准、历史标准、其他经财政部门确认的标准。</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2.评价方法</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绩效评价方法主要采用成本效益分析法、比较法、因素分析法、最低成本法、公众评判法等。</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项目评价实施方案情况（包括选点、评价指标、评价方法、基础数据表等情况）</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w:t>
      </w:r>
      <w:r>
        <w:rPr>
          <w:rFonts w:ascii="仿宋" w:hAnsi="仿宋" w:eastAsia="仿宋" w:cs="仿宋_GB2312"/>
          <w:sz w:val="32"/>
          <w:szCs w:val="32"/>
        </w:rPr>
        <w:t>、评价结论及绩效分析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（一）评价结论</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本项目财政支出目标明确、具体，决策程序科学、有效，项目管理较为完善，基本达成了项目目标，初步形成了学校社工专业服务模式，受到了师生、家长的欢迎，得到了党委、政府和上级教育主管部门的高度认可。</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项目绩效评价总体结论（包括项目评价得分表）</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1、项目决策</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中国青少年发展基金会和中国社会工作教育协会合作实施的“抗震希望学校社工志愿服务行动”实施以来，社工项目坚持“提供高品质的专业服务”的项目特性，收到了师生、家长的欢迎，也得到了区委、区政府的高度认可。该项目的实施是贯彻落实区人民政府《三方协议》有关要求，通过有效推进社工服务、推广社工服务理念，让更多的青少年能够接受到更优质的教育资源，促进教育公平。</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2、项目管理</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w:t>
      </w:r>
      <w:r>
        <w:rPr>
          <w:rFonts w:ascii="仿宋" w:hAnsi="仿宋" w:eastAsia="仿宋" w:cs="仿宋_GB2312"/>
          <w:sz w:val="32"/>
          <w:szCs w:val="32"/>
        </w:rPr>
        <w:t>资金</w:t>
      </w:r>
      <w:r>
        <w:rPr>
          <w:rFonts w:hint="eastAsia" w:ascii="仿宋" w:hAnsi="仿宋" w:eastAsia="仿宋" w:cs="仿宋_GB2312"/>
          <w:sz w:val="32"/>
          <w:szCs w:val="32"/>
        </w:rPr>
        <w:t>到位</w:t>
      </w:r>
      <w:r>
        <w:rPr>
          <w:rFonts w:ascii="仿宋" w:hAnsi="仿宋" w:eastAsia="仿宋" w:cs="仿宋_GB2312"/>
          <w:sz w:val="32"/>
          <w:szCs w:val="32"/>
        </w:rPr>
        <w:t>情况（资金分配管理的科学合理性）</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该项目资金共40万元由我局根据社工服务中心申报，通过财政大平台拨付到位。</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w:t>
      </w:r>
      <w:r>
        <w:rPr>
          <w:rFonts w:ascii="仿宋" w:hAnsi="仿宋" w:eastAsia="仿宋" w:cs="仿宋_GB2312"/>
          <w:sz w:val="32"/>
          <w:szCs w:val="32"/>
        </w:rPr>
        <w:t>资金使用情况（项目、资金管理的科学规范性）</w:t>
      </w:r>
    </w:p>
    <w:p>
      <w:pPr>
        <w:spacing w:line="580" w:lineRule="exact"/>
        <w:ind w:firstLine="640" w:firstLineChars="200"/>
        <w:rPr>
          <w:rFonts w:ascii="仿宋" w:hAnsi="仿宋" w:eastAsia="仿宋" w:cs="仿宋_GB2312"/>
          <w:color w:val="000000" w:themeColor="text1"/>
          <w:sz w:val="32"/>
          <w:szCs w:val="32"/>
          <w14:textFill>
            <w14:solidFill>
              <w14:schemeClr w14:val="tx1"/>
            </w14:solidFill>
          </w14:textFill>
        </w:rPr>
      </w:pPr>
      <w:bookmarkStart w:id="79" w:name="OLE_LINK1"/>
      <w:r>
        <w:rPr>
          <w:rFonts w:hint="eastAsia" w:ascii="仿宋" w:hAnsi="仿宋" w:eastAsia="仿宋" w:cs="仿宋_GB2312"/>
          <w:sz w:val="32"/>
          <w:szCs w:val="32"/>
        </w:rPr>
        <w:t>区希望社工服务中心按照区政府《三方协议》要求开展社工专业服务，并按照要求报送年度工作总结，对工作进行反思和自我评估。</w:t>
      </w:r>
      <w:bookmarkEnd w:id="79"/>
      <w:r>
        <w:rPr>
          <w:rFonts w:hint="eastAsia" w:ascii="仿宋" w:hAnsi="仿宋" w:eastAsia="仿宋" w:cs="仿宋_GB2312"/>
          <w:sz w:val="32"/>
          <w:szCs w:val="32"/>
        </w:rPr>
        <w:t>根据工作情况，教育基金会具体负责对社工的工作进行指导和调整。目前，社工开展了儿童社会工作、老年人社会工作、社区社会工作等专业服务，直接服务约18620人</w:t>
      </w:r>
      <w:r>
        <w:rPr>
          <w:rFonts w:hint="eastAsia" w:ascii="仿宋" w:hAnsi="仿宋" w:eastAsia="仿宋" w:cs="仿宋_GB2312"/>
          <w:color w:val="000000" w:themeColor="text1"/>
          <w:sz w:val="32"/>
          <w:szCs w:val="32"/>
          <w14:textFill>
            <w14:solidFill>
              <w14:schemeClr w14:val="tx1"/>
            </w14:solidFill>
          </w14:textFill>
        </w:rPr>
        <w:t>次。</w:t>
      </w:r>
    </w:p>
    <w:p>
      <w:pPr>
        <w:spacing w:line="580" w:lineRule="exact"/>
        <w:ind w:firstLine="640" w:firstLineChars="200"/>
        <w:rPr>
          <w:rFonts w:ascii="仿宋" w:hAnsi="仿宋" w:eastAsia="仿宋" w:cs="仿宋_GB2312"/>
          <w:color w:val="000000" w:themeColor="text1"/>
          <w:sz w:val="32"/>
          <w:szCs w:val="32"/>
          <w14:textFill>
            <w14:solidFill>
              <w14:schemeClr w14:val="tx1"/>
            </w14:solidFill>
          </w14:textFill>
        </w:rPr>
      </w:pPr>
      <w:r>
        <w:rPr>
          <w:rFonts w:ascii="仿宋" w:hAnsi="仿宋" w:eastAsia="仿宋" w:cs="仿宋_GB2312"/>
          <w:color w:val="000000" w:themeColor="text1"/>
          <w:sz w:val="32"/>
          <w:szCs w:val="32"/>
          <w14:textFill>
            <w14:solidFill>
              <w14:schemeClr w14:val="tx1"/>
            </w14:solidFill>
          </w14:textFill>
        </w:rPr>
        <w:t>3、项目绩效</w:t>
      </w:r>
    </w:p>
    <w:p>
      <w:pPr>
        <w:spacing w:line="580" w:lineRule="exact"/>
        <w:ind w:firstLine="640" w:firstLineChars="200"/>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（1）</w:t>
      </w:r>
      <w:r>
        <w:rPr>
          <w:rFonts w:ascii="仿宋" w:hAnsi="仿宋" w:eastAsia="仿宋" w:cs="仿宋_GB2312"/>
          <w:color w:val="000000" w:themeColor="text1"/>
          <w:sz w:val="32"/>
          <w:szCs w:val="32"/>
          <w14:textFill>
            <w14:solidFill>
              <w14:schemeClr w14:val="tx1"/>
            </w14:solidFill>
          </w14:textFill>
        </w:rPr>
        <w:t>项目目标完成情况（数量、质量、时效、成本）</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本项目实施过程中,通过专职社工5人+实习生(志愿者) 30人服务了9所学校、5个社工站（点）及驻点学校周边2个居民社区，为学校的学生、老师和家长提供服务。全年共开展了10次社区服务，13次工作坊，4次师生减压拓展活动，1次校园大型活动，47节社工课堂，92次小信箱和个案咨询服务，6次生命教育营会，覆盖9所学校的疫情期间学生心理问卷调查服务，42次广播站、诚信商店、等活动。本年度虽受疫情的影响，许多大型服务无法顺利开展，但中心积极克服困难落实服务。</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通过电话回访、随机调查等方式统计，驻点学校社工服务覆盖面达到了100%，学生心理情绪和思想品德问题解决率达到了88%以上，驻点学校社工服务满意度96%，驻点学校社工满意度98%，群众满意度达96%。</w:t>
      </w:r>
    </w:p>
    <w:p>
      <w:pPr>
        <w:spacing w:line="580" w:lineRule="exact"/>
        <w:ind w:firstLine="640" w:firstLineChars="200"/>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（2）</w:t>
      </w:r>
      <w:r>
        <w:rPr>
          <w:rFonts w:ascii="仿宋" w:hAnsi="仿宋" w:eastAsia="仿宋" w:cs="仿宋_GB2312"/>
          <w:color w:val="000000" w:themeColor="text1"/>
          <w:sz w:val="32"/>
          <w:szCs w:val="32"/>
          <w14:textFill>
            <w14:solidFill>
              <w14:schemeClr w14:val="tx1"/>
            </w14:solidFill>
          </w14:textFill>
        </w:rPr>
        <w:t>项目效益情况（经济效益、项目社会效益、生态效益、可持续效益、公平性、资金使用效率、受益群体满意度等）。</w:t>
      </w:r>
    </w:p>
    <w:p>
      <w:pPr>
        <w:spacing w:line="580" w:lineRule="exact"/>
        <w:ind w:firstLine="640" w:firstLineChars="200"/>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项目实施以来，社工和志愿者成为了学生成长的同行者和陪伴者，为师生提供帮助和支持，得到了学生和学校的一致好评。通过整合社会资源为青少年提供预防性、发展性和治疗性的服务，有效促进了驻点学校和谐校园的创建。通过专业化的社工服务，涵盖和回应青少年发展阶段的不同需求，发展和增强青少年的社会功能。</w:t>
      </w:r>
    </w:p>
    <w:p>
      <w:pPr>
        <w:spacing w:line="580" w:lineRule="exact"/>
        <w:ind w:firstLine="640" w:firstLineChars="200"/>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三</w:t>
      </w:r>
      <w:r>
        <w:rPr>
          <w:rFonts w:ascii="仿宋" w:hAnsi="仿宋" w:eastAsia="仿宋" w:cs="仿宋_GB2312"/>
          <w:color w:val="000000" w:themeColor="text1"/>
          <w:sz w:val="32"/>
          <w:szCs w:val="32"/>
          <w14:textFill>
            <w14:solidFill>
              <w14:schemeClr w14:val="tx1"/>
            </w14:solidFill>
          </w14:textFill>
        </w:rPr>
        <w:t>、存在主要问题</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资金缺口大，制约社工服务活动开展。资金支持和保障是社工服务机构顺利运营、开展服务的物质保障和基本前提。目前，本项目资金仅能够保证社工服务中心日常运行，机构宣传、活动组织、社工招募只能通过多方筹集，影响了社工服务面的进一步扩大。</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社工专业服务人才匮乏，影响社工服务发展。目前，社工服务中心仅有专职社工4人，其余人员大部分依靠实习生（志愿者）及其他兼职人员。专业人才的欠缺，导致社会服务项目设计、服务能力和服务专业化难以得到保证。</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四</w:t>
      </w:r>
      <w:r>
        <w:rPr>
          <w:rFonts w:ascii="仿宋" w:hAnsi="仿宋" w:eastAsia="仿宋" w:cs="仿宋_GB2312"/>
          <w:sz w:val="32"/>
          <w:szCs w:val="32"/>
        </w:rPr>
        <w:t>、相关措施建议</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加强政策和资金的支持力度。通过实施并扩大社会化服务购买的力度，在对外宣传、社工招募等方面加强资金支持力度，推进社工服务进一步发展。同时，加快社工服务中心项目化运行的转型，通过对外项目化的运行，面向全社会多方面、多渠道筹集运行经费。</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构建社会工作专业人才和志愿者相结合的社工队伍。加强对社工服务中心的宣传力度，吸引具有社工专业背景的专门人才，保证社工服务的专业性。同时，深入做好志愿者的招募注册、组织管理、提升培训和服务记录等一系列工作，提升志愿者服务的专业化、组织化水平，丰富社工人才资源、拓展服务范围。</w:t>
      </w:r>
    </w:p>
    <w:p>
      <w:pPr>
        <w:widowControl/>
        <w:jc w:val="left"/>
        <w:rPr>
          <w:rFonts w:ascii="仿宋" w:hAnsi="仿宋" w:eastAsia="仿宋" w:cs="仿宋_GB2312"/>
          <w:sz w:val="32"/>
          <w:szCs w:val="32"/>
        </w:rPr>
      </w:pPr>
      <w:r>
        <w:rPr>
          <w:rFonts w:ascii="仿宋" w:hAnsi="仿宋" w:eastAsia="仿宋" w:cs="仿宋_GB2312"/>
          <w:sz w:val="32"/>
          <w:szCs w:val="32"/>
        </w:rPr>
        <w:br w:type="page"/>
      </w:r>
    </w:p>
    <w:tbl>
      <w:tblPr>
        <w:tblStyle w:val="12"/>
        <w:tblpPr w:leftFromText="180" w:rightFromText="180" w:vertAnchor="text" w:horzAnchor="page" w:tblpX="1795" w:tblpY="562"/>
        <w:tblOverlap w:val="never"/>
        <w:tblW w:w="5011" w:type="pct"/>
        <w:tblInd w:w="0" w:type="dxa"/>
        <w:tblLayout w:type="autofit"/>
        <w:tblCellMar>
          <w:top w:w="0" w:type="dxa"/>
          <w:left w:w="108" w:type="dxa"/>
          <w:bottom w:w="0" w:type="dxa"/>
          <w:right w:w="108" w:type="dxa"/>
        </w:tblCellMar>
      </w:tblPr>
      <w:tblGrid>
        <w:gridCol w:w="787"/>
        <w:gridCol w:w="458"/>
        <w:gridCol w:w="754"/>
        <w:gridCol w:w="10"/>
        <w:gridCol w:w="1762"/>
        <w:gridCol w:w="1480"/>
        <w:gridCol w:w="807"/>
        <w:gridCol w:w="2483"/>
      </w:tblGrid>
      <w:tr>
        <w:tblPrEx>
          <w:tblCellMar>
            <w:top w:w="0" w:type="dxa"/>
            <w:left w:w="108" w:type="dxa"/>
            <w:bottom w:w="0" w:type="dxa"/>
            <w:right w:w="108" w:type="dxa"/>
          </w:tblCellMar>
        </w:tblPrEx>
        <w:trPr>
          <w:trHeight w:val="450" w:hRule="atLeast"/>
        </w:trPr>
        <w:tc>
          <w:tcPr>
            <w:tcW w:w="4998" w:type="pct"/>
            <w:gridSpan w:val="8"/>
            <w:tcBorders>
              <w:top w:val="nil"/>
              <w:left w:val="nil"/>
              <w:bottom w:val="nil"/>
              <w:right w:val="nil"/>
            </w:tcBorders>
            <w:shd w:val="clear" w:color="auto" w:fill="auto"/>
            <w:vAlign w:val="center"/>
          </w:tcPr>
          <w:p>
            <w:pPr>
              <w:widowControl/>
              <w:jc w:val="center"/>
              <w:rPr>
                <w:rFonts w:ascii="黑体" w:hAnsi="黑体" w:eastAsia="黑体" w:cs="宋体"/>
                <w:kern w:val="0"/>
                <w:sz w:val="36"/>
                <w:szCs w:val="36"/>
              </w:rPr>
            </w:pPr>
            <w:r>
              <w:rPr>
                <w:rFonts w:hint="eastAsia" w:ascii="黑体" w:hAnsi="黑体" w:eastAsia="黑体" w:cs="方正小标宋简体"/>
                <w:sz w:val="44"/>
                <w:szCs w:val="44"/>
              </w:rPr>
              <w:t>2020年政府购买社工服务项目支出绩效目标完成情况表</w:t>
            </w:r>
          </w:p>
        </w:tc>
      </w:tr>
      <w:tr>
        <w:tblPrEx>
          <w:tblCellMar>
            <w:top w:w="0" w:type="dxa"/>
            <w:left w:w="108" w:type="dxa"/>
            <w:bottom w:w="0" w:type="dxa"/>
            <w:right w:w="108" w:type="dxa"/>
          </w:tblCellMar>
        </w:tblPrEx>
        <w:trPr>
          <w:trHeight w:val="450" w:hRule="atLeast"/>
        </w:trPr>
        <w:tc>
          <w:tcPr>
            <w:tcW w:w="4998" w:type="pct"/>
            <w:gridSpan w:val="8"/>
            <w:tcBorders>
              <w:top w:val="nil"/>
              <w:left w:val="nil"/>
              <w:bottom w:val="nil"/>
              <w:right w:val="nil"/>
            </w:tcBorders>
            <w:shd w:val="clear" w:color="auto" w:fill="auto"/>
            <w:vAlign w:val="center"/>
          </w:tcPr>
          <w:p>
            <w:pPr>
              <w:widowControl/>
              <w:jc w:val="center"/>
              <w:rPr>
                <w:rFonts w:ascii="宋体" w:hAnsi="宋体" w:cs="宋体"/>
                <w:kern w:val="0"/>
                <w:sz w:val="36"/>
                <w:szCs w:val="36"/>
              </w:rPr>
            </w:pPr>
            <w:r>
              <w:rPr>
                <w:rFonts w:hint="eastAsia" w:ascii="宋体" w:hAnsi="宋体" w:cs="宋体"/>
                <w:kern w:val="0"/>
                <w:sz w:val="36"/>
                <w:szCs w:val="36"/>
              </w:rPr>
              <w:t>(2020年度)</w:t>
            </w:r>
          </w:p>
        </w:tc>
      </w:tr>
      <w:tr>
        <w:tblPrEx>
          <w:tblCellMar>
            <w:top w:w="0" w:type="dxa"/>
            <w:left w:w="108" w:type="dxa"/>
            <w:bottom w:w="0" w:type="dxa"/>
            <w:right w:w="108" w:type="dxa"/>
          </w:tblCellMar>
        </w:tblPrEx>
        <w:trPr>
          <w:trHeight w:val="555" w:hRule="atLeast"/>
        </w:trPr>
        <w:tc>
          <w:tcPr>
            <w:tcW w:w="1170"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项目名称</w:t>
            </w:r>
          </w:p>
        </w:tc>
        <w:tc>
          <w:tcPr>
            <w:tcW w:w="3827" w:type="pct"/>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2020年政府购买社工服务费项目</w:t>
            </w:r>
          </w:p>
        </w:tc>
      </w:tr>
      <w:tr>
        <w:tblPrEx>
          <w:tblCellMar>
            <w:top w:w="0" w:type="dxa"/>
            <w:left w:w="108" w:type="dxa"/>
            <w:bottom w:w="0" w:type="dxa"/>
            <w:right w:w="108" w:type="dxa"/>
          </w:tblCellMar>
        </w:tblPrEx>
        <w:trPr>
          <w:trHeight w:val="555" w:hRule="atLeast"/>
        </w:trPr>
        <w:tc>
          <w:tcPr>
            <w:tcW w:w="1170"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预算单位</w:t>
            </w:r>
          </w:p>
        </w:tc>
        <w:tc>
          <w:tcPr>
            <w:tcW w:w="3827" w:type="pct"/>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广元市利州区教育局</w:t>
            </w:r>
          </w:p>
        </w:tc>
      </w:tr>
      <w:tr>
        <w:tblPrEx>
          <w:tblCellMar>
            <w:top w:w="0" w:type="dxa"/>
            <w:left w:w="108" w:type="dxa"/>
            <w:bottom w:w="0" w:type="dxa"/>
            <w:right w:w="108" w:type="dxa"/>
          </w:tblCellMar>
        </w:tblPrEx>
        <w:trPr>
          <w:trHeight w:val="555" w:hRule="atLeast"/>
        </w:trPr>
        <w:tc>
          <w:tcPr>
            <w:tcW w:w="461"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预算执行情况(万元)</w:t>
            </w:r>
          </w:p>
        </w:tc>
        <w:tc>
          <w:tcPr>
            <w:tcW w:w="708"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预算数:</w:t>
            </w:r>
          </w:p>
        </w:tc>
        <w:tc>
          <w:tcPr>
            <w:tcW w:w="1037"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40万元</w:t>
            </w:r>
          </w:p>
        </w:tc>
        <w:tc>
          <w:tcPr>
            <w:tcW w:w="86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执行数:</w:t>
            </w:r>
          </w:p>
        </w:tc>
        <w:tc>
          <w:tcPr>
            <w:tcW w:w="1922"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40万元</w:t>
            </w:r>
          </w:p>
        </w:tc>
      </w:tr>
      <w:tr>
        <w:tblPrEx>
          <w:tblCellMar>
            <w:top w:w="0" w:type="dxa"/>
            <w:left w:w="108" w:type="dxa"/>
            <w:bottom w:w="0" w:type="dxa"/>
            <w:right w:w="108" w:type="dxa"/>
          </w:tblCellMar>
        </w:tblPrEx>
        <w:trPr>
          <w:trHeight w:val="740" w:hRule="atLeast"/>
        </w:trPr>
        <w:tc>
          <w:tcPr>
            <w:tcW w:w="46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708"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其中-财政拨款:</w:t>
            </w:r>
          </w:p>
        </w:tc>
        <w:tc>
          <w:tcPr>
            <w:tcW w:w="1037"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40万元</w:t>
            </w:r>
          </w:p>
        </w:tc>
        <w:tc>
          <w:tcPr>
            <w:tcW w:w="86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其中-财政拨款:</w:t>
            </w:r>
          </w:p>
        </w:tc>
        <w:tc>
          <w:tcPr>
            <w:tcW w:w="1922"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40万元</w:t>
            </w:r>
          </w:p>
        </w:tc>
      </w:tr>
      <w:tr>
        <w:tblPrEx>
          <w:tblCellMar>
            <w:top w:w="0" w:type="dxa"/>
            <w:left w:w="108" w:type="dxa"/>
            <w:bottom w:w="0" w:type="dxa"/>
            <w:right w:w="108" w:type="dxa"/>
          </w:tblCellMar>
        </w:tblPrEx>
        <w:trPr>
          <w:trHeight w:val="421" w:hRule="atLeast"/>
        </w:trPr>
        <w:tc>
          <w:tcPr>
            <w:tcW w:w="46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708"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其它资金:</w:t>
            </w:r>
          </w:p>
        </w:tc>
        <w:tc>
          <w:tcPr>
            <w:tcW w:w="1037"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86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其它资金:</w:t>
            </w:r>
          </w:p>
        </w:tc>
        <w:tc>
          <w:tcPr>
            <w:tcW w:w="1922"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555" w:hRule="atLeast"/>
        </w:trPr>
        <w:tc>
          <w:tcPr>
            <w:tcW w:w="461"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年度目标完成情况</w:t>
            </w:r>
          </w:p>
        </w:tc>
        <w:tc>
          <w:tcPr>
            <w:tcW w:w="1746" w:type="pct"/>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预期目标</w:t>
            </w:r>
          </w:p>
        </w:tc>
        <w:tc>
          <w:tcPr>
            <w:tcW w:w="2789"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实际完成目标</w:t>
            </w:r>
          </w:p>
        </w:tc>
      </w:tr>
      <w:tr>
        <w:tblPrEx>
          <w:tblCellMar>
            <w:top w:w="0" w:type="dxa"/>
            <w:left w:w="108" w:type="dxa"/>
            <w:bottom w:w="0" w:type="dxa"/>
            <w:right w:w="108" w:type="dxa"/>
          </w:tblCellMar>
        </w:tblPrEx>
        <w:trPr>
          <w:trHeight w:val="1545" w:hRule="atLeast"/>
        </w:trPr>
        <w:tc>
          <w:tcPr>
            <w:tcW w:w="46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746" w:type="pct"/>
            <w:gridSpan w:val="4"/>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发展青少年领域社工服务，推进驻校社工服务的深入发展，根据青少年发展阶段的不同需求协助在校学生解决各种适应性问题和生活学习中的苦恼。拓展项目资源，提升社工中心项目化运作能力，积极开展对外链接，统筹整合本地资源，实现机构项目化运作的转型。</w:t>
            </w:r>
          </w:p>
        </w:tc>
        <w:tc>
          <w:tcPr>
            <w:tcW w:w="2789" w:type="pct"/>
            <w:gridSpan w:val="3"/>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项目实施以来，社工和志愿者成为了学生成长的同行者和陪伴者，为师生提供帮助和支持，得到了学生和学校的一致好评。通过整合社会资源为青少年提供预防性、发展性和治疗性的服务，有效促进了驻点学校和谐校园的创建。通过专业化的社工服务，涵盖和回应青少年发展阶段的不同需求，发展和增强青少年的社会功能。</w:t>
            </w:r>
          </w:p>
        </w:tc>
      </w:tr>
      <w:tr>
        <w:tblPrEx>
          <w:tblCellMar>
            <w:top w:w="0" w:type="dxa"/>
            <w:left w:w="108" w:type="dxa"/>
            <w:bottom w:w="0" w:type="dxa"/>
            <w:right w:w="108" w:type="dxa"/>
          </w:tblCellMar>
        </w:tblPrEx>
        <w:trPr>
          <w:trHeight w:val="570" w:hRule="atLeast"/>
        </w:trPr>
        <w:tc>
          <w:tcPr>
            <w:tcW w:w="461"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绩效指标完成情况</w:t>
            </w:r>
          </w:p>
        </w:tc>
        <w:tc>
          <w:tcPr>
            <w:tcW w:w="2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一级指标</w:t>
            </w:r>
          </w:p>
        </w:tc>
        <w:tc>
          <w:tcPr>
            <w:tcW w:w="447"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二级指标</w:t>
            </w:r>
          </w:p>
        </w:tc>
        <w:tc>
          <w:tcPr>
            <w:tcW w:w="103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三级指标</w:t>
            </w:r>
          </w:p>
        </w:tc>
        <w:tc>
          <w:tcPr>
            <w:tcW w:w="1338"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预期指标值(包含数字及文字描述)</w:t>
            </w:r>
          </w:p>
        </w:tc>
        <w:tc>
          <w:tcPr>
            <w:tcW w:w="145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实际完成指标值(包含数字及文字描述)</w:t>
            </w:r>
          </w:p>
        </w:tc>
      </w:tr>
      <w:tr>
        <w:tblPrEx>
          <w:tblCellMar>
            <w:top w:w="0" w:type="dxa"/>
            <w:left w:w="108" w:type="dxa"/>
            <w:bottom w:w="0" w:type="dxa"/>
            <w:right w:w="108" w:type="dxa"/>
          </w:tblCellMar>
        </w:tblPrEx>
        <w:trPr>
          <w:trHeight w:val="795" w:hRule="atLeast"/>
        </w:trPr>
        <w:tc>
          <w:tcPr>
            <w:tcW w:w="46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68"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项目完成</w:t>
            </w:r>
          </w:p>
        </w:tc>
        <w:tc>
          <w:tcPr>
            <w:tcW w:w="447"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数量指标</w:t>
            </w:r>
          </w:p>
        </w:tc>
        <w:tc>
          <w:tcPr>
            <w:tcW w:w="103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保障社工及实习生数量</w:t>
            </w:r>
          </w:p>
        </w:tc>
        <w:tc>
          <w:tcPr>
            <w:tcW w:w="1338" w:type="pct"/>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保障专职社工5人，实习生（志愿者）30人</w:t>
            </w:r>
          </w:p>
        </w:tc>
        <w:tc>
          <w:tcPr>
            <w:tcW w:w="145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保障了专职社工5人，实习生（志愿者）30人和服务中心正常开展住校社工服务</w:t>
            </w:r>
          </w:p>
        </w:tc>
      </w:tr>
      <w:tr>
        <w:tblPrEx>
          <w:tblCellMar>
            <w:top w:w="0" w:type="dxa"/>
            <w:left w:w="108" w:type="dxa"/>
            <w:bottom w:w="0" w:type="dxa"/>
            <w:right w:w="108" w:type="dxa"/>
          </w:tblCellMar>
        </w:tblPrEx>
        <w:trPr>
          <w:trHeight w:val="420" w:hRule="atLeast"/>
        </w:trPr>
        <w:tc>
          <w:tcPr>
            <w:tcW w:w="46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6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447"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数量指标</w:t>
            </w:r>
          </w:p>
        </w:tc>
        <w:tc>
          <w:tcPr>
            <w:tcW w:w="103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服务覆盖面</w:t>
            </w:r>
          </w:p>
        </w:tc>
        <w:tc>
          <w:tcPr>
            <w:tcW w:w="1338" w:type="pct"/>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社工服务覆盖9所学校5个社工点2个社区</w:t>
            </w:r>
          </w:p>
        </w:tc>
        <w:tc>
          <w:tcPr>
            <w:tcW w:w="145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覆盖9所学校5个社工点2个社区</w:t>
            </w:r>
          </w:p>
        </w:tc>
      </w:tr>
      <w:tr>
        <w:tblPrEx>
          <w:tblCellMar>
            <w:top w:w="0" w:type="dxa"/>
            <w:left w:w="108" w:type="dxa"/>
            <w:bottom w:w="0" w:type="dxa"/>
            <w:right w:w="108" w:type="dxa"/>
          </w:tblCellMar>
        </w:tblPrEx>
        <w:trPr>
          <w:trHeight w:val="1200" w:hRule="atLeast"/>
        </w:trPr>
        <w:tc>
          <w:tcPr>
            <w:tcW w:w="46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6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447"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数量指标</w:t>
            </w:r>
          </w:p>
        </w:tc>
        <w:tc>
          <w:tcPr>
            <w:tcW w:w="103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服务案例个数</w:t>
            </w:r>
          </w:p>
        </w:tc>
        <w:tc>
          <w:tcPr>
            <w:tcW w:w="1338" w:type="pct"/>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提供50例服务个案咨询工作，40节社工课堂</w:t>
            </w:r>
          </w:p>
        </w:tc>
        <w:tc>
          <w:tcPr>
            <w:tcW w:w="145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全年共开展了10次社区服务，13次工作坊，4次师生减压拓展活动，1次校园大型活动，47节社工课堂，92次小信箱和个案咨询服务，6次生命教育营会，覆盖9所学校的疫情期间学生心理问卷调查服务，42次广播站、诚信商店、等活动.</w:t>
            </w:r>
          </w:p>
        </w:tc>
      </w:tr>
      <w:tr>
        <w:tblPrEx>
          <w:tblCellMar>
            <w:top w:w="0" w:type="dxa"/>
            <w:left w:w="108" w:type="dxa"/>
            <w:bottom w:w="0" w:type="dxa"/>
            <w:right w:w="108" w:type="dxa"/>
          </w:tblCellMar>
        </w:tblPrEx>
        <w:trPr>
          <w:trHeight w:val="420" w:hRule="atLeast"/>
        </w:trPr>
        <w:tc>
          <w:tcPr>
            <w:tcW w:w="46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6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447"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质量指标</w:t>
            </w:r>
          </w:p>
        </w:tc>
        <w:tc>
          <w:tcPr>
            <w:tcW w:w="103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服务质量覆盖面</w:t>
            </w:r>
          </w:p>
        </w:tc>
        <w:tc>
          <w:tcPr>
            <w:tcW w:w="1338" w:type="pct"/>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驻点学校社工服务覆盖面：100%</w:t>
            </w:r>
          </w:p>
        </w:tc>
        <w:tc>
          <w:tcPr>
            <w:tcW w:w="145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驻点学校社工服务覆盖面：100%</w:t>
            </w:r>
          </w:p>
        </w:tc>
      </w:tr>
      <w:tr>
        <w:tblPrEx>
          <w:tblCellMar>
            <w:top w:w="0" w:type="dxa"/>
            <w:left w:w="108" w:type="dxa"/>
            <w:bottom w:w="0" w:type="dxa"/>
            <w:right w:w="108" w:type="dxa"/>
          </w:tblCellMar>
        </w:tblPrEx>
        <w:trPr>
          <w:trHeight w:val="615" w:hRule="atLeast"/>
        </w:trPr>
        <w:tc>
          <w:tcPr>
            <w:tcW w:w="46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6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447"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质量指标</w:t>
            </w:r>
          </w:p>
        </w:tc>
        <w:tc>
          <w:tcPr>
            <w:tcW w:w="103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问题解决率</w:t>
            </w:r>
          </w:p>
        </w:tc>
        <w:tc>
          <w:tcPr>
            <w:tcW w:w="1338" w:type="pct"/>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学生心理情绪、思想品德问题解决率：80%</w:t>
            </w:r>
          </w:p>
        </w:tc>
        <w:tc>
          <w:tcPr>
            <w:tcW w:w="145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学生心理情绪、思想品德问题解决率：89.5%</w:t>
            </w:r>
          </w:p>
        </w:tc>
      </w:tr>
      <w:tr>
        <w:tblPrEx>
          <w:tblCellMar>
            <w:top w:w="0" w:type="dxa"/>
            <w:left w:w="108" w:type="dxa"/>
            <w:bottom w:w="0" w:type="dxa"/>
            <w:right w:w="108" w:type="dxa"/>
          </w:tblCellMar>
        </w:tblPrEx>
        <w:trPr>
          <w:trHeight w:val="420" w:hRule="atLeast"/>
        </w:trPr>
        <w:tc>
          <w:tcPr>
            <w:tcW w:w="46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6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447"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时效指标</w:t>
            </w:r>
          </w:p>
        </w:tc>
        <w:tc>
          <w:tcPr>
            <w:tcW w:w="103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资金划拨及时</w:t>
            </w:r>
          </w:p>
        </w:tc>
        <w:tc>
          <w:tcPr>
            <w:tcW w:w="1338" w:type="pct"/>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根据社工中心申报支付资金</w:t>
            </w:r>
          </w:p>
        </w:tc>
        <w:tc>
          <w:tcPr>
            <w:tcW w:w="145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分春秋两季按时划拨资金</w:t>
            </w:r>
          </w:p>
        </w:tc>
      </w:tr>
      <w:tr>
        <w:tblPrEx>
          <w:tblCellMar>
            <w:top w:w="0" w:type="dxa"/>
            <w:left w:w="108" w:type="dxa"/>
            <w:bottom w:w="0" w:type="dxa"/>
            <w:right w:w="108" w:type="dxa"/>
          </w:tblCellMar>
        </w:tblPrEx>
        <w:trPr>
          <w:trHeight w:val="420" w:hRule="atLeast"/>
        </w:trPr>
        <w:tc>
          <w:tcPr>
            <w:tcW w:w="46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6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447"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时效指标</w:t>
            </w:r>
          </w:p>
        </w:tc>
        <w:tc>
          <w:tcPr>
            <w:tcW w:w="103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资金到位时限指标</w:t>
            </w:r>
          </w:p>
        </w:tc>
        <w:tc>
          <w:tcPr>
            <w:tcW w:w="1338" w:type="pct"/>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12月前完成</w:t>
            </w:r>
          </w:p>
        </w:tc>
        <w:tc>
          <w:tcPr>
            <w:tcW w:w="145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12月底前补助资金已全部到位</w:t>
            </w:r>
          </w:p>
        </w:tc>
      </w:tr>
      <w:tr>
        <w:tblPrEx>
          <w:tblCellMar>
            <w:top w:w="0" w:type="dxa"/>
            <w:left w:w="108" w:type="dxa"/>
            <w:bottom w:w="0" w:type="dxa"/>
            <w:right w:w="108" w:type="dxa"/>
          </w:tblCellMar>
        </w:tblPrEx>
        <w:trPr>
          <w:trHeight w:val="420" w:hRule="atLeast"/>
        </w:trPr>
        <w:tc>
          <w:tcPr>
            <w:tcW w:w="46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6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447"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成本指标</w:t>
            </w:r>
          </w:p>
        </w:tc>
        <w:tc>
          <w:tcPr>
            <w:tcW w:w="103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补助标准指标</w:t>
            </w:r>
          </w:p>
        </w:tc>
        <w:tc>
          <w:tcPr>
            <w:tcW w:w="1338" w:type="pct"/>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标准：40万元/年</w:t>
            </w:r>
          </w:p>
        </w:tc>
        <w:tc>
          <w:tcPr>
            <w:tcW w:w="145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12月底前补助资金已全部到位</w:t>
            </w:r>
          </w:p>
        </w:tc>
      </w:tr>
      <w:tr>
        <w:tblPrEx>
          <w:tblCellMar>
            <w:top w:w="0" w:type="dxa"/>
            <w:left w:w="108" w:type="dxa"/>
            <w:bottom w:w="0" w:type="dxa"/>
            <w:right w:w="108" w:type="dxa"/>
          </w:tblCellMar>
        </w:tblPrEx>
        <w:trPr>
          <w:trHeight w:val="615" w:hRule="atLeast"/>
        </w:trPr>
        <w:tc>
          <w:tcPr>
            <w:tcW w:w="46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68"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项目效益</w:t>
            </w:r>
          </w:p>
        </w:tc>
        <w:tc>
          <w:tcPr>
            <w:tcW w:w="447"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社会效益</w:t>
            </w:r>
          </w:p>
          <w:p>
            <w:pPr>
              <w:widowControl/>
              <w:jc w:val="center"/>
              <w:rPr>
                <w:rFonts w:ascii="宋体" w:hAnsi="宋体" w:cs="宋体"/>
                <w:kern w:val="0"/>
                <w:sz w:val="20"/>
                <w:szCs w:val="20"/>
              </w:rPr>
            </w:pPr>
            <w:r>
              <w:rPr>
                <w:rFonts w:hint="eastAsia" w:ascii="宋体" w:hAnsi="宋体" w:cs="宋体"/>
                <w:kern w:val="0"/>
                <w:sz w:val="20"/>
                <w:szCs w:val="20"/>
              </w:rPr>
              <w:t>指标</w:t>
            </w:r>
          </w:p>
        </w:tc>
        <w:tc>
          <w:tcPr>
            <w:tcW w:w="103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政策宣传知晓率</w:t>
            </w:r>
          </w:p>
        </w:tc>
        <w:tc>
          <w:tcPr>
            <w:tcW w:w="1338" w:type="pct"/>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社工服务宣传和服务对象知晓率100%</w:t>
            </w:r>
          </w:p>
        </w:tc>
        <w:tc>
          <w:tcPr>
            <w:tcW w:w="145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社工服务宣传和服务对象知晓率96.4%</w:t>
            </w:r>
          </w:p>
        </w:tc>
      </w:tr>
      <w:tr>
        <w:tblPrEx>
          <w:tblCellMar>
            <w:top w:w="0" w:type="dxa"/>
            <w:left w:w="108" w:type="dxa"/>
            <w:bottom w:w="0" w:type="dxa"/>
            <w:right w:w="108" w:type="dxa"/>
          </w:tblCellMar>
        </w:tblPrEx>
        <w:trPr>
          <w:trHeight w:val="1200" w:hRule="atLeast"/>
        </w:trPr>
        <w:tc>
          <w:tcPr>
            <w:tcW w:w="46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6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447"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社会效益</w:t>
            </w:r>
          </w:p>
          <w:p>
            <w:pPr>
              <w:widowControl/>
              <w:jc w:val="center"/>
              <w:rPr>
                <w:rFonts w:ascii="宋体" w:hAnsi="宋体" w:cs="宋体"/>
                <w:kern w:val="0"/>
                <w:sz w:val="20"/>
                <w:szCs w:val="20"/>
              </w:rPr>
            </w:pPr>
            <w:r>
              <w:rPr>
                <w:rFonts w:hint="eastAsia" w:ascii="宋体" w:hAnsi="宋体" w:cs="宋体"/>
                <w:kern w:val="0"/>
                <w:sz w:val="20"/>
                <w:szCs w:val="20"/>
              </w:rPr>
              <w:t>指标</w:t>
            </w:r>
          </w:p>
        </w:tc>
        <w:tc>
          <w:tcPr>
            <w:tcW w:w="103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社工服务项目目标</w:t>
            </w:r>
          </w:p>
        </w:tc>
        <w:tc>
          <w:tcPr>
            <w:tcW w:w="1338" w:type="pct"/>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服务项目目标明确、定位清晰</w:t>
            </w:r>
          </w:p>
        </w:tc>
        <w:tc>
          <w:tcPr>
            <w:tcW w:w="145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区希望社工服务中心按照区政府《三方协议》要求开展社工专业服务，并按照要求报送年度工作总结，年度工作目标和服务项目完成情况良好。</w:t>
            </w:r>
          </w:p>
        </w:tc>
      </w:tr>
      <w:tr>
        <w:tblPrEx>
          <w:tblCellMar>
            <w:top w:w="0" w:type="dxa"/>
            <w:left w:w="108" w:type="dxa"/>
            <w:bottom w:w="0" w:type="dxa"/>
            <w:right w:w="108" w:type="dxa"/>
          </w:tblCellMar>
        </w:tblPrEx>
        <w:trPr>
          <w:trHeight w:val="720" w:hRule="atLeast"/>
        </w:trPr>
        <w:tc>
          <w:tcPr>
            <w:tcW w:w="46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6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447"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可持续影响指标</w:t>
            </w:r>
          </w:p>
        </w:tc>
        <w:tc>
          <w:tcPr>
            <w:tcW w:w="103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对学校可持续发展的影响</w:t>
            </w:r>
          </w:p>
        </w:tc>
        <w:tc>
          <w:tcPr>
            <w:tcW w:w="1338" w:type="pct"/>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整合社会资源为青少年提供预防性、发展性和治疗性的服务，促进和谐校园创建</w:t>
            </w:r>
          </w:p>
        </w:tc>
        <w:tc>
          <w:tcPr>
            <w:tcW w:w="145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驻点学校师生关系和谐、社工和志愿者成为了学生成长的同行者和陪伴者</w:t>
            </w:r>
          </w:p>
        </w:tc>
      </w:tr>
      <w:tr>
        <w:tblPrEx>
          <w:tblCellMar>
            <w:top w:w="0" w:type="dxa"/>
            <w:left w:w="108" w:type="dxa"/>
            <w:bottom w:w="0" w:type="dxa"/>
            <w:right w:w="108" w:type="dxa"/>
          </w:tblCellMar>
        </w:tblPrEx>
        <w:trPr>
          <w:trHeight w:val="720" w:hRule="atLeast"/>
        </w:trPr>
        <w:tc>
          <w:tcPr>
            <w:tcW w:w="46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6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447"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可持续影响指标</w:t>
            </w:r>
          </w:p>
        </w:tc>
        <w:tc>
          <w:tcPr>
            <w:tcW w:w="103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对青少年发展需求的影响</w:t>
            </w:r>
          </w:p>
        </w:tc>
        <w:tc>
          <w:tcPr>
            <w:tcW w:w="1338" w:type="pct"/>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服务内容涵盖和回应青少年发展阶段的不同需求，发展和增强青少年的社会功能</w:t>
            </w:r>
          </w:p>
        </w:tc>
        <w:tc>
          <w:tcPr>
            <w:tcW w:w="145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通过专业化的社工服务，涵盖和回应青少年发展阶段的不同需求，发展和增强青少年的社会功能。</w:t>
            </w:r>
          </w:p>
        </w:tc>
      </w:tr>
      <w:tr>
        <w:tblPrEx>
          <w:tblCellMar>
            <w:top w:w="0" w:type="dxa"/>
            <w:left w:w="108" w:type="dxa"/>
            <w:bottom w:w="0" w:type="dxa"/>
            <w:right w:w="108" w:type="dxa"/>
          </w:tblCellMar>
        </w:tblPrEx>
        <w:trPr>
          <w:trHeight w:val="480" w:hRule="atLeast"/>
        </w:trPr>
        <w:tc>
          <w:tcPr>
            <w:tcW w:w="46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6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447"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可持续影响指标</w:t>
            </w:r>
          </w:p>
        </w:tc>
        <w:tc>
          <w:tcPr>
            <w:tcW w:w="103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对社会经济发展的影响</w:t>
            </w:r>
          </w:p>
        </w:tc>
        <w:tc>
          <w:tcPr>
            <w:tcW w:w="1338" w:type="pct"/>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对社会、经济发展可持续影响：100%</w:t>
            </w:r>
          </w:p>
        </w:tc>
        <w:tc>
          <w:tcPr>
            <w:tcW w:w="145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对社会、经济发展持续影响率100%</w:t>
            </w:r>
          </w:p>
        </w:tc>
      </w:tr>
      <w:tr>
        <w:tblPrEx>
          <w:tblCellMar>
            <w:top w:w="0" w:type="dxa"/>
            <w:left w:w="108" w:type="dxa"/>
            <w:bottom w:w="0" w:type="dxa"/>
            <w:right w:w="108" w:type="dxa"/>
          </w:tblCellMar>
        </w:tblPrEx>
        <w:trPr>
          <w:trHeight w:val="420" w:hRule="atLeast"/>
        </w:trPr>
        <w:tc>
          <w:tcPr>
            <w:tcW w:w="46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68"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满意度指标</w:t>
            </w:r>
          </w:p>
        </w:tc>
        <w:tc>
          <w:tcPr>
            <w:tcW w:w="447"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满意度指标</w:t>
            </w:r>
          </w:p>
        </w:tc>
        <w:tc>
          <w:tcPr>
            <w:tcW w:w="103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驻点学校社工服务满意度</w:t>
            </w:r>
          </w:p>
        </w:tc>
        <w:tc>
          <w:tcPr>
            <w:tcW w:w="1338" w:type="pct"/>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驻点学校社工服务满意度95%</w:t>
            </w:r>
          </w:p>
        </w:tc>
        <w:tc>
          <w:tcPr>
            <w:tcW w:w="145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驻点学校社工服务满意度95%</w:t>
            </w:r>
          </w:p>
        </w:tc>
      </w:tr>
      <w:tr>
        <w:tblPrEx>
          <w:tblCellMar>
            <w:top w:w="0" w:type="dxa"/>
            <w:left w:w="108" w:type="dxa"/>
            <w:bottom w:w="0" w:type="dxa"/>
            <w:right w:w="108" w:type="dxa"/>
          </w:tblCellMar>
        </w:tblPrEx>
        <w:trPr>
          <w:trHeight w:val="420" w:hRule="atLeast"/>
        </w:trPr>
        <w:tc>
          <w:tcPr>
            <w:tcW w:w="46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6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447"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满意度指标</w:t>
            </w:r>
          </w:p>
        </w:tc>
        <w:tc>
          <w:tcPr>
            <w:tcW w:w="103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驻点学校社工满意度</w:t>
            </w:r>
          </w:p>
        </w:tc>
        <w:tc>
          <w:tcPr>
            <w:tcW w:w="1338" w:type="pct"/>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驻点学校社工满意度100%</w:t>
            </w:r>
          </w:p>
        </w:tc>
        <w:tc>
          <w:tcPr>
            <w:tcW w:w="145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驻点学校社工满意度98%</w:t>
            </w:r>
          </w:p>
        </w:tc>
      </w:tr>
      <w:tr>
        <w:tblPrEx>
          <w:tblCellMar>
            <w:top w:w="0" w:type="dxa"/>
            <w:left w:w="108" w:type="dxa"/>
            <w:bottom w:w="0" w:type="dxa"/>
            <w:right w:w="108" w:type="dxa"/>
          </w:tblCellMar>
        </w:tblPrEx>
        <w:trPr>
          <w:trHeight w:val="420" w:hRule="atLeast"/>
        </w:trPr>
        <w:tc>
          <w:tcPr>
            <w:tcW w:w="46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6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447"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满意度指标</w:t>
            </w:r>
          </w:p>
        </w:tc>
        <w:tc>
          <w:tcPr>
            <w:tcW w:w="103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群众满意度</w:t>
            </w:r>
          </w:p>
        </w:tc>
        <w:tc>
          <w:tcPr>
            <w:tcW w:w="1338" w:type="pct"/>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覆盖社区群众满意度90%</w:t>
            </w:r>
          </w:p>
        </w:tc>
        <w:tc>
          <w:tcPr>
            <w:tcW w:w="145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覆盖社区群众满意度96%</w:t>
            </w:r>
          </w:p>
        </w:tc>
      </w:tr>
    </w:tbl>
    <w:p/>
    <w:p>
      <w:pPr>
        <w:spacing w:line="600" w:lineRule="exact"/>
        <w:jc w:val="center"/>
        <w:outlineLvl w:val="0"/>
        <w:rPr>
          <w:rStyle w:val="24"/>
          <w:rFonts w:ascii="黑体" w:hAnsi="黑体" w:eastAsia="黑体"/>
          <w:b w:val="0"/>
        </w:rPr>
      </w:pPr>
      <w:bookmarkStart w:id="80" w:name="_Toc19089885"/>
      <w:r>
        <w:rPr>
          <w:rFonts w:hint="eastAsia" w:ascii="黑体" w:hAnsi="黑体" w:eastAsia="黑体"/>
          <w:sz w:val="44"/>
          <w:szCs w:val="44"/>
        </w:rPr>
        <w:t>第</w:t>
      </w:r>
      <w:r>
        <w:rPr>
          <w:rStyle w:val="24"/>
          <w:rFonts w:hint="eastAsia" w:ascii="黑体" w:hAnsi="黑体" w:eastAsia="黑体"/>
          <w:b w:val="0"/>
        </w:rPr>
        <w:t>五部分 附表</w:t>
      </w:r>
      <w:bookmarkEnd w:id="61"/>
      <w:bookmarkEnd w:id="80"/>
    </w:p>
    <w:p>
      <w:pPr>
        <w:pStyle w:val="3"/>
        <w:rPr>
          <w:rFonts w:ascii="仿宋" w:hAnsi="仿宋" w:eastAsia="仿宋"/>
        </w:rPr>
      </w:pPr>
      <w:bookmarkStart w:id="81" w:name="_Toc19089886"/>
      <w:r>
        <w:rPr>
          <w:rFonts w:hint="eastAsia" w:ascii="仿宋" w:hAnsi="仿宋" w:eastAsia="仿宋"/>
          <w:b w:val="0"/>
        </w:rPr>
        <w:t>一、收</w:t>
      </w:r>
      <w:r>
        <w:rPr>
          <w:rStyle w:val="25"/>
          <w:rFonts w:hint="eastAsia" w:ascii="仿宋" w:hAnsi="仿宋" w:eastAsia="仿宋"/>
          <w:b w:val="0"/>
          <w:bCs w:val="0"/>
        </w:rPr>
        <w:t>入支出决算总表</w:t>
      </w:r>
      <w:bookmarkEnd w:id="81"/>
    </w:p>
    <w:p>
      <w:pPr>
        <w:pStyle w:val="3"/>
        <w:rPr>
          <w:rFonts w:ascii="仿宋" w:hAnsi="仿宋" w:eastAsia="仿宋"/>
        </w:rPr>
      </w:pPr>
      <w:bookmarkStart w:id="82" w:name="_Toc19089887"/>
      <w:r>
        <w:rPr>
          <w:rFonts w:hint="eastAsia" w:ascii="仿宋" w:hAnsi="仿宋" w:eastAsia="仿宋"/>
          <w:b w:val="0"/>
        </w:rPr>
        <w:t>二、收</w:t>
      </w:r>
      <w:r>
        <w:rPr>
          <w:rStyle w:val="25"/>
          <w:rFonts w:hint="eastAsia" w:ascii="仿宋" w:hAnsi="仿宋" w:eastAsia="仿宋"/>
          <w:b w:val="0"/>
          <w:bCs w:val="0"/>
        </w:rPr>
        <w:t>入总表</w:t>
      </w:r>
      <w:bookmarkEnd w:id="82"/>
    </w:p>
    <w:p>
      <w:pPr>
        <w:pStyle w:val="3"/>
        <w:rPr>
          <w:rFonts w:ascii="仿宋" w:hAnsi="仿宋" w:eastAsia="仿宋"/>
        </w:rPr>
      </w:pPr>
      <w:bookmarkStart w:id="83" w:name="_Toc19089888"/>
      <w:r>
        <w:rPr>
          <w:rStyle w:val="25"/>
          <w:rFonts w:hint="eastAsia" w:ascii="仿宋" w:hAnsi="仿宋" w:eastAsia="仿宋"/>
          <w:b w:val="0"/>
          <w:bCs w:val="0"/>
        </w:rPr>
        <w:t>三、</w:t>
      </w:r>
      <w:r>
        <w:rPr>
          <w:rFonts w:hint="eastAsia" w:ascii="仿宋" w:hAnsi="仿宋" w:eastAsia="仿宋"/>
          <w:b w:val="0"/>
        </w:rPr>
        <w:t>支</w:t>
      </w:r>
      <w:r>
        <w:rPr>
          <w:rStyle w:val="25"/>
          <w:rFonts w:hint="eastAsia" w:ascii="仿宋" w:hAnsi="仿宋" w:eastAsia="仿宋"/>
          <w:b w:val="0"/>
          <w:bCs w:val="0"/>
        </w:rPr>
        <w:t>出总表</w:t>
      </w:r>
      <w:bookmarkEnd w:id="83"/>
    </w:p>
    <w:p>
      <w:pPr>
        <w:pStyle w:val="3"/>
        <w:rPr>
          <w:rFonts w:ascii="仿宋" w:hAnsi="仿宋" w:eastAsia="仿宋"/>
          <w:b w:val="0"/>
        </w:rPr>
      </w:pPr>
      <w:bookmarkStart w:id="84" w:name="_Toc19089889"/>
      <w:r>
        <w:rPr>
          <w:rStyle w:val="25"/>
          <w:rFonts w:hint="eastAsia" w:ascii="仿宋" w:hAnsi="仿宋" w:eastAsia="仿宋"/>
          <w:b w:val="0"/>
          <w:bCs w:val="0"/>
        </w:rPr>
        <w:t>四、</w:t>
      </w:r>
      <w:r>
        <w:rPr>
          <w:rFonts w:hint="eastAsia" w:ascii="仿宋" w:hAnsi="仿宋" w:eastAsia="仿宋"/>
          <w:b w:val="0"/>
        </w:rPr>
        <w:t>财</w:t>
      </w:r>
      <w:r>
        <w:rPr>
          <w:rStyle w:val="25"/>
          <w:rFonts w:hint="eastAsia" w:ascii="仿宋" w:hAnsi="仿宋" w:eastAsia="仿宋"/>
          <w:b w:val="0"/>
          <w:bCs w:val="0"/>
        </w:rPr>
        <w:t>政拨款收入支出决算总表</w:t>
      </w:r>
      <w:bookmarkEnd w:id="84"/>
    </w:p>
    <w:p>
      <w:pPr>
        <w:pStyle w:val="3"/>
        <w:rPr>
          <w:rFonts w:ascii="仿宋" w:hAnsi="仿宋" w:eastAsia="仿宋"/>
        </w:rPr>
      </w:pPr>
      <w:bookmarkStart w:id="85" w:name="_Toc19089890"/>
      <w:r>
        <w:rPr>
          <w:rStyle w:val="25"/>
          <w:rFonts w:hint="eastAsia" w:ascii="仿宋" w:hAnsi="仿宋" w:eastAsia="仿宋"/>
          <w:b w:val="0"/>
          <w:bCs w:val="0"/>
        </w:rPr>
        <w:t>五、</w:t>
      </w:r>
      <w:r>
        <w:rPr>
          <w:rFonts w:hint="eastAsia" w:ascii="仿宋" w:hAnsi="仿宋" w:eastAsia="仿宋"/>
          <w:b w:val="0"/>
        </w:rPr>
        <w:t>财</w:t>
      </w:r>
      <w:r>
        <w:rPr>
          <w:rStyle w:val="25"/>
          <w:rFonts w:hint="eastAsia" w:ascii="仿宋" w:hAnsi="仿宋" w:eastAsia="仿宋"/>
          <w:b w:val="0"/>
          <w:bCs w:val="0"/>
        </w:rPr>
        <w:t>政拨款支出决算明细表（政府经济分类科目）</w:t>
      </w:r>
      <w:bookmarkEnd w:id="85"/>
    </w:p>
    <w:p>
      <w:pPr>
        <w:pStyle w:val="3"/>
        <w:rPr>
          <w:rFonts w:ascii="仿宋" w:hAnsi="仿宋" w:eastAsia="仿宋"/>
        </w:rPr>
      </w:pPr>
      <w:bookmarkStart w:id="86" w:name="_Toc19089891"/>
      <w:r>
        <w:rPr>
          <w:rStyle w:val="25"/>
          <w:rFonts w:hint="eastAsia" w:ascii="仿宋" w:hAnsi="仿宋" w:eastAsia="仿宋"/>
          <w:b w:val="0"/>
          <w:bCs w:val="0"/>
        </w:rPr>
        <w:t>六、</w:t>
      </w:r>
      <w:r>
        <w:rPr>
          <w:rFonts w:hint="eastAsia" w:ascii="仿宋" w:hAnsi="仿宋" w:eastAsia="仿宋"/>
          <w:b w:val="0"/>
        </w:rPr>
        <w:t>一</w:t>
      </w:r>
      <w:r>
        <w:rPr>
          <w:rStyle w:val="25"/>
          <w:rFonts w:hint="eastAsia" w:ascii="仿宋" w:hAnsi="仿宋" w:eastAsia="仿宋"/>
          <w:b w:val="0"/>
          <w:bCs w:val="0"/>
        </w:rPr>
        <w:t>般公共预算财政拨款支出决算表</w:t>
      </w:r>
      <w:bookmarkEnd w:id="86"/>
    </w:p>
    <w:p>
      <w:pPr>
        <w:pStyle w:val="3"/>
        <w:rPr>
          <w:rFonts w:ascii="仿宋" w:hAnsi="仿宋" w:eastAsia="仿宋"/>
        </w:rPr>
      </w:pPr>
      <w:bookmarkStart w:id="87" w:name="_Toc19089892"/>
      <w:r>
        <w:rPr>
          <w:rStyle w:val="25"/>
          <w:rFonts w:hint="eastAsia" w:ascii="仿宋" w:hAnsi="仿宋" w:eastAsia="仿宋"/>
          <w:b w:val="0"/>
          <w:bCs w:val="0"/>
        </w:rPr>
        <w:t>七、</w:t>
      </w:r>
      <w:r>
        <w:rPr>
          <w:rFonts w:hint="eastAsia" w:ascii="仿宋" w:hAnsi="仿宋" w:eastAsia="仿宋"/>
          <w:b w:val="0"/>
        </w:rPr>
        <w:t>一</w:t>
      </w:r>
      <w:r>
        <w:rPr>
          <w:rStyle w:val="25"/>
          <w:rFonts w:hint="eastAsia" w:ascii="仿宋" w:hAnsi="仿宋" w:eastAsia="仿宋"/>
          <w:b w:val="0"/>
          <w:bCs w:val="0"/>
        </w:rPr>
        <w:t>般公共预算财政拨款支出决算明细表</w:t>
      </w:r>
      <w:bookmarkEnd w:id="87"/>
    </w:p>
    <w:p>
      <w:pPr>
        <w:pStyle w:val="3"/>
        <w:rPr>
          <w:rFonts w:ascii="仿宋" w:hAnsi="仿宋" w:eastAsia="仿宋"/>
        </w:rPr>
      </w:pPr>
      <w:bookmarkStart w:id="88" w:name="_Toc19089893"/>
      <w:r>
        <w:rPr>
          <w:rStyle w:val="25"/>
          <w:rFonts w:hint="eastAsia" w:ascii="仿宋" w:hAnsi="仿宋" w:eastAsia="仿宋"/>
          <w:b w:val="0"/>
          <w:bCs w:val="0"/>
        </w:rPr>
        <w:t>八、</w:t>
      </w:r>
      <w:r>
        <w:rPr>
          <w:rFonts w:hint="eastAsia" w:ascii="仿宋" w:hAnsi="仿宋" w:eastAsia="仿宋"/>
          <w:b w:val="0"/>
        </w:rPr>
        <w:t>一</w:t>
      </w:r>
      <w:r>
        <w:rPr>
          <w:rStyle w:val="25"/>
          <w:rFonts w:hint="eastAsia" w:ascii="仿宋" w:hAnsi="仿宋" w:eastAsia="仿宋"/>
          <w:b w:val="0"/>
          <w:bCs w:val="0"/>
        </w:rPr>
        <w:t>般公共预算财政拨款基本支出决算表</w:t>
      </w:r>
      <w:bookmarkEnd w:id="88"/>
    </w:p>
    <w:p>
      <w:pPr>
        <w:pStyle w:val="3"/>
        <w:rPr>
          <w:rFonts w:ascii="仿宋" w:hAnsi="仿宋" w:eastAsia="仿宋"/>
        </w:rPr>
      </w:pPr>
      <w:bookmarkStart w:id="89" w:name="_Toc19089894"/>
      <w:r>
        <w:rPr>
          <w:rStyle w:val="25"/>
          <w:rFonts w:hint="eastAsia" w:ascii="仿宋" w:hAnsi="仿宋" w:eastAsia="仿宋"/>
          <w:b w:val="0"/>
          <w:bCs w:val="0"/>
        </w:rPr>
        <w:t>九、</w:t>
      </w:r>
      <w:r>
        <w:rPr>
          <w:rFonts w:hint="eastAsia" w:ascii="仿宋" w:hAnsi="仿宋" w:eastAsia="仿宋"/>
          <w:b w:val="0"/>
        </w:rPr>
        <w:t>一</w:t>
      </w:r>
      <w:r>
        <w:rPr>
          <w:rStyle w:val="25"/>
          <w:rFonts w:hint="eastAsia" w:ascii="仿宋" w:hAnsi="仿宋" w:eastAsia="仿宋"/>
          <w:b w:val="0"/>
          <w:bCs w:val="0"/>
        </w:rPr>
        <w:t>般公共预算财政拨款项目支出决算表</w:t>
      </w:r>
      <w:bookmarkEnd w:id="89"/>
    </w:p>
    <w:p>
      <w:pPr>
        <w:pStyle w:val="3"/>
        <w:rPr>
          <w:rFonts w:ascii="仿宋" w:hAnsi="仿宋" w:eastAsia="仿宋"/>
        </w:rPr>
      </w:pPr>
      <w:bookmarkStart w:id="90" w:name="_Toc19089895"/>
      <w:r>
        <w:rPr>
          <w:rStyle w:val="25"/>
          <w:rFonts w:hint="eastAsia" w:ascii="仿宋" w:hAnsi="仿宋" w:eastAsia="仿宋"/>
          <w:b w:val="0"/>
          <w:bCs w:val="0"/>
        </w:rPr>
        <w:t>十、</w:t>
      </w:r>
      <w:r>
        <w:rPr>
          <w:rFonts w:hint="eastAsia" w:ascii="仿宋" w:hAnsi="仿宋" w:eastAsia="仿宋"/>
          <w:b w:val="0"/>
        </w:rPr>
        <w:t>一</w:t>
      </w:r>
      <w:r>
        <w:rPr>
          <w:rStyle w:val="25"/>
          <w:rFonts w:hint="eastAsia" w:ascii="仿宋" w:hAnsi="仿宋" w:eastAsia="仿宋"/>
          <w:b w:val="0"/>
          <w:bCs w:val="0"/>
        </w:rPr>
        <w:t>般公共预算财政拨款“三公”经费支出决算表</w:t>
      </w:r>
      <w:bookmarkEnd w:id="90"/>
    </w:p>
    <w:p>
      <w:pPr>
        <w:pStyle w:val="3"/>
        <w:rPr>
          <w:rFonts w:ascii="仿宋" w:hAnsi="仿宋" w:eastAsia="仿宋"/>
        </w:rPr>
      </w:pPr>
      <w:bookmarkStart w:id="91" w:name="_Toc19089896"/>
      <w:r>
        <w:rPr>
          <w:rStyle w:val="25"/>
          <w:rFonts w:hint="eastAsia" w:ascii="仿宋" w:hAnsi="仿宋" w:eastAsia="仿宋"/>
          <w:b w:val="0"/>
          <w:bCs w:val="0"/>
        </w:rPr>
        <w:t>十一、</w:t>
      </w:r>
      <w:r>
        <w:rPr>
          <w:rFonts w:hint="eastAsia" w:ascii="仿宋" w:hAnsi="仿宋" w:eastAsia="仿宋"/>
          <w:b w:val="0"/>
        </w:rPr>
        <w:t>政</w:t>
      </w:r>
      <w:r>
        <w:rPr>
          <w:rStyle w:val="25"/>
          <w:rFonts w:hint="eastAsia" w:ascii="仿宋" w:hAnsi="仿宋" w:eastAsia="仿宋"/>
          <w:b w:val="0"/>
          <w:bCs w:val="0"/>
        </w:rPr>
        <w:t>府性基金预算财政拨款收入支出决算表</w:t>
      </w:r>
      <w:bookmarkEnd w:id="91"/>
    </w:p>
    <w:p>
      <w:pPr>
        <w:pStyle w:val="3"/>
        <w:rPr>
          <w:rFonts w:ascii="仿宋" w:hAnsi="仿宋" w:eastAsia="仿宋"/>
        </w:rPr>
      </w:pPr>
      <w:bookmarkStart w:id="92" w:name="_Toc19089897"/>
      <w:r>
        <w:rPr>
          <w:rStyle w:val="25"/>
          <w:rFonts w:hint="eastAsia" w:ascii="仿宋" w:hAnsi="仿宋" w:eastAsia="仿宋"/>
          <w:b w:val="0"/>
          <w:bCs w:val="0"/>
        </w:rPr>
        <w:t>十二、</w:t>
      </w:r>
      <w:r>
        <w:rPr>
          <w:rFonts w:hint="eastAsia" w:ascii="仿宋" w:hAnsi="仿宋" w:eastAsia="仿宋"/>
          <w:b w:val="0"/>
        </w:rPr>
        <w:t>政</w:t>
      </w:r>
      <w:r>
        <w:rPr>
          <w:rStyle w:val="25"/>
          <w:rFonts w:hint="eastAsia" w:ascii="仿宋" w:hAnsi="仿宋" w:eastAsia="仿宋"/>
          <w:b w:val="0"/>
          <w:bCs w:val="0"/>
        </w:rPr>
        <w:t>府性基金预算财政拨款“三公”经费支出决算表</w:t>
      </w:r>
      <w:bookmarkEnd w:id="92"/>
    </w:p>
    <w:p>
      <w:pPr>
        <w:pStyle w:val="3"/>
        <w:rPr>
          <w:rFonts w:hint="eastAsia" w:ascii="仿宋" w:hAnsi="仿宋" w:eastAsia="仿宋"/>
          <w:b w:val="0"/>
        </w:rPr>
      </w:pPr>
      <w:bookmarkStart w:id="93" w:name="_Toc19089898"/>
      <w:r>
        <w:rPr>
          <w:rStyle w:val="25"/>
          <w:rFonts w:hint="eastAsia" w:ascii="仿宋" w:hAnsi="仿宋" w:eastAsia="仿宋"/>
          <w:b w:val="0"/>
          <w:bCs w:val="0"/>
        </w:rPr>
        <w:t>十三、</w:t>
      </w:r>
      <w:bookmarkEnd w:id="93"/>
      <w:r>
        <w:rPr>
          <w:rFonts w:hint="eastAsia" w:ascii="仿宋" w:hAnsi="仿宋" w:eastAsia="仿宋"/>
          <w:b w:val="0"/>
        </w:rPr>
        <w:t>国有资本经营预算财政拨款收入支出决算表</w:t>
      </w:r>
    </w:p>
    <w:p>
      <w:pPr>
        <w:pStyle w:val="3"/>
        <w:rPr>
          <w:rFonts w:ascii="仿宋" w:hAnsi="仿宋" w:eastAsia="仿宋"/>
        </w:rPr>
      </w:pPr>
      <w:r>
        <w:rPr>
          <w:rFonts w:hint="eastAsia" w:ascii="仿宋" w:hAnsi="仿宋" w:eastAsia="仿宋"/>
          <w:b w:val="0"/>
        </w:rPr>
        <w:t>十四、国有资本经营预算支出决算表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Lucida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auto"/>
    <w:pitch w:val="default"/>
    <w:sig w:usb0="00000000" w:usb1="00000000"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华文仿宋">
    <w:altName w:val="汉仪仿宋简"/>
    <w:panose1 w:val="02010600040101010101"/>
    <w:charset w:val="86"/>
    <w:family w:val="auto"/>
    <w:pitch w:val="default"/>
    <w:sig w:usb0="00000000" w:usb1="00000000" w:usb2="00000000" w:usb3="00000000" w:csb0="0004009F" w:csb1="DFD70000"/>
  </w:font>
  <w:font w:name="Lucida Sans">
    <w:panose1 w:val="020B0602030504020204"/>
    <w:charset w:val="00"/>
    <w:family w:val="auto"/>
    <w:pitch w:val="default"/>
    <w:sig w:usb0="00000000" w:usb1="00000000" w:usb2="00000000" w:usb3="00000000" w:csb0="00000000" w:csb1="00000000"/>
  </w:font>
  <w:font w:name="Comic Sans MS">
    <w:panose1 w:val="030F0702030302020204"/>
    <w:charset w:val="00"/>
    <w:family w:val="auto"/>
    <w:pitch w:val="default"/>
    <w:sig w:usb0="00000287" w:usb1="00000000" w:usb2="00000000" w:usb3="00000000" w:csb0="2000009F" w:csb1="00000000"/>
  </w:font>
  <w:font w:name="文泉驿微米黑">
    <w:panose1 w:val="020B0606030804020204"/>
    <w:charset w:val="86"/>
    <w:family w:val="auto"/>
    <w:pitch w:val="default"/>
    <w:sig w:usb0="E10002EF" w:usb1="6BDFFCFB" w:usb2="00800036" w:usb3="00000000" w:csb0="603E019F" w:csb1="DFD70000"/>
  </w:font>
  <w:font w:name="方正楷体_GBK">
    <w:panose1 w:val="02000000000000000000"/>
    <w:charset w:val="86"/>
    <w:family w:val="auto"/>
    <w:pitch w:val="default"/>
    <w:sig w:usb0="00000001" w:usb1="0800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 w:name="汉仪仿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59</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D8C40ACC"/>
    <w:multiLevelType w:val="singleLevel"/>
    <w:tmpl w:val="D8C40ACC"/>
    <w:lvl w:ilvl="0" w:tentative="0">
      <w:start w:val="3"/>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rPr>
    </w:lvl>
  </w:abstractNum>
  <w:abstractNum w:abstractNumId="3">
    <w:nsid w:val="EC0BEF30"/>
    <w:multiLevelType w:val="singleLevel"/>
    <w:tmpl w:val="EC0BEF30"/>
    <w:lvl w:ilvl="0" w:tentative="0">
      <w:start w:val="1"/>
      <w:numFmt w:val="chineseCounting"/>
      <w:suff w:val="nothing"/>
      <w:lvlText w:val="（%1）"/>
      <w:lvlJc w:val="left"/>
      <w:rPr>
        <w:rFonts w:hint="eastAsia" w:ascii="楷体_GB2312" w:hAnsi="楷体_GB2312" w:eastAsia="楷体_GB2312" w:cs="楷体_GB2312"/>
        <w:b/>
        <w:bCs/>
        <w:sz w:val="32"/>
        <w:szCs w:val="32"/>
      </w:rPr>
    </w:lvl>
  </w:abstractNum>
  <w:abstractNum w:abstractNumId="4">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5">
    <w:nsid w:val="17F426B7"/>
    <w:multiLevelType w:val="multilevel"/>
    <w:tmpl w:val="17F426B7"/>
    <w:lvl w:ilvl="0" w:tentative="0">
      <w:start w:val="10"/>
      <w:numFmt w:val="japaneseCounting"/>
      <w:lvlText w:val="%1、"/>
      <w:lvlJc w:val="left"/>
      <w:pPr>
        <w:ind w:left="1429" w:hanging="720"/>
      </w:pPr>
      <w:rPr>
        <w:rFonts w:hint="default"/>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num w:numId="1">
    <w:abstractNumId w:val="4"/>
  </w:num>
  <w:num w:numId="2">
    <w:abstractNumId w:val="0"/>
  </w:num>
  <w:num w:numId="3">
    <w:abstractNumId w:val="5"/>
  </w:num>
  <w:num w:numId="4">
    <w:abstractNumId w:val="3"/>
  </w:num>
  <w:num w:numId="5">
    <w:abstractNumId w:val="3"/>
    <w:lvlOverride w:ilvl="0">
      <w:startOverride w:val="1"/>
    </w:lvlOverride>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6487A"/>
    <w:rsid w:val="00065F8F"/>
    <w:rsid w:val="000768F2"/>
    <w:rsid w:val="0009184B"/>
    <w:rsid w:val="00094044"/>
    <w:rsid w:val="0009593C"/>
    <w:rsid w:val="000B047F"/>
    <w:rsid w:val="000B30C6"/>
    <w:rsid w:val="000B48C7"/>
    <w:rsid w:val="000B5923"/>
    <w:rsid w:val="000B5A48"/>
    <w:rsid w:val="000B6FF3"/>
    <w:rsid w:val="000C3467"/>
    <w:rsid w:val="000C3CA6"/>
    <w:rsid w:val="000D1267"/>
    <w:rsid w:val="000D1D50"/>
    <w:rsid w:val="000D5782"/>
    <w:rsid w:val="000E6613"/>
    <w:rsid w:val="000E7119"/>
    <w:rsid w:val="00114E9B"/>
    <w:rsid w:val="0014729F"/>
    <w:rsid w:val="00157BAB"/>
    <w:rsid w:val="001614F6"/>
    <w:rsid w:val="001654D1"/>
    <w:rsid w:val="0018106D"/>
    <w:rsid w:val="001877A7"/>
    <w:rsid w:val="00191536"/>
    <w:rsid w:val="00196687"/>
    <w:rsid w:val="001B73A2"/>
    <w:rsid w:val="001C0962"/>
    <w:rsid w:val="001D6501"/>
    <w:rsid w:val="001D7531"/>
    <w:rsid w:val="001E737D"/>
    <w:rsid w:val="001F0592"/>
    <w:rsid w:val="001F7506"/>
    <w:rsid w:val="002006CD"/>
    <w:rsid w:val="00202B36"/>
    <w:rsid w:val="00204B7A"/>
    <w:rsid w:val="0021101A"/>
    <w:rsid w:val="00220536"/>
    <w:rsid w:val="00235629"/>
    <w:rsid w:val="00260C38"/>
    <w:rsid w:val="002616C0"/>
    <w:rsid w:val="002662AA"/>
    <w:rsid w:val="00280496"/>
    <w:rsid w:val="00295495"/>
    <w:rsid w:val="002B2613"/>
    <w:rsid w:val="002E1C32"/>
    <w:rsid w:val="002F1818"/>
    <w:rsid w:val="002F567B"/>
    <w:rsid w:val="00303037"/>
    <w:rsid w:val="003216A9"/>
    <w:rsid w:val="00324C77"/>
    <w:rsid w:val="0037013F"/>
    <w:rsid w:val="00380C92"/>
    <w:rsid w:val="003A484F"/>
    <w:rsid w:val="003B0BE0"/>
    <w:rsid w:val="003B0C1B"/>
    <w:rsid w:val="003B0ED3"/>
    <w:rsid w:val="003B688C"/>
    <w:rsid w:val="003C0291"/>
    <w:rsid w:val="003C39AE"/>
    <w:rsid w:val="003C7B60"/>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55C6"/>
    <w:rsid w:val="004A711F"/>
    <w:rsid w:val="004B199D"/>
    <w:rsid w:val="004B4690"/>
    <w:rsid w:val="004E0A2D"/>
    <w:rsid w:val="004E206B"/>
    <w:rsid w:val="004E6DF7"/>
    <w:rsid w:val="004F0FBD"/>
    <w:rsid w:val="00505A47"/>
    <w:rsid w:val="00512FDA"/>
    <w:rsid w:val="00520DA0"/>
    <w:rsid w:val="005664BB"/>
    <w:rsid w:val="0057481D"/>
    <w:rsid w:val="0058486E"/>
    <w:rsid w:val="005D1C8B"/>
    <w:rsid w:val="005D55F1"/>
    <w:rsid w:val="005D5CED"/>
    <w:rsid w:val="005F1A4C"/>
    <w:rsid w:val="005F4E6B"/>
    <w:rsid w:val="00605688"/>
    <w:rsid w:val="006070AF"/>
    <w:rsid w:val="00607E6C"/>
    <w:rsid w:val="006101B1"/>
    <w:rsid w:val="00614E44"/>
    <w:rsid w:val="00622830"/>
    <w:rsid w:val="00630AEF"/>
    <w:rsid w:val="006325F8"/>
    <w:rsid w:val="00634C9A"/>
    <w:rsid w:val="006440E4"/>
    <w:rsid w:val="0066302E"/>
    <w:rsid w:val="0066343B"/>
    <w:rsid w:val="00664777"/>
    <w:rsid w:val="006748A4"/>
    <w:rsid w:val="00683E73"/>
    <w:rsid w:val="006A3141"/>
    <w:rsid w:val="006A5E34"/>
    <w:rsid w:val="006B2422"/>
    <w:rsid w:val="006B2B9A"/>
    <w:rsid w:val="006B7364"/>
    <w:rsid w:val="006C1937"/>
    <w:rsid w:val="006C2699"/>
    <w:rsid w:val="006F020C"/>
    <w:rsid w:val="007127B7"/>
    <w:rsid w:val="007416B6"/>
    <w:rsid w:val="00746F48"/>
    <w:rsid w:val="0075404D"/>
    <w:rsid w:val="0076182A"/>
    <w:rsid w:val="0076670D"/>
    <w:rsid w:val="00767B7E"/>
    <w:rsid w:val="007770C3"/>
    <w:rsid w:val="00784D24"/>
    <w:rsid w:val="00785FBA"/>
    <w:rsid w:val="00786E4A"/>
    <w:rsid w:val="007875EB"/>
    <w:rsid w:val="0079426B"/>
    <w:rsid w:val="007D312A"/>
    <w:rsid w:val="007D3F19"/>
    <w:rsid w:val="007E23B0"/>
    <w:rsid w:val="007E4CFC"/>
    <w:rsid w:val="007F1991"/>
    <w:rsid w:val="007F2C2F"/>
    <w:rsid w:val="007F55FC"/>
    <w:rsid w:val="007F5665"/>
    <w:rsid w:val="00800112"/>
    <w:rsid w:val="008253BB"/>
    <w:rsid w:val="0083706E"/>
    <w:rsid w:val="008423A5"/>
    <w:rsid w:val="00850625"/>
    <w:rsid w:val="00853718"/>
    <w:rsid w:val="0085496F"/>
    <w:rsid w:val="00855221"/>
    <w:rsid w:val="00860645"/>
    <w:rsid w:val="00871F71"/>
    <w:rsid w:val="0087350A"/>
    <w:rsid w:val="008770E7"/>
    <w:rsid w:val="00883FD9"/>
    <w:rsid w:val="00885AF4"/>
    <w:rsid w:val="008939CD"/>
    <w:rsid w:val="008B768C"/>
    <w:rsid w:val="008C4DB1"/>
    <w:rsid w:val="008C4EAF"/>
    <w:rsid w:val="008C5176"/>
    <w:rsid w:val="008C7FD0"/>
    <w:rsid w:val="008D105F"/>
    <w:rsid w:val="008E1DE7"/>
    <w:rsid w:val="008E707C"/>
    <w:rsid w:val="008F4458"/>
    <w:rsid w:val="00900B08"/>
    <w:rsid w:val="00902155"/>
    <w:rsid w:val="00902FA3"/>
    <w:rsid w:val="00920912"/>
    <w:rsid w:val="00923564"/>
    <w:rsid w:val="0092392E"/>
    <w:rsid w:val="009315F9"/>
    <w:rsid w:val="00943E15"/>
    <w:rsid w:val="00946945"/>
    <w:rsid w:val="00951248"/>
    <w:rsid w:val="0095152F"/>
    <w:rsid w:val="00954C49"/>
    <w:rsid w:val="0097099F"/>
    <w:rsid w:val="00971997"/>
    <w:rsid w:val="00971FFC"/>
    <w:rsid w:val="0098660A"/>
    <w:rsid w:val="009931C3"/>
    <w:rsid w:val="009B2C43"/>
    <w:rsid w:val="009B4EAE"/>
    <w:rsid w:val="009B7573"/>
    <w:rsid w:val="009C22F4"/>
    <w:rsid w:val="009C2E98"/>
    <w:rsid w:val="009D3447"/>
    <w:rsid w:val="009D4711"/>
    <w:rsid w:val="009F1185"/>
    <w:rsid w:val="009F18CD"/>
    <w:rsid w:val="009F2A13"/>
    <w:rsid w:val="00A0499B"/>
    <w:rsid w:val="00A04EB0"/>
    <w:rsid w:val="00A11484"/>
    <w:rsid w:val="00A13CC1"/>
    <w:rsid w:val="00A16847"/>
    <w:rsid w:val="00A237D8"/>
    <w:rsid w:val="00A268C4"/>
    <w:rsid w:val="00A307CD"/>
    <w:rsid w:val="00A40A00"/>
    <w:rsid w:val="00A4142F"/>
    <w:rsid w:val="00A56DF2"/>
    <w:rsid w:val="00A65F78"/>
    <w:rsid w:val="00A67AB5"/>
    <w:rsid w:val="00A91760"/>
    <w:rsid w:val="00A93B00"/>
    <w:rsid w:val="00A93C21"/>
    <w:rsid w:val="00AA4B2D"/>
    <w:rsid w:val="00AB0CE4"/>
    <w:rsid w:val="00AB434E"/>
    <w:rsid w:val="00AC3C6A"/>
    <w:rsid w:val="00AD5620"/>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77EA6"/>
    <w:rsid w:val="00B81598"/>
    <w:rsid w:val="00B841F1"/>
    <w:rsid w:val="00B944D6"/>
    <w:rsid w:val="00BB4DF0"/>
    <w:rsid w:val="00BC289F"/>
    <w:rsid w:val="00BC5361"/>
    <w:rsid w:val="00BC5460"/>
    <w:rsid w:val="00BC6B50"/>
    <w:rsid w:val="00BD0E25"/>
    <w:rsid w:val="00BF5BD6"/>
    <w:rsid w:val="00C03E31"/>
    <w:rsid w:val="00C33E72"/>
    <w:rsid w:val="00C3445D"/>
    <w:rsid w:val="00C354B2"/>
    <w:rsid w:val="00C35554"/>
    <w:rsid w:val="00C42709"/>
    <w:rsid w:val="00C533CC"/>
    <w:rsid w:val="00C5751C"/>
    <w:rsid w:val="00C61BFC"/>
    <w:rsid w:val="00C62B85"/>
    <w:rsid w:val="00C65438"/>
    <w:rsid w:val="00C91CBB"/>
    <w:rsid w:val="00CC09B6"/>
    <w:rsid w:val="00CC666F"/>
    <w:rsid w:val="00CD1E3F"/>
    <w:rsid w:val="00CE4395"/>
    <w:rsid w:val="00CE44F6"/>
    <w:rsid w:val="00CE49DA"/>
    <w:rsid w:val="00CE7B61"/>
    <w:rsid w:val="00D00095"/>
    <w:rsid w:val="00D07A07"/>
    <w:rsid w:val="00D20620"/>
    <w:rsid w:val="00D2596F"/>
    <w:rsid w:val="00D26091"/>
    <w:rsid w:val="00D34E7C"/>
    <w:rsid w:val="00D35489"/>
    <w:rsid w:val="00D51276"/>
    <w:rsid w:val="00D65988"/>
    <w:rsid w:val="00D7035F"/>
    <w:rsid w:val="00DA5916"/>
    <w:rsid w:val="00DA65AC"/>
    <w:rsid w:val="00DB1913"/>
    <w:rsid w:val="00DC410D"/>
    <w:rsid w:val="00DC68CA"/>
    <w:rsid w:val="00DC7CBA"/>
    <w:rsid w:val="00DD73B7"/>
    <w:rsid w:val="00DF007D"/>
    <w:rsid w:val="00DF21B2"/>
    <w:rsid w:val="00DF28BC"/>
    <w:rsid w:val="00DF2E67"/>
    <w:rsid w:val="00DF34B9"/>
    <w:rsid w:val="00E01053"/>
    <w:rsid w:val="00E07ACF"/>
    <w:rsid w:val="00E114FD"/>
    <w:rsid w:val="00E331A1"/>
    <w:rsid w:val="00E33202"/>
    <w:rsid w:val="00E336A9"/>
    <w:rsid w:val="00E3479F"/>
    <w:rsid w:val="00E50624"/>
    <w:rsid w:val="00E568DF"/>
    <w:rsid w:val="00E56E47"/>
    <w:rsid w:val="00E64269"/>
    <w:rsid w:val="00E82267"/>
    <w:rsid w:val="00EA010F"/>
    <w:rsid w:val="00EA1DBA"/>
    <w:rsid w:val="00ED1B63"/>
    <w:rsid w:val="00ED3C1F"/>
    <w:rsid w:val="00ED4085"/>
    <w:rsid w:val="00ED420E"/>
    <w:rsid w:val="00ED7024"/>
    <w:rsid w:val="00EE2F57"/>
    <w:rsid w:val="00EE34D4"/>
    <w:rsid w:val="00EF4C34"/>
    <w:rsid w:val="00EF77C6"/>
    <w:rsid w:val="00F05438"/>
    <w:rsid w:val="00F1361C"/>
    <w:rsid w:val="00F160C7"/>
    <w:rsid w:val="00F222A1"/>
    <w:rsid w:val="00F32E9D"/>
    <w:rsid w:val="00F36D8F"/>
    <w:rsid w:val="00F417B1"/>
    <w:rsid w:val="00F602DF"/>
    <w:rsid w:val="00F81FD9"/>
    <w:rsid w:val="00F841AA"/>
    <w:rsid w:val="00FA23E8"/>
    <w:rsid w:val="00FC0D7B"/>
    <w:rsid w:val="00FD3CC1"/>
    <w:rsid w:val="00FD4A6A"/>
    <w:rsid w:val="00FF1E02"/>
    <w:rsid w:val="00FF30B4"/>
    <w:rsid w:val="05140F21"/>
    <w:rsid w:val="05B326A5"/>
    <w:rsid w:val="078B599F"/>
    <w:rsid w:val="0D7B0859"/>
    <w:rsid w:val="0ED9512D"/>
    <w:rsid w:val="102F1E9D"/>
    <w:rsid w:val="10C055FF"/>
    <w:rsid w:val="118D215A"/>
    <w:rsid w:val="13E0679E"/>
    <w:rsid w:val="16BB723D"/>
    <w:rsid w:val="1A2017E9"/>
    <w:rsid w:val="1AD42046"/>
    <w:rsid w:val="1BF15163"/>
    <w:rsid w:val="1E147BE1"/>
    <w:rsid w:val="240371BF"/>
    <w:rsid w:val="27B21493"/>
    <w:rsid w:val="29FD04D3"/>
    <w:rsid w:val="2B024978"/>
    <w:rsid w:val="2C3B2B3D"/>
    <w:rsid w:val="2C975402"/>
    <w:rsid w:val="2E6865CA"/>
    <w:rsid w:val="2EDA1837"/>
    <w:rsid w:val="2F8F0A5C"/>
    <w:rsid w:val="319F7F4E"/>
    <w:rsid w:val="337A537C"/>
    <w:rsid w:val="39233B37"/>
    <w:rsid w:val="394A6F98"/>
    <w:rsid w:val="3D9873C4"/>
    <w:rsid w:val="3E0E108C"/>
    <w:rsid w:val="409501C5"/>
    <w:rsid w:val="457B4291"/>
    <w:rsid w:val="48384D73"/>
    <w:rsid w:val="4B30293A"/>
    <w:rsid w:val="4E660F6C"/>
    <w:rsid w:val="52B34662"/>
    <w:rsid w:val="53C52CC6"/>
    <w:rsid w:val="55597F9E"/>
    <w:rsid w:val="555A2B34"/>
    <w:rsid w:val="5AF04EAF"/>
    <w:rsid w:val="5BF13086"/>
    <w:rsid w:val="5C6F2CC1"/>
    <w:rsid w:val="5C9C2324"/>
    <w:rsid w:val="607A3EFB"/>
    <w:rsid w:val="66594D6E"/>
    <w:rsid w:val="67D73ABE"/>
    <w:rsid w:val="6C6D1794"/>
    <w:rsid w:val="6D3529DE"/>
    <w:rsid w:val="6F717949"/>
    <w:rsid w:val="70012F07"/>
    <w:rsid w:val="70414CA9"/>
    <w:rsid w:val="73881A60"/>
    <w:rsid w:val="73A82314"/>
    <w:rsid w:val="777D76CB"/>
    <w:rsid w:val="79AC3694"/>
    <w:rsid w:val="7A824662"/>
    <w:rsid w:val="7B191C40"/>
    <w:rsid w:val="7DAE2767"/>
    <w:rsid w:val="7EA63552"/>
    <w:rsid w:val="7EB10C1F"/>
    <w:rsid w:val="7ECA745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rPr>
      <w:rFonts w:ascii="仿宋" w:hAnsi="仿宋" w:eastAsia="仿宋"/>
      <w:sz w:val="32"/>
      <w:szCs w:val="32"/>
    </w:rPr>
  </w:style>
  <w:style w:type="character" w:styleId="14">
    <w:name w:val="Strong"/>
    <w:basedOn w:val="13"/>
    <w:qFormat/>
    <w:uiPriority w:val="0"/>
    <w:rPr>
      <w:b/>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5"/>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link w:val="2"/>
    <w:qFormat/>
    <w:uiPriority w:val="9"/>
    <w:rPr>
      <w:rFonts w:ascii="Times New Roman" w:hAnsi="Times New Roman"/>
      <w:b/>
      <w:bCs/>
      <w:kern w:val="44"/>
      <w:sz w:val="44"/>
      <w:szCs w:val="44"/>
    </w:rPr>
  </w:style>
  <w:style w:type="character" w:customStyle="1" w:styleId="25">
    <w:name w:val="标题 2 Char"/>
    <w:basedOn w:val="13"/>
    <w:link w:val="3"/>
    <w:qFormat/>
    <w:uiPriority w:val="9"/>
    <w:rPr>
      <w:rFonts w:asciiTheme="majorHAnsi" w:hAnsiTheme="majorHAnsi" w:eastAsiaTheme="majorEastAsia" w:cstheme="majorBidi"/>
      <w:b/>
      <w:bCs/>
      <w:kern w:val="2"/>
      <w:sz w:val="32"/>
      <w:szCs w:val="32"/>
    </w:rPr>
  </w:style>
  <w:style w:type="paragraph" w:customStyle="1" w:styleId="26">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4"/>
    <w:qFormat/>
    <w:uiPriority w:val="9"/>
    <w:rPr>
      <w:rFonts w:ascii="Times New Roman" w:hAnsi="Times New Roman"/>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chart" Target="charts/chart8.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8.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7.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8.xml.rels><?xml version="1.0" encoding="UTF-8" standalone="yes"?>
<Relationships xmlns="http://schemas.openxmlformats.org/package/2006/relationships"><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manualLayout>
          <c:layoutTarget val="inner"/>
          <c:xMode val="edge"/>
          <c:yMode val="edge"/>
          <c:x val="0.0381551330884988"/>
          <c:y val="0.0251909997318447"/>
          <c:w val="0.802166349721575"/>
          <c:h val="0.847475195631506"/>
        </c:manualLayout>
      </c:layout>
      <c:barChart>
        <c:barDir val="col"/>
        <c:grouping val="clustered"/>
        <c:varyColors val="false"/>
        <c:ser>
          <c:idx val="0"/>
          <c:order val="0"/>
          <c:tx>
            <c:strRef>
              <c:f>Sheet1!$B$1</c:f>
              <c:strCache>
                <c:ptCount val="1"/>
                <c:pt idx="0">
                  <c:v>总收入</c:v>
                </c:pt>
              </c:strCache>
            </c:strRef>
          </c:tx>
          <c:invertIfNegative val="false"/>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Sheet1!$A$2:$A$3</c:f>
              <c:strCache>
                <c:ptCount val="2"/>
                <c:pt idx="0">
                  <c:v>2019年</c:v>
                </c:pt>
                <c:pt idx="1">
                  <c:v>2020年</c:v>
                </c:pt>
              </c:strCache>
            </c:strRef>
          </c:cat>
          <c:val>
            <c:numRef>
              <c:f>Sheet1!$B$2:$B$3</c:f>
              <c:numCache>
                <c:formatCode>General</c:formatCode>
                <c:ptCount val="2"/>
                <c:pt idx="0">
                  <c:v>76286.36</c:v>
                </c:pt>
                <c:pt idx="1">
                  <c:v>76833.87</c:v>
                </c:pt>
              </c:numCache>
            </c:numRef>
          </c:val>
        </c:ser>
        <c:ser>
          <c:idx val="1"/>
          <c:order val="1"/>
          <c:tx>
            <c:strRef>
              <c:f>Sheet1!$C$1</c:f>
              <c:strCache>
                <c:ptCount val="1"/>
                <c:pt idx="0">
                  <c:v>总支出</c:v>
                </c:pt>
              </c:strCache>
            </c:strRef>
          </c:tx>
          <c:invertIfNegative val="false"/>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Sheet1!$A$2:$A$3</c:f>
              <c:strCache>
                <c:ptCount val="2"/>
                <c:pt idx="0">
                  <c:v>2019年</c:v>
                </c:pt>
                <c:pt idx="1">
                  <c:v>2020年</c:v>
                </c:pt>
              </c:strCache>
            </c:strRef>
          </c:cat>
          <c:val>
            <c:numRef>
              <c:f>Sheet1!$C$2:$C$3</c:f>
              <c:numCache>
                <c:formatCode>General</c:formatCode>
                <c:ptCount val="2"/>
                <c:pt idx="0">
                  <c:v>74439.39</c:v>
                </c:pt>
                <c:pt idx="1">
                  <c:v>76373.49</c:v>
                </c:pt>
              </c:numCache>
            </c:numRef>
          </c:val>
        </c:ser>
        <c:dLbls>
          <c:showLegendKey val="false"/>
          <c:showVal val="false"/>
          <c:showCatName val="false"/>
          <c:showSerName val="false"/>
          <c:showPercent val="false"/>
          <c:showBubbleSize val="false"/>
        </c:dLbls>
        <c:gapWidth val="150"/>
        <c:axId val="207065856"/>
        <c:axId val="37933824"/>
      </c:barChart>
      <c:catAx>
        <c:axId val="207065856"/>
        <c:scaling>
          <c:orientation val="minMax"/>
        </c:scaling>
        <c:delete val="false"/>
        <c:axPos val="b"/>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37933824"/>
        <c:crosses val="autoZero"/>
        <c:auto val="true"/>
        <c:lblAlgn val="ctr"/>
        <c:lblOffset val="100"/>
        <c:noMultiLvlLbl val="false"/>
      </c:catAx>
      <c:valAx>
        <c:axId val="37933824"/>
        <c:scaling>
          <c:orientation val="minMax"/>
        </c:scaling>
        <c:delete val="false"/>
        <c:axPos val="l"/>
        <c:majorGridlines/>
        <c:numFmt formatCode="General" sourceLinked="true"/>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207065856"/>
        <c:crosses val="autoZero"/>
        <c:crossBetween val="between"/>
      </c:valAx>
    </c:plotArea>
    <c:legend>
      <c:legendPos val="r"/>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txPr>
    <a:bodyPr/>
    <a:lstStyle/>
    <a:p>
      <a:pPr>
        <a:defRPr lang="zh-CN"/>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txPr>
        <a:bodyPr rot="0" spcFirstLastPara="0" vertOverflow="ellipsis" vert="horz" wrap="square" anchor="ctr" anchorCtr="true"/>
        <a:lstStyle/>
        <a:p>
          <a:pPr>
            <a:defRPr lang="zh-CN" sz="1800" b="1" i="0" u="none" strike="noStrike" kern="1200" baseline="0">
              <a:solidFill>
                <a:schemeClr val="tx1"/>
              </a:solidFill>
              <a:latin typeface="+mn-lt"/>
              <a:ea typeface="+mn-ea"/>
              <a:cs typeface="+mn-cs"/>
            </a:defRPr>
          </a:pPr>
        </a:p>
      </c:txPr>
    </c:title>
    <c:autoTitleDeleted val="false"/>
    <c:plotArea>
      <c:layout/>
      <c:pieChart>
        <c:varyColors val="true"/>
        <c:ser>
          <c:idx val="0"/>
          <c:order val="0"/>
          <c:tx>
            <c:strRef>
              <c:f>Sheet1!$B$1</c:f>
              <c:strCache>
                <c:ptCount val="1"/>
                <c:pt idx="0">
                  <c:v>收入额（万元）</c:v>
                </c:pt>
              </c:strCache>
            </c:strRef>
          </c:tx>
          <c:explosion val="0"/>
          <c:dPt>
            <c:idx val="0"/>
            <c:bubble3D val="false"/>
          </c:dPt>
          <c:dPt>
            <c:idx val="1"/>
            <c:bubble3D val="false"/>
          </c:dPt>
          <c:dPt>
            <c:idx val="2"/>
            <c:bubble3D val="false"/>
          </c:dPt>
          <c:dPt>
            <c:idx val="3"/>
            <c:bubble3D val="false"/>
          </c:dPt>
          <c:dPt>
            <c:idx val="4"/>
            <c:bubble3D val="false"/>
          </c:dPt>
          <c:dPt>
            <c:idx val="5"/>
            <c:bubble3D val="false"/>
          </c:dPt>
          <c:dPt>
            <c:idx val="6"/>
            <c:bubble3D val="false"/>
          </c:dPt>
          <c:dLbls>
            <c:dLbl>
              <c:idx val="1"/>
              <c:layout>
                <c:manualLayout>
                  <c:x val="-0.201160558945801"/>
                  <c:y val="0.019277507730872"/>
                </c:manualLayout>
              </c:layout>
              <c:dLblPos val="bestFit"/>
              <c:showLegendKey val="false"/>
              <c:showVal val="true"/>
              <c:showCatName val="false"/>
              <c:showSerName val="false"/>
              <c:showPercent val="true"/>
              <c:showBubbleSize val="false"/>
              <c:extLst>
                <c:ext xmlns:c15="http://schemas.microsoft.com/office/drawing/2012/chart" uri="{CE6537A1-D6FC-4f65-9D91-7224C49458BB}">
                  <c15:layout/>
                </c:ext>
              </c:extLst>
            </c:dLbl>
            <c:dLbl>
              <c:idx val="2"/>
              <c:layout>
                <c:manualLayout>
                  <c:x val="-0.205212311595655"/>
                  <c:y val="-0.117564457847063"/>
                </c:manualLayout>
              </c:layout>
              <c:dLblPos val="bestFit"/>
              <c:showLegendKey val="false"/>
              <c:showVal val="true"/>
              <c:showCatName val="false"/>
              <c:showSerName val="false"/>
              <c:showPercent val="true"/>
              <c:showBubbleSize val="false"/>
              <c:extLst>
                <c:ext xmlns:c15="http://schemas.microsoft.com/office/drawing/2012/chart" uri="{CE6537A1-D6FC-4f65-9D91-7224C49458BB}">
                  <c15:layout/>
                </c:ext>
              </c:extLst>
            </c:dLbl>
            <c:dLbl>
              <c:idx val="3"/>
              <c:layout>
                <c:manualLayout>
                  <c:x val="-0.203255763574355"/>
                  <c:y val="-0.0526583605669152"/>
                </c:manualLayout>
              </c:layout>
              <c:dLblPos val="bestFit"/>
              <c:showLegendKey val="false"/>
              <c:showVal val="true"/>
              <c:showCatName val="false"/>
              <c:showSerName val="false"/>
              <c:showPercent val="true"/>
              <c:showBubbleSize val="false"/>
              <c:extLst>
                <c:ext xmlns:c15="http://schemas.microsoft.com/office/drawing/2012/chart" uri="{CE6537A1-D6FC-4f65-9D91-7224C49458BB}">
                  <c15:layout/>
                </c:ext>
              </c:extLst>
            </c:dLbl>
            <c:dLbl>
              <c:idx val="4"/>
              <c:layout>
                <c:manualLayout>
                  <c:x val="-0.0562773790240408"/>
                  <c:y val="-0.119044427825484"/>
                </c:manualLayout>
              </c:layout>
              <c:dLblPos val="bestFit"/>
              <c:showLegendKey val="false"/>
              <c:showVal val="true"/>
              <c:showCatName val="false"/>
              <c:showSerName val="false"/>
              <c:showPercent val="true"/>
              <c:showBubbleSize val="false"/>
              <c:extLst>
                <c:ext xmlns:c15="http://schemas.microsoft.com/office/drawing/2012/chart" uri="{CE6537A1-D6FC-4f65-9D91-7224C49458BB}">
                  <c15:layout/>
                </c:ext>
              </c:extLst>
            </c:dLbl>
            <c:dLbl>
              <c:idx val="6"/>
              <c:layout>
                <c:manualLayout>
                  <c:x val="0.213873523029838"/>
                  <c:y val="-0.0169483308388104"/>
                </c:manualLayout>
              </c:layout>
              <c:dLblPos val="bestFit"/>
              <c:showLegendKey val="false"/>
              <c:showVal val="true"/>
              <c:showCatName val="false"/>
              <c:showSerName val="false"/>
              <c:showPercent val="true"/>
              <c:showBubbleSize val="false"/>
              <c:extLst>
                <c:ext xmlns:c15="http://schemas.microsoft.com/office/drawing/2012/chart" uri="{CE6537A1-D6FC-4f65-9D91-7224C49458BB}">
                  <c15:layout/>
                </c:ext>
              </c:extLst>
            </c:dLbl>
            <c:numFmt formatCode="0.00%" sourceLinked="false"/>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bestFit"/>
            <c:showLegendKey val="false"/>
            <c:showVal val="true"/>
            <c:showCatName val="false"/>
            <c:showSerName val="false"/>
            <c:showPercent val="true"/>
            <c:showBubbleSize val="false"/>
            <c:showLeaderLines val="true"/>
            <c:extLst>
              <c:ext xmlns:c15="http://schemas.microsoft.com/office/drawing/2012/chart" uri="{CE6537A1-D6FC-4f65-9D91-7224C49458BB}">
                <c15:layout/>
                <c15:showLeaderLines val="true"/>
                <c15:leaderLines/>
              </c:ext>
            </c:extLst>
          </c:dLbls>
          <c:cat>
            <c:strRef>
              <c:f>Sheet1!$A$2:$A$8</c:f>
              <c:strCache>
                <c:ptCount val="7"/>
                <c:pt idx="0">
                  <c:v>一般公共预算财政拨款收入</c:v>
                </c:pt>
                <c:pt idx="1">
                  <c:v>政府性基金预算财政拨款收入</c:v>
                </c:pt>
                <c:pt idx="2">
                  <c:v>国有资本经营预算财政拨款收入</c:v>
                </c:pt>
                <c:pt idx="3">
                  <c:v>事业收入</c:v>
                </c:pt>
                <c:pt idx="4">
                  <c:v>经营收入</c:v>
                </c:pt>
                <c:pt idx="5">
                  <c:v>附属单位上缴收入</c:v>
                </c:pt>
                <c:pt idx="6">
                  <c:v>其它收入</c:v>
                </c:pt>
              </c:strCache>
            </c:strRef>
          </c:cat>
          <c:val>
            <c:numRef>
              <c:f>Sheet1!$B$2:$B$8</c:f>
              <c:numCache>
                <c:formatCode>General</c:formatCode>
                <c:ptCount val="7"/>
                <c:pt idx="0">
                  <c:v>74709.88</c:v>
                </c:pt>
                <c:pt idx="1">
                  <c:v>233.35</c:v>
                </c:pt>
                <c:pt idx="2">
                  <c:v>0</c:v>
                </c:pt>
                <c:pt idx="3">
                  <c:v>0</c:v>
                </c:pt>
                <c:pt idx="4">
                  <c:v>0</c:v>
                </c:pt>
                <c:pt idx="6">
                  <c:v>1890.64</c:v>
                </c:pt>
              </c:numCache>
            </c:numRef>
          </c:val>
        </c:ser>
        <c:dLbls>
          <c:showLegendKey val="false"/>
          <c:showVal val="false"/>
          <c:showCatName val="false"/>
          <c:showSerName val="false"/>
          <c:showPercent val="false"/>
          <c:showBubbleSize val="false"/>
          <c:showLeaderLines val="true"/>
        </c:dLbls>
        <c:firstSliceAng val="0"/>
      </c:pieChart>
    </c:plotArea>
    <c:legend>
      <c:legendPos val="r"/>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txPr>
    <a:bodyPr/>
    <a:lstStyle/>
    <a:p>
      <a:pPr>
        <a:defRPr lang="zh-CN"/>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txPr>
        <a:bodyPr rot="0" spcFirstLastPara="0" vertOverflow="ellipsis" vert="horz" wrap="square" anchor="ctr" anchorCtr="true"/>
        <a:lstStyle/>
        <a:p>
          <a:pPr>
            <a:defRPr lang="zh-CN" sz="1800" b="1" i="0" u="none" strike="noStrike" kern="1200" baseline="0">
              <a:solidFill>
                <a:schemeClr val="tx1"/>
              </a:solidFill>
              <a:latin typeface="+mn-lt"/>
              <a:ea typeface="+mn-ea"/>
              <a:cs typeface="+mn-cs"/>
            </a:defRPr>
          </a:pPr>
        </a:p>
      </c:txPr>
    </c:title>
    <c:autoTitleDeleted val="false"/>
    <c:plotArea>
      <c:layout/>
      <c:pieChart>
        <c:varyColors val="true"/>
        <c:ser>
          <c:idx val="0"/>
          <c:order val="0"/>
          <c:tx>
            <c:strRef>
              <c:f>Sheet1!$B$1</c:f>
              <c:strCache>
                <c:ptCount val="1"/>
                <c:pt idx="0">
                  <c:v>支出数（万元）</c:v>
                </c:pt>
              </c:strCache>
            </c:strRef>
          </c:tx>
          <c:explosion val="0"/>
          <c:dPt>
            <c:idx val="0"/>
            <c:bubble3D val="false"/>
          </c:dPt>
          <c:dPt>
            <c:idx val="1"/>
            <c:bubble3D val="false"/>
          </c:dPt>
          <c:dPt>
            <c:idx val="2"/>
            <c:bubble3D val="false"/>
          </c:dPt>
          <c:dPt>
            <c:idx val="3"/>
            <c:bubble3D val="false"/>
          </c:dPt>
          <c:dPt>
            <c:idx val="4"/>
            <c:bubble3D val="false"/>
          </c:dPt>
          <c:dLbls>
            <c:dLbl>
              <c:idx val="0"/>
              <c:layout>
                <c:manualLayout>
                  <c:x val="-0.16982112090352"/>
                  <c:y val="-0.197839958241246"/>
                </c:manualLayout>
              </c:layout>
              <c:dLblPos val="bestFit"/>
              <c:showLegendKey val="false"/>
              <c:showVal val="true"/>
              <c:showCatName val="true"/>
              <c:showSerName val="false"/>
              <c:showPercent val="true"/>
              <c:showBubbleSize val="false"/>
              <c:extLst>
                <c:ext xmlns:c15="http://schemas.microsoft.com/office/drawing/2012/chart" uri="{CE6537A1-D6FC-4f65-9D91-7224C49458BB}">
                  <c15:layout/>
                </c:ext>
              </c:extLst>
            </c:dLbl>
            <c:dLbl>
              <c:idx val="1"/>
              <c:layout>
                <c:manualLayout>
                  <c:x val="0.102242815315956"/>
                  <c:y val="0.160022450706058"/>
                </c:manualLayout>
              </c:layout>
              <c:dLblPos val="bestFit"/>
              <c:showLegendKey val="false"/>
              <c:showVal val="true"/>
              <c:showCatName val="true"/>
              <c:showSerName val="false"/>
              <c:showPercent val="true"/>
              <c:showBubbleSize val="false"/>
              <c:extLst>
                <c:ext xmlns:c15="http://schemas.microsoft.com/office/drawing/2012/chart" uri="{CE6537A1-D6FC-4f65-9D91-7224C49458BB}">
                  <c15:layout/>
                </c:ext>
              </c:extLst>
            </c:dLbl>
            <c:dLbl>
              <c:idx val="2"/>
              <c:layout>
                <c:manualLayout>
                  <c:x val="-0.225138281323621"/>
                  <c:y val="0.0703923673979255"/>
                </c:manualLayout>
              </c:layout>
              <c:dLblPos val="bestFit"/>
              <c:showLegendKey val="false"/>
              <c:showVal val="true"/>
              <c:showCatName val="true"/>
              <c:showSerName val="false"/>
              <c:showPercent val="true"/>
              <c:showBubbleSize val="false"/>
              <c:extLst>
                <c:ext xmlns:c15="http://schemas.microsoft.com/office/drawing/2012/chart" uri="{CE6537A1-D6FC-4f65-9D91-7224C49458BB}">
                  <c15:layout/>
                </c:ext>
              </c:extLst>
            </c:dLbl>
            <c:dLbl>
              <c:idx val="3"/>
              <c:layout>
                <c:manualLayout>
                  <c:x val="0.506853253942267"/>
                  <c:y val="0.0267342843882355"/>
                </c:manualLayout>
              </c:layout>
              <c:dLblPos val="bestFit"/>
              <c:showLegendKey val="false"/>
              <c:showVal val="true"/>
              <c:showCatName val="true"/>
              <c:showSerName val="false"/>
              <c:showPercent val="true"/>
              <c:showBubbleSize val="false"/>
              <c:extLst>
                <c:ext xmlns:c15="http://schemas.microsoft.com/office/drawing/2012/chart" uri="{CE6537A1-D6FC-4f65-9D91-7224C49458BB}">
                  <c15:layout/>
                </c:ext>
              </c:extLst>
            </c:dLbl>
            <c:dLbl>
              <c:idx val="4"/>
              <c:layout>
                <c:manualLayout>
                  <c:x val="-0.223381170708385"/>
                  <c:y val="-0.0651737489425392"/>
                </c:manualLayout>
              </c:layout>
              <c:dLblPos val="bestFit"/>
              <c:showLegendKey val="false"/>
              <c:showVal val="true"/>
              <c:showCatName val="true"/>
              <c:showSerName val="false"/>
              <c:showPercent val="true"/>
              <c:showBubbleSize val="false"/>
              <c:extLst>
                <c:ext xmlns:c15="http://schemas.microsoft.com/office/drawing/2012/chart" uri="{CE6537A1-D6FC-4f65-9D91-7224C49458BB}">
                  <c15:layout/>
                </c:ext>
              </c:extLst>
            </c:dLbl>
            <c:numFmt formatCode="0.00%" sourceLinked="false"/>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bestFit"/>
            <c:showLegendKey val="false"/>
            <c:showVal val="true"/>
            <c:showCatName val="true"/>
            <c:showSerName val="false"/>
            <c:showPercent val="true"/>
            <c:showBubbleSize val="false"/>
            <c:showLeaderLines val="true"/>
            <c:extLst>
              <c:ext xmlns:c15="http://schemas.microsoft.com/office/drawing/2012/chart" uri="{CE6537A1-D6FC-4f65-9D91-7224C49458BB}">
                <c15:layout/>
                <c15:showLeaderLines val="true"/>
                <c15:leaderLines/>
              </c:ext>
            </c:extLst>
          </c:dLbls>
          <c:cat>
            <c:strRef>
              <c:f>Sheet1!$A$2:$A$6</c:f>
              <c:strCache>
                <c:ptCount val="5"/>
                <c:pt idx="0">
                  <c:v>基本支出</c:v>
                </c:pt>
                <c:pt idx="1">
                  <c:v>项目支出</c:v>
                </c:pt>
                <c:pt idx="2">
                  <c:v>上缴上级支出</c:v>
                </c:pt>
                <c:pt idx="3">
                  <c:v>经营支出</c:v>
                </c:pt>
                <c:pt idx="4">
                  <c:v>对附属单位补助支出</c:v>
                </c:pt>
              </c:strCache>
            </c:strRef>
          </c:cat>
          <c:val>
            <c:numRef>
              <c:f>Sheet1!$B$2:$B$6</c:f>
              <c:numCache>
                <c:formatCode>General</c:formatCode>
                <c:ptCount val="5"/>
                <c:pt idx="0">
                  <c:v>58576.48</c:v>
                </c:pt>
                <c:pt idx="1">
                  <c:v>17797.01</c:v>
                </c:pt>
                <c:pt idx="2">
                  <c:v>0</c:v>
                </c:pt>
                <c:pt idx="3">
                  <c:v>0</c:v>
                </c:pt>
                <c:pt idx="4">
                  <c:v>0</c:v>
                </c:pt>
              </c:numCache>
            </c:numRef>
          </c:val>
        </c:ser>
        <c:dLbls>
          <c:showLegendKey val="false"/>
          <c:showVal val="false"/>
          <c:showCatName val="false"/>
          <c:showSerName val="false"/>
          <c:showPercent val="false"/>
          <c:showBubbleSize val="false"/>
          <c:showLeaderLines val="true"/>
        </c:dLbls>
        <c:firstSliceAng val="0"/>
      </c:pieChart>
    </c:plotArea>
    <c:legend>
      <c:legendPos val="r"/>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txPr>
    <a:bodyPr/>
    <a:lstStyle/>
    <a:p>
      <a:pPr>
        <a:defRPr lang="zh-CN"/>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barChart>
        <c:barDir val="col"/>
        <c:grouping val="clustered"/>
        <c:varyColors val="false"/>
        <c:ser>
          <c:idx val="0"/>
          <c:order val="0"/>
          <c:tx>
            <c:strRef>
              <c:f>Sheet1!$B$1</c:f>
              <c:strCache>
                <c:ptCount val="1"/>
                <c:pt idx="0">
                  <c:v>财政拨款收入</c:v>
                </c:pt>
              </c:strCache>
            </c:strRef>
          </c:tx>
          <c:invertIfNegative val="false"/>
          <c:dLbls>
            <c:dLbl>
              <c:idx val="0"/>
              <c:layout>
                <c:manualLayout>
                  <c:x val="2.20615181077603e-17"/>
                  <c:y val="0.0165289256198347"/>
                </c:manualLayout>
              </c:layout>
              <c:dLblPos val="outEnd"/>
              <c:showLegendKey val="false"/>
              <c:showVal val="true"/>
              <c:showCatName val="false"/>
              <c:showSerName val="true"/>
              <c:showPercent val="false"/>
              <c:showBubbleSize val="false"/>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outEnd"/>
            <c:showLegendKey val="false"/>
            <c:showVal val="true"/>
            <c:showCatName val="false"/>
            <c:showSerName val="true"/>
            <c:showPercent val="false"/>
            <c:showBubbleSize val="false"/>
            <c:showLeaderLines val="false"/>
            <c:extLst>
              <c:ext xmlns:c15="http://schemas.microsoft.com/office/drawing/2012/chart" uri="{CE6537A1-D6FC-4f65-9D91-7224C49458BB}">
                <c15:layout/>
                <c15:showLeaderLines val="false"/>
                <c15:leaderLines/>
              </c:ext>
            </c:extLst>
          </c:dLbls>
          <c:cat>
            <c:strRef>
              <c:f>Sheet1!$A$2:$A$3</c:f>
              <c:strCache>
                <c:ptCount val="2"/>
                <c:pt idx="0">
                  <c:v>2019年</c:v>
                </c:pt>
                <c:pt idx="1">
                  <c:v>2020年</c:v>
                </c:pt>
              </c:strCache>
            </c:strRef>
          </c:cat>
          <c:val>
            <c:numRef>
              <c:f>Sheet1!$B$2:$B$3</c:f>
              <c:numCache>
                <c:formatCode>General</c:formatCode>
                <c:ptCount val="2"/>
                <c:pt idx="0">
                  <c:v>72925.47</c:v>
                </c:pt>
                <c:pt idx="1">
                  <c:v>74943.23</c:v>
                </c:pt>
              </c:numCache>
            </c:numRef>
          </c:val>
        </c:ser>
        <c:ser>
          <c:idx val="1"/>
          <c:order val="1"/>
          <c:tx>
            <c:strRef>
              <c:f>Sheet1!$C$1</c:f>
              <c:strCache>
                <c:ptCount val="1"/>
                <c:pt idx="0">
                  <c:v>财政拨款支出</c:v>
                </c:pt>
              </c:strCache>
            </c:strRef>
          </c:tx>
          <c:invertIfNegative val="false"/>
          <c:dLbls>
            <c:dLbl>
              <c:idx val="0"/>
              <c:layout>
                <c:manualLayout>
                  <c:x val="0.0288808664259928"/>
                  <c:y val="0"/>
                </c:manualLayout>
              </c:layout>
              <c:dLblPos val="outEnd"/>
              <c:showLegendKey val="false"/>
              <c:showVal val="true"/>
              <c:showCatName val="false"/>
              <c:showSerName val="true"/>
              <c:showPercent val="false"/>
              <c:showBubbleSize val="false"/>
              <c:extLst>
                <c:ext xmlns:c15="http://schemas.microsoft.com/office/drawing/2012/chart" uri="{CE6537A1-D6FC-4f65-9D91-7224C49458BB}">
                  <c15:layout/>
                </c:ext>
              </c:extLst>
            </c:dLbl>
            <c:dLbl>
              <c:idx val="1"/>
              <c:layout>
                <c:manualLayout>
                  <c:x val="0.0192539109506619"/>
                  <c:y val="-0.00826446280991736"/>
                </c:manualLayout>
              </c:layout>
              <c:dLblPos val="outEnd"/>
              <c:showLegendKey val="false"/>
              <c:showVal val="true"/>
              <c:showCatName val="false"/>
              <c:showSerName val="true"/>
              <c:showPercent val="false"/>
              <c:showBubbleSize val="false"/>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outEnd"/>
            <c:showLegendKey val="false"/>
            <c:showVal val="true"/>
            <c:showCatName val="false"/>
            <c:showSerName val="true"/>
            <c:showPercent val="false"/>
            <c:showBubbleSize val="false"/>
            <c:showLeaderLines val="false"/>
            <c:extLst>
              <c:ext xmlns:c15="http://schemas.microsoft.com/office/drawing/2012/chart" uri="{CE6537A1-D6FC-4f65-9D91-7224C49458BB}">
                <c15:layout/>
                <c15:showLeaderLines val="false"/>
                <c15:leaderLines/>
              </c:ext>
            </c:extLst>
          </c:dLbls>
          <c:cat>
            <c:strRef>
              <c:f>Sheet1!$A$2:$A$3</c:f>
              <c:strCache>
                <c:ptCount val="2"/>
                <c:pt idx="0">
                  <c:v>2019年</c:v>
                </c:pt>
                <c:pt idx="1">
                  <c:v>2020年</c:v>
                </c:pt>
              </c:strCache>
            </c:strRef>
          </c:cat>
          <c:val>
            <c:numRef>
              <c:f>Sheet1!$C$2:$C$3</c:f>
              <c:numCache>
                <c:formatCode>General</c:formatCode>
                <c:ptCount val="2"/>
                <c:pt idx="0">
                  <c:v>71088.15</c:v>
                </c:pt>
                <c:pt idx="1">
                  <c:v>74602.73</c:v>
                </c:pt>
              </c:numCache>
            </c:numRef>
          </c:val>
        </c:ser>
        <c:dLbls>
          <c:showLegendKey val="false"/>
          <c:showVal val="false"/>
          <c:showCatName val="false"/>
          <c:showSerName val="false"/>
          <c:showPercent val="false"/>
          <c:showBubbleSize val="false"/>
        </c:dLbls>
        <c:gapWidth val="150"/>
        <c:axId val="210259328"/>
        <c:axId val="267314304"/>
      </c:barChart>
      <c:catAx>
        <c:axId val="210259328"/>
        <c:scaling>
          <c:orientation val="minMax"/>
        </c:scaling>
        <c:delete val="false"/>
        <c:axPos val="b"/>
        <c:numFmt formatCode="General" sourceLinked="true"/>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267314304"/>
        <c:crosses val="autoZero"/>
        <c:auto val="true"/>
        <c:lblAlgn val="ctr"/>
        <c:lblOffset val="100"/>
        <c:noMultiLvlLbl val="false"/>
      </c:catAx>
      <c:valAx>
        <c:axId val="267314304"/>
        <c:scaling>
          <c:orientation val="minMax"/>
        </c:scaling>
        <c:delete val="false"/>
        <c:axPos val="l"/>
        <c:majorGridlines/>
        <c:numFmt formatCode="General" sourceLinked="true"/>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210259328"/>
        <c:crosses val="autoZero"/>
        <c:crossBetween val="between"/>
      </c:valAx>
    </c:plotArea>
    <c:plotVisOnly val="true"/>
    <c:dispBlanksAs val="gap"/>
    <c:showDLblsOverMax val="false"/>
  </c:chart>
  <c:txPr>
    <a:bodyPr/>
    <a:lstStyle/>
    <a:p>
      <a:pPr>
        <a:defRPr lang="zh-CN"/>
      </a:pPr>
    </a:p>
  </c:txPr>
  <c:externalData r:id="rId1">
    <c:autoUpdate val="false"/>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manualLayout>
          <c:layoutTarget val="inner"/>
          <c:xMode val="edge"/>
          <c:yMode val="edge"/>
          <c:x val="0.165233052764956"/>
          <c:y val="0.0405858267716535"/>
          <c:w val="0.800284188614354"/>
          <c:h val="0.78886209223847"/>
        </c:manualLayout>
      </c:layout>
      <c:barChart>
        <c:barDir val="col"/>
        <c:grouping val="clustered"/>
        <c:varyColors val="false"/>
        <c:ser>
          <c:idx val="0"/>
          <c:order val="0"/>
          <c:tx>
            <c:strRef>
              <c:f>Sheet1!$B$1</c:f>
              <c:strCache>
                <c:ptCount val="1"/>
                <c:pt idx="0">
                  <c:v>一般公共预算财政拨款支出</c:v>
                </c:pt>
              </c:strCache>
            </c:strRef>
          </c:tx>
          <c:invertIfNegative val="false"/>
          <c:dLbls>
            <c:dLbl>
              <c:idx val="0"/>
              <c:layout>
                <c:manualLayout>
                  <c:x val="-0.00766283524904215"/>
                  <c:y val="0.0514705882352941"/>
                </c:manualLayout>
              </c:layout>
              <c:dLblPos val="outEnd"/>
              <c:showLegendKey val="false"/>
              <c:showVal val="true"/>
              <c:showCatName val="false"/>
              <c:showSerName val="true"/>
              <c:showPercent val="false"/>
              <c:showBubbleSize val="false"/>
              <c:extLst>
                <c:ext xmlns:c15="http://schemas.microsoft.com/office/drawing/2012/chart" uri="{CE6537A1-D6FC-4f65-9D91-7224C49458BB}">
                  <c15:layout/>
                </c:ext>
              </c:extLst>
            </c:dLbl>
            <c:dLbl>
              <c:idx val="1"/>
              <c:layout>
                <c:manualLayout>
                  <c:x val="0"/>
                  <c:y val="0.205882352941176"/>
                </c:manualLayout>
              </c:layout>
              <c:dLblPos val="outEnd"/>
              <c:showLegendKey val="false"/>
              <c:showVal val="true"/>
              <c:showCatName val="false"/>
              <c:showSerName val="true"/>
              <c:showPercent val="false"/>
              <c:showBubbleSize val="false"/>
              <c:extLst>
                <c:ext xmlns:c15="http://schemas.microsoft.com/office/drawing/2012/chart" uri="{CE6537A1-D6FC-4f65-9D91-7224C49458BB}">
                  <c15:layout/>
                </c:ext>
              </c:extLst>
            </c:dLbl>
            <c:spPr>
              <a:noFill/>
              <a:ln w="50800">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outEnd"/>
            <c:showLegendKey val="false"/>
            <c:showVal val="true"/>
            <c:showCatName val="false"/>
            <c:showSerName val="true"/>
            <c:showPercent val="false"/>
            <c:showBubbleSize val="false"/>
            <c:showLeaderLines val="false"/>
            <c:extLst>
              <c:ext xmlns:c15="http://schemas.microsoft.com/office/drawing/2012/chart" uri="{CE6537A1-D6FC-4f65-9D91-7224C49458BB}">
                <c15:layout/>
                <c15:showLeaderLines val="false"/>
                <c15:leaderLines/>
              </c:ext>
            </c:extLst>
          </c:dLbls>
          <c:trendline>
            <c:trendlineType val="exp"/>
            <c:dispRSqr val="false"/>
            <c:dispEq val="false"/>
          </c:trendline>
          <c:cat>
            <c:strRef>
              <c:f>Sheet1!$A$2:$A$3</c:f>
              <c:strCache>
                <c:ptCount val="2"/>
                <c:pt idx="0">
                  <c:v>2019年</c:v>
                </c:pt>
                <c:pt idx="1">
                  <c:v>2020年</c:v>
                </c:pt>
              </c:strCache>
            </c:strRef>
          </c:cat>
          <c:val>
            <c:numRef>
              <c:f>Sheet1!$B$2:$B$3</c:f>
              <c:numCache>
                <c:formatCode>General</c:formatCode>
                <c:ptCount val="2"/>
                <c:pt idx="0">
                  <c:v>67415.26</c:v>
                </c:pt>
                <c:pt idx="1">
                  <c:v>74301.01</c:v>
                </c:pt>
              </c:numCache>
            </c:numRef>
          </c:val>
        </c:ser>
        <c:dLbls>
          <c:showLegendKey val="false"/>
          <c:showVal val="false"/>
          <c:showCatName val="false"/>
          <c:showSerName val="false"/>
          <c:showPercent val="false"/>
          <c:showBubbleSize val="false"/>
        </c:dLbls>
        <c:gapWidth val="150"/>
        <c:axId val="264222208"/>
        <c:axId val="264223744"/>
      </c:barChart>
      <c:catAx>
        <c:axId val="264222208"/>
        <c:scaling>
          <c:orientation val="minMax"/>
        </c:scaling>
        <c:delete val="false"/>
        <c:axPos val="b"/>
        <c:numFmt formatCode="General" sourceLinked="true"/>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264223744"/>
        <c:crosses val="autoZero"/>
        <c:auto val="true"/>
        <c:lblAlgn val="ctr"/>
        <c:lblOffset val="100"/>
        <c:noMultiLvlLbl val="false"/>
      </c:catAx>
      <c:valAx>
        <c:axId val="264223744"/>
        <c:scaling>
          <c:orientation val="minMax"/>
        </c:scaling>
        <c:delete val="false"/>
        <c:axPos val="l"/>
        <c:majorGridlines/>
        <c:numFmt formatCode="General" sourceLinked="true"/>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264222208"/>
        <c:crosses val="autoZero"/>
        <c:crossBetween val="between"/>
      </c:valAx>
    </c:plotArea>
    <c:plotVisOnly val="true"/>
    <c:dispBlanksAs val="gap"/>
    <c:showDLblsOverMax val="false"/>
  </c:chart>
  <c:txPr>
    <a:bodyPr/>
    <a:lstStyle/>
    <a:p>
      <a:pPr>
        <a:defRPr lang="zh-CN"/>
      </a:pPr>
    </a:p>
  </c:txPr>
  <c:externalData r:id="rId1">
    <c:autoUpdate val="false"/>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txPr>
        <a:bodyPr rot="0" spcFirstLastPara="0" vertOverflow="ellipsis" vert="horz" wrap="square" anchor="ctr" anchorCtr="true"/>
        <a:lstStyle/>
        <a:p>
          <a:pPr>
            <a:defRPr lang="zh-CN" sz="1800" b="1" i="0" u="none" strike="noStrike" kern="1200" baseline="0">
              <a:solidFill>
                <a:schemeClr val="tx1"/>
              </a:solidFill>
              <a:latin typeface="+mn-lt"/>
              <a:ea typeface="+mn-ea"/>
              <a:cs typeface="+mn-cs"/>
            </a:defRPr>
          </a:pPr>
        </a:p>
      </c:txPr>
    </c:title>
    <c:autoTitleDeleted val="false"/>
    <c:plotArea>
      <c:layout/>
      <c:pieChart>
        <c:varyColors val="true"/>
        <c:ser>
          <c:idx val="0"/>
          <c:order val="0"/>
          <c:tx>
            <c:strRef>
              <c:f>Sheet1!$B$1</c:f>
              <c:strCache>
                <c:ptCount val="1"/>
                <c:pt idx="0">
                  <c:v>一般公共预算财政拨款支出（万元）</c:v>
                </c:pt>
              </c:strCache>
            </c:strRef>
          </c:tx>
          <c:explosion val="0"/>
          <c:dPt>
            <c:idx val="0"/>
            <c:bubble3D val="false"/>
          </c:dPt>
          <c:dPt>
            <c:idx val="1"/>
            <c:bubble3D val="false"/>
            <c:explosion val="32"/>
          </c:dPt>
          <c:dPt>
            <c:idx val="2"/>
            <c:bubble3D val="false"/>
          </c:dPt>
          <c:dPt>
            <c:idx val="3"/>
            <c:bubble3D val="false"/>
          </c:dPt>
          <c:dPt>
            <c:idx val="4"/>
            <c:bubble3D val="false"/>
          </c:dPt>
          <c:dPt>
            <c:idx val="5"/>
            <c:bubble3D val="false"/>
          </c:dPt>
          <c:dPt>
            <c:idx val="6"/>
            <c:bubble3D val="false"/>
          </c:dPt>
          <c:dPt>
            <c:idx val="7"/>
            <c:bubble3D val="false"/>
          </c:dPt>
          <c:dLbls>
            <c:dLbl>
              <c:idx val="0"/>
              <c:delete val="true"/>
            </c:dLbl>
            <c:dLbl>
              <c:idx val="1"/>
              <c:layout>
                <c:manualLayout>
                  <c:x val="-0.0628465804066543"/>
                  <c:y val="-0.23360341149297"/>
                </c:manualLayout>
              </c:layout>
              <c:dLblPos val="bestFit"/>
              <c:showLegendKey val="false"/>
              <c:showVal val="true"/>
              <c:showCatName val="true"/>
              <c:showSerName val="false"/>
              <c:showPercent val="true"/>
              <c:showBubbleSize val="false"/>
              <c:extLst>
                <c:ext xmlns:c15="http://schemas.microsoft.com/office/drawing/2012/chart" uri="{CE6537A1-D6FC-4f65-9D91-7224C49458BB}">
                  <c15:layout/>
                </c:ext>
              </c:extLst>
            </c:dLbl>
            <c:dLbl>
              <c:idx val="2"/>
              <c:delete val="true"/>
            </c:dLbl>
            <c:dLbl>
              <c:idx val="3"/>
              <c:layout>
                <c:manualLayout>
                  <c:x val="-0.11008198524715"/>
                  <c:y val="0.154917170522822"/>
                </c:manualLayout>
              </c:layout>
              <c:dLblPos val="bestFit"/>
              <c:showLegendKey val="false"/>
              <c:showVal val="true"/>
              <c:showCatName val="true"/>
              <c:showSerName val="false"/>
              <c:showPercent val="true"/>
              <c:showBubbleSize val="false"/>
              <c:extLst>
                <c:ext xmlns:c15="http://schemas.microsoft.com/office/drawing/2012/chart" uri="{CE6537A1-D6FC-4f65-9D91-7224C49458BB}">
                  <c15:layout/>
                </c:ext>
              </c:extLst>
            </c:dLbl>
            <c:dLbl>
              <c:idx val="4"/>
              <c:layout>
                <c:manualLayout>
                  <c:x val="-0.2300556659837"/>
                  <c:y val="-0.0548457073001566"/>
                </c:manualLayout>
              </c:layout>
              <c:dLblPos val="bestFit"/>
              <c:showLegendKey val="false"/>
              <c:showVal val="true"/>
              <c:showCatName val="true"/>
              <c:showSerName val="false"/>
              <c:showPercent val="true"/>
              <c:showBubbleSize val="false"/>
              <c:extLst>
                <c:ext xmlns:c15="http://schemas.microsoft.com/office/drawing/2012/chart" uri="{CE6537A1-D6FC-4f65-9D91-7224C49458BB}">
                  <c15:layout/>
                </c:ext>
              </c:extLst>
            </c:dLbl>
            <c:dLbl>
              <c:idx val="5"/>
              <c:layout>
                <c:manualLayout>
                  <c:x val="0.0173964454443195"/>
                  <c:y val="0.0302307796938051"/>
                </c:manualLayout>
              </c:layout>
              <c:dLblPos val="bestFit"/>
              <c:showLegendKey val="false"/>
              <c:showVal val="true"/>
              <c:showCatName val="true"/>
              <c:showSerName val="false"/>
              <c:showPercent val="true"/>
              <c:showBubbleSize val="false"/>
              <c:extLst>
                <c:ext xmlns:c15="http://schemas.microsoft.com/office/drawing/2012/chart" uri="{CE6537A1-D6FC-4f65-9D91-7224C49458BB}">
                  <c15:layout/>
                </c:ext>
              </c:extLst>
            </c:dLbl>
            <c:dLbl>
              <c:idx val="6"/>
              <c:layout>
                <c:manualLayout>
                  <c:x val="0.56116938907651"/>
                  <c:y val="0.00527419076013636"/>
                </c:manualLayout>
              </c:layout>
              <c:dLblPos val="bestFit"/>
              <c:showLegendKey val="false"/>
              <c:showVal val="true"/>
              <c:showCatName val="true"/>
              <c:showSerName val="false"/>
              <c:showPercent val="true"/>
              <c:showBubbleSize val="false"/>
              <c:extLst>
                <c:ext xmlns:c15="http://schemas.microsoft.com/office/drawing/2012/chart" uri="{CE6537A1-D6FC-4f65-9D91-7224C49458BB}">
                  <c15:layout/>
                </c:ext>
              </c:extLst>
            </c:dLbl>
            <c:dLbl>
              <c:idx val="7"/>
              <c:layout>
                <c:manualLayout>
                  <c:x val="0.473295909754739"/>
                  <c:y val="0.185115486188912"/>
                </c:manualLayout>
              </c:layout>
              <c:dLblPos val="bestFit"/>
              <c:showLegendKey val="false"/>
              <c:showVal val="true"/>
              <c:showCatName val="true"/>
              <c:showSerName val="false"/>
              <c:showPercent val="true"/>
              <c:showBubbleSize val="false"/>
              <c:extLst>
                <c:ext xmlns:c15="http://schemas.microsoft.com/office/drawing/2012/chart" uri="{CE6537A1-D6FC-4f65-9D91-7224C49458BB}">
                  <c15:layout/>
                </c:ext>
              </c:extLst>
            </c:dLbl>
            <c:numFmt formatCode="0.00%" sourceLinked="false"/>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bestFit"/>
            <c:showLegendKey val="false"/>
            <c:showVal val="true"/>
            <c:showCatName val="true"/>
            <c:showSerName val="false"/>
            <c:showPercent val="true"/>
            <c:showBubbleSize val="false"/>
            <c:showLeaderLines val="true"/>
            <c:extLst>
              <c:ext xmlns:c15="http://schemas.microsoft.com/office/drawing/2012/chart" uri="{CE6537A1-D6FC-4f65-9D91-7224C49458BB}">
                <c15:layout/>
                <c15:showLeaderLines val="true"/>
                <c15:leaderLines/>
              </c:ext>
            </c:extLst>
          </c:dLbls>
          <c:cat>
            <c:strRef>
              <c:f>Sheet1!$A$2:$A$9</c:f>
              <c:strCache>
                <c:ptCount val="8"/>
                <c:pt idx="0">
                  <c:v>一般公共服务支出</c:v>
                </c:pt>
                <c:pt idx="1">
                  <c:v>教育支出</c:v>
                </c:pt>
                <c:pt idx="2">
                  <c:v>文化旅游体育与传媒支出</c:v>
                </c:pt>
                <c:pt idx="3">
                  <c:v>社会保障和就业支出</c:v>
                </c:pt>
                <c:pt idx="4">
                  <c:v>卫生健康支出</c:v>
                </c:pt>
                <c:pt idx="5">
                  <c:v>农林水支出</c:v>
                </c:pt>
                <c:pt idx="6">
                  <c:v>住房保障支出</c:v>
                </c:pt>
                <c:pt idx="7">
                  <c:v>灾害防治及应急管理支出</c:v>
                </c:pt>
              </c:strCache>
            </c:strRef>
          </c:cat>
          <c:val>
            <c:numRef>
              <c:f>Sheet1!$B$2:$B$9</c:f>
              <c:numCache>
                <c:formatCode>General</c:formatCode>
                <c:ptCount val="8"/>
                <c:pt idx="0">
                  <c:v>0</c:v>
                </c:pt>
                <c:pt idx="1">
                  <c:v>66200.88</c:v>
                </c:pt>
                <c:pt idx="2">
                  <c:v>53.68</c:v>
                </c:pt>
                <c:pt idx="3">
                  <c:v>5569.95</c:v>
                </c:pt>
                <c:pt idx="4">
                  <c:v>1955.75</c:v>
                </c:pt>
                <c:pt idx="5">
                  <c:v>13.73</c:v>
                </c:pt>
                <c:pt idx="6">
                  <c:v>500</c:v>
                </c:pt>
                <c:pt idx="7">
                  <c:v>7</c:v>
                </c:pt>
              </c:numCache>
            </c:numRef>
          </c:val>
        </c:ser>
        <c:dLbls>
          <c:showLegendKey val="false"/>
          <c:showVal val="false"/>
          <c:showCatName val="false"/>
          <c:showSerName val="false"/>
          <c:showPercent val="false"/>
          <c:showBubbleSize val="false"/>
          <c:showLeaderLines val="true"/>
        </c:dLbls>
        <c:firstSliceAng val="0"/>
      </c:pieChart>
    </c:plotArea>
    <c:legend>
      <c:legendPos val="r"/>
      <c:layout>
        <c:manualLayout>
          <c:xMode val="edge"/>
          <c:yMode val="edge"/>
          <c:x val="0.583668775158137"/>
          <c:y val="0.532295719844358"/>
          <c:w val="0.399194939620472"/>
          <c:h val="0.43916990920882"/>
        </c:manualLayout>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txPr>
    <a:bodyPr/>
    <a:lstStyle/>
    <a:p>
      <a:pPr>
        <a:defRPr lang="zh-CN"/>
      </a:pPr>
    </a:p>
  </c:txPr>
  <c:externalData r:id="rId1">
    <c:autoUpdate val="false"/>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barChart>
        <c:barDir val="bar"/>
        <c:grouping val="percentStacked"/>
        <c:varyColors val="false"/>
        <c:ser>
          <c:idx val="0"/>
          <c:order val="0"/>
          <c:tx>
            <c:strRef>
              <c:f>Sheet1!$B$1</c:f>
              <c:strCache>
                <c:ptCount val="1"/>
                <c:pt idx="0">
                  <c:v>已完成预算额</c:v>
                </c:pt>
              </c:strCache>
            </c:strRef>
          </c:tx>
          <c:invertIfNegative val="false"/>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ctr"/>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ext>
            </c:extLst>
          </c:dLbls>
          <c:cat>
            <c:strRef>
              <c:f>Sheet1!$A$2:$A$32</c:f>
              <c:strCache>
                <c:ptCount val="31"/>
                <c:pt idx="0">
                  <c:v>灾害防治及应急管理支出（类）自然灾害救灾及恢复重建支出（款）其他自然灾害救灾及恢复重建支出（项）</c:v>
                </c:pt>
                <c:pt idx="1">
                  <c:v>住房保障支出（类）住房改革支出（款）住房公积金（项）</c:v>
                </c:pt>
                <c:pt idx="2">
                  <c:v>农林水支出（类）扶贫（款）其他扶贫支出（项）</c:v>
                </c:pt>
                <c:pt idx="3">
                  <c:v>医疗卫生与计划生育支出（类）行政事业单位医疗（款）事业单位医疗（项）</c:v>
                </c:pt>
                <c:pt idx="4">
                  <c:v>医疗卫生与计划生育支出（类）行政事业单位医疗（款）行政单位医疗（项）</c:v>
                </c:pt>
                <c:pt idx="5">
                  <c:v>社会保障和就业支出（类）其它社会保障和就业（款）其它社会保障和就业支出（项）</c:v>
                </c:pt>
                <c:pt idx="6">
                  <c:v>社会保障和就业支出（类）抚恤（款）死亡抚恤（项）</c:v>
                </c:pt>
                <c:pt idx="7">
                  <c:v>社会保障和就业支出（类）行政事业单位养老支出（款）机关事业单位职业年金缴费支出（项）</c:v>
                </c:pt>
                <c:pt idx="8">
                  <c:v>社会保障和就业支出（类）行政事业单位养老支出（款）机关事业单位基本养老保险缴费支出（项）</c:v>
                </c:pt>
                <c:pt idx="9">
                  <c:v>社会保障和就业支出（类）行政事业单位养老支出（款）事业单位离退休（项）</c:v>
                </c:pt>
                <c:pt idx="10">
                  <c:v>社会保障和就业支出（类）行政事业单位养老支出（款）行政单位离退休（项）</c:v>
                </c:pt>
                <c:pt idx="11">
                  <c:v>文化旅游体育与传媒支出（类）体育（款）体育竞赛（项）</c:v>
                </c:pt>
                <c:pt idx="12">
                  <c:v>教育支出（类）其他教育支出（款）其他教育支出（项）</c:v>
                </c:pt>
                <c:pt idx="13">
                  <c:v>教育支出（类）教育费附加安排的支出（款）其他教育费附加安排的支出（项）</c:v>
                </c:pt>
                <c:pt idx="14">
                  <c:v>教育支出（类）教育费附加安排的支出（款）城市中小学教学设施（项）</c:v>
                </c:pt>
                <c:pt idx="15">
                  <c:v>教育支出（类）教育费附加安排的支出（款）城市中小学校舍建设（项）</c:v>
                </c:pt>
                <c:pt idx="16">
                  <c:v>教育支出（类）教育费附加安排的支出（款）农村中小学教学设施（项）</c:v>
                </c:pt>
                <c:pt idx="17">
                  <c:v>教育支出（类）教育费附加安排的支出（款）农村中小学校舍建设（项）</c:v>
                </c:pt>
                <c:pt idx="18">
                  <c:v>教育支出（类）特殊教育（款）工读学校教育（项）</c:v>
                </c:pt>
                <c:pt idx="19">
                  <c:v>教育支出（类）特殊教育（款）特殊学校教育（项）</c:v>
                </c:pt>
                <c:pt idx="20">
                  <c:v>教育管理事务（款）职业高中教育（项）高等职业教育（项）</c:v>
                </c:pt>
                <c:pt idx="21">
                  <c:v>教育管理事务（款）职业高中教育（项）技校教育（项）</c:v>
                </c:pt>
                <c:pt idx="22">
                  <c:v>教育支出（类）职业教育（款）中等职业教育（项）</c:v>
                </c:pt>
                <c:pt idx="23">
                  <c:v>教育管理事务（款）普通教育（款）其他普通教育支出（项）</c:v>
                </c:pt>
                <c:pt idx="24">
                  <c:v>教育支出（类）普通教育（款）高等教育（项）</c:v>
                </c:pt>
                <c:pt idx="25">
                  <c:v>教育支出（类）普通教育（款）高中教育（项）</c:v>
                </c:pt>
                <c:pt idx="26">
                  <c:v>教育支出（类）普通教育（款）初中教育（项）</c:v>
                </c:pt>
                <c:pt idx="27">
                  <c:v>教育支出（类）普通教育（款）小学教育（项）</c:v>
                </c:pt>
                <c:pt idx="28">
                  <c:v>教育支出（类）普通教育（款）学前教育（项）</c:v>
                </c:pt>
                <c:pt idx="29">
                  <c:v>教育支出（类）教育管理事务（款）一般行政管理事务（项）</c:v>
                </c:pt>
                <c:pt idx="30">
                  <c:v>教育支出（类）教育管理事务（款）行政运行（项）</c:v>
                </c:pt>
              </c:strCache>
            </c:strRef>
          </c:cat>
          <c:val>
            <c:numRef>
              <c:f>Sheet1!$B$2:$B$32</c:f>
              <c:numCache>
                <c:formatCode>#,##0.00</c:formatCode>
                <c:ptCount val="31"/>
                <c:pt idx="0">
                  <c:v>7</c:v>
                </c:pt>
                <c:pt idx="1">
                  <c:v>500</c:v>
                </c:pt>
                <c:pt idx="2">
                  <c:v>13.73</c:v>
                </c:pt>
                <c:pt idx="3">
                  <c:v>1948.54</c:v>
                </c:pt>
                <c:pt idx="4">
                  <c:v>7.21</c:v>
                </c:pt>
                <c:pt idx="5">
                  <c:v>385.85</c:v>
                </c:pt>
                <c:pt idx="6">
                  <c:v>192.07</c:v>
                </c:pt>
                <c:pt idx="7">
                  <c:v>333.94</c:v>
                </c:pt>
                <c:pt idx="8">
                  <c:v>4187.77</c:v>
                </c:pt>
                <c:pt idx="9">
                  <c:v>452.15</c:v>
                </c:pt>
                <c:pt idx="10">
                  <c:v>18.17</c:v>
                </c:pt>
                <c:pt idx="11">
                  <c:v>53.68</c:v>
                </c:pt>
                <c:pt idx="12">
                  <c:v>480</c:v>
                </c:pt>
                <c:pt idx="13">
                  <c:v>571.56</c:v>
                </c:pt>
                <c:pt idx="14">
                  <c:v>24.81</c:v>
                </c:pt>
                <c:pt idx="15">
                  <c:v>1282.3</c:v>
                </c:pt>
                <c:pt idx="16">
                  <c:v>1430.35</c:v>
                </c:pt>
                <c:pt idx="17">
                  <c:v>0</c:v>
                </c:pt>
                <c:pt idx="18">
                  <c:v>219.78</c:v>
                </c:pt>
                <c:pt idx="19">
                  <c:v>317.53</c:v>
                </c:pt>
                <c:pt idx="20">
                  <c:v>78.7</c:v>
                </c:pt>
                <c:pt idx="21">
                  <c:v>2.68</c:v>
                </c:pt>
                <c:pt idx="22">
                  <c:v>795.37</c:v>
                </c:pt>
                <c:pt idx="23">
                  <c:v>965.93</c:v>
                </c:pt>
                <c:pt idx="24">
                  <c:v>74</c:v>
                </c:pt>
                <c:pt idx="25">
                  <c:v>5082.35</c:v>
                </c:pt>
                <c:pt idx="26">
                  <c:v>20854.94</c:v>
                </c:pt>
                <c:pt idx="27">
                  <c:v>29577.9</c:v>
                </c:pt>
                <c:pt idx="28">
                  <c:v>7119.35</c:v>
                </c:pt>
                <c:pt idx="29">
                  <c:v>56.01</c:v>
                </c:pt>
                <c:pt idx="30">
                  <c:v>267.33</c:v>
                </c:pt>
              </c:numCache>
            </c:numRef>
          </c:val>
        </c:ser>
        <c:ser>
          <c:idx val="1"/>
          <c:order val="1"/>
          <c:tx>
            <c:strRef>
              <c:f>Sheet1!$C$1</c:f>
              <c:strCache>
                <c:ptCount val="1"/>
                <c:pt idx="0">
                  <c:v>未完成预算额</c:v>
                </c:pt>
              </c:strCache>
            </c:strRef>
          </c:tx>
          <c:invertIfNegative val="false"/>
          <c:dLbls>
            <c:delete val="true"/>
          </c:dLbls>
          <c:cat>
            <c:strRef>
              <c:f>Sheet1!$A$2:$A$32</c:f>
              <c:strCache>
                <c:ptCount val="31"/>
                <c:pt idx="0">
                  <c:v>灾害防治及应急管理支出（类）自然灾害救灾及恢复重建支出（款）其他自然灾害救灾及恢复重建支出（项）</c:v>
                </c:pt>
                <c:pt idx="1">
                  <c:v>住房保障支出（类）住房改革支出（款）住房公积金（项）</c:v>
                </c:pt>
                <c:pt idx="2">
                  <c:v>农林水支出（类）扶贫（款）其他扶贫支出（项）</c:v>
                </c:pt>
                <c:pt idx="3">
                  <c:v>医疗卫生与计划生育支出（类）行政事业单位医疗（款）事业单位医疗（项）</c:v>
                </c:pt>
                <c:pt idx="4">
                  <c:v>医疗卫生与计划生育支出（类）行政事业单位医疗（款）行政单位医疗（项）</c:v>
                </c:pt>
                <c:pt idx="5">
                  <c:v>社会保障和就业支出（类）其它社会保障和就业（款）其它社会保障和就业支出（项）</c:v>
                </c:pt>
                <c:pt idx="6">
                  <c:v>社会保障和就业支出（类）抚恤（款）死亡抚恤（项）</c:v>
                </c:pt>
                <c:pt idx="7">
                  <c:v>社会保障和就业支出（类）行政事业单位养老支出（款）机关事业单位职业年金缴费支出（项）</c:v>
                </c:pt>
                <c:pt idx="8">
                  <c:v>社会保障和就业支出（类）行政事业单位养老支出（款）机关事业单位基本养老保险缴费支出（项）</c:v>
                </c:pt>
                <c:pt idx="9">
                  <c:v>社会保障和就业支出（类）行政事业单位养老支出（款）事业单位离退休（项）</c:v>
                </c:pt>
                <c:pt idx="10">
                  <c:v>社会保障和就业支出（类）行政事业单位养老支出（款）行政单位离退休（项）</c:v>
                </c:pt>
                <c:pt idx="11">
                  <c:v>文化旅游体育与传媒支出（类）体育（款）体育竞赛（项）</c:v>
                </c:pt>
                <c:pt idx="12">
                  <c:v>教育支出（类）其他教育支出（款）其他教育支出（项）</c:v>
                </c:pt>
                <c:pt idx="13">
                  <c:v>教育支出（类）教育费附加安排的支出（款）其他教育费附加安排的支出（项）</c:v>
                </c:pt>
                <c:pt idx="14">
                  <c:v>教育支出（类）教育费附加安排的支出（款）城市中小学教学设施（项）</c:v>
                </c:pt>
                <c:pt idx="15">
                  <c:v>教育支出（类）教育费附加安排的支出（款）城市中小学校舍建设（项）</c:v>
                </c:pt>
                <c:pt idx="16">
                  <c:v>教育支出（类）教育费附加安排的支出（款）农村中小学教学设施（项）</c:v>
                </c:pt>
                <c:pt idx="17">
                  <c:v>教育支出（类）教育费附加安排的支出（款）农村中小学校舍建设（项）</c:v>
                </c:pt>
                <c:pt idx="18">
                  <c:v>教育支出（类）特殊教育（款）工读学校教育（项）</c:v>
                </c:pt>
                <c:pt idx="19">
                  <c:v>教育支出（类）特殊教育（款）特殊学校教育（项）</c:v>
                </c:pt>
                <c:pt idx="20">
                  <c:v>教育管理事务（款）职业高中教育（项）高等职业教育（项）</c:v>
                </c:pt>
                <c:pt idx="21">
                  <c:v>教育管理事务（款）职业高中教育（项）技校教育（项）</c:v>
                </c:pt>
                <c:pt idx="22">
                  <c:v>教育支出（类）职业教育（款）中等职业教育（项）</c:v>
                </c:pt>
                <c:pt idx="23">
                  <c:v>教育管理事务（款）普通教育（款）其他普通教育支出（项）</c:v>
                </c:pt>
                <c:pt idx="24">
                  <c:v>教育支出（类）普通教育（款）高等教育（项）</c:v>
                </c:pt>
                <c:pt idx="25">
                  <c:v>教育支出（类）普通教育（款）高中教育（项）</c:v>
                </c:pt>
                <c:pt idx="26">
                  <c:v>教育支出（类）普通教育（款）初中教育（项）</c:v>
                </c:pt>
                <c:pt idx="27">
                  <c:v>教育支出（类）普通教育（款）小学教育（项）</c:v>
                </c:pt>
                <c:pt idx="28">
                  <c:v>教育支出（类）普通教育（款）学前教育（项）</c:v>
                </c:pt>
                <c:pt idx="29">
                  <c:v>教育支出（类）教育管理事务（款）一般行政管理事务（项）</c:v>
                </c:pt>
                <c:pt idx="30">
                  <c:v>教育支出（类）教育管理事务（款）行政运行（项）</c:v>
                </c:pt>
              </c:strCache>
            </c:strRef>
          </c:cat>
          <c:val>
            <c:numRef>
              <c:f>Sheet1!$C$2:$C$32</c:f>
              <c:numCache>
                <c:formatCode>#,##0.00_ </c:formatCode>
                <c:ptCount val="31"/>
                <c:pt idx="0">
                  <c:v>0</c:v>
                </c:pt>
                <c:pt idx="1">
                  <c:v>0</c:v>
                </c:pt>
                <c:pt idx="2">
                  <c:v>0</c:v>
                </c:pt>
                <c:pt idx="3">
                  <c:v>1.03</c:v>
                </c:pt>
                <c:pt idx="4">
                  <c:v>0</c:v>
                </c:pt>
                <c:pt idx="5">
                  <c:v>0</c:v>
                </c:pt>
                <c:pt idx="6">
                  <c:v>0</c:v>
                </c:pt>
                <c:pt idx="7">
                  <c:v>0</c:v>
                </c:pt>
                <c:pt idx="8">
                  <c:v>35.18</c:v>
                </c:pt>
                <c:pt idx="9">
                  <c:v>0</c:v>
                </c:pt>
                <c:pt idx="10">
                  <c:v>0</c:v>
                </c:pt>
                <c:pt idx="11">
                  <c:v>0</c:v>
                </c:pt>
                <c:pt idx="12">
                  <c:v>127.23</c:v>
                </c:pt>
                <c:pt idx="13">
                  <c:v>473.34</c:v>
                </c:pt>
                <c:pt idx="14">
                  <c:v>272.63</c:v>
                </c:pt>
                <c:pt idx="15">
                  <c:v>169.55</c:v>
                </c:pt>
                <c:pt idx="16">
                  <c:v>0</c:v>
                </c:pt>
                <c:pt idx="17">
                  <c:v>123.01</c:v>
                </c:pt>
                <c:pt idx="18">
                  <c:v>74.33</c:v>
                </c:pt>
                <c:pt idx="19">
                  <c:v>54.92</c:v>
                </c:pt>
                <c:pt idx="20">
                  <c:v>0</c:v>
                </c:pt>
                <c:pt idx="21">
                  <c:v>0</c:v>
                </c:pt>
                <c:pt idx="22">
                  <c:v>55.39</c:v>
                </c:pt>
                <c:pt idx="23">
                  <c:v>440.21</c:v>
                </c:pt>
                <c:pt idx="24">
                  <c:v>0</c:v>
                </c:pt>
                <c:pt idx="25">
                  <c:v>1271.41</c:v>
                </c:pt>
                <c:pt idx="26">
                  <c:v>3875.4</c:v>
                </c:pt>
                <c:pt idx="27">
                  <c:v>5093.91</c:v>
                </c:pt>
                <c:pt idx="28">
                  <c:v>6971.51</c:v>
                </c:pt>
                <c:pt idx="29">
                  <c:v>0</c:v>
                </c:pt>
                <c:pt idx="30">
                  <c:v>0</c:v>
                </c:pt>
              </c:numCache>
            </c:numRef>
          </c:val>
        </c:ser>
        <c:dLbls>
          <c:showLegendKey val="false"/>
          <c:showVal val="false"/>
          <c:showCatName val="false"/>
          <c:showSerName val="false"/>
          <c:showPercent val="false"/>
          <c:showBubbleSize val="false"/>
        </c:dLbls>
        <c:gapWidth val="150"/>
        <c:overlap val="100"/>
        <c:axId val="267291648"/>
        <c:axId val="267297536"/>
      </c:barChart>
      <c:catAx>
        <c:axId val="267291648"/>
        <c:scaling>
          <c:orientation val="minMax"/>
        </c:scaling>
        <c:delete val="false"/>
        <c:axPos val="l"/>
        <c:numFmt formatCode="0%" sourceLinked="true"/>
        <c:majorTickMark val="out"/>
        <c:minorTickMark val="none"/>
        <c:tickLblPos val="nextTo"/>
        <c:txPr>
          <a:bodyPr rot="-60000000" spcFirstLastPara="0" vertOverflow="ellipsis" vert="horz" wrap="square" anchor="ctr" anchorCtr="true"/>
          <a:lstStyle/>
          <a:p>
            <a:pPr>
              <a:defRPr lang="zh-CN" sz="700" b="0" i="0" u="none" strike="noStrike" kern="1200" spc="-100" baseline="0">
                <a:solidFill>
                  <a:schemeClr val="tx1"/>
                </a:solidFill>
                <a:latin typeface="+mn-lt"/>
                <a:ea typeface="+mn-ea"/>
                <a:cs typeface="+mn-cs"/>
              </a:defRPr>
            </a:pPr>
          </a:p>
        </c:txPr>
        <c:crossAx val="267297536"/>
        <c:crosses val="autoZero"/>
        <c:auto val="true"/>
        <c:lblAlgn val="l"/>
        <c:lblOffset val="100"/>
        <c:noMultiLvlLbl val="false"/>
      </c:catAx>
      <c:valAx>
        <c:axId val="267297536"/>
        <c:scaling>
          <c:orientation val="minMax"/>
        </c:scaling>
        <c:delete val="false"/>
        <c:axPos val="b"/>
        <c:majorGridlines/>
        <c:minorGridlines/>
        <c:numFmt formatCode="0%" sourceLinked="false"/>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267291648"/>
        <c:crosses val="autoZero"/>
        <c:crossBetween val="between"/>
      </c:valAx>
    </c:plotArea>
    <c:legend>
      <c:legendPos val="r"/>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txPr>
    <a:bodyPr/>
    <a:lstStyle/>
    <a:p>
      <a:pPr>
        <a:defRPr lang="zh-CN"/>
      </a:pPr>
    </a:p>
  </c:txPr>
  <c:externalData r:id="rId1">
    <c:autoUpdate val="false"/>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12674213836478"/>
          <c:y val="0.0443458980044346"/>
        </c:manualLayout>
      </c:layout>
      <c:overlay val="false"/>
      <c:txPr>
        <a:bodyPr rot="0" spcFirstLastPara="0" vertOverflow="ellipsis" vert="horz" wrap="square" anchor="ctr" anchorCtr="true"/>
        <a:lstStyle/>
        <a:p>
          <a:pPr>
            <a:defRPr lang="zh-CN" sz="1800" b="1" i="0" u="none" strike="noStrike" kern="1200" baseline="0">
              <a:solidFill>
                <a:schemeClr val="tx1"/>
              </a:solidFill>
              <a:latin typeface="+mn-lt"/>
              <a:ea typeface="+mn-ea"/>
              <a:cs typeface="+mn-cs"/>
            </a:defRPr>
          </a:pPr>
        </a:p>
      </c:txPr>
    </c:title>
    <c:autoTitleDeleted val="false"/>
    <c:plotArea>
      <c:layout/>
      <c:pieChart>
        <c:varyColors val="true"/>
        <c:ser>
          <c:idx val="0"/>
          <c:order val="0"/>
          <c:tx>
            <c:strRef>
              <c:f>Sheet1!$B$1</c:f>
              <c:strCache>
                <c:ptCount val="1"/>
                <c:pt idx="0">
                  <c:v>“三公”经费财政拨款支出（万元）</c:v>
                </c:pt>
              </c:strCache>
            </c:strRef>
          </c:tx>
          <c:explosion val="0"/>
          <c:dPt>
            <c:idx val="0"/>
            <c:bubble3D val="false"/>
          </c:dPt>
          <c:dPt>
            <c:idx val="1"/>
            <c:bubble3D val="false"/>
          </c:dPt>
          <c:dPt>
            <c:idx val="2"/>
            <c:bubble3D val="false"/>
          </c:dPt>
          <c:dLbls>
            <c:dLbl>
              <c:idx val="0"/>
              <c:layout>
                <c:manualLayout>
                  <c:x val="0.371839799749687"/>
                  <c:y val="0.118313253012048"/>
                </c:manualLayout>
              </c:layout>
              <c:dLblPos val="bestFit"/>
              <c:showLegendKey val="false"/>
              <c:showVal val="true"/>
              <c:showCatName val="true"/>
              <c:showSerName val="false"/>
              <c:showPercent val="true"/>
              <c:showBubbleSize val="false"/>
              <c:extLst>
                <c:ext xmlns:c15="http://schemas.microsoft.com/office/drawing/2012/chart" uri="{CE6537A1-D6FC-4f65-9D91-7224C49458BB}">
                  <c15:layout/>
                </c:ext>
              </c:extLst>
            </c:dLbl>
            <c:dLbl>
              <c:idx val="1"/>
              <c:layout>
                <c:manualLayout>
                  <c:x val="-0.332165206508135"/>
                  <c:y val="0.173734939759036"/>
                </c:manualLayout>
              </c:layout>
              <c:dLblPos val="bestFit"/>
              <c:showLegendKey val="false"/>
              <c:showVal val="true"/>
              <c:showCatName val="true"/>
              <c:showSerName val="false"/>
              <c:showPercent val="true"/>
              <c:showBubbleSize val="false"/>
              <c:extLst>
                <c:ext xmlns:c15="http://schemas.microsoft.com/office/drawing/2012/chart" uri="{CE6537A1-D6FC-4f65-9D91-7224C49458BB}">
                  <c15:layout/>
                </c:ext>
              </c:extLst>
            </c:dLbl>
            <c:numFmt formatCode="0.00%" sourceLinked="false"/>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bestFit"/>
            <c:showLegendKey val="false"/>
            <c:showVal val="true"/>
            <c:showCatName val="true"/>
            <c:showSerName val="false"/>
            <c:showPercent val="true"/>
            <c:showBubbleSize val="false"/>
            <c:showLeaderLines val="true"/>
            <c:extLst>
              <c:ext xmlns:c15="http://schemas.microsoft.com/office/drawing/2012/chart" uri="{CE6537A1-D6FC-4f65-9D91-7224C49458BB}">
                <c15:layout/>
                <c15:showLeaderLines val="true"/>
                <c15:leaderLines/>
              </c:ext>
            </c:extLst>
          </c:dLbls>
          <c:cat>
            <c:strRef>
              <c:f>Sheet1!$A$2:$A$4</c:f>
              <c:strCache>
                <c:ptCount val="3"/>
                <c:pt idx="0">
                  <c:v>因公出国（境）费支出</c:v>
                </c:pt>
                <c:pt idx="1">
                  <c:v>公务用车购置及运行维护费支出</c:v>
                </c:pt>
                <c:pt idx="2">
                  <c:v>公务接待费支出</c:v>
                </c:pt>
              </c:strCache>
            </c:strRef>
          </c:cat>
          <c:val>
            <c:numRef>
              <c:f>Sheet1!$B$2:$B$4</c:f>
              <c:numCache>
                <c:formatCode>General</c:formatCode>
                <c:ptCount val="3"/>
                <c:pt idx="0">
                  <c:v>0</c:v>
                </c:pt>
                <c:pt idx="1">
                  <c:v>0</c:v>
                </c:pt>
                <c:pt idx="2">
                  <c:v>4.79</c:v>
                </c:pt>
              </c:numCache>
            </c:numRef>
          </c:val>
        </c:ser>
        <c:dLbls>
          <c:showLegendKey val="false"/>
          <c:showVal val="false"/>
          <c:showCatName val="false"/>
          <c:showSerName val="false"/>
          <c:showPercent val="false"/>
          <c:showBubbleSize val="false"/>
          <c:showLeaderLines val="true"/>
        </c:dLbls>
        <c:firstSliceAng val="0"/>
      </c:pieChart>
    </c:plotArea>
    <c:plotVisOnly val="true"/>
    <c:dispBlanksAs val="gap"/>
    <c:showDLblsOverMax val="false"/>
  </c:chart>
  <c:txPr>
    <a:bodyPr/>
    <a:lstStyle/>
    <a:p>
      <a:pPr>
        <a:defRPr lang="zh-CN"/>
      </a:pPr>
    </a:p>
  </c:txPr>
  <c:externalData r:id="rId1">
    <c:autoUpdate val="false"/>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88</Pages>
  <Words>6587</Words>
  <Characters>37547</Characters>
  <Lines>312</Lines>
  <Paragraphs>88</Paragraphs>
  <TotalTime>38</TotalTime>
  <ScaleCrop>false</ScaleCrop>
  <LinksUpToDate>false</LinksUpToDate>
  <CharactersWithSpaces>44046</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2019-09-09T08:46:00Z</dcterms:created>
  <dc:creator>张彬茜</dc:creator>
  <cp:lastModifiedBy>user</cp:lastModifiedBy>
  <cp:lastPrinted>2021-09-18T10:01:00Z</cp:lastPrinted>
  <dcterms:modified xsi:type="dcterms:W3CDTF">2024-06-03T10:23:56Z</dcterms:modified>
  <dc:title>四川省***</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1ADFD84348D44CC9BE89E3718A9CC24A</vt:lpwstr>
  </property>
</Properties>
</file>