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hAnsi="宋体"/>
          <w:color w:val="000000"/>
          <w:sz w:val="72"/>
          <w:szCs w:val="72"/>
        </w:rPr>
      </w:pPr>
      <w:bookmarkStart w:id="0" w:name="_Toc15306267"/>
    </w:p>
    <w:p>
      <w:pPr>
        <w:spacing w:line="600" w:lineRule="exact"/>
        <w:jc w:val="center"/>
        <w:outlineLvl w:val="0"/>
        <w:rPr>
          <w:rFonts w:ascii="方正小标宋简体" w:eastAsia="方正小标宋简体" w:hAnsi="宋体"/>
          <w:color w:val="000000"/>
          <w:sz w:val="72"/>
          <w:szCs w:val="72"/>
        </w:rPr>
      </w:pPr>
    </w:p>
    <w:p>
      <w:pPr>
        <w:spacing w:line="600" w:lineRule="exact"/>
        <w:jc w:val="center"/>
        <w:outlineLvl w:val="0"/>
        <w:rPr>
          <w:rFonts w:ascii="方正小标宋简体" w:eastAsia="方正小标宋简体" w:hAnsi="宋体"/>
          <w:color w:val="000000"/>
          <w:sz w:val="72"/>
          <w:szCs w:val="72"/>
        </w:rPr>
      </w:pPr>
    </w:p>
    <w:p>
      <w:pPr>
        <w:spacing w:line="600" w:lineRule="exact"/>
        <w:jc w:val="center"/>
        <w:outlineLvl w:val="0"/>
        <w:rPr>
          <w:rFonts w:ascii="方正小标宋简体" w:eastAsia="方正小标宋简体" w:hAnsi="宋体"/>
          <w:color w:val="000000"/>
          <w:sz w:val="72"/>
          <w:szCs w:val="72"/>
        </w:rPr>
      </w:pPr>
    </w:p>
    <w:p>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96475"/>
      <w:bookmarkStart w:id="3" w:name="_Toc15378441"/>
      <w:bookmarkStart w:id="4" w:name="_Toc15377425"/>
      <w:bookmarkStart w:id="5" w:name="_Toc15396597"/>
      <w:r>
        <w:rPr>
          <w:rFonts w:ascii="黑体" w:eastAsia="黑体" w:hAnsi="黑体"/>
          <w:color w:val="000000"/>
          <w:sz w:val="72"/>
          <w:szCs w:val="72"/>
        </w:rPr>
        <w:t>201</w:t>
      </w:r>
      <w:r>
        <w:rPr>
          <w:rFonts w:ascii="黑体" w:eastAsia="黑体" w:hAnsi="黑体" w:hint="eastAsia"/>
          <w:color w:val="000000"/>
          <w:sz w:val="72"/>
          <w:szCs w:val="72"/>
        </w:rPr>
        <w:t>8</w:t>
      </w:r>
      <w:r>
        <w:rPr>
          <w:rFonts w:ascii="方正小标宋简体" w:eastAsia="方正小标宋简体" w:hAnsi="宋体" w:hint="eastAsia"/>
          <w:color w:val="000000"/>
          <w:sz w:val="72"/>
          <w:szCs w:val="72"/>
        </w:rPr>
        <w:t>年</w:t>
      </w:r>
      <w:bookmarkStart w:id="6" w:name="_GoBack"/>
      <w:bookmarkEnd w:id="6"/>
      <w:r>
        <w:rPr>
          <w:rFonts w:ascii="方正小标宋简体" w:eastAsia="方正小标宋简体" w:hAnsi="宋体" w:hint="eastAsia"/>
          <w:color w:val="000000"/>
          <w:sz w:val="72"/>
          <w:szCs w:val="72"/>
        </w:rPr>
        <w:t>度</w:t>
      </w:r>
      <w:bookmarkEnd w:id="1"/>
      <w:bookmarkEnd w:id="2"/>
      <w:bookmarkEnd w:id="3"/>
      <w:bookmarkEnd w:id="4"/>
      <w:bookmarkEnd w:id="5"/>
    </w:p>
    <w:p>
      <w:pPr>
        <w:adjustRightInd w:val="0"/>
        <w:snapToGrid w:val="0"/>
        <w:spacing w:line="360" w:lineRule="auto"/>
        <w:jc w:val="center"/>
        <w:outlineLvl w:val="0"/>
        <w:rPr>
          <w:rFonts w:ascii="方正小标宋简体" w:eastAsia="方正小标宋简体" w:hAnsi="宋体"/>
          <w:color w:val="000000"/>
          <w:sz w:val="52"/>
          <w:szCs w:val="52"/>
        </w:rPr>
      </w:pPr>
      <w:bookmarkStart w:id="7" w:name="_Toc15377194"/>
      <w:bookmarkStart w:id="8" w:name="_Toc15306268"/>
      <w:bookmarkStart w:id="9" w:name="_Toc15396476"/>
      <w:bookmarkStart w:id="10" w:name="_Toc15377426"/>
      <w:bookmarkStart w:id="11" w:name="_Toc15378442"/>
      <w:bookmarkStart w:id="12" w:name="_Toc15396598"/>
      <w:bookmarkEnd w:id="0"/>
      <w:r>
        <w:rPr>
          <w:rFonts w:ascii="方正小标宋简体" w:eastAsia="方正小标宋简体" w:hAnsi="宋体" w:hint="eastAsia"/>
          <w:color w:val="000000"/>
          <w:sz w:val="52"/>
          <w:szCs w:val="52"/>
        </w:rPr>
        <w:t>中共广元市利州区委统战部</w:t>
      </w:r>
    </w:p>
    <w:p>
      <w:pPr>
        <w:adjustRightInd w:val="0"/>
        <w:snapToGrid w:val="0"/>
        <w:spacing w:line="360" w:lineRule="auto"/>
        <w:jc w:val="center"/>
        <w:outlineLvl w:val="0"/>
        <w:rPr>
          <w:rFonts w:ascii="方正小标宋简体" w:eastAsia="方正小标宋简体" w:hAnsi="宋体"/>
          <w:color w:val="000000"/>
          <w:sz w:val="52"/>
          <w:szCs w:val="52"/>
        </w:rPr>
      </w:pPr>
      <w:r>
        <w:rPr>
          <w:rFonts w:ascii="方正小标宋简体" w:eastAsia="方正小标宋简体" w:hAnsi="宋体" w:hint="eastAsia"/>
          <w:color w:val="000000"/>
          <w:sz w:val="52"/>
          <w:szCs w:val="52"/>
        </w:rPr>
        <w:t>决  算</w:t>
      </w:r>
      <w:bookmarkEnd w:id="7"/>
      <w:bookmarkEnd w:id="8"/>
      <w:bookmarkEnd w:id="9"/>
      <w:bookmarkEnd w:id="10"/>
      <w:bookmarkEnd w:id="11"/>
      <w:bookmarkEnd w:id="12"/>
    </w:p>
    <w:p>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t>目录</w:t>
      </w:r>
    </w:p>
    <w:p>
      <w:pPr>
        <w:widowControl/>
        <w:jc w:val="center"/>
        <w:rPr>
          <w:rFonts w:ascii="黑体" w:eastAsia="黑体" w:cs="Arial" w:hAnsi="黑体"/>
          <w:sz w:val="28"/>
          <w:szCs w:val="28"/>
        </w:rPr>
      </w:pPr>
      <w:r>
        <w:rPr>
          <w:rFonts w:ascii="黑体" w:eastAsia="黑体" w:hAnsi="黑体"/>
          <w:color w:val="000000"/>
          <w:sz w:val="48"/>
          <w:szCs w:val="48"/>
        </w:rPr>
        <w:fldChar w:fldCharType="begin"/>
      </w:r>
      <w:r>
        <w:rPr>
          <w:rFonts w:ascii="黑体" w:eastAsia="黑体" w:hAnsi="黑体"/>
          <w:color w:val="000000"/>
          <w:sz w:val="48"/>
          <w:szCs w:val="48"/>
        </w:rPr>
        <w:instrText xml:space="preserve"> TOC \o "1-2" \h \z \u </w:instrText>
      </w:r>
      <w:r>
        <w:rPr>
          <w:rFonts w:ascii="黑体" w:eastAsia="黑体" w:hAnsi="黑体"/>
          <w:color w:val="000000"/>
          <w:sz w:val="48"/>
          <w:szCs w:val="48"/>
        </w:rPr>
        <w:fldChar w:fldCharType="separate"/>
      </w:r>
    </w:p>
    <w:p>
      <w:pPr>
        <w:pStyle w:val="20"/>
        <w:tabs>
          <w:tab w:val="right" w:leader="dot" w:pos="8296"/>
        </w:tabs>
      </w:pPr>
      <w:r>
        <w:rPr>
          <w:rFonts w:hint="eastAsia"/>
        </w:rPr>
        <w:t>公开时间：2019年</w:t>
      </w:r>
      <w:r>
        <w:rPr>
          <w:rFonts w:hint="eastAsia"/>
          <w:lang w:val="en-US" w:eastAsia="zh-CN"/>
        </w:rPr>
        <w:t>9</w:t>
      </w:r>
      <w:r>
        <w:rPr>
          <w:rFonts w:hint="eastAsia"/>
        </w:rPr>
        <w:t>月</w:t>
      </w:r>
      <w:r>
        <w:rPr>
          <w:rFonts w:hint="eastAsia"/>
          <w:lang w:val="en-US" w:eastAsia="zh-CN"/>
        </w:rPr>
        <w:t>1</w:t>
      </w:r>
      <w:r>
        <w:rPr>
          <w:rFonts w:hint="eastAsia"/>
        </w:rPr>
        <w:t>2日</w:t>
      </w:r>
    </w:p>
    <w:p/>
    <w:p>
      <w:pPr>
        <w:pStyle w:val="20"/>
        <w:tabs>
          <w:tab w:val="right" w:leader="dot" w:pos="8296"/>
        </w:tabs>
        <w:rPr>
          <w:rFonts w:cs="Arial"/>
        </w:rPr>
      </w:pPr>
      <w:r>
        <w:fldChar w:fldCharType="begin"/>
      </w:r>
      <w:r>
        <w:instrText xml:space="preserve"> HYPERLINK \l "_Toc15396599" </w:instrText>
      </w:r>
      <w:r>
        <w:fldChar w:fldCharType="separate"/>
      </w:r>
      <w:r>
        <w:rPr>
          <w:rFonts w:hint="eastAsia"/>
        </w:rPr>
        <w:t>第一部分</w:t>
      </w:r>
      <w:r>
        <w:t xml:space="preserve"> </w:t>
      </w:r>
      <w:r>
        <w:rPr>
          <w:rFonts w:hint="eastAsia"/>
        </w:rPr>
        <w:t>部门概况</w:t>
      </w:r>
      <w:r>
        <w:tab/>
      </w:r>
      <w:r>
        <w:rPr>
          <w:rFonts w:hint="eastAsia"/>
        </w:rPr>
        <w:t>4</w:t>
      </w:r>
      <w:r>
        <w:rPr>
          <w:rFonts w:hint="eastAsia"/>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"_Toc15396600" </w:instrText>
      </w:r>
      <w:r>
        <w:fldChar w:fldCharType="separate"/>
      </w:r>
      <w:r>
        <w:rPr>
          <w:rFonts w:ascii="仿宋" w:eastAsia="仿宋" w:hAnsi="仿宋" w:hint="eastAsia"/>
          <w:sz w:val="28"/>
          <w:szCs w:val="28"/>
        </w:rPr>
        <w:t>一、基本职能及主要工作</w:t>
      </w:r>
      <w:r>
        <w:rPr>
          <w:rFonts w:ascii="仿宋" w:eastAsia="仿宋" w:hAnsi="仿宋"/>
          <w:sz w:val="28"/>
          <w:szCs w:val="28"/>
        </w:rPr>
        <w:tab/>
      </w:r>
      <w:r>
        <w:rPr>
          <w:rFonts w:ascii="仿宋" w:eastAsia="仿宋" w:hAnsi="仿宋" w:hint="eastAsia"/>
          <w:sz w:val="28"/>
          <w:szCs w:val="28"/>
        </w:rPr>
        <w:t>4</w:t>
      </w:r>
      <w:r>
        <w:rPr>
          <w:rFonts w:ascii="仿宋" w:eastAsia="仿宋" w:hAnsi="仿宋" w:hint="eastAsia"/>
          <w:sz w:val="28"/>
          <w:szCs w:val="28"/>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"_Toc15396601" </w:instrText>
      </w:r>
      <w:r>
        <w:fldChar w:fldCharType="separate"/>
      </w:r>
      <w:r>
        <w:rPr>
          <w:rFonts w:ascii="仿宋" w:eastAsia="仿宋" w:hAnsi="仿宋" w:hint="eastAsia"/>
          <w:sz w:val="28"/>
          <w:szCs w:val="28"/>
        </w:rPr>
        <w:t>二、机构设置</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_Toc15396601 \h </w:instrText>
      </w:r>
      <w:r>
        <w:rPr>
          <w:rFonts w:ascii="仿宋" w:eastAsia="仿宋" w:hAnsi="仿宋"/>
          <w:sz w:val="28"/>
          <w:szCs w:val="28"/>
        </w:rPr>
        <w:fldChar w:fldCharType="separate"/>
      </w:r>
      <w:r>
        <w:rPr>
          <w:rFonts w:ascii="仿宋" w:eastAsia="仿宋" w:hAnsi="仿宋"/>
          <w:sz w:val="28"/>
          <w:szCs w:val="28"/>
        </w:rPr>
        <w:t>4</w:t>
      </w:r>
      <w:r>
        <w:rPr>
          <w:rFonts w:ascii="仿宋" w:eastAsia="仿宋" w:hAnsi="仿宋"/>
          <w:sz w:val="28"/>
          <w:szCs w:val="28"/>
        </w:rPr>
        <w:fldChar w:fldCharType="end"/>
      </w:r>
      <w:r>
        <w:rPr>
          <w:rFonts w:ascii="仿宋" w:eastAsia="仿宋" w:hAnsi="仿宋"/>
          <w:sz w:val="28"/>
          <w:szCs w:val="28"/>
        </w:rPr>
        <w:fldChar w:fldCharType="end"/>
      </w:r>
    </w:p>
    <w:p>
      <w:pPr>
        <w:pStyle w:val="20"/>
        <w:tabs>
          <w:tab w:val="right" w:leader="dot" w:pos="8296"/>
        </w:tabs>
      </w:pPr>
      <w:r>
        <w:fldChar w:fldCharType="begin"/>
      </w:r>
      <w:r>
        <w:instrText xml:space="preserve"> HYPERLINK \l "_Toc15396602" </w:instrText>
      </w:r>
      <w:r>
        <w:fldChar w:fldCharType="separate"/>
      </w:r>
      <w:r>
        <w:rPr>
          <w:rFonts w:hint="eastAsia"/>
        </w:rPr>
        <w:t>第二部分</w:t>
      </w:r>
      <w:r>
        <w:t xml:space="preserve"> 2018</w:t>
      </w:r>
      <w:r>
        <w:rPr>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"_Toc15396603" </w:instrText>
      </w:r>
      <w:r>
        <w:fldChar w:fldCharType="separate"/>
      </w:r>
      <w:r>
        <w:rPr>
          <w:rFonts w:ascii="仿宋" w:eastAsia="仿宋" w:cs="Times New Roman" w:hAnsi="仿宋" w:hint="eastAsia"/>
          <w:bCs/>
          <w:sz w:val="28"/>
          <w:szCs w:val="28"/>
        </w:rPr>
        <w:t>一、</w:t>
      </w:r>
      <w:r>
        <w:rPr>
          <w:rFonts w:ascii="仿宋" w:eastAsia="仿宋" w:hAnsi="仿宋" w:hint="eastAsia"/>
          <w:sz w:val="28"/>
          <w:szCs w:val="28"/>
        </w:rPr>
        <w:t>收</w:t>
      </w:r>
      <w:r>
        <w:rPr>
          <w:rFonts w:ascii="仿宋" w:eastAsia="仿宋" w:cs="Times New Roman" w:hAnsi="仿宋" w:hint="eastAsia"/>
          <w:bCs/>
          <w:sz w:val="28"/>
          <w:szCs w:val="28"/>
        </w:rPr>
        <w:t>入支出决算总体情况说明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_Toc15396603 \h </w:instrText>
      </w:r>
      <w:r>
        <w:rPr>
          <w:rFonts w:ascii="仿宋" w:eastAsia="仿宋" w:hAnsi="仿宋"/>
          <w:sz w:val="28"/>
          <w:szCs w:val="28"/>
        </w:rPr>
        <w:fldChar w:fldCharType="separate"/>
      </w:r>
      <w:r>
        <w:rPr>
          <w:rFonts w:ascii="仿宋" w:eastAsia="仿宋" w:hAnsi="仿宋"/>
          <w:sz w:val="28"/>
          <w:szCs w:val="28"/>
        </w:rPr>
        <w:t>5</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"_Toc15396604" </w:instrText>
      </w:r>
      <w:r>
        <w:fldChar w:fldCharType="separate"/>
      </w:r>
      <w:r>
        <w:rPr>
          <w:rFonts w:ascii="仿宋" w:eastAsia="仿宋" w:cs="Times New Roman" w:hAnsi="仿宋" w:hint="eastAsia"/>
          <w:bCs/>
          <w:sz w:val="28"/>
          <w:szCs w:val="28"/>
        </w:rPr>
        <w:t>二、</w:t>
      </w:r>
      <w:r>
        <w:rPr>
          <w:rFonts w:ascii="仿宋" w:eastAsia="仿宋" w:hAnsi="仿宋" w:hint="eastAsia"/>
          <w:sz w:val="28"/>
          <w:szCs w:val="28"/>
        </w:rPr>
        <w:t>收</w:t>
      </w:r>
      <w:r>
        <w:rPr>
          <w:rFonts w:ascii="仿宋" w:eastAsia="仿宋" w:cs="Times New Roman" w:hAnsi="仿宋" w:hint="eastAsia"/>
          <w:bCs/>
          <w:sz w:val="28"/>
          <w:szCs w:val="28"/>
        </w:rPr>
        <w:t>入决算情况说明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_Toc15396604 \h </w:instrText>
      </w:r>
      <w:r>
        <w:rPr>
          <w:rFonts w:ascii="仿宋" w:eastAsia="仿宋" w:hAnsi="仿宋"/>
          <w:sz w:val="28"/>
          <w:szCs w:val="28"/>
        </w:rPr>
        <w:fldChar w:fldCharType="separate"/>
      </w:r>
      <w:r>
        <w:rPr>
          <w:rFonts w:ascii="仿宋" w:eastAsia="仿宋" w:hAnsi="仿宋"/>
          <w:sz w:val="28"/>
          <w:szCs w:val="28"/>
        </w:rPr>
        <w:t>5</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"_Toc15396605" </w:instrText>
      </w:r>
      <w:r>
        <w:fldChar w:fldCharType="separate"/>
      </w:r>
      <w:r>
        <w:rPr>
          <w:rFonts w:ascii="仿宋" w:eastAsia="仿宋" w:cs="Times New Roman" w:hAnsi="仿宋" w:hint="eastAsia"/>
          <w:bCs/>
          <w:sz w:val="28"/>
          <w:szCs w:val="28"/>
        </w:rPr>
        <w:t>三、</w:t>
      </w:r>
      <w:r>
        <w:rPr>
          <w:rFonts w:ascii="仿宋" w:eastAsia="仿宋" w:hAnsi="仿宋" w:hint="eastAsia"/>
          <w:sz w:val="28"/>
          <w:szCs w:val="28"/>
        </w:rPr>
        <w:t>支</w:t>
      </w:r>
      <w:r>
        <w:rPr>
          <w:rFonts w:ascii="仿宋" w:eastAsia="仿宋" w:cs="Times New Roman" w:hAnsi="仿宋" w:hint="eastAsia"/>
          <w:bCs/>
          <w:sz w:val="28"/>
          <w:szCs w:val="28"/>
        </w:rPr>
        <w:t>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_Toc15396605 \h </w:instrText>
      </w:r>
      <w:r>
        <w:rPr>
          <w:rFonts w:ascii="仿宋" w:eastAsia="仿宋" w:hAnsi="仿宋"/>
          <w:sz w:val="28"/>
          <w:szCs w:val="28"/>
        </w:rPr>
        <w:fldChar w:fldCharType="separate"/>
      </w:r>
      <w:r>
        <w:rPr>
          <w:rFonts w:ascii="仿宋" w:eastAsia="仿宋" w:hAnsi="仿宋"/>
          <w:sz w:val="28"/>
          <w:szCs w:val="28"/>
        </w:rPr>
        <w:t>5</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"_Toc15396606" </w:instrText>
      </w:r>
      <w:r>
        <w:fldChar w:fldCharType="separate"/>
      </w:r>
      <w:r>
        <w:rPr>
          <w:rFonts w:ascii="仿宋" w:eastAsia="仿宋" w:hAnsi="仿宋" w:hint="eastAsia"/>
          <w:sz w:val="28"/>
          <w:szCs w:val="28"/>
        </w:rPr>
        <w:t>四、财</w:t>
      </w:r>
      <w:r>
        <w:rPr>
          <w:rFonts w:ascii="仿宋" w:eastAsia="仿宋" w:cs="Times New Roman" w:hAnsi="仿宋" w:hint="eastAsia"/>
          <w:bCs/>
          <w:sz w:val="28"/>
          <w:szCs w:val="28"/>
        </w:rPr>
        <w:t>政拨款收入支出决算总体情况说明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_Toc15396606 \h </w:instrText>
      </w:r>
      <w:r>
        <w:rPr>
          <w:rFonts w:ascii="仿宋" w:eastAsia="仿宋" w:hAnsi="仿宋"/>
          <w:sz w:val="28"/>
          <w:szCs w:val="28"/>
        </w:rPr>
        <w:fldChar w:fldCharType="separate"/>
      </w:r>
      <w:r>
        <w:rPr>
          <w:rFonts w:ascii="仿宋" w:eastAsia="仿宋" w:hAnsi="仿宋"/>
          <w:sz w:val="28"/>
          <w:szCs w:val="28"/>
        </w:rPr>
        <w:t>6</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"_Toc15396607" </w:instrText>
      </w:r>
      <w:r>
        <w:fldChar w:fldCharType="separate"/>
      </w:r>
      <w:r>
        <w:rPr>
          <w:rFonts w:ascii="仿宋" w:eastAsia="仿宋" w:hAnsi="仿宋" w:hint="eastAsia"/>
          <w:sz w:val="28"/>
          <w:szCs w:val="28"/>
        </w:rPr>
        <w:t>五、一</w:t>
      </w:r>
      <w:r>
        <w:rPr>
          <w:rFonts w:ascii="仿宋" w:eastAsia="仿宋" w:cs="Times New Roman" w:hAnsi="仿宋" w:hint="eastAsia"/>
          <w:bCs/>
          <w:sz w:val="28"/>
          <w:szCs w:val="28"/>
        </w:rPr>
        <w:t>般公共预算财政拨款支出决算情况说明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_Toc15396607 \h </w:instrText>
      </w:r>
      <w:r>
        <w:rPr>
          <w:rFonts w:ascii="仿宋" w:eastAsia="仿宋" w:hAnsi="仿宋"/>
          <w:sz w:val="28"/>
          <w:szCs w:val="28"/>
        </w:rPr>
        <w:fldChar w:fldCharType="separate"/>
      </w:r>
      <w:r>
        <w:rPr>
          <w:rFonts w:ascii="仿宋" w:eastAsia="仿宋" w:hAnsi="仿宋"/>
          <w:sz w:val="28"/>
          <w:szCs w:val="28"/>
        </w:rPr>
        <w:t>6</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"_Toc15396608" </w:instrText>
      </w:r>
      <w:r>
        <w:fldChar w:fldCharType="separate"/>
      </w:r>
      <w:r>
        <w:rPr>
          <w:rFonts w:ascii="仿宋" w:eastAsia="仿宋" w:hAnsi="仿宋" w:hint="eastAsia"/>
          <w:sz w:val="28"/>
          <w:szCs w:val="28"/>
        </w:rPr>
        <w:t>六、一</w:t>
      </w:r>
      <w:r>
        <w:rPr>
          <w:rFonts w:ascii="仿宋" w:eastAsia="仿宋" w:cs="Times New Roman" w:hAnsi="仿宋" w:hint="eastAsia"/>
          <w:bCs/>
          <w:sz w:val="28"/>
          <w:szCs w:val="28"/>
        </w:rPr>
        <w:t>般公共预算财政拨款基本支出决算情况说明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_Toc15396608 \h </w:instrText>
      </w:r>
      <w:r>
        <w:rPr>
          <w:rFonts w:ascii="仿宋" w:eastAsia="仿宋" w:hAnsi="仿宋"/>
          <w:sz w:val="28"/>
          <w:szCs w:val="28"/>
        </w:rPr>
        <w:fldChar w:fldCharType="separate"/>
      </w:r>
      <w:r>
        <w:rPr>
          <w:rFonts w:ascii="仿宋" w:eastAsia="仿宋" w:hAnsi="仿宋"/>
          <w:sz w:val="28"/>
          <w:szCs w:val="28"/>
        </w:rPr>
        <w:t>8</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"_Toc15396609" </w:instrText>
      </w:r>
      <w:r>
        <w:fldChar w:fldCharType="separate"/>
      </w:r>
      <w:r>
        <w:rPr>
          <w:rFonts w:ascii="仿宋" w:eastAsia="仿宋" w:hAnsi="仿宋" w:hint="eastAsia"/>
          <w:sz w:val="28"/>
          <w:szCs w:val="28"/>
        </w:rPr>
        <w:t>七、</w:t>
      </w:r>
      <w:r>
        <w:rPr>
          <w:rFonts w:ascii="仿宋" w:eastAsia="仿宋" w:hAnsi="仿宋"/>
          <w:sz w:val="28"/>
          <w:szCs w:val="28"/>
        </w:rPr>
        <w:t>“</w:t>
      </w:r>
      <w:r>
        <w:rPr>
          <w:rFonts w:ascii="仿宋" w:eastAsia="仿宋" w:cs="Times New Roman" w:hAnsi="仿宋" w:hint="eastAsia"/>
          <w:bCs/>
          <w:sz w:val="28"/>
          <w:szCs w:val="28"/>
        </w:rPr>
        <w:t>三公”经费财政拨款支出决算情况说明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_Toc15396609 \h </w:instrText>
      </w:r>
      <w:r>
        <w:rPr>
          <w:rFonts w:ascii="仿宋" w:eastAsia="仿宋" w:hAnsi="仿宋"/>
          <w:sz w:val="28"/>
          <w:szCs w:val="28"/>
        </w:rPr>
        <w:fldChar w:fldCharType="separate"/>
      </w:r>
      <w:r>
        <w:rPr>
          <w:rFonts w:ascii="仿宋" w:eastAsia="仿宋" w:hAnsi="仿宋"/>
          <w:sz w:val="28"/>
          <w:szCs w:val="28"/>
        </w:rPr>
        <w:t>8</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"_Toc15396610" </w:instrText>
      </w:r>
      <w:r>
        <w:fldChar w:fldCharType="separate"/>
      </w:r>
      <w:r>
        <w:rPr>
          <w:rFonts w:ascii="仿宋" w:eastAsia="仿宋" w:hAnsi="仿宋" w:hint="eastAsia"/>
          <w:sz w:val="28"/>
          <w:szCs w:val="28"/>
        </w:rPr>
        <w:t>八、</w:t>
      </w:r>
      <w:r>
        <w:rPr>
          <w:rFonts w:ascii="仿宋" w:eastAsia="仿宋" w:cs="Times New Roman" w:hAnsi="仿宋" w:hint="eastAsia"/>
          <w:bCs/>
          <w:sz w:val="28"/>
          <w:szCs w:val="28"/>
        </w:rPr>
        <w:t>政府性基金预算支出决算情况说明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_Toc15396610 \h </w:instrText>
      </w:r>
      <w:r>
        <w:rPr>
          <w:rFonts w:ascii="仿宋" w:eastAsia="仿宋" w:hAnsi="仿宋"/>
          <w:sz w:val="28"/>
          <w:szCs w:val="28"/>
        </w:rPr>
        <w:fldChar w:fldCharType="separate"/>
      </w:r>
      <w:r>
        <w:rPr>
          <w:rFonts w:ascii="仿宋" w:eastAsia="仿宋" w:hAnsi="仿宋"/>
          <w:sz w:val="28"/>
          <w:szCs w:val="28"/>
        </w:rPr>
        <w:t>10</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"_Toc15396611" </w:instrText>
      </w:r>
      <w:r>
        <w:fldChar w:fldCharType="separate"/>
      </w:r>
      <w:r>
        <w:rPr>
          <w:rFonts w:ascii="仿宋" w:eastAsia="仿宋" w:cs="Times New Roman" w:hAnsi="仿宋" w:hint="eastAsia"/>
          <w:bCs/>
          <w:sz w:val="28"/>
          <w:szCs w:val="28"/>
        </w:rPr>
        <w:t>九、</w:t>
      </w:r>
      <w:r>
        <w:rPr>
          <w:rFonts w:ascii="仿宋" w:eastAsia="仿宋" w:hAnsi="仿宋" w:hint="eastAsia"/>
          <w:sz w:val="28"/>
          <w:szCs w:val="28"/>
        </w:rPr>
        <w:t xml:space="preserve"> 国</w:t>
      </w:r>
      <w:r>
        <w:rPr>
          <w:rFonts w:ascii="仿宋" w:eastAsia="仿宋" w:cs="Times New Roman" w:hAnsi="仿宋" w:hint="eastAsia"/>
          <w:bCs/>
          <w:sz w:val="28"/>
          <w:szCs w:val="28"/>
        </w:rPr>
        <w:t>有资本经营预算支出决算情况说明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_Toc15396611 \h </w:instrText>
      </w:r>
      <w:r>
        <w:rPr>
          <w:rFonts w:ascii="仿宋" w:eastAsia="仿宋" w:hAnsi="仿宋"/>
          <w:sz w:val="28"/>
          <w:szCs w:val="28"/>
        </w:rPr>
        <w:fldChar w:fldCharType="separate"/>
      </w:r>
      <w:r>
        <w:rPr>
          <w:rFonts w:ascii="仿宋" w:eastAsia="仿宋" w:hAnsi="仿宋"/>
          <w:sz w:val="28"/>
          <w:szCs w:val="28"/>
        </w:rPr>
        <w:t>10</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"_Toc15396612" </w:instrText>
      </w:r>
      <w:r>
        <w:fldChar w:fldCharType="separate"/>
      </w:r>
      <w:r>
        <w:rPr>
          <w:rFonts w:ascii="仿宋" w:eastAsia="仿宋" w:hAnsi="仿宋" w:hint="eastAsia"/>
          <w:sz w:val="28"/>
          <w:szCs w:val="28"/>
        </w:rPr>
        <w:t>十</w:t>
      </w:r>
      <w:r>
        <w:rPr>
          <w:rFonts w:ascii="仿宋" w:eastAsia="仿宋" w:cs="Times New Roman" w:hAnsi="仿宋" w:hint="eastAsia"/>
          <w:bCs/>
          <w:sz w:val="28"/>
          <w:szCs w:val="28"/>
        </w:rPr>
        <w:t>一、其他重要事项的情况说明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_Toc15396612 \h </w:instrText>
      </w:r>
      <w:r>
        <w:rPr>
          <w:rFonts w:ascii="仿宋" w:eastAsia="仿宋" w:hAnsi="仿宋"/>
          <w:sz w:val="28"/>
          <w:szCs w:val="28"/>
        </w:rPr>
        <w:fldChar w:fldCharType="separate"/>
      </w:r>
      <w:r>
        <w:rPr>
          <w:rFonts w:ascii="仿宋" w:eastAsia="仿宋" w:hAnsi="仿宋"/>
          <w:sz w:val="28"/>
          <w:szCs w:val="28"/>
        </w:rPr>
        <w:t>14</w:t>
      </w:r>
      <w:r>
        <w:rPr>
          <w:rFonts w:ascii="仿宋" w:eastAsia="仿宋" w:hAnsi="仿宋"/>
          <w:sz w:val="28"/>
          <w:szCs w:val="28"/>
        </w:rPr>
        <w:fldChar w:fldCharType="end"/>
      </w:r>
      <w:r>
        <w:rPr>
          <w:rFonts w:ascii="仿宋" w:eastAsia="仿宋" w:hAnsi="仿宋"/>
          <w:sz w:val="28"/>
          <w:szCs w:val="28"/>
        </w:rPr>
        <w:fldChar w:fldCharType="end"/>
      </w:r>
    </w:p>
    <w:p>
      <w:pPr>
        <w:pStyle w:val="20"/>
        <w:tabs>
          <w:tab w:val="right" w:leader="dot" w:pos="8296"/>
        </w:tabs>
        <w:rPr>
          <w:rFonts w:cs="Arial"/>
        </w:rPr>
      </w:pPr>
      <w:r>
        <w:fldChar w:fldCharType="begin"/>
      </w:r>
      <w:r>
        <w:instrText xml:space="preserve"> HYPERLINK \l "_Toc15396613" </w:instrText>
      </w:r>
      <w:r>
        <w:fldChar w:fldCharType="separate"/>
      </w:r>
      <w:r>
        <w:rPr>
          <w:rFonts w:hint="eastAsia"/>
          <w:bCs/>
          <w:kern w:val="44"/>
        </w:rPr>
        <w:t>第三部分</w:t>
      </w:r>
      <w:r>
        <w:rPr>
          <w:rFonts w:hint="eastAsia"/>
        </w:rPr>
        <w:t xml:space="preserve"> 名</w:t>
      </w:r>
      <w:r>
        <w:rPr>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20"/>
        <w:tabs>
          <w:tab w:val="right" w:leader="dot" w:pos="8296"/>
        </w:tabs>
        <w:rPr>
          <w:rFonts w:cs="Arial"/>
        </w:rPr>
      </w:pPr>
      <w:r>
        <w:fldChar w:fldCharType="begin"/>
      </w:r>
      <w:r>
        <w:instrText xml:space="preserve"> HYPERLINK \l "_Toc15396614" </w:instrText>
      </w:r>
      <w:r>
        <w:fldChar w:fldCharType="separate"/>
      </w:r>
      <w:r>
        <w:rPr>
          <w:rFonts w:hint="eastAsia"/>
        </w:rPr>
        <w:t>第</w:t>
      </w:r>
      <w:r>
        <w:rPr>
          <w:rFonts w:hint="eastAsia"/>
          <w:bCs/>
          <w:kern w:val="44"/>
        </w:rPr>
        <w:t>四部分</w:t>
      </w:r>
      <w:r>
        <w:rPr>
          <w:bCs/>
          <w:kern w:val="44"/>
        </w:rPr>
        <w:t xml:space="preserve"> </w:t>
      </w:r>
      <w:r>
        <w:rPr>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"_Toc15396615" </w:instrText>
      </w:r>
      <w:r>
        <w:fldChar w:fldCharType="separate"/>
      </w:r>
      <w:r>
        <w:rPr>
          <w:rFonts w:ascii="仿宋" w:eastAsia="仿宋" w:hAnsi="仿宋" w:hint="eastAsia"/>
          <w:kern w:val="44"/>
          <w:sz w:val="28"/>
          <w:szCs w:val="28"/>
        </w:rPr>
        <w:t>附件</w:t>
      </w:r>
      <w:r>
        <w:rPr>
          <w:rFonts w:ascii="仿宋" w:eastAsia="仿宋" w:hAnsi="仿宋"/>
          <w:kern w:val="44"/>
          <w:sz w:val="28"/>
          <w:szCs w:val="28"/>
        </w:rPr>
        <w:t>1</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_Toc15396615 \h </w:instrText>
      </w:r>
      <w:r>
        <w:rPr>
          <w:rFonts w:ascii="仿宋" w:eastAsia="仿宋" w:hAnsi="仿宋"/>
          <w:sz w:val="28"/>
          <w:szCs w:val="28"/>
        </w:rPr>
        <w:fldChar w:fldCharType="separate"/>
      </w:r>
      <w:r>
        <w:rPr>
          <w:rFonts w:ascii="仿宋" w:eastAsia="仿宋" w:hAnsi="仿宋"/>
          <w:sz w:val="28"/>
          <w:szCs w:val="28"/>
        </w:rPr>
        <w:t>19</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"_Toc15396617" </w:instrText>
      </w:r>
      <w:r>
        <w:fldChar w:fldCharType="separate"/>
      </w:r>
      <w:r>
        <w:rPr>
          <w:rFonts w:ascii="仿宋" w:eastAsia="仿宋" w:hAnsi="仿宋" w:hint="eastAsia"/>
          <w:kern w:val="44"/>
          <w:sz w:val="28"/>
          <w:szCs w:val="28"/>
        </w:rPr>
        <w:t>附件</w:t>
      </w:r>
      <w:r>
        <w:rPr>
          <w:rFonts w:ascii="仿宋" w:eastAsia="仿宋" w:hAnsi="仿宋"/>
          <w:kern w:val="44"/>
          <w:sz w:val="28"/>
          <w:szCs w:val="28"/>
        </w:rPr>
        <w:t>2</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_Toc15396617 \h </w:instrText>
      </w:r>
      <w:r>
        <w:rPr>
          <w:rFonts w:ascii="仿宋" w:eastAsia="仿宋" w:hAnsi="仿宋"/>
          <w:sz w:val="28"/>
          <w:szCs w:val="28"/>
        </w:rPr>
        <w:fldChar w:fldCharType="separate"/>
      </w:r>
      <w:r>
        <w:rPr>
          <w:rFonts w:ascii="仿宋" w:eastAsia="仿宋" w:hAnsi="仿宋"/>
          <w:sz w:val="28"/>
          <w:szCs w:val="28"/>
        </w:rPr>
        <w:t>21</w:t>
      </w:r>
      <w:r>
        <w:rPr>
          <w:rFonts w:ascii="仿宋" w:eastAsia="仿宋" w:hAnsi="仿宋"/>
          <w:sz w:val="28"/>
          <w:szCs w:val="28"/>
        </w:rPr>
        <w:fldChar w:fldCharType="end"/>
      </w:r>
      <w:r>
        <w:rPr>
          <w:rFonts w:ascii="仿宋" w:eastAsia="仿宋" w:hAnsi="仿宋"/>
          <w:sz w:val="28"/>
          <w:szCs w:val="28"/>
        </w:rPr>
        <w:fldChar w:fldCharType="end"/>
      </w:r>
    </w:p>
    <w:p>
      <w:pPr>
        <w:pStyle w:val="20"/>
        <w:tabs>
          <w:tab w:val="right" w:leader="dot" w:pos="8296"/>
        </w:tabs>
        <w:rPr>
          <w:rFonts w:cs="Arial"/>
        </w:rPr>
      </w:pPr>
      <w:r>
        <w:fldChar w:fldCharType="begin"/>
      </w:r>
      <w:r>
        <w:instrText xml:space="preserve"> HYPERLINK \l "_Toc15396618" </w:instrText>
      </w:r>
      <w:r>
        <w:fldChar w:fldCharType="separate"/>
      </w:r>
      <w:r>
        <w:rPr>
          <w:rFonts w:hint="eastAsia"/>
        </w:rPr>
        <w:t>第</w:t>
      </w:r>
      <w:r>
        <w:rPr>
          <w:rFonts w:hint="eastAsia"/>
          <w:bCs/>
          <w:kern w:val="44"/>
        </w:rPr>
        <w:t>五部分</w:t>
      </w:r>
      <w:r>
        <w:rPr>
          <w:bCs/>
          <w:kern w:val="44"/>
        </w:rPr>
        <w:t xml:space="preserve"> </w:t>
      </w:r>
      <w:r>
        <w:rPr>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一、</w:t>
      </w:r>
      <w:r>
        <w:fldChar w:fldCharType="begin"/>
      </w:r>
      <w:r>
        <w:instrText xml:space="preserve"> HYPERLINK \l "_Toc15396619" </w:instrText>
      </w:r>
      <w:r>
        <w:fldChar w:fldCharType="separate"/>
      </w:r>
      <w:r>
        <w:rPr>
          <w:rFonts w:ascii="仿宋" w:eastAsia="仿宋" w:hAnsi="仿宋" w:hint="eastAsia"/>
          <w:sz w:val="28"/>
          <w:szCs w:val="28"/>
        </w:rPr>
        <w:t>收入支出决算总表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_Toc15396619 \h </w:instrText>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二、</w:t>
      </w:r>
      <w:r>
        <w:fldChar w:fldCharType="begin"/>
      </w:r>
      <w:r>
        <w:instrText xml:space="preserve"> HYPERLINK \l "_Toc15396620" </w:instrText>
      </w:r>
      <w:r>
        <w:fldChar w:fldCharType="separate"/>
      </w:r>
      <w:r>
        <w:rPr>
          <w:rFonts w:ascii="仿宋" w:eastAsia="仿宋" w:hAnsi="仿宋" w:hint="eastAsia"/>
          <w:sz w:val="28"/>
          <w:szCs w:val="28"/>
        </w:rPr>
        <w:t>收入总表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_Toc15396620 \h </w:instrText>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三、</w:t>
      </w:r>
      <w:r>
        <w:fldChar w:fldCharType="begin"/>
      </w:r>
      <w:r>
        <w:instrText xml:space="preserve"> HYPERLINK \l "_Toc15396621" </w:instrText>
      </w:r>
      <w:r>
        <w:fldChar w:fldCharType="separate"/>
      </w:r>
      <w:r>
        <w:rPr>
          <w:rFonts w:ascii="仿宋" w:eastAsia="仿宋" w:hAnsi="仿宋" w:hint="eastAsia"/>
          <w:sz w:val="28"/>
          <w:szCs w:val="28"/>
        </w:rPr>
        <w:t>支出总表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_Toc15396621 \h </w:instrText>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四、</w:t>
      </w:r>
      <w:r>
        <w:fldChar w:fldCharType="begin"/>
      </w:r>
      <w:r>
        <w:instrText xml:space="preserve"> HYPERLINK \l "_Toc15396622" </w:instrText>
      </w:r>
      <w:r>
        <w:fldChar w:fldCharType="separate"/>
      </w:r>
      <w:r>
        <w:rPr>
          <w:rFonts w:ascii="仿宋" w:eastAsia="仿宋" w:hAnsi="仿宋" w:hint="eastAsia"/>
          <w:sz w:val="28"/>
          <w:szCs w:val="28"/>
        </w:rPr>
        <w:t>财政拨款收入支出决算总表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_Toc15396622 \h </w:instrText>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hAnsi="仿宋"/>
          <w:sz w:val="28"/>
          <w:szCs w:val="28"/>
        </w:rPr>
      </w:pPr>
      <w:r>
        <w:rPr>
          <w:rFonts w:ascii="仿宋" w:eastAsia="仿宋" w:hAnsi="仿宋" w:hint="eastAsia"/>
          <w:sz w:val="28"/>
          <w:szCs w:val="28"/>
        </w:rPr>
        <w:t>五、</w:t>
      </w:r>
      <w:r>
        <w:fldChar w:fldCharType="begin"/>
      </w:r>
      <w:r>
        <w:instrText xml:space="preserve"> HYPERLINK \l "_Toc15396623" </w:instrText>
      </w:r>
      <w:r>
        <w:fldChar w:fldCharType="separate"/>
      </w:r>
      <w:r>
        <w:rPr>
          <w:rFonts w:ascii="仿宋" w:eastAsia="仿宋" w:hAnsi="仿宋" w:hint="eastAsia"/>
          <w:sz w:val="28"/>
          <w:szCs w:val="28"/>
        </w:rPr>
        <w:t>财政拨款支出决算明细表（政府经济分类科目）</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_Toc15396623 \h </w:instrText>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六、</w:t>
      </w:r>
      <w:r>
        <w:fldChar w:fldCharType="begin"/>
      </w:r>
      <w:r>
        <w:instrText xml:space="preserve"> HYPERLINK \l "_Toc15396624" </w:instrText>
      </w:r>
      <w:r>
        <w:fldChar w:fldCharType="separate"/>
      </w:r>
      <w:r>
        <w:rPr>
          <w:rFonts w:ascii="仿宋" w:eastAsia="仿宋" w:hAnsi="仿宋" w:hint="eastAsia"/>
          <w:sz w:val="28"/>
          <w:szCs w:val="28"/>
        </w:rPr>
        <w:t>一般公共预算财政拨款支出决算表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_Toc15396624 \h </w:instrText>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七、</w:t>
      </w:r>
      <w:r>
        <w:fldChar w:fldCharType="begin"/>
      </w:r>
      <w:r>
        <w:instrText xml:space="preserve"> HYPERLINK \l "_Toc15396625" </w:instrText>
      </w:r>
      <w:r>
        <w:fldChar w:fldCharType="separate"/>
      </w:r>
      <w:r>
        <w:rPr>
          <w:rFonts w:ascii="仿宋" w:eastAsia="仿宋" w:hAnsi="仿宋" w:hint="eastAsia"/>
          <w:sz w:val="28"/>
          <w:szCs w:val="28"/>
        </w:rPr>
        <w:t>一般公共预算财政拨款支出决算明细表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_Toc15396625 \h </w:instrText>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八、</w:t>
      </w:r>
      <w:r>
        <w:fldChar w:fldCharType="begin"/>
      </w:r>
      <w:r>
        <w:instrText xml:space="preserve"> HYPERLINK \l "_Toc15396626" </w:instrText>
      </w:r>
      <w:r>
        <w:fldChar w:fldCharType="separate"/>
      </w:r>
      <w:r>
        <w:rPr>
          <w:rFonts w:ascii="仿宋" w:eastAsia="仿宋" w:hAnsi="仿宋" w:hint="eastAsia"/>
          <w:sz w:val="28"/>
          <w:szCs w:val="28"/>
        </w:rPr>
        <w:t>一般公共预算财政拨款基本支出决算表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_Toc15396626 \h </w:instrText>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九、</w:t>
      </w:r>
      <w:r>
        <w:fldChar w:fldCharType="begin"/>
      </w:r>
      <w:r>
        <w:instrText xml:space="preserve"> HYPERLINK \l "_Toc15396627" </w:instrText>
      </w:r>
      <w:r>
        <w:fldChar w:fldCharType="separate"/>
      </w:r>
      <w:r>
        <w:rPr>
          <w:rFonts w:ascii="仿宋" w:eastAsia="仿宋" w:hAnsi="仿宋" w:hint="eastAsia"/>
          <w:sz w:val="28"/>
          <w:szCs w:val="28"/>
        </w:rPr>
        <w:t>一般公共预算财政拨款项目支出决算表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_Toc15396627 \h </w:instrText>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十、</w:t>
      </w:r>
      <w:r>
        <w:fldChar w:fldCharType="begin"/>
      </w:r>
      <w:r>
        <w:instrText xml:space="preserve"> HYPERLINK \l "_Toc15396628" </w:instrText>
      </w:r>
      <w:r>
        <w:fldChar w:fldCharType="separate"/>
      </w:r>
      <w:r>
        <w:rPr>
          <w:rFonts w:ascii="仿宋" w:eastAsia="仿宋" w:hAnsi="仿宋" w:hint="eastAsia"/>
          <w:sz w:val="28"/>
          <w:szCs w:val="28"/>
        </w:rPr>
        <w:t>一般公共预算财政拨款“三公”经费支出决算表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_Toc15396628 \h </w:instrText>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十一、</w:t>
      </w:r>
      <w:r>
        <w:fldChar w:fldCharType="begin"/>
      </w:r>
      <w:r>
        <w:instrText xml:space="preserve"> HYPERLINK \l "_Toc15396629" </w:instrText>
      </w:r>
      <w:r>
        <w:fldChar w:fldCharType="separate"/>
      </w:r>
      <w:r>
        <w:rPr>
          <w:rFonts w:ascii="仿宋" w:eastAsia="仿宋" w:hAnsi="仿宋" w:hint="eastAsia"/>
          <w:sz w:val="28"/>
          <w:szCs w:val="28"/>
        </w:rPr>
        <w:t>政府性基金预算财政拨款收入支出决算表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_Toc15396629 \h </w:instrText>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十二、</w:t>
      </w:r>
      <w:r>
        <w:fldChar w:fldCharType="begin"/>
      </w:r>
      <w:r>
        <w:instrText xml:space="preserve"> HYPERLINK \l "_Toc15396630" </w:instrText>
      </w:r>
      <w:r>
        <w:fldChar w:fldCharType="separate"/>
      </w:r>
      <w:r>
        <w:rPr>
          <w:rFonts w:ascii="仿宋" w:eastAsia="仿宋" w:hAnsi="仿宋" w:hint="eastAsia"/>
          <w:sz w:val="28"/>
          <w:szCs w:val="28"/>
        </w:rPr>
        <w:t>政府性基金预算财政拨款“三公”经费支出决算表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_Toc15396630 \h </w:instrText>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4"/>
        </w:rPr>
      </w:pPr>
      <w:r>
        <w:rPr>
          <w:rFonts w:ascii="仿宋" w:eastAsia="仿宋" w:hAnsi="仿宋" w:hint="eastAsia"/>
          <w:sz w:val="28"/>
          <w:szCs w:val="28"/>
        </w:rPr>
        <w:t>十三、</w:t>
      </w:r>
      <w:r>
        <w:fldChar w:fldCharType="begin"/>
      </w:r>
      <w:r>
        <w:instrText xml:space="preserve"> HYPERLINK \l "_Toc15396631" </w:instrText>
      </w:r>
      <w:r>
        <w:fldChar w:fldCharType="separate"/>
      </w:r>
      <w:r>
        <w:rPr>
          <w:rFonts w:ascii="仿宋" w:eastAsia="仿宋" w:hAnsi="仿宋" w:hint="eastAsia"/>
          <w:sz w:val="28"/>
          <w:szCs w:val="28"/>
        </w:rPr>
        <w:t>国有资本经营预算支出决算表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_Toc15396631 \h </w:instrText>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r>
        <w:rPr>
          <w:rFonts w:ascii="仿宋" w:eastAsia="仿宋" w:hAnsi="仿宋"/>
          <w:sz w:val="28"/>
          <w:szCs w:val="28"/>
        </w:rPr>
        <w:fldChar w:fldCharType="end"/>
      </w:r>
    </w:p>
    <w:p>
      <w:pPr>
        <w:widowControl/>
        <w:jc w:val="left"/>
        <w:rPr>
          <w:rFonts w:ascii="仿宋" w:eastAsia="仿宋" w:hAnsi="仿宋"/>
          <w:color w:val="000000"/>
          <w:sz w:val="24"/>
        </w:rPr>
      </w:pPr>
      <w:r>
        <w:rPr>
          <w:rFonts w:ascii="仿宋" w:eastAsia="仿宋" w:hAnsi="仿宋"/>
          <w:color w:val="000000"/>
          <w:sz w:val="24"/>
        </w:rPr>
        <w:fldChar w:fldCharType="end"/>
      </w:r>
    </w:p>
    <w:p>
      <w:pPr>
        <w:widowControl/>
        <w:jc w:val="left"/>
        <w:rPr>
          <w:rFonts w:ascii="黑体" w:eastAsia="黑体" w:hAnsi="黑体"/>
          <w:bCs/>
          <w:kern w:val="44"/>
          <w:sz w:val="44"/>
          <w:szCs w:val="44"/>
        </w:rPr>
      </w:pPr>
      <w:bookmarkStart w:id="13" w:name="_Toc15377196"/>
      <w:bookmarkStart w:id="14" w:name="_Toc15396599"/>
      <w:r>
        <w:rPr>
          <w:rFonts w:ascii="黑体" w:eastAsia="黑体" w:hAnsi="黑体"/>
          <w:b/>
        </w:rPr>
        <w:br w:type="page"/>
      </w:r>
    </w:p>
    <w:p>
      <w:pPr>
        <w:pStyle w:val="1"/>
        <w:jc w:val="center"/>
        <w:rPr>
          <w:rStyle w:val="1Char"/>
          <w:rFonts w:ascii="黑体" w:eastAsia="黑体" w:hAnsi="黑体"/>
          <w:b/>
          <w:bCs w:val="0"/>
        </w:rPr>
      </w:pPr>
      <w:r>
        <w:rPr>
          <w:rFonts w:ascii="黑体" w:eastAsia="黑体" w:hAnsi="黑体" w:hint="eastAsia"/>
          <w:b w:val="0"/>
        </w:rPr>
        <w:t xml:space="preserve">第一部分 </w:t>
      </w:r>
      <w:r>
        <w:rPr>
          <w:rStyle w:val="1Char"/>
          <w:rFonts w:ascii="黑体" w:eastAsia="黑体" w:hAnsi="黑体" w:hint="eastAsia"/>
          <w:b w:val="0"/>
          <w:bCs w:val="0"/>
        </w:rPr>
        <w:t>部门概况</w:t>
      </w:r>
      <w:bookmarkEnd w:id="13"/>
      <w:bookmarkEnd w:id="14"/>
    </w:p>
    <w:p>
      <w:pPr>
        <w:widowControl/>
        <w:jc w:val="left"/>
        <w:rPr>
          <w:rFonts w:ascii="黑体" w:eastAsia="黑体"/>
          <w:color w:val="000000"/>
          <w:sz w:val="32"/>
          <w:szCs w:val="32"/>
        </w:rPr>
      </w:pPr>
    </w:p>
    <w:p>
      <w:pPr>
        <w:pStyle w:val="2"/>
        <w:rPr>
          <w:rStyle w:val="2Char"/>
          <w:rFonts w:ascii="仿宋" w:eastAsia="仿宋" w:hAnsi="仿宋"/>
          <w:b w:val="0"/>
          <w:bCs w:val="0"/>
        </w:rPr>
      </w:pPr>
      <w:bookmarkStart w:id="15" w:name="_Toc15377197"/>
      <w:bookmarkStart w:id="16" w:name="_Toc15396600"/>
      <w:r>
        <w:rPr>
          <w:rFonts w:ascii="黑体" w:eastAsia="黑体" w:hAnsi="黑体" w:hint="eastAsia"/>
          <w:b w:val="0"/>
          <w:color w:val="000000"/>
        </w:rPr>
        <w:t>一、基</w:t>
      </w:r>
      <w:r>
        <w:rPr>
          <w:rStyle w:val="2Char"/>
          <w:rFonts w:ascii="黑体" w:eastAsia="黑体" w:hAnsi="黑体" w:hint="eastAsia"/>
          <w:b w:val="0"/>
          <w:bCs w:val="0"/>
        </w:rPr>
        <w:t>本职能及主要工作</w:t>
      </w:r>
      <w:bookmarkEnd w:id="15"/>
      <w:bookmarkEnd w:id="16"/>
    </w:p>
    <w:p>
      <w:pPr>
        <w:pStyle w:val="15"/>
        <w:adjustRightInd w:val="0"/>
        <w:snapToGrid w:val="0"/>
        <w:spacing w:beforeLines="0" w:before="93" w:line="600" w:lineRule="exact"/>
        <w:ind w:firstLineChars="209" w:firstLine="672"/>
        <w:outlineLvl w:val="2"/>
        <w:rPr>
          <w:rFonts w:ascii="仿宋" w:eastAsia="仿宋" w:hAnsi="仿宋"/>
          <w:bCs/>
          <w:color w:val="000000"/>
          <w:sz w:val="32"/>
          <w:szCs w:val="32"/>
        </w:rPr>
      </w:pPr>
      <w:bookmarkStart w:id="17" w:name="_Toc15378445"/>
      <w:bookmarkStart w:id="18" w:name="_Toc15377198"/>
      <w:r>
        <w:rPr>
          <w:rFonts w:ascii="仿宋" w:eastAsia="仿宋" w:hAnsi="仿宋" w:hint="eastAsia"/>
          <w:bCs/>
          <w:color w:val="000000"/>
          <w:sz w:val="32"/>
          <w:szCs w:val="32"/>
        </w:rPr>
        <w:t>（一）主要职能</w:t>
      </w:r>
      <w:bookmarkEnd w:id="17"/>
      <w:bookmarkEnd w:id="18"/>
      <w:r>
        <w:rPr>
          <w:rFonts w:ascii="仿宋" w:eastAsia="仿宋" w:hAnsi="仿宋" w:hint="eastAsia"/>
          <w:bCs/>
          <w:color w:val="000000"/>
          <w:sz w:val="32"/>
          <w:szCs w:val="32"/>
        </w:rPr>
        <w:t>：</w:t>
      </w:r>
    </w:p>
    <w:p>
      <w:pPr>
        <w:pStyle w:val="15"/>
        <w:adjustRightInd w:val="0"/>
        <w:snapToGrid w:val="0"/>
        <w:spacing w:beforeLines="0" w:before="93" w:line="600" w:lineRule="exact"/>
        <w:ind w:firstLineChars="209" w:firstLine="672"/>
        <w:outlineLvl w:val="2"/>
        <w:rPr>
          <w:rFonts w:ascii="仿宋" w:eastAsia="仿宋" w:hAnsi="仿宋"/>
          <w:bCs/>
          <w:color w:val="000000"/>
          <w:sz w:val="32"/>
          <w:szCs w:val="32"/>
        </w:rPr>
      </w:pPr>
      <w:r>
        <w:rPr>
          <w:rFonts w:ascii="仿宋" w:eastAsia="仿宋" w:hAnsi="仿宋" w:hint="eastAsia"/>
          <w:bCs/>
          <w:color w:val="000000"/>
          <w:sz w:val="32"/>
          <w:szCs w:val="32"/>
        </w:rPr>
        <w:t>1、贯彻落实加强党对统一战线集中统一领导的要求，发挥区委在统战工作方面的参谋机构、组织协调机构、具体执行机构，督促检查机构作用。</w:t>
      </w:r>
    </w:p>
    <w:p>
      <w:pPr>
        <w:pStyle w:val="15"/>
        <w:adjustRightInd w:val="0"/>
        <w:snapToGrid w:val="0"/>
        <w:spacing w:beforeLines="0" w:before="93" w:line="600" w:lineRule="exact"/>
        <w:ind w:firstLineChars="209" w:firstLine="672"/>
        <w:outlineLvl w:val="2"/>
        <w:rPr>
          <w:rFonts w:ascii="仿宋" w:eastAsia="仿宋" w:hAnsi="仿宋"/>
          <w:bCs/>
          <w:color w:val="000000"/>
          <w:sz w:val="32"/>
          <w:szCs w:val="32"/>
        </w:rPr>
      </w:pPr>
      <w:r>
        <w:rPr>
          <w:rFonts w:ascii="仿宋" w:eastAsia="仿宋" w:hAnsi="仿宋" w:hint="eastAsia"/>
          <w:bCs/>
          <w:color w:val="000000"/>
          <w:sz w:val="32"/>
          <w:szCs w:val="32"/>
        </w:rPr>
        <w:t>2、研究拟订统一战线工作的政策并推动落实，深入调查研究，及时向区委报告统一战线工作情况并提出建议，统筹协调和指导乡镇（街道）、各部门统一战线工作。</w:t>
      </w:r>
    </w:p>
    <w:p>
      <w:pPr>
        <w:pStyle w:val="15"/>
        <w:adjustRightInd w:val="0"/>
        <w:snapToGrid w:val="0"/>
        <w:spacing w:beforeLines="0" w:before="93" w:line="600" w:lineRule="exact"/>
        <w:ind w:firstLineChars="209" w:firstLine="672"/>
        <w:outlineLvl w:val="2"/>
        <w:rPr>
          <w:rFonts w:ascii="仿宋" w:eastAsia="仿宋" w:hAnsi="仿宋"/>
          <w:bCs/>
          <w:color w:val="000000"/>
          <w:sz w:val="32"/>
          <w:szCs w:val="32"/>
        </w:rPr>
      </w:pPr>
      <w:r>
        <w:rPr>
          <w:rFonts w:ascii="仿宋" w:eastAsia="仿宋" w:hAnsi="仿宋" w:hint="eastAsia"/>
          <w:bCs/>
          <w:color w:val="000000"/>
          <w:sz w:val="32"/>
          <w:szCs w:val="32"/>
        </w:rPr>
        <w:t>3、负责发现、培养党外代表人士，制定党外干部培养规划，负责党外人士的政治安排，会同有关部门做好安排党外人士担任政府和司法机关等领导职务的工作。</w:t>
      </w:r>
    </w:p>
    <w:p>
      <w:pPr>
        <w:pStyle w:val="15"/>
        <w:adjustRightInd w:val="0"/>
        <w:snapToGrid w:val="0"/>
        <w:spacing w:beforeLines="0" w:before="93" w:line="600" w:lineRule="exact"/>
        <w:ind w:firstLineChars="209" w:firstLine="672"/>
        <w:outlineLvl w:val="2"/>
        <w:rPr>
          <w:rFonts w:ascii="仿宋" w:eastAsia="仿宋" w:hAnsi="仿宋"/>
          <w:bCs/>
          <w:color w:val="000000"/>
          <w:sz w:val="32"/>
          <w:szCs w:val="32"/>
        </w:rPr>
      </w:pPr>
      <w:r>
        <w:rPr>
          <w:rFonts w:ascii="仿宋" w:eastAsia="仿宋" w:hAnsi="仿宋" w:hint="eastAsia"/>
          <w:bCs/>
          <w:color w:val="000000"/>
          <w:sz w:val="32"/>
          <w:szCs w:val="32"/>
        </w:rPr>
        <w:t>4、贯彻落实党的宣传工作方针，统筹推进全区统一战线宣传和意识形态工作。</w:t>
      </w:r>
    </w:p>
    <w:p>
      <w:pPr>
        <w:pStyle w:val="15"/>
        <w:adjustRightInd w:val="0"/>
        <w:snapToGrid w:val="0"/>
        <w:spacing w:beforeLines="0" w:before="93" w:line="600" w:lineRule="exact"/>
        <w:ind w:firstLineChars="209" w:firstLine="672"/>
        <w:outlineLvl w:val="2"/>
        <w:rPr>
          <w:rFonts w:ascii="仿宋" w:eastAsia="仿宋" w:hAnsi="仿宋"/>
          <w:bCs/>
          <w:color w:val="000000"/>
          <w:sz w:val="32"/>
          <w:szCs w:val="32"/>
        </w:rPr>
      </w:pPr>
      <w:r>
        <w:rPr>
          <w:rFonts w:ascii="仿宋" w:eastAsia="仿宋" w:hAnsi="仿宋" w:hint="eastAsia"/>
          <w:bCs/>
          <w:color w:val="000000"/>
          <w:sz w:val="32"/>
          <w:szCs w:val="32"/>
        </w:rPr>
        <w:t>5、贯彻落实中国共产党领导的多党合作和政治协商制度以及对民主党派的方针政策，负责联系民主党派，通报情况、反馈意见、制定年度政党协商计划。</w:t>
      </w:r>
    </w:p>
    <w:p>
      <w:pPr>
        <w:pStyle w:val="15"/>
        <w:adjustRightInd w:val="0"/>
        <w:snapToGrid w:val="0"/>
        <w:spacing w:beforeLines="0" w:before="93" w:line="600" w:lineRule="exact"/>
        <w:ind w:firstLineChars="209" w:firstLine="672"/>
        <w:outlineLvl w:val="2"/>
        <w:rPr>
          <w:rFonts w:ascii="仿宋" w:eastAsia="仿宋" w:hAnsi="仿宋"/>
          <w:bCs/>
          <w:color w:val="000000"/>
          <w:sz w:val="32"/>
          <w:szCs w:val="32"/>
        </w:rPr>
      </w:pPr>
      <w:bookmarkStart w:id="19" w:name="_Toc15378446"/>
      <w:bookmarkStart w:id="20" w:name="_Toc15377199"/>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8年重点工作完成情况。</w:t>
      </w:r>
      <w:bookmarkEnd w:id="19"/>
      <w:bookmarkEnd w:id="20"/>
    </w:p>
    <w:p>
      <w:pPr>
        <w:pStyle w:val="15"/>
        <w:adjustRightInd w:val="0"/>
        <w:snapToGrid w:val="0"/>
        <w:spacing w:beforeLines="0" w:before="93" w:line="600" w:lineRule="exact"/>
        <w:ind w:firstLineChars="209" w:firstLine="672"/>
        <w:outlineLvl w:val="2"/>
        <w:rPr>
          <w:rFonts w:ascii="仿宋" w:eastAsia="仿宋" w:hAnsi="仿宋"/>
          <w:bCs/>
          <w:color w:val="000000"/>
          <w:sz w:val="32"/>
          <w:szCs w:val="32"/>
        </w:rPr>
      </w:pPr>
      <w:r>
        <w:rPr>
          <w:rFonts w:ascii="仿宋" w:eastAsia="仿宋" w:hAnsi="仿宋" w:hint="eastAsia"/>
          <w:bCs/>
          <w:color w:val="000000"/>
          <w:sz w:val="32"/>
          <w:szCs w:val="32"/>
        </w:rPr>
        <w:t>2018年，我部统战工作在区委的领导和市委统战部的指导下，认真贯彻中央统战工作的方针政策，积极完成各项任务，取得明显成效。</w:t>
      </w:r>
    </w:p>
    <w:p>
      <w:pPr>
        <w:pStyle w:val="15"/>
        <w:adjustRightInd w:val="0"/>
        <w:snapToGrid w:val="0"/>
        <w:spacing w:beforeLines="0" w:before="93" w:line="600" w:lineRule="exact"/>
        <w:ind w:firstLineChars="209" w:firstLine="672"/>
        <w:outlineLvl w:val="2"/>
        <w:rPr>
          <w:rFonts w:ascii="仿宋" w:eastAsia="仿宋" w:hAnsi="仿宋"/>
          <w:bCs/>
          <w:color w:val="000000"/>
          <w:sz w:val="32"/>
          <w:szCs w:val="32"/>
        </w:rPr>
      </w:pPr>
      <w:r>
        <w:rPr>
          <w:rFonts w:ascii="仿宋" w:eastAsia="仿宋" w:hAnsi="仿宋" w:hint="eastAsia"/>
          <w:bCs/>
          <w:color w:val="000000"/>
          <w:sz w:val="32"/>
          <w:szCs w:val="32"/>
        </w:rPr>
        <w:t>一是进一步加强统战工作的组织领导，充分认识做好新形势下统战工作的重要性，加强了领导联系党派工作制度，形成了密切联系、相互支持的良好氛围。</w:t>
      </w:r>
    </w:p>
    <w:p>
      <w:pPr>
        <w:pStyle w:val="15"/>
        <w:adjustRightInd w:val="0"/>
        <w:snapToGrid w:val="0"/>
        <w:spacing w:beforeLines="0" w:before="93" w:line="600" w:lineRule="exact"/>
        <w:ind w:firstLineChars="209" w:firstLine="672"/>
        <w:outlineLvl w:val="2"/>
        <w:rPr>
          <w:rFonts w:ascii="仿宋" w:eastAsia="仿宋" w:hAnsi="仿宋"/>
          <w:bCs/>
          <w:color w:val="000000"/>
          <w:sz w:val="32"/>
          <w:szCs w:val="32"/>
        </w:rPr>
      </w:pPr>
      <w:r>
        <w:rPr>
          <w:rFonts w:ascii="仿宋" w:eastAsia="仿宋" w:hAnsi="仿宋" w:hint="eastAsia"/>
          <w:bCs/>
          <w:color w:val="000000"/>
          <w:sz w:val="32"/>
          <w:szCs w:val="32"/>
        </w:rPr>
        <w:t>二是完善了民主监督制度，健全了党外代表人士联系制度，加强联谊交友，完成了党外干部教育任务，提高了党外干部的参政议政、合作共事能力。做好了党外干部的培养、选拔、推荐工作。</w:t>
      </w:r>
    </w:p>
    <w:p>
      <w:pPr>
        <w:pStyle w:val="15"/>
        <w:adjustRightInd w:val="0"/>
        <w:snapToGrid w:val="0"/>
        <w:spacing w:beforeLines="0" w:before="93" w:line="600" w:lineRule="exact"/>
        <w:ind w:firstLineChars="209" w:firstLine="672"/>
        <w:outlineLvl w:val="2"/>
        <w:rPr>
          <w:rFonts w:ascii="仿宋" w:eastAsia="仿宋" w:hAnsi="仿宋"/>
          <w:bCs/>
          <w:color w:val="000000"/>
          <w:sz w:val="32"/>
          <w:szCs w:val="32"/>
        </w:rPr>
      </w:pPr>
      <w:r>
        <w:rPr>
          <w:rFonts w:ascii="仿宋" w:eastAsia="仿宋" w:hAnsi="仿宋" w:hint="eastAsia"/>
          <w:bCs/>
          <w:color w:val="000000"/>
          <w:sz w:val="32"/>
          <w:szCs w:val="32"/>
        </w:rPr>
        <w:t>三是加强了对民族宗教的监管，依法对宗教事务和场点进行管理，引导宗教与社会相适应，引导信教群众发扬“爱教守法、崇尚文明、科技致富”。指导民族村发展产业。</w:t>
      </w:r>
    </w:p>
    <w:p>
      <w:pPr>
        <w:pStyle w:val="2"/>
        <w:rPr>
          <w:rStyle w:val="2Char"/>
          <w:b w:val="0"/>
          <w:bCs w:val="0"/>
        </w:rPr>
      </w:pPr>
      <w:bookmarkStart w:id="21" w:name="_Toc15377200"/>
      <w:bookmarkStart w:id="22" w:name="_Toc15396601"/>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b w:val="0"/>
          <w:bCs w:val="0"/>
        </w:rPr>
        <w:t>构设置</w:t>
      </w:r>
      <w:bookmarkEnd w:id="21"/>
      <w:bookmarkEnd w:id="22"/>
    </w:p>
    <w:p>
      <w:pPr>
        <w:ind w:firstLineChars="250" w:firstLine="800"/>
        <w:rPr>
          <w:rFonts w:ascii="仿宋" w:eastAsia="仿宋" w:hAnsi="仿宋"/>
          <w:sz w:val="32"/>
          <w:szCs w:val="32"/>
        </w:rPr>
      </w:pPr>
      <w:r>
        <w:rPr>
          <w:rFonts w:ascii="仿宋" w:eastAsia="仿宋" w:hAnsi="仿宋" w:hint="eastAsia"/>
          <w:sz w:val="32"/>
          <w:szCs w:val="32"/>
        </w:rPr>
        <w:t>中共广元市利州区委统战部下属二级单位0个，其中行政单位0个，参照公务员法管理的事业单位</w:t>
      </w:r>
      <w:r>
        <w:rPr>
          <w:rFonts w:ascii="仿宋" w:eastAsia="仿宋" w:hAnsi="仿宋" w:hint="eastAsia"/>
          <w:bCs/>
          <w:sz w:val="32"/>
          <w:szCs w:val="32"/>
        </w:rPr>
        <w:t>0</w:t>
      </w:r>
      <w:r>
        <w:rPr>
          <w:rFonts w:ascii="仿宋" w:eastAsia="仿宋" w:hAnsi="仿宋" w:hint="eastAsia"/>
          <w:sz w:val="32"/>
          <w:szCs w:val="32"/>
        </w:rPr>
        <w:t>个，其他事业单位0个。</w:t>
      </w:r>
    </w:p>
    <w:p>
      <w:pPr>
        <w:pStyle w:val="15"/>
        <w:adjustRightInd w:val="0"/>
        <w:snapToGrid w:val="0"/>
        <w:spacing w:beforeLines="0" w:before="93" w:line="600" w:lineRule="exact"/>
        <w:ind w:firstLineChars="209" w:firstLine="672"/>
        <w:rPr>
          <w:rFonts w:ascii="仿宋" w:eastAsia="仿宋" w:hAnsi="仿宋"/>
          <w:color w:val="000000"/>
          <w:sz w:val="32"/>
          <w:szCs w:val="32"/>
        </w:rPr>
      </w:pPr>
      <w:r>
        <w:rPr>
          <w:rFonts w:ascii="仿宋" w:eastAsia="仿宋" w:hAnsi="仿宋" w:hint="eastAsia"/>
          <w:color w:val="000000"/>
          <w:sz w:val="32"/>
          <w:szCs w:val="32"/>
        </w:rPr>
        <w:t>纳入</w:t>
      </w:r>
      <w:r>
        <w:rPr>
          <w:rFonts w:ascii="仿宋" w:eastAsia="仿宋" w:hAnsi="仿宋" w:hint="eastAsia"/>
          <w:sz w:val="32"/>
          <w:szCs w:val="32"/>
        </w:rPr>
        <w:t>中共广元市利州区委统战部</w:t>
      </w:r>
      <w:r>
        <w:rPr>
          <w:rFonts w:ascii="仿宋" w:eastAsia="仿宋" w:hAnsi="仿宋" w:hint="eastAsia"/>
          <w:color w:val="000000"/>
          <w:sz w:val="32"/>
          <w:szCs w:val="32"/>
        </w:rPr>
        <w:t>2018年度部门决算编制范围的二级预算单位包括：</w:t>
      </w:r>
    </w:p>
    <w:p>
      <w:pPr>
        <w:widowControl/>
        <w:ind w:firstLineChars="200" w:firstLine="640"/>
        <w:jc w:val="left"/>
        <w:rPr>
          <w:rFonts w:ascii="仿宋" w:eastAsia="仿宋" w:hAnsi="仿宋"/>
          <w:color w:val="000000"/>
          <w:kern w:val="0"/>
          <w:sz w:val="32"/>
          <w:szCs w:val="32"/>
        </w:rPr>
      </w:pPr>
      <w:r>
        <w:rPr>
          <w:rFonts w:ascii="仿宋" w:eastAsia="仿宋" w:hAnsi="仿宋" w:hint="eastAsia"/>
          <w:color w:val="000000"/>
          <w:sz w:val="32"/>
          <w:szCs w:val="32"/>
        </w:rPr>
        <w:t>无</w:t>
      </w:r>
      <w:r>
        <w:rPr>
          <w:rFonts w:ascii="仿宋" w:eastAsia="仿宋" w:hAnsi="仿宋"/>
          <w:color w:val="000000"/>
          <w:sz w:val="32"/>
          <w:szCs w:val="32"/>
        </w:rPr>
        <w:br w:type="page"/>
      </w:r>
    </w:p>
    <w:p>
      <w:pPr>
        <w:pStyle w:val="1"/>
        <w:ind w:right="440"/>
        <w:jc w:val="right"/>
        <w:rPr>
          <w:rStyle w:val="1Char"/>
          <w:rFonts w:ascii="黑体" w:eastAsia="黑体" w:hAnsi="黑体"/>
          <w:b w:val="0"/>
          <w:bCs w:val="0"/>
        </w:rPr>
      </w:pPr>
      <w:bookmarkStart w:id="23" w:name="_Toc15377204"/>
      <w:bookmarkStart w:id="24" w:name="_Toc15396602"/>
      <w:r>
        <w:rPr>
          <w:rFonts w:ascii="黑体" w:eastAsia="黑体" w:hAnsi="黑体" w:hint="eastAsia"/>
          <w:b w:val="0"/>
          <w:color w:val="000000"/>
        </w:rPr>
        <w:t>第二部分</w:t>
      </w:r>
      <w:r>
        <w:rPr>
          <w:rFonts w:ascii="黑体" w:eastAsia="黑体" w:hAnsi="黑体" w:hint="eastAsia"/>
          <w:color w:val="000000"/>
        </w:rPr>
        <w:t xml:space="preserve"> </w:t>
      </w:r>
      <w:r>
        <w:rPr>
          <w:rStyle w:val="1Char"/>
          <w:rFonts w:ascii="黑体" w:eastAsia="黑体" w:hAnsi="黑体" w:hint="eastAsia"/>
          <w:b w:val="0"/>
          <w:bCs w:val="0"/>
        </w:rPr>
        <w:t>2018年度部门决算情况说明</w:t>
      </w:r>
      <w:bookmarkEnd w:id="23"/>
      <w:bookmarkEnd w:id="24"/>
    </w:p>
    <w:p/>
    <w:p>
      <w:pPr>
        <w:pStyle w:val="28"/>
        <w:numPr>
          <w:ilvl w:val="0"/>
          <w:numId w:val="1"/>
        </w:numPr>
        <w:spacing w:line="600" w:lineRule="exact"/>
        <w:ind w:firstLineChars="0"/>
        <w:outlineLvl w:val="1"/>
        <w:rPr>
          <w:rStyle w:val="2Char"/>
          <w:rFonts w:ascii="黑体" w:eastAsia="黑体" w:hAnsi="黑体"/>
          <w:b w:val="0"/>
        </w:rPr>
      </w:pPr>
      <w:bookmarkStart w:id="25" w:name="_Toc15377205"/>
      <w:bookmarkStart w:id="26"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5"/>
      <w:bookmarkEnd w:id="26"/>
    </w:p>
    <w:p>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2018年度收入总计198.82万元，支出总计189.16万元。与2017年相比，收、支总计各增加49.33万元和58.99万元，增长35%和42</w:t>
      </w:r>
      <w:r>
        <w:rPr>
          <w:rFonts w:ascii="仿宋" w:eastAsia="仿宋" w:hAnsi="仿宋"/>
          <w:color w:val="000000"/>
          <w:sz w:val="32"/>
          <w:szCs w:val="32"/>
        </w:rPr>
        <w:t>%</w:t>
      </w:r>
      <w:r>
        <w:rPr>
          <w:rFonts w:ascii="仿宋" w:eastAsia="仿宋" w:hAnsi="仿宋" w:hint="eastAsia"/>
          <w:color w:val="000000"/>
          <w:sz w:val="32"/>
          <w:szCs w:val="32"/>
        </w:rPr>
        <w:t>。主要变动原因是人员经费增加和项目增加。</w:t>
      </w:r>
    </w:p>
    <w:p>
      <w:pPr>
        <w:outlineLvl w:val="1"/>
        <w:rPr>
          <w:rFonts w:ascii="黑体" w:eastAsia="黑体" w:hAnsi="黑体"/>
          <w:color w:val="000000"/>
          <w:sz w:val="32"/>
          <w:szCs w:val="32"/>
        </w:rPr>
      </w:pPr>
      <w:bookmarkStart w:id="27" w:name="_Toc15396604"/>
      <w:bookmarkStart w:id="28" w:name="_Toc15377206"/>
      <w:r>
        <w:drawing>
          <wp:inline distT="0" distB="0" distL="0" distR="0">
            <wp:extent cx="5276850" cy="2505075"/>
            <wp:effectExtent l="0" t="0" r="0" b="0"/>
            <wp:docPr id="1" name="图表 1"/>
            <wp:cNvGraphicFramePr>
              <a:graphicFrameLocks noChangeAspect="0"/>
            </wp:cNvGraphicFramePr>
            <a:graphic>
              <a:graphicData uri="http://schemas.openxmlformats.org/drawingml/2006/chart">
                <c:chart xmlns:c="http://schemas.openxmlformats.org/drawingml/2006/chart" r:id="rId4"/>
              </a:graphicData>
            </a:graphic>
          </wp:inline>
        </w:drawing>
      </w:r>
    </w:p>
    <w:p>
      <w:pPr>
        <w:spacing w:line="600" w:lineRule="exact"/>
        <w:ind w:firstLineChars="200" w:firstLine="640"/>
        <w:outlineLvl w:val="1"/>
        <w:rPr>
          <w:rStyle w:val="2Char"/>
          <w:rFonts w:ascii="黑体" w:eastAsia="黑体" w:hAnsi="黑体"/>
          <w:b w:val="0"/>
        </w:rPr>
      </w:pPr>
      <w:r>
        <w:rPr>
          <w:rFonts w:ascii="黑体" w:eastAsia="黑体" w:hAnsi="黑体" w:hint="eastAsia"/>
          <w:color w:val="000000"/>
          <w:sz w:val="32"/>
          <w:szCs w:val="32"/>
        </w:rPr>
        <w:t>二、收</w:t>
      </w:r>
      <w:r>
        <w:rPr>
          <w:rStyle w:val="2Char"/>
          <w:rFonts w:ascii="黑体" w:eastAsia="黑体" w:hAnsi="黑体" w:hint="eastAsia"/>
          <w:b w:val="0"/>
        </w:rPr>
        <w:t>入决算情况说明</w:t>
      </w:r>
      <w:bookmarkEnd w:id="27"/>
      <w:bookmarkEnd w:id="28"/>
    </w:p>
    <w:p>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8年本年收入合计198.82万元，其中：一般公共预算财政拨款收入198.82万元，占100</w:t>
      </w:r>
      <w:r>
        <w:rPr>
          <w:rFonts w:ascii="仿宋" w:eastAsia="仿宋" w:hAnsi="仿宋"/>
          <w:color w:val="000000"/>
          <w:sz w:val="32"/>
          <w:szCs w:val="32"/>
        </w:rPr>
        <w:t>%</w:t>
      </w:r>
      <w:r>
        <w:rPr>
          <w:rFonts w:ascii="仿宋" w:eastAsia="仿宋" w:hAnsi="仿宋" w:hint="eastAsia"/>
          <w:color w:val="000000"/>
          <w:sz w:val="32"/>
          <w:szCs w:val="32"/>
        </w:rPr>
        <w:t>；政府性基金预算财政拨款收入0万元；国有资本经营预算财政拨款收入0万元；事业收入0万元；经营收入0万元；附属单位上缴收入0万元；其他收入0万元。</w:t>
      </w:r>
    </w:p>
    <w:p>
      <w:pPr>
        <w:pStyle w:val="28"/>
        <w:numPr>
          <w:ilvl w:val="0"/>
          <w:numId w:val="2"/>
        </w:numPr>
        <w:spacing w:line="600" w:lineRule="exact"/>
        <w:ind w:firstLineChars="0"/>
        <w:outlineLvl w:val="1"/>
        <w:rPr>
          <w:rStyle w:val="2Char"/>
          <w:rFonts w:ascii="黑体" w:eastAsia="黑体" w:hAnsi="黑体"/>
          <w:b w:val="0"/>
        </w:rPr>
      </w:pPr>
      <w:bookmarkStart w:id="29" w:name="_Toc15396605"/>
      <w:bookmarkStart w:id="30"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9"/>
      <w:bookmarkEnd w:id="30"/>
    </w:p>
    <w:p>
      <w:pPr>
        <w:spacing w:line="600" w:lineRule="exact"/>
        <w:ind w:firstLine="640"/>
        <w:rPr>
          <w:rFonts w:ascii="仿宋" w:eastAsia="仿宋" w:hAnsi="仿宋"/>
          <w:color w:val="000000"/>
          <w:sz w:val="32"/>
          <w:szCs w:val="32"/>
          <w:shd w:val="pct10" w:color="auto" w:fill="FFFFFF"/>
        </w:rPr>
      </w:pPr>
      <w:r>
        <w:rPr>
          <w:rFonts w:ascii="仿宋" w:eastAsia="仿宋" w:hAnsi="仿宋"/>
          <w:color w:val="000000"/>
          <w:sz w:val="32"/>
          <w:szCs w:val="32"/>
        </w:rPr>
        <w:t>201</w:t>
      </w:r>
      <w:r>
        <w:rPr>
          <w:rFonts w:ascii="仿宋" w:eastAsia="仿宋" w:hAnsi="仿宋" w:hint="eastAsia"/>
          <w:color w:val="000000"/>
          <w:sz w:val="32"/>
          <w:szCs w:val="32"/>
        </w:rPr>
        <w:t>8年本年支出合计189.16万元，其中：基本支出158.86万元，占84</w:t>
      </w:r>
      <w:r>
        <w:rPr>
          <w:rFonts w:ascii="仿宋" w:eastAsia="仿宋" w:hAnsi="仿宋"/>
          <w:color w:val="000000"/>
          <w:sz w:val="32"/>
          <w:szCs w:val="32"/>
        </w:rPr>
        <w:t>%</w:t>
      </w:r>
      <w:r>
        <w:rPr>
          <w:rFonts w:ascii="仿宋" w:eastAsia="仿宋" w:hAnsi="仿宋" w:hint="eastAsia"/>
          <w:color w:val="000000"/>
          <w:sz w:val="32"/>
          <w:szCs w:val="32"/>
        </w:rPr>
        <w:t>；项目支出30.3万元，占16</w:t>
      </w:r>
      <w:r>
        <w:rPr>
          <w:rFonts w:ascii="仿宋" w:eastAsia="仿宋" w:hAnsi="仿宋"/>
          <w:color w:val="000000"/>
          <w:sz w:val="32"/>
          <w:szCs w:val="32"/>
        </w:rPr>
        <w:t>%</w:t>
      </w:r>
      <w:r>
        <w:rPr>
          <w:rFonts w:ascii="仿宋" w:eastAsia="仿宋" w:hAnsi="仿宋" w:hint="eastAsia"/>
          <w:color w:val="000000"/>
          <w:sz w:val="32"/>
          <w:szCs w:val="32"/>
        </w:rPr>
        <w:t>；上缴上级支出0万元；经营支出0万元；对附属单位补助支出0万元。</w:t>
      </w:r>
    </w:p>
    <w:p>
      <w:pPr>
        <w:ind w:firstLineChars="200" w:firstLine="640"/>
        <w:outlineLvl w:val="1"/>
        <w:rPr>
          <w:rFonts w:ascii="黑体" w:eastAsia="黑体" w:hAnsi="黑体"/>
          <w:color w:val="000000"/>
          <w:sz w:val="32"/>
          <w:szCs w:val="32"/>
        </w:rPr>
      </w:pPr>
      <w:bookmarkStart w:id="31" w:name="_Toc15396606"/>
      <w:bookmarkStart w:id="32" w:name="_Toc15377208"/>
      <w:r>
        <w:rPr>
          <w:rFonts w:ascii="仿宋" w:eastAsia="仿宋" w:hAnsi="仿宋"/>
          <w:color w:val="000000"/>
          <w:sz w:val="32"/>
          <w:szCs w:val="32"/>
          <w14:textFill>
            <w14:solidFill>
              <w14:srgbClr w14:val="000000"/>
            </w14:solidFill>
          </w14:textFill>
        </w:rPr>
        <w:drawing>
          <wp:inline distT="0" distB="0" distL="0" distR="0">
            <wp:extent cx="5274310" cy="3076575"/>
            <wp:effectExtent l="0" t="0" r="0" b="0"/>
            <wp:docPr id="2" name="图表 2"/>
            <wp:cNvGraphicFramePr>
              <a:graphicFrameLocks noChangeAspect="0"/>
            </wp:cNvGraphicFramePr>
            <a:graphic>
              <a:graphicData uri="http://schemas.openxmlformats.org/drawingml/2006/chart">
                <c:chart xmlns:c="http://schemas.openxmlformats.org/drawingml/2006/chart" r:id="rId5"/>
              </a:graphicData>
            </a:graphic>
          </wp:inline>
        </w:drawing>
      </w:r>
    </w:p>
    <w:p>
      <w:pPr>
        <w:spacing w:line="600" w:lineRule="exact"/>
        <w:ind w:firstLineChars="200" w:firstLine="640"/>
        <w:outlineLvl w:val="1"/>
        <w:rPr>
          <w:rStyle w:val="2Char"/>
          <w:rFonts w:ascii="黑体" w:eastAsia="黑体" w:hAnsi="黑体"/>
          <w:b w:val="0"/>
        </w:rPr>
      </w:pPr>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1"/>
      <w:bookmarkEnd w:id="32"/>
    </w:p>
    <w:p>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2018年度收入总计198.82万元，支出总计189.16万元。与2017年相比，收、支总计各增加49.33万元和58.99万元，增长35%和42</w:t>
      </w:r>
      <w:r>
        <w:rPr>
          <w:rFonts w:ascii="仿宋" w:eastAsia="仿宋" w:hAnsi="仿宋"/>
          <w:color w:val="000000"/>
          <w:sz w:val="32"/>
          <w:szCs w:val="32"/>
        </w:rPr>
        <w:t>%</w:t>
      </w:r>
      <w:r>
        <w:rPr>
          <w:rFonts w:ascii="仿宋" w:eastAsia="仿宋" w:hAnsi="仿宋" w:hint="eastAsia"/>
          <w:color w:val="000000"/>
          <w:sz w:val="32"/>
          <w:szCs w:val="32"/>
        </w:rPr>
        <w:t>。主要变动原因是人员经费增加和项目增加。</w:t>
      </w:r>
    </w:p>
    <w:p>
      <w:pPr>
        <w:outlineLvl w:val="1"/>
        <w:rPr>
          <w:rFonts w:ascii="黑体" w:eastAsia="黑体" w:hAnsi="黑体"/>
          <w:color w:val="000000"/>
          <w:sz w:val="32"/>
          <w:szCs w:val="32"/>
        </w:rPr>
      </w:pPr>
      <w:r>
        <w:drawing>
          <wp:inline distT="0" distB="0" distL="0" distR="0">
            <wp:extent cx="5276850" cy="2505075"/>
            <wp:effectExtent l="0" t="0" r="0" b="0"/>
            <wp:docPr id="3" name="图表 3"/>
            <wp:cNvGraphicFramePr>
              <a:graphicFrameLocks noChangeAspect="0"/>
            </wp:cNvGraphicFramePr>
            <a:graphic>
              <a:graphicData uri="http://schemas.openxmlformats.org/drawingml/2006/chart">
                <c:chart xmlns:c="http://schemas.openxmlformats.org/drawingml/2006/chart" r:id="rId6"/>
              </a:graphicData>
            </a:graphic>
          </wp:inline>
        </w:drawing>
      </w:r>
    </w:p>
    <w:p>
      <w:pPr>
        <w:spacing w:line="600" w:lineRule="exact"/>
        <w:ind w:firstLineChars="200" w:firstLine="640"/>
        <w:outlineLvl w:val="1"/>
        <w:rPr>
          <w:rStyle w:val="2Char"/>
          <w:rFonts w:ascii="黑体" w:eastAsia="黑体" w:hAnsi="黑体"/>
          <w:b w:val="0"/>
        </w:rPr>
      </w:pPr>
      <w:bookmarkStart w:id="33" w:name="_Toc15377209"/>
      <w:bookmarkStart w:id="34"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3"/>
      <w:bookmarkEnd w:id="34"/>
    </w:p>
    <w:p>
      <w:pPr>
        <w:spacing w:line="600" w:lineRule="exact"/>
        <w:ind w:firstLineChars="200" w:firstLine="640"/>
        <w:outlineLvl w:val="2"/>
        <w:rPr>
          <w:rFonts w:ascii="仿宋" w:eastAsia="仿宋" w:hAnsi="仿宋"/>
          <w:b/>
          <w:color w:val="000000"/>
          <w:sz w:val="32"/>
          <w:szCs w:val="32"/>
        </w:rPr>
      </w:pPr>
      <w:bookmarkStart w:id="35" w:name="_Toc15377210"/>
      <w:r>
        <w:rPr>
          <w:rFonts w:ascii="仿宋" w:eastAsia="仿宋" w:hAnsi="仿宋" w:hint="eastAsia"/>
          <w:b/>
          <w:color w:val="000000"/>
          <w:sz w:val="32"/>
          <w:szCs w:val="32"/>
        </w:rPr>
        <w:t>（一）一般公共预算财政拨款支出决算总体情况</w:t>
      </w:r>
      <w:bookmarkEnd w:id="35"/>
    </w:p>
    <w:p>
      <w:pPr>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8年一般公共预算财政拨款支出198.82万元，占本年支出合计的100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7年相比，一般公共预算财政拨款增加58.99万元，增长42</w:t>
      </w:r>
      <w:r>
        <w:rPr>
          <w:rFonts w:ascii="仿宋" w:eastAsia="仿宋" w:hAnsi="仿宋"/>
          <w:color w:val="000000"/>
          <w:sz w:val="32"/>
          <w:szCs w:val="32"/>
        </w:rPr>
        <w:t xml:space="preserve"> %</w:t>
      </w:r>
      <w:r>
        <w:rPr>
          <w:rFonts w:ascii="仿宋" w:eastAsia="仿宋" w:hAnsi="仿宋" w:hint="eastAsia"/>
          <w:color w:val="000000"/>
          <w:sz w:val="32"/>
          <w:szCs w:val="32"/>
        </w:rPr>
        <w:t>。主要变动原因是人员经费增加和项目增加。</w:t>
      </w:r>
    </w:p>
    <w:p>
      <w:pPr>
        <w:ind w:firstLineChars="200" w:firstLine="640"/>
        <w:outlineLvl w:val="2"/>
        <w:rPr>
          <w:rFonts w:ascii="仿宋" w:eastAsia="仿宋" w:hAnsi="仿宋"/>
          <w:color w:val="000000"/>
          <w:sz w:val="32"/>
          <w:szCs w:val="32"/>
          <w14:textFill>
            <w14:solidFill>
              <w14:srgbClr w14:val="000000"/>
            </w14:solidFill>
          </w14:textFill>
        </w:rPr>
      </w:pPr>
      <w:bookmarkStart w:id="36" w:name="_Toc15377211"/>
      <w:r>
        <w:rPr>
          <w:rFonts w:ascii="仿宋" w:eastAsia="仿宋" w:hAnsi="仿宋" w:hint="eastAsia"/>
          <w:color w:val="000000"/>
          <w:sz w:val="32"/>
          <w:szCs w:val="32"/>
          <w14:textFill>
            <w14:solidFill>
              <w14:srgbClr w14:val="000000"/>
            </w14:solidFill>
          </w14:textFill>
        </w:rPr>
        <w:drawing>
          <wp:inline distT="0" distB="0" distL="0" distR="0">
            <wp:extent cx="5274310" cy="3076575"/>
            <wp:effectExtent l="0" t="0" r="0" b="0"/>
            <wp:docPr id="4" name="图表 4"/>
            <wp:cNvGraphicFramePr>
              <a:graphicFrameLocks noChangeAspect="0"/>
            </wp:cNvGraphicFramePr>
            <a:graphic>
              <a:graphicData uri="http://schemas.openxmlformats.org/drawingml/2006/chart">
                <c:chart xmlns:c="http://schemas.openxmlformats.org/drawingml/2006/chart" r:id="rId7"/>
              </a:graphicData>
            </a:graphic>
          </wp:inline>
        </w:drawing>
      </w:r>
    </w:p>
    <w:p>
      <w:pPr>
        <w:ind w:firstLineChars="200" w:firstLine="640"/>
        <w:outlineLvl w:val="2"/>
        <w:rPr>
          <w:rFonts w:ascii="仿宋" w:eastAsia="仿宋" w:hAnsi="仿宋"/>
          <w:b/>
          <w:color w:val="000000"/>
          <w:sz w:val="32"/>
          <w:szCs w:val="32"/>
        </w:rPr>
      </w:pPr>
      <w:r>
        <w:rPr>
          <w:rFonts w:ascii="仿宋" w:eastAsia="仿宋" w:hAnsi="仿宋" w:hint="eastAsia"/>
          <w:b/>
          <w:color w:val="000000"/>
          <w:sz w:val="32"/>
          <w:szCs w:val="32"/>
        </w:rPr>
        <w:t>（二）一般公共预算财政拨款支出决算结构情况</w:t>
      </w:r>
      <w:bookmarkEnd w:id="36"/>
    </w:p>
    <w:p>
      <w:pPr>
        <w:spacing w:line="600" w:lineRule="exact"/>
        <w:ind w:firstLine="640"/>
        <w:rPr>
          <w:rFonts w:ascii="仿宋" w:eastAsia="仿宋" w:hAnsi="仿宋"/>
          <w:color w:val="auto"/>
          <w:sz w:val="32"/>
          <w:szCs w:val="32"/>
        </w:rPr>
      </w:pPr>
      <w:r>
        <w:rPr>
          <w:rFonts w:ascii="仿宋" w:eastAsia="仿宋" w:hAnsi="仿宋"/>
          <w:color w:val="auto"/>
          <w:sz w:val="32"/>
          <w:szCs w:val="32"/>
        </w:rPr>
        <w:t>201</w:t>
      </w:r>
      <w:r>
        <w:rPr>
          <w:rFonts w:ascii="仿宋" w:eastAsia="仿宋" w:hAnsi="仿宋" w:hint="eastAsia"/>
          <w:color w:val="auto"/>
          <w:sz w:val="32"/>
          <w:szCs w:val="32"/>
        </w:rPr>
        <w:t>8年一般公共预算财政拨款支出189.16万元，主要用于以下方面</w:t>
      </w:r>
      <w:r>
        <w:rPr>
          <w:rFonts w:ascii="仿宋" w:eastAsia="仿宋" w:hAnsi="仿宋"/>
          <w:color w:val="auto"/>
          <w:sz w:val="32"/>
          <w:szCs w:val="32"/>
        </w:rPr>
        <w:t>:</w:t>
      </w:r>
      <w:r>
        <w:rPr>
          <w:rFonts w:ascii="仿宋" w:eastAsia="仿宋" w:hAnsi="仿宋" w:hint="eastAsia"/>
          <w:b/>
          <w:color w:val="auto"/>
          <w:sz w:val="32"/>
          <w:szCs w:val="32"/>
        </w:rPr>
        <w:t>一般公共服务（201）</w:t>
      </w:r>
      <w:r>
        <w:rPr>
          <w:rFonts w:ascii="仿宋" w:eastAsia="仿宋" w:hAnsi="仿宋" w:hint="eastAsia"/>
          <w:color w:val="auto"/>
          <w:sz w:val="32"/>
          <w:szCs w:val="32"/>
        </w:rPr>
        <w:t>支出160.04万元，占84.6</w:t>
      </w:r>
      <w:r>
        <w:rPr>
          <w:rFonts w:ascii="仿宋" w:eastAsia="仿宋" w:hAnsi="仿宋"/>
          <w:color w:val="auto"/>
          <w:sz w:val="32"/>
          <w:szCs w:val="32"/>
        </w:rPr>
        <w:t>%</w:t>
      </w:r>
      <w:r>
        <w:rPr>
          <w:rFonts w:ascii="仿宋" w:eastAsia="仿宋" w:hAnsi="仿宋" w:hint="eastAsia"/>
          <w:color w:val="auto"/>
          <w:sz w:val="32"/>
          <w:szCs w:val="32"/>
        </w:rPr>
        <w:t>；</w:t>
      </w:r>
      <w:r>
        <w:rPr>
          <w:rFonts w:ascii="仿宋" w:eastAsia="仿宋" w:hAnsi="仿宋" w:hint="eastAsia"/>
          <w:b/>
          <w:color w:val="auto"/>
          <w:sz w:val="32"/>
          <w:szCs w:val="32"/>
        </w:rPr>
        <w:t>社会保障和就业（208）</w:t>
      </w:r>
      <w:r>
        <w:rPr>
          <w:rFonts w:ascii="仿宋" w:eastAsia="仿宋" w:hAnsi="仿宋" w:hint="eastAsia"/>
          <w:color w:val="auto"/>
          <w:sz w:val="32"/>
          <w:szCs w:val="32"/>
        </w:rPr>
        <w:t>支出15.34万元，占8.1</w:t>
      </w:r>
      <w:r>
        <w:rPr>
          <w:rFonts w:ascii="仿宋" w:eastAsia="仿宋" w:hAnsi="仿宋"/>
          <w:color w:val="auto"/>
          <w:sz w:val="32"/>
          <w:szCs w:val="32"/>
        </w:rPr>
        <w:t>%</w:t>
      </w:r>
      <w:r>
        <w:rPr>
          <w:rFonts w:ascii="仿宋" w:eastAsia="仿宋" w:hAnsi="仿宋" w:hint="eastAsia"/>
          <w:color w:val="auto"/>
          <w:sz w:val="32"/>
          <w:szCs w:val="32"/>
        </w:rPr>
        <w:t>；医疗卫生（210）支出5.51万元，占2.9</w:t>
      </w:r>
      <w:r>
        <w:rPr>
          <w:rFonts w:ascii="仿宋" w:eastAsia="仿宋" w:hAnsi="仿宋"/>
          <w:color w:val="auto"/>
          <w:sz w:val="32"/>
          <w:szCs w:val="32"/>
        </w:rPr>
        <w:t>%</w:t>
      </w:r>
      <w:r>
        <w:rPr>
          <w:rFonts w:ascii="仿宋" w:eastAsia="仿宋" w:hAnsi="仿宋" w:hint="eastAsia"/>
          <w:color w:val="auto"/>
          <w:sz w:val="32"/>
          <w:szCs w:val="32"/>
        </w:rPr>
        <w:t>；住房保障（221）支出7.77万元，占4.1</w:t>
      </w:r>
      <w:r>
        <w:rPr>
          <w:rFonts w:ascii="仿宋" w:eastAsia="仿宋" w:hAnsi="仿宋"/>
          <w:color w:val="auto"/>
          <w:sz w:val="32"/>
          <w:szCs w:val="32"/>
        </w:rPr>
        <w:t>%</w:t>
      </w:r>
      <w:r>
        <w:rPr>
          <w:rFonts w:ascii="仿宋" w:eastAsia="仿宋" w:hAnsi="仿宋" w:hint="eastAsia"/>
          <w:color w:val="auto"/>
          <w:sz w:val="32"/>
          <w:szCs w:val="32"/>
        </w:rPr>
        <w:t>：农林水（213）支出0.5万元，占0.3%。</w:t>
      </w:r>
    </w:p>
    <w:p>
      <w:pPr>
        <w:spacing w:line="600" w:lineRule="exact"/>
        <w:ind w:firstLineChars="200" w:firstLine="640"/>
        <w:outlineLvl w:val="2"/>
        <w:rPr>
          <w:rFonts w:ascii="仿宋" w:eastAsia="仿宋" w:hAnsi="仿宋"/>
          <w:b/>
          <w:color w:val="auto"/>
          <w:sz w:val="32"/>
          <w:szCs w:val="32"/>
        </w:rPr>
      </w:pPr>
      <w:bookmarkStart w:id="37" w:name="_Toc15377212"/>
      <w:r>
        <w:rPr>
          <w:rFonts w:ascii="仿宋" w:eastAsia="仿宋" w:hAnsi="仿宋" w:hint="eastAsia"/>
          <w:b/>
          <w:color w:val="auto"/>
          <w:sz w:val="32"/>
          <w:szCs w:val="32"/>
        </w:rPr>
        <w:t>（三）一般公共预算财政拨款支出决算具体情况</w:t>
      </w:r>
      <w:bookmarkEnd w:id="37"/>
    </w:p>
    <w:p>
      <w:pPr>
        <w:spacing w:line="600" w:lineRule="exact"/>
        <w:ind w:firstLineChars="200" w:firstLine="640"/>
        <w:outlineLvl w:val="2"/>
        <w:rPr>
          <w:rFonts w:ascii="仿宋" w:eastAsia="仿宋" w:hAnsi="仿宋"/>
          <w:color w:val="auto"/>
          <w:sz w:val="32"/>
          <w:szCs w:val="32"/>
        </w:rPr>
      </w:pPr>
      <w:bookmarkStart w:id="38" w:name="_Toc15377213"/>
      <w:bookmarkStart w:id="39" w:name="_Toc15377444"/>
      <w:bookmarkStart w:id="40" w:name="_Toc15378460"/>
      <w:r>
        <w:rPr>
          <w:rFonts w:ascii="仿宋" w:eastAsia="仿宋" w:hAnsi="仿宋" w:hint="eastAsia"/>
          <w:b/>
          <w:color w:val="auto"/>
          <w:sz w:val="32"/>
          <w:szCs w:val="32"/>
        </w:rPr>
        <w:t>2018年般公共预算支出决算数为189.16</w:t>
      </w:r>
      <w:r>
        <w:rPr>
          <w:rFonts w:ascii="仿宋" w:eastAsia="仿宋" w:hAnsi="仿宋" w:hint="eastAsia"/>
          <w:color w:val="auto"/>
          <w:sz w:val="32"/>
          <w:szCs w:val="32"/>
        </w:rPr>
        <w:t>，</w:t>
      </w:r>
      <w:r>
        <w:rPr>
          <w:rStyle w:val="22"/>
          <w:rFonts w:ascii="仿宋" w:eastAsia="仿宋" w:hAnsi="仿宋" w:hint="eastAsia"/>
          <w:bCs/>
          <w:color w:val="auto"/>
          <w:sz w:val="32"/>
          <w:szCs w:val="32"/>
        </w:rPr>
        <w:t>完成预算95.14</w:t>
      </w:r>
      <w:r>
        <w:rPr>
          <w:rStyle w:val="22"/>
          <w:rFonts w:ascii="仿宋" w:eastAsia="仿宋" w:hAnsi="仿宋"/>
          <w:bCs/>
          <w:color w:val="auto"/>
          <w:sz w:val="32"/>
          <w:szCs w:val="32"/>
        </w:rPr>
        <w:t>%</w:t>
      </w:r>
      <w:r>
        <w:rPr>
          <w:rStyle w:val="22"/>
          <w:rFonts w:ascii="仿宋" w:eastAsia="仿宋" w:hAnsi="仿宋" w:hint="eastAsia"/>
          <w:bCs/>
          <w:color w:val="auto"/>
          <w:sz w:val="32"/>
          <w:szCs w:val="32"/>
        </w:rPr>
        <w:t>。其中：</w:t>
      </w:r>
      <w:bookmarkEnd w:id="38"/>
      <w:bookmarkEnd w:id="39"/>
      <w:bookmarkEnd w:id="40"/>
    </w:p>
    <w:p>
      <w:pPr>
        <w:spacing w:line="600" w:lineRule="exact"/>
        <w:ind w:firstLineChars="200" w:firstLine="640"/>
        <w:rPr>
          <w:rFonts w:ascii="仿宋" w:eastAsia="仿宋" w:hAnsi="仿宋"/>
          <w:b/>
          <w:color w:val="auto"/>
          <w:sz w:val="32"/>
          <w:szCs w:val="32"/>
        </w:rPr>
      </w:pPr>
      <w:r>
        <w:rPr>
          <w:rStyle w:val="22"/>
          <w:rFonts w:ascii="仿宋" w:eastAsia="仿宋" w:hAnsi="仿宋"/>
          <w:bCs/>
          <w:color w:val="auto"/>
          <w:sz w:val="32"/>
          <w:szCs w:val="32"/>
        </w:rPr>
        <w:t>1.</w:t>
      </w:r>
      <w:r>
        <w:rPr>
          <w:rStyle w:val="22"/>
          <w:rFonts w:ascii="仿宋" w:eastAsia="仿宋" w:hAnsi="仿宋" w:hint="eastAsia"/>
          <w:bCs/>
          <w:color w:val="auto"/>
          <w:sz w:val="32"/>
          <w:szCs w:val="32"/>
        </w:rPr>
        <w:t>一般公共服务（类）201（款）34（项）01</w:t>
      </w:r>
      <w:r>
        <w:rPr>
          <w:rStyle w:val="22"/>
          <w:rFonts w:ascii="仿宋" w:eastAsia="仿宋" w:hAnsi="仿宋"/>
          <w:bCs/>
          <w:color w:val="auto"/>
          <w:sz w:val="32"/>
          <w:szCs w:val="32"/>
        </w:rPr>
        <w:t>:</w:t>
      </w:r>
      <w:r>
        <w:rPr>
          <w:rStyle w:val="22"/>
          <w:rFonts w:ascii="仿宋" w:eastAsia="仿宋" w:hAnsi="仿宋"/>
          <w:b w:val="0"/>
          <w:bCs/>
          <w:color w:val="auto"/>
          <w:sz w:val="32"/>
          <w:szCs w:val="32"/>
        </w:rPr>
        <w:t xml:space="preserve"> </w:t>
      </w:r>
      <w:r>
        <w:rPr>
          <w:rStyle w:val="22"/>
          <w:rFonts w:ascii="仿宋" w:eastAsia="仿宋" w:hAnsi="仿宋" w:hint="eastAsia"/>
          <w:b w:val="0"/>
          <w:bCs/>
          <w:color w:val="auto"/>
          <w:sz w:val="32"/>
          <w:szCs w:val="32"/>
        </w:rPr>
        <w:t>支出决算为130.24万元，完成预算91.95</w:t>
      </w:r>
      <w:r>
        <w:rPr>
          <w:rStyle w:val="22"/>
          <w:rFonts w:ascii="仿宋" w:eastAsia="仿宋" w:hAnsi="仿宋"/>
          <w:b w:val="0"/>
          <w:bCs/>
          <w:color w:val="auto"/>
          <w:sz w:val="32"/>
          <w:szCs w:val="32"/>
        </w:rPr>
        <w:t>%</w:t>
      </w:r>
      <w:r>
        <w:rPr>
          <w:rStyle w:val="22"/>
          <w:rFonts w:ascii="仿宋" w:eastAsia="仿宋" w:hAnsi="仿宋" w:hint="eastAsia"/>
          <w:b w:val="0"/>
          <w:bCs/>
          <w:color w:val="auto"/>
          <w:sz w:val="32"/>
          <w:szCs w:val="32"/>
        </w:rPr>
        <w:t>，决算数小于预算数的主要原因是部分工作未在年终完成，所以存在未全额支付。</w:t>
      </w:r>
    </w:p>
    <w:p>
      <w:pPr>
        <w:spacing w:line="600" w:lineRule="exact"/>
        <w:ind w:firstLineChars="200" w:firstLine="640"/>
        <w:rPr>
          <w:rFonts w:ascii="仿宋" w:eastAsia="仿宋" w:hAnsi="仿宋"/>
          <w:b/>
          <w:color w:val="auto"/>
          <w:sz w:val="32"/>
          <w:szCs w:val="32"/>
        </w:rPr>
      </w:pPr>
      <w:r>
        <w:rPr>
          <w:rStyle w:val="22"/>
          <w:rFonts w:ascii="仿宋" w:eastAsia="仿宋" w:hAnsi="仿宋"/>
          <w:bCs/>
          <w:color w:val="auto"/>
          <w:sz w:val="32"/>
          <w:szCs w:val="32"/>
        </w:rPr>
        <w:t>2.</w:t>
      </w:r>
      <w:r>
        <w:rPr>
          <w:rFonts w:ascii="仿宋" w:eastAsia="仿宋" w:hAnsi="仿宋"/>
          <w:b/>
          <w:color w:val="auto"/>
          <w:sz w:val="32"/>
          <w:szCs w:val="32"/>
        </w:rPr>
        <w:t xml:space="preserve"> </w:t>
      </w:r>
      <w:r>
        <w:rPr>
          <w:rStyle w:val="22"/>
          <w:rFonts w:ascii="仿宋" w:eastAsia="仿宋" w:hAnsi="仿宋" w:hint="eastAsia"/>
          <w:bCs/>
          <w:color w:val="auto"/>
          <w:sz w:val="32"/>
          <w:szCs w:val="32"/>
        </w:rPr>
        <w:t>一般公共服务（类）201（款）34（项）02：支出决算为29.8万元，完成预算100%，决算数等于预算数。</w:t>
      </w:r>
    </w:p>
    <w:p>
      <w:pPr>
        <w:spacing w:line="600" w:lineRule="exact"/>
        <w:ind w:firstLineChars="200" w:firstLine="640"/>
        <w:rPr>
          <w:rStyle w:val="22"/>
          <w:rFonts w:ascii="仿宋" w:eastAsia="仿宋" w:hAnsi="仿宋"/>
          <w:b w:val="0"/>
          <w:bCs/>
          <w:color w:val="auto"/>
          <w:sz w:val="32"/>
          <w:szCs w:val="32"/>
        </w:rPr>
      </w:pPr>
      <w:r>
        <w:rPr>
          <w:rStyle w:val="22"/>
          <w:rFonts w:ascii="仿宋" w:eastAsia="仿宋" w:hAnsi="仿宋"/>
          <w:bCs/>
          <w:color w:val="auto"/>
          <w:sz w:val="32"/>
          <w:szCs w:val="32"/>
        </w:rPr>
        <w:t>5.</w:t>
      </w:r>
      <w:r>
        <w:rPr>
          <w:rStyle w:val="22"/>
          <w:rFonts w:ascii="仿宋" w:eastAsia="仿宋" w:hAnsi="仿宋" w:hint="eastAsia"/>
          <w:bCs/>
          <w:color w:val="auto"/>
          <w:sz w:val="32"/>
          <w:szCs w:val="32"/>
        </w:rPr>
        <w:t>社会保障和就业（类）208（款）05（项）05</w:t>
      </w:r>
      <w:r>
        <w:rPr>
          <w:rStyle w:val="22"/>
          <w:rFonts w:ascii="仿宋" w:eastAsia="仿宋" w:hAnsi="仿宋"/>
          <w:bCs/>
          <w:color w:val="auto"/>
          <w:sz w:val="32"/>
          <w:szCs w:val="32"/>
        </w:rPr>
        <w:t>:</w:t>
      </w:r>
      <w:r>
        <w:rPr>
          <w:rStyle w:val="22"/>
          <w:rFonts w:ascii="仿宋" w:eastAsia="仿宋" w:hAnsi="仿宋"/>
          <w:b w:val="0"/>
          <w:bCs/>
          <w:color w:val="auto"/>
          <w:sz w:val="32"/>
          <w:szCs w:val="32"/>
        </w:rPr>
        <w:t xml:space="preserve"> </w:t>
      </w:r>
      <w:r>
        <w:rPr>
          <w:rStyle w:val="22"/>
          <w:rFonts w:ascii="仿宋" w:eastAsia="仿宋" w:hAnsi="仿宋" w:hint="eastAsia"/>
          <w:b w:val="0"/>
          <w:bCs/>
          <w:color w:val="auto"/>
          <w:sz w:val="32"/>
          <w:szCs w:val="32"/>
        </w:rPr>
        <w:t>支出决算为13.5万元，完成预算100</w:t>
      </w:r>
      <w:r>
        <w:rPr>
          <w:rStyle w:val="22"/>
          <w:rFonts w:ascii="仿宋" w:eastAsia="仿宋" w:hAnsi="仿宋"/>
          <w:b w:val="0"/>
          <w:bCs/>
          <w:color w:val="auto"/>
          <w:sz w:val="32"/>
          <w:szCs w:val="32"/>
        </w:rPr>
        <w:t>%</w:t>
      </w:r>
      <w:r>
        <w:rPr>
          <w:rStyle w:val="22"/>
          <w:rFonts w:ascii="仿宋" w:eastAsia="仿宋" w:hAnsi="仿宋" w:hint="eastAsia"/>
          <w:b w:val="0"/>
          <w:bCs/>
          <w:color w:val="auto"/>
          <w:sz w:val="32"/>
          <w:szCs w:val="32"/>
        </w:rPr>
        <w:t>，</w:t>
      </w:r>
      <w:r>
        <w:rPr>
          <w:rStyle w:val="22"/>
          <w:rFonts w:ascii="仿宋" w:eastAsia="仿宋" w:hAnsi="仿宋" w:hint="eastAsia"/>
          <w:bCs/>
          <w:color w:val="auto"/>
          <w:sz w:val="32"/>
          <w:szCs w:val="32"/>
        </w:rPr>
        <w:t>决算数等于预算数</w:t>
      </w:r>
      <w:r>
        <w:rPr>
          <w:rStyle w:val="22"/>
          <w:rFonts w:ascii="仿宋" w:eastAsia="仿宋" w:hAnsi="仿宋" w:hint="eastAsia"/>
          <w:b w:val="0"/>
          <w:bCs/>
          <w:color w:val="auto"/>
          <w:sz w:val="32"/>
          <w:szCs w:val="32"/>
        </w:rPr>
        <w:t>。</w:t>
      </w:r>
    </w:p>
    <w:p>
      <w:pPr>
        <w:spacing w:line="600" w:lineRule="exact"/>
        <w:ind w:firstLineChars="200" w:firstLine="640"/>
        <w:rPr>
          <w:rFonts w:ascii="仿宋" w:eastAsia="仿宋" w:hAnsi="仿宋"/>
          <w:b/>
          <w:color w:val="auto"/>
          <w:sz w:val="32"/>
          <w:szCs w:val="32"/>
        </w:rPr>
      </w:pPr>
      <w:r>
        <w:rPr>
          <w:rStyle w:val="22"/>
          <w:rFonts w:ascii="仿宋" w:eastAsia="仿宋" w:hAnsi="仿宋" w:hint="eastAsia"/>
          <w:b w:val="0"/>
          <w:bCs/>
          <w:color w:val="auto"/>
          <w:sz w:val="32"/>
          <w:szCs w:val="32"/>
        </w:rPr>
        <w:t>6.</w:t>
      </w:r>
      <w:r>
        <w:rPr>
          <w:rStyle w:val="22"/>
          <w:rFonts w:ascii="仿宋" w:eastAsia="仿宋" w:hAnsi="仿宋" w:hint="eastAsia"/>
          <w:bCs/>
          <w:color w:val="auto"/>
          <w:sz w:val="32"/>
          <w:szCs w:val="32"/>
        </w:rPr>
        <w:t xml:space="preserve"> 社会保障和就业（类）208（款）05（项）06</w:t>
      </w:r>
      <w:r>
        <w:rPr>
          <w:rStyle w:val="22"/>
          <w:rFonts w:ascii="仿宋" w:eastAsia="仿宋" w:hAnsi="仿宋"/>
          <w:bCs/>
          <w:color w:val="auto"/>
          <w:sz w:val="32"/>
          <w:szCs w:val="32"/>
        </w:rPr>
        <w:t>:</w:t>
      </w:r>
      <w:r>
        <w:rPr>
          <w:rStyle w:val="22"/>
          <w:rFonts w:ascii="仿宋" w:eastAsia="仿宋" w:hAnsi="仿宋"/>
          <w:b w:val="0"/>
          <w:bCs/>
          <w:color w:val="auto"/>
          <w:sz w:val="32"/>
          <w:szCs w:val="32"/>
        </w:rPr>
        <w:t xml:space="preserve"> </w:t>
      </w:r>
      <w:r>
        <w:rPr>
          <w:rStyle w:val="22"/>
          <w:rFonts w:ascii="仿宋" w:eastAsia="仿宋" w:hAnsi="仿宋" w:hint="eastAsia"/>
          <w:b w:val="0"/>
          <w:bCs/>
          <w:color w:val="auto"/>
          <w:sz w:val="32"/>
          <w:szCs w:val="32"/>
        </w:rPr>
        <w:t>支出决算为1.84万元，完成预算100</w:t>
      </w:r>
      <w:r>
        <w:rPr>
          <w:rStyle w:val="22"/>
          <w:rFonts w:ascii="仿宋" w:eastAsia="仿宋" w:hAnsi="仿宋"/>
          <w:b w:val="0"/>
          <w:bCs/>
          <w:color w:val="auto"/>
          <w:sz w:val="32"/>
          <w:szCs w:val="32"/>
        </w:rPr>
        <w:t>%</w:t>
      </w:r>
      <w:r>
        <w:rPr>
          <w:rStyle w:val="22"/>
          <w:rFonts w:ascii="仿宋" w:eastAsia="仿宋" w:hAnsi="仿宋" w:hint="eastAsia"/>
          <w:b w:val="0"/>
          <w:bCs/>
          <w:color w:val="auto"/>
          <w:sz w:val="32"/>
          <w:szCs w:val="32"/>
        </w:rPr>
        <w:t>，</w:t>
      </w:r>
      <w:r>
        <w:rPr>
          <w:rStyle w:val="22"/>
          <w:rFonts w:ascii="仿宋" w:eastAsia="仿宋" w:hAnsi="仿宋" w:hint="eastAsia"/>
          <w:bCs/>
          <w:color w:val="auto"/>
          <w:sz w:val="32"/>
          <w:szCs w:val="32"/>
        </w:rPr>
        <w:t>决算数等于预算数</w:t>
      </w:r>
      <w:r>
        <w:rPr>
          <w:rStyle w:val="22"/>
          <w:rFonts w:ascii="仿宋" w:eastAsia="仿宋" w:hAnsi="仿宋" w:hint="eastAsia"/>
          <w:b w:val="0"/>
          <w:bCs/>
          <w:color w:val="auto"/>
          <w:sz w:val="32"/>
          <w:szCs w:val="32"/>
        </w:rPr>
        <w:t>。</w:t>
      </w:r>
    </w:p>
    <w:p>
      <w:pPr>
        <w:spacing w:line="600" w:lineRule="exact"/>
        <w:ind w:firstLineChars="200" w:firstLine="640"/>
        <w:rPr>
          <w:rFonts w:ascii="仿宋" w:eastAsia="仿宋" w:hAnsi="仿宋"/>
          <w:b/>
          <w:color w:val="auto"/>
          <w:sz w:val="32"/>
          <w:szCs w:val="32"/>
        </w:rPr>
      </w:pPr>
      <w:r>
        <w:rPr>
          <w:rStyle w:val="22"/>
          <w:rFonts w:ascii="仿宋" w:eastAsia="仿宋" w:hAnsi="仿宋" w:hint="eastAsia"/>
          <w:bCs/>
          <w:color w:val="auto"/>
          <w:sz w:val="32"/>
          <w:szCs w:val="32"/>
        </w:rPr>
        <w:t>7</w:t>
      </w:r>
      <w:r>
        <w:rPr>
          <w:rStyle w:val="22"/>
          <w:rFonts w:ascii="仿宋" w:eastAsia="仿宋" w:hAnsi="仿宋"/>
          <w:bCs/>
          <w:color w:val="auto"/>
          <w:sz w:val="32"/>
          <w:szCs w:val="32"/>
        </w:rPr>
        <w:t>.</w:t>
      </w:r>
      <w:r>
        <w:rPr>
          <w:rStyle w:val="22"/>
          <w:rFonts w:ascii="仿宋" w:eastAsia="仿宋" w:hAnsi="仿宋" w:hint="eastAsia"/>
          <w:bCs/>
          <w:color w:val="auto"/>
          <w:sz w:val="32"/>
          <w:szCs w:val="32"/>
        </w:rPr>
        <w:t>医疗卫生与计划生育（类）210（款）11（项）01</w:t>
      </w:r>
      <w:r>
        <w:rPr>
          <w:rStyle w:val="22"/>
          <w:rFonts w:ascii="仿宋" w:eastAsia="仿宋" w:hAnsi="仿宋"/>
          <w:bCs/>
          <w:color w:val="auto"/>
          <w:sz w:val="32"/>
          <w:szCs w:val="32"/>
        </w:rPr>
        <w:t>:</w:t>
      </w:r>
      <w:r>
        <w:rPr>
          <w:rStyle w:val="22"/>
          <w:rFonts w:ascii="仿宋" w:eastAsia="仿宋" w:hAnsi="仿宋" w:hint="eastAsia"/>
          <w:b w:val="0"/>
          <w:bCs/>
          <w:color w:val="auto"/>
          <w:sz w:val="32"/>
          <w:szCs w:val="32"/>
        </w:rPr>
        <w:t>支出决算为5.51万元，完成预算100</w:t>
      </w:r>
      <w:r>
        <w:rPr>
          <w:rStyle w:val="22"/>
          <w:rFonts w:ascii="仿宋" w:eastAsia="仿宋" w:hAnsi="仿宋"/>
          <w:b w:val="0"/>
          <w:bCs/>
          <w:color w:val="auto"/>
          <w:sz w:val="32"/>
          <w:szCs w:val="32"/>
        </w:rPr>
        <w:t>%</w:t>
      </w:r>
      <w:r>
        <w:rPr>
          <w:rStyle w:val="22"/>
          <w:rFonts w:ascii="仿宋" w:eastAsia="仿宋" w:hAnsi="仿宋" w:hint="eastAsia"/>
          <w:b w:val="0"/>
          <w:bCs/>
          <w:color w:val="auto"/>
          <w:sz w:val="32"/>
          <w:szCs w:val="32"/>
        </w:rPr>
        <w:t>，</w:t>
      </w:r>
      <w:r>
        <w:rPr>
          <w:rStyle w:val="22"/>
          <w:rFonts w:ascii="仿宋" w:eastAsia="仿宋" w:hAnsi="仿宋" w:hint="eastAsia"/>
          <w:bCs/>
          <w:color w:val="auto"/>
          <w:sz w:val="32"/>
          <w:szCs w:val="32"/>
        </w:rPr>
        <w:t>决算数等于预算数</w:t>
      </w:r>
      <w:r>
        <w:rPr>
          <w:rStyle w:val="22"/>
          <w:rFonts w:ascii="仿宋" w:eastAsia="仿宋" w:hAnsi="仿宋" w:hint="eastAsia"/>
          <w:b w:val="0"/>
          <w:bCs/>
          <w:color w:val="auto"/>
          <w:sz w:val="32"/>
          <w:szCs w:val="32"/>
        </w:rPr>
        <w:t>。</w:t>
      </w:r>
    </w:p>
    <w:p>
      <w:pPr>
        <w:spacing w:line="600" w:lineRule="exact"/>
        <w:ind w:firstLineChars="200" w:firstLine="640"/>
        <w:rPr>
          <w:rStyle w:val="22"/>
          <w:rFonts w:ascii="仿宋" w:eastAsia="仿宋" w:hAnsi="仿宋"/>
          <w:b w:val="0"/>
          <w:bCs/>
          <w:color w:val="auto"/>
          <w:sz w:val="32"/>
          <w:szCs w:val="32"/>
        </w:rPr>
      </w:pPr>
      <w:r>
        <w:rPr>
          <w:rFonts w:ascii="仿宋" w:eastAsia="仿宋" w:hAnsi="仿宋" w:hint="eastAsia"/>
          <w:color w:val="auto"/>
          <w:sz w:val="32"/>
          <w:szCs w:val="32"/>
        </w:rPr>
        <w:t>8.农林水（类）213（款）05（项）99：支出决算数为0.5万元，</w:t>
      </w:r>
      <w:r>
        <w:rPr>
          <w:rStyle w:val="22"/>
          <w:rFonts w:ascii="仿宋" w:eastAsia="仿宋" w:hAnsi="仿宋" w:hint="eastAsia"/>
          <w:b w:val="0"/>
          <w:bCs/>
          <w:color w:val="auto"/>
          <w:sz w:val="32"/>
          <w:szCs w:val="32"/>
        </w:rPr>
        <w:t>完成预算100</w:t>
      </w:r>
      <w:r>
        <w:rPr>
          <w:rStyle w:val="22"/>
          <w:rFonts w:ascii="仿宋" w:eastAsia="仿宋" w:hAnsi="仿宋"/>
          <w:b w:val="0"/>
          <w:bCs/>
          <w:color w:val="auto"/>
          <w:sz w:val="32"/>
          <w:szCs w:val="32"/>
        </w:rPr>
        <w:t>%</w:t>
      </w:r>
      <w:r>
        <w:rPr>
          <w:rStyle w:val="22"/>
          <w:rFonts w:ascii="仿宋" w:eastAsia="仿宋" w:hAnsi="仿宋" w:hint="eastAsia"/>
          <w:b w:val="0"/>
          <w:bCs/>
          <w:color w:val="auto"/>
          <w:sz w:val="32"/>
          <w:szCs w:val="32"/>
        </w:rPr>
        <w:t>，</w:t>
      </w:r>
      <w:r>
        <w:rPr>
          <w:rStyle w:val="22"/>
          <w:rFonts w:ascii="仿宋" w:eastAsia="仿宋" w:hAnsi="仿宋" w:hint="eastAsia"/>
          <w:bCs/>
          <w:color w:val="auto"/>
          <w:sz w:val="32"/>
          <w:szCs w:val="32"/>
        </w:rPr>
        <w:t>决算数等于预算数</w:t>
      </w:r>
      <w:r>
        <w:rPr>
          <w:rStyle w:val="22"/>
          <w:rFonts w:ascii="仿宋" w:eastAsia="仿宋" w:hAnsi="仿宋" w:hint="eastAsia"/>
          <w:b w:val="0"/>
          <w:bCs/>
          <w:color w:val="auto"/>
          <w:sz w:val="32"/>
          <w:szCs w:val="32"/>
        </w:rPr>
        <w:t>。</w:t>
      </w:r>
    </w:p>
    <w:p>
      <w:pPr>
        <w:spacing w:line="600" w:lineRule="exact"/>
        <w:ind w:firstLineChars="200" w:firstLine="640"/>
        <w:rPr>
          <w:rFonts w:ascii="仿宋" w:eastAsia="仿宋" w:hAnsi="仿宋"/>
          <w:color w:val="auto"/>
          <w:sz w:val="32"/>
          <w:szCs w:val="32"/>
        </w:rPr>
      </w:pPr>
      <w:r>
        <w:rPr>
          <w:rStyle w:val="22"/>
          <w:rFonts w:ascii="仿宋" w:eastAsia="仿宋" w:hAnsi="仿宋" w:hint="eastAsia"/>
          <w:b w:val="0"/>
          <w:bCs/>
          <w:color w:val="auto"/>
          <w:sz w:val="32"/>
          <w:szCs w:val="32"/>
        </w:rPr>
        <w:t>9.住房保障（类）221（款）02（项）01：支出决算数为7.77万元, 完成预算100</w:t>
      </w:r>
      <w:r>
        <w:rPr>
          <w:rStyle w:val="22"/>
          <w:rFonts w:ascii="仿宋" w:eastAsia="仿宋" w:hAnsi="仿宋"/>
          <w:b w:val="0"/>
          <w:bCs/>
          <w:color w:val="auto"/>
          <w:sz w:val="32"/>
          <w:szCs w:val="32"/>
        </w:rPr>
        <w:t>%</w:t>
      </w:r>
      <w:r>
        <w:rPr>
          <w:rStyle w:val="22"/>
          <w:rFonts w:ascii="仿宋" w:eastAsia="仿宋" w:hAnsi="仿宋" w:hint="eastAsia"/>
          <w:b w:val="0"/>
          <w:bCs/>
          <w:color w:val="auto"/>
          <w:sz w:val="32"/>
          <w:szCs w:val="32"/>
        </w:rPr>
        <w:t>，</w:t>
      </w:r>
      <w:r>
        <w:rPr>
          <w:rStyle w:val="22"/>
          <w:rFonts w:ascii="仿宋" w:eastAsia="仿宋" w:hAnsi="仿宋" w:hint="eastAsia"/>
          <w:bCs/>
          <w:color w:val="auto"/>
          <w:sz w:val="32"/>
          <w:szCs w:val="32"/>
        </w:rPr>
        <w:t>决算数等于预算数</w:t>
      </w:r>
      <w:r>
        <w:rPr>
          <w:rStyle w:val="22"/>
          <w:rFonts w:ascii="仿宋" w:eastAsia="仿宋" w:hAnsi="仿宋" w:hint="eastAsia"/>
          <w:b w:val="0"/>
          <w:bCs/>
          <w:color w:val="auto"/>
          <w:sz w:val="32"/>
          <w:szCs w:val="32"/>
        </w:rPr>
        <w:t>。</w:t>
      </w:r>
    </w:p>
    <w:p>
      <w:pPr>
        <w:tabs>
          <w:tab w:val="right" w:pos="8306"/>
        </w:tabs>
        <w:spacing w:line="600" w:lineRule="exact"/>
        <w:ind w:firstLine="640"/>
        <w:outlineLvl w:val="1"/>
        <w:rPr>
          <w:rStyle w:val="2Char"/>
          <w:color w:val="auto"/>
        </w:rPr>
      </w:pPr>
      <w:bookmarkStart w:id="41" w:name="_Toc15396608"/>
      <w:bookmarkStart w:id="42" w:name="_Toc15377214"/>
      <w:r>
        <w:rPr>
          <w:rFonts w:ascii="黑体" w:eastAsia="黑体" w:hint="eastAsia"/>
          <w:color w:val="auto"/>
          <w:sz w:val="32"/>
          <w:szCs w:val="32"/>
        </w:rPr>
        <w:t>六</w:t>
      </w:r>
      <w:r>
        <w:rPr>
          <w:rFonts w:ascii="黑体" w:eastAsia="黑体" w:hint="eastAsia"/>
          <w:b/>
          <w:color w:val="auto"/>
          <w:sz w:val="32"/>
          <w:szCs w:val="32"/>
        </w:rPr>
        <w:t>、</w:t>
      </w:r>
      <w:r>
        <w:rPr>
          <w:rFonts w:ascii="黑体" w:eastAsia="黑体" w:hAnsi="黑体" w:hint="eastAsia"/>
          <w:b/>
          <w:color w:val="auto"/>
          <w:sz w:val="32"/>
          <w:szCs w:val="32"/>
        </w:rPr>
        <w:t>一</w:t>
      </w:r>
      <w:r>
        <w:rPr>
          <w:rStyle w:val="2Char"/>
          <w:rFonts w:ascii="黑体" w:eastAsia="黑体" w:hAnsi="黑体" w:hint="eastAsia"/>
          <w:b w:val="0"/>
          <w:color w:val="auto"/>
        </w:rPr>
        <w:t>般公共预算财政拨款基本支出决算情况说明</w:t>
      </w:r>
      <w:bookmarkEnd w:id="41"/>
      <w:bookmarkEnd w:id="42"/>
      <w:r>
        <w:rPr>
          <w:rStyle w:val="2Char"/>
          <w:rFonts w:ascii="黑体" w:eastAsia="黑体" w:hAnsi="黑体"/>
          <w:b w:val="0"/>
          <w:color w:val="auto"/>
        </w:rPr>
        <w:tab/>
      </w:r>
    </w:p>
    <w:p>
      <w:pPr>
        <w:spacing w:line="600" w:lineRule="exact"/>
        <w:ind w:firstLine="645"/>
        <w:rPr>
          <w:rFonts w:ascii="仿宋" w:eastAsia="仿宋" w:hAnsi="仿宋"/>
          <w:color w:val="auto"/>
          <w:sz w:val="32"/>
          <w:szCs w:val="32"/>
        </w:rPr>
      </w:pPr>
      <w:r>
        <w:rPr>
          <w:rFonts w:ascii="仿宋" w:eastAsia="仿宋" w:hAnsi="仿宋"/>
          <w:color w:val="auto"/>
          <w:sz w:val="32"/>
          <w:szCs w:val="32"/>
        </w:rPr>
        <w:t>201</w:t>
      </w:r>
      <w:r>
        <w:rPr>
          <w:rFonts w:ascii="仿宋" w:eastAsia="仿宋" w:hAnsi="仿宋" w:hint="eastAsia"/>
          <w:color w:val="auto"/>
          <w:sz w:val="32"/>
          <w:szCs w:val="32"/>
        </w:rPr>
        <w:t>8年一般公共预算财政拨款基本支出158.86万元，其中：</w:t>
      </w:r>
    </w:p>
    <w:p>
      <w:pPr>
        <w:spacing w:line="600" w:lineRule="exact"/>
        <w:ind w:firstLine="645"/>
        <w:rPr>
          <w:rFonts w:ascii="仿宋" w:eastAsia="仿宋" w:hAnsi="仿宋"/>
          <w:color w:val="auto"/>
          <w:sz w:val="32"/>
          <w:szCs w:val="32"/>
        </w:rPr>
      </w:pPr>
      <w:r>
        <w:rPr>
          <w:rFonts w:ascii="仿宋" w:eastAsia="仿宋" w:hAnsi="仿宋" w:hint="eastAsia"/>
          <w:color w:val="auto"/>
          <w:sz w:val="32"/>
          <w:szCs w:val="32"/>
        </w:rPr>
        <w:t>人员经费115.86万元，主要包括：基本工资、津贴补贴、奖金、绩效工资、机关事业单位基本养老保险缴费、职业年金缴费、其他工资福利支出、生活补助、奖励金、住房公积金等。</w:t>
      </w:r>
      <w:r>
        <w:rPr>
          <w:rFonts w:ascii="仿宋" w:eastAsia="仿宋" w:hAnsi="仿宋"/>
          <w:color w:val="auto"/>
          <w:sz w:val="32"/>
          <w:szCs w:val="32"/>
        </w:rPr>
        <w:br/>
      </w:r>
      <w:r>
        <w:rPr>
          <w:rFonts w:ascii="仿宋" w:eastAsia="仿宋" w:hAnsi="仿宋" w:hint="eastAsia"/>
          <w:color w:val="auto"/>
          <w:sz w:val="32"/>
          <w:szCs w:val="32"/>
        </w:rPr>
        <w:t>　　公用经费43万元，主要包括：办公费、印刷费、水费、电费、邮电费、差旅费、会议费、培训费、公务接待费、工会经费、福利费、其他交通费、办公设备购置等。</w:t>
      </w:r>
    </w:p>
    <w:p>
      <w:pPr>
        <w:spacing w:line="600" w:lineRule="exact"/>
        <w:ind w:firstLine="640"/>
        <w:outlineLvl w:val="1"/>
        <w:rPr>
          <w:rStyle w:val="2Char"/>
          <w:rFonts w:ascii="黑体" w:eastAsia="黑体" w:hAnsi="黑体"/>
          <w:b w:val="0"/>
          <w:color w:val="auto"/>
        </w:rPr>
      </w:pPr>
      <w:bookmarkStart w:id="43" w:name="_Toc15377215"/>
      <w:bookmarkStart w:id="44" w:name="_Toc15396609"/>
      <w:r>
        <w:rPr>
          <w:rFonts w:ascii="黑体" w:eastAsia="黑体" w:hint="eastAsia"/>
          <w:color w:val="auto"/>
          <w:sz w:val="32"/>
          <w:szCs w:val="32"/>
        </w:rPr>
        <w:t>七、</w:t>
      </w:r>
      <w:r>
        <w:rPr>
          <w:rStyle w:val="2Char"/>
          <w:rFonts w:ascii="黑体" w:eastAsia="黑体" w:hAnsi="黑体" w:hint="eastAsia"/>
          <w:color w:val="auto"/>
        </w:rPr>
        <w:t>“</w:t>
      </w:r>
      <w:r>
        <w:rPr>
          <w:rStyle w:val="2Char"/>
          <w:rFonts w:ascii="黑体" w:eastAsia="黑体" w:hAnsi="黑体" w:hint="eastAsia"/>
          <w:b w:val="0"/>
          <w:color w:val="auto"/>
        </w:rPr>
        <w:t>三公”经费财政拨款支出决算情况说明</w:t>
      </w:r>
      <w:bookmarkEnd w:id="43"/>
      <w:bookmarkEnd w:id="44"/>
    </w:p>
    <w:p>
      <w:pPr>
        <w:spacing w:line="600" w:lineRule="exact"/>
        <w:ind w:firstLine="640"/>
        <w:outlineLvl w:val="2"/>
        <w:rPr>
          <w:rFonts w:ascii="仿宋" w:eastAsia="仿宋" w:hAnsi="仿宋"/>
          <w:b/>
          <w:color w:val="auto"/>
          <w:sz w:val="32"/>
          <w:szCs w:val="32"/>
        </w:rPr>
      </w:pPr>
      <w:bookmarkStart w:id="45" w:name="_Toc15377216"/>
      <w:r>
        <w:rPr>
          <w:rFonts w:ascii="仿宋" w:eastAsia="仿宋" w:hAnsi="仿宋" w:hint="eastAsia"/>
          <w:b/>
          <w:color w:val="auto"/>
          <w:sz w:val="32"/>
          <w:szCs w:val="32"/>
        </w:rPr>
        <w:t>（一）“三公”经费财政拨款支出决算总体情况说明</w:t>
      </w:r>
      <w:bookmarkEnd w:id="45"/>
    </w:p>
    <w:p>
      <w:pPr>
        <w:spacing w:line="600" w:lineRule="exact"/>
        <w:ind w:firstLine="640"/>
        <w:rPr>
          <w:rFonts w:ascii="仿宋" w:eastAsia="仿宋" w:hAnsi="仿宋"/>
          <w:color w:val="auto"/>
          <w:sz w:val="32"/>
          <w:szCs w:val="32"/>
        </w:rPr>
      </w:pPr>
      <w:r>
        <w:rPr>
          <w:rFonts w:ascii="仿宋" w:eastAsia="仿宋" w:hAnsi="仿宋"/>
          <w:color w:val="auto"/>
          <w:sz w:val="32"/>
          <w:szCs w:val="32"/>
        </w:rPr>
        <w:t>201</w:t>
      </w:r>
      <w:r>
        <w:rPr>
          <w:rFonts w:ascii="仿宋" w:eastAsia="仿宋" w:hAnsi="仿宋" w:hint="eastAsia"/>
          <w:color w:val="auto"/>
          <w:sz w:val="32"/>
          <w:szCs w:val="32"/>
        </w:rPr>
        <w:t>8年“三公”经费财政拨款支出决算为9.87万元，完成预算100</w:t>
      </w:r>
      <w:r>
        <w:rPr>
          <w:rFonts w:ascii="仿宋" w:eastAsia="仿宋" w:hAnsi="仿宋"/>
          <w:color w:val="auto"/>
          <w:sz w:val="32"/>
          <w:szCs w:val="32"/>
        </w:rPr>
        <w:t>%</w:t>
      </w:r>
      <w:r>
        <w:rPr>
          <w:rFonts w:ascii="仿宋" w:eastAsia="仿宋" w:hAnsi="仿宋" w:hint="eastAsia"/>
          <w:color w:val="auto"/>
          <w:sz w:val="32"/>
          <w:szCs w:val="32"/>
        </w:rPr>
        <w:t>，决算数与预算数持平的主要原因是我单位严格按照公务接待制度执行，未出现接待违规违纪现象，接待事前先审批 ，接待中杜绝铺张浪费，接待后按规定报销。</w:t>
      </w:r>
    </w:p>
    <w:p>
      <w:pPr>
        <w:spacing w:line="600" w:lineRule="exact"/>
        <w:ind w:firstLine="640"/>
        <w:outlineLvl w:val="2"/>
        <w:rPr>
          <w:rFonts w:ascii="仿宋" w:eastAsia="仿宋" w:hAnsi="仿宋"/>
          <w:b/>
          <w:color w:val="auto"/>
          <w:sz w:val="32"/>
          <w:szCs w:val="32"/>
        </w:rPr>
      </w:pPr>
      <w:bookmarkStart w:id="46" w:name="_Toc15377217"/>
      <w:r>
        <w:rPr>
          <w:rFonts w:ascii="仿宋" w:eastAsia="仿宋" w:hAnsi="仿宋" w:hint="eastAsia"/>
          <w:b/>
          <w:color w:val="auto"/>
          <w:sz w:val="32"/>
          <w:szCs w:val="32"/>
        </w:rPr>
        <w:t>（二）“三公”经费财政拨款支出决算具体情况说明</w:t>
      </w:r>
      <w:bookmarkEnd w:id="46"/>
    </w:p>
    <w:p>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8年“三公”经费财政拨款支出决算中，因公出国（境）费支出决算0万元；公务用车购置及运行维护费支出决算0万元；公务接待费支出决算9.87万元，占100</w:t>
      </w:r>
      <w:r>
        <w:rPr>
          <w:rFonts w:ascii="仿宋" w:eastAsia="仿宋" w:hAnsi="仿宋"/>
          <w:color w:val="000000"/>
          <w:sz w:val="32"/>
          <w:szCs w:val="32"/>
        </w:rPr>
        <w:t>%</w:t>
      </w:r>
      <w:r>
        <w:rPr>
          <w:rFonts w:ascii="仿宋" w:eastAsia="仿宋" w:hAnsi="仿宋" w:hint="eastAsia"/>
          <w:color w:val="000000"/>
          <w:sz w:val="32"/>
          <w:szCs w:val="32"/>
        </w:rPr>
        <w:t>。具体情况如下：</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0万元</w:t>
      </w:r>
      <w:r>
        <w:rPr>
          <w:rStyle w:val="22"/>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全年安排因公出国（境）团组0次，出国（境）0人。因公出国（境）支出决算比</w:t>
      </w:r>
      <w:r>
        <w:rPr>
          <w:rFonts w:ascii="仿宋_GB2312" w:eastAsia="仿宋_GB2312"/>
          <w:color w:val="000000"/>
          <w:sz w:val="32"/>
          <w:szCs w:val="32"/>
        </w:rPr>
        <w:t>201</w:t>
      </w:r>
      <w:r>
        <w:rPr>
          <w:rFonts w:ascii="仿宋_GB2312" w:eastAsia="仿宋_GB2312" w:hint="eastAsia"/>
          <w:color w:val="000000"/>
          <w:sz w:val="32"/>
          <w:szCs w:val="32"/>
        </w:rPr>
        <w:t>7年增加</w:t>
      </w:r>
      <w:r>
        <w:rPr>
          <w:rFonts w:ascii="仿宋_GB2312" w:eastAsia="仿宋_GB2312"/>
          <w:color w:val="000000"/>
          <w:sz w:val="32"/>
          <w:szCs w:val="32"/>
        </w:rPr>
        <w:t>/</w:t>
      </w:r>
      <w:r>
        <w:rPr>
          <w:rFonts w:ascii="仿宋_GB2312" w:eastAsia="仿宋_GB2312" w:hint="eastAsia"/>
          <w:color w:val="000000"/>
          <w:sz w:val="32"/>
          <w:szCs w:val="32"/>
        </w:rPr>
        <w:t>减少0万元。</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0万元</w:t>
      </w:r>
      <w:r>
        <w:rPr>
          <w:rStyle w:val="22"/>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7年增加</w:t>
      </w:r>
      <w:r>
        <w:rPr>
          <w:rFonts w:ascii="仿宋_GB2312" w:eastAsia="仿宋_GB2312"/>
          <w:color w:val="000000"/>
          <w:sz w:val="32"/>
          <w:szCs w:val="32"/>
        </w:rPr>
        <w:t>/</w:t>
      </w:r>
      <w:r>
        <w:rPr>
          <w:rFonts w:ascii="仿宋_GB2312" w:eastAsia="仿宋_GB2312" w:hint="eastAsia"/>
          <w:color w:val="000000"/>
          <w:sz w:val="32"/>
          <w:szCs w:val="32"/>
        </w:rPr>
        <w:t>减少0万元。</w:t>
      </w:r>
    </w:p>
    <w:p>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0万元。全年按规定更新购置公务用车0辆。截至</w:t>
      </w:r>
      <w:r>
        <w:rPr>
          <w:rFonts w:ascii="仿宋_GB2312" w:eastAsia="仿宋_GB2312"/>
          <w:color w:val="000000"/>
          <w:sz w:val="32"/>
          <w:szCs w:val="32"/>
        </w:rPr>
        <w:t>201</w:t>
      </w:r>
      <w:r>
        <w:rPr>
          <w:rFonts w:ascii="仿宋_GB2312" w:eastAsia="仿宋_GB2312" w:hint="eastAsia"/>
          <w:color w:val="000000"/>
          <w:sz w:val="32"/>
          <w:szCs w:val="32"/>
        </w:rPr>
        <w:t>8年</w:t>
      </w:r>
      <w:r>
        <w:rPr>
          <w:rFonts w:ascii="仿宋_GB2312" w:eastAsia="仿宋_GB2312"/>
          <w:color w:val="000000"/>
          <w:sz w:val="32"/>
          <w:szCs w:val="32"/>
        </w:rPr>
        <w:t>12</w:t>
      </w:r>
      <w:r>
        <w:rPr>
          <w:rFonts w:ascii="仿宋_GB2312" w:eastAsia="仿宋_GB2312" w:hint="eastAsia"/>
          <w:color w:val="000000"/>
          <w:sz w:val="32"/>
          <w:szCs w:val="32"/>
        </w:rPr>
        <w:t>月底，单位共有公务用车1辆，其中：轿车1辆（公车改革后已调到其他部门使用，但还未办理过户手续，未做账务处理）。</w:t>
      </w:r>
    </w:p>
    <w:p>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0万元。。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9.87万元，</w:t>
      </w:r>
      <w:r>
        <w:rPr>
          <w:rStyle w:val="22"/>
          <w:rFonts w:ascii="仿宋" w:eastAsia="仿宋" w:hAnsi="仿宋" w:hint="eastAsia"/>
          <w:b w:val="0"/>
          <w:bCs/>
          <w:color w:val="000000"/>
          <w:sz w:val="32"/>
          <w:szCs w:val="32"/>
        </w:rPr>
        <w:t>完成预算100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公务接待费支出决算与</w:t>
      </w:r>
      <w:r>
        <w:rPr>
          <w:rFonts w:ascii="仿宋_GB2312" w:eastAsia="仿宋_GB2312"/>
          <w:color w:val="000000"/>
          <w:sz w:val="32"/>
          <w:szCs w:val="32"/>
        </w:rPr>
        <w:t>201</w:t>
      </w:r>
      <w:r>
        <w:rPr>
          <w:rFonts w:ascii="仿宋_GB2312" w:eastAsia="仿宋_GB2312" w:hint="eastAsia"/>
          <w:color w:val="000000"/>
          <w:sz w:val="32"/>
          <w:szCs w:val="32"/>
        </w:rPr>
        <w:t>7年持平。主要原因是</w:t>
      </w:r>
      <w:r>
        <w:rPr>
          <w:rFonts w:ascii="仿宋" w:eastAsia="仿宋" w:hAnsi="仿宋" w:hint="eastAsia"/>
          <w:color w:val="000000"/>
          <w:sz w:val="32"/>
          <w:szCs w:val="32"/>
        </w:rPr>
        <w:t>我单位严格按照公务接待制度执行，未出现接待违规违纪现象，接待事前先审批 ，接待中杜绝铺张浪费，接待后按规定报销</w:t>
      </w:r>
      <w:r>
        <w:rPr>
          <w:rFonts w:ascii="仿宋_GB2312" w:eastAsia="仿宋_GB2312" w:hint="eastAsia"/>
          <w:color w:val="000000"/>
          <w:sz w:val="32"/>
          <w:szCs w:val="32"/>
        </w:rPr>
        <w:t>。</w:t>
      </w:r>
    </w:p>
    <w:p>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主要用于执行公务、开展业务活动开支的交通费、住宿费、用餐费等。国内公务接待115批次，1252人次（不包括陪同人员），共计支出9.87万元，具体内容包括：接待其他外市县参观共计7.5万元；接待省级单位检查工作等1.2万元；接待上级党派组织1.17万元。</w:t>
      </w:r>
    </w:p>
    <w:p>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其中：</w:t>
      </w:r>
    </w:p>
    <w:p>
      <w:pPr>
        <w:spacing w:line="600" w:lineRule="exact"/>
        <w:ind w:firstLineChars="200" w:firstLine="640"/>
        <w:rPr>
          <w:rFonts w:ascii="仿宋_GB2312" w:eastAsia="仿宋_GB2312"/>
          <w:color w:val="000000"/>
          <w:sz w:val="32"/>
          <w:szCs w:val="32"/>
          <w14:textFill>
            <w14:solidFill>
              <w14:srgbClr w14:val="000000"/>
            </w14:solidFill>
          </w14:textFill>
        </w:rPr>
      </w:pPr>
      <w:r>
        <w:rPr>
          <w:rFonts w:ascii="仿宋" w:eastAsia="仿宋" w:hAnsi="仿宋" w:hint="eastAsia"/>
          <w:b/>
          <w:color w:val="000000"/>
          <w:sz w:val="32"/>
          <w:szCs w:val="32"/>
        </w:rPr>
        <w:t>外事接待支出</w:t>
      </w:r>
      <w:r>
        <w:rPr>
          <w:rFonts w:ascii="仿宋" w:eastAsia="仿宋" w:hAnsi="仿宋" w:hint="eastAsia"/>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sz w:val="32"/>
          <w:szCs w:val="32"/>
          <w14:textFill>
            <w14:solidFill>
              <w14:srgbClr w14:val="000000"/>
            </w14:solidFill>
          </w14:textFill>
        </w:rPr>
        <w:t>。</w:t>
      </w:r>
    </w:p>
    <w:p>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其他国内公务接待支出</w:t>
      </w:r>
      <w:r>
        <w:rPr>
          <w:rFonts w:ascii="仿宋" w:eastAsia="仿宋" w:hAnsi="仿宋" w:hint="eastAsia"/>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sz w:val="32"/>
          <w:szCs w:val="32"/>
          <w14:textFill>
            <w14:solidFill>
              <w14:srgbClr w14:val="000000"/>
            </w14:solidFill>
          </w14:textFill>
        </w:rPr>
        <w:t xml:space="preserve"> 。</w:t>
      </w:r>
    </w:p>
    <w:p>
      <w:pPr>
        <w:spacing w:line="600" w:lineRule="exact"/>
        <w:ind w:firstLine="640"/>
        <w:outlineLvl w:val="1"/>
        <w:rPr>
          <w:rStyle w:val="2Char"/>
          <w:rFonts w:ascii="黑体" w:eastAsia="黑体" w:hAnsi="黑体"/>
        </w:rPr>
      </w:pPr>
      <w:bookmarkStart w:id="47" w:name="_Toc15396610"/>
      <w:bookmarkStart w:id="48" w:name="_Toc15377218"/>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7"/>
      <w:bookmarkEnd w:id="48"/>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8年政府性基金预算拨款支出0万元。</w:t>
      </w:r>
    </w:p>
    <w:p>
      <w:pPr>
        <w:numPr>
          <w:ilvl w:val="0"/>
          <w:numId w:val="3"/>
        </w:numPr>
        <w:spacing w:line="600" w:lineRule="exact"/>
        <w:ind w:left="0" w:firstLine="640"/>
        <w:outlineLvl w:val="1"/>
        <w:rPr>
          <w:rStyle w:val="2Char"/>
          <w:rFonts w:ascii="黑体" w:eastAsia="黑体" w:hAnsi="黑体"/>
          <w:b w:val="0"/>
        </w:rPr>
      </w:pPr>
      <w:bookmarkStart w:id="49" w:name="_Toc15377219"/>
      <w:bookmarkStart w:id="50" w:name="_Toc15396611"/>
      <w:r>
        <w:rPr>
          <w:rStyle w:val="2Char"/>
          <w:rFonts w:ascii="黑体" w:eastAsia="黑体" w:hAnsi="黑体" w:hint="eastAsia"/>
          <w:b w:val="0"/>
        </w:rPr>
        <w:t>国有资本经营预算支出决算情况说明</w:t>
      </w:r>
      <w:bookmarkEnd w:id="49"/>
      <w:bookmarkEnd w:id="50"/>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8年国有资本经营预算拨款支出0万元。</w:t>
      </w:r>
    </w:p>
    <w:p>
      <w:pPr>
        <w:pStyle w:val="28"/>
        <w:numPr>
          <w:ilvl w:val="0"/>
          <w:numId w:val="4"/>
        </w:numPr>
        <w:spacing w:line="580" w:lineRule="exact"/>
        <w:ind w:firstLineChars="0"/>
        <w:rPr>
          <w:rStyle w:val="2Char"/>
          <w:rFonts w:ascii="黑体" w:eastAsia="黑体" w:hAnsi="黑体"/>
          <w:b w:val="0"/>
        </w:rPr>
      </w:pPr>
      <w:r>
        <w:rPr>
          <w:rStyle w:val="2Char"/>
          <w:rFonts w:ascii="黑体" w:eastAsia="黑体" w:hAnsi="黑体" w:hint="eastAsia"/>
          <w:b w:val="0"/>
        </w:rPr>
        <w:t>预算绩效情况说明</w:t>
      </w:r>
    </w:p>
    <w:p>
      <w:pPr>
        <w:numPr>
          <w:ilvl w:val="0"/>
          <w:numId w:val="5"/>
        </w:numPr>
        <w:spacing w:line="580" w:lineRule="exact"/>
        <w:ind w:left="0" w:firstLineChars="200" w:firstLine="640"/>
        <w:rPr>
          <w:rFonts w:ascii="仿宋" w:eastAsia="仿宋" w:cs="楷体_GB2312" w:hAnsi="仿宋"/>
          <w:b/>
          <w:bCs/>
          <w:sz w:val="32"/>
          <w:szCs w:val="32"/>
        </w:rPr>
      </w:pPr>
      <w:r>
        <w:rPr>
          <w:rFonts w:ascii="仿宋" w:eastAsia="仿宋" w:cs="楷体_GB2312" w:hAnsi="仿宋" w:hint="eastAsia"/>
          <w:b/>
          <w:bCs/>
          <w:sz w:val="32"/>
          <w:szCs w:val="32"/>
        </w:rPr>
        <w:t>预算绩效管理工作开展情况。</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根据预算绩效管理要求，本部门（单位）在年初预算编制阶段，组织对早期归国华侨生活补助项目等开展了预算事前绩效评估，对4个项目编制了绩效目标，预算执行过程中，选取4个项目开展绩效监控，年终执行完毕后，对4个项目开展了绩效目标完成情况梳理填报。</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本部门按要求对2018年部门整体支出开展绩效自评，从评价情况来看整体绩效完成较好，达到了团结人心，凝聚力量的目的，充分发挥了民主党派和非公经济的最大作用，为利州经济社会建设作出了贡献。本部门还自行组织了4个项目绩效评价，从评价情况来看这4个项目都已圆满完成，为下一步统一战线工作的开展奠定了基础，为政党协商、民主监督作用发挥提供了有力保障。</w:t>
      </w:r>
    </w:p>
    <w:p>
      <w:pPr>
        <w:numPr>
          <w:ilvl w:val="0"/>
          <w:numId w:val="5"/>
        </w:numPr>
        <w:spacing w:line="580" w:lineRule="exact"/>
        <w:ind w:left="0" w:firstLineChars="200" w:firstLine="640"/>
        <w:rPr>
          <w:rFonts w:ascii="仿宋_GB2312" w:eastAsia="仿宋_GB2312" w:cs="仿宋_GB2312" w:hAnsi="仿宋_GB2312"/>
          <w:sz w:val="32"/>
          <w:szCs w:val="32"/>
        </w:rPr>
      </w:pPr>
      <w:r>
        <w:rPr>
          <w:rFonts w:ascii="仿宋" w:eastAsia="仿宋" w:cs="楷体_GB2312" w:hAnsi="仿宋" w:hint="eastAsia"/>
          <w:b/>
          <w:bCs/>
          <w:sz w:val="32"/>
          <w:szCs w:val="32"/>
        </w:rPr>
        <w:t>项目绩效目标完成情况。</w:t>
      </w:r>
      <w:r>
        <w:rPr>
          <w:rFonts w:ascii="楷体_GB2312" w:eastAsia="楷体_GB2312" w:cs="楷体_GB2312" w:hAnsi="楷体_GB2312" w:hint="eastAsia"/>
          <w:b/>
          <w:bCs/>
          <w:sz w:val="32"/>
          <w:szCs w:val="32"/>
        </w:rPr>
        <w:br/>
      </w:r>
      <w:r>
        <w:rPr>
          <w:rFonts w:ascii="仿宋_GB2312" w:eastAsia="仿宋_GB2312" w:cs="仿宋_GB2312" w:hAnsi="仿宋_GB2312" w:hint="eastAsia"/>
          <w:sz w:val="32"/>
          <w:szCs w:val="32"/>
        </w:rPr>
        <w:t xml:space="preserve">    本部门在2018年度部门决算中反映“早期归国华侨生活补助</w:t>
      </w:r>
      <w:r>
        <w:rPr>
          <w:rFonts w:ascii="仿宋_GB2312" w:eastAsia="仿宋_GB2312" w:cs="仿宋_GB2312" w:hAnsi="仿宋_GB2312"/>
          <w:sz w:val="32"/>
          <w:szCs w:val="32"/>
        </w:rPr>
        <w:t>”</w:t>
      </w:r>
      <w:r>
        <w:rPr>
          <w:rFonts w:ascii="仿宋_GB2312" w:eastAsia="仿宋_GB2312" w:cs="仿宋_GB2312" w:hAnsi="仿宋_GB2312" w:hint="eastAsia"/>
          <w:sz w:val="32"/>
          <w:szCs w:val="32"/>
        </w:rPr>
        <w:t>、“九广合作及党派团体工作</w:t>
      </w:r>
      <w:r>
        <w:rPr>
          <w:rFonts w:ascii="仿宋_GB2312" w:eastAsia="仿宋_GB2312" w:cs="仿宋_GB2312" w:hAnsi="仿宋_GB2312"/>
          <w:sz w:val="32"/>
          <w:szCs w:val="32"/>
        </w:rPr>
        <w:t>”</w:t>
      </w:r>
      <w:r>
        <w:rPr>
          <w:rFonts w:ascii="仿宋_GB2312" w:eastAsia="仿宋_GB2312" w:cs="仿宋_GB2312" w:hAnsi="仿宋_GB2312" w:hint="eastAsia"/>
          <w:sz w:val="32"/>
          <w:szCs w:val="32"/>
        </w:rPr>
        <w:t>、“无党派知识分子工作”等4个项目绩效目标实际完成情况。</w:t>
      </w:r>
    </w:p>
    <w:p>
      <w:pPr>
        <w:numPr>
          <w:ilvl w:val="0"/>
          <w:numId w:val="6"/>
        </w:numPr>
        <w:spacing w:line="580" w:lineRule="exact"/>
        <w:ind w:left="0"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早期归国华侨生活补助项目绩效目标完成情况综述。项目全年预算数4.8万元，执行数为4.8万元，完成预算的100%。通过项目实施，古里、石宏、林万卷和陈巧凤四位老人表达了党和政府对早期归国华侨的关心关怀，对他们为祖国作出的贡献表示了肯定，为提高他们老年生活质量，给予他们生活上的适当补助，让他们感受到祖国的温暖。发现的主要问题：补助标准偏低。下一步改进措施：积极向区政府汇报他们的具体困难情况，协调相关部门解决好相关困难。</w:t>
      </w:r>
    </w:p>
    <w:p>
      <w:pPr>
        <w:numPr>
          <w:ilvl w:val="0"/>
          <w:numId w:val="6"/>
        </w:numPr>
        <w:spacing w:line="580" w:lineRule="exact"/>
        <w:ind w:left="0"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九广合作及党派团体工作项目绩效目标完成情况综述。项目全年预算数20万元，执行数为20万元，完成预算的100%。通过项目实施，保障了区级6个民主党派工作的顺利开展，为培养党外干部提供了有效意见，为政治协商、民主监督提供了资金保障。发现的主要问题：在经费使用过程中有些不规范现象。下一步改进措施：加强对党派资金的管理，制定相关措施，严格按规定执行，杜绝一切资金使用不规范行为。</w:t>
      </w:r>
    </w:p>
    <w:p>
      <w:pPr>
        <w:numPr>
          <w:ilvl w:val="0"/>
          <w:numId w:val="6"/>
        </w:numPr>
        <w:spacing w:line="580" w:lineRule="exact"/>
        <w:ind w:left="0"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新的社会阶层数据调查及非公经济党组建设非公经济综合评论项目绩效目标完成情况综述。项目全年预算数2万元，执行数为2万元，完成预算的100%。通过项目实施，了解了当前非公经济现状，为利州区经济社会发展提供参考意见建议，正确引导了非公经济活动的规范开展。发现的主要问题：非公经济组织建设不完善。下一步改进措施：协调组织部门到非公经济场所开展调研，为其组织建设提供服务。</w:t>
      </w:r>
    </w:p>
    <w:p>
      <w:pPr>
        <w:numPr>
          <w:ilvl w:val="0"/>
          <w:numId w:val="6"/>
        </w:numPr>
        <w:spacing w:line="580" w:lineRule="exact"/>
        <w:ind w:left="0"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无党派知识分子工作项目绩效目标完成情况综述。项目全年预算数3万元，执行数为3万元，完成预算的100%。通过项目实施，对无党派知识分子起到了积极的引领作用，让他们在思想上能和党中央保持高度一致。发现的主要问题：党外知识分子有时不能积极主动的参与党和政府的活动。下一步改进措施：加强学习，提高思想站位，始终让他们与党保持一致。</w:t>
      </w:r>
    </w:p>
    <w:p>
      <w:pPr>
        <w:tabs>
          <w:tab w:val="left" w:pos="312"/>
        </w:tabs>
        <w:spacing w:line="580" w:lineRule="exact"/>
        <w:rPr>
          <w:rFonts w:ascii="仿宋_GB2312" w:eastAsia="仿宋_GB2312" w:cs="仿宋_GB2312" w:hAnsi="仿宋_GB2312"/>
          <w:sz w:val="32"/>
          <w:szCs w:val="32"/>
        </w:rPr>
      </w:pPr>
    </w:p>
    <w:p>
      <w:pPr>
        <w:tabs>
          <w:tab w:val="left" w:pos="312"/>
        </w:tabs>
        <w:spacing w:line="580" w:lineRule="exact"/>
        <w:rPr>
          <w:rFonts w:ascii="仿宋_GB2312" w:eastAsia="仿宋_GB2312" w:cs="仿宋_GB2312" w:hAnsi="仿宋_GB2312"/>
          <w:sz w:val="32"/>
          <w:szCs w:val="32"/>
        </w:rPr>
      </w:pPr>
    </w:p>
    <w:p>
      <w:pPr>
        <w:tabs>
          <w:tab w:val="left" w:pos="312"/>
        </w:tabs>
        <w:spacing w:line="580" w:lineRule="exact"/>
        <w:rPr>
          <w:rFonts w:ascii="仿宋_GB2312" w:eastAsia="仿宋_GB2312" w:cs="仿宋_GB2312" w:hAnsi="仿宋_GB2312"/>
          <w:sz w:val="32"/>
          <w:szCs w:val="32"/>
        </w:rPr>
      </w:pPr>
    </w:p>
    <w:p>
      <w:pPr>
        <w:tabs>
          <w:tab w:val="left" w:pos="312"/>
        </w:tabs>
        <w:spacing w:line="580" w:lineRule="exact"/>
        <w:rPr>
          <w:rFonts w:ascii="仿宋_GB2312" w:eastAsia="仿宋_GB2312" w:cs="仿宋_GB2312" w:hAnsi="仿宋_GB2312"/>
          <w:sz w:val="32"/>
          <w:szCs w:val="32"/>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Mar>
              <w:top w:w="15" w:type="dxa"/>
              <w:left w:w="15" w:type="dxa"/>
              <w:right w:w="15" w:type="dxa"/>
            </w:tcMar>
            <w:vAlign w:val="center"/>
          </w:tcPr>
          <w:p>
            <w:pPr>
              <w:pStyle w:val="28"/>
              <w:widowControl/>
              <w:ind w:leftChars="1310" w:left="4173" w:hangingChars="395" w:hanging="1422"/>
              <w:textAlignment w:val="center"/>
              <w:rPr>
                <w:rFonts w:ascii="宋体" w:cs="宋体" w:hAnsi="宋体"/>
                <w:color w:val="000000"/>
                <w:sz w:val="36"/>
                <w:szCs w:val="36"/>
              </w:rPr>
            </w:pPr>
            <w:r>
              <w:rPr>
                <w:rFonts w:ascii="黑体" w:eastAsia="黑体" w:cs="宋体" w:hAnsi="黑体" w:hint="eastAsia"/>
                <w:bCs/>
                <w:color w:val="000000"/>
                <w:kern w:val="0"/>
                <w:sz w:val="36"/>
                <w:szCs w:val="36"/>
              </w:rPr>
              <w:t>项目支出绩效目标完成情况表</w:t>
            </w:r>
            <w:r>
              <w:rPr>
                <w:rFonts w:ascii="宋体" w:cs="宋体" w:hAnsi="宋体" w:hint="eastAsia"/>
                <w:b/>
                <w:bCs/>
                <w:color w:val="000000"/>
                <w:kern w:val="0"/>
                <w:sz w:val="36"/>
                <w:szCs w:val="36"/>
              </w:rPr>
              <w:br/>
            </w:r>
            <w:r>
              <w:rPr>
                <w:rFonts w:ascii="宋体" w:cs="宋体" w:hAnsi="宋体" w:hint="eastAsia"/>
                <w:color w:val="000000"/>
                <w:kern w:val="0"/>
                <w:sz w:val="36"/>
                <w:szCs w:val="36"/>
              </w:rPr>
              <w:t>(2018 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早期归国华侨生活补助</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中国共产党广元市利州区委员会统一战线工作部</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4.8万元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4.8万元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4.8万元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4.8万元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color w:val="000000"/>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ind w:firstLineChars="200" w:firstLine="480"/>
              <w:jc w:val="left"/>
              <w:textAlignment w:val="center"/>
              <w:rPr>
                <w:rFonts w:ascii="宋体" w:cs="宋体" w:hAnsi="宋体"/>
                <w:color w:val="000000"/>
                <w:sz w:val="24"/>
              </w:rPr>
            </w:pPr>
            <w:r>
              <w:rPr>
                <w:rFonts w:ascii="宋体" w:cs="宋体" w:hAnsi="宋体" w:hint="eastAsia"/>
                <w:color w:val="000000"/>
                <w:sz w:val="24"/>
              </w:rPr>
              <w:t>提高早期归国华侨的生活质量，让他们感受到党和政府的关怀。</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ind w:firstLineChars="200" w:firstLine="480"/>
              <w:jc w:val="left"/>
              <w:textAlignment w:val="center"/>
              <w:rPr>
                <w:rFonts w:ascii="宋体" w:cs="宋体" w:hAnsi="宋体"/>
                <w:color w:val="000000"/>
                <w:sz w:val="24"/>
              </w:rPr>
            </w:pPr>
            <w:r>
              <w:rPr>
                <w:rFonts w:ascii="宋体" w:cs="宋体" w:hAnsi="宋体" w:hint="eastAsia"/>
                <w:color w:val="000000"/>
                <w:sz w:val="24"/>
              </w:rPr>
              <w:t>表达了党和政府对早期归国华侨的关心关怀，对他们为祖国作出的贡献表示了肯定，为提高他们老年生活质量，给予他们生活上的适当补助，让他们感受到祖国的温暖。</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提高生活</w:t>
            </w:r>
          </w:p>
          <w:p>
            <w:pPr>
              <w:widowControl/>
              <w:jc w:val="center"/>
              <w:textAlignment w:val="center"/>
              <w:rPr>
                <w:rFonts w:ascii="宋体" w:cs="宋体" w:hAnsi="宋体"/>
                <w:color w:val="000000"/>
                <w:sz w:val="24"/>
              </w:rPr>
            </w:pPr>
            <w:r>
              <w:rPr>
                <w:rFonts w:ascii="宋体" w:cs="宋体" w:hAnsi="宋体" w:hint="eastAsia"/>
                <w:color w:val="000000"/>
                <w:kern w:val="0"/>
                <w:sz w:val="24"/>
              </w:rPr>
              <w:t>质量</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在年底前完成4.8万元资金拨付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已近期完成4.8万元</w:t>
            </w:r>
          </w:p>
          <w:p>
            <w:pPr>
              <w:widowControl/>
              <w:jc w:val="center"/>
              <w:textAlignment w:val="center"/>
              <w:rPr>
                <w:rFonts w:ascii="宋体" w:cs="宋体" w:hAnsi="宋体"/>
                <w:color w:val="000000"/>
                <w:sz w:val="24"/>
              </w:rPr>
            </w:pPr>
            <w:r>
              <w:rPr>
                <w:rFonts w:ascii="宋体" w:cs="宋体" w:hAnsi="宋体" w:hint="eastAsia"/>
                <w:color w:val="000000"/>
                <w:sz w:val="24"/>
              </w:rPr>
              <w:t>拨付</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提高爱国激情感受党的关怀</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让早期归国华侨感受到党和政府的关怀</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hAnsi="宋体"/>
                <w:color w:val="000000"/>
                <w:sz w:val="24"/>
              </w:rPr>
            </w:pPr>
            <w:r>
              <w:rPr>
                <w:rFonts w:ascii="宋体" w:cs="宋体" w:hAnsi="宋体" w:hint="eastAsia"/>
                <w:color w:val="000000"/>
                <w:sz w:val="24"/>
              </w:rPr>
              <w:t xml:space="preserve"> 古里、石宏、林万卷和陈巧凤四位老人感受到的祖国的关怀</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让四位老人满意</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让古里、石宏、林万卷和陈巧凤四位老人满意这项工作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p>
            <w:pPr>
              <w:widowControl/>
              <w:jc w:val="center"/>
              <w:textAlignment w:val="center"/>
              <w:rPr>
                <w:rFonts w:ascii="宋体" w:cs="宋体" w:hAnsi="宋体"/>
                <w:color w:val="000000"/>
                <w:sz w:val="24"/>
              </w:rPr>
            </w:pPr>
          </w:p>
          <w:p>
            <w:pPr>
              <w:widowControl/>
              <w:jc w:val="center"/>
              <w:textAlignment w:val="center"/>
              <w:rPr>
                <w:rFonts w:ascii="宋体" w:cs="宋体" w:hAnsi="宋体"/>
                <w:color w:val="000000"/>
                <w:sz w:val="24"/>
              </w:rPr>
            </w:pPr>
            <w:r>
              <w:rPr>
                <w:rFonts w:ascii="宋体" w:cs="宋体" w:hAnsi="宋体" w:hint="eastAsia"/>
                <w:color w:val="000000"/>
                <w:sz w:val="24"/>
              </w:rPr>
              <w:t>已达到相关目的，得到了老人的认可</w:t>
            </w:r>
          </w:p>
          <w:p>
            <w:pPr>
              <w:widowControl/>
              <w:jc w:val="center"/>
              <w:textAlignment w:val="center"/>
              <w:rPr>
                <w:rFonts w:ascii="宋体" w:cs="宋体" w:hAnsi="宋体"/>
                <w:color w:val="000000"/>
                <w:sz w:val="24"/>
              </w:rPr>
            </w:pPr>
          </w:p>
          <w:p>
            <w:pPr>
              <w:widowControl/>
              <w:jc w:val="center"/>
              <w:textAlignment w:val="center"/>
              <w:rPr>
                <w:rFonts w:ascii="宋体" w:cs="宋体" w:hAnsi="宋体"/>
                <w:color w:val="000000"/>
                <w:sz w:val="24"/>
              </w:rPr>
            </w:pPr>
          </w:p>
          <w:p>
            <w:pPr>
              <w:widowControl/>
              <w:jc w:val="center"/>
              <w:textAlignment w:val="center"/>
              <w:rPr>
                <w:rFonts w:ascii="宋体" w:cs="宋体" w:hAnsi="宋体"/>
                <w:color w:val="000000"/>
                <w:sz w:val="24"/>
              </w:rPr>
            </w:pPr>
          </w:p>
          <w:p>
            <w:pPr>
              <w:widowControl/>
              <w:jc w:val="center"/>
              <w:textAlignment w:val="center"/>
              <w:rPr>
                <w:rFonts w:ascii="宋体" w:cs="宋体" w:hAnsi="宋体"/>
                <w:color w:val="000000"/>
                <w:sz w:val="24"/>
              </w:rPr>
            </w:pPr>
          </w:p>
        </w:tc>
      </w:tr>
    </w:tbl>
    <w:p>
      <w:pPr>
        <w:rPr>
          <w:rFonts w:ascii="Calibri" w:hAnsi="Calibri"/>
        </w:rPr>
      </w:pPr>
    </w:p>
    <w:p>
      <w:pPr>
        <w:spacing w:line="580" w:lineRule="exact"/>
        <w:rPr>
          <w:rFonts w:ascii="仿宋_GB2312" w:eastAsia="仿宋_GB2312" w:cs="仿宋_GB2312" w:hAnsi="仿宋_GB2312"/>
          <w:sz w:val="32"/>
          <w:szCs w:val="32"/>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Mar>
              <w:top w:w="15" w:type="dxa"/>
              <w:left w:w="15" w:type="dxa"/>
              <w:right w:w="15" w:type="dxa"/>
            </w:tcMar>
            <w:vAlign w:val="center"/>
          </w:tcPr>
          <w:p>
            <w:pPr>
              <w:widowControl/>
              <w:jc w:val="center"/>
              <w:textAlignment w:val="center"/>
              <w:rPr>
                <w:rFonts w:ascii="宋体" w:cs="宋体" w:hAnsi="宋体"/>
                <w:color w:val="000000"/>
                <w:sz w:val="36"/>
                <w:szCs w:val="36"/>
              </w:rPr>
            </w:pPr>
            <w:r>
              <w:rPr>
                <w:rFonts w:ascii="黑体" w:eastAsia="黑体" w:cs="宋体" w:hAnsi="黑体" w:hint="eastAsia"/>
                <w:bCs/>
                <w:color w:val="000000"/>
                <w:kern w:val="0"/>
                <w:sz w:val="36"/>
                <w:szCs w:val="36"/>
              </w:rPr>
              <w:t>项目支出绩效目标完成情况表</w:t>
            </w:r>
            <w:r>
              <w:rPr>
                <w:rFonts w:ascii="宋体" w:cs="宋体" w:hAnsi="宋体" w:hint="eastAsia"/>
                <w:b/>
                <w:bCs/>
                <w:color w:val="000000"/>
                <w:kern w:val="0"/>
                <w:sz w:val="36"/>
                <w:szCs w:val="36"/>
              </w:rPr>
              <w:br/>
            </w:r>
            <w:r>
              <w:rPr>
                <w:rFonts w:ascii="宋体" w:cs="宋体" w:hAnsi="宋体" w:hint="eastAsia"/>
                <w:color w:val="000000"/>
                <w:kern w:val="0"/>
                <w:sz w:val="36"/>
                <w:szCs w:val="36"/>
              </w:rPr>
              <w:t>(2018 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九广合作及党派团体工作</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中国共产党广元市利州区委员会统一战线工作部</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20万元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20万元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20万元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20万元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color w:val="000000"/>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ind w:firstLineChars="200" w:firstLine="480"/>
              <w:jc w:val="left"/>
              <w:textAlignment w:val="center"/>
              <w:rPr>
                <w:rFonts w:ascii="宋体" w:cs="宋体" w:hAnsi="宋体"/>
                <w:color w:val="000000"/>
                <w:sz w:val="24"/>
              </w:rPr>
            </w:pPr>
            <w:r>
              <w:rPr>
                <w:rFonts w:ascii="宋体" w:cs="宋体" w:hAnsi="宋体" w:hint="eastAsia"/>
                <w:color w:val="000000"/>
                <w:sz w:val="24"/>
              </w:rPr>
              <w:t>保障全区6个民主党派工作顺利开展。</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ind w:firstLineChars="200" w:firstLine="480"/>
              <w:jc w:val="left"/>
              <w:textAlignment w:val="center"/>
              <w:rPr>
                <w:rFonts w:ascii="宋体" w:cs="宋体" w:hAnsi="宋体"/>
                <w:color w:val="000000"/>
                <w:sz w:val="24"/>
              </w:rPr>
            </w:pPr>
            <w:r>
              <w:rPr>
                <w:rFonts w:ascii="宋体" w:cs="宋体" w:hAnsi="宋体" w:hint="eastAsia"/>
                <w:color w:val="000000"/>
                <w:sz w:val="24"/>
              </w:rPr>
              <w:t>为全区6个民主党派工作提供了保障，完成了20万元的资金拨付。</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提高民主党派成员的思想认识</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全年召开党外干部培训2次，提高学员思想认识</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已完成培训100余人次</w:t>
            </w:r>
          </w:p>
        </w:tc>
      </w:tr>
      <w:tr>
        <w:trPr>
          <w:trHeight w:val="127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保障党派工作顺利开展</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保障政治协商、民主监督的开展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拨付党派经费20万元，保障工作顺利开展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hAnsi="宋体"/>
                <w:color w:val="000000"/>
                <w:sz w:val="24"/>
              </w:rPr>
            </w:pPr>
            <w:r>
              <w:rPr>
                <w:rFonts w:ascii="宋体" w:cs="宋体" w:hAnsi="宋体" w:hint="eastAsia"/>
                <w:color w:val="000000"/>
                <w:sz w:val="24"/>
              </w:rPr>
              <w:t xml:space="preserve"> 已按期完成资金拨付</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党派工作出实效</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选拔培养党外干部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hAnsi="宋体"/>
                <w:color w:val="000000"/>
                <w:sz w:val="24"/>
              </w:rPr>
            </w:pPr>
            <w:r>
              <w:rPr>
                <w:rFonts w:ascii="宋体" w:cs="宋体" w:hAnsi="宋体" w:hint="eastAsia"/>
                <w:color w:val="000000"/>
                <w:sz w:val="24"/>
              </w:rPr>
              <w:t>党外干部已按规定配比任职</w:t>
            </w:r>
          </w:p>
        </w:tc>
      </w:tr>
      <w:tr>
        <w:trPr>
          <w:trHeight w:val="1042"/>
        </w:trPr>
        <w:tc>
          <w:tcPr>
            <w:tcW w:w="390"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cs="宋体" w:hAnsi="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党派成员对统战工作的高度认可</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使党派成员能感受到共产党领导的坚定性</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hAnsi="宋体"/>
                <w:color w:val="000000"/>
                <w:sz w:val="24"/>
              </w:rPr>
            </w:pPr>
            <w:r>
              <w:rPr>
                <w:rFonts w:ascii="宋体" w:cs="宋体" w:hAnsi="宋体" w:hint="eastAsia"/>
                <w:color w:val="000000"/>
                <w:sz w:val="24"/>
              </w:rPr>
              <w:t>党派成员从思想、行动上表达了对共产党领导的认可</w:t>
            </w:r>
          </w:p>
        </w:tc>
      </w:tr>
    </w:tbl>
    <w:p>
      <w:pPr>
        <w:spacing w:line="580" w:lineRule="exact"/>
        <w:rPr>
          <w:rFonts w:ascii="仿宋_GB2312" w:eastAsia="仿宋_GB2312" w:cs="仿宋_GB2312" w:hAnsi="仿宋_GB2312"/>
          <w:sz w:val="32"/>
          <w:szCs w:val="32"/>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Mar>
              <w:top w:w="15" w:type="dxa"/>
              <w:left w:w="15" w:type="dxa"/>
              <w:right w:w="15" w:type="dxa"/>
            </w:tcMar>
            <w:vAlign w:val="center"/>
          </w:tcPr>
          <w:p>
            <w:pPr>
              <w:widowControl/>
              <w:jc w:val="center"/>
              <w:textAlignment w:val="center"/>
              <w:rPr>
                <w:rFonts w:ascii="宋体" w:cs="宋体" w:hAnsi="宋体"/>
                <w:color w:val="000000"/>
                <w:sz w:val="36"/>
                <w:szCs w:val="36"/>
              </w:rPr>
            </w:pPr>
            <w:r>
              <w:rPr>
                <w:rFonts w:ascii="黑体" w:eastAsia="黑体" w:cs="宋体" w:hAnsi="黑体" w:hint="eastAsia"/>
                <w:bCs/>
                <w:color w:val="000000"/>
                <w:kern w:val="0"/>
                <w:sz w:val="36"/>
                <w:szCs w:val="36"/>
              </w:rPr>
              <w:t>项目支出绩效目标完成情况表</w:t>
            </w:r>
            <w:r>
              <w:rPr>
                <w:rFonts w:ascii="宋体" w:cs="宋体" w:hAnsi="宋体" w:hint="eastAsia"/>
                <w:b/>
                <w:bCs/>
                <w:color w:val="000000"/>
                <w:kern w:val="0"/>
                <w:sz w:val="36"/>
                <w:szCs w:val="36"/>
              </w:rPr>
              <w:br/>
            </w:r>
            <w:r>
              <w:rPr>
                <w:rFonts w:ascii="宋体" w:cs="宋体" w:hAnsi="宋体" w:hint="eastAsia"/>
                <w:color w:val="000000"/>
                <w:kern w:val="0"/>
                <w:sz w:val="36"/>
                <w:szCs w:val="36"/>
              </w:rPr>
              <w:t>(2018 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新的社会阶层数据调查及非公经济党组建设非公经济综合评论</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中国共产党广元市利州区委员会统一战线工作部</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color w:val="000000"/>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ind w:firstLineChars="200" w:firstLine="480"/>
              <w:jc w:val="left"/>
              <w:textAlignment w:val="center"/>
              <w:rPr>
                <w:rFonts w:ascii="宋体" w:cs="宋体" w:hAnsi="宋体"/>
                <w:color w:val="000000"/>
                <w:sz w:val="24"/>
              </w:rPr>
            </w:pPr>
            <w:r>
              <w:rPr>
                <w:rFonts w:ascii="宋体" w:cs="宋体" w:hAnsi="宋体" w:hint="eastAsia"/>
                <w:color w:val="000000"/>
                <w:sz w:val="24"/>
              </w:rPr>
              <w:t>引导全区非公经济工作顺利开展。</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ind w:firstLineChars="200" w:firstLine="480"/>
              <w:jc w:val="left"/>
              <w:textAlignment w:val="center"/>
              <w:rPr>
                <w:rFonts w:ascii="宋体" w:cs="宋体" w:hAnsi="宋体"/>
                <w:color w:val="000000"/>
                <w:sz w:val="24"/>
              </w:rPr>
            </w:pPr>
            <w:r>
              <w:rPr>
                <w:rFonts w:ascii="宋体" w:cs="宋体" w:hAnsi="宋体" w:hint="eastAsia"/>
                <w:color w:val="000000"/>
                <w:sz w:val="24"/>
              </w:rPr>
              <w:t>正确引导全区非公经济发展，完成了2万元的资金规范使用。</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提高非公经济对党的正确认识</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召开非公经济代表人士培训会</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已完成相关培训</w:t>
            </w:r>
          </w:p>
        </w:tc>
      </w:tr>
      <w:tr>
        <w:trPr>
          <w:trHeight w:val="127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对全区非公经济组织建设提供意见</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对全区非公经济进行调研，对其组织建设提供意见建议</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hAnsi="宋体"/>
                <w:color w:val="000000"/>
                <w:sz w:val="24"/>
              </w:rPr>
            </w:pPr>
            <w:r>
              <w:rPr>
                <w:rFonts w:ascii="宋体" w:cs="宋体" w:hAnsi="宋体" w:hint="eastAsia"/>
                <w:color w:val="000000"/>
                <w:sz w:val="24"/>
              </w:rPr>
              <w:t xml:space="preserve"> 已完成部分组织建设</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hAnsi="宋体"/>
                <w:color w:val="000000"/>
                <w:sz w:val="24"/>
              </w:rPr>
            </w:pPr>
          </w:p>
        </w:tc>
      </w:tr>
      <w:tr>
        <w:trPr>
          <w:trHeight w:val="1042"/>
        </w:trPr>
        <w:tc>
          <w:tcPr>
            <w:tcW w:w="390"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cs="宋体" w:hAnsi="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非公经济人士对统战工作的高度认可</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使非公经济人士能感受到共产党领导的坚定性</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hAnsi="宋体"/>
                <w:color w:val="000000"/>
                <w:sz w:val="24"/>
              </w:rPr>
            </w:pPr>
            <w:r>
              <w:rPr>
                <w:rFonts w:ascii="宋体" w:cs="宋体" w:hAnsi="宋体" w:hint="eastAsia"/>
                <w:color w:val="000000"/>
                <w:sz w:val="24"/>
              </w:rPr>
              <w:t>非公经济代表人士从思想、行动上表达了对共产党领导的认可</w:t>
            </w:r>
          </w:p>
        </w:tc>
      </w:tr>
    </w:tbl>
    <w:p>
      <w:pPr>
        <w:spacing w:line="580" w:lineRule="exact"/>
        <w:rPr>
          <w:rFonts w:ascii="仿宋_GB2312" w:eastAsia="仿宋_GB2312" w:cs="仿宋_GB2312" w:hAnsi="仿宋_GB2312"/>
          <w:sz w:val="32"/>
          <w:szCs w:val="32"/>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Mar>
              <w:top w:w="15" w:type="dxa"/>
              <w:left w:w="15" w:type="dxa"/>
              <w:right w:w="15" w:type="dxa"/>
            </w:tcMar>
            <w:vAlign w:val="center"/>
          </w:tcPr>
          <w:p>
            <w:pPr>
              <w:widowControl/>
              <w:jc w:val="center"/>
              <w:textAlignment w:val="center"/>
              <w:rPr>
                <w:rFonts w:ascii="宋体" w:cs="宋体" w:hAnsi="宋体"/>
                <w:color w:val="000000"/>
                <w:sz w:val="36"/>
                <w:szCs w:val="36"/>
              </w:rPr>
            </w:pPr>
            <w:r>
              <w:rPr>
                <w:rFonts w:ascii="黑体" w:eastAsia="黑体" w:cs="宋体" w:hAnsi="黑体" w:hint="eastAsia"/>
                <w:bCs/>
                <w:color w:val="000000"/>
                <w:kern w:val="0"/>
                <w:sz w:val="36"/>
                <w:szCs w:val="36"/>
              </w:rPr>
              <w:t>项目支出绩效目标完成情况表</w:t>
            </w:r>
            <w:r>
              <w:rPr>
                <w:rFonts w:ascii="宋体" w:cs="宋体" w:hAnsi="宋体" w:hint="eastAsia"/>
                <w:b/>
                <w:bCs/>
                <w:color w:val="000000"/>
                <w:kern w:val="0"/>
                <w:sz w:val="36"/>
                <w:szCs w:val="36"/>
              </w:rPr>
              <w:br/>
            </w:r>
            <w:r>
              <w:rPr>
                <w:rFonts w:ascii="宋体" w:cs="宋体" w:hAnsi="宋体" w:hint="eastAsia"/>
                <w:color w:val="000000"/>
                <w:kern w:val="0"/>
                <w:sz w:val="36"/>
                <w:szCs w:val="36"/>
              </w:rPr>
              <w:t>(2018 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无党派知识分子工作</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中国共产党广元市利州区委员会统一战线工作部</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3万元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3万元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3万元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3万元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color w:val="000000"/>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ind w:firstLineChars="200" w:firstLine="480"/>
              <w:jc w:val="left"/>
              <w:textAlignment w:val="center"/>
              <w:rPr>
                <w:rFonts w:ascii="宋体" w:cs="宋体" w:hAnsi="宋体"/>
                <w:color w:val="000000"/>
                <w:sz w:val="24"/>
              </w:rPr>
            </w:pPr>
            <w:r>
              <w:rPr>
                <w:rFonts w:ascii="宋体" w:cs="宋体" w:hAnsi="宋体" w:hint="eastAsia"/>
                <w:color w:val="000000"/>
                <w:sz w:val="24"/>
              </w:rPr>
              <w:t>提高党外知识分子思想认识，始终与党中央保持一致。</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ind w:firstLineChars="200" w:firstLine="480"/>
              <w:jc w:val="left"/>
              <w:textAlignment w:val="center"/>
              <w:rPr>
                <w:rFonts w:ascii="宋体" w:cs="宋体" w:hAnsi="宋体"/>
                <w:color w:val="000000"/>
                <w:sz w:val="24"/>
              </w:rPr>
            </w:pPr>
            <w:r>
              <w:rPr>
                <w:rFonts w:ascii="宋体" w:cs="宋体" w:hAnsi="宋体" w:hint="eastAsia"/>
                <w:color w:val="000000"/>
                <w:sz w:val="24"/>
              </w:rPr>
              <w:t>正确引导党外知识分子，积极开展党外知识分子工作，完成了3万元的资金规范使用。</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提高党外知识分子对党的正确认识</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通过多种形式开展思想教育</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已完成相关学习工作</w:t>
            </w:r>
          </w:p>
        </w:tc>
      </w:tr>
      <w:tr>
        <w:trPr>
          <w:trHeight w:val="127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对党外知识分子队伍建设提供意见</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对全区党外知识分子结构开展调研，对其队伍建设提供意见建议</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hAnsi="宋体"/>
                <w:color w:val="000000"/>
                <w:sz w:val="24"/>
              </w:rPr>
            </w:pPr>
            <w:r>
              <w:rPr>
                <w:rFonts w:ascii="宋体" w:cs="宋体" w:hAnsi="宋体" w:hint="eastAsia"/>
                <w:color w:val="000000"/>
                <w:sz w:val="24"/>
              </w:rPr>
              <w:t xml:space="preserve"> 已提出相关意见建议，并逐步实施</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hAnsi="宋体"/>
                <w:color w:val="000000"/>
                <w:sz w:val="24"/>
              </w:rPr>
            </w:pPr>
          </w:p>
        </w:tc>
      </w:tr>
      <w:tr>
        <w:trPr>
          <w:trHeight w:val="1042"/>
        </w:trPr>
        <w:tc>
          <w:tcPr>
            <w:tcW w:w="390"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cs="宋体" w:hAnsi="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提高党外知识分子对统战工作的满意度</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使党外知识分子能感受到共产党领导的坚定性</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hAnsi="宋体"/>
                <w:color w:val="000000"/>
                <w:sz w:val="24"/>
              </w:rPr>
            </w:pPr>
            <w:r>
              <w:rPr>
                <w:rFonts w:ascii="宋体" w:cs="宋体" w:hAnsi="宋体" w:hint="eastAsia"/>
                <w:color w:val="000000"/>
                <w:sz w:val="24"/>
              </w:rPr>
              <w:t>党外知识分子对统战工作高度认可</w:t>
            </w:r>
          </w:p>
        </w:tc>
      </w:tr>
    </w:tbl>
    <w:p>
      <w:pPr>
        <w:spacing w:line="580" w:lineRule="exact"/>
        <w:rPr>
          <w:rFonts w:ascii="仿宋_GB2312" w:eastAsia="仿宋_GB2312" w:cs="仿宋_GB2312" w:hAnsi="仿宋_GB2312"/>
          <w:sz w:val="32"/>
          <w:szCs w:val="32"/>
        </w:rPr>
      </w:pPr>
    </w:p>
    <w:p>
      <w:pPr>
        <w:spacing w:line="580" w:lineRule="exact"/>
        <w:rPr>
          <w:rFonts w:ascii="仿宋_GB2312" w:eastAsia="仿宋_GB2312" w:cs="仿宋_GB2312" w:hAnsi="仿宋_GB2312"/>
          <w:sz w:val="32"/>
          <w:szCs w:val="32"/>
        </w:rPr>
      </w:pPr>
    </w:p>
    <w:p>
      <w:pPr>
        <w:numPr>
          <w:ilvl w:val="0"/>
          <w:numId w:val="5"/>
        </w:numPr>
        <w:spacing w:line="580" w:lineRule="exact"/>
        <w:ind w:left="0" w:firstLineChars="200" w:firstLine="640"/>
        <w:rPr>
          <w:rFonts w:ascii="仿宋" w:eastAsia="仿宋" w:cs="仿宋_GB2312" w:hAnsi="仿宋"/>
          <w:sz w:val="32"/>
          <w:szCs w:val="32"/>
        </w:rPr>
      </w:pPr>
      <w:r>
        <w:rPr>
          <w:rFonts w:ascii="仿宋" w:eastAsia="仿宋" w:cs="楷体_GB2312" w:hAnsi="仿宋" w:hint="eastAsia"/>
          <w:b/>
          <w:bCs/>
          <w:sz w:val="32"/>
          <w:szCs w:val="32"/>
        </w:rPr>
        <w:t>部门开展绩效评价结果。</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本部门按要求对2018年部门整体支出绩效评价情况开展自评，《中国共产党广元市利州区委员会统一战线工作部2018年部门整体支出绩效评价报告》见附件。</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本部门自行组织对早期归国华侨生活补助项目、九广合作及党派团体工作项目、新的社会阶层数据调查及非公经济党组建设非公经济综合评论项目、无党派知识分子工作项目开展了绩效评价，《项目2018年绩效评价报告》见附件。</w:t>
      </w:r>
    </w:p>
    <w:p>
      <w:pPr>
        <w:spacing w:line="580" w:lineRule="exact"/>
        <w:jc w:val="center"/>
        <w:rPr>
          <w:rFonts w:ascii="方正小标宋简体" w:eastAsia="方正小标宋简体" w:cs="方正小标宋简体" w:hAnsi="方正小标宋简体"/>
          <w:sz w:val="44"/>
          <w:szCs w:val="44"/>
        </w:rPr>
      </w:pPr>
    </w:p>
    <w:p>
      <w:pPr>
        <w:spacing w:line="600" w:lineRule="exact"/>
        <w:ind w:firstLineChars="250" w:firstLine="800"/>
        <w:outlineLvl w:val="1"/>
        <w:rPr>
          <w:rStyle w:val="2Char"/>
          <w:rFonts w:ascii="黑体" w:eastAsia="黑体" w:hAnsi="黑体"/>
        </w:rPr>
      </w:pPr>
      <w:bookmarkStart w:id="51" w:name="_Toc15377221"/>
      <w:bookmarkStart w:id="52" w:name="_Toc15396612"/>
      <w:r>
        <w:rPr>
          <w:rFonts w:ascii="黑体" w:eastAsia="黑体" w:hAnsi="黑体" w:hint="eastAsia"/>
          <w:color w:val="000000"/>
          <w:sz w:val="32"/>
          <w:szCs w:val="32"/>
        </w:rPr>
        <w:t>十</w:t>
      </w:r>
      <w:r>
        <w:rPr>
          <w:rStyle w:val="2Char"/>
          <w:rFonts w:ascii="黑体" w:eastAsia="黑体" w:hAnsi="黑体" w:hint="eastAsia"/>
        </w:rPr>
        <w:t>一、</w:t>
      </w:r>
      <w:r>
        <w:rPr>
          <w:rStyle w:val="2Char"/>
          <w:rFonts w:ascii="黑体" w:eastAsia="黑体" w:hAnsi="黑体" w:hint="eastAsia"/>
          <w:b w:val="0"/>
        </w:rPr>
        <w:t>其他重要事项的情况说明</w:t>
      </w:r>
      <w:bookmarkEnd w:id="51"/>
      <w:bookmarkEnd w:id="52"/>
    </w:p>
    <w:p>
      <w:pPr>
        <w:spacing w:line="600" w:lineRule="exact"/>
        <w:ind w:firstLineChars="200" w:firstLine="640"/>
        <w:outlineLvl w:val="2"/>
        <w:rPr>
          <w:rFonts w:ascii="仿宋" w:eastAsia="仿宋" w:hAnsi="仿宋"/>
          <w:color w:val="000000"/>
          <w:sz w:val="32"/>
          <w:szCs w:val="32"/>
        </w:rPr>
      </w:pPr>
      <w:bookmarkStart w:id="53" w:name="_Toc15377222"/>
      <w:r>
        <w:rPr>
          <w:rFonts w:ascii="仿宋" w:eastAsia="仿宋" w:hAnsi="仿宋" w:hint="eastAsia"/>
          <w:b/>
          <w:color w:val="000000"/>
          <w:sz w:val="32"/>
          <w:szCs w:val="32"/>
        </w:rPr>
        <w:t>（一）机关运行经费支出情况</w:t>
      </w:r>
      <w:bookmarkEnd w:id="53"/>
    </w:p>
    <w:p>
      <w:pPr>
        <w:spacing w:line="600" w:lineRule="exact"/>
        <w:ind w:firstLineChars="200" w:firstLine="640"/>
        <w:rPr>
          <w:rFonts w:ascii="仿宋_GB2312" w:eastAsia="仿宋_GB2312"/>
          <w:color w:val="000000"/>
          <w:sz w:val="32"/>
          <w:szCs w:val="32"/>
          <w14:textFill>
            <w14:solidFill>
              <w14:srgbClr w14:val="000000"/>
            </w14:solidFill>
          </w14:textFill>
        </w:rPr>
      </w:pPr>
      <w:r>
        <w:rPr>
          <w:rFonts w:ascii="仿宋_GB2312" w:eastAsia="仿宋_GB2312"/>
          <w:color w:val="000000"/>
          <w:sz w:val="32"/>
          <w:szCs w:val="32"/>
        </w:rPr>
        <w:t>201</w:t>
      </w:r>
      <w:r>
        <w:rPr>
          <w:rFonts w:ascii="仿宋_GB2312" w:eastAsia="仿宋_GB2312" w:hint="eastAsia"/>
          <w:color w:val="000000"/>
          <w:sz w:val="32"/>
          <w:szCs w:val="32"/>
        </w:rPr>
        <w:t>8年，</w:t>
      </w:r>
      <w:r>
        <w:rPr>
          <w:rFonts w:ascii="仿宋_GB2312" w:eastAsia="仿宋_GB2312" w:cs="仿宋_GB2312" w:hAnsi="仿宋_GB2312" w:hint="eastAsia"/>
          <w:sz w:val="32"/>
          <w:szCs w:val="32"/>
        </w:rPr>
        <w:t>中国共产党广元市利州区委员会统一战线工作部</w:t>
      </w:r>
      <w:r>
        <w:rPr>
          <w:rFonts w:ascii="仿宋_GB2312" w:eastAsia="仿宋_GB2312" w:hint="eastAsia"/>
          <w:color w:val="000000"/>
          <w:sz w:val="32"/>
          <w:szCs w:val="32"/>
        </w:rPr>
        <w:t>机关运行经费支出43万元，比</w:t>
      </w:r>
      <w:r>
        <w:rPr>
          <w:rFonts w:ascii="仿宋_GB2312" w:eastAsia="仿宋_GB2312"/>
          <w:color w:val="000000"/>
          <w:sz w:val="32"/>
          <w:szCs w:val="32"/>
        </w:rPr>
        <w:t>201</w:t>
      </w:r>
      <w:r>
        <w:rPr>
          <w:rFonts w:ascii="仿宋_GB2312" w:eastAsia="仿宋_GB2312" w:hint="eastAsia"/>
          <w:color w:val="000000"/>
          <w:sz w:val="32"/>
          <w:szCs w:val="32"/>
        </w:rPr>
        <w:t>7年增加17.08万元，增长65</w:t>
      </w:r>
      <w:r>
        <w:rPr>
          <w:rFonts w:ascii="仿宋_GB2312" w:eastAsia="仿宋_GB2312"/>
          <w:color w:val="000000"/>
          <w:sz w:val="32"/>
          <w:szCs w:val="32"/>
        </w:rPr>
        <w:t>%</w:t>
      </w:r>
      <w:r>
        <w:rPr>
          <w:rFonts w:ascii="仿宋_GB2312" w:eastAsia="仿宋_GB2312" w:hint="eastAsia"/>
          <w:color w:val="000000"/>
          <w:sz w:val="32"/>
          <w:szCs w:val="32"/>
        </w:rPr>
        <w:t>。</w:t>
      </w:r>
      <w:r>
        <w:rPr>
          <w:rFonts w:ascii="仿宋_GB2312" w:eastAsia="仿宋_GB2312" w:hint="eastAsia"/>
          <w:color w:val="000000"/>
          <w:sz w:val="32"/>
          <w:szCs w:val="32"/>
          <w14:textFill>
            <w14:solidFill>
              <w14:srgbClr w14:val="000000"/>
            </w14:solidFill>
          </w14:textFill>
        </w:rPr>
        <w:t>主要原因是机关运行成本和人员经费支出增加。</w:t>
      </w:r>
    </w:p>
    <w:p>
      <w:pPr>
        <w:autoSpaceDE w:val="0"/>
        <w:autoSpaceDN w:val="0"/>
        <w:adjustRightInd w:val="0"/>
        <w:spacing w:line="600" w:lineRule="exact"/>
        <w:ind w:firstLineChars="200" w:firstLine="640"/>
        <w:jc w:val="left"/>
        <w:outlineLvl w:val="2"/>
        <w:rPr>
          <w:rFonts w:ascii="仿宋" w:eastAsia="仿宋" w:hAnsi="仿宋"/>
          <w:b/>
          <w:color w:val="000000"/>
          <w:sz w:val="32"/>
          <w:szCs w:val="32"/>
        </w:rPr>
      </w:pPr>
      <w:bookmarkStart w:id="54" w:name="_Toc15377223"/>
      <w:r>
        <w:rPr>
          <w:rFonts w:ascii="仿宋" w:eastAsia="仿宋" w:hAnsi="仿宋" w:hint="eastAsia"/>
          <w:b/>
          <w:color w:val="000000"/>
          <w:sz w:val="32"/>
          <w:szCs w:val="32"/>
        </w:rPr>
        <w:t>（二）政府采购支出情况</w:t>
      </w:r>
      <w:bookmarkEnd w:id="54"/>
    </w:p>
    <w:p>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w:t>
      </w:r>
      <w:r>
        <w:rPr>
          <w:rFonts w:ascii="仿宋_GB2312" w:eastAsia="仿宋_GB2312" w:cs="仿宋_GB2312" w:hAnsi="仿宋_GB2312" w:hint="eastAsia"/>
          <w:sz w:val="32"/>
          <w:szCs w:val="32"/>
        </w:rPr>
        <w:t>中国共产党广元市利州区委员会统一战线工作部</w:t>
      </w:r>
      <w:r>
        <w:rPr>
          <w:rFonts w:ascii="仿宋_GB2312" w:eastAsia="仿宋_GB2312" w:hint="eastAsia"/>
          <w:color w:val="000000"/>
          <w:sz w:val="32"/>
          <w:szCs w:val="32"/>
        </w:rPr>
        <w:t>政府采购支出总额0万元。</w:t>
      </w:r>
    </w:p>
    <w:p>
      <w:pPr>
        <w:autoSpaceDE w:val="0"/>
        <w:autoSpaceDN w:val="0"/>
        <w:adjustRightInd w:val="0"/>
        <w:spacing w:line="600" w:lineRule="exact"/>
        <w:ind w:firstLineChars="200" w:firstLine="640"/>
        <w:jc w:val="left"/>
        <w:outlineLvl w:val="2"/>
        <w:rPr>
          <w:rFonts w:ascii="仿宋" w:eastAsia="仿宋" w:hAnsi="仿宋"/>
          <w:b/>
          <w:color w:val="000000"/>
          <w:sz w:val="32"/>
          <w:szCs w:val="32"/>
        </w:rPr>
      </w:pPr>
      <w:bookmarkStart w:id="55" w:name="_Toc15377224"/>
      <w:r>
        <w:rPr>
          <w:rFonts w:ascii="仿宋" w:eastAsia="仿宋" w:hAnsi="仿宋" w:hint="eastAsia"/>
          <w:b/>
          <w:color w:val="000000"/>
          <w:sz w:val="32"/>
          <w:szCs w:val="32"/>
        </w:rPr>
        <w:t>（三）国有资产占有使用情况</w:t>
      </w:r>
      <w:bookmarkEnd w:id="55"/>
    </w:p>
    <w:p>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8年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r>
        <w:rPr>
          <w:rFonts w:ascii="仿宋_GB2312" w:eastAsia="仿宋_GB2312" w:cs="仿宋_GB2312" w:hAnsi="仿宋_GB2312" w:hint="eastAsia"/>
          <w:sz w:val="32"/>
          <w:szCs w:val="32"/>
        </w:rPr>
        <w:t>中国共产党广元市利州区委员会统一战线工作部</w:t>
      </w:r>
      <w:r>
        <w:rPr>
          <w:rFonts w:ascii="仿宋_GB2312" w:eastAsia="仿宋_GB2312" w:hint="eastAsia"/>
          <w:color w:val="000000"/>
          <w:sz w:val="32"/>
          <w:szCs w:val="32"/>
        </w:rPr>
        <w:t>共有车辆1辆，其中：部级领导干部用车0辆、一般公务用车1辆（公车改革后已调到其他部门使用，但还未办理过户手续，未做账务处理）、一般执法执勤用车0辆、特种专业技术用车0辆、其他用车0辆，</w:t>
      </w:r>
      <w:r>
        <w:rPr>
          <w:rFonts w:ascii="仿宋_GB2312" w:eastAsia="仿宋_GB2312" w:hint="eastAsia"/>
          <w:color w:val="000000"/>
          <w:sz w:val="32"/>
          <w:szCs w:val="32"/>
          <w14:textFill>
            <w14:solidFill>
              <w14:srgbClr w14:val="000000"/>
            </w14:solidFill>
          </w14:textFill>
        </w:rPr>
        <w:t>单价</w:t>
      </w:r>
      <w:r>
        <w:rPr>
          <w:rFonts w:ascii="仿宋_GB2312" w:eastAsia="仿宋_GB2312"/>
          <w:color w:val="000000"/>
          <w:sz w:val="32"/>
          <w:szCs w:val="32"/>
          <w14:textFill>
            <w14:solidFill>
              <w14:srgbClr w14:val="000000"/>
            </w14:solidFill>
          </w14:textFill>
        </w:rPr>
        <w:t>50</w:t>
      </w:r>
      <w:r>
        <w:rPr>
          <w:rFonts w:ascii="仿宋_GB2312" w:eastAsia="仿宋_GB2312" w:hint="eastAsia"/>
          <w:color w:val="000000"/>
          <w:sz w:val="32"/>
          <w:szCs w:val="32"/>
          <w14:textFill>
            <w14:solidFill>
              <w14:srgbClr w14:val="000000"/>
            </w14:solidFill>
          </w14:textFill>
        </w:rPr>
        <w:t>万元以上通用设备0台（套），单价</w:t>
      </w:r>
      <w:r>
        <w:rPr>
          <w:rFonts w:ascii="仿宋_GB2312" w:eastAsia="仿宋_GB2312"/>
          <w:color w:val="000000"/>
          <w:sz w:val="32"/>
          <w:szCs w:val="32"/>
          <w14:textFill>
            <w14:solidFill>
              <w14:srgbClr w14:val="000000"/>
            </w14:solidFill>
          </w14:textFill>
        </w:rPr>
        <w:t>100</w:t>
      </w:r>
      <w:r>
        <w:rPr>
          <w:rFonts w:ascii="仿宋_GB2312" w:eastAsia="仿宋_GB2312" w:hint="eastAsia"/>
          <w:color w:val="000000"/>
          <w:sz w:val="32"/>
          <w:szCs w:val="32"/>
        </w:rPr>
        <w:t>万元以上专用设备0台（套）。</w:t>
      </w:r>
    </w:p>
    <w:p>
      <w:pPr>
        <w:spacing w:line="600" w:lineRule="atLeast"/>
        <w:ind w:firstLineChars="200" w:firstLine="64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7"/>
        </w:numPr>
        <w:spacing w:line="600" w:lineRule="exact"/>
        <w:ind w:left="0" w:firstLineChars="150" w:firstLine="660"/>
        <w:jc w:val="center"/>
        <w:outlineLvl w:val="0"/>
        <w:rPr>
          <w:rStyle w:val="1Char"/>
          <w:rFonts w:ascii="黑体" w:eastAsia="黑体" w:hAnsi="黑体"/>
          <w:b w:val="0"/>
        </w:rPr>
      </w:pPr>
      <w:bookmarkStart w:id="56" w:name="_Toc15377225"/>
      <w:bookmarkStart w:id="57" w:name="_Toc15396613"/>
      <w:r>
        <w:rPr>
          <w:rFonts w:ascii="黑体" w:eastAsia="黑体" w:hAnsi="黑体" w:hint="eastAsia"/>
          <w:b/>
          <w:color w:val="000000"/>
          <w:sz w:val="44"/>
          <w:szCs w:val="44"/>
        </w:rPr>
        <w:t>名</w:t>
      </w:r>
      <w:r>
        <w:rPr>
          <w:rStyle w:val="1Char"/>
          <w:rFonts w:ascii="黑体" w:eastAsia="黑体" w:hAnsi="黑体" w:hint="eastAsia"/>
          <w:b w:val="0"/>
        </w:rPr>
        <w:t>词解释</w:t>
      </w:r>
      <w:bookmarkEnd w:id="56"/>
      <w:bookmarkEnd w:id="57"/>
    </w:p>
    <w:p>
      <w:pPr>
        <w:spacing w:line="600" w:lineRule="exact"/>
        <w:jc w:val="left"/>
        <w:rPr>
          <w:rFonts w:ascii="宋体"/>
          <w:b/>
          <w:color w:val="000000"/>
          <w:sz w:val="44"/>
          <w:szCs w:val="44"/>
        </w:rPr>
      </w:pPr>
    </w:p>
    <w:p>
      <w:pPr>
        <w:pStyle w:val="27"/>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w:t>
      </w:r>
      <w:r>
        <w:rPr>
          <w:rFonts w:ascii="仿宋_GB2312" w:eastAsia="仿宋_GB2312"/>
          <w:sz w:val="32"/>
          <w:szCs w:val="32"/>
        </w:rPr>
        <w:t xml:space="preserve"> </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pPr>
        <w:ind w:firstLineChars="200" w:firstLine="640"/>
        <w:rPr>
          <w:rFonts w:ascii="仿宋_GB2312" w:eastAsia="仿宋_GB2312" w:cs="仿宋" w:hAnsi="Calibri"/>
          <w:color w:val="000000"/>
          <w:kern w:val="0"/>
          <w:sz w:val="32"/>
          <w:szCs w:val="32"/>
        </w:rPr>
      </w:pPr>
      <w:r>
        <w:rPr>
          <w:rFonts w:ascii="仿宋_GB2312" w:eastAsia="仿宋_GB2312" w:cs="仿宋" w:hAnsi="Calibri"/>
          <w:color w:val="000000"/>
          <w:kern w:val="0"/>
          <w:sz w:val="32"/>
          <w:szCs w:val="32"/>
        </w:rPr>
        <w:t>9.</w:t>
      </w:r>
      <w:r>
        <w:rPr>
          <w:rFonts w:ascii="仿宋_GB2312" w:eastAsia="仿宋_GB2312" w:cs="仿宋" w:hAnsi="Calibri" w:hint="eastAsia"/>
          <w:color w:val="000000"/>
          <w:kern w:val="0"/>
          <w:sz w:val="32"/>
          <w:szCs w:val="32"/>
        </w:rPr>
        <w:t>一般公共服务（类）201（款）34（项）01：指中国共产党统战部门的事务的基本支出。</w:t>
      </w:r>
    </w:p>
    <w:p>
      <w:pPr>
        <w:ind w:firstLineChars="200" w:firstLine="640"/>
        <w:rPr>
          <w:rFonts w:ascii="仿宋_GB2312" w:eastAsia="仿宋_GB2312" w:cs="仿宋" w:hAnsi="Calibri"/>
          <w:color w:val="000000"/>
          <w:kern w:val="0"/>
          <w:sz w:val="32"/>
          <w:szCs w:val="32"/>
        </w:rPr>
      </w:pPr>
      <w:r>
        <w:rPr>
          <w:rFonts w:ascii="仿宋_GB2312" w:eastAsia="仿宋_GB2312" w:cs="仿宋" w:hAnsi="Calibri"/>
          <w:color w:val="000000"/>
          <w:kern w:val="0"/>
          <w:sz w:val="32"/>
          <w:szCs w:val="32"/>
        </w:rPr>
        <w:t>10.</w:t>
      </w:r>
      <w:r>
        <w:rPr>
          <w:rFonts w:ascii="仿宋_GB2312" w:eastAsia="仿宋_GB2312" w:cs="仿宋" w:hAnsi="Calibri" w:hint="eastAsia"/>
          <w:color w:val="000000"/>
          <w:kern w:val="0"/>
          <w:sz w:val="32"/>
          <w:szCs w:val="32"/>
        </w:rPr>
        <w:t xml:space="preserve"> 一般公共服务（类）201（款）34（项）02：指中国共产党统战部门的未单独设置项级科目的其他项目支出。</w:t>
      </w:r>
    </w:p>
    <w:p>
      <w:pPr>
        <w:ind w:firstLineChars="200" w:firstLine="640"/>
        <w:rPr>
          <w:rFonts w:ascii="仿宋_GB2312" w:eastAsia="仿宋_GB2312" w:cs="仿宋" w:hAnsi="Calibri"/>
          <w:color w:val="000000"/>
          <w:kern w:val="0"/>
          <w:sz w:val="32"/>
          <w:szCs w:val="32"/>
        </w:rPr>
      </w:pPr>
      <w:r>
        <w:rPr>
          <w:rFonts w:ascii="仿宋_GB2312" w:eastAsia="仿宋_GB2312" w:cs="仿宋" w:hAnsi="Calibri" w:hint="eastAsia"/>
          <w:color w:val="000000"/>
          <w:kern w:val="0"/>
          <w:sz w:val="32"/>
          <w:szCs w:val="32"/>
        </w:rPr>
        <w:t>11.社会保障和就业（类）208（款）05（项）05：指机关事业单位实施养老保险制度由单位缴纳的基本养老保险费支出。</w:t>
      </w:r>
    </w:p>
    <w:p>
      <w:pPr>
        <w:ind w:firstLineChars="200" w:firstLine="640"/>
        <w:rPr>
          <w:rFonts w:ascii="仿宋_GB2312" w:eastAsia="仿宋_GB2312" w:cs="仿宋" w:hAnsi="Calibri"/>
          <w:color w:val="000000"/>
          <w:kern w:val="0"/>
          <w:sz w:val="32"/>
          <w:szCs w:val="32"/>
        </w:rPr>
      </w:pPr>
      <w:r>
        <w:rPr>
          <w:rFonts w:ascii="仿宋_GB2312" w:eastAsia="仿宋_GB2312" w:cs="仿宋" w:hAnsi="Calibri"/>
          <w:color w:val="000000"/>
          <w:kern w:val="0"/>
          <w:sz w:val="32"/>
          <w:szCs w:val="32"/>
        </w:rPr>
        <w:t>1</w:t>
      </w:r>
      <w:r>
        <w:rPr>
          <w:rFonts w:ascii="仿宋_GB2312" w:eastAsia="仿宋_GB2312" w:cs="仿宋" w:hAnsi="Calibri" w:hint="eastAsia"/>
          <w:color w:val="000000"/>
          <w:kern w:val="0"/>
          <w:sz w:val="32"/>
          <w:szCs w:val="32"/>
        </w:rPr>
        <w:t>2</w:t>
      </w:r>
      <w:r>
        <w:rPr>
          <w:rFonts w:ascii="仿宋_GB2312" w:eastAsia="仿宋_GB2312" w:cs="仿宋" w:hAnsi="Calibri"/>
          <w:color w:val="000000"/>
          <w:kern w:val="0"/>
          <w:sz w:val="32"/>
          <w:szCs w:val="32"/>
        </w:rPr>
        <w:t>.</w:t>
      </w:r>
      <w:r>
        <w:rPr>
          <w:rFonts w:ascii="仿宋_GB2312" w:eastAsia="仿宋_GB2312" w:cs="仿宋" w:hAnsi="Calibri" w:hint="eastAsia"/>
          <w:color w:val="000000"/>
          <w:kern w:val="0"/>
          <w:sz w:val="32"/>
          <w:szCs w:val="32"/>
        </w:rPr>
        <w:t xml:space="preserve"> 社会保障和就业（类）208（款）05（项）06：指机关事业单位实施养老保险制度由单位实际缴纳的职业年金支出</w:t>
      </w:r>
    </w:p>
    <w:p>
      <w:pPr>
        <w:ind w:firstLineChars="200" w:firstLine="640"/>
        <w:rPr>
          <w:rFonts w:ascii="仿宋_GB2312" w:eastAsia="仿宋_GB2312" w:cs="仿宋" w:hAnsi="Calibri"/>
          <w:color w:val="000000"/>
          <w:kern w:val="0"/>
          <w:sz w:val="32"/>
          <w:szCs w:val="32"/>
        </w:rPr>
      </w:pPr>
      <w:r>
        <w:rPr>
          <w:rFonts w:ascii="仿宋_GB2312" w:eastAsia="仿宋_GB2312" w:cs="仿宋" w:hAnsi="Calibri" w:hint="eastAsia"/>
          <w:color w:val="000000"/>
          <w:kern w:val="0"/>
          <w:sz w:val="32"/>
          <w:szCs w:val="32"/>
        </w:rPr>
        <w:t>13.医疗卫生与计划生育（类）210（款）11（项）01：指财政部门集中安排的行政单位基本医疗保险缴费经费，未参加医疗保险的行政单位的公费医疗经费，按国家规定享受离休人员、红军老战士待遇人员的医疗经费。</w:t>
      </w:r>
    </w:p>
    <w:p>
      <w:pPr>
        <w:ind w:firstLineChars="200" w:firstLine="640"/>
        <w:rPr>
          <w:rFonts w:ascii="仿宋_GB2312" w:eastAsia="仿宋_GB2312" w:cs="仿宋" w:hAnsi="Calibri"/>
          <w:color w:val="000000"/>
          <w:kern w:val="0"/>
          <w:sz w:val="32"/>
          <w:szCs w:val="32"/>
        </w:rPr>
      </w:pPr>
      <w:r>
        <w:rPr>
          <w:rFonts w:ascii="仿宋_GB2312" w:eastAsia="仿宋_GB2312" w:cs="仿宋" w:hAnsi="Calibri"/>
          <w:color w:val="000000"/>
          <w:kern w:val="0"/>
          <w:sz w:val="32"/>
          <w:szCs w:val="32"/>
        </w:rPr>
        <w:t>1</w:t>
      </w:r>
      <w:r>
        <w:rPr>
          <w:rFonts w:ascii="仿宋_GB2312" w:eastAsia="仿宋_GB2312" w:cs="仿宋" w:hAnsi="Calibri" w:hint="eastAsia"/>
          <w:color w:val="000000"/>
          <w:kern w:val="0"/>
          <w:sz w:val="32"/>
          <w:szCs w:val="32"/>
        </w:rPr>
        <w:t>4</w:t>
      </w:r>
      <w:r>
        <w:rPr>
          <w:rFonts w:ascii="仿宋_GB2312" w:eastAsia="仿宋_GB2312" w:cs="仿宋" w:hAnsi="Calibri"/>
          <w:color w:val="000000"/>
          <w:kern w:val="0"/>
          <w:sz w:val="32"/>
          <w:szCs w:val="32"/>
        </w:rPr>
        <w:t>.</w:t>
      </w:r>
      <w:r>
        <w:rPr>
          <w:rFonts w:ascii="仿宋_GB2312" w:eastAsia="仿宋_GB2312" w:cs="仿宋" w:hAnsi="Calibri" w:hint="eastAsia"/>
          <w:color w:val="000000"/>
          <w:kern w:val="0"/>
          <w:sz w:val="32"/>
          <w:szCs w:val="32"/>
        </w:rPr>
        <w:t>农林水（类）213（款）05（项）99：指其他用于扶贫方面的支出。</w:t>
      </w:r>
    </w:p>
    <w:p>
      <w:pPr>
        <w:ind w:firstLineChars="200" w:firstLine="640"/>
        <w:rPr>
          <w:rFonts w:ascii="仿宋_GB2312" w:eastAsia="仿宋_GB2312" w:cs="仿宋" w:hAnsi="Calibri"/>
          <w:color w:val="000000"/>
          <w:kern w:val="0"/>
          <w:sz w:val="32"/>
          <w:szCs w:val="32"/>
        </w:rPr>
      </w:pPr>
      <w:r>
        <w:rPr>
          <w:rFonts w:ascii="仿宋_GB2312" w:eastAsia="仿宋_GB2312" w:cs="仿宋" w:hAnsi="Calibri" w:hint="eastAsia"/>
          <w:color w:val="000000"/>
          <w:kern w:val="0"/>
          <w:sz w:val="32"/>
          <w:szCs w:val="32"/>
        </w:rPr>
        <w:t>15</w:t>
      </w:r>
      <w:r>
        <w:rPr>
          <w:rFonts w:ascii="仿宋_GB2312" w:eastAsia="仿宋_GB2312" w:cs="仿宋" w:hAnsi="Calibri"/>
          <w:color w:val="000000"/>
          <w:kern w:val="0"/>
          <w:sz w:val="32"/>
          <w:szCs w:val="32"/>
        </w:rPr>
        <w:t>.</w:t>
      </w:r>
      <w:r>
        <w:rPr>
          <w:rFonts w:ascii="仿宋_GB2312" w:eastAsia="仿宋_GB2312" w:cs="仿宋" w:hAnsi="Calibri" w:hint="eastAsia"/>
          <w:color w:val="000000"/>
          <w:kern w:val="0"/>
          <w:sz w:val="32"/>
          <w:szCs w:val="32"/>
        </w:rPr>
        <w:t>住房保障（类）221（款）02（项）01：指行政事业单位按人力资源和社会保障部、财政部规定的基本工资和津贴补贴以及规定比例为职工缴纳的住房公积金。</w:t>
      </w:r>
    </w:p>
    <w:p>
      <w:pPr>
        <w:ind w:firstLineChars="200" w:firstLine="640"/>
        <w:rPr>
          <w:rFonts w:ascii="仿宋_GB2312" w:eastAsia="仿宋_GB2312"/>
          <w:color w:val="000000"/>
          <w:sz w:val="32"/>
          <w:szCs w:val="32"/>
        </w:rPr>
      </w:pPr>
      <w:r>
        <w:rPr>
          <w:rFonts w:ascii="仿宋_GB2312" w:eastAsia="仿宋_GB2312" w:hint="eastAsia"/>
          <w:color w:val="000000"/>
          <w:sz w:val="32"/>
          <w:szCs w:val="32"/>
        </w:rPr>
        <w:t>16</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pPr>
        <w:ind w:firstLineChars="200" w:firstLine="640"/>
        <w:rPr>
          <w:rFonts w:ascii="仿宋_GB2312" w:eastAsia="仿宋_GB2312"/>
          <w:color w:val="000000"/>
          <w:sz w:val="32"/>
          <w:szCs w:val="32"/>
        </w:rPr>
      </w:pPr>
      <w:r>
        <w:rPr>
          <w:rFonts w:ascii="仿宋_GB2312" w:eastAsia="仿宋_GB2312" w:hint="eastAsia"/>
          <w:color w:val="000000"/>
          <w:sz w:val="32"/>
          <w:szCs w:val="32"/>
        </w:rPr>
        <w:t>17</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Chars="200" w:firstLine="640"/>
        <w:rPr>
          <w:rFonts w:ascii="仿宋_GB2312" w:eastAsia="仿宋_GB2312"/>
          <w:color w:val="000000"/>
          <w:sz w:val="32"/>
          <w:szCs w:val="32"/>
        </w:rPr>
      </w:pPr>
      <w:r>
        <w:rPr>
          <w:rFonts w:ascii="仿宋_GB2312" w:eastAsia="仿宋_GB2312" w:hint="eastAsia"/>
          <w:color w:val="000000"/>
          <w:sz w:val="32"/>
          <w:szCs w:val="32"/>
        </w:rPr>
        <w:t>18</w:t>
      </w:r>
      <w:r>
        <w:rPr>
          <w:rFonts w:ascii="仿宋_GB2312" w:eastAsia="仿宋_GB2312"/>
          <w:color w:val="000000"/>
          <w:sz w:val="32"/>
          <w:szCs w:val="32"/>
        </w:rPr>
        <w:t>.</w:t>
      </w:r>
      <w:r>
        <w:rPr>
          <w:rFonts w:ascii="仿宋_GB2312" w:eastAsia="仿宋_GB2312" w:hint="eastAsia"/>
          <w:color w:val="000000"/>
          <w:sz w:val="32"/>
          <w:szCs w:val="32"/>
        </w:rPr>
        <w:t>经营支出：指事业单位在专业业务活动及其辅助活动之外开展非独立核算经营活动发生的支出。</w:t>
      </w:r>
    </w:p>
    <w:p>
      <w:pPr>
        <w:pStyle w:val="27"/>
        <w:spacing w:line="560" w:lineRule="exact"/>
        <w:ind w:firstLineChars="200" w:firstLine="640"/>
        <w:rPr>
          <w:rFonts w:ascii="仿宋_GB2312" w:eastAsia="仿宋_GB2312"/>
          <w:sz w:val="32"/>
          <w:szCs w:val="32"/>
        </w:rPr>
      </w:pPr>
      <w:r>
        <w:rPr>
          <w:rFonts w:ascii="仿宋_GB2312" w:eastAsia="仿宋_GB2312" w:hint="eastAsia"/>
          <w:sz w:val="32"/>
          <w:szCs w:val="32"/>
        </w:rPr>
        <w:t>19</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Chars="200" w:firstLine="640"/>
        <w:rPr>
          <w:rFonts w:ascii="仿宋_GB2312" w:eastAsia="仿宋_GB2312"/>
          <w:sz w:val="32"/>
          <w:szCs w:val="32"/>
        </w:rPr>
      </w:pPr>
      <w:r>
        <w:rPr>
          <w:rFonts w:ascii="仿宋_GB2312" w:eastAsia="仿宋_GB2312" w:hint="eastAsia"/>
          <w:sz w:val="32"/>
          <w:szCs w:val="32"/>
        </w:rPr>
        <w:t>20</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Char"/>
          <w:rFonts w:ascii="黑体" w:eastAsia="黑体" w:hAnsi="黑体"/>
          <w:b w:val="0"/>
        </w:rPr>
      </w:pPr>
      <w:bookmarkStart w:id="58" w:name="_Toc15377226"/>
      <w:r>
        <w:rPr>
          <w:rFonts w:ascii="宋体"/>
          <w:b/>
          <w:color w:val="000000"/>
          <w:sz w:val="44"/>
          <w:szCs w:val="44"/>
        </w:rPr>
        <w:br w:type="page"/>
      </w:r>
      <w:bookmarkStart w:id="59" w:name="_Toc15396614"/>
      <w:r>
        <w:rPr>
          <w:rFonts w:ascii="黑体" w:eastAsia="黑体" w:hAnsi="黑体" w:hint="eastAsia"/>
          <w:color w:val="000000"/>
          <w:sz w:val="44"/>
          <w:szCs w:val="44"/>
        </w:rPr>
        <w:t>第</w:t>
      </w:r>
      <w:r>
        <w:rPr>
          <w:rStyle w:val="1Char"/>
          <w:rFonts w:ascii="黑体" w:eastAsia="黑体" w:hAnsi="黑体" w:hint="eastAsia"/>
          <w:b w:val="0"/>
        </w:rPr>
        <w:t>四部分 附件</w:t>
      </w:r>
      <w:bookmarkEnd w:id="59"/>
    </w:p>
    <w:p>
      <w:pPr>
        <w:spacing w:line="600" w:lineRule="exact"/>
        <w:jc w:val="center"/>
        <w:outlineLvl w:val="0"/>
        <w:rPr>
          <w:rStyle w:val="1Char"/>
        </w:rPr>
      </w:pPr>
    </w:p>
    <w:p>
      <w:pPr>
        <w:pStyle w:val="2"/>
        <w:rPr>
          <w:rStyle w:val="1Char"/>
          <w:rFonts w:ascii="仿宋" w:eastAsia="仿宋" w:hAnsi="仿宋"/>
          <w:b w:val="0"/>
          <w:bCs w:val="0"/>
          <w:sz w:val="32"/>
          <w:szCs w:val="32"/>
        </w:rPr>
      </w:pPr>
      <w:bookmarkStart w:id="60" w:name="_Toc15396615"/>
      <w:r>
        <w:rPr>
          <w:rStyle w:val="1Char"/>
          <w:rFonts w:ascii="仿宋" w:eastAsia="仿宋" w:hAnsi="仿宋" w:hint="eastAsia"/>
          <w:b w:val="0"/>
          <w:bCs w:val="0"/>
          <w:sz w:val="32"/>
          <w:szCs w:val="32"/>
        </w:rPr>
        <w:t>附件1</w:t>
      </w:r>
      <w:bookmarkEnd w:id="60"/>
    </w:p>
    <w:p>
      <w:pPr>
        <w:spacing w:line="600" w:lineRule="exact"/>
        <w:jc w:val="center"/>
        <w:outlineLvl w:val="0"/>
        <w:rPr>
          <w:rFonts w:ascii="黑体" w:eastAsia="黑体" w:cs="方正小标宋简体" w:hAnsi="黑体"/>
          <w:sz w:val="36"/>
          <w:szCs w:val="36"/>
        </w:rPr>
      </w:pPr>
      <w:bookmarkStart w:id="61" w:name="_Toc15396616"/>
      <w:r>
        <w:rPr>
          <w:rFonts w:ascii="黑体" w:eastAsia="黑体" w:cs="方正小标宋简体" w:hAnsi="黑体" w:hint="eastAsia"/>
          <w:sz w:val="36"/>
          <w:szCs w:val="36"/>
        </w:rPr>
        <w:t>中国共产党广元市利州区委员会统一战线工作部2018年部门整体支出绩效评价报告</w:t>
      </w:r>
      <w:bookmarkEnd w:id="61"/>
    </w:p>
    <w:p>
      <w:pPr>
        <w:spacing w:line="580" w:lineRule="exact"/>
        <w:ind w:firstLineChars="200" w:firstLine="640"/>
        <w:rPr>
          <w:rFonts w:ascii="黑体" w:eastAsia="黑体" w:cs="黑体" w:hAnsi="黑体"/>
          <w:sz w:val="32"/>
          <w:szCs w:val="32"/>
        </w:rPr>
      </w:pPr>
    </w:p>
    <w:p>
      <w:pPr>
        <w:spacing w:line="580" w:lineRule="exact"/>
        <w:ind w:firstLineChars="200" w:firstLine="640"/>
        <w:rPr>
          <w:rFonts w:ascii="黑体" w:eastAsia="黑体" w:cs="黑体" w:hAnsi="黑体"/>
          <w:sz w:val="32"/>
          <w:szCs w:val="32"/>
        </w:rPr>
      </w:pPr>
      <w:r>
        <w:rPr>
          <w:rFonts w:ascii="黑体" w:eastAsia="黑体" w:cs="黑体" w:hAnsi="黑体" w:hint="eastAsia"/>
          <w:sz w:val="32"/>
          <w:szCs w:val="32"/>
        </w:rPr>
        <w:t>一、部门（单位）概况</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（一）机构组成</w:t>
      </w:r>
      <w:r>
        <w:rPr>
          <w:rFonts w:ascii="仿宋" w:eastAsia="仿宋" w:cs="仿宋_GB2312" w:hAnsi="仿宋" w:hint="eastAsia"/>
          <w:sz w:val="32"/>
          <w:szCs w:val="32"/>
        </w:rPr>
        <w:t>：中国共产党广元市利州区委员会统一战线工作部是区委联系统一战线的职能机关，本单位属独立编制机构，属一级预算单位，无下属单位。</w:t>
      </w:r>
    </w:p>
    <w:p>
      <w:pPr>
        <w:pStyle w:val="15"/>
        <w:adjustRightInd w:val="0"/>
        <w:snapToGrid w:val="0"/>
        <w:spacing w:beforeLines="0" w:before="93" w:line="600" w:lineRule="exact"/>
        <w:ind w:firstLineChars="209" w:firstLine="672"/>
        <w:outlineLvl w:val="2"/>
        <w:rPr>
          <w:rFonts w:ascii="仿宋" w:eastAsia="仿宋" w:hAnsi="仿宋"/>
          <w:bCs/>
          <w:color w:val="000000"/>
          <w:sz w:val="32"/>
          <w:szCs w:val="32"/>
        </w:rPr>
      </w:pPr>
      <w:r>
        <w:rPr>
          <w:rFonts w:ascii="仿宋" w:eastAsia="仿宋" w:cs="仿宋_GB2312" w:hAnsi="仿宋"/>
          <w:sz w:val="32"/>
          <w:szCs w:val="32"/>
        </w:rPr>
        <w:t>（二）机构职能</w:t>
      </w:r>
      <w:r>
        <w:rPr>
          <w:rFonts w:ascii="仿宋" w:eastAsia="仿宋" w:cs="仿宋_GB2312" w:hAnsi="仿宋" w:hint="eastAsia"/>
          <w:sz w:val="32"/>
          <w:szCs w:val="32"/>
        </w:rPr>
        <w:t>：1、</w:t>
      </w:r>
      <w:r>
        <w:rPr>
          <w:rFonts w:ascii="仿宋" w:eastAsia="仿宋" w:hAnsi="仿宋" w:hint="eastAsia"/>
          <w:bCs/>
          <w:color w:val="000000"/>
          <w:sz w:val="32"/>
          <w:szCs w:val="32"/>
        </w:rPr>
        <w:t>贯彻落实加强党对统一战线集中统一领导的要求，发挥区委在统战工作方面的参谋机构、组织协调机构、具体执行机构，督促检查机构作用。</w:t>
      </w:r>
    </w:p>
    <w:p>
      <w:pPr>
        <w:pStyle w:val="15"/>
        <w:adjustRightInd w:val="0"/>
        <w:snapToGrid w:val="0"/>
        <w:spacing w:beforeLines="0" w:before="93" w:line="600" w:lineRule="exact"/>
        <w:ind w:firstLineChars="209" w:firstLine="672"/>
        <w:outlineLvl w:val="2"/>
        <w:rPr>
          <w:rFonts w:ascii="仿宋" w:eastAsia="仿宋" w:hAnsi="仿宋"/>
          <w:bCs/>
          <w:color w:val="000000"/>
          <w:sz w:val="32"/>
          <w:szCs w:val="32"/>
        </w:rPr>
      </w:pPr>
      <w:r>
        <w:rPr>
          <w:rFonts w:ascii="仿宋" w:eastAsia="仿宋" w:hAnsi="仿宋" w:hint="eastAsia"/>
          <w:bCs/>
          <w:color w:val="000000"/>
          <w:sz w:val="32"/>
          <w:szCs w:val="32"/>
        </w:rPr>
        <w:t>2、研究拟订统一战线工作的政策并推动落实，深入调查研究，及时向区委报告统一战线工作情况并提出建议，统筹协调和指导乡镇（街道）、各部门统一战线工作。</w:t>
      </w:r>
    </w:p>
    <w:p>
      <w:pPr>
        <w:pStyle w:val="15"/>
        <w:adjustRightInd w:val="0"/>
        <w:snapToGrid w:val="0"/>
        <w:spacing w:beforeLines="0" w:before="93" w:line="600" w:lineRule="exact"/>
        <w:ind w:firstLineChars="209" w:firstLine="672"/>
        <w:outlineLvl w:val="2"/>
        <w:rPr>
          <w:rFonts w:ascii="仿宋" w:eastAsia="仿宋" w:hAnsi="仿宋"/>
          <w:bCs/>
          <w:color w:val="000000"/>
          <w:sz w:val="32"/>
          <w:szCs w:val="32"/>
        </w:rPr>
      </w:pPr>
      <w:r>
        <w:rPr>
          <w:rFonts w:ascii="仿宋" w:eastAsia="仿宋" w:hAnsi="仿宋" w:hint="eastAsia"/>
          <w:bCs/>
          <w:color w:val="000000"/>
          <w:sz w:val="32"/>
          <w:szCs w:val="32"/>
        </w:rPr>
        <w:t>3、负责发现、培养党外代表人士，制定党外干部培养规划，负责党外人士的政治安排，会同有关部门做好安排党外人士担任政府和司法机关等领导职务的工作。</w:t>
      </w:r>
    </w:p>
    <w:p>
      <w:pPr>
        <w:pStyle w:val="15"/>
        <w:adjustRightInd w:val="0"/>
        <w:snapToGrid w:val="0"/>
        <w:spacing w:beforeLines="0" w:before="93" w:line="600" w:lineRule="exact"/>
        <w:ind w:firstLineChars="209" w:firstLine="672"/>
        <w:outlineLvl w:val="2"/>
        <w:rPr>
          <w:rFonts w:ascii="仿宋" w:eastAsia="仿宋" w:hAnsi="仿宋"/>
          <w:bCs/>
          <w:color w:val="000000"/>
          <w:sz w:val="32"/>
          <w:szCs w:val="32"/>
        </w:rPr>
      </w:pPr>
      <w:r>
        <w:rPr>
          <w:rFonts w:ascii="仿宋" w:eastAsia="仿宋" w:hAnsi="仿宋" w:hint="eastAsia"/>
          <w:bCs/>
          <w:color w:val="000000"/>
          <w:sz w:val="32"/>
          <w:szCs w:val="32"/>
        </w:rPr>
        <w:t>4、贯彻落实党的宣传工作方针，统筹推进全区统一战线宣传和意识形态工作。</w:t>
      </w:r>
    </w:p>
    <w:p>
      <w:pPr>
        <w:pStyle w:val="15"/>
        <w:adjustRightInd w:val="0"/>
        <w:snapToGrid w:val="0"/>
        <w:spacing w:beforeLines="0" w:before="93" w:line="600" w:lineRule="exact"/>
        <w:ind w:firstLineChars="209" w:firstLine="672"/>
        <w:outlineLvl w:val="2"/>
        <w:rPr>
          <w:rFonts w:ascii="仿宋" w:eastAsia="仿宋" w:hAnsi="仿宋"/>
          <w:bCs/>
          <w:color w:val="000000"/>
          <w:sz w:val="32"/>
          <w:szCs w:val="32"/>
        </w:rPr>
      </w:pPr>
      <w:r>
        <w:rPr>
          <w:rFonts w:ascii="仿宋" w:eastAsia="仿宋" w:hAnsi="仿宋" w:hint="eastAsia"/>
          <w:bCs/>
          <w:color w:val="000000"/>
          <w:sz w:val="32"/>
          <w:szCs w:val="32"/>
        </w:rPr>
        <w:t>5、贯彻落实中国共产党领导的多党合作和政治协商制度以及对民主党派的方针政策，负责联系民主党派，通报情况、反馈意见、制定年度政党协商计划。</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（三）人员概况</w:t>
      </w:r>
      <w:r>
        <w:rPr>
          <w:rFonts w:ascii="仿宋" w:eastAsia="仿宋" w:cs="仿宋_GB2312" w:hAnsi="仿宋" w:hint="eastAsia"/>
          <w:sz w:val="32"/>
          <w:szCs w:val="32"/>
        </w:rPr>
        <w:t>：本单位共有编制数11名，其中行政编制8名，事业编制3名。实有人员9名，其中行政人员7名，事业人员2名。</w:t>
      </w:r>
    </w:p>
    <w:p>
      <w:pPr>
        <w:spacing w:line="580" w:lineRule="exact"/>
        <w:ind w:firstLineChars="200" w:firstLine="640"/>
        <w:rPr>
          <w:rFonts w:ascii="黑体" w:eastAsia="黑体" w:cs="黑体" w:hAnsi="黑体"/>
          <w:sz w:val="32"/>
          <w:szCs w:val="32"/>
        </w:rPr>
      </w:pPr>
      <w:r>
        <w:rPr>
          <w:rFonts w:ascii="黑体" w:eastAsia="黑体" w:cs="黑体" w:hAnsi="黑体"/>
          <w:sz w:val="32"/>
          <w:szCs w:val="32"/>
        </w:rPr>
        <w:t>二、部门财政资金收支情况</w:t>
      </w:r>
    </w:p>
    <w:p>
      <w:pPr>
        <w:spacing w:line="600" w:lineRule="exact"/>
        <w:ind w:firstLineChars="200" w:firstLine="640"/>
        <w:outlineLvl w:val="1"/>
        <w:rPr>
          <w:rFonts w:ascii="仿宋" w:eastAsia="仿宋" w:hAnsi="仿宋"/>
          <w:color w:val="000000"/>
          <w:sz w:val="32"/>
          <w:szCs w:val="32"/>
        </w:rPr>
      </w:pPr>
      <w:r>
        <w:rPr>
          <w:rFonts w:ascii="仿宋" w:eastAsia="仿宋" w:cs="仿宋_GB2312" w:hAnsi="仿宋"/>
          <w:sz w:val="32"/>
          <w:szCs w:val="32"/>
        </w:rPr>
        <w:t>（一）部门财政资金收入情况。</w:t>
      </w:r>
      <w:r>
        <w:rPr>
          <w:rFonts w:ascii="仿宋" w:eastAsia="仿宋" w:hAnsi="仿宋"/>
          <w:color w:val="000000"/>
          <w:sz w:val="32"/>
          <w:szCs w:val="32"/>
        </w:rPr>
        <w:t>201</w:t>
      </w:r>
      <w:r>
        <w:rPr>
          <w:rFonts w:ascii="仿宋" w:eastAsia="仿宋" w:hAnsi="仿宋" w:hint="eastAsia"/>
          <w:color w:val="000000"/>
          <w:sz w:val="32"/>
          <w:szCs w:val="32"/>
        </w:rPr>
        <w:t>8年本年收入合计198.82万元，其中：一般公共预算财政拨款收入198.82万元，占100</w:t>
      </w:r>
      <w:r>
        <w:rPr>
          <w:rFonts w:ascii="仿宋" w:eastAsia="仿宋" w:hAnsi="仿宋"/>
          <w:color w:val="000000"/>
          <w:sz w:val="32"/>
          <w:szCs w:val="32"/>
        </w:rPr>
        <w:t>%</w:t>
      </w:r>
      <w:r>
        <w:rPr>
          <w:rFonts w:ascii="仿宋" w:eastAsia="仿宋" w:hAnsi="仿宋" w:hint="eastAsia"/>
          <w:color w:val="000000"/>
          <w:sz w:val="32"/>
          <w:szCs w:val="32"/>
        </w:rPr>
        <w:t>；政府性基金预算财政拨款收入0万元；国有资本经营预算财政拨款收入0万元；事业收入0万元；经营收入0万元；附属单位上缴收入0万元；其他收入0万元。</w:t>
      </w:r>
    </w:p>
    <w:p>
      <w:pPr>
        <w:spacing w:line="600" w:lineRule="exact"/>
        <w:ind w:firstLine="640"/>
        <w:rPr>
          <w:rFonts w:ascii="仿宋" w:eastAsia="仿宋" w:hAnsi="仿宋"/>
          <w:color w:val="000000"/>
          <w:sz w:val="32"/>
          <w:szCs w:val="32"/>
          <w:shd w:val="pct10" w:color="auto" w:fill="FFFFFF"/>
        </w:rPr>
      </w:pPr>
      <w:r>
        <w:rPr>
          <w:rFonts w:ascii="仿宋" w:eastAsia="仿宋" w:cs="仿宋_GB2312" w:hAnsi="仿宋"/>
          <w:sz w:val="32"/>
          <w:szCs w:val="32"/>
        </w:rPr>
        <w:t>（二）部门财政资金支出情况。</w:t>
      </w:r>
      <w:r>
        <w:rPr>
          <w:rFonts w:ascii="仿宋" w:eastAsia="仿宋" w:hAnsi="仿宋"/>
          <w:color w:val="000000"/>
          <w:sz w:val="32"/>
          <w:szCs w:val="32"/>
        </w:rPr>
        <w:t>201</w:t>
      </w:r>
      <w:r>
        <w:rPr>
          <w:rFonts w:ascii="仿宋" w:eastAsia="仿宋" w:hAnsi="仿宋" w:hint="eastAsia"/>
          <w:color w:val="000000"/>
          <w:sz w:val="32"/>
          <w:szCs w:val="32"/>
        </w:rPr>
        <w:t>8年本年支出合计189.16万元，其中：基本支出158.86万元，占84</w:t>
      </w:r>
      <w:r>
        <w:rPr>
          <w:rFonts w:ascii="仿宋" w:eastAsia="仿宋" w:hAnsi="仿宋"/>
          <w:color w:val="000000"/>
          <w:sz w:val="32"/>
          <w:szCs w:val="32"/>
        </w:rPr>
        <w:t>%</w:t>
      </w:r>
      <w:r>
        <w:rPr>
          <w:rFonts w:ascii="仿宋" w:eastAsia="仿宋" w:hAnsi="仿宋" w:hint="eastAsia"/>
          <w:color w:val="000000"/>
          <w:sz w:val="32"/>
          <w:szCs w:val="32"/>
        </w:rPr>
        <w:t>；项目支出30.3万元，占16</w:t>
      </w:r>
      <w:r>
        <w:rPr>
          <w:rFonts w:ascii="仿宋" w:eastAsia="仿宋" w:hAnsi="仿宋"/>
          <w:color w:val="000000"/>
          <w:sz w:val="32"/>
          <w:szCs w:val="32"/>
        </w:rPr>
        <w:t>%</w:t>
      </w:r>
      <w:r>
        <w:rPr>
          <w:rFonts w:ascii="仿宋" w:eastAsia="仿宋" w:hAnsi="仿宋" w:hint="eastAsia"/>
          <w:color w:val="000000"/>
          <w:sz w:val="32"/>
          <w:szCs w:val="32"/>
        </w:rPr>
        <w:t>；上缴上级支出0万元；经营支出0万元；对附属单位补助支出0万元。</w:t>
      </w:r>
    </w:p>
    <w:p>
      <w:pPr>
        <w:spacing w:line="580" w:lineRule="exact"/>
        <w:ind w:firstLineChars="200" w:firstLine="640"/>
        <w:rPr>
          <w:rFonts w:ascii="黑体" w:eastAsia="黑体" w:cs="黑体" w:hAnsi="黑体"/>
          <w:sz w:val="32"/>
          <w:szCs w:val="32"/>
        </w:rPr>
      </w:pPr>
      <w:r>
        <w:rPr>
          <w:rFonts w:ascii="黑体" w:eastAsia="黑体" w:cs="黑体" w:hAnsi="黑体"/>
          <w:sz w:val="32"/>
          <w:szCs w:val="32"/>
        </w:rPr>
        <w:t>三、部门整体预算绩效管理情况（根据适用指标体系进行调整）</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（一）部门预算管理。</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本单位成立了以常务副部长为组长、各股室负责人为成员的绩效管理领导小组。年初制定相应的股室绩效目标，分阶段进行相应的对照检查，确保目标的完成。严格按规定，根据实际需要编制预算，各种支出厉行节约，采取先申请后实施的方法，杜绝超预算支出。全年预算支出完成率达95%以上，个别工作在实施中未全部完成，存在暂未支付资金现象。全年无违规违纪现象发生。</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（二）专项预算管理。</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在项目管理实施时确定责任领导，具体负责人等，先制定工作计划，根据工作进程进行资金拨付使用。未达到目标或者工作执行不到位时，暂停资金使用，待整改后再进行拨付使用。全年无违规违纪现象发生。</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（三）结果应用情况。</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本单位整体预算管理情况良好，各种资金使用公正公开，不徇私舞弊，不违规违纪。受到统战对象的高度认可，让他们感受到了党的关怀。</w:t>
      </w:r>
    </w:p>
    <w:p>
      <w:pPr>
        <w:spacing w:line="580" w:lineRule="exact"/>
        <w:ind w:firstLineChars="200" w:firstLine="640"/>
        <w:rPr>
          <w:rFonts w:ascii="黑体" w:eastAsia="黑体" w:cs="黑体" w:hAnsi="黑体"/>
          <w:sz w:val="32"/>
          <w:szCs w:val="32"/>
        </w:rPr>
      </w:pPr>
      <w:r>
        <w:rPr>
          <w:rFonts w:ascii="黑体" w:eastAsia="黑体" w:cs="黑体" w:hAnsi="黑体"/>
          <w:sz w:val="32"/>
          <w:szCs w:val="32"/>
        </w:rPr>
        <w:t>四、评价结论及建议</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（一）评价结论</w:t>
      </w:r>
      <w:r>
        <w:rPr>
          <w:rFonts w:ascii="仿宋" w:eastAsia="仿宋" w:cs="仿宋_GB2312" w:hAnsi="仿宋" w:hint="eastAsia"/>
          <w:sz w:val="32"/>
          <w:szCs w:val="32"/>
        </w:rPr>
        <w:t>：2018年区委统战部在区委的领导下，在市委统战部的指导下，顺利完成了绩效目标考核，并取得优异成绩。</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（二）存在问题</w:t>
      </w:r>
      <w:r>
        <w:rPr>
          <w:rFonts w:ascii="仿宋" w:eastAsia="仿宋" w:cs="仿宋_GB2312" w:hAnsi="仿宋" w:hint="eastAsia"/>
          <w:sz w:val="32"/>
          <w:szCs w:val="32"/>
        </w:rPr>
        <w:t>：在资金使用上有未严格按照用途进行分配使用现象。</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（三）改进建议</w:t>
      </w:r>
      <w:r>
        <w:rPr>
          <w:rFonts w:ascii="仿宋" w:eastAsia="仿宋" w:cs="仿宋_GB2312" w:hAnsi="仿宋" w:hint="eastAsia"/>
          <w:sz w:val="32"/>
          <w:szCs w:val="32"/>
        </w:rPr>
        <w:t>：下一步单位财务工作人员要严格把关，确保各项资金正确使用，遵守资金使用制度，杜绝违规违纪现象。</w:t>
      </w:r>
    </w:p>
    <w:p>
      <w:pPr>
        <w:spacing w:line="580" w:lineRule="exact"/>
        <w:ind w:firstLineChars="200" w:firstLine="640"/>
        <w:rPr>
          <w:rFonts w:ascii="仿宋_GB2312" w:eastAsia="仿宋_GB2312" w:cs="仿宋_GB2312" w:hAnsi="仿宋_GB2312"/>
          <w:sz w:val="32"/>
          <w:szCs w:val="32"/>
        </w:rPr>
      </w:pPr>
    </w:p>
    <w:p>
      <w:pPr>
        <w:widowControl/>
        <w:jc w:val="left"/>
        <w:rPr>
          <w:rFonts w:ascii="仿宋_GB2312" w:eastAsia="仿宋_GB2312" w:cs="仿宋_GB2312" w:hAnsi="仿宋_GB2312"/>
          <w:sz w:val="32"/>
          <w:szCs w:val="32"/>
        </w:rPr>
      </w:pPr>
      <w:r>
        <w:rPr>
          <w:rFonts w:ascii="仿宋_GB2312" w:eastAsia="仿宋_GB2312" w:cs="仿宋_GB2312" w:hAnsi="仿宋_GB2312"/>
          <w:sz w:val="32"/>
          <w:szCs w:val="32"/>
        </w:rPr>
        <w:br w:type="page"/>
      </w:r>
    </w:p>
    <w:p>
      <w:pPr>
        <w:pStyle w:val="2"/>
        <w:rPr>
          <w:rStyle w:val="1Char"/>
          <w:rFonts w:ascii="仿宋" w:eastAsia="仿宋" w:hAnsi="仿宋"/>
          <w:b w:val="0"/>
          <w:bCs w:val="0"/>
          <w:sz w:val="32"/>
          <w:szCs w:val="32"/>
        </w:rPr>
      </w:pPr>
      <w:bookmarkStart w:id="62" w:name="_Toc15396617"/>
      <w:r>
        <w:rPr>
          <w:rStyle w:val="1Char"/>
          <w:rFonts w:ascii="仿宋" w:eastAsia="仿宋" w:hAnsi="仿宋" w:hint="eastAsia"/>
          <w:b w:val="0"/>
          <w:bCs w:val="0"/>
          <w:sz w:val="32"/>
          <w:szCs w:val="32"/>
        </w:rPr>
        <w:t>附件2</w:t>
      </w:r>
      <w:bookmarkEnd w:id="62"/>
    </w:p>
    <w:p>
      <w:pPr>
        <w:spacing w:line="580" w:lineRule="exact"/>
        <w:jc w:val="center"/>
        <w:rPr>
          <w:rFonts w:ascii="黑体" w:eastAsia="黑体" w:cs="方正小标宋简体" w:hAnsi="黑体"/>
          <w:sz w:val="44"/>
          <w:szCs w:val="44"/>
        </w:rPr>
      </w:pPr>
      <w:r>
        <w:rPr>
          <w:rFonts w:ascii="黑体" w:eastAsia="黑体" w:cs="方正小标宋简体" w:hAnsi="黑体" w:hint="eastAsia"/>
          <w:sz w:val="44"/>
          <w:szCs w:val="44"/>
        </w:rPr>
        <w:t>2018年早期归国华侨生活补助支出</w:t>
      </w:r>
    </w:p>
    <w:p>
      <w:pPr>
        <w:spacing w:line="580" w:lineRule="exact"/>
        <w:jc w:val="center"/>
        <w:rPr>
          <w:rFonts w:ascii="黑体" w:eastAsia="黑体" w:cs="方正小标宋简体" w:hAnsi="黑体"/>
          <w:sz w:val="44"/>
          <w:szCs w:val="44"/>
        </w:rPr>
      </w:pPr>
      <w:r>
        <w:rPr>
          <w:rFonts w:ascii="黑体" w:eastAsia="黑体" w:cs="方正小标宋简体" w:hAnsi="黑体" w:hint="eastAsia"/>
          <w:sz w:val="44"/>
          <w:szCs w:val="44"/>
        </w:rPr>
        <w:t>绩效评价报告</w:t>
      </w:r>
    </w:p>
    <w:p>
      <w:pPr>
        <w:spacing w:line="580" w:lineRule="exact"/>
        <w:ind w:firstLineChars="200" w:firstLine="640"/>
        <w:rPr>
          <w:rFonts w:ascii="仿宋_GB2312" w:eastAsia="仿宋_GB2312" w:cs="仿宋_GB2312" w:hAnsi="仿宋_GB2312"/>
          <w:sz w:val="32"/>
          <w:szCs w:val="32"/>
        </w:rPr>
      </w:pP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一</w:t>
      </w:r>
      <w:r>
        <w:rPr>
          <w:rFonts w:ascii="仿宋" w:eastAsia="仿宋" w:cs="仿宋_GB2312" w:hAnsi="仿宋"/>
          <w:sz w:val="32"/>
          <w:szCs w:val="32"/>
        </w:rPr>
        <w:t>、评价工作开展及项目情况</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早期归国华侨生活补助支出项目是党和政府为进一步体现对早期归国并作出贡献华侨的关心关怀，为提高老人生活质量，安享晚年生活提供的生活补助。 我区有四位老人享受该项待遇，分别是古里、石宏、林万卷、陈巧凤。</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二</w:t>
      </w:r>
      <w:r>
        <w:rPr>
          <w:rFonts w:ascii="仿宋" w:eastAsia="仿宋" w:cs="仿宋_GB2312" w:hAnsi="仿宋"/>
          <w:sz w:val="32"/>
          <w:szCs w:val="32"/>
        </w:rPr>
        <w:t>、评价结论及绩效分析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（一）评价结论</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项目绩效评价总体结论（包括项目评价得分表）</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该项目得到四位早期归国华侨的高度认可，感受到了党的关心关怀。</w:t>
      </w:r>
    </w:p>
    <w:p>
      <w:pPr>
        <w:spacing w:line="580" w:lineRule="exact"/>
        <w:ind w:firstLineChars="200" w:firstLine="720"/>
        <w:jc w:val="center"/>
        <w:rPr>
          <w:rFonts w:ascii="方正小标宋简体" w:eastAsia="方正小标宋简体" w:cs="仿宋_GB2312" w:hAnsi="仿宋"/>
          <w:sz w:val="36"/>
          <w:szCs w:val="36"/>
        </w:rPr>
      </w:pPr>
      <w:r>
        <w:rPr>
          <w:rFonts w:ascii="方正小标宋简体" w:eastAsia="方正小标宋简体" w:cs="仿宋_GB2312" w:hAnsi="仿宋" w:hint="eastAsia"/>
          <w:sz w:val="36"/>
          <w:szCs w:val="36"/>
        </w:rPr>
        <w:t>项目评价得分表</w:t>
      </w:r>
    </w:p>
    <w:tbl>
      <w:tblPr>
        <w:jc w:val="left"/>
        <w:tblInd w:w="0" w:type="dxa"/>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652"/>
        <w:gridCol w:w="2268"/>
        <w:gridCol w:w="2268"/>
      </w:tblGrid>
      <w:tr>
        <w:tc>
          <w:tcPr>
            <w:tcW w:w="3652" w:type="dxa"/>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目标任务</w:t>
            </w:r>
          </w:p>
        </w:tc>
        <w:tc>
          <w:tcPr>
            <w:tcW w:w="2268" w:type="dxa"/>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得分</w:t>
            </w:r>
          </w:p>
        </w:tc>
        <w:tc>
          <w:tcPr>
            <w:tcW w:w="2268" w:type="dxa"/>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备 注</w:t>
            </w:r>
          </w:p>
        </w:tc>
      </w:tr>
      <w:tr>
        <w:tc>
          <w:tcPr>
            <w:tcW w:w="3652" w:type="dxa"/>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按时拨付情况</w:t>
            </w:r>
          </w:p>
        </w:tc>
        <w:tc>
          <w:tcPr>
            <w:tcW w:w="2268" w:type="dxa"/>
            <w:tcBorders>
              <w:top w:val="single" w:sz="4" w:space="0" w:color="auto"/>
              <w:left w:val="single" w:sz="4" w:space="0" w:color="auto"/>
              <w:right w:val="single" w:sz="4" w:space="0" w:color="auto"/>
            </w:tcBorders>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4分</w:t>
            </w:r>
          </w:p>
        </w:tc>
        <w:tc>
          <w:tcPr>
            <w:tcW w:w="2268" w:type="dxa"/>
          </w:tcPr>
          <w:p>
            <w:pPr>
              <w:spacing w:line="580" w:lineRule="exact"/>
              <w:rPr>
                <w:rFonts w:ascii="仿宋" w:eastAsia="仿宋" w:cs="仿宋_GB2312" w:hAnsi="仿宋"/>
                <w:sz w:val="32"/>
                <w:szCs w:val="32"/>
              </w:rPr>
            </w:pPr>
          </w:p>
        </w:tc>
      </w:tr>
      <w:tr>
        <w:tc>
          <w:tcPr>
            <w:tcW w:w="3652" w:type="dxa"/>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满意度</w:t>
            </w:r>
          </w:p>
        </w:tc>
        <w:tc>
          <w:tcPr>
            <w:tcW w:w="2268" w:type="dxa"/>
            <w:tcBorders>
              <w:top w:val="single" w:sz="4" w:space="0" w:color="auto"/>
              <w:left w:val="single" w:sz="4" w:space="0" w:color="auto"/>
              <w:right w:val="single" w:sz="4" w:space="0" w:color="auto"/>
            </w:tcBorders>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6分</w:t>
            </w:r>
          </w:p>
        </w:tc>
        <w:tc>
          <w:tcPr>
            <w:tcW w:w="2268" w:type="dxa"/>
          </w:tcPr>
          <w:p>
            <w:pPr>
              <w:spacing w:line="580" w:lineRule="exact"/>
              <w:rPr>
                <w:rFonts w:ascii="仿宋" w:eastAsia="仿宋" w:cs="仿宋_GB2312" w:hAnsi="仿宋"/>
                <w:sz w:val="32"/>
                <w:szCs w:val="32"/>
              </w:rPr>
            </w:pPr>
          </w:p>
        </w:tc>
      </w:tr>
      <w:tr>
        <w:tc>
          <w:tcPr>
            <w:tcW w:w="3652" w:type="dxa"/>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合  计</w:t>
            </w:r>
          </w:p>
        </w:tc>
        <w:tc>
          <w:tcPr>
            <w:tcW w:w="2268" w:type="dxa"/>
            <w:tcBorders>
              <w:top w:val="single" w:sz="4" w:space="0" w:color="auto"/>
              <w:left w:val="single" w:sz="4" w:space="0" w:color="auto"/>
              <w:right w:val="single" w:sz="4" w:space="0" w:color="auto"/>
            </w:tcBorders>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10分</w:t>
            </w:r>
          </w:p>
        </w:tc>
        <w:tc>
          <w:tcPr>
            <w:tcW w:w="2268" w:type="dxa"/>
          </w:tcPr>
          <w:p>
            <w:pPr>
              <w:spacing w:line="580" w:lineRule="exact"/>
              <w:rPr>
                <w:rFonts w:ascii="仿宋" w:eastAsia="仿宋" w:cs="仿宋_GB2312" w:hAnsi="仿宋"/>
                <w:sz w:val="32"/>
                <w:szCs w:val="32"/>
              </w:rPr>
            </w:pPr>
          </w:p>
        </w:tc>
      </w:tr>
    </w:tbl>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（二）绩效分析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1、项目决策</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根据《四川省人民政府外事任务办公室 四川省财政厅关于发放早期归国华侨生活补助的通知》川外侨发〔2017〕9号文件要求，经区委、区政府同意，向我区早期归国华侨古里、石宏、林万卷、陈巧凤发放每人每月500元生活补助，并从2017年起执行。</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2、项目管理</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2018年该项目合计4.8万元，其中2017年2.4万元，2018年2.4万元。早期归国华侨古里、石宏、林万卷、陈巧凤每人每月500元生活补助标准，年终一次性发放。</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3、项目绩效</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该项目已在2018年实施，四位老人对党的关心表示了衷心感谢，表示要引导家人感恩祖国，为地方经济建设作贡献。</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三</w:t>
      </w:r>
      <w:r>
        <w:rPr>
          <w:rFonts w:ascii="仿宋" w:eastAsia="仿宋" w:cs="仿宋_GB2312" w:hAnsi="仿宋"/>
          <w:sz w:val="32"/>
          <w:szCs w:val="32"/>
        </w:rPr>
        <w:t>、存在主要问题</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根据当今社会生活水平，补助标准偏低。</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四</w:t>
      </w:r>
      <w:r>
        <w:rPr>
          <w:rFonts w:ascii="仿宋" w:eastAsia="仿宋" w:cs="仿宋_GB2312" w:hAnsi="仿宋"/>
          <w:sz w:val="32"/>
          <w:szCs w:val="32"/>
        </w:rPr>
        <w:t>、相关措施建议</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我单位将实时了解掌握老人生活、身体情况，及时向区委汇报，协调财政部门在适当的时候提高补助标准。</w:t>
      </w:r>
    </w:p>
    <w:p>
      <w:pPr>
        <w:spacing w:line="580" w:lineRule="exact"/>
        <w:ind w:firstLineChars="200" w:firstLine="640"/>
        <w:rPr>
          <w:rFonts w:ascii="仿宋" w:eastAsia="仿宋" w:cs="仿宋_GB2312" w:hAnsi="仿宋"/>
          <w:sz w:val="32"/>
          <w:szCs w:val="32"/>
        </w:rPr>
      </w:pPr>
    </w:p>
    <w:p>
      <w:pPr>
        <w:spacing w:line="580" w:lineRule="exact"/>
        <w:jc w:val="center"/>
        <w:rPr>
          <w:rFonts w:ascii="黑体" w:eastAsia="黑体" w:cs="方正小标宋简体" w:hAnsi="黑体"/>
          <w:sz w:val="44"/>
          <w:szCs w:val="44"/>
        </w:rPr>
      </w:pPr>
      <w:r>
        <w:rPr>
          <w:rFonts w:ascii="黑体" w:eastAsia="黑体" w:cs="方正小标宋简体" w:hAnsi="黑体" w:hint="eastAsia"/>
          <w:sz w:val="44"/>
          <w:szCs w:val="44"/>
        </w:rPr>
        <w:t>2018年九广合作及党派团体工作项目支出绩效评价报告</w:t>
      </w:r>
    </w:p>
    <w:p>
      <w:pPr>
        <w:spacing w:line="580" w:lineRule="exact"/>
        <w:ind w:firstLineChars="200" w:firstLine="640"/>
        <w:rPr>
          <w:rFonts w:ascii="仿宋_GB2312" w:eastAsia="仿宋_GB2312" w:cs="仿宋_GB2312" w:hAnsi="仿宋_GB2312"/>
          <w:sz w:val="32"/>
          <w:szCs w:val="32"/>
        </w:rPr>
      </w:pP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一</w:t>
      </w:r>
      <w:r>
        <w:rPr>
          <w:rFonts w:ascii="仿宋" w:eastAsia="仿宋" w:cs="仿宋_GB2312" w:hAnsi="仿宋"/>
          <w:sz w:val="32"/>
          <w:szCs w:val="32"/>
        </w:rPr>
        <w:t>、评价工作开展及项目情况</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九广合作及党派团体工作是为保障区级民主党派组织民革、民盟、民建、民进、农工民主党和九三学社工作顺利开展，以及九广合作相关项目工作开展，而预算的财政资金。民主党派在资金使用中制定使用办法，严格按照要求执行。</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二</w:t>
      </w:r>
      <w:r>
        <w:rPr>
          <w:rFonts w:ascii="仿宋" w:eastAsia="仿宋" w:cs="仿宋_GB2312" w:hAnsi="仿宋"/>
          <w:sz w:val="32"/>
          <w:szCs w:val="32"/>
        </w:rPr>
        <w:t>、评价结论及绩效分析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（一）评价结论</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全区6个民主党派能得到资金使用保障，并为统一战线工作作出积极贡献。</w:t>
      </w:r>
    </w:p>
    <w:p>
      <w:pPr>
        <w:spacing w:line="580" w:lineRule="exact"/>
        <w:jc w:val="center"/>
        <w:rPr>
          <w:rFonts w:ascii="方正小标宋简体" w:eastAsia="方正小标宋简体" w:cs="仿宋_GB2312" w:hAnsi="仿宋"/>
          <w:sz w:val="36"/>
          <w:szCs w:val="36"/>
        </w:rPr>
      </w:pPr>
      <w:r>
        <w:rPr>
          <w:rFonts w:ascii="方正小标宋简体" w:eastAsia="方正小标宋简体" w:cs="仿宋_GB2312" w:hAnsi="仿宋" w:hint="eastAsia"/>
          <w:sz w:val="36"/>
          <w:szCs w:val="36"/>
        </w:rPr>
        <w:t>项目评价得分表</w:t>
      </w:r>
    </w:p>
    <w:tbl>
      <w:tblPr>
        <w:jc w:val="left"/>
        <w:tblInd w:w="0" w:type="dxa"/>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840"/>
        <w:gridCol w:w="2841"/>
        <w:gridCol w:w="2841"/>
      </w:tblGrid>
      <w:tr>
        <w:tc>
          <w:tcPr>
            <w:tcW w:w="2840" w:type="dxa"/>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党派满意度</w:t>
            </w:r>
          </w:p>
        </w:tc>
        <w:tc>
          <w:tcPr>
            <w:tcW w:w="2841" w:type="dxa"/>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得 分</w:t>
            </w:r>
          </w:p>
        </w:tc>
        <w:tc>
          <w:tcPr>
            <w:tcW w:w="2841" w:type="dxa"/>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备注</w:t>
            </w:r>
          </w:p>
        </w:tc>
      </w:tr>
      <w:tr>
        <w:tc>
          <w:tcPr>
            <w:tcW w:w="2840" w:type="dxa"/>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民 革</w:t>
            </w:r>
          </w:p>
        </w:tc>
        <w:tc>
          <w:tcPr>
            <w:tcW w:w="2841" w:type="dxa"/>
            <w:tcBorders>
              <w:top w:val="single" w:sz="4" w:space="0" w:color="auto"/>
              <w:left w:val="single" w:sz="4" w:space="0" w:color="auto"/>
              <w:right w:val="single" w:sz="4" w:space="0" w:color="auto"/>
            </w:tcBorders>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1.5</w:t>
            </w:r>
          </w:p>
        </w:tc>
        <w:tc>
          <w:tcPr>
            <w:tcW w:w="2841" w:type="dxa"/>
          </w:tcPr>
          <w:p>
            <w:pPr>
              <w:spacing w:line="580" w:lineRule="exact"/>
              <w:jc w:val="center"/>
              <w:rPr>
                <w:rFonts w:ascii="仿宋" w:eastAsia="仿宋" w:cs="仿宋_GB2312" w:hAnsi="仿宋"/>
                <w:sz w:val="32"/>
                <w:szCs w:val="32"/>
              </w:rPr>
            </w:pPr>
          </w:p>
        </w:tc>
      </w:tr>
      <w:tr>
        <w:tc>
          <w:tcPr>
            <w:tcW w:w="2840" w:type="dxa"/>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民 盟</w:t>
            </w:r>
          </w:p>
        </w:tc>
        <w:tc>
          <w:tcPr>
            <w:tcW w:w="2841" w:type="dxa"/>
            <w:tcBorders>
              <w:top w:val="single" w:sz="4" w:space="0" w:color="auto"/>
              <w:left w:val="single" w:sz="4" w:space="0" w:color="auto"/>
              <w:right w:val="single" w:sz="4" w:space="0" w:color="auto"/>
            </w:tcBorders>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1.5</w:t>
            </w:r>
          </w:p>
        </w:tc>
        <w:tc>
          <w:tcPr>
            <w:tcW w:w="2841" w:type="dxa"/>
          </w:tcPr>
          <w:p>
            <w:pPr>
              <w:spacing w:line="580" w:lineRule="exact"/>
              <w:jc w:val="center"/>
              <w:rPr>
                <w:rFonts w:ascii="仿宋" w:eastAsia="仿宋" w:cs="仿宋_GB2312" w:hAnsi="仿宋"/>
                <w:sz w:val="32"/>
                <w:szCs w:val="32"/>
              </w:rPr>
            </w:pPr>
          </w:p>
        </w:tc>
      </w:tr>
      <w:tr>
        <w:tc>
          <w:tcPr>
            <w:tcW w:w="2840" w:type="dxa"/>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民 建</w:t>
            </w:r>
          </w:p>
        </w:tc>
        <w:tc>
          <w:tcPr>
            <w:tcW w:w="2841" w:type="dxa"/>
            <w:tcBorders>
              <w:top w:val="single" w:sz="4" w:space="0" w:color="auto"/>
              <w:left w:val="single" w:sz="4" w:space="0" w:color="auto"/>
              <w:right w:val="single" w:sz="4" w:space="0" w:color="auto"/>
            </w:tcBorders>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1.5</w:t>
            </w:r>
          </w:p>
        </w:tc>
        <w:tc>
          <w:tcPr>
            <w:tcW w:w="2841" w:type="dxa"/>
          </w:tcPr>
          <w:p>
            <w:pPr>
              <w:spacing w:line="580" w:lineRule="exact"/>
              <w:jc w:val="center"/>
              <w:rPr>
                <w:rFonts w:ascii="仿宋" w:eastAsia="仿宋" w:cs="仿宋_GB2312" w:hAnsi="仿宋"/>
                <w:sz w:val="32"/>
                <w:szCs w:val="32"/>
              </w:rPr>
            </w:pPr>
          </w:p>
        </w:tc>
      </w:tr>
      <w:tr>
        <w:tc>
          <w:tcPr>
            <w:tcW w:w="2840" w:type="dxa"/>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民 进</w:t>
            </w:r>
          </w:p>
        </w:tc>
        <w:tc>
          <w:tcPr>
            <w:tcW w:w="2841" w:type="dxa"/>
            <w:tcBorders>
              <w:top w:val="single" w:sz="4" w:space="0" w:color="auto"/>
              <w:left w:val="single" w:sz="4" w:space="0" w:color="auto"/>
              <w:right w:val="single" w:sz="4" w:space="0" w:color="auto"/>
            </w:tcBorders>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1.5</w:t>
            </w:r>
          </w:p>
        </w:tc>
        <w:tc>
          <w:tcPr>
            <w:tcW w:w="2841" w:type="dxa"/>
          </w:tcPr>
          <w:p>
            <w:pPr>
              <w:spacing w:line="580" w:lineRule="exact"/>
              <w:jc w:val="center"/>
              <w:rPr>
                <w:rFonts w:ascii="仿宋" w:eastAsia="仿宋" w:cs="仿宋_GB2312" w:hAnsi="仿宋"/>
                <w:sz w:val="32"/>
                <w:szCs w:val="32"/>
              </w:rPr>
            </w:pPr>
          </w:p>
        </w:tc>
      </w:tr>
      <w:tr>
        <w:tc>
          <w:tcPr>
            <w:tcW w:w="2840" w:type="dxa"/>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农工民主党</w:t>
            </w:r>
          </w:p>
        </w:tc>
        <w:tc>
          <w:tcPr>
            <w:tcW w:w="2841" w:type="dxa"/>
            <w:tcBorders>
              <w:top w:val="single" w:sz="4" w:space="0" w:color="auto"/>
              <w:left w:val="single" w:sz="4" w:space="0" w:color="auto"/>
              <w:right w:val="single" w:sz="4" w:space="0" w:color="auto"/>
            </w:tcBorders>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1.5</w:t>
            </w:r>
          </w:p>
        </w:tc>
        <w:tc>
          <w:tcPr>
            <w:tcW w:w="2841" w:type="dxa"/>
          </w:tcPr>
          <w:p>
            <w:pPr>
              <w:spacing w:line="580" w:lineRule="exact"/>
              <w:jc w:val="center"/>
              <w:rPr>
                <w:rFonts w:ascii="仿宋" w:eastAsia="仿宋" w:cs="仿宋_GB2312" w:hAnsi="仿宋"/>
                <w:sz w:val="32"/>
                <w:szCs w:val="32"/>
              </w:rPr>
            </w:pPr>
          </w:p>
        </w:tc>
      </w:tr>
      <w:tr>
        <w:tc>
          <w:tcPr>
            <w:tcW w:w="2840" w:type="dxa"/>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九三学社</w:t>
            </w:r>
          </w:p>
        </w:tc>
        <w:tc>
          <w:tcPr>
            <w:tcW w:w="2841" w:type="dxa"/>
            <w:tcBorders>
              <w:top w:val="single" w:sz="4" w:space="0" w:color="auto"/>
              <w:left w:val="single" w:sz="4" w:space="0" w:color="auto"/>
              <w:right w:val="single" w:sz="4" w:space="0" w:color="auto"/>
            </w:tcBorders>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1.5</w:t>
            </w:r>
          </w:p>
        </w:tc>
        <w:tc>
          <w:tcPr>
            <w:tcW w:w="2841" w:type="dxa"/>
          </w:tcPr>
          <w:p>
            <w:pPr>
              <w:spacing w:line="580" w:lineRule="exact"/>
              <w:jc w:val="center"/>
              <w:rPr>
                <w:rFonts w:ascii="仿宋" w:eastAsia="仿宋" w:cs="仿宋_GB2312" w:hAnsi="仿宋"/>
                <w:sz w:val="32"/>
                <w:szCs w:val="32"/>
              </w:rPr>
            </w:pPr>
          </w:p>
        </w:tc>
      </w:tr>
      <w:tr>
        <w:tc>
          <w:tcPr>
            <w:tcW w:w="2840" w:type="dxa"/>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合  计</w:t>
            </w:r>
          </w:p>
        </w:tc>
        <w:tc>
          <w:tcPr>
            <w:tcW w:w="2841" w:type="dxa"/>
            <w:tcBorders>
              <w:top w:val="single" w:sz="4" w:space="0" w:color="auto"/>
              <w:left w:val="single" w:sz="4" w:space="0" w:color="auto"/>
              <w:right w:val="single" w:sz="4" w:space="0" w:color="auto"/>
            </w:tcBorders>
          </w:tcPr>
          <w:p>
            <w:pPr>
              <w:spacing w:line="580" w:lineRule="exact"/>
              <w:rPr>
                <w:rFonts w:ascii="仿宋" w:eastAsia="仿宋" w:cs="仿宋_GB2312" w:hAnsi="仿宋"/>
                <w:sz w:val="32"/>
                <w:szCs w:val="32"/>
              </w:rPr>
            </w:pPr>
            <w:r>
              <w:rPr>
                <w:rFonts w:ascii="仿宋" w:eastAsia="仿宋" w:cs="仿宋_GB2312" w:hAnsi="仿宋" w:hint="eastAsia"/>
                <w:sz w:val="32"/>
                <w:szCs w:val="32"/>
              </w:rPr>
              <w:t xml:space="preserve">        9</w:t>
            </w:r>
          </w:p>
        </w:tc>
        <w:tc>
          <w:tcPr>
            <w:tcW w:w="2841" w:type="dxa"/>
          </w:tcPr>
          <w:p>
            <w:pPr>
              <w:spacing w:line="580" w:lineRule="exact"/>
              <w:rPr>
                <w:rFonts w:ascii="仿宋" w:eastAsia="仿宋" w:cs="仿宋_GB2312" w:hAnsi="仿宋"/>
                <w:sz w:val="32"/>
                <w:szCs w:val="32"/>
              </w:rPr>
            </w:pPr>
          </w:p>
        </w:tc>
      </w:tr>
    </w:tbl>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（二）绩效分析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1、项目决策</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九广合作及党派团体工作属财政资金常年预算项目，是为保障区级民主党派组织民革、民盟、民建、民进、农工民主党和九三学社工作顺利开展，保障九广合作相关项目工作开展，而预算的财政资金。以此保证民主监督和政治协商工作的顺利进行，具有鲜明的目的性和政策性。</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2、项目管理</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九广合作及党派团体工作资金总共预算20万元，实施中采取基本平均原则，按时间进度拨付，年终不拖欠，保证资金到位。</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3、项目绩效</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九广合作及党派团体工作资金总共预算给6个民主党派，主要保障其工作顺利开展，保证党派成员感受到共产党的关心关怀。该项目的实施提高的广大统战成员对党和政府的满意度，以促使最大限度发挥民主监督作用。</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三</w:t>
      </w:r>
      <w:r>
        <w:rPr>
          <w:rFonts w:ascii="仿宋" w:eastAsia="仿宋" w:cs="仿宋_GB2312" w:hAnsi="仿宋"/>
          <w:sz w:val="32"/>
          <w:szCs w:val="32"/>
        </w:rPr>
        <w:t>、存在主要问题</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党派资金在报销过程中存在部分附件不齐全现象。</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四</w:t>
      </w:r>
      <w:r>
        <w:rPr>
          <w:rFonts w:ascii="仿宋" w:eastAsia="仿宋" w:cs="仿宋_GB2312" w:hAnsi="仿宋"/>
          <w:sz w:val="32"/>
          <w:szCs w:val="32"/>
        </w:rPr>
        <w:t>、相关措施建议</w:t>
      </w:r>
    </w:p>
    <w:p>
      <w:pPr>
        <w:spacing w:line="580" w:lineRule="exact"/>
        <w:ind w:firstLineChars="200" w:firstLine="640"/>
        <w:rPr>
          <w:rStyle w:val="1Char"/>
          <w:rFonts w:ascii="仿宋" w:eastAsia="仿宋" w:cs="仿宋_GB2312" w:hAnsi="仿宋"/>
          <w:b w:val="0"/>
          <w:bCs w:val="0"/>
          <w:kern w:val="2"/>
          <w:sz w:val="32"/>
          <w:szCs w:val="32"/>
        </w:rPr>
      </w:pPr>
      <w:r>
        <w:rPr>
          <w:rStyle w:val="1Char"/>
          <w:rFonts w:ascii="仿宋" w:eastAsia="仿宋" w:cs="仿宋_GB2312" w:hAnsi="仿宋" w:hint="eastAsia"/>
          <w:b w:val="0"/>
          <w:bCs w:val="0"/>
          <w:kern w:val="2"/>
          <w:sz w:val="32"/>
          <w:szCs w:val="32"/>
        </w:rPr>
        <w:t xml:space="preserve">制定相应的票据管理规范化制度，严格把控，杜绝不规范现象。 </w:t>
      </w:r>
    </w:p>
    <w:p>
      <w:pPr>
        <w:spacing w:line="580" w:lineRule="exact"/>
        <w:jc w:val="center"/>
        <w:rPr>
          <w:rFonts w:ascii="黑体" w:eastAsia="黑体" w:cs="方正小标宋简体" w:hAnsi="黑体"/>
          <w:sz w:val="44"/>
          <w:szCs w:val="44"/>
        </w:rPr>
      </w:pPr>
      <w:r>
        <w:rPr>
          <w:rFonts w:ascii="黑体" w:eastAsia="黑体" w:cs="方正小标宋简体" w:hAnsi="黑体" w:hint="eastAsia"/>
          <w:sz w:val="44"/>
          <w:szCs w:val="44"/>
        </w:rPr>
        <w:t>2018年新的社会阶层数据调查及非公经济党组建设非公经济综合评论项目支出</w:t>
      </w:r>
    </w:p>
    <w:p>
      <w:pPr>
        <w:spacing w:line="580" w:lineRule="exact"/>
        <w:jc w:val="center"/>
        <w:rPr>
          <w:rFonts w:ascii="黑体" w:eastAsia="黑体" w:cs="方正小标宋简体" w:hAnsi="黑体"/>
          <w:sz w:val="44"/>
          <w:szCs w:val="44"/>
        </w:rPr>
      </w:pPr>
      <w:r>
        <w:rPr>
          <w:rFonts w:ascii="黑体" w:eastAsia="黑体" w:cs="方正小标宋简体" w:hAnsi="黑体" w:hint="eastAsia"/>
          <w:sz w:val="44"/>
          <w:szCs w:val="44"/>
        </w:rPr>
        <w:t>绩效评价报告</w:t>
      </w:r>
    </w:p>
    <w:p>
      <w:pPr>
        <w:spacing w:line="580" w:lineRule="exact"/>
        <w:ind w:firstLineChars="200" w:firstLine="640"/>
        <w:rPr>
          <w:rFonts w:ascii="仿宋_GB2312" w:eastAsia="仿宋_GB2312" w:cs="仿宋_GB2312" w:hAnsi="仿宋_GB2312"/>
          <w:sz w:val="32"/>
          <w:szCs w:val="32"/>
        </w:rPr>
      </w:pP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一</w:t>
      </w:r>
      <w:r>
        <w:rPr>
          <w:rFonts w:ascii="仿宋" w:eastAsia="仿宋" w:cs="仿宋_GB2312" w:hAnsi="仿宋"/>
          <w:sz w:val="32"/>
          <w:szCs w:val="32"/>
        </w:rPr>
        <w:t>、评价工作开展及项目情况</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新的社会阶层数据调查及非公经济党组建设非公经济综合评论是为全面掌握非公经济情况，帮助非公经济开展组织建设，而预算的财政资金。本单位在资金使用中制定使用办法，严格按照要求执行。</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二</w:t>
      </w:r>
      <w:r>
        <w:rPr>
          <w:rFonts w:ascii="仿宋" w:eastAsia="仿宋" w:cs="仿宋_GB2312" w:hAnsi="仿宋"/>
          <w:sz w:val="32"/>
          <w:szCs w:val="32"/>
        </w:rPr>
        <w:t>、评价结论及绩效分析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（一）评价结论</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本单位积极组织协调人员对全区非公经济进行了解，并掌握相关数据，协调组织部门帮扶建立非公经济内的党组织，为非公经济统战工作作出积极贡献。</w:t>
      </w:r>
    </w:p>
    <w:p>
      <w:pPr>
        <w:spacing w:line="580" w:lineRule="exact"/>
        <w:jc w:val="center"/>
        <w:rPr>
          <w:rFonts w:ascii="方正小标宋简体" w:eastAsia="方正小标宋简体" w:cs="仿宋_GB2312" w:hAnsi="仿宋"/>
          <w:sz w:val="36"/>
          <w:szCs w:val="36"/>
        </w:rPr>
      </w:pPr>
      <w:r>
        <w:rPr>
          <w:rFonts w:ascii="方正小标宋简体" w:eastAsia="方正小标宋简体" w:cs="仿宋_GB2312" w:hAnsi="仿宋" w:hint="eastAsia"/>
          <w:sz w:val="36"/>
          <w:szCs w:val="36"/>
        </w:rPr>
        <w:t>项目评价得分表</w:t>
      </w:r>
    </w:p>
    <w:tbl>
      <w:tblPr>
        <w:jc w:val="left"/>
        <w:tblInd w:w="0" w:type="dxa"/>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840"/>
        <w:gridCol w:w="2841"/>
        <w:gridCol w:w="2841"/>
      </w:tblGrid>
      <w:tr>
        <w:tc>
          <w:tcPr>
            <w:tcW w:w="2840" w:type="dxa"/>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目标任务</w:t>
            </w:r>
          </w:p>
        </w:tc>
        <w:tc>
          <w:tcPr>
            <w:tcW w:w="2841" w:type="dxa"/>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得 分</w:t>
            </w:r>
          </w:p>
        </w:tc>
        <w:tc>
          <w:tcPr>
            <w:tcW w:w="2841" w:type="dxa"/>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备注</w:t>
            </w:r>
          </w:p>
        </w:tc>
      </w:tr>
      <w:tr>
        <w:tc>
          <w:tcPr>
            <w:tcW w:w="2840" w:type="dxa"/>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非公经济数据调查</w:t>
            </w:r>
          </w:p>
        </w:tc>
        <w:tc>
          <w:tcPr>
            <w:tcW w:w="2841" w:type="dxa"/>
            <w:tcBorders>
              <w:top w:val="single" w:sz="4" w:space="0" w:color="auto"/>
              <w:left w:val="single" w:sz="4" w:space="0" w:color="auto"/>
              <w:right w:val="single" w:sz="4" w:space="0" w:color="auto"/>
            </w:tcBorders>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1.5</w:t>
            </w:r>
          </w:p>
        </w:tc>
        <w:tc>
          <w:tcPr>
            <w:tcW w:w="2841" w:type="dxa"/>
          </w:tcPr>
          <w:p>
            <w:pPr>
              <w:spacing w:line="580" w:lineRule="exact"/>
              <w:jc w:val="center"/>
              <w:rPr>
                <w:rFonts w:ascii="仿宋" w:eastAsia="仿宋" w:cs="仿宋_GB2312" w:hAnsi="仿宋"/>
                <w:sz w:val="32"/>
                <w:szCs w:val="32"/>
              </w:rPr>
            </w:pPr>
          </w:p>
        </w:tc>
      </w:tr>
      <w:tr>
        <w:tc>
          <w:tcPr>
            <w:tcW w:w="2840" w:type="dxa"/>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帮扶建立组织</w:t>
            </w:r>
          </w:p>
        </w:tc>
        <w:tc>
          <w:tcPr>
            <w:tcW w:w="2841" w:type="dxa"/>
            <w:tcBorders>
              <w:top w:val="single" w:sz="4" w:space="0" w:color="auto"/>
              <w:left w:val="single" w:sz="4" w:space="0" w:color="auto"/>
              <w:right w:val="single" w:sz="4" w:space="0" w:color="auto"/>
            </w:tcBorders>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1.5</w:t>
            </w:r>
          </w:p>
        </w:tc>
        <w:tc>
          <w:tcPr>
            <w:tcW w:w="2841" w:type="dxa"/>
          </w:tcPr>
          <w:p>
            <w:pPr>
              <w:spacing w:line="580" w:lineRule="exact"/>
              <w:jc w:val="center"/>
              <w:rPr>
                <w:rFonts w:ascii="仿宋" w:eastAsia="仿宋" w:cs="仿宋_GB2312" w:hAnsi="仿宋"/>
                <w:sz w:val="32"/>
                <w:szCs w:val="32"/>
              </w:rPr>
            </w:pPr>
          </w:p>
        </w:tc>
      </w:tr>
      <w:tr>
        <w:tc>
          <w:tcPr>
            <w:tcW w:w="2840" w:type="dxa"/>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满意度</w:t>
            </w:r>
          </w:p>
        </w:tc>
        <w:tc>
          <w:tcPr>
            <w:tcW w:w="2841" w:type="dxa"/>
            <w:tcBorders>
              <w:top w:val="single" w:sz="4" w:space="0" w:color="auto"/>
              <w:left w:val="single" w:sz="4" w:space="0" w:color="auto"/>
              <w:right w:val="single" w:sz="4" w:space="0" w:color="auto"/>
            </w:tcBorders>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1.5</w:t>
            </w:r>
          </w:p>
        </w:tc>
        <w:tc>
          <w:tcPr>
            <w:tcW w:w="2841" w:type="dxa"/>
          </w:tcPr>
          <w:p>
            <w:pPr>
              <w:spacing w:line="580" w:lineRule="exact"/>
              <w:jc w:val="center"/>
              <w:rPr>
                <w:rFonts w:ascii="仿宋" w:eastAsia="仿宋" w:cs="仿宋_GB2312" w:hAnsi="仿宋"/>
                <w:sz w:val="32"/>
                <w:szCs w:val="32"/>
              </w:rPr>
            </w:pPr>
          </w:p>
        </w:tc>
      </w:tr>
      <w:tr>
        <w:tc>
          <w:tcPr>
            <w:tcW w:w="2840" w:type="dxa"/>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合  计</w:t>
            </w:r>
          </w:p>
        </w:tc>
        <w:tc>
          <w:tcPr>
            <w:tcW w:w="2841" w:type="dxa"/>
            <w:tcBorders>
              <w:top w:val="single" w:sz="4" w:space="0" w:color="auto"/>
              <w:left w:val="single" w:sz="4" w:space="0" w:color="auto"/>
              <w:right w:val="single" w:sz="4" w:space="0" w:color="auto"/>
            </w:tcBorders>
          </w:tcPr>
          <w:p>
            <w:pPr>
              <w:spacing w:line="580" w:lineRule="exact"/>
              <w:rPr>
                <w:rFonts w:ascii="仿宋" w:eastAsia="仿宋" w:cs="仿宋_GB2312" w:hAnsi="仿宋"/>
                <w:sz w:val="32"/>
                <w:szCs w:val="32"/>
              </w:rPr>
            </w:pPr>
            <w:r>
              <w:rPr>
                <w:rFonts w:ascii="仿宋" w:eastAsia="仿宋" w:cs="仿宋_GB2312" w:hAnsi="仿宋" w:hint="eastAsia"/>
                <w:sz w:val="32"/>
                <w:szCs w:val="32"/>
              </w:rPr>
              <w:t xml:space="preserve">        9</w:t>
            </w:r>
          </w:p>
        </w:tc>
        <w:tc>
          <w:tcPr>
            <w:tcW w:w="2841" w:type="dxa"/>
          </w:tcPr>
          <w:p>
            <w:pPr>
              <w:spacing w:line="580" w:lineRule="exact"/>
              <w:rPr>
                <w:rFonts w:ascii="仿宋" w:eastAsia="仿宋" w:cs="仿宋_GB2312" w:hAnsi="仿宋"/>
                <w:sz w:val="32"/>
                <w:szCs w:val="32"/>
              </w:rPr>
            </w:pPr>
          </w:p>
        </w:tc>
      </w:tr>
    </w:tbl>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（二）绩效分析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1、项目决策</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新的社会阶层数据调查及非公经济党组建设非公经济综合评论属财政资金常年预算项目，是为对全区非公经济数据有全面的了解，尽可能在符合条件的地方建设党组织，为非公经济的发展提供可行性服务。而预算的财政资金。以此保证非公经济领域的健康有序发展。</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2、项目管理</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新的社会阶层数据调查及非公经济党组建设非公经济综合评论工作资金总共预算2万元，实施中采取先制定使用计划，按先计划后实施原则，按实际发生进行报销，年终不拖欠，保证资金到位。</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3、项目绩效</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新的社会阶层数据调查及非公经济党组建设非公经济综合评论工作资金，主要用于了解全区非公经济工作开展情况，保证非公经济领域的健康有序发展。该项目的实施提高了经济统战工作的社会知名度，能</w:t>
      </w:r>
      <w:r>
        <w:rPr>
          <w:rFonts w:ascii="仿宋" w:eastAsia="仿宋" w:cs="仿宋_GB2312" w:hAnsi="仿宋" w:hint="eastAsia"/>
          <w:sz w:val="32"/>
          <w:szCs w:val="32"/>
          <w:lang w:eastAsia="zh-CN"/>
        </w:rPr>
        <w:t>更好地为</w:t>
      </w:r>
      <w:r>
        <w:rPr>
          <w:rFonts w:ascii="仿宋" w:eastAsia="仿宋" w:cs="仿宋_GB2312" w:hAnsi="仿宋" w:hint="eastAsia"/>
          <w:sz w:val="32"/>
          <w:szCs w:val="32"/>
        </w:rPr>
        <w:t>非公经济服务。</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三</w:t>
      </w:r>
      <w:r>
        <w:rPr>
          <w:rFonts w:ascii="仿宋" w:eastAsia="仿宋" w:cs="仿宋_GB2312" w:hAnsi="仿宋"/>
          <w:sz w:val="32"/>
          <w:szCs w:val="32"/>
        </w:rPr>
        <w:t>、存在主要问题</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在资金使用过程中没有做到专款专用，有挪用现象发生。</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四</w:t>
      </w:r>
      <w:r>
        <w:rPr>
          <w:rFonts w:ascii="仿宋" w:eastAsia="仿宋" w:cs="仿宋_GB2312" w:hAnsi="仿宋"/>
          <w:sz w:val="32"/>
          <w:szCs w:val="32"/>
        </w:rPr>
        <w:t>、相关措施建议</w:t>
      </w:r>
    </w:p>
    <w:p>
      <w:pPr>
        <w:spacing w:line="580" w:lineRule="exact"/>
        <w:ind w:firstLineChars="200" w:firstLine="640"/>
        <w:rPr>
          <w:rStyle w:val="1Char"/>
          <w:rFonts w:ascii="仿宋" w:eastAsia="仿宋" w:cs="仿宋_GB2312" w:hAnsi="仿宋"/>
          <w:b w:val="0"/>
          <w:bCs w:val="0"/>
          <w:kern w:val="2"/>
          <w:sz w:val="32"/>
          <w:szCs w:val="32"/>
        </w:rPr>
      </w:pPr>
      <w:r>
        <w:rPr>
          <w:rStyle w:val="1Char"/>
          <w:rFonts w:ascii="仿宋" w:eastAsia="仿宋" w:cs="仿宋_GB2312" w:hAnsi="仿宋" w:hint="eastAsia"/>
          <w:b w:val="0"/>
          <w:bCs w:val="0"/>
          <w:kern w:val="2"/>
          <w:sz w:val="32"/>
          <w:szCs w:val="32"/>
        </w:rPr>
        <w:t xml:space="preserve">健全资金使用制度，严格资金使用程序，财务人员要严控专项资金使用。 </w:t>
      </w:r>
    </w:p>
    <w:p>
      <w:pPr>
        <w:spacing w:line="580" w:lineRule="exact"/>
        <w:jc w:val="center"/>
        <w:rPr>
          <w:rFonts w:ascii="黑体" w:eastAsia="黑体" w:cs="方正小标宋简体" w:hAnsi="黑体"/>
          <w:sz w:val="44"/>
          <w:szCs w:val="44"/>
        </w:rPr>
      </w:pPr>
      <w:r>
        <w:rPr>
          <w:rFonts w:ascii="黑体" w:eastAsia="黑体" w:cs="方正小标宋简体" w:hAnsi="黑体" w:hint="eastAsia"/>
          <w:sz w:val="44"/>
          <w:szCs w:val="44"/>
        </w:rPr>
        <w:t>2018年无党派知识分子工作项目支出</w:t>
      </w:r>
    </w:p>
    <w:p>
      <w:pPr>
        <w:spacing w:line="580" w:lineRule="exact"/>
        <w:jc w:val="center"/>
        <w:rPr>
          <w:rFonts w:ascii="黑体" w:eastAsia="黑体" w:cs="方正小标宋简体" w:hAnsi="黑体"/>
          <w:sz w:val="44"/>
          <w:szCs w:val="44"/>
        </w:rPr>
      </w:pPr>
      <w:r>
        <w:rPr>
          <w:rFonts w:ascii="黑体" w:eastAsia="黑体" w:cs="方正小标宋简体" w:hAnsi="黑体" w:hint="eastAsia"/>
          <w:sz w:val="44"/>
          <w:szCs w:val="44"/>
        </w:rPr>
        <w:t>绩效评价报告</w:t>
      </w:r>
    </w:p>
    <w:p>
      <w:pPr>
        <w:spacing w:line="580" w:lineRule="exact"/>
        <w:ind w:firstLineChars="200" w:firstLine="640"/>
        <w:rPr>
          <w:rFonts w:ascii="仿宋_GB2312" w:eastAsia="仿宋_GB2312" w:cs="仿宋_GB2312" w:hAnsi="仿宋_GB2312"/>
          <w:sz w:val="32"/>
          <w:szCs w:val="32"/>
        </w:rPr>
      </w:pPr>
    </w:p>
    <w:p>
      <w:pPr>
        <w:spacing w:line="580" w:lineRule="exact"/>
        <w:ind w:firstLineChars="200" w:firstLine="640"/>
        <w:rPr>
          <w:rFonts w:ascii="仿宋" w:eastAsia="仿宋" w:cs="仿宋_GB2312" w:hAnsi="仿宋"/>
          <w:color w:val="FF0000"/>
          <w:sz w:val="32"/>
          <w:szCs w:val="32"/>
        </w:rPr>
      </w:pPr>
      <w:r>
        <w:rPr>
          <w:rFonts w:ascii="仿宋" w:eastAsia="仿宋" w:cs="仿宋_GB2312" w:hAnsi="仿宋" w:hint="eastAsia"/>
          <w:sz w:val="32"/>
          <w:szCs w:val="32"/>
        </w:rPr>
        <w:t>一</w:t>
      </w:r>
      <w:r>
        <w:rPr>
          <w:rFonts w:ascii="仿宋" w:eastAsia="仿宋" w:cs="仿宋_GB2312" w:hAnsi="仿宋"/>
          <w:sz w:val="32"/>
          <w:szCs w:val="32"/>
        </w:rPr>
        <w:t>、评价工作开展及项目情况</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无党派知识分子工作是为更好的服务于无党派知识分子队伍，全面掌握无党派知识分子队伍发展情况，帮助队伍建设，而预算的财政资金。本单位在资金使用中制定使用办法，严格按照要求执行。</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二</w:t>
      </w:r>
      <w:r>
        <w:rPr>
          <w:rFonts w:ascii="仿宋" w:eastAsia="仿宋" w:cs="仿宋_GB2312" w:hAnsi="仿宋"/>
          <w:sz w:val="32"/>
          <w:szCs w:val="32"/>
        </w:rPr>
        <w:t>、评价结论及绩效分析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（一）评价结论</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本单位积极对全区无党派知识分子队伍进行了解，并掌握部分代表人士情况，引导他们发挥个人和团体力量，为全区经济社会发展作贡献。</w:t>
      </w:r>
    </w:p>
    <w:p>
      <w:pPr>
        <w:spacing w:line="580" w:lineRule="exact"/>
        <w:ind w:firstLineChars="200" w:firstLine="640"/>
        <w:rPr>
          <w:rFonts w:ascii="仿宋" w:eastAsia="仿宋" w:cs="仿宋_GB2312" w:hAnsi="仿宋"/>
          <w:sz w:val="32"/>
          <w:szCs w:val="32"/>
        </w:rPr>
      </w:pPr>
    </w:p>
    <w:p>
      <w:pPr>
        <w:spacing w:line="580" w:lineRule="exact"/>
        <w:jc w:val="center"/>
        <w:rPr>
          <w:rFonts w:ascii="方正小标宋简体" w:eastAsia="方正小标宋简体" w:cs="仿宋_GB2312" w:hAnsi="仿宋"/>
          <w:sz w:val="36"/>
          <w:szCs w:val="36"/>
        </w:rPr>
      </w:pPr>
      <w:r>
        <w:rPr>
          <w:rFonts w:ascii="方正小标宋简体" w:eastAsia="方正小标宋简体" w:cs="仿宋_GB2312" w:hAnsi="仿宋" w:hint="eastAsia"/>
          <w:sz w:val="36"/>
          <w:szCs w:val="36"/>
        </w:rPr>
        <w:t>项目评价得分表</w:t>
      </w:r>
    </w:p>
    <w:tbl>
      <w:tblPr>
        <w:jc w:val="left"/>
        <w:tblInd w:w="0" w:type="dxa"/>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840"/>
        <w:gridCol w:w="2841"/>
        <w:gridCol w:w="2841"/>
      </w:tblGrid>
      <w:tr>
        <w:tc>
          <w:tcPr>
            <w:tcW w:w="2840" w:type="dxa"/>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目标任务</w:t>
            </w:r>
          </w:p>
        </w:tc>
        <w:tc>
          <w:tcPr>
            <w:tcW w:w="2841" w:type="dxa"/>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得 分</w:t>
            </w:r>
          </w:p>
        </w:tc>
        <w:tc>
          <w:tcPr>
            <w:tcW w:w="2841" w:type="dxa"/>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备注</w:t>
            </w:r>
          </w:p>
        </w:tc>
      </w:tr>
      <w:tr>
        <w:tc>
          <w:tcPr>
            <w:tcW w:w="2840" w:type="dxa"/>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思想引领</w:t>
            </w:r>
          </w:p>
        </w:tc>
        <w:tc>
          <w:tcPr>
            <w:tcW w:w="2841" w:type="dxa"/>
            <w:tcBorders>
              <w:top w:val="single" w:sz="4" w:space="0" w:color="auto"/>
              <w:left w:val="single" w:sz="4" w:space="0" w:color="auto"/>
              <w:right w:val="single" w:sz="4" w:space="0" w:color="auto"/>
            </w:tcBorders>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3.5</w:t>
            </w:r>
          </w:p>
        </w:tc>
        <w:tc>
          <w:tcPr>
            <w:tcW w:w="2841" w:type="dxa"/>
          </w:tcPr>
          <w:p>
            <w:pPr>
              <w:spacing w:line="580" w:lineRule="exact"/>
              <w:jc w:val="center"/>
              <w:rPr>
                <w:rFonts w:ascii="仿宋" w:eastAsia="仿宋" w:cs="仿宋_GB2312" w:hAnsi="仿宋"/>
                <w:sz w:val="32"/>
                <w:szCs w:val="32"/>
              </w:rPr>
            </w:pPr>
          </w:p>
        </w:tc>
      </w:tr>
      <w:tr>
        <w:tc>
          <w:tcPr>
            <w:tcW w:w="2840" w:type="dxa"/>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队伍建设</w:t>
            </w:r>
          </w:p>
        </w:tc>
        <w:tc>
          <w:tcPr>
            <w:tcW w:w="2841" w:type="dxa"/>
            <w:tcBorders>
              <w:top w:val="single" w:sz="4" w:space="0" w:color="auto"/>
              <w:left w:val="single" w:sz="4" w:space="0" w:color="auto"/>
              <w:right w:val="single" w:sz="4" w:space="0" w:color="auto"/>
            </w:tcBorders>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3</w:t>
            </w:r>
          </w:p>
        </w:tc>
        <w:tc>
          <w:tcPr>
            <w:tcW w:w="2841" w:type="dxa"/>
          </w:tcPr>
          <w:p>
            <w:pPr>
              <w:spacing w:line="580" w:lineRule="exact"/>
              <w:jc w:val="center"/>
              <w:rPr>
                <w:rFonts w:ascii="仿宋" w:eastAsia="仿宋" w:cs="仿宋_GB2312" w:hAnsi="仿宋"/>
                <w:sz w:val="32"/>
                <w:szCs w:val="32"/>
              </w:rPr>
            </w:pPr>
          </w:p>
        </w:tc>
      </w:tr>
      <w:tr>
        <w:tc>
          <w:tcPr>
            <w:tcW w:w="2840" w:type="dxa"/>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满意度</w:t>
            </w:r>
          </w:p>
        </w:tc>
        <w:tc>
          <w:tcPr>
            <w:tcW w:w="2841" w:type="dxa"/>
            <w:tcBorders>
              <w:top w:val="single" w:sz="4" w:space="0" w:color="auto"/>
              <w:left w:val="single" w:sz="4" w:space="0" w:color="auto"/>
              <w:right w:val="single" w:sz="4" w:space="0" w:color="auto"/>
            </w:tcBorders>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3</w:t>
            </w:r>
          </w:p>
        </w:tc>
        <w:tc>
          <w:tcPr>
            <w:tcW w:w="2841" w:type="dxa"/>
          </w:tcPr>
          <w:p>
            <w:pPr>
              <w:spacing w:line="580" w:lineRule="exact"/>
              <w:jc w:val="center"/>
              <w:rPr>
                <w:rFonts w:ascii="仿宋" w:eastAsia="仿宋" w:cs="仿宋_GB2312" w:hAnsi="仿宋"/>
                <w:sz w:val="32"/>
                <w:szCs w:val="32"/>
              </w:rPr>
            </w:pPr>
          </w:p>
        </w:tc>
      </w:tr>
      <w:tr>
        <w:tc>
          <w:tcPr>
            <w:tcW w:w="2840" w:type="dxa"/>
          </w:tcPr>
          <w:p>
            <w:pPr>
              <w:spacing w:line="580" w:lineRule="exact"/>
              <w:jc w:val="center"/>
              <w:rPr>
                <w:rFonts w:ascii="仿宋" w:eastAsia="仿宋" w:cs="仿宋_GB2312" w:hAnsi="仿宋"/>
                <w:sz w:val="32"/>
                <w:szCs w:val="32"/>
              </w:rPr>
            </w:pPr>
            <w:r>
              <w:rPr>
                <w:rFonts w:ascii="仿宋" w:eastAsia="仿宋" w:cs="仿宋_GB2312" w:hAnsi="仿宋" w:hint="eastAsia"/>
                <w:sz w:val="32"/>
                <w:szCs w:val="32"/>
              </w:rPr>
              <w:t>合  计</w:t>
            </w:r>
          </w:p>
        </w:tc>
        <w:tc>
          <w:tcPr>
            <w:tcW w:w="2841" w:type="dxa"/>
            <w:tcBorders>
              <w:top w:val="single" w:sz="4" w:space="0" w:color="auto"/>
              <w:left w:val="single" w:sz="4" w:space="0" w:color="auto"/>
              <w:right w:val="single" w:sz="4" w:space="0" w:color="auto"/>
            </w:tcBorders>
          </w:tcPr>
          <w:p>
            <w:pPr>
              <w:spacing w:line="580" w:lineRule="exact"/>
              <w:rPr>
                <w:rFonts w:ascii="仿宋" w:eastAsia="仿宋" w:cs="仿宋_GB2312" w:hAnsi="仿宋"/>
                <w:sz w:val="32"/>
                <w:szCs w:val="32"/>
              </w:rPr>
            </w:pPr>
            <w:r>
              <w:rPr>
                <w:rFonts w:ascii="仿宋" w:eastAsia="仿宋" w:cs="仿宋_GB2312" w:hAnsi="仿宋" w:hint="eastAsia"/>
                <w:sz w:val="32"/>
                <w:szCs w:val="32"/>
              </w:rPr>
              <w:t xml:space="preserve">        9.5</w:t>
            </w:r>
          </w:p>
        </w:tc>
        <w:tc>
          <w:tcPr>
            <w:tcW w:w="2841" w:type="dxa"/>
          </w:tcPr>
          <w:p>
            <w:pPr>
              <w:spacing w:line="580" w:lineRule="exact"/>
              <w:rPr>
                <w:rFonts w:ascii="仿宋" w:eastAsia="仿宋" w:cs="仿宋_GB2312" w:hAnsi="仿宋"/>
                <w:sz w:val="32"/>
                <w:szCs w:val="32"/>
              </w:rPr>
            </w:pPr>
          </w:p>
        </w:tc>
      </w:tr>
    </w:tbl>
    <w:p>
      <w:pPr>
        <w:spacing w:line="580" w:lineRule="exact"/>
        <w:ind w:firstLineChars="200" w:firstLine="640"/>
        <w:rPr>
          <w:rFonts w:ascii="仿宋" w:eastAsia="仿宋" w:cs="仿宋_GB2312" w:hAnsi="仿宋"/>
          <w:sz w:val="32"/>
          <w:szCs w:val="32"/>
        </w:rPr>
      </w:pP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（二）绩效分析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1、项目决策</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无党派知识分子工作属财政资金常年预算项目，是为对全区无党派知识分子队伍有全面的了解，尽最大可能提高队伍建设质量，</w:t>
      </w:r>
      <w:r>
        <w:rPr>
          <w:rFonts w:ascii="仿宋" w:eastAsia="仿宋" w:cs="仿宋_GB2312" w:hAnsi="仿宋" w:hint="eastAsia"/>
          <w:sz w:val="32"/>
          <w:szCs w:val="32"/>
          <w:lang w:eastAsia="zh-CN"/>
        </w:rPr>
        <w:t>更好地为</w:t>
      </w:r>
      <w:r>
        <w:rPr>
          <w:rFonts w:ascii="仿宋" w:eastAsia="仿宋" w:cs="仿宋_GB2312" w:hAnsi="仿宋" w:hint="eastAsia"/>
          <w:sz w:val="32"/>
          <w:szCs w:val="32"/>
        </w:rPr>
        <w:t>无党派知识分子服务，而预算的财政资金。</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2、项目管理</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无党派知识分子工作工作资金总共预算3万元，实施中采取先制定使用计划，按先计划后实施原则，按实际发生进行报销，年终不拖欠，保证资金到位。</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3、项目绩效</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无党派知识分子工作资金，主要用于对全区无党派知识分子队伍有全面的了解，尽最大可能提高队伍建设质量，</w:t>
      </w:r>
      <w:r>
        <w:rPr>
          <w:rFonts w:ascii="仿宋" w:eastAsia="仿宋" w:cs="仿宋_GB2312" w:hAnsi="仿宋" w:hint="eastAsia"/>
          <w:sz w:val="32"/>
          <w:szCs w:val="32"/>
          <w:lang w:eastAsia="zh-CN"/>
        </w:rPr>
        <w:t>更好地为</w:t>
      </w:r>
      <w:r>
        <w:rPr>
          <w:rFonts w:ascii="仿宋" w:eastAsia="仿宋" w:cs="仿宋_GB2312" w:hAnsi="仿宋" w:hint="eastAsia"/>
          <w:sz w:val="32"/>
          <w:szCs w:val="32"/>
        </w:rPr>
        <w:t>无党派知识分子服务，该项目的实施能</w:t>
      </w:r>
      <w:r>
        <w:rPr>
          <w:rFonts w:ascii="仿宋" w:eastAsia="仿宋" w:cs="仿宋_GB2312" w:hAnsi="仿宋" w:hint="eastAsia"/>
          <w:sz w:val="32"/>
          <w:szCs w:val="32"/>
          <w:lang w:eastAsia="zh-CN"/>
        </w:rPr>
        <w:t>更好地为</w:t>
      </w:r>
      <w:r>
        <w:rPr>
          <w:rFonts w:ascii="仿宋" w:eastAsia="仿宋" w:cs="仿宋_GB2312" w:hAnsi="仿宋" w:hint="eastAsia"/>
          <w:sz w:val="32"/>
          <w:szCs w:val="32"/>
        </w:rPr>
        <w:t>党外知识分子队伍服务。</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三</w:t>
      </w:r>
      <w:r>
        <w:rPr>
          <w:rFonts w:ascii="仿宋" w:eastAsia="仿宋" w:cs="仿宋_GB2312" w:hAnsi="仿宋"/>
          <w:sz w:val="32"/>
          <w:szCs w:val="32"/>
        </w:rPr>
        <w:t>、存在主要问题</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在资金使用过程中没有做到专款专用，有挪用现象发生。</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四</w:t>
      </w:r>
      <w:r>
        <w:rPr>
          <w:rFonts w:ascii="仿宋" w:eastAsia="仿宋" w:cs="仿宋_GB2312" w:hAnsi="仿宋"/>
          <w:sz w:val="32"/>
          <w:szCs w:val="32"/>
        </w:rPr>
        <w:t>、相关措施建议</w:t>
      </w:r>
    </w:p>
    <w:p>
      <w:pPr>
        <w:spacing w:line="580" w:lineRule="exact"/>
        <w:ind w:firstLineChars="200" w:firstLine="640"/>
        <w:rPr>
          <w:rStyle w:val="1Char"/>
          <w:rFonts w:ascii="仿宋" w:eastAsia="仿宋" w:cs="仿宋_GB2312" w:hAnsi="仿宋"/>
          <w:b w:val="0"/>
          <w:bCs w:val="0"/>
          <w:kern w:val="2"/>
          <w:sz w:val="32"/>
          <w:szCs w:val="32"/>
        </w:rPr>
      </w:pPr>
      <w:r>
        <w:rPr>
          <w:rStyle w:val="1Char"/>
          <w:rFonts w:ascii="仿宋" w:eastAsia="仿宋" w:cs="仿宋_GB2312" w:hAnsi="仿宋" w:hint="eastAsia"/>
          <w:b w:val="0"/>
          <w:bCs w:val="0"/>
          <w:kern w:val="2"/>
          <w:sz w:val="32"/>
          <w:szCs w:val="32"/>
        </w:rPr>
        <w:t xml:space="preserve">健全资金使用制度，严格资金使用程序，财务人员要严控专项资金使用。 </w:t>
      </w:r>
    </w:p>
    <w:p>
      <w:pPr>
        <w:spacing w:line="580" w:lineRule="exact"/>
        <w:ind w:firstLineChars="200" w:firstLine="640"/>
        <w:rPr>
          <w:rStyle w:val="1Char"/>
          <w:rFonts w:ascii="仿宋" w:eastAsia="仿宋" w:cs="仿宋_GB2312" w:hAnsi="仿宋"/>
          <w:b w:val="0"/>
          <w:bCs w:val="0"/>
          <w:kern w:val="2"/>
          <w:sz w:val="32"/>
          <w:szCs w:val="32"/>
        </w:rPr>
      </w:pPr>
    </w:p>
    <w:p>
      <w:pPr>
        <w:spacing w:line="600" w:lineRule="exact"/>
        <w:jc w:val="center"/>
        <w:outlineLvl w:val="0"/>
        <w:rPr>
          <w:rStyle w:val="1Char"/>
          <w:rFonts w:ascii="黑体" w:eastAsia="黑体" w:hAnsi="黑体"/>
          <w:b w:val="0"/>
        </w:rPr>
      </w:pPr>
      <w:bookmarkStart w:id="63" w:name="_Toc15396618"/>
      <w:r>
        <w:rPr>
          <w:rFonts w:ascii="黑体" w:eastAsia="黑体" w:hAnsi="黑体" w:hint="eastAsia"/>
          <w:color w:val="000000"/>
          <w:sz w:val="44"/>
          <w:szCs w:val="44"/>
        </w:rPr>
        <w:t>第</w:t>
      </w:r>
      <w:r>
        <w:rPr>
          <w:rStyle w:val="1Char"/>
          <w:rFonts w:ascii="黑体" w:eastAsia="黑体" w:hAnsi="黑体" w:hint="eastAsia"/>
          <w:b w:val="0"/>
        </w:rPr>
        <w:t>五部分 附表</w:t>
      </w:r>
      <w:bookmarkEnd w:id="58"/>
      <w:bookmarkEnd w:id="63"/>
    </w:p>
    <w:p>
      <w:pPr>
        <w:spacing w:line="600" w:lineRule="exact"/>
        <w:jc w:val="center"/>
        <w:outlineLvl w:val="0"/>
        <w:rPr>
          <w:rFonts w:ascii="仿宋" w:eastAsia="仿宋" w:hAnsi="仿宋"/>
          <w:b/>
          <w:color w:val="000000"/>
          <w:sz w:val="44"/>
          <w:szCs w:val="44"/>
        </w:rPr>
      </w:pPr>
    </w:p>
    <w:p>
      <w:pPr>
        <w:pStyle w:val="2"/>
        <w:rPr>
          <w:rFonts w:ascii="仿宋" w:eastAsia="仿宋" w:hAnsi="仿宋"/>
          <w:color w:val="000000"/>
        </w:rPr>
      </w:pPr>
      <w:bookmarkStart w:id="64" w:name="_Toc15396619"/>
      <w:r>
        <w:rPr>
          <w:rFonts w:ascii="仿宋" w:eastAsia="仿宋" w:hAnsi="仿宋" w:hint="eastAsia"/>
          <w:b w:val="0"/>
          <w:color w:val="000000"/>
        </w:rPr>
        <w:t>一、收</w:t>
      </w:r>
      <w:r>
        <w:rPr>
          <w:rStyle w:val="2Char"/>
          <w:rFonts w:ascii="仿宋" w:eastAsia="仿宋" w:hAnsi="仿宋" w:hint="eastAsia"/>
          <w:b w:val="0"/>
          <w:bCs w:val="0"/>
        </w:rPr>
        <w:t>入支出决算总表</w:t>
      </w:r>
      <w:bookmarkEnd w:id="64"/>
    </w:p>
    <w:p>
      <w:pPr>
        <w:pStyle w:val="2"/>
        <w:rPr>
          <w:rFonts w:ascii="仿宋" w:eastAsia="仿宋" w:hAnsi="仿宋"/>
          <w:color w:val="000000"/>
        </w:rPr>
      </w:pPr>
      <w:bookmarkStart w:id="65" w:name="_Toc15396620"/>
      <w:r>
        <w:rPr>
          <w:rFonts w:ascii="仿宋" w:eastAsia="仿宋" w:hAnsi="仿宋" w:hint="eastAsia"/>
          <w:b w:val="0"/>
          <w:color w:val="000000"/>
        </w:rPr>
        <w:t>二、收</w:t>
      </w:r>
      <w:r>
        <w:rPr>
          <w:rStyle w:val="2Char"/>
          <w:rFonts w:ascii="仿宋" w:eastAsia="仿宋" w:hAnsi="仿宋" w:hint="eastAsia"/>
          <w:b w:val="0"/>
          <w:bCs w:val="0"/>
        </w:rPr>
        <w:t>入总表</w:t>
      </w:r>
      <w:bookmarkEnd w:id="65"/>
    </w:p>
    <w:p>
      <w:pPr>
        <w:pStyle w:val="2"/>
        <w:rPr>
          <w:rFonts w:ascii="仿宋" w:eastAsia="仿宋" w:hAnsi="仿宋"/>
          <w:color w:val="000000"/>
        </w:rPr>
      </w:pPr>
      <w:bookmarkStart w:id="66" w:name="_Toc15396621"/>
      <w:r>
        <w:rPr>
          <w:rStyle w:val="2Char"/>
          <w:rFonts w:ascii="仿宋" w:eastAsia="仿宋" w:hAnsi="仿宋" w:hint="eastAsia"/>
          <w:b w:val="0"/>
          <w:bCs w:val="0"/>
        </w:rPr>
        <w:t>三、</w:t>
      </w:r>
      <w:r>
        <w:rPr>
          <w:rFonts w:ascii="仿宋" w:eastAsia="仿宋" w:hAnsi="仿宋" w:hint="eastAsia"/>
          <w:b w:val="0"/>
          <w:color w:val="000000"/>
        </w:rPr>
        <w:t>支</w:t>
      </w:r>
      <w:r>
        <w:rPr>
          <w:rStyle w:val="2Char"/>
          <w:rFonts w:ascii="仿宋" w:eastAsia="仿宋" w:hAnsi="仿宋" w:hint="eastAsia"/>
          <w:b w:val="0"/>
          <w:bCs w:val="0"/>
        </w:rPr>
        <w:t>出总表</w:t>
      </w:r>
      <w:bookmarkEnd w:id="66"/>
    </w:p>
    <w:p>
      <w:pPr>
        <w:pStyle w:val="2"/>
        <w:rPr>
          <w:rFonts w:ascii="仿宋" w:eastAsia="仿宋" w:hAnsi="仿宋"/>
          <w:b w:val="0"/>
          <w:color w:val="000000"/>
        </w:rPr>
      </w:pPr>
      <w:bookmarkStart w:id="67" w:name="_Toc15396622"/>
      <w:r>
        <w:rPr>
          <w:rStyle w:val="2Char"/>
          <w:rFonts w:ascii="仿宋" w:eastAsia="仿宋" w:hAnsi="仿宋" w:hint="eastAsia"/>
          <w:b w:val="0"/>
          <w:bCs w:val="0"/>
        </w:rPr>
        <w:t>四、</w:t>
      </w:r>
      <w:r>
        <w:rPr>
          <w:rFonts w:ascii="仿宋" w:eastAsia="仿宋" w:hAnsi="仿宋" w:hint="eastAsia"/>
          <w:b w:val="0"/>
          <w:color w:val="000000"/>
        </w:rPr>
        <w:t>财</w:t>
      </w:r>
      <w:r>
        <w:rPr>
          <w:rStyle w:val="2Char"/>
          <w:rFonts w:ascii="仿宋" w:eastAsia="仿宋" w:hAnsi="仿宋" w:hint="eastAsia"/>
          <w:b w:val="0"/>
          <w:bCs w:val="0"/>
        </w:rPr>
        <w:t>政拨款收入支出决算总表</w:t>
      </w:r>
      <w:bookmarkEnd w:id="67"/>
    </w:p>
    <w:p>
      <w:pPr>
        <w:pStyle w:val="2"/>
        <w:rPr>
          <w:rFonts w:ascii="仿宋" w:eastAsia="仿宋" w:hAnsi="仿宋"/>
          <w:color w:val="000000"/>
        </w:rPr>
      </w:pPr>
      <w:bookmarkStart w:id="68" w:name="_Toc15396623"/>
      <w:r>
        <w:rPr>
          <w:rStyle w:val="2Char"/>
          <w:rFonts w:ascii="仿宋" w:eastAsia="仿宋" w:hAnsi="仿宋" w:hint="eastAsia"/>
          <w:b w:val="0"/>
          <w:bCs w:val="0"/>
        </w:rPr>
        <w:t>五、</w:t>
      </w:r>
      <w:r>
        <w:rPr>
          <w:rFonts w:ascii="仿宋" w:eastAsia="仿宋" w:hAnsi="仿宋" w:hint="eastAsia"/>
          <w:b w:val="0"/>
          <w:color w:val="000000"/>
        </w:rPr>
        <w:t>财</w:t>
      </w:r>
      <w:r>
        <w:rPr>
          <w:rStyle w:val="2Char"/>
          <w:rFonts w:ascii="仿宋" w:eastAsia="仿宋" w:hAnsi="仿宋" w:hint="eastAsia"/>
          <w:b w:val="0"/>
          <w:bCs w:val="0"/>
        </w:rPr>
        <w:t>政拨款支出决算明细表（政府经济分类科目）</w:t>
      </w:r>
      <w:bookmarkEnd w:id="68"/>
    </w:p>
    <w:p>
      <w:pPr>
        <w:pStyle w:val="2"/>
        <w:rPr>
          <w:rFonts w:ascii="仿宋" w:eastAsia="仿宋" w:hAnsi="仿宋"/>
          <w:color w:val="000000"/>
        </w:rPr>
      </w:pPr>
      <w:bookmarkStart w:id="69" w:name="_Toc15396624"/>
      <w:r>
        <w:rPr>
          <w:rStyle w:val="2Char"/>
          <w:rFonts w:ascii="仿宋" w:eastAsia="仿宋" w:hAnsi="仿宋" w:hint="eastAsia"/>
          <w:b w:val="0"/>
          <w:bCs w:val="0"/>
        </w:rPr>
        <w:t>六、</w:t>
      </w:r>
      <w:r>
        <w:rPr>
          <w:rFonts w:ascii="仿宋" w:eastAsia="仿宋" w:hAnsi="仿宋" w:hint="eastAsia"/>
          <w:b w:val="0"/>
          <w:color w:val="000000"/>
        </w:rPr>
        <w:t>一</w:t>
      </w:r>
      <w:r>
        <w:rPr>
          <w:rStyle w:val="2Char"/>
          <w:rFonts w:ascii="仿宋" w:eastAsia="仿宋" w:hAnsi="仿宋" w:hint="eastAsia"/>
          <w:b w:val="0"/>
          <w:bCs w:val="0"/>
        </w:rPr>
        <w:t>般公共预算财政拨款支出决算表</w:t>
      </w:r>
      <w:bookmarkEnd w:id="69"/>
    </w:p>
    <w:p>
      <w:pPr>
        <w:pStyle w:val="2"/>
        <w:rPr>
          <w:rFonts w:ascii="仿宋" w:eastAsia="仿宋" w:hAnsi="仿宋"/>
          <w:color w:val="000000"/>
        </w:rPr>
      </w:pPr>
      <w:bookmarkStart w:id="70" w:name="_Toc15396625"/>
      <w:r>
        <w:rPr>
          <w:rStyle w:val="2Char"/>
          <w:rFonts w:ascii="仿宋" w:eastAsia="仿宋" w:hAnsi="仿宋" w:hint="eastAsia"/>
          <w:b w:val="0"/>
          <w:bCs w:val="0"/>
        </w:rPr>
        <w:t>七、</w:t>
      </w:r>
      <w:r>
        <w:rPr>
          <w:rFonts w:ascii="仿宋" w:eastAsia="仿宋" w:hAnsi="仿宋" w:hint="eastAsia"/>
          <w:b w:val="0"/>
          <w:color w:val="000000"/>
        </w:rPr>
        <w:t>一</w:t>
      </w:r>
      <w:r>
        <w:rPr>
          <w:rStyle w:val="2Char"/>
          <w:rFonts w:ascii="仿宋" w:eastAsia="仿宋" w:hAnsi="仿宋" w:hint="eastAsia"/>
          <w:b w:val="0"/>
          <w:bCs w:val="0"/>
        </w:rPr>
        <w:t>般公共预算财政拨款支出决算明细表</w:t>
      </w:r>
      <w:bookmarkEnd w:id="70"/>
    </w:p>
    <w:p>
      <w:pPr>
        <w:pStyle w:val="2"/>
        <w:rPr>
          <w:rFonts w:ascii="仿宋" w:eastAsia="仿宋" w:hAnsi="仿宋"/>
          <w:color w:val="000000"/>
        </w:rPr>
      </w:pPr>
      <w:bookmarkStart w:id="71" w:name="_Toc15396626"/>
      <w:r>
        <w:rPr>
          <w:rStyle w:val="2Char"/>
          <w:rFonts w:ascii="仿宋" w:eastAsia="仿宋" w:hAnsi="仿宋" w:hint="eastAsia"/>
          <w:b w:val="0"/>
          <w:bCs w:val="0"/>
        </w:rPr>
        <w:t>八、</w:t>
      </w:r>
      <w:r>
        <w:rPr>
          <w:rFonts w:ascii="仿宋" w:eastAsia="仿宋" w:hAnsi="仿宋" w:hint="eastAsia"/>
          <w:b w:val="0"/>
          <w:color w:val="000000"/>
        </w:rPr>
        <w:t>一</w:t>
      </w:r>
      <w:r>
        <w:rPr>
          <w:rStyle w:val="2Char"/>
          <w:rFonts w:ascii="仿宋" w:eastAsia="仿宋" w:hAnsi="仿宋" w:hint="eastAsia"/>
          <w:b w:val="0"/>
          <w:bCs w:val="0"/>
        </w:rPr>
        <w:t>般公共预算财政拨款基本支出决算表</w:t>
      </w:r>
      <w:bookmarkEnd w:id="71"/>
    </w:p>
    <w:p>
      <w:pPr>
        <w:pStyle w:val="2"/>
        <w:rPr>
          <w:rFonts w:ascii="仿宋" w:eastAsia="仿宋" w:hAnsi="仿宋"/>
          <w:color w:val="000000"/>
        </w:rPr>
      </w:pPr>
      <w:bookmarkStart w:id="72" w:name="_Toc15396627"/>
      <w:r>
        <w:rPr>
          <w:rStyle w:val="2Char"/>
          <w:rFonts w:ascii="仿宋" w:eastAsia="仿宋" w:hAnsi="仿宋" w:hint="eastAsia"/>
          <w:b w:val="0"/>
          <w:bCs w:val="0"/>
        </w:rPr>
        <w:t>九、</w:t>
      </w:r>
      <w:r>
        <w:rPr>
          <w:rFonts w:ascii="仿宋" w:eastAsia="仿宋" w:hAnsi="仿宋" w:hint="eastAsia"/>
          <w:b w:val="0"/>
          <w:color w:val="000000"/>
        </w:rPr>
        <w:t>一</w:t>
      </w:r>
      <w:r>
        <w:rPr>
          <w:rStyle w:val="2Char"/>
          <w:rFonts w:ascii="仿宋" w:eastAsia="仿宋" w:hAnsi="仿宋" w:hint="eastAsia"/>
          <w:b w:val="0"/>
          <w:bCs w:val="0"/>
        </w:rPr>
        <w:t>般公共预算财政拨款项目支出决算表</w:t>
      </w:r>
      <w:bookmarkEnd w:id="72"/>
    </w:p>
    <w:p>
      <w:pPr>
        <w:pStyle w:val="2"/>
        <w:rPr>
          <w:rFonts w:ascii="仿宋" w:eastAsia="仿宋" w:hAnsi="仿宋"/>
          <w:color w:val="000000"/>
        </w:rPr>
      </w:pPr>
      <w:bookmarkStart w:id="73" w:name="_Toc15396628"/>
      <w:r>
        <w:rPr>
          <w:rStyle w:val="2Char"/>
          <w:rFonts w:ascii="仿宋" w:eastAsia="仿宋" w:hAnsi="仿宋" w:hint="eastAsia"/>
          <w:b w:val="0"/>
          <w:bCs w:val="0"/>
        </w:rPr>
        <w:t>十、</w:t>
      </w:r>
      <w:r>
        <w:rPr>
          <w:rFonts w:ascii="仿宋" w:eastAsia="仿宋" w:hAnsi="仿宋" w:hint="eastAsia"/>
          <w:b w:val="0"/>
          <w:color w:val="000000"/>
        </w:rPr>
        <w:t>一</w:t>
      </w:r>
      <w:r>
        <w:rPr>
          <w:rStyle w:val="2Char"/>
          <w:rFonts w:ascii="仿宋" w:eastAsia="仿宋" w:hAnsi="仿宋" w:hint="eastAsia"/>
          <w:b w:val="0"/>
          <w:bCs w:val="0"/>
        </w:rPr>
        <w:t>般公共预算财政拨款“三公”经费支出决算表</w:t>
      </w:r>
      <w:bookmarkEnd w:id="73"/>
    </w:p>
    <w:p>
      <w:pPr>
        <w:pStyle w:val="2"/>
        <w:rPr>
          <w:rFonts w:ascii="仿宋" w:eastAsia="仿宋" w:hAnsi="仿宋"/>
          <w:color w:val="000000"/>
          <w14:textFill>
            <w14:solidFill>
              <w14:srgbClr w14:val="000000"/>
            </w14:solidFill>
          </w14:textFill>
        </w:rPr>
      </w:pPr>
    </w:p>
    <w:sectPr>
      <w:headerReference w:type="default" r:id="rId2"/>
      <w:footerReference w:type="default" r:id="rId3"/>
      <w:pgSz w:w="11906" w:h="16838"/>
      <w:pgMar w:top="1440" w:right="1800" w:bottom="1440" w:left="1800" w:header="851" w:footer="992" w:gutter="0"/>
      <w:pgNumType w:start="1"/>
      <w:cols w:num="1" w:space="425"/>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00000000000000000"/>
    <w:charset w:val="86"/>
    <w:family w:val="auto"/>
    <w:pitch w:val="variable"/>
    <w:sig w:usb0="A00002BF" w:usb1="184F6CFA" w:usb2="00000012" w:usb3="00000000" w:csb0="00040001" w:csb1="00000000"/>
  </w:font>
  <w:font w:name="宋体">
    <w:panose1 w:val="02010600030101010101"/>
    <w:charset w:val="86"/>
    <w:family w:val="auto"/>
    <w:pitch w:val="variable"/>
    <w:sig w:usb0="00000003" w:usb1="288F0000" w:usb2="00000006" w:usb3="00000000" w:csb0="00040001" w:csb1="00000000"/>
  </w:font>
  <w:font w:name="黑体">
    <w:panose1 w:val="02010600030101010101"/>
    <w:charset w:val="86"/>
    <w:family w:val="auto"/>
    <w:pitch w:val="variable"/>
    <w:sig w:usb0="00000001" w:usb1="080E0000" w:usb2="00000000" w:usb3="00000000" w:csb0="00040000" w:csb1="00000000"/>
  </w:font>
  <w:font w:name="Arial">
    <w:panose1 w:val="020B0604020202020204"/>
    <w:charset w:val="01"/>
    <w:family w:val="swiss"/>
    <w:pitch w:val="variable"/>
    <w:sig w:usb0="00007A87" w:usb1="80000000" w:usb2="00000008" w:usb3="00000000" w:csb0="400001FF" w:csb1="FFFF0000"/>
  </w:font>
  <w:font w:name="仿宋">
    <w:altName w:val="仿宋_GB2312"/>
    <w:panose1 w:val="02010609060101010101"/>
    <w:charset w:val="86"/>
    <w:family w:val="modern"/>
    <w:pitch w:val="variable"/>
    <w:sig w:usb0="00000000" w:usb1="00000000"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仿宋_GB2312">
    <w:panose1 w:val="02010609030101010101"/>
    <w:charset w:val="86"/>
    <w:family w:val="modern"/>
    <w:pitch w:val="variable"/>
    <w:sig w:usb0="00000001" w:usb1="080E0000" w:usb2="00000000" w:usb3="00000000" w:csb0="00040000" w:csb1="00000000"/>
  </w:font>
  <w:font w:name="楷体_GB2312">
    <w:panose1 w:val="02010609030101010101"/>
    <w:charset w:val="86"/>
    <w:family w:val="auto"/>
    <w:pitch w:val="variable"/>
    <w:sig w:usb0="00000001" w:usb1="080E0000" w:usb2="00000000" w:usb3="00000000" w:csb0="00040000" w:csb1="00000000"/>
  </w:font>
  <w:font w:name="Calibri">
    <w:altName w:val="Lucida Sans"/>
    <w:panose1 w:val="020F0502020204030204"/>
    <w:charset w:val="00"/>
    <w:family w:val="swiss"/>
    <w:pitch w:val="variable"/>
    <w:sig w:usb0="00000000" w:usb1="00000000" w:usb2="00000001" w:usb3="00000000" w:csb0="0000019F" w:csb1="00000000"/>
  </w:font>
  <w:font w:name="Lucida Sans">
    <w:panose1 w:val="020B0602030504020204"/>
    <w:charset w:val="00"/>
    <w:family w:val="auto"/>
    <w:pitch w:val="variable"/>
    <w:sig w:usb0="00000003" w:usb1="00000000" w:usb2="00000000" w:usb3="00000000" w:csb0="20000001" w:csb1="00000000"/>
  </w:font>
  <w:font w:name="Cambria">
    <w:altName w:val="Noto Sans Syriac Eastern"/>
    <w:panose1 w:val="02040503050406030204"/>
    <w:charset w:val="00"/>
    <w:family w:val="roman"/>
    <w:pitch w:val="variable"/>
    <w:sig w:usb0="00000000" w:usb1="00000000" w:usb2="00000000" w:usb3="00000000" w:csb0="200000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38207296"/>
    </w:sdtPr>
    <w:sdtContent>
      <w:p>
        <w:pPr>
          <w:pStyle w:val="18"/>
          <w:tabs>
            <w:tab w:val="center" w:pos="4153"/>
            <w:tab w:val="right" w:pos="8306"/>
          </w:tabs>
          <w:jc w:val="center"/>
        </w:pPr>
        <w:r>
          <w:fldChar w:fldCharType="begin"/>
        </w:r>
        <w:r>
          <w:instrText>PAGE   \* MERGEFORMAT</w:instrText>
        </w:r>
        <w:r>
          <w:fldChar w:fldCharType="separate"/>
        </w:r>
        <w:r>
          <w:rPr>
            <w:lang w:val="zh-CN"/>
          </w:rPr>
          <w:t>33</w:t>
        </w:r>
        <w:r>
          <w:fldChar w:fldCharType="end"/>
        </w:r>
      </w:p>
    </w:sdtContent>
  </w:sdt>
  <w:p>
    <w:pPr>
      <w:pStyle w:val="18"/>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577E444F"/>
    <w:multiLevelType w:val="multilevel"/>
    <w:tmpl w:val="577E444F"/>
    <w:lvl w:ilvl="0">
      <w:start w:val="3"/>
      <w:numFmt w:val="japaneseCounting"/>
      <w:lvlRestart w:val="0"/>
      <w:lvlText w:val="%1、"/>
      <w:lvlJc w:val="left"/>
      <w:pPr>
        <w:ind w:left="1360" w:hanging="720"/>
      </w:pPr>
      <w:rPr>
        <w:rFonts w:cs="Times New Roman" w:hint="default"/>
        <w:color w:val="00000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CF652CEC"/>
    <w:multiLevelType w:val="singleLevel"/>
    <w:tmpl w:val="CF652CEC"/>
    <w:lvl w:ilvl="0">
      <w:start w:val="9"/>
      <w:numFmt w:val="chineseCounting"/>
      <w:lvlRestart w:val="0"/>
      <w:suff w:val="nothing"/>
      <w:lvlText w:val="%1、"/>
      <w:lvlJc w:val="left"/>
      <w:pPr/>
      <w:rPr>
        <w:rFonts w:hint="eastAsia"/>
      </w:rPr>
    </w:lvl>
  </w:abstractNum>
  <w:abstractNum w:abstractNumId="3">
    <w:nsid w:val="17F426B7"/>
    <w:multiLevelType w:val="multilevel"/>
    <w:tmpl w:val="17F426B7"/>
    <w:lvl w:ilvl="0">
      <w:start w:val="10"/>
      <w:numFmt w:val="japaneseCounting"/>
      <w:lvlRestart w:val="0"/>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4">
    <w:nsid w:val="EC0BEF30"/>
    <w:multiLevelType w:val="singleLevel"/>
    <w:tmpl w:val="EC0BEF30"/>
    <w:lvl w:ilvl="0">
      <w:start w:val="1"/>
      <w:numFmt w:val="chineseCounting"/>
      <w:lvlRestart w:val="0"/>
      <w:suff w:val="nothing"/>
      <w:lvlText w:val="（%1）"/>
      <w:lvlJc w:val="left"/>
      <w:pPr/>
      <w:rPr>
        <w:rFonts w:ascii="楷体_GB2312" w:hAnsi="楷体_GB2312" w:eastAsia="楷体_GB2312" w:cs="楷体_GB2312" w:hint="eastAsia"/>
        <w:b/>
        <w:bCs/>
        <w:sz w:val="32"/>
        <w:szCs w:val="32"/>
      </w:rPr>
    </w:lvl>
  </w:abstractNum>
  <w:abstractNum w:abstractNumId="5">
    <w:nsid w:val="B026C66B"/>
    <w:multiLevelType w:val="singleLevel"/>
    <w:tmpl w:val="B026C66B"/>
    <w:lvl w:ilvl="0">
      <w:start w:val="1"/>
      <w:numFmt w:val="decimal"/>
      <w:lvlRestart w:val="0"/>
      <w:lvlText w:val="%1."/>
      <w:lvlJc w:val="left"/>
      <w:pPr>
        <w:tabs>
          <w:tab w:val="num" w:pos="312"/>
        </w:tabs>
      </w:pPr>
    </w:lvl>
  </w:abstractNum>
  <w:abstractNum w:abstractNumId="6">
    <w:nsid w:val="E2FA047D"/>
    <w:multiLevelType w:val="singleLevel"/>
    <w:tmpl w:val="E2FA047D"/>
    <w:lvl w:ilvl="0">
      <w:start w:val="3"/>
      <w:numFmt w:val="chineseCounting"/>
      <w:lvlRestart w:val="0"/>
      <w:suff w:val="space"/>
      <w:lvlText w:val="第%1部分"/>
      <w:lvlJc w:val="left"/>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49"/>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Times New Roman"/>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toc 3"/>
    <w:basedOn w:val="0"/>
    <w:next w:val="0"/>
    <w:pPr>
      <w:tabs>
        <w:tab w:val="right" w:leader="dot" w:pos="8296"/>
      </w:tabs>
      <w:ind w:leftChars="400" w:left="4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rFonts w:ascii="Calibri" w:hAnsi="Calibri"/>
      <w:kern w:val="0"/>
      <w:sz w:val="18"/>
      <w:szCs w:val="18"/>
    </w:rPr>
  </w:style>
  <w:style w:type="paragraph" w:styleId="19">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0">
    <w:name w:val="toc 1"/>
    <w:basedOn w:val="0"/>
    <w:next w:val="0"/>
    <w:pPr>
      <w:tabs>
        <w:tab w:val="right" w:leader="dot" w:pos="8296"/>
      </w:tabs>
      <w:spacing w:before="93"/>
      <w:jc w:val="center"/>
    </w:pPr>
    <w:rPr>
      <w:rFonts w:ascii="仿宋" w:eastAsia="仿宋" w:hAnsi="仿宋"/>
      <w:sz w:val="28"/>
      <w:szCs w:val="28"/>
    </w:rPr>
  </w:style>
  <w:style w:type="paragraph" w:styleId="21">
    <w:name w:val="toc 2"/>
    <w:basedOn w:val="0"/>
    <w:next w:val="0"/>
    <w:pPr>
      <w:tabs>
        <w:tab w:val="right" w:leader="dot" w:pos="8296"/>
      </w:tabs>
      <w:ind w:leftChars="200" w:left="200"/>
    </w:pPr>
  </w:style>
  <w:style w:type="character" w:styleId="22">
    <w:name w:val="Strong"/>
    <w:basedOn w:val="10"/>
    <w:rPr>
      <w:b/>
    </w:rPr>
  </w:style>
  <w:style w:type="character" w:styleId="23">
    <w:name w:val="Hyperlink"/>
    <w:basedOn w:val="10"/>
    <w:rPr>
      <w:color w:val="0000FF"/>
      <w:u w:val="single"/>
    </w:rPr>
  </w:style>
  <w:style w:type="character" w:customStyle="1" w:styleId="24">
    <w:name w:val="Header Char"/>
    <w:basedOn w:val="10"/>
    <w:rPr>
      <w:rFonts w:ascii="Times New Roman" w:hAnsi="Times New Roman"/>
      <w:sz w:val="18"/>
      <w:szCs w:val="18"/>
    </w:rPr>
  </w:style>
  <w:style w:type="character" w:customStyle="1" w:styleId="25">
    <w:name w:val="Footer Char"/>
    <w:basedOn w:val="10"/>
    <w:rPr>
      <w:rFonts w:ascii="Times New Roman" w:hAnsi="Times New Roman"/>
      <w:sz w:val="18"/>
      <w:szCs w:val="18"/>
    </w:rPr>
  </w:style>
  <w:style w:type="character" w:customStyle="1" w:styleId="26">
    <w:name w:val="Body Text Char"/>
    <w:basedOn w:val="10"/>
    <w:rPr>
      <w:rFonts w:ascii="Times New Roman" w:hAnsi="Times New Roman"/>
      <w:szCs w:val="24"/>
    </w:rPr>
  </w:style>
  <w:style w:type="paragraph" w:customStyle="1" w:styleId="27">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28">
    <w:name w:val="List Paragraph"/>
    <w:basedOn w:val="0"/>
    <w:pPr>
      <w:ind w:firstLineChars="200" w:firstLine="200"/>
    </w:pPr>
  </w:style>
  <w:style w:type="paragraph" w:customStyle="1" w:styleId="29">
    <w:name w:val="TOC 标题1"/>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hart" Target="charts/chart1.xml"/><Relationship Id="rId5" Type="http://schemas.openxmlformats.org/officeDocument/2006/relationships/chart" Target="charts/chart2.xml"/><Relationship Id="rId6" Type="http://schemas.openxmlformats.org/officeDocument/2006/relationships/chart" Target="charts/chart3.xml"/><Relationship Id="rId7" Type="http://schemas.openxmlformats.org/officeDocument/2006/relationships/chart" Target="charts/chart4.xml"/><Relationship Id="rId8" Type="http://schemas.openxmlformats.org/officeDocument/2006/relationships/styles" Target="styl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sz="1800" b="1" i="0" u="none" strike="noStrike" baseline="0">
                <a:solidFill>
                  <a:srgbClr val="000000"/>
                </a:solidFill>
                <a:latin typeface="Times New Roman"/>
                <a:ea typeface="宋体"/>
                <a:cs typeface="Lucida Sans"/>
              </a:rPr>
              <a:t>2017</a:t>
            </a:r>
            <a:r>
              <a:rPr lang="zh-CN" sz="1800" b="1" i="0" u="none" strike="noStrike" baseline="0">
                <a:solidFill>
                  <a:srgbClr val="000000"/>
                </a:solidFill>
                <a:latin typeface="Times New Roman"/>
                <a:ea typeface="宋体"/>
                <a:cs typeface="Lucida Sans"/>
              </a:rPr>
              <a:t>年与</a:t>
            </a:r>
            <a:r>
              <a:rPr lang="zh-CN" sz="1800" b="1" i="0" u="none" strike="noStrike" baseline="0">
                <a:solidFill>
                  <a:srgbClr val="000000"/>
                </a:solidFill>
                <a:latin typeface="Times New Roman"/>
                <a:ea typeface="宋体"/>
                <a:cs typeface="Lucida Sans"/>
              </a:rPr>
              <a:t>2018</a:t>
            </a:r>
            <a:r>
              <a:rPr lang="zh-CN" sz="1800" b="1" i="0" u="none" strike="noStrike" baseline="0">
                <a:solidFill>
                  <a:srgbClr val="000000"/>
                </a:solidFill>
                <a:latin typeface="Times New Roman"/>
                <a:ea typeface="宋体"/>
                <a:cs typeface="Lucida Sans"/>
              </a:rPr>
              <a:t>年收支对比图</a:t>
            </a:r>
          </a:p>
        </c:rich>
      </c:tx>
      <c:layout/>
      <c:overlay val="0"/>
      <c:spPr>
        <a:ln>
          <a:noFill/>
        </a:ln>
      </c:spPr>
    </c:title>
    <c:autoTitleDeleted val="1"/>
    <c:plotArea>
      <c:layout/>
      <c:barChart>
        <c:barDir val="col"/>
        <c:grouping val="clustered"/>
        <c:varyColors val="0"/>
        <c:ser>
          <c:idx val="0"/>
          <c:order val="0"/>
          <c:tx>
            <c:strRef>
              <c:f>'Sheet1'!$B$1</c:f>
              <c:strCache>
                <c:ptCount val="1"/>
                <c:pt idx="0">
                  <c:v>系列 1</c:v>
                </c:pt>
              </c:strCache>
            </c:strRef>
          </c:tx>
          <c:spPr>
            <a:solidFill>
              <a:srgbClr val="4F81BD"/>
            </a:solidFill>
          </c:spPr>
          <c:invertIfNegative val="0"/>
          <c:dLbls>
            <c:showLegendKey val="0"/>
            <c:showVal val="0"/>
            <c:showCatName val="0"/>
            <c:showSerName val="0"/>
            <c:showPercent val="0"/>
            <c:showBubbleSize val="0"/>
            <c:showLeaderLines val="0"/>
          </c:dLbls>
          <c:cat>
            <c:strRef>
              <c:f>'Sheet1'!$A$2:$A$5</c:f>
              <c:strCache>
                <c:ptCount val="4"/>
                <c:pt idx="0">
                  <c:v>2017年收入</c:v>
                </c:pt>
                <c:pt idx="1">
                  <c:v>2018年收入</c:v>
                </c:pt>
                <c:pt idx="2">
                  <c:v>2017年支出</c:v>
                </c:pt>
                <c:pt idx="3">
                  <c:v>2018年支出</c:v>
                </c:pt>
              </c:strCache>
            </c:strRef>
          </c:cat>
          <c:val>
            <c:numRef>
              <c:f>'Sheet1'!$B$2:$B$5</c:f>
              <c:numCache>
                <c:formatCode>General</c:formatCode>
                <c:ptCount val="4"/>
                <c:pt idx="0">
                  <c:v>3.0</c:v>
                </c:pt>
                <c:pt idx="1">
                  <c:v>4.3</c:v>
                </c:pt>
                <c:pt idx="2">
                  <c:v>2.7</c:v>
                </c:pt>
                <c:pt idx="3">
                  <c:v>4.1</c:v>
                </c:pt>
              </c:numCache>
            </c:numRef>
          </c:val>
        </c:ser>
        <c:gapWidth val="150"/>
        <c:axId val="0"/>
        <c:axId val="1"/>
      </c:barChart>
      <c:catAx>
        <c:axId val="0"/>
        <c:scaling>
          <c:orientation val="minMax"/>
        </c:scaling>
        <c:delete val="0"/>
        <c:axPos val="b"/>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0"/>
        <c:lblOffset val="100"/>
        <c:lblAlgn val="ctr"/>
        <c:noMultiLvlLbl val="0"/>
        <c:crossAx val="1"/>
      </c:catAx>
      <c:valAx>
        <c:axId val="1"/>
        <c:scaling>
          <c:orientation val="minMax"/>
        </c:scaling>
        <c:delete val="0"/>
        <c:axPos val="l"/>
        <c:majorGridlines>
          <c:spPr>
            <a:ln>
              <a:noFill/>
            </a:ln>
          </c:spPr>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noFill/>
        <a:ln>
          <a:noFill/>
        </a:ln>
      </c:spPr>
    </c:plotArea>
    <c:plotVisOnly val="1"/>
    <c:dispBlanksAs val="gap"/>
    <c:showDLblsOverMax val="0"/>
  </c:chart>
  <c:spPr>
    <a:ln>
      <a:noFill/>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0"/>
        <c:ser>
          <c:idx val="0"/>
          <c:order val="0"/>
          <c:tx>
            <c:strRef>
              <c:f>'Sheet1 (2)'!$B$1</c:f>
              <c:strCache>
                <c:ptCount val="1"/>
                <c:pt idx="0">
                  <c:v>2018年支出</c:v>
                </c:pt>
              </c:strCache>
            </c:strRef>
          </c:tx>
          <c:spPr>
            <a:solidFill>
              <a:srgbClr val="4F81BD"/>
            </a:solidFill>
          </c:spPr>
          <c:dLbls>
            <c:showLegendKey val="0"/>
            <c:showVal val="0"/>
            <c:showCatName val="0"/>
            <c:showSerName val="0"/>
            <c:showPercent val="0"/>
            <c:showBubbleSize val="0"/>
            <c:showLeaderLines val="1"/>
          </c:dLbls>
          <c:cat>
            <c:strRef>
              <c:f>'Sheet1 (2)'!$A$2:$A$3</c:f>
              <c:strCache>
                <c:ptCount val="2"/>
                <c:pt idx="0">
                  <c:v>基本支出</c:v>
                </c:pt>
                <c:pt idx="1">
                  <c:v>项目支出</c:v>
                </c:pt>
              </c:strCache>
            </c:strRef>
          </c:cat>
          <c:val>
            <c:numRef>
              <c:f>'Sheet1 (2)'!$B$2:$B$3</c:f>
              <c:numCache>
                <c:formatCode>General</c:formatCode>
                <c:ptCount val="2"/>
                <c:pt idx="0">
                  <c:v>8.4</c:v>
                </c:pt>
                <c:pt idx="1">
                  <c:v>1.6</c:v>
                </c:pt>
              </c:numCache>
            </c:numRef>
          </c:val>
        </c:ser>
        <c:firstSliceAng val="0"/>
      </c:pieChart>
      <c:spPr>
        <a:noFill/>
      </c:spPr>
    </c:plotArea>
    <c:plotVisOnly val="1"/>
    <c:dispBlanksAs val="gap"/>
    <c:showDLblsOverMax val="0"/>
  </c:chart>
  <c:spPr>
    <a:ln>
      <a:noFill/>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sz="1800" b="1" i="0" u="none" strike="noStrike" baseline="0">
                <a:solidFill>
                  <a:srgbClr val="000000"/>
                </a:solidFill>
                <a:latin typeface="Times New Roman"/>
                <a:ea typeface="宋体"/>
                <a:cs typeface="Lucida Sans"/>
              </a:rPr>
              <a:t>2017</a:t>
            </a:r>
            <a:r>
              <a:rPr lang="zh-CN" sz="1800" b="1" i="0" u="none" strike="noStrike" baseline="0">
                <a:solidFill>
                  <a:srgbClr val="000000"/>
                </a:solidFill>
                <a:latin typeface="Times New Roman"/>
                <a:ea typeface="宋体"/>
                <a:cs typeface="Lucida Sans"/>
              </a:rPr>
              <a:t>年与</a:t>
            </a:r>
            <a:r>
              <a:rPr lang="zh-CN" sz="1800" b="1" i="0" u="none" strike="noStrike" baseline="0">
                <a:solidFill>
                  <a:srgbClr val="000000"/>
                </a:solidFill>
                <a:latin typeface="Times New Roman"/>
                <a:ea typeface="宋体"/>
                <a:cs typeface="Lucida Sans"/>
              </a:rPr>
              <a:t>2018</a:t>
            </a:r>
            <a:r>
              <a:rPr lang="zh-CN" sz="1800" b="1" i="0" u="none" strike="noStrike" baseline="0">
                <a:solidFill>
                  <a:srgbClr val="000000"/>
                </a:solidFill>
                <a:latin typeface="Times New Roman"/>
                <a:ea typeface="宋体"/>
                <a:cs typeface="Lucida Sans"/>
              </a:rPr>
              <a:t>年收支对比图</a:t>
            </a:r>
          </a:p>
        </c:rich>
      </c:tx>
      <c:layout/>
      <c:overlay val="0"/>
      <c:spPr>
        <a:ln>
          <a:noFill/>
        </a:ln>
      </c:spPr>
    </c:title>
    <c:autoTitleDeleted val="1"/>
    <c:plotArea>
      <c:layout/>
      <c:barChart>
        <c:barDir val="col"/>
        <c:grouping val="clustered"/>
        <c:varyColors val="0"/>
        <c:ser>
          <c:idx val="0"/>
          <c:order val="0"/>
          <c:tx>
            <c:strRef>
              <c:f>'Sheet1 (3)'!$B$1</c:f>
              <c:strCache>
                <c:ptCount val="1"/>
                <c:pt idx="0">
                  <c:v>系列 1</c:v>
                </c:pt>
              </c:strCache>
            </c:strRef>
          </c:tx>
          <c:spPr>
            <a:solidFill>
              <a:srgbClr val="4F81BD"/>
            </a:solidFill>
          </c:spPr>
          <c:invertIfNegative val="0"/>
          <c:dLbls>
            <c:showLegendKey val="0"/>
            <c:showVal val="0"/>
            <c:showCatName val="0"/>
            <c:showSerName val="0"/>
            <c:showPercent val="0"/>
            <c:showBubbleSize val="0"/>
            <c:showLeaderLines val="0"/>
          </c:dLbls>
          <c:cat>
            <c:strRef>
              <c:f>'Sheet1 (3)'!$A$2:$A$5</c:f>
              <c:strCache>
                <c:ptCount val="4"/>
                <c:pt idx="0">
                  <c:v>2017年收入</c:v>
                </c:pt>
                <c:pt idx="1">
                  <c:v>2018年收入</c:v>
                </c:pt>
                <c:pt idx="2">
                  <c:v>2017年支出</c:v>
                </c:pt>
                <c:pt idx="3">
                  <c:v>2018年支出</c:v>
                </c:pt>
              </c:strCache>
            </c:strRef>
          </c:cat>
          <c:val>
            <c:numRef>
              <c:f>'Sheet1 (3)'!$B$2:$B$5</c:f>
              <c:numCache>
                <c:formatCode>General</c:formatCode>
                <c:ptCount val="4"/>
                <c:pt idx="0">
                  <c:v>3.0</c:v>
                </c:pt>
                <c:pt idx="1">
                  <c:v>4.3</c:v>
                </c:pt>
                <c:pt idx="2">
                  <c:v>2.7</c:v>
                </c:pt>
                <c:pt idx="3">
                  <c:v>4.1</c:v>
                </c:pt>
              </c:numCache>
            </c:numRef>
          </c:val>
        </c:ser>
        <c:gapWidth val="150"/>
        <c:axId val="0"/>
        <c:axId val="1"/>
      </c:barChart>
      <c:catAx>
        <c:axId val="0"/>
        <c:scaling>
          <c:orientation val="minMax"/>
        </c:scaling>
        <c:delete val="0"/>
        <c:axPos val="b"/>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0"/>
        <c:lblOffset val="100"/>
        <c:lblAlgn val="ctr"/>
        <c:noMultiLvlLbl val="0"/>
        <c:crossAx val="1"/>
      </c:catAx>
      <c:valAx>
        <c:axId val="1"/>
        <c:scaling>
          <c:orientation val="minMax"/>
        </c:scaling>
        <c:delete val="0"/>
        <c:axPos val="l"/>
        <c:majorGridlines>
          <c:spPr>
            <a:ln>
              <a:noFill/>
            </a:ln>
          </c:spPr>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noFill/>
        <a:ln>
          <a:noFill/>
        </a:ln>
      </c:spPr>
    </c:plotArea>
    <c:plotVisOnly val="1"/>
    <c:dispBlanksAs val="gap"/>
    <c:showDLblsOverMax val="0"/>
  </c:chart>
  <c:spPr>
    <a:ln>
      <a:noFill/>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 (4)'!$B$1</c:f>
              <c:strCache>
                <c:ptCount val="1"/>
                <c:pt idx="0">
                  <c:v>一般公共预算财政拨款对比图</c:v>
                </c:pt>
              </c:strCache>
            </c:strRef>
          </c:tx>
          <c:spPr>
            <a:solidFill>
              <a:srgbClr val="4F81BD"/>
            </a:solidFill>
          </c:spPr>
          <c:invertIfNegative val="0"/>
          <c:dLbls>
            <c:showLegendKey val="0"/>
            <c:showVal val="0"/>
            <c:showCatName val="0"/>
            <c:showSerName val="0"/>
            <c:showPercent val="0"/>
            <c:showBubbleSize val="0"/>
            <c:showLeaderLines val="0"/>
          </c:dLbls>
          <c:cat>
            <c:strRef>
              <c:f>'Sheet1 (4)'!$A$2:$A$3</c:f>
              <c:strCache>
                <c:ptCount val="2"/>
                <c:pt idx="0">
                  <c:v>2018年</c:v>
                </c:pt>
                <c:pt idx="1">
                  <c:v>2017年</c:v>
                </c:pt>
              </c:strCache>
            </c:strRef>
          </c:cat>
          <c:val>
            <c:numRef>
              <c:f>'Sheet1 (4)'!$B$2:$B$3</c:f>
              <c:numCache>
                <c:formatCode>General</c:formatCode>
                <c:ptCount val="2"/>
                <c:pt idx="0">
                  <c:v>4.3</c:v>
                </c:pt>
                <c:pt idx="1">
                  <c:v>4.0</c:v>
                </c:pt>
              </c:numCache>
            </c:numRef>
          </c:val>
        </c:ser>
        <c:ser>
          <c:idx val="1"/>
          <c:order val="1"/>
          <c:spPr>
            <a:solidFill>
              <a:srgbClr val="C0504D"/>
            </a:solidFill>
          </c:spPr>
          <c:invertIfNegative val="0"/>
          <c:dLbls>
            <c:showLegendKey val="0"/>
            <c:showVal val="0"/>
            <c:showCatName val="0"/>
            <c:showSerName val="0"/>
            <c:showPercent val="0"/>
            <c:showBubbleSize val="0"/>
            <c:showLeaderLines val="0"/>
          </c:dLbls>
          <c:cat>
            <c:strRef>
              <c:f>'Sheet1 (4)'!$A$2:$A$3</c:f>
              <c:strCache>
                <c:ptCount val="2"/>
                <c:pt idx="0">
                  <c:v>2018年</c:v>
                </c:pt>
                <c:pt idx="1">
                  <c:v>2017年</c:v>
                </c:pt>
              </c:strCache>
            </c:strRef>
          </c:cat>
          <c:val>
            <c:numRef>
              <c:f/>
              <c:numCache>
                <c:formatCode>General</c:formatCode>
                <c:ptCount val="1"/>
                <c:pt idx="0">
                  <c:v>1.0</c:v>
                </c:pt>
              </c:numCache>
            </c:numRef>
          </c:val>
        </c:ser>
        <c:ser>
          <c:idx val="2"/>
          <c:order val="2"/>
          <c:spPr>
            <a:solidFill>
              <a:srgbClr val="9BBB59"/>
            </a:solidFill>
          </c:spPr>
          <c:invertIfNegative val="0"/>
          <c:dLbls>
            <c:showLegendKey val="0"/>
            <c:showVal val="0"/>
            <c:showCatName val="0"/>
            <c:showSerName val="0"/>
            <c:showPercent val="0"/>
            <c:showBubbleSize val="0"/>
            <c:showLeaderLines val="0"/>
          </c:dLbls>
          <c:cat>
            <c:strRef>
              <c:f>'Sheet1 (4)'!$A$2:$A$3</c:f>
              <c:strCache>
                <c:ptCount val="2"/>
                <c:pt idx="0">
                  <c:v>2018年</c:v>
                </c:pt>
                <c:pt idx="1">
                  <c:v>2017年</c:v>
                </c:pt>
              </c:strCache>
            </c:strRef>
          </c:cat>
          <c:val>
            <c:numRef>
              <c:f/>
              <c:numCache>
                <c:formatCode>General</c:formatCode>
                <c:ptCount val="1"/>
                <c:pt idx="0">
                  <c:v>1.0</c:v>
                </c:pt>
              </c:numCache>
            </c:numRef>
          </c:val>
        </c:ser>
        <c:overlap val="100"/>
        <c:gapWidth val="150"/>
        <c:axId val="0"/>
        <c:axId val="1"/>
      </c:barChart>
      <c:catAx>
        <c:axId val="0"/>
        <c:scaling>
          <c:orientation val="minMax"/>
        </c:scaling>
        <c:delete val="0"/>
        <c:axPos val="b"/>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0"/>
        <c:lblOffset val="100"/>
        <c:lblAlgn val="ctr"/>
        <c:noMultiLvlLbl val="0"/>
        <c:crossAx val="1"/>
      </c:catAx>
      <c:valAx>
        <c:axId val="1"/>
        <c:scaling>
          <c:orientation val="minMax"/>
        </c:scaling>
        <c:delete val="0"/>
        <c:axPos val="l"/>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solidFill>
          <a:srgbClr val="FFFFFF"/>
        </a:solidFill>
        <a:ln>
          <a:noFill/>
        </a:ln>
      </c:spPr>
    </c:plotArea>
    <c:legend>
      <c:legendPos val="r"/>
      <c:layout>
        <c:manualLayout>
          <c:xMode val="edge"/>
          <c:yMode val="edge"/>
          <c:x val="0.6197726"/>
          <c:y val="0.43773806"/>
          <c:w val="0.36596313"/>
          <c:h val="0.124523535"/>
        </c:manualLayout>
      </c:layout>
      <c:overlay val="0"/>
      <c:spPr>
        <a:noFill/>
        <a:ln>
          <a:noFill/>
        </a:ln>
      </c:spPr>
      <c:txPr>
        <a:bodyPr/>
        <a:lstStyle/>
        <a:p>
          <a:pPr>
            <a:defRPr sz="105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a:ln>
      <a:noFill/>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AE15DF6D-80E6-471C-B04F-FECD5EE5CF3D}">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TotalTime>
  <Application>Yozo_Office27021597764231179</Application>
  <Pages>32</Pages>
  <Words>0</Words>
  <Characters>11004</Characters>
  <Lines>0</Lines>
  <Paragraphs>303</Paragraphs>
  <CharactersWithSpaces>14673</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张彬茜</dc:creator>
  <cp:lastModifiedBy>user</cp:lastModifiedBy>
  <cp:revision>2</cp:revision>
  <cp:lastPrinted>2019-08-01T08:48:00Z</cp:lastPrinted>
  <dcterms:created xsi:type="dcterms:W3CDTF">2019-09-09T17:35:00Z</dcterms:created>
  <dcterms:modified xsi:type="dcterms:W3CDTF">2024-06-24T02:25:17Z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2052-11.8.2.9980</vt:lpwstr>
  </property>
</Properties>
</file>