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96475"/>
      <w:bookmarkStart w:id="3" w:name="_Toc15377193"/>
      <w:bookmarkStart w:id="4" w:name="_Toc15377425"/>
      <w:bookmarkStart w:id="5" w:name="_Toc15378441"/>
      <w:r>
        <w:rPr>
          <w:rFonts w:ascii="黑体" w:eastAsia="黑体" w:hAnsi="黑体"/>
          <w:color w:val="000000"/>
          <w:sz w:val="72"/>
          <w:szCs w:val="72"/>
        </w:rPr>
        <w:t>2</w:t>
      </w:r>
      <w:bookmarkStart w:id="6" w:name="_GoBack"/>
      <w:bookmarkEnd w:id="6"/>
      <w:r>
        <w:rPr>
          <w:rFonts w:ascii="黑体" w:eastAsia="黑体" w:hAnsi="黑体"/>
          <w:color w:val="000000"/>
          <w:sz w:val="72"/>
          <w:szCs w:val="72"/>
        </w:rPr>
        <w:t>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194"/>
      <w:bookmarkStart w:id="8" w:name="_Toc15396598"/>
      <w:bookmarkStart w:id="9" w:name="_Toc15378442"/>
      <w:bookmarkStart w:id="10" w:name="_Toc15396476"/>
      <w:bookmarkStart w:id="11" w:name="_Toc15377426"/>
      <w:r>
        <w:rPr>
          <w:rFonts w:ascii="方正小标宋简体" w:eastAsia="方正小标宋简体" w:hAnsi="宋体" w:hint="eastAsia"/>
          <w:color w:val="000000"/>
          <w:sz w:val="72"/>
          <w:szCs w:val="72"/>
        </w:rPr>
        <w:t>四川省</w:t>
      </w:r>
      <w:bookmarkStart w:id="12" w:name="_Toc15306268"/>
      <w:bookmarkEnd w:id="0"/>
      <w:r>
        <w:rPr>
          <w:rFonts w:ascii="方正小标宋简体" w:eastAsia="方正小标宋简体" w:hAnsi="宋体" w:hint="eastAsia"/>
          <w:color w:val="000000"/>
          <w:sz w:val="72"/>
          <w:szCs w:val="72"/>
        </w:rPr>
        <w:t>广</w:t>
      </w:r>
      <w:r>
        <w:rPr>
          <w:rFonts w:ascii="方正小标宋简体" w:eastAsia="方正小标宋简体" w:hAnsi="宋体"/>
          <w:color w:val="000000"/>
          <w:sz w:val="72"/>
          <w:szCs w:val="72"/>
        </w:rPr>
        <w:t>元市利州区妇女联合会</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pPr>
        <w:adjustRightInd w:val="0"/>
        <w:snapToGrid w:val="0"/>
        <w:spacing w:line="360" w:lineRule="auto"/>
        <w:jc w:val="center"/>
        <w:outlineLvl w:val="0"/>
        <w:rPr>
          <w:rFonts w:ascii="方正小标宋简体" w:eastAsia="方正小标宋简体" w:hAnsi="宋体"/>
          <w:color w:val="000000"/>
          <w:sz w:val="52"/>
          <w:szCs w:val="52"/>
        </w:rPr>
      </w:pPr>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     录</w:t>
      </w:r>
    </w:p>
    <w:p>
      <w:pPr>
        <w:widowControl/>
        <w:jc w:val="distribute"/>
        <w:rPr>
          <w:rFonts w:ascii="黑体" w:eastAsia="黑体" w:cs="Arial"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pStyle w:val="20"/>
        <w:tabs>
          <w:tab w:val="right" w:leader="dot" w:pos="8296"/>
        </w:tabs>
        <w:ind w:firstLineChars="1000" w:firstLine="2800"/>
        <w:jc w:val="left"/>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Pr>
        <w:jc w:val="distribute"/>
      </w:pPr>
    </w:p>
    <w:p>
      <w:pPr>
        <w:pStyle w:val="20"/>
        <w:tabs>
          <w:tab w:val="right" w:leader="dot" w:pos="8296"/>
        </w:tabs>
        <w:jc w:val="distribute"/>
        <w:rPr>
          <w:rFonts w:cs="Arial"/>
        </w:rPr>
      </w:pPr>
      <w:r>
        <w:fldChar w:fldCharType="begin"/>
      </w:r>
      <w:r>
        <w:instrText xml:space="preserve"> HYPERLINK \l "_Toc15396599" </w:instrText>
      </w:r>
      <w:r>
        <w:fldChar w:fldCharType="separate"/>
      </w:r>
      <w:r>
        <w:rPr>
          <w:rFonts w:hint="eastAsia"/>
        </w:rPr>
        <w:t>第一部分</w:t>
      </w:r>
      <w:r>
        <w:t xml:space="preserve"> </w:t>
      </w:r>
      <w:r>
        <w:rPr>
          <w:rFonts w:hint="eastAsia"/>
        </w:rPr>
        <w:t>部门概况</w:t>
      </w:r>
      <w:r>
        <w:tab/>
      </w:r>
      <w:r>
        <w:rPr>
          <w:rFonts w:hint="eastAsia"/>
        </w:rPr>
        <w:t>4</w:t>
      </w:r>
      <w:r>
        <w:rPr>
          <w:rFonts w:hint="eastAsia"/>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"_Toc15396600" </w:instrText>
      </w:r>
      <w:r>
        <w:fldChar w:fldCharType="separate"/>
      </w:r>
      <w:r>
        <w:rPr>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r>
        <w:rPr>
          <w:rFonts w:ascii="仿宋" w:eastAsia="仿宋" w:hAnsi="仿宋" w:hint="eastAsia"/>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"_Toc15396601" </w:instrText>
      </w:r>
      <w:r>
        <w:fldChar w:fldCharType="separate"/>
      </w:r>
      <w:r>
        <w:rPr>
          <w:rFonts w:ascii="仿宋" w:eastAsia="仿宋" w:hAnsi="仿宋" w:hint="eastAsia"/>
          <w:sz w:val="28"/>
          <w:szCs w:val="28"/>
        </w:rPr>
        <w:t>二、机构设置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_Toc15396601 \h </w:instrText>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jc w:val="distribute"/>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"_Toc15396603" </w:instrText>
      </w:r>
      <w:r>
        <w:fldChar w:fldCharType="separate"/>
      </w:r>
      <w:r>
        <w:rPr>
          <w:rFonts w:ascii="仿宋" w:eastAsia="仿宋" w:cs="Times New Roman" w:hAnsi="仿宋" w:hint="eastAsia"/>
          <w:bCs/>
          <w:sz w:val="28"/>
          <w:szCs w:val="28"/>
        </w:rPr>
        <w:t>一、</w:t>
      </w:r>
      <w:r>
        <w:rPr>
          <w:rFonts w:ascii="仿宋" w:eastAsia="仿宋" w:hAnsi="仿宋" w:hint="eastAsia"/>
          <w:sz w:val="28"/>
          <w:szCs w:val="28"/>
        </w:rPr>
        <w:t>收</w:t>
      </w:r>
      <w:r>
        <w:rPr>
          <w:rFonts w:ascii="仿宋" w:eastAsia="仿宋" w:cs="Times New Roman" w:hAnsi="仿宋" w:hint="eastAsia"/>
          <w:bCs/>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"_Toc15396604" </w:instrText>
      </w:r>
      <w:r>
        <w:fldChar w:fldCharType="separate"/>
      </w:r>
      <w:r>
        <w:rPr>
          <w:rFonts w:ascii="仿宋" w:eastAsia="仿宋" w:cs="Times New Roman" w:hAnsi="仿宋" w:hint="eastAsia"/>
          <w:bCs/>
          <w:sz w:val="28"/>
          <w:szCs w:val="28"/>
        </w:rPr>
        <w:t>二、</w:t>
      </w:r>
      <w:r>
        <w:rPr>
          <w:rFonts w:ascii="仿宋" w:eastAsia="仿宋" w:hAnsi="仿宋" w:hint="eastAsia"/>
          <w:sz w:val="28"/>
          <w:szCs w:val="28"/>
        </w:rPr>
        <w:t>收</w:t>
      </w:r>
      <w:r>
        <w:rPr>
          <w:rFonts w:ascii="仿宋" w:eastAsia="仿宋" w:cs="Times New Roman" w:hAnsi="仿宋" w:hint="eastAsia"/>
          <w:bCs/>
          <w:sz w:val="28"/>
          <w:szCs w:val="28"/>
        </w:rPr>
        <w:t>入决算情况说明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_Toc15396604 \h </w:instrText>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"_Toc15396605" </w:instrText>
      </w:r>
      <w:r>
        <w:fldChar w:fldCharType="separate"/>
      </w:r>
      <w:r>
        <w:rPr>
          <w:rFonts w:ascii="仿宋" w:eastAsia="仿宋" w:cs="Times New Roman" w:hAnsi="仿宋" w:hint="eastAsia"/>
          <w:bCs/>
          <w:sz w:val="28"/>
          <w:szCs w:val="28"/>
        </w:rPr>
        <w:t>三、</w:t>
      </w:r>
      <w:r>
        <w:rPr>
          <w:rFonts w:ascii="仿宋" w:eastAsia="仿宋" w:hAnsi="仿宋" w:hint="eastAsia"/>
          <w:sz w:val="28"/>
          <w:szCs w:val="28"/>
        </w:rPr>
        <w:t>支</w:t>
      </w:r>
      <w:r>
        <w:rPr>
          <w:rFonts w:ascii="仿宋" w:eastAsia="仿宋" w:cs="Times New Roman" w:hAnsi="仿宋" w:hint="eastAsia"/>
          <w:bCs/>
          <w:sz w:val="28"/>
          <w:szCs w:val="28"/>
        </w:rPr>
        <w:t>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_Toc15396605 \h </w:instrText>
      </w:r>
      <w:r>
        <w:rPr>
          <w:rFonts w:ascii="仿宋" w:eastAsia="仿宋" w:hAnsi="仿宋"/>
          <w:sz w:val="28"/>
          <w:szCs w:val="28"/>
        </w:rPr>
        <w:fldChar w:fldCharType="separate"/>
      </w:r>
      <w:r>
        <w:rPr>
          <w:rFonts w:ascii="仿宋" w:eastAsia="仿宋" w:hAnsi="仿宋"/>
          <w:sz w:val="28"/>
          <w:szCs w:val="28"/>
        </w:rPr>
        <w:t>9</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"_Toc15396606" </w:instrText>
      </w:r>
      <w:r>
        <w:fldChar w:fldCharType="separate"/>
      </w:r>
      <w:r>
        <w:rPr>
          <w:rFonts w:ascii="仿宋" w:eastAsia="仿宋" w:hAnsi="仿宋" w:hint="eastAsia"/>
          <w:sz w:val="28"/>
          <w:szCs w:val="28"/>
        </w:rPr>
        <w:t>四、财</w:t>
      </w:r>
      <w:r>
        <w:rPr>
          <w:rFonts w:ascii="仿宋" w:eastAsia="仿宋" w:cs="Times New Roman" w:hAnsi="仿宋" w:hint="eastAsia"/>
          <w:bCs/>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_Toc15396606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"_Toc15396607" </w:instrText>
      </w:r>
      <w:r>
        <w:fldChar w:fldCharType="separate"/>
      </w:r>
      <w:r>
        <w:rPr>
          <w:rFonts w:ascii="仿宋" w:eastAsia="仿宋" w:hAnsi="仿宋" w:hint="eastAsia"/>
          <w:sz w:val="28"/>
          <w:szCs w:val="28"/>
        </w:rPr>
        <w:t>五、一</w:t>
      </w:r>
      <w:r>
        <w:rPr>
          <w:rFonts w:ascii="仿宋" w:eastAsia="仿宋" w:cs="Times New Roman" w:hAnsi="仿宋" w:hint="eastAsia"/>
          <w:bCs/>
          <w:sz w:val="28"/>
          <w:szCs w:val="28"/>
        </w:rPr>
        <w:t>般公共预算财政拨款支出决算情况说明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_Toc15396607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"_Toc15396608" </w:instrText>
      </w:r>
      <w:r>
        <w:fldChar w:fldCharType="separate"/>
      </w:r>
      <w:r>
        <w:rPr>
          <w:rFonts w:ascii="仿宋" w:eastAsia="仿宋" w:hAnsi="仿宋" w:hint="eastAsia"/>
          <w:sz w:val="28"/>
          <w:szCs w:val="28"/>
        </w:rPr>
        <w:t>六、一</w:t>
      </w:r>
      <w:r>
        <w:rPr>
          <w:rFonts w:ascii="仿宋" w:eastAsia="仿宋" w:cs="Times New Roman" w:hAnsi="仿宋" w:hint="eastAsia"/>
          <w:bCs/>
          <w:sz w:val="28"/>
          <w:szCs w:val="28"/>
        </w:rPr>
        <w:t>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Pr>
          <w:rFonts w:ascii="仿宋" w:eastAsia="仿宋" w:hAnsi="仿宋"/>
          <w:sz w:val="28"/>
          <w:szCs w:val="28"/>
        </w:rPr>
        <w:fldChar w:fldCharType="separate"/>
      </w:r>
      <w:r>
        <w:rPr>
          <w:rFonts w:ascii="仿宋" w:eastAsia="仿宋" w:hAnsi="仿宋"/>
          <w:sz w:val="28"/>
          <w:szCs w:val="28"/>
        </w:rPr>
        <w:t>13</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"_Toc15396609" </w:instrText>
      </w:r>
      <w:r>
        <w:fldChar w:fldCharType="separate"/>
      </w:r>
      <w:r>
        <w:rPr>
          <w:rFonts w:ascii="仿宋" w:eastAsia="仿宋" w:hAnsi="仿宋" w:hint="eastAsia"/>
          <w:sz w:val="28"/>
          <w:szCs w:val="28"/>
        </w:rPr>
        <w:t>七、</w:t>
      </w:r>
      <w:r>
        <w:rPr>
          <w:rFonts w:ascii="仿宋" w:eastAsia="仿宋" w:hAnsi="仿宋"/>
          <w:sz w:val="28"/>
          <w:szCs w:val="28"/>
        </w:rPr>
        <w:t>“</w:t>
      </w:r>
      <w:r>
        <w:rPr>
          <w:rFonts w:ascii="仿宋" w:eastAsia="仿宋" w:cs="Times New Roman" w:hAnsi="仿宋" w:hint="eastAsia"/>
          <w:bCs/>
          <w:sz w:val="28"/>
          <w:szCs w:val="28"/>
        </w:rPr>
        <w:t>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Pr>
          <w:rFonts w:ascii="仿宋" w:eastAsia="仿宋" w:hAnsi="仿宋"/>
          <w:sz w:val="28"/>
          <w:szCs w:val="28"/>
        </w:rPr>
        <w:fldChar w:fldCharType="separate"/>
      </w:r>
      <w:r>
        <w:rPr>
          <w:rFonts w:ascii="仿宋" w:eastAsia="仿宋" w:hAnsi="仿宋"/>
          <w:sz w:val="28"/>
          <w:szCs w:val="28"/>
        </w:rPr>
        <w:t>14</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"_Toc15396610" </w:instrText>
      </w:r>
      <w:r>
        <w:fldChar w:fldCharType="separate"/>
      </w:r>
      <w:r>
        <w:rPr>
          <w:rFonts w:ascii="仿宋" w:eastAsia="仿宋" w:hAnsi="仿宋" w:hint="eastAsia"/>
          <w:sz w:val="28"/>
          <w:szCs w:val="28"/>
        </w:rPr>
        <w:t>八、</w:t>
      </w:r>
      <w:r>
        <w:rPr>
          <w:rFonts w:ascii="仿宋" w:eastAsia="仿宋" w:cs="Times New Roman" w:hAnsi="仿宋" w:hint="eastAsia"/>
          <w:bCs/>
          <w:sz w:val="28"/>
          <w:szCs w:val="28"/>
        </w:rPr>
        <w:t>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Pr>
          <w:rFonts w:ascii="仿宋" w:eastAsia="仿宋" w:hAnsi="仿宋"/>
          <w:sz w:val="28"/>
          <w:szCs w:val="28"/>
        </w:rPr>
        <w:fldChar w:fldCharType="separate"/>
      </w:r>
      <w:r>
        <w:rPr>
          <w:rFonts w:ascii="仿宋" w:eastAsia="仿宋" w:hAnsi="仿宋"/>
          <w:sz w:val="28"/>
          <w:szCs w:val="28"/>
        </w:rPr>
        <w:t>15</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"_Toc15396611" </w:instrText>
      </w:r>
      <w:r>
        <w:fldChar w:fldCharType="separate"/>
      </w:r>
      <w:r>
        <w:rPr>
          <w:rFonts w:ascii="仿宋" w:eastAsia="仿宋" w:cs="Times New Roman" w:hAnsi="仿宋" w:hint="eastAsia"/>
          <w:bCs/>
          <w:sz w:val="28"/>
          <w:szCs w:val="28"/>
        </w:rPr>
        <w:t>九、</w:t>
      </w:r>
      <w:r>
        <w:rPr>
          <w:rFonts w:ascii="仿宋" w:eastAsia="仿宋" w:hAnsi="仿宋" w:hint="eastAsia"/>
          <w:sz w:val="28"/>
          <w:szCs w:val="28"/>
        </w:rPr>
        <w:t xml:space="preserve"> 国</w:t>
      </w:r>
      <w:r>
        <w:rPr>
          <w:rFonts w:ascii="仿宋" w:eastAsia="仿宋" w:cs="Times New Roman" w:hAnsi="仿宋" w:hint="eastAsia"/>
          <w:bCs/>
          <w:sz w:val="28"/>
          <w:szCs w:val="28"/>
        </w:rPr>
        <w:t>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fldChar w:fldCharType="separate"/>
      </w:r>
      <w:r>
        <w:rPr>
          <w:rFonts w:ascii="仿宋" w:eastAsia="仿宋" w:hAnsi="仿宋"/>
          <w:sz w:val="28"/>
          <w:szCs w:val="28"/>
        </w:rPr>
        <w:t>16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"_Toc15396612" </w:instrText>
      </w:r>
      <w:r>
        <w:fldChar w:fldCharType="separate"/>
      </w:r>
      <w:r>
        <w:rPr>
          <w:rFonts w:ascii="仿宋" w:eastAsia="仿宋" w:hAnsi="仿宋" w:hint="eastAsia"/>
          <w:sz w:val="28"/>
          <w:szCs w:val="28"/>
        </w:rPr>
        <w:t>十</w:t>
      </w:r>
      <w:r>
        <w:rPr>
          <w:rFonts w:ascii="仿宋" w:eastAsia="仿宋" w:cs="Times New Roman" w:hAnsi="仿宋" w:hint="eastAsia"/>
          <w:bCs/>
          <w:sz w:val="28"/>
          <w:szCs w:val="28"/>
        </w:rPr>
        <w:t>一、其他重要事项的情况说明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_Toc15396612 \h </w:instrText>
      </w:r>
      <w:r>
        <w:rPr>
          <w:rFonts w:ascii="仿宋" w:eastAsia="仿宋" w:hAnsi="仿宋"/>
          <w:sz w:val="28"/>
          <w:szCs w:val="28"/>
        </w:rPr>
        <w:fldChar w:fldCharType="separate"/>
      </w:r>
      <w:r>
        <w:rPr>
          <w:rFonts w:ascii="仿宋" w:eastAsia="仿宋" w:hAnsi="仿宋"/>
          <w:sz w:val="28"/>
          <w:szCs w:val="28"/>
        </w:rPr>
        <w:t>27</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jc w:val="distribute"/>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29</w:t>
      </w:r>
      <w:r>
        <w:fldChar w:fldCharType="end"/>
      </w:r>
      <w:r>
        <w:fldChar w:fldCharType="end"/>
      </w:r>
    </w:p>
    <w:p>
      <w:pPr>
        <w:pStyle w:val="20"/>
        <w:tabs>
          <w:tab w:val="right" w:leader="dot" w:pos="8296"/>
        </w:tabs>
        <w:jc w:val="distribute"/>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fldChar w:fldCharType="begin"/>
      </w:r>
      <w:r>
        <w:instrText xml:space="preserve"> PAGEREF _Toc15396614 \h </w:instrText>
      </w:r>
      <w:r>
        <w:fldChar w:fldCharType="separate"/>
      </w:r>
      <w:r>
        <w:t>32</w:t>
      </w:r>
      <w:r>
        <w:fldChar w:fldCharType="end"/>
      </w:r>
      <w: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"_Toc15396615"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1</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_Toc15396615 \h </w:instrText>
      </w:r>
      <w:r>
        <w:rPr>
          <w:rFonts w:ascii="仿宋" w:eastAsia="仿宋" w:hAnsi="仿宋"/>
          <w:sz w:val="28"/>
          <w:szCs w:val="28"/>
        </w:rPr>
        <w:fldChar w:fldCharType="separate"/>
      </w:r>
      <w:r>
        <w:rPr>
          <w:rFonts w:ascii="仿宋" w:eastAsia="仿宋" w:hAnsi="仿宋"/>
          <w:sz w:val="28"/>
          <w:szCs w:val="28"/>
        </w:rPr>
        <w:t>32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fldChar w:fldCharType="begin"/>
      </w:r>
      <w:r>
        <w:instrText xml:space="preserve"> HYPERLINK \l "_Toc15396617"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2</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_Toc15396617 \h </w:instrText>
      </w:r>
      <w:r>
        <w:rPr>
          <w:rFonts w:ascii="仿宋" w:eastAsia="仿宋" w:hAnsi="仿宋"/>
          <w:sz w:val="28"/>
          <w:szCs w:val="28"/>
        </w:rPr>
        <w:fldChar w:fldCharType="separate"/>
      </w:r>
      <w:r>
        <w:rPr>
          <w:rFonts w:ascii="仿宋" w:eastAsia="仿宋" w:hAnsi="仿宋"/>
          <w:sz w:val="28"/>
          <w:szCs w:val="28"/>
        </w:rPr>
        <w:t>36</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jc w:val="distribute"/>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fldChar w:fldCharType="begin"/>
      </w:r>
      <w:r>
        <w:instrText xml:space="preserve"> PAGEREF _Toc15396618 \h </w:instrText>
      </w:r>
      <w:r>
        <w:fldChar w:fldCharType="separate"/>
      </w:r>
      <w:r>
        <w:t>70</w:t>
      </w:r>
      <w:r>
        <w:fldChar w:fldCharType="end"/>
      </w:r>
      <w: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一、</w:t>
      </w:r>
      <w:r>
        <w:fldChar w:fldCharType="begin"/>
      </w:r>
      <w:r>
        <w:instrText xml:space="preserve"> HYPERLINK \l "_Toc15396619" </w:instrText>
      </w:r>
      <w:r>
        <w:fldChar w:fldCharType="separate"/>
      </w:r>
      <w:r>
        <w:rPr>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二、</w:t>
      </w:r>
      <w:r>
        <w:fldChar w:fldCharType="begin"/>
      </w:r>
      <w:r>
        <w:instrText xml:space="preserve"> HYPERLINK \l "_Toc15396620" </w:instrText>
      </w:r>
      <w:r>
        <w:fldChar w:fldCharType="separate"/>
      </w:r>
      <w:r>
        <w:rPr>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三、</w:t>
      </w:r>
      <w:r>
        <w:fldChar w:fldCharType="begin"/>
      </w:r>
      <w:r>
        <w:instrText xml:space="preserve"> HYPERLINK \l "_Toc15396621" </w:instrText>
      </w:r>
      <w:r>
        <w:fldChar w:fldCharType="separate"/>
      </w:r>
      <w:r>
        <w:rPr>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四、</w:t>
      </w:r>
      <w:r>
        <w:fldChar w:fldCharType="begin"/>
      </w:r>
      <w:r>
        <w:instrText xml:space="preserve"> HYPERLINK \l "_Toc15396622" </w:instrText>
      </w:r>
      <w:r>
        <w:fldChar w:fldCharType="separate"/>
      </w:r>
      <w:r>
        <w:rPr>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hAnsi="仿宋"/>
          <w:sz w:val="28"/>
          <w:szCs w:val="28"/>
        </w:rPr>
      </w:pPr>
      <w:r>
        <w:rPr>
          <w:rFonts w:ascii="仿宋" w:eastAsia="仿宋" w:hAnsi="仿宋" w:hint="eastAsia"/>
          <w:sz w:val="28"/>
          <w:szCs w:val="28"/>
        </w:rPr>
        <w:t>五、</w:t>
      </w:r>
      <w:r>
        <w:fldChar w:fldCharType="begin"/>
      </w:r>
      <w:r>
        <w:instrText xml:space="preserve"> HYPERLINK \l "_Toc15396623" </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六、</w:t>
      </w:r>
      <w:r>
        <w:fldChar w:fldCharType="begin"/>
      </w:r>
      <w:r>
        <w:instrText xml:space="preserve"> HYPERLINK \l "_Toc15396624" </w:instrText>
      </w:r>
      <w:r>
        <w:fldChar w:fldCharType="separate"/>
      </w:r>
      <w:r>
        <w:rPr>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七、</w:t>
      </w:r>
      <w:r>
        <w:fldChar w:fldCharType="begin"/>
      </w:r>
      <w:r>
        <w:instrText xml:space="preserve"> HYPERLINK \l "_Toc15396625" </w:instrText>
      </w:r>
      <w:r>
        <w:fldChar w:fldCharType="separate"/>
      </w:r>
      <w:r>
        <w:rPr>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八、</w:t>
      </w:r>
      <w:r>
        <w:fldChar w:fldCharType="begin"/>
      </w:r>
      <w:r>
        <w:instrText xml:space="preserve"> HYPERLINK \l "_Toc15396626" </w:instrText>
      </w:r>
      <w:r>
        <w:fldChar w:fldCharType="separate"/>
      </w:r>
      <w:r>
        <w:rPr>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九、</w:t>
      </w:r>
      <w:r>
        <w:fldChar w:fldCharType="begin"/>
      </w:r>
      <w:r>
        <w:instrText xml:space="preserve"> HYPERLINK \l "_Toc15396627" </w:instrText>
      </w:r>
      <w:r>
        <w:fldChar w:fldCharType="separate"/>
      </w:r>
      <w:r>
        <w:rPr>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十、</w:t>
      </w:r>
      <w:r>
        <w:fldChar w:fldCharType="begin"/>
      </w:r>
      <w:r>
        <w:instrText xml:space="preserve"> HYPERLINK \l "_Toc15396628" </w:instrText>
      </w:r>
      <w:r>
        <w:fldChar w:fldCharType="separate"/>
      </w:r>
      <w:r>
        <w:rPr>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十一、</w:t>
      </w:r>
      <w:r>
        <w:fldChar w:fldCharType="begin"/>
      </w:r>
      <w:r>
        <w:instrText xml:space="preserve"> HYPERLINK \l "_Toc15396629" </w:instrText>
      </w:r>
      <w:r>
        <w:fldChar w:fldCharType="separate"/>
      </w:r>
      <w:r>
        <w:rPr>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8"/>
          <w:szCs w:val="28"/>
        </w:rPr>
      </w:pPr>
      <w:r>
        <w:rPr>
          <w:rFonts w:ascii="仿宋" w:eastAsia="仿宋" w:hAnsi="仿宋" w:hint="eastAsia"/>
          <w:sz w:val="28"/>
          <w:szCs w:val="28"/>
        </w:rPr>
        <w:t>十二、</w:t>
      </w:r>
      <w:r>
        <w:fldChar w:fldCharType="begin"/>
      </w:r>
      <w:r>
        <w:instrText xml:space="preserve"> HYPERLINK \l "_Toc15396630" </w:instrText>
      </w:r>
      <w:r>
        <w:fldChar w:fldCharType="separate"/>
      </w:r>
      <w:r>
        <w:rPr>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jc w:val="distribute"/>
        <w:rPr>
          <w:rFonts w:ascii="仿宋" w:eastAsia="仿宋" w:cs="Arial" w:hAnsi="仿宋"/>
          <w:sz w:val="24"/>
        </w:rPr>
      </w:pPr>
      <w:r>
        <w:rPr>
          <w:rFonts w:ascii="仿宋" w:eastAsia="仿宋" w:hAnsi="仿宋" w:hint="eastAsia"/>
          <w:sz w:val="28"/>
          <w:szCs w:val="28"/>
        </w:rPr>
        <w:t>十三、</w:t>
      </w:r>
      <w:r>
        <w:fldChar w:fldCharType="begin"/>
      </w:r>
      <w:r>
        <w:instrText xml:space="preserve"> HYPERLINK \l "_Toc15396631" </w:instrText>
      </w:r>
      <w:r>
        <w:fldChar w:fldCharType="separate"/>
      </w:r>
      <w:r>
        <w:rPr>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fldChar w:fldCharType="separate"/>
      </w:r>
      <w:r>
        <w:rPr>
          <w:rFonts w:ascii="仿宋" w:eastAsia="仿宋" w:hAnsi="仿宋"/>
          <w:sz w:val="28"/>
          <w:szCs w:val="28"/>
        </w:rPr>
        <w:t>70</w:t>
      </w:r>
      <w:r>
        <w:rPr>
          <w:rFonts w:ascii="仿宋" w:eastAsia="仿宋" w:hAnsi="仿宋"/>
          <w:sz w:val="28"/>
          <w:szCs w:val="28"/>
        </w:rPr>
        <w:fldChar w:fldCharType="end"/>
      </w:r>
      <w:r>
        <w:rPr>
          <w:rFonts w:ascii="仿宋" w:eastAsia="仿宋" w:hAnsi="仿宋"/>
          <w:sz w:val="28"/>
          <w:szCs w:val="28"/>
        </w:rPr>
        <w:fldChar w:fldCharType="end"/>
      </w:r>
    </w:p>
    <w:p>
      <w:pPr>
        <w:widowControl/>
        <w:jc w:val="left"/>
        <w:rPr>
          <w:rFonts w:ascii="仿宋" w:eastAsia="仿宋" w:hAnsi="仿宋"/>
          <w:color w:val="000000"/>
          <w:sz w:val="24"/>
        </w:rPr>
      </w:pPr>
      <w:r>
        <w:rPr>
          <w:rFonts w:ascii="仿宋" w:eastAsia="仿宋" w:hAnsi="仿宋"/>
          <w:color w:val="000000"/>
          <w:sz w:val="24"/>
        </w:rPr>
        <w:fldChar w:fldCharType="end"/>
      </w:r>
    </w:p>
    <w:p>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ind w:firstLineChars="200" w:firstLine="640"/>
        <w:rPr>
          <w:rStyle w:val="2Char"/>
          <w:rFonts w:ascii="黑体" w:eastAsia="黑体" w:hAnsi="黑体"/>
          <w:b w:val="0"/>
          <w:bCs w:val="0"/>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b w:val="0"/>
          <w:bCs w:val="0"/>
        </w:rPr>
        <w:t>本职能及主要工作</w:t>
      </w:r>
      <w:bookmarkStart w:id="17" w:name="_Toc15378445"/>
      <w:bookmarkStart w:id="18" w:name="_Toc15377198"/>
      <w:bookmarkEnd w:id="15"/>
      <w:bookmarkEnd w:id="16"/>
    </w:p>
    <w:p>
      <w:pPr>
        <w:pStyle w:val="2"/>
        <w:ind w:firstLineChars="200" w:firstLine="640"/>
        <w:rPr>
          <w:rFonts w:ascii="仿宋" w:eastAsia="仿宋" w:hAnsi="仿宋"/>
          <w:b w:val="0"/>
          <w:bCs w:val="0"/>
        </w:rPr>
      </w:pPr>
      <w:r>
        <w:rPr>
          <w:rFonts w:ascii="仿宋" w:eastAsia="仿宋" w:hAnsi="仿宋" w:hint="eastAsia"/>
          <w:color w:val="000000"/>
        </w:rPr>
        <w:t>（一）主要职能</w:t>
      </w:r>
      <w:bookmarkEnd w:id="17"/>
      <w:bookmarkEnd w:id="18"/>
    </w:p>
    <w:p>
      <w:pPr>
        <w:pStyle w:val="15"/>
        <w:adjustRightInd w:val="0"/>
        <w:snapToGrid w:val="0"/>
        <w:spacing w:beforeLines="0" w:before="93" w:line="600" w:lineRule="exact"/>
        <w:ind w:firstLineChars="200" w:firstLine="640"/>
        <w:outlineLvl w:val="2"/>
        <w:rPr>
          <w:rFonts w:ascii="仿宋" w:eastAsia="仿宋" w:hAnsi="仿宋"/>
          <w:bCs/>
          <w:color w:val="000000"/>
          <w:sz w:val="32"/>
          <w:szCs w:val="32"/>
        </w:rPr>
      </w:pPr>
      <w:r>
        <w:rPr>
          <w:rFonts w:ascii="仿宋" w:eastAsia="仿宋" w:cs="仿宋" w:hAnsi="仿宋" w:hint="eastAsia"/>
          <w:sz w:val="32"/>
          <w:szCs w:val="32"/>
        </w:rPr>
        <w:t>指导各级妇联依据《中华全国妇女联合会章程》和妇女代表大会的决议，开展妇女儿童工作；调查研究我区不同地区妇女儿童的情况、问题；指导和推动全区农村妇女的“双学双赛”和城镇妇女的“巾帼建功”活动；指导各级妇联的宣传舆论工作，教育、引导广大妇女增强自尊、自信、自立、自强的精神，开展培训，全面提高妇女素质；代表妇女参与国家和社会事务的民主管理，切实维护妇女儿童的合法权益，协调和推动社会各界为妇女儿童办实事、办好事；承担区政府妇女儿童工作委员会的日常工作；承办区委、区政府交办的其它事项。</w:t>
      </w:r>
    </w:p>
    <w:p>
      <w:pPr>
        <w:pStyle w:val="15"/>
        <w:adjustRightInd w:val="0"/>
        <w:snapToGrid w:val="0"/>
        <w:spacing w:beforeLines="0" w:before="93" w:line="600" w:lineRule="exact"/>
        <w:ind w:firstLineChars="209" w:firstLine="672"/>
        <w:outlineLvl w:val="2"/>
        <w:rPr>
          <w:rFonts w:ascii="仿宋" w:eastAsia="仿宋" w:hAnsi="仿宋"/>
          <w:b/>
          <w:bCs/>
          <w:color w:val="000000"/>
          <w:sz w:val="32"/>
          <w:szCs w:val="32"/>
        </w:rPr>
      </w:pPr>
      <w:bookmarkStart w:id="19" w:name="_Toc15378446"/>
      <w:bookmarkStart w:id="20" w:name="_Toc15377199"/>
      <w:r>
        <w:rPr>
          <w:rFonts w:ascii="仿宋" w:eastAsia="仿宋" w:hAnsi="仿宋" w:hint="eastAsia"/>
          <w:b/>
          <w:bCs/>
          <w:color w:val="000000"/>
          <w:sz w:val="32"/>
          <w:szCs w:val="32"/>
        </w:rPr>
        <w:t>（二）</w:t>
      </w:r>
      <w:r>
        <w:rPr>
          <w:rFonts w:ascii="仿宋" w:eastAsia="仿宋" w:hAnsi="仿宋"/>
          <w:b/>
          <w:bCs/>
          <w:color w:val="000000"/>
          <w:sz w:val="32"/>
          <w:szCs w:val="32"/>
        </w:rPr>
        <w:t>201</w:t>
      </w:r>
      <w:r>
        <w:rPr>
          <w:rFonts w:ascii="仿宋" w:eastAsia="仿宋" w:hAnsi="仿宋" w:hint="eastAsia"/>
          <w:b/>
          <w:bCs/>
          <w:color w:val="000000"/>
          <w:sz w:val="32"/>
          <w:szCs w:val="32"/>
        </w:rPr>
        <w:t>8年重点工作完成情况</w:t>
      </w:r>
      <w:bookmarkEnd w:id="19"/>
      <w:bookmarkEnd w:id="20"/>
    </w:p>
    <w:p>
      <w:pPr>
        <w:ind w:firstLineChars="200" w:firstLine="640"/>
        <w:rPr>
          <w:rFonts w:ascii="仿宋" w:eastAsia="仿宋" w:hAnsi="仿宋"/>
          <w:sz w:val="32"/>
          <w:szCs w:val="32"/>
        </w:rPr>
      </w:pPr>
      <w:r>
        <w:rPr>
          <w:rFonts w:ascii="仿宋" w:eastAsia="仿宋" w:hAnsi="仿宋" w:hint="eastAsia"/>
          <w:sz w:val="32"/>
          <w:szCs w:val="32"/>
        </w:rPr>
        <w:t>1、实施素质提升行动。一是注重教育培训。开展了新时代治蜀兴川广元实践利州行动专题讨论，举办了2018年度女干部培训班；二是充分发挥先进典型的示范引领作用。推荐“三八”红旗手、三八红旗集体、巾帼脱贫之星、巾帼扶贫之星，“书香少年”，开展了第二届“十大魅力女性”评选表扬活动。</w:t>
      </w:r>
    </w:p>
    <w:p>
      <w:pPr>
        <w:overflowPunct w:val="0"/>
        <w:ind w:firstLineChars="200" w:firstLine="640"/>
        <w:rPr>
          <w:rFonts w:ascii="仿宋" w:eastAsia="仿宋" w:hAnsi="仿宋"/>
          <w:sz w:val="32"/>
          <w:szCs w:val="32"/>
        </w:rPr>
      </w:pPr>
      <w:r>
        <w:rPr>
          <w:rFonts w:ascii="仿宋" w:eastAsia="仿宋" w:hAnsi="仿宋" w:hint="eastAsia"/>
          <w:sz w:val="32"/>
          <w:szCs w:val="32"/>
        </w:rPr>
        <w:t>2、实施巾帼建功行动。一是实施“乡村振兴巾帼行动”。召开了“乡村振兴巾帼行动”工作推进会；二是加强妇女创业就业帮扶。开展了巾帼家政、种养殖等实用技术培训，参训妇女达400余人次，承办 “千里巡诊，助力天府创女”创业巡诊活动；三是积极推进妇女居家灵活就业。实施好“十三五”巾帼家政服务专项培训工程，全年培训巾帼家政人员 80 余人；四是举办“巾帼社区服务站”成立暨“母亲小站”启动仪式。五是积极开展各类创建活动。申创市级巾帼文明岗4个，区级巾帼文明岗5个，打造白朝乡山农专业合作社、赤化镇华瑞种养殖专业合作社2个巾帼科技示范基地。</w:t>
      </w:r>
    </w:p>
    <w:p>
      <w:pPr>
        <w:ind w:firstLineChars="200" w:firstLine="640"/>
        <w:rPr>
          <w:rFonts w:ascii="仿宋" w:eastAsia="仿宋" w:hAnsi="仿宋"/>
          <w:sz w:val="32"/>
          <w:szCs w:val="32"/>
        </w:rPr>
      </w:pPr>
      <w:r>
        <w:rPr>
          <w:rFonts w:ascii="仿宋" w:eastAsia="仿宋" w:hAnsi="仿宋" w:hint="eastAsia"/>
          <w:sz w:val="32"/>
          <w:szCs w:val="32"/>
        </w:rPr>
        <w:t>3、实施幸福家庭行动。一是继续深入开展寻找“最美家庭”活动。举办了寻找最美家庭活动启动仪式，召开了2018年最美家庭活动评选推进会；二是加强家庭教育工作。开展 “建幸福家庭 做智慧父母”为主题的家庭教育公益巡讲24场；三是开展“三八”节纪念活动。举办了首届女职工运动会，全区28个系统代表队参赛；组织开展“三八”妇女节走访慰问活动；开展了“三八维权周” 法制宣传活动。四是组织开展“六一”国际儿童节慰问活动。看望在校儿童，为贫困儿童送去了儿童节礼物，送上慰问金12000元；五是开展文明城市创建工作。举办了利州区增彩添香暨“十大最美”系列评选活动启动仪式，开展了“最美庭院（阳台）”评选。</w:t>
      </w:r>
    </w:p>
    <w:p>
      <w:pPr>
        <w:ind w:firstLineChars="200" w:firstLine="640"/>
        <w:rPr>
          <w:rFonts w:ascii="仿宋" w:eastAsia="仿宋" w:hAnsi="仿宋"/>
          <w:sz w:val="32"/>
          <w:szCs w:val="32"/>
        </w:rPr>
      </w:pPr>
      <w:r>
        <w:rPr>
          <w:rFonts w:ascii="仿宋" w:eastAsia="仿宋" w:hAnsi="仿宋" w:hint="eastAsia"/>
          <w:sz w:val="32"/>
          <w:szCs w:val="32"/>
        </w:rPr>
        <w:t>4、实施巾帼维权关爱行动。进一步加强妇女儿童维权。一是加强妇女儿童维权宣传。利用三八、六一、6.26，11.25等节日节点，共开展维权宣传活动20余次；二是开展“建设法治利州 巾帼在行动”微课堂。全区妇女2000余人参加微课堂学习。三是深入推进“反家暴”工作。接受了市人大组织的《反家庭暴力法》专项执法检查；举办了《反家庭暴力法》知识讲座10余场；四是做好“平安家庭”创建工作。创建市级“平安家庭”100户，区级“平安家庭”100户。</w:t>
      </w:r>
    </w:p>
    <w:p>
      <w:pPr>
        <w:ind w:firstLineChars="200" w:firstLine="640"/>
        <w:rPr>
          <w:rFonts w:ascii="仿宋" w:eastAsia="仿宋" w:hAnsi="仿宋"/>
          <w:sz w:val="32"/>
          <w:szCs w:val="32"/>
        </w:rPr>
      </w:pPr>
      <w:r>
        <w:rPr>
          <w:rFonts w:ascii="仿宋" w:eastAsia="仿宋" w:hAnsi="仿宋" w:hint="eastAsia"/>
          <w:sz w:val="32"/>
          <w:szCs w:val="32"/>
        </w:rPr>
        <w:t>5、实施强基固本行动。一是推进妇女儿童活动阵地建设。继续抓好区妇女儿童活动中心、儿童友好家园、爱之家儿童活动室管理运行工作；实施省定民生实事儿童之家建设，在全区新建20个儿童之家；二是召开了利州妇女第五次全区代表大会。大会选举了新一届妇联领导班子，审议通过了区妇联第四届执行委员会工作报告；三是开展了2018年度全区妇女干部培训，提升妇女干部能力素质。</w:t>
      </w:r>
    </w:p>
    <w:p>
      <w:pPr>
        <w:pStyle w:val="2"/>
        <w:ind w:firstLineChars="200" w:firstLine="640"/>
        <w:rPr>
          <w:rStyle w:val="2Char"/>
          <w:b w:val="0"/>
          <w:bCs w:val="0"/>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21"/>
      <w:bookmarkEnd w:id="22"/>
    </w:p>
    <w:p>
      <w:pPr>
        <w:ind w:firstLineChars="250" w:firstLine="800"/>
        <w:rPr>
          <w:rFonts w:ascii="仿宋" w:eastAsia="仿宋" w:hAnsi="仿宋"/>
          <w:sz w:val="32"/>
          <w:szCs w:val="32"/>
        </w:rPr>
      </w:pPr>
      <w:r>
        <w:rPr>
          <w:rFonts w:ascii="仿宋" w:eastAsia="仿宋" w:hAnsi="仿宋" w:hint="eastAsia"/>
          <w:sz w:val="32"/>
          <w:szCs w:val="32"/>
        </w:rPr>
        <w:t>利州区妇联下属二级单位0个，其中行政单位0个，参照公务员法管理的事业单位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pPr>
        <w:pStyle w:val="15"/>
        <w:adjustRightInd w:val="0"/>
        <w:snapToGrid w:val="0"/>
        <w:spacing w:beforeLines="0" w:before="93" w:line="600" w:lineRule="exact"/>
        <w:ind w:firstLineChars="209"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color w:val="000000"/>
          <w:sz w:val="32"/>
          <w:szCs w:val="32"/>
        </w:rPr>
        <w:t>利州区妇联</w:t>
      </w:r>
      <w:r>
        <w:rPr>
          <w:rFonts w:ascii="仿宋" w:eastAsia="仿宋" w:hAnsi="仿宋" w:hint="eastAsia"/>
          <w:color w:val="000000"/>
          <w:sz w:val="32"/>
          <w:szCs w:val="32"/>
        </w:rPr>
        <w:t>2018年度部门决算编制范围的二级预算单位包括：无</w:t>
      </w:r>
      <w:r>
        <w:rPr>
          <w:rFonts w:ascii="仿宋" w:eastAsia="仿宋" w:hAnsi="仿宋"/>
          <w:color w:val="000000"/>
          <w:sz w:val="32"/>
          <w:szCs w:val="32"/>
        </w:rPr>
        <w:br w:type="page"/>
      </w:r>
    </w:p>
    <w:p>
      <w:pPr>
        <w:pStyle w:val="1"/>
        <w:ind w:right="440"/>
        <w:jc w:val="right"/>
        <w:rPr>
          <w:rStyle w:val="1Char"/>
          <w:rFonts w:ascii="黑体" w:eastAsia="黑体" w:hAnsi="黑体"/>
          <w:b w:val="0"/>
          <w:bCs w:val="0"/>
        </w:rPr>
      </w:pPr>
      <w:bookmarkStart w:id="23" w:name="_Toc15377204"/>
      <w:bookmarkStart w:id="24" w:name="_Toc15396602"/>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b w:val="0"/>
          <w:bCs w:val="0"/>
        </w:rPr>
        <w:t>2018年度部门决算情况说明</w:t>
      </w:r>
      <w:bookmarkEnd w:id="23"/>
      <w:bookmarkEnd w:id="24"/>
    </w:p>
    <w:p/>
    <w:p>
      <w:pPr>
        <w:pStyle w:val="29"/>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2018年度收、支总计130.74、127.24万元。与2017年相比，收、支总计各增加11、8万元，增长10</w:t>
      </w:r>
      <w:r>
        <w:rPr>
          <w:rFonts w:ascii="仿宋" w:eastAsia="仿宋" w:hAnsi="仿宋"/>
          <w:color w:val="000000"/>
          <w:sz w:val="32"/>
          <w:szCs w:val="32"/>
        </w:rPr>
        <w:t>%、</w:t>
      </w:r>
      <w:r>
        <w:rPr>
          <w:rFonts w:ascii="仿宋" w:eastAsia="仿宋" w:hAnsi="仿宋" w:hint="eastAsia"/>
          <w:color w:val="000000"/>
          <w:sz w:val="32"/>
          <w:szCs w:val="32"/>
        </w:rPr>
        <w:t>7%。主要变动原因是工资调标和项目增加。</w:t>
      </w:r>
    </w:p>
    <w:p>
      <w:pPr>
        <w:ind w:firstLineChars="200" w:firstLine="640"/>
        <w:rPr>
          <w:rFonts w:ascii="仿宋" w:eastAsia="仿宋" w:hAnsi="仿宋" w:hint="eastAsia"/>
          <w:color w:val="000000"/>
          <w:sz w:val="32"/>
          <w:szCs w:val="32"/>
        </w:rPr>
      </w:pPr>
      <w:r>
        <w:rPr>
          <w:rFonts w:ascii="仿宋" w:eastAsia="仿宋" w:hAnsi="仿宋"/>
          <w:color w:val="000000"/>
          <w:sz w:val="32"/>
          <w:szCs w:val="32"/>
        </w:rPr>
        <w:drawing>
          <wp:inline distT="0" distB="0" distL="0" distR="0">
            <wp:extent cx="4572000" cy="2743200"/>
            <wp:effectExtent l="0" t="0" r="0" b="0"/>
            <wp:docPr id="1" name="图表 1"/>
            <wp:cNvGraphicFramePr>
              <a:graphicFrameLocks noChangeAspect="0"/>
            </wp:cNvGraphicFramePr>
            <a:graphic>
              <a:graphicData uri="http://schemas.openxmlformats.org/drawingml/2006/chart">
                <c:chart xmlns:c="http://schemas.openxmlformats.org/drawingml/2006/chart" r:id="rId5"/>
              </a:graphicData>
            </a:graphic>
          </wp:inline>
        </w:drawing>
      </w:r>
    </w:p>
    <w:p>
      <w:pPr>
        <w:pStyle w:val="29"/>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8年本年收入合计130.74万元，其中：一般公共预算财政拨款收入130.74万元，占100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hint="eastAsia"/>
          <w:color w:val="000000"/>
          <w:sz w:val="32"/>
          <w:szCs w:val="32"/>
        </w:rPr>
      </w:pPr>
    </w:p>
    <w:p>
      <w:pPr>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drawing>
          <wp:inline distT="0" distB="0" distL="0" distR="0">
            <wp:extent cx="4303395" cy="2992120"/>
            <wp:effectExtent l="0" t="0" r="0" b="0"/>
            <wp:docPr id="2" name="图表 2"/>
            <wp:cNvGraphicFramePr>
              <a:graphicFrameLocks noChangeAspect="0"/>
            </wp:cNvGraphicFramePr>
            <a:graphic>
              <a:graphicData uri="http://schemas.openxmlformats.org/drawingml/2006/chart">
                <c:chart xmlns:c="http://schemas.openxmlformats.org/drawingml/2006/chart" r:id="rId6"/>
              </a:graphicData>
            </a:graphic>
          </wp:inline>
        </w:drawing>
      </w:r>
    </w:p>
    <w:p>
      <w:pPr>
        <w:pStyle w:val="29"/>
        <w:numPr>
          <w:ilvl w:val="0"/>
          <w:numId w:val="1"/>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ind w:firstLine="64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8年本年支出合计127.24万元，其中：基本支出94.24万元，占74</w:t>
      </w:r>
      <w:r>
        <w:rPr>
          <w:rFonts w:ascii="仿宋" w:eastAsia="仿宋" w:hAnsi="仿宋"/>
          <w:color w:val="000000"/>
          <w:sz w:val="32"/>
          <w:szCs w:val="32"/>
        </w:rPr>
        <w:t>%</w:t>
      </w:r>
      <w:r>
        <w:rPr>
          <w:rFonts w:ascii="仿宋" w:eastAsia="仿宋" w:hAnsi="仿宋" w:hint="eastAsia"/>
          <w:color w:val="000000"/>
          <w:sz w:val="32"/>
          <w:szCs w:val="32"/>
        </w:rPr>
        <w:t>；项目支出33万元，占26</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pPr>
        <w:jc w:val="center"/>
        <w:rPr>
          <w:rFonts w:ascii="仿宋" w:eastAsia="仿宋" w:hAnsi="仿宋"/>
          <w:color w:val="000000"/>
          <w:sz w:val="32"/>
          <w:szCs w:val="32"/>
          <w:shd w:val="pct10" w:color="auto" w:fill="FFFFFF"/>
        </w:rPr>
      </w:pPr>
      <w:r>
        <w:rPr>
          <w:rFonts w:ascii="仿宋" w:eastAsia="仿宋" w:hAnsi="仿宋"/>
          <w:color w:val="000000"/>
          <w:sz w:val="32"/>
          <w:szCs w:val="32"/>
          <w:shd w:val="pct10" w:color="auto" w:fill="FFFFFF"/>
        </w:rPr>
        <w:drawing>
          <wp:inline distT="0" distB="0" distL="0" distR="0">
            <wp:extent cx="3689350" cy="2232025"/>
            <wp:effectExtent l="0" t="0" r="0" b="0"/>
            <wp:docPr id="3" name="图表 3"/>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60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8年财政拨款收、支总计130.74、127.24万元。与</w:t>
      </w:r>
      <w:r>
        <w:rPr>
          <w:rFonts w:ascii="仿宋" w:eastAsia="仿宋" w:hAnsi="仿宋"/>
          <w:color w:val="000000"/>
          <w:sz w:val="32"/>
          <w:szCs w:val="32"/>
        </w:rPr>
        <w:t>201</w:t>
      </w:r>
      <w:r>
        <w:rPr>
          <w:rFonts w:ascii="仿宋" w:eastAsia="仿宋" w:hAnsi="仿宋" w:hint="eastAsia"/>
          <w:color w:val="000000"/>
          <w:sz w:val="32"/>
          <w:szCs w:val="32"/>
        </w:rPr>
        <w:t>7年相比，财政拨款收、支总计各增加11、8万元，增长10</w:t>
      </w:r>
      <w:r>
        <w:rPr>
          <w:rFonts w:ascii="仿宋" w:eastAsia="仿宋" w:hAnsi="仿宋"/>
          <w:color w:val="000000"/>
          <w:sz w:val="32"/>
          <w:szCs w:val="32"/>
        </w:rPr>
        <w:t>%、</w:t>
      </w:r>
      <w:r>
        <w:rPr>
          <w:rFonts w:ascii="仿宋" w:eastAsia="仿宋" w:hAnsi="仿宋" w:hint="eastAsia"/>
          <w:color w:val="000000"/>
          <w:sz w:val="32"/>
          <w:szCs w:val="32"/>
        </w:rPr>
        <w:t>7%。主要变动原因是工资调标和项目增加。</w:t>
      </w:r>
    </w:p>
    <w:p>
      <w:pPr>
        <w:ind w:firstLineChars="200" w:firstLine="640"/>
        <w:rPr>
          <w:rFonts w:ascii="仿宋" w:eastAsia="仿宋" w:hAnsi="仿宋"/>
          <w:color w:val="000000"/>
          <w:sz w:val="32"/>
          <w:szCs w:val="32"/>
        </w:rPr>
      </w:pPr>
      <w:r>
        <w:rPr>
          <w:rFonts w:ascii="仿宋" w:eastAsia="仿宋" w:hAnsi="仿宋"/>
          <w:color w:val="000000"/>
          <w:sz w:val="32"/>
          <w:szCs w:val="32"/>
        </w:rPr>
        <w:drawing>
          <wp:inline distT="0" distB="0" distL="0" distR="0">
            <wp:extent cx="4572000" cy="2743200"/>
            <wp:effectExtent l="0" t="0" r="0" b="0"/>
            <wp:docPr id="4" name="图表 6"/>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8年一般公共预算财政拨款支出127.24万元，占本年支出合计的100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7年相比，一般公共预算财政拨款增加8万元，增长7</w:t>
      </w:r>
      <w:r>
        <w:rPr>
          <w:rFonts w:ascii="仿宋" w:eastAsia="仿宋" w:hAnsi="仿宋"/>
          <w:color w:val="000000"/>
          <w:sz w:val="32"/>
          <w:szCs w:val="32"/>
        </w:rPr>
        <w:t>%</w:t>
      </w:r>
      <w:r>
        <w:rPr>
          <w:rFonts w:ascii="仿宋" w:eastAsia="仿宋" w:hAnsi="仿宋" w:hint="eastAsia"/>
          <w:color w:val="000000"/>
          <w:sz w:val="32"/>
          <w:szCs w:val="32"/>
        </w:rPr>
        <w:t>。主要变动原因是工资调标和项目增加。</w:t>
      </w:r>
    </w:p>
    <w:p>
      <w:pPr>
        <w:ind w:firstLineChars="200" w:firstLine="640"/>
        <w:rPr>
          <w:rFonts w:ascii="仿宋" w:eastAsia="仿宋" w:hAnsi="仿宋" w:hint="eastAsia"/>
          <w:color w:val="000000"/>
          <w:sz w:val="32"/>
          <w:szCs w:val="32"/>
        </w:rPr>
      </w:pPr>
      <w:r>
        <w:rPr>
          <w:rFonts w:ascii="仿宋" w:eastAsia="仿宋" w:hAnsi="仿宋"/>
          <w:color w:val="000000"/>
          <w:sz w:val="32"/>
          <w:szCs w:val="32"/>
        </w:rPr>
        <w:drawing>
          <wp:inline distT="0" distB="0" distL="0" distR="0">
            <wp:extent cx="4752975" cy="2743200"/>
            <wp:effectExtent l="0" t="0" r="0" b="0"/>
            <wp:docPr id="5" name="图表 7"/>
            <wp:cNvGraphicFramePr>
              <a:graphicFrameLocks noChangeAspect="0"/>
            </wp:cNvGraphicFramePr>
            <a:graphic>
              <a:graphicData uri="http://schemas.openxmlformats.org/drawingml/2006/chart">
                <c:chart xmlns:c="http://schemas.openxmlformats.org/drawingml/2006/chart" r:id="rId9"/>
              </a:graphicData>
            </a:graphic>
          </wp:inline>
        </w:drawing>
      </w:r>
    </w:p>
    <w:p>
      <w:pPr>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pPr>
        <w:spacing w:line="600" w:lineRule="exact"/>
        <w:ind w:firstLine="640"/>
        <w:rPr>
          <w:rFonts w:ascii="仿宋" w:eastAsia="仿宋" w:hAnsi="仿宋"/>
          <w:color w:val="FF0000"/>
          <w:sz w:val="32"/>
          <w:szCs w:val="32"/>
        </w:rPr>
      </w:pPr>
      <w:r>
        <w:rPr>
          <w:rFonts w:ascii="仿宋" w:eastAsia="仿宋" w:hAnsi="仿宋"/>
          <w:color w:val="FF0000"/>
          <w:sz w:val="32"/>
          <w:szCs w:val="32"/>
        </w:rPr>
        <w:t>201</w:t>
      </w:r>
      <w:r>
        <w:rPr>
          <w:rFonts w:ascii="仿宋" w:eastAsia="仿宋" w:hAnsi="仿宋" w:hint="eastAsia"/>
          <w:color w:val="FF0000"/>
          <w:sz w:val="32"/>
          <w:szCs w:val="32"/>
        </w:rPr>
        <w:t>8年一般公共预算财政拨款支出127.24万元，主要用于以下方面</w:t>
      </w:r>
      <w:r>
        <w:rPr>
          <w:rFonts w:ascii="仿宋" w:eastAsia="仿宋" w:hAnsi="仿宋"/>
          <w:color w:val="FF0000"/>
          <w:sz w:val="32"/>
          <w:szCs w:val="32"/>
        </w:rPr>
        <w:t>:</w:t>
      </w:r>
    </w:p>
    <w:p>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一般公共服务（类）201：</w:t>
      </w:r>
      <w:r>
        <w:rPr>
          <w:rFonts w:ascii="仿宋" w:eastAsia="仿宋" w:hAnsi="仿宋" w:hint="eastAsia"/>
          <w:color w:val="FF0000"/>
          <w:sz w:val="32"/>
          <w:szCs w:val="32"/>
        </w:rPr>
        <w:t>支出110.93万元，占87</w:t>
      </w:r>
      <w:r>
        <w:rPr>
          <w:rFonts w:ascii="仿宋" w:eastAsia="仿宋" w:hAnsi="仿宋"/>
          <w:color w:val="FF0000"/>
          <w:sz w:val="32"/>
          <w:szCs w:val="32"/>
        </w:rPr>
        <w:t>%</w:t>
      </w:r>
      <w:r>
        <w:rPr>
          <w:rFonts w:ascii="仿宋" w:eastAsia="仿宋" w:hAnsi="仿宋" w:hint="eastAsia"/>
          <w:color w:val="FF0000"/>
          <w:sz w:val="32"/>
          <w:szCs w:val="32"/>
        </w:rPr>
        <w:t>；</w:t>
      </w:r>
    </w:p>
    <w:p>
      <w:pPr>
        <w:spacing w:line="600" w:lineRule="exact"/>
        <w:ind w:firstLine="640"/>
        <w:rPr>
          <w:rFonts w:ascii="仿宋" w:eastAsia="仿宋" w:hAnsi="仿宋"/>
          <w:color w:val="FF0000"/>
          <w:sz w:val="32"/>
          <w:szCs w:val="32"/>
        </w:rPr>
      </w:pPr>
      <w:r>
        <w:rPr>
          <w:rFonts w:ascii="仿宋" w:eastAsia="仿宋" w:hAnsi="仿宋" w:hint="eastAsia"/>
          <w:b/>
          <w:color w:val="FF0000"/>
          <w:sz w:val="32"/>
          <w:szCs w:val="32"/>
        </w:rPr>
        <w:t>社会保障和就业（类）208：</w:t>
      </w:r>
      <w:r>
        <w:rPr>
          <w:rFonts w:ascii="仿宋" w:eastAsia="仿宋" w:hAnsi="仿宋" w:hint="eastAsia"/>
          <w:color w:val="FF0000"/>
          <w:sz w:val="32"/>
          <w:szCs w:val="32"/>
        </w:rPr>
        <w:t>支出8.24万元，占6.5</w:t>
      </w:r>
      <w:r>
        <w:rPr>
          <w:rFonts w:ascii="仿宋" w:eastAsia="仿宋" w:hAnsi="仿宋"/>
          <w:color w:val="FF0000"/>
          <w:sz w:val="32"/>
          <w:szCs w:val="32"/>
        </w:rPr>
        <w:t>%</w:t>
      </w:r>
      <w:r>
        <w:rPr>
          <w:rFonts w:ascii="仿宋" w:eastAsia="仿宋" w:hAnsi="仿宋" w:hint="eastAsia"/>
          <w:color w:val="FF0000"/>
          <w:sz w:val="32"/>
          <w:szCs w:val="32"/>
        </w:rPr>
        <w:t>；</w:t>
      </w:r>
    </w:p>
    <w:p>
      <w:pPr>
        <w:spacing w:line="600" w:lineRule="exact"/>
        <w:ind w:firstLine="640"/>
        <w:rPr>
          <w:rFonts w:ascii="仿宋" w:eastAsia="仿宋" w:hAnsi="仿宋"/>
          <w:color w:val="FF0000"/>
          <w:sz w:val="32"/>
          <w:szCs w:val="32"/>
        </w:rPr>
      </w:pPr>
      <w:r>
        <w:rPr>
          <w:rFonts w:ascii="仿宋" w:eastAsia="仿宋" w:hAnsi="仿宋" w:hint="eastAsia"/>
          <w:color w:val="FF0000"/>
          <w:sz w:val="32"/>
          <w:szCs w:val="32"/>
        </w:rPr>
        <w:t>医疗卫生与计划生育（类）210：支出3.21万元，占2.5</w:t>
      </w:r>
      <w:r>
        <w:rPr>
          <w:rFonts w:ascii="仿宋" w:eastAsia="仿宋" w:hAnsi="仿宋"/>
          <w:color w:val="FF0000"/>
          <w:sz w:val="32"/>
          <w:szCs w:val="32"/>
        </w:rPr>
        <w:t>%</w:t>
      </w:r>
      <w:r>
        <w:rPr>
          <w:rFonts w:ascii="仿宋" w:eastAsia="仿宋" w:hAnsi="仿宋" w:hint="eastAsia"/>
          <w:color w:val="FF0000"/>
          <w:sz w:val="32"/>
          <w:szCs w:val="32"/>
        </w:rPr>
        <w:t>；</w:t>
      </w:r>
    </w:p>
    <w:p>
      <w:pPr>
        <w:spacing w:line="600" w:lineRule="exact"/>
        <w:ind w:firstLine="640"/>
        <w:rPr>
          <w:rFonts w:ascii="仿宋" w:eastAsia="仿宋" w:hAnsi="仿宋" w:hint="eastAsia"/>
          <w:color w:val="FF0000"/>
          <w:sz w:val="32"/>
          <w:szCs w:val="32"/>
        </w:rPr>
      </w:pPr>
      <w:r>
        <w:rPr>
          <w:rFonts w:ascii="仿宋" w:eastAsia="仿宋" w:hAnsi="仿宋" w:hint="eastAsia"/>
          <w:color w:val="FF0000"/>
          <w:sz w:val="32"/>
          <w:szCs w:val="32"/>
        </w:rPr>
        <w:t>住房保障（类）221：支出4.85万元，占4</w:t>
      </w:r>
      <w:r>
        <w:rPr>
          <w:rFonts w:ascii="仿宋" w:eastAsia="仿宋" w:hAnsi="仿宋"/>
          <w:color w:val="FF0000"/>
          <w:sz w:val="32"/>
          <w:szCs w:val="32"/>
        </w:rPr>
        <w:t>%</w:t>
      </w:r>
      <w:r>
        <w:rPr>
          <w:rFonts w:ascii="仿宋" w:eastAsia="仿宋" w:hAnsi="仿宋" w:hint="eastAsia"/>
          <w:color w:val="FF0000"/>
          <w:sz w:val="32"/>
          <w:szCs w:val="32"/>
        </w:rPr>
        <w:t>。</w:t>
      </w:r>
    </w:p>
    <w:p>
      <w:pPr>
        <w:jc w:val="center"/>
        <w:rPr>
          <w:rFonts w:ascii="仿宋" w:eastAsia="仿宋" w:hAnsi="仿宋" w:hint="eastAsia"/>
          <w:color w:val="FF0000"/>
          <w:sz w:val="32"/>
          <w:szCs w:val="32"/>
        </w:rPr>
      </w:pPr>
      <w:r>
        <w:rPr>
          <w:rFonts w:ascii="仿宋" w:eastAsia="仿宋" w:hAnsi="仿宋"/>
          <w:color w:val="FF0000"/>
          <w:sz w:val="32"/>
          <w:szCs w:val="32"/>
        </w:rPr>
        <w:drawing>
          <wp:inline distT="0" distB="0" distL="0" distR="0">
            <wp:extent cx="4905374" cy="3390900"/>
            <wp:effectExtent l="0" t="0" r="0" b="0"/>
            <wp:docPr id="6" name="图表 8"/>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ind w:firstLine="640"/>
        <w:rPr>
          <w:rFonts w:ascii="仿宋" w:eastAsia="仿宋" w:hAnsi="仿宋"/>
          <w:color w:val="FF0000"/>
          <w:sz w:val="32"/>
          <w:szCs w:val="32"/>
        </w:rPr>
      </w:pPr>
    </w:p>
    <w:p>
      <w:pPr>
        <w:spacing w:line="600" w:lineRule="exact"/>
        <w:ind w:firstLineChars="200" w:firstLine="640"/>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FF0000"/>
          <w:sz w:val="32"/>
          <w:szCs w:val="32"/>
        </w:rPr>
      </w:pPr>
      <w:bookmarkStart w:id="38" w:name="_Toc15377444"/>
      <w:bookmarkStart w:id="39" w:name="_Toc15378460"/>
      <w:bookmarkStart w:id="40" w:name="_Toc15377213"/>
      <w:r>
        <w:rPr>
          <w:rFonts w:ascii="仿宋" w:eastAsia="仿宋" w:hAnsi="仿宋" w:hint="eastAsia"/>
          <w:b/>
          <w:color w:val="000000"/>
          <w:sz w:val="32"/>
          <w:szCs w:val="32"/>
        </w:rPr>
        <w:t>2018年般公共预算支出决算数为127.24</w:t>
      </w:r>
      <w:r>
        <w:rPr>
          <w:rFonts w:ascii="仿宋" w:eastAsia="仿宋" w:hAnsi="仿宋" w:hint="eastAsia"/>
          <w:color w:val="000000"/>
          <w:sz w:val="32"/>
          <w:szCs w:val="32"/>
        </w:rPr>
        <w:t>，</w:t>
      </w:r>
      <w:r>
        <w:rPr>
          <w:rStyle w:val="23"/>
          <w:rFonts w:ascii="仿宋" w:eastAsia="仿宋" w:hAnsi="仿宋" w:hint="eastAsia"/>
          <w:bCs/>
          <w:color w:val="000000"/>
          <w:sz w:val="32"/>
          <w:szCs w:val="32"/>
        </w:rPr>
        <w:t>完成预算100</w:t>
      </w:r>
      <w:r>
        <w:rPr>
          <w:rStyle w:val="23"/>
          <w:rFonts w:ascii="仿宋" w:eastAsia="仿宋" w:hAnsi="仿宋"/>
          <w:bCs/>
          <w:color w:val="000000"/>
          <w:sz w:val="32"/>
          <w:szCs w:val="32"/>
        </w:rPr>
        <w:t>%</w:t>
      </w:r>
      <w:r>
        <w:rPr>
          <w:rStyle w:val="23"/>
          <w:rFonts w:ascii="仿宋" w:eastAsia="仿宋" w:hAnsi="仿宋" w:hint="eastAsia"/>
          <w:bCs/>
          <w:color w:val="000000"/>
          <w:sz w:val="32"/>
          <w:szCs w:val="32"/>
        </w:rPr>
        <w:t>。其中：</w:t>
      </w:r>
      <w:bookmarkEnd w:id="38"/>
      <w:bookmarkEnd w:id="39"/>
      <w:bookmarkEnd w:id="40"/>
    </w:p>
    <w:p>
      <w:pPr>
        <w:spacing w:line="600" w:lineRule="exact"/>
        <w:ind w:firstLineChars="200" w:firstLine="640"/>
        <w:rPr>
          <w:rStyle w:val="23"/>
          <w:rFonts w:ascii="仿宋" w:eastAsia="仿宋" w:hAnsi="仿宋"/>
          <w:bCs/>
          <w:color w:val="auto"/>
          <w:sz w:val="32"/>
          <w:szCs w:val="32"/>
        </w:rPr>
      </w:pPr>
      <w:r>
        <w:rPr>
          <w:rStyle w:val="23"/>
          <w:rFonts w:ascii="仿宋" w:eastAsia="仿宋" w:hAnsi="仿宋"/>
          <w:bCs/>
          <w:color w:val="auto"/>
          <w:sz w:val="32"/>
          <w:szCs w:val="32"/>
        </w:rPr>
        <w:t>1.</w:t>
      </w:r>
      <w:r>
        <w:rPr>
          <w:rStyle w:val="23"/>
          <w:rFonts w:ascii="仿宋" w:eastAsia="仿宋" w:hAnsi="仿宋" w:hint="eastAsia"/>
          <w:bCs/>
          <w:color w:val="auto"/>
          <w:sz w:val="32"/>
          <w:szCs w:val="32"/>
        </w:rPr>
        <w:t>一般公共服务行政运行（类）201（款）29（项）01</w:t>
      </w:r>
      <w:r>
        <w:rPr>
          <w:rStyle w:val="23"/>
          <w:rFonts w:ascii="仿宋" w:eastAsia="仿宋" w:hAnsi="仿宋"/>
          <w:bCs/>
          <w:color w:val="auto"/>
          <w:sz w:val="32"/>
          <w:szCs w:val="32"/>
        </w:rPr>
        <w:t>:</w:t>
      </w:r>
      <w:r>
        <w:rPr>
          <w:rStyle w:val="23"/>
          <w:rFonts w:ascii="仿宋" w:eastAsia="仿宋" w:hAnsi="仿宋" w:hint="eastAsia"/>
          <w:bCs/>
          <w:color w:val="auto"/>
          <w:sz w:val="32"/>
          <w:szCs w:val="32"/>
        </w:rPr>
        <w:t xml:space="preserve"> </w:t>
      </w:r>
      <w:r>
        <w:rPr>
          <w:rStyle w:val="23"/>
          <w:rFonts w:ascii="仿宋" w:eastAsia="仿宋" w:hAnsi="仿宋" w:hint="eastAsia"/>
          <w:b w:val="0"/>
          <w:bCs/>
          <w:color w:val="auto"/>
          <w:sz w:val="32"/>
          <w:szCs w:val="32"/>
        </w:rPr>
        <w:t>支出决算为77.93万元，完成预算100</w:t>
      </w:r>
      <w:r>
        <w:rPr>
          <w:rStyle w:val="23"/>
          <w:rFonts w:ascii="仿宋" w:eastAsia="仿宋" w:hAnsi="仿宋"/>
          <w:b w:val="0"/>
          <w:bCs/>
          <w:color w:val="auto"/>
          <w:sz w:val="32"/>
          <w:szCs w:val="32"/>
        </w:rPr>
        <w:t>%</w:t>
      </w:r>
      <w:r>
        <w:rPr>
          <w:rStyle w:val="23"/>
          <w:rFonts w:ascii="仿宋" w:eastAsia="仿宋" w:hAnsi="仿宋" w:hint="eastAsia"/>
          <w:b w:val="0"/>
          <w:bCs/>
          <w:color w:val="auto"/>
          <w:sz w:val="32"/>
          <w:szCs w:val="32"/>
        </w:rPr>
        <w:t>。</w:t>
      </w:r>
      <w:r>
        <w:rPr>
          <w:rStyle w:val="23"/>
          <w:rFonts w:ascii="仿宋" w:eastAsia="仿宋" w:hAnsi="仿宋" w:hint="eastAsia"/>
          <w:bCs/>
          <w:color w:val="auto"/>
          <w:sz w:val="32"/>
          <w:szCs w:val="32"/>
        </w:rPr>
        <w:t xml:space="preserve">   </w:t>
      </w:r>
    </w:p>
    <w:p>
      <w:pPr>
        <w:spacing w:line="600" w:lineRule="exact"/>
        <w:ind w:firstLineChars="200" w:firstLine="640"/>
        <w:rPr>
          <w:rStyle w:val="23"/>
          <w:rFonts w:ascii="仿宋" w:eastAsia="仿宋" w:hAnsi="仿宋"/>
          <w:bCs/>
          <w:color w:val="auto"/>
          <w:sz w:val="32"/>
          <w:szCs w:val="32"/>
        </w:rPr>
      </w:pPr>
      <w:r>
        <w:rPr>
          <w:rStyle w:val="23"/>
          <w:rFonts w:ascii="仿宋" w:eastAsia="仿宋" w:hAnsi="仿宋" w:hint="eastAsia"/>
          <w:bCs/>
          <w:color w:val="auto"/>
          <w:sz w:val="32"/>
          <w:szCs w:val="32"/>
        </w:rPr>
        <w:t>一般行政管理服务（类）201（款）29（项）02：支出决算为26.84，完成预算数88%，决算数小于预算数的主要原因为：项目款项未付清，资金结转下年使用。</w:t>
      </w:r>
    </w:p>
    <w:p>
      <w:pPr>
        <w:spacing w:line="600" w:lineRule="exact"/>
        <w:ind w:firstLineChars="200" w:firstLine="640"/>
        <w:rPr>
          <w:rFonts w:ascii="仿宋" w:eastAsia="仿宋" w:hAnsi="仿宋"/>
          <w:b/>
          <w:color w:val="auto"/>
          <w:sz w:val="32"/>
          <w:szCs w:val="32"/>
        </w:rPr>
      </w:pPr>
      <w:r>
        <w:rPr>
          <w:rStyle w:val="23"/>
          <w:rFonts w:ascii="仿宋" w:eastAsia="仿宋" w:hAnsi="仿宋" w:hint="eastAsia"/>
          <w:bCs/>
          <w:color w:val="auto"/>
          <w:sz w:val="32"/>
          <w:szCs w:val="32"/>
        </w:rPr>
        <w:t>其他群众团体事务支出（类）201（款）29（项）99</w:t>
      </w:r>
      <w:r>
        <w:rPr>
          <w:rStyle w:val="23"/>
          <w:rFonts w:ascii="仿宋" w:eastAsia="仿宋" w:hAnsi="仿宋"/>
          <w:b w:val="0"/>
          <w:bCs/>
          <w:color w:val="auto"/>
          <w:sz w:val="32"/>
          <w:szCs w:val="32"/>
        </w:rPr>
        <w:t xml:space="preserve"> ：支出决算为</w:t>
      </w:r>
      <w:r>
        <w:rPr>
          <w:rStyle w:val="23"/>
          <w:rFonts w:ascii="仿宋" w:eastAsia="仿宋" w:hAnsi="仿宋" w:hint="eastAsia"/>
          <w:b w:val="0"/>
          <w:bCs/>
          <w:color w:val="auto"/>
          <w:sz w:val="32"/>
          <w:szCs w:val="32"/>
        </w:rPr>
        <w:t>6.16，完成预算数103%，决算数大于预算数的主要原因为：上年财返资金0.16万元。</w:t>
      </w:r>
    </w:p>
    <w:p>
      <w:pPr>
        <w:spacing w:line="600" w:lineRule="exact"/>
        <w:ind w:firstLineChars="200" w:firstLine="640"/>
        <w:rPr>
          <w:rFonts w:ascii="仿宋" w:eastAsia="仿宋" w:hAnsi="仿宋"/>
          <w:b/>
          <w:color w:val="auto"/>
          <w:sz w:val="32"/>
          <w:szCs w:val="32"/>
        </w:rPr>
      </w:pPr>
      <w:r>
        <w:rPr>
          <w:rStyle w:val="23"/>
          <w:rFonts w:ascii="仿宋" w:eastAsia="仿宋" w:hAnsi="仿宋" w:hint="eastAsia"/>
          <w:bCs/>
          <w:color w:val="auto"/>
          <w:sz w:val="32"/>
          <w:szCs w:val="32"/>
        </w:rPr>
        <w:t>2．社会保障和就业（类）208（款）05（项）05</w:t>
      </w:r>
      <w:r>
        <w:rPr>
          <w:rStyle w:val="23"/>
          <w:rFonts w:ascii="仿宋" w:eastAsia="仿宋" w:hAnsi="仿宋"/>
          <w:bCs/>
          <w:color w:val="auto"/>
          <w:sz w:val="32"/>
          <w:szCs w:val="32"/>
        </w:rPr>
        <w:t>:</w:t>
      </w:r>
      <w:r>
        <w:rPr>
          <w:rStyle w:val="23"/>
          <w:rFonts w:ascii="仿宋" w:eastAsia="仿宋" w:hAnsi="仿宋"/>
          <w:b w:val="0"/>
          <w:bCs/>
          <w:color w:val="auto"/>
          <w:sz w:val="32"/>
          <w:szCs w:val="32"/>
        </w:rPr>
        <w:t xml:space="preserve"> </w:t>
      </w:r>
      <w:r>
        <w:rPr>
          <w:rStyle w:val="23"/>
          <w:rFonts w:ascii="仿宋" w:eastAsia="仿宋" w:hAnsi="仿宋" w:hint="eastAsia"/>
          <w:b w:val="0"/>
          <w:bCs/>
          <w:color w:val="auto"/>
          <w:sz w:val="32"/>
          <w:szCs w:val="32"/>
        </w:rPr>
        <w:t>支出决算为8.24万元，完成预算100</w:t>
      </w:r>
      <w:r>
        <w:rPr>
          <w:rStyle w:val="23"/>
          <w:rFonts w:ascii="仿宋" w:eastAsia="仿宋" w:hAnsi="仿宋"/>
          <w:b w:val="0"/>
          <w:bCs/>
          <w:color w:val="auto"/>
          <w:sz w:val="32"/>
          <w:szCs w:val="32"/>
        </w:rPr>
        <w:t>%</w:t>
      </w:r>
      <w:r>
        <w:rPr>
          <w:rStyle w:val="23"/>
          <w:rFonts w:ascii="仿宋" w:eastAsia="仿宋" w:hAnsi="仿宋" w:hint="eastAsia"/>
          <w:b w:val="0"/>
          <w:bCs/>
          <w:color w:val="auto"/>
          <w:sz w:val="32"/>
          <w:szCs w:val="32"/>
        </w:rPr>
        <w:t>。</w:t>
      </w:r>
    </w:p>
    <w:p>
      <w:pPr>
        <w:spacing w:line="600" w:lineRule="exact"/>
        <w:ind w:firstLineChars="200" w:firstLine="640"/>
        <w:rPr>
          <w:rFonts w:ascii="仿宋" w:eastAsia="仿宋" w:hAnsi="仿宋"/>
          <w:b/>
          <w:color w:val="auto"/>
          <w:sz w:val="32"/>
          <w:szCs w:val="32"/>
        </w:rPr>
      </w:pPr>
      <w:r>
        <w:rPr>
          <w:rStyle w:val="23"/>
          <w:rFonts w:ascii="仿宋" w:eastAsia="仿宋" w:hAnsi="仿宋" w:hint="eastAsia"/>
          <w:bCs/>
          <w:color w:val="auto"/>
          <w:sz w:val="32"/>
          <w:szCs w:val="32"/>
        </w:rPr>
        <w:t>3</w:t>
      </w:r>
      <w:r>
        <w:rPr>
          <w:rStyle w:val="23"/>
          <w:rFonts w:ascii="仿宋" w:eastAsia="仿宋" w:hAnsi="仿宋"/>
          <w:bCs/>
          <w:color w:val="auto"/>
          <w:sz w:val="32"/>
          <w:szCs w:val="32"/>
        </w:rPr>
        <w:t>.</w:t>
      </w:r>
      <w:r>
        <w:rPr>
          <w:rStyle w:val="23"/>
          <w:rFonts w:ascii="仿宋" w:eastAsia="仿宋" w:hAnsi="仿宋" w:hint="eastAsia"/>
          <w:bCs/>
          <w:color w:val="auto"/>
          <w:sz w:val="32"/>
          <w:szCs w:val="32"/>
        </w:rPr>
        <w:t>医疗卫生与计划生育（类）210（款）11（项）01</w:t>
      </w:r>
      <w:r>
        <w:rPr>
          <w:rStyle w:val="23"/>
          <w:rFonts w:ascii="仿宋" w:eastAsia="仿宋" w:hAnsi="仿宋"/>
          <w:bCs/>
          <w:color w:val="auto"/>
          <w:sz w:val="32"/>
          <w:szCs w:val="32"/>
        </w:rPr>
        <w:t>:</w:t>
      </w:r>
      <w:r>
        <w:rPr>
          <w:rStyle w:val="23"/>
          <w:rFonts w:ascii="仿宋" w:eastAsia="仿宋" w:hAnsi="仿宋" w:hint="eastAsia"/>
          <w:b w:val="0"/>
          <w:bCs/>
          <w:color w:val="auto"/>
          <w:sz w:val="32"/>
          <w:szCs w:val="32"/>
        </w:rPr>
        <w:t>支出决算为3.21万元，完成预算100</w:t>
      </w:r>
      <w:r>
        <w:rPr>
          <w:rStyle w:val="23"/>
          <w:rFonts w:ascii="仿宋" w:eastAsia="仿宋" w:hAnsi="仿宋"/>
          <w:b w:val="0"/>
          <w:bCs/>
          <w:color w:val="auto"/>
          <w:sz w:val="32"/>
          <w:szCs w:val="32"/>
        </w:rPr>
        <w:t>%</w:t>
      </w:r>
      <w:r>
        <w:rPr>
          <w:rStyle w:val="23"/>
          <w:rFonts w:ascii="仿宋" w:eastAsia="仿宋" w:hAnsi="仿宋" w:hint="eastAsia"/>
          <w:b w:val="0"/>
          <w:bCs/>
          <w:color w:val="auto"/>
          <w:sz w:val="32"/>
          <w:szCs w:val="32"/>
        </w:rPr>
        <w:t>。</w:t>
      </w:r>
    </w:p>
    <w:p>
      <w:pPr>
        <w:spacing w:line="600" w:lineRule="exact"/>
        <w:rPr>
          <w:rFonts w:ascii="仿宋" w:eastAsia="仿宋" w:hAnsi="仿宋"/>
          <w:color w:val="auto"/>
          <w:sz w:val="32"/>
          <w:szCs w:val="32"/>
        </w:rPr>
      </w:pPr>
      <w:r>
        <w:rPr>
          <w:rFonts w:ascii="仿宋" w:eastAsia="仿宋" w:hAnsi="仿宋" w:hint="eastAsia"/>
          <w:color w:val="auto"/>
          <w:sz w:val="32"/>
          <w:szCs w:val="32"/>
        </w:rPr>
        <w:t xml:space="preserve">    4.住房保障（类）221（款）02（项）01：支出决算为4.85，完成预算100%。</w:t>
      </w:r>
    </w:p>
    <w:p>
      <w:pPr>
        <w:tabs>
          <w:tab w:val="right" w:pos="8306"/>
        </w:tabs>
        <w:spacing w:line="600" w:lineRule="exact"/>
        <w:ind w:firstLine="640"/>
        <w:outlineLvl w:val="1"/>
        <w:rPr>
          <w:rStyle w:val="2Char"/>
          <w:color w:val="auto"/>
        </w:rPr>
      </w:pPr>
      <w:bookmarkStart w:id="41" w:name="_Toc15396608"/>
      <w:bookmarkStart w:id="42" w:name="_Toc15377214"/>
      <w:r>
        <w:rPr>
          <w:rFonts w:ascii="黑体" w:eastAsia="黑体" w:hint="eastAsia"/>
          <w:color w:val="auto"/>
          <w:sz w:val="32"/>
          <w:szCs w:val="32"/>
        </w:rPr>
        <w:t>六</w:t>
      </w:r>
      <w:r>
        <w:rPr>
          <w:rFonts w:ascii="黑体" w:eastAsia="黑体" w:hint="eastAsia"/>
          <w:b/>
          <w:color w:val="auto"/>
          <w:sz w:val="32"/>
          <w:szCs w:val="32"/>
        </w:rPr>
        <w:t>、</w:t>
      </w:r>
      <w:r>
        <w:rPr>
          <w:rFonts w:ascii="黑体" w:eastAsia="黑体" w:hAnsi="黑体" w:hint="eastAsia"/>
          <w:b/>
          <w:color w:val="auto"/>
          <w:sz w:val="32"/>
          <w:szCs w:val="32"/>
        </w:rPr>
        <w:t>一</w:t>
      </w:r>
      <w:r>
        <w:rPr>
          <w:rStyle w:val="2Char"/>
          <w:rFonts w:ascii="黑体" w:eastAsia="黑体" w:hAnsi="黑体" w:hint="eastAsia"/>
          <w:b w:val="0"/>
          <w:color w:val="auto"/>
        </w:rPr>
        <w:t>般公共预算财政拨款基本支出决算情况说明</w:t>
      </w:r>
      <w:bookmarkEnd w:id="41"/>
      <w:bookmarkEnd w:id="42"/>
      <w:r>
        <w:rPr>
          <w:rStyle w:val="2Char"/>
          <w:rFonts w:ascii="黑体" w:eastAsia="黑体" w:hAnsi="黑体"/>
          <w:b w:val="0"/>
          <w:color w:val="auto"/>
        </w:rPr>
        <w:tab/>
      </w:r>
    </w:p>
    <w:p>
      <w:pPr>
        <w:spacing w:line="600" w:lineRule="exact"/>
        <w:ind w:firstLine="645"/>
        <w:rPr>
          <w:rFonts w:ascii="仿宋" w:eastAsia="仿宋" w:hAnsi="仿宋"/>
          <w:color w:val="auto"/>
          <w:sz w:val="32"/>
          <w:szCs w:val="32"/>
        </w:rPr>
      </w:pPr>
      <w:r>
        <w:rPr>
          <w:rFonts w:ascii="仿宋" w:eastAsia="仿宋" w:hAnsi="仿宋"/>
          <w:color w:val="auto"/>
          <w:sz w:val="32"/>
          <w:szCs w:val="32"/>
        </w:rPr>
        <w:t>201</w:t>
      </w:r>
      <w:r>
        <w:rPr>
          <w:rFonts w:ascii="仿宋" w:eastAsia="仿宋" w:hAnsi="仿宋" w:hint="eastAsia"/>
          <w:color w:val="auto"/>
          <w:sz w:val="32"/>
          <w:szCs w:val="32"/>
        </w:rPr>
        <w:t>8年一般公共预算财政拨款基本支出77.93万元，其中：</w:t>
      </w:r>
    </w:p>
    <w:p>
      <w:pPr>
        <w:spacing w:line="600" w:lineRule="exact"/>
        <w:ind w:firstLine="645"/>
        <w:rPr>
          <w:rFonts w:ascii="仿宋" w:eastAsia="仿宋" w:hAnsi="仿宋"/>
          <w:color w:val="auto"/>
          <w:sz w:val="32"/>
          <w:szCs w:val="32"/>
        </w:rPr>
      </w:pPr>
      <w:r>
        <w:rPr>
          <w:rFonts w:ascii="仿宋" w:eastAsia="仿宋" w:hAnsi="仿宋" w:hint="eastAsia"/>
          <w:color w:val="auto"/>
          <w:sz w:val="32"/>
          <w:szCs w:val="32"/>
        </w:rPr>
        <w:t>人员经费69.51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auto"/>
          <w:sz w:val="32"/>
          <w:szCs w:val="32"/>
        </w:rPr>
        <w:br/>
      </w:r>
      <w:r>
        <w:rPr>
          <w:rFonts w:ascii="仿宋" w:eastAsia="仿宋" w:hAnsi="仿宋" w:hint="eastAsia"/>
          <w:color w:val="auto"/>
          <w:sz w:val="32"/>
          <w:szCs w:val="32"/>
        </w:rPr>
        <w:t>　　公用经费8.08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color w:val="auto"/>
        </w:rPr>
      </w:pPr>
      <w:bookmarkStart w:id="43" w:name="_Toc15377215"/>
      <w:bookmarkStart w:id="44" w:name="_Toc15396609"/>
      <w:r>
        <w:rPr>
          <w:rFonts w:ascii="黑体" w:eastAsia="黑体" w:hint="eastAsia"/>
          <w:color w:val="auto"/>
          <w:sz w:val="32"/>
          <w:szCs w:val="32"/>
        </w:rPr>
        <w:t>七、</w:t>
      </w:r>
      <w:r>
        <w:rPr>
          <w:rStyle w:val="2Char"/>
          <w:rFonts w:ascii="黑体" w:eastAsia="黑体" w:hAnsi="黑体" w:hint="eastAsia"/>
          <w:color w:val="auto"/>
        </w:rPr>
        <w:t>“</w:t>
      </w:r>
      <w:r>
        <w:rPr>
          <w:rStyle w:val="2Char"/>
          <w:rFonts w:ascii="黑体" w:eastAsia="黑体" w:hAnsi="黑体" w:hint="eastAsia"/>
          <w:b w:val="0"/>
          <w:color w:val="auto"/>
        </w:rPr>
        <w:t>三公”经费财政拨款支出决算情况说明</w:t>
      </w:r>
      <w:bookmarkEnd w:id="43"/>
      <w:bookmarkEnd w:id="44"/>
    </w:p>
    <w:p>
      <w:pPr>
        <w:spacing w:line="600" w:lineRule="exact"/>
        <w:ind w:firstLine="640"/>
        <w:outlineLvl w:val="2"/>
        <w:rPr>
          <w:rFonts w:ascii="仿宋" w:eastAsia="仿宋" w:hAnsi="仿宋"/>
          <w:b/>
          <w:color w:val="auto"/>
          <w:sz w:val="32"/>
          <w:szCs w:val="32"/>
        </w:rPr>
      </w:pPr>
      <w:bookmarkStart w:id="45" w:name="_Toc15377216"/>
      <w:r>
        <w:rPr>
          <w:rFonts w:ascii="仿宋" w:eastAsia="仿宋" w:hAnsi="仿宋" w:hint="eastAsia"/>
          <w:b/>
          <w:color w:val="auto"/>
          <w:sz w:val="32"/>
          <w:szCs w:val="32"/>
        </w:rPr>
        <w:t>（一）“三公”经费财政拨款支出决算总体情况说明</w:t>
      </w:r>
      <w:bookmarkEnd w:id="45"/>
    </w:p>
    <w:p>
      <w:pPr>
        <w:spacing w:line="600" w:lineRule="exact"/>
        <w:ind w:firstLine="640"/>
        <w:rPr>
          <w:rFonts w:ascii="仿宋" w:eastAsia="仿宋" w:hAnsi="仿宋"/>
          <w:color w:val="auto"/>
          <w:sz w:val="32"/>
          <w:szCs w:val="32"/>
        </w:rPr>
      </w:pPr>
      <w:r>
        <w:rPr>
          <w:rFonts w:ascii="仿宋" w:eastAsia="仿宋" w:hAnsi="仿宋"/>
          <w:color w:val="auto"/>
          <w:sz w:val="32"/>
          <w:szCs w:val="32"/>
        </w:rPr>
        <w:t>201</w:t>
      </w:r>
      <w:r>
        <w:rPr>
          <w:rFonts w:ascii="仿宋" w:eastAsia="仿宋" w:hAnsi="仿宋" w:hint="eastAsia"/>
          <w:color w:val="auto"/>
          <w:sz w:val="32"/>
          <w:szCs w:val="32"/>
        </w:rPr>
        <w:t>8年“三公”经费财政拨款支出决算为0.51万元，完成预算100</w:t>
      </w:r>
      <w:r>
        <w:rPr>
          <w:rFonts w:ascii="仿宋" w:eastAsia="仿宋" w:hAnsi="仿宋"/>
          <w:color w:val="auto"/>
          <w:sz w:val="32"/>
          <w:szCs w:val="32"/>
        </w:rPr>
        <w:t>%</w:t>
      </w:r>
      <w:r>
        <w:rPr>
          <w:rFonts w:ascii="仿宋" w:eastAsia="仿宋" w:hAnsi="仿宋" w:hint="eastAsia"/>
          <w:color w:val="auto"/>
          <w:sz w:val="32"/>
          <w:szCs w:val="32"/>
        </w:rPr>
        <w:t>。</w:t>
      </w:r>
    </w:p>
    <w:p>
      <w:pPr>
        <w:spacing w:line="600" w:lineRule="exact"/>
        <w:ind w:firstLine="640"/>
        <w:outlineLvl w:val="2"/>
        <w:rPr>
          <w:rFonts w:ascii="仿宋" w:eastAsia="仿宋" w:hAnsi="仿宋"/>
          <w:b/>
          <w:color w:val="auto"/>
          <w:sz w:val="32"/>
          <w:szCs w:val="32"/>
        </w:rPr>
      </w:pPr>
      <w:bookmarkStart w:id="46" w:name="_Toc15377217"/>
      <w:r>
        <w:rPr>
          <w:rFonts w:ascii="仿宋" w:eastAsia="仿宋" w:hAnsi="仿宋" w:hint="eastAsia"/>
          <w:b/>
          <w:color w:val="auto"/>
          <w:sz w:val="32"/>
          <w:szCs w:val="32"/>
        </w:rPr>
        <w:t>（二）“三公”经费财政拨款支出决算具体情况说明</w:t>
      </w:r>
      <w:bookmarkEnd w:id="46"/>
    </w:p>
    <w:p>
      <w:pPr>
        <w:spacing w:line="600" w:lineRule="exact"/>
        <w:ind w:firstLine="640"/>
        <w:rPr>
          <w:rFonts w:ascii="仿宋" w:eastAsia="仿宋" w:hAnsi="仿宋" w:hint="eastAsia"/>
          <w:color w:val="auto"/>
          <w:sz w:val="32"/>
          <w:szCs w:val="32"/>
        </w:rPr>
      </w:pPr>
      <w:r>
        <w:rPr>
          <w:rFonts w:ascii="仿宋" w:eastAsia="仿宋" w:hAnsi="仿宋"/>
          <w:color w:val="auto"/>
          <w:sz w:val="32"/>
          <w:szCs w:val="32"/>
        </w:rPr>
        <w:t>201</w:t>
      </w:r>
      <w:r>
        <w:rPr>
          <w:rFonts w:ascii="仿宋" w:eastAsia="仿宋" w:hAnsi="仿宋" w:hint="eastAsia"/>
          <w:color w:val="auto"/>
          <w:sz w:val="32"/>
          <w:szCs w:val="32"/>
        </w:rPr>
        <w:t>8年“三公”经费财政拨款支出决算中，因公出国（境）费支出决算0万元，占0</w:t>
      </w:r>
      <w:r>
        <w:rPr>
          <w:rFonts w:ascii="仿宋" w:eastAsia="仿宋" w:hAnsi="仿宋"/>
          <w:color w:val="auto"/>
          <w:sz w:val="32"/>
          <w:szCs w:val="32"/>
        </w:rPr>
        <w:t>%</w:t>
      </w:r>
      <w:r>
        <w:rPr>
          <w:rFonts w:ascii="仿宋" w:eastAsia="仿宋" w:hAnsi="仿宋" w:hint="eastAsia"/>
          <w:color w:val="auto"/>
          <w:sz w:val="32"/>
          <w:szCs w:val="32"/>
        </w:rPr>
        <w:t>；公务用车购置及运行维护费支出决算0万元，占0</w:t>
      </w:r>
      <w:r>
        <w:rPr>
          <w:rFonts w:ascii="仿宋" w:eastAsia="仿宋" w:hAnsi="仿宋"/>
          <w:color w:val="auto"/>
          <w:sz w:val="32"/>
          <w:szCs w:val="32"/>
        </w:rPr>
        <w:t>%</w:t>
      </w:r>
      <w:r>
        <w:rPr>
          <w:rFonts w:ascii="仿宋" w:eastAsia="仿宋" w:hAnsi="仿宋" w:hint="eastAsia"/>
          <w:color w:val="auto"/>
          <w:sz w:val="32"/>
          <w:szCs w:val="32"/>
        </w:rPr>
        <w:t>；公务接待费支出决算0.51万元，占100</w:t>
      </w:r>
      <w:r>
        <w:rPr>
          <w:rFonts w:ascii="仿宋" w:eastAsia="仿宋" w:hAnsi="仿宋"/>
          <w:color w:val="auto"/>
          <w:sz w:val="32"/>
          <w:szCs w:val="32"/>
        </w:rPr>
        <w:t>%</w:t>
      </w:r>
      <w:r>
        <w:rPr>
          <w:rFonts w:ascii="仿宋" w:eastAsia="仿宋" w:hAnsi="仿宋" w:hint="eastAsia"/>
          <w:color w:val="auto"/>
          <w:sz w:val="32"/>
          <w:szCs w:val="32"/>
        </w:rPr>
        <w:t>。具体情况如下：</w:t>
      </w:r>
    </w:p>
    <w:p>
      <w:pPr>
        <w:rPr>
          <w:rFonts w:ascii="仿宋" w:eastAsia="仿宋" w:hAnsi="仿宋" w:hint="eastAsia"/>
          <w:color w:val="auto"/>
          <w:sz w:val="32"/>
          <w:szCs w:val="32"/>
        </w:rPr>
      </w:pPr>
      <w:r>
        <w:rPr>
          <w:rFonts w:ascii="仿宋" w:eastAsia="仿宋" w:hAnsi="仿宋"/>
          <w:color w:val="auto"/>
          <w:sz w:val="32"/>
          <w:szCs w:val="32"/>
        </w:rPr>
        <w:drawing>
          <wp:inline distT="0" distB="0" distL="0" distR="0">
            <wp:extent cx="4572000" cy="2743200"/>
            <wp:effectExtent l="0" t="0" r="0" b="0"/>
            <wp:docPr id="7" name="图表 9"/>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600" w:lineRule="exact"/>
        <w:ind w:firstLine="640"/>
        <w:rPr>
          <w:rFonts w:ascii="仿宋" w:eastAsia="仿宋" w:hAnsi="仿宋"/>
          <w:color w:val="auto"/>
          <w:sz w:val="32"/>
          <w:szCs w:val="32"/>
        </w:rPr>
      </w:pP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ascii="仿宋_GB2312" w:eastAsia="仿宋_GB2312" w:hint="eastAsia"/>
          <w:b/>
          <w:color w:val="auto"/>
          <w:sz w:val="32"/>
          <w:szCs w:val="32"/>
        </w:rPr>
        <w:t>因公出国（境）经费支出</w:t>
      </w:r>
      <w:r>
        <w:rPr>
          <w:rFonts w:ascii="仿宋_GB2312" w:eastAsia="仿宋_GB2312" w:hint="eastAsia"/>
          <w:color w:val="auto"/>
          <w:sz w:val="32"/>
          <w:szCs w:val="32"/>
        </w:rPr>
        <w:t>0万元，</w:t>
      </w:r>
      <w:r>
        <w:rPr>
          <w:rStyle w:val="23"/>
          <w:rFonts w:ascii="仿宋" w:eastAsia="仿宋" w:hAnsi="仿宋" w:hint="eastAsia"/>
          <w:b w:val="0"/>
          <w:bCs/>
          <w:color w:val="auto"/>
          <w:sz w:val="32"/>
          <w:szCs w:val="32"/>
        </w:rPr>
        <w:t>完成预算0</w:t>
      </w:r>
      <w:r>
        <w:rPr>
          <w:rStyle w:val="23"/>
          <w:rFonts w:ascii="仿宋" w:eastAsia="仿宋" w:hAnsi="仿宋"/>
          <w:b w:val="0"/>
          <w:bCs/>
          <w:color w:val="auto"/>
          <w:sz w:val="32"/>
          <w:szCs w:val="32"/>
        </w:rPr>
        <w:t>%</w:t>
      </w:r>
      <w:r>
        <w:rPr>
          <w:rStyle w:val="23"/>
          <w:rFonts w:ascii="仿宋" w:eastAsia="仿宋" w:hAnsi="仿宋" w:hint="eastAsia"/>
          <w:b w:val="0"/>
          <w:bCs/>
          <w:color w:val="auto"/>
          <w:sz w:val="32"/>
          <w:szCs w:val="32"/>
        </w:rPr>
        <w:t>。</w:t>
      </w:r>
      <w:r>
        <w:rPr>
          <w:rFonts w:ascii="仿宋_GB2312" w:eastAsia="仿宋_GB2312" w:hint="eastAsia"/>
          <w:color w:val="auto"/>
          <w:sz w:val="32"/>
          <w:szCs w:val="32"/>
        </w:rPr>
        <w:t>全年安排因公出国（境）团组0次，出国（境）0人。因公出国（境）支出决算比</w:t>
      </w:r>
      <w:r>
        <w:rPr>
          <w:rFonts w:ascii="仿宋_GB2312" w:eastAsia="仿宋_GB2312"/>
          <w:color w:val="auto"/>
          <w:sz w:val="32"/>
          <w:szCs w:val="32"/>
        </w:rPr>
        <w:t>201</w:t>
      </w:r>
      <w:r>
        <w:rPr>
          <w:rFonts w:ascii="仿宋_GB2312" w:eastAsia="仿宋_GB2312" w:hint="eastAsia"/>
          <w:color w:val="auto"/>
          <w:sz w:val="32"/>
          <w:szCs w:val="32"/>
        </w:rPr>
        <w:t>7年增加</w:t>
      </w:r>
      <w:r>
        <w:rPr>
          <w:rFonts w:ascii="仿宋_GB2312" w:eastAsia="仿宋_GB2312"/>
          <w:color w:val="auto"/>
          <w:sz w:val="32"/>
          <w:szCs w:val="32"/>
        </w:rPr>
        <w:t>/</w:t>
      </w:r>
      <w:r>
        <w:rPr>
          <w:rFonts w:ascii="仿宋_GB2312" w:eastAsia="仿宋_GB2312" w:hint="eastAsia"/>
          <w:color w:val="auto"/>
          <w:sz w:val="32"/>
          <w:szCs w:val="32"/>
        </w:rPr>
        <w:t>减少0万元，增长</w:t>
      </w:r>
      <w:r>
        <w:rPr>
          <w:rFonts w:ascii="仿宋_GB2312" w:eastAsia="仿宋_GB2312"/>
          <w:color w:val="auto"/>
          <w:sz w:val="32"/>
          <w:szCs w:val="32"/>
        </w:rPr>
        <w:t>/</w:t>
      </w:r>
      <w:r>
        <w:rPr>
          <w:rFonts w:ascii="仿宋_GB2312" w:eastAsia="仿宋_GB2312" w:hint="eastAsia"/>
          <w:color w:val="auto"/>
          <w:sz w:val="32"/>
          <w:szCs w:val="32"/>
        </w:rPr>
        <w:t>下降0</w:t>
      </w:r>
      <w:r>
        <w:rPr>
          <w:rFonts w:ascii="仿宋_GB2312" w:eastAsia="仿宋_GB2312"/>
          <w:color w:val="auto"/>
          <w:sz w:val="32"/>
          <w:szCs w:val="32"/>
        </w:rPr>
        <w:t>%</w:t>
      </w:r>
      <w:r>
        <w:rPr>
          <w:rFonts w:ascii="仿宋_GB2312" w:eastAsia="仿宋_GB2312" w:hint="eastAsia"/>
          <w:color w:val="auto"/>
          <w:sz w:val="32"/>
          <w:szCs w:val="32"/>
        </w:rPr>
        <w:t>。</w:t>
      </w:r>
    </w:p>
    <w:p>
      <w:pPr>
        <w:spacing w:line="600" w:lineRule="exact"/>
        <w:ind w:firstLine="640"/>
        <w:rPr>
          <w:rFonts w:ascii="仿宋_GB2312" w:eastAsia="仿宋_GB2312"/>
          <w:color w:val="auto"/>
          <w:sz w:val="32"/>
          <w:szCs w:val="32"/>
        </w:rPr>
      </w:pPr>
      <w:r>
        <w:rPr>
          <w:rFonts w:ascii="仿宋_GB2312" w:eastAsia="仿宋_GB2312" w:hint="eastAsia"/>
          <w:color w:val="auto"/>
          <w:sz w:val="32"/>
          <w:szCs w:val="32"/>
        </w:rPr>
        <w:t>开支内容包括：无（团组名称、出访地点、取得成效）等。</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ascii="仿宋_GB2312" w:eastAsia="仿宋_GB2312" w:hint="eastAsia"/>
          <w:b/>
          <w:color w:val="auto"/>
          <w:sz w:val="32"/>
          <w:szCs w:val="32"/>
        </w:rPr>
        <w:t>公务用车购置及运行维护费支出</w:t>
      </w:r>
      <w:r>
        <w:rPr>
          <w:rFonts w:ascii="仿宋_GB2312" w:eastAsia="仿宋_GB2312" w:hint="eastAsia"/>
          <w:color w:val="auto"/>
          <w:sz w:val="32"/>
          <w:szCs w:val="32"/>
        </w:rPr>
        <w:t>0万元,</w:t>
      </w:r>
      <w:r>
        <w:rPr>
          <w:rStyle w:val="23"/>
          <w:rFonts w:ascii="仿宋" w:eastAsia="仿宋" w:hAnsi="仿宋" w:hint="eastAsia"/>
          <w:b w:val="0"/>
          <w:bCs/>
          <w:color w:val="auto"/>
          <w:sz w:val="32"/>
          <w:szCs w:val="32"/>
        </w:rPr>
        <w:t>完成预算0</w:t>
      </w:r>
      <w:r>
        <w:rPr>
          <w:rStyle w:val="23"/>
          <w:rFonts w:ascii="仿宋" w:eastAsia="仿宋" w:hAnsi="仿宋"/>
          <w:b w:val="0"/>
          <w:bCs/>
          <w:color w:val="auto"/>
          <w:sz w:val="32"/>
          <w:szCs w:val="32"/>
        </w:rPr>
        <w:t>%</w:t>
      </w:r>
      <w:r>
        <w:rPr>
          <w:rStyle w:val="23"/>
          <w:rFonts w:ascii="仿宋" w:eastAsia="仿宋" w:hAnsi="仿宋" w:hint="eastAsia"/>
          <w:b w:val="0"/>
          <w:bCs/>
          <w:color w:val="auto"/>
          <w:sz w:val="32"/>
          <w:szCs w:val="32"/>
        </w:rPr>
        <w:t>。</w:t>
      </w:r>
      <w:r>
        <w:rPr>
          <w:rFonts w:ascii="仿宋_GB2312" w:eastAsia="仿宋_GB2312" w:hint="eastAsia"/>
          <w:color w:val="auto"/>
          <w:sz w:val="32"/>
          <w:szCs w:val="32"/>
        </w:rPr>
        <w:t>公务用车购置及运行维护费支出决算比</w:t>
      </w:r>
      <w:r>
        <w:rPr>
          <w:rFonts w:ascii="仿宋_GB2312" w:eastAsia="仿宋_GB2312"/>
          <w:color w:val="auto"/>
          <w:sz w:val="32"/>
          <w:szCs w:val="32"/>
        </w:rPr>
        <w:t>201</w:t>
      </w:r>
      <w:r>
        <w:rPr>
          <w:rFonts w:ascii="仿宋_GB2312" w:eastAsia="仿宋_GB2312" w:hint="eastAsia"/>
          <w:color w:val="auto"/>
          <w:sz w:val="32"/>
          <w:szCs w:val="32"/>
        </w:rPr>
        <w:t>7年增加</w:t>
      </w:r>
      <w:r>
        <w:rPr>
          <w:rFonts w:ascii="仿宋_GB2312" w:eastAsia="仿宋_GB2312"/>
          <w:color w:val="auto"/>
          <w:sz w:val="32"/>
          <w:szCs w:val="32"/>
        </w:rPr>
        <w:t>/</w:t>
      </w:r>
      <w:r>
        <w:rPr>
          <w:rFonts w:ascii="仿宋_GB2312" w:eastAsia="仿宋_GB2312" w:hint="eastAsia"/>
          <w:color w:val="auto"/>
          <w:sz w:val="32"/>
          <w:szCs w:val="32"/>
        </w:rPr>
        <w:t>减少0万元，增长</w:t>
      </w:r>
      <w:r>
        <w:rPr>
          <w:rFonts w:ascii="仿宋_GB2312" w:eastAsia="仿宋_GB2312"/>
          <w:color w:val="auto"/>
          <w:sz w:val="32"/>
          <w:szCs w:val="32"/>
        </w:rPr>
        <w:t>/</w:t>
      </w:r>
      <w:r>
        <w:rPr>
          <w:rFonts w:ascii="仿宋_GB2312" w:eastAsia="仿宋_GB2312" w:hint="eastAsia"/>
          <w:color w:val="auto"/>
          <w:sz w:val="32"/>
          <w:szCs w:val="32"/>
        </w:rPr>
        <w:t>下降0</w:t>
      </w:r>
      <w:r>
        <w:rPr>
          <w:rFonts w:ascii="仿宋_GB2312" w:eastAsia="仿宋_GB2312"/>
          <w:color w:val="auto"/>
          <w:sz w:val="32"/>
          <w:szCs w:val="32"/>
        </w:rPr>
        <w:t>%</w:t>
      </w:r>
      <w:r>
        <w:rPr>
          <w:rFonts w:ascii="仿宋_GB2312" w:eastAsia="仿宋_GB2312" w:hint="eastAsia"/>
          <w:color w:val="auto"/>
          <w:sz w:val="32"/>
          <w:szCs w:val="32"/>
        </w:rPr>
        <w:t>。</w:t>
      </w:r>
    </w:p>
    <w:p>
      <w:pPr>
        <w:spacing w:line="600" w:lineRule="exact"/>
        <w:ind w:firstLineChars="200" w:firstLine="640"/>
        <w:rPr>
          <w:rFonts w:ascii="仿宋_GB2312" w:eastAsia="仿宋_GB2312"/>
          <w:b/>
          <w:color w:val="auto"/>
          <w:sz w:val="32"/>
          <w:szCs w:val="32"/>
        </w:rPr>
      </w:pPr>
      <w:r>
        <w:rPr>
          <w:rFonts w:ascii="仿宋_GB2312" w:eastAsia="仿宋_GB2312" w:hint="eastAsia"/>
          <w:color w:val="auto"/>
          <w:sz w:val="32"/>
          <w:szCs w:val="32"/>
        </w:rPr>
        <w:t>其中：</w:t>
      </w:r>
      <w:r>
        <w:rPr>
          <w:rFonts w:ascii="仿宋_GB2312" w:eastAsia="仿宋_GB2312" w:hint="eastAsia"/>
          <w:b/>
          <w:color w:val="auto"/>
          <w:sz w:val="32"/>
          <w:szCs w:val="32"/>
        </w:rPr>
        <w:t>公务用车购置支出</w:t>
      </w:r>
      <w:r>
        <w:rPr>
          <w:rFonts w:ascii="仿宋_GB2312" w:eastAsia="仿宋_GB2312" w:hint="eastAsia"/>
          <w:color w:val="auto"/>
          <w:sz w:val="32"/>
          <w:szCs w:val="32"/>
        </w:rPr>
        <w:t>0万元。全年按规定更新购置公务用车0辆，其中：轿车0辆、金额0万元，越野车0辆、金额0万元，载客汽车0辆、金额0万元，主要用于无。截至</w:t>
      </w:r>
      <w:r>
        <w:rPr>
          <w:rFonts w:ascii="仿宋_GB2312" w:eastAsia="仿宋_GB2312"/>
          <w:color w:val="auto"/>
          <w:sz w:val="32"/>
          <w:szCs w:val="32"/>
        </w:rPr>
        <w:t>201</w:t>
      </w:r>
      <w:r>
        <w:rPr>
          <w:rFonts w:ascii="仿宋_GB2312" w:eastAsia="仿宋_GB2312" w:hint="eastAsia"/>
          <w:color w:val="auto"/>
          <w:sz w:val="32"/>
          <w:szCs w:val="32"/>
        </w:rPr>
        <w:t>8年</w:t>
      </w:r>
      <w:r>
        <w:rPr>
          <w:rFonts w:ascii="仿宋_GB2312" w:eastAsia="仿宋_GB2312"/>
          <w:color w:val="auto"/>
          <w:sz w:val="32"/>
          <w:szCs w:val="32"/>
        </w:rPr>
        <w:t>12</w:t>
      </w:r>
      <w:r>
        <w:rPr>
          <w:rFonts w:ascii="仿宋_GB2312" w:eastAsia="仿宋_GB2312" w:hint="eastAsia"/>
          <w:color w:val="auto"/>
          <w:sz w:val="32"/>
          <w:szCs w:val="32"/>
        </w:rPr>
        <w:t>月底，单位共有公务用车0辆，其中：轿车0辆、越野车0辆、载客汽车0辆。</w:t>
      </w:r>
    </w:p>
    <w:p>
      <w:pPr>
        <w:spacing w:line="600" w:lineRule="exact"/>
        <w:ind w:firstLine="640"/>
        <w:rPr>
          <w:rFonts w:ascii="仿宋_GB2312" w:eastAsia="仿宋_GB2312"/>
          <w:color w:val="auto"/>
          <w:sz w:val="32"/>
          <w:szCs w:val="32"/>
        </w:rPr>
      </w:pPr>
      <w:r>
        <w:rPr>
          <w:rFonts w:ascii="仿宋_GB2312" w:eastAsia="仿宋_GB2312" w:hint="eastAsia"/>
          <w:b/>
          <w:color w:val="auto"/>
          <w:sz w:val="32"/>
          <w:szCs w:val="32"/>
        </w:rPr>
        <w:t>公务用车运行维护费支出</w:t>
      </w:r>
      <w:r>
        <w:rPr>
          <w:rFonts w:ascii="仿宋_GB2312" w:eastAsia="仿宋_GB2312" w:hint="eastAsia"/>
          <w:color w:val="auto"/>
          <w:sz w:val="32"/>
          <w:szCs w:val="32"/>
        </w:rPr>
        <w:t>0万元。主要用于无所需的公务用车燃料费、维修费、过路过桥费、保险费等支出。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ascii="仿宋_GB2312" w:eastAsia="仿宋_GB2312" w:hint="eastAsia"/>
          <w:b/>
          <w:color w:val="auto"/>
          <w:sz w:val="32"/>
          <w:szCs w:val="32"/>
        </w:rPr>
        <w:t>公务接待费支出</w:t>
      </w:r>
      <w:r>
        <w:rPr>
          <w:rFonts w:ascii="仿宋_GB2312" w:eastAsia="仿宋_GB2312" w:hint="eastAsia"/>
          <w:color w:val="auto"/>
          <w:sz w:val="32"/>
          <w:szCs w:val="32"/>
        </w:rPr>
        <w:t>0.51万元，</w:t>
      </w:r>
      <w:r>
        <w:rPr>
          <w:rStyle w:val="23"/>
          <w:rFonts w:ascii="仿宋" w:eastAsia="仿宋" w:hAnsi="仿宋" w:hint="eastAsia"/>
          <w:b w:val="0"/>
          <w:bCs/>
          <w:color w:val="auto"/>
          <w:sz w:val="32"/>
          <w:szCs w:val="32"/>
        </w:rPr>
        <w:t>完成预算100</w:t>
      </w:r>
      <w:r>
        <w:rPr>
          <w:rStyle w:val="23"/>
          <w:rFonts w:ascii="仿宋" w:eastAsia="仿宋" w:hAnsi="仿宋"/>
          <w:b w:val="0"/>
          <w:bCs/>
          <w:color w:val="auto"/>
          <w:sz w:val="32"/>
          <w:szCs w:val="32"/>
        </w:rPr>
        <w:t>%</w:t>
      </w:r>
      <w:r>
        <w:rPr>
          <w:rStyle w:val="23"/>
          <w:rFonts w:ascii="仿宋" w:eastAsia="仿宋" w:hAnsi="仿宋" w:hint="eastAsia"/>
          <w:b w:val="0"/>
          <w:bCs/>
          <w:color w:val="auto"/>
          <w:sz w:val="32"/>
          <w:szCs w:val="32"/>
        </w:rPr>
        <w:t>。</w:t>
      </w:r>
      <w:r>
        <w:rPr>
          <w:rFonts w:ascii="仿宋_GB2312" w:eastAsia="仿宋_GB2312" w:hint="eastAsia"/>
          <w:color w:val="auto"/>
          <w:sz w:val="32"/>
          <w:szCs w:val="32"/>
        </w:rPr>
        <w:t>公务接待费支出决算比</w:t>
      </w:r>
      <w:r>
        <w:rPr>
          <w:rFonts w:ascii="仿宋_GB2312" w:eastAsia="仿宋_GB2312"/>
          <w:color w:val="auto"/>
          <w:sz w:val="32"/>
          <w:szCs w:val="32"/>
        </w:rPr>
        <w:t>201</w:t>
      </w:r>
      <w:r>
        <w:rPr>
          <w:rFonts w:ascii="仿宋_GB2312" w:eastAsia="仿宋_GB2312" w:hint="eastAsia"/>
          <w:color w:val="auto"/>
          <w:sz w:val="32"/>
          <w:szCs w:val="32"/>
        </w:rPr>
        <w:t>7年减0.02万元，下降4</w:t>
      </w:r>
      <w:r>
        <w:rPr>
          <w:rFonts w:ascii="仿宋_GB2312" w:eastAsia="仿宋_GB2312"/>
          <w:color w:val="auto"/>
          <w:sz w:val="32"/>
          <w:szCs w:val="32"/>
        </w:rPr>
        <w:t>%</w:t>
      </w:r>
      <w:r>
        <w:rPr>
          <w:rFonts w:ascii="仿宋_GB2312" w:eastAsia="仿宋_GB2312" w:hint="eastAsia"/>
          <w:color w:val="auto"/>
          <w:sz w:val="32"/>
          <w:szCs w:val="32"/>
        </w:rPr>
        <w:t>。主要原因是执行八项规定。</w:t>
      </w:r>
    </w:p>
    <w:p>
      <w:pPr>
        <w:spacing w:line="60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主要用于执行公务、开展业务活动开支的交通费、住宿费、用餐费等。国内公务接待5批次，60人次（不包括陪同人员），共计支出0.51万元，具体内容包括：上级主管部门指导工作。</w:t>
      </w:r>
    </w:p>
    <w:p>
      <w:pPr>
        <w:spacing w:line="600" w:lineRule="exact"/>
        <w:ind w:firstLineChars="200" w:firstLine="640"/>
        <w:rPr>
          <w:rFonts w:ascii="仿宋_GB2312" w:eastAsia="仿宋_GB2312"/>
          <w:color w:val="auto"/>
          <w:sz w:val="32"/>
          <w:szCs w:val="32"/>
        </w:rPr>
      </w:pPr>
      <w:r>
        <w:rPr>
          <w:rFonts w:ascii="仿宋" w:eastAsia="仿宋" w:hAnsi="仿宋" w:hint="eastAsia"/>
          <w:b/>
          <w:color w:val="auto"/>
          <w:sz w:val="32"/>
          <w:szCs w:val="32"/>
        </w:rPr>
        <w:t>外事接待支出</w:t>
      </w:r>
      <w:r>
        <w:rPr>
          <w:rFonts w:ascii="仿宋" w:eastAsia="仿宋" w:hAnsi="仿宋" w:hint="eastAsia"/>
          <w:color w:val="auto"/>
          <w:sz w:val="32"/>
          <w:szCs w:val="32"/>
        </w:rPr>
        <w:t>0</w:t>
      </w:r>
      <w:r>
        <w:rPr>
          <w:rFonts w:ascii="仿宋_GB2312" w:eastAsia="仿宋_GB2312" w:hint="eastAsia"/>
          <w:color w:val="auto"/>
          <w:sz w:val="32"/>
          <w:szCs w:val="32"/>
        </w:rPr>
        <w:t>万元，外事接待0批次，0人，共计支出0万元。</w:t>
      </w:r>
    </w:p>
    <w:p>
      <w:pPr>
        <w:spacing w:line="600" w:lineRule="exact"/>
        <w:ind w:firstLine="640"/>
        <w:rPr>
          <w:rFonts w:ascii="仿宋_GB2312" w:eastAsia="仿宋_GB2312"/>
          <w:color w:val="auto"/>
          <w:sz w:val="32"/>
          <w:szCs w:val="32"/>
        </w:rPr>
      </w:pPr>
      <w:r>
        <w:rPr>
          <w:rFonts w:ascii="仿宋" w:eastAsia="仿宋" w:hAnsi="仿宋" w:hint="eastAsia"/>
          <w:b/>
          <w:color w:val="auto"/>
          <w:sz w:val="32"/>
          <w:szCs w:val="32"/>
        </w:rPr>
        <w:t>其他国内公务接待支出</w:t>
      </w:r>
      <w:r>
        <w:rPr>
          <w:rFonts w:ascii="仿宋" w:eastAsia="仿宋" w:hAnsi="仿宋" w:hint="eastAsia"/>
          <w:color w:val="auto"/>
          <w:sz w:val="32"/>
          <w:szCs w:val="32"/>
        </w:rPr>
        <w:t>0</w:t>
      </w:r>
      <w:r>
        <w:rPr>
          <w:rFonts w:ascii="仿宋_GB2312" w:eastAsia="仿宋_GB2312" w:hint="eastAsia"/>
          <w:color w:val="auto"/>
          <w:sz w:val="32"/>
          <w:szCs w:val="32"/>
        </w:rPr>
        <w:t>万元。</w:t>
      </w:r>
      <w:bookmarkStart w:id="47" w:name="_Toc15396610"/>
      <w:bookmarkStart w:id="48" w:name="_Toc15377218"/>
    </w:p>
    <w:p>
      <w:pPr>
        <w:spacing w:line="600" w:lineRule="exact"/>
        <w:ind w:firstLine="640"/>
        <w:outlineLvl w:val="1"/>
        <w:rPr>
          <w:rStyle w:val="2Char"/>
          <w:rFonts w:ascii="黑体" w:eastAsia="黑体" w:hAnsi="黑体"/>
          <w:color w:val="auto"/>
        </w:rPr>
      </w:pPr>
      <w:r>
        <w:rPr>
          <w:rFonts w:ascii="黑体" w:eastAsia="黑体" w:hint="eastAsia"/>
          <w:color w:val="auto"/>
          <w:sz w:val="32"/>
          <w:szCs w:val="32"/>
        </w:rPr>
        <w:t>八、</w:t>
      </w:r>
      <w:r>
        <w:rPr>
          <w:rStyle w:val="2Char"/>
          <w:rFonts w:ascii="黑体" w:eastAsia="黑体" w:hAnsi="黑体" w:hint="eastAsia"/>
          <w:b w:val="0"/>
          <w:color w:val="auto"/>
        </w:rPr>
        <w:t>政府性基金预算支出决算情况说明</w:t>
      </w:r>
      <w:bookmarkEnd w:id="47"/>
      <w:bookmarkEnd w:id="48"/>
    </w:p>
    <w:p>
      <w:pPr>
        <w:spacing w:line="600" w:lineRule="exact"/>
        <w:ind w:firstLine="640"/>
        <w:rPr>
          <w:rFonts w:ascii="仿宋_GB2312" w:eastAsia="仿宋_GB2312"/>
          <w:color w:val="auto"/>
          <w:sz w:val="32"/>
          <w:szCs w:val="32"/>
        </w:rPr>
      </w:pPr>
      <w:r>
        <w:rPr>
          <w:rFonts w:ascii="仿宋_GB2312" w:eastAsia="仿宋_GB2312"/>
          <w:color w:val="auto"/>
          <w:sz w:val="32"/>
          <w:szCs w:val="32"/>
        </w:rPr>
        <w:t>201</w:t>
      </w:r>
      <w:r>
        <w:rPr>
          <w:rFonts w:ascii="仿宋_GB2312" w:eastAsia="仿宋_GB2312" w:hint="eastAsia"/>
          <w:color w:val="auto"/>
          <w:sz w:val="32"/>
          <w:szCs w:val="32"/>
        </w:rPr>
        <w:t>8年政府性基金预算拨款支出0万元。</w:t>
      </w:r>
    </w:p>
    <w:p>
      <w:pPr>
        <w:numPr>
          <w:ilvl w:val="0"/>
          <w:numId w:val="2"/>
        </w:numPr>
        <w:spacing w:line="600" w:lineRule="exact"/>
        <w:ind w:left="0" w:firstLine="640"/>
        <w:outlineLvl w:val="1"/>
        <w:rPr>
          <w:rStyle w:val="2Char"/>
          <w:rFonts w:ascii="黑体" w:eastAsia="黑体" w:hAnsi="黑体"/>
          <w:b w:val="0"/>
          <w:color w:val="auto"/>
        </w:rPr>
      </w:pPr>
      <w:bookmarkStart w:id="49" w:name="_Toc15396611"/>
      <w:bookmarkStart w:id="50" w:name="_Toc15377219"/>
      <w:r>
        <w:rPr>
          <w:rStyle w:val="2Char"/>
          <w:rFonts w:ascii="黑体" w:eastAsia="黑体" w:hAnsi="黑体" w:hint="eastAsia"/>
          <w:b w:val="0"/>
          <w:color w:val="auto"/>
        </w:rPr>
        <w:t>国有资本经营预算支出决算情况说明</w:t>
      </w:r>
      <w:bookmarkEnd w:id="49"/>
      <w:bookmarkEnd w:id="50"/>
    </w:p>
    <w:p>
      <w:pPr>
        <w:spacing w:line="600" w:lineRule="exact"/>
        <w:ind w:firstLine="640"/>
        <w:rPr>
          <w:rFonts w:ascii="仿宋_GB2312" w:eastAsia="仿宋_GB2312"/>
          <w:color w:val="auto"/>
          <w:sz w:val="32"/>
          <w:szCs w:val="32"/>
        </w:rPr>
      </w:pPr>
      <w:r>
        <w:rPr>
          <w:rFonts w:ascii="仿宋_GB2312" w:eastAsia="仿宋_GB2312"/>
          <w:color w:val="auto"/>
          <w:sz w:val="32"/>
          <w:szCs w:val="32"/>
        </w:rPr>
        <w:t>201</w:t>
      </w:r>
      <w:r>
        <w:rPr>
          <w:rFonts w:ascii="仿宋_GB2312" w:eastAsia="仿宋_GB2312" w:hint="eastAsia"/>
          <w:color w:val="auto"/>
          <w:sz w:val="32"/>
          <w:szCs w:val="32"/>
        </w:rPr>
        <w:t>8年国有资本经营预算拨款支出0万元。</w:t>
      </w:r>
    </w:p>
    <w:p>
      <w:pPr>
        <w:pStyle w:val="29"/>
        <w:numPr>
          <w:ilvl w:val="0"/>
          <w:numId w:val="3"/>
        </w:numPr>
        <w:spacing w:line="580" w:lineRule="exact"/>
        <w:ind w:firstLineChars="0"/>
        <w:rPr>
          <w:rStyle w:val="2Char"/>
          <w:rFonts w:ascii="黑体" w:eastAsia="黑体" w:hAnsi="黑体"/>
          <w:b w:val="0"/>
          <w:color w:val="auto"/>
        </w:rPr>
      </w:pPr>
      <w:r>
        <w:rPr>
          <w:rStyle w:val="2Char"/>
          <w:rFonts w:ascii="黑体" w:eastAsia="黑体" w:hAnsi="黑体" w:hint="eastAsia"/>
          <w:b w:val="0"/>
          <w:color w:val="auto"/>
        </w:rPr>
        <w:t>预算绩效情况说明</w:t>
      </w:r>
    </w:p>
    <w:p>
      <w:pPr>
        <w:numPr>
          <w:ilvl w:val="0"/>
          <w:numId w:val="4"/>
        </w:numPr>
        <w:spacing w:line="580" w:lineRule="exact"/>
        <w:ind w:left="0" w:firstLineChars="200" w:firstLine="640"/>
        <w:rPr>
          <w:rFonts w:ascii="仿宋" w:eastAsia="仿宋" w:cs="楷体_GB2312" w:hAnsi="仿宋"/>
          <w:b/>
          <w:bCs/>
          <w:color w:val="auto"/>
          <w:sz w:val="32"/>
          <w:szCs w:val="32"/>
        </w:rPr>
      </w:pPr>
      <w:r>
        <w:rPr>
          <w:rFonts w:ascii="仿宋" w:eastAsia="仿宋" w:cs="楷体_GB2312" w:hAnsi="仿宋" w:hint="eastAsia"/>
          <w:b/>
          <w:bCs/>
          <w:color w:val="auto"/>
          <w:sz w:val="32"/>
          <w:szCs w:val="32"/>
        </w:rPr>
        <w:t>预算绩效管理工作开展情况。</w:t>
      </w:r>
    </w:p>
    <w:p>
      <w:pPr>
        <w:spacing w:line="580" w:lineRule="exact"/>
        <w:ind w:firstLineChars="200" w:firstLine="640"/>
        <w:rPr>
          <w:rFonts w:ascii="仿宋_GB2312" w:eastAsia="仿宋_GB2312" w:cs="仿宋_GB2312" w:hAnsi="仿宋_GB2312"/>
          <w:color w:val="auto"/>
          <w:sz w:val="32"/>
          <w:szCs w:val="32"/>
        </w:rPr>
      </w:pPr>
      <w:r>
        <w:rPr>
          <w:rFonts w:ascii="仿宋_GB2312" w:eastAsia="仿宋_GB2312" w:cs="仿宋_GB2312" w:hAnsi="仿宋_GB2312" w:hint="eastAsia"/>
          <w:color w:val="auto"/>
          <w:sz w:val="32"/>
          <w:szCs w:val="32"/>
        </w:rPr>
        <w:t>根据预算绩效管理要求，本部门（单位）在年初预算编制阶段，组织对儿童之家建设、最美阳台评选、第五次妇女代表大会、两纲工作、慰问工作开展了预算事前绩效评估，对5个项目编制了绩效目标，预算执行过程中，选取5个项目开展绩效监控，年终执行完毕后，对5个项目开展了绩效目标完成情况梳理填报。</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color w:val="auto"/>
          <w:sz w:val="32"/>
          <w:szCs w:val="32"/>
        </w:rPr>
        <w:t>本部门按要求对2018年部门整体支出开展绩效自评，从评价情况来看，</w:t>
      </w:r>
      <w:r>
        <w:rPr>
          <w:rFonts w:ascii="方正仿宋简体" w:eastAsia="方正仿宋简体" w:hAnsi="宋体" w:hint="eastAsia"/>
          <w:color w:val="auto"/>
          <w:sz w:val="32"/>
          <w:szCs w:val="32"/>
        </w:rPr>
        <w:t>本部门全面贯彻落实习近平新时代中国特色社会主义思想</w:t>
      </w:r>
      <w:r>
        <w:rPr>
          <w:rFonts w:ascii="方正仿宋简体" w:eastAsia="方正仿宋简体" w:hAnsi="宋体" w:hint="eastAsia"/>
          <w:color w:val="auto"/>
          <w:sz w:val="32"/>
          <w:szCs w:val="32"/>
          <w:lang w:eastAsia="zh-CN"/>
        </w:rPr>
        <w:t>和党的十九大精神</w:t>
      </w:r>
      <w:r>
        <w:rPr>
          <w:rFonts w:ascii="方正仿宋简体" w:eastAsia="方正仿宋简体" w:hAnsi="宋体" w:hint="eastAsia"/>
          <w:color w:val="auto"/>
          <w:sz w:val="32"/>
          <w:szCs w:val="32"/>
        </w:rPr>
        <w:t>，维护妇女儿童合法权益，助力妇女创业发展，</w:t>
      </w:r>
      <w:r>
        <w:rPr>
          <w:rFonts w:ascii="方正仿宋简体" w:eastAsia="方正仿宋简体" w:cs="仿宋_GB2312" w:hAnsi="仿宋_GB2312" w:hint="eastAsia"/>
          <w:color w:val="auto"/>
          <w:sz w:val="32"/>
          <w:szCs w:val="32"/>
        </w:rPr>
        <w:t>扎实推进脱贫攻坚工作，圆满完成了各项工作任务，</w:t>
      </w:r>
      <w:r>
        <w:rPr>
          <w:rFonts w:ascii="仿宋_GB2312" w:eastAsia="仿宋_GB2312" w:cs="仿宋_GB2312" w:hAnsi="仿宋_GB2312" w:hint="eastAsia"/>
          <w:color w:val="auto"/>
          <w:sz w:val="32"/>
          <w:szCs w:val="32"/>
        </w:rPr>
        <w:t>各</w:t>
      </w:r>
      <w:r>
        <w:rPr>
          <w:rFonts w:ascii="仿宋_GB2312" w:eastAsia="仿宋_GB2312" w:cs="仿宋_GB2312" w:hAnsi="仿宋_GB2312" w:hint="eastAsia"/>
          <w:sz w:val="32"/>
          <w:szCs w:val="32"/>
        </w:rPr>
        <w:t>项支出均达到了预期的绩效管理目标。</w:t>
      </w:r>
    </w:p>
    <w:p>
      <w:pPr>
        <w:numPr>
          <w:ilvl w:val="0"/>
          <w:numId w:val="4"/>
        </w:numPr>
        <w:spacing w:line="580" w:lineRule="exact"/>
        <w:ind w:left="0" w:firstLineChars="200" w:firstLine="640"/>
        <w:rPr>
          <w:rFonts w:ascii="仿宋_GB2312" w:eastAsia="仿宋_GB2312" w:cs="仿宋_GB2312" w:hAnsi="仿宋_GB2312"/>
          <w:sz w:val="32"/>
          <w:szCs w:val="32"/>
        </w:rPr>
      </w:pPr>
      <w:r>
        <w:rPr>
          <w:rFonts w:ascii="仿宋" w:eastAsia="仿宋" w:cs="楷体_GB2312" w:hAnsi="仿宋" w:hint="eastAsia"/>
          <w:b/>
          <w:bCs/>
          <w:sz w:val="32"/>
          <w:szCs w:val="32"/>
        </w:rPr>
        <w:t>项目绩效目标完成情况。</w:t>
      </w:r>
      <w:r>
        <w:rPr>
          <w:rFonts w:ascii="楷体_GB2312" w:eastAsia="楷体_GB2312" w:cs="楷体_GB2312" w:hAnsi="楷体_GB2312" w:hint="eastAsia"/>
          <w:b/>
          <w:bCs/>
          <w:sz w:val="32"/>
          <w:szCs w:val="32"/>
        </w:rPr>
        <w:br/>
      </w:r>
      <w:r>
        <w:rPr>
          <w:rFonts w:ascii="仿宋_GB2312" w:eastAsia="仿宋_GB2312" w:cs="仿宋_GB2312" w:hAnsi="仿宋_GB2312" w:hint="eastAsia"/>
          <w:sz w:val="32"/>
          <w:szCs w:val="32"/>
        </w:rPr>
        <w:t xml:space="preserve">    本部门在2018年度部门决算中反映“儿童之家建设</w:t>
      </w:r>
      <w:r>
        <w:rPr>
          <w:rFonts w:ascii="仿宋_GB2312" w:eastAsia="仿宋_GB2312" w:cs="仿宋_GB2312" w:hAnsi="仿宋_GB2312"/>
          <w:sz w:val="32"/>
          <w:szCs w:val="32"/>
        </w:rPr>
        <w:t>”“最美阳台评选”、“第五次妇女代表大会”</w:t>
      </w:r>
      <w:r>
        <w:rPr>
          <w:rFonts w:ascii="仿宋_GB2312" w:eastAsia="仿宋_GB2312" w:cs="仿宋_GB2312" w:hAnsi="仿宋_GB2312" w:hint="eastAsia"/>
          <w:sz w:val="32"/>
          <w:szCs w:val="32"/>
        </w:rPr>
        <w:t>“两纲工作”、“慰问工作”等5个项目绩效目标实际完成情况。</w:t>
      </w:r>
    </w:p>
    <w:p>
      <w:pPr>
        <w:numPr>
          <w:ilvl w:val="0"/>
          <w:numId w:val="5"/>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儿童之家建设项目绩效目标完成情况综述。项目全年预算数16万元，执行数为16万元，完成预算的100%。通过项目实施，</w:t>
      </w:r>
      <w:r>
        <w:rPr>
          <w:rFonts w:ascii="仿宋" w:eastAsia="仿宋" w:cs="仿宋" w:hAnsi="仿宋" w:hint="eastAsia"/>
          <w:sz w:val="32"/>
          <w:szCs w:val="32"/>
        </w:rPr>
        <w:t>整合妇女之家、儿童之家功能，调动团委、民政、文明办等部门资源，建设妇女儿童之家，由所在村、社区妇联负责，为妇女儿童提供阵地和服务。</w:t>
      </w:r>
    </w:p>
    <w:p>
      <w:pPr>
        <w:numPr>
          <w:ilvl w:val="0"/>
          <w:numId w:val="5"/>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最美阳台评选项目绩效目标完成情况综述。项目全年预算数3万元，执行数为3万元，完成预算的100%。通过项目实施，提升附属绿地建设，督促指导辖区机关单位、学校、医院、民营企业、商场、宾馆酒店、住宅小区、社区、村庄附属绿化的提升改造工作，加大屋顶绿化、墙体绿化、阳台绿化、藤架绿化及建筑物绿化等多种形式的立体绿化建设。</w:t>
      </w:r>
    </w:p>
    <w:p>
      <w:pPr>
        <w:numPr>
          <w:ilvl w:val="0"/>
          <w:numId w:val="5"/>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第五次妇女代表大会项目绩效目标完成情况综述。项目全年预算数4.5万元，执行数为4.5万元，完成预算的100%。通过项目实施，认真贯彻党的十八大及十八届五中、六中全会精神和区第八次党代会精神，总结了我区近年来妇联的工作，审议和审查了区妇联的工作报告，选举产生新一届妇联执行委员会，讨论制定了今后五年我区妇女工作的奋斗目标和工作任务。进一步团结带领了全区广大妇女解放思想，开拓创新，努力开创妇女工作新局面，为坚决打赢“三大战役”、加快建设综合实力一流的现代化市辖区做出新的更大贡献。</w:t>
      </w:r>
    </w:p>
    <w:p>
      <w:pPr>
        <w:numPr>
          <w:ilvl w:val="0"/>
          <w:numId w:val="5"/>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两纲工作项目绩效目标完成情况综述。项目全年预算数8万元，执行数为4.34万元，完成预算的54.3%。通过项目实施，切实加强妇女儿童工作组织保障，认真抓好妇女儿童各项活动开展，协调推进妇女儿童各项事业发展，切实关注妇女儿童健康，创造儿童接受教育的良好条件。</w:t>
      </w:r>
    </w:p>
    <w:p>
      <w:pPr>
        <w:numPr>
          <w:ilvl w:val="0"/>
          <w:numId w:val="5"/>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春节慰问项目绩效目标完成情况综述。项目全年预算数5万元，执行数为5万元，完成预算的100%。通过项目实施，组织党员干部入户下访，了解群众生产生活困难，加大了贫困母亲、留守流动儿童的救助帮扶力度，同时开展了一系列的惠民活动，引导广大妇女树立了健康的生活理念。发现的主要问题：救助金的发放多数采用现金的形式。下一步改进措施：力争救助金的发放统一使用转账形式，发放到救助对象的手中。</w:t>
      </w:r>
    </w:p>
    <w:p>
      <w:pPr>
        <w:tabs>
          <w:tab w:val="left" w:pos="312"/>
        </w:tabs>
        <w:spacing w:line="580" w:lineRule="exact"/>
        <w:jc w:val="center"/>
        <w:rPr>
          <w:rFonts w:ascii="仿宋_GB2312" w:eastAsia="仿宋_GB2312" w:cs="仿宋_GB2312" w:hAnsi="仿宋_GB2312"/>
          <w:sz w:val="32"/>
          <w:szCs w:val="32"/>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bl>
      <w:tblPr>
        <w:jc w:val="cente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771"/>
        <w:gridCol w:w="813"/>
        <w:gridCol w:w="910"/>
        <w:gridCol w:w="2126"/>
        <w:gridCol w:w="2130"/>
        <w:gridCol w:w="2124"/>
      </w:tblGrid>
      <w:tr>
        <w:trPr>
          <w:trHeight w:val="276"/>
        </w:trPr>
        <w:tc>
          <w:tcPr>
            <w:tcW w:w="2494" w:type="dxa"/>
            <w:gridSpan w:val="3"/>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项目名称</w:t>
            </w:r>
          </w:p>
        </w:tc>
        <w:tc>
          <w:tcPr>
            <w:tcW w:w="6380" w:type="dxa"/>
            <w:gridSpan w:val="3"/>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儿童之家建设</w:t>
            </w:r>
          </w:p>
        </w:tc>
      </w:tr>
      <w:tr>
        <w:trPr>
          <w:trHeight w:val="276"/>
        </w:trPr>
        <w:tc>
          <w:tcPr>
            <w:tcW w:w="2494" w:type="dxa"/>
            <w:gridSpan w:val="3"/>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预算单位</w:t>
            </w:r>
          </w:p>
        </w:tc>
        <w:tc>
          <w:tcPr>
            <w:tcW w:w="6380" w:type="dxa"/>
            <w:gridSpan w:val="3"/>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广元市利州区妇女联合会</w:t>
            </w:r>
          </w:p>
        </w:tc>
      </w:tr>
      <w:tr>
        <w:trPr>
          <w:trHeight w:val="815"/>
        </w:trPr>
        <w:tc>
          <w:tcPr>
            <w:tcW w:w="771" w:type="dxa"/>
            <w:vMerge w:val="restart"/>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预算执行情况(万元)</w:t>
            </w:r>
          </w:p>
        </w:tc>
        <w:tc>
          <w:tcPr>
            <w:tcW w:w="1723" w:type="dxa"/>
            <w:gridSpan w:val="2"/>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预算数:</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16</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执行数:</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16</w:t>
            </w:r>
          </w:p>
        </w:tc>
      </w:tr>
      <w:tr>
        <w:trPr>
          <w:trHeight w:val="815"/>
        </w:trPr>
        <w:tc>
          <w:tcPr>
            <w:tcW w:w="771" w:type="dxa"/>
            <w:vMerge/>
            <w:vAlign w:val="center"/>
          </w:tcPr>
          <w:p/>
        </w:tc>
        <w:tc>
          <w:tcPr>
            <w:tcW w:w="1723" w:type="dxa"/>
            <w:gridSpan w:val="2"/>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其中-财政拨款:</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16</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其中-财政拨款:</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16</w:t>
            </w:r>
          </w:p>
        </w:tc>
      </w:tr>
      <w:tr>
        <w:trPr>
          <w:trHeight w:val="816"/>
        </w:trPr>
        <w:tc>
          <w:tcPr>
            <w:tcW w:w="771" w:type="dxa"/>
            <w:vMerge/>
            <w:vAlign w:val="center"/>
          </w:tcPr>
          <w:p/>
        </w:tc>
        <w:tc>
          <w:tcPr>
            <w:tcW w:w="1723" w:type="dxa"/>
            <w:gridSpan w:val="2"/>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其它资金:</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0</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其它资金:</w:t>
            </w:r>
          </w:p>
        </w:tc>
        <w:tc>
          <w:tcPr>
            <w:tcW w:w="2124" w:type="dxa"/>
            <w:tcMar>
              <w:top w:w="15" w:type="dxa"/>
              <w:left w:w="15" w:type="dxa"/>
              <w:right w:w="15" w:type="dxa"/>
            </w:tcMar>
            <w:vAlign w:val="center"/>
          </w:tcPr>
          <w:p>
            <w:pPr>
              <w:jc w:val="center"/>
              <w:rPr>
                <w:rFonts w:ascii="宋体" w:eastAsia="宋体" w:cs="宋体"/>
                <w:color w:val="000000"/>
                <w:szCs w:val="21"/>
              </w:rPr>
            </w:pPr>
            <w:r>
              <w:rPr>
                <w:rFonts w:ascii="宋体" w:eastAsia="宋体" w:cs="宋体" w:hint="eastAsia"/>
                <w:color w:val="000000"/>
                <w:szCs w:val="21"/>
              </w:rPr>
              <w:t>0</w:t>
            </w:r>
          </w:p>
        </w:tc>
      </w:tr>
      <w:tr>
        <w:trPr>
          <w:trHeight w:val="871"/>
        </w:trPr>
        <w:tc>
          <w:tcPr>
            <w:tcW w:w="771" w:type="dxa"/>
            <w:vMerge w:val="restart"/>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年度目标完成情况</w:t>
            </w:r>
          </w:p>
        </w:tc>
        <w:tc>
          <w:tcPr>
            <w:tcW w:w="3849" w:type="dxa"/>
            <w:gridSpan w:val="3"/>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预期目标</w:t>
            </w:r>
          </w:p>
        </w:tc>
        <w:tc>
          <w:tcPr>
            <w:tcW w:w="4254" w:type="dxa"/>
            <w:gridSpan w:val="2"/>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实际完成目标</w:t>
            </w:r>
          </w:p>
        </w:tc>
      </w:tr>
      <w:tr>
        <w:trPr>
          <w:trHeight w:val="1159"/>
        </w:trPr>
        <w:tc>
          <w:tcPr>
            <w:tcW w:w="771" w:type="dxa"/>
            <w:vMerge/>
            <w:vAlign w:val="center"/>
          </w:tcPr>
          <w:p/>
        </w:tc>
        <w:tc>
          <w:tcPr>
            <w:tcW w:w="3849" w:type="dxa"/>
            <w:gridSpan w:val="3"/>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完成</w:t>
            </w:r>
            <w:r>
              <w:rPr>
                <w:rFonts w:ascii="宋体" w:eastAsia="宋体" w:cs="宋体" w:hint="eastAsia"/>
                <w:color w:val="000000"/>
                <w:szCs w:val="21"/>
              </w:rPr>
              <w:t>20个城乡社区儿童之家建设</w:t>
            </w:r>
          </w:p>
        </w:tc>
        <w:tc>
          <w:tcPr>
            <w:tcW w:w="4254" w:type="dxa"/>
            <w:gridSpan w:val="2"/>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完成</w:t>
            </w:r>
            <w:r>
              <w:rPr>
                <w:rFonts w:ascii="宋体" w:eastAsia="宋体" w:cs="宋体" w:hint="eastAsia"/>
                <w:color w:val="000000"/>
                <w:szCs w:val="21"/>
              </w:rPr>
              <w:t>20个城乡社区儿童之家建设</w:t>
            </w:r>
          </w:p>
        </w:tc>
      </w:tr>
      <w:tr>
        <w:trPr>
          <w:trHeight w:val="1042"/>
        </w:trPr>
        <w:tc>
          <w:tcPr>
            <w:tcW w:w="771" w:type="dxa"/>
            <w:vMerge w:val="restart"/>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绩效指标完成情况</w:t>
            </w: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一级指标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二级指标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三级指标</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预期指标值(包含数字及文字描述)</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实际完成指标值(包含数字及文字描述)</w:t>
            </w:r>
          </w:p>
        </w:tc>
      </w:tr>
      <w:tr>
        <w:trPr>
          <w:trHeight w:val="953"/>
        </w:trPr>
        <w:tc>
          <w:tcPr>
            <w:tcW w:w="771" w:type="dxa"/>
            <w:vMerge/>
            <w:vAlign w:val="center"/>
          </w:tcP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数量指标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完成</w:t>
            </w:r>
            <w:r>
              <w:rPr>
                <w:rFonts w:ascii="宋体" w:eastAsia="宋体" w:cs="宋体" w:hint="eastAsia"/>
                <w:color w:val="000000"/>
                <w:szCs w:val="21"/>
              </w:rPr>
              <w:t>20个城乡社区儿童之家建设</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完成</w:t>
            </w:r>
            <w:r>
              <w:rPr>
                <w:rFonts w:ascii="宋体" w:eastAsia="宋体" w:cs="宋体" w:hint="eastAsia"/>
                <w:color w:val="000000"/>
                <w:szCs w:val="21"/>
              </w:rPr>
              <w:t>20个城乡社区儿童之家建设</w:t>
            </w:r>
          </w:p>
        </w:tc>
        <w:tc>
          <w:tcPr>
            <w:tcW w:w="2124" w:type="dxa"/>
            <w:tcMar>
              <w:top w:w="15" w:type="dxa"/>
              <w:left w:w="15" w:type="dxa"/>
              <w:right w:w="15" w:type="dxa"/>
            </w:tcMar>
            <w:vAlign w:val="center"/>
          </w:tcPr>
          <w:p>
            <w:pPr>
              <w:widowControl/>
              <w:textAlignment w:val="center"/>
              <w:rPr>
                <w:rFonts w:ascii="宋体" w:eastAsia="宋体" w:cs="宋体"/>
                <w:color w:val="000000"/>
                <w:szCs w:val="21"/>
              </w:rPr>
            </w:pPr>
            <w:r>
              <w:rPr>
                <w:rFonts w:ascii="宋体" w:eastAsia="宋体" w:cs="宋体" w:hint="eastAsia"/>
                <w:color w:val="000000"/>
                <w:szCs w:val="21"/>
              </w:rPr>
              <w:t>已</w:t>
            </w:r>
            <w:r>
              <w:rPr>
                <w:rFonts w:ascii="宋体" w:eastAsia="宋体" w:cs="宋体"/>
                <w:color w:val="000000"/>
                <w:szCs w:val="21"/>
              </w:rPr>
              <w:t>完成</w:t>
            </w:r>
            <w:r>
              <w:rPr>
                <w:rFonts w:ascii="宋体" w:eastAsia="宋体" w:cs="宋体" w:hint="eastAsia"/>
                <w:color w:val="000000"/>
                <w:szCs w:val="21"/>
              </w:rPr>
              <w:t>20个城乡社区儿童之家建设</w:t>
            </w:r>
          </w:p>
        </w:tc>
      </w:tr>
      <w:tr>
        <w:trPr>
          <w:trHeight w:val="1297"/>
        </w:trPr>
        <w:tc>
          <w:tcPr>
            <w:tcW w:w="771" w:type="dxa"/>
            <w:vMerge/>
            <w:vAlign w:val="center"/>
          </w:tcP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质量指标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达到四个有、二个一</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达到四个有、二个一</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有固定的活动场所、有开展活动的必要设备、有健全的管理制度，有丰富多彩的活动，选一名有爱心、有组织能力、热心群众工作的妇女骨干负责管理，组建一支巾帼志愿者队伍</w:t>
            </w:r>
          </w:p>
        </w:tc>
      </w:tr>
      <w:tr>
        <w:trPr>
          <w:trHeight w:val="1042"/>
        </w:trPr>
        <w:tc>
          <w:tcPr>
            <w:tcW w:w="771" w:type="dxa"/>
            <w:vMerge/>
            <w:vAlign w:val="center"/>
          </w:tcP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时效指标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按上级部门要求，按时按量按质完成</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按上级部门要求，按时按量按质完成</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年内已全部完成</w:t>
            </w:r>
          </w:p>
        </w:tc>
      </w:tr>
      <w:tr>
        <w:trPr>
          <w:trHeight w:val="696"/>
        </w:trPr>
        <w:tc>
          <w:tcPr>
            <w:tcW w:w="771" w:type="dxa"/>
            <w:vMerge/>
            <w:vAlign w:val="center"/>
          </w:tcP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项目完成指标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成本指标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16</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16</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16</w:t>
            </w:r>
          </w:p>
        </w:tc>
      </w:tr>
      <w:tr>
        <w:trPr>
          <w:trHeight w:val="1042"/>
        </w:trPr>
        <w:tc>
          <w:tcPr>
            <w:tcW w:w="771" w:type="dxa"/>
            <w:vMerge/>
            <w:vAlign w:val="center"/>
          </w:tcP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效益指标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经济效益</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利用儿童之家平台，对儿童进行课外辅导</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利用儿童之家平台，对儿童进行课外辅导</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组织志愿者开展课外辅导，减轻了家长的经济负担。</w:t>
            </w:r>
          </w:p>
        </w:tc>
      </w:tr>
      <w:tr>
        <w:trPr>
          <w:trHeight w:val="1042"/>
        </w:trPr>
        <w:tc>
          <w:tcPr>
            <w:tcW w:w="771" w:type="dxa"/>
            <w:vMerge/>
            <w:vAlign w:val="center"/>
          </w:tcP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效益指标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社会效益</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调</w:t>
            </w:r>
            <w:r>
              <w:rPr>
                <w:rFonts w:ascii="宋体" w:eastAsia="宋体" w:cs="宋体"/>
                <w:color w:val="000000"/>
                <w:szCs w:val="21"/>
              </w:rPr>
              <w:t>动相关部门的力量，建设好妇女儿童之家</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调</w:t>
            </w:r>
            <w:r>
              <w:rPr>
                <w:rFonts w:ascii="宋体" w:eastAsia="宋体" w:cs="宋体"/>
                <w:color w:val="000000"/>
                <w:szCs w:val="21"/>
              </w:rPr>
              <w:t>动相关部门的力量，建设好妇女儿童之家</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调动团委、民政、文明办等部门资源，建设好妇女儿童之家</w:t>
            </w:r>
          </w:p>
        </w:tc>
      </w:tr>
      <w:tr>
        <w:trPr>
          <w:trHeight w:val="1297"/>
        </w:trPr>
        <w:tc>
          <w:tcPr>
            <w:tcW w:w="771" w:type="dxa"/>
            <w:vMerge/>
            <w:vAlign w:val="center"/>
          </w:tcP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效益指标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生态效益</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利用儿童之家建设，开展各项活动，丰富儿童的课余时间</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利用儿童之家建设，开展各项活动，丰富儿童的课余时间</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开展了学雷锋活动，六一</w:t>
            </w:r>
            <w:r>
              <w:rPr>
                <w:rFonts w:ascii="宋体" w:eastAsia="宋体" w:cs="宋体" w:hint="eastAsia"/>
                <w:color w:val="000000"/>
                <w:szCs w:val="21"/>
              </w:rPr>
              <w:t>庆祝活动、暑期关爱帮扶、家庭教育、亲情连线等活动</w:t>
            </w:r>
          </w:p>
        </w:tc>
      </w:tr>
      <w:tr>
        <w:trPr>
          <w:trHeight w:val="1297"/>
        </w:trPr>
        <w:tc>
          <w:tcPr>
            <w:tcW w:w="771" w:type="dxa"/>
            <w:vMerge/>
            <w:vAlign w:val="center"/>
          </w:tcP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效益指标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可持续效益</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开展丰富的活动，形成制度管理体系，确保儿童之家的建设和运行顺利</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开展丰富的活动，形成制度管理体系，确保儿童之家的建设和运行顺利</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有运行管理制度、安全管理制度，并纳入全区“十三五”规划</w:t>
            </w:r>
          </w:p>
        </w:tc>
      </w:tr>
      <w:tr>
        <w:trPr>
          <w:trHeight w:val="1050"/>
        </w:trPr>
        <w:tc>
          <w:tcPr>
            <w:tcW w:w="771" w:type="dxa"/>
            <w:vMerge/>
            <w:vAlign w:val="center"/>
          </w:tcPr>
          <w:p/>
        </w:tc>
        <w:tc>
          <w:tcPr>
            <w:tcW w:w="81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满意度指标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满意度指标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真正成为孩子们的“温暖之家”</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98%</w:t>
            </w:r>
          </w:p>
        </w:tc>
        <w:tc>
          <w:tcPr>
            <w:tcW w:w="2124"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98%</w:t>
            </w:r>
          </w:p>
        </w:tc>
      </w:tr>
    </w:tbl>
    <w:p>
      <w:pPr>
        <w:tabs>
          <w:tab w:val="left" w:pos="312"/>
        </w:tabs>
        <w:spacing w:line="580" w:lineRule="exact"/>
        <w:jc w:val="center"/>
        <w:rPr>
          <w:rFonts w:ascii="黑体" w:eastAsia="黑体" w:cs="宋体" w:hAnsi="黑体"/>
          <w:bCs/>
          <w:color w:val="000000"/>
          <w:kern w:val="0"/>
          <w:sz w:val="36"/>
          <w:szCs w:val="36"/>
        </w:rPr>
      </w:pPr>
      <w:r>
        <w:rPr>
          <w:rFonts w:ascii="黑体" w:eastAsia="黑体" w:cs="宋体" w:hAnsi="黑体" w:hint="eastAsia"/>
          <w:bCs/>
          <w:color w:val="000000"/>
          <w:kern w:val="0"/>
          <w:sz w:val="36"/>
          <w:szCs w:val="36"/>
        </w:rPr>
        <w:t>项目支出绩效目标完成情况表</w:t>
        <w:br/>
        <w:t>(2018 年度)</w:t>
      </w:r>
    </w:p>
    <w:tbl>
      <w:tblPr>
        <w:jc w:val="cente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582"/>
        <w:gridCol w:w="1003"/>
        <w:gridCol w:w="910"/>
        <w:gridCol w:w="2126"/>
        <w:gridCol w:w="2130"/>
        <w:gridCol w:w="2123"/>
      </w:tblGrid>
      <w:tr>
        <w:trPr>
          <w:trHeight w:val="276"/>
        </w:trPr>
        <w:tc>
          <w:tcPr>
            <w:tcW w:w="2495" w:type="dxa"/>
            <w:gridSpan w:val="3"/>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项目名称</w:t>
            </w:r>
          </w:p>
        </w:tc>
        <w:tc>
          <w:tcPr>
            <w:tcW w:w="6379" w:type="dxa"/>
            <w:gridSpan w:val="3"/>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最</w:t>
            </w:r>
            <w:r>
              <w:rPr>
                <w:rFonts w:ascii="宋体" w:eastAsia="宋体" w:cs="宋体"/>
                <w:color w:val="000000"/>
                <w:szCs w:val="21"/>
              </w:rPr>
              <w:t>美阳台评选</w:t>
            </w:r>
          </w:p>
        </w:tc>
      </w:tr>
      <w:tr>
        <w:trPr>
          <w:trHeight w:val="276"/>
        </w:trPr>
        <w:tc>
          <w:tcPr>
            <w:tcW w:w="2495" w:type="dxa"/>
            <w:gridSpan w:val="3"/>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预算单位</w:t>
            </w:r>
          </w:p>
        </w:tc>
        <w:tc>
          <w:tcPr>
            <w:tcW w:w="6379" w:type="dxa"/>
            <w:gridSpan w:val="3"/>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广元市利州区妇女联合会</w:t>
            </w:r>
          </w:p>
        </w:tc>
      </w:tr>
      <w:tr>
        <w:trPr>
          <w:trHeight w:val="276"/>
        </w:trPr>
        <w:tc>
          <w:tcPr>
            <w:tcW w:w="582" w:type="dxa"/>
            <w:vMerge w:val="restart"/>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预算执行情况(万元)</w:t>
            </w:r>
          </w:p>
        </w:tc>
        <w:tc>
          <w:tcPr>
            <w:tcW w:w="1913" w:type="dxa"/>
            <w:gridSpan w:val="2"/>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预算数:</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3</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执行数:</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3</w:t>
            </w:r>
          </w:p>
        </w:tc>
      </w:tr>
      <w:tr>
        <w:trPr>
          <w:trHeight w:val="276"/>
        </w:trPr>
        <w:tc>
          <w:tcPr>
            <w:tcW w:w="582" w:type="dxa"/>
            <w:vMerge/>
            <w:vAlign w:val="center"/>
          </w:tcPr>
          <w:p/>
        </w:tc>
        <w:tc>
          <w:tcPr>
            <w:tcW w:w="1913" w:type="dxa"/>
            <w:gridSpan w:val="2"/>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其中-财政拨款:</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3</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其中-财政拨款:</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3</w:t>
            </w:r>
          </w:p>
        </w:tc>
      </w:tr>
      <w:tr>
        <w:trPr>
          <w:trHeight w:val="1511"/>
        </w:trPr>
        <w:tc>
          <w:tcPr>
            <w:tcW w:w="582" w:type="dxa"/>
            <w:vMerge/>
            <w:vAlign w:val="center"/>
          </w:tcPr>
          <w:p/>
        </w:tc>
        <w:tc>
          <w:tcPr>
            <w:tcW w:w="1913" w:type="dxa"/>
            <w:gridSpan w:val="2"/>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其它资金:</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0</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其它资金:</w:t>
            </w:r>
          </w:p>
        </w:tc>
        <w:tc>
          <w:tcPr>
            <w:tcW w:w="2123" w:type="dxa"/>
            <w:tcMar>
              <w:top w:w="15" w:type="dxa"/>
              <w:left w:w="15" w:type="dxa"/>
              <w:right w:w="15" w:type="dxa"/>
            </w:tcMar>
            <w:vAlign w:val="center"/>
          </w:tcPr>
          <w:p>
            <w:pPr>
              <w:jc w:val="center"/>
              <w:rPr>
                <w:rFonts w:ascii="宋体" w:eastAsia="宋体" w:cs="宋体"/>
                <w:color w:val="000000"/>
                <w:szCs w:val="21"/>
              </w:rPr>
            </w:pPr>
            <w:r>
              <w:rPr>
                <w:rFonts w:ascii="宋体" w:eastAsia="宋体" w:cs="宋体" w:hint="eastAsia"/>
                <w:color w:val="000000"/>
                <w:szCs w:val="21"/>
              </w:rPr>
              <w:t>0</w:t>
            </w:r>
          </w:p>
        </w:tc>
      </w:tr>
      <w:tr>
        <w:trPr>
          <w:trHeight w:val="276"/>
        </w:trPr>
        <w:tc>
          <w:tcPr>
            <w:tcW w:w="582" w:type="dxa"/>
            <w:vMerge w:val="restart"/>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年度目标完成情况</w:t>
            </w:r>
          </w:p>
        </w:tc>
        <w:tc>
          <w:tcPr>
            <w:tcW w:w="4039" w:type="dxa"/>
            <w:gridSpan w:val="3"/>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预期目标</w:t>
            </w:r>
          </w:p>
        </w:tc>
        <w:tc>
          <w:tcPr>
            <w:tcW w:w="4253" w:type="dxa"/>
            <w:gridSpan w:val="2"/>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实际完成目标</w:t>
            </w:r>
          </w:p>
        </w:tc>
      </w:tr>
      <w:tr>
        <w:trPr>
          <w:trHeight w:val="1159"/>
        </w:trPr>
        <w:tc>
          <w:tcPr>
            <w:tcW w:w="582" w:type="dxa"/>
            <w:vMerge/>
            <w:vAlign w:val="center"/>
          </w:tcPr>
          <w:p/>
        </w:tc>
        <w:tc>
          <w:tcPr>
            <w:tcW w:w="4039" w:type="dxa"/>
            <w:gridSpan w:val="3"/>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立足山水园林城市格局，打破常规绿化模式，重点体现地域特色，提升景观效果，增加城市亮点，彰显“五化”理念，力求打造彩化、香化特色，通过广泛动员、全民参与、分期建设，逐步建成生态环境优美的幸福利州。</w:t>
            </w:r>
          </w:p>
          <w:p>
            <w:pPr>
              <w:widowControl/>
              <w:jc w:val="center"/>
              <w:textAlignment w:val="center"/>
              <w:rPr>
                <w:rFonts w:ascii="宋体" w:eastAsia="宋体" w:cs="宋体"/>
                <w:color w:val="000000"/>
                <w:kern w:val="0"/>
                <w:szCs w:val="21"/>
              </w:rPr>
            </w:pPr>
          </w:p>
        </w:tc>
        <w:tc>
          <w:tcPr>
            <w:tcW w:w="4253" w:type="dxa"/>
            <w:gridSpan w:val="2"/>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立足山水园林城市格局，打破常规绿化模式，重点体现地域特色，提升景观效果，增加城市亮点，彰显“五化”理念，力求打造彩化、香化特色，通过广泛动员、全民参与、分期建设，逐步建成生态环境优美的幸福利州。</w:t>
            </w:r>
          </w:p>
          <w:p>
            <w:pPr>
              <w:widowControl/>
              <w:jc w:val="center"/>
              <w:textAlignment w:val="center"/>
              <w:rPr>
                <w:rFonts w:ascii="宋体" w:eastAsia="宋体" w:cs="宋体"/>
                <w:color w:val="000000"/>
                <w:szCs w:val="21"/>
              </w:rPr>
            </w:pPr>
          </w:p>
        </w:tc>
      </w:tr>
      <w:tr>
        <w:trPr>
          <w:trHeight w:val="1042"/>
        </w:trPr>
        <w:tc>
          <w:tcPr>
            <w:tcW w:w="582" w:type="dxa"/>
            <w:vMerge w:val="restart"/>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绩效指标完成情况</w:t>
            </w: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一级指标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二级指标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三级指标</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预期指标值(包含数字及文字描述)</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实际完成指标值(包含数字及文字描述)</w:t>
            </w:r>
          </w:p>
        </w:tc>
      </w:tr>
      <w:tr>
        <w:trPr>
          <w:trHeight w:val="953"/>
        </w:trPr>
        <w:tc>
          <w:tcPr>
            <w:tcW w:w="582" w:type="dxa"/>
            <w:vMerge/>
            <w:vAlign w:val="center"/>
          </w:tcP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数量指标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最美庭院（阳台）评选</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完成</w:t>
            </w:r>
            <w:r>
              <w:rPr>
                <w:rFonts w:ascii="宋体" w:eastAsia="宋体" w:cs="宋体" w:hint="eastAsia"/>
                <w:color w:val="000000"/>
                <w:szCs w:val="21"/>
              </w:rPr>
              <w:t>30户最美庭院（阳台）评选</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已完成</w:t>
            </w:r>
            <w:r>
              <w:rPr>
                <w:rFonts w:ascii="宋体" w:eastAsia="宋体" w:cs="宋体" w:hint="eastAsia"/>
                <w:color w:val="000000"/>
                <w:szCs w:val="21"/>
              </w:rPr>
              <w:t>30户最美庭院（阳台）评选</w:t>
            </w:r>
          </w:p>
        </w:tc>
      </w:tr>
      <w:tr>
        <w:trPr>
          <w:trHeight w:val="1297"/>
        </w:trPr>
        <w:tc>
          <w:tcPr>
            <w:tcW w:w="582" w:type="dxa"/>
            <w:vMerge/>
            <w:vAlign w:val="center"/>
          </w:tcP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项目完成指标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质量指标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阳台种植花卉、盆景等，绿化植物选择合理，花木摆置得当。</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花木四季有花、株型优美、绿化效果好；种植花盆与植株协调、雅致，植物管护好，枝叶茂盛，无病虫害，5盆以上，花盆美观、规范。</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评选对象符合评选要</w:t>
            </w:r>
            <w:r>
              <w:rPr>
                <w:rFonts w:ascii="宋体" w:eastAsia="宋体" w:cs="宋体" w:hint="eastAsia"/>
                <w:color w:val="000000"/>
                <w:szCs w:val="21"/>
              </w:rPr>
              <w:t xml:space="preserve"> 求</w:t>
            </w:r>
          </w:p>
        </w:tc>
      </w:tr>
      <w:tr>
        <w:trPr>
          <w:trHeight w:val="1042"/>
        </w:trPr>
        <w:tc>
          <w:tcPr>
            <w:tcW w:w="582" w:type="dxa"/>
            <w:vMerge/>
            <w:vAlign w:val="center"/>
          </w:tcP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项目完成指标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时效指标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按照组织、召集、动员、初选、评定、公示等要求开展</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按照组织、召集、动员、初选、评定、公示等要求开展</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严格按照相关要求开展评选的各项工作</w:t>
            </w:r>
          </w:p>
        </w:tc>
      </w:tr>
      <w:tr>
        <w:trPr>
          <w:trHeight w:val="1042"/>
        </w:trPr>
        <w:tc>
          <w:tcPr>
            <w:tcW w:w="582" w:type="dxa"/>
            <w:vMerge/>
            <w:vAlign w:val="center"/>
          </w:tcP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项目完成指标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成本指标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3</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3</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3</w:t>
            </w:r>
          </w:p>
        </w:tc>
      </w:tr>
      <w:tr>
        <w:trPr>
          <w:trHeight w:val="1042"/>
        </w:trPr>
        <w:tc>
          <w:tcPr>
            <w:tcW w:w="582" w:type="dxa"/>
            <w:vMerge/>
            <w:vAlign w:val="center"/>
          </w:tcP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效益指标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经济效益</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给“家”多增一点绿，多添一份美</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给“家”多增一点绿，多添一份美</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绿化环境</w:t>
            </w:r>
            <w:r>
              <w:rPr>
                <w:rFonts w:ascii="宋体" w:eastAsia="宋体" w:cs="宋体" w:hint="eastAsia"/>
                <w:color w:val="000000"/>
                <w:szCs w:val="21"/>
              </w:rPr>
              <w:t>，净化空气，美丽一“家</w:t>
            </w:r>
            <w:r>
              <w:rPr>
                <w:rFonts w:ascii="宋体" w:eastAsia="宋体" w:cs="宋体"/>
                <w:color w:val="000000"/>
                <w:szCs w:val="21"/>
              </w:rPr>
              <w:t>”</w:t>
            </w:r>
          </w:p>
        </w:tc>
      </w:tr>
      <w:tr>
        <w:trPr>
          <w:trHeight w:val="1042"/>
        </w:trPr>
        <w:tc>
          <w:tcPr>
            <w:tcW w:w="582" w:type="dxa"/>
            <w:vMerge/>
            <w:vAlign w:val="center"/>
          </w:tcP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效益指标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社会效益</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家庭成员重视庭院（阳台）绿化、美化，爱好种植绿色植物，乐于投资庭院（阳台）。</w:t>
            </w:r>
          </w:p>
          <w:p>
            <w:pPr>
              <w:widowControl/>
              <w:jc w:val="center"/>
              <w:textAlignment w:val="center"/>
              <w:rPr>
                <w:rFonts w:ascii="宋体" w:eastAsia="宋体" w:cs="宋体"/>
                <w:color w:val="000000"/>
                <w:szCs w:val="21"/>
              </w:rPr>
            </w:pP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家庭成员重视庭院（阳台）绿化、美化，爱好种植绿色植物，乐于投资庭院（阳台）。</w:t>
            </w:r>
          </w:p>
          <w:p>
            <w:pPr>
              <w:widowControl/>
              <w:jc w:val="center"/>
              <w:textAlignment w:val="center"/>
              <w:rPr>
                <w:rFonts w:ascii="宋体" w:eastAsia="宋体" w:cs="宋体"/>
                <w:color w:val="000000"/>
                <w:szCs w:val="21"/>
              </w:rPr>
            </w:pP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家庭成员重视庭院（阳台）绿化、美化，爱好种植绿色植物，乐于投资庭院（阳台）。</w:t>
            </w:r>
          </w:p>
          <w:p>
            <w:pPr>
              <w:widowControl/>
              <w:jc w:val="center"/>
              <w:textAlignment w:val="center"/>
              <w:rPr>
                <w:rFonts w:ascii="宋体" w:eastAsia="宋体" w:cs="宋体"/>
                <w:color w:val="000000"/>
                <w:szCs w:val="21"/>
              </w:rPr>
            </w:pPr>
          </w:p>
        </w:tc>
      </w:tr>
      <w:tr>
        <w:trPr>
          <w:trHeight w:val="1297"/>
        </w:trPr>
        <w:tc>
          <w:tcPr>
            <w:tcW w:w="582" w:type="dxa"/>
            <w:vMerge/>
            <w:vAlign w:val="center"/>
          </w:tcP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效益指标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生态效益</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让“家庭绿化”成为生活时尚，给“家”多增一点绿，多添一份美</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让“家庭绿化”成为生活时尚，给“家”多增一点绿，多添一份美</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让“家庭绿化”成为生活时尚，给“家”多增一点绿，多添一份美</w:t>
            </w:r>
          </w:p>
        </w:tc>
      </w:tr>
      <w:tr>
        <w:trPr>
          <w:trHeight w:val="1297"/>
        </w:trPr>
        <w:tc>
          <w:tcPr>
            <w:tcW w:w="582" w:type="dxa"/>
            <w:vMerge/>
            <w:vAlign w:val="center"/>
          </w:tcP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效益指标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可持续效益</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争做改善环境的先行者、改变陋习的带头者、良好风尚的引领者</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争做改善环境的先行者、改变陋习的带头者、良好风尚的引领者</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争做改善环境的先行者、改变陋习的带头者、良好风尚的引领者</w:t>
            </w:r>
          </w:p>
        </w:tc>
      </w:tr>
      <w:tr>
        <w:trPr>
          <w:trHeight w:val="1050"/>
        </w:trPr>
        <w:tc>
          <w:tcPr>
            <w:tcW w:w="582" w:type="dxa"/>
            <w:vMerge/>
            <w:vAlign w:val="center"/>
          </w:tcPr>
          <w:p/>
        </w:tc>
        <w:tc>
          <w:tcPr>
            <w:tcW w:w="1003"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满意度指标</w:t>
            </w:r>
          </w:p>
        </w:tc>
        <w:tc>
          <w:tcPr>
            <w:tcW w:w="91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满意度指标</w:t>
            </w:r>
          </w:p>
        </w:tc>
        <w:tc>
          <w:tcPr>
            <w:tcW w:w="2126"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给“家”多增一点绿，多添一份美</w:t>
            </w:r>
          </w:p>
        </w:tc>
        <w:tc>
          <w:tcPr>
            <w:tcW w:w="2130" w:type="dxa"/>
            <w:tcBorders>
              <w:top w:val="single" w:sz="4" w:space="0" w:color="auto"/>
              <w:left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100%</w:t>
            </w:r>
          </w:p>
        </w:tc>
        <w:tc>
          <w:tcPr>
            <w:tcW w:w="2123" w:type="dxa"/>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100%</w:t>
            </w:r>
          </w:p>
        </w:tc>
      </w:tr>
    </w:tbl>
    <w:p>
      <w:pPr>
        <w:widowControl/>
        <w:jc w:val="center"/>
        <w:textAlignment w:val="center"/>
        <w:rPr>
          <w:rFonts w:ascii="宋体" w:cs="宋体" w:hAnsi="宋体"/>
          <w:color w:val="000000"/>
          <w:sz w:val="24"/>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hint="eastAsia"/>
          <w:sz w:val="32"/>
          <w:szCs w:val="32"/>
        </w:rPr>
      </w:pPr>
    </w:p>
    <w:p>
      <w:pPr>
        <w:spacing w:line="580" w:lineRule="exact"/>
        <w:rPr>
          <w:rFonts w:ascii="仿宋_GB2312" w:eastAsia="仿宋_GB2312" w:cs="仿宋_GB2312" w:hAnsi="仿宋_GB2312" w:hint="eastAsia"/>
          <w:sz w:val="32"/>
          <w:szCs w:val="32"/>
        </w:rPr>
      </w:pPr>
    </w:p>
    <w:p>
      <w:pPr>
        <w:spacing w:line="580" w:lineRule="exact"/>
        <w:rPr>
          <w:rFonts w:ascii="仿宋_GB2312" w:eastAsia="仿宋_GB2312" w:cs="仿宋_GB2312" w:hAnsi="仿宋_GB2312" w:hint="eastAsia"/>
          <w:sz w:val="32"/>
          <w:szCs w:val="32"/>
        </w:rPr>
      </w:pPr>
    </w:p>
    <w:p>
      <w:pPr>
        <w:spacing w:line="580" w:lineRule="exact"/>
        <w:jc w:val="center"/>
        <w:rPr>
          <w:rFonts w:ascii="仿宋_GB2312" w:eastAsia="仿宋_GB2312" w:cs="仿宋_GB2312" w:hAnsi="仿宋_GB2312"/>
          <w:sz w:val="32"/>
          <w:szCs w:val="32"/>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bl>
      <w:tblPr>
        <w:jc w:val="center"/>
        <w:tblW w:w="887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24"/>
        <w:gridCol w:w="841"/>
        <w:gridCol w:w="914"/>
        <w:gridCol w:w="2132"/>
        <w:gridCol w:w="2133"/>
        <w:gridCol w:w="2130"/>
      </w:tblGrid>
      <w:tr>
        <w:trPr>
          <w:trHeight w:val="276"/>
        </w:trPr>
        <w:tc>
          <w:tcPr>
            <w:tcW w:w="24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项目名称</w:t>
            </w:r>
          </w:p>
        </w:tc>
        <w:tc>
          <w:tcPr>
            <w:tcW w:w="63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第</w:t>
            </w:r>
            <w:r>
              <w:rPr>
                <w:rFonts w:ascii="宋体" w:eastAsia="宋体" w:cs="宋体"/>
                <w:color w:val="000000"/>
                <w:szCs w:val="21"/>
              </w:rPr>
              <w:t>五次妇女代表大会</w:t>
            </w:r>
          </w:p>
        </w:tc>
      </w:tr>
      <w:tr>
        <w:trPr>
          <w:trHeight w:val="276"/>
        </w:trPr>
        <w:tc>
          <w:tcPr>
            <w:tcW w:w="24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预算单位</w:t>
            </w:r>
          </w:p>
        </w:tc>
        <w:tc>
          <w:tcPr>
            <w:tcW w:w="63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广元市利州区妇女联合会</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预算执行情况(万元)</w:t>
            </w:r>
          </w:p>
        </w:tc>
        <w:tc>
          <w:tcPr>
            <w:tcW w:w="17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预算数:</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4.5</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执行数:</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4.5</w:t>
            </w:r>
          </w:p>
        </w:tc>
      </w:tr>
      <w:tr>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17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其中-财政拨款:</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4.5</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其中-财政拨款:</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4.5</w:t>
            </w:r>
          </w:p>
        </w:tc>
      </w:tr>
      <w:tr>
        <w:trPr>
          <w:trHeight w:val="1511"/>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17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其它资金:</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0</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其它资金:</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color w:val="000000"/>
                <w:szCs w:val="21"/>
              </w:rPr>
            </w:pPr>
            <w:r>
              <w:rPr>
                <w:rFonts w:ascii="宋体" w:eastAsia="宋体" w:cs="宋体" w:hint="eastAsia"/>
                <w:color w:val="000000"/>
                <w:szCs w:val="21"/>
              </w:rPr>
              <w:t>0</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年度目标完成情况</w:t>
            </w:r>
          </w:p>
        </w:tc>
        <w:tc>
          <w:tcPr>
            <w:tcW w:w="38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预期目标</w:t>
            </w:r>
          </w:p>
        </w:tc>
        <w:tc>
          <w:tcPr>
            <w:tcW w:w="42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实际完成目标</w:t>
            </w:r>
          </w:p>
        </w:tc>
      </w:tr>
      <w:tr>
        <w:trPr>
          <w:trHeight w:val="1159"/>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38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主要任务是认真贯彻党的十八大及十八届五中、六中全会精神和区第八次党代会精神，总结我区近年来妇联的工作，审议和审查区妇联的工作报告，选举产生新一届妇联执行委员会，讨论制定今后五年我区妇女工作的奋斗目标和工作任务。</w:t>
            </w:r>
          </w:p>
        </w:tc>
        <w:tc>
          <w:tcPr>
            <w:tcW w:w="42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主要任务是认真贯彻党的十八大及十八届五中、六中全会精神和区第八次党代会精神，总结我区近年来妇联的工作，审议和审查区妇联的工作报告，选举产生新一届妇联执行委员会，讨论制定今后五年我区妇女工作的奋斗目标和工作任务。</w:t>
            </w:r>
          </w:p>
        </w:tc>
      </w:tr>
      <w:tr>
        <w:trPr>
          <w:trHeight w:val="1042"/>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绩效指标完成情况</w:t>
            </w: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一级指标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二级指标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三级指标</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预期指标值(包含数字及文字描述)</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实际完成指标值(包含数字及文字描述)</w:t>
            </w:r>
          </w:p>
        </w:tc>
      </w:tr>
      <w:tr>
        <w:trPr>
          <w:trHeight w:val="953"/>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数量指标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召开第五次妇女代表大会</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召开第五次妇女代表大会</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召开第五次妇女代表大会</w:t>
            </w:r>
          </w:p>
        </w:tc>
      </w:tr>
      <w:tr>
        <w:trPr>
          <w:trHeight w:val="1297"/>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质量指标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仿宋_GB2312"/>
                <w:bCs/>
                <w:szCs w:val="21"/>
              </w:rPr>
            </w:pPr>
            <w:r>
              <w:rPr>
                <w:rFonts w:ascii="宋体" w:eastAsia="宋体" w:cs="宋体" w:hint="eastAsia"/>
                <w:color w:val="000000"/>
                <w:szCs w:val="21"/>
              </w:rPr>
              <w:t>听取和审议利州区妇联第四届执行委员会工作报告；选举产生利州区妇联第五届执行委员会委员、常委、主席</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听取和审议利州区妇联第四届执行委员会工作报告；选举产生利州区妇联第五届执行委员会委员、常委、主席</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听取和审议了利州区妇联第四届执行委员会工作报告；选举产生了利州区妇联第五届执行委员会委员、常委、主席</w:t>
            </w:r>
          </w:p>
        </w:tc>
      </w:tr>
      <w:tr>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时效指标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2018年7月上旬召开</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2018年7月上旬召开</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已按照时间</w:t>
            </w:r>
            <w:r>
              <w:rPr>
                <w:rFonts w:ascii="宋体" w:eastAsia="宋体" w:cs="宋体" w:hint="eastAsia"/>
                <w:color w:val="000000"/>
                <w:szCs w:val="21"/>
              </w:rPr>
              <w:t xml:space="preserve">完成 </w:t>
            </w:r>
          </w:p>
        </w:tc>
      </w:tr>
      <w:tr>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项目完成指标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成本指标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4.5</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4.5</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4.5</w:t>
            </w:r>
          </w:p>
        </w:tc>
      </w:tr>
      <w:tr>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eastAsia="宋体" w:cs="宋体"/>
                <w:color w:val="000000"/>
                <w:szCs w:val="21"/>
              </w:rPr>
            </w:pPr>
            <w:r>
              <w:rPr>
                <w:rFonts w:ascii="宋体" w:eastAsia="宋体" w:cs="宋体" w:hint="eastAsia"/>
                <w:color w:val="000000"/>
                <w:szCs w:val="21"/>
              </w:rPr>
              <w:t xml:space="preserve">  效益指标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经济效益</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总结我区近年来妇联的工作，审议和审查区妇联的工作报告</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总结我区近年来妇联的工作，审议和审查区妇联的工作报告</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总结我区近年来妇联的工作，审议和审查区妇联的工作报告</w:t>
            </w:r>
          </w:p>
        </w:tc>
      </w:tr>
      <w:tr>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效益指标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社会效益</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选举产生新一届妇联执行委员会，讨论制定今后五年我区妇女工作的奋斗目标和工作任务</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选举产生新一届妇联执行委员会，讨论制定今后五年我区妇女工作的奋斗目标和工作任务</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选举了新一</w:t>
            </w:r>
            <w:r>
              <w:rPr>
                <w:rFonts w:ascii="宋体" w:eastAsia="宋体" w:cs="宋体" w:hint="eastAsia"/>
                <w:color w:val="000000"/>
                <w:szCs w:val="21"/>
              </w:rPr>
              <w:t>届妇联执行委员会，制定了近五年妇女儿童工作计划</w:t>
            </w:r>
          </w:p>
        </w:tc>
      </w:tr>
      <w:tr>
        <w:trPr>
          <w:trHeight w:val="1297"/>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效益指标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生态效益</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开拓创新，努力开创妇女工作新局面</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开拓创新，努力开创妇女工作新局面</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开拓创新，努力开创妇女工作新局面</w:t>
            </w:r>
          </w:p>
        </w:tc>
      </w:tr>
      <w:tr>
        <w:trPr>
          <w:trHeight w:val="1297"/>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效益指标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可持续效益</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进一步团结带领全区广大妇女解放思想</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进一步团结带领全区广大妇女解放思想</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进一步团结带领全区广大妇女解放思想</w:t>
            </w:r>
          </w:p>
        </w:tc>
      </w:tr>
      <w:tr>
        <w:trPr>
          <w:trHeight w:val="1050"/>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满意度指标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满意度指标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召开第五次妇女代表大会，会议选举利州区妇联第五届执行委员会委员、常委、主席、副主席</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100%</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100%</w:t>
            </w:r>
          </w:p>
        </w:tc>
      </w:tr>
    </w:tbl>
    <w:p>
      <w:pPr>
        <w:rPr>
          <w:rFonts w:ascii="Calibri" w:hAnsi="Calibri"/>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hint="eastAsia"/>
          <w:sz w:val="32"/>
          <w:szCs w:val="32"/>
        </w:rPr>
      </w:pPr>
    </w:p>
    <w:p>
      <w:pPr>
        <w:spacing w:line="580" w:lineRule="exact"/>
        <w:rPr>
          <w:rFonts w:ascii="仿宋_GB2312" w:eastAsia="仿宋_GB2312" w:cs="仿宋_GB2312" w:hAnsi="仿宋_GB2312" w:hint="eastAsia"/>
          <w:sz w:val="32"/>
          <w:szCs w:val="32"/>
        </w:rPr>
      </w:pPr>
    </w:p>
    <w:p>
      <w:pPr>
        <w:spacing w:line="580" w:lineRule="exact"/>
        <w:rPr>
          <w:rFonts w:ascii="仿宋_GB2312" w:eastAsia="仿宋_GB2312" w:cs="仿宋_GB2312" w:hAnsi="仿宋_GB2312"/>
          <w:sz w:val="32"/>
          <w:szCs w:val="32"/>
        </w:rPr>
      </w:pPr>
    </w:p>
    <w:p>
      <w:pPr>
        <w:spacing w:line="580" w:lineRule="exact"/>
        <w:jc w:val="center"/>
        <w:rPr>
          <w:rFonts w:ascii="仿宋_GB2312" w:eastAsia="仿宋_GB2312" w:cs="仿宋_GB2312" w:hAnsi="仿宋_GB2312"/>
          <w:sz w:val="32"/>
          <w:szCs w:val="32"/>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bl>
      <w:tblPr>
        <w:jc w:val="center"/>
        <w:tblW w:w="887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24"/>
        <w:gridCol w:w="841"/>
        <w:gridCol w:w="914"/>
        <w:gridCol w:w="2132"/>
        <w:gridCol w:w="2133"/>
        <w:gridCol w:w="2130"/>
      </w:tblGrid>
      <w:tr>
        <w:trPr>
          <w:trHeight w:val="276"/>
        </w:trPr>
        <w:tc>
          <w:tcPr>
            <w:tcW w:w="24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项目名称</w:t>
            </w:r>
          </w:p>
        </w:tc>
        <w:tc>
          <w:tcPr>
            <w:tcW w:w="63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两纲工作</w:t>
            </w:r>
          </w:p>
        </w:tc>
      </w:tr>
      <w:tr>
        <w:trPr>
          <w:trHeight w:val="276"/>
        </w:trPr>
        <w:tc>
          <w:tcPr>
            <w:tcW w:w="24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预算单位</w:t>
            </w:r>
          </w:p>
        </w:tc>
        <w:tc>
          <w:tcPr>
            <w:tcW w:w="63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广元市利州区妇女联合会</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预算执行情况(万元)</w:t>
            </w:r>
          </w:p>
        </w:tc>
        <w:tc>
          <w:tcPr>
            <w:tcW w:w="17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预算数:</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8</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执行数:</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8</w:t>
            </w:r>
          </w:p>
        </w:tc>
      </w:tr>
      <w:tr>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17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其中-财政拨款:</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8</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其中-财政拨款:</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4.34</w:t>
            </w:r>
          </w:p>
        </w:tc>
      </w:tr>
      <w:tr>
        <w:trPr>
          <w:trHeight w:val="1511"/>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17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其它资金:</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0</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其它资金:</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color w:val="000000"/>
                <w:szCs w:val="21"/>
              </w:rPr>
            </w:pPr>
            <w:r>
              <w:rPr>
                <w:rFonts w:ascii="宋体" w:eastAsia="宋体" w:cs="宋体" w:hint="eastAsia"/>
                <w:color w:val="000000"/>
                <w:szCs w:val="21"/>
              </w:rPr>
              <w:t>0</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年度目标完成情况</w:t>
            </w:r>
          </w:p>
        </w:tc>
        <w:tc>
          <w:tcPr>
            <w:tcW w:w="38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预期目标</w:t>
            </w:r>
          </w:p>
        </w:tc>
        <w:tc>
          <w:tcPr>
            <w:tcW w:w="42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实际完成目标</w:t>
            </w:r>
          </w:p>
        </w:tc>
      </w:tr>
      <w:tr>
        <w:trPr>
          <w:trHeight w:val="1159"/>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38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实行男女平等基本国策，保障妇女合法权益，优化妇女发展环境，推动妇女平等依法行使民主权利，平等参与经济社会发展，平等享有改革发展成果。坚持儿童优先原则，保障儿童生存、发展、受保护和参与的权利，缩小儿童发展的城乡区域差距。</w:t>
            </w:r>
          </w:p>
        </w:tc>
        <w:tc>
          <w:tcPr>
            <w:tcW w:w="42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实行男女平等基本国策，保障妇女合法权益，优化妇女发展环境，推动妇女平等依法行使民主权利，平等参与经济社会发展，平等享有改革发展成果。坚持儿童优先原则，保障儿童生存、发展、受保护和参与的权利，缩小儿童发展的城乡区域差距。</w:t>
            </w:r>
          </w:p>
        </w:tc>
      </w:tr>
      <w:tr>
        <w:trPr>
          <w:trHeight w:val="1042"/>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绩效指标完成情况</w:t>
            </w: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一级指标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二级指标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三级指标</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预期指标值(包含数字及文字描述)</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实际完成指标值(包含数字及文字描述)</w:t>
            </w:r>
          </w:p>
        </w:tc>
      </w:tr>
      <w:tr>
        <w:trPr>
          <w:trHeight w:val="953"/>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数量指标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举办两纲工作培训</w:t>
            </w:r>
            <w:r>
              <w:rPr>
                <w:rFonts w:ascii="宋体" w:eastAsia="宋体" w:cs="宋体" w:hint="eastAsia"/>
                <w:color w:val="000000"/>
                <w:szCs w:val="21"/>
              </w:rPr>
              <w:t>会、开展法制宣传</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举办两纲工作培训</w:t>
            </w:r>
            <w:r>
              <w:rPr>
                <w:rFonts w:ascii="宋体" w:eastAsia="宋体" w:cs="宋体" w:hint="eastAsia"/>
                <w:color w:val="000000"/>
                <w:szCs w:val="21"/>
              </w:rPr>
              <w:t>会、开展法制宣传</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召开</w:t>
            </w:r>
            <w:r>
              <w:rPr>
                <w:rFonts w:ascii="宋体" w:eastAsia="宋体" w:cs="宋体" w:hint="eastAsia"/>
                <w:color w:val="000000"/>
                <w:szCs w:val="21"/>
              </w:rPr>
              <w:t>2018年度妇女儿童工作会，安排部署工作；利用时间节点开展法制宣传。</w:t>
            </w:r>
          </w:p>
        </w:tc>
      </w:tr>
      <w:tr>
        <w:trPr>
          <w:trHeight w:val="1297"/>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质量指标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举办两纲工作培训</w:t>
            </w:r>
            <w:r>
              <w:rPr>
                <w:rFonts w:ascii="宋体" w:eastAsia="宋体" w:cs="宋体" w:hint="eastAsia"/>
                <w:color w:val="000000"/>
                <w:szCs w:val="21"/>
              </w:rPr>
              <w:t>会、开展法制宣传</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举办两纲工作培训</w:t>
            </w:r>
            <w:r>
              <w:rPr>
                <w:rFonts w:ascii="宋体" w:eastAsia="宋体" w:cs="宋体" w:hint="eastAsia"/>
                <w:color w:val="000000"/>
                <w:szCs w:val="21"/>
              </w:rPr>
              <w:t>会、开展法制宣传</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将“两纲”培训作为硬性任务纳入党校培训课程，并召开妇女儿童工作暨培训会；利用时间节点开展法制宣传。</w:t>
            </w:r>
          </w:p>
        </w:tc>
      </w:tr>
      <w:tr>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项目完成指标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时效指标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落实责任，积极组织，按照时间进度完成培训教育等任务</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落实责任，积极组织，按照时间进度完成培训教育等任务</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按照区妇儿工委的</w:t>
            </w:r>
            <w:r>
              <w:rPr>
                <w:rFonts w:ascii="宋体" w:eastAsia="宋体" w:cs="宋体" w:hint="eastAsia"/>
                <w:color w:val="000000"/>
                <w:szCs w:val="21"/>
                <w:lang w:eastAsia="zh-CN"/>
              </w:rPr>
              <w:t>安排</w:t>
            </w:r>
            <w:r>
              <w:rPr>
                <w:rFonts w:ascii="宋体" w:eastAsia="宋体" w:cs="宋体"/>
                <w:color w:val="000000"/>
                <w:szCs w:val="21"/>
              </w:rPr>
              <w:t>，上半年召开了工作会，其他时间节点组织开了慰问、法制宣传、培训等任务。</w:t>
            </w:r>
          </w:p>
        </w:tc>
      </w:tr>
      <w:tr>
        <w:trPr>
          <w:trHeight w:val="967"/>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项目完成指标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成本指标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8万</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8万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4.34万</w:t>
            </w:r>
          </w:p>
        </w:tc>
      </w:tr>
      <w:tr>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效益指标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经济效益</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提高妇女儿童依法维权、行政意识</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推动妇女平等依法行使民主权利、平等参与经济社会发展</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通过宣传、培训等，提高妇女儿童依法行政</w:t>
            </w:r>
            <w:r>
              <w:rPr>
                <w:rFonts w:ascii="宋体" w:eastAsia="宋体" w:cs="宋体" w:hint="eastAsia"/>
                <w:color w:val="000000"/>
                <w:szCs w:val="21"/>
                <w:lang w:eastAsia="zh-CN"/>
              </w:rPr>
              <w:t>权力</w:t>
            </w:r>
            <w:r>
              <w:rPr>
                <w:rFonts w:ascii="宋体" w:eastAsia="宋体" w:cs="宋体"/>
                <w:color w:val="000000"/>
                <w:szCs w:val="21"/>
              </w:rPr>
              <w:t>的意识</w:t>
            </w:r>
          </w:p>
        </w:tc>
      </w:tr>
      <w:tr>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效益指标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社会效益</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保障妇女平等享有权利和机会</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妇女儿童的合法权益得到有效保护</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通过宣传、培训等，提高妇女儿童依法维权的意识</w:t>
            </w:r>
          </w:p>
        </w:tc>
      </w:tr>
      <w:tr>
        <w:trPr>
          <w:trHeight w:val="1297"/>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效益指标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生态效益</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妇女儿童的环境更为优化</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创建友好</w:t>
            </w:r>
            <w:r>
              <w:rPr>
                <w:rFonts w:ascii="宋体" w:eastAsia="宋体" w:cs="宋体" w:hint="eastAsia"/>
                <w:color w:val="000000"/>
                <w:szCs w:val="21"/>
              </w:rPr>
              <w:t>型社会环境</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进一步推动社会和谐发</w:t>
            </w:r>
            <w:r>
              <w:rPr>
                <w:rFonts w:ascii="宋体" w:eastAsia="宋体" w:cs="宋体" w:hint="eastAsia"/>
                <w:color w:val="000000"/>
                <w:szCs w:val="21"/>
              </w:rPr>
              <w:t>展</w:t>
            </w:r>
          </w:p>
        </w:tc>
      </w:tr>
      <w:tr>
        <w:trPr>
          <w:trHeight w:val="1297"/>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Cs w:val="21"/>
              </w:rPr>
            </w:pPr>
            <w:r>
              <w:rPr>
                <w:rFonts w:ascii="宋体" w:eastAsia="宋体" w:cs="宋体" w:hint="eastAsia"/>
                <w:color w:val="000000"/>
                <w:kern w:val="0"/>
                <w:szCs w:val="21"/>
              </w:rPr>
              <w:t>效益指标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可持续效益</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保障妇女儿童权益的法律体系更加完善</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促进社会和谐发展</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通过宣传、培训等，提高妇女儿童依法维权的意识</w:t>
            </w:r>
          </w:p>
        </w:tc>
      </w:tr>
      <w:tr>
        <w:trPr>
          <w:trHeight w:val="1050"/>
        </w:trPr>
        <w:tc>
          <w:tcPr>
            <w:tcW w:w="724" w:type="dxa"/>
            <w:vMerge/>
            <w:tcBorders>
              <w:top w:val="single" w:sz="4" w:space="0" w:color="000000"/>
              <w:left w:val="single" w:sz="4" w:space="0" w:color="000000"/>
              <w:bottom w:val="single" w:sz="4" w:space="0" w:color="000000"/>
              <w:right w:val="single" w:sz="4" w:space="0" w:color="000000"/>
            </w:tcBorders>
            <w:vAlign w:val="center"/>
          </w:tcP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满意度指标</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满意度指标</w:t>
            </w:r>
          </w:p>
        </w:tc>
        <w:tc>
          <w:tcPr>
            <w:tcW w:w="21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color w:val="000000"/>
                <w:szCs w:val="21"/>
              </w:rPr>
              <w:t>切实保障妇女儿童的可持续发展</w:t>
            </w:r>
          </w:p>
        </w:tc>
        <w:tc>
          <w:tcPr>
            <w:tcW w:w="21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98%</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szCs w:val="21"/>
              </w:rPr>
              <w:t>98%</w:t>
            </w:r>
          </w:p>
        </w:tc>
      </w:tr>
    </w:tbl>
    <w:p>
      <w:pPr>
        <w:rPr>
          <w:rFonts w:ascii="Calibri" w:hAnsi="Calibri"/>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黑体" w:eastAsia="黑体" w:cs="宋体" w:hAnsi="黑体" w:hint="eastAsia"/>
          <w:bCs/>
          <w:color w:val="000000"/>
          <w:kern w:val="0"/>
          <w:sz w:val="36"/>
          <w:szCs w:val="36"/>
        </w:rPr>
      </w:pPr>
    </w:p>
    <w:p>
      <w:pPr>
        <w:spacing w:line="580" w:lineRule="exact"/>
        <w:rPr>
          <w:rFonts w:ascii="黑体" w:eastAsia="黑体" w:cs="宋体" w:hAnsi="黑体" w:hint="eastAsia"/>
          <w:bCs/>
          <w:color w:val="000000"/>
          <w:kern w:val="0"/>
          <w:sz w:val="36"/>
          <w:szCs w:val="36"/>
        </w:rPr>
      </w:pPr>
    </w:p>
    <w:p>
      <w:pPr>
        <w:spacing w:line="580" w:lineRule="exact"/>
        <w:jc w:val="center"/>
        <w:rPr>
          <w:rFonts w:ascii="仿宋_GB2312" w:eastAsia="仿宋_GB2312" w:cs="仿宋_GB2312" w:hAnsi="仿宋_GB2312"/>
          <w:sz w:val="32"/>
          <w:szCs w:val="32"/>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bl>
      <w:tblPr>
        <w:jc w:val="center"/>
        <w:tblW w:w="887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66"/>
        <w:gridCol w:w="733"/>
        <w:gridCol w:w="905"/>
        <w:gridCol w:w="2123"/>
        <w:gridCol w:w="2124"/>
        <w:gridCol w:w="2123"/>
      </w:tblGrid>
      <w:tr>
        <w:trPr>
          <w:trHeight w:val="276"/>
        </w:trPr>
        <w:tc>
          <w:tcPr>
            <w:tcW w:w="25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项目名称</w:t>
            </w:r>
          </w:p>
        </w:tc>
        <w:tc>
          <w:tcPr>
            <w:tcW w:w="63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春</w:t>
            </w:r>
            <w:r>
              <w:rPr>
                <w:rFonts w:ascii="宋体" w:cs="宋体" w:hAnsi="宋体"/>
                <w:color w:val="000000"/>
                <w:szCs w:val="21"/>
              </w:rPr>
              <w:t>节慰问</w:t>
            </w:r>
          </w:p>
        </w:tc>
      </w:tr>
      <w:tr>
        <w:trPr>
          <w:trHeight w:val="276"/>
        </w:trPr>
        <w:tc>
          <w:tcPr>
            <w:tcW w:w="25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预算单位</w:t>
            </w:r>
          </w:p>
        </w:tc>
        <w:tc>
          <w:tcPr>
            <w:tcW w:w="63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广元市利州区妇女联合会</w:t>
            </w:r>
          </w:p>
        </w:tc>
      </w:tr>
      <w:tr>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预算执行情况(万元)</w:t>
            </w:r>
          </w:p>
        </w:tc>
        <w:tc>
          <w:tcPr>
            <w:tcW w:w="16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预算数:</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5</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执行数:</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5</w:t>
            </w:r>
          </w:p>
        </w:tc>
      </w:tr>
      <w:tr>
        <w:trPr>
          <w:trHeight w:val="276"/>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16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5</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5</w:t>
            </w:r>
          </w:p>
        </w:tc>
      </w:tr>
      <w:tr>
        <w:trPr>
          <w:trHeight w:val="1511"/>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16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0</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Cs w:val="21"/>
              </w:rPr>
            </w:pPr>
            <w:r>
              <w:rPr>
                <w:rFonts w:ascii="宋体" w:cs="宋体" w:hAnsi="宋体" w:hint="eastAsia"/>
                <w:color w:val="000000"/>
                <w:szCs w:val="21"/>
              </w:rPr>
              <w:t>0</w:t>
            </w:r>
          </w:p>
        </w:tc>
      </w:tr>
      <w:tr>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年度目标完成情况</w:t>
            </w:r>
          </w:p>
        </w:tc>
        <w:tc>
          <w:tcPr>
            <w:tcW w:w="37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预期目标</w:t>
            </w:r>
          </w:p>
        </w:tc>
        <w:tc>
          <w:tcPr>
            <w:tcW w:w="42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实际完成目标</w:t>
            </w:r>
          </w:p>
        </w:tc>
      </w:tr>
      <w:tr>
        <w:trPr>
          <w:trHeight w:val="1159"/>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37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加</w:t>
            </w:r>
            <w:r>
              <w:rPr>
                <w:rFonts w:ascii="宋体" w:cs="宋体" w:hAnsi="宋体"/>
                <w:color w:val="000000"/>
                <w:szCs w:val="21"/>
              </w:rPr>
              <w:t>强困难妇女儿童救助，开展惠民活动</w:t>
            </w:r>
          </w:p>
        </w:tc>
        <w:tc>
          <w:tcPr>
            <w:tcW w:w="42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加强困难妇女儿童救助，开展义诊、防艾等活动</w:t>
            </w:r>
          </w:p>
        </w:tc>
      </w:tr>
      <w:tr>
        <w:trPr>
          <w:trHeight w:val="1042"/>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绩效指标完成情况</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一级指标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二级指标</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三级指标</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预期指标值(包含数字及文字描述)</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实际完成指标值(包含数字及文字描述)</w:t>
            </w:r>
          </w:p>
        </w:tc>
      </w:tr>
      <w:tr>
        <w:trPr>
          <w:trHeight w:val="953"/>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数量指标</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开展困难妇女儿童救助、开展惠民活动</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开展困难妇女儿童救助、开展惠民活动</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结合“走基层、访妇情”活动，加大对贫困母亲、留守流动儿童的救助力度</w:t>
            </w:r>
          </w:p>
        </w:tc>
      </w:tr>
      <w:tr>
        <w:trPr>
          <w:trHeight w:val="1297"/>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质量指标</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开展困难妇女儿童救助、开展惠民活动</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开展困难妇女儿童救助、开展惠民活动</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三八节期间开展义诊、联合相关单位到乡镇开展义诊，举办防艾知识讲座。</w:t>
            </w:r>
          </w:p>
        </w:tc>
      </w:tr>
      <w:tr>
        <w:trPr>
          <w:trHeight w:val="1042"/>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时效指标</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落实责任，积极组织，按照时间进度完成</w:t>
            </w:r>
            <w:r>
              <w:rPr>
                <w:rFonts w:ascii="宋体" w:cs="宋体" w:hAnsi="宋体" w:hint="eastAsia"/>
                <w:color w:val="000000"/>
                <w:szCs w:val="21"/>
              </w:rPr>
              <w:t>慰</w:t>
            </w:r>
            <w:r>
              <w:rPr>
                <w:rFonts w:ascii="宋体" w:cs="宋体" w:hAnsi="宋体"/>
                <w:color w:val="000000"/>
                <w:szCs w:val="21"/>
              </w:rPr>
              <w:t>问、活动开展等任务</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落实责任，积极组织，按照时间进度完成</w:t>
            </w:r>
            <w:r>
              <w:rPr>
                <w:rFonts w:ascii="宋体" w:cs="宋体" w:hAnsi="宋体" w:hint="eastAsia"/>
                <w:color w:val="000000"/>
                <w:szCs w:val="21"/>
              </w:rPr>
              <w:t>慰问、活动开展</w:t>
            </w:r>
            <w:r>
              <w:rPr>
                <w:rFonts w:ascii="宋体" w:cs="宋体" w:hAnsi="宋体"/>
                <w:color w:val="000000"/>
                <w:szCs w:val="21"/>
              </w:rPr>
              <w:t>等任务</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按照</w:t>
            </w:r>
            <w:r>
              <w:rPr>
                <w:rFonts w:ascii="宋体" w:cs="宋体" w:hAnsi="宋体" w:hint="eastAsia"/>
                <w:color w:val="000000"/>
                <w:szCs w:val="21"/>
              </w:rPr>
              <w:t>任务</w:t>
            </w:r>
            <w:r>
              <w:rPr>
                <w:rFonts w:ascii="宋体" w:cs="宋体" w:hAnsi="宋体"/>
                <w:color w:val="000000"/>
                <w:szCs w:val="21"/>
              </w:rPr>
              <w:t>工作要求，利用时间节点组织开了慰问、</w:t>
            </w:r>
            <w:r>
              <w:rPr>
                <w:rFonts w:ascii="宋体" w:cs="宋体" w:hAnsi="宋体" w:hint="eastAsia"/>
                <w:color w:val="000000"/>
                <w:szCs w:val="21"/>
              </w:rPr>
              <w:t>义</w:t>
            </w:r>
            <w:r>
              <w:rPr>
                <w:rFonts w:ascii="宋体" w:cs="宋体" w:hAnsi="宋体"/>
                <w:color w:val="000000"/>
                <w:szCs w:val="21"/>
              </w:rPr>
              <w:t>诊等活动。</w:t>
            </w:r>
          </w:p>
        </w:tc>
      </w:tr>
      <w:tr>
        <w:trPr>
          <w:trHeight w:val="1042"/>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Cs w:val="21"/>
              </w:rPr>
            </w:pPr>
            <w:r>
              <w:rPr>
                <w:rFonts w:ascii="宋体" w:cs="宋体" w:hAnsi="宋体" w:hint="eastAsia"/>
                <w:color w:val="000000"/>
                <w:kern w:val="0"/>
                <w:szCs w:val="21"/>
              </w:rPr>
              <w:t>项目完成指标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成本指标</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5</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5</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5</w:t>
            </w:r>
          </w:p>
        </w:tc>
      </w:tr>
      <w:tr>
        <w:trPr>
          <w:trHeight w:val="1042"/>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效益指标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经济效益</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加强贫困妇女儿童关爱救助的力度</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加强贫困妇女儿童关爱救助的力度</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加强贫困妇女儿童关爱救助的力度</w:t>
            </w:r>
          </w:p>
        </w:tc>
      </w:tr>
      <w:tr>
        <w:trPr>
          <w:trHeight w:val="1042"/>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效益指标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社会效益</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提高社会关心关爱贫困妇女儿童的意识</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提高社会关心关爱贫困妇女儿童的意识</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组织党员干部入户走访、了解群众生产生活困难</w:t>
            </w:r>
          </w:p>
        </w:tc>
      </w:tr>
      <w:tr>
        <w:trPr>
          <w:trHeight w:val="1297"/>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效益指标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生态效益</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加大对贫困母亲、儿童的救助帮扶力度</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加大对贫困母亲、儿童的救助帮扶力度</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于春节、三八、六一等节日节点慰问关爱贫困妇女儿童，发放慰问金和物资。</w:t>
            </w:r>
          </w:p>
        </w:tc>
      </w:tr>
      <w:tr>
        <w:trPr>
          <w:trHeight w:val="1297"/>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Cs w:val="21"/>
              </w:rPr>
            </w:pPr>
            <w:r>
              <w:rPr>
                <w:rFonts w:ascii="宋体" w:cs="宋体" w:hAnsi="宋体" w:hint="eastAsia"/>
                <w:color w:val="000000"/>
                <w:kern w:val="0"/>
                <w:szCs w:val="21"/>
              </w:rPr>
              <w:t>效益指标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可持续效益</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引导广大妇女树立健康生活的理念</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引导广大妇女树立健康生活的理念</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宣传妇科保健知识，开展关爱妇女健康爱心义诊活动；应急救护活动。</w:t>
            </w:r>
          </w:p>
        </w:tc>
      </w:tr>
      <w:tr>
        <w:trPr>
          <w:trHeight w:val="1050"/>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kern w:val="0"/>
                <w:szCs w:val="21"/>
              </w:rPr>
              <w:t>满意度指标</w:t>
            </w:r>
          </w:p>
        </w:tc>
        <w:tc>
          <w:tcPr>
            <w:tcW w:w="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满意度指标</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color w:val="000000"/>
                <w:szCs w:val="21"/>
              </w:rPr>
              <w:t>深入开展贫困妇女儿童关爱救助</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98%</w:t>
            </w:r>
          </w:p>
        </w:tc>
        <w:tc>
          <w:tcPr>
            <w:tcW w:w="2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Cs w:val="21"/>
              </w:rPr>
            </w:pPr>
            <w:r>
              <w:rPr>
                <w:rFonts w:ascii="宋体" w:cs="宋体" w:hAnsi="宋体" w:hint="eastAsia"/>
                <w:color w:val="000000"/>
                <w:szCs w:val="21"/>
              </w:rPr>
              <w:t>98%</w:t>
            </w:r>
          </w:p>
        </w:tc>
      </w:tr>
    </w:tbl>
    <w:p>
      <w:pPr>
        <w:rPr>
          <w:rFonts w:ascii="Calibri" w:hAnsi="Calibri"/>
        </w:rPr>
      </w:pPr>
    </w:p>
    <w:p>
      <w:pPr>
        <w:numPr>
          <w:ilvl w:val="0"/>
          <w:numId w:val="4"/>
        </w:numPr>
        <w:spacing w:line="580" w:lineRule="exact"/>
        <w:ind w:left="0" w:firstLineChars="200" w:firstLine="640"/>
        <w:rPr>
          <w:rFonts w:ascii="仿宋" w:eastAsia="仿宋" w:cs="仿宋_GB2312" w:hAnsi="仿宋"/>
          <w:sz w:val="32"/>
          <w:szCs w:val="32"/>
        </w:rPr>
      </w:pPr>
      <w:r>
        <w:rPr>
          <w:rFonts w:ascii="仿宋" w:eastAsia="仿宋" w:cs="楷体_GB2312" w:hAnsi="仿宋" w:hint="eastAsia"/>
          <w:b/>
          <w:bCs/>
          <w:sz w:val="32"/>
          <w:szCs w:val="32"/>
        </w:rPr>
        <w:t>部门开展绩效评价结果。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本部门按要求对2018年部门整体支出绩效评价情况开展自评，《利州区妇联部门2018年部门整体支出绩效评价报告》见附件。</w:t>
      </w:r>
    </w:p>
    <w:p>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8年，利州区妇联机关运行经费支出8.08万元，比</w:t>
      </w:r>
      <w:r>
        <w:rPr>
          <w:rFonts w:ascii="仿宋_GB2312" w:eastAsia="仿宋_GB2312"/>
          <w:color w:val="000000"/>
          <w:sz w:val="32"/>
          <w:szCs w:val="32"/>
        </w:rPr>
        <w:t>201</w:t>
      </w:r>
      <w:r>
        <w:rPr>
          <w:rFonts w:ascii="仿宋_GB2312" w:eastAsia="仿宋_GB2312" w:hint="eastAsia"/>
          <w:color w:val="000000"/>
          <w:sz w:val="32"/>
          <w:szCs w:val="32"/>
        </w:rPr>
        <w:t>7年减少3.1万元，下降28</w:t>
      </w:r>
      <w:r>
        <w:rPr>
          <w:rFonts w:ascii="仿宋_GB2312" w:eastAsia="仿宋_GB2312"/>
          <w:color w:val="000000"/>
          <w:sz w:val="32"/>
          <w:szCs w:val="32"/>
        </w:rPr>
        <w:t>%</w:t>
      </w:r>
      <w:r>
        <w:rPr>
          <w:rFonts w:ascii="仿宋_GB2312" w:eastAsia="仿宋_GB2312" w:hint="eastAsia"/>
          <w:color w:val="000000"/>
          <w:sz w:val="32"/>
          <w:szCs w:val="32"/>
        </w:rPr>
        <w:t>。主要原因是按照区委、区政府的要求，进一步完善了各项事前审批制度，严格按照事前审批权限要求严控机关日常运行经费开支。</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8年，利州区妇联政府采购支出总额0万元，其中：政府采购货物支出0万元、政府采购工程支出0万元、政府采购服务支出0万元。</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日，利</w:t>
      </w:r>
      <w:r>
        <w:rPr>
          <w:rFonts w:ascii="仿宋_GB2312" w:eastAsia="仿宋_GB2312"/>
          <w:color w:val="000000"/>
          <w:sz w:val="32"/>
          <w:szCs w:val="32"/>
        </w:rPr>
        <w:t>州区妇联</w:t>
      </w:r>
      <w:r>
        <w:rPr>
          <w:rFonts w:ascii="仿宋_GB2312" w:eastAsia="仿宋_GB2312" w:hint="eastAsia"/>
          <w:color w:val="000000"/>
          <w:sz w:val="32"/>
          <w:szCs w:val="32"/>
        </w:rPr>
        <w:t>共有车辆0辆，其中：部级领导干部用车0辆、一般公务用车0辆、一般执法执勤用车0辆、特种专业技术用车0辆、其他用车0辆，单价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pPr>
        <w:spacing w:line="600" w:lineRule="atLeast"/>
        <w:ind w:firstLineChars="200" w:firstLine="64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left="0"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b/>
          <w:color w:val="000000"/>
          <w:sz w:val="44"/>
          <w:szCs w:val="44"/>
        </w:rPr>
        <w:t>名</w:t>
      </w:r>
      <w:r>
        <w:rPr>
          <w:rStyle w:val="1Char"/>
          <w:rFonts w:ascii="黑体" w:eastAsia="黑体" w:hAnsi="黑体" w:hint="eastAsia"/>
          <w:b w:val="0"/>
        </w:rPr>
        <w:t>词解释</w:t>
      </w:r>
      <w:bookmarkEnd w:id="56"/>
      <w:bookmarkEnd w:id="57"/>
    </w:p>
    <w:p>
      <w:pPr>
        <w:spacing w:line="600" w:lineRule="exact"/>
        <w:jc w:val="left"/>
        <w:rPr>
          <w:rFonts w:ascii="宋体"/>
          <w:b/>
          <w:color w:val="000000"/>
          <w:sz w:val="44"/>
          <w:szCs w:val="44"/>
        </w:rPr>
      </w:pPr>
    </w:p>
    <w:p>
      <w:pPr>
        <w:pStyle w:val="28"/>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olor w:val="FF0000"/>
          <w:sz w:val="32"/>
          <w:szCs w:val="32"/>
        </w:rPr>
      </w:pPr>
      <w:r>
        <w:rPr>
          <w:rFonts w:ascii="仿宋_GB2312" w:eastAsia="仿宋_GB2312"/>
          <w:color w:val="FF0000"/>
          <w:sz w:val="32"/>
          <w:szCs w:val="32"/>
        </w:rPr>
        <w:t>9.</w:t>
      </w:r>
      <w:r>
        <w:rPr>
          <w:rFonts w:ascii="仿宋_GB2312" w:eastAsia="仿宋_GB2312" w:hint="eastAsia"/>
          <w:color w:val="FF0000"/>
          <w:sz w:val="32"/>
          <w:szCs w:val="32"/>
        </w:rPr>
        <w:t>一般公共服务（类）群众团体事务（款）行政运行（项）：指反映妇联参照公务员法管理单位的基本支出。</w:t>
      </w:r>
    </w:p>
    <w:p>
      <w:pPr>
        <w:ind w:firstLineChars="200" w:firstLine="640"/>
        <w:rPr>
          <w:rFonts w:ascii="仿宋_GB2312" w:eastAsia="仿宋_GB2312"/>
          <w:color w:val="FF0000"/>
          <w:sz w:val="32"/>
          <w:szCs w:val="32"/>
        </w:rPr>
      </w:pPr>
      <w:r>
        <w:rPr>
          <w:rFonts w:ascii="仿宋_GB2312" w:eastAsia="仿宋_GB2312" w:hint="eastAsia"/>
          <w:color w:val="FF0000"/>
          <w:sz w:val="32"/>
          <w:szCs w:val="32"/>
        </w:rPr>
        <w:t>10.一般公共服务（类）群众团体事务（款）一般行政管理事务（项）：指反映参公单位未单独设置项级科目的其它项目支出。</w:t>
      </w:r>
    </w:p>
    <w:p>
      <w:pPr>
        <w:ind w:firstLineChars="200" w:firstLine="640"/>
        <w:rPr>
          <w:rFonts w:ascii="仿宋_GB2312" w:eastAsia="仿宋_GB2312"/>
          <w:color w:val="FF0000"/>
          <w:sz w:val="32"/>
          <w:szCs w:val="32"/>
        </w:rPr>
      </w:pPr>
      <w:r>
        <w:rPr>
          <w:rFonts w:ascii="仿宋_GB2312" w:eastAsia="仿宋_GB2312" w:hint="eastAsia"/>
          <w:color w:val="FF0000"/>
          <w:sz w:val="32"/>
          <w:szCs w:val="32"/>
        </w:rPr>
        <w:t>11.一般公共服务（类）群众团体事务（款）其他群众团体事务支出（项）：指反映参公单位单独设置项级科目的项目支出。</w:t>
      </w:r>
    </w:p>
    <w:p>
      <w:pPr>
        <w:ind w:firstLineChars="200" w:firstLine="640"/>
        <w:rPr>
          <w:rFonts w:ascii="仿宋_GB2312" w:eastAsia="仿宋_GB2312"/>
          <w:color w:val="FF0000"/>
          <w:sz w:val="32"/>
          <w:szCs w:val="32"/>
        </w:rPr>
      </w:pPr>
      <w:r>
        <w:rPr>
          <w:rFonts w:ascii="仿宋_GB2312" w:eastAsia="仿宋_GB2312" w:hint="eastAsia"/>
          <w:color w:val="FF0000"/>
          <w:sz w:val="32"/>
          <w:szCs w:val="32"/>
        </w:rPr>
        <w:t>12．社会保障和就业（类）行政事业单位离退休（款）机关事业单位基本养老保险缴费支出（项）：指机关事业单位实施养老保险制度由单位缴纳的基本养老保险费支出。</w:t>
      </w:r>
    </w:p>
    <w:p>
      <w:pPr>
        <w:ind w:firstLineChars="200" w:firstLine="640"/>
        <w:rPr>
          <w:rFonts w:ascii="仿宋_GB2312" w:eastAsia="仿宋_GB2312"/>
          <w:color w:val="FF0000"/>
          <w:sz w:val="32"/>
          <w:szCs w:val="32"/>
        </w:rPr>
      </w:pPr>
      <w:r>
        <w:rPr>
          <w:rFonts w:ascii="仿宋_GB2312" w:eastAsia="仿宋_GB2312"/>
          <w:color w:val="FF0000"/>
          <w:sz w:val="32"/>
          <w:szCs w:val="32"/>
        </w:rPr>
        <w:t>1</w:t>
      </w:r>
      <w:r>
        <w:rPr>
          <w:rFonts w:ascii="仿宋_GB2312" w:eastAsia="仿宋_GB2312" w:hint="eastAsia"/>
          <w:color w:val="FF0000"/>
          <w:sz w:val="32"/>
          <w:szCs w:val="32"/>
        </w:rPr>
        <w:t>3</w:t>
      </w:r>
      <w:r>
        <w:rPr>
          <w:rFonts w:ascii="仿宋_GB2312" w:eastAsia="仿宋_GB2312"/>
          <w:color w:val="FF0000"/>
          <w:sz w:val="32"/>
          <w:szCs w:val="32"/>
        </w:rPr>
        <w:t>.</w:t>
      </w:r>
      <w:r>
        <w:rPr>
          <w:rFonts w:ascii="仿宋_GB2312" w:eastAsia="仿宋_GB2312" w:hint="eastAsia"/>
          <w:color w:val="FF0000"/>
          <w:sz w:val="32"/>
          <w:szCs w:val="32"/>
        </w:rPr>
        <w:t>医疗卫生与计划生育（类）行政事业单位医疗（款）行政单位医疗（项）：指财政部门安排的行政单位（包括实行公务员管理的事业单位，下同）基本医疗保险缴费经费。</w:t>
      </w:r>
    </w:p>
    <w:p>
      <w:pPr>
        <w:ind w:firstLineChars="200" w:firstLine="640"/>
        <w:rPr>
          <w:rFonts w:ascii="仿宋_GB2312" w:eastAsia="仿宋_GB2312"/>
          <w:color w:val="FF0000"/>
          <w:sz w:val="32"/>
          <w:szCs w:val="32"/>
        </w:rPr>
      </w:pPr>
      <w:r>
        <w:rPr>
          <w:rFonts w:ascii="仿宋_GB2312" w:eastAsia="仿宋_GB2312" w:hint="eastAsia"/>
          <w:color w:val="FF0000"/>
          <w:sz w:val="32"/>
          <w:szCs w:val="32"/>
        </w:rPr>
        <w:t>14</w:t>
      </w:r>
      <w:r>
        <w:rPr>
          <w:rFonts w:ascii="仿宋_GB2312" w:eastAsia="仿宋_GB2312"/>
          <w:color w:val="FF0000"/>
          <w:sz w:val="32"/>
          <w:szCs w:val="32"/>
        </w:rPr>
        <w:t>.</w:t>
      </w:r>
      <w:r>
        <w:rPr>
          <w:rFonts w:ascii="仿宋_GB2312" w:eastAsia="仿宋_GB2312" w:hint="eastAsia"/>
          <w:color w:val="FF0000"/>
          <w:sz w:val="32"/>
          <w:szCs w:val="32"/>
        </w:rPr>
        <w:t>住房保障（类）住房改革支出（款）住房公积金（项）：指指行政事业单位按人力资源和社会保障部、财政部规定的基本工资和津贴补贴以及规定比例为职工缴纳的住房公积金。</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pPr>
        <w:pStyle w:val="28"/>
        <w:spacing w:line="560"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pPr>
        <w:spacing w:line="600" w:lineRule="exact"/>
        <w:jc w:val="center"/>
        <w:outlineLvl w:val="0"/>
        <w:rPr>
          <w:rStyle w:val="1Char"/>
        </w:rPr>
      </w:pPr>
    </w:p>
    <w:p>
      <w:pPr>
        <w:pStyle w:val="2"/>
        <w:rPr>
          <w:rStyle w:val="1Char"/>
          <w:rFonts w:ascii="仿宋" w:eastAsia="仿宋" w:hAnsi="仿宋"/>
          <w:b w:val="0"/>
          <w:bCs w:val="0"/>
          <w:sz w:val="32"/>
          <w:szCs w:val="32"/>
        </w:rPr>
      </w:pPr>
      <w:bookmarkStart w:id="60" w:name="_Toc15396615"/>
      <w:r>
        <w:rPr>
          <w:rStyle w:val="1Char"/>
          <w:rFonts w:ascii="仿宋" w:eastAsia="仿宋" w:hAnsi="仿宋" w:hint="eastAsia"/>
          <w:b w:val="0"/>
          <w:bCs w:val="0"/>
          <w:sz w:val="32"/>
          <w:szCs w:val="32"/>
        </w:rPr>
        <w:t>附件1</w:t>
      </w:r>
      <w:bookmarkEnd w:id="60"/>
    </w:p>
    <w:p>
      <w:pPr>
        <w:spacing w:line="600" w:lineRule="exact"/>
        <w:jc w:val="center"/>
        <w:outlineLvl w:val="0"/>
        <w:rPr>
          <w:rFonts w:ascii="黑体" w:eastAsia="黑体" w:cs="方正小标宋简体" w:hAnsi="黑体"/>
          <w:sz w:val="36"/>
          <w:szCs w:val="36"/>
        </w:rPr>
      </w:pPr>
      <w:bookmarkStart w:id="61" w:name="_Toc15396616"/>
      <w:r>
        <w:rPr>
          <w:rFonts w:ascii="黑体" w:eastAsia="黑体" w:cs="方正小标宋简体" w:hAnsi="黑体" w:hint="eastAsia"/>
          <w:sz w:val="36"/>
          <w:szCs w:val="36"/>
        </w:rPr>
        <w:t>利州区妇联2018年部门整体支出绩效评价报告</w:t>
      </w:r>
      <w:bookmarkEnd w:id="61"/>
    </w:p>
    <w:p>
      <w:pPr>
        <w:spacing w:line="580" w:lineRule="exact"/>
        <w:ind w:firstLineChars="200" w:firstLine="640"/>
        <w:rPr>
          <w:rFonts w:ascii="黑体" w:eastAsia="黑体" w:cs="黑体" w:hAnsi="黑体"/>
          <w:sz w:val="32"/>
          <w:szCs w:val="32"/>
        </w:rPr>
      </w:pP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一、部门（单位）概况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（一）机构组成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本部门是参照公务员法管理单位，属一级财政预算单位，受区委区政府领导，岗位设置为主席、副主席、办公室和妇女儿童权益办公室。</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（二）机构职能</w:t>
      </w:r>
    </w:p>
    <w:p>
      <w:pPr>
        <w:spacing w:line="560" w:lineRule="exact"/>
        <w:ind w:firstLineChars="200" w:firstLine="640"/>
        <w:rPr>
          <w:rFonts w:ascii="仿宋" w:eastAsia="仿宋" w:cs="仿宋" w:hAnsi="仿宋"/>
          <w:sz w:val="32"/>
          <w:szCs w:val="32"/>
        </w:rPr>
      </w:pPr>
      <w:r>
        <w:rPr>
          <w:rFonts w:ascii="仿宋" w:eastAsia="仿宋" w:cs="仿宋" w:hAnsi="仿宋" w:hint="eastAsia"/>
          <w:sz w:val="32"/>
          <w:szCs w:val="32"/>
        </w:rPr>
        <w:t>指导各级妇联依据《中华全国妇女联合会章程》和妇女代表大会的决议，开展妇女儿童工作；调查研究我区不同地区妇女儿童的情况、问题；指导和推动全区农村妇女的“双学双赛”和城镇妇女的“巾帼建功”活动；指导各级妇联的宣传舆论工作，教育、引导广大妇女增强自尊、自信、自立、自强的精神，开展培训，全面提高妇女素质；代表妇女参与国家和社会事务的民主管理，切实维护妇女儿童的合法权益，协调和推动社会各界为妇女儿童办实事、办好事；承担区政府妇女儿童工作委员会的日常工作；承办区委、区政府交办的其它事项。</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（三）人员概况</w:t>
      </w:r>
    </w:p>
    <w:p>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本部门编制数8名，2018年在编人员7名，其中3名行政编制，4名事业编制。</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二、部门财政资金收支情况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（一）部门财政资金收入情况</w:t>
      </w:r>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8年本年收入合计130.74万元，其中：一般公共预算财政拨款收入130.74万元，占100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（二）部门财政资金支出情况</w:t>
      </w:r>
    </w:p>
    <w:p>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8年本年支出合计127.24万元，其中：基本支出94.24万元，占74</w:t>
      </w:r>
      <w:r>
        <w:rPr>
          <w:rFonts w:ascii="仿宋" w:eastAsia="仿宋" w:hAnsi="仿宋"/>
          <w:color w:val="000000"/>
          <w:sz w:val="32"/>
          <w:szCs w:val="32"/>
        </w:rPr>
        <w:t>%</w:t>
      </w:r>
      <w:r>
        <w:rPr>
          <w:rFonts w:ascii="仿宋" w:eastAsia="仿宋" w:hAnsi="仿宋" w:hint="eastAsia"/>
          <w:color w:val="000000"/>
          <w:sz w:val="32"/>
          <w:szCs w:val="32"/>
        </w:rPr>
        <w:t>；项目支出33万元，占26</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三、部门整体预算绩效管理情况（根据适用指标体系进行调整）</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（一）部门预算管理。</w:t>
      </w:r>
    </w:p>
    <w:p>
      <w:pPr>
        <w:overflowPunct w:val="0"/>
        <w:spacing w:line="576" w:lineRule="exact"/>
        <w:ind w:firstLineChars="200" w:firstLine="640"/>
        <w:rPr>
          <w:rFonts w:ascii="仿宋" w:eastAsia="方正仿宋简体" w:cs="仿宋_GB2312" w:hAnsi="仿宋"/>
          <w:color w:val="000000"/>
          <w:sz w:val="32"/>
          <w:szCs w:val="32"/>
        </w:rPr>
      </w:pPr>
      <w:r>
        <w:rPr>
          <w:rFonts w:ascii="仿宋" w:eastAsia="方正仿宋简体" w:cs="仿宋_GB2312" w:hAnsi="仿宋" w:hint="eastAsia"/>
          <w:color w:val="000000"/>
          <w:sz w:val="32"/>
          <w:szCs w:val="32"/>
        </w:rPr>
        <w:t>1.严格按</w:t>
      </w:r>
      <w:r>
        <w:rPr>
          <w:rFonts w:ascii="仿宋" w:eastAsia="方正仿宋简体" w:cs="仿宋_GB2312" w:hAnsi="仿宋"/>
          <w:color w:val="000000"/>
          <w:sz w:val="32"/>
          <w:szCs w:val="32"/>
        </w:rPr>
        <w:t>区财政</w:t>
      </w:r>
      <w:r>
        <w:rPr>
          <w:rFonts w:ascii="仿宋" w:eastAsia="方正仿宋简体" w:cs="仿宋_GB2312" w:hAnsi="仿宋" w:hint="eastAsia"/>
          <w:color w:val="000000"/>
          <w:sz w:val="32"/>
          <w:szCs w:val="32"/>
        </w:rPr>
        <w:t>部门</w:t>
      </w:r>
      <w:r>
        <w:rPr>
          <w:rFonts w:ascii="仿宋" w:eastAsia="方正仿宋简体" w:cs="仿宋_GB2312" w:hAnsi="仿宋"/>
          <w:color w:val="000000"/>
          <w:sz w:val="32"/>
          <w:szCs w:val="32"/>
        </w:rPr>
        <w:t>预算要求，</w:t>
      </w:r>
      <w:r>
        <w:rPr>
          <w:rFonts w:ascii="仿宋" w:eastAsia="方正仿宋简体" w:cs="仿宋_GB2312" w:hAnsi="仿宋" w:hint="eastAsia"/>
          <w:color w:val="000000"/>
          <w:sz w:val="32"/>
          <w:szCs w:val="32"/>
        </w:rPr>
        <w:t>按时</w:t>
      </w:r>
      <w:r>
        <w:rPr>
          <w:rFonts w:ascii="仿宋" w:eastAsia="方正仿宋简体" w:cs="仿宋_GB2312" w:hAnsi="仿宋"/>
          <w:color w:val="000000"/>
          <w:sz w:val="32"/>
          <w:szCs w:val="32"/>
        </w:rPr>
        <w:t>按质编制</w:t>
      </w:r>
      <w:r>
        <w:rPr>
          <w:rFonts w:ascii="仿宋" w:eastAsia="方正仿宋简体" w:cs="仿宋_GB2312" w:hAnsi="仿宋" w:hint="eastAsia"/>
          <w:color w:val="000000"/>
          <w:sz w:val="32"/>
          <w:szCs w:val="32"/>
        </w:rPr>
        <w:t>我会</w:t>
      </w:r>
      <w:r>
        <w:rPr>
          <w:rFonts w:ascii="仿宋" w:eastAsia="方正仿宋简体" w:cs="仿宋_GB2312" w:hAnsi="仿宋"/>
          <w:color w:val="000000"/>
          <w:sz w:val="32"/>
          <w:szCs w:val="32"/>
        </w:rPr>
        <w:t>部门预算，并</w:t>
      </w:r>
      <w:r>
        <w:rPr>
          <w:rFonts w:ascii="仿宋" w:eastAsia="方正仿宋简体" w:cs="仿宋_GB2312" w:hAnsi="仿宋" w:hint="eastAsia"/>
          <w:color w:val="000000"/>
          <w:sz w:val="32"/>
          <w:szCs w:val="32"/>
        </w:rPr>
        <w:t>报送</w:t>
      </w:r>
      <w:r>
        <w:rPr>
          <w:rFonts w:ascii="仿宋" w:eastAsia="方正仿宋简体" w:cs="仿宋_GB2312" w:hAnsi="仿宋"/>
          <w:color w:val="000000"/>
          <w:sz w:val="32"/>
          <w:szCs w:val="32"/>
        </w:rPr>
        <w:t>对口业务股室。</w:t>
      </w:r>
    </w:p>
    <w:p>
      <w:pPr>
        <w:overflowPunct w:val="0"/>
        <w:spacing w:line="576" w:lineRule="exact"/>
        <w:ind w:firstLineChars="200" w:firstLine="640"/>
        <w:rPr>
          <w:rFonts w:ascii="仿宋" w:eastAsia="方正仿宋简体" w:cs="仿宋_GB2312" w:hAnsi="仿宋"/>
          <w:color w:val="000000"/>
          <w:sz w:val="32"/>
          <w:szCs w:val="32"/>
        </w:rPr>
      </w:pPr>
      <w:r>
        <w:rPr>
          <w:rFonts w:ascii="仿宋" w:eastAsia="方正仿宋简体" w:cs="仿宋_GB2312" w:hAnsi="仿宋" w:hint="eastAsia"/>
          <w:color w:val="000000"/>
          <w:sz w:val="32"/>
          <w:szCs w:val="32"/>
        </w:rPr>
        <w:t xml:space="preserve">2. 部门整体绩效目标编制完整、合理，预算安排的基本支出保障了正常的工作运转。 </w:t>
      </w:r>
    </w:p>
    <w:p>
      <w:pPr>
        <w:widowControl/>
        <w:overflowPunct w:val="0"/>
        <w:spacing w:line="576" w:lineRule="exact"/>
        <w:ind w:firstLineChars="200" w:firstLine="640"/>
        <w:jc w:val="left"/>
        <w:rPr>
          <w:rFonts w:ascii="宋体" w:eastAsia="方正仿宋简体" w:cs="宋体" w:hAnsi="宋体"/>
          <w:color w:val="000000"/>
          <w:kern w:val="0"/>
          <w:sz w:val="32"/>
          <w:szCs w:val="21"/>
        </w:rPr>
      </w:pPr>
      <w:r>
        <w:rPr>
          <w:rFonts w:ascii="仿宋" w:eastAsia="方正仿宋简体" w:cs="仿宋_GB2312" w:hAnsi="仿宋"/>
          <w:color w:val="000000"/>
          <w:sz w:val="32"/>
          <w:szCs w:val="32"/>
        </w:rPr>
        <w:t>3</w:t>
      </w:r>
      <w:r>
        <w:rPr>
          <w:rFonts w:ascii="仿宋" w:eastAsia="方正仿宋简体" w:cs="仿宋_GB2312" w:hAnsi="仿宋" w:hint="eastAsia"/>
          <w:color w:val="000000"/>
          <w:sz w:val="32"/>
          <w:szCs w:val="32"/>
        </w:rPr>
        <w:t>.</w:t>
      </w:r>
      <w:r>
        <w:rPr>
          <w:rFonts w:ascii="宋体" w:eastAsia="方正仿宋简体" w:cs="宋体" w:hAnsi="宋体" w:hint="eastAsia"/>
          <w:color w:val="000000"/>
          <w:kern w:val="0"/>
          <w:sz w:val="32"/>
          <w:szCs w:val="21"/>
        </w:rPr>
        <w:t>严控制行政经费，压缩公务费开支，严格控制“三公”经费，资产的配置严格政府采购，按照预算科目和项目资金的规定使用财政资金，保证部门整体支出的规范化、制度化。</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（二）专项预算管理。</w:t>
      </w:r>
    </w:p>
    <w:p>
      <w:pPr>
        <w:overflowPunct w:val="0"/>
        <w:spacing w:line="576" w:lineRule="exact"/>
        <w:ind w:firstLineChars="200" w:firstLine="640"/>
        <w:rPr>
          <w:rFonts w:ascii="仿宋" w:eastAsia="方正仿宋简体" w:cs="仿宋_GB2312" w:hAnsi="仿宋"/>
          <w:color w:val="000000"/>
          <w:sz w:val="32"/>
          <w:szCs w:val="32"/>
        </w:rPr>
      </w:pPr>
      <w:r>
        <w:rPr>
          <w:rFonts w:ascii="仿宋" w:eastAsia="方正仿宋简体" w:cs="仿宋_GB2312" w:hAnsi="仿宋" w:hint="eastAsia"/>
          <w:color w:val="000000"/>
          <w:sz w:val="32"/>
          <w:szCs w:val="32"/>
        </w:rPr>
        <w:t>1.预算执行方面，支出总额控制在预算总额以内，预算管理方面，制度执行总体较为有效。</w:t>
      </w:r>
    </w:p>
    <w:p>
      <w:pPr>
        <w:overflowPunct w:val="0"/>
        <w:spacing w:line="576" w:lineRule="exact"/>
        <w:ind w:firstLineChars="200" w:firstLine="640"/>
        <w:rPr>
          <w:rFonts w:ascii="方正仿宋简体" w:eastAsia="方正仿宋简体" w:cs="仿宋_GB2312" w:hAnsi="仿宋"/>
          <w:color w:val="000000"/>
          <w:sz w:val="32"/>
          <w:szCs w:val="32"/>
        </w:rPr>
      </w:pPr>
      <w:r>
        <w:rPr>
          <w:rFonts w:ascii="仿宋" w:eastAsia="方正仿宋简体" w:cs="仿宋_GB2312" w:hAnsi="仿宋" w:hint="eastAsia"/>
          <w:color w:val="000000"/>
          <w:sz w:val="32"/>
          <w:szCs w:val="32"/>
        </w:rPr>
        <w:t>2. 项目绩效目标编制明确、量化精准，预算安排的项目支出保证</w:t>
      </w:r>
      <w:r>
        <w:rPr>
          <w:rFonts w:ascii="仿宋" w:eastAsia="方正仿宋简体" w:cs="仿宋_GB2312" w:hAnsi="仿宋"/>
          <w:color w:val="000000"/>
          <w:sz w:val="32"/>
          <w:szCs w:val="32"/>
        </w:rPr>
        <w:t>专项业务的开展</w:t>
      </w:r>
      <w:r>
        <w:rPr>
          <w:rFonts w:ascii="仿宋" w:eastAsia="方正仿宋简体" w:cs="仿宋_GB2312" w:hAnsi="仿宋" w:hint="eastAsia"/>
          <w:color w:val="000000"/>
          <w:sz w:val="32"/>
          <w:szCs w:val="32"/>
        </w:rPr>
        <w:t>，在执行上是严格遵守各项法律</w:t>
      </w:r>
      <w:r>
        <w:rPr>
          <w:rFonts w:ascii="仿宋" w:eastAsia="方正仿宋简体" w:cs="仿宋_GB2312" w:hAnsi="仿宋"/>
          <w:color w:val="000000"/>
          <w:sz w:val="32"/>
          <w:szCs w:val="32"/>
        </w:rPr>
        <w:t>法规和</w:t>
      </w:r>
      <w:r>
        <w:rPr>
          <w:rFonts w:ascii="仿宋" w:eastAsia="方正仿宋简体" w:cs="仿宋_GB2312" w:hAnsi="仿宋" w:hint="eastAsia"/>
          <w:color w:val="000000"/>
          <w:sz w:val="32"/>
          <w:szCs w:val="32"/>
        </w:rPr>
        <w:t>财</w:t>
      </w:r>
      <w:r>
        <w:rPr>
          <w:rFonts w:ascii="方正仿宋简体" w:eastAsia="方正仿宋简体" w:cs="仿宋_GB2312" w:hAnsi="仿宋" w:hint="eastAsia"/>
          <w:color w:val="000000"/>
          <w:sz w:val="32"/>
          <w:szCs w:val="32"/>
        </w:rPr>
        <w:t>经纪律的。</w:t>
      </w:r>
    </w:p>
    <w:p>
      <w:pPr>
        <w:overflowPunct w:val="0"/>
        <w:spacing w:line="576" w:lineRule="exact"/>
        <w:rPr>
          <w:rFonts w:ascii="方正仿宋简体" w:eastAsia="方正仿宋简体"/>
          <w:color w:val="000000"/>
          <w:sz w:val="32"/>
        </w:rPr>
      </w:pPr>
      <w:r>
        <w:rPr>
          <w:rFonts w:ascii="方正仿宋简体" w:eastAsia="方正仿宋简体" w:hint="eastAsia"/>
          <w:color w:val="000000"/>
          <w:sz w:val="32"/>
          <w:szCs w:val="32"/>
        </w:rPr>
        <w:t xml:space="preserve">   </w:t>
      </w:r>
      <w:r>
        <w:rPr>
          <w:rFonts w:ascii="方正仿宋简体" w:eastAsia="方正仿宋简体" w:cs="仿宋_GB2312" w:hAnsi="仿宋" w:hint="eastAsia"/>
          <w:color w:val="000000"/>
          <w:sz w:val="32"/>
          <w:szCs w:val="32"/>
        </w:rPr>
        <w:t>（三）结果应用情况。</w:t>
      </w:r>
      <w:r>
        <w:rPr>
          <w:rFonts w:ascii="方正仿宋简体" w:eastAsia="方正仿宋简体" w:hint="eastAsia"/>
          <w:color w:val="000000"/>
          <w:sz w:val="32"/>
        </w:rPr>
        <w:t>从项目完成、项目效益、满意度等方面设置了绩效指标，综合反映项目预期完成的数量、成本、时效、质量，预期达到的社会效益、经济效益、生态效益、可持续影响以及服务对象满意度等情况。</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四、评价结论及建议</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本部门</w:t>
      </w:r>
      <w:r>
        <w:rPr>
          <w:rFonts w:ascii="方正仿宋简体" w:eastAsia="方正仿宋简体" w:hAnsi="宋体" w:hint="eastAsia"/>
          <w:sz w:val="32"/>
          <w:szCs w:val="32"/>
        </w:rPr>
        <w:t>全面贯彻落实习近平新时代中国特色社会主义思想</w:t>
      </w:r>
      <w:r>
        <w:rPr>
          <w:rFonts w:ascii="方正仿宋简体" w:eastAsia="方正仿宋简体" w:hAnsi="宋体" w:hint="eastAsia"/>
          <w:sz w:val="32"/>
          <w:szCs w:val="32"/>
          <w:lang w:eastAsia="zh-CN"/>
        </w:rPr>
        <w:t>和党的十九大精神</w:t>
      </w:r>
      <w:r>
        <w:rPr>
          <w:rFonts w:ascii="方正仿宋简体" w:eastAsia="方正仿宋简体" w:hAnsi="宋体" w:hint="eastAsia"/>
          <w:sz w:val="32"/>
          <w:szCs w:val="32"/>
        </w:rPr>
        <w:t>，维护妇女儿童合法权益，助力妇女创业发展，</w:t>
      </w:r>
      <w:r>
        <w:rPr>
          <w:rFonts w:ascii="方正仿宋简体" w:eastAsia="方正仿宋简体" w:cs="仿宋_GB2312" w:hAnsi="仿宋_GB2312" w:hint="eastAsia"/>
          <w:sz w:val="32"/>
          <w:szCs w:val="32"/>
        </w:rPr>
        <w:t>圆满的实施了素质提升、巾帼建功、幸福家庭、巾帼维权、强基固本五大行动任务，扎实推进了脱贫攻坚、民生工程的实施，较好的完成了妇联的其他各项工作，取得了较好的成绩。</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（二）存在问题</w:t>
      </w:r>
    </w:p>
    <w:p>
      <w:pPr>
        <w:spacing w:line="580" w:lineRule="exact"/>
        <w:ind w:firstLineChars="200" w:firstLine="640"/>
        <w:rPr>
          <w:rFonts w:ascii="仿宋" w:eastAsia="仿宋" w:cs="仿宋_GB2312" w:hAnsi="仿宋"/>
          <w:sz w:val="32"/>
          <w:szCs w:val="32"/>
        </w:rPr>
      </w:pPr>
      <w:r>
        <w:rPr>
          <w:rFonts w:ascii="方正仿宋简体" w:eastAsia="方正仿宋简体" w:cs="仿宋_GB2312" w:hAnsi="仿宋_GB2312" w:hint="eastAsia"/>
          <w:color w:val="000000"/>
          <w:sz w:val="32"/>
          <w:szCs w:val="32"/>
        </w:rPr>
        <w:t>财务人员的业务能力还需加强，进一步适应新常态的财务工作，科学、有效地开展财务工作。</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（三）改进建议</w:t>
      </w:r>
    </w:p>
    <w:p>
      <w:pPr>
        <w:overflowPunct w:val="0"/>
        <w:spacing w:line="576"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1．加强财务知识学习，适应新常态下的财务工作，杜绝财务工作中出现问题。</w:t>
      </w:r>
    </w:p>
    <w:p>
      <w:pPr>
        <w:overflowPunct w:val="0"/>
        <w:spacing w:line="576"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2．严格按照《预算法》及其实施条例的相关规定科学科学、合理编制预算，同时严格预算执行，提高资金使用效率。</w:t>
      </w:r>
    </w:p>
    <w:p>
      <w:pPr>
        <w:spacing w:line="580" w:lineRule="exact"/>
        <w:ind w:firstLineChars="200" w:firstLine="640"/>
        <w:rPr>
          <w:rFonts w:ascii="仿宋" w:eastAsia="仿宋" w:cs="仿宋_GB2312" w:hAnsi="仿宋"/>
          <w:sz w:val="32"/>
          <w:szCs w:val="32"/>
        </w:rPr>
      </w:pPr>
      <w:r>
        <w:rPr>
          <w:rFonts w:ascii="方正仿宋简体" w:eastAsia="方正仿宋简体" w:cs="仿宋_GB2312" w:hAnsi="仿宋_GB2312" w:hint="eastAsia"/>
          <w:color w:val="000000"/>
          <w:sz w:val="32"/>
          <w:szCs w:val="32"/>
        </w:rPr>
        <w:t>3．加强单位内控制度建设，建立健全财务内部控制制度，更好地发挥内部控制在提升单位内部治理水平、规范内部权力运行、促进依法行政、推进廉政建设中的重要作用。</w:t>
      </w:r>
    </w:p>
    <w:p>
      <w:pPr>
        <w:spacing w:line="580" w:lineRule="exact"/>
        <w:ind w:firstLineChars="200" w:firstLine="640"/>
        <w:rPr>
          <w:rFonts w:ascii="仿宋_GB2312" w:eastAsia="仿宋_GB2312" w:cs="仿宋_GB2312" w:hAnsi="仿宋_GB2312"/>
          <w:sz w:val="32"/>
          <w:szCs w:val="32"/>
        </w:rPr>
      </w:pPr>
    </w:p>
    <w:p>
      <w:pPr>
        <w:widowControl/>
        <w:jc w:val="left"/>
        <w:rPr>
          <w:rFonts w:ascii="仿宋_GB2312" w:eastAsia="仿宋_GB2312" w:cs="仿宋_GB2312" w:hAnsi="仿宋_GB2312"/>
          <w:sz w:val="32"/>
          <w:szCs w:val="32"/>
        </w:rPr>
      </w:pPr>
      <w:r>
        <w:rPr>
          <w:rFonts w:ascii="仿宋_GB2312" w:eastAsia="仿宋_GB2312" w:cs="仿宋_GB2312" w:hAnsi="仿宋_GB2312"/>
          <w:sz w:val="32"/>
          <w:szCs w:val="32"/>
        </w:rPr>
        <w:br w:type="page"/>
      </w:r>
    </w:p>
    <w:p>
      <w:pPr>
        <w:pStyle w:val="2"/>
        <w:rPr>
          <w:rStyle w:val="1Char"/>
          <w:rFonts w:ascii="仿宋" w:eastAsia="仿宋" w:hAnsi="仿宋"/>
          <w:b w:val="0"/>
          <w:bCs w:val="0"/>
          <w:sz w:val="32"/>
          <w:szCs w:val="32"/>
        </w:rPr>
      </w:pPr>
      <w:bookmarkStart w:id="62" w:name="_Toc15396617"/>
      <w:r>
        <w:rPr>
          <w:rStyle w:val="1Char"/>
          <w:rFonts w:ascii="仿宋" w:eastAsia="仿宋" w:hAnsi="仿宋" w:hint="eastAsia"/>
          <w:b w:val="0"/>
          <w:bCs w:val="0"/>
          <w:sz w:val="32"/>
          <w:szCs w:val="32"/>
        </w:rPr>
        <w:t>附件2</w:t>
      </w:r>
      <w:bookmarkEnd w:id="62"/>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2018年儿童之家建设项目支出绩效评价</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pStyle w:val="31"/>
        <w:spacing w:line="576" w:lineRule="exact"/>
        <w:rPr>
          <w:rFonts w:ascii="仿宋" w:eastAsia="仿宋" w:cs="仿宋" w:hAnsi="仿宋"/>
          <w:b/>
          <w:sz w:val="32"/>
          <w:szCs w:val="32"/>
        </w:rPr>
      </w:pPr>
      <w:r>
        <w:rPr>
          <w:rFonts w:ascii="仿宋" w:eastAsia="仿宋" w:cs="仿宋" w:hAnsi="仿宋" w:hint="eastAsia"/>
          <w:b/>
          <w:sz w:val="32"/>
          <w:szCs w:val="32"/>
        </w:rPr>
        <w:t>（一）形成了完善的机制。</w:t>
      </w:r>
      <w:r>
        <w:rPr>
          <w:rFonts w:ascii="仿宋" w:eastAsia="仿宋" w:cs="仿宋" w:hAnsi="仿宋" w:hint="eastAsia"/>
          <w:sz w:val="32"/>
          <w:szCs w:val="32"/>
        </w:rPr>
        <w:t>我区高度重视儿童之家建设工作，将该项工作纳入全区“十三五”规划，由分管妇女儿童的副区长与各乡镇街道签定目标责任书，纳入全区目标考核。制定了</w:t>
      </w:r>
      <w:r>
        <w:rPr>
          <w:rFonts w:ascii="方正仿宋简体" w:eastAsia="方正仿宋简体" w:hint="eastAsia"/>
          <w:sz w:val="32"/>
          <w:szCs w:val="32"/>
        </w:rPr>
        <w:t xml:space="preserve"> “四个有”（即有固定的活动场所、有开展活动的必要设备、有健全的管理制度，有丰富多彩的活动）、“二个一”（即选一名有爱心、有组织能力、热心群众工作的妇女骨干负责管理，组建一支巾帼志愿者队伍）的建设标准，形成了</w:t>
      </w:r>
      <w:r>
        <w:rPr>
          <w:rFonts w:ascii="仿宋" w:eastAsia="仿宋" w:cs="仿宋" w:hAnsi="仿宋" w:hint="eastAsia"/>
          <w:sz w:val="32"/>
          <w:szCs w:val="32"/>
        </w:rPr>
        <w:t>一套包括运行管理制度、安全管理制度在内的制度体系，确保儿童之家建设和运行顺利。</w:t>
      </w:r>
    </w:p>
    <w:p>
      <w:pPr>
        <w:pStyle w:val="31"/>
        <w:spacing w:line="576" w:lineRule="exact"/>
        <w:rPr>
          <w:rFonts w:ascii="仿宋" w:eastAsia="仿宋" w:cs="仿宋" w:hAnsi="仿宋"/>
          <w:b/>
          <w:sz w:val="32"/>
          <w:szCs w:val="32"/>
        </w:rPr>
      </w:pPr>
      <w:r>
        <w:rPr>
          <w:rFonts w:ascii="仿宋" w:eastAsia="仿宋" w:cs="仿宋" w:hAnsi="仿宋" w:hint="eastAsia"/>
          <w:b/>
          <w:sz w:val="32"/>
          <w:szCs w:val="32"/>
        </w:rPr>
        <w:t>（二）整合了部门的资源。</w:t>
      </w:r>
      <w:r>
        <w:rPr>
          <w:rFonts w:ascii="仿宋" w:eastAsia="仿宋" w:cs="仿宋" w:hAnsi="仿宋" w:hint="eastAsia"/>
          <w:sz w:val="32"/>
          <w:szCs w:val="32"/>
        </w:rPr>
        <w:t>我区立足实际，对条件较好的村（社区）单独建立儿童之家，统一标准、完善功能，对条件偏远的地方基础设施落后，与辖区单位、村（社区）整合资源发挥优势，充分利用各地现有青年之家、四点半学样、乡村少年宫等活动阵地及农村（社区）书屋文化活动中心、家庭学校等现有的电脑、书籍、办公室桌椅，整合建立儿童之家；同时，整合巾帼志愿者、青年志愿者、社工等人力资源，依托四点半学校开展课业辅导、依托图书室开展儿童阅读活动、依托村（社区）文化室开展文化体育活动，依托村（社区）警务室，开展妇女儿童维权宣传服务活动等等，通过各种资源的有效利用和整合，完善并扩展了儿童之家的功能。</w:t>
      </w:r>
    </w:p>
    <w:p>
      <w:pPr>
        <w:pStyle w:val="31"/>
        <w:spacing w:line="576" w:lineRule="exact"/>
        <w:rPr>
          <w:rFonts w:ascii="仿宋" w:eastAsia="仿宋" w:cs="仿宋" w:hAnsi="仿宋"/>
          <w:sz w:val="32"/>
          <w:szCs w:val="32"/>
        </w:rPr>
      </w:pPr>
      <w:r>
        <w:rPr>
          <w:rFonts w:ascii="仿宋" w:eastAsia="仿宋" w:cs="仿宋" w:hAnsi="仿宋" w:hint="eastAsia"/>
          <w:b/>
          <w:sz w:val="32"/>
          <w:szCs w:val="32"/>
        </w:rPr>
        <w:t>（三）开展了丰富的活动。</w:t>
      </w:r>
      <w:r>
        <w:rPr>
          <w:rFonts w:ascii="仿宋" w:eastAsia="仿宋" w:cs="仿宋" w:hAnsi="仿宋" w:hint="eastAsia"/>
          <w:sz w:val="32"/>
          <w:szCs w:val="32"/>
        </w:rPr>
        <w:t>为了用好用活儿童之家这块阵地，真正成为孩子们的“温暖之家”，为此，我区要求各地儿童之家根据不同的时节拟定不同的活动内容：如三月开展学雷锋活动；六月开展儿童节庆祝活动、七至八月开展暑期留守关爱帮扶活动、十二月至二月开展春节送温暖活动等。此外各地儿童之家结合自身实际，在为儿童服务的过程不断创新，如嘉陵街道建设路社区儿童之家针对性开展家庭教育培训；杨家岩、荣山镇、宝轮镇等地妇女之家利用组织部门远程教育系统开展“暑期亲情乐园”活动，让留守儿童与在外务工的父母视频交流、亲情连线通电话；东坝古堰社区整合四点半学校资源为社区儿童提供课业辅导，等等。</w:t>
      </w:r>
      <w:r>
        <w:rPr>
          <w:rFonts w:ascii="仿宋" w:eastAsia="仿宋" w:cs="仿宋" w:hAnsi="仿宋"/>
          <w:sz w:val="32"/>
          <w:szCs w:val="32"/>
        </w:rPr>
        <w:t xml:space="preserve"> </w:t>
      </w: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widowControl/>
        <w:overflowPunct w:val="0"/>
        <w:spacing w:line="576" w:lineRule="exact"/>
        <w:ind w:firstLineChars="150" w:firstLine="480"/>
        <w:jc w:val="left"/>
        <w:rPr>
          <w:rFonts w:ascii="仿宋" w:eastAsia="方正仿宋简体" w:cs="宋体" w:hAnsi="仿宋"/>
          <w:color w:val="000000"/>
          <w:kern w:val="0"/>
          <w:sz w:val="32"/>
          <w:szCs w:val="32"/>
        </w:rPr>
      </w:pPr>
      <w:r>
        <w:rPr>
          <w:rFonts w:ascii="仿宋" w:eastAsia="方正仿宋简体" w:cs="宋体" w:hAnsi="仿宋" w:hint="eastAsia"/>
          <w:color w:val="000000"/>
          <w:kern w:val="0"/>
          <w:sz w:val="32"/>
          <w:szCs w:val="32"/>
        </w:rPr>
        <w:t>总体上看，该项目决策依据充分，资金到位及时，项目管理规范，项目绩效评价得分为97分。</w:t>
      </w:r>
    </w:p>
    <w:tbl>
      <w:tblPr>
        <w:jc w:val="center"/>
        <w:tblW w:w="8874"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Pr>
      <w:tblGrid>
        <w:gridCol w:w="525"/>
        <w:gridCol w:w="525"/>
        <w:gridCol w:w="525"/>
        <w:gridCol w:w="277"/>
        <w:gridCol w:w="1028"/>
        <w:gridCol w:w="651"/>
        <w:gridCol w:w="1278"/>
        <w:gridCol w:w="1278"/>
        <w:gridCol w:w="1186"/>
        <w:gridCol w:w="964"/>
        <w:gridCol w:w="369"/>
        <w:gridCol w:w="268"/>
      </w:tblGrid>
      <w:tr>
        <w:trPr>
          <w:tblHeader/>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二级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三级</w:t>
              <w:br/>
              <w:t>指标</w:t>
            </w:r>
          </w:p>
        </w:tc>
        <w:tc>
          <w:tcPr>
            <w:tcW w:w="277"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分值</w:t>
            </w:r>
          </w:p>
        </w:tc>
        <w:tc>
          <w:tcPr>
            <w:tcW w:w="102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指标评价内容</w:t>
              <w:br/>
              <w:t>（公式结果=x）</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评分标准</w:t>
            </w:r>
          </w:p>
        </w:tc>
        <w:tc>
          <w:tcPr>
            <w:tcW w:w="369"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评价得分</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备注</w:t>
            </w:r>
          </w:p>
        </w:tc>
      </w:tr>
      <w:tr>
        <w:trPr>
          <w:tblHeader/>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277" w:type="dxa"/>
            <w:vMerge/>
            <w:tcBorders>
              <w:top w:val="single" w:sz="6" w:space="0" w:color="auto"/>
              <w:left w:val="single" w:sz="6" w:space="0" w:color="auto"/>
              <w:bottom w:val="single" w:sz="6" w:space="0" w:color="auto"/>
              <w:right w:val="single" w:sz="6" w:space="0" w:color="auto"/>
            </w:tcBorders>
            <w:vAlign w:val="center"/>
          </w:tcPr>
          <w:p/>
        </w:tc>
        <w:tc>
          <w:tcPr>
            <w:tcW w:w="1028" w:type="dxa"/>
            <w:vMerge/>
            <w:tcBorders>
              <w:top w:val="single" w:sz="6" w:space="0" w:color="auto"/>
              <w:left w:val="single" w:sz="6" w:space="0" w:color="auto"/>
              <w:bottom w:val="single" w:sz="6" w:space="0" w:color="auto"/>
              <w:right w:val="single" w:sz="6" w:space="0" w:color="auto"/>
            </w:tcBorders>
            <w:vAlign w:val="center"/>
          </w:tcP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较好</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好</w:t>
            </w:r>
          </w:p>
        </w:tc>
        <w:tc>
          <w:tcPr>
            <w:tcW w:w="369" w:type="dxa"/>
            <w:vMerge/>
            <w:tcBorders>
              <w:top w:val="single" w:sz="6" w:space="0" w:color="auto"/>
              <w:left w:val="single" w:sz="6" w:space="0" w:color="auto"/>
              <w:bottom w:val="single" w:sz="6" w:space="0" w:color="auto"/>
              <w:right w:val="single" w:sz="6" w:space="0" w:color="auto"/>
            </w:tcBorders>
            <w:vAlign w:val="center"/>
          </w:tcPr>
          <w:p/>
        </w:tc>
        <w:tc>
          <w:tcPr>
            <w:tcW w:w="268" w:type="dxa"/>
            <w:vMerge/>
            <w:tcBorders>
              <w:top w:val="single" w:sz="6" w:space="0" w:color="auto"/>
              <w:left w:val="single" w:sz="6" w:space="0" w:color="auto"/>
              <w:bottom w:val="single" w:sz="6" w:space="0" w:color="auto"/>
              <w:right w:val="single" w:sz="6" w:space="0" w:color="auto"/>
            </w:tcBorders>
            <w:vAlign w:val="center"/>
          </w:tcPr>
          <w:p/>
        </w:tc>
      </w:tr>
      <w:tr>
        <w:trPr>
          <w:trHeight w:val="3224"/>
        </w:trPr>
        <w:tc>
          <w:tcPr>
            <w:tcW w:w="525" w:type="dxa"/>
            <w:vMerge w:val="restart"/>
            <w:tcBorders>
              <w:top w:val="single" w:sz="4"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科学</w:t>
              <w:br/>
              <w:t>决策</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必要性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80" w:lineRule="exact"/>
              <w:jc w:val="center"/>
              <w:rPr>
                <w:rFonts w:ascii="宋体" w:eastAsia="宋体" w:cs="宋体"/>
                <w:color w:val="000000"/>
                <w:kern w:val="0"/>
                <w:szCs w:val="21"/>
              </w:rPr>
            </w:pPr>
            <w:r>
              <w:rPr>
                <w:rFonts w:ascii="宋体" w:eastAsia="宋体" w:cs="宋体"/>
                <w:color w:val="000000"/>
                <w:kern w:val="0"/>
                <w:szCs w:val="21"/>
              </w:rPr>
              <w:t>项目符合党中央、国务院和县委、</w:t>
            </w:r>
            <w:r>
              <w:rPr>
                <w:rFonts w:ascii="宋体" w:eastAsia="宋体" w:cs="宋体" w:hint="eastAsia"/>
                <w:color w:val="000000"/>
                <w:kern w:val="0"/>
                <w:szCs w:val="21"/>
                <w:lang w:eastAsia="zh-CN"/>
              </w:rPr>
              <w:t>县</w:t>
            </w:r>
            <w:r>
              <w:rPr>
                <w:rFonts w:ascii="宋体" w:eastAsia="宋体" w:cs="宋体"/>
                <w:color w:val="000000"/>
                <w:kern w:val="0"/>
                <w:szCs w:val="21"/>
              </w:rPr>
              <w:t>政府决策部署；符合当前经济社会发展需要，政策和实际需求的吻合程度</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176"/>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可行性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80" w:lineRule="exact"/>
              <w:jc w:val="center"/>
              <w:rPr>
                <w:rFonts w:ascii="宋体" w:eastAsia="宋体" w:cs="宋体"/>
                <w:color w:val="000000"/>
                <w:kern w:val="0"/>
                <w:szCs w:val="21"/>
              </w:rPr>
            </w:pPr>
            <w:r>
              <w:rPr>
                <w:rFonts w:ascii="宋体" w:eastAsia="宋体" w:cs="宋体"/>
                <w:color w:val="000000"/>
                <w:kern w:val="0"/>
                <w:szCs w:val="21"/>
              </w:rPr>
              <w:t>可行性论证充分，规划、管理办法、指导意见等制度是否健全完善</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757"/>
        </w:trPr>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明确性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项目预期提供的产品、服务、效益或其他目标明确细化、可衡量（绩效目标实际明确数/应当明确个数×100%）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0%&lt;x&lt;30%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30%≤x&lt;60%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60%≤x&lt;100%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485"/>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合理性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绩效目标设定符合实际需求，合理可行（绩效目标设定符合实际需求的抽样项目点个数/抽样项目点总数×100%）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管理</w:t>
              <w:br/>
              <w:t>（10分）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w:t>
              <w:br/>
              <w:t>管理</w:t>
              <w:br/>
              <w:t>（7分）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资金分配管理是否科学合理、规范有序；是否体现突出重点或公平性，符合财政资金改革方向</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2</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03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资金使用规范（规范使用资金/资金总额×100%）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79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执行</w:t>
              <w:br/>
              <w:t>（3分）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执行规范</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管理制度健全，管理过程科学规范</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不严格</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较严格</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严格</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817"/>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完成数量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实际完成任务量/绩效目标设定任务量×100%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x＜85%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85%≤x＜90%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90%≤x＜95%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95%≤x＜100%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148"/>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完成质量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符合绩效目标设定的验收标准，达到行业基准水平</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val="restart"/>
            <w:tcBorders>
              <w:top w:val="single" w:sz="4" w:space="0" w:color="auto"/>
              <w:left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完成时效</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（实际完成时间-绩效目标设定完成时间）/绩效目标设定完成时间×100%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完成成本</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（实际完成成本-预计完成成本）/预计完成成本×100%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经济效益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反映相关产出对经社会发展带来的影响和效果，重点考核税收、投入产出、回报等情况的指标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社会效益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反映相关产出对社会发展带来的影响和效果，重点考核撬动地方经济、就业（包括就业人数）等情况的指标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生态效益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反映相关产出对自然环境带来的影响和效果</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0"/>
                <w:kern w:val="0"/>
                <w:szCs w:val="21"/>
              </w:rPr>
            </w:pPr>
            <w:r>
              <w:rPr>
                <w:rFonts w:ascii="宋体" w:eastAsia="宋体" w:cs="宋体"/>
                <w:color w:val="000000"/>
                <w:spacing w:val="-10"/>
                <w:kern w:val="0"/>
                <w:szCs w:val="21"/>
              </w:rPr>
              <w:t>可持续效益（可选项）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反映相关产出带来影响的可持续期限</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公平效率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主要反映资金使用者是否获公平竞争的机会，以及民生类项目中受益群体是否应覆盖全覆盖，覆盖率是衡量指标。重点考核覆盖率、知晓率等指标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2"/>
                <w:kern w:val="0"/>
                <w:szCs w:val="21"/>
              </w:rPr>
            </w:pPr>
            <w:r>
              <w:rPr>
                <w:rFonts w:ascii="宋体" w:eastAsia="宋体" w:cs="宋体"/>
                <w:color w:val="000000"/>
                <w:spacing w:val="-12"/>
                <w:kern w:val="0"/>
                <w:szCs w:val="21"/>
              </w:rPr>
              <w:t>使用效率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重点考核使用率等指标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服务对象</w:t>
              <w:br/>
              <w:t>满意度</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10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反映服务对象或项目受益人对相关产出及其影响的认可程度，重点考核受益群体和社会对项目的满意率等指标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2880"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  计</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r>
              <w:rPr>
                <w:rFonts w:ascii="宋体" w:eastAsia="宋体" w:cs="宋体" w:hint="eastAsia"/>
                <w:color w:val="000000"/>
                <w:kern w:val="0"/>
                <w:szCs w:val="21"/>
              </w:rPr>
              <w:t>7</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bl>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1、项目决策。通过对儿童之家定期不定期检查督查，召开儿童之家建设会议，督导儿童之家建设顺利进行。</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2、项目管理。儿童之家建设安排资金</w:t>
      </w:r>
      <w:r>
        <w:rPr>
          <w:rFonts w:ascii="仿宋" w:eastAsia="仿宋" w:cs="仿宋_GB2312" w:hAnsi="仿宋" w:hint="eastAsia"/>
          <w:sz w:val="32"/>
          <w:szCs w:val="32"/>
        </w:rPr>
        <w:t>16万元，总共支出资金16万元，主要用于儿童之家基础设施建设和儿童活动开展经费。</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3、项目绩效。形成了儿童之家管理制度，</w:t>
      </w:r>
      <w:r>
        <w:rPr>
          <w:rFonts w:ascii="仿宋" w:eastAsia="仿宋" w:cs="仿宋" w:hAnsi="仿宋" w:hint="eastAsia"/>
          <w:sz w:val="32"/>
          <w:szCs w:val="32"/>
        </w:rPr>
        <w:t>利用各地现有青年之家、四点半学样、乡村少年宫等活动阵地及农村（社区）书屋文化活动中心、家庭学校等现有的电脑、书籍、办公室桌椅，整合建立儿童之家；依托社会力量开展文化体育、课业辅导等活动，用好用活儿童之家这块阵地，真正成为孩子们的“温暖之家”。</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p>
    <w:p>
      <w:pPr>
        <w:spacing w:line="580" w:lineRule="exact"/>
        <w:ind w:firstLineChars="200" w:firstLine="640"/>
        <w:rPr>
          <w:rFonts w:ascii="仿宋" w:eastAsia="仿宋" w:cs="仿宋_GB2312" w:hAnsi="仿宋"/>
          <w:sz w:val="32"/>
          <w:szCs w:val="32"/>
        </w:rPr>
      </w:pPr>
      <w:r>
        <w:rPr>
          <w:rFonts w:ascii="仿宋" w:eastAsia="仿宋" w:cs="仿宋" w:hAnsi="仿宋" w:hint="eastAsia"/>
          <w:b/>
          <w:sz w:val="32"/>
          <w:szCs w:val="32"/>
        </w:rPr>
        <w:t>一是专职人员少。</w:t>
      </w:r>
      <w:r>
        <w:rPr>
          <w:rFonts w:ascii="仿宋" w:eastAsia="仿宋" w:cs="仿宋" w:hAnsi="仿宋" w:hint="eastAsia"/>
          <w:sz w:val="32"/>
          <w:szCs w:val="32"/>
        </w:rPr>
        <w:t>大部分村、社区“儿童之家”负责人均由妇联主席兼任，没有配套的工资待遇，本身还兼有其他职务和工作，对“儿童之家”管理缺乏主动性，儿童之家的建设和后续的管理运行受到一定影响。</w:t>
      </w:r>
      <w:r>
        <w:rPr>
          <w:rFonts w:ascii="仿宋" w:eastAsia="仿宋" w:cs="仿宋" w:hAnsi="仿宋" w:hint="eastAsia"/>
          <w:b/>
          <w:sz w:val="32"/>
          <w:szCs w:val="32"/>
        </w:rPr>
        <w:t>二是经费无保障。</w:t>
      </w:r>
      <w:r>
        <w:rPr>
          <w:rFonts w:ascii="仿宋" w:eastAsia="仿宋" w:cs="仿宋" w:hAnsi="仿宋" w:hint="eastAsia"/>
          <w:sz w:val="32"/>
          <w:szCs w:val="32"/>
        </w:rPr>
        <w:t>我区儿童之家建设由区妇联牵头，没有专门的建设和运行经费，加上村（社区）经费不足，导致建设质量不高，活动开展少，活动内容也比较单一。</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四、相关措施建议</w:t>
      </w:r>
    </w:p>
    <w:p>
      <w:pPr>
        <w:spacing w:line="576" w:lineRule="exact"/>
        <w:ind w:firstLineChars="200" w:firstLine="640"/>
        <w:rPr>
          <w:rFonts w:ascii="仿宋" w:eastAsia="仿宋" w:cs="宋体" w:hAnsi="仿宋"/>
          <w:sz w:val="32"/>
          <w:szCs w:val="32"/>
        </w:rPr>
      </w:pPr>
      <w:r>
        <w:rPr>
          <w:rFonts w:ascii="仿宋" w:eastAsia="仿宋" w:cs="宋体" w:hAnsi="仿宋" w:hint="eastAsia"/>
          <w:sz w:val="32"/>
          <w:szCs w:val="32"/>
        </w:rPr>
        <w:t>一是积极争取上级部门和地方党委、政府领导的重视，加大财政资金投入，使工作经费得到保障，加强村、社区的积极性和主动性。二是整合各种社会资源，争取热心妇女儿童事业发展的社会各界人士的大力支持和帮助，来拓展资金渠道，解决实际困难和问题。三是争取解决管理人员工资待遇，确保儿童之家正常运行。</w:t>
      </w:r>
    </w:p>
    <w:p>
      <w:pPr>
        <w:spacing w:line="580" w:lineRule="exact"/>
        <w:ind w:firstLineChars="200" w:firstLine="640"/>
        <w:rPr>
          <w:rFonts w:ascii="仿宋" w:eastAsia="仿宋" w:cs="仿宋_GB2312" w:hAnsi="仿宋"/>
          <w:sz w:val="32"/>
          <w:szCs w:val="32"/>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p>
    <w:p>
      <w:pPr>
        <w:spacing w:line="55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2018年最美阳台评选项目支出绩效评价</w:t>
      </w:r>
    </w:p>
    <w:p>
      <w:pPr>
        <w:spacing w:line="550" w:lineRule="exact"/>
        <w:jc w:val="center"/>
        <w:rPr>
          <w:rFonts w:ascii="黑体" w:eastAsia="黑体" w:cs="方正小标宋简体" w:hAnsi="黑体"/>
          <w:sz w:val="44"/>
          <w:szCs w:val="44"/>
        </w:rPr>
      </w:pPr>
      <w:r>
        <w:rPr>
          <w:rFonts w:ascii="黑体" w:eastAsia="黑体" w:cs="方正小标宋简体" w:hAnsi="黑体" w:hint="eastAsia"/>
          <w:sz w:val="44"/>
          <w:szCs w:val="44"/>
        </w:rPr>
        <w:t>报告</w:t>
      </w:r>
    </w:p>
    <w:p>
      <w:pPr>
        <w:spacing w:line="550" w:lineRule="exact"/>
        <w:ind w:firstLineChars="200" w:firstLine="640"/>
        <w:rPr>
          <w:rFonts w:ascii="仿宋_GB2312" w:eastAsia="仿宋_GB2312" w:cs="仿宋_GB2312" w:hAnsi="仿宋_GB2312"/>
          <w:sz w:val="32"/>
          <w:szCs w:val="32"/>
        </w:rPr>
      </w:pPr>
    </w:p>
    <w:p>
      <w:pPr>
        <w:spacing w:line="55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pStyle w:val="31"/>
        <w:spacing w:line="550" w:lineRule="exact"/>
        <w:rPr>
          <w:rFonts w:ascii="仿宋" w:eastAsia="仿宋" w:cs="仿宋" w:hAnsi="仿宋"/>
          <w:sz w:val="32"/>
          <w:szCs w:val="32"/>
        </w:rPr>
      </w:pPr>
      <w:r>
        <w:rPr>
          <w:rFonts w:ascii="方正仿宋简体" w:eastAsia="方正仿宋简体" w:cs="仿宋" w:hAnsi="仿宋_GB2312" w:hint="eastAsia"/>
          <w:sz w:val="32"/>
          <w:szCs w:val="32"/>
        </w:rPr>
        <w:t>为深入贯彻党的十九大精神，进一步增强广大市民绿化美化的自觉意识，倡导科学文明健康的生活方式，推进全区绿色发展，决定开展“最美阳台”评选</w:t>
      </w:r>
      <w:r>
        <w:rPr>
          <w:rFonts w:ascii="方正仿宋简体" w:eastAsia="方正仿宋简体" w:cs="仿宋" w:hAnsi="仿宋_GB2312" w:hint="eastAsia"/>
          <w:sz w:val="32"/>
          <w:szCs w:val="32"/>
          <w:lang w:eastAsia="zh-CN"/>
        </w:rPr>
        <w:t>表扬</w:t>
      </w:r>
      <w:r>
        <w:rPr>
          <w:rFonts w:ascii="方正仿宋简体" w:eastAsia="方正仿宋简体" w:cs="仿宋" w:hAnsi="仿宋_GB2312" w:hint="eastAsia"/>
          <w:sz w:val="32"/>
          <w:szCs w:val="32"/>
        </w:rPr>
        <w:t>活动。经评选委员会初评、网上投票后，共评选出利州区“最美庭院（阳台）30户。</w:t>
      </w:r>
    </w:p>
    <w:p>
      <w:pPr>
        <w:spacing w:line="55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5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widowControl/>
        <w:overflowPunct w:val="0"/>
        <w:spacing w:line="550" w:lineRule="exact"/>
        <w:ind w:firstLineChars="150" w:firstLine="480"/>
        <w:jc w:val="left"/>
        <w:rPr>
          <w:rFonts w:ascii="仿宋" w:eastAsia="方正仿宋简体" w:cs="宋体" w:hAnsi="仿宋"/>
          <w:color w:val="000000"/>
          <w:kern w:val="0"/>
          <w:sz w:val="32"/>
          <w:szCs w:val="32"/>
        </w:rPr>
      </w:pPr>
      <w:r>
        <w:rPr>
          <w:rFonts w:ascii="仿宋" w:eastAsia="方正仿宋简体" w:cs="宋体" w:hAnsi="仿宋" w:hint="eastAsia"/>
          <w:color w:val="000000"/>
          <w:kern w:val="0"/>
          <w:sz w:val="32"/>
          <w:szCs w:val="32"/>
        </w:rPr>
        <w:t>总体上看，该项目决策依据充分，资金到位及时，项目管理规范，项目绩效评价得分为96分。</w:t>
      </w:r>
    </w:p>
    <w:tbl>
      <w:tblPr>
        <w:jc w:val="center"/>
        <w:tblW w:w="8874"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Pr>
      <w:tblGrid>
        <w:gridCol w:w="525"/>
        <w:gridCol w:w="525"/>
        <w:gridCol w:w="525"/>
        <w:gridCol w:w="277"/>
        <w:gridCol w:w="1028"/>
        <w:gridCol w:w="651"/>
        <w:gridCol w:w="1278"/>
        <w:gridCol w:w="1278"/>
        <w:gridCol w:w="1186"/>
        <w:gridCol w:w="964"/>
        <w:gridCol w:w="369"/>
        <w:gridCol w:w="268"/>
      </w:tblGrid>
      <w:tr>
        <w:trPr>
          <w:tblHeader/>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二级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三级</w:t>
              <w:br/>
              <w:t>指标</w:t>
            </w:r>
          </w:p>
        </w:tc>
        <w:tc>
          <w:tcPr>
            <w:tcW w:w="277"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分值</w:t>
            </w:r>
          </w:p>
        </w:tc>
        <w:tc>
          <w:tcPr>
            <w:tcW w:w="102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指标评价内容</w:t>
              <w:br/>
              <w:t>（公式结果=x）</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评分标准</w:t>
            </w:r>
          </w:p>
        </w:tc>
        <w:tc>
          <w:tcPr>
            <w:tcW w:w="369"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评价得分</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备注</w:t>
            </w:r>
          </w:p>
        </w:tc>
      </w:tr>
      <w:tr>
        <w:trPr>
          <w:tblHeader/>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277" w:type="dxa"/>
            <w:vMerge/>
            <w:tcBorders>
              <w:top w:val="single" w:sz="6" w:space="0" w:color="auto"/>
              <w:left w:val="single" w:sz="6" w:space="0" w:color="auto"/>
              <w:bottom w:val="single" w:sz="6" w:space="0" w:color="auto"/>
              <w:right w:val="single" w:sz="6" w:space="0" w:color="auto"/>
            </w:tcBorders>
            <w:vAlign w:val="center"/>
          </w:tcPr>
          <w:p/>
        </w:tc>
        <w:tc>
          <w:tcPr>
            <w:tcW w:w="1028" w:type="dxa"/>
            <w:vMerge/>
            <w:tcBorders>
              <w:top w:val="single" w:sz="6" w:space="0" w:color="auto"/>
              <w:left w:val="single" w:sz="6" w:space="0" w:color="auto"/>
              <w:bottom w:val="single" w:sz="6" w:space="0" w:color="auto"/>
              <w:right w:val="single" w:sz="6" w:space="0" w:color="auto"/>
            </w:tcBorders>
            <w:vAlign w:val="center"/>
          </w:tcP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较好</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好</w:t>
            </w:r>
          </w:p>
        </w:tc>
        <w:tc>
          <w:tcPr>
            <w:tcW w:w="369" w:type="dxa"/>
            <w:vMerge/>
            <w:tcBorders>
              <w:top w:val="single" w:sz="6" w:space="0" w:color="auto"/>
              <w:left w:val="single" w:sz="6" w:space="0" w:color="auto"/>
              <w:bottom w:val="single" w:sz="6" w:space="0" w:color="auto"/>
              <w:right w:val="single" w:sz="6" w:space="0" w:color="auto"/>
            </w:tcBorders>
            <w:vAlign w:val="center"/>
          </w:tcPr>
          <w:p/>
        </w:tc>
        <w:tc>
          <w:tcPr>
            <w:tcW w:w="268" w:type="dxa"/>
            <w:vMerge/>
            <w:tcBorders>
              <w:top w:val="single" w:sz="6" w:space="0" w:color="auto"/>
              <w:left w:val="single" w:sz="6" w:space="0" w:color="auto"/>
              <w:bottom w:val="single" w:sz="6" w:space="0" w:color="auto"/>
              <w:right w:val="single" w:sz="6" w:space="0" w:color="auto"/>
            </w:tcBorders>
            <w:vAlign w:val="center"/>
          </w:tcPr>
          <w:p/>
        </w:tc>
      </w:tr>
      <w:tr>
        <w:trPr>
          <w:trHeight w:val="1272"/>
        </w:trPr>
        <w:tc>
          <w:tcPr>
            <w:tcW w:w="525" w:type="dxa"/>
            <w:vMerge w:val="restart"/>
            <w:tcBorders>
              <w:top w:val="single" w:sz="4"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科学</w:t>
              <w:br/>
              <w:t>决策</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必要性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40" w:lineRule="exact"/>
              <w:jc w:val="center"/>
              <w:rPr>
                <w:rFonts w:ascii="宋体" w:eastAsia="宋体" w:cs="宋体"/>
                <w:color w:val="000000"/>
                <w:kern w:val="0"/>
                <w:szCs w:val="21"/>
              </w:rPr>
            </w:pPr>
            <w:r>
              <w:rPr>
                <w:rFonts w:ascii="宋体" w:eastAsia="宋体" w:cs="宋体"/>
                <w:color w:val="000000"/>
                <w:kern w:val="0"/>
                <w:szCs w:val="21"/>
              </w:rPr>
              <w:t>项目符合党中央、国务院和县委、</w:t>
            </w:r>
            <w:r>
              <w:rPr>
                <w:rFonts w:ascii="宋体" w:eastAsia="宋体" w:cs="宋体" w:hint="eastAsia"/>
                <w:color w:val="000000"/>
                <w:kern w:val="0"/>
                <w:szCs w:val="21"/>
                <w:lang w:eastAsia="zh-CN"/>
              </w:rPr>
              <w:t>县</w:t>
            </w:r>
            <w:r>
              <w:rPr>
                <w:rFonts w:ascii="宋体" w:eastAsia="宋体" w:cs="宋体"/>
                <w:color w:val="000000"/>
                <w:kern w:val="0"/>
                <w:szCs w:val="21"/>
              </w:rPr>
              <w:t>政府决策部署；符合当前经济社会发展需要，政策和实际需求的吻合程度</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810"/>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可行性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40" w:lineRule="exact"/>
              <w:jc w:val="center"/>
              <w:rPr>
                <w:rFonts w:ascii="宋体" w:eastAsia="宋体" w:cs="宋体"/>
                <w:color w:val="000000"/>
                <w:kern w:val="0"/>
                <w:szCs w:val="21"/>
              </w:rPr>
            </w:pPr>
            <w:r>
              <w:rPr>
                <w:rFonts w:ascii="宋体" w:eastAsia="宋体" w:cs="宋体"/>
                <w:color w:val="000000"/>
                <w:kern w:val="0"/>
                <w:szCs w:val="21"/>
              </w:rPr>
              <w:t>可行性论证充分，规划、管理办法、指导意见等制度是否健全完善</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757"/>
        </w:trPr>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明确性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项目预期提供的产品、服务、效益或其他目标明确细化、可衡量（绩效目标实际明确数/应当明确个数×100%）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0%&lt;x&lt;30%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30%≤x&lt;60%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60%≤x&lt;100%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485"/>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合理性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绩效目标设定符合实际需求，合理可行（绩效目标设定符合实际需求的抽样项目点个数/抽样项目点总数×100%）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管理</w:t>
              <w:br/>
              <w:t>（10分）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w:t>
              <w:br/>
              <w:t>管理</w:t>
              <w:br/>
              <w:t>（7分）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资金分配管理是否科学合理、规范有序；是否体现突出重点或公平性，符合财政资金改革方向</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2</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03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资金使用规范（规范使用资金/资金总额×100%）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79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执行</w:t>
              <w:br/>
              <w:t>（3分）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执行规范</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管理制度健全，管理过程科学规范</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不严格</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较严格</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严格</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817"/>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完成数量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实际完成任务量/绩效目标设定任务量×100%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x＜85%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85%≤x＜90%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90%≤x＜95%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95%≤x＜100%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148"/>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完成质量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符合绩效目标设定的验收标准，达到行业基准水平</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val="restart"/>
            <w:tcBorders>
              <w:top w:val="single" w:sz="4" w:space="0" w:color="auto"/>
              <w:left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完成时效</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（实际完成时间-绩效目标设定完成时间）/绩效目标设定完成时间×100%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完成成本</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（实际完成成本-预计完成成本）/预计完成成本×100%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经济效益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反映相关产出对经社会发展带来的影响和效果，重点考核税收、投入产出、回报等情况的指标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社会效益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反映相关产出对社会发展带来的影响和效果，重点考核撬动地方经济、就业（包括就业人数）等情况的指标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生态效益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反映相关产出对自然环境带来的影响和效果</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0"/>
                <w:kern w:val="0"/>
                <w:szCs w:val="21"/>
              </w:rPr>
            </w:pPr>
            <w:r>
              <w:rPr>
                <w:rFonts w:ascii="宋体" w:eastAsia="宋体" w:cs="宋体"/>
                <w:color w:val="000000"/>
                <w:spacing w:val="-10"/>
                <w:kern w:val="0"/>
                <w:szCs w:val="21"/>
              </w:rPr>
              <w:t>可持续效益（可选项）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反映相关产出带来影响的可持续期限</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公平效率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主要反映资金使用者是否获公平竞争的机会，以及民生类项目中受益群体是否应覆盖全覆盖，覆盖率是衡量指标。重点考核覆盖率、知晓率等指标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2"/>
                <w:kern w:val="0"/>
                <w:szCs w:val="21"/>
              </w:rPr>
            </w:pPr>
            <w:r>
              <w:rPr>
                <w:rFonts w:ascii="宋体" w:eastAsia="宋体" w:cs="宋体"/>
                <w:color w:val="000000"/>
                <w:spacing w:val="-12"/>
                <w:kern w:val="0"/>
                <w:szCs w:val="21"/>
              </w:rPr>
              <w:t>使用效率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重点考核使用率等指标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服务对象</w:t>
              <w:br/>
              <w:t>满意度</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10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反映服务对象或项目受益人对相关产出及其影响的认可程度，重点考核受益群体和社会对项目的满意率等指标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2880"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  计</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r>
              <w:rPr>
                <w:rFonts w:ascii="宋体" w:eastAsia="宋体" w:cs="宋体" w:hint="eastAsia"/>
                <w:color w:val="000000"/>
                <w:kern w:val="0"/>
                <w:szCs w:val="21"/>
              </w:rPr>
              <w:t>6</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bl>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1、项目决策。通过召开启动大会、基层收集名单、委员会初评、网上投票评选，保证评选工作顺利进行。</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r>
        <w:rPr>
          <w:rFonts w:ascii="仿宋" w:eastAsia="仿宋" w:cs="仿宋_GB2312" w:hAnsi="仿宋" w:hint="eastAsia"/>
          <w:sz w:val="32"/>
          <w:szCs w:val="32"/>
        </w:rPr>
        <w:t>最</w:t>
      </w:r>
      <w:r>
        <w:rPr>
          <w:rFonts w:ascii="仿宋" w:eastAsia="仿宋" w:cs="仿宋_GB2312" w:hAnsi="仿宋"/>
          <w:sz w:val="32"/>
          <w:szCs w:val="32"/>
        </w:rPr>
        <w:t>美庭院（阳台）评选安排资金</w:t>
      </w:r>
      <w:r>
        <w:rPr>
          <w:rFonts w:ascii="仿宋" w:eastAsia="仿宋" w:cs="仿宋_GB2312" w:hAnsi="仿宋" w:hint="eastAsia"/>
          <w:sz w:val="32"/>
          <w:szCs w:val="32"/>
        </w:rPr>
        <w:t>3万元，总共支出资金3万元，主要用于活动筹备、评选工作。</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3、项目绩效。评选出</w:t>
      </w:r>
      <w:r>
        <w:rPr>
          <w:rFonts w:ascii="仿宋" w:eastAsia="仿宋" w:cs="仿宋_GB2312" w:hAnsi="仿宋" w:hint="eastAsia"/>
          <w:sz w:val="32"/>
          <w:szCs w:val="32"/>
        </w:rPr>
        <w:t>30户最</w:t>
      </w:r>
      <w:r>
        <w:rPr>
          <w:rFonts w:ascii="仿宋" w:eastAsia="仿宋" w:cs="仿宋_GB2312" w:hAnsi="仿宋"/>
          <w:sz w:val="32"/>
          <w:szCs w:val="32"/>
        </w:rPr>
        <w:t>美庭院（阳台）</w:t>
      </w:r>
      <w:r>
        <w:rPr>
          <w:rFonts w:ascii="仿宋" w:eastAsia="仿宋" w:cs="仿宋" w:hAnsi="仿宋" w:hint="eastAsia"/>
          <w:sz w:val="32"/>
          <w:szCs w:val="32"/>
        </w:rPr>
        <w:t>。</w:t>
      </w:r>
      <w:r>
        <w:rPr>
          <w:rFonts w:ascii="方正仿宋简体" w:eastAsia="方正仿宋简体" w:cs="仿宋" w:hAnsi="仿宋_GB2312" w:hint="eastAsia"/>
          <w:sz w:val="32"/>
          <w:szCs w:val="32"/>
        </w:rPr>
        <w:t>通过评选展示，动员全区广大家庭和妇女争做改善环境的先行者、改变陋习的带头者、良好风尚的引领者，让“家庭绿化”成为生活时尚，给“家”多增一点绿，多添一份美，为把我区建设成为中国生态康养旅游名市核心区、创建“国家园林城市”贡献力量。</w:t>
      </w:r>
    </w:p>
    <w:p>
      <w:pPr>
        <w:tabs>
          <w:tab w:val="left" w:pos="312"/>
        </w:tabs>
        <w:spacing w:line="576" w:lineRule="exact"/>
        <w:ind w:firstLineChars="200" w:firstLine="640"/>
        <w:rPr>
          <w:rFonts w:ascii="方正仿宋简体" w:eastAsia="方正仿宋简体" w:cs="仿宋_GB2312" w:hAnsi="仿宋_GB2312"/>
          <w:color w:val="000000"/>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r>
        <w:rPr>
          <w:rFonts w:ascii="方正仿宋简体" w:eastAsia="方正仿宋简体" w:cs="方正仿宋简体" w:hint="eastAsia"/>
          <w:color w:val="000000"/>
          <w:sz w:val="32"/>
          <w:szCs w:val="32"/>
        </w:rPr>
        <w:t>统筹协调作用发挥不够</w:t>
      </w:r>
      <w:r>
        <w:rPr>
          <w:rFonts w:ascii="方正仿宋简体" w:eastAsia="方正仿宋简体" w:cs="仿宋_GB2312" w:hAnsi="仿宋_GB2312" w:hint="eastAsia"/>
          <w:color w:val="000000"/>
          <w:sz w:val="32"/>
          <w:szCs w:val="32"/>
        </w:rPr>
        <w:t>。</w:t>
      </w:r>
    </w:p>
    <w:p>
      <w:pPr>
        <w:spacing w:line="576" w:lineRule="exact"/>
        <w:ind w:firstLineChars="200" w:firstLine="640"/>
        <w:rPr>
          <w:rFonts w:ascii="方正仿宋简体" w:eastAsia="方正仿宋简体" w:cs="方正仿宋简体"/>
          <w:color w:val="000000"/>
          <w:sz w:val="32"/>
          <w:szCs w:val="32"/>
        </w:rPr>
      </w:pPr>
      <w:r>
        <w:rPr>
          <w:rFonts w:ascii="方正仿宋简体" w:eastAsia="方正仿宋简体" w:cs="仿宋_GB2312" w:hAnsi="仿宋" w:hint="eastAsia"/>
          <w:color w:val="000000"/>
          <w:sz w:val="32"/>
          <w:szCs w:val="32"/>
        </w:rPr>
        <w:t>四、相关措施建议。</w:t>
      </w:r>
      <w:r>
        <w:rPr>
          <w:rFonts w:ascii="方正仿宋简体" w:eastAsia="方正仿宋简体" w:cs="仿宋_GB2312" w:hAnsi="仿宋_GB2312" w:hint="eastAsia"/>
          <w:color w:val="000000"/>
          <w:sz w:val="32"/>
          <w:szCs w:val="32"/>
        </w:rPr>
        <w:t>积极加强区级各部门通力协作，全力推进项目取得成效。</w:t>
      </w:r>
    </w:p>
    <w:p>
      <w:pPr>
        <w:spacing w:line="580" w:lineRule="exact"/>
        <w:rPr>
          <w:rFonts w:ascii="仿宋" w:eastAsia="仿宋" w:cs="仿宋_GB2312" w:hAnsi="仿宋"/>
          <w:sz w:val="32"/>
          <w:szCs w:val="32"/>
        </w:rPr>
      </w:pPr>
    </w:p>
    <w:p>
      <w:pPr>
        <w:spacing w:line="580" w:lineRule="exact"/>
        <w:rPr>
          <w:rFonts w:ascii="仿宋" w:eastAsia="仿宋" w:cs="仿宋_GB2312" w:hAnsi="仿宋"/>
          <w:sz w:val="32"/>
          <w:szCs w:val="32"/>
        </w:rPr>
      </w:pPr>
    </w:p>
    <w:p>
      <w:pPr>
        <w:spacing w:line="580" w:lineRule="exact"/>
        <w:rPr>
          <w:rFonts w:ascii="仿宋" w:eastAsia="仿宋" w:cs="仿宋_GB2312" w:hAnsi="仿宋"/>
          <w:sz w:val="32"/>
          <w:szCs w:val="32"/>
        </w:rPr>
      </w:pPr>
    </w:p>
    <w:p>
      <w:pPr>
        <w:spacing w:line="580" w:lineRule="exact"/>
        <w:rPr>
          <w:rFonts w:ascii="仿宋" w:eastAsia="仿宋" w:cs="仿宋_GB2312" w:hAnsi="仿宋"/>
          <w:sz w:val="32"/>
          <w:szCs w:val="32"/>
        </w:rPr>
      </w:pPr>
    </w:p>
    <w:p>
      <w:pPr>
        <w:spacing w:line="580" w:lineRule="exact"/>
        <w:rPr>
          <w:rFonts w:ascii="仿宋" w:eastAsia="仿宋" w:cs="仿宋_GB2312" w:hAnsi="仿宋"/>
          <w:sz w:val="32"/>
          <w:szCs w:val="32"/>
        </w:rPr>
      </w:pPr>
    </w:p>
    <w:p>
      <w:pPr>
        <w:spacing w:line="580" w:lineRule="exact"/>
        <w:rPr>
          <w:rFonts w:ascii="仿宋" w:eastAsia="仿宋" w:cs="仿宋_GB2312" w:hAnsi="仿宋"/>
          <w:sz w:val="32"/>
          <w:szCs w:val="32"/>
        </w:rPr>
      </w:pPr>
    </w:p>
    <w:p>
      <w:pPr>
        <w:spacing w:line="580" w:lineRule="exact"/>
        <w:rPr>
          <w:rFonts w:ascii="仿宋" w:eastAsia="仿宋" w:cs="仿宋_GB2312" w:hAnsi="仿宋"/>
          <w:sz w:val="32"/>
          <w:szCs w:val="32"/>
        </w:rPr>
      </w:pPr>
    </w:p>
    <w:p>
      <w:pPr>
        <w:spacing w:line="580" w:lineRule="exact"/>
        <w:rPr>
          <w:rFonts w:ascii="仿宋" w:eastAsia="仿宋" w:cs="仿宋_GB2312" w:hAnsi="仿宋"/>
          <w:sz w:val="32"/>
          <w:szCs w:val="32"/>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2018年第五次妇女代表大会项目支出绩效评价报告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方正仿宋简体" w:eastAsia="方正仿宋简体" w:cs="仿宋_GB2312" w:hAnsi="仿宋_GB2312"/>
          <w:bCs/>
          <w:sz w:val="32"/>
          <w:szCs w:val="32"/>
        </w:rPr>
      </w:pPr>
      <w:r>
        <w:rPr>
          <w:rFonts w:ascii="方正仿宋简体" w:eastAsia="方正仿宋简体" w:cs="仿宋_GB2312" w:hAnsi="仿宋_GB2312" w:hint="eastAsia"/>
          <w:bCs/>
          <w:sz w:val="32"/>
          <w:szCs w:val="32"/>
        </w:rPr>
        <w:t>认真贯彻党的十八大及十八届五中、六中全会精神和区第八次党代会精神，总结我区近年来妇联的工作，审议和审查区妇联的工作报告，选举产生新一届妇联执行委员会，讨论制定今后五年我区妇女工作的奋斗目标和工作任务。进一步团结带领全区广大妇女解放思想，开拓创新，努力开创妇女工作新局面，为坚决打赢“三大战役”、加快建设综合实力一流的现代化市辖区做出新的更大贡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widowControl/>
        <w:overflowPunct w:val="0"/>
        <w:spacing w:line="576" w:lineRule="exact"/>
        <w:ind w:firstLineChars="150" w:firstLine="480"/>
        <w:jc w:val="left"/>
        <w:rPr>
          <w:rFonts w:ascii="仿宋" w:eastAsia="方正仿宋简体" w:cs="宋体" w:hAnsi="仿宋"/>
          <w:color w:val="000000"/>
          <w:kern w:val="0"/>
          <w:sz w:val="32"/>
          <w:szCs w:val="32"/>
        </w:rPr>
      </w:pPr>
      <w:r>
        <w:rPr>
          <w:rFonts w:ascii="仿宋" w:eastAsia="方正仿宋简体" w:cs="宋体" w:hAnsi="仿宋" w:hint="eastAsia"/>
          <w:color w:val="000000"/>
          <w:kern w:val="0"/>
          <w:sz w:val="32"/>
          <w:szCs w:val="32"/>
        </w:rPr>
        <w:t>总体上看，该项目决策依据充分，资金到位及时，项目管理规范，项目绩效评价得分为96分。</w:t>
      </w:r>
    </w:p>
    <w:tbl>
      <w:tblPr>
        <w:jc w:val="center"/>
        <w:tblW w:w="8874"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Pr>
      <w:tblGrid>
        <w:gridCol w:w="525"/>
        <w:gridCol w:w="525"/>
        <w:gridCol w:w="525"/>
        <w:gridCol w:w="277"/>
        <w:gridCol w:w="1028"/>
        <w:gridCol w:w="651"/>
        <w:gridCol w:w="1278"/>
        <w:gridCol w:w="1278"/>
        <w:gridCol w:w="1186"/>
        <w:gridCol w:w="964"/>
        <w:gridCol w:w="369"/>
        <w:gridCol w:w="268"/>
      </w:tblGrid>
      <w:tr>
        <w:trPr>
          <w:tblHeader/>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二级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三级</w:t>
              <w:br/>
              <w:t>指标</w:t>
            </w:r>
          </w:p>
        </w:tc>
        <w:tc>
          <w:tcPr>
            <w:tcW w:w="277"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分值</w:t>
            </w:r>
          </w:p>
        </w:tc>
        <w:tc>
          <w:tcPr>
            <w:tcW w:w="102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指标评价内容</w:t>
              <w:br/>
              <w:t>（公式结果=x）</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评分标准</w:t>
            </w:r>
          </w:p>
        </w:tc>
        <w:tc>
          <w:tcPr>
            <w:tcW w:w="369"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评价得分</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备注</w:t>
            </w:r>
          </w:p>
        </w:tc>
      </w:tr>
      <w:tr>
        <w:trPr>
          <w:tblHeader/>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277" w:type="dxa"/>
            <w:vMerge/>
            <w:tcBorders>
              <w:top w:val="single" w:sz="6" w:space="0" w:color="auto"/>
              <w:left w:val="single" w:sz="6" w:space="0" w:color="auto"/>
              <w:bottom w:val="single" w:sz="6" w:space="0" w:color="auto"/>
              <w:right w:val="single" w:sz="6" w:space="0" w:color="auto"/>
            </w:tcBorders>
            <w:vAlign w:val="center"/>
          </w:tcPr>
          <w:p/>
        </w:tc>
        <w:tc>
          <w:tcPr>
            <w:tcW w:w="1028" w:type="dxa"/>
            <w:vMerge/>
            <w:tcBorders>
              <w:top w:val="single" w:sz="6" w:space="0" w:color="auto"/>
              <w:left w:val="single" w:sz="6" w:space="0" w:color="auto"/>
              <w:bottom w:val="single" w:sz="6" w:space="0" w:color="auto"/>
              <w:right w:val="single" w:sz="6" w:space="0" w:color="auto"/>
            </w:tcBorders>
            <w:vAlign w:val="center"/>
          </w:tcP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较好</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好</w:t>
            </w:r>
          </w:p>
        </w:tc>
        <w:tc>
          <w:tcPr>
            <w:tcW w:w="369" w:type="dxa"/>
            <w:vMerge/>
            <w:tcBorders>
              <w:top w:val="single" w:sz="6" w:space="0" w:color="auto"/>
              <w:left w:val="single" w:sz="6" w:space="0" w:color="auto"/>
              <w:bottom w:val="single" w:sz="6" w:space="0" w:color="auto"/>
              <w:right w:val="single" w:sz="6" w:space="0" w:color="auto"/>
            </w:tcBorders>
            <w:vAlign w:val="center"/>
          </w:tcPr>
          <w:p/>
        </w:tc>
        <w:tc>
          <w:tcPr>
            <w:tcW w:w="268" w:type="dxa"/>
            <w:vMerge/>
            <w:tcBorders>
              <w:top w:val="single" w:sz="6" w:space="0" w:color="auto"/>
              <w:left w:val="single" w:sz="6" w:space="0" w:color="auto"/>
              <w:bottom w:val="single" w:sz="6" w:space="0" w:color="auto"/>
              <w:right w:val="single" w:sz="6" w:space="0" w:color="auto"/>
            </w:tcBorders>
            <w:vAlign w:val="center"/>
          </w:tcPr>
          <w:p/>
        </w:tc>
      </w:tr>
      <w:tr>
        <w:trPr>
          <w:trHeight w:val="3224"/>
        </w:trPr>
        <w:tc>
          <w:tcPr>
            <w:tcW w:w="525" w:type="dxa"/>
            <w:vMerge w:val="restart"/>
            <w:tcBorders>
              <w:top w:val="single" w:sz="4"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科学</w:t>
              <w:br/>
              <w:t>决策</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必要性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80" w:lineRule="exact"/>
              <w:jc w:val="center"/>
              <w:rPr>
                <w:rFonts w:ascii="宋体" w:eastAsia="宋体" w:cs="宋体"/>
                <w:color w:val="000000"/>
                <w:kern w:val="0"/>
                <w:szCs w:val="21"/>
              </w:rPr>
            </w:pPr>
            <w:r>
              <w:rPr>
                <w:rFonts w:ascii="宋体" w:eastAsia="宋体" w:cs="宋体"/>
                <w:color w:val="000000"/>
                <w:kern w:val="0"/>
                <w:szCs w:val="21"/>
              </w:rPr>
              <w:t>项目符合党中央、国务院和</w:t>
            </w:r>
            <w:r>
              <w:rPr>
                <w:rFonts w:ascii="宋体" w:eastAsia="宋体" w:cs="宋体" w:hint="eastAsia"/>
                <w:color w:val="000000"/>
                <w:kern w:val="0"/>
                <w:szCs w:val="21"/>
                <w:lang w:eastAsia="zh-CN"/>
              </w:rPr>
              <w:t>县委、县政府</w:t>
            </w:r>
            <w:r>
              <w:rPr>
                <w:rFonts w:ascii="宋体" w:eastAsia="宋体" w:cs="宋体"/>
                <w:color w:val="000000"/>
                <w:kern w:val="0"/>
                <w:szCs w:val="21"/>
              </w:rPr>
              <w:t>决策部署；符合当前经济社会发展需要，政策和实际需求的吻合程度</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176"/>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可行性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80" w:lineRule="exact"/>
              <w:jc w:val="center"/>
              <w:rPr>
                <w:rFonts w:ascii="宋体" w:eastAsia="宋体" w:cs="宋体"/>
                <w:color w:val="000000"/>
                <w:kern w:val="0"/>
                <w:szCs w:val="21"/>
              </w:rPr>
            </w:pPr>
            <w:r>
              <w:rPr>
                <w:rFonts w:ascii="宋体" w:eastAsia="宋体" w:cs="宋体"/>
                <w:color w:val="000000"/>
                <w:kern w:val="0"/>
                <w:szCs w:val="21"/>
              </w:rPr>
              <w:t>可行性论证充分，规划、管理办法、指导意见等制度是否健全完善</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757"/>
        </w:trPr>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明确性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项目预期提供的产品、服务、效益或其他目标明确细化、可衡量（绩效目标实际明确数/应当明确个数×100%）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0%&lt;x&lt;30%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30%≤x&lt;60%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60%≤x&lt;100%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485"/>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合理性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绩效目标设定符合实际需求，合理可行（绩效目标设定符合实际需求的抽样项目点个数/抽样项目点总数×100%）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管理</w:t>
              <w:br/>
              <w:t>（10分）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w:t>
              <w:br/>
              <w:t>管理</w:t>
              <w:br/>
              <w:t>（7分）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资金分配管理是否科学合理、规范有序；是否体现突出重点或公平性，符合财政资金改革方向</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2</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03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资金使用规范（规范使用资金/资金总额×100%）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79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执行</w:t>
              <w:br/>
              <w:t>（3分）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执行规范</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管理制度健全，管理过程科学规范</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不严格</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较严格</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严格</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817"/>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完成数量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实际完成任务量/绩效目标设定任务量×100%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x＜85%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85%≤x＜90%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90%≤x＜95%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95%≤x＜100%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148"/>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完成质量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符合绩效目标设定的验收标准，达到行业基准水平</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val="restart"/>
            <w:tcBorders>
              <w:top w:val="single" w:sz="4" w:space="0" w:color="auto"/>
              <w:left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完成时效</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（实际完成时间-绩效目标设定完成时间）/绩效目标设定完成时间×100%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完成成本</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（实际完成成本-预计完成成本）/预计完成成本×100%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经济效益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反映相关产出对经社会发展带来的影响和效果，重点考核税收、投入产出、回报等情况的指标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社会效益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反映相关产出对社会发展带来的影响和效果，重点考核撬动地方经济、就业（包括就业人数）等情况的指标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生态效益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反映相关产出对自然环境带来的影响和效果</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0"/>
                <w:kern w:val="0"/>
                <w:szCs w:val="21"/>
              </w:rPr>
            </w:pPr>
            <w:r>
              <w:rPr>
                <w:rFonts w:ascii="宋体" w:eastAsia="宋体" w:cs="宋体"/>
                <w:color w:val="000000"/>
                <w:spacing w:val="-10"/>
                <w:kern w:val="0"/>
                <w:szCs w:val="21"/>
              </w:rPr>
              <w:t>可持续效益（可选项）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反映相关产出带来影响的可持续期限</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公平效率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主要反映资金使用者是否获公平竞争的机会，以及民生类项目中受益群体是否应覆盖全覆盖，覆盖率是衡量指标。重点考核覆盖率、知晓率等指标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2"/>
                <w:kern w:val="0"/>
                <w:szCs w:val="21"/>
              </w:rPr>
            </w:pPr>
            <w:r>
              <w:rPr>
                <w:rFonts w:ascii="宋体" w:eastAsia="宋体" w:cs="宋体"/>
                <w:color w:val="000000"/>
                <w:spacing w:val="-12"/>
                <w:kern w:val="0"/>
                <w:szCs w:val="21"/>
              </w:rPr>
              <w:t>使用效率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重点考核使用率等指标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服务对象</w:t>
              <w:br/>
              <w:t>满意度</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10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反映服务对象或项目受益人对相关产出及其影响的认可程度，重点考核受益群体和社会对项目的满意率等指标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2880"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  计</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r>
              <w:rPr>
                <w:rFonts w:ascii="宋体" w:eastAsia="宋体" w:cs="宋体" w:hint="eastAsia"/>
                <w:color w:val="000000"/>
                <w:kern w:val="0"/>
                <w:szCs w:val="21"/>
              </w:rPr>
              <w:t>6</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bl>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r>
        <w:rPr>
          <w:rFonts w:ascii="方正仿宋简体" w:eastAsia="方正仿宋简体" w:cs="仿宋_GB2312" w:hAnsi="仿宋_GB2312" w:hint="eastAsia"/>
          <w:bCs/>
          <w:sz w:val="32"/>
          <w:szCs w:val="32"/>
        </w:rPr>
        <w:t>根据《中华妇女全国联合会章程》规定：“地方妇女代表大会每五年举行一次”。</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r>
        <w:rPr>
          <w:rFonts w:ascii="仿宋" w:eastAsia="仿宋" w:cs="仿宋_GB2312" w:hAnsi="仿宋" w:hint="eastAsia"/>
          <w:sz w:val="32"/>
          <w:szCs w:val="32"/>
        </w:rPr>
        <w:t>第五次妇女代表大会</w:t>
      </w:r>
      <w:r>
        <w:rPr>
          <w:rFonts w:ascii="仿宋" w:eastAsia="仿宋" w:cs="仿宋_GB2312" w:hAnsi="仿宋"/>
          <w:sz w:val="32"/>
          <w:szCs w:val="32"/>
        </w:rPr>
        <w:t>安排资金</w:t>
      </w:r>
      <w:r>
        <w:rPr>
          <w:rFonts w:ascii="仿宋" w:eastAsia="仿宋" w:cs="仿宋_GB2312" w:hAnsi="仿宋" w:hint="eastAsia"/>
          <w:sz w:val="32"/>
          <w:szCs w:val="32"/>
        </w:rPr>
        <w:t>4.5万元，总共支出资金4.5万元，主要用于会议筹备等工作。</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3、项目绩效。会议</w:t>
      </w:r>
      <w:r>
        <w:rPr>
          <w:rFonts w:ascii="方正仿宋简体" w:eastAsia="方正仿宋简体" w:cs="仿宋_GB2312" w:hAnsi="仿宋_GB2312" w:hint="eastAsia"/>
          <w:bCs/>
          <w:sz w:val="32"/>
          <w:szCs w:val="32"/>
        </w:rPr>
        <w:t>总结我区近年来妇联的工作，审议和审查区妇联的工作报告，选举产生新一届妇联执行委员会，讨论制定今后五年我区妇女工作的奋斗目标和工作任务。</w:t>
      </w:r>
    </w:p>
    <w:p>
      <w:pPr>
        <w:tabs>
          <w:tab w:val="left" w:pos="312"/>
        </w:tabs>
        <w:spacing w:line="580" w:lineRule="exact"/>
        <w:ind w:firstLineChars="200" w:firstLine="640"/>
        <w:rPr>
          <w:rFonts w:ascii="仿宋_GB2312" w:eastAsia="仿宋_GB2312" w:cs="仿宋_GB2312" w:hAnsi="仿宋_GB2312"/>
          <w:color w:val="000000"/>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r>
        <w:rPr>
          <w:rFonts w:ascii="方正仿宋简体" w:eastAsia="方正仿宋简体" w:cs="方正仿宋简体" w:hint="eastAsia"/>
          <w:color w:val="000000"/>
          <w:sz w:val="32"/>
          <w:szCs w:val="32"/>
        </w:rPr>
        <w:t>工作任务重，经费紧张。</w:t>
      </w:r>
    </w:p>
    <w:p>
      <w:pPr>
        <w:spacing w:line="580" w:lineRule="exact"/>
        <w:ind w:firstLineChars="200" w:firstLine="640"/>
        <w:rPr>
          <w:rFonts w:ascii="方正仿宋简体" w:eastAsia="方正仿宋简体" w:cs="方正仿宋简体"/>
          <w:color w:val="000000"/>
          <w:sz w:val="32"/>
          <w:szCs w:val="32"/>
        </w:rPr>
      </w:pPr>
      <w:r>
        <w:rPr>
          <w:rFonts w:ascii="仿宋" w:eastAsia="方正仿宋简体" w:cs="仿宋_GB2312" w:hAnsi="仿宋" w:hint="eastAsia"/>
          <w:color w:val="000000"/>
          <w:sz w:val="32"/>
          <w:szCs w:val="32"/>
        </w:rPr>
        <w:t>四</w:t>
      </w:r>
      <w:r>
        <w:rPr>
          <w:rFonts w:ascii="仿宋" w:eastAsia="方正仿宋简体" w:cs="仿宋_GB2312" w:hAnsi="仿宋"/>
          <w:color w:val="000000"/>
          <w:sz w:val="32"/>
          <w:szCs w:val="32"/>
        </w:rPr>
        <w:t>、相关措施建议</w:t>
      </w:r>
      <w:r>
        <w:rPr>
          <w:rFonts w:ascii="仿宋" w:eastAsia="方正仿宋简体" w:cs="仿宋_GB2312" w:hAnsi="仿宋" w:hint="eastAsia"/>
          <w:color w:val="000000"/>
          <w:sz w:val="32"/>
          <w:szCs w:val="32"/>
        </w:rPr>
        <w:t>。</w:t>
      </w:r>
      <w:r>
        <w:rPr>
          <w:rFonts w:ascii="方正仿宋简体" w:eastAsia="方正仿宋简体" w:cs="方正仿宋简体" w:hint="eastAsia"/>
          <w:color w:val="000000"/>
          <w:sz w:val="32"/>
          <w:szCs w:val="32"/>
        </w:rPr>
        <w:t>加大资金投入。</w:t>
      </w:r>
    </w:p>
    <w:p>
      <w:pPr>
        <w:tabs>
          <w:tab w:val="left" w:pos="312"/>
        </w:tabs>
        <w:spacing w:line="576" w:lineRule="exact"/>
        <w:ind w:firstLineChars="200" w:firstLine="640"/>
        <w:rPr>
          <w:rFonts w:ascii="仿宋" w:eastAsia="仿宋" w:cs="仿宋_GB2312" w:hAnsi="仿宋"/>
          <w:sz w:val="32"/>
          <w:szCs w:val="32"/>
        </w:rPr>
      </w:pPr>
    </w:p>
    <w:p>
      <w:pPr>
        <w:spacing w:line="580" w:lineRule="exact"/>
        <w:rPr>
          <w:rFonts w:ascii="仿宋" w:eastAsia="仿宋" w:cs="仿宋_GB2312" w:hAnsi="仿宋"/>
          <w:sz w:val="32"/>
          <w:szCs w:val="32"/>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2018年两纲工作项目支出绩效评价报告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方正仿宋简体" w:eastAsia="方正仿宋简体" w:hAnsi="宋体"/>
          <w:sz w:val="32"/>
          <w:szCs w:val="32"/>
        </w:rPr>
      </w:pPr>
      <w:r>
        <w:rPr>
          <w:rFonts w:ascii="方正仿宋简体" w:eastAsia="方正仿宋简体" w:hAnsi="楷体" w:hint="eastAsia"/>
          <w:sz w:val="32"/>
          <w:szCs w:val="32"/>
        </w:rPr>
        <w:t>高度重视妇女儿童工作，全面实现“五个纳入”。</w:t>
      </w:r>
      <w:r>
        <w:rPr>
          <w:rFonts w:ascii="方正仿宋简体" w:eastAsia="方正仿宋简体" w:hAnsi="宋体" w:hint="eastAsia"/>
          <w:sz w:val="32"/>
          <w:szCs w:val="32"/>
        </w:rPr>
        <w:t>将</w:t>
      </w:r>
      <w:r>
        <w:rPr>
          <w:rFonts w:ascii="方正仿宋简体" w:eastAsia="方正仿宋简体" w:cs="仿宋" w:hAnsi="仿宋"/>
          <w:sz w:val="32"/>
          <w:szCs w:val="32"/>
        </w:rPr>
        <w:t>“</w:t>
      </w:r>
      <w:r>
        <w:rPr>
          <w:rFonts w:ascii="方正仿宋简体" w:eastAsia="方正仿宋简体" w:cs="仿宋" w:hAnsi="仿宋" w:hint="eastAsia"/>
          <w:sz w:val="32"/>
          <w:szCs w:val="32"/>
        </w:rPr>
        <w:t>两纲</w:t>
      </w:r>
      <w:r>
        <w:rPr>
          <w:rFonts w:ascii="方正仿宋简体" w:eastAsia="方正仿宋简体" w:cs="仿宋" w:hAnsi="仿宋"/>
          <w:sz w:val="32"/>
          <w:szCs w:val="32"/>
        </w:rPr>
        <w:t>”</w:t>
      </w:r>
      <w:r>
        <w:rPr>
          <w:rFonts w:ascii="方正仿宋简体" w:eastAsia="方正仿宋简体" w:hAnsi="宋体" w:hint="eastAsia"/>
          <w:sz w:val="32"/>
          <w:szCs w:val="32"/>
        </w:rPr>
        <w:t>工作纳入</w:t>
      </w:r>
      <w:r>
        <w:rPr>
          <w:rFonts w:ascii="方正仿宋简体" w:eastAsia="方正仿宋简体" w:hAnsi="仿宋" w:hint="eastAsia"/>
          <w:sz w:val="32"/>
          <w:szCs w:val="32"/>
        </w:rPr>
        <w:t>党委政府重要议事日程，纳入</w:t>
      </w:r>
      <w:r>
        <w:rPr>
          <w:rFonts w:ascii="方正仿宋简体" w:eastAsia="方正仿宋简体" w:cs="黑体" w:hAnsi="仿宋" w:hint="eastAsia"/>
          <w:sz w:val="32"/>
          <w:szCs w:val="32"/>
        </w:rPr>
        <w:t>实施精准扶贫有关专项规划和国民经济和社会发展“十三五”规划，</w:t>
      </w:r>
      <w:r>
        <w:rPr>
          <w:rFonts w:ascii="方正仿宋简体" w:eastAsia="方正仿宋简体" w:hAnsi="仿宋" w:hint="eastAsia"/>
          <w:sz w:val="32"/>
          <w:szCs w:val="32"/>
        </w:rPr>
        <w:t>与发展经济和其他社会发展规划同步研究、同步实施；纳入了政府工作报告</w:t>
      </w:r>
      <w:r>
        <w:rPr>
          <w:rFonts w:ascii="方正仿宋简体" w:eastAsia="方正仿宋简体" w:hint="eastAsia"/>
          <w:sz w:val="32"/>
          <w:szCs w:val="32"/>
        </w:rPr>
        <w:t>；继续将</w:t>
      </w:r>
      <w:r>
        <w:rPr>
          <w:rFonts w:ascii="方正仿宋简体" w:eastAsia="方正仿宋简体" w:cs="仿宋" w:hAnsi="仿宋"/>
          <w:sz w:val="32"/>
          <w:szCs w:val="32"/>
        </w:rPr>
        <w:t>“</w:t>
      </w:r>
      <w:r>
        <w:rPr>
          <w:rFonts w:ascii="方正仿宋简体" w:eastAsia="方正仿宋简体" w:cs="仿宋" w:hAnsi="仿宋" w:hint="eastAsia"/>
          <w:sz w:val="32"/>
          <w:szCs w:val="32"/>
        </w:rPr>
        <w:t>两纲</w:t>
      </w:r>
      <w:r>
        <w:rPr>
          <w:rFonts w:ascii="方正仿宋简体" w:eastAsia="方正仿宋简体" w:cs="仿宋" w:hAnsi="仿宋"/>
          <w:sz w:val="32"/>
          <w:szCs w:val="32"/>
        </w:rPr>
        <w:t>”</w:t>
      </w:r>
      <w:r>
        <w:rPr>
          <w:rFonts w:ascii="方正仿宋简体" w:eastAsia="方正仿宋简体" w:hint="eastAsia"/>
          <w:sz w:val="32"/>
          <w:szCs w:val="32"/>
        </w:rPr>
        <w:t>工作纳入区政府年度工作目标考核，实行倒扣分管理，同时，区妇儿工委办加强了对各地各部门</w:t>
      </w:r>
      <w:r>
        <w:rPr>
          <w:rFonts w:ascii="方正仿宋简体" w:eastAsia="方正仿宋简体" w:cs="仿宋" w:hAnsi="仿宋"/>
          <w:sz w:val="32"/>
          <w:szCs w:val="32"/>
        </w:rPr>
        <w:t>“</w:t>
      </w:r>
      <w:r>
        <w:rPr>
          <w:rFonts w:ascii="方正仿宋简体" w:eastAsia="方正仿宋简体" w:cs="仿宋" w:hAnsi="仿宋" w:hint="eastAsia"/>
          <w:sz w:val="32"/>
          <w:szCs w:val="32"/>
        </w:rPr>
        <w:t>两纲</w:t>
      </w:r>
      <w:r>
        <w:rPr>
          <w:rFonts w:ascii="方正仿宋简体" w:eastAsia="方正仿宋简体" w:cs="仿宋" w:hAnsi="仿宋"/>
          <w:sz w:val="32"/>
          <w:szCs w:val="32"/>
        </w:rPr>
        <w:t>”</w:t>
      </w:r>
      <w:r>
        <w:rPr>
          <w:rFonts w:ascii="方正仿宋简体" w:eastAsia="方正仿宋简体" w:hint="eastAsia"/>
          <w:sz w:val="32"/>
          <w:szCs w:val="32"/>
        </w:rPr>
        <w:t>工作的督导力度，</w:t>
      </w:r>
      <w:r>
        <w:rPr>
          <w:rFonts w:ascii="方正仿宋简体" w:eastAsia="方正仿宋简体" w:hAnsi="宋体" w:hint="eastAsia"/>
          <w:sz w:val="32"/>
          <w:szCs w:val="32"/>
        </w:rPr>
        <w:t>根据各地各部门工作职责和实际情况，细化分解了目标任务</w:t>
      </w:r>
      <w:r>
        <w:rPr>
          <w:rFonts w:ascii="方正仿宋简体" w:eastAsia="方正仿宋简体" w:hint="eastAsia"/>
          <w:sz w:val="32"/>
          <w:szCs w:val="32"/>
        </w:rPr>
        <w:t>；纳入部门职责范围。4月26日，召开了2018年度妇女儿童工作会，总结2017年</w:t>
      </w:r>
      <w:r>
        <w:rPr>
          <w:rFonts w:ascii="方正仿宋简体" w:eastAsia="方正仿宋简体" w:cs="仿宋" w:hAnsi="仿宋"/>
          <w:sz w:val="32"/>
          <w:szCs w:val="32"/>
        </w:rPr>
        <w:t>“</w:t>
      </w:r>
      <w:r>
        <w:rPr>
          <w:rFonts w:ascii="方正仿宋简体" w:eastAsia="方正仿宋简体" w:cs="仿宋" w:hAnsi="仿宋" w:hint="eastAsia"/>
          <w:sz w:val="32"/>
          <w:szCs w:val="32"/>
        </w:rPr>
        <w:t>两纲</w:t>
      </w:r>
      <w:r>
        <w:rPr>
          <w:rFonts w:ascii="方正仿宋简体" w:eastAsia="方正仿宋简体" w:cs="仿宋" w:hAnsi="仿宋"/>
          <w:sz w:val="32"/>
          <w:szCs w:val="32"/>
        </w:rPr>
        <w:t>”</w:t>
      </w:r>
      <w:r>
        <w:rPr>
          <w:rFonts w:ascii="方正仿宋简体" w:eastAsia="方正仿宋简体" w:hint="eastAsia"/>
          <w:sz w:val="32"/>
          <w:szCs w:val="32"/>
        </w:rPr>
        <w:t>工作并安排部署了2018年工作，</w:t>
      </w:r>
      <w:r>
        <w:rPr>
          <w:rFonts w:ascii="方正仿宋简体" w:eastAsia="方正仿宋简体" w:cs="仿宋" w:hAnsi="仿宋" w:hint="eastAsia"/>
          <w:sz w:val="32"/>
          <w:szCs w:val="32"/>
        </w:rPr>
        <w:t>表彰了2017年度</w:t>
      </w:r>
      <w:r>
        <w:rPr>
          <w:rFonts w:ascii="方正仿宋简体" w:eastAsia="方正仿宋简体" w:cs="仿宋" w:hAnsi="仿宋"/>
          <w:sz w:val="32"/>
          <w:szCs w:val="32"/>
        </w:rPr>
        <w:t>“</w:t>
      </w:r>
      <w:r>
        <w:rPr>
          <w:rFonts w:ascii="方正仿宋简体" w:eastAsia="方正仿宋简体" w:cs="仿宋" w:hAnsi="仿宋" w:hint="eastAsia"/>
          <w:sz w:val="32"/>
          <w:szCs w:val="32"/>
        </w:rPr>
        <w:t>两纲</w:t>
      </w:r>
      <w:r>
        <w:rPr>
          <w:rFonts w:ascii="方正仿宋简体" w:eastAsia="方正仿宋简体" w:cs="仿宋" w:hAnsi="仿宋"/>
          <w:sz w:val="32"/>
          <w:szCs w:val="32"/>
        </w:rPr>
        <w:t>”</w:t>
      </w:r>
      <w:r>
        <w:rPr>
          <w:rFonts w:ascii="方正仿宋简体" w:eastAsia="方正仿宋简体" w:cs="仿宋" w:hAnsi="仿宋" w:hint="eastAsia"/>
          <w:sz w:val="32"/>
          <w:szCs w:val="32"/>
        </w:rPr>
        <w:t>工作先进集体和先进个人</w:t>
      </w:r>
      <w:r>
        <w:rPr>
          <w:rFonts w:ascii="方正仿宋简体" w:eastAsia="方正仿宋简体" w:hAnsi="宋体" w:hint="eastAsia"/>
          <w:sz w:val="32"/>
          <w:szCs w:val="32"/>
        </w:rPr>
        <w:t>。</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widowControl/>
        <w:overflowPunct w:val="0"/>
        <w:spacing w:line="576" w:lineRule="exact"/>
        <w:ind w:firstLineChars="150" w:firstLine="480"/>
        <w:jc w:val="left"/>
        <w:rPr>
          <w:rFonts w:ascii="仿宋" w:eastAsia="方正仿宋简体" w:cs="宋体" w:hAnsi="仿宋" w:hint="eastAsia"/>
          <w:color w:val="000000"/>
          <w:kern w:val="0"/>
          <w:sz w:val="32"/>
          <w:szCs w:val="32"/>
        </w:rPr>
      </w:pPr>
      <w:r>
        <w:rPr>
          <w:rFonts w:ascii="仿宋" w:eastAsia="方正仿宋简体" w:cs="宋体" w:hAnsi="仿宋" w:hint="eastAsia"/>
          <w:color w:val="000000"/>
          <w:kern w:val="0"/>
          <w:sz w:val="32"/>
          <w:szCs w:val="32"/>
        </w:rPr>
        <w:t>总体上看，该项目决策依据充分，资金到位及时，项目管理规范，项目绩效评价得分为95分。</w:t>
      </w:r>
    </w:p>
    <w:p>
      <w:pPr>
        <w:widowControl/>
        <w:overflowPunct w:val="0"/>
        <w:spacing w:line="576" w:lineRule="exact"/>
        <w:ind w:firstLineChars="150" w:firstLine="480"/>
        <w:jc w:val="left"/>
        <w:rPr>
          <w:rFonts w:ascii="仿宋" w:eastAsia="方正仿宋简体" w:cs="宋体" w:hAnsi="仿宋"/>
          <w:color w:val="000000"/>
          <w:kern w:val="0"/>
          <w:sz w:val="32"/>
          <w:szCs w:val="32"/>
        </w:rPr>
      </w:pPr>
    </w:p>
    <w:tbl>
      <w:tblPr>
        <w:jc w:val="center"/>
        <w:tblW w:w="8874"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Pr>
      <w:tblGrid>
        <w:gridCol w:w="525"/>
        <w:gridCol w:w="525"/>
        <w:gridCol w:w="525"/>
        <w:gridCol w:w="277"/>
        <w:gridCol w:w="1028"/>
        <w:gridCol w:w="651"/>
        <w:gridCol w:w="1278"/>
        <w:gridCol w:w="1278"/>
        <w:gridCol w:w="1186"/>
        <w:gridCol w:w="964"/>
        <w:gridCol w:w="369"/>
        <w:gridCol w:w="268"/>
      </w:tblGrid>
      <w:tr>
        <w:trPr>
          <w:tblHeader/>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二级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三级</w:t>
              <w:br/>
              <w:t>指标</w:t>
            </w:r>
          </w:p>
        </w:tc>
        <w:tc>
          <w:tcPr>
            <w:tcW w:w="277"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分值</w:t>
            </w:r>
          </w:p>
        </w:tc>
        <w:tc>
          <w:tcPr>
            <w:tcW w:w="102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指标评价内容</w:t>
              <w:br/>
              <w:t>（公式结果=x）</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评分标准</w:t>
            </w:r>
          </w:p>
        </w:tc>
        <w:tc>
          <w:tcPr>
            <w:tcW w:w="369"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评价得分</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备注</w:t>
            </w:r>
          </w:p>
        </w:tc>
      </w:tr>
      <w:tr>
        <w:trPr>
          <w:tblHeader/>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277" w:type="dxa"/>
            <w:vMerge/>
            <w:tcBorders>
              <w:top w:val="single" w:sz="6" w:space="0" w:color="auto"/>
              <w:left w:val="single" w:sz="6" w:space="0" w:color="auto"/>
              <w:bottom w:val="single" w:sz="6" w:space="0" w:color="auto"/>
              <w:right w:val="single" w:sz="6" w:space="0" w:color="auto"/>
            </w:tcBorders>
            <w:vAlign w:val="center"/>
          </w:tcPr>
          <w:p/>
        </w:tc>
        <w:tc>
          <w:tcPr>
            <w:tcW w:w="1028" w:type="dxa"/>
            <w:vMerge/>
            <w:tcBorders>
              <w:top w:val="single" w:sz="6" w:space="0" w:color="auto"/>
              <w:left w:val="single" w:sz="6" w:space="0" w:color="auto"/>
              <w:bottom w:val="single" w:sz="6" w:space="0" w:color="auto"/>
              <w:right w:val="single" w:sz="6" w:space="0" w:color="auto"/>
            </w:tcBorders>
            <w:vAlign w:val="center"/>
          </w:tcP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较好</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好</w:t>
            </w:r>
          </w:p>
        </w:tc>
        <w:tc>
          <w:tcPr>
            <w:tcW w:w="369" w:type="dxa"/>
            <w:vMerge/>
            <w:tcBorders>
              <w:top w:val="single" w:sz="6" w:space="0" w:color="auto"/>
              <w:left w:val="single" w:sz="6" w:space="0" w:color="auto"/>
              <w:bottom w:val="single" w:sz="6" w:space="0" w:color="auto"/>
              <w:right w:val="single" w:sz="6" w:space="0" w:color="auto"/>
            </w:tcBorders>
            <w:vAlign w:val="center"/>
          </w:tcPr>
          <w:p/>
        </w:tc>
        <w:tc>
          <w:tcPr>
            <w:tcW w:w="268" w:type="dxa"/>
            <w:vMerge/>
            <w:tcBorders>
              <w:top w:val="single" w:sz="6" w:space="0" w:color="auto"/>
              <w:left w:val="single" w:sz="6" w:space="0" w:color="auto"/>
              <w:bottom w:val="single" w:sz="6" w:space="0" w:color="auto"/>
              <w:right w:val="single" w:sz="6" w:space="0" w:color="auto"/>
            </w:tcBorders>
            <w:vAlign w:val="center"/>
          </w:tcPr>
          <w:p/>
        </w:tc>
      </w:tr>
      <w:tr>
        <w:trPr>
          <w:trHeight w:val="3224"/>
        </w:trPr>
        <w:tc>
          <w:tcPr>
            <w:tcW w:w="525" w:type="dxa"/>
            <w:vMerge w:val="restart"/>
            <w:tcBorders>
              <w:top w:val="single" w:sz="4"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科学</w:t>
              <w:br/>
              <w:t>决策</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必要性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80" w:lineRule="exact"/>
              <w:jc w:val="center"/>
              <w:rPr>
                <w:rFonts w:ascii="宋体" w:eastAsia="宋体" w:cs="宋体"/>
                <w:color w:val="000000"/>
                <w:kern w:val="0"/>
                <w:szCs w:val="21"/>
              </w:rPr>
            </w:pPr>
            <w:r>
              <w:rPr>
                <w:rFonts w:ascii="宋体" w:eastAsia="宋体" w:cs="宋体"/>
                <w:color w:val="000000"/>
                <w:kern w:val="0"/>
                <w:szCs w:val="21"/>
              </w:rPr>
              <w:t>项目符合党中央、国务院和</w:t>
            </w:r>
            <w:r>
              <w:rPr>
                <w:rFonts w:ascii="宋体" w:eastAsia="宋体" w:cs="宋体" w:hint="eastAsia"/>
                <w:color w:val="000000"/>
                <w:kern w:val="0"/>
                <w:szCs w:val="21"/>
                <w:lang w:eastAsia="zh-CN"/>
              </w:rPr>
              <w:t>县委、县政府</w:t>
            </w:r>
            <w:r>
              <w:rPr>
                <w:rFonts w:ascii="宋体" w:eastAsia="宋体" w:cs="宋体"/>
                <w:color w:val="000000"/>
                <w:kern w:val="0"/>
                <w:szCs w:val="21"/>
              </w:rPr>
              <w:t>决策部署；符合当前经济社会发展需要，政策和实际需求的吻合程度</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176"/>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可行性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80" w:lineRule="exact"/>
              <w:jc w:val="center"/>
              <w:rPr>
                <w:rFonts w:ascii="宋体" w:eastAsia="宋体" w:cs="宋体"/>
                <w:color w:val="000000"/>
                <w:kern w:val="0"/>
                <w:szCs w:val="21"/>
              </w:rPr>
            </w:pPr>
            <w:r>
              <w:rPr>
                <w:rFonts w:ascii="宋体" w:eastAsia="宋体" w:cs="宋体"/>
                <w:color w:val="000000"/>
                <w:kern w:val="0"/>
                <w:szCs w:val="21"/>
              </w:rPr>
              <w:t>可行性论证充分，规划、管理办法、指导意见等制度是否健全完善</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757"/>
        </w:trPr>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明确性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项目预期提供的产品、服务、效益或其他目标明确细化、可衡量（绩效目标实际明确数/应当明确个数×100%）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0%&lt;x&lt;30%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30%≤x&lt;60%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60%≤x&lt;100%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485"/>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合理性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绩效目标设定符合实际需求，合理可行（绩效目标设定符合实际需求的抽样项目点个数/抽样项目点总数×100%）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管理</w:t>
              <w:br/>
              <w:t>（10分）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w:t>
              <w:br/>
              <w:t>管理</w:t>
              <w:br/>
              <w:t>（7分）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资金分配管理是否科学合理、规范有序；是否体现突出重点或公平性，符合财政资金改革方向</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2</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03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资金使用规范（规范使用资金/资金总额×100%）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79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执行</w:t>
              <w:br/>
              <w:t>（3分）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执行规范</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管理制度健全，管理过程科学规范</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不严格</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较严格</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严格</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817"/>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完成数量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实际完成任务量/绩效目标设定任务量×100%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x＜85%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85%≤x＜90%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90%≤x＜95%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95%≤x＜100%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148"/>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完成质量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符合绩效目标设定的验收标准，达到行业基准水平</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4</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val="restart"/>
            <w:tcBorders>
              <w:top w:val="single" w:sz="4" w:space="0" w:color="auto"/>
              <w:left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完成时效</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（实际完成时间-绩效目标设定完成时间）/绩效目标设定完成时间×100%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完成成本</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（实际完成成本-预计完成成本）/预计完成成本×100%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经济效益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反映相关产出对经社会发展带来的影响和效果，重点考核税收、投入产出、回报等情况的指标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社会效益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反映相关产出对社会发展带来的影响和效果，重点考核撬动地方经济、就业（包括就业人数）等情况的指标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生态效益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反映相关产出对自然环境带来的影响和效果</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0"/>
                <w:kern w:val="0"/>
                <w:szCs w:val="21"/>
              </w:rPr>
            </w:pPr>
            <w:r>
              <w:rPr>
                <w:rFonts w:ascii="宋体" w:eastAsia="宋体" w:cs="宋体"/>
                <w:color w:val="000000"/>
                <w:spacing w:val="-10"/>
                <w:kern w:val="0"/>
                <w:szCs w:val="21"/>
              </w:rPr>
              <w:t>可持续效益（可选项）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反映相关产出带来影响的可持续期限</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公平效率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主要反映资金使用者是否获公平竞争的机会，以及民生类项目中受益群体是否应覆盖全覆盖，覆盖率是衡量指标。重点考核覆盖率、知晓率等指标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2"/>
                <w:kern w:val="0"/>
                <w:szCs w:val="21"/>
              </w:rPr>
            </w:pPr>
            <w:r>
              <w:rPr>
                <w:rFonts w:ascii="宋体" w:eastAsia="宋体" w:cs="宋体"/>
                <w:color w:val="000000"/>
                <w:spacing w:val="-12"/>
                <w:kern w:val="0"/>
                <w:szCs w:val="21"/>
              </w:rPr>
              <w:t>使用效率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重点考核使用率等指标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服务对象</w:t>
              <w:br/>
              <w:t>满意度</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10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反映服务对象或项目受益人对相关产出及其影响的认可程度，重点考核受益群体和社会对项目的满意率等指标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2880"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  计</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r>
              <w:rPr>
                <w:rFonts w:ascii="宋体" w:eastAsia="宋体" w:cs="宋体" w:hint="eastAsia"/>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bl>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r>
        <w:rPr>
          <w:rFonts w:ascii="方正仿宋简体" w:eastAsia="方正仿宋简体" w:cs="仿宋_GB2312" w:hAnsi="仿宋_GB2312" w:hint="eastAsia"/>
          <w:bCs/>
          <w:sz w:val="32"/>
          <w:szCs w:val="32"/>
        </w:rPr>
        <w:t>按照区妇儿工委的安排，年初计划、年终总结，签订目标责任书，并积极开展两纲工作培训，确保两纲工作顺利完成。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r>
        <w:rPr>
          <w:rFonts w:ascii="仿宋" w:eastAsia="仿宋" w:cs="仿宋_GB2312" w:hAnsi="仿宋" w:hint="eastAsia"/>
          <w:sz w:val="32"/>
          <w:szCs w:val="32"/>
        </w:rPr>
        <w:t>两纲工作</w:t>
      </w:r>
      <w:r>
        <w:rPr>
          <w:rFonts w:ascii="仿宋" w:eastAsia="仿宋" w:cs="仿宋_GB2312" w:hAnsi="仿宋"/>
          <w:sz w:val="32"/>
          <w:szCs w:val="32"/>
        </w:rPr>
        <w:t>安排资金</w:t>
      </w:r>
      <w:r>
        <w:rPr>
          <w:rFonts w:ascii="仿宋" w:eastAsia="仿宋" w:cs="仿宋_GB2312" w:hAnsi="仿宋" w:hint="eastAsia"/>
          <w:sz w:val="32"/>
          <w:szCs w:val="32"/>
        </w:rPr>
        <w:t>4.34万元，总共支出资金4.34万元，主要用于妇女儿童工作会议、培训、活动开展等工作。</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r>
        <w:rPr>
          <w:rFonts w:ascii="方正楷体简体" w:eastAsia="方正楷体简体" w:hAnsi="宋体" w:hint="eastAsia"/>
          <w:sz w:val="32"/>
          <w:szCs w:val="32"/>
        </w:rPr>
        <w:t>切实加强妇女儿童工作组织保障，认真抓好妇女儿童各项活动开展，</w:t>
      </w:r>
      <w:r>
        <w:rPr>
          <w:rFonts w:ascii="方正楷体简体" w:eastAsia="方正楷体简体" w:hAnsi="黑体" w:hint="eastAsia"/>
          <w:sz w:val="32"/>
          <w:szCs w:val="32"/>
        </w:rPr>
        <w:t>协调推进妇女儿童各项事业发展。</w:t>
      </w:r>
    </w:p>
    <w:p>
      <w:pPr>
        <w:tabs>
          <w:tab w:val="left" w:pos="312"/>
        </w:tabs>
        <w:spacing w:line="580" w:lineRule="exact"/>
        <w:ind w:firstLineChars="200" w:firstLine="640"/>
        <w:rPr>
          <w:rFonts w:ascii="仿宋_GB2312" w:eastAsia="仿宋_GB2312" w:cs="仿宋_GB2312" w:hAnsi="仿宋_GB2312"/>
          <w:color w:val="000000"/>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r>
        <w:rPr>
          <w:rFonts w:ascii="方正仿宋简体" w:eastAsia="方正仿宋简体" w:cs="方正仿宋简体" w:hint="eastAsia"/>
          <w:color w:val="000000"/>
          <w:sz w:val="32"/>
          <w:szCs w:val="32"/>
        </w:rPr>
        <w:t>工作任务重，经费紧张。</w:t>
      </w:r>
    </w:p>
    <w:p>
      <w:pPr>
        <w:spacing w:line="580" w:lineRule="exact"/>
        <w:ind w:firstLineChars="200" w:firstLine="640"/>
        <w:rPr>
          <w:rFonts w:ascii="方正仿宋简体" w:eastAsia="方正仿宋简体" w:cs="方正仿宋简体"/>
          <w:color w:val="000000"/>
          <w:sz w:val="32"/>
          <w:szCs w:val="32"/>
        </w:rPr>
      </w:pPr>
      <w:r>
        <w:rPr>
          <w:rFonts w:ascii="仿宋" w:eastAsia="方正仿宋简体" w:cs="仿宋_GB2312" w:hAnsi="仿宋" w:hint="eastAsia"/>
          <w:color w:val="000000"/>
          <w:sz w:val="32"/>
          <w:szCs w:val="32"/>
        </w:rPr>
        <w:t>四</w:t>
      </w:r>
      <w:r>
        <w:rPr>
          <w:rFonts w:ascii="仿宋" w:eastAsia="方正仿宋简体" w:cs="仿宋_GB2312" w:hAnsi="仿宋"/>
          <w:color w:val="000000"/>
          <w:sz w:val="32"/>
          <w:szCs w:val="32"/>
        </w:rPr>
        <w:t>、相关措施建议</w:t>
      </w:r>
      <w:r>
        <w:rPr>
          <w:rFonts w:ascii="仿宋" w:eastAsia="方正仿宋简体" w:cs="仿宋_GB2312" w:hAnsi="仿宋" w:hint="eastAsia"/>
          <w:color w:val="000000"/>
          <w:sz w:val="32"/>
          <w:szCs w:val="32"/>
        </w:rPr>
        <w:t>。</w:t>
      </w:r>
      <w:r>
        <w:rPr>
          <w:rFonts w:ascii="方正仿宋简体" w:eastAsia="方正仿宋简体" w:cs="方正仿宋简体" w:hint="eastAsia"/>
          <w:color w:val="000000"/>
          <w:sz w:val="32"/>
          <w:szCs w:val="32"/>
        </w:rPr>
        <w:t>加大资金投入。</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2018年春节慰问项目支出绩效评价报告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hd w:val="clear" w:color="auto" w:fill="FFFFFF"/>
        <w:spacing w:line="576" w:lineRule="exact"/>
        <w:ind w:firstLineChars="200" w:firstLine="640"/>
        <w:rPr>
          <w:rFonts w:ascii="方正仿宋简体" w:eastAsia="方正仿宋简体" w:hAnsi="仿宋"/>
          <w:sz w:val="32"/>
          <w:szCs w:val="32"/>
        </w:rPr>
      </w:pPr>
      <w:r>
        <w:rPr>
          <w:rFonts w:ascii="方正仿宋简体" w:eastAsia="方正仿宋简体" w:cs="宋体" w:hAnsi="宋体" w:hint="eastAsia"/>
          <w:b/>
          <w:kern w:val="0"/>
          <w:sz w:val="32"/>
          <w:szCs w:val="32"/>
        </w:rPr>
        <w:t>一是加强困难妇女儿童救助。</w:t>
      </w:r>
      <w:r>
        <w:rPr>
          <w:rFonts w:ascii="方正仿宋简体" w:eastAsia="方正仿宋简体" w:cs="宋体" w:hAnsi="宋体" w:hint="eastAsia"/>
          <w:bCs/>
          <w:kern w:val="0"/>
          <w:sz w:val="32"/>
          <w:szCs w:val="32"/>
        </w:rPr>
        <w:t>结合“走基层、访妇情”活动，</w:t>
      </w:r>
      <w:r>
        <w:rPr>
          <w:rFonts w:ascii="方正仿宋简体" w:eastAsia="方正仿宋简体" w:cs="宋体" w:hAnsi="宋体" w:hint="eastAsia"/>
          <w:kern w:val="0"/>
          <w:sz w:val="32"/>
          <w:szCs w:val="32"/>
        </w:rPr>
        <w:t>组织党员干部入户下访，了解群众生产生活困难，加大贫困母亲、留守流动儿童的救助帮扶力度，于春节、三八、六一等节日节点慰问关爱贫困妇女儿童，</w:t>
      </w:r>
      <w:r>
        <w:rPr>
          <w:rFonts w:ascii="方正仿宋简体" w:eastAsia="方正仿宋简体" w:hAnsi="宋体" w:hint="eastAsia"/>
          <w:sz w:val="32"/>
          <w:szCs w:val="32"/>
        </w:rPr>
        <w:t>发放慰问金和物资；</w:t>
      </w:r>
      <w:r>
        <w:rPr>
          <w:rFonts w:ascii="方正仿宋简体" w:eastAsia="方正仿宋简体" w:hint="eastAsia"/>
          <w:b/>
          <w:sz w:val="32"/>
          <w:szCs w:val="32"/>
        </w:rPr>
        <w:t>二是积极争取民生项目。</w:t>
      </w:r>
      <w:r>
        <w:rPr>
          <w:rFonts w:ascii="方正仿宋简体" w:eastAsia="方正仿宋简体" w:hint="eastAsia"/>
          <w:sz w:val="32"/>
          <w:szCs w:val="32"/>
        </w:rPr>
        <w:t>争取到省妇联微爱同行公益项目、“一封家书 亲情在线”公益项目、儿童之家建设等项目，实施好安康家园、贫困妇女两癌救助等项目</w:t>
      </w:r>
      <w:r>
        <w:rPr>
          <w:rFonts w:ascii="方正仿宋简体" w:eastAsia="方正仿宋简体" w:cs="Arial" w:hAnsi="宋体" w:hint="eastAsia"/>
          <w:sz w:val="32"/>
          <w:szCs w:val="32"/>
          <w:shd w:val="clear" w:color="auto" w:fill="FFFFFF"/>
        </w:rPr>
        <w:t>。</w:t>
      </w:r>
      <w:r>
        <w:rPr>
          <w:rFonts w:ascii="方正仿宋简体" w:eastAsia="方正仿宋简体" w:cs="Arial" w:hAnsi="宋体" w:hint="eastAsia"/>
          <w:b/>
          <w:sz w:val="32"/>
          <w:szCs w:val="32"/>
          <w:shd w:val="clear" w:color="auto" w:fill="FFFFFF"/>
        </w:rPr>
        <w:t>三是开展惠民活动</w:t>
      </w:r>
      <w:r>
        <w:rPr>
          <w:rFonts w:ascii="方正仿宋简体" w:eastAsia="方正仿宋简体" w:cs="Arial" w:hAnsi="宋体" w:hint="eastAsia"/>
          <w:sz w:val="32"/>
          <w:szCs w:val="32"/>
          <w:shd w:val="clear" w:color="auto" w:fill="FFFFFF"/>
        </w:rPr>
        <w:t>。</w:t>
      </w:r>
      <w:r>
        <w:rPr>
          <w:rFonts w:ascii="方正仿宋简体" w:eastAsia="方正仿宋简体" w:hint="eastAsia"/>
          <w:sz w:val="32"/>
          <w:szCs w:val="32"/>
        </w:rPr>
        <w:t>联合区红十字会在宝轮镇开展“红十字博爱周”防震减灾应急救护疏散演练活动，组织医务工作人员为前来咨询的居民义诊、测量血压，为群众讲解急救知识，演示急救措施。</w:t>
      </w:r>
      <w:r>
        <w:rPr>
          <w:rFonts w:ascii="方正仿宋简体" w:eastAsia="方正仿宋简体" w:hAnsi="华文仿宋" w:hint="eastAsia"/>
          <w:sz w:val="32"/>
          <w:szCs w:val="32"/>
        </w:rPr>
        <w:t>“三八”节期间，组织各基层社区卫生院、医院，为辖区群众开展关爱妇女健康爱心义诊活动，为就诊的女性朋友做免费B超、测血糖、量血压、妇检等项目检查，讲解妇科保健知识，引导广大妇女树立健康的生活理念；</w:t>
      </w:r>
      <w:r>
        <w:rPr>
          <w:rFonts w:ascii="方正仿宋简体" w:eastAsia="方正仿宋简体" w:hAnsi="仿宋" w:hint="eastAsia"/>
          <w:sz w:val="32"/>
          <w:szCs w:val="32"/>
        </w:rPr>
        <w:t>联合市妇联、市疾控中心举办了防艾健康知识专题讲座，并以</w:t>
      </w:r>
      <w:r>
        <w:rPr>
          <w:rFonts w:ascii="方正仿宋简体" w:eastAsia="方正仿宋简体" w:cs="仿宋_GB2312" w:hAnsi="仿宋" w:hint="eastAsia"/>
          <w:kern w:val="0"/>
          <w:sz w:val="32"/>
          <w:szCs w:val="32"/>
        </w:rPr>
        <w:t>”WROOC”课堂形式通过</w:t>
      </w:r>
      <w:r>
        <w:rPr>
          <w:rFonts w:ascii="方正仿宋简体" w:eastAsia="方正仿宋简体" w:hAnsi="仿宋" w:hint="eastAsia"/>
          <w:sz w:val="32"/>
          <w:szCs w:val="32"/>
        </w:rPr>
        <w:t>市妇联官微全程直播，线上线下观众达900余人。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widowControl/>
        <w:overflowPunct w:val="0"/>
        <w:spacing w:line="576" w:lineRule="exact"/>
        <w:ind w:firstLineChars="150" w:firstLine="480"/>
        <w:jc w:val="left"/>
        <w:rPr>
          <w:rFonts w:ascii="仿宋" w:eastAsia="方正仿宋简体" w:cs="宋体" w:hAnsi="仿宋"/>
          <w:color w:val="000000"/>
          <w:kern w:val="0"/>
          <w:sz w:val="32"/>
          <w:szCs w:val="32"/>
        </w:rPr>
      </w:pPr>
      <w:r>
        <w:rPr>
          <w:rFonts w:ascii="仿宋" w:eastAsia="方正仿宋简体" w:cs="宋体" w:hAnsi="仿宋" w:hint="eastAsia"/>
          <w:color w:val="000000"/>
          <w:kern w:val="0"/>
          <w:sz w:val="32"/>
          <w:szCs w:val="32"/>
        </w:rPr>
        <w:t>总体上看，该项目决策依据充分，资金到位及时，项目管理规范，项目绩效评价得分为97分。</w:t>
      </w:r>
    </w:p>
    <w:tbl>
      <w:tblPr>
        <w:jc w:val="center"/>
        <w:tblW w:w="8874"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Pr>
      <w:tblGrid>
        <w:gridCol w:w="525"/>
        <w:gridCol w:w="525"/>
        <w:gridCol w:w="525"/>
        <w:gridCol w:w="277"/>
        <w:gridCol w:w="1028"/>
        <w:gridCol w:w="651"/>
        <w:gridCol w:w="1278"/>
        <w:gridCol w:w="1278"/>
        <w:gridCol w:w="1186"/>
        <w:gridCol w:w="964"/>
        <w:gridCol w:w="369"/>
        <w:gridCol w:w="268"/>
      </w:tblGrid>
      <w:tr>
        <w:trPr>
          <w:tblHeader/>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二级</w:t>
              <w:br/>
              <w:t>指标</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三级</w:t>
              <w:br/>
              <w:t>指标</w:t>
            </w:r>
          </w:p>
        </w:tc>
        <w:tc>
          <w:tcPr>
            <w:tcW w:w="277"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分值</w:t>
            </w:r>
          </w:p>
        </w:tc>
        <w:tc>
          <w:tcPr>
            <w:tcW w:w="102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指标评价内容</w:t>
              <w:br/>
              <w:t>（公式结果=x）</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评分标准</w:t>
            </w:r>
          </w:p>
        </w:tc>
        <w:tc>
          <w:tcPr>
            <w:tcW w:w="369"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评价得分</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备注</w:t>
            </w:r>
          </w:p>
        </w:tc>
      </w:tr>
      <w:tr>
        <w:trPr>
          <w:tblHeader/>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277" w:type="dxa"/>
            <w:vMerge/>
            <w:tcBorders>
              <w:top w:val="single" w:sz="6" w:space="0" w:color="auto"/>
              <w:left w:val="single" w:sz="6" w:space="0" w:color="auto"/>
              <w:bottom w:val="single" w:sz="6" w:space="0" w:color="auto"/>
              <w:right w:val="single" w:sz="6" w:space="0" w:color="auto"/>
            </w:tcBorders>
            <w:vAlign w:val="center"/>
          </w:tcPr>
          <w:p/>
        </w:tc>
        <w:tc>
          <w:tcPr>
            <w:tcW w:w="1028" w:type="dxa"/>
            <w:vMerge/>
            <w:tcBorders>
              <w:top w:val="single" w:sz="6" w:space="0" w:color="auto"/>
              <w:left w:val="single" w:sz="6" w:space="0" w:color="auto"/>
              <w:bottom w:val="single" w:sz="6" w:space="0" w:color="auto"/>
              <w:right w:val="single" w:sz="6" w:space="0" w:color="auto"/>
            </w:tcBorders>
            <w:vAlign w:val="center"/>
          </w:tcP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较差</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较好</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好</w:t>
            </w:r>
          </w:p>
        </w:tc>
        <w:tc>
          <w:tcPr>
            <w:tcW w:w="369" w:type="dxa"/>
            <w:vMerge/>
            <w:tcBorders>
              <w:top w:val="single" w:sz="6" w:space="0" w:color="auto"/>
              <w:left w:val="single" w:sz="6" w:space="0" w:color="auto"/>
              <w:bottom w:val="single" w:sz="6" w:space="0" w:color="auto"/>
              <w:right w:val="single" w:sz="6" w:space="0" w:color="auto"/>
            </w:tcBorders>
            <w:vAlign w:val="center"/>
          </w:tcPr>
          <w:p/>
        </w:tc>
        <w:tc>
          <w:tcPr>
            <w:tcW w:w="268" w:type="dxa"/>
            <w:vMerge/>
            <w:tcBorders>
              <w:top w:val="single" w:sz="6" w:space="0" w:color="auto"/>
              <w:left w:val="single" w:sz="6" w:space="0" w:color="auto"/>
              <w:bottom w:val="single" w:sz="6" w:space="0" w:color="auto"/>
              <w:right w:val="single" w:sz="6" w:space="0" w:color="auto"/>
            </w:tcBorders>
            <w:vAlign w:val="center"/>
          </w:tcPr>
          <w:p/>
        </w:tc>
      </w:tr>
      <w:tr>
        <w:trPr>
          <w:trHeight w:val="3224"/>
        </w:trPr>
        <w:tc>
          <w:tcPr>
            <w:tcW w:w="525" w:type="dxa"/>
            <w:vMerge w:val="restart"/>
            <w:tcBorders>
              <w:top w:val="single" w:sz="4"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科学</w:t>
              <w:br/>
              <w:t>决策</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必要性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80" w:lineRule="exact"/>
              <w:jc w:val="center"/>
              <w:rPr>
                <w:rFonts w:ascii="宋体" w:eastAsia="宋体" w:cs="宋体"/>
                <w:color w:val="000000"/>
                <w:kern w:val="0"/>
                <w:szCs w:val="21"/>
              </w:rPr>
            </w:pPr>
            <w:r>
              <w:rPr>
                <w:rFonts w:ascii="宋体" w:eastAsia="宋体" w:cs="宋体"/>
                <w:color w:val="000000"/>
                <w:kern w:val="0"/>
                <w:szCs w:val="21"/>
              </w:rPr>
              <w:t>项目符合党中央、国务院和</w:t>
            </w:r>
            <w:r>
              <w:rPr>
                <w:rFonts w:ascii="宋体" w:eastAsia="宋体" w:cs="宋体" w:hint="eastAsia"/>
                <w:color w:val="000000"/>
                <w:kern w:val="0"/>
                <w:szCs w:val="21"/>
                <w:lang w:eastAsia="zh-CN"/>
              </w:rPr>
              <w:t>县委、县政府</w:t>
            </w:r>
            <w:r>
              <w:rPr>
                <w:rFonts w:ascii="宋体" w:eastAsia="宋体" w:cs="宋体"/>
                <w:color w:val="000000"/>
                <w:kern w:val="0"/>
                <w:szCs w:val="21"/>
              </w:rPr>
              <w:t>决策部署；符合当前经济社会发展需要，政策和实际需求的吻合程度</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176"/>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可行性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80" w:lineRule="exact"/>
              <w:jc w:val="center"/>
              <w:rPr>
                <w:rFonts w:ascii="宋体" w:eastAsia="宋体" w:cs="宋体"/>
                <w:color w:val="000000"/>
                <w:kern w:val="0"/>
                <w:szCs w:val="21"/>
              </w:rPr>
            </w:pPr>
            <w:r>
              <w:rPr>
                <w:rFonts w:ascii="宋体" w:eastAsia="宋体" w:cs="宋体"/>
                <w:color w:val="000000"/>
                <w:kern w:val="0"/>
                <w:szCs w:val="21"/>
              </w:rPr>
              <w:t>可行性论证充分，规划、管理办法、指导意见等制度是否健全完善</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757"/>
        </w:trPr>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决策</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明确性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项目预期提供的产品、服务、效益或其他目标明确细化、可衡量（绩效目标实际明确数/应当明确个数×100%）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0%&lt;x&lt;30%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30%≤x&lt;60%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60%≤x&lt;100%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5485"/>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w:t>
              <w:br/>
              <w:t>目标</w:t>
              <w:br/>
              <w:t>（10分）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合理性</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绩效目标设定符合实际需求，合理可行（绩效目标设定符合实际需求的抽样项目点个数/抽样项目点总数×100%）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管理</w:t>
              <w:br/>
              <w:t>（10分）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w:t>
              <w:br/>
              <w:t>管理</w:t>
              <w:br/>
              <w:t>（7分）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资金分配管理是否科学合理、规范有序；是否体现突出重点或公平性，符合财政资金改革方向</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一般</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3</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03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资金使用规范（规范使用资金/资金总额×100%）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x&lt;70%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70%≤x&lt;90%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80%≤x&lt;90%</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90%≤x&lt;100%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791"/>
        </w:trPr>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执行</w:t>
              <w:br/>
              <w:t>（3分）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执行规范</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管理制度健全，管理过程科学规范</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不严格</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较严格</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严格</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3</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1817"/>
        </w:trPr>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完成数量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实际完成任务量/绩效目标设定任务量×100%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x＜85%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85%≤x＜90%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90%≤x＜95%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95%≤x＜100%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x=100%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val="restart"/>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rPr>
          <w:trHeight w:val="2148"/>
        </w:trPr>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vMerge/>
            <w:tcBorders>
              <w:top w:val="single" w:sz="6" w:space="0" w:color="auto"/>
              <w:left w:val="single" w:sz="6" w:space="0" w:color="auto"/>
              <w:bottom w:val="single" w:sz="4"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完成质量</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符合绩效目标设定的验收标准，达到行业基准水平</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不符合</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符合</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val="restart"/>
            <w:tcBorders>
              <w:top w:val="single" w:sz="4" w:space="0" w:color="auto"/>
              <w:left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4" w:space="0" w:color="auto"/>
              <w:left w:val="single" w:sz="6" w:space="0" w:color="auto"/>
              <w:bottom w:val="single" w:sz="6" w:space="0" w:color="auto"/>
              <w:right w:val="single" w:sz="6" w:space="0" w:color="auto"/>
            </w:tcBorders>
            <w:vAlign w:val="center"/>
          </w:tcPr>
          <w:p>
            <w:pPr>
              <w:jc w:val="center"/>
              <w:rPr>
                <w:rFonts w:ascii="宋体" w:eastAsia="宋体" w:cs="宋体"/>
                <w:color w:val="000000"/>
                <w:kern w:val="0"/>
                <w:szCs w:val="21"/>
              </w:rPr>
            </w:pPr>
            <w:r>
              <w:rPr>
                <w:rFonts w:ascii="宋体" w:eastAsia="宋体" w:cs="宋体"/>
                <w:color w:val="000000"/>
                <w:kern w:val="0"/>
                <w:szCs w:val="21"/>
              </w:rPr>
              <w:t>项目</w:t>
              <w:br/>
              <w:t>完成</w:t>
              <w:br/>
              <w:t>（20分）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完成时效</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（实际完成时间-绩效目标设定完成时间）/绩效目标设定完成时间×100%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tcBorders>
              <w:top w:val="single" w:sz="6" w:space="0" w:color="auto"/>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完成成本</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（实际完成成本-预计完成成本）/预计完成成本×100%</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x＞15%</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15%≥x＞10%</w:t>
            </w: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10%≥x＞5%</w:t>
            </w: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5%≥x＞0</w:t>
            </w: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x≤0</w:t>
            </w: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5</w:t>
            </w:r>
          </w:p>
        </w:tc>
        <w:tc>
          <w:tcPr>
            <w:tcW w:w="268" w:type="dxa"/>
            <w:vMerge/>
            <w:tcBorders>
              <w:top w:val="single" w:sz="6" w:space="0" w:color="auto"/>
              <w:left w:val="single" w:sz="6" w:space="0" w:color="auto"/>
              <w:bottom w:val="single" w:sz="6" w:space="0" w:color="auto"/>
              <w:right w:val="single" w:sz="6" w:space="0" w:color="auto"/>
            </w:tcBorders>
            <w:vAlign w:val="center"/>
          </w:tcPr>
          <w:p/>
        </w:tc>
      </w:tr>
      <w:tr>
        <w:tc>
          <w:tcPr>
            <w:tcW w:w="525" w:type="dxa"/>
            <w:vMerge/>
            <w:tcBorders>
              <w:left w:val="single" w:sz="6" w:space="0" w:color="auto"/>
              <w:right w:val="single" w:sz="6" w:space="0" w:color="auto"/>
            </w:tcBorders>
            <w:vAlign w:val="center"/>
          </w:tcP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经济效益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40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反映相关产出对经社会发展带来的影响和效果，重点考核税收、投入产出、回报等情况的指标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社会效益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反映相关产出对社会发展带来的影响和效果，重点考核撬动地方经济、就业（包括就业人数）等情况的指标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绩效</w:t>
              <w:br/>
              <w:t>（特性</w:t>
              <w:br/>
              <w:t>指标</w:t>
              <w:br/>
              <w:t>70分）</w:t>
            </w:r>
          </w:p>
        </w:tc>
        <w:tc>
          <w:tcPr>
            <w:tcW w:w="525" w:type="dxa"/>
            <w:vMerge w:val="restart"/>
            <w:tcBorders>
              <w:top w:val="single" w:sz="6" w:space="0" w:color="auto"/>
              <w:left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项目</w:t>
              <w:br/>
              <w:t>效益</w:t>
              <w:br/>
              <w:t>（50分）</w:t>
            </w: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生态效益</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反映相关产出对自然环境带来的影响和效果</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0"/>
                <w:kern w:val="0"/>
                <w:szCs w:val="21"/>
              </w:rPr>
            </w:pPr>
            <w:r>
              <w:rPr>
                <w:rFonts w:ascii="宋体" w:eastAsia="宋体" w:cs="宋体"/>
                <w:color w:val="000000"/>
                <w:spacing w:val="-10"/>
                <w:kern w:val="0"/>
                <w:szCs w:val="21"/>
              </w:rPr>
              <w:t>可持续效益（可选项）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反映相关产出带来影响的可持续期限</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公平效率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主要反映资金使用者是否获公平竞争的机会，以及民生类项目中受益群体是否应覆盖全覆盖，覆盖率是衡量指标。重点考核覆盖率、知晓率等指标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right w:val="single" w:sz="6" w:space="0" w:color="auto"/>
            </w:tcBorders>
            <w:vAlign w:val="center"/>
          </w:tcPr>
          <w:p/>
        </w:tc>
        <w:tc>
          <w:tcPr>
            <w:tcW w:w="525" w:type="dxa"/>
            <w:vMerge/>
            <w:tcBorders>
              <w:left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spacing w:val="-12"/>
                <w:kern w:val="0"/>
                <w:szCs w:val="21"/>
              </w:rPr>
            </w:pPr>
            <w:r>
              <w:rPr>
                <w:rFonts w:ascii="宋体" w:eastAsia="宋体" w:cs="宋体"/>
                <w:color w:val="000000"/>
                <w:spacing w:val="-12"/>
                <w:kern w:val="0"/>
                <w:szCs w:val="21"/>
              </w:rPr>
              <w:t>使用效率</w:t>
              <w:br/>
              <w:t>（可选项）</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重点考核使用率等指标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10</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525" w:type="dxa"/>
            <w:vMerge/>
            <w:tcBorders>
              <w:left w:val="single" w:sz="6" w:space="0" w:color="auto"/>
              <w:bottom w:val="single" w:sz="6" w:space="0" w:color="auto"/>
              <w:right w:val="single" w:sz="6" w:space="0" w:color="auto"/>
            </w:tcBorders>
            <w:vAlign w:val="center"/>
          </w:tcPr>
          <w:p/>
        </w:tc>
        <w:tc>
          <w:tcPr>
            <w:tcW w:w="525" w:type="dxa"/>
            <w:vMerge/>
            <w:tcBorders>
              <w:left w:val="single" w:sz="6" w:space="0" w:color="auto"/>
              <w:bottom w:val="single" w:sz="6" w:space="0" w:color="auto"/>
              <w:right w:val="single" w:sz="6" w:space="0" w:color="auto"/>
            </w:tcBorders>
            <w:vAlign w:val="center"/>
          </w:tcPr>
          <w:p/>
        </w:tc>
        <w:tc>
          <w:tcPr>
            <w:tcW w:w="525"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服务对象</w:t>
              <w:br/>
              <w:t>满意度</w:t>
            </w:r>
          </w:p>
        </w:tc>
        <w:tc>
          <w:tcPr>
            <w:tcW w:w="277"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10</w:t>
            </w:r>
          </w:p>
        </w:tc>
        <w:tc>
          <w:tcPr>
            <w:tcW w:w="1028" w:type="dxa"/>
            <w:tcBorders>
              <w:top w:val="single" w:sz="6" w:space="0" w:color="auto"/>
              <w:left w:val="single" w:sz="6" w:space="0" w:color="auto"/>
              <w:bottom w:val="single" w:sz="6" w:space="0" w:color="auto"/>
              <w:right w:val="single" w:sz="6" w:space="0" w:color="auto"/>
            </w:tcBorders>
            <w:vAlign w:val="center"/>
          </w:tcPr>
          <w:p>
            <w:pPr>
              <w:widowControl/>
              <w:spacing w:line="260" w:lineRule="exact"/>
              <w:jc w:val="center"/>
              <w:rPr>
                <w:rFonts w:ascii="宋体" w:eastAsia="宋体" w:cs="宋体"/>
                <w:color w:val="000000"/>
                <w:kern w:val="0"/>
                <w:szCs w:val="21"/>
              </w:rPr>
            </w:pPr>
            <w:r>
              <w:rPr>
                <w:rFonts w:ascii="宋体" w:eastAsia="宋体" w:cs="宋体"/>
                <w:color w:val="000000"/>
                <w:kern w:val="0"/>
                <w:szCs w:val="21"/>
              </w:rPr>
              <w:t>反映服务对象或项目受益人对相关产出及其影响的认可程度，重点考核受益群体和社会对项目的满意率等指标</w:t>
            </w:r>
          </w:p>
        </w:tc>
        <w:tc>
          <w:tcPr>
            <w:tcW w:w="6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2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118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96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r>
        <w:tc>
          <w:tcPr>
            <w:tcW w:w="2880"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合  计</w:t>
            </w:r>
          </w:p>
        </w:tc>
        <w:tc>
          <w:tcPr>
            <w:tcW w:w="5357" w:type="dxa"/>
            <w:gridSpan w:val="5"/>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c>
          <w:tcPr>
            <w:tcW w:w="369"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r>
              <w:rPr>
                <w:rFonts w:ascii="宋体" w:eastAsia="宋体" w:cs="宋体"/>
                <w:color w:val="000000"/>
                <w:kern w:val="0"/>
                <w:szCs w:val="21"/>
              </w:rPr>
              <w:t>9</w:t>
            </w:r>
            <w:r>
              <w:rPr>
                <w:rFonts w:ascii="宋体" w:eastAsia="宋体" w:cs="宋体" w:hint="eastAsia"/>
                <w:color w:val="000000"/>
                <w:kern w:val="0"/>
                <w:szCs w:val="21"/>
              </w:rPr>
              <w:t>7</w:t>
            </w:r>
          </w:p>
        </w:tc>
        <w:tc>
          <w:tcPr>
            <w:tcW w:w="26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宋体" w:eastAsia="宋体" w:cs="宋体"/>
                <w:color w:val="000000"/>
                <w:kern w:val="0"/>
                <w:szCs w:val="21"/>
              </w:rPr>
            </w:pPr>
          </w:p>
        </w:tc>
      </w:tr>
    </w:tbl>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1、项目决策。利用节假日、重大活动开展慰问、宣传、义诊等活动。</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r>
        <w:rPr>
          <w:rFonts w:ascii="仿宋" w:eastAsia="仿宋" w:cs="仿宋_GB2312" w:hAnsi="仿宋" w:hint="eastAsia"/>
          <w:sz w:val="32"/>
          <w:szCs w:val="32"/>
        </w:rPr>
        <w:t>春节慰问</w:t>
      </w:r>
      <w:r>
        <w:rPr>
          <w:rFonts w:ascii="仿宋" w:eastAsia="仿宋" w:cs="仿宋_GB2312" w:hAnsi="仿宋"/>
          <w:sz w:val="32"/>
          <w:szCs w:val="32"/>
        </w:rPr>
        <w:t>安排资金</w:t>
      </w:r>
      <w:r>
        <w:rPr>
          <w:rFonts w:ascii="仿宋" w:eastAsia="仿宋" w:cs="仿宋_GB2312" w:hAnsi="仿宋" w:hint="eastAsia"/>
          <w:sz w:val="32"/>
          <w:szCs w:val="32"/>
        </w:rPr>
        <w:t>5万元，总共支出资金5万元，主要用于贫困妇女儿童的慰问、公益活动的开展等。</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r>
        <w:rPr>
          <w:rFonts w:ascii="方正仿宋简体" w:eastAsia="方正仿宋简体" w:cs="宋体" w:hAnsi="宋体" w:hint="eastAsia"/>
          <w:kern w:val="0"/>
          <w:sz w:val="32"/>
          <w:szCs w:val="32"/>
        </w:rPr>
        <w:t>加大贫困母亲、留守流动儿童的救助帮扶力度，</w:t>
      </w:r>
      <w:r>
        <w:rPr>
          <w:rFonts w:ascii="方正仿宋简体" w:eastAsia="方正仿宋简体" w:hAnsi="华文仿宋" w:hint="eastAsia"/>
          <w:sz w:val="32"/>
          <w:szCs w:val="32"/>
        </w:rPr>
        <w:t>引导广大妇女树立健康的生活理念</w:t>
      </w:r>
      <w:r>
        <w:rPr>
          <w:rFonts w:ascii="方正楷体简体" w:eastAsia="方正楷体简体" w:hAnsi="黑体" w:hint="eastAsia"/>
          <w:sz w:val="32"/>
          <w:szCs w:val="32"/>
        </w:rPr>
        <w:t>。</w:t>
      </w:r>
    </w:p>
    <w:p>
      <w:pPr>
        <w:tabs>
          <w:tab w:val="left" w:pos="312"/>
        </w:tabs>
        <w:spacing w:line="580" w:lineRule="exact"/>
        <w:ind w:firstLineChars="200" w:firstLine="640"/>
        <w:rPr>
          <w:rFonts w:ascii="仿宋_GB2312" w:eastAsia="仿宋_GB2312" w:cs="仿宋_GB2312" w:hAnsi="仿宋_GB2312"/>
          <w:color w:val="000000"/>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r>
        <w:rPr>
          <w:rFonts w:ascii="方正仿宋简体" w:eastAsia="方正仿宋简体" w:cs="方正仿宋简体" w:hint="eastAsia"/>
          <w:color w:val="000000"/>
          <w:sz w:val="32"/>
          <w:szCs w:val="32"/>
        </w:rPr>
        <w:t>经费紧张。</w:t>
      </w:r>
    </w:p>
    <w:p>
      <w:pPr>
        <w:spacing w:line="580" w:lineRule="exact"/>
        <w:ind w:firstLineChars="200" w:firstLine="640"/>
        <w:rPr>
          <w:rFonts w:ascii="方正仿宋简体" w:eastAsia="方正仿宋简体" w:cs="方正仿宋简体"/>
          <w:color w:val="000000"/>
          <w:sz w:val="32"/>
          <w:szCs w:val="32"/>
        </w:rPr>
      </w:pPr>
      <w:r>
        <w:rPr>
          <w:rFonts w:ascii="仿宋" w:eastAsia="方正仿宋简体" w:cs="仿宋_GB2312" w:hAnsi="仿宋" w:hint="eastAsia"/>
          <w:color w:val="000000"/>
          <w:sz w:val="32"/>
          <w:szCs w:val="32"/>
        </w:rPr>
        <w:t>四</w:t>
      </w:r>
      <w:r>
        <w:rPr>
          <w:rFonts w:ascii="仿宋" w:eastAsia="方正仿宋简体" w:cs="仿宋_GB2312" w:hAnsi="仿宋"/>
          <w:color w:val="000000"/>
          <w:sz w:val="32"/>
          <w:szCs w:val="32"/>
        </w:rPr>
        <w:t>、相关措施建议</w:t>
      </w:r>
      <w:r>
        <w:rPr>
          <w:rFonts w:ascii="仿宋" w:eastAsia="方正仿宋简体" w:cs="仿宋_GB2312" w:hAnsi="仿宋" w:hint="eastAsia"/>
          <w:color w:val="000000"/>
          <w:sz w:val="32"/>
          <w:szCs w:val="32"/>
        </w:rPr>
        <w:t>。</w:t>
      </w:r>
      <w:r>
        <w:rPr>
          <w:rFonts w:ascii="方正仿宋简体" w:eastAsia="方正仿宋简体" w:cs="方正仿宋简体" w:hint="eastAsia"/>
          <w:color w:val="000000"/>
          <w:sz w:val="32"/>
          <w:szCs w:val="32"/>
        </w:rPr>
        <w:t>加大资金投入。</w:t>
      </w:r>
    </w:p>
    <w:p>
      <w:pPr>
        <w:tabs>
          <w:tab w:val="left" w:pos="312"/>
        </w:tabs>
        <w:spacing w:line="576" w:lineRule="exact"/>
        <w:rPr>
          <w:rFonts w:ascii="仿宋" w:eastAsia="仿宋" w:cs="仿宋_GB2312" w:hAnsi="仿宋"/>
          <w:sz w:val="32"/>
          <w:szCs w:val="32"/>
        </w:rPr>
      </w:pPr>
    </w:p>
    <w:p>
      <w:pPr>
        <w:spacing w:line="580" w:lineRule="exact"/>
        <w:rPr>
          <w:rStyle w:val="1Char"/>
          <w:rFonts w:ascii="仿宋" w:eastAsia="仿宋" w:cs="仿宋_GB2312" w:hAnsi="仿宋"/>
          <w:b w:val="0"/>
          <w:bCs w:val="0"/>
          <w:kern w:val="2"/>
          <w:sz w:val="32"/>
          <w:szCs w:val="32"/>
        </w:rPr>
      </w:pPr>
    </w:p>
    <w:p>
      <w:pPr>
        <w:spacing w:line="600" w:lineRule="exact"/>
        <w:jc w:val="center"/>
        <w:outlineLvl w:val="0"/>
        <w:rPr>
          <w:rFonts w:ascii="黑体" w:eastAsia="黑体" w:hAnsi="黑体" w:hint="eastAsia"/>
          <w:color w:val="000000"/>
          <w:sz w:val="44"/>
          <w:szCs w:val="44"/>
        </w:rPr>
      </w:pPr>
      <w:bookmarkStart w:id="63" w:name="_Toc15396618"/>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3"/>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4"/>
    </w:p>
    <w:p>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b w:val="0"/>
          <w:bCs w:val="0"/>
        </w:rPr>
        <w:t>入总表</w:t>
      </w:r>
      <w:bookmarkEnd w:id="65"/>
    </w:p>
    <w:p>
      <w:pPr>
        <w:pStyle w:val="2"/>
        <w:rPr>
          <w:rFonts w:ascii="仿宋" w:eastAsia="仿宋" w:hAnsi="仿宋"/>
          <w:color w:val="000000"/>
        </w:rPr>
      </w:pPr>
      <w:bookmarkStart w:id="66"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出总表</w:t>
      </w:r>
      <w:bookmarkEnd w:id="66"/>
    </w:p>
    <w:p>
      <w:pPr>
        <w:pStyle w:val="2"/>
        <w:rPr>
          <w:rFonts w:ascii="仿宋" w:eastAsia="仿宋" w:hAnsi="仿宋"/>
          <w:b w:val="0"/>
          <w:color w:val="000000"/>
        </w:rPr>
      </w:pPr>
      <w:bookmarkStart w:id="67"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7"/>
    </w:p>
    <w:p>
      <w:pPr>
        <w:pStyle w:val="2"/>
        <w:rPr>
          <w:rFonts w:ascii="仿宋" w:eastAsia="仿宋" w:hAnsi="仿宋"/>
          <w:color w:val="000000"/>
        </w:rPr>
      </w:pPr>
      <w:bookmarkStart w:id="68"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政拨款支出决算明细表（政府经济分类科目）</w:t>
      </w:r>
      <w:bookmarkEnd w:id="68"/>
    </w:p>
    <w:p>
      <w:pPr>
        <w:pStyle w:val="2"/>
        <w:rPr>
          <w:rFonts w:ascii="仿宋" w:eastAsia="仿宋" w:hAnsi="仿宋"/>
          <w:color w:val="000000"/>
        </w:rPr>
      </w:pPr>
      <w:bookmarkStart w:id="69" w:name="_Toc15396624"/>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9"/>
    </w:p>
    <w:p>
      <w:pPr>
        <w:pStyle w:val="2"/>
        <w:rPr>
          <w:rFonts w:ascii="仿宋" w:eastAsia="仿宋" w:hAnsi="仿宋"/>
          <w:color w:val="000000"/>
        </w:rPr>
      </w:pPr>
      <w:bookmarkStart w:id="70"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70"/>
    </w:p>
    <w:p>
      <w:pPr>
        <w:pStyle w:val="2"/>
        <w:rPr>
          <w:rFonts w:ascii="仿宋" w:eastAsia="仿宋" w:hAnsi="仿宋"/>
          <w:color w:val="000000"/>
        </w:rPr>
      </w:pPr>
      <w:bookmarkStart w:id="71"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71"/>
    </w:p>
    <w:p>
      <w:pPr>
        <w:pStyle w:val="2"/>
        <w:rPr>
          <w:rFonts w:ascii="仿宋" w:eastAsia="仿宋" w:hAnsi="仿宋"/>
          <w:color w:val="000000"/>
        </w:rPr>
      </w:pPr>
      <w:bookmarkStart w:id="72"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72"/>
    </w:p>
    <w:p>
      <w:pPr>
        <w:pStyle w:val="2"/>
        <w:rPr>
          <w:rFonts w:ascii="仿宋" w:eastAsia="仿宋" w:hAnsi="仿宋"/>
          <w:color w:val="000000"/>
        </w:rPr>
      </w:pPr>
      <w:bookmarkStart w:id="73"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3"/>
    </w:p>
    <w:p>
      <w:pPr>
        <w:pStyle w:val="2"/>
        <w:rPr>
          <w:rFonts w:ascii="仿宋" w:eastAsia="仿宋" w:hAnsi="仿宋"/>
          <w:color w:val="000000"/>
        </w:rPr>
      </w:pPr>
      <w:bookmarkStart w:id="74"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4"/>
    </w:p>
    <w:p>
      <w:pPr>
        <w:pStyle w:val="2"/>
        <w:rPr>
          <w:rFonts w:ascii="仿宋" w:eastAsia="仿宋" w:hAnsi="仿宋"/>
          <w:color w:val="000000"/>
        </w:rPr>
      </w:pPr>
      <w:bookmarkStart w:id="75"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5"/>
    </w:p>
    <w:p>
      <w:pPr>
        <w:pStyle w:val="2"/>
        <w:rPr>
          <w:rFonts w:ascii="仿宋" w:eastAsia="仿宋" w:hAnsi="仿宋"/>
          <w:color w:val="000000"/>
        </w:rPr>
      </w:pPr>
      <w:bookmarkStart w:id="76"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6"/>
    </w:p>
    <w:sectPr>
      <w:headerReference w:type="default" r:id="rId2"/>
      <w:footerReference w:type="default" r:id="rId3"/>
      <w:footerReference w:type="even" r:id="rId4"/>
      <w:pgSz w:w="11906" w:h="16838"/>
      <w:pgMar w:top="2098" w:right="1474" w:bottom="1985" w:left="1588" w:header="851" w:footer="1588"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Calibri">
    <w:altName w:val="Lucida Sans"/>
    <w:panose1 w:val="020F0502020204030204"/>
    <w:charset w:val="00"/>
    <w:family w:val="swiss"/>
    <w:pitch w:val="variable"/>
    <w:sig w:usb0="00000000" w:usb1="00000000" w:usb2="00000001" w:usb3="00000000" w:csb0="0000019F" w:csb1="00000000"/>
  </w:font>
  <w:font w:name="楷体">
    <w:altName w:val="楷体_GB2312"/>
    <w:panose1 w:val="00000000000000000000"/>
    <w:charset w:val="00"/>
    <w:family w:val="auto"/>
    <w:pitch w:val="variable"/>
    <w:sig w:usb0="00000000" w:usb1="00000000" w:usb2="00000000" w:usb3="00000000" w:csb0="00000000" w:csb1="00000000"/>
  </w:font>
  <w:font w:name="方正楷体简体">
    <w:altName w:val="方正楷体_GBK"/>
    <w:panose1 w:val="02010601030101010101"/>
    <w:charset w:val="86"/>
    <w:family w:val="auto"/>
    <w:pitch w:val="variable"/>
    <w:sig w:usb0="00000000" w:usb1="00000000" w:usb2="00000010" w:usb3="00000000" w:csb0="00040000" w:csb1="00000000"/>
  </w:font>
  <w:font w:name="华文仿宋">
    <w:altName w:val="汉仪仿宋简"/>
    <w:panose1 w:val="00000000000000000000"/>
    <w:charset w:val="00"/>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485150665"/>
      <w:docPartList>
        <w:docPartGallery w:val="autotext"/>
      </w:docPartList>
    </w:sdtPr>
    <w:sdtContent>
      <w:p>
        <w:pPr>
          <w:pStyle w:val="18"/>
          <w:tabs>
            <w:tab w:val="center" w:pos="4153"/>
            <w:tab w:val="right" w:pos="8306"/>
          </w:tabs>
          <w:wordWrap w:val="0"/>
          <w:jc w:val="right"/>
        </w:pPr>
        <w:r>
          <w:rPr>
            <w:rFonts w:hint="eastAsia"/>
            <w:sz w:val="28"/>
            <w:szCs w:val="28"/>
          </w:rPr>
          <w:t xml:space="preserve">—  </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3</w:t>
        </w:r>
        <w:r>
          <w:rPr>
            <w:rFonts w:ascii="宋体" w:eastAsia="宋体"/>
            <w:sz w:val="28"/>
            <w:szCs w:val="28"/>
          </w:rPr>
          <w:fldChar w:fldCharType="end"/>
        </w:r>
        <w:r>
          <w:rPr>
            <w:rFonts w:ascii="宋体" w:eastAsia="宋体" w:hint="eastAsia"/>
            <w:sz w:val="28"/>
            <w:szCs w:val="28"/>
          </w:rPr>
          <w:t xml:space="preserve">  —  </w:t>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839686742"/>
      <w:docPartList>
        <w:docPartGallery w:val="autotext"/>
      </w:docPartList>
    </w:sdtPr>
    <w:sdtContent>
      <w:p>
        <w:pPr>
          <w:pStyle w:val="18"/>
          <w:tabs>
            <w:tab w:val="center" w:pos="4153"/>
            <w:tab w:val="right" w:pos="8306"/>
          </w:tabs>
          <w:ind w:firstLineChars="100" w:firstLine="180"/>
          <w:rPr>
            <w:rFonts w:ascii="Times New Roman" w:hAnsi="Times New Roman"/>
            <w:kern w:val="2"/>
            <w:sz w:val="21"/>
            <w:szCs w:val="24"/>
          </w:rPr>
        </w:pPr>
        <w:r>
          <w:rPr>
            <w:rFonts w:hint="eastAsia"/>
            <w:sz w:val="28"/>
            <w:szCs w:val="28"/>
          </w:rPr>
          <w:t xml:space="preserve">—  </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 xml:space="preserve">  —  </w:t>
        </w:r>
      </w:p>
    </w:sdtContent>
  </w:sdt>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4">
    <w:nsid w:val="B026C66B"/>
    <w:multiLevelType w:val="singleLevel"/>
    <w:tmpl w:val="B026C66B"/>
    <w:lvl w:ilvl="0">
      <w:start w:val="1"/>
      <w:numFmt w:val="decimal"/>
      <w:lvlRestart w:val="0"/>
      <w:lvlText w:val="%1."/>
      <w:lvlJc w:val="left"/>
      <w:pPr>
        <w:tabs>
          <w:tab w:val="num" w:pos="312"/>
        </w:tabs>
      </w:pPr>
    </w:lvl>
  </w:abstractNum>
  <w:abstractNum w:abstractNumId="5">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9"/>
  <w:bordersDoNotSurroundHeader/>
  <w:bordersDoNotSurroundFooter/>
  <w:documentProtection w:edit="readOnly" w:enforcement="0"/>
  <w:defaultTabStop w:val="420"/>
  <w:evenAndOddHeaders/>
  <w:mirrorMargin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jc w:val="left"/>
    </w:pPr>
    <w:rPr>
      <w:rFonts w:eastAsia="仿宋_GB2312"/>
      <w:kern w:val="0"/>
      <w:sz w:val="24"/>
      <w:szCs w:val="32"/>
    </w:r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1">
    <w:name w:val="_Style 2"/>
    <w:basedOn w:val="0"/>
    <w:pPr>
      <w:ind w:firstLineChars="200" w:firstLine="200"/>
    </w:pPr>
    <w:rPr>
      <w:rFonts w:ascii="Calibri" w:hAnsi="Calibri"/>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800" b="1" i="0" u="none" strike="noStrike" baseline="0">
                <a:solidFill>
                  <a:srgbClr val="000000"/>
                </a:solidFill>
                <a:latin typeface="Times New Roman"/>
                <a:ea typeface="宋体"/>
                <a:cs typeface="Lucida Sans"/>
              </a:rPr>
              <a:t>财政拨款收、支决算总计变动情况</a:t>
            </a:r>
            <a:r>
              <a:rPr lang="zh-CN" sz="1800" b="1" i="0" u="none" strike="noStrike" baseline="0">
                <a:solidFill>
                  <a:srgbClr val="000000"/>
                </a:solidFill>
                <a:latin typeface="Times New Roman"/>
                <a:ea typeface="宋体"/>
                <a:cs typeface="Lucida Sans"/>
              </a:rPr>
              <a:t>
</a:t>
            </a:r>
            <a:r>
              <a:rPr lang="zh-CN" sz="1200" b="1" i="0" u="none" strike="noStrike" baseline="0">
                <a:solidFill>
                  <a:srgbClr val="000000"/>
                </a:solidFill>
                <a:latin typeface="Times New Roman"/>
                <a:ea typeface="宋体"/>
                <a:cs typeface="Lucida Sans"/>
              </a:rPr>
              <a:t>单位：万元</a:t>
            </a:r>
          </a:p>
        </c:rich>
      </c:tx>
      <c:layout/>
      <c:overlay val="0"/>
      <c:spPr>
        <a:ln>
          <a:noFill/>
        </a:ln>
      </c:spPr>
    </c:title>
    <c:autoTitleDeleted val="1"/>
    <c:plotArea>
      <c:layout/>
      <c:barChart>
        <c:barDir val="col"/>
        <c:grouping val="clustered"/>
        <c:varyColors val="0"/>
        <c:ser>
          <c:idx val="0"/>
          <c:order val="0"/>
          <c:tx>
            <c:v>收入</c:v>
          </c:tx>
          <c:spPr>
            <a:solidFill>
              <a:srgbClr val="4F81BD"/>
            </a:solidFill>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2018年</c:v>
              </c:pt>
              <c:pt idx="1">
                <c:v>2017年</c:v>
              </c:pt>
            </c:strLit>
          </c:cat>
          <c:val>
            <c:numRef>
              <c:f/>
              <c:numCache>
                <c:formatCode>General</c:formatCode>
                <c:ptCount val="2"/>
                <c:pt idx="0">
                  <c:v>130.74</c:v>
                </c:pt>
                <c:pt idx="1">
                  <c:v>119.74</c:v>
                </c:pt>
              </c:numCache>
            </c:numRef>
          </c:val>
        </c:ser>
        <c:ser>
          <c:idx val="1"/>
          <c:order val="1"/>
          <c:tx>
            <c:v>支出</c:v>
          </c:tx>
          <c:spPr>
            <a:solidFill>
              <a:srgbClr val="C0504D"/>
            </a:solidFill>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2018年</c:v>
              </c:pt>
              <c:pt idx="1">
                <c:v>2017年</c:v>
              </c:pt>
            </c:strLit>
          </c:cat>
          <c:val>
            <c:numRef>
              <c:f/>
              <c:numCache>
                <c:formatCode>General</c:formatCode>
                <c:ptCount val="2"/>
                <c:pt idx="0">
                  <c:v>127.24</c:v>
                </c:pt>
                <c:pt idx="1">
                  <c:v>119.27</c:v>
                </c:pt>
              </c:numCache>
            </c:numRef>
          </c:val>
        </c:ser>
        <c:overlap val="-25"/>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numFmt formatCode="General" sourceLinked="1"/>
        <c:majorTickMark val="none"/>
        <c:minorTickMark val="none"/>
        <c:tickLblPos val="none"/>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c:spPr>
    </c:plotArea>
    <c:legend>
      <c:legendPos val="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800" b="1" i="0" u="none" strike="noStrike" baseline="0">
                <a:solidFill>
                  <a:srgbClr val="000000"/>
                </a:solidFill>
                <a:latin typeface="Times New Roman"/>
                <a:ea typeface="宋体"/>
                <a:cs typeface="Lucida Sans"/>
              </a:rPr>
              <a:t>收入决算结构图</a:t>
            </a:r>
            <a:r>
              <a:rPr lang="zh-CN" sz="1800" b="1" i="0" u="none" strike="noStrike" baseline="0">
                <a:solidFill>
                  <a:srgbClr val="000000"/>
                </a:solidFill>
                <a:latin typeface="Times New Roman"/>
                <a:ea typeface="宋体"/>
                <a:cs typeface="Lucida Sans"/>
              </a:rPr>
              <a:t>
</a:t>
            </a:r>
            <a:r>
              <a:rPr lang="zh-CN" sz="1000" b="1" i="0" u="none" strike="noStrike" baseline="0">
                <a:solidFill>
                  <a:srgbClr val="000000"/>
                </a:solidFill>
                <a:latin typeface="Times New Roman"/>
                <a:ea typeface="宋体"/>
                <a:cs typeface="Lucida Sans"/>
              </a:rPr>
              <a:t>单位：万元</a:t>
            </a:r>
          </a:p>
        </c:rich>
      </c:tx>
      <c:layout/>
      <c:overlay val="0"/>
      <c:spPr>
        <a:ln>
          <a:noFill/>
        </a:ln>
      </c:spPr>
    </c:title>
    <c:autoTitleDeleted val="1"/>
    <c:plotArea>
      <c:layout>
        <c:manualLayout>
          <c:layoutTarget val="inner"/>
          <c:xMode val="edge"/>
          <c:yMode val="edge"/>
          <c:x val="0.34295052"/>
          <c:y val="0.24884388"/>
          <c:w val="0.33318487"/>
          <c:h val="0.57893"/>
        </c:manualLayout>
      </c:layout>
      <c:pieChart>
        <c:varyColors val="0"/>
        <c:ser>
          <c:idx val="0"/>
          <c:order val="0"/>
          <c:tx>
            <c:v>一般公共预算财政拨款收入</c:v>
          </c:tx>
          <c:spPr>
            <a:solidFill>
              <a:srgbClr val="4572A7"/>
            </a:solidFill>
          </c:spPr>
          <c:dPt>
            <c:idx val="0"/>
            <c:bubble3D val="0"/>
            <c:explosion val="11"/>
            <c:spPr>
              <a:solidFill>
                <a:srgbClr val="4572A7"/>
              </a:solidFill>
            </c:spPr>
          </c:dPt>
          <c:dPt>
            <c:idx val="1"/>
            <c:bubble3D val="0"/>
            <c:spPr>
              <a:solidFill>
                <a:srgbClr val="4572A7"/>
              </a:solidFill>
            </c:spPr>
          </c:dPt>
          <c:dLbls>
            <c:showLegendKey val="0"/>
            <c:showVal val="0"/>
            <c:showCatName val="0"/>
            <c:showSerName val="0"/>
            <c:showPercent val="0"/>
            <c:showBubbleSize val="0"/>
            <c:showLeaderLines val="1"/>
          </c:dLbls>
          <c:cat>
            <c:strLit>
              <c:ptCount val="2"/>
              <c:pt idx="0">
                <c:v>一般公共预算财政拨款收入</c:v>
              </c:pt>
              <c:pt idx="1">
                <c:v>其他收入</c:v>
              </c:pt>
            </c:strLit>
          </c:cat>
          <c:val>
            <c:numRef>
              <c:f/>
              <c:numCache>
                <c:formatCode>General</c:formatCode>
                <c:ptCount val="2"/>
                <c:pt idx="0">
                  <c:v>130.74</c:v>
                </c:pt>
              </c:numCache>
            </c:numRef>
          </c:val>
        </c:ser>
        <c:ser>
          <c:idx val="1"/>
          <c:order val="1"/>
          <c:tx>
            <c:v>其他收入</c:v>
          </c:tx>
          <c:spPr>
            <a:solidFill>
              <a:srgbClr val="93A9CF"/>
            </a:solidFill>
          </c:spPr>
          <c:dLbls>
            <c:showLegendKey val="0"/>
            <c:showVal val="0"/>
            <c:showCatName val="0"/>
            <c:showSerName val="0"/>
            <c:showPercent val="0"/>
            <c:showBubbleSize val="0"/>
            <c:showLeaderLines val="1"/>
          </c:dLbls>
          <c:cat>
            <c:strLit>
              <c:ptCount val="2"/>
              <c:pt idx="0">
                <c:v>一般公共预算财政拨款收入</c:v>
              </c:pt>
              <c:pt idx="1">
                <c:v>其他收入</c:v>
              </c:pt>
            </c:strLit>
          </c:cat>
          <c:val>
            <c:numRef>
              <c:f/>
              <c:numCache>
                <c:formatCode>General</c:formatCode>
                <c:ptCount val="2"/>
                <c:pt idx="0">
                  <c:v>0.0</c:v>
                </c:pt>
              </c:numCache>
            </c:numRef>
          </c:val>
        </c:ser>
        <c:firstSliceAng val="0"/>
      </c:pieChart>
      <c:spPr>
        <a:noFill/>
      </c:spPr>
    </c:plotArea>
    <c:legend>
      <c:legendPos val="t"/>
      <c:layout>
        <c:manualLayout>
          <c:xMode val="edge"/>
          <c:yMode val="edge"/>
          <c:x val="0.25383866"/>
          <c:y val="0.8929042"/>
          <c:w val="0.7461614"/>
          <c:h val="0.10183595"/>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477976"/>
          <c:y val="0.24728897"/>
          <c:w val="0.3271074"/>
          <c:h val="0.54465723"/>
        </c:manualLayout>
      </c:layout>
      <c:pieChart>
        <c:varyColors val="0"/>
        <c:ser>
          <c:idx val="0"/>
          <c:order val="0"/>
          <c:tx>
            <c:v>支出决算结构图</c:v>
          </c:tx>
          <c:spPr>
            <a:solidFill>
              <a:srgbClr val="4F81BD"/>
            </a:solidFill>
          </c:spPr>
          <c:dLbls>
            <c:showLegendKey val="0"/>
            <c:showVal val="0"/>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94.24</c:v>
                </c:pt>
                <c:pt idx="1">
                  <c:v>33.0</c:v>
                </c:pt>
              </c:numCache>
            </c:numRef>
          </c:val>
        </c:ser>
        <c:firstSliceAng val="0"/>
      </c:pieChart>
      <c:spPr>
        <a:noFill/>
      </c:spPr>
    </c:plotArea>
    <c:legend>
      <c:legendPos val="t"/>
      <c:layout>
        <c:manualLayout>
          <c:xMode val="edge"/>
          <c:yMode val="edge"/>
          <c:x val="0.33560717"/>
          <c:y val="0.8436362"/>
          <c:w val="0.41354424"/>
          <c:h val="0.08772969"/>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财政拨款收、支决算总计变动情况</a:t>
            </a:r>
          </a:p>
        </c:rich>
      </c:tx>
      <c:layout/>
      <c:overlay val="0"/>
      <c:spPr>
        <a:ln>
          <a:noFill/>
        </a:ln>
      </c:spPr>
    </c:title>
    <c:autoTitleDeleted val="1"/>
    <c:plotArea>
      <c:layout/>
      <c:barChart>
        <c:barDir val="col"/>
        <c:grouping val="clustered"/>
        <c:varyColors val="0"/>
        <c:ser>
          <c:idx val="0"/>
          <c:order val="0"/>
          <c:tx>
            <c:v>收入</c:v>
          </c:tx>
          <c:spPr>
            <a:solidFill>
              <a:srgbClr val="4F81BD"/>
            </a:solidFill>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2018年</c:v>
              </c:pt>
              <c:pt idx="1">
                <c:v>2017年</c:v>
              </c:pt>
            </c:strLit>
          </c:cat>
          <c:val>
            <c:numRef>
              <c:f/>
              <c:numCache>
                <c:formatCode>General</c:formatCode>
                <c:ptCount val="2"/>
                <c:pt idx="0">
                  <c:v>130.74</c:v>
                </c:pt>
                <c:pt idx="1">
                  <c:v>119.74</c:v>
                </c:pt>
              </c:numCache>
            </c:numRef>
          </c:val>
        </c:ser>
        <c:ser>
          <c:idx val="1"/>
          <c:order val="1"/>
          <c:tx>
            <c:v>支出</c:v>
          </c:tx>
          <c:spPr>
            <a:solidFill>
              <a:srgbClr val="C0504D"/>
            </a:solidFill>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2018年</c:v>
              </c:pt>
              <c:pt idx="1">
                <c:v>2017年</c:v>
              </c:pt>
            </c:strLit>
          </c:cat>
          <c:val>
            <c:numRef>
              <c:f/>
              <c:numCache>
                <c:formatCode>General</c:formatCode>
                <c:ptCount val="2"/>
                <c:pt idx="0">
                  <c:v>127.24</c:v>
                </c:pt>
                <c:pt idx="1">
                  <c:v>119.24</c:v>
                </c:pt>
              </c:numCache>
            </c:numRef>
          </c:val>
        </c:ser>
        <c:overlap val="-25"/>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numFmt formatCode="General" sourceLinked="1"/>
        <c:majorTickMark val="none"/>
        <c:minorTickMark val="none"/>
        <c:tickLblPos val="none"/>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c:spPr>
    </c:plotArea>
    <c:legend>
      <c:legendPos val="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600" b="1" i="0" u="none" strike="noStrike" baseline="0">
                <a:solidFill>
                  <a:srgbClr val="000000"/>
                </a:solidFill>
                <a:latin typeface="Times New Roman"/>
                <a:ea typeface="宋体"/>
                <a:cs typeface="Lucida Sans"/>
              </a:rPr>
              <a:t>一般公共预算财政拨款支出决算变动情况</a:t>
            </a:r>
            <a:r>
              <a:rPr lang="zh-CN" sz="1800" b="1" i="0" u="none" strike="noStrike" baseline="0">
                <a:solidFill>
                  <a:srgbClr val="000000"/>
                </a:solidFill>
                <a:latin typeface="Times New Roman"/>
                <a:ea typeface="宋体"/>
                <a:cs typeface="Lucida Sans"/>
              </a:rPr>
              <a:t>
</a:t>
            </a:r>
            <a:r>
              <a:rPr lang="zh-CN" sz="1200" b="1" i="0" u="none" strike="noStrike" baseline="0">
                <a:solidFill>
                  <a:srgbClr val="000000"/>
                </a:solidFill>
                <a:latin typeface="Times New Roman"/>
                <a:ea typeface="宋体"/>
                <a:cs typeface="Lucida Sans"/>
              </a:rPr>
              <a:t>单位：万元</a:t>
            </a:r>
          </a:p>
        </c:rich>
      </c:tx>
      <c:layout/>
      <c:overlay val="0"/>
      <c:spPr>
        <a:ln>
          <a:noFill/>
        </a:ln>
      </c:spPr>
    </c:title>
    <c:autoTitleDeleted val="1"/>
    <c:plotArea>
      <c:layout/>
      <c:barChart>
        <c:barDir val="col"/>
        <c:grouping val="stacked"/>
        <c:varyColors val="0"/>
        <c:ser>
          <c:idx val="0"/>
          <c:order val="0"/>
          <c:tx>
            <c:v>支出</c:v>
          </c:tx>
          <c:spPr>
            <a:solidFill>
              <a:srgbClr val="4F81BD"/>
            </a:solidFill>
          </c:spPr>
          <c:invertIfNegative val="0"/>
          <c:dLbls>
            <c:dLblPos val="ctr"/>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2018年</c:v>
              </c:pt>
              <c:pt idx="1">
                <c:v>2017年</c:v>
              </c:pt>
            </c:strLit>
          </c:cat>
          <c:val>
            <c:numRef>
              <c:f/>
              <c:numCache>
                <c:formatCode>General</c:formatCode>
                <c:ptCount val="2"/>
                <c:pt idx="0">
                  <c:v>127.24</c:v>
                </c:pt>
                <c:pt idx="1">
                  <c:v>119.24</c:v>
                </c:pt>
              </c:numCache>
            </c:numRef>
          </c:val>
        </c:ser>
        <c:overlap val="100"/>
        <c:gapWidth val="95"/>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numFmt formatCode="General" sourceLinked="1"/>
        <c:majorTickMark val="none"/>
        <c:minorTickMark val="none"/>
        <c:tickLblPos val="none"/>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c:spPr>
    </c:plotArea>
    <c:legend>
      <c:legendPos val="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500" b="1" i="0" u="none" strike="noStrike" baseline="0">
                <a:solidFill>
                  <a:srgbClr val="000000"/>
                </a:solidFill>
                <a:latin typeface="Times New Roman"/>
                <a:ea typeface="宋体"/>
                <a:cs typeface="Lucida Sans"/>
              </a:rPr>
              <a:t>一般公共预算财政拨款支出决算结构</a:t>
            </a:r>
            <a:r>
              <a:rPr lang="zh-CN" sz="1800" b="1" i="0" u="none" strike="noStrike" baseline="0">
                <a:solidFill>
                  <a:srgbClr val="000000"/>
                </a:solidFill>
                <a:latin typeface="Times New Roman"/>
                <a:ea typeface="宋体"/>
                <a:cs typeface="Lucida Sans"/>
              </a:rPr>
              <a:t>
</a:t>
            </a:r>
            <a:r>
              <a:rPr lang="zh-CN" sz="1000" b="1" i="0" u="none" strike="noStrike" baseline="0">
                <a:solidFill>
                  <a:srgbClr val="000000"/>
                </a:solidFill>
                <a:latin typeface="Times New Roman"/>
                <a:ea typeface="宋体"/>
                <a:cs typeface="Lucida Sans"/>
              </a:rPr>
              <a:t>单位：万元</a:t>
            </a:r>
          </a:p>
        </c:rich>
      </c:tx>
      <c:layout/>
      <c:overlay val="0"/>
      <c:spPr>
        <a:ln>
          <a:noFill/>
        </a:ln>
      </c:spPr>
    </c:title>
    <c:autoTitleDeleted val="1"/>
    <c:plotArea>
      <c:layout>
        <c:manualLayout>
          <c:layoutTarget val="inner"/>
          <c:xMode val="edge"/>
          <c:yMode val="edge"/>
          <c:x val="0.3370615"/>
          <c:y val="0.30763808"/>
          <c:w val="0.36988997"/>
          <c:h val="0.5350936"/>
        </c:manualLayout>
      </c:layout>
      <c:pieChart>
        <c:varyColors val="0"/>
        <c:ser>
          <c:idx val="0"/>
          <c:order val="0"/>
          <c:tx>
            <c:v>一般公共预算财政拨款支出决算结构</c:v>
          </c:tx>
          <c:spPr>
            <a:solidFill>
              <a:srgbClr val="4F81BD"/>
            </a:solidFill>
          </c:spPr>
          <c:dPt>
            <c:idx val="0"/>
            <c:bubble3D val="0"/>
            <c:spPr>
              <a:solidFill>
                <a:srgbClr val="4F81BD"/>
              </a:solidFill>
            </c:spPr>
          </c:dPt>
          <c:dPt>
            <c:idx val="1"/>
            <c:bubble3D val="0"/>
            <c:spPr>
              <a:solidFill>
                <a:srgbClr val="4F81BD"/>
              </a:solidFill>
            </c:spPr>
          </c:dPt>
          <c:dPt>
            <c:idx val="2"/>
            <c:bubble3D val="0"/>
            <c:spPr>
              <a:solidFill>
                <a:srgbClr val="4F81BD"/>
              </a:solidFill>
            </c:spPr>
          </c:dPt>
          <c:dPt>
            <c:idx val="3"/>
            <c:bubble3D val="0"/>
            <c:spPr>
              <a:solidFill>
                <a:srgbClr val="4F81BD"/>
              </a:solidFill>
            </c:spPr>
          </c:dPt>
          <c:dPt>
            <c:idx val="4"/>
            <c:bubble3D val="0"/>
            <c:spPr>
              <a:solidFill>
                <a:srgbClr val="4F81BD"/>
              </a:solidFill>
            </c:spPr>
          </c:dPt>
          <c:dLbls>
            <c:dLbl>
              <c:idx val="0"/>
              <c:layout>
                <c:manualLayout>
                  <c:x val="-0.051130343"/>
                  <c:y val="-0.17747618"/>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0"/>
              <c:showCatName val="0"/>
              <c:showSerName val="0"/>
              <c:showPercent val="0"/>
              <c:showBubbleSize val="0"/>
            </c:dLbl>
            <c:dLbl>
              <c:idx val="2"/>
              <c:layout>
                <c:manualLayout>
                  <c:x val="-0.010411538"/>
                  <c:y val="-0.0077666696"/>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0"/>
              <c:showCatName val="0"/>
              <c:showSerName val="0"/>
              <c:showPercent val="0"/>
              <c:showBubbleSize val="0"/>
            </c:dLbl>
            <c:dLbl>
              <c:idx val="3"/>
              <c:layout>
                <c:manualLayout>
                  <c:x val="-0.00645282"/>
                  <c:y val="-0.03171842"/>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0"/>
              <c:showCatName val="0"/>
              <c:showSerName val="0"/>
              <c:showPercent val="0"/>
              <c:showBubbleSize val="0"/>
            </c:dLbl>
            <c:dLbl>
              <c:idx val="4"/>
              <c:layout>
                <c:manualLayout>
                  <c:x val="0.05887603"/>
                  <c:y val="-0.03637412"/>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0"/>
              <c:showCatName val="0"/>
              <c:showSerName val="0"/>
              <c:showPercent val="0"/>
              <c:showBubbleSize val="0"/>
            </c:dLbl>
            <c:showLegendKey val="0"/>
            <c:showVal val="0"/>
            <c:showCatName val="0"/>
            <c:showSerName val="0"/>
            <c:showPercent val="0"/>
            <c:showBubbleSize val="0"/>
            <c:showLeaderLines val="1"/>
          </c:dLbls>
          <c:cat>
            <c:strLit>
              <c:ptCount val="4"/>
              <c:pt idx="0">
                <c:v>一般公共服务支出</c:v>
              </c:pt>
              <c:pt idx="1">
                <c:v>社会保障和就业支出</c:v>
              </c:pt>
              <c:pt idx="2">
                <c:v>医疗卫生与计划生育支出</c:v>
              </c:pt>
              <c:pt idx="3">
                <c:v>住房保障支出</c:v>
              </c:pt>
            </c:strLit>
          </c:cat>
          <c:val>
            <c:numRef>
              <c:f/>
              <c:numCache>
                <c:formatCode>General</c:formatCode>
                <c:ptCount val="5"/>
                <c:pt idx="0">
                  <c:v>110.93</c:v>
                </c:pt>
                <c:pt idx="1">
                  <c:v>8.24</c:v>
                </c:pt>
                <c:pt idx="2">
                  <c:v>3.21</c:v>
                </c:pt>
                <c:pt idx="3">
                  <c:v>4.85</c:v>
                </c:pt>
              </c:numCache>
            </c:numRef>
          </c:val>
        </c:ser>
        <c:firstSliceAng val="0"/>
      </c:pieChart>
      <c:spPr>
        <a:noFill/>
      </c:spPr>
    </c:plotArea>
    <c:legend>
      <c:legendPos val="t"/>
      <c:layout>
        <c:manualLayout>
          <c:xMode val="edge"/>
          <c:yMode val="edge"/>
          <c:x val="0.1472654"/>
          <c:y val="0.85857266"/>
          <c:w val="0.75175536"/>
          <c:h val="0.11174025"/>
        </c:manualLayout>
      </c:layout>
      <c:overlay val="0"/>
      <c:spPr>
        <a:noFill/>
        <a:ln>
          <a:noFill/>
        </a:ln>
      </c:spPr>
      <c:txPr>
        <a:bodyPr/>
        <a:lstStyle/>
        <a:p>
          <a:pPr>
            <a:defRPr sz="800" b="0" i="0" u="none" strike="noStrike" baseline="0">
              <a:solidFill>
                <a:srgbClr val="000000"/>
              </a:solidFill>
              <a:latin typeface="Times New Roman"/>
              <a:ea typeface="宋体"/>
              <a:cs typeface="Lucida Sans"/>
            </a:defRPr>
          </a:pPr>
          <a:endParaRPr lang="zh-CN"/>
        </a:p>
      </c:txPr>
      <c:legendEntry>
        <c:idx val="4"/>
        <c:delete val="1"/>
      </c:legendEntry>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800" b="1" i="0" u="none" strike="noStrike" baseline="0">
                <a:solidFill>
                  <a:srgbClr val="000000"/>
                </a:solidFill>
                <a:latin typeface="Times New Roman"/>
                <a:ea typeface="宋体"/>
                <a:cs typeface="Lucida Sans"/>
              </a:rPr>
              <a:t>“三公”经费财政拨款支出结构</a:t>
            </a:r>
            <a:r>
              <a:rPr lang="zh-CN" sz="1800" b="1" i="0" u="none" strike="noStrike" baseline="0">
                <a:solidFill>
                  <a:srgbClr val="000000"/>
                </a:solidFill>
                <a:latin typeface="Times New Roman"/>
                <a:ea typeface="宋体"/>
                <a:cs typeface="Lucida Sans"/>
              </a:rPr>
              <a:t>
</a:t>
            </a:r>
            <a:r>
              <a:rPr lang="zh-CN" sz="1000" b="1" i="0" u="none" strike="noStrike" baseline="0">
                <a:solidFill>
                  <a:srgbClr val="000000"/>
                </a:solidFill>
                <a:latin typeface="Times New Roman"/>
                <a:ea typeface="宋体"/>
                <a:cs typeface="Lucida Sans"/>
              </a:rPr>
              <a:t>单位：万元</a:t>
            </a:r>
          </a:p>
        </c:rich>
      </c:tx>
      <c:layout/>
      <c:overlay val="0"/>
      <c:spPr>
        <a:ln>
          <a:noFill/>
        </a:ln>
      </c:spPr>
    </c:title>
    <c:autoTitleDeleted val="1"/>
    <c:plotArea>
      <c:layout>
        <c:manualLayout>
          <c:layoutTarget val="inner"/>
          <c:xMode val="edge"/>
          <c:yMode val="edge"/>
          <c:x val="0.31169793"/>
          <c:y val="0.19654018"/>
          <c:w val="0.3821599"/>
          <c:h val="0.63693315"/>
        </c:manualLayout>
      </c:layout>
      <c:pieChart>
        <c:varyColors val="0"/>
        <c:ser>
          <c:idx val="0"/>
          <c:order val="0"/>
          <c:tx>
            <c:v>“三公”经费财政拨款支出结构</c:v>
          </c:tx>
          <c:spPr>
            <a:solidFill>
              <a:srgbClr val="4F81BD"/>
            </a:solidFill>
          </c:spPr>
          <c:dPt>
            <c:idx val="0"/>
            <c:bubble3D val="0"/>
            <c:explosion val="9"/>
            <c:spPr>
              <a:solidFill>
                <a:srgbClr val="4F81BD"/>
              </a:solidFill>
            </c:spPr>
          </c:dPt>
          <c:dLbls>
            <c:dLbl>
              <c:idx val="0"/>
              <c:layout>
                <c:manualLayout>
                  <c:x val="0.02430457"/>
                  <c:y val="-0.19459063"/>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0"/>
              <c:showCatName val="0"/>
              <c:showSerName val="0"/>
              <c:showPercent val="0"/>
              <c:showBubbleSize val="0"/>
            </c:dLbl>
            <c:showLegendKey val="0"/>
            <c:showVal val="0"/>
            <c:showCatName val="0"/>
            <c:showSerName val="0"/>
            <c:showPercent val="0"/>
            <c:showBubbleSize val="0"/>
            <c:showLeaderLines val="1"/>
          </c:dLbls>
          <c:cat>
            <c:strLit>
              <c:ptCount val="1"/>
              <c:pt idx="0">
                <c:v>公务接待费支出决算</c:v>
              </c:pt>
            </c:strLit>
          </c:cat>
          <c:val>
            <c:numRef>
              <c:f/>
              <c:numCache>
                <c:formatCode>General</c:formatCode>
                <c:ptCount val="1"/>
                <c:pt idx="0">
                  <c:v>0.51</c:v>
                </c:pt>
              </c:numCache>
            </c:numRef>
          </c:val>
        </c:ser>
        <c:firstSliceAng val="0"/>
      </c:pieChart>
      <c:spPr>
        <a:noFill/>
      </c:spPr>
    </c:plotArea>
    <c:legend>
      <c:legendPos val="t"/>
      <c:layout>
        <c:manualLayout>
          <c:xMode val="edge"/>
          <c:yMode val="edge"/>
          <c:x val="0.34835914"/>
          <c:y val="0.9138889"/>
          <c:w val="0.33661482"/>
          <c:h val="0.08371719"/>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C751E8C-9AFF-44CE-AB98-4A8C6800038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70</Pages>
  <Words>0</Words>
  <Characters>20441</Characters>
  <Lines>0</Lines>
  <Paragraphs>386</Paragraphs>
  <CharactersWithSpaces>27255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53</cp:revision>
  <cp:lastPrinted>2019-09-09T15:53:00Z</cp:lastPrinted>
  <dcterms:created xsi:type="dcterms:W3CDTF">2019-08-01T09:14:00Z</dcterms:created>
  <dcterms:modified xsi:type="dcterms:W3CDTF">2024-06-24T02:37:50Z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