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ageBreakBefore w:val="0"/>
        <w:widowControl w:val="0"/>
        <w:kinsoku/>
        <w:wordWrap/>
        <w:topLinePunct w:val="0"/>
        <w:bidi w:val="0"/>
        <w:spacing w:line="576" w:lineRule="exact"/>
        <w:jc w:val="center"/>
        <w:textAlignment w:val="auto"/>
        <w:outlineLvl w:val="9"/>
        <w:rPr>
          <w:rFonts w:ascii="仿宋" w:eastAsia="仿宋" w:cs="仿宋" w:hAnsi="仿宋" w:hint="eastAsia"/>
          <w:sz w:val="32"/>
          <w:szCs w:val="32"/>
        </w:rPr>
      </w:pPr>
      <w:bookmarkStart w:id="0" w:name="_Toc15306267"/>
    </w:p>
    <w:p>
      <w:pPr>
        <w:pStyle w:val="17"/>
        <w:pageBreakBefore w:val="0"/>
        <w:widowControl w:val="0"/>
        <w:kinsoku/>
        <w:wordWrap/>
        <w:topLinePunct w:val="0"/>
        <w:bidi w:val="0"/>
        <w:spacing w:beforeLines="0" w:before="30" w:line="576" w:lineRule="exact"/>
        <w:jc w:val="center"/>
        <w:textAlignment w:val="auto"/>
        <w:rPr>
          <w:rFonts w:ascii="仿宋" w:eastAsia="仿宋" w:cs="仿宋" w:hAnsi="仿宋" w:hint="eastAsia"/>
          <w:sz w:val="32"/>
          <w:szCs w:val="32"/>
        </w:rPr>
      </w:pPr>
    </w:p>
    <w:p>
      <w:pPr>
        <w:pageBreakBefore w:val="0"/>
        <w:widowControl w:val="0"/>
        <w:kinsoku/>
        <w:wordWrap/>
        <w:topLinePunct w:val="0"/>
        <w:bidi w:val="0"/>
        <w:spacing w:line="576" w:lineRule="exact"/>
        <w:jc w:val="center"/>
        <w:textAlignment w:val="auto"/>
        <w:outlineLvl w:val="9"/>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spacing w:line="480" w:lineRule="auto"/>
        <w:jc w:val="center"/>
        <w:textAlignment w:val="auto"/>
        <w:outlineLvl w:val="9"/>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ascii="黑体" w:eastAsia="黑体" w:cs="黑体" w:hAnsi="黑体" w:hint="eastAsia"/>
          <w:sz w:val="72"/>
          <w:szCs w:val="72"/>
        </w:rPr>
      </w:pPr>
      <w:bookmarkStart w:id="1" w:name="_Toc15378441"/>
      <w:bookmarkStart w:id="2" w:name="_Toc15396597"/>
      <w:bookmarkStart w:id="3" w:name="_Toc15396475"/>
      <w:bookmarkStart w:id="4" w:name="_Toc15377193"/>
      <w:bookmarkStart w:id="5" w:name="_Toc15377425"/>
      <w:bookmarkStart w:id="6" w:name="_Toc28329"/>
      <w:r>
        <w:rPr>
          <w:rFonts w:ascii="黑体" w:eastAsia="黑体" w:cs="黑体" w:hAnsi="黑体" w:hint="eastAsia"/>
          <w:sz w:val="72"/>
          <w:szCs w:val="72"/>
        </w:rPr>
        <w:t>2023年度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ascii="黑体" w:eastAsia="黑体" w:cs="黑体" w:hAnsi="黑体" w:hint="eastAsia"/>
          <w:color w:val="auto"/>
          <w:sz w:val="72"/>
          <w:szCs w:val="72"/>
        </w:rPr>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pPr>
      <w:bookmarkStart w:id="7" w:name="_Toc7190"/>
      <w:bookmarkStart w:id="8" w:name="_Toc16214"/>
      <w:bookmarkStart w:id="9" w:name="_Toc14268"/>
      <w:bookmarkStart w:id="10" w:name="_Toc15396598"/>
      <w:bookmarkStart w:id="11" w:name="_Toc15396476"/>
      <w:bookmarkStart w:id="12" w:name="_Toc15306268"/>
      <w:bookmarkStart w:id="13" w:name="_Toc15378442"/>
      <w:bookmarkStart w:id="14" w:name="_Toc15377194"/>
      <w:bookmarkStart w:id="15" w:name="_Toc15377426"/>
      <w:bookmarkEnd w:id="0"/>
      <w:r>
        <w:rPr>
          <w:rFonts w:ascii="黑体" w:eastAsia="黑体" w:cs="黑体" w:hAnsi="黑体" w:hint="eastAsia"/>
          <w:color w:val="auto"/>
          <w:sz w:val="72"/>
          <w:szCs w:val="72"/>
        </w:rPr>
        <w:t>四川省</w:t>
      </w:r>
      <w:bookmarkStart w:id="16" w:name="_Toc5117"/>
      <w:r>
        <w:rPr>
          <w:rFonts w:ascii="黑体" w:eastAsia="黑体" w:cs="黑体" w:hAnsi="黑体" w:hint="eastAsia"/>
          <w:color w:val="auto"/>
          <w:sz w:val="72"/>
          <w:szCs w:val="72"/>
          <w:lang w:eastAsia="zh-CN"/>
        </w:rPr>
        <w:t>广元市利州区人民政府</w:t>
      </w:r>
      <w:bookmarkEnd w:id="16"/>
      <w:r>
        <w:rPr>
          <w:rFonts w:ascii="黑体" w:eastAsia="黑体" w:cs="黑体" w:hAnsi="黑体" w:hint="eastAsia"/>
          <w:color w:val="auto"/>
          <w:sz w:val="72"/>
          <w:szCs w:val="72"/>
          <w:lang w:eastAsia="zh-CN"/>
        </w:rPr>
        <w:t>办公室</w:t>
      </w:r>
      <w:r>
        <w:rPr>
          <w:rFonts w:ascii="黑体" w:eastAsia="黑体" w:cs="黑体" w:hAnsi="黑体" w:hint="eastAsia"/>
          <w:color w:val="auto"/>
          <w:sz w:val="72"/>
          <w:szCs w:val="72"/>
        </w:rPr>
        <w:t>部门决算</w:t>
      </w:r>
      <w:bookmarkEnd w:id="7"/>
      <w:bookmarkEnd w:id="8"/>
      <w:bookmarkEnd w:id="9"/>
    </w:p>
    <w:p>
      <w:pPr>
        <w:pageBreakBefore w:val="0"/>
        <w:widowControl/>
        <w:kinsoku/>
        <w:wordWrap/>
        <w:topLinePunct w:val="0"/>
        <w:bidi w:val="0"/>
        <w:spacing w:line="576" w:lineRule="exact"/>
        <w:jc w:val="center"/>
        <w:textAlignment w:val="auto"/>
        <w:rPr>
          <w:rFonts w:ascii="仿宋" w:eastAsia="仿宋" w:cs="仿宋" w:hAnsi="仿宋" w:hint="eastAsia"/>
          <w:sz w:val="32"/>
          <w:szCs w:val="32"/>
        </w:rPr>
      </w:pPr>
      <w:bookmarkEnd w:id="10"/>
      <w:bookmarkEnd w:id="11"/>
      <w:bookmarkEnd w:id="12"/>
      <w:bookmarkEnd w:id="13"/>
      <w:bookmarkEnd w:id="14"/>
      <w:bookmarkEnd w:id="15"/>
      <w:r>
        <w:rPr>
          <w:rFonts w:ascii="仿宋" w:eastAsia="仿宋" w:cs="仿宋" w:hAnsi="仿宋" w:hint="eastAsia"/>
          <w:sz w:val="32"/>
          <w:szCs w:val="32"/>
        </w:rPr>
        <w:t>目录</w:t>
      </w:r>
    </w:p>
    <w:p>
      <w:pPr>
        <w:pStyle w:val="24"/>
        <w:pageBreakBefore w:val="0"/>
        <w:widowControl w:val="0"/>
        <w:tabs>
          <w:tab w:val="right" w:leader="dot" w:pos="8296"/>
        </w:tabs>
        <w:kinsoku/>
        <w:wordWrap/>
        <w:topLinePunct w:val="0"/>
        <w:bidi w:val="0"/>
        <w:spacing w:before="0" w:line="576" w:lineRule="exact"/>
        <w:textAlignment w:val="auto"/>
        <w:rPr>
          <w:rFonts w:ascii="仿宋" w:eastAsia="仿宋" w:cs="仿宋" w:hAnsi="仿宋" w:hint="eastAsia"/>
          <w:sz w:val="32"/>
          <w:szCs w:val="32"/>
        </w:rPr>
      </w:pPr>
      <w:r>
        <w:rPr>
          <w:rFonts w:ascii="仿宋" w:eastAsia="仿宋" w:cs="仿宋" w:hAnsi="仿宋" w:hint="eastAsia"/>
          <w:sz w:val="32"/>
          <w:szCs w:val="32"/>
        </w:rPr>
        <w:t>公开时间：2023年9月</w:t>
      </w:r>
      <w:r>
        <w:rPr>
          <w:rFonts w:cs="仿宋" w:hint="eastAsia"/>
          <w:sz w:val="32"/>
          <w:szCs w:val="32"/>
          <w:lang w:val="en-US" w:eastAsia="zh-CN"/>
        </w:rPr>
        <w:t>26</w:t>
      </w:r>
      <w:r>
        <w:rPr>
          <w:rFonts w:ascii="仿宋" w:eastAsia="仿宋" w:cs="仿宋" w:hAnsi="仿宋" w:hint="eastAsia"/>
          <w:sz w:val="32"/>
          <w:szCs w:val="32"/>
        </w:rPr>
        <w:t>日</w:t>
      </w:r>
    </w:p>
    <w:p>
      <w:pPr>
        <w:pageBreakBefore w:val="0"/>
        <w:widowControl w:val="0"/>
        <w:kinsoku/>
        <w:wordWrap/>
        <w:topLinePunct w:val="0"/>
        <w:bidi w:val="0"/>
        <w:spacing w:line="576" w:lineRule="exact"/>
        <w:rPr>
          <w:rFonts w:hint="eastAsia"/>
        </w:rPr>
      </w:pPr>
    </w:p>
    <w:sdt>
      <w:sdtPr>
        <w:rPr>
          <w:rFonts w:ascii="宋体" w:eastAsia="宋体" w:cs="Times New Roman" w:hAnsi="宋体"/>
          <w:kern w:val="2"/>
          <w:sz w:val="21"/>
          <w:szCs w:val="24"/>
          <w:lang w:val="en-US" w:eastAsia="zh-CN" w:bidi="ar-SA"/>
        </w:rPr>
        <w:id w:val="1430279890"/>
        <w15:color w:val="DBDBDB"/>
        <w:docPartObj>
          <w:docPartGallery w:val="Table of Contents"/>
          <w:docPartUnique/>
        </w:docPartObj>
      </w:sdtPr>
      <w:sdtContent>
        <w:p>
          <w:pPr>
            <w:keepNext w:val="0"/>
            <w:keepLines w:val="0"/>
            <w:pageBreakBefore w:val="0"/>
            <w:kinsoku/>
            <w:wordWrap/>
            <w:overflowPunct/>
            <w:topLinePunct w:val="0"/>
            <w:autoSpaceDE/>
            <w:autoSpaceDN/>
            <w:bidi w:val="0"/>
            <w:adjustRightInd/>
            <w:snapToGrid/>
            <w:spacing w:before="0" w:after="0" w:line="240" w:lineRule="auto"/>
            <w:ind w:left="0" w:right="0" w:firstLine="0"/>
            <w:jc w:val="center"/>
            <w:textAlignment w:val="auto"/>
          </w:pPr>
        </w:p>
        <w:p>
          <w:pPr>
            <w:pStyle w:val="24"/>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jc w:val="both"/>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TOC \o "1-3" \h \u </w:instrText>
          </w:r>
          <w:r>
            <w:rPr>
              <w:rFonts w:ascii="仿宋" w:eastAsia="仿宋" w:cs="仿宋" w:hAnsi="仿宋" w:hint="eastAsia"/>
              <w:sz w:val="24"/>
              <w:szCs w:val="24"/>
            </w:rPr>
            <w:fldChar w:fldCharType="separate"/>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_Toc28329 </w:instrText>
          </w:r>
          <w:r>
            <w:rPr>
              <w:rFonts w:ascii="仿宋" w:eastAsia="仿宋" w:cs="仿宋" w:hAnsi="仿宋" w:hint="eastAsia"/>
              <w:sz w:val="24"/>
              <w:szCs w:val="24"/>
            </w:rPr>
            <w:fldChar w:fldCharType="separate"/>
          </w:r>
          <w:r>
            <w:rPr>
              <w:rFonts w:ascii="仿宋" w:eastAsia="仿宋" w:cs="仿宋" w:hAnsi="仿宋" w:hint="eastAsia"/>
              <w:sz w:val="24"/>
              <w:szCs w:val="24"/>
            </w:rPr>
            <w:t>2023年度</w:t>
          </w:r>
          <w:r>
            <w:rPr>
              <w:rFonts w:ascii="仿宋" w:eastAsia="仿宋" w:cs="仿宋" w:hAnsi="仿宋" w:hint="eastAsia"/>
              <w:sz w:val="24"/>
              <w:szCs w:val="24"/>
            </w:rPr>
            <w:fldChar w:fldCharType="end"/>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_Toc7190 </w:instrText>
          </w:r>
          <w:r>
            <w:rPr>
              <w:rFonts w:ascii="仿宋" w:eastAsia="仿宋" w:cs="仿宋" w:hAnsi="仿宋" w:hint="eastAsia"/>
              <w:sz w:val="24"/>
              <w:szCs w:val="24"/>
            </w:rPr>
            <w:fldChar w:fldCharType="separate"/>
          </w:r>
          <w:r>
            <w:rPr>
              <w:rFonts w:ascii="仿宋" w:eastAsia="仿宋" w:cs="仿宋" w:hAnsi="仿宋" w:hint="eastAsia"/>
              <w:sz w:val="24"/>
              <w:szCs w:val="24"/>
            </w:rPr>
            <w:t>四川省</w:t>
          </w:r>
          <w:r>
            <w:rPr>
              <w:rFonts w:ascii="仿宋" w:eastAsia="仿宋" w:cs="仿宋" w:hAnsi="仿宋" w:hint="eastAsia"/>
              <w:sz w:val="24"/>
              <w:szCs w:val="24"/>
              <w:lang w:eastAsia="zh-CN"/>
            </w:rPr>
            <w:t>广元市利州区人民政府办公室</w:t>
          </w:r>
          <w:r>
            <w:rPr>
              <w:rFonts w:ascii="仿宋" w:eastAsia="仿宋" w:cs="仿宋" w:hAnsi="仿宋" w:hint="eastAsia"/>
              <w:sz w:val="24"/>
              <w:szCs w:val="24"/>
            </w:rPr>
            <w:t>部门决算</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_Toc7190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_Toc969 </w:instrText>
          </w:r>
          <w:r>
            <w:rPr>
              <w:rFonts w:ascii="仿宋" w:eastAsia="仿宋" w:cs="仿宋" w:hAnsi="仿宋" w:hint="eastAsia"/>
              <w:sz w:val="24"/>
              <w:szCs w:val="24"/>
            </w:rPr>
            <w:fldChar w:fldCharType="separate"/>
          </w:r>
          <w:r>
            <w:rPr>
              <w:rFonts w:ascii="仿宋" w:eastAsia="仿宋" w:cs="仿宋" w:hAnsi="仿宋" w:hint="eastAsia"/>
              <w:sz w:val="24"/>
              <w:szCs w:val="24"/>
            </w:rPr>
            <w:t>第一部分 单位</w:t>
          </w:r>
          <w:r>
            <w:rPr>
              <w:rFonts w:ascii="仿宋" w:eastAsia="仿宋" w:cs="仿宋" w:hAnsi="仿宋" w:hint="eastAsia"/>
              <w:bCs w:val="0"/>
              <w:sz w:val="24"/>
              <w:szCs w:val="24"/>
            </w:rPr>
            <w:t>概况</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_Toc969 \h </w:instrText>
          </w:r>
          <w:r>
            <w:rPr>
              <w:rFonts w:ascii="仿宋" w:eastAsia="仿宋" w:cs="仿宋" w:hAnsi="仿宋" w:hint="eastAsia"/>
              <w:sz w:val="24"/>
              <w:szCs w:val="24"/>
            </w:rPr>
            <w:fldChar w:fldCharType="separate"/>
          </w:r>
          <w:r>
            <w:rPr>
              <w:rFonts w:ascii="仿宋" w:eastAsia="仿宋" w:cs="仿宋" w:hAnsi="仿宋" w:hint="eastAsia"/>
              <w:sz w:val="24"/>
              <w:szCs w:val="24"/>
            </w:rPr>
            <w:t>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_Toc25135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一、 主要职责</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_Toc25135 \h </w:instrText>
          </w:r>
          <w:r>
            <w:rPr>
              <w:rFonts w:ascii="仿宋" w:eastAsia="仿宋" w:cs="仿宋" w:hAnsi="仿宋" w:hint="eastAsia"/>
              <w:sz w:val="24"/>
              <w:szCs w:val="24"/>
            </w:rPr>
            <w:fldChar w:fldCharType="separate"/>
          </w:r>
          <w:r>
            <w:rPr>
              <w:rFonts w:ascii="仿宋" w:eastAsia="仿宋" w:cs="仿宋" w:hAnsi="仿宋" w:hint="eastAsia"/>
              <w:sz w:val="24"/>
              <w:szCs w:val="24"/>
            </w:rPr>
            <w:t>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_Toc5675 </w:instrText>
          </w:r>
          <w:r>
            <w:rPr>
              <w:rFonts w:ascii="仿宋" w:eastAsia="仿宋" w:cs="仿宋" w:hAnsi="仿宋" w:hint="eastAsia"/>
              <w:sz w:val="24"/>
              <w:szCs w:val="24"/>
            </w:rPr>
            <w:fldChar w:fldCharType="separate"/>
          </w:r>
          <w:r>
            <w:rPr>
              <w:rFonts w:ascii="仿宋" w:eastAsia="仿宋" w:cs="仿宋" w:hAnsi="仿宋" w:hint="eastAsia"/>
              <w:sz w:val="24"/>
              <w:szCs w:val="24"/>
            </w:rPr>
            <w:t>二、 机构设置</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_Toc5675 \h </w:instrText>
          </w:r>
          <w:r>
            <w:rPr>
              <w:rFonts w:ascii="仿宋" w:eastAsia="仿宋" w:cs="仿宋" w:hAnsi="仿宋" w:hint="eastAsia"/>
              <w:sz w:val="24"/>
              <w:szCs w:val="24"/>
            </w:rPr>
            <w:fldChar w:fldCharType="separate"/>
          </w:r>
          <w:r>
            <w:rPr>
              <w:rFonts w:ascii="仿宋" w:eastAsia="仿宋" w:cs="仿宋" w:hAnsi="仿宋" w:hint="eastAsia"/>
              <w:sz w:val="24"/>
              <w:szCs w:val="24"/>
            </w:rPr>
            <w:t>5</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_Toc7578 </w:instrText>
          </w:r>
          <w:r>
            <w:rPr>
              <w:rFonts w:ascii="仿宋" w:eastAsia="仿宋" w:cs="仿宋" w:hAnsi="仿宋" w:hint="eastAsia"/>
              <w:sz w:val="24"/>
              <w:szCs w:val="24"/>
            </w:rPr>
            <w:fldChar w:fldCharType="separate"/>
          </w:r>
          <w:r>
            <w:rPr>
              <w:rFonts w:ascii="仿宋" w:eastAsia="仿宋" w:cs="仿宋" w:hAnsi="仿宋" w:hint="eastAsia"/>
              <w:bCs/>
              <w:sz w:val="24"/>
              <w:szCs w:val="24"/>
            </w:rPr>
            <w:t>第二部分 2023年度单位决算情况说明</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_Toc7578 \h </w:instrText>
          </w:r>
          <w:r>
            <w:rPr>
              <w:rFonts w:ascii="仿宋" w:eastAsia="仿宋" w:cs="仿宋" w:hAnsi="仿宋" w:hint="eastAsia"/>
              <w:sz w:val="24"/>
              <w:szCs w:val="24"/>
            </w:rPr>
            <w:fldChar w:fldCharType="separate"/>
          </w:r>
          <w:r>
            <w:rPr>
              <w:rFonts w:ascii="仿宋" w:eastAsia="仿宋" w:cs="仿宋" w:hAnsi="仿宋" w:hint="eastAsia"/>
              <w:sz w:val="24"/>
              <w:szCs w:val="24"/>
            </w:rPr>
            <w:t>6</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_Toc10840 </w:instrText>
          </w:r>
          <w:r>
            <w:rPr>
              <w:rFonts w:ascii="仿宋" w:eastAsia="仿宋" w:cs="仿宋" w:hAnsi="仿宋" w:hint="eastAsia"/>
              <w:sz w:val="24"/>
              <w:szCs w:val="24"/>
            </w:rPr>
            <w:fldChar w:fldCharType="separate"/>
          </w:r>
          <w:r>
            <w:rPr>
              <w:rFonts w:ascii="仿宋" w:eastAsia="仿宋" w:cs="仿宋" w:hAnsi="仿宋" w:hint="eastAsia"/>
              <w:sz w:val="24"/>
              <w:szCs w:val="24"/>
            </w:rPr>
            <w:t>一、 收入支出决算总体情况说明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_Toc10840 \h </w:instrText>
          </w:r>
          <w:r>
            <w:rPr>
              <w:rFonts w:ascii="仿宋" w:eastAsia="仿宋" w:cs="仿宋" w:hAnsi="仿宋" w:hint="eastAsia"/>
              <w:sz w:val="24"/>
              <w:szCs w:val="24"/>
            </w:rPr>
            <w:fldChar w:fldCharType="separate"/>
          </w:r>
          <w:r>
            <w:rPr>
              <w:rFonts w:ascii="仿宋" w:eastAsia="仿宋" w:cs="仿宋" w:hAnsi="仿宋" w:hint="eastAsia"/>
              <w:sz w:val="24"/>
              <w:szCs w:val="24"/>
            </w:rPr>
            <w:t>6</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_Toc13165 </w:instrText>
          </w:r>
          <w:r>
            <w:rPr>
              <w:rFonts w:ascii="仿宋" w:eastAsia="仿宋" w:cs="仿宋" w:hAnsi="仿宋" w:hint="eastAsia"/>
              <w:sz w:val="24"/>
              <w:szCs w:val="24"/>
            </w:rPr>
            <w:fldChar w:fldCharType="separate"/>
          </w:r>
          <w:r>
            <w:rPr>
              <w:rFonts w:ascii="仿宋" w:eastAsia="仿宋" w:cs="仿宋" w:hAnsi="仿宋" w:hint="eastAsia"/>
              <w:sz w:val="24"/>
              <w:szCs w:val="24"/>
            </w:rPr>
            <w:t>二、 收入决算情况说明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_Toc13165 \h </w:instrText>
          </w:r>
          <w:r>
            <w:rPr>
              <w:rFonts w:ascii="仿宋" w:eastAsia="仿宋" w:cs="仿宋" w:hAnsi="仿宋" w:hint="eastAsia"/>
              <w:sz w:val="24"/>
              <w:szCs w:val="24"/>
            </w:rPr>
            <w:fldChar w:fldCharType="separate"/>
          </w:r>
          <w:r>
            <w:rPr>
              <w:rFonts w:ascii="仿宋" w:eastAsia="仿宋" w:cs="仿宋" w:hAnsi="仿宋" w:hint="eastAsia"/>
              <w:sz w:val="24"/>
              <w:szCs w:val="24"/>
            </w:rPr>
            <w:t>6</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_Toc245 </w:instrText>
          </w:r>
          <w:r>
            <w:rPr>
              <w:rFonts w:ascii="仿宋" w:eastAsia="仿宋" w:cs="仿宋" w:hAnsi="仿宋" w:hint="eastAsia"/>
              <w:sz w:val="24"/>
              <w:szCs w:val="24"/>
            </w:rPr>
            <w:fldChar w:fldCharType="separate"/>
          </w:r>
          <w:r>
            <w:rPr>
              <w:rFonts w:ascii="仿宋" w:eastAsia="仿宋" w:cs="仿宋" w:hAnsi="仿宋" w:hint="eastAsia"/>
              <w:sz w:val="24"/>
              <w:szCs w:val="24"/>
            </w:rPr>
            <w:t>三、 支出决算情况说明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_Toc245 \h </w:instrText>
          </w:r>
          <w:r>
            <w:rPr>
              <w:rFonts w:ascii="仿宋" w:eastAsia="仿宋" w:cs="仿宋" w:hAnsi="仿宋" w:hint="eastAsia"/>
              <w:sz w:val="24"/>
              <w:szCs w:val="24"/>
            </w:rPr>
            <w:fldChar w:fldCharType="separate"/>
          </w:r>
          <w:r>
            <w:rPr>
              <w:rFonts w:ascii="仿宋" w:eastAsia="仿宋" w:cs="仿宋" w:hAnsi="仿宋" w:hint="eastAsia"/>
              <w:sz w:val="24"/>
              <w:szCs w:val="24"/>
            </w:rPr>
            <w:t>7</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_Toc14841 </w:instrText>
          </w:r>
          <w:r>
            <w:rPr>
              <w:rFonts w:ascii="仿宋" w:eastAsia="仿宋" w:cs="仿宋" w:hAnsi="仿宋" w:hint="eastAsia"/>
              <w:sz w:val="24"/>
              <w:szCs w:val="24"/>
            </w:rPr>
            <w:fldChar w:fldCharType="separate"/>
          </w:r>
          <w:r>
            <w:rPr>
              <w:rFonts w:ascii="仿宋" w:eastAsia="仿宋" w:cs="仿宋" w:hAnsi="仿宋" w:hint="eastAsia"/>
              <w:sz w:val="24"/>
              <w:szCs w:val="24"/>
            </w:rPr>
            <w:t>四、财政拨款收入支出决算总体情况说明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_Toc14841 \h </w:instrText>
          </w:r>
          <w:r>
            <w:rPr>
              <w:rFonts w:ascii="仿宋" w:eastAsia="仿宋" w:cs="仿宋" w:hAnsi="仿宋" w:hint="eastAsia"/>
              <w:sz w:val="24"/>
              <w:szCs w:val="24"/>
            </w:rPr>
            <w:fldChar w:fldCharType="separate"/>
          </w:r>
          <w:r>
            <w:rPr>
              <w:rFonts w:ascii="仿宋" w:eastAsia="仿宋" w:cs="仿宋" w:hAnsi="仿宋" w:hint="eastAsia"/>
              <w:sz w:val="24"/>
              <w:szCs w:val="24"/>
            </w:rPr>
            <w:t>7</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_Toc22084 </w:instrText>
          </w:r>
          <w:r>
            <w:rPr>
              <w:rFonts w:ascii="仿宋" w:eastAsia="仿宋" w:cs="仿宋" w:hAnsi="仿宋" w:hint="eastAsia"/>
              <w:sz w:val="24"/>
              <w:szCs w:val="24"/>
            </w:rPr>
            <w:fldChar w:fldCharType="separate"/>
          </w:r>
          <w:r>
            <w:rPr>
              <w:rFonts w:ascii="仿宋" w:eastAsia="仿宋" w:cs="仿宋" w:hAnsi="仿宋" w:hint="eastAsia"/>
              <w:sz w:val="24"/>
              <w:szCs w:val="24"/>
            </w:rPr>
            <w:t>五、一般公共预算财政拨款支出决算情况说明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_Toc22084 \h </w:instrText>
          </w:r>
          <w:r>
            <w:rPr>
              <w:rFonts w:ascii="仿宋" w:eastAsia="仿宋" w:cs="仿宋" w:hAnsi="仿宋" w:hint="eastAsia"/>
              <w:sz w:val="24"/>
              <w:szCs w:val="24"/>
            </w:rPr>
            <w:fldChar w:fldCharType="separate"/>
          </w:r>
          <w:r>
            <w:rPr>
              <w:rFonts w:ascii="仿宋" w:eastAsia="仿宋" w:cs="仿宋" w:hAnsi="仿宋" w:hint="eastAsia"/>
              <w:sz w:val="24"/>
              <w:szCs w:val="24"/>
            </w:rPr>
            <w:t>8</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_Toc26315 </w:instrText>
          </w:r>
          <w:r>
            <w:rPr>
              <w:rFonts w:ascii="仿宋" w:eastAsia="仿宋" w:cs="仿宋" w:hAnsi="仿宋" w:hint="eastAsia"/>
              <w:sz w:val="24"/>
              <w:szCs w:val="24"/>
            </w:rPr>
            <w:fldChar w:fldCharType="separate"/>
          </w:r>
          <w:r>
            <w:rPr>
              <w:rFonts w:ascii="仿宋" w:eastAsia="仿宋" w:cs="仿宋" w:hAnsi="仿宋" w:hint="eastAsia"/>
              <w:sz w:val="24"/>
              <w:szCs w:val="24"/>
            </w:rPr>
            <w:t>（一）一般公共预算财政拨款支出决算总体情况</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_Toc26315 \h </w:instrText>
          </w:r>
          <w:r>
            <w:rPr>
              <w:rFonts w:ascii="仿宋" w:eastAsia="仿宋" w:cs="仿宋" w:hAnsi="仿宋" w:hint="eastAsia"/>
              <w:sz w:val="24"/>
              <w:szCs w:val="24"/>
            </w:rPr>
            <w:fldChar w:fldCharType="separate"/>
          </w:r>
          <w:r>
            <w:rPr>
              <w:rFonts w:ascii="仿宋" w:eastAsia="仿宋" w:cs="仿宋" w:hAnsi="仿宋" w:hint="eastAsia"/>
              <w:sz w:val="24"/>
              <w:szCs w:val="24"/>
            </w:rPr>
            <w:t>8</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_Toc4784 </w:instrText>
          </w:r>
          <w:r>
            <w:rPr>
              <w:rFonts w:ascii="仿宋" w:eastAsia="仿宋" w:cs="仿宋" w:hAnsi="仿宋" w:hint="eastAsia"/>
              <w:sz w:val="24"/>
              <w:szCs w:val="24"/>
            </w:rPr>
            <w:fldChar w:fldCharType="separate"/>
          </w:r>
          <w:r>
            <w:rPr>
              <w:rFonts w:ascii="仿宋" w:eastAsia="仿宋" w:cs="仿宋" w:hAnsi="仿宋" w:hint="eastAsia"/>
              <w:sz w:val="24"/>
              <w:szCs w:val="24"/>
            </w:rPr>
            <w:t>（二）一般公共预算财政拨款支出决算结构情况</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_Toc4784 \h </w:instrText>
          </w:r>
          <w:r>
            <w:rPr>
              <w:rFonts w:ascii="仿宋" w:eastAsia="仿宋" w:cs="仿宋" w:hAnsi="仿宋" w:hint="eastAsia"/>
              <w:sz w:val="24"/>
              <w:szCs w:val="24"/>
            </w:rPr>
            <w:fldChar w:fldCharType="separate"/>
          </w:r>
          <w:r>
            <w:rPr>
              <w:rFonts w:ascii="仿宋" w:eastAsia="仿宋" w:cs="仿宋" w:hAnsi="仿宋" w:hint="eastAsia"/>
              <w:sz w:val="24"/>
              <w:szCs w:val="24"/>
            </w:rPr>
            <w:t>8</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_Toc3462 </w:instrText>
          </w:r>
          <w:r>
            <w:rPr>
              <w:rFonts w:ascii="仿宋" w:eastAsia="仿宋" w:cs="仿宋" w:hAnsi="仿宋" w:hint="eastAsia"/>
              <w:sz w:val="24"/>
              <w:szCs w:val="24"/>
            </w:rPr>
            <w:fldChar w:fldCharType="separate"/>
          </w:r>
          <w:r>
            <w:rPr>
              <w:rFonts w:ascii="仿宋" w:eastAsia="仿宋" w:cs="仿宋" w:hAnsi="仿宋" w:hint="eastAsia"/>
              <w:sz w:val="24"/>
              <w:szCs w:val="24"/>
            </w:rPr>
            <w:t>六、一般公共预算财政拨款基本支出决算情况说明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_Toc3462 \h </w:instrText>
          </w:r>
          <w:r>
            <w:rPr>
              <w:rFonts w:ascii="仿宋" w:eastAsia="仿宋" w:cs="仿宋" w:hAnsi="仿宋" w:hint="eastAsia"/>
              <w:sz w:val="24"/>
              <w:szCs w:val="24"/>
            </w:rPr>
            <w:fldChar w:fldCharType="separate"/>
          </w:r>
          <w:r>
            <w:rPr>
              <w:rFonts w:ascii="仿宋" w:eastAsia="仿宋" w:cs="仿宋" w:hAnsi="仿宋" w:hint="eastAsia"/>
              <w:sz w:val="24"/>
              <w:szCs w:val="24"/>
            </w:rPr>
            <w:t>10</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_Toc7332 </w:instrText>
          </w:r>
          <w:r>
            <w:rPr>
              <w:rFonts w:ascii="仿宋" w:eastAsia="仿宋" w:cs="仿宋" w:hAnsi="仿宋" w:hint="eastAsia"/>
              <w:sz w:val="24"/>
              <w:szCs w:val="24"/>
            </w:rPr>
            <w:fldChar w:fldCharType="separate"/>
          </w:r>
          <w:r>
            <w:rPr>
              <w:rFonts w:ascii="仿宋" w:eastAsia="仿宋" w:cs="仿宋" w:hAnsi="仿宋" w:hint="eastAsia"/>
              <w:sz w:val="24"/>
              <w:szCs w:val="24"/>
            </w:rPr>
            <w:t>七、财政拨款“三公”经费支出决算情况说明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_Toc7332 \h </w:instrText>
          </w:r>
          <w:r>
            <w:rPr>
              <w:rFonts w:ascii="仿宋" w:eastAsia="仿宋" w:cs="仿宋" w:hAnsi="仿宋" w:hint="eastAsia"/>
              <w:sz w:val="24"/>
              <w:szCs w:val="24"/>
            </w:rPr>
            <w:fldChar w:fldCharType="separate"/>
          </w:r>
          <w:r>
            <w:rPr>
              <w:rFonts w:ascii="仿宋" w:eastAsia="仿宋" w:cs="仿宋" w:hAnsi="仿宋" w:hint="eastAsia"/>
              <w:sz w:val="24"/>
              <w:szCs w:val="24"/>
            </w:rPr>
            <w:t>11</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_Toc16088 </w:instrText>
          </w:r>
          <w:r>
            <w:rPr>
              <w:rFonts w:ascii="仿宋" w:eastAsia="仿宋" w:cs="仿宋" w:hAnsi="仿宋" w:hint="eastAsia"/>
              <w:sz w:val="24"/>
              <w:szCs w:val="24"/>
            </w:rPr>
            <w:fldChar w:fldCharType="separate"/>
          </w:r>
          <w:r>
            <w:rPr>
              <w:rFonts w:ascii="仿宋" w:eastAsia="仿宋" w:cs="仿宋" w:hAnsi="仿宋" w:hint="eastAsia"/>
              <w:sz w:val="24"/>
              <w:szCs w:val="24"/>
            </w:rPr>
            <w:t>（一）“三公”经费财政拨款支出决算总体情况说明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_Toc16088 \h </w:instrText>
          </w:r>
          <w:r>
            <w:rPr>
              <w:rFonts w:ascii="仿宋" w:eastAsia="仿宋" w:cs="仿宋" w:hAnsi="仿宋" w:hint="eastAsia"/>
              <w:sz w:val="24"/>
              <w:szCs w:val="24"/>
            </w:rPr>
            <w:fldChar w:fldCharType="separate"/>
          </w:r>
          <w:r>
            <w:rPr>
              <w:rFonts w:ascii="仿宋" w:eastAsia="仿宋" w:cs="仿宋" w:hAnsi="仿宋" w:hint="eastAsia"/>
              <w:sz w:val="24"/>
              <w:szCs w:val="24"/>
            </w:rPr>
            <w:t>11</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_Toc15940 </w:instrText>
          </w:r>
          <w:r>
            <w:rPr>
              <w:rFonts w:ascii="仿宋" w:eastAsia="仿宋" w:cs="仿宋" w:hAnsi="仿宋" w:hint="eastAsia"/>
              <w:sz w:val="24"/>
              <w:szCs w:val="24"/>
            </w:rPr>
            <w:fldChar w:fldCharType="separate"/>
          </w:r>
          <w:r>
            <w:rPr>
              <w:rFonts w:ascii="仿宋" w:eastAsia="仿宋" w:cs="仿宋" w:hAnsi="仿宋" w:hint="eastAsia"/>
              <w:sz w:val="24"/>
              <w:szCs w:val="24"/>
            </w:rPr>
            <w:t>（二）“三公”经费财政拨款支出决算具体情况说明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_Toc15940 \h </w:instrText>
          </w:r>
          <w:r>
            <w:rPr>
              <w:rFonts w:ascii="仿宋" w:eastAsia="仿宋" w:cs="仿宋" w:hAnsi="仿宋" w:hint="eastAsia"/>
              <w:sz w:val="24"/>
              <w:szCs w:val="24"/>
            </w:rPr>
            <w:fldChar w:fldCharType="separate"/>
          </w:r>
          <w:r>
            <w:rPr>
              <w:rFonts w:ascii="仿宋" w:eastAsia="仿宋" w:cs="仿宋" w:hAnsi="仿宋" w:hint="eastAsia"/>
              <w:sz w:val="24"/>
              <w:szCs w:val="24"/>
            </w:rPr>
            <w:t>11</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_Toc20441 </w:instrText>
          </w:r>
          <w:r>
            <w:rPr>
              <w:rFonts w:ascii="仿宋" w:eastAsia="仿宋" w:cs="仿宋" w:hAnsi="仿宋" w:hint="eastAsia"/>
              <w:sz w:val="24"/>
              <w:szCs w:val="24"/>
            </w:rPr>
            <w:fldChar w:fldCharType="separate"/>
          </w:r>
          <w:r>
            <w:rPr>
              <w:rFonts w:ascii="仿宋" w:eastAsia="仿宋" w:cs="仿宋" w:hAnsi="仿宋" w:hint="eastAsia"/>
              <w:sz w:val="24"/>
              <w:szCs w:val="24"/>
            </w:rPr>
            <w:t>八、政府性基金预算支出决算情况说明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_Toc20441 \h </w:instrText>
          </w:r>
          <w:r>
            <w:rPr>
              <w:rFonts w:ascii="仿宋" w:eastAsia="仿宋" w:cs="仿宋" w:hAnsi="仿宋" w:hint="eastAsia"/>
              <w:sz w:val="24"/>
              <w:szCs w:val="24"/>
            </w:rPr>
            <w:fldChar w:fldCharType="separate"/>
          </w:r>
          <w:r>
            <w:rPr>
              <w:rFonts w:ascii="仿宋" w:eastAsia="仿宋" w:cs="仿宋" w:hAnsi="仿宋" w:hint="eastAsia"/>
              <w:sz w:val="24"/>
              <w:szCs w:val="24"/>
            </w:rPr>
            <w:t>12</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_Toc26046 </w:instrText>
          </w:r>
          <w:r>
            <w:rPr>
              <w:rFonts w:ascii="仿宋" w:eastAsia="仿宋" w:cs="仿宋" w:hAnsi="仿宋" w:hint="eastAsia"/>
              <w:sz w:val="24"/>
              <w:szCs w:val="24"/>
            </w:rPr>
            <w:fldChar w:fldCharType="separate"/>
          </w:r>
          <w:r>
            <w:rPr>
              <w:rFonts w:ascii="仿宋" w:eastAsia="仿宋" w:cs="仿宋" w:hAnsi="仿宋" w:hint="eastAsia"/>
              <w:sz w:val="24"/>
              <w:szCs w:val="24"/>
              <w:lang w:eastAsia="zh-CN"/>
            </w:rPr>
            <w:t>九、</w:t>
          </w:r>
          <w:r>
            <w:rPr>
              <w:rFonts w:ascii="仿宋" w:eastAsia="仿宋" w:cs="仿宋" w:hAnsi="仿宋" w:hint="eastAsia"/>
              <w:sz w:val="24"/>
              <w:szCs w:val="24"/>
            </w:rPr>
            <w:t>国有资本经营预算支出决算情况说明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_Toc26046 \h </w:instrText>
          </w:r>
          <w:r>
            <w:rPr>
              <w:rFonts w:ascii="仿宋" w:eastAsia="仿宋" w:cs="仿宋" w:hAnsi="仿宋" w:hint="eastAsia"/>
              <w:sz w:val="24"/>
              <w:szCs w:val="24"/>
            </w:rPr>
            <w:fldChar w:fldCharType="separate"/>
          </w:r>
          <w:r>
            <w:rPr>
              <w:rFonts w:ascii="仿宋" w:eastAsia="仿宋" w:cs="仿宋" w:hAnsi="仿宋" w:hint="eastAsia"/>
              <w:sz w:val="24"/>
              <w:szCs w:val="24"/>
            </w:rPr>
            <w:t>12</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_Toc5520 </w:instrText>
          </w:r>
          <w:r>
            <w:rPr>
              <w:rFonts w:ascii="仿宋" w:eastAsia="仿宋" w:cs="仿宋" w:hAnsi="仿宋" w:hint="eastAsia"/>
              <w:sz w:val="24"/>
              <w:szCs w:val="24"/>
            </w:rPr>
            <w:fldChar w:fldCharType="separate"/>
          </w:r>
          <w:r>
            <w:rPr>
              <w:rFonts w:ascii="仿宋" w:eastAsia="仿宋" w:cs="仿宋" w:hAnsi="仿宋" w:hint="eastAsia"/>
              <w:sz w:val="24"/>
              <w:szCs w:val="24"/>
              <w:lang w:eastAsia="zh-CN"/>
            </w:rPr>
            <w:t>十、</w:t>
          </w:r>
          <w:r>
            <w:rPr>
              <w:rFonts w:ascii="仿宋" w:eastAsia="仿宋" w:cs="仿宋" w:hAnsi="仿宋" w:hint="eastAsia"/>
              <w:sz w:val="24"/>
              <w:szCs w:val="24"/>
            </w:rPr>
            <w:t>其他重要事项的情况说明</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_Toc5520 \h </w:instrText>
          </w:r>
          <w:r>
            <w:rPr>
              <w:rFonts w:ascii="仿宋" w:eastAsia="仿宋" w:cs="仿宋" w:hAnsi="仿宋" w:hint="eastAsia"/>
              <w:sz w:val="24"/>
              <w:szCs w:val="24"/>
            </w:rPr>
            <w:fldChar w:fldCharType="separate"/>
          </w:r>
          <w:r>
            <w:rPr>
              <w:rFonts w:ascii="仿宋" w:eastAsia="仿宋" w:cs="仿宋" w:hAnsi="仿宋" w:hint="eastAsia"/>
              <w:sz w:val="24"/>
              <w:szCs w:val="24"/>
            </w:rPr>
            <w:t>12</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_Toc32074 </w:instrText>
          </w:r>
          <w:r>
            <w:rPr>
              <w:rFonts w:ascii="仿宋" w:eastAsia="仿宋" w:cs="仿宋" w:hAnsi="仿宋" w:hint="eastAsia"/>
              <w:sz w:val="24"/>
              <w:szCs w:val="24"/>
            </w:rPr>
            <w:fldChar w:fldCharType="separate"/>
          </w:r>
          <w:r>
            <w:rPr>
              <w:rFonts w:ascii="仿宋" w:eastAsia="仿宋" w:cs="仿宋" w:hAnsi="仿宋" w:hint="eastAsia"/>
              <w:sz w:val="24"/>
              <w:szCs w:val="24"/>
            </w:rPr>
            <w:t>（一）机关运行经费支出情况</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_Toc32074 \h </w:instrText>
          </w:r>
          <w:r>
            <w:rPr>
              <w:rFonts w:ascii="仿宋" w:eastAsia="仿宋" w:cs="仿宋" w:hAnsi="仿宋" w:hint="eastAsia"/>
              <w:sz w:val="24"/>
              <w:szCs w:val="24"/>
            </w:rPr>
            <w:fldChar w:fldCharType="separate"/>
          </w:r>
          <w:r>
            <w:rPr>
              <w:rFonts w:ascii="仿宋" w:eastAsia="仿宋" w:cs="仿宋" w:hAnsi="仿宋" w:hint="eastAsia"/>
              <w:sz w:val="24"/>
              <w:szCs w:val="24"/>
            </w:rPr>
            <w:t>12</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_Toc15733 </w:instrText>
          </w:r>
          <w:r>
            <w:rPr>
              <w:rFonts w:ascii="仿宋" w:eastAsia="仿宋" w:cs="仿宋" w:hAnsi="仿宋" w:hint="eastAsia"/>
              <w:sz w:val="24"/>
              <w:szCs w:val="24"/>
            </w:rPr>
            <w:fldChar w:fldCharType="separate"/>
          </w:r>
          <w:r>
            <w:rPr>
              <w:rFonts w:ascii="仿宋" w:eastAsia="仿宋" w:cs="仿宋" w:hAnsi="仿宋" w:hint="eastAsia"/>
              <w:sz w:val="24"/>
              <w:szCs w:val="24"/>
            </w:rPr>
            <w:t>（二）政府采购支出情况</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_Toc15733 \h </w:instrText>
          </w:r>
          <w:r>
            <w:rPr>
              <w:rFonts w:ascii="仿宋" w:eastAsia="仿宋" w:cs="仿宋" w:hAnsi="仿宋" w:hint="eastAsia"/>
              <w:sz w:val="24"/>
              <w:szCs w:val="24"/>
            </w:rPr>
            <w:fldChar w:fldCharType="separate"/>
          </w:r>
          <w:r>
            <w:rPr>
              <w:rFonts w:ascii="仿宋" w:eastAsia="仿宋" w:cs="仿宋" w:hAnsi="仿宋" w:hint="eastAsia"/>
              <w:sz w:val="24"/>
              <w:szCs w:val="24"/>
            </w:rPr>
            <w:t>12</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_Toc16412 </w:instrText>
          </w:r>
          <w:r>
            <w:rPr>
              <w:rFonts w:ascii="仿宋" w:eastAsia="仿宋" w:cs="仿宋" w:hAnsi="仿宋" w:hint="eastAsia"/>
              <w:sz w:val="24"/>
              <w:szCs w:val="24"/>
            </w:rPr>
            <w:fldChar w:fldCharType="separate"/>
          </w:r>
          <w:r>
            <w:rPr>
              <w:rFonts w:ascii="仿宋" w:eastAsia="仿宋" w:cs="仿宋" w:hAnsi="仿宋" w:hint="eastAsia"/>
              <w:sz w:val="24"/>
              <w:szCs w:val="24"/>
            </w:rPr>
            <w:t>（三）国有资产占有使用情况</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_Toc16412 \h </w:instrText>
          </w:r>
          <w:r>
            <w:rPr>
              <w:rFonts w:ascii="仿宋" w:eastAsia="仿宋" w:cs="仿宋" w:hAnsi="仿宋" w:hint="eastAsia"/>
              <w:sz w:val="24"/>
              <w:szCs w:val="24"/>
            </w:rPr>
            <w:fldChar w:fldCharType="separate"/>
          </w:r>
          <w:r>
            <w:rPr>
              <w:rFonts w:ascii="仿宋" w:eastAsia="仿宋" w:cs="仿宋" w:hAnsi="仿宋" w:hint="eastAsia"/>
              <w:sz w:val="24"/>
              <w:szCs w:val="24"/>
            </w:rPr>
            <w:t>13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0"/>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_Toc13092 </w:instrText>
          </w:r>
          <w:r>
            <w:rPr>
              <w:rFonts w:ascii="仿宋" w:eastAsia="仿宋" w:cs="仿宋" w:hAnsi="仿宋" w:hint="eastAsia"/>
              <w:sz w:val="24"/>
              <w:szCs w:val="24"/>
            </w:rPr>
            <w:fldChar w:fldCharType="separate"/>
          </w:r>
          <w:r>
            <w:rPr>
              <w:rFonts w:ascii="仿宋" w:eastAsia="仿宋" w:cs="仿宋" w:hAnsi="仿宋" w:hint="eastAsia"/>
              <w:sz w:val="24"/>
              <w:szCs w:val="24"/>
            </w:rPr>
            <w:t>（四）预算绩效管理情况</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_Toc13092 \h </w:instrText>
          </w:r>
          <w:r>
            <w:rPr>
              <w:rFonts w:ascii="仿宋" w:eastAsia="仿宋" w:cs="仿宋" w:hAnsi="仿宋" w:hint="eastAsia"/>
              <w:sz w:val="24"/>
              <w:szCs w:val="24"/>
            </w:rPr>
            <w:fldChar w:fldCharType="separate"/>
          </w:r>
          <w:r>
            <w:rPr>
              <w:rFonts w:ascii="仿宋" w:eastAsia="仿宋" w:cs="仿宋" w:hAnsi="仿宋" w:hint="eastAsia"/>
              <w:sz w:val="24"/>
              <w:szCs w:val="24"/>
            </w:rPr>
            <w:t>13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_Toc23493 </w:instrText>
          </w:r>
          <w:r>
            <w:rPr>
              <w:rFonts w:ascii="仿宋" w:eastAsia="仿宋" w:cs="仿宋" w:hAnsi="仿宋" w:hint="eastAsia"/>
              <w:sz w:val="24"/>
              <w:szCs w:val="24"/>
            </w:rPr>
            <w:fldChar w:fldCharType="separate"/>
          </w:r>
          <w:r>
            <w:rPr>
              <w:rFonts w:ascii="仿宋" w:eastAsia="仿宋" w:cs="仿宋" w:hAnsi="仿宋" w:hint="eastAsia"/>
              <w:sz w:val="24"/>
              <w:szCs w:val="24"/>
            </w:rPr>
            <w:t>第三部分 名词解释</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_Toc23493 \h </w:instrText>
          </w:r>
          <w:r>
            <w:rPr>
              <w:rFonts w:ascii="仿宋" w:eastAsia="仿宋" w:cs="仿宋" w:hAnsi="仿宋" w:hint="eastAsia"/>
              <w:sz w:val="24"/>
              <w:szCs w:val="24"/>
            </w:rPr>
            <w:fldChar w:fldCharType="separate"/>
          </w:r>
          <w:r>
            <w:rPr>
              <w:rFonts w:ascii="仿宋" w:eastAsia="仿宋" w:cs="仿宋" w:hAnsi="仿宋" w:hint="eastAsia"/>
              <w:sz w:val="24"/>
              <w:szCs w:val="24"/>
            </w:rPr>
            <w:t>13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_Toc506 </w:instrText>
          </w:r>
          <w:r>
            <w:rPr>
              <w:rFonts w:ascii="仿宋" w:eastAsia="仿宋" w:cs="仿宋" w:hAnsi="仿宋" w:hint="eastAsia"/>
              <w:sz w:val="24"/>
              <w:szCs w:val="24"/>
            </w:rPr>
            <w:fldChar w:fldCharType="separate"/>
          </w:r>
          <w:r>
            <w:rPr>
              <w:rFonts w:ascii="仿宋" w:eastAsia="仿宋" w:cs="仿宋" w:hAnsi="仿宋" w:hint="eastAsia"/>
              <w:sz w:val="24"/>
              <w:szCs w:val="24"/>
            </w:rPr>
            <w:t>第四部分 附件</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_Toc506 \h </w:instrText>
          </w:r>
          <w:r>
            <w:rPr>
              <w:rFonts w:ascii="仿宋" w:eastAsia="仿宋" w:cs="仿宋" w:hAnsi="仿宋" w:hint="eastAsia"/>
              <w:sz w:val="24"/>
              <w:szCs w:val="24"/>
            </w:rPr>
            <w:fldChar w:fldCharType="separate"/>
          </w:r>
          <w:r>
            <w:rPr>
              <w:rFonts w:ascii="仿宋" w:eastAsia="仿宋" w:cs="仿宋" w:hAnsi="仿宋" w:hint="eastAsia"/>
              <w:sz w:val="24"/>
              <w:szCs w:val="24"/>
            </w:rPr>
            <w:t>17</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_Toc27660 </w:instrText>
          </w:r>
          <w:r>
            <w:rPr>
              <w:rFonts w:ascii="仿宋" w:eastAsia="仿宋" w:cs="仿宋" w:hAnsi="仿宋" w:hint="eastAsia"/>
              <w:sz w:val="24"/>
              <w:szCs w:val="24"/>
            </w:rPr>
            <w:fldChar w:fldCharType="separate"/>
          </w:r>
          <w:r>
            <w:rPr>
              <w:rFonts w:ascii="仿宋" w:eastAsia="仿宋" w:cs="仿宋" w:hAnsi="仿宋" w:hint="eastAsia"/>
              <w:sz w:val="24"/>
              <w:szCs w:val="24"/>
            </w:rPr>
            <w:t>附件</w:t>
          </w:r>
          <w:r>
            <w:rPr>
              <w:rFonts w:ascii="仿宋" w:eastAsia="仿宋" w:cs="仿宋" w:hAnsi="仿宋" w:hint="eastAsia"/>
              <w:sz w:val="24"/>
              <w:szCs w:val="24"/>
              <w:lang w:val="en-US" w:eastAsia="zh-CN"/>
            </w:rPr>
            <w:t>1部门预算绩效评价报告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_Toc27660 \h </w:instrText>
          </w:r>
          <w:r>
            <w:rPr>
              <w:rFonts w:ascii="仿宋" w:eastAsia="仿宋" w:cs="仿宋" w:hAnsi="仿宋" w:hint="eastAsia"/>
              <w:sz w:val="24"/>
              <w:szCs w:val="24"/>
            </w:rPr>
            <w:fldChar w:fldCharType="separate"/>
          </w:r>
          <w:r>
            <w:rPr>
              <w:rFonts w:ascii="仿宋" w:eastAsia="仿宋" w:cs="仿宋" w:hAnsi="仿宋" w:hint="eastAsia"/>
              <w:sz w:val="24"/>
              <w:szCs w:val="24"/>
            </w:rPr>
            <w:t>17</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_Toc31154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 xml:space="preserve">附件2 </w:t>
          </w:r>
          <w:r>
            <w:rPr>
              <w:rFonts w:ascii="仿宋" w:eastAsia="仿宋" w:cs="仿宋" w:hAnsi="仿宋" w:hint="eastAsia"/>
              <w:sz w:val="24"/>
              <w:szCs w:val="24"/>
            </w:rPr>
            <w:fldChar w:fldCharType="end"/>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_Toc1118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2023年部门预算项目支出绩效自评表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_Toc1118 \h </w:instrText>
          </w:r>
          <w:r>
            <w:rPr>
              <w:rFonts w:ascii="仿宋" w:eastAsia="仿宋" w:cs="仿宋" w:hAnsi="仿宋" w:hint="eastAsia"/>
              <w:sz w:val="24"/>
              <w:szCs w:val="24"/>
            </w:rPr>
            <w:fldChar w:fldCharType="separate"/>
          </w:r>
          <w:r>
            <w:rPr>
              <w:rFonts w:ascii="仿宋" w:eastAsia="仿宋" w:cs="仿宋" w:hAnsi="仿宋" w:hint="eastAsia"/>
              <w:sz w:val="24"/>
              <w:szCs w:val="24"/>
            </w:rPr>
            <w:t>24</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_Toc17397 </w:instrText>
          </w:r>
          <w:r>
            <w:rPr>
              <w:rFonts w:ascii="仿宋" w:eastAsia="仿宋" w:cs="仿宋" w:hAnsi="仿宋" w:hint="eastAsia"/>
              <w:sz w:val="24"/>
              <w:szCs w:val="24"/>
            </w:rPr>
            <w:fldChar w:fldCharType="separate"/>
          </w:r>
          <w:r>
            <w:rPr>
              <w:rFonts w:ascii="仿宋" w:eastAsia="仿宋" w:cs="仿宋" w:hAnsi="仿宋" w:hint="eastAsia"/>
              <w:sz w:val="24"/>
              <w:szCs w:val="24"/>
            </w:rPr>
            <w:t>第五部分 附表</w:t>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_Toc17397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_Toc14091 </w:instrText>
          </w:r>
          <w:r>
            <w:rPr>
              <w:rFonts w:ascii="仿宋" w:eastAsia="仿宋" w:cs="仿宋" w:hAnsi="仿宋" w:hint="eastAsia"/>
              <w:sz w:val="24"/>
              <w:szCs w:val="24"/>
            </w:rPr>
            <w:fldChar w:fldCharType="separate"/>
          </w:r>
          <w:r>
            <w:rPr>
              <w:rFonts w:ascii="仿宋" w:eastAsia="仿宋" w:cs="仿宋" w:hAnsi="仿宋" w:hint="eastAsia"/>
              <w:sz w:val="24"/>
              <w:szCs w:val="24"/>
            </w:rPr>
            <w:t>一、收</w:t>
          </w:r>
          <w:r>
            <w:rPr>
              <w:rFonts w:ascii="仿宋" w:eastAsia="仿宋" w:cs="仿宋" w:hAnsi="仿宋" w:hint="eastAsia"/>
              <w:bCs w:val="0"/>
              <w:sz w:val="24"/>
              <w:szCs w:val="24"/>
            </w:rPr>
            <w:t>入支出决算总表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_Toc14091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_Toc5673 </w:instrText>
          </w:r>
          <w:r>
            <w:rPr>
              <w:rFonts w:ascii="仿宋" w:eastAsia="仿宋" w:cs="仿宋" w:hAnsi="仿宋" w:hint="eastAsia"/>
              <w:sz w:val="24"/>
              <w:szCs w:val="24"/>
            </w:rPr>
            <w:fldChar w:fldCharType="separate"/>
          </w:r>
          <w:r>
            <w:rPr>
              <w:rFonts w:ascii="仿宋" w:eastAsia="仿宋" w:cs="仿宋" w:hAnsi="仿宋" w:hint="eastAsia"/>
              <w:sz w:val="24"/>
              <w:szCs w:val="24"/>
            </w:rPr>
            <w:t>二、收</w:t>
          </w:r>
          <w:r>
            <w:rPr>
              <w:rFonts w:ascii="仿宋" w:eastAsia="仿宋" w:cs="仿宋" w:hAnsi="仿宋" w:hint="eastAsia"/>
              <w:bCs w:val="0"/>
              <w:sz w:val="24"/>
              <w:szCs w:val="24"/>
            </w:rPr>
            <w:t>入决算表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_Toc5673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_Toc9697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三、</w:t>
          </w:r>
          <w:r>
            <w:rPr>
              <w:rFonts w:ascii="仿宋" w:eastAsia="仿宋" w:cs="仿宋" w:hAnsi="仿宋" w:hint="eastAsia"/>
              <w:sz w:val="24"/>
              <w:szCs w:val="24"/>
            </w:rPr>
            <w:t>支</w:t>
          </w:r>
          <w:r>
            <w:rPr>
              <w:rFonts w:ascii="仿宋" w:eastAsia="仿宋" w:cs="仿宋" w:hAnsi="仿宋" w:hint="eastAsia"/>
              <w:bCs w:val="0"/>
              <w:sz w:val="24"/>
              <w:szCs w:val="24"/>
            </w:rPr>
            <w:t>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_Toc9697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_Toc11510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四、</w:t>
          </w:r>
          <w:r>
            <w:rPr>
              <w:rFonts w:ascii="仿宋" w:eastAsia="仿宋" w:cs="仿宋" w:hAnsi="仿宋" w:hint="eastAsia"/>
              <w:sz w:val="24"/>
              <w:szCs w:val="24"/>
            </w:rPr>
            <w:t>财</w:t>
          </w:r>
          <w:r>
            <w:rPr>
              <w:rFonts w:ascii="仿宋" w:eastAsia="仿宋" w:cs="仿宋" w:hAnsi="仿宋" w:hint="eastAsia"/>
              <w:bCs w:val="0"/>
              <w:sz w:val="24"/>
              <w:szCs w:val="24"/>
            </w:rPr>
            <w:t>政拨款收入支出决算总表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_Toc11510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_Toc31915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五、</w:t>
          </w:r>
          <w:r>
            <w:rPr>
              <w:rFonts w:ascii="仿宋" w:eastAsia="仿宋" w:cs="仿宋" w:hAnsi="仿宋" w:hint="eastAsia"/>
              <w:sz w:val="24"/>
              <w:szCs w:val="24"/>
            </w:rPr>
            <w:t>财</w:t>
          </w:r>
          <w:r>
            <w:rPr>
              <w:rFonts w:ascii="仿宋" w:eastAsia="仿宋" w:cs="仿宋" w:hAnsi="仿宋" w:hint="eastAsia"/>
              <w:bCs w:val="0"/>
              <w:sz w:val="24"/>
              <w:szCs w:val="24"/>
            </w:rPr>
            <w:t>政拨款支出决算明细表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_Toc31915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_Toc1947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六、</w:t>
          </w:r>
          <w:r>
            <w:rPr>
              <w:rFonts w:ascii="仿宋" w:eastAsia="仿宋" w:cs="仿宋" w:hAnsi="仿宋" w:hint="eastAsia"/>
              <w:sz w:val="24"/>
              <w:szCs w:val="24"/>
            </w:rPr>
            <w:t>一</w:t>
          </w:r>
          <w:r>
            <w:rPr>
              <w:rFonts w:ascii="仿宋" w:eastAsia="仿宋" w:cs="仿宋" w:hAnsi="仿宋" w:hint="eastAsia"/>
              <w:bCs w:val="0"/>
              <w:sz w:val="24"/>
              <w:szCs w:val="24"/>
            </w:rPr>
            <w:t>般公共预算财政拨款支出决算表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_Toc1947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_Toc15821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七、</w:t>
          </w:r>
          <w:r>
            <w:rPr>
              <w:rFonts w:ascii="仿宋" w:eastAsia="仿宋" w:cs="仿宋" w:hAnsi="仿宋" w:hint="eastAsia"/>
              <w:sz w:val="24"/>
              <w:szCs w:val="24"/>
            </w:rPr>
            <w:t>一</w:t>
          </w:r>
          <w:r>
            <w:rPr>
              <w:rFonts w:ascii="仿宋" w:eastAsia="仿宋" w:cs="仿宋" w:hAnsi="仿宋" w:hint="eastAsia"/>
              <w:bCs w:val="0"/>
              <w:sz w:val="24"/>
              <w:szCs w:val="24"/>
            </w:rPr>
            <w:t>般公共预算财政拨款支出决算明细表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_Toc15821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_Toc1699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八、</w:t>
          </w:r>
          <w:r>
            <w:rPr>
              <w:rFonts w:ascii="仿宋" w:eastAsia="仿宋" w:cs="仿宋" w:hAnsi="仿宋" w:hint="eastAsia"/>
              <w:sz w:val="24"/>
              <w:szCs w:val="24"/>
            </w:rPr>
            <w:t>一</w:t>
          </w:r>
          <w:r>
            <w:rPr>
              <w:rFonts w:ascii="仿宋" w:eastAsia="仿宋" w:cs="仿宋" w:hAnsi="仿宋" w:hint="eastAsia"/>
              <w:bCs w:val="0"/>
              <w:sz w:val="24"/>
              <w:szCs w:val="24"/>
            </w:rPr>
            <w:t>般公共预算财政拨款基本支出决算表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_Toc1699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_Toc22671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九、</w:t>
          </w:r>
          <w:r>
            <w:rPr>
              <w:rFonts w:ascii="仿宋" w:eastAsia="仿宋" w:cs="仿宋" w:hAnsi="仿宋" w:hint="eastAsia"/>
              <w:sz w:val="24"/>
              <w:szCs w:val="24"/>
            </w:rPr>
            <w:t>一</w:t>
          </w:r>
          <w:r>
            <w:rPr>
              <w:rFonts w:ascii="仿宋" w:eastAsia="仿宋" w:cs="仿宋" w:hAnsi="仿宋" w:hint="eastAsia"/>
              <w:bCs w:val="0"/>
              <w:sz w:val="24"/>
              <w:szCs w:val="24"/>
            </w:rPr>
            <w:t>般公共预算财政拨款项目支出决算表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_Toc22671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_Toc20854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十、</w:t>
          </w:r>
          <w:r>
            <w:rPr>
              <w:rFonts w:ascii="仿宋" w:eastAsia="仿宋" w:cs="仿宋" w:hAnsi="仿宋" w:hint="eastAsia"/>
              <w:sz w:val="24"/>
              <w:szCs w:val="24"/>
            </w:rPr>
            <w:t>政</w:t>
          </w:r>
          <w:r>
            <w:rPr>
              <w:rFonts w:ascii="仿宋" w:eastAsia="仿宋" w:cs="仿宋" w:hAnsi="仿宋" w:hint="eastAsia"/>
              <w:bCs w:val="0"/>
              <w:sz w:val="24"/>
              <w:szCs w:val="24"/>
            </w:rPr>
            <w:t>府性基金预算财政拨款收入支出决算表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_Toc20854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_Toc32496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十一、</w:t>
          </w:r>
          <w:r>
            <w:rPr>
              <w:rFonts w:ascii="仿宋" w:eastAsia="仿宋" w:cs="仿宋" w:hAnsi="仿宋" w:hint="eastAsia"/>
              <w:sz w:val="24"/>
              <w:szCs w:val="24"/>
            </w:rPr>
            <w:t>国</w:t>
          </w:r>
          <w:r>
            <w:rPr>
              <w:rFonts w:ascii="仿宋" w:eastAsia="仿宋" w:cs="仿宋" w:hAnsi="仿宋" w:hint="eastAsia"/>
              <w:bCs w:val="0"/>
              <w:sz w:val="24"/>
              <w:szCs w:val="24"/>
            </w:rPr>
            <w:t>有资本经营预算财政拨款收入支出决算表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_Toc32496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_Toc16743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十二、国有资本经营预算财政拨款支出决算表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_Toc16743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6"/>
            <w:keepNext w:val="0"/>
            <w:keepLines w:val="0"/>
            <w:pageBreakBefore w:val="0"/>
            <w:tabs>
              <w:tab w:val="clear" w:pos="8296"/>
              <w:tab w:val="right" w:leader="dot" w:pos="8306"/>
            </w:tabs>
            <w:kinsoku/>
            <w:wordWrap/>
            <w:overflowPunct/>
            <w:topLinePunct w:val="0"/>
            <w:autoSpaceDE/>
            <w:autoSpaceDN/>
            <w:bidi w:val="0"/>
            <w:adjustRightInd/>
            <w:snapToGrid/>
            <w:spacing w:line="500"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_Toc7937 </w:instrText>
          </w:r>
          <w:r>
            <w:rPr>
              <w:rFonts w:ascii="仿宋" w:eastAsia="仿宋" w:cs="仿宋" w:hAnsi="仿宋" w:hint="eastAsia"/>
              <w:sz w:val="24"/>
              <w:szCs w:val="24"/>
            </w:rPr>
            <w:fldChar w:fldCharType="separate"/>
          </w:r>
          <w:r>
            <w:rPr>
              <w:rFonts w:ascii="仿宋" w:eastAsia="仿宋" w:cs="仿宋" w:hAnsi="仿宋" w:hint="eastAsia"/>
              <w:bCs w:val="0"/>
              <w:sz w:val="24"/>
              <w:szCs w:val="24"/>
            </w:rPr>
            <w:t>十三、财政拨款“三公”经费支出决算表</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_Toc7937 \h </w:instrText>
          </w:r>
          <w:r>
            <w:rPr>
              <w:rFonts w:ascii="仿宋" w:eastAsia="仿宋" w:cs="仿宋" w:hAnsi="仿宋" w:hint="eastAsia"/>
              <w:sz w:val="24"/>
              <w:szCs w:val="24"/>
            </w:rPr>
            <w:fldChar w:fldCharType="separate"/>
          </w:r>
          <w:r>
            <w:rPr>
              <w:rFonts w:ascii="仿宋" w:eastAsia="仿宋" w:cs="仿宋" w:hAnsi="仿宋" w:hint="eastAsia"/>
              <w:sz w:val="24"/>
              <w:szCs w:val="24"/>
            </w:rPr>
            <w:t>69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keepNext w:val="0"/>
            <w:keepLines w:val="0"/>
            <w:pageBreakBefore w:val="0"/>
            <w:kinsoku/>
            <w:wordWrap/>
            <w:overflowPunct/>
            <w:topLinePunct w:val="0"/>
            <w:autoSpaceDE/>
            <w:autoSpaceDN/>
            <w:bidi w:val="0"/>
            <w:adjustRightInd/>
            <w:snapToGrid/>
            <w:spacing w:line="500" w:lineRule="exact"/>
            <w:textAlignment w:val="auto"/>
          </w:pPr>
          <w:r>
            <w:rPr>
              <w:rFonts w:ascii="仿宋" w:eastAsia="仿宋" w:cs="仿宋" w:hAnsi="仿宋" w:hint="eastAsia"/>
              <w:sz w:val="24"/>
              <w:szCs w:val="24"/>
            </w:rPr>
            <w:fldChar w:fldCharType="end"/>
          </w:r>
        </w:p>
      </w:sdtContent>
    </w:sdt>
    <w:p>
      <w:pPr>
        <w:pageBreakBefore w:val="0"/>
        <w:widowControl/>
        <w:kinsoku/>
        <w:wordWrap/>
        <w:topLinePunct w:val="0"/>
        <w:bidi w:val="0"/>
        <w:spacing w:line="576" w:lineRule="exact"/>
        <w:jc w:val="left"/>
        <w:textAlignment w:val="auto"/>
        <w:rPr>
          <w:rFonts w:ascii="仿宋" w:eastAsia="仿宋" w:cs="仿宋" w:hAnsi="仿宋" w:hint="eastAsia"/>
          <w:bCs/>
          <w:kern w:val="44"/>
          <w:sz w:val="32"/>
          <w:szCs w:val="32"/>
        </w:rPr>
      </w:pPr>
      <w:r>
        <w:rPr>
          <w:rFonts w:ascii="仿宋" w:eastAsia="仿宋" w:cs="仿宋" w:hAnsi="仿宋" w:hint="eastAsia"/>
          <w:b/>
          <w:sz w:val="32"/>
          <w:szCs w:val="32"/>
        </w:rPr>
        <w:br w:type="page"/>
      </w:r>
    </w:p>
    <w:p>
      <w:pPr>
        <w:pStyle w:val="1"/>
        <w:keepNext/>
        <w:keepLines/>
        <w:pageBreakBefore w:val="0"/>
        <w:kinsoku/>
        <w:wordWrap/>
        <w:topLinePunct w:val="0"/>
        <w:bidi w:val="0"/>
        <w:spacing w:before="0" w:after="0" w:line="576" w:lineRule="exact"/>
        <w:jc w:val="center"/>
        <w:textAlignment w:val="auto"/>
        <w:rPr>
          <w:rStyle w:val="1Char"/>
          <w:rFonts w:ascii="黑体" w:eastAsia="黑体" w:cs="黑体" w:hAnsi="黑体" w:hint="eastAsia"/>
          <w:b/>
          <w:bCs w:val="0"/>
          <w:sz w:val="44"/>
          <w:szCs w:val="44"/>
        </w:rPr>
      </w:pPr>
      <w:bookmarkStart w:id="17" w:name="_Toc969"/>
      <w:r>
        <w:rPr>
          <w:rFonts w:ascii="黑体" w:eastAsia="黑体" w:cs="黑体" w:hAnsi="黑体" w:hint="eastAsia"/>
          <w:b w:val="0"/>
          <w:sz w:val="44"/>
          <w:szCs w:val="44"/>
        </w:rPr>
        <w:t>第一部分 单位</w:t>
      </w:r>
      <w:r>
        <w:rPr>
          <w:rStyle w:val="1Char"/>
          <w:rFonts w:ascii="黑体" w:eastAsia="黑体" w:cs="黑体" w:hAnsi="黑体" w:hint="eastAsia"/>
          <w:b w:val="0"/>
          <w:bCs w:val="0"/>
          <w:sz w:val="44"/>
          <w:szCs w:val="44"/>
        </w:rPr>
        <w:t>概况</w:t>
      </w:r>
      <w:bookmarkEnd w:id="17"/>
    </w:p>
    <w:p>
      <w:pPr>
        <w:pageBreakBefore w:val="0"/>
        <w:widowControl/>
        <w:kinsoku/>
        <w:wordWrap/>
        <w:topLinePunct w:val="0"/>
        <w:bidi w:val="0"/>
        <w:spacing w:line="576" w:lineRule="exact"/>
        <w:jc w:val="left"/>
        <w:textAlignment w:val="auto"/>
        <w:rPr>
          <w:rFonts w:ascii="仿宋" w:eastAsia="仿宋" w:cs="仿宋" w:hAnsi="仿宋" w:hint="eastAsia"/>
          <w:sz w:val="32"/>
          <w:szCs w:val="32"/>
        </w:rPr>
      </w:pPr>
    </w:p>
    <w:p>
      <w:pPr>
        <w:pStyle w:val="2"/>
        <w:keepNext/>
        <w:keepLines/>
        <w:pageBreakBefore w:val="0"/>
        <w:numPr>
          <w:ilvl w:val="0"/>
          <w:numId w:val="1"/>
        </w:numPr>
        <w:kinsoku/>
        <w:wordWrap/>
        <w:topLinePunct w:val="0"/>
        <w:bidi w:val="0"/>
        <w:spacing w:before="0" w:after="0" w:line="576" w:lineRule="exact"/>
        <w:textAlignment w:val="auto"/>
        <w:rPr>
          <w:rStyle w:val="2Char"/>
          <w:rFonts w:ascii="黑体" w:eastAsia="黑体" w:cs="黑体" w:hAnsi="黑体" w:hint="eastAsia"/>
          <w:b w:val="0"/>
          <w:bCs w:val="0"/>
          <w:sz w:val="32"/>
          <w:szCs w:val="32"/>
        </w:rPr>
      </w:pPr>
      <w:bookmarkStart w:id="18" w:name="_Toc25135"/>
      <w:bookmarkStart w:id="19" w:name="_Toc15396600"/>
      <w:bookmarkStart w:id="20" w:name="_Toc15377197"/>
      <w:r>
        <w:rPr>
          <w:rStyle w:val="2Char"/>
          <w:rFonts w:ascii="黑体" w:eastAsia="黑体" w:cs="黑体" w:hAnsi="黑体" w:hint="eastAsia"/>
          <w:b w:val="0"/>
          <w:bCs w:val="0"/>
          <w:sz w:val="32"/>
          <w:szCs w:val="32"/>
        </w:rPr>
        <w:t>主要职责</w:t>
      </w:r>
      <w:bookmarkEnd w:id="18"/>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val="en-US" w:eastAsia="zh-CN"/>
        </w:rPr>
        <w:t>１．</w:t>
      </w:r>
      <w:r>
        <w:rPr>
          <w:rFonts w:ascii="仿宋" w:eastAsia="仿宋" w:cs="仿宋" w:hAnsi="仿宋" w:hint="eastAsia"/>
          <w:color w:val="auto"/>
          <w:sz w:val="32"/>
          <w:szCs w:val="32"/>
        </w:rPr>
        <w:t>负责区政府全体会议、常务会议、新闻发布会、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公室主任会议办理和议定事项的跟踪落实；负责区政府办公室机关综合性文稿起草；负责会议室和会务人员管理。</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val="en-US" w:eastAsia="zh-CN"/>
        </w:rPr>
        <w:t>２．</w:t>
      </w:r>
      <w:r>
        <w:rPr>
          <w:rFonts w:ascii="仿宋" w:eastAsia="仿宋" w:cs="仿宋" w:hAnsi="仿宋" w:hint="eastAsia"/>
          <w:color w:val="auto"/>
          <w:sz w:val="32"/>
          <w:szCs w:val="32"/>
        </w:rPr>
        <w:t>承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指导、监督全区政府机关电子政务外网的规划、建设、技术与安全保障；负责区政府有关会议、活动的多媒体技术服务工作。负责区政府门户网站的建设和运行管理工作。</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val="en-US" w:eastAsia="zh-CN"/>
        </w:rPr>
        <w:t>３．</w:t>
      </w:r>
      <w:r>
        <w:rPr>
          <w:rFonts w:ascii="仿宋" w:eastAsia="仿宋" w:cs="仿宋" w:hAnsi="仿宋" w:hint="eastAsia"/>
          <w:color w:val="auto"/>
          <w:sz w:val="32"/>
          <w:szCs w:val="32"/>
        </w:rPr>
        <w:t>指导全区公务车辆编制的申报工作；指导公共机构节约能源资源管理工作；负责区政府办公室机关行政效能建设工作；负责区政府办公室依法行政工作，办理区政府办公室涉法事务；牵头办理涉及区政府办公室的区人大代表建议、区政协委员提案；负责区长信箱的办理。</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lang w:val="en-US" w:eastAsia="zh-CN"/>
        </w:rPr>
      </w:pPr>
      <w:r>
        <w:rPr>
          <w:rFonts w:ascii="仿宋" w:eastAsia="仿宋" w:cs="仿宋" w:hAnsi="仿宋" w:hint="eastAsia"/>
          <w:color w:val="auto"/>
          <w:sz w:val="32"/>
          <w:szCs w:val="32"/>
        </w:rPr>
        <w:t>拟订深化行政审批制度改革的政策、制度、办法和标准并组织实施；指导、协调、监督并推进全区行政审批制度改革工作，对区级部门（单位）取消、保留或调整的行政审批事项进行组织协调、监督，实施动态管理；组织开展对深化行政审批制度改革的调查研究、评估分析；承担区深化行政审批制度改革领导小组办公室具体工作。</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val="en-US" w:eastAsia="zh-CN"/>
        </w:rPr>
        <w:t>４．</w:t>
      </w:r>
      <w:r>
        <w:rPr>
          <w:rFonts w:ascii="仿宋" w:eastAsia="仿宋" w:cs="仿宋" w:hAnsi="仿宋" w:hint="eastAsia"/>
          <w:color w:val="auto"/>
          <w:sz w:val="32"/>
          <w:szCs w:val="32"/>
        </w:rPr>
        <w:t>贯彻执行金融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rPr>
        <w:t>贯彻执行国家有关民营经济发展方面的方针、政策和法律、法规，拟订全区促进民营经济发展的政策规定；制订全区民营经济发</w:t>
      </w:r>
      <w:bookmarkStart w:id="21" w:name="_GoBack"/>
      <w:bookmarkEnd w:id="21"/>
      <w:r>
        <w:rPr>
          <w:rFonts w:ascii="仿宋" w:eastAsia="仿宋" w:cs="仿宋" w:hAnsi="仿宋" w:hint="eastAsia"/>
          <w:color w:val="auto"/>
          <w:sz w:val="32"/>
          <w:szCs w:val="32"/>
        </w:rPr>
        <w:t>展工作目标，督促、检查民营经济发展工作落实情况；指导全区民营经济发展等工作。</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val="en-US" w:eastAsia="zh-CN"/>
        </w:rPr>
        <w:t>５．</w:t>
      </w:r>
      <w:r>
        <w:rPr>
          <w:rFonts w:ascii="仿宋" w:eastAsia="仿宋" w:cs="仿宋" w:hAnsi="仿宋" w:hint="eastAsia"/>
          <w:color w:val="auto"/>
          <w:sz w:val="32"/>
          <w:szCs w:val="32"/>
        </w:rPr>
        <w:t>负责区政府值班日常事务，督促、指导乡镇（街道）和区政府部门值班工作，及时报告重要情况；负责突发事件信息接收上报、来文来电接转及上传下达工作；负责区政府办公室领导交办的其他工作。</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val="en-US" w:eastAsia="zh-CN"/>
        </w:rPr>
        <w:t>６．</w:t>
      </w:r>
      <w:r>
        <w:rPr>
          <w:rFonts w:ascii="仿宋" w:eastAsia="仿宋" w:cs="仿宋" w:hAnsi="仿宋" w:hint="eastAsia"/>
          <w:color w:val="auto"/>
          <w:sz w:val="32"/>
          <w:szCs w:val="32"/>
        </w:rPr>
        <w:t>负责起草《政府工作报告》和区政府主要领导的综合性讲话、文稿以及区政府向市委、市政府和区委的汇报材料；参与起草区政府的综合性文件和重要会议文件；负责开展重大问题的调查研究、决策咨询和区政府重大决策部署落实情况的跟踪调研；及时分析国内外经济形势并提出政策建议；整理报送经济发展方面的重要信息、动态；对全区政府系统调查研究和决策咨询工作进行业务指导。</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color w:val="auto"/>
          <w:sz w:val="32"/>
          <w:szCs w:val="32"/>
          <w:lang w:val="en-US" w:eastAsia="zh-CN"/>
        </w:rPr>
        <w:t>７．</w:t>
      </w:r>
      <w:r>
        <w:rPr>
          <w:rFonts w:ascii="仿宋" w:eastAsia="仿宋" w:cs="仿宋" w:hAnsi="仿宋" w:hint="eastAsia"/>
          <w:color w:val="auto"/>
          <w:sz w:val="32"/>
          <w:szCs w:val="32"/>
        </w:rPr>
        <w:t>负责区政府办公室财务、固定资产、日常采购和车辆管理工作；负责区政府办公室公务接待工作和区政府办公室党组会议、职工会议的会务工作；负责区政府、区政府办公室机关安全保卫工作；负责报刊杂志征订与管理；负责区政府办公室的机构编制和人事管理、绩效目标管理和劳动工资等工作；负责创“四好”领导班子日常工作；负责离退休人员的服务管理工作。贯彻落实地方志工作的法律、法规、政策决定，制定落实措施；负责拟制地方志工作规划和编纂方案；指导、检查地方志业务工作。</w:t>
      </w:r>
    </w:p>
    <w:p>
      <w:pPr>
        <w:pStyle w:val="2"/>
        <w:keepNext/>
        <w:keepLines/>
        <w:pageBreakBefore w:val="0"/>
        <w:numPr>
          <w:ilvl w:val="0"/>
          <w:numId w:val="1"/>
        </w:numPr>
        <w:kinsoku/>
        <w:wordWrap/>
        <w:topLinePunct w:val="0"/>
        <w:bidi w:val="0"/>
        <w:spacing w:before="0" w:after="0" w:line="576" w:lineRule="exact"/>
        <w:ind w:left="0" w:firstLine="0"/>
        <w:textAlignment w:val="auto"/>
        <w:rPr>
          <w:rFonts w:ascii="黑体" w:eastAsia="黑体" w:cs="黑体" w:hAnsi="黑体" w:hint="eastAsia"/>
          <w:b w:val="0"/>
          <w:sz w:val="32"/>
          <w:szCs w:val="32"/>
        </w:rPr>
      </w:pPr>
      <w:bookmarkStart w:id="22" w:name="_Toc5675"/>
      <w:r>
        <w:rPr>
          <w:rFonts w:ascii="黑体" w:eastAsia="黑体" w:cs="黑体" w:hAnsi="黑体" w:hint="eastAsia"/>
          <w:b w:val="0"/>
          <w:sz w:val="32"/>
          <w:szCs w:val="32"/>
        </w:rPr>
        <w:t>机构设置</w:t>
      </w:r>
      <w:bookmarkEnd w:id="22"/>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lang w:eastAsia="zh-CN"/>
        </w:rPr>
        <w:t>区政府办</w:t>
      </w:r>
      <w:r>
        <w:rPr>
          <w:rFonts w:ascii="仿宋" w:eastAsia="仿宋" w:cs="仿宋" w:hAnsi="仿宋" w:hint="eastAsia"/>
          <w:color w:val="auto"/>
          <w:sz w:val="32"/>
          <w:szCs w:val="32"/>
        </w:rPr>
        <w:t>下属二级单位</w:t>
      </w:r>
      <w:r>
        <w:rPr>
          <w:rFonts w:ascii="仿宋" w:eastAsia="仿宋" w:cs="仿宋" w:hAnsi="仿宋" w:hint="eastAsia"/>
          <w:color w:val="auto"/>
          <w:sz w:val="32"/>
          <w:szCs w:val="32"/>
          <w:lang w:val="en-US" w:eastAsia="zh-CN"/>
        </w:rPr>
        <w:t>3</w:t>
      </w:r>
      <w:r>
        <w:rPr>
          <w:rFonts w:ascii="仿宋" w:eastAsia="仿宋" w:cs="仿宋" w:hAnsi="仿宋" w:hint="eastAsia"/>
          <w:color w:val="auto"/>
          <w:sz w:val="32"/>
          <w:szCs w:val="32"/>
        </w:rPr>
        <w:t>个，其中行政单位</w:t>
      </w:r>
      <w:r>
        <w:rPr>
          <w:rFonts w:ascii="仿宋" w:eastAsia="仿宋" w:cs="仿宋" w:hAnsi="仿宋" w:hint="eastAsia"/>
          <w:color w:val="auto"/>
          <w:sz w:val="32"/>
          <w:szCs w:val="32"/>
          <w:lang w:val="en-US" w:eastAsia="zh-CN"/>
        </w:rPr>
        <w:t>0</w:t>
      </w:r>
      <w:r>
        <w:rPr>
          <w:rFonts w:ascii="仿宋" w:eastAsia="仿宋" w:cs="仿宋" w:hAnsi="仿宋" w:hint="eastAsia"/>
          <w:color w:val="auto"/>
          <w:sz w:val="32"/>
          <w:szCs w:val="32"/>
        </w:rPr>
        <w:t>个，参照公务员法管理的事业单位</w:t>
      </w: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rPr>
        <w:t>个，其他事业单位</w:t>
      </w:r>
      <w:r>
        <w:rPr>
          <w:rFonts w:ascii="仿宋" w:eastAsia="仿宋" w:cs="仿宋" w:hAnsi="仿宋" w:hint="eastAsia"/>
          <w:color w:val="auto"/>
          <w:sz w:val="32"/>
          <w:szCs w:val="32"/>
          <w:lang w:val="en-US" w:eastAsia="zh-CN"/>
        </w:rPr>
        <w:t>2</w:t>
      </w:r>
      <w:r>
        <w:rPr>
          <w:rFonts w:ascii="仿宋" w:eastAsia="仿宋" w:cs="仿宋" w:hAnsi="仿宋" w:hint="eastAsia"/>
          <w:color w:val="auto"/>
          <w:sz w:val="32"/>
          <w:szCs w:val="32"/>
        </w:rPr>
        <w:t>个。</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lang w:val="en-US" w:eastAsia="zh-CN"/>
        </w:rPr>
      </w:pPr>
      <w:r>
        <w:rPr>
          <w:rFonts w:ascii="仿宋" w:eastAsia="仿宋" w:cs="仿宋" w:hAnsi="仿宋" w:hint="eastAsia"/>
          <w:color w:val="auto"/>
          <w:sz w:val="32"/>
          <w:szCs w:val="32"/>
        </w:rPr>
        <w:t>纳入</w:t>
      </w:r>
      <w:r>
        <w:rPr>
          <w:rFonts w:ascii="仿宋" w:eastAsia="仿宋" w:cs="仿宋" w:hAnsi="仿宋" w:hint="eastAsia"/>
          <w:color w:val="auto"/>
          <w:sz w:val="32"/>
          <w:szCs w:val="32"/>
          <w:lang w:eastAsia="zh-CN"/>
        </w:rPr>
        <w:t>区政府办</w:t>
      </w:r>
      <w:r>
        <w:rPr>
          <w:rFonts w:ascii="仿宋" w:eastAsia="仿宋" w:cs="仿宋" w:hAnsi="仿宋" w:hint="eastAsia"/>
          <w:color w:val="auto"/>
          <w:sz w:val="32"/>
          <w:szCs w:val="32"/>
        </w:rPr>
        <w:t>20</w:t>
      </w:r>
      <w:r>
        <w:rPr>
          <w:rFonts w:ascii="仿宋" w:eastAsia="仿宋" w:cs="仿宋" w:hAnsi="仿宋" w:hint="eastAsia"/>
          <w:color w:val="auto"/>
          <w:sz w:val="32"/>
          <w:szCs w:val="32"/>
          <w:lang w:val="en-US" w:eastAsia="zh-CN"/>
        </w:rPr>
        <w:t>22</w:t>
      </w:r>
      <w:r>
        <w:rPr>
          <w:rFonts w:ascii="仿宋" w:eastAsia="仿宋" w:cs="仿宋" w:hAnsi="仿宋" w:hint="eastAsia"/>
          <w:color w:val="auto"/>
          <w:sz w:val="32"/>
          <w:szCs w:val="32"/>
        </w:rPr>
        <w:t>年度部门决算编制范围的二级预算单位包括：</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lang w:eastAsia="zh-CN"/>
        </w:rPr>
        <w:t>广元市利州区地方志</w:t>
      </w:r>
      <w:r>
        <w:rPr>
          <w:rFonts w:ascii="仿宋" w:eastAsia="仿宋" w:cs="仿宋" w:hAnsi="仿宋" w:hint="eastAsia"/>
          <w:color w:val="auto"/>
          <w:sz w:val="32"/>
          <w:szCs w:val="32"/>
          <w:lang w:eastAsia="zh-CN"/>
        </w:rPr>
        <w:t>编纂</w:t>
      </w:r>
      <w:r>
        <w:rPr>
          <w:rFonts w:ascii="仿宋" w:eastAsia="仿宋" w:cs="仿宋" w:hAnsi="仿宋" w:hint="eastAsia"/>
          <w:color w:val="auto"/>
          <w:sz w:val="32"/>
          <w:szCs w:val="32"/>
          <w:lang w:eastAsia="zh-CN"/>
        </w:rPr>
        <w:t>中心</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val="en-US" w:eastAsia="zh-CN"/>
        </w:rPr>
        <w:t>2．广元市利州</w:t>
      </w:r>
      <w:r>
        <w:rPr>
          <w:rFonts w:ascii="仿宋" w:eastAsia="仿宋" w:cs="仿宋" w:hAnsi="仿宋" w:hint="eastAsia"/>
          <w:color w:val="auto"/>
          <w:sz w:val="32"/>
          <w:szCs w:val="32"/>
          <w:lang w:eastAsia="zh-CN"/>
        </w:rPr>
        <w:t>区人民政府电子政务外网管理中心</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auto"/>
          <w:sz w:val="32"/>
          <w:szCs w:val="32"/>
          <w:lang w:val="en-US" w:eastAsia="zh-CN"/>
        </w:rPr>
      </w:pPr>
      <w:r>
        <w:rPr>
          <w:rFonts w:ascii="仿宋" w:eastAsia="仿宋" w:cs="仿宋" w:hAnsi="仿宋" w:hint="eastAsia"/>
          <w:color w:val="auto"/>
          <w:sz w:val="32"/>
          <w:szCs w:val="32"/>
          <w:lang w:val="en-US" w:eastAsia="zh-CN"/>
        </w:rPr>
        <w:t>3．广元市利州区民营经济发展中心</w:t>
      </w:r>
    </w:p>
    <w:p>
      <w:pPr>
        <w:pStyle w:val="19"/>
        <w:rPr>
          <w:lang w:val="en-US" w:eastAsia="zh-CN"/>
        </w:rPr>
      </w:pPr>
    </w:p>
    <w:p>
      <w:pPr>
        <w:pageBreakBefore w:val="0"/>
        <w:widowControl/>
        <w:kinsoku/>
        <w:wordWrap/>
        <w:topLinePunct w:val="0"/>
        <w:bidi w:val="0"/>
        <w:spacing w:line="576" w:lineRule="exact"/>
        <w:jc w:val="center"/>
        <w:textAlignment w:val="auto"/>
        <w:outlineLvl w:val="0"/>
        <w:rPr>
          <w:rStyle w:val="1Char"/>
          <w:rFonts w:ascii="黑体" w:eastAsia="黑体" w:cs="黑体" w:hAnsi="黑体" w:hint="eastAsia"/>
          <w:b w:val="0"/>
          <w:bCs/>
          <w:sz w:val="44"/>
          <w:szCs w:val="44"/>
        </w:rPr>
      </w:pPr>
      <w:bookmarkStart w:id="23" w:name="_Toc15396602"/>
      <w:bookmarkStart w:id="24" w:name="_Toc15377204"/>
      <w:bookmarkStart w:id="25" w:name="_Toc7578"/>
      <w:bookmarkEnd w:id="19"/>
      <w:bookmarkEnd w:id="20"/>
      <w:r>
        <w:rPr>
          <w:rStyle w:val="1Char"/>
          <w:rFonts w:ascii="黑体" w:eastAsia="黑体" w:cs="黑体" w:hAnsi="黑体" w:hint="eastAsia"/>
          <w:b w:val="0"/>
          <w:bCs/>
          <w:sz w:val="44"/>
          <w:szCs w:val="44"/>
        </w:rPr>
        <w:t>第二部分 2023年度单位决算情况说明</w:t>
      </w:r>
      <w:bookmarkEnd w:id="23"/>
      <w:bookmarkEnd w:id="24"/>
      <w:bookmarkEnd w:id="25"/>
    </w:p>
    <w:p>
      <w:pPr>
        <w:pageBreakBefore w:val="0"/>
        <w:widowControl w:val="0"/>
        <w:kinsoku/>
        <w:wordWrap/>
        <w:topLinePunct w:val="0"/>
        <w:bidi w:val="0"/>
        <w:spacing w:line="576" w:lineRule="exact"/>
        <w:textAlignment w:val="auto"/>
        <w:rPr>
          <w:rFonts w:ascii="仿宋" w:eastAsia="仿宋" w:cs="仿宋" w:hAnsi="仿宋" w:hint="eastAsia"/>
          <w:sz w:val="32"/>
          <w:szCs w:val="32"/>
        </w:rPr>
      </w:pPr>
    </w:p>
    <w:p>
      <w:pPr>
        <w:pStyle w:val="33"/>
        <w:pageBreakBefore w:val="0"/>
        <w:widowControl w:val="0"/>
        <w:numPr>
          <w:ilvl w:val="0"/>
          <w:numId w:val="2"/>
        </w:numPr>
        <w:kinsoku/>
        <w:wordWrap/>
        <w:topLinePunct w:val="0"/>
        <w:bidi w:val="0"/>
        <w:spacing w:line="576" w:lineRule="exact"/>
        <w:ind w:firstLineChars="0"/>
        <w:textAlignment w:val="auto"/>
        <w:outlineLvl w:val="1"/>
        <w:rPr>
          <w:rStyle w:val="2Char"/>
          <w:rFonts w:ascii="黑体" w:eastAsia="黑体" w:cs="黑体" w:hAnsi="黑体" w:hint="eastAsia"/>
          <w:b w:val="0"/>
          <w:sz w:val="32"/>
          <w:szCs w:val="32"/>
        </w:rPr>
      </w:pPr>
      <w:bookmarkStart w:id="26" w:name="_Toc15377205"/>
      <w:bookmarkStart w:id="27" w:name="_Toc15396603"/>
      <w:bookmarkStart w:id="28" w:name="_Toc10840"/>
      <w:r>
        <w:rPr>
          <w:rFonts w:ascii="黑体" w:eastAsia="黑体" w:cs="黑体" w:hAnsi="黑体" w:hint="eastAsia"/>
          <w:sz w:val="32"/>
          <w:szCs w:val="32"/>
        </w:rPr>
        <w:t>收</w:t>
      </w:r>
      <w:r>
        <w:rPr>
          <w:rStyle w:val="2Char"/>
          <w:rFonts w:ascii="黑体" w:eastAsia="黑体" w:cs="黑体" w:hAnsi="黑体" w:hint="eastAsia"/>
          <w:b w:val="0"/>
          <w:sz w:val="32"/>
          <w:szCs w:val="32"/>
        </w:rPr>
        <w:t>入支出决算总体情况说明</w:t>
      </w:r>
      <w:bookmarkEnd w:id="26"/>
      <w:bookmarkEnd w:id="27"/>
      <w:bookmarkEnd w:id="28"/>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2023年度收、支总计均为1237.85万元。与2022年度相比，收、支总计各增加</w:t>
      </w:r>
      <w:r>
        <w:rPr>
          <w:rFonts w:ascii="仿宋" w:eastAsia="仿宋" w:cs="仿宋" w:hAnsi="仿宋" w:hint="eastAsia"/>
          <w:sz w:val="32"/>
          <w:szCs w:val="32"/>
          <w:lang w:val="en-US" w:eastAsia="zh-CN"/>
        </w:rPr>
        <w:t>9.81</w:t>
      </w:r>
      <w:r>
        <w:rPr>
          <w:rFonts w:ascii="仿宋" w:eastAsia="仿宋" w:cs="仿宋" w:hAnsi="仿宋" w:hint="eastAsia"/>
          <w:sz w:val="32"/>
          <w:szCs w:val="32"/>
        </w:rPr>
        <w:t>万元，增长</w:t>
      </w:r>
      <w:r>
        <w:rPr>
          <w:rFonts w:ascii="仿宋" w:eastAsia="仿宋" w:cs="仿宋" w:hAnsi="仿宋" w:hint="eastAsia"/>
          <w:sz w:val="32"/>
          <w:szCs w:val="32"/>
          <w:lang w:val="en-US" w:eastAsia="zh-CN"/>
        </w:rPr>
        <w:t>0.8</w:t>
      </w:r>
      <w:r>
        <w:rPr>
          <w:rFonts w:ascii="仿宋" w:eastAsia="仿宋" w:cs="仿宋" w:hAnsi="仿宋" w:hint="eastAsia"/>
          <w:sz w:val="32"/>
          <w:szCs w:val="32"/>
        </w:rPr>
        <w:t>%。主要变动原因是</w:t>
      </w:r>
      <w:r>
        <w:rPr>
          <w:rFonts w:ascii="仿宋" w:eastAsia="仿宋" w:cs="仿宋" w:hAnsi="仿宋" w:hint="eastAsia"/>
          <w:sz w:val="32"/>
          <w:szCs w:val="32"/>
          <w:lang w:eastAsia="zh-CN"/>
        </w:rPr>
        <w:t>人员变动导致人员和公用经费、专项业务经费的变动</w:t>
      </w:r>
      <w:r>
        <w:rPr>
          <w:rFonts w:ascii="仿宋" w:eastAsia="仿宋" w:cs="仿宋" w:hAnsi="仿宋" w:hint="eastAsia"/>
          <w:sz w:val="32"/>
          <w:szCs w:val="32"/>
        </w:rPr>
        <w:t>。</w:t>
      </w:r>
    </w:p>
    <w:p>
      <w:pPr>
        <w:pageBreakBefore w:val="0"/>
        <w:widowControl w:val="0"/>
        <w:kinsoku/>
        <w:wordWrap/>
        <w:topLinePunct w:val="0"/>
        <w:bidi w:val="0"/>
        <w:spacing w:line="576" w:lineRule="exact"/>
        <w:ind w:firstLineChars="200" w:firstLine="420"/>
        <w:jc w:val="left"/>
        <w:textAlignment w:val="auto"/>
        <w:rPr>
          <w:rFonts w:ascii="仿宋" w:eastAsia="仿宋" w:cs="仿宋" w:hAnsi="仿宋" w:hint="eastAsia"/>
          <w:sz w:val="32"/>
          <w:szCs w:val="32"/>
        </w:rPr>
      </w:pPr>
      <w:r>
        <w:drawing>
          <wp:anchor distT="0" distB="0" distL="114300" distR="114300" simplePos="0" relativeHeight="20" behindDoc="0" locked="0" layoutInCell="1" hidden="0" allowOverlap="1">
            <wp:simplePos x="0" y="0"/>
            <wp:positionH relativeFrom="column">
              <wp:posOffset>385445</wp:posOffset>
            </wp:positionH>
            <wp:positionV relativeFrom="paragraph">
              <wp:posOffset>211455</wp:posOffset>
            </wp:positionV>
            <wp:extent cx="4572000" cy="2743200"/>
            <wp:effectExtent l="4444" t="4444" r="14604" b="14604"/>
            <wp:wrapTopAndBottom/>
            <wp:docPr id="2" name="图表 3"/>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33"/>
        <w:pageBreakBefore w:val="0"/>
        <w:widowControl w:val="0"/>
        <w:numPr>
          <w:ilvl w:val="0"/>
          <w:numId w:val="2"/>
        </w:numPr>
        <w:kinsoku/>
        <w:wordWrap/>
        <w:topLinePunct w:val="0"/>
        <w:bidi w:val="0"/>
        <w:spacing w:line="576" w:lineRule="exact"/>
        <w:ind w:firstLineChars="0"/>
        <w:textAlignment w:val="auto"/>
        <w:outlineLvl w:val="1"/>
        <w:rPr>
          <w:rStyle w:val="2Char"/>
          <w:rFonts w:ascii="黑体" w:eastAsia="黑体" w:cs="黑体" w:hAnsi="黑体" w:hint="eastAsia"/>
          <w:b w:val="0"/>
          <w:sz w:val="32"/>
          <w:szCs w:val="32"/>
        </w:rPr>
      </w:pPr>
      <w:bookmarkStart w:id="29" w:name="_Toc15396604"/>
      <w:bookmarkStart w:id="30" w:name="_Toc15377206"/>
      <w:bookmarkStart w:id="31" w:name="_Toc13165"/>
      <w:r>
        <w:rPr>
          <w:rFonts w:ascii="黑体" w:eastAsia="黑体" w:cs="黑体" w:hAnsi="黑体" w:hint="eastAsia"/>
          <w:sz w:val="32"/>
          <w:szCs w:val="32"/>
        </w:rPr>
        <w:t>收</w:t>
      </w:r>
      <w:r>
        <w:rPr>
          <w:rStyle w:val="2Char"/>
          <w:rFonts w:ascii="黑体" w:eastAsia="黑体" w:cs="黑体" w:hAnsi="黑体" w:hint="eastAsia"/>
          <w:b w:val="0"/>
          <w:sz w:val="32"/>
          <w:szCs w:val="32"/>
        </w:rPr>
        <w:t>入决算情况说明</w:t>
      </w:r>
      <w:bookmarkEnd w:id="29"/>
      <w:bookmarkEnd w:id="30"/>
      <w:bookmarkEnd w:id="31"/>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lang w:eastAsia="zh-CN"/>
        </w:rPr>
      </w:pPr>
      <w:bookmarkStart w:id="32" w:name="_Toc11422"/>
      <w:bookmarkStart w:id="33" w:name="_Toc23174"/>
      <w:r>
        <w:rPr>
          <w:rFonts w:ascii="仿宋" w:eastAsia="仿宋" w:cs="仿宋" w:hAnsi="仿宋" w:hint="eastAsia"/>
          <w:sz w:val="32"/>
          <w:szCs w:val="32"/>
        </w:rPr>
        <w:t>2023年度本年收入合计1237.85万元，其中：一般公共预算财政拨款收入1237.85万元，占100%</w:t>
      </w:r>
      <w:bookmarkEnd w:id="32"/>
      <w:bookmarkEnd w:id="33"/>
      <w:r>
        <w:rPr>
          <w:rFonts w:ascii="仿宋" w:eastAsia="仿宋" w:cs="仿宋" w:hAnsi="仿宋" w:hint="eastAsia"/>
          <w:sz w:val="32"/>
          <w:szCs w:val="32"/>
          <w:lang w:eastAsia="zh-CN"/>
        </w:rPr>
        <w:t>。</w:t>
      </w:r>
    </w:p>
    <w:p>
      <w:pPr>
        <w:pStyle w:val="19"/>
        <w:pageBreakBefore w:val="0"/>
        <w:widowControl w:val="0"/>
        <w:kinsoku/>
        <w:wordWrap/>
        <w:topLinePunct w:val="0"/>
        <w:bidi w:val="0"/>
        <w:spacing w:after="0" w:line="576" w:lineRule="exact"/>
        <w:rPr>
          <w:rFonts w:hint="eastAsia"/>
        </w:rPr>
      </w:pPr>
      <w:r>
        <w:drawing>
          <wp:anchor distT="0" distB="0" distL="114300" distR="114300" simplePos="0" relativeHeight="24" behindDoc="0" locked="0" layoutInCell="1" hidden="0" allowOverlap="1">
            <wp:simplePos x="0" y="0"/>
            <wp:positionH relativeFrom="column">
              <wp:posOffset>204470</wp:posOffset>
            </wp:positionH>
            <wp:positionV relativeFrom="paragraph">
              <wp:posOffset>61594</wp:posOffset>
            </wp:positionV>
            <wp:extent cx="4114800" cy="2534920"/>
            <wp:effectExtent l="4444" t="4444" r="14604" b="13335"/>
            <wp:wrapTopAndBottom/>
            <wp:docPr id="7" name="图表 6"/>
            <wp:cNvGraphicFramePr>
              <a:graphicFrameLocks noChangeAspect="0"/>
            </wp:cNvGraphicFramePr>
            <a:graphic>
              <a:graphicData uri="http://schemas.openxmlformats.org/drawingml/2006/chart">
                <c:chart xmlns:c="http://schemas.openxmlformats.org/drawingml/2006/chart" r:id="rId8"/>
              </a:graphicData>
            </a:graphic>
          </wp:anchor>
        </w:drawing>
      </w:r>
    </w:p>
    <w:p>
      <w:pPr>
        <w:pStyle w:val="33"/>
        <w:pageBreakBefore w:val="0"/>
        <w:widowControl w:val="0"/>
        <w:numPr>
          <w:ilvl w:val="0"/>
          <w:numId w:val="2"/>
        </w:numPr>
        <w:kinsoku/>
        <w:wordWrap/>
        <w:topLinePunct w:val="0"/>
        <w:bidi w:val="0"/>
        <w:spacing w:line="576" w:lineRule="exact"/>
        <w:ind w:firstLineChars="0"/>
        <w:textAlignment w:val="auto"/>
        <w:outlineLvl w:val="1"/>
        <w:rPr>
          <w:rStyle w:val="2Char"/>
          <w:rFonts w:ascii="黑体" w:eastAsia="黑体" w:cs="黑体" w:hAnsi="黑体" w:hint="eastAsia"/>
          <w:b w:val="0"/>
          <w:sz w:val="32"/>
          <w:szCs w:val="32"/>
        </w:rPr>
      </w:pPr>
      <w:bookmarkStart w:id="34" w:name="_Toc15377207"/>
      <w:bookmarkStart w:id="35" w:name="_Toc245"/>
      <w:bookmarkStart w:id="36" w:name="_Toc15396605"/>
      <w:r>
        <w:rPr>
          <w:rFonts w:ascii="黑体" w:eastAsia="黑体" w:cs="黑体" w:hAnsi="黑体" w:hint="eastAsia"/>
          <w:sz w:val="32"/>
          <w:szCs w:val="32"/>
        </w:rPr>
        <w:t>支</w:t>
      </w:r>
      <w:r>
        <w:rPr>
          <w:rStyle w:val="2Char"/>
          <w:rFonts w:ascii="黑体" w:eastAsia="黑体" w:cs="黑体" w:hAnsi="黑体" w:hint="eastAsia"/>
          <w:b w:val="0"/>
          <w:sz w:val="32"/>
          <w:szCs w:val="32"/>
        </w:rPr>
        <w:t>出决算情况说明</w:t>
      </w:r>
      <w:bookmarkEnd w:id="34"/>
      <w:bookmarkEnd w:id="35"/>
      <w:bookmarkEnd w:id="36"/>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bookmarkStart w:id="37" w:name="_Toc4583"/>
      <w:bookmarkStart w:id="38" w:name="_Toc2790"/>
      <w:r>
        <w:rPr>
          <w:rFonts w:ascii="仿宋" w:eastAsia="仿宋" w:cs="仿宋" w:hAnsi="仿宋" w:hint="eastAsia"/>
          <w:sz w:val="32"/>
          <w:szCs w:val="32"/>
        </w:rPr>
        <w:t>2023年度本年支出合计1237.85万元，其中：基本支出819.04万元，占66.16%；项目支出418.81万元，占33.83%。</w:t>
      </w:r>
      <w:bookmarkEnd w:id="37"/>
      <w:bookmarkEnd w:id="38"/>
    </w:p>
    <w:p>
      <w:pPr>
        <w:pageBreakBefore w:val="0"/>
        <w:widowControl w:val="0"/>
        <w:kinsoku/>
        <w:wordWrap/>
        <w:topLinePunct w:val="0"/>
        <w:bidi w:val="0"/>
        <w:spacing w:line="576" w:lineRule="exact"/>
        <w:ind w:firstLineChars="200" w:firstLine="420"/>
        <w:textAlignment w:val="auto"/>
        <w:outlineLvl w:val="1"/>
        <w:rPr>
          <w:rStyle w:val="2Char"/>
          <w:rFonts w:ascii="黑体" w:eastAsia="黑体" w:cs="黑体" w:hAnsi="黑体" w:hint="eastAsia"/>
          <w:b w:val="0"/>
          <w:sz w:val="32"/>
          <w:szCs w:val="32"/>
        </w:rPr>
      </w:pPr>
      <w:bookmarkStart w:id="39" w:name="_Toc15377208"/>
      <w:bookmarkStart w:id="40" w:name="_Toc15396606"/>
      <w:bookmarkStart w:id="41" w:name="_Toc14841"/>
      <w:r>
        <w:drawing>
          <wp:anchor distT="0" distB="0" distL="114300" distR="114300" simplePos="0" relativeHeight="22" behindDoc="0" locked="0" layoutInCell="1" hidden="0" allowOverlap="1">
            <wp:simplePos x="0" y="0"/>
            <wp:positionH relativeFrom="column">
              <wp:posOffset>499110</wp:posOffset>
            </wp:positionH>
            <wp:positionV relativeFrom="paragraph">
              <wp:posOffset>137160</wp:posOffset>
            </wp:positionV>
            <wp:extent cx="4296409" cy="2114550"/>
            <wp:effectExtent l="4444" t="4444" r="23495" b="14604"/>
            <wp:wrapTopAndBottom/>
            <wp:docPr id="3" name="图表 6"/>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黑体" w:eastAsia="黑体" w:cs="黑体" w:hAnsi="黑体" w:hint="eastAsia"/>
          <w:sz w:val="32"/>
          <w:szCs w:val="32"/>
        </w:rPr>
        <w:t>四、财</w:t>
      </w:r>
      <w:r>
        <w:rPr>
          <w:rStyle w:val="2Char"/>
          <w:rFonts w:ascii="黑体" w:eastAsia="黑体" w:cs="黑体" w:hAnsi="黑体" w:hint="eastAsia"/>
          <w:b w:val="0"/>
          <w:sz w:val="32"/>
          <w:szCs w:val="32"/>
        </w:rPr>
        <w:t>政拨款收入支出决算总体情况说明</w:t>
      </w:r>
      <w:bookmarkEnd w:id="39"/>
      <w:bookmarkEnd w:id="40"/>
      <w:bookmarkEnd w:id="41"/>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2023年度财政拨款收、支总计均为1237.85万元。与2022年度相比，财政拨款收、支总计各增加</w:t>
      </w:r>
      <w:r>
        <w:rPr>
          <w:rFonts w:ascii="仿宋" w:eastAsia="仿宋" w:cs="仿宋" w:hAnsi="仿宋" w:hint="eastAsia"/>
          <w:sz w:val="32"/>
          <w:szCs w:val="32"/>
          <w:lang w:val="en-US" w:eastAsia="zh-CN"/>
        </w:rPr>
        <w:t>9.81</w:t>
      </w:r>
      <w:r>
        <w:rPr>
          <w:rFonts w:ascii="仿宋" w:eastAsia="仿宋" w:cs="仿宋" w:hAnsi="仿宋" w:hint="eastAsia"/>
          <w:sz w:val="32"/>
          <w:szCs w:val="32"/>
        </w:rPr>
        <w:t>万元，增长</w:t>
      </w:r>
      <w:r>
        <w:rPr>
          <w:rFonts w:ascii="仿宋" w:eastAsia="仿宋" w:cs="仿宋" w:hAnsi="仿宋" w:hint="eastAsia"/>
          <w:sz w:val="32"/>
          <w:szCs w:val="32"/>
          <w:lang w:val="en-US" w:eastAsia="zh-CN"/>
        </w:rPr>
        <w:t>0.8</w:t>
      </w:r>
      <w:r>
        <w:rPr>
          <w:rFonts w:ascii="仿宋" w:eastAsia="仿宋" w:cs="仿宋" w:hAnsi="仿宋" w:hint="eastAsia"/>
          <w:sz w:val="32"/>
          <w:szCs w:val="32"/>
        </w:rPr>
        <w:t>%。主要变动原因是</w:t>
      </w:r>
      <w:r>
        <w:rPr>
          <w:rFonts w:ascii="仿宋" w:eastAsia="仿宋" w:cs="仿宋" w:hAnsi="仿宋" w:hint="eastAsia"/>
          <w:sz w:val="32"/>
          <w:szCs w:val="32"/>
          <w:lang w:eastAsia="zh-CN"/>
        </w:rPr>
        <w:t>人员变动导致人员和公用经费、专项业务经费的变动。</w:t>
      </w:r>
    </w:p>
    <w:p>
      <w:pPr>
        <w:pageBreakBefore w:val="0"/>
        <w:widowControl w:val="0"/>
        <w:kinsoku/>
        <w:wordWrap/>
        <w:topLinePunct w:val="0"/>
        <w:bidi w:val="0"/>
        <w:spacing w:line="576" w:lineRule="exact"/>
        <w:textAlignment w:val="auto"/>
        <w:outlineLvl w:val="9"/>
        <w:rPr>
          <w:rFonts w:ascii="黑体" w:eastAsia="黑体" w:cs="黑体" w:hAnsi="黑体" w:hint="eastAsia"/>
          <w:sz w:val="32"/>
          <w:szCs w:val="32"/>
        </w:rPr>
      </w:pPr>
      <w:bookmarkStart w:id="42" w:name="_Toc15377209"/>
      <w:bookmarkStart w:id="43" w:name="_Toc15396607"/>
      <w:r>
        <w:drawing>
          <wp:anchor distT="0" distB="0" distL="114300" distR="114300" simplePos="0" relativeHeight="28" behindDoc="0" locked="0" layoutInCell="1" hidden="0" allowOverlap="1">
            <wp:simplePos x="0" y="0"/>
            <wp:positionH relativeFrom="column">
              <wp:posOffset>271145</wp:posOffset>
            </wp:positionH>
            <wp:positionV relativeFrom="paragraph">
              <wp:posOffset>-176529</wp:posOffset>
            </wp:positionV>
            <wp:extent cx="4572000" cy="2743200"/>
            <wp:effectExtent l="4444" t="4444" r="14604" b="14604"/>
            <wp:wrapTopAndBottom/>
            <wp:docPr id="6" name="图表 3"/>
            <wp:cNvGraphicFramePr>
              <a:graphicFrameLocks noChangeAspect="0"/>
            </wp:cNvGraphicFramePr>
            <a:graphic>
              <a:graphicData uri="http://schemas.openxmlformats.org/drawingml/2006/chart">
                <c:chart xmlns:c="http://schemas.openxmlformats.org/drawingml/2006/chart" r:id="rId10"/>
              </a:graphicData>
            </a:graphic>
          </wp:anchor>
        </w:drawing>
      </w:r>
    </w:p>
    <w:p>
      <w:pPr>
        <w:pageBreakBefore w:val="0"/>
        <w:widowControl w:val="0"/>
        <w:kinsoku/>
        <w:wordWrap/>
        <w:topLinePunct w:val="0"/>
        <w:bidi w:val="0"/>
        <w:spacing w:line="576" w:lineRule="exact"/>
        <w:ind w:firstLineChars="200" w:firstLine="640"/>
        <w:textAlignment w:val="auto"/>
        <w:outlineLvl w:val="1"/>
        <w:rPr>
          <w:rStyle w:val="2Char"/>
          <w:rFonts w:ascii="黑体" w:eastAsia="黑体" w:cs="黑体" w:hAnsi="黑体" w:hint="eastAsia"/>
          <w:b w:val="0"/>
          <w:sz w:val="32"/>
          <w:szCs w:val="32"/>
        </w:rPr>
      </w:pPr>
      <w:bookmarkStart w:id="44" w:name="_Toc22084"/>
      <w:r>
        <w:rPr>
          <w:rFonts w:ascii="黑体" w:eastAsia="黑体" w:cs="黑体" w:hAnsi="黑体" w:hint="eastAsia"/>
          <w:sz w:val="32"/>
          <w:szCs w:val="32"/>
        </w:rPr>
        <w:t>五、</w:t>
      </w:r>
      <w:r>
        <w:rPr>
          <w:rFonts w:ascii="黑体" w:eastAsia="黑体" w:cs="黑体" w:hAnsi="黑体" w:hint="eastAsia"/>
          <w:b/>
          <w:sz w:val="32"/>
          <w:szCs w:val="32"/>
        </w:rPr>
        <w:t>一</w:t>
      </w:r>
      <w:r>
        <w:rPr>
          <w:rStyle w:val="2Char"/>
          <w:rFonts w:ascii="黑体" w:eastAsia="黑体" w:cs="黑体" w:hAnsi="黑体" w:hint="eastAsia"/>
          <w:b w:val="0"/>
          <w:sz w:val="32"/>
          <w:szCs w:val="32"/>
        </w:rPr>
        <w:t>般公共预算财政拨款支出决算情况说明</w:t>
      </w:r>
      <w:bookmarkEnd w:id="42"/>
      <w:bookmarkEnd w:id="43"/>
      <w:bookmarkEnd w:id="44"/>
    </w:p>
    <w:p>
      <w:pPr>
        <w:pageBreakBefore w:val="0"/>
        <w:widowControl w:val="0"/>
        <w:kinsoku/>
        <w:wordWrap/>
        <w:topLinePunct w:val="0"/>
        <w:bidi w:val="0"/>
        <w:spacing w:line="576" w:lineRule="exact"/>
        <w:ind w:firstLineChars="200" w:firstLine="640"/>
        <w:textAlignment w:val="auto"/>
        <w:outlineLvl w:val="2"/>
        <w:rPr>
          <w:rFonts w:ascii="仿宋" w:eastAsia="仿宋" w:cs="仿宋" w:hAnsi="仿宋" w:hint="eastAsia"/>
          <w:b/>
          <w:sz w:val="32"/>
          <w:szCs w:val="32"/>
        </w:rPr>
      </w:pPr>
      <w:bookmarkStart w:id="45" w:name="_Toc26315"/>
      <w:bookmarkStart w:id="46" w:name="_Toc15377210"/>
      <w:r>
        <w:rPr>
          <w:rFonts w:ascii="仿宋" w:eastAsia="仿宋" w:cs="仿宋" w:hAnsi="仿宋" w:hint="eastAsia"/>
          <w:b/>
          <w:sz w:val="32"/>
          <w:szCs w:val="32"/>
        </w:rPr>
        <w:t>（一）一般公共预算财政拨款支出决算总体情况</w:t>
      </w:r>
      <w:bookmarkEnd w:id="45"/>
      <w:bookmarkEnd w:id="46"/>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2023年度一般公共预算财政拨款支出1237.85万元，占本年支出合计的100%。与2022年度相比，一般公共预算财政拨款支出增加</w:t>
      </w:r>
      <w:r>
        <w:rPr>
          <w:rFonts w:ascii="仿宋" w:eastAsia="仿宋" w:cs="仿宋" w:hAnsi="仿宋" w:hint="eastAsia"/>
          <w:sz w:val="32"/>
          <w:szCs w:val="32"/>
          <w:lang w:val="en-US" w:eastAsia="zh-CN"/>
        </w:rPr>
        <w:t>9.81</w:t>
      </w:r>
      <w:r>
        <w:rPr>
          <w:rFonts w:ascii="仿宋" w:eastAsia="仿宋" w:cs="仿宋" w:hAnsi="仿宋" w:hint="eastAsia"/>
          <w:sz w:val="32"/>
          <w:szCs w:val="32"/>
        </w:rPr>
        <w:t>万元，增长</w:t>
      </w:r>
      <w:r>
        <w:rPr>
          <w:rFonts w:ascii="仿宋" w:eastAsia="仿宋" w:cs="仿宋" w:hAnsi="仿宋" w:hint="eastAsia"/>
          <w:sz w:val="32"/>
          <w:szCs w:val="32"/>
          <w:lang w:val="en-US" w:eastAsia="zh-CN"/>
        </w:rPr>
        <w:t>0.8</w:t>
      </w:r>
      <w:r>
        <w:rPr>
          <w:rFonts w:ascii="仿宋" w:eastAsia="仿宋" w:cs="仿宋" w:hAnsi="仿宋" w:hint="eastAsia"/>
          <w:sz w:val="32"/>
          <w:szCs w:val="32"/>
        </w:rPr>
        <w:t>%。主要变动原因是</w:t>
      </w:r>
      <w:r>
        <w:rPr>
          <w:rFonts w:ascii="仿宋" w:eastAsia="仿宋" w:cs="仿宋" w:hAnsi="仿宋" w:hint="eastAsia"/>
          <w:sz w:val="32"/>
          <w:szCs w:val="32"/>
          <w:lang w:eastAsia="zh-CN"/>
        </w:rPr>
        <w:t>人员变动导致人员和公用经费、专项业务经费的变动。</w:t>
      </w:r>
    </w:p>
    <w:p>
      <w:pPr>
        <w:pageBreakBefore w:val="0"/>
        <w:widowControl w:val="0"/>
        <w:kinsoku/>
        <w:wordWrap/>
        <w:topLinePunct w:val="0"/>
        <w:bidi w:val="0"/>
        <w:spacing w:line="576" w:lineRule="exact"/>
        <w:ind w:firstLineChars="200" w:firstLine="420"/>
        <w:textAlignment w:val="auto"/>
        <w:outlineLvl w:val="2"/>
        <w:rPr>
          <w:rFonts w:ascii="仿宋" w:eastAsia="仿宋" w:cs="仿宋" w:hAnsi="仿宋" w:hint="eastAsia"/>
          <w:b/>
          <w:sz w:val="32"/>
          <w:szCs w:val="32"/>
        </w:rPr>
      </w:pPr>
      <w:bookmarkStart w:id="47" w:name="_Toc15377211"/>
      <w:bookmarkStart w:id="48" w:name="_Toc4784"/>
      <w:r>
        <w:drawing>
          <wp:anchor distT="0" distB="0" distL="114300" distR="114300" simplePos="0" relativeHeight="30" behindDoc="0" locked="0" layoutInCell="1" hidden="0" allowOverlap="1">
            <wp:simplePos x="0" y="0"/>
            <wp:positionH relativeFrom="column">
              <wp:posOffset>175895</wp:posOffset>
            </wp:positionH>
            <wp:positionV relativeFrom="paragraph">
              <wp:posOffset>74295</wp:posOffset>
            </wp:positionV>
            <wp:extent cx="4572000" cy="2743200"/>
            <wp:effectExtent l="4444" t="4444" r="14604" b="14604"/>
            <wp:wrapTopAndBottom/>
            <wp:docPr id="9" name="图表 3"/>
            <wp:cNvGraphicFramePr>
              <a:graphicFrameLocks noChangeAspect="0"/>
            </wp:cNvGraphicFramePr>
            <a:graphic>
              <a:graphicData uri="http://schemas.openxmlformats.org/drawingml/2006/chart">
                <c:chart xmlns:c="http://schemas.openxmlformats.org/drawingml/2006/chart" r:id="rId11"/>
              </a:graphicData>
            </a:graphic>
          </wp:anchor>
        </w:drawing>
      </w:r>
      <w:r>
        <w:rPr>
          <w:rFonts w:ascii="仿宋" w:eastAsia="仿宋" w:cs="仿宋" w:hAnsi="仿宋" w:hint="eastAsia"/>
          <w:b/>
          <w:sz w:val="32"/>
          <w:szCs w:val="32"/>
        </w:rPr>
        <w:t>（二）一般公共预算财政拨款支出决算结构情况</w:t>
      </w:r>
      <w:bookmarkEnd w:id="47"/>
      <w:bookmarkEnd w:id="48"/>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2023年度一般公共预算财政拨款支出1237.85万元，主</w:t>
      </w:r>
      <w:r>
        <w:rPr>
          <w:rFonts w:ascii="仿宋" w:eastAsia="仿宋" w:cs="仿宋" w:hAnsi="仿宋" w:hint="eastAsia"/>
          <w:sz w:val="32"/>
          <w:szCs w:val="32"/>
        </w:rPr>
        <w:drawing>
          <wp:anchor distT="0" distB="0" distL="114300" distR="114300" simplePos="0" relativeHeight="32" behindDoc="0" locked="0" layoutInCell="1" hidden="0" allowOverlap="1">
            <wp:simplePos x="0" y="0"/>
            <wp:positionH relativeFrom="column">
              <wp:posOffset>434975</wp:posOffset>
            </wp:positionH>
            <wp:positionV relativeFrom="paragraph">
              <wp:posOffset>1297305</wp:posOffset>
            </wp:positionV>
            <wp:extent cx="4572000" cy="2743200"/>
            <wp:effectExtent l="4444" t="4444" r="14604" b="14604"/>
            <wp:wrapTopAndBottom/>
            <wp:docPr id="10" name="图表 6"/>
            <wp:cNvGraphicFramePr>
              <a:graphicFrameLocks noChangeAspect="0"/>
            </wp:cNvGraphicFramePr>
            <a:graphic>
              <a:graphicData uri="http://schemas.openxmlformats.org/drawingml/2006/chart">
                <c:chart xmlns:c="http://schemas.openxmlformats.org/drawingml/2006/chart" r:id="rId12"/>
              </a:graphicData>
            </a:graphic>
          </wp:anchor>
        </w:drawing>
      </w:r>
      <w:r>
        <w:rPr>
          <w:rFonts w:ascii="仿宋" w:eastAsia="仿宋" w:cs="仿宋" w:hAnsi="仿宋" w:hint="eastAsia"/>
          <w:sz w:val="32"/>
          <w:szCs w:val="32"/>
        </w:rPr>
        <w:t>要用于以下方面:一般公共服务支出</w:t>
      </w:r>
      <w:r>
        <w:rPr>
          <w:rFonts w:ascii="仿宋" w:eastAsia="仿宋" w:cs="仿宋" w:hAnsi="仿宋" w:hint="eastAsia"/>
          <w:sz w:val="32"/>
          <w:szCs w:val="32"/>
          <w:lang w:val="en-US" w:eastAsia="zh-CN"/>
        </w:rPr>
        <w:t>1050.25</w:t>
      </w:r>
      <w:r>
        <w:rPr>
          <w:rFonts w:ascii="仿宋" w:eastAsia="仿宋" w:cs="仿宋" w:hAnsi="仿宋" w:hint="eastAsia"/>
          <w:sz w:val="32"/>
          <w:szCs w:val="32"/>
        </w:rPr>
        <w:t>万元，占</w:t>
      </w:r>
      <w:r>
        <w:rPr>
          <w:rFonts w:ascii="仿宋" w:eastAsia="仿宋" w:cs="仿宋" w:hAnsi="仿宋" w:hint="eastAsia"/>
          <w:sz w:val="32"/>
          <w:szCs w:val="32"/>
          <w:lang w:val="en-US" w:eastAsia="zh-CN"/>
        </w:rPr>
        <w:t>84.84</w:t>
      </w:r>
      <w:r>
        <w:rPr>
          <w:rFonts w:ascii="仿宋" w:eastAsia="仿宋" w:cs="仿宋" w:hAnsi="仿宋" w:hint="eastAsia"/>
          <w:sz w:val="32"/>
          <w:szCs w:val="32"/>
        </w:rPr>
        <w:t>%；社会保障和就业支出</w:t>
      </w:r>
      <w:r>
        <w:rPr>
          <w:rFonts w:ascii="仿宋" w:eastAsia="仿宋" w:cs="仿宋" w:hAnsi="仿宋" w:hint="eastAsia"/>
          <w:sz w:val="32"/>
          <w:szCs w:val="32"/>
          <w:lang w:val="en-US" w:eastAsia="zh-CN"/>
        </w:rPr>
        <w:t>101.01</w:t>
      </w:r>
      <w:r>
        <w:rPr>
          <w:rFonts w:ascii="仿宋" w:eastAsia="仿宋" w:cs="仿宋" w:hAnsi="仿宋" w:hint="eastAsia"/>
          <w:sz w:val="32"/>
          <w:szCs w:val="32"/>
        </w:rPr>
        <w:t>万元，占</w:t>
      </w:r>
      <w:r>
        <w:rPr>
          <w:rFonts w:ascii="仿宋" w:eastAsia="仿宋" w:cs="仿宋" w:hAnsi="仿宋" w:hint="eastAsia"/>
          <w:sz w:val="32"/>
          <w:szCs w:val="32"/>
          <w:lang w:val="en-US" w:eastAsia="zh-CN"/>
        </w:rPr>
        <w:t>8.16</w:t>
      </w:r>
      <w:r>
        <w:rPr>
          <w:rFonts w:ascii="仿宋" w:eastAsia="仿宋" w:cs="仿宋" w:hAnsi="仿宋" w:hint="eastAsia"/>
          <w:sz w:val="32"/>
          <w:szCs w:val="32"/>
        </w:rPr>
        <w:t>%；卫生健康支出</w:t>
      </w:r>
      <w:r>
        <w:rPr>
          <w:rFonts w:ascii="仿宋" w:eastAsia="仿宋" w:cs="仿宋" w:hAnsi="仿宋" w:hint="eastAsia"/>
          <w:sz w:val="32"/>
          <w:szCs w:val="32"/>
          <w:lang w:val="en-US" w:eastAsia="zh-CN"/>
        </w:rPr>
        <w:t>27.19</w:t>
      </w:r>
      <w:r>
        <w:rPr>
          <w:rFonts w:ascii="仿宋" w:eastAsia="仿宋" w:cs="仿宋" w:hAnsi="仿宋" w:hint="eastAsia"/>
          <w:sz w:val="32"/>
          <w:szCs w:val="32"/>
        </w:rPr>
        <w:t>万元，占</w:t>
      </w:r>
      <w:r>
        <w:rPr>
          <w:rFonts w:ascii="仿宋" w:eastAsia="仿宋" w:cs="仿宋" w:hAnsi="仿宋" w:hint="eastAsia"/>
          <w:sz w:val="32"/>
          <w:szCs w:val="32"/>
          <w:lang w:val="en-US" w:eastAsia="zh-CN"/>
        </w:rPr>
        <w:t>2.20</w:t>
      </w:r>
      <w:r>
        <w:rPr>
          <w:rFonts w:ascii="仿宋" w:eastAsia="仿宋" w:cs="仿宋" w:hAnsi="仿宋" w:hint="eastAsia"/>
          <w:sz w:val="32"/>
          <w:szCs w:val="32"/>
        </w:rPr>
        <w:t>%；住房保障支出</w:t>
      </w:r>
      <w:r>
        <w:rPr>
          <w:rFonts w:ascii="仿宋" w:eastAsia="仿宋" w:cs="仿宋" w:hAnsi="仿宋" w:hint="eastAsia"/>
          <w:sz w:val="32"/>
          <w:szCs w:val="32"/>
          <w:lang w:val="en-US" w:eastAsia="zh-CN"/>
        </w:rPr>
        <w:t>59.40</w:t>
      </w:r>
      <w:r>
        <w:rPr>
          <w:rFonts w:ascii="仿宋" w:eastAsia="仿宋" w:cs="仿宋" w:hAnsi="仿宋" w:hint="eastAsia"/>
          <w:sz w:val="32"/>
          <w:szCs w:val="32"/>
        </w:rPr>
        <w:t>万元，占</w:t>
      </w:r>
      <w:r>
        <w:rPr>
          <w:rFonts w:ascii="仿宋" w:eastAsia="仿宋" w:cs="仿宋" w:hAnsi="仿宋" w:hint="eastAsia"/>
          <w:sz w:val="32"/>
          <w:szCs w:val="32"/>
          <w:lang w:val="en-US" w:eastAsia="zh-CN"/>
        </w:rPr>
        <w:t>4.8</w:t>
      </w:r>
      <w:r>
        <w:rPr>
          <w:rFonts w:ascii="仿宋" w:eastAsia="仿宋" w:cs="仿宋" w:hAnsi="仿宋" w:hint="eastAsia"/>
          <w:sz w:val="32"/>
          <w:szCs w:val="32"/>
        </w:rPr>
        <w:t>%。</w:t>
      </w: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rPr>
      </w:pPr>
      <w:bookmarkStart w:id="49" w:name="_Toc15377212"/>
      <w:r>
        <w:rPr>
          <w:rFonts w:ascii="仿宋" w:eastAsia="仿宋" w:cs="仿宋" w:hAnsi="仿宋" w:hint="eastAsia"/>
          <w:sz w:val="32"/>
          <w:szCs w:val="32"/>
        </w:rPr>
        <w:t>（三）一般公共预算财政拨款支出决算具体情况</w:t>
      </w:r>
      <w:bookmarkEnd w:id="49"/>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bookmarkStart w:id="50" w:name="_Toc15377213"/>
      <w:bookmarkStart w:id="51" w:name="_Toc3907"/>
      <w:bookmarkStart w:id="52" w:name="_Toc29707"/>
      <w:bookmarkStart w:id="53" w:name="_Toc15378460"/>
      <w:bookmarkStart w:id="54" w:name="_Toc15377444"/>
      <w:r>
        <w:rPr>
          <w:rStyle w:val="27"/>
          <w:rFonts w:ascii="仿宋" w:eastAsia="仿宋" w:cs="Arial" w:hAnsi="仿宋" w:hint="eastAsia"/>
          <w:b w:val="0"/>
          <w:bCs/>
          <w:color w:val="auto"/>
          <w:sz w:val="32"/>
          <w:szCs w:val="32"/>
          <w:lang w:val="en-US" w:eastAsia="zh-CN"/>
        </w:rPr>
        <w:t>2023年度一般公共预算支出决算数为1237.85，完成预算100%。其中：</w:t>
      </w:r>
      <w:bookmarkEnd w:id="50"/>
      <w:bookmarkEnd w:id="51"/>
      <w:bookmarkEnd w:id="52"/>
      <w:bookmarkEnd w:id="53"/>
      <w:bookmarkEnd w:id="54"/>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r>
        <w:rPr>
          <w:rStyle w:val="27"/>
          <w:rFonts w:ascii="仿宋" w:eastAsia="仿宋" w:cs="Arial" w:hAnsi="仿宋" w:hint="eastAsia"/>
          <w:b w:val="0"/>
          <w:bCs/>
          <w:color w:val="auto"/>
          <w:sz w:val="32"/>
          <w:szCs w:val="32"/>
          <w:lang w:val="en-US" w:eastAsia="zh-CN"/>
        </w:rPr>
        <w:t>1.一般公共服务（类）政府办公厅（款）行政运行（项）: 支出决算为392.76万元，完成预算100%，决算数等于预算数。</w:t>
      </w:r>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r>
        <w:rPr>
          <w:rStyle w:val="27"/>
          <w:rFonts w:ascii="仿宋" w:eastAsia="仿宋" w:cs="Arial" w:hAnsi="仿宋" w:hint="eastAsia"/>
          <w:b w:val="0"/>
          <w:bCs/>
          <w:color w:val="auto"/>
          <w:sz w:val="32"/>
          <w:szCs w:val="32"/>
          <w:lang w:val="en-US" w:eastAsia="zh-CN"/>
        </w:rPr>
        <w:t>2.一般公共服务（类）政府办公厅（款）一般行政管理事务（项）:支出决算为418.81万元，完成预算100%，决算数等于预算数。</w:t>
      </w:r>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r>
        <w:rPr>
          <w:rStyle w:val="27"/>
          <w:rFonts w:ascii="仿宋" w:eastAsia="仿宋" w:cs="Arial" w:hAnsi="仿宋" w:hint="eastAsia"/>
          <w:b w:val="0"/>
          <w:bCs/>
          <w:color w:val="auto"/>
          <w:sz w:val="32"/>
          <w:szCs w:val="32"/>
          <w:lang w:val="en-US" w:eastAsia="zh-CN"/>
        </w:rPr>
        <w:t>3.一般公共服务（类）政府办公厅（款）事业运行（项）:支出决算为238.68万元，完成预算100%，决算数等于预算数。</w:t>
      </w:r>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r>
        <w:rPr>
          <w:rStyle w:val="27"/>
          <w:rFonts w:ascii="仿宋" w:eastAsia="仿宋" w:cs="Arial" w:hAnsi="仿宋" w:hint="eastAsia"/>
          <w:b w:val="0"/>
          <w:bCs/>
          <w:color w:val="auto"/>
          <w:sz w:val="32"/>
          <w:szCs w:val="32"/>
          <w:lang w:val="en-US" w:eastAsia="zh-CN"/>
        </w:rPr>
        <w:t>4.社会保障和就业（类）行政事业单位养老支出（款）机关事业单位基本养老保险缴费支出（项）: 支出决算为80.95万元，完成预算100%，决算数等于预算数。</w:t>
      </w:r>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r>
        <w:rPr>
          <w:rStyle w:val="27"/>
          <w:rFonts w:ascii="仿宋" w:eastAsia="仿宋" w:cs="Arial" w:hAnsi="仿宋" w:hint="eastAsia"/>
          <w:b w:val="0"/>
          <w:bCs/>
          <w:color w:val="auto"/>
          <w:sz w:val="32"/>
          <w:szCs w:val="32"/>
          <w:lang w:val="en-US" w:eastAsia="zh-CN"/>
        </w:rPr>
        <w:t>5.社会保障和就业（类）行政事业单位养老支出（款）机关事业单位职业年金缴费支出（项）: 支出决算为15.78万元，完成预算100%，决算数等于预算数。</w:t>
      </w:r>
    </w:p>
    <w:p>
      <w:pPr>
        <w:pageBreakBefore w:val="0"/>
        <w:widowControl w:val="0"/>
        <w:kinsoku/>
        <w:wordWrap/>
        <w:topLinePunct w:val="0"/>
        <w:bidi w:val="0"/>
        <w:spacing w:line="576" w:lineRule="exact"/>
        <w:ind w:firstLineChars="200" w:firstLine="640"/>
        <w:rPr>
          <w:rStyle w:val="27"/>
          <w:rFonts w:ascii="仿宋" w:eastAsia="仿宋" w:cs="Arial" w:hAnsi="仿宋" w:hint="eastAsia"/>
          <w:b w:val="0"/>
          <w:bCs/>
          <w:color w:val="auto"/>
          <w:sz w:val="32"/>
          <w:szCs w:val="32"/>
          <w:lang w:val="en-US" w:eastAsia="zh-CN"/>
        </w:rPr>
      </w:pPr>
      <w:r>
        <w:rPr>
          <w:rStyle w:val="27"/>
          <w:rFonts w:ascii="仿宋" w:eastAsia="仿宋" w:cs="Arial" w:hAnsi="仿宋" w:hint="eastAsia"/>
          <w:b w:val="0"/>
          <w:bCs/>
          <w:color w:val="auto"/>
          <w:sz w:val="32"/>
          <w:szCs w:val="32"/>
          <w:lang w:val="en-US" w:eastAsia="zh-CN"/>
        </w:rPr>
        <w:t>6.社会保障和就业（类）其他社会保障和就业支出（款）其他社会保障和就业支出（项）: 支出决算为2.50万元，完成预算100%，决算数等于预算数。</w:t>
      </w:r>
    </w:p>
    <w:p>
      <w:pPr>
        <w:pageBreakBefore w:val="0"/>
        <w:widowControl w:val="0"/>
        <w:kinsoku/>
        <w:wordWrap/>
        <w:topLinePunct w:val="0"/>
        <w:bidi w:val="0"/>
        <w:spacing w:line="576" w:lineRule="exact"/>
        <w:ind w:firstLineChars="200" w:firstLine="640"/>
        <w:rPr>
          <w:rStyle w:val="27"/>
          <w:rFonts w:ascii="仿宋" w:eastAsia="仿宋" w:hAnsi="仿宋" w:hint="eastAsia"/>
          <w:b w:val="0"/>
          <w:bCs/>
          <w:color w:val="auto"/>
          <w:sz w:val="32"/>
          <w:szCs w:val="32"/>
        </w:rPr>
      </w:pPr>
      <w:r>
        <w:rPr>
          <w:rStyle w:val="27"/>
          <w:rFonts w:ascii="仿宋" w:eastAsia="仿宋" w:hAnsi="仿宋" w:hint="eastAsia"/>
          <w:b w:val="0"/>
          <w:bCs/>
          <w:color w:val="auto"/>
          <w:sz w:val="32"/>
          <w:szCs w:val="32"/>
          <w:lang w:val="en-US" w:eastAsia="zh-CN"/>
        </w:rPr>
        <w:t>7.</w:t>
      </w:r>
      <w:r>
        <w:rPr>
          <w:rStyle w:val="27"/>
          <w:rFonts w:ascii="仿宋" w:eastAsia="仿宋" w:hAnsi="仿宋" w:hint="eastAsia"/>
          <w:b w:val="0"/>
          <w:bCs/>
          <w:color w:val="auto"/>
          <w:sz w:val="32"/>
          <w:szCs w:val="32"/>
        </w:rPr>
        <w:t>卫生健康（类）行政事业单位医疗（款）行政单位医疗（项）:支出决算为</w:t>
      </w:r>
      <w:r>
        <w:rPr>
          <w:rStyle w:val="27"/>
          <w:rFonts w:ascii="仿宋" w:eastAsia="仿宋" w:hAnsi="仿宋" w:hint="eastAsia"/>
          <w:b w:val="0"/>
          <w:bCs/>
          <w:color w:val="auto"/>
          <w:sz w:val="32"/>
          <w:szCs w:val="32"/>
          <w:lang w:val="en-US" w:eastAsia="zh-CN"/>
        </w:rPr>
        <w:t>27.18</w:t>
      </w:r>
      <w:r>
        <w:rPr>
          <w:rStyle w:val="27"/>
          <w:rFonts w:ascii="仿宋" w:eastAsia="仿宋" w:hAnsi="仿宋" w:hint="eastAsia"/>
          <w:b w:val="0"/>
          <w:bCs/>
          <w:color w:val="auto"/>
          <w:sz w:val="32"/>
          <w:szCs w:val="32"/>
        </w:rPr>
        <w:t>万元，完成预算</w:t>
      </w:r>
      <w:r>
        <w:rPr>
          <w:rStyle w:val="27"/>
          <w:rFonts w:ascii="仿宋" w:eastAsia="仿宋" w:hAnsi="仿宋" w:hint="eastAsia"/>
          <w:b w:val="0"/>
          <w:bCs/>
          <w:color w:val="auto"/>
          <w:sz w:val="32"/>
          <w:szCs w:val="32"/>
          <w:lang w:val="en-US" w:eastAsia="zh-CN"/>
        </w:rPr>
        <w:t>100</w:t>
      </w:r>
      <w:r>
        <w:rPr>
          <w:rStyle w:val="27"/>
          <w:rFonts w:ascii="仿宋" w:eastAsia="仿宋" w:hAnsi="仿宋" w:hint="eastAsia"/>
          <w:b w:val="0"/>
          <w:bCs/>
          <w:color w:val="auto"/>
          <w:sz w:val="32"/>
          <w:szCs w:val="32"/>
        </w:rPr>
        <w:t>%，决算数等于预算数。</w:t>
      </w:r>
    </w:p>
    <w:p>
      <w:pPr>
        <w:pageBreakBefore w:val="0"/>
        <w:widowControl w:val="0"/>
        <w:kinsoku/>
        <w:wordWrap/>
        <w:topLinePunct w:val="0"/>
        <w:bidi w:val="0"/>
        <w:spacing w:line="576" w:lineRule="exact"/>
        <w:ind w:firstLineChars="200" w:firstLine="640"/>
        <w:rPr>
          <w:rStyle w:val="27"/>
          <w:rFonts w:ascii="仿宋" w:eastAsia="仿宋" w:hAnsi="仿宋" w:hint="eastAsia"/>
          <w:b w:val="0"/>
          <w:bCs/>
          <w:color w:val="auto"/>
          <w:sz w:val="32"/>
          <w:szCs w:val="32"/>
        </w:rPr>
      </w:pPr>
      <w:r>
        <w:rPr>
          <w:rStyle w:val="27"/>
          <w:rFonts w:ascii="仿宋" w:eastAsia="仿宋" w:hAnsi="仿宋" w:hint="eastAsia"/>
          <w:b w:val="0"/>
          <w:bCs/>
          <w:color w:val="auto"/>
          <w:sz w:val="32"/>
          <w:szCs w:val="32"/>
          <w:lang w:val="en-US" w:eastAsia="zh-CN"/>
        </w:rPr>
        <w:t>8</w:t>
      </w:r>
      <w:r>
        <w:rPr>
          <w:rStyle w:val="27"/>
          <w:rFonts w:ascii="仿宋" w:eastAsia="仿宋" w:hAnsi="仿宋" w:hint="eastAsia"/>
          <w:b w:val="0"/>
          <w:bCs/>
          <w:color w:val="auto"/>
          <w:sz w:val="32"/>
          <w:szCs w:val="32"/>
        </w:rPr>
        <w:t>.</w:t>
      </w:r>
      <w:r>
        <w:rPr>
          <w:rStyle w:val="27"/>
          <w:rFonts w:ascii="仿宋" w:eastAsia="仿宋" w:hAnsi="仿宋" w:hint="eastAsia"/>
          <w:b w:val="0"/>
          <w:bCs/>
          <w:color w:val="auto"/>
          <w:sz w:val="32"/>
          <w:szCs w:val="32"/>
          <w:lang w:eastAsia="zh-CN"/>
        </w:rPr>
        <w:t>住房保障</w:t>
      </w:r>
      <w:r>
        <w:rPr>
          <w:rStyle w:val="27"/>
          <w:rFonts w:ascii="仿宋" w:eastAsia="仿宋" w:hAnsi="仿宋" w:hint="eastAsia"/>
          <w:b w:val="0"/>
          <w:bCs/>
          <w:color w:val="auto"/>
          <w:sz w:val="32"/>
          <w:szCs w:val="32"/>
        </w:rPr>
        <w:t>（类）住房改革支出（款）</w:t>
      </w:r>
      <w:r>
        <w:rPr>
          <w:rStyle w:val="27"/>
          <w:rFonts w:ascii="仿宋" w:eastAsia="仿宋" w:hAnsi="仿宋" w:hint="eastAsia"/>
          <w:b w:val="0"/>
          <w:bCs/>
          <w:color w:val="auto"/>
          <w:sz w:val="32"/>
          <w:szCs w:val="32"/>
          <w:lang w:eastAsia="zh-CN"/>
        </w:rPr>
        <w:t>住房公积金</w:t>
      </w:r>
      <w:r>
        <w:rPr>
          <w:rStyle w:val="27"/>
          <w:rFonts w:ascii="仿宋" w:eastAsia="仿宋" w:hAnsi="仿宋" w:hint="eastAsia"/>
          <w:b w:val="0"/>
          <w:bCs/>
          <w:color w:val="auto"/>
          <w:sz w:val="32"/>
          <w:szCs w:val="32"/>
        </w:rPr>
        <w:t>（项）</w:t>
      </w:r>
      <w:r>
        <w:rPr>
          <w:rStyle w:val="27"/>
          <w:rFonts w:ascii="仿宋" w:eastAsia="仿宋" w:hAnsi="仿宋" w:hint="eastAsia"/>
          <w:b w:val="0"/>
          <w:bCs/>
          <w:color w:val="auto"/>
          <w:sz w:val="32"/>
          <w:szCs w:val="32"/>
          <w:lang w:eastAsia="zh-CN"/>
        </w:rPr>
        <w:t>（</w:t>
      </w:r>
      <w:r>
        <w:rPr>
          <w:rStyle w:val="27"/>
          <w:rFonts w:ascii="仿宋" w:eastAsia="仿宋" w:hAnsi="仿宋" w:hint="eastAsia"/>
          <w:b w:val="0"/>
          <w:bCs/>
          <w:color w:val="auto"/>
          <w:sz w:val="32"/>
          <w:szCs w:val="32"/>
          <w:lang w:val="en-US" w:eastAsia="zh-CN"/>
        </w:rPr>
        <w:t>2210201</w:t>
      </w:r>
      <w:r>
        <w:rPr>
          <w:rStyle w:val="27"/>
          <w:rFonts w:ascii="仿宋" w:eastAsia="仿宋" w:hAnsi="仿宋" w:hint="eastAsia"/>
          <w:b w:val="0"/>
          <w:bCs/>
          <w:color w:val="auto"/>
          <w:sz w:val="32"/>
          <w:szCs w:val="32"/>
          <w:lang w:eastAsia="zh-CN"/>
        </w:rPr>
        <w:t>）</w:t>
      </w:r>
      <w:r>
        <w:rPr>
          <w:rStyle w:val="27"/>
          <w:rFonts w:ascii="仿宋" w:eastAsia="仿宋" w:hAnsi="仿宋" w:hint="eastAsia"/>
          <w:b w:val="0"/>
          <w:bCs/>
          <w:color w:val="auto"/>
          <w:sz w:val="32"/>
          <w:szCs w:val="32"/>
        </w:rPr>
        <w:t>:支出决算为</w:t>
      </w:r>
      <w:r>
        <w:rPr>
          <w:rStyle w:val="27"/>
          <w:rFonts w:ascii="仿宋" w:eastAsia="仿宋" w:hAnsi="仿宋" w:hint="eastAsia"/>
          <w:b w:val="0"/>
          <w:bCs/>
          <w:color w:val="auto"/>
          <w:sz w:val="32"/>
          <w:szCs w:val="32"/>
          <w:lang w:val="en-US" w:eastAsia="zh-CN"/>
        </w:rPr>
        <w:t>59.40</w:t>
      </w:r>
      <w:r>
        <w:rPr>
          <w:rStyle w:val="27"/>
          <w:rFonts w:ascii="仿宋" w:eastAsia="仿宋" w:hAnsi="仿宋" w:hint="eastAsia"/>
          <w:b w:val="0"/>
          <w:bCs/>
          <w:color w:val="auto"/>
          <w:sz w:val="32"/>
          <w:szCs w:val="32"/>
        </w:rPr>
        <w:t>万元，完成预算</w:t>
      </w:r>
      <w:r>
        <w:rPr>
          <w:rStyle w:val="27"/>
          <w:rFonts w:ascii="仿宋" w:eastAsia="仿宋" w:hAnsi="仿宋" w:hint="eastAsia"/>
          <w:b w:val="0"/>
          <w:bCs/>
          <w:color w:val="auto"/>
          <w:sz w:val="32"/>
          <w:szCs w:val="32"/>
          <w:lang w:val="en-US" w:eastAsia="zh-CN"/>
        </w:rPr>
        <w:t>100</w:t>
      </w:r>
      <w:r>
        <w:rPr>
          <w:rStyle w:val="27"/>
          <w:rFonts w:ascii="仿宋" w:eastAsia="仿宋" w:hAnsi="仿宋" w:hint="eastAsia"/>
          <w:b w:val="0"/>
          <w:bCs/>
          <w:color w:val="auto"/>
          <w:sz w:val="32"/>
          <w:szCs w:val="32"/>
        </w:rPr>
        <w:t>%，决算数等于预算数。</w:t>
      </w:r>
    </w:p>
    <w:p>
      <w:pPr>
        <w:pageBreakBefore w:val="0"/>
        <w:widowControl w:val="0"/>
        <w:tabs>
          <w:tab w:val="right" w:pos="8306"/>
        </w:tabs>
        <w:kinsoku/>
        <w:wordWrap/>
        <w:topLinePunct w:val="0"/>
        <w:bidi w:val="0"/>
        <w:spacing w:line="576" w:lineRule="exact"/>
        <w:ind w:firstLine="640"/>
        <w:textAlignment w:val="auto"/>
        <w:outlineLvl w:val="1"/>
        <w:rPr>
          <w:rStyle w:val="2Char"/>
          <w:rFonts w:ascii="仿宋" w:eastAsia="仿宋" w:cs="仿宋" w:hAnsi="仿宋" w:hint="eastAsia"/>
          <w:sz w:val="32"/>
          <w:szCs w:val="32"/>
        </w:rPr>
      </w:pPr>
      <w:bookmarkStart w:id="55" w:name="_Toc15396608"/>
      <w:bookmarkStart w:id="56" w:name="_Toc15377214"/>
      <w:bookmarkStart w:id="57" w:name="_Toc3462"/>
      <w:r>
        <w:rPr>
          <w:rFonts w:ascii="黑体" w:eastAsia="黑体" w:cs="黑体" w:hAnsi="黑体" w:hint="eastAsia"/>
          <w:sz w:val="32"/>
          <w:szCs w:val="32"/>
        </w:rPr>
        <w:t>六</w:t>
      </w:r>
      <w:r>
        <w:rPr>
          <w:rFonts w:ascii="黑体" w:eastAsia="黑体" w:cs="黑体" w:hAnsi="黑体" w:hint="eastAsia"/>
          <w:b/>
          <w:sz w:val="32"/>
          <w:szCs w:val="32"/>
        </w:rPr>
        <w:t>、一</w:t>
      </w:r>
      <w:r>
        <w:rPr>
          <w:rStyle w:val="2Char"/>
          <w:rFonts w:ascii="黑体" w:eastAsia="黑体" w:cs="黑体" w:hAnsi="黑体" w:hint="eastAsia"/>
          <w:b w:val="0"/>
          <w:sz w:val="32"/>
          <w:szCs w:val="32"/>
        </w:rPr>
        <w:t>般公共预算财政拨款基本支出决算情况说明</w:t>
      </w:r>
      <w:bookmarkEnd w:id="55"/>
      <w:bookmarkEnd w:id="56"/>
      <w:bookmarkEnd w:id="57"/>
      <w:r>
        <w:rPr>
          <w:rStyle w:val="2Char"/>
          <w:rFonts w:ascii="仿宋" w:eastAsia="仿宋" w:cs="仿宋" w:hAnsi="仿宋" w:hint="eastAsia"/>
          <w:b w:val="0"/>
          <w:sz w:val="32"/>
          <w:szCs w:val="32"/>
        </w:rPr>
        <w:tab/>
      </w:r>
    </w:p>
    <w:p>
      <w:pPr>
        <w:pageBreakBefore w:val="0"/>
        <w:widowControl w:val="0"/>
        <w:kinsoku/>
        <w:wordWrap/>
        <w:topLinePunct w:val="0"/>
        <w:bidi w:val="0"/>
        <w:spacing w:line="576" w:lineRule="exact"/>
        <w:ind w:firstLine="645"/>
        <w:textAlignment w:val="auto"/>
        <w:rPr>
          <w:rFonts w:ascii="仿宋" w:eastAsia="仿宋" w:cs="仿宋" w:hAnsi="仿宋" w:hint="eastAsia"/>
          <w:sz w:val="32"/>
          <w:szCs w:val="32"/>
        </w:rPr>
      </w:pPr>
      <w:r>
        <w:rPr>
          <w:rFonts w:ascii="仿宋" w:eastAsia="仿宋" w:cs="仿宋" w:hAnsi="仿宋" w:hint="eastAsia"/>
          <w:sz w:val="32"/>
          <w:szCs w:val="32"/>
        </w:rPr>
        <w:t>2023年度一般公共预算财政拨款基本支出819.04万元，其中：</w:t>
      </w:r>
    </w:p>
    <w:p>
      <w:pPr>
        <w:pageBreakBefore w:val="0"/>
        <w:widowControl w:val="0"/>
        <w:kinsoku/>
        <w:wordWrap/>
        <w:topLinePunct w:val="0"/>
        <w:bidi w:val="0"/>
        <w:spacing w:line="576" w:lineRule="exact"/>
        <w:ind w:firstLine="645"/>
        <w:textAlignment w:val="auto"/>
        <w:rPr>
          <w:rFonts w:ascii="仿宋" w:eastAsia="仿宋" w:cs="仿宋" w:hAnsi="仿宋" w:hint="eastAsia"/>
          <w:sz w:val="32"/>
          <w:szCs w:val="32"/>
        </w:rPr>
      </w:pPr>
      <w:r>
        <w:rPr>
          <w:rFonts w:ascii="仿宋" w:eastAsia="仿宋" w:cs="仿宋" w:hAnsi="仿宋" w:hint="eastAsia"/>
          <w:sz w:val="32"/>
          <w:szCs w:val="32"/>
        </w:rPr>
        <w:t>人员经费734.47万元，主要包括：基本工资、津贴补贴、奖金、绩效工资、机关事业单位基本养老保险缴费、职业年金缴费、其他社会保障缴费、其他工资福利支出、生活补助、奖励金、住房公积金、其他对个人和家庭的补助支出等。</w:t>
        <w:br/>
        <w:t>　　公用经费84.57万元，主要包括：办公费、印刷费、咨询费、手续费、水费、电费、邮电费、差旅费、维修（护）费、会议费、培训费、公务接待费、劳务费、委托业务费、工会经费、福利费、公务用车运行维护费、其他交通费、其他商品和服务支出等。</w:t>
      </w:r>
    </w:p>
    <w:p>
      <w:pPr>
        <w:pageBreakBefore w:val="0"/>
        <w:widowControl w:val="0"/>
        <w:kinsoku/>
        <w:wordWrap/>
        <w:topLinePunct w:val="0"/>
        <w:bidi w:val="0"/>
        <w:spacing w:line="576" w:lineRule="exact"/>
        <w:ind w:firstLine="640"/>
        <w:textAlignment w:val="auto"/>
        <w:outlineLvl w:val="1"/>
        <w:rPr>
          <w:rStyle w:val="2Char"/>
          <w:rFonts w:ascii="黑体" w:eastAsia="黑体" w:cs="黑体" w:hAnsi="黑体" w:hint="eastAsia"/>
          <w:b w:val="0"/>
          <w:sz w:val="32"/>
          <w:szCs w:val="32"/>
        </w:rPr>
      </w:pPr>
      <w:bookmarkStart w:id="58" w:name="_Toc15377215"/>
      <w:bookmarkStart w:id="59" w:name="_Toc15396609"/>
      <w:bookmarkStart w:id="60" w:name="_Toc7332"/>
      <w:r>
        <w:rPr>
          <w:rFonts w:ascii="黑体" w:eastAsia="黑体" w:cs="黑体" w:hAnsi="黑体" w:hint="eastAsia"/>
          <w:sz w:val="32"/>
          <w:szCs w:val="32"/>
        </w:rPr>
        <w:t>七、</w:t>
      </w:r>
      <w:r>
        <w:rPr>
          <w:rStyle w:val="2Char"/>
          <w:rFonts w:ascii="黑体" w:eastAsia="黑体" w:cs="黑体" w:hAnsi="黑体" w:hint="eastAsia"/>
          <w:b w:val="0"/>
          <w:sz w:val="32"/>
          <w:szCs w:val="32"/>
        </w:rPr>
        <w:t>财政拨款</w:t>
      </w:r>
      <w:r>
        <w:rPr>
          <w:rStyle w:val="2Char"/>
          <w:rFonts w:ascii="黑体" w:eastAsia="黑体" w:cs="黑体" w:hAnsi="黑体" w:hint="eastAsia"/>
          <w:sz w:val="32"/>
          <w:szCs w:val="32"/>
        </w:rPr>
        <w:t>“</w:t>
      </w:r>
      <w:r>
        <w:rPr>
          <w:rStyle w:val="2Char"/>
          <w:rFonts w:ascii="黑体" w:eastAsia="黑体" w:cs="黑体" w:hAnsi="黑体" w:hint="eastAsia"/>
          <w:b w:val="0"/>
          <w:sz w:val="32"/>
          <w:szCs w:val="32"/>
        </w:rPr>
        <w:t>三公”经费支出决算情况说明</w:t>
      </w:r>
      <w:bookmarkEnd w:id="58"/>
      <w:bookmarkEnd w:id="59"/>
      <w:bookmarkEnd w:id="60"/>
    </w:p>
    <w:p>
      <w:pPr>
        <w:pageBreakBefore w:val="0"/>
        <w:widowControl w:val="0"/>
        <w:kinsoku/>
        <w:wordWrap/>
        <w:topLinePunct w:val="0"/>
        <w:bidi w:val="0"/>
        <w:spacing w:line="576" w:lineRule="exact"/>
        <w:ind w:firstLine="640"/>
        <w:textAlignment w:val="auto"/>
        <w:outlineLvl w:val="2"/>
        <w:rPr>
          <w:rFonts w:ascii="仿宋" w:eastAsia="仿宋" w:cs="仿宋" w:hAnsi="仿宋" w:hint="eastAsia"/>
          <w:b/>
          <w:sz w:val="32"/>
          <w:szCs w:val="32"/>
        </w:rPr>
      </w:pPr>
      <w:bookmarkStart w:id="61" w:name="_Toc15377216"/>
      <w:bookmarkStart w:id="62" w:name="_Toc16088"/>
      <w:r>
        <w:rPr>
          <w:rFonts w:ascii="仿宋" w:eastAsia="仿宋" w:cs="仿宋" w:hAnsi="仿宋" w:hint="eastAsia"/>
          <w:b/>
          <w:sz w:val="32"/>
          <w:szCs w:val="32"/>
        </w:rPr>
        <w:t>（一）“三公”经费财政拨款支出决算总体情况说明</w:t>
      </w:r>
      <w:bookmarkEnd w:id="61"/>
      <w:bookmarkEnd w:id="62"/>
    </w:p>
    <w:p>
      <w:pPr>
        <w:pageBreakBefore w:val="0"/>
        <w:widowControl w:val="0"/>
        <w:kinsoku/>
        <w:wordWrap/>
        <w:topLinePunct w:val="0"/>
        <w:bidi w:val="0"/>
        <w:spacing w:line="576" w:lineRule="exact"/>
        <w:ind w:firstLine="645"/>
        <w:textAlignment w:val="auto"/>
        <w:rPr>
          <w:rFonts w:ascii="仿宋" w:eastAsia="仿宋" w:cs="仿宋" w:hAnsi="仿宋" w:hint="eastAsia"/>
          <w:sz w:val="32"/>
          <w:szCs w:val="32"/>
        </w:rPr>
      </w:pPr>
      <w:r>
        <w:rPr>
          <w:rFonts w:ascii="仿宋" w:eastAsia="仿宋" w:cs="仿宋" w:hAnsi="仿宋" w:hint="eastAsia"/>
          <w:sz w:val="32"/>
          <w:szCs w:val="32"/>
        </w:rPr>
        <w:t>2023年度“三公”经费财政拨款支出决算为6.68万元，完成预算100%，较上年度减少</w:t>
      </w:r>
      <w:r>
        <w:rPr>
          <w:rFonts w:ascii="仿宋" w:eastAsia="仿宋" w:cs="仿宋" w:hAnsi="仿宋" w:hint="eastAsia"/>
          <w:sz w:val="32"/>
          <w:szCs w:val="32"/>
          <w:lang w:val="en-US" w:eastAsia="zh-CN"/>
        </w:rPr>
        <w:t>4.32</w:t>
      </w:r>
      <w:r>
        <w:rPr>
          <w:rFonts w:ascii="仿宋" w:eastAsia="仿宋" w:cs="仿宋" w:hAnsi="仿宋" w:hint="eastAsia"/>
          <w:sz w:val="32"/>
          <w:szCs w:val="32"/>
        </w:rPr>
        <w:t>万元，下降</w:t>
      </w:r>
      <w:r>
        <w:rPr>
          <w:rFonts w:ascii="仿宋" w:eastAsia="仿宋" w:cs="仿宋" w:hAnsi="仿宋" w:hint="eastAsia"/>
          <w:sz w:val="32"/>
          <w:szCs w:val="32"/>
          <w:lang w:val="en-US" w:eastAsia="zh-CN"/>
        </w:rPr>
        <w:t>39.27</w:t>
      </w:r>
      <w:r>
        <w:rPr>
          <w:rFonts w:ascii="仿宋" w:eastAsia="仿宋" w:cs="仿宋" w:hAnsi="仿宋" w:hint="eastAsia"/>
          <w:sz w:val="32"/>
          <w:szCs w:val="32"/>
        </w:rPr>
        <w:t>%。决算数与预算数持平。</w:t>
      </w:r>
    </w:p>
    <w:p>
      <w:pPr>
        <w:pageBreakBefore w:val="0"/>
        <w:widowControl w:val="0"/>
        <w:kinsoku/>
        <w:wordWrap/>
        <w:topLinePunct w:val="0"/>
        <w:bidi w:val="0"/>
        <w:spacing w:line="576" w:lineRule="exact"/>
        <w:ind w:firstLine="640"/>
        <w:textAlignment w:val="auto"/>
        <w:outlineLvl w:val="2"/>
        <w:rPr>
          <w:rFonts w:ascii="仿宋" w:eastAsia="仿宋" w:cs="仿宋" w:hAnsi="仿宋" w:hint="eastAsia"/>
          <w:b/>
          <w:sz w:val="32"/>
          <w:szCs w:val="32"/>
        </w:rPr>
      </w:pPr>
      <w:bookmarkStart w:id="63" w:name="_Toc15377217"/>
      <w:bookmarkStart w:id="64" w:name="_Toc15940"/>
      <w:r>
        <w:rPr>
          <w:rFonts w:ascii="仿宋" w:eastAsia="仿宋" w:cs="仿宋" w:hAnsi="仿宋" w:hint="eastAsia"/>
          <w:b/>
          <w:sz w:val="32"/>
          <w:szCs w:val="32"/>
        </w:rPr>
        <w:t>（二）“三公”经费财政拨款支出决算具体情况说明</w:t>
      </w:r>
      <w:bookmarkEnd w:id="63"/>
      <w:bookmarkEnd w:id="64"/>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2023年度“三公”经费财政拨款支出决算中，因公出国（境）费支出决算0万元，占0%；公务用车购置及运行维护费支出决算6</w:t>
      </w:r>
      <w:r>
        <w:rPr>
          <w:rFonts w:ascii="仿宋" w:eastAsia="仿宋" w:cs="仿宋" w:hAnsi="仿宋" w:hint="eastAsia"/>
          <w:sz w:val="32"/>
          <w:szCs w:val="32"/>
          <w:lang w:val="en-US" w:eastAsia="zh-CN"/>
        </w:rPr>
        <w:t>.32</w:t>
      </w:r>
      <w:r>
        <w:rPr>
          <w:rFonts w:ascii="仿宋" w:eastAsia="仿宋" w:cs="仿宋" w:hAnsi="仿宋" w:hint="eastAsia"/>
          <w:sz w:val="32"/>
          <w:szCs w:val="32"/>
        </w:rPr>
        <w:t>万元，占94.67%；公务接待费支出决算0.36万元，占5.32%。具体情况如下：</w:t>
      </w:r>
    </w:p>
    <w:p>
      <w:pPr>
        <w:pageBreakBefore w:val="0"/>
        <w:widowControl w:val="0"/>
        <w:kinsoku/>
        <w:wordWrap/>
        <w:topLinePunct w:val="0"/>
        <w:bidi w:val="0"/>
        <w:spacing w:line="576" w:lineRule="exact"/>
        <w:rPr>
          <w:rFonts w:hint="eastAsia"/>
        </w:rPr>
      </w:pPr>
      <w:r>
        <w:drawing>
          <wp:anchor distT="0" distB="0" distL="114300" distR="114300" simplePos="0" relativeHeight="34" behindDoc="0" locked="0" layoutInCell="1" hidden="0" allowOverlap="1">
            <wp:simplePos x="0" y="0"/>
            <wp:positionH relativeFrom="column">
              <wp:posOffset>537845</wp:posOffset>
            </wp:positionH>
            <wp:positionV relativeFrom="paragraph">
              <wp:posOffset>25400</wp:posOffset>
            </wp:positionV>
            <wp:extent cx="4533265" cy="2580640"/>
            <wp:effectExtent l="4444" t="4444" r="15240" b="5715"/>
            <wp:wrapTopAndBottom/>
            <wp:docPr id="13" name="图表 6"/>
            <wp:cNvGraphicFramePr>
              <a:graphicFrameLocks noChangeAspect="0"/>
            </wp:cNvGraphicFramePr>
            <a:graphic>
              <a:graphicData uri="http://schemas.openxmlformats.org/drawingml/2006/chart">
                <c:chart xmlns:c="http://schemas.openxmlformats.org/drawingml/2006/chart" r:id="rId13"/>
              </a:graphicData>
            </a:graphic>
          </wp:anchor>
        </w:drawing>
      </w:r>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bookmarkStart w:id="65" w:name="_Toc15396610"/>
      <w:bookmarkStart w:id="66" w:name="_Toc15377218"/>
      <w:r>
        <w:rPr>
          <w:rFonts w:ascii="仿宋" w:eastAsia="仿宋" w:cs="仿宋" w:hAnsi="仿宋" w:hint="eastAsia"/>
          <w:sz w:val="32"/>
          <w:szCs w:val="32"/>
        </w:rPr>
        <w:t>1.因公出国（境）经费支出0万元，完成预算0%。</w:t>
      </w:r>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2.公务用车购置及运行维护费支出6万元,完成预算100%。截至2023年12月31日，单位共有公务用车</w:t>
      </w:r>
      <w:r>
        <w:rPr>
          <w:rFonts w:ascii="仿宋" w:eastAsia="仿宋" w:cs="仿宋" w:hAnsi="仿宋" w:hint="eastAsia"/>
          <w:sz w:val="32"/>
          <w:szCs w:val="32"/>
          <w:lang w:val="en-US" w:eastAsia="zh-CN"/>
        </w:rPr>
        <w:t>1</w:t>
      </w:r>
      <w:r>
        <w:rPr>
          <w:rFonts w:ascii="仿宋" w:eastAsia="仿宋" w:cs="仿宋" w:hAnsi="仿宋" w:hint="eastAsia"/>
          <w:sz w:val="32"/>
          <w:szCs w:val="32"/>
        </w:rPr>
        <w:t>辆，其中：轿车</w:t>
      </w:r>
      <w:r>
        <w:rPr>
          <w:rFonts w:ascii="仿宋" w:eastAsia="仿宋" w:cs="仿宋" w:hAnsi="仿宋" w:hint="eastAsia"/>
          <w:sz w:val="32"/>
          <w:szCs w:val="32"/>
          <w:lang w:val="en-US" w:eastAsia="zh-CN"/>
        </w:rPr>
        <w:t>1</w:t>
      </w:r>
      <w:r>
        <w:rPr>
          <w:rFonts w:ascii="仿宋" w:eastAsia="仿宋" w:cs="仿宋" w:hAnsi="仿宋" w:hint="eastAsia"/>
          <w:sz w:val="32"/>
          <w:szCs w:val="32"/>
        </w:rPr>
        <w:t>辆。</w:t>
      </w:r>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公务用车运行维护费支出6.32万元。主要用于主要用于</w:t>
      </w:r>
      <w:r>
        <w:rPr>
          <w:rFonts w:ascii="仿宋" w:eastAsia="仿宋" w:cs="仿宋" w:hAnsi="仿宋" w:hint="eastAsia"/>
          <w:sz w:val="32"/>
          <w:szCs w:val="32"/>
          <w:lang w:eastAsia="zh-CN"/>
        </w:rPr>
        <w:t>招商引资、考察学习、调研指导等公务活动出行保障用车</w:t>
      </w:r>
      <w:r>
        <w:rPr>
          <w:rFonts w:ascii="仿宋" w:eastAsia="仿宋" w:cs="仿宋" w:hAnsi="仿宋" w:hint="eastAsia"/>
          <w:sz w:val="32"/>
          <w:szCs w:val="32"/>
        </w:rPr>
        <w:t>等所需的公务用车燃料费、维修费、过路过桥费、保险费等支出。</w:t>
      </w:r>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rPr>
        <w:t>3.公务接待费支出0.36万元，完成预算100%。公务接待费支出决算比2022年度减少</w:t>
      </w:r>
      <w:r>
        <w:rPr>
          <w:rFonts w:ascii="仿宋" w:eastAsia="仿宋" w:cs="仿宋" w:hAnsi="仿宋" w:hint="eastAsia"/>
          <w:sz w:val="32"/>
          <w:szCs w:val="32"/>
          <w:lang w:val="en-US" w:eastAsia="zh-CN"/>
        </w:rPr>
        <w:t>4.64</w:t>
      </w:r>
      <w:r>
        <w:rPr>
          <w:rFonts w:ascii="仿宋" w:eastAsia="仿宋" w:cs="仿宋" w:hAnsi="仿宋" w:hint="eastAsia"/>
          <w:sz w:val="32"/>
          <w:szCs w:val="32"/>
        </w:rPr>
        <w:t>万元，下降</w:t>
      </w:r>
      <w:r>
        <w:rPr>
          <w:rFonts w:ascii="仿宋" w:eastAsia="仿宋" w:cs="仿宋" w:hAnsi="仿宋" w:hint="eastAsia"/>
          <w:sz w:val="32"/>
          <w:szCs w:val="32"/>
          <w:lang w:val="en-US" w:eastAsia="zh-CN"/>
        </w:rPr>
        <w:t>92.8</w:t>
      </w:r>
      <w:r>
        <w:rPr>
          <w:rFonts w:ascii="仿宋" w:eastAsia="仿宋" w:cs="仿宋" w:hAnsi="仿宋" w:hint="eastAsia"/>
          <w:sz w:val="32"/>
          <w:szCs w:val="32"/>
        </w:rPr>
        <w:t>%。主要原因是</w:t>
      </w:r>
      <w:r>
        <w:rPr>
          <w:rFonts w:ascii="仿宋" w:eastAsia="仿宋" w:cs="仿宋" w:hAnsi="仿宋" w:hint="eastAsia"/>
          <w:sz w:val="32"/>
          <w:szCs w:val="32"/>
          <w:lang w:val="en-US" w:eastAsia="zh-CN"/>
        </w:rPr>
        <w:t>2023年度公务接待活动减少。</w:t>
      </w:r>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国内公务接待支出0.36万元，主要用于</w:t>
      </w:r>
      <w:r>
        <w:rPr>
          <w:rFonts w:ascii="仿宋" w:eastAsia="仿宋" w:cs="仿宋" w:hAnsi="仿宋" w:hint="eastAsia"/>
          <w:sz w:val="32"/>
          <w:szCs w:val="32"/>
          <w:lang w:eastAsia="zh-CN"/>
        </w:rPr>
        <w:t>民营经济服务中心的业务活动</w:t>
      </w:r>
      <w:r>
        <w:rPr>
          <w:rFonts w:ascii="仿宋" w:eastAsia="仿宋" w:cs="仿宋" w:hAnsi="仿宋" w:hint="eastAsia"/>
          <w:sz w:val="32"/>
          <w:szCs w:val="32"/>
        </w:rPr>
        <w:t>开支的交通费、住宿费、用餐费等。国内公务接待</w:t>
      </w:r>
      <w:r>
        <w:rPr>
          <w:rFonts w:ascii="仿宋" w:eastAsia="仿宋" w:cs="仿宋" w:hAnsi="仿宋" w:hint="eastAsia"/>
          <w:sz w:val="32"/>
          <w:szCs w:val="32"/>
          <w:lang w:val="en-US" w:eastAsia="zh-CN"/>
        </w:rPr>
        <w:t>3</w:t>
      </w:r>
      <w:r>
        <w:rPr>
          <w:rFonts w:ascii="仿宋" w:eastAsia="仿宋" w:cs="仿宋" w:hAnsi="仿宋" w:hint="eastAsia"/>
          <w:sz w:val="32"/>
          <w:szCs w:val="32"/>
        </w:rPr>
        <w:t>批次，</w:t>
      </w:r>
      <w:r>
        <w:rPr>
          <w:rFonts w:ascii="仿宋" w:eastAsia="仿宋" w:cs="仿宋" w:hAnsi="仿宋" w:hint="eastAsia"/>
          <w:sz w:val="32"/>
          <w:szCs w:val="32"/>
          <w:lang w:val="en-US" w:eastAsia="zh-CN"/>
        </w:rPr>
        <w:t>37</w:t>
      </w:r>
      <w:r>
        <w:rPr>
          <w:rFonts w:ascii="仿宋" w:eastAsia="仿宋" w:cs="仿宋" w:hAnsi="仿宋" w:hint="eastAsia"/>
          <w:sz w:val="32"/>
          <w:szCs w:val="32"/>
        </w:rPr>
        <w:t>人次（不包括陪同人员），共计支出</w:t>
      </w:r>
      <w:r>
        <w:rPr>
          <w:rFonts w:ascii="仿宋" w:eastAsia="仿宋" w:cs="仿宋" w:hAnsi="仿宋" w:hint="eastAsia"/>
          <w:sz w:val="32"/>
          <w:szCs w:val="32"/>
          <w:lang w:val="en-US" w:eastAsia="zh-CN"/>
        </w:rPr>
        <w:t>0.36</w:t>
      </w:r>
      <w:r>
        <w:rPr>
          <w:rFonts w:ascii="仿宋" w:eastAsia="仿宋" w:cs="仿宋" w:hAnsi="仿宋" w:hint="eastAsia"/>
          <w:sz w:val="32"/>
          <w:szCs w:val="32"/>
        </w:rPr>
        <w:t>万元，具体内容包括：</w:t>
      </w:r>
      <w:r>
        <w:rPr>
          <w:rFonts w:ascii="仿宋" w:eastAsia="仿宋" w:cs="仿宋" w:hAnsi="仿宋" w:hint="eastAsia"/>
          <w:sz w:val="32"/>
          <w:szCs w:val="32"/>
          <w:lang w:eastAsia="zh-CN"/>
        </w:rPr>
        <w:t>接待</w:t>
      </w:r>
      <w:r>
        <w:rPr>
          <w:rFonts w:ascii="仿宋" w:eastAsia="仿宋" w:cs="仿宋" w:hAnsi="仿宋" w:hint="eastAsia"/>
          <w:sz w:val="32"/>
          <w:szCs w:val="32"/>
        </w:rPr>
        <w:t>。</w:t>
      </w:r>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外事接待支出0万元。</w:t>
      </w:r>
    </w:p>
    <w:p>
      <w:pPr>
        <w:pageBreakBefore w:val="0"/>
        <w:widowControl w:val="0"/>
        <w:kinsoku/>
        <w:wordWrap/>
        <w:topLinePunct w:val="0"/>
        <w:bidi w:val="0"/>
        <w:spacing w:line="576" w:lineRule="exact"/>
        <w:ind w:firstLine="640"/>
        <w:textAlignment w:val="auto"/>
        <w:outlineLvl w:val="1"/>
        <w:rPr>
          <w:rStyle w:val="2Char"/>
          <w:rFonts w:ascii="黑体" w:eastAsia="黑体" w:cs="黑体" w:hAnsi="黑体" w:hint="eastAsia"/>
          <w:sz w:val="32"/>
          <w:szCs w:val="32"/>
        </w:rPr>
      </w:pPr>
      <w:bookmarkStart w:id="67" w:name="_Toc20441"/>
      <w:r>
        <w:rPr>
          <w:rFonts w:ascii="黑体" w:eastAsia="黑体" w:cs="黑体" w:hAnsi="黑体" w:hint="eastAsia"/>
          <w:sz w:val="32"/>
          <w:szCs w:val="32"/>
        </w:rPr>
        <w:t>八、</w:t>
      </w:r>
      <w:r>
        <w:rPr>
          <w:rStyle w:val="2Char"/>
          <w:rFonts w:ascii="黑体" w:eastAsia="黑体" w:cs="黑体" w:hAnsi="黑体" w:hint="eastAsia"/>
          <w:b w:val="0"/>
          <w:sz w:val="32"/>
          <w:szCs w:val="32"/>
        </w:rPr>
        <w:t>政府性基金预算支出决算情况说明</w:t>
      </w:r>
      <w:bookmarkEnd w:id="65"/>
      <w:bookmarkEnd w:id="66"/>
      <w:bookmarkEnd w:id="67"/>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2023年度政府性基金预算财政拨款支出</w:t>
      </w:r>
      <w:r>
        <w:rPr>
          <w:rFonts w:ascii="仿宋" w:eastAsia="仿宋" w:cs="仿宋" w:hAnsi="仿宋" w:hint="eastAsia"/>
          <w:sz w:val="32"/>
          <w:szCs w:val="32"/>
          <w:lang w:val="en-US" w:eastAsia="zh-CN"/>
        </w:rPr>
        <w:t>0.00</w:t>
      </w:r>
      <w:r>
        <w:rPr>
          <w:rFonts w:ascii="仿宋" w:eastAsia="仿宋" w:cs="仿宋" w:hAnsi="仿宋" w:hint="eastAsia"/>
          <w:sz w:val="32"/>
          <w:szCs w:val="32"/>
        </w:rPr>
        <w:t>万元。</w:t>
      </w:r>
    </w:p>
    <w:p>
      <w:pPr>
        <w:pageBreakBefore w:val="0"/>
        <w:widowControl w:val="0"/>
        <w:kinsoku/>
        <w:wordWrap/>
        <w:topLinePunct w:val="0"/>
        <w:bidi w:val="0"/>
        <w:spacing w:line="576" w:lineRule="exact"/>
        <w:ind w:firstLine="640"/>
        <w:textAlignment w:val="auto"/>
        <w:outlineLvl w:val="1"/>
        <w:rPr>
          <w:rStyle w:val="2Char"/>
          <w:rFonts w:ascii="黑体" w:eastAsia="黑体" w:cs="黑体" w:hAnsi="黑体" w:hint="eastAsia"/>
          <w:b w:val="0"/>
          <w:sz w:val="32"/>
          <w:szCs w:val="32"/>
        </w:rPr>
      </w:pPr>
      <w:bookmarkStart w:id="68" w:name="_Toc26046"/>
      <w:bookmarkStart w:id="69" w:name="_Toc15377219"/>
      <w:bookmarkStart w:id="70" w:name="_Toc15396611"/>
      <w:r>
        <w:rPr>
          <w:rStyle w:val="2Char"/>
          <w:rFonts w:ascii="黑体" w:eastAsia="黑体" w:cs="黑体" w:hAnsi="黑体" w:hint="eastAsia"/>
          <w:b w:val="0"/>
          <w:sz w:val="32"/>
          <w:szCs w:val="32"/>
          <w:lang w:eastAsia="zh-CN"/>
        </w:rPr>
        <w:t>九、</w:t>
      </w:r>
      <w:r>
        <w:rPr>
          <w:rStyle w:val="2Char"/>
          <w:rFonts w:ascii="黑体" w:eastAsia="黑体" w:cs="黑体" w:hAnsi="黑体" w:hint="eastAsia"/>
          <w:b w:val="0"/>
          <w:sz w:val="32"/>
          <w:szCs w:val="32"/>
        </w:rPr>
        <w:t>国有资本经营预算支出决算情况说明</w:t>
      </w:r>
      <w:bookmarkEnd w:id="68"/>
      <w:bookmarkEnd w:id="69"/>
      <w:bookmarkEnd w:id="70"/>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2023年度国有资本经营预算财政拨款支出</w:t>
      </w:r>
      <w:r>
        <w:rPr>
          <w:rFonts w:ascii="仿宋" w:eastAsia="仿宋" w:cs="仿宋" w:hAnsi="仿宋" w:hint="eastAsia"/>
          <w:sz w:val="32"/>
          <w:szCs w:val="32"/>
          <w:lang w:val="en-US" w:eastAsia="zh-CN"/>
        </w:rPr>
        <w:t>0.00</w:t>
      </w:r>
      <w:r>
        <w:rPr>
          <w:rFonts w:ascii="仿宋" w:eastAsia="仿宋" w:cs="仿宋" w:hAnsi="仿宋" w:hint="eastAsia"/>
          <w:sz w:val="32"/>
          <w:szCs w:val="32"/>
        </w:rPr>
        <w:t>万元。</w:t>
      </w:r>
    </w:p>
    <w:p>
      <w:pPr>
        <w:pageBreakBefore w:val="0"/>
        <w:widowControl w:val="0"/>
        <w:kinsoku/>
        <w:wordWrap/>
        <w:topLinePunct w:val="0"/>
        <w:bidi w:val="0"/>
        <w:spacing w:line="576" w:lineRule="exact"/>
        <w:ind w:left="0" w:firstLineChars="200" w:firstLine="640"/>
        <w:textAlignment w:val="auto"/>
        <w:outlineLvl w:val="1"/>
        <w:rPr>
          <w:rStyle w:val="2Char"/>
          <w:rFonts w:ascii="黑体" w:eastAsia="黑体" w:cs="黑体" w:hAnsi="黑体" w:hint="eastAsia"/>
          <w:b w:val="0"/>
          <w:sz w:val="32"/>
          <w:szCs w:val="32"/>
        </w:rPr>
      </w:pPr>
      <w:bookmarkStart w:id="71" w:name="_Toc5520"/>
      <w:bookmarkStart w:id="72" w:name="_Toc15396612"/>
      <w:bookmarkStart w:id="73" w:name="_Toc15377221"/>
      <w:r>
        <w:rPr>
          <w:rStyle w:val="2Char"/>
          <w:rFonts w:ascii="黑体" w:eastAsia="黑体" w:cs="黑体" w:hAnsi="黑体" w:hint="eastAsia"/>
          <w:b w:val="0"/>
          <w:sz w:val="32"/>
          <w:szCs w:val="32"/>
          <w:lang w:eastAsia="zh-CN"/>
        </w:rPr>
        <w:t>十、</w:t>
      </w:r>
      <w:r>
        <w:rPr>
          <w:rStyle w:val="2Char"/>
          <w:rFonts w:ascii="黑体" w:eastAsia="黑体" w:cs="黑体" w:hAnsi="黑体" w:hint="eastAsia"/>
          <w:b w:val="0"/>
          <w:sz w:val="32"/>
          <w:szCs w:val="32"/>
        </w:rPr>
        <w:t>其他重要事项的情况说明</w:t>
      </w:r>
      <w:bookmarkEnd w:id="71"/>
      <w:bookmarkEnd w:id="72"/>
      <w:bookmarkEnd w:id="73"/>
    </w:p>
    <w:p>
      <w:pPr>
        <w:pageBreakBefore w:val="0"/>
        <w:widowControl w:val="0"/>
        <w:kinsoku/>
        <w:wordWrap/>
        <w:topLinePunct w:val="0"/>
        <w:bidi w:val="0"/>
        <w:spacing w:line="576" w:lineRule="exact"/>
        <w:ind w:firstLineChars="200" w:firstLine="640"/>
        <w:textAlignment w:val="auto"/>
        <w:outlineLvl w:val="2"/>
        <w:rPr>
          <w:rFonts w:ascii="仿宋" w:eastAsia="仿宋" w:cs="仿宋" w:hAnsi="仿宋" w:hint="eastAsia"/>
          <w:sz w:val="32"/>
          <w:szCs w:val="32"/>
        </w:rPr>
      </w:pPr>
      <w:bookmarkStart w:id="74" w:name="_Toc32074"/>
      <w:bookmarkStart w:id="75" w:name="_Toc15377222"/>
      <w:r>
        <w:rPr>
          <w:rFonts w:ascii="仿宋" w:eastAsia="仿宋" w:cs="仿宋" w:hAnsi="仿宋" w:hint="eastAsia"/>
          <w:b/>
          <w:sz w:val="32"/>
          <w:szCs w:val="32"/>
        </w:rPr>
        <w:t>（一）机关运行经费支出情况</w:t>
      </w:r>
      <w:bookmarkEnd w:id="74"/>
      <w:bookmarkEnd w:id="75"/>
    </w:p>
    <w:p>
      <w:pPr>
        <w:pageBreakBefore w:val="0"/>
        <w:widowControl w:val="0"/>
        <w:kinsoku/>
        <w:wordWrap/>
        <w:topLinePunct w:val="0"/>
        <w:bidi w:val="0"/>
        <w:spacing w:line="576" w:lineRule="exact"/>
        <w:ind w:firstLine="640"/>
        <w:textAlignment w:val="auto"/>
        <w:rPr>
          <w:rFonts w:ascii="仿宋" w:eastAsia="仿宋" w:cs="仿宋" w:hAnsi="仿宋" w:hint="eastAsia"/>
          <w:sz w:val="32"/>
          <w:szCs w:val="32"/>
        </w:rPr>
      </w:pPr>
      <w:r>
        <w:rPr>
          <w:rFonts w:ascii="仿宋" w:eastAsia="仿宋" w:cs="仿宋" w:hAnsi="仿宋" w:hint="eastAsia"/>
          <w:sz w:val="32"/>
          <w:szCs w:val="32"/>
        </w:rPr>
        <w:t>2023年度，广元市利州区人民政府办公室(本级）机关运行经费支出84.57万元，比2022年度</w:t>
      </w:r>
      <w:r>
        <w:rPr>
          <w:rFonts w:ascii="仿宋" w:eastAsia="仿宋" w:cs="仿宋" w:hAnsi="仿宋" w:hint="eastAsia"/>
          <w:sz w:val="32"/>
          <w:szCs w:val="32"/>
          <w:lang w:eastAsia="zh-CN"/>
        </w:rPr>
        <w:t>增加</w:t>
      </w:r>
      <w:r>
        <w:rPr>
          <w:rFonts w:ascii="仿宋" w:eastAsia="仿宋" w:cs="仿宋" w:hAnsi="仿宋" w:hint="eastAsia"/>
          <w:sz w:val="32"/>
          <w:szCs w:val="32"/>
          <w:lang w:val="en-US" w:eastAsia="zh-CN"/>
        </w:rPr>
        <w:t>18.1</w:t>
      </w:r>
      <w:r>
        <w:rPr>
          <w:rFonts w:ascii="仿宋" w:eastAsia="仿宋" w:cs="仿宋" w:hAnsi="仿宋" w:hint="eastAsia"/>
          <w:sz w:val="32"/>
          <w:szCs w:val="32"/>
        </w:rPr>
        <w:t>万元，</w:t>
      </w:r>
      <w:r>
        <w:rPr>
          <w:rFonts w:ascii="仿宋" w:eastAsia="仿宋" w:cs="仿宋" w:hAnsi="仿宋" w:hint="eastAsia"/>
          <w:sz w:val="32"/>
          <w:szCs w:val="32"/>
          <w:lang w:eastAsia="zh-CN"/>
        </w:rPr>
        <w:t>增长</w:t>
      </w:r>
      <w:r>
        <w:rPr>
          <w:rFonts w:ascii="仿宋" w:eastAsia="仿宋" w:cs="仿宋" w:hAnsi="仿宋" w:hint="eastAsia"/>
          <w:sz w:val="32"/>
          <w:szCs w:val="32"/>
          <w:lang w:val="en-US" w:eastAsia="zh-CN"/>
        </w:rPr>
        <w:t>27.23</w:t>
      </w:r>
      <w:r>
        <w:rPr>
          <w:rFonts w:ascii="仿宋" w:eastAsia="仿宋" w:cs="仿宋" w:hAnsi="仿宋" w:hint="eastAsia"/>
          <w:sz w:val="32"/>
          <w:szCs w:val="32"/>
        </w:rPr>
        <w:t>%。主要原因是</w:t>
      </w:r>
      <w:r>
        <w:rPr>
          <w:rFonts w:ascii="仿宋" w:eastAsia="仿宋" w:cs="仿宋" w:hAnsi="仿宋" w:hint="eastAsia"/>
          <w:sz w:val="32"/>
          <w:szCs w:val="32"/>
          <w:lang w:eastAsia="zh-CN"/>
        </w:rPr>
        <w:t>人员变动导致公用经费</w:t>
      </w:r>
      <w:r>
        <w:rPr>
          <w:rFonts w:ascii="仿宋" w:eastAsia="仿宋" w:cs="仿宋" w:hAnsi="仿宋" w:hint="eastAsia"/>
          <w:sz w:val="32"/>
          <w:szCs w:val="32"/>
        </w:rPr>
        <w:t>。</w:t>
      </w:r>
    </w:p>
    <w:p>
      <w:pPr>
        <w:pageBreakBefore w:val="0"/>
        <w:widowControl w:val="0"/>
        <w:kinsoku/>
        <w:wordWrap/>
        <w:topLinePunct w:val="0"/>
        <w:autoSpaceDE w:val="0"/>
        <w:autoSpaceDN w:val="0"/>
        <w:bidi w:val="0"/>
        <w:adjustRightInd w:val="0"/>
        <w:spacing w:line="576" w:lineRule="exact"/>
        <w:ind w:firstLineChars="200" w:firstLine="640"/>
        <w:jc w:val="left"/>
        <w:textAlignment w:val="auto"/>
        <w:outlineLvl w:val="2"/>
        <w:rPr>
          <w:rFonts w:ascii="仿宋" w:eastAsia="仿宋" w:cs="仿宋" w:hAnsi="仿宋" w:hint="eastAsia"/>
          <w:b/>
          <w:sz w:val="32"/>
          <w:szCs w:val="32"/>
        </w:rPr>
      </w:pPr>
      <w:bookmarkStart w:id="76" w:name="_Toc15377223"/>
      <w:bookmarkStart w:id="77" w:name="_Toc15733"/>
      <w:r>
        <w:rPr>
          <w:rFonts w:ascii="仿宋" w:eastAsia="仿宋" w:cs="仿宋" w:hAnsi="仿宋" w:hint="eastAsia"/>
          <w:b/>
          <w:sz w:val="32"/>
          <w:szCs w:val="32"/>
        </w:rPr>
        <w:t>（二）政府采购支出情况</w:t>
      </w:r>
      <w:bookmarkEnd w:id="76"/>
      <w:bookmarkEnd w:id="77"/>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2023年度，广元市利州区人民政府办公室(本级）政府采购支出总额0</w:t>
      </w:r>
      <w:r>
        <w:rPr>
          <w:rFonts w:ascii="仿宋" w:eastAsia="仿宋" w:cs="仿宋" w:hAnsi="仿宋" w:hint="eastAsia"/>
          <w:sz w:val="32"/>
          <w:szCs w:val="32"/>
          <w:lang w:val="en-US" w:eastAsia="zh-CN"/>
        </w:rPr>
        <w:t>.00</w:t>
      </w:r>
      <w:r>
        <w:rPr>
          <w:rFonts w:ascii="仿宋" w:eastAsia="仿宋" w:cs="仿宋" w:hAnsi="仿宋" w:hint="eastAsia"/>
          <w:sz w:val="32"/>
          <w:szCs w:val="32"/>
        </w:rPr>
        <w:t>万元。</w:t>
      </w:r>
    </w:p>
    <w:p>
      <w:pPr>
        <w:pageBreakBefore w:val="0"/>
        <w:widowControl w:val="0"/>
        <w:kinsoku/>
        <w:wordWrap/>
        <w:topLinePunct w:val="0"/>
        <w:autoSpaceDE w:val="0"/>
        <w:autoSpaceDN w:val="0"/>
        <w:bidi w:val="0"/>
        <w:adjustRightInd w:val="0"/>
        <w:spacing w:line="576" w:lineRule="exact"/>
        <w:ind w:firstLineChars="200" w:firstLine="640"/>
        <w:jc w:val="left"/>
        <w:textAlignment w:val="auto"/>
        <w:outlineLvl w:val="2"/>
        <w:rPr>
          <w:rFonts w:ascii="仿宋" w:eastAsia="仿宋" w:cs="仿宋" w:hAnsi="仿宋" w:hint="eastAsia"/>
          <w:b/>
          <w:sz w:val="32"/>
          <w:szCs w:val="32"/>
        </w:rPr>
      </w:pPr>
      <w:bookmarkStart w:id="78" w:name="_Toc15377224"/>
      <w:bookmarkStart w:id="79" w:name="_Toc16412"/>
      <w:r>
        <w:rPr>
          <w:rFonts w:ascii="仿宋" w:eastAsia="仿宋" w:cs="仿宋" w:hAnsi="仿宋" w:hint="eastAsia"/>
          <w:b/>
          <w:sz w:val="32"/>
          <w:szCs w:val="32"/>
        </w:rPr>
        <w:t>（三）国有资产占有使用情况</w:t>
      </w:r>
      <w:bookmarkEnd w:id="78"/>
      <w:bookmarkEnd w:id="79"/>
    </w:p>
    <w:p>
      <w:pPr>
        <w:pageBreakBefore w:val="0"/>
        <w:widowControl w:val="0"/>
        <w:kinsoku/>
        <w:wordWrap/>
        <w:topLinePunct w:val="0"/>
        <w:autoSpaceDE w:val="0"/>
        <w:autoSpaceDN w:val="0"/>
        <w:bidi w:val="0"/>
        <w:adjustRightInd w:val="0"/>
        <w:spacing w:line="576" w:lineRule="exact"/>
        <w:ind w:firstLineChars="200" w:firstLine="640"/>
        <w:jc w:val="left"/>
        <w:textAlignment w:val="auto"/>
        <w:rPr>
          <w:rFonts w:ascii="仿宋" w:eastAsia="仿宋" w:cs="仿宋" w:hAnsi="仿宋" w:hint="eastAsia"/>
          <w:sz w:val="32"/>
          <w:szCs w:val="32"/>
        </w:rPr>
      </w:pPr>
      <w:r>
        <w:rPr>
          <w:rFonts w:ascii="仿宋" w:eastAsia="仿宋" w:cs="仿宋" w:hAnsi="仿宋" w:hint="eastAsia"/>
          <w:sz w:val="32"/>
          <w:szCs w:val="32"/>
        </w:rPr>
        <w:t>截至2023年12月31日，广元市利州区人民政府办公室(本级）共有车辆1辆，其中：应急保障用车</w:t>
      </w:r>
      <w:r>
        <w:rPr>
          <w:rFonts w:ascii="仿宋" w:eastAsia="仿宋" w:cs="仿宋" w:hAnsi="仿宋" w:hint="eastAsia"/>
          <w:sz w:val="32"/>
          <w:szCs w:val="32"/>
          <w:lang w:val="en-US" w:eastAsia="zh-CN"/>
        </w:rPr>
        <w:t>1</w:t>
      </w:r>
      <w:r>
        <w:rPr>
          <w:rFonts w:ascii="仿宋" w:eastAsia="仿宋" w:cs="仿宋" w:hAnsi="仿宋" w:hint="eastAsia"/>
          <w:sz w:val="32"/>
          <w:szCs w:val="32"/>
        </w:rPr>
        <w:t>辆。单价100万元以上设备（不含车辆）0台（套）。</w:t>
      </w:r>
    </w:p>
    <w:p>
      <w:pPr>
        <w:pageBreakBefore w:val="0"/>
        <w:widowControl w:val="0"/>
        <w:kinsoku/>
        <w:wordWrap/>
        <w:topLinePunct w:val="0"/>
        <w:autoSpaceDE w:val="0"/>
        <w:autoSpaceDN w:val="0"/>
        <w:bidi w:val="0"/>
        <w:adjustRightInd w:val="0"/>
        <w:spacing w:line="576" w:lineRule="exact"/>
        <w:ind w:firstLineChars="200" w:firstLine="640"/>
        <w:jc w:val="left"/>
        <w:textAlignment w:val="auto"/>
        <w:outlineLvl w:val="2"/>
        <w:rPr>
          <w:rFonts w:ascii="仿宋" w:eastAsia="仿宋" w:cs="仿宋" w:hAnsi="仿宋" w:hint="eastAsia"/>
          <w:b/>
          <w:sz w:val="32"/>
          <w:szCs w:val="32"/>
        </w:rPr>
      </w:pPr>
      <w:bookmarkStart w:id="80" w:name="_Toc13092"/>
      <w:r>
        <w:rPr>
          <w:rFonts w:ascii="仿宋" w:eastAsia="仿宋" w:cs="仿宋" w:hAnsi="仿宋" w:hint="eastAsia"/>
          <w:b/>
          <w:sz w:val="32"/>
          <w:szCs w:val="32"/>
        </w:rPr>
        <w:t>（四）预算绩效管理情况</w:t>
      </w:r>
      <w:bookmarkEnd w:id="80"/>
    </w:p>
    <w:p>
      <w:pPr>
        <w:pageBreakBefore w:val="0"/>
        <w:widowControl w:val="0"/>
        <w:kinsoku/>
        <w:wordWrap/>
        <w:topLinePunct w:val="0"/>
        <w:bidi w:val="0"/>
        <w:spacing w:line="576" w:lineRule="exact"/>
        <w:ind w:firstLineChars="200" w:firstLine="640"/>
        <w:textAlignment w:val="auto"/>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根据预算绩效管理要求，本部门在202</w:t>
      </w:r>
      <w:r>
        <w:rPr>
          <w:rFonts w:ascii="仿宋_GB2312" w:eastAsia="仿宋_GB2312" w:cs="仿宋_GB2312" w:hAnsi="仿宋_GB2312" w:hint="eastAsia"/>
          <w:color w:val="auto"/>
          <w:sz w:val="32"/>
          <w:szCs w:val="32"/>
          <w:lang w:val="en-US" w:eastAsia="zh-CN"/>
        </w:rPr>
        <w:t>3</w:t>
      </w:r>
      <w:r>
        <w:rPr>
          <w:rFonts w:ascii="仿宋_GB2312" w:eastAsia="仿宋_GB2312" w:cs="仿宋_GB2312" w:hAnsi="仿宋_GB2312" w:hint="eastAsia"/>
          <w:color w:val="auto"/>
          <w:sz w:val="32"/>
          <w:szCs w:val="32"/>
        </w:rPr>
        <w:t>年度预算编制阶段，组织对</w:t>
      </w:r>
      <w:r>
        <w:rPr>
          <w:rFonts w:ascii="仿宋_GB2312" w:eastAsia="仿宋_GB2312" w:cs="仿宋_GB2312" w:hAnsi="仿宋_GB2312" w:hint="eastAsia"/>
          <w:color w:val="auto"/>
          <w:sz w:val="32"/>
          <w:szCs w:val="32"/>
          <w:lang w:val="en-US" w:eastAsia="zh-CN"/>
        </w:rPr>
        <w:t>地方志修编</w:t>
      </w:r>
      <w:r>
        <w:rPr>
          <w:rFonts w:ascii="仿宋_GB2312" w:eastAsia="仿宋_GB2312" w:cs="仿宋_GB2312" w:hAnsi="仿宋_GB2312" w:hint="eastAsia"/>
          <w:color w:val="auto"/>
          <w:sz w:val="32"/>
          <w:szCs w:val="32"/>
        </w:rPr>
        <w:t>项目等</w:t>
      </w:r>
      <w:r>
        <w:rPr>
          <w:rFonts w:ascii="仿宋_GB2312" w:eastAsia="仿宋_GB2312" w:cs="仿宋_GB2312" w:hAnsi="仿宋_GB2312" w:hint="eastAsia"/>
          <w:color w:val="auto"/>
          <w:sz w:val="32"/>
          <w:szCs w:val="32"/>
          <w:lang w:val="en-US" w:eastAsia="zh-CN"/>
        </w:rPr>
        <w:t>17</w:t>
      </w:r>
      <w:r>
        <w:rPr>
          <w:rFonts w:ascii="仿宋_GB2312" w:eastAsia="仿宋_GB2312" w:cs="仿宋_GB2312" w:hAnsi="仿宋_GB2312" w:hint="eastAsia"/>
          <w:color w:val="auto"/>
          <w:sz w:val="32"/>
          <w:szCs w:val="32"/>
        </w:rPr>
        <w:t>个项目开展了预算事前绩效评估，对</w:t>
      </w:r>
      <w:r>
        <w:rPr>
          <w:rFonts w:ascii="仿宋_GB2312" w:eastAsia="仿宋_GB2312" w:cs="仿宋_GB2312" w:hAnsi="仿宋_GB2312" w:hint="eastAsia"/>
          <w:color w:val="auto"/>
          <w:sz w:val="32"/>
          <w:szCs w:val="32"/>
          <w:lang w:val="en-US" w:eastAsia="zh-CN"/>
        </w:rPr>
        <w:t>17</w:t>
      </w:r>
      <w:r>
        <w:rPr>
          <w:rFonts w:ascii="仿宋_GB2312" w:eastAsia="仿宋_GB2312" w:cs="仿宋_GB2312" w:hAnsi="仿宋_GB2312" w:hint="eastAsia"/>
          <w:color w:val="auto"/>
          <w:sz w:val="32"/>
          <w:szCs w:val="32"/>
        </w:rPr>
        <w:t>个项目编制了绩效目标，预算执行过程中，选取</w:t>
      </w:r>
      <w:r>
        <w:rPr>
          <w:rFonts w:ascii="仿宋_GB2312" w:eastAsia="仿宋_GB2312" w:cs="仿宋_GB2312" w:hAnsi="仿宋_GB2312" w:hint="eastAsia"/>
          <w:color w:val="auto"/>
          <w:sz w:val="32"/>
          <w:szCs w:val="32"/>
          <w:lang w:val="en-US" w:eastAsia="zh-CN"/>
        </w:rPr>
        <w:t>17</w:t>
      </w:r>
      <w:r>
        <w:rPr>
          <w:rFonts w:ascii="仿宋_GB2312" w:eastAsia="仿宋_GB2312" w:cs="仿宋_GB2312" w:hAnsi="仿宋_GB2312" w:hint="eastAsia"/>
          <w:color w:val="auto"/>
          <w:sz w:val="32"/>
          <w:szCs w:val="32"/>
        </w:rPr>
        <w:t>个项目开展绩效监控。</w:t>
      </w:r>
    </w:p>
    <w:p>
      <w:pPr>
        <w:pageBreakBefore w:val="0"/>
        <w:widowControl/>
        <w:kinsoku/>
        <w:wordWrap/>
        <w:topLinePunct w:val="0"/>
        <w:bidi w:val="0"/>
        <w:spacing w:line="576" w:lineRule="exact"/>
        <w:ind w:firstLineChars="200" w:firstLine="640"/>
        <w:jc w:val="left"/>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组织对202</w:t>
      </w:r>
      <w:r>
        <w:rPr>
          <w:rFonts w:ascii="仿宋_GB2312" w:eastAsia="仿宋_GB2312" w:cs="仿宋_GB2312" w:hAnsi="仿宋_GB2312" w:hint="eastAsia"/>
          <w:color w:val="auto"/>
          <w:sz w:val="32"/>
          <w:szCs w:val="32"/>
          <w:lang w:val="en-US" w:eastAsia="zh-CN"/>
        </w:rPr>
        <w:t>3</w:t>
      </w:r>
      <w:r>
        <w:rPr>
          <w:rFonts w:ascii="仿宋_GB2312" w:eastAsia="仿宋_GB2312" w:cs="仿宋_GB2312" w:hAnsi="仿宋_GB2312" w:hint="eastAsia"/>
          <w:color w:val="auto"/>
          <w:sz w:val="32"/>
          <w:szCs w:val="32"/>
        </w:rPr>
        <w:t>年度一般公共预算、政府性基金预算、国有资本经营预算、社会保险基金预算以及资本资产、债券资金等全面开展绩效自评，形成</w:t>
      </w:r>
      <w:r>
        <w:rPr>
          <w:rFonts w:ascii="仿宋_GB2312" w:eastAsia="仿宋_GB2312" w:cs="仿宋_GB2312" w:hAnsi="仿宋_GB2312" w:hint="eastAsia"/>
          <w:color w:val="auto"/>
          <w:sz w:val="32"/>
          <w:szCs w:val="32"/>
          <w:lang w:eastAsia="zh-CN"/>
        </w:rPr>
        <w:t>区政府办</w:t>
      </w:r>
      <w:r>
        <w:rPr>
          <w:rFonts w:ascii="仿宋_GB2312" w:eastAsia="仿宋_GB2312" w:cs="仿宋_GB2312" w:hAnsi="仿宋_GB2312" w:hint="eastAsia"/>
          <w:color w:val="auto"/>
          <w:sz w:val="32"/>
          <w:szCs w:val="32"/>
        </w:rPr>
        <w:t>部门整体（含部门预算项目）绩效自评报告、</w:t>
      </w:r>
      <w:r>
        <w:rPr>
          <w:rFonts w:ascii="仿宋_GB2312" w:eastAsia="仿宋_GB2312" w:cs="仿宋_GB2312" w:hAnsi="仿宋_GB2312" w:hint="eastAsia"/>
          <w:color w:val="auto"/>
          <w:sz w:val="32"/>
          <w:szCs w:val="32"/>
          <w:lang w:val="en-US" w:eastAsia="zh-CN"/>
        </w:rPr>
        <w:t>地方志修编</w:t>
      </w:r>
      <w:r>
        <w:rPr>
          <w:rFonts w:ascii="仿宋_GB2312" w:eastAsia="仿宋_GB2312" w:cs="仿宋_GB2312" w:hAnsi="仿宋_GB2312" w:hint="eastAsia"/>
          <w:color w:val="auto"/>
          <w:sz w:val="32"/>
          <w:szCs w:val="32"/>
        </w:rPr>
        <w:t>等专项预算项目绩效自评报告，其中，</w:t>
      </w:r>
      <w:r>
        <w:rPr>
          <w:rFonts w:ascii="仿宋_GB2312" w:eastAsia="仿宋_GB2312" w:cs="仿宋_GB2312" w:hAnsi="仿宋_GB2312" w:hint="eastAsia"/>
          <w:color w:val="auto"/>
          <w:sz w:val="32"/>
          <w:szCs w:val="32"/>
          <w:lang w:eastAsia="zh-CN"/>
        </w:rPr>
        <w:t>区政府办</w:t>
      </w:r>
      <w:r>
        <w:rPr>
          <w:rFonts w:ascii="仿宋_GB2312" w:eastAsia="仿宋_GB2312" w:cs="仿宋_GB2312" w:hAnsi="仿宋_GB2312" w:hint="eastAsia"/>
          <w:color w:val="auto"/>
          <w:sz w:val="32"/>
          <w:szCs w:val="32"/>
        </w:rPr>
        <w:t>部门部门整体（含部门预算项目）绩效自评得分为</w:t>
      </w:r>
      <w:r>
        <w:rPr>
          <w:rFonts w:ascii="仿宋_GB2312" w:eastAsia="仿宋_GB2312" w:cs="仿宋_GB2312" w:hAnsi="仿宋_GB2312" w:hint="eastAsia"/>
          <w:color w:val="auto"/>
          <w:sz w:val="32"/>
          <w:szCs w:val="32"/>
          <w:lang w:val="en-US" w:eastAsia="zh-CN"/>
        </w:rPr>
        <w:t>92</w:t>
      </w:r>
      <w:r>
        <w:rPr>
          <w:rFonts w:ascii="仿宋_GB2312" w:eastAsia="仿宋_GB2312" w:cs="仿宋_GB2312" w:hAnsi="仿宋_GB2312" w:hint="eastAsia"/>
          <w:color w:val="auto"/>
          <w:sz w:val="32"/>
          <w:szCs w:val="32"/>
        </w:rPr>
        <w:t>分，绩效自评综述：</w:t>
      </w:r>
      <w:r>
        <w:rPr>
          <w:rFonts w:ascii="仿宋_GB2312" w:eastAsia="仿宋_GB2312" w:cs="仿宋_GB2312" w:hAnsi="仿宋_GB2312" w:hint="eastAsia"/>
          <w:color w:val="auto"/>
          <w:sz w:val="32"/>
          <w:szCs w:val="32"/>
          <w:lang w:val="en-US" w:eastAsia="zh-CN"/>
        </w:rPr>
        <w:t>本部门按要求对2023年部门整体支出开展绩效自评，从评价情况来看项目完成、项目效益、满意度等方面绩效指标完成情况良好。</w:t>
      </w:r>
      <w:r>
        <w:rPr>
          <w:rFonts w:ascii="仿宋_GB2312" w:eastAsia="仿宋_GB2312" w:cs="仿宋_GB2312" w:hAnsi="仿宋_GB2312" w:hint="eastAsia"/>
          <w:color w:val="auto"/>
          <w:sz w:val="32"/>
          <w:szCs w:val="32"/>
        </w:rPr>
        <w:t>绩效自评报告详见附件。</w:t>
      </w:r>
    </w:p>
    <w:p>
      <w:pPr>
        <w:pStyle w:val="19"/>
        <w:rPr>
          <w:rFonts w:ascii="仿宋_GB2312" w:eastAsia="仿宋_GB2312" w:cs="仿宋_GB2312" w:hAnsi="仿宋_GB2312" w:hint="eastAsia"/>
          <w:color w:val="auto"/>
          <w:sz w:val="32"/>
          <w:szCs w:val="32"/>
        </w:rPr>
      </w:pPr>
    </w:p>
    <w:p>
      <w:pPr>
        <w:rPr>
          <w:rFonts w:ascii="仿宋_GB2312" w:eastAsia="仿宋_GB2312" w:cs="仿宋_GB2312" w:hAnsi="仿宋_GB2312" w:hint="eastAsia"/>
          <w:color w:val="auto"/>
          <w:sz w:val="32"/>
          <w:szCs w:val="32"/>
        </w:rPr>
      </w:pPr>
    </w:p>
    <w:p>
      <w:pPr>
        <w:pStyle w:val="19"/>
        <w:rPr>
          <w:rFonts w:hint="eastAsia"/>
        </w:rPr>
      </w:pPr>
    </w:p>
    <w:p>
      <w:pPr>
        <w:pageBreakBefore w:val="0"/>
        <w:widowControl w:val="0"/>
        <w:kinsoku/>
        <w:wordWrap/>
        <w:topLinePunct w:val="0"/>
        <w:bidi w:val="0"/>
        <w:spacing w:line="576" w:lineRule="exact"/>
        <w:ind w:firstLineChars="200" w:firstLine="640"/>
        <w:textAlignment w:val="auto"/>
        <w:rPr>
          <w:rFonts w:ascii="仿宋" w:eastAsia="仿宋" w:cs="仿宋" w:hAnsi="仿宋" w:hint="eastAsia"/>
          <w:color w:val="0000FF"/>
          <w:sz w:val="32"/>
          <w:szCs w:val="32"/>
        </w:rPr>
      </w:pPr>
    </w:p>
    <w:p>
      <w:pPr>
        <w:pageBreakBefore w:val="0"/>
        <w:widowControl w:val="0"/>
        <w:numPr>
          <w:ilvl w:val="0"/>
          <w:numId w:val="3"/>
        </w:numPr>
        <w:kinsoku/>
        <w:wordWrap/>
        <w:topLinePunct w:val="0"/>
        <w:bidi w:val="0"/>
        <w:spacing w:line="576" w:lineRule="exact"/>
        <w:ind w:left="0" w:firstLineChars="150" w:firstLine="660"/>
        <w:jc w:val="center"/>
        <w:textAlignment w:val="auto"/>
        <w:outlineLvl w:val="0"/>
        <w:rPr>
          <w:rFonts w:ascii="黑体" w:eastAsia="黑体" w:cs="黑体" w:hAnsi="黑体" w:hint="eastAsia"/>
          <w:sz w:val="44"/>
          <w:szCs w:val="44"/>
        </w:rPr>
      </w:pPr>
      <w:bookmarkStart w:id="81" w:name="_Toc15396613"/>
      <w:bookmarkStart w:id="82" w:name="_Toc15377225"/>
      <w:bookmarkStart w:id="83" w:name="_Toc23493"/>
      <w:r>
        <w:rPr>
          <w:rFonts w:ascii="黑体" w:eastAsia="黑体" w:cs="黑体" w:hAnsi="黑体" w:hint="eastAsia"/>
          <w:sz w:val="44"/>
          <w:szCs w:val="44"/>
        </w:rPr>
        <w:t>名词解释</w:t>
      </w:r>
      <w:bookmarkEnd w:id="81"/>
      <w:bookmarkEnd w:id="82"/>
      <w:bookmarkEnd w:id="83"/>
    </w:p>
    <w:p>
      <w:pPr>
        <w:pageBreakBefore w:val="0"/>
        <w:widowControl w:val="0"/>
        <w:kinsoku/>
        <w:wordWrap/>
        <w:topLinePunct w:val="0"/>
        <w:bidi w:val="0"/>
        <w:spacing w:line="576" w:lineRule="exact"/>
        <w:jc w:val="left"/>
        <w:textAlignment w:val="auto"/>
        <w:rPr>
          <w:rFonts w:ascii="仿宋" w:eastAsia="仿宋" w:cs="仿宋" w:hAnsi="仿宋" w:hint="eastAsia"/>
          <w:b/>
          <w:sz w:val="32"/>
          <w:szCs w:val="32"/>
        </w:rPr>
      </w:pPr>
    </w:p>
    <w:p>
      <w:pPr>
        <w:pStyle w:val="32"/>
        <w:keepNext w:val="0"/>
        <w:keepLines w:val="0"/>
        <w:pageBreakBefore w:val="0"/>
        <w:widowControl w:val="0"/>
        <w:kinsoku/>
        <w:wordWrap/>
        <w:overflowPunct w:val="0"/>
        <w:topLinePunct w:val="0"/>
        <w:autoSpaceDE w:val="0"/>
        <w:autoSpaceDN w:val="0"/>
        <w:bidi w:val="0"/>
        <w:spacing w:line="576" w:lineRule="exact"/>
        <w:ind w:left="0" w:firstLineChars="200" w:firstLine="640"/>
        <w:textAlignment w:val="auto"/>
        <w:outlineLvl w:val="1"/>
        <w:rPr>
          <w:rFonts w:ascii="仿宋" w:eastAsia="仿宋" w:cs="仿宋" w:hAnsi="仿宋" w:hint="eastAsia"/>
          <w:b w:val="0"/>
          <w:bCs w:val="0"/>
          <w:color w:val="auto"/>
          <w:sz w:val="32"/>
          <w:szCs w:val="32"/>
        </w:rPr>
      </w:pPr>
      <w:bookmarkStart w:id="84" w:name="_Toc16185"/>
      <w:bookmarkStart w:id="85" w:name="_Toc50"/>
      <w:bookmarkStart w:id="86" w:name="_Toc18749"/>
      <w:bookmarkStart w:id="87" w:name="_Toc19161"/>
      <w:bookmarkStart w:id="88" w:name="_Toc26893"/>
      <w:bookmarkStart w:id="89" w:name="_Toc21555"/>
      <w:bookmarkStart w:id="90" w:name="_Toc24379"/>
      <w:bookmarkStart w:id="91" w:name="_Toc17576"/>
      <w:bookmarkStart w:id="92" w:name="_Toc15377226"/>
      <w:r>
        <w:rPr>
          <w:rFonts w:ascii="仿宋" w:eastAsia="仿宋" w:cs="仿宋" w:hAnsi="仿宋" w:hint="eastAsia"/>
          <w:b w:val="0"/>
          <w:bCs w:val="0"/>
          <w:color w:val="auto"/>
          <w:sz w:val="32"/>
          <w:szCs w:val="32"/>
        </w:rPr>
        <w:t>1</w:t>
      </w:r>
      <w:r>
        <w:rPr>
          <w:rFonts w:ascii="仿宋" w:eastAsia="仿宋" w:cs="仿宋" w:hAnsi="仿宋" w:hint="eastAsia"/>
          <w:b w:val="0"/>
          <w:bCs w:val="0"/>
          <w:color w:val="auto"/>
          <w:sz w:val="32"/>
          <w:szCs w:val="32"/>
          <w:lang w:eastAsia="zh-CN"/>
        </w:rPr>
        <w:t>．</w:t>
      </w:r>
      <w:r>
        <w:rPr>
          <w:rFonts w:ascii="仿宋" w:eastAsia="仿宋" w:cs="仿宋" w:hAnsi="仿宋" w:hint="eastAsia"/>
          <w:b w:val="0"/>
          <w:bCs w:val="0"/>
          <w:color w:val="auto"/>
          <w:sz w:val="32"/>
          <w:szCs w:val="32"/>
        </w:rPr>
        <w:t>财政拨款收入：指单位从同级财政部门取得的财政预算资金。</w:t>
      </w:r>
      <w:bookmarkEnd w:id="84"/>
      <w:bookmarkEnd w:id="85"/>
      <w:bookmarkEnd w:id="86"/>
      <w:bookmarkEnd w:id="87"/>
      <w:bookmarkEnd w:id="88"/>
      <w:bookmarkEnd w:id="89"/>
      <w:bookmarkEnd w:id="90"/>
      <w:bookmarkEnd w:id="91"/>
    </w:p>
    <w:p>
      <w:pPr>
        <w:pStyle w:val="32"/>
        <w:keepNext w:val="0"/>
        <w:keepLines w:val="0"/>
        <w:pageBreakBefore w:val="0"/>
        <w:widowControl w:val="0"/>
        <w:kinsoku/>
        <w:wordWrap/>
        <w:overflowPunct w:val="0"/>
        <w:topLinePunct w:val="0"/>
        <w:autoSpaceDE w:val="0"/>
        <w:autoSpaceDN w:val="0"/>
        <w:bidi w:val="0"/>
        <w:spacing w:line="576" w:lineRule="exact"/>
        <w:ind w:left="0" w:firstLineChars="200" w:firstLine="640"/>
        <w:textAlignment w:val="auto"/>
        <w:rPr>
          <w:rFonts w:ascii="仿宋" w:eastAsia="仿宋" w:cs="仿宋" w:hAnsi="仿宋" w:hint="eastAsia"/>
          <w:b w:val="0"/>
          <w:bCs w:val="0"/>
          <w:color w:val="auto"/>
          <w:sz w:val="32"/>
          <w:szCs w:val="32"/>
          <w:lang w:eastAsia="zh-CN"/>
        </w:rPr>
      </w:pPr>
      <w:r>
        <w:rPr>
          <w:rFonts w:ascii="仿宋" w:eastAsia="仿宋" w:cs="仿宋" w:hAnsi="仿宋" w:hint="eastAsia"/>
          <w:b w:val="0"/>
          <w:bCs w:val="0"/>
          <w:color w:val="auto"/>
          <w:sz w:val="32"/>
          <w:szCs w:val="32"/>
        </w:rPr>
        <w:t>2</w:t>
      </w:r>
      <w:r>
        <w:rPr>
          <w:rFonts w:ascii="仿宋" w:eastAsia="仿宋" w:cs="仿宋" w:hAnsi="仿宋" w:hint="eastAsia"/>
          <w:b w:val="0"/>
          <w:bCs w:val="0"/>
          <w:color w:val="auto"/>
          <w:sz w:val="32"/>
          <w:szCs w:val="32"/>
          <w:lang w:eastAsia="zh-CN"/>
        </w:rPr>
        <w:t>．</w:t>
      </w:r>
      <w:bookmarkStart w:id="93" w:name="_Toc18342"/>
      <w:bookmarkStart w:id="94" w:name="_Toc8960"/>
      <w:bookmarkStart w:id="95" w:name="_Toc23143"/>
      <w:bookmarkStart w:id="96" w:name="_Toc30357"/>
      <w:r>
        <w:rPr>
          <w:rFonts w:ascii="仿宋" w:eastAsia="仿宋" w:cs="仿宋" w:hAnsi="仿宋" w:hint="eastAsia"/>
          <w:b w:val="0"/>
          <w:bCs w:val="0"/>
          <w:color w:val="auto"/>
          <w:sz w:val="32"/>
          <w:szCs w:val="32"/>
        </w:rPr>
        <w:t>其他收入：指单位取得的除上述收入以外的各项收入。</w:t>
      </w:r>
      <w:bookmarkEnd w:id="93"/>
      <w:bookmarkEnd w:id="94"/>
      <w:bookmarkEnd w:id="95"/>
      <w:bookmarkEnd w:id="96"/>
    </w:p>
    <w:p>
      <w:pPr>
        <w:keepNext w:val="0"/>
        <w:keepLines w:val="0"/>
        <w:pageBreakBefore w:val="0"/>
        <w:widowControl w:val="0"/>
        <w:kinsoku/>
        <w:wordWrap/>
        <w:overflowPunct w:val="0"/>
        <w:topLinePunct w:val="0"/>
        <w:bidi w:val="0"/>
        <w:spacing w:line="576" w:lineRule="exact"/>
        <w:ind w:left="0" w:firstLineChars="200" w:firstLine="640"/>
        <w:textAlignment w:val="auto"/>
        <w:outlineLvl w:val="1"/>
        <w:rPr>
          <w:rFonts w:ascii="仿宋" w:eastAsia="仿宋" w:cs="仿宋" w:hAnsi="仿宋" w:hint="eastAsia"/>
          <w:b w:val="0"/>
          <w:bCs w:val="0"/>
          <w:color w:val="auto"/>
          <w:sz w:val="32"/>
          <w:szCs w:val="32"/>
        </w:rPr>
      </w:pPr>
      <w:bookmarkStart w:id="97" w:name="_Toc15606"/>
      <w:bookmarkStart w:id="98" w:name="_Toc21208"/>
      <w:bookmarkStart w:id="99" w:name="_Toc26189"/>
      <w:bookmarkStart w:id="100" w:name="_Toc4390"/>
      <w:bookmarkStart w:id="101" w:name="_Toc2148"/>
      <w:bookmarkStart w:id="102" w:name="_Toc29316"/>
      <w:bookmarkStart w:id="103" w:name="_Toc26836"/>
      <w:bookmarkStart w:id="104" w:name="_Toc27106"/>
      <w:r>
        <w:rPr>
          <w:rFonts w:ascii="仿宋" w:eastAsia="仿宋" w:cs="仿宋" w:hAnsi="仿宋" w:hint="eastAsia"/>
          <w:b w:val="0"/>
          <w:bCs w:val="0"/>
          <w:color w:val="auto"/>
          <w:sz w:val="32"/>
          <w:szCs w:val="32"/>
          <w:lang w:val="en-US" w:eastAsia="zh-CN"/>
        </w:rPr>
        <w:t>3</w:t>
      </w:r>
      <w:r>
        <w:rPr>
          <w:rFonts w:ascii="仿宋" w:eastAsia="仿宋" w:cs="仿宋" w:hAnsi="仿宋" w:hint="eastAsia"/>
          <w:b w:val="0"/>
          <w:bCs w:val="0"/>
          <w:color w:val="auto"/>
          <w:sz w:val="32"/>
          <w:szCs w:val="32"/>
          <w:lang w:eastAsia="zh-CN"/>
        </w:rPr>
        <w:t>．</w:t>
      </w:r>
      <w:r>
        <w:rPr>
          <w:rStyle w:val="27"/>
          <w:rFonts w:ascii="仿宋" w:eastAsia="仿宋" w:cs="仿宋" w:hAnsi="仿宋" w:hint="eastAsia"/>
          <w:b w:val="0"/>
          <w:bCs w:val="0"/>
          <w:color w:val="auto"/>
          <w:sz w:val="32"/>
          <w:szCs w:val="32"/>
        </w:rPr>
        <w:t>一般公共服务支出：反映政府提供一般公共服务的支出。</w:t>
      </w:r>
      <w:bookmarkEnd w:id="97"/>
      <w:bookmarkEnd w:id="98"/>
      <w:bookmarkEnd w:id="99"/>
      <w:bookmarkEnd w:id="100"/>
      <w:bookmarkEnd w:id="101"/>
      <w:bookmarkEnd w:id="102"/>
      <w:bookmarkEnd w:id="103"/>
      <w:bookmarkEnd w:id="104"/>
    </w:p>
    <w:p>
      <w:pPr>
        <w:keepNext w:val="0"/>
        <w:keepLines w:val="0"/>
        <w:pageBreakBefore w:val="0"/>
        <w:widowControl w:val="0"/>
        <w:tabs>
          <w:tab w:val="left" w:pos="0"/>
        </w:tabs>
        <w:kinsoku/>
        <w:wordWrap/>
        <w:overflowPunct w:val="0"/>
        <w:topLinePunct w:val="0"/>
        <w:bidi w:val="0"/>
        <w:spacing w:line="576" w:lineRule="exact"/>
        <w:ind w:left="0" w:firstLineChars="200" w:firstLine="640"/>
        <w:textAlignment w:val="auto"/>
        <w:rPr>
          <w:rFonts w:ascii="仿宋" w:eastAsia="仿宋" w:cs="仿宋" w:hAnsi="仿宋" w:hint="eastAsia"/>
          <w:b w:val="0"/>
          <w:bCs w:val="0"/>
          <w:color w:val="auto"/>
          <w:sz w:val="32"/>
          <w:szCs w:val="32"/>
        </w:rPr>
      </w:pPr>
      <w:r>
        <w:rPr>
          <w:rStyle w:val="27"/>
          <w:rFonts w:ascii="仿宋" w:eastAsia="仿宋" w:cs="仿宋" w:hAnsi="仿宋" w:hint="eastAsia"/>
          <w:b w:val="0"/>
          <w:bCs w:val="0"/>
          <w:color w:val="auto"/>
          <w:sz w:val="32"/>
          <w:szCs w:val="32"/>
          <w:lang w:val="en-US" w:eastAsia="zh-CN"/>
        </w:rPr>
        <w:t>4</w:t>
      </w:r>
      <w:r>
        <w:rPr>
          <w:rStyle w:val="27"/>
          <w:rFonts w:ascii="仿宋" w:eastAsia="仿宋" w:cs="仿宋" w:hAnsi="仿宋" w:hint="eastAsia"/>
          <w:b w:val="0"/>
          <w:bCs w:val="0"/>
          <w:color w:val="auto"/>
          <w:sz w:val="32"/>
          <w:szCs w:val="32"/>
        </w:rPr>
        <w:t>一般公共服务支出-</w:t>
      </w:r>
      <w:r>
        <w:rPr>
          <w:rFonts w:ascii="仿宋" w:eastAsia="仿宋" w:cs="仿宋" w:hAnsi="仿宋" w:hint="eastAsia"/>
          <w:b w:val="0"/>
          <w:bCs w:val="0"/>
          <w:color w:val="auto"/>
          <w:sz w:val="32"/>
          <w:szCs w:val="32"/>
        </w:rPr>
        <w:t>政府办公厅（室）--行政运行：反映行政单位的基本支出；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textAlignment w:val="auto"/>
        <w:rPr>
          <w:rFonts w:ascii="仿宋" w:eastAsia="仿宋" w:cs="仿宋" w:hAnsi="仿宋" w:hint="eastAsia"/>
          <w:b w:val="0"/>
          <w:bCs w:val="0"/>
          <w:color w:val="auto"/>
          <w:sz w:val="32"/>
          <w:szCs w:val="32"/>
        </w:rPr>
      </w:pPr>
      <w:r>
        <w:rPr>
          <w:rStyle w:val="27"/>
          <w:rFonts w:ascii="仿宋" w:eastAsia="仿宋" w:cs="仿宋" w:hAnsi="仿宋" w:hint="eastAsia"/>
          <w:b w:val="0"/>
          <w:bCs w:val="0"/>
          <w:color w:val="auto"/>
          <w:sz w:val="32"/>
          <w:szCs w:val="32"/>
          <w:lang w:val="en-US" w:eastAsia="zh-CN"/>
        </w:rPr>
        <w:t>5</w:t>
      </w:r>
      <w:r>
        <w:rPr>
          <w:rStyle w:val="27"/>
          <w:rFonts w:ascii="仿宋" w:eastAsia="仿宋" w:cs="仿宋" w:hAnsi="仿宋" w:hint="eastAsia"/>
          <w:b w:val="0"/>
          <w:bCs w:val="0"/>
          <w:color w:val="auto"/>
          <w:sz w:val="32"/>
          <w:szCs w:val="32"/>
        </w:rPr>
        <w:t>一般公共服务支出-</w:t>
      </w:r>
      <w:r>
        <w:rPr>
          <w:rFonts w:ascii="仿宋" w:eastAsia="仿宋" w:cs="仿宋" w:hAnsi="仿宋" w:hint="eastAsia"/>
          <w:b w:val="0"/>
          <w:bCs w:val="0"/>
          <w:color w:val="auto"/>
          <w:sz w:val="32"/>
          <w:szCs w:val="32"/>
        </w:rPr>
        <w:t>政府办公厅（室）--一般行政管理事务：反映行政单位未单独设置项级科目的其他项目支出</w:t>
      </w:r>
      <w:r>
        <w:rPr>
          <w:rFonts w:ascii="仿宋" w:eastAsia="仿宋" w:cs="仿宋" w:hAnsi="仿宋" w:hint="eastAsia"/>
          <w:b w:val="0"/>
          <w:bCs w:val="0"/>
          <w:color w:val="auto"/>
          <w:sz w:val="32"/>
          <w:szCs w:val="32"/>
        </w:rPr>
        <w:t>。</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Style w:val="27"/>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lang w:val="en-US" w:eastAsia="zh-CN"/>
        </w:rPr>
        <w:t>6</w:t>
      </w:r>
      <w:r>
        <w:rPr>
          <w:rFonts w:ascii="仿宋" w:eastAsia="仿宋" w:cs="仿宋" w:hAnsi="仿宋" w:hint="eastAsia"/>
          <w:b w:val="0"/>
          <w:bCs w:val="0"/>
          <w:color w:val="auto"/>
          <w:sz w:val="32"/>
          <w:szCs w:val="32"/>
          <w:lang w:eastAsia="zh-CN"/>
        </w:rPr>
        <w:t>．</w:t>
      </w:r>
      <w:r>
        <w:rPr>
          <w:rStyle w:val="27"/>
          <w:rFonts w:ascii="仿宋" w:eastAsia="仿宋" w:cs="仿宋" w:hAnsi="仿宋" w:hint="eastAsia"/>
          <w:b w:val="0"/>
          <w:bCs w:val="0"/>
          <w:color w:val="auto"/>
          <w:sz w:val="32"/>
          <w:szCs w:val="32"/>
        </w:rPr>
        <w:t>社会保障和就业支出：反映政府在社会保障和就业方面的支出。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Style w:val="27"/>
          <w:rFonts w:ascii="仿宋" w:eastAsia="仿宋" w:cs="仿宋" w:hAnsi="仿宋" w:hint="eastAsia"/>
          <w:b w:val="0"/>
          <w:bCs w:val="0"/>
          <w:color w:val="auto"/>
          <w:sz w:val="32"/>
          <w:szCs w:val="32"/>
        </w:rPr>
      </w:pPr>
      <w:r>
        <w:rPr>
          <w:rStyle w:val="27"/>
          <w:rFonts w:ascii="仿宋" w:eastAsia="仿宋" w:cs="仿宋" w:hAnsi="仿宋" w:hint="eastAsia"/>
          <w:b w:val="0"/>
          <w:bCs w:val="0"/>
          <w:color w:val="auto"/>
          <w:sz w:val="32"/>
          <w:szCs w:val="32"/>
          <w:lang w:val="en-US" w:eastAsia="zh-CN"/>
        </w:rPr>
        <w:t>7.</w:t>
      </w:r>
      <w:r>
        <w:rPr>
          <w:rStyle w:val="27"/>
          <w:rFonts w:ascii="仿宋" w:eastAsia="仿宋" w:cs="仿宋" w:hAnsi="仿宋" w:hint="eastAsia"/>
          <w:b w:val="0"/>
          <w:bCs w:val="0"/>
          <w:color w:val="auto"/>
          <w:sz w:val="32"/>
          <w:szCs w:val="32"/>
        </w:rPr>
        <w:t>社会保障和就业支出-行政事业单位离退休-机关事业单位基本养老保险缴费支出：反映机关事业单位实施养老保险制度由单位缴纳的基本养老保险支出；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Style w:val="27"/>
          <w:rFonts w:ascii="仿宋" w:eastAsia="仿宋" w:cs="仿宋" w:hAnsi="仿宋" w:hint="eastAsia"/>
          <w:b w:val="0"/>
          <w:bCs w:val="0"/>
          <w:color w:val="auto"/>
          <w:sz w:val="32"/>
          <w:szCs w:val="32"/>
        </w:rPr>
      </w:pPr>
      <w:r>
        <w:rPr>
          <w:rStyle w:val="27"/>
          <w:rFonts w:ascii="仿宋" w:eastAsia="仿宋" w:cs="仿宋" w:hAnsi="仿宋" w:hint="eastAsia"/>
          <w:b w:val="0"/>
          <w:bCs w:val="0"/>
          <w:color w:val="auto"/>
          <w:sz w:val="32"/>
          <w:szCs w:val="32"/>
          <w:lang w:val="en-US" w:eastAsia="zh-CN"/>
        </w:rPr>
        <w:t>8.</w:t>
      </w:r>
      <w:r>
        <w:rPr>
          <w:rStyle w:val="27"/>
          <w:rFonts w:ascii="仿宋" w:eastAsia="仿宋" w:cs="仿宋" w:hAnsi="仿宋" w:hint="eastAsia"/>
          <w:b w:val="0"/>
          <w:bCs w:val="0"/>
          <w:color w:val="auto"/>
          <w:sz w:val="32"/>
          <w:szCs w:val="32"/>
        </w:rPr>
        <w:t>社会保障和就业支出-行政事业单位离退休-</w:t>
      </w:r>
      <w:r>
        <w:rPr>
          <w:rStyle w:val="27"/>
          <w:rFonts w:ascii="仿宋" w:eastAsia="仿宋" w:cs="仿宋" w:hAnsi="仿宋" w:hint="eastAsia"/>
          <w:b w:val="0"/>
          <w:bCs/>
          <w:color w:val="auto"/>
          <w:sz w:val="32"/>
          <w:szCs w:val="32"/>
        </w:rPr>
        <w:t>机关事业单位职业年金缴费支出</w:t>
      </w:r>
      <w:r>
        <w:rPr>
          <w:rStyle w:val="27"/>
          <w:rFonts w:ascii="仿宋" w:eastAsia="仿宋" w:cs="仿宋" w:hAnsi="仿宋" w:hint="eastAsia"/>
          <w:b w:val="0"/>
          <w:bCs w:val="0"/>
          <w:color w:val="auto"/>
          <w:sz w:val="32"/>
          <w:szCs w:val="32"/>
        </w:rPr>
        <w:t>：反映机关事业单位实施养老保险制度由单位缴纳的</w:t>
      </w:r>
      <w:r>
        <w:rPr>
          <w:rStyle w:val="27"/>
          <w:rFonts w:ascii="仿宋" w:eastAsia="仿宋" w:cs="仿宋" w:hAnsi="仿宋" w:hint="eastAsia"/>
          <w:b w:val="0"/>
          <w:bCs w:val="0"/>
          <w:color w:val="auto"/>
          <w:sz w:val="32"/>
          <w:szCs w:val="32"/>
          <w:lang w:eastAsia="zh-CN"/>
        </w:rPr>
        <w:t>职业年金</w:t>
      </w:r>
      <w:r>
        <w:rPr>
          <w:rStyle w:val="27"/>
          <w:rFonts w:ascii="仿宋" w:eastAsia="仿宋" w:cs="仿宋" w:hAnsi="仿宋" w:hint="eastAsia"/>
          <w:b w:val="0"/>
          <w:bCs w:val="0"/>
          <w:color w:val="auto"/>
          <w:sz w:val="32"/>
          <w:szCs w:val="32"/>
        </w:rPr>
        <w:t>支出；</w:t>
      </w:r>
    </w:p>
    <w:p>
      <w:pPr>
        <w:pStyle w:val="19"/>
        <w:pageBreakBefore w:val="0"/>
        <w:widowControl w:val="0"/>
        <w:kinsoku/>
        <w:wordWrap/>
        <w:topLinePunct w:val="0"/>
        <w:bidi w:val="0"/>
        <w:spacing w:after="0" w:line="576" w:lineRule="exact"/>
        <w:ind w:leftChars="0" w:left="0" w:firstLineChars="200" w:firstLine="640"/>
        <w:textAlignment w:val="auto"/>
        <w:rPr>
          <w:rFonts w:ascii="仿宋" w:eastAsia="仿宋" w:cs="仿宋" w:hAnsi="仿宋" w:hint="eastAsia"/>
          <w:sz w:val="32"/>
          <w:szCs w:val="32"/>
        </w:rPr>
      </w:pPr>
      <w:r>
        <w:rPr>
          <w:rStyle w:val="27"/>
          <w:rFonts w:ascii="仿宋" w:eastAsia="仿宋" w:cs="仿宋" w:hAnsi="仿宋" w:hint="eastAsia"/>
          <w:b w:val="0"/>
          <w:bCs/>
          <w:color w:val="auto"/>
          <w:sz w:val="32"/>
          <w:szCs w:val="32"/>
          <w:lang w:val="en-US" w:eastAsia="zh-CN"/>
        </w:rPr>
        <w:t>9.</w:t>
      </w:r>
      <w:r>
        <w:rPr>
          <w:rStyle w:val="27"/>
          <w:rFonts w:ascii="仿宋" w:eastAsia="仿宋" w:cs="仿宋" w:hAnsi="仿宋" w:hint="eastAsia"/>
          <w:b w:val="0"/>
          <w:bCs/>
          <w:color w:val="auto"/>
          <w:sz w:val="32"/>
          <w:szCs w:val="32"/>
        </w:rPr>
        <w:t>社会保障和就业</w:t>
      </w:r>
      <w:r>
        <w:rPr>
          <w:rStyle w:val="27"/>
          <w:rFonts w:ascii="仿宋" w:eastAsia="仿宋" w:cs="仿宋" w:hAnsi="仿宋" w:hint="eastAsia"/>
          <w:b w:val="0"/>
          <w:bCs/>
          <w:color w:val="auto"/>
          <w:sz w:val="32"/>
          <w:szCs w:val="32"/>
          <w:lang w:val="en-US" w:eastAsia="zh-CN"/>
        </w:rPr>
        <w:t>-</w:t>
      </w:r>
      <w:r>
        <w:rPr>
          <w:rStyle w:val="27"/>
          <w:rFonts w:ascii="仿宋" w:eastAsia="仿宋" w:cs="仿宋" w:hAnsi="仿宋" w:hint="eastAsia"/>
          <w:b w:val="0"/>
          <w:bCs/>
          <w:color w:val="auto"/>
          <w:sz w:val="32"/>
          <w:szCs w:val="32"/>
        </w:rPr>
        <w:t>其他社会保障和就业支出</w:t>
      </w:r>
      <w:r>
        <w:rPr>
          <w:rStyle w:val="27"/>
          <w:rFonts w:ascii="仿宋" w:eastAsia="仿宋" w:cs="仿宋" w:hAnsi="仿宋" w:hint="eastAsia"/>
          <w:b w:val="0"/>
          <w:bCs/>
          <w:color w:val="auto"/>
          <w:sz w:val="32"/>
          <w:szCs w:val="32"/>
          <w:lang w:val="en-US" w:eastAsia="zh-CN"/>
        </w:rPr>
        <w:t>-</w:t>
      </w:r>
      <w:r>
        <w:rPr>
          <w:rStyle w:val="27"/>
          <w:rFonts w:ascii="仿宋" w:eastAsia="仿宋" w:cs="仿宋" w:hAnsi="仿宋" w:hint="eastAsia"/>
          <w:b w:val="0"/>
          <w:bCs/>
          <w:color w:val="auto"/>
          <w:sz w:val="32"/>
          <w:szCs w:val="32"/>
        </w:rPr>
        <w:t>其他社会保障和就业支出</w:t>
      </w:r>
      <w:r>
        <w:rPr>
          <w:rStyle w:val="27"/>
          <w:rFonts w:ascii="仿宋" w:eastAsia="仿宋" w:cs="仿宋" w:hAnsi="仿宋" w:hint="eastAsia"/>
          <w:b w:val="0"/>
          <w:bCs/>
          <w:color w:val="auto"/>
          <w:sz w:val="32"/>
          <w:szCs w:val="32"/>
          <w:lang w:eastAsia="zh-CN"/>
        </w:rPr>
        <w:t>：反映除上述项目以外用于社会保障和就业方面的支出。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Style w:val="27"/>
          <w:rFonts w:ascii="仿宋" w:eastAsia="仿宋" w:cs="仿宋" w:hAnsi="仿宋" w:hint="eastAsia"/>
          <w:b w:val="0"/>
          <w:bCs w:val="0"/>
          <w:color w:val="auto"/>
          <w:sz w:val="32"/>
          <w:szCs w:val="32"/>
        </w:rPr>
      </w:pPr>
      <w:r>
        <w:rPr>
          <w:rStyle w:val="27"/>
          <w:rFonts w:ascii="仿宋" w:eastAsia="仿宋" w:cs="仿宋" w:hAnsi="仿宋" w:hint="eastAsia"/>
          <w:b w:val="0"/>
          <w:bCs w:val="0"/>
          <w:color w:val="auto"/>
          <w:sz w:val="32"/>
          <w:szCs w:val="32"/>
          <w:lang w:val="en-US" w:eastAsia="zh-CN"/>
        </w:rPr>
        <w:t>10.</w:t>
      </w:r>
      <w:r>
        <w:rPr>
          <w:rStyle w:val="27"/>
          <w:rFonts w:ascii="仿宋" w:eastAsia="仿宋" w:cs="仿宋" w:hAnsi="仿宋" w:hint="eastAsia"/>
          <w:b w:val="0"/>
          <w:bCs w:val="0"/>
          <w:color w:val="auto"/>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lang w:val="en-US" w:eastAsia="zh-CN"/>
        </w:rPr>
        <w:t>11</w:t>
      </w:r>
      <w:r>
        <w:rPr>
          <w:rFonts w:ascii="仿宋" w:eastAsia="仿宋" w:cs="仿宋" w:hAnsi="仿宋" w:hint="eastAsia"/>
          <w:b w:val="0"/>
          <w:bCs w:val="0"/>
          <w:color w:val="auto"/>
          <w:sz w:val="32"/>
          <w:szCs w:val="32"/>
          <w:lang w:eastAsia="zh-CN"/>
        </w:rPr>
        <w:t>．</w:t>
      </w:r>
      <w:r>
        <w:rPr>
          <w:rFonts w:ascii="仿宋" w:eastAsia="仿宋" w:cs="仿宋" w:hAnsi="仿宋" w:hint="eastAsia"/>
          <w:b w:val="0"/>
          <w:bCs w:val="0"/>
          <w:color w:val="auto"/>
          <w:sz w:val="32"/>
          <w:szCs w:val="32"/>
        </w:rPr>
        <w:t>住房保障支出：住房保障支出-住房改革支出-住房公积金：反映行政事业单位按人力资源和社会保障部、财政部规定的基本工资和津贴补贴以及规定比例为职工缴纳的住房公积金。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lang w:val="en-US" w:eastAsia="zh-CN"/>
        </w:rPr>
        <w:t>12</w:t>
      </w:r>
      <w:r>
        <w:rPr>
          <w:rFonts w:ascii="仿宋" w:eastAsia="仿宋" w:cs="仿宋" w:hAnsi="仿宋" w:hint="eastAsia"/>
          <w:b w:val="0"/>
          <w:bCs w:val="0"/>
          <w:color w:val="auto"/>
          <w:sz w:val="32"/>
          <w:szCs w:val="32"/>
          <w:lang w:eastAsia="zh-CN"/>
        </w:rPr>
        <w:t>．</w:t>
      </w:r>
      <w:r>
        <w:rPr>
          <w:rFonts w:ascii="仿宋" w:eastAsia="仿宋" w:cs="仿宋" w:hAnsi="仿宋" w:hint="eastAsia"/>
          <w:b w:val="0"/>
          <w:bCs w:val="0"/>
          <w:color w:val="auto"/>
          <w:sz w:val="32"/>
          <w:szCs w:val="32"/>
        </w:rPr>
        <w:t>基本支出：指为保障机构正常运转、完成日常工作任务而发生的人员支出和公用支出。</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Fonts w:ascii="仿宋" w:eastAsia="仿宋" w:cs="仿宋" w:hAnsi="仿宋" w:hint="eastAsia"/>
          <w:b w:val="0"/>
          <w:bCs w:val="0"/>
          <w:color w:val="auto"/>
          <w:sz w:val="32"/>
          <w:szCs w:val="32"/>
          <w:lang w:eastAsia="zh-CN"/>
        </w:rPr>
      </w:pPr>
      <w:r>
        <w:rPr>
          <w:rFonts w:ascii="仿宋" w:eastAsia="仿宋" w:cs="仿宋" w:hAnsi="仿宋" w:hint="eastAsia"/>
          <w:b w:val="0"/>
          <w:bCs w:val="0"/>
          <w:color w:val="auto"/>
          <w:sz w:val="32"/>
          <w:szCs w:val="32"/>
          <w:lang w:val="en-US" w:eastAsia="zh-CN"/>
        </w:rPr>
        <w:t>13</w:t>
      </w:r>
      <w:r>
        <w:rPr>
          <w:rFonts w:ascii="仿宋" w:eastAsia="仿宋" w:cs="仿宋" w:hAnsi="仿宋" w:hint="eastAsia"/>
          <w:b w:val="0"/>
          <w:bCs w:val="0"/>
          <w:color w:val="auto"/>
          <w:sz w:val="32"/>
          <w:szCs w:val="32"/>
          <w:lang w:eastAsia="zh-CN"/>
        </w:rPr>
        <w:t>．</w:t>
      </w:r>
      <w:r>
        <w:rPr>
          <w:rFonts w:ascii="仿宋" w:eastAsia="仿宋" w:cs="仿宋" w:hAnsi="仿宋" w:hint="eastAsia"/>
          <w:b w:val="0"/>
          <w:bCs w:val="0"/>
          <w:color w:val="auto"/>
          <w:sz w:val="32"/>
          <w:szCs w:val="32"/>
        </w:rPr>
        <w:t>项目支出：指在基本支出之外为完成特定行政任务和事业发展目标所发生的支出。</w:t>
      </w:r>
    </w:p>
    <w:p>
      <w:pPr>
        <w:pStyle w:val="32"/>
        <w:keepNext w:val="0"/>
        <w:keepLines w:val="0"/>
        <w:pageBreakBefore w:val="0"/>
        <w:widowControl w:val="0"/>
        <w:kinsoku/>
        <w:wordWrap/>
        <w:overflowPunct w:val="0"/>
        <w:topLinePunct w:val="0"/>
        <w:autoSpaceDE w:val="0"/>
        <w:autoSpaceDN w:val="0"/>
        <w:bidi w:val="0"/>
        <w:spacing w:line="576" w:lineRule="exact"/>
        <w:ind w:left="0" w:firstLineChars="200" w:firstLine="640"/>
        <w:jc w:val="both"/>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lang w:val="en-US" w:eastAsia="zh-CN"/>
        </w:rPr>
        <w:t>1</w:t>
      </w:r>
      <w:r>
        <w:rPr>
          <w:rFonts w:cs="仿宋" w:hAnsi="仿宋" w:hint="eastAsia"/>
          <w:b w:val="0"/>
          <w:bCs w:val="0"/>
          <w:color w:val="auto"/>
          <w:sz w:val="32"/>
          <w:szCs w:val="32"/>
          <w:lang w:val="en-US" w:eastAsia="zh-CN"/>
        </w:rPr>
        <w:t>4</w:t>
      </w:r>
      <w:r>
        <w:rPr>
          <w:rFonts w:ascii="仿宋" w:eastAsia="仿宋" w:cs="仿宋" w:hAnsi="仿宋" w:hint="eastAsia"/>
          <w:b w:val="0"/>
          <w:bCs w:val="0"/>
          <w:color w:val="auto"/>
          <w:sz w:val="32"/>
          <w:szCs w:val="32"/>
          <w:lang w:eastAsia="zh-CN"/>
        </w:rPr>
        <w:t>．</w:t>
      </w:r>
      <w:r>
        <w:rPr>
          <w:rFonts w:ascii="仿宋" w:eastAsia="仿宋" w:cs="仿宋" w:hAnsi="仿宋" w:hint="eastAsia"/>
          <w:b w:val="0"/>
          <w:bCs w:val="0"/>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keepNext w:val="0"/>
        <w:keepLines w:val="0"/>
        <w:pageBreakBefore w:val="0"/>
        <w:widowControl w:val="0"/>
        <w:kinsoku/>
        <w:wordWrap/>
        <w:overflowPunct w:val="0"/>
        <w:topLinePunct w:val="0"/>
        <w:autoSpaceDE w:val="0"/>
        <w:autoSpaceDN w:val="0"/>
        <w:bidi w:val="0"/>
        <w:spacing w:line="576" w:lineRule="exact"/>
        <w:ind w:left="0" w:firstLineChars="200" w:firstLine="640"/>
        <w:jc w:val="both"/>
        <w:textAlignment w:val="auto"/>
        <w:rPr>
          <w:rFonts w:ascii="仿宋" w:eastAsia="仿宋" w:cs="仿宋" w:hAnsi="仿宋" w:hint="eastAsia"/>
          <w:b w:val="0"/>
          <w:bCs w:val="0"/>
          <w:color w:val="auto"/>
          <w:sz w:val="32"/>
          <w:szCs w:val="32"/>
        </w:rPr>
      </w:pPr>
      <w:r>
        <w:rPr>
          <w:rFonts w:ascii="仿宋" w:eastAsia="仿宋" w:cs="仿宋" w:hAnsi="仿宋" w:hint="eastAsia"/>
          <w:b w:val="0"/>
          <w:bCs w:val="0"/>
          <w:color w:val="auto"/>
          <w:sz w:val="32"/>
          <w:szCs w:val="32"/>
          <w:lang w:val="en-US" w:eastAsia="zh-CN"/>
        </w:rPr>
        <w:t>1</w:t>
      </w:r>
      <w:r>
        <w:rPr>
          <w:rFonts w:cs="仿宋" w:hAnsi="仿宋" w:hint="eastAsia"/>
          <w:b w:val="0"/>
          <w:bCs w:val="0"/>
          <w:color w:val="auto"/>
          <w:sz w:val="32"/>
          <w:szCs w:val="32"/>
          <w:lang w:val="en-US" w:eastAsia="zh-CN"/>
        </w:rPr>
        <w:t>5</w:t>
      </w:r>
      <w:r>
        <w:rPr>
          <w:rFonts w:ascii="仿宋" w:eastAsia="仿宋" w:cs="仿宋" w:hAnsi="仿宋" w:hint="eastAsia"/>
          <w:b w:val="0"/>
          <w:bCs w:val="0"/>
          <w:color w:val="auto"/>
          <w:sz w:val="32"/>
          <w:szCs w:val="32"/>
          <w:lang w:eastAsia="zh-CN"/>
        </w:rPr>
        <w:t>．</w:t>
      </w:r>
      <w:r>
        <w:rPr>
          <w:rFonts w:ascii="仿宋" w:eastAsia="仿宋" w:cs="仿宋" w:hAnsi="仿宋" w:hint="eastAsia"/>
          <w:b w:val="0"/>
          <w:bCs w:val="0"/>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topLinePunct w:val="0"/>
        <w:bidi w:val="0"/>
        <w:spacing w:line="576" w:lineRule="exact"/>
        <w:jc w:val="center"/>
        <w:textAlignment w:val="auto"/>
        <w:outlineLvl w:val="0"/>
        <w:rPr>
          <w:rStyle w:val="1Char"/>
          <w:rFonts w:ascii="仿宋" w:eastAsia="仿宋" w:cs="仿宋" w:hAnsi="仿宋" w:hint="eastAsia"/>
          <w:b w:val="0"/>
          <w:sz w:val="32"/>
          <w:szCs w:val="32"/>
        </w:rPr>
      </w:pPr>
      <w:r>
        <w:rPr>
          <w:rFonts w:ascii="仿宋" w:eastAsia="仿宋" w:cs="仿宋" w:hAnsi="仿宋" w:hint="eastAsia"/>
          <w:b/>
          <w:sz w:val="32"/>
          <w:szCs w:val="32"/>
        </w:rPr>
        <w:br w:type="page"/>
      </w:r>
      <w:bookmarkStart w:id="105" w:name="_Toc15396614"/>
      <w:bookmarkStart w:id="106" w:name="_Toc506"/>
      <w:r>
        <w:rPr>
          <w:rFonts w:ascii="黑体" w:eastAsia="黑体" w:cs="黑体" w:hAnsi="黑体" w:hint="eastAsia"/>
          <w:sz w:val="44"/>
          <w:szCs w:val="44"/>
        </w:rPr>
        <w:t>第</w:t>
      </w:r>
      <w:r>
        <w:rPr>
          <w:rStyle w:val="1Char"/>
          <w:rFonts w:ascii="黑体" w:eastAsia="黑体" w:cs="黑体" w:hAnsi="黑体" w:hint="eastAsia"/>
          <w:b w:val="0"/>
          <w:sz w:val="44"/>
          <w:szCs w:val="44"/>
        </w:rPr>
        <w:t>四部分 附件</w:t>
      </w:r>
      <w:bookmarkEnd w:id="105"/>
      <w:bookmarkEnd w:id="106"/>
    </w:p>
    <w:p>
      <w:pPr>
        <w:keepNext w:val="0"/>
        <w:keepLines w:val="0"/>
        <w:pageBreakBefore w:val="0"/>
        <w:kinsoku/>
        <w:wordWrap/>
        <w:overflowPunct/>
        <w:topLinePunct w:val="0"/>
        <w:autoSpaceDE/>
        <w:autoSpaceDN/>
        <w:bidi w:val="0"/>
        <w:spacing w:line="576" w:lineRule="exact"/>
        <w:jc w:val="left"/>
        <w:textAlignment w:val="auto"/>
        <w:outlineLvl w:val="0"/>
        <w:rPr>
          <w:rFonts w:ascii="方正小标宋简体" w:eastAsia="黑体" w:cs="方正小标宋简体" w:hAnsi="方正小标宋简体" w:hint="eastAsia"/>
          <w:color w:val="auto"/>
          <w:sz w:val="44"/>
          <w:szCs w:val="44"/>
          <w:lang w:val="en-US" w:eastAsia="zh-CN"/>
        </w:rPr>
      </w:pPr>
      <w:bookmarkStart w:id="107" w:name="_Toc27660"/>
      <w:r>
        <w:rPr>
          <w:rFonts w:ascii="黑体" w:eastAsia="黑体" w:cs="黑体" w:hAnsi="黑体" w:hint="eastAsia"/>
          <w:color w:val="auto"/>
          <w:sz w:val="32"/>
          <w:szCs w:val="32"/>
        </w:rPr>
        <w:t>附件</w:t>
      </w:r>
      <w:r>
        <w:rPr>
          <w:rFonts w:ascii="黑体" w:eastAsia="黑体" w:cs="黑体" w:hAnsi="黑体" w:hint="eastAsia"/>
          <w:color w:val="auto"/>
          <w:sz w:val="32"/>
          <w:szCs w:val="32"/>
          <w:lang w:val="en-US" w:eastAsia="zh-CN"/>
        </w:rPr>
        <w:t>1</w:t>
      </w:r>
      <w:bookmarkEnd w:id="107"/>
    </w:p>
    <w:p>
      <w:pPr>
        <w:keepNext w:val="0"/>
        <w:keepLines w:val="0"/>
        <w:pageBreakBefore w:val="0"/>
        <w:widowControl/>
        <w:kinsoku/>
        <w:wordWrap/>
        <w:overflowPunct/>
        <w:topLinePunct w:val="0"/>
        <w:autoSpaceDE/>
        <w:autoSpaceDN/>
        <w:bidi w:val="0"/>
        <w:spacing w:line="576" w:lineRule="exact"/>
        <w:contextualSpacing/>
        <w:jc w:val="center"/>
        <w:textAlignment w:val="auto"/>
        <w:outlineLvl w:val="9"/>
        <w:rPr>
          <w:rFonts w:ascii="Times New Roman" w:eastAsia="方正小标宋简体" w:cs="Times New Roman" w:hAnsi="Times New Roman"/>
          <w:b w:val="0"/>
          <w:bCs/>
          <w:sz w:val="44"/>
          <w:szCs w:val="44"/>
          <w:shd w:val="clear" w:color="auto" w:fill="FFFFFF"/>
        </w:rPr>
      </w:pPr>
      <w:r>
        <w:rPr>
          <w:rFonts w:ascii="Times New Roman" w:eastAsia="方正小标宋简体" w:cs="Times New Roman" w:hAnsi="Times New Roman"/>
          <w:b w:val="0"/>
          <w:bCs/>
          <w:sz w:val="44"/>
          <w:szCs w:val="44"/>
          <w:shd w:val="clear" w:color="auto" w:fill="FFFFFF"/>
        </w:rPr>
        <w:t>部门</w:t>
      </w:r>
      <w:r>
        <w:rPr>
          <w:rFonts w:ascii="Times New Roman" w:eastAsia="方正小标宋简体" w:cs="Times New Roman" w:hAnsi="Times New Roman"/>
          <w:b w:val="0"/>
          <w:bCs/>
          <w:sz w:val="44"/>
          <w:szCs w:val="44"/>
          <w:shd w:val="clear" w:color="auto" w:fill="FFFFFF"/>
          <w:lang w:eastAsia="zh-CN"/>
        </w:rPr>
        <w:t>预算</w:t>
      </w:r>
      <w:r>
        <w:rPr>
          <w:rFonts w:ascii="Times New Roman" w:eastAsia="方正小标宋简体" w:cs="Times New Roman" w:hAnsi="Times New Roman"/>
          <w:b w:val="0"/>
          <w:bCs/>
          <w:sz w:val="44"/>
          <w:szCs w:val="44"/>
          <w:shd w:val="clear" w:color="auto" w:fill="FFFFFF"/>
        </w:rPr>
        <w:t>绩效</w:t>
      </w:r>
      <w:r>
        <w:rPr>
          <w:rFonts w:ascii="Times New Roman" w:eastAsia="方正小标宋简体" w:cs="Times New Roman" w:hAnsi="Times New Roman" w:hint="eastAsia"/>
          <w:b w:val="0"/>
          <w:bCs/>
          <w:sz w:val="44"/>
          <w:szCs w:val="44"/>
          <w:shd w:val="clear" w:color="auto" w:fill="FFFFFF"/>
          <w:lang w:eastAsia="zh-CN"/>
        </w:rPr>
        <w:t>评价</w:t>
      </w:r>
      <w:r>
        <w:rPr>
          <w:rFonts w:ascii="Times New Roman" w:eastAsia="方正小标宋简体" w:cs="Times New Roman" w:hAnsi="Times New Roman"/>
          <w:b w:val="0"/>
          <w:bCs/>
          <w:sz w:val="44"/>
          <w:szCs w:val="44"/>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480"/>
        <w:contextualSpacing/>
        <w:jc w:val="left"/>
        <w:textAlignment w:val="auto"/>
        <w:outlineLvl w:val="9"/>
        <w:rPr>
          <w:rFonts w:ascii="Times New Roman" w:eastAsia="黑体" w:cs="Times New Roman" w:hAnsi="Times New Roman"/>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eastAsia="黑体" w:cs="Times New Roman"/>
          <w:color w:val="000000"/>
          <w:kern w:val="0"/>
          <w:sz w:val="32"/>
          <w:szCs w:val="32"/>
          <w:shd w:val="clear" w:color="auto" w:fill="FFFFFF"/>
          <w:lang w:val="zh-CN"/>
        </w:rPr>
      </w:pPr>
      <w:r>
        <w:rPr>
          <w:rFonts w:eastAsia="黑体" w:cs="Times New Roman" w:hint="eastAsia"/>
          <w:color w:val="000000"/>
          <w:kern w:val="0"/>
          <w:sz w:val="32"/>
          <w:szCs w:val="32"/>
          <w:shd w:val="clear" w:color="auto" w:fill="FFFFFF"/>
          <w:lang w:val="zh-CN"/>
        </w:rPr>
        <w:t>一、</w:t>
      </w:r>
      <w:r>
        <w:rPr>
          <w:rFonts w:eastAsia="黑体" w:cs="Times New Roman"/>
          <w:color w:val="000000"/>
          <w:kern w:val="0"/>
          <w:sz w:val="32"/>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outlineLvl w:val="9"/>
        <w:rPr>
          <w:rFonts w:ascii="Times New Roman" w:eastAsia="楷体_GB2312" w:cs="Times New Roman" w:hAnsi="Times New Roman" w:hint="eastAsia"/>
          <w:b/>
          <w:bCs/>
          <w:color w:val="000000"/>
          <w:kern w:val="0"/>
          <w:sz w:val="32"/>
          <w:szCs w:val="32"/>
          <w:shd w:val="clear" w:color="auto" w:fill="FFFFFF"/>
          <w:lang w:val="zh-CN"/>
        </w:rPr>
      </w:pPr>
      <w:r>
        <w:rPr>
          <w:rFonts w:ascii="Times New Roman" w:eastAsia="楷体_GB2312" w:cs="Times New Roman" w:hAnsi="Times New Roman" w:hint="eastAsia"/>
          <w:b/>
          <w:bCs/>
          <w:color w:val="000000"/>
          <w:kern w:val="0"/>
          <w:sz w:val="32"/>
          <w:szCs w:val="32"/>
          <w:shd w:val="clear" w:color="auto" w:fill="FFFFFF"/>
          <w:lang w:val="zh-CN"/>
        </w:rPr>
        <w:t>（一）机构组成。</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Times New Roman" w:hAnsi="仿宋" w:hint="eastAsia"/>
          <w:sz w:val="32"/>
          <w:szCs w:val="32"/>
          <w:lang w:eastAsia="zh-CN"/>
        </w:rPr>
      </w:pPr>
      <w:r>
        <w:rPr>
          <w:rFonts w:ascii="仿宋_GB2312" w:eastAsia="仿宋_GB2312" w:cs="仿宋_GB2312" w:hAnsi="仿宋_GB2312" w:hint="eastAsia"/>
          <w:kern w:val="0"/>
          <w:sz w:val="32"/>
          <w:szCs w:val="32"/>
          <w:lang w:val="en-US" w:eastAsia="zh-CN"/>
        </w:rPr>
        <w:t>广元市利州区人民政府办公室属正科级行政机关，</w:t>
      </w:r>
      <w:r>
        <w:rPr>
          <w:rFonts w:ascii="仿宋" w:eastAsia="仿宋" w:hAnsi="仿宋" w:hint="eastAsia"/>
          <w:sz w:val="32"/>
          <w:szCs w:val="32"/>
          <w:lang w:eastAsia="zh-CN"/>
        </w:rPr>
        <w:t>内设</w:t>
      </w:r>
      <w:r>
        <w:rPr>
          <w:rFonts w:ascii="仿宋" w:eastAsia="仿宋" w:hAnsi="仿宋" w:hint="eastAsia"/>
          <w:sz w:val="32"/>
          <w:szCs w:val="32"/>
        </w:rPr>
        <w:t>单位</w:t>
      </w:r>
      <w:r>
        <w:rPr>
          <w:rFonts w:ascii="仿宋" w:eastAsia="仿宋" w:hAnsi="仿宋" w:hint="eastAsia"/>
          <w:sz w:val="32"/>
          <w:szCs w:val="32"/>
          <w:lang w:val="en-US" w:eastAsia="zh-CN"/>
        </w:rPr>
        <w:t>3</w:t>
      </w:r>
      <w:r>
        <w:rPr>
          <w:rFonts w:ascii="仿宋" w:eastAsia="仿宋" w:hAnsi="仿宋" w:hint="eastAsia"/>
          <w:sz w:val="32"/>
          <w:szCs w:val="32"/>
        </w:rPr>
        <w:t>个，</w:t>
      </w:r>
      <w:r>
        <w:rPr>
          <w:rFonts w:ascii="仿宋" w:eastAsia="仿宋" w:hAnsi="仿宋" w:hint="eastAsia"/>
          <w:sz w:val="32"/>
          <w:szCs w:val="32"/>
          <w:lang w:eastAsia="zh-CN"/>
        </w:rPr>
        <w:t>下属单位</w:t>
      </w:r>
      <w:r>
        <w:rPr>
          <w:rFonts w:ascii="仿宋" w:eastAsia="仿宋" w:hAnsi="仿宋" w:hint="eastAsia"/>
          <w:sz w:val="32"/>
          <w:szCs w:val="32"/>
          <w:lang w:val="en-US" w:eastAsia="zh-CN"/>
        </w:rPr>
        <w:t>1个，</w:t>
      </w:r>
      <w:r>
        <w:rPr>
          <w:rFonts w:ascii="仿宋" w:eastAsia="仿宋" w:hAnsi="仿宋" w:hint="eastAsia"/>
          <w:sz w:val="32"/>
          <w:szCs w:val="32"/>
        </w:rPr>
        <w:t>其中参照公务员法管理的事业单</w:t>
      </w:r>
      <w:r>
        <w:rPr>
          <w:rFonts w:ascii="仿宋" w:eastAsia="仿宋" w:cs="Times New Roman" w:hAnsi="仿宋" w:hint="eastAsia"/>
          <w:sz w:val="32"/>
          <w:szCs w:val="32"/>
          <w:lang w:eastAsia="zh-CN"/>
        </w:rPr>
        <w:t>位</w:t>
      </w: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个，其他事业单位</w:t>
      </w: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个。</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纳入区政府办20</w:t>
      </w:r>
      <w:r>
        <w:rPr>
          <w:rFonts w:ascii="仿宋" w:eastAsia="仿宋" w:cs="Times New Roman" w:hAnsi="仿宋" w:hint="eastAsia"/>
          <w:sz w:val="32"/>
          <w:szCs w:val="32"/>
          <w:lang w:val="en-US" w:eastAsia="zh-CN"/>
        </w:rPr>
        <w:t>23</w:t>
      </w:r>
      <w:r>
        <w:rPr>
          <w:rFonts w:ascii="仿宋" w:eastAsia="仿宋" w:cs="Times New Roman" w:hAnsi="仿宋" w:hint="eastAsia"/>
          <w:sz w:val="32"/>
          <w:szCs w:val="32"/>
          <w:lang w:eastAsia="zh-CN"/>
        </w:rPr>
        <w:t>年度部门决算编制范围的下级单位（含单独核算股室）包括：</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val="en-US" w:eastAsia="zh-CN"/>
        </w:rPr>
        <w:t>1.</w:t>
      </w:r>
      <w:r>
        <w:rPr>
          <w:rFonts w:ascii="仿宋" w:eastAsia="仿宋" w:cs="Times New Roman" w:hAnsi="仿宋" w:hint="eastAsia"/>
          <w:sz w:val="32"/>
          <w:szCs w:val="32"/>
          <w:lang w:eastAsia="zh-CN"/>
        </w:rPr>
        <w:t>广元市利州区地方志编纂中心</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val="en-US" w:eastAsia="zh-CN"/>
        </w:rPr>
        <w:t>2.广元市利州</w:t>
      </w:r>
      <w:r>
        <w:rPr>
          <w:rFonts w:ascii="仿宋" w:eastAsia="仿宋" w:cs="Times New Roman" w:hAnsi="仿宋" w:hint="eastAsia"/>
          <w:sz w:val="32"/>
          <w:szCs w:val="32"/>
          <w:lang w:eastAsia="zh-CN"/>
        </w:rPr>
        <w:t>区人民政府电子政务外网管理中心</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Times New Roman" w:hAnsi="仿宋" w:hint="eastAsia"/>
          <w:sz w:val="32"/>
          <w:szCs w:val="32"/>
          <w:lang w:val="en-US" w:eastAsia="zh-CN"/>
        </w:rPr>
      </w:pPr>
      <w:r>
        <w:rPr>
          <w:rFonts w:ascii="仿宋" w:eastAsia="仿宋" w:cs="Times New Roman" w:hAnsi="仿宋" w:hint="eastAsia"/>
          <w:sz w:val="32"/>
          <w:szCs w:val="32"/>
          <w:lang w:val="en-US" w:eastAsia="zh-CN"/>
        </w:rPr>
        <w:t>3.广元市利州区民营经济服务中心</w:t>
      </w:r>
    </w:p>
    <w:p>
      <w:pPr>
        <w:pStyle w:val="19"/>
        <w:keepNext w:val="0"/>
        <w:keepLines w:val="0"/>
        <w:pageBreakBefore w:val="0"/>
        <w:kinsoku/>
        <w:wordWrap/>
        <w:overflowPunct/>
        <w:topLinePunct w:val="0"/>
        <w:bidi w:val="0"/>
        <w:spacing w:after="0" w:line="576" w:lineRule="exact"/>
        <w:ind w:leftChars="0" w:left="0" w:firstLineChars="0" w:firstLine="0"/>
        <w:textAlignment w:val="auto"/>
        <w:rPr>
          <w:lang w:val="en-US" w:eastAsia="zh-CN"/>
        </w:rPr>
      </w:pPr>
      <w:r>
        <w:rPr>
          <w:rFonts w:ascii="仿宋" w:eastAsia="仿宋" w:cs="Times New Roman" w:hAnsi="仿宋" w:hint="eastAsia"/>
          <w:sz w:val="32"/>
          <w:szCs w:val="32"/>
          <w:lang w:val="en-US" w:eastAsia="zh-CN"/>
        </w:rPr>
        <w:t xml:space="preserve">    </w:t>
      </w:r>
      <w:r>
        <w:rPr>
          <w:rFonts w:ascii="仿宋" w:eastAsia="仿宋" w:cs="Times New Roman" w:hAnsi="仿宋" w:hint="eastAsia"/>
          <w:kern w:val="2"/>
          <w:sz w:val="32"/>
          <w:szCs w:val="32"/>
          <w:lang w:val="en-US" w:eastAsia="zh-CN" w:bidi="ar-SA"/>
        </w:rPr>
        <w:t>4.广元市国防动员事务中心（属涉密单位，本报告数据不含）</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Times New Roman" w:eastAsia="楷体_GB2312" w:cs="Times New Roman" w:hAnsi="Times New Roman" w:hint="eastAsia"/>
          <w:b/>
          <w:bCs/>
          <w:color w:val="000000"/>
          <w:kern w:val="0"/>
          <w:sz w:val="32"/>
          <w:szCs w:val="32"/>
          <w:shd w:val="clear" w:color="auto" w:fill="FFFFFF"/>
          <w:lang w:val="zh-CN"/>
        </w:rPr>
      </w:pPr>
      <w:r>
        <w:rPr>
          <w:rFonts w:ascii="Times New Roman" w:eastAsia="楷体_GB2312" w:cs="Times New Roman" w:hAnsi="Times New Roman"/>
          <w:b/>
          <w:bCs/>
          <w:color w:val="000000"/>
          <w:kern w:val="0"/>
          <w:sz w:val="32"/>
          <w:szCs w:val="32"/>
          <w:shd w:val="clear" w:color="auto" w:fill="FFFFFF"/>
          <w:lang w:val="zh-CN"/>
        </w:rPr>
        <w:t>（二）机构职能</w:t>
      </w:r>
      <w:r>
        <w:rPr>
          <w:rFonts w:ascii="Times New Roman" w:eastAsia="楷体_GB2312" w:cs="Times New Roman" w:hAnsi="Times New Roman" w:hint="eastAsia"/>
          <w:b/>
          <w:bCs/>
          <w:color w:val="000000"/>
          <w:kern w:val="0"/>
          <w:sz w:val="32"/>
          <w:szCs w:val="32"/>
          <w:shd w:val="clear" w:color="auto" w:fill="FFFFFF"/>
          <w:lang w:val="zh-CN"/>
        </w:rPr>
        <w:t>。</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ascii="楷体_GB2312" w:eastAsia="楷体_GB2312" w:cs="楷体_GB2312" w:hAnsi="楷体_GB2312" w:hint="eastAsia"/>
          <w:b w:val="0"/>
          <w:bCs w:val="0"/>
          <w:color w:val="000000"/>
          <w:kern w:val="0"/>
          <w:sz w:val="32"/>
          <w:szCs w:val="32"/>
          <w:shd w:val="clear" w:color="auto" w:fill="FFFFFF"/>
          <w:lang w:val="en-US" w:eastAsia="zh-CN" w:bidi="ar-SA"/>
        </w:rPr>
        <w:t>1.</w:t>
      </w:r>
      <w:r>
        <w:rPr>
          <w:rFonts w:ascii="仿宋" w:eastAsia="仿宋" w:cs="Times New Roman" w:hAnsi="仿宋" w:hint="eastAsia"/>
          <w:color w:val="000000"/>
          <w:kern w:val="2"/>
          <w:sz w:val="32"/>
          <w:szCs w:val="32"/>
          <w:lang w:val="en-US" w:eastAsia="zh-CN" w:bidi="ar-SA"/>
        </w:rPr>
        <w:t>协助区政府领导同志组织起草或审核以区政府、区政府办公室名义发布或上报的公文。办理上级有关单位发至区政府、区政府办的文电。指导全区行政机关公文处理工作。</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2.</w:t>
      </w:r>
      <w:r>
        <w:rPr>
          <w:rFonts w:ascii="仿宋" w:eastAsia="仿宋" w:cs="Times New Roman" w:hAnsi="仿宋" w:hint="eastAsia"/>
          <w:color w:val="000000"/>
          <w:kern w:val="2"/>
          <w:sz w:val="32"/>
          <w:szCs w:val="32"/>
          <w:lang w:val="en-US" w:eastAsia="zh-CN" w:bidi="ar-SA"/>
        </w:rPr>
        <w:t>研究区政府部门和乡镇人民政府（街道办事处）请示区政府的事项，提出审核意见，报区政府领导审批。</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3.</w:t>
      </w:r>
      <w:r>
        <w:rPr>
          <w:rFonts w:ascii="仿宋" w:eastAsia="仿宋" w:cs="Times New Roman" w:hAnsi="仿宋" w:hint="eastAsia"/>
          <w:color w:val="000000"/>
          <w:kern w:val="2"/>
          <w:sz w:val="32"/>
          <w:szCs w:val="32"/>
          <w:lang w:val="en-US" w:eastAsia="zh-CN" w:bidi="ar-SA"/>
        </w:rPr>
        <w:t>负责区政府会议的准备工作，协助区政府领导组织实施会议决定事项。</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4.</w:t>
      </w:r>
      <w:r>
        <w:rPr>
          <w:rFonts w:ascii="仿宋" w:eastAsia="仿宋" w:cs="Times New Roman" w:hAnsi="仿宋" w:hint="eastAsia"/>
          <w:color w:val="000000"/>
          <w:kern w:val="2"/>
          <w:sz w:val="32"/>
          <w:szCs w:val="32"/>
          <w:lang w:val="en-US" w:eastAsia="zh-CN" w:bidi="ar-SA"/>
        </w:rPr>
        <w:t>督促检查区政府部门和乡镇人民政府（街道办事处）对区政府决定事项及区政府领导指示的贯彻落实情况，及时向区政府领导报告。</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5.</w:t>
      </w:r>
      <w:r>
        <w:rPr>
          <w:rFonts w:ascii="仿宋" w:eastAsia="仿宋" w:cs="Times New Roman" w:hAnsi="仿宋" w:hint="eastAsia"/>
          <w:color w:val="000000"/>
          <w:kern w:val="2"/>
          <w:sz w:val="32"/>
          <w:szCs w:val="32"/>
          <w:lang w:val="en-US" w:eastAsia="zh-CN" w:bidi="ar-SA"/>
        </w:rPr>
        <w:t>根据区政府领导的指示，对区政府部门间争议问题提出处理意见和建议，报区政府领导决定。</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6.</w:t>
      </w:r>
      <w:r>
        <w:rPr>
          <w:rFonts w:ascii="仿宋" w:eastAsia="仿宋" w:cs="Times New Roman" w:hAnsi="仿宋" w:hint="eastAsia"/>
          <w:color w:val="000000"/>
          <w:kern w:val="2"/>
          <w:sz w:val="32"/>
          <w:szCs w:val="32"/>
          <w:lang w:val="en-US" w:eastAsia="zh-CN" w:bidi="ar-SA"/>
        </w:rPr>
        <w:t>指导、监督全区政府信息公开工作和机关效能建设工作，指导、监督全区政府系统电子政务工作和政府网站建设。</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7.</w:t>
      </w:r>
      <w:r>
        <w:rPr>
          <w:rFonts w:ascii="仿宋" w:eastAsia="仿宋" w:cs="Times New Roman" w:hAnsi="仿宋" w:hint="eastAsia"/>
          <w:color w:val="000000"/>
          <w:kern w:val="2"/>
          <w:sz w:val="32"/>
          <w:szCs w:val="32"/>
          <w:lang w:val="en-US" w:eastAsia="zh-CN" w:bidi="ar-SA"/>
        </w:rPr>
        <w:t>负责开展重大问题的调查研究、决策咨询和区政府重大决策部署落实情况的跟踪调研；整理报送经济发展方面的重要信息、动态；对全区政府系统调查研究和决策咨询工作进行业务指导。</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8.</w:t>
      </w:r>
      <w:r>
        <w:rPr>
          <w:rFonts w:ascii="仿宋" w:eastAsia="仿宋" w:cs="Times New Roman" w:hAnsi="仿宋" w:hint="eastAsia"/>
          <w:color w:val="000000"/>
          <w:kern w:val="2"/>
          <w:sz w:val="32"/>
          <w:szCs w:val="32"/>
          <w:lang w:val="en-US" w:eastAsia="zh-CN" w:bidi="ar-SA"/>
        </w:rPr>
        <w:t>组织办理涉及区政府办公室的区人大代表建议、区政协委员提案。</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9.</w:t>
      </w:r>
      <w:r>
        <w:rPr>
          <w:rFonts w:ascii="仿宋" w:eastAsia="仿宋" w:cs="Times New Roman" w:hAnsi="仿宋" w:hint="eastAsia"/>
          <w:color w:val="000000"/>
          <w:kern w:val="2"/>
          <w:sz w:val="32"/>
          <w:szCs w:val="32"/>
          <w:lang w:val="en-US" w:eastAsia="zh-CN" w:bidi="ar-SA"/>
        </w:rPr>
        <w:t>负责区政府值班日常事务，督促、指导乡镇（街道）和区政府部门值班工作，及时报告重要情况。</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10.</w:t>
      </w:r>
      <w:r>
        <w:rPr>
          <w:rFonts w:ascii="仿宋" w:eastAsia="仿宋" w:cs="Times New Roman" w:hAnsi="仿宋" w:hint="eastAsia"/>
          <w:color w:val="000000"/>
          <w:kern w:val="2"/>
          <w:sz w:val="32"/>
          <w:szCs w:val="32"/>
          <w:lang w:val="en-US" w:eastAsia="zh-CN" w:bidi="ar-SA"/>
        </w:rPr>
        <w:t>拟定深化行政审批制度改革的政策、制度、办法和标准并组织实施；指导、协调、监督并推进全区行政审批制度改革工作。</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11.</w:t>
      </w:r>
      <w:r>
        <w:rPr>
          <w:rFonts w:ascii="仿宋" w:eastAsia="仿宋" w:cs="Times New Roman" w:hAnsi="仿宋" w:hint="eastAsia"/>
          <w:color w:val="000000"/>
          <w:kern w:val="2"/>
          <w:sz w:val="32"/>
          <w:szCs w:val="32"/>
          <w:lang w:val="en-US" w:eastAsia="zh-CN" w:bidi="ar-SA"/>
        </w:rPr>
        <w:t>负责推进、指导、督促全区政务公开、政府信息公开具体工作；负责区政府、区政府办公室的信息公开工作。承担全区政府信息工作的规划、指导、督办；负责全区政务信息的收集、整理、编辑。</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12.</w:t>
      </w:r>
      <w:r>
        <w:rPr>
          <w:rFonts w:ascii="仿宋" w:eastAsia="仿宋" w:cs="Times New Roman" w:hAnsi="仿宋" w:hint="eastAsia"/>
          <w:color w:val="000000"/>
          <w:kern w:val="2"/>
          <w:sz w:val="32"/>
          <w:szCs w:val="32"/>
          <w:lang w:val="en-US" w:eastAsia="zh-CN" w:bidi="ar-SA"/>
        </w:rPr>
        <w:t>负责指导、监督全区政府机关电子政务外网的规划、建设、技术与安全保障；负责区政府有关会议、活动的多媒体技术服务工作；负责区政府门户网站的建设和运行管理工作。</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13.</w:t>
      </w:r>
      <w:r>
        <w:rPr>
          <w:rFonts w:ascii="仿宋" w:eastAsia="仿宋" w:cs="Times New Roman" w:hAnsi="仿宋" w:hint="eastAsia"/>
          <w:color w:val="000000"/>
          <w:kern w:val="2"/>
          <w:sz w:val="32"/>
          <w:szCs w:val="32"/>
          <w:lang w:val="en-US" w:eastAsia="zh-CN" w:bidi="ar-SA"/>
        </w:rPr>
        <w:t>指导全区公务车辆编制的申报工作；指导公共机构节约能源资源管理工作；负责区政府办公室机关行政效能建设工作。管理区政府办公室直属单位。</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仿宋" w:eastAsia="仿宋" w:cs="Times New Roman" w:hAnsi="仿宋" w:hint="eastAsia"/>
          <w:color w:val="000000"/>
          <w:kern w:val="2"/>
          <w:sz w:val="32"/>
          <w:szCs w:val="32"/>
          <w:lang w:val="en-US" w:eastAsia="zh-CN" w:bidi="ar-SA"/>
        </w:rPr>
      </w:pPr>
      <w:r>
        <w:rPr>
          <w:rFonts w:cs="Times New Roman" w:hAnsi="仿宋" w:hint="eastAsia"/>
          <w:color w:val="000000"/>
          <w:kern w:val="2"/>
          <w:sz w:val="32"/>
          <w:szCs w:val="32"/>
          <w:lang w:val="en-US" w:eastAsia="zh-CN" w:bidi="ar-SA"/>
        </w:rPr>
        <w:t>14.</w:t>
      </w:r>
      <w:r>
        <w:rPr>
          <w:rFonts w:ascii="仿宋" w:eastAsia="仿宋" w:cs="Times New Roman" w:hAnsi="仿宋" w:hint="eastAsia"/>
          <w:color w:val="000000"/>
          <w:kern w:val="2"/>
          <w:sz w:val="32"/>
          <w:szCs w:val="32"/>
          <w:lang w:val="en-US" w:eastAsia="zh-CN" w:bidi="ar-SA"/>
        </w:rPr>
        <w:t>负责区政府大事记和区政府领导活动的收集、整理、印发、报送工作。</w:t>
      </w:r>
    </w:p>
    <w:p>
      <w:pPr>
        <w:pStyle w:val="32"/>
        <w:keepNext w:val="0"/>
        <w:keepLines w:val="0"/>
        <w:pageBreakBefore w:val="0"/>
        <w:widowControl w:val="0"/>
        <w:kinsoku/>
        <w:wordWrap/>
        <w:overflowPunct/>
        <w:topLinePunct w:val="0"/>
        <w:autoSpaceDE w:val="0"/>
        <w:autoSpaceDN w:val="0"/>
        <w:bidi w:val="0"/>
        <w:spacing w:line="576" w:lineRule="exact"/>
        <w:ind w:firstLineChars="200" w:firstLine="640"/>
        <w:textAlignment w:val="auto"/>
        <w:rPr>
          <w:rFonts w:ascii="Times New Roman" w:eastAsia="楷体_GB2312" w:cs="Times New Roman" w:hAnsi="Times New Roman"/>
          <w:b/>
          <w:bCs/>
          <w:color w:val="000000"/>
          <w:kern w:val="0"/>
          <w:szCs w:val="32"/>
          <w:shd w:val="clear" w:color="auto" w:fill="FFFFFF"/>
          <w:lang w:val="zh-CN"/>
        </w:rPr>
      </w:pPr>
      <w:r>
        <w:rPr>
          <w:rFonts w:cs="Times New Roman" w:hAnsi="仿宋" w:hint="eastAsia"/>
          <w:color w:val="000000"/>
          <w:kern w:val="2"/>
          <w:sz w:val="32"/>
          <w:szCs w:val="32"/>
          <w:lang w:val="en-US" w:eastAsia="zh-CN" w:bidi="ar-SA"/>
        </w:rPr>
        <w:t>15.</w:t>
      </w:r>
      <w:r>
        <w:rPr>
          <w:rFonts w:ascii="仿宋" w:eastAsia="仿宋" w:cs="Times New Roman" w:hAnsi="仿宋" w:hint="eastAsia"/>
          <w:color w:val="000000"/>
          <w:kern w:val="2"/>
          <w:sz w:val="32"/>
          <w:szCs w:val="32"/>
          <w:lang w:val="en-US" w:eastAsia="zh-CN" w:bidi="ar-SA"/>
        </w:rPr>
        <w:t>办理区政府和区政府领导交办的其他事项。</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Times New Roman" w:cs="Times New Roman" w:hAnsi="Times New Roman"/>
          <w:szCs w:val="32"/>
        </w:rPr>
      </w:pPr>
      <w:r>
        <w:rPr>
          <w:rFonts w:ascii="Times New Roman" w:eastAsia="楷体_GB2312" w:cs="Times New Roman" w:hAnsi="Times New Roman"/>
          <w:b/>
          <w:bCs/>
          <w:color w:val="000000"/>
          <w:kern w:val="0"/>
          <w:sz w:val="32"/>
          <w:szCs w:val="32"/>
          <w:shd w:val="clear" w:color="auto" w:fill="FFFFFF"/>
          <w:lang w:val="zh-CN"/>
        </w:rPr>
        <w:t>（</w:t>
      </w:r>
      <w:r>
        <w:rPr>
          <w:rFonts w:ascii="Times New Roman" w:eastAsia="楷体_GB2312" w:cs="Times New Roman" w:hAnsi="Times New Roman" w:hint="eastAsia"/>
          <w:b/>
          <w:bCs/>
          <w:color w:val="000000"/>
          <w:kern w:val="0"/>
          <w:sz w:val="32"/>
          <w:szCs w:val="32"/>
          <w:shd w:val="clear" w:color="auto" w:fill="FFFFFF"/>
          <w:lang w:val="zh-CN"/>
        </w:rPr>
        <w:t>三</w:t>
      </w:r>
      <w:r>
        <w:rPr>
          <w:rFonts w:ascii="Times New Roman" w:eastAsia="楷体_GB2312" w:cs="Times New Roman" w:hAnsi="Times New Roman"/>
          <w:b/>
          <w:bCs/>
          <w:color w:val="000000"/>
          <w:kern w:val="0"/>
          <w:sz w:val="32"/>
          <w:szCs w:val="32"/>
          <w:shd w:val="clear" w:color="auto" w:fill="FFFFFF"/>
          <w:lang w:val="zh-CN"/>
        </w:rPr>
        <w:t>）人员概况</w:t>
      </w:r>
      <w:r>
        <w:rPr>
          <w:rFonts w:ascii="Times New Roman" w:eastAsia="楷体_GB2312" w:cs="Times New Roman" w:hAnsi="Times New Roman" w:hint="eastAsia"/>
          <w:b/>
          <w:bCs/>
          <w:color w:val="000000"/>
          <w:kern w:val="0"/>
          <w:sz w:val="32"/>
          <w:szCs w:val="32"/>
          <w:shd w:val="clear" w:color="auto" w:fill="FFFFFF"/>
          <w:lang w:val="zh-CN"/>
        </w:rPr>
        <w:t>。</w:t>
      </w:r>
      <w:r>
        <w:rPr>
          <w:rFonts w:ascii="Times New Roman" w:eastAsia="仿宋_GB2312" w:cs="Times New Roman" w:hAnsi="Times New Roman"/>
          <w:sz w:val="32"/>
          <w:szCs w:val="32"/>
          <w:lang w:val="en-US" w:eastAsia="zh-CN"/>
        </w:rPr>
        <w:t>截至202</w:t>
      </w:r>
      <w:r>
        <w:rPr>
          <w:rFonts w:ascii="Times New Roman" w:eastAsia="仿宋_GB2312" w:cs="Times New Roman" w:hAnsi="Times New Roman" w:hint="eastAsia"/>
          <w:sz w:val="32"/>
          <w:szCs w:val="32"/>
          <w:lang w:val="en-US" w:eastAsia="zh-CN"/>
        </w:rPr>
        <w:t>3</w:t>
      </w:r>
      <w:r>
        <w:rPr>
          <w:rFonts w:ascii="Times New Roman" w:eastAsia="仿宋_GB2312" w:cs="Times New Roman" w:hAnsi="Times New Roman"/>
          <w:sz w:val="32"/>
          <w:szCs w:val="32"/>
          <w:lang w:val="en-US" w:eastAsia="zh-CN"/>
        </w:rPr>
        <w:t>年末，</w:t>
      </w:r>
      <w:r>
        <w:rPr>
          <w:rFonts w:ascii="仿宋" w:eastAsia="仿宋" w:cs="Times New Roman" w:hAnsi="仿宋" w:hint="eastAsia"/>
          <w:color w:val="000000"/>
          <w:kern w:val="2"/>
          <w:sz w:val="32"/>
          <w:szCs w:val="32"/>
          <w:lang w:val="en-US" w:eastAsia="zh-CN" w:bidi="ar-SA"/>
        </w:rPr>
        <w:t>区政府办现有在职人员44人，其中公务员20人，参公人员2人，工勤人员6人，事业干部16人。退休干部7人，退休工人4人，临聘人员7人。我办总编制51名，其中行政和参公编制25名，其他事业编制18名，工勤编制8个。</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eastAsia="黑体" w:cs="Times New Roman"/>
          <w:color w:val="000000"/>
          <w:kern w:val="0"/>
          <w:sz w:val="32"/>
          <w:szCs w:val="32"/>
          <w:shd w:val="clear" w:color="auto" w:fill="FFFFFF"/>
          <w:lang w:val="zh-CN" w:eastAsia="zh-CN"/>
        </w:rPr>
      </w:pPr>
      <w:r>
        <w:rPr>
          <w:rFonts w:eastAsia="黑体" w:cs="Times New Roman"/>
          <w:color w:val="000000"/>
          <w:kern w:val="0"/>
          <w:sz w:val="32"/>
          <w:szCs w:val="32"/>
          <w:shd w:val="clear" w:color="auto" w:fill="FFFFFF"/>
          <w:lang w:val="zh-CN" w:eastAsia="zh-CN"/>
        </w:rPr>
        <w:t>二、部门资金收支情况</w:t>
      </w:r>
    </w:p>
    <w:p>
      <w:pPr>
        <w:keepNext w:val="0"/>
        <w:keepLines w:val="0"/>
        <w:pageBreakBefore w:val="0"/>
        <w:kinsoku/>
        <w:wordWrap/>
        <w:overflowPunct/>
        <w:topLinePunct w:val="0"/>
        <w:bidi w:val="0"/>
        <w:spacing w:line="576" w:lineRule="exact"/>
        <w:ind w:left="0" w:firstLineChars="200" w:firstLine="640"/>
        <w:textAlignment w:val="auto"/>
        <w:rPr>
          <w:rFonts w:ascii="Times New Roman" w:eastAsia="楷体_GB2312" w:cs="Times New Roman" w:hAnsi="Times New Roman"/>
          <w:b/>
          <w:bCs/>
          <w:color w:val="000000"/>
          <w:kern w:val="0"/>
          <w:szCs w:val="32"/>
          <w:shd w:val="clear" w:color="auto" w:fill="FFFFFF"/>
          <w:lang w:val="en-US"/>
        </w:rPr>
      </w:pPr>
      <w:r>
        <w:rPr>
          <w:rFonts w:ascii="Times New Roman" w:eastAsia="楷体_GB2312" w:cs="Times New Roman" w:hAnsi="Times New Roman"/>
          <w:b/>
          <w:bCs/>
          <w:color w:val="000000"/>
          <w:kern w:val="0"/>
          <w:sz w:val="32"/>
          <w:szCs w:val="32"/>
          <w:shd w:val="clear" w:color="auto" w:fill="FFFFFF"/>
          <w:lang w:val="zh-CN"/>
        </w:rPr>
        <w:t>（一）</w:t>
      </w:r>
      <w:r>
        <w:rPr>
          <w:rFonts w:ascii="Times New Roman" w:eastAsia="楷体_GB2312" w:cs="Times New Roman" w:hAnsi="Times New Roman" w:hint="eastAsia"/>
          <w:b/>
          <w:bCs/>
          <w:color w:val="000000"/>
          <w:kern w:val="0"/>
          <w:sz w:val="32"/>
          <w:szCs w:val="32"/>
          <w:shd w:val="clear" w:color="auto" w:fill="FFFFFF"/>
          <w:lang w:val="zh-CN"/>
        </w:rPr>
        <w:t>收入情况</w:t>
      </w:r>
      <w:r>
        <w:rPr>
          <w:rFonts w:ascii="Times New Roman" w:eastAsia="楷体_GB2312" w:cs="Times New Roman" w:hAnsi="Times New Roman"/>
          <w:b/>
          <w:bCs/>
          <w:color w:val="000000"/>
          <w:kern w:val="0"/>
          <w:sz w:val="32"/>
          <w:szCs w:val="32"/>
          <w:shd w:val="clear" w:color="auto" w:fill="FFFFFF"/>
          <w:lang w:val="zh-CN"/>
        </w:rPr>
        <w:t>。</w:t>
      </w:r>
      <w:r>
        <w:rPr>
          <w:rFonts w:ascii="仿宋" w:eastAsia="仿宋" w:hAnsi="仿宋" w:hint="eastAsia"/>
          <w:color w:val="000000"/>
          <w:sz w:val="32"/>
          <w:szCs w:val="32"/>
          <w:lang w:eastAsia="zh-CN"/>
        </w:rPr>
        <w:t>2023年</w:t>
      </w:r>
      <w:r>
        <w:rPr>
          <w:rFonts w:ascii="仿宋" w:eastAsia="仿宋" w:hAnsi="仿宋" w:hint="eastAsia"/>
          <w:color w:val="000000"/>
          <w:sz w:val="32"/>
          <w:szCs w:val="32"/>
        </w:rPr>
        <w:t>本单位本年收入合计</w:t>
      </w:r>
      <w:r>
        <w:rPr>
          <w:rFonts w:ascii="仿宋_GB2312" w:eastAsia="仿宋_GB2312" w:hint="eastAsia"/>
          <w:sz w:val="32"/>
          <w:szCs w:val="32"/>
          <w:lang w:val="en-US" w:eastAsia="zh-CN"/>
        </w:rPr>
        <w:t>1237.85</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，全部为财政拨款收入，其中：</w:t>
      </w:r>
      <w:r>
        <w:rPr>
          <w:rFonts w:ascii="仿宋" w:eastAsia="仿宋" w:hAnsi="仿宋" w:hint="eastAsia"/>
          <w:color w:val="000000"/>
          <w:sz w:val="32"/>
          <w:szCs w:val="32"/>
        </w:rPr>
        <w:t>一般公共预算财政拨款收入</w:t>
      </w:r>
      <w:r>
        <w:rPr>
          <w:rFonts w:ascii="仿宋" w:eastAsia="仿宋" w:hAnsi="仿宋" w:hint="eastAsia"/>
          <w:color w:val="000000"/>
          <w:sz w:val="32"/>
          <w:szCs w:val="32"/>
          <w:lang w:val="en-US" w:eastAsia="zh-CN"/>
        </w:rPr>
        <w:t>1237.85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lang w:eastAsia="zh-CN"/>
        </w:rPr>
        <w:t>。</w:t>
      </w:r>
    </w:p>
    <w:p>
      <w:pPr>
        <w:pStyle w:val="39"/>
        <w:keepNext w:val="0"/>
        <w:keepLines w:val="0"/>
        <w:pageBreakBefore w:val="0"/>
        <w:kinsoku/>
        <w:wordWrap/>
        <w:overflowPunct/>
        <w:topLinePunct w:val="0"/>
        <w:bidi w:val="0"/>
        <w:spacing w:line="576" w:lineRule="exact"/>
        <w:ind w:left="0" w:firstLineChars="200" w:firstLine="640"/>
        <w:textAlignment w:val="auto"/>
        <w:rPr>
          <w:rFonts w:ascii="仿宋" w:eastAsia="仿宋" w:cs="Times New Roman" w:hAnsi="仿宋" w:hint="eastAsia"/>
          <w:color w:val="000000"/>
          <w:kern w:val="2"/>
          <w:sz w:val="32"/>
          <w:szCs w:val="32"/>
          <w:lang w:val="en-US" w:eastAsia="zh-CN" w:bidi="ar-SA"/>
        </w:rPr>
      </w:pPr>
      <w:r>
        <w:rPr>
          <w:rFonts w:ascii="Times New Roman" w:eastAsia="楷体_GB2312" w:cs="Times New Roman" w:hAnsi="Times New Roman"/>
          <w:b/>
          <w:bCs/>
          <w:color w:val="000000"/>
          <w:kern w:val="0"/>
          <w:sz w:val="32"/>
          <w:szCs w:val="32"/>
          <w:shd w:val="clear" w:color="auto" w:fill="FFFFFF"/>
          <w:lang w:val="zh-CN"/>
        </w:rPr>
        <w:t>（</w:t>
      </w:r>
      <w:r>
        <w:rPr>
          <w:rFonts w:ascii="Times New Roman" w:eastAsia="楷体_GB2312" w:cs="Times New Roman" w:hAnsi="Times New Roman" w:hint="eastAsia"/>
          <w:b/>
          <w:bCs/>
          <w:color w:val="000000"/>
          <w:kern w:val="0"/>
          <w:sz w:val="32"/>
          <w:szCs w:val="32"/>
          <w:shd w:val="clear" w:color="auto" w:fill="FFFFFF"/>
          <w:lang w:val="zh-CN"/>
        </w:rPr>
        <w:t>二</w:t>
      </w:r>
      <w:r>
        <w:rPr>
          <w:rFonts w:ascii="Times New Roman" w:eastAsia="楷体_GB2312" w:cs="Times New Roman" w:hAnsi="Times New Roman"/>
          <w:b/>
          <w:bCs/>
          <w:color w:val="000000"/>
          <w:kern w:val="0"/>
          <w:sz w:val="32"/>
          <w:szCs w:val="32"/>
          <w:shd w:val="clear" w:color="auto" w:fill="FFFFFF"/>
          <w:lang w:val="zh-CN"/>
        </w:rPr>
        <w:t>）</w:t>
      </w:r>
      <w:r>
        <w:rPr>
          <w:rFonts w:ascii="Times New Roman" w:eastAsia="楷体_GB2312" w:cs="Times New Roman" w:hAnsi="Times New Roman" w:hint="eastAsia"/>
          <w:b/>
          <w:bCs/>
          <w:color w:val="000000"/>
          <w:kern w:val="0"/>
          <w:sz w:val="32"/>
          <w:szCs w:val="32"/>
          <w:shd w:val="clear" w:color="auto" w:fill="FFFFFF"/>
          <w:lang w:val="zh-CN"/>
        </w:rPr>
        <w:t>支出情况</w:t>
      </w:r>
      <w:r>
        <w:rPr>
          <w:rFonts w:ascii="Times New Roman" w:eastAsia="楷体_GB2312" w:cs="Times New Roman" w:hAnsi="Times New Roman"/>
          <w:b/>
          <w:bCs/>
          <w:color w:val="000000"/>
          <w:kern w:val="0"/>
          <w:sz w:val="32"/>
          <w:szCs w:val="32"/>
          <w:shd w:val="clear" w:color="auto" w:fill="FFFFFF"/>
          <w:lang w:val="zh-CN"/>
        </w:rPr>
        <w:t>。</w:t>
      </w:r>
      <w:r>
        <w:rPr>
          <w:rFonts w:ascii="仿宋" w:eastAsia="仿宋" w:cs="Times New Roman" w:hAnsi="仿宋" w:hint="eastAsia"/>
          <w:color w:val="000000"/>
          <w:kern w:val="2"/>
          <w:sz w:val="32"/>
          <w:szCs w:val="32"/>
          <w:lang w:val="en-US" w:eastAsia="zh-CN" w:bidi="ar-SA"/>
        </w:rPr>
        <w:t>2023年本单位本年支出合计1237.85万元，其中：基本支出819.04万元，占66.17%；项目支出418.81万元，占33.83%。</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outlineLvl w:val="9"/>
        <w:rPr>
          <w:rFonts w:ascii="Times New Roman" w:eastAsia="仿宋_GB2312" w:cs="Times New Roman" w:hAnsi="Times New Roman"/>
          <w:b w:val="0"/>
          <w:bCs w:val="0"/>
          <w:color w:val="000000"/>
          <w:kern w:val="0"/>
          <w:szCs w:val="32"/>
          <w:shd w:val="clear" w:color="auto" w:fill="FFFFFF"/>
          <w:lang w:val="zh-CN" w:eastAsia="zh-CN"/>
        </w:rPr>
      </w:pPr>
      <w:r>
        <w:rPr>
          <w:rFonts w:ascii="Times New Roman" w:eastAsia="楷体_GB2312" w:cs="Times New Roman" w:hAnsi="Times New Roman"/>
          <w:b/>
          <w:bCs/>
          <w:color w:val="000000"/>
          <w:kern w:val="0"/>
          <w:sz w:val="32"/>
          <w:szCs w:val="32"/>
          <w:shd w:val="clear" w:color="auto" w:fill="FFFFFF"/>
          <w:lang w:val="zh-CN"/>
        </w:rPr>
        <w:t>（</w:t>
      </w:r>
      <w:r>
        <w:rPr>
          <w:rFonts w:ascii="Times New Roman" w:eastAsia="楷体_GB2312" w:cs="Times New Roman" w:hAnsi="Times New Roman" w:hint="eastAsia"/>
          <w:b/>
          <w:bCs/>
          <w:color w:val="000000"/>
          <w:kern w:val="0"/>
          <w:sz w:val="32"/>
          <w:szCs w:val="32"/>
          <w:shd w:val="clear" w:color="auto" w:fill="FFFFFF"/>
          <w:lang w:val="zh-CN"/>
        </w:rPr>
        <w:t>三</w:t>
      </w:r>
      <w:r>
        <w:rPr>
          <w:rFonts w:ascii="Times New Roman" w:eastAsia="楷体_GB2312" w:cs="Times New Roman" w:hAnsi="Times New Roman"/>
          <w:b/>
          <w:bCs/>
          <w:color w:val="000000"/>
          <w:kern w:val="0"/>
          <w:sz w:val="32"/>
          <w:szCs w:val="32"/>
          <w:shd w:val="clear" w:color="auto" w:fill="FFFFFF"/>
          <w:lang w:val="zh-CN"/>
        </w:rPr>
        <w:t>）结余分配和结转结余情况</w:t>
      </w:r>
      <w:r>
        <w:rPr>
          <w:rFonts w:ascii="Times New Roman" w:eastAsia="楷体_GB2312" w:cs="Times New Roman" w:hAnsi="Times New Roman" w:hint="eastAsia"/>
          <w:b/>
          <w:bCs/>
          <w:color w:val="000000"/>
          <w:kern w:val="0"/>
          <w:sz w:val="32"/>
          <w:szCs w:val="32"/>
          <w:shd w:val="clear" w:color="auto" w:fill="FFFFFF"/>
          <w:lang w:val="zh-CN" w:eastAsia="zh-CN"/>
        </w:rPr>
        <w:t>。</w:t>
      </w:r>
      <w:r>
        <w:rPr>
          <w:rFonts w:ascii="仿宋" w:eastAsia="仿宋" w:cs="Times New Roman" w:hAnsi="仿宋" w:hint="eastAsia"/>
          <w:color w:val="000000"/>
          <w:kern w:val="2"/>
          <w:sz w:val="32"/>
          <w:szCs w:val="32"/>
          <w:lang w:val="en-US" w:eastAsia="zh-CN" w:bidi="ar-SA"/>
        </w:rPr>
        <w:t>2023年度本单位无结转结余。</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eastAsia="黑体" w:cs="Times New Roman"/>
          <w:color w:val="000000"/>
          <w:kern w:val="0"/>
          <w:sz w:val="32"/>
          <w:szCs w:val="32"/>
          <w:shd w:val="clear" w:color="auto" w:fill="FFFFFF"/>
          <w:lang w:val="zh-CN" w:eastAsia="zh-CN"/>
        </w:rPr>
      </w:pPr>
      <w:r>
        <w:rPr>
          <w:rFonts w:eastAsia="黑体" w:cs="Times New Roman"/>
          <w:color w:val="000000"/>
          <w:kern w:val="0"/>
          <w:sz w:val="32"/>
          <w:szCs w:val="32"/>
          <w:shd w:val="clear" w:color="auto" w:fill="FFFFFF"/>
          <w:lang w:val="zh-CN" w:eastAsia="zh-CN"/>
        </w:rPr>
        <w:t>三、部门预算绩效分析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Times New Roman" w:cs="Times New Roman" w:hAnsi="Times New Roman"/>
          <w:color w:val="000000"/>
          <w:kern w:val="0"/>
          <w:szCs w:val="32"/>
          <w:shd w:val="clear" w:color="auto" w:fill="FFFFFF"/>
          <w:lang w:val="zh-CN"/>
        </w:rPr>
      </w:pPr>
      <w:r>
        <w:rPr>
          <w:rFonts w:ascii="Times New Roman" w:eastAsia="楷体_GB2312" w:cs="Times New Roman" w:hAnsi="Times New Roman"/>
          <w:b/>
          <w:bCs/>
          <w:color w:val="000000"/>
          <w:kern w:val="0"/>
          <w:sz w:val="32"/>
          <w:szCs w:val="32"/>
          <w:shd w:val="clear" w:color="auto" w:fill="FFFFFF"/>
          <w:lang w:val="zh-CN"/>
        </w:rPr>
        <w:t>（一）</w:t>
      </w:r>
      <w:r>
        <w:rPr>
          <w:rFonts w:ascii="Times New Roman" w:eastAsia="楷体_GB2312" w:cs="Times New Roman" w:hAnsi="Times New Roman" w:hint="eastAsia"/>
          <w:b/>
          <w:bCs/>
          <w:color w:val="000000"/>
          <w:kern w:val="0"/>
          <w:sz w:val="32"/>
          <w:szCs w:val="32"/>
          <w:shd w:val="clear" w:color="auto" w:fill="FFFFFF"/>
          <w:lang w:val="zh-CN"/>
        </w:rPr>
        <w:t>部门预算</w:t>
      </w:r>
      <w:r>
        <w:rPr>
          <w:rFonts w:ascii="Times New Roman" w:eastAsia="楷体_GB2312" w:cs="Times New Roman" w:hAnsi="Times New Roman"/>
          <w:b/>
          <w:bCs/>
          <w:color w:val="000000"/>
          <w:kern w:val="0"/>
          <w:sz w:val="32"/>
          <w:szCs w:val="32"/>
          <w:shd w:val="clear" w:color="auto" w:fill="FFFFFF"/>
          <w:lang w:val="zh-CN"/>
        </w:rPr>
        <w:t>总体绩效分析。</w:t>
      </w:r>
      <w:r>
        <w:rPr>
          <w:rFonts w:ascii="Times New Roman" w:eastAsia="仿宋_GB2312" w:cs="Times New Roman" w:hAnsi="Times New Roman"/>
          <w:sz w:val="32"/>
          <w:szCs w:val="32"/>
          <w:lang w:val="zh-CN" w:eastAsia="zh-CN"/>
        </w:rPr>
        <w:t>根据部门预算绩效评价指标体系“总体绩效”涉及</w:t>
      </w:r>
      <w:r>
        <w:rPr>
          <w:rFonts w:ascii="Times New Roman" w:eastAsia="仿宋_GB2312" w:cs="Times New Roman" w:hAnsi="Times New Roman" w:hint="eastAsia"/>
          <w:sz w:val="32"/>
          <w:szCs w:val="32"/>
          <w:lang w:val="zh-CN" w:eastAsia="zh-CN"/>
        </w:rPr>
        <w:t>二、三级</w:t>
      </w:r>
      <w:r>
        <w:rPr>
          <w:rFonts w:ascii="Times New Roman" w:eastAsia="仿宋_GB2312" w:cs="Times New Roman" w:hAnsi="Times New Roman"/>
          <w:sz w:val="32"/>
          <w:szCs w:val="32"/>
          <w:lang w:val="zh-CN" w:eastAsia="zh-CN"/>
        </w:rPr>
        <w:t>指标进行</w:t>
      </w:r>
      <w:r>
        <w:rPr>
          <w:rFonts w:ascii="Times New Roman" w:eastAsia="仿宋_GB2312" w:cs="Times New Roman" w:hAnsi="Times New Roman" w:hint="eastAsia"/>
          <w:sz w:val="32"/>
          <w:szCs w:val="32"/>
          <w:lang w:val="zh-CN" w:eastAsia="zh-CN"/>
        </w:rPr>
        <w:t>逐项</w:t>
      </w:r>
      <w:r>
        <w:rPr>
          <w:rFonts w:ascii="Times New Roman" w:eastAsia="仿宋_GB2312" w:cs="Times New Roman" w:hAnsi="Times New Roman"/>
          <w:sz w:val="32"/>
          <w:szCs w:val="32"/>
          <w:lang w:val="zh-CN" w:eastAsia="zh-CN"/>
        </w:rPr>
        <w:t>绩效分析</w:t>
      </w:r>
      <w:r>
        <w:rPr>
          <w:rFonts w:ascii="Times New Roman" w:eastAsia="仿宋_GB2312" w:cs="Times New Roman" w:hAnsi="Times New Roman" w:hint="eastAsia"/>
          <w:sz w:val="32"/>
          <w:szCs w:val="32"/>
          <w:lang w:val="zh-CN" w:eastAsia="zh-CN"/>
        </w:rPr>
        <w:t>并评分</w:t>
      </w:r>
      <w:r>
        <w:rPr>
          <w:rFonts w:ascii="Times New Roman" w:eastAsia="仿宋_GB2312" w:cs="Times New Roman" w:hAnsi="Times New Roman"/>
          <w:sz w:val="32"/>
          <w:szCs w:val="32"/>
          <w:lang w:val="zh-CN" w:eastAsia="zh-CN"/>
        </w:rPr>
        <w:t>，依次包括履职效能、预算管理、财务管理、资产管理、采购管理等情况。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Times New Roman" w:eastAsia="仿宋_GB2312" w:cs="Times New Roman" w:hAnsi="Times New Roman" w:hint="eastAsia"/>
          <w:sz w:val="32"/>
          <w:szCs w:val="32"/>
          <w:lang w:val="zh-CN" w:eastAsia="zh-CN"/>
        </w:rPr>
      </w:pPr>
      <w:r>
        <w:rPr>
          <w:rFonts w:ascii="楷体_GB2312" w:eastAsia="楷体_GB2312" w:cs="楷体_GB2312" w:hAnsi="楷体_GB2312" w:hint="eastAsia"/>
          <w:color w:val="000000"/>
          <w:kern w:val="0"/>
          <w:sz w:val="32"/>
          <w:szCs w:val="32"/>
          <w:shd w:val="clear" w:color="auto" w:fill="FFFFFF"/>
          <w:lang w:val="en-US" w:eastAsia="zh-CN"/>
        </w:rPr>
        <w:t>1.</w:t>
      </w:r>
      <w:r>
        <w:rPr>
          <w:rFonts w:ascii="楷体_GB2312" w:eastAsia="楷体_GB2312" w:cs="楷体_GB2312" w:hAnsi="楷体_GB2312" w:hint="eastAsia"/>
          <w:color w:val="000000"/>
          <w:kern w:val="0"/>
          <w:sz w:val="32"/>
          <w:szCs w:val="32"/>
          <w:shd w:val="clear" w:color="auto" w:fill="FFFFFF"/>
          <w:lang w:val="zh-CN"/>
        </w:rPr>
        <w:t>履职效能。</w:t>
      </w:r>
      <w:r>
        <w:rPr>
          <w:rFonts w:ascii="Times New Roman" w:eastAsia="仿宋_GB2312" w:cs="Times New Roman" w:hAnsi="Times New Roman" w:hint="eastAsia"/>
          <w:sz w:val="32"/>
          <w:szCs w:val="32"/>
          <w:lang w:val="zh-CN" w:eastAsia="zh-CN"/>
        </w:rPr>
        <w:t>1.人员类项目绩效分析：2023年本单位严格按照在职在编人数进行人员类经费预算编制，预算执行过程中严格按照进度执行，年底进行人员类经费清算，不存在挪用、挤占人员类经费的现象，全面完成了年初制定的绩效目标，保障了工资及时足额发放、社保及时足额缴纳，人员类经费预算编制科学合理，无结余结转。2.运转类项目绩效分析：2023年本单位严格按照在职在编人数以及实际需要产生的办公费用明细分类进行运转类经费预算编制，严格按照进度执行预算支出，年底进行运转类经费清算，不存在挪用、挤占运转类经费的现象，全面完成了年初制定的绩效目标，保障了单位日常运转，运转类经费预算编制科学合理，无结余结转。3.特定目标类项目绩效分析：2023年本单位严格按照机构职能和实际需要产进行特定目标类经费预算编制，编制项目包含：地方志编修经费、软件网络运行维护经费、聘用人员经费、值班值守经费、公务车运行维护经费、文电会务保障工作经费、各项重大决策经费、民营经济及优化营商环境工作经费、《利州年鉴》编纂经费、档案标准化建设经费、基层政务公开经费，招商引资工作经费。预算编制科学合理，预算执行严格按照进度要求进行，不存在挪用、挤占运转类经费的现象，全面完成了年初制定的绩效目标，保障了单位日常运转及各类项目的顺利开展，无结余结转。</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Times New Roman" w:cs="Times New Roman" w:hAnsi="Times New Roman" w:hint="eastAsia"/>
          <w:color w:val="000000"/>
          <w:kern w:val="0"/>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Times New Roman" w:eastAsia="仿宋_GB2312" w:cs="Times New Roman" w:hAnsi="Times New Roman" w:hint="eastAsia"/>
          <w:sz w:val="32"/>
          <w:szCs w:val="32"/>
          <w:lang w:val="zh-CN" w:eastAsia="zh-CN"/>
        </w:rPr>
      </w:pPr>
      <w:r>
        <w:rPr>
          <w:rFonts w:ascii="楷体_GB2312" w:eastAsia="楷体_GB2312" w:cs="楷体_GB2312" w:hAnsi="楷体_GB2312" w:hint="eastAsia"/>
          <w:color w:val="000000"/>
          <w:kern w:val="0"/>
          <w:sz w:val="32"/>
          <w:szCs w:val="32"/>
          <w:shd w:val="clear" w:color="auto" w:fill="FFFFFF"/>
          <w:lang w:val="en-US" w:eastAsia="zh-CN"/>
        </w:rPr>
        <w:t>2.</w:t>
      </w:r>
      <w:r>
        <w:rPr>
          <w:rFonts w:ascii="楷体_GB2312" w:eastAsia="楷体_GB2312" w:cs="楷体_GB2312" w:hAnsi="楷体_GB2312"/>
          <w:color w:val="000000"/>
          <w:kern w:val="0"/>
          <w:sz w:val="32"/>
          <w:szCs w:val="32"/>
          <w:shd w:val="clear" w:color="auto" w:fill="FFFFFF"/>
          <w:lang w:val="zh-CN"/>
        </w:rPr>
        <w:t>预算管理</w:t>
      </w:r>
      <w:r>
        <w:rPr>
          <w:rFonts w:ascii="楷体_GB2312" w:eastAsia="楷体_GB2312" w:cs="楷体_GB2312" w:hAnsi="楷体_GB2312" w:hint="eastAsia"/>
          <w:color w:val="000000"/>
          <w:kern w:val="0"/>
          <w:sz w:val="32"/>
          <w:szCs w:val="32"/>
          <w:shd w:val="clear" w:color="auto" w:fill="FFFFFF"/>
          <w:lang w:val="zh-CN"/>
        </w:rPr>
        <w:t>。</w:t>
      </w:r>
      <w:r>
        <w:rPr>
          <w:rFonts w:ascii="Times New Roman" w:eastAsia="仿宋_GB2312" w:cs="Times New Roman" w:hAnsi="Times New Roman" w:hint="eastAsia"/>
          <w:sz w:val="32"/>
          <w:szCs w:val="32"/>
          <w:lang w:val="zh-CN" w:eastAsia="zh-CN"/>
        </w:rPr>
        <w:t>2023年本单位顺利完成了年初设置的整体绩效目标。年初预算编制时将各内设股室的工作实际和履职情况作为设置本部门预算绩效目标的重要依据，确保资金分配合理。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楷体_GB2312" w:eastAsia="楷体_GB2312" w:cs="楷体_GB2312" w:hAnsi="楷体_GB2312" w:hint="eastAsia"/>
          <w:color w:val="000000"/>
          <w:kern w:val="0"/>
          <w:sz w:val="32"/>
          <w:szCs w:val="32"/>
          <w:shd w:val="clear" w:color="auto" w:fill="FFFFFF"/>
          <w:lang w:val="zh-CN" w:eastAsia="zh-CN"/>
        </w:rPr>
      </w:pPr>
      <w:r>
        <w:rPr>
          <w:rFonts w:ascii="Times New Roman" w:eastAsia="仿宋_GB2312" w:cs="Times New Roman" w:hAnsi="Times New Roman" w:hint="eastAsia"/>
          <w:sz w:val="32"/>
          <w:szCs w:val="32"/>
          <w:lang w:val="zh-CN" w:eastAsia="zh-CN"/>
        </w:rPr>
        <w:t>在预算资金执行过程中及时关注预算执行率、预算调整率、预算资金的使用效益等重要指标。按要求人员类、运转类经费项目进行清算，及时对特定目标类项目进行绩效目标的调整和完善，确保设置的各项绩效目标顺利完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Times New Roman" w:eastAsia="仿宋_GB2312" w:cs="Times New Roman" w:hAnsi="Times New Roman" w:hint="eastAsia"/>
          <w:sz w:val="32"/>
          <w:szCs w:val="32"/>
          <w:lang w:val="zh-CN" w:eastAsia="zh-CN"/>
        </w:rPr>
      </w:pPr>
      <w:r>
        <w:rPr>
          <w:rFonts w:ascii="楷体_GB2312" w:eastAsia="楷体_GB2312" w:cs="楷体_GB2312" w:hAnsi="楷体_GB2312" w:hint="eastAsia"/>
          <w:color w:val="000000"/>
          <w:kern w:val="0"/>
          <w:sz w:val="32"/>
          <w:szCs w:val="32"/>
          <w:shd w:val="clear" w:color="auto" w:fill="FFFFFF"/>
          <w:lang w:val="en-US" w:eastAsia="zh-CN"/>
        </w:rPr>
        <w:t>3.</w:t>
      </w:r>
      <w:r>
        <w:rPr>
          <w:rFonts w:ascii="楷体_GB2312" w:eastAsia="楷体_GB2312" w:cs="楷体_GB2312" w:hAnsi="楷体_GB2312"/>
          <w:color w:val="000000"/>
          <w:kern w:val="0"/>
          <w:sz w:val="32"/>
          <w:szCs w:val="32"/>
          <w:shd w:val="clear" w:color="auto" w:fill="FFFFFF"/>
          <w:lang w:val="zh-CN"/>
        </w:rPr>
        <w:t>财务管理</w:t>
      </w:r>
      <w:r>
        <w:rPr>
          <w:rFonts w:ascii="楷体_GB2312" w:eastAsia="楷体_GB2312" w:cs="楷体_GB2312" w:hAnsi="楷体_GB2312" w:hint="eastAsia"/>
          <w:color w:val="000000"/>
          <w:kern w:val="0"/>
          <w:sz w:val="32"/>
          <w:szCs w:val="32"/>
          <w:shd w:val="clear" w:color="auto" w:fill="FFFFFF"/>
          <w:lang w:val="zh-CN"/>
        </w:rPr>
        <w:t>。</w:t>
      </w:r>
      <w:r>
        <w:rPr>
          <w:rFonts w:ascii="Times New Roman" w:eastAsia="仿宋_GB2312" w:cs="Times New Roman" w:hAnsi="Times New Roman" w:hint="eastAsia"/>
          <w:sz w:val="32"/>
          <w:szCs w:val="32"/>
          <w:lang w:val="zh-CN" w:eastAsia="zh-CN"/>
        </w:rPr>
        <w:t>我单位财务管理健全规范，整体绩效目标设定合理，编制内容完整，评价项目总体绩效目标明确，决策依据充分，资金分配科学合理，项目管理较规范，项目完成良好，基本达到了预期效果。</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楷体_GB2312" w:eastAsia="楷体_GB2312" w:cs="楷体_GB2312" w:hAnsi="楷体_GB2312" w:hint="eastAsia"/>
          <w:color w:val="000000"/>
          <w:kern w:val="0"/>
          <w:sz w:val="32"/>
          <w:szCs w:val="32"/>
          <w:shd w:val="clear" w:color="auto" w:fill="FFFFFF"/>
          <w:lang w:val="zh-CN"/>
        </w:rPr>
      </w:pPr>
      <w:r>
        <w:rPr>
          <w:rFonts w:ascii="楷体_GB2312" w:eastAsia="楷体_GB2312" w:cs="楷体_GB2312" w:hAnsi="楷体_GB2312" w:hint="eastAsia"/>
          <w:color w:val="000000"/>
          <w:kern w:val="0"/>
          <w:sz w:val="32"/>
          <w:szCs w:val="32"/>
          <w:shd w:val="clear" w:color="auto" w:fill="FFFFFF"/>
          <w:lang w:val="en-US" w:eastAsia="zh-CN"/>
        </w:rPr>
        <w:t>4.</w:t>
      </w:r>
      <w:r>
        <w:rPr>
          <w:rFonts w:ascii="楷体_GB2312" w:eastAsia="楷体_GB2312" w:cs="楷体_GB2312" w:hAnsi="楷体_GB2312"/>
          <w:color w:val="000000"/>
          <w:kern w:val="0"/>
          <w:sz w:val="32"/>
          <w:szCs w:val="32"/>
          <w:shd w:val="clear" w:color="auto" w:fill="FFFFFF"/>
          <w:lang w:val="zh-CN"/>
        </w:rPr>
        <w:t>资产管理</w:t>
      </w:r>
      <w:r>
        <w:rPr>
          <w:rFonts w:ascii="楷体_GB2312" w:eastAsia="楷体_GB2312" w:cs="楷体_GB2312" w:hAnsi="楷体_GB2312" w:hint="eastAsia"/>
          <w:color w:val="000000"/>
          <w:kern w:val="0"/>
          <w:sz w:val="32"/>
          <w:szCs w:val="32"/>
          <w:shd w:val="clear" w:color="auto" w:fill="FFFFFF"/>
          <w:lang w:val="zh-CN"/>
        </w:rPr>
        <w:t>。</w:t>
      </w:r>
      <w:r>
        <w:rPr>
          <w:rFonts w:ascii="Times New Roman" w:eastAsia="仿宋_GB2312" w:cs="Times New Roman" w:hAnsi="Times New Roman" w:hint="eastAsia"/>
          <w:sz w:val="32"/>
          <w:szCs w:val="32"/>
          <w:lang w:val="zh-CN" w:eastAsia="zh-CN"/>
        </w:rPr>
        <w:t>我单位通过不断完善资产管理制度、严格审批程序、对资产进行盘点清查等方式，加强单位的资产配置和处置工作，资产管理工作不断向规范化、科学化、制度化、信息化方向迈进。</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ascii="楷体_GB2312" w:eastAsia="楷体_GB2312" w:cs="楷体_GB2312" w:hAnsi="楷体_GB2312"/>
          <w:color w:val="000000"/>
          <w:kern w:val="0"/>
          <w:sz w:val="32"/>
          <w:szCs w:val="32"/>
          <w:shd w:val="clear" w:color="auto" w:fill="FFFFFF"/>
          <w:lang w:val="en-US"/>
        </w:rPr>
      </w:pPr>
      <w:r>
        <w:rPr>
          <w:rFonts w:ascii="楷体_GB2312" w:eastAsia="楷体_GB2312" w:cs="楷体_GB2312" w:hAnsi="楷体_GB2312" w:hint="eastAsia"/>
          <w:color w:val="000000"/>
          <w:kern w:val="0"/>
          <w:sz w:val="32"/>
          <w:szCs w:val="32"/>
          <w:shd w:val="clear" w:color="auto" w:fill="FFFFFF"/>
          <w:lang w:val="en-US" w:eastAsia="zh-CN"/>
        </w:rPr>
        <w:t>5.</w:t>
      </w:r>
      <w:r>
        <w:rPr>
          <w:rFonts w:ascii="楷体_GB2312" w:eastAsia="楷体_GB2312" w:cs="楷体_GB2312" w:hAnsi="楷体_GB2312"/>
          <w:color w:val="000000"/>
          <w:kern w:val="0"/>
          <w:sz w:val="32"/>
          <w:szCs w:val="32"/>
          <w:shd w:val="clear" w:color="auto" w:fill="FFFFFF"/>
          <w:lang w:val="zh-CN"/>
        </w:rPr>
        <w:t>采购管理</w:t>
      </w:r>
      <w:r>
        <w:rPr>
          <w:rFonts w:ascii="楷体_GB2312" w:eastAsia="楷体_GB2312" w:cs="楷体_GB2312" w:hAnsi="楷体_GB2312" w:hint="eastAsia"/>
          <w:color w:val="000000"/>
          <w:kern w:val="0"/>
          <w:sz w:val="32"/>
          <w:szCs w:val="32"/>
          <w:shd w:val="clear" w:color="auto" w:fill="FFFFFF"/>
          <w:lang w:val="zh-CN"/>
        </w:rPr>
        <w:t>。</w:t>
      </w:r>
      <w:r>
        <w:rPr>
          <w:rFonts w:ascii="Times New Roman" w:eastAsia="仿宋_GB2312" w:cs="Times New Roman" w:hAnsi="Times New Roman" w:hint="eastAsia"/>
          <w:sz w:val="32"/>
          <w:szCs w:val="32"/>
          <w:lang w:val="zh-CN" w:eastAsia="zh-CN"/>
        </w:rPr>
        <w:t>我单位严格把控采购管理工作，在合理规划、科学管理的前提下，对采购事项、采购成本、采购供应商、采购合同、采购流程等进行严格把关，提高单位采购工作的效率和质量，为单位的可持续发展提供有力保障。</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outlineLvl w:val="9"/>
        <w:rPr>
          <w:rFonts w:ascii="Times New Roman" w:eastAsia="仿宋_GB2312" w:cs="Times New Roman" w:hAnsi="Times New Roman"/>
          <w:sz w:val="32"/>
          <w:szCs w:val="32"/>
          <w:lang w:val="en-US" w:eastAsia="zh-CN"/>
        </w:rPr>
      </w:pPr>
      <w:r>
        <w:rPr>
          <w:rFonts w:ascii="Times New Roman" w:eastAsia="楷体_GB2312" w:cs="Times New Roman" w:hAnsi="Times New Roman"/>
          <w:b/>
          <w:bCs/>
          <w:color w:val="000000"/>
          <w:kern w:val="0"/>
          <w:sz w:val="32"/>
          <w:szCs w:val="32"/>
          <w:shd w:val="clear" w:color="auto" w:fill="FFFFFF"/>
          <w:lang w:val="zh-CN"/>
        </w:rPr>
        <w:t>（二）部门预算项目绩效分析。</w:t>
      </w:r>
      <w:r>
        <w:rPr>
          <w:rFonts w:ascii="Times New Roman" w:eastAsia="仿宋_GB2312" w:cs="Times New Roman" w:hAnsi="Times New Roman" w:hint="eastAsia"/>
          <w:sz w:val="32"/>
          <w:szCs w:val="32"/>
          <w:lang w:val="zh-CN" w:eastAsia="zh-CN"/>
        </w:rPr>
        <w:t>填报以下数据，并</w:t>
      </w:r>
      <w:r>
        <w:rPr>
          <w:rFonts w:ascii="Times New Roman" w:eastAsia="仿宋_GB2312" w:cs="Times New Roman" w:hAnsi="Times New Roman"/>
          <w:sz w:val="32"/>
          <w:szCs w:val="32"/>
          <w:lang w:val="zh-CN" w:eastAsia="zh-CN"/>
        </w:rPr>
        <w:t>根据部门预算绩效评价指标体系“项目绩效”涉及</w:t>
      </w:r>
      <w:r>
        <w:rPr>
          <w:rFonts w:ascii="Times New Roman" w:eastAsia="仿宋_GB2312" w:cs="Times New Roman" w:hAnsi="Times New Roman" w:hint="eastAsia"/>
          <w:sz w:val="32"/>
          <w:szCs w:val="32"/>
          <w:lang w:val="zh-CN" w:eastAsia="zh-CN"/>
        </w:rPr>
        <w:t>二、三级</w:t>
      </w:r>
      <w:r>
        <w:rPr>
          <w:rFonts w:ascii="Times New Roman" w:eastAsia="仿宋_GB2312" w:cs="Times New Roman" w:hAnsi="Times New Roman"/>
          <w:sz w:val="32"/>
          <w:szCs w:val="32"/>
          <w:lang w:val="zh-CN" w:eastAsia="zh-CN"/>
        </w:rPr>
        <w:t>指标进行</w:t>
      </w:r>
      <w:r>
        <w:rPr>
          <w:rFonts w:ascii="Times New Roman" w:eastAsia="仿宋_GB2312" w:cs="Times New Roman" w:hAnsi="Times New Roman" w:hint="eastAsia"/>
          <w:sz w:val="32"/>
          <w:szCs w:val="32"/>
          <w:lang w:val="zh-CN" w:eastAsia="zh-CN"/>
        </w:rPr>
        <w:t>逐项</w:t>
      </w:r>
      <w:r>
        <w:rPr>
          <w:rFonts w:ascii="Times New Roman" w:eastAsia="仿宋_GB2312" w:cs="Times New Roman" w:hAnsi="Times New Roman"/>
          <w:sz w:val="32"/>
          <w:szCs w:val="32"/>
          <w:lang w:val="zh-CN" w:eastAsia="zh-CN"/>
        </w:rPr>
        <w:t>绩效分析</w:t>
      </w:r>
      <w:r>
        <w:rPr>
          <w:rFonts w:ascii="Times New Roman" w:eastAsia="仿宋_GB2312" w:cs="Times New Roman" w:hAnsi="Times New Roman" w:hint="eastAsia"/>
          <w:sz w:val="32"/>
          <w:szCs w:val="32"/>
          <w:lang w:val="zh-CN" w:eastAsia="zh-CN"/>
        </w:rPr>
        <w:t>并评分</w:t>
      </w:r>
      <w:r>
        <w:rPr>
          <w:rFonts w:ascii="Times New Roman" w:eastAsia="仿宋_GB2312" w:cs="Times New Roman" w:hAnsi="Times New Roman"/>
          <w:sz w:val="32"/>
          <w:szCs w:val="32"/>
          <w:lang w:val="zh-CN" w:eastAsia="zh-CN"/>
        </w:rPr>
        <w:t>，依次包括项目</w:t>
      </w:r>
      <w:r>
        <w:rPr>
          <w:rFonts w:ascii="Times New Roman" w:eastAsia="仿宋_GB2312" w:cs="Times New Roman" w:hAnsi="Times New Roman"/>
          <w:sz w:val="32"/>
          <w:szCs w:val="32"/>
          <w:lang w:val="en-US" w:eastAsia="zh-CN"/>
        </w:rPr>
        <w:t>决策、项目执行、目标实现等情况</w:t>
      </w:r>
      <w:r>
        <w:rPr>
          <w:rFonts w:ascii="Times New Roman" w:eastAsia="仿宋_GB2312" w:cs="Times New Roman" w:hAnsi="Times New Roman" w:hint="eastAsia"/>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outlineLvl w:val="9"/>
        <w:rPr>
          <w:rFonts w:ascii="Times New Roman" w:eastAsia="仿宋_GB2312" w:cs="Times New Roman" w:hAnsi="Times New Roman"/>
          <w:sz w:val="32"/>
          <w:szCs w:val="32"/>
          <w:lang w:val="zh-CN" w:eastAsia="zh-CN"/>
        </w:rPr>
      </w:pPr>
      <w:r>
        <w:rPr>
          <w:rFonts w:ascii="Times New Roman" w:eastAsia="仿宋_GB2312" w:cs="Times New Roman" w:hAnsi="Times New Roman"/>
          <w:sz w:val="32"/>
          <w:szCs w:val="32"/>
          <w:lang w:val="en-US" w:eastAsia="zh-CN"/>
        </w:rPr>
        <w:t>常年项目绩效分析。</w:t>
      </w:r>
      <w:r>
        <w:rPr>
          <w:rFonts w:ascii="Times New Roman" w:eastAsia="仿宋_GB2312" w:cs="Times New Roman" w:hAnsi="Times New Roman"/>
          <w:sz w:val="32"/>
          <w:szCs w:val="32"/>
          <w:lang w:val="zh-CN" w:eastAsia="zh-CN"/>
        </w:rPr>
        <w:t>该类项目总数</w:t>
      </w:r>
      <w:r>
        <w:rPr>
          <w:rFonts w:ascii="Times New Roman" w:eastAsia="仿宋_GB2312" w:cs="Times New Roman" w:hAnsi="Times New Roman" w:hint="eastAsia"/>
          <w:sz w:val="32"/>
          <w:szCs w:val="32"/>
          <w:lang w:val="en-US" w:eastAsia="zh-CN"/>
        </w:rPr>
        <w:t>15</w:t>
      </w:r>
      <w:r>
        <w:rPr>
          <w:rFonts w:ascii="Times New Roman" w:eastAsia="仿宋_GB2312" w:cs="Times New Roman" w:hAnsi="Times New Roman"/>
          <w:sz w:val="32"/>
          <w:szCs w:val="32"/>
          <w:lang w:val="zh-CN" w:eastAsia="zh-CN"/>
        </w:rPr>
        <w:t>个，涉及预算总金额</w:t>
      </w:r>
      <w:r>
        <w:rPr>
          <w:rFonts w:ascii="Times New Roman" w:eastAsia="仿宋_GB2312" w:cs="Times New Roman" w:hAnsi="Times New Roman" w:hint="eastAsia"/>
          <w:sz w:val="32"/>
          <w:szCs w:val="32"/>
          <w:lang w:val="en-US" w:eastAsia="zh-CN"/>
        </w:rPr>
        <w:t>418.81</w:t>
      </w:r>
      <w:r>
        <w:rPr>
          <w:rFonts w:ascii="Times New Roman" w:eastAsia="仿宋_GB2312" w:cs="Times New Roman" w:hAnsi="Times New Roman"/>
          <w:sz w:val="32"/>
          <w:szCs w:val="32"/>
          <w:lang w:val="zh-CN" w:eastAsia="zh-CN"/>
        </w:rPr>
        <w:t>万元，1</w:t>
      </w:r>
      <w:r>
        <w:rPr>
          <w:rFonts w:ascii="Times New Roman" w:eastAsia="仿宋_GB2312" w:cs="Times New Roman" w:hAnsi="Times New Roman" w:hint="eastAsia"/>
          <w:sz w:val="32"/>
          <w:szCs w:val="32"/>
          <w:lang w:val="zh-CN" w:eastAsia="zh-CN"/>
        </w:rPr>
        <w:t>—</w:t>
      </w:r>
      <w:r>
        <w:rPr>
          <w:rFonts w:ascii="Times New Roman" w:eastAsia="仿宋_GB2312" w:cs="Times New Roman" w:hAnsi="Times New Roman"/>
          <w:sz w:val="32"/>
          <w:szCs w:val="32"/>
          <w:lang w:val="zh-CN" w:eastAsia="zh-CN"/>
        </w:rPr>
        <w:t>1</w:t>
      </w:r>
      <w:r>
        <w:rPr>
          <w:rFonts w:ascii="Times New Roman" w:eastAsia="仿宋_GB2312" w:cs="Times New Roman" w:hAnsi="Times New Roman"/>
          <w:sz w:val="32"/>
          <w:szCs w:val="32"/>
          <w:lang w:val="en-US" w:eastAsia="zh-CN"/>
        </w:rPr>
        <w:t>2</w:t>
      </w:r>
      <w:r>
        <w:rPr>
          <w:rFonts w:ascii="Times New Roman" w:eastAsia="仿宋_GB2312" w:cs="Times New Roman" w:hAnsi="Times New Roman"/>
          <w:sz w:val="32"/>
          <w:szCs w:val="32"/>
          <w:lang w:val="zh-CN" w:eastAsia="zh-CN"/>
        </w:rPr>
        <w:t>月预算执行总体进度为</w:t>
      </w:r>
      <w:r>
        <w:rPr>
          <w:rFonts w:ascii="Times New Roman" w:eastAsia="仿宋_GB2312" w:cs="Times New Roman" w:hAnsi="Times New Roman" w:hint="eastAsia"/>
          <w:sz w:val="32"/>
          <w:szCs w:val="32"/>
          <w:lang w:val="en-US" w:eastAsia="zh-CN"/>
        </w:rPr>
        <w:t>100</w:t>
      </w:r>
      <w:r>
        <w:rPr>
          <w:rFonts w:ascii="Times New Roman" w:eastAsia="仿宋_GB2312" w:cs="Times New Roman" w:hAnsi="Times New Roman"/>
          <w:sz w:val="32"/>
          <w:szCs w:val="32"/>
          <w:lang w:val="zh-CN" w:eastAsia="zh-CN"/>
        </w:rPr>
        <w:t>%，其中：预算结余率大于</w:t>
      </w:r>
      <w:r>
        <w:rPr>
          <w:rFonts w:ascii="Times New Roman" w:eastAsia="仿宋_GB2312" w:cs="Times New Roman" w:hAnsi="Times New Roman"/>
          <w:sz w:val="32"/>
          <w:szCs w:val="32"/>
          <w:lang w:val="en-US" w:eastAsia="zh-CN"/>
        </w:rPr>
        <w:t>10%</w:t>
      </w:r>
      <w:r>
        <w:rPr>
          <w:rFonts w:ascii="Times New Roman" w:eastAsia="仿宋_GB2312" w:cs="Times New Roman" w:hAnsi="Times New Roman"/>
          <w:sz w:val="32"/>
          <w:szCs w:val="32"/>
          <w:lang w:val="zh-CN" w:eastAsia="zh-CN"/>
        </w:rPr>
        <w:t>的项目共计</w:t>
      </w:r>
      <w:r>
        <w:rPr>
          <w:rFonts w:ascii="Times New Roman" w:eastAsia="仿宋_GB2312" w:cs="Times New Roman" w:hAnsi="Times New Roman" w:hint="eastAsia"/>
          <w:sz w:val="32"/>
          <w:szCs w:val="32"/>
          <w:lang w:val="en-US" w:eastAsia="zh-CN"/>
        </w:rPr>
        <w:t>0</w:t>
      </w:r>
      <w:r>
        <w:rPr>
          <w:rFonts w:ascii="Times New Roman" w:eastAsia="仿宋_GB2312" w:cs="Times New Roman" w:hAnsi="Times New Roman"/>
          <w:sz w:val="32"/>
          <w:szCs w:val="32"/>
          <w:lang w:val="zh-CN" w:eastAsia="zh-CN"/>
        </w:rPr>
        <w:t>个。</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outlineLvl w:val="9"/>
        <w:rPr>
          <w:rFonts w:ascii="Times New Roman" w:eastAsia="仿宋_GB2312" w:cs="Times New Roman" w:hAnsi="Times New Roman"/>
          <w:sz w:val="32"/>
          <w:szCs w:val="32"/>
          <w:lang w:val="zh-CN" w:eastAsia="zh-CN"/>
        </w:rPr>
      </w:pPr>
      <w:r>
        <w:rPr>
          <w:rFonts w:ascii="Times New Roman" w:eastAsia="仿宋_GB2312" w:cs="Times New Roman" w:hAnsi="Times New Roman"/>
          <w:sz w:val="32"/>
          <w:szCs w:val="32"/>
          <w:lang w:val="en-US" w:eastAsia="zh-CN"/>
        </w:rPr>
        <w:t>阶段</w:t>
      </w:r>
      <w:r>
        <w:rPr>
          <w:rFonts w:ascii="Times New Roman" w:eastAsia="仿宋_GB2312" w:cs="Times New Roman" w:hAnsi="Times New Roman" w:hint="eastAsia"/>
          <w:sz w:val="32"/>
          <w:szCs w:val="32"/>
          <w:lang w:val="en-US" w:eastAsia="zh-CN"/>
        </w:rPr>
        <w:t>（</w:t>
      </w:r>
      <w:r>
        <w:rPr>
          <w:rFonts w:ascii="Times New Roman" w:eastAsia="仿宋_GB2312" w:cs="Times New Roman" w:hAnsi="Times New Roman"/>
          <w:sz w:val="32"/>
          <w:szCs w:val="32"/>
          <w:lang w:val="en-US" w:eastAsia="zh-CN"/>
        </w:rPr>
        <w:t>一次性</w:t>
      </w:r>
      <w:r>
        <w:rPr>
          <w:rFonts w:ascii="Times New Roman" w:eastAsia="仿宋_GB2312" w:cs="Times New Roman" w:hAnsi="Times New Roman" w:hint="eastAsia"/>
          <w:sz w:val="32"/>
          <w:szCs w:val="32"/>
          <w:lang w:val="en-US" w:eastAsia="zh-CN"/>
        </w:rPr>
        <w:t>）</w:t>
      </w:r>
      <w:r>
        <w:rPr>
          <w:rFonts w:ascii="Times New Roman" w:eastAsia="仿宋_GB2312" w:cs="Times New Roman" w:hAnsi="Times New Roman"/>
          <w:sz w:val="32"/>
          <w:szCs w:val="32"/>
          <w:lang w:val="en-US" w:eastAsia="zh-CN"/>
        </w:rPr>
        <w:t>项目绩效分析。</w:t>
      </w:r>
      <w:r>
        <w:rPr>
          <w:rFonts w:ascii="Times New Roman" w:eastAsia="仿宋_GB2312" w:cs="Times New Roman" w:hAnsi="Times New Roman"/>
          <w:sz w:val="32"/>
          <w:szCs w:val="32"/>
          <w:lang w:val="zh-CN" w:eastAsia="zh-CN"/>
        </w:rPr>
        <w:t>该类项目总数</w:t>
      </w:r>
      <w:r>
        <w:rPr>
          <w:rFonts w:ascii="Times New Roman" w:eastAsia="仿宋_GB2312" w:cs="Times New Roman" w:hAnsi="Times New Roman" w:hint="eastAsia"/>
          <w:sz w:val="32"/>
          <w:szCs w:val="32"/>
          <w:lang w:val="en-US" w:eastAsia="zh-CN"/>
        </w:rPr>
        <w:t>0</w:t>
      </w:r>
      <w:r>
        <w:rPr>
          <w:rFonts w:ascii="Times New Roman" w:eastAsia="仿宋_GB2312" w:cs="Times New Roman" w:hAnsi="Times New Roman"/>
          <w:sz w:val="32"/>
          <w:szCs w:val="32"/>
          <w:lang w:val="zh-CN" w:eastAsia="zh-CN"/>
        </w:rPr>
        <w:t>个，涉及预算总金额</w:t>
      </w:r>
      <w:r>
        <w:rPr>
          <w:rFonts w:ascii="Times New Roman" w:eastAsia="仿宋_GB2312" w:cs="Times New Roman" w:hAnsi="Times New Roman" w:hint="eastAsia"/>
          <w:sz w:val="32"/>
          <w:szCs w:val="32"/>
          <w:lang w:val="en-US" w:eastAsia="zh-CN"/>
        </w:rPr>
        <w:t>0</w:t>
      </w:r>
      <w:r>
        <w:rPr>
          <w:rFonts w:ascii="Times New Roman" w:eastAsia="仿宋_GB2312" w:cs="Times New Roman" w:hAnsi="Times New Roman"/>
          <w:sz w:val="32"/>
          <w:szCs w:val="32"/>
          <w:lang w:val="zh-CN" w:eastAsia="zh-CN"/>
        </w:rPr>
        <w:t>万元。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_GB2312" w:eastAsia="仿宋_GB2312" w:cs="仿宋_GB2312" w:hAnsi="仿宋_GB2312" w:hint="eastAsia"/>
          <w:sz w:val="32"/>
          <w:szCs w:val="32"/>
          <w:lang w:val="en-US" w:eastAsia="zh-CN"/>
        </w:rPr>
      </w:pPr>
      <w:r>
        <w:rPr>
          <w:rFonts w:ascii="楷体_GB2312" w:eastAsia="楷体_GB2312" w:cs="楷体_GB2312" w:hAnsi="楷体_GB2312" w:hint="eastAsia"/>
          <w:color w:val="000000"/>
          <w:kern w:val="0"/>
          <w:sz w:val="32"/>
          <w:szCs w:val="32"/>
          <w:shd w:val="clear" w:color="auto" w:fill="FFFFFF"/>
          <w:lang w:val="en-US" w:eastAsia="zh-CN"/>
        </w:rPr>
        <w:t>1.</w:t>
      </w:r>
      <w:r>
        <w:rPr>
          <w:rFonts w:ascii="楷体_GB2312" w:eastAsia="楷体_GB2312" w:cs="楷体_GB2312" w:hAnsi="楷体_GB2312" w:hint="eastAsia"/>
          <w:color w:val="000000"/>
          <w:kern w:val="0"/>
          <w:sz w:val="32"/>
          <w:szCs w:val="32"/>
          <w:shd w:val="clear" w:color="auto" w:fill="FFFFFF"/>
          <w:lang w:val="zh-CN"/>
        </w:rPr>
        <w:t>项目决策。</w:t>
      </w:r>
      <w:r>
        <w:rPr>
          <w:rFonts w:ascii="Times New Roman" w:eastAsia="仿宋_GB2312" w:cs="Times New Roman" w:hAnsi="Times New Roman" w:hint="eastAsia"/>
          <w:sz w:val="32"/>
          <w:szCs w:val="32"/>
          <w:lang w:val="en-US" w:eastAsia="zh-CN"/>
        </w:rPr>
        <w:t>2023年本单位顺利完成了年初设置的整体绩效目标。年初预算编制时将各内设股室的</w:t>
      </w:r>
      <w:r>
        <w:rPr>
          <w:rFonts w:ascii="Times New Roman" w:eastAsia="仿宋_GB2312" w:cs="Times New Roman" w:hAnsi="Times New Roman" w:hint="eastAsia"/>
          <w:sz w:val="32"/>
          <w:szCs w:val="32"/>
          <w:lang w:val="zh-CN" w:eastAsia="zh-CN"/>
        </w:rPr>
        <w:t>工作实际和履职情况作为设置本部门预算绩效目标的重要依据，确保资金分配合理。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Times New Roman" w:eastAsia="仿宋_GB2312" w:cs="Times New Roman" w:hAnsi="Times New Roman" w:hint="eastAsia"/>
          <w:sz w:val="32"/>
          <w:szCs w:val="32"/>
          <w:lang w:val="zh-CN" w:eastAsia="zh-CN"/>
        </w:rPr>
      </w:pPr>
      <w:r>
        <w:rPr>
          <w:rFonts w:ascii="楷体_GB2312" w:eastAsia="楷体_GB2312" w:cs="楷体_GB2312" w:hAnsi="楷体_GB2312" w:hint="eastAsia"/>
          <w:color w:val="000000"/>
          <w:kern w:val="0"/>
          <w:sz w:val="32"/>
          <w:szCs w:val="32"/>
          <w:shd w:val="clear" w:color="auto" w:fill="FFFFFF"/>
          <w:lang w:val="en-US" w:eastAsia="zh-CN"/>
        </w:rPr>
        <w:t>2.项目执行</w:t>
      </w:r>
      <w:r>
        <w:rPr>
          <w:rFonts w:ascii="楷体_GB2312" w:eastAsia="楷体_GB2312" w:cs="楷体_GB2312" w:hAnsi="楷体_GB2312" w:hint="eastAsia"/>
          <w:color w:val="000000"/>
          <w:kern w:val="0"/>
          <w:sz w:val="32"/>
          <w:szCs w:val="32"/>
          <w:shd w:val="clear" w:color="auto" w:fill="FFFFFF"/>
          <w:lang w:val="zh-CN"/>
        </w:rPr>
        <w:t>。</w:t>
      </w:r>
      <w:r>
        <w:rPr>
          <w:rFonts w:ascii="Times New Roman" w:eastAsia="仿宋_GB2312" w:cs="Times New Roman" w:hAnsi="Times New Roman" w:hint="eastAsia"/>
          <w:sz w:val="32"/>
          <w:szCs w:val="32"/>
          <w:lang w:val="zh-CN" w:eastAsia="zh-CN"/>
        </w:rPr>
        <w:t>在预算资金执行过程中及时关注预算执行率、预算调整率、预算资金的使用效益等重要指标。按要求人员类、运转类经费项目进行清算，及时对特定目标类项目进行绩效目标的调整和完善，确保设置的各项绩效目标顺利完成。</w:t>
      </w:r>
    </w:p>
    <w:p>
      <w:pPr>
        <w:keepNext w:val="0"/>
        <w:keepLines w:val="0"/>
        <w:pageBreakBefore w:val="0"/>
        <w:kinsoku/>
        <w:wordWrap/>
        <w:overflowPunct/>
        <w:topLinePunct w:val="0"/>
        <w:autoSpaceDE/>
        <w:autoSpaceDN/>
        <w:bidi w:val="0"/>
        <w:spacing w:line="576" w:lineRule="exact"/>
        <w:ind w:left="0" w:right="0" w:firstLineChars="200" w:firstLine="640"/>
        <w:jc w:val="both"/>
        <w:textAlignment w:val="auto"/>
        <w:rPr>
          <w:rFonts w:ascii="仿宋" w:eastAsia="仿宋" w:cs="仿宋" w:hAnsi="仿宋" w:hint="eastAsia"/>
          <w:color w:val="282828"/>
          <w:sz w:val="32"/>
          <w:szCs w:val="32"/>
          <w:lang w:val="en-US" w:eastAsia="zh-CN"/>
        </w:rPr>
      </w:pPr>
      <w:r>
        <w:rPr>
          <w:rFonts w:ascii="楷体_GB2312" w:eastAsia="楷体_GB2312" w:cs="楷体_GB2312" w:hAnsi="楷体_GB2312" w:hint="eastAsia"/>
          <w:color w:val="000000"/>
          <w:kern w:val="0"/>
          <w:sz w:val="32"/>
          <w:szCs w:val="32"/>
          <w:shd w:val="clear" w:color="auto" w:fill="FFFFFF"/>
          <w:lang w:val="en-US" w:eastAsia="zh-CN"/>
        </w:rPr>
        <w:t>3.</w:t>
      </w:r>
      <w:r>
        <w:rPr>
          <w:rFonts w:ascii="楷体_GB2312" w:eastAsia="楷体_GB2312" w:cs="楷体_GB2312" w:hAnsi="楷体_GB2312" w:hint="eastAsia"/>
          <w:color w:val="000000"/>
          <w:kern w:val="0"/>
          <w:sz w:val="32"/>
          <w:szCs w:val="32"/>
          <w:shd w:val="clear" w:color="auto" w:fill="FFFFFF"/>
          <w:lang w:val="zh-CN"/>
        </w:rPr>
        <w:t>目标实现。</w:t>
      </w:r>
      <w:r>
        <w:rPr>
          <w:rFonts w:ascii="仿宋" w:eastAsia="仿宋" w:cs="仿宋" w:hAnsi="仿宋" w:hint="eastAsia"/>
          <w:color w:val="282828"/>
          <w:sz w:val="32"/>
          <w:szCs w:val="32"/>
          <w:lang w:val="en-US" w:eastAsia="zh-CN"/>
        </w:rPr>
        <w:t>从自评结果看，我单位财务管理健全规范，整体绩效目标设定合理，编制内容完整，评价项目总体绩效目标明确，决策依据充分，资金分配科学合理，项目管理较规范，项目完成良好，基本达到了预期效果。</w:t>
      </w:r>
    </w:p>
    <w:p>
      <w:pPr>
        <w:ind w:firstLineChars="200" w:firstLine="640"/>
        <w:rPr>
          <w:rFonts w:ascii="仿宋" w:eastAsia="仿宋" w:cs="仿宋" w:hAnsi="仿宋" w:hint="eastAsia"/>
          <w:color w:val="282828"/>
          <w:sz w:val="32"/>
          <w:szCs w:val="32"/>
          <w:lang w:val="zh-CN" w:eastAsia="zh-CN"/>
        </w:rPr>
      </w:pPr>
      <w:r>
        <w:rPr>
          <w:rFonts w:ascii="Times New Roman" w:eastAsia="楷体_GB2312" w:cs="Times New Roman" w:hAnsi="Times New Roman" w:hint="eastAsia"/>
          <w:b/>
          <w:bCs/>
          <w:color w:val="000000"/>
          <w:kern w:val="0"/>
          <w:sz w:val="32"/>
          <w:szCs w:val="32"/>
          <w:shd w:val="clear" w:color="auto" w:fill="FFFFFF"/>
          <w:lang w:val="zh-CN" w:eastAsia="zh-CN" w:bidi="ar-SA"/>
        </w:rPr>
        <w:t>（三）重点领域绩效分析。</w:t>
      </w:r>
      <w:r>
        <w:rPr>
          <w:rFonts w:ascii="仿宋" w:eastAsia="仿宋" w:cs="仿宋" w:hAnsi="仿宋" w:hint="eastAsia"/>
          <w:color w:val="282828"/>
          <w:sz w:val="32"/>
          <w:szCs w:val="32"/>
          <w:lang w:val="zh-CN" w:eastAsia="zh-CN"/>
        </w:rPr>
        <w:t>我单位</w:t>
      </w:r>
      <w:r>
        <w:rPr>
          <w:rFonts w:ascii="仿宋" w:eastAsia="仿宋" w:cs="仿宋" w:hAnsi="仿宋" w:hint="eastAsia"/>
          <w:color w:val="282828"/>
          <w:sz w:val="32"/>
          <w:szCs w:val="32"/>
          <w:lang w:val="en-US" w:eastAsia="zh-CN"/>
        </w:rPr>
        <w:t>2023年度不涉及</w:t>
      </w:r>
      <w:r>
        <w:rPr>
          <w:rFonts w:ascii="仿宋" w:eastAsia="仿宋" w:cs="仿宋" w:hAnsi="仿宋" w:hint="eastAsia"/>
          <w:color w:val="282828"/>
          <w:sz w:val="32"/>
          <w:szCs w:val="32"/>
          <w:lang w:val="zh-CN" w:eastAsia="zh-CN"/>
        </w:rPr>
        <w:t>涉及国有资本、行政事业性国有资产、债券资金、政府采购和政府购买服务等重点领域的。</w:t>
      </w:r>
    </w:p>
    <w:p>
      <w:pPr>
        <w:keepNext w:val="0"/>
        <w:keepLines w:val="0"/>
        <w:pageBreakBefore w:val="0"/>
        <w:kinsoku/>
        <w:wordWrap/>
        <w:overflowPunct/>
        <w:topLinePunct w:val="0"/>
        <w:autoSpaceDE/>
        <w:autoSpaceDN/>
        <w:bidi w:val="0"/>
        <w:spacing w:line="576" w:lineRule="exact"/>
        <w:ind w:left="0" w:right="0" w:firstLineChars="200" w:firstLine="640"/>
        <w:jc w:val="both"/>
        <w:textAlignment w:val="auto"/>
        <w:rPr>
          <w:rFonts w:ascii="Times New Roman" w:eastAsia="楷体_GB2312" w:cs="Times New Roman" w:hAnsi="Times New Roman" w:hint="eastAsia"/>
          <w:b/>
          <w:bCs/>
          <w:color w:val="000000"/>
          <w:kern w:val="0"/>
          <w:sz w:val="32"/>
          <w:szCs w:val="32"/>
          <w:shd w:val="clear" w:color="auto" w:fill="FFFFFF"/>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Times New Roman" w:eastAsia="仿宋_GB2312" w:cs="Times New Roman" w:hAnsi="Times New Roman"/>
          <w:sz w:val="32"/>
          <w:szCs w:val="32"/>
          <w:u w:val="none"/>
        </w:rPr>
      </w:pPr>
      <w:r>
        <w:rPr>
          <w:rFonts w:ascii="Times New Roman" w:eastAsia="楷体_GB2312" w:cs="Times New Roman" w:hAnsi="Times New Roman"/>
          <w:b/>
          <w:bCs/>
          <w:color w:val="000000"/>
          <w:kern w:val="0"/>
          <w:sz w:val="32"/>
          <w:szCs w:val="32"/>
          <w:shd w:val="clear" w:color="auto" w:fill="FFFFFF"/>
          <w:lang w:val="zh-CN"/>
        </w:rPr>
        <w:t>（</w:t>
      </w:r>
      <w:r>
        <w:rPr>
          <w:rFonts w:eastAsia="楷体_GB2312" w:cs="Times New Roman" w:hint="eastAsia"/>
          <w:b/>
          <w:bCs/>
          <w:color w:val="000000"/>
          <w:kern w:val="0"/>
          <w:sz w:val="32"/>
          <w:szCs w:val="32"/>
          <w:shd w:val="clear" w:color="auto" w:fill="FFFFFF"/>
          <w:lang w:val="zh-CN"/>
        </w:rPr>
        <w:t>四</w:t>
      </w:r>
      <w:r>
        <w:rPr>
          <w:rFonts w:ascii="Times New Roman" w:eastAsia="楷体_GB2312" w:cs="Times New Roman" w:hAnsi="Times New Roman"/>
          <w:b/>
          <w:bCs/>
          <w:color w:val="000000"/>
          <w:kern w:val="0"/>
          <w:sz w:val="32"/>
          <w:szCs w:val="32"/>
          <w:shd w:val="clear" w:color="auto" w:fill="FFFFFF"/>
          <w:lang w:val="zh-CN"/>
        </w:rPr>
        <w:t>）</w:t>
      </w:r>
      <w:r>
        <w:rPr>
          <w:rFonts w:ascii="Times New Roman" w:eastAsia="楷体_GB2312" w:cs="Times New Roman" w:hAnsi="Times New Roman"/>
          <w:b/>
          <w:bCs/>
          <w:color w:val="000000"/>
          <w:kern w:val="0"/>
          <w:sz w:val="32"/>
          <w:szCs w:val="32"/>
          <w:shd w:val="clear" w:color="auto" w:fill="FFFFFF"/>
          <w:lang w:val="zh-CN" w:eastAsia="zh-CN"/>
        </w:rPr>
        <w:t>绩效结果应用情况</w:t>
      </w:r>
      <w:r>
        <w:rPr>
          <w:rFonts w:ascii="Times New Roman" w:eastAsia="楷体_GB2312" w:cs="Times New Roman" w:hAnsi="Times New Roman" w:hint="eastAsia"/>
          <w:b/>
          <w:bCs/>
          <w:color w:val="000000"/>
          <w:kern w:val="0"/>
          <w:sz w:val="32"/>
          <w:szCs w:val="32"/>
          <w:shd w:val="clear" w:color="auto" w:fill="FFFFFF"/>
          <w:lang w:val="zh-CN" w:eastAsia="zh-CN"/>
        </w:rPr>
        <w:t>。</w:t>
      </w:r>
      <w:r>
        <w:rPr>
          <w:rFonts w:ascii="仿宋" w:eastAsia="仿宋" w:cs="仿宋" w:hAnsi="仿宋" w:hint="eastAsia"/>
          <w:color w:val="282828"/>
          <w:sz w:val="32"/>
          <w:szCs w:val="32"/>
          <w:lang w:val="en-US" w:eastAsia="zh-CN"/>
        </w:rPr>
        <w:t>我单位绩效结果与预算挂钩，并将绩效自评纳入考核体系，建立绩效管理制度，有相应资金对应的业务股室具体实施，对所管理项目和使用资金预算绩效评价直接责任并开展自评。预算绩效自评结果与部门工作实绩挂钩，纳入年终工作考核，进一步提高预算绩效管理结果的运行。</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outlineLvl w:val="9"/>
        <w:rPr>
          <w:rFonts w:eastAsia="黑体" w:cs="Times New Roman"/>
          <w:color w:val="000000"/>
          <w:kern w:val="0"/>
          <w:sz w:val="32"/>
          <w:szCs w:val="32"/>
          <w:shd w:val="clear" w:color="auto" w:fill="FFFFFF"/>
          <w:lang w:val="zh-CN"/>
        </w:rPr>
      </w:pPr>
      <w:r>
        <w:rPr>
          <w:rFonts w:eastAsia="黑体" w:cs="Times New Roman"/>
          <w:color w:val="000000"/>
          <w:kern w:val="0"/>
          <w:sz w:val="32"/>
          <w:szCs w:val="32"/>
          <w:shd w:val="clear" w:color="auto" w:fill="FFFFFF"/>
          <w:lang w:val="zh-CN" w:eastAsia="zh-CN"/>
        </w:rPr>
        <w:t>四、</w:t>
      </w:r>
      <w:r>
        <w:rPr>
          <w:rFonts w:eastAsia="黑体" w:cs="Times New Roman"/>
          <w:color w:val="000000"/>
          <w:kern w:val="0"/>
          <w:sz w:val="32"/>
          <w:szCs w:val="32"/>
          <w:shd w:val="clear" w:color="auto" w:fill="FFFFFF"/>
          <w:lang w:val="zh-CN"/>
        </w:rPr>
        <w:t>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contextualSpacing/>
        <w:jc w:val="left"/>
        <w:textAlignment w:val="auto"/>
        <w:rPr>
          <w:rFonts w:ascii="Times New Roman" w:eastAsia="仿宋_GB2312" w:cs="Times New Roman" w:hAnsi="Times New Roman"/>
          <w:sz w:val="32"/>
          <w:szCs w:val="32"/>
          <w:u w:val="none"/>
          <w:lang w:val="en-US" w:eastAsia="zh-CN"/>
        </w:rPr>
      </w:pPr>
      <w:r>
        <w:rPr>
          <w:rFonts w:ascii="Times New Roman" w:eastAsia="楷体_GB2312" w:cs="Times New Roman" w:hAnsi="Times New Roman"/>
          <w:b/>
          <w:bCs/>
          <w:color w:val="000000"/>
          <w:kern w:val="0"/>
          <w:sz w:val="32"/>
          <w:szCs w:val="32"/>
          <w:shd w:val="clear" w:color="auto" w:fill="FFFFFF"/>
          <w:lang w:val="zh-CN"/>
        </w:rPr>
        <w:t>（一）评价结论。</w:t>
      </w:r>
      <w:r>
        <w:rPr>
          <w:rFonts w:ascii="仿宋_GB2312" w:eastAsia="仿宋_GB2312" w:cs="仿宋_GB2312" w:hAnsi="仿宋_GB2312" w:hint="eastAsia"/>
          <w:kern w:val="2"/>
          <w:sz w:val="32"/>
          <w:szCs w:val="32"/>
          <w:lang w:val="en-US" w:eastAsia="zh-CN" w:bidi="ar-SA"/>
        </w:rPr>
        <w:t>本部门按要求对202</w:t>
      </w:r>
      <w:r>
        <w:rPr>
          <w:rFonts w:ascii="仿宋_GB2312" w:cs="仿宋_GB2312" w:hAnsi="仿宋_GB2312" w:hint="eastAsia"/>
          <w:kern w:val="2"/>
          <w:sz w:val="32"/>
          <w:szCs w:val="32"/>
          <w:lang w:val="en-US" w:eastAsia="zh-CN" w:bidi="ar-SA"/>
        </w:rPr>
        <w:t>3</w:t>
      </w:r>
      <w:r>
        <w:rPr>
          <w:rFonts w:ascii="仿宋_GB2312" w:eastAsia="仿宋_GB2312" w:cs="仿宋_GB2312" w:hAnsi="仿宋_GB2312" w:hint="eastAsia"/>
          <w:kern w:val="2"/>
          <w:sz w:val="32"/>
          <w:szCs w:val="32"/>
          <w:lang w:val="en-US" w:eastAsia="zh-CN" w:bidi="ar-SA"/>
        </w:rPr>
        <w:t>年部门整体支出开展绩效自评，从评价情况来看项目完成、项目效益、满意度等方面绩效指标完成情况良好。本部门还进行了专项支出绩效评价，从评价情况来看项目完成、项目效益、满意度等方面绩效指标完成情况良好。</w:t>
      </w:r>
    </w:p>
    <w:p>
      <w:pPr>
        <w:pStyle w:val="16"/>
        <w:keepNext w:val="0"/>
        <w:keepLines w:val="0"/>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lang w:val="zh-CN" w:eastAsia="zh-CN"/>
        </w:rPr>
      </w:pPr>
      <w:r>
        <w:rPr>
          <w:rFonts w:ascii="Times New Roman" w:eastAsia="楷体_GB2312" w:cs="Times New Roman" w:hAnsi="Times New Roman"/>
          <w:b/>
          <w:bCs/>
          <w:color w:val="000000"/>
          <w:kern w:val="0"/>
          <w:sz w:val="32"/>
          <w:szCs w:val="32"/>
          <w:shd w:val="clear" w:color="auto" w:fill="FFFFFF"/>
          <w:lang w:val="zh-CN"/>
        </w:rPr>
        <w:t>（二）存在问题。</w:t>
      </w:r>
      <w:r>
        <w:rPr>
          <w:rFonts w:ascii="仿宋_GB2312" w:eastAsia="仿宋_GB2312" w:cs="仿宋_GB2312" w:hAnsi="仿宋_GB2312" w:hint="eastAsia"/>
          <w:kern w:val="2"/>
          <w:sz w:val="32"/>
          <w:szCs w:val="32"/>
          <w:lang w:val="en-US" w:eastAsia="zh-CN" w:bidi="ar-SA"/>
        </w:rPr>
        <w:t>1</w:t>
      </w:r>
      <w:r>
        <w:rPr>
          <w:rFonts w:cs="仿宋_GB2312" w:hAnsi="仿宋_GB2312" w:hint="eastAsia"/>
          <w:kern w:val="2"/>
          <w:sz w:val="32"/>
          <w:szCs w:val="32"/>
          <w:lang w:val="en-US" w:eastAsia="zh-CN" w:bidi="ar-SA"/>
        </w:rPr>
        <w:t>.</w:t>
      </w:r>
      <w:r>
        <w:rPr>
          <w:rFonts w:ascii="仿宋" w:eastAsia="仿宋" w:cs="仿宋" w:hAnsi="仿宋" w:hint="eastAsia"/>
          <w:sz w:val="32"/>
          <w:szCs w:val="32"/>
          <w:lang w:val="zh-CN"/>
        </w:rPr>
        <w:t>财务管理方面，会计核算还不够细致，对于有些能够细分的工作，未能详细分类核算；</w:t>
      </w:r>
      <w:r>
        <w:rPr>
          <w:rFonts w:ascii="仿宋" w:eastAsia="仿宋" w:cs="仿宋" w:hAnsi="仿宋" w:hint="eastAsia"/>
          <w:sz w:val="32"/>
          <w:szCs w:val="32"/>
          <w:lang w:val="en-US" w:eastAsia="zh-CN"/>
        </w:rPr>
        <w:t>2.</w:t>
      </w:r>
      <w:r>
        <w:rPr>
          <w:rFonts w:ascii="仿宋" w:eastAsia="仿宋" w:cs="仿宋" w:hAnsi="仿宋" w:hint="eastAsia"/>
          <w:sz w:val="32"/>
          <w:szCs w:val="32"/>
          <w:lang w:val="zh-CN"/>
        </w:rPr>
        <w:t>在预算编制、执行过程中，对预算绩效管理结果的内部应用还不够充分</w:t>
      </w:r>
      <w:r>
        <w:rPr>
          <w:rFonts w:ascii="仿宋" w:eastAsia="仿宋" w:cs="仿宋" w:hAnsi="仿宋" w:hint="eastAsia"/>
          <w:sz w:val="32"/>
          <w:szCs w:val="32"/>
          <w:lang w:val="zh-CN" w:eastAsia="zh-CN"/>
        </w:rPr>
        <w:t>。</w:t>
      </w:r>
    </w:p>
    <w:p>
      <w:pPr>
        <w:pStyle w:val="16"/>
        <w:keepNext w:val="0"/>
        <w:keepLines w:val="0"/>
        <w:pageBreakBefore w:val="0"/>
        <w:widowControl w:val="0"/>
        <w:kinsoku/>
        <w:wordWrap/>
        <w:topLinePunct w:val="0"/>
        <w:bidi w:val="0"/>
        <w:spacing w:line="576" w:lineRule="exact"/>
        <w:ind w:firstLineChars="200" w:firstLine="640"/>
        <w:textAlignment w:val="auto"/>
        <w:rPr>
          <w:rFonts w:ascii="仿宋" w:eastAsia="仿宋" w:cs="仿宋" w:hAnsi="仿宋" w:hint="eastAsia"/>
          <w:sz w:val="32"/>
          <w:szCs w:val="32"/>
        </w:rPr>
      </w:pPr>
      <w:r>
        <w:rPr>
          <w:rFonts w:ascii="Times New Roman" w:eastAsia="楷体_GB2312" w:cs="Times New Roman" w:hAnsi="Times New Roman"/>
          <w:b/>
          <w:bCs/>
          <w:color w:val="000000"/>
          <w:kern w:val="0"/>
          <w:sz w:val="32"/>
          <w:szCs w:val="32"/>
          <w:shd w:val="clear" w:color="auto" w:fill="FFFFFF"/>
          <w:lang w:val="zh-CN" w:eastAsia="zh-CN"/>
        </w:rPr>
        <w:t>（三）改进建议。</w:t>
      </w:r>
      <w:bookmarkStart w:id="108" w:name="_Hlk110546638"/>
      <w:r>
        <w:rPr>
          <w:rFonts w:ascii="仿宋_GB2312" w:eastAsia="仿宋_GB2312" w:cs="仿宋_GB2312" w:hAnsi="仿宋_GB2312" w:hint="eastAsia"/>
          <w:kern w:val="2"/>
          <w:sz w:val="32"/>
          <w:szCs w:val="32"/>
          <w:lang w:val="en-US" w:eastAsia="zh-CN" w:bidi="ar-SA"/>
        </w:rPr>
        <w:t>1.进一步强化绩效管理意识，整体提高绩效实施和绩效目标编报质量，</w:t>
      </w:r>
      <w:r>
        <w:rPr>
          <w:rFonts w:ascii="仿宋_GB2312" w:eastAsia="仿宋_GB2312" w:cs="仿宋_GB2312" w:hAnsi="仿宋_GB2312" w:hint="eastAsia"/>
          <w:sz w:val="32"/>
          <w:szCs w:val="32"/>
        </w:rPr>
        <w:t>提高可持续发展力</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kern w:val="2"/>
          <w:sz w:val="32"/>
          <w:szCs w:val="32"/>
          <w:lang w:val="en-US" w:eastAsia="zh-CN" w:bidi="ar-SA"/>
        </w:rPr>
        <w:t>2.加强预算绩效管理制度及新预算法学习培训。</w:t>
      </w:r>
      <w:r>
        <w:rPr>
          <w:rFonts w:ascii="仿宋_GB2312" w:eastAsia="仿宋_GB2312" w:cs="仿宋_GB2312" w:hAnsi="仿宋_GB2312" w:hint="eastAsia"/>
          <w:bCs/>
          <w:kern w:val="0"/>
          <w:sz w:val="32"/>
          <w:szCs w:val="32"/>
          <w:lang w:val="en-US" w:eastAsia="zh-CN"/>
        </w:rPr>
        <w:t>在年度预算执行过程中，严格按照年初设定的工作目标任务支付资金。</w:t>
      </w:r>
      <w:r>
        <w:rPr>
          <w:rFonts w:ascii="仿宋" w:eastAsia="仿宋" w:cs="仿宋" w:hAnsi="仿宋" w:hint="eastAsia"/>
          <w:b w:val="0"/>
          <w:bCs/>
          <w:color w:val="000000"/>
          <w:kern w:val="0"/>
          <w:sz w:val="32"/>
          <w:szCs w:val="32"/>
          <w:shd w:val="clear" w:color="auto" w:fill="FFFFFF"/>
          <w:lang w:val="en-US" w:eastAsia="zh-CN"/>
        </w:rPr>
        <w:t>3</w:t>
      </w:r>
      <w:r>
        <w:rPr>
          <w:rFonts w:ascii="仿宋" w:eastAsia="仿宋" w:cs="仿宋" w:hAnsi="仿宋" w:hint="eastAsia"/>
          <w:b w:val="0"/>
          <w:bCs/>
          <w:color w:val="000000"/>
          <w:kern w:val="0"/>
          <w:sz w:val="32"/>
          <w:szCs w:val="32"/>
          <w:shd w:val="clear" w:color="auto" w:fill="FFFFFF"/>
          <w:lang w:val="zh-CN"/>
        </w:rPr>
        <w:t>.财务上，会计核算要更加详细，为本单位各项工作的开展、总结、评估提供有效数据资料支撑，为各项业务工作更好的开展提供帮助。</w:t>
      </w:r>
      <w:bookmarkStart w:id="109" w:name="_Toc15396618"/>
      <w:bookmarkEnd w:id="108"/>
    </w:p>
    <w:p>
      <w:pPr>
        <w:pageBreakBefore w:val="0"/>
        <w:widowControl w:val="0"/>
        <w:kinsoku/>
        <w:wordWrap/>
        <w:topLinePunct w:val="0"/>
        <w:bidi w:val="0"/>
        <w:spacing w:line="576" w:lineRule="exact"/>
        <w:rPr>
          <w:rFonts w:ascii="仿宋" w:eastAsia="仿宋" w:cs="仿宋" w:hAnsi="仿宋" w:hint="eastAsia"/>
          <w:sz w:val="32"/>
          <w:szCs w:val="32"/>
        </w:rPr>
        <w:sectPr>
          <w:headerReference w:type="default" r:id="rId4"/>
          <w:footerReference w:type="default" r:id="rId5"/>
          <w:footerReference w:type="first" r:id="rId6"/>
          <w:pgSz w:w="11906" w:h="16838"/>
          <w:pgMar w:top="1440" w:right="1800" w:bottom="1440" w:left="1800" w:header="851" w:footer="992" w:gutter="0"/>
          <w:pgNumType w:start="1"/>
          <w:cols w:num="1" w:space="425"/>
          <w:titlePg/>
          <w:docGrid w:type="lines" w:linePitch="312" w:charSpace="0"/>
        </w:sectPr>
      </w:pPr>
    </w:p>
    <w:tbl>
      <w:tblPr>
        <w:jc w:val="left"/>
        <w:tblInd w:w="0" w:type="dxa"/>
        <w:tblW w:w="5017" w:type="pct"/>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93"/>
        <w:gridCol w:w="1574"/>
        <w:gridCol w:w="118"/>
        <w:gridCol w:w="1214"/>
        <w:gridCol w:w="90"/>
        <w:gridCol w:w="1753"/>
        <w:gridCol w:w="105"/>
        <w:gridCol w:w="2803"/>
        <w:gridCol w:w="391"/>
        <w:gridCol w:w="618"/>
        <w:gridCol w:w="1197"/>
        <w:gridCol w:w="47"/>
        <w:gridCol w:w="629"/>
        <w:gridCol w:w="45"/>
        <w:gridCol w:w="978"/>
        <w:gridCol w:w="580"/>
        <w:gridCol w:w="3"/>
        <w:gridCol w:w="658"/>
        <w:gridCol w:w="63"/>
        <w:gridCol w:w="2654"/>
        <w:gridCol w:w="53"/>
      </w:tblGrid>
      <w:tr>
        <w:trPr>
          <w:trHeight w:val="79"/>
          <w:gridAfter w:val="1"/>
          <w:wAfter w:w="53" w:type="dxa"/>
        </w:trPr>
        <w:tc>
          <w:tcPr>
            <w:tcW w:w="4982" w:type="pct"/>
            <w:gridSpan w:val="20"/>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spacing w:line="576" w:lineRule="exact"/>
              <w:jc w:val="left"/>
              <w:textAlignment w:val="auto"/>
              <w:outlineLvl w:val="0"/>
              <w:rPr>
                <w:rFonts w:ascii="黑体" w:eastAsia="黑体" w:cs="黑体" w:hAnsi="黑体" w:hint="eastAsia"/>
                <w:color w:val="auto"/>
                <w:sz w:val="32"/>
                <w:szCs w:val="32"/>
                <w:lang w:val="en-US" w:eastAsia="zh-CN"/>
              </w:rPr>
            </w:pPr>
            <w:bookmarkStart w:id="110" w:name="_Toc31154"/>
            <w:r>
              <w:rPr>
                <w:rFonts w:ascii="黑体" w:eastAsia="黑体" w:cs="黑体" w:hAnsi="黑体" w:hint="eastAsia"/>
                <w:color w:val="auto"/>
                <w:sz w:val="32"/>
                <w:szCs w:val="32"/>
                <w:lang w:val="en-US" w:eastAsia="zh-CN"/>
              </w:rPr>
              <w:t>附件2</w:t>
            </w:r>
            <w:bookmarkEnd w:id="110"/>
          </w:p>
          <w:p>
            <w:pPr>
              <w:keepNext w:val="0"/>
              <w:keepLines w:val="0"/>
              <w:pageBreakBefore w:val="0"/>
              <w:kinsoku/>
              <w:wordWrap/>
              <w:overflowPunct/>
              <w:topLinePunct w:val="0"/>
              <w:autoSpaceDE/>
              <w:autoSpaceDN/>
              <w:bidi w:val="0"/>
              <w:spacing w:line="576" w:lineRule="exact"/>
              <w:jc w:val="center"/>
              <w:textAlignment w:val="auto"/>
              <w:outlineLvl w:val="0"/>
              <w:rPr>
                <w:rFonts w:ascii="方正小标宋简体" w:eastAsia="方正小标宋简体" w:cs="方正小标宋简体" w:hAnsi="方正小标宋简体"/>
                <w:i w:val="0"/>
                <w:iCs w:val="0"/>
                <w:color w:val="000000"/>
                <w:sz w:val="44"/>
                <w:szCs w:val="44"/>
                <w:u w:val="none"/>
              </w:rPr>
            </w:pPr>
            <w:bookmarkStart w:id="111" w:name="_Toc1118"/>
            <w:r>
              <w:rPr>
                <w:rFonts w:ascii="黑体" w:eastAsia="黑体" w:cs="黑体" w:hAnsi="黑体"/>
                <w:color w:val="auto"/>
                <w:sz w:val="32"/>
                <w:szCs w:val="32"/>
                <w:lang w:val="en-US" w:eastAsia="zh-CN"/>
              </w:rPr>
              <w:t>2023年部门预算项目支出绩效自评表</w:t>
            </w:r>
            <w:bookmarkEnd w:id="111"/>
          </w:p>
        </w:tc>
      </w:tr>
      <w:tr>
        <w:trPr>
          <w:trHeight w:val="79"/>
          <w:gridAfter w:val="1"/>
          <w:wAfter w:w="53" w:type="dxa"/>
        </w:trPr>
        <w:tc>
          <w:tcPr>
            <w:tcW w:w="9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024"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民营经济工作经费</w:t>
            </w:r>
          </w:p>
        </w:tc>
      </w:tr>
      <w:tr>
        <w:trPr>
          <w:trHeight w:val="79"/>
          <w:gridAfter w:val="1"/>
          <w:wAfter w:w="53" w:type="dxa"/>
        </w:trPr>
        <w:tc>
          <w:tcPr>
            <w:tcW w:w="9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245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t>（盖章）</w:t>
            </w:r>
          </w:p>
        </w:tc>
        <w:tc>
          <w:tcPr>
            <w:tcW w:w="126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79"/>
          <w:gridAfter w:val="1"/>
          <w:wAfter w:w="53" w:type="dxa"/>
        </w:trPr>
        <w:tc>
          <w:tcPr>
            <w:tcW w:w="5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42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245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157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79"/>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5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举办民营经济大讲堂；深入民营企业走访、调研；开展政策法规宣传；组织区级部门、民营企业考察学习培训；接待考察学习；承办区委、区政府组织的民营企业研讨会、座谈会、测评会，深入民营企业协调、处理、反馈相关问题</w:t>
            </w:r>
          </w:p>
        </w:tc>
        <w:tc>
          <w:tcPr>
            <w:tcW w:w="157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区民营经济发展中心经费项目全面完成，确保了资金专款专用，严格按照项目申报绩效目标实施，产出指标、效益指标、满意度指标值评价高，达到预设目标绩效。</w:t>
            </w:r>
          </w:p>
        </w:tc>
      </w:tr>
      <w:tr>
        <w:trPr>
          <w:trHeight w:val="79"/>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4024"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举办民营经济大讲堂；制作发放政策法规宣传册；组织区级部门、民营企业到省内其他市县、省外考察学习培训；接待省、市、区内外政府、部门、民营企业到我区考察学习，组织我区民营企业对外包装、策划、推介、参展，外出拜访、会见、招引民营企业；承担市、区安排的民营企业研讨会、座谈会、测评会；深入民营企业协调、处理、反馈相关问题。</w:t>
            </w:r>
          </w:p>
        </w:tc>
      </w:tr>
      <w:tr>
        <w:trPr>
          <w:trHeight w:val="596"/>
          <w:gridAfter w:val="1"/>
          <w:wAfter w:w="53" w:type="dxa"/>
        </w:trPr>
        <w:tc>
          <w:tcPr>
            <w:tcW w:w="5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93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90"/>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3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79"/>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3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9"/>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3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9"/>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3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9"/>
          <w:gridAfter w:val="1"/>
          <w:wAfter w:w="53" w:type="dxa"/>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93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9"/>
          <w:gridAfter w:val="1"/>
          <w:wAfter w:w="53" w:type="dxa"/>
        </w:trPr>
        <w:tc>
          <w:tcPr>
            <w:tcW w:w="532"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政策法规宣传</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6.3</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帮助民营企业协调解决困难问题，维护民营企业的合法权益</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提高政策法规知晓率</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承担大型活动</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组织外出学习考察民营经济发展</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110</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人次</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及时优化、完善发展政策措施</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促进民营经济高质量发展</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组织外出考察和接待外地考察</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5.7</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培训民营企业家及管理人员</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人次</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定期走访、调研民营企业</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次/年</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承担大型活动、民营企业投诉处理</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及时协调、处理、反馈相关问题</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民营企业投诉处理平台</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接待外地学习考察</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人次</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引导民营企业建立现代企业制度</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大讲堂会议室、讲座、培训资料费</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举办民营经济大讲堂</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期</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每季度举办1期民营经济大讲堂</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邀请专家、学者及行业精英授课</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学习其他地区民营经济先进做法</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按照市、区工作安排完成</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政策法规宣传</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12000</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册</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切实解决民营企业的困难问题</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充分带动地方就业</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促进政企良性沟通，助推经济发展</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增强活力、向心力、凝聚力</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贡献税收，壮大财政收入。</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民营经济健康发展，不断发展壮大</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上级业务管理部门满意度</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79"/>
          <w:gridAfter w:val="1"/>
          <w:wAfter w:w="53" w:type="dxa"/>
        </w:trPr>
        <w:tc>
          <w:tcPr>
            <w:tcW w:w="3719"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1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93</w:t>
            </w: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79"/>
          <w:gridAfter w:val="1"/>
          <w:wAfter w:w="53" w:type="dxa"/>
        </w:trPr>
        <w:tc>
          <w:tcPr>
            <w:tcW w:w="5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445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该项目从社会效益看，保障了档案的合理归档、使用，对档案管理的环境、对象、内容都有进一步的规范和提升，服务的领导和部门满意度较高。</w:t>
            </w:r>
          </w:p>
        </w:tc>
      </w:tr>
      <w:tr>
        <w:trPr>
          <w:trHeight w:val="79"/>
          <w:gridAfter w:val="1"/>
          <w:wAfter w:w="53" w:type="dxa"/>
        </w:trPr>
        <w:tc>
          <w:tcPr>
            <w:tcW w:w="5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445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项目预算不足，项目实施挤占了人员工作经费。</w:t>
            </w:r>
          </w:p>
        </w:tc>
      </w:tr>
      <w:tr>
        <w:trPr>
          <w:trHeight w:val="79"/>
          <w:gridAfter w:val="1"/>
          <w:wAfter w:w="53" w:type="dxa"/>
        </w:trPr>
        <w:tc>
          <w:tcPr>
            <w:tcW w:w="5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445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建议项目与相关项目有机整合，全面保障。</w:t>
            </w:r>
          </w:p>
        </w:tc>
      </w:tr>
      <w:tr>
        <w:trPr>
          <w:trHeight w:val="79"/>
          <w:gridAfter w:val="1"/>
          <w:wAfter w:w="53" w:type="dxa"/>
        </w:trPr>
        <w:tc>
          <w:tcPr>
            <w:tcW w:w="2795" w:type="pct"/>
            <w:gridSpan w:val="10"/>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2186" w:type="pct"/>
            <w:gridSpan w:val="10"/>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r>
        <w:trPr>
          <w:trHeight w:val="624"/>
          <w:gridAfter w:val="1"/>
          <w:wAfter w:w="53" w:type="dxa"/>
        </w:trPr>
        <w:tc>
          <w:tcPr>
            <w:tcW w:w="4982" w:type="pct"/>
            <w:gridSpan w:val="20"/>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kern w:val="0"/>
                <w:sz w:val="18"/>
                <w:szCs w:val="18"/>
                <w:u w:val="none"/>
                <w:lang w:val="en-US" w:eastAsia="zh-CN"/>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80"/>
          <w:gridBefore w:val="1"/>
          <w:wBefore w:w="93" w:type="dxa"/>
        </w:trPr>
        <w:tc>
          <w:tcPr>
            <w:tcW w:w="95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013"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政府文电会务保障工作经费</w:t>
            </w:r>
          </w:p>
        </w:tc>
      </w:tr>
      <w:tr>
        <w:trPr>
          <w:trHeight w:val="700"/>
          <w:gridBefore w:val="1"/>
          <w:wBefore w:w="93" w:type="dxa"/>
        </w:trPr>
        <w:tc>
          <w:tcPr>
            <w:tcW w:w="95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240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r>
          </w:p>
        </w:tc>
        <w:tc>
          <w:tcPr>
            <w:tcW w:w="128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gridBefore w:val="1"/>
          <w:wBefore w:w="93" w:type="dxa"/>
        </w:trPr>
        <w:tc>
          <w:tcPr>
            <w:tcW w:w="5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41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240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160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791"/>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6"/>
                <w:szCs w:val="16"/>
                <w:u w:val="none"/>
              </w:rPr>
            </w:pPr>
            <w:r>
              <w:rPr>
                <w:rFonts w:ascii="宋体" w:eastAsia="宋体" w:cs="宋体" w:hAnsi="宋体" w:hint="eastAsia"/>
                <w:b/>
                <w:bCs/>
                <w:i w:val="0"/>
                <w:iCs w:val="0"/>
                <w:color w:val="000000"/>
                <w:kern w:val="0"/>
                <w:sz w:val="16"/>
                <w:szCs w:val="16"/>
                <w:u w:val="none"/>
                <w:lang w:val="en-US" w:eastAsia="zh-CN"/>
              </w:rPr>
              <w:t>全面保障年度区政府全体会、民主生活会、季度经济形势会、安全生产工作会，月度政府常务会、政府党组会、项目工作推进会等会议及区政府办公室各类会议筹备工作。保障行文发文、会议纪要、简报、领导讲话、工作督办等文件的撰写和印制相关费用。</w:t>
            </w:r>
          </w:p>
        </w:tc>
        <w:tc>
          <w:tcPr>
            <w:tcW w:w="160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6"/>
                <w:szCs w:val="16"/>
                <w:u w:val="none"/>
              </w:rPr>
            </w:pPr>
            <w:r>
              <w:rPr>
                <w:rFonts w:ascii="宋体" w:eastAsia="宋体" w:cs="宋体" w:hAnsi="宋体" w:hint="eastAsia"/>
                <w:b/>
                <w:bCs/>
                <w:i w:val="0"/>
                <w:iCs w:val="0"/>
                <w:color w:val="000000"/>
                <w:kern w:val="0"/>
                <w:sz w:val="16"/>
                <w:szCs w:val="16"/>
                <w:u w:val="none"/>
                <w:lang w:val="en-US" w:eastAsia="zh-CN"/>
              </w:rPr>
              <w:t>该项目从社会效益看，保障了全区文字信息工作等精准上传下达；充分发挥了统筹协调、上传下达、参谋助手作用，高质量完成政府系统办文、办会工作。</w:t>
            </w:r>
          </w:p>
        </w:tc>
      </w:tr>
      <w:tr>
        <w:trPr>
          <w:trHeight w:val="665"/>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4013"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6"/>
                <w:szCs w:val="16"/>
                <w:u w:val="none"/>
              </w:rPr>
            </w:pPr>
            <w:r>
              <w:rPr>
                <w:rFonts w:ascii="宋体" w:eastAsia="宋体" w:cs="宋体" w:hAnsi="宋体" w:hint="eastAsia"/>
                <w:b/>
                <w:bCs/>
                <w:i w:val="0"/>
                <w:iCs w:val="0"/>
                <w:color w:val="000000"/>
                <w:kern w:val="0"/>
                <w:sz w:val="16"/>
                <w:szCs w:val="16"/>
                <w:u w:val="none"/>
                <w:lang w:val="en-US" w:eastAsia="zh-CN"/>
              </w:rPr>
              <w:t>负责区政府全体会议、常务会议、综合性大型会议和区政府办公室会议的会务工作；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w:t>
            </w:r>
          </w:p>
        </w:tc>
      </w:tr>
      <w:tr>
        <w:trPr>
          <w:trHeight w:val="540"/>
          <w:gridBefore w:val="1"/>
          <w:wBefore w:w="93" w:type="dxa"/>
        </w:trPr>
        <w:tc>
          <w:tcPr>
            <w:tcW w:w="5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6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6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6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6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gridBefore w:val="1"/>
          <w:wBefore w:w="93" w:type="dxa"/>
        </w:trPr>
        <w:tc>
          <w:tcPr>
            <w:tcW w:w="5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6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gridBefore w:val="1"/>
          <w:wBefore w:w="93" w:type="dxa"/>
        </w:trPr>
        <w:tc>
          <w:tcPr>
            <w:tcW w:w="540"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67"/>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各项会议顺利召开</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机要保密系统运行维护</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8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各类涉密文件和重要敏感事项安全</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4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区政府各类会议筹备、召开</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8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政令畅通、通知要求及时上传下达</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1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通过各类公文反映经济社会成果、解决发展困难和问题</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以文辅政作用充分发挥</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公文信息及时接收、转办</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82"/>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会议议定事项按要求落实</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区政府机要保密系统、设备运行维护</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5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各类会议要求参加、召开</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互联网检测设备、机房设备正常运转</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07"/>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文件起草、印制</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区政府公文流转</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件</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4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促进地区信息传递和工作交流</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52"/>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服务经济社会发展</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4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传达贯彻中央和省市区政策措施</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8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各类通知要求及时传达至群众</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经济社会发展决策部署及时落地落实</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67"/>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保障民生福祉</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45"/>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为部门和群众提供材料、要求支撑</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0"/>
          <w:gridBefore w:val="1"/>
          <w:wBefore w:w="93" w:type="dxa"/>
        </w:trPr>
        <w:tc>
          <w:tcPr>
            <w:tcW w:w="540"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为上级领导决策提供第一手资料</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2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1"/>
          <w:gridBefore w:val="1"/>
          <w:wBefore w:w="93" w:type="dxa"/>
        </w:trPr>
        <w:tc>
          <w:tcPr>
            <w:tcW w:w="3689"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92</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305"/>
          <w:gridBefore w:val="1"/>
          <w:wBefore w:w="93" w:type="dxa"/>
        </w:trPr>
        <w:tc>
          <w:tcPr>
            <w:tcW w:w="5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4429"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全区各类工作报告、简报、纪要、信息公开经费项目全面完成，确保了资金专款专用，严格按照项目申报绩效目标实施，产出指标、效益指标、满意度指标值评价高，达到预设目标绩效。</w:t>
            </w:r>
          </w:p>
        </w:tc>
      </w:tr>
      <w:tr>
        <w:trPr>
          <w:trHeight w:val="371"/>
          <w:gridBefore w:val="1"/>
          <w:wBefore w:w="93" w:type="dxa"/>
        </w:trPr>
        <w:tc>
          <w:tcPr>
            <w:tcW w:w="5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4429"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项目预算不足，项目实施挤占了人员工作经费。</w:t>
            </w:r>
          </w:p>
        </w:tc>
      </w:tr>
      <w:tr>
        <w:trPr>
          <w:trHeight w:val="310"/>
          <w:gridBefore w:val="1"/>
          <w:wBefore w:w="93" w:type="dxa"/>
        </w:trPr>
        <w:tc>
          <w:tcPr>
            <w:tcW w:w="5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4429"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建议项目与相关项目有机整合，全面保障。</w:t>
            </w:r>
          </w:p>
        </w:tc>
      </w:tr>
      <w:tr>
        <w:trPr>
          <w:trHeight w:val="270"/>
          <w:gridBefore w:val="1"/>
          <w:wBefore w:w="93" w:type="dxa"/>
        </w:trPr>
        <w:tc>
          <w:tcPr>
            <w:tcW w:w="276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2204"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kern w:val="0"/>
          <w:sz w:val="18"/>
          <w:szCs w:val="18"/>
          <w:u w:val="none"/>
          <w:lang w:val="en-US" w:eastAsia="zh-CN"/>
        </w:rPr>
      </w:pPr>
    </w:p>
    <w:tbl>
      <w:tblPr>
        <w:jc w:val="left"/>
        <w:tblInd w:w="91" w:type="dxa"/>
        <w:tblW w:w="1570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2"/>
        <w:gridCol w:w="892"/>
        <w:gridCol w:w="650"/>
        <w:gridCol w:w="1"/>
        <w:gridCol w:w="152"/>
        <w:gridCol w:w="799"/>
        <w:gridCol w:w="956"/>
        <w:gridCol w:w="778"/>
        <w:gridCol w:w="106"/>
        <w:gridCol w:w="245"/>
        <w:gridCol w:w="296"/>
        <w:gridCol w:w="1758"/>
        <w:gridCol w:w="521"/>
        <w:gridCol w:w="197"/>
        <w:gridCol w:w="279"/>
        <w:gridCol w:w="693"/>
        <w:gridCol w:w="76"/>
        <w:gridCol w:w="521"/>
        <w:gridCol w:w="603"/>
        <w:gridCol w:w="216"/>
        <w:gridCol w:w="152"/>
        <w:gridCol w:w="67"/>
        <w:gridCol w:w="53"/>
        <w:gridCol w:w="43"/>
        <w:gridCol w:w="129"/>
        <w:gridCol w:w="529"/>
        <w:gridCol w:w="25"/>
        <w:gridCol w:w="54"/>
        <w:gridCol w:w="97"/>
        <w:gridCol w:w="23"/>
        <w:gridCol w:w="537"/>
        <w:gridCol w:w="70"/>
        <w:gridCol w:w="240"/>
        <w:gridCol w:w="143"/>
        <w:gridCol w:w="93"/>
        <w:gridCol w:w="56"/>
        <w:gridCol w:w="308"/>
        <w:gridCol w:w="19"/>
        <w:gridCol w:w="3131"/>
        <w:gridCol w:w="68"/>
        <w:gridCol w:w="81"/>
        <w:gridCol w:w="34"/>
        <w:gridCol w:w="7"/>
      </w:tblGrid>
      <w:tr>
        <w:trPr>
          <w:trHeight w:val="915"/>
          <w:gridAfter w:val="4"/>
          <w:wAfter w:w="190" w:type="dxa"/>
        </w:trPr>
        <w:tc>
          <w:tcPr>
            <w:tcW w:w="15510" w:type="dxa"/>
            <w:gridSpan w:val="39"/>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79"/>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基层政务公开</w:t>
            </w:r>
          </w:p>
        </w:tc>
      </w:tr>
      <w:tr>
        <w:trPr>
          <w:trHeight w:val="620"/>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768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r>
          </w:p>
        </w:tc>
        <w:tc>
          <w:tcPr>
            <w:tcW w:w="46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79"/>
          <w:gridAfter w:val="4"/>
          <w:wAfter w:w="190" w:type="dxa"/>
        </w:trPr>
        <w:tc>
          <w:tcPr>
            <w:tcW w:w="15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768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32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925"/>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推进基层办事服务公开透明，更好满足基层群众所需所盼。以全面推进基层政务公开标准化规范化工作为契机，着力推动我省政务公开地方标准实施，进一步促落实、促规范、促服务。</w:t>
            </w:r>
          </w:p>
        </w:tc>
        <w:tc>
          <w:tcPr>
            <w:tcW w:w="532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打造基层政务公开特色名片，有力释放先行引领效应，带动全省基层政府加快提升治理能力和水平。项目总体设计合理，本着厉行节约制定了实施方案。</w:t>
            </w:r>
          </w:p>
        </w:tc>
      </w:tr>
      <w:tr>
        <w:trPr>
          <w:trHeight w:val="925"/>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通过深化政务公开，加快建成基层政务公开标准体系，进一步推进基层政务公开机制完善、人才队伍培养、公开平台建设，有效促进基层政府决策、管理、服务、执行、创新等能力明显提升。</w:t>
            </w:r>
          </w:p>
        </w:tc>
      </w:tr>
      <w:tr>
        <w:trPr>
          <w:trHeight w:val="925"/>
          <w:gridAfter w:val="4"/>
          <w:wAfter w:w="190" w:type="dxa"/>
        </w:trPr>
        <w:tc>
          <w:tcPr>
            <w:tcW w:w="15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5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2"/>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5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620"/>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5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0"/>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5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5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1"/>
          <w:gridAfter w:val="4"/>
          <w:wAfter w:w="190" w:type="dxa"/>
        </w:trPr>
        <w:tc>
          <w:tcPr>
            <w:tcW w:w="15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5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99"/>
          <w:gridAfter w:val="4"/>
          <w:wAfter w:w="190" w:type="dxa"/>
        </w:trPr>
        <w:tc>
          <w:tcPr>
            <w:tcW w:w="1544" w:type="dxa"/>
            <w:gridSpan w:val="3"/>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64"/>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乡镇街道平台建设</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9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区级各部门、乡镇街道平台互通</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3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平台维护、线路租赁等</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125"/>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实时政策宣传引导</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25"/>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第三方服务</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提升基层政务公开能力</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平台数据互通及时更新</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1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基层政务公开平台建设规范、便民</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656"/>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门户网站、政务新媒体、有线电视平台融合</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62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打造基层政务公开试点领域示范点建设</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便民、利民，就近服务办事</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2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快速公开政务决策、政务信息</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44"/>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完善基层政务公开体系建设</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62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长期更新政务信息、决策，提供政务服务</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95"/>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基层政务公开平台体系更加便民</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2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群众办事、多渠道获取政府信息</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8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群众办事更加便捷</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90"/>
          <w:gridAfter w:val="4"/>
          <w:wAfter w:w="190" w:type="dxa"/>
        </w:trPr>
        <w:tc>
          <w:tcPr>
            <w:tcW w:w="1544" w:type="dxa"/>
            <w:gridSpan w:val="3"/>
            <w:vMerge/>
            <w:tcBorders>
              <w:top w:val="single" w:sz="4" w:space="0" w:color="000000"/>
              <w:left w:val="single" w:sz="4" w:space="0" w:color="000000"/>
              <w:bottom w:val="nil"/>
              <w:right w:val="single" w:sz="4" w:space="0" w:color="000000"/>
            </w:tcBorders>
            <w:shd w:val="clear" w:color="auto" w:fill="auto"/>
            <w:vAlign w:val="center"/>
          </w:tcP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2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群众获取政务决策更加及时、便民</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08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92</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rPr>
                <w:rFonts w:ascii="宋体" w:eastAsia="宋体" w:cs="宋体" w:hAnsi="宋体" w:hint="eastAsia"/>
                <w:i w:val="0"/>
                <w:iCs w:val="0"/>
                <w:color w:val="000000"/>
                <w:sz w:val="18"/>
                <w:szCs w:val="18"/>
                <w:u w:val="none"/>
              </w:rPr>
            </w:pPr>
          </w:p>
        </w:tc>
      </w:tr>
      <w:tr>
        <w:trPr>
          <w:trHeight w:val="620"/>
          <w:gridAfter w:val="4"/>
          <w:wAfter w:w="190" w:type="dxa"/>
        </w:trPr>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966" w:type="dxa"/>
            <w:gridSpan w:val="3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工作实际开展政务开放日等活动，增进与公民的互动交流，围绕重点领域，做好信息发布、政策解读和舆情回应，不断增强回应群众关切的工作实效。产出指标、效益指标、满意度指标值评价高，达到预设目标绩效。</w:t>
            </w:r>
          </w:p>
        </w:tc>
      </w:tr>
      <w:tr>
        <w:trPr>
          <w:trHeight w:val="374"/>
          <w:gridAfter w:val="4"/>
          <w:wAfter w:w="190" w:type="dxa"/>
        </w:trPr>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966" w:type="dxa"/>
            <w:gridSpan w:val="3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政务公开的范围需进一步扩大，内容需进一步规范</w:t>
            </w:r>
          </w:p>
        </w:tc>
      </w:tr>
      <w:tr>
        <w:trPr>
          <w:trHeight w:val="315"/>
          <w:gridAfter w:val="4"/>
          <w:wAfter w:w="190" w:type="dxa"/>
        </w:trPr>
        <w:tc>
          <w:tcPr>
            <w:tcW w:w="1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966" w:type="dxa"/>
            <w:gridSpan w:val="3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加强基层政务公开业务能力提升培训，提高政务公开的时效性和规范性。</w:t>
            </w:r>
          </w:p>
        </w:tc>
      </w:tr>
      <w:tr>
        <w:trPr>
          <w:trHeight w:val="315"/>
          <w:gridAfter w:val="4"/>
          <w:wAfter w:w="190" w:type="dxa"/>
        </w:trPr>
        <w:tc>
          <w:tcPr>
            <w:tcW w:w="832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718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r>
        <w:trPr>
          <w:trHeight w:val="925"/>
          <w:gridAfter w:val="4"/>
          <w:wAfter w:w="190" w:type="dxa"/>
        </w:trPr>
        <w:tc>
          <w:tcPr>
            <w:tcW w:w="15510" w:type="dxa"/>
            <w:gridSpan w:val="39"/>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15"/>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档案室标准化建设</w:t>
            </w:r>
          </w:p>
        </w:tc>
      </w:tr>
      <w:tr>
        <w:trPr>
          <w:trHeight w:val="620"/>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72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t>（盖章）</w:t>
            </w:r>
          </w:p>
        </w:tc>
        <w:tc>
          <w:tcPr>
            <w:tcW w:w="3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15"/>
          <w:gridAfter w:val="4"/>
          <w:wAfter w:w="190" w:type="dxa"/>
        </w:trPr>
        <w:tc>
          <w:tcPr>
            <w:tcW w:w="1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72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76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92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24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为进一步推动区政府（含区政府办公室）档案资料标准化、规范化、科学化管理，拟在2022年实施档案室标准化建设项目。</w:t>
            </w:r>
          </w:p>
        </w:tc>
        <w:tc>
          <w:tcPr>
            <w:tcW w:w="576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保障档案作为重要信息资源和独特历史文化遗产，价值日益凸显，档案工作对党和国家各项事业的基础性、支撑性作用愈发突出。</w:t>
            </w:r>
          </w:p>
        </w:tc>
      </w:tr>
      <w:tr>
        <w:trPr>
          <w:trHeight w:val="92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负责区政府全体会议、常务会议、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w:t>
            </w:r>
          </w:p>
        </w:tc>
      </w:tr>
      <w:tr>
        <w:trPr>
          <w:trHeight w:val="1230"/>
          <w:gridAfter w:val="4"/>
          <w:wAfter w:w="190" w:type="dxa"/>
        </w:trPr>
        <w:tc>
          <w:tcPr>
            <w:tcW w:w="1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1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12.00</w:t>
            </w: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81"/>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7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30"/>
          <w:gridAfter w:val="2"/>
          <w:wAfter w:w="41" w:type="dxa"/>
        </w:trPr>
        <w:tc>
          <w:tcPr>
            <w:tcW w:w="1545" w:type="dxa"/>
            <w:gridSpan w:val="4"/>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15"/>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档案室工程建设</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20"/>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档案室建设规范标准</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规范区政府（办公室）档案资料</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47"/>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规范近20年文书档案</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达到保密要求</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47"/>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标准化档案室</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档案资料齐全</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47"/>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标准化档案室相关设施设备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47"/>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档案室设备购置</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47"/>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查阅档案简单及时</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分钟</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74"/>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档案资料查找快捷方便</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2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提升档案智能化管理水平</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推动档案室规章制度健全完善</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提高档案资源利用效率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记录区政府工作开展情况</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247"/>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规范储存资料</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47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服务今后经济社会发展工作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2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提高档案查阅效率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59"/>
          <w:gridAfter w:val="2"/>
          <w:wAfter w:w="41"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档案资料完备准确</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ascii="宋体" w:eastAsia="宋体" w:cs="宋体" w:hAnsi="宋体" w:hint="eastAsia"/>
                <w:i w:val="0"/>
                <w:iCs w:val="0"/>
                <w:color w:val="000000"/>
                <w:sz w:val="18"/>
                <w:szCs w:val="18"/>
                <w:u w:val="none"/>
              </w:rPr>
            </w:pPr>
          </w:p>
        </w:tc>
      </w:tr>
      <w:tr>
        <w:trPr>
          <w:trHeight w:val="315"/>
          <w:gridAfter w:val="2"/>
          <w:wAfter w:w="41" w:type="dxa"/>
        </w:trPr>
        <w:tc>
          <w:tcPr>
            <w:tcW w:w="108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93</w:t>
            </w:r>
          </w:p>
        </w:tc>
        <w:tc>
          <w:tcPr>
            <w:tcW w:w="32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该项目从社会效益看，保障了档案的合理归档、使用，对档案管理的环境、对象、内容都有进一步的规范和提升，服务的领导和部门满意度较高。</w:t>
            </w:r>
          </w:p>
        </w:tc>
      </w:tr>
      <w:tr>
        <w:trPr>
          <w:trHeight w:val="315"/>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项目预算不足，项目实施挤占了人员工作经费。</w:t>
            </w:r>
          </w:p>
        </w:tc>
      </w:tr>
      <w:tr>
        <w:trPr>
          <w:trHeight w:val="315"/>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建议项目与相关项目有机整合，全面保障。</w:t>
            </w:r>
          </w:p>
        </w:tc>
      </w:tr>
      <w:tr>
        <w:trPr>
          <w:trHeight w:val="315"/>
          <w:gridAfter w:val="4"/>
          <w:wAfter w:w="190" w:type="dxa"/>
        </w:trPr>
        <w:tc>
          <w:tcPr>
            <w:tcW w:w="832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718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r>
        <w:trPr>
          <w:trHeight w:val="925"/>
          <w:gridAfter w:val="4"/>
          <w:wAfter w:w="190" w:type="dxa"/>
        </w:trPr>
        <w:tc>
          <w:tcPr>
            <w:tcW w:w="15510" w:type="dxa"/>
            <w:gridSpan w:val="39"/>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79"/>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地方志修编费</w:t>
            </w:r>
          </w:p>
        </w:tc>
      </w:tr>
      <w:tr>
        <w:trPr>
          <w:trHeight w:val="953"/>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746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实施</w:t>
            </w:r>
          </w:p>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w:t>
            </w:r>
          </w:p>
        </w:tc>
        <w:tc>
          <w:tcPr>
            <w:tcW w:w="477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79"/>
          <w:gridAfter w:val="4"/>
          <w:wAfter w:w="190" w:type="dxa"/>
        </w:trPr>
        <w:tc>
          <w:tcPr>
            <w:tcW w:w="1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746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55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47"/>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46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通过全面保障全区年鉴收集资料，业务研究培训指导等；省市年鉴文字、图片版面费；购买年鉴、志书等；年鉴、志书送审印刷等工作。</w:t>
            </w:r>
          </w:p>
        </w:tc>
        <w:tc>
          <w:tcPr>
            <w:tcW w:w="555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区地方志编纂中心地方志修编费项目全面完成，确保了资金专款专用，严格按照项目申报绩效目标实施。</w:t>
            </w:r>
          </w:p>
        </w:tc>
      </w:tr>
      <w:tr>
        <w:trPr>
          <w:trHeight w:val="92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完成《四川省年鉴（2022卷）》《广元年鉴（2022卷）》供稿任务，高质高效完成《利州年鉴（2022卷）》出版印刷工作，高质量向四川地方志网报送我区地方志工作动态、利州社会经济发展情况等信息，有力宣传利州发展。高质量做好史志科研工作，积极开展志书“六进”活动。</w:t>
            </w:r>
          </w:p>
        </w:tc>
      </w:tr>
      <w:tr>
        <w:trPr>
          <w:trHeight w:val="620"/>
          <w:gridAfter w:val="4"/>
          <w:wAfter w:w="190" w:type="dxa"/>
        </w:trPr>
        <w:tc>
          <w:tcPr>
            <w:tcW w:w="1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3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4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4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4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45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63"/>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3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150" w:type="dxa"/>
            <w:gridSpan w:val="2"/>
            <w:tcBorders>
              <w:top w:val="single" w:sz="4" w:space="0" w:color="000000"/>
              <w:left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699"/>
        </w:trPr>
        <w:tc>
          <w:tcPr>
            <w:tcW w:w="1545" w:type="dxa"/>
            <w:gridSpan w:val="4"/>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志书编纂业务培训费</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按省、市党史办要求按时供稿</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2"/>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完成各类志书、年鉴编纂工作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收藏各级年鉴、志书</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按时完成工作任务</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92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向四川年鉴供稿、广元年鉴供稿、编撰利州年鉴（包括购买图片、版权费）费用</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保存记录真实历史</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提升地方志工作质量</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1230"/>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指导督促乡镇（街道）、区级部门、村（社区）及其它行业志书编纂工作，其中包括专题会议研判、邀请专家定稿审核等费用</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按时客观、公正的记录地方志</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44"/>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指导审查乡镇（街道）志编纂纲目</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资政</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资料永久使用</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育人</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56"/>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系统记述全区自然、政治、经济、文化、社会等方面情况</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以史鉴今</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推动社会经济发展</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94"/>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查阅满意度</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44"/>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记载地方文化满意度</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trPr>
        <w:tc>
          <w:tcPr>
            <w:tcW w:w="108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93</w:t>
            </w:r>
          </w:p>
        </w:tc>
        <w:tc>
          <w:tcPr>
            <w:tcW w:w="3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449"/>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区地方志编纂中心地方志修编费项目全面完成，确保了资金专款专用，严格按照项目申报绩效目标实施，产出指标、效益指标、满意度指标值评价高，达到预设目标绩效。</w:t>
            </w:r>
          </w:p>
        </w:tc>
      </w:tr>
      <w:tr>
        <w:trPr>
          <w:trHeight w:val="620"/>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工作经费不足，一直以来，我办地方志编纂中心志书数字化建设，专家人才建设等无专门经费支持；队伍力量薄弱，因机构改革等原因，我中心主任自2016年至今未及时配备目前业务骨干人员不足，只能确保基本运转。以上问题一定程度上约束了我区地方志事业高质量发展。</w:t>
            </w:r>
          </w:p>
        </w:tc>
      </w:tr>
      <w:tr>
        <w:trPr>
          <w:trHeight w:val="341"/>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按国家、省、市要求加强规范化、标准化建设，建议增加预算全面保障。与时俱进，严格按照三定方案配齐区地方志编纂中心主任与工作人员，确保地方志事业繁荣发展。</w:t>
            </w:r>
          </w:p>
        </w:tc>
      </w:tr>
      <w:tr>
        <w:trPr>
          <w:trHeight w:val="315"/>
          <w:gridAfter w:val="4"/>
          <w:wAfter w:w="190" w:type="dxa"/>
        </w:trPr>
        <w:tc>
          <w:tcPr>
            <w:tcW w:w="832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718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r>
        <w:trPr>
          <w:trHeight w:val="925"/>
          <w:gridAfter w:val="4"/>
          <w:wAfter w:w="190" w:type="dxa"/>
        </w:trPr>
        <w:tc>
          <w:tcPr>
            <w:tcW w:w="15510" w:type="dxa"/>
            <w:gridSpan w:val="39"/>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79"/>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区政府各项重大决策经费保障</w:t>
            </w:r>
          </w:p>
        </w:tc>
      </w:tr>
      <w:tr>
        <w:trPr>
          <w:trHeight w:val="925"/>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739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r>
          </w:p>
        </w:tc>
        <w:tc>
          <w:tcPr>
            <w:tcW w:w="479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79"/>
          <w:gridAfter w:val="4"/>
          <w:wAfter w:w="190" w:type="dxa"/>
        </w:trPr>
        <w:tc>
          <w:tcPr>
            <w:tcW w:w="1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739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5617"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214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9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保障区政府民生、经济、交通、建设、征拆、农业、环保等重大行政决策相关具体事项规划、考察、处置、协调等工作经费。</w:t>
            </w:r>
          </w:p>
        </w:tc>
        <w:tc>
          <w:tcPr>
            <w:tcW w:w="5617"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区政府民生、经济、交通、建设、征拆、农业、环保等重大行政决策相关具体事项规划、考察、处置、协调等经费。各项惠民政策得到全面落实实施，促保民生，顺民意，提高政府依法行政、服务满意度。确保了资金专款专用，严格按照项目申报绩效目标实施，产出指标、效益指标、满意度指标值评价高，达到预设目标绩效。</w:t>
            </w:r>
          </w:p>
        </w:tc>
      </w:tr>
      <w:tr>
        <w:trPr>
          <w:trHeight w:val="92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加快解决全区经济社会发展不平衡不充分矛盾，改善发展基础薄弱现状，加快推进项目投资、产业发展、改革创新、城乡建设和民生保障，区政府领导通过深入项目、企业、村（社区）一线调研，能够有效协调工作难点堵点，及时解决基层发展困难、问题。</w:t>
            </w:r>
          </w:p>
        </w:tc>
      </w:tr>
      <w:tr>
        <w:trPr>
          <w:trHeight w:val="620"/>
          <w:gridAfter w:val="4"/>
          <w:wAfter w:w="190" w:type="dxa"/>
        </w:trPr>
        <w:tc>
          <w:tcPr>
            <w:tcW w:w="15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6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83.00</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83.00</w:t>
            </w: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51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83.00</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83.00</w:t>
            </w: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1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51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0"/>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51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51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1"/>
          <w:gridAfter w:val="1"/>
          <w:wAfter w:w="7" w:type="dxa"/>
        </w:trPr>
        <w:tc>
          <w:tcPr>
            <w:tcW w:w="15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2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697" w:type="dxa"/>
            <w:gridSpan w:val="7"/>
            <w:tcBorders>
              <w:top w:val="single" w:sz="4" w:space="0" w:color="000000"/>
              <w:left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1230"/>
          <w:gridAfter w:val="4"/>
          <w:wAfter w:w="190" w:type="dxa"/>
        </w:trPr>
        <w:tc>
          <w:tcPr>
            <w:tcW w:w="1545" w:type="dxa"/>
            <w:gridSpan w:val="4"/>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3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年度政府重大工作进度</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20"/>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重大活动保障、政策咨询、项目推进</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20"/>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按时足额支付</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90"/>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项目推进</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购买政策咨询服务</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按时间要求</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4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按工作进度、合同约定等足额保障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20"/>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保障派干部工作经费、康养项目正常推进</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18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下派干部经费保障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康养项目建设</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2"/>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正常保障领导层决策支付经费</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60"/>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保障重大活动、项目推进及时开展</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打造康养福地，生态环境的改善提升</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2"/>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提高本土项目申报效益</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促进干部成长</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促进落实各级惠民政策</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0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提高项目申报效益</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3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人居环境改善</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提高政府依法行政、促保民生</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545" w:type="dxa"/>
            <w:gridSpan w:val="4"/>
            <w:tcBorders>
              <w:top w:val="nil"/>
              <w:left w:val="single" w:sz="4" w:space="0" w:color="000000"/>
              <w:bottom w:val="nil"/>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b/>
                <w:bCs/>
                <w:i w:val="0"/>
                <w:iCs w:val="0"/>
                <w:color w:val="000000"/>
                <w:sz w:val="18"/>
                <w:szCs w:val="18"/>
                <w:u w:val="none"/>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改善生态环境</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20"/>
          <w:gridAfter w:val="4"/>
          <w:wAfter w:w="190" w:type="dxa"/>
        </w:trPr>
        <w:tc>
          <w:tcPr>
            <w:tcW w:w="1545" w:type="dxa"/>
            <w:gridSpan w:val="4"/>
            <w:tcBorders>
              <w:top w:val="nil"/>
              <w:left w:val="single" w:sz="4" w:space="0" w:color="000000"/>
              <w:bottom w:val="nil"/>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b/>
                <w:bCs/>
                <w:i w:val="0"/>
                <w:iCs w:val="0"/>
                <w:color w:val="000000"/>
                <w:sz w:val="18"/>
                <w:szCs w:val="18"/>
                <w:u w:val="none"/>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全面完成下派干部锻炼及分管工作任务</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20"/>
          <w:gridAfter w:val="4"/>
          <w:wAfter w:w="190" w:type="dxa"/>
        </w:trPr>
        <w:tc>
          <w:tcPr>
            <w:tcW w:w="1545" w:type="dxa"/>
            <w:gridSpan w:val="4"/>
            <w:tcBorders>
              <w:top w:val="nil"/>
              <w:left w:val="single" w:sz="4" w:space="0" w:color="000000"/>
              <w:bottom w:val="nil"/>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b/>
                <w:bCs/>
                <w:i w:val="0"/>
                <w:iCs w:val="0"/>
                <w:color w:val="000000"/>
                <w:sz w:val="18"/>
                <w:szCs w:val="18"/>
                <w:u w:val="none"/>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惠民政策得到全面落实，促保民生</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315"/>
          <w:gridAfter w:val="4"/>
          <w:wAfter w:w="190" w:type="dxa"/>
        </w:trPr>
        <w:tc>
          <w:tcPr>
            <w:tcW w:w="108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620"/>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保障区政府民生、经济、交通、建设、征拆、农业、环保等重大行政决策相关具体事项规划、考察、处置、协调等经费。各项惠民政策得到全面落实实施，促保民生，顺民意，提高政府依法行政、服务满意度。确保了资金专款专用，严格按照项目申报绩效目标实施，产出指标、效益指标、满意度指标值评价高，达到预设目标绩效。</w:t>
            </w:r>
          </w:p>
        </w:tc>
      </w:tr>
      <w:tr>
        <w:trPr>
          <w:trHeight w:val="315"/>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项目与其他项目有交叉和雷同之处。</w:t>
            </w:r>
          </w:p>
        </w:tc>
      </w:tr>
      <w:tr>
        <w:trPr>
          <w:trHeight w:val="454"/>
          <w:gridAfter w:val="4"/>
          <w:wAfter w:w="190" w:type="dxa"/>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965"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建议项目与相关项目有机整合，达到项目更优、投入更少、产出更合理。</w:t>
            </w:r>
          </w:p>
        </w:tc>
      </w:tr>
      <w:tr>
        <w:trPr>
          <w:trHeight w:val="315"/>
          <w:gridAfter w:val="4"/>
          <w:wAfter w:w="190" w:type="dxa"/>
        </w:trPr>
        <w:tc>
          <w:tcPr>
            <w:tcW w:w="832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718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r>
        <w:trPr>
          <w:trHeight w:val="925"/>
          <w:gridAfter w:val="4"/>
          <w:wAfter w:w="190" w:type="dxa"/>
        </w:trPr>
        <w:tc>
          <w:tcPr>
            <w:tcW w:w="15510" w:type="dxa"/>
            <w:gridSpan w:val="39"/>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both"/>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15"/>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项目名称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区政府24小时政务值班值守经费</w:t>
            </w:r>
          </w:p>
        </w:tc>
      </w:tr>
      <w:tr>
        <w:trPr>
          <w:trHeight w:val="620"/>
          <w:gridAfter w:val="4"/>
          <w:wAfter w:w="190" w:type="dxa"/>
        </w:trPr>
        <w:tc>
          <w:tcPr>
            <w:tcW w:w="24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主管部门</w:t>
            </w:r>
          </w:p>
        </w:tc>
        <w:tc>
          <w:tcPr>
            <w:tcW w:w="756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6"/>
                <w:szCs w:val="16"/>
                <w:u w:val="none"/>
              </w:rPr>
            </w:pP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实施单位</w:t>
              <w:br/>
              <w:t>（盖章）</w:t>
            </w:r>
          </w:p>
        </w:tc>
        <w:tc>
          <w:tcPr>
            <w:tcW w:w="459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广元市利州区人民政府办公室</w:t>
            </w:r>
          </w:p>
        </w:tc>
      </w:tr>
      <w:tr>
        <w:trPr>
          <w:trHeight w:val="315"/>
          <w:gridAfter w:val="4"/>
          <w:wAfter w:w="190" w:type="dxa"/>
        </w:trPr>
        <w:tc>
          <w:tcPr>
            <w:tcW w:w="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项目基本情况</w:t>
            </w:r>
          </w:p>
        </w:tc>
        <w:tc>
          <w:tcPr>
            <w:tcW w:w="160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1.项目年度目标完成情况</w:t>
            </w:r>
          </w:p>
        </w:tc>
        <w:tc>
          <w:tcPr>
            <w:tcW w:w="756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项目年度目标</w:t>
            </w:r>
          </w:p>
        </w:tc>
        <w:tc>
          <w:tcPr>
            <w:tcW w:w="545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年度目标完成情况</w:t>
            </w:r>
          </w:p>
        </w:tc>
      </w:tr>
      <w:tr>
        <w:trPr>
          <w:trHeight w:val="1840"/>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56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政府办负责区政府值班日常事务，督促、指导乡镇（街道）和区政府部门值班工作，及时报告重要情况；负责突发事件信息接收上报、来文来电接转及上传下达工作。</w:t>
            </w:r>
          </w:p>
        </w:tc>
        <w:tc>
          <w:tcPr>
            <w:tcW w:w="545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保障全年每天24小时双人在岗政务值班值守人员经费和运转工作经费，严格落实领导带班和24小时值班制度，完成全省应急视频会议系统和全区20个重点单位视频点名系统建设，规范信息报送，按照“首报要快、核报要实、续报要准、终报要全”原则，有效保障防汛、森林防灭火、地灾防治等重点时期和节假日全区安全稳定；区内值班值守工作实现零脱岗、零差错，实现24小时政府在线，政务信息上传下达及时精准。</w:t>
            </w:r>
          </w:p>
        </w:tc>
      </w:tr>
      <w:tr>
        <w:trPr>
          <w:trHeight w:val="620"/>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2.项目实施内容及过程概述</w:t>
            </w:r>
          </w:p>
        </w:tc>
        <w:tc>
          <w:tcPr>
            <w:tcW w:w="1301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通过全面保障区政府总值班室365天24小时双人在岗值班值守，全面实现省、市、区、乡镇、部门各级及时上传下达，工作时间外的突发敏感事件及时收集、汇总、上报、处理，实现24小时政府在线。</w:t>
            </w:r>
          </w:p>
        </w:tc>
      </w:tr>
      <w:tr>
        <w:trPr>
          <w:trHeight w:val="620"/>
          <w:gridAfter w:val="4"/>
          <w:wAfter w:w="190" w:type="dxa"/>
        </w:trPr>
        <w:tc>
          <w:tcPr>
            <w:tcW w:w="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预算执行情况</w:t>
              <w:br/>
              <w:t>（10分）</w:t>
            </w: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年度预算数</w:t>
              <w:br/>
              <w:t>（万元）</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年初预算</w:t>
            </w: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调整后预算数</w:t>
            </w:r>
          </w:p>
        </w:tc>
        <w:tc>
          <w:tcPr>
            <w:tcW w:w="27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预算执行数</w:t>
            </w: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预算执行率</w:t>
            </w:r>
          </w:p>
        </w:tc>
        <w:tc>
          <w:tcPr>
            <w:tcW w:w="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权重%</w:t>
            </w:r>
          </w:p>
        </w:tc>
        <w:tc>
          <w:tcPr>
            <w:tcW w:w="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自评得分</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原因</w:t>
            </w:r>
          </w:p>
        </w:tc>
      </w:tr>
      <w:tr>
        <w:trPr>
          <w:trHeight w:val="315"/>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总额</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10.00</w:t>
            </w: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7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10.00</w:t>
            </w: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100.00%</w:t>
            </w:r>
          </w:p>
        </w:tc>
        <w:tc>
          <w:tcPr>
            <w:tcW w:w="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w:t>
            </w:r>
          </w:p>
        </w:tc>
        <w:tc>
          <w:tcPr>
            <w:tcW w:w="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w:t>
            </w:r>
          </w:p>
        </w:tc>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15"/>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其中：财政资金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10.00</w:t>
            </w: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7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10.00</w:t>
            </w: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100.00%</w:t>
            </w:r>
          </w:p>
        </w:tc>
        <w:tc>
          <w:tcPr>
            <w:tcW w:w="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w:t>
            </w:r>
          </w:p>
        </w:tc>
        <w:tc>
          <w:tcPr>
            <w:tcW w:w="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w:t>
            </w:r>
          </w:p>
        </w:tc>
        <w:tc>
          <w:tcPr>
            <w:tcW w:w="3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财政专户管理资金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7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单位资金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7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5"/>
          <w:gridAfter w:val="4"/>
          <w:wAfter w:w="190" w:type="dxa"/>
        </w:trPr>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其他资金</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7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3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20"/>
          <w:gridAfter w:val="4"/>
          <w:wAfter w:w="190" w:type="dxa"/>
        </w:trPr>
        <w:tc>
          <w:tcPr>
            <w:tcW w:w="894" w:type="dxa"/>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绩效指标（90分）</w:t>
            </w: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一级指标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二级指标</w:t>
            </w: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三级指标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指标性质</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指标值</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度量单位</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完成值</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权重</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自评得分</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未完成原因分析</w:t>
            </w: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质量指标</w:t>
            </w: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零脱岗、零差错</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效果指标</w:t>
            </w:r>
          </w:p>
        </w:tc>
        <w:tc>
          <w:tcPr>
            <w:tcW w:w="3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各级政令信息通畅</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劳务费</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55000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元/年</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6</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省级调度系统运行保障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套</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2</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市级会议系统保障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套</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8</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数量指标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区本级视频语音系统保障</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套</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成本指标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保障值班工作经费</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45000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元/年</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6</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质量指标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保障全年正常运行</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时效指标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365天24小时值守</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6</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效果指标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收集情况及时精准，服务研判决策</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产出指标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时效指标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及时上传下达、政务处理</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3</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620"/>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可持续影响指标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信息传递连续</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24小时政府在线</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290"/>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可持续影响指标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信息传递精准</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20"/>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可持续发展指标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迅速传达落实</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社会效益指标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便民服务，政令畅通</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290"/>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效益指标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可持续发展指标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快速高效响应</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440"/>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满意度指标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服务对象满意度指标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各级调度通畅准确</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定性</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优良中低差</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4</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500"/>
          <w:gridAfter w:val="4"/>
          <w:wAfter w:w="190" w:type="dxa"/>
        </w:trPr>
        <w:tc>
          <w:tcPr>
            <w:tcW w:w="894"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1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满意度指标</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服务对象满意度指标</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各级信息传递及时通畅</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w:t>
            </w:r>
          </w:p>
        </w:tc>
        <w:tc>
          <w:tcPr>
            <w:tcW w:w="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5</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r>
      <w:tr>
        <w:trPr>
          <w:trHeight w:val="315"/>
          <w:gridAfter w:val="4"/>
          <w:wAfter w:w="190" w:type="dxa"/>
        </w:trPr>
        <w:tc>
          <w:tcPr>
            <w:tcW w:w="108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合计</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100</w:t>
            </w:r>
          </w:p>
        </w:tc>
        <w:tc>
          <w:tcPr>
            <w:tcW w:w="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93</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6"/>
                <w:szCs w:val="16"/>
                <w:u w:val="none"/>
              </w:rPr>
            </w:pPr>
          </w:p>
        </w:tc>
      </w:tr>
      <w:tr>
        <w:trPr>
          <w:trHeight w:val="925"/>
          <w:gridAfter w:val="4"/>
          <w:wAfter w:w="190" w:type="dxa"/>
        </w:trPr>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自评结论</w:t>
            </w:r>
          </w:p>
        </w:tc>
        <w:tc>
          <w:tcPr>
            <w:tcW w:w="14616" w:type="dxa"/>
            <w:gridSpan w:val="3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保障全年每天24小时双人在岗政务值班值守人员经费和运转工作经费，严格落实领导带班和24小时值班制度，完成全省应急视频会议系统和全区20个重点单位视频点名系统建设，规范信息报送，按照“首报要快、核报要实、续报要准、终报要全”原则，有效保障防汛、森林防灭火、地灾防治等重点时期和节假日全区安全稳定；区内值班值守工作实现零脱岗、零差错，实现24小时政府在线，政务信息上传下达及时精准。</w:t>
            </w:r>
          </w:p>
        </w:tc>
      </w:tr>
      <w:tr>
        <w:trPr>
          <w:trHeight w:val="620"/>
          <w:gridAfter w:val="4"/>
          <w:wAfter w:w="190" w:type="dxa"/>
        </w:trPr>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自评存在问题</w:t>
            </w:r>
          </w:p>
        </w:tc>
        <w:tc>
          <w:tcPr>
            <w:tcW w:w="14616" w:type="dxa"/>
            <w:gridSpan w:val="3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值班室规范化建设有待于加强，值班设备有待于及时更新，项目资金偏少，挤占人员公用经费；值班人员值班后调休和值班补助政策未明确落实。</w:t>
            </w:r>
          </w:p>
        </w:tc>
      </w:tr>
      <w:tr>
        <w:trPr>
          <w:trHeight w:val="620"/>
          <w:gridAfter w:val="4"/>
          <w:wAfter w:w="190" w:type="dxa"/>
        </w:trPr>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自评改进措施</w:t>
            </w:r>
          </w:p>
        </w:tc>
        <w:tc>
          <w:tcPr>
            <w:tcW w:w="14616" w:type="dxa"/>
            <w:gridSpan w:val="3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按国家、省、市要求加强规范化、标准化建设，建议增加预算全面保障。进一步明确和落实值班人员值班后调休和值班补助政策，从根本上保障值班队伍稳定和值班值守能力的持续提升。</w:t>
            </w:r>
          </w:p>
        </w:tc>
      </w:tr>
      <w:tr>
        <w:trPr>
          <w:trHeight w:val="334"/>
          <w:gridAfter w:val="4"/>
          <w:wAfter w:w="190" w:type="dxa"/>
        </w:trPr>
        <w:tc>
          <w:tcPr>
            <w:tcW w:w="832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项目负责人：</w:t>
            </w:r>
          </w:p>
        </w:tc>
        <w:tc>
          <w:tcPr>
            <w:tcW w:w="718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财务负责人：</w:t>
            </w:r>
          </w:p>
        </w:tc>
      </w:tr>
      <w:tr>
        <w:trPr>
          <w:trHeight w:val="540"/>
          <w:gridBefore w:val="1"/>
          <w:wBefore w:w="2" w:type="dxa"/>
          <w:gridAfter w:val="3"/>
          <w:wAfter w:w="122" w:type="dxa"/>
        </w:trPr>
        <w:tc>
          <w:tcPr>
            <w:tcW w:w="15576" w:type="dxa"/>
            <w:gridSpan w:val="39"/>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kern w:val="0"/>
                <w:sz w:val="44"/>
                <w:szCs w:val="44"/>
                <w:u w:val="none"/>
                <w:lang w:val="en-US" w:eastAsia="zh-CN"/>
              </w:rPr>
            </w:pPr>
          </w:p>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80"/>
          <w:gridBefore w:val="1"/>
          <w:wBefore w:w="2" w:type="dxa"/>
          <w:gridAfter w:val="3"/>
          <w:wAfter w:w="122" w:type="dxa"/>
        </w:trPr>
        <w:tc>
          <w:tcPr>
            <w:tcW w:w="34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126"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优化营商环境</w:t>
            </w:r>
          </w:p>
        </w:tc>
      </w:tr>
      <w:tr>
        <w:trPr>
          <w:trHeight w:val="540"/>
          <w:gridBefore w:val="1"/>
          <w:wBefore w:w="2" w:type="dxa"/>
          <w:gridAfter w:val="3"/>
          <w:wAfter w:w="122" w:type="dxa"/>
        </w:trPr>
        <w:tc>
          <w:tcPr>
            <w:tcW w:w="34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t>（盖章）</w:t>
            </w:r>
          </w:p>
        </w:tc>
        <w:tc>
          <w:tcPr>
            <w:tcW w:w="556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gridBefore w:val="1"/>
          <w:wBefore w:w="2" w:type="dxa"/>
          <w:gridAfter w:val="3"/>
          <w:wAfter w:w="122" w:type="dxa"/>
        </w:trPr>
        <w:tc>
          <w:tcPr>
            <w:tcW w:w="16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40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政府办负责深化“放管服”改革优化营商环境工作日常事务，督促、指导乡镇（街道）和区级各部门开展好深化“放管服”改革优化营商环境工作和重大经济政策咨询。</w:t>
            </w:r>
          </w:p>
        </w:tc>
        <w:tc>
          <w:tcPr>
            <w:tcW w:w="6656"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效益指标完成良好。一是数量指标：按时、足额、规范保障专项资金20.00万元落实到优化营商环境工作政策咨询、会议筹备、业务培训等公务活动；二是社会效益：足额提供经费，保障深化“放管服”改革优化营商环境工作正常运转，各项工作正常有序开展；三是可持续效益：保障各单位工作人员业务熟练，企业群众对政策的知晓度，确保优化营商环境工作居全市前列；四是管理对象及社会满意度：及时发布最新政策，开展大讲堂等。</w:t>
            </w:r>
          </w:p>
        </w:tc>
      </w:tr>
      <w:tr>
        <w:trPr>
          <w:trHeight w:val="46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126"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通过全面保障深化“放管服”改革优化营商环境工作正常开展，加大对此项工作的培训力度，全面指导、督促全区深化“放管服”改革优化营商环境工作顺利开展，提供政策咨询服务，确保高质量完成年度任务。</w:t>
            </w:r>
          </w:p>
        </w:tc>
      </w:tr>
      <w:tr>
        <w:trPr>
          <w:trHeight w:val="540"/>
          <w:gridBefore w:val="1"/>
          <w:wBefore w:w="2" w:type="dxa"/>
          <w:gridAfter w:val="3"/>
          <w:wAfter w:w="122" w:type="dxa"/>
        </w:trPr>
        <w:tc>
          <w:tcPr>
            <w:tcW w:w="16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1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18"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18"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18"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gridBefore w:val="1"/>
          <w:wBefore w:w="2" w:type="dxa"/>
          <w:gridAfter w:val="3"/>
          <w:wAfter w:w="122" w:type="dxa"/>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2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18"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gridBefore w:val="1"/>
          <w:wBefore w:w="2" w:type="dxa"/>
          <w:gridAfter w:val="3"/>
          <w:wAfter w:w="122" w:type="dxa"/>
        </w:trPr>
        <w:tc>
          <w:tcPr>
            <w:tcW w:w="1695" w:type="dxa"/>
            <w:gridSpan w:val="4"/>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通过宣传和资料汇编，让更多的投资者来利州投资</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通过培训让企业能够更好的发展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召开联席会议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资料汇编，让企业更好的了解国家、省市区的相关政策</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开展调研、会议承办</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宣传资料和资料汇编制作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宣传资料</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册</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调研、会议、培训承办（专家、差旅、办公）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通过宣传让广大企业群众更好的了解相关优惠政策</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通过调研和会议，及时掌握企业发展情况，为企业排忧解难</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资料汇编</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指导民营企业安全生产工作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调研和培训频率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90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通过培训，让企业和广大干部职工多方面了解营商环境的政策和帮助企业成长</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业务培训</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场次</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为利州的经济发展带来不断的机遇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让更多的企业和群众了解办事流程</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通过调研解决企业发展困难，让企业加大投入，扩大生产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为企业发展带来更多的便利度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通过宣传让更多的投资商了解利州的优惠政策，加大投资信心</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为企业发展提供机会和指导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不断强化企业发展的信心，提供更多的投资机遇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675"/>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通过培训，让企业职工学到更多的技能和知识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企业满意度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gridBefore w:val="1"/>
          <w:wBefore w:w="2" w:type="dxa"/>
          <w:gridAfter w:val="3"/>
          <w:wAfter w:w="122" w:type="dxa"/>
        </w:trPr>
        <w:tc>
          <w:tcPr>
            <w:tcW w:w="1695" w:type="dxa"/>
            <w:gridSpan w:val="4"/>
            <w:vMerge/>
            <w:tcBorders>
              <w:top w:val="single" w:sz="4" w:space="0" w:color="000000"/>
              <w:left w:val="single" w:sz="4" w:space="0" w:color="000000"/>
              <w:bottom w:val="nil"/>
              <w:right w:val="single" w:sz="4" w:space="0" w:color="000000"/>
            </w:tcBorders>
            <w:shd w:val="clear" w:color="auto" w:fill="auto"/>
            <w:vAlign w:val="center"/>
          </w:tc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办事群众满意度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gridBefore w:val="1"/>
          <w:wBefore w:w="2" w:type="dxa"/>
          <w:gridAfter w:val="3"/>
          <w:wAfter w:w="122" w:type="dxa"/>
        </w:trPr>
        <w:tc>
          <w:tcPr>
            <w:tcW w:w="10011"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91</w:t>
            </w:r>
          </w:p>
        </w:tc>
        <w:tc>
          <w:tcPr>
            <w:tcW w:w="38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540"/>
          <w:gridBefore w:val="1"/>
          <w:wBefore w:w="2" w:type="dxa"/>
          <w:gridAfter w:val="3"/>
          <w:wAfter w:w="122" w:type="dxa"/>
        </w:trPr>
        <w:tc>
          <w:tcPr>
            <w:tcW w:w="1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881"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深化“放管服”改革优化营商环境工作经费项目全面完成，确保了资金专款专用，严格按照项目申报绩效目标实施，产出指标、效益指标、满意度指标值评价高，达到预设目标绩效</w:t>
            </w:r>
          </w:p>
        </w:tc>
      </w:tr>
      <w:tr>
        <w:trPr>
          <w:trHeight w:val="460"/>
          <w:gridBefore w:val="1"/>
          <w:wBefore w:w="2" w:type="dxa"/>
          <w:gridAfter w:val="3"/>
          <w:wAfter w:w="122" w:type="dxa"/>
        </w:trPr>
        <w:tc>
          <w:tcPr>
            <w:tcW w:w="1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881"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深化“放管服”改革优化营商环境工作专业性有待于加强，专业人员缺乏，项目资金偏少，挤占人员公用经费；培训和督查工作经费还未明确落实</w:t>
            </w:r>
          </w:p>
        </w:tc>
      </w:tr>
      <w:tr>
        <w:trPr>
          <w:trHeight w:val="920"/>
          <w:gridBefore w:val="1"/>
          <w:wBefore w:w="2" w:type="dxa"/>
          <w:gridAfter w:val="3"/>
          <w:wAfter w:w="122" w:type="dxa"/>
        </w:trPr>
        <w:tc>
          <w:tcPr>
            <w:tcW w:w="1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881" w:type="dxa"/>
            <w:gridSpan w:val="3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按国家、省、市要求加强统筹力度，全面指导该项工作，增加预算全面保障，进一步明确和落实培训和督查工作经费，从根本上保障深化“放管服”改革优化营商环境工作专业性持续提升。</w:t>
            </w:r>
          </w:p>
        </w:tc>
      </w:tr>
      <w:tr>
        <w:trPr>
          <w:trHeight w:val="270"/>
          <w:gridBefore w:val="1"/>
          <w:wBefore w:w="2" w:type="dxa"/>
          <w:gridAfter w:val="3"/>
          <w:wAfter w:w="122" w:type="dxa"/>
        </w:trPr>
        <w:tc>
          <w:tcPr>
            <w:tcW w:w="715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tbl>
      <w:tblPr>
        <w:jc w:val="left"/>
        <w:tblInd w:w="93" w:type="dxa"/>
        <w:tblW w:w="155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695"/>
        <w:gridCol w:w="1755"/>
        <w:gridCol w:w="1425"/>
        <w:gridCol w:w="1758"/>
        <w:gridCol w:w="521"/>
        <w:gridCol w:w="1245"/>
        <w:gridCol w:w="521"/>
        <w:gridCol w:w="1091"/>
        <w:gridCol w:w="780"/>
        <w:gridCol w:w="960"/>
        <w:gridCol w:w="3825"/>
      </w:tblGrid>
      <w:tr>
        <w:trPr>
          <w:trHeight w:val="540"/>
        </w:trPr>
        <w:tc>
          <w:tcPr>
            <w:tcW w:w="15576"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1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公务车运行维护</w:t>
            </w:r>
          </w:p>
        </w:tc>
      </w:tr>
      <w:tr>
        <w:trPr>
          <w:trHeight w:val="5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t>（盖章）</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0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一辆实物保障车加油、维修、保养等。</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效益指标完成良好，一数量指标：公务用车保障车辆一台。二是经济效益：在现有的资源上，低投入高效率运行。三是社会效益：确保区政府主要领导公务用车正常运转、保障政府工作有序开展。四是管理对象及社会满意度：政府对上级政策的落实和本级执政能力再创新高。</w:t>
            </w:r>
          </w:p>
        </w:tc>
      </w:tr>
      <w:tr>
        <w:trPr>
          <w:trHeight w:val="46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1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车辆加油实行加油卡管理，维修实行报批制度，外出实行审批制度，确保区政府主要领导公务用车正常运转、保障政府工作有序开展。</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车辆运行保障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辆</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随时待命状态</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车辆正常运行</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每月出车频率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天/月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安全驾车，不开霸道车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车辆保险</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车辆燃油、维修、保养等运行费</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55000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元/年</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车辆安全无事故运行</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节能高效</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实物保障车辆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辆</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车辆无违法违章</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文明安全驾驶</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车辆安全运行</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尾气排放达标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按时按期保养、及时维修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加速推进惠民政策落实</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公务车正常运行、持续保障工作需要</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nil"/>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保障主要领导工作高效正常运转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00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各项效益指标完成良好，一数量指标：公务用车保障车辆一台。二是经济效益：在现有的资源上，低投入高效率运行。三是社会效益：确保区政府主要领导公务用车正常运转、保障政府工作有序开展。四是管理对象及社会满意度：政府对上级政策的落实和本级执政能力再创新高。</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车辆维修费用报销不及时。</w:t>
            </w:r>
          </w:p>
        </w:tc>
      </w:tr>
      <w:tr>
        <w:trPr>
          <w:trHeight w:val="5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车辆维修后齐备报修程序及时报销维修费用。</w:t>
            </w:r>
          </w:p>
        </w:tc>
      </w:tr>
      <w:tr>
        <w:trPr>
          <w:trHeight w:val="270"/>
        </w:trPr>
        <w:tc>
          <w:tcPr>
            <w:tcW w:w="71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tbl>
      <w:tblPr>
        <w:jc w:val="left"/>
        <w:tblInd w:w="93" w:type="dxa"/>
        <w:tblW w:w="155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695"/>
        <w:gridCol w:w="1755"/>
        <w:gridCol w:w="1425"/>
        <w:gridCol w:w="1758"/>
        <w:gridCol w:w="521"/>
        <w:gridCol w:w="1245"/>
        <w:gridCol w:w="521"/>
        <w:gridCol w:w="1091"/>
        <w:gridCol w:w="780"/>
        <w:gridCol w:w="960"/>
        <w:gridCol w:w="3825"/>
      </w:tblGrid>
      <w:tr>
        <w:trPr>
          <w:trHeight w:val="540"/>
        </w:trPr>
        <w:tc>
          <w:tcPr>
            <w:tcW w:w="15576"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1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电子政务外网等网络运行维护费</w:t>
            </w:r>
          </w:p>
        </w:tc>
      </w:tr>
      <w:tr>
        <w:trPr>
          <w:trHeight w:val="52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t>（盖章）</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0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该项目主要内容是保障全区区级部门和乡镇街道150个点位、村社区215个点位电子政务外网运行正常，依托电子政务外网构建我区相关业务应用系统运行正常。</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效益指标完成良好，一经济效益指标：成本降低、支出减少，打造无纸化办公系统、有效降低政务成本。二是社会效益指标：提高政府工作透明度，促进依法行政，凸显政府服务职能。三是满意度指标：达到网络通畅、政务公开、服务高效。</w:t>
            </w:r>
          </w:p>
        </w:tc>
      </w:tr>
      <w:tr>
        <w:trPr>
          <w:trHeight w:val="46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1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该项目严格按照与网络供应商签订的合同执行，日常维护由信息和政务公开股负责，网络、提供服务软件公司密切协作，达到全面保障、全面实施。</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53.56</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53.56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53.56</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53.56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移动备用线路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MAS平台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保障4级视频会议系统正常运行</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购买三方监测服务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套</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一体化政务服务平台维护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OA协同办公系统软件维护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130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门户网站、政务新媒体错情</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正常接收短信与发送短信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电子政务外网故障处理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短信、会议调度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文件传达</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提升信息公开质量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提升政务服务能力</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及时快速有效公开政府信息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打造便民服务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减少错情，保障信息公开质量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长期提升政府信息化</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降低成本、减少支出</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引导舆论，降低政府负面影响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高效正常运转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群众就近办事</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2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视频会议网络租金</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0.96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nil"/>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购买第三方服务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nil"/>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备用线路年租、移动云服务、OA等维护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9.40 </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nil"/>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聘用专业技术人员保障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00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电子政务外网运行维护费项目全面完成，确保了资金专款专用，严格按照项目申报绩效目标实施，产出指标、效益指标、满意度指标值评价高，达到预设目标绩效。</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电子政务建设规范化建设有待于加强，资金较少，项目与其他项目内容有交叉之处。</w:t>
            </w:r>
          </w:p>
        </w:tc>
      </w:tr>
      <w:tr>
        <w:trPr>
          <w:trHeight w:val="5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合并整合项目，利于项目更好实施。</w:t>
            </w:r>
          </w:p>
        </w:tc>
      </w:tr>
      <w:tr>
        <w:trPr>
          <w:trHeight w:val="270"/>
        </w:trPr>
        <w:tc>
          <w:tcPr>
            <w:tcW w:w="71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tbl>
      <w:tblPr>
        <w:jc w:val="left"/>
        <w:tblInd w:w="93" w:type="dxa"/>
        <w:tblW w:w="155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695"/>
        <w:gridCol w:w="1755"/>
        <w:gridCol w:w="1425"/>
        <w:gridCol w:w="1758"/>
        <w:gridCol w:w="521"/>
        <w:gridCol w:w="1245"/>
        <w:gridCol w:w="521"/>
        <w:gridCol w:w="1091"/>
        <w:gridCol w:w="780"/>
        <w:gridCol w:w="960"/>
        <w:gridCol w:w="3825"/>
      </w:tblGrid>
      <w:tr>
        <w:trPr>
          <w:trHeight w:val="540"/>
        </w:trPr>
        <w:tc>
          <w:tcPr>
            <w:tcW w:w="15576"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2023年部门预算项目支出绩效自评表</w:t>
            </w:r>
          </w:p>
        </w:tc>
      </w:tr>
      <w:tr>
        <w:trPr>
          <w:trHeight w:val="27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21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《利州年鉴》编纂</w:t>
            </w:r>
          </w:p>
        </w:tc>
      </w:tr>
      <w:tr>
        <w:trPr>
          <w:trHeight w:val="45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br/>
              <w:t>（盖章）</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27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政府办下属参公事业单位地方志编纂中心负责组织、指导、督促和检查全区地方志工作；拟定全区地方志工作规划和编纂方案；组织编纂地方志书、地方综合年鉴；搜集、保存地方志文献和资料，组织整理旧志，推动方志理论研究；组织开发利用地方志资源等</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完成《四川省年鉴（2022卷）》《广元年鉴（2022卷）》供稿任务，高质高效完成《利州年鉴（2022卷）》出版印刷工作，高质量向四川地方志网报送我区地方志工作动态、利州社会经济发展情况等信息，有力宣传利州发展。高质量做好史志科研工作，撰写《川陕苏区精神时代价值与传承路径探析—以利州区为例》代表广元市参加由省地志办、重庆市地志办和内江师范学院联办《记录百年党史 感恩伟大时代主题论坛》，积极开展志书“六进”活动，有力强化了志书存史、资政、育人作用。</w:t>
            </w: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21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通过全面保障全区年鉴收集资料，业务研究培训指导等；省市年鉴文字、图片版面费；购买年鉴、志书等；年鉴、志书送审印刷等工作。</w:t>
            </w:r>
          </w:p>
        </w:tc>
      </w:tr>
      <w:tr>
        <w:trPr>
          <w:trHeight w:val="45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26.00</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26.00</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26.00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1695"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编稿、校对、人员工资</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征集资料到达使用要求</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全面完成2022年度校对、印刷出版</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聘请人员</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印刷出版、刊号费</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资料搜集整理率</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按时完成行业考核工作任务</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全面完成2022年度资料收集</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完成成品书印刷出版</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《利州年鉴（2022）》校对、印刷出版</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期/年</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资料永久使用</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提供永久查阅运用</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为县域经济发展提供历史借鉴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推动社会经济发展</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提供学术研究参考</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以史鉴今、资政育人</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读者满意度指标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查阅满意度</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85</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nil"/>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读者满意度指标</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记载地方文化满意度</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85</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jc w:val="center"/>
              <w:rPr>
                <w:rFonts w:ascii="宋体" w:eastAsia="宋体" w:cs="宋体" w:hAnsi="宋体" w:hint="eastAsia"/>
                <w:i w:val="0"/>
                <w:iCs w:val="0"/>
                <w:color w:val="000000"/>
                <w:sz w:val="18"/>
                <w:szCs w:val="18"/>
                <w:u w:val="none"/>
              </w:rPr>
            </w:pPr>
          </w:p>
        </w:tc>
      </w:tr>
      <w:tr>
        <w:trPr>
          <w:trHeight w:val="270"/>
        </w:trPr>
        <w:tc>
          <w:tcPr>
            <w:tcW w:w="100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94</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spacing w:line="576" w:lineRule="exact"/>
              <w:rPr>
                <w:rFonts w:ascii="宋体" w:eastAsia="宋体" w:cs="宋体" w:hAnsi="宋体" w:hint="eastAsia"/>
                <w:i w:val="0"/>
                <w:iCs w:val="0"/>
                <w:color w:val="000000"/>
                <w:sz w:val="18"/>
                <w:szCs w:val="18"/>
                <w:u w:val="none"/>
              </w:rPr>
            </w:pPr>
          </w:p>
        </w:tc>
      </w:tr>
      <w:tr>
        <w:trPr>
          <w:trHeight w:val="27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编纂《利州年鉴》项目全面完成，确保了资金专款专用，严格按照项目申报绩效目标实施，产出指标、效益指标、满意度指标值评价高，达到预设目标绩效。</w:t>
            </w:r>
          </w:p>
        </w:tc>
      </w:tr>
      <w:tr>
        <w:trPr>
          <w:trHeight w:val="27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工作经费不足，一直以来，仅足够《利州年鉴》、区级志书编修工作，乡镇（街道）志、村（社区）志、部门行业志、特色志、乡镇（街道）编修，区级、乡镇级、村（社区）级方志阅览室建设，志书数字化建设，专家人才建设等无专门经费支持；队伍力量薄弱，因机构改革等原因，我中心主任自2016年至今未及时配备；2020年3月至今，根据区政府办工作实际，地志工作人员由原来2人调整为1人，目前业务骨干人员不足，只能确保基本运转。以上问题一定程度上约束了我区地方志事业高质量发展。</w:t>
            </w:r>
          </w:p>
        </w:tc>
      </w:tr>
      <w:tr>
        <w:trPr>
          <w:trHeight w:val="27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8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按国家、省、市要求加强规范化、标准化建设，建议增加预算全面保障。与时俱进，配齐工作人员，确保年鉴事业繁荣发展。</w:t>
            </w:r>
          </w:p>
        </w:tc>
      </w:tr>
      <w:tr>
        <w:trPr>
          <w:trHeight w:val="270"/>
        </w:trPr>
        <w:tc>
          <w:tcPr>
            <w:tcW w:w="71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spacing w:line="576" w:lineRule="exact"/>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Style w:val="17"/>
        <w:pageBreakBefore w:val="0"/>
        <w:widowControl w:val="0"/>
        <w:kinsoku/>
        <w:wordWrap/>
        <w:topLinePunct w:val="0"/>
        <w:bidi w:val="0"/>
        <w:spacing w:beforeLines="0" w:before="30" w:line="576" w:lineRule="exact"/>
        <w:textAlignment w:val="auto"/>
        <w:rPr>
          <w:rFonts w:ascii="仿宋" w:eastAsia="仿宋" w:cs="仿宋" w:hAnsi="仿宋" w:hint="eastAsia"/>
          <w:sz w:val="32"/>
          <w:szCs w:val="32"/>
        </w:rPr>
      </w:pPr>
    </w:p>
    <w:p>
      <w:pPr>
        <w:pageBreakBefore w:val="0"/>
        <w:widowControl w:val="0"/>
        <w:kinsoku/>
        <w:wordWrap/>
        <w:topLinePunct w:val="0"/>
        <w:bidi w:val="0"/>
        <w:spacing w:line="576" w:lineRule="exact"/>
        <w:jc w:val="center"/>
        <w:textAlignment w:val="auto"/>
        <w:outlineLvl w:val="9"/>
        <w:rPr>
          <w:rFonts w:ascii="黑体" w:eastAsia="黑体" w:cs="黑体" w:hAnsi="黑体" w:hint="eastAsia"/>
          <w:sz w:val="44"/>
          <w:szCs w:val="44"/>
        </w:rPr>
      </w:pPr>
    </w:p>
    <w:p>
      <w:pPr>
        <w:pageBreakBefore w:val="0"/>
        <w:widowControl w:val="0"/>
        <w:kinsoku/>
        <w:wordWrap/>
        <w:topLinePunct w:val="0"/>
        <w:bidi w:val="0"/>
        <w:spacing w:line="576" w:lineRule="exact"/>
        <w:jc w:val="center"/>
        <w:textAlignment w:val="auto"/>
        <w:outlineLvl w:val="9"/>
        <w:rPr>
          <w:rFonts w:ascii="黑体" w:eastAsia="黑体" w:cs="黑体" w:hAnsi="黑体" w:hint="eastAsia"/>
          <w:sz w:val="44"/>
          <w:szCs w:val="44"/>
        </w:rPr>
      </w:pPr>
    </w:p>
    <w:p>
      <w:pPr>
        <w:pStyle w:val="19"/>
        <w:pageBreakBefore w:val="0"/>
        <w:widowControl w:val="0"/>
        <w:kinsoku/>
        <w:wordWrap/>
        <w:topLinePunct w:val="0"/>
        <w:bidi w:val="0"/>
        <w:spacing w:after="0" w:line="576" w:lineRule="exact"/>
        <w:rPr>
          <w:rFonts w:hint="eastAsia"/>
        </w:rPr>
      </w:pPr>
    </w:p>
    <w:p>
      <w:pPr>
        <w:pageBreakBefore w:val="0"/>
        <w:widowControl w:val="0"/>
        <w:kinsoku/>
        <w:wordWrap/>
        <w:topLinePunct w:val="0"/>
        <w:bidi w:val="0"/>
        <w:spacing w:line="576" w:lineRule="exact"/>
        <w:jc w:val="center"/>
        <w:textAlignment w:val="auto"/>
        <w:outlineLvl w:val="9"/>
        <w:rPr>
          <w:rFonts w:ascii="黑体" w:eastAsia="黑体" w:cs="黑体" w:hAnsi="黑体" w:hint="eastAsia"/>
          <w:sz w:val="44"/>
          <w:szCs w:val="44"/>
        </w:rPr>
      </w:pPr>
    </w:p>
    <w:p>
      <w:pPr>
        <w:pageBreakBefore w:val="0"/>
        <w:widowControl w:val="0"/>
        <w:kinsoku/>
        <w:wordWrap/>
        <w:topLinePunct w:val="0"/>
        <w:bidi w:val="0"/>
        <w:spacing w:line="576" w:lineRule="exact"/>
        <w:jc w:val="center"/>
        <w:textAlignment w:val="auto"/>
        <w:outlineLvl w:val="9"/>
        <w:rPr>
          <w:rFonts w:ascii="黑体" w:eastAsia="黑体" w:cs="黑体" w:hAnsi="黑体" w:hint="eastAsia"/>
          <w:sz w:val="44"/>
          <w:szCs w:val="44"/>
        </w:rPr>
      </w:pPr>
    </w:p>
    <w:p>
      <w:pPr>
        <w:pStyle w:val="19"/>
        <w:pageBreakBefore w:val="0"/>
        <w:widowControl w:val="0"/>
        <w:kinsoku/>
        <w:wordWrap/>
        <w:topLinePunct w:val="0"/>
        <w:bidi w:val="0"/>
        <w:spacing w:after="0" w:line="576" w:lineRule="exact"/>
        <w:rPr>
          <w:rFonts w:ascii="黑体" w:eastAsia="黑体" w:cs="黑体" w:hAnsi="黑体" w:hint="eastAsia"/>
          <w:sz w:val="44"/>
          <w:szCs w:val="44"/>
        </w:rPr>
      </w:pPr>
    </w:p>
    <w:p>
      <w:pPr>
        <w:pageBreakBefore w:val="0"/>
        <w:widowControl w:val="0"/>
        <w:kinsoku/>
        <w:wordWrap/>
        <w:topLinePunct w:val="0"/>
        <w:bidi w:val="0"/>
        <w:spacing w:line="576" w:lineRule="exact"/>
        <w:rPr>
          <w:rFonts w:hint="eastAsia"/>
        </w:rPr>
        <w:sectPr>
          <w:pgSz w:w="16838" w:h="11906" w:orient="landscape"/>
          <w:pgMar w:top="720" w:right="720" w:bottom="720" w:left="720" w:header="851" w:footer="992" w:gutter="0"/>
          <w:cols w:num="1" w:space="425"/>
          <w:titlePg/>
          <w:docGrid w:type="lines" w:linePitch="312" w:charSpace="0"/>
        </w:sectPr>
      </w:pPr>
    </w:p>
    <w:p>
      <w:pPr>
        <w:pStyle w:val="19"/>
        <w:pageBreakBefore w:val="0"/>
        <w:widowControl w:val="0"/>
        <w:kinsoku/>
        <w:wordWrap/>
        <w:topLinePunct w:val="0"/>
        <w:bidi w:val="0"/>
        <w:spacing w:after="0" w:line="576" w:lineRule="exact"/>
        <w:rPr>
          <w:rFonts w:hint="eastAsia"/>
        </w:rPr>
      </w:pPr>
    </w:p>
    <w:p>
      <w:pPr>
        <w:pageBreakBefore w:val="0"/>
        <w:widowControl w:val="0"/>
        <w:kinsoku/>
        <w:wordWrap/>
        <w:topLinePunct w:val="0"/>
        <w:bidi w:val="0"/>
        <w:spacing w:line="576" w:lineRule="exact"/>
        <w:jc w:val="center"/>
        <w:textAlignment w:val="auto"/>
        <w:outlineLvl w:val="0"/>
        <w:rPr>
          <w:rFonts w:ascii="黑体" w:eastAsia="黑体" w:cs="黑体" w:hAnsi="黑体" w:hint="eastAsia"/>
          <w:sz w:val="44"/>
          <w:szCs w:val="44"/>
        </w:rPr>
      </w:pPr>
      <w:bookmarkStart w:id="112" w:name="_Toc17397"/>
      <w:r>
        <w:rPr>
          <w:rFonts w:ascii="黑体" w:eastAsia="黑体" w:cs="黑体" w:hAnsi="黑体" w:hint="eastAsia"/>
          <w:sz w:val="44"/>
          <w:szCs w:val="44"/>
        </w:rPr>
        <w:t>第</w:t>
      </w:r>
      <w:r>
        <w:rPr>
          <w:rStyle w:val="1Char"/>
          <w:rFonts w:ascii="黑体" w:eastAsia="黑体" w:cs="黑体" w:hAnsi="黑体" w:hint="eastAsia"/>
          <w:b w:val="0"/>
          <w:sz w:val="44"/>
          <w:szCs w:val="44"/>
        </w:rPr>
        <w:t>五部分 附表</w:t>
      </w:r>
      <w:bookmarkStart w:id="113" w:name="_Toc15396619"/>
      <w:bookmarkEnd w:id="92"/>
      <w:bookmarkEnd w:id="109"/>
      <w:bookmarkEnd w:id="112"/>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14" w:name="_Toc14091"/>
      <w:r>
        <w:rPr>
          <w:rFonts w:ascii="仿宋" w:eastAsia="仿宋" w:cs="仿宋" w:hAnsi="仿宋" w:hint="eastAsia"/>
          <w:b w:val="0"/>
          <w:sz w:val="32"/>
          <w:szCs w:val="32"/>
        </w:rPr>
        <w:t>一、收</w:t>
      </w:r>
      <w:r>
        <w:rPr>
          <w:rStyle w:val="2Char"/>
          <w:rFonts w:ascii="仿宋" w:eastAsia="仿宋" w:cs="仿宋" w:hAnsi="仿宋" w:hint="eastAsia"/>
          <w:b w:val="0"/>
          <w:bCs w:val="0"/>
          <w:sz w:val="32"/>
          <w:szCs w:val="32"/>
        </w:rPr>
        <w:t>入支出决算总表</w:t>
      </w:r>
      <w:bookmarkEnd w:id="113"/>
      <w:bookmarkEnd w:id="114"/>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15" w:name="_Toc15396620"/>
      <w:bookmarkStart w:id="116" w:name="_Toc5673"/>
      <w:r>
        <w:rPr>
          <w:rFonts w:ascii="仿宋" w:eastAsia="仿宋" w:cs="仿宋" w:hAnsi="仿宋" w:hint="eastAsia"/>
          <w:b w:val="0"/>
          <w:sz w:val="32"/>
          <w:szCs w:val="32"/>
        </w:rPr>
        <w:t>二、收</w:t>
      </w:r>
      <w:r>
        <w:rPr>
          <w:rStyle w:val="2Char"/>
          <w:rFonts w:ascii="仿宋" w:eastAsia="仿宋" w:cs="仿宋" w:hAnsi="仿宋" w:hint="eastAsia"/>
          <w:b w:val="0"/>
          <w:bCs w:val="0"/>
          <w:sz w:val="32"/>
          <w:szCs w:val="32"/>
        </w:rPr>
        <w:t>入决算表</w:t>
      </w:r>
      <w:bookmarkEnd w:id="115"/>
      <w:bookmarkEnd w:id="116"/>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17" w:name="_Toc15396621"/>
      <w:bookmarkStart w:id="118" w:name="_Toc21829"/>
      <w:bookmarkStart w:id="119" w:name="_Toc9697"/>
      <w:r>
        <w:rPr>
          <w:rStyle w:val="2Char"/>
          <w:rFonts w:ascii="仿宋" w:eastAsia="仿宋" w:cs="仿宋" w:hAnsi="仿宋" w:hint="eastAsia"/>
          <w:b w:val="0"/>
          <w:bCs w:val="0"/>
          <w:sz w:val="32"/>
          <w:szCs w:val="32"/>
        </w:rPr>
        <w:t>三、</w:t>
      </w:r>
      <w:r>
        <w:rPr>
          <w:rFonts w:ascii="仿宋" w:eastAsia="仿宋" w:cs="仿宋" w:hAnsi="仿宋" w:hint="eastAsia"/>
          <w:b w:val="0"/>
          <w:sz w:val="32"/>
          <w:szCs w:val="32"/>
        </w:rPr>
        <w:t>支</w:t>
      </w:r>
      <w:r>
        <w:rPr>
          <w:rStyle w:val="2Char"/>
          <w:rFonts w:ascii="仿宋" w:eastAsia="仿宋" w:cs="仿宋" w:hAnsi="仿宋" w:hint="eastAsia"/>
          <w:b w:val="0"/>
          <w:bCs w:val="0"/>
          <w:sz w:val="32"/>
          <w:szCs w:val="32"/>
        </w:rPr>
        <w:t>出决算表</w:t>
      </w:r>
      <w:bookmarkEnd w:id="117"/>
      <w:bookmarkEnd w:id="118"/>
      <w:bookmarkEnd w:id="119"/>
    </w:p>
    <w:p>
      <w:pPr>
        <w:pStyle w:val="2"/>
        <w:keepNext/>
        <w:keepLines/>
        <w:pageBreakBefore w:val="0"/>
        <w:kinsoku/>
        <w:wordWrap/>
        <w:topLinePunct w:val="0"/>
        <w:bidi w:val="0"/>
        <w:spacing w:before="0" w:after="0" w:line="576" w:lineRule="exact"/>
        <w:textAlignment w:val="auto"/>
        <w:rPr>
          <w:rFonts w:ascii="仿宋" w:eastAsia="仿宋" w:cs="仿宋" w:hAnsi="仿宋" w:hint="eastAsia"/>
          <w:b w:val="0"/>
          <w:sz w:val="32"/>
          <w:szCs w:val="32"/>
        </w:rPr>
      </w:pPr>
      <w:bookmarkStart w:id="120" w:name="_Toc15396622"/>
      <w:bookmarkStart w:id="121" w:name="_Toc11510"/>
      <w:r>
        <w:rPr>
          <w:rStyle w:val="2Char"/>
          <w:rFonts w:ascii="仿宋" w:eastAsia="仿宋" w:cs="仿宋" w:hAnsi="仿宋" w:hint="eastAsia"/>
          <w:b w:val="0"/>
          <w:bCs w:val="0"/>
          <w:sz w:val="32"/>
          <w:szCs w:val="32"/>
        </w:rPr>
        <w:t>四、</w:t>
      </w:r>
      <w:r>
        <w:rPr>
          <w:rFonts w:ascii="仿宋" w:eastAsia="仿宋" w:cs="仿宋" w:hAnsi="仿宋" w:hint="eastAsia"/>
          <w:b w:val="0"/>
          <w:sz w:val="32"/>
          <w:szCs w:val="32"/>
        </w:rPr>
        <w:t>财</w:t>
      </w:r>
      <w:r>
        <w:rPr>
          <w:rStyle w:val="2Char"/>
          <w:rFonts w:ascii="仿宋" w:eastAsia="仿宋" w:cs="仿宋" w:hAnsi="仿宋" w:hint="eastAsia"/>
          <w:b w:val="0"/>
          <w:bCs w:val="0"/>
          <w:sz w:val="32"/>
          <w:szCs w:val="32"/>
        </w:rPr>
        <w:t>政拨款收入支出决算总表</w:t>
      </w:r>
      <w:bookmarkEnd w:id="120"/>
      <w:bookmarkEnd w:id="121"/>
    </w:p>
    <w:p>
      <w:pPr>
        <w:pStyle w:val="2"/>
        <w:keepNext/>
        <w:keepLines/>
        <w:pageBreakBefore w:val="0"/>
        <w:kinsoku/>
        <w:wordWrap/>
        <w:topLinePunct w:val="0"/>
        <w:bidi w:val="0"/>
        <w:spacing w:before="0" w:after="0" w:line="576" w:lineRule="exact"/>
        <w:textAlignment w:val="auto"/>
        <w:rPr>
          <w:rStyle w:val="2Char"/>
          <w:rFonts w:ascii="仿宋" w:eastAsia="仿宋" w:cs="仿宋" w:hAnsi="仿宋" w:hint="eastAsia"/>
          <w:b w:val="0"/>
          <w:bCs w:val="0"/>
          <w:sz w:val="32"/>
          <w:szCs w:val="32"/>
        </w:rPr>
      </w:pPr>
      <w:bookmarkStart w:id="122" w:name="_Toc15396623"/>
      <w:bookmarkStart w:id="123" w:name="_Toc31915"/>
      <w:r>
        <w:rPr>
          <w:rStyle w:val="2Char"/>
          <w:rFonts w:ascii="仿宋" w:eastAsia="仿宋" w:cs="仿宋" w:hAnsi="仿宋" w:hint="eastAsia"/>
          <w:b w:val="0"/>
          <w:bCs w:val="0"/>
          <w:sz w:val="32"/>
          <w:szCs w:val="32"/>
        </w:rPr>
        <w:t>五、</w:t>
      </w:r>
      <w:r>
        <w:rPr>
          <w:rFonts w:ascii="仿宋" w:eastAsia="仿宋" w:cs="仿宋" w:hAnsi="仿宋" w:hint="eastAsia"/>
          <w:b w:val="0"/>
          <w:sz w:val="32"/>
          <w:szCs w:val="32"/>
        </w:rPr>
        <w:t>财</w:t>
      </w:r>
      <w:r>
        <w:rPr>
          <w:rStyle w:val="2Char"/>
          <w:rFonts w:ascii="仿宋" w:eastAsia="仿宋" w:cs="仿宋" w:hAnsi="仿宋" w:hint="eastAsia"/>
          <w:b w:val="0"/>
          <w:bCs w:val="0"/>
          <w:sz w:val="32"/>
          <w:szCs w:val="32"/>
        </w:rPr>
        <w:t>政拨款支出决算明细表</w:t>
      </w:r>
      <w:bookmarkStart w:id="124" w:name="_Toc15396624"/>
      <w:bookmarkEnd w:id="122"/>
      <w:bookmarkEnd w:id="123"/>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25" w:name="_Toc1947"/>
      <w:r>
        <w:rPr>
          <w:rStyle w:val="2Char"/>
          <w:rFonts w:ascii="仿宋" w:eastAsia="仿宋" w:cs="仿宋" w:hAnsi="仿宋" w:hint="eastAsia"/>
          <w:b w:val="0"/>
          <w:bCs w:val="0"/>
          <w:sz w:val="32"/>
          <w:szCs w:val="32"/>
        </w:rPr>
        <w:t>六、</w:t>
      </w:r>
      <w:r>
        <w:rPr>
          <w:rFonts w:ascii="仿宋" w:eastAsia="仿宋" w:cs="仿宋" w:hAnsi="仿宋" w:hint="eastAsia"/>
          <w:b w:val="0"/>
          <w:sz w:val="32"/>
          <w:szCs w:val="32"/>
        </w:rPr>
        <w:t>一</w:t>
      </w:r>
      <w:r>
        <w:rPr>
          <w:rStyle w:val="2Char"/>
          <w:rFonts w:ascii="仿宋" w:eastAsia="仿宋" w:cs="仿宋" w:hAnsi="仿宋" w:hint="eastAsia"/>
          <w:b w:val="0"/>
          <w:bCs w:val="0"/>
          <w:sz w:val="32"/>
          <w:szCs w:val="32"/>
        </w:rPr>
        <w:t>般公共预算财政拨款支出决算表</w:t>
      </w:r>
      <w:bookmarkEnd w:id="124"/>
      <w:bookmarkEnd w:id="125"/>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26" w:name="_Toc15396625"/>
      <w:bookmarkStart w:id="127" w:name="_Toc15821"/>
      <w:r>
        <w:rPr>
          <w:rStyle w:val="2Char"/>
          <w:rFonts w:ascii="仿宋" w:eastAsia="仿宋" w:cs="仿宋" w:hAnsi="仿宋" w:hint="eastAsia"/>
          <w:b w:val="0"/>
          <w:bCs w:val="0"/>
          <w:sz w:val="32"/>
          <w:szCs w:val="32"/>
        </w:rPr>
        <w:t>七、</w:t>
      </w:r>
      <w:r>
        <w:rPr>
          <w:rFonts w:ascii="仿宋" w:eastAsia="仿宋" w:cs="仿宋" w:hAnsi="仿宋" w:hint="eastAsia"/>
          <w:b w:val="0"/>
          <w:sz w:val="32"/>
          <w:szCs w:val="32"/>
        </w:rPr>
        <w:t>一</w:t>
      </w:r>
      <w:r>
        <w:rPr>
          <w:rStyle w:val="2Char"/>
          <w:rFonts w:ascii="仿宋" w:eastAsia="仿宋" w:cs="仿宋" w:hAnsi="仿宋" w:hint="eastAsia"/>
          <w:b w:val="0"/>
          <w:bCs w:val="0"/>
          <w:sz w:val="32"/>
          <w:szCs w:val="32"/>
        </w:rPr>
        <w:t>般公共预算财政拨款支出决算明细表</w:t>
      </w:r>
      <w:bookmarkEnd w:id="126"/>
      <w:bookmarkEnd w:id="127"/>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28" w:name="_Toc15396626"/>
      <w:bookmarkStart w:id="129" w:name="_Toc1699"/>
      <w:r>
        <w:rPr>
          <w:rStyle w:val="2Char"/>
          <w:rFonts w:ascii="仿宋" w:eastAsia="仿宋" w:cs="仿宋" w:hAnsi="仿宋" w:hint="eastAsia"/>
          <w:b w:val="0"/>
          <w:bCs w:val="0"/>
          <w:sz w:val="32"/>
          <w:szCs w:val="32"/>
        </w:rPr>
        <w:t>八、</w:t>
      </w:r>
      <w:r>
        <w:rPr>
          <w:rFonts w:ascii="仿宋" w:eastAsia="仿宋" w:cs="仿宋" w:hAnsi="仿宋" w:hint="eastAsia"/>
          <w:b w:val="0"/>
          <w:sz w:val="32"/>
          <w:szCs w:val="32"/>
        </w:rPr>
        <w:t>一</w:t>
      </w:r>
      <w:r>
        <w:rPr>
          <w:rStyle w:val="2Char"/>
          <w:rFonts w:ascii="仿宋" w:eastAsia="仿宋" w:cs="仿宋" w:hAnsi="仿宋" w:hint="eastAsia"/>
          <w:b w:val="0"/>
          <w:bCs w:val="0"/>
          <w:sz w:val="32"/>
          <w:szCs w:val="32"/>
        </w:rPr>
        <w:t>般公共预算财政拨款基本支出决算表</w:t>
      </w:r>
      <w:bookmarkEnd w:id="128"/>
      <w:bookmarkEnd w:id="129"/>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30" w:name="_Toc15396627"/>
      <w:bookmarkStart w:id="131" w:name="_Toc22671"/>
      <w:r>
        <w:rPr>
          <w:rStyle w:val="2Char"/>
          <w:rFonts w:ascii="仿宋" w:eastAsia="仿宋" w:cs="仿宋" w:hAnsi="仿宋" w:hint="eastAsia"/>
          <w:b w:val="0"/>
          <w:bCs w:val="0"/>
          <w:sz w:val="32"/>
          <w:szCs w:val="32"/>
        </w:rPr>
        <w:t>九、</w:t>
      </w:r>
      <w:r>
        <w:rPr>
          <w:rFonts w:ascii="仿宋" w:eastAsia="仿宋" w:cs="仿宋" w:hAnsi="仿宋" w:hint="eastAsia"/>
          <w:b w:val="0"/>
          <w:sz w:val="32"/>
          <w:szCs w:val="32"/>
        </w:rPr>
        <w:t>一</w:t>
      </w:r>
      <w:r>
        <w:rPr>
          <w:rStyle w:val="2Char"/>
          <w:rFonts w:ascii="仿宋" w:eastAsia="仿宋" w:cs="仿宋" w:hAnsi="仿宋" w:hint="eastAsia"/>
          <w:b w:val="0"/>
          <w:bCs w:val="0"/>
          <w:sz w:val="32"/>
          <w:szCs w:val="32"/>
        </w:rPr>
        <w:t>般公共预算财政拨款项目支出决算表</w:t>
      </w:r>
      <w:bookmarkEnd w:id="130"/>
      <w:bookmarkEnd w:id="131"/>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32" w:name="_Toc15396628"/>
      <w:bookmarkStart w:id="133" w:name="_Toc20854"/>
      <w:r>
        <w:rPr>
          <w:rStyle w:val="2Char"/>
          <w:rFonts w:ascii="仿宋" w:eastAsia="仿宋" w:cs="仿宋" w:hAnsi="仿宋" w:hint="eastAsia"/>
          <w:b w:val="0"/>
          <w:bCs w:val="0"/>
          <w:sz w:val="32"/>
          <w:szCs w:val="32"/>
        </w:rPr>
        <w:t>十、</w:t>
      </w:r>
      <w:bookmarkEnd w:id="132"/>
      <w:r>
        <w:rPr>
          <w:rFonts w:ascii="仿宋" w:eastAsia="仿宋" w:cs="仿宋" w:hAnsi="仿宋" w:hint="eastAsia"/>
          <w:b w:val="0"/>
          <w:sz w:val="32"/>
          <w:szCs w:val="32"/>
        </w:rPr>
        <w:t>政</w:t>
      </w:r>
      <w:r>
        <w:rPr>
          <w:rStyle w:val="2Char"/>
          <w:rFonts w:ascii="仿宋" w:eastAsia="仿宋" w:cs="仿宋" w:hAnsi="仿宋" w:hint="eastAsia"/>
          <w:b w:val="0"/>
          <w:bCs w:val="0"/>
          <w:sz w:val="32"/>
          <w:szCs w:val="32"/>
        </w:rPr>
        <w:t>府性基金预算财政拨款收入支出决算表</w:t>
      </w:r>
      <w:bookmarkEnd w:id="133"/>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34" w:name="_Toc15396629"/>
      <w:bookmarkStart w:id="135" w:name="_Toc32496"/>
      <w:r>
        <w:rPr>
          <w:rStyle w:val="2Char"/>
          <w:rFonts w:ascii="仿宋" w:eastAsia="仿宋" w:cs="仿宋" w:hAnsi="仿宋" w:hint="eastAsia"/>
          <w:b w:val="0"/>
          <w:bCs w:val="0"/>
          <w:sz w:val="32"/>
          <w:szCs w:val="32"/>
        </w:rPr>
        <w:t>十一、</w:t>
      </w:r>
      <w:bookmarkEnd w:id="134"/>
      <w:r>
        <w:rPr>
          <w:rFonts w:ascii="仿宋" w:eastAsia="仿宋" w:cs="仿宋" w:hAnsi="仿宋" w:hint="eastAsia"/>
          <w:b w:val="0"/>
          <w:sz w:val="32"/>
          <w:szCs w:val="32"/>
        </w:rPr>
        <w:t>国</w:t>
      </w:r>
      <w:r>
        <w:rPr>
          <w:rStyle w:val="2Char"/>
          <w:rFonts w:ascii="仿宋" w:eastAsia="仿宋" w:cs="仿宋" w:hAnsi="仿宋" w:hint="eastAsia"/>
          <w:b w:val="0"/>
          <w:bCs w:val="0"/>
          <w:sz w:val="32"/>
          <w:szCs w:val="32"/>
        </w:rPr>
        <w:t>有资本经营预算财政拨款收入支出决算表</w:t>
      </w:r>
      <w:bookmarkEnd w:id="135"/>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36" w:name="_Toc15396630"/>
      <w:bookmarkStart w:id="137" w:name="_Toc16743"/>
      <w:r>
        <w:rPr>
          <w:rStyle w:val="2Char"/>
          <w:rFonts w:ascii="仿宋" w:eastAsia="仿宋" w:cs="仿宋" w:hAnsi="仿宋" w:hint="eastAsia"/>
          <w:b w:val="0"/>
          <w:bCs w:val="0"/>
          <w:sz w:val="32"/>
          <w:szCs w:val="32"/>
        </w:rPr>
        <w:t>十二、</w:t>
      </w:r>
      <w:bookmarkEnd w:id="136"/>
      <w:r>
        <w:rPr>
          <w:rStyle w:val="2Char"/>
          <w:rFonts w:ascii="仿宋" w:eastAsia="仿宋" w:cs="仿宋" w:hAnsi="仿宋" w:hint="eastAsia"/>
          <w:b w:val="0"/>
          <w:bCs w:val="0"/>
          <w:sz w:val="32"/>
          <w:szCs w:val="32"/>
        </w:rPr>
        <w:t>国有资本经营预算财政拨款支出决算表</w:t>
      </w:r>
      <w:bookmarkEnd w:id="137"/>
    </w:p>
    <w:p>
      <w:pPr>
        <w:pStyle w:val="2"/>
        <w:keepNext/>
        <w:keepLines/>
        <w:pageBreakBefore w:val="0"/>
        <w:kinsoku/>
        <w:wordWrap/>
        <w:topLinePunct w:val="0"/>
        <w:bidi w:val="0"/>
        <w:spacing w:before="0" w:after="0" w:line="576" w:lineRule="exact"/>
        <w:textAlignment w:val="auto"/>
        <w:rPr>
          <w:rFonts w:ascii="仿宋" w:eastAsia="仿宋" w:cs="仿宋" w:hAnsi="仿宋" w:hint="eastAsia"/>
          <w:sz w:val="32"/>
          <w:szCs w:val="32"/>
        </w:rPr>
      </w:pPr>
      <w:bookmarkStart w:id="138" w:name="_Toc15396631"/>
      <w:bookmarkStart w:id="139" w:name="_Toc7937"/>
      <w:r>
        <w:rPr>
          <w:rStyle w:val="2Char"/>
          <w:rFonts w:ascii="仿宋" w:eastAsia="仿宋" w:cs="仿宋" w:hAnsi="仿宋" w:hint="eastAsia"/>
          <w:b w:val="0"/>
          <w:bCs w:val="0"/>
          <w:sz w:val="32"/>
          <w:szCs w:val="32"/>
        </w:rPr>
        <w:t>十三、</w:t>
      </w:r>
      <w:bookmarkEnd w:id="138"/>
      <w:r>
        <w:rPr>
          <w:rStyle w:val="2Char"/>
          <w:rFonts w:ascii="仿宋" w:eastAsia="仿宋" w:cs="仿宋" w:hAnsi="仿宋" w:hint="eastAsia"/>
          <w:b w:val="0"/>
          <w:bCs w:val="0"/>
          <w:sz w:val="32"/>
          <w:szCs w:val="32"/>
        </w:rPr>
        <w:t>财政拨款“三公”经费支出决算表</w:t>
      </w:r>
      <w:bookmarkEnd w:id="139"/>
    </w:p>
    <w:sectPr>
      <w:pgSz w:w="11906" w:h="16838"/>
      <w:pgMar w:top="720" w:right="720" w:bottom="720" w:left="720" w:header="851" w:footer="992" w:gutter="0"/>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仿宋">
    <w:altName w:val="方正仿宋_GBK"/>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Times New Roman">
    <w:panose1 w:val="02020603050405020304"/>
    <w:charset w:val="01"/>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仿宋_GB2312">
    <w:altName w:val="仿宋"/>
    <w:panose1 w:val="00000000000000000000"/>
    <w:charset w:val="86"/>
    <w:family w:val="auto"/>
    <w:pitch w:val="variable"/>
    <w:sig w:usb0="00000000" w:usb1="00000000" w:usb2="00000000" w:usb3="00000000" w:csb0="00040000" w:csb1="00000000"/>
  </w:font>
  <w:font w:name="方正小标宋简体">
    <w:altName w:val="Arial Unicode MS"/>
    <w:panose1 w:val="03000509000000000000"/>
    <w:charset w:val="86"/>
    <w:family w:val="script"/>
    <w:pitch w:val="variable"/>
    <w:sig w:usb0="00000000" w:usb1="0000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10002FF" w:usb1="4000ACFF" w:usb2="00000009" w:usb3="00000000" w:csb0="2000019F" w:csb1="00000000"/>
  </w:font>
  <w:font w:name="微软雅黑">
    <w:altName w:val="方正黑体_GBK"/>
    <w:panose1 w:val="020B0503020204020204"/>
    <w:charset w:val="86"/>
    <w:family w:val="auto"/>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sdt>
      <w:sdtPr>
        <w:id w:val="194709316"/>
      </w:sdtPr>
      <w:sdtContent/>
    </w:sdt>
  </w:p>
  <w:p>
    <w:pPr>
      <w:pStyle w:val="22"/>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300" distR="114300" simplePos="0" relativeHeight="26" behindDoc="0" locked="0" layoutInCell="1" hidden="0" allowOverlap="1">
              <wp:simplePos x="0" y="0"/>
              <wp:positionH relativeFrom="margin">
                <wp:align>center</wp:align>
              </wp:positionH>
              <wp:positionV relativeFrom="paragraph">
                <wp:posOffset>0</wp:posOffset>
              </wp:positionV>
              <wp:extent cx="533400" cy="380572"/>
              <wp:effectExtent l="0" t="0" r="0" b="0"/>
              <wp:wrapNone/>
              <wp:docPr id="5" name="文本框 5"/>
              <wp:cNvGraphicFramePr>
                <a:graphicFrameLocks noChangeAspect="0"/>
              </wp:cNvGraphicFramePr>
              <a:graphic>
                <a:graphicData uri="http://schemas.microsoft.com/office/word/2010/wordprocessingShape">
                  <wps:wsp>
                    <wps:cNvSpPr/>
                    <wps:spPr>
                      <a:xfrm rot="0">
                        <a:off x="0" y="0"/>
                        <a:ext cx="533400" cy="380572"/>
                      </a:xfrm>
                      <a:prstGeom prst="rect"/>
                      <a:noFill/>
                      <a:ln w="6350" cmpd="sng" cap="flat">
                        <a:noFill/>
                        <a:prstDash val="solid"/>
                        <a:round/>
                      </a:ln>
                    </wps:spPr>
                    <wps:txbx id="1">
                      <w:txbxContent>
                        <w:sdt>
                          <w:sdtPr>
                            <w:id w:val="227467548"/>
                          </w:sdtPr>
                          <w:sdtContent>
                            <w:p>
                              <w:pPr>
                                <w:pStyle w:val="22"/>
                                <w:tabs>
                                  <w:tab w:val="center" w:pos="4153"/>
                                  <w:tab w:val="right" w:pos="8306"/>
                                </w:tabs>
                                <w:jc w:val="center"/>
                              </w:pPr>
                              <w:r>
                                <w:fldChar w:fldCharType="begin"/>
                              </w:r>
                              <w:r>
                                <w:instrText>PAGE   \* MERGEFORMAT</w:instrText>
                              </w:r>
                              <w:r>
                                <w:fldChar w:fldCharType="separate"/>
                              </w:r>
                              <w:r>
                                <w:rPr>
                                  <w:lang w:val="zh-CN"/>
                                </w:rPr>
                                <w:t>15</w:t>
                              </w:r>
                              <w:r>
                                <w:fldChar w:fldCharType="end"/>
                              </w:r>
                            </w:p>
                          </w:sdtContent>
                        </w:sdt>
                        <w:p>
                          <w:pPr>
                            <w:pStyle w:val="19"/>
                          </w:pPr>
                        </w:p>
                      </w:txbxContent>
                    </wps:txbx>
                    <wps:bodyPr vert="horz" wrap="none" lIns="0" tIns="0" rIns="0" bIns="0" anchor="t" anchorCtr="0" upright="0">
                      <a:spAutoFit/>
                    </wps:bodyPr>
                  </wps:wsp>
                </a:graphicData>
              </a:graphic>
            </wp:anchor>
          </w:drawing>
        </mc:Choice>
        <mc:Fallback>
          <w:pict>
            <v:rect type="#_x0000_t1" id="文本框 5" o:spid="_x0000_s2" filled="f" stroked="f" strokeweight="0.5pt" style="position:absolute;margin-left:0.0pt;margin-top:0.0pt;width:42.0pt;height:29.966309pt;z-index:26;mso-position-horizontal:center;mso-position-horizontal-relative:margin;mso-position-vertical:absolute;mso-wrap-style:none;">
              <v:stroke/>
              <v:textbox id="848" inset="0mm,0mm,0mm,0mm" o:insetmode="custom" style="layout-flow:horizontal;v-text-anchor:top;mso-fit-shape-to-text:t;">
                <w:txbxContent>
                  <w:sdt>
                    <w:sdtPr>
                      <w:id w:val="227467548"/>
                    </w:sdtPr>
                    <w:sdtContent>
                      <w:p>
                        <w:pPr>
                          <w:pStyle w:val="22"/>
                          <w:tabs>
                            <w:tab w:val="center" w:pos="4153"/>
                            <w:tab w:val="right" w:pos="8306"/>
                          </w:tabs>
                          <w:jc w:val="center"/>
                        </w:pPr>
                        <w:r>
                          <w:fldChar w:fldCharType="begin"/>
                        </w:r>
                        <w:r>
                          <w:instrText>PAGE   \* MERGEFORMAT</w:instrText>
                        </w:r>
                        <w:r>
                          <w:fldChar w:fldCharType="separate"/>
                        </w:r>
                        <w:r>
                          <w:rPr>
                            <w:lang w:val="zh-CN"/>
                          </w:rPr>
                          <w:t>15</w:t>
                        </w:r>
                        <w:r>
                          <w:fldChar w:fldCharType="end"/>
                        </w:r>
                      </w:p>
                    </w:sdtContent>
                  </w:sdt>
                  <w:p>
                    <w:pPr>
                      <w:pStyle w:val="19"/>
                    </w:pPr>
                  </w:p>
                </w:txbxContent>
              </v:textbox>
            </v:rect>
          </w:pict>
        </mc:Fallback>
      </mc:AlternateContent>
    </w:r>
  </w:p>
  <w:p>
    <w:pPr>
      <w:pStyle w:val="22"/>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300" distR="114300" simplePos="0" relativeHeight="36" behindDoc="0" locked="0" layoutInCell="1" hidden="0" allowOverlap="1">
              <wp:simplePos x="0" y="0"/>
              <wp:positionH relativeFrom="margin">
                <wp:align>center</wp:align>
              </wp:positionH>
              <wp:positionV relativeFrom="paragraph">
                <wp:posOffset>0</wp:posOffset>
              </wp:positionV>
              <wp:extent cx="114300" cy="131433"/>
              <wp:effectExtent l="0" t="0" r="0" b="0"/>
              <wp:wrapNone/>
              <wp:docPr id="8" name="文本框 8"/>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3">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8" o:spid="_x0000_s4" filled="f" stroked="f" strokeweight="0.5pt" style="position:absolute;margin-left:0.0pt;margin-top:0.0pt;width:9.0pt;height:10.349121pt;z-index:36;mso-position-horizontal:center;mso-position-horizontal-relative:margin;mso-position-vertical:absolute;mso-wrap-style:none;">
              <v:stroke/>
              <v:textbox id="849"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customStyle="1" w:styleId="15">
    <w:name w:val="标题 5（有编号）（绿盟科技）"/>
    <w:qFormat/>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paragraph" w:styleId="16">
    <w:name w:val="Salutation"/>
    <w:qFormat/>
    <w:basedOn w:val="0"/>
    <w:next w:val="0"/>
    <w:rPr>
      <w:rFonts w:ascii="Calibri" w:eastAsia="微软雅黑" w:hAnsi="Calibri"/>
    </w:rPr>
  </w:style>
  <w:style w:type="paragraph" w:styleId="17">
    <w:name w:val="Body Text"/>
    <w:qFormat/>
    <w:basedOn w:val="0"/>
    <w:pPr>
      <w:spacing w:beforeLines="30" w:before="30"/>
    </w:pPr>
    <w:rPr>
      <w:rFonts w:ascii="仿宋_GB2312" w:eastAsia="仿宋_GB2312"/>
      <w:kern w:val="0"/>
      <w:sz w:val="30"/>
    </w:rPr>
  </w:style>
  <w:style w:type="paragraph" w:styleId="18">
    <w:name w:val="Body Text Indent"/>
    <w:qFormat/>
    <w:basedOn w:val="0"/>
    <w:next w:val="19"/>
    <w:pPr>
      <w:spacing w:after="120"/>
      <w:ind w:leftChars="200" w:left="200"/>
    </w:pPr>
    <w:rPr>
      <w:rFonts w:ascii="仿宋_GB2312" w:hAnsi="仿宋_GB2312"/>
      <w:szCs w:val="32"/>
    </w:rPr>
  </w:style>
  <w:style w:type="paragraph" w:styleId="19">
    <w:name w:val="Body Text First Indent 2"/>
    <w:qFormat/>
    <w:basedOn w:val="18"/>
    <w:next w:val="0"/>
    <w:pPr>
      <w:ind w:firstLineChars="200" w:firstLine="200"/>
    </w:pPr>
  </w:style>
  <w:style w:type="paragraph" w:styleId="20">
    <w:name w:val="toc 3"/>
    <w:qFormat/>
    <w:basedOn w:val="0"/>
    <w:next w:val="0"/>
    <w:pPr>
      <w:tabs>
        <w:tab w:val="right" w:leader="dot" w:pos="8296"/>
      </w:tabs>
      <w:ind w:leftChars="400" w:left="400"/>
    </w:pPr>
  </w:style>
  <w:style w:type="paragraph" w:styleId="21">
    <w:name w:val="Balloon Text"/>
    <w:qFormat/>
    <w:basedOn w:val="0"/>
    <w:rPr>
      <w:sz w:val="18"/>
      <w:szCs w:val="18"/>
    </w:rPr>
  </w:style>
  <w:style w:type="paragraph" w:styleId="22">
    <w:name w:val="footer"/>
    <w:qFormat/>
    <w:basedOn w:val="0"/>
    <w:pPr>
      <w:tabs>
        <w:tab w:val="center" w:pos="4153"/>
        <w:tab w:val="right" w:pos="8306"/>
      </w:tabs>
      <w:snapToGrid w:val="0"/>
      <w:jc w:val="left"/>
    </w:pPr>
    <w:rPr>
      <w:rFonts w:ascii="Calibri" w:hAnsi="Calibri"/>
      <w:kern w:val="0"/>
      <w:sz w:val="18"/>
      <w:szCs w:val="18"/>
    </w:rPr>
  </w:style>
  <w:style w:type="paragraph" w:styleId="23">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qFormat/>
    <w:basedOn w:val="0"/>
    <w:next w:val="0"/>
    <w:pPr>
      <w:tabs>
        <w:tab w:val="right" w:leader="dot" w:pos="8296"/>
      </w:tabs>
      <w:spacing w:before="93"/>
      <w:jc w:val="center"/>
    </w:pPr>
    <w:rPr>
      <w:rFonts w:ascii="仿宋" w:eastAsia="仿宋" w:hAnsi="仿宋"/>
      <w:sz w:val="28"/>
      <w:szCs w:val="28"/>
    </w:rPr>
  </w:style>
  <w:style w:type="paragraph" w:styleId="25">
    <w:name w:val="footnote text"/>
    <w:qFormat/>
    <w:basedOn w:val="0"/>
    <w:next w:val="19"/>
    <w:pPr>
      <w:snapToGrid w:val="0"/>
      <w:jc w:val="left"/>
    </w:pPr>
    <w:rPr>
      <w:sz w:val="18"/>
      <w:szCs w:val="18"/>
    </w:rPr>
  </w:style>
  <w:style w:type="paragraph" w:styleId="26">
    <w:name w:val="toc 2"/>
    <w:qFormat/>
    <w:basedOn w:val="0"/>
    <w:next w:val="0"/>
    <w:pPr>
      <w:tabs>
        <w:tab w:val="right" w:leader="dot" w:pos="8296"/>
      </w:tabs>
      <w:ind w:leftChars="200" w:left="200"/>
    </w:pPr>
  </w:style>
  <w:style w:type="character" w:styleId="27">
    <w:name w:val="Strong"/>
    <w:qFormat/>
    <w:basedOn w:val="10"/>
    <w:rPr>
      <w:b/>
    </w:rPr>
  </w:style>
  <w:style w:type="character" w:styleId="28">
    <w:name w:val="Hyperlink"/>
    <w:qFormat/>
    <w:basedOn w:val="10"/>
    <w:rPr>
      <w:color w:val="0000FF"/>
      <w:u w:val="single"/>
      <w14:textFill xmlns:w14="http://schemas.microsoft.com/office/word/2010/wordml">
        <w14:solidFill>
          <w14:srgbClr w14:val="0000FF"/>
        </w14:solidFill>
      </w14:textFill>
    </w:rPr>
  </w:style>
  <w:style w:type="character" w:customStyle="1" w:styleId="29">
    <w:name w:val="Header Char"/>
    <w:qFormat/>
    <w:basedOn w:val="10"/>
    <w:rPr>
      <w:rFonts w:ascii="Times New Roman" w:hAnsi="Times New Roman"/>
      <w:sz w:val="18"/>
      <w:szCs w:val="18"/>
    </w:rPr>
  </w:style>
  <w:style w:type="character" w:customStyle="1" w:styleId="30">
    <w:name w:val="Footer Char"/>
    <w:qFormat/>
    <w:basedOn w:val="10"/>
    <w:rPr>
      <w:rFonts w:ascii="Times New Roman" w:hAnsi="Times New Roman"/>
      <w:sz w:val="18"/>
      <w:szCs w:val="18"/>
    </w:rPr>
  </w:style>
  <w:style w:type="character" w:customStyle="1" w:styleId="31">
    <w:name w:val="Body Text Char"/>
    <w:qFormat/>
    <w:basedOn w:val="10"/>
    <w:rPr>
      <w:rFonts w:ascii="Times New Roman" w:hAnsi="Times New Roman"/>
      <w:szCs w:val="24"/>
    </w:rPr>
  </w:style>
  <w:style w:type="paragraph" w:customStyle="1" w:styleId="32">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3">
    <w:name w:val="List Paragraph"/>
    <w:qFormat/>
    <w:basedOn w:val="0"/>
    <w:pPr>
      <w:ind w:firstLineChars="200" w:firstLine="200"/>
    </w:pPr>
  </w:style>
  <w:style w:type="paragraph" w:customStyle="1" w:styleId="34">
    <w:name w:val="TOC 标题1"/>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TOC 标题2"/>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WPSOffice手动目录 1"/>
    <w:qFormat/>
    <w:rPr>
      <w:rFonts w:ascii="Calibri" w:eastAsia="宋体" w:cs="Arial" w:hAnsi="Calibri"/>
      <w:sz w:val="20"/>
      <w:szCs w:val="20"/>
    </w:rPr>
  </w:style>
  <w:style w:type="paragraph" w:customStyle="1" w:styleId="37">
    <w:name w:val="WPSOffice手动目录 2"/>
    <w:qFormat/>
    <w:pPr>
      <w:ind w:leftChars="200" w:left="200"/>
    </w:pPr>
    <w:rPr>
      <w:rFonts w:ascii="Calibri" w:eastAsia="宋体" w:cs="Arial" w:hAnsi="Calibri"/>
      <w:sz w:val="20"/>
      <w:szCs w:val="20"/>
    </w:rPr>
  </w:style>
  <w:style w:type="paragraph" w:customStyle="1" w:styleId="38">
    <w:name w:val="WPSOffice手动目录 3"/>
    <w:qFormat/>
    <w:pPr>
      <w:ind w:leftChars="400" w:left="400"/>
    </w:pPr>
    <w:rPr>
      <w:rFonts w:ascii="Calibri" w:eastAsia="宋体" w:cs="Arial" w:hAnsi="Calibri"/>
      <w:sz w:val="20"/>
      <w:szCs w:val="20"/>
    </w:rPr>
  </w:style>
  <w:style w:type="paragraph" w:customStyle="1" w:styleId="39">
    <w:name w:val="样式 行距: 固定值 28.9 磅"/>
    <w:qFormat/>
    <w:basedOn w:val="0"/>
    <w:pPr>
      <w:spacing w:line="578" w:lineRule="exact"/>
    </w:pPr>
    <w:rPr>
      <w:rFonts w:ascii="Times New Roman" w:cs="宋体" w:hAnsi="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customXml" Target="../customXml/item1.xml"/><Relationship Id="rId1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收、支决算总计变动情况图</a:t>
            </a:r>
          </a:p>
        </c:rich>
      </c:tx>
      <c:layout/>
      <c:overlay val="0"/>
      <c:spPr>
        <a:noFill/>
        <a:ln>
          <a:noFill/>
        </a:ln>
      </c:spPr>
    </c:title>
    <c:autoTitleDeleted val="1"/>
    <c:plotArea>
      <c:layout>
        <c:manualLayout>
          <c:layoutTarget val="inner"/>
          <c:xMode val="edge"/>
          <c:yMode val="edge"/>
          <c:x val="0.11383333"/>
          <c:y val="0.22037037"/>
          <c:w val="0.882"/>
          <c:h val="0.63412035"/>
        </c:manualLayout>
      </c:layout>
      <c:barChart>
        <c:barDir val="col"/>
        <c:grouping val="clustered"/>
        <c:varyColors val="0"/>
        <c:ser>
          <c:idx val="0"/>
          <c:order val="0"/>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multiLvlStrRef>
              <c:f>={"2022年","2023年","&amp;sxmk&amp;","                               单位：万元","","&amp;sxmk&amp;"}</c:f>
              <c:multiLvlStrCache>
                <c:ptCount val="2"/>
                <c:lvl>
                  <c:pt idx="0">
                    <c:v>2022年</c:v>
                  </c:pt>
                  <c:pt idx="1">
                    <c:v>2023年</c:v>
                  </c:pt>
                </c:lvl>
                <c:lvl>
                  <c:pt idx="0">
                    <c:v>                               单位：万元</c:v>
                  </c:pt>
                </c:lvl>
              </c:multiLvlStrCache>
            </c:multiLvlStrRef>
          </c:cat>
          <c:val>
            <c:numRef>
              <c:f/>
              <c:numCache>
                <c:formatCode>General</c:formatCode>
                <c:ptCount val="2"/>
                <c:pt idx="0">
                  <c:v>1228.04</c:v>
                </c:pt>
                <c:pt idx="1">
                  <c:v>1237.85</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收入决算结构图</a:t>
            </a:r>
          </a:p>
        </c:rich>
      </c:tx>
      <c:layout>
        <c:manualLayout>
          <c:xMode val="edge"/>
          <c:yMode val="edge"/>
          <c:x val="0.34013888"/>
          <c:y val="0.041666668"/>
        </c:manualLayout>
      </c:layout>
      <c:overlay val="0"/>
      <c:spPr>
        <a:noFill/>
        <a:ln>
          <a:noFill/>
        </a:ln>
      </c:spPr>
    </c:title>
    <c:autoTitleDeleted val="1"/>
    <c:plotArea>
      <c:layout/>
      <c:pieChart>
        <c:varyColors val="1"/>
        <c:ser>
          <c:idx val="0"/>
          <c:order val="0"/>
          <c:spPr>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showLegendKey val="0"/>
            <c:showVal val="1"/>
            <c:showCatName val="0"/>
            <c:showSerName val="0"/>
            <c:showPercent val="0"/>
            <c:showBubbleSize val="0"/>
            <c:showLeaderLines val="1"/>
          </c:dLbls>
          <c:cat>
            <c:multiLvlStrRef>
              <c:f>={"一般公共预算财政拨款收入","单位：万元","&amp;sxmk&amp;","","","&amp;sxmk&amp;"}</c:f>
              <c:multiLvlStrCache>
                <c:ptCount val="2"/>
                <c:lvl>
                  <c:pt idx="0">
                    <c:v>一般公共预算财政拨款收入</c:v>
                  </c:pt>
                  <c:pt idx="1">
                    <c:v>单位：万元</c:v>
                  </c:pt>
                </c:lvl>
                <c:lvl/>
              </c:multiLvlStrCache>
            </c:multiLvlStrRef>
          </c:cat>
          <c:val>
            <c:numRef>
              <c:f/>
              <c:numCache>
                <c:formatCode>General</c:formatCode>
                <c:ptCount val="2"/>
                <c:pt idx="0">
                  <c:v>1237.85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支出决算结构图</a:t>
            </a:r>
          </a:p>
        </c:rich>
      </c:tx>
      <c:layout>
        <c:manualLayout>
          <c:xMode val="edge"/>
          <c:yMode val="edge"/>
          <c:x val="0.34013888"/>
          <c:y val="0.041666668"/>
        </c:manualLayout>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showLegendKey val="0"/>
            <c:showVal val="1"/>
            <c:showCatName val="0"/>
            <c:showSerName val="0"/>
            <c:showPercent val="0"/>
            <c:showBubbleSize val="0"/>
            <c:showLeaderLines val="1"/>
          </c:dLbls>
          <c:cat>
            <c:multiLvlStrRef>
              <c:f>={"基本支出","项目支出","单位：万元","&amp;sxmk&amp;","","","","&amp;sxmk&amp;"}</c:f>
              <c:multiLvlStrCache>
                <c:ptCount val="3"/>
                <c:lvl>
                  <c:pt idx="0">
                    <c:v>基本支出</c:v>
                  </c:pt>
                  <c:pt idx="1">
                    <c:v>项目支出</c:v>
                  </c:pt>
                  <c:pt idx="2">
                    <c:v>单位：万元</c:v>
                  </c:pt>
                </c:lvl>
                <c:lvl/>
              </c:multiLvlStrCache>
            </c:multiLvlStrRef>
          </c:cat>
          <c:val>
            <c:numRef>
              <c:f/>
              <c:numCache>
                <c:formatCode>General</c:formatCode>
                <c:ptCount val="3"/>
                <c:pt idx="0">
                  <c:v>819.04</c:v>
                </c:pt>
                <c:pt idx="1">
                  <c:v>418.81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财政拨款收支决算变动图</a:t>
            </a:r>
          </a:p>
        </c:rich>
      </c:tx>
      <c:layout>
        <c:manualLayout>
          <c:xMode val="edge"/>
          <c:yMode val="edge"/>
          <c:x val="0.28444445"/>
          <c:y val="0.048611112"/>
        </c:manualLayout>
      </c:layout>
      <c:overlay val="0"/>
      <c:spPr>
        <a:noFill/>
        <a:ln>
          <a:noFill/>
        </a:ln>
      </c:spPr>
    </c:title>
    <c:autoTitleDeleted val="1"/>
    <c:plotArea>
      <c:layout>
        <c:manualLayout>
          <c:layoutTarget val="inner"/>
          <c:xMode val="edge"/>
          <c:yMode val="edge"/>
          <c:x val="0.11383333"/>
          <c:y val="0.22037037"/>
          <c:w val="0.882"/>
          <c:h val="0.63412035"/>
        </c:manualLayout>
      </c:layout>
      <c:barChart>
        <c:barDir val="col"/>
        <c:grouping val="clustered"/>
        <c:varyColors val="0"/>
        <c:ser>
          <c:idx val="0"/>
          <c:order val="0"/>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multiLvlStrRef>
              <c:f>={"2022年","2023年","&amp;sxmk&amp;","                               单位：万元","","&amp;sxmk&amp;"}</c:f>
              <c:multiLvlStrCache>
                <c:ptCount val="2"/>
                <c:lvl>
                  <c:pt idx="0">
                    <c:v>2022年</c:v>
                  </c:pt>
                  <c:pt idx="1">
                    <c:v>2023年</c:v>
                  </c:pt>
                </c:lvl>
                <c:lvl>
                  <c:pt idx="0">
                    <c:v>                               单位：万元</c:v>
                  </c:pt>
                </c:lvl>
              </c:multiLvlStrCache>
            </c:multiLvlStrRef>
          </c:cat>
          <c:val>
            <c:numRef>
              <c:f/>
              <c:numCache>
                <c:formatCode>General</c:formatCode>
                <c:ptCount val="2"/>
                <c:pt idx="0">
                  <c:v>1228.04</c:v>
                </c:pt>
                <c:pt idx="1">
                  <c:v>1237.85</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一般公共预算财政拨款支出决算变动图</a:t>
            </a:r>
          </a:p>
        </c:rich>
      </c:tx>
      <c:layout>
        <c:manualLayout>
          <c:xMode val="edge"/>
          <c:yMode val="edge"/>
          <c:x val="0.1886111"/>
          <c:y val="0.041666668"/>
        </c:manualLayout>
      </c:layout>
      <c:overlay val="0"/>
      <c:spPr>
        <a:noFill/>
        <a:ln>
          <a:noFill/>
        </a:ln>
      </c:spPr>
    </c:title>
    <c:autoTitleDeleted val="1"/>
    <c:plotArea>
      <c:layout>
        <c:manualLayout>
          <c:layoutTarget val="inner"/>
          <c:xMode val="edge"/>
          <c:yMode val="edge"/>
          <c:x val="0.11383333"/>
          <c:y val="0.22037037"/>
          <c:w val="0.882"/>
          <c:h val="0.63412035"/>
        </c:manualLayout>
      </c:layout>
      <c:barChart>
        <c:barDir val="col"/>
        <c:grouping val="clustered"/>
        <c:varyColors val="0"/>
        <c:ser>
          <c:idx val="0"/>
          <c:order val="0"/>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multiLvlStrRef>
              <c:f>={"2022年","2023年","&amp;sxmk&amp;","                               单位：万元","","&amp;sxmk&amp;"}</c:f>
              <c:multiLvlStrCache>
                <c:ptCount val="2"/>
                <c:lvl>
                  <c:pt idx="0">
                    <c:v>2022年</c:v>
                  </c:pt>
                  <c:pt idx="1">
                    <c:v>2023年</c:v>
                  </c:pt>
                </c:lvl>
                <c:lvl>
                  <c:pt idx="0">
                    <c:v>                               单位：万元</c:v>
                  </c:pt>
                </c:lvl>
              </c:multiLvlStrCache>
            </c:multiLvlStrRef>
          </c:cat>
          <c:val>
            <c:numRef>
              <c:f/>
              <c:numCache>
                <c:formatCode>General</c:formatCode>
                <c:ptCount val="2"/>
                <c:pt idx="0">
                  <c:v>1228.04</c:v>
                </c:pt>
                <c:pt idx="1">
                  <c:v>1237.85</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一般公共预算财政拨款支出决算结构</a:t>
            </a:r>
          </a:p>
        </c:rich>
      </c:tx>
      <c:layout>
        <c:manualLayout>
          <c:xMode val="edge"/>
          <c:yMode val="edge"/>
          <c:x val="0.22972222"/>
          <c:y val="0.052083332"/>
        </c:manualLayout>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showLegendKey val="0"/>
            <c:showVal val="1"/>
            <c:showCatName val="0"/>
            <c:showSerName val="0"/>
            <c:showPercent val="0"/>
            <c:showBubbleSize val="0"/>
            <c:showLeaderLines val="1"/>
          </c:dLbls>
          <c:cat>
            <c:multiLvlStrRef>
              <c:f>={"一般公共服务支出","社会保障和就业支出","卫生健康支出","住房保障支出","单位：万元","&amp;sxmk&amp;","","","","","","&amp;sxmk&amp;"}</c:f>
              <c:multiLvlStrCache>
                <c:ptCount val="5"/>
                <c:lvl>
                  <c:pt idx="0">
                    <c:v>一般公共服务支出</c:v>
                  </c:pt>
                  <c:pt idx="1">
                    <c:v>社会保障和就业支出</c:v>
                  </c:pt>
                  <c:pt idx="2">
                    <c:v>卫生健康支出</c:v>
                  </c:pt>
                  <c:pt idx="3">
                    <c:v>住房保障支出</c:v>
                  </c:pt>
                  <c:pt idx="4">
                    <c:v>单位：万元</c:v>
                  </c:pt>
                </c:lvl>
                <c:lvl/>
              </c:multiLvlStrCache>
            </c:multiLvlStrRef>
          </c:cat>
          <c:val>
            <c:numRef>
              <c:f/>
              <c:numCache>
                <c:formatCode>General</c:formatCode>
                <c:ptCount val="5"/>
                <c:pt idx="0">
                  <c:v>1050.25</c:v>
                </c:pt>
                <c:pt idx="1">
                  <c:v>101.01</c:v>
                </c:pt>
                <c:pt idx="2">
                  <c:v>27.19</c:v>
                </c:pt>
                <c:pt idx="3">
                  <c:v>59.4</c:v>
                </c:pt>
              </c:numCache>
            </c:numRef>
          </c:val>
        </c:ser>
        <c:firstSliceAng val="0"/>
      </c:pieChart>
      <c:spPr>
        <a:noFill/>
        <a:ln>
          <a:noFill/>
        </a:ln>
      </c:spPr>
    </c:plotArea>
    <c:legend>
      <c:legendPos val="b"/>
      <c:layout>
        <c:manualLayout>
          <c:xMode val="edge"/>
          <c:yMode val="edge"/>
          <c:x val="0.107152775"/>
          <c:y val="0.8513889"/>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“三公”经费财政拨款支出结构</a:t>
            </a:r>
          </a:p>
        </c:rich>
      </c:tx>
      <c:layout>
        <c:manualLayout>
          <c:xMode val="edge"/>
          <c:yMode val="edge"/>
          <c:x val="0.22972222"/>
          <c:y val="0.052083332"/>
        </c:manualLayout>
      </c:layout>
      <c:overlay val="0"/>
      <c:spPr>
        <a:noFill/>
        <a:ln>
          <a:noFill/>
        </a:ln>
      </c:spPr>
    </c:title>
    <c:autoTitleDeleted val="1"/>
    <c:plotArea>
      <c:layout/>
      <c:pieChart>
        <c:varyColors val="1"/>
        <c:ser>
          <c:idx val="0"/>
          <c:order val="0"/>
          <c:spPr>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showLegendKey val="0"/>
            <c:showVal val="1"/>
            <c:showCatName val="0"/>
            <c:showSerName val="0"/>
            <c:showPercent val="0"/>
            <c:showBubbleSize val="0"/>
            <c:showLeaderLines val="1"/>
          </c:dLbls>
          <c:cat>
            <c:multiLvlStrRef>
              <c:f>={"公务用车购置及运行维护费","公务接待费","单位：万元","&amp;sxmk&amp;","","","","&amp;sxmk&amp;"}</c:f>
              <c:multiLvlStrCache>
                <c:ptCount val="3"/>
                <c:lvl>
                  <c:pt idx="0">
                    <c:v>公务用车购置及运行维护费</c:v>
                  </c:pt>
                  <c:pt idx="1">
                    <c:v>公务接待费</c:v>
                  </c:pt>
                  <c:pt idx="2">
                    <c:v>单位：万元</c:v>
                  </c:pt>
                </c:lvl>
                <c:lvl/>
              </c:multiLvlStrCache>
            </c:multiLvlStrRef>
          </c:cat>
          <c:val>
            <c:numRef>
              <c:f/>
              <c:numCache>
                <c:formatCode>General</c:formatCode>
                <c:ptCount val="3"/>
                <c:pt idx="0">
                  <c:v>6.32</c:v>
                </c:pt>
                <c:pt idx="1">
                  <c:v>0.36</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3D57E923-6FFF-4872-BBCB-A08A5741980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69</Pages>
  <Words>0</Words>
  <Characters>24905</Characters>
  <Lines>0</Lines>
  <Paragraphs>248</Paragraphs>
  <CharactersWithSpaces>33207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39</cp:revision>
  <cp:lastPrinted>2023-08-03T02:35:00Z</cp:lastPrinted>
  <dcterms:created xsi:type="dcterms:W3CDTF">2020-08-08T01:49:00Z</dcterms:created>
  <dcterms:modified xsi:type="dcterms:W3CDTF">2024-10-14T02:35:04Z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2052-11.1.0.10463</vt:lpwstr>
  </property>
  <property fmtid="{D5CDD505-2E9C-101B-9397-08002B2CF9AE}" pid="3" name="ICV">
    <vt:lpwstr>A902292638F344988A2BB412EA9655B0</vt:lpwstr>
  </property>
</Properties>
</file>