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color w:val="000000"/>
          <w:sz w:val="30"/>
          <w:szCs w:val="30"/>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p>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bookmarkStart w:id="2" w:name="_Toc15378441"/>
      <w:bookmarkStart w:id="3" w:name="_Toc15396475"/>
      <w:bookmarkStart w:id="4" w:name="_Toc15377193"/>
      <w:bookmarkStart w:id="5" w:name="_Toc15396597"/>
      <w:bookmarkStart w:id="6" w:name="_Toc15377425"/>
      <w:r>
        <w:rPr>
          <w:rFonts w:ascii="方正小标宋简体" w:eastAsia="方正小标宋简体" w:cs="方正小标宋简体" w:hAnsi="方正小标宋简体" w:hint="eastAsia"/>
          <w:b w:val="0"/>
          <w:bCs w:val="0"/>
          <w:color w:val="000000"/>
          <w:sz w:val="72"/>
          <w:szCs w:val="72"/>
        </w:rPr>
        <w:t>2020年度</w:t>
      </w:r>
      <w:bookmarkEnd w:id="2"/>
      <w:bookmarkEnd w:id="3"/>
      <w:bookmarkEnd w:id="4"/>
      <w:bookmarkEnd w:id="5"/>
      <w:bookmarkEnd w:id="6"/>
    </w:p>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bookmarkEnd w:id="0"/>
      <w:r>
        <w:rPr>
          <w:rFonts w:ascii="方正小标宋简体" w:eastAsia="方正小标宋简体" w:cs="方正小标宋简体" w:hAnsi="方正小标宋简体" w:hint="eastAsia"/>
          <w:b w:val="0"/>
          <w:bCs w:val="0"/>
          <w:color w:val="000000"/>
          <w:sz w:val="72"/>
          <w:szCs w:val="72"/>
        </w:rPr>
        <w:t>广元市利州区</w:t>
      </w:r>
      <w:bookmarkStart w:id="7" w:name="_Toc15306268"/>
      <w:r>
        <w:rPr>
          <w:rFonts w:ascii="方正小标宋简体" w:eastAsia="方正小标宋简体" w:cs="方正小标宋简体" w:hAnsi="方正小标宋简体" w:hint="eastAsia"/>
          <w:b w:val="0"/>
          <w:bCs w:val="0"/>
          <w:color w:val="000000"/>
          <w:sz w:val="72"/>
          <w:szCs w:val="72"/>
          <w:lang w:eastAsia="zh-CN"/>
        </w:rPr>
        <w:t>雪峰</w:t>
      </w:r>
      <w:r>
        <w:rPr>
          <w:rFonts w:ascii="方正小标宋简体" w:eastAsia="方正小标宋简体" w:cs="方正小标宋简体" w:hAnsi="方正小标宋简体" w:hint="eastAsia"/>
          <w:b w:val="0"/>
          <w:bCs w:val="0"/>
          <w:color w:val="000000"/>
          <w:sz w:val="72"/>
          <w:szCs w:val="72"/>
        </w:rPr>
        <w:t>社区卫生服务中心部门决算</w:t>
      </w:r>
      <w:bookmarkEnd w:id="7"/>
    </w:p>
    <w:p>
      <w:pPr>
        <w:keepNext w:val="0"/>
        <w:keepLines w:val="0"/>
        <w:pageBreakBefore w:val="0"/>
        <w:widowControl/>
        <w:kinsoku/>
        <w:wordWrap/>
        <w:overflowPunct/>
        <w:topLinePunct w:val="0"/>
        <w:autoSpaceDE/>
        <w:autoSpaceDN/>
        <w:bidi w:val="0"/>
        <w:spacing w:line="576" w:lineRule="exact"/>
        <w:ind w:left="0" w:right="0"/>
        <w:jc w:val="center"/>
        <w:textAlignment w:val="auto"/>
        <w:rPr>
          <w:rFonts w:ascii="方正小标宋简体" w:eastAsia="方正小标宋简体" w:cs="方正小标宋简体" w:hAnsi="方正小标宋简体" w:hint="eastAsia"/>
          <w:color w:val="000000"/>
          <w:sz w:val="48"/>
          <w:szCs w:val="48"/>
        </w:rPr>
      </w:pPr>
      <w:r>
        <w:rPr>
          <w:rFonts w:ascii="方正小标宋简体" w:eastAsia="方正小标宋简体" w:cs="方正小标宋简体" w:hAnsi="方正小标宋简体" w:hint="eastAsia"/>
          <w:b w:val="0"/>
          <w:bCs w:val="0"/>
          <w:color w:val="000000"/>
          <w:sz w:val="72"/>
          <w:szCs w:val="72"/>
        </w:rPr>
        <w:br w:type="page"/>
      </w:r>
      <w:bookmarkStart w:id="8" w:name="_Toc15377196"/>
      <w:bookmarkStart w:id="9" w:name="_Toc15396599"/>
      <w:r>
        <w:rPr>
          <w:rFonts w:ascii="方正小标宋简体" w:eastAsia="方正小标宋简体" w:cs="方正小标宋简体" w:hAnsi="方正小标宋简体" w:hint="eastAsia"/>
          <w:color w:val="000000"/>
          <w:sz w:val="48"/>
          <w:szCs w:val="48"/>
        </w:rPr>
        <w:t>目</w:t>
      </w:r>
      <w:r>
        <w:rPr>
          <w:rFonts w:ascii="方正小标宋简体" w:eastAsia="方正小标宋简体" w:cs="方正小标宋简体" w:hAnsi="方正小标宋简体" w:hint="eastAsia"/>
          <w:color w:val="000000"/>
          <w:sz w:val="48"/>
          <w:szCs w:val="48"/>
          <w:lang w:val="en-US" w:eastAsia="zh-CN"/>
        </w:rPr>
        <w:t xml:space="preserve">  </w:t>
      </w:r>
      <w:r>
        <w:rPr>
          <w:rFonts w:ascii="方正小标宋简体" w:eastAsia="方正小标宋简体" w:cs="方正小标宋简体" w:hAnsi="方正小标宋简体" w:hint="eastAsia"/>
          <w:color w:val="000000"/>
          <w:sz w:val="48"/>
          <w:szCs w:val="48"/>
        </w:rPr>
        <w:t>录</w:t>
      </w:r>
    </w:p>
    <w:p>
      <w:pPr>
        <w:pStyle w:val="20"/>
        <w:pageBreakBefore w:val="0"/>
        <w:widowControl w:val="0"/>
        <w:tabs>
          <w:tab w:val="right" w:leader="dot" w:pos="8296"/>
        </w:tabs>
        <w:kinsoku/>
        <w:wordWrap/>
        <w:overflowPunct/>
        <w:topLinePunct w:val="0"/>
        <w:autoSpaceDE/>
        <w:autoSpaceDN/>
        <w:bidi w:val="0"/>
        <w:spacing w:before="0" w:line="576" w:lineRule="exact"/>
        <w:ind w:left="0" w:right="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公开时间：202</w:t>
      </w:r>
      <w:r>
        <w:rPr>
          <w:rFonts w:ascii="方正楷体简体" w:eastAsia="方正楷体简体" w:cs="方正楷体简体" w:hAnsi="方正楷体简体" w:hint="eastAsia"/>
          <w:sz w:val="32"/>
          <w:szCs w:val="32"/>
          <w:lang w:val="en-US" w:eastAsia="zh-CN"/>
        </w:rPr>
        <w:t>1</w:t>
      </w:r>
      <w:r>
        <w:rPr>
          <w:rFonts w:ascii="方正楷体简体" w:eastAsia="方正楷体简体" w:cs="方正楷体简体" w:hAnsi="方正楷体简体" w:hint="eastAsia"/>
          <w:sz w:val="32"/>
          <w:szCs w:val="32"/>
        </w:rPr>
        <w:t>年</w:t>
      </w:r>
      <w:r>
        <w:rPr>
          <w:rFonts w:ascii="方正楷体简体" w:eastAsia="方正楷体简体" w:cs="方正楷体简体" w:hAnsi="方正楷体简体" w:hint="eastAsia"/>
          <w:sz w:val="32"/>
          <w:szCs w:val="32"/>
          <w:lang w:val="en-US" w:eastAsia="zh-CN"/>
        </w:rPr>
        <w:t>10</w:t>
      </w:r>
      <w:r>
        <w:rPr>
          <w:rFonts w:ascii="方正楷体简体" w:eastAsia="方正楷体简体" w:cs="方正楷体简体" w:hAnsi="方正楷体简体" w:hint="eastAsia"/>
          <w:sz w:val="32"/>
          <w:szCs w:val="32"/>
        </w:rPr>
        <w:t>月</w:t>
      </w:r>
      <w:r>
        <w:rPr>
          <w:rFonts w:ascii="方正楷体简体" w:eastAsia="方正楷体简体" w:cs="方正楷体简体" w:hAnsi="方正楷体简体" w:hint="eastAsia"/>
          <w:sz w:val="32"/>
          <w:szCs w:val="32"/>
          <w:lang w:val="en-US" w:eastAsia="zh-CN"/>
        </w:rPr>
        <w:t>14</w:t>
      </w:r>
      <w:r>
        <w:rPr>
          <w:rFonts w:ascii="方正楷体简体" w:eastAsia="方正楷体简体" w:cs="方正楷体简体" w:hAnsi="方正楷体简体" w:hint="eastAsia"/>
          <w:sz w:val="32"/>
          <w:szCs w:val="32"/>
        </w:rPr>
        <w:t>日</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第一部分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部门概况</w:t>
      </w:r>
      <w:r>
        <w:rPr>
          <w:rFonts w:ascii="方正黑体简体" w:eastAsia="方正黑体简体" w:cs="方正黑体简体" w:hAnsi="方正黑体简体" w:hint="eastAsia"/>
          <w:sz w:val="32"/>
          <w:szCs w:val="32"/>
          <w:lang w:val="en-US" w:eastAsia="zh-CN"/>
        </w:rPr>
        <w:t>.</w:t>
      </w:r>
      <w:r>
        <w:rPr>
          <w:rFonts w:ascii="方正黑体简体" w:eastAsia="方正黑体简体" w:cs="方正黑体简体" w:hAnsi="方正黑体简体" w:hint="eastAsia"/>
          <w:kern w:val="2"/>
          <w:sz w:val="32"/>
          <w:szCs w:val="32"/>
          <w:lang w:val="en-US" w:eastAsia="zh-CN"/>
        </w:rPr>
        <w:t>.......................</w:t>
      </w:r>
      <w:r>
        <w:rPr>
          <w:rFonts w:ascii="方正黑体简体" w:eastAsia="方正黑体简体" w:cs="方正黑体简体" w:hAnsi="方正黑体简体" w:hint="eastAsia"/>
          <w:sz w:val="32"/>
          <w:szCs w:val="32"/>
          <w:lang w:val="en-US" w:eastAsia="zh-CN"/>
        </w:rPr>
        <w:t>...</w:t>
      </w:r>
      <w:r>
        <w:rPr>
          <w:rFonts w:ascii="方正黑体简体" w:eastAsia="方正黑体简体" w:cs="方正黑体简体" w:hAnsi="方正黑体简体" w:hint="eastAsia"/>
          <w:kern w:val="2"/>
          <w:sz w:val="32"/>
          <w:szCs w:val="32"/>
          <w:lang w:val="en-US" w:eastAsia="zh-CN"/>
        </w:rPr>
        <w:t>.............................</w:t>
      </w:r>
      <w:r>
        <w:rPr>
          <w:rFonts w:ascii="方正黑体简体" w:eastAsia="方正黑体简体" w:cs="方正黑体简体" w:hAnsi="方正黑体简体" w:hint="eastAsia"/>
          <w:sz w:val="32"/>
          <w:szCs w:val="32"/>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一、基本职能及主要工作</w:t>
      </w:r>
      <w:r>
        <w:rPr>
          <w:rFonts w:ascii="方正仿宋简体" w:eastAsia="方正仿宋简体" w:cs="方正仿宋简体" w:hAnsi="方正仿宋简体" w:hint="eastAsia"/>
          <w:sz w:val="32"/>
          <w:szCs w:val="32"/>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二、机构设置</w:t>
      </w:r>
      <w:r>
        <w:rPr>
          <w:rFonts w:ascii="方正仿宋简体" w:eastAsia="方正仿宋简体" w:cs="方正仿宋简体" w:hAnsi="方正仿宋简体" w:hint="eastAsia"/>
          <w:sz w:val="32"/>
          <w:szCs w:val="32"/>
          <w:lang w:val="en-US" w:eastAsia="zh-CN"/>
        </w:rPr>
        <w:t>.................................................................8</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第二部分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部门决算情况说明</w:t>
      </w:r>
      <w:r>
        <w:rPr>
          <w:rFonts w:ascii="方正黑体简体" w:eastAsia="方正黑体简体" w:cs="方正黑体简体" w:hAnsi="方正黑体简体" w:hint="eastAsia"/>
          <w:sz w:val="32"/>
          <w:szCs w:val="32"/>
          <w:lang w:val="en-US" w:eastAsia="zh-CN"/>
        </w:rPr>
        <w:t>...........................................9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一、收入支出决算总体情况说明</w:t>
      </w:r>
      <w:r>
        <w:rPr>
          <w:rFonts w:ascii="方正仿宋简体" w:eastAsia="方正仿宋简体" w:cs="方正仿宋简体" w:hAnsi="方正仿宋简体" w:hint="eastAsia"/>
          <w:sz w:val="32"/>
          <w:szCs w:val="32"/>
          <w:lang w:val="en-US" w:eastAsia="zh-CN"/>
        </w:rPr>
        <w:t>......................................9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二、收入决算情况说明</w:t>
      </w:r>
      <w:r>
        <w:rPr>
          <w:rFonts w:ascii="方正仿宋简体" w:eastAsia="方正仿宋简体" w:cs="方正仿宋简体" w:hAnsi="方正仿宋简体" w:hint="eastAsia"/>
          <w:sz w:val="32"/>
          <w:szCs w:val="32"/>
          <w:lang w:val="en-US" w:eastAsia="zh-CN"/>
        </w:rPr>
        <w:t>..................................................10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三、支出决算情况说明</w:t>
      </w:r>
      <w:r>
        <w:rPr>
          <w:rFonts w:ascii="方正仿宋简体" w:eastAsia="方正仿宋简体" w:cs="方正仿宋简体" w:hAnsi="方正仿宋简体" w:hint="eastAsia"/>
          <w:sz w:val="32"/>
          <w:szCs w:val="32"/>
          <w:lang w:val="en-US" w:eastAsia="zh-CN"/>
        </w:rPr>
        <w:t>..................................................10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四、财政拨款收入支出决算总体情况说明</w:t>
      </w:r>
      <w:r>
        <w:rPr>
          <w:rFonts w:ascii="方正仿宋简体" w:eastAsia="方正仿宋简体" w:cs="方正仿宋简体" w:hAnsi="方正仿宋简体" w:hint="eastAsia"/>
          <w:sz w:val="32"/>
          <w:szCs w:val="32"/>
          <w:lang w:val="en-US" w:eastAsia="zh-CN"/>
        </w:rPr>
        <w:t>.......................11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五、一般公共预算财政拨款支出决算情况说明</w:t>
      </w:r>
      <w:r>
        <w:rPr>
          <w:rFonts w:ascii="方正仿宋简体" w:eastAsia="方正仿宋简体" w:cs="方正仿宋简体" w:hAnsi="方正仿宋简体" w:hint="eastAsia"/>
          <w:sz w:val="32"/>
          <w:szCs w:val="32"/>
          <w:lang w:val="en-US" w:eastAsia="zh-CN"/>
        </w:rPr>
        <w:t>...............12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六、一般公共预算财政拨款基本支出决算情况说明</w:t>
      </w:r>
      <w:r>
        <w:rPr>
          <w:rFonts w:ascii="方正仿宋简体" w:eastAsia="方正仿宋简体" w:cs="方正仿宋简体" w:hAnsi="方正仿宋简体" w:hint="eastAsia"/>
          <w:sz w:val="32"/>
          <w:szCs w:val="32"/>
          <w:lang w:val="en-US" w:eastAsia="zh-CN"/>
        </w:rPr>
        <w:t>..........15</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七、“三公”经费财政拨款支出决算情况说明</w:t>
      </w:r>
      <w:r>
        <w:rPr>
          <w:rFonts w:ascii="方正仿宋简体" w:eastAsia="方正仿宋简体" w:cs="方正仿宋简体" w:hAnsi="方正仿宋简体" w:hint="eastAsia"/>
          <w:sz w:val="32"/>
          <w:szCs w:val="32"/>
          <w:lang w:val="en-US" w:eastAsia="zh-CN"/>
        </w:rPr>
        <w:t>...................16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八、政府性基金预算支出决算情况说明</w:t>
      </w:r>
      <w:r>
        <w:rPr>
          <w:rFonts w:ascii="方正仿宋简体" w:eastAsia="方正仿宋简体" w:cs="方正仿宋简体" w:hAnsi="方正仿宋简体" w:hint="eastAsia"/>
          <w:sz w:val="32"/>
          <w:szCs w:val="32"/>
          <w:lang w:val="en-US" w:eastAsia="zh-CN"/>
        </w:rPr>
        <w:t>.........................17</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九、 国有资本经营预算支出决算情况说明</w:t>
      </w:r>
      <w:r>
        <w:rPr>
          <w:rFonts w:ascii="方正仿宋简体" w:eastAsia="方正仿宋简体" w:cs="方正仿宋简体" w:hAnsi="方正仿宋简体" w:hint="eastAsia"/>
          <w:sz w:val="32"/>
          <w:szCs w:val="32"/>
          <w:lang w:val="en-US" w:eastAsia="zh-CN"/>
        </w:rPr>
        <w:t>....................17</w:t>
      </w:r>
    </w:p>
    <w:p>
      <w:pPr>
        <w:pageBreakBefore w:val="0"/>
        <w:widowControl w:val="0"/>
        <w:kinsoku/>
        <w:wordWrap/>
        <w:overflowPunct/>
        <w:topLinePunct w:val="0"/>
        <w:autoSpaceDE/>
        <w:autoSpaceDN/>
        <w:bidi w:val="0"/>
        <w:adjustRightInd w:val="0"/>
        <w:snapToGrid w:val="0"/>
        <w:spacing w:line="576" w:lineRule="exact"/>
        <w:ind w:left="0" w:right="0" w:firstLineChars="200" w:firstLine="640"/>
        <w:jc w:val="distribute"/>
        <w:textAlignment w:val="auto"/>
        <w:rPr>
          <w:rFonts w:ascii="方正仿宋简体" w:eastAsia="方正仿宋简体" w:cs="方正仿宋简体" w:hAnsi="方正仿宋简体"/>
          <w:sz w:val="32"/>
          <w:szCs w:val="32"/>
          <w:lang w:val="en-US"/>
        </w:rPr>
      </w:pPr>
      <w:r>
        <w:rPr>
          <w:rStyle w:val="24"/>
          <w:rFonts w:ascii="方正仿宋简体" w:eastAsia="方正仿宋简体" w:cs="方正仿宋简体" w:hAnsi="方正仿宋简体" w:hint="eastAsia"/>
          <w:color w:val="000000"/>
          <w:sz w:val="32"/>
          <w:szCs w:val="32"/>
          <w:u w:val="none"/>
        </w:rPr>
        <w:t>十、</w:t>
      </w:r>
      <w:r>
        <w:rPr>
          <w:rFonts w:ascii="方正仿宋简体" w:eastAsia="方正仿宋简体" w:cs="方正仿宋简体" w:hAnsi="方正仿宋简体" w:hint="eastAsia"/>
          <w:sz w:val="32"/>
          <w:szCs w:val="32"/>
        </w:rPr>
        <w:t>其他重要事项的情况说明</w:t>
        <w:tab/>
      </w:r>
      <w:r>
        <w:rPr>
          <w:rFonts w:ascii="方正仿宋简体" w:eastAsia="方正仿宋简体" w:cs="方正仿宋简体" w:hAnsi="方正仿宋简体" w:hint="eastAsia"/>
          <w:kern w:val="2"/>
          <w:sz w:val="32"/>
          <w:szCs w:val="32"/>
          <w:lang w:val="en-US" w:eastAsia="zh-CN"/>
        </w:rPr>
        <w:t>....................................</w:t>
      </w:r>
      <w:r>
        <w:rPr>
          <w:rFonts w:ascii="方正仿宋简体" w:eastAsia="方正仿宋简体" w:cs="方正仿宋简体" w:hAnsi="方正仿宋简体" w:hint="eastAsia"/>
          <w:sz w:val="32"/>
          <w:szCs w:val="32"/>
          <w:lang w:val="en-US" w:eastAsia="zh-CN"/>
        </w:rPr>
        <w:t>17</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eastAsia="zh-CN"/>
        </w:rPr>
      </w:pPr>
      <w:r>
        <w:rPr>
          <w:rFonts w:ascii="方正黑体简体" w:eastAsia="方正黑体简体" w:cs="方正黑体简体" w:hAnsi="方正黑体简体" w:hint="eastAsia"/>
          <w:sz w:val="32"/>
          <w:szCs w:val="32"/>
        </w:rPr>
        <w:t>第三部分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名词解释</w:t>
      </w:r>
      <w:r>
        <w:rPr>
          <w:rFonts w:ascii="方正黑体简体" w:eastAsia="方正黑体简体" w:cs="方正黑体简体" w:hAnsi="方正黑体简体" w:hint="eastAsia"/>
          <w:sz w:val="32"/>
          <w:szCs w:val="32"/>
          <w:lang w:val="en-US" w:eastAsia="zh-CN"/>
        </w:rPr>
        <w:t>.......................................................25</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rPr>
      </w:pPr>
      <w:r>
        <w:rPr>
          <w:rFonts w:ascii="方正黑体简体" w:eastAsia="方正黑体简体" w:cs="方正黑体简体" w:hAnsi="方正黑体简体" w:hint="eastAsia"/>
          <w:sz w:val="32"/>
          <w:szCs w:val="32"/>
        </w:rPr>
        <w:t>第四部分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 xml:space="preserve"> 附件</w:t>
      </w:r>
      <w:r>
        <w:rPr>
          <w:rFonts w:ascii="方正黑体简体" w:eastAsia="方正黑体简体" w:cs="方正黑体简体" w:hAnsi="方正黑体简体" w:hint="eastAsia"/>
          <w:sz w:val="32"/>
          <w:szCs w:val="32"/>
          <w:lang w:val="en-US" w:eastAsia="zh-CN"/>
        </w:rPr>
        <w:t>..............................................................28</w:t>
      </w:r>
    </w:p>
    <w:p>
      <w:pPr>
        <w:pStyle w:val="21"/>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附件1</w:t>
      </w:r>
      <w:r>
        <w:rPr>
          <w:rFonts w:ascii="方正仿宋简体" w:eastAsia="方正仿宋简体" w:cs="方正仿宋简体" w:hAnsi="方正仿宋简体" w:hint="eastAsia"/>
          <w:sz w:val="32"/>
          <w:szCs w:val="32"/>
          <w:lang w:val="en-US" w:eastAsia="zh-CN"/>
        </w:rPr>
        <w:t>.........................................................................29</w:t>
      </w:r>
    </w:p>
    <w:p>
      <w:pPr>
        <w:pStyle w:val="21"/>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附件2</w:t>
      </w:r>
      <w:r>
        <w:rPr>
          <w:rFonts w:ascii="方正仿宋简体" w:eastAsia="方正仿宋简体" w:cs="方正仿宋简体" w:hAnsi="方正仿宋简体" w:hint="eastAsia"/>
          <w:sz w:val="32"/>
          <w:szCs w:val="32"/>
          <w:lang w:val="en-US" w:eastAsia="zh-CN"/>
        </w:rPr>
        <w:t>........................................................................33</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rPr>
      </w:pPr>
      <w:r>
        <w:rPr>
          <w:rFonts w:ascii="方正黑体简体" w:eastAsia="方正黑体简体" w:cs="方正黑体简体" w:hAnsi="方正黑体简体" w:hint="eastAsia"/>
          <w:sz w:val="32"/>
          <w:szCs w:val="32"/>
        </w:rPr>
        <w:t>第五部分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 xml:space="preserve"> 附表</w:t>
      </w:r>
      <w:r>
        <w:rPr>
          <w:rFonts w:ascii="方正黑体简体" w:eastAsia="方正黑体简体" w:cs="方正黑体简体" w:hAnsi="方正黑体简体" w:hint="eastAsia"/>
          <w:sz w:val="32"/>
          <w:szCs w:val="32"/>
          <w:lang w:val="en-US" w:eastAsia="zh-CN"/>
        </w:rPr>
        <w:t>...............................................................51</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一、收</w:t>
      </w:r>
      <w:r>
        <w:rPr>
          <w:rStyle w:val="2Char"/>
          <w:rFonts w:ascii="方正仿宋简体" w:eastAsia="方正仿宋简体" w:cs="方正仿宋简体" w:hAnsi="方正仿宋简体" w:hint="eastAsia"/>
          <w:b w:val="0"/>
          <w:bCs w:val="0"/>
          <w:sz w:val="32"/>
          <w:szCs w:val="32"/>
        </w:rPr>
        <w:t>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二、收</w:t>
      </w:r>
      <w:r>
        <w:rPr>
          <w:rStyle w:val="2Char"/>
          <w:rFonts w:ascii="方正仿宋简体" w:eastAsia="方正仿宋简体" w:cs="方正仿宋简体" w:hAnsi="方正仿宋简体" w:hint="eastAsia"/>
          <w:b w:val="0"/>
          <w:bCs w:val="0"/>
          <w:sz w:val="32"/>
          <w:szCs w:val="32"/>
        </w:rPr>
        <w:t>入决算表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三、</w:t>
      </w:r>
      <w:r>
        <w:rPr>
          <w:rFonts w:ascii="方正仿宋简体" w:eastAsia="方正仿宋简体" w:cs="方正仿宋简体" w:hAnsi="方正仿宋简体" w:hint="eastAsia"/>
          <w:b w:val="0"/>
          <w:color w:val="000000"/>
          <w:sz w:val="32"/>
          <w:szCs w:val="32"/>
        </w:rPr>
        <w:t>支</w:t>
      </w:r>
      <w:r>
        <w:rPr>
          <w:rStyle w:val="2Char"/>
          <w:rFonts w:ascii="方正仿宋简体" w:eastAsia="方正仿宋简体" w:cs="方正仿宋简体" w:hAnsi="方正仿宋简体" w:hint="eastAsia"/>
          <w:b w:val="0"/>
          <w:bCs w:val="0"/>
          <w:sz w:val="32"/>
          <w:szCs w:val="32"/>
        </w:rPr>
        <w:t>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b w:val="0"/>
          <w:color w:val="000000"/>
          <w:sz w:val="32"/>
          <w:szCs w:val="32"/>
        </w:rPr>
      </w:pPr>
      <w:r>
        <w:rPr>
          <w:rStyle w:val="2Char"/>
          <w:rFonts w:ascii="方正仿宋简体" w:eastAsia="方正仿宋简体" w:cs="方正仿宋简体" w:hAnsi="方正仿宋简体" w:hint="eastAsia"/>
          <w:b w:val="0"/>
          <w:bCs w:val="0"/>
          <w:sz w:val="32"/>
          <w:szCs w:val="32"/>
        </w:rPr>
        <w:t>四、</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政拨款收入支出决算总表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sz w:val="32"/>
          <w:szCs w:val="32"/>
        </w:rPr>
      </w:pPr>
      <w:r>
        <w:rPr>
          <w:rStyle w:val="2Char"/>
          <w:rFonts w:ascii="方正仿宋简体" w:eastAsia="方正仿宋简体" w:cs="方正仿宋简体" w:hAnsi="方正仿宋简体" w:hint="eastAsia"/>
          <w:b w:val="0"/>
          <w:bCs w:val="0"/>
          <w:sz w:val="32"/>
          <w:szCs w:val="32"/>
        </w:rPr>
        <w:t>五、</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六、</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七、</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八、</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般公共预算财政拨款基本支出决算表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九、</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般公共预算财政拨款项目支出决算表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十一、</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府性基金预算财政拨款收入支出决算表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十二、</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9"/>
          <w:rFonts w:ascii="方正仿宋简体" w:eastAsia="方正仿宋简体" w:cs="方正仿宋简体" w:hAnsi="方正仿宋简体" w:hint="eastAsia"/>
          <w:b w:val="0"/>
          <w:bCs w:val="0"/>
          <w:sz w:val="32"/>
          <w:szCs w:val="32"/>
        </w:rPr>
      </w:pPr>
      <w:r>
        <w:rPr>
          <w:rStyle w:val="29"/>
          <w:rFonts w:ascii="方正仿宋简体" w:eastAsia="方正仿宋简体" w:cs="方正仿宋简体" w:hAnsi="方正仿宋简体" w:hint="eastAsia"/>
          <w:b w:val="0"/>
          <w:bCs w:val="0"/>
          <w:sz w:val="32"/>
          <w:szCs w:val="32"/>
        </w:rPr>
        <w:t>十三、</w:t>
      </w:r>
      <w:r>
        <w:rPr>
          <w:rFonts w:ascii="方正仿宋简体" w:eastAsia="方正仿宋简体" w:cs="方正仿宋简体" w:hAnsi="方正仿宋简体" w:hint="eastAsia"/>
          <w:b w:val="0"/>
          <w:color w:val="000000"/>
          <w:sz w:val="32"/>
          <w:szCs w:val="32"/>
        </w:rPr>
        <w:t>国</w:t>
      </w:r>
      <w:r>
        <w:rPr>
          <w:rStyle w:val="29"/>
          <w:rFonts w:ascii="方正仿宋简体" w:eastAsia="方正仿宋简体" w:cs="方正仿宋简体" w:hAnsi="方正仿宋简体" w:hint="eastAsia"/>
          <w:b w:val="0"/>
          <w:bCs w:val="0"/>
          <w:sz w:val="32"/>
          <w:szCs w:val="32"/>
        </w:rPr>
        <w:t>有资本经营预算财政拨款</w:t>
      </w:r>
      <w:r>
        <w:rPr>
          <w:rStyle w:val="29"/>
          <w:rFonts w:ascii="方正仿宋简体" w:eastAsia="方正仿宋简体" w:cs="方正仿宋简体" w:hAnsi="方正仿宋简体" w:hint="eastAsia"/>
          <w:b w:val="0"/>
          <w:bCs w:val="0"/>
          <w:sz w:val="32"/>
          <w:szCs w:val="32"/>
          <w:lang w:eastAsia="zh-CN"/>
        </w:rPr>
        <w:t>收入</w:t>
      </w:r>
      <w:r>
        <w:rPr>
          <w:rStyle w:val="29"/>
          <w:rFonts w:ascii="方正仿宋简体" w:eastAsia="方正仿宋简体" w:cs="方正仿宋简体" w:hAnsi="方正仿宋简体" w:hint="eastAsia"/>
          <w:b w:val="0"/>
          <w:bCs w:val="0"/>
          <w:sz w:val="32"/>
          <w:szCs w:val="32"/>
        </w:rPr>
        <w:t>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9"/>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color w:val="000000"/>
          <w:sz w:val="32"/>
          <w:szCs w:val="32"/>
          <w:lang w:eastAsia="zh-CN"/>
        </w:rPr>
        <w:t>十四、</w:t>
      </w:r>
      <w:r>
        <w:rPr>
          <w:rFonts w:ascii="方正仿宋简体" w:eastAsia="方正仿宋简体" w:cs="方正仿宋简体" w:hAnsi="方正仿宋简体" w:hint="eastAsia"/>
          <w:b w:val="0"/>
          <w:color w:val="000000"/>
          <w:sz w:val="32"/>
          <w:szCs w:val="32"/>
        </w:rPr>
        <w:t>国</w:t>
      </w:r>
      <w:r>
        <w:rPr>
          <w:rStyle w:val="29"/>
          <w:rFonts w:ascii="方正仿宋简体" w:eastAsia="方正仿宋简体" w:cs="方正仿宋简体" w:hAnsi="方正仿宋简体" w:hint="eastAsia"/>
          <w:b w:val="0"/>
          <w:bCs w:val="0"/>
          <w:sz w:val="32"/>
          <w:szCs w:val="32"/>
        </w:rPr>
        <w:t>有资本经营预算财政拨款支出决算表</w:t>
      </w:r>
    </w:p>
    <w:p>
      <w:pPr>
        <w:pStyle w:val="21"/>
        <w:tabs>
          <w:tab w:val="right" w:leader="dot" w:pos="8296"/>
        </w:tabs>
        <w:adjustRightInd w:val="0"/>
        <w:snapToGrid w:val="0"/>
        <w:spacing w:line="440" w:lineRule="exact"/>
        <w:jc w:val="left"/>
        <w:rPr>
          <w:rFonts w:ascii="仿宋" w:eastAsia="仿宋" w:hAnsi="仿宋" w:hint="eastAsia"/>
          <w:sz w:val="24"/>
        </w:rPr>
      </w:pPr>
    </w:p>
    <w:p>
      <w:pPr>
        <w:keepNext w:val="0"/>
        <w:keepLines w:val="0"/>
        <w:pageBreakBefore w:val="0"/>
        <w:widowControl w:val="0"/>
        <w:kinsoku/>
        <w:wordWrap/>
        <w:overflowPunct/>
        <w:topLinePunct w:val="0"/>
        <w:autoSpaceDE/>
        <w:autoSpaceDN/>
        <w:bidi w:val="0"/>
        <w:adjustRightInd/>
        <w:snapToGrid/>
        <w:spacing w:line="576" w:lineRule="exact"/>
        <w:ind w:left="0"/>
        <w:jc w:val="left"/>
        <w:textAlignment w:val="auto"/>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widowControl/>
        <w:spacing w:line="440" w:lineRule="exact"/>
        <w:jc w:val="left"/>
        <w:rPr>
          <w:rFonts w:ascii="仿宋" w:eastAsia="仿宋" w:hAnsi="仿宋"/>
          <w:bCs/>
          <w:kern w:val="44"/>
          <w:sz w:val="24"/>
        </w:rPr>
      </w:pPr>
    </w:p>
    <w:p>
      <w:pPr>
        <w:pStyle w:val="1"/>
        <w:keepNext/>
        <w:keepLines/>
        <w:pageBreakBefore w:val="0"/>
        <w:kinsoku/>
        <w:wordWrap/>
        <w:overflowPunct/>
        <w:topLinePunct w:val="0"/>
        <w:autoSpaceDE/>
        <w:autoSpaceDN/>
        <w:bidi w:val="0"/>
        <w:spacing w:before="0" w:after="0" w:line="576" w:lineRule="exact"/>
        <w:ind w:left="0" w:right="0"/>
        <w:jc w:val="center"/>
        <w:textAlignment w:val="auto"/>
        <w:rPr>
          <w:rStyle w:val="1Char"/>
          <w:rFonts w:ascii="方正小标宋简体" w:eastAsia="方正小标宋简体" w:cs="方正小标宋简体" w:hAnsi="方正小标宋简体" w:hint="eastAsia"/>
          <w:b/>
          <w:bCs w:val="0"/>
          <w:sz w:val="48"/>
          <w:szCs w:val="48"/>
        </w:rPr>
      </w:pPr>
      <w:r>
        <w:rPr>
          <w:rFonts w:ascii="方正小标宋简体" w:eastAsia="方正小标宋简体" w:cs="方正小标宋简体" w:hAnsi="方正小标宋简体" w:hint="eastAsia"/>
          <w:b w:val="0"/>
          <w:sz w:val="48"/>
          <w:szCs w:val="48"/>
        </w:rPr>
        <w:t xml:space="preserve">第一部分 </w:t>
      </w:r>
      <w:r>
        <w:rPr>
          <w:rStyle w:val="1Char"/>
          <w:rFonts w:ascii="方正小标宋简体" w:eastAsia="方正小标宋简体" w:cs="方正小标宋简体" w:hAnsi="方正小标宋简体" w:hint="eastAsia"/>
          <w:b w:val="0"/>
          <w:bCs w:val="0"/>
          <w:sz w:val="48"/>
          <w:szCs w:val="48"/>
        </w:rPr>
        <w:t>部门概况</w:t>
      </w:r>
      <w:bookmarkEnd w:id="8"/>
      <w:bookmarkEnd w:id="9"/>
    </w:p>
    <w:p>
      <w:pPr>
        <w:pageBreakBefore w:val="0"/>
        <w:widowControl/>
        <w:kinsoku/>
        <w:wordWrap/>
        <w:overflowPunct/>
        <w:topLinePunct w:val="0"/>
        <w:autoSpaceDE/>
        <w:autoSpaceDN/>
        <w:bidi w:val="0"/>
        <w:spacing w:line="576" w:lineRule="exact"/>
        <w:ind w:left="0" w:right="0"/>
        <w:jc w:val="left"/>
        <w:textAlignment w:val="auto"/>
        <w:rPr>
          <w:rFonts w:ascii="方正仿宋简体" w:eastAsia="方正仿宋简体" w:cs="方正仿宋简体" w:hAnsi="方正仿宋简体" w:hint="eastAsia"/>
          <w:color w:val="000000"/>
          <w:sz w:val="32"/>
          <w:szCs w:val="32"/>
        </w:rPr>
      </w:pPr>
    </w:p>
    <w:p>
      <w:pPr>
        <w:pStyle w:val="2"/>
        <w:keepNext/>
        <w:keepLines/>
        <w:pageBreakBefore w:val="0"/>
        <w:kinsoku/>
        <w:wordWrap/>
        <w:overflowPunct/>
        <w:topLinePunct w:val="0"/>
        <w:autoSpaceDE/>
        <w:autoSpaceDN/>
        <w:bidi w:val="0"/>
        <w:spacing w:before="0" w:after="0" w:line="576" w:lineRule="exact"/>
        <w:ind w:left="0" w:right="0" w:firstLineChars="200" w:firstLine="640"/>
        <w:textAlignment w:val="auto"/>
        <w:rPr>
          <w:rStyle w:val="2Char"/>
          <w:rFonts w:ascii="方正黑体简体" w:eastAsia="方正黑体简体" w:cs="方正黑体简体" w:hAnsi="方正黑体简体" w:hint="eastAsia"/>
          <w:b w:val="0"/>
          <w:bCs w:val="0"/>
          <w:sz w:val="32"/>
          <w:szCs w:val="32"/>
        </w:rPr>
      </w:pPr>
      <w:bookmarkStart w:id="10" w:name="_Toc15377197"/>
      <w:bookmarkStart w:id="11" w:name="_Toc15396600"/>
      <w:r>
        <w:rPr>
          <w:rFonts w:ascii="方正黑体简体" w:eastAsia="方正黑体简体" w:cs="方正黑体简体" w:hAnsi="方正黑体简体" w:hint="eastAsia"/>
          <w:b w:val="0"/>
          <w:color w:val="000000"/>
          <w:sz w:val="32"/>
          <w:szCs w:val="32"/>
        </w:rPr>
        <w:t>一、基</w:t>
      </w:r>
      <w:r>
        <w:rPr>
          <w:rStyle w:val="2Char"/>
          <w:rFonts w:ascii="方正黑体简体" w:eastAsia="方正黑体简体" w:cs="方正黑体简体" w:hAnsi="方正黑体简体" w:hint="eastAsia"/>
          <w:b w:val="0"/>
          <w:bCs w:val="0"/>
          <w:sz w:val="32"/>
          <w:szCs w:val="32"/>
        </w:rPr>
        <w:t>本职能及主要工作</w:t>
      </w:r>
      <w:bookmarkEnd w:id="10"/>
      <w:bookmarkEnd w:id="11"/>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sz w:val="32"/>
          <w:szCs w:val="32"/>
          <w:lang w:eastAsia="zh-CN"/>
        </w:rPr>
      </w:pPr>
      <w:bookmarkStart w:id="12" w:name="_Toc15378445"/>
      <w:bookmarkStart w:id="13" w:name="_Toc15377198"/>
      <w:r>
        <w:rPr>
          <w:rFonts w:ascii="方正楷体简体" w:eastAsia="方正楷体简体" w:cs="方正楷体简体" w:hAnsi="方正楷体简体" w:hint="eastAsia"/>
          <w:bCs/>
          <w:color w:val="000000"/>
          <w:sz w:val="32"/>
          <w:szCs w:val="32"/>
        </w:rPr>
        <w:t>（一）主要职能。</w:t>
      </w:r>
      <w:r>
        <w:rPr>
          <w:rFonts w:ascii="方正仿宋简体" w:eastAsia="方正仿宋简体" w:cs="方正仿宋简体" w:hAnsi="方正仿宋简体" w:hint="eastAsia"/>
          <w:sz w:val="32"/>
          <w:szCs w:val="32"/>
        </w:rPr>
        <w:t>为辖区内的居民身体健康提供医疗与预防保健服务。医疗、常见多发病护理、恢复期病人康复治疗预防保健、卫生技术人员培训、卫生监督与卫生信息管理。</w:t>
      </w:r>
      <w:bookmarkStart w:id="14" w:name="_Toc15377199"/>
      <w:bookmarkStart w:id="15" w:name="_Toc15378446"/>
      <w:bookmarkEnd w:id="12"/>
      <w:bookmarkEnd w:id="13"/>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楷体简体" w:eastAsia="方正楷体简体" w:cs="方正楷体简体" w:hAnsi="方正楷体简体" w:hint="eastAsia"/>
          <w:bCs/>
          <w:color w:val="000000"/>
          <w:sz w:val="32"/>
          <w:szCs w:val="32"/>
        </w:rPr>
      </w:pPr>
      <w:r>
        <w:rPr>
          <w:rFonts w:ascii="方正楷体简体" w:eastAsia="方正楷体简体" w:cs="方正楷体简体" w:hAnsi="方正楷体简体" w:hint="eastAsia"/>
          <w:bCs/>
          <w:color w:val="000000"/>
          <w:sz w:val="32"/>
          <w:szCs w:val="32"/>
        </w:rPr>
        <w:t>（二）2020年重点工作完成情况。</w:t>
      </w:r>
      <w:bookmarkEnd w:id="14"/>
      <w:bookmarkEnd w:id="15"/>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1.</w:t>
      </w:r>
      <w:r>
        <w:rPr>
          <w:rFonts w:ascii="方正仿宋简体" w:eastAsia="方正仿宋简体" w:cs="方正仿宋简体" w:hAnsi="方正仿宋简体" w:hint="eastAsia"/>
          <w:bCs/>
          <w:color w:val="000000"/>
          <w:sz w:val="32"/>
          <w:szCs w:val="32"/>
        </w:rPr>
        <w:t>强化党的领导，引领医院全面发展。</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2020年雪峰社区卫生服务中心全面深入贯彻习近平新时代中国特色社会主义思想和党的十九大精神，全面落实党管意识形态原则，进一步加强和改进我院意识形态工作，明确意识形态工作责任，牢牢把握意识形态工作领导权和主动权，切实抓好医院意识形态工作。医院共有共产党员11名，党支部委员会在雪峰街道党工委及区卫健局党组的领导下，一是把政治思想建设放在首位，利用“三会一课”和各类会议，“学习强国”等学习活动，深入推进理论学习，促使党员牢固树立“四个意识”，坚决做到“两个维护”。今年集中学习讨论8次，理论业务测试1次，组织全体职工听党课两次；参加雪峰街道办事处及区卫健系统“党的十九届五中全会精神”宣讲团10人次，党员e家、“学习强国”分数名列雪峰街道办事处第一名，区卫健系统前三名。二是加强党风廉政建设工作，坚持从细微处、从问题萌芽处抓行业系统治理及作风纪律建设，加强内部督查并从严惩处。先后实施院内通报批评1人，调整岗位1人，绩效考核13人，处罚金12580元人民币。三是积极发展党员，两名预备党员，今年以优异成绩转为合格的正式党员，发展了三名入党积极分子，党组织队伍日益强大。四是创新党建工作思路，医院采用“党员共建结对”“党员积分考评制”“党员测评”，管理党员，教育党员，影响和带动各科室，党员中一名成为省级拔尖人才，两名市级技能大赛一等奖，一名先进共产党员，全面形成党员“头雁效应”。积极响应上级党委关于开展意识形态工作的培训学习和开展形式多样的义诊宣传活动。</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全年微信、QQ、LED显示屏、宣传栏、横幅等宣传标语、资料做到全面审核，宣传播放正常。</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2.</w:t>
      </w:r>
      <w:r>
        <w:rPr>
          <w:rFonts w:ascii="方正仿宋简体" w:eastAsia="方正仿宋简体" w:cs="方正仿宋简体" w:hAnsi="方正仿宋简体" w:hint="eastAsia"/>
          <w:bCs/>
          <w:color w:val="000000"/>
          <w:sz w:val="32"/>
          <w:szCs w:val="32"/>
        </w:rPr>
        <w:t>强化学科建设，促进医院服务提能</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医院在“以人民为中心”的发展理念下，今年我院以医疗、基本公共卫生服务项目、职业健康体检为发展的三驾马车，根据医学技术发展方向和各科室的实际情况，充分发挥市场的调节作用。一是全面推进“医防融合”。按照总书记的“健康中国战略”，全面提升公共卫生的服务能力，医院通过优化服务流程，培训人才队伍，利用全科医生团队将医疗与公卫全面融合起来，创建了两个“四川省家庭医生示范工作室”，两名医生取得了“四川省星级家庭医生培训”合格证，增加了27%的门诊就诊率，增强了辖区群众的满意度。二是发展优势专科。1、医院通过引进成都市的儿保专家成敏老师，联合中心医院的儿童医院建立了“儿童健康管理中心”“儿科专科联盟”，开设了儿童行为门诊、儿童身高门诊、儿童睡眠门诊、儿童早期教育等，培养了三名儿保专科医生，两名儿保专科护士，一名中级职称的儿科医生，儿科门诊量全年1万左右，增加了38%，签订儿童家庭医生有偿包300多个。2、打造产后康复中心，医院克服资金困难，购买了两台产后康复盆底肌，打造了120多平方米的产后康复中心，并选派一名医生在成都锦江妇幼保健院进修学习，已初步形成了妇女的产前、产中、产后的全生命周期的管理。3、继续强化中医康复科建设，在新冠肺炎疫情下，全面提升中医药能力建设，今年引进了一名中医执业医师，一名中医执业助理考取了执业医师。三是建立职业健康体检中心。为了加强利州区的职业病防治工作，按照广元市的统筹安排，我医院作为利州区的职业病健康体检定点医疗机构，今年从年初开始谋划，购买了相关的近300万的设施设备，培养了一名眼科医生，一名五官科医生，一名职业病诊断医生，引进了一名高级职称的诊断医生，一名高级职称的检验师，一名放射科诊断医生。目前已成功取得了资质。四是接受国家级全科住院医师规培实践基地的审核合格。五是免疫规划科取得了三星资质。</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3.</w:t>
      </w:r>
      <w:r>
        <w:rPr>
          <w:rFonts w:ascii="方正仿宋简体" w:eastAsia="方正仿宋简体" w:cs="方正仿宋简体" w:hAnsi="方正仿宋简体" w:hint="eastAsia"/>
          <w:bCs/>
          <w:color w:val="000000"/>
          <w:sz w:val="32"/>
          <w:szCs w:val="32"/>
        </w:rPr>
        <w:t>强化疫情防控，筑牢健康防卫</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新冠疫情发生以来，医院严格落实国家、省、市、区卫健局的工作部署，快速响应，一是成立了以中心主任任组长的新冠疫情防控领导小组，制定了雪峰社区卫生服务中心疫情防控工作方案，成立了疫情防控办公室，设置了医疗组、护理组、感染控制组、后勤物资保障组、宣教组等工作小组。建成了以共产党员为主体的应急梯队。领导小组每两周进行一次专题会议，讨论安排部署防控工作。二是组织全院职工认真学习了新冠诊疗方案、防控方案，医务人员、村医、物业人员及社区网格员进行了多次防控知识培训，就七步洗手法、戴口罩、穿脱隔离衣等防控知识和操作，进行了10次的培训，其中对重点部门发热门诊、预检分诊、入户排查人员进行了一对一培训和考核，做到“培训全覆盖，人人必过关”，在全院进行了疫情防控演练2次，10人培训了核酸取样。三是严格督导检查，全面排查感染隐患。医院督导检查组，不定期的到各科室进行督导检查，特别是重点岗位的工作人员的自我防护、履职情况、劳动纪律、信息报送等事项进行检查，发现问题及时解决，促进了防护工作的落实。四是服从政府统一安排，派出了近300人次，分别在火车站、高速路口等卡口坚守。五是做好居家隔离人员的管控，共管理523人次，转运病人50人次。六是为外出务工返岗农民工做好健康服务，办理外出务工返岗健康证明手续，共办理7284人。同时到辖区复工复产企业进行健康宣教培训、指导防护消杀、员工的健康随访等防控工作。七是做好健康教育工作，共发放宣传单近万份。八是完善了预检分诊流程再造，发热哨点的规范化改造。九是严格落实了各项制度。</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8" w:firstLine="669"/>
        <w:textAlignment w:val="auto"/>
        <w:outlineLvl w:val="2"/>
        <w:rPr>
          <w:rFonts w:ascii="方正仿宋简体" w:eastAsia="方正仿宋简体" w:cs="方正仿宋简体" w:hAnsi="方正仿宋简体" w:hint="eastAsia"/>
          <w:bCs/>
          <w:color w:val="000000"/>
          <w:sz w:val="32"/>
          <w:szCs w:val="32"/>
          <w:lang w:eastAsia="zh-CN"/>
        </w:rPr>
      </w:pPr>
    </w:p>
    <w:p>
      <w:pPr>
        <w:pStyle w:val="2"/>
        <w:keepNext/>
        <w:keepLines/>
        <w:pageBreakBefore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bookmarkStart w:id="16" w:name="_Toc15377200"/>
      <w:bookmarkStart w:id="17" w:name="_Toc15396601"/>
      <w:r>
        <w:rPr>
          <w:rFonts w:ascii="方正黑体简体" w:eastAsia="方正黑体简体" w:cs="方正黑体简体" w:hAnsi="方正黑体简体" w:hint="eastAsia"/>
          <w:b w:val="0"/>
          <w:color w:val="000000"/>
          <w:sz w:val="32"/>
          <w:szCs w:val="32"/>
        </w:rPr>
        <w:t>二、机构设置</w:t>
      </w:r>
      <w:bookmarkEnd w:id="16"/>
      <w:bookmarkEnd w:id="1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社区卫生服务中心无下属二级单位</w:t>
      </w:r>
      <w:r>
        <w:rPr>
          <w:rFonts w:ascii="方正仿宋简体" w:eastAsia="方正仿宋简体" w:cs="方正仿宋简体" w:hAnsi="方正仿宋简体" w:hint="eastAsia"/>
          <w:sz w:val="32"/>
          <w:szCs w:val="32"/>
          <w:lang w:eastAsia="zh-CN"/>
        </w:rPr>
        <w:t>。</w:t>
      </w:r>
    </w:p>
    <w:p>
      <w:pPr>
        <w:pStyle w:val="17"/>
        <w:pageBreakBefore w:val="0"/>
        <w:widowControl w:val="0"/>
        <w:kinsoku/>
        <w:wordWrap/>
        <w:overflowPunct/>
        <w:topLinePunct w:val="0"/>
        <w:autoSpaceDE/>
        <w:autoSpaceDN/>
        <w:bidi w:val="0"/>
        <w:adjustRightInd w:val="0"/>
        <w:snapToGrid w:val="0"/>
        <w:spacing w:beforeLines="0" w:before="30" w:line="576" w:lineRule="exact"/>
        <w:ind w:righ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纳入广元市利州区</w:t>
      </w:r>
      <w:r>
        <w:rPr>
          <w:rFonts w:ascii="方正仿宋简体" w:eastAsia="方正仿宋简体" w:cs="方正仿宋简体" w:hAnsi="方正仿宋简体" w:hint="eastAsia"/>
          <w:color w:val="000000"/>
          <w:sz w:val="32"/>
          <w:szCs w:val="32"/>
          <w:lang w:eastAsia="zh-CN"/>
        </w:rPr>
        <w:t>雪峰</w:t>
      </w:r>
      <w:r>
        <w:rPr>
          <w:rFonts w:ascii="方正仿宋简体" w:eastAsia="方正仿宋简体" w:cs="方正仿宋简体" w:hAnsi="方正仿宋简体" w:hint="eastAsia"/>
          <w:color w:val="000000"/>
          <w:sz w:val="32"/>
          <w:szCs w:val="32"/>
        </w:rPr>
        <w:t>社区卫生服务中心2020年度部门决算编制范围的二级预算单位</w:t>
      </w:r>
      <w:r>
        <w:rPr>
          <w:rFonts w:ascii="方正仿宋简体" w:eastAsia="方正仿宋简体" w:cs="方正仿宋简体" w:hAnsi="方正仿宋简体" w:hint="eastAsia"/>
          <w:color w:val="000000"/>
          <w:sz w:val="32"/>
          <w:szCs w:val="32"/>
          <w:lang w:eastAsia="zh-CN"/>
        </w:rPr>
        <w:t>：无。</w:t>
      </w:r>
    </w:p>
    <w:p>
      <w:pPr>
        <w:pStyle w:val="1"/>
        <w:keepNext/>
        <w:keepLines/>
        <w:pageBreakBefore w:val="0"/>
        <w:kinsoku/>
        <w:wordWrap/>
        <w:overflowPunct/>
        <w:topLinePunct w:val="0"/>
        <w:autoSpaceDE/>
        <w:autoSpaceDN/>
        <w:bidi w:val="0"/>
        <w:spacing w:before="0" w:after="0" w:line="576" w:lineRule="exact"/>
        <w:ind w:left="0" w:right="0"/>
        <w:jc w:val="right"/>
        <w:textAlignment w:val="auto"/>
        <w:rPr>
          <w:rFonts w:ascii="方正仿宋简体" w:eastAsia="方正仿宋简体" w:cs="方正仿宋简体" w:hAnsi="方正仿宋简体" w:hint="eastAsia"/>
          <w:b w:val="0"/>
          <w:color w:val="000000"/>
          <w:sz w:val="32"/>
          <w:szCs w:val="32"/>
        </w:rPr>
      </w:pPr>
      <w:bookmarkStart w:id="18" w:name="_Toc15377204"/>
      <w:bookmarkStart w:id="19" w:name="_Toc15396602"/>
    </w:p>
    <w:p>
      <w:pPr>
        <w:pStyle w:val="1"/>
        <w:keepNext/>
        <w:keepLines/>
        <w:pageBreakBefore w:val="0"/>
        <w:kinsoku/>
        <w:wordWrap/>
        <w:overflowPunct/>
        <w:topLinePunct w:val="0"/>
        <w:autoSpaceDE/>
        <w:autoSpaceDN/>
        <w:bidi w:val="0"/>
        <w:spacing w:before="0" w:after="0" w:line="576" w:lineRule="exact"/>
        <w:ind w:left="0" w:right="0"/>
        <w:jc w:val="both"/>
        <w:textAlignment w:val="auto"/>
        <w:rPr>
          <w:rFonts w:ascii="方正仿宋简体" w:eastAsia="方正仿宋简体" w:cs="方正仿宋简体" w:hAnsi="方正仿宋简体" w:hint="eastAsia"/>
          <w:b w:val="0"/>
          <w:color w:val="000000"/>
          <w:sz w:val="32"/>
          <w:szCs w:val="32"/>
        </w:rPr>
      </w:pPr>
    </w:p>
    <w:p>
      <w:pPr>
        <w:pStyle w:val="1"/>
        <w:keepNext/>
        <w:keepLines/>
        <w:pageBreakBefore w:val="0"/>
        <w:kinsoku/>
        <w:wordWrap/>
        <w:overflowPunct/>
        <w:topLinePunct w:val="0"/>
        <w:autoSpaceDE/>
        <w:autoSpaceDN/>
        <w:bidi w:val="0"/>
        <w:spacing w:before="0" w:after="0" w:line="576" w:lineRule="exact"/>
        <w:ind w:left="0" w:right="0"/>
        <w:jc w:val="right"/>
        <w:textAlignment w:val="auto"/>
        <w:rPr>
          <w:rFonts w:ascii="方正仿宋简体" w:eastAsia="方正仿宋简体" w:cs="方正仿宋简体" w:hAnsi="方正仿宋简体" w:hint="eastAsia"/>
          <w:b w:val="0"/>
          <w:color w:val="000000"/>
          <w:sz w:val="32"/>
          <w:szCs w:val="32"/>
        </w:rPr>
      </w:pPr>
    </w:p>
    <w:p>
      <w:pPr>
        <w:pStyle w:val="1"/>
        <w:keepNext/>
        <w:keepLines/>
        <w:pageBreakBefore w:val="0"/>
        <w:kinsoku/>
        <w:wordWrap/>
        <w:overflowPunct/>
        <w:topLinePunct w:val="0"/>
        <w:autoSpaceDE/>
        <w:autoSpaceDN/>
        <w:bidi w:val="0"/>
        <w:spacing w:before="0" w:after="0" w:line="576" w:lineRule="exact"/>
        <w:ind w:left="0" w:right="0"/>
        <w:jc w:val="both"/>
        <w:textAlignment w:val="auto"/>
        <w:rPr>
          <w:rFonts w:ascii="方正仿宋简体" w:eastAsia="方正仿宋简体" w:cs="方正仿宋简体" w:hAnsi="方正仿宋简体" w:hint="eastAsia"/>
          <w:b w:val="0"/>
          <w:color w:val="000000"/>
          <w:sz w:val="32"/>
          <w:szCs w:val="32"/>
        </w:rPr>
      </w:pPr>
    </w:p>
    <w:p>
      <w:pPr>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
        <w:keepNext w:val="0"/>
        <w:keepLines w:val="0"/>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ascii="方正小标宋简体" w:eastAsia="方正小标宋简体" w:cs="方正小标宋简体" w:hAnsi="方正小标宋简体" w:hint="eastAsia"/>
          <w:b w:val="0"/>
          <w:sz w:val="48"/>
          <w:szCs w:val="48"/>
        </w:rPr>
      </w:pPr>
    </w:p>
    <w:p>
      <w:pPr>
        <w:rPr>
          <w:rFonts w:ascii="方正小标宋简体" w:eastAsia="方正小标宋简体" w:cs="方正小标宋简体" w:hAnsi="方正小标宋简体" w:hint="eastAsia"/>
          <w:b w:val="0"/>
          <w:sz w:val="48"/>
          <w:szCs w:val="48"/>
        </w:rPr>
      </w:pPr>
    </w:p>
    <w:p>
      <w:pPr>
        <w:pStyle w:val="16"/>
        <w:jc w:val="center"/>
        <w:rPr>
          <w:rFonts w:hint="eastAsia"/>
        </w:rPr>
      </w:pPr>
    </w:p>
    <w:p>
      <w:pPr>
        <w:pStyle w:val="1"/>
        <w:keepNext w:val="0"/>
        <w:keepLines w:val="0"/>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ascii="方正小标宋简体" w:eastAsia="方正小标宋简体" w:cs="方正小标宋简体" w:hAnsi="方正小标宋简体" w:hint="eastAsia"/>
          <w:b w:val="0"/>
          <w:sz w:val="48"/>
          <w:szCs w:val="48"/>
        </w:rPr>
      </w:pPr>
      <w:r>
        <w:rPr>
          <w:rFonts w:ascii="方正小标宋简体" w:eastAsia="方正小标宋简体" w:cs="方正小标宋简体" w:hAnsi="方正小标宋简体" w:hint="eastAsia"/>
          <w:b w:val="0"/>
          <w:sz w:val="48"/>
          <w:szCs w:val="48"/>
        </w:rPr>
        <w:t>第二部分 2020年度部门决算情况说明</w:t>
      </w:r>
      <w:bookmarkEnd w:id="18"/>
      <w:bookmarkEnd w:id="19"/>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bookmarkStart w:id="20" w:name="_Toc15377205"/>
      <w:bookmarkStart w:id="21" w:name="_Toc15396603"/>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r>
        <w:rPr>
          <w:rFonts w:ascii="方正黑体简体" w:eastAsia="方正黑体简体" w:cs="方正黑体简体" w:hAnsi="方正黑体简体" w:hint="eastAsia"/>
          <w:b w:val="0"/>
          <w:color w:val="000000"/>
          <w:sz w:val="32"/>
          <w:szCs w:val="32"/>
          <w:lang w:eastAsia="zh-CN"/>
        </w:rPr>
        <w:t>一、</w:t>
      </w:r>
      <w:r>
        <w:rPr>
          <w:rFonts w:ascii="方正黑体简体" w:eastAsia="方正黑体简体" w:cs="方正黑体简体" w:hAnsi="方正黑体简体" w:hint="eastAsia"/>
          <w:b w:val="0"/>
          <w:color w:val="000000"/>
          <w:sz w:val="32"/>
          <w:szCs w:val="32"/>
        </w:rPr>
        <w:t>收入支出决算总体情况说明</w:t>
      </w:r>
      <w:bookmarkEnd w:id="20"/>
      <w:bookmarkEnd w:id="21"/>
    </w:p>
    <w:p>
      <w:pPr>
        <w:pageBreakBefore w:val="0"/>
        <w:widowControl w:val="0"/>
        <w:kinsoku/>
        <w:wordWrap/>
        <w:overflowPunct/>
        <w:topLinePunct w:val="0"/>
        <w:autoSpaceDE/>
        <w:autoSpaceDN/>
        <w:bidi w:val="0"/>
        <w:spacing w:line="576" w:lineRule="exact"/>
        <w:ind w:left="0" w:righ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2020年度收入、支出总计分别是</w:t>
      </w:r>
      <w:r>
        <w:rPr>
          <w:rFonts w:ascii="方正仿宋简体" w:eastAsia="方正仿宋简体" w:cs="方正仿宋简体" w:hAnsi="方正仿宋简体" w:hint="eastAsia"/>
          <w:color w:val="000000"/>
          <w:sz w:val="32"/>
          <w:szCs w:val="32"/>
          <w:lang w:val="en-US" w:eastAsia="zh-CN"/>
        </w:rPr>
        <w:t>2071.43</w:t>
      </w:r>
      <w:r>
        <w:rPr>
          <w:rFonts w:ascii="方正仿宋简体" w:eastAsia="方正仿宋简体" w:cs="方正仿宋简体" w:hAnsi="方正仿宋简体" w:hint="eastAsia"/>
          <w:color w:val="000000"/>
          <w:sz w:val="32"/>
          <w:szCs w:val="32"/>
        </w:rPr>
        <w:t>万元、</w:t>
      </w:r>
      <w:r>
        <w:rPr>
          <w:rFonts w:ascii="方正仿宋简体" w:eastAsia="方正仿宋简体" w:cs="方正仿宋简体" w:hAnsi="方正仿宋简体" w:hint="eastAsia"/>
          <w:color w:val="000000"/>
          <w:sz w:val="32"/>
          <w:szCs w:val="32"/>
          <w:lang w:val="en-US" w:eastAsia="zh-CN"/>
        </w:rPr>
        <w:t>1961.12</w:t>
      </w:r>
      <w:r>
        <w:rPr>
          <w:rFonts w:ascii="方正仿宋简体" w:eastAsia="方正仿宋简体" w:cs="方正仿宋简体" w:hAnsi="方正仿宋简体" w:hint="eastAsia"/>
          <w:color w:val="000000"/>
          <w:sz w:val="32"/>
          <w:szCs w:val="32"/>
        </w:rPr>
        <w:t>万元。与2019年（</w:t>
      </w:r>
      <w:r>
        <w:rPr>
          <w:rFonts w:ascii="方正仿宋简体" w:eastAsia="方正仿宋简体" w:cs="方正仿宋简体" w:hAnsi="方正仿宋简体" w:hint="eastAsia"/>
          <w:color w:val="000000"/>
          <w:sz w:val="32"/>
          <w:szCs w:val="32"/>
          <w:lang w:eastAsia="zh-CN"/>
        </w:rPr>
        <w:t>收入</w:t>
      </w:r>
      <w:r>
        <w:rPr>
          <w:rFonts w:ascii="方正仿宋简体" w:eastAsia="方正仿宋简体" w:cs="方正仿宋简体" w:hAnsi="方正仿宋简体" w:hint="eastAsia"/>
          <w:color w:val="000000"/>
          <w:sz w:val="32"/>
          <w:szCs w:val="32"/>
          <w:lang w:val="en-US" w:eastAsia="zh-CN"/>
        </w:rPr>
        <w:t>1727.58</w:t>
      </w:r>
      <w:r>
        <w:rPr>
          <w:rFonts w:ascii="方正仿宋简体" w:eastAsia="方正仿宋简体" w:cs="方正仿宋简体" w:hAnsi="方正仿宋简体" w:hint="eastAsia"/>
          <w:color w:val="000000"/>
          <w:sz w:val="32"/>
          <w:szCs w:val="32"/>
        </w:rPr>
        <w:t>万元、</w:t>
      </w:r>
      <w:r>
        <w:rPr>
          <w:rFonts w:ascii="方正仿宋简体" w:eastAsia="方正仿宋简体" w:cs="方正仿宋简体" w:hAnsi="方正仿宋简体" w:hint="eastAsia"/>
          <w:color w:val="000000"/>
          <w:sz w:val="32"/>
          <w:szCs w:val="32"/>
          <w:lang w:eastAsia="zh-CN"/>
        </w:rPr>
        <w:t>支出</w:t>
      </w:r>
      <w:r>
        <w:rPr>
          <w:rFonts w:ascii="方正仿宋简体" w:eastAsia="方正仿宋简体" w:cs="方正仿宋简体" w:hAnsi="方正仿宋简体" w:hint="eastAsia"/>
          <w:color w:val="000000"/>
          <w:sz w:val="32"/>
          <w:szCs w:val="32"/>
          <w:lang w:val="en-US" w:eastAsia="zh-CN"/>
        </w:rPr>
        <w:t>1516.59</w:t>
      </w:r>
      <w:r>
        <w:rPr>
          <w:rFonts w:ascii="方正仿宋简体" w:eastAsia="方正仿宋简体" w:cs="方正仿宋简体" w:hAnsi="方正仿宋简体" w:hint="eastAsia"/>
          <w:color w:val="000000"/>
          <w:sz w:val="32"/>
          <w:szCs w:val="32"/>
        </w:rPr>
        <w:t>万元）相比，收入增加</w:t>
      </w:r>
      <w:r>
        <w:rPr>
          <w:rFonts w:ascii="方正仿宋简体" w:eastAsia="方正仿宋简体" w:cs="方正仿宋简体" w:hAnsi="方正仿宋简体" w:hint="eastAsia"/>
          <w:color w:val="000000"/>
          <w:sz w:val="32"/>
          <w:szCs w:val="32"/>
          <w:lang w:val="en-US" w:eastAsia="zh-CN"/>
        </w:rPr>
        <w:t>343.85</w:t>
      </w:r>
      <w:r>
        <w:rPr>
          <w:rFonts w:ascii="方正仿宋简体" w:eastAsia="方正仿宋简体" w:cs="方正仿宋简体" w:hAnsi="方正仿宋简体" w:hint="eastAsia"/>
          <w:color w:val="000000"/>
          <w:sz w:val="32"/>
          <w:szCs w:val="32"/>
        </w:rPr>
        <w:t>万元，增长</w:t>
      </w:r>
      <w:r>
        <w:rPr>
          <w:rFonts w:ascii="方正仿宋简体" w:eastAsia="方正仿宋简体" w:cs="方正仿宋简体" w:hAnsi="方正仿宋简体" w:hint="eastAsia"/>
          <w:color w:val="000000"/>
          <w:sz w:val="32"/>
          <w:szCs w:val="32"/>
          <w:lang w:val="en-US" w:eastAsia="zh-CN"/>
        </w:rPr>
        <w:t>19.90</w:t>
      </w:r>
      <w:r>
        <w:rPr>
          <w:rFonts w:ascii="方正仿宋简体" w:eastAsia="方正仿宋简体" w:cs="方正仿宋简体" w:hAnsi="方正仿宋简体" w:hint="eastAsia"/>
          <w:color w:val="000000"/>
          <w:sz w:val="32"/>
          <w:szCs w:val="32"/>
        </w:rPr>
        <w:t>%，支出增加</w:t>
      </w:r>
      <w:r>
        <w:rPr>
          <w:rFonts w:ascii="方正仿宋简体" w:eastAsia="方正仿宋简体" w:cs="方正仿宋简体" w:hAnsi="方正仿宋简体" w:hint="eastAsia"/>
          <w:color w:val="000000"/>
          <w:sz w:val="32"/>
          <w:szCs w:val="32"/>
          <w:lang w:val="en-US" w:eastAsia="zh-CN"/>
        </w:rPr>
        <w:t>444.53</w:t>
      </w:r>
      <w:r>
        <w:rPr>
          <w:rFonts w:ascii="方正仿宋简体" w:eastAsia="方正仿宋简体" w:cs="方正仿宋简体" w:hAnsi="方正仿宋简体" w:hint="eastAsia"/>
          <w:color w:val="000000"/>
          <w:sz w:val="32"/>
          <w:szCs w:val="32"/>
        </w:rPr>
        <w:t>万元，增长</w:t>
      </w:r>
      <w:r>
        <w:rPr>
          <w:rFonts w:ascii="方正仿宋简体" w:eastAsia="方正仿宋简体" w:cs="方正仿宋简体" w:hAnsi="方正仿宋简体" w:hint="eastAsia"/>
          <w:color w:val="000000"/>
          <w:sz w:val="32"/>
          <w:szCs w:val="32"/>
          <w:lang w:val="en-US" w:eastAsia="zh-CN"/>
        </w:rPr>
        <w:t>29.31</w:t>
      </w:r>
      <w:r>
        <w:rPr>
          <w:rFonts w:ascii="方正仿宋简体" w:eastAsia="方正仿宋简体" w:cs="方正仿宋简体" w:hAnsi="方正仿宋简体" w:hint="eastAsia"/>
          <w:color w:val="000000"/>
          <w:sz w:val="32"/>
          <w:szCs w:val="32"/>
        </w:rPr>
        <w:t>%，主要增长原因是因</w:t>
      </w:r>
      <w:r>
        <w:rPr>
          <w:rFonts w:ascii="方正仿宋简体" w:eastAsia="方正仿宋简体" w:cs="方正仿宋简体" w:hAnsi="方正仿宋简体" w:hint="eastAsia"/>
          <w:color w:val="000000"/>
          <w:sz w:val="32"/>
          <w:szCs w:val="32"/>
          <w:lang w:eastAsia="zh-CN"/>
        </w:rPr>
        <w:t>医疗业务</w:t>
      </w:r>
      <w:r>
        <w:rPr>
          <w:rFonts w:ascii="方正仿宋简体" w:eastAsia="方正仿宋简体" w:cs="方正仿宋简体" w:hAnsi="方正仿宋简体" w:hint="eastAsia"/>
          <w:color w:val="000000"/>
          <w:sz w:val="32"/>
          <w:szCs w:val="32"/>
        </w:rPr>
        <w:t>收入增加。</w:t>
      </w:r>
    </w:p>
    <w:p>
      <w:pPr>
        <w:spacing w:line="240" w:lineRule="auto"/>
        <w:ind w:firstLineChars="200" w:firstLine="420"/>
        <w:rPr>
          <w:rFonts w:ascii="仿宋" w:eastAsia="仿宋" w:hAnsi="仿宋" w:hint="eastAsia"/>
          <w:color w:val="000000"/>
          <w:sz w:val="32"/>
          <w:szCs w:val="32"/>
          <w:lang w:eastAsia="zh-CN"/>
        </w:rPr>
      </w:pPr>
      <w:r>
        <w:drawing>
          <wp:anchor distT="0" distB="0" distL="114935" distR="114935" simplePos="0" relativeHeight="26" behindDoc="0" locked="0" layoutInCell="1" hidden="0" allowOverlap="1">
            <wp:simplePos x="0" y="0"/>
            <wp:positionH relativeFrom="column">
              <wp:posOffset>181610</wp:posOffset>
            </wp:positionH>
            <wp:positionV relativeFrom="paragraph">
              <wp:posOffset>2694305</wp:posOffset>
            </wp:positionV>
            <wp:extent cx="4912360" cy="2871470"/>
            <wp:effectExtent l="0" t="0" r="2540" b="5080"/>
            <wp:wrapNone/>
            <wp:docPr id="35" name="图片 5"/>
            <wp:cNvGraphicFramePr>
              <a:graphicFrameLocks noChangeAspect="1"/>
            </wp:cNvGraphicFramePr>
            <a:graphic>
              <a:graphicData uri="http://schemas.openxmlformats.org/drawingml/2006/picture">
                <pic:pic>
                  <pic:nvPicPr>
                    <pic:cNvPr id="6" name="图片 5 6"/>
                    <pic:cNvPicPr/>
                  </pic:nvPicPr>
                  <pic:blipFill>
                    <a:blip r:embed="rId6"/>
                    <a:stretch>
                      <a:fillRect/>
                    </a:stretch>
                  </pic:blipFill>
                  <pic:spPr>
                    <a:xfrm rot="0">
                      <a:off x="0" y="0"/>
                      <a:ext cx="4912360" cy="2871470"/>
                    </a:xfrm>
                    <a:prstGeom prst="rect"/>
                    <a:noFill/>
                    <a:ln cmpd="sng" cap="flat">
                      <a:noFill/>
                      <a:prstDash val="solid"/>
                      <a:round/>
                    </a:ln>
                  </pic:spPr>
                </pic:pic>
              </a:graphicData>
            </a:graphic>
          </wp:anchor>
        </w:drawing>
      </w:r>
      <w:r>
        <w:drawing>
          <wp:inline distT="0" distB="0" distL="114300" distR="114300">
            <wp:extent cx="4886959" cy="2580640"/>
            <wp:effectExtent l="0" t="0" r="8889" b="10160"/>
            <wp:docPr id="36" name="图片 4"/>
            <wp:cNvGraphicFramePr>
              <a:graphicFrameLocks noChangeAspect="1"/>
            </wp:cNvGraphicFramePr>
            <a:graphic>
              <a:graphicData uri="http://schemas.openxmlformats.org/drawingml/2006/picture">
                <pic:pic>
                  <pic:nvPicPr>
                    <pic:cNvPr id="8" name="图片 4 8"/>
                    <pic:cNvPicPr/>
                  </pic:nvPicPr>
                  <pic:blipFill>
                    <a:blip r:embed="rId7"/>
                    <a:stretch>
                      <a:fillRect/>
                    </a:stretch>
                  </pic:blipFill>
                  <pic:spPr>
                    <a:xfrm rot="0">
                      <a:off x="0" y="0"/>
                      <a:ext cx="4886959" cy="2580640"/>
                    </a:xfrm>
                    <a:prstGeom prst="rect"/>
                    <a:noFill/>
                    <a:ln cmpd="sng" cap="flat">
                      <a:noFill/>
                      <a:prstDash val="solid"/>
                      <a:round/>
                    </a:ln>
                  </pic:spPr>
                </pic:pic>
              </a:graphicData>
            </a:graphic>
          </wp:inline>
        </w:drawing>
      </w: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lang w:eastAsia="zh-CN"/>
        </w:rPr>
      </w:pPr>
    </w:p>
    <w:p>
      <w:pPr>
        <w:spacing w:line="240" w:lineRule="auto"/>
        <w:ind w:firstLine="0"/>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（图1：收、支决算总计变动情况图）（柱状图）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2" w:name="_Toc15396604"/>
      <w:bookmarkStart w:id="23" w:name="_Toc15377206"/>
      <w:r>
        <w:rPr>
          <w:rFonts w:ascii="方正黑体简体" w:eastAsia="方正黑体简体" w:cs="方正黑体简体" w:hAnsi="方正黑体简体" w:hint="eastAsia"/>
          <w:b w:val="0"/>
          <w:color w:val="000000"/>
          <w:sz w:val="32"/>
          <w:szCs w:val="32"/>
          <w:lang w:eastAsia="zh-CN"/>
        </w:rPr>
        <w:t>二、收入决算情况说明</w:t>
      </w:r>
      <w:bookmarkEnd w:id="22"/>
      <w:bookmarkEnd w:id="2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2020年本年收入合计</w:t>
      </w:r>
      <w:r>
        <w:rPr>
          <w:rFonts w:ascii="方正仿宋简体" w:eastAsia="方正仿宋简体" w:cs="方正仿宋简体" w:hAnsi="方正仿宋简体" w:hint="eastAsia"/>
          <w:sz w:val="32"/>
          <w:szCs w:val="32"/>
          <w:lang w:val="en-US" w:eastAsia="zh-CN"/>
        </w:rPr>
        <w:t>2071.43</w:t>
      </w:r>
      <w:r>
        <w:rPr>
          <w:rFonts w:ascii="方正仿宋简体" w:eastAsia="方正仿宋简体" w:cs="方正仿宋简体" w:hAnsi="方正仿宋简体" w:hint="eastAsia"/>
          <w:sz w:val="32"/>
          <w:szCs w:val="32"/>
        </w:rPr>
        <w:t>万元，其中：一般公共预算财政拨款收入</w:t>
      </w:r>
      <w:r>
        <w:rPr>
          <w:rFonts w:ascii="方正仿宋简体" w:eastAsia="方正仿宋简体" w:cs="方正仿宋简体" w:hAnsi="方正仿宋简体" w:hint="eastAsia"/>
          <w:sz w:val="32"/>
          <w:szCs w:val="32"/>
          <w:lang w:val="en-US" w:eastAsia="zh-CN"/>
        </w:rPr>
        <w:t>637.36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30.77</w:t>
      </w:r>
      <w:r>
        <w:rPr>
          <w:rFonts w:ascii="方正仿宋简体" w:eastAsia="方正仿宋简体" w:cs="方正仿宋简体" w:hAnsi="方正仿宋简体" w:hint="eastAsia"/>
          <w:sz w:val="32"/>
          <w:szCs w:val="32"/>
        </w:rPr>
        <w:t>%；政府性基金预算财政拨款收入</w:t>
      </w:r>
      <w:r>
        <w:rPr>
          <w:rFonts w:ascii="方正仿宋简体" w:eastAsia="方正仿宋简体" w:cs="方正仿宋简体" w:hAnsi="方正仿宋简体" w:hint="eastAsia"/>
          <w:sz w:val="32"/>
          <w:szCs w:val="32"/>
          <w:lang w:val="en-US" w:eastAsia="zh-CN"/>
        </w:rPr>
        <w:t>230.28</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11.12</w:t>
      </w:r>
      <w:r>
        <w:rPr>
          <w:rFonts w:ascii="方正仿宋简体" w:eastAsia="方正仿宋简体" w:cs="方正仿宋简体" w:hAnsi="方正仿宋简体" w:hint="eastAsia"/>
          <w:sz w:val="32"/>
          <w:szCs w:val="32"/>
        </w:rPr>
        <w:t>%；上级补助收入0万元，占0%；事业收入</w:t>
      </w:r>
      <w:r>
        <w:rPr>
          <w:rFonts w:ascii="方正仿宋简体" w:eastAsia="方正仿宋简体" w:cs="方正仿宋简体" w:hAnsi="方正仿宋简体" w:hint="eastAsia"/>
          <w:sz w:val="32"/>
          <w:szCs w:val="32"/>
          <w:lang w:val="en-US" w:eastAsia="zh-CN"/>
        </w:rPr>
        <w:t>1203.79</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58.11</w:t>
      </w:r>
      <w:r>
        <w:rPr>
          <w:rFonts w:ascii="方正仿宋简体" w:eastAsia="方正仿宋简体" w:cs="方正仿宋简体" w:hAnsi="方正仿宋简体" w:hint="eastAsia"/>
          <w:sz w:val="32"/>
          <w:szCs w:val="32"/>
        </w:rPr>
        <w:t>%；经营收入0万元，占0%；附属单位上缴收入0万元，占0%；其他收入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w:t>
      </w:r>
    </w:p>
    <w:p>
      <w:pPr>
        <w:spacing w:line="600" w:lineRule="exact"/>
        <w:rPr>
          <w:rFonts w:ascii="仿宋" w:eastAsia="仿宋" w:hAnsi="仿宋" w:hint="eastAsia"/>
          <w:b/>
          <w:color w:val="FF0000"/>
          <w:sz w:val="32"/>
          <w:szCs w:val="32"/>
          <w:lang w:eastAsia="zh-CN"/>
        </w:rPr>
      </w:pPr>
      <w:r>
        <w:rPr>
          <w:rFonts w:ascii="仿宋" w:eastAsia="仿宋" w:hAnsi="仿宋" w:hint="eastAsia"/>
          <w:color w:val="000000"/>
          <w:sz w:val="32"/>
          <w:szCs w:val="32"/>
          <w:lang w:eastAsia="zh-CN"/>
        </w:rPr>
        <w:drawing>
          <wp:anchor distT="0" distB="0" distL="114935" distR="114935" simplePos="0" relativeHeight="30" behindDoc="0" locked="0" layoutInCell="1" hidden="0" allowOverlap="1">
            <wp:simplePos x="0" y="0"/>
            <wp:positionH relativeFrom="column">
              <wp:posOffset>94615</wp:posOffset>
            </wp:positionH>
            <wp:positionV relativeFrom="paragraph">
              <wp:posOffset>67944</wp:posOffset>
            </wp:positionV>
            <wp:extent cx="4920615" cy="3583940"/>
            <wp:effectExtent l="4444" t="4444" r="8889" b="12064"/>
            <wp:wrapNone/>
            <wp:docPr id="25" name="图表 25"/>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（图2：收入决算结构图）（饼状图）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4" w:name="_Toc15396605"/>
      <w:bookmarkStart w:id="25" w:name="_Toc15377207"/>
      <w:r>
        <w:rPr>
          <w:rFonts w:ascii="方正黑体简体" w:eastAsia="方正黑体简体" w:cs="方正黑体简体" w:hAnsi="方正黑体简体" w:hint="eastAsia"/>
          <w:b w:val="0"/>
          <w:color w:val="000000"/>
          <w:sz w:val="32"/>
          <w:szCs w:val="32"/>
          <w:lang w:eastAsia="zh-CN"/>
        </w:rPr>
        <w:t>三、支出决算情况说明</w:t>
      </w:r>
      <w:bookmarkEnd w:id="24"/>
      <w:bookmarkEnd w:id="25"/>
    </w:p>
    <w:p>
      <w:pPr>
        <w:pageBreakBefore w:val="0"/>
        <w:widowControl w:val="0"/>
        <w:kinsoku/>
        <w:wordWrap/>
        <w:overflowPunct/>
        <w:topLinePunct w:val="0"/>
        <w:autoSpaceDE/>
        <w:autoSpaceDN/>
        <w:bidi w:val="0"/>
        <w:spacing w:line="576" w:lineRule="exact"/>
        <w:ind w:right="0" w:firstLineChars="200" w:firstLine="640"/>
        <w:textAlignment w:val="auto"/>
        <w:rPr>
          <w:rFonts w:ascii="仿宋" w:eastAsia="仿宋" w:hAnsi="仿宋" w:hint="eastAsia"/>
          <w:color w:val="000000"/>
          <w:sz w:val="32"/>
          <w:szCs w:val="32"/>
          <w:lang w:eastAsia="zh-CN"/>
        </w:rPr>
      </w:pPr>
      <w:r>
        <w:rPr>
          <w:rFonts w:ascii="方正仿宋简体" w:eastAsia="方正仿宋简体" w:cs="方正仿宋简体" w:hAnsi="方正仿宋简体" w:hint="eastAsia"/>
          <w:sz w:val="32"/>
          <w:szCs w:val="32"/>
        </w:rPr>
        <w:t>2020年本年支出合计</w:t>
      </w:r>
      <w:r>
        <w:rPr>
          <w:rFonts w:ascii="方正仿宋简体" w:eastAsia="方正仿宋简体" w:cs="方正仿宋简体" w:hAnsi="方正仿宋简体" w:hint="eastAsia"/>
          <w:sz w:val="32"/>
          <w:szCs w:val="32"/>
          <w:lang w:val="en-US" w:eastAsia="zh-CN"/>
        </w:rPr>
        <w:t>1961.12</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1468.66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74.89</w:t>
      </w:r>
      <w:r>
        <w:rPr>
          <w:rFonts w:ascii="方正仿宋简体" w:eastAsia="方正仿宋简体" w:cs="方正仿宋简体" w:hAnsi="方正仿宋简体" w:hint="eastAsia"/>
          <w:sz w:val="32"/>
          <w:szCs w:val="32"/>
        </w:rPr>
        <w:t>%；项目支出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25.11</w:t>
      </w:r>
      <w:r>
        <w:rPr>
          <w:rFonts w:ascii="方正仿宋简体" w:eastAsia="方正仿宋简体" w:cs="方正仿宋简体" w:hAnsi="方正仿宋简体" w:hint="eastAsia"/>
          <w:sz w:val="32"/>
          <w:szCs w:val="32"/>
        </w:rPr>
        <w:t>%；上缴上级支出0万元，占0%；经营支出0万元，占0%；对附属单位补助支出0万元，占0%。</w:t>
      </w:r>
    </w:p>
    <w:p>
      <w:pPr>
        <w:pStyle w:val="26"/>
        <w:rPr>
          <w:rFonts w:ascii="仿宋" w:eastAsia="仿宋" w:hAnsi="仿宋" w:hint="eastAsia"/>
          <w:color w:val="000000"/>
          <w:sz w:val="32"/>
          <w:szCs w:val="32"/>
        </w:rPr>
      </w:pPr>
      <w:r>
        <w:rPr>
          <w:rFonts w:ascii="仿宋" w:eastAsia="仿宋" w:hAnsi="仿宋" w:hint="eastAsia"/>
          <w:color w:val="000000"/>
          <w:sz w:val="32"/>
          <w:szCs w:val="32"/>
          <w:lang w:eastAsia="zh-CN"/>
        </w:rPr>
        <w:drawing>
          <wp:inline distT="0" distB="0" distL="114300" distR="114300">
            <wp:extent cx="4910454" cy="3345815"/>
            <wp:effectExtent l="4444" t="4444" r="19050" b="59688"/>
            <wp:docPr id="26" name="图表 26" descr="7b0a202020202263686172745265734964223a20223230343731313234220a7d0a"/>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（图3：支出决算结构图）（饼状图）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6" w:name="_Toc15396606"/>
      <w:bookmarkStart w:id="27" w:name="_Toc15377208"/>
      <w:r>
        <w:rPr>
          <w:rFonts w:ascii="方正黑体简体" w:eastAsia="方正黑体简体" w:cs="方正黑体简体" w:hAnsi="方正黑体简体" w:hint="eastAsia"/>
          <w:b w:val="0"/>
          <w:color w:val="000000"/>
          <w:sz w:val="32"/>
          <w:szCs w:val="32"/>
          <w:lang w:eastAsia="zh-CN"/>
        </w:rPr>
        <w:t>四、财政拨款收入支出决算总体情况说明</w:t>
      </w:r>
      <w:bookmarkEnd w:id="26"/>
      <w:bookmarkEnd w:id="27"/>
    </w:p>
    <w:p>
      <w:pPr>
        <w:spacing w:line="60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020年财政拨款收入、支出总计分别是</w:t>
      </w:r>
      <w:r>
        <w:rPr>
          <w:rFonts w:ascii="方正仿宋简体" w:eastAsia="方正仿宋简体" w:cs="方正仿宋简体" w:hAnsi="方正仿宋简体" w:hint="eastAsia"/>
          <w:sz w:val="32"/>
          <w:szCs w:val="32"/>
          <w:lang w:val="en-US" w:eastAsia="zh-CN"/>
        </w:rPr>
        <w:t>867.63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813.12</w:t>
      </w:r>
      <w:r>
        <w:rPr>
          <w:rFonts w:ascii="方正仿宋简体" w:eastAsia="方正仿宋简体" w:cs="方正仿宋简体" w:hAnsi="方正仿宋简体" w:hint="eastAsia"/>
          <w:sz w:val="32"/>
          <w:szCs w:val="32"/>
        </w:rPr>
        <w:t>万元。与2019年（</w:t>
      </w:r>
      <w:r>
        <w:rPr>
          <w:rFonts w:ascii="方正仿宋简体" w:eastAsia="方正仿宋简体" w:cs="方正仿宋简体" w:hAnsi="方正仿宋简体" w:hint="eastAsia"/>
          <w:sz w:val="32"/>
          <w:szCs w:val="32"/>
          <w:lang w:val="en-US" w:eastAsia="zh-CN"/>
        </w:rPr>
        <w:t>540.28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629.29</w:t>
      </w:r>
      <w:r>
        <w:rPr>
          <w:rFonts w:ascii="方正仿宋简体" w:eastAsia="方正仿宋简体" w:cs="方正仿宋简体" w:hAnsi="方正仿宋简体" w:hint="eastAsia"/>
          <w:sz w:val="32"/>
          <w:szCs w:val="32"/>
        </w:rPr>
        <w:t>万元）相比，财政拨款收、支总计各增加</w:t>
      </w:r>
      <w:r>
        <w:rPr>
          <w:rFonts w:ascii="方正仿宋简体" w:eastAsia="方正仿宋简体" w:cs="方正仿宋简体" w:hAnsi="方正仿宋简体" w:hint="eastAsia"/>
          <w:sz w:val="32"/>
          <w:szCs w:val="32"/>
          <w:lang w:val="en-US" w:eastAsia="zh-CN"/>
        </w:rPr>
        <w:t>327.35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183.83</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收入</w:t>
      </w:r>
      <w:r>
        <w:rPr>
          <w:rFonts w:ascii="方正仿宋简体" w:eastAsia="方正仿宋简体" w:cs="方正仿宋简体" w:hAnsi="方正仿宋简体" w:hint="eastAsia"/>
          <w:sz w:val="32"/>
          <w:szCs w:val="32"/>
        </w:rPr>
        <w:t>增长</w:t>
      </w:r>
      <w:r>
        <w:rPr>
          <w:rFonts w:ascii="方正仿宋简体" w:eastAsia="方正仿宋简体" w:cs="方正仿宋简体" w:hAnsi="方正仿宋简体" w:hint="eastAsia"/>
          <w:sz w:val="32"/>
          <w:szCs w:val="32"/>
          <w:lang w:val="en-US" w:eastAsia="zh-CN"/>
        </w:rPr>
        <w:t>60.59</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支出增长</w:t>
      </w:r>
      <w:r>
        <w:rPr>
          <w:rFonts w:ascii="方正仿宋简体" w:eastAsia="方正仿宋简体" w:cs="方正仿宋简体" w:hAnsi="方正仿宋简体" w:hint="eastAsia"/>
          <w:sz w:val="32"/>
          <w:szCs w:val="32"/>
          <w:lang w:val="en-US" w:eastAsia="zh-CN"/>
        </w:rPr>
        <w:t>29.21</w:t>
      </w:r>
      <w:r>
        <w:rPr>
          <w:rFonts w:ascii="方正仿宋简体" w:eastAsia="方正仿宋简体" w:cs="方正仿宋简体" w:hAnsi="方正仿宋简体" w:hint="eastAsia"/>
          <w:sz w:val="32"/>
          <w:szCs w:val="32"/>
        </w:rPr>
        <w:t>%。主要变动原因是人员经费、国债项目增加，所以收入支出增加。</w:t>
      </w: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drawing>
          <wp:anchor distT="0" distB="0" distL="114935" distR="114935" simplePos="0" relativeHeight="32" behindDoc="0" locked="0" layoutInCell="1" hidden="0" allowOverlap="1">
            <wp:simplePos x="0" y="0"/>
            <wp:positionH relativeFrom="column">
              <wp:posOffset>256540</wp:posOffset>
            </wp:positionH>
            <wp:positionV relativeFrom="paragraph">
              <wp:posOffset>-34290</wp:posOffset>
            </wp:positionV>
            <wp:extent cx="5216525" cy="3356610"/>
            <wp:effectExtent l="15875" t="15875" r="25400" b="18415"/>
            <wp:wrapNone/>
            <wp:docPr id="29" name="图表 29"/>
            <wp:cNvGraphicFramePr>
              <a:graphicFrameLocks noChangeAspect="0"/>
            </wp:cNvGraphicFramePr>
            <a:graphic>
              <a:graphicData uri="http://schemas.openxmlformats.org/drawingml/2006/chart">
                <c:chart xmlns:c="http://schemas.openxmlformats.org/drawingml/2006/chart" r:id="rId10"/>
              </a:graphicData>
            </a:graphic>
          </wp:anchor>
        </w:drawing>
      </w:r>
    </w:p>
    <w:p>
      <w:pPr>
        <w:pStyle w:val="26"/>
        <w:rPr>
          <w:rFonts w:ascii="仿宋" w:eastAsia="仿宋" w:hAnsi="仿宋" w:hint="eastAsia"/>
          <w:color w:val="000000"/>
          <w:sz w:val="32"/>
          <w:szCs w:val="32"/>
          <w:lang w:eastAsia="zh-CN"/>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（图4：财政拨款收、支决算总计变动情况）（柱状图）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8" w:name="_Toc15377209"/>
      <w:bookmarkStart w:id="29" w:name="_Toc15396607"/>
      <w:r>
        <w:rPr>
          <w:rFonts w:ascii="方正黑体简体" w:eastAsia="方正黑体简体" w:cs="方正黑体简体" w:hAnsi="方正黑体简体" w:hint="eastAsia"/>
          <w:b w:val="0"/>
          <w:color w:val="000000"/>
          <w:sz w:val="32"/>
          <w:szCs w:val="32"/>
          <w:lang w:eastAsia="zh-CN"/>
        </w:rPr>
        <w:t>五、一般公共预算财政拨款支出决算情况说明</w:t>
      </w:r>
      <w:bookmarkEnd w:id="28"/>
      <w:bookmarkEnd w:id="29"/>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0" w:name="_Toc15377210"/>
      <w:r>
        <w:rPr>
          <w:rFonts w:ascii="方正楷体简体" w:eastAsia="方正楷体简体" w:cs="方正楷体简体" w:hAnsi="方正楷体简体" w:hint="eastAsia"/>
          <w:sz w:val="32"/>
          <w:szCs w:val="32"/>
        </w:rPr>
        <w:t>（一）一般公共预算财政拨款支出决算总体情况</w:t>
      </w:r>
      <w:bookmarkEnd w:id="3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2020年一般公共预算财政拨款支出</w:t>
      </w:r>
      <w:r>
        <w:rPr>
          <w:rFonts w:ascii="方正仿宋简体" w:eastAsia="方正仿宋简体" w:cs="方正仿宋简体" w:hAnsi="方正仿宋简体" w:hint="eastAsia"/>
          <w:sz w:val="32"/>
          <w:szCs w:val="32"/>
          <w:lang w:val="en-US" w:eastAsia="zh-CN"/>
        </w:rPr>
        <w:t>582.84</w:t>
      </w:r>
      <w:r>
        <w:rPr>
          <w:rFonts w:ascii="方正仿宋简体" w:eastAsia="方正仿宋简体" w:cs="方正仿宋简体" w:hAnsi="方正仿宋简体" w:hint="eastAsia"/>
          <w:sz w:val="32"/>
          <w:szCs w:val="32"/>
        </w:rPr>
        <w:t>万元，占本年支出合计的44.29%。与2019年</w:t>
      </w:r>
      <w:r>
        <w:rPr>
          <w:rFonts w:ascii="方正仿宋简体" w:eastAsia="方正仿宋简体" w:cs="方正仿宋简体" w:hAnsi="方正仿宋简体" w:hint="eastAsia"/>
          <w:sz w:val="32"/>
          <w:szCs w:val="32"/>
          <w:lang w:val="en-US" w:eastAsia="zh-CN"/>
        </w:rPr>
        <w:t>629.29</w:t>
      </w:r>
      <w:r>
        <w:rPr>
          <w:rFonts w:ascii="方正仿宋简体" w:eastAsia="方正仿宋简体" w:cs="方正仿宋简体" w:hAnsi="方正仿宋简体" w:hint="eastAsia"/>
          <w:sz w:val="32"/>
          <w:szCs w:val="32"/>
        </w:rPr>
        <w:t>万元相比，一般公共预算财政拨款</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46.45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7.97</w:t>
      </w:r>
      <w:r>
        <w:rPr>
          <w:rFonts w:ascii="方正仿宋简体" w:eastAsia="方正仿宋简体" w:cs="方正仿宋简体" w:hAnsi="方正仿宋简体" w:hint="eastAsia"/>
          <w:sz w:val="32"/>
          <w:szCs w:val="32"/>
        </w:rPr>
        <w:t>%。主要变动原因是</w:t>
      </w:r>
      <w:r>
        <w:rPr>
          <w:rFonts w:ascii="方正仿宋简体" w:eastAsia="方正仿宋简体" w:cs="方正仿宋简体" w:hAnsi="方正仿宋简体" w:hint="eastAsia"/>
          <w:sz w:val="32"/>
          <w:szCs w:val="32"/>
          <w:lang w:eastAsia="zh-CN"/>
        </w:rPr>
        <w:t>建设项目完工</w:t>
      </w:r>
      <w:r>
        <w:rPr>
          <w:rFonts w:ascii="方正仿宋简体" w:eastAsia="方正仿宋简体" w:cs="方正仿宋简体" w:hAnsi="方正仿宋简体" w:hint="eastAsia"/>
          <w:sz w:val="32"/>
          <w:szCs w:val="32"/>
        </w:rPr>
        <w:t>，导致支出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rPr>
        <w:t>。</w:t>
      </w:r>
    </w:p>
    <w:p>
      <w:pPr>
        <w:pStyle w:val="26"/>
      </w:pPr>
    </w:p>
    <w:p>
      <w:pPr>
        <w:spacing w:line="600" w:lineRule="exact"/>
        <w:ind w:firstLineChars="200" w:firstLine="640"/>
        <w:rPr>
          <w:rFonts w:ascii="仿宋" w:eastAsia="仿宋" w:hAnsi="仿宋" w:hint="eastAsia"/>
          <w:color w:val="000000"/>
          <w:sz w:val="32"/>
          <w:szCs w:val="32"/>
        </w:rPr>
      </w:pPr>
    </w:p>
    <w:p>
      <w:pPr>
        <w:spacing w:line="600" w:lineRule="exact"/>
        <w:rPr>
          <w:rFonts w:ascii="仿宋" w:eastAsia="仿宋" w:hAnsi="仿宋"/>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r>
        <w:rPr>
          <w:rFonts w:ascii="仿宋" w:eastAsia="仿宋" w:hAnsi="仿宋" w:hint="eastAsia"/>
          <w:color w:val="000000"/>
          <w:sz w:val="32"/>
          <w:szCs w:val="32"/>
          <w:lang w:eastAsia="zh-CN"/>
        </w:rPr>
        <w:drawing>
          <wp:anchor distT="0" distB="0" distL="114935" distR="114935" simplePos="0" relativeHeight="34" behindDoc="0" locked="0" layoutInCell="1" hidden="0" allowOverlap="1">
            <wp:simplePos x="0" y="0"/>
            <wp:positionH relativeFrom="column">
              <wp:posOffset>304800</wp:posOffset>
            </wp:positionH>
            <wp:positionV relativeFrom="paragraph">
              <wp:posOffset>-157479</wp:posOffset>
            </wp:positionV>
            <wp:extent cx="5102225" cy="3515995"/>
            <wp:effectExtent l="4444" t="4444" r="17779" b="22860"/>
            <wp:wrapNone/>
            <wp:docPr id="32" name="图表 32"/>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lang w:eastAsia="zh-CN"/>
        </w:rPr>
      </w:pPr>
    </w:p>
    <w:p>
      <w:pPr>
        <w:pStyle w:val="26"/>
        <w:ind w:leftChars="0" w:left="0" w:firstLineChars="0" w:firstLine="0"/>
        <w:rPr>
          <w:rFonts w:hint="eastAsia"/>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（图5：一般公共预算财政拨款支出决算变动情况）（柱状图）</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1" w:name="_Toc15377211"/>
      <w:r>
        <w:rPr>
          <w:rFonts w:ascii="方正楷体简体" w:eastAsia="方正楷体简体" w:cs="方正楷体简体" w:hAnsi="方正楷体简体" w:hint="eastAsia"/>
          <w:sz w:val="32"/>
          <w:szCs w:val="32"/>
        </w:rPr>
        <w:t>（二）一般公共预算财政拨款支出决算结构情况</w:t>
      </w:r>
      <w:bookmarkEnd w:id="3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2020年一般公共预算财政拨款支出</w:t>
      </w:r>
      <w:r>
        <w:rPr>
          <w:rFonts w:ascii="方正仿宋简体" w:eastAsia="方正仿宋简体" w:cs="方正仿宋简体" w:hAnsi="方正仿宋简体" w:hint="eastAsia"/>
          <w:sz w:val="32"/>
          <w:szCs w:val="32"/>
          <w:lang w:val="en-US" w:eastAsia="zh-CN"/>
        </w:rPr>
        <w:t>582.84</w:t>
      </w:r>
      <w:r>
        <w:rPr>
          <w:rFonts w:ascii="方正仿宋简体" w:eastAsia="方正仿宋简体" w:cs="方正仿宋简体" w:hAnsi="方正仿宋简体" w:hint="eastAsia"/>
          <w:sz w:val="32"/>
          <w:szCs w:val="32"/>
        </w:rPr>
        <w:t>万元，主要用于以下方面:一般公共服务（类）支出0万元，占0%；教育支出（类）0万元，占0%；科学技术（类）支出0万元，占0%；文化旅游体育与传媒（类）支出0万元，占0%；社会保障和就业（类）支出</w:t>
      </w:r>
      <w:r>
        <w:rPr>
          <w:rFonts w:ascii="方正仿宋简体" w:eastAsia="方正仿宋简体" w:cs="方正仿宋简体" w:hAnsi="方正仿宋简体" w:hint="eastAsia"/>
          <w:sz w:val="32"/>
          <w:szCs w:val="32"/>
          <w:lang w:val="en-US" w:eastAsia="zh-CN"/>
        </w:rPr>
        <w:t>48.86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8.38</w:t>
      </w:r>
      <w:r>
        <w:rPr>
          <w:rFonts w:ascii="方正仿宋简体" w:eastAsia="方正仿宋简体" w:cs="方正仿宋简体" w:hAnsi="方正仿宋简体" w:hint="eastAsia"/>
          <w:sz w:val="32"/>
          <w:szCs w:val="32"/>
        </w:rPr>
        <w:t>%；</w:t>
      </w:r>
      <w:bookmarkStart w:id="32" w:name="OLE_LINK1"/>
      <w:r>
        <w:rPr>
          <w:rFonts w:ascii="方正仿宋简体" w:eastAsia="方正仿宋简体" w:cs="方正仿宋简体" w:hAnsi="方正仿宋简体" w:hint="eastAsia"/>
          <w:sz w:val="32"/>
          <w:szCs w:val="32"/>
        </w:rPr>
        <w:t>卫生健康支出</w:t>
      </w:r>
      <w:bookmarkEnd w:id="32"/>
      <w:r>
        <w:rPr>
          <w:rFonts w:ascii="方正仿宋简体" w:eastAsia="方正仿宋简体" w:cs="方正仿宋简体" w:hAnsi="方正仿宋简体" w:hint="eastAsia"/>
          <w:sz w:val="32"/>
          <w:szCs w:val="32"/>
          <w:lang w:val="en-US" w:eastAsia="zh-CN"/>
        </w:rPr>
        <w:t>510.51</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87.59</w:t>
      </w:r>
      <w:r>
        <w:rPr>
          <w:rFonts w:ascii="方正仿宋简体" w:eastAsia="方正仿宋简体" w:cs="方正仿宋简体" w:hAnsi="方正仿宋简体" w:hint="eastAsia"/>
          <w:sz w:val="32"/>
          <w:szCs w:val="32"/>
        </w:rPr>
        <w:t>%；住房保障支出</w:t>
      </w:r>
      <w:r>
        <w:rPr>
          <w:rFonts w:ascii="方正仿宋简体" w:eastAsia="方正仿宋简体" w:cs="方正仿宋简体" w:hAnsi="方正仿宋简体" w:hint="eastAsia"/>
          <w:sz w:val="32"/>
          <w:szCs w:val="32"/>
          <w:lang w:val="en-US" w:eastAsia="zh-CN"/>
        </w:rPr>
        <w:t>23.43</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4.03</w:t>
      </w:r>
      <w:r>
        <w:rPr>
          <w:rFonts w:ascii="方正仿宋简体" w:eastAsia="方正仿宋简体" w:cs="方正仿宋简体" w:hAnsi="方正仿宋简体" w:hint="eastAsia"/>
          <w:sz w:val="32"/>
          <w:szCs w:val="32"/>
        </w:rPr>
        <w:t>%。（罗列全部功能分类科目，至类级。）</w:t>
      </w:r>
    </w:p>
    <w:p>
      <w:pPr>
        <w:spacing w:line="600" w:lineRule="exact"/>
        <w:ind w:firstLine="640"/>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r>
        <w:rPr>
          <w:rFonts w:ascii="仿宋" w:eastAsia="仿宋" w:hAnsi="仿宋" w:hint="eastAsia"/>
          <w:color w:val="000000"/>
          <w:sz w:val="32"/>
          <w:szCs w:val="32"/>
          <w:lang w:eastAsia="zh-CN"/>
        </w:rPr>
        <w:drawing>
          <wp:anchor distT="0" distB="0" distL="114935" distR="114935" simplePos="0" relativeHeight="36" behindDoc="0" locked="0" layoutInCell="1" hidden="0" allowOverlap="1">
            <wp:simplePos x="0" y="0"/>
            <wp:positionH relativeFrom="column">
              <wp:posOffset>478155</wp:posOffset>
            </wp:positionH>
            <wp:positionV relativeFrom="paragraph">
              <wp:posOffset>-231140</wp:posOffset>
            </wp:positionV>
            <wp:extent cx="4899660" cy="3333750"/>
            <wp:effectExtent l="4444" t="4444" r="10795" b="14604"/>
            <wp:wrapNone/>
            <wp:docPr id="34" name="图表 34"/>
            <wp:cNvGraphicFramePr>
              <a:graphicFrameLocks noChangeAspect="0"/>
            </wp:cNvGraphicFramePr>
            <a:graphic>
              <a:graphicData uri="http://schemas.openxmlformats.org/drawingml/2006/chart">
                <c:chart xmlns:c="http://schemas.openxmlformats.org/drawingml/2006/chart" r:id="rId12"/>
              </a:graphicData>
            </a:graphic>
          </wp:anchor>
        </w:drawing>
      </w: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（图6：一般公共预算财政拨款支出决算结构）（饼状图）</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3" w:name="_Toc15377212"/>
      <w:r>
        <w:rPr>
          <w:rFonts w:ascii="方正楷体简体" w:eastAsia="方正楷体简体" w:cs="方正楷体简体" w:hAnsi="方正楷体简体" w:hint="eastAsia"/>
          <w:sz w:val="32"/>
          <w:szCs w:val="32"/>
        </w:rPr>
        <w:t>（三）一般公共预算财政拨款支出决算具体情况</w:t>
      </w:r>
      <w:bookmarkEnd w:id="3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34" w:name="_Toc15377213"/>
      <w:bookmarkStart w:id="35" w:name="_Toc15378460"/>
      <w:bookmarkStart w:id="36" w:name="_Toc15377444"/>
      <w:r>
        <w:rPr>
          <w:rFonts w:ascii="方正仿宋简体" w:eastAsia="方正仿宋简体" w:cs="方正仿宋简体" w:hAnsi="方正仿宋简体" w:hint="eastAsia"/>
          <w:sz w:val="32"/>
          <w:szCs w:val="32"/>
        </w:rPr>
        <w:t>2020年一般公共预算支出决算数为911.7万元，完成预算100%。其中：</w:t>
      </w:r>
      <w:bookmarkEnd w:id="34"/>
      <w:bookmarkEnd w:id="35"/>
      <w:bookmarkEnd w:id="3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1.一般公共服务（类）***（款）***（项）: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2.教育（类）***（款）***（项）: 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3.科学技术（类）***（款）***（项）: 支出决算为0万元，完成预算0%</w:t>
      </w:r>
      <w:r>
        <w:rPr>
          <w:rFonts w:ascii="方正仿宋简体" w:eastAsia="方正仿宋简体" w:cs="方正仿宋简体" w:hAnsi="方正仿宋简体" w:hint="eastAsia"/>
          <w:sz w:val="32"/>
          <w:szCs w:val="32"/>
          <w:lang w:eastAsia="zh-CN"/>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4.文化旅游体育与传媒（类）***（款）***（项）: 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5.社会保障和就业（208类）行政事业单位离退休（20805款）机关事业单位基本养老保险缴费支出（2080505项）:支出决算为</w:t>
      </w:r>
      <w:r>
        <w:rPr>
          <w:rFonts w:ascii="方正仿宋简体" w:eastAsia="方正仿宋简体" w:cs="方正仿宋简体" w:hAnsi="方正仿宋简体" w:hint="eastAsia"/>
          <w:sz w:val="32"/>
          <w:szCs w:val="32"/>
          <w:lang w:val="en-US" w:eastAsia="zh-CN"/>
        </w:rPr>
        <w:t>31.25</w:t>
      </w:r>
      <w:r>
        <w:rPr>
          <w:rFonts w:ascii="方正仿宋简体" w:eastAsia="方正仿宋简体" w:cs="方正仿宋简体" w:hAnsi="方正仿宋简体" w:hint="eastAsia"/>
          <w:sz w:val="32"/>
          <w:szCs w:val="32"/>
        </w:rPr>
        <w:t>万元，完成预算100%。其他社会保障和就业支出（20899款）其他社会保障和就业支出（2089901项）：支出决算为</w:t>
      </w:r>
      <w:r>
        <w:rPr>
          <w:rFonts w:ascii="方正仿宋简体" w:eastAsia="方正仿宋简体" w:cs="方正仿宋简体" w:hAnsi="方正仿宋简体" w:hint="eastAsia"/>
          <w:sz w:val="32"/>
          <w:szCs w:val="32"/>
          <w:lang w:val="en-US" w:eastAsia="zh-CN"/>
        </w:rPr>
        <w:t>2.96</w:t>
      </w:r>
      <w:r>
        <w:rPr>
          <w:rFonts w:ascii="方正仿宋简体" w:eastAsia="方正仿宋简体" w:cs="方正仿宋简体" w:hAnsi="方正仿宋简体" w:hint="eastAsia"/>
          <w:sz w:val="32"/>
          <w:szCs w:val="32"/>
        </w:rPr>
        <w:t>万元，完成预算100%。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6.卫生健康（210类）卫生健康管理事务（21001款）一般行政管理事务（2100102项）:支出决算为</w:t>
      </w:r>
      <w:r>
        <w:rPr>
          <w:rFonts w:ascii="方正仿宋简体" w:eastAsia="方正仿宋简体" w:cs="方正仿宋简体" w:hAnsi="方正仿宋简体" w:hint="eastAsia"/>
          <w:sz w:val="32"/>
          <w:szCs w:val="32"/>
          <w:lang w:val="en-US" w:eastAsia="zh-CN"/>
        </w:rPr>
        <w:t>16.76</w:t>
      </w:r>
      <w:r>
        <w:rPr>
          <w:rFonts w:ascii="方正仿宋简体" w:eastAsia="方正仿宋简体" w:cs="方正仿宋简体" w:hAnsi="方正仿宋简体" w:hint="eastAsia"/>
          <w:sz w:val="32"/>
          <w:szCs w:val="32"/>
        </w:rPr>
        <w:t>万元，完成预算100%。基层卫生机构（21003款）城市社区卫生机构（2100301项）支出决算为</w:t>
      </w:r>
      <w:r>
        <w:rPr>
          <w:rFonts w:ascii="方正仿宋简体" w:eastAsia="方正仿宋简体" w:cs="方正仿宋简体" w:hAnsi="方正仿宋简体" w:hint="eastAsia"/>
          <w:sz w:val="32"/>
          <w:szCs w:val="32"/>
          <w:lang w:val="en-US" w:eastAsia="zh-CN"/>
        </w:rPr>
        <w:t>248.38</w:t>
      </w:r>
      <w:r>
        <w:rPr>
          <w:rFonts w:ascii="方正仿宋简体" w:eastAsia="方正仿宋简体" w:cs="方正仿宋简体" w:hAnsi="方正仿宋简体" w:hint="eastAsia"/>
          <w:sz w:val="32"/>
          <w:szCs w:val="32"/>
        </w:rPr>
        <w:t>万元，完成预算100%。其他基层医疗卫生机构支出（2100399项）支出决算为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万元，完成预算100%。公共卫生（21004款）基本公共卫生服务（2100408项）支出决算为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万元，完成预算100%。行政事业单位医疗（21011款）事业单位医疗（2101102项）支出决算为</w:t>
      </w:r>
      <w:r>
        <w:rPr>
          <w:rFonts w:ascii="方正仿宋简体" w:eastAsia="方正仿宋简体" w:cs="方正仿宋简体" w:hAnsi="方正仿宋简体" w:hint="eastAsia"/>
          <w:sz w:val="32"/>
          <w:szCs w:val="32"/>
          <w:lang w:val="en-US" w:eastAsia="zh-CN"/>
        </w:rPr>
        <w:t>14.64</w:t>
      </w:r>
      <w:r>
        <w:rPr>
          <w:rFonts w:ascii="方正仿宋简体" w:eastAsia="方正仿宋简体" w:cs="方正仿宋简体" w:hAnsi="方正仿宋简体" w:hint="eastAsia"/>
          <w:sz w:val="32"/>
          <w:szCs w:val="32"/>
        </w:rPr>
        <w:t>万元，完成预算100%。其他卫生健康支出（2109901项）5万元，完成预算100%。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7.住房保障支出支出（221类）住房改革支出（22102款）住房公积金（2210201项）：支出决算为</w:t>
      </w:r>
      <w:r>
        <w:rPr>
          <w:rFonts w:ascii="方正仿宋简体" w:eastAsia="方正仿宋简体" w:cs="方正仿宋简体" w:hAnsi="方正仿宋简体" w:hint="eastAsia"/>
          <w:sz w:val="32"/>
          <w:szCs w:val="32"/>
          <w:lang w:val="en-US" w:eastAsia="zh-CN"/>
        </w:rPr>
        <w:t>23.43</w:t>
      </w:r>
      <w:r>
        <w:rPr>
          <w:rFonts w:ascii="方正仿宋简体" w:eastAsia="方正仿宋简体" w:cs="方正仿宋简体" w:hAnsi="方正仿宋简体" w:hint="eastAsia"/>
          <w:sz w:val="32"/>
          <w:szCs w:val="32"/>
        </w:rPr>
        <w:t>万元，完成预算100%。</w:t>
      </w:r>
    </w:p>
    <w:p>
      <w:pPr>
        <w:pageBreakBefore w:val="0"/>
        <w:widowControl w:val="0"/>
        <w:kinsoku/>
        <w:wordWrap/>
        <w:overflowPunct/>
        <w:topLinePunct w:val="0"/>
        <w:autoSpaceDE/>
        <w:autoSpaceDN/>
        <w:bidi w:val="0"/>
        <w:spacing w:line="576" w:lineRule="exact"/>
        <w:ind w:left="0" w:right="0" w:firstLineChars="250" w:firstLine="800"/>
        <w:textAlignment w:val="auto"/>
        <w:rPr>
          <w:rFonts w:ascii="方正仿宋简体" w:eastAsia="方正仿宋简体" w:cs="方正仿宋简体" w:hAnsi="方正仿宋简体" w:hint="eastAsia"/>
          <w:sz w:val="32"/>
          <w:szCs w:val="32"/>
        </w:rPr>
      </w:pPr>
      <w:bookmarkStart w:id="37" w:name="_Toc15396608"/>
      <w:bookmarkStart w:id="38" w:name="_Toc15377214"/>
      <w:r>
        <w:rPr>
          <w:rFonts w:ascii="方正黑体简体" w:eastAsia="方正黑体简体" w:cs="方正黑体简体" w:hAnsi="方正黑体简体" w:hint="eastAsia"/>
          <w:b w:val="0"/>
          <w:bCs/>
          <w:color w:val="000000"/>
          <w:kern w:val="2"/>
          <w:sz w:val="32"/>
          <w:szCs w:val="32"/>
          <w:lang w:val="en-US" w:eastAsia="zh-CN" w:bidi="ar-SA"/>
        </w:rPr>
        <w:t>六、一般公共预算财政拨款基本支出决算情况说明</w:t>
      </w:r>
      <w:bookmarkEnd w:id="37"/>
      <w:bookmarkEnd w:id="38"/>
      <w:r>
        <w:rPr>
          <w:rFonts w:ascii="方正仿宋简体" w:eastAsia="方正仿宋简体" w:cs="方正仿宋简体" w:hAnsi="方正仿宋简体" w:hint="eastAsia"/>
          <w:sz w:val="32"/>
          <w:szCs w:val="32"/>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2020年一般公共预算财政拨款基本支出</w:t>
      </w:r>
      <w:r>
        <w:rPr>
          <w:rFonts w:ascii="方正仿宋简体" w:eastAsia="方正仿宋简体" w:cs="方正仿宋简体" w:hAnsi="方正仿宋简体" w:hint="eastAsia"/>
          <w:sz w:val="32"/>
          <w:szCs w:val="32"/>
          <w:lang w:val="en-US" w:eastAsia="zh-CN"/>
        </w:rPr>
        <w:t>320.66</w:t>
      </w:r>
      <w:r>
        <w:rPr>
          <w:rFonts w:ascii="方正仿宋简体" w:eastAsia="方正仿宋简体" w:cs="方正仿宋简体" w:hAnsi="方正仿宋简体" w:hint="eastAsia"/>
          <w:sz w:val="32"/>
          <w:szCs w:val="32"/>
        </w:rPr>
        <w:t>万元，其中：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人员经费</w:t>
      </w:r>
      <w:r>
        <w:rPr>
          <w:rFonts w:ascii="方正仿宋简体" w:eastAsia="方正仿宋简体" w:cs="方正仿宋简体" w:hAnsi="方正仿宋简体" w:hint="eastAsia"/>
          <w:sz w:val="32"/>
          <w:szCs w:val="32"/>
          <w:lang w:val="en-US" w:eastAsia="zh-CN"/>
        </w:rPr>
        <w:t>312.85</w:t>
      </w:r>
      <w:r>
        <w:rPr>
          <w:rFonts w:ascii="方正仿宋简体" w:eastAsia="方正仿宋简体" w:cs="方正仿宋简体" w:hAnsi="方正仿宋简体"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t>　　日常公用经费</w:t>
      </w:r>
      <w:r>
        <w:rPr>
          <w:rFonts w:ascii="方正仿宋简体" w:eastAsia="方正仿宋简体" w:cs="方正仿宋简体" w:hAnsi="方正仿宋简体" w:hint="eastAsia"/>
          <w:sz w:val="32"/>
          <w:szCs w:val="32"/>
          <w:lang w:val="en-US" w:eastAsia="zh-CN"/>
        </w:rPr>
        <w:t>7.81</w:t>
      </w:r>
      <w:r>
        <w:rPr>
          <w:rFonts w:ascii="方正仿宋简体" w:eastAsia="方正仿宋简体" w:cs="方正仿宋简体" w:hAnsi="方正仿宋简体"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39" w:name="_Toc15396609"/>
      <w:bookmarkStart w:id="40" w:name="_Toc15377215"/>
      <w:r>
        <w:rPr>
          <w:rFonts w:ascii="方正黑体简体" w:eastAsia="方正黑体简体" w:cs="方正黑体简体" w:hAnsi="方正黑体简体" w:hint="eastAsia"/>
          <w:b w:val="0"/>
          <w:color w:val="000000"/>
          <w:sz w:val="32"/>
          <w:szCs w:val="32"/>
          <w:lang w:eastAsia="zh-CN"/>
        </w:rPr>
        <w:t>七、“三公”经费财政拨款支出决算情况说明</w:t>
      </w:r>
      <w:bookmarkEnd w:id="39"/>
      <w:bookmarkEnd w:id="40"/>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1" w:name="_Toc15377216"/>
      <w:r>
        <w:rPr>
          <w:rFonts w:ascii="方正楷体简体" w:eastAsia="方正楷体简体" w:cs="方正楷体简体" w:hAnsi="方正楷体简体" w:hint="eastAsia"/>
          <w:sz w:val="32"/>
          <w:szCs w:val="32"/>
        </w:rPr>
        <w:t>（一）“三公”经费财政拨款支出决算总体情况说明</w:t>
      </w:r>
      <w:bookmarkEnd w:id="4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2020年“三公”经费财政拨款支出决算为0万元，完成预算0%。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2" w:name="_Toc15377217"/>
      <w:r>
        <w:rPr>
          <w:rFonts w:ascii="方正楷体简体" w:eastAsia="方正楷体简体" w:cs="方正楷体简体" w:hAnsi="方正楷体简体" w:hint="eastAsia"/>
          <w:sz w:val="32"/>
          <w:szCs w:val="32"/>
        </w:rPr>
        <w:t>（二）“三公”经费财政拨款支出决算具体情况说明</w:t>
      </w:r>
      <w:bookmarkEnd w:id="42"/>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2020年“三公”经费财政拨款支出决算中，因公出国（境）费支出决算0万元，占0%；公务用车购置及运行维护费支出决算0万元，占0%；公务接待费支出决算0万元，占0%。具体情况如下：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1.因公出国（境）经费支出无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2.公务用车购置及运行维护费支出无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公务用车运行维护费支出无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3.公务接待费支出无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国内公务接待支出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外事接待支出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bookmarkStart w:id="43" w:name="_Toc15377218"/>
      <w:bookmarkStart w:id="44" w:name="_Toc15396610"/>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r>
        <w:rPr>
          <w:rFonts w:ascii="方正黑体简体" w:eastAsia="方正黑体简体" w:cs="方正黑体简体" w:hAnsi="方正黑体简体" w:hint="eastAsia"/>
          <w:b w:val="0"/>
          <w:color w:val="000000"/>
          <w:sz w:val="32"/>
          <w:szCs w:val="32"/>
          <w:lang w:eastAsia="zh-CN"/>
        </w:rPr>
        <w:t>八、政府性基金预算支出决算情况说明</w:t>
      </w:r>
      <w:bookmarkEnd w:id="43"/>
      <w:bookmarkEnd w:id="44"/>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2020年政府性基金预算拨款支出</w:t>
      </w:r>
      <w:r>
        <w:rPr>
          <w:rFonts w:ascii="方正仿宋简体" w:eastAsia="方正仿宋简体" w:cs="方正仿宋简体" w:hAnsi="方正仿宋简体" w:hint="eastAsia"/>
          <w:sz w:val="32"/>
          <w:szCs w:val="32"/>
          <w:lang w:val="en-US" w:eastAsia="zh-CN"/>
        </w:rPr>
        <w:t>230.28</w:t>
      </w:r>
      <w:r>
        <w:rPr>
          <w:rFonts w:ascii="方正仿宋简体" w:eastAsia="方正仿宋简体" w:cs="方正仿宋简体" w:hAnsi="方正仿宋简体" w:hint="eastAsia"/>
          <w:sz w:val="32"/>
          <w:szCs w:val="32"/>
        </w:rPr>
        <w:t>万元。</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45" w:name="_Toc15377219"/>
      <w:bookmarkStart w:id="46" w:name="_Toc15396611"/>
      <w:r>
        <w:rPr>
          <w:rFonts w:ascii="方正黑体简体" w:eastAsia="方正黑体简体" w:cs="方正黑体简体" w:hAnsi="方正黑体简体" w:hint="eastAsia"/>
          <w:b w:val="0"/>
          <w:color w:val="000000"/>
          <w:sz w:val="32"/>
          <w:szCs w:val="32"/>
          <w:lang w:eastAsia="zh-CN"/>
        </w:rPr>
        <w:t>九、国有资本经营预算支出决算情况说明</w:t>
      </w:r>
      <w:bookmarkEnd w:id="45"/>
      <w:bookmarkEnd w:id="4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2020年国有资本经营预算拨款支出0万元。</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47" w:name="_Toc15396612"/>
      <w:bookmarkStart w:id="48" w:name="_Toc15377221"/>
      <w:r>
        <w:rPr>
          <w:rFonts w:ascii="方正黑体简体" w:eastAsia="方正黑体简体" w:cs="方正黑体简体" w:hAnsi="方正黑体简体" w:hint="eastAsia"/>
          <w:b w:val="0"/>
          <w:color w:val="000000"/>
          <w:sz w:val="32"/>
          <w:szCs w:val="32"/>
          <w:lang w:eastAsia="zh-CN"/>
        </w:rPr>
        <w:t>十、其他重要事项的情况说明</w:t>
      </w:r>
      <w:bookmarkEnd w:id="47"/>
      <w:bookmarkEnd w:id="48"/>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9" w:name="_Toc15377222"/>
      <w:r>
        <w:rPr>
          <w:rFonts w:ascii="方正楷体简体" w:eastAsia="方正楷体简体" w:cs="方正楷体简体" w:hAnsi="方正楷体简体" w:hint="eastAsia"/>
          <w:sz w:val="32"/>
          <w:szCs w:val="32"/>
        </w:rPr>
        <w:t>（一）机关运行经费支出情况</w:t>
      </w:r>
      <w:bookmarkEnd w:id="4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社区卫生服务中心运行经费支出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50" w:name="_Toc15377223"/>
      <w:r>
        <w:rPr>
          <w:rFonts w:ascii="方正楷体简体" w:eastAsia="方正楷体简体" w:cs="方正楷体简体" w:hAnsi="方正楷体简体" w:hint="eastAsia"/>
          <w:sz w:val="32"/>
          <w:szCs w:val="32"/>
        </w:rPr>
        <w:t>（二）政府采购支出情况</w:t>
      </w:r>
      <w:bookmarkEnd w:id="5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社区卫生服务中心政府采购支出总额</w:t>
      </w:r>
      <w:r>
        <w:rPr>
          <w:rFonts w:ascii="方正仿宋简体" w:eastAsia="方正仿宋简体" w:cs="方正仿宋简体" w:hAnsi="方正仿宋简体" w:hint="eastAsia"/>
          <w:sz w:val="32"/>
          <w:szCs w:val="32"/>
          <w:lang w:val="en-US" w:eastAsia="zh-CN"/>
        </w:rPr>
        <w:t>283.75</w:t>
      </w:r>
      <w:r>
        <w:rPr>
          <w:rFonts w:ascii="方正仿宋简体" w:eastAsia="方正仿宋简体" w:cs="方正仿宋简体" w:hAnsi="方正仿宋简体" w:hint="eastAsia"/>
          <w:sz w:val="32"/>
          <w:szCs w:val="32"/>
        </w:rPr>
        <w:t>万元，其中：政府采购货物支出</w:t>
      </w:r>
      <w:r>
        <w:rPr>
          <w:rFonts w:ascii="方正仿宋简体" w:eastAsia="方正仿宋简体" w:cs="方正仿宋简体" w:hAnsi="方正仿宋简体" w:hint="eastAsia"/>
          <w:sz w:val="32"/>
          <w:szCs w:val="32"/>
          <w:lang w:val="en-US" w:eastAsia="zh-CN"/>
        </w:rPr>
        <w:t>283.75</w:t>
      </w:r>
      <w:r>
        <w:rPr>
          <w:rFonts w:ascii="方正仿宋简体" w:eastAsia="方正仿宋简体" w:cs="方正仿宋简体" w:hAnsi="方正仿宋简体" w:hint="eastAsia"/>
          <w:sz w:val="32"/>
          <w:szCs w:val="32"/>
        </w:rPr>
        <w:t>万元、政府采购工程支出0万元、政府采购服务支出0万元。主要用于办公设备、放射科</w:t>
      </w:r>
      <w:r>
        <w:rPr>
          <w:rFonts w:ascii="方正仿宋简体" w:eastAsia="方正仿宋简体" w:cs="方正仿宋简体" w:hAnsi="方正仿宋简体" w:hint="eastAsia"/>
          <w:sz w:val="32"/>
          <w:szCs w:val="32"/>
          <w:lang w:eastAsia="zh-CN"/>
        </w:rPr>
        <w:t>染色体系统</w:t>
      </w:r>
      <w:r>
        <w:rPr>
          <w:rFonts w:ascii="方正仿宋简体" w:eastAsia="方正仿宋简体" w:cs="方正仿宋简体" w:hAnsi="方正仿宋简体" w:hint="eastAsia"/>
          <w:sz w:val="32"/>
          <w:szCs w:val="32"/>
        </w:rPr>
        <w:t>和B超室彩超。授予中小企业合同金额</w:t>
      </w:r>
      <w:r>
        <w:rPr>
          <w:rFonts w:ascii="方正仿宋简体" w:eastAsia="方正仿宋简体" w:cs="方正仿宋简体" w:hAnsi="方正仿宋简体" w:hint="eastAsia"/>
          <w:sz w:val="32"/>
          <w:szCs w:val="32"/>
          <w:lang w:val="en-US" w:eastAsia="zh-CN"/>
        </w:rPr>
        <w:t>275.08</w:t>
      </w:r>
      <w:r>
        <w:rPr>
          <w:rFonts w:ascii="方正仿宋简体" w:eastAsia="方正仿宋简体" w:cs="方正仿宋简体" w:hAnsi="方正仿宋简体" w:hint="eastAsia"/>
          <w:sz w:val="32"/>
          <w:szCs w:val="32"/>
        </w:rPr>
        <w:t>万元，占政府采购支出总额的96.</w:t>
      </w:r>
      <w:r>
        <w:rPr>
          <w:rFonts w:ascii="方正仿宋简体" w:eastAsia="方正仿宋简体" w:cs="方正仿宋简体" w:hAnsi="方正仿宋简体" w:hint="eastAsia"/>
          <w:sz w:val="32"/>
          <w:szCs w:val="32"/>
          <w:lang w:val="en-US" w:eastAsia="zh-CN"/>
        </w:rPr>
        <w:t>94</w:t>
      </w:r>
      <w:r>
        <w:rPr>
          <w:rFonts w:ascii="方正仿宋简体" w:eastAsia="方正仿宋简体" w:cs="方正仿宋简体" w:hAnsi="方正仿宋简体" w:hint="eastAsia"/>
          <w:sz w:val="32"/>
          <w:szCs w:val="32"/>
        </w:rPr>
        <w:t>%，其中：授予小微企业合同金额</w:t>
      </w:r>
      <w:r>
        <w:rPr>
          <w:rFonts w:ascii="方正仿宋简体" w:eastAsia="方正仿宋简体" w:cs="方正仿宋简体" w:hAnsi="方正仿宋简体" w:hint="eastAsia"/>
          <w:sz w:val="32"/>
          <w:szCs w:val="32"/>
          <w:lang w:val="en-US" w:eastAsia="zh-CN"/>
        </w:rPr>
        <w:t>8.67</w:t>
      </w:r>
      <w:r>
        <w:rPr>
          <w:rFonts w:ascii="方正仿宋简体" w:eastAsia="方正仿宋简体" w:cs="方正仿宋简体" w:hAnsi="方正仿宋简体" w:hint="eastAsia"/>
          <w:sz w:val="32"/>
          <w:szCs w:val="32"/>
        </w:rPr>
        <w:t>万元，占政府采购支出总额的</w:t>
      </w:r>
      <w:r>
        <w:rPr>
          <w:rFonts w:ascii="方正仿宋简体" w:eastAsia="方正仿宋简体" w:cs="方正仿宋简体" w:hAnsi="方正仿宋简体" w:hint="eastAsia"/>
          <w:sz w:val="32"/>
          <w:szCs w:val="32"/>
          <w:lang w:val="en-US" w:eastAsia="zh-CN"/>
        </w:rPr>
        <w:t>3.06</w:t>
      </w:r>
      <w:r>
        <w:rPr>
          <w:rFonts w:ascii="方正仿宋简体" w:eastAsia="方正仿宋简体" w:cs="方正仿宋简体" w:hAnsi="方正仿宋简体" w:hint="eastAsia"/>
          <w:sz w:val="32"/>
          <w:szCs w:val="32"/>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51" w:name="_Toc15377224"/>
      <w:r>
        <w:rPr>
          <w:rFonts w:ascii="方正楷体简体" w:eastAsia="方正楷体简体" w:cs="方正楷体简体" w:hAnsi="方正楷体简体" w:hint="eastAsia"/>
          <w:sz w:val="32"/>
          <w:szCs w:val="32"/>
        </w:rPr>
        <w:t>（三）国有资产占有使用情况</w:t>
      </w:r>
      <w:bookmarkEnd w:id="5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截至2020年12月31日，广元市利州区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社区卫生服务中心共有车辆1辆，其中：主要领导干部用车0辆、机要通信用车0辆、应急保障用车0辆、特种专业技术用车1辆，其他用车0辆，单价50万元以上通用设备</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台（套），单价100万元以上专用设备1台（套）。</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（四）预算绩效管理情况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预算绩效管理要求，本单位在年初预算编制阶段，组织对基本公共卫生服务等项目开展了预算事前绩效评估，对2个项目编制了绩效目标，预算执行过程中，选取2个项目开展绩效监控，年终执行完毕后，对2个项目开展了绩效目标完成情况自评。</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本中心按要求对2020年部门整体支出开展绩效自评，从评价情况来看，我中心积极建立健全财务管理制度和约束机制，依法有效地分配、使用财政资金，提高资金使用效率，保证中心工作有效有序地运行，对中心整体支出进行了有效控制和节约，合理安排部门整体经费支出，严格执行中央厉行节约禁止铺张浪费的要求，无“三公”经费超标情况。本单位还自行组织了2个项目支出绩效评价，从评价情况来看各项目运行情况良好。严格资金使用与管理，加大监管力度，做到专款专用，合理有效使用资金，进一步提高了中心服务能力和水平。</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1.项目绩效目标完成情况。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本单位在2020年度部门决算中反映“基本公共卫生服务”、“基层医疗卫生机构实施基本药物制度”2个项目绩效目标实际完成情况。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（1）基本公共卫生服务项目绩效目标完成情况综述。项目全年预算数</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万元，执行数为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万元，完成预算的100%。通过项目实施，以“政府主导、部门配合、专业机构技术支撑、全社会参与的”运行模式，使辖区重点人群发现、分类干预、患者自我管理和健康教育与健康教育促进等 各项工作得到了有效推进，收到了较好的效果。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发现的主要问题：</w:t>
      </w:r>
      <w:r>
        <w:rPr>
          <w:rFonts w:ascii="方正仿宋简体" w:eastAsia="方正仿宋简体" w:cs="方正仿宋简体" w:hAnsi="方正仿宋简体" w:hint="eastAsia"/>
          <w:sz w:val="32"/>
          <w:szCs w:val="32"/>
          <w:lang w:eastAsia="zh-CN"/>
        </w:rPr>
        <w:t>一是</w:t>
      </w:r>
      <w:r>
        <w:rPr>
          <w:rFonts w:ascii="方正仿宋简体" w:eastAsia="方正仿宋简体" w:cs="方正仿宋简体" w:hAnsi="方正仿宋简体" w:hint="eastAsia"/>
          <w:sz w:val="32"/>
          <w:szCs w:val="32"/>
        </w:rPr>
        <w:t>健康档案仍然存在重档和死档，信息更新不及时；档案记录欠完善，有缺项（身份证号码、联系电话、既往史等填写缺项）；居民健康档案不能有效的和临床相结合，建档居民就诊后的数据不能及时在档案上进行更新与完善，档案使用效果不显著。</w:t>
      </w:r>
      <w:r>
        <w:rPr>
          <w:rFonts w:ascii="方正仿宋简体" w:eastAsia="方正仿宋简体" w:cs="方正仿宋简体" w:hAnsi="方正仿宋简体" w:hint="eastAsia"/>
          <w:sz w:val="32"/>
          <w:szCs w:val="32"/>
          <w:lang w:eastAsia="zh-CN"/>
        </w:rPr>
        <w:t>二是</w:t>
      </w:r>
      <w:r>
        <w:rPr>
          <w:rFonts w:ascii="方正仿宋简体" w:eastAsia="方正仿宋简体" w:cs="方正仿宋简体" w:hAnsi="方正仿宋简体" w:hint="eastAsia"/>
          <w:sz w:val="32"/>
          <w:szCs w:val="32"/>
        </w:rPr>
        <w:t>部分居民对基本公共卫生服务认识不足，建档和随访主动配合存在一定困难。</w:t>
      </w:r>
      <w:r>
        <w:rPr>
          <w:rFonts w:ascii="方正仿宋简体" w:eastAsia="方正仿宋简体" w:cs="方正仿宋简体" w:hAnsi="方正仿宋简体" w:hint="eastAsia"/>
          <w:sz w:val="32"/>
          <w:szCs w:val="32"/>
          <w:lang w:eastAsia="zh-CN"/>
        </w:rPr>
        <w:t>三是</w:t>
      </w:r>
      <w:r>
        <w:rPr>
          <w:rFonts w:ascii="方正仿宋简体" w:eastAsia="方正仿宋简体" w:cs="方正仿宋简体" w:hAnsi="方正仿宋简体" w:hint="eastAsia"/>
          <w:sz w:val="32"/>
          <w:szCs w:val="32"/>
        </w:rPr>
        <w:t>慢性病患者信息主动搜索意识不够，公卫与临床工作协调性差。</w:t>
      </w:r>
      <w:r>
        <w:rPr>
          <w:rFonts w:ascii="方正仿宋简体" w:eastAsia="方正仿宋简体" w:cs="方正仿宋简体" w:hAnsi="方正仿宋简体" w:hint="eastAsia"/>
          <w:sz w:val="32"/>
          <w:szCs w:val="32"/>
          <w:lang w:eastAsia="zh-CN"/>
        </w:rPr>
        <w:t>四是</w:t>
      </w:r>
      <w:r>
        <w:rPr>
          <w:rFonts w:ascii="方正仿宋简体" w:eastAsia="方正仿宋简体" w:cs="方正仿宋简体" w:hAnsi="方正仿宋简体" w:hint="eastAsia"/>
          <w:sz w:val="32"/>
          <w:szCs w:val="32"/>
        </w:rPr>
        <w:t>全科医师参与社区服务不够，家庭医生签约服务宣传氛围不够，签约服务落实欠佳。</w:t>
      </w:r>
      <w:r>
        <w:rPr>
          <w:rFonts w:ascii="方正仿宋简体" w:eastAsia="方正仿宋简体" w:cs="方正仿宋简体" w:hAnsi="方正仿宋简体" w:hint="eastAsia"/>
          <w:sz w:val="32"/>
          <w:szCs w:val="32"/>
          <w:lang w:eastAsia="zh-CN"/>
        </w:rPr>
        <w:t>五是</w:t>
      </w:r>
      <w:r>
        <w:rPr>
          <w:rFonts w:ascii="方正仿宋简体" w:eastAsia="方正仿宋简体" w:cs="方正仿宋简体" w:hAnsi="方正仿宋简体" w:hint="eastAsia"/>
          <w:sz w:val="32"/>
          <w:szCs w:val="32"/>
        </w:rPr>
        <w:t>人才缺乏，家庭医生团队服务能力培养有待加强，影响了基本公共卫生服务项目的开展进度。</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下一步改进措施：</w:t>
      </w:r>
      <w:r>
        <w:rPr>
          <w:rFonts w:ascii="方正仿宋简体" w:eastAsia="方正仿宋简体" w:cs="方正仿宋简体" w:hAnsi="方正仿宋简体" w:hint="eastAsia"/>
          <w:sz w:val="32"/>
          <w:szCs w:val="32"/>
          <w:lang w:eastAsia="zh-CN"/>
        </w:rPr>
        <w:t>一是</w:t>
      </w:r>
      <w:r>
        <w:rPr>
          <w:rFonts w:ascii="方正仿宋简体" w:eastAsia="方正仿宋简体" w:cs="方正仿宋简体" w:hAnsi="方正仿宋简体" w:hint="eastAsia"/>
          <w:sz w:val="32"/>
          <w:szCs w:val="32"/>
        </w:rPr>
        <w:t>强化服务意识，加强专业技术队伍建设。配套合理的激励机制，提高工作人员工作热情和基本公共卫生服务能力。</w:t>
      </w:r>
      <w:r>
        <w:rPr>
          <w:rFonts w:ascii="方正仿宋简体" w:eastAsia="方正仿宋简体" w:cs="方正仿宋简体" w:hAnsi="方正仿宋简体" w:hint="eastAsia"/>
          <w:sz w:val="32"/>
          <w:szCs w:val="32"/>
          <w:lang w:eastAsia="zh-CN"/>
        </w:rPr>
        <w:t>二是</w:t>
      </w:r>
      <w:r>
        <w:rPr>
          <w:rFonts w:ascii="方正仿宋简体" w:eastAsia="方正仿宋简体" w:cs="方正仿宋简体" w:hAnsi="方正仿宋简体" w:hint="eastAsia"/>
          <w:sz w:val="32"/>
          <w:szCs w:val="32"/>
        </w:rPr>
        <w:t>加大宣传力度，认真开展基本公共卫生服务项目宣传工作，通过进社区、入户访视、门诊就医等多个渠道，采取义诊咨询、健康讲座、电话预约、个体化健康教育等多种宣传形式，通过宣传—吸引—再宣传，以逐步改变社区居民的陈旧观念，促使其自愿参与到社区卫生服务中来。</w:t>
      </w:r>
      <w:r>
        <w:rPr>
          <w:rFonts w:ascii="方正仿宋简体" w:eastAsia="方正仿宋简体" w:cs="方正仿宋简体" w:hAnsi="方正仿宋简体" w:hint="eastAsia"/>
          <w:sz w:val="32"/>
          <w:szCs w:val="32"/>
          <w:lang w:eastAsia="zh-CN"/>
        </w:rPr>
        <w:t>三是</w:t>
      </w:r>
      <w:r>
        <w:rPr>
          <w:rFonts w:ascii="方正仿宋简体" w:eastAsia="方正仿宋简体" w:cs="方正仿宋简体" w:hAnsi="方正仿宋简体" w:hint="eastAsia"/>
          <w:sz w:val="32"/>
          <w:szCs w:val="32"/>
        </w:rPr>
        <w:t>落实责任，加强督导。充分调动公共卫生科、卫生站工作人员的积极性，明确任务、落实责任，加大督促、指导。要严格按照绩效考核办法，认真做好考核工作，严格按考核结果发放补助经费。</w:t>
      </w:r>
      <w:r>
        <w:rPr>
          <w:rFonts w:ascii="方正仿宋简体" w:eastAsia="方正仿宋简体" w:cs="方正仿宋简体" w:hAnsi="方正仿宋简体" w:hint="eastAsia"/>
          <w:sz w:val="32"/>
          <w:szCs w:val="32"/>
          <w:lang w:eastAsia="zh-CN"/>
        </w:rPr>
        <w:t>四是</w:t>
      </w:r>
      <w:r>
        <w:rPr>
          <w:rFonts w:ascii="方正仿宋简体" w:eastAsia="方正仿宋简体" w:cs="方正仿宋简体" w:hAnsi="方正仿宋简体" w:hint="eastAsia"/>
          <w:sz w:val="32"/>
          <w:szCs w:val="32"/>
        </w:rPr>
        <w:t>进一步落实各项规范,强化各项规章制度,推进基本公共卫生服务项目可持续健康发展。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（2）“基层医疗卫生机构实施基本药物制度”项目绩效目标完成情况综述。项目全年预算数</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万元，执行数为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万元，完成预算的100%。通过项目实施，本中心基本药物的覆盖率、网采率、目录药品质量合格率均达到100%，从根本上有效降低了患者的药品费用支出，群众满意度95%以上。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tbl>
      <w:tblPr>
        <w:jc w:val="cent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266"/>
        <w:gridCol w:w="1101"/>
        <w:gridCol w:w="1025"/>
        <w:gridCol w:w="2392"/>
        <w:gridCol w:w="2394"/>
        <w:gridCol w:w="2392"/>
      </w:tblGrid>
      <w:tr>
        <w:trPr>
          <w:trHeight w:val="1034"/>
        </w:trPr>
        <w:tc>
          <w:tcPr>
            <w:tcW w:w="9960"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cs="宋体"/>
                <w:color w:val="000000"/>
                <w:sz w:val="36"/>
                <w:szCs w:val="36"/>
              </w:rPr>
            </w:pPr>
            <w:r>
              <w:rPr>
                <w:rFonts w:ascii="方正小标宋简体" w:eastAsia="方正小标宋简体" w:cs="方正小标宋简体" w:hAnsi="方正小标宋简体" w:hint="eastAsia"/>
                <w:b w:val="0"/>
                <w:bCs w:val="0"/>
                <w:color w:val="000000"/>
                <w:kern w:val="0"/>
                <w:sz w:val="36"/>
                <w:szCs w:val="36"/>
              </w:rPr>
              <w:t>项目绩效目标完成情况表</w:t>
            </w:r>
            <w:r>
              <w:rPr>
                <w:rFonts w:ascii="方正小标宋简体" w:eastAsia="方正小标宋简体" w:cs="方正小标宋简体" w:hAnsi="方正小标宋简体" w:hint="eastAsia"/>
                <w:b w:val="0"/>
                <w:bCs w:val="0"/>
                <w:color w:val="000000"/>
                <w:kern w:val="0"/>
                <w:sz w:val="36"/>
                <w:szCs w:val="36"/>
                <w:lang w:val="en-US" w:eastAsia="zh-CN"/>
              </w:rPr>
              <w:t>1</w:t>
            </w:r>
            <w:r>
              <w:rPr>
                <w:rFonts w:ascii="方正小标宋简体" w:eastAsia="方正小标宋简体" w:cs="方正小标宋简体" w:hAnsi="方正小标宋简体" w:hint="eastAsia"/>
                <w:b w:val="0"/>
                <w:bCs w:val="0"/>
                <w:color w:val="000000"/>
                <w:kern w:val="0"/>
                <w:sz w:val="36"/>
                <w:szCs w:val="36"/>
              </w:rPr>
              <w:br/>
            </w: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2020年度</w:t>
            </w:r>
            <w:r>
              <w:rPr>
                <w:rFonts w:ascii="方正楷体简体" w:eastAsia="方正楷体简体" w:cs="方正楷体简体" w:hAnsi="方正楷体简体" w:hint="eastAsia"/>
                <w:color w:val="000000"/>
                <w:kern w:val="0"/>
                <w:sz w:val="32"/>
                <w:szCs w:val="32"/>
                <w:lang w:eastAsia="zh-CN"/>
              </w:rPr>
              <w:t>）</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基本公共卫生服务项目</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广元市利州区</w:t>
            </w:r>
            <w:r>
              <w:rPr>
                <w:rFonts w:ascii="宋体" w:cs="宋体" w:hint="eastAsia"/>
                <w:color w:val="000000"/>
                <w:sz w:val="24"/>
                <w:lang w:eastAsia="zh-CN"/>
              </w:rPr>
              <w:t>雪峰</w:t>
            </w:r>
            <w:r>
              <w:rPr>
                <w:rFonts w:ascii="宋体" w:cs="宋体" w:hint="eastAsia"/>
                <w:color w:val="000000"/>
                <w:sz w:val="24"/>
              </w:rPr>
              <w:t>社区卫生服务中心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预算执行情况</w:t>
            </w:r>
            <w:r>
              <w:rPr>
                <w:rFonts w:ascii="宋体" w:cs="宋体" w:hAnsi="宋体"/>
                <w:color w:val="000000"/>
                <w:kern w:val="0"/>
                <w:sz w:val="24"/>
              </w:rPr>
              <w:t>(</w:t>
            </w:r>
            <w:r>
              <w:rPr>
                <w:rFonts w:ascii="宋体" w:cs="宋体" w:hAnsi="宋体" w:hint="eastAsia"/>
                <w:color w:val="000000"/>
                <w:kern w:val="0"/>
                <w:sz w:val="24"/>
              </w:rPr>
              <w:t>万元</w:t>
            </w:r>
            <w:r>
              <w:rPr>
                <w:rFonts w:ascii="宋体" w:cs="宋体" w:hAnsi="宋体"/>
                <w:color w:val="000000"/>
                <w:kern w:val="0"/>
                <w:sz w:val="24"/>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执行数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提高基本公共卫生服务项目均等化水平，规范公共卫生服务行为，推进基本公共卫生服务项目开展，加强孕产妇健康管理和儿童健康管理，把孕产妇和婴儿死亡率控制在指标范围内，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提高基本公共卫生服务项目均等化水平，规范公共卫生服务行为，推进基本公共卫生服务项目开展，加强孕产妇健康管理和儿童健康管理，把孕产妇和婴儿死亡率控制在指标范围内，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预防接种管理率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w:t>
            </w:r>
            <w:r>
              <w:rPr>
                <w:rFonts w:ascii="宋体" w:cs="宋体" w:hAnsi="宋体" w:hint="eastAsia"/>
                <w:color w:val="000000"/>
                <w:kern w:val="0"/>
                <w:sz w:val="24"/>
                <w:lang w:val="en-US" w:eastAsia="zh-CN"/>
              </w:rPr>
              <w:t>6</w:t>
            </w:r>
            <w:r>
              <w:rPr>
                <w:rFonts w:ascii="宋体" w:cs="宋体" w:hAnsi="宋体" w:hint="eastAsia"/>
                <w:color w:val="000000"/>
                <w:kern w:val="0"/>
                <w:sz w:val="24"/>
              </w:rPr>
              <w:t>%</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老年人健康管理率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≥67%</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高血压患者健康管理率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w:t>
            </w:r>
            <w:r>
              <w:rPr>
                <w:rFonts w:ascii="宋体" w:cs="宋体" w:hAnsi="宋体" w:hint="eastAsia"/>
                <w:color w:val="000000"/>
                <w:sz w:val="24"/>
                <w:lang w:val="en-US" w:eastAsia="zh-CN"/>
              </w:rPr>
              <w:t>73</w:t>
            </w:r>
            <w:r>
              <w:rPr>
                <w:rFonts w:ascii="宋体" w:cs="宋体" w:hAnsi="宋体" w:hint="eastAsia"/>
                <w:color w:val="00000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糖尿病患者健康管理率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≥60%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w:t>
            </w:r>
            <w:r>
              <w:rPr>
                <w:rFonts w:ascii="宋体" w:cs="宋体" w:hAnsi="宋体" w:hint="eastAsia"/>
                <w:color w:val="000000"/>
                <w:sz w:val="24"/>
                <w:lang w:val="en-US" w:eastAsia="zh-CN"/>
              </w:rPr>
              <w:t>70</w:t>
            </w:r>
            <w:r>
              <w:rPr>
                <w:rFonts w:ascii="宋体" w:cs="宋体" w:hAnsi="宋体" w:hint="eastAsia"/>
                <w:color w:val="00000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严重精神障碍患者管理率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w:t>
            </w:r>
            <w:r>
              <w:rPr>
                <w:rFonts w:ascii="宋体" w:cs="宋体" w:hAnsi="宋体" w:hint="eastAsia"/>
                <w:color w:val="000000"/>
                <w:kern w:val="0"/>
                <w:sz w:val="24"/>
                <w:lang w:val="en-US" w:eastAsia="zh-CN"/>
              </w:rPr>
              <w:t>99</w:t>
            </w:r>
            <w:r>
              <w:rPr>
                <w:rFonts w:ascii="宋体" w:cs="宋体" w:hAnsi="宋体" w:hint="eastAsia"/>
                <w:color w:val="000000"/>
                <w:kern w:val="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传染病及突发公共卫生事件报告和处理率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结核病患者健康管理率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居民健康档案建档管理率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≥95.66%</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儿童健康管理率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w:t>
            </w:r>
            <w:r>
              <w:rPr>
                <w:rFonts w:ascii="宋体" w:cs="宋体" w:hAnsi="宋体" w:hint="eastAsia"/>
                <w:color w:val="000000"/>
                <w:kern w:val="0"/>
                <w:sz w:val="24"/>
                <w:lang w:val="en-US" w:eastAsia="zh-CN"/>
              </w:rPr>
              <w:t>96</w:t>
            </w:r>
            <w:r>
              <w:rPr>
                <w:rFonts w:ascii="宋体" w:cs="宋体" w:hAnsi="宋体" w:hint="eastAsia"/>
                <w:color w:val="000000"/>
                <w:kern w:val="0"/>
                <w:sz w:val="24"/>
              </w:rPr>
              <w:t>%</w:t>
            </w:r>
          </w:p>
        </w:tc>
      </w:tr>
      <w:tr>
        <w:trPr>
          <w:trHeight w:val="1050"/>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孕产妇健康管理率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val="en-US" w:eastAsia="zh-CN"/>
              </w:rPr>
              <w:t>96</w:t>
            </w:r>
            <w:r>
              <w:rPr>
                <w:rFonts w:ascii="宋体" w:cs="宋体" w:hAnsi="宋体" w:hint="eastAsia"/>
                <w:color w:val="000000"/>
                <w:kern w:val="0"/>
                <w:sz w:val="24"/>
              </w:rPr>
              <w:t>%</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卫生监督协管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有专职卫生监督协管员，规范开展卫生监督工作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highlight w:val="yellow"/>
              </w:rPr>
            </w:pPr>
            <w:r>
              <w:rPr>
                <w:rFonts w:ascii="宋体" w:cs="宋体" w:hAnsi="宋体" w:hint="eastAsia"/>
                <w:color w:val="000000"/>
                <w:kern w:val="0"/>
                <w:sz w:val="24"/>
              </w:rPr>
              <w:t>有专职卫生监督协管员，规范开展卫生监督工作</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中医药服务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75%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78.42%</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 xml:space="preserve">健康教育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100%</w:t>
            </w:r>
          </w:p>
        </w:tc>
      </w:tr>
      <w:tr>
        <w:trPr>
          <w:trHeight w:val="1034"/>
        </w:trPr>
        <w:tc>
          <w:tcPr>
            <w:tcW w:w="9960"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cs="宋体" w:hAnsi="宋体"/>
                <w:color w:val="000000"/>
                <w:sz w:val="36"/>
                <w:szCs w:val="36"/>
              </w:rPr>
            </w:pPr>
            <w:r>
              <w:rPr>
                <w:rFonts w:ascii="方正小标宋简体" w:eastAsia="方正小标宋简体" w:cs="方正小标宋简体" w:hAnsi="方正小标宋简体" w:hint="eastAsia"/>
                <w:b w:val="0"/>
                <w:bCs w:val="0"/>
                <w:color w:val="000000"/>
                <w:kern w:val="0"/>
                <w:sz w:val="36"/>
                <w:szCs w:val="36"/>
              </w:rPr>
              <w:t>项目绩效目标完成情况表</w:t>
            </w:r>
            <w:r>
              <w:rPr>
                <w:rFonts w:ascii="方正小标宋简体" w:eastAsia="方正小标宋简体" w:cs="方正小标宋简体" w:hAnsi="方正小标宋简体" w:hint="eastAsia"/>
                <w:b w:val="0"/>
                <w:bCs w:val="0"/>
                <w:color w:val="000000"/>
                <w:kern w:val="0"/>
                <w:sz w:val="36"/>
                <w:szCs w:val="36"/>
                <w:lang w:val="en-US" w:eastAsia="zh-CN"/>
              </w:rPr>
              <w:t>2</w:t>
            </w:r>
            <w:r>
              <w:rPr>
                <w:rFonts w:ascii="方正小标宋简体" w:eastAsia="方正小标宋简体" w:cs="方正小标宋简体" w:hAnsi="方正小标宋简体" w:hint="eastAsia"/>
                <w:b w:val="0"/>
                <w:bCs w:val="0"/>
                <w:color w:val="000000"/>
                <w:kern w:val="0"/>
                <w:sz w:val="36"/>
                <w:szCs w:val="36"/>
              </w:rPr>
              <w:br/>
            </w: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2020年度</w:t>
            </w:r>
            <w:r>
              <w:rPr>
                <w:rFonts w:ascii="方正楷体简体" w:eastAsia="方正楷体简体" w:cs="方正楷体简体" w:hAnsi="方正楷体简体" w:hint="eastAsia"/>
                <w:color w:val="000000"/>
                <w:kern w:val="0"/>
                <w:sz w:val="32"/>
                <w:szCs w:val="32"/>
                <w:lang w:eastAsia="zh-CN"/>
              </w:rPr>
              <w:t>）</w:t>
            </w:r>
          </w:p>
        </w:tc>
      </w:tr>
      <w:tr>
        <w:trPr>
          <w:trHeight w:val="48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 xml:space="preserve">基本药物制度项目 </w:t>
            </w:r>
          </w:p>
        </w:tc>
      </w:tr>
      <w:tr>
        <w:trPr>
          <w:trHeight w:val="504"/>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w:t>
            </w:r>
            <w:r>
              <w:rPr>
                <w:rFonts w:ascii="宋体" w:cs="宋体" w:hAnsi="宋体" w:hint="eastAsia"/>
                <w:color w:val="000000"/>
                <w:sz w:val="24"/>
                <w:lang w:eastAsia="zh-CN"/>
              </w:rPr>
              <w:t>雪峰</w:t>
            </w:r>
            <w:r>
              <w:rPr>
                <w:rFonts w:ascii="宋体" w:cs="宋体" w:hAnsi="宋体" w:hint="eastAsia"/>
                <w:color w:val="000000"/>
                <w:sz w:val="24"/>
              </w:rPr>
              <w:t>社区卫生服务中心</w:t>
            </w:r>
          </w:p>
        </w:tc>
      </w:tr>
      <w:tr>
        <w:trPr>
          <w:trHeight w:val="448"/>
        </w:trPr>
        <w:tc>
          <w:tcPr>
            <w:tcW w:w="65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r>
      <w:tr>
        <w:trPr>
          <w:trHeight w:val="504"/>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r>
      <w:tr>
        <w:trPr>
          <w:trHeight w:val="409"/>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392"/>
        </w:trPr>
        <w:tc>
          <w:tcPr>
            <w:tcW w:w="65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1、基层医疗卫生机构实施国家基本药物制度；2、巩固基本药物制度，推进综合改革顺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1、巩固基本药物制度，推进综合改革顺利进行；2、加强中心医疗机构卫生服务体系建设，不断提升服务能力和水平，筑牢中心医疗卫生服务网底，实现医改“保基本、强基层、建机制”的目标。</w:t>
            </w:r>
          </w:p>
        </w:tc>
      </w:tr>
      <w:tr>
        <w:trPr>
          <w:trHeight w:val="232"/>
        </w:trPr>
        <w:tc>
          <w:tcPr>
            <w:tcW w:w="656"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560"/>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政府办基层医疗卫生机构基本药物制度覆盖率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374"/>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基层医疗卫生机构基本药物网采率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598"/>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目录药品质量合格率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635"/>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基本药物零差率销售率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599"/>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降低患者的医疗费用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有效</w:t>
            </w:r>
          </w:p>
        </w:tc>
      </w:tr>
      <w:tr>
        <w:trPr>
          <w:trHeight w:val="655"/>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保证药品安全、有效、经济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长期</w:t>
            </w:r>
          </w:p>
        </w:tc>
      </w:tr>
      <w:tr>
        <w:trPr>
          <w:trHeight w:val="598"/>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受益群众满意度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r>
      <w:tr>
        <w:trPr>
          <w:trHeight w:val="683"/>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受益建档立卡贫困人口满意度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r>
    </w:tbl>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2.部门绩效评价结果。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社区卫生服务中心按要求对2020年部门整体支出绩效评价情况开展自评，《广元市利州区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社区卫生服务中心2020年部门整体支出绩效评价报告》见附件（附件1）。</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社区卫生服务中心自行组织对基本公共卫生服务、基本药物制度等开展了绩效评价，《项目2020年绩效评价报告》见附件（附件2）。</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left="0" w:right="0" w:firstLineChars="250" w:firstLine="80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br w:type="page"/>
      </w:r>
    </w:p>
    <w:p>
      <w:pPr>
        <w:spacing w:line="600" w:lineRule="exact"/>
        <w:jc w:val="center"/>
        <w:outlineLvl w:val="0"/>
        <w:rPr>
          <w:rStyle w:val="1Char"/>
          <w:rFonts w:ascii="方正小标宋简体" w:eastAsia="方正小标宋简体" w:cs="方正小标宋简体" w:hAnsi="方正小标宋简体" w:hint="eastAsia"/>
          <w:b w:val="0"/>
          <w:sz w:val="48"/>
          <w:szCs w:val="48"/>
        </w:rPr>
      </w:pPr>
      <w:bookmarkStart w:id="52" w:name="_Toc15396613"/>
      <w:bookmarkStart w:id="53" w:name="_Toc15377225"/>
      <w:r>
        <w:rPr>
          <w:rFonts w:ascii="方正小标宋简体" w:eastAsia="方正小标宋简体" w:cs="方正小标宋简体" w:hAnsi="方正小标宋简体" w:hint="eastAsia"/>
          <w:color w:val="000000"/>
          <w:sz w:val="48"/>
          <w:szCs w:val="48"/>
          <w:lang w:eastAsia="zh-CN"/>
        </w:rPr>
        <w:t>第三部分</w:t>
      </w:r>
      <w:r>
        <w:rPr>
          <w:rFonts w:ascii="方正小标宋简体" w:eastAsia="方正小标宋简体" w:cs="方正小标宋简体" w:hAnsi="方正小标宋简体" w:hint="eastAsia"/>
          <w:color w:val="000000"/>
          <w:sz w:val="48"/>
          <w:szCs w:val="48"/>
          <w:lang w:val="en-US" w:eastAsia="zh-CN"/>
        </w:rPr>
        <w:t xml:space="preserve">  </w:t>
      </w:r>
      <w:r>
        <w:rPr>
          <w:rFonts w:ascii="方正小标宋简体" w:eastAsia="方正小标宋简体" w:cs="方正小标宋简体" w:hAnsi="方正小标宋简体" w:hint="eastAsia"/>
          <w:color w:val="000000"/>
          <w:sz w:val="48"/>
          <w:szCs w:val="48"/>
        </w:rPr>
        <w:t>名</w:t>
      </w:r>
      <w:r>
        <w:rPr>
          <w:rStyle w:val="1Char"/>
          <w:rFonts w:ascii="方正小标宋简体" w:eastAsia="方正小标宋简体" w:cs="方正小标宋简体" w:hAnsi="方正小标宋简体" w:hint="eastAsia"/>
          <w:b w:val="0"/>
          <w:sz w:val="48"/>
          <w:szCs w:val="48"/>
        </w:rPr>
        <w:t>词解释</w:t>
      </w:r>
      <w:bookmarkEnd w:id="52"/>
      <w:bookmarkEnd w:id="53"/>
    </w:p>
    <w:p>
      <w:pPr>
        <w:spacing w:line="600" w:lineRule="exact"/>
        <w:jc w:val="left"/>
        <w:rPr>
          <w:rFonts w:ascii="宋体"/>
          <w:b/>
          <w:color w:val="000000"/>
          <w:sz w:val="44"/>
          <w:szCs w:val="44"/>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1.财政拨款收入：指单位从同级财政部门取得的财政预算资金。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2.事业收入：指事业单位开展专业业务活动及辅助活动取得的收入。如…（二级预算单位事业收入情况）等。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3.经营收入：指事业单位在专业业务活动及其辅助活动之外开展非独立核算经营活动取得的收入。如…（二级预算单位经营收入情况）等。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4.其他收入：指单位取得的除上述收入以外的各项收入。主要是…（收入类型）等。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5.使用非财政拨款结余：指事业单位使用以前年度积累的非财政拨款结余弥补当年收支差额的金额。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6.年初结转和结余：指以前年度尚未完成、结转到本年按有关规定继续使用的资金。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7.结余分配：指事业单位按照会计制度规定缴纳的所得税、提取的专用结余以及转入非财政拨款结余的金额等。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8、年末结转和结余：指单位按有关规定结转到下年或以后年度继续使用的资金。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９.社会保障和就业208（类）05（款）05（项）机关事业单位基本养老保险缴费支出：指事业单位实施养老保险制度由单位缴纳的基本养老保险费支出。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10.卫生健康支出210（类）基层医疗卫生机构03（款）01（项） 城市社区卫生机构：指用于城市社区卫生机构的支出。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11.卫生健康支出210（类）04（款）08（项）基本公共卫生服务：指基本公共卫生支出。</w:t>
        <w:br/>
        <w:t xml:space="preserve">   12.卫生健康支出210（类）04（款）09（项）重大公共卫生专项：指重大疾病预防控制等重大公共卫生服务项目支出。</w:t>
        <w:br/>
        <w:t xml:space="preserve">   13.卫生健康支出210（类）11（款）02（项）行政事业单位医疗：指财政部门安排的事业单位基本医疗保险缴费经费，未参加医疗保险的事业单位的公费医疗经费，按国家规定享受离休人员待遇的医疗经费。</w:t>
        <w:br/>
        <w:t xml:space="preserve">   14.住房保障221（类）02（款）01（项）住房公积金：指事业单位按人力资源 和社会保障部、财政部规定的基本工资和津补贴以及规定比例为职工缴纳的住房公积金。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15.抗疫国债234（类）01（款）02（项）重大疫情防控救治体系建设：指抗疫特别国债资金安排的重大疫情防控救治体系建设支出。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16、卫生健康支出210（类）99（款）01（项）其他卫生健康：除上述项目外其他用于卫生健康方面的支出。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17.基本支出：指为保障机构正常运转、完成日常工作任务而发生的人员支出和公用支出。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18.项目支出：指在基本支出之外为完成特定行政任务和事业发展目标所发生的支出。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19.经营支出：指事业单位在专业业务活动及其辅助活动之外开展非独立核算经营活动发生的支出。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spacing w:line="576" w:lineRule="exact"/>
        <w:ind w:right="0"/>
        <w:jc w:val="center"/>
        <w:textAlignment w:val="auto"/>
        <w:rPr>
          <w:rStyle w:val="1Char"/>
          <w:rFonts w:ascii="黑体" w:eastAsia="黑体" w:hAnsi="黑体"/>
          <w:b w:val="0"/>
        </w:rPr>
      </w:pPr>
      <w:bookmarkStart w:id="54" w:name="_Toc15377226"/>
      <w:r>
        <w:rPr>
          <w:rFonts w:ascii="方正仿宋简体" w:eastAsia="方正仿宋简体" w:cs="方正仿宋简体" w:hAnsi="方正仿宋简体" w:hint="eastAsia"/>
          <w:sz w:val="32"/>
          <w:szCs w:val="32"/>
        </w:rPr>
        <w:br w:type="page"/>
      </w:r>
      <w:bookmarkStart w:id="55" w:name="_Toc15396614"/>
      <w:r>
        <w:rPr>
          <w:rFonts w:ascii="方正小标宋简体" w:eastAsia="方正小标宋简体" w:cs="方正小标宋简体" w:hAnsi="方正小标宋简体" w:hint="eastAsia"/>
          <w:color w:val="000000"/>
          <w:sz w:val="48"/>
          <w:szCs w:val="48"/>
          <w:lang w:eastAsia="zh-CN"/>
        </w:rPr>
        <w:t>第四部分 附件</w:t>
      </w:r>
      <w:bookmarkEnd w:id="55"/>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广元市利州区</w:t>
      </w:r>
      <w:r>
        <w:rPr>
          <w:rFonts w:ascii="方正小标宋简体" w:eastAsia="方正小标宋简体" w:hAnsi="宋体" w:hint="eastAsia"/>
          <w:color w:val="000000"/>
          <w:kern w:val="0"/>
          <w:sz w:val="44"/>
          <w:szCs w:val="44"/>
          <w:lang w:eastAsia="zh-CN"/>
        </w:rPr>
        <w:t>雪峰</w:t>
      </w:r>
      <w:r>
        <w:rPr>
          <w:rFonts w:ascii="方正小标宋简体" w:eastAsia="方正小标宋简体" w:hAnsi="宋体" w:hint="eastAsia"/>
          <w:color w:val="000000"/>
          <w:kern w:val="0"/>
          <w:sz w:val="44"/>
          <w:szCs w:val="44"/>
        </w:rPr>
        <w:t>社区卫生服务中心</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20</w:t>
      </w:r>
      <w:r>
        <w:rPr>
          <w:rFonts w:ascii="方正小标宋简体" w:eastAsia="方正小标宋简体" w:hAnsi="宋体"/>
          <w:color w:val="000000"/>
          <w:kern w:val="0"/>
          <w:sz w:val="44"/>
          <w:szCs w:val="44"/>
        </w:rPr>
        <w:t>年部门</w:t>
      </w:r>
      <w:r>
        <w:rPr>
          <w:rFonts w:ascii="方正小标宋简体" w:eastAsia="方正小标宋简体" w:hAnsi="宋体" w:hint="eastAsia"/>
          <w:color w:val="000000"/>
          <w:kern w:val="0"/>
          <w:sz w:val="44"/>
          <w:szCs w:val="44"/>
          <w:lang w:val="zh-CN"/>
        </w:rPr>
        <w:t>整体支出绩效评价报告</w:t>
      </w:r>
    </w:p>
    <w:p>
      <w:pPr>
        <w:widowControl/>
        <w:adjustRightInd w:val="0"/>
        <w:snapToGrid w:val="0"/>
        <w:spacing w:line="580" w:lineRule="exact"/>
        <w:contextualSpacing/>
        <w:jc w:val="left"/>
        <w:rPr>
          <w:rFonts w:ascii="黑体" w:eastAsia="黑体" w:cs="宋体" w:hAnsi="宋体"/>
          <w:color w:val="000000"/>
          <w:kern w:val="0"/>
          <w:sz w:val="24"/>
          <w:szCs w:val="32"/>
          <w:shd w:val="clear" w:color="auto" w:fill="FFFFFF"/>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部门（单位）概况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（一）机构组成。</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社区卫生服务中心位于利州区</w:t>
      </w:r>
      <w:r>
        <w:rPr>
          <w:rFonts w:ascii="方正仿宋简体" w:eastAsia="方正仿宋简体" w:cs="方正仿宋简体" w:hAnsi="方正仿宋简体" w:hint="eastAsia"/>
          <w:sz w:val="32"/>
          <w:szCs w:val="32"/>
          <w:lang w:eastAsia="zh-CN"/>
        </w:rPr>
        <w:t>东坝雪峰办事处对面</w:t>
      </w:r>
      <w:r>
        <w:rPr>
          <w:rFonts w:ascii="方正仿宋简体" w:eastAsia="方正仿宋简体" w:cs="方正仿宋简体" w:hAnsi="方正仿宋简体" w:hint="eastAsia"/>
          <w:sz w:val="32"/>
          <w:szCs w:val="32"/>
        </w:rPr>
        <w:t>，中心环境优美，设置规范，布局合理，是市、区两级医保定点单位。中心业务用房</w:t>
      </w:r>
      <w:r>
        <w:rPr>
          <w:rFonts w:ascii="方正仿宋简体" w:eastAsia="方正仿宋简体" w:cs="方正仿宋简体" w:hAnsi="方正仿宋简体" w:hint="eastAsia"/>
          <w:sz w:val="32"/>
          <w:szCs w:val="32"/>
          <w:lang w:val="en-US" w:eastAsia="zh-CN"/>
        </w:rPr>
        <w:t>4300</w:t>
      </w:r>
      <w:r>
        <w:rPr>
          <w:rFonts w:ascii="方正仿宋简体" w:eastAsia="方正仿宋简体" w:cs="方正仿宋简体" w:hAnsi="方正仿宋简体" w:hint="eastAsia"/>
          <w:sz w:val="32"/>
          <w:szCs w:val="32"/>
        </w:rPr>
        <w:t>平方米，功能分区为基本医疗区、中医药服务区、住院康复区、公共卫生服务区、后勤保障区，科室设置齐全，设备先进，现开设病床位</w:t>
      </w:r>
      <w:r>
        <w:rPr>
          <w:rFonts w:ascii="方正仿宋简体" w:eastAsia="方正仿宋简体" w:cs="方正仿宋简体" w:hAnsi="方正仿宋简体" w:hint="eastAsia"/>
          <w:sz w:val="32"/>
          <w:szCs w:val="32"/>
          <w:lang w:val="en-US" w:eastAsia="zh-CN"/>
        </w:rPr>
        <w:t>33</w:t>
      </w:r>
      <w:r>
        <w:rPr>
          <w:rFonts w:ascii="方正仿宋简体" w:eastAsia="方正仿宋简体" w:cs="方正仿宋简体" w:hAnsi="方正仿宋简体" w:hint="eastAsia"/>
          <w:sz w:val="32"/>
          <w:szCs w:val="32"/>
        </w:rPr>
        <w:t>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2020年门诊</w:t>
      </w:r>
      <w:r>
        <w:rPr>
          <w:rFonts w:ascii="方正仿宋简体" w:eastAsia="方正仿宋简体" w:cs="方正仿宋简体" w:hAnsi="方正仿宋简体" w:hint="eastAsia"/>
          <w:sz w:val="32"/>
          <w:szCs w:val="32"/>
          <w:lang w:val="en-US" w:eastAsia="zh-CN"/>
        </w:rPr>
        <w:t>84534人次</w:t>
      </w:r>
      <w:r>
        <w:rPr>
          <w:rFonts w:ascii="方正仿宋简体" w:eastAsia="方正仿宋简体" w:cs="方正仿宋简体" w:hAnsi="方正仿宋简体" w:hint="eastAsia"/>
          <w:sz w:val="32"/>
          <w:szCs w:val="32"/>
        </w:rPr>
        <w:t>，收治住院</w:t>
      </w:r>
      <w:r>
        <w:rPr>
          <w:rFonts w:ascii="方正仿宋简体" w:eastAsia="方正仿宋简体" w:cs="方正仿宋简体" w:hAnsi="方正仿宋简体" w:hint="eastAsia"/>
          <w:sz w:val="32"/>
          <w:szCs w:val="32"/>
          <w:lang w:val="en-US" w:eastAsia="zh-CN"/>
        </w:rPr>
        <w:t xml:space="preserve"> 642人次</w:t>
      </w:r>
      <w:r>
        <w:rPr>
          <w:rFonts w:ascii="方正仿宋简体" w:eastAsia="方正仿宋简体" w:cs="方正仿宋简体" w:hAnsi="方正仿宋简体" w:hint="eastAsia"/>
          <w:sz w:val="32"/>
          <w:szCs w:val="32"/>
        </w:rPr>
        <w:t>人次，无医疗差错事故现象发生。主要开设有：全科医疗科、内科、外科、妇产科、口腔科、中医科、妇女保健科、</w:t>
      </w:r>
      <w:r>
        <w:rPr>
          <w:rFonts w:ascii="方正仿宋简体" w:eastAsia="方正仿宋简体" w:cs="方正仿宋简体" w:hAnsi="方正仿宋简体" w:hint="eastAsia"/>
          <w:sz w:val="32"/>
          <w:szCs w:val="32"/>
          <w:lang w:eastAsia="zh-CN"/>
        </w:rPr>
        <w:t>免疫规划科</w:t>
      </w:r>
      <w:r>
        <w:rPr>
          <w:rFonts w:ascii="方正仿宋简体" w:eastAsia="方正仿宋简体" w:cs="方正仿宋简体" w:hAnsi="方正仿宋简体" w:hint="eastAsia"/>
          <w:sz w:val="32"/>
          <w:szCs w:val="32"/>
        </w:rPr>
        <w:t>、医学检验科、医学影像科、X线诊断专业、心电诊断专业。</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（二）机构职能。</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中心拥有ＤＲ数字摄片系统，彩超，全自动生化分析仪、</w:t>
      </w:r>
      <w:r>
        <w:rPr>
          <w:rFonts w:ascii="方正仿宋简体" w:eastAsia="方正仿宋简体" w:cs="方正仿宋简体" w:hAnsi="方正仿宋简体" w:hint="eastAsia"/>
          <w:sz w:val="32"/>
          <w:szCs w:val="32"/>
          <w:lang w:eastAsia="zh-CN"/>
        </w:rPr>
        <w:t>半自动染色体系统、</w:t>
      </w:r>
      <w:r>
        <w:rPr>
          <w:rFonts w:ascii="方正仿宋简体" w:eastAsia="方正仿宋简体" w:cs="方正仿宋简体" w:hAnsi="方正仿宋简体" w:hint="eastAsia"/>
          <w:sz w:val="32"/>
          <w:szCs w:val="32"/>
        </w:rPr>
        <w:t>全自动电解质分析仪、全自动血球分析仪、</w:t>
      </w:r>
      <w:r>
        <w:rPr>
          <w:rFonts w:ascii="方正仿宋简体" w:eastAsia="方正仿宋简体" w:cs="方正仿宋简体" w:hAnsi="方正仿宋简体" w:hint="eastAsia"/>
          <w:sz w:val="32"/>
          <w:szCs w:val="32"/>
          <w:lang w:eastAsia="zh-CN"/>
        </w:rPr>
        <w:t>盆底康复</w:t>
      </w:r>
      <w:r>
        <w:rPr>
          <w:rFonts w:ascii="方正仿宋简体" w:eastAsia="方正仿宋简体" w:cs="方正仿宋简体" w:hAnsi="方正仿宋简体" w:hint="eastAsia"/>
          <w:sz w:val="32"/>
          <w:szCs w:val="32"/>
        </w:rPr>
        <w:t>检查仪等一大批先进的医疗设备。主要承担</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辖区</w:t>
      </w:r>
      <w:r>
        <w:rPr>
          <w:rFonts w:ascii="方正仿宋简体" w:eastAsia="方正仿宋简体" w:cs="方正仿宋简体" w:hAnsi="方正仿宋简体" w:hint="eastAsia"/>
          <w:sz w:val="32"/>
          <w:szCs w:val="32"/>
          <w:lang w:eastAsia="zh-CN"/>
        </w:rPr>
        <w:t>雪峰村</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泡石村、九华村、金山村、五洲社区、芸香</w:t>
      </w:r>
      <w:r>
        <w:rPr>
          <w:rFonts w:ascii="方正仿宋简体" w:eastAsia="方正仿宋简体" w:cs="方正仿宋简体" w:hAnsi="方正仿宋简体" w:hint="eastAsia"/>
          <w:sz w:val="32"/>
          <w:szCs w:val="32"/>
        </w:rPr>
        <w:t>社区</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lang w:val="en-US" w:eastAsia="zh-CN"/>
        </w:rPr>
        <w:t>8个村社</w:t>
      </w:r>
      <w:r>
        <w:rPr>
          <w:rFonts w:ascii="方正仿宋简体" w:eastAsia="方正仿宋简体" w:cs="方正仿宋简体" w:hAnsi="方正仿宋简体" w:hint="eastAsia"/>
          <w:sz w:val="32"/>
          <w:szCs w:val="32"/>
        </w:rPr>
        <w:t>（居委会）的基本公共卫生服务和基本医疗服务工作，服务人口</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万余人。同时完成上级指令性任务。中心始终坚持“敬业、诚信、关爱、助人”的服务宗旨。竭诚为辖区居民提供优质的医疗和公共卫生服务，忠诚担当起辖区居民的健康守门人。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（三）人员概况。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中心现有在岗职工</w:t>
      </w:r>
      <w:r>
        <w:rPr>
          <w:rFonts w:ascii="方正仿宋简体" w:eastAsia="方正仿宋简体" w:cs="方正仿宋简体" w:hAnsi="方正仿宋简体" w:hint="eastAsia"/>
          <w:sz w:val="32"/>
          <w:szCs w:val="32"/>
          <w:lang w:val="en-US" w:eastAsia="zh-CN"/>
        </w:rPr>
        <w:t>69</w:t>
      </w:r>
      <w:r>
        <w:rPr>
          <w:rFonts w:ascii="方正仿宋简体" w:eastAsia="方正仿宋简体" w:cs="方正仿宋简体" w:hAnsi="方正仿宋简体" w:hint="eastAsia"/>
          <w:sz w:val="32"/>
          <w:szCs w:val="32"/>
        </w:rPr>
        <w:t>人，其中在编人员</w:t>
      </w:r>
      <w:r>
        <w:rPr>
          <w:rFonts w:ascii="方正仿宋简体" w:eastAsia="方正仿宋简体" w:cs="方正仿宋简体" w:hAnsi="方正仿宋简体" w:hint="eastAsia"/>
          <w:sz w:val="32"/>
          <w:szCs w:val="32"/>
          <w:lang w:val="en-US" w:eastAsia="zh-CN"/>
        </w:rPr>
        <w:t>28</w:t>
      </w:r>
      <w:r>
        <w:rPr>
          <w:rFonts w:ascii="方正仿宋简体" w:eastAsia="方正仿宋简体" w:cs="方正仿宋简体" w:hAnsi="方正仿宋简体" w:hint="eastAsia"/>
          <w:sz w:val="32"/>
          <w:szCs w:val="32"/>
        </w:rPr>
        <w:t>人，聘用人员</w:t>
      </w:r>
      <w:r>
        <w:rPr>
          <w:rFonts w:ascii="方正仿宋简体" w:eastAsia="方正仿宋简体" w:cs="方正仿宋简体" w:hAnsi="方正仿宋简体" w:hint="eastAsia"/>
          <w:sz w:val="32"/>
          <w:szCs w:val="32"/>
          <w:lang w:val="en-US" w:eastAsia="zh-CN"/>
        </w:rPr>
        <w:t>41</w:t>
      </w:r>
      <w:r>
        <w:rPr>
          <w:rFonts w:ascii="方正仿宋简体" w:eastAsia="方正仿宋简体" w:cs="方正仿宋简体" w:hAnsi="方正仿宋简体" w:hint="eastAsia"/>
          <w:sz w:val="32"/>
          <w:szCs w:val="32"/>
        </w:rPr>
        <w:t>人，正高专业技术职称</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人，副高专业技术职称</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人，中级专业技术职称</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人，初级专业技术职称</w:t>
      </w:r>
      <w:r>
        <w:rPr>
          <w:rFonts w:ascii="方正仿宋简体" w:eastAsia="方正仿宋简体" w:cs="方正仿宋简体" w:hAnsi="方正仿宋简体" w:hint="eastAsia"/>
          <w:sz w:val="32"/>
          <w:szCs w:val="32"/>
          <w:lang w:val="en-US" w:eastAsia="zh-CN"/>
        </w:rPr>
        <w:t>42</w:t>
      </w:r>
      <w:r>
        <w:rPr>
          <w:rFonts w:ascii="方正仿宋简体" w:eastAsia="方正仿宋简体" w:cs="方正仿宋简体" w:hAnsi="方正仿宋简体" w:hint="eastAsia"/>
          <w:sz w:val="32"/>
          <w:szCs w:val="32"/>
        </w:rPr>
        <w:t>人；注册护士</w:t>
      </w:r>
      <w:r>
        <w:rPr>
          <w:rFonts w:ascii="方正仿宋简体" w:eastAsia="方正仿宋简体" w:cs="方正仿宋简体" w:hAnsi="方正仿宋简体" w:hint="eastAsia"/>
          <w:sz w:val="32"/>
          <w:szCs w:val="32"/>
          <w:lang w:val="en-US" w:eastAsia="zh-CN"/>
        </w:rPr>
        <w:t>31</w:t>
      </w:r>
      <w:r>
        <w:rPr>
          <w:rFonts w:ascii="方正仿宋简体" w:eastAsia="方正仿宋简体" w:cs="方正仿宋简体" w:hAnsi="方正仿宋简体" w:hint="eastAsia"/>
          <w:sz w:val="32"/>
          <w:szCs w:val="32"/>
        </w:rPr>
        <w:t>人，全科医师</w:t>
      </w:r>
      <w:r>
        <w:rPr>
          <w:rFonts w:ascii="方正仿宋简体" w:eastAsia="方正仿宋简体" w:cs="方正仿宋简体" w:hAnsi="方正仿宋简体" w:hint="eastAsia"/>
          <w:sz w:val="32"/>
          <w:szCs w:val="32"/>
          <w:lang w:val="en-US" w:eastAsia="zh-CN"/>
        </w:rPr>
        <w:t>17</w:t>
      </w:r>
      <w:r>
        <w:rPr>
          <w:rFonts w:ascii="方正仿宋简体" w:eastAsia="方正仿宋简体" w:cs="方正仿宋简体" w:hAnsi="方正仿宋简体" w:hint="eastAsia"/>
          <w:sz w:val="32"/>
          <w:szCs w:val="32"/>
        </w:rPr>
        <w:t>人，全科医师省级骨干医师培训</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人，卫生专业技术人员占员工总数的90%。能满足临床医疗和教学培训等工作需要。</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二、部门财政资金收支情况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（一）部门财政资金收入情况。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2020年，一般公共预算财政拨款收入</w:t>
      </w:r>
      <w:r>
        <w:rPr>
          <w:rFonts w:ascii="方正仿宋简体" w:eastAsia="方正仿宋简体" w:cs="方正仿宋简体" w:hAnsi="方正仿宋简体" w:hint="eastAsia"/>
          <w:sz w:val="32"/>
          <w:szCs w:val="32"/>
          <w:lang w:val="en-US" w:eastAsia="zh-CN"/>
        </w:rPr>
        <w:t>867.63</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（二）部门财政资金支出情况。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2020年财政拨款支出</w:t>
      </w:r>
      <w:r>
        <w:rPr>
          <w:rFonts w:ascii="方正仿宋简体" w:eastAsia="方正仿宋简体" w:cs="方正仿宋简体" w:hAnsi="方正仿宋简体" w:hint="eastAsia"/>
          <w:sz w:val="32"/>
          <w:szCs w:val="32"/>
          <w:lang w:val="en-US" w:eastAsia="zh-CN"/>
        </w:rPr>
        <w:t>813.12</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三、部门整体预算绩效管理情况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（一）部门预算管理。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积极建立健全财务管理制度和约束机制，依法有效地分配、使用财政资金，提高资金使用效率，保证卫生健康工作有效有序地运行，对中心整体支出进行了有效控制和节约，合理安排中心整体经费支出，严格执行中央厉行节约禁止铺张浪费的要求，无“三公”经费超标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基本支出：为贯彻落实节约、降低事业运行经费的要求，根据各级财政部门的相关政策文件规定，我中心制定了财务管理制度、固定资产管理实施办法、中心工会财务管理办法、物资采购管理办法、精简会议规定、中心单位货币资金及发票的管理办法等相关制度；加强了中心资金的使用管理，坚持勤俭节约，反对奢侈浪费，按制度办事，确保每一分钱都落到实处，每一环节按程序进行，中心财务管理工作做到了细、严、实。基本支出用于发放人员工资、办公事业支出，2020年共支出</w:t>
      </w:r>
      <w:r>
        <w:rPr>
          <w:rFonts w:ascii="方正仿宋简体" w:eastAsia="方正仿宋简体" w:cs="方正仿宋简体" w:hAnsi="方正仿宋简体" w:hint="eastAsia"/>
          <w:sz w:val="32"/>
          <w:szCs w:val="32"/>
          <w:lang w:val="en-US" w:eastAsia="zh-CN"/>
        </w:rPr>
        <w:t>320.66</w:t>
      </w:r>
      <w:r>
        <w:rPr>
          <w:rFonts w:ascii="方正仿宋简体" w:eastAsia="方正仿宋简体" w:cs="方正仿宋简体" w:hAnsi="方正仿宋简体" w:hint="eastAsia"/>
          <w:sz w:val="32"/>
          <w:szCs w:val="32"/>
        </w:rPr>
        <w:t>万元。其中：工资福利支出</w:t>
      </w:r>
      <w:r>
        <w:rPr>
          <w:rFonts w:ascii="方正仿宋简体" w:eastAsia="方正仿宋简体" w:cs="方正仿宋简体" w:hAnsi="方正仿宋简体" w:hint="eastAsia"/>
          <w:sz w:val="32"/>
          <w:szCs w:val="32"/>
          <w:lang w:val="en-US" w:eastAsia="zh-CN"/>
        </w:rPr>
        <w:t>312.85</w:t>
      </w:r>
      <w:r>
        <w:rPr>
          <w:rFonts w:ascii="方正仿宋简体" w:eastAsia="方正仿宋简体" w:cs="方正仿宋简体" w:hAnsi="方正仿宋简体" w:hint="eastAsia"/>
          <w:sz w:val="32"/>
          <w:szCs w:val="32"/>
        </w:rPr>
        <w:t>万元；商品和服务支出为</w:t>
      </w:r>
      <w:r>
        <w:rPr>
          <w:rFonts w:ascii="方正仿宋简体" w:eastAsia="方正仿宋简体" w:cs="方正仿宋简体" w:hAnsi="方正仿宋简体" w:hint="eastAsia"/>
          <w:sz w:val="32"/>
          <w:szCs w:val="32"/>
          <w:lang w:val="en-US" w:eastAsia="zh-CN"/>
        </w:rPr>
        <w:t>7.8</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项目支出：为把财政拨付的专项资金管理好，我中心制定了专项资金管理办法，确保各项目资金专款专用。2020年项目资金共支出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万元。其中：商品和服务支出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（二）结果应用情况。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根据自评结果，2020年度广元市利州区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整体预算绩效质量好，既保障了中心正常办公和生活秩序，又顺利完成各项工作任务，严格履行法定职责，圆满完成了上级业务主管部门的工作任务，准确评价了各项指标的完成情况，群众满意度很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四、评价结论及建议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及时、准确、优质地完成了预算编制；预算执行情况良好，支出管理规范，资金管理制度较为完善，会计核算和账务处理规范，会计资料完整。</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预算不够明确和细化，预算编制的合理性不够。预算执行力度还要进一步加强。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预算编制的前瞻度不够,对当年度新情况、新问题加强前瞻性、针对性研究不多，预算和实际支出调整较大。</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财务管理水平有待提高。财务工作按部就班，缺乏创新，在精度和深度上欠缺，还需要进一步完善，尤其在项目建设方面还需要进一步严格。</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（三）改进建议。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建议财政部门加强对各单位财务人员队伍建设的重视，加强对财务人员做好各项财务工作的指导和培训。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进一步完善和落实相关管理制度，全局上下应加强学习内部控制管理制度，严格遵照相关制度贯彻落实到位，做到精细化管理。</w:t>
      </w:r>
    </w:p>
    <w:p>
      <w:pPr>
        <w:spacing w:line="600" w:lineRule="exact"/>
        <w:jc w:val="left"/>
        <w:outlineLvl w:val="0"/>
        <w:rPr>
          <w:rFonts w:ascii="方正仿宋简体" w:eastAsia="方正仿宋简体" w:cs="方正仿宋简体" w:hAnsi="方正仿宋简体" w:hint="eastAsia"/>
          <w:sz w:val="32"/>
          <w:szCs w:val="32"/>
        </w:rPr>
      </w:pPr>
    </w:p>
    <w:p>
      <w:pPr>
        <w:pStyle w:val="16"/>
        <w:rPr>
          <w:rFonts w:hint="eastAsia"/>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spacing w:line="600" w:lineRule="exact"/>
        <w:jc w:val="left"/>
        <w:outlineLvl w:val="0"/>
        <w:rPr>
          <w:rFonts w:ascii="方正黑体简体" w:eastAsia="方正黑体简体" w:cs="方正黑体简体" w:hAnsi="方正黑体简体"/>
          <w:sz w:val="32"/>
          <w:szCs w:val="32"/>
          <w:lang w:val="en-US" w:eastAsia="zh-CN"/>
        </w:rPr>
      </w:pPr>
      <w:r>
        <w:rPr>
          <w:rFonts w:ascii="方正黑体简体" w:eastAsia="方正黑体简体" w:cs="方正黑体简体" w:hAnsi="方正黑体简体" w:hint="eastAsia"/>
          <w:sz w:val="32"/>
          <w:szCs w:val="32"/>
        </w:rPr>
        <w:t>附件2</w:t>
      </w:r>
      <w:r>
        <w:rPr>
          <w:rFonts w:ascii="方正黑体简体" w:eastAsia="方正黑体简体" w:cs="方正黑体简体" w:hAnsi="方正黑体简体" w:hint="eastAsia"/>
          <w:sz w:val="32"/>
          <w:szCs w:val="32"/>
          <w:lang w:val="en-US" w:eastAsia="zh-CN"/>
        </w:rPr>
        <w:t>-1</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cs="Times New Roman" w:hAnsi="宋体" w:hint="eastAsia"/>
          <w:color w:val="000000"/>
          <w:kern w:val="0"/>
          <w:sz w:val="44"/>
          <w:szCs w:val="44"/>
        </w:rPr>
      </w:pPr>
      <w:r>
        <w:rPr>
          <w:rFonts w:ascii="方正小标宋简体" w:eastAsia="方正小标宋简体" w:cs="Times New Roman" w:hAnsi="宋体" w:hint="eastAsia"/>
          <w:color w:val="000000"/>
          <w:kern w:val="0"/>
          <w:sz w:val="44"/>
          <w:szCs w:val="44"/>
        </w:rPr>
        <w:t>2020年基本药物制度项目支出</w:t>
      </w:r>
    </w:p>
    <w:p>
      <w:pPr>
        <w:spacing w:line="600" w:lineRule="exact"/>
        <w:jc w:val="center"/>
        <w:rPr>
          <w:rFonts w:ascii="方正小标宋简体" w:eastAsia="方正小标宋简体" w:cs="Times New Roman" w:hAnsi="宋体" w:hint="eastAsia"/>
          <w:color w:val="000000"/>
          <w:kern w:val="0"/>
          <w:sz w:val="44"/>
          <w:szCs w:val="44"/>
          <w:lang w:val="zh-CN"/>
        </w:rPr>
      </w:pPr>
      <w:r>
        <w:rPr>
          <w:rFonts w:ascii="方正小标宋简体" w:eastAsia="方正小标宋简体" w:cs="Times New Roman" w:hAnsi="宋体" w:hint="eastAsia"/>
          <w:color w:val="000000"/>
          <w:kern w:val="0"/>
          <w:sz w:val="44"/>
          <w:szCs w:val="44"/>
          <w:lang w:val="zh-CN"/>
        </w:rPr>
        <w:t>绩效评价报告</w:t>
      </w:r>
    </w:p>
    <w:p>
      <w:pPr>
        <w:spacing w:line="600" w:lineRule="exact"/>
        <w:rPr>
          <w:rFonts w:ascii="宋体"/>
          <w:sz w:val="32"/>
          <w:szCs w:val="32"/>
          <w:lang w:val="zh-CN"/>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（一）项目基本情况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该项目资金总投入基本药物补助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1．项目主要内容。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按照国家、省、市、区卫生健康部门工作安排，雪峰社区卫生服务中心属于基层医疗卫生机构，执行国家基本药物制度，根据自身功能定位和服务能力，合理选择配备使用基本药物，严格执行药品零差价率销售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实施基本药物制度后，政府举办的城市社区卫生服务机构的人员支出和业务支出等运行成本通过服务收费和政府补助补偿。基本医疗服务主要通过医疗保障付费和个人付费补偿。</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2．项目应实现的具体绩效目标，包括目标的量化、细化情况以及项目实施进度计划等。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年度绩效目标：中心实施基本药物零利润销售。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长期绩效目标：实施基本药物制度，有利于保障群众基本用药权益，转变“以药补医”机制，也有利于促进药品流通企业资源优化整合，对于实现人人享有基本医疗卫生服务，维修人民健康，体现社会公平，减轻群众用药负担，推动卫生事业发展，具有十分重要的意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3．分析评价申报内容是否与实际相符，申报目标是否合理可行。</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2020年基层医疗卫生机构实施基本药物制度补助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万元，并根据中心2020年1-12月基本药物网采购入库总量进行预分配。并对中心实施基本药物制度绩效考核工作的组织实施进行监督管理。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（三）项目自评步骤及方法。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通过预算执行情况、年度目标完成情况、绩效指标完成情况等，分别对一级指标、二级指标、三级指标完成情况进行绩效评价。</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首先成立绩效评价小组，根据四川省基层医疗卫生机构实施国家基本药物制度补助资金管理及考核办法的文件精神，成立了以中心主任为组长，分管副主任及药剂科长为副组长，中心相关部门负责人为成员的基本药物制度工作领导小组，小组设在医务科，由专人负责本单位的基本药物制度实施，落实项目运行及资金使用情况，及时报送相关资料。其次就是认真贯彻落实四川省医改办《关于实施国家基本药物制度》的通知要求，利州区制定了《基层医疗卫生机构实施国家基本药物制度补偿办法》，我中心认真贯彻落实上级文件要求，中心配备专兼职基本药物采购工作人员，进行网上采购，每月统计，逐级上报。每月达到阳光积分标准。2020年中心实行基本药物零差价销售，实施网上统一采购。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二、项目资金申报及使用情况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（一）项目资金申报及批复情况。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2020年中心实施基本药物制度补助项目安排资金为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万元，由</w:t>
      </w:r>
      <w:r>
        <w:rPr>
          <w:rFonts w:ascii="方正仿宋简体" w:eastAsia="方正仿宋简体" w:cs="方正仿宋简体" w:hAnsi="方正仿宋简体" w:hint="eastAsia"/>
          <w:sz w:val="32"/>
          <w:szCs w:val="32"/>
        </w:rPr>
        <w:t>《广元市利州区卫生健康局关于下达2020年基层医疗机构实施基本药物制度取消药品加成相关补助资金的通知》</w:t>
      </w:r>
      <w:r>
        <w:rPr>
          <w:rFonts w:ascii="方正仿宋简体" w:eastAsia="方正仿宋简体" w:cs="方正仿宋简体" w:hAnsi="方正仿宋简体" w:hint="eastAsia"/>
          <w:sz w:val="32"/>
          <w:szCs w:val="32"/>
          <w:lang w:val="zh-CN"/>
        </w:rPr>
        <w:t>等相关文件精神，下达中心实施基本药物制度补助项目资金</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（二）资金到位及使用情况。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．资金到位</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18.51</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8.56</w:t>
      </w:r>
      <w:r>
        <w:rPr>
          <w:rFonts w:ascii="方正仿宋简体" w:eastAsia="方正仿宋简体" w:cs="方正仿宋简体" w:hAnsi="方正仿宋简体" w:hint="eastAsia"/>
          <w:sz w:val="32"/>
          <w:szCs w:val="32"/>
          <w:lang w:val="zh-CN"/>
        </w:rPr>
        <w:t>万元、区级11</w:t>
      </w:r>
      <w:r>
        <w:rPr>
          <w:rFonts w:ascii="方正仿宋简体" w:eastAsia="方正仿宋简体" w:cs="方正仿宋简体" w:hAnsi="方正仿宋简体" w:hint="eastAsia"/>
          <w:sz w:val="32"/>
          <w:szCs w:val="32"/>
        </w:rPr>
        <w:t>.00</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．资金使用：广元市利州区雪峰社区卫生服务中心收到 2020年基层医疗卫生机构实施基本药物制度项目补助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（三）项目财务管理情况。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支出管理规范，资金管理制度较为完善，会计核算和账务处理规范，会计资料完整真实。</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三、项目实施及管理情况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2020年基层医疗卫生机构实施基本药物制度补助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（一）项目组织架构及实施流程。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成立了中心实施基本药物制度工作小组，由分管医疗业务副主任任组长，医务科、药剂科、病区主任、财务科、信息统计科、免疫规划、廉勤监督委负责人为成员，负责基本药物的网上采购、入库验收、零差价价格复核销售工作、信息统计上报等管理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中心认真贯彻执行国家基本药物制度的各项规章制度，严格执行基本药物的网上采购政策、对配送企业认真审查相关资质，网采药物配送来中心后认真进行入库验收和零差价销售价格复核工作，保障就诊患者权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（三）项目监管情况。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中心党支部、廉勤监督委和聘请的行风监督员不定期对基本药物网采、使用和零差价销售工作情况进行全程监督，中心定期行风建设座谈会，广泛听取病员（家属）代表、配送企业代表、行风监督员、居民代表等的意见和建议，切实改进工作方法，提升服务满意度</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四、项目绩效情况</w:t>
      </w:r>
      <w:r>
        <w:rPr>
          <w:rFonts w:ascii="方正黑体简体" w:eastAsia="方正黑体简体" w:cs="方正黑体简体" w:hAnsi="方正黑体简体" w:hint="eastAsia"/>
          <w:sz w:val="32"/>
          <w:szCs w:val="32"/>
          <w:lang w:val="zh-CN"/>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较好的完成了项目年度绩效目标，通过实施基本药物制度财政项目，弥补了中心实施基本药物制度后药品零差率销售损失的药品利润，确保了中心正常运转和医务人员合理待遇不降低，进一步完善了中心实施基本药物制度的管理工作；保证广大群众用药安全，使药品价格得到合理有效控制，降低城乡居民基本用药负担，提高人民群众健康水平，降低老百姓的就医成本，有效缓解了群众“看病难，看病贵”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（二）项目效益情况。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通过实施基本药物制度财政项目，降低患者的医疗费用，保证药品安全、有效、经济，群众的满意度提高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实施国家基本药物制度涉及面广、工作难度大，为使中心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（二）存在的问题。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1.国家基本药物目录内部份药品与基层临床医疗需求不适应、药品目录品种偏少。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2.省级基本药物采购平台现行目录药品不能满足特殊人需求。很多廉价基药品种厂家已经不生产，一直处于缺货状态，一些疗效好、价格低的药品在省级基本药物采购平台上无法采购。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3.我中心地处市城区，慢性病患者在大医院看病后所用药物档次高，在基层因受药品品种限制，不能满足慢病患者需求。</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（三）相关建议。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1.加强医务工作人员的业务学习培训，提升服务能力。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2.加大资金监管力度，严格资金使用与管理，充分发挥资金的使用效益。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3.制定科学完善的考核机制，加强项目资金管理，提高资金使用率。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4.基药目录定期增补，不断增加药品种类，考虑医生用药习惯及患者要求。</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Style w:val="16"/>
        <w:rPr>
          <w:rFonts w:hint="eastAsia"/>
        </w:rPr>
      </w:pPr>
    </w:p>
    <w:p>
      <w:pPr>
        <w:spacing w:line="600" w:lineRule="exact"/>
        <w:rPr>
          <w:rFonts w:ascii="方正小标宋简体" w:eastAsia="方正小标宋简体" w:hAnsi="宋体" w:hint="eastAsia"/>
          <w:color w:val="000000"/>
          <w:kern w:val="0"/>
          <w:sz w:val="44"/>
          <w:szCs w:val="44"/>
        </w:rPr>
      </w:pPr>
    </w:p>
    <w:p>
      <w:pPr>
        <w:spacing w:line="600" w:lineRule="exact"/>
        <w:jc w:val="left"/>
        <w:outlineLvl w:val="0"/>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rPr>
        <w:t>附件2</w:t>
      </w:r>
      <w:r>
        <w:rPr>
          <w:rFonts w:ascii="方正黑体简体" w:eastAsia="方正黑体简体" w:cs="方正黑体简体" w:hAnsi="方正黑体简体" w:hint="eastAsia"/>
          <w:sz w:val="32"/>
          <w:szCs w:val="32"/>
          <w:lang w:val="en-US" w:eastAsia="zh-CN"/>
        </w:rPr>
        <w:t>-2</w:t>
      </w:r>
    </w:p>
    <w:p>
      <w:pPr>
        <w:pStyle w:val="16"/>
        <w:rPr>
          <w:lang w:val="en-US" w:eastAsia="zh-CN"/>
        </w:rPr>
      </w:pPr>
    </w:p>
    <w:p>
      <w:pPr>
        <w:spacing w:line="600" w:lineRule="exact"/>
        <w:jc w:val="center"/>
        <w:rPr>
          <w:rFonts w:ascii="方正小标宋简体" w:eastAsia="方正小标宋简体" w:cs="Times New Roman" w:hAnsi="宋体" w:hint="eastAsia"/>
          <w:color w:val="000000"/>
          <w:kern w:val="0"/>
          <w:sz w:val="44"/>
          <w:szCs w:val="44"/>
          <w:lang w:val="zh-CN"/>
        </w:rPr>
      </w:pPr>
      <w:r>
        <w:rPr>
          <w:rFonts w:ascii="方正小标宋简体" w:eastAsia="方正小标宋简体" w:cs="Times New Roman" w:hAnsi="宋体" w:hint="eastAsia"/>
          <w:color w:val="000000"/>
          <w:kern w:val="0"/>
          <w:sz w:val="44"/>
          <w:szCs w:val="44"/>
        </w:rPr>
        <w:t>2020年基本公共卫生服务项目</w:t>
      </w:r>
      <w:r>
        <w:rPr>
          <w:rFonts w:ascii="方正小标宋简体" w:eastAsia="方正小标宋简体" w:cs="Times New Roman" w:hAnsi="宋体" w:hint="eastAsia"/>
          <w:color w:val="000000"/>
          <w:kern w:val="0"/>
          <w:sz w:val="44"/>
          <w:szCs w:val="44"/>
          <w:lang w:val="zh-CN"/>
        </w:rPr>
        <w:t>绩效评价报告</w:t>
      </w:r>
    </w:p>
    <w:p>
      <w:pPr>
        <w:spacing w:line="600" w:lineRule="exact"/>
        <w:rPr>
          <w:rFonts w:ascii="宋体" w:hAnsi="宋体"/>
          <w:sz w:val="32"/>
          <w:szCs w:val="32"/>
          <w:lang w:val="zh-CN"/>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（一）项目基本情况。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该项目资金总投入</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167.64</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18.48</w:t>
      </w:r>
      <w:r>
        <w:rPr>
          <w:rFonts w:ascii="方正仿宋简体" w:eastAsia="方正仿宋简体" w:cs="方正仿宋简体" w:hAnsi="方正仿宋简体" w:hint="eastAsia"/>
          <w:sz w:val="32"/>
          <w:szCs w:val="32"/>
          <w:lang w:val="zh-CN"/>
        </w:rPr>
        <w:t>万元、市级补助</w:t>
      </w:r>
      <w:r>
        <w:rPr>
          <w:rFonts w:ascii="方正仿宋简体" w:eastAsia="方正仿宋简体" w:cs="方正仿宋简体" w:hAnsi="方正仿宋简体" w:hint="eastAsia"/>
          <w:sz w:val="32"/>
          <w:szCs w:val="32"/>
          <w:lang w:val="en-US" w:eastAsia="zh-CN"/>
        </w:rPr>
        <w:t>10.05</w:t>
      </w:r>
      <w:r>
        <w:rPr>
          <w:rFonts w:ascii="方正仿宋简体" w:eastAsia="方正仿宋简体" w:cs="方正仿宋简体" w:hAnsi="方正仿宋简体" w:hint="eastAsia"/>
          <w:sz w:val="32"/>
          <w:szCs w:val="32"/>
          <w:lang w:val="zh-CN"/>
        </w:rPr>
        <w:t>万元，区级补助</w:t>
      </w:r>
      <w:r>
        <w:rPr>
          <w:rFonts w:ascii="方正仿宋简体" w:eastAsia="方正仿宋简体" w:cs="方正仿宋简体" w:hAnsi="方正仿宋简体" w:hint="eastAsia"/>
          <w:sz w:val="32"/>
          <w:szCs w:val="32"/>
          <w:lang w:val="en-US" w:eastAsia="zh-CN"/>
        </w:rPr>
        <w:t>6.18</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1．项目主要内容。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依据国家基本公共卫生服务规范（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2．项目应实现的具体绩效目标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免费向居民提供基本公共卫生服务，不断提高居民健康水平。</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通过实施以上14项服务，对影响居民健康的主要卫生问题实施干预，减少主要健康危险因素，有效和控制主要传染病及慢性病，使城乡居民逐步享有均等化的公共卫生服务。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3．分析评价申报内容是否与实际相符，申报目标是否合理可行。</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万元，并根据中心2020年度开展基本公共卫生服务项目工作具体情况进行。并对中心实施基本公共卫生服务项目绩效考核工作的组织实施进行监督管理，中心对辖区内村卫生室进行年度考核。</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（三）项目自评步骤及方法。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通过预算执行情况、年度目标完成情况、绩效指标完成情况等，分别对一级指标、二级指标、三级指标完成情况进行绩效评价。</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为进一步推进辖区基本公共卫生服务项目的规范开展，提高基本公共卫生服务水平，扎实有效实施国家基本公共卫生服务项目。依据《国家基本公共卫生服务规范（第三版）》、四川省卫生健康委员会基层卫生健康处关于对“优质服务基层行”推荐机构和社区医院试点机构采取随机双盲复核工作的通知、</w:t>
      </w:r>
      <w:r>
        <w:rPr>
          <w:rFonts w:ascii="方正仿宋简体" w:eastAsia="方正仿宋简体" w:cs="方正仿宋简体" w:hAnsi="方正仿宋简体" w:hint="eastAsia"/>
          <w:sz w:val="32"/>
          <w:szCs w:val="32"/>
          <w:lang w:val="zh-CN"/>
        </w:rPr>
        <w:t>《广元市利州区卫生健康局关于下达</w:t>
      </w:r>
      <w:r>
        <w:rPr>
          <w:rFonts w:ascii="方正仿宋简体" w:eastAsia="方正仿宋简体" w:cs="方正仿宋简体" w:hAnsi="方正仿宋简体" w:hint="eastAsia"/>
          <w:sz w:val="32"/>
          <w:szCs w:val="32"/>
        </w:rPr>
        <w:t>2020年公共卫生服务中央、省级补助资金和区级配套资金的通知</w:t>
      </w:r>
      <w:r>
        <w:rPr>
          <w:rFonts w:ascii="方正仿宋简体" w:eastAsia="方正仿宋简体" w:cs="方正仿宋简体" w:hAnsi="方正仿宋简体" w:hint="eastAsia"/>
          <w:sz w:val="32"/>
          <w:szCs w:val="32"/>
          <w:lang w:val="zh-CN"/>
        </w:rPr>
        <w:t>》等相关文件下达我中心实施基本公共卫生服务项目补助资金</w:t>
      </w:r>
      <w:r>
        <w:rPr>
          <w:rFonts w:ascii="方正仿宋简体" w:eastAsia="方正仿宋简体" w:cs="方正仿宋简体" w:hAnsi="方正仿宋简体" w:hint="eastAsia"/>
          <w:sz w:val="32"/>
          <w:szCs w:val="32"/>
        </w:rPr>
        <w:t>等文件精神对公共卫生服务项目执行情况进行分项评价考核，对发现存在的问题汇总为整改台账进行逐一整改。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二、项目资金申报及使用情况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（一）项目资金申报及批复情况。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2020年中心实施基本公共卫生服务项目补助安排资金为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万元，由</w:t>
      </w:r>
      <w:r>
        <w:rPr>
          <w:rFonts w:ascii="方正仿宋简体" w:eastAsia="方正仿宋简体" w:cs="方正仿宋简体" w:hAnsi="方正仿宋简体" w:hint="eastAsia"/>
          <w:sz w:val="32"/>
          <w:szCs w:val="32"/>
        </w:rPr>
        <w:t>《广元市利州区卫生健康局关于下达2020年公共卫生服务中央、省级补助资金和区级配套资金的通知》等相关文件下达中心实施基本公共卫生服务项目补助资金</w:t>
      </w:r>
      <w:r>
        <w:rPr>
          <w:rFonts w:ascii="方正仿宋简体" w:eastAsia="方正仿宋简体" w:cs="方正仿宋简体" w:hAnsi="方正仿宋简体" w:hint="eastAsia"/>
          <w:sz w:val="32"/>
          <w:szCs w:val="32"/>
          <w:lang w:val="zh-CN"/>
        </w:rPr>
        <w:t>386.43万元。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（二）资金使用情况。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．资金到位</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167.64</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18.48</w:t>
      </w:r>
      <w:r>
        <w:rPr>
          <w:rFonts w:ascii="方正仿宋简体" w:eastAsia="方正仿宋简体" w:cs="方正仿宋简体" w:hAnsi="方正仿宋简体" w:hint="eastAsia"/>
          <w:sz w:val="32"/>
          <w:szCs w:val="32"/>
          <w:lang w:val="zh-CN"/>
        </w:rPr>
        <w:t>万元、市级补助</w:t>
      </w:r>
      <w:r>
        <w:rPr>
          <w:rFonts w:ascii="方正仿宋简体" w:eastAsia="方正仿宋简体" w:cs="方正仿宋简体" w:hAnsi="方正仿宋简体" w:hint="eastAsia"/>
          <w:sz w:val="32"/>
          <w:szCs w:val="32"/>
          <w:lang w:val="en-US" w:eastAsia="zh-CN"/>
        </w:rPr>
        <w:t>10.05</w:t>
      </w:r>
      <w:r>
        <w:rPr>
          <w:rFonts w:ascii="方正仿宋简体" w:eastAsia="方正仿宋简体" w:cs="方正仿宋简体" w:hAnsi="方正仿宋简体" w:hint="eastAsia"/>
          <w:sz w:val="32"/>
          <w:szCs w:val="32"/>
          <w:lang w:val="zh-CN"/>
        </w:rPr>
        <w:t>万元，区级</w:t>
      </w:r>
      <w:r>
        <w:rPr>
          <w:rFonts w:ascii="方正仿宋简体" w:eastAsia="方正仿宋简体" w:cs="方正仿宋简体" w:hAnsi="方正仿宋简体" w:hint="eastAsia"/>
          <w:sz w:val="32"/>
          <w:szCs w:val="32"/>
          <w:lang w:val="en-US" w:eastAsia="zh-CN"/>
        </w:rPr>
        <w:t>6.18</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．资金使用：广元市利州区雪峰社区卫生服务中心收到 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（三）项目财务管理情况。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该项目资金按各项目具体工作量及成本等进行测算，严格按照完成的数量、质量及考核结果拨付到各项目实施单位。项目资金实行专账管理，专款专用。</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三、项目实施及管理情况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（一）项目组织架构及实施流程。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在区卫健局的领导下、在区公卫指导中心、区疾控中心业务主管部门指导下及中心领导的大力支持下，2020年，</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严格按照《国家基本公共卫生服务规范（第三版）》，认真贯彻落实上级文件精神和要求，加强内部管理，充分调动公共卫生科人员工作积极性和主动性，完善相关制度，认真负责地开展各项基本公共卫生服务工作，取得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努力构建“供给足、环境美、服务优、上下联、信息通、医防融”的新型社区卫生服务体系，实施好“优质服务基层行”行动计划，努力实现预防保健、疾病治疗和健康管理的有效融合。一是制度融合。为形成临床与公卫“两不误、两促进”工作体系，建立“医防融合”工作考核机制，将门诊服务、公共卫生服务、家庭医生签约服务三大项进行打包考核，对门诊就诊及住院患者要求建档、签约率分别达到80%和100%，按季度抽查并纳入绩效考核；二是队伍融合。由临床医生、护士、公卫人员等共同组成家庭医生团队，家庭医生签约服务工作可集中、分散进行，灵活机动选择。宣传义诊活动、慢病上门访视等工作以“团队方式”集中开展；基本医疗、门诊随访等工作可在各自岗位的日常工作中分散进行。同时家庭医生服务工作考核以“团队”为单位，各团队成员共享绩效考核好坏结果，形成一荣俱荣，一损俱损的团队精神氛围。三是工作融合。把握中心人群密集区，实现预防、发现、治疗、随访、健康管理的全周期全过程连续服务。全科诊疗与公共工作融合，对每一个就诊、咨询者均要求建档及签约，完成院内建档4056份，新增高血压399人，新增糖尿病149人，按规定进行相应人群的健康管理，切实提高群众的信赖度和依从性；儿童保健与儿科诊疗工作融合，通过儿童生长发育监测、儿童智力筛查、视力筛查、听力筛查等工作，推动儿童身高门诊、儿童睡眠门诊、儿童行为促进门诊的发展，结合儿童早教中心、妈妈课堂等，实现辖区儿童全方位的健康保障服务。四是信息融合。积极做好基本医疗、基本公卫以及家庭医生签约服务等系统数据的互联共享和实时更新，提高服务质量和效率，充分利用互联网与签约居民在线互动，帮助居民实现从“被动医疗”到“主动健康”，推动家庭医生签约服务工作重点向提质增效转变，为群众提供智能、高效的基本公共卫生、慢性病健康管理等家庭医生签约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丰富服务内涵，推进家医签约。</w:t>
      </w:r>
      <w:r>
        <w:rPr>
          <w:rFonts w:ascii="方正仿宋简体" w:eastAsia="方正仿宋简体" w:cs="方正仿宋简体" w:hAnsi="方正仿宋简体" w:hint="eastAsia"/>
          <w:sz w:val="32"/>
          <w:szCs w:val="32"/>
        </w:rPr>
        <w:t>结合中医、儿保等工作，大力推广各类有偿特色服务包，针对居民个体化定制，累计签约有偿服务包399人，获得居民一致好评。。</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在院内醒目位置设置了《国家基本公共卫生服务项目》公示栏，印发了《国家基本公共卫生服务项目实施方案》，成立了《国家基本公共卫生服务项目工作领导小组》等。根据文件要求，切实做到专款、专用、专账管理，确保项目资金发挥最大的使用效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（三）项目监管情况。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中心严格按照《国家基本公共卫生服务规范（第三版）》要求，按照广元市利州区卫生健康局印发的《2020年度全区国家基本公共卫生服务项目实施方案》要求，认真贯彻落实上级文件精神和要求，加强内部管理，中心成立了以中心主任为组长的《国家基本公共卫生服务项目工作领导小组》，制定了《中心工作人员绩效考核实施方案》、《国家基本公共卫生服务项目绩效考核办法》等。充分调动公共卫生科人员工作积极性和主动性，完善相关制度，认真负责开展各项基本公共卫生服务项目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四、项目绩效情况</w:t>
      </w:r>
      <w:r>
        <w:rPr>
          <w:rFonts w:ascii="方正黑体简体" w:eastAsia="方正黑体简体" w:cs="方正黑体简体" w:hAnsi="方正黑体简体" w:hint="eastAsia"/>
          <w:sz w:val="32"/>
          <w:szCs w:val="32"/>
          <w:lang w:val="zh-CN"/>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基本公共卫生服务总体指标完成较好，均能完成评价指标，达到预期值。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eastAsia="zh-CN"/>
        </w:rPr>
        <w:t>开展居民健康档案补建、复核、更新工作，已累计建立健康档案</w:t>
      </w:r>
      <w:r>
        <w:rPr>
          <w:rFonts w:ascii="方正仿宋简体" w:eastAsia="方正仿宋简体" w:cs="方正仿宋简体" w:hAnsi="方正仿宋简体" w:hint="eastAsia"/>
          <w:sz w:val="32"/>
          <w:szCs w:val="32"/>
          <w:lang w:val="en-US" w:eastAsia="zh-CN"/>
        </w:rPr>
        <w:t>29274</w:t>
      </w:r>
      <w:r>
        <w:rPr>
          <w:rFonts w:ascii="方正仿宋简体" w:eastAsia="方正仿宋简体" w:cs="方正仿宋简体" w:hAnsi="方正仿宋简体" w:hint="eastAsia"/>
          <w:sz w:val="32"/>
          <w:szCs w:val="32"/>
          <w:lang w:eastAsia="zh-CN"/>
        </w:rPr>
        <w:t>份，包括新建</w:t>
      </w:r>
      <w:r>
        <w:rPr>
          <w:rFonts w:ascii="方正仿宋简体" w:eastAsia="方正仿宋简体" w:cs="方正仿宋简体" w:hAnsi="方正仿宋简体" w:hint="eastAsia"/>
          <w:sz w:val="32"/>
          <w:szCs w:val="32"/>
          <w:lang w:val="en-US" w:eastAsia="zh-CN"/>
        </w:rPr>
        <w:t>4065</w:t>
      </w:r>
      <w:r>
        <w:rPr>
          <w:rFonts w:ascii="方正仿宋简体" w:eastAsia="方正仿宋简体" w:cs="方正仿宋简体" w:hAnsi="方正仿宋简体" w:hint="eastAsia"/>
          <w:sz w:val="32"/>
          <w:szCs w:val="32"/>
          <w:lang w:eastAsia="zh-CN"/>
        </w:rPr>
        <w:t>份、注销死亡档案</w:t>
      </w:r>
      <w:r>
        <w:rPr>
          <w:rFonts w:ascii="方正仿宋简体" w:eastAsia="方正仿宋简体" w:cs="方正仿宋简体" w:hAnsi="方正仿宋简体" w:hint="eastAsia"/>
          <w:sz w:val="32"/>
          <w:szCs w:val="32"/>
          <w:lang w:val="en-US" w:eastAsia="zh-CN"/>
        </w:rPr>
        <w:t>121</w:t>
      </w:r>
      <w:r>
        <w:rPr>
          <w:rFonts w:ascii="方正仿宋简体" w:eastAsia="方正仿宋简体" w:cs="方正仿宋简体" w:hAnsi="方正仿宋简体" w:hint="eastAsia"/>
          <w:sz w:val="32"/>
          <w:szCs w:val="32"/>
          <w:lang w:eastAsia="zh-CN"/>
        </w:rPr>
        <w:t>份；按照上级要求，清理身份证问题档案</w:t>
      </w:r>
      <w:r>
        <w:rPr>
          <w:rFonts w:ascii="方正仿宋简体" w:eastAsia="方正仿宋简体" w:cs="方正仿宋简体" w:hAnsi="方正仿宋简体" w:hint="eastAsia"/>
          <w:sz w:val="32"/>
          <w:szCs w:val="32"/>
          <w:lang w:val="en-US" w:eastAsia="zh-CN"/>
        </w:rPr>
        <w:t>2000余份，</w:t>
      </w:r>
      <w:r>
        <w:rPr>
          <w:rFonts w:ascii="方正仿宋简体" w:eastAsia="方正仿宋简体" w:cs="方正仿宋简体" w:hAnsi="方正仿宋简体" w:hint="eastAsia"/>
          <w:sz w:val="32"/>
          <w:szCs w:val="32"/>
          <w:lang w:eastAsia="zh-CN"/>
        </w:rPr>
        <w:t>新增高血压档案</w:t>
      </w:r>
      <w:r>
        <w:rPr>
          <w:rFonts w:ascii="方正仿宋简体" w:eastAsia="方正仿宋简体" w:cs="方正仿宋简体" w:hAnsi="方正仿宋简体" w:hint="eastAsia"/>
          <w:sz w:val="32"/>
          <w:szCs w:val="32"/>
          <w:lang w:val="en-US" w:eastAsia="zh-CN"/>
        </w:rPr>
        <w:t>399</w:t>
      </w:r>
      <w:r>
        <w:rPr>
          <w:rFonts w:ascii="方正仿宋简体" w:eastAsia="方正仿宋简体" w:cs="方正仿宋简体" w:hAnsi="方正仿宋简体" w:hint="eastAsia"/>
          <w:sz w:val="32"/>
          <w:szCs w:val="32"/>
          <w:lang w:eastAsia="zh-CN"/>
        </w:rPr>
        <w:t>份、糖尿病档案</w:t>
      </w:r>
      <w:r>
        <w:rPr>
          <w:rFonts w:ascii="方正仿宋简体" w:eastAsia="方正仿宋简体" w:cs="方正仿宋简体" w:hAnsi="方正仿宋简体" w:hint="eastAsia"/>
          <w:sz w:val="32"/>
          <w:szCs w:val="32"/>
          <w:lang w:val="en-US" w:eastAsia="zh-CN"/>
        </w:rPr>
        <w:t>149</w:t>
      </w:r>
      <w:r>
        <w:rPr>
          <w:rFonts w:ascii="方正仿宋简体" w:eastAsia="方正仿宋简体" w:cs="方正仿宋简体" w:hAnsi="方正仿宋简体" w:hint="eastAsia"/>
          <w:sz w:val="32"/>
          <w:szCs w:val="32"/>
          <w:lang w:eastAsia="zh-CN"/>
        </w:rPr>
        <w:t>份、重精档案</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lang w:eastAsia="zh-CN"/>
        </w:rPr>
        <w:t>份、老年人档案</w:t>
      </w:r>
      <w:r>
        <w:rPr>
          <w:rFonts w:ascii="方正仿宋简体" w:eastAsia="方正仿宋简体" w:cs="方正仿宋简体" w:hAnsi="方正仿宋简体" w:hint="eastAsia"/>
          <w:sz w:val="32"/>
          <w:szCs w:val="32"/>
          <w:lang w:val="en-US" w:eastAsia="zh-CN"/>
        </w:rPr>
        <w:t>451</w:t>
      </w:r>
      <w:r>
        <w:rPr>
          <w:rFonts w:ascii="方正仿宋简体" w:eastAsia="方正仿宋简体" w:cs="方正仿宋简体" w:hAnsi="方正仿宋简体" w:hint="eastAsia"/>
          <w:sz w:val="32"/>
          <w:szCs w:val="32"/>
          <w:lang w:eastAsia="zh-CN"/>
        </w:rPr>
        <w:t>份。全年共开展健康教育讲座</w:t>
      </w: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lang w:eastAsia="zh-CN"/>
        </w:rPr>
        <w:t>次，共累计受益人</w:t>
      </w:r>
      <w:r>
        <w:rPr>
          <w:rFonts w:ascii="方正仿宋简体" w:eastAsia="方正仿宋简体" w:cs="方正仿宋简体" w:hAnsi="方正仿宋简体" w:hint="eastAsia"/>
          <w:sz w:val="32"/>
          <w:szCs w:val="32"/>
          <w:lang w:val="en-US" w:eastAsia="zh-CN"/>
        </w:rPr>
        <w:t>558余人次</w:t>
      </w:r>
      <w:r>
        <w:rPr>
          <w:rFonts w:ascii="方正仿宋简体" w:eastAsia="方正仿宋简体" w:cs="方正仿宋简体" w:hAnsi="方正仿宋简体" w:hint="eastAsia"/>
          <w:sz w:val="32"/>
          <w:szCs w:val="32"/>
          <w:lang w:eastAsia="zh-CN"/>
        </w:rPr>
        <w:t>；制作并更换宣传栏共6期，受益人共</w:t>
      </w:r>
      <w:r>
        <w:rPr>
          <w:rFonts w:ascii="方正仿宋简体" w:eastAsia="方正仿宋简体" w:cs="方正仿宋简体" w:hAnsi="方正仿宋简体" w:hint="eastAsia"/>
          <w:sz w:val="32"/>
          <w:szCs w:val="32"/>
          <w:lang w:val="en-US" w:eastAsia="zh-CN"/>
        </w:rPr>
        <w:t>71500</w:t>
      </w:r>
      <w:r>
        <w:rPr>
          <w:rFonts w:ascii="方正仿宋简体" w:eastAsia="方正仿宋简体" w:cs="方正仿宋简体" w:hAnsi="方正仿宋简体" w:hint="eastAsia"/>
          <w:sz w:val="32"/>
          <w:szCs w:val="32"/>
          <w:lang w:eastAsia="zh-CN"/>
        </w:rPr>
        <w:t>人次；组织健康教育宣传咨询活动共计</w:t>
      </w:r>
      <w:r>
        <w:rPr>
          <w:rFonts w:ascii="方正仿宋简体" w:eastAsia="方正仿宋简体" w:cs="方正仿宋简体" w:hAnsi="方正仿宋简体" w:hint="eastAsia"/>
          <w:sz w:val="32"/>
          <w:szCs w:val="32"/>
          <w:lang w:val="en-US" w:eastAsia="zh-CN"/>
        </w:rPr>
        <w:t>20次</w:t>
      </w:r>
      <w:r>
        <w:rPr>
          <w:rFonts w:ascii="方正仿宋简体" w:eastAsia="方正仿宋简体" w:cs="方正仿宋简体" w:hAnsi="方正仿宋简体" w:hint="eastAsia"/>
          <w:sz w:val="32"/>
          <w:szCs w:val="32"/>
          <w:lang w:eastAsia="zh-CN"/>
        </w:rPr>
        <w:t>，现场咨询累计</w:t>
      </w:r>
      <w:r>
        <w:rPr>
          <w:rFonts w:ascii="方正仿宋简体" w:eastAsia="方正仿宋简体" w:cs="方正仿宋简体" w:hAnsi="方正仿宋简体" w:hint="eastAsia"/>
          <w:sz w:val="32"/>
          <w:szCs w:val="32"/>
          <w:lang w:val="en-US" w:eastAsia="zh-CN"/>
        </w:rPr>
        <w:t>3833</w:t>
      </w:r>
      <w:r>
        <w:rPr>
          <w:rFonts w:ascii="方正仿宋简体" w:eastAsia="方正仿宋简体" w:cs="方正仿宋简体" w:hAnsi="方正仿宋简体" w:hint="eastAsia"/>
          <w:sz w:val="32"/>
          <w:szCs w:val="32"/>
          <w:lang w:eastAsia="zh-CN"/>
        </w:rPr>
        <w:t>人次；全年累计发放各种宣传材料</w:t>
      </w:r>
      <w:r>
        <w:rPr>
          <w:rFonts w:ascii="方正仿宋简体" w:eastAsia="方正仿宋简体" w:cs="方正仿宋简体" w:hAnsi="方正仿宋简体" w:hint="eastAsia"/>
          <w:sz w:val="32"/>
          <w:szCs w:val="32"/>
          <w:lang w:val="en-US" w:eastAsia="zh-CN"/>
        </w:rPr>
        <w:t>22315余</w:t>
      </w:r>
      <w:r>
        <w:rPr>
          <w:rFonts w:ascii="方正仿宋简体" w:eastAsia="方正仿宋简体" w:cs="方正仿宋简体" w:hAnsi="方正仿宋简体" w:hint="eastAsia"/>
          <w:sz w:val="32"/>
          <w:szCs w:val="32"/>
          <w:lang w:eastAsia="zh-CN"/>
        </w:rPr>
        <w:t>份。</w:t>
      </w:r>
      <w:r>
        <w:rPr>
          <w:rFonts w:ascii="方正仿宋简体" w:eastAsia="方正仿宋简体" w:cs="方正仿宋简体" w:hAnsi="方正仿宋简体" w:hint="eastAsia"/>
          <w:sz w:val="32"/>
          <w:szCs w:val="32"/>
          <w:lang w:val="en-US" w:eastAsia="zh-CN"/>
        </w:rPr>
        <w:t>在中心一楼大厅、二楼预防接种留观区、三楼门诊输液厅累计</w:t>
      </w:r>
      <w:r>
        <w:rPr>
          <w:rFonts w:ascii="方正仿宋简体" w:eastAsia="方正仿宋简体" w:cs="方正仿宋简体" w:hAnsi="方正仿宋简体" w:hint="eastAsia"/>
          <w:sz w:val="32"/>
          <w:szCs w:val="32"/>
          <w:lang w:eastAsia="zh-CN"/>
        </w:rPr>
        <w:t>播放健康教育音影资料共</w:t>
      </w:r>
      <w:r>
        <w:rPr>
          <w:rFonts w:ascii="方正仿宋简体" w:eastAsia="方正仿宋简体" w:cs="方正仿宋简体" w:hAnsi="方正仿宋简体" w:hint="eastAsia"/>
          <w:sz w:val="32"/>
          <w:szCs w:val="32"/>
          <w:lang w:val="en-US" w:eastAsia="zh-CN"/>
        </w:rPr>
        <w:t>2146</w:t>
      </w:r>
      <w:r>
        <w:rPr>
          <w:rFonts w:ascii="方正仿宋简体" w:eastAsia="方正仿宋简体" w:cs="方正仿宋简体" w:hAnsi="方正仿宋简体" w:hint="eastAsia"/>
          <w:sz w:val="32"/>
          <w:szCs w:val="32"/>
          <w:lang w:eastAsia="zh-CN"/>
        </w:rPr>
        <w:t>小时。儿童接种卡建卡</w:t>
      </w:r>
      <w:r>
        <w:rPr>
          <w:rFonts w:ascii="方正仿宋简体" w:eastAsia="方正仿宋简体" w:cs="方正仿宋简体" w:hAnsi="方正仿宋简体" w:hint="eastAsia"/>
          <w:sz w:val="32"/>
          <w:szCs w:val="32"/>
          <w:lang w:val="en-US" w:eastAsia="zh-CN"/>
        </w:rPr>
        <w:t>525</w:t>
      </w:r>
      <w:r>
        <w:rPr>
          <w:rFonts w:ascii="方正仿宋简体" w:eastAsia="方正仿宋简体" w:cs="方正仿宋简体" w:hAnsi="方正仿宋简体" w:hint="eastAsia"/>
          <w:sz w:val="32"/>
          <w:szCs w:val="32"/>
          <w:lang w:eastAsia="zh-CN"/>
        </w:rPr>
        <w:t>人，建卡率100%。接种一类疫苗</w:t>
      </w:r>
      <w:r>
        <w:rPr>
          <w:rFonts w:ascii="方正仿宋简体" w:eastAsia="方正仿宋简体" w:cs="方正仿宋简体" w:hAnsi="方正仿宋简体" w:hint="eastAsia"/>
          <w:sz w:val="32"/>
          <w:szCs w:val="32"/>
          <w:lang w:val="en-US" w:eastAsia="zh-CN"/>
        </w:rPr>
        <w:t>15036</w:t>
      </w:r>
      <w:r>
        <w:rPr>
          <w:rFonts w:ascii="方正仿宋简体" w:eastAsia="方正仿宋简体" w:cs="方正仿宋简体" w:hAnsi="方正仿宋简体" w:hint="eastAsia"/>
          <w:sz w:val="32"/>
          <w:szCs w:val="32"/>
          <w:lang w:eastAsia="zh-CN"/>
        </w:rPr>
        <w:t>剂次，接种二类疫苗</w:t>
      </w:r>
      <w:r>
        <w:rPr>
          <w:rFonts w:ascii="方正仿宋简体" w:eastAsia="方正仿宋简体" w:cs="方正仿宋简体" w:hAnsi="方正仿宋简体" w:hint="eastAsia"/>
          <w:sz w:val="32"/>
          <w:szCs w:val="32"/>
          <w:lang w:val="en-US" w:eastAsia="zh-CN"/>
        </w:rPr>
        <w:t>18510</w:t>
      </w:r>
      <w:r>
        <w:rPr>
          <w:rFonts w:ascii="方正仿宋简体" w:eastAsia="方正仿宋简体" w:cs="方正仿宋简体" w:hAnsi="方正仿宋简体" w:hint="eastAsia"/>
          <w:sz w:val="32"/>
          <w:szCs w:val="32"/>
          <w:lang w:eastAsia="zh-CN"/>
        </w:rPr>
        <w:t>剂次，乙肝接种率</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%，卡介苗接种率是</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%，脊灰接种率9</w:t>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lang w:eastAsia="zh-CN"/>
        </w:rPr>
        <w:t>%，百白破9</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lang w:eastAsia="zh-CN"/>
        </w:rPr>
        <w:t>%，麻腮风</w:t>
      </w:r>
      <w:r>
        <w:rPr>
          <w:rFonts w:ascii="方正仿宋简体" w:eastAsia="方正仿宋简体" w:cs="方正仿宋简体" w:hAnsi="方正仿宋简体" w:hint="eastAsia"/>
          <w:sz w:val="32"/>
          <w:szCs w:val="32"/>
          <w:lang w:val="en-US" w:eastAsia="zh-CN"/>
        </w:rPr>
        <w:t>91.74</w:t>
      </w:r>
      <w:r>
        <w:rPr>
          <w:rFonts w:ascii="方正仿宋简体" w:eastAsia="方正仿宋简体" w:cs="方正仿宋简体" w:hAnsi="方正仿宋简体" w:hint="eastAsia"/>
          <w:sz w:val="32"/>
          <w:szCs w:val="32"/>
          <w:lang w:eastAsia="zh-CN"/>
        </w:rPr>
        <w:t>%，A群9</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%，麻风9</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%，甲肝</w:t>
      </w:r>
      <w:r>
        <w:rPr>
          <w:rFonts w:ascii="方正仿宋简体" w:eastAsia="方正仿宋简体" w:cs="方正仿宋简体" w:hAnsi="方正仿宋简体" w:hint="eastAsia"/>
          <w:sz w:val="32"/>
          <w:szCs w:val="32"/>
          <w:lang w:val="en-US" w:eastAsia="zh-CN"/>
        </w:rPr>
        <w:t>97</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通过</w:t>
      </w:r>
      <w:r>
        <w:rPr>
          <w:rFonts w:ascii="方正仿宋简体" w:eastAsia="方正仿宋简体" w:cs="方正仿宋简体" w:hAnsi="方正仿宋简体" w:hint="eastAsia"/>
          <w:sz w:val="32"/>
          <w:szCs w:val="32"/>
          <w:lang w:eastAsia="zh-CN"/>
        </w:rPr>
        <w:t>新生入托入学预防接种证查验及系统搜索进行查漏补种，共查验儿童</w:t>
      </w:r>
      <w:r>
        <w:rPr>
          <w:rFonts w:ascii="方正仿宋简体" w:eastAsia="方正仿宋简体" w:cs="方正仿宋简体" w:hAnsi="方正仿宋简体" w:hint="eastAsia"/>
          <w:sz w:val="32"/>
          <w:szCs w:val="32"/>
          <w:lang w:val="en-US" w:eastAsia="zh-CN"/>
        </w:rPr>
        <w:t>23842人次，需补种1380人，已补种1256人，补种率达到91%。</w:t>
      </w:r>
      <w:r>
        <w:rPr>
          <w:rFonts w:ascii="方正仿宋简体" w:eastAsia="方正仿宋简体" w:cs="方正仿宋简体" w:hAnsi="方正仿宋简体" w:hint="eastAsia"/>
          <w:sz w:val="32"/>
          <w:szCs w:val="32"/>
          <w:lang w:eastAsia="zh-CN"/>
        </w:rPr>
        <w:t>成人接种</w:t>
      </w:r>
      <w:r>
        <w:rPr>
          <w:rFonts w:ascii="方正仿宋简体" w:eastAsia="方正仿宋简体" w:cs="方正仿宋简体" w:hAnsi="方正仿宋简体" w:hint="eastAsia"/>
          <w:sz w:val="32"/>
          <w:szCs w:val="32"/>
          <w:lang w:val="en-US" w:eastAsia="zh-CN"/>
        </w:rPr>
        <w:t>2000人次；建立了大环境相对安全的免疫屏障，</w:t>
      </w:r>
      <w:r>
        <w:rPr>
          <w:rFonts w:ascii="方正仿宋简体" w:eastAsia="方正仿宋简体" w:cs="方正仿宋简体" w:hAnsi="方正仿宋简体" w:hint="eastAsia"/>
          <w:sz w:val="32"/>
          <w:szCs w:val="32"/>
          <w:lang w:eastAsia="zh-CN"/>
        </w:rPr>
        <w:t>确保了我辖区内无疫苗预防相关疾病的发生。在儿童健康管理方面</w:t>
      </w:r>
      <w:r>
        <w:rPr>
          <w:rFonts w:ascii="方正仿宋简体" w:eastAsia="方正仿宋简体" w:cs="方正仿宋简体" w:hAnsi="方正仿宋简体" w:hint="eastAsia"/>
          <w:sz w:val="32"/>
          <w:szCs w:val="32"/>
          <w:lang w:val="en-US" w:eastAsia="zh-CN"/>
        </w:rPr>
        <w:t>累计建立</w:t>
      </w:r>
      <w:r>
        <w:rPr>
          <w:rFonts w:ascii="方正仿宋简体" w:eastAsia="方正仿宋简体" w:cs="方正仿宋简体" w:hAnsi="方正仿宋简体" w:hint="eastAsia"/>
          <w:sz w:val="32"/>
          <w:szCs w:val="32"/>
          <w:lang w:eastAsia="zh-CN"/>
        </w:rPr>
        <w:t>0-6岁儿童健康档案</w:t>
      </w:r>
      <w:r>
        <w:rPr>
          <w:rFonts w:ascii="方正仿宋简体" w:eastAsia="方正仿宋简体" w:cs="方正仿宋简体" w:hAnsi="方正仿宋简体" w:hint="eastAsia"/>
          <w:sz w:val="32"/>
          <w:szCs w:val="32"/>
          <w:lang w:val="en-US" w:eastAsia="zh-CN"/>
        </w:rPr>
        <w:t>3216</w:t>
      </w:r>
      <w:r>
        <w:rPr>
          <w:rFonts w:ascii="方正仿宋简体" w:eastAsia="方正仿宋简体" w:cs="方正仿宋简体" w:hAnsi="方正仿宋简体" w:hint="eastAsia"/>
          <w:sz w:val="32"/>
          <w:szCs w:val="32"/>
          <w:lang w:eastAsia="zh-CN"/>
        </w:rPr>
        <w:t>份，按要求进行</w:t>
      </w:r>
      <w:r>
        <w:rPr>
          <w:rFonts w:ascii="方正仿宋简体" w:eastAsia="方正仿宋简体" w:cs="方正仿宋简体" w:hAnsi="方正仿宋简体" w:hint="eastAsia"/>
          <w:sz w:val="32"/>
          <w:szCs w:val="32"/>
          <w:lang w:val="en-US" w:eastAsia="zh-CN"/>
        </w:rPr>
        <w:t>健康管理3087人，</w:t>
      </w:r>
      <w:r>
        <w:rPr>
          <w:rFonts w:ascii="方正仿宋简体" w:eastAsia="方正仿宋简体" w:cs="方正仿宋简体" w:hAnsi="方正仿宋简体" w:hint="eastAsia"/>
          <w:sz w:val="32"/>
          <w:szCs w:val="32"/>
          <w:lang w:eastAsia="zh-CN"/>
        </w:rPr>
        <w:t>管理</w:t>
      </w:r>
      <w:r>
        <w:rPr>
          <w:rFonts w:ascii="方正仿宋简体" w:eastAsia="方正仿宋简体" w:cs="方正仿宋简体" w:hAnsi="方正仿宋简体" w:hint="eastAsia"/>
          <w:sz w:val="32"/>
          <w:szCs w:val="32"/>
          <w:lang w:val="en-US" w:eastAsia="zh-CN"/>
        </w:rPr>
        <w:t xml:space="preserve">率达96% </w:t>
      </w:r>
      <w:r>
        <w:rPr>
          <w:rFonts w:ascii="方正仿宋简体" w:eastAsia="方正仿宋简体" w:cs="方正仿宋简体" w:hAnsi="方正仿宋简体" w:hint="eastAsia"/>
          <w:sz w:val="32"/>
          <w:szCs w:val="32"/>
          <w:lang w:eastAsia="zh-CN"/>
        </w:rPr>
        <w:t>；全年出生儿童</w:t>
      </w:r>
      <w:r>
        <w:rPr>
          <w:rFonts w:ascii="方正仿宋简体" w:eastAsia="方正仿宋简体" w:cs="方正仿宋简体" w:hAnsi="方正仿宋简体" w:hint="eastAsia"/>
          <w:sz w:val="32"/>
          <w:szCs w:val="32"/>
          <w:lang w:val="en-US" w:eastAsia="zh-CN"/>
        </w:rPr>
        <w:t>475</w:t>
      </w:r>
      <w:r>
        <w:rPr>
          <w:rFonts w:ascii="方正仿宋简体" w:eastAsia="方正仿宋简体" w:cs="方正仿宋简体" w:hAnsi="方正仿宋简体" w:hint="eastAsia"/>
          <w:sz w:val="32"/>
          <w:szCs w:val="32"/>
          <w:lang w:eastAsia="zh-CN"/>
        </w:rPr>
        <w:t>人，新生儿访视</w:t>
      </w:r>
      <w:r>
        <w:rPr>
          <w:rFonts w:ascii="方正仿宋简体" w:eastAsia="方正仿宋简体" w:cs="方正仿宋简体" w:hAnsi="方正仿宋简体" w:hint="eastAsia"/>
          <w:sz w:val="32"/>
          <w:szCs w:val="32"/>
          <w:lang w:val="en-US" w:eastAsia="zh-CN"/>
        </w:rPr>
        <w:t>456</w:t>
      </w:r>
      <w:r>
        <w:rPr>
          <w:rFonts w:ascii="方正仿宋简体" w:eastAsia="方正仿宋简体" w:cs="方正仿宋简体" w:hAnsi="方正仿宋简体" w:hint="eastAsia"/>
          <w:sz w:val="32"/>
          <w:szCs w:val="32"/>
          <w:lang w:eastAsia="zh-CN"/>
        </w:rPr>
        <w:t>人，新生儿访视率9</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%，。对</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lang w:eastAsia="zh-CN"/>
        </w:rPr>
        <w:t>名体弱儿进行专案管理；发放了婴幼儿辅食营养包</w:t>
      </w:r>
      <w:r>
        <w:rPr>
          <w:rFonts w:ascii="方正仿宋简体" w:eastAsia="方正仿宋简体" w:cs="方正仿宋简体" w:hAnsi="方正仿宋简体" w:hint="eastAsia"/>
          <w:sz w:val="32"/>
          <w:szCs w:val="32"/>
          <w:lang w:val="en-US" w:eastAsia="zh-CN"/>
        </w:rPr>
        <w:t>392人</w:t>
      </w:r>
      <w:r>
        <w:rPr>
          <w:rFonts w:ascii="方正仿宋简体" w:eastAsia="方正仿宋简体" w:cs="方正仿宋简体" w:hAnsi="方正仿宋简体" w:hint="eastAsia"/>
          <w:sz w:val="32"/>
          <w:szCs w:val="32"/>
          <w:lang w:eastAsia="zh-CN"/>
        </w:rPr>
        <w:t>，共计</w:t>
      </w:r>
      <w:r>
        <w:rPr>
          <w:rFonts w:ascii="方正仿宋简体" w:eastAsia="方正仿宋简体" w:cs="方正仿宋简体" w:hAnsi="方正仿宋简体" w:hint="eastAsia"/>
          <w:sz w:val="32"/>
          <w:szCs w:val="32"/>
          <w:lang w:val="en-US" w:eastAsia="zh-CN"/>
        </w:rPr>
        <w:t>1406</w:t>
      </w:r>
      <w:r>
        <w:rPr>
          <w:rFonts w:ascii="方正仿宋简体" w:eastAsia="方正仿宋简体" w:cs="方正仿宋简体" w:hAnsi="方正仿宋简体" w:hint="eastAsia"/>
          <w:sz w:val="32"/>
          <w:szCs w:val="32"/>
          <w:lang w:eastAsia="zh-CN"/>
        </w:rPr>
        <w:t>盒。辖区孕产妇共</w:t>
      </w:r>
      <w:r>
        <w:rPr>
          <w:rFonts w:ascii="方正仿宋简体" w:eastAsia="方正仿宋简体" w:cs="方正仿宋简体" w:hAnsi="方正仿宋简体" w:hint="eastAsia"/>
          <w:sz w:val="32"/>
          <w:szCs w:val="32"/>
          <w:lang w:val="en-US" w:eastAsia="zh-CN"/>
        </w:rPr>
        <w:t>475</w:t>
      </w:r>
      <w:r>
        <w:rPr>
          <w:rFonts w:ascii="方正仿宋简体" w:eastAsia="方正仿宋简体" w:cs="方正仿宋简体" w:hAnsi="方正仿宋简体" w:hint="eastAsia"/>
          <w:sz w:val="32"/>
          <w:szCs w:val="32"/>
          <w:lang w:eastAsia="zh-CN"/>
        </w:rPr>
        <w:t>人，系统管理</w:t>
      </w:r>
      <w:r>
        <w:rPr>
          <w:rFonts w:ascii="方正仿宋简体" w:eastAsia="方正仿宋简体" w:cs="方正仿宋简体" w:hAnsi="方正仿宋简体" w:hint="eastAsia"/>
          <w:sz w:val="32"/>
          <w:szCs w:val="32"/>
          <w:lang w:val="en-US" w:eastAsia="zh-CN"/>
        </w:rPr>
        <w:t>456</w:t>
      </w:r>
      <w:r>
        <w:rPr>
          <w:rFonts w:ascii="方正仿宋简体" w:eastAsia="方正仿宋简体" w:cs="方正仿宋简体" w:hAnsi="方正仿宋简体" w:hint="eastAsia"/>
          <w:sz w:val="32"/>
          <w:szCs w:val="32"/>
          <w:lang w:eastAsia="zh-CN"/>
        </w:rPr>
        <w:t>人，管理率9</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%；管理高危产妇数</w:t>
      </w:r>
      <w:r>
        <w:rPr>
          <w:rFonts w:ascii="方正仿宋简体" w:eastAsia="方正仿宋简体" w:cs="方正仿宋简体" w:hAnsi="方正仿宋简体" w:hint="eastAsia"/>
          <w:sz w:val="32"/>
          <w:szCs w:val="32"/>
          <w:lang w:val="en-US" w:eastAsia="zh-CN"/>
        </w:rPr>
        <w:t>223</w:t>
      </w:r>
      <w:r>
        <w:rPr>
          <w:rFonts w:ascii="方正仿宋简体" w:eastAsia="方正仿宋简体" w:cs="方正仿宋简体" w:hAnsi="方正仿宋简体" w:hint="eastAsia"/>
          <w:sz w:val="32"/>
          <w:szCs w:val="32"/>
          <w:lang w:eastAsia="zh-CN"/>
        </w:rPr>
        <w:t>人，高危管理率100%；免费发放叶酸</w:t>
      </w:r>
      <w:r>
        <w:rPr>
          <w:rFonts w:ascii="方正仿宋简体" w:eastAsia="方正仿宋简体" w:cs="方正仿宋简体" w:hAnsi="方正仿宋简体" w:hint="eastAsia"/>
          <w:sz w:val="32"/>
          <w:szCs w:val="32"/>
          <w:lang w:val="en-US" w:eastAsia="zh-CN"/>
        </w:rPr>
        <w:t>144</w:t>
      </w:r>
      <w:r>
        <w:rPr>
          <w:rFonts w:ascii="方正仿宋简体" w:eastAsia="方正仿宋简体" w:cs="方正仿宋简体" w:hAnsi="方正仿宋简体" w:hint="eastAsia"/>
          <w:sz w:val="32"/>
          <w:szCs w:val="32"/>
          <w:lang w:eastAsia="zh-CN"/>
        </w:rPr>
        <w:t>人，发放叶酸</w:t>
      </w:r>
      <w:r>
        <w:rPr>
          <w:rFonts w:ascii="方正仿宋简体" w:eastAsia="方正仿宋简体" w:cs="方正仿宋简体" w:hAnsi="方正仿宋简体" w:hint="eastAsia"/>
          <w:sz w:val="32"/>
          <w:szCs w:val="32"/>
          <w:lang w:val="en-US" w:eastAsia="zh-CN"/>
        </w:rPr>
        <w:t>675</w:t>
      </w:r>
      <w:r>
        <w:rPr>
          <w:rFonts w:ascii="方正仿宋简体" w:eastAsia="方正仿宋简体" w:cs="方正仿宋简体" w:hAnsi="方正仿宋简体" w:hint="eastAsia"/>
          <w:sz w:val="32"/>
          <w:szCs w:val="32"/>
          <w:lang w:eastAsia="zh-CN"/>
        </w:rPr>
        <w:t>瓶。辖区常住65周岁以上老年人</w:t>
      </w:r>
      <w:r>
        <w:rPr>
          <w:rFonts w:ascii="方正仿宋简体" w:eastAsia="方正仿宋简体" w:cs="方正仿宋简体" w:hAnsi="方正仿宋简体" w:hint="eastAsia"/>
          <w:sz w:val="32"/>
          <w:szCs w:val="32"/>
          <w:lang w:val="en-US" w:eastAsia="zh-CN"/>
        </w:rPr>
        <w:t>3370人，</w:t>
      </w:r>
      <w:r>
        <w:rPr>
          <w:rFonts w:ascii="方正仿宋简体" w:eastAsia="方正仿宋简体" w:cs="方正仿宋简体" w:hAnsi="方正仿宋简体" w:hint="eastAsia"/>
          <w:sz w:val="32"/>
          <w:szCs w:val="32"/>
          <w:lang w:eastAsia="zh-CN"/>
        </w:rPr>
        <w:t>共计建档</w:t>
      </w:r>
      <w:r>
        <w:rPr>
          <w:rFonts w:ascii="方正仿宋简体" w:eastAsia="方正仿宋简体" w:cs="方正仿宋简体" w:hAnsi="方正仿宋简体" w:hint="eastAsia"/>
          <w:sz w:val="32"/>
          <w:szCs w:val="32"/>
          <w:lang w:val="en-US" w:eastAsia="zh-CN"/>
        </w:rPr>
        <w:t>3370</w:t>
      </w:r>
      <w:r>
        <w:rPr>
          <w:rFonts w:ascii="方正仿宋简体" w:eastAsia="方正仿宋简体" w:cs="方正仿宋简体" w:hAnsi="方正仿宋简体" w:hint="eastAsia"/>
          <w:sz w:val="32"/>
          <w:szCs w:val="32"/>
          <w:lang w:eastAsia="zh-CN"/>
        </w:rPr>
        <w:t>人，建档率</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为</w:t>
      </w:r>
      <w:r>
        <w:rPr>
          <w:rFonts w:ascii="方正仿宋简体" w:eastAsia="方正仿宋简体" w:cs="方正仿宋简体" w:hAnsi="方正仿宋简体" w:hint="eastAsia"/>
          <w:sz w:val="32"/>
          <w:szCs w:val="32"/>
          <w:lang w:val="en-US" w:eastAsia="zh-CN"/>
        </w:rPr>
        <w:t>1564</w:t>
      </w:r>
      <w:r>
        <w:rPr>
          <w:rFonts w:ascii="方正仿宋简体" w:eastAsia="方正仿宋简体" w:cs="方正仿宋简体" w:hAnsi="方正仿宋简体" w:hint="eastAsia"/>
          <w:sz w:val="32"/>
          <w:szCs w:val="32"/>
          <w:lang w:eastAsia="zh-CN"/>
        </w:rPr>
        <w:t>位老年人进行了免费体检，体检率</w:t>
      </w:r>
      <w:r>
        <w:rPr>
          <w:rFonts w:ascii="方正仿宋简体" w:eastAsia="方正仿宋简体" w:cs="方正仿宋简体" w:hAnsi="方正仿宋简体" w:hint="eastAsia"/>
          <w:sz w:val="32"/>
          <w:szCs w:val="32"/>
          <w:lang w:val="en-US" w:eastAsia="zh-CN"/>
        </w:rPr>
        <w:t>46.4</w:t>
      </w:r>
      <w:r>
        <w:rPr>
          <w:rFonts w:ascii="方正仿宋简体" w:eastAsia="方正仿宋简体" w:cs="方正仿宋简体" w:hAnsi="方正仿宋简体" w:hint="eastAsia"/>
          <w:sz w:val="32"/>
          <w:szCs w:val="32"/>
          <w:lang w:eastAsia="zh-CN"/>
        </w:rPr>
        <w:t>%，中心严格遵守</w:t>
      </w:r>
      <w:r>
        <w:rPr>
          <w:rFonts w:ascii="方正仿宋简体" w:eastAsia="方正仿宋简体" w:cs="方正仿宋简体" w:hAnsi="方正仿宋简体" w:hint="eastAsia"/>
          <w:sz w:val="32"/>
          <w:szCs w:val="32"/>
          <w:lang w:val="en-US" w:eastAsia="zh-CN"/>
        </w:rPr>
        <w:t>35岁首诊测血压制度，不断提高管理率</w:t>
      </w:r>
      <w:r>
        <w:rPr>
          <w:rFonts w:ascii="方正仿宋简体" w:eastAsia="方正仿宋简体" w:cs="方正仿宋简体" w:hAnsi="方正仿宋简体" w:hint="eastAsia"/>
          <w:sz w:val="32"/>
          <w:szCs w:val="32"/>
          <w:lang w:eastAsia="zh-CN"/>
        </w:rPr>
        <w:t>，共管理高血压患者</w:t>
      </w:r>
      <w:r>
        <w:rPr>
          <w:rFonts w:ascii="方正仿宋简体" w:eastAsia="方正仿宋简体" w:cs="方正仿宋简体" w:hAnsi="方正仿宋简体" w:hint="eastAsia"/>
          <w:sz w:val="32"/>
          <w:szCs w:val="32"/>
          <w:lang w:val="en-US" w:eastAsia="zh-CN"/>
        </w:rPr>
        <w:t>1769</w:t>
      </w:r>
      <w:r>
        <w:rPr>
          <w:rFonts w:ascii="方正仿宋简体" w:eastAsia="方正仿宋简体" w:cs="方正仿宋简体" w:hAnsi="方正仿宋简体" w:hint="eastAsia"/>
          <w:sz w:val="32"/>
          <w:szCs w:val="32"/>
          <w:lang w:eastAsia="zh-CN"/>
        </w:rPr>
        <w:t>人，规范化管理</w:t>
      </w:r>
      <w:r>
        <w:rPr>
          <w:rFonts w:ascii="方正仿宋简体" w:eastAsia="方正仿宋简体" w:cs="方正仿宋简体" w:hAnsi="方正仿宋简体" w:hint="eastAsia"/>
          <w:sz w:val="32"/>
          <w:szCs w:val="32"/>
          <w:lang w:val="en-US" w:eastAsia="zh-CN"/>
        </w:rPr>
        <w:t>1373人，管理</w:t>
      </w:r>
      <w:r>
        <w:rPr>
          <w:rFonts w:ascii="方正仿宋简体" w:eastAsia="方正仿宋简体" w:cs="方正仿宋简体" w:hAnsi="方正仿宋简体" w:hint="eastAsia"/>
          <w:sz w:val="32"/>
          <w:szCs w:val="32"/>
          <w:lang w:eastAsia="zh-CN"/>
        </w:rPr>
        <w:t>率</w:t>
      </w:r>
      <w:r>
        <w:rPr>
          <w:rFonts w:ascii="方正仿宋简体" w:eastAsia="方正仿宋简体" w:cs="方正仿宋简体" w:hAnsi="方正仿宋简体" w:hint="eastAsia"/>
          <w:sz w:val="32"/>
          <w:szCs w:val="32"/>
          <w:lang w:val="en-US" w:eastAsia="zh-CN"/>
        </w:rPr>
        <w:t>77.6</w:t>
      </w:r>
      <w:r>
        <w:rPr>
          <w:rFonts w:ascii="方正仿宋简体" w:eastAsia="方正仿宋简体" w:cs="方正仿宋简体" w:hAnsi="方正仿宋简体" w:hint="eastAsia"/>
          <w:sz w:val="32"/>
          <w:szCs w:val="32"/>
          <w:lang w:eastAsia="zh-CN"/>
        </w:rPr>
        <w:t>%；管理糖尿病患者</w:t>
      </w:r>
      <w:r>
        <w:rPr>
          <w:rFonts w:ascii="方正仿宋简体" w:eastAsia="方正仿宋简体" w:cs="方正仿宋简体" w:hAnsi="方正仿宋简体" w:hint="eastAsia"/>
          <w:sz w:val="32"/>
          <w:szCs w:val="32"/>
          <w:lang w:val="en-US" w:eastAsia="zh-CN"/>
        </w:rPr>
        <w:t>652</w:t>
      </w:r>
      <w:r>
        <w:rPr>
          <w:rFonts w:ascii="方正仿宋简体" w:eastAsia="方正仿宋简体" w:cs="方正仿宋简体" w:hAnsi="方正仿宋简体" w:hint="eastAsia"/>
          <w:sz w:val="32"/>
          <w:szCs w:val="32"/>
          <w:lang w:eastAsia="zh-CN"/>
        </w:rPr>
        <w:t>人，规范化管理</w:t>
      </w:r>
      <w:r>
        <w:rPr>
          <w:rFonts w:ascii="方正仿宋简体" w:eastAsia="方正仿宋简体" w:cs="方正仿宋简体" w:hAnsi="方正仿宋简体" w:hint="eastAsia"/>
          <w:sz w:val="32"/>
          <w:szCs w:val="32"/>
          <w:lang w:val="en-US" w:eastAsia="zh-CN"/>
        </w:rPr>
        <w:t>496人，管理</w:t>
      </w:r>
      <w:r>
        <w:rPr>
          <w:rFonts w:ascii="方正仿宋简体" w:eastAsia="方正仿宋简体" w:cs="方正仿宋简体" w:hAnsi="方正仿宋简体" w:hint="eastAsia"/>
          <w:sz w:val="32"/>
          <w:szCs w:val="32"/>
          <w:lang w:eastAsia="zh-CN"/>
        </w:rPr>
        <w:t>率</w:t>
      </w:r>
      <w:r>
        <w:rPr>
          <w:rFonts w:ascii="方正仿宋简体" w:eastAsia="方正仿宋简体" w:cs="方正仿宋简体" w:hAnsi="方正仿宋简体" w:hint="eastAsia"/>
          <w:sz w:val="32"/>
          <w:szCs w:val="32"/>
          <w:lang w:val="en-US" w:eastAsia="zh-CN"/>
        </w:rPr>
        <w:t>76</w:t>
      </w:r>
      <w:r>
        <w:rPr>
          <w:rFonts w:ascii="方正仿宋简体" w:eastAsia="方正仿宋简体" w:cs="方正仿宋简体" w:hAnsi="方正仿宋简体" w:hint="eastAsia"/>
          <w:sz w:val="32"/>
          <w:szCs w:val="32"/>
          <w:lang w:eastAsia="zh-CN"/>
        </w:rPr>
        <w:t>%。高血压随访</w:t>
      </w:r>
      <w:r>
        <w:rPr>
          <w:rFonts w:ascii="方正仿宋简体" w:eastAsia="方正仿宋简体" w:cs="方正仿宋简体" w:hAnsi="方正仿宋简体" w:hint="eastAsia"/>
          <w:sz w:val="32"/>
          <w:szCs w:val="32"/>
          <w:lang w:val="en-US" w:eastAsia="zh-CN"/>
        </w:rPr>
        <w:t>6455</w:t>
      </w:r>
      <w:r>
        <w:rPr>
          <w:rFonts w:ascii="方正仿宋简体" w:eastAsia="方正仿宋简体" w:cs="方正仿宋简体" w:hAnsi="方正仿宋简体" w:hint="eastAsia"/>
          <w:sz w:val="32"/>
          <w:szCs w:val="32"/>
          <w:lang w:eastAsia="zh-CN"/>
        </w:rPr>
        <w:t>人次，血压控制率</w:t>
      </w:r>
      <w:r>
        <w:rPr>
          <w:rFonts w:ascii="方正仿宋简体" w:eastAsia="方正仿宋简体" w:cs="方正仿宋简体" w:hAnsi="方正仿宋简体" w:hint="eastAsia"/>
          <w:sz w:val="32"/>
          <w:szCs w:val="32"/>
          <w:lang w:val="en-US" w:eastAsia="zh-CN"/>
        </w:rPr>
        <w:t>69</w:t>
      </w:r>
      <w:r>
        <w:rPr>
          <w:rFonts w:ascii="方正仿宋简体" w:eastAsia="方正仿宋简体" w:cs="方正仿宋简体" w:hAnsi="方正仿宋简体" w:hint="eastAsia"/>
          <w:sz w:val="32"/>
          <w:szCs w:val="32"/>
          <w:lang w:eastAsia="zh-CN"/>
        </w:rPr>
        <w:t>%；糖尿病随访</w:t>
      </w:r>
      <w:r>
        <w:rPr>
          <w:rFonts w:ascii="方正仿宋简体" w:eastAsia="方正仿宋简体" w:cs="方正仿宋简体" w:hAnsi="方正仿宋简体" w:hint="eastAsia"/>
          <w:sz w:val="32"/>
          <w:szCs w:val="32"/>
          <w:lang w:val="en-US" w:eastAsia="zh-CN"/>
        </w:rPr>
        <w:t>2560</w:t>
      </w:r>
      <w:r>
        <w:rPr>
          <w:rFonts w:ascii="方正仿宋简体" w:eastAsia="方正仿宋简体" w:cs="方正仿宋简体" w:hAnsi="方正仿宋简体" w:hint="eastAsia"/>
          <w:sz w:val="32"/>
          <w:szCs w:val="32"/>
          <w:lang w:eastAsia="zh-CN"/>
        </w:rPr>
        <w:t>人次，血糖控制率为6</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.5%。在严重精神障碍患者管理方面。</w:t>
      </w:r>
      <w:r>
        <w:rPr>
          <w:rFonts w:ascii="方正仿宋简体" w:eastAsia="方正仿宋简体" w:cs="方正仿宋简体" w:hAnsi="方正仿宋简体" w:hint="eastAsia"/>
          <w:sz w:val="32"/>
          <w:szCs w:val="32"/>
          <w:lang w:val="en-US" w:eastAsia="zh-CN"/>
        </w:rPr>
        <w:t>中心</w:t>
      </w:r>
      <w:r>
        <w:rPr>
          <w:rFonts w:ascii="方正仿宋简体" w:eastAsia="方正仿宋简体" w:cs="方正仿宋简体" w:hAnsi="方正仿宋简体" w:hint="eastAsia"/>
          <w:sz w:val="32"/>
          <w:szCs w:val="32"/>
          <w:lang w:eastAsia="zh-CN"/>
        </w:rPr>
        <w:t>加强日常摸排，同时建立了市精神卫生中心、辖区派出所、社区卫生服务中心三方管理模式，目前累计管理患者</w:t>
      </w:r>
      <w:r>
        <w:rPr>
          <w:rFonts w:ascii="方正仿宋简体" w:eastAsia="方正仿宋简体" w:cs="方正仿宋简体" w:hAnsi="方正仿宋简体" w:hint="eastAsia"/>
          <w:sz w:val="32"/>
          <w:szCs w:val="32"/>
          <w:lang w:val="en-US" w:eastAsia="zh-CN"/>
        </w:rPr>
        <w:t>127人，</w:t>
      </w:r>
      <w:r>
        <w:rPr>
          <w:rFonts w:ascii="方正仿宋简体" w:eastAsia="方正仿宋简体" w:cs="方正仿宋简体" w:hAnsi="方正仿宋简体" w:hint="eastAsia"/>
          <w:sz w:val="32"/>
          <w:szCs w:val="32"/>
          <w:lang w:eastAsia="zh-CN"/>
        </w:rPr>
        <w:t>非在管</w:t>
      </w:r>
      <w:r>
        <w:rPr>
          <w:rFonts w:ascii="方正仿宋简体" w:eastAsia="方正仿宋简体" w:cs="方正仿宋简体" w:hAnsi="方正仿宋简体" w:hint="eastAsia"/>
          <w:sz w:val="32"/>
          <w:szCs w:val="32"/>
          <w:lang w:val="en-US" w:eastAsia="zh-CN"/>
        </w:rPr>
        <w:t>1人，</w:t>
      </w:r>
      <w:r>
        <w:rPr>
          <w:rFonts w:ascii="方正仿宋简体" w:eastAsia="方正仿宋简体" w:cs="方正仿宋简体" w:hAnsi="方正仿宋简体" w:hint="eastAsia"/>
          <w:sz w:val="32"/>
          <w:szCs w:val="32"/>
          <w:lang w:eastAsia="zh-CN"/>
        </w:rPr>
        <w:t>规范管理率</w:t>
      </w:r>
      <w:r>
        <w:rPr>
          <w:rFonts w:ascii="方正仿宋简体" w:eastAsia="方正仿宋简体" w:cs="方正仿宋简体" w:hAnsi="方正仿宋简体" w:hint="eastAsia"/>
          <w:sz w:val="32"/>
          <w:szCs w:val="32"/>
          <w:lang w:val="en-US" w:eastAsia="zh-CN"/>
        </w:rPr>
        <w:t>99</w:t>
      </w:r>
      <w:r>
        <w:rPr>
          <w:rFonts w:ascii="方正仿宋简体" w:eastAsia="方正仿宋简体" w:cs="方正仿宋简体" w:hAnsi="方正仿宋简体" w:hint="eastAsia"/>
          <w:sz w:val="32"/>
          <w:szCs w:val="32"/>
          <w:lang w:eastAsia="zh-CN"/>
        </w:rPr>
        <w:t>%，其中精神发育迟滞</w:t>
      </w:r>
      <w:r>
        <w:rPr>
          <w:rFonts w:ascii="方正仿宋简体" w:eastAsia="方正仿宋简体" w:cs="方正仿宋简体" w:hAnsi="方正仿宋简体" w:hint="eastAsia"/>
          <w:sz w:val="32"/>
          <w:szCs w:val="32"/>
          <w:lang w:val="en-US" w:eastAsia="zh-CN"/>
        </w:rPr>
        <w:t>34人，新增26人，体检率100%。</w:t>
      </w:r>
      <w:r>
        <w:rPr>
          <w:rFonts w:ascii="方正仿宋简体" w:eastAsia="方正仿宋简体" w:cs="方正仿宋简体" w:hAnsi="方正仿宋简体" w:hint="eastAsia"/>
          <w:sz w:val="32"/>
          <w:szCs w:val="32"/>
          <w:lang w:eastAsia="zh-CN"/>
        </w:rPr>
        <w:t>中心根据传染病管理各项制度积极开展自查工作，定期开展传染病防治知识、技能的培训；全年传染病共计上报</w:t>
      </w:r>
      <w:r>
        <w:rPr>
          <w:rFonts w:ascii="方正仿宋简体" w:eastAsia="方正仿宋简体" w:cs="方正仿宋简体" w:hAnsi="方正仿宋简体" w:hint="eastAsia"/>
          <w:sz w:val="32"/>
          <w:szCs w:val="32"/>
          <w:lang w:val="en-US" w:eastAsia="zh-CN"/>
        </w:rPr>
        <w:t>15</w:t>
      </w:r>
      <w:r>
        <w:rPr>
          <w:rFonts w:ascii="方正仿宋简体" w:eastAsia="方正仿宋简体" w:cs="方正仿宋简体" w:hAnsi="方正仿宋简体" w:hint="eastAsia"/>
          <w:sz w:val="32"/>
          <w:szCs w:val="32"/>
          <w:lang w:eastAsia="zh-CN"/>
        </w:rPr>
        <w:t>例，无突发公共卫生事件发生；对辖区内学校及幼儿园进行传染病工作督导</w:t>
      </w:r>
      <w:r>
        <w:rPr>
          <w:rFonts w:ascii="方正仿宋简体" w:eastAsia="方正仿宋简体" w:cs="方正仿宋简体" w:hAnsi="方正仿宋简体" w:hint="eastAsia"/>
          <w:sz w:val="32"/>
          <w:szCs w:val="32"/>
          <w:lang w:val="en-US" w:eastAsia="zh-CN"/>
        </w:rPr>
        <w:t>58</w:t>
      </w:r>
      <w:r>
        <w:rPr>
          <w:rFonts w:ascii="方正仿宋简体" w:eastAsia="方正仿宋简体" w:cs="方正仿宋简体" w:hAnsi="方正仿宋简体" w:hint="eastAsia"/>
          <w:sz w:val="32"/>
          <w:szCs w:val="32"/>
          <w:lang w:eastAsia="zh-CN"/>
        </w:rPr>
        <w:t>次，对辖区校园内发生的结核、水痘、手足口病等散发疫情进行处置共</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lang w:eastAsia="zh-CN"/>
        </w:rPr>
        <w:t>次；</w:t>
      </w:r>
      <w:r>
        <w:rPr>
          <w:rFonts w:ascii="方正仿宋简体" w:eastAsia="方正仿宋简体" w:cs="方正仿宋简体" w:hAnsi="方正仿宋简体" w:hint="eastAsia"/>
          <w:sz w:val="32"/>
          <w:szCs w:val="32"/>
          <w:lang w:val="en-US" w:eastAsia="zh-CN"/>
        </w:rPr>
        <w:t>在疫情防控中对辖区66个餐饮店、9个小区、8个企业、8个超市、2个民营医院进行新冠疫情防控督导</w:t>
      </w:r>
      <w:r>
        <w:rPr>
          <w:rFonts w:ascii="方正仿宋简体" w:eastAsia="方正仿宋简体" w:cs="方正仿宋简体" w:hAnsi="方正仿宋简体" w:hint="eastAsia"/>
          <w:sz w:val="32"/>
          <w:szCs w:val="32"/>
          <w:lang w:eastAsia="zh-CN"/>
        </w:rPr>
        <w:t>，累计</w:t>
      </w:r>
      <w:r>
        <w:rPr>
          <w:rFonts w:ascii="方正仿宋简体" w:eastAsia="方正仿宋简体" w:cs="方正仿宋简体" w:hAnsi="方正仿宋简体" w:hint="eastAsia"/>
          <w:sz w:val="32"/>
          <w:szCs w:val="32"/>
          <w:lang w:val="en-US" w:eastAsia="zh-CN"/>
        </w:rPr>
        <w:t>93次。</w:t>
      </w:r>
      <w:r>
        <w:rPr>
          <w:rFonts w:ascii="方正仿宋简体" w:eastAsia="方正仿宋简体" w:cs="方正仿宋简体" w:hAnsi="方正仿宋简体" w:hint="eastAsia"/>
          <w:sz w:val="32"/>
          <w:szCs w:val="32"/>
          <w:lang w:eastAsia="zh-CN"/>
        </w:rPr>
        <w:t>并对辖区内所有的学校和托幼机构、三村三社生活饮用水巡查、打击非法行医巡查、公共场所卫生监督协管工作及村卫生室的督导检查共计</w:t>
      </w:r>
      <w:r>
        <w:rPr>
          <w:rFonts w:ascii="方正仿宋简体" w:eastAsia="方正仿宋简体" w:cs="方正仿宋简体" w:hAnsi="方正仿宋简体" w:hint="eastAsia"/>
          <w:sz w:val="32"/>
          <w:szCs w:val="32"/>
          <w:lang w:val="en-US" w:eastAsia="zh-CN"/>
        </w:rPr>
        <w:t>246次，</w:t>
      </w:r>
      <w:r>
        <w:rPr>
          <w:rFonts w:ascii="方正仿宋简体" w:eastAsia="方正仿宋简体" w:cs="方正仿宋简体" w:hAnsi="方正仿宋简体" w:hint="eastAsia"/>
          <w:sz w:val="32"/>
          <w:szCs w:val="32"/>
          <w:lang w:eastAsia="zh-CN"/>
        </w:rPr>
        <w:t>上报卫生计生监督协管信息</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次，全年无安全事故的发生。开展中医药健康管理工作，</w:t>
      </w:r>
      <w:r>
        <w:rPr>
          <w:rFonts w:ascii="方正仿宋简体" w:eastAsia="方正仿宋简体" w:cs="方正仿宋简体" w:hAnsi="方正仿宋简体" w:hint="eastAsia"/>
          <w:sz w:val="32"/>
          <w:szCs w:val="32"/>
          <w:lang w:val="en-US" w:eastAsia="zh-CN"/>
        </w:rPr>
        <w:t>1359</w:t>
      </w:r>
      <w:r>
        <w:rPr>
          <w:rFonts w:ascii="方正仿宋简体" w:eastAsia="方正仿宋简体" w:cs="方正仿宋简体" w:hAnsi="方正仿宋简体" w:hint="eastAsia"/>
          <w:sz w:val="32"/>
          <w:szCs w:val="32"/>
          <w:lang w:eastAsia="zh-CN"/>
        </w:rPr>
        <w:t>位老人进行了中医体质辨识，管理率达</w:t>
      </w:r>
      <w:r>
        <w:rPr>
          <w:rFonts w:ascii="方正仿宋简体" w:eastAsia="方正仿宋简体" w:cs="方正仿宋简体" w:hAnsi="方正仿宋简体" w:hint="eastAsia"/>
          <w:sz w:val="32"/>
          <w:szCs w:val="32"/>
          <w:lang w:val="en-US" w:eastAsia="zh-CN"/>
        </w:rPr>
        <w:t>40.3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1787</w:t>
      </w:r>
      <w:r>
        <w:rPr>
          <w:rFonts w:ascii="方正仿宋简体" w:eastAsia="方正仿宋简体" w:cs="方正仿宋简体" w:hAnsi="方正仿宋简体" w:hint="eastAsia"/>
          <w:sz w:val="32"/>
          <w:szCs w:val="32"/>
          <w:lang w:eastAsia="zh-CN"/>
        </w:rPr>
        <w:t>人儿童进行了中医药健康管理，服务率达</w:t>
      </w:r>
      <w:r>
        <w:rPr>
          <w:rFonts w:ascii="方正仿宋简体" w:eastAsia="方正仿宋简体" w:cs="方正仿宋简体" w:hAnsi="方正仿宋简体" w:hint="eastAsia"/>
          <w:sz w:val="32"/>
          <w:szCs w:val="32"/>
          <w:lang w:val="en-US" w:eastAsia="zh-CN"/>
        </w:rPr>
        <w:t>98</w:t>
      </w:r>
      <w:r>
        <w:rPr>
          <w:rFonts w:ascii="方正仿宋简体" w:eastAsia="方正仿宋简体" w:cs="方正仿宋简体" w:hAnsi="方正仿宋简体" w:hint="eastAsia"/>
          <w:sz w:val="32"/>
          <w:szCs w:val="32"/>
          <w:lang w:eastAsia="zh-CN"/>
        </w:rPr>
        <w:t>%。结核病防治工作主要以预防为主，通过“3.24”结核病防治日宣传结核病防治知识，发放了结核病防治知识宣传单、宣传手册约</w:t>
      </w:r>
      <w:r>
        <w:rPr>
          <w:rFonts w:ascii="方正仿宋简体" w:eastAsia="方正仿宋简体" w:cs="方正仿宋简体" w:hAnsi="方正仿宋简体" w:hint="eastAsia"/>
          <w:sz w:val="32"/>
          <w:szCs w:val="32"/>
          <w:lang w:val="en-US" w:eastAsia="zh-CN"/>
        </w:rPr>
        <w:t>4000</w:t>
      </w:r>
      <w:r>
        <w:rPr>
          <w:rFonts w:ascii="方正仿宋简体" w:eastAsia="方正仿宋简体" w:cs="方正仿宋简体" w:hAnsi="方正仿宋简体" w:hint="eastAsia"/>
          <w:sz w:val="32"/>
          <w:szCs w:val="32"/>
          <w:lang w:eastAsia="zh-CN"/>
        </w:rPr>
        <w:t>余份；对上级医院确诊并进行治疗的</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lang w:eastAsia="zh-CN"/>
        </w:rPr>
        <w:t>名肺结核病人，进行规范化管理，管理率</w:t>
      </w:r>
      <w:r>
        <w:rPr>
          <w:rFonts w:ascii="方正仿宋简体" w:eastAsia="方正仿宋简体" w:cs="方正仿宋简体" w:hAnsi="方正仿宋简体" w:hint="eastAsia"/>
          <w:sz w:val="32"/>
          <w:szCs w:val="32"/>
          <w:lang w:val="en-US" w:eastAsia="zh-CN"/>
        </w:rPr>
        <w:t>100%，累计</w:t>
      </w:r>
      <w:r>
        <w:rPr>
          <w:rFonts w:ascii="方正仿宋简体" w:eastAsia="方正仿宋简体" w:cs="方正仿宋简体" w:hAnsi="方正仿宋简体" w:hint="eastAsia"/>
          <w:sz w:val="32"/>
          <w:szCs w:val="32"/>
          <w:lang w:eastAsia="zh-CN"/>
        </w:rPr>
        <w:t>随访</w:t>
      </w:r>
      <w:r>
        <w:rPr>
          <w:rFonts w:ascii="方正仿宋简体" w:eastAsia="方正仿宋简体" w:cs="方正仿宋简体" w:hAnsi="方正仿宋简体" w:hint="eastAsia"/>
          <w:sz w:val="32"/>
          <w:szCs w:val="32"/>
          <w:lang w:val="en-US" w:eastAsia="zh-CN"/>
        </w:rPr>
        <w:t>132人次</w:t>
      </w:r>
      <w:r>
        <w:rPr>
          <w:rFonts w:ascii="方正仿宋简体" w:eastAsia="方正仿宋简体" w:cs="方正仿宋简体" w:hAnsi="方正仿宋简体" w:hint="eastAsia"/>
          <w:sz w:val="32"/>
          <w:szCs w:val="32"/>
          <w:lang w:eastAsia="zh-CN"/>
        </w:rPr>
        <w:t>，其中</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lang w:eastAsia="zh-CN"/>
        </w:rPr>
        <w:t>名已完成初治疗程。在家庭医生团队签约服务方面。</w:t>
      </w:r>
      <w:r>
        <w:rPr>
          <w:rFonts w:ascii="方正仿宋简体" w:eastAsia="方正仿宋简体" w:cs="方正仿宋简体" w:hAnsi="方正仿宋简体" w:hint="eastAsia"/>
          <w:sz w:val="32"/>
          <w:szCs w:val="32"/>
          <w:lang w:val="en-US" w:eastAsia="zh-CN"/>
        </w:rPr>
        <w:t>加强家庭医生签约服务工作量与质的考核，每季度对4个团队进行抽查并核实服务的真实性，考核结果于绩效挂钩。截止2020年10月底，累计签约23575人，签约率80.7%。</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（二）项目效益情况。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免费向居民提供基本公共卫生服务，不断提高居民健康水平。通过实施以上14项服务，对影响居民健康的主要卫生问题实施干预，减少主要健康危险因素，有效和控制主要传染病及慢性病，使城乡居民逐步享有均等化的公共卫生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改变服务理念，创新服务模式，推动了基本公共卫生服务工作和家庭医生签约服务工作上新台阶。变“要我服务”为“我要服务”，改“坐堂行医”为“上门服务”，在公卫分管领导的带领下，由公共卫生科牵头，组织各家庭医生团队走进社区、小区、居民家中送服务、送健康。在居民小区悬挂家医服务队旗、宣传横幅、展架，开展义诊服务，现场免费测量血压、血糖、身高、体重、腰围等检查，发放宣传资料，免费为居民建立健康档案和签约家庭医生服务协议。扩大了宣传覆盖面，使项目工作推进取得了实效。</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建立考核激励机制：中心完善了绩效考核方案，定期对各项目执行科室、卫生站进行现场督导考核，及时发现和解决存在的问题和不足，为项目开展提供了技术保障，采取查阅资料、听取汇报、现场查看、电话核查等形式，对随机抽取的科室、卫生站基本公共卫生服务实施情况进行督导检查。考核结果与绩效挂钩，大大提高了职工的工作积极性，推动了各项工作任务的落实，提高了工作效率和服务质量。</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强化培训学习：积极参加上级主管部门组织的各项业务培训，根据自身的实际情况，定期或不定期对中心医务人员和卫生工作人员进行培训。培训人员、培训区域都实现了全覆盖，大大提升了医务人员的业务水平和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积极与街道办事处、派出所、综治办、民政、残联及社区等多部门协作，信息数据的共享，大力推动了基本公共卫生服务项目的实施。尤其是对严重精神障碍患者家庭入户访视、早孕信息的获得、家庭医生签约服务和国家基本公共卫生服务项目的宣传取得了显著成绩。</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积极运用中医药方法为65岁及以上老年人、0-3岁儿童、高血压、糖尿病、孕产妇、残疾人等重点人群提供健康服务，如中医药康复治疗、开展中医药养生保健知识讲座、个体化中医药保健知识指导等。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国家基本公共卫生服务项目在中心各科室积极配合下，认真分解任务，落实责任，开展了一系列的项目活动。中心组织精干力量，深入乡镇、社区积极开展项目的指导、培训等工作，以“政府主导、部门配合、专业机构技术支撑、全社会参与”的运行模式，使辖区重点人群发现、分类干预、患者自我管理和健康教育与健康教育促进等各项工作得到了有效推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（二）存在的问题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通过考核、督导情况来看存在一些问题和薄弱环节，归纳起来，主要有以下几个方面：</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公共卫生服务的项目多，人群覆盖面大，工作压力较大，工作人员不足，在一定程度上影响了工作质量。</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重点人群健康管理工作尚需加强，入户工作相对较少，主要存在部分随访不及时和不规范问题。普通人群健康档案利用度较低，存在死档现象。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val="zh-CN"/>
        </w:rPr>
        <w:t>政府部门支持力度有限，居民对社区卫生服务认识存有距离，对国家政策了解不够深入，“居民健康档案”“家庭医生团队签约服务”等这一系例的国家惠民政策还没被理解和接受。</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（三）相关建议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创新运行机制，拓宽服务内涵，强化信息化建设，将公共卫生服务与日常诊疗工作相结合，由家庭医生团队对居民健康实行责任制管理，主动上门服务，通过为居民建立健康档案，设立以社区康复和护理为主要内容的家庭病床，探索开展社区卫生服务首诊制，为居民提供综合、连续、人性化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2.持续加强公卫科人员的业务知识培训学习，提升科室人员的整体素质，健全工作机制，强化工作职责，在工作中探索新模式，提高公共卫生服务能力。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3.认真对照督导检查中发现的问题，紧密结合上级业务部门的指导意见，及时发现问题并采取有效措施进行整改，力争在年内完成各项公共卫生服务指标。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加大宣传力度，提高健康意识。利用慢病随访、家庭医生签约服务、发放健康教育服务等入户机会对群众进行相关知识的健康教育，改变部分群众的不良生活习惯，加强宣传基本公共卫生服务项目内容及国家的相关惠民政策，努力提高群众的健康意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5.加强村卫生室管理，形成齐抓共管的局面，推动基本公共卫生服务项目可持续健康发展。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p>
    <w:p>
      <w:pPr>
        <w:pStyle w:val="16"/>
        <w:rPr>
          <w:rFonts w:ascii="方正仿宋简体" w:eastAsia="方正仿宋简体" w:cs="方正仿宋简体" w:hAnsi="方正仿宋简体" w:hint="eastAsia"/>
          <w:sz w:val="32"/>
          <w:szCs w:val="32"/>
          <w:lang w:val="zh-CN"/>
        </w:rPr>
      </w:pPr>
    </w:p>
    <w:p>
      <w:pPr>
        <w:pStyle w:val="16"/>
        <w:rPr>
          <w:rFonts w:ascii="方正仿宋简体" w:eastAsia="方正仿宋简体" w:cs="方正仿宋简体" w:hAnsi="方正仿宋简体" w:hint="eastAsia"/>
          <w:sz w:val="32"/>
          <w:szCs w:val="32"/>
          <w:lang w:val="zh-CN"/>
        </w:rPr>
      </w:pPr>
    </w:p>
    <w:p>
      <w:pPr>
        <w:spacing w:line="600" w:lineRule="exact"/>
        <w:jc w:val="center"/>
        <w:outlineLvl w:val="0"/>
        <w:rPr>
          <w:rStyle w:val="1Char"/>
          <w:rFonts w:ascii="黑体" w:eastAsia="黑体" w:hAnsi="黑体"/>
          <w:b w:val="0"/>
        </w:rPr>
      </w:pPr>
      <w:bookmarkEnd w:id="54"/>
    </w:p>
    <w:p>
      <w:pPr>
        <w:spacing w:line="600" w:lineRule="exact"/>
        <w:jc w:val="center"/>
        <w:outlineLvl w:val="0"/>
        <w:rPr>
          <w:rStyle w:val="1Char"/>
          <w:rFonts w:ascii="方正小标宋简体" w:eastAsia="方正小标宋简体" w:cs="方正小标宋简体" w:hAnsi="方正小标宋简体" w:hint="eastAsia"/>
          <w:b w:val="0"/>
          <w:sz w:val="48"/>
          <w:szCs w:val="48"/>
        </w:rPr>
      </w:pPr>
      <w:r>
        <w:rPr>
          <w:rFonts w:ascii="方正小标宋简体" w:eastAsia="方正小标宋简体" w:cs="方正小标宋简体" w:hAnsi="方正小标宋简体" w:hint="eastAsia"/>
          <w:color w:val="000000"/>
          <w:sz w:val="48"/>
          <w:szCs w:val="48"/>
        </w:rPr>
        <w:t>第</w:t>
      </w:r>
      <w:r>
        <w:rPr>
          <w:rStyle w:val="1Char"/>
          <w:rFonts w:ascii="方正小标宋简体" w:eastAsia="方正小标宋简体" w:cs="方正小标宋简体" w:hAnsi="方正小标宋简体" w:hint="eastAsia"/>
          <w:b w:val="0"/>
          <w:sz w:val="48"/>
          <w:szCs w:val="48"/>
        </w:rPr>
        <w:t>五部分 附表</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6" w:name="_Toc1539661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一、收入支出决算总表</w:t>
      </w:r>
      <w:bookmarkEnd w:id="5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7" w:name="_Toc15396620"/>
      <w:r>
        <w:rPr>
          <w:rFonts w:ascii="方正仿宋简体" w:eastAsia="方正仿宋简体" w:cs="方正仿宋简体" w:hAnsi="方正仿宋简体" w:hint="eastAsia"/>
          <w:sz w:val="32"/>
          <w:szCs w:val="32"/>
        </w:rPr>
        <w:t>二、收入决算表</w:t>
      </w:r>
      <w:bookmarkEnd w:id="5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8" w:name="_Toc15396621"/>
      <w:r>
        <w:rPr>
          <w:rFonts w:ascii="方正仿宋简体" w:eastAsia="方正仿宋简体" w:cs="方正仿宋简体" w:hAnsi="方正仿宋简体" w:hint="eastAsia"/>
          <w:sz w:val="32"/>
          <w:szCs w:val="32"/>
        </w:rPr>
        <w:t>三、支出决算表</w:t>
      </w:r>
      <w:bookmarkEnd w:id="58"/>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9" w:name="_Toc15396622"/>
      <w:r>
        <w:rPr>
          <w:rFonts w:ascii="方正仿宋简体" w:eastAsia="方正仿宋简体" w:cs="方正仿宋简体" w:hAnsi="方正仿宋简体" w:hint="eastAsia"/>
          <w:sz w:val="32"/>
          <w:szCs w:val="32"/>
        </w:rPr>
        <w:t>四、财政拨款收入支出决算总表</w:t>
      </w:r>
      <w:bookmarkEnd w:id="5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0" w:name="_Toc15396623"/>
      <w:r>
        <w:rPr>
          <w:rFonts w:ascii="方正仿宋简体" w:eastAsia="方正仿宋简体" w:cs="方正仿宋简体" w:hAnsi="方正仿宋简体" w:hint="eastAsia"/>
          <w:sz w:val="32"/>
          <w:szCs w:val="32"/>
        </w:rPr>
        <w:t>五、财政拨款支出决算明细表</w:t>
      </w:r>
      <w:bookmarkStart w:id="61" w:name="_Toc15396624"/>
      <w:bookmarkEnd w:id="6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六、一般公共预算财政拨款支出决算表</w:t>
      </w:r>
      <w:bookmarkEnd w:id="6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2" w:name="_Toc15396625"/>
      <w:r>
        <w:rPr>
          <w:rFonts w:ascii="方正仿宋简体" w:eastAsia="方正仿宋简体" w:cs="方正仿宋简体" w:hAnsi="方正仿宋简体" w:hint="eastAsia"/>
          <w:sz w:val="32"/>
          <w:szCs w:val="32"/>
        </w:rPr>
        <w:t>七、一般公共预算财政拨款支出决算明细表</w:t>
      </w:r>
      <w:bookmarkEnd w:id="62"/>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3" w:name="_Toc15396626"/>
      <w:r>
        <w:rPr>
          <w:rFonts w:ascii="方正仿宋简体" w:eastAsia="方正仿宋简体" w:cs="方正仿宋简体" w:hAnsi="方正仿宋简体" w:hint="eastAsia"/>
          <w:sz w:val="32"/>
          <w:szCs w:val="32"/>
        </w:rPr>
        <w:t>八、一般公共预算财政拨款基本支出决算表</w:t>
      </w:r>
      <w:bookmarkEnd w:id="6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4" w:name="_Toc15396627"/>
      <w:r>
        <w:rPr>
          <w:rFonts w:ascii="方正仿宋简体" w:eastAsia="方正仿宋简体" w:cs="方正仿宋简体" w:hAnsi="方正仿宋简体" w:hint="eastAsia"/>
          <w:sz w:val="32"/>
          <w:szCs w:val="32"/>
        </w:rPr>
        <w:t>九、一般公共预算财政拨款项目支出决算表</w:t>
      </w:r>
      <w:bookmarkEnd w:id="64"/>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5" w:name="_Toc15396628"/>
      <w:r>
        <w:rPr>
          <w:rFonts w:ascii="方正仿宋简体" w:eastAsia="方正仿宋简体" w:cs="方正仿宋简体" w:hAnsi="方正仿宋简体" w:hint="eastAsia"/>
          <w:sz w:val="32"/>
          <w:szCs w:val="32"/>
        </w:rPr>
        <w:t>十、一般公共预算财政拨款“三公”经费支出决算表</w:t>
      </w:r>
      <w:bookmarkEnd w:id="65"/>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6" w:name="_Toc15396629"/>
      <w:r>
        <w:rPr>
          <w:rFonts w:ascii="方正仿宋简体" w:eastAsia="方正仿宋简体" w:cs="方正仿宋简体" w:hAnsi="方正仿宋简体" w:hint="eastAsia"/>
          <w:sz w:val="32"/>
          <w:szCs w:val="32"/>
        </w:rPr>
        <w:t>十一、政府性基金预算财政拨款收入支出决算表</w:t>
      </w:r>
      <w:bookmarkEnd w:id="6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7" w:name="_Toc15396630"/>
      <w:r>
        <w:rPr>
          <w:rFonts w:ascii="方正仿宋简体" w:eastAsia="方正仿宋简体" w:cs="方正仿宋简体" w:hAnsi="方正仿宋简体" w:hint="eastAsia"/>
          <w:sz w:val="32"/>
          <w:szCs w:val="32"/>
        </w:rPr>
        <w:t>十二、政府性基金预算财政拨款“三公”经费支出决算表</w:t>
      </w:r>
      <w:bookmarkEnd w:id="6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8" w:name="_Toc15396631"/>
      <w:r>
        <w:rPr>
          <w:rFonts w:ascii="方正仿宋简体" w:eastAsia="方正仿宋简体" w:cs="方正仿宋简体" w:hAnsi="方正仿宋简体" w:hint="eastAsia"/>
          <w:sz w:val="32"/>
          <w:szCs w:val="32"/>
        </w:rPr>
        <w:t>十三、国有资本经营预算财政拨款支出决算表</w:t>
      </w:r>
      <w:bookmarkEnd w:id="68"/>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sectPr>
      <w:headerReference w:type="default" r:id="rId2"/>
      <w:headerReference w:type="first" r:id="rId3"/>
      <w:footerReference w:type="default" r:id="rId4"/>
      <w:footerReference w:type="first" r:id="rId5"/>
      <w:pgSz w:w="11906" w:h="16838"/>
      <w:pgMar w:top="2098" w:right="1531" w:bottom="1984" w:left="1531" w:header="851" w:footer="1417" w:gutter="0"/>
      <w:pgNumType w:fmt="numberInDash" w:start="1"/>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script"/>
    <w:pitch w:val="variable"/>
    <w:sig w:usb0="00000001" w:usb1="080E0000" w:usb2="00000000" w:usb3="00000000" w:csb0="00040000" w:csb1="00000000"/>
  </w:font>
  <w:font w:name="仿宋">
    <w:altName w:val="方正仿宋_GBK"/>
    <w:panose1 w:val="02010609060101010101"/>
    <w:charset w:val="86"/>
    <w:family w:val="auto"/>
    <w:pitch w:val="variable"/>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Calibri">
    <w:altName w:val="Times New Roman"/>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18"/>
      </w:rPr>
      <mc:AlternateContent>
        <mc:Choice Requires="wps">
          <w:drawing>
            <wp:anchor distT="0" distB="0" distL="114300" distR="114300" simplePos="0" relativeHeight="24" behindDoc="0" locked="0" layoutInCell="1" hidden="0" allowOverlap="1">
              <wp:simplePos x="0" y="0"/>
              <wp:positionH relativeFrom="margin">
                <wp:align>outside</wp:align>
              </wp:positionH>
              <wp:positionV relativeFrom="paragraph">
                <wp:posOffset>-9529468</wp:posOffset>
              </wp:positionV>
              <wp:extent cx="533400" cy="23058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33400" cy="230584"/>
                      </a:xfrm>
                      <a:prstGeom prst="rect"/>
                      <a:noFill/>
                      <a:ln w="6350" cmpd="sng" cap="flat">
                        <a:noFill/>
                        <a:prstDash val="solid"/>
                        <a:round/>
                      </a:ln>
                    </wps:spPr>
                    <wps:txbx id="1">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476.74997pt;margin-top:-750.3518pt;width:42.0pt;height:18.156235pt;z-index:24;mso-position-horizontal:outside;mso-position-horizontal-relative:margin;mso-position-vertical:absolute;mso-wrap-style:none;">
              <v:stroke/>
              <v:textbox id="850" inset="0mm,0mm,0mm,0mm" o:insetmode="custom" style="layout-flow:horizontal;v-text-anchor:top;mso-fit-shape-to-text:t;">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v:textbox>
            </v:rect>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300" distR="114300" simplePos="0" relativeHeight="28" behindDoc="0" locked="0" layoutInCell="1" hidden="0"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144.0pt;height:144.0pt;z-index:28;mso-position-horizontal:outside;mso-position-horizontal-relative:margin;mso-position-vertical:absolute;mso-wrap-style:none;">
              <v:stroke/>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pPr>
      <w:spacing w:after="120"/>
      <w:ind w:leftChars="200" w:left="200"/>
    </w:pPr>
  </w:style>
  <w:style w:type="paragraph" w:styleId="16">
    <w:name w:val="Body Text First Indent 2"/>
    <w:qFormat/>
    <w:basedOn w:val="15"/>
    <w:pPr>
      <w:ind w:firstLineChars="200" w:firstLine="200"/>
    </w:pPr>
  </w:style>
  <w:style w:type="paragraph" w:styleId="17">
    <w:name w:val="Body Text"/>
    <w:qFormat/>
    <w:basedOn w:val="0"/>
    <w:pPr>
      <w:spacing w:beforeLines="30" w:before="30"/>
    </w:pPr>
    <w:rPr>
      <w:rFonts w:ascii="仿宋_GB2312" w:eastAsia="仿宋_GB2312"/>
      <w:kern w:val="0"/>
      <w:sz w:val="24"/>
      <w:szCs w:val="20"/>
    </w:rPr>
  </w:style>
  <w:style w:type="paragraph" w:styleId="18">
    <w:name w:val="footer"/>
    <w:qFormat/>
    <w:basedOn w:val="0"/>
    <w:pPr>
      <w:tabs>
        <w:tab w:val="center" w:pos="4153"/>
        <w:tab w:val="right" w:pos="8306"/>
      </w:tabs>
      <w:snapToGrid w:val="0"/>
      <w:jc w:val="left"/>
    </w:pPr>
    <w:rPr>
      <w:rFonts w:ascii="Calibri" w:hAnsi="Calibri"/>
      <w:kern w:val="0"/>
      <w:sz w:val="18"/>
      <w:szCs w:val="20"/>
    </w:rPr>
  </w:style>
  <w:style w:type="paragraph" w:styleId="19">
    <w:name w:val="header"/>
    <w:qFormat/>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1"/>
    <w:qFormat/>
    <w:basedOn w:val="0"/>
    <w:next w:val="0"/>
    <w:pPr>
      <w:tabs>
        <w:tab w:val="right" w:leader="dot" w:pos="8296"/>
      </w:tabs>
      <w:spacing w:before="93"/>
      <w:jc w:val="center"/>
    </w:pPr>
    <w:rPr>
      <w:rFonts w:ascii="仿宋" w:eastAsia="仿宋" w:hAnsi="仿宋"/>
      <w:sz w:val="28"/>
      <w:szCs w:val="28"/>
    </w:rPr>
  </w:style>
  <w:style w:type="paragraph" w:styleId="21">
    <w:name w:val="toc 2"/>
    <w:qFormat/>
    <w:basedOn w:val="0"/>
    <w:next w:val="0"/>
    <w:pPr>
      <w:tabs>
        <w:tab w:val="right" w:leader="dot" w:pos="8296"/>
      </w:tabs>
      <w:ind w:leftChars="200" w:left="200"/>
    </w:pPr>
  </w:style>
  <w:style w:type="paragraph" w:styleId="22">
    <w:name w:val="Normal (Web)"/>
    <w:qFormat/>
    <w:basedOn w:val="0"/>
    <w:pPr>
      <w:widowControl/>
      <w:spacing w:before="100" w:beforeAutospacing="1" w:after="100" w:afterAutospacing="1"/>
      <w:jc w:val="left"/>
    </w:pPr>
    <w:rPr>
      <w:rFonts w:ascii="宋体" w:cs="宋体" w:hAnsi="宋体"/>
      <w:kern w:val="0"/>
      <w:sz w:val="24"/>
    </w:rPr>
  </w:style>
  <w:style w:type="character" w:styleId="23">
    <w:name w:val="Strong"/>
    <w:qFormat/>
    <w:basedOn w:val="10"/>
    <w:rPr>
      <w:rFonts w:cs="Times New Roman"/>
      <w:b/>
    </w:rPr>
  </w:style>
  <w:style w:type="character" w:styleId="24">
    <w:name w:val="Hyperlink"/>
    <w:qFormat/>
    <w:basedOn w:val="10"/>
    <w:rPr>
      <w:rFonts w:cs="Times New Roman"/>
      <w:color w:val="0000FF"/>
      <w:u w:val="single"/>
    </w:rPr>
  </w:style>
  <w:style w:type="paragraph" w:customStyle="1" w:styleId="25">
    <w:name w:val="BodyTextIndent"/>
    <w:qFormat/>
    <w:basedOn w:val="0"/>
    <w:pPr>
      <w:spacing w:after="120"/>
      <w:ind w:leftChars="200" w:left="200"/>
      <w:textAlignment w:val="baseline"/>
    </w:pPr>
  </w:style>
  <w:style w:type="paragraph" w:customStyle="1" w:styleId="26">
    <w:name w:val="BodyText1I2"/>
    <w:qFormat/>
    <w:basedOn w:val="25"/>
    <w:pPr>
      <w:spacing w:before="100" w:beforeAutospacing="1" w:after="100" w:afterAutospacing="1"/>
      <w:ind w:firstLineChars="200" w:firstLine="200"/>
    </w:pPr>
  </w:style>
  <w:style w:type="paragraph" w:customStyle="1" w:styleId="27">
    <w:name w:val="List Paragraph"/>
    <w:qFormat/>
    <w:basedOn w:val="0"/>
    <w:pPr>
      <w:ind w:firstLineChars="200" w:firstLine="200"/>
    </w:pPr>
  </w:style>
  <w:style w:type="paragraph" w:customStyle="1" w:styleId="28">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character" w:customStyle="1" w:styleId="29">
    <w:name w:val="15"/>
    <w:qFormat/>
    <w:basedOn w:val="10"/>
    <w:rPr>
      <w:rFonts w:ascii="Cambria" w:eastAsia="宋体" w:cs="Times New Roman" w:hAnsi="Cambria"/>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5.png"/><Relationship Id="rId7" Type="http://schemas.openxmlformats.org/officeDocument/2006/relationships/image" Target="media/7.png"/><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styles" Target="styles.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收入决算结构图</a:t>
            </a:r>
          </a:p>
        </c:rich>
      </c:tx>
      <c:layout/>
      <c:overlay val="0"/>
      <c:spPr>
        <a:noFill/>
        <a:ln>
          <a:noFill/>
        </a:ln>
      </c:spPr>
    </c:title>
    <c:autoTitleDeleted val="1"/>
    <c:plotArea>
      <c:layout/>
      <c:pieChart>
        <c:varyColors val="1"/>
        <c:ser>
          <c:idx val="0"/>
          <c:order val="0"/>
          <c:tx>
            <c:strRef>
              <c:f>Sheet1!$B$1</c:f>
              <c:strCache>
                <c:ptCount val="1"/>
                <c:pt idx="0">
                  <c:v>收入决算结构图</c:v>
                </c:pt>
              </c:strCache>
            </c:strRef>
          </c:tx>
          <c:spPr>
            <a:solidFill>
              <a:srgbClr val="4F81BD"/>
            </a:solidFill>
          </c:spPr>
          <c:dPt>
            <c:idx val="0"/>
            <c:bubble3D val="0"/>
            <c:spPr>
              <a:solidFill>
                <a:srgbClr val="5B9BD5"/>
              </a:solidFill>
              <a:ln w="19050">
                <a:solidFill>
                  <a:srgbClr val="FFFFFF"/>
                </a:solidFill>
                <a:prstDash val="solid"/>
              </a:ln>
            </c:spPr>
          </c:dPt>
          <c:dPt>
            <c:idx val="1"/>
            <c:bubble3D val="0"/>
            <c:spPr>
              <a:solidFill>
                <a:srgbClr val="ED7D31"/>
              </a:solidFill>
              <a:ln w="19050">
                <a:solidFill>
                  <a:srgbClr val="FFFFFF"/>
                </a:solidFill>
                <a:prstDash val="solid"/>
              </a:ln>
            </c:spPr>
          </c:dPt>
          <c:dPt>
            <c:idx val="2"/>
            <c:bubble3D val="0"/>
            <c:spPr>
              <a:solidFill>
                <a:srgbClr val="A5A5A5"/>
              </a:solidFill>
              <a:ln w="19050">
                <a:solidFill>
                  <a:srgbClr val="FFFFFF"/>
                </a:solidFill>
                <a:prstDash val="solid"/>
              </a:ln>
            </c:spPr>
          </c:dPt>
          <c:dPt>
            <c:idx val="3"/>
            <c:bubble3D val="0"/>
            <c:spPr>
              <a:solidFill>
                <a:srgbClr val="FFC000"/>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
              <c:idx val="0"/>
              <c:layout>
                <c:manualLayout>
                  <c:x val="0.03445606"/>
                  <c:y val="0.009567683"/>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tx>
                <c:rich>
                  <a:bodyPr vert="horz"/>
                  <a:lstStyle/>
                  <a:p>
                    <a:pPr>
                      <a:defRPr sz="900" b="0" i="0" u="none" strike="noStrike" baseline="0">
                        <a:solidFill>
                          <a:srgbClr val="404040"/>
                        </a:solidFill>
                        <a:latin typeface="Calibri"/>
                        <a:ea typeface="宋体"/>
                        <a:cs typeface="Lucida Sans"/>
                      </a:defRPr>
                    </a:pPr>
                    <a:r>
                      <a:rPr lang="zh-CN"/>
                      <a:t>2071.43</a:t>
                    </a:r>
                  </a:p>
                </c:rich>
              </c:tx>
              <c:showLegendKey val="0"/>
              <c:showVal val="1"/>
              <c:showCatName val="0"/>
              <c:showSerName val="0"/>
              <c:showPercent val="0"/>
              <c:showBubbleSize val="0"/>
            </c:dLbl>
            <c:dLbl>
              <c:idx val="1"/>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1023.79</a:t>
                    </a:r>
                  </a:p>
                </c:rich>
              </c:tx>
              <c:showLegendKey val="0"/>
              <c:showVal val="1"/>
              <c:showCatName val="0"/>
              <c:showSerName val="0"/>
              <c:showPercent val="0"/>
              <c:showBubbleSize val="0"/>
            </c:dLbl>
            <c:dLbl>
              <c:idx val="2"/>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637.36</a:t>
                    </a:r>
                  </a:p>
                </c:rich>
              </c:tx>
              <c:showLegendKey val="0"/>
              <c:showVal val="1"/>
              <c:showCatName val="0"/>
              <c:showSerName val="0"/>
              <c:showPercent val="0"/>
              <c:showBubbleSize val="0"/>
            </c:dLbl>
            <c:dLbl>
              <c:idx val="3"/>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230.28</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Sheet1!$A$2:$A$5</c:f>
              <c:strCache>
                <c:ptCount val="4"/>
                <c:pt idx="0">
                  <c:v>本年收入</c:v>
                </c:pt>
                <c:pt idx="1">
                  <c:v>事业收入</c:v>
                </c:pt>
                <c:pt idx="2">
                  <c:v>一般公共预算财政拨款收入</c:v>
                </c:pt>
                <c:pt idx="3">
                  <c:v>政府性基金预算财政拨款收入</c:v>
                </c:pt>
              </c:strCache>
            </c:strRef>
          </c:cat>
          <c:val>
            <c:numRef>
              <c:f>Sheet1!$B$2:$B$5</c:f>
              <c:numCache>
                <c:formatCode>General</c:formatCode>
                <c:ptCount val="4"/>
                <c:pt idx="0">
                  <c:v>8.2</c:v>
                </c:pt>
                <c:pt idx="1">
                  <c:v>3.2</c:v>
                </c:pt>
                <c:pt idx="2">
                  <c:v>1.4</c:v>
                </c:pt>
                <c:pt idx="3">
                  <c:v>1.2</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595959"/>
                </a:solidFill>
                <a:latin typeface="微软雅黑"/>
                <a:ea typeface="微软雅黑"/>
                <a:cs typeface="Lucida Sans"/>
              </a:defRPr>
            </a:pPr>
            <a:r>
              <a:rPr lang="zh-CN"/>
              <a:t>支出决算结构图</a:t>
            </a:r>
          </a:p>
        </c:rich>
      </c:tx>
      <c:layout>
        <c:manualLayout>
          <c:xMode val="edge"/>
          <c:yMode val="edge"/>
          <c:x val="0.3521919"/>
          <c:y val="0.07022205"/>
        </c:manualLayout>
      </c:layout>
      <c:overlay val="0"/>
      <c:spPr>
        <a:noFill/>
        <a:ln>
          <a:noFill/>
        </a:ln>
      </c:spPr>
    </c:title>
    <c:autoTitleDeleted val="1"/>
    <c:plotArea>
      <c:layout>
        <c:manualLayout>
          <c:layoutTarget val="inner"/>
          <c:xMode val="edge"/>
          <c:yMode val="edge"/>
          <c:x val="0.16908817"/>
          <c:y val="0.18056265"/>
          <c:w val="0.41093144"/>
          <c:h val="0.68653715"/>
        </c:manualLayout>
      </c:layout>
      <c:pieChart>
        <c:varyColors val="1"/>
        <c:ser>
          <c:idx val="0"/>
          <c:order val="0"/>
          <c:tx>
            <c:strRef>
              <c:f>Sheet1!$B$1</c:f>
              <c:strCache>
                <c:ptCount val="1"/>
                <c:pt idx="0">
                  <c:v>系列 1</c:v>
                </c:pt>
              </c:strCache>
            </c:strRef>
          </c:tx>
          <c:spPr>
            <a:solidFill>
              <a:srgbClr val="4F81BD"/>
            </a:solidFill>
            <a:ln w="25400">
              <a:solidFill>
                <a:srgbClr val="DF6A0B"/>
              </a:solidFill>
              <a:prstDash val="solid"/>
            </a:ln>
          </c:spPr>
          <c:explosion val="16"/>
          <c:dPt>
            <c:idx val="0"/>
            <c:bubble3D val="0"/>
            <c:spPr>
              <a:solidFill>
                <a:srgbClr val="A6A6A6"/>
              </a:solidFill>
              <a:ln w="25400">
                <a:solidFill>
                  <a:srgbClr val="A6A6A6"/>
                </a:solidFill>
                <a:prstDash val="solid"/>
              </a:ln>
            </c:spPr>
          </c:dPt>
          <c:dPt>
            <c:idx val="1"/>
            <c:bubble3D val="0"/>
            <c:spPr>
              <a:solidFill>
                <a:srgbClr val="FDC300"/>
              </a:solidFill>
              <a:ln w="25400">
                <a:solidFill>
                  <a:srgbClr val="FDC300"/>
                </a:solidFill>
                <a:prstDash val="solid"/>
              </a:ln>
            </c:spPr>
          </c:dPt>
          <c:dPt>
            <c:idx val="2"/>
            <c:bubble3D val="0"/>
            <c:spPr>
              <a:solidFill>
                <a:srgbClr val="26A2AA"/>
              </a:solidFill>
              <a:ln w="25400">
                <a:solidFill>
                  <a:srgbClr val="26A2AA"/>
                </a:solidFill>
                <a:prstDash val="solid"/>
              </a:ln>
            </c:spPr>
          </c:dPt>
          <c:dPt>
            <c:idx val="3"/>
            <c:bubble3D val="0"/>
            <c:spPr>
              <a:solidFill>
                <a:srgbClr val="DF6A0B"/>
              </a:solidFill>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
              <c:idx val="0"/>
              <c:numFmt formatCode="0%" sourceLinked="0"/>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dLblPos val="outEnd"/>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7F7F7F"/>
                        </a:solidFill>
                        <a:latin typeface="微软雅黑"/>
                        <a:ea typeface="微软雅黑"/>
                        <a:cs typeface="Lucida Sans"/>
                      </a:rPr>
                      <a:t>2020</a:t>
                    </a:r>
                    <a:r>
                      <a:rPr lang="zh-CN" sz="900" b="0" i="0" u="none" strike="noStrike" baseline="0">
                        <a:solidFill>
                          <a:srgbClr val="7F7F7F"/>
                        </a:solidFill>
                        <a:latin typeface="微软雅黑"/>
                        <a:ea typeface="微软雅黑"/>
                        <a:cs typeface="Lucida Sans"/>
                      </a:rPr>
                      <a:t>年</a:t>
                    </a:r>
                  </a:p>
                </c:rich>
              </c:tx>
              <c:showLegendKey val="0"/>
              <c:showVal val="0"/>
              <c:showCatName val="1"/>
              <c:showSerName val="0"/>
              <c:showPercent val="1"/>
              <c:showBubbleSize val="0"/>
              <c:separator>
</c:separator>
            </c:dLbl>
            <c:dLbl>
              <c:idx val="1"/>
              <c:numFmt formatCode="0%" sourceLinked="0"/>
              <c:spPr>
                <a:noFill/>
                <a:ln>
                  <a:noFill/>
                </a:ln>
              </c:spPr>
              <c:txPr>
                <a:bodyPr vert="horz" anchor="ctr"/>
                <a:lstStyle/>
                <a:p>
                  <a:pPr algn="ctr">
                    <a:defRPr sz="900" b="0" i="0" u="none" strike="noStrike" baseline="0">
                      <a:solidFill>
                        <a:srgbClr val="FDC300"/>
                      </a:solidFill>
                      <a:latin typeface="微软雅黑"/>
                      <a:ea typeface="微软雅黑"/>
                      <a:cs typeface="Lucida Sans"/>
                    </a:defRPr>
                  </a:pPr>
                  <a:endParaRPr lang="zh-CN"/>
                </a:p>
              </c:txPr>
              <c:dLblPos val="outEnd"/>
              <c:tx>
                <c:rich>
                  <a:bodyPr vert="horz"/>
                  <a:lstStyle/>
                  <a:p>
                    <a:pPr>
                      <a:defRPr sz="900" b="0" i="0" u="none" strike="noStrike" baseline="0">
                        <a:solidFill>
                          <a:srgbClr val="FDC300"/>
                        </a:solidFill>
                        <a:latin typeface="微软雅黑"/>
                        <a:ea typeface="微软雅黑"/>
                        <a:cs typeface="Lucida Sans"/>
                      </a:defRPr>
                    </a:pPr>
                    <a:r>
                      <a:rPr lang="zh-CN"/>
                      <a:t>492.46    25.11</a:t>
                    </a:r>
                  </a:p>
                </c:rich>
              </c:tx>
              <c:showLegendKey val="0"/>
              <c:showVal val="0"/>
              <c:showCatName val="1"/>
              <c:showSerName val="0"/>
              <c:showPercent val="1"/>
              <c:showBubbleSize val="0"/>
              <c:separator>
</c:separator>
            </c:dLbl>
            <c:dLbl>
              <c:idx val="2"/>
              <c:numFmt formatCode="0%" sourceLinked="0"/>
              <c:spPr>
                <a:noFill/>
                <a:ln>
                  <a:noFill/>
                </a:ln>
              </c:spPr>
              <c:txPr>
                <a:bodyPr vert="horz" anchor="ctr"/>
                <a:lstStyle/>
                <a:p>
                  <a:pPr algn="ctr">
                    <a:defRPr sz="900" b="0" i="0" u="none" strike="noStrike" baseline="0">
                      <a:solidFill>
                        <a:srgbClr val="26A2AA"/>
                      </a:solidFill>
                      <a:latin typeface="微软雅黑"/>
                      <a:ea typeface="微软雅黑"/>
                      <a:cs typeface="Lucida Sans"/>
                    </a:defRPr>
                  </a:pPr>
                  <a:endParaRPr lang="zh-CN"/>
                </a:p>
              </c:txPr>
              <c:dLblPos val="outEnd"/>
              <c:tx>
                <c:rich>
                  <a:bodyPr vert="horz"/>
                  <a:lstStyle/>
                  <a:p>
                    <a:pPr>
                      <a:defRPr sz="900" b="0" i="0" u="none" strike="noStrike" baseline="0">
                        <a:solidFill>
                          <a:srgbClr val="26A2AA"/>
                        </a:solidFill>
                        <a:latin typeface="微软雅黑"/>
                        <a:ea typeface="微软雅黑"/>
                        <a:cs typeface="Lucida Sans"/>
                      </a:defRPr>
                    </a:pPr>
                    <a:r>
                      <a:rPr lang="zh-CN"/>
                      <a:t>1468.66    74.89%</a:t>
                    </a:r>
                  </a:p>
                </c:rich>
              </c:tx>
              <c:showLegendKey val="0"/>
              <c:showVal val="0"/>
              <c:showCatName val="1"/>
              <c:showSerName val="0"/>
              <c:showPercent val="1"/>
              <c:showBubbleSize val="0"/>
              <c:separator>
</c:separator>
            </c:dLbl>
            <c:dLbl>
              <c:idx val="3"/>
              <c:numFmt formatCode="0%" sourceLinked="0"/>
              <c:spPr>
                <a:noFill/>
                <a:ln>
                  <a:noFill/>
                </a:ln>
              </c:spPr>
              <c:txPr>
                <a:bodyPr vert="horz" anchor="ctr"/>
                <a:lstStyle/>
                <a:p>
                  <a:pPr algn="ctr">
                    <a:defRPr sz="900" b="0" i="0" u="none" strike="noStrike" baseline="0">
                      <a:solidFill>
                        <a:srgbClr val="DF6A0B"/>
                      </a:solidFill>
                      <a:latin typeface="微软雅黑"/>
                      <a:ea typeface="微软雅黑"/>
                      <a:cs typeface="Lucida Sans"/>
                    </a:defRPr>
                  </a:pPr>
                  <a:endParaRPr lang="zh-CN"/>
                </a:p>
              </c:txPr>
              <c:dLblPos val="outEnd"/>
              <c:tx>
                <c:rich>
                  <a:bodyPr vert="horz"/>
                  <a:lstStyle/>
                  <a:p>
                    <a:pPr>
                      <a:defRPr sz="900" b="0" i="0" u="none" strike="noStrike" baseline="0">
                        <a:solidFill>
                          <a:srgbClr val="DF6A0B"/>
                        </a:solidFill>
                        <a:latin typeface="微软雅黑"/>
                        <a:ea typeface="微软雅黑"/>
                        <a:cs typeface="Lucida Sans"/>
                      </a:defRPr>
                    </a:pPr>
                    <a:r>
                      <a:rPr lang="zh-CN"/>
                      <a:t>1961.12</a:t>
                    </a:r>
                  </a:p>
                </c:rich>
              </c:tx>
              <c:showLegendKey val="0"/>
              <c:showVal val="0"/>
              <c:showCatName val="1"/>
              <c:showSerName val="0"/>
              <c:showPercent val="1"/>
              <c:showBubbleSize val="0"/>
              <c:separator>
</c:separator>
            </c:dLbl>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Sheet1!$B$2:$B$5</c:f>
              <c:numCache>
                <c:formatCode>General</c:formatCode>
                <c:ptCount val="4"/>
                <c:pt idx="0">
                  <c:v>4.3</c:v>
                </c:pt>
                <c:pt idx="1">
                  <c:v>1.5</c:v>
                </c:pt>
                <c:pt idx="2">
                  <c:v>4.0</c:v>
                </c:pt>
                <c:pt idx="3">
                  <c:v>5.5</c:v>
                </c:pt>
              </c:numCache>
            </c:numRef>
          </c:val>
        </c:ser>
        <c:ser>
          <c:idx val="1"/>
          <c:order val="1"/>
          <c:tx>
            <c:strRef>
              <c:f>Sheet1!$C$1</c:f>
              <c:strCache>
                <c:ptCount val="1"/>
                <c:pt idx="0">
                  <c:v>系列 2</c:v>
                </c:pt>
              </c:strCache>
            </c:strRef>
          </c:tx>
          <c:spPr>
            <a:solidFill>
              <a:srgbClr val="C0504D"/>
            </a:solidFill>
            <a:ln w="25400">
              <a:solidFill>
                <a:srgbClr val="DF6A0B"/>
              </a:solidFill>
              <a:prstDash val="solid"/>
            </a:ln>
          </c:spPr>
          <c:explosion val="16"/>
          <c:dPt>
            <c:idx val="0"/>
            <c:invertIfNegative val="0"/>
            <c:bubble3D val="0"/>
            <c:spPr>
              <a:ln w="25400">
                <a:solidFill>
                  <a:srgbClr val="A6A6A6"/>
                </a:solidFill>
                <a:prstDash val="solid"/>
              </a:ln>
            </c:spPr>
          </c:dPt>
          <c:dPt>
            <c:idx val="1"/>
            <c:invertIfNegative val="0"/>
            <c:bubble3D val="0"/>
            <c:spPr>
              <a:ln w="25400">
                <a:solidFill>
                  <a:srgbClr val="FDC300"/>
                </a:solidFill>
                <a:prstDash val="solid"/>
              </a:ln>
            </c:spPr>
          </c:dPt>
          <c:dPt>
            <c:idx val="2"/>
            <c:invertIfNegative val="0"/>
            <c:bubble3D val="0"/>
            <c:spPr>
              <a:ln w="25400">
                <a:solidFill>
                  <a:srgbClr val="26A2AA"/>
                </a:solidFill>
                <a:prstDash val="solid"/>
              </a:ln>
            </c:spPr>
          </c:dPt>
          <c:dPt>
            <c:idx val="3"/>
            <c:invertIfNegative val="0"/>
            <c:bubble3D val="0"/>
            <c:spPr>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rgbClr val="9BBB59"/>
            </a:solidFill>
            <a:ln w="25400">
              <a:solidFill>
                <a:srgbClr val="DF6A0B"/>
              </a:solidFill>
              <a:prstDash val="solid"/>
            </a:ln>
          </c:spPr>
          <c:explosion val="16"/>
          <c:dPt>
            <c:idx val="0"/>
            <c:invertIfNegative val="0"/>
            <c:bubble3D val="0"/>
            <c:spPr>
              <a:ln w="25400">
                <a:solidFill>
                  <a:srgbClr val="A6A6A6"/>
                </a:solidFill>
                <a:prstDash val="solid"/>
              </a:ln>
            </c:spPr>
          </c:dPt>
          <c:dPt>
            <c:idx val="1"/>
            <c:invertIfNegative val="0"/>
            <c:bubble3D val="0"/>
            <c:spPr>
              <a:ln w="25400">
                <a:solidFill>
                  <a:srgbClr val="FDC300"/>
                </a:solidFill>
                <a:prstDash val="solid"/>
              </a:ln>
            </c:spPr>
          </c:dPt>
          <c:dPt>
            <c:idx val="2"/>
            <c:invertIfNegative val="0"/>
            <c:bubble3D val="0"/>
            <c:spPr>
              <a:ln w="25400">
                <a:solidFill>
                  <a:srgbClr val="26A2AA"/>
                </a:solidFill>
                <a:prstDash val="solid"/>
              </a:ln>
            </c:spPr>
          </c:dPt>
          <c:dPt>
            <c:idx val="3"/>
            <c:invertIfNegative val="0"/>
            <c:bubble3D val="0"/>
            <c:spPr>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Sheet1!$D$2:$D$5</c:f>
              <c:numCache>
                <c:formatCode>General</c:formatCode>
                <c:ptCount val="4"/>
                <c:pt idx="0">
                  <c:v>2.0</c:v>
                </c:pt>
                <c:pt idx="1">
                  <c:v>2.0</c:v>
                </c:pt>
                <c:pt idx="2">
                  <c:v>3.0</c:v>
                </c:pt>
                <c:pt idx="3">
                  <c:v>5.0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微软雅黑"/>
              <a:ea typeface="微软雅黑"/>
              <a:cs typeface="Lucida Sans"/>
            </a:defRPr>
          </a:pPr>
          <a:endParaRPr lang="zh-CN"/>
        </a:p>
      </c:txPr>
    </c:legend>
    <c:plotVisOnly val="1"/>
    <c:dispBlanksAs val="gap"/>
    <c:showDLblsOverMax val="0"/>
  </c:chart>
  <c:spPr>
    <a:solidFill>
      <a:srgbClr val="FFFFFF"/>
    </a:solidFill>
    <a:ln w="12700">
      <a:solidFill>
        <a:srgbClr val="D9D9D9"/>
      </a:solidFill>
      <a:prstDash val="solid"/>
    </a:ln>
    <a:effectLst>
      <a:outerShdw sx="0" sy="0" algn="b" rotWithShape="0" blurRad="63500" dist="37357" dir="2700000">
        <a:srgbClr val="000000">
          <a:alpha val="99607"/>
        </a:srgbClr>
      </a:outerShdw>
    </a:effectLst>
  </c:spPr>
  <c:txPr>
    <a:bodyPr/>
    <a:lstStyle/>
    <a:p>
      <a:pPr>
        <a:defRPr sz="1000" b="0" i="0" u="none" strike="noStrike" baseline="0">
          <a:solidFill>
            <a:srgbClr val="00000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汉仪旗黑-55简"/>
                <a:ea typeface="汉仪旗黑-55简"/>
                <a:cs typeface="Lucida Sans"/>
              </a:defRPr>
            </a:pPr>
            <a:r>
              <a:rPr lang="zh-CN"/>
              <a:t>财政拨款收、支总计变动情况图</a:t>
            </a:r>
          </a:p>
        </c:rich>
      </c:tx>
      <c:layout>
        <c:manualLayout>
          <c:xMode val="edge"/>
          <c:yMode val="edge"/>
          <c:x val="0.2710336"/>
          <c:y val="0.06497336"/>
        </c:manualLayout>
      </c:layout>
      <c:overlay val="0"/>
      <c:spPr>
        <a:noFill/>
        <a:ln>
          <a:noFill/>
        </a:ln>
      </c:spPr>
    </c:title>
    <c:autoTitleDeleted val="1"/>
    <c:plotArea>
      <c:layout>
        <c:manualLayout>
          <c:layoutTarget val="inner"/>
          <c:xMode val="edge"/>
          <c:yMode val="edge"/>
          <c:x val="0.07033799"/>
          <c:y val="0.28584012"/>
          <c:w val="0.8803341"/>
          <c:h val="0.59370184"/>
        </c:manualLayout>
      </c:layout>
      <c:barChart>
        <c:barDir val="col"/>
        <c:grouping val="clustered"/>
        <c:varyColors val="0"/>
        <c:ser>
          <c:idx val="0"/>
          <c:order val="0"/>
          <c:tx>
            <c:strRef>
              <c:f>Sheet1!$B$1</c:f>
              <c:strCache>
                <c:ptCount val="1"/>
                <c:pt idx="0">
                  <c:v>2020年</c:v>
                </c:pt>
              </c:strCache>
            </c:strRef>
          </c:tx>
          <c:spPr>
            <a:solidFill>
              <a:srgbClr val="6FCAC9"/>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Sheet1!$B$2:$B$5</c:f>
              <c:numCache>
                <c:formatCode>General</c:formatCode>
                <c:ptCount val="4"/>
                <c:pt idx="0">
                  <c:v>867.63</c:v>
                </c:pt>
                <c:pt idx="1">
                  <c:v>813.12</c:v>
                </c:pt>
                <c:pt idx="2">
                  <c:v>327.35</c:v>
                </c:pt>
                <c:pt idx="3">
                  <c:v>60.59</c:v>
                </c:pt>
              </c:numCache>
            </c:numRef>
          </c:val>
        </c:ser>
        <c:ser>
          <c:idx val="1"/>
          <c:order val="1"/>
          <c:tx>
            <c:strRef>
              <c:f>Sheet1!$C$1</c:f>
              <c:strCache>
                <c:ptCount val="1"/>
                <c:pt idx="0">
                  <c:v>2019年</c:v>
                </c:pt>
              </c:strCache>
            </c:strRef>
          </c:tx>
          <c:spPr>
            <a:solidFill>
              <a:srgbClr val="B1A5DC"/>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Sheet1!$C$2:$C$5</c:f>
              <c:numCache>
                <c:formatCode>General</c:formatCode>
                <c:ptCount val="4"/>
                <c:pt idx="0">
                  <c:v>540.28</c:v>
                </c:pt>
                <c:pt idx="1">
                  <c:v>629.29</c:v>
                </c:pt>
                <c:pt idx="2">
                  <c:v>183.83</c:v>
                </c:pt>
                <c:pt idx="3">
                  <c:v>29.21</c:v>
                </c:pt>
              </c:numCache>
            </c:numRef>
          </c:val>
        </c:ser>
        <c:ser>
          <c:idx val="2"/>
          <c:order val="2"/>
          <c:spPr>
            <a:solidFill>
              <a:srgbClr val="7BB5EB"/>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
              <c:numCache>
                <c:formatCode>General</c:formatCode>
                <c:ptCount val="1"/>
                <c:pt idx="0">
                  <c:v>1.0</c:v>
                </c:pt>
              </c:numCache>
            </c:numRef>
          </c:val>
        </c:ser>
        <c:overlap val="-20"/>
        <c:gapWidth val="220"/>
        <c:axId val="0"/>
        <c:axId val="1"/>
      </c:barChart>
      <c:catAx>
        <c:axId val="0"/>
        <c:scaling>
          <c:orientation val="minMax"/>
        </c:scaling>
        <c:delete val="0"/>
        <c:axPos val="b"/>
        <c:numFmt formatCode="General" sourceLinked="1"/>
        <c:majorTickMark val="none"/>
        <c:minorTickMark val="none"/>
        <c:tickLblPos val="nextTo"/>
        <c:spPr>
          <a:ln w="12700">
            <a:solidFill>
              <a:srgbClr val="F2F2F2"/>
            </a:solidFill>
            <a:prstDash val="solid"/>
          </a:ln>
        </c:spPr>
        <c:txPr>
          <a:bodyPr/>
          <a:lstStyle/>
          <a:p>
            <a:pPr>
              <a:defRPr sz="1000" b="0" i="0" u="none" strike="noStrike" baseline="0">
                <a:solidFill>
                  <a:srgbClr val="595959"/>
                </a:solidFill>
                <a:latin typeface="汉仪旗黑-55简"/>
                <a:ea typeface="汉仪旗黑-55简"/>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w="12700">
              <a:solidFill>
                <a:srgbClr val="F2F2F2"/>
              </a:solidFill>
              <a:prstDash val="sysDash"/>
            </a:ln>
          </c:spPr>
        </c:majorGridlines>
        <c:numFmt formatCode="General" sourceLinked="1"/>
        <c:majorTickMark val="none"/>
        <c:minorTickMark val="none"/>
        <c:tickLblPos val="nextTo"/>
        <c:txPr>
          <a:bodyPr/>
          <a:lstStyle/>
          <a:p>
            <a:pPr>
              <a:defRPr sz="900" b="0" i="0" u="none" strike="noStrike" baseline="0">
                <a:solidFill>
                  <a:srgbClr val="595959"/>
                </a:solidFill>
                <a:latin typeface="汉仪旗黑-55简"/>
                <a:ea typeface="汉仪旗黑-55简"/>
                <a:cs typeface="Lucida Sans"/>
              </a:defRPr>
            </a:pPr>
            <a:endParaRPr lang="zh-CN"/>
          </a:p>
        </c:txPr>
        <c:crosses val="autoZero"/>
        <c:crossBetween val="between"/>
        <c:crossAx val="0"/>
      </c:valAx>
      <c:spPr>
        <a:noFill/>
        <a:ln w="3175">
          <a:solidFill>
            <a:srgbClr val="F2F2F2"/>
          </a:solidFill>
          <a:prstDash val="solid"/>
        </a:ln>
      </c:spPr>
    </c:plotArea>
    <c:legend>
      <c:legendPos val="b"/>
      <c:layout>
        <c:manualLayout>
          <c:xMode val="edge"/>
          <c:yMode val="edge"/>
          <c:x val="0.39424998"/>
          <c:y val="0.15830544"/>
        </c:manualLayout>
      </c:layout>
      <c:overlay val="0"/>
      <c:spPr>
        <a:noFill/>
        <a:ln>
          <a:noFill/>
        </a:ln>
      </c:spPr>
      <c:txPr>
        <a:bodyPr/>
        <a:lstStyle/>
        <a:p>
          <a:pPr>
            <a:defRPr sz="900" b="0" i="0" u="none" strike="noStrike" baseline="0">
              <a:solidFill>
                <a:srgbClr val="595959"/>
              </a:solidFill>
              <a:latin typeface="汉仪旗黑-55简"/>
              <a:ea typeface="汉仪旗黑-55简"/>
              <a:cs typeface="Lucida Sans"/>
            </a:defRPr>
          </a:pPr>
          <a:endParaRPr lang="zh-CN"/>
        </a:p>
      </c:txPr>
      <c:legendEntry>
        <c:idx val="2"/>
        <c:delete val="1"/>
      </c:legendEntry>
    </c:legend>
    <c:plotVisOnly val="1"/>
    <c:dispBlanksAs val="gap"/>
    <c:showDLblsOverMax val="0"/>
  </c:chart>
  <c:spPr>
    <a:solidFill>
      <a:srgbClr val="FFFFFF"/>
    </a:solidFill>
    <a:ln w="25400">
      <a:solidFill>
        <a:srgbClr val="868686"/>
      </a:solidFill>
      <a:prstDash val="solid"/>
    </a:ln>
  </c:spPr>
  <c:txPr>
    <a:bodyPr/>
    <a:lstStyle/>
    <a:p>
      <a:pPr>
        <a:defRPr sz="1000" b="0" i="0" u="none" strike="noStrike" baseline="0">
          <a:solidFill>
            <a:srgbClr val="000000"/>
          </a:solidFill>
          <a:latin typeface="汉仪旗黑-55简"/>
          <a:ea typeface="汉仪旗黑-55简"/>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800" b="1" i="0" u="none" strike="noStrike" baseline="0">
                <a:solidFill>
                  <a:srgbClr val="000000"/>
                </a:solidFill>
                <a:latin typeface="Times New Roman"/>
                <a:ea typeface="宋体"/>
                <a:cs typeface="Lucida Sans"/>
              </a:defRPr>
            </a:pPr>
            <a:r>
              <a:rPr lang="zh-CN"/>
              <a:t> </a:t>
            </a:r>
          </a:p>
        </c:rich>
      </c:tx>
      <c:layout/>
      <c:overlay val="0"/>
      <c:spPr>
        <a:noFill/>
        <a:ln>
          <a:noFill/>
        </a:ln>
      </c:spPr>
    </c:title>
    <c:autoTitleDeleted val="1"/>
    <c:plotArea>
      <c:layout/>
      <c:barChart>
        <c:barDir val="col"/>
        <c:grouping val="percentStacked"/>
        <c:varyColors val="0"/>
        <c:ser>
          <c:idx val="0"/>
          <c:order val="0"/>
          <c:tx>
            <c:strRef>
              <c:f>Sheet1!$B$1</c:f>
              <c:strCache>
                <c:ptCount val="1"/>
                <c:pt idx="0">
                  <c:v>2020年</c:v>
                </c:pt>
              </c:strCache>
            </c:strRef>
          </c:tx>
          <c:spPr>
            <a:solidFill>
              <a:srgbClr val="5B9BD5"/>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Sheet1!$A$2:$A$6</c:f>
              <c:strCache>
                <c:ptCount val="5"/>
                <c:pt idx="0">
                  <c:v>年份</c:v>
                </c:pt>
                <c:pt idx="1">
                  <c:v>一般公共预算财政拨款支出</c:v>
                </c:pt>
                <c:pt idx="2">
                  <c:v>占比</c:v>
                </c:pt>
                <c:pt idx="3">
                  <c:v>一般公共预算财政拨款减少</c:v>
                </c:pt>
                <c:pt idx="4">
                  <c:v>减少比例</c:v>
                </c:pt>
              </c:strCache>
            </c:strRef>
          </c:cat>
          <c:val>
            <c:numRef>
              <c:f>Sheet1!$B$2:$B$6</c:f>
              <c:numCache>
                <c:formatCode>General</c:formatCode>
                <c:ptCount val="5"/>
                <c:pt idx="0">
                  <c:v>3.35</c:v>
                </c:pt>
                <c:pt idx="1">
                  <c:v>582.84</c:v>
                </c:pt>
                <c:pt idx="2">
                  <c:v>44.29</c:v>
                </c:pt>
                <c:pt idx="3">
                  <c:v>46.45</c:v>
                </c:pt>
                <c:pt idx="4">
                  <c:v>7.97</c:v>
                </c:pt>
              </c:numCache>
            </c:numRef>
          </c:val>
        </c:ser>
        <c:ser>
          <c:idx val="1"/>
          <c:order val="1"/>
          <c:tx>
            <c:strRef>
              <c:f>Sheet1!$C$1</c:f>
              <c:strCache>
                <c:ptCount val="1"/>
                <c:pt idx="0">
                  <c:v>2019年</c:v>
                </c:pt>
              </c:strCache>
            </c:strRef>
          </c:tx>
          <c:spPr>
            <a:solidFill>
              <a:srgbClr val="ED7D31"/>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Sheet1!$A$2:$A$6</c:f>
              <c:strCache>
                <c:ptCount val="5"/>
                <c:pt idx="0">
                  <c:v>年份</c:v>
                </c:pt>
                <c:pt idx="1">
                  <c:v>一般公共预算财政拨款支出</c:v>
                </c:pt>
                <c:pt idx="2">
                  <c:v>占比</c:v>
                </c:pt>
                <c:pt idx="3">
                  <c:v>一般公共预算财政拨款减少</c:v>
                </c:pt>
                <c:pt idx="4">
                  <c:v>减少比例</c:v>
                </c:pt>
              </c:strCache>
            </c:strRef>
          </c:cat>
          <c:val>
            <c:numRef>
              <c:f>Sheet1!$C$2:$C$6</c:f>
              <c:numCache>
                <c:formatCode>General</c:formatCode>
                <c:ptCount val="5"/>
                <c:pt idx="0">
                  <c:v>3.35</c:v>
                </c:pt>
                <c:pt idx="1">
                  <c:v>629.29</c:v>
                </c:pt>
                <c:pt idx="2">
                  <c:v>0.0</c:v>
                </c:pt>
              </c:numCache>
            </c:numRef>
          </c:val>
        </c:ser>
        <c:overlap val="100"/>
        <c:gapWidth val="150"/>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0%"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一般公共预算财政拨款支出决算结构图</a:t>
            </a:r>
          </a:p>
        </c:rich>
      </c:tx>
      <c:layout/>
      <c:overlay val="0"/>
      <c:spPr>
        <a:noFill/>
        <a:ln>
          <a:noFill/>
        </a:ln>
      </c:spPr>
    </c:title>
    <c:autoTitleDeleted val="1"/>
    <c:plotArea>
      <c:layout>
        <c:manualLayout>
          <c:layoutTarget val="inner"/>
          <c:xMode val="edge"/>
          <c:yMode val="edge"/>
          <c:x val="0.09708139"/>
          <c:y val="0.20420572"/>
          <c:w val="0.48676"/>
          <c:h val="0.7153981"/>
        </c:manualLayout>
      </c:layout>
      <c:pieChart>
        <c:varyColors val="1"/>
        <c:ser>
          <c:idx val="0"/>
          <c:order val="0"/>
          <c:tx>
            <c:strRef>
              <c:f>Sheet1!$B$1</c:f>
              <c:strCache>
                <c:ptCount val="1"/>
                <c:pt idx="0">
                  <c:v>销售额</c:v>
                </c:pt>
              </c:strCache>
            </c:strRef>
          </c:tx>
          <c:spPr>
            <a:solidFill>
              <a:srgbClr val="4F81BD"/>
            </a:solidFill>
          </c:spPr>
          <c:dPt>
            <c:idx val="0"/>
            <c:bubble3D val="0"/>
            <c:spPr>
              <a:solidFill>
                <a:srgbClr val="5B9BD5"/>
              </a:solidFill>
              <a:ln w="19050">
                <a:solidFill>
                  <a:srgbClr val="FFFFFF"/>
                </a:solidFill>
                <a:prstDash val="solid"/>
              </a:ln>
            </c:spPr>
          </c:dPt>
          <c:dPt>
            <c:idx val="1"/>
            <c:bubble3D val="0"/>
            <c:explosion val="6"/>
            <c:spPr>
              <a:solidFill>
                <a:srgbClr val="ED7D31"/>
              </a:solidFill>
              <a:ln w="19050">
                <a:solidFill>
                  <a:srgbClr val="FFFFFF"/>
                </a:solidFill>
                <a:prstDash val="solid"/>
              </a:ln>
            </c:spPr>
          </c:dPt>
          <c:dPt>
            <c:idx val="2"/>
            <c:bubble3D val="0"/>
            <c:explosion val="13"/>
            <c:spPr>
              <a:solidFill>
                <a:srgbClr val="A5A5A5"/>
              </a:solidFill>
              <a:ln w="19050">
                <a:solidFill>
                  <a:srgbClr val="FFFFFF"/>
                </a:solidFill>
                <a:prstDash val="solid"/>
              </a:ln>
            </c:spPr>
          </c:dPt>
          <c:dPt>
            <c:idx val="3"/>
            <c:bubble3D val="0"/>
            <c:explosion val="12"/>
            <c:spPr>
              <a:solidFill>
                <a:srgbClr val="FFC000"/>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
              <c:idx val="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582.84</a:t>
                    </a:r>
                  </a:p>
                </c:rich>
              </c:tx>
              <c:showLegendKey val="0"/>
              <c:showVal val="1"/>
              <c:showCatName val="0"/>
              <c:showSerName val="0"/>
              <c:showPercent val="0"/>
              <c:showBubbleSize val="0"/>
            </c:dLbl>
            <c:dLbl>
              <c:idx val="1"/>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510.51</a:t>
                    </a:r>
                  </a:p>
                </c:rich>
              </c:tx>
              <c:showLegendKey val="0"/>
              <c:showVal val="1"/>
              <c:showCatName val="0"/>
              <c:showSerName val="0"/>
              <c:showPercent val="0"/>
              <c:showBubbleSize val="0"/>
            </c:dLbl>
            <c:dLbl>
              <c:idx val="2"/>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48.86</a:t>
                    </a:r>
                  </a:p>
                </c:rich>
              </c:tx>
              <c:showLegendKey val="0"/>
              <c:showVal val="1"/>
              <c:showCatName val="0"/>
              <c:showSerName val="0"/>
              <c:showPercent val="0"/>
              <c:showBubbleSize val="0"/>
            </c:dLbl>
            <c:dLbl>
              <c:idx val="3"/>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23.43</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Sheet1!$A$2:$A$5</c:f>
              <c:strCache>
                <c:ptCount val="4"/>
                <c:pt idx="0">
                  <c:v>全年支出</c:v>
                </c:pt>
                <c:pt idx="1">
                  <c:v>卫生健康支出</c:v>
                </c:pt>
                <c:pt idx="2">
                  <c:v>社会保障和就业支出</c:v>
                </c:pt>
                <c:pt idx="3">
                  <c:v>住房保障支出</c:v>
                </c:pt>
              </c:strCache>
            </c:strRef>
          </c:cat>
          <c:val>
            <c:numRef>
              <c:f>Sheet1!$B$2:$B$5</c:f>
              <c:numCache>
                <c:formatCode>General</c:formatCode>
                <c:ptCount val="4"/>
                <c:pt idx="0">
                  <c:v>7.0</c:v>
                </c:pt>
                <c:pt idx="1">
                  <c:v>5.0</c:v>
                </c:pt>
                <c:pt idx="2">
                  <c:v>1.2</c:v>
                </c:pt>
                <c:pt idx="3">
                  <c:v>0.8</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3D72CB8-C467-49B8-B6D3-CDB23539F5B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WPS_Yozo_Office9.0.5233.191ZH.S1</Application>
  <Pages>51</Pages>
  <Words>0</Words>
  <Characters>17182</Characters>
  <Lines>0</Lines>
  <Paragraphs>431</Paragraphs>
  <CharactersWithSpaces>22910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书虫</dc:creator>
  <cp:lastModifiedBy>user</cp:lastModifiedBy>
  <cp:revision>1</cp:revision>
  <dcterms:created xsi:type="dcterms:W3CDTF">2021-09-28T07:34:00Z</dcterms:created>
  <dcterms:modified xsi:type="dcterms:W3CDTF">2025-02-10T03:55:22Z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93770C476F0548D5B31C691A9885C4FD</vt:lpwstr>
  </property>
  <property fmtid="{D5CDD505-2E9C-101B-9397-08002B2CF9AE}" pid="4" name="KSOSaveFontToCloudKey">
    <vt:lpwstr>659783407_cloud</vt:lpwstr>
  </property>
</Properties>
</file>