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576" w:lineRule="exact"/>
        <w:ind w:firstLine="640" w:firstLineChars="200"/>
        <w:rPr>
          <w:rFonts w:ascii="宋体" w:hAnsi="宋体" w:eastAsia="方正仿宋简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广元市利州区</w:t>
      </w:r>
      <w:r>
        <w:rPr>
          <w:rFonts w:ascii="方正小标宋简体" w:hAnsi="宋体" w:eastAsia="方正小标宋简体" w:cs="仿宋_GB2312"/>
          <w:sz w:val="44"/>
          <w:szCs w:val="44"/>
        </w:rPr>
        <w:t>2024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年度农业农村领域</w:t>
      </w:r>
    </w:p>
    <w:p>
      <w:pPr>
        <w:spacing w:line="576" w:lineRule="exact"/>
        <w:jc w:val="center"/>
        <w:rPr>
          <w:rFonts w:ascii="宋体" w:hAnsi="宋体" w:eastAsia="方正小标宋简体" w:cs="仿宋_GB2312"/>
          <w:sz w:val="44"/>
          <w:szCs w:val="44"/>
        </w:rPr>
      </w:pPr>
      <w:r>
        <w:rPr>
          <w:rFonts w:hint="eastAsia" w:ascii="宋体" w:hAnsi="宋体" w:eastAsia="方正小标宋简体" w:cs="仿宋_GB2312"/>
          <w:sz w:val="44"/>
          <w:szCs w:val="44"/>
        </w:rPr>
        <w:t>重点研发项目申报指南</w:t>
      </w:r>
    </w:p>
    <w:p>
      <w:pPr>
        <w:spacing w:line="576" w:lineRule="exact"/>
        <w:jc w:val="center"/>
        <w:rPr>
          <w:rFonts w:ascii="宋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宋体" w:hAnsi="宋体" w:eastAsia="方正楷体简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hint="eastAsia" w:ascii="宋体" w:hAnsi="宋体" w:eastAsia="方正楷体简体" w:cs="仿宋_GB2312"/>
          <w:sz w:val="32"/>
          <w:szCs w:val="32"/>
        </w:rPr>
        <w:t>该指南填写</w:t>
      </w:r>
      <w:r>
        <w:rPr>
          <w:rFonts w:hint="eastAsia" w:ascii="宋体" w:hAnsi="宋体" w:cs="仿宋_GB2312"/>
          <w:sz w:val="32"/>
          <w:szCs w:val="32"/>
        </w:rPr>
        <w:t>：</w:t>
      </w:r>
      <w:r>
        <w:rPr>
          <w:rFonts w:hint="eastAsia" w:ascii="宋体" w:hAnsi="宋体" w:eastAsia="方正楷体简体" w:cs="仿宋_GB2312"/>
          <w:sz w:val="32"/>
          <w:szCs w:val="32"/>
        </w:rPr>
        <w:t>广元市利州区重点研发项目申报书</w:t>
      </w:r>
      <w:r>
        <w:rPr>
          <w:rFonts w:hint="eastAsia" w:ascii="宋体" w:hAnsi="宋体" w:cs="仿宋_GB2312"/>
          <w:sz w:val="32"/>
          <w:szCs w:val="32"/>
        </w:rPr>
        <w:t>）</w:t>
      </w:r>
    </w:p>
    <w:p>
      <w:pPr>
        <w:spacing w:line="576" w:lineRule="exact"/>
        <w:jc w:val="center"/>
        <w:rPr>
          <w:rFonts w:ascii="宋体" w:hAnsi="宋体" w:eastAsia="方正楷体简体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一、资金支持方式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专项资金采取前补助支持方式。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宋体" w:hAnsi="宋体" w:eastAsia="方正黑体简体" w:cs="仿宋_GB2312"/>
          <w:sz w:val="32"/>
          <w:szCs w:val="32"/>
        </w:rPr>
        <w:t>二</w:t>
      </w:r>
      <w:r>
        <w:rPr>
          <w:rFonts w:hint="eastAsia" w:ascii="宋体" w:hAnsi="宋体" w:cs="仿宋_GB2312"/>
          <w:sz w:val="32"/>
          <w:szCs w:val="32"/>
        </w:rPr>
        <w:t>、</w:t>
      </w:r>
      <w:r>
        <w:rPr>
          <w:rFonts w:hint="eastAsia" w:ascii="宋体" w:hAnsi="宋体" w:eastAsia="方正黑体简体" w:cs="仿宋_GB2312"/>
          <w:sz w:val="32"/>
          <w:szCs w:val="32"/>
        </w:rPr>
        <w:t>支持经费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拟支持一个项目，支持经费</w:t>
      </w:r>
      <w:r>
        <w:rPr>
          <w:rFonts w:ascii="方正仿宋简体" w:hAnsi="宋体" w:eastAsia="方正仿宋简体" w:cs="仿宋_GB2312"/>
          <w:sz w:val="32"/>
          <w:szCs w:val="32"/>
        </w:rPr>
        <w:t>8—10</w:t>
      </w:r>
      <w:r>
        <w:rPr>
          <w:rFonts w:hint="eastAsia" w:ascii="方正仿宋简体" w:hAnsi="宋体" w:eastAsia="方正仿宋简体" w:cs="仿宋_GB2312"/>
          <w:sz w:val="32"/>
          <w:szCs w:val="32"/>
        </w:rPr>
        <w:t>万元。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三、实施周期</w:t>
      </w:r>
    </w:p>
    <w:p>
      <w:pPr>
        <w:spacing w:line="576" w:lineRule="exact"/>
        <w:ind w:firstLine="616" w:firstLineChars="200"/>
        <w:rPr>
          <w:rFonts w:ascii="方正仿宋简体" w:hAnsi="宋体" w:eastAsia="方正仿宋简体" w:cs="仿宋_GB2312"/>
          <w:spacing w:val="-6"/>
          <w:sz w:val="32"/>
          <w:szCs w:val="32"/>
        </w:rPr>
      </w:pP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项目执行期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2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年，起止时间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2024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10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月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—2026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9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月。</w:t>
      </w:r>
    </w:p>
    <w:p>
      <w:pPr>
        <w:widowControl/>
        <w:suppressAutoHyphens/>
        <w:spacing w:line="576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四、支持重点</w:t>
      </w:r>
    </w:p>
    <w:p>
      <w:pPr>
        <w:suppressAutoHyphens/>
        <w:spacing w:line="576" w:lineRule="exact"/>
        <w:ind w:firstLine="640" w:firstLineChars="200"/>
        <w:rPr>
          <w:rFonts w:ascii="方正楷体简体" w:hAnsi="Times New Roman" w:eastAsia="方正楷体简体"/>
          <w:snapToGrid w:val="0"/>
          <w:kern w:val="0"/>
          <w:sz w:val="32"/>
          <w:szCs w:val="32"/>
        </w:rPr>
      </w:pPr>
      <w:r>
        <w:rPr>
          <w:rFonts w:hint="eastAsia" w:ascii="方正楷体简体" w:hAnsi="Times New Roman" w:eastAsia="方正楷体简体"/>
          <w:snapToGrid w:val="0"/>
          <w:kern w:val="0"/>
          <w:sz w:val="32"/>
          <w:szCs w:val="32"/>
        </w:rPr>
        <w:t>（一）农产品贮运与加工</w:t>
      </w:r>
    </w:p>
    <w:p>
      <w:pPr>
        <w:suppressAutoHyphens/>
        <w:spacing w:line="576" w:lineRule="exact"/>
        <w:ind w:firstLine="640" w:firstLineChars="200"/>
        <w:rPr>
          <w:rFonts w:ascii="方正仿宋简体" w:hAnsi="Times New Roman" w:eastAsia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0"/>
          <w:sz w:val="32"/>
          <w:szCs w:val="32"/>
        </w:rPr>
        <w:t>重点支持高附加值农产品精深加工（含特色预制菜与药食同源新品研发、功能性活性成分挖掘提取、工艺技术提质创新、健康高质产品研发）、农产品贮运保鲜冷链物流等关键技术研究。</w:t>
      </w:r>
    </w:p>
    <w:p>
      <w:pPr>
        <w:numPr>
          <w:ilvl w:val="0"/>
          <w:numId w:val="1"/>
        </w:numPr>
        <w:suppressAutoHyphens/>
        <w:spacing w:line="576" w:lineRule="exact"/>
        <w:ind w:firstLine="640" w:firstLineChars="200"/>
        <w:rPr>
          <w:rFonts w:ascii="方正楷体简体" w:hAnsi="Times New Roman" w:eastAsia="方正楷体简体"/>
          <w:snapToGrid w:val="0"/>
          <w:kern w:val="0"/>
          <w:sz w:val="32"/>
          <w:szCs w:val="32"/>
        </w:rPr>
      </w:pPr>
      <w:r>
        <w:rPr>
          <w:rFonts w:hint="eastAsia" w:ascii="方正楷体简体" w:hAnsi="Times New Roman" w:eastAsia="方正楷体简体"/>
          <w:snapToGrid w:val="0"/>
          <w:kern w:val="0"/>
          <w:sz w:val="32"/>
          <w:szCs w:val="32"/>
        </w:rPr>
        <w:t>农业绿色高效安全生产</w:t>
      </w:r>
    </w:p>
    <w:p>
      <w:pPr>
        <w:suppressAutoHyphens/>
        <w:spacing w:line="576" w:lineRule="exact"/>
        <w:ind w:firstLine="640" w:firstLineChars="200"/>
        <w:rPr>
          <w:rFonts w:ascii="方正仿宋简体" w:hAnsi="Times New Roman" w:eastAsia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0"/>
          <w:sz w:val="32"/>
          <w:szCs w:val="32"/>
        </w:rPr>
        <w:t>重点支持作物轻简高效种植、主要病虫害绿色防控、农业高效用水、化肥农药减施增效、综合种养循环、农业废弃物、耕地保护（含耕地质量与碳库提升、土壤污染防治与修复、新增耕地资源综合利用等）等关键技术研究。</w:t>
      </w:r>
    </w:p>
    <w:p>
      <w:pPr>
        <w:numPr>
          <w:ilvl w:val="0"/>
          <w:numId w:val="1"/>
        </w:numPr>
        <w:suppressAutoHyphens/>
        <w:spacing w:line="576" w:lineRule="exact"/>
        <w:ind w:firstLine="640" w:firstLineChars="200"/>
        <w:rPr>
          <w:rFonts w:ascii="方正楷体简体" w:hAnsi="Times New Roman" w:eastAsia="方正楷体简体"/>
          <w:snapToGrid w:val="0"/>
          <w:kern w:val="0"/>
          <w:sz w:val="32"/>
          <w:szCs w:val="32"/>
        </w:rPr>
      </w:pPr>
      <w:r>
        <w:rPr>
          <w:rFonts w:hint="eastAsia" w:ascii="方正楷体简体" w:hAnsi="Times New Roman" w:eastAsia="方正楷体简体"/>
          <w:snapToGrid w:val="0"/>
          <w:kern w:val="0"/>
          <w:sz w:val="32"/>
          <w:szCs w:val="32"/>
        </w:rPr>
        <w:t>畜禽水产健康养殖</w:t>
      </w:r>
    </w:p>
    <w:p>
      <w:pPr>
        <w:suppressAutoHyphens/>
        <w:spacing w:line="576" w:lineRule="exact"/>
        <w:ind w:firstLine="640" w:firstLineChars="200"/>
        <w:rPr>
          <w:rFonts w:ascii="方正仿宋简体" w:eastAsia="方正仿宋简体" w:cs="仿宋_GB231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0"/>
          <w:sz w:val="32"/>
          <w:szCs w:val="32"/>
        </w:rPr>
        <w:t>重点支持标准化养殖（含饲养环境控制、营养调控、粪污无害化处理等）、重大疫病防控（含病原研究与防控、病原快速检测、重大疫病疫苗研制与药物筛选等）、饲用粮节粮减量等关键技术研究。</w:t>
      </w:r>
    </w:p>
    <w:p>
      <w:pPr>
        <w:widowControl/>
        <w:suppressAutoHyphens/>
        <w:spacing w:line="576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五、绩效目标</w:t>
      </w:r>
    </w:p>
    <w:p>
      <w:pPr>
        <w:suppressAutoHyphens/>
        <w:spacing w:line="576" w:lineRule="exact"/>
        <w:ind w:firstLine="640" w:firstLineChars="200"/>
        <w:rPr>
          <w:rFonts w:ascii="方正仿宋简体" w:eastAsia="方正仿宋简体" w:cs="仿宋_GB231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0"/>
          <w:sz w:val="32"/>
          <w:szCs w:val="32"/>
        </w:rPr>
        <w:t>突破制约产业发展的关键技术</w:t>
      </w:r>
      <w:r>
        <w:rPr>
          <w:rFonts w:ascii="方正仿宋简体" w:hAnsi="Times New Roman" w:eastAsia="方正仿宋简体"/>
          <w:snapToGrid w:val="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/>
          <w:snapToGrid w:val="0"/>
          <w:kern w:val="0"/>
          <w:sz w:val="32"/>
          <w:szCs w:val="32"/>
        </w:rPr>
        <w:t>项，</w:t>
      </w:r>
      <w:r>
        <w:rPr>
          <w:rFonts w:hint="eastAsia" w:ascii="方正仿宋简体" w:eastAsia="方正仿宋简体" w:cs="仿宋_GB2312"/>
          <w:sz w:val="32"/>
          <w:szCs w:val="32"/>
        </w:rPr>
        <w:t>研发示范新品种、新技术、新产品、新装备、新模式</w:t>
      </w:r>
      <w:r>
        <w:rPr>
          <w:rFonts w:ascii="方正仿宋简体" w:eastAsia="方正仿宋简体" w:cs="仿宋_GB2312"/>
          <w:sz w:val="32"/>
          <w:szCs w:val="32"/>
        </w:rPr>
        <w:t>2</w:t>
      </w:r>
      <w:r>
        <w:rPr>
          <w:rFonts w:hint="eastAsia" w:ascii="方正仿宋简体" w:eastAsia="方正仿宋简体" w:cs="仿宋_GB2312"/>
          <w:sz w:val="32"/>
          <w:szCs w:val="32"/>
        </w:rPr>
        <w:t>项以上，建立科技示范点示范基地</w:t>
      </w:r>
      <w:r>
        <w:rPr>
          <w:rFonts w:ascii="方正仿宋简体" w:eastAsia="方正仿宋简体" w:cs="仿宋_GB2312"/>
          <w:sz w:val="32"/>
          <w:szCs w:val="32"/>
        </w:rPr>
        <w:t>1</w:t>
      </w:r>
      <w:r>
        <w:rPr>
          <w:rFonts w:hint="eastAsia" w:ascii="方正仿宋简体" w:eastAsia="方正仿宋简体" w:cs="仿宋_GB2312"/>
          <w:sz w:val="32"/>
          <w:szCs w:val="32"/>
        </w:rPr>
        <w:t>个。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六、申报要求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（一）项目申报单位应是在广元市利州区境内注册</w:t>
      </w:r>
      <w:r>
        <w:rPr>
          <w:rFonts w:hint="eastAsia" w:ascii="方正仿宋简体" w:hAnsi="Calibri" w:eastAsia="方正仿宋简体" w:cs="Calibri"/>
          <w:kern w:val="0"/>
          <w:sz w:val="32"/>
          <w:szCs w:val="32"/>
        </w:rPr>
        <w:t>或位于广元市利州区境内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，具有独立法人资格的高校、科研院所和其他具备科研开发能力或科技服务能力的企事业单位，专合组织不能作为申报主体。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（二）鼓励产学研联合申报，参与单位应是相关领域具有科研优势的高校、科研院所和企事业单位。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（三）企业牵头的项目须提供配套资金，专项资金与配套资金比例为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：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，并出具配套资金能力支撑材料。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20131"/>
    <w:multiLevelType w:val="singleLevel"/>
    <w:tmpl w:val="AE020131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25F04848"/>
    <w:rsid w:val="25F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2024-08-19T08:14:00Z</dcterms:created>
  <dc:creator>祝星</dc:creator>
  <cp:lastModifiedBy>祝星</cp:lastModifiedBy>
  <dcterms:modified xsi:type="dcterms:W3CDTF">2024-08-19T08:14:54Z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9CC081E00CD24FCAA81E3D00E066E86A_11</vt:lpwstr>
  </property>
</Properties>
</file>