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58"/>
          <w:szCs w:val="58"/>
        </w:rPr>
      </w:pPr>
      <w:bookmarkStart w:id="1" w:name="_Toc15377425"/>
      <w:bookmarkStart w:id="2" w:name="_Toc15396475"/>
      <w:bookmarkStart w:id="3" w:name="_Toc19089858"/>
      <w:bookmarkStart w:id="4" w:name="_Toc15378441"/>
      <w:bookmarkStart w:id="5" w:name="_Toc15396597"/>
      <w:bookmarkStart w:id="6" w:name="_Toc15377193"/>
      <w:r>
        <w:rPr>
          <w:rFonts w:ascii="黑体" w:hAnsi="黑体" w:eastAsia="黑体"/>
          <w:sz w:val="58"/>
          <w:szCs w:val="58"/>
        </w:rPr>
        <w:t>201</w:t>
      </w:r>
      <w:r>
        <w:rPr>
          <w:rFonts w:hint="eastAsia" w:ascii="黑体" w:hAnsi="黑体" w:eastAsia="黑体"/>
          <w:sz w:val="58"/>
          <w:szCs w:val="58"/>
        </w:rPr>
        <w:t>9</w:t>
      </w:r>
      <w:r>
        <w:rPr>
          <w:rFonts w:hint="eastAsia" w:ascii="方正小标宋简体" w:hAnsi="宋体" w:eastAsia="方正小标宋简体"/>
          <w:sz w:val="58"/>
          <w:szCs w:val="58"/>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58"/>
          <w:szCs w:val="58"/>
        </w:rPr>
      </w:pPr>
      <w:bookmarkStart w:id="7" w:name="_Toc19089859"/>
      <w:bookmarkStart w:id="8" w:name="_Toc15378442"/>
      <w:bookmarkStart w:id="9" w:name="_Toc15396598"/>
      <w:bookmarkStart w:id="10" w:name="_Toc15377426"/>
      <w:bookmarkStart w:id="11" w:name="_Toc15396476"/>
      <w:bookmarkStart w:id="12" w:name="_Toc15377194"/>
      <w:r>
        <w:rPr>
          <w:rFonts w:hint="eastAsia" w:ascii="方正小标宋简体" w:hAnsi="宋体" w:eastAsia="方正小标宋简体"/>
          <w:sz w:val="58"/>
          <w:szCs w:val="58"/>
        </w:rPr>
        <w:t>四川省</w:t>
      </w:r>
      <w:bookmarkStart w:id="13" w:name="_Toc15306268"/>
      <w:r>
        <w:rPr>
          <w:rFonts w:hint="eastAsia" w:ascii="方正小标宋简体" w:hAnsi="宋体" w:eastAsia="方正小标宋简体"/>
          <w:sz w:val="58"/>
          <w:szCs w:val="58"/>
          <w:lang w:eastAsia="zh-CN"/>
        </w:rPr>
        <w:t>广元市</w:t>
      </w:r>
      <w:r>
        <w:rPr>
          <w:rFonts w:hint="eastAsia" w:ascii="方正小标宋简体" w:hAnsi="宋体" w:eastAsia="方正小标宋简体"/>
          <w:sz w:val="58"/>
          <w:szCs w:val="58"/>
        </w:rPr>
        <w:t>利州区</w:t>
      </w:r>
      <w:bookmarkEnd w:id="7"/>
      <w:r>
        <w:rPr>
          <w:rFonts w:hint="eastAsia" w:ascii="方正小标宋简体" w:hAnsi="宋体" w:eastAsia="方正小标宋简体"/>
          <w:sz w:val="58"/>
          <w:szCs w:val="58"/>
        </w:rPr>
        <w:t>北街幼儿园</w:t>
      </w:r>
    </w:p>
    <w:p>
      <w:pPr>
        <w:adjustRightInd w:val="0"/>
        <w:snapToGrid w:val="0"/>
        <w:spacing w:line="360" w:lineRule="auto"/>
        <w:jc w:val="center"/>
        <w:outlineLvl w:val="0"/>
        <w:rPr>
          <w:rFonts w:ascii="方正小标宋简体" w:hAnsi="宋体" w:eastAsia="方正小标宋简体"/>
          <w:sz w:val="58"/>
          <w:szCs w:val="58"/>
        </w:rPr>
      </w:pPr>
      <w:bookmarkStart w:id="14" w:name="_Toc19089860"/>
      <w:r>
        <w:rPr>
          <w:rFonts w:hint="eastAsia" w:ascii="方正小标宋简体" w:hAnsi="宋体" w:eastAsia="方正小标宋简体"/>
          <w:sz w:val="58"/>
          <w:szCs w:val="58"/>
          <w:lang w:eastAsia="zh-CN"/>
        </w:rPr>
        <w:t>部门</w:t>
      </w:r>
      <w:r>
        <w:rPr>
          <w:rFonts w:hint="eastAsia" w:ascii="方正小标宋简体" w:hAnsi="宋体" w:eastAsia="方正小标宋简体"/>
          <w:sz w:val="58"/>
          <w:szCs w:val="58"/>
        </w:rPr>
        <w:t>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widowControl/>
        <w:jc w:val="center"/>
        <w:rPr>
          <w:rFonts w:ascii="黑体" w:hAnsi="黑体" w:eastAsia="黑体"/>
          <w:sz w:val="48"/>
          <w:szCs w:val="48"/>
        </w:rPr>
      </w:pP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二、机构设置</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第四部分 附件</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sz w:val="28"/>
          <w:szCs w:val="28"/>
        </w:rPr>
      </w:pPr>
      <w:r>
        <w:rPr>
          <w:rFonts w:hint="eastAsia" w:ascii="黑体" w:hAnsi="黑体" w:eastAsia="黑体"/>
          <w:sz w:val="28"/>
          <w:szCs w:val="28"/>
        </w:rPr>
        <w:t>第五部分 附表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三、支出总表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sz w:val="28"/>
          <w:szCs w:val="28"/>
        </w:rPr>
      </w:pPr>
      <w:r>
        <w:rPr>
          <w:rFonts w:hint="eastAsia" w:ascii="仿宋" w:hAnsi="仿宋" w:eastAsia="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黑体" w:hAnsi="黑体" w:eastAsia="黑体"/>
          <w:sz w:val="28"/>
          <w:szCs w:val="2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方正小标宋简体" w:hAnsi="方正小标宋简体" w:eastAsia="方正小标宋简体" w:cs="方正小标宋简体"/>
          <w:b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00" w:lineRule="exact"/>
        <w:ind w:firstLine="560" w:firstLineChars="200"/>
        <w:textAlignment w:val="auto"/>
        <w:rPr>
          <w:rStyle w:val="25"/>
          <w:rFonts w:ascii="仿宋" w:hAnsi="仿宋" w:eastAsia="仿宋"/>
          <w:b w:val="0"/>
          <w:bCs w:val="0"/>
          <w:sz w:val="28"/>
          <w:szCs w:val="28"/>
        </w:rPr>
      </w:pPr>
      <w:bookmarkStart w:id="17" w:name="_Toc19089862"/>
      <w:bookmarkStart w:id="18" w:name="_Toc15377197"/>
      <w:r>
        <w:rPr>
          <w:rFonts w:hint="eastAsia" w:ascii="黑体" w:hAnsi="黑体" w:eastAsia="黑体"/>
          <w:b w:val="0"/>
          <w:sz w:val="28"/>
          <w:szCs w:val="28"/>
        </w:rPr>
        <w:t>一、基</w:t>
      </w:r>
      <w:r>
        <w:rPr>
          <w:rStyle w:val="25"/>
          <w:rFonts w:hint="eastAsia" w:ascii="黑体" w:hAnsi="黑体" w:eastAsia="黑体"/>
          <w:b w:val="0"/>
          <w:bCs w:val="0"/>
          <w:sz w:val="28"/>
          <w:szCs w:val="28"/>
        </w:rPr>
        <w:t>本职能及主要工作</w:t>
      </w:r>
      <w:bookmarkEnd w:id="17"/>
      <w:bookmarkEnd w:id="18"/>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bookmarkStart w:id="19" w:name="_Toc15377199"/>
      <w:bookmarkStart w:id="20" w:name="_Toc15378446"/>
      <w:bookmarkStart w:id="21" w:name="_Toc15377204"/>
      <w:r>
        <w:rPr>
          <w:rFonts w:ascii="仿宋" w:hAnsi="仿宋" w:eastAsia="仿宋"/>
          <w:bCs/>
          <w:sz w:val="28"/>
          <w:szCs w:val="28"/>
        </w:rPr>
        <w:t>1</w:t>
      </w:r>
      <w:r>
        <w:rPr>
          <w:rFonts w:hint="eastAsia" w:ascii="仿宋" w:hAnsi="仿宋" w:eastAsia="仿宋"/>
          <w:bCs/>
          <w:sz w:val="28"/>
          <w:szCs w:val="28"/>
          <w:lang w:eastAsia="zh-CN"/>
        </w:rPr>
        <w:t>.</w:t>
      </w:r>
      <w:r>
        <w:rPr>
          <w:rFonts w:hint="eastAsia" w:ascii="仿宋" w:hAnsi="仿宋" w:eastAsia="仿宋"/>
          <w:bCs/>
          <w:sz w:val="28"/>
          <w:szCs w:val="28"/>
        </w:rPr>
        <w:t>负责贯彻党的教育方针，坚持社会主义办学方向，实行教育与生产劳动相结合，对学生进行德育、智育、体育、美育和劳动等方面的教育</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lang w:eastAsia="zh-CN"/>
        </w:rPr>
        <w:t>.</w:t>
      </w:r>
      <w:r>
        <w:rPr>
          <w:rFonts w:hint="eastAsia" w:ascii="仿宋" w:hAnsi="仿宋" w:eastAsia="仿宋"/>
          <w:bCs/>
          <w:sz w:val="28"/>
          <w:szCs w:val="28"/>
        </w:rPr>
        <w:t>用科学的</w:t>
      </w:r>
      <w:r>
        <w:rPr>
          <w:rFonts w:hint="eastAsia" w:ascii="仿宋" w:hAnsi="仿宋" w:eastAsia="仿宋"/>
          <w:bCs/>
          <w:spacing w:val="-6"/>
          <w:sz w:val="28"/>
          <w:szCs w:val="28"/>
        </w:rPr>
        <w:t>发展观指导教育教学工作。加强教育科研工作，推动校本教育的健康发展。加强教学管理，不断推进新课程改革，全面提高教学质量</w:t>
      </w:r>
      <w:r>
        <w:rPr>
          <w:rFonts w:hint="eastAsia" w:ascii="仿宋" w:hAnsi="仿宋" w:eastAsia="仿宋"/>
          <w:bCs/>
          <w:sz w:val="28"/>
          <w:szCs w:val="28"/>
        </w:rPr>
        <w:t>。</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lang w:eastAsia="zh-CN"/>
        </w:rPr>
        <w:t>.</w:t>
      </w:r>
      <w:r>
        <w:rPr>
          <w:rFonts w:hint="eastAsia" w:ascii="仿宋" w:hAnsi="仿宋" w:eastAsia="仿宋"/>
          <w:bCs/>
          <w:sz w:val="28"/>
          <w:szCs w:val="28"/>
        </w:rPr>
        <w:t>负责配合各级人民政府依法动员、组织适龄儿童、少年入学，严格控制学生辍学，依法保证适龄儿童、少年接受九年义务教育。</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lang w:eastAsia="zh-CN"/>
        </w:rPr>
        <w:t>.</w:t>
      </w:r>
      <w:r>
        <w:rPr>
          <w:rFonts w:hint="eastAsia" w:ascii="仿宋" w:hAnsi="仿宋" w:eastAsia="仿宋"/>
          <w:bCs/>
          <w:sz w:val="28"/>
          <w:szCs w:val="28"/>
        </w:rPr>
        <w:t>继续深化人事制度改革，完善学校内部管理，做好后勤保障工作。</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lang w:eastAsia="zh-CN"/>
        </w:rPr>
        <w:t>.</w:t>
      </w:r>
      <w:r>
        <w:rPr>
          <w:rFonts w:hint="eastAsia" w:ascii="仿宋" w:hAnsi="仿宋" w:eastAsia="仿宋"/>
          <w:bCs/>
          <w:sz w:val="28"/>
          <w:szCs w:val="28"/>
        </w:rPr>
        <w:t>负责科学管理、合理使用学校的设施和经费，并积极筹措资金，改善办学条件。</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lang w:eastAsia="zh-CN"/>
        </w:rPr>
        <w:t>.</w:t>
      </w:r>
      <w:r>
        <w:rPr>
          <w:rFonts w:hint="eastAsia" w:ascii="仿宋" w:hAnsi="仿宋" w:eastAsia="仿宋"/>
          <w:bCs/>
          <w:sz w:val="28"/>
          <w:szCs w:val="28"/>
        </w:rPr>
        <w:t>负责维护学校、师生的合法权益，有权拒绝任何组织和个人对教育教学活动进行非法干扰。</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lang w:eastAsia="zh-CN"/>
        </w:rPr>
        <w:t>.</w:t>
      </w:r>
      <w:r>
        <w:rPr>
          <w:rFonts w:hint="eastAsia" w:ascii="仿宋" w:hAnsi="仿宋" w:eastAsia="仿宋"/>
          <w:bCs/>
          <w:sz w:val="28"/>
          <w:szCs w:val="28"/>
        </w:rPr>
        <w:t>负责创建绿色校园、文明校园和平安校园。</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lang w:eastAsia="zh-CN"/>
        </w:rPr>
        <w:t>.</w:t>
      </w:r>
      <w:r>
        <w:rPr>
          <w:rFonts w:hint="eastAsia" w:ascii="仿宋" w:hAnsi="仿宋" w:eastAsia="仿宋"/>
          <w:bCs/>
          <w:sz w:val="28"/>
          <w:szCs w:val="28"/>
        </w:rPr>
        <w:t>负责关心教职工生活，发挥教代会职能作用。依法制定本校教师及其他职工出任办法并对教师及其他员工实施包括奖励、处分在内的具体管理活动。</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outlineLvl w:val="2"/>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lang w:eastAsia="zh-CN"/>
        </w:rPr>
        <w:t>.</w:t>
      </w:r>
      <w:r>
        <w:rPr>
          <w:rFonts w:hint="eastAsia" w:ascii="仿宋" w:hAnsi="仿宋" w:eastAsia="仿宋"/>
          <w:bCs/>
          <w:sz w:val="28"/>
          <w:szCs w:val="28"/>
        </w:rPr>
        <w:t>承办上级交办的其他事项。</w:t>
      </w:r>
    </w:p>
    <w:bookmarkEnd w:id="19"/>
    <w:bookmarkEnd w:id="20"/>
    <w:p>
      <w:pPr>
        <w:pStyle w:val="3"/>
        <w:pageBreakBefore w:val="0"/>
        <w:widowControl w:val="0"/>
        <w:kinsoku/>
        <w:wordWrap/>
        <w:overflowPunct/>
        <w:topLinePunct w:val="0"/>
        <w:autoSpaceDE/>
        <w:autoSpaceDN/>
        <w:bidi w:val="0"/>
        <w:snapToGrid w:val="0"/>
        <w:spacing w:before="0" w:after="0" w:line="500" w:lineRule="exact"/>
        <w:ind w:firstLine="560" w:firstLineChars="200"/>
        <w:textAlignment w:val="auto"/>
        <w:rPr>
          <w:rStyle w:val="25"/>
          <w:b w:val="0"/>
          <w:bCs w:val="0"/>
          <w:sz w:val="28"/>
          <w:szCs w:val="28"/>
        </w:rPr>
      </w:pPr>
      <w:bookmarkStart w:id="22" w:name="_Toc15377200"/>
      <w:bookmarkStart w:id="23" w:name="_Toc19089863"/>
      <w:r>
        <w:rPr>
          <w:rFonts w:hint="eastAsia" w:ascii="黑体" w:eastAsia="黑体"/>
          <w:b w:val="0"/>
          <w:sz w:val="28"/>
          <w:szCs w:val="28"/>
        </w:rPr>
        <w:t>二、</w:t>
      </w:r>
      <w:r>
        <w:rPr>
          <w:rFonts w:hint="eastAsia" w:ascii="黑体" w:hAnsi="黑体" w:eastAsia="黑体"/>
          <w:b w:val="0"/>
          <w:sz w:val="28"/>
          <w:szCs w:val="28"/>
        </w:rPr>
        <w:t>机</w:t>
      </w:r>
      <w:r>
        <w:rPr>
          <w:rStyle w:val="25"/>
          <w:rFonts w:hint="eastAsia" w:ascii="黑体" w:hAnsi="黑体" w:eastAsia="黑体"/>
          <w:b w:val="0"/>
          <w:bCs w:val="0"/>
          <w:sz w:val="28"/>
          <w:szCs w:val="28"/>
        </w:rPr>
        <w:t>构设置</w:t>
      </w:r>
      <w:bookmarkEnd w:id="22"/>
      <w:bookmarkEnd w:id="23"/>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rPr>
          <w:sz w:val="28"/>
          <w:szCs w:val="28"/>
        </w:rPr>
      </w:pPr>
      <w:r>
        <w:rPr>
          <w:rFonts w:hint="eastAsia"/>
          <w:sz w:val="28"/>
          <w:szCs w:val="28"/>
        </w:rPr>
        <w:t>广元市利州区北街幼儿园设有园长书记室、办公室、工会办公室、园务处、技装室、财务室，2</w:t>
      </w:r>
      <w:r>
        <w:rPr>
          <w:sz w:val="28"/>
          <w:szCs w:val="28"/>
        </w:rPr>
        <w:t>019</w:t>
      </w:r>
      <w:r>
        <w:rPr>
          <w:rFonts w:hint="eastAsia"/>
          <w:sz w:val="28"/>
          <w:szCs w:val="28"/>
        </w:rPr>
        <w:t>年末共有学生698人，在职教职工54人，离退休教师28人。</w:t>
      </w:r>
    </w:p>
    <w:p>
      <w:pPr>
        <w:pStyle w:val="5"/>
        <w:pageBreakBefore w:val="0"/>
        <w:widowControl w:val="0"/>
        <w:kinsoku/>
        <w:wordWrap/>
        <w:overflowPunct/>
        <w:topLinePunct w:val="0"/>
        <w:autoSpaceDE/>
        <w:autoSpaceDN/>
        <w:bidi w:val="0"/>
        <w:adjustRightInd w:val="0"/>
        <w:snapToGrid w:val="0"/>
        <w:spacing w:beforeLines="0" w:line="500" w:lineRule="exact"/>
        <w:ind w:firstLine="560" w:firstLineChars="200"/>
        <w:textAlignment w:val="auto"/>
        <w:rPr>
          <w:rFonts w:ascii="仿宋" w:hAnsi="仿宋" w:eastAsia="仿宋"/>
          <w:sz w:val="28"/>
          <w:szCs w:val="28"/>
        </w:rPr>
      </w:pPr>
      <w:r>
        <w:rPr>
          <w:rFonts w:hint="eastAsia" w:ascii="仿宋" w:hAnsi="仿宋" w:eastAsia="仿宋"/>
          <w:sz w:val="28"/>
          <w:szCs w:val="28"/>
        </w:rPr>
        <w:t>北街幼儿园是纳入利州区教育局2019年度部门决算编制范围的二级预算单位。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right"/>
        <w:rPr>
          <w:rFonts w:hint="eastAsia" w:ascii="方正小标宋简体" w:hAnsi="方正小标宋简体" w:eastAsia="方正小标宋简体" w:cs="方正小标宋简体"/>
          <w:b w:val="0"/>
          <w:bCs w:val="0"/>
        </w:rPr>
      </w:pPr>
      <w:bookmarkStart w:id="24" w:name="_Toc19089864"/>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4"/>
          <w:rFonts w:hint="eastAsia" w:ascii="方正小标宋简体" w:hAnsi="方正小标宋简体" w:eastAsia="方正小标宋简体" w:cs="方正小标宋简体"/>
          <w:b w:val="0"/>
          <w:bCs w:val="0"/>
        </w:rPr>
        <w:t>2019年度部门决算情况说明</w:t>
      </w:r>
      <w:bookmarkEnd w:id="21"/>
      <w:bookmarkEnd w:id="24"/>
    </w:p>
    <w:p>
      <w:pPr>
        <w:pStyle w:val="23"/>
        <w:keepNext w:val="0"/>
        <w:keepLines w:val="0"/>
        <w:pageBreakBefore w:val="0"/>
        <w:widowControl w:val="0"/>
        <w:numPr>
          <w:ilvl w:val="0"/>
          <w:numId w:val="1"/>
        </w:numPr>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25" w:name="_Toc15377205"/>
      <w:bookmarkStart w:id="26" w:name="_Toc19089865"/>
      <w:r>
        <w:rPr>
          <w:rFonts w:hint="eastAsia" w:ascii="黑体" w:hAnsi="黑体" w:eastAsia="黑体"/>
          <w:b w:val="0"/>
          <w:bCs w:val="0"/>
          <w:sz w:val="28"/>
          <w:szCs w:val="28"/>
        </w:rPr>
        <w:t>收</w:t>
      </w:r>
      <w:r>
        <w:rPr>
          <w:rStyle w:val="25"/>
          <w:rFonts w:hint="eastAsia" w:ascii="黑体" w:hAnsi="黑体" w:eastAsia="黑体"/>
          <w:b w:val="0"/>
          <w:bCs w:val="0"/>
          <w:sz w:val="28"/>
          <w:szCs w:val="28"/>
        </w:rPr>
        <w:t>入支出决算总体情况说明</w:t>
      </w:r>
      <w:bookmarkEnd w:id="25"/>
      <w:bookmarkEnd w:id="26"/>
    </w:p>
    <w:p>
      <w:pPr>
        <w:pStyle w:val="23"/>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bookmarkStart w:id="27" w:name="_Toc15377206"/>
      <w:r>
        <w:rPr>
          <w:rFonts w:hint="eastAsia" w:ascii="仿宋" w:hAnsi="仿宋" w:eastAsia="仿宋"/>
          <w:b w:val="0"/>
          <w:bCs w:val="0"/>
          <w:sz w:val="28"/>
          <w:szCs w:val="28"/>
        </w:rPr>
        <w:t>2019年度收入总计</w:t>
      </w:r>
      <w:r>
        <w:rPr>
          <w:rFonts w:hint="eastAsia" w:ascii="仿宋" w:hAnsi="仿宋" w:eastAsia="仿宋" w:cs="Arial"/>
          <w:b w:val="0"/>
          <w:bCs w:val="0"/>
          <w:kern w:val="0"/>
          <w:sz w:val="28"/>
          <w:szCs w:val="28"/>
        </w:rPr>
        <w:t>1061.33</w:t>
      </w:r>
      <w:r>
        <w:rPr>
          <w:rFonts w:hint="eastAsia" w:ascii="仿宋" w:hAnsi="仿宋" w:eastAsia="仿宋"/>
          <w:b w:val="0"/>
          <w:bCs w:val="0"/>
          <w:sz w:val="28"/>
          <w:szCs w:val="28"/>
        </w:rPr>
        <w:t>万元。其中：本年收入合计</w:t>
      </w:r>
      <w:r>
        <w:rPr>
          <w:rFonts w:hint="eastAsia" w:ascii="仿宋" w:hAnsi="仿宋" w:eastAsia="仿宋" w:cs="Arial"/>
          <w:b w:val="0"/>
          <w:bCs w:val="0"/>
          <w:kern w:val="0"/>
          <w:sz w:val="28"/>
          <w:szCs w:val="28"/>
        </w:rPr>
        <w:t>973.92</w:t>
      </w:r>
      <w:r>
        <w:rPr>
          <w:rFonts w:hint="eastAsia" w:ascii="仿宋" w:hAnsi="仿宋" w:eastAsia="仿宋"/>
          <w:b w:val="0"/>
          <w:bCs w:val="0"/>
          <w:sz w:val="28"/>
          <w:szCs w:val="28"/>
        </w:rPr>
        <w:t>万元，年初结转结余</w:t>
      </w:r>
      <w:r>
        <w:rPr>
          <w:rFonts w:hint="eastAsia" w:ascii="仿宋" w:hAnsi="仿宋" w:eastAsia="仿宋" w:cs="Arial"/>
          <w:b w:val="0"/>
          <w:bCs w:val="0"/>
          <w:kern w:val="0"/>
          <w:sz w:val="28"/>
          <w:szCs w:val="28"/>
        </w:rPr>
        <w:t>87.41</w:t>
      </w:r>
      <w:r>
        <w:rPr>
          <w:rFonts w:hint="eastAsia" w:ascii="仿宋" w:hAnsi="仿宋" w:eastAsia="仿宋"/>
          <w:b w:val="0"/>
          <w:bCs w:val="0"/>
          <w:sz w:val="28"/>
          <w:szCs w:val="28"/>
        </w:rPr>
        <w:t>万元。</w:t>
      </w:r>
    </w:p>
    <w:p>
      <w:pPr>
        <w:pStyle w:val="23"/>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Arial"/>
          <w:b w:val="0"/>
          <w:bCs w:val="0"/>
          <w:kern w:val="0"/>
          <w:sz w:val="28"/>
          <w:szCs w:val="28"/>
        </w:rPr>
      </w:pPr>
      <w:r>
        <w:rPr>
          <w:rFonts w:hint="eastAsia" w:ascii="仿宋" w:hAnsi="仿宋" w:eastAsia="仿宋"/>
          <w:b w:val="0"/>
          <w:bCs w:val="0"/>
          <w:sz w:val="28"/>
          <w:szCs w:val="28"/>
        </w:rPr>
        <w:t>2019年度支出总计</w:t>
      </w:r>
      <w:r>
        <w:rPr>
          <w:rFonts w:hint="eastAsia" w:ascii="仿宋" w:hAnsi="仿宋" w:eastAsia="仿宋" w:cs="Arial"/>
          <w:b w:val="0"/>
          <w:bCs w:val="0"/>
          <w:kern w:val="0"/>
          <w:sz w:val="28"/>
          <w:szCs w:val="28"/>
        </w:rPr>
        <w:t>1061.33</w:t>
      </w:r>
      <w:r>
        <w:rPr>
          <w:rFonts w:hint="eastAsia" w:ascii="仿宋" w:hAnsi="仿宋" w:eastAsia="仿宋"/>
          <w:b w:val="0"/>
          <w:bCs w:val="0"/>
          <w:sz w:val="28"/>
          <w:szCs w:val="28"/>
        </w:rPr>
        <w:t>万元。其中：本年支出合计</w:t>
      </w:r>
      <w:r>
        <w:rPr>
          <w:rFonts w:hint="eastAsia" w:ascii="仿宋" w:hAnsi="仿宋" w:eastAsia="仿宋" w:cs="Arial"/>
          <w:b w:val="0"/>
          <w:bCs w:val="0"/>
          <w:kern w:val="0"/>
          <w:sz w:val="28"/>
          <w:szCs w:val="28"/>
        </w:rPr>
        <w:t>945.37</w:t>
      </w:r>
      <w:r>
        <w:rPr>
          <w:rFonts w:hint="eastAsia" w:ascii="仿宋" w:hAnsi="仿宋" w:eastAsia="仿宋"/>
          <w:b w:val="0"/>
          <w:bCs w:val="0"/>
          <w:sz w:val="28"/>
          <w:szCs w:val="28"/>
        </w:rPr>
        <w:t>万元，年末结转和结余</w:t>
      </w:r>
      <w:r>
        <w:rPr>
          <w:rFonts w:hint="eastAsia" w:ascii="仿宋" w:hAnsi="仿宋" w:eastAsia="仿宋" w:cs="Arial"/>
          <w:b w:val="0"/>
          <w:bCs w:val="0"/>
          <w:kern w:val="0"/>
          <w:sz w:val="28"/>
          <w:szCs w:val="28"/>
        </w:rPr>
        <w:t>115.96</w:t>
      </w:r>
      <w:r>
        <w:rPr>
          <w:rFonts w:hint="eastAsia" w:ascii="仿宋" w:hAnsi="仿宋" w:eastAsia="仿宋"/>
          <w:b w:val="0"/>
          <w:bCs w:val="0"/>
          <w:sz w:val="28"/>
          <w:szCs w:val="28"/>
        </w:rPr>
        <w:t>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25"/>
          <w:rFonts w:ascii="黑体" w:hAnsi="黑体" w:eastAsia="黑体"/>
          <w:b w:val="0"/>
          <w:bCs w:val="0"/>
          <w:sz w:val="28"/>
          <w:szCs w:val="28"/>
        </w:rPr>
      </w:pPr>
      <w:r>
        <w:rPr>
          <w:rFonts w:hint="eastAsia" w:ascii="黑体" w:hAnsi="黑体" w:eastAsia="黑体"/>
          <w:b w:val="0"/>
          <w:bCs w:val="0"/>
          <w:sz w:val="28"/>
          <w:szCs w:val="28"/>
        </w:rPr>
        <w:t>二、收</w:t>
      </w:r>
      <w:r>
        <w:rPr>
          <w:rStyle w:val="25"/>
          <w:rFonts w:hint="eastAsia" w:ascii="黑体" w:hAnsi="黑体" w:eastAsia="黑体"/>
          <w:b w:val="0"/>
          <w:bCs w:val="0"/>
          <w:sz w:val="28"/>
          <w:szCs w:val="28"/>
        </w:rPr>
        <w:t>入决算情况说明</w:t>
      </w:r>
      <w:bookmarkEnd w:id="27"/>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Fonts w:ascii="仿宋" w:hAnsi="仿宋" w:eastAsia="仿宋"/>
          <w:b w:val="0"/>
          <w:bCs w:val="0"/>
          <w:sz w:val="28"/>
          <w:szCs w:val="28"/>
        </w:rPr>
      </w:pPr>
      <w:bookmarkStart w:id="28" w:name="_Toc19089866"/>
      <w:r>
        <w:rPr>
          <w:rFonts w:ascii="仿宋" w:hAnsi="仿宋" w:eastAsia="仿宋"/>
          <w:b w:val="0"/>
          <w:bCs w:val="0"/>
          <w:sz w:val="28"/>
          <w:szCs w:val="28"/>
        </w:rPr>
        <w:t>201</w:t>
      </w:r>
      <w:r>
        <w:rPr>
          <w:rFonts w:hint="eastAsia" w:ascii="仿宋" w:hAnsi="仿宋" w:eastAsia="仿宋"/>
          <w:b w:val="0"/>
          <w:bCs w:val="0"/>
          <w:sz w:val="28"/>
          <w:szCs w:val="28"/>
        </w:rPr>
        <w:t>9年本年收入合计973.92万元，其中：一般公共预算财政拨款收入804.9万元，占比82.64%；政府性基金预算财政拨款收入</w:t>
      </w:r>
      <w:r>
        <w:rPr>
          <w:rFonts w:ascii="仿宋" w:hAnsi="仿宋" w:eastAsia="仿宋"/>
          <w:b w:val="0"/>
          <w:bCs w:val="0"/>
          <w:sz w:val="28"/>
          <w:szCs w:val="28"/>
        </w:rPr>
        <w:t>0.00</w:t>
      </w:r>
      <w:r>
        <w:rPr>
          <w:rFonts w:hint="eastAsia" w:ascii="仿宋" w:hAnsi="仿宋" w:eastAsia="仿宋"/>
          <w:b w:val="0"/>
          <w:bCs w:val="0"/>
          <w:sz w:val="28"/>
          <w:szCs w:val="28"/>
        </w:rPr>
        <w:t>万元，占比</w:t>
      </w:r>
      <w:r>
        <w:rPr>
          <w:rFonts w:ascii="仿宋" w:hAnsi="仿宋" w:eastAsia="仿宋"/>
          <w:b w:val="0"/>
          <w:bCs w:val="0"/>
          <w:sz w:val="28"/>
          <w:szCs w:val="28"/>
        </w:rPr>
        <w:t>0.00</w:t>
      </w:r>
      <w:r>
        <w:rPr>
          <w:rFonts w:hint="eastAsia" w:ascii="仿宋" w:hAnsi="仿宋" w:eastAsia="仿宋"/>
          <w:b w:val="0"/>
          <w:bCs w:val="0"/>
          <w:sz w:val="28"/>
          <w:szCs w:val="28"/>
        </w:rPr>
        <w:t>%；国有资本经营预算财政拨款收入0.00万元，占比0.00</w:t>
      </w:r>
      <w:r>
        <w:rPr>
          <w:rFonts w:ascii="仿宋" w:hAnsi="仿宋" w:eastAsia="仿宋"/>
          <w:b w:val="0"/>
          <w:bCs w:val="0"/>
          <w:sz w:val="28"/>
          <w:szCs w:val="28"/>
        </w:rPr>
        <w:t>%</w:t>
      </w:r>
      <w:r>
        <w:rPr>
          <w:rFonts w:hint="eastAsia" w:ascii="仿宋" w:hAnsi="仿宋" w:eastAsia="仿宋"/>
          <w:b w:val="0"/>
          <w:bCs w:val="0"/>
          <w:sz w:val="28"/>
          <w:szCs w:val="28"/>
        </w:rPr>
        <w:t>；事业收入0.00万元，占0.00</w:t>
      </w:r>
      <w:r>
        <w:rPr>
          <w:rFonts w:ascii="仿宋" w:hAnsi="仿宋" w:eastAsia="仿宋"/>
          <w:b w:val="0"/>
          <w:bCs w:val="0"/>
          <w:sz w:val="28"/>
          <w:szCs w:val="28"/>
        </w:rPr>
        <w:t>%</w:t>
      </w:r>
      <w:r>
        <w:rPr>
          <w:rFonts w:hint="eastAsia" w:ascii="仿宋" w:hAnsi="仿宋" w:eastAsia="仿宋"/>
          <w:b w:val="0"/>
          <w:bCs w:val="0"/>
          <w:sz w:val="28"/>
          <w:szCs w:val="28"/>
        </w:rPr>
        <w:t>；经营收入0.00万元，占0.00</w:t>
      </w:r>
      <w:r>
        <w:rPr>
          <w:rFonts w:ascii="仿宋" w:hAnsi="仿宋" w:eastAsia="仿宋"/>
          <w:b w:val="0"/>
          <w:bCs w:val="0"/>
          <w:sz w:val="28"/>
          <w:szCs w:val="28"/>
        </w:rPr>
        <w:t>%</w:t>
      </w:r>
      <w:r>
        <w:rPr>
          <w:rFonts w:hint="eastAsia" w:ascii="仿宋" w:hAnsi="仿宋" w:eastAsia="仿宋"/>
          <w:b w:val="0"/>
          <w:bCs w:val="0"/>
          <w:sz w:val="28"/>
          <w:szCs w:val="28"/>
        </w:rPr>
        <w:t>；附属单位上缴收入0.00万元，占0.00</w:t>
      </w:r>
      <w:r>
        <w:rPr>
          <w:rFonts w:ascii="仿宋" w:hAnsi="仿宋" w:eastAsia="仿宋"/>
          <w:b w:val="0"/>
          <w:bCs w:val="0"/>
          <w:sz w:val="28"/>
          <w:szCs w:val="28"/>
        </w:rPr>
        <w:t>%</w:t>
      </w:r>
      <w:r>
        <w:rPr>
          <w:rFonts w:hint="eastAsia" w:ascii="仿宋" w:hAnsi="仿宋" w:eastAsia="仿宋"/>
          <w:b w:val="0"/>
          <w:bCs w:val="0"/>
          <w:sz w:val="28"/>
          <w:szCs w:val="28"/>
        </w:rPr>
        <w:t>；其他收入169.02万元，占比17.36%。</w:t>
      </w:r>
      <w:bookmarkEnd w:id="28"/>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29" w:name="_Toc19089867"/>
      <w:bookmarkStart w:id="30" w:name="_Toc15377207"/>
      <w:r>
        <w:rPr>
          <w:rFonts w:hint="eastAsia" w:ascii="黑体" w:hAnsi="黑体" w:eastAsia="黑体"/>
          <w:b w:val="0"/>
          <w:bCs w:val="0"/>
          <w:sz w:val="28"/>
          <w:szCs w:val="28"/>
        </w:rPr>
        <w:t>三、支</w:t>
      </w:r>
      <w:r>
        <w:rPr>
          <w:rStyle w:val="25"/>
          <w:rFonts w:hint="eastAsia" w:ascii="黑体" w:hAnsi="黑体" w:eastAsia="黑体"/>
          <w:b w:val="0"/>
          <w:bCs w:val="0"/>
          <w:sz w:val="28"/>
          <w:szCs w:val="28"/>
        </w:rPr>
        <w:t>出决算情况说明</w:t>
      </w:r>
      <w:bookmarkEnd w:id="29"/>
      <w:bookmarkEnd w:id="30"/>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shd w:val="pct10" w:color="auto" w:fill="FFFFFF"/>
        </w:rPr>
      </w:pPr>
      <w:r>
        <w:rPr>
          <w:rFonts w:ascii="仿宋" w:hAnsi="仿宋" w:eastAsia="仿宋"/>
          <w:b w:val="0"/>
          <w:bCs w:val="0"/>
          <w:sz w:val="28"/>
          <w:szCs w:val="28"/>
        </w:rPr>
        <w:t>201</w:t>
      </w:r>
      <w:r>
        <w:rPr>
          <w:rFonts w:hint="eastAsia" w:ascii="仿宋" w:hAnsi="仿宋" w:eastAsia="仿宋"/>
          <w:b w:val="0"/>
          <w:bCs w:val="0"/>
          <w:sz w:val="28"/>
          <w:szCs w:val="28"/>
        </w:rPr>
        <w:t>9年本年支出合计945.38万元，其中：基本支出910.09万元，占96.27%；项目支出35.29万元，占3.73%；上缴上级支出0.00万元，占0.00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31" w:name="_Toc19089868"/>
      <w:bookmarkStart w:id="32" w:name="_Toc15377208"/>
      <w:r>
        <w:rPr>
          <w:rFonts w:hint="eastAsia" w:ascii="黑体" w:hAnsi="黑体" w:eastAsia="黑体"/>
          <w:b w:val="0"/>
          <w:bCs w:val="0"/>
          <w:sz w:val="28"/>
          <w:szCs w:val="28"/>
        </w:rPr>
        <w:t>四、财</w:t>
      </w:r>
      <w:r>
        <w:rPr>
          <w:rStyle w:val="25"/>
          <w:rFonts w:hint="eastAsia" w:ascii="黑体" w:hAnsi="黑体" w:eastAsia="黑体"/>
          <w:b w:val="0"/>
          <w:bCs w:val="0"/>
          <w:sz w:val="28"/>
          <w:szCs w:val="28"/>
        </w:rPr>
        <w:t>政拨款收入支出决算总体情况说明</w:t>
      </w:r>
      <w:bookmarkEnd w:id="31"/>
      <w:bookmarkEnd w:id="3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2019年财政拨款收入总计804.9万元。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kern w:val="0"/>
          <w:sz w:val="28"/>
          <w:szCs w:val="28"/>
        </w:rPr>
      </w:pPr>
      <w:r>
        <w:rPr>
          <w:rFonts w:hint="eastAsia" w:ascii="仿宋" w:hAnsi="仿宋" w:eastAsia="仿宋"/>
          <w:b w:val="0"/>
          <w:bCs w:val="0"/>
          <w:sz w:val="28"/>
          <w:szCs w:val="28"/>
        </w:rPr>
        <w:t>2019年财政拨款支出总计776.36万元。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bookmarkStart w:id="33" w:name="_Toc15377209"/>
      <w:bookmarkStart w:id="34" w:name="_Toc19089869"/>
      <w:r>
        <w:rPr>
          <w:rFonts w:hint="eastAsia" w:ascii="黑体" w:hAnsi="黑体" w:eastAsia="黑体"/>
          <w:b w:val="0"/>
          <w:bCs w:val="0"/>
          <w:sz w:val="28"/>
          <w:szCs w:val="28"/>
        </w:rPr>
        <w:t>五、一</w:t>
      </w:r>
      <w:r>
        <w:rPr>
          <w:rStyle w:val="25"/>
          <w:rFonts w:hint="eastAsia" w:ascii="黑体" w:hAnsi="黑体" w:eastAsia="黑体"/>
          <w:b w:val="0"/>
          <w:bCs w:val="0"/>
          <w:sz w:val="28"/>
          <w:szCs w:val="28"/>
        </w:rPr>
        <w:t>般公共预算财政拨款支出决算情况说明</w:t>
      </w:r>
      <w:bookmarkEnd w:id="33"/>
      <w:bookmarkEnd w:id="34"/>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2"/>
        <w:rPr>
          <w:rFonts w:ascii="仿宋" w:hAnsi="仿宋" w:eastAsia="仿宋"/>
          <w:b w:val="0"/>
          <w:bCs w:val="0"/>
          <w:color w:val="000000" w:themeColor="text1"/>
          <w:sz w:val="28"/>
          <w:szCs w:val="28"/>
        </w:rPr>
      </w:pPr>
      <w:bookmarkStart w:id="35" w:name="_Toc15377210"/>
      <w:bookmarkStart w:id="36" w:name="_Toc15377214"/>
      <w:r>
        <w:rPr>
          <w:rFonts w:hint="eastAsia" w:ascii="仿宋" w:hAnsi="仿宋" w:eastAsia="仿宋"/>
          <w:b w:val="0"/>
          <w:bCs w:val="0"/>
          <w:color w:val="000000" w:themeColor="text1"/>
          <w:sz w:val="28"/>
          <w:szCs w:val="28"/>
        </w:rPr>
        <w:t>1</w:t>
      </w:r>
      <w:r>
        <w:rPr>
          <w:rFonts w:hint="eastAsia" w:ascii="仿宋" w:hAnsi="仿宋" w:eastAsia="仿宋"/>
          <w:b w:val="0"/>
          <w:bCs w:val="0"/>
          <w:color w:val="000000" w:themeColor="text1"/>
          <w:sz w:val="28"/>
          <w:szCs w:val="28"/>
          <w:lang w:val="en-US" w:eastAsia="zh-CN"/>
        </w:rPr>
        <w:t>.</w:t>
      </w:r>
      <w:r>
        <w:rPr>
          <w:rFonts w:hint="eastAsia" w:ascii="仿宋" w:hAnsi="仿宋" w:eastAsia="仿宋"/>
          <w:b w:val="0"/>
          <w:bCs w:val="0"/>
          <w:color w:val="000000" w:themeColor="text1"/>
          <w:sz w:val="28"/>
          <w:szCs w:val="28"/>
        </w:rPr>
        <w:t>一般公共预算财政拨款支出决算总体情况</w:t>
      </w:r>
      <w:bookmarkEnd w:id="35"/>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Arial"/>
          <w:b w:val="0"/>
          <w:bCs w:val="0"/>
          <w:color w:val="000000" w:themeColor="text1"/>
          <w:kern w:val="0"/>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9年一般公共预算财政拨款支出</w:t>
      </w:r>
      <w:r>
        <w:rPr>
          <w:rFonts w:hint="eastAsia" w:ascii="仿宋" w:hAnsi="仿宋" w:eastAsia="仿宋" w:cs="Arial"/>
          <w:b w:val="0"/>
          <w:bCs w:val="0"/>
          <w:color w:val="000000" w:themeColor="text1"/>
          <w:kern w:val="0"/>
          <w:sz w:val="28"/>
          <w:szCs w:val="28"/>
        </w:rPr>
        <w:t>776.36</w:t>
      </w:r>
      <w:r>
        <w:rPr>
          <w:rFonts w:hint="eastAsia" w:ascii="仿宋" w:hAnsi="仿宋" w:eastAsia="仿宋"/>
          <w:b w:val="0"/>
          <w:bCs w:val="0"/>
          <w:color w:val="000000" w:themeColor="text1"/>
          <w:sz w:val="28"/>
          <w:szCs w:val="28"/>
        </w:rPr>
        <w:t>万元，其中基本支出</w:t>
      </w:r>
      <w:r>
        <w:rPr>
          <w:rFonts w:hint="eastAsia" w:ascii="仿宋" w:hAnsi="仿宋" w:eastAsia="仿宋" w:cs="Arial"/>
          <w:b w:val="0"/>
          <w:bCs w:val="0"/>
          <w:color w:val="000000" w:themeColor="text1"/>
          <w:kern w:val="0"/>
          <w:sz w:val="28"/>
          <w:szCs w:val="28"/>
        </w:rPr>
        <w:t>741.07</w:t>
      </w:r>
      <w:r>
        <w:rPr>
          <w:rFonts w:hint="eastAsia" w:ascii="仿宋" w:hAnsi="仿宋" w:eastAsia="仿宋"/>
          <w:b w:val="0"/>
          <w:bCs w:val="0"/>
          <w:color w:val="000000" w:themeColor="text1"/>
          <w:sz w:val="28"/>
          <w:szCs w:val="28"/>
        </w:rPr>
        <w:t>万元，项目支出</w:t>
      </w:r>
      <w:r>
        <w:rPr>
          <w:rFonts w:hint="eastAsia" w:ascii="仿宋" w:hAnsi="仿宋" w:eastAsia="仿宋" w:cs="Arial"/>
          <w:b w:val="0"/>
          <w:bCs w:val="0"/>
          <w:color w:val="000000" w:themeColor="text1"/>
          <w:kern w:val="0"/>
          <w:sz w:val="28"/>
          <w:szCs w:val="28"/>
        </w:rPr>
        <w:t>35.29</w:t>
      </w:r>
      <w:r>
        <w:rPr>
          <w:rFonts w:hint="eastAsia" w:ascii="仿宋" w:hAnsi="仿宋" w:eastAsia="仿宋"/>
          <w:b w:val="0"/>
          <w:bCs w:val="0"/>
          <w:color w:val="000000" w:themeColor="text1"/>
          <w:sz w:val="28"/>
          <w:szCs w:val="28"/>
        </w:rPr>
        <w:t>万</w:t>
      </w:r>
      <w:r>
        <w:rPr>
          <w:rFonts w:ascii="仿宋" w:hAnsi="仿宋" w:eastAsia="仿宋"/>
          <w:b w:val="0"/>
          <w:bCs w:val="0"/>
          <w:color w:val="000000" w:themeColor="text1"/>
          <w:sz w:val="28"/>
          <w:szCs w:val="28"/>
        </w:rPr>
        <w:t>元</w:t>
      </w:r>
      <w:r>
        <w:rPr>
          <w:rFonts w:hint="eastAsia" w:ascii="仿宋" w:hAnsi="仿宋" w:eastAsia="仿宋"/>
          <w:b w:val="0"/>
          <w:bCs w:val="0"/>
          <w:color w:val="000000" w:themeColor="text1"/>
          <w:sz w:val="28"/>
          <w:szCs w:val="28"/>
        </w:rPr>
        <w:t>。</w:t>
      </w:r>
      <w:bookmarkStart w:id="37" w:name="_Toc15377211"/>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2"/>
        <w:rPr>
          <w:rFonts w:ascii="仿宋" w:hAnsi="仿宋" w:eastAsia="仿宋"/>
          <w:b w:val="0"/>
          <w:bCs w:val="0"/>
          <w:color w:val="000000" w:themeColor="text1"/>
          <w:sz w:val="28"/>
          <w:szCs w:val="28"/>
        </w:rPr>
      </w:pPr>
      <w:r>
        <w:rPr>
          <w:rFonts w:hint="eastAsia" w:ascii="仿宋" w:hAnsi="仿宋" w:eastAsia="仿宋"/>
          <w:b w:val="0"/>
          <w:bCs w:val="0"/>
          <w:color w:val="000000" w:themeColor="text1"/>
          <w:sz w:val="28"/>
          <w:szCs w:val="28"/>
        </w:rPr>
        <w:t>2</w:t>
      </w:r>
      <w:r>
        <w:rPr>
          <w:rFonts w:hint="eastAsia" w:ascii="仿宋" w:hAnsi="仿宋" w:eastAsia="仿宋"/>
          <w:b w:val="0"/>
          <w:bCs w:val="0"/>
          <w:color w:val="000000" w:themeColor="text1"/>
          <w:sz w:val="28"/>
          <w:szCs w:val="28"/>
          <w:lang w:val="en-US" w:eastAsia="zh-CN"/>
        </w:rPr>
        <w:t>.</w:t>
      </w:r>
      <w:r>
        <w:rPr>
          <w:rFonts w:hint="eastAsia" w:ascii="仿宋" w:hAnsi="仿宋" w:eastAsia="仿宋"/>
          <w:b w:val="0"/>
          <w:bCs w:val="0"/>
          <w:color w:val="000000" w:themeColor="text1"/>
          <w:sz w:val="28"/>
          <w:szCs w:val="28"/>
        </w:rPr>
        <w:t>一般公共预算财政拨款支出决算结构情况</w:t>
      </w:r>
      <w:bookmarkEnd w:id="37"/>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Arial"/>
          <w:b w:val="0"/>
          <w:bCs w:val="0"/>
          <w:color w:val="000000" w:themeColor="text1"/>
          <w:kern w:val="0"/>
          <w:sz w:val="28"/>
          <w:szCs w:val="28"/>
        </w:rPr>
      </w:pPr>
      <w:r>
        <w:rPr>
          <w:rFonts w:ascii="仿宋" w:hAnsi="仿宋" w:eastAsia="仿宋"/>
          <w:b w:val="0"/>
          <w:bCs w:val="0"/>
          <w:color w:val="000000" w:themeColor="text1"/>
          <w:sz w:val="28"/>
          <w:szCs w:val="28"/>
        </w:rPr>
        <w:t>201</w:t>
      </w:r>
      <w:r>
        <w:rPr>
          <w:rFonts w:hint="eastAsia" w:ascii="仿宋" w:hAnsi="仿宋" w:eastAsia="仿宋"/>
          <w:b w:val="0"/>
          <w:bCs w:val="0"/>
          <w:color w:val="000000" w:themeColor="text1"/>
          <w:sz w:val="28"/>
          <w:szCs w:val="28"/>
        </w:rPr>
        <w:t>9年一般公共预算财政拨款支出</w:t>
      </w:r>
      <w:r>
        <w:rPr>
          <w:rFonts w:hint="eastAsia" w:ascii="仿宋" w:hAnsi="仿宋" w:eastAsia="仿宋" w:cs="Arial"/>
          <w:b w:val="0"/>
          <w:bCs w:val="0"/>
          <w:color w:val="000000" w:themeColor="text1"/>
          <w:kern w:val="0"/>
          <w:sz w:val="28"/>
          <w:szCs w:val="28"/>
        </w:rPr>
        <w:t>776.36</w:t>
      </w:r>
      <w:r>
        <w:rPr>
          <w:rFonts w:hint="eastAsia" w:ascii="仿宋" w:hAnsi="仿宋" w:eastAsia="仿宋"/>
          <w:b w:val="0"/>
          <w:bCs w:val="0"/>
          <w:color w:val="000000" w:themeColor="text1"/>
          <w:sz w:val="28"/>
          <w:szCs w:val="28"/>
        </w:rPr>
        <w:t>万元，主要用于以下方面</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一般公共服务（类）支出0.00万元，占0.00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；教育支出（类）</w:t>
      </w:r>
      <w:r>
        <w:rPr>
          <w:rFonts w:hint="eastAsia" w:ascii="仿宋" w:hAnsi="仿宋" w:eastAsia="仿宋" w:cs="Arial"/>
          <w:b w:val="0"/>
          <w:bCs w:val="0"/>
          <w:color w:val="000000" w:themeColor="text1"/>
          <w:kern w:val="0"/>
          <w:sz w:val="28"/>
          <w:szCs w:val="28"/>
        </w:rPr>
        <w:t>674.97</w:t>
      </w:r>
      <w:r>
        <w:rPr>
          <w:rFonts w:hint="eastAsia" w:ascii="仿宋" w:hAnsi="仿宋" w:eastAsia="仿宋"/>
          <w:b w:val="0"/>
          <w:bCs w:val="0"/>
          <w:color w:val="000000" w:themeColor="text1"/>
          <w:sz w:val="28"/>
          <w:szCs w:val="28"/>
        </w:rPr>
        <w:t>万元，占86.94%；科学技术（类）支出0.00万元，占0.00</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；社会保障和就业（类）支出</w:t>
      </w:r>
      <w:r>
        <w:rPr>
          <w:rFonts w:hint="eastAsia" w:ascii="仿宋" w:hAnsi="仿宋" w:eastAsia="仿宋" w:cs="Arial"/>
          <w:b w:val="0"/>
          <w:bCs w:val="0"/>
          <w:color w:val="000000" w:themeColor="text1"/>
          <w:kern w:val="0"/>
          <w:sz w:val="28"/>
          <w:szCs w:val="28"/>
        </w:rPr>
        <w:t>65.15</w:t>
      </w:r>
      <w:r>
        <w:rPr>
          <w:rFonts w:hint="eastAsia" w:ascii="仿宋" w:hAnsi="仿宋" w:eastAsia="仿宋"/>
          <w:b w:val="0"/>
          <w:bCs w:val="0"/>
          <w:color w:val="000000" w:themeColor="text1"/>
          <w:sz w:val="28"/>
          <w:szCs w:val="28"/>
        </w:rPr>
        <w:t>万元，占8.39</w:t>
      </w:r>
      <w:r>
        <w:rPr>
          <w:rFonts w:ascii="仿宋" w:hAnsi="仿宋" w:eastAsia="仿宋"/>
          <w:b w:val="0"/>
          <w:bCs w:val="0"/>
          <w:color w:val="000000" w:themeColor="text1"/>
          <w:sz w:val="28"/>
          <w:szCs w:val="28"/>
        </w:rPr>
        <w:t>%</w:t>
      </w:r>
      <w:r>
        <w:rPr>
          <w:rFonts w:hint="eastAsia" w:ascii="仿宋" w:hAnsi="仿宋" w:eastAsia="仿宋"/>
          <w:b w:val="0"/>
          <w:bCs w:val="0"/>
          <w:color w:val="000000" w:themeColor="text1"/>
          <w:sz w:val="28"/>
          <w:szCs w:val="28"/>
        </w:rPr>
        <w:t>；卫生健康（类）支出</w:t>
      </w:r>
      <w:r>
        <w:rPr>
          <w:rFonts w:hint="eastAsia" w:ascii="仿宋" w:hAnsi="仿宋" w:eastAsia="仿宋" w:cs="Arial"/>
          <w:b w:val="0"/>
          <w:bCs w:val="0"/>
          <w:color w:val="000000" w:themeColor="text1"/>
          <w:kern w:val="0"/>
          <w:sz w:val="28"/>
          <w:szCs w:val="28"/>
        </w:rPr>
        <w:t>34.21</w:t>
      </w:r>
      <w:r>
        <w:rPr>
          <w:rFonts w:hint="eastAsia" w:ascii="仿宋" w:hAnsi="仿宋" w:eastAsia="仿宋"/>
          <w:b w:val="0"/>
          <w:bCs w:val="0"/>
          <w:color w:val="000000" w:themeColor="text1"/>
          <w:sz w:val="28"/>
          <w:szCs w:val="28"/>
        </w:rPr>
        <w:t>万元，占4.67%；其它支出（类）支出0.00万元，占0.00%。</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2"/>
        <w:rPr>
          <w:rFonts w:ascii="仿宋" w:hAnsi="仿宋" w:eastAsia="仿宋"/>
          <w:b w:val="0"/>
          <w:bCs w:val="0"/>
          <w:color w:val="000000" w:themeColor="text1"/>
          <w:sz w:val="28"/>
          <w:szCs w:val="28"/>
        </w:rPr>
      </w:pPr>
      <w:bookmarkStart w:id="38" w:name="_Toc15377212"/>
      <w:r>
        <w:rPr>
          <w:rFonts w:hint="eastAsia" w:ascii="仿宋" w:hAnsi="仿宋" w:eastAsia="仿宋"/>
          <w:b w:val="0"/>
          <w:bCs w:val="0"/>
          <w:color w:val="000000" w:themeColor="text1"/>
          <w:sz w:val="28"/>
          <w:szCs w:val="28"/>
        </w:rPr>
        <w:t>3</w:t>
      </w:r>
      <w:r>
        <w:rPr>
          <w:rFonts w:hint="eastAsia" w:ascii="仿宋" w:hAnsi="仿宋" w:eastAsia="仿宋"/>
          <w:b w:val="0"/>
          <w:bCs w:val="0"/>
          <w:color w:val="000000" w:themeColor="text1"/>
          <w:sz w:val="28"/>
          <w:szCs w:val="28"/>
          <w:lang w:val="en-US" w:eastAsia="zh-CN"/>
        </w:rPr>
        <w:t>.</w:t>
      </w:r>
      <w:r>
        <w:rPr>
          <w:rFonts w:hint="eastAsia" w:ascii="仿宋" w:hAnsi="仿宋" w:eastAsia="仿宋"/>
          <w:b w:val="0"/>
          <w:bCs w:val="0"/>
          <w:color w:val="000000" w:themeColor="text1"/>
          <w:sz w:val="28"/>
          <w:szCs w:val="28"/>
        </w:rPr>
        <w:t>一般公共预算财政拨款支出决算具体情况</w:t>
      </w:r>
      <w:bookmarkEnd w:id="38"/>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2"/>
        <w:rPr>
          <w:rFonts w:ascii="仿宋" w:hAnsi="仿宋" w:eastAsia="仿宋"/>
          <w:b w:val="0"/>
          <w:bCs w:val="0"/>
          <w:color w:val="000000" w:themeColor="text1"/>
          <w:sz w:val="28"/>
          <w:szCs w:val="28"/>
        </w:rPr>
      </w:pPr>
      <w:bookmarkStart w:id="39" w:name="_Toc15377213"/>
      <w:bookmarkStart w:id="40" w:name="_Toc15377444"/>
      <w:bookmarkStart w:id="41" w:name="_Toc15378460"/>
      <w:r>
        <w:rPr>
          <w:rFonts w:hint="eastAsia" w:ascii="仿宋" w:hAnsi="仿宋" w:eastAsia="仿宋"/>
          <w:b w:val="0"/>
          <w:bCs w:val="0"/>
          <w:color w:val="000000" w:themeColor="text1"/>
          <w:sz w:val="28"/>
          <w:szCs w:val="28"/>
        </w:rPr>
        <w:t>2019</w:t>
      </w:r>
      <w:r>
        <w:rPr>
          <w:rFonts w:hint="eastAsia" w:ascii="仿宋" w:hAnsi="仿宋" w:eastAsia="仿宋"/>
          <w:b w:val="0"/>
          <w:bCs w:val="0"/>
          <w:color w:val="000000" w:themeColor="text1"/>
          <w:spacing w:val="-11"/>
          <w:sz w:val="28"/>
          <w:szCs w:val="28"/>
        </w:rPr>
        <w:t>年一般公共预算支出决算数为</w:t>
      </w:r>
      <w:r>
        <w:rPr>
          <w:rFonts w:hint="eastAsia" w:ascii="仿宋" w:hAnsi="仿宋" w:eastAsia="仿宋" w:cs="Arial"/>
          <w:b w:val="0"/>
          <w:bCs w:val="0"/>
          <w:color w:val="000000" w:themeColor="text1"/>
          <w:spacing w:val="-11"/>
          <w:kern w:val="0"/>
          <w:sz w:val="28"/>
          <w:szCs w:val="28"/>
        </w:rPr>
        <w:t>776.36</w:t>
      </w:r>
      <w:r>
        <w:rPr>
          <w:rFonts w:hint="eastAsia" w:ascii="仿宋" w:hAnsi="仿宋" w:eastAsia="仿宋"/>
          <w:b w:val="0"/>
          <w:bCs w:val="0"/>
          <w:color w:val="000000" w:themeColor="text1"/>
          <w:spacing w:val="-11"/>
          <w:sz w:val="28"/>
          <w:szCs w:val="28"/>
        </w:rPr>
        <w:t>万元，</w:t>
      </w:r>
      <w:r>
        <w:rPr>
          <w:rStyle w:val="14"/>
          <w:rFonts w:hint="eastAsia" w:ascii="仿宋" w:hAnsi="仿宋" w:eastAsia="仿宋"/>
          <w:b w:val="0"/>
          <w:bCs w:val="0"/>
          <w:color w:val="000000" w:themeColor="text1"/>
          <w:spacing w:val="-11"/>
          <w:sz w:val="28"/>
          <w:szCs w:val="28"/>
        </w:rPr>
        <w:t>完成预算99</w:t>
      </w:r>
      <w:r>
        <w:rPr>
          <w:rStyle w:val="14"/>
          <w:rFonts w:ascii="仿宋" w:hAnsi="仿宋" w:eastAsia="仿宋"/>
          <w:b w:val="0"/>
          <w:bCs w:val="0"/>
          <w:color w:val="000000" w:themeColor="text1"/>
          <w:spacing w:val="-11"/>
          <w:sz w:val="28"/>
          <w:szCs w:val="28"/>
        </w:rPr>
        <w:t>%</w:t>
      </w:r>
      <w:r>
        <w:rPr>
          <w:rStyle w:val="14"/>
          <w:rFonts w:hint="eastAsia" w:ascii="仿宋" w:hAnsi="仿宋" w:eastAsia="仿宋"/>
          <w:b w:val="0"/>
          <w:bCs w:val="0"/>
          <w:color w:val="000000" w:themeColor="text1"/>
          <w:spacing w:val="-11"/>
          <w:sz w:val="28"/>
          <w:szCs w:val="28"/>
        </w:rPr>
        <w:t>。其中</w:t>
      </w:r>
      <w:r>
        <w:rPr>
          <w:rStyle w:val="14"/>
          <w:rFonts w:hint="eastAsia" w:ascii="仿宋" w:hAnsi="仿宋" w:eastAsia="仿宋"/>
          <w:b w:val="0"/>
          <w:bCs w:val="0"/>
          <w:color w:val="000000" w:themeColor="text1"/>
          <w:sz w:val="28"/>
          <w:szCs w:val="28"/>
        </w:rPr>
        <w:t>：</w:t>
      </w:r>
      <w:bookmarkEnd w:id="39"/>
      <w:bookmarkEnd w:id="40"/>
      <w:bookmarkEnd w:id="41"/>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cs="Arial"/>
          <w:b w:val="0"/>
          <w:bCs w:val="0"/>
          <w:color w:val="000000" w:themeColor="text1"/>
          <w:kern w:val="0"/>
          <w:sz w:val="28"/>
          <w:szCs w:val="28"/>
        </w:rPr>
      </w:pPr>
      <w:r>
        <w:rPr>
          <w:rStyle w:val="14"/>
          <w:rFonts w:hint="eastAsia" w:ascii="仿宋" w:hAnsi="仿宋" w:eastAsia="仿宋"/>
          <w:b w:val="0"/>
          <w:bCs w:val="0"/>
          <w:color w:val="000000" w:themeColor="text1"/>
          <w:sz w:val="28"/>
          <w:szCs w:val="28"/>
        </w:rPr>
        <w:t>（1）</w:t>
      </w:r>
      <w:r>
        <w:rPr>
          <w:rStyle w:val="14"/>
          <w:rFonts w:ascii="仿宋" w:hAnsi="仿宋" w:eastAsia="仿宋"/>
          <w:b w:val="0"/>
          <w:bCs w:val="0"/>
          <w:color w:val="000000" w:themeColor="text1"/>
          <w:sz w:val="28"/>
          <w:szCs w:val="28"/>
        </w:rPr>
        <w:t>教育支出</w:t>
      </w:r>
      <w:r>
        <w:rPr>
          <w:rStyle w:val="14"/>
          <w:rFonts w:hint="eastAsia" w:ascii="仿宋" w:hAnsi="仿宋" w:eastAsia="仿宋"/>
          <w:b w:val="0"/>
          <w:bCs w:val="0"/>
          <w:color w:val="000000" w:themeColor="text1"/>
          <w:sz w:val="28"/>
          <w:szCs w:val="28"/>
        </w:rPr>
        <w:t>（类）普通教育（款）小学教育（项）</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支出决算数为</w:t>
      </w:r>
      <w:r>
        <w:rPr>
          <w:rFonts w:hint="eastAsia" w:ascii="仿宋" w:hAnsi="仿宋" w:eastAsia="仿宋" w:cs="Arial"/>
          <w:b w:val="0"/>
          <w:bCs w:val="0"/>
          <w:color w:val="000000" w:themeColor="text1"/>
          <w:kern w:val="0"/>
          <w:sz w:val="28"/>
          <w:szCs w:val="28"/>
        </w:rPr>
        <w:t>641.71</w:t>
      </w:r>
      <w:r>
        <w:rPr>
          <w:rStyle w:val="14"/>
          <w:rFonts w:hint="eastAsia" w:ascii="仿宋" w:hAnsi="仿宋" w:eastAsia="仿宋"/>
          <w:b w:val="0"/>
          <w:bCs w:val="0"/>
          <w:color w:val="000000" w:themeColor="text1"/>
          <w:sz w:val="28"/>
          <w:szCs w:val="28"/>
        </w:rPr>
        <w:t>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cs="Arial"/>
          <w:b w:val="0"/>
          <w:bCs w:val="0"/>
          <w:color w:val="000000" w:themeColor="text1"/>
          <w:kern w:val="0"/>
          <w:sz w:val="28"/>
          <w:szCs w:val="28"/>
        </w:rPr>
      </w:pPr>
      <w:r>
        <w:rPr>
          <w:rStyle w:val="14"/>
          <w:rFonts w:hint="eastAsia" w:ascii="仿宋" w:hAnsi="仿宋" w:eastAsia="仿宋"/>
          <w:b w:val="0"/>
          <w:bCs w:val="0"/>
          <w:color w:val="000000" w:themeColor="text1"/>
          <w:sz w:val="28"/>
          <w:szCs w:val="28"/>
        </w:rPr>
        <w:t>（2）</w:t>
      </w:r>
      <w:r>
        <w:rPr>
          <w:rStyle w:val="14"/>
          <w:rFonts w:ascii="仿宋" w:hAnsi="仿宋" w:eastAsia="仿宋"/>
          <w:b w:val="0"/>
          <w:bCs w:val="0"/>
          <w:color w:val="000000" w:themeColor="text1"/>
          <w:sz w:val="28"/>
          <w:szCs w:val="28"/>
        </w:rPr>
        <w:t>教育支出</w:t>
      </w:r>
      <w:r>
        <w:rPr>
          <w:rStyle w:val="14"/>
          <w:rFonts w:hint="eastAsia" w:ascii="仿宋" w:hAnsi="仿宋" w:eastAsia="仿宋"/>
          <w:b w:val="0"/>
          <w:bCs w:val="0"/>
          <w:color w:val="000000" w:themeColor="text1"/>
          <w:sz w:val="28"/>
          <w:szCs w:val="28"/>
        </w:rPr>
        <w:t>（类）普通教育（款）其它普通教育（项）</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支出决算数为</w:t>
      </w:r>
      <w:r>
        <w:rPr>
          <w:rFonts w:hint="eastAsia" w:ascii="仿宋" w:hAnsi="仿宋" w:eastAsia="仿宋" w:cs="Arial"/>
          <w:b w:val="0"/>
          <w:bCs w:val="0"/>
          <w:color w:val="000000" w:themeColor="text1"/>
          <w:kern w:val="0"/>
          <w:sz w:val="28"/>
          <w:szCs w:val="28"/>
        </w:rPr>
        <w:t>35.29</w:t>
      </w:r>
      <w:r>
        <w:rPr>
          <w:rStyle w:val="14"/>
          <w:rFonts w:hint="eastAsia" w:ascii="仿宋" w:hAnsi="仿宋" w:eastAsia="仿宋"/>
          <w:b w:val="0"/>
          <w:bCs w:val="0"/>
          <w:color w:val="000000" w:themeColor="text1"/>
          <w:sz w:val="28"/>
          <w:szCs w:val="28"/>
        </w:rPr>
        <w:t>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cs="Arial"/>
          <w:b w:val="0"/>
          <w:bCs w:val="0"/>
          <w:color w:val="000000" w:themeColor="text1"/>
          <w:kern w:val="0"/>
          <w:sz w:val="28"/>
          <w:szCs w:val="28"/>
        </w:rPr>
      </w:pPr>
      <w:r>
        <w:rPr>
          <w:rStyle w:val="14"/>
          <w:rFonts w:hint="eastAsia" w:ascii="仿宋" w:hAnsi="仿宋" w:eastAsia="仿宋"/>
          <w:b w:val="0"/>
          <w:bCs w:val="0"/>
          <w:color w:val="000000" w:themeColor="text1"/>
          <w:sz w:val="28"/>
          <w:szCs w:val="28"/>
        </w:rPr>
        <w:t>（3）</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（类）行政事业单位离退休（款）机关事业单位基本养老保险缴费支出（项）</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支出决算为</w:t>
      </w:r>
      <w:r>
        <w:rPr>
          <w:rFonts w:hint="eastAsia" w:ascii="仿宋" w:hAnsi="仿宋" w:eastAsia="仿宋" w:cs="Arial"/>
          <w:b w:val="0"/>
          <w:bCs w:val="0"/>
          <w:color w:val="000000" w:themeColor="text1"/>
          <w:kern w:val="0"/>
          <w:sz w:val="28"/>
          <w:szCs w:val="28"/>
        </w:rPr>
        <w:t>58.79</w:t>
      </w:r>
      <w:r>
        <w:rPr>
          <w:rStyle w:val="14"/>
          <w:rFonts w:hint="eastAsia" w:ascii="仿宋" w:hAnsi="仿宋" w:eastAsia="仿宋"/>
          <w:b w:val="0"/>
          <w:bCs w:val="0"/>
          <w:color w:val="000000" w:themeColor="text1"/>
          <w:sz w:val="28"/>
          <w:szCs w:val="28"/>
        </w:rPr>
        <w:t>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b w:val="0"/>
          <w:bCs w:val="0"/>
          <w:color w:val="000000" w:themeColor="text1"/>
          <w:sz w:val="28"/>
          <w:szCs w:val="28"/>
        </w:rPr>
      </w:pPr>
      <w:r>
        <w:rPr>
          <w:rStyle w:val="14"/>
          <w:rFonts w:hint="eastAsia" w:ascii="仿宋" w:hAnsi="仿宋" w:eastAsia="仿宋"/>
          <w:b w:val="0"/>
          <w:bCs w:val="0"/>
          <w:color w:val="000000" w:themeColor="text1"/>
          <w:sz w:val="28"/>
          <w:szCs w:val="28"/>
        </w:rPr>
        <w:t>（4）</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（类）行政事业单位离退休（款）机关事业单位职业年金缴费支出（项）</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支出决算为</w:t>
      </w:r>
      <w:r>
        <w:rPr>
          <w:rFonts w:hint="eastAsia" w:ascii="仿宋" w:hAnsi="仿宋" w:eastAsia="仿宋" w:cs="Arial"/>
          <w:b w:val="0"/>
          <w:bCs w:val="0"/>
          <w:color w:val="000000" w:themeColor="text1"/>
          <w:kern w:val="0"/>
          <w:sz w:val="28"/>
          <w:szCs w:val="28"/>
        </w:rPr>
        <w:t>12.93</w:t>
      </w:r>
      <w:r>
        <w:rPr>
          <w:rStyle w:val="14"/>
          <w:rFonts w:hint="eastAsia" w:ascii="仿宋" w:hAnsi="仿宋" w:eastAsia="仿宋"/>
          <w:b w:val="0"/>
          <w:bCs w:val="0"/>
          <w:color w:val="000000" w:themeColor="text1"/>
          <w:sz w:val="28"/>
          <w:szCs w:val="28"/>
        </w:rPr>
        <w:t>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cs="Arial"/>
          <w:b w:val="0"/>
          <w:bCs w:val="0"/>
          <w:color w:val="000000" w:themeColor="text1"/>
          <w:kern w:val="0"/>
          <w:sz w:val="28"/>
          <w:szCs w:val="28"/>
        </w:rPr>
      </w:pPr>
      <w:r>
        <w:rPr>
          <w:rStyle w:val="14"/>
          <w:rFonts w:hint="eastAsia" w:ascii="仿宋" w:hAnsi="仿宋" w:eastAsia="仿宋"/>
          <w:b w:val="0"/>
          <w:bCs w:val="0"/>
          <w:color w:val="000000" w:themeColor="text1"/>
          <w:sz w:val="28"/>
          <w:szCs w:val="28"/>
        </w:rPr>
        <w:t>（5）</w:t>
      </w:r>
      <w:r>
        <w:rPr>
          <w:rFonts w:ascii="仿宋" w:hAnsi="仿宋" w:eastAsia="仿宋"/>
          <w:b w:val="0"/>
          <w:bCs w:val="0"/>
          <w:color w:val="000000" w:themeColor="text1"/>
          <w:sz w:val="28"/>
          <w:szCs w:val="28"/>
        </w:rPr>
        <w:t>社会保障和就业支出</w:t>
      </w:r>
      <w:r>
        <w:rPr>
          <w:rStyle w:val="14"/>
          <w:rFonts w:hint="eastAsia" w:ascii="仿宋" w:hAnsi="仿宋" w:eastAsia="仿宋"/>
          <w:b w:val="0"/>
          <w:bCs w:val="0"/>
          <w:color w:val="000000" w:themeColor="text1"/>
          <w:sz w:val="28"/>
          <w:szCs w:val="28"/>
        </w:rPr>
        <w:t>（类）其它社会保障和就业支出（款）其它社会保障和就业支出（项）</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支出决算为</w:t>
      </w:r>
      <w:r>
        <w:rPr>
          <w:rFonts w:hint="eastAsia" w:ascii="仿宋" w:hAnsi="仿宋" w:eastAsia="仿宋" w:cs="Arial"/>
          <w:b w:val="0"/>
          <w:bCs w:val="0"/>
          <w:color w:val="000000" w:themeColor="text1"/>
          <w:kern w:val="0"/>
          <w:sz w:val="28"/>
          <w:szCs w:val="28"/>
        </w:rPr>
        <w:t>6.36</w:t>
      </w:r>
      <w:r>
        <w:rPr>
          <w:rStyle w:val="14"/>
          <w:rFonts w:hint="eastAsia" w:ascii="仿宋" w:hAnsi="仿宋" w:eastAsia="仿宋"/>
          <w:b w:val="0"/>
          <w:bCs w:val="0"/>
          <w:color w:val="000000" w:themeColor="text1"/>
          <w:sz w:val="28"/>
          <w:szCs w:val="28"/>
        </w:rPr>
        <w:t>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14"/>
          <w:rFonts w:ascii="仿宋" w:hAnsi="仿宋" w:eastAsia="仿宋" w:cs="Arial"/>
          <w:b w:val="0"/>
          <w:bCs w:val="0"/>
          <w:color w:val="000000" w:themeColor="text1"/>
          <w:kern w:val="0"/>
          <w:sz w:val="28"/>
          <w:szCs w:val="28"/>
        </w:rPr>
      </w:pPr>
      <w:r>
        <w:rPr>
          <w:rStyle w:val="14"/>
          <w:rFonts w:hint="eastAsia" w:ascii="仿宋" w:hAnsi="仿宋" w:eastAsia="仿宋"/>
          <w:b w:val="0"/>
          <w:bCs w:val="0"/>
          <w:color w:val="000000" w:themeColor="text1"/>
          <w:sz w:val="28"/>
          <w:szCs w:val="28"/>
        </w:rPr>
        <w:t>（6）</w:t>
      </w:r>
      <w:r>
        <w:rPr>
          <w:rFonts w:hint="eastAsia" w:ascii="仿宋" w:hAnsi="仿宋" w:eastAsia="仿宋"/>
          <w:b w:val="0"/>
          <w:bCs w:val="0"/>
          <w:color w:val="000000" w:themeColor="text1"/>
          <w:sz w:val="28"/>
          <w:szCs w:val="28"/>
        </w:rPr>
        <w:t>卫生健康支出</w:t>
      </w:r>
      <w:r>
        <w:rPr>
          <w:rStyle w:val="14"/>
          <w:rFonts w:hint="eastAsia" w:ascii="仿宋" w:hAnsi="仿宋" w:eastAsia="仿宋"/>
          <w:b w:val="0"/>
          <w:bCs w:val="0"/>
          <w:color w:val="000000" w:themeColor="text1"/>
          <w:sz w:val="28"/>
          <w:szCs w:val="28"/>
        </w:rPr>
        <w:t>（类）行政事业单位医疗（款）行政单位医疗（项）</w:t>
      </w:r>
      <w:r>
        <w:rPr>
          <w:rStyle w:val="14"/>
          <w:rFonts w:ascii="仿宋" w:hAnsi="仿宋" w:eastAsia="仿宋"/>
          <w:b w:val="0"/>
          <w:bCs w:val="0"/>
          <w:color w:val="000000" w:themeColor="text1"/>
          <w:sz w:val="28"/>
          <w:szCs w:val="28"/>
        </w:rPr>
        <w:t xml:space="preserve">: </w:t>
      </w:r>
      <w:r>
        <w:rPr>
          <w:rStyle w:val="14"/>
          <w:rFonts w:hint="eastAsia" w:ascii="仿宋" w:hAnsi="仿宋" w:eastAsia="仿宋"/>
          <w:b w:val="0"/>
          <w:bCs w:val="0"/>
          <w:color w:val="000000" w:themeColor="text1"/>
          <w:sz w:val="28"/>
          <w:szCs w:val="28"/>
        </w:rPr>
        <w:t>支出决算为</w:t>
      </w:r>
      <w:r>
        <w:rPr>
          <w:rFonts w:hint="eastAsia" w:ascii="仿宋" w:hAnsi="仿宋" w:eastAsia="仿宋" w:cs="Arial"/>
          <w:b w:val="0"/>
          <w:bCs w:val="0"/>
          <w:color w:val="000000" w:themeColor="text1"/>
          <w:kern w:val="0"/>
          <w:sz w:val="28"/>
          <w:szCs w:val="28"/>
        </w:rPr>
        <w:t>34.21</w:t>
      </w:r>
      <w:r>
        <w:rPr>
          <w:rStyle w:val="14"/>
          <w:rFonts w:hint="eastAsia" w:ascii="仿宋" w:hAnsi="仿宋" w:eastAsia="仿宋"/>
          <w:b w:val="0"/>
          <w:bCs w:val="0"/>
          <w:color w:val="000000" w:themeColor="text1"/>
          <w:sz w:val="28"/>
          <w:szCs w:val="28"/>
        </w:rPr>
        <w:t>万元，完成预算100</w:t>
      </w:r>
      <w:r>
        <w:rPr>
          <w:rStyle w:val="14"/>
          <w:rFonts w:ascii="仿宋" w:hAnsi="仿宋" w:eastAsia="仿宋"/>
          <w:b w:val="0"/>
          <w:bCs w:val="0"/>
          <w:color w:val="000000" w:themeColor="text1"/>
          <w:sz w:val="28"/>
          <w:szCs w:val="28"/>
        </w:rPr>
        <w:t>%</w:t>
      </w:r>
      <w:r>
        <w:rPr>
          <w:rStyle w:val="14"/>
          <w:rFonts w:hint="eastAsia" w:ascii="仿宋" w:hAnsi="仿宋" w:eastAsia="仿宋"/>
          <w:b w:val="0"/>
          <w:bCs w:val="0"/>
          <w:color w:val="000000" w:themeColor="text1"/>
          <w:sz w:val="28"/>
          <w:szCs w:val="28"/>
        </w:rPr>
        <w:t>。</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Style w:val="25"/>
          <w:b w:val="0"/>
          <w:bCs w:val="0"/>
          <w:sz w:val="28"/>
          <w:szCs w:val="28"/>
        </w:rPr>
      </w:pPr>
      <w:r>
        <w:rPr>
          <w:rFonts w:hint="eastAsia" w:ascii="黑体" w:eastAsia="黑体"/>
          <w:b w:val="0"/>
          <w:bCs w:val="0"/>
          <w:sz w:val="28"/>
          <w:szCs w:val="28"/>
        </w:rPr>
        <w:t>六、</w:t>
      </w:r>
      <w:r>
        <w:rPr>
          <w:rFonts w:hint="eastAsia" w:ascii="黑体" w:hAnsi="黑体" w:eastAsia="黑体"/>
          <w:b w:val="0"/>
          <w:bCs w:val="0"/>
          <w:sz w:val="28"/>
          <w:szCs w:val="28"/>
        </w:rPr>
        <w:t>一</w:t>
      </w:r>
      <w:r>
        <w:rPr>
          <w:rStyle w:val="25"/>
          <w:rFonts w:hint="eastAsia" w:ascii="黑体" w:hAnsi="黑体" w:eastAsia="黑体"/>
          <w:b w:val="0"/>
          <w:bCs w:val="0"/>
          <w:sz w:val="28"/>
          <w:szCs w:val="28"/>
        </w:rPr>
        <w:t>般公共预算财政拨款基本支出决算情况说明</w:t>
      </w:r>
      <w:bookmarkEnd w:id="36"/>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9年一般公共预算财政拨款基本支出776.37万元，其中：</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人员经费674.97万元，主要包括：基本工资353.12万元、津贴补贴6.52万元、伙食补助费0.00万元、绩效工资111.7万元、机关事业单位基本养老保险缴费45.86万元、职业年金缴费12.93万元、职工基本医疗保险缴费34.21万元、其他社会保障缴费6.36万元、住房公积金46.94万元、其他工资福利支出57.33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公用经费101.4万元，主要包括：办公费11.98万元、印刷费2.37万元、手续费</w:t>
      </w:r>
      <w:r>
        <w:rPr>
          <w:rFonts w:ascii="仿宋" w:hAnsi="仿宋" w:eastAsia="仿宋"/>
          <w:b w:val="0"/>
          <w:bCs w:val="0"/>
          <w:sz w:val="28"/>
          <w:szCs w:val="28"/>
        </w:rPr>
        <w:t>0.</w:t>
      </w:r>
      <w:r>
        <w:rPr>
          <w:rFonts w:hint="eastAsia" w:ascii="仿宋" w:hAnsi="仿宋" w:eastAsia="仿宋"/>
          <w:b w:val="0"/>
          <w:bCs w:val="0"/>
          <w:sz w:val="28"/>
          <w:szCs w:val="28"/>
        </w:rPr>
        <w:t>13万元、维修（护）费35.45万元、培训费</w:t>
      </w:r>
      <w:r>
        <w:rPr>
          <w:rFonts w:ascii="仿宋" w:hAnsi="仿宋" w:eastAsia="仿宋"/>
          <w:b w:val="0"/>
          <w:bCs w:val="0"/>
          <w:sz w:val="28"/>
          <w:szCs w:val="28"/>
        </w:rPr>
        <w:t>1.</w:t>
      </w:r>
      <w:r>
        <w:rPr>
          <w:rFonts w:hint="eastAsia" w:ascii="仿宋" w:hAnsi="仿宋" w:eastAsia="仿宋"/>
          <w:b w:val="0"/>
          <w:bCs w:val="0"/>
          <w:sz w:val="28"/>
          <w:szCs w:val="28"/>
        </w:rPr>
        <w:t>58万元、工会经费5.43万元、对家庭和个人的补助44.45万元。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numPr>
          <w:ilvl w:val="0"/>
          <w:numId w:val="2"/>
        </w:numPr>
        <w:kinsoku/>
        <w:wordWrap/>
        <w:overflowPunct/>
        <w:topLinePunct w:val="0"/>
        <w:bidi w:val="0"/>
        <w:snapToGrid w:val="0"/>
        <w:spacing w:line="560" w:lineRule="exact"/>
        <w:ind w:left="0" w:firstLine="560" w:firstLineChars="200"/>
        <w:jc w:val="both"/>
        <w:textAlignment w:val="auto"/>
        <w:rPr>
          <w:rStyle w:val="25"/>
          <w:rFonts w:ascii="黑体" w:hAnsi="黑体" w:eastAsia="黑体"/>
          <w:b w:val="0"/>
          <w:bCs w:val="0"/>
          <w:sz w:val="28"/>
          <w:szCs w:val="28"/>
        </w:rPr>
      </w:pPr>
      <w:r>
        <w:rPr>
          <w:rStyle w:val="25"/>
          <w:rFonts w:hint="eastAsia" w:ascii="黑体" w:hAnsi="黑体" w:eastAsia="黑体"/>
          <w:b w:val="0"/>
          <w:bCs w:val="0"/>
          <w:sz w:val="28"/>
          <w:szCs w:val="28"/>
        </w:rPr>
        <w:t>“三公”经费财政拨款支出决算情况说明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9年“三公”经费财政拨款支出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r>
        <w:rPr>
          <w:rFonts w:hint="eastAsia" w:ascii="黑体" w:eastAsia="黑体"/>
          <w:b w:val="0"/>
          <w:bCs w:val="0"/>
          <w:sz w:val="28"/>
          <w:szCs w:val="28"/>
        </w:rPr>
        <w:t>八、</w:t>
      </w:r>
      <w:r>
        <w:rPr>
          <w:rStyle w:val="25"/>
          <w:rFonts w:hint="eastAsia" w:ascii="黑体" w:hAnsi="黑体" w:eastAsia="黑体"/>
          <w:b w:val="0"/>
          <w:bCs w:val="0"/>
          <w:sz w:val="28"/>
          <w:szCs w:val="28"/>
        </w:rPr>
        <w:t>政府性基金预算支出决算情况说明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9年政府性基金预算拨款支出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numPr>
          <w:ilvl w:val="0"/>
          <w:numId w:val="3"/>
        </w:numPr>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r>
        <w:rPr>
          <w:rStyle w:val="25"/>
          <w:rFonts w:hint="eastAsia" w:ascii="黑体" w:hAnsi="黑体" w:eastAsia="黑体"/>
          <w:b w:val="0"/>
          <w:bCs w:val="0"/>
          <w:sz w:val="28"/>
          <w:szCs w:val="28"/>
        </w:rPr>
        <w:t>国有资本经营预算支出决算情况说明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9年国有资本经营预算拨款支出0.00万元。</w:t>
      </w:r>
    </w:p>
    <w:p>
      <w:pPr>
        <w:pStyle w:val="23"/>
        <w:keepNext w:val="0"/>
        <w:keepLines w:val="0"/>
        <w:pageBreakBefore w:val="0"/>
        <w:widowControl w:val="0"/>
        <w:numPr>
          <w:ilvl w:val="0"/>
          <w:numId w:val="4"/>
        </w:numPr>
        <w:kinsoku/>
        <w:wordWrap/>
        <w:overflowPunct/>
        <w:topLinePunct w:val="0"/>
        <w:bidi w:val="0"/>
        <w:snapToGrid w:val="0"/>
        <w:spacing w:line="560" w:lineRule="exact"/>
        <w:ind w:left="0" w:firstLine="560" w:firstLineChars="200"/>
        <w:jc w:val="both"/>
        <w:textAlignment w:val="auto"/>
        <w:rPr>
          <w:rStyle w:val="25"/>
          <w:rFonts w:ascii="黑体" w:hAnsi="黑体" w:eastAsia="黑体"/>
          <w:b w:val="0"/>
          <w:bCs w:val="0"/>
          <w:sz w:val="28"/>
          <w:szCs w:val="28"/>
        </w:rPr>
      </w:pPr>
      <w:r>
        <w:rPr>
          <w:rStyle w:val="25"/>
          <w:rFonts w:hint="eastAsia" w:ascii="黑体" w:hAnsi="黑体" w:eastAsia="黑体"/>
          <w:b w:val="0"/>
          <w:bCs w:val="0"/>
          <w:sz w:val="28"/>
          <w:szCs w:val="28"/>
        </w:rPr>
        <w:t>预算绩效情况说明</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（一）</w:t>
      </w:r>
      <w:r>
        <w:rPr>
          <w:rFonts w:hint="eastAsia" w:ascii="楷体" w:hAnsi="楷体" w:eastAsia="楷体" w:cs="楷体"/>
          <w:b w:val="0"/>
          <w:bCs w:val="0"/>
          <w:sz w:val="28"/>
          <w:szCs w:val="28"/>
        </w:rPr>
        <w:t>预算绩效管理工作开展情况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4"/>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4"/>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（二）部门开展绩效评价结果。</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本部门按要求对2019年部门整体支出绩效评价情况开展自评，本部门自行组织对本校建档立卡贫困学生特别资助项目开展了绩效评价。</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outlineLvl w:val="1"/>
        <w:rPr>
          <w:rStyle w:val="25"/>
          <w:rFonts w:ascii="黑体" w:hAnsi="黑体" w:eastAsia="黑体"/>
          <w:b w:val="0"/>
          <w:bCs w:val="0"/>
          <w:sz w:val="28"/>
          <w:szCs w:val="28"/>
        </w:rPr>
      </w:pPr>
      <w:r>
        <w:rPr>
          <w:rFonts w:hint="eastAsia" w:ascii="黑体" w:hAnsi="黑体" w:eastAsia="黑体"/>
          <w:b w:val="0"/>
          <w:bCs w:val="0"/>
          <w:sz w:val="28"/>
          <w:szCs w:val="28"/>
        </w:rPr>
        <w:t>十</w:t>
      </w:r>
      <w:r>
        <w:rPr>
          <w:rStyle w:val="25"/>
          <w:rFonts w:hint="eastAsia" w:ascii="黑体" w:hAnsi="黑体" w:eastAsia="黑体"/>
          <w:b w:val="0"/>
          <w:bCs w:val="0"/>
          <w:sz w:val="28"/>
          <w:szCs w:val="28"/>
        </w:rPr>
        <w:t>一、其他重要事项的情况说明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hint="eastAsia" w:ascii="楷体" w:hAnsi="楷体" w:eastAsia="楷体" w:cs="楷体"/>
          <w:b w:val="0"/>
          <w:bCs w:val="0"/>
          <w:sz w:val="28"/>
          <w:szCs w:val="28"/>
        </w:rPr>
      </w:pPr>
      <w:r>
        <w:rPr>
          <w:rFonts w:hint="eastAsia" w:ascii="楷体" w:hAnsi="楷体" w:eastAsia="楷体" w:cs="楷体"/>
          <w:b w:val="0"/>
          <w:bCs w:val="0"/>
          <w:sz w:val="28"/>
          <w:szCs w:val="28"/>
        </w:rPr>
        <w:t>（一）政府采购支出情况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hint="eastAsia" w:ascii="楷体" w:hAnsi="楷体" w:eastAsia="楷体" w:cs="楷体"/>
          <w:b w:val="0"/>
          <w:bCs w:val="0"/>
          <w:sz w:val="28"/>
          <w:szCs w:val="28"/>
        </w:rPr>
      </w:pPr>
      <w:r>
        <w:rPr>
          <w:rFonts w:hint="eastAsia" w:ascii="楷体" w:hAnsi="楷体" w:eastAsia="楷体" w:cs="楷体"/>
          <w:b w:val="0"/>
          <w:bCs w:val="0"/>
          <w:sz w:val="28"/>
          <w:szCs w:val="28"/>
        </w:rPr>
        <w:t>预算绩效管理工作开展情况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4"/>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进一步加强绩效评价管理制度建设；二是建立有效的绩效管理体系；</w:t>
      </w:r>
      <w:r>
        <w:rPr>
          <w:rStyle w:val="14"/>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强化绩效管理数据分析，强化绩效管理数据运用；四是强化绩效评价专业技能的培训；</w:t>
      </w:r>
      <w:r>
        <w:rPr>
          <w:rFonts w:hint="eastAsia" w:ascii="华文仿宋" w:hAnsi="华文仿宋" w:eastAsia="华文仿宋"/>
          <w:b w:val="0"/>
          <w:bCs w:val="0"/>
          <w:sz w:val="28"/>
          <w:szCs w:val="28"/>
        </w:rPr>
        <w:t>五是探索与预算编制相结合的财政绩效管理，奖绩效评价逐步从事后评价延伸至事前、事中评价。</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hint="eastAsia" w:ascii="楷体" w:hAnsi="楷体" w:eastAsia="楷体" w:cs="楷体"/>
          <w:b w:val="0"/>
          <w:bCs w:val="0"/>
          <w:sz w:val="28"/>
          <w:szCs w:val="28"/>
        </w:rPr>
      </w:pPr>
      <w:bookmarkStart w:id="42" w:name="_Toc15377223"/>
      <w:r>
        <w:rPr>
          <w:rFonts w:hint="eastAsia" w:ascii="楷体" w:hAnsi="楷体" w:eastAsia="楷体" w:cs="楷体"/>
          <w:b w:val="0"/>
          <w:bCs w:val="0"/>
          <w:sz w:val="28"/>
          <w:szCs w:val="28"/>
        </w:rPr>
        <w:t>（一）政府采购支出情况</w:t>
      </w:r>
      <w:bookmarkEnd w:id="42"/>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CS06</w:t>
      </w:r>
      <w:r>
        <w:rPr>
          <w:rFonts w:hint="eastAsia" w:ascii="仿宋" w:hAnsi="仿宋" w:eastAsia="仿宋"/>
          <w:b w:val="0"/>
          <w:bCs w:val="0"/>
          <w:sz w:val="28"/>
          <w:szCs w:val="28"/>
        </w:rPr>
        <w:t>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hint="eastAsia" w:ascii="楷体" w:hAnsi="楷体" w:eastAsia="楷体" w:cs="楷体"/>
          <w:b w:val="0"/>
          <w:bCs w:val="0"/>
          <w:sz w:val="28"/>
          <w:szCs w:val="28"/>
        </w:rPr>
      </w:pPr>
      <w:bookmarkStart w:id="43" w:name="_Toc15377224"/>
      <w:r>
        <w:rPr>
          <w:rFonts w:hint="eastAsia" w:ascii="楷体" w:hAnsi="楷体" w:eastAsia="楷体" w:cs="楷体"/>
          <w:b w:val="0"/>
          <w:bCs w:val="0"/>
          <w:sz w:val="28"/>
          <w:szCs w:val="28"/>
        </w:rPr>
        <w:t>（二）国有资产占有使用情况</w:t>
      </w:r>
      <w:bookmarkEnd w:id="43"/>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rPr>
          <w:rFonts w:ascii="仿宋_GB2312" w:eastAsia="仿宋_GB2312"/>
          <w:b w:val="0"/>
          <w:bCs w:val="0"/>
          <w:sz w:val="28"/>
          <w:szCs w:val="28"/>
        </w:rPr>
      </w:pPr>
      <w:r>
        <w:rPr>
          <w:rFonts w:hint="eastAsia" w:ascii="仿宋_GB2312" w:eastAsia="仿宋_GB2312"/>
          <w:b w:val="0"/>
          <w:bCs w:val="0"/>
          <w:sz w:val="28"/>
          <w:szCs w:val="28"/>
        </w:rPr>
        <w:t>截至</w:t>
      </w:r>
      <w:r>
        <w:rPr>
          <w:rFonts w:ascii="仿宋_GB2312" w:eastAsia="仿宋_GB2312"/>
          <w:b w:val="0"/>
          <w:bCs w:val="0"/>
          <w:sz w:val="28"/>
          <w:szCs w:val="28"/>
        </w:rPr>
        <w:t>201</w:t>
      </w:r>
      <w:r>
        <w:rPr>
          <w:rFonts w:hint="eastAsia" w:ascii="仿宋_GB2312" w:eastAsia="仿宋_GB2312"/>
          <w:b w:val="0"/>
          <w:bCs w:val="0"/>
          <w:sz w:val="28"/>
          <w:szCs w:val="28"/>
        </w:rPr>
        <w:t>9年</w:t>
      </w:r>
      <w:r>
        <w:rPr>
          <w:rFonts w:ascii="仿宋_GB2312" w:eastAsia="仿宋_GB2312"/>
          <w:b w:val="0"/>
          <w:bCs w:val="0"/>
          <w:sz w:val="28"/>
          <w:szCs w:val="28"/>
        </w:rPr>
        <w:t>12</w:t>
      </w:r>
      <w:r>
        <w:rPr>
          <w:rFonts w:hint="eastAsia" w:ascii="仿宋_GB2312" w:eastAsia="仿宋_GB2312"/>
          <w:b w:val="0"/>
          <w:bCs w:val="0"/>
          <w:sz w:val="28"/>
          <w:szCs w:val="28"/>
        </w:rPr>
        <w:t>月</w:t>
      </w:r>
      <w:r>
        <w:rPr>
          <w:rFonts w:ascii="仿宋_GB2312" w:eastAsia="仿宋_GB2312"/>
          <w:b w:val="0"/>
          <w:bCs w:val="0"/>
          <w:sz w:val="28"/>
          <w:szCs w:val="28"/>
        </w:rPr>
        <w:t>31</w:t>
      </w:r>
      <w:r>
        <w:rPr>
          <w:rFonts w:hint="eastAsia" w:ascii="仿宋_GB2312" w:eastAsia="仿宋_GB2312"/>
          <w:b w:val="0"/>
          <w:bCs w:val="0"/>
          <w:sz w:val="28"/>
          <w:szCs w:val="28"/>
        </w:rPr>
        <w:t>日，学校共有车辆0辆，单价</w:t>
      </w:r>
      <w:r>
        <w:rPr>
          <w:rFonts w:ascii="仿宋_GB2312" w:eastAsia="仿宋_GB2312"/>
          <w:b w:val="0"/>
          <w:bCs w:val="0"/>
          <w:sz w:val="28"/>
          <w:szCs w:val="28"/>
        </w:rPr>
        <w:t>50</w:t>
      </w:r>
      <w:r>
        <w:rPr>
          <w:rFonts w:hint="eastAsia" w:ascii="仿宋_GB2312" w:eastAsia="仿宋_GB2312"/>
          <w:b w:val="0"/>
          <w:bCs w:val="0"/>
          <w:sz w:val="28"/>
          <w:szCs w:val="28"/>
        </w:rPr>
        <w:t>万元以上通用设备0台（套），单价</w:t>
      </w:r>
      <w:r>
        <w:rPr>
          <w:rFonts w:ascii="仿宋_GB2312" w:eastAsia="仿宋_GB2312"/>
          <w:b w:val="0"/>
          <w:bCs w:val="0"/>
          <w:sz w:val="28"/>
          <w:szCs w:val="28"/>
        </w:rPr>
        <w:t>100</w:t>
      </w:r>
      <w:r>
        <w:rPr>
          <w:rFonts w:hint="eastAsia" w:ascii="仿宋_GB2312" w:eastAsia="仿宋_GB2312"/>
          <w:b w:val="0"/>
          <w:bCs w:val="0"/>
          <w:sz w:val="28"/>
          <w:szCs w:val="28"/>
        </w:rPr>
        <w:t>万元以上专用设备0台（套）。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CS05</w:t>
      </w:r>
      <w:r>
        <w:rPr>
          <w:rFonts w:hint="eastAsia" w:ascii="仿宋" w:hAnsi="仿宋" w:eastAsia="仿宋"/>
          <w:b w:val="0"/>
          <w:bCs w:val="0"/>
          <w:sz w:val="28"/>
          <w:szCs w:val="28"/>
        </w:rPr>
        <w:t>表，按部门决算报表填报数据罗列车辆情况。）</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ascii="仿宋" w:hAnsi="仿宋" w:eastAsia="仿宋"/>
          <w:b w:val="0"/>
          <w:bCs w:val="0"/>
          <w:sz w:val="28"/>
          <w:szCs w:val="28"/>
        </w:rPr>
      </w:pPr>
      <w:r>
        <w:rPr>
          <w:rFonts w:ascii="仿宋" w:hAnsi="仿宋" w:eastAsia="仿宋"/>
          <w:b w:val="0"/>
          <w:bCs w:val="0"/>
          <w:sz w:val="28"/>
          <w:szCs w:val="28"/>
        </w:rPr>
        <w:br w:type="page"/>
      </w:r>
    </w:p>
    <w:p>
      <w:pPr>
        <w:numPr>
          <w:ilvl w:val="0"/>
          <w:numId w:val="5"/>
        </w:numPr>
        <w:spacing w:line="600" w:lineRule="exact"/>
        <w:ind w:left="0" w:leftChars="0" w:firstLine="0" w:firstLineChars="0"/>
        <w:jc w:val="center"/>
        <w:outlineLvl w:val="0"/>
        <w:rPr>
          <w:rFonts w:hint="eastAsia" w:ascii="方正小标宋简体" w:hAnsi="方正小标宋简体" w:eastAsia="方正小标宋简体" w:cs="方正小标宋简体"/>
          <w:bCs/>
          <w:kern w:val="44"/>
          <w:sz w:val="44"/>
          <w:szCs w:val="44"/>
        </w:rPr>
      </w:pPr>
      <w:bookmarkStart w:id="44" w:name="_Toc19089875"/>
      <w:bookmarkStart w:id="45" w:name="_Toc15377225"/>
      <w:r>
        <w:rPr>
          <w:rFonts w:hint="eastAsia" w:ascii="方正小标宋简体" w:hAnsi="方正小标宋简体" w:eastAsia="方正小标宋简体" w:cs="方正小标宋简体"/>
          <w:b/>
          <w:sz w:val="44"/>
          <w:szCs w:val="44"/>
        </w:rPr>
        <w:t>名</w:t>
      </w:r>
      <w:r>
        <w:rPr>
          <w:rStyle w:val="24"/>
          <w:rFonts w:hint="eastAsia" w:ascii="方正小标宋简体" w:hAnsi="方正小标宋简体" w:eastAsia="方正小标宋简体" w:cs="方正小标宋简体"/>
          <w:b w:val="0"/>
        </w:rPr>
        <w:t>词解释</w:t>
      </w:r>
      <w:bookmarkEnd w:id="44"/>
      <w:bookmarkEnd w:id="45"/>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1.财政拨款收入：指单位从同级财政部门取得的财政预算资金。</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2.事业收入：指事业单位开展专业业务活动及辅助活动取得的收入。</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 xml:space="preserve">4.其他收入：指单位取得的除上述收入以外的各项收入。主要是学前教育保育教育费收入、银行存款利息收入等。 </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 xml:space="preserve">6.年初结转和结余：指以前年度尚未完成、结转到本年按有关规定继续使用的资金。 </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8.年末结转和结余：指单位按有关规定结转到下年或以后年度继续使用的资金。</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12. 教育支出（类）普通教育（款）学前教育（项）:反映各部门举办的学前教育支出。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16. 教育支出（类）普通教育（款）其它普通教育（项）: 反映除上述项目以外其他用于普通教育方面的支出。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19. 教育支出（类）特殊教育（款）特殊学校教育（项）: 指各部门举办的盲童学校、聋哑学校、智力落后儿童学校、其它生理缺陷儿童学校的支出。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20. 教育支出（类）特殊教育（款）工读学校教育（项）:指各部门举办的工读学校的支出。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21. 教育支出（类）教育附加费安排的支出（款）农村中小学校舍建设（项）:反映教育附加费安排用于农村中小学校舍新建、改建、修缮和维护的支出。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22. 教育支出（类）教育附加费安排的支出（款）城市中小学校舍建设（项）: 反映教育附加费安排用于城市中小学校舍新建、改建、修缮和维护的支出。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24. 教育支出（类）其它教育支出（款）其他教育支出（项）: 指上述项目以外其他用于教育方面的支出。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30. 农林水支出（类）扶贫（款）其它扶贫支出（项）: 指除上述项目以外其他用于扶贫方面的支出。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33.基本支出：指为保障机构正常运转、完成日常工作任务而发生的人员支出和公用支出。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 xml:space="preserve">34.项目支出：指在基本支出之外为完成特定行政任务和事业发展目标所发生的支出。 </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35.经营支出：指事业单位在专业业务活动及其辅助活动之外开展非独立核算经营活动发生的支出。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60" w:lineRule="exact"/>
        <w:ind w:left="0" w:firstLine="560" w:firstLineChars="200"/>
        <w:jc w:val="both"/>
        <w:textAlignment w:val="auto"/>
        <w:rPr>
          <w:rFonts w:hint="eastAsia" w:ascii="仿宋_GB2312" w:hAnsi="宋体" w:eastAsia="仿宋_GB2312" w:cs="仿宋_GB2312"/>
          <w:b w:val="0"/>
          <w:bCs w:val="0"/>
          <w:sz w:val="28"/>
          <w:szCs w:val="28"/>
        </w:rPr>
      </w:pPr>
      <w:r>
        <w:rPr>
          <w:rFonts w:hint="eastAsia" w:ascii="仿宋_GB2312" w:hAnsi="宋体" w:eastAsia="仿宋_GB2312" w:cs="仿宋_GB2312"/>
          <w:b w:val="0"/>
          <w:bCs w:val="0"/>
          <w:sz w:val="28"/>
          <w:szCs w:val="28"/>
        </w:rPr>
        <w:t>（名词解释部分请根据各部门实际列支情况罗列，并根据本部门职责职能增减名词解释内容。）</w:t>
      </w:r>
    </w:p>
    <w:p>
      <w:pPr>
        <w:spacing w:line="600" w:lineRule="exact"/>
        <w:jc w:val="center"/>
        <w:outlineLvl w:val="0"/>
        <w:rPr>
          <w:rFonts w:ascii="黑体" w:hAnsi="黑体" w:eastAsia="黑体"/>
          <w:sz w:val="44"/>
          <w:szCs w:val="44"/>
        </w:rPr>
      </w:pPr>
      <w:bookmarkStart w:id="46" w:name="_Toc19089876"/>
      <w:bookmarkStart w:id="47"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46"/>
    </w:p>
    <w:p>
      <w:pPr>
        <w:widowControl/>
        <w:jc w:val="left"/>
        <w:rPr>
          <w:rFonts w:ascii="仿宋" w:hAnsi="仿宋" w:eastAsia="仿宋"/>
          <w:kern w:val="44"/>
          <w:sz w:val="28"/>
          <w:szCs w:val="28"/>
        </w:rPr>
      </w:pPr>
      <w:bookmarkStart w:id="48" w:name="_Toc19089877"/>
      <w:r>
        <w:rPr>
          <w:rFonts w:hint="eastAsia" w:ascii="仿宋" w:hAnsi="仿宋" w:eastAsia="仿宋"/>
          <w:kern w:val="44"/>
          <w:sz w:val="28"/>
          <w:szCs w:val="28"/>
        </w:rPr>
        <w:t>附件1</w:t>
      </w:r>
      <w:bookmarkEnd w:id="48"/>
    </w:p>
    <w:p>
      <w:pPr>
        <w:spacing w:line="600" w:lineRule="exact"/>
        <w:jc w:val="center"/>
        <w:outlineLvl w:val="0"/>
        <w:rPr>
          <w:rFonts w:hint="eastAsia" w:ascii="黑体" w:hAnsi="黑体" w:eastAsia="黑体" w:cs="方正小标宋简体"/>
          <w:sz w:val="36"/>
          <w:szCs w:val="36"/>
          <w:lang w:val="en-US" w:eastAsia="zh-CN"/>
        </w:rPr>
      </w:pPr>
      <w:bookmarkStart w:id="49" w:name="_Toc19089878"/>
      <w:bookmarkStart w:id="50" w:name="_Toc15396616"/>
      <w:r>
        <w:rPr>
          <w:rFonts w:hint="eastAsia" w:ascii="黑体" w:hAnsi="黑体" w:eastAsia="黑体" w:cs="方正小标宋简体"/>
          <w:sz w:val="36"/>
          <w:szCs w:val="36"/>
        </w:rPr>
        <w:t>广元市利州区</w:t>
      </w:r>
      <w:r>
        <w:rPr>
          <w:rFonts w:hint="eastAsia" w:ascii="黑体" w:hAnsi="黑体" w:eastAsia="黑体" w:cs="方正小标宋简体"/>
          <w:sz w:val="36"/>
          <w:szCs w:val="36"/>
          <w:lang w:eastAsia="zh-CN"/>
        </w:rPr>
        <w:t>北街幼儿园</w:t>
      </w:r>
      <w:r>
        <w:rPr>
          <w:rFonts w:hint="eastAsia" w:ascii="黑体" w:hAnsi="黑体" w:eastAsia="黑体" w:cs="方正小标宋简体"/>
          <w:sz w:val="36"/>
          <w:szCs w:val="36"/>
          <w:lang w:val="en-US" w:eastAsia="zh-CN"/>
        </w:rPr>
        <w:t xml:space="preserve">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49"/>
      <w:bookmarkStart w:id="51" w:name="_Toc19089879"/>
      <w:r>
        <w:rPr>
          <w:rFonts w:hint="eastAsia" w:ascii="黑体" w:hAnsi="黑体" w:eastAsia="黑体" w:cs="方正小标宋简体"/>
          <w:sz w:val="36"/>
          <w:szCs w:val="36"/>
        </w:rPr>
        <w:t>绩效评价报告</w:t>
      </w:r>
      <w:bookmarkEnd w:id="50"/>
      <w:bookmarkEnd w:id="51"/>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黑体" w:hAnsi="黑体" w:eastAsia="黑体" w:cs="黑体"/>
          <w:sz w:val="28"/>
          <w:szCs w:val="28"/>
        </w:rPr>
      </w:pPr>
      <w:r>
        <w:rPr>
          <w:rFonts w:hint="eastAsia" w:ascii="黑体" w:hAnsi="黑体" w:eastAsia="黑体" w:cs="黑体"/>
          <w:sz w:val="28"/>
          <w:szCs w:val="28"/>
        </w:rPr>
        <w:t>一、部门（单位）概况</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（一）机构组成</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rPr>
          <w:sz w:val="28"/>
          <w:szCs w:val="28"/>
        </w:rPr>
      </w:pPr>
      <w:r>
        <w:rPr>
          <w:rFonts w:hint="eastAsia"/>
          <w:sz w:val="28"/>
          <w:szCs w:val="28"/>
        </w:rPr>
        <w:t>广元市利州区北街幼儿园设有校长室、办公室、教导处、总务处、技装室、德育处。2</w:t>
      </w:r>
      <w:r>
        <w:rPr>
          <w:sz w:val="28"/>
          <w:szCs w:val="28"/>
        </w:rPr>
        <w:t>019</w:t>
      </w:r>
      <w:r>
        <w:rPr>
          <w:rFonts w:hint="eastAsia"/>
          <w:sz w:val="28"/>
          <w:szCs w:val="28"/>
        </w:rPr>
        <w:t>年末共有学生3</w:t>
      </w:r>
      <w:r>
        <w:rPr>
          <w:sz w:val="28"/>
          <w:szCs w:val="28"/>
        </w:rPr>
        <w:t>908</w:t>
      </w:r>
      <w:r>
        <w:rPr>
          <w:rFonts w:hint="eastAsia"/>
          <w:sz w:val="28"/>
          <w:szCs w:val="28"/>
        </w:rPr>
        <w:t>人，在职教职工1</w:t>
      </w:r>
      <w:r>
        <w:rPr>
          <w:sz w:val="28"/>
          <w:szCs w:val="28"/>
        </w:rPr>
        <w:t>49</w:t>
      </w:r>
      <w:r>
        <w:rPr>
          <w:rFonts w:hint="eastAsia"/>
          <w:sz w:val="28"/>
          <w:szCs w:val="28"/>
        </w:rPr>
        <w:t>人，离退休教师1</w:t>
      </w:r>
      <w:r>
        <w:rPr>
          <w:sz w:val="28"/>
          <w:szCs w:val="28"/>
        </w:rPr>
        <w:t>46</w:t>
      </w:r>
      <w:r>
        <w:rPr>
          <w:rFonts w:hint="eastAsia"/>
          <w:sz w:val="28"/>
          <w:szCs w:val="28"/>
        </w:rPr>
        <w:t>人。</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北街幼儿园是纳入利州区教育局2019年度部门决算编制范围的二级预算单位。</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（二）机构职能</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hint="eastAsia" w:ascii="仿宋" w:hAnsi="仿宋" w:eastAsia="仿宋"/>
          <w:bCs/>
          <w:sz w:val="28"/>
          <w:szCs w:val="28"/>
          <w:lang w:eastAsia="zh-CN"/>
        </w:rPr>
      </w:pPr>
      <w:r>
        <w:rPr>
          <w:rFonts w:ascii="仿宋" w:hAnsi="仿宋" w:eastAsia="仿宋"/>
          <w:bCs/>
          <w:sz w:val="28"/>
          <w:szCs w:val="28"/>
        </w:rPr>
        <w:t>1</w:t>
      </w:r>
      <w:r>
        <w:rPr>
          <w:rFonts w:hint="eastAsia" w:ascii="仿宋" w:hAnsi="仿宋" w:eastAsia="仿宋"/>
          <w:bCs/>
          <w:sz w:val="28"/>
          <w:szCs w:val="28"/>
          <w:lang w:eastAsia="zh-CN"/>
        </w:rPr>
        <w:t>.</w:t>
      </w:r>
      <w:r>
        <w:rPr>
          <w:rFonts w:hint="eastAsia" w:ascii="仿宋" w:hAnsi="仿宋" w:eastAsia="仿宋"/>
          <w:bCs/>
          <w:sz w:val="28"/>
          <w:szCs w:val="28"/>
        </w:rPr>
        <w:t>负责贯彻党的教育方针，坚持社会主义办学方向，实行教育与生产劳动相结合，对学生进行德育、智育、体育、美育和劳动等方面的教育</w:t>
      </w:r>
      <w:r>
        <w:rPr>
          <w:rFonts w:hint="eastAsia" w:ascii="仿宋" w:hAnsi="仿宋" w:eastAsia="仿宋"/>
          <w:bCs/>
          <w:sz w:val="28"/>
          <w:szCs w:val="28"/>
          <w:lang w:eastAsia="zh-CN"/>
        </w:rPr>
        <w:t>。</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lang w:eastAsia="zh-CN"/>
        </w:rPr>
        <w:t>.</w:t>
      </w:r>
      <w:r>
        <w:rPr>
          <w:rFonts w:hint="eastAsia" w:ascii="仿宋" w:hAnsi="仿宋" w:eastAsia="仿宋"/>
          <w:bCs/>
          <w:sz w:val="28"/>
          <w:szCs w:val="28"/>
        </w:rPr>
        <w:t>用科学</w:t>
      </w:r>
      <w:r>
        <w:rPr>
          <w:rFonts w:hint="eastAsia" w:ascii="仿宋" w:hAnsi="仿宋" w:eastAsia="仿宋"/>
          <w:bCs/>
          <w:spacing w:val="-6"/>
          <w:sz w:val="28"/>
          <w:szCs w:val="28"/>
        </w:rPr>
        <w:t>的发展观指导教育教学工作。加强教育科研工作，推动校本教育的健康发展。加强教学管理，不断推进新课程改革，全面提高教学质量</w:t>
      </w:r>
      <w:r>
        <w:rPr>
          <w:rFonts w:hint="eastAsia" w:ascii="仿宋" w:hAnsi="仿宋" w:eastAsia="仿宋"/>
          <w:bCs/>
          <w:sz w:val="28"/>
          <w:szCs w:val="28"/>
        </w:rPr>
        <w:t>。</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lang w:eastAsia="zh-CN"/>
        </w:rPr>
        <w:t>.</w:t>
      </w:r>
      <w:r>
        <w:rPr>
          <w:rFonts w:hint="eastAsia" w:ascii="仿宋" w:hAnsi="仿宋" w:eastAsia="仿宋"/>
          <w:bCs/>
          <w:sz w:val="28"/>
          <w:szCs w:val="28"/>
        </w:rPr>
        <w:t>负责配合各级人民政府依法动员、组织适龄儿童、少年入学，严格控制学生辍学，依法保证适龄儿童、少年接受九年义务教育。</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4</w:t>
      </w:r>
      <w:r>
        <w:rPr>
          <w:rFonts w:hint="eastAsia" w:ascii="仿宋" w:hAnsi="仿宋" w:eastAsia="仿宋"/>
          <w:bCs/>
          <w:sz w:val="28"/>
          <w:szCs w:val="28"/>
          <w:lang w:eastAsia="zh-CN"/>
        </w:rPr>
        <w:t>.</w:t>
      </w:r>
      <w:r>
        <w:rPr>
          <w:rFonts w:hint="eastAsia" w:ascii="仿宋" w:hAnsi="仿宋" w:eastAsia="仿宋"/>
          <w:bCs/>
          <w:sz w:val="28"/>
          <w:szCs w:val="28"/>
        </w:rPr>
        <w:t>继续深化人事制度改革，完善学校内部管理，做好后勤保障工作。</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lang w:eastAsia="zh-CN"/>
        </w:rPr>
        <w:t>.</w:t>
      </w:r>
      <w:r>
        <w:rPr>
          <w:rFonts w:hint="eastAsia" w:ascii="仿宋" w:hAnsi="仿宋" w:eastAsia="仿宋"/>
          <w:bCs/>
          <w:sz w:val="28"/>
          <w:szCs w:val="28"/>
        </w:rPr>
        <w:t>负责科学管理、合理使用学校的设施和经费，并积极筹措资金，改善办学条件。</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6</w:t>
      </w:r>
      <w:r>
        <w:rPr>
          <w:rFonts w:hint="eastAsia" w:ascii="仿宋" w:hAnsi="仿宋" w:eastAsia="仿宋"/>
          <w:bCs/>
          <w:sz w:val="28"/>
          <w:szCs w:val="28"/>
        </w:rPr>
        <w:t>、负责维护学校、师生的合法权益，有权拒绝任何组织和个人对教育教学活动进行非法干扰。</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7</w:t>
      </w:r>
      <w:r>
        <w:rPr>
          <w:rFonts w:hint="eastAsia" w:ascii="仿宋" w:hAnsi="仿宋" w:eastAsia="仿宋"/>
          <w:bCs/>
          <w:sz w:val="28"/>
          <w:szCs w:val="28"/>
        </w:rPr>
        <w:t>、负责创建绿色校园、文明校园和平安校园。</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8</w:t>
      </w:r>
      <w:r>
        <w:rPr>
          <w:rFonts w:hint="eastAsia" w:ascii="仿宋" w:hAnsi="仿宋" w:eastAsia="仿宋"/>
          <w:bCs/>
          <w:sz w:val="28"/>
          <w:szCs w:val="28"/>
        </w:rPr>
        <w:t>、负责关心教职工生活，发挥教代会职能作用。依法制定本校教师及其他职工出任办法并对教师及其他员工实施包括奖励、处分在内的具体管理活动。</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firstLine="560" w:firstLineChars="200"/>
        <w:jc w:val="both"/>
        <w:textAlignment w:val="auto"/>
        <w:outlineLvl w:val="2"/>
        <w:rPr>
          <w:rFonts w:ascii="仿宋" w:hAnsi="仿宋" w:eastAsia="仿宋"/>
          <w:bCs/>
          <w:sz w:val="28"/>
          <w:szCs w:val="28"/>
        </w:rPr>
      </w:pPr>
      <w:r>
        <w:rPr>
          <w:rFonts w:ascii="仿宋" w:hAnsi="仿宋" w:eastAsia="仿宋"/>
          <w:bCs/>
          <w:sz w:val="28"/>
          <w:szCs w:val="28"/>
        </w:rPr>
        <w:t>9</w:t>
      </w:r>
      <w:r>
        <w:rPr>
          <w:rFonts w:hint="eastAsia" w:ascii="仿宋" w:hAnsi="仿宋" w:eastAsia="仿宋"/>
          <w:bCs/>
          <w:sz w:val="28"/>
          <w:szCs w:val="28"/>
        </w:rPr>
        <w:t>、承办上级交办的其他事项。</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（三）人员概况</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广元市利州区北街幼儿园共有编制</w:t>
      </w:r>
      <w:r>
        <w:rPr>
          <w:rFonts w:ascii="仿宋" w:hAnsi="仿宋" w:eastAsia="仿宋" w:cs="仿宋_GB2312"/>
          <w:sz w:val="28"/>
          <w:szCs w:val="28"/>
        </w:rPr>
        <w:t>153</w:t>
      </w:r>
      <w:r>
        <w:rPr>
          <w:rFonts w:hint="eastAsia" w:ascii="仿宋" w:hAnsi="仿宋" w:eastAsia="仿宋" w:cs="仿宋_GB2312"/>
          <w:sz w:val="28"/>
          <w:szCs w:val="28"/>
        </w:rPr>
        <w:t>名，全额财政补助事业编制</w:t>
      </w:r>
      <w:r>
        <w:rPr>
          <w:rFonts w:ascii="仿宋" w:hAnsi="仿宋" w:eastAsia="仿宋" w:cs="仿宋_GB2312"/>
          <w:sz w:val="28"/>
          <w:szCs w:val="28"/>
        </w:rPr>
        <w:t>153</w:t>
      </w:r>
      <w:r>
        <w:rPr>
          <w:rFonts w:hint="eastAsia" w:ascii="仿宋" w:hAnsi="仿宋" w:eastAsia="仿宋" w:cs="仿宋_GB2312"/>
          <w:sz w:val="28"/>
          <w:szCs w:val="28"/>
        </w:rPr>
        <w:t>人。截至201</w:t>
      </w:r>
      <w:r>
        <w:rPr>
          <w:rFonts w:ascii="仿宋" w:hAnsi="仿宋" w:eastAsia="仿宋" w:cs="仿宋_GB2312"/>
          <w:sz w:val="28"/>
          <w:szCs w:val="28"/>
        </w:rPr>
        <w:t>9</w:t>
      </w:r>
      <w:r>
        <w:rPr>
          <w:rFonts w:hint="eastAsia" w:ascii="仿宋" w:hAnsi="仿宋" w:eastAsia="仿宋" w:cs="仿宋_GB2312"/>
          <w:sz w:val="28"/>
          <w:szCs w:val="28"/>
        </w:rPr>
        <w:t>年末，实有在职人员</w:t>
      </w:r>
      <w:r>
        <w:rPr>
          <w:rFonts w:ascii="仿宋" w:hAnsi="仿宋" w:eastAsia="仿宋" w:cs="仿宋_GB2312"/>
          <w:sz w:val="28"/>
          <w:szCs w:val="28"/>
        </w:rPr>
        <w:t>149</w:t>
      </w:r>
      <w:r>
        <w:rPr>
          <w:rFonts w:hint="eastAsia" w:ascii="仿宋" w:hAnsi="仿宋" w:eastAsia="仿宋" w:cs="仿宋_GB2312"/>
          <w:sz w:val="28"/>
          <w:szCs w:val="28"/>
        </w:rPr>
        <w:t>人，未归口管理的退休人员</w:t>
      </w:r>
      <w:r>
        <w:rPr>
          <w:rFonts w:ascii="仿宋" w:hAnsi="仿宋" w:eastAsia="仿宋" w:cs="仿宋_GB2312"/>
          <w:sz w:val="28"/>
          <w:szCs w:val="28"/>
        </w:rPr>
        <w:t>1</w:t>
      </w:r>
      <w:r>
        <w:rPr>
          <w:rFonts w:hint="eastAsia" w:ascii="仿宋" w:hAnsi="仿宋" w:eastAsia="仿宋" w:cs="仿宋_GB2312"/>
          <w:sz w:val="28"/>
          <w:szCs w:val="28"/>
        </w:rPr>
        <w:t>46人，学校实有学生</w:t>
      </w:r>
      <w:r>
        <w:rPr>
          <w:rFonts w:ascii="仿宋" w:hAnsi="仿宋" w:eastAsia="仿宋" w:cs="仿宋_GB2312"/>
          <w:sz w:val="28"/>
          <w:szCs w:val="28"/>
        </w:rPr>
        <w:t>2908</w:t>
      </w:r>
      <w:r>
        <w:rPr>
          <w:rFonts w:hint="eastAsia" w:ascii="仿宋" w:hAnsi="仿宋" w:eastAsia="仿宋" w:cs="仿宋_GB2312"/>
          <w:sz w:val="28"/>
          <w:szCs w:val="28"/>
        </w:rPr>
        <w:t>人。</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黑体" w:hAnsi="黑体" w:eastAsia="黑体" w:cs="黑体"/>
          <w:sz w:val="28"/>
          <w:szCs w:val="28"/>
        </w:rPr>
      </w:pPr>
      <w:r>
        <w:rPr>
          <w:rFonts w:ascii="黑体" w:hAnsi="黑体" w:eastAsia="黑体" w:cs="黑体"/>
          <w:sz w:val="28"/>
          <w:szCs w:val="28"/>
        </w:rPr>
        <w:t>二、部门财政资金收支情况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（一）部门财政资金收入情况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2019年财政拨款收入总计</w:t>
      </w:r>
      <w:r>
        <w:rPr>
          <w:rFonts w:ascii="仿宋" w:hAnsi="仿宋" w:eastAsia="仿宋"/>
          <w:sz w:val="28"/>
          <w:szCs w:val="28"/>
        </w:rPr>
        <w:t>2,384.31</w:t>
      </w:r>
      <w:r>
        <w:rPr>
          <w:rFonts w:hint="eastAsia" w:ascii="仿宋" w:hAnsi="仿宋" w:eastAsia="仿宋"/>
          <w:sz w:val="28"/>
          <w:szCs w:val="28"/>
        </w:rPr>
        <w:t>万元。与2018年相比（</w:t>
      </w:r>
      <w:r>
        <w:rPr>
          <w:rFonts w:ascii="仿宋" w:hAnsi="仿宋" w:eastAsia="仿宋"/>
          <w:sz w:val="28"/>
          <w:szCs w:val="28"/>
        </w:rPr>
        <w:t>2424.60</w:t>
      </w:r>
      <w:r>
        <w:rPr>
          <w:rFonts w:hint="eastAsia" w:ascii="仿宋" w:hAnsi="仿宋" w:eastAsia="仿宋"/>
          <w:sz w:val="28"/>
          <w:szCs w:val="28"/>
        </w:rPr>
        <w:t>万元），财政拨款收入总计减少</w:t>
      </w:r>
      <w:r>
        <w:rPr>
          <w:rFonts w:ascii="仿宋" w:hAnsi="仿宋" w:eastAsia="仿宋"/>
          <w:sz w:val="28"/>
          <w:szCs w:val="28"/>
        </w:rPr>
        <w:t>40.29</w:t>
      </w:r>
      <w:r>
        <w:rPr>
          <w:rFonts w:hint="eastAsia" w:ascii="仿宋" w:hAnsi="仿宋" w:eastAsia="仿宋"/>
          <w:sz w:val="28"/>
          <w:szCs w:val="28"/>
        </w:rPr>
        <w:t>万元，减幅12.30%。</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（二）部门财政资金支出情况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sz w:val="28"/>
          <w:szCs w:val="28"/>
        </w:rPr>
      </w:pPr>
      <w:r>
        <w:rPr>
          <w:rFonts w:hint="eastAsia" w:ascii="仿宋" w:hAnsi="仿宋" w:eastAsia="仿宋"/>
          <w:sz w:val="28"/>
          <w:szCs w:val="28"/>
        </w:rPr>
        <w:t>2019年财政拨款支出总计</w:t>
      </w:r>
      <w:r>
        <w:rPr>
          <w:rFonts w:ascii="仿宋" w:hAnsi="仿宋" w:eastAsia="仿宋"/>
          <w:sz w:val="28"/>
          <w:szCs w:val="28"/>
        </w:rPr>
        <w:t>2,305.44</w:t>
      </w:r>
      <w:r>
        <w:rPr>
          <w:rFonts w:hint="eastAsia" w:ascii="仿宋" w:hAnsi="仿宋" w:eastAsia="仿宋"/>
          <w:sz w:val="28"/>
          <w:szCs w:val="28"/>
        </w:rPr>
        <w:t>万元。与2018年相比（</w:t>
      </w:r>
      <w:r>
        <w:rPr>
          <w:rFonts w:ascii="仿宋" w:hAnsi="仿宋" w:eastAsia="仿宋"/>
          <w:sz w:val="28"/>
          <w:szCs w:val="28"/>
        </w:rPr>
        <w:t>2498.99</w:t>
      </w:r>
      <w:r>
        <w:rPr>
          <w:rFonts w:hint="eastAsia" w:ascii="仿宋" w:hAnsi="仿宋" w:eastAsia="仿宋"/>
          <w:sz w:val="28"/>
          <w:szCs w:val="28"/>
        </w:rPr>
        <w:t>万元），财政拨款支出总计减少</w:t>
      </w:r>
      <w:r>
        <w:rPr>
          <w:rFonts w:ascii="仿宋" w:hAnsi="仿宋" w:eastAsia="仿宋"/>
          <w:sz w:val="28"/>
          <w:szCs w:val="28"/>
        </w:rPr>
        <w:t>193.55</w:t>
      </w:r>
      <w:r>
        <w:rPr>
          <w:rFonts w:hint="eastAsia" w:ascii="仿宋" w:hAnsi="仿宋" w:eastAsia="仿宋"/>
          <w:sz w:val="28"/>
          <w:szCs w:val="28"/>
        </w:rPr>
        <w:t>万元，减幅</w:t>
      </w:r>
      <w:r>
        <w:rPr>
          <w:rFonts w:ascii="仿宋" w:hAnsi="仿宋" w:eastAsia="仿宋"/>
          <w:sz w:val="28"/>
          <w:szCs w:val="28"/>
        </w:rPr>
        <w:t>7.75</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黑体" w:hAnsi="黑体" w:eastAsia="黑体" w:cs="黑体"/>
          <w:sz w:val="28"/>
          <w:szCs w:val="28"/>
        </w:rPr>
      </w:pPr>
      <w:r>
        <w:rPr>
          <w:rFonts w:ascii="黑体" w:hAnsi="黑体" w:eastAsia="黑体" w:cs="黑体"/>
          <w:sz w:val="28"/>
          <w:szCs w:val="28"/>
        </w:rPr>
        <w:t>三、</w:t>
      </w:r>
      <w:r>
        <w:rPr>
          <w:rFonts w:hint="eastAsia" w:ascii="黑体" w:hAnsi="黑体" w:eastAsia="黑体" w:cs="黑体"/>
          <w:sz w:val="28"/>
          <w:szCs w:val="28"/>
        </w:rPr>
        <w:t>学校</w:t>
      </w:r>
      <w:r>
        <w:rPr>
          <w:rFonts w:ascii="黑体" w:hAnsi="黑体" w:eastAsia="黑体" w:cs="黑体"/>
          <w:sz w:val="28"/>
          <w:szCs w:val="28"/>
        </w:rPr>
        <w:t>整体预算绩效管理情况（根据适用指标体系进行调整）</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（一）学校预算管理</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 学校</w:t>
      </w:r>
      <w:r>
        <w:rPr>
          <w:rFonts w:ascii="仿宋" w:hAnsi="仿宋" w:eastAsia="仿宋" w:cs="仿宋_GB2312"/>
          <w:sz w:val="28"/>
          <w:szCs w:val="28"/>
        </w:rPr>
        <w:t>绩效目标制定</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（2）学校绩效目标从数量、质量、成本、时效以及经济效益、社会效益、生态效益、可持续影响、满意度等方面进行了细化和定量表述，具有可衡量性。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预算编制</w:t>
      </w:r>
      <w:r>
        <w:rPr>
          <w:rFonts w:hint="eastAsia" w:ascii="仿宋" w:hAnsi="仿宋" w:eastAsia="仿宋" w:cs="仿宋_GB2312"/>
          <w:sz w:val="28"/>
          <w:szCs w:val="28"/>
        </w:rPr>
        <w:t>和执行</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（1）学校预算报送时间严格按照财政部门预算编制要求的时间及时报送部门预算。预算编制完整、准确，基础信息和科目使用准确。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（4）按时送学校决算，决算数据真实准确、帐表一致，部门决算编制人员与供养人员系统一致。</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黑体" w:hAnsi="黑体" w:eastAsia="黑体" w:cs="黑体"/>
          <w:sz w:val="28"/>
          <w:szCs w:val="28"/>
        </w:rPr>
      </w:pPr>
      <w:r>
        <w:rPr>
          <w:rFonts w:ascii="黑体" w:hAnsi="黑体" w:eastAsia="黑体" w:cs="黑体"/>
          <w:sz w:val="28"/>
          <w:szCs w:val="28"/>
        </w:rPr>
        <w:t>四、评价结论及建议</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（一）评价结论</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从总体上看，学校整体绩效目标依据充分，整体绩效目标与履职相符，基本支出预算编制合理，项目支出预算准确；组织管理机构健全，规章制度完善，资金使用规范合理；预算执行、预算管理、资产管理、职责履行绩效评价目标实现较为理想，达到预期目的。整体绩效评价得分97.3分。</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（二）存在问题</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（三）改进建议</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ascii="仿宋" w:hAnsi="仿宋" w:eastAsia="仿宋" w:cs="仿宋_GB2312"/>
          <w:sz w:val="28"/>
          <w:szCs w:val="28"/>
        </w:rPr>
      </w:pPr>
      <w:r>
        <w:rPr>
          <w:rFonts w:hint="eastAsia" w:ascii="仿宋" w:hAnsi="仿宋" w:eastAsia="仿宋" w:cs="仿宋_GB2312"/>
          <w:sz w:val="28"/>
          <w:szCs w:val="28"/>
        </w:rPr>
        <w:t>2.落实预算执行分析，及时了解预算执行差异，合理调整、纠正预算执行偏差，切实提高部门预算收支管理水平。</w:t>
      </w:r>
    </w:p>
    <w:p>
      <w:pPr>
        <w:keepNext w:val="0"/>
        <w:keepLines w:val="0"/>
        <w:pageBreakBefore w:val="0"/>
        <w:widowControl w:val="0"/>
        <w:kinsoku/>
        <w:wordWrap/>
        <w:overflowPunct/>
        <w:topLinePunct w:val="0"/>
        <w:autoSpaceDE/>
        <w:autoSpaceDN/>
        <w:bidi w:val="0"/>
        <w:snapToGrid w:val="0"/>
        <w:spacing w:line="52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
      <w:pPr>
        <w:spacing w:line="600" w:lineRule="exact"/>
        <w:jc w:val="center"/>
        <w:outlineLvl w:val="0"/>
        <w:rPr>
          <w:rStyle w:val="24"/>
          <w:rFonts w:hint="eastAsia" w:ascii="方正小标宋简体" w:hAnsi="方正小标宋简体" w:eastAsia="方正小标宋简体" w:cs="方正小标宋简体"/>
          <w:b w:val="0"/>
        </w:rPr>
      </w:pPr>
      <w:bookmarkStart w:id="52" w:name="_Toc19089885"/>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47"/>
      <w:bookmarkEnd w:id="52"/>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3" w:name="_Toc19089886"/>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r>
        <w:rPr>
          <w:rFonts w:hint="eastAsia" w:ascii="仿宋" w:hAnsi="仿宋" w:eastAsia="仿宋" w:cs="仿宋_GB2312"/>
          <w:sz w:val="28"/>
          <w:szCs w:val="28"/>
        </w:rPr>
        <w:t>一、收入支出决算总表</w:t>
      </w:r>
      <w:bookmarkEnd w:id="53"/>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4" w:name="_Toc19089887"/>
      <w:r>
        <w:rPr>
          <w:rFonts w:hint="eastAsia" w:ascii="仿宋" w:hAnsi="仿宋" w:eastAsia="仿宋" w:cs="仿宋_GB2312"/>
          <w:sz w:val="28"/>
          <w:szCs w:val="28"/>
        </w:rPr>
        <w:t>二、收入总表</w:t>
      </w:r>
      <w:bookmarkEnd w:id="54"/>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5" w:name="_Toc19089888"/>
      <w:r>
        <w:rPr>
          <w:rFonts w:hint="eastAsia" w:ascii="仿宋" w:hAnsi="仿宋" w:eastAsia="仿宋" w:cs="仿宋_GB2312"/>
          <w:sz w:val="28"/>
          <w:szCs w:val="28"/>
        </w:rPr>
        <w:t>三、支出总表</w:t>
      </w:r>
      <w:bookmarkEnd w:id="55"/>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6" w:name="_Toc19089889"/>
      <w:r>
        <w:rPr>
          <w:rFonts w:hint="eastAsia" w:ascii="仿宋" w:hAnsi="仿宋" w:eastAsia="仿宋" w:cs="仿宋_GB2312"/>
          <w:sz w:val="28"/>
          <w:szCs w:val="28"/>
        </w:rPr>
        <w:t>四、财政拨款收入支出决算</w:t>
      </w:r>
      <w:bookmarkStart w:id="66" w:name="_GoBack"/>
      <w:bookmarkEnd w:id="66"/>
      <w:r>
        <w:rPr>
          <w:rFonts w:hint="eastAsia" w:ascii="仿宋" w:hAnsi="仿宋" w:eastAsia="仿宋" w:cs="仿宋_GB2312"/>
          <w:sz w:val="28"/>
          <w:szCs w:val="28"/>
        </w:rPr>
        <w:t>总表</w:t>
      </w:r>
      <w:bookmarkEnd w:id="56"/>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7" w:name="_Toc19089890"/>
      <w:r>
        <w:rPr>
          <w:rFonts w:hint="eastAsia" w:ascii="仿宋" w:hAnsi="仿宋" w:eastAsia="仿宋" w:cs="仿宋_GB2312"/>
          <w:sz w:val="28"/>
          <w:szCs w:val="28"/>
        </w:rPr>
        <w:t>五、财政拨款支出决算明细表（政府经济分类科目）</w:t>
      </w:r>
      <w:bookmarkEnd w:id="57"/>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8" w:name="_Toc19089891"/>
      <w:r>
        <w:rPr>
          <w:rFonts w:hint="eastAsia" w:ascii="仿宋" w:hAnsi="仿宋" w:eastAsia="仿宋" w:cs="仿宋_GB2312"/>
          <w:sz w:val="28"/>
          <w:szCs w:val="28"/>
        </w:rPr>
        <w:t>六、一般公共预算财政拨款支出决算表</w:t>
      </w:r>
      <w:bookmarkEnd w:id="58"/>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59" w:name="_Toc19089892"/>
      <w:r>
        <w:rPr>
          <w:rFonts w:hint="eastAsia" w:ascii="仿宋" w:hAnsi="仿宋" w:eastAsia="仿宋" w:cs="仿宋_GB2312"/>
          <w:sz w:val="28"/>
          <w:szCs w:val="28"/>
        </w:rPr>
        <w:t>七、一般公共预算财政拨款支出决算明细表</w:t>
      </w:r>
      <w:bookmarkEnd w:id="59"/>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60" w:name="_Toc19089893"/>
      <w:r>
        <w:rPr>
          <w:rFonts w:hint="eastAsia" w:ascii="仿宋" w:hAnsi="仿宋" w:eastAsia="仿宋" w:cs="仿宋_GB2312"/>
          <w:sz w:val="28"/>
          <w:szCs w:val="28"/>
        </w:rPr>
        <w:t>八、一般公共预算财政拨款基本支出决算表</w:t>
      </w:r>
      <w:bookmarkEnd w:id="60"/>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61" w:name="_Toc19089894"/>
      <w:r>
        <w:rPr>
          <w:rFonts w:hint="eastAsia" w:ascii="仿宋" w:hAnsi="仿宋" w:eastAsia="仿宋" w:cs="仿宋_GB2312"/>
          <w:sz w:val="28"/>
          <w:szCs w:val="28"/>
        </w:rPr>
        <w:t>九、一般公共预算财政拨款项目支出决算表</w:t>
      </w:r>
      <w:bookmarkEnd w:id="61"/>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62" w:name="_Toc19089895"/>
      <w:r>
        <w:rPr>
          <w:rFonts w:hint="eastAsia" w:ascii="仿宋" w:hAnsi="仿宋" w:eastAsia="仿宋" w:cs="仿宋_GB2312"/>
          <w:sz w:val="28"/>
          <w:szCs w:val="28"/>
        </w:rPr>
        <w:t>十、一般公共预算财政拨款“三公”经费支出决算表</w:t>
      </w:r>
      <w:bookmarkEnd w:id="62"/>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63" w:name="_Toc19089896"/>
      <w:r>
        <w:rPr>
          <w:rFonts w:hint="eastAsia" w:ascii="仿宋" w:hAnsi="仿宋" w:eastAsia="仿宋" w:cs="仿宋_GB2312"/>
          <w:sz w:val="28"/>
          <w:szCs w:val="28"/>
        </w:rPr>
        <w:t>十一、政府性基金预算财政拨款收入支出决算表</w:t>
      </w:r>
      <w:bookmarkEnd w:id="63"/>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64" w:name="_Toc19089897"/>
      <w:r>
        <w:rPr>
          <w:rFonts w:hint="eastAsia" w:ascii="仿宋" w:hAnsi="仿宋" w:eastAsia="仿宋" w:cs="仿宋_GB2312"/>
          <w:sz w:val="28"/>
          <w:szCs w:val="28"/>
        </w:rPr>
        <w:t>十二、政府性基金预算财政拨款“三公”经费支出决算表</w:t>
      </w:r>
      <w:bookmarkEnd w:id="64"/>
    </w:p>
    <w:p>
      <w:pPr>
        <w:keepNext w:val="0"/>
        <w:keepLines w:val="0"/>
        <w:pageBreakBefore w:val="0"/>
        <w:widowControl w:val="0"/>
        <w:kinsoku/>
        <w:wordWrap/>
        <w:overflowPunct/>
        <w:topLinePunct w:val="0"/>
        <w:autoSpaceDE/>
        <w:autoSpaceDN/>
        <w:bidi w:val="0"/>
        <w:snapToGrid w:val="0"/>
        <w:spacing w:line="560" w:lineRule="exact"/>
        <w:ind w:firstLine="560" w:firstLineChars="200"/>
        <w:jc w:val="both"/>
        <w:textAlignment w:val="auto"/>
        <w:rPr>
          <w:rFonts w:hint="eastAsia" w:ascii="仿宋" w:hAnsi="仿宋" w:eastAsia="仿宋" w:cs="仿宋_GB2312"/>
          <w:sz w:val="28"/>
          <w:szCs w:val="28"/>
        </w:rPr>
      </w:pPr>
      <w:bookmarkStart w:id="65" w:name="_Toc19089898"/>
      <w:r>
        <w:rPr>
          <w:rFonts w:hint="eastAsia" w:ascii="仿宋" w:hAnsi="仿宋" w:eastAsia="仿宋" w:cs="仿宋_GB2312"/>
          <w:sz w:val="28"/>
          <w:szCs w:val="28"/>
        </w:rPr>
        <w:t>十三、国有资本经营预算支出决算表</w:t>
      </w:r>
      <w:bookmarkEnd w:id="65"/>
    </w:p>
    <w:sectPr>
      <w:footerReference r:id="rId5" w:type="first"/>
      <w:footerReference r:id="rId4"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4"/>
                    <w:szCs w:val="24"/>
                  </w:r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E4D"/>
    <w:rsid w:val="000222C6"/>
    <w:rsid w:val="0002549F"/>
    <w:rsid w:val="00062446"/>
    <w:rsid w:val="0006487A"/>
    <w:rsid w:val="00065F8F"/>
    <w:rsid w:val="000706F2"/>
    <w:rsid w:val="000768F2"/>
    <w:rsid w:val="0009184B"/>
    <w:rsid w:val="00094044"/>
    <w:rsid w:val="0009593C"/>
    <w:rsid w:val="00097B88"/>
    <w:rsid w:val="000A4B68"/>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20028"/>
    <w:rsid w:val="00132ABA"/>
    <w:rsid w:val="0014729F"/>
    <w:rsid w:val="00157BAB"/>
    <w:rsid w:val="001614F6"/>
    <w:rsid w:val="001654D1"/>
    <w:rsid w:val="0018106D"/>
    <w:rsid w:val="001877A7"/>
    <w:rsid w:val="00191536"/>
    <w:rsid w:val="00196687"/>
    <w:rsid w:val="001B73A2"/>
    <w:rsid w:val="001C0962"/>
    <w:rsid w:val="001C0C29"/>
    <w:rsid w:val="001D7531"/>
    <w:rsid w:val="001E64BB"/>
    <w:rsid w:val="001E737D"/>
    <w:rsid w:val="001F0592"/>
    <w:rsid w:val="001F7506"/>
    <w:rsid w:val="002006CD"/>
    <w:rsid w:val="00202B36"/>
    <w:rsid w:val="00204B7A"/>
    <w:rsid w:val="0021101A"/>
    <w:rsid w:val="00220536"/>
    <w:rsid w:val="00235629"/>
    <w:rsid w:val="00260C38"/>
    <w:rsid w:val="002616C0"/>
    <w:rsid w:val="00261ED6"/>
    <w:rsid w:val="002662AA"/>
    <w:rsid w:val="00270AE4"/>
    <w:rsid w:val="00280496"/>
    <w:rsid w:val="002863ED"/>
    <w:rsid w:val="00295495"/>
    <w:rsid w:val="002A02E0"/>
    <w:rsid w:val="002B2613"/>
    <w:rsid w:val="002B6B7C"/>
    <w:rsid w:val="002E1C32"/>
    <w:rsid w:val="002F17FD"/>
    <w:rsid w:val="002F1818"/>
    <w:rsid w:val="002F567B"/>
    <w:rsid w:val="00303037"/>
    <w:rsid w:val="003216A9"/>
    <w:rsid w:val="00324C77"/>
    <w:rsid w:val="00333D1C"/>
    <w:rsid w:val="00352D06"/>
    <w:rsid w:val="00363B37"/>
    <w:rsid w:val="0037013F"/>
    <w:rsid w:val="00380C92"/>
    <w:rsid w:val="0038574E"/>
    <w:rsid w:val="003A484F"/>
    <w:rsid w:val="003B0BE0"/>
    <w:rsid w:val="003B0C1B"/>
    <w:rsid w:val="003B0ED3"/>
    <w:rsid w:val="003B688C"/>
    <w:rsid w:val="003C0291"/>
    <w:rsid w:val="003C39AE"/>
    <w:rsid w:val="003C7B60"/>
    <w:rsid w:val="003D1FB2"/>
    <w:rsid w:val="003D66DA"/>
    <w:rsid w:val="003E1310"/>
    <w:rsid w:val="003E6F55"/>
    <w:rsid w:val="003F2B96"/>
    <w:rsid w:val="00406254"/>
    <w:rsid w:val="004223DE"/>
    <w:rsid w:val="00434489"/>
    <w:rsid w:val="00437085"/>
    <w:rsid w:val="00443880"/>
    <w:rsid w:val="004464F4"/>
    <w:rsid w:val="00471401"/>
    <w:rsid w:val="004731A4"/>
    <w:rsid w:val="0047387D"/>
    <w:rsid w:val="00473F31"/>
    <w:rsid w:val="0048263A"/>
    <w:rsid w:val="00486250"/>
    <w:rsid w:val="00487E5D"/>
    <w:rsid w:val="004A55C6"/>
    <w:rsid w:val="004A711F"/>
    <w:rsid w:val="004B199D"/>
    <w:rsid w:val="004B4690"/>
    <w:rsid w:val="004E0A2D"/>
    <w:rsid w:val="004E206B"/>
    <w:rsid w:val="004E6DF7"/>
    <w:rsid w:val="004F0FBD"/>
    <w:rsid w:val="00505A47"/>
    <w:rsid w:val="00512FDA"/>
    <w:rsid w:val="00520DA0"/>
    <w:rsid w:val="00535054"/>
    <w:rsid w:val="005632EB"/>
    <w:rsid w:val="005664BB"/>
    <w:rsid w:val="00570777"/>
    <w:rsid w:val="0057481D"/>
    <w:rsid w:val="0058486E"/>
    <w:rsid w:val="0058696B"/>
    <w:rsid w:val="005A49E8"/>
    <w:rsid w:val="005D1C8B"/>
    <w:rsid w:val="005D55F1"/>
    <w:rsid w:val="005D5CED"/>
    <w:rsid w:val="005F1A4C"/>
    <w:rsid w:val="005F4E6B"/>
    <w:rsid w:val="00605688"/>
    <w:rsid w:val="006070AF"/>
    <w:rsid w:val="00607E6C"/>
    <w:rsid w:val="006101B1"/>
    <w:rsid w:val="00613AEF"/>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3A8E"/>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A1954"/>
    <w:rsid w:val="008B768C"/>
    <w:rsid w:val="008C4DB1"/>
    <w:rsid w:val="008C4EAF"/>
    <w:rsid w:val="008C5176"/>
    <w:rsid w:val="008C7CF0"/>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1789"/>
    <w:rsid w:val="00A0499B"/>
    <w:rsid w:val="00A04EB0"/>
    <w:rsid w:val="00A0763C"/>
    <w:rsid w:val="00A11484"/>
    <w:rsid w:val="00A13CC1"/>
    <w:rsid w:val="00A16847"/>
    <w:rsid w:val="00A178E5"/>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09DF"/>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D188A"/>
    <w:rsid w:val="00BD7AD9"/>
    <w:rsid w:val="00BF5BD6"/>
    <w:rsid w:val="00C03E31"/>
    <w:rsid w:val="00C25D2E"/>
    <w:rsid w:val="00C33E72"/>
    <w:rsid w:val="00C3445D"/>
    <w:rsid w:val="00C354B2"/>
    <w:rsid w:val="00C35554"/>
    <w:rsid w:val="00C42709"/>
    <w:rsid w:val="00C533CC"/>
    <w:rsid w:val="00C5751C"/>
    <w:rsid w:val="00C61BFC"/>
    <w:rsid w:val="00C62B85"/>
    <w:rsid w:val="00C65438"/>
    <w:rsid w:val="00C91CBB"/>
    <w:rsid w:val="00CB0C38"/>
    <w:rsid w:val="00CC09B6"/>
    <w:rsid w:val="00CC666F"/>
    <w:rsid w:val="00CD1E3F"/>
    <w:rsid w:val="00CE44F6"/>
    <w:rsid w:val="00CE49DA"/>
    <w:rsid w:val="00CE7B61"/>
    <w:rsid w:val="00D00095"/>
    <w:rsid w:val="00D20620"/>
    <w:rsid w:val="00D26091"/>
    <w:rsid w:val="00D27229"/>
    <w:rsid w:val="00D34E7C"/>
    <w:rsid w:val="00D35489"/>
    <w:rsid w:val="00D51276"/>
    <w:rsid w:val="00D51F98"/>
    <w:rsid w:val="00D65988"/>
    <w:rsid w:val="00D7035F"/>
    <w:rsid w:val="00D73571"/>
    <w:rsid w:val="00DA5916"/>
    <w:rsid w:val="00DA65AC"/>
    <w:rsid w:val="00DB1913"/>
    <w:rsid w:val="00DC3C41"/>
    <w:rsid w:val="00DC410D"/>
    <w:rsid w:val="00DC5C5F"/>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837DF"/>
    <w:rsid w:val="00E849CB"/>
    <w:rsid w:val="00E876B6"/>
    <w:rsid w:val="00EA010F"/>
    <w:rsid w:val="00EA1DBA"/>
    <w:rsid w:val="00ED1B63"/>
    <w:rsid w:val="00ED3C1F"/>
    <w:rsid w:val="00ED4085"/>
    <w:rsid w:val="00ED420E"/>
    <w:rsid w:val="00ED7024"/>
    <w:rsid w:val="00EE2F57"/>
    <w:rsid w:val="00EE34D4"/>
    <w:rsid w:val="00EE3DA1"/>
    <w:rsid w:val="00EF4C34"/>
    <w:rsid w:val="00EF77C6"/>
    <w:rsid w:val="00F05438"/>
    <w:rsid w:val="00F11B36"/>
    <w:rsid w:val="00F11E68"/>
    <w:rsid w:val="00F1361C"/>
    <w:rsid w:val="00F160C7"/>
    <w:rsid w:val="00F222A1"/>
    <w:rsid w:val="00F32E9D"/>
    <w:rsid w:val="00F33140"/>
    <w:rsid w:val="00F36D8F"/>
    <w:rsid w:val="00F417B1"/>
    <w:rsid w:val="00F602DF"/>
    <w:rsid w:val="00F81FD9"/>
    <w:rsid w:val="00F841AA"/>
    <w:rsid w:val="00FA23E8"/>
    <w:rsid w:val="00FB4023"/>
    <w:rsid w:val="00FB7E29"/>
    <w:rsid w:val="00FC0D7B"/>
    <w:rsid w:val="00FD3CC1"/>
    <w:rsid w:val="00FD4A6A"/>
    <w:rsid w:val="00FF1E02"/>
    <w:rsid w:val="00FF30B4"/>
    <w:rsid w:val="10C055FF"/>
    <w:rsid w:val="16BB723D"/>
    <w:rsid w:val="1BF15163"/>
    <w:rsid w:val="1E147BE1"/>
    <w:rsid w:val="240371BF"/>
    <w:rsid w:val="264302D8"/>
    <w:rsid w:val="29FD04D3"/>
    <w:rsid w:val="319F7F4E"/>
    <w:rsid w:val="39233B37"/>
    <w:rsid w:val="409501C5"/>
    <w:rsid w:val="44E72722"/>
    <w:rsid w:val="48384D73"/>
    <w:rsid w:val="486D6390"/>
    <w:rsid w:val="4FAC32A5"/>
    <w:rsid w:val="53C52CC6"/>
    <w:rsid w:val="5ACF2317"/>
    <w:rsid w:val="60DC20D0"/>
    <w:rsid w:val="66132B6E"/>
    <w:rsid w:val="6B2379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50BB9-3A9D-40DB-BCD6-605C10E64F2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1392</Words>
  <Characters>7939</Characters>
  <Lines>66</Lines>
  <Paragraphs>18</Paragraphs>
  <TotalTime>5</TotalTime>
  <ScaleCrop>false</ScaleCrop>
  <LinksUpToDate>false</LinksUpToDate>
  <CharactersWithSpaces>9313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2020-09-01T03:32:00Z</cp:lastPrinted>
  <dcterms:modified xsi:type="dcterms:W3CDTF">2020-09-18T02:24:25Z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