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cs="黑体"/>
          <w:color w:val="000000" w:themeColor="text1"/>
          <w14:textFill>
            <w14:solidFill>
              <w14:schemeClr w14:val="tx1"/>
            </w14:solidFill>
          </w14:textFill>
        </w:rPr>
      </w:pPr>
      <w:bookmarkStart w:id="0" w:name="YS040100"/>
    </w:p>
    <w:p>
      <w:pPr>
        <w:rPr>
          <w:rFonts w:ascii="黑体" w:hAnsi="Times New Roman" w:eastAsia="黑体" w:cs="黑体"/>
          <w:color w:val="000000" w:themeColor="text1"/>
          <w14:textFill>
            <w14:solidFill>
              <w14:schemeClr w14:val="tx1"/>
            </w14:solidFill>
          </w14:textFill>
        </w:rPr>
      </w:pPr>
    </w:p>
    <w:p>
      <w:pPr>
        <w:rPr>
          <w:rFonts w:ascii="黑体" w:hAnsi="Times New Roman" w:eastAsia="黑体" w:cs="黑体"/>
          <w:color w:val="000000" w:themeColor="text1"/>
          <w14:textFill>
            <w14:solidFill>
              <w14:schemeClr w14:val="tx1"/>
            </w14:solidFill>
          </w14:textFill>
        </w:rPr>
      </w:pPr>
    </w:p>
    <w:p>
      <w:pPr>
        <w:rPr>
          <w:rFonts w:ascii="黑体" w:hAnsi="Times New Roman" w:eastAsia="黑体" w:cs="黑体"/>
          <w:color w:val="000000" w:themeColor="text1"/>
          <w14:textFill>
            <w14:solidFill>
              <w14:schemeClr w14:val="tx1"/>
            </w14:solidFill>
          </w14:textFill>
        </w:rPr>
      </w:pPr>
    </w:p>
    <w:p>
      <w:pPr>
        <w:rPr>
          <w:rFonts w:ascii="黑体" w:hAnsi="Times New Roman" w:eastAsia="黑体" w:cs="黑体"/>
          <w:color w:val="000000" w:themeColor="text1"/>
          <w14:textFill>
            <w14:solidFill>
              <w14:schemeClr w14:val="tx1"/>
            </w14:solidFill>
          </w14:textFill>
        </w:rPr>
      </w:pPr>
    </w:p>
    <w:p>
      <w:pPr>
        <w:rPr>
          <w:rFonts w:ascii="黑体" w:hAnsi="Times New Roman" w:eastAsia="黑体" w:cs="黑体"/>
          <w:color w:val="000000" w:themeColor="text1"/>
          <w14:textFill>
            <w14:solidFill>
              <w14:schemeClr w14:val="tx1"/>
            </w14:solidFill>
          </w14:textFill>
        </w:rPr>
      </w:pPr>
    </w:p>
    <w:p>
      <w:pPr>
        <w:rPr>
          <w:rFonts w:ascii="黑体" w:hAnsi="Times New Roman" w:eastAsia="黑体" w:cs="黑体"/>
          <w:color w:val="000000" w:themeColor="text1"/>
          <w14:textFill>
            <w14:solidFill>
              <w14:schemeClr w14:val="tx1"/>
            </w14:solidFill>
          </w14:textFill>
        </w:rPr>
      </w:pPr>
    </w:p>
    <w:p>
      <w:pPr>
        <w:adjustRightInd w:val="0"/>
        <w:snapToGrid w:val="0"/>
        <w:spacing w:line="360" w:lineRule="auto"/>
        <w:jc w:val="center"/>
        <w:outlineLvl w:val="0"/>
        <w:rPr>
          <w:rFonts w:ascii="方正小标宋简体" w:hAnsi="宋体" w:eastAsia="方正小标宋简体"/>
          <w:color w:val="000000" w:themeColor="text1"/>
          <w:sz w:val="56"/>
          <w:szCs w:val="56"/>
          <w14:textFill>
            <w14:solidFill>
              <w14:schemeClr w14:val="tx1"/>
            </w14:solidFill>
          </w14:textFill>
        </w:rPr>
      </w:pPr>
      <w:bookmarkStart w:id="1" w:name="_Toc19089858"/>
      <w:bookmarkStart w:id="2" w:name="_Toc15378441"/>
      <w:bookmarkStart w:id="3" w:name="_Toc15396597"/>
      <w:bookmarkStart w:id="4" w:name="_Toc15377193"/>
      <w:bookmarkStart w:id="5" w:name="_Toc15377425"/>
      <w:bookmarkStart w:id="6" w:name="_Toc15396475"/>
      <w:r>
        <w:rPr>
          <w:rFonts w:ascii="黑体" w:hAnsi="黑体" w:eastAsia="黑体"/>
          <w:color w:val="000000" w:themeColor="text1"/>
          <w:sz w:val="56"/>
          <w:szCs w:val="56"/>
          <w14:textFill>
            <w14:solidFill>
              <w14:schemeClr w14:val="tx1"/>
            </w14:solidFill>
          </w14:textFill>
        </w:rPr>
        <w:t>201</w:t>
      </w:r>
      <w:r>
        <w:rPr>
          <w:rFonts w:hint="eastAsia" w:ascii="黑体" w:hAnsi="黑体" w:eastAsia="黑体"/>
          <w:color w:val="000000" w:themeColor="text1"/>
          <w:sz w:val="56"/>
          <w:szCs w:val="56"/>
          <w14:textFill>
            <w14:solidFill>
              <w14:schemeClr w14:val="tx1"/>
            </w14:solidFill>
          </w14:textFill>
        </w:rPr>
        <w:t>9</w:t>
      </w:r>
      <w:r>
        <w:rPr>
          <w:rFonts w:hint="eastAsia" w:ascii="方正小标宋简体" w:hAnsi="宋体" w:eastAsia="方正小标宋简体"/>
          <w:color w:val="000000" w:themeColor="text1"/>
          <w:sz w:val="56"/>
          <w:szCs w:val="56"/>
          <w14:textFill>
            <w14:solidFill>
              <w14:schemeClr w14:val="tx1"/>
            </w14:solidFill>
          </w14:textFill>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themeColor="text1"/>
          <w:sz w:val="56"/>
          <w:szCs w:val="56"/>
          <w14:textFill>
            <w14:solidFill>
              <w14:schemeClr w14:val="tx1"/>
            </w14:solidFill>
          </w14:textFill>
        </w:rPr>
      </w:pPr>
      <w:bookmarkStart w:id="7" w:name="_Toc19089859"/>
      <w:bookmarkStart w:id="8" w:name="_Toc15377194"/>
      <w:bookmarkStart w:id="9" w:name="_Toc15377426"/>
      <w:bookmarkStart w:id="10" w:name="_Toc15378442"/>
      <w:bookmarkStart w:id="11" w:name="_Toc15396598"/>
      <w:bookmarkStart w:id="12" w:name="_Toc15396476"/>
      <w:r>
        <w:rPr>
          <w:rFonts w:hint="eastAsia" w:ascii="方正小标宋简体" w:hAnsi="宋体" w:eastAsia="方正小标宋简体"/>
          <w:color w:val="000000" w:themeColor="text1"/>
          <w:sz w:val="56"/>
          <w:szCs w:val="56"/>
          <w14:textFill>
            <w14:solidFill>
              <w14:schemeClr w14:val="tx1"/>
            </w14:solidFill>
          </w14:textFill>
        </w:rPr>
        <w:t>四川省</w:t>
      </w:r>
      <w:bookmarkStart w:id="13" w:name="_Toc15306268"/>
      <w:r>
        <w:rPr>
          <w:rFonts w:hint="eastAsia" w:ascii="方正小标宋简体" w:hAnsi="宋体" w:eastAsia="方正小标宋简体"/>
          <w:color w:val="000000" w:themeColor="text1"/>
          <w:sz w:val="56"/>
          <w:szCs w:val="56"/>
          <w:lang w:eastAsia="zh-CN"/>
          <w14:textFill>
            <w14:solidFill>
              <w14:schemeClr w14:val="tx1"/>
            </w14:solidFill>
          </w14:textFill>
        </w:rPr>
        <w:t>广元市</w:t>
      </w:r>
      <w:r>
        <w:rPr>
          <w:rFonts w:hint="eastAsia" w:ascii="方正小标宋简体" w:hAnsi="宋体" w:eastAsia="方正小标宋简体"/>
          <w:color w:val="000000" w:themeColor="text1"/>
          <w:sz w:val="56"/>
          <w:szCs w:val="56"/>
          <w14:textFill>
            <w14:solidFill>
              <w14:schemeClr w14:val="tx1"/>
            </w14:solidFill>
          </w14:textFill>
        </w:rPr>
        <w:t>利州区</w:t>
      </w:r>
      <w:bookmarkEnd w:id="7"/>
      <w:r>
        <w:rPr>
          <w:rFonts w:hint="eastAsia" w:ascii="方正小标宋简体" w:hAnsi="宋体" w:eastAsia="方正小标宋简体"/>
          <w:color w:val="000000" w:themeColor="text1"/>
          <w:sz w:val="56"/>
          <w:szCs w:val="56"/>
          <w14:textFill>
            <w14:solidFill>
              <w14:schemeClr w14:val="tx1"/>
            </w14:solidFill>
          </w14:textFill>
        </w:rPr>
        <w:t>工农小学</w:t>
      </w:r>
    </w:p>
    <w:p>
      <w:pPr>
        <w:adjustRightInd w:val="0"/>
        <w:snapToGrid w:val="0"/>
        <w:spacing w:line="360" w:lineRule="auto"/>
        <w:jc w:val="center"/>
        <w:outlineLvl w:val="0"/>
        <w:rPr>
          <w:rFonts w:ascii="方正小标宋简体" w:hAnsi="宋体" w:eastAsia="方正小标宋简体"/>
          <w:color w:val="000000" w:themeColor="text1"/>
          <w:sz w:val="56"/>
          <w:szCs w:val="56"/>
          <w14:textFill>
            <w14:solidFill>
              <w14:schemeClr w14:val="tx1"/>
            </w14:solidFill>
          </w14:textFill>
        </w:rPr>
      </w:pPr>
      <w:bookmarkStart w:id="14" w:name="_Toc19089860"/>
      <w:r>
        <w:rPr>
          <w:rFonts w:hint="eastAsia" w:ascii="方正小标宋简体" w:hAnsi="宋体" w:eastAsia="方正小标宋简体"/>
          <w:color w:val="000000" w:themeColor="text1"/>
          <w:sz w:val="56"/>
          <w:szCs w:val="56"/>
          <w14:textFill>
            <w14:solidFill>
              <w14:schemeClr w14:val="tx1"/>
            </w14:solidFill>
          </w14:textFill>
        </w:rPr>
        <w:t>部门决算</w:t>
      </w:r>
      <w:bookmarkEnd w:id="8"/>
      <w:bookmarkEnd w:id="9"/>
      <w:bookmarkEnd w:id="10"/>
      <w:bookmarkEnd w:id="11"/>
      <w:bookmarkEnd w:id="12"/>
      <w:bookmarkEnd w:id="13"/>
      <w:bookmarkEnd w:id="14"/>
    </w:p>
    <w:p>
      <w:pPr>
        <w:rPr>
          <w:rFonts w:ascii="方正小标宋简体" w:hAnsi="宋体" w:eastAsia="方正小标宋简体"/>
          <w:color w:val="000000" w:themeColor="text1"/>
          <w:sz w:val="72"/>
          <w:szCs w:val="72"/>
          <w14:textFill>
            <w14:solidFill>
              <w14:schemeClr w14:val="tx1"/>
            </w14:solidFill>
          </w14:textFill>
        </w:rPr>
      </w:pPr>
      <w:r>
        <w:rPr>
          <w:rFonts w:hint="eastAsia" w:ascii="方正小标宋简体" w:hAnsi="宋体" w:eastAsia="方正小标宋简体"/>
          <w:color w:val="000000" w:themeColor="text1"/>
          <w:sz w:val="72"/>
          <w:szCs w:val="72"/>
          <w14:textFill>
            <w14:solidFill>
              <w14:schemeClr w14:val="tx1"/>
            </w14:solidFill>
          </w14:textFill>
        </w:rPr>
        <w:br w:type="page"/>
      </w:r>
    </w:p>
    <w:p>
      <w:pPr>
        <w:widowControl/>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 xml:space="preserve">目   </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 xml:space="preserve">  录</w:t>
      </w:r>
    </w:p>
    <w:p>
      <w:pPr>
        <w:keepNext w:val="0"/>
        <w:keepLines w:val="0"/>
        <w:pageBreakBefore w:val="0"/>
        <w:widowControl/>
        <w:kinsoku/>
        <w:wordWrap/>
        <w:overflowPunct/>
        <w:topLinePunct w:val="0"/>
        <w:autoSpaceDE/>
        <w:autoSpaceDN/>
        <w:bidi w:val="0"/>
        <w:adjustRightInd/>
        <w:snapToGrid w:val="0"/>
        <w:spacing w:line="500" w:lineRule="exact"/>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第一部分 部门概况</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一、基本职能及主要工作</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二、机构设置</w:t>
      </w:r>
    </w:p>
    <w:p>
      <w:pPr>
        <w:keepNext w:val="0"/>
        <w:keepLines w:val="0"/>
        <w:pageBreakBefore w:val="0"/>
        <w:widowControl/>
        <w:kinsoku/>
        <w:wordWrap/>
        <w:overflowPunct/>
        <w:topLinePunct w:val="0"/>
        <w:autoSpaceDE/>
        <w:autoSpaceDN/>
        <w:bidi w:val="0"/>
        <w:adjustRightInd/>
        <w:snapToGrid w:val="0"/>
        <w:spacing w:line="500" w:lineRule="exact"/>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第二部分 2019年度部门决算情况说明</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一、决算信息来源说明</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二、决算编制基本情况</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三、基础数据核对情况</w:t>
      </w:r>
    </w:p>
    <w:p>
      <w:pPr>
        <w:keepNext w:val="0"/>
        <w:keepLines w:val="0"/>
        <w:pageBreakBefore w:val="0"/>
        <w:widowControl/>
        <w:kinsoku/>
        <w:wordWrap/>
        <w:overflowPunct/>
        <w:topLinePunct w:val="0"/>
        <w:autoSpaceDE/>
        <w:autoSpaceDN/>
        <w:bidi w:val="0"/>
        <w:adjustRightInd/>
        <w:snapToGrid w:val="0"/>
        <w:spacing w:line="500" w:lineRule="exact"/>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第三部分 名词解释</w:t>
      </w:r>
    </w:p>
    <w:p>
      <w:pPr>
        <w:keepNext w:val="0"/>
        <w:keepLines w:val="0"/>
        <w:pageBreakBefore w:val="0"/>
        <w:widowControl/>
        <w:kinsoku/>
        <w:wordWrap/>
        <w:overflowPunct/>
        <w:topLinePunct w:val="0"/>
        <w:autoSpaceDE/>
        <w:autoSpaceDN/>
        <w:bidi w:val="0"/>
        <w:adjustRightInd/>
        <w:snapToGrid w:val="0"/>
        <w:spacing w:line="500" w:lineRule="exact"/>
        <w:textAlignment w:val="auto"/>
        <w:rPr>
          <w:rFonts w:ascii="仿宋" w:hAnsi="仿宋"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第四部分 附件</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 2019年部门整体支出绩效评价报告</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附件2</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课后服务资金管理使用办法</w:t>
      </w:r>
    </w:p>
    <w:p>
      <w:pPr>
        <w:keepNext w:val="0"/>
        <w:keepLines w:val="0"/>
        <w:pageBreakBefore w:val="0"/>
        <w:widowControl/>
        <w:kinsoku/>
        <w:wordWrap/>
        <w:overflowPunct/>
        <w:topLinePunct w:val="0"/>
        <w:autoSpaceDE/>
        <w:autoSpaceDN/>
        <w:bidi w:val="0"/>
        <w:adjustRightInd/>
        <w:snapToGrid w:val="0"/>
        <w:spacing w:line="500" w:lineRule="exact"/>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第五部分 附表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一、收入支出决算总表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二、收入总表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三、支出总表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四、财政拨款收入支出决算总表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五、财政拨款支出决算明细表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六、一般公共预算财政拨款支出决算表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七、一般公共预算财政拨款支出决算明细表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八、一般公共预算财政拨款基本支出决算表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九、一般公共预算财政拨款项目支出决算表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十、一般公共预算财政拨款“三公”经费支出决算表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十一、政府性基金预算财政拨款收入支出决算表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十三、国有资本经营预算支出决算表</w:t>
      </w:r>
    </w:p>
    <w:p>
      <w:pPr>
        <w:pStyle w:val="3"/>
        <w:snapToGrid w:val="0"/>
        <w:spacing w:before="0" w:after="0" w:line="360" w:lineRule="auto"/>
        <w:ind w:firstLine="640" w:firstLineChars="200"/>
        <w:rPr>
          <w:rFonts w:ascii="黑体" w:hAnsi="黑体" w:eastAsia="黑体"/>
          <w:b w:val="0"/>
          <w:color w:val="000000" w:themeColor="text1"/>
          <w14:textFill>
            <w14:solidFill>
              <w14:schemeClr w14:val="tx1"/>
            </w14:solidFill>
          </w14:textFill>
        </w:rPr>
        <w:sectPr>
          <w:pgSz w:w="11906" w:h="16838"/>
          <w:pgMar w:top="1701" w:right="1474" w:bottom="1701" w:left="1587" w:header="851" w:footer="992" w:gutter="0"/>
          <w:cols w:space="425" w:num="1"/>
          <w:docGrid w:type="lines" w:linePitch="312" w:charSpace="0"/>
        </w:sectPr>
      </w:pPr>
      <w:bookmarkStart w:id="15" w:name="_Toc15377197"/>
      <w:bookmarkStart w:id="16" w:name="_Toc19089862"/>
    </w:p>
    <w:p>
      <w:pPr>
        <w:keepNext/>
        <w:keepLines/>
        <w:spacing w:before="340" w:after="330" w:line="576" w:lineRule="auto"/>
        <w:jc w:val="center"/>
        <w:outlineLvl w:val="0"/>
        <w:rPr>
          <w:rFonts w:hint="eastAsia" w:ascii="方正小标宋简体" w:hAnsi="方正小标宋简体" w:eastAsia="方正小标宋简体" w:cs="方正小标宋简体"/>
          <w:b/>
          <w:kern w:val="44"/>
          <w:sz w:val="44"/>
          <w:szCs w:val="44"/>
        </w:rPr>
      </w:pPr>
      <w:bookmarkStart w:id="17" w:name="_Toc15377196"/>
      <w:bookmarkStart w:id="18" w:name="_Toc19089861"/>
      <w:r>
        <w:rPr>
          <w:rFonts w:hint="eastAsia" w:ascii="方正小标宋简体" w:hAnsi="方正小标宋简体" w:eastAsia="方正小标宋简体" w:cs="方正小标宋简体"/>
          <w:bCs/>
          <w:kern w:val="44"/>
          <w:sz w:val="44"/>
          <w:szCs w:val="44"/>
        </w:rPr>
        <w:t xml:space="preserve">第一部分 </w:t>
      </w:r>
      <w:r>
        <w:rPr>
          <w:rFonts w:hint="eastAsia" w:ascii="方正小标宋简体" w:hAnsi="方正小标宋简体" w:eastAsia="方正小标宋简体" w:cs="方正小标宋简体"/>
          <w:kern w:val="44"/>
          <w:sz w:val="44"/>
          <w:szCs w:val="44"/>
        </w:rPr>
        <w:t>部门概况</w:t>
      </w:r>
      <w:bookmarkEnd w:id="17"/>
      <w:bookmarkEnd w:id="18"/>
    </w:p>
    <w:p>
      <w:pPr>
        <w:pStyle w:val="3"/>
        <w:pageBreakBefore w:val="0"/>
        <w:widowControl w:val="0"/>
        <w:kinsoku/>
        <w:wordWrap/>
        <w:overflowPunct/>
        <w:topLinePunct w:val="0"/>
        <w:autoSpaceDE/>
        <w:autoSpaceDN/>
        <w:bidi w:val="0"/>
        <w:snapToGrid w:val="0"/>
        <w:spacing w:before="0" w:after="0" w:line="540" w:lineRule="exact"/>
        <w:ind w:firstLine="560" w:firstLineChars="200"/>
        <w:textAlignment w:val="auto"/>
        <w:rPr>
          <w:rFonts w:hint="eastAsia" w:ascii="黑体" w:hAnsi="黑体" w:eastAsia="黑体"/>
          <w:b w:val="0"/>
          <w:color w:val="000000" w:themeColor="text1"/>
          <w:sz w:val="28"/>
          <w:szCs w:val="28"/>
          <w14:textFill>
            <w14:solidFill>
              <w14:schemeClr w14:val="tx1"/>
            </w14:solidFill>
          </w14:textFill>
        </w:rPr>
      </w:pPr>
    </w:p>
    <w:p>
      <w:pPr>
        <w:pStyle w:val="3"/>
        <w:pageBreakBefore w:val="0"/>
        <w:widowControl w:val="0"/>
        <w:kinsoku/>
        <w:wordWrap/>
        <w:overflowPunct/>
        <w:topLinePunct w:val="0"/>
        <w:autoSpaceDE/>
        <w:autoSpaceDN/>
        <w:bidi w:val="0"/>
        <w:snapToGrid w:val="0"/>
        <w:spacing w:before="0" w:after="0" w:line="540" w:lineRule="exact"/>
        <w:ind w:firstLine="560" w:firstLineChars="200"/>
        <w:textAlignment w:val="auto"/>
        <w:rPr>
          <w:rStyle w:val="20"/>
          <w:rFonts w:ascii="仿宋" w:hAnsi="仿宋" w:eastAsia="仿宋"/>
          <w:b w:val="0"/>
          <w:bCs w:val="0"/>
          <w:color w:val="000000" w:themeColor="text1"/>
          <w:sz w:val="28"/>
          <w:szCs w:val="28"/>
          <w14:textFill>
            <w14:solidFill>
              <w14:schemeClr w14:val="tx1"/>
            </w14:solidFill>
          </w14:textFill>
        </w:rPr>
      </w:pPr>
      <w:r>
        <w:rPr>
          <w:rFonts w:hint="eastAsia" w:ascii="黑体" w:hAnsi="黑体" w:eastAsia="黑体"/>
          <w:b w:val="0"/>
          <w:color w:val="000000" w:themeColor="text1"/>
          <w:sz w:val="28"/>
          <w:szCs w:val="28"/>
          <w14:textFill>
            <w14:solidFill>
              <w14:schemeClr w14:val="tx1"/>
            </w14:solidFill>
          </w14:textFill>
        </w:rPr>
        <w:t>一、基</w:t>
      </w:r>
      <w:r>
        <w:rPr>
          <w:rStyle w:val="20"/>
          <w:rFonts w:hint="eastAsia" w:ascii="黑体" w:hAnsi="黑体" w:eastAsia="黑体"/>
          <w:b w:val="0"/>
          <w:bCs w:val="0"/>
          <w:color w:val="000000" w:themeColor="text1"/>
          <w:sz w:val="28"/>
          <w:szCs w:val="28"/>
          <w14:textFill>
            <w14:solidFill>
              <w14:schemeClr w14:val="tx1"/>
            </w14:solidFill>
          </w14:textFill>
        </w:rPr>
        <w:t>本职能及主要工作</w:t>
      </w:r>
      <w:bookmarkEnd w:id="15"/>
      <w:bookmarkEnd w:id="16"/>
    </w:p>
    <w:p>
      <w:pPr>
        <w:pageBreakBefore w:val="0"/>
        <w:widowControl w:val="0"/>
        <w:kinsoku/>
        <w:wordWrap/>
        <w:overflowPunct/>
        <w:topLinePunct w:val="0"/>
        <w:autoSpaceDE/>
        <w:autoSpaceDN/>
        <w:bidi w:val="0"/>
        <w:snapToGrid w:val="0"/>
        <w:spacing w:line="540" w:lineRule="exact"/>
        <w:ind w:firstLine="560" w:firstLineChars="200"/>
        <w:textAlignment w:val="auto"/>
        <w:rPr>
          <w:rFonts w:ascii="楷体" w:hAnsi="楷体" w:eastAsia="楷体" w:cs="楷体"/>
          <w:bCs/>
          <w:color w:val="000000" w:themeColor="text1"/>
          <w:sz w:val="28"/>
          <w:szCs w:val="28"/>
          <w14:textFill>
            <w14:solidFill>
              <w14:schemeClr w14:val="tx1"/>
            </w14:solidFill>
          </w14:textFill>
        </w:rPr>
      </w:pPr>
      <w:bookmarkStart w:id="19" w:name="_Toc15377198"/>
      <w:bookmarkStart w:id="20" w:name="_Toc15378445"/>
      <w:r>
        <w:rPr>
          <w:rFonts w:hint="eastAsia" w:ascii="楷体" w:hAnsi="楷体" w:eastAsia="楷体" w:cs="楷体"/>
          <w:bCs/>
          <w:color w:val="000000" w:themeColor="text1"/>
          <w:sz w:val="28"/>
          <w:szCs w:val="28"/>
          <w14:textFill>
            <w14:solidFill>
              <w14:schemeClr w14:val="tx1"/>
            </w14:solidFill>
          </w14:textFill>
        </w:rPr>
        <w:t>（一）主要职能</w:t>
      </w:r>
      <w:bookmarkEnd w:id="19"/>
      <w:bookmarkEnd w:id="20"/>
      <w:bookmarkStart w:id="21" w:name="_Toc15378446"/>
      <w:bookmarkStart w:id="22" w:name="_Toc15377199"/>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贯彻执行党和国家关于教育改革和发展的各项方针、政策，</w:t>
      </w:r>
      <w:r>
        <w:rPr>
          <w:rFonts w:hint="eastAsia" w:ascii="仿宋" w:hAnsi="仿宋" w:eastAsia="仿宋"/>
          <w:color w:val="000000" w:themeColor="text1"/>
          <w:sz w:val="28"/>
          <w:szCs w:val="28"/>
          <w14:textFill>
            <w14:solidFill>
              <w14:schemeClr w14:val="tx1"/>
            </w14:solidFill>
          </w14:textFill>
        </w:rPr>
        <w:t>执行</w:t>
      </w:r>
      <w:r>
        <w:rPr>
          <w:rFonts w:ascii="仿宋" w:hAnsi="仿宋" w:eastAsia="仿宋"/>
          <w:color w:val="000000" w:themeColor="text1"/>
          <w:sz w:val="28"/>
          <w:szCs w:val="28"/>
          <w14:textFill>
            <w14:solidFill>
              <w14:schemeClr w14:val="tx1"/>
            </w14:solidFill>
          </w14:textFill>
        </w:rPr>
        <w:t>全区教育事业发展规划和有关教育的规范性文件并组织实施；</w:t>
      </w:r>
      <w:r>
        <w:rPr>
          <w:rFonts w:hint="eastAsia" w:ascii="仿宋" w:hAnsi="仿宋" w:eastAsia="仿宋"/>
          <w:color w:val="000000" w:themeColor="text1"/>
          <w:sz w:val="28"/>
          <w:szCs w:val="28"/>
          <w14:textFill>
            <w14:solidFill>
              <w14:schemeClr w14:val="tx1"/>
            </w14:solidFill>
          </w14:textFill>
        </w:rPr>
        <w:t>推进</w:t>
      </w:r>
      <w:r>
        <w:rPr>
          <w:rFonts w:ascii="仿宋" w:hAnsi="仿宋" w:eastAsia="仿宋"/>
          <w:color w:val="000000" w:themeColor="text1"/>
          <w:sz w:val="28"/>
          <w:szCs w:val="28"/>
          <w14:textFill>
            <w14:solidFill>
              <w14:schemeClr w14:val="tx1"/>
            </w14:solidFill>
          </w14:textFill>
        </w:rPr>
        <w:t>学校的教育、教学体制改革。</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负责教育系统教育经费的统筹管理，参与拟订筹措教育经费、教育拨款、教育基建投资办法和方案；</w:t>
      </w:r>
      <w:r>
        <w:rPr>
          <w:rFonts w:hint="eastAsia" w:ascii="仿宋" w:hAnsi="仿宋" w:eastAsia="仿宋"/>
          <w:color w:val="000000" w:themeColor="text1"/>
          <w:sz w:val="28"/>
          <w:szCs w:val="28"/>
          <w14:textFill>
            <w14:solidFill>
              <w14:schemeClr w14:val="tx1"/>
            </w14:solidFill>
          </w14:textFill>
        </w:rPr>
        <w:t>严格管控</w:t>
      </w:r>
      <w:r>
        <w:rPr>
          <w:rFonts w:ascii="仿宋" w:hAnsi="仿宋" w:eastAsia="仿宋"/>
          <w:color w:val="000000" w:themeColor="text1"/>
          <w:sz w:val="28"/>
          <w:szCs w:val="28"/>
          <w14:textFill>
            <w14:solidFill>
              <w14:schemeClr w14:val="tx1"/>
            </w14:solidFill>
          </w14:textFill>
        </w:rPr>
        <w:t>教育经费的筹措和使用；宣传贯彻执行国家和省市有关学生资助工作方针和政策，</w:t>
      </w:r>
      <w:r>
        <w:rPr>
          <w:rFonts w:hint="eastAsia" w:ascii="仿宋" w:hAnsi="仿宋" w:eastAsia="仿宋"/>
          <w:color w:val="000000" w:themeColor="text1"/>
          <w:sz w:val="28"/>
          <w:szCs w:val="28"/>
          <w14:textFill>
            <w14:solidFill>
              <w14:schemeClr w14:val="tx1"/>
            </w14:solidFill>
          </w14:textFill>
        </w:rPr>
        <w:t>做好</w:t>
      </w:r>
      <w:r>
        <w:rPr>
          <w:rFonts w:ascii="仿宋" w:hAnsi="仿宋" w:eastAsia="仿宋"/>
          <w:color w:val="000000" w:themeColor="text1"/>
          <w:sz w:val="28"/>
          <w:szCs w:val="28"/>
          <w14:textFill>
            <w14:solidFill>
              <w14:schemeClr w14:val="tx1"/>
            </w14:solidFill>
          </w14:textFill>
        </w:rPr>
        <w:t>贫困家庭学生资助工作。</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负责推进义务教育均衡发展和促进教育公平，全面实施素质教育；</w:t>
      </w:r>
      <w:r>
        <w:rPr>
          <w:rFonts w:hint="eastAsia" w:ascii="仿宋" w:hAnsi="仿宋" w:eastAsia="仿宋"/>
          <w:color w:val="000000" w:themeColor="text1"/>
          <w:sz w:val="28"/>
          <w:szCs w:val="28"/>
          <w14:textFill>
            <w14:solidFill>
              <w14:schemeClr w14:val="tx1"/>
            </w14:solidFill>
          </w14:textFill>
        </w:rPr>
        <w:t>夯实</w:t>
      </w:r>
      <w:r>
        <w:rPr>
          <w:rFonts w:ascii="仿宋" w:hAnsi="仿宋" w:eastAsia="仿宋"/>
          <w:color w:val="000000" w:themeColor="text1"/>
          <w:sz w:val="28"/>
          <w:szCs w:val="28"/>
          <w14:textFill>
            <w14:solidFill>
              <w14:schemeClr w14:val="tx1"/>
            </w14:solidFill>
          </w14:textFill>
        </w:rPr>
        <w:t>办学标准、教学基本要求、教学基本条件的落实情况。</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4．全面提高教育教学质量，夯实</w:t>
      </w:r>
      <w:r>
        <w:rPr>
          <w:rFonts w:ascii="仿宋" w:hAnsi="仿宋" w:eastAsia="仿宋"/>
          <w:color w:val="000000" w:themeColor="text1"/>
          <w:sz w:val="28"/>
          <w:szCs w:val="28"/>
          <w14:textFill>
            <w14:solidFill>
              <w14:schemeClr w14:val="tx1"/>
            </w14:solidFill>
          </w14:textFill>
        </w:rPr>
        <w:t xml:space="preserve">基础教育发展水平、质量的监测工作。 </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统筹管理全区社会力量办学的教育工作。</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6．坚持</w:t>
      </w:r>
      <w:r>
        <w:rPr>
          <w:rFonts w:ascii="仿宋" w:hAnsi="仿宋" w:eastAsia="仿宋"/>
          <w:color w:val="000000" w:themeColor="text1"/>
          <w:sz w:val="28"/>
          <w:szCs w:val="28"/>
          <w14:textFill>
            <w14:solidFill>
              <w14:schemeClr w14:val="tx1"/>
            </w14:solidFill>
          </w14:textFill>
        </w:rPr>
        <w:t>依法治校</w:t>
      </w:r>
      <w:r>
        <w:rPr>
          <w:rFonts w:hint="eastAsia" w:ascii="仿宋" w:hAnsi="仿宋" w:eastAsia="仿宋"/>
          <w:color w:val="000000" w:themeColor="text1"/>
          <w:sz w:val="28"/>
          <w:szCs w:val="28"/>
          <w14:textFill>
            <w14:solidFill>
              <w14:schemeClr w14:val="tx1"/>
            </w14:solidFill>
          </w14:textFill>
        </w:rPr>
        <w:t>，做好</w:t>
      </w:r>
      <w:r>
        <w:rPr>
          <w:rFonts w:ascii="仿宋" w:hAnsi="仿宋" w:eastAsia="仿宋"/>
          <w:color w:val="000000" w:themeColor="text1"/>
          <w:sz w:val="28"/>
          <w:szCs w:val="28"/>
          <w14:textFill>
            <w14:solidFill>
              <w14:schemeClr w14:val="tx1"/>
            </w14:solidFill>
          </w14:textFill>
        </w:rPr>
        <w:t xml:space="preserve">安全、综合治理、档案、保密、计划生育工作。 </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7．实施好</w:t>
      </w:r>
      <w:r>
        <w:rPr>
          <w:rFonts w:ascii="仿宋" w:hAnsi="仿宋" w:eastAsia="仿宋"/>
          <w:color w:val="000000" w:themeColor="text1"/>
          <w:sz w:val="28"/>
          <w:szCs w:val="28"/>
          <w14:textFill>
            <w14:solidFill>
              <w14:schemeClr w14:val="tx1"/>
            </w14:solidFill>
          </w14:textFill>
        </w:rPr>
        <w:t xml:space="preserve">学校体育、卫生与艺术教育工作。 </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8．规范</w:t>
      </w:r>
      <w:r>
        <w:rPr>
          <w:rFonts w:ascii="仿宋" w:hAnsi="仿宋" w:eastAsia="仿宋"/>
          <w:color w:val="000000" w:themeColor="text1"/>
          <w:sz w:val="28"/>
          <w:szCs w:val="28"/>
          <w14:textFill>
            <w14:solidFill>
              <w14:schemeClr w14:val="tx1"/>
            </w14:solidFill>
          </w14:textFill>
        </w:rPr>
        <w:t>人事制度改革工作，实施校长</w:t>
      </w:r>
      <w:r>
        <w:rPr>
          <w:rFonts w:hint="eastAsia" w:ascii="仿宋" w:hAnsi="仿宋" w:eastAsia="仿宋"/>
          <w:color w:val="000000" w:themeColor="text1"/>
          <w:sz w:val="28"/>
          <w:szCs w:val="28"/>
          <w14:textFill>
            <w14:solidFill>
              <w14:schemeClr w14:val="tx1"/>
            </w14:solidFill>
          </w14:textFill>
        </w:rPr>
        <w:t>负责制和</w:t>
      </w:r>
      <w:r>
        <w:rPr>
          <w:rFonts w:ascii="仿宋" w:hAnsi="仿宋" w:eastAsia="仿宋"/>
          <w:color w:val="000000" w:themeColor="text1"/>
          <w:sz w:val="28"/>
          <w:szCs w:val="28"/>
          <w14:textFill>
            <w14:solidFill>
              <w14:schemeClr w14:val="tx1"/>
            </w14:solidFill>
          </w14:textFill>
        </w:rPr>
        <w:t>教师聘任制。</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w:t>
      </w:r>
      <w:r>
        <w:rPr>
          <w:rFonts w:ascii="仿宋" w:hAnsi="仿宋" w:eastAsia="仿宋"/>
          <w:color w:val="000000" w:themeColor="text1"/>
          <w:sz w:val="28"/>
          <w:szCs w:val="28"/>
          <w14:textFill>
            <w14:solidFill>
              <w14:schemeClr w14:val="tx1"/>
            </w14:solidFill>
          </w14:textFill>
        </w:rPr>
        <w:t>规划学校教师和管理人员队伍建设；</w:t>
      </w:r>
      <w:r>
        <w:rPr>
          <w:rFonts w:hint="eastAsia" w:ascii="仿宋" w:hAnsi="仿宋" w:eastAsia="仿宋"/>
          <w:color w:val="000000" w:themeColor="text1"/>
          <w:sz w:val="28"/>
          <w:szCs w:val="28"/>
          <w14:textFill>
            <w14:solidFill>
              <w14:schemeClr w14:val="tx1"/>
            </w14:solidFill>
          </w14:textFill>
        </w:rPr>
        <w:t>实施好</w:t>
      </w:r>
      <w:r>
        <w:rPr>
          <w:rFonts w:ascii="仿宋" w:hAnsi="仿宋" w:eastAsia="仿宋"/>
          <w:color w:val="000000" w:themeColor="text1"/>
          <w:sz w:val="28"/>
          <w:szCs w:val="28"/>
          <w14:textFill>
            <w14:solidFill>
              <w14:schemeClr w14:val="tx1"/>
            </w14:solidFill>
          </w14:textFill>
        </w:rPr>
        <w:t>中小学（含幼儿园）校（园）长、教师的继续教育和课程改革新教材的培训工作；负责中小学教师专业技术职务评审</w:t>
      </w:r>
      <w:r>
        <w:rPr>
          <w:rFonts w:hint="eastAsia" w:ascii="仿宋" w:hAnsi="仿宋" w:eastAsia="仿宋"/>
          <w:color w:val="000000" w:themeColor="text1"/>
          <w:sz w:val="28"/>
          <w:szCs w:val="28"/>
          <w14:textFill>
            <w14:solidFill>
              <w14:schemeClr w14:val="tx1"/>
            </w14:solidFill>
          </w14:textFill>
        </w:rPr>
        <w:t>推荐</w:t>
      </w:r>
      <w:r>
        <w:rPr>
          <w:rFonts w:ascii="仿宋" w:hAnsi="仿宋" w:eastAsia="仿宋"/>
          <w:color w:val="000000" w:themeColor="text1"/>
          <w:sz w:val="28"/>
          <w:szCs w:val="28"/>
          <w14:textFill>
            <w14:solidFill>
              <w14:schemeClr w14:val="tx1"/>
            </w14:solidFill>
          </w14:textFill>
        </w:rPr>
        <w:t>工作</w:t>
      </w:r>
      <w:r>
        <w:rPr>
          <w:rFonts w:hint="eastAsia" w:ascii="仿宋" w:hAnsi="仿宋" w:eastAsia="仿宋"/>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10．实施</w:t>
      </w:r>
      <w:r>
        <w:rPr>
          <w:rFonts w:ascii="仿宋" w:hAnsi="仿宋" w:eastAsia="仿宋"/>
          <w:color w:val="000000" w:themeColor="text1"/>
          <w:sz w:val="28"/>
          <w:szCs w:val="28"/>
          <w14:textFill>
            <w14:solidFill>
              <w14:schemeClr w14:val="tx1"/>
            </w14:solidFill>
          </w14:textFill>
        </w:rPr>
        <w:t>招生计划，组织协调招生管理工作</w:t>
      </w:r>
      <w:r>
        <w:rPr>
          <w:rFonts w:hint="eastAsia" w:ascii="仿宋" w:hAnsi="仿宋" w:eastAsia="仿宋"/>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w:t>
      </w:r>
      <w:r>
        <w:rPr>
          <w:rFonts w:ascii="仿宋" w:hAnsi="仿宋" w:eastAsia="仿宋"/>
          <w:color w:val="000000" w:themeColor="text1"/>
          <w:sz w:val="28"/>
          <w:szCs w:val="28"/>
          <w14:textFill>
            <w14:solidFill>
              <w14:schemeClr w14:val="tx1"/>
            </w14:solidFill>
          </w14:textFill>
        </w:rPr>
        <w:t>指导和管理教育</w:t>
      </w:r>
      <w:r>
        <w:rPr>
          <w:rFonts w:hint="eastAsia" w:ascii="仿宋" w:hAnsi="仿宋" w:eastAsia="仿宋"/>
          <w:color w:val="000000" w:themeColor="text1"/>
          <w:sz w:val="28"/>
          <w:szCs w:val="28"/>
          <w14:textFill>
            <w14:solidFill>
              <w14:schemeClr w14:val="tx1"/>
            </w14:solidFill>
          </w14:textFill>
        </w:rPr>
        <w:t>学校</w:t>
      </w:r>
      <w:r>
        <w:rPr>
          <w:rFonts w:ascii="仿宋" w:hAnsi="仿宋" w:eastAsia="仿宋"/>
          <w:color w:val="000000" w:themeColor="text1"/>
          <w:sz w:val="28"/>
          <w:szCs w:val="28"/>
          <w14:textFill>
            <w14:solidFill>
              <w14:schemeClr w14:val="tx1"/>
            </w14:solidFill>
          </w14:textFill>
        </w:rPr>
        <w:t>的科学研究工作，组织、协调学校的科技开发、科研成果转化和教育兴农工作。</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w:t>
      </w:r>
      <w:r>
        <w:rPr>
          <w:rFonts w:ascii="仿宋" w:hAnsi="仿宋" w:eastAsia="仿宋"/>
          <w:color w:val="000000" w:themeColor="text1"/>
          <w:sz w:val="28"/>
          <w:szCs w:val="28"/>
          <w14:textFill>
            <w14:solidFill>
              <w14:schemeClr w14:val="tx1"/>
            </w14:solidFill>
          </w14:textFill>
        </w:rPr>
        <w:t xml:space="preserve">组织指导教育方面的对外交流与合作、对外宣传。 </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14．做好</w:t>
      </w:r>
      <w:r>
        <w:rPr>
          <w:rFonts w:ascii="仿宋" w:hAnsi="仿宋" w:eastAsia="仿宋"/>
          <w:color w:val="000000" w:themeColor="text1"/>
          <w:sz w:val="28"/>
          <w:szCs w:val="28"/>
          <w14:textFill>
            <w14:solidFill>
              <w14:schemeClr w14:val="tx1"/>
            </w14:solidFill>
          </w14:textFill>
        </w:rPr>
        <w:t>学校后勤保障、信息化建设以及教学仪器设备和图书资料装备工作；管理教育信息统计、分析和发布</w:t>
      </w:r>
      <w:r>
        <w:rPr>
          <w:rFonts w:hint="eastAsia" w:ascii="仿宋" w:hAnsi="仿宋" w:eastAsia="仿宋"/>
          <w:color w:val="000000" w:themeColor="text1"/>
          <w:sz w:val="28"/>
          <w:szCs w:val="28"/>
          <w14:textFill>
            <w14:solidFill>
              <w14:schemeClr w14:val="tx1"/>
            </w14:solidFill>
          </w14:textFill>
        </w:rPr>
        <w:t>。</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w:t>
      </w:r>
      <w:r>
        <w:rPr>
          <w:rFonts w:ascii="仿宋" w:hAnsi="仿宋" w:eastAsia="仿宋"/>
          <w:color w:val="000000" w:themeColor="text1"/>
          <w:sz w:val="28"/>
          <w:szCs w:val="28"/>
          <w14:textFill>
            <w14:solidFill>
              <w14:schemeClr w14:val="tx1"/>
            </w14:solidFill>
          </w14:textFill>
        </w:rPr>
        <w:t>贯彻执行国家语言文字工作的方针、政策，指导和组织推广普通话、推行规范汉字</w:t>
      </w:r>
      <w:r>
        <w:rPr>
          <w:rFonts w:hint="eastAsia" w:ascii="仿宋" w:hAnsi="仿宋" w:eastAsia="仿宋"/>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（二）2019年重点工作完成情况</w:t>
      </w:r>
      <w:bookmarkEnd w:id="21"/>
      <w:bookmarkEnd w:id="22"/>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教育教学成绩继续提升：本届初中共有毕业生93名，91名学生参加中考（2人因病放弃中考），21人升入省一级示范高中（国重）统招录取，共有41名同学达到省级示范性普通高中及以上统招录取数线。小学六年级毕业考试，综合考核排名位列全区中等水平。</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德育工作和素质教育成效显著：我校德育工作被利州区人民政府评为先进集体；素质教育先进集体；2019年成功创建为“广元市利州区社会主义核心价值观建设示范点”；教育宣传工作被广元市教育局评为“2018-2019年度广元市教育信息宣传先进单位”；学校被授予 “广元市利州区最美校园”。烙画艺术社团被授予广元市“优秀学生艺术社团”。</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3.教育科研有力推进：学校建立规范的集体备课制度，教科</w:t>
      </w:r>
      <w:r>
        <w:rPr>
          <w:rFonts w:hint="eastAsia" w:ascii="仿宋" w:hAnsi="仿宋" w:eastAsia="仿宋" w:cs="仿宋"/>
          <w:color w:val="000000" w:themeColor="text1"/>
          <w:sz w:val="28"/>
          <w:szCs w:val="28"/>
          <w14:textFill>
            <w14:solidFill>
              <w14:schemeClr w14:val="tx1"/>
            </w14:solidFill>
          </w14:textFill>
        </w:rPr>
        <w:t>室布置教研组累计共完成了20次集体备课，形成集体备课教案与教学反思。</w:t>
      </w:r>
      <w:r>
        <w:rPr>
          <w:rFonts w:hint="eastAsia" w:ascii="仿宋" w:hAnsi="仿宋" w:eastAsia="仿宋" w:cs="仿宋"/>
          <w:color w:val="000000" w:themeColor="text1"/>
          <w:spacing w:val="-6"/>
          <w:sz w:val="28"/>
          <w:szCs w:val="28"/>
          <w14:textFill>
            <w14:solidFill>
              <w14:schemeClr w14:val="tx1"/>
            </w14:solidFill>
          </w14:textFill>
        </w:rPr>
        <w:t>，并进行了校本课程开发。开展信息技术与学科教学融合研讨4次。推广教学研究成果</w:t>
      </w:r>
      <w:r>
        <w:rPr>
          <w:rFonts w:ascii="仿宋" w:hAnsi="仿宋" w:eastAsia="仿宋" w:cs="仿宋"/>
          <w:color w:val="000000" w:themeColor="text1"/>
          <w:spacing w:val="-6"/>
          <w:sz w:val="28"/>
          <w:szCs w:val="28"/>
          <w14:textFill>
            <w14:solidFill>
              <w14:schemeClr w14:val="tx1"/>
            </w14:solidFill>
          </w14:textFill>
        </w:rPr>
        <w:t>1</w:t>
      </w:r>
      <w:r>
        <w:rPr>
          <w:rFonts w:hint="eastAsia" w:ascii="仿宋" w:hAnsi="仿宋" w:eastAsia="仿宋" w:cs="仿宋"/>
          <w:color w:val="000000" w:themeColor="text1"/>
          <w:spacing w:val="-6"/>
          <w:sz w:val="28"/>
          <w:szCs w:val="28"/>
          <w14:textFill>
            <w14:solidFill>
              <w14:schemeClr w14:val="tx1"/>
            </w14:solidFill>
          </w14:textFill>
        </w:rPr>
        <w:t>项。开展群文阅读研究5次。承办开展区域研修活动</w:t>
      </w:r>
      <w:r>
        <w:rPr>
          <w:rFonts w:ascii="仿宋" w:hAnsi="仿宋" w:eastAsia="仿宋" w:cs="仿宋"/>
          <w:color w:val="000000" w:themeColor="text1"/>
          <w:spacing w:val="-6"/>
          <w:sz w:val="28"/>
          <w:szCs w:val="28"/>
          <w14:textFill>
            <w14:solidFill>
              <w14:schemeClr w14:val="tx1"/>
            </w14:solidFill>
          </w14:textFill>
        </w:rPr>
        <w:t>2</w:t>
      </w:r>
      <w:r>
        <w:rPr>
          <w:rFonts w:hint="eastAsia" w:ascii="仿宋" w:hAnsi="仿宋" w:eastAsia="仿宋" w:cs="仿宋"/>
          <w:color w:val="000000" w:themeColor="text1"/>
          <w:spacing w:val="-6"/>
          <w:sz w:val="28"/>
          <w:szCs w:val="28"/>
          <w14:textFill>
            <w14:solidFill>
              <w14:schemeClr w14:val="tx1"/>
            </w14:solidFill>
          </w14:textFill>
        </w:rPr>
        <w:t>次。“一师一课”活动晒课率</w:t>
      </w:r>
      <w:r>
        <w:rPr>
          <w:rFonts w:ascii="仿宋" w:hAnsi="仿宋" w:eastAsia="仿宋" w:cs="仿宋"/>
          <w:color w:val="000000" w:themeColor="text1"/>
          <w:spacing w:val="-6"/>
          <w:sz w:val="28"/>
          <w:szCs w:val="28"/>
          <w14:textFill>
            <w14:solidFill>
              <w14:schemeClr w14:val="tx1"/>
            </w14:solidFill>
          </w14:textFill>
        </w:rPr>
        <w:t>90</w:t>
      </w:r>
      <w:r>
        <w:rPr>
          <w:rFonts w:hint="eastAsia" w:ascii="仿宋" w:hAnsi="仿宋" w:eastAsia="仿宋" w:cs="仿宋"/>
          <w:color w:val="000000" w:themeColor="text1"/>
          <w:spacing w:val="-6"/>
          <w:sz w:val="28"/>
          <w:szCs w:val="28"/>
          <w14:textFill>
            <w14:solidFill>
              <w14:schemeClr w14:val="tx1"/>
            </w14:solidFill>
          </w14:textFill>
        </w:rPr>
        <w:t>%以上，获省级优课</w:t>
      </w:r>
      <w:r>
        <w:rPr>
          <w:rFonts w:ascii="仿宋" w:hAnsi="仿宋" w:eastAsia="仿宋" w:cs="仿宋"/>
          <w:color w:val="000000" w:themeColor="text1"/>
          <w:spacing w:val="-6"/>
          <w:sz w:val="28"/>
          <w:szCs w:val="28"/>
          <w14:textFill>
            <w14:solidFill>
              <w14:schemeClr w14:val="tx1"/>
            </w14:solidFill>
          </w14:textFill>
        </w:rPr>
        <w:t>2</w:t>
      </w:r>
      <w:r>
        <w:rPr>
          <w:rFonts w:hint="eastAsia" w:ascii="仿宋" w:hAnsi="仿宋" w:eastAsia="仿宋" w:cs="仿宋"/>
          <w:color w:val="000000" w:themeColor="text1"/>
          <w:spacing w:val="-6"/>
          <w:sz w:val="28"/>
          <w:szCs w:val="28"/>
          <w14:textFill>
            <w14:solidFill>
              <w14:schemeClr w14:val="tx1"/>
            </w14:solidFill>
          </w14:textFill>
        </w:rPr>
        <w:t>节。教师参加市区级教学大比武获奖1</w:t>
      </w:r>
      <w:r>
        <w:rPr>
          <w:rFonts w:ascii="仿宋" w:hAnsi="仿宋" w:eastAsia="仿宋" w:cs="仿宋"/>
          <w:color w:val="000000" w:themeColor="text1"/>
          <w:spacing w:val="-6"/>
          <w:sz w:val="28"/>
          <w:szCs w:val="28"/>
          <w14:textFill>
            <w14:solidFill>
              <w14:schemeClr w14:val="tx1"/>
            </w14:solidFill>
          </w14:textFill>
        </w:rPr>
        <w:t>6</w:t>
      </w:r>
      <w:r>
        <w:rPr>
          <w:rFonts w:hint="eastAsia" w:ascii="仿宋" w:hAnsi="仿宋" w:eastAsia="仿宋" w:cs="仿宋"/>
          <w:color w:val="000000" w:themeColor="text1"/>
          <w:spacing w:val="-6"/>
          <w:sz w:val="28"/>
          <w:szCs w:val="28"/>
          <w14:textFill>
            <w14:solidFill>
              <w14:schemeClr w14:val="tx1"/>
            </w14:solidFill>
          </w14:textFill>
        </w:rPr>
        <w:t>人。教师教学论文获国家级奖1</w:t>
      </w:r>
      <w:r>
        <w:rPr>
          <w:rFonts w:ascii="仿宋" w:hAnsi="仿宋" w:eastAsia="仿宋" w:cs="仿宋"/>
          <w:color w:val="000000" w:themeColor="text1"/>
          <w:spacing w:val="-6"/>
          <w:sz w:val="28"/>
          <w:szCs w:val="28"/>
          <w14:textFill>
            <w14:solidFill>
              <w14:schemeClr w14:val="tx1"/>
            </w14:solidFill>
          </w14:textFill>
        </w:rPr>
        <w:t>8</w:t>
      </w:r>
      <w:r>
        <w:rPr>
          <w:rFonts w:hint="eastAsia" w:ascii="仿宋" w:hAnsi="仿宋" w:eastAsia="仿宋" w:cs="仿宋"/>
          <w:color w:val="000000" w:themeColor="text1"/>
          <w:spacing w:val="-6"/>
          <w:sz w:val="28"/>
          <w:szCs w:val="28"/>
          <w14:textFill>
            <w14:solidFill>
              <w14:schemeClr w14:val="tx1"/>
            </w14:solidFill>
          </w14:textFill>
        </w:rPr>
        <w:t>篇。完成实验教学区级评估。</w:t>
      </w:r>
    </w:p>
    <w:p>
      <w:pPr>
        <w:pageBreakBefore w:val="0"/>
        <w:widowControl w:val="0"/>
        <w:kinsoku/>
        <w:wordWrap/>
        <w:overflowPunct/>
        <w:topLinePunct w:val="0"/>
        <w:autoSpaceDE/>
        <w:autoSpaceDN/>
        <w:bidi w:val="0"/>
        <w:snapToGrid w:val="0"/>
        <w:spacing w:line="540" w:lineRule="exact"/>
        <w:ind w:firstLine="536" w:firstLineChars="200"/>
        <w:textAlignment w:val="auto"/>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4.教育改革影响力进一步扩大：我校获“全国养成教育实验学校”、“国际行知赏识学校”、“语文教师专业化发展工程基地校”“乡村少年宫学校”乡村少年宫和关心下一代工作在《关爱明天》专题报道。</w:t>
      </w:r>
    </w:p>
    <w:p>
      <w:pPr>
        <w:pageBreakBefore w:val="0"/>
        <w:widowControl w:val="0"/>
        <w:kinsoku/>
        <w:wordWrap/>
        <w:overflowPunct/>
        <w:topLinePunct w:val="0"/>
        <w:autoSpaceDE/>
        <w:autoSpaceDN/>
        <w:bidi w:val="0"/>
        <w:adjustRightInd w:val="0"/>
        <w:snapToGrid w:val="0"/>
        <w:spacing w:line="540" w:lineRule="exact"/>
        <w:ind w:firstLine="536"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5.教师队伍进一步加强：</w:t>
      </w:r>
      <w:r>
        <w:rPr>
          <w:rFonts w:hint="eastAsia" w:ascii="仿宋" w:hAnsi="仿宋" w:eastAsia="仿宋"/>
          <w:color w:val="000000" w:themeColor="text1"/>
          <w:sz w:val="28"/>
          <w:szCs w:val="28"/>
          <w14:textFill>
            <w14:solidFill>
              <w14:schemeClr w14:val="tx1"/>
            </w14:solidFill>
          </w14:textFill>
        </w:rPr>
        <w:t>积极组织全体教职工参加政治学习和业务学习，提高思想政治水平。按时上下班，不迟到早退和旷课，关爱全体学生，不体罚和变相体罚学生，不收受家长的财物，严禁参与有偿补课，严格执行“十严十不准”，积极践行新时代中小学教师十项准则。在强化政治学习的同时，加强教师业务学习，每周一下午全体教师会时举行教师读书心得交流活动、外出培训报告等，做到学习有内容，学习有记录，树立终身学习理念和科学教育意识，实现自主发展，促进专业成长。自觉做到认真备课、认真上课、认真布置与批改作业、认真辅导、认真组织课外活动和学业考核；</w:t>
      </w:r>
      <w:r>
        <w:rPr>
          <w:rFonts w:hint="eastAsia" w:ascii="仿宋" w:hAnsi="仿宋" w:eastAsia="仿宋" w:cs="仿宋"/>
          <w:color w:val="000000" w:themeColor="text1"/>
          <w:spacing w:val="-6"/>
          <w:sz w:val="28"/>
          <w:szCs w:val="28"/>
          <w14:textFill>
            <w14:solidFill>
              <w14:schemeClr w14:val="tx1"/>
            </w14:solidFill>
          </w14:textFill>
        </w:rPr>
        <w:t>二是组织教师参加各级培训</w:t>
      </w:r>
      <w:r>
        <w:rPr>
          <w:rFonts w:ascii="仿宋" w:hAnsi="仿宋" w:eastAsia="仿宋" w:cs="仿宋"/>
          <w:color w:val="000000" w:themeColor="text1"/>
          <w:spacing w:val="-6"/>
          <w:sz w:val="28"/>
          <w:szCs w:val="28"/>
          <w14:textFill>
            <w14:solidFill>
              <w14:schemeClr w14:val="tx1"/>
            </w14:solidFill>
          </w14:textFill>
        </w:rPr>
        <w:t>35</w:t>
      </w:r>
      <w:r>
        <w:rPr>
          <w:rFonts w:hint="eastAsia" w:ascii="仿宋" w:hAnsi="仿宋" w:eastAsia="仿宋" w:cs="仿宋"/>
          <w:color w:val="000000" w:themeColor="text1"/>
          <w:spacing w:val="-6"/>
          <w:sz w:val="28"/>
          <w:szCs w:val="28"/>
          <w14:textFill>
            <w14:solidFill>
              <w14:schemeClr w14:val="tx1"/>
            </w14:solidFill>
          </w14:textFill>
        </w:rPr>
        <w:t>人次，指导教师参加网络培训</w:t>
      </w:r>
      <w:r>
        <w:rPr>
          <w:rFonts w:ascii="仿宋" w:hAnsi="仿宋" w:eastAsia="仿宋" w:cs="仿宋"/>
          <w:color w:val="000000" w:themeColor="text1"/>
          <w:spacing w:val="-6"/>
          <w:sz w:val="28"/>
          <w:szCs w:val="28"/>
          <w14:textFill>
            <w14:solidFill>
              <w14:schemeClr w14:val="tx1"/>
            </w14:solidFill>
          </w14:textFill>
        </w:rPr>
        <w:t>68</w:t>
      </w:r>
      <w:r>
        <w:rPr>
          <w:rFonts w:hint="eastAsia" w:ascii="仿宋" w:hAnsi="仿宋" w:eastAsia="仿宋" w:cs="仿宋"/>
          <w:color w:val="000000" w:themeColor="text1"/>
          <w:spacing w:val="-6"/>
          <w:sz w:val="28"/>
          <w:szCs w:val="28"/>
          <w14:textFill>
            <w14:solidFill>
              <w14:schemeClr w14:val="tx1"/>
            </w14:solidFill>
          </w14:textFill>
        </w:rPr>
        <w:t>余人次，提升了教师教育教学和科研能力。</w:t>
      </w:r>
    </w:p>
    <w:p>
      <w:pPr>
        <w:pageBreakBefore w:val="0"/>
        <w:widowControl w:val="0"/>
        <w:kinsoku/>
        <w:wordWrap/>
        <w:overflowPunct/>
        <w:topLinePunct w:val="0"/>
        <w:autoSpaceDE/>
        <w:autoSpaceDN/>
        <w:bidi w:val="0"/>
        <w:snapToGrid w:val="0"/>
        <w:spacing w:line="540" w:lineRule="exact"/>
        <w:ind w:firstLine="536" w:firstLineChars="200"/>
        <w:textAlignment w:val="auto"/>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6.办学条件进一步改善：一是向上争取专项资金130万元。总投资80万元完成教师周转宿舍改造：二是争取专项资金50万元，对教学楼、办公楼、实验楼、学生公寓进行了外墙维修。</w:t>
      </w:r>
    </w:p>
    <w:p>
      <w:pPr>
        <w:pageBreakBefore w:val="0"/>
        <w:widowControl w:val="0"/>
        <w:kinsoku/>
        <w:wordWrap/>
        <w:overflowPunct/>
        <w:topLinePunct w:val="0"/>
        <w:autoSpaceDE/>
        <w:autoSpaceDN/>
        <w:bidi w:val="0"/>
        <w:snapToGrid w:val="0"/>
        <w:spacing w:line="540" w:lineRule="exact"/>
        <w:ind w:firstLine="536" w:firstLineChars="200"/>
        <w:textAlignment w:val="auto"/>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7.脱贫攻坚扎实推进：我校获利州区表彰为“脱贫攻坚先进集体”。脱贫攻坚：情怀担当，认真做好教育扶贫工作。</w:t>
      </w:r>
    </w:p>
    <w:p>
      <w:pPr>
        <w:pageBreakBefore w:val="0"/>
        <w:widowControl w:val="0"/>
        <w:kinsoku/>
        <w:wordWrap/>
        <w:overflowPunct/>
        <w:topLinePunct w:val="0"/>
        <w:autoSpaceDE/>
        <w:autoSpaceDN/>
        <w:bidi w:val="0"/>
        <w:snapToGrid w:val="0"/>
        <w:spacing w:line="540" w:lineRule="exact"/>
        <w:ind w:firstLine="536" w:firstLineChars="200"/>
        <w:textAlignment w:val="auto"/>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一是准确掌握学校就读学生家庭基本信息，确保贫困学生档案规范、完备。二是大力营造教育扶贫工作氛围，构建学校、家庭、社会教育扶贫工作网络。充分利用校园班班通、主题班会、班级黑板报、电子显示屏滚动标语、致家长一封信等多种方式，把扶贫攻坚工作信息从学校延伸到家庭、社会。三是根据利州区城市脱贫工作安排，涉及城市脱贫的利州区12所学校，根据分工安排，及时做好信息完善上报，会员所在单位信息上报及时准确。四是加强控辍保学工作，不让一个孩子因家庭贫困失学。五是建立学校“阳光工作室”，精心开展精准扶贫户、家庭困难户学生心理辅导，促进其健康、快乐成长。六是创新学校助学工作思路，不断拓展助学扶贫工作渠道。组织全校师生开展了“一日工资捐资助学行动”“节约零花钱，我为贫困孩子献爱心”等活动，让学校脱贫攻坚工作迈上了新台阶。</w:t>
      </w:r>
    </w:p>
    <w:p>
      <w:pPr>
        <w:pageBreakBefore w:val="0"/>
        <w:widowControl w:val="0"/>
        <w:kinsoku/>
        <w:wordWrap/>
        <w:overflowPunct/>
        <w:topLinePunct w:val="0"/>
        <w:autoSpaceDE/>
        <w:autoSpaceDN/>
        <w:bidi w:val="0"/>
        <w:snapToGrid w:val="0"/>
        <w:spacing w:line="540" w:lineRule="exact"/>
        <w:ind w:firstLine="536" w:firstLineChars="200"/>
        <w:textAlignment w:val="auto"/>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8.安全管理工作进一步加强：全面落实安全工作“一岗双责”制，坚持校园及周边安全隐患整治长效机制，加强校园安全保卫，加强学生安全教育宣传，继续深入开展学生“平安度假”“平安回家”“三千教师暑假进万家大走访”和暑假教师“义务巡河”活动，加强学校、社会、家庭安全网络建设，假期学生实现零伤亡指标。我校被利州区教育局评为安全工作先进集体，市级平安校园。</w:t>
      </w:r>
    </w:p>
    <w:p>
      <w:pPr>
        <w:pStyle w:val="3"/>
        <w:pageBreakBefore w:val="0"/>
        <w:widowControl w:val="0"/>
        <w:kinsoku/>
        <w:wordWrap/>
        <w:overflowPunct/>
        <w:topLinePunct w:val="0"/>
        <w:autoSpaceDE/>
        <w:autoSpaceDN/>
        <w:bidi w:val="0"/>
        <w:snapToGrid w:val="0"/>
        <w:spacing w:before="0" w:after="0" w:line="540" w:lineRule="exact"/>
        <w:ind w:firstLine="560" w:firstLineChars="200"/>
        <w:textAlignment w:val="auto"/>
        <w:rPr>
          <w:rStyle w:val="20"/>
          <w:b w:val="0"/>
          <w:bCs w:val="0"/>
          <w:color w:val="000000" w:themeColor="text1"/>
          <w:sz w:val="28"/>
          <w:szCs w:val="28"/>
          <w14:textFill>
            <w14:solidFill>
              <w14:schemeClr w14:val="tx1"/>
            </w14:solidFill>
          </w14:textFill>
        </w:rPr>
      </w:pPr>
      <w:bookmarkStart w:id="23" w:name="_Toc15377200"/>
      <w:bookmarkStart w:id="24" w:name="_Toc19089863"/>
      <w:r>
        <w:rPr>
          <w:rFonts w:hint="eastAsia" w:ascii="黑体" w:eastAsia="黑体"/>
          <w:b w:val="0"/>
          <w:color w:val="000000" w:themeColor="text1"/>
          <w:sz w:val="28"/>
          <w:szCs w:val="28"/>
          <w14:textFill>
            <w14:solidFill>
              <w14:schemeClr w14:val="tx1"/>
            </w14:solidFill>
          </w14:textFill>
        </w:rPr>
        <w:t>二、</w:t>
      </w:r>
      <w:r>
        <w:rPr>
          <w:rFonts w:hint="eastAsia" w:ascii="黑体" w:hAnsi="黑体" w:eastAsia="黑体"/>
          <w:b w:val="0"/>
          <w:color w:val="000000" w:themeColor="text1"/>
          <w:sz w:val="28"/>
          <w:szCs w:val="28"/>
          <w14:textFill>
            <w14:solidFill>
              <w14:schemeClr w14:val="tx1"/>
            </w14:solidFill>
          </w14:textFill>
        </w:rPr>
        <w:t>机</w:t>
      </w:r>
      <w:r>
        <w:rPr>
          <w:rStyle w:val="20"/>
          <w:rFonts w:hint="eastAsia" w:ascii="黑体" w:hAnsi="黑体" w:eastAsia="黑体"/>
          <w:b w:val="0"/>
          <w:bCs w:val="0"/>
          <w:color w:val="000000" w:themeColor="text1"/>
          <w:sz w:val="28"/>
          <w:szCs w:val="28"/>
          <w14:textFill>
            <w14:solidFill>
              <w14:schemeClr w14:val="tx1"/>
            </w14:solidFill>
          </w14:textFill>
        </w:rPr>
        <w:t>构设置</w:t>
      </w:r>
      <w:bookmarkEnd w:id="23"/>
      <w:bookmarkEnd w:id="24"/>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广元市利州区工农小学下设内部管理部门9个</w:t>
      </w:r>
      <w:r>
        <w:rPr>
          <w:rFonts w:hint="eastAsia" w:ascii="仿宋" w:hAnsi="仿宋" w:eastAsia="仿宋"/>
          <w:color w:val="000000" w:themeColor="text1"/>
          <w:sz w:val="28"/>
          <w:szCs w:val="28"/>
          <w14:textFill>
            <w14:solidFill>
              <w14:schemeClr w14:val="tx1"/>
            </w14:solidFill>
          </w14:textFill>
        </w:rPr>
        <w:t>：</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办公室</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教务处</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德育处</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教科室</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安全管理办公室</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 工会</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 廉勤委</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 总务处</w:t>
      </w:r>
    </w:p>
    <w:p>
      <w:pPr>
        <w:pStyle w:val="4"/>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 团委（含少先队大队部）</w:t>
      </w:r>
    </w:p>
    <w:p>
      <w:pPr>
        <w:snapToGrid w:val="0"/>
        <w:spacing w:line="576" w:lineRule="exact"/>
        <w:ind w:firstLine="800" w:firstLineChars="250"/>
        <w:rPr>
          <w:rFonts w:ascii="仿宋" w:hAnsi="仿宋" w:eastAsia="仿宋" w:cs="仿宋"/>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rPr>
          <w:rFonts w:ascii="黑体" w:hAnsi="Times New Roman" w:eastAsia="黑体" w:cs="黑体"/>
          <w:color w:val="000000" w:themeColor="text1"/>
          <w14:textFill>
            <w14:solidFill>
              <w14:schemeClr w14:val="tx1"/>
            </w14:solidFill>
          </w14:textFill>
        </w:rPr>
      </w:pPr>
    </w:p>
    <w:bookmarkEnd w:id="0"/>
    <w:p>
      <w:pPr>
        <w:snapToGrid w:val="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广元市利州区工农小学</w:t>
      </w:r>
    </w:p>
    <w:p>
      <w:pPr>
        <w:snapToGrid w:val="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2019年度部门决算情况说明</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hAnsi="华文中宋" w:eastAsia="仿宋_GB2312" w:cs="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一、决算信息来源说明</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hAnsi="仿宋" w:eastAsia="仿宋_GB2312" w:cs="仿宋"/>
          <w:bCs/>
          <w:color w:val="000000" w:themeColor="text1"/>
          <w:sz w:val="28"/>
          <w:szCs w:val="28"/>
          <w14:textFill>
            <w14:solidFill>
              <w14:schemeClr w14:val="tx1"/>
            </w14:solidFill>
          </w14:textFill>
        </w:rPr>
      </w:pPr>
      <w:r>
        <w:rPr>
          <w:rFonts w:hint="eastAsia" w:ascii="仿宋_GB2312" w:hAnsi="仿宋" w:eastAsia="仿宋_GB2312" w:cs="仿宋"/>
          <w:bCs/>
          <w:color w:val="000000" w:themeColor="text1"/>
          <w:sz w:val="28"/>
          <w:szCs w:val="28"/>
          <w14:textFill>
            <w14:solidFill>
              <w14:schemeClr w14:val="tx1"/>
            </w14:solidFill>
          </w14:textFill>
        </w:rPr>
        <w:t>本套决算依据本单位登记完整、核对无误的账簿记录和其他有关会</w:t>
      </w:r>
      <w:r>
        <w:rPr>
          <w:rFonts w:hint="eastAsia" w:ascii="仿宋_GB2312" w:hAnsi="仿宋" w:eastAsia="仿宋_GB2312" w:cs="仿宋"/>
          <w:bCs/>
          <w:color w:val="000000" w:themeColor="text1"/>
          <w:spacing w:val="-6"/>
          <w:sz w:val="28"/>
          <w:szCs w:val="28"/>
          <w14:textFill>
            <w14:solidFill>
              <w14:schemeClr w14:val="tx1"/>
            </w14:solidFill>
          </w14:textFill>
        </w:rPr>
        <w:t>计核算资料编制，账证相符、账实相符、账表相符、表表相符，真实、准确、完整地反映了本单位预算执行结果和财务状况</w:t>
      </w:r>
      <w:r>
        <w:rPr>
          <w:rFonts w:hint="eastAsia" w:ascii="仿宋_GB2312" w:hAnsi="仿宋" w:eastAsia="仿宋_GB2312" w:cs="仿宋"/>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hAnsi="仿宋" w:eastAsia="仿宋_GB2312" w:cs="黑体"/>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（一）本套决算主表数据主要依据本单位会计账簿总账及明细账数据填列，预算数据依据本单位预、决算批复文件及预算调整文件填列。</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（二）本套决算附表数据主要依据本单位会计账簿、资产、人事台账及相关资料填列。</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二、决算编制基本情况</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hAnsi="仿宋" w:eastAsia="仿宋_GB2312" w:cs="仿宋"/>
          <w:bCs/>
          <w:color w:val="000000" w:themeColor="text1"/>
          <w:sz w:val="28"/>
          <w:szCs w:val="28"/>
          <w14:textFill>
            <w14:solidFill>
              <w14:schemeClr w14:val="tx1"/>
            </w14:solidFill>
          </w14:textFill>
        </w:rPr>
      </w:pPr>
      <w:r>
        <w:rPr>
          <w:rFonts w:hint="eastAsia" w:ascii="仿宋_GB2312" w:hAnsi="仿宋" w:eastAsia="仿宋_GB2312" w:cs="仿宋"/>
          <w:bCs/>
          <w:color w:val="000000" w:themeColor="text1"/>
          <w:sz w:val="28"/>
          <w:szCs w:val="28"/>
          <w14:textFill>
            <w14:solidFill>
              <w14:schemeClr w14:val="tx1"/>
            </w14:solidFill>
          </w14:textFill>
        </w:rPr>
        <w:t>本单位为广元市利州区工农小学所属二</w:t>
      </w:r>
      <w:r>
        <w:rPr>
          <w:rFonts w:hint="eastAsia" w:ascii="仿宋_GB2312" w:hAnsi="仿宋" w:eastAsia="仿宋_GB2312" w:cs="仿宋"/>
          <w:bCs/>
          <w:color w:val="000000" w:themeColor="text1"/>
          <w:spacing w:val="14"/>
          <w:sz w:val="28"/>
          <w:szCs w:val="28"/>
          <w14:textFill>
            <w14:solidFill>
              <w14:schemeClr w14:val="tx1"/>
            </w14:solidFill>
          </w14:textFill>
        </w:rPr>
        <w:t>预算单位，单位性质</w:t>
      </w:r>
      <w:r>
        <w:rPr>
          <w:rFonts w:hint="eastAsia" w:ascii="仿宋_GB2312" w:hAnsi="仿宋" w:eastAsia="仿宋_GB2312" w:cs="仿宋"/>
          <w:bCs/>
          <w:color w:val="000000" w:themeColor="text1"/>
          <w:sz w:val="28"/>
          <w:szCs w:val="28"/>
          <w14:textFill>
            <w14:solidFill>
              <w14:schemeClr w14:val="tx1"/>
            </w14:solidFill>
          </w14:textFill>
        </w:rPr>
        <w:t>为财政补助单位，决算编报类型为单户表，按照政府会计制度填报决算数据。纳入本套决算编制范围的独立核算单位共1个。在校生468人（其中幼儿学生数68人、小学学生数219人、初中生181。）我校年末在职教职工71人，退休教职工42人，保安3人，享受遗属补助4人。年末固定资产原值29728813.1.0元。</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三、基础数据核对情况</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ascii="楷体_GB2312" w:hAnsi="仿宋" w:eastAsia="楷体_GB2312" w:cs="仿宋"/>
          <w:b/>
          <w:color w:val="000000" w:themeColor="text1"/>
          <w:sz w:val="28"/>
          <w:szCs w:val="28"/>
          <w14:textFill>
            <w14:solidFill>
              <w14:schemeClr w14:val="tx1"/>
            </w14:solidFill>
          </w14:textFill>
        </w:rPr>
      </w:pPr>
      <w:r>
        <w:rPr>
          <w:rFonts w:hint="eastAsia" w:ascii="楷体_GB2312" w:hAnsi="仿宋" w:eastAsia="楷体_GB2312" w:cs="仿宋"/>
          <w:b/>
          <w:color w:val="000000" w:themeColor="text1"/>
          <w:sz w:val="28"/>
          <w:szCs w:val="28"/>
          <w14:textFill>
            <w14:solidFill>
              <w14:schemeClr w14:val="tx1"/>
            </w14:solidFill>
          </w14:textFill>
        </w:rPr>
        <w:t>（一）财政资金对账情况。</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ascii="仿宋_GB2312" w:hAnsi="仿宋" w:eastAsia="仿宋_GB2312" w:cs="Times New Roman"/>
          <w:b/>
          <w:color w:val="000000" w:themeColor="text1"/>
          <w:sz w:val="28"/>
          <w:szCs w:val="28"/>
          <w14:textFill>
            <w14:solidFill>
              <w14:schemeClr w14:val="tx1"/>
            </w14:solidFill>
          </w14:textFill>
        </w:rPr>
      </w:pPr>
      <w:r>
        <w:rPr>
          <w:rFonts w:hint="eastAsia" w:ascii="仿宋_GB2312" w:hAnsi="仿宋" w:eastAsia="仿宋_GB2312" w:cs="仿宋"/>
          <w:b/>
          <w:color w:val="000000" w:themeColor="text1"/>
          <w:sz w:val="28"/>
          <w:szCs w:val="28"/>
          <w14:textFill>
            <w14:solidFill>
              <w14:schemeClr w14:val="tx1"/>
            </w14:solidFill>
          </w14:textFill>
        </w:rPr>
        <w:t>1．财政拨款核对情况。</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（1）单位本年度实际收到的</w:t>
      </w:r>
      <w:r>
        <w:rPr>
          <w:rFonts w:hint="eastAsia" w:ascii="仿宋_GB2312" w:hAnsi="仿宋" w:eastAsia="仿宋_GB2312" w:cs="仿宋"/>
          <w:bCs/>
          <w:color w:val="000000" w:themeColor="text1"/>
          <w:sz w:val="28"/>
          <w:szCs w:val="28"/>
          <w14:textFill>
            <w14:solidFill>
              <w14:schemeClr w14:val="tx1"/>
            </w14:solidFill>
          </w14:textFill>
        </w:rPr>
        <w:t>一般</w:t>
      </w:r>
      <w:r>
        <w:rPr>
          <w:rFonts w:hint="eastAsia" w:ascii="仿宋_GB2312" w:hAnsi="仿宋" w:eastAsia="仿宋_GB2312" w:cs="仿宋"/>
          <w:color w:val="000000" w:themeColor="text1"/>
          <w:sz w:val="28"/>
          <w:szCs w:val="28"/>
          <w14:textFill>
            <w14:solidFill>
              <w14:schemeClr w14:val="tx1"/>
            </w14:solidFill>
          </w14:textFill>
        </w:rPr>
        <w:t>公共预算财政拨款收入</w:t>
      </w:r>
      <w:r>
        <w:rPr>
          <w:rFonts w:hint="eastAsia" w:ascii="仿宋_GB2312" w:hAnsi="仿宋" w:eastAsia="仿宋_GB2312" w:cs="Times New Roman"/>
          <w:color w:val="000000" w:themeColor="text1"/>
          <w:sz w:val="28"/>
          <w:szCs w:val="28"/>
          <w14:textFill>
            <w14:solidFill>
              <w14:schemeClr w14:val="tx1"/>
            </w14:solidFill>
          </w14:textFill>
        </w:rPr>
        <w:t>1270.95</w:t>
      </w:r>
      <w:r>
        <w:rPr>
          <w:rFonts w:hint="eastAsia" w:ascii="仿宋_GB2312" w:hAnsi="仿宋" w:eastAsia="仿宋_GB2312" w:cs="仿宋"/>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（2）单位本年度政府性基金预算财政拨款收入</w:t>
      </w:r>
      <w:r>
        <w:rPr>
          <w:rFonts w:hint="eastAsia" w:ascii="仿宋_GB2312" w:hAnsi="仿宋" w:eastAsia="仿宋_GB2312" w:cs="Times New Roman"/>
          <w:color w:val="000000" w:themeColor="text1"/>
          <w:sz w:val="28"/>
          <w:szCs w:val="28"/>
          <w14:textFill>
            <w14:solidFill>
              <w14:schemeClr w14:val="tx1"/>
            </w14:solidFill>
          </w14:textFill>
        </w:rPr>
        <w:t>3</w:t>
      </w:r>
      <w:r>
        <w:rPr>
          <w:rFonts w:hint="eastAsia" w:ascii="仿宋_GB2312" w:hAnsi="仿宋" w:eastAsia="仿宋_GB2312" w:cs="仿宋"/>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ascii="仿宋_GB2312" w:hAnsi="仿宋" w:eastAsia="仿宋_GB2312" w:cs="仿宋"/>
          <w:b/>
          <w:color w:val="000000" w:themeColor="text1"/>
          <w:sz w:val="28"/>
          <w:szCs w:val="28"/>
          <w14:textFill>
            <w14:solidFill>
              <w14:schemeClr w14:val="tx1"/>
            </w14:solidFill>
          </w14:textFill>
        </w:rPr>
      </w:pPr>
      <w:r>
        <w:rPr>
          <w:rFonts w:hint="eastAsia" w:ascii="仿宋_GB2312" w:hAnsi="仿宋" w:eastAsia="仿宋_GB2312" w:cs="仿宋"/>
          <w:b/>
          <w:color w:val="000000" w:themeColor="text1"/>
          <w:sz w:val="28"/>
          <w:szCs w:val="28"/>
          <w14:textFill>
            <w14:solidFill>
              <w14:schemeClr w14:val="tx1"/>
            </w14:solidFill>
          </w14:textFill>
        </w:rPr>
        <w:t>2．其他收入。</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hAnsi="仿宋" w:eastAsia="仿宋_GB2312" w:cs="仿宋"/>
          <w:bCs/>
          <w:color w:val="000000" w:themeColor="text1"/>
          <w:sz w:val="28"/>
          <w:szCs w:val="28"/>
          <w14:textFill>
            <w14:solidFill>
              <w14:schemeClr w14:val="tx1"/>
            </w14:solidFill>
          </w14:textFill>
        </w:rPr>
      </w:pPr>
      <w:r>
        <w:rPr>
          <w:rFonts w:hint="eastAsia" w:ascii="仿宋_GB2312" w:hAnsi="仿宋" w:eastAsia="仿宋_GB2312" w:cs="仿宋"/>
          <w:bCs/>
          <w:color w:val="000000" w:themeColor="text1"/>
          <w:sz w:val="28"/>
          <w:szCs w:val="28"/>
          <w14:textFill>
            <w14:solidFill>
              <w14:schemeClr w14:val="tx1"/>
            </w14:solidFill>
          </w14:textFill>
        </w:rPr>
        <w:t>（1）捐赠收入7.50万元。</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hAnsi="仿宋" w:eastAsia="仿宋_GB2312" w:cs="仿宋"/>
          <w:bCs/>
          <w:color w:val="000000" w:themeColor="text1"/>
          <w:sz w:val="28"/>
          <w:szCs w:val="28"/>
          <w14:textFill>
            <w14:solidFill>
              <w14:schemeClr w14:val="tx1"/>
            </w14:solidFill>
          </w14:textFill>
        </w:rPr>
      </w:pPr>
      <w:r>
        <w:rPr>
          <w:rFonts w:hint="eastAsia" w:ascii="仿宋_GB2312" w:hAnsi="仿宋" w:eastAsia="仿宋_GB2312" w:cs="仿宋"/>
          <w:bCs/>
          <w:color w:val="000000" w:themeColor="text1"/>
          <w:sz w:val="28"/>
          <w:szCs w:val="28"/>
          <w14:textFill>
            <w14:solidFill>
              <w14:schemeClr w14:val="tx1"/>
            </w14:solidFill>
          </w14:textFill>
        </w:rPr>
        <w:t>（2）课后服务费10.72万元。</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hAnsi="仿宋" w:eastAsia="仿宋_GB2312" w:cs="仿宋"/>
          <w:bCs/>
          <w:color w:val="000000" w:themeColor="text1"/>
          <w:sz w:val="28"/>
          <w:szCs w:val="28"/>
          <w14:textFill>
            <w14:solidFill>
              <w14:schemeClr w14:val="tx1"/>
            </w14:solidFill>
          </w14:textFill>
        </w:rPr>
      </w:pPr>
      <w:r>
        <w:rPr>
          <w:rFonts w:hint="eastAsia" w:ascii="仿宋_GB2312" w:hAnsi="仿宋" w:eastAsia="仿宋_GB2312" w:cs="仿宋"/>
          <w:bCs/>
          <w:color w:val="000000" w:themeColor="text1"/>
          <w:sz w:val="28"/>
          <w:szCs w:val="28"/>
          <w14:textFill>
            <w14:solidFill>
              <w14:schemeClr w14:val="tx1"/>
            </w14:solidFill>
          </w14:textFill>
        </w:rPr>
        <w:t>（3）学前教育保育费12.38万元。</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hAnsi="仿宋" w:eastAsia="仿宋_GB2312" w:cs="仿宋"/>
          <w:bCs/>
          <w:color w:val="000000" w:themeColor="text1"/>
          <w:sz w:val="28"/>
          <w:szCs w:val="28"/>
          <w14:textFill>
            <w14:solidFill>
              <w14:schemeClr w14:val="tx1"/>
            </w14:solidFill>
          </w14:textFill>
        </w:rPr>
      </w:pPr>
      <w:r>
        <w:rPr>
          <w:rFonts w:hint="eastAsia" w:ascii="仿宋_GB2312" w:hAnsi="仿宋" w:eastAsia="仿宋_GB2312" w:cs="仿宋"/>
          <w:bCs/>
          <w:color w:val="000000" w:themeColor="text1"/>
          <w:sz w:val="28"/>
          <w:szCs w:val="28"/>
          <w14:textFill>
            <w14:solidFill>
              <w14:schemeClr w14:val="tx1"/>
            </w14:solidFill>
          </w14:textFill>
        </w:rPr>
        <w:t>（4）银行存款利息收入0.07万元。</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ascii="楷体_GB2312" w:hAnsi="仿宋" w:eastAsia="楷体_GB2312" w:cs="仿宋"/>
          <w:b/>
          <w:color w:val="000000" w:themeColor="text1"/>
          <w:sz w:val="28"/>
          <w:szCs w:val="28"/>
          <w14:textFill>
            <w14:solidFill>
              <w14:schemeClr w14:val="tx1"/>
            </w14:solidFill>
          </w14:textFill>
        </w:rPr>
      </w:pPr>
      <w:r>
        <w:rPr>
          <w:rFonts w:hint="eastAsia" w:ascii="楷体_GB2312" w:hAnsi="仿宋" w:eastAsia="楷体_GB2312" w:cs="仿宋"/>
          <w:b/>
          <w:color w:val="000000" w:themeColor="text1"/>
          <w:sz w:val="28"/>
          <w:szCs w:val="28"/>
          <w14:textFill>
            <w14:solidFill>
              <w14:schemeClr w14:val="tx1"/>
            </w14:solidFill>
          </w14:textFill>
        </w:rPr>
        <w:t>（二）与上年主要指标变动情况说明。</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2019年总收入1304.62万元。与2018年相比（1274.38万元），总收入增加30.24万元，增涨2.37%（增涨原因：2019年指标增加，教师周转房项目资金80万元）。其中：一般公共预算财政拨款1270.95万元；政府性基金预算财政拨款3.00万元；其他收入30.67万元。</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2019年总支出1322.90万元。与2018年相比（1240.61万元），总支出增加82.29万元，增涨6.63%（增涨原因：2019年实施教师周转房项目资金）。其中：人员经费支出1008.96万元；日常公用经费支出201.67万元；项目支出112.27万元。</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3.2019年末结转和结余108.02万元。与2018年相比（126.31万元），年末结转和结余增加-18.29万元，增涨-14.48%（年末结转和结余减少原因：2018年校园维修改造项目20万元结转2019年实施完成）。</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ascii="楷体_GB2312" w:hAnsi="仿宋" w:eastAsia="楷体_GB2312" w:cs="仿宋"/>
          <w:b/>
          <w:color w:val="000000" w:themeColor="text1"/>
          <w:sz w:val="28"/>
          <w:szCs w:val="28"/>
          <w14:textFill>
            <w14:solidFill>
              <w14:schemeClr w14:val="tx1"/>
            </w14:solidFill>
          </w14:textFill>
        </w:rPr>
      </w:pPr>
      <w:bookmarkStart w:id="25" w:name="_Toc19089865"/>
      <w:bookmarkStart w:id="26" w:name="_Toc15377205"/>
      <w:r>
        <w:rPr>
          <w:rFonts w:hint="eastAsia" w:ascii="楷体_GB2312" w:hAnsi="仿宋" w:eastAsia="楷体_GB2312" w:cs="仿宋"/>
          <w:b/>
          <w:color w:val="000000" w:themeColor="text1"/>
          <w:sz w:val="28"/>
          <w:szCs w:val="28"/>
          <w14:textFill>
            <w14:solidFill>
              <w14:schemeClr w14:val="tx1"/>
            </w14:solidFill>
          </w14:textFill>
        </w:rPr>
        <w:t>（三）收入支出决算总体情况说明</w:t>
      </w:r>
      <w:bookmarkEnd w:id="25"/>
      <w:bookmarkEnd w:id="26"/>
      <w:r>
        <w:rPr>
          <w:rFonts w:hint="eastAsia" w:ascii="楷体_GB2312" w:hAnsi="仿宋" w:eastAsia="楷体_GB2312" w:cs="仿宋"/>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2019年总收入1304.62万元。其中：一般公共预算财政拨款1270.95万元；政府性基金预算财政拨款3.00万元；其他收入30.67万元。</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2019年总支出1322.90万元。</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般公共预算财政拨款总支出1289.23万元；工资福利支出915.68万元（其中：基本工资315.43万元；津贴补贴65.77万元；绩效工资192.24万元；机关事业单位基本养老保险缴费83.16万元；职业年金缴费1.62万元；职工基本医疗保险缴费</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39.64万元；其他社会保障缴费21.71万元；住房公积金61.44万元；其他工资福利支出134.67万元）。商品和服务支出259.52万元（其中：办公费9.45万元；印刷费1.6万元；咨询费3</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万元；手费0.35万元；水费</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5.45</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万元；电费</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4.89万元；邮电费1.46万元；差旅费3.79万元；维修（护）费</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116.4</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万元；培训费11.34万元；专用材料费1.98万元；劳务费75.31万元；工会经费11.78万元；福利费12.73万元</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）。对个人和家庭的补助114.03万元（其中：抚恤金10.21；生活补助71.92；助学金31.91）。</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政府性基金预算财政拨款总支出3万元。</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其他资本性支出30.67万元。</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br w:type="page"/>
      </w:r>
    </w:p>
    <w:p>
      <w:pPr>
        <w:numPr>
          <w:numId w:val="0"/>
        </w:numPr>
        <w:spacing w:line="600" w:lineRule="exact"/>
        <w:jc w:val="center"/>
        <w:outlineLvl w:val="0"/>
        <w:rPr>
          <w:rFonts w:ascii="黑体" w:hAnsi="黑体" w:eastAsia="黑体"/>
          <w:bCs/>
          <w:color w:val="000000" w:themeColor="text1"/>
          <w:kern w:val="44"/>
          <w:sz w:val="44"/>
          <w:szCs w:val="44"/>
          <w14:textFill>
            <w14:solidFill>
              <w14:schemeClr w14:val="tx1"/>
            </w14:solidFill>
          </w14:textFill>
        </w:rPr>
      </w:pPr>
      <w:bookmarkStart w:id="27" w:name="_Toc15377225"/>
      <w:bookmarkStart w:id="28" w:name="_Toc19089875"/>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第三部分</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名</w:t>
      </w:r>
      <w:r>
        <w:rPr>
          <w:rStyle w:val="21"/>
          <w:rFonts w:hint="eastAsia" w:ascii="方正小标宋简体" w:hAnsi="方正小标宋简体" w:eastAsia="方正小标宋简体" w:cs="方正小标宋简体"/>
          <w:b w:val="0"/>
          <w:bCs/>
          <w:color w:val="000000" w:themeColor="text1"/>
          <w14:textFill>
            <w14:solidFill>
              <w14:schemeClr w14:val="tx1"/>
            </w14:solidFill>
          </w14:textFill>
        </w:rPr>
        <w:t>词解释</w:t>
      </w:r>
      <w:bookmarkEnd w:id="27"/>
      <w:bookmarkEnd w:id="28"/>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1.财政拨款收入：指单位从同级财政部门取得的财政预算资金。</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2.事业收入：指事业单位开展专业业务活动及辅助活动取得的收入。</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3.经营收入：指事业单位在专业业务活动及其辅助活动之外开展非独立核算经营活动取得的收入。。</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 xml:space="preserve">4.其他收入：指单位取得的除上述收入以外的各项收入。主要是学前教育保育教育费收入、银行存款利息收入等。 </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 xml:space="preserve">6.年初结转和结余：指以前年度尚未完成、结转到本年按有关规定继续使用的资金。 </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7.结余分配：指事业单位按照事业单位会计制度的规定从非财政补助结余中分配的事业基金和职工福利基金等。</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8.年末结转和结余：指单位按有关规定结转到下年或以后年度继续使用的资金。</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9.教育支出（类）教育管理事务（款）行政运行（项）:反映教育行政单位（包括实行公务员管理的事业单位）的基本支出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10. 教育支出（类）教育管理事务（款）一般行政管理事务（项）:反映行政单位（包括实行公务</w:t>
      </w:r>
      <w:bookmarkStart w:id="47" w:name="_GoBack"/>
      <w:bookmarkEnd w:id="47"/>
      <w:r>
        <w:rPr>
          <w:rFonts w:hint="eastAsia" w:ascii="仿宋_GB2312" w:eastAsia="仿宋_GB2312"/>
          <w:b w:val="0"/>
          <w:bCs w:val="0"/>
          <w:color w:val="000000" w:themeColor="text1"/>
          <w:sz w:val="28"/>
          <w:szCs w:val="28"/>
          <w14:textFill>
            <w14:solidFill>
              <w14:schemeClr w14:val="tx1"/>
            </w14:solidFill>
          </w14:textFill>
        </w:rPr>
        <w:t>员管理的事业单位）未单独设置项级科目的其它项目支出。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11. 教育支出（类）教育管理事务（款）其它教育管理事务支出（项）:反映除上述项目以外其它用户教育管理事务方面的支出。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12. 教育支出（类）普通教育（款）学前教育（项）:反映各部门举办的学前教育支出。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13. 教育支出（类）普通教育（款）小学教育（项）:反映各部门举办的小学教育支出。政府各部门对社会中介组织等举办的小学的资助，如各类捐赠、补贴等，也在本科目中反映。</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14. 教育支出（类）普通教育（款）初中教育（项）: 反映各部门举办的初中教育支出。政府各部门对社会中介组织等举办的初中教育的资助，如捐赠、补贴等，也在本科目中反映。</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15. 教育支出（类）普通教育（款）高中教育（项）: 反映各部门举办的高级中学教育支出。政府各部门对社会中介组织等举办的高级中学的资助，如捐赠、补贴等，也在本科目中反映。</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16. 教育支出（类）普通教育（款）其它普通教育（项）: 反映除上述项目以外其他用于普通教育方面的支出。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17. 教育支出（类）职业教育（款）职业高中教育（项）: 反映各部门举办的职业中学、农业中学（含普通高中改制的）、半工（农）半读中学的支出或补助费</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18. 教育支出（类）职业教育（款）高等职业教育（项）:反映经国家批准设立的高等职业大学、专科职业教育等方面的支出。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19. 教育支出（类）特殊教育（款）特殊学校教育（项）: 指各部门举办的盲童学校、聋哑学校、智力落后儿童学校、其它生理缺陷儿童学校的支出。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20. 教育支出（类）特殊教育（款）工读学校教育（项）:指各部门举办的工读学校的支出。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21. 教育支出（类）教育附加费安排的支出（款）农村中小学校舍建设（项）:反映教育附加费安排用于农村中小学校舍新建、改建、修缮和维护的支出。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22. 教育支出（类）教育附加费安排的支出（款）城市中小学校舍建设（项）: 反映教育附加费安排用于城市中小学校舍新建、改建、修缮和维护的支出。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23. 教育支出（类）教育附加费安排的支出（款）其它教育附加费安排的支出（项）: 指除上述项目以外的教育附加费支出。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24. 教育支出（类）其它教育支出（款）其他教育支出（项）: 指上述项目以外其他用于教育方面的支出。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25. 社会保障和就业支出（类）行政事业单位离退休（款）机关事业单位基本养老保险缴费支出（项）: 指机关事业单位实施养老保险制度由单位缴纳的基本养老保险费支出。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26. 社会保障和就业支出（类）行政事业单位离退休（款）机关事业单位职业年金缴费支出（项）: 指机关事业单位实施养老保险制度由单位实际缴纳的职业年金支出。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27. 社会保障和就业支出（类）抚恤（款）死亡抚恤（项）: 指按规定用于烈士和牺牲、病故人员家属的一次性和定期抚恤金以及丧葬补助费。</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30. 农林水支出（类）扶贫（款）其它扶贫支出（项）: 指除上述项目以外其他用于扶贫方面的支出。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31. 住房保障支出（类）住房改革支出（款）住房公积金（项）: 指行政事业单位按人力资源和社会保障部、财政部规定的基本工资和津贴补贴以及规定比例为职工缴纳的住房公积金。</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32. 其他支出（类）其他支出（款）其他支出（项）: 指上述项目以外其他不能划分到具体功能科目中的支出项目。</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33.基本支出：指为保障机构正常运转、完成日常工作任务而发生的人员支出和公用支出。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 xml:space="preserve">34.项目支出：指在基本支出之外为完成特定行政任务和事业发展目标所发生的支出。 </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35.经营支出：指事业单位在专业业务活动及其辅助活动之外开展非独立核算经营活动发生的支出。</w:t>
      </w:r>
    </w:p>
    <w:p>
      <w:pPr>
        <w:pStyle w:val="22"/>
        <w:keepNext w:val="0"/>
        <w:keepLines w:val="0"/>
        <w:pageBreakBefore w:val="0"/>
        <w:widowControl w:val="0"/>
        <w:kinsoku/>
        <w:wordWrap/>
        <w:overflowPunct/>
        <w:topLinePunct w:val="0"/>
        <w:bidi w:val="0"/>
        <w:snapToGrid/>
        <w:spacing w:line="520" w:lineRule="exact"/>
        <w:ind w:firstLine="560" w:firstLineChars="200"/>
        <w:jc w:val="both"/>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（名词解释部分请根据各部门实际列支情况罗列，并根据本部门职责职能增减名词解释内容。）</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p>
    <w:p>
      <w:pPr>
        <w:ind w:firstLine="643" w:firstLineChars="200"/>
        <w:rPr>
          <w:rFonts w:ascii="仿宋" w:hAnsi="仿宋" w:eastAsia="仿宋"/>
          <w:b/>
          <w:color w:val="000000" w:themeColor="text1"/>
          <w:sz w:val="32"/>
          <w:szCs w:val="32"/>
          <w14:textFill>
            <w14:solidFill>
              <w14:schemeClr w14:val="tx1"/>
            </w14:solidFill>
          </w14:textFill>
        </w:rPr>
      </w:pPr>
    </w:p>
    <w:p>
      <w:pPr>
        <w:ind w:firstLine="643" w:firstLineChars="200"/>
        <w:rPr>
          <w:rFonts w:ascii="仿宋" w:hAnsi="仿宋" w:eastAsia="仿宋"/>
          <w:b/>
          <w:color w:val="000000" w:themeColor="text1"/>
          <w:sz w:val="32"/>
          <w:szCs w:val="32"/>
          <w14:textFill>
            <w14:solidFill>
              <w14:schemeClr w14:val="tx1"/>
            </w14:solidFill>
          </w14:textFill>
        </w:rPr>
      </w:pPr>
    </w:p>
    <w:p>
      <w:pPr>
        <w:spacing w:line="600" w:lineRule="exact"/>
        <w:outlineLvl w:val="0"/>
        <w:rPr>
          <w:rFonts w:ascii="黑体" w:hAnsi="黑体" w:eastAsia="黑体"/>
          <w:color w:val="000000" w:themeColor="text1"/>
          <w:sz w:val="44"/>
          <w:szCs w:val="44"/>
          <w14:textFill>
            <w14:solidFill>
              <w14:schemeClr w14:val="tx1"/>
            </w14:solidFill>
          </w14:textFill>
        </w:rPr>
      </w:pPr>
    </w:p>
    <w:p>
      <w:pPr>
        <w:ind w:left="420" w:leftChars="200"/>
        <w:rPr>
          <w:rFonts w:ascii="仿宋" w:hAnsi="仿宋" w:eastAsia="仿宋"/>
          <w:color w:val="000000" w:themeColor="text1"/>
          <w:sz w:val="32"/>
          <w:szCs w:val="32"/>
          <w14:textFill>
            <w14:solidFill>
              <w14:schemeClr w14:val="tx1"/>
            </w14:solidFill>
          </w14:textFill>
        </w:rPr>
      </w:pPr>
    </w:p>
    <w:p>
      <w:pPr>
        <w:rPr>
          <w:rFonts w:ascii="黑体" w:hAnsi="黑体" w:eastAsia="黑体" w:cs="Times New Roman"/>
          <w:color w:val="000000" w:themeColor="text1"/>
          <w:sz w:val="44"/>
          <w:szCs w:val="44"/>
          <w14:textFill>
            <w14:solidFill>
              <w14:schemeClr w14:val="tx1"/>
            </w14:solidFill>
          </w14:textFill>
        </w:rPr>
      </w:pPr>
      <w:r>
        <w:rPr>
          <w:rFonts w:hint="eastAsia" w:ascii="黑体" w:hAnsi="黑体" w:eastAsia="黑体" w:cs="Times New Roman"/>
          <w:color w:val="000000" w:themeColor="text1"/>
          <w:sz w:val="44"/>
          <w:szCs w:val="44"/>
          <w14:textFill>
            <w14:solidFill>
              <w14:schemeClr w14:val="tx1"/>
            </w14:solidFill>
          </w14:textFill>
        </w:rPr>
        <w:br w:type="page"/>
      </w:r>
    </w:p>
    <w:p>
      <w:pPr>
        <w:spacing w:line="600" w:lineRule="exact"/>
        <w:jc w:val="center"/>
        <w:outlineLvl w:val="0"/>
        <w:rPr>
          <w:rFonts w:hint="eastAsia" w:ascii="方正小标宋简体" w:hAnsi="方正小标宋简体" w:eastAsia="方正小标宋简体" w:cs="方正小标宋简体"/>
          <w:b w:val="0"/>
          <w:bCs w:val="0"/>
          <w:color w:val="000000" w:themeColor="text1"/>
          <w:kern w:val="44"/>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第</w:t>
      </w:r>
      <w:r>
        <w:rPr>
          <w:rFonts w:hint="eastAsia" w:ascii="方正小标宋简体" w:hAnsi="方正小标宋简体" w:eastAsia="方正小标宋简体" w:cs="方正小标宋简体"/>
          <w:b w:val="0"/>
          <w:bCs w:val="0"/>
          <w:color w:val="000000" w:themeColor="text1"/>
          <w:kern w:val="44"/>
          <w:sz w:val="44"/>
          <w:szCs w:val="44"/>
          <w14:textFill>
            <w14:solidFill>
              <w14:schemeClr w14:val="tx1"/>
            </w14:solidFill>
          </w14:textFill>
        </w:rPr>
        <w:t>四部分 附件</w:t>
      </w:r>
    </w:p>
    <w:p>
      <w:pPr>
        <w:widowControl/>
        <w:rPr>
          <w:rFonts w:ascii="仿宋" w:hAnsi="仿宋" w:eastAsia="仿宋" w:cs="Times New Roman"/>
          <w:color w:val="000000" w:themeColor="text1"/>
          <w:sz w:val="32"/>
          <w:szCs w:val="32"/>
          <w14:textFill>
            <w14:solidFill>
              <w14:schemeClr w14:val="tx1"/>
            </w14:solidFill>
          </w14:textFill>
        </w:rPr>
      </w:pPr>
      <w:bookmarkStart w:id="29" w:name="_Toc19089877"/>
      <w:r>
        <w:rPr>
          <w:rFonts w:hint="eastAsia" w:ascii="仿宋" w:hAnsi="仿宋" w:eastAsia="仿宋" w:cs="Times New Roman"/>
          <w:color w:val="000000" w:themeColor="text1"/>
          <w:kern w:val="44"/>
          <w:sz w:val="32"/>
          <w:szCs w:val="32"/>
          <w14:textFill>
            <w14:solidFill>
              <w14:schemeClr w14:val="tx1"/>
            </w14:solidFill>
          </w14:textFill>
        </w:rPr>
        <w:t>附件1</w:t>
      </w:r>
      <w:bookmarkEnd w:id="29"/>
    </w:p>
    <w:p>
      <w:pPr>
        <w:spacing w:line="600" w:lineRule="exact"/>
        <w:jc w:val="center"/>
        <w:outlineLvl w:val="0"/>
        <w:rPr>
          <w:rFonts w:hint="eastAsia" w:ascii="黑体" w:hAnsi="黑体" w:eastAsia="黑体" w:cs="黑体"/>
          <w:color w:val="000000" w:themeColor="text1"/>
          <w:sz w:val="36"/>
          <w:szCs w:val="36"/>
          <w14:textFill>
            <w14:solidFill>
              <w14:schemeClr w14:val="tx1"/>
            </w14:solidFill>
          </w14:textFill>
        </w:rPr>
      </w:pPr>
      <w:bookmarkStart w:id="30" w:name="_Toc19089878"/>
      <w:bookmarkStart w:id="31" w:name="_Toc15396616"/>
      <w:r>
        <w:rPr>
          <w:rFonts w:hint="eastAsia" w:ascii="黑体" w:hAnsi="黑体" w:eastAsia="黑体" w:cs="黑体"/>
          <w:color w:val="000000" w:themeColor="text1"/>
          <w:sz w:val="36"/>
          <w:szCs w:val="36"/>
          <w14:textFill>
            <w14:solidFill>
              <w14:schemeClr w14:val="tx1"/>
            </w14:solidFill>
          </w14:textFill>
        </w:rPr>
        <w:t>广元市利州区工农小学</w:t>
      </w:r>
    </w:p>
    <w:p>
      <w:pPr>
        <w:spacing w:line="600" w:lineRule="exact"/>
        <w:jc w:val="center"/>
        <w:outlineLvl w:val="0"/>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2019年部门整体支出</w:t>
      </w:r>
      <w:bookmarkEnd w:id="30"/>
      <w:bookmarkStart w:id="32" w:name="_Toc19089879"/>
      <w:r>
        <w:rPr>
          <w:rFonts w:hint="eastAsia" w:ascii="黑体" w:hAnsi="黑体" w:eastAsia="黑体" w:cs="黑体"/>
          <w:color w:val="000000" w:themeColor="text1"/>
          <w:sz w:val="36"/>
          <w:szCs w:val="36"/>
          <w14:textFill>
            <w14:solidFill>
              <w14:schemeClr w14:val="tx1"/>
            </w14:solidFill>
          </w14:textFill>
        </w:rPr>
        <w:t>绩效评价报告</w:t>
      </w:r>
      <w:bookmarkEnd w:id="31"/>
      <w:bookmarkEnd w:id="32"/>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p>
    <w:p>
      <w:pPr>
        <w:snapToGrid w:val="0"/>
        <w:spacing w:line="58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一、部门（单位）概况</w:t>
      </w:r>
    </w:p>
    <w:p>
      <w:pPr>
        <w:snapToGrid w:val="0"/>
        <w:spacing w:line="580" w:lineRule="exact"/>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（一）机构组成</w:t>
      </w:r>
    </w:p>
    <w:p>
      <w:pPr>
        <w:pStyle w:val="4"/>
        <w:adjustRightInd w:val="0"/>
        <w:snapToGrid w:val="0"/>
        <w:spacing w:beforeLines="0" w:line="580" w:lineRule="exact"/>
        <w:ind w:firstLine="588" w:firstLineChars="210"/>
        <w:rPr>
          <w:rFonts w:ascii="仿宋" w:hAnsi="仿宋" w:eastAsia="仿宋"/>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广元市利州区工农小学下设内部管理部门9个</w:t>
      </w:r>
      <w:r>
        <w:rPr>
          <w:rFonts w:hint="eastAsia" w:ascii="仿宋" w:hAnsi="仿宋" w:eastAsia="仿宋"/>
          <w:color w:val="000000" w:themeColor="text1"/>
          <w:sz w:val="28"/>
          <w:szCs w:val="28"/>
          <w14:textFill>
            <w14:solidFill>
              <w14:schemeClr w14:val="tx1"/>
            </w14:solidFill>
          </w14:textFill>
        </w:rPr>
        <w:t>：</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办公室、教务处、德育处、教科室、安全管理办公室、工会、廉勤委、总务处、团委（含少先队大队部）</w:t>
      </w:r>
    </w:p>
    <w:p>
      <w:pPr>
        <w:snapToGrid w:val="0"/>
        <w:spacing w:line="580" w:lineRule="exact"/>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（二）机构职能</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1．贯彻执行党和国家关于教育改革和发展的各项方针、政策，拟订全校教育事业发展规划和有关教育的规范性文件并组织实施；指导协调学校各部门的教育、教学体制改革。</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3．负责推进义务教育均衡发展和促进教育公平，负责义务教育的宏观指导与协调；指导学校全面实施素质教育；督促检查学校各类学校的办学标准、教学基本要求、教学基本条件的落实情况。</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4.促进基础教育发展，教育学生成长为德学兼备、思想端正的学生，让学生获得基本的基础知识，尽可能培养其自学能力。</w:t>
      </w:r>
    </w:p>
    <w:p>
      <w:pPr>
        <w:snapToGrid w:val="0"/>
        <w:spacing w:line="580" w:lineRule="exact"/>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（三）人员概况</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在校生468人（其中幼儿学生数68人、小学学生数219人、初中生181。）我校年末在职教职工71人，退休教职工42人，保安3人，享受遗属补助4人。</w:t>
      </w:r>
    </w:p>
    <w:p>
      <w:pPr>
        <w:snapToGrid w:val="0"/>
        <w:spacing w:line="58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二、总收入情况</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2019年总收入1304.62万元。其中：一般公共预算财政拨款1270.95万元；政府性基金预算财政拨款3.00万元；其他收入30.67万元。</w:t>
      </w:r>
    </w:p>
    <w:p>
      <w:pPr>
        <w:snapToGrid w:val="0"/>
        <w:spacing w:line="580" w:lineRule="exact"/>
        <w:ind w:firstLine="560" w:firstLineChars="200"/>
        <w:rPr>
          <w:rFonts w:ascii="黑体" w:hAnsi="黑体" w:eastAsia="黑体" w:cs="黑体"/>
          <w:color w:val="000000" w:themeColor="text1"/>
          <w:spacing w:val="-6"/>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三、部</w:t>
      </w:r>
      <w:r>
        <w:rPr>
          <w:rFonts w:hint="eastAsia" w:ascii="黑体" w:hAnsi="黑体" w:eastAsia="黑体" w:cs="黑体"/>
          <w:color w:val="000000" w:themeColor="text1"/>
          <w:spacing w:val="-6"/>
          <w:sz w:val="28"/>
          <w:szCs w:val="28"/>
          <w14:textFill>
            <w14:solidFill>
              <w14:schemeClr w14:val="tx1"/>
            </w14:solidFill>
          </w14:textFill>
        </w:rPr>
        <w:t>门整体预算绩效管理情况（根据适用指标体系进行调整）</w:t>
      </w:r>
    </w:p>
    <w:p>
      <w:pPr>
        <w:snapToGrid w:val="0"/>
        <w:spacing w:line="580" w:lineRule="exact"/>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（一）部门预算管理</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1.部门绩效目标制定</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（1）部门绩效目标充分考虑到各项资金的使用内容、范围、方向和预期效果，符合国民经济和社会发展规划，符合部门职能及事业发展规划。</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（2）部门绩效目标从数量、质量、成本、时效以及经济效益、社会效益、生态效益、可持续影响、满意度等方面进行了细化和定量表述，具有可衡量性。</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（3）绩效目标的设定经过了调查研究和科学论证，符合客观实际，能够在一定期限内如期实现。</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（4）绩效目标相关指标设定与预算安排金额相对应，未超预算安排资金。</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2.预算编制和执行</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（1）部门预算报送时间严格按照财政部门预算编制要求的时间及时报送部门预算。预算编制完整、准确，基础信息和科目使用准确。</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（2）严格执行预算，执行中一般不调整预算项目。年度预算收支平衡，人员支出按时间表进度执行，无挪用情况，完成部门经济和社会事业发展职能职责。</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（4）按时送部门决算，决算数据真实准确、帐表一致，部门决算编制人员与供养人员系统一致。</w:t>
      </w:r>
    </w:p>
    <w:p>
      <w:pPr>
        <w:snapToGrid w:val="0"/>
        <w:spacing w:line="580" w:lineRule="exact"/>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（二）专项预算管理。</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1.专项预算编制情况</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2.专项预算执行</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pStyle w:val="4"/>
        <w:adjustRightInd w:val="0"/>
        <w:snapToGrid w:val="0"/>
        <w:spacing w:beforeLines="0" w:line="58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四、评价结论及建议</w:t>
      </w:r>
    </w:p>
    <w:p>
      <w:pPr>
        <w:snapToGrid w:val="0"/>
        <w:spacing w:line="580" w:lineRule="exact"/>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（一）评价结论</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snapToGrid w:val="0"/>
        <w:spacing w:line="580" w:lineRule="exact"/>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（二）存在问题</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预算追加经费数额大，下达时间比较晚，个别大型的项目资金执行时间比较长，造成预算执行率偏差。</w:t>
      </w:r>
    </w:p>
    <w:p>
      <w:pPr>
        <w:snapToGrid w:val="0"/>
        <w:spacing w:line="580" w:lineRule="exact"/>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（三）改进建议</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1.进一步完善各类项目支出的支出标准，严格按项目和进度执行预算，增强预算的约束力和严肃性。</w:t>
      </w:r>
    </w:p>
    <w:p>
      <w:pPr>
        <w:pStyle w:val="4"/>
        <w:adjustRightInd w:val="0"/>
        <w:snapToGrid w:val="0"/>
        <w:spacing w:beforeLines="0" w:line="5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2.落实预算执行分析，及时了解预算执行差异，合理调整、纠正预算执行偏差，切实提高部门预算收支管理水平。</w:t>
      </w:r>
    </w:p>
    <w:p>
      <w:pPr>
        <w:snapToGrid w:val="0"/>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napToGrid w:val="0"/>
        <w:spacing w:line="360" w:lineRule="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snapToGrid w:val="0"/>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广元市利州区工农小学</w:t>
      </w:r>
    </w:p>
    <w:p>
      <w:pPr>
        <w:snapToGrid w:val="0"/>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课后服务资金管理使用办法</w:t>
      </w:r>
    </w:p>
    <w:p>
      <w:pPr>
        <w:snapToGrid w:val="0"/>
        <w:spacing w:line="560" w:lineRule="exact"/>
        <w:rPr>
          <w:rFonts w:ascii="宋体" w:hAnsi="宋体" w:cs="宋体"/>
          <w:color w:val="000000" w:themeColor="text1"/>
          <w:sz w:val="30"/>
          <w:szCs w:val="30"/>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520" w:lineRule="exact"/>
        <w:jc w:val="center"/>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 总  则</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为加强和规范我校课后服务资金管理，根据《四川 省教育厅关于做好中小学生课后服务工作的实施意见》（川教 〔2019〕11 号）、《广元市发展和改革委员会 广元市教育局关于进一步规范公办中小学服务性收费和代收费管理工作的通知》（广发改〔2019〕305 号）以及《广元市利州区教育局关于印发《广元市利州区课后服务资金管理 使用办法》的通知》（广利教发〔2019〕78 号），结合我校实际，制定本办法。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本办法适用于我校开展课后服务后自行收取和上级财政部门补贴的专项课后服务资金。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课后服务资金的收取、分配、使用、管理应当坚持 以下原则： </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自愿选择和非营利原则；</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公益普惠和公开服务原则； </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突出绩效，按劳分配原则；</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专款专用，专账管理原则；</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（五）主动接受监督，规范管理原则。</w:t>
      </w:r>
      <w:r>
        <w:rPr>
          <w:rFonts w:ascii="宋体" w:hAnsi="宋体" w:cs="宋体"/>
          <w:color w:val="000000" w:themeColor="text1"/>
          <w:sz w:val="28"/>
          <w:szCs w:val="28"/>
          <w14:textFill>
            <w14:solidFill>
              <w14:schemeClr w14:val="tx1"/>
            </w14:solidFill>
          </w14:textFill>
        </w:rPr>
        <w:t xml:space="preserve"> </w:t>
      </w:r>
    </w:p>
    <w:p>
      <w:pPr>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520" w:lineRule="exact"/>
        <w:jc w:val="center"/>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 资金的收取归集</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学校每学年初将工作方案报教育主管部门审核备案后按备案收费标准进行收费，备案标准不得高于发改部门批复的最高限价，鼓励学校在确保服务教师取得合理薪酬及保障其他课后服务必要支出的基础上适当降低收费标准，切实减轻人民群众负担。课后服务试行期间可先开展服务，待备案批准后再收取相关费用。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课后服务对象是本校在读的学生，优先保障残疾儿 童、留守儿童、进城务工人员随迁子女、家庭经济困难儿童和中 低年级学生等亟需服务群体，对家庭经济困难的学生要减免费用，其中对农村建档立卡贫困家庭学生全额免收课后服务费，对其他贫困家庭学生减半收取。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学校自行收取的课后服务费和上级财政部门补贴 的专项课后服务资金，学校应在总账内设立专账进行核算，确保专款专用。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学校收取的课后服务费应及时存入学校基本账户， 严禁坐收坐支，不得形成账外账和小金库。 </w:t>
      </w:r>
    </w:p>
    <w:p>
      <w:pPr>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520" w:lineRule="exact"/>
        <w:jc w:val="center"/>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 资金的使用管理</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学校课后服务工作方案须通过学校“三重一大”程序集体研究决定，特别是教师劳务报酬分配方案要充分听取学校教师意见，突出资金使用绩效，充分体现课后服务中教师多劳多得、少劳少得、不劳不得的按劳分配原则。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课后服务专项资金仅限用于参与课后服务教师的 劳务报酬、课后服务期间的水电、相关教学、活动所需耗材等支出，不得用于其他支出。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标准班额每课时劳务报酬严格按照上级文件要求执行，每节课按不高于90元测算：30 人及以下班额每课时均按不高于50元测算，特色专业社团专业教师薪酬根据学校实际情况确定。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参与课后服务的管理人员、班主任教师负责组织 协调学生走班上课及安全保障，每周可折算 1-2 课时，专职管理人员劳务报酬不得高于本校班主任平均数。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小微学校及减免家庭经济困难学生课后服务费用较多的学校，其专项资金不能保障课后服务正常开展的，可以用公用经费适当弥补，上级财政部门有课后服务专项资金补贴时，应向其适当倾斜。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每学期结束时，学校应对本期课后服务资金使用 情况进行清算，结余资金在本期收费总额5%以内的可以在下学 期收费时抵扣少收，结余资金超过本期收费总额5%的，应退还学生家长。课后服务资金使用情况，学校应在每学期结束清算后及时在校务公开栏进行公示，接受社会公开监督。</w:t>
      </w:r>
    </w:p>
    <w:p>
      <w:pPr>
        <w:keepNext w:val="0"/>
        <w:keepLines w:val="0"/>
        <w:pageBreakBefore w:val="0"/>
        <w:widowControl w:val="0"/>
        <w:numPr>
          <w:ilvl w:val="0"/>
          <w:numId w:val="2"/>
        </w:numPr>
        <w:kinsoku/>
        <w:wordWrap/>
        <w:overflowPunct/>
        <w:topLinePunct w:val="0"/>
        <w:autoSpaceDE/>
        <w:autoSpaceDN/>
        <w:bidi w:val="0"/>
        <w:adjustRightInd/>
        <w:snapToGrid w:val="0"/>
        <w:spacing w:before="312" w:beforeLines="100" w:after="312" w:afterLines="100" w:line="520" w:lineRule="exact"/>
        <w:jc w:val="center"/>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 资金的监督检查</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课后服务资金依法接受学校廉勤委、工会的监督，对资金收取、使用等各个环节全程监督。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学年度结束后，学校向主管部门申报下学年度课 后服务工作实施方案时，应上报上学年度课后服务资金使用情况 财务报表，主动接受监督。同时学校应当在当年的教职工代表大会上向教职工代表汇报资金使用情况，并接受代表的审议。 </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对课后服务资金在使用过程中存在的违法违纪 行为，将依照《财政违法行为处罚处分条例》等法律法规依法处 理；涉嫌犯罪的，移送司法机关。 </w:t>
      </w:r>
    </w:p>
    <w:p>
      <w:pPr>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520" w:lineRule="exact"/>
        <w:jc w:val="center"/>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 附  则</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本办法自发布之日起施行，有效期三年。</w:t>
      </w:r>
    </w:p>
    <w:p>
      <w:pPr>
        <w:ind w:left="420" w:leftChars="200"/>
        <w:rPr>
          <w:rFonts w:ascii="宋体" w:hAnsi="宋体" w:cs="宋体"/>
          <w:color w:val="000000" w:themeColor="text1"/>
          <w:sz w:val="32"/>
          <w:szCs w:val="32"/>
          <w14:textFill>
            <w14:solidFill>
              <w14:schemeClr w14:val="tx1"/>
            </w14:solidFill>
          </w14:textFill>
        </w:rPr>
      </w:pPr>
    </w:p>
    <w:p>
      <w:pPr>
        <w:ind w:left="420" w:leftChars="200"/>
        <w:rPr>
          <w:rFonts w:ascii="宋体" w:hAnsi="宋体" w:cs="宋体"/>
          <w:color w:val="000000" w:themeColor="text1"/>
          <w:sz w:val="32"/>
          <w:szCs w:val="32"/>
          <w14:textFill>
            <w14:solidFill>
              <w14:schemeClr w14:val="tx1"/>
            </w14:solidFill>
          </w14:textFill>
        </w:rPr>
      </w:pPr>
    </w:p>
    <w:p>
      <w:pPr>
        <w:ind w:left="420" w:leftChars="200"/>
        <w:rPr>
          <w:rFonts w:ascii="宋体" w:hAnsi="宋体" w:cs="宋体"/>
          <w:color w:val="000000" w:themeColor="text1"/>
          <w:sz w:val="32"/>
          <w:szCs w:val="32"/>
          <w14:textFill>
            <w14:solidFill>
              <w14:schemeClr w14:val="tx1"/>
            </w14:solidFill>
          </w14:textFill>
        </w:rPr>
      </w:pPr>
    </w:p>
    <w:p>
      <w:pPr>
        <w:ind w:left="420" w:leftChars="200"/>
        <w:rPr>
          <w:rFonts w:ascii="宋体" w:hAnsi="宋体" w:cs="宋体"/>
          <w:color w:val="000000" w:themeColor="text1"/>
          <w:sz w:val="32"/>
          <w:szCs w:val="32"/>
          <w14:textFill>
            <w14:solidFill>
              <w14:schemeClr w14:val="tx1"/>
            </w14:solidFill>
          </w14:textFill>
        </w:rPr>
      </w:pPr>
    </w:p>
    <w:p>
      <w:pPr>
        <w:ind w:left="420" w:leftChars="200"/>
        <w:rPr>
          <w:rFonts w:ascii="宋体" w:hAnsi="宋体" w:cs="宋体"/>
          <w:color w:val="000000" w:themeColor="text1"/>
          <w:sz w:val="32"/>
          <w:szCs w:val="32"/>
          <w14:textFill>
            <w14:solidFill>
              <w14:schemeClr w14:val="tx1"/>
            </w14:solidFill>
          </w14:textFill>
        </w:rPr>
      </w:pPr>
    </w:p>
    <w:p>
      <w:pPr>
        <w:spacing w:line="600" w:lineRule="exact"/>
        <w:jc w:val="center"/>
        <w:outlineLvl w:val="0"/>
        <w:rPr>
          <w:rStyle w:val="21"/>
          <w:rFonts w:hint="eastAsia" w:ascii="方正小标宋简体" w:hAnsi="方正小标宋简体" w:eastAsia="方正小标宋简体" w:cs="方正小标宋简体"/>
          <w:b w:val="0"/>
          <w:color w:val="000000" w:themeColor="text1"/>
          <w14:textFill>
            <w14:solidFill>
              <w14:schemeClr w14:val="tx1"/>
            </w14:solidFill>
          </w14:textFill>
        </w:rPr>
      </w:pPr>
      <w:bookmarkStart w:id="33" w:name="_Toc19089885"/>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w:t>
      </w:r>
      <w:r>
        <w:rPr>
          <w:rStyle w:val="21"/>
          <w:rFonts w:hint="eastAsia" w:ascii="方正小标宋简体" w:hAnsi="方正小标宋简体" w:eastAsia="方正小标宋简体" w:cs="方正小标宋简体"/>
          <w:b w:val="0"/>
          <w:color w:val="000000" w:themeColor="text1"/>
          <w14:textFill>
            <w14:solidFill>
              <w14:schemeClr w14:val="tx1"/>
            </w14:solidFill>
          </w14:textFill>
        </w:rPr>
        <w:t>五部分 附表</w:t>
      </w:r>
      <w:bookmarkEnd w:id="33"/>
    </w:p>
    <w:p>
      <w:pPr>
        <w:pStyle w:val="3"/>
        <w:snapToGrid w:val="0"/>
        <w:spacing w:before="0" w:after="0" w:line="360" w:lineRule="auto"/>
        <w:ind w:firstLine="640" w:firstLineChars="200"/>
        <w:rPr>
          <w:rFonts w:ascii="仿宋" w:hAnsi="仿宋" w:eastAsia="仿宋"/>
          <w:b w:val="0"/>
          <w:color w:val="000000" w:themeColor="text1"/>
          <w14:textFill>
            <w14:solidFill>
              <w14:schemeClr w14:val="tx1"/>
            </w14:solidFill>
          </w14:textFill>
        </w:rPr>
      </w:pPr>
      <w:bookmarkStart w:id="34" w:name="_Toc19089886"/>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一、收</w:t>
      </w:r>
      <w:r>
        <w:rPr>
          <w:rStyle w:val="20"/>
          <w:rFonts w:hint="eastAsia" w:ascii="仿宋" w:hAnsi="仿宋" w:eastAsia="仿宋"/>
          <w:b w:val="0"/>
          <w:bCs w:val="0"/>
          <w:color w:val="000000" w:themeColor="text1"/>
          <w:sz w:val="28"/>
          <w:szCs w:val="28"/>
          <w14:textFill>
            <w14:solidFill>
              <w14:schemeClr w14:val="tx1"/>
            </w14:solidFill>
          </w14:textFill>
        </w:rPr>
        <w:t>入支出决算总表</w:t>
      </w:r>
      <w:bookmarkEnd w:id="34"/>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color w:val="000000" w:themeColor="text1"/>
          <w:sz w:val="28"/>
          <w:szCs w:val="28"/>
          <w14:textFill>
            <w14:solidFill>
              <w14:schemeClr w14:val="tx1"/>
            </w14:solidFill>
          </w14:textFill>
        </w:rPr>
      </w:pPr>
      <w:bookmarkStart w:id="35" w:name="_Toc19089887"/>
      <w:r>
        <w:rPr>
          <w:rFonts w:hint="eastAsia" w:ascii="仿宋" w:hAnsi="仿宋" w:eastAsia="仿宋"/>
          <w:b w:val="0"/>
          <w:color w:val="000000" w:themeColor="text1"/>
          <w:sz w:val="28"/>
          <w:szCs w:val="28"/>
          <w14:textFill>
            <w14:solidFill>
              <w14:schemeClr w14:val="tx1"/>
            </w14:solidFill>
          </w14:textFill>
        </w:rPr>
        <w:t>二、收</w:t>
      </w:r>
      <w:r>
        <w:rPr>
          <w:rStyle w:val="20"/>
          <w:rFonts w:hint="eastAsia" w:ascii="仿宋" w:hAnsi="仿宋" w:eastAsia="仿宋"/>
          <w:b w:val="0"/>
          <w:bCs w:val="0"/>
          <w:color w:val="000000" w:themeColor="text1"/>
          <w:sz w:val="28"/>
          <w:szCs w:val="28"/>
          <w14:textFill>
            <w14:solidFill>
              <w14:schemeClr w14:val="tx1"/>
            </w14:solidFill>
          </w14:textFill>
        </w:rPr>
        <w:t>入总表</w:t>
      </w:r>
      <w:bookmarkEnd w:id="35"/>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color w:val="000000" w:themeColor="text1"/>
          <w:sz w:val="28"/>
          <w:szCs w:val="28"/>
          <w14:textFill>
            <w14:solidFill>
              <w14:schemeClr w14:val="tx1"/>
            </w14:solidFill>
          </w14:textFill>
        </w:rPr>
      </w:pPr>
      <w:bookmarkStart w:id="36" w:name="_Toc19089888"/>
      <w:r>
        <w:rPr>
          <w:rStyle w:val="20"/>
          <w:rFonts w:hint="eastAsia" w:ascii="仿宋" w:hAnsi="仿宋" w:eastAsia="仿宋"/>
          <w:b w:val="0"/>
          <w:bCs w:val="0"/>
          <w:color w:val="000000" w:themeColor="text1"/>
          <w:sz w:val="28"/>
          <w:szCs w:val="28"/>
          <w14:textFill>
            <w14:solidFill>
              <w14:schemeClr w14:val="tx1"/>
            </w14:solidFill>
          </w14:textFill>
        </w:rPr>
        <w:t>三、</w:t>
      </w:r>
      <w:r>
        <w:rPr>
          <w:rFonts w:hint="eastAsia" w:ascii="仿宋" w:hAnsi="仿宋" w:eastAsia="仿宋"/>
          <w:b w:val="0"/>
          <w:color w:val="000000" w:themeColor="text1"/>
          <w:sz w:val="28"/>
          <w:szCs w:val="28"/>
          <w14:textFill>
            <w14:solidFill>
              <w14:schemeClr w14:val="tx1"/>
            </w14:solidFill>
          </w14:textFill>
        </w:rPr>
        <w:t>支</w:t>
      </w:r>
      <w:r>
        <w:rPr>
          <w:rStyle w:val="20"/>
          <w:rFonts w:hint="eastAsia" w:ascii="仿宋" w:hAnsi="仿宋" w:eastAsia="仿宋"/>
          <w:b w:val="0"/>
          <w:bCs w:val="0"/>
          <w:color w:val="000000" w:themeColor="text1"/>
          <w:sz w:val="28"/>
          <w:szCs w:val="28"/>
          <w14:textFill>
            <w14:solidFill>
              <w14:schemeClr w14:val="tx1"/>
            </w14:solidFill>
          </w14:textFill>
        </w:rPr>
        <w:t>出总表</w:t>
      </w:r>
      <w:bookmarkEnd w:id="36"/>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b w:val="0"/>
          <w:color w:val="000000" w:themeColor="text1"/>
          <w:sz w:val="28"/>
          <w:szCs w:val="28"/>
          <w14:textFill>
            <w14:solidFill>
              <w14:schemeClr w14:val="tx1"/>
            </w14:solidFill>
          </w14:textFill>
        </w:rPr>
      </w:pPr>
      <w:bookmarkStart w:id="37" w:name="_Toc19089889"/>
      <w:r>
        <w:rPr>
          <w:rStyle w:val="20"/>
          <w:rFonts w:hint="eastAsia" w:ascii="仿宋" w:hAnsi="仿宋" w:eastAsia="仿宋"/>
          <w:b w:val="0"/>
          <w:bCs w:val="0"/>
          <w:color w:val="000000" w:themeColor="text1"/>
          <w:sz w:val="28"/>
          <w:szCs w:val="28"/>
          <w14:textFill>
            <w14:solidFill>
              <w14:schemeClr w14:val="tx1"/>
            </w14:solidFill>
          </w14:textFill>
        </w:rPr>
        <w:t>四、</w:t>
      </w:r>
      <w:r>
        <w:rPr>
          <w:rFonts w:hint="eastAsia" w:ascii="仿宋" w:hAnsi="仿宋" w:eastAsia="仿宋"/>
          <w:b w:val="0"/>
          <w:color w:val="000000" w:themeColor="text1"/>
          <w:sz w:val="28"/>
          <w:szCs w:val="28"/>
          <w14:textFill>
            <w14:solidFill>
              <w14:schemeClr w14:val="tx1"/>
            </w14:solidFill>
          </w14:textFill>
        </w:rPr>
        <w:t>财</w:t>
      </w:r>
      <w:r>
        <w:rPr>
          <w:rStyle w:val="20"/>
          <w:rFonts w:hint="eastAsia" w:ascii="仿宋" w:hAnsi="仿宋" w:eastAsia="仿宋"/>
          <w:b w:val="0"/>
          <w:bCs w:val="0"/>
          <w:color w:val="000000" w:themeColor="text1"/>
          <w:sz w:val="28"/>
          <w:szCs w:val="28"/>
          <w14:textFill>
            <w14:solidFill>
              <w14:schemeClr w14:val="tx1"/>
            </w14:solidFill>
          </w14:textFill>
        </w:rPr>
        <w:t>政拨款收入支出决算总表</w:t>
      </w:r>
      <w:bookmarkEnd w:id="37"/>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color w:val="000000" w:themeColor="text1"/>
          <w:sz w:val="28"/>
          <w:szCs w:val="28"/>
          <w14:textFill>
            <w14:solidFill>
              <w14:schemeClr w14:val="tx1"/>
            </w14:solidFill>
          </w14:textFill>
        </w:rPr>
      </w:pPr>
      <w:bookmarkStart w:id="38" w:name="_Toc19089890"/>
      <w:r>
        <w:rPr>
          <w:rStyle w:val="20"/>
          <w:rFonts w:hint="eastAsia" w:ascii="仿宋" w:hAnsi="仿宋" w:eastAsia="仿宋"/>
          <w:b w:val="0"/>
          <w:bCs w:val="0"/>
          <w:color w:val="000000" w:themeColor="text1"/>
          <w:sz w:val="28"/>
          <w:szCs w:val="28"/>
          <w14:textFill>
            <w14:solidFill>
              <w14:schemeClr w14:val="tx1"/>
            </w14:solidFill>
          </w14:textFill>
        </w:rPr>
        <w:t>五、</w:t>
      </w:r>
      <w:r>
        <w:rPr>
          <w:rFonts w:hint="eastAsia" w:ascii="仿宋" w:hAnsi="仿宋" w:eastAsia="仿宋"/>
          <w:b w:val="0"/>
          <w:color w:val="000000" w:themeColor="text1"/>
          <w:sz w:val="28"/>
          <w:szCs w:val="28"/>
          <w14:textFill>
            <w14:solidFill>
              <w14:schemeClr w14:val="tx1"/>
            </w14:solidFill>
          </w14:textFill>
        </w:rPr>
        <w:t>财</w:t>
      </w:r>
      <w:r>
        <w:rPr>
          <w:rStyle w:val="20"/>
          <w:rFonts w:hint="eastAsia" w:ascii="仿宋" w:hAnsi="仿宋" w:eastAsia="仿宋"/>
          <w:b w:val="0"/>
          <w:bCs w:val="0"/>
          <w:color w:val="000000" w:themeColor="text1"/>
          <w:sz w:val="28"/>
          <w:szCs w:val="28"/>
          <w14:textFill>
            <w14:solidFill>
              <w14:schemeClr w14:val="tx1"/>
            </w14:solidFill>
          </w14:textFill>
        </w:rPr>
        <w:t>政拨款支出决算明细表（政府经济分类科目）</w:t>
      </w:r>
      <w:bookmarkEnd w:id="38"/>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color w:val="000000" w:themeColor="text1"/>
          <w:sz w:val="28"/>
          <w:szCs w:val="28"/>
          <w14:textFill>
            <w14:solidFill>
              <w14:schemeClr w14:val="tx1"/>
            </w14:solidFill>
          </w14:textFill>
        </w:rPr>
      </w:pPr>
      <w:bookmarkStart w:id="39" w:name="_Toc19089891"/>
      <w:r>
        <w:rPr>
          <w:rStyle w:val="20"/>
          <w:rFonts w:hint="eastAsia" w:ascii="仿宋" w:hAnsi="仿宋" w:eastAsia="仿宋"/>
          <w:b w:val="0"/>
          <w:bCs w:val="0"/>
          <w:color w:val="000000" w:themeColor="text1"/>
          <w:sz w:val="28"/>
          <w:szCs w:val="28"/>
          <w14:textFill>
            <w14:solidFill>
              <w14:schemeClr w14:val="tx1"/>
            </w14:solidFill>
          </w14:textFill>
        </w:rPr>
        <w:t>六、</w:t>
      </w:r>
      <w:r>
        <w:rPr>
          <w:rFonts w:hint="eastAsia" w:ascii="仿宋" w:hAnsi="仿宋" w:eastAsia="仿宋"/>
          <w:b w:val="0"/>
          <w:color w:val="000000" w:themeColor="text1"/>
          <w:sz w:val="28"/>
          <w:szCs w:val="28"/>
          <w14:textFill>
            <w14:solidFill>
              <w14:schemeClr w14:val="tx1"/>
            </w14:solidFill>
          </w14:textFill>
        </w:rPr>
        <w:t>一</w:t>
      </w:r>
      <w:r>
        <w:rPr>
          <w:rStyle w:val="20"/>
          <w:rFonts w:hint="eastAsia" w:ascii="仿宋" w:hAnsi="仿宋" w:eastAsia="仿宋"/>
          <w:b w:val="0"/>
          <w:bCs w:val="0"/>
          <w:color w:val="000000" w:themeColor="text1"/>
          <w:sz w:val="28"/>
          <w:szCs w:val="28"/>
          <w14:textFill>
            <w14:solidFill>
              <w14:schemeClr w14:val="tx1"/>
            </w14:solidFill>
          </w14:textFill>
        </w:rPr>
        <w:t>般公共预算财政拨款支出决算表</w:t>
      </w:r>
      <w:bookmarkEnd w:id="39"/>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color w:val="000000" w:themeColor="text1"/>
          <w:sz w:val="28"/>
          <w:szCs w:val="28"/>
          <w14:textFill>
            <w14:solidFill>
              <w14:schemeClr w14:val="tx1"/>
            </w14:solidFill>
          </w14:textFill>
        </w:rPr>
      </w:pPr>
      <w:bookmarkStart w:id="40" w:name="_Toc19089892"/>
      <w:r>
        <w:rPr>
          <w:rStyle w:val="20"/>
          <w:rFonts w:hint="eastAsia" w:ascii="仿宋" w:hAnsi="仿宋" w:eastAsia="仿宋"/>
          <w:b w:val="0"/>
          <w:bCs w:val="0"/>
          <w:color w:val="000000" w:themeColor="text1"/>
          <w:sz w:val="28"/>
          <w:szCs w:val="28"/>
          <w14:textFill>
            <w14:solidFill>
              <w14:schemeClr w14:val="tx1"/>
            </w14:solidFill>
          </w14:textFill>
        </w:rPr>
        <w:t>七、</w:t>
      </w:r>
      <w:r>
        <w:rPr>
          <w:rFonts w:hint="eastAsia" w:ascii="仿宋" w:hAnsi="仿宋" w:eastAsia="仿宋"/>
          <w:b w:val="0"/>
          <w:color w:val="000000" w:themeColor="text1"/>
          <w:sz w:val="28"/>
          <w:szCs w:val="28"/>
          <w14:textFill>
            <w14:solidFill>
              <w14:schemeClr w14:val="tx1"/>
            </w14:solidFill>
          </w14:textFill>
        </w:rPr>
        <w:t>一</w:t>
      </w:r>
      <w:r>
        <w:rPr>
          <w:rStyle w:val="20"/>
          <w:rFonts w:hint="eastAsia" w:ascii="仿宋" w:hAnsi="仿宋" w:eastAsia="仿宋"/>
          <w:b w:val="0"/>
          <w:bCs w:val="0"/>
          <w:color w:val="000000" w:themeColor="text1"/>
          <w:sz w:val="28"/>
          <w:szCs w:val="28"/>
          <w14:textFill>
            <w14:solidFill>
              <w14:schemeClr w14:val="tx1"/>
            </w14:solidFill>
          </w14:textFill>
        </w:rPr>
        <w:t>般公共预算财政拨款支出决算明细表</w:t>
      </w:r>
      <w:bookmarkEnd w:id="40"/>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color w:val="000000" w:themeColor="text1"/>
          <w:sz w:val="28"/>
          <w:szCs w:val="28"/>
          <w14:textFill>
            <w14:solidFill>
              <w14:schemeClr w14:val="tx1"/>
            </w14:solidFill>
          </w14:textFill>
        </w:rPr>
      </w:pPr>
      <w:bookmarkStart w:id="41" w:name="_Toc19089893"/>
      <w:r>
        <w:rPr>
          <w:rStyle w:val="20"/>
          <w:rFonts w:hint="eastAsia" w:ascii="仿宋" w:hAnsi="仿宋" w:eastAsia="仿宋"/>
          <w:b w:val="0"/>
          <w:bCs w:val="0"/>
          <w:color w:val="000000" w:themeColor="text1"/>
          <w:sz w:val="28"/>
          <w:szCs w:val="28"/>
          <w14:textFill>
            <w14:solidFill>
              <w14:schemeClr w14:val="tx1"/>
            </w14:solidFill>
          </w14:textFill>
        </w:rPr>
        <w:t>八、</w:t>
      </w:r>
      <w:r>
        <w:rPr>
          <w:rFonts w:hint="eastAsia" w:ascii="仿宋" w:hAnsi="仿宋" w:eastAsia="仿宋"/>
          <w:b w:val="0"/>
          <w:color w:val="000000" w:themeColor="text1"/>
          <w:sz w:val="28"/>
          <w:szCs w:val="28"/>
          <w14:textFill>
            <w14:solidFill>
              <w14:schemeClr w14:val="tx1"/>
            </w14:solidFill>
          </w14:textFill>
        </w:rPr>
        <w:t>一</w:t>
      </w:r>
      <w:r>
        <w:rPr>
          <w:rStyle w:val="20"/>
          <w:rFonts w:hint="eastAsia" w:ascii="仿宋" w:hAnsi="仿宋" w:eastAsia="仿宋"/>
          <w:b w:val="0"/>
          <w:bCs w:val="0"/>
          <w:color w:val="000000" w:themeColor="text1"/>
          <w:sz w:val="28"/>
          <w:szCs w:val="28"/>
          <w14:textFill>
            <w14:solidFill>
              <w14:schemeClr w14:val="tx1"/>
            </w14:solidFill>
          </w14:textFill>
        </w:rPr>
        <w:t>般公共预算财政拨款基本支出决算表</w:t>
      </w:r>
      <w:bookmarkEnd w:id="41"/>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color w:val="000000" w:themeColor="text1"/>
          <w:sz w:val="28"/>
          <w:szCs w:val="28"/>
          <w14:textFill>
            <w14:solidFill>
              <w14:schemeClr w14:val="tx1"/>
            </w14:solidFill>
          </w14:textFill>
        </w:rPr>
      </w:pPr>
      <w:bookmarkStart w:id="42" w:name="_Toc19089894"/>
      <w:r>
        <w:rPr>
          <w:rStyle w:val="20"/>
          <w:rFonts w:hint="eastAsia" w:ascii="仿宋" w:hAnsi="仿宋" w:eastAsia="仿宋"/>
          <w:b w:val="0"/>
          <w:bCs w:val="0"/>
          <w:color w:val="000000" w:themeColor="text1"/>
          <w:sz w:val="28"/>
          <w:szCs w:val="28"/>
          <w14:textFill>
            <w14:solidFill>
              <w14:schemeClr w14:val="tx1"/>
            </w14:solidFill>
          </w14:textFill>
        </w:rPr>
        <w:t>九、</w:t>
      </w:r>
      <w:r>
        <w:rPr>
          <w:rFonts w:hint="eastAsia" w:ascii="仿宋" w:hAnsi="仿宋" w:eastAsia="仿宋"/>
          <w:b w:val="0"/>
          <w:color w:val="000000" w:themeColor="text1"/>
          <w:sz w:val="28"/>
          <w:szCs w:val="28"/>
          <w14:textFill>
            <w14:solidFill>
              <w14:schemeClr w14:val="tx1"/>
            </w14:solidFill>
          </w14:textFill>
        </w:rPr>
        <w:t>一</w:t>
      </w:r>
      <w:r>
        <w:rPr>
          <w:rStyle w:val="20"/>
          <w:rFonts w:hint="eastAsia" w:ascii="仿宋" w:hAnsi="仿宋" w:eastAsia="仿宋"/>
          <w:b w:val="0"/>
          <w:bCs w:val="0"/>
          <w:color w:val="000000" w:themeColor="text1"/>
          <w:sz w:val="28"/>
          <w:szCs w:val="28"/>
          <w14:textFill>
            <w14:solidFill>
              <w14:schemeClr w14:val="tx1"/>
            </w14:solidFill>
          </w14:textFill>
        </w:rPr>
        <w:t>般公共预算财政拨款项目支出决算表</w:t>
      </w:r>
      <w:bookmarkEnd w:id="42"/>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color w:val="000000" w:themeColor="text1"/>
          <w:sz w:val="28"/>
          <w:szCs w:val="28"/>
          <w14:textFill>
            <w14:solidFill>
              <w14:schemeClr w14:val="tx1"/>
            </w14:solidFill>
          </w14:textFill>
        </w:rPr>
      </w:pPr>
      <w:bookmarkStart w:id="43" w:name="_Toc19089895"/>
      <w:r>
        <w:rPr>
          <w:rStyle w:val="20"/>
          <w:rFonts w:hint="eastAsia" w:ascii="仿宋" w:hAnsi="仿宋" w:eastAsia="仿宋"/>
          <w:b w:val="0"/>
          <w:bCs w:val="0"/>
          <w:color w:val="000000" w:themeColor="text1"/>
          <w:sz w:val="28"/>
          <w:szCs w:val="28"/>
          <w14:textFill>
            <w14:solidFill>
              <w14:schemeClr w14:val="tx1"/>
            </w14:solidFill>
          </w14:textFill>
        </w:rPr>
        <w:t>十、</w:t>
      </w:r>
      <w:r>
        <w:rPr>
          <w:rFonts w:hint="eastAsia" w:ascii="仿宋" w:hAnsi="仿宋" w:eastAsia="仿宋"/>
          <w:b w:val="0"/>
          <w:color w:val="000000" w:themeColor="text1"/>
          <w:sz w:val="28"/>
          <w:szCs w:val="28"/>
          <w14:textFill>
            <w14:solidFill>
              <w14:schemeClr w14:val="tx1"/>
            </w14:solidFill>
          </w14:textFill>
        </w:rPr>
        <w:t>一</w:t>
      </w:r>
      <w:r>
        <w:rPr>
          <w:rStyle w:val="20"/>
          <w:rFonts w:hint="eastAsia" w:ascii="仿宋" w:hAnsi="仿宋" w:eastAsia="仿宋"/>
          <w:b w:val="0"/>
          <w:bCs w:val="0"/>
          <w:color w:val="000000" w:themeColor="text1"/>
          <w:sz w:val="28"/>
          <w:szCs w:val="28"/>
          <w14:textFill>
            <w14:solidFill>
              <w14:schemeClr w14:val="tx1"/>
            </w14:solidFill>
          </w14:textFill>
        </w:rPr>
        <w:t>般公共预算财政拨款“三公”经费支出决算表</w:t>
      </w:r>
      <w:bookmarkEnd w:id="43"/>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color w:val="000000" w:themeColor="text1"/>
          <w:sz w:val="28"/>
          <w:szCs w:val="28"/>
          <w14:textFill>
            <w14:solidFill>
              <w14:schemeClr w14:val="tx1"/>
            </w14:solidFill>
          </w14:textFill>
        </w:rPr>
      </w:pPr>
      <w:bookmarkStart w:id="44" w:name="_Toc19089896"/>
      <w:r>
        <w:rPr>
          <w:rStyle w:val="20"/>
          <w:rFonts w:hint="eastAsia" w:ascii="仿宋" w:hAnsi="仿宋" w:eastAsia="仿宋"/>
          <w:b w:val="0"/>
          <w:bCs w:val="0"/>
          <w:color w:val="000000" w:themeColor="text1"/>
          <w:sz w:val="28"/>
          <w:szCs w:val="28"/>
          <w14:textFill>
            <w14:solidFill>
              <w14:schemeClr w14:val="tx1"/>
            </w14:solidFill>
          </w14:textFill>
        </w:rPr>
        <w:t>十一、</w:t>
      </w:r>
      <w:r>
        <w:rPr>
          <w:rFonts w:hint="eastAsia" w:ascii="仿宋" w:hAnsi="仿宋" w:eastAsia="仿宋"/>
          <w:b w:val="0"/>
          <w:color w:val="000000" w:themeColor="text1"/>
          <w:sz w:val="28"/>
          <w:szCs w:val="28"/>
          <w14:textFill>
            <w14:solidFill>
              <w14:schemeClr w14:val="tx1"/>
            </w14:solidFill>
          </w14:textFill>
        </w:rPr>
        <w:t>政</w:t>
      </w:r>
      <w:r>
        <w:rPr>
          <w:rStyle w:val="20"/>
          <w:rFonts w:hint="eastAsia" w:ascii="仿宋" w:hAnsi="仿宋" w:eastAsia="仿宋"/>
          <w:b w:val="0"/>
          <w:bCs w:val="0"/>
          <w:color w:val="000000" w:themeColor="text1"/>
          <w:sz w:val="28"/>
          <w:szCs w:val="28"/>
          <w14:textFill>
            <w14:solidFill>
              <w14:schemeClr w14:val="tx1"/>
            </w14:solidFill>
          </w14:textFill>
        </w:rPr>
        <w:t>府性基金预算财政拨款收入支出决算表</w:t>
      </w:r>
      <w:bookmarkEnd w:id="44"/>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color w:val="000000" w:themeColor="text1"/>
          <w:sz w:val="28"/>
          <w:szCs w:val="28"/>
          <w14:textFill>
            <w14:solidFill>
              <w14:schemeClr w14:val="tx1"/>
            </w14:solidFill>
          </w14:textFill>
        </w:rPr>
      </w:pPr>
      <w:bookmarkStart w:id="45" w:name="_Toc19089897"/>
      <w:r>
        <w:rPr>
          <w:rStyle w:val="20"/>
          <w:rFonts w:hint="eastAsia" w:ascii="仿宋" w:hAnsi="仿宋" w:eastAsia="仿宋"/>
          <w:b w:val="0"/>
          <w:bCs w:val="0"/>
          <w:color w:val="000000" w:themeColor="text1"/>
          <w:sz w:val="28"/>
          <w:szCs w:val="28"/>
          <w14:textFill>
            <w14:solidFill>
              <w14:schemeClr w14:val="tx1"/>
            </w14:solidFill>
          </w14:textFill>
        </w:rPr>
        <w:t>十二、</w:t>
      </w:r>
      <w:r>
        <w:rPr>
          <w:rFonts w:hint="eastAsia" w:ascii="仿宋" w:hAnsi="仿宋" w:eastAsia="仿宋"/>
          <w:b w:val="0"/>
          <w:color w:val="000000" w:themeColor="text1"/>
          <w:sz w:val="28"/>
          <w:szCs w:val="28"/>
          <w14:textFill>
            <w14:solidFill>
              <w14:schemeClr w14:val="tx1"/>
            </w14:solidFill>
          </w14:textFill>
        </w:rPr>
        <w:t>政</w:t>
      </w:r>
      <w:r>
        <w:rPr>
          <w:rStyle w:val="20"/>
          <w:rFonts w:hint="eastAsia" w:ascii="仿宋" w:hAnsi="仿宋" w:eastAsia="仿宋"/>
          <w:b w:val="0"/>
          <w:bCs w:val="0"/>
          <w:color w:val="000000" w:themeColor="text1"/>
          <w:sz w:val="28"/>
          <w:szCs w:val="28"/>
          <w14:textFill>
            <w14:solidFill>
              <w14:schemeClr w14:val="tx1"/>
            </w14:solidFill>
          </w14:textFill>
        </w:rPr>
        <w:t>府性基金预算财政拨款“三公”经费支出决算表</w:t>
      </w:r>
      <w:bookmarkEnd w:id="45"/>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Style w:val="20"/>
          <w:rFonts w:hint="eastAsia" w:ascii="仿宋" w:hAnsi="仿宋" w:eastAsia="仿宋"/>
          <w:b w:val="0"/>
          <w:bCs w:val="0"/>
          <w:color w:val="000000" w:themeColor="text1"/>
          <w:sz w:val="28"/>
          <w:szCs w:val="28"/>
          <w14:textFill>
            <w14:solidFill>
              <w14:schemeClr w14:val="tx1"/>
            </w14:solidFill>
          </w14:textFill>
        </w:rPr>
      </w:pPr>
      <w:bookmarkStart w:id="46" w:name="_Toc19089898"/>
      <w:r>
        <w:rPr>
          <w:rStyle w:val="20"/>
          <w:rFonts w:hint="eastAsia" w:ascii="仿宋" w:hAnsi="仿宋" w:eastAsia="仿宋"/>
          <w:b w:val="0"/>
          <w:bCs w:val="0"/>
          <w:color w:val="000000" w:themeColor="text1"/>
          <w:sz w:val="28"/>
          <w:szCs w:val="28"/>
          <w14:textFill>
            <w14:solidFill>
              <w14:schemeClr w14:val="tx1"/>
            </w14:solidFill>
          </w14:textFill>
        </w:rPr>
        <w:t>十三、</w:t>
      </w:r>
      <w:r>
        <w:rPr>
          <w:rFonts w:hint="eastAsia" w:ascii="仿宋" w:hAnsi="仿宋" w:eastAsia="仿宋"/>
          <w:b w:val="0"/>
          <w:color w:val="000000" w:themeColor="text1"/>
          <w:sz w:val="28"/>
          <w:szCs w:val="28"/>
          <w14:textFill>
            <w14:solidFill>
              <w14:schemeClr w14:val="tx1"/>
            </w14:solidFill>
          </w14:textFill>
        </w:rPr>
        <w:t>国</w:t>
      </w:r>
      <w:r>
        <w:rPr>
          <w:rStyle w:val="20"/>
          <w:rFonts w:hint="eastAsia" w:ascii="仿宋" w:hAnsi="仿宋" w:eastAsia="仿宋"/>
          <w:b w:val="0"/>
          <w:bCs w:val="0"/>
          <w:color w:val="000000" w:themeColor="text1"/>
          <w:sz w:val="28"/>
          <w:szCs w:val="28"/>
          <w14:textFill>
            <w14:solidFill>
              <w14:schemeClr w14:val="tx1"/>
            </w14:solidFill>
          </w14:textFill>
        </w:rPr>
        <w:t>有资本经营预算支出决算表</w:t>
      </w:r>
      <w:bookmarkEnd w:id="46"/>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napToGrid w:val="0"/>
        <w:spacing w:line="360" w:lineRule="auto"/>
        <w:ind w:firstLine="640" w:firstLineChars="200"/>
        <w:rPr>
          <w:rFonts w:ascii="宋体" w:hAnsi="宋体" w:cs="宋体"/>
          <w:color w:val="000000" w:themeColor="text1"/>
          <w:sz w:val="32"/>
          <w:szCs w:val="32"/>
          <w14:textFill>
            <w14:solidFill>
              <w14:schemeClr w14:val="tx1"/>
            </w14:solidFill>
          </w14:textFill>
        </w:rPr>
      </w:pPr>
    </w:p>
    <w:sectPr>
      <w:footerReference r:id="rId3" w:type="default"/>
      <w:pgSz w:w="11906" w:h="16838"/>
      <w:pgMar w:top="1701" w:right="1474" w:bottom="1701"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Arial" w:hAnsi="Arial" w:cs="Arial"/>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jc w:val="cente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28F11"/>
    <w:multiLevelType w:val="singleLevel"/>
    <w:tmpl w:val="8A128F11"/>
    <w:lvl w:ilvl="0" w:tentative="0">
      <w:start w:val="1"/>
      <w:numFmt w:val="decimal"/>
      <w:suff w:val="nothing"/>
      <w:lvlText w:val="（%1）"/>
      <w:lvlJc w:val="left"/>
    </w:lvl>
  </w:abstractNum>
  <w:abstractNum w:abstractNumId="1">
    <w:nsid w:val="B81D3753"/>
    <w:multiLevelType w:val="singleLevel"/>
    <w:tmpl w:val="B81D3753"/>
    <w:lvl w:ilvl="0" w:tentative="0">
      <w:start w:val="1"/>
      <w:numFmt w:val="chineseCounting"/>
      <w:suff w:val="nothing"/>
      <w:lvlText w:val="（%1）"/>
      <w:lvlJc w:val="left"/>
      <w:rPr>
        <w:rFonts w:hint="eastAsia"/>
      </w:rPr>
    </w:lvl>
  </w:abstractNum>
  <w:abstractNum w:abstractNumId="2">
    <w:nsid w:val="D2263621"/>
    <w:multiLevelType w:val="singleLevel"/>
    <w:tmpl w:val="D2263621"/>
    <w:lvl w:ilvl="0" w:tentative="0">
      <w:start w:val="1"/>
      <w:numFmt w:val="chineseCounting"/>
      <w:suff w:val="space"/>
      <w:lvlText w:val="第%1章"/>
      <w:lvlJc w:val="left"/>
      <w:rPr>
        <w:rFonts w:hint="eastAsia"/>
      </w:rPr>
    </w:lvl>
  </w:abstractNum>
  <w:abstractNum w:abstractNumId="3">
    <w:nsid w:val="1E69627C"/>
    <w:multiLevelType w:val="singleLevel"/>
    <w:tmpl w:val="1E69627C"/>
    <w:lvl w:ilvl="0" w:tentative="0">
      <w:start w:val="1"/>
      <w:numFmt w:val="chineseCounting"/>
      <w:suff w:val="space"/>
      <w:lvlText w:val="第%1条"/>
      <w:lvlJc w:val="left"/>
      <w:pPr>
        <w:ind w:left="120" w:firstLine="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3"/>
    <w:rsid w:val="00054289"/>
    <w:rsid w:val="00055CAA"/>
    <w:rsid w:val="000A1A07"/>
    <w:rsid w:val="001A4D75"/>
    <w:rsid w:val="001A527B"/>
    <w:rsid w:val="002229AE"/>
    <w:rsid w:val="00226C59"/>
    <w:rsid w:val="002C0140"/>
    <w:rsid w:val="002C6963"/>
    <w:rsid w:val="003877C3"/>
    <w:rsid w:val="00395420"/>
    <w:rsid w:val="00407187"/>
    <w:rsid w:val="004E6376"/>
    <w:rsid w:val="00522486"/>
    <w:rsid w:val="005260CC"/>
    <w:rsid w:val="005502D5"/>
    <w:rsid w:val="00576055"/>
    <w:rsid w:val="005F6407"/>
    <w:rsid w:val="00601750"/>
    <w:rsid w:val="006210EA"/>
    <w:rsid w:val="006231DE"/>
    <w:rsid w:val="00623BD7"/>
    <w:rsid w:val="0068308D"/>
    <w:rsid w:val="006B17A2"/>
    <w:rsid w:val="007329D4"/>
    <w:rsid w:val="00760F51"/>
    <w:rsid w:val="007871D8"/>
    <w:rsid w:val="007C00B5"/>
    <w:rsid w:val="00822C60"/>
    <w:rsid w:val="00835DFA"/>
    <w:rsid w:val="00852ED1"/>
    <w:rsid w:val="00894908"/>
    <w:rsid w:val="008B4CF8"/>
    <w:rsid w:val="008D1A61"/>
    <w:rsid w:val="008E5B2B"/>
    <w:rsid w:val="00935CE1"/>
    <w:rsid w:val="009A628F"/>
    <w:rsid w:val="009E77A1"/>
    <w:rsid w:val="00A54383"/>
    <w:rsid w:val="00AF120C"/>
    <w:rsid w:val="00AF40A1"/>
    <w:rsid w:val="00B04821"/>
    <w:rsid w:val="00BA53B2"/>
    <w:rsid w:val="00BB0B4D"/>
    <w:rsid w:val="00BD6CD3"/>
    <w:rsid w:val="00CE4616"/>
    <w:rsid w:val="00CF26F0"/>
    <w:rsid w:val="00D6329A"/>
    <w:rsid w:val="00D6432C"/>
    <w:rsid w:val="00DA1F66"/>
    <w:rsid w:val="00DA4E30"/>
    <w:rsid w:val="00DC65A3"/>
    <w:rsid w:val="00DF0440"/>
    <w:rsid w:val="00E1090A"/>
    <w:rsid w:val="00E329F1"/>
    <w:rsid w:val="00EA2AF2"/>
    <w:rsid w:val="00EA46A0"/>
    <w:rsid w:val="00EB18AC"/>
    <w:rsid w:val="00EE0CEF"/>
    <w:rsid w:val="00FA2114"/>
    <w:rsid w:val="00FC360F"/>
    <w:rsid w:val="00FE6666"/>
    <w:rsid w:val="034F64B0"/>
    <w:rsid w:val="054B0D63"/>
    <w:rsid w:val="06FC4A03"/>
    <w:rsid w:val="09653601"/>
    <w:rsid w:val="0C852387"/>
    <w:rsid w:val="0DF1614D"/>
    <w:rsid w:val="0E4D7346"/>
    <w:rsid w:val="0E5F15F8"/>
    <w:rsid w:val="0E8D72FF"/>
    <w:rsid w:val="10324F90"/>
    <w:rsid w:val="11D51D34"/>
    <w:rsid w:val="12863EF6"/>
    <w:rsid w:val="12B14D4D"/>
    <w:rsid w:val="12D07E9F"/>
    <w:rsid w:val="12D73F37"/>
    <w:rsid w:val="13D7330D"/>
    <w:rsid w:val="13E57496"/>
    <w:rsid w:val="149617AD"/>
    <w:rsid w:val="163B527F"/>
    <w:rsid w:val="164C0AE6"/>
    <w:rsid w:val="16785283"/>
    <w:rsid w:val="168128BA"/>
    <w:rsid w:val="17784E74"/>
    <w:rsid w:val="186A2BB2"/>
    <w:rsid w:val="1A5E17FE"/>
    <w:rsid w:val="1A757130"/>
    <w:rsid w:val="1CDA2ADB"/>
    <w:rsid w:val="1E462B24"/>
    <w:rsid w:val="201D4BC9"/>
    <w:rsid w:val="223A56A8"/>
    <w:rsid w:val="224C2753"/>
    <w:rsid w:val="22657E82"/>
    <w:rsid w:val="230278B1"/>
    <w:rsid w:val="23222B06"/>
    <w:rsid w:val="24790FA9"/>
    <w:rsid w:val="24F146DD"/>
    <w:rsid w:val="25B6542A"/>
    <w:rsid w:val="25EC5DB0"/>
    <w:rsid w:val="25F71D1F"/>
    <w:rsid w:val="27152366"/>
    <w:rsid w:val="27342B92"/>
    <w:rsid w:val="27B42422"/>
    <w:rsid w:val="283C6038"/>
    <w:rsid w:val="29D23A8C"/>
    <w:rsid w:val="2A51016B"/>
    <w:rsid w:val="2A6C46ED"/>
    <w:rsid w:val="2AC95514"/>
    <w:rsid w:val="2C4227BF"/>
    <w:rsid w:val="2E220DE2"/>
    <w:rsid w:val="2E464491"/>
    <w:rsid w:val="2F5601DB"/>
    <w:rsid w:val="2FCA4E00"/>
    <w:rsid w:val="30240F6E"/>
    <w:rsid w:val="30A047F9"/>
    <w:rsid w:val="318C3A73"/>
    <w:rsid w:val="31BE077A"/>
    <w:rsid w:val="32747FA2"/>
    <w:rsid w:val="33334962"/>
    <w:rsid w:val="334A6D7B"/>
    <w:rsid w:val="34D963E2"/>
    <w:rsid w:val="353F6E3C"/>
    <w:rsid w:val="35BD5D3A"/>
    <w:rsid w:val="35E23B70"/>
    <w:rsid w:val="37511830"/>
    <w:rsid w:val="376F0677"/>
    <w:rsid w:val="37B27D2F"/>
    <w:rsid w:val="37D672CF"/>
    <w:rsid w:val="37D77D4C"/>
    <w:rsid w:val="38007442"/>
    <w:rsid w:val="395D33E9"/>
    <w:rsid w:val="39A86076"/>
    <w:rsid w:val="39D60F5A"/>
    <w:rsid w:val="3A6C38EF"/>
    <w:rsid w:val="3A8B5F76"/>
    <w:rsid w:val="3AAE3851"/>
    <w:rsid w:val="3CBB7D3C"/>
    <w:rsid w:val="3D173A0C"/>
    <w:rsid w:val="3D7F53FC"/>
    <w:rsid w:val="3E8954F4"/>
    <w:rsid w:val="3EC42F81"/>
    <w:rsid w:val="3EE61908"/>
    <w:rsid w:val="3F2F0723"/>
    <w:rsid w:val="3FA03A5B"/>
    <w:rsid w:val="41B417D1"/>
    <w:rsid w:val="41D05E9B"/>
    <w:rsid w:val="41EA03AA"/>
    <w:rsid w:val="42A33A00"/>
    <w:rsid w:val="42AE3B99"/>
    <w:rsid w:val="43D75031"/>
    <w:rsid w:val="440208FC"/>
    <w:rsid w:val="45844C17"/>
    <w:rsid w:val="45DB0263"/>
    <w:rsid w:val="462F3678"/>
    <w:rsid w:val="476A1D70"/>
    <w:rsid w:val="49201FD2"/>
    <w:rsid w:val="49BE78F1"/>
    <w:rsid w:val="4AD3765F"/>
    <w:rsid w:val="4BA312B6"/>
    <w:rsid w:val="4BF723EB"/>
    <w:rsid w:val="4D772324"/>
    <w:rsid w:val="4EE429A3"/>
    <w:rsid w:val="509E6A2D"/>
    <w:rsid w:val="51537539"/>
    <w:rsid w:val="51D041AF"/>
    <w:rsid w:val="51EF2BD7"/>
    <w:rsid w:val="522C489C"/>
    <w:rsid w:val="52A043CF"/>
    <w:rsid w:val="532A0C85"/>
    <w:rsid w:val="53863747"/>
    <w:rsid w:val="542D696B"/>
    <w:rsid w:val="5531675E"/>
    <w:rsid w:val="576F33AC"/>
    <w:rsid w:val="57D11AF7"/>
    <w:rsid w:val="57EE64A9"/>
    <w:rsid w:val="58DD39BE"/>
    <w:rsid w:val="59A02E3A"/>
    <w:rsid w:val="5B4A4709"/>
    <w:rsid w:val="5BC61B80"/>
    <w:rsid w:val="5BE009BD"/>
    <w:rsid w:val="5D521C1E"/>
    <w:rsid w:val="5DD64032"/>
    <w:rsid w:val="5F415E7D"/>
    <w:rsid w:val="5FE378E6"/>
    <w:rsid w:val="61C76F53"/>
    <w:rsid w:val="61DF5EC9"/>
    <w:rsid w:val="635768D3"/>
    <w:rsid w:val="638E033D"/>
    <w:rsid w:val="63E4044A"/>
    <w:rsid w:val="641A46A3"/>
    <w:rsid w:val="64CC32E8"/>
    <w:rsid w:val="64EC793C"/>
    <w:rsid w:val="6615193D"/>
    <w:rsid w:val="66CD543F"/>
    <w:rsid w:val="67A61CB0"/>
    <w:rsid w:val="687C3B83"/>
    <w:rsid w:val="68B343D1"/>
    <w:rsid w:val="6944769A"/>
    <w:rsid w:val="6ABC58EE"/>
    <w:rsid w:val="6B632D70"/>
    <w:rsid w:val="6C1F6D87"/>
    <w:rsid w:val="6C8C18B5"/>
    <w:rsid w:val="6FD958FC"/>
    <w:rsid w:val="72610754"/>
    <w:rsid w:val="75670C5A"/>
    <w:rsid w:val="75955414"/>
    <w:rsid w:val="7645219F"/>
    <w:rsid w:val="765724D8"/>
    <w:rsid w:val="77371F62"/>
    <w:rsid w:val="77573C0B"/>
    <w:rsid w:val="790F6562"/>
    <w:rsid w:val="7BD87E45"/>
    <w:rsid w:val="7D083A30"/>
    <w:rsid w:val="7D595F3A"/>
    <w:rsid w:val="7E49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Balloon Text"/>
    <w:basedOn w:val="1"/>
    <w:link w:val="18"/>
    <w:qFormat/>
    <w:uiPriority w:val="0"/>
    <w:rPr>
      <w:rFonts w:cs="Times New Roman"/>
      <w:sz w:val="18"/>
      <w:szCs w:val="18"/>
    </w:rPr>
  </w:style>
  <w:style w:type="paragraph" w:styleId="6">
    <w:name w:val="footer"/>
    <w:basedOn w:val="1"/>
    <w:link w:val="13"/>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10">
    <w:name w:val="FollowedHyperlink"/>
    <w:semiHidden/>
    <w:qFormat/>
    <w:uiPriority w:val="99"/>
    <w:rPr>
      <w:color w:val="800080"/>
      <w:u w:val="single"/>
    </w:rPr>
  </w:style>
  <w:style w:type="character" w:styleId="11">
    <w:name w:val="Hyperlink"/>
    <w:semiHidden/>
    <w:qFormat/>
    <w:uiPriority w:val="99"/>
    <w:rPr>
      <w:color w:val="0000FF"/>
      <w:u w:val="single"/>
    </w:rPr>
  </w:style>
  <w:style w:type="character" w:customStyle="1" w:styleId="12">
    <w:name w:val="页脚 Char"/>
    <w:basedOn w:val="9"/>
    <w:semiHidden/>
    <w:qFormat/>
    <w:uiPriority w:val="99"/>
    <w:rPr>
      <w:rFonts w:ascii="Calibri" w:hAnsi="Calibri" w:eastAsia="宋体" w:cs="Calibri"/>
      <w:sz w:val="18"/>
      <w:szCs w:val="18"/>
    </w:rPr>
  </w:style>
  <w:style w:type="character" w:customStyle="1" w:styleId="13">
    <w:name w:val="页脚 Char1"/>
    <w:link w:val="6"/>
    <w:qFormat/>
    <w:locked/>
    <w:uiPriority w:val="99"/>
    <w:rPr>
      <w:rFonts w:ascii="Times New Roman" w:hAnsi="Times New Roman" w:eastAsia="宋体" w:cs="Times New Roman"/>
      <w:kern w:val="0"/>
      <w:sz w:val="18"/>
      <w:szCs w:val="18"/>
    </w:rPr>
  </w:style>
  <w:style w:type="character" w:customStyle="1" w:styleId="14">
    <w:name w:val="页眉 Char"/>
    <w:basedOn w:val="9"/>
    <w:semiHidden/>
    <w:qFormat/>
    <w:uiPriority w:val="99"/>
    <w:rPr>
      <w:rFonts w:ascii="Calibri" w:hAnsi="Calibri" w:eastAsia="宋体" w:cs="Calibri"/>
      <w:sz w:val="18"/>
      <w:szCs w:val="18"/>
    </w:rPr>
  </w:style>
  <w:style w:type="character" w:customStyle="1" w:styleId="15">
    <w:name w:val="页眉 Char1"/>
    <w:link w:val="7"/>
    <w:qFormat/>
    <w:locked/>
    <w:uiPriority w:val="99"/>
    <w:rPr>
      <w:rFonts w:ascii="Times New Roman" w:hAnsi="Times New Roman" w:eastAsia="宋体" w:cs="Times New Roman"/>
      <w:kern w:val="0"/>
      <w:sz w:val="18"/>
      <w:szCs w:val="18"/>
    </w:rPr>
  </w:style>
  <w:style w:type="character" w:customStyle="1" w:styleId="16">
    <w:name w:val="apple-converted-space"/>
    <w:basedOn w:val="9"/>
    <w:qFormat/>
    <w:uiPriority w:val="99"/>
  </w:style>
  <w:style w:type="character" w:customStyle="1" w:styleId="17">
    <w:name w:val="批注框文本 Char"/>
    <w:basedOn w:val="9"/>
    <w:semiHidden/>
    <w:qFormat/>
    <w:uiPriority w:val="99"/>
    <w:rPr>
      <w:rFonts w:ascii="Calibri" w:hAnsi="Calibri" w:eastAsia="宋体" w:cs="Calibri"/>
      <w:sz w:val="18"/>
      <w:szCs w:val="18"/>
    </w:rPr>
  </w:style>
  <w:style w:type="character" w:customStyle="1" w:styleId="18">
    <w:name w:val="批注框文本 Char1"/>
    <w:link w:val="5"/>
    <w:qFormat/>
    <w:uiPriority w:val="0"/>
    <w:rPr>
      <w:rFonts w:ascii="Calibri" w:hAnsi="Calibri"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标题 2 Char"/>
    <w:basedOn w:val="9"/>
    <w:link w:val="3"/>
    <w:qFormat/>
    <w:uiPriority w:val="9"/>
    <w:rPr>
      <w:rFonts w:asciiTheme="majorHAnsi" w:hAnsiTheme="majorHAnsi" w:eastAsiaTheme="majorEastAsia" w:cstheme="majorBidi"/>
      <w:b/>
      <w:bCs/>
      <w:sz w:val="32"/>
      <w:szCs w:val="32"/>
    </w:rPr>
  </w:style>
  <w:style w:type="character" w:customStyle="1" w:styleId="21">
    <w:name w:val="标题 1 Char"/>
    <w:basedOn w:val="9"/>
    <w:link w:val="2"/>
    <w:qFormat/>
    <w:uiPriority w:val="9"/>
    <w:rPr>
      <w:b/>
      <w:bCs/>
      <w:kern w:val="44"/>
      <w:sz w:val="44"/>
      <w:szCs w:val="4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1601</Words>
  <Characters>9128</Characters>
  <Lines>76</Lines>
  <Paragraphs>21</Paragraphs>
  <TotalTime>37</TotalTime>
  <ScaleCrop>false</ScaleCrop>
  <LinksUpToDate>false</LinksUpToDate>
  <CharactersWithSpaces>10708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2018-09-18T01:13:00Z</dcterms:created>
  <dc:creator>闻吉</dc:creator>
  <cp:lastModifiedBy>相识是缘</cp:lastModifiedBy>
  <cp:lastPrinted>2020-09-16T09:17:00Z</cp:lastPrinted>
  <dcterms:modified xsi:type="dcterms:W3CDTF">2020-09-17T15:11:59Z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