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56"/>
          <w:szCs w:val="56"/>
        </w:rPr>
      </w:pPr>
    </w:p>
    <w:bookmarkEnd w:id="0"/>
    <w:p>
      <w:pPr>
        <w:adjustRightInd w:val="0"/>
        <w:snapToGrid w:val="0"/>
        <w:spacing w:line="360" w:lineRule="auto"/>
        <w:jc w:val="center"/>
        <w:outlineLvl w:val="0"/>
        <w:rPr>
          <w:rFonts w:ascii="方正小标宋简体" w:hAnsi="宋体" w:eastAsia="方正小标宋简体"/>
          <w:sz w:val="56"/>
          <w:szCs w:val="56"/>
        </w:rPr>
      </w:pPr>
      <w:bookmarkStart w:id="1" w:name="_Toc15396475"/>
      <w:bookmarkStart w:id="2" w:name="_Toc15377193"/>
      <w:bookmarkStart w:id="3" w:name="_Toc15378441"/>
      <w:bookmarkStart w:id="4" w:name="_Toc19089858"/>
      <w:bookmarkStart w:id="5" w:name="_Toc15377425"/>
      <w:bookmarkStart w:id="6" w:name="_Toc15396597"/>
      <w:r>
        <w:rPr>
          <w:rFonts w:ascii="黑体" w:hAnsi="黑体" w:eastAsia="黑体"/>
          <w:sz w:val="56"/>
          <w:szCs w:val="56"/>
        </w:rPr>
        <w:t>201</w:t>
      </w:r>
      <w:r>
        <w:rPr>
          <w:rFonts w:hint="eastAsia" w:ascii="黑体" w:hAnsi="黑体" w:eastAsia="黑体"/>
          <w:sz w:val="56"/>
          <w:szCs w:val="56"/>
        </w:rPr>
        <w:t>9</w:t>
      </w:r>
      <w:r>
        <w:rPr>
          <w:rFonts w:hint="eastAsia" w:ascii="方正小标宋简体" w:hAnsi="宋体" w:eastAsia="方正小标宋简体"/>
          <w:sz w:val="56"/>
          <w:szCs w:val="56"/>
        </w:rPr>
        <w:t>年度</w:t>
      </w:r>
      <w:bookmarkEnd w:id="1"/>
      <w:bookmarkEnd w:id="2"/>
      <w:bookmarkEnd w:id="3"/>
      <w:bookmarkEnd w:id="4"/>
      <w:bookmarkEnd w:id="5"/>
      <w:bookmarkEnd w:id="6"/>
    </w:p>
    <w:p>
      <w:pPr>
        <w:adjustRightInd w:val="0"/>
        <w:snapToGrid w:val="0"/>
        <w:jc w:val="center"/>
        <w:outlineLvl w:val="0"/>
        <w:rPr>
          <w:rFonts w:ascii="方正小标宋简体" w:hAnsi="宋体" w:eastAsia="方正小标宋简体"/>
          <w:sz w:val="56"/>
          <w:szCs w:val="56"/>
        </w:rPr>
      </w:pPr>
      <w:bookmarkStart w:id="7" w:name="_Toc19089859"/>
      <w:bookmarkStart w:id="8" w:name="_Toc15377194"/>
      <w:bookmarkStart w:id="9" w:name="_Toc15377426"/>
      <w:bookmarkStart w:id="10" w:name="_Toc15378442"/>
      <w:bookmarkStart w:id="11" w:name="_Toc15396598"/>
      <w:bookmarkStart w:id="12" w:name="_Toc15396476"/>
      <w:r>
        <w:rPr>
          <w:rFonts w:hint="eastAsia" w:ascii="方正小标宋简体" w:hAnsi="宋体" w:eastAsia="方正小标宋简体"/>
          <w:sz w:val="56"/>
          <w:szCs w:val="56"/>
        </w:rPr>
        <w:t>四川省</w:t>
      </w:r>
      <w:bookmarkStart w:id="13" w:name="_Toc15306268"/>
      <w:r>
        <w:rPr>
          <w:rFonts w:hint="eastAsia" w:ascii="方正小标宋简体" w:hAnsi="宋体" w:eastAsia="方正小标宋简体"/>
          <w:sz w:val="56"/>
          <w:szCs w:val="56"/>
        </w:rPr>
        <w:t>广元市利州区</w:t>
      </w:r>
      <w:bookmarkEnd w:id="7"/>
      <w:r>
        <w:rPr>
          <w:rFonts w:hint="eastAsia" w:ascii="方正小标宋简体" w:hAnsi="宋体" w:eastAsia="方正小标宋简体"/>
          <w:sz w:val="56"/>
          <w:szCs w:val="56"/>
        </w:rPr>
        <w:t>东城实验学校</w:t>
      </w:r>
      <w:bookmarkStart w:id="14" w:name="_Toc19089860"/>
    </w:p>
    <w:p>
      <w:pPr>
        <w:adjustRightInd w:val="0"/>
        <w:snapToGrid w:val="0"/>
        <w:outlineLvl w:val="0"/>
        <w:rPr>
          <w:rFonts w:ascii="方正小标宋简体" w:hAnsi="宋体" w:eastAsia="方正小标宋简体"/>
          <w:sz w:val="56"/>
          <w:szCs w:val="56"/>
        </w:rPr>
      </w:pPr>
    </w:p>
    <w:p>
      <w:pPr>
        <w:adjustRightInd w:val="0"/>
        <w:snapToGrid w:val="0"/>
        <w:spacing w:line="360" w:lineRule="auto"/>
        <w:jc w:val="center"/>
        <w:outlineLvl w:val="0"/>
        <w:rPr>
          <w:rFonts w:ascii="方正小标宋简体" w:hAnsi="宋体" w:eastAsia="方正小标宋简体"/>
          <w:sz w:val="56"/>
          <w:szCs w:val="56"/>
        </w:rPr>
      </w:pPr>
      <w:r>
        <w:rPr>
          <w:rFonts w:hint="eastAsia" w:ascii="方正小标宋简体" w:hAnsi="宋体" w:eastAsia="方正小标宋简体"/>
          <w:sz w:val="56"/>
          <w:szCs w:val="56"/>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28"/>
          <w:szCs w:val="28"/>
        </w:rPr>
      </w:pPr>
    </w:p>
    <w:p>
      <w:pPr>
        <w:widowControl/>
        <w:rPr>
          <w:rFonts w:ascii="仿宋" w:hAnsi="仿宋" w:eastAsia="仿宋"/>
          <w:sz w:val="28"/>
          <w:szCs w:val="28"/>
        </w:rPr>
      </w:pPr>
      <w:r>
        <w:rPr>
          <w:rFonts w:hint="eastAsia" w:ascii="黑体" w:hAnsi="黑体" w:eastAsia="黑体"/>
          <w:sz w:val="28"/>
          <w:szCs w:val="28"/>
        </w:rPr>
        <w:t>第一部分 部门概况</w:t>
      </w:r>
    </w:p>
    <w:p>
      <w:pPr>
        <w:widowControl/>
        <w:ind w:firstLine="560" w:firstLineChars="200"/>
        <w:rPr>
          <w:rFonts w:ascii="仿宋" w:hAnsi="仿宋" w:eastAsia="仿宋"/>
          <w:sz w:val="28"/>
          <w:szCs w:val="28"/>
        </w:rPr>
      </w:pPr>
      <w:r>
        <w:rPr>
          <w:rFonts w:hint="eastAsia" w:ascii="仿宋" w:hAnsi="仿宋" w:eastAsia="仿宋"/>
          <w:sz w:val="28"/>
          <w:szCs w:val="28"/>
        </w:rPr>
        <w:t>一、基本职能及主要工作</w:t>
      </w:r>
    </w:p>
    <w:p>
      <w:pPr>
        <w:widowControl/>
        <w:ind w:firstLine="560" w:firstLineChars="200"/>
        <w:rPr>
          <w:rFonts w:ascii="仿宋" w:hAnsi="仿宋" w:eastAsia="仿宋"/>
          <w:sz w:val="28"/>
          <w:szCs w:val="28"/>
        </w:rPr>
      </w:pPr>
      <w:r>
        <w:rPr>
          <w:rFonts w:hint="eastAsia" w:ascii="仿宋" w:hAnsi="仿宋" w:eastAsia="仿宋"/>
          <w:sz w:val="28"/>
          <w:szCs w:val="28"/>
        </w:rPr>
        <w:t>二、机构设置</w:t>
      </w:r>
    </w:p>
    <w:p>
      <w:pPr>
        <w:widowControl/>
        <w:jc w:val="left"/>
        <w:rPr>
          <w:rFonts w:ascii="仿宋" w:hAnsi="仿宋" w:eastAsia="仿宋"/>
          <w:sz w:val="28"/>
          <w:szCs w:val="28"/>
        </w:rPr>
      </w:pPr>
      <w:r>
        <w:rPr>
          <w:rFonts w:hint="eastAsia" w:ascii="黑体" w:hAnsi="黑体" w:eastAsia="黑体"/>
          <w:sz w:val="28"/>
          <w:szCs w:val="28"/>
        </w:rPr>
        <w:t>第二部分 2019年度部门决算情况说明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一、收入支出决算总体情况说明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二、收入决算情况说明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三、支出决算情况说明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四、财政拨款收入支出决算总体情况说明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五、一般公共预算财政拨款支出决算情况说明</w:t>
      </w:r>
    </w:p>
    <w:p>
      <w:pPr>
        <w:widowControl/>
        <w:ind w:firstLine="560" w:firstLineChars="200"/>
        <w:jc w:val="left"/>
        <w:rPr>
          <w:rFonts w:ascii="仿宋" w:hAnsi="仿宋" w:eastAsia="仿宋"/>
          <w:sz w:val="28"/>
          <w:szCs w:val="28"/>
        </w:rPr>
      </w:pPr>
      <w:r>
        <w:rPr>
          <w:rFonts w:hint="eastAsia" w:ascii="仿宋" w:hAnsi="仿宋" w:eastAsia="仿宋"/>
          <w:sz w:val="28"/>
          <w:szCs w:val="28"/>
        </w:rPr>
        <w:t>六、一般公共预算财政拨款基本支出决算情况说明</w:t>
      </w:r>
    </w:p>
    <w:p>
      <w:pPr>
        <w:widowControl/>
        <w:ind w:firstLine="560" w:firstLineChars="200"/>
        <w:rPr>
          <w:rFonts w:ascii="仿宋" w:hAnsi="仿宋" w:eastAsia="仿宋"/>
          <w:sz w:val="28"/>
          <w:szCs w:val="28"/>
        </w:rPr>
      </w:pPr>
      <w:r>
        <w:rPr>
          <w:rFonts w:hint="eastAsia" w:ascii="仿宋" w:hAnsi="仿宋" w:eastAsia="仿宋"/>
          <w:sz w:val="28"/>
          <w:szCs w:val="28"/>
        </w:rPr>
        <w:t>七、“三公”经费财政拨款支出决算情况说明</w:t>
      </w:r>
    </w:p>
    <w:p>
      <w:pPr>
        <w:widowControl/>
        <w:ind w:firstLine="560" w:firstLineChars="200"/>
        <w:rPr>
          <w:rFonts w:ascii="仿宋" w:hAnsi="仿宋" w:eastAsia="仿宋"/>
          <w:sz w:val="28"/>
          <w:szCs w:val="28"/>
        </w:rPr>
      </w:pPr>
      <w:r>
        <w:rPr>
          <w:rFonts w:hint="eastAsia" w:ascii="仿宋" w:hAnsi="仿宋" w:eastAsia="仿宋"/>
          <w:sz w:val="28"/>
          <w:szCs w:val="28"/>
        </w:rPr>
        <w:t>八、政府性基金预算支出决算情况说明</w:t>
      </w:r>
    </w:p>
    <w:p>
      <w:pPr>
        <w:widowControl/>
        <w:ind w:firstLine="560" w:firstLineChars="200"/>
        <w:rPr>
          <w:rFonts w:ascii="仿宋" w:hAnsi="仿宋" w:eastAsia="仿宋"/>
          <w:sz w:val="28"/>
          <w:szCs w:val="28"/>
        </w:rPr>
      </w:pPr>
      <w:r>
        <w:rPr>
          <w:rFonts w:hint="eastAsia" w:ascii="仿宋" w:hAnsi="仿宋" w:eastAsia="仿宋"/>
          <w:sz w:val="28"/>
          <w:szCs w:val="28"/>
        </w:rPr>
        <w:t>九、 国有资本经营预算支出决算情况说明</w:t>
      </w:r>
    </w:p>
    <w:p>
      <w:pPr>
        <w:widowControl/>
        <w:ind w:firstLine="560" w:firstLineChars="200"/>
        <w:rPr>
          <w:rFonts w:ascii="仿宋" w:hAnsi="仿宋" w:eastAsia="仿宋"/>
          <w:sz w:val="28"/>
          <w:szCs w:val="28"/>
        </w:rPr>
      </w:pPr>
      <w:r>
        <w:rPr>
          <w:rFonts w:hint="eastAsia" w:ascii="仿宋" w:hAnsi="仿宋" w:eastAsia="仿宋"/>
          <w:sz w:val="28"/>
          <w:szCs w:val="28"/>
        </w:rPr>
        <w:t>十、预算绩效情况说明</w:t>
      </w:r>
    </w:p>
    <w:p>
      <w:pPr>
        <w:widowControl/>
        <w:ind w:firstLine="560" w:firstLineChars="200"/>
        <w:rPr>
          <w:rFonts w:ascii="仿宋" w:hAnsi="仿宋" w:eastAsia="仿宋"/>
          <w:sz w:val="28"/>
          <w:szCs w:val="28"/>
        </w:rPr>
      </w:pPr>
      <w:r>
        <w:rPr>
          <w:rFonts w:hint="eastAsia" w:ascii="仿宋" w:hAnsi="仿宋" w:eastAsia="仿宋"/>
          <w:sz w:val="28"/>
          <w:szCs w:val="28"/>
        </w:rPr>
        <w:t>十一、其他重要事项的情况说明</w:t>
      </w:r>
    </w:p>
    <w:p>
      <w:pPr>
        <w:widowControl/>
        <w:rPr>
          <w:rFonts w:ascii="仿宋" w:hAnsi="仿宋" w:eastAsia="仿宋"/>
          <w:sz w:val="28"/>
          <w:szCs w:val="28"/>
        </w:rPr>
      </w:pPr>
      <w:r>
        <w:rPr>
          <w:rFonts w:hint="eastAsia" w:ascii="黑体" w:hAnsi="黑体" w:eastAsia="黑体"/>
          <w:sz w:val="28"/>
          <w:szCs w:val="28"/>
        </w:rPr>
        <w:t>第三部分 名词解释</w:t>
      </w:r>
    </w:p>
    <w:p>
      <w:pPr>
        <w:widowControl/>
        <w:rPr>
          <w:rFonts w:ascii="仿宋" w:hAnsi="仿宋" w:eastAsia="仿宋"/>
          <w:sz w:val="28"/>
          <w:szCs w:val="28"/>
        </w:rPr>
      </w:pPr>
      <w:r>
        <w:rPr>
          <w:rFonts w:hint="eastAsia" w:ascii="黑体" w:hAnsi="黑体" w:eastAsia="黑体"/>
          <w:sz w:val="28"/>
          <w:szCs w:val="28"/>
        </w:rPr>
        <w:t>第四部分 附件</w:t>
      </w:r>
    </w:p>
    <w:p>
      <w:pPr>
        <w:widowControl/>
        <w:ind w:firstLine="560" w:firstLineChars="200"/>
        <w:rPr>
          <w:rFonts w:ascii="仿宋" w:hAnsi="仿宋" w:eastAsia="仿宋"/>
          <w:sz w:val="28"/>
          <w:szCs w:val="28"/>
        </w:rPr>
      </w:pPr>
      <w:r>
        <w:rPr>
          <w:rFonts w:hint="eastAsia" w:ascii="仿宋" w:hAnsi="仿宋" w:eastAsia="仿宋"/>
          <w:sz w:val="28"/>
          <w:szCs w:val="28"/>
        </w:rPr>
        <w:t>附件1 2019年部门整体支出绩效评价报告</w:t>
      </w:r>
    </w:p>
    <w:p>
      <w:pPr>
        <w:widowControl/>
        <w:rPr>
          <w:rFonts w:ascii="仿宋" w:hAnsi="仿宋" w:eastAsia="仿宋"/>
          <w:sz w:val="28"/>
          <w:szCs w:val="28"/>
        </w:rPr>
      </w:pPr>
      <w:r>
        <w:rPr>
          <w:rFonts w:hint="eastAsia" w:ascii="黑体" w:hAnsi="黑体" w:eastAsia="黑体"/>
          <w:sz w:val="28"/>
          <w:szCs w:val="28"/>
        </w:rPr>
        <w:t>第五部分 附表</w:t>
      </w:r>
      <w:r>
        <w:rPr>
          <w:rFonts w:hint="eastAsia" w:ascii="仿宋" w:hAnsi="仿宋" w:eastAsia="仿宋"/>
          <w:sz w:val="28"/>
          <w:szCs w:val="28"/>
        </w:rPr>
        <w:tab/>
      </w:r>
      <w:r>
        <w:rPr>
          <w:rFonts w:hint="eastAsia" w:ascii="仿宋" w:hAnsi="仿宋" w:eastAsia="仿宋"/>
          <w:sz w:val="28"/>
          <w:szCs w:val="28"/>
        </w:rPr>
        <w:t>·</w:t>
      </w:r>
    </w:p>
    <w:p>
      <w:pPr>
        <w:widowControl/>
        <w:ind w:firstLine="560" w:firstLineChars="200"/>
        <w:rPr>
          <w:rFonts w:ascii="仿宋" w:hAnsi="仿宋" w:eastAsia="仿宋"/>
          <w:sz w:val="28"/>
          <w:szCs w:val="28"/>
        </w:rPr>
      </w:pPr>
      <w:r>
        <w:rPr>
          <w:rFonts w:hint="eastAsia" w:ascii="仿宋" w:hAnsi="仿宋" w:eastAsia="仿宋"/>
          <w:sz w:val="28"/>
          <w:szCs w:val="28"/>
        </w:rPr>
        <w:t>一、收入支出决算总表</w:t>
      </w:r>
    </w:p>
    <w:p>
      <w:pPr>
        <w:widowControl/>
        <w:ind w:firstLine="560" w:firstLineChars="200"/>
        <w:rPr>
          <w:rFonts w:ascii="仿宋" w:hAnsi="仿宋" w:eastAsia="仿宋"/>
          <w:sz w:val="28"/>
          <w:szCs w:val="28"/>
        </w:rPr>
      </w:pPr>
      <w:r>
        <w:rPr>
          <w:rFonts w:hint="eastAsia" w:ascii="仿宋" w:hAnsi="仿宋" w:eastAsia="仿宋"/>
          <w:sz w:val="28"/>
          <w:szCs w:val="28"/>
        </w:rPr>
        <w:t>二、收入总表</w:t>
      </w:r>
    </w:p>
    <w:p>
      <w:pPr>
        <w:widowControl/>
        <w:ind w:firstLine="560" w:firstLineChars="200"/>
        <w:rPr>
          <w:rFonts w:ascii="仿宋" w:hAnsi="仿宋" w:eastAsia="仿宋"/>
          <w:sz w:val="28"/>
          <w:szCs w:val="28"/>
        </w:rPr>
      </w:pPr>
      <w:r>
        <w:rPr>
          <w:rFonts w:hint="eastAsia" w:ascii="仿宋" w:hAnsi="仿宋" w:eastAsia="仿宋"/>
          <w:sz w:val="28"/>
          <w:szCs w:val="28"/>
        </w:rPr>
        <w:t>三、支出总表</w:t>
      </w:r>
    </w:p>
    <w:p>
      <w:pPr>
        <w:widowControl/>
        <w:ind w:firstLine="560" w:firstLineChars="200"/>
        <w:rPr>
          <w:rFonts w:ascii="仿宋" w:hAnsi="仿宋" w:eastAsia="仿宋"/>
          <w:sz w:val="28"/>
          <w:szCs w:val="28"/>
        </w:rPr>
      </w:pPr>
      <w:r>
        <w:rPr>
          <w:rFonts w:hint="eastAsia" w:ascii="仿宋" w:hAnsi="仿宋" w:eastAsia="仿宋"/>
          <w:sz w:val="28"/>
          <w:szCs w:val="28"/>
        </w:rPr>
        <w:t>四、财政拨款收入支出决算总表</w:t>
      </w:r>
    </w:p>
    <w:p>
      <w:pPr>
        <w:widowControl/>
        <w:ind w:firstLine="560" w:firstLineChars="200"/>
        <w:rPr>
          <w:rFonts w:ascii="仿宋" w:hAnsi="仿宋" w:eastAsia="仿宋"/>
          <w:sz w:val="28"/>
          <w:szCs w:val="28"/>
        </w:rPr>
      </w:pPr>
      <w:r>
        <w:rPr>
          <w:rFonts w:hint="eastAsia" w:ascii="仿宋" w:hAnsi="仿宋" w:eastAsia="仿宋"/>
          <w:sz w:val="28"/>
          <w:szCs w:val="28"/>
        </w:rPr>
        <w:t>五、财政拨款支出决算明细表</w:t>
      </w:r>
    </w:p>
    <w:p>
      <w:pPr>
        <w:widowControl/>
        <w:ind w:firstLine="560" w:firstLineChars="200"/>
        <w:rPr>
          <w:rFonts w:ascii="仿宋" w:hAnsi="仿宋" w:eastAsia="仿宋"/>
          <w:sz w:val="28"/>
          <w:szCs w:val="28"/>
        </w:rPr>
      </w:pPr>
      <w:r>
        <w:rPr>
          <w:rFonts w:hint="eastAsia" w:ascii="仿宋" w:hAnsi="仿宋" w:eastAsia="仿宋"/>
          <w:sz w:val="28"/>
          <w:szCs w:val="28"/>
        </w:rPr>
        <w:t>六、一般公共预算财政拨款支出决算表</w:t>
      </w:r>
    </w:p>
    <w:p>
      <w:pPr>
        <w:widowControl/>
        <w:ind w:firstLine="560" w:firstLineChars="200"/>
        <w:rPr>
          <w:rFonts w:ascii="仿宋" w:hAnsi="仿宋" w:eastAsia="仿宋"/>
          <w:sz w:val="28"/>
          <w:szCs w:val="28"/>
        </w:rPr>
      </w:pPr>
      <w:r>
        <w:rPr>
          <w:rFonts w:hint="eastAsia" w:ascii="仿宋" w:hAnsi="仿宋" w:eastAsia="仿宋"/>
          <w:sz w:val="28"/>
          <w:szCs w:val="28"/>
        </w:rPr>
        <w:t>七、一般公共预算财政拨款支出决算明细表</w:t>
      </w:r>
    </w:p>
    <w:p>
      <w:pPr>
        <w:widowControl/>
        <w:ind w:firstLine="560" w:firstLineChars="200"/>
        <w:rPr>
          <w:rFonts w:ascii="仿宋" w:hAnsi="仿宋" w:eastAsia="仿宋"/>
          <w:sz w:val="28"/>
          <w:szCs w:val="28"/>
        </w:rPr>
      </w:pPr>
      <w:r>
        <w:rPr>
          <w:rFonts w:hint="eastAsia" w:ascii="仿宋" w:hAnsi="仿宋" w:eastAsia="仿宋"/>
          <w:sz w:val="28"/>
          <w:szCs w:val="28"/>
        </w:rPr>
        <w:t>八、一般公共预算财政拨款基本支出决算表</w:t>
      </w:r>
    </w:p>
    <w:p>
      <w:pPr>
        <w:widowControl/>
        <w:ind w:firstLine="560" w:firstLineChars="200"/>
        <w:rPr>
          <w:rFonts w:ascii="仿宋" w:hAnsi="仿宋" w:eastAsia="仿宋"/>
          <w:sz w:val="28"/>
          <w:szCs w:val="28"/>
        </w:rPr>
      </w:pPr>
      <w:r>
        <w:rPr>
          <w:rFonts w:hint="eastAsia" w:ascii="仿宋" w:hAnsi="仿宋" w:eastAsia="仿宋"/>
          <w:sz w:val="28"/>
          <w:szCs w:val="28"/>
        </w:rPr>
        <w:t>九、一般公共预算财政拨款项目支出决算表</w:t>
      </w:r>
    </w:p>
    <w:p>
      <w:pPr>
        <w:widowControl/>
        <w:ind w:firstLine="560" w:firstLineChars="200"/>
        <w:rPr>
          <w:rFonts w:ascii="仿宋" w:hAnsi="仿宋" w:eastAsia="仿宋"/>
          <w:sz w:val="28"/>
          <w:szCs w:val="28"/>
        </w:rPr>
      </w:pPr>
      <w:r>
        <w:rPr>
          <w:rFonts w:hint="eastAsia" w:ascii="仿宋" w:hAnsi="仿宋" w:eastAsia="仿宋"/>
          <w:sz w:val="28"/>
          <w:szCs w:val="28"/>
        </w:rPr>
        <w:t>十、一般公共预算财政拨款“三公”经费支出决算表</w:t>
      </w:r>
    </w:p>
    <w:p>
      <w:pPr>
        <w:widowControl/>
        <w:ind w:firstLine="560" w:firstLineChars="200"/>
        <w:rPr>
          <w:rFonts w:ascii="仿宋" w:hAnsi="仿宋" w:eastAsia="仿宋"/>
          <w:sz w:val="28"/>
          <w:szCs w:val="28"/>
        </w:rPr>
      </w:pPr>
      <w:r>
        <w:rPr>
          <w:rFonts w:hint="eastAsia" w:ascii="仿宋" w:hAnsi="仿宋" w:eastAsia="仿宋"/>
          <w:sz w:val="28"/>
          <w:szCs w:val="28"/>
        </w:rPr>
        <w:t>十一、政府性基金预算财政拨款收入支出决算表</w:t>
      </w:r>
    </w:p>
    <w:p>
      <w:pPr>
        <w:widowControl/>
        <w:ind w:firstLine="560" w:firstLineChars="200"/>
        <w:rPr>
          <w:rFonts w:ascii="仿宋" w:hAnsi="仿宋" w:eastAsia="仿宋"/>
          <w:sz w:val="28"/>
          <w:szCs w:val="28"/>
        </w:rPr>
      </w:pPr>
      <w:r>
        <w:rPr>
          <w:rFonts w:hint="eastAsia" w:ascii="仿宋" w:hAnsi="仿宋" w:eastAsia="仿宋"/>
          <w:sz w:val="28"/>
          <w:szCs w:val="28"/>
        </w:rPr>
        <w:t>十二、政府性基金预算财政拨款“三公”经费支出决算表</w:t>
      </w:r>
    </w:p>
    <w:p>
      <w:pPr>
        <w:widowControl/>
        <w:ind w:firstLine="560" w:firstLineChars="200"/>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widowControl/>
        <w:jc w:val="center"/>
        <w:rPr>
          <w:rFonts w:ascii="黑体" w:hAnsi="黑体" w:eastAsia="黑体"/>
          <w:sz w:val="48"/>
          <w:szCs w:val="48"/>
        </w:rPr>
        <w:sectPr>
          <w:headerReference r:id="rId3" w:type="default"/>
          <w:pgSz w:w="11906" w:h="16838"/>
          <w:pgMar w:top="1701" w:right="1474" w:bottom="1701" w:left="1587" w:header="851" w:footer="992" w:gutter="0"/>
          <w:paperSrc/>
          <w:pgNumType w:start="1"/>
          <w:cols w:space="0" w:num="1"/>
          <w:titlePg/>
          <w:rtlGutter w:val="0"/>
          <w:docGrid w:type="lines" w:linePitch="312" w:charSpace="0"/>
        </w:sectPr>
      </w:pPr>
    </w:p>
    <w:p>
      <w:pPr>
        <w:pStyle w:val="2"/>
        <w:jc w:val="center"/>
        <w:rPr>
          <w:rFonts w:hint="eastAsia" w:ascii="方正小标宋简体" w:hAnsi="方正小标宋简体" w:eastAsia="方正小标宋简体" w:cs="方正小标宋简体"/>
          <w:bCs w:val="0"/>
        </w:rPr>
      </w:pPr>
      <w:bookmarkStart w:id="15" w:name="_Toc19089861"/>
      <w:bookmarkStart w:id="16" w:name="_Toc15377196"/>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60" w:lineRule="exact"/>
        <w:ind w:left="0" w:leftChars="0" w:right="0" w:firstLine="560" w:firstLineChars="200"/>
        <w:jc w:val="both"/>
        <w:textAlignment w:val="auto"/>
        <w:rPr>
          <w:rStyle w:val="25"/>
          <w:rFonts w:ascii="仿宋" w:hAnsi="仿宋" w:eastAsia="仿宋"/>
          <w:b w:val="0"/>
          <w:bCs w:val="0"/>
          <w:sz w:val="28"/>
          <w:szCs w:val="28"/>
        </w:rPr>
      </w:pPr>
      <w:bookmarkStart w:id="17" w:name="_Toc15377197"/>
      <w:bookmarkStart w:id="18" w:name="_Toc19089862"/>
      <w:r>
        <w:rPr>
          <w:rFonts w:hint="eastAsia" w:ascii="黑体" w:hAnsi="黑体" w:eastAsia="黑体"/>
          <w:b w:val="0"/>
          <w:sz w:val="28"/>
          <w:szCs w:val="28"/>
        </w:rPr>
        <w:t>一、基</w:t>
      </w:r>
      <w:r>
        <w:rPr>
          <w:rStyle w:val="25"/>
          <w:rFonts w:hint="eastAsia" w:ascii="黑体" w:hAnsi="黑体" w:eastAsia="黑体"/>
          <w:b w:val="0"/>
          <w:bCs w:val="0"/>
          <w:sz w:val="28"/>
          <w:szCs w:val="28"/>
        </w:rPr>
        <w:t>本职能及主要工作</w:t>
      </w:r>
      <w:bookmarkEnd w:id="17"/>
      <w:bookmarkEnd w:id="18"/>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hint="eastAsia" w:ascii="楷体" w:hAnsi="楷体" w:eastAsia="楷体" w:cs="楷体"/>
          <w:bCs/>
          <w:sz w:val="28"/>
          <w:szCs w:val="28"/>
        </w:rPr>
      </w:pPr>
      <w:bookmarkStart w:id="19" w:name="_Toc15377198"/>
      <w:bookmarkStart w:id="20" w:name="_Toc15378445"/>
      <w:bookmarkStart w:id="21" w:name="_Toc15377204"/>
      <w:r>
        <w:rPr>
          <w:rFonts w:hint="eastAsia" w:ascii="楷体" w:hAnsi="楷体" w:eastAsia="楷体" w:cs="楷体"/>
          <w:bCs/>
          <w:sz w:val="28"/>
          <w:szCs w:val="28"/>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 xml:space="preserve">1. </w:t>
      </w:r>
      <w:r>
        <w:rPr>
          <w:rFonts w:ascii="仿宋" w:hAnsi="仿宋" w:eastAsia="仿宋"/>
          <w:sz w:val="28"/>
          <w:szCs w:val="28"/>
        </w:rPr>
        <w:t>贯彻执行党和国家关于教育改革和发展的各项方针、政策。</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 实施中、小学义务教育，促进基础教育发展初中、小学学历教育。</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3. 以习近平新时代中国特色社会主义思想为指导，大力推动学校党建工作。</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 xml:space="preserve">4. </w:t>
      </w:r>
      <w:r>
        <w:rPr>
          <w:rFonts w:ascii="仿宋" w:hAnsi="仿宋" w:eastAsia="仿宋"/>
          <w:sz w:val="28"/>
          <w:szCs w:val="28"/>
        </w:rPr>
        <w:t>负责</w:t>
      </w:r>
      <w:r>
        <w:rPr>
          <w:rFonts w:hint="eastAsia" w:ascii="仿宋" w:hAnsi="仿宋" w:eastAsia="仿宋"/>
          <w:sz w:val="28"/>
          <w:szCs w:val="28"/>
        </w:rPr>
        <w:t>单位</w:t>
      </w:r>
      <w:r>
        <w:rPr>
          <w:rFonts w:ascii="仿宋" w:hAnsi="仿宋" w:eastAsia="仿宋"/>
          <w:sz w:val="28"/>
          <w:szCs w:val="28"/>
        </w:rPr>
        <w:t>教育经费的</w:t>
      </w:r>
      <w:r>
        <w:rPr>
          <w:rFonts w:hint="eastAsia" w:ascii="仿宋" w:hAnsi="仿宋" w:eastAsia="仿宋"/>
          <w:sz w:val="28"/>
          <w:szCs w:val="28"/>
        </w:rPr>
        <w:t>管理</w:t>
      </w:r>
      <w:r>
        <w:rPr>
          <w:rFonts w:ascii="仿宋" w:hAnsi="仿宋" w:eastAsia="仿宋"/>
          <w:sz w:val="28"/>
          <w:szCs w:val="28"/>
        </w:rPr>
        <w:t>，</w:t>
      </w:r>
      <w:r>
        <w:rPr>
          <w:rFonts w:hint="eastAsia" w:ascii="仿宋" w:hAnsi="仿宋" w:eastAsia="仿宋"/>
          <w:sz w:val="28"/>
          <w:szCs w:val="28"/>
        </w:rPr>
        <w:t>保证中小学正常运转，用于教学活动和后勤服务等方面开支</w:t>
      </w:r>
      <w:r>
        <w:rPr>
          <w:rFonts w:ascii="仿宋" w:hAnsi="仿宋" w:eastAsia="仿宋"/>
          <w:sz w:val="28"/>
          <w:szCs w:val="28"/>
        </w:rPr>
        <w:t>。</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5. 加强队伍建设，转变工作作风。</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6. 构建发展平台，引领教师专业发展。</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7. 深化常规管理，提高教育教学质量。</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8. 深化常规管理，提高教育教学质量。</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9. 强化安全意识，打造平安和谐校园。</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楷体_GB2312" w:hAnsi="仿宋" w:eastAsia="楷体_GB2312"/>
          <w:color w:val="000000"/>
          <w:spacing w:val="-6"/>
          <w:kern w:val="1"/>
          <w:sz w:val="28"/>
          <w:szCs w:val="28"/>
        </w:rPr>
      </w:pPr>
      <w:r>
        <w:rPr>
          <w:rFonts w:hint="eastAsia" w:ascii="仿宋" w:hAnsi="仿宋" w:eastAsia="仿宋"/>
          <w:sz w:val="28"/>
          <w:szCs w:val="28"/>
        </w:rPr>
        <w:t>10. 紧跟时代步伐，发挥工会职能，增进民生福祉。</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11. 精准帮扶尽锐出战，关爱惠民传递温暖。</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（二）2019年重点工作完成情况</w:t>
      </w:r>
      <w:bookmarkEnd w:id="22"/>
      <w:bookmarkEnd w:id="23"/>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一、全面深入学习贯彻落实党的十九大各项会议和省第十一次党代会精神，以习近平新时代中国特色社会主义思想为指导，大力推动学校党建工作。</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1.深入研究推进一个理念下的管理模式即党总支领导下的执行校长负责制，完善相关制度。</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2.铸品牌，亮特色。以“一校区一品牌，一支部一特色”的党建思路，创新开展工作。</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3.以习近平新时代中国特色社会主义思想为指导，加强学校党风廉政工作。</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二、打造学习型的班子，加强班子成员的学习，打造一支能干事、会干事、干成事的管理队伍。</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1.强抓师德师风建设，不断提高教师修养。</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2.开展好名师讲坛活动。</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3.鼓励教师积极参加各级各类专业培训。</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4.为中青年骨干教师发展搭建提升平台。</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三、深化常规管理，提高教育教学质量</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 推进“三项改革”。</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 抓好教学常规管理。</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3.深入开展减负增效提质工程。</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4.全力做好小升初及中考备考、考试工作。</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四、深化常规管理，提高教育教学质量</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1.加强教研组建设。管理、指导各教研组每周定时定点开展教研例会，形成浓郁的教学研讨氛围。</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2.开展校本课程研究。</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五、创新德育形式，促进学生全面发展。</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以学生日常行为规范达标为手段，以爱国主义、集体主义和社会主义教育为主线，以创建“书香校园”“和谐校园”“文明校园”为载体，以法制教育、诚信教育、国防教育、行为习惯养成教育、心理健康教育为抓手，进一步培养学生的良好的思想道德品质。</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2.狠抓德育队伍建设，拓展德育渠道，形成全员育人格局。</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六、强化安全意识，打造平安和谐校园。</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1.强化管理，建立三级安保体系。</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2.细化措施，健全三类制度。</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r>
        <w:rPr>
          <w:rFonts w:hint="eastAsia" w:ascii="仿宋" w:hAnsi="仿宋" w:eastAsia="仿宋"/>
          <w:sz w:val="28"/>
          <w:szCs w:val="28"/>
        </w:rPr>
        <w:t>3.加强教育，用好三个平台。</w:t>
      </w:r>
    </w:p>
    <w:p>
      <w:pPr>
        <w:pageBreakBefore w:val="0"/>
        <w:widowControl w:val="0"/>
        <w:kinsoku/>
        <w:wordWrap/>
        <w:overflowPunct/>
        <w:topLinePunct w:val="0"/>
        <w:autoSpaceDE/>
        <w:autoSpaceDN/>
        <w:bidi w:val="0"/>
        <w:snapToGrid w:val="0"/>
        <w:spacing w:line="560" w:lineRule="exact"/>
        <w:ind w:left="0" w:leftChars="0" w:right="0" w:firstLine="560" w:firstLineChars="200"/>
        <w:jc w:val="both"/>
        <w:textAlignment w:val="auto"/>
        <w:rPr>
          <w:rFonts w:ascii="仿宋" w:hAnsi="仿宋" w:eastAsia="仿宋"/>
          <w:sz w:val="28"/>
          <w:szCs w:val="28"/>
        </w:rPr>
      </w:pPr>
    </w:p>
    <w:p>
      <w:pPr>
        <w:pageBreakBefore w:val="0"/>
        <w:widowControl w:val="0"/>
        <w:kinsoku/>
        <w:wordWrap/>
        <w:overflowPunct/>
        <w:topLinePunct w:val="0"/>
        <w:autoSpaceDE/>
        <w:autoSpaceDN/>
        <w:bidi w:val="0"/>
        <w:snapToGrid w:val="0"/>
        <w:spacing w:line="560" w:lineRule="exact"/>
        <w:ind w:left="0" w:leftChars="0" w:right="0" w:firstLine="536" w:firstLineChars="200"/>
        <w:jc w:val="both"/>
        <w:textAlignment w:val="auto"/>
        <w:rPr>
          <w:rFonts w:ascii="楷体_GB2312" w:hAnsi="仿宋" w:eastAsia="楷体_GB2312"/>
          <w:color w:val="000000"/>
          <w:spacing w:val="-6"/>
          <w:kern w:val="1"/>
          <w:sz w:val="28"/>
          <w:szCs w:val="28"/>
        </w:rPr>
      </w:pPr>
    </w:p>
    <w:bookmarkEnd w:id="21"/>
    <w:p>
      <w:pPr>
        <w:rPr>
          <w:rStyle w:val="24"/>
          <w:rFonts w:hint="eastAsia" w:ascii="黑体" w:hAnsi="黑体" w:eastAsia="黑体"/>
          <w:b w:val="0"/>
          <w:bCs w:val="0"/>
        </w:rPr>
      </w:pPr>
      <w:bookmarkStart w:id="24" w:name="_Toc19089865"/>
      <w:bookmarkStart w:id="25" w:name="_Toc15377205"/>
      <w:r>
        <w:rPr>
          <w:rStyle w:val="24"/>
          <w:rFonts w:hint="eastAsia" w:ascii="黑体" w:hAnsi="黑体" w:eastAsia="黑体"/>
          <w:b w:val="0"/>
          <w:bCs w:val="0"/>
        </w:rPr>
        <w:br w:type="page"/>
      </w:r>
    </w:p>
    <w:p>
      <w:pPr>
        <w:pStyle w:val="23"/>
        <w:spacing w:line="520" w:lineRule="exact"/>
        <w:ind w:firstLine="880"/>
        <w:outlineLvl w:val="1"/>
        <w:rPr>
          <w:rFonts w:hint="eastAsia" w:ascii="方正小标宋简体" w:hAnsi="方正小标宋简体" w:eastAsia="方正小标宋简体" w:cs="方正小标宋简体"/>
          <w:sz w:val="32"/>
          <w:szCs w:val="32"/>
        </w:rPr>
      </w:pPr>
      <w:r>
        <w:rPr>
          <w:rStyle w:val="24"/>
          <w:rFonts w:hint="eastAsia" w:ascii="方正小标宋简体" w:hAnsi="方正小标宋简体" w:eastAsia="方正小标宋简体" w:cs="方正小标宋简体"/>
          <w:b w:val="0"/>
          <w:bCs w:val="0"/>
        </w:rPr>
        <w:t>第二部分</w:t>
      </w:r>
      <w:r>
        <w:rPr>
          <w:rFonts w:hint="eastAsia" w:ascii="方正小标宋简体" w:hAnsi="方正小标宋简体" w:eastAsia="方正小标宋简体" w:cs="方正小标宋简体"/>
        </w:rPr>
        <w:t xml:space="preserve"> </w:t>
      </w:r>
      <w:r>
        <w:rPr>
          <w:rStyle w:val="24"/>
          <w:rFonts w:hint="eastAsia" w:ascii="方正小标宋简体" w:hAnsi="方正小标宋简体" w:eastAsia="方正小标宋简体" w:cs="方正小标宋简体"/>
          <w:b w:val="0"/>
          <w:bCs w:val="0"/>
        </w:rPr>
        <w:t>2019年度部门决算情况说明</w:t>
      </w:r>
    </w:p>
    <w:p>
      <w:pPr>
        <w:pStyle w:val="23"/>
        <w:spacing w:line="520" w:lineRule="exact"/>
        <w:ind w:firstLine="640"/>
        <w:outlineLvl w:val="1"/>
        <w:rPr>
          <w:rFonts w:ascii="黑体" w:hAnsi="黑体" w:eastAsia="黑体"/>
          <w:sz w:val="32"/>
          <w:szCs w:val="32"/>
        </w:rPr>
      </w:pPr>
    </w:p>
    <w:p>
      <w:pPr>
        <w:pStyle w:val="23"/>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r>
        <w:rPr>
          <w:rFonts w:hint="eastAsia" w:ascii="黑体" w:hAnsi="黑体" w:eastAsia="黑体"/>
          <w:b w:val="0"/>
          <w:bCs w:val="0"/>
          <w:sz w:val="28"/>
          <w:szCs w:val="28"/>
        </w:rPr>
        <w:t>一、收</w:t>
      </w:r>
      <w:r>
        <w:rPr>
          <w:rStyle w:val="25"/>
          <w:rFonts w:hint="eastAsia" w:ascii="黑体" w:hAnsi="黑体" w:eastAsia="黑体"/>
          <w:b w:val="0"/>
          <w:bCs w:val="0"/>
          <w:sz w:val="28"/>
          <w:szCs w:val="28"/>
        </w:rPr>
        <w:t>入支出决算总体情况说明</w:t>
      </w:r>
      <w:bookmarkEnd w:id="24"/>
      <w:bookmarkEnd w:id="25"/>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_GB2312"/>
          <w:b w:val="0"/>
          <w:bCs w:val="0"/>
          <w:sz w:val="28"/>
          <w:szCs w:val="28"/>
        </w:rPr>
      </w:pPr>
      <w:r>
        <w:rPr>
          <w:rFonts w:hint="eastAsia" w:ascii="仿宋" w:hAnsi="仿宋" w:eastAsia="仿宋"/>
          <w:b w:val="0"/>
          <w:bCs w:val="0"/>
          <w:sz w:val="28"/>
          <w:szCs w:val="28"/>
        </w:rPr>
        <w:t>2019年度利州区东城实验学校收入总计10359.11万元，与2018年相比（7256.91万元），收入总计增加3102.19万元，增涨42.74%。收入主要变动原因一是2019年区财政安排万达项目征地和土地款3419.59万元，该项资金在2019年收入中占比33.01%</w:t>
      </w:r>
      <w:r>
        <w:rPr>
          <w:rFonts w:hint="eastAsia" w:ascii="仿宋_GB2312" w:eastAsia="仿宋_GB2312"/>
          <w:b w:val="0"/>
          <w:bCs w:val="0"/>
          <w:kern w:val="0"/>
          <w:sz w:val="28"/>
          <w:szCs w:val="28"/>
        </w:rPr>
        <w:t>；</w:t>
      </w:r>
      <w:r>
        <w:rPr>
          <w:rFonts w:hint="eastAsia" w:ascii="仿宋" w:hAnsi="仿宋" w:eastAsia="仿宋"/>
          <w:b w:val="0"/>
          <w:bCs w:val="0"/>
          <w:sz w:val="28"/>
          <w:szCs w:val="28"/>
        </w:rPr>
        <w:t>二是区财政安排省运会训练馆工程款73万元，该项资金在2019年收入中占比0.70%；三是因人员工资支出增涨和教职工总数增加，财政人员经费拨款收入增涨，人员经费支出相比2018年增涨117.13万元，增幅2.12%。</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2019年度支出合计10190.06万元，与2018年相比（7095.55万元），支出增加3094.51万元，增加43.61%。支出主要变动原因一是支出万达项目征地和土地款3419.59万元，在2019年支出总数中占比33.55%；</w:t>
      </w:r>
      <w:r>
        <w:rPr>
          <w:rFonts w:hint="eastAsia" w:ascii="仿宋_GB2312" w:eastAsia="仿宋_GB2312"/>
          <w:b w:val="0"/>
          <w:bCs w:val="0"/>
          <w:kern w:val="0"/>
          <w:sz w:val="28"/>
          <w:szCs w:val="28"/>
        </w:rPr>
        <w:t>二是人员工资支出增长和教职工总数增加，</w:t>
      </w:r>
      <w:r>
        <w:rPr>
          <w:rFonts w:hint="eastAsia" w:ascii="仿宋" w:hAnsi="仿宋" w:eastAsia="仿宋"/>
          <w:b w:val="0"/>
          <w:bCs w:val="0"/>
          <w:sz w:val="28"/>
          <w:szCs w:val="28"/>
        </w:rPr>
        <w:t>人员经费支出相比2018年增涨117.13万元，增幅2.12%</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r>
        <w:rPr>
          <w:rFonts w:hint="eastAsia" w:ascii="仿宋" w:hAnsi="仿宋" w:eastAsia="仿宋"/>
          <w:b w:val="0"/>
          <w:bCs w:val="0"/>
          <w:sz w:val="28"/>
          <w:szCs w:val="28"/>
        </w:rPr>
        <w:t>（图</w:t>
      </w:r>
      <w:r>
        <w:rPr>
          <w:rFonts w:ascii="仿宋" w:hAnsi="仿宋" w:eastAsia="仿宋"/>
          <w:b w:val="0"/>
          <w:bCs w:val="0"/>
          <w:sz w:val="28"/>
          <w:szCs w:val="28"/>
        </w:rPr>
        <w:t>1</w:t>
      </w:r>
      <w:r>
        <w:rPr>
          <w:rFonts w:hint="eastAsia" w:ascii="仿宋" w:hAnsi="仿宋" w:eastAsia="仿宋"/>
          <w:b w:val="0"/>
          <w:bCs w:val="0"/>
          <w:sz w:val="28"/>
          <w:szCs w:val="28"/>
        </w:rPr>
        <w:t>：收、支决算总计变动情况图）（柱状图）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r>
        <w:rPr>
          <w:rFonts w:ascii="仿宋_GB2312" w:eastAsia="仿宋_GB2312"/>
          <w:b w:val="0"/>
          <w:bCs w:val="0"/>
          <w:sz w:val="28"/>
          <w:szCs w:val="28"/>
        </w:rPr>
        <w:drawing>
          <wp:anchor distT="0" distB="0" distL="114300" distR="114300" simplePos="0" relativeHeight="251659264" behindDoc="0" locked="0" layoutInCell="1" allowOverlap="1">
            <wp:simplePos x="0" y="0"/>
            <wp:positionH relativeFrom="column">
              <wp:posOffset>-36830</wp:posOffset>
            </wp:positionH>
            <wp:positionV relativeFrom="paragraph">
              <wp:posOffset>191770</wp:posOffset>
            </wp:positionV>
            <wp:extent cx="5466715" cy="2366645"/>
            <wp:effectExtent l="5080" t="4445" r="14605" b="6731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黑体" w:hAnsi="黑体" w:eastAsia="黑体"/>
          <w:b w:val="0"/>
          <w:bCs w:val="0"/>
          <w:sz w:val="28"/>
          <w:szCs w:val="28"/>
        </w:rPr>
      </w:pPr>
      <w:bookmarkStart w:id="26" w:name="_Toc15377206"/>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25"/>
          <w:rFonts w:ascii="黑体" w:hAnsi="黑体" w:eastAsia="黑体"/>
          <w:b w:val="0"/>
          <w:bCs w:val="0"/>
          <w:sz w:val="28"/>
          <w:szCs w:val="28"/>
        </w:rPr>
      </w:pPr>
      <w:r>
        <w:rPr>
          <w:rFonts w:hint="eastAsia" w:ascii="黑体" w:hAnsi="黑体" w:eastAsia="黑体"/>
          <w:b w:val="0"/>
          <w:bCs w:val="0"/>
          <w:sz w:val="28"/>
          <w:szCs w:val="28"/>
        </w:rPr>
        <w:t>二、收</w:t>
      </w:r>
      <w:r>
        <w:rPr>
          <w:rStyle w:val="25"/>
          <w:rFonts w:hint="eastAsia" w:ascii="黑体" w:hAnsi="黑体" w:eastAsia="黑体"/>
          <w:b w:val="0"/>
          <w:bCs w:val="0"/>
          <w:sz w:val="28"/>
          <w:szCs w:val="28"/>
        </w:rPr>
        <w:t>入决算情况说明</w:t>
      </w:r>
      <w:bookmarkEnd w:id="26"/>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Fonts w:ascii="仿宋" w:hAnsi="仿宋" w:eastAsia="仿宋"/>
          <w:b w:val="0"/>
          <w:bCs w:val="0"/>
          <w:sz w:val="28"/>
          <w:szCs w:val="28"/>
        </w:rPr>
      </w:pPr>
      <w:bookmarkStart w:id="27"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9年本年收入合计10359.11万元，其中：一般公共预算财政拨款收入9946.62万元，占比96.02%；政府性基金预算财政拨款收入0.00万元，占比0.00%；国有资本经营预算财政拨款收入0.00万元，占比0.00</w:t>
      </w:r>
      <w:r>
        <w:rPr>
          <w:rFonts w:ascii="仿宋" w:hAnsi="仿宋" w:eastAsia="仿宋"/>
          <w:b w:val="0"/>
          <w:bCs w:val="0"/>
          <w:sz w:val="28"/>
          <w:szCs w:val="28"/>
        </w:rPr>
        <w:t>%</w:t>
      </w:r>
      <w:r>
        <w:rPr>
          <w:rFonts w:hint="eastAsia" w:ascii="仿宋" w:hAnsi="仿宋" w:eastAsia="仿宋"/>
          <w:b w:val="0"/>
          <w:bCs w:val="0"/>
          <w:sz w:val="28"/>
          <w:szCs w:val="28"/>
        </w:rPr>
        <w:t>；事业收入0.00万元，占0.00</w:t>
      </w:r>
      <w:r>
        <w:rPr>
          <w:rFonts w:ascii="仿宋" w:hAnsi="仿宋" w:eastAsia="仿宋"/>
          <w:b w:val="0"/>
          <w:bCs w:val="0"/>
          <w:sz w:val="28"/>
          <w:szCs w:val="28"/>
        </w:rPr>
        <w:t>%</w:t>
      </w:r>
      <w:r>
        <w:rPr>
          <w:rFonts w:hint="eastAsia" w:ascii="仿宋" w:hAnsi="仿宋" w:eastAsia="仿宋"/>
          <w:b w:val="0"/>
          <w:bCs w:val="0"/>
          <w:sz w:val="28"/>
          <w:szCs w:val="28"/>
        </w:rPr>
        <w:t>；经营收入0.00万元，占0.00</w:t>
      </w:r>
      <w:r>
        <w:rPr>
          <w:rFonts w:ascii="仿宋" w:hAnsi="仿宋" w:eastAsia="仿宋"/>
          <w:b w:val="0"/>
          <w:bCs w:val="0"/>
          <w:sz w:val="28"/>
          <w:szCs w:val="28"/>
        </w:rPr>
        <w:t>%</w:t>
      </w:r>
      <w:r>
        <w:rPr>
          <w:rFonts w:hint="eastAsia" w:ascii="仿宋" w:hAnsi="仿宋" w:eastAsia="仿宋"/>
          <w:b w:val="0"/>
          <w:bCs w:val="0"/>
          <w:sz w:val="28"/>
          <w:szCs w:val="28"/>
        </w:rPr>
        <w:t>；附属单位上缴收入0.00万元，占0.00</w:t>
      </w:r>
      <w:r>
        <w:rPr>
          <w:rFonts w:ascii="仿宋" w:hAnsi="仿宋" w:eastAsia="仿宋"/>
          <w:b w:val="0"/>
          <w:bCs w:val="0"/>
          <w:sz w:val="28"/>
          <w:szCs w:val="28"/>
        </w:rPr>
        <w:t>%</w:t>
      </w:r>
      <w:r>
        <w:rPr>
          <w:rFonts w:hint="eastAsia" w:ascii="仿宋" w:hAnsi="仿宋" w:eastAsia="仿宋"/>
          <w:b w:val="0"/>
          <w:bCs w:val="0"/>
          <w:sz w:val="28"/>
          <w:szCs w:val="28"/>
        </w:rPr>
        <w:t>；其他收入412.48万元，占比3.98%。</w:t>
      </w:r>
      <w:bookmarkEnd w:id="27"/>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r>
        <w:rPr>
          <w:rFonts w:hint="eastAsia" w:ascii="仿宋" w:hAnsi="仿宋" w:eastAsia="仿宋"/>
          <w:b w:val="0"/>
          <w:bCs w:val="0"/>
          <w:sz w:val="28"/>
          <w:szCs w:val="28"/>
        </w:rPr>
        <w:t>（图2：收入决算结构图）（饼状图）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r>
        <w:rPr>
          <w:rFonts w:ascii="仿宋_GB2312" w:eastAsia="仿宋_GB2312"/>
          <w:b w:val="0"/>
          <w:bCs w:val="0"/>
          <w:sz w:val="28"/>
          <w:szCs w:val="28"/>
        </w:rPr>
        <w:drawing>
          <wp:anchor distT="0" distB="0" distL="114300" distR="114300" simplePos="0" relativeHeight="251660288" behindDoc="0" locked="0" layoutInCell="1" allowOverlap="1">
            <wp:simplePos x="0" y="0"/>
            <wp:positionH relativeFrom="column">
              <wp:posOffset>83185</wp:posOffset>
            </wp:positionH>
            <wp:positionV relativeFrom="paragraph">
              <wp:posOffset>28575</wp:posOffset>
            </wp:positionV>
            <wp:extent cx="5311775" cy="3247390"/>
            <wp:effectExtent l="4445" t="4445" r="17780"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28" w:name="_Toc15377207"/>
      <w:bookmarkStart w:id="29" w:name="_Toc19089867"/>
      <w:r>
        <w:rPr>
          <w:rFonts w:hint="eastAsia" w:ascii="黑体" w:hAnsi="黑体" w:eastAsia="黑体"/>
          <w:b w:val="0"/>
          <w:bCs w:val="0"/>
          <w:sz w:val="28"/>
          <w:szCs w:val="28"/>
        </w:rPr>
        <w:t>三、支</w:t>
      </w:r>
      <w:r>
        <w:rPr>
          <w:rStyle w:val="25"/>
          <w:rFonts w:hint="eastAsia" w:ascii="黑体" w:hAnsi="黑体" w:eastAsia="黑体"/>
          <w:b w:val="0"/>
          <w:bCs w:val="0"/>
          <w:sz w:val="28"/>
          <w:szCs w:val="28"/>
        </w:rPr>
        <w:t>出决算情况说明</w:t>
      </w:r>
      <w:bookmarkEnd w:id="28"/>
      <w:bookmarkEnd w:id="29"/>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9年本年支出合计10190.06万元，其中：基本支出6502.17万元，占63.80%；项目支出3687.89万元，占36.20%；上缴上级支出0.00万元，占0.00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hint="eastAsia" w:ascii="仿宋" w:hAnsi="仿宋" w:eastAsia="仿宋"/>
          <w:b w:val="0"/>
          <w:bCs w:val="0"/>
          <w:sz w:val="28"/>
          <w:szCs w:val="28"/>
        </w:rPr>
      </w:pP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（图3：支出决算结构图）（饼状图）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drawing>
          <wp:anchor distT="0" distB="0" distL="114300" distR="114300" simplePos="0" relativeHeight="251661312" behindDoc="0" locked="0" layoutInCell="1" allowOverlap="1">
            <wp:simplePos x="0" y="0"/>
            <wp:positionH relativeFrom="column">
              <wp:posOffset>6350</wp:posOffset>
            </wp:positionH>
            <wp:positionV relativeFrom="paragraph">
              <wp:posOffset>219710</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30" w:name="_Toc15377208"/>
      <w:bookmarkStart w:id="31" w:name="_Toc19089868"/>
      <w:r>
        <w:rPr>
          <w:rFonts w:hint="eastAsia" w:ascii="黑体" w:hAnsi="黑体" w:eastAsia="黑体"/>
          <w:b w:val="0"/>
          <w:bCs w:val="0"/>
          <w:sz w:val="28"/>
          <w:szCs w:val="28"/>
        </w:rPr>
        <w:t>四、财</w:t>
      </w:r>
      <w:r>
        <w:rPr>
          <w:rStyle w:val="25"/>
          <w:rFonts w:hint="eastAsia" w:ascii="黑体" w:hAnsi="黑体" w:eastAsia="黑体"/>
          <w:b w:val="0"/>
          <w:bCs w:val="0"/>
          <w:sz w:val="28"/>
          <w:szCs w:val="28"/>
        </w:rPr>
        <w:t>政拨款收入支出决算总体情况说明</w:t>
      </w:r>
      <w:bookmarkEnd w:id="30"/>
      <w:bookmarkEnd w:id="31"/>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_GB2312"/>
          <w:b w:val="0"/>
          <w:bCs w:val="0"/>
          <w:sz w:val="28"/>
          <w:szCs w:val="28"/>
        </w:rPr>
      </w:pPr>
      <w:r>
        <w:rPr>
          <w:rFonts w:hint="eastAsia" w:ascii="仿宋" w:hAnsi="仿宋" w:eastAsia="仿宋"/>
          <w:b w:val="0"/>
          <w:bCs w:val="0"/>
          <w:sz w:val="28"/>
          <w:szCs w:val="28"/>
        </w:rPr>
        <w:t>2019年度利州区东城实验学校收入总计10359.11万元，与2018年相比（7256.91万元），收入总计增加3102.19万元，增涨42.74%。收入主要变动原因一是2019年区财政安排万达项目征地和土地款3419.59万元，该项资金在2019年收入中占比33.01%</w:t>
      </w:r>
      <w:r>
        <w:rPr>
          <w:rFonts w:hint="eastAsia" w:ascii="仿宋_GB2312" w:eastAsia="仿宋_GB2312"/>
          <w:b w:val="0"/>
          <w:bCs w:val="0"/>
          <w:kern w:val="0"/>
          <w:sz w:val="28"/>
          <w:szCs w:val="28"/>
        </w:rPr>
        <w:t>；</w:t>
      </w:r>
      <w:r>
        <w:rPr>
          <w:rFonts w:hint="eastAsia" w:ascii="仿宋" w:hAnsi="仿宋" w:eastAsia="仿宋"/>
          <w:b w:val="0"/>
          <w:bCs w:val="0"/>
          <w:sz w:val="28"/>
          <w:szCs w:val="28"/>
        </w:rPr>
        <w:t>二是区财政安排省运会训练馆工程款73万元，该项资金在2019年收入中占比0.70%；三是因人员工资支出增涨和教职工总数增加，财政人员经费拨款收入增涨，人员经费支出相比2018年增涨117.13万元，增幅2.12%。</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2019年度支出合计10190.06万元，与2018年相比（7095.55万元），支出增加3094.51万元，增加43.61%。支出主要变动原因一是支出万达项目征地和土地款3419.59万元，在2019年支出总数中占比33.55%；</w:t>
      </w:r>
      <w:r>
        <w:rPr>
          <w:rFonts w:hint="eastAsia" w:ascii="仿宋_GB2312" w:eastAsia="仿宋_GB2312"/>
          <w:b w:val="0"/>
          <w:bCs w:val="0"/>
          <w:kern w:val="0"/>
          <w:sz w:val="28"/>
          <w:szCs w:val="28"/>
        </w:rPr>
        <w:t>二是人员工资支出增长和教职工总数增加，</w:t>
      </w:r>
      <w:r>
        <w:rPr>
          <w:rFonts w:hint="eastAsia" w:ascii="仿宋" w:hAnsi="仿宋" w:eastAsia="仿宋"/>
          <w:b w:val="0"/>
          <w:bCs w:val="0"/>
          <w:sz w:val="28"/>
          <w:szCs w:val="28"/>
        </w:rPr>
        <w:t>人员经费支出相比2018年增涨117.13万元，增幅2.12%</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（图4：财政拨款收、支决算总计变动情况）（柱状图）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（除国有资本经营预算外，数据来源于财决</w:t>
      </w:r>
      <w:r>
        <w:rPr>
          <w:rFonts w:ascii="仿宋" w:hAnsi="仿宋" w:eastAsia="仿宋"/>
          <w:b w:val="0"/>
          <w:bCs w:val="0"/>
          <w:sz w:val="28"/>
          <w:szCs w:val="28"/>
        </w:rPr>
        <w:t>Z01-1</w:t>
      </w:r>
      <w:r>
        <w:rPr>
          <w:rFonts w:hint="eastAsia" w:ascii="仿宋" w:hAnsi="仿宋" w:eastAsia="仿宋"/>
          <w:b w:val="0"/>
          <w:bCs w:val="0"/>
          <w:sz w:val="28"/>
          <w:szCs w:val="28"/>
        </w:rPr>
        <w:t>表，口径为“总计”数+国有资本经营预算）</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32" w:name="_Toc19089869"/>
      <w:bookmarkStart w:id="33" w:name="_Toc15377209"/>
      <w:r>
        <w:rPr>
          <w:rFonts w:hint="eastAsia" w:ascii="黑体" w:hAnsi="黑体" w:eastAsia="黑体"/>
          <w:b w:val="0"/>
          <w:bCs w:val="0"/>
          <w:sz w:val="28"/>
          <w:szCs w:val="28"/>
        </w:rPr>
        <w:t>五、一</w:t>
      </w:r>
      <w:r>
        <w:rPr>
          <w:rStyle w:val="25"/>
          <w:rFonts w:hint="eastAsia" w:ascii="黑体" w:hAnsi="黑体" w:eastAsia="黑体"/>
          <w:b w:val="0"/>
          <w:bCs w:val="0"/>
          <w:sz w:val="28"/>
          <w:szCs w:val="28"/>
        </w:rPr>
        <w:t>般公共预算财政拨款支出决算情况说明</w:t>
      </w:r>
      <w:bookmarkEnd w:id="32"/>
      <w:bookmarkEnd w:id="33"/>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hint="eastAsia" w:ascii="楷体" w:hAnsi="楷体" w:eastAsia="楷体" w:cs="楷体"/>
          <w:b w:val="0"/>
          <w:bCs w:val="0"/>
          <w:sz w:val="28"/>
          <w:szCs w:val="28"/>
        </w:rPr>
      </w:pPr>
      <w:bookmarkStart w:id="34" w:name="_Toc15377210"/>
      <w:r>
        <w:rPr>
          <w:rFonts w:hint="eastAsia" w:ascii="楷体" w:hAnsi="楷体" w:eastAsia="楷体" w:cs="楷体"/>
          <w:b w:val="0"/>
          <w:bCs w:val="0"/>
          <w:sz w:val="28"/>
          <w:szCs w:val="28"/>
        </w:rPr>
        <w:t>（一）一般公共预算财政拨款支出决算总体情况</w:t>
      </w:r>
      <w:bookmarkEnd w:id="34"/>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9年一般公共预算财政拨款支出6357.98万元，占本年支出合计（10190.06</w:t>
      </w:r>
      <w:r>
        <w:rPr>
          <w:rFonts w:ascii="仿宋" w:hAnsi="仿宋" w:eastAsia="仿宋"/>
          <w:b w:val="0"/>
          <w:bCs w:val="0"/>
          <w:sz w:val="28"/>
          <w:szCs w:val="28"/>
        </w:rPr>
        <w:t>万元</w:t>
      </w:r>
      <w:r>
        <w:rPr>
          <w:rFonts w:hint="eastAsia" w:ascii="仿宋" w:hAnsi="仿宋" w:eastAsia="仿宋"/>
          <w:b w:val="0"/>
          <w:bCs w:val="0"/>
          <w:sz w:val="28"/>
          <w:szCs w:val="28"/>
        </w:rPr>
        <w:t>）的62.39</w:t>
      </w:r>
      <w:r>
        <w:rPr>
          <w:rFonts w:ascii="仿宋" w:hAnsi="仿宋" w:eastAsia="仿宋"/>
          <w:b w:val="0"/>
          <w:bCs w:val="0"/>
          <w:sz w:val="28"/>
          <w:szCs w:val="28"/>
        </w:rPr>
        <w:t>%</w:t>
      </w:r>
      <w:r>
        <w:rPr>
          <w:rFonts w:hint="eastAsia" w:ascii="仿宋" w:hAnsi="仿宋" w:eastAsia="仿宋"/>
          <w:b w:val="0"/>
          <w:bCs w:val="0"/>
          <w:sz w:val="28"/>
          <w:szCs w:val="28"/>
        </w:rPr>
        <w:t>。与</w:t>
      </w:r>
      <w:r>
        <w:rPr>
          <w:rFonts w:ascii="仿宋" w:hAnsi="仿宋" w:eastAsia="仿宋"/>
          <w:b w:val="0"/>
          <w:bCs w:val="0"/>
          <w:sz w:val="28"/>
          <w:szCs w:val="28"/>
        </w:rPr>
        <w:t>201</w:t>
      </w:r>
      <w:r>
        <w:rPr>
          <w:rFonts w:hint="eastAsia" w:ascii="仿宋" w:hAnsi="仿宋" w:eastAsia="仿宋"/>
          <w:b w:val="0"/>
          <w:bCs w:val="0"/>
          <w:sz w:val="28"/>
          <w:szCs w:val="28"/>
        </w:rPr>
        <w:t>8年相比（6240.85万元），一般公共预算财政拨款支出增加117.13万元，增长1.87</w:t>
      </w:r>
      <w:r>
        <w:rPr>
          <w:rFonts w:ascii="仿宋" w:hAnsi="仿宋" w:eastAsia="仿宋"/>
          <w:b w:val="0"/>
          <w:bCs w:val="0"/>
          <w:sz w:val="28"/>
          <w:szCs w:val="28"/>
        </w:rPr>
        <w:t>%</w:t>
      </w:r>
      <w:r>
        <w:rPr>
          <w:rFonts w:hint="eastAsia" w:ascii="仿宋" w:hAnsi="仿宋" w:eastAsia="仿宋"/>
          <w:b w:val="0"/>
          <w:bCs w:val="0"/>
          <w:sz w:val="28"/>
          <w:szCs w:val="28"/>
        </w:rPr>
        <w:t>。</w:t>
      </w:r>
      <w:r>
        <w:rPr>
          <w:rFonts w:hint="eastAsia" w:ascii="仿宋_GB2312" w:eastAsia="仿宋_GB2312"/>
          <w:b w:val="0"/>
          <w:bCs w:val="0"/>
          <w:kern w:val="0"/>
          <w:sz w:val="28"/>
          <w:szCs w:val="28"/>
        </w:rPr>
        <w:t>主要变动原因二是人员工资支出增长和教职工总数增加，</w:t>
      </w:r>
      <w:r>
        <w:rPr>
          <w:rFonts w:hint="eastAsia" w:ascii="仿宋" w:hAnsi="仿宋" w:eastAsia="仿宋"/>
          <w:b w:val="0"/>
          <w:bCs w:val="0"/>
          <w:sz w:val="28"/>
          <w:szCs w:val="28"/>
        </w:rPr>
        <w:t>人员经费支出相比2018年增涨117.13万元，增幅2.12%</w:t>
      </w:r>
      <w:r>
        <w:rPr>
          <w:rFonts w:hint="eastAsia" w:ascii="仿宋_GB2312" w:eastAsia="仿宋_GB2312"/>
          <w:b w:val="0"/>
          <w:bCs w:val="0"/>
          <w:kern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（图5：一般公共预算财政拨款支出决算变动情况）（柱状图）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hint="eastAsia" w:ascii="楷体" w:hAnsi="楷体" w:eastAsia="楷体" w:cs="楷体"/>
          <w:b w:val="0"/>
          <w:bCs w:val="0"/>
          <w:sz w:val="28"/>
          <w:szCs w:val="28"/>
        </w:rPr>
      </w:pPr>
      <w:bookmarkStart w:id="35" w:name="_Toc15377211"/>
      <w:r>
        <w:rPr>
          <w:rFonts w:hint="eastAsia" w:ascii="楷体" w:hAnsi="楷体" w:eastAsia="楷体" w:cs="楷体"/>
          <w:b w:val="0"/>
          <w:bCs w:val="0"/>
          <w:sz w:val="28"/>
          <w:szCs w:val="28"/>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楷体" w:hAnsi="楷体" w:eastAsia="楷体" w:cs="楷体"/>
          <w:b w:val="0"/>
          <w:bCs w:val="0"/>
          <w:sz w:val="28"/>
          <w:szCs w:val="28"/>
        </w:rPr>
        <w:t>（二）一般公共预算财政拨款支出决算结构情况</w:t>
      </w:r>
      <w:bookmarkEnd w:id="35"/>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9年一般公共预算财政拨款支出6357.98万元，主要用于以下方面</w:t>
      </w:r>
      <w:r>
        <w:rPr>
          <w:rFonts w:ascii="仿宋" w:hAnsi="仿宋" w:eastAsia="仿宋"/>
          <w:b w:val="0"/>
          <w:bCs w:val="0"/>
          <w:sz w:val="28"/>
          <w:szCs w:val="28"/>
        </w:rPr>
        <w:t>:</w:t>
      </w:r>
      <w:r>
        <w:rPr>
          <w:rFonts w:hint="eastAsia" w:ascii="仿宋" w:hAnsi="仿宋" w:eastAsia="仿宋"/>
          <w:b w:val="0"/>
          <w:bCs w:val="0"/>
          <w:sz w:val="28"/>
          <w:szCs w:val="28"/>
        </w:rPr>
        <w:t>一般公共服务（类）支出0.00万元，占0.00</w:t>
      </w:r>
      <w:r>
        <w:rPr>
          <w:rFonts w:ascii="仿宋" w:hAnsi="仿宋" w:eastAsia="仿宋"/>
          <w:b w:val="0"/>
          <w:bCs w:val="0"/>
          <w:sz w:val="28"/>
          <w:szCs w:val="28"/>
        </w:rPr>
        <w:t>%</w:t>
      </w:r>
      <w:r>
        <w:rPr>
          <w:rFonts w:hint="eastAsia" w:ascii="仿宋" w:hAnsi="仿宋" w:eastAsia="仿宋"/>
          <w:b w:val="0"/>
          <w:bCs w:val="0"/>
          <w:sz w:val="28"/>
          <w:szCs w:val="28"/>
        </w:rPr>
        <w:t>；教育支出（类）5535.79万元，占87.06%；科学技术（类）支出0.00万元，占0.00</w:t>
      </w:r>
      <w:r>
        <w:rPr>
          <w:rFonts w:ascii="仿宋" w:hAnsi="仿宋" w:eastAsia="仿宋"/>
          <w:b w:val="0"/>
          <w:bCs w:val="0"/>
          <w:sz w:val="28"/>
          <w:szCs w:val="28"/>
        </w:rPr>
        <w:t>%</w:t>
      </w:r>
      <w:r>
        <w:rPr>
          <w:rFonts w:hint="eastAsia" w:ascii="仿宋" w:hAnsi="仿宋" w:eastAsia="仿宋"/>
          <w:b w:val="0"/>
          <w:bCs w:val="0"/>
          <w:sz w:val="28"/>
          <w:szCs w:val="28"/>
        </w:rPr>
        <w:t>；社会保障和就业（类）支出624.29万元，占9.81</w:t>
      </w:r>
      <w:r>
        <w:rPr>
          <w:rFonts w:ascii="仿宋" w:hAnsi="仿宋" w:eastAsia="仿宋"/>
          <w:b w:val="0"/>
          <w:bCs w:val="0"/>
          <w:sz w:val="28"/>
          <w:szCs w:val="28"/>
        </w:rPr>
        <w:t>%</w:t>
      </w:r>
      <w:r>
        <w:rPr>
          <w:rFonts w:hint="eastAsia" w:ascii="仿宋" w:hAnsi="仿宋" w:eastAsia="仿宋"/>
          <w:b w:val="0"/>
          <w:bCs w:val="0"/>
          <w:sz w:val="28"/>
          <w:szCs w:val="28"/>
        </w:rPr>
        <w:t>；卫生健康（类）支出197.90万元，占3.11%；农林水（类）支出0.00万元，占0.00%；住房保障(类)支出0.00万元，占0.00</w:t>
      </w:r>
      <w:r>
        <w:rPr>
          <w:rFonts w:ascii="仿宋" w:hAnsi="仿宋" w:eastAsia="仿宋"/>
          <w:b w:val="0"/>
          <w:bCs w:val="0"/>
          <w:sz w:val="28"/>
          <w:szCs w:val="28"/>
        </w:rPr>
        <w:t>%</w:t>
      </w:r>
      <w:r>
        <w:rPr>
          <w:rFonts w:hint="eastAsia" w:ascii="仿宋" w:hAnsi="仿宋" w:eastAsia="仿宋"/>
          <w:b w:val="0"/>
          <w:bCs w:val="0"/>
          <w:sz w:val="28"/>
          <w:szCs w:val="28"/>
        </w:rPr>
        <w:t>；其它支出（类）支出0.00万元，占0.00%。</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val="0"/>
          <w:sz w:val="28"/>
          <w:szCs w:val="28"/>
        </w:rPr>
        <w:t>（图6：一般公共预算财政拨款支出决算结构）（饼状图）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hint="eastAsia" w:ascii="楷体" w:hAnsi="楷体" w:eastAsia="楷体" w:cs="楷体"/>
          <w:b w:val="0"/>
          <w:bCs w:val="0"/>
          <w:sz w:val="28"/>
          <w:szCs w:val="28"/>
        </w:rPr>
      </w:pPr>
      <w:bookmarkStart w:id="36" w:name="_Toc15377212"/>
      <w:r>
        <w:rPr>
          <w:rFonts w:hint="eastAsia" w:ascii="楷体" w:hAnsi="楷体" w:eastAsia="楷体" w:cs="楷体"/>
          <w:b w:val="0"/>
          <w:bCs w:val="0"/>
          <w:sz w:val="28"/>
          <w:szCs w:val="28"/>
        </w:rPr>
        <w:t>（三）一般公共预算财政拨款支出决算具体情况</w:t>
      </w:r>
      <w:bookmarkEnd w:id="36"/>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ascii="仿宋" w:hAnsi="仿宋" w:eastAsia="仿宋"/>
          <w:b w:val="0"/>
          <w:bCs w:val="0"/>
          <w:sz w:val="28"/>
          <w:szCs w:val="28"/>
        </w:rPr>
      </w:pPr>
      <w:bookmarkStart w:id="37" w:name="_Toc15377213"/>
      <w:bookmarkStart w:id="38" w:name="_Toc15378460"/>
      <w:bookmarkStart w:id="39" w:name="_Toc15377444"/>
      <w:r>
        <w:rPr>
          <w:rFonts w:hint="eastAsia" w:ascii="仿宋" w:hAnsi="仿宋" w:eastAsia="仿宋"/>
          <w:b w:val="0"/>
          <w:bCs w:val="0"/>
          <w:sz w:val="28"/>
          <w:szCs w:val="28"/>
        </w:rPr>
        <w:t>2019年一般公共预算支出决算数为6357.98万元，</w:t>
      </w:r>
      <w:r>
        <w:rPr>
          <w:rStyle w:val="14"/>
          <w:rFonts w:hint="eastAsia" w:ascii="仿宋" w:hAnsi="仿宋" w:eastAsia="仿宋"/>
          <w:b w:val="0"/>
          <w:bCs w:val="0"/>
          <w:sz w:val="28"/>
          <w:szCs w:val="28"/>
        </w:rPr>
        <w:t>完成预算99.77</w:t>
      </w:r>
      <w:r>
        <w:rPr>
          <w:rStyle w:val="14"/>
          <w:rFonts w:ascii="仿宋" w:hAnsi="仿宋" w:eastAsia="仿宋"/>
          <w:b w:val="0"/>
          <w:bCs w:val="0"/>
          <w:sz w:val="28"/>
          <w:szCs w:val="28"/>
        </w:rPr>
        <w:t>%</w:t>
      </w:r>
      <w:r>
        <w:rPr>
          <w:rStyle w:val="14"/>
          <w:rFonts w:hint="eastAsia" w:ascii="仿宋" w:hAnsi="仿宋" w:eastAsia="仿宋"/>
          <w:b w:val="0"/>
          <w:bCs w:val="0"/>
          <w:sz w:val="28"/>
          <w:szCs w:val="28"/>
        </w:rPr>
        <w:t>。其中：</w:t>
      </w:r>
      <w:bookmarkEnd w:id="37"/>
      <w:bookmarkEnd w:id="38"/>
      <w:bookmarkEnd w:id="39"/>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ascii="仿宋" w:hAnsi="仿宋" w:eastAsia="仿宋"/>
          <w:b w:val="0"/>
          <w:bCs w:val="0"/>
          <w:sz w:val="28"/>
          <w:szCs w:val="28"/>
        </w:rPr>
        <w:t>1.</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（类）教育管理事务（款）行政运行（项）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sz w:val="28"/>
          <w:szCs w:val="28"/>
        </w:rPr>
        <w:t>2.</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（类）教育管理事务（款）一般行政管理事务（项）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支出决算数为0.66万元，完成预算100.00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3.</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（类）教育管理事务（款）其它教育管理事务支出（项）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4.</w:t>
      </w:r>
      <w:r>
        <w:rPr>
          <w:rStyle w:val="14"/>
          <w:rFonts w:hint="eastAsia"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（类）普通教育（款）学前教育（项）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支出决算数为301.15万元，完成预算100.00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5.</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（类）普通教育（款）小学教育（项）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支出决算数为1530.74万元，完成预算100.00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6</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（类）普通教育（款）初中教育（项）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支出决算数为3643.24万元，完成预算100.00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7</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（类）普通教育（款）高中教育（项）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8</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（类）普通教育（款）其它普通教育（项）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支出决算数为14万元，完成预算0.23</w:t>
      </w:r>
      <w:r>
        <w:rPr>
          <w:rStyle w:val="14"/>
          <w:rFonts w:ascii="仿宋" w:hAnsi="仿宋" w:eastAsia="仿宋"/>
          <w:b w:val="0"/>
          <w:bCs w:val="0"/>
          <w:sz w:val="28"/>
          <w:szCs w:val="28"/>
        </w:rPr>
        <w:t>%</w:t>
      </w:r>
      <w:r>
        <w:rPr>
          <w:rStyle w:val="14"/>
          <w:rFonts w:hint="eastAsia" w:ascii="仿宋" w:hAnsi="仿宋" w:eastAsia="仿宋"/>
          <w:b w:val="0"/>
          <w:bCs w:val="0"/>
          <w:sz w:val="28"/>
          <w:szCs w:val="28"/>
        </w:rPr>
        <w:t>。决算数小于预算数的主要原因名师工作室工作经费结转下年使用。</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9</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（类）职业教育（款）职业高中教育（项）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10</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（类）职业教育（款）高等职业教育（项）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支出决算数为0.00万元，完成预算0.00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 xml:space="preserve">11.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（类）特殊教育（款）特殊学校教育（项）：支出决算数为0.00万元，完成预算0.00%。</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 xml:space="preserve">12.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（类）特殊教育（款）工读学校教育（项）：支出决算数为0.00万元，完成预算0.00%。</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13.</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（类）教育附加费安排的支出（款）农村中小学校舍建设（项）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支出决算为0万元，完成预算0.00%。</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14.</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（类）教育附加费安排的支出（款）农村中小学教学设施（项）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15.</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（类）教育附加费安排的支出（款）城市中小学教学设施（项）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16.</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（类）教育附加费安排的支出（款）其他教育附加安排的支出（项）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支出决算为50万元，完成预算100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17</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（类）其它教育支出（款）其他教育支出（项）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18</w:t>
      </w:r>
      <w:r>
        <w:rPr>
          <w:rStyle w:val="14"/>
          <w:rFonts w:ascii="仿宋" w:hAnsi="仿宋" w:eastAsia="仿宋"/>
          <w:b w:val="0"/>
          <w:bCs w:val="0"/>
          <w:sz w:val="28"/>
          <w:szCs w:val="28"/>
        </w:rPr>
        <w:t>.</w:t>
      </w:r>
      <w:r>
        <w:rPr>
          <w:rFonts w:ascii="仿宋" w:hAnsi="仿宋" w:eastAsia="仿宋"/>
          <w:b w:val="0"/>
          <w:bCs w:val="0"/>
          <w:sz w:val="28"/>
          <w:szCs w:val="28"/>
        </w:rPr>
        <w:t xml:space="preserve"> </w:t>
      </w:r>
      <w:r>
        <w:rPr>
          <w:rStyle w:val="14"/>
          <w:rFonts w:hint="eastAsia" w:ascii="仿宋" w:hAnsi="仿宋" w:eastAsia="仿宋"/>
          <w:b w:val="0"/>
          <w:bCs w:val="0"/>
          <w:sz w:val="28"/>
          <w:szCs w:val="28"/>
        </w:rPr>
        <w:t>文化旅游体育与传媒支出（类）体育（款）体育竞赛（项）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19</w:t>
      </w:r>
      <w:r>
        <w:rPr>
          <w:rStyle w:val="14"/>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（类）行政事业单位离退休（款）未归口管理的行政单位离退休（项）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20</w:t>
      </w:r>
      <w:r>
        <w:rPr>
          <w:rStyle w:val="14"/>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（类）行政事业单位离退休（款）机关事业单位基本养老保险缴费支出（项）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21</w:t>
      </w:r>
      <w:r>
        <w:rPr>
          <w:rStyle w:val="14"/>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（类）行政事业单位离退休（款）机关事业单位职业年金缴费支出（项）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22</w:t>
      </w:r>
      <w:r>
        <w:rPr>
          <w:rStyle w:val="14"/>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（类）抚恤（款）死亡抚恤（项）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支出决算为19.36万元，完成预算100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23</w:t>
      </w:r>
      <w:r>
        <w:rPr>
          <w:rStyle w:val="14"/>
          <w:rFonts w:ascii="仿宋" w:hAnsi="仿宋" w:eastAsia="仿宋"/>
          <w:b w:val="0"/>
          <w:bCs w:val="0"/>
          <w:sz w:val="28"/>
          <w:szCs w:val="28"/>
        </w:rPr>
        <w:t>.</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（类）其它社会保障和就业支出（款）其它社会保障和就业支出（项）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支出决算为604.90万元，完成预算100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24</w:t>
      </w:r>
      <w:r>
        <w:rPr>
          <w:rStyle w:val="14"/>
          <w:rFonts w:ascii="仿宋" w:hAnsi="仿宋" w:eastAsia="仿宋"/>
          <w:b w:val="0"/>
          <w:bCs w:val="0"/>
          <w:sz w:val="28"/>
          <w:szCs w:val="28"/>
        </w:rPr>
        <w:t>.</w:t>
      </w:r>
      <w:r>
        <w:rPr>
          <w:rFonts w:ascii="仿宋" w:hAnsi="仿宋" w:eastAsia="仿宋"/>
          <w:b w:val="0"/>
          <w:bCs w:val="0"/>
          <w:sz w:val="28"/>
          <w:szCs w:val="28"/>
        </w:rPr>
        <w:t xml:space="preserve"> </w:t>
      </w:r>
      <w:r>
        <w:rPr>
          <w:rFonts w:hint="eastAsia" w:ascii="仿宋" w:hAnsi="仿宋" w:eastAsia="仿宋"/>
          <w:b w:val="0"/>
          <w:bCs w:val="0"/>
          <w:sz w:val="28"/>
          <w:szCs w:val="28"/>
        </w:rPr>
        <w:t>卫生健康支出</w:t>
      </w:r>
      <w:r>
        <w:rPr>
          <w:rStyle w:val="14"/>
          <w:rFonts w:hint="eastAsia" w:ascii="仿宋" w:hAnsi="仿宋" w:eastAsia="仿宋"/>
          <w:b w:val="0"/>
          <w:bCs w:val="0"/>
          <w:sz w:val="28"/>
          <w:szCs w:val="28"/>
        </w:rPr>
        <w:t>（类）行政事业单位医疗（款）行政单位医疗（项）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14"/>
          <w:rFonts w:ascii="仿宋" w:hAnsi="仿宋" w:eastAsia="仿宋"/>
          <w:b w:val="0"/>
          <w:bCs w:val="0"/>
          <w:sz w:val="28"/>
          <w:szCs w:val="28"/>
        </w:rPr>
      </w:pPr>
      <w:r>
        <w:rPr>
          <w:rStyle w:val="14"/>
          <w:rFonts w:hint="eastAsia" w:ascii="仿宋" w:hAnsi="仿宋" w:eastAsia="仿宋"/>
          <w:b w:val="0"/>
          <w:bCs w:val="0"/>
          <w:sz w:val="28"/>
          <w:szCs w:val="28"/>
        </w:rPr>
        <w:t>25</w:t>
      </w:r>
      <w:r>
        <w:rPr>
          <w:rStyle w:val="14"/>
          <w:rFonts w:ascii="仿宋" w:hAnsi="仿宋" w:eastAsia="仿宋"/>
          <w:b w:val="0"/>
          <w:bCs w:val="0"/>
          <w:sz w:val="28"/>
          <w:szCs w:val="28"/>
        </w:rPr>
        <w:t>.</w:t>
      </w:r>
      <w:r>
        <w:rPr>
          <w:rFonts w:ascii="仿宋" w:hAnsi="仿宋" w:eastAsia="仿宋"/>
          <w:b w:val="0"/>
          <w:bCs w:val="0"/>
          <w:sz w:val="28"/>
          <w:szCs w:val="28"/>
        </w:rPr>
        <w:t xml:space="preserve"> 医疗卫生与计划生育</w:t>
      </w:r>
      <w:r>
        <w:rPr>
          <w:rStyle w:val="14"/>
          <w:rFonts w:hint="eastAsia" w:ascii="仿宋" w:hAnsi="仿宋" w:eastAsia="仿宋"/>
          <w:b w:val="0"/>
          <w:bCs w:val="0"/>
          <w:sz w:val="28"/>
          <w:szCs w:val="28"/>
        </w:rPr>
        <w:t>（类）行政事业单位医疗（款）事业单位医疗（项）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支出决算为197.89万元，完成预算100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19</w:t>
      </w:r>
      <w:r>
        <w:rPr>
          <w:rStyle w:val="14"/>
          <w:rFonts w:ascii="仿宋" w:hAnsi="仿宋" w:eastAsia="仿宋"/>
          <w:b w:val="0"/>
          <w:bCs w:val="0"/>
          <w:sz w:val="28"/>
          <w:szCs w:val="28"/>
        </w:rPr>
        <w:t>.</w:t>
      </w:r>
      <w:r>
        <w:rPr>
          <w:rFonts w:ascii="仿宋" w:hAnsi="仿宋" w:eastAsia="仿宋"/>
          <w:b w:val="0"/>
          <w:bCs w:val="0"/>
          <w:sz w:val="28"/>
          <w:szCs w:val="28"/>
        </w:rPr>
        <w:t xml:space="preserve"> 农林水支出</w:t>
      </w:r>
      <w:r>
        <w:rPr>
          <w:rStyle w:val="14"/>
          <w:rFonts w:hint="eastAsia" w:ascii="仿宋" w:hAnsi="仿宋" w:eastAsia="仿宋"/>
          <w:b w:val="0"/>
          <w:bCs w:val="0"/>
          <w:sz w:val="28"/>
          <w:szCs w:val="28"/>
        </w:rPr>
        <w:t>（类）扶贫（款）其它扶贫支出（项）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Style w:val="14"/>
          <w:rFonts w:hint="eastAsia" w:ascii="仿宋" w:hAnsi="仿宋" w:eastAsia="仿宋"/>
          <w:b w:val="0"/>
          <w:bCs w:val="0"/>
          <w:sz w:val="28"/>
          <w:szCs w:val="28"/>
        </w:rPr>
        <w:t>20</w:t>
      </w:r>
      <w:r>
        <w:rPr>
          <w:rStyle w:val="14"/>
          <w:rFonts w:ascii="仿宋" w:hAnsi="仿宋" w:eastAsia="仿宋"/>
          <w:b w:val="0"/>
          <w:bCs w:val="0"/>
          <w:sz w:val="28"/>
          <w:szCs w:val="28"/>
        </w:rPr>
        <w:t>.</w:t>
      </w:r>
      <w:r>
        <w:rPr>
          <w:rFonts w:ascii="仿宋" w:hAnsi="仿宋" w:eastAsia="仿宋"/>
          <w:b w:val="0"/>
          <w:bCs w:val="0"/>
          <w:sz w:val="28"/>
          <w:szCs w:val="28"/>
        </w:rPr>
        <w:t xml:space="preserve"> 住房保障支出</w:t>
      </w:r>
      <w:r>
        <w:rPr>
          <w:rStyle w:val="14"/>
          <w:rFonts w:hint="eastAsia" w:ascii="仿宋" w:hAnsi="仿宋" w:eastAsia="仿宋"/>
          <w:b w:val="0"/>
          <w:bCs w:val="0"/>
          <w:sz w:val="28"/>
          <w:szCs w:val="28"/>
        </w:rPr>
        <w:t>（类）住房改革支出（款）住房公积金（项）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支出决算为0.00万元，完成预算0.00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08</w:t>
      </w:r>
      <w:r>
        <w:rPr>
          <w:rFonts w:hint="eastAsia" w:ascii="仿宋" w:hAnsi="仿宋" w:eastAsia="仿宋"/>
          <w:b w:val="0"/>
          <w:bCs w:val="0"/>
          <w:sz w:val="28"/>
          <w:szCs w:val="28"/>
        </w:rPr>
        <w:t>表，罗列全部功能分类科目至项级。上述“预算”口径为调整预算数。增减变动原因为决算数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和调整预算数</w:t>
      </w:r>
      <w:r>
        <w:rPr>
          <w:rFonts w:ascii="仿宋" w:hAnsi="仿宋" w:eastAsia="仿宋"/>
          <w:b w:val="0"/>
          <w:bCs w:val="0"/>
          <w:sz w:val="28"/>
          <w:szCs w:val="28"/>
        </w:rPr>
        <w:t>&lt;</w:t>
      </w:r>
      <w:r>
        <w:rPr>
          <w:rFonts w:hint="eastAsia" w:ascii="仿宋" w:hAnsi="仿宋" w:eastAsia="仿宋"/>
          <w:b w:val="0"/>
          <w:bCs w:val="0"/>
          <w:sz w:val="28"/>
          <w:szCs w:val="28"/>
        </w:rPr>
        <w:t>项级</w:t>
      </w:r>
      <w:r>
        <w:rPr>
          <w:rFonts w:ascii="仿宋" w:hAnsi="仿宋" w:eastAsia="仿宋"/>
          <w:b w:val="0"/>
          <w:bCs w:val="0"/>
          <w:sz w:val="28"/>
          <w:szCs w:val="28"/>
        </w:rPr>
        <w:t>&gt;</w:t>
      </w:r>
      <w:r>
        <w:rPr>
          <w:rFonts w:hint="eastAsia" w:ascii="仿宋" w:hAnsi="仿宋" w:eastAsia="仿宋"/>
          <w:b w:val="0"/>
          <w:bCs w:val="0"/>
          <w:sz w:val="28"/>
          <w:szCs w:val="28"/>
        </w:rPr>
        <w:t>比较，与预算数持平可以不写原因。）</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（图7：一般公共预算财政拨款支出完成比例情况图）</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Style w:val="25"/>
          <w:b w:val="0"/>
          <w:bCs w:val="0"/>
          <w:sz w:val="28"/>
          <w:szCs w:val="28"/>
        </w:rPr>
      </w:pPr>
      <w:r>
        <w:rPr>
          <w:rFonts w:ascii="仿宋" w:hAnsi="仿宋" w:eastAsia="仿宋"/>
          <w:b w:val="0"/>
          <w:bCs w:val="0"/>
          <w:sz w:val="28"/>
          <w:szCs w:val="28"/>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760470"/>
            <wp:effectExtent l="4445" t="4445" r="762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0" w:name="_Toc15377214"/>
      <w:r>
        <w:rPr>
          <w:rFonts w:hint="eastAsia" w:ascii="黑体" w:eastAsia="黑体"/>
          <w:b w:val="0"/>
          <w:bCs w:val="0"/>
          <w:sz w:val="28"/>
          <w:szCs w:val="28"/>
        </w:rPr>
        <w:t>六、</w:t>
      </w:r>
      <w:r>
        <w:rPr>
          <w:rFonts w:hint="eastAsia" w:ascii="黑体" w:hAnsi="黑体" w:eastAsia="黑体"/>
          <w:b w:val="0"/>
          <w:bCs w:val="0"/>
          <w:sz w:val="28"/>
          <w:szCs w:val="28"/>
        </w:rPr>
        <w:t>一</w:t>
      </w:r>
      <w:r>
        <w:rPr>
          <w:rStyle w:val="25"/>
          <w:rFonts w:hint="eastAsia" w:ascii="黑体" w:hAnsi="黑体" w:eastAsia="黑体"/>
          <w:b w:val="0"/>
          <w:bCs w:val="0"/>
          <w:sz w:val="28"/>
          <w:szCs w:val="28"/>
        </w:rPr>
        <w:t>般公共预算财政拨款基本支出决算情况说明</w:t>
      </w:r>
      <w:bookmarkEnd w:id="40"/>
      <w:r>
        <w:rPr>
          <w:rStyle w:val="25"/>
          <w:rFonts w:ascii="黑体" w:hAnsi="黑体" w:eastAsia="黑体"/>
          <w:b w:val="0"/>
          <w:bCs w:val="0"/>
          <w:sz w:val="28"/>
          <w:szCs w:val="28"/>
        </w:rPr>
        <w:tab/>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9年一般公共预算财政拨款基本支出6089.68万元，其中：</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人员经费5337.79万元，主要包括：基本工资2360.52万元、津贴补贴45.09万元、奖金0.00万元、伙食补助费0.00万元、绩效工资888.83万元、机关事业单位基本养老保险缴费585.53万元、职业年金缴费19.36万元、职工基本医疗保险缴费212.13万元、其他社会保障缴费45.85万元、住房公积金381.37万元、其他工资福利支出799.07万元、离休费0.00万元、退休费0.00万元、抚恤金19.39万元、生活补助20.62万元、助学金108.40万元、奖励金23.31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578.55万元，主要包括：办公费32.09万元、印刷费27.21万元、咨询费22.61万元、手续费20.29万元、水费46.07万元、电费46.62万元、邮电费28.08万元、物业管理费24.33万元、差旅费28.44万元、因公出国（境）费用0.00万元、维修（护）费51.60万元、租赁费24.82万元、会议费26.36万元、培训费32.98万元、公务接待费0.00万元、专用材料费42.84万元、劳务费30.40万元、委托业务费0.00万元、工会经费53.48万元、福利费20.38万元、公务用车运行维护费0.00万元、其他交通费19.88万元、税金及附加费用0.00万元、其他商品和服务支出0.00万元、办公设备购置0.84万元、专用设备购置0.74万元、信息网络及软件购置更新0.00万元、其他资本性支出等。</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41" w:name="_Toc15377215"/>
      <w:bookmarkStart w:id="42" w:name="_Toc19089870"/>
      <w:r>
        <w:rPr>
          <w:rFonts w:hint="eastAsia" w:ascii="黑体" w:eastAsia="黑体"/>
          <w:b w:val="0"/>
          <w:bCs w:val="0"/>
          <w:sz w:val="28"/>
          <w:szCs w:val="28"/>
        </w:rPr>
        <w:t>七、</w:t>
      </w:r>
      <w:r>
        <w:rPr>
          <w:rStyle w:val="25"/>
          <w:rFonts w:hint="eastAsia" w:ascii="黑体" w:hAnsi="黑体" w:eastAsia="黑体"/>
          <w:b w:val="0"/>
          <w:bCs w:val="0"/>
          <w:sz w:val="28"/>
          <w:szCs w:val="28"/>
        </w:rPr>
        <w:t>“三公”经费财政拨款支出决算情况说明</w:t>
      </w:r>
      <w:bookmarkEnd w:id="41"/>
      <w:bookmarkEnd w:id="42"/>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ascii="仿宋" w:hAnsi="仿宋" w:eastAsia="仿宋"/>
          <w:b w:val="0"/>
          <w:bCs w:val="0"/>
          <w:sz w:val="28"/>
          <w:szCs w:val="28"/>
        </w:rPr>
      </w:pPr>
      <w:bookmarkStart w:id="43" w:name="_Toc15377216"/>
      <w:r>
        <w:rPr>
          <w:rFonts w:hint="eastAsia" w:ascii="仿宋" w:hAnsi="仿宋" w:eastAsia="仿宋"/>
          <w:b w:val="0"/>
          <w:bCs w:val="0"/>
          <w:sz w:val="28"/>
          <w:szCs w:val="28"/>
        </w:rPr>
        <w:t>（一）“三公”经费财政拨款支出决算总体情况说明</w:t>
      </w:r>
      <w:bookmarkEnd w:id="43"/>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_GB2312"/>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9年“三公”经费财政拨款支出决算为</w:t>
      </w:r>
      <w:r>
        <w:rPr>
          <w:rFonts w:hint="eastAsia" w:ascii="仿宋_GB2312" w:hAnsi="仿宋_GB2312" w:eastAsia="仿宋_GB2312" w:cs="仿宋_GB2312"/>
          <w:b w:val="0"/>
          <w:bCs w:val="0"/>
          <w:sz w:val="28"/>
          <w:szCs w:val="28"/>
        </w:rPr>
        <w:t>0.00万元</w:t>
      </w:r>
      <w:r>
        <w:rPr>
          <w:rFonts w:hint="eastAsia" w:ascii="仿宋" w:hAnsi="仿宋" w:eastAsia="仿宋"/>
          <w:b w:val="0"/>
          <w:bCs w:val="0"/>
          <w:sz w:val="28"/>
          <w:szCs w:val="28"/>
        </w:rPr>
        <w:t>，完成预算</w:t>
      </w:r>
      <w:r>
        <w:rPr>
          <w:rFonts w:hint="eastAsia" w:ascii="仿宋_GB2312" w:hAnsi="仿宋_GB2312" w:eastAsia="仿宋_GB2312" w:cs="仿宋_GB2312"/>
          <w:b w:val="0"/>
          <w:bCs w:val="0"/>
          <w:sz w:val="28"/>
          <w:szCs w:val="28"/>
        </w:rPr>
        <w:t>100%。</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ascii="仿宋" w:hAnsi="仿宋" w:eastAsia="仿宋"/>
          <w:b w:val="0"/>
          <w:bCs w:val="0"/>
          <w:sz w:val="28"/>
          <w:szCs w:val="28"/>
        </w:rPr>
      </w:pPr>
      <w:bookmarkStart w:id="44" w:name="_Toc15377217"/>
      <w:r>
        <w:rPr>
          <w:rFonts w:hint="eastAsia" w:ascii="仿宋" w:hAnsi="仿宋" w:eastAsia="仿宋"/>
          <w:b w:val="0"/>
          <w:bCs w:val="0"/>
          <w:sz w:val="28"/>
          <w:szCs w:val="28"/>
        </w:rPr>
        <w:t>（二）“三公”经费财政拨款支出决算具体情况说明</w:t>
      </w:r>
      <w:bookmarkEnd w:id="44"/>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9年“三公”经费财政拨款支出决算中，因公出国（境）费支出决算</w:t>
      </w:r>
      <w:r>
        <w:rPr>
          <w:rFonts w:hint="eastAsia" w:ascii="仿宋_GB2312" w:hAnsi="仿宋_GB2312" w:eastAsia="仿宋_GB2312" w:cs="仿宋_GB2312"/>
          <w:b w:val="0"/>
          <w:bCs w:val="0"/>
          <w:sz w:val="28"/>
          <w:szCs w:val="28"/>
        </w:rPr>
        <w:t>0.00</w:t>
      </w:r>
      <w:r>
        <w:rPr>
          <w:rFonts w:hint="eastAsia" w:ascii="仿宋" w:hAnsi="仿宋" w:eastAsia="仿宋"/>
          <w:b w:val="0"/>
          <w:bCs w:val="0"/>
          <w:sz w:val="28"/>
          <w:szCs w:val="28"/>
        </w:rPr>
        <w:t>万元，占</w:t>
      </w:r>
      <w:r>
        <w:rPr>
          <w:rFonts w:hint="eastAsia" w:ascii="仿宋_GB2312" w:hAnsi="仿宋_GB2312" w:eastAsia="仿宋_GB2312" w:cs="仿宋_GB2312"/>
          <w:b w:val="0"/>
          <w:bCs w:val="0"/>
          <w:sz w:val="28"/>
          <w:szCs w:val="28"/>
        </w:rPr>
        <w:t>0.00%</w:t>
      </w:r>
      <w:r>
        <w:rPr>
          <w:rFonts w:hint="eastAsia" w:ascii="仿宋" w:hAnsi="仿宋" w:eastAsia="仿宋"/>
          <w:b w:val="0"/>
          <w:bCs w:val="0"/>
          <w:sz w:val="28"/>
          <w:szCs w:val="28"/>
        </w:rPr>
        <w:t>；公务用车购置及运行维护费支出决算0.00万元，占0.00</w:t>
      </w:r>
      <w:r>
        <w:rPr>
          <w:rFonts w:ascii="仿宋" w:hAnsi="仿宋" w:eastAsia="仿宋"/>
          <w:b w:val="0"/>
          <w:bCs w:val="0"/>
          <w:sz w:val="28"/>
          <w:szCs w:val="28"/>
        </w:rPr>
        <w:t>%</w:t>
      </w:r>
      <w:r>
        <w:rPr>
          <w:rFonts w:hint="eastAsia" w:ascii="仿宋" w:hAnsi="仿宋" w:eastAsia="仿宋"/>
          <w:b w:val="0"/>
          <w:bCs w:val="0"/>
          <w:sz w:val="28"/>
          <w:szCs w:val="28"/>
        </w:rPr>
        <w:t>；公务接待费支出决算</w:t>
      </w:r>
      <w:r>
        <w:rPr>
          <w:rFonts w:hint="eastAsia" w:ascii="仿宋_GB2312" w:hAnsi="仿宋_GB2312" w:eastAsia="仿宋_GB2312" w:cs="仿宋_GB2312"/>
          <w:b w:val="0"/>
          <w:bCs w:val="0"/>
          <w:sz w:val="28"/>
          <w:szCs w:val="28"/>
        </w:rPr>
        <w:t>0.00万元</w:t>
      </w:r>
      <w:r>
        <w:rPr>
          <w:rFonts w:hint="eastAsia" w:ascii="仿宋" w:hAnsi="仿宋" w:eastAsia="仿宋"/>
          <w:b w:val="0"/>
          <w:bCs w:val="0"/>
          <w:sz w:val="28"/>
          <w:szCs w:val="28"/>
        </w:rPr>
        <w:t>，占</w:t>
      </w:r>
      <w:r>
        <w:rPr>
          <w:rFonts w:hint="eastAsia" w:ascii="仿宋_GB2312" w:hAnsi="仿宋_GB2312" w:eastAsia="仿宋_GB2312" w:cs="仿宋_GB2312"/>
          <w:b w:val="0"/>
          <w:bCs w:val="0"/>
          <w:sz w:val="28"/>
          <w:szCs w:val="28"/>
        </w:rPr>
        <w:t>0.00%</w:t>
      </w:r>
      <w:r>
        <w:rPr>
          <w:rFonts w:hint="eastAsia" w:ascii="仿宋" w:hAnsi="仿宋" w:eastAsia="仿宋"/>
          <w:b w:val="0"/>
          <w:bCs w:val="0"/>
          <w:sz w:val="28"/>
          <w:szCs w:val="28"/>
        </w:rPr>
        <w:t>。具体情况如下：</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1.</w:t>
      </w:r>
      <w:r>
        <w:rPr>
          <w:rFonts w:hint="eastAsia" w:ascii="仿宋_GB2312" w:eastAsia="仿宋_GB2312"/>
          <w:b w:val="0"/>
          <w:bCs w:val="0"/>
          <w:sz w:val="28"/>
          <w:szCs w:val="28"/>
        </w:rPr>
        <w:t>因公出国（境）经费支出</w:t>
      </w:r>
      <w:r>
        <w:rPr>
          <w:rFonts w:hint="eastAsia" w:ascii="仿宋_GB2312" w:hAnsi="仿宋_GB2312" w:eastAsia="仿宋_GB2312" w:cs="仿宋_GB2312"/>
          <w:b w:val="0"/>
          <w:bCs w:val="0"/>
          <w:sz w:val="28"/>
          <w:szCs w:val="28"/>
        </w:rPr>
        <w:t>0.00万元</w:t>
      </w:r>
      <w:r>
        <w:rPr>
          <w:rFonts w:hint="eastAsia" w:ascii="仿宋_GB2312" w:eastAsia="仿宋_GB2312"/>
          <w:b w:val="0"/>
          <w:bCs w:val="0"/>
          <w:sz w:val="28"/>
          <w:szCs w:val="28"/>
        </w:rPr>
        <w:t>，</w:t>
      </w:r>
      <w:r>
        <w:rPr>
          <w:rStyle w:val="14"/>
          <w:rFonts w:hint="eastAsia" w:ascii="仿宋" w:hAnsi="仿宋" w:eastAsia="仿宋"/>
          <w:b w:val="0"/>
          <w:bCs w:val="0"/>
          <w:sz w:val="28"/>
          <w:szCs w:val="28"/>
        </w:rPr>
        <w:t>完成预算</w:t>
      </w:r>
      <w:r>
        <w:rPr>
          <w:rFonts w:hint="eastAsia" w:ascii="仿宋_GB2312" w:hAnsi="仿宋_GB2312" w:eastAsia="仿宋_GB2312" w:cs="仿宋_GB2312"/>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w:t>
      </w:r>
      <w:r>
        <w:rPr>
          <w:rFonts w:hint="eastAsia" w:ascii="仿宋_GB2312" w:eastAsia="仿宋_GB2312"/>
          <w:b w:val="0"/>
          <w:bCs w:val="0"/>
          <w:sz w:val="28"/>
          <w:szCs w:val="28"/>
        </w:rPr>
        <w:t>公务用车购置及运行维护费支出</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hint="eastAsia" w:ascii="仿宋_GB2312" w:eastAsia="仿宋_GB2312"/>
          <w:b w:val="0"/>
          <w:bCs w:val="0"/>
          <w:sz w:val="28"/>
          <w:szCs w:val="28"/>
        </w:rPr>
        <w:t>2019年度无公务用车购置及运行维护费开支。</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3.</w:t>
      </w:r>
      <w:r>
        <w:rPr>
          <w:rFonts w:hint="eastAsia" w:ascii="仿宋_GB2312" w:eastAsia="仿宋_GB2312"/>
          <w:b w:val="0"/>
          <w:bCs w:val="0"/>
          <w:sz w:val="28"/>
          <w:szCs w:val="28"/>
        </w:rPr>
        <w:t>公务接待费支出</w:t>
      </w:r>
      <w:r>
        <w:rPr>
          <w:rFonts w:hint="eastAsia" w:ascii="仿宋_GB2312" w:hAnsi="仿宋_GB2312" w:eastAsia="仿宋_GB2312" w:cs="仿宋_GB2312"/>
          <w:b w:val="0"/>
          <w:bCs w:val="0"/>
          <w:sz w:val="28"/>
          <w:szCs w:val="28"/>
        </w:rPr>
        <w:t>0.00</w:t>
      </w:r>
      <w:r>
        <w:rPr>
          <w:rFonts w:hint="eastAsia" w:ascii="仿宋_GB2312" w:eastAsia="仿宋_GB2312"/>
          <w:b w:val="0"/>
          <w:bCs w:val="0"/>
          <w:sz w:val="28"/>
          <w:szCs w:val="28"/>
        </w:rPr>
        <w:t>万元，</w:t>
      </w:r>
      <w:r>
        <w:rPr>
          <w:rStyle w:val="14"/>
          <w:rFonts w:hint="eastAsia" w:ascii="仿宋" w:hAnsi="仿宋" w:eastAsia="仿宋"/>
          <w:b w:val="0"/>
          <w:bCs w:val="0"/>
          <w:sz w:val="28"/>
          <w:szCs w:val="28"/>
        </w:rPr>
        <w:t>完成预算</w:t>
      </w:r>
      <w:r>
        <w:rPr>
          <w:rFonts w:hint="eastAsia" w:ascii="仿宋_GB2312" w:hAnsi="仿宋_GB2312" w:eastAsia="仿宋_GB2312" w:cs="仿宋_GB2312"/>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hint="eastAsia" w:ascii="仿宋" w:hAnsi="仿宋" w:eastAsia="仿宋"/>
          <w:b w:val="0"/>
          <w:bCs w:val="0"/>
          <w:sz w:val="28"/>
          <w:szCs w:val="28"/>
        </w:rPr>
        <w:t>其他国内公务接待支出0.00</w:t>
      </w:r>
      <w:r>
        <w:rPr>
          <w:rFonts w:hint="eastAsia" w:ascii="仿宋_GB2312" w:eastAsia="仿宋_GB2312"/>
          <w:b w:val="0"/>
          <w:bCs w:val="0"/>
          <w:sz w:val="28"/>
          <w:szCs w:val="28"/>
        </w:rPr>
        <w:t>万元。</w:t>
      </w:r>
      <w:bookmarkStart w:id="45" w:name="_Toc15377218"/>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46" w:name="_Toc19089871"/>
      <w:r>
        <w:rPr>
          <w:rFonts w:hint="eastAsia" w:ascii="黑体" w:eastAsia="黑体"/>
          <w:b w:val="0"/>
          <w:bCs w:val="0"/>
          <w:sz w:val="28"/>
          <w:szCs w:val="28"/>
        </w:rPr>
        <w:t>八、</w:t>
      </w:r>
      <w:r>
        <w:rPr>
          <w:rStyle w:val="25"/>
          <w:rFonts w:hint="eastAsia" w:ascii="黑体" w:hAnsi="黑体" w:eastAsia="黑体"/>
          <w:b w:val="0"/>
          <w:bCs w:val="0"/>
          <w:sz w:val="28"/>
          <w:szCs w:val="28"/>
        </w:rPr>
        <w:t>政府性基金预算支出决算情况说明</w:t>
      </w:r>
      <w:bookmarkEnd w:id="45"/>
      <w:bookmarkEnd w:id="46"/>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3419.59</w:t>
      </w:r>
      <w:r>
        <w:rPr>
          <w:rFonts w:hint="eastAsia" w:ascii="仿宋_GB2312" w:eastAsia="仿宋_GB2312"/>
          <w:b w:val="0"/>
          <w:bCs w:val="0"/>
          <w:sz w:val="28"/>
          <w:szCs w:val="28"/>
        </w:rPr>
        <w:t>万元。</w:t>
      </w:r>
    </w:p>
    <w:p>
      <w:pPr>
        <w:keepNext w:val="0"/>
        <w:keepLines w:val="0"/>
        <w:pageBreakBefore w:val="0"/>
        <w:widowControl w:val="0"/>
        <w:numPr>
          <w:ilvl w:val="0"/>
          <w:numId w:val="1"/>
        </w:numPr>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sz w:val="28"/>
          <w:szCs w:val="28"/>
        </w:rPr>
      </w:pPr>
      <w:bookmarkStart w:id="47" w:name="_Toc19089872"/>
      <w:bookmarkStart w:id="48" w:name="_Toc15377219"/>
      <w:r>
        <w:rPr>
          <w:rStyle w:val="25"/>
          <w:rFonts w:hint="eastAsia" w:ascii="黑体" w:hAnsi="黑体" w:eastAsia="黑体"/>
          <w:b w:val="0"/>
          <w:bCs w:val="0"/>
          <w:sz w:val="28"/>
          <w:szCs w:val="28"/>
        </w:rPr>
        <w:t>国有资本经营预算支出决算情况说明</w:t>
      </w:r>
      <w:bookmarkEnd w:id="47"/>
      <w:bookmarkEnd w:id="48"/>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3"/>
        <w:keepNext w:val="0"/>
        <w:keepLines w:val="0"/>
        <w:pageBreakBefore w:val="0"/>
        <w:widowControl w:val="0"/>
        <w:numPr>
          <w:ilvl w:val="0"/>
          <w:numId w:val="2"/>
        </w:numPr>
        <w:kinsoku/>
        <w:wordWrap/>
        <w:overflowPunct/>
        <w:topLinePunct w:val="0"/>
        <w:bidi w:val="0"/>
        <w:snapToGrid w:val="0"/>
        <w:spacing w:line="360" w:lineRule="auto"/>
        <w:ind w:left="0" w:firstLine="560" w:firstLineChars="200"/>
        <w:jc w:val="both"/>
        <w:textAlignment w:val="auto"/>
        <w:rPr>
          <w:rStyle w:val="25"/>
          <w:rFonts w:ascii="黑体" w:hAnsi="黑体" w:eastAsia="黑体"/>
          <w:b w:val="0"/>
          <w:bCs w:val="0"/>
          <w:sz w:val="28"/>
          <w:szCs w:val="28"/>
        </w:rPr>
      </w:pPr>
      <w:bookmarkStart w:id="49" w:name="_Toc19089873"/>
      <w:r>
        <w:rPr>
          <w:rStyle w:val="25"/>
          <w:rFonts w:hint="eastAsia" w:ascii="黑体" w:hAnsi="黑体" w:eastAsia="黑体"/>
          <w:b w:val="0"/>
          <w:bCs w:val="0"/>
          <w:sz w:val="28"/>
          <w:szCs w:val="28"/>
        </w:rPr>
        <w:t>预算绩效情况说明</w:t>
      </w:r>
      <w:bookmarkEnd w:id="49"/>
    </w:p>
    <w:p>
      <w:pPr>
        <w:keepNext w:val="0"/>
        <w:keepLines w:val="0"/>
        <w:pageBreakBefore w:val="0"/>
        <w:widowControl w:val="0"/>
        <w:numPr>
          <w:numId w:val="0"/>
        </w:numPr>
        <w:kinsoku/>
        <w:wordWrap/>
        <w:overflowPunct/>
        <w:topLinePunct w:val="0"/>
        <w:bidi w:val="0"/>
        <w:snapToGrid w:val="0"/>
        <w:spacing w:line="360" w:lineRule="auto"/>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预算绩效管理工作开展情况</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本部门按要求对20</w:t>
      </w:r>
      <w:r>
        <w:rPr>
          <w:rFonts w:hint="eastAsia" w:ascii="仿宋_GB2312" w:hAnsi="仿宋_GB2312" w:eastAsia="仿宋_GB2312" w:cs="仿宋_GB2312"/>
          <w:b w:val="0"/>
          <w:bCs w:val="0"/>
          <w:sz w:val="28"/>
          <w:szCs w:val="28"/>
        </w:rPr>
        <w:t>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50" w:name="_Toc19089874"/>
      <w:bookmarkStart w:id="51" w:name="_Toc15377221"/>
      <w:r>
        <w:rPr>
          <w:rFonts w:hint="eastAsia" w:ascii="黑体" w:hAnsi="黑体" w:eastAsia="黑体"/>
          <w:b w:val="0"/>
          <w:bCs w:val="0"/>
          <w:color w:val="000000" w:themeColor="text1"/>
          <w:sz w:val="28"/>
          <w:szCs w:val="28"/>
          <w14:textFill>
            <w14:solidFill>
              <w14:schemeClr w14:val="tx1"/>
            </w14:solidFill>
          </w14:textFill>
        </w:rPr>
        <w:t>十</w:t>
      </w:r>
      <w:r>
        <w:rPr>
          <w:rStyle w:val="25"/>
          <w:rFonts w:hint="eastAsia" w:ascii="黑体" w:hAnsi="黑体" w:eastAsia="黑体"/>
          <w:b w:val="0"/>
          <w:bCs w:val="0"/>
          <w:color w:val="000000" w:themeColor="text1"/>
          <w:sz w:val="28"/>
          <w:szCs w:val="28"/>
          <w14:textFill>
            <w14:solidFill>
              <w14:schemeClr w14:val="tx1"/>
            </w14:solidFill>
          </w14:textFill>
        </w:rPr>
        <w:t>一、其他重要事项的情况说明</w:t>
      </w:r>
      <w:bookmarkEnd w:id="50"/>
      <w:bookmarkEnd w:id="51"/>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2" w:name="_Toc15377222"/>
      <w:r>
        <w:rPr>
          <w:rFonts w:hint="eastAsia" w:ascii="楷体" w:hAnsi="楷体" w:eastAsia="楷体" w:cs="楷体"/>
          <w:b w:val="0"/>
          <w:bCs w:val="0"/>
          <w:color w:val="000000" w:themeColor="text1"/>
          <w:sz w:val="28"/>
          <w:szCs w:val="28"/>
          <w14:textFill>
            <w14:solidFill>
              <w14:schemeClr w14:val="tx1"/>
            </w14:solidFill>
          </w14:textFill>
        </w:rPr>
        <w:t>（一）机关运行经费支出情况</w:t>
      </w:r>
      <w:bookmarkEnd w:id="52"/>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9年，利州区教育局机关运行经费支出</w:t>
      </w:r>
      <w:r>
        <w:rPr>
          <w:rFonts w:hint="eastAsia" w:ascii="仿宋" w:hAnsi="仿宋" w:eastAsia="仿宋" w:cs="仿宋_GB2312"/>
          <w:b w:val="0"/>
          <w:bCs w:val="0"/>
          <w:sz w:val="28"/>
          <w:szCs w:val="28"/>
        </w:rPr>
        <w:t>0.00</w:t>
      </w:r>
      <w:r>
        <w:rPr>
          <w:rFonts w:hint="eastAsia" w:ascii="仿宋_GB2312" w:eastAsia="仿宋_GB2312"/>
          <w:b w:val="0"/>
          <w:bCs w:val="0"/>
          <w:sz w:val="28"/>
          <w:szCs w:val="28"/>
        </w:rPr>
        <w:t>万元，与</w:t>
      </w:r>
      <w:r>
        <w:rPr>
          <w:rFonts w:ascii="仿宋_GB2312" w:eastAsia="仿宋_GB2312"/>
          <w:b w:val="0"/>
          <w:bCs w:val="0"/>
          <w:sz w:val="28"/>
          <w:szCs w:val="28"/>
        </w:rPr>
        <w:t>201</w:t>
      </w:r>
      <w:r>
        <w:rPr>
          <w:rFonts w:hint="eastAsia" w:ascii="仿宋_GB2312" w:eastAsia="仿宋_GB2312"/>
          <w:b w:val="0"/>
          <w:bCs w:val="0"/>
          <w:sz w:val="28"/>
          <w:szCs w:val="28"/>
        </w:rPr>
        <w:t>8年（</w:t>
      </w:r>
      <w:r>
        <w:rPr>
          <w:rFonts w:hint="eastAsia" w:ascii="仿宋" w:hAnsi="仿宋" w:eastAsia="仿宋" w:cs="仿宋_GB2312"/>
          <w:b w:val="0"/>
          <w:bCs w:val="0"/>
          <w:sz w:val="28"/>
          <w:szCs w:val="28"/>
        </w:rPr>
        <w:t>0.00</w:t>
      </w:r>
      <w:r>
        <w:rPr>
          <w:rFonts w:hint="eastAsia" w:ascii="仿宋_GB2312" w:eastAsia="仿宋_GB2312"/>
          <w:b w:val="0"/>
          <w:bCs w:val="0"/>
          <w:sz w:val="28"/>
          <w:szCs w:val="28"/>
        </w:rPr>
        <w:t>万元）相比基本持平，增加</w:t>
      </w:r>
      <w:r>
        <w:rPr>
          <w:rFonts w:hint="eastAsia" w:ascii="仿宋" w:hAnsi="仿宋" w:eastAsia="仿宋" w:cs="仿宋_GB2312"/>
          <w:b w:val="0"/>
          <w:bCs w:val="0"/>
          <w:sz w:val="28"/>
          <w:szCs w:val="28"/>
        </w:rPr>
        <w:t>0.00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CS05</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3" w:name="_Toc15377223"/>
      <w:r>
        <w:rPr>
          <w:rFonts w:hint="eastAsia" w:ascii="楷体" w:hAnsi="楷体" w:eastAsia="楷体" w:cs="楷体"/>
          <w:b w:val="0"/>
          <w:bCs w:val="0"/>
          <w:color w:val="000000" w:themeColor="text1"/>
          <w:sz w:val="28"/>
          <w:szCs w:val="28"/>
          <w14:textFill>
            <w14:solidFill>
              <w14:schemeClr w14:val="tx1"/>
            </w14:solidFill>
          </w14:textFill>
        </w:rPr>
        <w:t>（二）政府采购支出情况</w:t>
      </w:r>
      <w:bookmarkEnd w:id="53"/>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CS06</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bidi w:val="0"/>
        <w:snapToGrid w:val="0"/>
        <w:spacing w:line="360" w:lineRule="auto"/>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br w:type="page"/>
      </w:r>
    </w:p>
    <w:p>
      <w:pPr>
        <w:numPr>
          <w:ilvl w:val="0"/>
          <w:numId w:val="3"/>
        </w:numPr>
        <w:spacing w:line="600" w:lineRule="exact"/>
        <w:ind w:left="0" w:leftChars="0" w:firstLine="0" w:firstLineChars="0"/>
        <w:jc w:val="center"/>
        <w:outlineLvl w:val="0"/>
        <w:rPr>
          <w:rFonts w:ascii="黑体" w:hAnsi="黑体" w:eastAsia="黑体"/>
          <w:bCs/>
          <w:kern w:val="44"/>
          <w:sz w:val="44"/>
          <w:szCs w:val="44"/>
        </w:rPr>
      </w:pPr>
      <w:bookmarkStart w:id="54" w:name="_Toc19089875"/>
      <w:bookmarkStart w:id="55" w:name="_Toc15377225"/>
      <w:r>
        <w:rPr>
          <w:rFonts w:hint="eastAsia" w:ascii="黑体" w:hAnsi="黑体" w:eastAsia="黑体"/>
          <w:b/>
          <w:sz w:val="44"/>
          <w:szCs w:val="44"/>
        </w:rPr>
        <w:t>名</w:t>
      </w:r>
      <w:r>
        <w:rPr>
          <w:rStyle w:val="24"/>
          <w:rFonts w:hint="eastAsia" w:ascii="黑体" w:hAnsi="黑体" w:eastAsia="黑体"/>
          <w:b w:val="0"/>
        </w:rPr>
        <w:t>词解释</w:t>
      </w:r>
      <w:bookmarkEnd w:id="54"/>
      <w:bookmarkEnd w:id="55"/>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（名词解释部分请根据各部门实际列支情况罗列，并根据本部门职责职能增减名词解释内容。）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jc w:val="both"/>
        <w:textAlignment w:val="auto"/>
        <w:rPr>
          <w:rFonts w:hint="eastAsia" w:ascii="仿宋" w:hAnsi="仿宋" w:eastAsia="仿宋" w:cs="仿宋_GB2312"/>
          <w:b w:val="0"/>
          <w:bCs w:val="0"/>
          <w:sz w:val="28"/>
          <w:szCs w:val="28"/>
        </w:rPr>
      </w:pPr>
      <w:bookmarkStart w:id="56" w:name="_Toc19089876"/>
      <w:bookmarkStart w:id="57"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bookmarkEnd w:id="56"/>
    </w:p>
    <w:p>
      <w:pPr>
        <w:widowControl/>
        <w:jc w:val="left"/>
        <w:rPr>
          <w:rFonts w:ascii="仿宋" w:hAnsi="仿宋" w:eastAsia="仿宋"/>
          <w:kern w:val="44"/>
          <w:sz w:val="32"/>
          <w:szCs w:val="32"/>
        </w:rPr>
      </w:pPr>
      <w:bookmarkStart w:id="58" w:name="_Toc19089877"/>
      <w:r>
        <w:rPr>
          <w:rFonts w:hint="eastAsia" w:ascii="仿宋" w:hAnsi="仿宋" w:eastAsia="仿宋"/>
          <w:kern w:val="44"/>
          <w:sz w:val="32"/>
          <w:szCs w:val="32"/>
        </w:rPr>
        <w:t>附件1</w:t>
      </w:r>
      <w:bookmarkEnd w:id="58"/>
    </w:p>
    <w:p>
      <w:pPr>
        <w:spacing w:line="600" w:lineRule="exact"/>
        <w:jc w:val="center"/>
        <w:outlineLvl w:val="0"/>
        <w:rPr>
          <w:rFonts w:hint="eastAsia" w:ascii="黑体" w:hAnsi="黑体" w:eastAsia="黑体" w:cs="方正小标宋简体"/>
          <w:sz w:val="36"/>
          <w:szCs w:val="36"/>
        </w:rPr>
      </w:pPr>
      <w:bookmarkStart w:id="59" w:name="_Toc19089878"/>
      <w:bookmarkStart w:id="60" w:name="_Toc15396616"/>
      <w:r>
        <w:rPr>
          <w:rFonts w:hint="eastAsia" w:ascii="黑体" w:hAnsi="黑体" w:eastAsia="黑体" w:cs="方正小标宋简体"/>
          <w:sz w:val="36"/>
          <w:szCs w:val="36"/>
        </w:rPr>
        <w:t>广元市利州区东城实验学校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59"/>
      <w:bookmarkStart w:id="61" w:name="_Toc19089879"/>
      <w:r>
        <w:rPr>
          <w:rFonts w:hint="eastAsia" w:ascii="黑体" w:hAnsi="黑体" w:eastAsia="黑体" w:cs="方正小标宋简体"/>
          <w:sz w:val="36"/>
          <w:szCs w:val="36"/>
        </w:rPr>
        <w:t>绩效评价报告</w:t>
      </w:r>
      <w:bookmarkEnd w:id="60"/>
      <w:bookmarkEnd w:id="61"/>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（一）主要职能</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1. </w:t>
      </w:r>
      <w:r>
        <w:rPr>
          <w:rFonts w:ascii="仿宋" w:hAnsi="仿宋" w:eastAsia="仿宋"/>
          <w:sz w:val="28"/>
          <w:szCs w:val="28"/>
        </w:rPr>
        <w:t>贯彻执行党和国家关于教育改革和发展的各项方针、政策。</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2. 实施中、小学义务教育，促进基础教育发展初中、小学学历教育。</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3. 以习近平新时代中国特色社会主义思想为指导，大力推动学校党建工作。</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4. </w:t>
      </w:r>
      <w:r>
        <w:rPr>
          <w:rFonts w:ascii="仿宋" w:hAnsi="仿宋" w:eastAsia="仿宋"/>
          <w:sz w:val="28"/>
          <w:szCs w:val="28"/>
        </w:rPr>
        <w:t>负责</w:t>
      </w:r>
      <w:r>
        <w:rPr>
          <w:rFonts w:hint="eastAsia" w:ascii="仿宋" w:hAnsi="仿宋" w:eastAsia="仿宋"/>
          <w:sz w:val="28"/>
          <w:szCs w:val="28"/>
        </w:rPr>
        <w:t>单位</w:t>
      </w:r>
      <w:r>
        <w:rPr>
          <w:rFonts w:ascii="仿宋" w:hAnsi="仿宋" w:eastAsia="仿宋"/>
          <w:sz w:val="28"/>
          <w:szCs w:val="28"/>
        </w:rPr>
        <w:t>教育经费的</w:t>
      </w:r>
      <w:r>
        <w:rPr>
          <w:rFonts w:hint="eastAsia" w:ascii="仿宋" w:hAnsi="仿宋" w:eastAsia="仿宋"/>
          <w:sz w:val="28"/>
          <w:szCs w:val="28"/>
        </w:rPr>
        <w:t>管理</w:t>
      </w:r>
      <w:r>
        <w:rPr>
          <w:rFonts w:ascii="仿宋" w:hAnsi="仿宋" w:eastAsia="仿宋"/>
          <w:sz w:val="28"/>
          <w:szCs w:val="28"/>
        </w:rPr>
        <w:t>，</w:t>
      </w:r>
      <w:r>
        <w:rPr>
          <w:rFonts w:hint="eastAsia" w:ascii="仿宋" w:hAnsi="仿宋" w:eastAsia="仿宋"/>
          <w:sz w:val="28"/>
          <w:szCs w:val="28"/>
        </w:rPr>
        <w:t>保证中小学正常运转，用于教学活动和后勤服务等方面开支</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5. 加强队伍建设，转变工作作风。</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6. 构建发展平台，引领教师专业发展。</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7. 深化常规管理，提高教育教学质量。</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8. 深化常规管理，提高教育教学质量。</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9. 强化安全意识，打造平安和谐校园。</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楷体_GB2312" w:hAnsi="仿宋" w:eastAsia="楷体_GB2312"/>
          <w:color w:val="000000"/>
          <w:spacing w:val="-6"/>
          <w:kern w:val="1"/>
          <w:sz w:val="28"/>
          <w:szCs w:val="28"/>
        </w:rPr>
      </w:pPr>
      <w:r>
        <w:rPr>
          <w:rFonts w:hint="eastAsia" w:ascii="仿宋" w:hAnsi="仿宋" w:eastAsia="仿宋"/>
          <w:sz w:val="28"/>
          <w:szCs w:val="28"/>
        </w:rPr>
        <w:t>10. 紧跟时代步伐，发挥工会职能，增进民生福祉。</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11. 精准帮扶尽锐出战，关爱惠民传递温暖。</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（二）人员概况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广元市利州区东城实验学校共有编制440名，其中全额财政补助事业编制440人。截至2019年末，实有在职人员433人，未归口管理的退休人员68人，实有学生10369人。</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2019年度利州区东城实验学校收入总计10359.11万元，与2018年相比（7256.91万元），收入总计增加3102.19万元，增涨42.74%。</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sz w:val="28"/>
          <w:szCs w:val="28"/>
        </w:rPr>
        <w:t>2019年度支出合计10190.06万元，与2018年相比（7095.55万元），支出增加3094.51万元，增加43.61%。</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部门绩效目标制定</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预算编制</w:t>
      </w:r>
      <w:r>
        <w:rPr>
          <w:rFonts w:hint="eastAsia" w:ascii="仿宋" w:hAnsi="仿宋" w:eastAsia="仿宋" w:cs="仿宋_GB2312"/>
          <w:sz w:val="28"/>
          <w:szCs w:val="28"/>
        </w:rPr>
        <w:t>和执行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1.专项预算编制情况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2.专项预算执行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对于上级或区本级下达的各类专项预算支出，严格按照预算批复的开支范围和</w:t>
      </w:r>
      <w:r>
        <w:rPr>
          <w:rFonts w:hint="eastAsia" w:ascii="仿宋" w:hAnsi="仿宋" w:eastAsia="仿宋" w:cs="仿宋_GB2312"/>
          <w:spacing w:val="-6"/>
          <w:sz w:val="28"/>
          <w:szCs w:val="28"/>
        </w:rPr>
        <w:t>标准执行，不准擅自调项、扩项、缩项，更不准拆借、挪用、挤占和随意扣压；资金拨付动向，按不同专项资金的要求执行，不准任意改变</w:t>
      </w:r>
      <w:r>
        <w:rPr>
          <w:rFonts w:hint="eastAsia" w:ascii="仿宋" w:hAnsi="仿宋" w:eastAsia="仿宋"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3.专项预算绩效目标完成情况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2019年财政专项预算支出共3687.89万元，除个别年末下达的项目未来得及实施外，其余一般公共预算和政府性基金预算项目预算完成率均达到80%以上。</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_GB2312"/>
          <w:color w:val="000000" w:themeColor="text1"/>
          <w:sz w:val="28"/>
          <w:szCs w:val="28"/>
          <w14:textFill>
            <w14:solidFill>
              <w14:schemeClr w14:val="tx1"/>
            </w14:solidFill>
          </w14:textFill>
        </w:rPr>
        <w:t>标实现较为理想，达到预期目的。部门整体绩效评价得分97.3分。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（三）改进建议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bookmarkStart w:id="76" w:name="_GoBack"/>
      <w:bookmarkEnd w:id="76"/>
    </w:p>
    <w:p/>
    <w:p>
      <w:pPr>
        <w:spacing w:line="600" w:lineRule="exact"/>
        <w:jc w:val="center"/>
        <w:outlineLvl w:val="0"/>
        <w:rPr>
          <w:rStyle w:val="24"/>
          <w:rFonts w:hint="eastAsia" w:ascii="方正小标宋简体" w:hAnsi="方正小标宋简体" w:eastAsia="方正小标宋简体" w:cs="方正小标宋简体"/>
          <w:b w:val="0"/>
        </w:rPr>
      </w:pPr>
      <w:bookmarkStart w:id="62" w:name="_Toc19089885"/>
      <w:r>
        <w:rPr>
          <w:rFonts w:hint="eastAsia" w:ascii="方正小标宋简体" w:hAnsi="方正小标宋简体" w:eastAsia="方正小标宋简体" w:cs="方正小标宋简体"/>
          <w:sz w:val="44"/>
          <w:szCs w:val="44"/>
        </w:rPr>
        <w:t>第二</w:t>
      </w:r>
      <w:r>
        <w:rPr>
          <w:rStyle w:val="24"/>
          <w:rFonts w:hint="eastAsia" w:ascii="方正小标宋简体" w:hAnsi="方正小标宋简体" w:eastAsia="方正小标宋简体" w:cs="方正小标宋简体"/>
          <w:b w:val="0"/>
        </w:rPr>
        <w:t>部分 附表</w:t>
      </w:r>
      <w:bookmarkEnd w:id="57"/>
      <w:bookmarkEnd w:id="62"/>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3" w:name="_Toc1908988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63"/>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4" w:name="_Toc19089887"/>
      <w:r>
        <w:rPr>
          <w:rFonts w:hint="eastAsia" w:ascii="仿宋" w:hAnsi="仿宋" w:eastAsia="仿宋" w:cs="仿宋_GB2312"/>
          <w:sz w:val="28"/>
          <w:szCs w:val="28"/>
        </w:rPr>
        <w:t>二、收入总表</w:t>
      </w:r>
      <w:bookmarkEnd w:id="64"/>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5" w:name="_Toc19089888"/>
      <w:r>
        <w:rPr>
          <w:rFonts w:hint="eastAsia" w:ascii="仿宋" w:hAnsi="仿宋" w:eastAsia="仿宋" w:cs="仿宋_GB2312"/>
          <w:sz w:val="28"/>
          <w:szCs w:val="28"/>
        </w:rPr>
        <w:t>三、支出总表</w:t>
      </w:r>
      <w:bookmarkEnd w:id="65"/>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6" w:name="_Toc19089889"/>
      <w:r>
        <w:rPr>
          <w:rFonts w:hint="eastAsia" w:ascii="仿宋" w:hAnsi="仿宋" w:eastAsia="仿宋" w:cs="仿宋_GB2312"/>
          <w:sz w:val="28"/>
          <w:szCs w:val="28"/>
        </w:rPr>
        <w:t>四、财政拨款收入支出决算总表</w:t>
      </w:r>
      <w:bookmarkEnd w:id="6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7" w:name="_Toc19089890"/>
      <w:r>
        <w:rPr>
          <w:rFonts w:hint="eastAsia" w:ascii="仿宋" w:hAnsi="仿宋" w:eastAsia="仿宋" w:cs="仿宋_GB2312"/>
          <w:sz w:val="28"/>
          <w:szCs w:val="28"/>
        </w:rPr>
        <w:t>五、财政拨款支出决算明细表（政府经济分类科目）</w:t>
      </w:r>
      <w:bookmarkEnd w:id="67"/>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8" w:name="_Toc19089891"/>
      <w:r>
        <w:rPr>
          <w:rFonts w:hint="eastAsia" w:ascii="仿宋" w:hAnsi="仿宋" w:eastAsia="仿宋" w:cs="仿宋_GB2312"/>
          <w:sz w:val="28"/>
          <w:szCs w:val="28"/>
        </w:rPr>
        <w:t>六、一般公共预算财政拨款支出决算表</w:t>
      </w:r>
      <w:bookmarkEnd w:id="68"/>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69" w:name="_Toc19089892"/>
      <w:r>
        <w:rPr>
          <w:rFonts w:hint="eastAsia" w:ascii="仿宋" w:hAnsi="仿宋" w:eastAsia="仿宋" w:cs="仿宋_GB2312"/>
          <w:sz w:val="28"/>
          <w:szCs w:val="28"/>
        </w:rPr>
        <w:t>七、一般公共预算财政拨款支出决算明细表</w:t>
      </w:r>
      <w:bookmarkEnd w:id="69"/>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0" w:name="_Toc19089893"/>
      <w:r>
        <w:rPr>
          <w:rFonts w:hint="eastAsia" w:ascii="仿宋" w:hAnsi="仿宋" w:eastAsia="仿宋" w:cs="仿宋_GB2312"/>
          <w:sz w:val="28"/>
          <w:szCs w:val="28"/>
        </w:rPr>
        <w:t>八、一般公共预算财政拨款基本支出决算表</w:t>
      </w:r>
      <w:bookmarkEnd w:id="70"/>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1" w:name="_Toc19089894"/>
      <w:r>
        <w:rPr>
          <w:rFonts w:hint="eastAsia" w:ascii="仿宋" w:hAnsi="仿宋" w:eastAsia="仿宋" w:cs="仿宋_GB2312"/>
          <w:sz w:val="28"/>
          <w:szCs w:val="28"/>
        </w:rPr>
        <w:t>九、一般公共预算财政拨款项目支出决算表</w:t>
      </w:r>
      <w:bookmarkEnd w:id="71"/>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2" w:name="_Toc19089895"/>
      <w:r>
        <w:rPr>
          <w:rFonts w:hint="eastAsia" w:ascii="仿宋" w:hAnsi="仿宋" w:eastAsia="仿宋" w:cs="仿宋_GB2312"/>
          <w:sz w:val="28"/>
          <w:szCs w:val="28"/>
        </w:rPr>
        <w:t>十、一般公共预算财政拨款“三公”经费支出决算表</w:t>
      </w:r>
      <w:bookmarkEnd w:id="72"/>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3" w:name="_Toc19089896"/>
      <w:r>
        <w:rPr>
          <w:rFonts w:hint="eastAsia" w:ascii="仿宋" w:hAnsi="仿宋" w:eastAsia="仿宋" w:cs="仿宋_GB2312"/>
          <w:sz w:val="28"/>
          <w:szCs w:val="28"/>
        </w:rPr>
        <w:t>十一、政府性基金预算财政拨款收入支出决算表</w:t>
      </w:r>
      <w:bookmarkEnd w:id="73"/>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4" w:name="_Toc19089897"/>
      <w:r>
        <w:rPr>
          <w:rFonts w:hint="eastAsia" w:ascii="仿宋" w:hAnsi="仿宋" w:eastAsia="仿宋" w:cs="仿宋_GB2312"/>
          <w:sz w:val="28"/>
          <w:szCs w:val="28"/>
        </w:rPr>
        <w:t>十二、政府性基金预算财政拨款“三公”经费支出决算表</w:t>
      </w:r>
      <w:bookmarkEnd w:id="74"/>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_GB2312"/>
          <w:sz w:val="28"/>
          <w:szCs w:val="28"/>
        </w:rPr>
      </w:pPr>
      <w:bookmarkStart w:id="75" w:name="_Toc19089898"/>
      <w:r>
        <w:rPr>
          <w:rFonts w:hint="eastAsia" w:ascii="仿宋" w:hAnsi="仿宋" w:eastAsia="仿宋" w:cs="仿宋_GB2312"/>
          <w:sz w:val="28"/>
          <w:szCs w:val="28"/>
        </w:rPr>
        <w:t>十三、国有资本经营预算支出决算表</w:t>
      </w:r>
      <w:bookmarkEnd w:id="75"/>
    </w:p>
    <w:sectPr>
      <w:footerReference r:id="rId5" w:type="first"/>
      <w:footerReference r:id="rId4"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B55A4"/>
    <w:rsid w:val="005D1C8B"/>
    <w:rsid w:val="005D55F1"/>
    <w:rsid w:val="005D5CED"/>
    <w:rsid w:val="005F1A4C"/>
    <w:rsid w:val="005F4E6B"/>
    <w:rsid w:val="00605688"/>
    <w:rsid w:val="006070AF"/>
    <w:rsid w:val="00607E6C"/>
    <w:rsid w:val="006101B1"/>
    <w:rsid w:val="006142DE"/>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1DB1"/>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3342C49"/>
    <w:rsid w:val="03541341"/>
    <w:rsid w:val="03D20C3A"/>
    <w:rsid w:val="04506675"/>
    <w:rsid w:val="04CA1D25"/>
    <w:rsid w:val="054B013F"/>
    <w:rsid w:val="0F4A51F7"/>
    <w:rsid w:val="10C055FF"/>
    <w:rsid w:val="12CF04ED"/>
    <w:rsid w:val="14550757"/>
    <w:rsid w:val="16BB723D"/>
    <w:rsid w:val="182F2FCF"/>
    <w:rsid w:val="189679A3"/>
    <w:rsid w:val="19AA5586"/>
    <w:rsid w:val="1BB506D7"/>
    <w:rsid w:val="1BF15163"/>
    <w:rsid w:val="1E147BE1"/>
    <w:rsid w:val="1FF25CF0"/>
    <w:rsid w:val="21233793"/>
    <w:rsid w:val="2184358A"/>
    <w:rsid w:val="225D7064"/>
    <w:rsid w:val="240371BF"/>
    <w:rsid w:val="272317C6"/>
    <w:rsid w:val="298F5340"/>
    <w:rsid w:val="29FD04D3"/>
    <w:rsid w:val="2A793A74"/>
    <w:rsid w:val="2AD83971"/>
    <w:rsid w:val="2E3C020E"/>
    <w:rsid w:val="2F493F51"/>
    <w:rsid w:val="319F7F4E"/>
    <w:rsid w:val="39233B37"/>
    <w:rsid w:val="409501C5"/>
    <w:rsid w:val="46C52A4F"/>
    <w:rsid w:val="48384D73"/>
    <w:rsid w:val="4A5B3BBF"/>
    <w:rsid w:val="4B106AE9"/>
    <w:rsid w:val="509D4AE7"/>
    <w:rsid w:val="53C52CC6"/>
    <w:rsid w:val="55330002"/>
    <w:rsid w:val="5F8B24D4"/>
    <w:rsid w:val="6BF05ACA"/>
    <w:rsid w:val="715E3C5B"/>
    <w:rsid w:val="736C525E"/>
    <w:rsid w:val="74D800FA"/>
    <w:rsid w:val="7A5B44B8"/>
    <w:rsid w:val="7B586490"/>
    <w:rsid w:val="7D197D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7256.91</c:v>
                </c:pt>
                <c:pt idx="1">
                  <c:v>10359.11</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7095.55</c:v>
                </c:pt>
                <c:pt idx="1">
                  <c:v>10190.06</c:v>
                </c:pt>
              </c:numCache>
            </c:numRef>
          </c:val>
        </c:ser>
        <c:dLbls>
          <c:showLegendKey val="0"/>
          <c:showVal val="0"/>
          <c:showCatName val="0"/>
          <c:showSerName val="0"/>
          <c:showPercent val="0"/>
          <c:showBubbleSize val="0"/>
        </c:dLbls>
        <c:gapWidth val="150"/>
        <c:axId val="201595136"/>
        <c:axId val="201596928"/>
      </c:barChart>
      <c:catAx>
        <c:axId val="2015951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596928"/>
        <c:crosses val="autoZero"/>
        <c:auto val="1"/>
        <c:lblAlgn val="ctr"/>
        <c:lblOffset val="100"/>
        <c:noMultiLvlLbl val="0"/>
      </c:catAx>
      <c:valAx>
        <c:axId val="2015969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5951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9946.62</c:v>
                </c:pt>
                <c:pt idx="1">
                  <c:v>0</c:v>
                </c:pt>
                <c:pt idx="2">
                  <c:v>0</c:v>
                </c:pt>
                <c:pt idx="3">
                  <c:v>0</c:v>
                </c:pt>
                <c:pt idx="4">
                  <c:v>0</c:v>
                </c:pt>
                <c:pt idx="6">
                  <c:v>412.48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6502.17</c:v>
                </c:pt>
                <c:pt idx="1">
                  <c:v>3687.89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7256.91</c:v>
                </c:pt>
                <c:pt idx="1">
                  <c:v>10359.11</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财政拨款支出, </a:t>
                    </a:r>
                  </a:p>
                  <a:p>
                    <a:pPr>
                      <a:defRPr lang="zh-CN" sz="1000" b="0" i="0" u="none" strike="noStrike" kern="1200" baseline="0">
                        <a:solidFill>
                          <a:schemeClr val="tx1"/>
                        </a:solidFill>
                        <a:latin typeface="+mn-lt"/>
                        <a:ea typeface="+mn-ea"/>
                        <a:cs typeface="+mn-cs"/>
                      </a:defRPr>
                    </a:pPr>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7095.55</c:v>
                </c:pt>
                <c:pt idx="1">
                  <c:v>10190.06</c:v>
                </c:pt>
              </c:numCache>
            </c:numRef>
          </c:val>
        </c:ser>
        <c:dLbls>
          <c:showLegendKey val="0"/>
          <c:showVal val="0"/>
          <c:showCatName val="0"/>
          <c:showSerName val="0"/>
          <c:showPercent val="0"/>
          <c:showBubbleSize val="0"/>
        </c:dLbls>
        <c:gapWidth val="150"/>
        <c:axId val="212236160"/>
        <c:axId val="212237696"/>
      </c:barChart>
      <c:catAx>
        <c:axId val="2122361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37696"/>
        <c:crosses val="autoZero"/>
        <c:auto val="1"/>
        <c:lblAlgn val="ctr"/>
        <c:lblOffset val="100"/>
        <c:noMultiLvlLbl val="0"/>
      </c:catAx>
      <c:valAx>
        <c:axId val="2122376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3616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018308311973636"/>
                  <c:y val="0.200769878503548"/>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6240.85</c:v>
                </c:pt>
                <c:pt idx="1">
                  <c:v>6357.98</c:v>
                </c:pt>
              </c:numCache>
            </c:numRef>
          </c:val>
        </c:ser>
        <c:dLbls>
          <c:showLegendKey val="0"/>
          <c:showVal val="0"/>
          <c:showCatName val="0"/>
          <c:showSerName val="0"/>
          <c:showPercent val="0"/>
          <c:showBubbleSize val="0"/>
        </c:dLbls>
        <c:gapWidth val="150"/>
        <c:axId val="212267008"/>
        <c:axId val="212268544"/>
      </c:barChart>
      <c:catAx>
        <c:axId val="2122670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68544"/>
        <c:crosses val="autoZero"/>
        <c:auto val="1"/>
        <c:lblAlgn val="ctr"/>
        <c:lblOffset val="100"/>
        <c:noMultiLvlLbl val="0"/>
      </c:catAx>
      <c:valAx>
        <c:axId val="212268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670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5535.79</c:v>
                </c:pt>
                <c:pt idx="2">
                  <c:v>0</c:v>
                </c:pt>
                <c:pt idx="3">
                  <c:v>624.29</c:v>
                </c:pt>
                <c:pt idx="4">
                  <c:v>197.9</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0</c:v>
                </c:pt>
                <c:pt idx="2">
                  <c:v>0</c:v>
                </c:pt>
                <c:pt idx="3">
                  <c:v>197.89</c:v>
                </c:pt>
                <c:pt idx="4">
                  <c:v>0</c:v>
                </c:pt>
                <c:pt idx="5">
                  <c:v>604.9</c:v>
                </c:pt>
                <c:pt idx="6">
                  <c:v>19.36</c:v>
                </c:pt>
                <c:pt idx="7">
                  <c:v>0</c:v>
                </c:pt>
                <c:pt idx="8">
                  <c:v>0</c:v>
                </c:pt>
                <c:pt idx="9">
                  <c:v>0</c:v>
                </c:pt>
                <c:pt idx="10">
                  <c:v>0</c:v>
                </c:pt>
                <c:pt idx="11">
                  <c:v>0</c:v>
                </c:pt>
                <c:pt idx="12">
                  <c:v>2350.89</c:v>
                </c:pt>
                <c:pt idx="13">
                  <c:v>8.25</c:v>
                </c:pt>
                <c:pt idx="14">
                  <c:v>2653.85</c:v>
                </c:pt>
                <c:pt idx="15">
                  <c:v>0</c:v>
                </c:pt>
                <c:pt idx="16">
                  <c:v>228.47</c:v>
                </c:pt>
                <c:pt idx="17">
                  <c:v>329.54</c:v>
                </c:pt>
                <c:pt idx="18">
                  <c:v>48.69</c:v>
                </c:pt>
                <c:pt idx="19">
                  <c:v>779.45</c:v>
                </c:pt>
                <c:pt idx="20">
                  <c:v>1448.79</c:v>
                </c:pt>
                <c:pt idx="21">
                  <c:v>5233.52</c:v>
                </c:pt>
                <c:pt idx="22">
                  <c:v>18045.75</c:v>
                </c:pt>
                <c:pt idx="23">
                  <c:v>23719.18</c:v>
                </c:pt>
                <c:pt idx="24">
                  <c:v>2982.73</c:v>
                </c:pt>
                <c:pt idx="25">
                  <c:v>14.16</c:v>
                </c:pt>
                <c:pt idx="26">
                  <c:v>40.32</c:v>
                </c:pt>
                <c:pt idx="27">
                  <c:v>228.34</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14</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212104320"/>
        <c:axId val="212105856"/>
      </c:barChart>
      <c:catAx>
        <c:axId val="21210432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212105856"/>
        <c:crosses val="autoZero"/>
        <c:auto val="1"/>
        <c:lblAlgn val="l"/>
        <c:lblOffset val="100"/>
        <c:noMultiLvlLbl val="0"/>
      </c:catAx>
      <c:valAx>
        <c:axId val="212105856"/>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104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24A6E-736E-48A4-9BF9-B6ED80157CC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1745</Words>
  <Characters>9952</Characters>
  <Lines>82</Lines>
  <Paragraphs>23</Paragraphs>
  <TotalTime>7</TotalTime>
  <ScaleCrop>false</ScaleCrop>
  <LinksUpToDate>false</LinksUpToDate>
  <CharactersWithSpaces>11674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2020-09-18T02:44:52Z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