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77193"/>
      <w:bookmarkStart w:id="2" w:name="_Toc15377425"/>
      <w:bookmarkStart w:id="3" w:name="_Toc19089858"/>
      <w:bookmarkStart w:id="4" w:name="_Toc15378441"/>
      <w:bookmarkStart w:id="5" w:name="_Toc15396597"/>
      <w:bookmarkStart w:id="6" w:name="_Toc15396475"/>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5378442"/>
      <w:bookmarkStart w:id="8" w:name="_Toc15377194"/>
      <w:bookmarkStart w:id="9" w:name="_Toc15377426"/>
      <w:bookmarkStart w:id="10" w:name="_Toc15396598"/>
      <w:bookmarkStart w:id="11" w:name="_Toc15396476"/>
      <w:bookmarkStart w:id="12" w:name="_Toc15306268"/>
      <w:r>
        <w:rPr>
          <w:rFonts w:hint="eastAsia" w:ascii="方正小标宋简体" w:hAnsi="宋体" w:eastAsia="方正小标宋简体"/>
          <w:sz w:val="58"/>
          <w:szCs w:val="58"/>
          <w:lang w:eastAsia="zh-CN"/>
        </w:rPr>
        <w:t>四川省</w:t>
      </w:r>
      <w:r>
        <w:rPr>
          <w:rFonts w:hint="eastAsia" w:ascii="方正小标宋简体" w:hAnsi="宋体" w:eastAsia="方正小标宋简体"/>
          <w:sz w:val="58"/>
          <w:szCs w:val="58"/>
        </w:rPr>
        <w:t>广元市利州区大东英才学校</w:t>
      </w:r>
    </w:p>
    <w:p>
      <w:pPr>
        <w:adjustRightInd w:val="0"/>
        <w:snapToGrid w:val="0"/>
        <w:spacing w:line="360" w:lineRule="auto"/>
        <w:jc w:val="center"/>
        <w:outlineLvl w:val="0"/>
        <w:rPr>
          <w:rFonts w:ascii="方正小标宋简体" w:hAnsi="宋体" w:eastAsia="方正小标宋简体"/>
          <w:sz w:val="58"/>
          <w:szCs w:val="58"/>
        </w:rPr>
      </w:pPr>
      <w:bookmarkStart w:id="13" w:name="_Toc19089860"/>
      <w:r>
        <w:rPr>
          <w:rFonts w:hint="eastAsia" w:ascii="方正小标宋简体" w:hAnsi="宋体" w:eastAsia="方正小标宋简体"/>
          <w:sz w:val="58"/>
          <w:szCs w:val="58"/>
        </w:rPr>
        <w:t>部门决算</w:t>
      </w:r>
      <w:bookmarkEnd w:id="7"/>
      <w:bookmarkEnd w:id="8"/>
      <w:bookmarkEnd w:id="9"/>
      <w:bookmarkEnd w:id="10"/>
      <w:bookmarkEnd w:id="11"/>
      <w:bookmarkEnd w:id="12"/>
      <w:bookmarkEnd w:id="13"/>
    </w:p>
    <w:p>
      <w:pPr>
        <w:widowControl/>
        <w:jc w:val="center"/>
        <w:rPr>
          <w:rFonts w:ascii="方正小标宋简体" w:hAnsi="宋体" w:eastAsia="方正小标宋简体"/>
          <w:sz w:val="36"/>
          <w:szCs w:val="36"/>
        </w:rPr>
      </w:pPr>
    </w:p>
    <w:p>
      <w:pPr>
        <w:widowControl/>
        <w:tabs>
          <w:tab w:val="left" w:pos="5630"/>
        </w:tabs>
        <w:jc w:val="left"/>
        <w:rPr>
          <w:rFonts w:ascii="方正小标宋简体" w:hAnsi="宋体" w:eastAsia="方正小标宋简体"/>
          <w:sz w:val="36"/>
          <w:szCs w:val="36"/>
        </w:rPr>
      </w:pPr>
      <w:r>
        <w:rPr>
          <w:rFonts w:ascii="方正小标宋简体" w:hAnsi="宋体" w:eastAsia="方正小标宋简体"/>
          <w:sz w:val="36"/>
          <w:szCs w:val="36"/>
        </w:rPr>
        <w:tab/>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48"/>
          <w:szCs w:val="48"/>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 w:hAnsi="仿宋" w:eastAsia="仿宋"/>
          <w:sz w:val="28"/>
          <w:szCs w:val="28"/>
        </w:rPr>
      </w:pPr>
      <w:r>
        <w:rPr>
          <w:rFonts w:hint="eastAsia" w:ascii="黑体" w:hAnsi="黑体" w:eastAsia="黑体"/>
          <w:sz w:val="28"/>
          <w:szCs w:val="28"/>
        </w:rPr>
        <w:t>第一部分 部门概况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基本职能及主要工作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十一、其他重要事项明</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黑体" w:hAnsi="黑体" w:eastAsia="黑体"/>
          <w:sz w:val="28"/>
          <w:szCs w:val="28"/>
        </w:rPr>
        <w:t>第四部分 附件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方正小标宋简体" w:hAnsi="方正小标宋简体" w:eastAsia="方正小标宋简体" w:cs="方正小标宋简体"/>
          <w:b w:val="0"/>
        </w:rPr>
      </w:pPr>
      <w:bookmarkStart w:id="14" w:name="_Toc15377196"/>
      <w:bookmarkStart w:id="15" w:name="_Toc1908986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6463"/>
        </w:tabs>
        <w:bidi w:val="0"/>
        <w:jc w:val="left"/>
        <w:rPr>
          <w:rFonts w:hint="eastAsia" w:eastAsia="宋体"/>
          <w:lang w:eastAsia="zh-CN"/>
        </w:rPr>
        <w:sectPr>
          <w:headerReference r:id="rId3" w:type="default"/>
          <w:pgSz w:w="11906" w:h="16838"/>
          <w:pgMar w:top="1701" w:right="1474" w:bottom="1701" w:left="1587" w:header="851" w:footer="992" w:gutter="0"/>
          <w:pgNumType w:start="1"/>
          <w:cols w:space="425" w:num="1"/>
          <w:titlePg/>
          <w:docGrid w:type="lines" w:linePitch="312" w:charSpace="0"/>
        </w:sectPr>
      </w:pPr>
      <w:r>
        <w:rPr>
          <w:rFonts w:hint="eastAsia"/>
          <w:lang w:eastAsia="zh-CN"/>
        </w:rPr>
        <w:tab/>
      </w:r>
    </w:p>
    <w:p>
      <w:pPr>
        <w:pStyle w:val="2"/>
        <w:jc w:val="center"/>
        <w:rPr>
          <w:rStyle w:val="25"/>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4"/>
      <w:bookmarkEnd w:id="15"/>
      <w:bookmarkStart w:id="16" w:name="_Toc19089862"/>
      <w:bookmarkStart w:id="17" w:name="_Toc15377197"/>
    </w:p>
    <w:p>
      <w:pPr>
        <w:pStyle w:val="2"/>
        <w:pageBreakBefore w:val="0"/>
        <w:widowControl w:val="0"/>
        <w:kinsoku/>
        <w:wordWrap/>
        <w:overflowPunct/>
        <w:topLinePunct w:val="0"/>
        <w:autoSpaceDE/>
        <w:autoSpaceDN/>
        <w:bidi w:val="0"/>
        <w:snapToGrid w:val="0"/>
        <w:spacing w:before="0" w:after="0" w:line="560" w:lineRule="exact"/>
        <w:ind w:firstLine="560" w:firstLineChars="200"/>
        <w:jc w:val="both"/>
        <w:textAlignment w:val="auto"/>
        <w:rPr>
          <w:rStyle w:val="26"/>
          <w:rFonts w:ascii="黑体" w:hAnsi="黑体" w:eastAsia="黑体" w:cs="Times New Roman"/>
          <w:b/>
          <w:bCs w:val="0"/>
          <w:kern w:val="44"/>
          <w:sz w:val="28"/>
          <w:szCs w:val="28"/>
        </w:rPr>
      </w:pPr>
      <w:r>
        <w:rPr>
          <w:rFonts w:hint="eastAsia" w:ascii="黑体" w:hAnsi="黑体" w:eastAsia="黑体"/>
          <w:b w:val="0"/>
          <w:sz w:val="28"/>
          <w:szCs w:val="28"/>
        </w:rPr>
        <w:t>一、</w:t>
      </w:r>
      <w:r>
        <w:rPr>
          <w:rStyle w:val="26"/>
          <w:rFonts w:hint="eastAsia" w:ascii="黑体" w:hAnsi="黑体" w:eastAsia="黑体"/>
          <w:b/>
          <w:bCs w:val="0"/>
          <w:sz w:val="28"/>
          <w:szCs w:val="28"/>
        </w:rPr>
        <w:t>基</w:t>
      </w:r>
      <w:r>
        <w:rPr>
          <w:rStyle w:val="26"/>
          <w:rFonts w:hint="eastAsia" w:ascii="黑体" w:hAnsi="黑体" w:eastAsia="黑体"/>
          <w:b w:val="0"/>
          <w:bCs w:val="0"/>
          <w:sz w:val="28"/>
          <w:szCs w:val="28"/>
        </w:rPr>
        <w:t>本职能及主要工作</w:t>
      </w:r>
      <w:bookmarkEnd w:id="16"/>
      <w:bookmarkEnd w:id="17"/>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bCs/>
          <w:sz w:val="28"/>
          <w:szCs w:val="28"/>
        </w:rPr>
      </w:pPr>
      <w:bookmarkStart w:id="18" w:name="_Toc15377198"/>
      <w:bookmarkStart w:id="19" w:name="_Toc15378445"/>
      <w:bookmarkStart w:id="20" w:name="_Toc15377204"/>
      <w:r>
        <w:rPr>
          <w:rFonts w:hint="eastAsia" w:ascii="楷体" w:hAnsi="楷体" w:eastAsia="楷体" w:cs="楷体"/>
          <w:bCs/>
          <w:sz w:val="28"/>
          <w:szCs w:val="28"/>
        </w:rPr>
        <w:t>（一）</w:t>
      </w:r>
      <w:bookmarkEnd w:id="18"/>
      <w:bookmarkEnd w:id="19"/>
      <w:bookmarkStart w:id="21" w:name="_Toc15378446"/>
      <w:bookmarkStart w:id="22" w:name="_Toc15377199"/>
      <w:r>
        <w:rPr>
          <w:rFonts w:hint="eastAsia" w:ascii="楷体" w:hAnsi="楷体" w:eastAsia="楷体" w:cs="楷体"/>
          <w:bCs/>
          <w:sz w:val="28"/>
          <w:szCs w:val="28"/>
        </w:rPr>
        <w:t>基本情况</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1．部门职能：大东英才学校主是业务范围普通小学、初中教育</w:t>
      </w:r>
      <w:r>
        <w:rPr>
          <w:rFonts w:ascii="仿宋" w:hAnsi="仿宋" w:eastAsia="仿宋"/>
          <w:sz w:val="28"/>
          <w:szCs w:val="28"/>
        </w:rPr>
        <w:t>。</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hint="eastAsia" w:ascii="仿宋" w:hAnsi="仿宋" w:eastAsia="仿宋"/>
          <w:bCs/>
          <w:sz w:val="28"/>
          <w:szCs w:val="28"/>
        </w:rPr>
        <w:t>2、机构情况及增减变动原因：大东英才学校是区编制委员会命名的独立法人机构，为经费独立核算事业单位，无下级单位,</w:t>
      </w:r>
      <w:r>
        <w:rPr>
          <w:rFonts w:hint="eastAsia" w:ascii="仿宋" w:hAnsi="仿宋" w:eastAsia="仿宋"/>
          <w:color w:val="333333"/>
          <w:spacing w:val="6"/>
          <w:sz w:val="28"/>
          <w:szCs w:val="28"/>
        </w:rPr>
        <w:t>内设部门6个（办公室、教务处、德育安全处、后勤技装处、教科室、招生办）</w:t>
      </w:r>
      <w:r>
        <w:rPr>
          <w:rFonts w:hint="eastAsia" w:ascii="仿宋" w:hAnsi="仿宋" w:eastAsia="仿宋"/>
          <w:bCs/>
          <w:sz w:val="28"/>
          <w:szCs w:val="28"/>
        </w:rPr>
        <w:t>。上级业务主管部门是广元市利州区教育局。</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hint="eastAsia" w:ascii="仿宋" w:hAnsi="仿宋" w:eastAsia="仿宋"/>
          <w:bCs/>
          <w:sz w:val="28"/>
          <w:szCs w:val="28"/>
        </w:rPr>
        <w:t>3、人员情况及增减变动原因：2019年经区编制委员会确定，我校编制人数为95人，年末在编在职教职工91人，退休教职工1人，初中在校学生2090人。</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（二）2019年重点工作完成情况</w:t>
      </w:r>
      <w:bookmarkEnd w:id="21"/>
      <w:bookmarkEnd w:id="22"/>
    </w:p>
    <w:p>
      <w:pPr>
        <w:pageBreakBefore w:val="0"/>
        <w:widowControl w:val="0"/>
        <w:numPr>
          <w:ilvl w:val="0"/>
          <w:numId w:val="1"/>
        </w:numPr>
        <w:kinsoku/>
        <w:wordWrap/>
        <w:overflowPunct/>
        <w:topLinePunct w:val="0"/>
        <w:autoSpaceDE/>
        <w:autoSpaceDN/>
        <w:bidi w:val="0"/>
        <w:snapToGrid w:val="0"/>
        <w:spacing w:line="560" w:lineRule="exact"/>
        <w:ind w:firstLine="536" w:firstLineChars="200"/>
        <w:jc w:val="both"/>
        <w:textAlignment w:val="auto"/>
        <w:rPr>
          <w:rFonts w:ascii="仿宋" w:hAnsi="仿宋" w:eastAsia="仿宋" w:cs="仿宋"/>
          <w:spacing w:val="-6"/>
          <w:sz w:val="28"/>
          <w:szCs w:val="28"/>
        </w:rPr>
      </w:pPr>
      <w:r>
        <w:rPr>
          <w:rFonts w:hint="eastAsia" w:ascii="仿宋" w:hAnsi="仿宋" w:eastAsia="仿宋" w:cs="仿宋"/>
          <w:spacing w:val="-6"/>
          <w:sz w:val="28"/>
          <w:szCs w:val="28"/>
        </w:rPr>
        <w:t>教育教学成绩继续提升：认真</w:t>
      </w:r>
      <w:r>
        <w:rPr>
          <w:rFonts w:ascii="仿宋" w:hAnsi="仿宋" w:eastAsia="仿宋"/>
          <w:sz w:val="28"/>
          <w:szCs w:val="28"/>
        </w:rPr>
        <w:t>贯彻执行党和国家关于教育改革和发展的各项方针、政策，以《大东英才学校三年发展规划》为纲，推动学校教育教学管理工作再上新台阶，</w:t>
      </w:r>
      <w:r>
        <w:rPr>
          <w:rFonts w:hint="eastAsia" w:ascii="仿宋" w:hAnsi="仿宋" w:eastAsia="仿宋" w:cs="仿宋"/>
          <w:spacing w:val="-6"/>
          <w:sz w:val="28"/>
          <w:szCs w:val="28"/>
        </w:rPr>
        <w:t>。</w:t>
      </w:r>
      <w:r>
        <w:rPr>
          <w:rFonts w:ascii="仿宋" w:hAnsi="仿宋" w:eastAsia="仿宋"/>
          <w:sz w:val="28"/>
          <w:szCs w:val="28"/>
        </w:rPr>
        <w:t>对毕业班工作高目标定位，高要求管理，高质量推进，</w:t>
      </w:r>
      <w:r>
        <w:rPr>
          <w:rFonts w:hint="eastAsia" w:ascii="仿宋" w:hAnsi="仿宋" w:eastAsia="仿宋"/>
          <w:sz w:val="28"/>
          <w:szCs w:val="28"/>
        </w:rPr>
        <w:t>2019年中考业绩再创新高，大东教育品牌优势进一步形成，全面完成教育局下达的各项工作目标，完成一切临时性交的工作任务。</w:t>
      </w:r>
    </w:p>
    <w:p>
      <w:pPr>
        <w:pageBreakBefore w:val="0"/>
        <w:widowControl w:val="0"/>
        <w:kinsoku/>
        <w:wordWrap/>
        <w:overflowPunct/>
        <w:topLinePunct w:val="0"/>
        <w:autoSpaceDE/>
        <w:autoSpaceDN/>
        <w:bidi w:val="0"/>
        <w:snapToGrid w:val="0"/>
        <w:spacing w:line="560" w:lineRule="exact"/>
        <w:ind w:firstLine="536" w:firstLineChars="200"/>
        <w:jc w:val="both"/>
        <w:textAlignment w:val="auto"/>
        <w:rPr>
          <w:rFonts w:ascii="仿宋" w:hAnsi="仿宋" w:eastAsia="仿宋" w:cs="仿宋"/>
          <w:spacing w:val="-6"/>
          <w:sz w:val="28"/>
          <w:szCs w:val="28"/>
        </w:rPr>
      </w:pPr>
      <w:r>
        <w:rPr>
          <w:rFonts w:hint="eastAsia" w:ascii="仿宋" w:hAnsi="仿宋" w:eastAsia="仿宋" w:cs="仿宋"/>
          <w:spacing w:val="-6"/>
          <w:sz w:val="28"/>
          <w:szCs w:val="28"/>
        </w:rPr>
        <w:t>2.德育工作和素质教育成效显著：我校2019年德育工作被市教育局评为先进集体，广元市2018年市级平安校园，义务教育阶段学生可持续发展先进学校和智慧教育创新校。</w:t>
      </w:r>
    </w:p>
    <w:p>
      <w:pPr>
        <w:pageBreakBefore w:val="0"/>
        <w:widowControl w:val="0"/>
        <w:kinsoku/>
        <w:wordWrap/>
        <w:overflowPunct/>
        <w:topLinePunct w:val="0"/>
        <w:autoSpaceDE/>
        <w:autoSpaceDN/>
        <w:bidi w:val="0"/>
        <w:snapToGrid w:val="0"/>
        <w:spacing w:line="560" w:lineRule="exact"/>
        <w:ind w:firstLine="536" w:firstLineChars="200"/>
        <w:jc w:val="both"/>
        <w:textAlignment w:val="auto"/>
        <w:rPr>
          <w:rFonts w:ascii="仿宋" w:hAnsi="仿宋" w:eastAsia="仿宋" w:cs="仿宋"/>
          <w:spacing w:val="-6"/>
          <w:sz w:val="28"/>
          <w:szCs w:val="28"/>
        </w:rPr>
      </w:pPr>
      <w:r>
        <w:rPr>
          <w:rFonts w:hint="eastAsia" w:ascii="仿宋" w:hAnsi="仿宋" w:eastAsia="仿宋" w:cs="仿宋"/>
          <w:spacing w:val="-6"/>
          <w:sz w:val="28"/>
          <w:szCs w:val="28"/>
        </w:rPr>
        <w:t>3.教育科研有力推进：加强中小学学科教研组建设，校建立规范的集体备课制度。推进课程建设，开发《中学生创新思维与实践》，高效推进一三六学本课堂，以自主学习、展示探究、检测反思三个环节，抓好导学、自学、助学、验学、思学六个步骤，在大数据的指引下，把一位学生的学习指向细微之处。</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真实施学校发展规划，完善特色学校创建方案，加快特色学校创建工作，深入开展“文明校园”创建活动，巩固活动成果。抓好常态化“新冠病毒”防疫工作，确保师生平安。</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健全安全管理制度，抓好“三防建设”，和东坝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做好校务、财务公开工作。坚持“公开、公平、公正”的工作原则，进一步规范工会代表大会和教职工代表会议制度，深化工会和教职工代表会议的民主监督工作。</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加强班集体建设，做实“文明班级”、“绿色班级”、“温馨班级”评比活动。建设学校网站和校报，加大学校对外宣传工作。</w:t>
      </w:r>
    </w:p>
    <w:p>
      <w:pPr>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坚持开展安全主题教育活动，加强学生的自救、逃生、防自然灾害，防地质灾害等安全知识教育。</w:t>
      </w:r>
    </w:p>
    <w:p>
      <w:pPr>
        <w:pageBreakBefore w:val="0"/>
        <w:widowControl w:val="0"/>
        <w:kinsoku/>
        <w:wordWrap/>
        <w:overflowPunct/>
        <w:topLinePunct w:val="0"/>
        <w:autoSpaceDE/>
        <w:autoSpaceDN/>
        <w:bidi w:val="0"/>
        <w:snapToGrid w:val="0"/>
        <w:spacing w:line="560" w:lineRule="exact"/>
        <w:ind w:firstLine="536" w:firstLineChars="200"/>
        <w:jc w:val="both"/>
        <w:textAlignment w:val="auto"/>
        <w:rPr>
          <w:rFonts w:ascii="仿宋" w:hAnsi="仿宋" w:eastAsia="仿宋" w:cs="仿宋"/>
          <w:sz w:val="28"/>
          <w:szCs w:val="28"/>
        </w:rPr>
      </w:pPr>
      <w:r>
        <w:rPr>
          <w:rFonts w:hint="eastAsia" w:ascii="仿宋" w:hAnsi="仿宋" w:eastAsia="仿宋" w:cs="仿宋"/>
          <w:spacing w:val="-6"/>
          <w:sz w:val="28"/>
          <w:szCs w:val="28"/>
        </w:rPr>
        <w:t>11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安全管理工作进一步加强：全面落实安全工作“一岗双责”制，坚持校园及周边安全隐患整治长效机制，加强校园安全保卫，加强学生安全教育宣传，继续深入开展学生“平安度假”“平安回家”加强学校、社会、家庭安全网络建设，假期学生实现零伤亡指标。</w:t>
      </w:r>
    </w:p>
    <w:p>
      <w:pPr>
        <w:pageBreakBefore w:val="0"/>
        <w:widowControl w:val="0"/>
        <w:kinsoku/>
        <w:wordWrap/>
        <w:overflowPunct/>
        <w:topLinePunct w:val="0"/>
        <w:autoSpaceDE/>
        <w:autoSpaceDN/>
        <w:bidi w:val="0"/>
        <w:snapToGrid w:val="0"/>
        <w:spacing w:line="560" w:lineRule="exact"/>
        <w:ind w:firstLine="536" w:firstLineChars="200"/>
        <w:jc w:val="both"/>
        <w:textAlignment w:val="auto"/>
        <w:rPr>
          <w:rFonts w:ascii="仿宋" w:hAnsi="仿宋" w:eastAsia="仿宋" w:cs="仿宋"/>
          <w:spacing w:val="-6"/>
          <w:sz w:val="28"/>
          <w:szCs w:val="28"/>
        </w:rPr>
      </w:pPr>
    </w:p>
    <w:p>
      <w:pPr>
        <w:widowControl/>
        <w:spacing w:line="460" w:lineRule="exact"/>
        <w:jc w:val="left"/>
        <w:rPr>
          <w:rFonts w:ascii="仿宋" w:hAnsi="仿宋" w:eastAsia="仿宋"/>
          <w:kern w:val="0"/>
          <w:sz w:val="32"/>
          <w:szCs w:val="32"/>
        </w:rPr>
      </w:pPr>
      <w:r>
        <w:rPr>
          <w:rFonts w:ascii="仿宋" w:hAnsi="仿宋" w:eastAsia="仿宋"/>
          <w:sz w:val="32"/>
          <w:szCs w:val="32"/>
        </w:rPr>
        <w:br w:type="page"/>
      </w:r>
    </w:p>
    <w:p>
      <w:pPr>
        <w:pStyle w:val="2"/>
        <w:spacing w:line="460" w:lineRule="exact"/>
        <w:ind w:right="440"/>
        <w:jc w:val="right"/>
        <w:rPr>
          <w:rFonts w:hint="eastAsia" w:ascii="方正小标宋简体" w:hAnsi="方正小标宋简体" w:eastAsia="方正小标宋简体" w:cs="方正小标宋简体"/>
          <w:b w:val="0"/>
          <w:bCs w:val="0"/>
        </w:rPr>
      </w:pPr>
      <w:bookmarkStart w:id="23" w:name="_Toc19089864"/>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5"/>
          <w:rFonts w:hint="eastAsia" w:ascii="方正小标宋简体" w:hAnsi="方正小标宋简体" w:eastAsia="方正小标宋简体" w:cs="方正小标宋简体"/>
          <w:b w:val="0"/>
          <w:bCs w:val="0"/>
        </w:rPr>
        <w:t>2019年度部门决算情况说明</w:t>
      </w:r>
      <w:bookmarkEnd w:id="20"/>
      <w:bookmarkEnd w:id="23"/>
    </w:p>
    <w:p>
      <w:pPr>
        <w:pStyle w:val="24"/>
        <w:keepNext w:val="0"/>
        <w:keepLines w:val="0"/>
        <w:pageBreakBefore w:val="0"/>
        <w:widowControl w:val="0"/>
        <w:numPr>
          <w:ilvl w:val="0"/>
          <w:numId w:val="2"/>
        </w:numPr>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24" w:name="_Toc19089865"/>
      <w:bookmarkStart w:id="25" w:name="_Toc15377205"/>
      <w:r>
        <w:rPr>
          <w:rFonts w:hint="eastAsia" w:ascii="黑体" w:hAnsi="黑体" w:eastAsia="黑体"/>
          <w:b w:val="0"/>
          <w:bCs w:val="0"/>
          <w:sz w:val="28"/>
          <w:szCs w:val="28"/>
        </w:rPr>
        <w:t>收</w:t>
      </w:r>
      <w:r>
        <w:rPr>
          <w:rStyle w:val="26"/>
          <w:rFonts w:hint="eastAsia" w:ascii="黑体" w:hAnsi="黑体" w:eastAsia="黑体"/>
          <w:b w:val="0"/>
          <w:bCs w:val="0"/>
          <w:sz w:val="28"/>
          <w:szCs w:val="28"/>
        </w:rPr>
        <w:t>入支出决算总体情况说明</w:t>
      </w:r>
      <w:bookmarkEnd w:id="24"/>
      <w:bookmarkEnd w:id="25"/>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2019年度大东英才学校收入1816.13万元，上年结转202.99万元，可使用总收入2019.12万元。年初下达经费预算指标初中教育962.17万元，年末追加教育经费853.96万元。其中：人员经费1237.53万元，项目经费121.45万元</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2019年度支出决算1778.97万元，年末结转240.15万元</w:t>
      </w:r>
      <w:bookmarkStart w:id="26" w:name="_Toc15377206"/>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26"/>
          <w:rFonts w:ascii="黑体" w:hAnsi="黑体" w:eastAsia="黑体"/>
          <w:b w:val="0"/>
          <w:bCs w:val="0"/>
          <w:sz w:val="28"/>
          <w:szCs w:val="28"/>
        </w:rPr>
      </w:pPr>
      <w:r>
        <w:rPr>
          <w:rFonts w:hint="eastAsia" w:ascii="黑体" w:hAnsi="黑体" w:eastAsia="黑体"/>
          <w:b w:val="0"/>
          <w:bCs w:val="0"/>
          <w:sz w:val="28"/>
          <w:szCs w:val="28"/>
        </w:rPr>
        <w:t>二、收</w:t>
      </w:r>
      <w:r>
        <w:rPr>
          <w:rStyle w:val="26"/>
          <w:rFonts w:hint="eastAsia" w:ascii="黑体" w:hAnsi="黑体" w:eastAsia="黑体"/>
          <w:b w:val="0"/>
          <w:bCs w:val="0"/>
          <w:sz w:val="28"/>
          <w:szCs w:val="28"/>
        </w:rPr>
        <w:t>入决算情况说明</w:t>
      </w:r>
      <w:bookmarkEnd w:id="26"/>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Fonts w:ascii="仿宋" w:hAnsi="仿宋" w:eastAsia="仿宋"/>
          <w:b w:val="0"/>
          <w:bCs w:val="0"/>
          <w:sz w:val="28"/>
          <w:szCs w:val="28"/>
        </w:rPr>
      </w:pPr>
      <w:bookmarkStart w:id="27" w:name="_Toc19089866"/>
      <w:r>
        <w:rPr>
          <w:rFonts w:ascii="仿宋" w:hAnsi="仿宋" w:eastAsia="仿宋"/>
          <w:b w:val="0"/>
          <w:bCs w:val="0"/>
          <w:sz w:val="28"/>
          <w:szCs w:val="28"/>
        </w:rPr>
        <w:t>201</w:t>
      </w:r>
      <w:r>
        <w:rPr>
          <w:rFonts w:hint="eastAsia" w:ascii="仿宋" w:hAnsi="仿宋" w:eastAsia="仿宋"/>
          <w:b w:val="0"/>
          <w:bCs w:val="0"/>
          <w:sz w:val="28"/>
          <w:szCs w:val="28"/>
        </w:rPr>
        <w:t>9年本年收入1816.13万元，其中：一般公共预算财政拨款收入1816.13万元，占比100%；政府性基金预算财政拨款收入0万元，占比0；国有资本经营预算财政拨款收入0.00万元，占比0.00</w:t>
      </w:r>
      <w:r>
        <w:rPr>
          <w:rFonts w:ascii="仿宋" w:hAnsi="仿宋" w:eastAsia="仿宋"/>
          <w:b w:val="0"/>
          <w:bCs w:val="0"/>
          <w:sz w:val="28"/>
          <w:szCs w:val="28"/>
        </w:rPr>
        <w:t>%</w:t>
      </w:r>
      <w:r>
        <w:rPr>
          <w:rFonts w:hint="eastAsia" w:ascii="仿宋" w:hAnsi="仿宋" w:eastAsia="仿宋"/>
          <w:b w:val="0"/>
          <w:bCs w:val="0"/>
          <w:sz w:val="28"/>
          <w:szCs w:val="28"/>
        </w:rPr>
        <w:t>；事业收入0.00万元，占0.00</w:t>
      </w:r>
      <w:r>
        <w:rPr>
          <w:rFonts w:ascii="仿宋" w:hAnsi="仿宋" w:eastAsia="仿宋"/>
          <w:b w:val="0"/>
          <w:bCs w:val="0"/>
          <w:sz w:val="28"/>
          <w:szCs w:val="28"/>
        </w:rPr>
        <w:t>%</w:t>
      </w:r>
      <w:r>
        <w:rPr>
          <w:rFonts w:hint="eastAsia" w:ascii="仿宋" w:hAnsi="仿宋" w:eastAsia="仿宋"/>
          <w:b w:val="0"/>
          <w:bCs w:val="0"/>
          <w:sz w:val="28"/>
          <w:szCs w:val="28"/>
        </w:rPr>
        <w:t>；经营收入0.00万元，占0.00</w:t>
      </w:r>
      <w:r>
        <w:rPr>
          <w:rFonts w:ascii="仿宋" w:hAnsi="仿宋" w:eastAsia="仿宋"/>
          <w:b w:val="0"/>
          <w:bCs w:val="0"/>
          <w:sz w:val="28"/>
          <w:szCs w:val="28"/>
        </w:rPr>
        <w:t>%</w:t>
      </w:r>
      <w:r>
        <w:rPr>
          <w:rFonts w:hint="eastAsia" w:ascii="仿宋" w:hAnsi="仿宋" w:eastAsia="仿宋"/>
          <w:b w:val="0"/>
          <w:bCs w:val="0"/>
          <w:sz w:val="28"/>
          <w:szCs w:val="28"/>
        </w:rPr>
        <w:t>；附属单位上缴收入0.00万元，占0.00</w:t>
      </w:r>
      <w:r>
        <w:rPr>
          <w:rFonts w:ascii="仿宋" w:hAnsi="仿宋" w:eastAsia="仿宋"/>
          <w:b w:val="0"/>
          <w:bCs w:val="0"/>
          <w:sz w:val="28"/>
          <w:szCs w:val="28"/>
        </w:rPr>
        <w:t>%</w:t>
      </w:r>
      <w:r>
        <w:rPr>
          <w:rFonts w:hint="eastAsia" w:ascii="仿宋" w:hAnsi="仿宋" w:eastAsia="仿宋"/>
          <w:b w:val="0"/>
          <w:bCs w:val="0"/>
          <w:sz w:val="28"/>
          <w:szCs w:val="28"/>
        </w:rPr>
        <w:t>；其他收入0万元，占比0。</w:t>
      </w:r>
      <w:bookmarkEnd w:id="27"/>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28" w:name="_Toc15377207"/>
      <w:bookmarkStart w:id="29" w:name="_Toc19089867"/>
      <w:r>
        <w:rPr>
          <w:rFonts w:hint="eastAsia" w:ascii="黑体" w:hAnsi="黑体" w:eastAsia="黑体"/>
          <w:b w:val="0"/>
          <w:bCs w:val="0"/>
          <w:sz w:val="28"/>
          <w:szCs w:val="28"/>
        </w:rPr>
        <w:t>三、支</w:t>
      </w:r>
      <w:r>
        <w:rPr>
          <w:rStyle w:val="26"/>
          <w:rFonts w:hint="eastAsia" w:ascii="黑体" w:hAnsi="黑体" w:eastAsia="黑体"/>
          <w:b w:val="0"/>
          <w:bCs w:val="0"/>
          <w:sz w:val="28"/>
          <w:szCs w:val="28"/>
        </w:rPr>
        <w:t>出决算情况说明</w:t>
      </w:r>
      <w:bookmarkEnd w:id="28"/>
      <w:bookmarkEnd w:id="29"/>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shd w:val="pct10" w:color="auto" w:fill="FFFFFF"/>
        </w:rPr>
      </w:pPr>
      <w:r>
        <w:rPr>
          <w:rFonts w:ascii="仿宋" w:hAnsi="仿宋" w:eastAsia="仿宋"/>
          <w:b w:val="0"/>
          <w:bCs w:val="0"/>
          <w:sz w:val="28"/>
          <w:szCs w:val="28"/>
        </w:rPr>
        <w:t>201</w:t>
      </w:r>
      <w:r>
        <w:rPr>
          <w:rFonts w:hint="eastAsia" w:ascii="仿宋" w:hAnsi="仿宋" w:eastAsia="仿宋"/>
          <w:b w:val="0"/>
          <w:bCs w:val="0"/>
          <w:sz w:val="28"/>
          <w:szCs w:val="28"/>
        </w:rPr>
        <w:t>9年本年支出合计1778.97万元，其中：基本支出1657.52万元，占93.17%；项目支出121.45万元，占6.83%；上缴上级支出0.00万元，占0.00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30" w:name="_Toc19089868"/>
      <w:bookmarkStart w:id="31" w:name="_Toc15377208"/>
      <w:r>
        <w:rPr>
          <w:rFonts w:hint="eastAsia" w:ascii="黑体" w:hAnsi="黑体" w:eastAsia="黑体"/>
          <w:b w:val="0"/>
          <w:bCs w:val="0"/>
          <w:sz w:val="28"/>
          <w:szCs w:val="28"/>
        </w:rPr>
        <w:t>四、财</w:t>
      </w:r>
      <w:r>
        <w:rPr>
          <w:rStyle w:val="26"/>
          <w:rFonts w:hint="eastAsia" w:ascii="黑体" w:hAnsi="黑体" w:eastAsia="黑体"/>
          <w:b w:val="0"/>
          <w:bCs w:val="0"/>
          <w:sz w:val="28"/>
          <w:szCs w:val="28"/>
        </w:rPr>
        <w:t>政拨款收入支出决算总体情况说明</w:t>
      </w:r>
      <w:bookmarkEnd w:id="30"/>
      <w:bookmarkEnd w:id="31"/>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2019年财政拨款收入1816.13万元。</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2019年财政拨款支出1778.97万元。</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32" w:name="_Toc19089869"/>
      <w:bookmarkStart w:id="33" w:name="_Toc15377209"/>
      <w:r>
        <w:rPr>
          <w:rFonts w:hint="eastAsia" w:ascii="黑体" w:hAnsi="黑体" w:eastAsia="黑体"/>
          <w:b w:val="0"/>
          <w:bCs w:val="0"/>
          <w:sz w:val="28"/>
          <w:szCs w:val="28"/>
        </w:rPr>
        <w:t>五、一</w:t>
      </w:r>
      <w:r>
        <w:rPr>
          <w:rStyle w:val="26"/>
          <w:rFonts w:hint="eastAsia" w:ascii="黑体" w:hAnsi="黑体" w:eastAsia="黑体"/>
          <w:b w:val="0"/>
          <w:bCs w:val="0"/>
          <w:sz w:val="28"/>
          <w:szCs w:val="28"/>
        </w:rPr>
        <w:t>般公共预算财政拨款支出决算情况说明</w:t>
      </w:r>
      <w:bookmarkEnd w:id="32"/>
      <w:bookmarkEnd w:id="33"/>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sz w:val="28"/>
          <w:szCs w:val="28"/>
        </w:rPr>
      </w:pPr>
      <w:bookmarkStart w:id="34" w:name="_Toc15377210"/>
      <w:r>
        <w:rPr>
          <w:rFonts w:hint="eastAsia" w:ascii="楷体" w:hAnsi="楷体" w:eastAsia="楷体" w:cs="楷体"/>
          <w:b w:val="0"/>
          <w:bCs w:val="0"/>
          <w:sz w:val="28"/>
          <w:szCs w:val="28"/>
        </w:rPr>
        <w:t>（一）一般公共预算财政拨款支出决算总体情况</w:t>
      </w:r>
      <w:bookmarkEnd w:id="34"/>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9年一般公共预算财政拨款支出1778.97万元，占本年支出合计100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sz w:val="28"/>
          <w:szCs w:val="28"/>
        </w:rPr>
      </w:pPr>
      <w:bookmarkStart w:id="35" w:name="_Toc15377211"/>
      <w:r>
        <w:rPr>
          <w:rFonts w:hint="eastAsia" w:ascii="楷体" w:hAnsi="楷体" w:eastAsia="楷体" w:cs="楷体"/>
          <w:b w:val="0"/>
          <w:bCs w:val="0"/>
          <w:sz w:val="28"/>
          <w:szCs w:val="28"/>
        </w:rPr>
        <w:t>（二）一般公共预算财政拨款支出决算结构情况</w:t>
      </w:r>
      <w:bookmarkEnd w:id="35"/>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9年一般公共预算财政拨款支出1778.97万元，主要用于以下方面</w:t>
      </w:r>
      <w:r>
        <w:rPr>
          <w:rFonts w:ascii="仿宋" w:hAnsi="仿宋" w:eastAsia="仿宋"/>
          <w:b w:val="0"/>
          <w:bCs w:val="0"/>
          <w:sz w:val="28"/>
          <w:szCs w:val="28"/>
        </w:rPr>
        <w:t>:</w:t>
      </w:r>
      <w:r>
        <w:rPr>
          <w:rFonts w:hint="eastAsia" w:ascii="仿宋" w:hAnsi="仿宋" w:eastAsia="仿宋"/>
          <w:b w:val="0"/>
          <w:bCs w:val="0"/>
          <w:sz w:val="28"/>
          <w:szCs w:val="28"/>
        </w:rPr>
        <w:t>一般公共服务（类）支出0.00万元，占0.00</w:t>
      </w:r>
      <w:r>
        <w:rPr>
          <w:rFonts w:ascii="仿宋" w:hAnsi="仿宋" w:eastAsia="仿宋"/>
          <w:b w:val="0"/>
          <w:bCs w:val="0"/>
          <w:sz w:val="28"/>
          <w:szCs w:val="28"/>
        </w:rPr>
        <w:t>%</w:t>
      </w:r>
      <w:r>
        <w:rPr>
          <w:rFonts w:hint="eastAsia" w:ascii="仿宋" w:hAnsi="仿宋" w:eastAsia="仿宋"/>
          <w:b w:val="0"/>
          <w:bCs w:val="0"/>
          <w:sz w:val="28"/>
          <w:szCs w:val="28"/>
        </w:rPr>
        <w:t>；教育支出（类）1598.56万元，占89.85%；科学技术（类）支出0.00万元，占0.00</w:t>
      </w:r>
      <w:r>
        <w:rPr>
          <w:rFonts w:ascii="仿宋" w:hAnsi="仿宋" w:eastAsia="仿宋"/>
          <w:b w:val="0"/>
          <w:bCs w:val="0"/>
          <w:sz w:val="28"/>
          <w:szCs w:val="28"/>
        </w:rPr>
        <w:t>%</w:t>
      </w:r>
      <w:r>
        <w:rPr>
          <w:rFonts w:hint="eastAsia" w:ascii="仿宋" w:hAnsi="仿宋" w:eastAsia="仿宋"/>
          <w:b w:val="0"/>
          <w:bCs w:val="0"/>
          <w:sz w:val="28"/>
          <w:szCs w:val="28"/>
        </w:rPr>
        <w:t>；社会保障和就业（类）支出133.09万元，占7.48</w:t>
      </w:r>
      <w:r>
        <w:rPr>
          <w:rFonts w:ascii="仿宋" w:hAnsi="仿宋" w:eastAsia="仿宋"/>
          <w:b w:val="0"/>
          <w:bCs w:val="0"/>
          <w:sz w:val="28"/>
          <w:szCs w:val="28"/>
        </w:rPr>
        <w:t>%</w:t>
      </w:r>
      <w:r>
        <w:rPr>
          <w:rFonts w:hint="eastAsia" w:ascii="仿宋" w:hAnsi="仿宋" w:eastAsia="仿宋"/>
          <w:b w:val="0"/>
          <w:bCs w:val="0"/>
          <w:sz w:val="28"/>
          <w:szCs w:val="28"/>
        </w:rPr>
        <w:t>；卫生健康（类）支出47.32万元，占2.66%；农林水（类）支出0万元，占0%；住房保障(类)支出0万元，占0</w:t>
      </w:r>
      <w:r>
        <w:rPr>
          <w:rFonts w:ascii="仿宋" w:hAnsi="仿宋" w:eastAsia="仿宋"/>
          <w:b w:val="0"/>
          <w:bCs w:val="0"/>
          <w:sz w:val="28"/>
          <w:szCs w:val="28"/>
        </w:rPr>
        <w:t>%</w:t>
      </w:r>
      <w:r>
        <w:rPr>
          <w:rFonts w:hint="eastAsia" w:ascii="仿宋" w:hAnsi="仿宋" w:eastAsia="仿宋"/>
          <w:b w:val="0"/>
          <w:bCs w:val="0"/>
          <w:sz w:val="28"/>
          <w:szCs w:val="28"/>
        </w:rPr>
        <w:t>；其它支出（类）支出0.00万元，占0.00%。</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sz w:val="28"/>
          <w:szCs w:val="28"/>
        </w:rPr>
      </w:pPr>
      <w:bookmarkStart w:id="36" w:name="_Toc15377212"/>
      <w:r>
        <w:rPr>
          <w:rFonts w:hint="eastAsia" w:ascii="楷体" w:hAnsi="楷体" w:eastAsia="楷体" w:cs="楷体"/>
          <w:b w:val="0"/>
          <w:bCs w:val="0"/>
          <w:sz w:val="28"/>
          <w:szCs w:val="28"/>
        </w:rPr>
        <w:t>（三）一般公共预算财政拨款支出决算具体情况</w:t>
      </w:r>
      <w:bookmarkEnd w:id="36"/>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ascii="仿宋" w:hAnsi="仿宋" w:eastAsia="仿宋"/>
          <w:b w:val="0"/>
          <w:bCs w:val="0"/>
          <w:sz w:val="28"/>
          <w:szCs w:val="28"/>
        </w:rPr>
      </w:pPr>
      <w:bookmarkStart w:id="37" w:name="_Toc15378460"/>
      <w:bookmarkStart w:id="38" w:name="_Toc15377444"/>
      <w:bookmarkStart w:id="39" w:name="_Toc15377213"/>
      <w:r>
        <w:rPr>
          <w:rFonts w:hint="eastAsia" w:ascii="仿宋" w:hAnsi="仿宋" w:eastAsia="仿宋"/>
          <w:b w:val="0"/>
          <w:bCs w:val="0"/>
          <w:sz w:val="28"/>
          <w:szCs w:val="28"/>
        </w:rPr>
        <w:t>2019年一般公共预算支出决算数为1778.97万元，</w:t>
      </w:r>
      <w:r>
        <w:rPr>
          <w:rStyle w:val="15"/>
          <w:rFonts w:hint="eastAsia" w:ascii="仿宋" w:hAnsi="仿宋" w:eastAsia="仿宋"/>
          <w:b w:val="0"/>
          <w:bCs w:val="0"/>
          <w:sz w:val="28"/>
          <w:szCs w:val="28"/>
        </w:rPr>
        <w:t>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。其中：</w:t>
      </w:r>
      <w:bookmarkEnd w:id="37"/>
      <w:bookmarkEnd w:id="38"/>
      <w:bookmarkEnd w:id="39"/>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Style w:val="15"/>
          <w:rFonts w:ascii="仿宋" w:hAnsi="仿宋" w:eastAsia="仿宋"/>
          <w:b w:val="0"/>
          <w:bCs w:val="0"/>
          <w:sz w:val="28"/>
          <w:szCs w:val="28"/>
        </w:rPr>
        <w:t>1.</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（类）教育管理事务（款）行政运行（项）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支出决算数为0万元，完成预算0。</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Style w:val="15"/>
          <w:rFonts w:ascii="仿宋" w:hAnsi="仿宋" w:eastAsia="仿宋"/>
          <w:b w:val="0"/>
          <w:bCs w:val="0"/>
          <w:sz w:val="28"/>
          <w:szCs w:val="28"/>
        </w:rPr>
        <w:t>2.</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（类）教育管理事务（款）一般行政管理事务（项）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支出决算数为0万元，完成预算0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sz w:val="28"/>
          <w:szCs w:val="28"/>
        </w:rPr>
      </w:pPr>
      <w:r>
        <w:rPr>
          <w:rStyle w:val="15"/>
          <w:rFonts w:ascii="仿宋" w:hAnsi="仿宋" w:eastAsia="仿宋"/>
          <w:b w:val="0"/>
          <w:bCs w:val="0"/>
          <w:sz w:val="28"/>
          <w:szCs w:val="28"/>
        </w:rPr>
        <w:t>3.</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（类）教育管理事务（款）其它教育管理事务支出（项）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支出决算数为0万元，完成预算0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Style w:val="15"/>
          <w:rFonts w:ascii="仿宋" w:hAnsi="仿宋" w:eastAsia="仿宋"/>
          <w:b w:val="0"/>
          <w:bCs w:val="0"/>
          <w:sz w:val="28"/>
          <w:szCs w:val="28"/>
        </w:rPr>
        <w:t>4.</w:t>
      </w:r>
      <w:r>
        <w:rPr>
          <w:rStyle w:val="15"/>
          <w:rFonts w:hint="eastAsia"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（类）普通教育（款）学前教育（项）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支出决算数为0万元，完成预算0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Style w:val="15"/>
          <w:rFonts w:ascii="仿宋" w:hAnsi="仿宋" w:eastAsia="仿宋"/>
          <w:b w:val="0"/>
          <w:bCs w:val="0"/>
          <w:sz w:val="28"/>
          <w:szCs w:val="28"/>
        </w:rPr>
        <w:t>5.</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（类）普通教育（款）小学教育（项）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支出决算数为522.86万元，完成预算100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。6</w:t>
      </w:r>
      <w:r>
        <w:rPr>
          <w:rStyle w:val="15"/>
          <w:rFonts w:ascii="仿宋" w:hAnsi="仿宋" w:eastAsia="仿宋"/>
          <w:b w:val="0"/>
          <w:bCs w:val="0"/>
          <w:sz w:val="28"/>
          <w:szCs w:val="28"/>
        </w:rPr>
        <w:t>.</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（类）普通教育（款）初中教育（项）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支出决算数为18045.75万元，完成预算80.04</w:t>
      </w:r>
      <w:r>
        <w:rPr>
          <w:rStyle w:val="15"/>
          <w:rFonts w:ascii="仿宋" w:hAnsi="仿宋" w:eastAsia="仿宋"/>
          <w:b w:val="0"/>
          <w:bCs w:val="0"/>
          <w:sz w:val="28"/>
          <w:szCs w:val="28"/>
        </w:rPr>
        <w:t>%</w:t>
      </w:r>
      <w:r>
        <w:rPr>
          <w:rStyle w:val="15"/>
          <w:rFonts w:hint="eastAsia" w:ascii="仿宋" w:hAnsi="仿宋" w:eastAsia="仿宋"/>
          <w:b w:val="0"/>
          <w:bCs w:val="0"/>
          <w:sz w:val="28"/>
          <w:szCs w:val="28"/>
        </w:rPr>
        <w:t>，决算数小于预算数的主要原因是上西中学改扩建（320万元）、兴安初级中学新建（609万元）等工程正在实施中，资金结转下年使用。</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6</w:t>
      </w:r>
      <w:r>
        <w:rPr>
          <w:rStyle w:val="15"/>
          <w:rFonts w:ascii="仿宋" w:hAnsi="仿宋" w:eastAsia="仿宋"/>
          <w:b w:val="0"/>
          <w:bCs w:val="0"/>
          <w:sz w:val="28"/>
          <w:szCs w:val="28"/>
        </w:rPr>
        <w:t>.</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（类）普通教育（款）高中教育（项）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Style w:val="15"/>
          <w:rFonts w:hint="eastAsia" w:ascii="仿宋" w:hAnsi="仿宋" w:eastAsia="仿宋"/>
          <w:b w:val="0"/>
          <w:bCs w:val="0"/>
          <w:sz w:val="28"/>
          <w:szCs w:val="28"/>
        </w:rPr>
        <w:t>7</w:t>
      </w:r>
      <w:r>
        <w:rPr>
          <w:rStyle w:val="15"/>
          <w:rFonts w:ascii="仿宋" w:hAnsi="仿宋" w:eastAsia="仿宋"/>
          <w:b w:val="0"/>
          <w:bCs w:val="0"/>
          <w:sz w:val="28"/>
          <w:szCs w:val="28"/>
        </w:rPr>
        <w:t>.</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（类）普通教育（款）其它普通教育（项）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支出决算数为1778.97万元，完成预算88.10</w:t>
      </w:r>
      <w:r>
        <w:rPr>
          <w:rStyle w:val="15"/>
          <w:rFonts w:ascii="仿宋" w:hAnsi="仿宋" w:eastAsia="仿宋"/>
          <w:b w:val="0"/>
          <w:bCs w:val="0"/>
          <w:sz w:val="28"/>
          <w:szCs w:val="28"/>
        </w:rPr>
        <w:t>%</w:t>
      </w:r>
      <w:r>
        <w:rPr>
          <w:rStyle w:val="15"/>
          <w:rFonts w:hint="eastAsia" w:ascii="仿宋" w:hAnsi="仿宋" w:eastAsia="仿宋"/>
          <w:b w:val="0"/>
          <w:bCs w:val="0"/>
          <w:sz w:val="28"/>
          <w:szCs w:val="28"/>
        </w:rPr>
        <w:t>。决算数小于预算数的主要原因一是区财政年末下达局本级2019年度教师提高培训经费、名师工作室补助经费和学生体育健康监测工作经费等项目资金（20.00万元）结转下年使用；二、年终绩效考核教学年度未结束结转次年1月考核发放220.15万元。</w:t>
      </w:r>
      <w:r>
        <w:rPr>
          <w:rFonts w:ascii="仿宋" w:hAnsi="仿宋" w:eastAsia="仿宋"/>
          <w:b w:val="0"/>
          <w:bCs w:val="0"/>
          <w:sz w:val="28"/>
          <w:szCs w:val="28"/>
        </w:rPr>
        <w:t xml:space="preserve"> </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8</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（类）职业教育（款）职业高中教育（项）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9</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（类）职业教育（款）高等职业教育（项）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 xml:space="preserve">无。 </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 xml:space="preserve">10.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（类）特殊教育（款）特殊学校教育（项）： 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 xml:space="preserve">11.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 xml:space="preserve">（类）特殊教育（款）工读学校教育（项）：无 </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12.</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（类）教育附加费安排的支出（款）农村中小学校舍建设（项）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 xml:space="preserve"> 13.</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（类）教育附加费安排的支出（款）农村中小学教学设施（项）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 xml:space="preserve"> 14.</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（类）教育附加费安排的支出（款）城市中小学教学设施（项）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15.</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（类）教育附加费安排的支出（款）其他教育附加安排的支出（项）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16</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（类）其它教育支出（款）其他教育支出（项）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17</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文化旅游体育与传媒支出（类）体育（款）体育竞赛（项）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18</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（类）行政事业单位离退休（款）未归口管理的行政单位离退休（项）</w:t>
      </w:r>
      <w:r>
        <w:rPr>
          <w:rStyle w:val="15"/>
          <w:rFonts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 xml:space="preserve"> 19</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（类）行政事业单位离退休（款）机关事业单位基本养老保险缴费支出（项）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20</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（类）行政事业单位离退休（款）机关事业单位职业年金缴费支出（项）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21</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（类）抚恤（款）死亡抚恤（项）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22</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（类）其它社会保障和就业支出（款）其它社会保障和就业支出（项）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23</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Fonts w:hint="eastAsia" w:ascii="仿宋" w:hAnsi="仿宋" w:eastAsia="仿宋"/>
          <w:b w:val="0"/>
          <w:bCs w:val="0"/>
          <w:color w:val="000000" w:themeColor="text1"/>
          <w:sz w:val="28"/>
          <w:szCs w:val="28"/>
          <w14:textFill>
            <w14:solidFill>
              <w14:schemeClr w14:val="tx1"/>
            </w14:solidFill>
          </w14:textFill>
        </w:rPr>
        <w:t>卫生健康支出</w:t>
      </w:r>
      <w:r>
        <w:rPr>
          <w:rStyle w:val="15"/>
          <w:rFonts w:hint="eastAsia" w:ascii="仿宋" w:hAnsi="仿宋" w:eastAsia="仿宋"/>
          <w:b w:val="0"/>
          <w:bCs w:val="0"/>
          <w:color w:val="000000" w:themeColor="text1"/>
          <w:sz w:val="28"/>
          <w:szCs w:val="28"/>
          <w14:textFill>
            <w14:solidFill>
              <w14:schemeClr w14:val="tx1"/>
            </w14:solidFill>
          </w14:textFill>
        </w:rPr>
        <w:t>（类）行政事业单位医疗（款）行政单位医疗（项）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24</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医疗卫生与计划生育</w:t>
      </w:r>
      <w:r>
        <w:rPr>
          <w:rStyle w:val="15"/>
          <w:rFonts w:hint="eastAsia" w:ascii="仿宋" w:hAnsi="仿宋" w:eastAsia="仿宋"/>
          <w:b w:val="0"/>
          <w:bCs w:val="0"/>
          <w:color w:val="000000" w:themeColor="text1"/>
          <w:sz w:val="28"/>
          <w:szCs w:val="28"/>
          <w14:textFill>
            <w14:solidFill>
              <w14:schemeClr w14:val="tx1"/>
            </w14:solidFill>
          </w14:textFill>
        </w:rPr>
        <w:t>（类）行政事业单位医疗（款）事业单位医疗（项）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sz w:val="28"/>
          <w:szCs w:val="28"/>
        </w:rPr>
        <w:t>支出决算为47.32万元，完成预算100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 xml:space="preserve">。   </w:t>
      </w:r>
      <w:r>
        <w:rPr>
          <w:rStyle w:val="15"/>
          <w:rFonts w:hint="eastAsia" w:ascii="仿宋" w:hAnsi="仿宋" w:eastAsia="仿宋"/>
          <w:b w:val="0"/>
          <w:bCs w:val="0"/>
          <w:color w:val="000000" w:themeColor="text1"/>
          <w:sz w:val="28"/>
          <w:szCs w:val="28"/>
          <w14:textFill>
            <w14:solidFill>
              <w14:schemeClr w14:val="tx1"/>
            </w14:solidFill>
          </w14:textFill>
        </w:rPr>
        <w:t>26</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农林水支出</w:t>
      </w:r>
      <w:r>
        <w:rPr>
          <w:rStyle w:val="15"/>
          <w:rFonts w:hint="eastAsia" w:ascii="仿宋" w:hAnsi="仿宋" w:eastAsia="仿宋"/>
          <w:b w:val="0"/>
          <w:bCs w:val="0"/>
          <w:color w:val="000000" w:themeColor="text1"/>
          <w:sz w:val="28"/>
          <w:szCs w:val="28"/>
          <w14:textFill>
            <w14:solidFill>
              <w14:schemeClr w14:val="tx1"/>
            </w14:solidFill>
          </w14:textFill>
        </w:rPr>
        <w:t>（类）扶贫（款）其它扶贫支出（项）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25</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住房保障支出</w:t>
      </w:r>
      <w:r>
        <w:rPr>
          <w:rStyle w:val="15"/>
          <w:rFonts w:hint="eastAsia" w:ascii="仿宋" w:hAnsi="仿宋" w:eastAsia="仿宋"/>
          <w:b w:val="0"/>
          <w:bCs w:val="0"/>
          <w:color w:val="000000" w:themeColor="text1"/>
          <w:sz w:val="28"/>
          <w:szCs w:val="28"/>
          <w14:textFill>
            <w14:solidFill>
              <w14:schemeClr w14:val="tx1"/>
            </w14:solidFill>
          </w14:textFill>
        </w:rPr>
        <w:t>（类）住房改革支出（款）住房公积金（项）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08</w:t>
      </w:r>
      <w:r>
        <w:rPr>
          <w:rFonts w:hint="eastAsia" w:ascii="仿宋" w:hAnsi="仿宋" w:eastAsia="仿宋"/>
          <w:b w:val="0"/>
          <w:bCs w:val="0"/>
          <w:sz w:val="28"/>
          <w:szCs w:val="28"/>
        </w:rPr>
        <w:t>表，罗列全部功能分类科目至项级。上述“预算”口径为调整预算数。增减变动原因为决算数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和调整预算数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比较，与预算数持平可以不写原因。）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Style w:val="26"/>
          <w:b w:val="0"/>
          <w:bCs w:val="0"/>
          <w:sz w:val="28"/>
          <w:szCs w:val="28"/>
        </w:rPr>
      </w:pPr>
      <w:bookmarkStart w:id="40" w:name="_Toc15377214"/>
      <w:r>
        <w:rPr>
          <w:rFonts w:hint="eastAsia" w:ascii="黑体" w:eastAsia="黑体"/>
          <w:b w:val="0"/>
          <w:bCs w:val="0"/>
          <w:sz w:val="28"/>
          <w:szCs w:val="28"/>
        </w:rPr>
        <w:t>六、</w:t>
      </w:r>
      <w:r>
        <w:rPr>
          <w:rFonts w:hint="eastAsia" w:ascii="黑体" w:hAnsi="黑体" w:eastAsia="黑体"/>
          <w:b w:val="0"/>
          <w:bCs w:val="0"/>
          <w:sz w:val="28"/>
          <w:szCs w:val="28"/>
        </w:rPr>
        <w:t>一</w:t>
      </w:r>
      <w:r>
        <w:rPr>
          <w:rStyle w:val="26"/>
          <w:rFonts w:hint="eastAsia" w:ascii="黑体" w:hAnsi="黑体" w:eastAsia="黑体"/>
          <w:b w:val="0"/>
          <w:bCs w:val="0"/>
          <w:sz w:val="28"/>
          <w:szCs w:val="28"/>
        </w:rPr>
        <w:t>般公共预算财政拨款基本支出决算情况说明</w:t>
      </w:r>
      <w:bookmarkEnd w:id="40"/>
      <w:r>
        <w:rPr>
          <w:rStyle w:val="26"/>
          <w:rFonts w:ascii="黑体" w:hAnsi="黑体" w:eastAsia="黑体"/>
          <w:b w:val="0"/>
          <w:bCs w:val="0"/>
          <w:sz w:val="28"/>
          <w:szCs w:val="28"/>
        </w:rPr>
        <w:tab/>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9年一般公共预算财政拨款基本支出1657.52万元，其中：</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人员经费1237.53万元，主要包括：基本工资396.39万元、津贴补贴9.40万元、奖金0万元、伙食补助费0.00万元、绩效工资249.97万元、机关事业单位基本养老保险缴费111.71万元、职业年金缴费6.28万元、职工基本医疗保险缴费47.32万元、其他社会保障缴费25.59万元、住房公积金79.53万元、其他工资福利支出311.34万元、离休费0万元、退休费0万元、抚恤金0万元、生活补助0万元、助学金0万元、奖励金0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419.99万元，主要包括：办公费11.99万元、印刷费9.38万元、咨询费15.10万元、手续费0万元、水费46.06万元、电费44.79万元、邮电费2.53万元、物业管理费10.21万元、差旅费1.32万元、因公出国（境）费用0.00万元、维修（护）费109.19万元、租赁费0万元、会议费0万元、培训费27.49万元、公务接待费0万元、专用材料费4.51万元、劳务费135.36万元、委托业务费0.00万元、工会经费1.03万元、福利费1.04万元、公务用车运行维护费0.00万元、其他交通费42.59万元、税金及附加费用0.00万元、其他商品和服务支出0.00万元、办公设备购置0万元、专用设备购置0万元、信息网络及软件购置更新0万元、其他资本性支出等。</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41" w:name="_Toc19089870"/>
      <w:bookmarkStart w:id="42" w:name="_Toc15377215"/>
      <w:r>
        <w:rPr>
          <w:rFonts w:hint="eastAsia" w:ascii="黑体" w:eastAsia="黑体"/>
          <w:b w:val="0"/>
          <w:bCs w:val="0"/>
          <w:sz w:val="28"/>
          <w:szCs w:val="28"/>
        </w:rPr>
        <w:t>七、</w:t>
      </w:r>
      <w:r>
        <w:rPr>
          <w:rStyle w:val="26"/>
          <w:rFonts w:hint="eastAsia" w:ascii="黑体" w:hAnsi="黑体" w:eastAsia="黑体"/>
          <w:b w:val="0"/>
          <w:bCs w:val="0"/>
          <w:sz w:val="28"/>
          <w:szCs w:val="28"/>
        </w:rPr>
        <w:t>“三公”经费财政拨款支出决算情况说明</w:t>
      </w:r>
      <w:bookmarkEnd w:id="41"/>
      <w:bookmarkEnd w:id="42"/>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sz w:val="28"/>
          <w:szCs w:val="28"/>
        </w:rPr>
      </w:pPr>
      <w:bookmarkStart w:id="43" w:name="_Toc15377216"/>
      <w:r>
        <w:rPr>
          <w:rFonts w:hint="eastAsia" w:ascii="楷体" w:hAnsi="楷体" w:eastAsia="楷体" w:cs="楷体"/>
          <w:b w:val="0"/>
          <w:bCs w:val="0"/>
          <w:sz w:val="28"/>
          <w:szCs w:val="28"/>
        </w:rPr>
        <w:t>（一）“三公”经费财政拨款支出决算总体情况说明</w:t>
      </w:r>
      <w:bookmarkEnd w:id="43"/>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9年“三公”经费财政拨款支出决算为</w:t>
      </w:r>
      <w:r>
        <w:rPr>
          <w:rFonts w:hint="eastAsia" w:ascii="仿宋_GB2312" w:hAnsi="仿宋_GB2312" w:eastAsia="仿宋_GB2312" w:cs="仿宋_GB2312"/>
          <w:b w:val="0"/>
          <w:bCs w:val="0"/>
          <w:sz w:val="28"/>
          <w:szCs w:val="28"/>
        </w:rPr>
        <w:t>0万元</w:t>
      </w:r>
      <w:r>
        <w:rPr>
          <w:rFonts w:hint="eastAsia" w:ascii="仿宋" w:hAnsi="仿宋" w:eastAsia="仿宋"/>
          <w:b w:val="0"/>
          <w:bCs w:val="0"/>
          <w:sz w:val="28"/>
          <w:szCs w:val="28"/>
        </w:rPr>
        <w:t>，完成预算</w:t>
      </w:r>
      <w:r>
        <w:rPr>
          <w:rFonts w:hint="eastAsia" w:ascii="仿宋_GB2312" w:hAnsi="仿宋_GB2312" w:eastAsia="仿宋_GB2312" w:cs="仿宋_GB2312"/>
          <w:b w:val="0"/>
          <w:bCs w:val="0"/>
          <w:sz w:val="28"/>
          <w:szCs w:val="28"/>
        </w:rPr>
        <w:t>0</w:t>
      </w:r>
      <w:r>
        <w:rPr>
          <w:rFonts w:hint="eastAsia" w:ascii="仿宋" w:hAnsi="仿宋" w:eastAsia="仿宋"/>
          <w:b w:val="0"/>
          <w:bCs w:val="0"/>
          <w:sz w:val="28"/>
          <w:szCs w:val="28"/>
        </w:rPr>
        <w:t>，决算数与预算数持平的主要原因是合理安排预算,严格控制因公出国、出境事项和公务接待事项。</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sz w:val="28"/>
          <w:szCs w:val="28"/>
        </w:rPr>
      </w:pPr>
      <w:bookmarkStart w:id="44" w:name="_Toc15377217"/>
      <w:r>
        <w:rPr>
          <w:rFonts w:hint="eastAsia" w:ascii="楷体" w:hAnsi="楷体" w:eastAsia="楷体" w:cs="楷体"/>
          <w:b w:val="0"/>
          <w:bCs w:val="0"/>
          <w:sz w:val="28"/>
          <w:szCs w:val="28"/>
        </w:rPr>
        <w:t>（二）“三公”经费财政拨款支出决算具体情况说明</w:t>
      </w:r>
      <w:bookmarkEnd w:id="44"/>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9年“三公”经费财政拨款支出决算中，因公出国（境）费支出决算</w:t>
      </w:r>
      <w:r>
        <w:rPr>
          <w:rFonts w:hint="eastAsia" w:ascii="仿宋_GB2312" w:hAnsi="仿宋_GB2312" w:eastAsia="仿宋_GB2312" w:cs="仿宋_GB2312"/>
          <w:b w:val="0"/>
          <w:bCs w:val="0"/>
          <w:sz w:val="28"/>
          <w:szCs w:val="28"/>
        </w:rPr>
        <w:t>0</w:t>
      </w:r>
      <w:r>
        <w:rPr>
          <w:rFonts w:hint="eastAsia" w:ascii="仿宋" w:hAnsi="仿宋" w:eastAsia="仿宋"/>
          <w:b w:val="0"/>
          <w:bCs w:val="0"/>
          <w:sz w:val="28"/>
          <w:szCs w:val="28"/>
        </w:rPr>
        <w:t>万元，占</w:t>
      </w:r>
      <w:r>
        <w:rPr>
          <w:rFonts w:hint="eastAsia" w:ascii="仿宋_GB2312" w:hAnsi="仿宋_GB2312" w:eastAsia="仿宋_GB2312" w:cs="仿宋_GB2312"/>
          <w:b w:val="0"/>
          <w:bCs w:val="0"/>
          <w:sz w:val="28"/>
          <w:szCs w:val="28"/>
        </w:rPr>
        <w:t>0%</w:t>
      </w:r>
      <w:r>
        <w:rPr>
          <w:rFonts w:hint="eastAsia" w:ascii="仿宋" w:hAnsi="仿宋" w:eastAsia="仿宋"/>
          <w:b w:val="0"/>
          <w:bCs w:val="0"/>
          <w:sz w:val="28"/>
          <w:szCs w:val="28"/>
        </w:rPr>
        <w:t>；公务用车购置及运行维护费支出决算0.00万元，占0.00</w:t>
      </w:r>
      <w:r>
        <w:rPr>
          <w:rFonts w:ascii="仿宋" w:hAnsi="仿宋" w:eastAsia="仿宋"/>
          <w:b w:val="0"/>
          <w:bCs w:val="0"/>
          <w:sz w:val="28"/>
          <w:szCs w:val="28"/>
        </w:rPr>
        <w:t>%</w:t>
      </w:r>
      <w:r>
        <w:rPr>
          <w:rFonts w:hint="eastAsia" w:ascii="仿宋" w:hAnsi="仿宋" w:eastAsia="仿宋"/>
          <w:b w:val="0"/>
          <w:bCs w:val="0"/>
          <w:sz w:val="28"/>
          <w:szCs w:val="28"/>
        </w:rPr>
        <w:t>；公务接待费支出决算</w:t>
      </w:r>
      <w:r>
        <w:rPr>
          <w:rFonts w:hint="eastAsia" w:ascii="仿宋_GB2312" w:hAnsi="仿宋_GB2312" w:eastAsia="仿宋_GB2312" w:cs="仿宋_GB2312"/>
          <w:b w:val="0"/>
          <w:bCs w:val="0"/>
          <w:sz w:val="28"/>
          <w:szCs w:val="28"/>
        </w:rPr>
        <w:t>0万元</w:t>
      </w:r>
      <w:r>
        <w:rPr>
          <w:rFonts w:hint="eastAsia" w:ascii="仿宋" w:hAnsi="仿宋" w:eastAsia="仿宋"/>
          <w:b w:val="0"/>
          <w:bCs w:val="0"/>
          <w:sz w:val="28"/>
          <w:szCs w:val="28"/>
        </w:rPr>
        <w:t>，占</w:t>
      </w:r>
      <w:r>
        <w:rPr>
          <w:rFonts w:hint="eastAsia" w:ascii="仿宋_GB2312" w:hAnsi="仿宋_GB2312" w:eastAsia="仿宋_GB2312" w:cs="仿宋_GB2312"/>
          <w:b w:val="0"/>
          <w:bCs w:val="0"/>
          <w:sz w:val="28"/>
          <w:szCs w:val="28"/>
        </w:rPr>
        <w:t>0%</w:t>
      </w:r>
      <w:r>
        <w:rPr>
          <w:rFonts w:hint="eastAsia" w:ascii="仿宋" w:hAnsi="仿宋" w:eastAsia="仿宋"/>
          <w:b w:val="0"/>
          <w:bCs w:val="0"/>
          <w:sz w:val="28"/>
          <w:szCs w:val="28"/>
        </w:rPr>
        <w:t>。具体情况如下：</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1.</w:t>
      </w:r>
      <w:r>
        <w:rPr>
          <w:rFonts w:hint="eastAsia" w:ascii="仿宋_GB2312" w:eastAsia="仿宋_GB2312"/>
          <w:b w:val="0"/>
          <w:bCs w:val="0"/>
          <w:sz w:val="28"/>
          <w:szCs w:val="28"/>
        </w:rPr>
        <w:t>因公出国（境）经费支出</w:t>
      </w:r>
      <w:r>
        <w:rPr>
          <w:rFonts w:hint="eastAsia" w:ascii="仿宋_GB2312" w:hAnsi="仿宋_GB2312" w:eastAsia="仿宋_GB2312" w:cs="仿宋_GB2312"/>
          <w:b w:val="0"/>
          <w:bCs w:val="0"/>
          <w:sz w:val="28"/>
          <w:szCs w:val="28"/>
        </w:rPr>
        <w:t>0万元</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w:t>
      </w:r>
      <w:r>
        <w:rPr>
          <w:rFonts w:hint="eastAsia" w:ascii="仿宋_GB2312" w:eastAsia="仿宋_GB2312"/>
          <w:b w:val="0"/>
          <w:bCs w:val="0"/>
          <w:sz w:val="28"/>
          <w:szCs w:val="28"/>
        </w:rPr>
        <w:t>公务用车购置及运行维护费支出：无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3.</w:t>
      </w:r>
      <w:r>
        <w:rPr>
          <w:rFonts w:hint="eastAsia" w:ascii="仿宋_GB2312" w:eastAsia="仿宋_GB2312"/>
          <w:b w:val="0"/>
          <w:bCs w:val="0"/>
          <w:sz w:val="28"/>
          <w:szCs w:val="28"/>
        </w:rPr>
        <w:t>公务接待费支出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r>
        <w:rPr>
          <w:rFonts w:ascii="仿宋_GB2312" w:eastAsia="仿宋_GB2312"/>
          <w:b w:val="0"/>
          <w:bCs w:val="0"/>
          <w:sz w:val="28"/>
          <w:szCs w:val="28"/>
        </w:rPr>
        <w:t xml:space="preserve"> </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45" w:name="_Toc19089871"/>
      <w:bookmarkStart w:id="46" w:name="_Toc15377218"/>
      <w:r>
        <w:rPr>
          <w:rFonts w:hint="eastAsia" w:ascii="黑体" w:eastAsia="黑体"/>
          <w:b w:val="0"/>
          <w:bCs w:val="0"/>
          <w:sz w:val="28"/>
          <w:szCs w:val="28"/>
        </w:rPr>
        <w:t>八、</w:t>
      </w:r>
      <w:r>
        <w:rPr>
          <w:rStyle w:val="26"/>
          <w:rFonts w:hint="eastAsia" w:ascii="黑体" w:hAnsi="黑体" w:eastAsia="黑体"/>
          <w:b w:val="0"/>
          <w:bCs w:val="0"/>
          <w:sz w:val="28"/>
          <w:szCs w:val="28"/>
        </w:rPr>
        <w:t>政府性基金预算支出决算情况说明</w:t>
      </w:r>
      <w:bookmarkEnd w:id="45"/>
      <w:bookmarkEnd w:id="46"/>
      <w:r>
        <w:rPr>
          <w:rStyle w:val="26"/>
          <w:rFonts w:hint="eastAsia" w:ascii="黑体" w:hAnsi="黑体" w:eastAsia="黑体"/>
          <w:b w:val="0"/>
          <w:bCs w:val="0"/>
          <w:sz w:val="28"/>
          <w:szCs w:val="28"/>
        </w:rPr>
        <w:t>：无</w:t>
      </w:r>
    </w:p>
    <w:p>
      <w:pPr>
        <w:keepNext w:val="0"/>
        <w:keepLines w:val="0"/>
        <w:pageBreakBefore w:val="0"/>
        <w:widowControl w:val="0"/>
        <w:numPr>
          <w:ilvl w:val="0"/>
          <w:numId w:val="3"/>
        </w:numPr>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sz w:val="28"/>
          <w:szCs w:val="28"/>
        </w:rPr>
      </w:pPr>
      <w:bookmarkStart w:id="47" w:name="_Toc19089872"/>
      <w:bookmarkStart w:id="48" w:name="_Toc15377219"/>
      <w:r>
        <w:rPr>
          <w:rStyle w:val="26"/>
          <w:rFonts w:hint="eastAsia" w:ascii="黑体" w:hAnsi="黑体" w:eastAsia="黑体"/>
          <w:b w:val="0"/>
          <w:bCs w:val="0"/>
          <w:sz w:val="28"/>
          <w:szCs w:val="28"/>
        </w:rPr>
        <w:t>国有资本经营预算支出决算情况说明</w:t>
      </w:r>
      <w:bookmarkEnd w:id="47"/>
      <w:bookmarkEnd w:id="48"/>
      <w:r>
        <w:rPr>
          <w:rStyle w:val="26"/>
          <w:rFonts w:hint="eastAsia" w:ascii="黑体" w:hAnsi="黑体" w:eastAsia="黑体"/>
          <w:b w:val="0"/>
          <w:bCs w:val="0"/>
          <w:sz w:val="28"/>
          <w:szCs w:val="28"/>
        </w:rPr>
        <w:t>：无</w:t>
      </w:r>
    </w:p>
    <w:p>
      <w:pPr>
        <w:pStyle w:val="24"/>
        <w:keepNext w:val="0"/>
        <w:keepLines w:val="0"/>
        <w:pageBreakBefore w:val="0"/>
        <w:widowControl w:val="0"/>
        <w:numPr>
          <w:ilvl w:val="0"/>
          <w:numId w:val="4"/>
        </w:numPr>
        <w:kinsoku/>
        <w:wordWrap/>
        <w:overflowPunct/>
        <w:topLinePunct w:val="0"/>
        <w:bidi w:val="0"/>
        <w:snapToGrid/>
        <w:spacing w:line="560" w:lineRule="exact"/>
        <w:ind w:left="0" w:firstLine="560" w:firstLineChars="200"/>
        <w:textAlignment w:val="auto"/>
        <w:rPr>
          <w:rStyle w:val="26"/>
          <w:rFonts w:ascii="黑体" w:hAnsi="黑体" w:eastAsia="黑体"/>
          <w:b w:val="0"/>
          <w:bCs w:val="0"/>
          <w:sz w:val="28"/>
          <w:szCs w:val="28"/>
        </w:rPr>
      </w:pPr>
      <w:bookmarkStart w:id="49" w:name="_Toc19089873"/>
      <w:r>
        <w:rPr>
          <w:rStyle w:val="26"/>
          <w:rFonts w:hint="eastAsia" w:ascii="黑体" w:hAnsi="黑体" w:eastAsia="黑体"/>
          <w:b w:val="0"/>
          <w:bCs w:val="0"/>
          <w:sz w:val="28"/>
          <w:szCs w:val="28"/>
        </w:rPr>
        <w:t>预算绩效情况说明</w:t>
      </w:r>
      <w:bookmarkEnd w:id="49"/>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（一）</w:t>
      </w:r>
      <w:r>
        <w:rPr>
          <w:rFonts w:hint="eastAsia" w:ascii="楷体" w:hAnsi="楷体" w:eastAsia="楷体" w:cs="楷体"/>
          <w:b w:val="0"/>
          <w:bCs w:val="0"/>
          <w:color w:val="000000" w:themeColor="text1"/>
          <w:sz w:val="28"/>
          <w:szCs w:val="28"/>
          <w14:textFill>
            <w14:solidFill>
              <w14:schemeClr w14:val="tx1"/>
            </w14:solidFill>
          </w14:textFill>
        </w:rPr>
        <w:t>预算绩效管理工作开展情况</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预算绩效管理要求，本部门（单位）在年初预算编制阶段，组织对购买社工服务、建档立卡中职、本专科助学金、学生营养改善计划等1个项目开展了预算事前绩效评估，对1个项目编制了绩效目标，预算执行过程中，选取1个项目开展绩效监控，年终执行完毕后，对1个项目开展了绩效目标完成情况梳理填报。</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5"/>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5"/>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ascii="仿宋_GB2312" w:hAnsi="仿宋_GB2312" w:eastAsia="仿宋_GB2312" w:cs="仿宋_GB2312"/>
          <w:b w:val="0"/>
          <w:bCs w:val="0"/>
          <w:sz w:val="28"/>
          <w:szCs w:val="28"/>
        </w:rPr>
      </w:pPr>
      <w:r>
        <w:rPr>
          <w:rFonts w:hint="eastAsia" w:ascii="楷体" w:hAnsi="楷体" w:eastAsia="楷体" w:cs="楷体"/>
          <w:b w:val="0"/>
          <w:bCs w:val="0"/>
          <w:color w:val="000000" w:themeColor="text1"/>
          <w:sz w:val="28"/>
          <w:szCs w:val="28"/>
          <w:lang w:eastAsia="zh-CN"/>
          <w14:textFill>
            <w14:solidFill>
              <w14:schemeClr w14:val="tx1"/>
            </w14:solidFill>
          </w14:textFill>
        </w:rPr>
        <w:t>（二）</w:t>
      </w:r>
      <w:r>
        <w:rPr>
          <w:rFonts w:hint="eastAsia" w:ascii="楷体" w:hAnsi="楷体" w:eastAsia="楷体" w:cs="楷体"/>
          <w:b w:val="0"/>
          <w:bCs w:val="0"/>
          <w:color w:val="000000" w:themeColor="text1"/>
          <w:sz w:val="28"/>
          <w:szCs w:val="28"/>
          <w14:textFill>
            <w14:solidFill>
              <w14:schemeClr w14:val="tx1"/>
            </w14:solidFill>
          </w14:textFill>
        </w:rPr>
        <w:t>项目绩效目标完成情况</w:t>
      </w:r>
      <w:r>
        <w:rPr>
          <w:rFonts w:hint="eastAsia" w:ascii="楷体" w:hAnsi="楷体" w:eastAsia="楷体" w:cs="楷体"/>
          <w:b w:val="0"/>
          <w:bCs w:val="0"/>
          <w:color w:val="000000" w:themeColor="text1"/>
          <w:sz w:val="28"/>
          <w:szCs w:val="28"/>
          <w14:textFill>
            <w14:solidFill>
              <w14:schemeClr w14:val="tx1"/>
            </w14:solidFill>
          </w14:textFill>
        </w:rPr>
        <w:br w:type="textWrapping"/>
      </w:r>
      <w:r>
        <w:rPr>
          <w:rFonts w:hint="eastAsia" w:ascii="仿宋_GB2312" w:hAnsi="仿宋_GB2312" w:eastAsia="仿宋_GB2312" w:cs="仿宋_GB2312"/>
          <w:b w:val="0"/>
          <w:bCs w:val="0"/>
          <w:sz w:val="28"/>
          <w:szCs w:val="28"/>
        </w:rPr>
        <w:t xml:space="preserve">    本部门在2019年度部门决算中反映“政府购买社工服务”等个项目绩效目标实际完成情况。（无）</w:t>
      </w:r>
    </w:p>
    <w:p>
      <w:pPr>
        <w:keepNext w:val="0"/>
        <w:keepLines w:val="0"/>
        <w:pageBreakBefore w:val="0"/>
        <w:widowControl w:val="0"/>
        <w:tabs>
          <w:tab w:val="left" w:pos="312"/>
        </w:tabs>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1.2019年政府购买社工服务费项目绩效目标完成情况综述。项目全年预算数</w:t>
      </w:r>
      <w:r>
        <w:rPr>
          <w:rFonts w:hint="eastAsia" w:ascii="仿宋" w:hAnsi="仿宋" w:eastAsia="仿宋" w:cs="仿宋_GB2312"/>
          <w:b w:val="0"/>
          <w:bCs w:val="0"/>
          <w:sz w:val="28"/>
          <w:szCs w:val="28"/>
        </w:rPr>
        <w:t>0万元</w:t>
      </w:r>
      <w:r>
        <w:rPr>
          <w:rFonts w:hint="eastAsia" w:ascii="仿宋_GB2312" w:hAnsi="仿宋_GB2312" w:eastAsia="仿宋_GB2312" w:cs="仿宋_GB2312"/>
          <w:b w:val="0"/>
          <w:bCs w:val="0"/>
          <w:sz w:val="28"/>
          <w:szCs w:val="28"/>
        </w:rPr>
        <w:t>，执行数为</w:t>
      </w:r>
      <w:r>
        <w:rPr>
          <w:rFonts w:hint="eastAsia" w:ascii="仿宋" w:hAnsi="仿宋" w:eastAsia="仿宋" w:cs="仿宋_GB2312"/>
          <w:b w:val="0"/>
          <w:bCs w:val="0"/>
          <w:sz w:val="28"/>
          <w:szCs w:val="28"/>
        </w:rPr>
        <w:t>0万元</w:t>
      </w:r>
      <w:r>
        <w:rPr>
          <w:rFonts w:hint="eastAsia" w:ascii="仿宋_GB2312" w:hAnsi="仿宋_GB2312" w:eastAsia="仿宋_GB2312" w:cs="仿宋_GB2312"/>
          <w:b w:val="0"/>
          <w:bCs w:val="0"/>
          <w:sz w:val="28"/>
          <w:szCs w:val="28"/>
        </w:rPr>
        <w:t>，完成预算的</w:t>
      </w:r>
      <w:r>
        <w:rPr>
          <w:rFonts w:hint="eastAsia" w:ascii="仿宋" w:hAnsi="仿宋" w:eastAsia="仿宋" w:cs="仿宋_GB2312"/>
          <w:b w:val="0"/>
          <w:bCs w:val="0"/>
          <w:sz w:val="28"/>
          <w:szCs w:val="28"/>
        </w:rPr>
        <w:t>0</w:t>
      </w:r>
      <w:r>
        <w:rPr>
          <w:rFonts w:hint="eastAsia" w:ascii="仿宋_GB2312" w:hAnsi="仿宋_GB2312" w:eastAsia="仿宋_GB2312" w:cs="仿宋_GB2312"/>
          <w:b w:val="0"/>
          <w:bCs w:val="0"/>
          <w:sz w:val="28"/>
          <w:szCs w:val="28"/>
        </w:rPr>
        <w:t>。通过项目实施，有效促进了我区青少年领域社工服务，推进驻校社工服务深入发展，根据青少年发展阶段的不同需求，协助在校学生解决各种适应性问题和生活学习中的苦恼。拓展社工服务项目资源，提升社工中心项目化运作能力，保障了社工中心积极开展对外链接，统筹整合本地资源，促进了社工服务机构项目化运作的转型。</w:t>
      </w:r>
    </w:p>
    <w:p>
      <w:pPr>
        <w:keepNext w:val="0"/>
        <w:keepLines w:val="0"/>
        <w:pageBreakBefore w:val="0"/>
        <w:widowControl w:val="0"/>
        <w:tabs>
          <w:tab w:val="left" w:pos="312"/>
        </w:tabs>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2.建档立卡全日制本（专）科学费和生活费补助项目绩效目标完成情况综述。项目全年预算数</w:t>
      </w:r>
      <w:r>
        <w:rPr>
          <w:rFonts w:hint="eastAsia" w:ascii="仿宋" w:hAnsi="仿宋" w:eastAsia="仿宋" w:cs="仿宋_GB2312"/>
          <w:b w:val="0"/>
          <w:bCs w:val="0"/>
          <w:sz w:val="28"/>
          <w:szCs w:val="28"/>
        </w:rPr>
        <w:t>80.72万元</w:t>
      </w:r>
      <w:r>
        <w:rPr>
          <w:rFonts w:hint="eastAsia" w:ascii="仿宋_GB2312" w:hAnsi="仿宋_GB2312" w:eastAsia="仿宋_GB2312" w:cs="仿宋_GB2312"/>
          <w:b w:val="0"/>
          <w:bCs w:val="0"/>
          <w:sz w:val="28"/>
          <w:szCs w:val="28"/>
        </w:rPr>
        <w:t>，执行数为</w:t>
      </w:r>
      <w:r>
        <w:rPr>
          <w:rFonts w:hint="eastAsia" w:ascii="仿宋" w:hAnsi="仿宋" w:eastAsia="仿宋" w:cs="仿宋_GB2312"/>
          <w:b w:val="0"/>
          <w:bCs w:val="0"/>
          <w:sz w:val="28"/>
          <w:szCs w:val="28"/>
        </w:rPr>
        <w:t>80.72万元</w:t>
      </w:r>
      <w:r>
        <w:rPr>
          <w:rFonts w:hint="eastAsia" w:ascii="仿宋_GB2312" w:hAnsi="仿宋_GB2312" w:eastAsia="仿宋_GB2312" w:cs="仿宋_GB2312"/>
          <w:b w:val="0"/>
          <w:bCs w:val="0"/>
          <w:sz w:val="28"/>
          <w:szCs w:val="28"/>
        </w:rPr>
        <w:t>，完成预算的</w:t>
      </w:r>
      <w:r>
        <w:rPr>
          <w:rFonts w:hint="eastAsia" w:ascii="仿宋" w:hAnsi="仿宋" w:eastAsia="仿宋" w:cs="仿宋_GB2312"/>
          <w:b w:val="0"/>
          <w:bCs w:val="0"/>
          <w:sz w:val="28"/>
          <w:szCs w:val="28"/>
        </w:rPr>
        <w:t>100%</w:t>
      </w:r>
      <w:r>
        <w:rPr>
          <w:rFonts w:hint="eastAsia" w:ascii="仿宋_GB2312" w:hAnsi="仿宋_GB2312" w:eastAsia="仿宋_GB2312" w:cs="仿宋_GB2312"/>
          <w:b w:val="0"/>
          <w:bCs w:val="0"/>
          <w:sz w:val="28"/>
          <w:szCs w:val="28"/>
        </w:rPr>
        <w:t>。通过项目实施，贯彻落实了本专科建档立卡贫困户学生学费、生活费补助资助政策，实现了建档立卡本专科学生受助全覆盖，进一步减轻了贫困家庭子女教育的经济负担，确保学生顺利完成学业。发现的主要问题：政策知晓率不够，学生受助账户信息不完整。下一步改进措施：要求辖区学校进一步加强政策宣传，力争政策知晓率达到100%。学生受助账户统一使用学生本人社保卡发放。</w:t>
      </w:r>
    </w:p>
    <w:p>
      <w:pPr>
        <w:keepNext w:val="0"/>
        <w:keepLines w:val="0"/>
        <w:pageBreakBefore w:val="0"/>
        <w:widowControl w:val="0"/>
        <w:tabs>
          <w:tab w:val="left" w:pos="312"/>
        </w:tabs>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3.学生营养改善计划项目绩效目标完成情况综述。无</w:t>
      </w:r>
    </w:p>
    <w:p>
      <w:pPr>
        <w:keepNext w:val="0"/>
        <w:keepLines w:val="0"/>
        <w:pageBreakBefore w:val="0"/>
        <w:widowControl w:val="0"/>
        <w:tabs>
          <w:tab w:val="left" w:pos="312"/>
        </w:tabs>
        <w:kinsoku/>
        <w:wordWrap/>
        <w:overflowPunct/>
        <w:topLinePunct w:val="0"/>
        <w:bidi w:val="0"/>
        <w:snapToGrid/>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4.建档立卡贫困家庭中职学生学费、生活费补助项目绩效目标完成情况综述。无</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50" w:name="_Toc19089874"/>
      <w:bookmarkStart w:id="51" w:name="_Toc15377221"/>
      <w:r>
        <w:rPr>
          <w:rFonts w:hint="eastAsia" w:ascii="黑体" w:hAnsi="黑体" w:eastAsia="黑体"/>
          <w:b w:val="0"/>
          <w:bCs w:val="0"/>
          <w:color w:val="000000" w:themeColor="text1"/>
          <w:sz w:val="28"/>
          <w:szCs w:val="28"/>
          <w14:textFill>
            <w14:solidFill>
              <w14:schemeClr w14:val="tx1"/>
            </w14:solidFill>
          </w14:textFill>
        </w:rPr>
        <w:t>十</w:t>
      </w:r>
      <w:r>
        <w:rPr>
          <w:rStyle w:val="26"/>
          <w:rFonts w:hint="eastAsia" w:ascii="黑体" w:hAnsi="黑体" w:eastAsia="黑体"/>
          <w:b w:val="0"/>
          <w:bCs w:val="0"/>
          <w:color w:val="000000" w:themeColor="text1"/>
          <w:sz w:val="28"/>
          <w:szCs w:val="28"/>
          <w14:textFill>
            <w14:solidFill>
              <w14:schemeClr w14:val="tx1"/>
            </w14:solidFill>
          </w14:textFill>
        </w:rPr>
        <w:t>一、其他重要事项的情况说明</w:t>
      </w:r>
      <w:bookmarkEnd w:id="50"/>
      <w:bookmarkEnd w:id="51"/>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2" w:name="_Toc15377222"/>
      <w:r>
        <w:rPr>
          <w:rFonts w:hint="eastAsia" w:ascii="楷体" w:hAnsi="楷体" w:eastAsia="楷体" w:cs="楷体"/>
          <w:b w:val="0"/>
          <w:bCs w:val="0"/>
          <w:color w:val="000000" w:themeColor="text1"/>
          <w:sz w:val="28"/>
          <w:szCs w:val="28"/>
          <w14:textFill>
            <w14:solidFill>
              <w14:schemeClr w14:val="tx1"/>
            </w14:solidFill>
          </w14:textFill>
        </w:rPr>
        <w:t>（一）机关运行经费支出情况</w:t>
      </w:r>
      <w:bookmarkEnd w:id="52"/>
      <w:r>
        <w:rPr>
          <w:rFonts w:hint="eastAsia" w:ascii="楷体" w:hAnsi="楷体" w:eastAsia="楷体" w:cs="楷体"/>
          <w:b w:val="0"/>
          <w:bCs w:val="0"/>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CS05</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3" w:name="_Toc15377223"/>
      <w:r>
        <w:rPr>
          <w:rFonts w:hint="eastAsia" w:ascii="楷体" w:hAnsi="楷体" w:eastAsia="楷体" w:cs="楷体"/>
          <w:b w:val="0"/>
          <w:bCs w:val="0"/>
          <w:color w:val="000000" w:themeColor="text1"/>
          <w:sz w:val="28"/>
          <w:szCs w:val="28"/>
          <w14:textFill>
            <w14:solidFill>
              <w14:schemeClr w14:val="tx1"/>
            </w14:solidFill>
          </w14:textFill>
        </w:rPr>
        <w:t>（二）政府采购支出情况</w:t>
      </w:r>
      <w:bookmarkEnd w:id="53"/>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CS06</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bidi w:val="0"/>
        <w:snapToGrid/>
        <w:spacing w:line="560" w:lineRule="exact"/>
        <w:ind w:left="0" w:firstLine="560" w:firstLineChars="200"/>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4" w:name="_Toc15377224"/>
      <w:r>
        <w:rPr>
          <w:rFonts w:hint="eastAsia" w:ascii="楷体" w:hAnsi="楷体" w:eastAsia="楷体" w:cs="楷体"/>
          <w:b w:val="0"/>
          <w:bCs w:val="0"/>
          <w:color w:val="000000" w:themeColor="text1"/>
          <w:sz w:val="28"/>
          <w:szCs w:val="28"/>
          <w14:textFill>
            <w14:solidFill>
              <w14:schemeClr w14:val="tx1"/>
            </w14:solidFill>
          </w14:textFill>
        </w:rPr>
        <w:t>（三）国有资产占有使用情况</w:t>
      </w:r>
      <w:bookmarkEnd w:id="54"/>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ascii="仿宋_GB2312" w:eastAsia="仿宋_GB2312"/>
          <w:b w:val="0"/>
          <w:bCs w:val="0"/>
          <w:sz w:val="28"/>
          <w:szCs w:val="28"/>
        </w:rPr>
      </w:pPr>
      <w:r>
        <w:rPr>
          <w:rFonts w:hint="eastAsia" w:ascii="仿宋_GB2312" w:eastAsia="仿宋_GB2312"/>
          <w:b w:val="0"/>
          <w:bCs w:val="0"/>
          <w:sz w:val="28"/>
          <w:szCs w:val="28"/>
        </w:rPr>
        <w:t>截至</w:t>
      </w:r>
      <w:r>
        <w:rPr>
          <w:rFonts w:ascii="仿宋_GB2312" w:eastAsia="仿宋_GB2312"/>
          <w:b w:val="0"/>
          <w:bCs w:val="0"/>
          <w:sz w:val="28"/>
          <w:szCs w:val="28"/>
        </w:rPr>
        <w:t>201</w:t>
      </w:r>
      <w:r>
        <w:rPr>
          <w:rFonts w:hint="eastAsia" w:ascii="仿宋_GB2312" w:eastAsia="仿宋_GB2312"/>
          <w:b w:val="0"/>
          <w:bCs w:val="0"/>
          <w:sz w:val="28"/>
          <w:szCs w:val="28"/>
        </w:rPr>
        <w:t>9年</w:t>
      </w:r>
      <w:r>
        <w:rPr>
          <w:rFonts w:ascii="仿宋_GB2312" w:eastAsia="仿宋_GB2312"/>
          <w:b w:val="0"/>
          <w:bCs w:val="0"/>
          <w:sz w:val="28"/>
          <w:szCs w:val="28"/>
        </w:rPr>
        <w:t>12</w:t>
      </w:r>
      <w:r>
        <w:rPr>
          <w:rFonts w:hint="eastAsia" w:ascii="仿宋_GB2312" w:eastAsia="仿宋_GB2312"/>
          <w:b w:val="0"/>
          <w:bCs w:val="0"/>
          <w:sz w:val="28"/>
          <w:szCs w:val="28"/>
        </w:rPr>
        <w:t>月</w:t>
      </w:r>
      <w:r>
        <w:rPr>
          <w:rFonts w:ascii="仿宋_GB2312" w:eastAsia="仿宋_GB2312"/>
          <w:b w:val="0"/>
          <w:bCs w:val="0"/>
          <w:sz w:val="28"/>
          <w:szCs w:val="28"/>
        </w:rPr>
        <w:t>31</w:t>
      </w:r>
      <w:r>
        <w:rPr>
          <w:rFonts w:hint="eastAsia" w:ascii="仿宋_GB2312" w:eastAsia="仿宋_GB2312"/>
          <w:b w:val="0"/>
          <w:bCs w:val="0"/>
          <w:sz w:val="28"/>
          <w:szCs w:val="28"/>
        </w:rPr>
        <w:t>日，利州区教育局共有车辆0辆，单价</w:t>
      </w:r>
      <w:r>
        <w:rPr>
          <w:rFonts w:ascii="仿宋_GB2312" w:eastAsia="仿宋_GB2312"/>
          <w:b w:val="0"/>
          <w:bCs w:val="0"/>
          <w:sz w:val="28"/>
          <w:szCs w:val="28"/>
        </w:rPr>
        <w:t>50</w:t>
      </w:r>
      <w:r>
        <w:rPr>
          <w:rFonts w:hint="eastAsia" w:ascii="仿宋_GB2312" w:eastAsia="仿宋_GB2312"/>
          <w:b w:val="0"/>
          <w:bCs w:val="0"/>
          <w:sz w:val="28"/>
          <w:szCs w:val="28"/>
        </w:rPr>
        <w:t>万元以上通用设备0台（套），单价</w:t>
      </w:r>
      <w:r>
        <w:rPr>
          <w:rFonts w:ascii="仿宋_GB2312" w:eastAsia="仿宋_GB2312"/>
          <w:b w:val="0"/>
          <w:bCs w:val="0"/>
          <w:sz w:val="28"/>
          <w:szCs w:val="28"/>
        </w:rPr>
        <w:t>100</w:t>
      </w:r>
      <w:r>
        <w:rPr>
          <w:rFonts w:hint="eastAsia" w:ascii="仿宋_GB2312" w:eastAsia="仿宋_GB2312"/>
          <w:b w:val="0"/>
          <w:bCs w:val="0"/>
          <w:sz w:val="28"/>
          <w:szCs w:val="28"/>
        </w:rPr>
        <w:t>万元以上专用设备0台（套）。</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CS05</w:t>
      </w:r>
      <w:r>
        <w:rPr>
          <w:rFonts w:hint="eastAsia" w:ascii="仿宋" w:hAnsi="仿宋" w:eastAsia="仿宋"/>
          <w:b w:val="0"/>
          <w:bCs w:val="0"/>
          <w:sz w:val="28"/>
          <w:szCs w:val="28"/>
        </w:rPr>
        <w:t>表，按部门决算报表填报数据罗列车辆情况。）</w:t>
      </w:r>
    </w:p>
    <w:p>
      <w:pPr>
        <w:keepNext w:val="0"/>
        <w:keepLines w:val="0"/>
        <w:pageBreakBefore w:val="0"/>
        <w:widowControl w:val="0"/>
        <w:kinsoku/>
        <w:wordWrap/>
        <w:overflowPunct/>
        <w:topLinePunct w:val="0"/>
        <w:bidi w:val="0"/>
        <w:snapToGrid/>
        <w:spacing w:line="560" w:lineRule="exact"/>
        <w:ind w:left="0" w:firstLine="560" w:firstLineChars="200"/>
        <w:jc w:val="left"/>
        <w:textAlignment w:val="auto"/>
        <w:rPr>
          <w:rFonts w:ascii="仿宋" w:hAnsi="仿宋" w:eastAsia="仿宋"/>
          <w:b w:val="0"/>
          <w:bCs w:val="0"/>
          <w:sz w:val="28"/>
          <w:szCs w:val="28"/>
        </w:rPr>
      </w:pPr>
      <w:r>
        <w:rPr>
          <w:rFonts w:ascii="仿宋" w:hAnsi="仿宋" w:eastAsia="仿宋"/>
          <w:b w:val="0"/>
          <w:bCs w:val="0"/>
          <w:sz w:val="28"/>
          <w:szCs w:val="28"/>
        </w:rPr>
        <w:br w:type="page"/>
      </w:r>
    </w:p>
    <w:p>
      <w:pPr>
        <w:numPr>
          <w:ilvl w:val="0"/>
          <w:numId w:val="5"/>
        </w:numPr>
        <w:spacing w:line="460" w:lineRule="exact"/>
        <w:ind w:left="0" w:leftChars="0" w:firstLine="0" w:firstLineChars="0"/>
        <w:jc w:val="center"/>
        <w:outlineLvl w:val="0"/>
        <w:rPr>
          <w:rFonts w:hint="eastAsia" w:ascii="方正小标宋简体" w:hAnsi="方正小标宋简体" w:eastAsia="方正小标宋简体" w:cs="方正小标宋简体"/>
          <w:bCs/>
          <w:kern w:val="44"/>
          <w:sz w:val="44"/>
          <w:szCs w:val="44"/>
        </w:rPr>
      </w:pPr>
      <w:bookmarkStart w:id="55" w:name="_Toc15377225"/>
      <w:bookmarkStart w:id="56" w:name="_Toc19089875"/>
      <w:r>
        <w:rPr>
          <w:rFonts w:hint="eastAsia" w:ascii="方正小标宋简体" w:hAnsi="方正小标宋简体" w:eastAsia="方正小标宋简体" w:cs="方正小标宋简体"/>
          <w:b/>
          <w:sz w:val="44"/>
          <w:szCs w:val="44"/>
        </w:rPr>
        <w:t>名</w:t>
      </w:r>
      <w:r>
        <w:rPr>
          <w:rStyle w:val="25"/>
          <w:rFonts w:hint="eastAsia" w:ascii="方正小标宋简体" w:hAnsi="方正小标宋简体" w:eastAsia="方正小标宋简体" w:cs="方正小标宋简体"/>
          <w:b w:val="0"/>
          <w:sz w:val="44"/>
          <w:szCs w:val="44"/>
        </w:rPr>
        <w:t>词解释</w:t>
      </w:r>
      <w:bookmarkEnd w:id="55"/>
      <w:bookmarkEnd w:id="56"/>
    </w:p>
    <w:p>
      <w:pPr>
        <w:pStyle w:val="23"/>
        <w:spacing w:line="460" w:lineRule="exact"/>
        <w:ind w:firstLine="640" w:firstLineChars="200"/>
        <w:rPr>
          <w:rFonts w:hint="eastAsia" w:ascii="仿宋_GB2312" w:eastAsia="仿宋_GB2312"/>
          <w:color w:val="auto"/>
          <w:sz w:val="32"/>
          <w:szCs w:val="32"/>
        </w:rPr>
      </w:pP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1.财政拨款收入：指单位从同级财政部门取得的财政预算资金。</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2.事业收入：指事业单位开展专业业务活动及辅助活动取得的收入。</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3.经营收入：指事业单位在专业业务活动及其辅助活动之外开展非独立核算经营活动取得的收入。。</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6.年初结转和结余：指以前年度尚未完成、结转到本年按有关规定继续使用的资金。 </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7.结余分配：指事业单位按照事业单位会计制度的规定从非财政补助结余中分配的事业基金和职工福利基金等。</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8.年末结转和结余：指单位按有关规定结转到下年或以后年度继续使用的资金。</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9.教育支出（类）教育管理事务（款）行政运行（项）:反映教育行政单位（包括实行公务员管理的事业单位）的基本支出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10. 教育支出（类）教育管理事务</w:t>
      </w:r>
      <w:bookmarkStart w:id="77" w:name="_GoBack"/>
      <w:bookmarkEnd w:id="77"/>
      <w:r>
        <w:rPr>
          <w:rFonts w:hint="eastAsia" w:ascii="仿宋_GB2312" w:hAnsi="仿宋_GB2312" w:eastAsia="仿宋_GB2312" w:cs="仿宋_GB2312"/>
          <w:b w:val="0"/>
          <w:bCs w:val="0"/>
          <w:sz w:val="28"/>
          <w:szCs w:val="28"/>
        </w:rPr>
        <w:t>（款）一般行政管理事务（项）:反映行政单位（包括实行公务员管理的事业单位）未单独设置项级科目的其它项目支出。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11. 教育支出（类）教育管理事务（款）其它教育管理事务支出（项）:反映除上述项目以外其它用户教育管理事务方面的支出。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12. 教育支出（类）普通教育（款）学前教育（项）:反映各部门举办的学前教育支出。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16. 教育支出（类）普通教育（款）其它普通教育（项）: 反映除上述项目以外其他用于普通教育方面的支出。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18. 教育支出（类）职业教育（款）高等职业教育（项）:反映经国家批准设立的高等职业大学、专科职业教育等方面的支出。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 教育支出（类）特殊教育（款）工读学校教育（项）:指各部门举办的工读学校的支出。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23. 教育支出（类）教育附加费安排的支出（款）其它教育附加费安排的支出（项）: 指除上述项目以外的教育附加费支出。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24. 教育支出（类）其它教育支出（款）其他教育支出（项）: 指上述项目以外其他用于教育方面的支出。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30. 农林水支出（类）扶贫（款）其它扶贫支出（项）: 指除上述项目以外其他用于扶贫方面的支出。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32. 其他支出（类）其他支出（款）其他支出（项）: 指上述项目以外其他不能划分到具体功能科目中的支出项目。</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33.基本支出：指为保障机构正常运转、完成日常工作任务而发生的人员支出和公用支出。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34.项目支出：指在基本支出之外为完成特定行政任务和事业发展目标所发生的支出。 </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35.经营支出：指事业单位在专业业务活动及其辅助活动之外开展非独立核算经营活动发生的支出。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（名词解释部分请根据各部门实际列支情况罗列，并根据本部门职责职能增减名词解释内容。）</w:t>
      </w:r>
    </w:p>
    <w:p>
      <w:pPr>
        <w:spacing w:line="460" w:lineRule="exact"/>
        <w:jc w:val="center"/>
        <w:outlineLvl w:val="0"/>
        <w:rPr>
          <w:rFonts w:ascii="黑体" w:hAnsi="黑体" w:eastAsia="黑体"/>
          <w:sz w:val="44"/>
          <w:szCs w:val="44"/>
        </w:rPr>
      </w:pPr>
      <w:bookmarkStart w:id="57" w:name="_Toc19089876"/>
      <w:bookmarkStart w:id="58" w:name="_Toc15377226"/>
    </w:p>
    <w:p>
      <w:pPr>
        <w:spacing w:line="460" w:lineRule="exact"/>
        <w:jc w:val="center"/>
        <w:outlineLvl w:val="0"/>
        <w:rPr>
          <w:rFonts w:ascii="黑体" w:hAnsi="黑体" w:eastAsia="黑体"/>
          <w:sz w:val="44"/>
          <w:szCs w:val="44"/>
        </w:rPr>
      </w:pPr>
    </w:p>
    <w:p>
      <w:pPr>
        <w:spacing w:line="460" w:lineRule="exact"/>
        <w:jc w:val="center"/>
        <w:outlineLvl w:val="0"/>
        <w:rPr>
          <w:rFonts w:ascii="黑体" w:hAnsi="黑体" w:eastAsia="黑体"/>
          <w:sz w:val="44"/>
          <w:szCs w:val="44"/>
        </w:rPr>
      </w:pPr>
    </w:p>
    <w:p>
      <w:pPr>
        <w:spacing w:line="46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56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四部分 附件</w:t>
      </w:r>
      <w:bookmarkEnd w:id="57"/>
    </w:p>
    <w:p>
      <w:pPr>
        <w:widowControl/>
        <w:spacing w:line="560" w:lineRule="exact"/>
        <w:jc w:val="left"/>
        <w:rPr>
          <w:rFonts w:ascii="仿宋" w:hAnsi="仿宋" w:eastAsia="仿宋"/>
          <w:kern w:val="44"/>
          <w:sz w:val="28"/>
          <w:szCs w:val="28"/>
        </w:rPr>
      </w:pPr>
      <w:bookmarkStart w:id="59" w:name="_Toc19089877"/>
      <w:r>
        <w:rPr>
          <w:rFonts w:hint="eastAsia" w:ascii="仿宋" w:hAnsi="仿宋" w:eastAsia="仿宋"/>
          <w:kern w:val="44"/>
          <w:sz w:val="28"/>
          <w:szCs w:val="28"/>
        </w:rPr>
        <w:t>附件1</w:t>
      </w:r>
      <w:bookmarkEnd w:id="59"/>
    </w:p>
    <w:p>
      <w:pPr>
        <w:spacing w:line="560" w:lineRule="exact"/>
        <w:jc w:val="center"/>
        <w:outlineLvl w:val="0"/>
        <w:rPr>
          <w:rFonts w:hint="eastAsia" w:ascii="黑体" w:hAnsi="黑体" w:eastAsia="黑体" w:cs="方正小标宋简体"/>
          <w:sz w:val="36"/>
          <w:szCs w:val="36"/>
        </w:rPr>
      </w:pPr>
      <w:bookmarkStart w:id="60" w:name="_Toc19089878"/>
      <w:bookmarkStart w:id="61" w:name="_Toc15396616"/>
      <w:r>
        <w:rPr>
          <w:rFonts w:hint="eastAsia" w:ascii="黑体" w:hAnsi="黑体" w:eastAsia="黑体" w:cs="方正小标宋简体"/>
          <w:sz w:val="36"/>
          <w:szCs w:val="36"/>
        </w:rPr>
        <w:t>广元市利州区大东英才学校</w:t>
      </w:r>
    </w:p>
    <w:p>
      <w:pPr>
        <w:spacing w:line="56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60"/>
      <w:bookmarkStart w:id="62" w:name="_Toc19089879"/>
      <w:r>
        <w:rPr>
          <w:rFonts w:hint="eastAsia" w:ascii="黑体" w:hAnsi="黑体" w:eastAsia="黑体" w:cs="方正小标宋简体"/>
          <w:sz w:val="36"/>
          <w:szCs w:val="36"/>
        </w:rPr>
        <w:t>绩效评价报告</w:t>
      </w:r>
      <w:bookmarkEnd w:id="61"/>
      <w:bookmarkEnd w:id="62"/>
    </w:p>
    <w:p>
      <w:pPr>
        <w:spacing w:line="560" w:lineRule="exact"/>
        <w:ind w:firstLine="640" w:firstLineChars="20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广元市利州区大东英才学校属教育局下属二级单位。</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1．贯彻执行党和国家关于教育改革和发展的各项方针、政策，拟订教育事业发展规划和有关教育的规范性文件并组织实施；组织学校的教育、教学体制改革。</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负责学校教育经费的统筹管理，参与拟订筹措学校教育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3．统筹管理和协调学校社会力量教育工作。</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4．学校的依法治校、安全、综合治理、档案、保密、计划生育工作。</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5．统筹管理学校体育、卫生与艺术教育工作。</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6．学校系统人事制度改革工作，推行和实施校长、教师聘任制。</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7．教师工作，组织实施各级各类教师资格证书制度；统筹规划学校教师和管理人员队伍建设。</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rPr>
        <w:t>8</w:t>
      </w:r>
      <w:r>
        <w:rPr>
          <w:rFonts w:hint="eastAsia" w:ascii="仿宋" w:hAnsi="仿宋" w:eastAsia="仿宋" w:cs="仿宋_GB2312"/>
          <w:sz w:val="28"/>
          <w:szCs w:val="28"/>
          <w:lang w:val="en-US" w:eastAsia="zh-CN"/>
        </w:rPr>
        <w:t>.</w:t>
      </w:r>
      <w:r>
        <w:rPr>
          <w:rFonts w:hint="eastAsia" w:ascii="仿宋" w:hAnsi="仿宋" w:eastAsia="仿宋" w:cs="仿宋_GB2312"/>
          <w:sz w:val="28"/>
          <w:szCs w:val="28"/>
        </w:rPr>
        <w:t>促进基础教育发展，教育学生成长为德学兼备、思想端正的学</w:t>
      </w:r>
      <w:r>
        <w:rPr>
          <w:rFonts w:hint="eastAsia" w:ascii="仿宋" w:hAnsi="仿宋" w:eastAsia="仿宋" w:cs="仿宋_GB2312"/>
          <w:sz w:val="28"/>
          <w:szCs w:val="28"/>
          <w:lang w:val="en-US" w:eastAsia="zh-CN"/>
        </w:rPr>
        <w:t>生，让学生获得基本的基础知识，尽可能培养其自学能力。</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广元市利州区学校编制95名，实有在职人员93人，退休人员1人，学校实有学生2090人。</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2019年财政拨款收入总计1816.13万元。</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（二）部门财政资金支出情况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2019年财政拨款支出总计1778.97万元。</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三、部门整体预算绩效管理情况（根据适用指标体系进行调整）</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（一）部门预算管理</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部门绩效目标制定</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（1）部门绩效目标充分考虑到各项资金的使用内容、范围、方向和预期效果，符合国民经济和社会发展规划，符合部门职能及事业发展规划。</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（2）部门绩效目标从数量、质量、成本、时效以及经济效益、社会效益、生态效益、可持续影响、满意度等方面进行了细化和定量表述，具有可衡量性。</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（3）绩效目标的设定经过了调查研究和科学论证，符合客观实际，能够在一定期限内如期实现。</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（4）绩效目标相关指标设定与预算安排金额相对应，未超预算安排资金。</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预算编制</w:t>
      </w:r>
      <w:r>
        <w:rPr>
          <w:rFonts w:hint="eastAsia" w:ascii="仿宋" w:hAnsi="仿宋" w:eastAsia="仿宋" w:cs="仿宋_GB2312"/>
          <w:sz w:val="28"/>
          <w:szCs w:val="28"/>
        </w:rPr>
        <w:t>和执行</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（1）部门预算报送时间严格按照财政部门预算编制要求的时间及时报送部门预算。预算编制完整、准确，基础信息和科目使用准确。</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3）基本支出主要用于日常工作运转开支，包括人员的工资福利支出、一般商品和服务支出、对个人和家庭的补助支出。人员经费的开支主要是按照区组织和人事部门审批执行，公用经费按照厉行节约的原则规范资金使用流程。</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（4）按时送部门决算，决算数据真实准确、账表一致，部门决算编制人员与供养人员系统一致。</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（二）专项预算管理。</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1.专项预算编制情况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2.专项预算执行</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3.专项预算绩效目标完成情况</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财政专项预算支出</w:t>
      </w:r>
      <w:r>
        <w:rPr>
          <w:rFonts w:hint="eastAsia" w:ascii="仿宋" w:hAnsi="仿宋" w:eastAsia="仿宋" w:cs="仿宋_GB2312"/>
          <w:sz w:val="28"/>
          <w:szCs w:val="28"/>
        </w:rPr>
        <w:t>共121.45万元，除个别年</w:t>
      </w:r>
      <w:r>
        <w:rPr>
          <w:rFonts w:hint="eastAsia" w:ascii="仿宋" w:hAnsi="仿宋" w:eastAsia="仿宋" w:cs="仿宋_GB2312"/>
          <w:color w:val="000000" w:themeColor="text1"/>
          <w:sz w:val="28"/>
          <w:szCs w:val="28"/>
          <w14:textFill>
            <w14:solidFill>
              <w14:schemeClr w14:val="tx1"/>
            </w14:solidFill>
          </w14:textFill>
        </w:rPr>
        <w:t>末下达的项目未来得及实施外，一般公共预算支出项目完成达84%以上。</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28"/>
          <w:szCs w:val="28"/>
          <w14:textFill>
            <w14:solidFill>
              <w14:schemeClr w14:val="tx1"/>
            </w14:solidFill>
          </w14:textFill>
        </w:rPr>
        <w:t>标实现较为理想，达到预期目的。部门整体绩效评价得分80.3分</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预算追加经费数额大，下达时间比较晚，个别大型的项目资金执行时间比较长，造成预算执行率偏差。</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1.进一步完善各类项目支出的支出标准，严格按项目和进度执行预算，增强预算的约束力和严肃性。</w:t>
      </w:r>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2.落实预算执行分析，及时了解预算执行差异，合理调整、纠正预算执行偏差，切实提高部门预算收支管理水平。</w:t>
      </w:r>
    </w:p>
    <w:p>
      <w:pPr>
        <w:widowControl/>
        <w:spacing w:line="4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460" w:lineRule="exact"/>
        <w:jc w:val="center"/>
        <w:outlineLvl w:val="0"/>
        <w:rPr>
          <w:rStyle w:val="25"/>
          <w:rFonts w:hint="eastAsia" w:ascii="方正小标宋简体" w:hAnsi="方正小标宋简体" w:eastAsia="方正小标宋简体" w:cs="方正小标宋简体"/>
          <w:b w:val="0"/>
        </w:rPr>
      </w:pPr>
      <w:bookmarkStart w:id="63" w:name="_Toc19089885"/>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五部分 附表</w:t>
      </w:r>
      <w:bookmarkEnd w:id="58"/>
      <w:bookmarkEnd w:id="63"/>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4" w:name="_Toc19089886"/>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bookmarkEnd w:id="64"/>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5" w:name="_Toc19089887"/>
      <w:r>
        <w:rPr>
          <w:rFonts w:hint="eastAsia" w:ascii="仿宋" w:hAnsi="仿宋" w:eastAsia="仿宋" w:cs="仿宋"/>
          <w:sz w:val="28"/>
          <w:szCs w:val="28"/>
        </w:rPr>
        <w:t>二、收入总表</w:t>
      </w:r>
      <w:bookmarkEnd w:id="65"/>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6" w:name="_Toc19089888"/>
      <w:r>
        <w:rPr>
          <w:rFonts w:hint="eastAsia" w:ascii="仿宋" w:hAnsi="仿宋" w:eastAsia="仿宋" w:cs="仿宋"/>
          <w:sz w:val="28"/>
          <w:szCs w:val="28"/>
        </w:rPr>
        <w:t>三、支出总表</w:t>
      </w:r>
      <w:bookmarkEnd w:id="66"/>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7" w:name="_Toc19089889"/>
      <w:r>
        <w:rPr>
          <w:rFonts w:hint="eastAsia" w:ascii="仿宋" w:hAnsi="仿宋" w:eastAsia="仿宋" w:cs="仿宋"/>
          <w:sz w:val="28"/>
          <w:szCs w:val="28"/>
        </w:rPr>
        <w:t>四、财政拨款收入支出决算总表</w:t>
      </w:r>
      <w:bookmarkEnd w:id="67"/>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8" w:name="_Toc19089890"/>
      <w:r>
        <w:rPr>
          <w:rFonts w:hint="eastAsia" w:ascii="仿宋" w:hAnsi="仿宋" w:eastAsia="仿宋" w:cs="仿宋"/>
          <w:sz w:val="28"/>
          <w:szCs w:val="28"/>
        </w:rPr>
        <w:t>五、财政拨款支出决算明细表（政府经济分类科目）</w:t>
      </w:r>
      <w:bookmarkEnd w:id="68"/>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69" w:name="_Toc19089891"/>
      <w:r>
        <w:rPr>
          <w:rFonts w:hint="eastAsia" w:ascii="仿宋" w:hAnsi="仿宋" w:eastAsia="仿宋" w:cs="仿宋"/>
          <w:sz w:val="28"/>
          <w:szCs w:val="28"/>
        </w:rPr>
        <w:t>六、一般公共预算财政拨款支出决算表</w:t>
      </w:r>
      <w:bookmarkEnd w:id="69"/>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0" w:name="_Toc19089892"/>
      <w:r>
        <w:rPr>
          <w:rFonts w:hint="eastAsia" w:ascii="仿宋" w:hAnsi="仿宋" w:eastAsia="仿宋" w:cs="仿宋"/>
          <w:sz w:val="28"/>
          <w:szCs w:val="28"/>
        </w:rPr>
        <w:t>七、一般公共预算财政拨款支出决算明细表</w:t>
      </w:r>
      <w:bookmarkEnd w:id="70"/>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1" w:name="_Toc19089893"/>
      <w:r>
        <w:rPr>
          <w:rFonts w:hint="eastAsia" w:ascii="仿宋" w:hAnsi="仿宋" w:eastAsia="仿宋" w:cs="仿宋"/>
          <w:sz w:val="28"/>
          <w:szCs w:val="28"/>
        </w:rPr>
        <w:t>八、一般公共预算财政拨款基本支出决算表</w:t>
      </w:r>
      <w:bookmarkEnd w:id="71"/>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2" w:name="_Toc19089894"/>
      <w:r>
        <w:rPr>
          <w:rFonts w:hint="eastAsia" w:ascii="仿宋" w:hAnsi="仿宋" w:eastAsia="仿宋" w:cs="仿宋"/>
          <w:sz w:val="28"/>
          <w:szCs w:val="28"/>
        </w:rPr>
        <w:t>九、一般公共预算财政拨款项目支出决算表</w:t>
      </w:r>
      <w:bookmarkEnd w:id="72"/>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3" w:name="_Toc19089895"/>
      <w:r>
        <w:rPr>
          <w:rFonts w:hint="eastAsia" w:ascii="仿宋" w:hAnsi="仿宋" w:eastAsia="仿宋" w:cs="仿宋"/>
          <w:sz w:val="28"/>
          <w:szCs w:val="28"/>
        </w:rPr>
        <w:t>十、一般公共预算财政拨款“三公”经费支出决算表</w:t>
      </w:r>
      <w:bookmarkEnd w:id="73"/>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4" w:name="_Toc19089896"/>
      <w:r>
        <w:rPr>
          <w:rFonts w:hint="eastAsia" w:ascii="仿宋" w:hAnsi="仿宋" w:eastAsia="仿宋" w:cs="仿宋"/>
          <w:sz w:val="28"/>
          <w:szCs w:val="28"/>
        </w:rPr>
        <w:t>十一、政府性基金预算财政拨款收入支出决算表</w:t>
      </w:r>
      <w:bookmarkEnd w:id="74"/>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5" w:name="_Toc19089897"/>
      <w:r>
        <w:rPr>
          <w:rFonts w:hint="eastAsia" w:ascii="仿宋" w:hAnsi="仿宋" w:eastAsia="仿宋" w:cs="仿宋"/>
          <w:sz w:val="28"/>
          <w:szCs w:val="28"/>
        </w:rPr>
        <w:t>十二、政府性基金预算财政拨款“三公”经费支出决算表</w:t>
      </w:r>
      <w:bookmarkEnd w:id="75"/>
    </w:p>
    <w:p>
      <w:pPr>
        <w:keepNext w:val="0"/>
        <w:keepLines w:val="0"/>
        <w:pageBreakBefore w:val="0"/>
        <w:kinsoku/>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sz w:val="28"/>
          <w:szCs w:val="28"/>
        </w:rPr>
      </w:pPr>
      <w:bookmarkStart w:id="76" w:name="_Toc19089898"/>
      <w:r>
        <w:rPr>
          <w:rFonts w:hint="eastAsia" w:ascii="仿宋" w:hAnsi="仿宋" w:eastAsia="仿宋" w:cs="仿宋"/>
          <w:sz w:val="28"/>
          <w:szCs w:val="28"/>
        </w:rPr>
        <w:t>十三、国有资本经营预算支出决算表</w:t>
      </w:r>
      <w:bookmarkEnd w:id="76"/>
    </w:p>
    <w:sectPr>
      <w:footerReference r:id="rId5" w:type="first"/>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2766695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85pt;margin-top:-0.75pt;height:144pt;width:144pt;mso-position-horizontal-relative:margin;mso-wrap-style:none;z-index:251658240;mso-width-relative:page;mso-height-relative:page;" filled="f" stroked="f" coordsize="21600,21600" o:gfxdata="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3/8c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F07BDEB"/>
    <w:multiLevelType w:val="singleLevel"/>
    <w:tmpl w:val="0F07BDEB"/>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2F94"/>
    <w:rsid w:val="0002549F"/>
    <w:rsid w:val="0004029C"/>
    <w:rsid w:val="000602F5"/>
    <w:rsid w:val="0006487A"/>
    <w:rsid w:val="00065F8F"/>
    <w:rsid w:val="000768F2"/>
    <w:rsid w:val="0009184B"/>
    <w:rsid w:val="00092B0A"/>
    <w:rsid w:val="00094044"/>
    <w:rsid w:val="0009593C"/>
    <w:rsid w:val="000A19D3"/>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338D9"/>
    <w:rsid w:val="00140371"/>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0305"/>
    <w:rsid w:val="002B2613"/>
    <w:rsid w:val="002E1C32"/>
    <w:rsid w:val="002F0704"/>
    <w:rsid w:val="002F1818"/>
    <w:rsid w:val="002F567B"/>
    <w:rsid w:val="00303037"/>
    <w:rsid w:val="00320F5F"/>
    <w:rsid w:val="003216A9"/>
    <w:rsid w:val="003231D9"/>
    <w:rsid w:val="00324C77"/>
    <w:rsid w:val="00352B10"/>
    <w:rsid w:val="00354D59"/>
    <w:rsid w:val="0037013F"/>
    <w:rsid w:val="00380660"/>
    <w:rsid w:val="00380C92"/>
    <w:rsid w:val="003A15BF"/>
    <w:rsid w:val="003A484F"/>
    <w:rsid w:val="003A6776"/>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47025"/>
    <w:rsid w:val="00471401"/>
    <w:rsid w:val="0047387D"/>
    <w:rsid w:val="00473F31"/>
    <w:rsid w:val="0048263A"/>
    <w:rsid w:val="004840E4"/>
    <w:rsid w:val="00487E5D"/>
    <w:rsid w:val="004946E8"/>
    <w:rsid w:val="004A55C6"/>
    <w:rsid w:val="004A711F"/>
    <w:rsid w:val="004B199D"/>
    <w:rsid w:val="004B4690"/>
    <w:rsid w:val="004E0A2D"/>
    <w:rsid w:val="004E206B"/>
    <w:rsid w:val="004E29FC"/>
    <w:rsid w:val="004E6DF7"/>
    <w:rsid w:val="004F0FBD"/>
    <w:rsid w:val="00505A47"/>
    <w:rsid w:val="00512FDA"/>
    <w:rsid w:val="00520DA0"/>
    <w:rsid w:val="00547C6D"/>
    <w:rsid w:val="005664BB"/>
    <w:rsid w:val="0057481D"/>
    <w:rsid w:val="0058486E"/>
    <w:rsid w:val="005902FF"/>
    <w:rsid w:val="005D0E41"/>
    <w:rsid w:val="005D1C8B"/>
    <w:rsid w:val="005D55F1"/>
    <w:rsid w:val="005D5CED"/>
    <w:rsid w:val="005F1A4C"/>
    <w:rsid w:val="005F49C8"/>
    <w:rsid w:val="005F4E6B"/>
    <w:rsid w:val="00605688"/>
    <w:rsid w:val="006070AF"/>
    <w:rsid w:val="00607E6C"/>
    <w:rsid w:val="006101B1"/>
    <w:rsid w:val="00614E44"/>
    <w:rsid w:val="00622830"/>
    <w:rsid w:val="00630AEF"/>
    <w:rsid w:val="0063232C"/>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21E28"/>
    <w:rsid w:val="007416B6"/>
    <w:rsid w:val="00746F48"/>
    <w:rsid w:val="0075404D"/>
    <w:rsid w:val="0076182A"/>
    <w:rsid w:val="0076670D"/>
    <w:rsid w:val="00767B7E"/>
    <w:rsid w:val="007770C3"/>
    <w:rsid w:val="00784D24"/>
    <w:rsid w:val="00785FBA"/>
    <w:rsid w:val="00786E4A"/>
    <w:rsid w:val="007875EB"/>
    <w:rsid w:val="0079426B"/>
    <w:rsid w:val="007C1A09"/>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04EE"/>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02D"/>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428EE"/>
    <w:rsid w:val="00A56DF2"/>
    <w:rsid w:val="00A66A9B"/>
    <w:rsid w:val="00A67AB5"/>
    <w:rsid w:val="00A91760"/>
    <w:rsid w:val="00A93B00"/>
    <w:rsid w:val="00A93C21"/>
    <w:rsid w:val="00AA4B2D"/>
    <w:rsid w:val="00AB0CE4"/>
    <w:rsid w:val="00AB434E"/>
    <w:rsid w:val="00AC3C6A"/>
    <w:rsid w:val="00AD482B"/>
    <w:rsid w:val="00AD5620"/>
    <w:rsid w:val="00AD7C1B"/>
    <w:rsid w:val="00AE16BA"/>
    <w:rsid w:val="00AE1EBE"/>
    <w:rsid w:val="00AE3B29"/>
    <w:rsid w:val="00AE6C1A"/>
    <w:rsid w:val="00B03C9D"/>
    <w:rsid w:val="00B060AE"/>
    <w:rsid w:val="00B10517"/>
    <w:rsid w:val="00B14E76"/>
    <w:rsid w:val="00B161B8"/>
    <w:rsid w:val="00B2048C"/>
    <w:rsid w:val="00B310B9"/>
    <w:rsid w:val="00B35F3F"/>
    <w:rsid w:val="00B36CBB"/>
    <w:rsid w:val="00B425E0"/>
    <w:rsid w:val="00B42B10"/>
    <w:rsid w:val="00B440AA"/>
    <w:rsid w:val="00B44B70"/>
    <w:rsid w:val="00B53C56"/>
    <w:rsid w:val="00B77EA6"/>
    <w:rsid w:val="00B81598"/>
    <w:rsid w:val="00B841F1"/>
    <w:rsid w:val="00B944D6"/>
    <w:rsid w:val="00B9538A"/>
    <w:rsid w:val="00BB4DF0"/>
    <w:rsid w:val="00BC289F"/>
    <w:rsid w:val="00BC5361"/>
    <w:rsid w:val="00BC5460"/>
    <w:rsid w:val="00BC6B50"/>
    <w:rsid w:val="00BD0E25"/>
    <w:rsid w:val="00BF5BD6"/>
    <w:rsid w:val="00C03E31"/>
    <w:rsid w:val="00C16D35"/>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1F5"/>
    <w:rsid w:val="00DA5916"/>
    <w:rsid w:val="00DA65AC"/>
    <w:rsid w:val="00DB1913"/>
    <w:rsid w:val="00DB6DFB"/>
    <w:rsid w:val="00DC2DB0"/>
    <w:rsid w:val="00DC410D"/>
    <w:rsid w:val="00DC68CA"/>
    <w:rsid w:val="00DC7CBA"/>
    <w:rsid w:val="00DD73B7"/>
    <w:rsid w:val="00DF007D"/>
    <w:rsid w:val="00DF28BC"/>
    <w:rsid w:val="00DF2E67"/>
    <w:rsid w:val="00DF34B9"/>
    <w:rsid w:val="00E01053"/>
    <w:rsid w:val="00E07ACF"/>
    <w:rsid w:val="00E114FD"/>
    <w:rsid w:val="00E25D6B"/>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5696"/>
    <w:rsid w:val="00EF77C6"/>
    <w:rsid w:val="00F02B0F"/>
    <w:rsid w:val="00F05438"/>
    <w:rsid w:val="00F1361C"/>
    <w:rsid w:val="00F160C7"/>
    <w:rsid w:val="00F222A1"/>
    <w:rsid w:val="00F32E9D"/>
    <w:rsid w:val="00F36D8F"/>
    <w:rsid w:val="00F417B1"/>
    <w:rsid w:val="00F602DF"/>
    <w:rsid w:val="00F815DB"/>
    <w:rsid w:val="00F81FD9"/>
    <w:rsid w:val="00F841AA"/>
    <w:rsid w:val="00FA23E8"/>
    <w:rsid w:val="00FC0D7B"/>
    <w:rsid w:val="00FD3CC1"/>
    <w:rsid w:val="00FD4A6A"/>
    <w:rsid w:val="00FF1E02"/>
    <w:rsid w:val="00FF30B4"/>
    <w:rsid w:val="00FF5ECA"/>
    <w:rsid w:val="07970D1D"/>
    <w:rsid w:val="10C055FF"/>
    <w:rsid w:val="16BB723D"/>
    <w:rsid w:val="1BF15163"/>
    <w:rsid w:val="1E147BE1"/>
    <w:rsid w:val="240371BF"/>
    <w:rsid w:val="29FD04D3"/>
    <w:rsid w:val="30EC30DA"/>
    <w:rsid w:val="319F7F4E"/>
    <w:rsid w:val="39233B37"/>
    <w:rsid w:val="409501C5"/>
    <w:rsid w:val="48384D73"/>
    <w:rsid w:val="510B3548"/>
    <w:rsid w:val="53C52CC6"/>
    <w:rsid w:val="635069F3"/>
    <w:rsid w:val="706F3CCA"/>
    <w:rsid w:val="71582E5F"/>
    <w:rsid w:val="7F263C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uiPriority w:val="99"/>
    <w:pPr>
      <w:jc w:val="left"/>
    </w:pPr>
    <w:rPr>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9BB61-4E9A-4018-BAED-C7774D8809E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1789</Words>
  <Characters>10203</Characters>
  <Lines>85</Lines>
  <Paragraphs>23</Paragraphs>
  <TotalTime>1</TotalTime>
  <ScaleCrop>false</ScaleCrop>
  <LinksUpToDate>false</LinksUpToDate>
  <CharactersWithSpaces>11969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2020-09-17T01:24:00Z</dcterms:created>
  <dc:creator>张彬茜</dc:creator>
  <cp:lastModifiedBy>相识是缘</cp:lastModifiedBy>
  <cp:lastPrinted>2020-09-01T03:32:00Z</cp:lastPrinted>
  <dcterms:modified xsi:type="dcterms:W3CDTF">2020-09-18T02:26:34Z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