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56"/>
          <w:szCs w:val="56"/>
        </w:rPr>
      </w:pPr>
    </w:p>
    <w:bookmarkEnd w:id="0"/>
    <w:p>
      <w:pPr>
        <w:adjustRightInd w:val="0"/>
        <w:snapToGrid w:val="0"/>
        <w:spacing w:line="360" w:lineRule="auto"/>
        <w:jc w:val="center"/>
        <w:outlineLvl w:val="0"/>
        <w:rPr>
          <w:rFonts w:ascii="方正小标宋简体" w:hAnsi="宋体" w:eastAsia="方正小标宋简体"/>
          <w:sz w:val="56"/>
          <w:szCs w:val="56"/>
        </w:rPr>
      </w:pPr>
      <w:bookmarkStart w:id="1" w:name="_Toc15396597"/>
      <w:bookmarkStart w:id="2" w:name="_Toc15378441"/>
      <w:bookmarkStart w:id="3" w:name="_Toc15396475"/>
      <w:bookmarkStart w:id="4" w:name="_Toc15377193"/>
      <w:bookmarkStart w:id="5" w:name="_Toc19089858"/>
      <w:bookmarkStart w:id="6" w:name="_Toc15377425"/>
      <w:r>
        <w:rPr>
          <w:rFonts w:ascii="黑体" w:hAnsi="黑体" w:eastAsia="黑体"/>
          <w:sz w:val="56"/>
          <w:szCs w:val="56"/>
        </w:rPr>
        <w:t>201</w:t>
      </w:r>
      <w:r>
        <w:rPr>
          <w:rFonts w:hint="eastAsia" w:ascii="黑体" w:hAnsi="黑体" w:eastAsia="黑体"/>
          <w:sz w:val="56"/>
          <w:szCs w:val="56"/>
        </w:rPr>
        <w:t>9</w:t>
      </w:r>
      <w:r>
        <w:rPr>
          <w:rFonts w:hint="eastAsia" w:ascii="方正小标宋简体" w:hAnsi="宋体" w:eastAsia="方正小标宋简体"/>
          <w:sz w:val="56"/>
          <w:szCs w:val="56"/>
        </w:rPr>
        <w:t>年度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sz w:val="56"/>
          <w:szCs w:val="56"/>
        </w:rPr>
      </w:pPr>
      <w:bookmarkStart w:id="7" w:name="_Toc19089859"/>
      <w:bookmarkStart w:id="8" w:name="_Toc15377426"/>
      <w:bookmarkStart w:id="9" w:name="_Toc15396476"/>
      <w:bookmarkStart w:id="10" w:name="_Toc15377194"/>
      <w:bookmarkStart w:id="11" w:name="_Toc15396598"/>
      <w:bookmarkStart w:id="12" w:name="_Toc15378442"/>
      <w:r>
        <w:rPr>
          <w:rFonts w:hint="eastAsia" w:ascii="方正小标宋简体" w:hAnsi="宋体" w:eastAsia="方正小标宋简体"/>
          <w:sz w:val="56"/>
          <w:szCs w:val="56"/>
        </w:rPr>
        <w:t>四川省</w:t>
      </w:r>
      <w:bookmarkStart w:id="13" w:name="_Toc15306268"/>
      <w:r>
        <w:rPr>
          <w:rFonts w:hint="eastAsia" w:ascii="方正小标宋简体" w:hAnsi="宋体" w:eastAsia="方正小标宋简体"/>
          <w:sz w:val="56"/>
          <w:szCs w:val="56"/>
        </w:rPr>
        <w:t>广元市利州区</w:t>
      </w:r>
      <w:bookmarkEnd w:id="7"/>
      <w:r>
        <w:rPr>
          <w:rFonts w:hint="eastAsia" w:ascii="方正小标宋简体" w:hAnsi="宋体" w:eastAsia="方正小标宋简体"/>
          <w:sz w:val="56"/>
          <w:szCs w:val="56"/>
        </w:rPr>
        <w:t>青少年校外</w:t>
      </w:r>
    </w:p>
    <w:p>
      <w:pPr>
        <w:adjustRightInd w:val="0"/>
        <w:snapToGrid w:val="0"/>
        <w:spacing w:line="360" w:lineRule="auto"/>
        <w:jc w:val="center"/>
        <w:outlineLvl w:val="0"/>
        <w:rPr>
          <w:rFonts w:ascii="方正小标宋简体" w:hAnsi="宋体" w:eastAsia="方正小标宋简体"/>
          <w:sz w:val="56"/>
          <w:szCs w:val="56"/>
        </w:rPr>
      </w:pPr>
      <w:r>
        <w:rPr>
          <w:rFonts w:hint="eastAsia" w:ascii="方正小标宋简体" w:hAnsi="宋体" w:eastAsia="方正小标宋简体"/>
          <w:sz w:val="56"/>
          <w:szCs w:val="56"/>
        </w:rPr>
        <w:t>活动中心</w:t>
      </w:r>
      <w:bookmarkStart w:id="14" w:name="_Toc19089860"/>
      <w:r>
        <w:rPr>
          <w:rFonts w:hint="eastAsia" w:ascii="方正小标宋简体" w:hAnsi="宋体" w:eastAsia="方正小标宋简体"/>
          <w:sz w:val="56"/>
          <w:szCs w:val="56"/>
        </w:rPr>
        <w:t>部门决算</w:t>
      </w:r>
      <w:bookmarkEnd w:id="8"/>
      <w:bookmarkEnd w:id="9"/>
      <w:bookmarkEnd w:id="10"/>
      <w:bookmarkEnd w:id="11"/>
      <w:bookmarkEnd w:id="12"/>
      <w:bookmarkEnd w:id="13"/>
      <w:bookmarkEnd w:id="14"/>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黑体" w:hAnsi="黑体" w:eastAsia="黑体"/>
          <w:sz w:val="28"/>
          <w:szCs w:val="28"/>
        </w:rPr>
      </w:pPr>
    </w:p>
    <w:p>
      <w:pPr>
        <w:keepNext w:val="0"/>
        <w:keepLines w:val="0"/>
        <w:pageBreakBefore w:val="0"/>
        <w:widowControl/>
        <w:kinsoku/>
        <w:wordWrap/>
        <w:overflowPunct/>
        <w:topLinePunct w:val="0"/>
        <w:autoSpaceDE/>
        <w:autoSpaceDN/>
        <w:bidi w:val="0"/>
        <w:adjustRightInd/>
        <w:snapToGrid w:val="0"/>
        <w:spacing w:line="560" w:lineRule="exact"/>
        <w:textAlignment w:val="auto"/>
        <w:rPr>
          <w:rFonts w:ascii="仿宋" w:hAnsi="仿宋" w:eastAsia="仿宋"/>
          <w:sz w:val="28"/>
          <w:szCs w:val="28"/>
        </w:rPr>
      </w:pPr>
      <w:r>
        <w:rPr>
          <w:rFonts w:hint="eastAsia" w:ascii="黑体" w:hAnsi="黑体" w:eastAsia="黑体"/>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sz w:val="28"/>
          <w:szCs w:val="28"/>
        </w:rPr>
      </w:pPr>
      <w:r>
        <w:rPr>
          <w:rFonts w:hint="eastAsia" w:ascii="黑体" w:hAnsi="黑体" w:eastAsia="黑体"/>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sz w:val="28"/>
          <w:szCs w:val="28"/>
        </w:rPr>
      </w:pPr>
      <w:r>
        <w:rPr>
          <w:rFonts w:hint="eastAsia" w:ascii="黑体" w:hAnsi="黑体" w:eastAsia="黑体"/>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sz w:val="28"/>
          <w:szCs w:val="28"/>
        </w:rPr>
      </w:pPr>
      <w:r>
        <w:rPr>
          <w:rFonts w:hint="eastAsia" w:ascii="黑体" w:hAnsi="黑体" w:eastAsia="黑体"/>
          <w:sz w:val="28"/>
          <w:szCs w:val="28"/>
        </w:rPr>
        <w:t>第四部分 附件</w:t>
      </w:r>
      <w:r>
        <w:rPr>
          <w:rFonts w:hint="eastAsia" w:ascii="黑体" w:hAnsi="黑体" w:eastAsia="黑体"/>
          <w:sz w:val="28"/>
          <w:szCs w:val="28"/>
        </w:rPr>
        <w:tab/>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附件1 2019年部门整体支出绩效评价报告</w:t>
      </w: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sz w:val="28"/>
          <w:szCs w:val="28"/>
        </w:rPr>
      </w:pPr>
      <w:r>
        <w:rPr>
          <w:rFonts w:hint="eastAsia" w:ascii="黑体" w:hAnsi="黑体" w:eastAsia="黑体"/>
          <w:sz w:val="28"/>
          <w:szCs w:val="28"/>
        </w:rPr>
        <w:t>第五部分 附表</w:t>
      </w:r>
      <w:r>
        <w:rPr>
          <w:rFonts w:hint="eastAsia" w:ascii="仿宋" w:hAnsi="仿宋" w:eastAsia="仿宋"/>
          <w:sz w:val="28"/>
          <w:szCs w:val="28"/>
        </w:rPr>
        <w:tab/>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二、收入总表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三、支出总表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十三、国有资本经营预算支出决算表</w:t>
      </w:r>
    </w:p>
    <w:p>
      <w:pPr>
        <w:widowControl/>
        <w:jc w:val="center"/>
        <w:rPr>
          <w:rFonts w:ascii="黑体" w:hAnsi="黑体" w:eastAsia="黑体"/>
          <w:sz w:val="48"/>
          <w:szCs w:val="48"/>
        </w:rPr>
      </w:pP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hint="eastAsia" w:ascii="黑体" w:hAnsi="黑体" w:eastAsia="黑体"/>
          <w:b w:val="0"/>
        </w:rPr>
        <w:sectPr>
          <w:headerReference r:id="rId3" w:type="default"/>
          <w:footerReference r:id="rId4" w:type="default"/>
          <w:pgSz w:w="11906" w:h="16838"/>
          <w:pgMar w:top="1701" w:right="1474" w:bottom="1701" w:left="1587" w:header="851" w:footer="992" w:gutter="0"/>
          <w:pgNumType w:start="1"/>
          <w:cols w:space="425" w:num="1"/>
          <w:titlePg/>
          <w:docGrid w:type="lines" w:linePitch="312" w:charSpace="0"/>
        </w:sectPr>
      </w:pPr>
      <w:bookmarkStart w:id="15" w:name="_Toc19089861"/>
      <w:bookmarkStart w:id="16" w:name="_Toc15377196"/>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adjustRightInd/>
        <w:snapToGrid w:val="0"/>
        <w:spacing w:before="0" w:after="0" w:line="500" w:lineRule="exact"/>
        <w:ind w:firstLine="560" w:firstLineChars="200"/>
        <w:textAlignment w:val="auto"/>
        <w:rPr>
          <w:rStyle w:val="25"/>
          <w:rFonts w:ascii="仿宋" w:hAnsi="仿宋" w:eastAsia="仿宋"/>
          <w:b w:val="0"/>
          <w:bCs w:val="0"/>
          <w:sz w:val="28"/>
          <w:szCs w:val="28"/>
        </w:rPr>
      </w:pPr>
      <w:bookmarkStart w:id="17" w:name="_Toc19089862"/>
      <w:bookmarkStart w:id="18" w:name="_Toc15377197"/>
      <w:r>
        <w:rPr>
          <w:rFonts w:hint="eastAsia" w:ascii="黑体" w:hAnsi="黑体" w:eastAsia="黑体"/>
          <w:b w:val="0"/>
          <w:sz w:val="28"/>
          <w:szCs w:val="28"/>
        </w:rPr>
        <w:t>一、基</w:t>
      </w:r>
      <w:r>
        <w:rPr>
          <w:rStyle w:val="25"/>
          <w:rFonts w:hint="eastAsia" w:ascii="黑体" w:hAnsi="黑体" w:eastAsia="黑体"/>
          <w:b w:val="0"/>
          <w:bCs w:val="0"/>
          <w:sz w:val="28"/>
          <w:szCs w:val="28"/>
        </w:rPr>
        <w:t>本职能及主要工作</w:t>
      </w:r>
      <w:bookmarkEnd w:id="17"/>
      <w:bookmarkEnd w:id="18"/>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楷体" w:hAnsi="楷体" w:eastAsia="楷体" w:cs="楷体"/>
          <w:bCs/>
          <w:sz w:val="28"/>
          <w:szCs w:val="28"/>
        </w:rPr>
      </w:pPr>
      <w:bookmarkStart w:id="19" w:name="_Toc15378445"/>
      <w:bookmarkStart w:id="20" w:name="_Toc15377198"/>
      <w:bookmarkStart w:id="21" w:name="_Toc15377204"/>
      <w:r>
        <w:rPr>
          <w:rFonts w:hint="eastAsia" w:ascii="楷体" w:hAnsi="楷体" w:eastAsia="楷体" w:cs="楷体"/>
          <w:bCs/>
          <w:sz w:val="28"/>
          <w:szCs w:val="28"/>
        </w:rPr>
        <w:t>（一）主要职能</w:t>
      </w:r>
      <w:bookmarkEnd w:id="19"/>
      <w:bookmarkEnd w:id="20"/>
      <w:bookmarkStart w:id="22" w:name="_Toc15377199"/>
      <w:bookmarkStart w:id="23" w:name="_Toc15378446"/>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 xml:space="preserve">1. </w:t>
      </w:r>
      <w:r>
        <w:rPr>
          <w:rFonts w:ascii="仿宋" w:hAnsi="仿宋" w:eastAsia="仿宋"/>
          <w:sz w:val="28"/>
          <w:szCs w:val="28"/>
        </w:rPr>
        <w:t>贯彻执行党和国家关于教育改革和发展的各项方针、政策。</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 实施中、小学义务教育，促进基础教育发展初中、小学学历教育。</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3. 以习近平新时代中国特色社会主义思想为指导，大力推动活动中心党建工作。</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 xml:space="preserve">4. </w:t>
      </w:r>
      <w:r>
        <w:rPr>
          <w:rFonts w:ascii="仿宋" w:hAnsi="仿宋" w:eastAsia="仿宋"/>
          <w:sz w:val="28"/>
          <w:szCs w:val="28"/>
        </w:rPr>
        <w:t>负责</w:t>
      </w:r>
      <w:r>
        <w:rPr>
          <w:rFonts w:hint="eastAsia" w:ascii="仿宋" w:hAnsi="仿宋" w:eastAsia="仿宋"/>
          <w:sz w:val="28"/>
          <w:szCs w:val="28"/>
        </w:rPr>
        <w:t>单位</w:t>
      </w:r>
      <w:r>
        <w:rPr>
          <w:rFonts w:ascii="仿宋" w:hAnsi="仿宋" w:eastAsia="仿宋"/>
          <w:sz w:val="28"/>
          <w:szCs w:val="28"/>
        </w:rPr>
        <w:t>教育经费的</w:t>
      </w:r>
      <w:r>
        <w:rPr>
          <w:rFonts w:hint="eastAsia" w:ascii="仿宋" w:hAnsi="仿宋" w:eastAsia="仿宋"/>
          <w:sz w:val="28"/>
          <w:szCs w:val="28"/>
        </w:rPr>
        <w:t>管理</w:t>
      </w:r>
      <w:r>
        <w:rPr>
          <w:rFonts w:ascii="仿宋" w:hAnsi="仿宋" w:eastAsia="仿宋"/>
          <w:sz w:val="28"/>
          <w:szCs w:val="28"/>
        </w:rPr>
        <w:t>，</w:t>
      </w:r>
      <w:r>
        <w:rPr>
          <w:rFonts w:hint="eastAsia" w:ascii="仿宋" w:hAnsi="仿宋" w:eastAsia="仿宋"/>
          <w:sz w:val="28"/>
          <w:szCs w:val="28"/>
        </w:rPr>
        <w:t>保证中小学正常运转，用于教学活动和后勤服务等方面开支</w:t>
      </w:r>
      <w:r>
        <w:rPr>
          <w:rFonts w:ascii="仿宋" w:hAnsi="仿宋" w:eastAsia="仿宋"/>
          <w:sz w:val="28"/>
          <w:szCs w:val="28"/>
        </w:rPr>
        <w:t>。</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5. 加强队伍建设，转变工作作风。</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6. 构建发展平台，引领教师专业发展。</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7. 深化常规管理，提高教育教学质量。</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8. 深化常规管理，提高教育教学质量。</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9. 强化安全意识，打造平安和谐校园。</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楷体_GB2312" w:hAnsi="仿宋" w:eastAsia="楷体_GB2312"/>
          <w:color w:val="000000"/>
          <w:spacing w:val="-6"/>
          <w:kern w:val="1"/>
          <w:sz w:val="28"/>
          <w:szCs w:val="28"/>
        </w:rPr>
      </w:pPr>
      <w:r>
        <w:rPr>
          <w:rFonts w:hint="eastAsia" w:ascii="仿宋" w:hAnsi="仿宋" w:eastAsia="仿宋"/>
          <w:sz w:val="28"/>
          <w:szCs w:val="28"/>
        </w:rPr>
        <w:t>10. 紧跟时代步伐，发挥工会职能，增进民生福祉。</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11. 精准帮扶尽锐出战，关爱惠民传递温暖。</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（二）2019年重点工作完成情况</w:t>
      </w:r>
      <w:bookmarkEnd w:id="22"/>
      <w:bookmarkEnd w:id="23"/>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一、全面深入学习贯彻落实党的十九大各项会议和省第十一次党代会精神，以习近平新时代中国特色社会主义思想为指导，大力推动活动中心党建工作。</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1.深入研究推进一个理念下的管理模式即党总支领导下的主任负责制，完善相关制度。</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2.铸品牌，亮特色。以“一辅导站一品牌，一站点一特色”的党建思路，创新开展工作。</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3.以习近平新时代中国特色社会主义思想为指导，加强活动中心党风廉政工作。</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二、打造学习型的班子，加强班子成员的学习，打造一支能干事、会干事、干成事的管理队伍。</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1.强抓师德师风建设，不断提高教师修养。</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2.开展好辅导教师聘任工作。</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3.鼓励教师积极参加各级各类专业培训。</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4.为中青年骨干教师发展搭建提升平台。</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三、深化常规管理，提高教育教学质量</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 推进“三项改革”。</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 抓好教学常规管理。</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3.深入开展减负增效提质工程。</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4.全力做好小升初及中考备考、考试工作。</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四、深化常规管理，提高教育教学质量</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1.加强教研组建设。管理、指导各教研组每周定时定点开展教研例会，形成浓郁的教学研讨氛围。</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2.开展校本课程研究。</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五、创新德育形式，促进学生全面发展。</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以学生日常行为规范达标为手段，以爱国主义、集体主义和社会主义教育为主线，以创建“书香校园”、“和谐校园”、“文明校园”为载体，以法制教育、诚信教育、国防教育、行为习惯养成教育、心理健康教育为抓手，进一步培养学生的良好的思想道德品质。</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2.狠抓德育队伍建设，拓展德育渠道，形成全员育人格局。</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六、强化安全意识，打造平安和谐校园。</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1.强化管理，建立三级安保体系。</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仿宋" w:hAnsi="仿宋" w:eastAsia="仿宋"/>
          <w:sz w:val="28"/>
          <w:szCs w:val="28"/>
        </w:rPr>
      </w:pPr>
      <w:r>
        <w:rPr>
          <w:rFonts w:hint="eastAsia" w:ascii="仿宋" w:hAnsi="仿宋" w:eastAsia="仿宋"/>
          <w:sz w:val="28"/>
          <w:szCs w:val="28"/>
        </w:rPr>
        <w:t>2.细化措施，健全三类制度。</w:t>
      </w:r>
    </w:p>
    <w:p>
      <w:pPr>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楷体_GB2312" w:hAnsi="仿宋" w:eastAsia="楷体_GB2312"/>
          <w:color w:val="000000"/>
          <w:spacing w:val="-6"/>
          <w:kern w:val="1"/>
          <w:sz w:val="30"/>
          <w:szCs w:val="30"/>
        </w:rPr>
      </w:pPr>
      <w:r>
        <w:rPr>
          <w:rFonts w:hint="eastAsia" w:ascii="仿宋" w:hAnsi="仿宋" w:eastAsia="仿宋"/>
          <w:sz w:val="28"/>
          <w:szCs w:val="28"/>
        </w:rPr>
        <w:t>3.加强教育，用好三个平台。</w:t>
      </w:r>
    </w:p>
    <w:p>
      <w:pPr>
        <w:rPr>
          <w:rFonts w:hint="eastAsia" w:ascii="黑体" w:hAnsi="黑体" w:eastAsia="黑体"/>
          <w:b w:val="0"/>
        </w:rPr>
      </w:pPr>
      <w:bookmarkStart w:id="24" w:name="_Toc19089864"/>
      <w:r>
        <w:rPr>
          <w:rFonts w:hint="eastAsia" w:ascii="黑体" w:hAnsi="黑体" w:eastAsia="黑体"/>
          <w:b w:val="0"/>
        </w:rPr>
        <w:br w:type="page"/>
      </w:r>
    </w:p>
    <w:p>
      <w:pPr>
        <w:pStyle w:val="2"/>
        <w:ind w:right="25" w:rightChars="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rPr>
        <w:t>第二部分</w:t>
      </w:r>
      <w:r>
        <w:rPr>
          <w:rFonts w:hint="eastAsia" w:ascii="方正小标宋简体" w:hAnsi="方正小标宋简体" w:eastAsia="方正小标宋简体" w:cs="方正小标宋简体"/>
        </w:rPr>
        <w:t xml:space="preserve"> </w:t>
      </w:r>
      <w:r>
        <w:rPr>
          <w:rStyle w:val="24"/>
          <w:rFonts w:hint="eastAsia" w:ascii="方正小标宋简体" w:hAnsi="方正小标宋简体" w:eastAsia="方正小标宋简体" w:cs="方正小标宋简体"/>
          <w:b w:val="0"/>
          <w:bCs w:val="0"/>
        </w:rPr>
        <w:t>2019年度部门决算情况说明</w:t>
      </w:r>
      <w:bookmarkEnd w:id="21"/>
      <w:bookmarkEnd w:id="24"/>
    </w:p>
    <w:p>
      <w:pPr>
        <w:pStyle w:val="23"/>
        <w:keepNext w:val="0"/>
        <w:keepLines w:val="0"/>
        <w:pageBreakBefore w:val="0"/>
        <w:widowControl w:val="0"/>
        <w:numPr>
          <w:ilvl w:val="0"/>
          <w:numId w:val="1"/>
        </w:numPr>
        <w:kinsoku/>
        <w:wordWrap/>
        <w:overflowPunct/>
        <w:topLinePunct w:val="0"/>
        <w:bidi w:val="0"/>
        <w:snapToGrid w:val="0"/>
        <w:spacing w:line="360" w:lineRule="auto"/>
        <w:ind w:firstLineChars="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25" w:name="_Toc15377205"/>
      <w:bookmarkStart w:id="26" w:name="_Toc19089865"/>
      <w:r>
        <w:rPr>
          <w:rFonts w:hint="eastAsia" w:ascii="黑体" w:hAnsi="黑体" w:eastAsia="黑体"/>
          <w:b w:val="0"/>
          <w:bCs w:val="0"/>
          <w:color w:val="000000" w:themeColor="text1"/>
          <w:sz w:val="28"/>
          <w:szCs w:val="28"/>
          <w14:textFill>
            <w14:solidFill>
              <w14:schemeClr w14:val="tx1"/>
            </w14:solidFill>
          </w14:textFill>
        </w:rPr>
        <w:t>收</w:t>
      </w:r>
      <w:r>
        <w:rPr>
          <w:rStyle w:val="25"/>
          <w:rFonts w:hint="eastAsia" w:ascii="黑体" w:hAnsi="黑体" w:eastAsia="黑体"/>
          <w:b w:val="0"/>
          <w:bCs w:val="0"/>
          <w:color w:val="000000" w:themeColor="text1"/>
          <w:sz w:val="28"/>
          <w:szCs w:val="28"/>
          <w14:textFill>
            <w14:solidFill>
              <w14:schemeClr w14:val="tx1"/>
            </w14:solidFill>
          </w14:textFill>
        </w:rPr>
        <w:t>入支出决算总体情况说明</w:t>
      </w:r>
      <w:bookmarkEnd w:id="25"/>
      <w:bookmarkEnd w:id="26"/>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2019年度利州区青少年校外活动中心收入总计958.56万元，与2018年相比（588.57万元），收入总计增加369.99万元，增涨62.86%。收入主要变动原因2019年因辅导站增加到15个，参与培训的学生增加，其他收入增加了300多万。</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2019年度支出合计927.63万元，与2018年相比（588.57万元），支出增加339.06万元，增加57.60%。支出主要变动原因2019年因辅导站增加到15个，参与培训的学生增加，辅导教师工资和辅导站耗材设备采购增加了。</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（图1：收、支决算总计变动情况图）（柱状图）</w:t>
      </w:r>
    </w:p>
    <w:p>
      <w:pPr>
        <w:keepNext w:val="0"/>
        <w:keepLines w:val="0"/>
        <w:pageBreakBefore w:val="0"/>
        <w:widowControl w:val="0"/>
        <w:kinsoku/>
        <w:wordWrap/>
        <w:overflowPunct/>
        <w:topLinePunct w:val="0"/>
        <w:bidi w:val="0"/>
        <w:snapToGrid w:val="0"/>
        <w:spacing w:line="360" w:lineRule="auto"/>
        <w:ind w:firstLine="560" w:firstLineChars="200"/>
        <w:jc w:val="left"/>
        <w:textAlignment w:val="auto"/>
        <w:rPr>
          <w:rStyle w:val="25"/>
          <w:rFonts w:hint="eastAsia" w:ascii="黑体" w:hAnsi="黑体" w:eastAsia="黑体" w:cs="黑体"/>
          <w:b w:val="0"/>
          <w:bCs w:val="0"/>
          <w:color w:val="000000" w:themeColor="text1"/>
          <w:sz w:val="28"/>
          <w:szCs w:val="28"/>
          <w14:textFill>
            <w14:solidFill>
              <w14:schemeClr w14:val="tx1"/>
            </w14:solidFill>
          </w14:textFill>
        </w:rPr>
      </w:pPr>
      <w:bookmarkStart w:id="27" w:name="_Toc15377206"/>
      <w:r>
        <w:rPr>
          <w:rFonts w:hint="eastAsia" w:ascii="黑体" w:hAnsi="黑体" w:eastAsia="黑体" w:cs="黑体"/>
          <w:b w:val="0"/>
          <w:bCs w:val="0"/>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s="黑体"/>
          <w:b w:val="0"/>
          <w:bCs w:val="0"/>
          <w:color w:val="000000" w:themeColor="text1"/>
          <w:sz w:val="28"/>
          <w:szCs w:val="28"/>
          <w14:textFill>
            <w14:solidFill>
              <w14:schemeClr w14:val="tx1"/>
            </w14:solidFill>
          </w14:textFill>
        </w:rPr>
        <w:t>二、收</w:t>
      </w:r>
      <w:r>
        <w:rPr>
          <w:rStyle w:val="25"/>
          <w:rFonts w:hint="eastAsia" w:ascii="黑体" w:hAnsi="黑体" w:eastAsia="黑体" w:cs="黑体"/>
          <w:b w:val="0"/>
          <w:bCs w:val="0"/>
          <w:color w:val="000000" w:themeColor="text1"/>
          <w:sz w:val="28"/>
          <w:szCs w:val="28"/>
          <w14:textFill>
            <w14:solidFill>
              <w14:schemeClr w14:val="tx1"/>
            </w14:solidFill>
          </w14:textFill>
        </w:rPr>
        <w:t>入决算情况说明</w:t>
      </w:r>
      <w:bookmarkEnd w:id="27"/>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1、教育经费财政拨款收入69.89万元，占总收入的7.3%。年初下达经费预算指标：24.35元；年末追加教育经费45.54万元，其中：人员政策性经费 25.51元 ，创客项目38.00万元,养老保险改革2.8万元，医保及公积金3.57万元。</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2、其他收入888.67万元，占总收入的92.7%。其中：利息收入0.67万元，培训费收入888.00万元。</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（图2：收入决算结构图）（饼状图）</w:t>
      </w:r>
    </w:p>
    <w:p>
      <w:pPr>
        <w:keepNext w:val="0"/>
        <w:keepLines w:val="0"/>
        <w:pageBreakBefore w:val="0"/>
        <w:widowControl w:val="0"/>
        <w:kinsoku/>
        <w:wordWrap/>
        <w:overflowPunct/>
        <w:topLinePunct w:val="0"/>
        <w:bidi w:val="0"/>
        <w:snapToGrid w:val="0"/>
        <w:spacing w:line="360" w:lineRule="auto"/>
        <w:ind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28" w:name="_Toc15377207"/>
      <w:bookmarkStart w:id="29" w:name="_Toc19089867"/>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111760</wp:posOffset>
            </wp:positionH>
            <wp:positionV relativeFrom="paragraph">
              <wp:posOffset>58420</wp:posOffset>
            </wp:positionV>
            <wp:extent cx="5274310" cy="2581275"/>
            <wp:effectExtent l="4445" t="4445" r="17145"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b w:val="0"/>
          <w:bCs w:val="0"/>
          <w:color w:val="000000" w:themeColor="text1"/>
          <w:sz w:val="28"/>
          <w:szCs w:val="28"/>
          <w14:textFill>
            <w14:solidFill>
              <w14:schemeClr w14:val="tx1"/>
            </w14:solidFill>
          </w14:textFill>
        </w:rPr>
        <w:t>三、支</w:t>
      </w:r>
      <w:r>
        <w:rPr>
          <w:rStyle w:val="25"/>
          <w:rFonts w:hint="eastAsia" w:ascii="黑体" w:hAnsi="黑体" w:eastAsia="黑体"/>
          <w:b w:val="0"/>
          <w:bCs w:val="0"/>
          <w:color w:val="000000" w:themeColor="text1"/>
          <w:sz w:val="28"/>
          <w:szCs w:val="28"/>
          <w14:textFill>
            <w14:solidFill>
              <w14:schemeClr w14:val="tx1"/>
            </w14:solidFill>
          </w14:textFill>
        </w:rPr>
        <w:t>出决算情况说明</w:t>
      </w:r>
      <w:bookmarkEnd w:id="28"/>
      <w:bookmarkEnd w:id="29"/>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基本支出：927.63万元占总支出的100%。</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14:textFill>
            <w14:solidFill>
              <w14:schemeClr w14:val="tx1"/>
            </w14:solidFill>
          </w14:textFill>
        </w:rPr>
        <w:t>其中：工资福利支出为28.11万元；占支出的4.7%;商品和服务支出为743.80万元,占支出的81.9%;其他资本性支出155.714万元，占支出的13.39%。</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-41275</wp:posOffset>
            </wp:positionH>
            <wp:positionV relativeFrom="paragraph">
              <wp:posOffset>250190</wp:posOffset>
            </wp:positionV>
            <wp:extent cx="5274310" cy="2657475"/>
            <wp:effectExtent l="4445" t="4445" r="17145" b="50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b w:val="0"/>
          <w:bCs w:val="0"/>
          <w:color w:val="000000" w:themeColor="text1"/>
          <w:sz w:val="28"/>
          <w:szCs w:val="28"/>
          <w14:textFill>
            <w14:solidFill>
              <w14:schemeClr w14:val="tx1"/>
            </w14:solidFill>
          </w14:textFill>
        </w:rPr>
        <w:t>（图3：支出决算结构图）（饼状图）</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_GB2312" w:eastAsia="仿宋_GB2312"/>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30" w:name="_Toc19089868"/>
      <w:bookmarkStart w:id="31" w:name="_Toc15377208"/>
      <w:r>
        <w:rPr>
          <w:rFonts w:hint="eastAsia" w:ascii="黑体" w:hAnsi="黑体" w:eastAsia="黑体"/>
          <w:b w:val="0"/>
          <w:bCs w:val="0"/>
          <w:color w:val="000000" w:themeColor="text1"/>
          <w:sz w:val="28"/>
          <w:szCs w:val="28"/>
          <w14:textFill>
            <w14:solidFill>
              <w14:schemeClr w14:val="tx1"/>
            </w14:solidFill>
          </w14:textFill>
        </w:rPr>
        <w:t>四、财</w:t>
      </w:r>
      <w:r>
        <w:rPr>
          <w:rStyle w:val="25"/>
          <w:rFonts w:hint="eastAsia" w:ascii="黑体" w:hAnsi="黑体" w:eastAsia="黑体"/>
          <w:b w:val="0"/>
          <w:bCs w:val="0"/>
          <w:color w:val="000000" w:themeColor="text1"/>
          <w:sz w:val="28"/>
          <w:szCs w:val="28"/>
          <w14:textFill>
            <w14:solidFill>
              <w14:schemeClr w14:val="tx1"/>
            </w14:solidFill>
          </w14:textFill>
        </w:rPr>
        <w:t>政拨款收入支出决算总体情况说明</w:t>
      </w:r>
      <w:bookmarkEnd w:id="30"/>
      <w:bookmarkEnd w:id="31"/>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_GB2312" w:eastAsia="仿宋_GB2312"/>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2019年财政拨款收入总计69.89万元。与2018年相比（28.78万元），财政拨款收入总计增加41.11万元，增涨142.84%。</w:t>
      </w:r>
      <w:r>
        <w:rPr>
          <w:rFonts w:hint="eastAsia" w:ascii="仿宋_GB2312" w:eastAsia="仿宋_GB2312"/>
          <w:b w:val="0"/>
          <w:bCs w:val="0"/>
          <w:color w:val="000000" w:themeColor="text1"/>
          <w:kern w:val="0"/>
          <w:sz w:val="28"/>
          <w:szCs w:val="28"/>
          <w14:textFill>
            <w14:solidFill>
              <w14:schemeClr w14:val="tx1"/>
            </w14:solidFill>
          </w14:textFill>
        </w:rPr>
        <w:t>主要变动原因1、</w:t>
      </w:r>
      <w:r>
        <w:rPr>
          <w:rFonts w:hint="eastAsia" w:ascii="宋体" w:hAnsi="宋体"/>
          <w:b w:val="0"/>
          <w:bCs w:val="0"/>
          <w:color w:val="000000" w:themeColor="text1"/>
          <w:sz w:val="28"/>
          <w:szCs w:val="28"/>
          <w14:textFill>
            <w14:solidFill>
              <w14:schemeClr w14:val="tx1"/>
            </w14:solidFill>
          </w14:textFill>
        </w:rPr>
        <w:t>人员经费增加 3.11万元 ，占7.56%，创客项目38.00万元,占92.44%。</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（图4：财政拨款收、支决算总计变动情况）（柱状图）</w:t>
      </w:r>
    </w:p>
    <w:p>
      <w:pPr>
        <w:keepNext w:val="0"/>
        <w:keepLines w:val="0"/>
        <w:pageBreakBefore w:val="0"/>
        <w:widowControl w:val="0"/>
        <w:kinsoku/>
        <w:wordWrap/>
        <w:overflowPunct/>
        <w:topLinePunct w:val="0"/>
        <w:bidi w:val="0"/>
        <w:snapToGrid w:val="0"/>
        <w:spacing w:line="360" w:lineRule="auto"/>
        <w:ind w:firstLine="64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bidi w:val="0"/>
        <w:snapToGrid w:val="0"/>
        <w:spacing w:line="360" w:lineRule="auto"/>
        <w:ind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32" w:name="_Toc19089869"/>
      <w:bookmarkStart w:id="33" w:name="_Toc15377209"/>
      <w:r>
        <w:rPr>
          <w:rFonts w:hint="eastAsia" w:ascii="黑体" w:hAnsi="黑体" w:eastAsia="黑体"/>
          <w:b w:val="0"/>
          <w:bCs w:val="0"/>
          <w:color w:val="000000" w:themeColor="text1"/>
          <w:sz w:val="28"/>
          <w:szCs w:val="28"/>
          <w14:textFill>
            <w14:solidFill>
              <w14:schemeClr w14:val="tx1"/>
            </w14:solidFill>
          </w14:textFill>
        </w:rPr>
        <w:t>五、一</w:t>
      </w:r>
      <w:r>
        <w:rPr>
          <w:rStyle w:val="25"/>
          <w:rFonts w:hint="eastAsia" w:ascii="黑体" w:hAnsi="黑体" w:eastAsia="黑体"/>
          <w:b w:val="0"/>
          <w:bCs w:val="0"/>
          <w:color w:val="000000" w:themeColor="text1"/>
          <w:sz w:val="28"/>
          <w:szCs w:val="28"/>
          <w14:textFill>
            <w14:solidFill>
              <w14:schemeClr w14:val="tx1"/>
            </w14:solidFill>
          </w14:textFill>
        </w:rPr>
        <w:t>般公共预算财政拨款支出决算情况说明</w:t>
      </w:r>
      <w:bookmarkEnd w:id="32"/>
      <w:bookmarkEnd w:id="33"/>
    </w:p>
    <w:p>
      <w:pPr>
        <w:keepNext w:val="0"/>
        <w:keepLines w:val="0"/>
        <w:pageBreakBefore w:val="0"/>
        <w:widowControl w:val="0"/>
        <w:kinsoku/>
        <w:wordWrap/>
        <w:overflowPunct/>
        <w:topLinePunct w:val="0"/>
        <w:bidi w:val="0"/>
        <w:snapToGrid w:val="0"/>
        <w:spacing w:line="360" w:lineRule="auto"/>
        <w:ind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bookmarkStart w:id="34" w:name="_Toc15377210"/>
      <w:r>
        <w:rPr>
          <w:rFonts w:hint="eastAsia" w:ascii="仿宋" w:hAnsi="仿宋" w:eastAsia="仿宋"/>
          <w:b w:val="0"/>
          <w:bCs w:val="0"/>
          <w:color w:val="000000" w:themeColor="text1"/>
          <w:sz w:val="28"/>
          <w:szCs w:val="28"/>
          <w14:textFill>
            <w14:solidFill>
              <w14:schemeClr w14:val="tx1"/>
            </w14:solidFill>
          </w14:textFill>
        </w:rPr>
        <w:t>（一）一般公共预算财政拨款支出决算总体情况</w:t>
      </w:r>
      <w:bookmarkEnd w:id="34"/>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9年一般公共预算财政拨款支出38.96万元，占本年支出合计（927.63</w:t>
      </w:r>
      <w:r>
        <w:rPr>
          <w:rFonts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14:textFill>
            <w14:solidFill>
              <w14:schemeClr w14:val="tx1"/>
            </w14:solidFill>
          </w14:textFill>
        </w:rPr>
        <w:t>）的4.20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8年相比（28.78万元），一般公共预算财政拨款支出增加41.11万元，增长142.84</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kern w:val="0"/>
          <w:sz w:val="28"/>
          <w:szCs w:val="28"/>
          <w14:textFill>
            <w14:solidFill>
              <w14:schemeClr w14:val="tx1"/>
            </w14:solidFill>
          </w14:textFill>
        </w:rPr>
        <w:t>主要变动原因主要变动原因1、</w:t>
      </w:r>
      <w:r>
        <w:rPr>
          <w:rFonts w:hint="eastAsia" w:ascii="宋体" w:hAnsi="宋体"/>
          <w:b w:val="0"/>
          <w:bCs w:val="0"/>
          <w:color w:val="000000" w:themeColor="text1"/>
          <w:sz w:val="28"/>
          <w:szCs w:val="28"/>
          <w14:textFill>
            <w14:solidFill>
              <w14:schemeClr w14:val="tx1"/>
            </w14:solidFill>
          </w14:textFill>
        </w:rPr>
        <w:t>人员经费增加 3.11万元 ，占7.56%，创客项目380000.00元,占92.44%。</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pPr>
        <w:keepNext w:val="0"/>
        <w:keepLines w:val="0"/>
        <w:pageBreakBefore w:val="0"/>
        <w:widowControl w:val="0"/>
        <w:kinsoku/>
        <w:wordWrap/>
        <w:overflowPunct/>
        <w:topLinePunct w:val="0"/>
        <w:bidi w:val="0"/>
        <w:snapToGrid w:val="0"/>
        <w:spacing w:line="360" w:lineRule="auto"/>
        <w:ind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bookmarkStart w:id="35" w:name="_Toc15377211"/>
      <w:r>
        <w:rPr>
          <w:rFonts w:hint="eastAsia"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72576"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val="0"/>
          <w:bCs w:val="0"/>
          <w:color w:val="000000" w:themeColor="text1"/>
          <w:sz w:val="28"/>
          <w:szCs w:val="28"/>
          <w14:textFill>
            <w14:solidFill>
              <w14:schemeClr w14:val="tx1"/>
            </w14:solidFill>
          </w14:textFill>
        </w:rPr>
        <w:t>（二）一般公共预算财政拨款支出决算结构情况</w:t>
      </w:r>
      <w:bookmarkEnd w:id="35"/>
    </w:p>
    <w:p>
      <w:pPr>
        <w:keepNext w:val="0"/>
        <w:keepLines w:val="0"/>
        <w:pageBreakBefore w:val="0"/>
        <w:widowControl w:val="0"/>
        <w:kinsoku/>
        <w:wordWrap/>
        <w:overflowPunct/>
        <w:topLinePunct w:val="0"/>
        <w:bidi w:val="0"/>
        <w:snapToGrid w:val="0"/>
        <w:spacing w:line="360" w:lineRule="auto"/>
        <w:ind w:firstLine="64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9年一般公共预算财政拨款支出38.96万元，主要用于以下方面</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一般公共服务（类）支出0.00万元，占0.00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；教育支出（类）31.93万元，占81.96%；科学技术（类）支出0.00万元，占0.00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；社会保障和就业（类）3.46万元，占8.88</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；卫生健康（类）支出1.19万元，占3.05%；农林水（类）支出0万元，占0%；住房保障(类)支出2.38万元，占6.10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；其它支出（类）支出0.00万元，占0.00%。</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b w:val="0"/>
          <w:bCs w:val="0"/>
          <w:color w:val="000000" w:themeColor="text1"/>
          <w:sz w:val="28"/>
          <w:szCs w:val="28"/>
          <w14:textFill>
            <w14:solidFill>
              <w14:schemeClr w14:val="tx1"/>
            </w14:solidFill>
          </w14:textFill>
        </w:rPr>
        <w:t>（图6：一般公共预算财政拨款支出决算结构）（饼状图）</w:t>
      </w:r>
    </w:p>
    <w:p>
      <w:pPr>
        <w:keepNext w:val="0"/>
        <w:keepLines w:val="0"/>
        <w:pageBreakBefore w:val="0"/>
        <w:widowControl w:val="0"/>
        <w:kinsoku/>
        <w:wordWrap/>
        <w:overflowPunct/>
        <w:topLinePunct w:val="0"/>
        <w:bidi w:val="0"/>
        <w:snapToGrid w:val="0"/>
        <w:spacing w:line="360" w:lineRule="auto"/>
        <w:textAlignment w:val="auto"/>
        <w:rPr>
          <w:rFonts w:ascii="仿宋" w:hAnsi="仿宋" w:eastAsia="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bookmarkStart w:id="36" w:name="_Toc15377212"/>
      <w:r>
        <w:rPr>
          <w:rFonts w:hint="eastAsia" w:ascii="仿宋" w:hAnsi="仿宋" w:eastAsia="仿宋"/>
          <w:b w:val="0"/>
          <w:bCs w:val="0"/>
          <w:color w:val="000000" w:themeColor="text1"/>
          <w:sz w:val="28"/>
          <w:szCs w:val="28"/>
          <w14:textFill>
            <w14:solidFill>
              <w14:schemeClr w14:val="tx1"/>
            </w14:solidFill>
          </w14:textFill>
        </w:rPr>
        <w:t>（三）一般公共预算财政拨款支出决算具体情况</w:t>
      </w:r>
      <w:bookmarkEnd w:id="36"/>
    </w:p>
    <w:p>
      <w:pPr>
        <w:keepNext w:val="0"/>
        <w:keepLines w:val="0"/>
        <w:pageBreakBefore w:val="0"/>
        <w:widowControl w:val="0"/>
        <w:kinsoku/>
        <w:wordWrap/>
        <w:overflowPunct/>
        <w:topLinePunct w:val="0"/>
        <w:bidi w:val="0"/>
        <w:snapToGrid w:val="0"/>
        <w:spacing w:line="360" w:lineRule="auto"/>
        <w:ind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bookmarkStart w:id="37" w:name="_Toc15377213"/>
      <w:bookmarkStart w:id="38" w:name="_Toc15377444"/>
      <w:bookmarkStart w:id="39" w:name="_Toc15378460"/>
      <w:r>
        <w:rPr>
          <w:rFonts w:hint="eastAsia" w:ascii="仿宋" w:hAnsi="仿宋" w:eastAsia="仿宋"/>
          <w:b w:val="0"/>
          <w:bCs w:val="0"/>
          <w:color w:val="000000" w:themeColor="text1"/>
          <w:sz w:val="28"/>
          <w:szCs w:val="28"/>
          <w14:textFill>
            <w14:solidFill>
              <w14:schemeClr w14:val="tx1"/>
            </w14:solidFill>
          </w14:textFill>
        </w:rPr>
        <w:t>2019年一般公共预算支出决算数为38.96万元，</w:t>
      </w:r>
      <w:r>
        <w:rPr>
          <w:rStyle w:val="14"/>
          <w:rFonts w:hint="eastAsia" w:ascii="仿宋" w:hAnsi="仿宋" w:eastAsia="仿宋"/>
          <w:b w:val="0"/>
          <w:bCs w:val="0"/>
          <w:color w:val="000000" w:themeColor="text1"/>
          <w:sz w:val="28"/>
          <w:szCs w:val="28"/>
          <w14:textFill>
            <w14:solidFill>
              <w14:schemeClr w14:val="tx1"/>
            </w14:solidFill>
          </w14:textFill>
        </w:rPr>
        <w:t>完成预算55.74</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。其中：</w:t>
      </w:r>
      <w:bookmarkEnd w:id="37"/>
      <w:bookmarkEnd w:id="38"/>
      <w:bookmarkEnd w:id="39"/>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4"/>
          <w:rFonts w:ascii="仿宋" w:hAnsi="仿宋" w:eastAsia="仿宋"/>
          <w:b w:val="0"/>
          <w:bCs w:val="0"/>
          <w:color w:val="000000" w:themeColor="text1"/>
          <w:sz w:val="28"/>
          <w:szCs w:val="28"/>
          <w14:textFill>
            <w14:solidFill>
              <w14:schemeClr w14:val="tx1"/>
            </w14:solidFill>
          </w14:textFill>
        </w:rPr>
        <w:t>1.</w:t>
      </w:r>
      <w:r>
        <w:rPr>
          <w:rFonts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（类）教育管理事务（款）行政运行（项）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支出决算数为0万元，完成预算0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560" w:firstLineChars="200"/>
        <w:textAlignment w:val="auto"/>
        <w:rPr>
          <w:rStyle w:val="14"/>
          <w:rFonts w:ascii="仿宋" w:hAnsi="仿宋" w:eastAsia="仿宋"/>
          <w:b w:val="0"/>
          <w:bCs w:val="0"/>
          <w:color w:val="000000" w:themeColor="text1"/>
          <w:sz w:val="28"/>
          <w:szCs w:val="28"/>
          <w14:textFill>
            <w14:solidFill>
              <w14:schemeClr w14:val="tx1"/>
            </w14:solidFill>
          </w14:textFill>
        </w:rPr>
      </w:pPr>
      <w:r>
        <w:rPr>
          <w:rStyle w:val="14"/>
          <w:rFonts w:ascii="仿宋" w:hAnsi="仿宋" w:eastAsia="仿宋"/>
          <w:b w:val="0"/>
          <w:bCs w:val="0"/>
          <w:color w:val="000000" w:themeColor="text1"/>
          <w:sz w:val="28"/>
          <w:szCs w:val="28"/>
          <w14:textFill>
            <w14:solidFill>
              <w14:schemeClr w14:val="tx1"/>
            </w14:solidFill>
          </w14:textFill>
        </w:rPr>
        <w:t>2.</w:t>
      </w:r>
      <w:r>
        <w:rPr>
          <w:rFonts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（类）教育管理事务（款）一般行政管理事务（项）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支出决算数为0万元，完成预算0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560" w:firstLineChars="200"/>
        <w:textAlignment w:val="auto"/>
        <w:rPr>
          <w:rStyle w:val="14"/>
          <w:rFonts w:ascii="仿宋" w:hAnsi="仿宋" w:eastAsia="仿宋"/>
          <w:b w:val="0"/>
          <w:bCs w:val="0"/>
          <w:color w:val="000000" w:themeColor="text1"/>
          <w:sz w:val="28"/>
          <w:szCs w:val="28"/>
          <w14:textFill>
            <w14:solidFill>
              <w14:schemeClr w14:val="tx1"/>
            </w14:solidFill>
          </w14:textFill>
        </w:rPr>
      </w:pPr>
      <w:r>
        <w:rPr>
          <w:rStyle w:val="14"/>
          <w:rFonts w:ascii="仿宋" w:hAnsi="仿宋" w:eastAsia="仿宋"/>
          <w:b w:val="0"/>
          <w:bCs w:val="0"/>
          <w:color w:val="000000" w:themeColor="text1"/>
          <w:sz w:val="28"/>
          <w:szCs w:val="28"/>
          <w14:textFill>
            <w14:solidFill>
              <w14:schemeClr w14:val="tx1"/>
            </w14:solidFill>
          </w14:textFill>
        </w:rPr>
        <w:t xml:space="preserve"> 3.</w:t>
      </w:r>
      <w:r>
        <w:rPr>
          <w:rFonts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（类）教育管理事务（款）其它教育管理事务支出（项）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支出决算数为0万元，完成预算0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4</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（类）普通教育（款）初中教育（项）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支出决算数为27.86万元，完成预算69.89</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5</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（类）普通教育（款）其它普通教育（项）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支出决算数为7.07万元，完成预算18.61</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。决算数小于预算数的主要原因创客项目还未实施完，部分工程要在2020年才能完成。</w:t>
      </w:r>
    </w:p>
    <w:p>
      <w:pPr>
        <w:keepNext w:val="0"/>
        <w:keepLines w:val="0"/>
        <w:pageBreakBefore w:val="0"/>
        <w:widowControl w:val="0"/>
        <w:kinsoku/>
        <w:wordWrap/>
        <w:overflowPunct/>
        <w:topLinePunct w:val="0"/>
        <w:bidi w:val="0"/>
        <w:snapToGrid w:val="0"/>
        <w:spacing w:line="360" w:lineRule="auto"/>
        <w:ind w:firstLine="560" w:firstLineChars="200"/>
        <w:textAlignment w:val="auto"/>
        <w:rPr>
          <w:rStyle w:val="14"/>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6</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4"/>
          <w:rFonts w:hint="eastAsia" w:ascii="仿宋" w:hAnsi="仿宋" w:eastAsia="仿宋"/>
          <w:b w:val="0"/>
          <w:bCs w:val="0"/>
          <w:color w:val="000000" w:themeColor="text1"/>
          <w:sz w:val="28"/>
          <w:szCs w:val="28"/>
          <w14:textFill>
            <w14:solidFill>
              <w14:schemeClr w14:val="tx1"/>
            </w14:solidFill>
          </w14:textFill>
        </w:rPr>
        <w:t>（类）行政事业单位离退休（款）机关事业单位基本养老保险缴费支出（项）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支出决算为3.46万元，完成预算100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560" w:firstLineChars="200"/>
        <w:textAlignment w:val="auto"/>
        <w:rPr>
          <w:rStyle w:val="14"/>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7</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社会保障和就业支出</w:t>
      </w:r>
      <w:r>
        <w:rPr>
          <w:rStyle w:val="14"/>
          <w:rFonts w:hint="eastAsia" w:ascii="仿宋" w:hAnsi="仿宋" w:eastAsia="仿宋"/>
          <w:b w:val="0"/>
          <w:bCs w:val="0"/>
          <w:color w:val="000000" w:themeColor="text1"/>
          <w:sz w:val="28"/>
          <w:szCs w:val="28"/>
          <w14:textFill>
            <w14:solidFill>
              <w14:schemeClr w14:val="tx1"/>
            </w14:solidFill>
          </w14:textFill>
        </w:rPr>
        <w:t>（类）行政事业单位离退休（款）机关事业单位职业年金缴费支出（项）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支出决算为0.0万元，完成预算100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560" w:firstLineChars="200"/>
        <w:textAlignment w:val="auto"/>
        <w:rPr>
          <w:rStyle w:val="14"/>
          <w:rFonts w:hint="eastAsia"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8</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医疗卫生与计划生育</w:t>
      </w:r>
      <w:r>
        <w:rPr>
          <w:rStyle w:val="14"/>
          <w:rFonts w:hint="eastAsia" w:ascii="仿宋" w:hAnsi="仿宋" w:eastAsia="仿宋"/>
          <w:b w:val="0"/>
          <w:bCs w:val="0"/>
          <w:color w:val="000000" w:themeColor="text1"/>
          <w:sz w:val="28"/>
          <w:szCs w:val="28"/>
          <w14:textFill>
            <w14:solidFill>
              <w14:schemeClr w14:val="tx1"/>
            </w14:solidFill>
          </w14:textFill>
        </w:rPr>
        <w:t>（类）行政事业单位医疗（款）事业单位医疗（项）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支出决算为1.19万元，完成预算100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9</w:t>
      </w:r>
      <w:r>
        <w:rPr>
          <w:rStyle w:val="14"/>
          <w:rFonts w:hint="eastAsia" w:ascii="仿宋" w:hAnsi="仿宋" w:eastAsia="仿宋"/>
          <w:b w:val="0"/>
          <w:bCs w:val="0"/>
          <w:color w:val="000000" w:themeColor="text1"/>
          <w:sz w:val="28"/>
          <w:szCs w:val="28"/>
          <w:lang w:val="en-US" w:eastAsia="zh-CN"/>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住房保障支出</w:t>
      </w:r>
      <w:r>
        <w:rPr>
          <w:rStyle w:val="14"/>
          <w:rFonts w:hint="eastAsia" w:ascii="仿宋" w:hAnsi="仿宋" w:eastAsia="仿宋"/>
          <w:b w:val="0"/>
          <w:bCs w:val="0"/>
          <w:color w:val="000000" w:themeColor="text1"/>
          <w:sz w:val="28"/>
          <w:szCs w:val="28"/>
          <w14:textFill>
            <w14:solidFill>
              <w14:schemeClr w14:val="tx1"/>
            </w14:solidFill>
          </w14:textFill>
        </w:rPr>
        <w:t>（类）住房改革支出（款）住房公积金（项）</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支出决算为2.38万元，完成预算100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bidi w:val="0"/>
        <w:snapToGrid w:val="0"/>
        <w:spacing w:line="360" w:lineRule="auto"/>
        <w:ind w:firstLine="640"/>
        <w:textAlignment w:val="auto"/>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（数据来源财决</w:t>
      </w:r>
      <w:r>
        <w:rPr>
          <w:rFonts w:ascii="仿宋" w:hAnsi="仿宋" w:eastAsia="仿宋"/>
          <w:b w:val="0"/>
          <w:bCs w:val="0"/>
          <w:color w:val="000000" w:themeColor="text1"/>
          <w:sz w:val="28"/>
          <w:szCs w:val="28"/>
          <w14:textFill>
            <w14:solidFill>
              <w14:schemeClr w14:val="tx1"/>
            </w14:solidFill>
          </w14:textFill>
        </w:rPr>
        <w:t>08</w:t>
      </w:r>
      <w:r>
        <w:rPr>
          <w:rFonts w:hint="eastAsia" w:ascii="仿宋" w:hAnsi="仿宋" w:eastAsia="仿宋"/>
          <w:b w:val="0"/>
          <w:bCs w:val="0"/>
          <w:color w:val="000000" w:themeColor="text1"/>
          <w:sz w:val="28"/>
          <w:szCs w:val="28"/>
          <w14:textFill>
            <w14:solidFill>
              <w14:schemeClr w14:val="tx1"/>
            </w14:solidFill>
          </w14:textFill>
        </w:rPr>
        <w:t>表，罗列全部功能分类科目至项级。上述“预算”口径为调整预算数。增减变动原因为决算数</w:t>
      </w:r>
      <w:r>
        <w:rPr>
          <w:rFonts w:ascii="仿宋" w:hAnsi="仿宋" w:eastAsia="仿宋"/>
          <w:b w:val="0"/>
          <w:bCs w:val="0"/>
          <w:color w:val="000000" w:themeColor="text1"/>
          <w:sz w:val="28"/>
          <w:szCs w:val="28"/>
          <w14:textFill>
            <w14:solidFill>
              <w14:schemeClr w14:val="tx1"/>
            </w14:solidFill>
          </w14:textFill>
        </w:rPr>
        <w:t>&lt;</w:t>
      </w:r>
      <w:r>
        <w:rPr>
          <w:rFonts w:hint="eastAsia" w:ascii="仿宋" w:hAnsi="仿宋" w:eastAsia="仿宋"/>
          <w:b w:val="0"/>
          <w:bCs w:val="0"/>
          <w:color w:val="000000" w:themeColor="text1"/>
          <w:sz w:val="28"/>
          <w:szCs w:val="28"/>
          <w14:textFill>
            <w14:solidFill>
              <w14:schemeClr w14:val="tx1"/>
            </w14:solidFill>
          </w14:textFill>
        </w:rPr>
        <w:t>项级</w:t>
      </w:r>
      <w:r>
        <w:rPr>
          <w:rFonts w:ascii="仿宋" w:hAnsi="仿宋" w:eastAsia="仿宋"/>
          <w:b w:val="0"/>
          <w:bCs w:val="0"/>
          <w:color w:val="000000" w:themeColor="text1"/>
          <w:sz w:val="28"/>
          <w:szCs w:val="28"/>
          <w14:textFill>
            <w14:solidFill>
              <w14:schemeClr w14:val="tx1"/>
            </w14:solidFill>
          </w14:textFill>
        </w:rPr>
        <w:t>&gt;</w:t>
      </w:r>
      <w:r>
        <w:rPr>
          <w:rFonts w:hint="eastAsia" w:ascii="仿宋" w:hAnsi="仿宋" w:eastAsia="仿宋"/>
          <w:b w:val="0"/>
          <w:bCs w:val="0"/>
          <w:color w:val="000000" w:themeColor="text1"/>
          <w:sz w:val="28"/>
          <w:szCs w:val="28"/>
          <w14:textFill>
            <w14:solidFill>
              <w14:schemeClr w14:val="tx1"/>
            </w14:solidFill>
          </w14:textFill>
        </w:rPr>
        <w:t>和调整预算数</w:t>
      </w:r>
      <w:r>
        <w:rPr>
          <w:rFonts w:ascii="仿宋" w:hAnsi="仿宋" w:eastAsia="仿宋"/>
          <w:b w:val="0"/>
          <w:bCs w:val="0"/>
          <w:color w:val="000000" w:themeColor="text1"/>
          <w:sz w:val="28"/>
          <w:szCs w:val="28"/>
          <w14:textFill>
            <w14:solidFill>
              <w14:schemeClr w14:val="tx1"/>
            </w14:solidFill>
          </w14:textFill>
        </w:rPr>
        <w:t>&lt;</w:t>
      </w:r>
      <w:r>
        <w:rPr>
          <w:rFonts w:hint="eastAsia" w:ascii="仿宋" w:hAnsi="仿宋" w:eastAsia="仿宋"/>
          <w:b w:val="0"/>
          <w:bCs w:val="0"/>
          <w:color w:val="000000" w:themeColor="text1"/>
          <w:sz w:val="28"/>
          <w:szCs w:val="28"/>
          <w14:textFill>
            <w14:solidFill>
              <w14:schemeClr w14:val="tx1"/>
            </w14:solidFill>
          </w14:textFill>
        </w:rPr>
        <w:t>项级</w:t>
      </w:r>
      <w:r>
        <w:rPr>
          <w:rFonts w:ascii="仿宋" w:hAnsi="仿宋" w:eastAsia="仿宋"/>
          <w:b w:val="0"/>
          <w:bCs w:val="0"/>
          <w:color w:val="000000" w:themeColor="text1"/>
          <w:sz w:val="28"/>
          <w:szCs w:val="28"/>
          <w14:textFill>
            <w14:solidFill>
              <w14:schemeClr w14:val="tx1"/>
            </w14:solidFill>
          </w14:textFill>
        </w:rPr>
        <w:t>&gt;</w:t>
      </w:r>
      <w:r>
        <w:rPr>
          <w:rFonts w:hint="eastAsia" w:ascii="仿宋" w:hAnsi="仿宋" w:eastAsia="仿宋"/>
          <w:b w:val="0"/>
          <w:bCs w:val="0"/>
          <w:color w:val="000000" w:themeColor="text1"/>
          <w:sz w:val="28"/>
          <w:szCs w:val="28"/>
          <w14:textFill>
            <w14:solidFill>
              <w14:schemeClr w14:val="tx1"/>
            </w14:solidFill>
          </w14:textFill>
        </w:rPr>
        <w:t>比较，与预算数持平可以不写原因。）</w:t>
      </w:r>
    </w:p>
    <w:p>
      <w:pPr>
        <w:keepNext w:val="0"/>
        <w:keepLines w:val="0"/>
        <w:pageBreakBefore w:val="0"/>
        <w:widowControl w:val="0"/>
        <w:kinsoku/>
        <w:wordWrap/>
        <w:overflowPunct/>
        <w:topLinePunct w:val="0"/>
        <w:bidi w:val="0"/>
        <w:snapToGrid w:val="0"/>
        <w:spacing w:line="360" w:lineRule="auto"/>
        <w:ind w:firstLine="640"/>
        <w:textAlignment w:val="auto"/>
        <w:rPr>
          <w:rFonts w:hint="eastAsia" w:ascii="仿宋" w:hAnsi="仿宋" w:eastAsia="仿宋"/>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napToGrid w:val="0"/>
        <w:spacing w:line="360" w:lineRule="auto"/>
        <w:ind w:firstLine="64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（图7：一般公共预算财政拨款支出完成比例情况图）</w:t>
      </w:r>
    </w:p>
    <w:p>
      <w:pPr>
        <w:keepNext w:val="0"/>
        <w:keepLines w:val="0"/>
        <w:pageBreakBefore w:val="0"/>
        <w:widowControl w:val="0"/>
        <w:kinsoku/>
        <w:wordWrap/>
        <w:overflowPunct/>
        <w:topLinePunct w:val="0"/>
        <w:bidi w:val="0"/>
        <w:snapToGrid w:val="0"/>
        <w:spacing w:line="360" w:lineRule="auto"/>
        <w:ind w:firstLine="640"/>
        <w:textAlignment w:val="auto"/>
        <w:rPr>
          <w:rStyle w:val="25"/>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79185" cy="3760470"/>
            <wp:effectExtent l="4445" t="4445" r="7620" b="698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40" w:name="_Toc15377214"/>
      <w:r>
        <w:rPr>
          <w:rFonts w:hint="eastAsia" w:ascii="黑体" w:eastAsia="黑体"/>
          <w:b w:val="0"/>
          <w:bCs w:val="0"/>
          <w:color w:val="000000" w:themeColor="text1"/>
          <w:sz w:val="28"/>
          <w:szCs w:val="28"/>
          <w14:textFill>
            <w14:solidFill>
              <w14:schemeClr w14:val="tx1"/>
            </w14:solidFill>
          </w14:textFill>
        </w:rPr>
        <w:t>六、</w:t>
      </w:r>
      <w:r>
        <w:rPr>
          <w:rFonts w:hint="eastAsia" w:ascii="黑体" w:hAnsi="黑体" w:eastAsia="黑体"/>
          <w:b w:val="0"/>
          <w:bCs w:val="0"/>
          <w:color w:val="000000" w:themeColor="text1"/>
          <w:sz w:val="28"/>
          <w:szCs w:val="28"/>
          <w14:textFill>
            <w14:solidFill>
              <w14:schemeClr w14:val="tx1"/>
            </w14:solidFill>
          </w14:textFill>
        </w:rPr>
        <w:t>一</w:t>
      </w:r>
      <w:r>
        <w:rPr>
          <w:rStyle w:val="25"/>
          <w:rFonts w:hint="eastAsia" w:ascii="黑体" w:hAnsi="黑体" w:eastAsia="黑体"/>
          <w:b w:val="0"/>
          <w:bCs w:val="0"/>
          <w:color w:val="000000" w:themeColor="text1"/>
          <w:sz w:val="28"/>
          <w:szCs w:val="28"/>
          <w14:textFill>
            <w14:solidFill>
              <w14:schemeClr w14:val="tx1"/>
            </w14:solidFill>
          </w14:textFill>
        </w:rPr>
        <w:t>般公共预算财政拨款基本支出决算情况说明</w:t>
      </w:r>
      <w:bookmarkEnd w:id="40"/>
      <w:r>
        <w:rPr>
          <w:rStyle w:val="25"/>
          <w:rFonts w:ascii="黑体" w:hAnsi="黑体" w:eastAsia="黑体"/>
          <w:b w:val="0"/>
          <w:bCs w:val="0"/>
          <w:color w:val="000000" w:themeColor="text1"/>
          <w:sz w:val="28"/>
          <w:szCs w:val="28"/>
          <w14:textFill>
            <w14:solidFill>
              <w14:schemeClr w14:val="tx1"/>
            </w14:solidFill>
          </w14:textFill>
        </w:rPr>
        <w:tab/>
      </w:r>
    </w:p>
    <w:p>
      <w:pPr>
        <w:keepNext w:val="0"/>
        <w:keepLines w:val="0"/>
        <w:pageBreakBefore w:val="0"/>
        <w:widowControl w:val="0"/>
        <w:kinsoku/>
        <w:wordWrap/>
        <w:overflowPunct/>
        <w:topLinePunct w:val="0"/>
        <w:bidi w:val="0"/>
        <w:snapToGrid w:val="0"/>
        <w:spacing w:line="360" w:lineRule="auto"/>
        <w:ind w:firstLine="645"/>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9年一般公共预算财政拨款基本支出38.96万元，其中：</w:t>
      </w:r>
    </w:p>
    <w:p>
      <w:pPr>
        <w:keepNext w:val="0"/>
        <w:keepLines w:val="0"/>
        <w:pageBreakBefore w:val="0"/>
        <w:widowControl w:val="0"/>
        <w:kinsoku/>
        <w:wordWrap/>
        <w:overflowPunct/>
        <w:topLinePunct w:val="0"/>
        <w:bidi w:val="0"/>
        <w:snapToGrid w:val="0"/>
        <w:spacing w:line="360" w:lineRule="auto"/>
        <w:ind w:firstLine="645"/>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人员经费28.11万元，主要包括：基本工资10.17万元、津贴补贴0.24万元、奖金4.00万元、伙食补助费0.00万元、绩效工资6.67万元、机关事业单位基本养老保险缴费2.81万元、职业年金缴费0.65万元、职工基本医疗保险缴费1.19万元、住房公积金2.38万元等。</w:t>
      </w:r>
      <w:r>
        <w:rPr>
          <w:rFonts w:ascii="仿宋" w:hAnsi="仿宋" w:eastAsia="仿宋"/>
          <w:b w:val="0"/>
          <w:bCs w:val="0"/>
          <w:color w:val="000000" w:themeColor="text1"/>
          <w:sz w:val="28"/>
          <w:szCs w:val="28"/>
          <w14:textFill>
            <w14:solidFill>
              <w14:schemeClr w14:val="tx1"/>
            </w14:solidFill>
          </w14:textFill>
        </w:rPr>
        <w:br w:type="textWrapping"/>
      </w:r>
      <w:r>
        <w:rPr>
          <w:rFonts w:hint="eastAsia" w:ascii="仿宋" w:hAnsi="仿宋" w:eastAsia="仿宋"/>
          <w:b w:val="0"/>
          <w:bCs w:val="0"/>
          <w:color w:val="000000" w:themeColor="text1"/>
          <w:sz w:val="28"/>
          <w:szCs w:val="28"/>
          <w14:textFill>
            <w14:solidFill>
              <w14:schemeClr w14:val="tx1"/>
            </w14:solidFill>
          </w14:textFill>
        </w:rPr>
        <w:t>　　公用经费10.84万元，主要包括：办公费0.08万元、印刷费0.00万元、咨询费0.00万元、手续费0.00万元、水费0.00万元、电费0.30万元、邮电费0.00万元、物业管理费0.00万元、差旅费0.00万元、因公出国（境）费用0.00万元、维修（护）费0.36万元、租赁费0.00万元、会议费0.00万元、培训费0.00万元、公务接待费0.00万元、专用材料费7.07万元、劳务费3.00万元、委托业务费0.00万元、工会经费0.00万元、福利费0.00万元、公务用车运行维护费0.00万元、其他交通费0.03万元、税金及附加费用0.00万元、其他商品和服务支出0.00万元、办公设备购置0.00万元、专用设备购置0.00万元、信息网络及软件购置更新0.00万元、其他资本性支出等。</w:t>
      </w:r>
    </w:p>
    <w:p>
      <w:pPr>
        <w:keepNext w:val="0"/>
        <w:keepLines w:val="0"/>
        <w:pageBreakBefore w:val="0"/>
        <w:widowControl w:val="0"/>
        <w:kinsoku/>
        <w:wordWrap/>
        <w:overflowPunct/>
        <w:topLinePunct w:val="0"/>
        <w:bidi w:val="0"/>
        <w:snapToGrid w:val="0"/>
        <w:spacing w:line="360" w:lineRule="auto"/>
        <w:ind w:firstLine="64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（数据来源财决</w:t>
      </w:r>
      <w:r>
        <w:rPr>
          <w:rFonts w:ascii="仿宋" w:hAnsi="仿宋" w:eastAsia="仿宋"/>
          <w:b w:val="0"/>
          <w:bCs w:val="0"/>
          <w:color w:val="000000" w:themeColor="text1"/>
          <w:sz w:val="28"/>
          <w:szCs w:val="28"/>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7表，根据本部门实际支出情况罗列全部经济分类科目。）</w:t>
      </w:r>
    </w:p>
    <w:p>
      <w:pPr>
        <w:keepNext w:val="0"/>
        <w:keepLines w:val="0"/>
        <w:pageBreakBefore w:val="0"/>
        <w:widowControl w:val="0"/>
        <w:kinsoku/>
        <w:wordWrap/>
        <w:overflowPunct/>
        <w:topLinePunct w:val="0"/>
        <w:bidi w:val="0"/>
        <w:snapToGrid w:val="0"/>
        <w:spacing w:line="360" w:lineRule="auto"/>
        <w:ind w:firstLine="64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41" w:name="_Toc15377215"/>
      <w:bookmarkStart w:id="42" w:name="_Toc19089870"/>
      <w:r>
        <w:rPr>
          <w:rFonts w:hint="eastAsia" w:ascii="黑体" w:eastAsia="黑体"/>
          <w:b w:val="0"/>
          <w:bCs w:val="0"/>
          <w:color w:val="000000" w:themeColor="text1"/>
          <w:sz w:val="28"/>
          <w:szCs w:val="28"/>
          <w14:textFill>
            <w14:solidFill>
              <w14:schemeClr w14:val="tx1"/>
            </w14:solidFill>
          </w14:textFill>
        </w:rPr>
        <w:t>七、</w:t>
      </w:r>
      <w:r>
        <w:rPr>
          <w:rStyle w:val="25"/>
          <w:rFonts w:hint="eastAsia" w:ascii="黑体" w:hAnsi="黑体" w:eastAsia="黑体"/>
          <w:b w:val="0"/>
          <w:bCs w:val="0"/>
          <w:color w:val="000000" w:themeColor="text1"/>
          <w:sz w:val="28"/>
          <w:szCs w:val="28"/>
          <w14:textFill>
            <w14:solidFill>
              <w14:schemeClr w14:val="tx1"/>
            </w14:solidFill>
          </w14:textFill>
        </w:rPr>
        <w:t>“三公”经费财政拨款支出决算情况说明</w:t>
      </w:r>
      <w:bookmarkEnd w:id="41"/>
      <w:bookmarkEnd w:id="42"/>
    </w:p>
    <w:p>
      <w:pPr>
        <w:keepNext w:val="0"/>
        <w:keepLines w:val="0"/>
        <w:pageBreakBefore w:val="0"/>
        <w:widowControl w:val="0"/>
        <w:kinsoku/>
        <w:wordWrap/>
        <w:overflowPunct/>
        <w:topLinePunct w:val="0"/>
        <w:bidi w:val="0"/>
        <w:snapToGrid w:val="0"/>
        <w:spacing w:line="360" w:lineRule="auto"/>
        <w:ind w:firstLine="640"/>
        <w:textAlignment w:val="auto"/>
        <w:outlineLvl w:val="2"/>
        <w:rPr>
          <w:rFonts w:ascii="仿宋" w:hAnsi="仿宋" w:eastAsia="仿宋"/>
          <w:b w:val="0"/>
          <w:bCs w:val="0"/>
          <w:color w:val="000000" w:themeColor="text1"/>
          <w:sz w:val="28"/>
          <w:szCs w:val="28"/>
          <w14:textFill>
            <w14:solidFill>
              <w14:schemeClr w14:val="tx1"/>
            </w14:solidFill>
          </w14:textFill>
        </w:rPr>
      </w:pPr>
      <w:bookmarkStart w:id="43" w:name="_Toc15377216"/>
      <w:r>
        <w:rPr>
          <w:rFonts w:hint="eastAsia" w:ascii="仿宋" w:hAnsi="仿宋" w:eastAsia="仿宋"/>
          <w:b w:val="0"/>
          <w:bCs w:val="0"/>
          <w:color w:val="000000" w:themeColor="text1"/>
          <w:sz w:val="28"/>
          <w:szCs w:val="28"/>
          <w14:textFill>
            <w14:solidFill>
              <w14:schemeClr w14:val="tx1"/>
            </w14:solidFill>
          </w14:textFill>
        </w:rPr>
        <w:t>（一）“三公”经费财政拨款支出决算总体情况说明</w:t>
      </w:r>
      <w:bookmarkEnd w:id="43"/>
    </w:p>
    <w:p>
      <w:pPr>
        <w:keepNext w:val="0"/>
        <w:keepLines w:val="0"/>
        <w:pageBreakBefore w:val="0"/>
        <w:widowControl w:val="0"/>
        <w:kinsoku/>
        <w:wordWrap/>
        <w:overflowPunct/>
        <w:topLinePunct w:val="0"/>
        <w:bidi w:val="0"/>
        <w:snapToGrid w:val="0"/>
        <w:spacing w:line="360" w:lineRule="auto"/>
        <w:ind w:firstLine="64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9年“三公”经费财政拨款支出决算为</w:t>
      </w:r>
      <w:r>
        <w:rPr>
          <w:rFonts w:hint="eastAsia" w:ascii="仿宋_GB2312" w:hAnsi="仿宋_GB2312" w:eastAsia="仿宋_GB2312" w:cs="仿宋_GB2312"/>
          <w:b w:val="0"/>
          <w:bCs w:val="0"/>
          <w:color w:val="000000" w:themeColor="text1"/>
          <w:sz w:val="28"/>
          <w:szCs w:val="28"/>
          <w14:textFill>
            <w14:solidFill>
              <w14:schemeClr w14:val="tx1"/>
            </w14:solidFill>
          </w14:textFill>
        </w:rPr>
        <w:t>0.00万元</w:t>
      </w:r>
      <w:r>
        <w:rPr>
          <w:rFonts w:hint="eastAsia" w:ascii="仿宋" w:hAnsi="仿宋" w:eastAsia="仿宋"/>
          <w:b w:val="0"/>
          <w:bCs w:val="0"/>
          <w:color w:val="000000" w:themeColor="text1"/>
          <w:sz w:val="28"/>
          <w:szCs w:val="28"/>
          <w14:textFill>
            <w14:solidFill>
              <w14:schemeClr w14:val="tx1"/>
            </w14:solidFill>
          </w14:textFill>
        </w:rPr>
        <w:t>，完成预算</w:t>
      </w:r>
      <w:r>
        <w:rPr>
          <w:rFonts w:hint="eastAsia" w:ascii="仿宋_GB2312" w:hAnsi="仿宋_GB2312" w:eastAsia="仿宋_GB2312" w:cs="仿宋_GB2312"/>
          <w:b w:val="0"/>
          <w:bCs w:val="0"/>
          <w:color w:val="000000" w:themeColor="text1"/>
          <w:sz w:val="28"/>
          <w:szCs w:val="28"/>
          <w14:textFill>
            <w14:solidFill>
              <w14:schemeClr w14:val="tx1"/>
            </w14:solidFill>
          </w14:textFill>
        </w:rPr>
        <w:t>100%</w:t>
      </w:r>
      <w:r>
        <w:rPr>
          <w:rFonts w:hint="eastAsia" w:ascii="仿宋" w:hAnsi="仿宋" w:eastAsia="仿宋"/>
          <w:b w:val="0"/>
          <w:bCs w:val="0"/>
          <w:color w:val="000000" w:themeColor="text1"/>
          <w:sz w:val="28"/>
          <w:szCs w:val="28"/>
          <w14:textFill>
            <w14:solidFill>
              <w14:schemeClr w14:val="tx1"/>
            </w14:solidFill>
          </w14:textFill>
        </w:rPr>
        <w:t>，决算数与预算数持平的主要原因是合理安排预算,严格控制因公出国、出境事项和公务接待事项。</w:t>
      </w:r>
    </w:p>
    <w:p>
      <w:pPr>
        <w:keepNext w:val="0"/>
        <w:keepLines w:val="0"/>
        <w:pageBreakBefore w:val="0"/>
        <w:widowControl w:val="0"/>
        <w:kinsoku/>
        <w:wordWrap/>
        <w:overflowPunct/>
        <w:topLinePunct w:val="0"/>
        <w:bidi w:val="0"/>
        <w:snapToGrid w:val="0"/>
        <w:spacing w:line="360" w:lineRule="auto"/>
        <w:ind w:firstLine="640"/>
        <w:textAlignment w:val="auto"/>
        <w:outlineLvl w:val="2"/>
        <w:rPr>
          <w:rFonts w:ascii="仿宋" w:hAnsi="仿宋" w:eastAsia="仿宋"/>
          <w:b w:val="0"/>
          <w:bCs w:val="0"/>
          <w:color w:val="000000" w:themeColor="text1"/>
          <w:sz w:val="28"/>
          <w:szCs w:val="28"/>
          <w14:textFill>
            <w14:solidFill>
              <w14:schemeClr w14:val="tx1"/>
            </w14:solidFill>
          </w14:textFill>
        </w:rPr>
      </w:pPr>
      <w:bookmarkStart w:id="44" w:name="_Toc15377217"/>
      <w:r>
        <w:rPr>
          <w:rFonts w:hint="eastAsia" w:ascii="仿宋" w:hAnsi="仿宋" w:eastAsia="仿宋"/>
          <w:b w:val="0"/>
          <w:bCs w:val="0"/>
          <w:color w:val="000000" w:themeColor="text1"/>
          <w:sz w:val="28"/>
          <w:szCs w:val="28"/>
          <w14:textFill>
            <w14:solidFill>
              <w14:schemeClr w14:val="tx1"/>
            </w14:solidFill>
          </w14:textFill>
        </w:rPr>
        <w:t>（二）“三公”经费财政拨款支出决算具体情况说明</w:t>
      </w:r>
      <w:bookmarkEnd w:id="44"/>
    </w:p>
    <w:p>
      <w:pPr>
        <w:keepNext w:val="0"/>
        <w:keepLines w:val="0"/>
        <w:pageBreakBefore w:val="0"/>
        <w:widowControl w:val="0"/>
        <w:kinsoku/>
        <w:wordWrap/>
        <w:overflowPunct/>
        <w:topLinePunct w:val="0"/>
        <w:bidi w:val="0"/>
        <w:snapToGrid w:val="0"/>
        <w:spacing w:line="360" w:lineRule="auto"/>
        <w:ind w:firstLine="64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9年“三公”经费财政拨款支出决算中，因公出国（境）费支出决算</w:t>
      </w:r>
      <w:r>
        <w:rPr>
          <w:rFonts w:hint="eastAsia" w:ascii="仿宋_GB2312" w:hAnsi="仿宋_GB2312" w:eastAsia="仿宋_GB2312" w:cs="仿宋_GB2312"/>
          <w:b w:val="0"/>
          <w:bCs w:val="0"/>
          <w:color w:val="000000" w:themeColor="text1"/>
          <w:sz w:val="28"/>
          <w:szCs w:val="28"/>
          <w14:textFill>
            <w14:solidFill>
              <w14:schemeClr w14:val="tx1"/>
            </w14:solidFill>
          </w14:textFill>
        </w:rPr>
        <w:t>0.00</w:t>
      </w:r>
      <w:r>
        <w:rPr>
          <w:rFonts w:hint="eastAsia" w:ascii="仿宋" w:hAnsi="仿宋" w:eastAsia="仿宋"/>
          <w:b w:val="0"/>
          <w:bCs w:val="0"/>
          <w:color w:val="000000" w:themeColor="text1"/>
          <w:sz w:val="28"/>
          <w:szCs w:val="28"/>
          <w14:textFill>
            <w14:solidFill>
              <w14:schemeClr w14:val="tx1"/>
            </w14:solidFill>
          </w14:textFill>
        </w:rPr>
        <w:t>万元，占</w:t>
      </w:r>
      <w:r>
        <w:rPr>
          <w:rFonts w:hint="eastAsia" w:ascii="仿宋_GB2312" w:hAnsi="仿宋_GB2312" w:eastAsia="仿宋_GB2312" w:cs="仿宋_GB2312"/>
          <w:b w:val="0"/>
          <w:bCs w:val="0"/>
          <w:color w:val="000000" w:themeColor="text1"/>
          <w:sz w:val="28"/>
          <w:szCs w:val="28"/>
          <w14:textFill>
            <w14:solidFill>
              <w14:schemeClr w14:val="tx1"/>
            </w14:solidFill>
          </w14:textFill>
        </w:rPr>
        <w:t>100%</w:t>
      </w:r>
      <w:r>
        <w:rPr>
          <w:rFonts w:hint="eastAsia" w:ascii="仿宋" w:hAnsi="仿宋" w:eastAsia="仿宋"/>
          <w:b w:val="0"/>
          <w:bCs w:val="0"/>
          <w:color w:val="000000" w:themeColor="text1"/>
          <w:sz w:val="28"/>
          <w:szCs w:val="28"/>
          <w14:textFill>
            <w14:solidFill>
              <w14:schemeClr w14:val="tx1"/>
            </w14:solidFill>
          </w14:textFill>
        </w:rPr>
        <w:t>；公务用车购置及运行维护费支出决算0.00万元，占0.00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；公务接待费支出决算</w:t>
      </w:r>
      <w:r>
        <w:rPr>
          <w:rFonts w:hint="eastAsia" w:ascii="仿宋_GB2312" w:hAnsi="仿宋_GB2312" w:eastAsia="仿宋_GB2312" w:cs="仿宋_GB2312"/>
          <w:b w:val="0"/>
          <w:bCs w:val="0"/>
          <w:color w:val="000000" w:themeColor="text1"/>
          <w:sz w:val="28"/>
          <w:szCs w:val="28"/>
          <w14:textFill>
            <w14:solidFill>
              <w14:schemeClr w14:val="tx1"/>
            </w14:solidFill>
          </w14:textFill>
        </w:rPr>
        <w:t>0.00万元</w:t>
      </w:r>
      <w:r>
        <w:rPr>
          <w:rFonts w:hint="eastAsia" w:ascii="仿宋" w:hAnsi="仿宋" w:eastAsia="仿宋"/>
          <w:b w:val="0"/>
          <w:bCs w:val="0"/>
          <w:color w:val="000000" w:themeColor="text1"/>
          <w:sz w:val="28"/>
          <w:szCs w:val="28"/>
          <w14:textFill>
            <w14:solidFill>
              <w14:schemeClr w14:val="tx1"/>
            </w14:solidFill>
          </w14:textFill>
        </w:rPr>
        <w:t>，占</w:t>
      </w:r>
      <w:r>
        <w:rPr>
          <w:rFonts w:hint="eastAsia" w:ascii="仿宋_GB2312" w:hAnsi="仿宋_GB2312" w:eastAsia="仿宋_GB2312" w:cs="仿宋_GB2312"/>
          <w:b w:val="0"/>
          <w:bCs w:val="0"/>
          <w:color w:val="000000" w:themeColor="text1"/>
          <w:sz w:val="28"/>
          <w:szCs w:val="28"/>
          <w14:textFill>
            <w14:solidFill>
              <w14:schemeClr w14:val="tx1"/>
            </w14:solidFill>
          </w14:textFill>
        </w:rPr>
        <w:t>100%</w:t>
      </w:r>
      <w:r>
        <w:rPr>
          <w:rFonts w:hint="eastAsia" w:ascii="仿宋" w:hAnsi="仿宋" w:eastAsia="仿宋"/>
          <w:b w:val="0"/>
          <w:bCs w:val="0"/>
          <w:color w:val="000000" w:themeColor="text1"/>
          <w:sz w:val="28"/>
          <w:szCs w:val="28"/>
          <w14:textFill>
            <w14:solidFill>
              <w14:schemeClr w14:val="tx1"/>
            </w14:solidFill>
          </w14:textFill>
        </w:rPr>
        <w:t>。具体情况如下：</w:t>
      </w:r>
    </w:p>
    <w:p>
      <w:pPr>
        <w:keepNext w:val="0"/>
        <w:keepLines w:val="0"/>
        <w:pageBreakBefore w:val="0"/>
        <w:widowControl w:val="0"/>
        <w:kinsoku/>
        <w:wordWrap/>
        <w:overflowPunct/>
        <w:topLinePunct w:val="0"/>
        <w:bidi w:val="0"/>
        <w:snapToGrid w:val="0"/>
        <w:spacing w:line="360" w:lineRule="auto"/>
        <w:ind w:firstLine="64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1.</w:t>
      </w:r>
      <w:r>
        <w:rPr>
          <w:rFonts w:hint="eastAsia" w:ascii="仿宋_GB2312" w:eastAsia="仿宋_GB2312"/>
          <w:b w:val="0"/>
          <w:bCs w:val="0"/>
          <w:color w:val="000000" w:themeColor="text1"/>
          <w:sz w:val="28"/>
          <w:szCs w:val="28"/>
          <w14:textFill>
            <w14:solidFill>
              <w14:schemeClr w14:val="tx1"/>
            </w14:solidFill>
          </w14:textFill>
        </w:rPr>
        <w:t>因公出国（境）经费支出</w:t>
      </w:r>
      <w:r>
        <w:rPr>
          <w:rFonts w:hint="eastAsia" w:ascii="仿宋_GB2312" w:hAnsi="仿宋_GB2312" w:eastAsia="仿宋_GB2312" w:cs="仿宋_GB2312"/>
          <w:b w:val="0"/>
          <w:bCs w:val="0"/>
          <w:color w:val="000000" w:themeColor="text1"/>
          <w:sz w:val="28"/>
          <w:szCs w:val="28"/>
          <w14:textFill>
            <w14:solidFill>
              <w14:schemeClr w14:val="tx1"/>
            </w14:solidFill>
          </w14:textFill>
        </w:rPr>
        <w:t>0.00万元</w:t>
      </w:r>
      <w:r>
        <w:rPr>
          <w:rFonts w:hint="eastAsia" w:ascii="仿宋_GB2312" w:eastAsia="仿宋_GB2312"/>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完成预算</w:t>
      </w:r>
      <w:r>
        <w:rPr>
          <w:rFonts w:hint="eastAsia" w:ascii="仿宋_GB2312" w:hAnsi="仿宋_GB2312" w:eastAsia="仿宋_GB2312" w:cs="仿宋_GB2312"/>
          <w:b w:val="0"/>
          <w:bCs w:val="0"/>
          <w:color w:val="000000" w:themeColor="text1"/>
          <w:sz w:val="28"/>
          <w:szCs w:val="28"/>
          <w14:textFill>
            <w14:solidFill>
              <w14:schemeClr w14:val="tx1"/>
            </w14:solidFill>
          </w14:textFill>
        </w:rPr>
        <w:t>100%</w:t>
      </w:r>
      <w:r>
        <w:rPr>
          <w:rStyle w:val="14"/>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sz w:val="28"/>
          <w:szCs w:val="28"/>
          <w14:textFill>
            <w14:solidFill>
              <w14:schemeClr w14:val="tx1"/>
            </w14:solidFill>
          </w14:textFill>
        </w:rPr>
        <w:t>全年安排因公出国（境）团组</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次，出国（境）</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人。因公出国（境）支出决算比</w:t>
      </w: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8年（2.97万元）减少</w:t>
      </w:r>
      <w:r>
        <w:rPr>
          <w:rFonts w:hint="eastAsia" w:ascii="仿宋_GB2312" w:hAnsi="仿宋_GB2312" w:eastAsia="仿宋_GB2312" w:cs="仿宋_GB2312"/>
          <w:b w:val="0"/>
          <w:bCs w:val="0"/>
          <w:color w:val="000000" w:themeColor="text1"/>
          <w:sz w:val="28"/>
          <w:szCs w:val="28"/>
          <w14:textFill>
            <w14:solidFill>
              <w14:schemeClr w14:val="tx1"/>
            </w14:solidFill>
          </w14:textFill>
        </w:rPr>
        <w:t>0.00</w:t>
      </w:r>
      <w:r>
        <w:rPr>
          <w:rFonts w:hint="eastAsia" w:ascii="仿宋_GB2312" w:eastAsia="仿宋_GB2312"/>
          <w:b w:val="0"/>
          <w:bCs w:val="0"/>
          <w:color w:val="000000" w:themeColor="text1"/>
          <w:sz w:val="28"/>
          <w:szCs w:val="28"/>
          <w14:textFill>
            <w14:solidFill>
              <w14:schemeClr w14:val="tx1"/>
            </w14:solidFill>
          </w14:textFill>
        </w:rPr>
        <w:t>万元，降低</w:t>
      </w:r>
      <w:r>
        <w:rPr>
          <w:rFonts w:hint="eastAsia" w:ascii="仿宋_GB2312" w:hAnsi="仿宋_GB2312" w:eastAsia="仿宋_GB2312" w:cs="仿宋_GB2312"/>
          <w:b w:val="0"/>
          <w:bCs w:val="0"/>
          <w:color w:val="000000" w:themeColor="text1"/>
          <w:sz w:val="28"/>
          <w:szCs w:val="28"/>
          <w14:textFill>
            <w14:solidFill>
              <w14:schemeClr w14:val="tx1"/>
            </w14:solidFill>
          </w14:textFill>
        </w:rPr>
        <w:t>0.00%</w:t>
      </w:r>
      <w:r>
        <w:rPr>
          <w:rFonts w:hint="eastAsia" w:ascii="仿宋_GB2312" w:eastAsia="仿宋_GB2312"/>
          <w:b w:val="0"/>
          <w:bCs w:val="0"/>
          <w:color w:val="000000" w:themeColor="text1"/>
          <w:sz w:val="28"/>
          <w:szCs w:val="28"/>
          <w14:textFill>
            <w14:solidFill>
              <w14:schemeClr w14:val="tx1"/>
            </w14:solidFill>
          </w14:textFill>
        </w:rPr>
        <w:t>。主要原因是按照上级教育主管部门要求，本年仅安排出境</w:t>
      </w:r>
      <w:r>
        <w:rPr>
          <w:rFonts w:hint="eastAsia" w:ascii="仿宋_GB2312" w:hAnsi="仿宋_GB2312" w:eastAsia="仿宋_GB2312" w:cs="仿宋_GB2312"/>
          <w:b w:val="0"/>
          <w:bCs w:val="0"/>
          <w:color w:val="000000" w:themeColor="text1"/>
          <w:sz w:val="28"/>
          <w:szCs w:val="28"/>
          <w14:textFill>
            <w14:solidFill>
              <w14:schemeClr w14:val="tx1"/>
            </w14:solidFill>
          </w14:textFill>
        </w:rPr>
        <w:t>0</w:t>
      </w:r>
      <w:r>
        <w:rPr>
          <w:rFonts w:hint="eastAsia" w:ascii="仿宋_GB2312" w:eastAsia="仿宋_GB2312"/>
          <w:b w:val="0"/>
          <w:bCs w:val="0"/>
          <w:color w:val="000000" w:themeColor="text1"/>
          <w:sz w:val="28"/>
          <w:szCs w:val="28"/>
          <w14:textFill>
            <w14:solidFill>
              <w14:schemeClr w14:val="tx1"/>
            </w14:solidFill>
          </w14:textFill>
        </w:rPr>
        <w:t>人。</w:t>
      </w:r>
    </w:p>
    <w:p>
      <w:pPr>
        <w:keepNext w:val="0"/>
        <w:keepLines w:val="0"/>
        <w:pageBreakBefore w:val="0"/>
        <w:widowControl w:val="0"/>
        <w:kinsoku/>
        <w:wordWrap/>
        <w:overflowPunct/>
        <w:topLinePunct w:val="0"/>
        <w:bidi w:val="0"/>
        <w:snapToGrid w:val="0"/>
        <w:spacing w:line="360" w:lineRule="auto"/>
        <w:ind w:firstLine="64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w:t>
      </w:r>
      <w:r>
        <w:rPr>
          <w:rFonts w:hint="eastAsia" w:ascii="仿宋_GB2312" w:eastAsia="仿宋_GB2312"/>
          <w:b w:val="0"/>
          <w:bCs w:val="0"/>
          <w:color w:val="000000" w:themeColor="text1"/>
          <w:sz w:val="28"/>
          <w:szCs w:val="28"/>
          <w14:textFill>
            <w14:solidFill>
              <w14:schemeClr w14:val="tx1"/>
            </w14:solidFill>
          </w14:textFill>
        </w:rPr>
        <w:t>公务用车购置及运行维护费支出</w:t>
      </w:r>
    </w:p>
    <w:p>
      <w:pPr>
        <w:keepNext w:val="0"/>
        <w:keepLines w:val="0"/>
        <w:pageBreakBefore w:val="0"/>
        <w:widowControl w:val="0"/>
        <w:kinsoku/>
        <w:wordWrap/>
        <w:overflowPunct/>
        <w:topLinePunct w:val="0"/>
        <w:bidi w:val="0"/>
        <w:snapToGrid w:val="0"/>
        <w:spacing w:line="360" w:lineRule="auto"/>
        <w:ind w:firstLine="640"/>
        <w:textAlignment w:val="auto"/>
        <w:rPr>
          <w:rFonts w:ascii="仿宋_GB2312" w:eastAsia="仿宋_GB2312"/>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2016年公务用车改革后，我局未保留公务用车。2019年度无公务用车购置及运行维护费开支。</w:t>
      </w:r>
      <w:bookmarkStart w:id="76" w:name="_GoBack"/>
      <w:bookmarkEnd w:id="76"/>
    </w:p>
    <w:p>
      <w:pPr>
        <w:keepNext w:val="0"/>
        <w:keepLines w:val="0"/>
        <w:pageBreakBefore w:val="0"/>
        <w:widowControl w:val="0"/>
        <w:kinsoku/>
        <w:wordWrap/>
        <w:overflowPunct/>
        <w:topLinePunct w:val="0"/>
        <w:bidi w:val="0"/>
        <w:snapToGrid w:val="0"/>
        <w:spacing w:line="360" w:lineRule="auto"/>
        <w:ind w:firstLine="64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3.</w:t>
      </w:r>
      <w:r>
        <w:rPr>
          <w:rFonts w:hint="eastAsia" w:ascii="仿宋_GB2312" w:eastAsia="仿宋_GB2312"/>
          <w:b w:val="0"/>
          <w:bCs w:val="0"/>
          <w:color w:val="000000" w:themeColor="text1"/>
          <w:sz w:val="28"/>
          <w:szCs w:val="28"/>
          <w14:textFill>
            <w14:solidFill>
              <w14:schemeClr w14:val="tx1"/>
            </w14:solidFill>
          </w14:textFill>
        </w:rPr>
        <w:t>公务接待费支出</w:t>
      </w:r>
      <w:r>
        <w:rPr>
          <w:rFonts w:hint="eastAsia" w:ascii="仿宋_GB2312" w:hAnsi="仿宋_GB2312" w:eastAsia="仿宋_GB2312" w:cs="仿宋_GB2312"/>
          <w:b w:val="0"/>
          <w:bCs w:val="0"/>
          <w:color w:val="000000" w:themeColor="text1"/>
          <w:sz w:val="28"/>
          <w:szCs w:val="28"/>
          <w14:textFill>
            <w14:solidFill>
              <w14:schemeClr w14:val="tx1"/>
            </w14:solidFill>
          </w14:textFill>
        </w:rPr>
        <w:t>0.00</w:t>
      </w:r>
      <w:r>
        <w:rPr>
          <w:rFonts w:hint="eastAsia" w:ascii="仿宋_GB2312" w:eastAsia="仿宋_GB2312"/>
          <w:b w:val="0"/>
          <w:bCs w:val="0"/>
          <w:color w:val="000000" w:themeColor="text1"/>
          <w:sz w:val="28"/>
          <w:szCs w:val="28"/>
          <w14:textFill>
            <w14:solidFill>
              <w14:schemeClr w14:val="tx1"/>
            </w14:solidFill>
          </w14:textFill>
        </w:rPr>
        <w:t>万元，</w:t>
      </w:r>
      <w:r>
        <w:rPr>
          <w:rStyle w:val="14"/>
          <w:rFonts w:hint="eastAsia" w:ascii="仿宋" w:hAnsi="仿宋" w:eastAsia="仿宋"/>
          <w:b w:val="0"/>
          <w:bCs w:val="0"/>
          <w:color w:val="000000" w:themeColor="text1"/>
          <w:sz w:val="28"/>
          <w:szCs w:val="28"/>
          <w14:textFill>
            <w14:solidFill>
              <w14:schemeClr w14:val="tx1"/>
            </w14:solidFill>
          </w14:textFill>
        </w:rPr>
        <w:t>完成预算</w:t>
      </w:r>
      <w:r>
        <w:rPr>
          <w:rFonts w:hint="eastAsia" w:ascii="仿宋_GB2312" w:hAnsi="仿宋_GB2312" w:eastAsia="仿宋_GB2312" w:cs="仿宋_GB2312"/>
          <w:b w:val="0"/>
          <w:bCs w:val="0"/>
          <w:color w:val="000000" w:themeColor="text1"/>
          <w:sz w:val="28"/>
          <w:szCs w:val="28"/>
          <w14:textFill>
            <w14:solidFill>
              <w14:schemeClr w14:val="tx1"/>
            </w14:solidFill>
          </w14:textFill>
        </w:rPr>
        <w:t>100%</w:t>
      </w:r>
      <w:r>
        <w:rPr>
          <w:rStyle w:val="14"/>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sz w:val="28"/>
          <w:szCs w:val="28"/>
          <w14:textFill>
            <w14:solidFill>
              <w14:schemeClr w14:val="tx1"/>
            </w14:solidFill>
          </w14:textFill>
        </w:rPr>
        <w:t>公务接待费支出决算与</w:t>
      </w:r>
      <w:r>
        <w:rPr>
          <w:rFonts w:hint="eastAsia" w:ascii="仿宋_GB2312" w:hAnsi="仿宋_GB2312" w:eastAsia="仿宋_GB2312" w:cs="仿宋_GB2312"/>
          <w:b w:val="0"/>
          <w:bCs w:val="0"/>
          <w:color w:val="000000" w:themeColor="text1"/>
          <w:sz w:val="28"/>
          <w:szCs w:val="28"/>
          <w14:textFill>
            <w14:solidFill>
              <w14:schemeClr w14:val="tx1"/>
            </w14:solidFill>
          </w14:textFill>
        </w:rPr>
        <w:t>2018相比基本持平</w:t>
      </w:r>
      <w:r>
        <w:rPr>
          <w:rFonts w:hint="eastAsia" w:ascii="仿宋_GB2312" w:eastAsia="仿宋_GB2312"/>
          <w:b w:val="0"/>
          <w:bCs w:val="0"/>
          <w:color w:val="000000" w:themeColor="text1"/>
          <w:sz w:val="28"/>
          <w:szCs w:val="28"/>
          <w14:textFill>
            <w14:solidFill>
              <w14:schemeClr w14:val="tx1"/>
            </w14:solidFill>
          </w14:textFill>
        </w:rPr>
        <w:t>。主要原因是合理安排预算,严格控制因公出国、出境事项和公务接待事项。</w:t>
      </w:r>
    </w:p>
    <w:p>
      <w:pPr>
        <w:keepNext w:val="0"/>
        <w:keepLines w:val="0"/>
        <w:pageBreakBefore w:val="0"/>
        <w:widowControl w:val="0"/>
        <w:kinsoku/>
        <w:wordWrap/>
        <w:overflowPunct/>
        <w:topLinePunct w:val="0"/>
        <w:bidi w:val="0"/>
        <w:snapToGrid w:val="0"/>
        <w:spacing w:line="360" w:lineRule="auto"/>
        <w:ind w:firstLine="64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45" w:name="_Toc19089871"/>
      <w:bookmarkStart w:id="46" w:name="_Toc15377218"/>
      <w:r>
        <w:rPr>
          <w:rFonts w:hint="eastAsia" w:ascii="黑体" w:eastAsia="黑体"/>
          <w:b w:val="0"/>
          <w:bCs w:val="0"/>
          <w:color w:val="000000" w:themeColor="text1"/>
          <w:sz w:val="28"/>
          <w:szCs w:val="28"/>
          <w14:textFill>
            <w14:solidFill>
              <w14:schemeClr w14:val="tx1"/>
            </w14:solidFill>
          </w14:textFill>
        </w:rPr>
        <w:t>八、</w:t>
      </w:r>
      <w:r>
        <w:rPr>
          <w:rStyle w:val="25"/>
          <w:rFonts w:hint="eastAsia" w:ascii="黑体" w:hAnsi="黑体" w:eastAsia="黑体"/>
          <w:b w:val="0"/>
          <w:bCs w:val="0"/>
          <w:color w:val="000000" w:themeColor="text1"/>
          <w:sz w:val="28"/>
          <w:szCs w:val="28"/>
          <w14:textFill>
            <w14:solidFill>
              <w14:schemeClr w14:val="tx1"/>
            </w14:solidFill>
          </w14:textFill>
        </w:rPr>
        <w:t>政府性基金预算支出决算情况说明</w:t>
      </w:r>
      <w:bookmarkEnd w:id="45"/>
      <w:bookmarkEnd w:id="46"/>
    </w:p>
    <w:p>
      <w:pPr>
        <w:keepNext w:val="0"/>
        <w:keepLines w:val="0"/>
        <w:pageBreakBefore w:val="0"/>
        <w:widowControl w:val="0"/>
        <w:kinsoku/>
        <w:wordWrap/>
        <w:overflowPunct/>
        <w:topLinePunct w:val="0"/>
        <w:bidi w:val="0"/>
        <w:snapToGrid w:val="0"/>
        <w:spacing w:line="360" w:lineRule="auto"/>
        <w:ind w:firstLine="64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9年政府性基金预算拨款支出</w:t>
      </w:r>
      <w:r>
        <w:rPr>
          <w:rFonts w:hint="eastAsia" w:ascii="仿宋_GB2312" w:hAnsi="仿宋_GB2312" w:eastAsia="仿宋_GB2312" w:cs="仿宋_GB2312"/>
          <w:b w:val="0"/>
          <w:bCs w:val="0"/>
          <w:color w:val="000000" w:themeColor="text1"/>
          <w:sz w:val="28"/>
          <w:szCs w:val="28"/>
          <w14:textFill>
            <w14:solidFill>
              <w14:schemeClr w14:val="tx1"/>
            </w14:solidFill>
          </w14:textFill>
        </w:rPr>
        <w:t>0.00</w:t>
      </w:r>
      <w:r>
        <w:rPr>
          <w:rFonts w:hint="eastAsia" w:ascii="仿宋_GB2312" w:eastAsia="仿宋_GB2312"/>
          <w:b w:val="0"/>
          <w:bCs w:val="0"/>
          <w:color w:val="000000" w:themeColor="text1"/>
          <w:sz w:val="28"/>
          <w:szCs w:val="28"/>
          <w14:textFill>
            <w14:solidFill>
              <w14:schemeClr w14:val="tx1"/>
            </w14:solidFill>
          </w14:textFill>
        </w:rPr>
        <w:t>万元。</w:t>
      </w:r>
    </w:p>
    <w:p>
      <w:pPr>
        <w:keepNext w:val="0"/>
        <w:keepLines w:val="0"/>
        <w:pageBreakBefore w:val="0"/>
        <w:widowControl w:val="0"/>
        <w:numPr>
          <w:ilvl w:val="0"/>
          <w:numId w:val="2"/>
        </w:numPr>
        <w:kinsoku/>
        <w:wordWrap/>
        <w:overflowPunct/>
        <w:topLinePunct w:val="0"/>
        <w:bidi w:val="0"/>
        <w:snapToGrid w:val="0"/>
        <w:spacing w:line="360" w:lineRule="auto"/>
        <w:ind w:firstLine="64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47" w:name="_Toc19089872"/>
      <w:bookmarkStart w:id="48" w:name="_Toc15377219"/>
      <w:r>
        <w:rPr>
          <w:rStyle w:val="25"/>
          <w:rFonts w:hint="eastAsia" w:ascii="黑体" w:hAnsi="黑体" w:eastAsia="黑体"/>
          <w:b w:val="0"/>
          <w:bCs w:val="0"/>
          <w:color w:val="000000" w:themeColor="text1"/>
          <w:sz w:val="28"/>
          <w:szCs w:val="28"/>
          <w14:textFill>
            <w14:solidFill>
              <w14:schemeClr w14:val="tx1"/>
            </w14:solidFill>
          </w14:textFill>
        </w:rPr>
        <w:t>国有资本经营预算支出决算情况说明</w:t>
      </w:r>
      <w:bookmarkEnd w:id="47"/>
      <w:bookmarkEnd w:id="48"/>
    </w:p>
    <w:p>
      <w:pPr>
        <w:keepNext w:val="0"/>
        <w:keepLines w:val="0"/>
        <w:pageBreakBefore w:val="0"/>
        <w:widowControl w:val="0"/>
        <w:kinsoku/>
        <w:wordWrap/>
        <w:overflowPunct/>
        <w:topLinePunct w:val="0"/>
        <w:bidi w:val="0"/>
        <w:snapToGrid w:val="0"/>
        <w:spacing w:line="360" w:lineRule="auto"/>
        <w:ind w:firstLine="64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9年国有资本经营预算拨款支出0.00万元。</w:t>
      </w:r>
    </w:p>
    <w:p>
      <w:pPr>
        <w:pStyle w:val="23"/>
        <w:keepNext w:val="0"/>
        <w:keepLines w:val="0"/>
        <w:pageBreakBefore w:val="0"/>
        <w:widowControl w:val="0"/>
        <w:numPr>
          <w:ilvl w:val="0"/>
          <w:numId w:val="3"/>
        </w:numPr>
        <w:kinsoku/>
        <w:wordWrap/>
        <w:overflowPunct/>
        <w:topLinePunct w:val="0"/>
        <w:bidi w:val="0"/>
        <w:snapToGrid w:val="0"/>
        <w:spacing w:line="360" w:lineRule="auto"/>
        <w:ind w:firstLineChars="0"/>
        <w:textAlignment w:val="auto"/>
        <w:rPr>
          <w:rStyle w:val="25"/>
          <w:rFonts w:ascii="黑体" w:hAnsi="黑体" w:eastAsia="黑体"/>
          <w:b w:val="0"/>
          <w:bCs w:val="0"/>
          <w:color w:val="000000" w:themeColor="text1"/>
          <w:sz w:val="28"/>
          <w:szCs w:val="28"/>
          <w14:textFill>
            <w14:solidFill>
              <w14:schemeClr w14:val="tx1"/>
            </w14:solidFill>
          </w14:textFill>
        </w:rPr>
      </w:pPr>
      <w:bookmarkStart w:id="49" w:name="_Toc19089873"/>
      <w:r>
        <w:rPr>
          <w:rStyle w:val="25"/>
          <w:rFonts w:hint="eastAsia" w:ascii="黑体" w:hAnsi="黑体" w:eastAsia="黑体"/>
          <w:b w:val="0"/>
          <w:bCs w:val="0"/>
          <w:color w:val="000000" w:themeColor="text1"/>
          <w:sz w:val="28"/>
          <w:szCs w:val="28"/>
          <w14:textFill>
            <w14:solidFill>
              <w14:schemeClr w14:val="tx1"/>
            </w14:solidFill>
          </w14:textFill>
        </w:rPr>
        <w:t>预算绩效情况说明</w:t>
      </w:r>
      <w:bookmarkEnd w:id="49"/>
    </w:p>
    <w:p>
      <w:pPr>
        <w:keepNext w:val="0"/>
        <w:keepLines w:val="0"/>
        <w:pageBreakBefore w:val="0"/>
        <w:widowControl w:val="0"/>
        <w:numPr>
          <w:ilvl w:val="0"/>
          <w:numId w:val="4"/>
        </w:numPr>
        <w:kinsoku/>
        <w:wordWrap/>
        <w:overflowPunct/>
        <w:topLinePunct w:val="0"/>
        <w:bidi w:val="0"/>
        <w:snapToGrid w:val="0"/>
        <w:spacing w:line="360" w:lineRule="auto"/>
        <w:ind w:firstLine="560" w:firstLineChars="200"/>
        <w:textAlignment w:val="auto"/>
        <w:rPr>
          <w:rFonts w:ascii="仿宋" w:hAnsi="仿宋" w:eastAsia="仿宋" w:cs="楷体_GB2312"/>
          <w:b w:val="0"/>
          <w:bCs w:val="0"/>
          <w:color w:val="000000" w:themeColor="text1"/>
          <w:sz w:val="28"/>
          <w:szCs w:val="28"/>
          <w14:textFill>
            <w14:solidFill>
              <w14:schemeClr w14:val="tx1"/>
            </w14:solidFill>
          </w14:textFill>
        </w:rPr>
      </w:pPr>
      <w:r>
        <w:rPr>
          <w:rFonts w:hint="eastAsia" w:ascii="仿宋" w:hAnsi="仿宋" w:eastAsia="仿宋" w:cs="楷体_GB2312"/>
          <w:b w:val="0"/>
          <w:bCs w:val="0"/>
          <w:color w:val="000000" w:themeColor="text1"/>
          <w:sz w:val="28"/>
          <w:szCs w:val="28"/>
          <w14:textFill>
            <w14:solidFill>
              <w14:schemeClr w14:val="tx1"/>
            </w14:solidFill>
          </w14:textFill>
        </w:rPr>
        <w:t>预算绩效管理工作开展情况</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根据预算绩效管理要求，本部门（单位）在年初预算编制阶段，组织对购买社工服务、建档立卡中职、本专科助学金、学生营养改善计划等31个项目开展了预算事前绩效评估，对31个项目编制了绩效目标，预算执行过程中，选取10个项目开展绩效监控，年终执行完毕后，对5个项目开展了绩效目标完成情况梳理填报。</w:t>
      </w:r>
    </w:p>
    <w:p>
      <w:pPr>
        <w:keepNext w:val="0"/>
        <w:keepLines w:val="0"/>
        <w:pageBreakBefore w:val="0"/>
        <w:widowControl w:val="0"/>
        <w:kinsoku/>
        <w:wordWrap/>
        <w:overflowPunct/>
        <w:topLinePunct w:val="0"/>
        <w:bidi w:val="0"/>
        <w:snapToGrid w:val="0"/>
        <w:spacing w:line="360" w:lineRule="auto"/>
        <w:ind w:firstLine="700" w:firstLineChars="25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本部门按要求对2019年部门整体支出开展绩效自评，从评价情况来看教育系统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存在的问题：</w:t>
      </w:r>
      <w:r>
        <w:rPr>
          <w:rFonts w:hint="eastAsia" w:ascii="仿宋_GB2312" w:hAnsi="宋体" w:eastAsia="仿宋_GB2312" w:cs="仿宋_GB2312"/>
          <w:b w:val="0"/>
          <w:bCs w:val="0"/>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val="0"/>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下一步改进措施：</w:t>
      </w:r>
      <w:r>
        <w:rPr>
          <w:rStyle w:val="14"/>
          <w:rFonts w:hint="eastAsia" w:ascii="仿宋_GB2312" w:hAnsi="宋体" w:eastAsia="仿宋_GB2312" w:cs="仿宋_GB2312"/>
          <w:b w:val="0"/>
          <w:bCs w:val="0"/>
          <w:color w:val="000000" w:themeColor="text1"/>
          <w:sz w:val="28"/>
          <w:szCs w:val="28"/>
          <w14:textFill>
            <w14:solidFill>
              <w14:schemeClr w14:val="tx1"/>
            </w14:solidFill>
          </w14:textFill>
        </w:rPr>
        <w:t>一是</w:t>
      </w:r>
      <w:r>
        <w:rPr>
          <w:rFonts w:hint="eastAsia" w:ascii="仿宋_GB2312" w:hAnsi="宋体" w:eastAsia="仿宋_GB2312" w:cs="仿宋_GB2312"/>
          <w:b w:val="0"/>
          <w:bCs w:val="0"/>
          <w:color w:val="000000" w:themeColor="text1"/>
          <w:sz w:val="28"/>
          <w:szCs w:val="28"/>
          <w14:textFill>
            <w14:solidFill>
              <w14:schemeClr w14:val="tx1"/>
            </w14:solidFill>
          </w14:textFill>
        </w:rPr>
        <w:t>进一步加强绩效评价管理制度建设；二是建立有效的绩效管理体系；</w:t>
      </w:r>
      <w:r>
        <w:rPr>
          <w:rStyle w:val="14"/>
          <w:rFonts w:hint="eastAsia" w:ascii="仿宋_GB2312" w:hAnsi="宋体" w:eastAsia="仿宋_GB2312" w:cs="仿宋_GB2312"/>
          <w:b w:val="0"/>
          <w:bCs w:val="0"/>
          <w:color w:val="000000" w:themeColor="text1"/>
          <w:sz w:val="28"/>
          <w:szCs w:val="28"/>
          <w14:textFill>
            <w14:solidFill>
              <w14:schemeClr w14:val="tx1"/>
            </w14:solidFill>
          </w14:textFill>
        </w:rPr>
        <w:t>三是</w:t>
      </w:r>
      <w:r>
        <w:rPr>
          <w:rFonts w:hint="eastAsia" w:ascii="仿宋_GB2312" w:hAnsi="宋体" w:eastAsia="仿宋_GB2312" w:cs="仿宋_GB2312"/>
          <w:b w:val="0"/>
          <w:bCs w:val="0"/>
          <w:color w:val="000000" w:themeColor="text1"/>
          <w:sz w:val="28"/>
          <w:szCs w:val="28"/>
          <w14:textFill>
            <w14:solidFill>
              <w14:schemeClr w14:val="tx1"/>
            </w14:solidFill>
          </w14:textFill>
        </w:rPr>
        <w:t>强化绩效管理数据分析，强化绩效管理数据运用；四是强化绩效评价专业技能的培训；</w:t>
      </w:r>
      <w:r>
        <w:rPr>
          <w:rFonts w:hint="eastAsia" w:ascii="华文仿宋" w:hAnsi="华文仿宋" w:eastAsia="华文仿宋"/>
          <w:b w:val="0"/>
          <w:bCs w:val="0"/>
          <w:color w:val="000000" w:themeColor="text1"/>
          <w:sz w:val="28"/>
          <w:szCs w:val="28"/>
          <w14:textFill>
            <w14:solidFill>
              <w14:schemeClr w14:val="tx1"/>
            </w14:solidFill>
          </w14:textFill>
        </w:rPr>
        <w:t>五是探索与预算编制相结合的财政绩效管理，奖绩效评价逐步从事后评价延伸至事前、事中评价。</w:t>
      </w:r>
    </w:p>
    <w:p>
      <w:pPr>
        <w:keepNext w:val="0"/>
        <w:keepLines w:val="0"/>
        <w:pageBreakBefore w:val="0"/>
        <w:widowControl w:val="0"/>
        <w:numPr>
          <w:ilvl w:val="0"/>
          <w:numId w:val="5"/>
        </w:numPr>
        <w:kinsoku/>
        <w:wordWrap/>
        <w:overflowPunct/>
        <w:topLinePunct w:val="0"/>
        <w:bidi w:val="0"/>
        <w:snapToGrid w:val="0"/>
        <w:spacing w:line="360" w:lineRule="auto"/>
        <w:ind w:firstLine="560" w:firstLineChars="200"/>
        <w:textAlignment w:val="auto"/>
        <w:rPr>
          <w:rFonts w:ascii="仿宋" w:hAnsi="仿宋" w:eastAsia="仿宋" w:cs="仿宋_GB2312"/>
          <w:b w:val="0"/>
          <w:bCs w:val="0"/>
          <w:color w:val="000000" w:themeColor="text1"/>
          <w:sz w:val="28"/>
          <w:szCs w:val="28"/>
          <w14:textFill>
            <w14:solidFill>
              <w14:schemeClr w14:val="tx1"/>
            </w14:solidFill>
          </w14:textFill>
        </w:rPr>
      </w:pPr>
      <w:r>
        <w:rPr>
          <w:rFonts w:hint="eastAsia" w:ascii="仿宋" w:hAnsi="仿宋" w:eastAsia="仿宋" w:cs="楷体_GB2312"/>
          <w:b w:val="0"/>
          <w:bCs w:val="0"/>
          <w:color w:val="000000" w:themeColor="text1"/>
          <w:sz w:val="28"/>
          <w:szCs w:val="28"/>
          <w14:textFill>
            <w14:solidFill>
              <w14:schemeClr w14:val="tx1"/>
            </w14:solidFill>
          </w14:textFill>
        </w:rPr>
        <w:t>项目绩效目标完成情况</w:t>
      </w:r>
      <w:r>
        <w:rPr>
          <w:rFonts w:hint="eastAsia" w:ascii="楷体_GB2312" w:hAnsi="楷体_GB2312" w:eastAsia="楷体_GB2312" w:cs="楷体_GB2312"/>
          <w:b w:val="0"/>
          <w:bCs w:val="0"/>
          <w:color w:val="000000" w:themeColor="text1"/>
          <w:sz w:val="28"/>
          <w:szCs w:val="28"/>
          <w14:textFill>
            <w14:solidFill>
              <w14:schemeClr w14:val="tx1"/>
            </w14:solidFill>
          </w14:textFill>
        </w:rPr>
        <w:br w:type="textWrapping"/>
      </w: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    </w:t>
      </w:r>
      <w:r>
        <w:rPr>
          <w:rFonts w:hint="eastAsia" w:ascii="仿宋" w:hAnsi="仿宋" w:eastAsia="仿宋" w:cs="楷体_GB2312"/>
          <w:b w:val="0"/>
          <w:bCs w:val="0"/>
          <w:color w:val="000000" w:themeColor="text1"/>
          <w:sz w:val="28"/>
          <w:szCs w:val="28"/>
          <w14:textFill>
            <w14:solidFill>
              <w14:schemeClr w14:val="tx1"/>
            </w14:solidFill>
          </w14:textFill>
        </w:rPr>
        <w:t>部门开展绩效评价结果。</w:t>
      </w:r>
    </w:p>
    <w:p>
      <w:pPr>
        <w:keepNext w:val="0"/>
        <w:keepLines w:val="0"/>
        <w:pageBreakBefore w:val="0"/>
        <w:widowControl w:val="0"/>
        <w:kinsoku/>
        <w:wordWrap/>
        <w:overflowPunct/>
        <w:topLinePunct w:val="0"/>
        <w:bidi w:val="0"/>
        <w:snapToGrid w:val="0"/>
        <w:spacing w:line="360" w:lineRule="auto"/>
        <w:ind w:firstLine="700" w:firstLineChars="25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50" w:name="_Toc19089874"/>
      <w:bookmarkStart w:id="51" w:name="_Toc15377221"/>
      <w:r>
        <w:rPr>
          <w:rFonts w:hint="eastAsia" w:ascii="黑体" w:hAnsi="黑体" w:eastAsia="黑体"/>
          <w:b w:val="0"/>
          <w:bCs w:val="0"/>
          <w:color w:val="000000" w:themeColor="text1"/>
          <w:sz w:val="28"/>
          <w:szCs w:val="28"/>
          <w14:textFill>
            <w14:solidFill>
              <w14:schemeClr w14:val="tx1"/>
            </w14:solidFill>
          </w14:textFill>
        </w:rPr>
        <w:t>十</w:t>
      </w:r>
      <w:r>
        <w:rPr>
          <w:rStyle w:val="25"/>
          <w:rFonts w:hint="eastAsia" w:ascii="黑体" w:hAnsi="黑体" w:eastAsia="黑体"/>
          <w:b w:val="0"/>
          <w:bCs w:val="0"/>
          <w:color w:val="000000" w:themeColor="text1"/>
          <w:sz w:val="28"/>
          <w:szCs w:val="28"/>
          <w14:textFill>
            <w14:solidFill>
              <w14:schemeClr w14:val="tx1"/>
            </w14:solidFill>
          </w14:textFill>
        </w:rPr>
        <w:t>一、其他重要事项的情况说明</w:t>
      </w:r>
      <w:bookmarkEnd w:id="50"/>
      <w:bookmarkEnd w:id="51"/>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_GB2312" w:hAnsi="宋体" w:eastAsia="仿宋_GB2312" w:cs="仿宋_GB2312"/>
          <w:b w:val="0"/>
          <w:bCs w:val="0"/>
          <w:color w:val="000000" w:themeColor="text1"/>
          <w:sz w:val="28"/>
          <w:szCs w:val="28"/>
          <w14:textFill>
            <w14:solidFill>
              <w14:schemeClr w14:val="tx1"/>
            </w14:solidFill>
          </w14:textFill>
        </w:rPr>
      </w:pPr>
      <w:bookmarkStart w:id="52" w:name="_Toc15377223"/>
      <w:r>
        <w:rPr>
          <w:rFonts w:hint="eastAsia" w:ascii="仿宋_GB2312" w:hAnsi="宋体" w:eastAsia="仿宋_GB2312" w:cs="仿宋_GB2312"/>
          <w:b w:val="0"/>
          <w:bCs w:val="0"/>
          <w:color w:val="000000" w:themeColor="text1"/>
          <w:sz w:val="28"/>
          <w:szCs w:val="28"/>
          <w14:textFill>
            <w14:solidFill>
              <w14:schemeClr w14:val="tx1"/>
            </w14:solidFill>
          </w14:textFill>
        </w:rPr>
        <w:t>（二）政府采购支出情况</w:t>
      </w:r>
      <w:bookmarkEnd w:id="52"/>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_GB2312" w:hAnsi="宋体" w:eastAsia="仿宋_GB2312" w:cs="仿宋_GB2312"/>
          <w:b w:val="0"/>
          <w:bCs w:val="0"/>
          <w:color w:val="000000" w:themeColor="text1"/>
          <w:sz w:val="28"/>
          <w:szCs w:val="28"/>
          <w14:textFill>
            <w14:solidFill>
              <w14:schemeClr w14:val="tx1"/>
            </w14:solidFill>
          </w14:textFill>
        </w:rPr>
      </w:pPr>
      <w:r>
        <w:rPr>
          <w:rFonts w:hint="eastAsia" w:ascii="仿宋_GB2312" w:hAnsi="宋体" w:eastAsia="仿宋_GB2312" w:cs="仿宋_GB2312"/>
          <w:b w:val="0"/>
          <w:bCs w:val="0"/>
          <w:color w:val="000000" w:themeColor="text1"/>
          <w:sz w:val="28"/>
          <w:szCs w:val="28"/>
          <w14:textFill>
            <w14:solidFill>
              <w14:schemeClr w14:val="tx1"/>
            </w14:solidFill>
          </w14:textFill>
        </w:rPr>
        <w:t>2019年，利州区教育局政府采购支出总额0.00万元，其中：政府采购货物支出0.00万元、政府采购工程支出0.00万元、政府采购服务支出0.00万元。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_GB2312" w:hAnsi="宋体" w:eastAsia="仿宋_GB2312" w:cs="仿宋_GB2312"/>
          <w:b w:val="0"/>
          <w:bCs w:val="0"/>
          <w:color w:val="000000" w:themeColor="text1"/>
          <w:sz w:val="28"/>
          <w:szCs w:val="28"/>
          <w14:textFill>
            <w14:solidFill>
              <w14:schemeClr w14:val="tx1"/>
            </w14:solidFill>
          </w14:textFill>
        </w:rPr>
      </w:pPr>
      <w:r>
        <w:rPr>
          <w:rFonts w:hint="eastAsia" w:ascii="仿宋_GB2312" w:hAnsi="宋体" w:eastAsia="仿宋_GB2312" w:cs="仿宋_GB2312"/>
          <w:b w:val="0"/>
          <w:bCs w:val="0"/>
          <w:color w:val="000000" w:themeColor="text1"/>
          <w:sz w:val="28"/>
          <w:szCs w:val="28"/>
          <w14:textFill>
            <w14:solidFill>
              <w14:schemeClr w14:val="tx1"/>
            </w14:solidFill>
          </w14:textFill>
        </w:rPr>
        <w:t>（数据来源财决CS06表）</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_GB2312" w:hAnsi="宋体" w:eastAsia="仿宋_GB2312" w:cs="仿宋_GB2312"/>
          <w:b w:val="0"/>
          <w:bCs w:val="0"/>
          <w:color w:val="000000" w:themeColor="text1"/>
          <w:sz w:val="28"/>
          <w:szCs w:val="28"/>
          <w14:textFill>
            <w14:solidFill>
              <w14:schemeClr w14:val="tx1"/>
            </w14:solidFill>
          </w14:textFill>
        </w:rPr>
      </w:pPr>
      <w:bookmarkStart w:id="53" w:name="_Toc15377224"/>
      <w:r>
        <w:rPr>
          <w:rFonts w:hint="eastAsia" w:ascii="仿宋_GB2312" w:hAnsi="宋体" w:eastAsia="仿宋_GB2312" w:cs="仿宋_GB2312"/>
          <w:b w:val="0"/>
          <w:bCs w:val="0"/>
          <w:color w:val="000000" w:themeColor="text1"/>
          <w:sz w:val="28"/>
          <w:szCs w:val="28"/>
          <w14:textFill>
            <w14:solidFill>
              <w14:schemeClr w14:val="tx1"/>
            </w14:solidFill>
          </w14:textFill>
        </w:rPr>
        <w:t>（三）国有资产占有使用情况</w:t>
      </w:r>
      <w:bookmarkEnd w:id="53"/>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_GB2312" w:hAnsi="宋体" w:eastAsia="仿宋_GB2312" w:cs="仿宋_GB2312"/>
          <w:b w:val="0"/>
          <w:bCs w:val="0"/>
          <w:color w:val="000000" w:themeColor="text1"/>
          <w:sz w:val="28"/>
          <w:szCs w:val="28"/>
          <w14:textFill>
            <w14:solidFill>
              <w14:schemeClr w14:val="tx1"/>
            </w14:solidFill>
          </w14:textFill>
        </w:rPr>
      </w:pPr>
      <w:r>
        <w:rPr>
          <w:rFonts w:hint="eastAsia" w:ascii="仿宋_GB2312" w:hAnsi="宋体" w:eastAsia="仿宋_GB2312" w:cs="仿宋_GB2312"/>
          <w:b w:val="0"/>
          <w:bCs w:val="0"/>
          <w:color w:val="000000" w:themeColor="text1"/>
          <w:sz w:val="28"/>
          <w:szCs w:val="28"/>
          <w14:textFill>
            <w14:solidFill>
              <w14:schemeClr w14:val="tx1"/>
            </w14:solidFill>
          </w14:textFill>
        </w:rPr>
        <w:t>截至2019年12月31日，利州区教育局共有车辆0辆，单价50万元以上通用设备0台（套），单价100万元以上专用设备0台（套）。</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_GB2312" w:hAnsi="宋体" w:eastAsia="仿宋_GB2312" w:cs="仿宋_GB2312"/>
          <w:b w:val="0"/>
          <w:bCs w:val="0"/>
          <w:color w:val="000000" w:themeColor="text1"/>
          <w:sz w:val="28"/>
          <w:szCs w:val="28"/>
          <w14:textFill>
            <w14:solidFill>
              <w14:schemeClr w14:val="tx1"/>
            </w14:solidFill>
          </w14:textFill>
        </w:rPr>
        <w:t>（数据来源财决CS05表，按部门决算报表填报数据</w:t>
      </w:r>
      <w:r>
        <w:rPr>
          <w:rFonts w:hint="eastAsia" w:ascii="仿宋" w:hAnsi="仿宋" w:eastAsia="仿宋"/>
          <w:b w:val="0"/>
          <w:bCs w:val="0"/>
          <w:color w:val="000000" w:themeColor="text1"/>
          <w:sz w:val="28"/>
          <w:szCs w:val="28"/>
          <w14:textFill>
            <w14:solidFill>
              <w14:schemeClr w14:val="tx1"/>
            </w14:solidFill>
          </w14:textFill>
        </w:rPr>
        <w:t>罗列车辆情况。）</w:t>
      </w:r>
    </w:p>
    <w:p>
      <w:pPr>
        <w:widowControl/>
        <w:jc w:val="left"/>
        <w:rPr>
          <w:rFonts w:ascii="仿宋" w:hAnsi="仿宋" w:eastAsia="仿宋"/>
          <w:b/>
          <w:sz w:val="32"/>
          <w:szCs w:val="32"/>
        </w:rPr>
      </w:pPr>
      <w:r>
        <w:rPr>
          <w:rFonts w:ascii="仿宋" w:hAnsi="仿宋" w:eastAsia="仿宋"/>
          <w:b/>
          <w:sz w:val="32"/>
          <w:szCs w:val="32"/>
        </w:rPr>
        <w:br w:type="page"/>
      </w:r>
    </w:p>
    <w:p>
      <w:pPr>
        <w:numPr>
          <w:ilvl w:val="0"/>
          <w:numId w:val="6"/>
        </w:numPr>
        <w:spacing w:line="600" w:lineRule="exact"/>
        <w:ind w:left="0" w:leftChars="0" w:firstLine="0" w:firstLineChars="0"/>
        <w:jc w:val="center"/>
        <w:outlineLvl w:val="0"/>
        <w:rPr>
          <w:rFonts w:hint="eastAsia" w:ascii="方正小标宋简体" w:hAnsi="方正小标宋简体" w:eastAsia="方正小标宋简体" w:cs="方正小标宋简体"/>
          <w:bCs/>
          <w:kern w:val="44"/>
          <w:sz w:val="44"/>
          <w:szCs w:val="44"/>
        </w:rPr>
      </w:pPr>
      <w:bookmarkStart w:id="54" w:name="_Toc19089875"/>
      <w:bookmarkStart w:id="55" w:name="_Toc15377225"/>
      <w:r>
        <w:rPr>
          <w:rFonts w:hint="eastAsia" w:ascii="方正小标宋简体" w:hAnsi="方正小标宋简体" w:eastAsia="方正小标宋简体" w:cs="方正小标宋简体"/>
          <w:b/>
          <w:sz w:val="44"/>
          <w:szCs w:val="44"/>
        </w:rPr>
        <w:t>名</w:t>
      </w:r>
      <w:r>
        <w:rPr>
          <w:rStyle w:val="24"/>
          <w:rFonts w:hint="eastAsia" w:ascii="方正小标宋简体" w:hAnsi="方正小标宋简体" w:eastAsia="方正小标宋简体" w:cs="方正小标宋简体"/>
          <w:b w:val="0"/>
        </w:rPr>
        <w:t>词解释</w:t>
      </w:r>
      <w:bookmarkEnd w:id="54"/>
      <w:bookmarkEnd w:id="55"/>
    </w:p>
    <w:p>
      <w:pPr>
        <w:pStyle w:val="22"/>
        <w:spacing w:line="560" w:lineRule="exact"/>
        <w:ind w:firstLine="640" w:firstLineChars="200"/>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4.其他收入：指单位取得的除上述收入以外的各项收入。主要是学前教育保育教育费收入、银行存款利息收入等。 </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6.年初结转和结余：指以前年度尚未完成、结转到本年按有关规定继续使用的资金。 </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7.结余分配：指事业单位按照事业单位会计制度的规定从非财政补助结余中分配的事业基金和职工福利基金等。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8.年末结转和结余：指单位按有关规定结转到下年或以后年度继续使用的资金。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9.教育支出（类）教育管理事务（款）行政运行（项）:反映教育行政单位（包括实行公务员管理的事业单位）的基本支出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10. 教育支出（类）教育管理事务（款）一般行政管理事务（项）:反映行政单位（包括实行公务员管理的事业单位）未单独设置项级科目的其它项目支出。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11. 教育支出（类）教育管理事务（款）其它教育管理事务支出（项）:反映除上述项目以外其它用户教育管理事务方面的支出。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12. 教育支出（类）普通教育（款）学前教育（项）:反映各部门举办的学前教育支出。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13. 教育支出（类）普通教育（款）小学教育（项）:反映各部门举办的小学教育支出。政府各部门对社会中介组织等举办的小学的资助，如各类捐赠、补贴等，也在本科目中反映。</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14. 教育支出（类）普通教育（款）初中教育（项）: 反映各部门举办的初中教育支出。政府各部门对社会中介组织等举办的初中教育的资助，如捐赠、补贴等，也在本科目中反映。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15. 教育支出（类）普通教育（款）高中教育（项）: 反映各部门举办的高级中学教育支出。政府各部门对社会中介组织等举办的高级中学的资助，如捐赠、补贴等，也在本科目中反映。</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16. 教育支出（类）普通教育（款）其它普通教育（项）: 反映除上述项目以外其他用于普通教育方面的支出。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17. 教育支出（类）职业教育（款）职业高中教育（项）: 反映各部门举办的职业中学、农业中学（含普通高中改制的）、半工（农）半读中学的支出或补助费</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18. 教育支出（类）职业教育（款）高等职业教育（项）:反映经国家批准设立的高等职业大学、专科职业教育等方面的支出。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19. 教育支出（类）特殊教育（款）特殊活动中心教育（项）: 指各部门举办的盲童活动中心、聋哑活动中心、智力落后儿童活动中心、其它生理缺陷儿童活动中心的支出。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20. 教育支出（类）特殊教育（款）工读活动中心教育（项）:指各部门举办的工读活动中心的支出。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21. 教育支出（类）教育附加费安排的支出（款）农村中小活动中心舍建设（项）:反映教育附加费安排用于农村中小活动中心舍新建、改建、修缮和维护的支出。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22. 教育支出（类）教育附加费安排的支出（款）城市中小活动中心舍建设（项）: 反映教育附加费安排用于城市中小活动中心舍新建、改建、修缮和维护的支出。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23. 教育支出（类）教育附加费安排的支出（款）其它教育附加费安排的支出（项）: 指除上述项目以外的教育附加费支出。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24. 教育支出（类）其它教育支出（款）其他教育支出（项）: 指上述项目以外其他用于教育方面的支出。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25. 社会保障和就业支出（类）行政事业单位离退休（款）机关事业单位基本养老保险缴费支出（项）: 指机关事业单位实施养老保险制度由单位缴纳的基本养老保险费支出。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26. 社会保障和就业支出（类）行政事业单位离退休（款）机关事业单位职业年金缴费支出（项）: 指机关事业单位实施养老保险制度由单位实际缴纳的职业年金支出。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27. 社会保障和就业支出（类）抚恤（款）死亡抚恤（项）: 指按规定用于烈士和牺牲、病故人员家属的一次性和定期抚恤金以及丧葬补助费。</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30. 农林水支出（类）扶贫（款）其它扶贫支出（项）: 指除上述项目以外其他用于扶贫方面的支出。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31. 住房保障支出（类）住房改革支出（款）住房公积金（项）: 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32. 其他支出（类）其他支出（款）其他支出（项）: 指上述项目以外其他不能划分到具体功能科目中的支出项目。</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33.基本支出：指为保障机构正常运转、完成日常工作任务而发生的人员支出和公用支出。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34.项目支出：指在基本支出之外为完成特定行政任务和事业发展目标所发生的支出。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35.经营支出：指事业单位在专业业务活动及其辅助活动之外开展非独立核算经营活动发生的支出。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（名词解释部分请根据各部门实际列支情况罗列，并根据本部门职责职能增减名词解释内容。）</w:t>
      </w:r>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bookmarkStart w:id="56" w:name="_Toc19089876"/>
      <w:bookmarkStart w:id="57" w:name="_Toc15377226"/>
    </w:p>
    <w:p>
      <w:pPr>
        <w:keepNext w:val="0"/>
        <w:keepLines w:val="0"/>
        <w:pageBreakBefore w:val="0"/>
        <w:widowControl w:val="0"/>
        <w:kinsoku/>
        <w:wordWrap/>
        <w:overflowPunct/>
        <w:topLinePunct w:val="0"/>
        <w:autoSpaceDE/>
        <w:autoSpaceDN/>
        <w:bidi w:val="0"/>
        <w:adjustRightInd/>
        <w:snapToGrid w:val="0"/>
        <w:spacing w:line="560" w:lineRule="exact"/>
        <w:ind w:firstLine="700" w:firstLineChars="250"/>
        <w:textAlignment w:val="auto"/>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rPr>
          <w:rFonts w:hint="eastAsia" w:ascii="黑体" w:hAnsi="黑体" w:eastAsia="黑体"/>
          <w:sz w:val="44"/>
          <w:szCs w:val="44"/>
        </w:rPr>
      </w:pPr>
      <w:r>
        <w:rPr>
          <w:rFonts w:hint="eastAsia" w:ascii="黑体" w:hAnsi="黑体" w:eastAsia="黑体"/>
          <w:sz w:val="44"/>
          <w:szCs w:val="44"/>
        </w:rPr>
        <w:br w:type="page"/>
      </w:r>
    </w:p>
    <w:p>
      <w:pPr>
        <w:spacing w:line="600" w:lineRule="exact"/>
        <w:jc w:val="center"/>
        <w:outlineLvl w:val="0"/>
        <w:rPr>
          <w:rStyle w:val="24"/>
          <w:rFonts w:hint="eastAsia"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四部分 附件</w:t>
      </w:r>
      <w:bookmarkEnd w:id="56"/>
    </w:p>
    <w:p>
      <w:pPr>
        <w:widowControl/>
        <w:jc w:val="left"/>
        <w:rPr>
          <w:rFonts w:ascii="黑体" w:hAnsi="黑体" w:eastAsia="黑体"/>
          <w:bCs/>
          <w:kern w:val="44"/>
          <w:sz w:val="44"/>
          <w:szCs w:val="44"/>
        </w:rPr>
      </w:pPr>
      <w:bookmarkStart w:id="58" w:name="_Toc19089877"/>
      <w:r>
        <w:rPr>
          <w:rFonts w:hint="eastAsia" w:ascii="仿宋" w:hAnsi="仿宋" w:eastAsia="仿宋"/>
          <w:kern w:val="44"/>
          <w:sz w:val="32"/>
          <w:szCs w:val="32"/>
        </w:rPr>
        <w:t>附件1</w:t>
      </w:r>
      <w:bookmarkEnd w:id="58"/>
    </w:p>
    <w:p>
      <w:pPr>
        <w:spacing w:line="600" w:lineRule="exact"/>
        <w:jc w:val="center"/>
        <w:outlineLvl w:val="0"/>
        <w:rPr>
          <w:rFonts w:ascii="黑体" w:hAnsi="黑体" w:eastAsia="黑体" w:cs="方正小标宋简体"/>
          <w:sz w:val="36"/>
          <w:szCs w:val="36"/>
        </w:rPr>
      </w:pPr>
      <w:bookmarkStart w:id="59" w:name="_Toc19089878"/>
      <w:bookmarkStart w:id="60" w:name="_Toc15396616"/>
      <w:r>
        <w:rPr>
          <w:rFonts w:hint="eastAsia" w:ascii="黑体" w:hAnsi="黑体" w:eastAsia="黑体" w:cs="方正小标宋简体"/>
          <w:sz w:val="36"/>
          <w:szCs w:val="36"/>
        </w:rPr>
        <w:t>广元市利州区青少年校外活动中心</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w:t>
      </w:r>
      <w:bookmarkEnd w:id="59"/>
      <w:bookmarkStart w:id="61" w:name="_Toc19089879"/>
      <w:r>
        <w:rPr>
          <w:rFonts w:hint="eastAsia" w:ascii="黑体" w:hAnsi="黑体" w:eastAsia="黑体" w:cs="方正小标宋简体"/>
          <w:sz w:val="36"/>
          <w:szCs w:val="36"/>
        </w:rPr>
        <w:t>绩效评价报告</w:t>
      </w:r>
      <w:bookmarkEnd w:id="60"/>
      <w:bookmarkEnd w:id="61"/>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一、部门（单位）概况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（一）机构组成</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广元市利州区青少年校外活动中心属二级法人单位，编制4人，现实有占编人员3人，借调1人，兼职2人。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（二）机构职能</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 </w:t>
      </w:r>
      <w:r>
        <w:rPr>
          <w:rFonts w:ascii="仿宋" w:hAnsi="仿宋" w:eastAsia="仿宋"/>
          <w:color w:val="000000" w:themeColor="text1"/>
          <w:sz w:val="28"/>
          <w:szCs w:val="28"/>
          <w14:textFill>
            <w14:solidFill>
              <w14:schemeClr w14:val="tx1"/>
            </w14:solidFill>
          </w14:textFill>
        </w:rPr>
        <w:t>贯彻执行党和国家关于教育改革和发展的各项方针、政策。</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实施中、小学义务教育，促进基础教育发展初中、小学学历教育。</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以习近平新时代中国特色社会主义思想为指导，大力推动活动中心党建工作。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4. </w:t>
      </w:r>
      <w:r>
        <w:rPr>
          <w:rFonts w:ascii="仿宋" w:hAnsi="仿宋" w:eastAsia="仿宋"/>
          <w:color w:val="000000" w:themeColor="text1"/>
          <w:sz w:val="28"/>
          <w:szCs w:val="28"/>
          <w14:textFill>
            <w14:solidFill>
              <w14:schemeClr w14:val="tx1"/>
            </w14:solidFill>
          </w14:textFill>
        </w:rPr>
        <w:t>负责</w:t>
      </w:r>
      <w:r>
        <w:rPr>
          <w:rFonts w:hint="eastAsia" w:ascii="仿宋" w:hAnsi="仿宋" w:eastAsia="仿宋"/>
          <w:color w:val="000000" w:themeColor="text1"/>
          <w:sz w:val="28"/>
          <w:szCs w:val="28"/>
          <w14:textFill>
            <w14:solidFill>
              <w14:schemeClr w14:val="tx1"/>
            </w14:solidFill>
          </w14:textFill>
        </w:rPr>
        <w:t>单位</w:t>
      </w:r>
      <w:r>
        <w:rPr>
          <w:rFonts w:ascii="仿宋" w:hAnsi="仿宋" w:eastAsia="仿宋"/>
          <w:color w:val="000000" w:themeColor="text1"/>
          <w:sz w:val="28"/>
          <w:szCs w:val="28"/>
          <w14:textFill>
            <w14:solidFill>
              <w14:schemeClr w14:val="tx1"/>
            </w14:solidFill>
          </w14:textFill>
        </w:rPr>
        <w:t>教育经费的</w:t>
      </w:r>
      <w:r>
        <w:rPr>
          <w:rFonts w:hint="eastAsia" w:ascii="仿宋" w:hAnsi="仿宋" w:eastAsia="仿宋"/>
          <w:color w:val="000000" w:themeColor="text1"/>
          <w:sz w:val="28"/>
          <w:szCs w:val="28"/>
          <w14:textFill>
            <w14:solidFill>
              <w14:schemeClr w14:val="tx1"/>
            </w14:solidFill>
          </w14:textFill>
        </w:rPr>
        <w:t>管理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保证中小学正常运转，用于教学活动和后勤服务等方面开支</w:t>
      </w:r>
      <w:r>
        <w:rPr>
          <w:rFonts w:ascii="仿宋" w:hAnsi="仿宋" w:eastAsia="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 加强队伍建设，转变工作作风。</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 构建发展平台，引领教师专业发展。</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 深化常规管理，提高教育教学质量。</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 深化常规管理，提高教育教学质量。</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 强化安全意识，打造平安和谐校园。</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楷体_GB2312" w:hAnsi="仿宋" w:eastAsia="楷体_GB2312"/>
          <w:color w:val="000000" w:themeColor="text1"/>
          <w:spacing w:val="-6"/>
          <w:kern w:val="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 紧跟时代步伐，发挥工会职能，增进民生福祉。</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 精准帮扶尽锐出战，关爱惠民传递温暖。</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（三）人员概况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广元市利州区青少年校外活动中心共有编制4名，截至2018年末，实有在职人员2人，离休人员0人。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二、部门财政资金收支情况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（一）部门财政资金收入情况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2019年财政拨款收入总计69.89万元。与2018年相比（28.78万元），财政拨款收入总计增加41.11万元，增涨142.84%。</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（二）部门财政资金支出情况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2019年财政拨款支出总计38.96万元。与2018年相比（28.78万元），财政拨款支出总计增加10.18万元，增长35.37%。</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三、部门整体预算绩效管理情况（根据适用指标体系进行调整）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（一）部门预算管理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ascii="仿宋" w:hAnsi="仿宋" w:eastAsia="仿宋" w:cs="仿宋_GB2312"/>
          <w:color w:val="000000" w:themeColor="text1"/>
          <w:sz w:val="28"/>
          <w:szCs w:val="28"/>
          <w14:textFill>
            <w14:solidFill>
              <w14:schemeClr w14:val="tx1"/>
            </w14:solidFill>
          </w14:textFill>
        </w:rPr>
        <w:t>部门绩效目标制定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预算编制</w:t>
      </w:r>
      <w:r>
        <w:rPr>
          <w:rFonts w:hint="eastAsia" w:ascii="仿宋" w:hAnsi="仿宋" w:eastAsia="仿宋" w:cs="仿宋_GB2312"/>
          <w:color w:val="000000" w:themeColor="text1"/>
          <w:sz w:val="28"/>
          <w:szCs w:val="28"/>
          <w14:textFill>
            <w14:solidFill>
              <w14:schemeClr w14:val="tx1"/>
            </w14:solidFill>
          </w14:textFill>
        </w:rPr>
        <w:t>和执行</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（二）专项预算管理。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1.专项预算编制情况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各项专项预算的编制严格按照“二上二下”的程序，先由支出股室或下属活动中心根据年度工作目标提出当年的专项预算项目建议方案，经分管领导审核后由财务股汇总编制并呈局务会批准上报区财政。根据区财政下达的年度各类专项资金年度预算指标，分解下达各支出股室或下属活动中心，进一步完善专项预算方案。方案完善后，财务股统一汇总再次上报区财政。财政最终批复后，财务股将各类专项预算指标分解下达各支出股室和下属活动中心。</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2.专项预算执行</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对于上级或区本级下达的各类专项预算支出，严格按照预算批复的开支范围和标准执行，不准擅自调项、扩项、缩项，更不准拆借、挪用、挤占和随意</w:t>
      </w:r>
      <w:r>
        <w:rPr>
          <w:rFonts w:hint="eastAsia" w:ascii="仿宋" w:hAnsi="仿宋" w:eastAsia="仿宋" w:cs="仿宋_GB2312"/>
          <w:color w:val="000000" w:themeColor="text1"/>
          <w:spacing w:val="-6"/>
          <w:sz w:val="28"/>
          <w:szCs w:val="28"/>
          <w14:textFill>
            <w14:solidFill>
              <w14:schemeClr w14:val="tx1"/>
            </w14:solidFill>
          </w14:textFill>
        </w:rPr>
        <w:t>扣压；资金拨付动向，按不同专项资金的要求执行，不准任意改变</w:t>
      </w:r>
      <w:r>
        <w:rPr>
          <w:rFonts w:hint="eastAsia" w:ascii="仿宋" w:hAnsi="仿宋" w:eastAsia="仿宋" w:cs="仿宋_GB2312"/>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3.专项预算绩效目标完成情况</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2019年青少年校外活动中心各类财政专项预算支出共38.00万元，已完成7.07万元，其余在2020年支出。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四、评价结论及建议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（一）评价结论</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97.3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（二）存在问题</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预算追加经费数额大，下达时间比较晚，个别大型的项目资金执行时间比较长，造成预算执行率偏差。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（三）改进建议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2.落实预算执行分析，及时了解预算执行差异，合理调整、纠正预算执行偏差，切实提高部门预算收支管理水平。</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hint="eastAsia" w:ascii="方正小标宋简体" w:hAnsi="方正小标宋简体" w:eastAsia="方正小标宋简体" w:cs="方正小标宋简体"/>
          <w:b w:val="0"/>
        </w:rPr>
      </w:pPr>
      <w:bookmarkStart w:id="62" w:name="_Toc19089885"/>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五部分 附表</w:t>
      </w:r>
      <w:bookmarkEnd w:id="57"/>
      <w:bookmarkEnd w:id="62"/>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3" w:name="_Toc19089886"/>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一、收入支出决算总表</w:t>
      </w:r>
      <w:bookmarkEnd w:id="63"/>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4" w:name="_Toc19089887"/>
      <w:r>
        <w:rPr>
          <w:rFonts w:hint="eastAsia" w:ascii="仿宋" w:hAnsi="仿宋" w:eastAsia="仿宋" w:cs="仿宋_GB2312"/>
          <w:color w:val="000000" w:themeColor="text1"/>
          <w:sz w:val="28"/>
          <w:szCs w:val="28"/>
          <w14:textFill>
            <w14:solidFill>
              <w14:schemeClr w14:val="tx1"/>
            </w14:solidFill>
          </w14:textFill>
        </w:rPr>
        <w:t>二、收入总表</w:t>
      </w:r>
      <w:bookmarkEnd w:id="64"/>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5" w:name="_Toc19089888"/>
      <w:r>
        <w:rPr>
          <w:rFonts w:hint="eastAsia" w:ascii="仿宋" w:hAnsi="仿宋" w:eastAsia="仿宋" w:cs="仿宋_GB2312"/>
          <w:color w:val="000000" w:themeColor="text1"/>
          <w:sz w:val="28"/>
          <w:szCs w:val="28"/>
          <w14:textFill>
            <w14:solidFill>
              <w14:schemeClr w14:val="tx1"/>
            </w14:solidFill>
          </w14:textFill>
        </w:rPr>
        <w:t>三、支出总表</w:t>
      </w:r>
      <w:bookmarkEnd w:id="65"/>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6" w:name="_Toc19089889"/>
      <w:r>
        <w:rPr>
          <w:rFonts w:hint="eastAsia" w:ascii="仿宋" w:hAnsi="仿宋" w:eastAsia="仿宋" w:cs="仿宋_GB2312"/>
          <w:color w:val="000000" w:themeColor="text1"/>
          <w:sz w:val="28"/>
          <w:szCs w:val="28"/>
          <w14:textFill>
            <w14:solidFill>
              <w14:schemeClr w14:val="tx1"/>
            </w14:solidFill>
          </w14:textFill>
        </w:rPr>
        <w:t>四、财政拨款收入支出决算总表</w:t>
      </w:r>
      <w:bookmarkEnd w:id="66"/>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7" w:name="_Toc19089890"/>
      <w:r>
        <w:rPr>
          <w:rFonts w:hint="eastAsia" w:ascii="仿宋" w:hAnsi="仿宋" w:eastAsia="仿宋" w:cs="仿宋_GB2312"/>
          <w:color w:val="000000" w:themeColor="text1"/>
          <w:sz w:val="28"/>
          <w:szCs w:val="28"/>
          <w14:textFill>
            <w14:solidFill>
              <w14:schemeClr w14:val="tx1"/>
            </w14:solidFill>
          </w14:textFill>
        </w:rPr>
        <w:t>五、财政拨款支出决算明细表（政府经济分类科目）</w:t>
      </w:r>
      <w:bookmarkEnd w:id="67"/>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8" w:name="_Toc19089891"/>
      <w:r>
        <w:rPr>
          <w:rFonts w:hint="eastAsia" w:ascii="仿宋" w:hAnsi="仿宋" w:eastAsia="仿宋" w:cs="仿宋_GB2312"/>
          <w:color w:val="000000" w:themeColor="text1"/>
          <w:sz w:val="28"/>
          <w:szCs w:val="28"/>
          <w14:textFill>
            <w14:solidFill>
              <w14:schemeClr w14:val="tx1"/>
            </w14:solidFill>
          </w14:textFill>
        </w:rPr>
        <w:t>六、一般公共预算财政拨款支出决算表</w:t>
      </w:r>
      <w:bookmarkEnd w:id="68"/>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69" w:name="_Toc19089892"/>
      <w:r>
        <w:rPr>
          <w:rFonts w:hint="eastAsia" w:ascii="仿宋" w:hAnsi="仿宋" w:eastAsia="仿宋" w:cs="仿宋_GB2312"/>
          <w:color w:val="000000" w:themeColor="text1"/>
          <w:sz w:val="28"/>
          <w:szCs w:val="28"/>
          <w14:textFill>
            <w14:solidFill>
              <w14:schemeClr w14:val="tx1"/>
            </w14:solidFill>
          </w14:textFill>
        </w:rPr>
        <w:t>七、一般公共预算财政拨款支出决算明细表</w:t>
      </w:r>
      <w:bookmarkEnd w:id="69"/>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70" w:name="_Toc19089893"/>
      <w:r>
        <w:rPr>
          <w:rFonts w:hint="eastAsia" w:ascii="仿宋" w:hAnsi="仿宋" w:eastAsia="仿宋" w:cs="仿宋_GB2312"/>
          <w:color w:val="000000" w:themeColor="text1"/>
          <w:sz w:val="28"/>
          <w:szCs w:val="28"/>
          <w14:textFill>
            <w14:solidFill>
              <w14:schemeClr w14:val="tx1"/>
            </w14:solidFill>
          </w14:textFill>
        </w:rPr>
        <w:t>八、一般公共预算财政拨款基本支出决算表</w:t>
      </w:r>
      <w:bookmarkEnd w:id="70"/>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71" w:name="_Toc19089894"/>
      <w:r>
        <w:rPr>
          <w:rFonts w:hint="eastAsia" w:ascii="仿宋" w:hAnsi="仿宋" w:eastAsia="仿宋" w:cs="仿宋_GB2312"/>
          <w:color w:val="000000" w:themeColor="text1"/>
          <w:sz w:val="28"/>
          <w:szCs w:val="28"/>
          <w14:textFill>
            <w14:solidFill>
              <w14:schemeClr w14:val="tx1"/>
            </w14:solidFill>
          </w14:textFill>
        </w:rPr>
        <w:t>九、一般公共预算财政拨款项目支出决算表</w:t>
      </w:r>
      <w:bookmarkEnd w:id="71"/>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72" w:name="_Toc19089895"/>
      <w:r>
        <w:rPr>
          <w:rFonts w:hint="eastAsia" w:ascii="仿宋" w:hAnsi="仿宋" w:eastAsia="仿宋" w:cs="仿宋_GB2312"/>
          <w:color w:val="000000" w:themeColor="text1"/>
          <w:sz w:val="28"/>
          <w:szCs w:val="28"/>
          <w14:textFill>
            <w14:solidFill>
              <w14:schemeClr w14:val="tx1"/>
            </w14:solidFill>
          </w14:textFill>
        </w:rPr>
        <w:t>十、一般公共预算财政拨款“三公”经费支出决算表</w:t>
      </w:r>
      <w:bookmarkEnd w:id="72"/>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73" w:name="_Toc19089896"/>
      <w:r>
        <w:rPr>
          <w:rFonts w:hint="eastAsia" w:ascii="仿宋" w:hAnsi="仿宋" w:eastAsia="仿宋" w:cs="仿宋_GB2312"/>
          <w:color w:val="000000" w:themeColor="text1"/>
          <w:sz w:val="28"/>
          <w:szCs w:val="28"/>
          <w14:textFill>
            <w14:solidFill>
              <w14:schemeClr w14:val="tx1"/>
            </w14:solidFill>
          </w14:textFill>
        </w:rPr>
        <w:t>十一、政府性基金预算财政拨款收入支出决算表</w:t>
      </w:r>
      <w:bookmarkEnd w:id="73"/>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74" w:name="_Toc19089897"/>
      <w:r>
        <w:rPr>
          <w:rFonts w:hint="eastAsia" w:ascii="仿宋" w:hAnsi="仿宋" w:eastAsia="仿宋" w:cs="仿宋_GB2312"/>
          <w:color w:val="000000" w:themeColor="text1"/>
          <w:sz w:val="28"/>
          <w:szCs w:val="28"/>
          <w14:textFill>
            <w14:solidFill>
              <w14:schemeClr w14:val="tx1"/>
            </w14:solidFill>
          </w14:textFill>
        </w:rPr>
        <w:t>十二、政府性基金预算财政拨款“三公”经费支出决算表</w:t>
      </w:r>
      <w:bookmarkEnd w:id="74"/>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bookmarkStart w:id="75" w:name="_Toc19089898"/>
      <w:r>
        <w:rPr>
          <w:rFonts w:hint="eastAsia" w:ascii="仿宋" w:hAnsi="仿宋" w:eastAsia="仿宋" w:cs="仿宋_GB2312"/>
          <w:color w:val="000000" w:themeColor="text1"/>
          <w:sz w:val="28"/>
          <w:szCs w:val="28"/>
          <w14:textFill>
            <w14:solidFill>
              <w14:schemeClr w14:val="tx1"/>
            </w14:solidFill>
          </w14:textFill>
        </w:rPr>
        <w:t>十三、国有资本经营预算支出决算表</w:t>
      </w:r>
      <w:bookmarkEnd w:id="75"/>
    </w:p>
    <w:sectPr>
      <w:footerReference r:id="rId6" w:type="first"/>
      <w:footerReference r:id="rId5"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hint="eastAsia" w:asciiTheme="minorEastAsia" w:hAnsiTheme="minorEastAsia" w:eastAsiaTheme="minorEastAsia" w:cstheme="minorEastAsia"/>
        <w:sz w:val="24"/>
        <w:szCs w:val="24"/>
      </w:rPr>
    </w:sdtEnd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21</w:t>
        </w:r>
        <w:r>
          <w:rPr>
            <w:rFonts w:hint="eastAsia" w:asciiTheme="minorEastAsia" w:hAnsiTheme="minorEastAsia" w:eastAsiaTheme="minorEastAsia" w:cstheme="minorEastAsia"/>
            <w:sz w:val="24"/>
            <w:szCs w:val="24"/>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21</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sdt>
                    <w:sdtPr>
                      <w:id w:val="-1994781956"/>
                    </w:sdtPr>
                    <w:sdtEndPr>
                      <w:rPr>
                        <w:rFonts w:hint="eastAsia" w:asciiTheme="minorEastAsia" w:hAnsiTheme="minorEastAsia" w:eastAsiaTheme="minorEastAsia" w:cstheme="minorEastAsia"/>
                        <w:sz w:val="24"/>
                        <w:szCs w:val="24"/>
                      </w:rPr>
                    </w:sdtEndPr>
                    <w:sdtContent>
                      <w:p>
                        <w:pPr>
                          <w:pStyle w:val="8"/>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21</w:t>
                        </w:r>
                        <w:r>
                          <w:rPr>
                            <w:rFonts w:hint="eastAsia" w:asciiTheme="minorEastAsia" w:hAnsiTheme="minorEastAsia" w:eastAsiaTheme="minorEastAsia" w:cstheme="minorEastAsia"/>
                            <w:sz w:val="24"/>
                            <w:szCs w:val="24"/>
                          </w:rPr>
                          <w:fldChar w:fldCharType="end"/>
                        </w:r>
                      </w:p>
                    </w:sdtContent>
                  </w:sdt>
                  <w:p>
                    <w:pPr>
                      <w:rPr>
                        <w:rFonts w:hint="eastAsia" w:asciiTheme="minorEastAsia" w:hAnsiTheme="minorEastAsia" w:eastAsiaTheme="minorEastAsia" w:cstheme="minorEastAsia"/>
                        <w:sz w:val="24"/>
                        <w:szCs w:val="24"/>
                      </w:rPr>
                    </w:pPr>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2"/>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5BF2"/>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97E1A"/>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B4C50"/>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1596A"/>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A5BAC"/>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AF27E1"/>
    <w:rsid w:val="00B03C9D"/>
    <w:rsid w:val="00B0608E"/>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E30FA"/>
    <w:rsid w:val="00FF1E02"/>
    <w:rsid w:val="00FF30B4"/>
    <w:rsid w:val="040A3C09"/>
    <w:rsid w:val="04CA1D25"/>
    <w:rsid w:val="054B013F"/>
    <w:rsid w:val="06E82806"/>
    <w:rsid w:val="0E232121"/>
    <w:rsid w:val="0E975476"/>
    <w:rsid w:val="10C055FF"/>
    <w:rsid w:val="16BB723D"/>
    <w:rsid w:val="16E64082"/>
    <w:rsid w:val="1BF15163"/>
    <w:rsid w:val="1E147BE1"/>
    <w:rsid w:val="21233793"/>
    <w:rsid w:val="2184358A"/>
    <w:rsid w:val="225A0BD6"/>
    <w:rsid w:val="240371BF"/>
    <w:rsid w:val="29FD04D3"/>
    <w:rsid w:val="2A793A74"/>
    <w:rsid w:val="319F7F4E"/>
    <w:rsid w:val="39233B37"/>
    <w:rsid w:val="3B831825"/>
    <w:rsid w:val="409501C5"/>
    <w:rsid w:val="441A3757"/>
    <w:rsid w:val="48384D73"/>
    <w:rsid w:val="48A42EA2"/>
    <w:rsid w:val="4B106AE9"/>
    <w:rsid w:val="53C52CC6"/>
    <w:rsid w:val="7A5B44B8"/>
    <w:rsid w:val="7D197D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588.57</c:v>
                </c:pt>
                <c:pt idx="1">
                  <c:v>958.56</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588.57</c:v>
                </c:pt>
                <c:pt idx="1">
                  <c:v>927.63</c:v>
                </c:pt>
              </c:numCache>
            </c:numRef>
          </c:val>
        </c:ser>
        <c:dLbls>
          <c:showLegendKey val="0"/>
          <c:showVal val="0"/>
          <c:showCatName val="0"/>
          <c:showSerName val="0"/>
          <c:showPercent val="0"/>
          <c:showBubbleSize val="0"/>
        </c:dLbls>
        <c:gapWidth val="150"/>
        <c:axId val="268367840"/>
        <c:axId val="268368232"/>
      </c:barChart>
      <c:catAx>
        <c:axId val="2683678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8368232"/>
        <c:crosses val="autoZero"/>
        <c:auto val="1"/>
        <c:lblAlgn val="ctr"/>
        <c:lblOffset val="100"/>
        <c:noMultiLvlLbl val="0"/>
      </c:catAx>
      <c:valAx>
        <c:axId val="268368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8367840"/>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5"/>
                  <c:y val="-0.05265836056691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562773790240408"/>
                  <c:y val="-0.119044427825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0.016948330838810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69.89</c:v>
                </c:pt>
                <c:pt idx="1">
                  <c:v>0</c:v>
                </c:pt>
                <c:pt idx="2">
                  <c:v>0</c:v>
                </c:pt>
                <c:pt idx="3">
                  <c:v>0</c:v>
                </c:pt>
                <c:pt idx="4">
                  <c:v>0</c:v>
                </c:pt>
                <c:pt idx="6">
                  <c:v>888.67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927.63</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28.78</c:v>
                </c:pt>
                <c:pt idx="1">
                  <c:v>69.89</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28.78</c:v>
                </c:pt>
                <c:pt idx="1">
                  <c:v>38.96</c:v>
                </c:pt>
              </c:numCache>
            </c:numRef>
          </c:val>
        </c:ser>
        <c:dLbls>
          <c:showLegendKey val="0"/>
          <c:showVal val="0"/>
          <c:showCatName val="0"/>
          <c:showSerName val="0"/>
          <c:showPercent val="0"/>
          <c:showBubbleSize val="0"/>
        </c:dLbls>
        <c:gapWidth val="150"/>
        <c:axId val="428252296"/>
        <c:axId val="428252688"/>
      </c:barChart>
      <c:catAx>
        <c:axId val="4282522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8252688"/>
        <c:crosses val="autoZero"/>
        <c:auto val="1"/>
        <c:lblAlgn val="ctr"/>
        <c:lblOffset val="100"/>
        <c:noMultiLvlLbl val="0"/>
      </c:catAx>
      <c:valAx>
        <c:axId val="4282526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825229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28.78</c:v>
                </c:pt>
                <c:pt idx="1">
                  <c:v>38.96</c:v>
                </c:pt>
              </c:numCache>
            </c:numRef>
          </c:val>
        </c:ser>
        <c:dLbls>
          <c:showLegendKey val="0"/>
          <c:showVal val="0"/>
          <c:showCatName val="0"/>
          <c:showSerName val="0"/>
          <c:showPercent val="0"/>
          <c:showBubbleSize val="0"/>
        </c:dLbls>
        <c:gapWidth val="150"/>
        <c:axId val="431269048"/>
        <c:axId val="431269440"/>
      </c:barChart>
      <c:catAx>
        <c:axId val="4312690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1269440"/>
        <c:crosses val="autoZero"/>
        <c:auto val="1"/>
        <c:lblAlgn val="ctr"/>
        <c:lblOffset val="100"/>
        <c:noMultiLvlLbl val="0"/>
      </c:catAx>
      <c:valAx>
        <c:axId val="431269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126904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31.93</c:v>
                </c:pt>
                <c:pt idx="2">
                  <c:v>0</c:v>
                </c:pt>
                <c:pt idx="3">
                  <c:v>3.46</c:v>
                </c:pt>
                <c:pt idx="4">
                  <c:v>1.19</c:v>
                </c:pt>
                <c:pt idx="5">
                  <c:v>0</c:v>
                </c:pt>
                <c:pt idx="6">
                  <c:v>2.38</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1203.26</c:v>
                </c:pt>
                <c:pt idx="2">
                  <c:v>16.53</c:v>
                </c:pt>
                <c:pt idx="3">
                  <c:v>2004.65</c:v>
                </c:pt>
                <c:pt idx="4">
                  <c:v>9.07</c:v>
                </c:pt>
                <c:pt idx="5">
                  <c:v>399.71</c:v>
                </c:pt>
                <c:pt idx="6">
                  <c:v>247.76</c:v>
                </c:pt>
                <c:pt idx="7">
                  <c:v>259.9</c:v>
                </c:pt>
                <c:pt idx="8">
                  <c:v>4387.75</c:v>
                </c:pt>
                <c:pt idx="9">
                  <c:v>15.85</c:v>
                </c:pt>
                <c:pt idx="10">
                  <c:v>0</c:v>
                </c:pt>
                <c:pt idx="11">
                  <c:v>758.67</c:v>
                </c:pt>
                <c:pt idx="12">
                  <c:v>2350.89</c:v>
                </c:pt>
                <c:pt idx="13">
                  <c:v>8.25</c:v>
                </c:pt>
                <c:pt idx="14">
                  <c:v>2653.85</c:v>
                </c:pt>
                <c:pt idx="15">
                  <c:v>0</c:v>
                </c:pt>
                <c:pt idx="16">
                  <c:v>228.47</c:v>
                </c:pt>
                <c:pt idx="17">
                  <c:v>329.54</c:v>
                </c:pt>
                <c:pt idx="18">
                  <c:v>48.69</c:v>
                </c:pt>
                <c:pt idx="19">
                  <c:v>779.45</c:v>
                </c:pt>
                <c:pt idx="20">
                  <c:v>1448.79</c:v>
                </c:pt>
                <c:pt idx="21">
                  <c:v>5233.52</c:v>
                </c:pt>
                <c:pt idx="22">
                  <c:v>18045.75</c:v>
                </c:pt>
                <c:pt idx="23">
                  <c:v>23719.18</c:v>
                </c:pt>
                <c:pt idx="24">
                  <c:v>2982.73</c:v>
                </c:pt>
                <c:pt idx="25">
                  <c:v>14.16</c:v>
                </c:pt>
                <c:pt idx="26">
                  <c:v>40.32</c:v>
                </c:pt>
                <c:pt idx="27">
                  <c:v>228.34</c:v>
                </c:pt>
              </c:numCache>
            </c:numRef>
          </c:val>
        </c:ser>
        <c:ser>
          <c:idx val="1"/>
          <c:order val="1"/>
          <c:tx>
            <c:strRef>
              <c:f>Sheet1!$C$1</c:f>
              <c:strCache>
                <c:ptCount val="1"/>
                <c:pt idx="0">
                  <c:v>未完成预算额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13.88</c:v>
                </c:pt>
                <c:pt idx="4">
                  <c:v>0</c:v>
                </c:pt>
                <c:pt idx="5">
                  <c:v>0</c:v>
                </c:pt>
                <c:pt idx="7">
                  <c:v>0</c:v>
                </c:pt>
                <c:pt idx="8">
                  <c:v>79.4</c:v>
                </c:pt>
                <c:pt idx="9">
                  <c:v>0</c:v>
                </c:pt>
                <c:pt idx="10">
                  <c:v>53.68</c:v>
                </c:pt>
                <c:pt idx="11">
                  <c:v>603.23</c:v>
                </c:pt>
                <c:pt idx="12">
                  <c:v>994.9</c:v>
                </c:pt>
                <c:pt idx="13">
                  <c:v>631.75</c:v>
                </c:pt>
                <c:pt idx="14">
                  <c:v>0</c:v>
                </c:pt>
                <c:pt idx="15">
                  <c:v>123.01</c:v>
                </c:pt>
                <c:pt idx="16">
                  <c:v>41.43</c:v>
                </c:pt>
                <c:pt idx="17">
                  <c:v>52.75</c:v>
                </c:pt>
                <c:pt idx="18">
                  <c:v>0</c:v>
                </c:pt>
                <c:pt idx="19">
                  <c:v>76.82</c:v>
                </c:pt>
                <c:pt idx="20">
                  <c:v>379.35</c:v>
                </c:pt>
                <c:pt idx="21">
                  <c:v>1270.42</c:v>
                </c:pt>
                <c:pt idx="22">
                  <c:v>4500</c:v>
                </c:pt>
                <c:pt idx="23">
                  <c:v>6023.78</c:v>
                </c:pt>
                <c:pt idx="24">
                  <c:v>3760.25</c:v>
                </c:pt>
                <c:pt idx="25">
                  <c:v>0</c:v>
                </c:pt>
                <c:pt idx="26">
                  <c:v>56</c:v>
                </c:pt>
                <c:pt idx="27">
                  <c:v>0</c:v>
                </c:pt>
              </c:numCache>
            </c:numRef>
          </c:val>
        </c:ser>
        <c:dLbls>
          <c:showLegendKey val="0"/>
          <c:showVal val="0"/>
          <c:showCatName val="0"/>
          <c:showSerName val="0"/>
          <c:showPercent val="0"/>
          <c:showBubbleSize val="0"/>
        </c:dLbls>
        <c:gapWidth val="150"/>
        <c:overlap val="100"/>
        <c:axId val="431578608"/>
        <c:axId val="431579000"/>
      </c:barChart>
      <c:catAx>
        <c:axId val="43157860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431579000"/>
        <c:crosses val="autoZero"/>
        <c:auto val="1"/>
        <c:lblAlgn val="l"/>
        <c:lblOffset val="100"/>
        <c:noMultiLvlLbl val="0"/>
      </c:catAx>
      <c:valAx>
        <c:axId val="431579000"/>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157860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EB6BA-074C-4D6A-967F-3FE2111D638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28</Pages>
  <Words>1652</Words>
  <Characters>9419</Characters>
  <Lines>78</Lines>
  <Paragraphs>22</Paragraphs>
  <TotalTime>12</TotalTime>
  <ScaleCrop>false</ScaleCrop>
  <LinksUpToDate>false</LinksUpToDate>
  <CharactersWithSpaces>11049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2020-09-01T03:32:00Z</cp:lastPrinted>
  <dcterms:modified xsi:type="dcterms:W3CDTF">2020-09-18T04:48:34Z</dcterms:modified>
  <dc:title>四川省***</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