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b w:val="0"/>
          <w:bCs w:val="0"/>
          <w:sz w:val="72"/>
          <w:szCs w:val="72"/>
        </w:rPr>
      </w:pPr>
      <w:bookmarkStart w:id="0" w:name="_Toc15306267"/>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bookmarkEnd w:id="0"/>
    <w:p>
      <w:pPr>
        <w:adjustRightInd w:val="0"/>
        <w:snapToGrid w:val="0"/>
        <w:spacing w:line="360" w:lineRule="auto"/>
        <w:jc w:val="center"/>
        <w:outlineLvl w:val="0"/>
        <w:rPr>
          <w:rFonts w:ascii="方正小标宋简体" w:hAnsi="宋体" w:eastAsia="方正小标宋简体"/>
          <w:b w:val="0"/>
          <w:bCs w:val="0"/>
          <w:sz w:val="56"/>
          <w:szCs w:val="56"/>
        </w:rPr>
      </w:pPr>
      <w:bookmarkStart w:id="1" w:name="_Toc19089858"/>
      <w:bookmarkStart w:id="2" w:name="_Toc15396597"/>
      <w:bookmarkStart w:id="3" w:name="_Toc15396475"/>
      <w:bookmarkStart w:id="4" w:name="_Toc15377425"/>
      <w:bookmarkStart w:id="5" w:name="_Toc15378441"/>
      <w:bookmarkStart w:id="6" w:name="_Toc15377193"/>
      <w:r>
        <w:rPr>
          <w:rFonts w:ascii="黑体" w:hAnsi="黑体" w:eastAsia="黑体"/>
          <w:b w:val="0"/>
          <w:bCs w:val="0"/>
          <w:sz w:val="56"/>
          <w:szCs w:val="56"/>
        </w:rPr>
        <w:t>201</w:t>
      </w:r>
      <w:r>
        <w:rPr>
          <w:rFonts w:hint="eastAsia" w:ascii="黑体" w:hAnsi="黑体" w:eastAsia="黑体"/>
          <w:b w:val="0"/>
          <w:bCs w:val="0"/>
          <w:sz w:val="56"/>
          <w:szCs w:val="56"/>
        </w:rPr>
        <w:t>9</w:t>
      </w:r>
      <w:r>
        <w:rPr>
          <w:rFonts w:hint="eastAsia" w:ascii="方正小标宋简体" w:hAnsi="宋体" w:eastAsia="方正小标宋简体"/>
          <w:b w:val="0"/>
          <w:bCs w:val="0"/>
          <w:sz w:val="56"/>
          <w:szCs w:val="56"/>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b w:val="0"/>
          <w:bCs w:val="0"/>
          <w:sz w:val="56"/>
          <w:szCs w:val="56"/>
        </w:rPr>
      </w:pPr>
      <w:bookmarkStart w:id="7" w:name="_Toc19089859"/>
      <w:bookmarkStart w:id="8" w:name="_Toc15377426"/>
      <w:bookmarkStart w:id="9" w:name="_Toc15377194"/>
      <w:bookmarkStart w:id="10" w:name="_Toc15396598"/>
      <w:bookmarkStart w:id="11" w:name="_Toc15396476"/>
      <w:bookmarkStart w:id="12" w:name="_Toc15378442"/>
      <w:r>
        <w:rPr>
          <w:rFonts w:hint="eastAsia" w:ascii="方正小标宋简体" w:hAnsi="宋体" w:eastAsia="方正小标宋简体"/>
          <w:b w:val="0"/>
          <w:bCs w:val="0"/>
          <w:sz w:val="56"/>
          <w:szCs w:val="56"/>
        </w:rPr>
        <w:t>四川省</w:t>
      </w:r>
      <w:bookmarkEnd w:id="7"/>
      <w:bookmarkStart w:id="13" w:name="_Toc15306268"/>
      <w:r>
        <w:rPr>
          <w:rFonts w:hint="eastAsia" w:ascii="方正小标宋简体" w:hAnsi="宋体" w:eastAsia="方正小标宋简体"/>
          <w:b w:val="0"/>
          <w:bCs w:val="0"/>
          <w:sz w:val="56"/>
          <w:szCs w:val="56"/>
        </w:rPr>
        <w:t>广元市特殊教育学校</w:t>
      </w:r>
    </w:p>
    <w:p>
      <w:pPr>
        <w:adjustRightInd w:val="0"/>
        <w:snapToGrid w:val="0"/>
        <w:spacing w:line="360" w:lineRule="auto"/>
        <w:jc w:val="center"/>
        <w:outlineLvl w:val="0"/>
        <w:rPr>
          <w:rFonts w:ascii="方正小标宋简体" w:hAnsi="宋体" w:eastAsia="方正小标宋简体"/>
          <w:b w:val="0"/>
          <w:bCs w:val="0"/>
          <w:sz w:val="56"/>
          <w:szCs w:val="56"/>
        </w:rPr>
      </w:pPr>
      <w:bookmarkStart w:id="14" w:name="_Toc19089860"/>
      <w:r>
        <w:rPr>
          <w:rFonts w:hint="eastAsia" w:ascii="方正小标宋简体" w:hAnsi="宋体" w:eastAsia="方正小标宋简体"/>
          <w:b w:val="0"/>
          <w:bCs w:val="0"/>
          <w:sz w:val="56"/>
          <w:szCs w:val="56"/>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b w:val="0"/>
          <w:bCs w:val="0"/>
          <w:sz w:val="44"/>
          <w:szCs w:val="44"/>
        </w:rPr>
      </w:pPr>
      <w:r>
        <w:rPr>
          <w:rFonts w:ascii="方正小标宋简体" w:hAnsi="宋体" w:eastAsia="方正小标宋简体"/>
          <w:b w:val="0"/>
          <w:bCs w:val="0"/>
          <w:sz w:val="36"/>
          <w:szCs w:val="36"/>
        </w:rPr>
        <w:br w:type="page"/>
      </w: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黑体" w:hAnsi="黑体" w:eastAsia="黑体"/>
          <w:b w:val="0"/>
          <w:bCs w:val="0"/>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二、机构设置</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第四部分 附件</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第五部分 附表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b w:val="0"/>
          <w:bCs w:val="0"/>
          <w:sz w:val="28"/>
          <w:szCs w:val="28"/>
        </w:rPr>
        <w:sectPr>
          <w:headerReference r:id="rId3" w:type="default"/>
          <w:pgSz w:w="11906" w:h="16838"/>
          <w:pgMar w:top="1701" w:right="1474" w:bottom="1701" w:left="1587" w:header="851" w:footer="1304" w:gutter="0"/>
          <w:pgNumType w:start="1"/>
          <w:cols w:space="0" w:num="1"/>
          <w:rtlGutter w:val="0"/>
          <w:docGrid w:type="lines" w:linePitch="312" w:charSpace="0"/>
        </w:sectPr>
      </w:pPr>
    </w:p>
    <w:p>
      <w:pPr>
        <w:pStyle w:val="2"/>
        <w:jc w:val="center"/>
        <w:rPr>
          <w:rFonts w:hint="eastAsia" w:ascii="方正小标宋简体" w:hAnsi="方正小标宋简体" w:eastAsia="方正小标宋简体" w:cs="方正小标宋简体"/>
          <w:b w:val="0"/>
          <w:bCs w:val="0"/>
        </w:rPr>
      </w:pPr>
      <w:bookmarkStart w:id="15" w:name="_Toc15377196"/>
      <w:bookmarkStart w:id="16" w:name="_Toc19089861"/>
      <w:r>
        <w:rPr>
          <w:rFonts w:hint="eastAsia" w:ascii="方正小标宋简体" w:hAnsi="方正小标宋简体" w:eastAsia="方正小标宋简体" w:cs="方正小标宋简体"/>
          <w:b w:val="0"/>
          <w:bCs w:val="0"/>
        </w:rPr>
        <w:t xml:space="preserve">第一部分 </w:t>
      </w:r>
      <w:r>
        <w:rPr>
          <w:rStyle w:val="25"/>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6"/>
          <w:rFonts w:ascii="仿宋" w:hAnsi="仿宋" w:eastAsia="仿宋"/>
          <w:b w:val="0"/>
          <w:bCs w:val="0"/>
          <w:sz w:val="28"/>
          <w:szCs w:val="28"/>
        </w:rPr>
      </w:pPr>
      <w:bookmarkStart w:id="17" w:name="_Toc19089862"/>
      <w:bookmarkStart w:id="18" w:name="_Toc15377197"/>
      <w:r>
        <w:rPr>
          <w:rFonts w:hint="eastAsia" w:ascii="黑体" w:hAnsi="黑体" w:eastAsia="黑体"/>
          <w:b w:val="0"/>
          <w:bCs w:val="0"/>
          <w:sz w:val="28"/>
          <w:szCs w:val="28"/>
        </w:rPr>
        <w:t>一、基</w:t>
      </w:r>
      <w:r>
        <w:rPr>
          <w:rStyle w:val="26"/>
          <w:rFonts w:hint="eastAsia" w:ascii="黑体" w:hAnsi="黑体" w:eastAsia="黑体"/>
          <w:b w:val="0"/>
          <w:bCs w:val="0"/>
          <w:sz w:val="28"/>
          <w:szCs w:val="28"/>
        </w:rPr>
        <w:t>本职能及主要工作</w:t>
      </w:r>
      <w:bookmarkEnd w:id="17"/>
      <w:bookmarkEnd w:id="18"/>
    </w:p>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楷体" w:hAnsi="楷体" w:eastAsia="楷体" w:cs="楷体"/>
          <w:b w:val="0"/>
          <w:bCs w:val="0"/>
          <w:sz w:val="28"/>
          <w:szCs w:val="28"/>
        </w:rPr>
      </w:pPr>
      <w:bookmarkStart w:id="19" w:name="_Toc15378445"/>
      <w:bookmarkStart w:id="20" w:name="_Toc15377198"/>
      <w:bookmarkStart w:id="21" w:name="_Toc15377199"/>
      <w:bookmarkStart w:id="22" w:name="_Toc15378446"/>
      <w:bookmarkStart w:id="23" w:name="_Toc15377204"/>
      <w:r>
        <w:rPr>
          <w:rFonts w:hint="eastAsia" w:ascii="楷体" w:hAnsi="楷体" w:eastAsia="楷体" w:cs="楷体"/>
          <w:b w:val="0"/>
          <w:bCs w:val="0"/>
          <w:sz w:val="28"/>
          <w:szCs w:val="28"/>
        </w:rPr>
        <w:t>（一）主要职能</w:t>
      </w:r>
      <w:bookmarkEnd w:id="19"/>
      <w:bookmarkEnd w:id="20"/>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3．负责推进特殊教育均衡发展和促进教育公平，负责特殊教育的宏观指导与协调；指导学校满足社会的要求和</w:t>
      </w:r>
      <w:r>
        <w:rPr>
          <w:b w:val="0"/>
          <w:bCs w:val="0"/>
          <w:sz w:val="28"/>
          <w:szCs w:val="28"/>
        </w:rPr>
        <w:fldChar w:fldCharType="begin"/>
      </w:r>
      <w:r>
        <w:rPr>
          <w:b w:val="0"/>
          <w:bCs w:val="0"/>
          <w:sz w:val="28"/>
          <w:szCs w:val="28"/>
        </w:rPr>
        <w:instrText xml:space="preserve"> HYPERLINK "https://baike.so.com/doc/7013907-7236794.html" \t "https://baike.so.com/doc/_blank" </w:instrText>
      </w:r>
      <w:r>
        <w:rPr>
          <w:b w:val="0"/>
          <w:bCs w:val="0"/>
          <w:sz w:val="28"/>
          <w:szCs w:val="28"/>
        </w:rPr>
        <w:fldChar w:fldCharType="separate"/>
      </w:r>
      <w:r>
        <w:rPr>
          <w:rFonts w:ascii="仿宋" w:hAnsi="仿宋" w:eastAsia="仿宋"/>
          <w:b w:val="0"/>
          <w:bCs w:val="0"/>
          <w:sz w:val="28"/>
          <w:szCs w:val="28"/>
        </w:rPr>
        <w:t>特殊儿童</w:t>
      </w:r>
      <w:r>
        <w:rPr>
          <w:rFonts w:ascii="仿宋" w:hAnsi="仿宋" w:eastAsia="仿宋"/>
          <w:b w:val="0"/>
          <w:bCs w:val="0"/>
          <w:sz w:val="28"/>
          <w:szCs w:val="28"/>
        </w:rPr>
        <w:fldChar w:fldCharType="end"/>
      </w:r>
      <w:r>
        <w:rPr>
          <w:rFonts w:ascii="仿宋" w:hAnsi="仿宋" w:eastAsia="仿宋"/>
          <w:b w:val="0"/>
          <w:bCs w:val="0"/>
          <w:sz w:val="28"/>
          <w:szCs w:val="28"/>
        </w:rPr>
        <w:t>的教育需要</w:t>
      </w:r>
      <w:r>
        <w:rPr>
          <w:rFonts w:hint="eastAsia" w:ascii="仿宋" w:hAnsi="仿宋" w:eastAsia="仿宋"/>
          <w:b w:val="0"/>
          <w:bCs w:val="0"/>
          <w:sz w:val="28"/>
          <w:szCs w:val="28"/>
        </w:rPr>
        <w:t>；督促检查学校各类学校的办学标准、教学基本要求、教学基本条件的落实情况。</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4.促进基础教育发展，教育学生成长为德学兼备、思想端正的学生，让学生获得基本的基础知识，尽可能培养其自学能力。</w:t>
      </w:r>
    </w:p>
    <w:bookmarkEnd w:id="21"/>
    <w:bookmarkEnd w:id="22"/>
    <w:p>
      <w:pPr>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楷体" w:hAnsi="楷体" w:eastAsia="楷体" w:cs="楷体"/>
          <w:b w:val="0"/>
          <w:bCs w:val="0"/>
          <w:sz w:val="28"/>
          <w:szCs w:val="28"/>
        </w:rPr>
      </w:pPr>
      <w:bookmarkStart w:id="24" w:name="_Toc19089863"/>
      <w:bookmarkStart w:id="25" w:name="_Toc15377200"/>
      <w:r>
        <w:rPr>
          <w:rFonts w:hint="eastAsia" w:ascii="楷体" w:hAnsi="楷体" w:eastAsia="楷体" w:cs="楷体"/>
          <w:b w:val="0"/>
          <w:bCs w:val="0"/>
          <w:sz w:val="28"/>
          <w:szCs w:val="28"/>
        </w:rPr>
        <w:t>（二）2019年学校重点工作完成情况</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1.加强德育常规管理，培养学生良好习惯。</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主题活动拓展素质。</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常规教育夯实素质。</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③</w:t>
      </w:r>
      <w:r>
        <w:rPr>
          <w:rFonts w:hint="eastAsia" w:ascii="仿宋" w:hAnsi="仿宋" w:eastAsia="仿宋"/>
          <w:b w:val="0"/>
          <w:bCs w:val="0"/>
          <w:sz w:val="28"/>
          <w:szCs w:val="28"/>
        </w:rPr>
        <w:t>整合有效资源，促进师生心理健康发展。</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④落实全员育人，深入开展结对辅导。</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2.抓实抓细安全管理，创建平安幸福校园。</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完善安全制度，加大排查力度。</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抓实安全管理，建设平安校园。</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3.加强教学管理，全面提高教学质量。</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一是抓常规落实，重课改实践。</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开齐开足规定课程，创新增设特色课程。</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抓好常规检查，确保教学顺利进行。</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③制定康复训练手册，坚持教学与康复结合。</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二是扎实开展教研活动，营造浓厚的教研氛围。</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成立领导小组，保证培训工作正常开展。</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定时开展教研活动。</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③</w:t>
      </w:r>
      <w:r>
        <w:rPr>
          <w:rFonts w:hint="eastAsia" w:ascii="仿宋" w:hAnsi="仿宋" w:eastAsia="仿宋"/>
          <w:b w:val="0"/>
          <w:bCs w:val="0"/>
          <w:sz w:val="28"/>
          <w:szCs w:val="28"/>
        </w:rPr>
        <w:t>认真开展课堂教学的听课、评课、赛课活动。</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三是加大教师培训力度，搭建成长学习平台。</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加强学习、培训、研修，不断提高教师业务能力。</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教师队伍素质不断提高。</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③</w:t>
      </w:r>
      <w:r>
        <w:rPr>
          <w:rFonts w:hint="eastAsia" w:ascii="仿宋" w:hAnsi="仿宋" w:eastAsia="仿宋"/>
          <w:b w:val="0"/>
          <w:bCs w:val="0"/>
          <w:sz w:val="28"/>
          <w:szCs w:val="28"/>
        </w:rPr>
        <w:t>读书活动不断深化。</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④青蓝师徒结对子，相互交流共进步。</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四是认真开展阳光体育运动，打造艺体特色。</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加强学习，提高艺体教师师德修养及业务素质。</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开展阳光体育运动，开展各类体育活动，保证学生锻炼时间。</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③以学生为本，打造艺体特色品牌。</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④丰富活动形式，收获艺术教育成果。</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五是扎实开展送教工作，努力推动融合教育。</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开展了“送教下乡”的教学活动，为一些残疾学生或者是普通学生中有特殊需要的学生进行教学服务。</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六是做好教育扶贫工作，确保无一学生辍学。</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4.发挥工会作用，营造民主管理的和谐气氛。</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①爱岗敬业，把师德教育贯穿于各项活动中。</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参加学校民主管理，切实履行工会职责。</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③</w:t>
      </w:r>
      <w:r>
        <w:rPr>
          <w:rFonts w:hint="eastAsia" w:ascii="仿宋" w:hAnsi="仿宋" w:eastAsia="仿宋"/>
          <w:b w:val="0"/>
          <w:bCs w:val="0"/>
          <w:sz w:val="28"/>
          <w:szCs w:val="28"/>
        </w:rPr>
        <w:t>加强校园文明建设，开展丰富多彩的文体活动。</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④开展丰富多彩的活动，陶冶教师生活。</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5.抓好财务后勤管理，落实保障措施。</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①</w:t>
      </w:r>
      <w:r>
        <w:rPr>
          <w:rFonts w:hint="eastAsia" w:ascii="仿宋" w:hAnsi="仿宋" w:eastAsia="仿宋"/>
          <w:b w:val="0"/>
          <w:bCs w:val="0"/>
          <w:sz w:val="28"/>
          <w:szCs w:val="28"/>
        </w:rPr>
        <w:t>严格资金管理，加强校产管理。</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②</w:t>
      </w:r>
      <w:r>
        <w:rPr>
          <w:rFonts w:hint="eastAsia" w:ascii="仿宋" w:hAnsi="仿宋" w:eastAsia="仿宋"/>
          <w:b w:val="0"/>
          <w:bCs w:val="0"/>
          <w:sz w:val="28"/>
          <w:szCs w:val="28"/>
        </w:rPr>
        <w:t>规范采购程序，做好设备维护。</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ascii="仿宋" w:hAnsi="仿宋" w:eastAsia="仿宋"/>
          <w:b w:val="0"/>
          <w:bCs w:val="0"/>
          <w:sz w:val="28"/>
          <w:szCs w:val="28"/>
        </w:rPr>
        <w:t>③</w:t>
      </w:r>
      <w:r>
        <w:rPr>
          <w:rFonts w:hint="eastAsia" w:ascii="仿宋" w:hAnsi="仿宋" w:eastAsia="仿宋"/>
          <w:b w:val="0"/>
          <w:bCs w:val="0"/>
          <w:sz w:val="28"/>
          <w:szCs w:val="28"/>
        </w:rPr>
        <w:t>做好宿舍内务管理，为学生提供温馨干净的就寝环境。</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宋体" w:hAnsi="宋体" w:cs="宋体"/>
          <w:b w:val="0"/>
          <w:bCs w:val="0"/>
          <w:sz w:val="28"/>
          <w:szCs w:val="28"/>
        </w:rPr>
      </w:pPr>
      <w:r>
        <w:rPr>
          <w:rFonts w:hint="eastAsia" w:ascii="仿宋" w:hAnsi="仿宋" w:eastAsia="仿宋"/>
          <w:b w:val="0"/>
          <w:bCs w:val="0"/>
          <w:sz w:val="28"/>
          <w:szCs w:val="28"/>
        </w:rPr>
        <w:t>6.创新工作思路，开展创新工作。</w:t>
      </w:r>
    </w:p>
    <w:p>
      <w:pPr>
        <w:pStyle w:val="3"/>
        <w:pageBreakBefore w:val="0"/>
        <w:widowControl w:val="0"/>
        <w:kinsoku/>
        <w:wordWrap/>
        <w:overflowPunct/>
        <w:topLinePunct w:val="0"/>
        <w:autoSpaceDE/>
        <w:autoSpaceDN/>
        <w:bidi w:val="0"/>
        <w:snapToGrid w:val="0"/>
        <w:spacing w:before="0" w:after="0" w:line="540" w:lineRule="exact"/>
        <w:ind w:firstLine="560" w:firstLineChars="200"/>
        <w:textAlignment w:val="auto"/>
        <w:rPr>
          <w:rStyle w:val="26"/>
          <w:b w:val="0"/>
          <w:bCs w:val="0"/>
          <w:sz w:val="28"/>
          <w:szCs w:val="28"/>
        </w:rPr>
      </w:pPr>
      <w:r>
        <w:rPr>
          <w:rFonts w:hint="eastAsia" w:ascii="黑体" w:eastAsia="黑体"/>
          <w:b w:val="0"/>
          <w:bCs w:val="0"/>
          <w:sz w:val="28"/>
          <w:szCs w:val="28"/>
        </w:rPr>
        <w:t>二、</w:t>
      </w:r>
      <w:r>
        <w:rPr>
          <w:rFonts w:hint="eastAsia" w:ascii="黑体" w:hAnsi="黑体" w:eastAsia="黑体"/>
          <w:b w:val="0"/>
          <w:bCs w:val="0"/>
          <w:sz w:val="28"/>
          <w:szCs w:val="28"/>
        </w:rPr>
        <w:t>机</w:t>
      </w:r>
      <w:r>
        <w:rPr>
          <w:rStyle w:val="26"/>
          <w:rFonts w:hint="eastAsia" w:ascii="黑体" w:hAnsi="黑体" w:eastAsia="黑体"/>
          <w:b w:val="0"/>
          <w:bCs w:val="0"/>
          <w:sz w:val="28"/>
          <w:szCs w:val="28"/>
        </w:rPr>
        <w:t>构设置</w:t>
      </w:r>
      <w:bookmarkEnd w:id="24"/>
      <w:bookmarkEnd w:id="25"/>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bookmarkStart w:id="26" w:name="_Toc19089864"/>
      <w:r>
        <w:rPr>
          <w:rFonts w:hint="eastAsia"/>
          <w:b w:val="0"/>
          <w:bCs w:val="0"/>
          <w:sz w:val="28"/>
          <w:szCs w:val="28"/>
        </w:rPr>
        <w:t>1</w:t>
      </w:r>
      <w:r>
        <w:rPr>
          <w:rFonts w:hint="eastAsia" w:ascii="仿宋" w:hAnsi="仿宋" w:eastAsia="仿宋"/>
          <w:b w:val="0"/>
          <w:bCs w:val="0"/>
          <w:sz w:val="28"/>
          <w:szCs w:val="28"/>
        </w:rPr>
        <w:t>.机构情况及增减变动原因</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学校共设办公室、教导处、德育处、总务处、教科室、安办六个部门，无变动情况。</w:t>
      </w:r>
    </w:p>
    <w:p>
      <w:pPr>
        <w:pageBreakBefore w:val="0"/>
        <w:widowControl w:val="0"/>
        <w:kinsoku/>
        <w:wordWrap/>
        <w:overflowPunct/>
        <w:topLinePunct w:val="0"/>
        <w:autoSpaceDE/>
        <w:autoSpaceDN/>
        <w:bidi w:val="0"/>
        <w:snapToGrid w:val="0"/>
        <w:spacing w:line="540" w:lineRule="exact"/>
        <w:ind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2.人员情况及增减变动原因</w:t>
      </w:r>
    </w:p>
    <w:p>
      <w:pPr>
        <w:pageBreakBefore w:val="0"/>
        <w:widowControl w:val="0"/>
        <w:kinsoku/>
        <w:wordWrap/>
        <w:overflowPunct/>
        <w:topLinePunct w:val="0"/>
        <w:autoSpaceDE/>
        <w:autoSpaceDN/>
        <w:bidi w:val="0"/>
        <w:snapToGrid w:val="0"/>
        <w:spacing w:line="540" w:lineRule="exact"/>
        <w:ind w:firstLine="560" w:firstLineChars="200"/>
        <w:textAlignment w:val="auto"/>
        <w:rPr>
          <w:b w:val="0"/>
          <w:bCs w:val="0"/>
          <w:sz w:val="28"/>
          <w:szCs w:val="28"/>
        </w:rPr>
      </w:pPr>
      <w:r>
        <w:rPr>
          <w:rFonts w:hint="eastAsia" w:ascii="仿宋" w:hAnsi="仿宋" w:eastAsia="仿宋"/>
          <w:b w:val="0"/>
          <w:bCs w:val="0"/>
          <w:sz w:val="28"/>
          <w:szCs w:val="28"/>
        </w:rPr>
        <w:t>学校现有在职教职工27人（其中专业技术人员26人，管理岗位1人，退休人员23 人），启智班学生125名，启聪班学生36人，合计161人，与去年同期比较，在职教职工人数增加6人。</w:t>
      </w:r>
    </w:p>
    <w:p>
      <w:pP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br w:type="page"/>
      </w:r>
    </w:p>
    <w:p>
      <w:pPr>
        <w:pStyle w:val="2"/>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第二部分 2019年度部门决算情况说明</w:t>
      </w:r>
      <w:bookmarkEnd w:id="23"/>
      <w:bookmarkEnd w:id="26"/>
    </w:p>
    <w:p>
      <w:pPr>
        <w:pStyle w:val="24"/>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sz w:val="28"/>
          <w:szCs w:val="28"/>
        </w:rPr>
      </w:pPr>
      <w:bookmarkStart w:id="27" w:name="_Toc19089865"/>
      <w:bookmarkStart w:id="28" w:name="_Toc15377205"/>
      <w:r>
        <w:rPr>
          <w:rFonts w:hint="eastAsia" w:ascii="黑体" w:hAnsi="黑体" w:eastAsia="黑体"/>
          <w:b w:val="0"/>
          <w:bCs w:val="0"/>
          <w:sz w:val="28"/>
          <w:szCs w:val="28"/>
        </w:rPr>
        <w:t>收</w:t>
      </w:r>
      <w:r>
        <w:rPr>
          <w:rStyle w:val="26"/>
          <w:rFonts w:hint="eastAsia" w:ascii="黑体" w:hAnsi="黑体" w:eastAsia="黑体"/>
          <w:b w:val="0"/>
          <w:bCs w:val="0"/>
          <w:sz w:val="28"/>
          <w:szCs w:val="28"/>
        </w:rPr>
        <w:t>入支出决算总体情况说明</w:t>
      </w:r>
      <w:bookmarkEnd w:id="27"/>
      <w:bookmarkEnd w:id="28"/>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2019年度广元市特殊教育学校收入总计555.91万元，与2018年相比（837.71万元），收入总计减少281.8万元，减少33.64%。收入主要变动原因是因项目建设完工投入减少。</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2019年度支出合计526.67万元，与2018年相比（1797.91万元），支出减少1271.24万元，减少70.71%。支出主要变动原因是因项目建设完工投入减少。</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w:t>
      </w:r>
      <w:r>
        <w:rPr>
          <w:rFonts w:ascii="仿宋" w:hAnsi="仿宋" w:eastAsia="仿宋"/>
          <w:b w:val="0"/>
          <w:bCs w:val="0"/>
          <w:sz w:val="28"/>
          <w:szCs w:val="28"/>
        </w:rPr>
        <w:t>1</w:t>
      </w:r>
      <w:r>
        <w:rPr>
          <w:rFonts w:hint="eastAsia" w:ascii="仿宋" w:hAnsi="仿宋" w:eastAsia="仿宋"/>
          <w:b w:val="0"/>
          <w:bCs w:val="0"/>
          <w:sz w:val="28"/>
          <w:szCs w:val="28"/>
        </w:rPr>
        <w:t>：收、支决算总计变动情况图）（柱状图）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auto"/>
        <w:rPr>
          <w:rFonts w:hint="eastAsia" w:ascii="黑体" w:hAnsi="黑体" w:eastAsia="黑体"/>
          <w:b w:val="0"/>
          <w:bCs w:val="0"/>
          <w:sz w:val="28"/>
          <w:szCs w:val="28"/>
        </w:rPr>
      </w:pPr>
      <w:bookmarkStart w:id="29" w:name="_Toc15377206"/>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auto"/>
        <w:rPr>
          <w:rStyle w:val="26"/>
          <w:rFonts w:ascii="黑体" w:hAnsi="黑体" w:eastAsia="黑体"/>
          <w:b w:val="0"/>
          <w:bCs w:val="0"/>
          <w:sz w:val="28"/>
          <w:szCs w:val="28"/>
        </w:rPr>
      </w:pPr>
      <w:r>
        <w:rPr>
          <w:rFonts w:ascii="仿宋_GB2312" w:eastAsia="仿宋_GB2312"/>
          <w:b w:val="0"/>
          <w:bCs w:val="0"/>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b w:val="0"/>
          <w:bCs w:val="0"/>
          <w:sz w:val="28"/>
          <w:szCs w:val="28"/>
        </w:rPr>
        <w:t>二、收</w:t>
      </w:r>
      <w:r>
        <w:rPr>
          <w:rStyle w:val="26"/>
          <w:rFonts w:hint="eastAsia" w:ascii="黑体" w:hAnsi="黑体" w:eastAsia="黑体"/>
          <w:b w:val="0"/>
          <w:bCs w:val="0"/>
          <w:sz w:val="28"/>
          <w:szCs w:val="28"/>
        </w:rPr>
        <w:t>入决算情况说明</w:t>
      </w:r>
      <w:bookmarkEnd w:id="29"/>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bookmarkStart w:id="30" w:name="_Toc19089866"/>
      <w:r>
        <w:rPr>
          <w:rFonts w:ascii="仿宋" w:hAnsi="仿宋" w:eastAsia="仿宋"/>
          <w:b w:val="0"/>
          <w:bCs w:val="0"/>
          <w:sz w:val="28"/>
          <w:szCs w:val="28"/>
        </w:rPr>
        <w:t>201</w:t>
      </w:r>
      <w:r>
        <w:rPr>
          <w:rFonts w:hint="eastAsia" w:ascii="仿宋" w:hAnsi="仿宋" w:eastAsia="仿宋"/>
          <w:b w:val="0"/>
          <w:bCs w:val="0"/>
          <w:sz w:val="28"/>
          <w:szCs w:val="28"/>
        </w:rPr>
        <w:t>9年本年收入合计555.91万元，其中：一般公共预算财政拨款收入554.86万元，占比99.81%；政府性基金预算财政拨款收入0万元，占比0%；国有资本经营预算财政拨款收入0.00万元，占比0.00</w:t>
      </w:r>
      <w:r>
        <w:rPr>
          <w:rFonts w:ascii="仿宋" w:hAnsi="仿宋" w:eastAsia="仿宋"/>
          <w:b w:val="0"/>
          <w:bCs w:val="0"/>
          <w:sz w:val="28"/>
          <w:szCs w:val="28"/>
        </w:rPr>
        <w:t>%</w:t>
      </w:r>
      <w:r>
        <w:rPr>
          <w:rFonts w:hint="eastAsia" w:ascii="仿宋" w:hAnsi="仿宋" w:eastAsia="仿宋"/>
          <w:b w:val="0"/>
          <w:bCs w:val="0"/>
          <w:sz w:val="28"/>
          <w:szCs w:val="28"/>
        </w:rPr>
        <w:t>；事业收入0.00万元，占0.00</w:t>
      </w:r>
      <w:r>
        <w:rPr>
          <w:rFonts w:ascii="仿宋" w:hAnsi="仿宋" w:eastAsia="仿宋"/>
          <w:b w:val="0"/>
          <w:bCs w:val="0"/>
          <w:sz w:val="28"/>
          <w:szCs w:val="28"/>
        </w:rPr>
        <w:t>%</w:t>
      </w:r>
      <w:r>
        <w:rPr>
          <w:rFonts w:hint="eastAsia" w:ascii="仿宋" w:hAnsi="仿宋" w:eastAsia="仿宋"/>
          <w:b w:val="0"/>
          <w:bCs w:val="0"/>
          <w:sz w:val="28"/>
          <w:szCs w:val="28"/>
        </w:rPr>
        <w:t>；经营收入0.00万元，占0.00</w:t>
      </w:r>
      <w:r>
        <w:rPr>
          <w:rFonts w:ascii="仿宋" w:hAnsi="仿宋" w:eastAsia="仿宋"/>
          <w:b w:val="0"/>
          <w:bCs w:val="0"/>
          <w:sz w:val="28"/>
          <w:szCs w:val="28"/>
        </w:rPr>
        <w:t>%</w:t>
      </w:r>
      <w:r>
        <w:rPr>
          <w:rFonts w:hint="eastAsia" w:ascii="仿宋" w:hAnsi="仿宋" w:eastAsia="仿宋"/>
          <w:b w:val="0"/>
          <w:bCs w:val="0"/>
          <w:sz w:val="28"/>
          <w:szCs w:val="28"/>
        </w:rPr>
        <w:t>；附属单位上缴收入0.00万元，占0.00</w:t>
      </w:r>
      <w:r>
        <w:rPr>
          <w:rFonts w:ascii="仿宋" w:hAnsi="仿宋" w:eastAsia="仿宋"/>
          <w:b w:val="0"/>
          <w:bCs w:val="0"/>
          <w:sz w:val="28"/>
          <w:szCs w:val="28"/>
        </w:rPr>
        <w:t>%</w:t>
      </w:r>
      <w:r>
        <w:rPr>
          <w:rFonts w:hint="eastAsia" w:ascii="仿宋" w:hAnsi="仿宋" w:eastAsia="仿宋"/>
          <w:b w:val="0"/>
          <w:bCs w:val="0"/>
          <w:sz w:val="28"/>
          <w:szCs w:val="28"/>
        </w:rPr>
        <w:t>；其他收入1.05万元，占比0.19%。</w:t>
      </w:r>
      <w:bookmarkEnd w:id="3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ascii="仿宋_GB2312" w:eastAsia="仿宋_GB2312"/>
          <w:b w:val="0"/>
          <w:bCs w:val="0"/>
          <w:sz w:val="28"/>
          <w:szCs w:val="28"/>
        </w:rPr>
        <w:drawing>
          <wp:anchor distT="0" distB="0" distL="114300" distR="114300" simplePos="0" relativeHeight="251660288" behindDoc="0" locked="0" layoutInCell="1" allowOverlap="1">
            <wp:simplePos x="0" y="0"/>
            <wp:positionH relativeFrom="column">
              <wp:posOffset>283210</wp:posOffset>
            </wp:positionH>
            <wp:positionV relativeFrom="paragraph">
              <wp:posOffset>536575</wp:posOffset>
            </wp:positionV>
            <wp:extent cx="4731385" cy="2591435"/>
            <wp:effectExtent l="4445" t="4445" r="7620" b="1397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val="0"/>
          <w:bCs w:val="0"/>
          <w:sz w:val="28"/>
          <w:szCs w:val="28"/>
        </w:rPr>
        <w:t>（图2：收入决算结构图）（饼状图）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eastAsia="仿宋_GB2312"/>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bookmarkStart w:id="31" w:name="_Toc19089867"/>
      <w:bookmarkStart w:id="32" w:name="_Toc15377207"/>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sz w:val="28"/>
          <w:szCs w:val="28"/>
        </w:rPr>
      </w:pPr>
      <w:r>
        <w:rPr>
          <w:rFonts w:hint="eastAsia" w:ascii="黑体" w:hAnsi="黑体" w:eastAsia="黑体"/>
          <w:b w:val="0"/>
          <w:bCs w:val="0"/>
          <w:sz w:val="28"/>
          <w:szCs w:val="28"/>
        </w:rPr>
        <w:t>三、支</w:t>
      </w:r>
      <w:r>
        <w:rPr>
          <w:rStyle w:val="26"/>
          <w:rFonts w:hint="eastAsia" w:ascii="黑体" w:hAnsi="黑体" w:eastAsia="黑体"/>
          <w:b w:val="0"/>
          <w:bCs w:val="0"/>
          <w:sz w:val="28"/>
          <w:szCs w:val="28"/>
        </w:rPr>
        <w:t>出决算情况说明</w:t>
      </w:r>
      <w:bookmarkEnd w:id="31"/>
      <w:bookmarkEnd w:id="3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9年本年支出合计526.68万元，其中：基本支出508.24万元，占96.50%；项目支出18.44万元，占3.50%；上缴上级支出0.00万元，占0.00</w:t>
      </w:r>
      <w:r>
        <w:rPr>
          <w:rFonts w:ascii="仿宋" w:hAnsi="仿宋" w:eastAsia="仿宋"/>
          <w:b w:val="0"/>
          <w:bCs w:val="0"/>
          <w:sz w:val="28"/>
          <w:szCs w:val="28"/>
        </w:rPr>
        <w:t>%</w:t>
      </w:r>
      <w:r>
        <w:rPr>
          <w:rFonts w:hint="eastAsia" w:ascii="仿宋" w:hAnsi="仿宋" w:eastAsia="仿宋"/>
          <w:b w:val="0"/>
          <w:bCs w:val="0"/>
          <w:sz w:val="28"/>
          <w:szCs w:val="28"/>
        </w:rPr>
        <w:t>；经营支出0.00万元，占0.00</w:t>
      </w:r>
      <w:r>
        <w:rPr>
          <w:rFonts w:ascii="仿宋" w:hAnsi="仿宋" w:eastAsia="仿宋"/>
          <w:b w:val="0"/>
          <w:bCs w:val="0"/>
          <w:sz w:val="28"/>
          <w:szCs w:val="28"/>
        </w:rPr>
        <w:t>%</w:t>
      </w:r>
      <w:r>
        <w:rPr>
          <w:rFonts w:hint="eastAsia" w:ascii="仿宋" w:hAnsi="仿宋" w:eastAsia="仿宋"/>
          <w:b w:val="0"/>
          <w:bCs w:val="0"/>
          <w:sz w:val="28"/>
          <w:szCs w:val="28"/>
        </w:rPr>
        <w:t>；对附属单位补助支出0.00万元，占0.00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（图3：支出决算结构图）（饼状图）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eastAsia="仿宋_GB2312"/>
          <w:b w:val="0"/>
          <w:bCs w:val="0"/>
          <w:sz w:val="28"/>
          <w:szCs w:val="28"/>
        </w:rPr>
      </w:pPr>
      <w:r>
        <w:rPr>
          <w:rFonts w:ascii="仿宋_GB2312" w:eastAsia="仿宋_GB2312"/>
          <w:b w:val="0"/>
          <w:bCs w:val="0"/>
          <w:sz w:val="28"/>
          <w:szCs w:val="28"/>
        </w:rPr>
        <w:drawing>
          <wp:anchor distT="0" distB="0" distL="114300" distR="114300" simplePos="0" relativeHeight="251661312" behindDoc="0" locked="0" layoutInCell="1" allowOverlap="1">
            <wp:simplePos x="0" y="0"/>
            <wp:positionH relativeFrom="column">
              <wp:posOffset>139700</wp:posOffset>
            </wp:positionH>
            <wp:positionV relativeFrom="paragraph">
              <wp:posOffset>90170</wp:posOffset>
            </wp:positionV>
            <wp:extent cx="4921885" cy="2628900"/>
            <wp:effectExtent l="4445" t="4445" r="7620"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bookmarkStart w:id="33" w:name="_Toc19089868"/>
      <w:bookmarkStart w:id="34" w:name="_Toc15377208"/>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Fonts w:hint="eastAsia" w:ascii="黑体" w:hAnsi="黑体" w:eastAsia="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sz w:val="28"/>
          <w:szCs w:val="28"/>
        </w:rPr>
      </w:pPr>
      <w:r>
        <w:rPr>
          <w:rFonts w:hint="eastAsia" w:ascii="黑体" w:hAnsi="黑体" w:eastAsia="黑体"/>
          <w:b w:val="0"/>
          <w:bCs w:val="0"/>
          <w:sz w:val="28"/>
          <w:szCs w:val="28"/>
        </w:rPr>
        <w:t>四、财</w:t>
      </w:r>
      <w:r>
        <w:rPr>
          <w:rStyle w:val="26"/>
          <w:rFonts w:hint="eastAsia" w:ascii="黑体" w:hAnsi="黑体" w:eastAsia="黑体"/>
          <w:b w:val="0"/>
          <w:bCs w:val="0"/>
          <w:sz w:val="28"/>
          <w:szCs w:val="28"/>
        </w:rPr>
        <w:t>政拨款收入支出决算总体情况说明</w:t>
      </w:r>
      <w:bookmarkEnd w:id="33"/>
      <w:bookmarkEnd w:id="34"/>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2019年财政拨款收入总计554.86万元。与2018年相比（828.23万元），财政拨款收入总计减少273.37万元，减少33.01%。收入主要变动原因是因项目建设完工投入减少。</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2019年财政拨款支出总计525.62万元。与2018年相比（1352.98万元），财政拨款支出总计减少827.36万元，减少61.15%。支出主要变动原因是因项目建设完工投入减少。</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（图4：财政拨款收、支决算总计变动情况）（柱状图）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（除国有资本经营预算外，数据来源于财决</w:t>
      </w:r>
      <w:r>
        <w:rPr>
          <w:rFonts w:ascii="仿宋" w:hAnsi="仿宋" w:eastAsia="仿宋"/>
          <w:b w:val="0"/>
          <w:bCs w:val="0"/>
          <w:sz w:val="28"/>
          <w:szCs w:val="28"/>
        </w:rPr>
        <w:t>Z01-1</w:t>
      </w:r>
      <w:r>
        <w:rPr>
          <w:rFonts w:hint="eastAsia" w:ascii="仿宋" w:hAnsi="仿宋" w:eastAsia="仿宋"/>
          <w:b w:val="0"/>
          <w:bCs w:val="0"/>
          <w:sz w:val="28"/>
          <w:szCs w:val="28"/>
        </w:rPr>
        <w:t>表，口径为“总计”数+国有资本经营预算）</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sz w:val="28"/>
          <w:szCs w:val="28"/>
        </w:rPr>
      </w:pPr>
      <w:bookmarkStart w:id="35" w:name="_Toc19089869"/>
      <w:bookmarkStart w:id="36" w:name="_Toc15377209"/>
      <w:r>
        <w:rPr>
          <w:rFonts w:hint="eastAsia" w:ascii="黑体" w:hAnsi="黑体" w:eastAsia="黑体"/>
          <w:b w:val="0"/>
          <w:bCs w:val="0"/>
          <w:sz w:val="28"/>
          <w:szCs w:val="28"/>
        </w:rPr>
        <w:t>五、</w:t>
      </w:r>
      <w:r>
        <w:rPr>
          <w:rFonts w:hint="eastAsia" w:ascii="黑体" w:hAnsi="黑体" w:eastAsia="黑体"/>
          <w:b w:val="0"/>
          <w:bCs w:val="0"/>
          <w:sz w:val="28"/>
          <w:szCs w:val="28"/>
        </w:rPr>
        <w:t>一</w:t>
      </w:r>
      <w:r>
        <w:rPr>
          <w:rStyle w:val="26"/>
          <w:rFonts w:hint="eastAsia" w:ascii="黑体" w:hAnsi="黑体" w:eastAsia="黑体"/>
          <w:b w:val="0"/>
          <w:bCs w:val="0"/>
          <w:sz w:val="28"/>
          <w:szCs w:val="28"/>
        </w:rPr>
        <w:t>般公共预算财政拨款支出决算情况说明</w:t>
      </w:r>
      <w:bookmarkEnd w:id="35"/>
      <w:bookmarkEnd w:id="36"/>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bookmarkStart w:id="37" w:name="_Toc15377210"/>
      <w:r>
        <w:rPr>
          <w:rFonts w:hint="eastAsia" w:ascii="仿宋" w:hAnsi="仿宋" w:eastAsia="仿宋"/>
          <w:b w:val="0"/>
          <w:bCs w:val="0"/>
          <w:sz w:val="28"/>
          <w:szCs w:val="28"/>
        </w:rPr>
        <w:t>（一）一般公共预算财政拨款支出决算总体情况</w:t>
      </w:r>
      <w:bookmarkEnd w:id="37"/>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9年一般公共预算财政拨款支出525.63万元，占本年支出合计（526.67</w:t>
      </w:r>
      <w:r>
        <w:rPr>
          <w:rFonts w:ascii="仿宋" w:hAnsi="仿宋" w:eastAsia="仿宋"/>
          <w:b w:val="0"/>
          <w:bCs w:val="0"/>
          <w:sz w:val="28"/>
          <w:szCs w:val="28"/>
        </w:rPr>
        <w:t>万元</w:t>
      </w:r>
      <w:r>
        <w:rPr>
          <w:rFonts w:hint="eastAsia" w:ascii="仿宋" w:hAnsi="仿宋" w:eastAsia="仿宋"/>
          <w:b w:val="0"/>
          <w:bCs w:val="0"/>
          <w:sz w:val="28"/>
          <w:szCs w:val="28"/>
        </w:rPr>
        <w:t>）的99.80</w:t>
      </w:r>
      <w:r>
        <w:rPr>
          <w:rFonts w:ascii="仿宋" w:hAnsi="仿宋" w:eastAsia="仿宋"/>
          <w:b w:val="0"/>
          <w:bCs w:val="0"/>
          <w:sz w:val="28"/>
          <w:szCs w:val="28"/>
        </w:rPr>
        <w:t>%</w:t>
      </w:r>
      <w:r>
        <w:rPr>
          <w:rFonts w:hint="eastAsia" w:ascii="仿宋" w:hAnsi="仿宋" w:eastAsia="仿宋"/>
          <w:b w:val="0"/>
          <w:bCs w:val="0"/>
          <w:sz w:val="28"/>
          <w:szCs w:val="28"/>
        </w:rPr>
        <w:t>。与</w:t>
      </w:r>
      <w:r>
        <w:rPr>
          <w:rFonts w:ascii="仿宋" w:hAnsi="仿宋" w:eastAsia="仿宋"/>
          <w:b w:val="0"/>
          <w:bCs w:val="0"/>
          <w:sz w:val="28"/>
          <w:szCs w:val="28"/>
        </w:rPr>
        <w:t>201</w:t>
      </w:r>
      <w:r>
        <w:rPr>
          <w:rFonts w:hint="eastAsia" w:ascii="仿宋" w:hAnsi="仿宋" w:eastAsia="仿宋"/>
          <w:b w:val="0"/>
          <w:bCs w:val="0"/>
          <w:sz w:val="28"/>
          <w:szCs w:val="28"/>
        </w:rPr>
        <w:t>8年相比（1352.98万元），一般公共预算财政拨款支出减少827.37万元，减少61.15%。支出主要变动原因是因项目建设完工投入减少（图5：一般公共预算财政拨款支出决算变动情况）（柱状图）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2"/>
        <w:rPr>
          <w:rFonts w:ascii="仿宋" w:hAnsi="仿宋" w:eastAsia="仿宋"/>
          <w:b w:val="0"/>
          <w:bCs w:val="0"/>
          <w:sz w:val="28"/>
          <w:szCs w:val="28"/>
        </w:rPr>
      </w:pPr>
      <w:bookmarkStart w:id="38" w:name="_Toc15377211"/>
      <w:r>
        <w:rPr>
          <w:rFonts w:hint="eastAsia" w:ascii="仿宋" w:hAnsi="仿宋" w:eastAsia="仿宋"/>
          <w:b w:val="0"/>
          <w:bCs w:val="0"/>
          <w:sz w:val="28"/>
          <w:szCs w:val="28"/>
        </w:rPr>
        <w:drawing>
          <wp:anchor distT="0" distB="0" distL="114300" distR="114300" simplePos="0" relativeHeight="251672576"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val="0"/>
          <w:bCs w:val="0"/>
          <w:sz w:val="28"/>
          <w:szCs w:val="28"/>
        </w:rPr>
        <w:t>（二）一般公共预算财政拨款支出决算结构情况</w:t>
      </w:r>
      <w:bookmarkEnd w:id="38"/>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9年一般公共预算财政拨款支出525.63万元，主要用于以下方面</w:t>
      </w:r>
      <w:r>
        <w:rPr>
          <w:rFonts w:ascii="仿宋" w:hAnsi="仿宋" w:eastAsia="仿宋"/>
          <w:b w:val="0"/>
          <w:bCs w:val="0"/>
          <w:sz w:val="28"/>
          <w:szCs w:val="28"/>
        </w:rPr>
        <w:t>:</w:t>
      </w:r>
      <w:r>
        <w:rPr>
          <w:rFonts w:hint="eastAsia" w:ascii="仿宋" w:hAnsi="仿宋" w:eastAsia="仿宋"/>
          <w:b w:val="0"/>
          <w:bCs w:val="0"/>
          <w:sz w:val="28"/>
          <w:szCs w:val="28"/>
        </w:rPr>
        <w:t>教育支出（类）487.50万元，占92.75%；社会保障和就业（类）支出27.31万元，占5.20</w:t>
      </w:r>
      <w:r>
        <w:rPr>
          <w:rFonts w:ascii="仿宋" w:hAnsi="仿宋" w:eastAsia="仿宋"/>
          <w:b w:val="0"/>
          <w:bCs w:val="0"/>
          <w:sz w:val="28"/>
          <w:szCs w:val="28"/>
        </w:rPr>
        <w:t>%</w:t>
      </w:r>
      <w:r>
        <w:rPr>
          <w:rFonts w:hint="eastAsia" w:ascii="仿宋" w:hAnsi="仿宋" w:eastAsia="仿宋"/>
          <w:b w:val="0"/>
          <w:bCs w:val="0"/>
          <w:sz w:val="28"/>
          <w:szCs w:val="28"/>
        </w:rPr>
        <w:t>；卫生健康（类）支出10.82万元，占2.05%；其它支出（类）支出0.00万元，占0.00%。</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ascii="仿宋" w:hAnsi="仿宋" w:eastAsia="仿宋"/>
          <w:b w:val="0"/>
          <w:bCs w:val="0"/>
          <w:sz w:val="28"/>
          <w:szCs w:val="28"/>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val="0"/>
          <w:bCs w:val="0"/>
          <w:sz w:val="28"/>
          <w:szCs w:val="28"/>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2"/>
        <w:rPr>
          <w:rFonts w:ascii="仿宋" w:hAnsi="仿宋" w:eastAsia="仿宋"/>
          <w:b w:val="0"/>
          <w:bCs w:val="0"/>
          <w:sz w:val="28"/>
          <w:szCs w:val="28"/>
        </w:rPr>
      </w:pPr>
      <w:bookmarkStart w:id="39" w:name="_Toc15377212"/>
      <w:r>
        <w:rPr>
          <w:rFonts w:hint="eastAsia" w:ascii="仿宋" w:hAnsi="仿宋" w:eastAsia="仿宋"/>
          <w:b w:val="0"/>
          <w:bCs w:val="0"/>
          <w:sz w:val="28"/>
          <w:szCs w:val="28"/>
        </w:rPr>
        <w:t>（三）一般公共预算财政拨款支出决算具体情况</w:t>
      </w:r>
      <w:bookmarkEnd w:id="39"/>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pacing w:val="-6"/>
          <w:sz w:val="28"/>
          <w:szCs w:val="28"/>
        </w:rPr>
      </w:pPr>
      <w:bookmarkStart w:id="40" w:name="_Toc15377444"/>
      <w:bookmarkStart w:id="41" w:name="_Toc15378460"/>
      <w:bookmarkStart w:id="42" w:name="_Toc15377213"/>
      <w:r>
        <w:rPr>
          <w:rFonts w:hint="eastAsia" w:ascii="仿宋" w:hAnsi="仿宋" w:eastAsia="仿宋"/>
          <w:b w:val="0"/>
          <w:bCs w:val="0"/>
          <w:sz w:val="28"/>
          <w:szCs w:val="28"/>
        </w:rPr>
        <w:t>201</w:t>
      </w:r>
      <w:r>
        <w:rPr>
          <w:rFonts w:hint="eastAsia" w:ascii="仿宋" w:hAnsi="仿宋" w:eastAsia="仿宋"/>
          <w:b w:val="0"/>
          <w:bCs w:val="0"/>
          <w:spacing w:val="-6"/>
          <w:sz w:val="28"/>
          <w:szCs w:val="28"/>
        </w:rPr>
        <w:t>9年一般公共预算支出决算数为525.63万元，</w:t>
      </w:r>
      <w:r>
        <w:rPr>
          <w:rStyle w:val="15"/>
          <w:rFonts w:hint="eastAsia" w:ascii="仿宋" w:hAnsi="仿宋" w:eastAsia="仿宋"/>
          <w:b w:val="0"/>
          <w:bCs w:val="0"/>
          <w:spacing w:val="-6"/>
          <w:sz w:val="28"/>
          <w:szCs w:val="28"/>
        </w:rPr>
        <w:t>完成</w:t>
      </w:r>
      <w:r>
        <w:rPr>
          <w:rFonts w:hint="eastAsia" w:ascii="仿宋" w:hAnsi="仿宋" w:eastAsia="仿宋"/>
          <w:b w:val="0"/>
          <w:bCs w:val="0"/>
          <w:spacing w:val="-6"/>
          <w:sz w:val="28"/>
          <w:szCs w:val="28"/>
        </w:rPr>
        <w:t>预算100</w:t>
      </w:r>
      <w:r>
        <w:rPr>
          <w:rFonts w:ascii="仿宋" w:hAnsi="仿宋" w:eastAsia="仿宋"/>
          <w:b w:val="0"/>
          <w:bCs w:val="0"/>
          <w:spacing w:val="-6"/>
          <w:sz w:val="28"/>
          <w:szCs w:val="28"/>
        </w:rPr>
        <w:t>%</w:t>
      </w:r>
      <w:r>
        <w:rPr>
          <w:rFonts w:hint="eastAsia" w:ascii="仿宋" w:hAnsi="仿宋" w:eastAsia="仿宋"/>
          <w:b w:val="0"/>
          <w:bCs w:val="0"/>
          <w:spacing w:val="-6"/>
          <w:sz w:val="28"/>
          <w:szCs w:val="28"/>
        </w:rPr>
        <w:t>。其中：</w:t>
      </w:r>
      <w:bookmarkEnd w:id="40"/>
      <w:bookmarkEnd w:id="41"/>
      <w:bookmarkEnd w:id="4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1</w:t>
      </w:r>
      <w:r>
        <w:rPr>
          <w:rFonts w:ascii="仿宋" w:hAnsi="仿宋" w:eastAsia="仿宋"/>
          <w:b w:val="0"/>
          <w:bCs w:val="0"/>
          <w:color w:val="000000" w:themeColor="text1"/>
          <w:sz w:val="28"/>
          <w:szCs w:val="28"/>
          <w14:textFill>
            <w14:solidFill>
              <w14:schemeClr w14:val="tx1"/>
            </w14:solidFill>
          </w14:textFill>
        </w:rPr>
        <w:t>. 教育支出</w:t>
      </w:r>
      <w:r>
        <w:rPr>
          <w:rFonts w:hint="eastAsia" w:ascii="仿宋" w:hAnsi="仿宋" w:eastAsia="仿宋"/>
          <w:b w:val="0"/>
          <w:bCs w:val="0"/>
          <w:color w:val="000000" w:themeColor="text1"/>
          <w:sz w:val="28"/>
          <w:szCs w:val="28"/>
          <w14:textFill>
            <w14:solidFill>
              <w14:schemeClr w14:val="tx1"/>
            </w14:solidFill>
          </w14:textFill>
        </w:rPr>
        <w:t>（类）普通教育（款）初中学教育（项）</w:t>
      </w:r>
      <w:r>
        <w:rPr>
          <w:rFonts w:ascii="仿宋" w:hAnsi="仿宋" w:eastAsia="仿宋"/>
          <w:b w:val="0"/>
          <w:bCs w:val="0"/>
          <w:color w:val="000000" w:themeColor="text1"/>
          <w:sz w:val="28"/>
          <w:szCs w:val="28"/>
          <w14:textFill>
            <w14:solidFill>
              <w14:schemeClr w14:val="tx1"/>
            </w14:solidFill>
          </w14:textFill>
        </w:rPr>
        <w:t xml:space="preserve">: </w:t>
      </w:r>
      <w:r>
        <w:rPr>
          <w:rFonts w:hint="eastAsia" w:ascii="仿宋" w:hAnsi="仿宋" w:eastAsia="仿宋"/>
          <w:b w:val="0"/>
          <w:bCs w:val="0"/>
          <w:color w:val="000000" w:themeColor="text1"/>
          <w:sz w:val="28"/>
          <w:szCs w:val="28"/>
          <w14:textFill>
            <w14:solidFill>
              <w14:schemeClr w14:val="tx1"/>
            </w14:solidFill>
          </w14:textFill>
        </w:rPr>
        <w:t>支出决算数为353.91万元，完成预算100.00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2</w:t>
      </w:r>
      <w:r>
        <w:rPr>
          <w:rFonts w:ascii="仿宋" w:hAnsi="仿宋" w:eastAsia="仿宋"/>
          <w:b w:val="0"/>
          <w:bCs w:val="0"/>
          <w:sz w:val="28"/>
          <w:szCs w:val="28"/>
        </w:rPr>
        <w:t>. 教育支出</w:t>
      </w:r>
      <w:r>
        <w:rPr>
          <w:rFonts w:hint="eastAsia" w:ascii="仿宋" w:hAnsi="仿宋" w:eastAsia="仿宋"/>
          <w:b w:val="0"/>
          <w:bCs w:val="0"/>
          <w:sz w:val="28"/>
          <w:szCs w:val="28"/>
        </w:rPr>
        <w:t>（类）特殊教育（款）初中教育（项）</w:t>
      </w:r>
      <w:r>
        <w:rPr>
          <w:rFonts w:ascii="仿宋" w:hAnsi="仿宋" w:eastAsia="仿宋"/>
          <w:b w:val="0"/>
          <w:bCs w:val="0"/>
          <w:sz w:val="28"/>
          <w:szCs w:val="28"/>
        </w:rPr>
        <w:t xml:space="preserve">: </w:t>
      </w:r>
      <w:r>
        <w:rPr>
          <w:rFonts w:hint="eastAsia" w:ascii="仿宋" w:hAnsi="仿宋" w:eastAsia="仿宋"/>
          <w:b w:val="0"/>
          <w:bCs w:val="0"/>
          <w:sz w:val="28"/>
          <w:szCs w:val="28"/>
        </w:rPr>
        <w:t>支出决算数为329.53万元，完成预算100.00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3</w:t>
      </w:r>
      <w:r>
        <w:rPr>
          <w:rFonts w:ascii="仿宋" w:hAnsi="仿宋" w:eastAsia="仿宋"/>
          <w:b w:val="0"/>
          <w:bCs w:val="0"/>
          <w:sz w:val="28"/>
          <w:szCs w:val="28"/>
        </w:rPr>
        <w:t>. 社会保障和就业支出</w:t>
      </w:r>
      <w:r>
        <w:rPr>
          <w:rFonts w:hint="eastAsia" w:ascii="仿宋" w:hAnsi="仿宋" w:eastAsia="仿宋"/>
          <w:b w:val="0"/>
          <w:bCs w:val="0"/>
          <w:sz w:val="28"/>
          <w:szCs w:val="28"/>
        </w:rPr>
        <w:t>（类）行政事业单位离退休（款）机关事业单位基本养老保险缴费支出（项）</w:t>
      </w:r>
      <w:r>
        <w:rPr>
          <w:rFonts w:ascii="仿宋" w:hAnsi="仿宋" w:eastAsia="仿宋"/>
          <w:b w:val="0"/>
          <w:bCs w:val="0"/>
          <w:sz w:val="28"/>
          <w:szCs w:val="28"/>
        </w:rPr>
        <w:t xml:space="preserve">: </w:t>
      </w:r>
      <w:r>
        <w:rPr>
          <w:rFonts w:hint="eastAsia" w:ascii="仿宋" w:hAnsi="仿宋" w:eastAsia="仿宋"/>
          <w:b w:val="0"/>
          <w:bCs w:val="0"/>
          <w:sz w:val="28"/>
          <w:szCs w:val="28"/>
        </w:rPr>
        <w:t>支出决算为27.31万元，完成预算100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b w:val="0"/>
          <w:bCs w:val="0"/>
          <w:sz w:val="28"/>
          <w:szCs w:val="28"/>
        </w:rPr>
        <w:t>4</w:t>
      </w:r>
      <w:r>
        <w:rPr>
          <w:b w:val="0"/>
          <w:bCs w:val="0"/>
          <w:sz w:val="28"/>
          <w:szCs w:val="28"/>
        </w:rPr>
        <w:t>.</w:t>
      </w:r>
      <w:r>
        <w:rPr>
          <w:rFonts w:ascii="仿宋" w:hAnsi="仿宋" w:eastAsia="仿宋"/>
          <w:b w:val="0"/>
          <w:bCs w:val="0"/>
          <w:sz w:val="28"/>
          <w:szCs w:val="28"/>
        </w:rPr>
        <w:t xml:space="preserve"> </w:t>
      </w:r>
      <w:r>
        <w:rPr>
          <w:rFonts w:hint="eastAsia" w:ascii="仿宋" w:hAnsi="仿宋" w:eastAsia="仿宋"/>
          <w:b w:val="0"/>
          <w:bCs w:val="0"/>
          <w:sz w:val="28"/>
          <w:szCs w:val="28"/>
        </w:rPr>
        <w:t>卫生健康支出</w:t>
      </w:r>
      <w:r>
        <w:rPr>
          <w:rFonts w:hint="eastAsia"/>
          <w:b w:val="0"/>
          <w:bCs w:val="0"/>
          <w:sz w:val="28"/>
          <w:szCs w:val="28"/>
        </w:rPr>
        <w:t>（</w:t>
      </w:r>
      <w:r>
        <w:rPr>
          <w:rFonts w:hint="eastAsia" w:ascii="仿宋" w:hAnsi="仿宋" w:eastAsia="仿宋"/>
          <w:b w:val="0"/>
          <w:bCs w:val="0"/>
          <w:sz w:val="28"/>
          <w:szCs w:val="28"/>
        </w:rPr>
        <w:t>类）行政事业单位医疗（款）行政单位医疗（项）</w:t>
      </w:r>
      <w:r>
        <w:rPr>
          <w:rFonts w:ascii="仿宋" w:hAnsi="仿宋" w:eastAsia="仿宋"/>
          <w:b w:val="0"/>
          <w:bCs w:val="0"/>
          <w:sz w:val="28"/>
          <w:szCs w:val="28"/>
        </w:rPr>
        <w:t xml:space="preserve">: </w:t>
      </w:r>
      <w:r>
        <w:rPr>
          <w:rFonts w:hint="eastAsia" w:ascii="仿宋" w:hAnsi="仿宋" w:eastAsia="仿宋"/>
          <w:b w:val="0"/>
          <w:bCs w:val="0"/>
          <w:sz w:val="28"/>
          <w:szCs w:val="28"/>
        </w:rPr>
        <w:t>支出决算为10.82万元，完成预算100</w:t>
      </w:r>
      <w:r>
        <w:rPr>
          <w:rFonts w:ascii="仿宋" w:hAnsi="仿宋" w:eastAsia="仿宋"/>
          <w:b w:val="0"/>
          <w:bCs w:val="0"/>
          <w:sz w:val="28"/>
          <w:szCs w:val="28"/>
        </w:rPr>
        <w:t>%</w:t>
      </w:r>
      <w:r>
        <w:rPr>
          <w:rFonts w:hint="eastAsia" w:ascii="仿宋" w:hAnsi="仿宋" w:eastAsia="仿宋"/>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（图7：一般公共预算财政拨款支出完成比例情况图）</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Style w:val="26"/>
          <w:b w:val="0"/>
          <w:bCs w:val="0"/>
          <w:sz w:val="28"/>
          <w:szCs w:val="28"/>
        </w:rPr>
      </w:pPr>
      <w:r>
        <w:rPr>
          <w:rFonts w:ascii="仿宋" w:hAnsi="仿宋" w:eastAsia="仿宋"/>
          <w:b w:val="0"/>
          <w:bCs w:val="0"/>
          <w:sz w:val="28"/>
          <w:szCs w:val="28"/>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79185" cy="3760470"/>
            <wp:effectExtent l="4445" t="4445" r="7620"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43" w:name="_Toc15377214"/>
      <w:r>
        <w:rPr>
          <w:rFonts w:hint="eastAsia" w:ascii="黑体" w:eastAsia="黑体"/>
          <w:b w:val="0"/>
          <w:bCs w:val="0"/>
          <w:sz w:val="28"/>
          <w:szCs w:val="28"/>
        </w:rPr>
        <w:t>六</w:t>
      </w:r>
      <w:r>
        <w:rPr>
          <w:rFonts w:hint="eastAsia" w:ascii="黑体" w:eastAsia="黑体"/>
          <w:b w:val="0"/>
          <w:bCs w:val="0"/>
          <w:sz w:val="28"/>
          <w:szCs w:val="28"/>
        </w:rPr>
        <w:t>、</w:t>
      </w:r>
      <w:r>
        <w:rPr>
          <w:rFonts w:hint="eastAsia" w:ascii="黑体" w:hAnsi="黑体" w:eastAsia="黑体"/>
          <w:b w:val="0"/>
          <w:bCs w:val="0"/>
          <w:sz w:val="28"/>
          <w:szCs w:val="28"/>
        </w:rPr>
        <w:t>一</w:t>
      </w:r>
      <w:r>
        <w:rPr>
          <w:rStyle w:val="26"/>
          <w:rFonts w:hint="eastAsia" w:ascii="黑体" w:hAnsi="黑体" w:eastAsia="黑体"/>
          <w:b w:val="0"/>
          <w:bCs w:val="0"/>
          <w:sz w:val="28"/>
          <w:szCs w:val="28"/>
        </w:rPr>
        <w:t>般公共预算财政拨款基本支出决算情况说明</w:t>
      </w:r>
      <w:bookmarkEnd w:id="43"/>
      <w:r>
        <w:rPr>
          <w:rStyle w:val="26"/>
          <w:rFonts w:ascii="黑体" w:hAnsi="黑体" w:eastAsia="黑体"/>
          <w:b w:val="0"/>
          <w:bCs w:val="0"/>
          <w:sz w:val="28"/>
          <w:szCs w:val="28"/>
        </w:rPr>
        <w:tab/>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ascii="仿宋" w:hAnsi="仿宋" w:eastAsia="仿宋"/>
          <w:b w:val="0"/>
          <w:bCs w:val="0"/>
          <w:sz w:val="28"/>
          <w:szCs w:val="28"/>
        </w:rPr>
        <w:t>201</w:t>
      </w:r>
      <w:r>
        <w:rPr>
          <w:rFonts w:hint="eastAsia" w:ascii="仿宋" w:hAnsi="仿宋" w:eastAsia="仿宋"/>
          <w:b w:val="0"/>
          <w:bCs w:val="0"/>
          <w:sz w:val="28"/>
          <w:szCs w:val="28"/>
        </w:rPr>
        <w:t>9年一般公共预算财政拨款基本支出507.18万元，其中：</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人员经费333.73万元，主要包括：基本工资120.97万元、津贴补贴11.64万元、奖金0万元、伙食补助费0.00万元、绩效工资78.11万元、机关事业单位基本养老保险缴费12.16万元、职业年金缴费1.22万元、职工基本医疗保险缴费10.82万元、其他社会保障缴费8.95万元、住房公积金30.3万元、其他工资福利支出36.90万元、离休费0万元、退休费0万元、抚恤金5万元、生活补助17.7万元、助学金10.18万元、奖励金0万元等。</w:t>
      </w:r>
      <w:r>
        <w:rPr>
          <w:rFonts w:ascii="仿宋" w:hAnsi="仿宋" w:eastAsia="仿宋"/>
          <w:b w:val="0"/>
          <w:bCs w:val="0"/>
          <w:sz w:val="28"/>
          <w:szCs w:val="28"/>
        </w:rPr>
        <w:br w:type="textWrapping"/>
      </w:r>
      <w:r>
        <w:rPr>
          <w:rFonts w:hint="eastAsia" w:ascii="仿宋" w:hAnsi="仿宋" w:eastAsia="仿宋"/>
          <w:b w:val="0"/>
          <w:bCs w:val="0"/>
          <w:sz w:val="28"/>
          <w:szCs w:val="28"/>
        </w:rPr>
        <w:t>　　公用经费155.99万元，主要包括：办公费27.68万元、印刷费6.57万元、咨询费0.01万元、手续费0.28万元、水费7.89万元、电费5万元、邮电费6.58万元、物业管理费0万元、差旅费6.97万元、因公出国（境）费用0.00万元、维修（护）费36.13万元、租赁费0.21万元、会议费0万元、培训费6.62万元、公务接待费0万元、专用材料费0万元、劳务费42.4万元、委托业务费0.00万元、工会经费1.44万元、福利费8.21万元、办公设备购置费6.14万元、大型修缮2.12万元等。</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b w:val="0"/>
          <w:bCs w:val="0"/>
          <w:sz w:val="28"/>
          <w:szCs w:val="28"/>
        </w:rPr>
      </w:pPr>
      <w:r>
        <w:rPr>
          <w:rFonts w:hint="eastAsia" w:ascii="仿宋" w:hAnsi="仿宋" w:eastAsia="仿宋"/>
          <w:b w:val="0"/>
          <w:bCs w:val="0"/>
          <w:sz w:val="28"/>
          <w:szCs w:val="28"/>
        </w:rPr>
        <w:t>（数据来源财决</w:t>
      </w:r>
      <w:r>
        <w:rPr>
          <w:rFonts w:ascii="仿宋" w:hAnsi="仿宋" w:eastAsia="仿宋"/>
          <w:b w:val="0"/>
          <w:bCs w:val="0"/>
          <w:sz w:val="28"/>
          <w:szCs w:val="28"/>
        </w:rPr>
        <w:t>0</w:t>
      </w:r>
      <w:r>
        <w:rPr>
          <w:rFonts w:hint="eastAsia" w:ascii="仿宋" w:hAnsi="仿宋" w:eastAsia="仿宋"/>
          <w:b w:val="0"/>
          <w:bCs w:val="0"/>
          <w:sz w:val="28"/>
          <w:szCs w:val="28"/>
        </w:rPr>
        <w:t>7表，根据本部门实际支出情况罗列全部经济分类科目。）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560" w:firstLineChars="200"/>
        <w:textAlignment w:val="auto"/>
        <w:rPr>
          <w:rStyle w:val="26"/>
          <w:rFonts w:ascii="黑体" w:hAnsi="黑体" w:eastAsia="黑体"/>
          <w:b w:val="0"/>
          <w:bCs w:val="0"/>
          <w:sz w:val="28"/>
          <w:szCs w:val="28"/>
        </w:rPr>
      </w:pPr>
      <w:bookmarkStart w:id="44" w:name="_Toc19089870"/>
      <w:bookmarkStart w:id="45" w:name="_Toc15377215"/>
      <w:bookmarkStart w:id="46" w:name="_Toc19089873"/>
      <w:r>
        <w:rPr>
          <w:rStyle w:val="26"/>
          <w:rFonts w:hint="eastAsia" w:ascii="黑体" w:hAnsi="黑体" w:eastAsia="黑体"/>
          <w:b w:val="0"/>
          <w:bCs w:val="0"/>
          <w:sz w:val="28"/>
          <w:szCs w:val="28"/>
        </w:rPr>
        <w:t>“三公”经费财政拨款支出决算</w:t>
      </w:r>
      <w:bookmarkEnd w:id="44"/>
      <w:bookmarkEnd w:id="45"/>
      <w:bookmarkStart w:id="47" w:name="_Toc15377218"/>
      <w:r>
        <w:rPr>
          <w:rStyle w:val="26"/>
          <w:rFonts w:hint="eastAsia" w:ascii="黑体" w:hAnsi="黑体" w:eastAsia="黑体"/>
          <w:b w:val="0"/>
          <w:bCs w:val="0"/>
          <w:sz w:val="28"/>
          <w:szCs w:val="28"/>
        </w:rPr>
        <w:t>情况说明</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9年“三公”经费财政拨款支出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sz w:val="28"/>
          <w:szCs w:val="28"/>
        </w:rPr>
      </w:pPr>
      <w:bookmarkStart w:id="48" w:name="_Toc19089871"/>
      <w:r>
        <w:rPr>
          <w:rFonts w:hint="eastAsia" w:ascii="黑体" w:eastAsia="黑体"/>
          <w:b w:val="0"/>
          <w:bCs w:val="0"/>
          <w:sz w:val="28"/>
          <w:szCs w:val="28"/>
        </w:rPr>
        <w:t>八、</w:t>
      </w:r>
      <w:r>
        <w:rPr>
          <w:rStyle w:val="26"/>
          <w:rFonts w:hint="eastAsia" w:ascii="黑体" w:hAnsi="黑体" w:eastAsia="黑体"/>
          <w:b w:val="0"/>
          <w:bCs w:val="0"/>
          <w:sz w:val="28"/>
          <w:szCs w:val="28"/>
        </w:rPr>
        <w:t>政府性基金预算支出决算情况说明</w:t>
      </w:r>
      <w:bookmarkEnd w:id="47"/>
      <w:bookmarkEnd w:id="48"/>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9年政府性基金预算拨款支出</w:t>
      </w:r>
      <w:r>
        <w:rPr>
          <w:rFonts w:hint="eastAsia" w:ascii="仿宋_GB2312" w:hAnsi="仿宋_GB2312" w:eastAsia="仿宋_GB2312" w:cs="仿宋_GB2312"/>
          <w:b w:val="0"/>
          <w:bCs w:val="0"/>
          <w:sz w:val="28"/>
          <w:szCs w:val="28"/>
        </w:rPr>
        <w:t>0</w:t>
      </w:r>
      <w:r>
        <w:rPr>
          <w:rFonts w:hint="eastAsia" w:ascii="仿宋_GB2312" w:eastAsia="仿宋_GB2312"/>
          <w:b w:val="0"/>
          <w:bCs w:val="0"/>
          <w:sz w:val="28"/>
          <w:szCs w:val="28"/>
        </w:rPr>
        <w:t>万元。</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sz w:val="28"/>
          <w:szCs w:val="28"/>
        </w:rPr>
      </w:pPr>
      <w:bookmarkStart w:id="49" w:name="_Toc19089872"/>
      <w:bookmarkStart w:id="50" w:name="_Toc15377219"/>
      <w:r>
        <w:rPr>
          <w:rStyle w:val="26"/>
          <w:rFonts w:hint="eastAsia" w:ascii="黑体" w:hAnsi="黑体" w:eastAsia="黑体"/>
          <w:b w:val="0"/>
          <w:bCs w:val="0"/>
          <w:sz w:val="28"/>
          <w:szCs w:val="28"/>
        </w:rPr>
        <w:t>国有资本经营预算支出决算情况说明</w:t>
      </w:r>
      <w:bookmarkEnd w:id="49"/>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eastAsia="仿宋_GB2312"/>
          <w:b w:val="0"/>
          <w:bCs w:val="0"/>
          <w:sz w:val="28"/>
          <w:szCs w:val="28"/>
        </w:rPr>
      </w:pPr>
      <w:r>
        <w:rPr>
          <w:rFonts w:ascii="仿宋_GB2312" w:eastAsia="仿宋_GB2312"/>
          <w:b w:val="0"/>
          <w:bCs w:val="0"/>
          <w:sz w:val="28"/>
          <w:szCs w:val="28"/>
        </w:rPr>
        <w:t>201</w:t>
      </w:r>
      <w:r>
        <w:rPr>
          <w:rFonts w:hint="eastAsia" w:ascii="仿宋_GB2312" w:eastAsia="仿宋_GB2312"/>
          <w:b w:val="0"/>
          <w:bCs w:val="0"/>
          <w:sz w:val="28"/>
          <w:szCs w:val="28"/>
        </w:rPr>
        <w:t>9年国有资本经营预算拨款支出0.00万元。</w:t>
      </w:r>
    </w:p>
    <w:p>
      <w:pPr>
        <w:pStyle w:val="24"/>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leftChars="0" w:firstLine="560" w:firstLineChars="200"/>
        <w:textAlignment w:val="auto"/>
        <w:rPr>
          <w:rStyle w:val="26"/>
          <w:rFonts w:ascii="黑体" w:hAnsi="黑体" w:eastAsia="黑体"/>
          <w:b w:val="0"/>
          <w:bCs w:val="0"/>
          <w:sz w:val="28"/>
          <w:szCs w:val="28"/>
        </w:rPr>
      </w:pPr>
      <w:r>
        <w:rPr>
          <w:rStyle w:val="26"/>
          <w:rFonts w:hint="eastAsia" w:ascii="黑体" w:hAnsi="黑体" w:eastAsia="黑体"/>
          <w:b w:val="0"/>
          <w:bCs w:val="0"/>
          <w:sz w:val="28"/>
          <w:szCs w:val="28"/>
        </w:rPr>
        <w:t>预算绩效情况说明</w:t>
      </w:r>
    </w:p>
    <w:bookmarkEnd w:id="46"/>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b w:val="0"/>
          <w:bCs w:val="0"/>
          <w:sz w:val="28"/>
          <w:szCs w:val="28"/>
        </w:rPr>
      </w:pPr>
      <w:bookmarkStart w:id="51" w:name="_Toc15377221"/>
      <w:bookmarkStart w:id="52" w:name="_Toc19089874"/>
      <w:r>
        <w:rPr>
          <w:rFonts w:hint="eastAsia" w:ascii="仿宋_GB2312" w:hAnsi="仿宋_GB2312" w:eastAsia="仿宋_GB2312" w:cs="仿宋_GB2312"/>
          <w:b w:val="0"/>
          <w:bCs w:val="0"/>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华文仿宋" w:hAnsi="华文仿宋" w:eastAsia="华文仿宋"/>
          <w:b w:val="0"/>
          <w:bCs w:val="0"/>
          <w:sz w:val="28"/>
          <w:szCs w:val="28"/>
        </w:rPr>
      </w:pPr>
      <w:r>
        <w:rPr>
          <w:rFonts w:hint="eastAsia" w:ascii="仿宋_GB2312" w:eastAsia="仿宋_GB2312"/>
          <w:b w:val="0"/>
          <w:bCs w:val="0"/>
          <w:sz w:val="28"/>
          <w:szCs w:val="28"/>
        </w:rPr>
        <w:t>存在的问题：</w:t>
      </w:r>
      <w:r>
        <w:rPr>
          <w:rFonts w:hint="eastAsia" w:ascii="仿宋_GB2312" w:hAnsi="宋体" w:eastAsia="仿宋_GB2312" w:cs="仿宋_GB2312"/>
          <w:b w:val="0"/>
          <w:bCs w:val="0"/>
          <w:sz w:val="28"/>
          <w:szCs w:val="28"/>
        </w:rPr>
        <w:t>一是绩效评价管理工作制度建设有待进一步加强，绩效管理缺乏系统性；二是</w:t>
      </w:r>
      <w:r>
        <w:rPr>
          <w:rFonts w:hint="eastAsia" w:ascii="华文仿宋" w:hAnsi="华文仿宋" w:eastAsia="华文仿宋"/>
          <w:b w:val="0"/>
          <w:bCs w:val="0"/>
          <w:sz w:val="28"/>
          <w:szCs w:val="28"/>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华文仿宋" w:hAnsi="华文仿宋" w:eastAsia="华文仿宋"/>
          <w:b w:val="0"/>
          <w:bCs w:val="0"/>
          <w:sz w:val="28"/>
          <w:szCs w:val="28"/>
        </w:rPr>
      </w:pPr>
      <w:r>
        <w:rPr>
          <w:rFonts w:hint="eastAsia" w:ascii="仿宋_GB2312" w:eastAsia="仿宋_GB2312"/>
          <w:b w:val="0"/>
          <w:bCs w:val="0"/>
          <w:sz w:val="28"/>
          <w:szCs w:val="28"/>
        </w:rPr>
        <w:t>下一步改进措施：</w:t>
      </w:r>
      <w:r>
        <w:rPr>
          <w:rStyle w:val="15"/>
          <w:rFonts w:hint="eastAsia" w:ascii="仿宋_GB2312" w:hAnsi="宋体" w:eastAsia="仿宋_GB2312" w:cs="仿宋_GB2312"/>
          <w:b w:val="0"/>
          <w:bCs w:val="0"/>
          <w:sz w:val="28"/>
          <w:szCs w:val="28"/>
        </w:rPr>
        <w:t>一是</w:t>
      </w:r>
      <w:r>
        <w:rPr>
          <w:rFonts w:hint="eastAsia" w:ascii="仿宋_GB2312" w:hAnsi="宋体" w:eastAsia="仿宋_GB2312" w:cs="仿宋_GB2312"/>
          <w:b w:val="0"/>
          <w:bCs w:val="0"/>
          <w:sz w:val="28"/>
          <w:szCs w:val="28"/>
        </w:rPr>
        <w:t>进一步加强绩效评价管理制度建设；</w:t>
      </w:r>
      <w:r>
        <w:rPr>
          <w:rFonts w:hint="eastAsia" w:ascii="仿宋_GB2312" w:hAnsi="宋体" w:eastAsia="仿宋_GB2312" w:cs="仿宋_GB2312"/>
          <w:b w:val="0"/>
          <w:bCs w:val="0"/>
          <w:sz w:val="28"/>
          <w:szCs w:val="28"/>
        </w:rPr>
        <w:t>二是</w:t>
      </w:r>
      <w:r>
        <w:rPr>
          <w:rFonts w:hint="eastAsia" w:ascii="仿宋_GB2312" w:hAnsi="宋体" w:eastAsia="仿宋_GB2312" w:cs="仿宋_GB2312"/>
          <w:b w:val="0"/>
          <w:bCs w:val="0"/>
          <w:sz w:val="28"/>
          <w:szCs w:val="28"/>
        </w:rPr>
        <w:t>建立有效的绩效管理体系；</w:t>
      </w:r>
      <w:r>
        <w:rPr>
          <w:rStyle w:val="15"/>
          <w:rFonts w:hint="eastAsia" w:ascii="仿宋_GB2312" w:hAnsi="宋体" w:eastAsia="仿宋_GB2312" w:cs="仿宋_GB2312"/>
          <w:b w:val="0"/>
          <w:bCs w:val="0"/>
          <w:sz w:val="28"/>
          <w:szCs w:val="28"/>
        </w:rPr>
        <w:t>三是</w:t>
      </w:r>
      <w:r>
        <w:rPr>
          <w:rFonts w:hint="eastAsia" w:ascii="仿宋_GB2312" w:hAnsi="宋体" w:eastAsia="仿宋_GB2312" w:cs="仿宋_GB2312"/>
          <w:b w:val="0"/>
          <w:bCs w:val="0"/>
          <w:sz w:val="28"/>
          <w:szCs w:val="28"/>
        </w:rPr>
        <w:t>强化绩效管理数据分析，强化绩效管理数据运用；</w:t>
      </w:r>
      <w:r>
        <w:rPr>
          <w:rFonts w:hint="eastAsia" w:ascii="仿宋_GB2312" w:hAnsi="宋体" w:eastAsia="仿宋_GB2312" w:cs="仿宋_GB2312"/>
          <w:b w:val="0"/>
          <w:bCs w:val="0"/>
          <w:sz w:val="28"/>
          <w:szCs w:val="28"/>
        </w:rPr>
        <w:t>四是</w:t>
      </w:r>
      <w:r>
        <w:rPr>
          <w:rFonts w:hint="eastAsia" w:ascii="仿宋_GB2312" w:hAnsi="宋体" w:eastAsia="仿宋_GB2312" w:cs="仿宋_GB2312"/>
          <w:b w:val="0"/>
          <w:bCs w:val="0"/>
          <w:sz w:val="28"/>
          <w:szCs w:val="28"/>
        </w:rPr>
        <w:t>强化绩效评价专业技能的培训；</w:t>
      </w:r>
      <w:r>
        <w:rPr>
          <w:rFonts w:hint="eastAsia" w:ascii="华文仿宋" w:hAnsi="华文仿宋" w:eastAsia="华文仿宋"/>
          <w:b w:val="0"/>
          <w:bCs w:val="0"/>
          <w:sz w:val="28"/>
          <w:szCs w:val="28"/>
        </w:rPr>
        <w:t>五是</w:t>
      </w:r>
      <w:r>
        <w:rPr>
          <w:rFonts w:hint="eastAsia" w:ascii="华文仿宋" w:hAnsi="华文仿宋" w:eastAsia="华文仿宋"/>
          <w:b w:val="0"/>
          <w:bCs w:val="0"/>
          <w:sz w:val="28"/>
          <w:szCs w:val="28"/>
        </w:rPr>
        <w:t>探索与预算编制相结合的财政绩效管理，奖绩效评价逐步从事后评价延伸至事前、事中评价。</w:t>
      </w:r>
    </w:p>
    <w:p>
      <w:pPr>
        <w:pStyle w:val="24"/>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560" w:firstLineChars="200"/>
        <w:textAlignment w:val="auto"/>
        <w:rPr>
          <w:rFonts w:ascii="仿宋" w:hAnsi="仿宋" w:eastAsia="仿宋" w:cs="仿宋_GB2312"/>
          <w:b w:val="0"/>
          <w:bCs w:val="0"/>
          <w:sz w:val="28"/>
          <w:szCs w:val="28"/>
        </w:rPr>
      </w:pPr>
      <w:r>
        <w:rPr>
          <w:rFonts w:hint="eastAsia" w:ascii="仿宋" w:hAnsi="仿宋" w:eastAsia="仿宋" w:cs="楷体_GB2312"/>
          <w:b w:val="0"/>
          <w:bCs w:val="0"/>
          <w:sz w:val="28"/>
          <w:szCs w:val="28"/>
        </w:rPr>
        <w:t>部门开展绩效评价结果。</w:t>
      </w:r>
    </w:p>
    <w:p>
      <w:pPr>
        <w:pStyle w:val="24"/>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本部门按要求对2019年部门整体支出绩效评价情况开展自评，本部门自行组织对本校建档立卡贫困学生特别资助项目开展了绩效评价。</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outlineLvl w:val="1"/>
        <w:rPr>
          <w:rStyle w:val="26"/>
          <w:rFonts w:ascii="黑体" w:hAnsi="黑体" w:eastAsia="黑体"/>
          <w:b w:val="0"/>
          <w:bCs w:val="0"/>
          <w:color w:val="000000" w:themeColor="text1"/>
          <w:sz w:val="28"/>
          <w:szCs w:val="28"/>
          <w14:textFill>
            <w14:solidFill>
              <w14:schemeClr w14:val="tx1"/>
            </w14:solidFill>
          </w14:textFill>
        </w:rPr>
      </w:pPr>
      <w:r>
        <w:rPr>
          <w:rFonts w:hint="eastAsia" w:ascii="黑体" w:hAnsi="黑体" w:eastAsia="黑体"/>
          <w:b w:val="0"/>
          <w:bCs w:val="0"/>
          <w:color w:val="000000" w:themeColor="text1"/>
          <w:sz w:val="28"/>
          <w:szCs w:val="28"/>
          <w14:textFill>
            <w14:solidFill>
              <w14:schemeClr w14:val="tx1"/>
            </w14:solidFill>
          </w14:textFill>
        </w:rPr>
        <w:t>十</w:t>
      </w:r>
      <w:r>
        <w:rPr>
          <w:rStyle w:val="26"/>
          <w:rFonts w:hint="eastAsia" w:ascii="黑体" w:hAnsi="黑体" w:eastAsia="黑体"/>
          <w:b w:val="0"/>
          <w:bCs w:val="0"/>
          <w:color w:val="000000" w:themeColor="text1"/>
          <w:sz w:val="28"/>
          <w:szCs w:val="28"/>
          <w14:textFill>
            <w14:solidFill>
              <w14:schemeClr w14:val="tx1"/>
            </w14:solidFill>
          </w14:textFill>
        </w:rPr>
        <w:t>一、</w:t>
      </w:r>
      <w:r>
        <w:rPr>
          <w:rStyle w:val="26"/>
          <w:rFonts w:hint="eastAsia" w:ascii="黑体" w:hAnsi="黑体" w:eastAsia="黑体"/>
          <w:b w:val="0"/>
          <w:bCs w:val="0"/>
          <w:color w:val="000000" w:themeColor="text1"/>
          <w:sz w:val="28"/>
          <w:szCs w:val="28"/>
          <w14:textFill>
            <w14:solidFill>
              <w14:schemeClr w14:val="tx1"/>
            </w14:solidFill>
          </w14:textFill>
        </w:rPr>
        <w:t>其他重要事项的情况说明</w:t>
      </w:r>
      <w:bookmarkEnd w:id="51"/>
      <w:bookmarkEnd w:id="5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eastAsia="仿宋_GB2312"/>
          <w:b w:val="0"/>
          <w:bCs w:val="0"/>
          <w:sz w:val="28"/>
          <w:szCs w:val="28"/>
        </w:rPr>
      </w:pPr>
      <w:r>
        <w:rPr>
          <w:rFonts w:hint="eastAsia" w:ascii="仿宋" w:hAnsi="仿宋" w:eastAsia="仿宋"/>
          <w:b w:val="0"/>
          <w:bCs w:val="0"/>
          <w:sz w:val="28"/>
          <w:szCs w:val="28"/>
        </w:rPr>
        <w:t>无</w:t>
      </w:r>
    </w:p>
    <w:p>
      <w:pPr>
        <w:autoSpaceDE w:val="0"/>
        <w:autoSpaceDN w:val="0"/>
        <w:adjustRightInd w:val="0"/>
        <w:spacing w:line="600" w:lineRule="exact"/>
        <w:ind w:firstLine="640" w:firstLineChars="200"/>
        <w:jc w:val="left"/>
        <w:outlineLvl w:val="2"/>
        <w:rPr>
          <w:rFonts w:ascii="仿宋" w:hAnsi="仿宋" w:eastAsia="仿宋"/>
          <w:b w:val="0"/>
          <w:bCs w:val="0"/>
          <w:sz w:val="32"/>
          <w:szCs w:val="32"/>
        </w:rPr>
      </w:pPr>
    </w:p>
    <w:p>
      <w:pPr>
        <w:rPr>
          <w:rFonts w:hint="eastAsia" w:ascii="方正小标宋简体" w:hAnsi="方正小标宋简体" w:eastAsia="方正小标宋简体" w:cs="方正小标宋简体"/>
          <w:b w:val="0"/>
          <w:bCs w:val="0"/>
          <w:lang w:eastAsia="zh-CN"/>
        </w:rPr>
      </w:pPr>
      <w:bookmarkStart w:id="53" w:name="_Toc15377225"/>
      <w:bookmarkStart w:id="54" w:name="_Toc19089875"/>
      <w:r>
        <w:rPr>
          <w:rFonts w:hint="eastAsia" w:ascii="方正小标宋简体" w:hAnsi="方正小标宋简体" w:eastAsia="方正小标宋简体" w:cs="方正小标宋简体"/>
          <w:b w:val="0"/>
          <w:bCs w:val="0"/>
          <w:lang w:eastAsia="zh-CN"/>
        </w:rPr>
        <w:br w:type="page"/>
      </w:r>
    </w:p>
    <w:p>
      <w:pPr>
        <w:pStyle w:val="2"/>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lang w:eastAsia="zh-CN"/>
        </w:rPr>
        <w:t>第三部分</w:t>
      </w:r>
      <w:r>
        <w:rPr>
          <w:rFonts w:hint="eastAsia" w:ascii="方正小标宋简体" w:hAnsi="方正小标宋简体" w:eastAsia="方正小标宋简体" w:cs="方正小标宋简体"/>
          <w:b w:val="0"/>
          <w:bCs w:val="0"/>
          <w:lang w:val="en-US" w:eastAsia="zh-CN"/>
        </w:rPr>
        <w:t xml:space="preserve">  </w:t>
      </w:r>
      <w:r>
        <w:rPr>
          <w:rFonts w:hint="eastAsia" w:ascii="方正小标宋简体" w:hAnsi="方正小标宋简体" w:eastAsia="方正小标宋简体" w:cs="方正小标宋简体"/>
          <w:b w:val="0"/>
          <w:bCs w:val="0"/>
        </w:rPr>
        <w:t>名词解释</w:t>
      </w:r>
      <w:bookmarkEnd w:id="53"/>
      <w:bookmarkEnd w:id="54"/>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1.财政拨款收入：指单位从同级财政部门取得的财政预算资金。</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2.事业收入：指事业单位开展专业业务活动及辅助活动取得的收入。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4.其他收入：指单位取得的除上述收入以外的各项收入。主要是学前教育保育教育费收入、银行存款利息收入等。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6.年初结转和结余：指以前年度尚未完成、结转到本年按有关规定继续使用的资金。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7.结余分配：指事业单位按照事业单位会计制度的规定从非财政补助结余中分配的事业基金和职工福利基金等。</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8.年末结转和结余：指单位按有关规定结转到下年或以后年度继续使用的资金。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9.教育支出（类）教育管理事务（款）行政运行（项）:反映教育行政单位（包括实行公务员管理的事业单位）的基本支出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10. 教育支出（类）教育管理事务（款）一般行政管理事务（项）:反映行政单位（包括实行公务员管理的事业单位）未单独设置项级科目的其它项目支出。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11. 教育支出（类）教育管理事务（款）其它教育管理事务支出（项）:反映除上述项目以外其它用户教育管理事务方面的支出。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12. 教育支出（类）普通教育（款）学前教育（项）:反映各部门举办的学前教育支出。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16. 教育支出（类）普通教育（款）其它普通教育（项）: 反映除上述项目以外其他用于普通教育方面的支出。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17. 教育支出（类）职业教育（款）职业高中教育（项）: 反映各部门举办的职业中学、农业中学（含普通高中改制的）、半工（农）半读中学的支出或补助费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18. 教育支出（类）职业教育（款）高等职业教育（项）:反映经国家批准设立的高等职业大学、专科职业教育等方面的支出。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19. 教育支出（类）特殊教育（款）特殊学校教育（项）: 指各部门举办的盲童学校、聋哑学校、智力落后儿童学校、其它生理缺陷儿童学校的支出。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20. 教育支出（类）特殊教育（款）工读学校教育（项）:指各部门举办的工读学校的支出。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21. 教育支出（类）教育附加费安排的支出（款）农村中小学校舍建设（项）:反映教育附加费安排用于农村中小学校舍新建、改建、修缮和维护的支出。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22. 教育支出（类）教育附加费安排的支出（款）城市中小学校舍建设（项）: 反映教育附加费安排用于城市中小学校舍新建、改建、修缮和维护的支出。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23. 教育支出（类）教育附加费安排的支出（款）其它教育附加费安排的支出（项）: 指除上述项目以外的教育附加费支出。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24. 教育支出（类）其它教育支出（款）其他教育支出（项）: 指上述项目以外其他用于教育方面的支出。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27. 社会保障和就业支出（类）抚恤（款）死亡抚恤（项）: 指按规定用于烈士和</w:t>
      </w:r>
      <w:r>
        <w:rPr>
          <w:rFonts w:hint="eastAsia" w:ascii="仿宋_GB2312" w:eastAsia="仿宋_GB2312"/>
          <w:b w:val="0"/>
          <w:bCs w:val="0"/>
          <w:color w:val="auto"/>
          <w:spacing w:val="-6"/>
          <w:sz w:val="28"/>
          <w:szCs w:val="28"/>
        </w:rPr>
        <w:t>牺牲、病故人员家属的一次性和定期抚恤金以及丧葬补助费</w:t>
      </w:r>
      <w:r>
        <w:rPr>
          <w:rFonts w:hint="eastAsia" w:ascii="仿宋_GB2312" w:eastAsia="仿宋_GB2312"/>
          <w:b w:val="0"/>
          <w:bCs w:val="0"/>
          <w:color w:val="auto"/>
          <w:sz w:val="28"/>
          <w:szCs w:val="28"/>
        </w:rPr>
        <w:t>。</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30. 农林水支出（类）扶贫（款）其它扶贫支出（项）: 指除上述项目以外其他用于扶贫方面的支出。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32. 其他支出（类）其他支出（款）其他支出（项）: 指上述项目以外其他不能划分到具体功能科目中的支出项目。</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33.基本支出：指为保障机构正常运转、完成日常工作任务而发生的人员支出和公用支出。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34.项目支出：指在基本支出之外为完成特定行政任务和事业发展目标所发生的支出。 </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35.经营支出：指事业单位在专业业务活动及其辅助活动之外开展非独立核算经营活动发生的支出。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仿宋_GB2312" w:eastAsia="仿宋_GB2312" w:cs="黑体"/>
          <w:b w:val="0"/>
          <w:bCs w:val="0"/>
          <w:color w:val="auto"/>
          <w:sz w:val="28"/>
          <w:szCs w:val="28"/>
        </w:rPr>
      </w:pPr>
      <w:r>
        <w:rPr>
          <w:rFonts w:hint="eastAsia" w:ascii="仿宋_GB2312" w:eastAsia="仿宋_GB2312"/>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val="0"/>
        <w:spacing w:line="520" w:lineRule="exact"/>
        <w:ind w:firstLine="560" w:firstLineChars="200"/>
        <w:jc w:val="both"/>
        <w:textAlignment w:val="auto"/>
        <w:rPr>
          <w:rFonts w:ascii="黑体" w:hAnsi="黑体" w:eastAsia="黑体"/>
          <w:b w:val="0"/>
          <w:bCs w:val="0"/>
          <w:sz w:val="44"/>
          <w:szCs w:val="44"/>
        </w:rPr>
      </w:pPr>
      <w:r>
        <w:rPr>
          <w:rFonts w:hint="eastAsia" w:ascii="仿宋" w:hAnsi="仿宋" w:eastAsia="仿宋"/>
          <w:b w:val="0"/>
          <w:bCs w:val="0"/>
          <w:sz w:val="28"/>
          <w:szCs w:val="28"/>
        </w:rPr>
        <w:t>（名词解释部分请根据各部门实际列支情况罗列，并根据本部门职责职能增减名词解释内容。）</w:t>
      </w:r>
      <w:bookmarkStart w:id="55" w:name="_Toc19089876"/>
      <w:bookmarkStart w:id="56" w:name="_Toc15377226"/>
    </w:p>
    <w:p>
      <w:pPr>
        <w:pageBreakBefore w:val="0"/>
        <w:widowControl w:val="0"/>
        <w:kinsoku/>
        <w:wordWrap/>
        <w:overflowPunct/>
        <w:topLinePunct w:val="0"/>
        <w:bidi w:val="0"/>
        <w:snapToGrid w:val="0"/>
        <w:spacing w:line="540" w:lineRule="exact"/>
        <w:jc w:val="both"/>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br w:type="page"/>
      </w:r>
    </w:p>
    <w:p>
      <w:pPr>
        <w:pStyle w:val="2"/>
        <w:pageBreakBefore w:val="0"/>
        <w:widowControl w:val="0"/>
        <w:kinsoku/>
        <w:wordWrap/>
        <w:overflowPunct/>
        <w:topLinePunct w:val="0"/>
        <w:bidi w:val="0"/>
        <w:snapToGrid w:val="0"/>
        <w:spacing w:before="0" w:after="0" w:line="540" w:lineRule="exac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第四部分 附件</w:t>
      </w:r>
      <w:bookmarkEnd w:id="55"/>
    </w:p>
    <w:p>
      <w:pPr>
        <w:pageBreakBefore w:val="0"/>
        <w:widowControl w:val="0"/>
        <w:kinsoku/>
        <w:wordWrap/>
        <w:overflowPunct/>
        <w:topLinePunct w:val="0"/>
        <w:bidi w:val="0"/>
        <w:snapToGrid w:val="0"/>
        <w:spacing w:line="540" w:lineRule="exact"/>
        <w:jc w:val="both"/>
        <w:textAlignment w:val="auto"/>
        <w:rPr>
          <w:rFonts w:ascii="黑体" w:hAnsi="黑体" w:eastAsia="黑体"/>
          <w:b w:val="0"/>
          <w:bCs w:val="0"/>
          <w:kern w:val="44"/>
          <w:sz w:val="28"/>
          <w:szCs w:val="28"/>
        </w:rPr>
      </w:pPr>
      <w:bookmarkStart w:id="57" w:name="_Toc19089885"/>
      <w:r>
        <w:rPr>
          <w:rFonts w:hint="eastAsia" w:ascii="仿宋" w:hAnsi="仿宋" w:eastAsia="仿宋"/>
          <w:b w:val="0"/>
          <w:bCs w:val="0"/>
          <w:kern w:val="44"/>
          <w:sz w:val="28"/>
          <w:szCs w:val="28"/>
        </w:rPr>
        <w:t>附件1</w:t>
      </w:r>
      <w:bookmarkStart w:id="74" w:name="_GoBack"/>
      <w:bookmarkEnd w:id="74"/>
    </w:p>
    <w:p>
      <w:pPr>
        <w:pageBreakBefore w:val="0"/>
        <w:widowControl w:val="0"/>
        <w:kinsoku/>
        <w:wordWrap/>
        <w:overflowPunct/>
        <w:topLinePunct w:val="0"/>
        <w:bidi w:val="0"/>
        <w:snapToGrid w:val="0"/>
        <w:spacing w:line="540" w:lineRule="exact"/>
        <w:jc w:val="center"/>
        <w:textAlignment w:val="auto"/>
        <w:outlineLvl w:val="0"/>
        <w:rPr>
          <w:rFonts w:hint="eastAsia" w:ascii="黑体" w:hAnsi="黑体" w:eastAsia="黑体" w:cs="方正小标宋简体"/>
          <w:b w:val="0"/>
          <w:bCs w:val="0"/>
          <w:sz w:val="36"/>
          <w:szCs w:val="36"/>
        </w:rPr>
      </w:pPr>
      <w:bookmarkStart w:id="58" w:name="_Toc19089878"/>
      <w:bookmarkStart w:id="59" w:name="_Toc15396616"/>
      <w:r>
        <w:rPr>
          <w:rFonts w:hint="eastAsia" w:ascii="黑体" w:hAnsi="黑体" w:eastAsia="黑体" w:cs="方正小标宋简体"/>
          <w:b w:val="0"/>
          <w:bCs w:val="0"/>
          <w:sz w:val="36"/>
          <w:szCs w:val="36"/>
        </w:rPr>
        <w:t>广元市特殊教育学校</w:t>
      </w:r>
    </w:p>
    <w:p>
      <w:pPr>
        <w:pageBreakBefore w:val="0"/>
        <w:widowControl w:val="0"/>
        <w:kinsoku/>
        <w:wordWrap/>
        <w:overflowPunct/>
        <w:topLinePunct w:val="0"/>
        <w:bidi w:val="0"/>
        <w:snapToGrid w:val="0"/>
        <w:spacing w:line="540" w:lineRule="exact"/>
        <w:jc w:val="center"/>
        <w:textAlignment w:val="auto"/>
        <w:outlineLvl w:val="0"/>
        <w:rPr>
          <w:rFonts w:ascii="黑体" w:hAnsi="黑体" w:eastAsia="黑体" w:cs="方正小标宋简体"/>
          <w:b w:val="0"/>
          <w:bCs w:val="0"/>
          <w:sz w:val="36"/>
          <w:szCs w:val="36"/>
        </w:rPr>
      </w:pPr>
      <w:r>
        <w:rPr>
          <w:rFonts w:hint="eastAsia" w:ascii="黑体" w:hAnsi="黑体" w:eastAsia="黑体" w:cs="方正小标宋简体"/>
          <w:b w:val="0"/>
          <w:bCs w:val="0"/>
          <w:sz w:val="36"/>
          <w:szCs w:val="36"/>
        </w:rPr>
        <w:t>2019年部门整体支出</w:t>
      </w:r>
      <w:bookmarkEnd w:id="58"/>
      <w:bookmarkStart w:id="60" w:name="_Toc19089879"/>
      <w:r>
        <w:rPr>
          <w:rFonts w:hint="eastAsia" w:ascii="黑体" w:hAnsi="黑体" w:eastAsia="黑体" w:cs="方正小标宋简体"/>
          <w:b w:val="0"/>
          <w:bCs w:val="0"/>
          <w:sz w:val="36"/>
          <w:szCs w:val="36"/>
        </w:rPr>
        <w:t>绩效评价报告</w:t>
      </w:r>
      <w:bookmarkEnd w:id="59"/>
      <w:bookmarkEnd w:id="60"/>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hint="eastAsia" w:ascii="黑体" w:hAnsi="黑体" w:eastAsia="黑体" w:cs="黑体"/>
          <w:b w:val="0"/>
          <w:bCs w:val="0"/>
          <w:sz w:val="28"/>
          <w:szCs w:val="28"/>
        </w:rPr>
        <w:t>一、部门（单位）概况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（一）机构组成</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广元市特殊教育学校下属部门6个。</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（二）机构职能</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1．贯彻执行党和国家关于教育改革和发展的各项方针、政策，拟订全校教育事业发展规划和有关教育的规范性文件并组织实施；指导协调学校各部门的教育、教学体制改革。</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3．负责满足社会的要求和</w:t>
      </w:r>
      <w:r>
        <w:rPr>
          <w:b w:val="0"/>
          <w:bCs w:val="0"/>
          <w:sz w:val="28"/>
          <w:szCs w:val="28"/>
        </w:rPr>
        <w:fldChar w:fldCharType="begin"/>
      </w:r>
      <w:r>
        <w:rPr>
          <w:b w:val="0"/>
          <w:bCs w:val="0"/>
          <w:sz w:val="28"/>
          <w:szCs w:val="28"/>
        </w:rPr>
        <w:instrText xml:space="preserve"> HYPERLINK "https://baike.so.com/doc/7013907-7236794.html" \t "https://baike.so.com/doc/_blank" </w:instrText>
      </w:r>
      <w:r>
        <w:rPr>
          <w:b w:val="0"/>
          <w:bCs w:val="0"/>
          <w:sz w:val="28"/>
          <w:szCs w:val="28"/>
        </w:rPr>
        <w:fldChar w:fldCharType="separate"/>
      </w:r>
      <w:r>
        <w:rPr>
          <w:rFonts w:ascii="仿宋" w:hAnsi="仿宋" w:eastAsia="仿宋"/>
          <w:b w:val="0"/>
          <w:bCs w:val="0"/>
          <w:sz w:val="28"/>
          <w:szCs w:val="28"/>
        </w:rPr>
        <w:t>特殊儿童</w:t>
      </w:r>
      <w:r>
        <w:rPr>
          <w:rFonts w:ascii="仿宋" w:hAnsi="仿宋" w:eastAsia="仿宋"/>
          <w:b w:val="0"/>
          <w:bCs w:val="0"/>
          <w:sz w:val="28"/>
          <w:szCs w:val="28"/>
        </w:rPr>
        <w:fldChar w:fldCharType="end"/>
      </w:r>
      <w:r>
        <w:rPr>
          <w:rFonts w:ascii="仿宋" w:hAnsi="仿宋" w:eastAsia="仿宋"/>
          <w:b w:val="0"/>
          <w:bCs w:val="0"/>
          <w:sz w:val="28"/>
          <w:szCs w:val="28"/>
        </w:rPr>
        <w:t>的教育需要。发展他们的潜能，使他们增长知识、获得技能、完善人格，增强</w:t>
      </w:r>
      <w:r>
        <w:rPr>
          <w:b w:val="0"/>
          <w:bCs w:val="0"/>
          <w:sz w:val="28"/>
          <w:szCs w:val="28"/>
        </w:rPr>
        <w:fldChar w:fldCharType="begin"/>
      </w:r>
      <w:r>
        <w:rPr>
          <w:b w:val="0"/>
          <w:bCs w:val="0"/>
          <w:sz w:val="28"/>
          <w:szCs w:val="28"/>
        </w:rPr>
        <w:instrText xml:space="preserve"> HYPERLINK "https://baike.so.com/doc/5581196-5794085.html" \t "https://baike.so.com/doc/_blank" </w:instrText>
      </w:r>
      <w:r>
        <w:rPr>
          <w:b w:val="0"/>
          <w:bCs w:val="0"/>
          <w:sz w:val="28"/>
          <w:szCs w:val="28"/>
        </w:rPr>
        <w:fldChar w:fldCharType="separate"/>
      </w:r>
      <w:r>
        <w:rPr>
          <w:rFonts w:ascii="仿宋" w:hAnsi="仿宋" w:eastAsia="仿宋"/>
          <w:b w:val="0"/>
          <w:bCs w:val="0"/>
          <w:sz w:val="28"/>
          <w:szCs w:val="28"/>
        </w:rPr>
        <w:t>社会适应能力</w:t>
      </w:r>
      <w:r>
        <w:rPr>
          <w:rFonts w:ascii="仿宋" w:hAnsi="仿宋" w:eastAsia="仿宋"/>
          <w:b w:val="0"/>
          <w:bCs w:val="0"/>
          <w:sz w:val="28"/>
          <w:szCs w:val="28"/>
        </w:rPr>
        <w:fldChar w:fldCharType="end"/>
      </w:r>
      <w:r>
        <w:rPr>
          <w:rFonts w:ascii="仿宋" w:hAnsi="仿宋" w:eastAsia="仿宋"/>
          <w:b w:val="0"/>
          <w:bCs w:val="0"/>
          <w:sz w:val="28"/>
          <w:szCs w:val="28"/>
        </w:rPr>
        <w:t>，成为对社会有用的人才。</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4.促进基础教育发展，教育学生成长为德学兼备、思想端正的学生，让学生获得基本的基础知识，尽可能培养其自学能力。</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（三）人员概况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广元市特殊教育学校共有编制27名，其中全额财政补助事业编制27人。截至2019年末，实有在职人员27人，学校实有学生161人。</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ascii="黑体" w:hAnsi="黑体" w:eastAsia="黑体" w:cs="黑体"/>
          <w:b w:val="0"/>
          <w:bCs w:val="0"/>
          <w:sz w:val="28"/>
          <w:szCs w:val="28"/>
        </w:rPr>
        <w:t>二、部门财政资金收支情况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（一）部门财政资金收入情况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2019年财政拨款支出总计897.6万元。与2018年相比（853.92万元），财政拨款支出总计增加4.81万元，增涨0.55%。</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ascii="黑体" w:hAnsi="黑体" w:eastAsia="黑体" w:cs="黑体"/>
          <w:b w:val="0"/>
          <w:bCs w:val="0"/>
          <w:sz w:val="28"/>
          <w:szCs w:val="28"/>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（一）部门预算管理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1.</w:t>
      </w:r>
      <w:r>
        <w:rPr>
          <w:rFonts w:ascii="仿宋" w:hAnsi="仿宋" w:eastAsia="仿宋"/>
          <w:b w:val="0"/>
          <w:bCs w:val="0"/>
          <w:sz w:val="28"/>
          <w:szCs w:val="28"/>
        </w:rPr>
        <w:t>部门绩效目标制定</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w:t>
      </w:r>
      <w:r>
        <w:rPr>
          <w:rFonts w:ascii="仿宋" w:hAnsi="仿宋" w:eastAsia="仿宋"/>
          <w:b w:val="0"/>
          <w:bCs w:val="0"/>
          <w:sz w:val="28"/>
          <w:szCs w:val="28"/>
        </w:rPr>
        <w:t>预算编制</w:t>
      </w:r>
      <w:r>
        <w:rPr>
          <w:rFonts w:hint="eastAsia" w:ascii="仿宋" w:hAnsi="仿宋" w:eastAsia="仿宋"/>
          <w:b w:val="0"/>
          <w:bCs w:val="0"/>
          <w:sz w:val="28"/>
          <w:szCs w:val="28"/>
        </w:rPr>
        <w:t>和执行</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（二）专项预算管理。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1.专项预算编制情况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2.专项预算执行</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对于上级或区本级下达的各类专项预算支出，严格按照预算批复的开支范</w:t>
      </w:r>
      <w:r>
        <w:rPr>
          <w:rFonts w:hint="eastAsia" w:ascii="仿宋" w:hAnsi="仿宋" w:eastAsia="仿宋"/>
          <w:b w:val="0"/>
          <w:bCs w:val="0"/>
          <w:spacing w:val="-6"/>
          <w:sz w:val="28"/>
          <w:szCs w:val="28"/>
        </w:rPr>
        <w:t>围和标准执行，不准擅自调项、扩项、缩项，更不准拆借、挪用、挤占和随意扣压；资金拨付动向，按不同专项资金的要求执行，不准任意改变；</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ascii="黑体" w:hAnsi="黑体" w:eastAsia="黑体" w:cs="黑体"/>
          <w:b w:val="0"/>
          <w:bCs w:val="0"/>
          <w:sz w:val="28"/>
          <w:szCs w:val="28"/>
        </w:rPr>
        <w:t>四、评价结论及建议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（一）评价结论</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（二）存在问题</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（三）改进建议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2.落实预算执行分析，及时了解预算执行差异，合理调整、纠正预算执行偏差，切实提高部门预算收支管理水平。</w:t>
      </w:r>
    </w:p>
    <w:p>
      <w:pPr>
        <w:spacing w:line="520" w:lineRule="exact"/>
        <w:ind w:firstLine="640" w:firstLineChars="200"/>
        <w:rPr>
          <w:rFonts w:ascii="仿宋" w:hAnsi="仿宋" w:eastAsia="仿宋"/>
          <w:b w:val="0"/>
          <w:bCs w:val="0"/>
          <w:sz w:val="32"/>
          <w:szCs w:val="32"/>
        </w:rPr>
      </w:pPr>
      <w:r>
        <w:rPr>
          <w:rFonts w:ascii="仿宋" w:hAnsi="仿宋" w:eastAsia="仿宋"/>
          <w:b w:val="0"/>
          <w:bCs w:val="0"/>
          <w:sz w:val="32"/>
          <w:szCs w:val="32"/>
        </w:rPr>
        <w:br w:type="page"/>
      </w:r>
    </w:p>
    <w:p>
      <w:pPr>
        <w:pStyle w:val="2"/>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第五部分 附表</w:t>
      </w:r>
      <w:bookmarkEnd w:id="56"/>
      <w:bookmarkEnd w:id="57"/>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1" w:name="_Toc19089886"/>
      <w:r>
        <w:rPr>
          <w:rFonts w:hint="eastAsia" w:ascii="仿宋" w:hAnsi="仿宋" w:eastAsia="仿宋"/>
          <w:b w:val="0"/>
          <w:bCs w:val="0"/>
          <w:sz w:val="28"/>
          <w:szCs w:val="28"/>
        </w:rPr>
        <w:t>一、收入支出决算总表</w:t>
      </w:r>
      <w:bookmarkEnd w:id="61"/>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2" w:name="_Toc19089887"/>
      <w:r>
        <w:rPr>
          <w:rFonts w:hint="eastAsia" w:ascii="仿宋" w:hAnsi="仿宋" w:eastAsia="仿宋"/>
          <w:b w:val="0"/>
          <w:bCs w:val="0"/>
          <w:sz w:val="28"/>
          <w:szCs w:val="28"/>
        </w:rPr>
        <w:t>二、收入总表</w:t>
      </w:r>
      <w:bookmarkEnd w:id="62"/>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3" w:name="_Toc19089888"/>
      <w:r>
        <w:rPr>
          <w:rFonts w:hint="eastAsia" w:ascii="仿宋" w:hAnsi="仿宋" w:eastAsia="仿宋"/>
          <w:b w:val="0"/>
          <w:bCs w:val="0"/>
          <w:sz w:val="28"/>
          <w:szCs w:val="28"/>
        </w:rPr>
        <w:t>三、支出总表</w:t>
      </w:r>
      <w:bookmarkEnd w:id="63"/>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4" w:name="_Toc19089889"/>
      <w:r>
        <w:rPr>
          <w:rFonts w:hint="eastAsia" w:ascii="仿宋" w:hAnsi="仿宋" w:eastAsia="仿宋"/>
          <w:b w:val="0"/>
          <w:bCs w:val="0"/>
          <w:sz w:val="28"/>
          <w:szCs w:val="28"/>
        </w:rPr>
        <w:t>四、财政拨款收入支出决算总表</w:t>
      </w:r>
      <w:bookmarkEnd w:id="64"/>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5" w:name="_Toc19089890"/>
      <w:r>
        <w:rPr>
          <w:rFonts w:hint="eastAsia" w:ascii="仿宋" w:hAnsi="仿宋" w:eastAsia="仿宋"/>
          <w:b w:val="0"/>
          <w:bCs w:val="0"/>
          <w:sz w:val="28"/>
          <w:szCs w:val="28"/>
        </w:rPr>
        <w:t>五、财政拨款支出决算明细表（政府经济分类科目）</w:t>
      </w:r>
      <w:bookmarkEnd w:id="65"/>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6" w:name="_Toc19089891"/>
      <w:r>
        <w:rPr>
          <w:rFonts w:hint="eastAsia" w:ascii="仿宋" w:hAnsi="仿宋" w:eastAsia="仿宋"/>
          <w:b w:val="0"/>
          <w:bCs w:val="0"/>
          <w:sz w:val="28"/>
          <w:szCs w:val="28"/>
        </w:rPr>
        <w:t>六、一般公共预算财政拨款支出决算表</w:t>
      </w:r>
      <w:bookmarkEnd w:id="66"/>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7" w:name="_Toc19089892"/>
      <w:r>
        <w:rPr>
          <w:rFonts w:hint="eastAsia" w:ascii="仿宋" w:hAnsi="仿宋" w:eastAsia="仿宋"/>
          <w:b w:val="0"/>
          <w:bCs w:val="0"/>
          <w:sz w:val="28"/>
          <w:szCs w:val="28"/>
        </w:rPr>
        <w:t>七、一般公共预算财政拨款支出决算明细表</w:t>
      </w:r>
      <w:bookmarkEnd w:id="67"/>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8" w:name="_Toc19089893"/>
      <w:r>
        <w:rPr>
          <w:rFonts w:hint="eastAsia" w:ascii="仿宋" w:hAnsi="仿宋" w:eastAsia="仿宋"/>
          <w:b w:val="0"/>
          <w:bCs w:val="0"/>
          <w:sz w:val="28"/>
          <w:szCs w:val="28"/>
        </w:rPr>
        <w:t>八、一般公共预算财政拨款基本支出决算表</w:t>
      </w:r>
      <w:bookmarkEnd w:id="68"/>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69" w:name="_Toc19089894"/>
      <w:r>
        <w:rPr>
          <w:rFonts w:hint="eastAsia" w:ascii="仿宋" w:hAnsi="仿宋" w:eastAsia="仿宋"/>
          <w:b w:val="0"/>
          <w:bCs w:val="0"/>
          <w:sz w:val="28"/>
          <w:szCs w:val="28"/>
        </w:rPr>
        <w:t>九、一般公共预算财政拨款项目支出决算表</w:t>
      </w:r>
      <w:bookmarkEnd w:id="69"/>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70" w:name="_Toc19089895"/>
      <w:r>
        <w:rPr>
          <w:rFonts w:hint="eastAsia" w:ascii="仿宋" w:hAnsi="仿宋" w:eastAsia="仿宋"/>
          <w:b w:val="0"/>
          <w:bCs w:val="0"/>
          <w:sz w:val="28"/>
          <w:szCs w:val="28"/>
        </w:rPr>
        <w:t>十、一般公共预算财政拨款“三公”经费支出决算表</w:t>
      </w:r>
      <w:bookmarkEnd w:id="70"/>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71" w:name="_Toc19089896"/>
      <w:r>
        <w:rPr>
          <w:rFonts w:hint="eastAsia" w:ascii="仿宋" w:hAnsi="仿宋" w:eastAsia="仿宋"/>
          <w:b w:val="0"/>
          <w:bCs w:val="0"/>
          <w:sz w:val="28"/>
          <w:szCs w:val="28"/>
        </w:rPr>
        <w:t>十一、政府性基金预算财政拨款收入支出决算表</w:t>
      </w:r>
      <w:bookmarkEnd w:id="71"/>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72" w:name="_Toc19089897"/>
      <w:r>
        <w:rPr>
          <w:rFonts w:hint="eastAsia" w:ascii="仿宋" w:hAnsi="仿宋" w:eastAsia="仿宋"/>
          <w:b w:val="0"/>
          <w:bCs w:val="0"/>
          <w:sz w:val="28"/>
          <w:szCs w:val="28"/>
        </w:rPr>
        <w:t>十二、政府性基金预算财政拨款“三公”经费支出决算表</w:t>
      </w:r>
      <w:bookmarkEnd w:id="72"/>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b w:val="0"/>
          <w:bCs w:val="0"/>
          <w:sz w:val="28"/>
          <w:szCs w:val="28"/>
        </w:rPr>
      </w:pPr>
      <w:bookmarkStart w:id="73" w:name="_Toc19089898"/>
      <w:r>
        <w:rPr>
          <w:rFonts w:hint="eastAsia" w:ascii="仿宋" w:hAnsi="仿宋" w:eastAsia="仿宋"/>
          <w:b w:val="0"/>
          <w:bCs w:val="0"/>
          <w:sz w:val="28"/>
          <w:szCs w:val="28"/>
        </w:rPr>
        <w:t>十三、国有资本经营预算支出决算表</w:t>
      </w:r>
      <w:bookmarkEnd w:id="73"/>
    </w:p>
    <w:sectPr>
      <w:footerReference r:id="rId4"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Arial">
    <w:panose1 w:val="020B0604020202020204"/>
    <w:charset w:val="00"/>
    <w:family w:val=""/>
    <w:pitch w:val="default"/>
    <w:sig w:usb0="E0002AFF" w:usb1="C0007843" w:usb2="00000009" w:usb3="00000000" w:csb0="400001FF" w:csb1="FFFF0000"/>
  </w:font>
  <w:font w:name="微软雅黑 Light">
    <w:altName w:val="黑体"/>
    <w:panose1 w:val="020B0502040204020203"/>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1272550B"/>
    <w:multiLevelType w:val="multilevel"/>
    <w:tmpl w:val="1272550B"/>
    <w:lvl w:ilvl="0" w:tentative="0">
      <w:start w:val="1"/>
      <w:numFmt w:val="japaneseCounting"/>
      <w:lvlText w:val="%1、"/>
      <w:lvlJc w:val="left"/>
      <w:pPr>
        <w:ind w:left="1287"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lang w:val="en-US"/>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286A1F74"/>
    <w:multiLevelType w:val="multilevel"/>
    <w:tmpl w:val="286A1F74"/>
    <w:lvl w:ilvl="0" w:tentative="0">
      <w:start w:val="2"/>
      <w:numFmt w:val="japaneseCounting"/>
      <w:lvlText w:val="（%1）"/>
      <w:lvlJc w:val="left"/>
      <w:pPr>
        <w:ind w:left="1080" w:hanging="1080"/>
      </w:pPr>
      <w:rPr>
        <w:rFonts w:hint="default" w:ascii="华文仿宋" w:hAnsi="华文仿宋" w:eastAsia="华文仿宋"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A00A3"/>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CB"/>
    <w:rsid w:val="004464F4"/>
    <w:rsid w:val="00450718"/>
    <w:rsid w:val="00471401"/>
    <w:rsid w:val="0047387D"/>
    <w:rsid w:val="00473F31"/>
    <w:rsid w:val="0048263A"/>
    <w:rsid w:val="00487E5D"/>
    <w:rsid w:val="004A55C6"/>
    <w:rsid w:val="004A711F"/>
    <w:rsid w:val="004B199D"/>
    <w:rsid w:val="004B2420"/>
    <w:rsid w:val="004B4690"/>
    <w:rsid w:val="004D5782"/>
    <w:rsid w:val="004D66A9"/>
    <w:rsid w:val="004E0A2D"/>
    <w:rsid w:val="004E206B"/>
    <w:rsid w:val="004E6DF7"/>
    <w:rsid w:val="004F0FBD"/>
    <w:rsid w:val="00505A47"/>
    <w:rsid w:val="00512FDA"/>
    <w:rsid w:val="00520DA0"/>
    <w:rsid w:val="00566334"/>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8716E"/>
    <w:rsid w:val="006A3141"/>
    <w:rsid w:val="006A5E34"/>
    <w:rsid w:val="006B2422"/>
    <w:rsid w:val="006B2B9A"/>
    <w:rsid w:val="006B3EDE"/>
    <w:rsid w:val="006C1937"/>
    <w:rsid w:val="006C2699"/>
    <w:rsid w:val="006F020C"/>
    <w:rsid w:val="006F0FBD"/>
    <w:rsid w:val="007127B7"/>
    <w:rsid w:val="007276BB"/>
    <w:rsid w:val="007416B6"/>
    <w:rsid w:val="00746F48"/>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1933"/>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315F9"/>
    <w:rsid w:val="00932E48"/>
    <w:rsid w:val="00943E15"/>
    <w:rsid w:val="00946945"/>
    <w:rsid w:val="00951248"/>
    <w:rsid w:val="0095152F"/>
    <w:rsid w:val="00954C49"/>
    <w:rsid w:val="0097099F"/>
    <w:rsid w:val="00971997"/>
    <w:rsid w:val="00971FFC"/>
    <w:rsid w:val="0098660A"/>
    <w:rsid w:val="009931C3"/>
    <w:rsid w:val="009B2C43"/>
    <w:rsid w:val="009B4158"/>
    <w:rsid w:val="009B4605"/>
    <w:rsid w:val="009B4EAE"/>
    <w:rsid w:val="009B7573"/>
    <w:rsid w:val="009C22F4"/>
    <w:rsid w:val="009C2E98"/>
    <w:rsid w:val="009D3447"/>
    <w:rsid w:val="009D4711"/>
    <w:rsid w:val="009E529C"/>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81234"/>
    <w:rsid w:val="00A85A7C"/>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052C"/>
    <w:rsid w:val="00CE44F6"/>
    <w:rsid w:val="00CE49DA"/>
    <w:rsid w:val="00CE7B61"/>
    <w:rsid w:val="00CF6E7D"/>
    <w:rsid w:val="00D00095"/>
    <w:rsid w:val="00D15BEC"/>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DF6E3F"/>
    <w:rsid w:val="00E01053"/>
    <w:rsid w:val="00E07ACF"/>
    <w:rsid w:val="00E114FD"/>
    <w:rsid w:val="00E331A1"/>
    <w:rsid w:val="00E33202"/>
    <w:rsid w:val="00E336A9"/>
    <w:rsid w:val="00E378D0"/>
    <w:rsid w:val="00E50624"/>
    <w:rsid w:val="00E568DF"/>
    <w:rsid w:val="00E56E47"/>
    <w:rsid w:val="00E64269"/>
    <w:rsid w:val="00E82267"/>
    <w:rsid w:val="00E9257C"/>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2BD75CE"/>
    <w:rsid w:val="0C914187"/>
    <w:rsid w:val="10C055FF"/>
    <w:rsid w:val="16BB723D"/>
    <w:rsid w:val="1BF15163"/>
    <w:rsid w:val="1CEA4623"/>
    <w:rsid w:val="1E147BE1"/>
    <w:rsid w:val="240371BF"/>
    <w:rsid w:val="29FD04D3"/>
    <w:rsid w:val="311C00DB"/>
    <w:rsid w:val="319F7F4E"/>
    <w:rsid w:val="39233B37"/>
    <w:rsid w:val="3F0578C6"/>
    <w:rsid w:val="409501C5"/>
    <w:rsid w:val="448E4976"/>
    <w:rsid w:val="45062938"/>
    <w:rsid w:val="48384D73"/>
    <w:rsid w:val="53C52CC6"/>
    <w:rsid w:val="53DD42E7"/>
    <w:rsid w:val="55A84255"/>
    <w:rsid w:val="60220FFE"/>
    <w:rsid w:val="64D91608"/>
    <w:rsid w:val="6ABE1A18"/>
    <w:rsid w:val="6C1B179D"/>
    <w:rsid w:val="6F2515AA"/>
    <w:rsid w:val="72C44937"/>
    <w:rsid w:val="750743B0"/>
    <w:rsid w:val="760B753A"/>
    <w:rsid w:val="7FCA58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semiHidden/>
    <w:unhideWhenUsed/>
    <w:qFormat/>
    <w:uiPriority w:val="99"/>
    <w:pPr>
      <w:jc w:val="left"/>
    </w:pPr>
    <w:rPr>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15"/>
    <w:basedOn w:val="1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837.71</c:v>
                </c:pt>
                <c:pt idx="1">
                  <c:v>555.91</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1797.91</c:v>
                </c:pt>
                <c:pt idx="1">
                  <c:v>526.67</c:v>
                </c:pt>
              </c:numCache>
            </c:numRef>
          </c:val>
        </c:ser>
        <c:dLbls>
          <c:showLegendKey val="0"/>
          <c:showVal val="0"/>
          <c:showCatName val="0"/>
          <c:showSerName val="0"/>
          <c:showPercent val="0"/>
          <c:showBubbleSize val="0"/>
        </c:dLbls>
        <c:gapWidth val="150"/>
        <c:axId val="121658752"/>
        <c:axId val="121660544"/>
      </c:barChart>
      <c:catAx>
        <c:axId val="1216587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660544"/>
        <c:crosses val="autoZero"/>
        <c:auto val="1"/>
        <c:lblAlgn val="ctr"/>
        <c:lblOffset val="100"/>
        <c:noMultiLvlLbl val="0"/>
      </c:catAx>
      <c:valAx>
        <c:axId val="1216605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1658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554.86</c:v>
                </c:pt>
                <c:pt idx="1">
                  <c:v>0</c:v>
                </c:pt>
                <c:pt idx="2">
                  <c:v>0</c:v>
                </c:pt>
                <c:pt idx="3">
                  <c:v>0</c:v>
                </c:pt>
                <c:pt idx="4">
                  <c:v>0</c:v>
                </c:pt>
                <c:pt idx="6">
                  <c:v>1.05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508.24</c:v>
                </c:pt>
                <c:pt idx="1">
                  <c:v>18.44</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828.23</c:v>
                </c:pt>
                <c:pt idx="1">
                  <c:v>554.86</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1352.98</c:v>
                </c:pt>
                <c:pt idx="1">
                  <c:v>525.62</c:v>
                </c:pt>
              </c:numCache>
            </c:numRef>
          </c:val>
        </c:ser>
        <c:dLbls>
          <c:showLegendKey val="0"/>
          <c:showVal val="0"/>
          <c:showCatName val="0"/>
          <c:showSerName val="0"/>
          <c:showPercent val="0"/>
          <c:showBubbleSize val="0"/>
        </c:dLbls>
        <c:gapWidth val="150"/>
        <c:axId val="178860032"/>
        <c:axId val="178861568"/>
      </c:barChart>
      <c:catAx>
        <c:axId val="17886003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861568"/>
        <c:crosses val="autoZero"/>
        <c:auto val="1"/>
        <c:lblAlgn val="ctr"/>
        <c:lblOffset val="100"/>
        <c:noMultiLvlLbl val="0"/>
      </c:catAx>
      <c:valAx>
        <c:axId val="178861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86003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1352.98</c:v>
                </c:pt>
                <c:pt idx="1">
                  <c:v>525.61</c:v>
                </c:pt>
              </c:numCache>
            </c:numRef>
          </c:val>
        </c:ser>
        <c:dLbls>
          <c:showLegendKey val="0"/>
          <c:showVal val="0"/>
          <c:showCatName val="0"/>
          <c:showSerName val="0"/>
          <c:showPercent val="0"/>
          <c:showBubbleSize val="0"/>
        </c:dLbls>
        <c:gapWidth val="150"/>
        <c:axId val="178874240"/>
        <c:axId val="178875776"/>
      </c:barChart>
      <c:catAx>
        <c:axId val="1788742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875776"/>
        <c:crosses val="autoZero"/>
        <c:auto val="1"/>
        <c:lblAlgn val="ctr"/>
        <c:lblOffset val="100"/>
        <c:noMultiLvlLbl val="0"/>
      </c:catAx>
      <c:valAx>
        <c:axId val="1788757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87424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487.5</c:v>
                </c:pt>
                <c:pt idx="2">
                  <c:v>0</c:v>
                </c:pt>
                <c:pt idx="3">
                  <c:v>27.31</c:v>
                </c:pt>
                <c:pt idx="4">
                  <c:v>10.82</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1082</c:v>
                </c:pt>
                <c:pt idx="2">
                  <c:v>0</c:v>
                </c:pt>
                <c:pt idx="3">
                  <c:v>0</c:v>
                </c:pt>
                <c:pt idx="4">
                  <c:v>0</c:v>
                </c:pt>
                <c:pt idx="5">
                  <c:v>27.31</c:v>
                </c:pt>
                <c:pt idx="6">
                  <c:v>0</c:v>
                </c:pt>
                <c:pt idx="7">
                  <c:v>0</c:v>
                </c:pt>
                <c:pt idx="8">
                  <c:v>0</c:v>
                </c:pt>
                <c:pt idx="9">
                  <c:v>0</c:v>
                </c:pt>
                <c:pt idx="10">
                  <c:v>0</c:v>
                </c:pt>
                <c:pt idx="11">
                  <c:v>0</c:v>
                </c:pt>
                <c:pt idx="12">
                  <c:v>0</c:v>
                </c:pt>
                <c:pt idx="13">
                  <c:v>0</c:v>
                </c:pt>
                <c:pt idx="14">
                  <c:v>0</c:v>
                </c:pt>
                <c:pt idx="15">
                  <c:v>0</c:v>
                </c:pt>
                <c:pt idx="16">
                  <c:v>0</c:v>
                </c:pt>
                <c:pt idx="17">
                  <c:v>329.53</c:v>
                </c:pt>
                <c:pt idx="18">
                  <c:v>0</c:v>
                </c:pt>
                <c:pt idx="19">
                  <c:v>0</c:v>
                </c:pt>
                <c:pt idx="20">
                  <c:v>0</c:v>
                </c:pt>
                <c:pt idx="21">
                  <c:v>0</c:v>
                </c:pt>
                <c:pt idx="22">
                  <c:v>149.71</c:v>
                </c:pt>
                <c:pt idx="23">
                  <c:v>0</c:v>
                </c:pt>
                <c:pt idx="24">
                  <c:v>0</c:v>
                </c:pt>
                <c:pt idx="25">
                  <c:v>0</c:v>
                </c:pt>
                <c:pt idx="26">
                  <c:v>0</c:v>
                </c:pt>
                <c:pt idx="27">
                  <c:v>0</c:v>
                </c:pt>
              </c:numCache>
            </c:numRef>
          </c:val>
        </c:ser>
        <c:ser>
          <c:idx val="1"/>
          <c:order val="1"/>
          <c:tx>
            <c:strRef>
              <c:f>Sheet1!$C$1</c:f>
              <c:strCache>
                <c:ptCount val="1"/>
                <c:pt idx="0">
                  <c:v>未完成预算额</c:v>
                </c:pt>
              </c:strCache>
            </c:strRef>
          </c:tx>
          <c:invertIfNegative val="0"/>
          <c:dLbls>
            <c:delete val="1"/>
          </c:dLbls>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er>
        <c:dLbls>
          <c:showLegendKey val="0"/>
          <c:showVal val="0"/>
          <c:showCatName val="0"/>
          <c:showSerName val="0"/>
          <c:showPercent val="0"/>
          <c:showBubbleSize val="0"/>
        </c:dLbls>
        <c:gapWidth val="150"/>
        <c:overlap val="100"/>
        <c:axId val="178985984"/>
        <c:axId val="178991872"/>
      </c:barChart>
      <c:catAx>
        <c:axId val="178985984"/>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178991872"/>
        <c:crosses val="autoZero"/>
        <c:auto val="1"/>
        <c:lblAlgn val="l"/>
        <c:lblOffset val="100"/>
        <c:noMultiLvlLbl val="0"/>
      </c:catAx>
      <c:valAx>
        <c:axId val="178991872"/>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8985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843C8-832F-478D-8014-7468F62E0DA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1449</Words>
  <Characters>8260</Characters>
  <Lines>68</Lines>
  <Paragraphs>19</Paragraphs>
  <TotalTime>7</TotalTime>
  <ScaleCrop>false</ScaleCrop>
  <LinksUpToDate>false</LinksUpToDate>
  <CharactersWithSpaces>9690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2020-09-16T03:02:00Z</dcterms:created>
  <dc:creator>张彬茜</dc:creator>
  <cp:lastModifiedBy>相识是缘</cp:lastModifiedBy>
  <cp:lastPrinted>2020-09-01T03:32:00Z</cp:lastPrinted>
  <dcterms:modified xsi:type="dcterms:W3CDTF">2020-09-18T03:04:29Z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