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b w:val="0"/>
          <w:bCs w:val="0"/>
          <w:sz w:val="72"/>
          <w:szCs w:val="72"/>
        </w:rPr>
      </w:pPr>
      <w:bookmarkStart w:id="0" w:name="_Toc15306267"/>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bookmarkEnd w:id="0"/>
    <w:p>
      <w:pPr>
        <w:adjustRightInd w:val="0"/>
        <w:snapToGrid w:val="0"/>
        <w:spacing w:line="360" w:lineRule="auto"/>
        <w:jc w:val="center"/>
        <w:outlineLvl w:val="0"/>
        <w:rPr>
          <w:rFonts w:hint="eastAsia" w:ascii="方正小标宋简体" w:hAnsi="方正小标宋简体" w:eastAsia="方正小标宋简体" w:cs="方正小标宋简体"/>
          <w:b w:val="0"/>
          <w:bCs w:val="0"/>
          <w:sz w:val="56"/>
          <w:szCs w:val="56"/>
        </w:rPr>
      </w:pPr>
      <w:bookmarkStart w:id="1" w:name="_Toc19089858"/>
      <w:bookmarkStart w:id="2" w:name="_Toc15378441"/>
      <w:bookmarkStart w:id="3" w:name="_Toc15377193"/>
      <w:bookmarkStart w:id="4" w:name="_Toc15396597"/>
      <w:bookmarkStart w:id="5" w:name="_Toc15377425"/>
      <w:bookmarkStart w:id="6" w:name="_Toc15396475"/>
      <w:r>
        <w:rPr>
          <w:rFonts w:hint="eastAsia" w:ascii="方正小标宋简体" w:hAnsi="方正小标宋简体" w:eastAsia="方正小标宋简体" w:cs="方正小标宋简体"/>
          <w:b w:val="0"/>
          <w:bCs w:val="0"/>
          <w:sz w:val="56"/>
          <w:szCs w:val="56"/>
        </w:rPr>
        <w:t>2019年度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b w:val="0"/>
          <w:bCs w:val="0"/>
          <w:sz w:val="56"/>
          <w:szCs w:val="56"/>
        </w:rPr>
      </w:pPr>
      <w:bookmarkStart w:id="7" w:name="_Toc19089859"/>
      <w:bookmarkStart w:id="8" w:name="_Toc15396598"/>
      <w:bookmarkStart w:id="9" w:name="_Toc15306268"/>
      <w:bookmarkStart w:id="10" w:name="_Toc15378442"/>
      <w:bookmarkStart w:id="11" w:name="_Toc15377426"/>
      <w:bookmarkStart w:id="12" w:name="_Toc15377194"/>
      <w:bookmarkStart w:id="13" w:name="_Toc15396476"/>
      <w:r>
        <w:rPr>
          <w:rFonts w:hint="eastAsia" w:ascii="方正小标宋简体" w:hAnsi="方正小标宋简体" w:eastAsia="方正小标宋简体" w:cs="方正小标宋简体"/>
          <w:b w:val="0"/>
          <w:bCs w:val="0"/>
          <w:sz w:val="56"/>
          <w:szCs w:val="56"/>
          <w:lang w:eastAsia="zh-CN"/>
        </w:rPr>
        <w:t>四川省</w:t>
      </w:r>
      <w:r>
        <w:rPr>
          <w:rFonts w:hint="eastAsia" w:ascii="方正小标宋简体" w:hAnsi="方正小标宋简体" w:eastAsia="方正小标宋简体" w:cs="方正小标宋简体"/>
          <w:b w:val="0"/>
          <w:bCs w:val="0"/>
          <w:sz w:val="56"/>
          <w:szCs w:val="56"/>
        </w:rPr>
        <w:t>广元市利州区</w:t>
      </w:r>
      <w:bookmarkEnd w:id="7"/>
      <w:r>
        <w:rPr>
          <w:rFonts w:hint="eastAsia" w:ascii="方正小标宋简体" w:hAnsi="方正小标宋简体" w:eastAsia="方正小标宋简体" w:cs="方正小标宋简体"/>
          <w:b w:val="0"/>
          <w:bCs w:val="0"/>
          <w:sz w:val="56"/>
          <w:szCs w:val="56"/>
        </w:rPr>
        <w:t>赤化初级中学</w:t>
      </w:r>
    </w:p>
    <w:p>
      <w:pPr>
        <w:adjustRightInd w:val="0"/>
        <w:snapToGrid w:val="0"/>
        <w:spacing w:line="360" w:lineRule="auto"/>
        <w:jc w:val="center"/>
        <w:outlineLvl w:val="0"/>
        <w:rPr>
          <w:rFonts w:hint="eastAsia" w:ascii="方正小标宋简体" w:hAnsi="方正小标宋简体" w:eastAsia="方正小标宋简体" w:cs="方正小标宋简体"/>
          <w:b w:val="0"/>
          <w:bCs w:val="0"/>
          <w:sz w:val="56"/>
          <w:szCs w:val="56"/>
        </w:rPr>
      </w:pPr>
      <w:bookmarkStart w:id="14" w:name="_Toc19089860"/>
      <w:r>
        <w:rPr>
          <w:rFonts w:hint="eastAsia" w:ascii="方正小标宋简体" w:hAnsi="方正小标宋简体" w:eastAsia="方正小标宋简体" w:cs="方正小标宋简体"/>
          <w:b w:val="0"/>
          <w:bCs w:val="0"/>
          <w:sz w:val="56"/>
          <w:szCs w:val="56"/>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b w:val="0"/>
          <w:bCs w:val="0"/>
          <w:sz w:val="44"/>
          <w:szCs w:val="44"/>
        </w:rPr>
      </w:pPr>
      <w:r>
        <w:rPr>
          <w:rFonts w:ascii="方正小标宋简体" w:hAnsi="宋体" w:eastAsia="方正小标宋简体"/>
          <w:b w:val="0"/>
          <w:bCs w:val="0"/>
          <w:sz w:val="36"/>
          <w:szCs w:val="36"/>
        </w:rPr>
        <w:br w:type="page"/>
      </w:r>
      <w:r>
        <w:rPr>
          <w:rFonts w:hint="eastAsia" w:ascii="方正小标宋简体" w:hAnsi="方正小标宋简体" w:eastAsia="方正小标宋简体" w:cs="方正小标宋简体"/>
          <w:b w:val="0"/>
          <w:bCs w:val="0"/>
          <w:sz w:val="44"/>
          <w:szCs w:val="44"/>
        </w:rPr>
        <w:t>目</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录</w:t>
      </w:r>
    </w:p>
    <w:p>
      <w:pPr>
        <w:widowControl/>
        <w:jc w:val="center"/>
        <w:rPr>
          <w:rFonts w:ascii="黑体" w:hAnsi="黑体" w:eastAsia="黑体"/>
          <w:b w:val="0"/>
          <w:bCs w:val="0"/>
          <w:sz w:val="48"/>
          <w:szCs w:val="48"/>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ascii="仿宋" w:hAnsi="仿宋" w:eastAsia="仿宋"/>
          <w:b w:val="0"/>
          <w:bCs w:val="0"/>
          <w:sz w:val="28"/>
          <w:szCs w:val="28"/>
        </w:rPr>
      </w:pPr>
      <w:r>
        <w:rPr>
          <w:rFonts w:hint="eastAsia" w:ascii="黑体" w:hAnsi="黑体" w:eastAsia="黑体"/>
          <w:b w:val="0"/>
          <w:bCs w:val="0"/>
          <w:sz w:val="28"/>
          <w:szCs w:val="28"/>
        </w:rPr>
        <w:t>第一部分 部门概况</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一、基本职能及主要工作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二、机构设置</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仿宋" w:hAnsi="仿宋" w:eastAsia="仿宋"/>
          <w:b w:val="0"/>
          <w:bCs w:val="0"/>
          <w:sz w:val="28"/>
          <w:szCs w:val="28"/>
        </w:rPr>
      </w:pPr>
      <w:r>
        <w:rPr>
          <w:rFonts w:hint="eastAsia" w:ascii="黑体" w:hAnsi="黑体" w:eastAsia="黑体"/>
          <w:b w:val="0"/>
          <w:bCs w:val="0"/>
          <w:sz w:val="28"/>
          <w:szCs w:val="28"/>
        </w:rPr>
        <w:t>第二部分 2019年度部门决算情况说明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一、收入支出决算总体情况说明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二、收入决算情况说明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三、支出决算情况说明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四、财政拨款收入支出决算总体情况说明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五、一般公共预算财政拨款支出决算情况说明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七、“三公”经费财政拨款支出决算情况说明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八、政府性基金预算支出决算情况说明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九、 国有资本经营预算支出决算情况说明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十、预算绩效情况说明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十一、其他重要事项的情况说明</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黑体" w:hAnsi="黑体" w:eastAsia="黑体"/>
          <w:b w:val="0"/>
          <w:bCs w:val="0"/>
          <w:sz w:val="28"/>
          <w:szCs w:val="28"/>
        </w:rPr>
      </w:pPr>
      <w:r>
        <w:rPr>
          <w:rFonts w:hint="eastAsia" w:ascii="黑体" w:hAnsi="黑体" w:eastAsia="黑体"/>
          <w:b w:val="0"/>
          <w:bCs w:val="0"/>
          <w:sz w:val="28"/>
          <w:szCs w:val="28"/>
        </w:rPr>
        <w:t>第三部分 名词解释</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仿宋" w:hAnsi="仿宋" w:eastAsia="仿宋"/>
          <w:b w:val="0"/>
          <w:bCs w:val="0"/>
          <w:sz w:val="28"/>
          <w:szCs w:val="28"/>
        </w:rPr>
      </w:pPr>
      <w:r>
        <w:rPr>
          <w:rFonts w:hint="eastAsia" w:ascii="黑体" w:hAnsi="黑体" w:eastAsia="黑体"/>
          <w:b w:val="0"/>
          <w:bCs w:val="0"/>
          <w:sz w:val="28"/>
          <w:szCs w:val="28"/>
        </w:rPr>
        <w:t>第四部分 附件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附件 2019年部门整体支出绩效评价报告</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仿宋" w:hAnsi="仿宋" w:eastAsia="仿宋"/>
          <w:b w:val="0"/>
          <w:bCs w:val="0"/>
          <w:sz w:val="28"/>
          <w:szCs w:val="28"/>
        </w:rPr>
      </w:pPr>
      <w:r>
        <w:rPr>
          <w:rFonts w:hint="eastAsia" w:ascii="黑体" w:hAnsi="黑体" w:eastAsia="黑体"/>
          <w:b w:val="0"/>
          <w:bCs w:val="0"/>
          <w:sz w:val="28"/>
          <w:szCs w:val="28"/>
        </w:rPr>
        <w:t>第五部分 附表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一、收入支出决算总表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二、收入总表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三、支出总表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四、财政拨款收入支出决算总表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五、财政拨款支出决算明细表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六、一般公共预算财政拨款支出决算表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七、一般公共预算财政拨款支出决算明细表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八、一般公共预算财政拨款基本支出决算表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九、一般公共预算财政拨款项目支出决算表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十、一般公共预算财政拨款“三公”经费支出决算表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十一、政府性基金预算财政拨款收入支出决算表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十二、政府性基金预算财政拨款“三公”经费支出决算表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十三、国有资本经营预算支出决算表</w:t>
      </w:r>
    </w:p>
    <w:p>
      <w:pPr>
        <w:widowControl/>
        <w:jc w:val="center"/>
        <w:rPr>
          <w:rFonts w:ascii="黑体" w:hAnsi="黑体" w:eastAsia="黑体"/>
          <w:b w:val="0"/>
          <w:bCs w:val="0"/>
          <w:sz w:val="48"/>
          <w:szCs w:val="48"/>
        </w:rPr>
      </w:pPr>
    </w:p>
    <w:p>
      <w:pPr>
        <w:widowControl/>
        <w:jc w:val="center"/>
        <w:rPr>
          <w:rFonts w:ascii="黑体" w:hAnsi="黑体" w:eastAsia="黑体"/>
          <w:b w:val="0"/>
          <w:bCs w:val="0"/>
          <w:sz w:val="48"/>
          <w:szCs w:val="48"/>
        </w:rPr>
      </w:pPr>
      <w:r>
        <w:rPr>
          <w:rFonts w:ascii="黑体" w:hAnsi="黑体" w:eastAsia="黑体"/>
          <w:b w:val="0"/>
          <w:bCs w:val="0"/>
          <w:sz w:val="48"/>
          <w:szCs w:val="48"/>
        </w:rPr>
        <w:t> </w:t>
      </w:r>
    </w:p>
    <w:p>
      <w:pPr>
        <w:pStyle w:val="2"/>
        <w:jc w:val="center"/>
        <w:rPr>
          <w:rFonts w:hint="eastAsia" w:ascii="方正小标宋简体" w:hAnsi="方正小标宋简体" w:eastAsia="方正小标宋简体" w:cs="方正小标宋简体"/>
          <w:b w:val="0"/>
          <w:bCs w:val="0"/>
        </w:rPr>
        <w:sectPr>
          <w:headerReference r:id="rId3" w:type="default"/>
          <w:footerReference r:id="rId4" w:type="default"/>
          <w:pgSz w:w="11906" w:h="16838"/>
          <w:pgMar w:top="1701" w:right="1474" w:bottom="1701" w:left="1587" w:header="851" w:footer="1304" w:gutter="0"/>
          <w:pgNumType w:start="1"/>
          <w:cols w:space="0" w:num="1"/>
          <w:rtlGutter w:val="0"/>
          <w:docGrid w:type="lines" w:linePitch="312" w:charSpace="0"/>
        </w:sectPr>
      </w:pPr>
      <w:bookmarkStart w:id="15" w:name="_Toc19089861"/>
      <w:bookmarkStart w:id="16" w:name="_Toc15377196"/>
    </w:p>
    <w:p>
      <w:pPr>
        <w:pStyle w:val="2"/>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 xml:space="preserve">第一部分 </w:t>
      </w:r>
      <w:r>
        <w:rPr>
          <w:rStyle w:val="24"/>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Style w:val="25"/>
          <w:rFonts w:ascii="仿宋" w:hAnsi="仿宋" w:eastAsia="仿宋"/>
          <w:b w:val="0"/>
          <w:bCs w:val="0"/>
          <w:color w:val="000000" w:themeColor="text1"/>
          <w:spacing w:val="0"/>
          <w:sz w:val="28"/>
          <w:szCs w:val="28"/>
        </w:rPr>
      </w:pPr>
      <w:bookmarkStart w:id="17" w:name="_Toc15377197"/>
      <w:bookmarkStart w:id="18" w:name="_Toc19089862"/>
      <w:r>
        <w:rPr>
          <w:rFonts w:hint="eastAsia" w:ascii="黑体" w:hAnsi="黑体" w:eastAsia="黑体"/>
          <w:b w:val="0"/>
          <w:bCs w:val="0"/>
          <w:color w:val="000000" w:themeColor="text1"/>
          <w:spacing w:val="0"/>
          <w:sz w:val="28"/>
          <w:szCs w:val="28"/>
        </w:rPr>
        <w:t>一、基</w:t>
      </w:r>
      <w:r>
        <w:rPr>
          <w:rStyle w:val="25"/>
          <w:rFonts w:hint="eastAsia" w:ascii="黑体" w:hAnsi="黑体" w:eastAsia="黑体"/>
          <w:b w:val="0"/>
          <w:bCs w:val="0"/>
          <w:color w:val="000000" w:themeColor="text1"/>
          <w:spacing w:val="0"/>
          <w:sz w:val="28"/>
          <w:szCs w:val="28"/>
        </w:rPr>
        <w:t>本职能及主要工作</w:t>
      </w:r>
      <w:bookmarkEnd w:id="17"/>
      <w:bookmarkEnd w:id="18"/>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outlineLvl w:val="2"/>
        <w:rPr>
          <w:rFonts w:hint="eastAsia" w:ascii="楷体" w:hAnsi="楷体" w:eastAsia="楷体" w:cs="楷体"/>
          <w:b w:val="0"/>
          <w:bCs w:val="0"/>
          <w:color w:val="000000" w:themeColor="text1"/>
          <w:spacing w:val="0"/>
          <w:sz w:val="28"/>
          <w:szCs w:val="28"/>
        </w:rPr>
      </w:pPr>
      <w:bookmarkStart w:id="19" w:name="_Toc15377198"/>
      <w:bookmarkStart w:id="20" w:name="_Toc15378445"/>
      <w:bookmarkStart w:id="21" w:name="_Toc15377204"/>
      <w:r>
        <w:rPr>
          <w:rFonts w:hint="eastAsia" w:ascii="楷体" w:hAnsi="楷体" w:eastAsia="楷体" w:cs="楷体"/>
          <w:b w:val="0"/>
          <w:bCs w:val="0"/>
          <w:color w:val="000000" w:themeColor="text1"/>
          <w:spacing w:val="0"/>
          <w:sz w:val="28"/>
          <w:szCs w:val="28"/>
        </w:rPr>
        <w:t>（一）主要职能</w:t>
      </w:r>
      <w:bookmarkEnd w:id="19"/>
      <w:bookmarkEnd w:id="20"/>
      <w:bookmarkStart w:id="22" w:name="_Toc15377199"/>
      <w:bookmarkStart w:id="23" w:name="_Toc15378446"/>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1．</w:t>
      </w:r>
      <w:r>
        <w:rPr>
          <w:rFonts w:ascii="仿宋" w:hAnsi="仿宋" w:eastAsia="仿宋"/>
          <w:b w:val="0"/>
          <w:bCs w:val="0"/>
          <w:color w:val="000000" w:themeColor="text1"/>
          <w:spacing w:val="0"/>
          <w:sz w:val="28"/>
          <w:szCs w:val="28"/>
        </w:rPr>
        <w:t>贯彻执行党和国家关于教育改革和发展的各项方针、政策，拟订</w:t>
      </w:r>
      <w:r>
        <w:rPr>
          <w:rFonts w:hint="eastAsia" w:ascii="仿宋" w:hAnsi="仿宋" w:eastAsia="仿宋"/>
          <w:b w:val="0"/>
          <w:bCs w:val="0"/>
          <w:color w:val="000000" w:themeColor="text1"/>
          <w:spacing w:val="0"/>
          <w:sz w:val="28"/>
          <w:szCs w:val="28"/>
        </w:rPr>
        <w:t>学校</w:t>
      </w:r>
      <w:r>
        <w:rPr>
          <w:rFonts w:ascii="仿宋" w:hAnsi="仿宋" w:eastAsia="仿宋"/>
          <w:b w:val="0"/>
          <w:bCs w:val="0"/>
          <w:color w:val="000000" w:themeColor="text1"/>
          <w:spacing w:val="0"/>
          <w:sz w:val="28"/>
          <w:szCs w:val="28"/>
        </w:rPr>
        <w:t>教育事业发展规划和有关教育的规范性文件并组织实施；指导协调学校的教育、教学体制改革。</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2．</w:t>
      </w:r>
      <w:r>
        <w:rPr>
          <w:rFonts w:ascii="仿宋" w:hAnsi="仿宋" w:eastAsia="仿宋"/>
          <w:b w:val="0"/>
          <w:bCs w:val="0"/>
          <w:color w:val="000000" w:themeColor="text1"/>
          <w:spacing w:val="0"/>
          <w:sz w:val="28"/>
          <w:szCs w:val="28"/>
        </w:rPr>
        <w:t>负责</w:t>
      </w:r>
      <w:r>
        <w:rPr>
          <w:rFonts w:hint="eastAsia" w:ascii="仿宋" w:hAnsi="仿宋" w:eastAsia="仿宋"/>
          <w:b w:val="0"/>
          <w:bCs w:val="0"/>
          <w:color w:val="000000" w:themeColor="text1"/>
          <w:spacing w:val="0"/>
          <w:sz w:val="28"/>
          <w:szCs w:val="28"/>
        </w:rPr>
        <w:t>学校</w:t>
      </w:r>
      <w:r>
        <w:rPr>
          <w:rFonts w:ascii="仿宋" w:hAnsi="仿宋" w:eastAsia="仿宋"/>
          <w:b w:val="0"/>
          <w:bCs w:val="0"/>
          <w:color w:val="000000" w:themeColor="text1"/>
          <w:spacing w:val="0"/>
          <w:sz w:val="28"/>
          <w:szCs w:val="28"/>
        </w:rPr>
        <w:t>教育经费的统筹管理，参与拟订筹措教育经费、教育基建投资办法和方案；监督教育经费的筹措和使用；宣传贯彻执行国家和省市有关学生资助工作方针和政策，统筹</w:t>
      </w:r>
      <w:r>
        <w:rPr>
          <w:rFonts w:hint="eastAsia" w:ascii="仿宋" w:hAnsi="仿宋" w:eastAsia="仿宋"/>
          <w:b w:val="0"/>
          <w:bCs w:val="0"/>
          <w:color w:val="000000" w:themeColor="text1"/>
          <w:spacing w:val="0"/>
          <w:sz w:val="28"/>
          <w:szCs w:val="28"/>
        </w:rPr>
        <w:t>学校</w:t>
      </w:r>
      <w:r>
        <w:rPr>
          <w:rFonts w:ascii="仿宋" w:hAnsi="仿宋" w:eastAsia="仿宋"/>
          <w:b w:val="0"/>
          <w:bCs w:val="0"/>
          <w:color w:val="000000" w:themeColor="text1"/>
          <w:spacing w:val="0"/>
          <w:sz w:val="28"/>
          <w:szCs w:val="28"/>
        </w:rPr>
        <w:t>贫困家庭学生资助工作。</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3．</w:t>
      </w:r>
      <w:r>
        <w:rPr>
          <w:rFonts w:ascii="仿宋" w:hAnsi="仿宋" w:eastAsia="仿宋"/>
          <w:b w:val="0"/>
          <w:bCs w:val="0"/>
          <w:color w:val="000000" w:themeColor="text1"/>
          <w:spacing w:val="0"/>
          <w:sz w:val="28"/>
          <w:szCs w:val="28"/>
        </w:rPr>
        <w:t>负责推进义务教育均衡发展和促进教育公平，负责义务教育的宏观指导与协调；全面实施素质教育；督促检查学校的办学标准、教学基本要求、教学基本条件的落实情况。</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4．</w:t>
      </w:r>
      <w:r>
        <w:rPr>
          <w:rFonts w:ascii="仿宋" w:hAnsi="仿宋" w:eastAsia="仿宋"/>
          <w:b w:val="0"/>
          <w:bCs w:val="0"/>
          <w:color w:val="000000" w:themeColor="text1"/>
          <w:spacing w:val="0"/>
          <w:sz w:val="28"/>
          <w:szCs w:val="28"/>
        </w:rPr>
        <w:t xml:space="preserve">组织指导对基础教育发展水平、质量的监测工作。 </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5．</w:t>
      </w:r>
      <w:r>
        <w:rPr>
          <w:rFonts w:ascii="仿宋" w:hAnsi="仿宋" w:eastAsia="仿宋"/>
          <w:b w:val="0"/>
          <w:bCs w:val="0"/>
          <w:color w:val="000000" w:themeColor="text1"/>
          <w:spacing w:val="0"/>
          <w:sz w:val="28"/>
          <w:szCs w:val="28"/>
        </w:rPr>
        <w:t>统筹管理和协调</w:t>
      </w:r>
      <w:r>
        <w:rPr>
          <w:rFonts w:hint="eastAsia" w:ascii="仿宋" w:hAnsi="仿宋" w:eastAsia="仿宋"/>
          <w:b w:val="0"/>
          <w:bCs w:val="0"/>
          <w:color w:val="000000" w:themeColor="text1"/>
          <w:spacing w:val="0"/>
          <w:sz w:val="28"/>
          <w:szCs w:val="28"/>
        </w:rPr>
        <w:t>学校</w:t>
      </w:r>
      <w:r>
        <w:rPr>
          <w:rFonts w:ascii="仿宋" w:hAnsi="仿宋" w:eastAsia="仿宋"/>
          <w:b w:val="0"/>
          <w:bCs w:val="0"/>
          <w:color w:val="000000" w:themeColor="text1"/>
          <w:spacing w:val="0"/>
          <w:sz w:val="28"/>
          <w:szCs w:val="28"/>
        </w:rPr>
        <w:t>社会力量办学的教育工作。</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6．</w:t>
      </w:r>
      <w:r>
        <w:rPr>
          <w:rFonts w:ascii="仿宋" w:hAnsi="仿宋" w:eastAsia="仿宋"/>
          <w:b w:val="0"/>
          <w:bCs w:val="0"/>
          <w:color w:val="000000" w:themeColor="text1"/>
          <w:spacing w:val="0"/>
          <w:sz w:val="28"/>
          <w:szCs w:val="28"/>
        </w:rPr>
        <w:t>指导学校的依法治校、安全、综合治理、档案、保密</w:t>
      </w:r>
      <w:r>
        <w:rPr>
          <w:rFonts w:hint="eastAsia" w:ascii="仿宋" w:hAnsi="仿宋" w:eastAsia="仿宋"/>
          <w:b w:val="0"/>
          <w:bCs w:val="0"/>
          <w:color w:val="000000" w:themeColor="text1"/>
          <w:spacing w:val="0"/>
          <w:sz w:val="28"/>
          <w:szCs w:val="28"/>
        </w:rPr>
        <w:t>等</w:t>
      </w:r>
      <w:r>
        <w:rPr>
          <w:rFonts w:ascii="仿宋" w:hAnsi="仿宋" w:eastAsia="仿宋"/>
          <w:b w:val="0"/>
          <w:bCs w:val="0"/>
          <w:color w:val="000000" w:themeColor="text1"/>
          <w:spacing w:val="0"/>
          <w:sz w:val="28"/>
          <w:szCs w:val="28"/>
        </w:rPr>
        <w:t xml:space="preserve">工作。 </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7．</w:t>
      </w:r>
      <w:r>
        <w:rPr>
          <w:rFonts w:ascii="仿宋" w:hAnsi="仿宋" w:eastAsia="仿宋"/>
          <w:b w:val="0"/>
          <w:bCs w:val="0"/>
          <w:color w:val="000000" w:themeColor="text1"/>
          <w:spacing w:val="0"/>
          <w:sz w:val="28"/>
          <w:szCs w:val="28"/>
        </w:rPr>
        <w:t xml:space="preserve">统筹管理和协调学校体育、卫生与艺术教育工作。 </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8．</w:t>
      </w:r>
      <w:r>
        <w:rPr>
          <w:rFonts w:ascii="仿宋" w:hAnsi="仿宋" w:eastAsia="仿宋"/>
          <w:b w:val="0"/>
          <w:bCs w:val="0"/>
          <w:color w:val="000000" w:themeColor="text1"/>
          <w:spacing w:val="0"/>
          <w:sz w:val="28"/>
          <w:szCs w:val="28"/>
        </w:rPr>
        <w:t>指导</w:t>
      </w:r>
      <w:r>
        <w:rPr>
          <w:rFonts w:hint="eastAsia" w:ascii="仿宋" w:hAnsi="仿宋" w:eastAsia="仿宋"/>
          <w:b w:val="0"/>
          <w:bCs w:val="0"/>
          <w:color w:val="000000" w:themeColor="text1"/>
          <w:spacing w:val="0"/>
          <w:sz w:val="28"/>
          <w:szCs w:val="28"/>
        </w:rPr>
        <w:t>学校</w:t>
      </w:r>
      <w:r>
        <w:rPr>
          <w:rFonts w:ascii="仿宋" w:hAnsi="仿宋" w:eastAsia="仿宋"/>
          <w:b w:val="0"/>
          <w:bCs w:val="0"/>
          <w:color w:val="000000" w:themeColor="text1"/>
          <w:spacing w:val="0"/>
          <w:sz w:val="28"/>
          <w:szCs w:val="28"/>
        </w:rPr>
        <w:t>人事制度改革工作，推行和实施校长、教师聘任制。</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9．</w:t>
      </w:r>
      <w:r>
        <w:rPr>
          <w:rFonts w:ascii="仿宋" w:hAnsi="仿宋" w:eastAsia="仿宋"/>
          <w:b w:val="0"/>
          <w:bCs w:val="0"/>
          <w:color w:val="000000" w:themeColor="text1"/>
          <w:spacing w:val="0"/>
          <w:sz w:val="28"/>
          <w:szCs w:val="28"/>
        </w:rPr>
        <w:t>主管</w:t>
      </w:r>
      <w:r>
        <w:rPr>
          <w:rFonts w:hint="eastAsia" w:ascii="仿宋" w:hAnsi="仿宋" w:eastAsia="仿宋"/>
          <w:b w:val="0"/>
          <w:bCs w:val="0"/>
          <w:color w:val="000000" w:themeColor="text1"/>
          <w:spacing w:val="0"/>
          <w:sz w:val="28"/>
          <w:szCs w:val="28"/>
        </w:rPr>
        <w:t>学校</w:t>
      </w:r>
      <w:r>
        <w:rPr>
          <w:rFonts w:ascii="仿宋" w:hAnsi="仿宋" w:eastAsia="仿宋"/>
          <w:b w:val="0"/>
          <w:bCs w:val="0"/>
          <w:color w:val="000000" w:themeColor="text1"/>
          <w:spacing w:val="0"/>
          <w:sz w:val="28"/>
          <w:szCs w:val="28"/>
        </w:rPr>
        <w:t>教师工作；组织实施教师资格证书制度；统筹规划学校教师和管理人员队伍建设；负责</w:t>
      </w:r>
      <w:r>
        <w:rPr>
          <w:rFonts w:hint="eastAsia" w:ascii="仿宋" w:hAnsi="仿宋" w:eastAsia="仿宋"/>
          <w:b w:val="0"/>
          <w:bCs w:val="0"/>
          <w:color w:val="000000" w:themeColor="text1"/>
          <w:spacing w:val="0"/>
          <w:sz w:val="28"/>
          <w:szCs w:val="28"/>
        </w:rPr>
        <w:t>学校</w:t>
      </w:r>
      <w:r>
        <w:rPr>
          <w:rFonts w:ascii="仿宋" w:hAnsi="仿宋" w:eastAsia="仿宋"/>
          <w:b w:val="0"/>
          <w:bCs w:val="0"/>
          <w:color w:val="000000" w:themeColor="text1"/>
          <w:spacing w:val="0"/>
          <w:sz w:val="28"/>
          <w:szCs w:val="28"/>
        </w:rPr>
        <w:t>校长、教师的继续教育和课程改革新教材的培训工作；会同有关部门负责</w:t>
      </w:r>
      <w:r>
        <w:rPr>
          <w:rFonts w:hint="eastAsia" w:ascii="仿宋" w:hAnsi="仿宋" w:eastAsia="仿宋"/>
          <w:b w:val="0"/>
          <w:bCs w:val="0"/>
          <w:color w:val="000000" w:themeColor="text1"/>
          <w:spacing w:val="0"/>
          <w:sz w:val="28"/>
          <w:szCs w:val="28"/>
        </w:rPr>
        <w:t>学校</w:t>
      </w:r>
      <w:r>
        <w:rPr>
          <w:rFonts w:ascii="仿宋" w:hAnsi="仿宋" w:eastAsia="仿宋"/>
          <w:b w:val="0"/>
          <w:bCs w:val="0"/>
          <w:color w:val="000000" w:themeColor="text1"/>
          <w:spacing w:val="0"/>
          <w:sz w:val="28"/>
          <w:szCs w:val="28"/>
        </w:rPr>
        <w:t>教师专业技术职务评审工作；指导</w:t>
      </w:r>
      <w:r>
        <w:rPr>
          <w:rFonts w:hint="eastAsia" w:ascii="仿宋" w:hAnsi="仿宋" w:eastAsia="仿宋"/>
          <w:b w:val="0"/>
          <w:bCs w:val="0"/>
          <w:color w:val="000000" w:themeColor="text1"/>
          <w:spacing w:val="0"/>
          <w:sz w:val="28"/>
          <w:szCs w:val="28"/>
        </w:rPr>
        <w:t>学校</w:t>
      </w:r>
      <w:r>
        <w:rPr>
          <w:rFonts w:ascii="仿宋" w:hAnsi="仿宋" w:eastAsia="仿宋"/>
          <w:b w:val="0"/>
          <w:bCs w:val="0"/>
          <w:color w:val="000000" w:themeColor="text1"/>
          <w:spacing w:val="0"/>
          <w:sz w:val="28"/>
          <w:szCs w:val="28"/>
        </w:rPr>
        <w:t xml:space="preserve">人才队伍建设。 </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10．</w:t>
      </w:r>
      <w:r>
        <w:rPr>
          <w:rFonts w:ascii="仿宋" w:hAnsi="仿宋" w:eastAsia="仿宋"/>
          <w:b w:val="0"/>
          <w:bCs w:val="0"/>
          <w:color w:val="000000" w:themeColor="text1"/>
          <w:spacing w:val="0"/>
          <w:sz w:val="28"/>
          <w:szCs w:val="28"/>
        </w:rPr>
        <w:t xml:space="preserve">组织指导教育方面的对外交流与合作、对外宣传。 </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color w:val="000000" w:themeColor="text1"/>
          <w:spacing w:val="0"/>
          <w:sz w:val="28"/>
          <w:szCs w:val="28"/>
        </w:rPr>
      </w:pPr>
      <w:r>
        <w:rPr>
          <w:rFonts w:hint="eastAsia" w:ascii="仿宋" w:hAnsi="仿宋" w:eastAsia="仿宋"/>
          <w:b w:val="0"/>
          <w:bCs w:val="0"/>
          <w:color w:val="000000" w:themeColor="text1"/>
          <w:spacing w:val="0"/>
          <w:sz w:val="28"/>
          <w:szCs w:val="28"/>
        </w:rPr>
        <w:t>11．</w:t>
      </w:r>
      <w:r>
        <w:rPr>
          <w:rFonts w:ascii="仿宋" w:hAnsi="仿宋" w:eastAsia="仿宋"/>
          <w:b w:val="0"/>
          <w:bCs w:val="0"/>
          <w:color w:val="000000" w:themeColor="text1"/>
          <w:spacing w:val="0"/>
          <w:sz w:val="28"/>
          <w:szCs w:val="28"/>
        </w:rPr>
        <w:t>指导、协调学校后勤保障、信息化建设以及教学仪器设备和图书资料装备工作；指导、管理教育信息统计、分析和发布。</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outlineLvl w:val="2"/>
        <w:rPr>
          <w:rFonts w:hint="eastAsia" w:ascii="楷体" w:hAnsi="楷体" w:eastAsia="楷体" w:cs="楷体"/>
          <w:b w:val="0"/>
          <w:bCs w:val="0"/>
          <w:color w:val="000000" w:themeColor="text1"/>
          <w:spacing w:val="0"/>
          <w:sz w:val="28"/>
          <w:szCs w:val="28"/>
        </w:rPr>
      </w:pPr>
      <w:r>
        <w:rPr>
          <w:rFonts w:hint="eastAsia" w:ascii="楷体" w:hAnsi="楷体" w:eastAsia="楷体" w:cs="楷体"/>
          <w:b w:val="0"/>
          <w:bCs w:val="0"/>
          <w:color w:val="000000" w:themeColor="text1"/>
          <w:spacing w:val="0"/>
          <w:sz w:val="28"/>
          <w:szCs w:val="28"/>
        </w:rPr>
        <w:t>（二）2019年重点工作完成情况</w:t>
      </w:r>
      <w:bookmarkEnd w:id="22"/>
      <w:bookmarkEnd w:id="23"/>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s="仿宋"/>
          <w:b w:val="0"/>
          <w:bCs w:val="0"/>
          <w:color w:val="000000" w:themeColor="text1"/>
          <w:spacing w:val="0"/>
          <w:sz w:val="28"/>
          <w:szCs w:val="28"/>
        </w:rPr>
      </w:pPr>
      <w:r>
        <w:rPr>
          <w:rFonts w:hint="eastAsia" w:ascii="仿宋" w:hAnsi="仿宋" w:eastAsia="仿宋" w:cs="仿宋"/>
          <w:b w:val="0"/>
          <w:bCs w:val="0"/>
          <w:color w:val="000000" w:themeColor="text1"/>
          <w:spacing w:val="0"/>
          <w:sz w:val="28"/>
          <w:szCs w:val="28"/>
        </w:rPr>
        <w:t>1.教师队伍进一步加强：加大教师培训力度，提升教师教育教学和科研能力。</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cs="仿宋"/>
          <w:b w:val="0"/>
          <w:bCs w:val="0"/>
          <w:color w:val="000000" w:themeColor="text1"/>
          <w:spacing w:val="0"/>
          <w:sz w:val="28"/>
          <w:szCs w:val="28"/>
        </w:rPr>
      </w:pPr>
      <w:r>
        <w:rPr>
          <w:rFonts w:hint="eastAsia" w:ascii="仿宋" w:hAnsi="仿宋" w:eastAsia="仿宋" w:cs="仿宋"/>
          <w:b w:val="0"/>
          <w:bCs w:val="0"/>
          <w:color w:val="000000" w:themeColor="text1"/>
          <w:spacing w:val="0"/>
          <w:sz w:val="28"/>
          <w:szCs w:val="28"/>
        </w:rPr>
        <w:t>2.安全管理工作进一步加强：全面落实安全工作“一岗双责”制，坚持校园及周边安全隐患整治长效机制，加强校园安全保卫，加强学生安全教育宣传，继续深入开展学生“平安度假”“平安回家”和暑假教师“义务巡河”活动，加强学校、社会、家庭安全网络建设。</w:t>
      </w:r>
    </w:p>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Style w:val="25"/>
          <w:b w:val="0"/>
          <w:bCs w:val="0"/>
          <w:color w:val="000000" w:themeColor="text1"/>
          <w:spacing w:val="0"/>
          <w:sz w:val="28"/>
          <w:szCs w:val="28"/>
        </w:rPr>
      </w:pPr>
      <w:bookmarkStart w:id="24" w:name="_Toc19089863"/>
      <w:bookmarkStart w:id="25" w:name="_Toc15377200"/>
      <w:r>
        <w:rPr>
          <w:rFonts w:hint="eastAsia" w:ascii="黑体" w:eastAsia="黑体"/>
          <w:b w:val="0"/>
          <w:bCs w:val="0"/>
          <w:color w:val="000000" w:themeColor="text1"/>
          <w:spacing w:val="0"/>
          <w:sz w:val="28"/>
          <w:szCs w:val="28"/>
        </w:rPr>
        <w:t>二、</w:t>
      </w:r>
      <w:r>
        <w:rPr>
          <w:rFonts w:hint="eastAsia" w:ascii="黑体" w:hAnsi="黑体" w:eastAsia="黑体"/>
          <w:b w:val="0"/>
          <w:bCs w:val="0"/>
          <w:color w:val="000000" w:themeColor="text1"/>
          <w:spacing w:val="0"/>
          <w:sz w:val="28"/>
          <w:szCs w:val="28"/>
        </w:rPr>
        <w:t>机</w:t>
      </w:r>
      <w:r>
        <w:rPr>
          <w:rStyle w:val="25"/>
          <w:rFonts w:hint="eastAsia" w:ascii="黑体" w:hAnsi="黑体" w:eastAsia="黑体"/>
          <w:b w:val="0"/>
          <w:bCs w:val="0"/>
          <w:color w:val="000000" w:themeColor="text1"/>
          <w:spacing w:val="0"/>
          <w:sz w:val="28"/>
          <w:szCs w:val="28"/>
        </w:rPr>
        <w:t>构设置</w:t>
      </w:r>
      <w:bookmarkEnd w:id="24"/>
      <w:bookmarkEnd w:id="25"/>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textAlignment w:val="auto"/>
        <w:rPr>
          <w:rFonts w:ascii="仿宋" w:hAnsi="仿宋" w:eastAsia="仿宋"/>
          <w:b w:val="0"/>
          <w:bCs w:val="0"/>
          <w:color w:val="000000" w:themeColor="text1"/>
          <w:spacing w:val="0"/>
          <w:sz w:val="28"/>
          <w:szCs w:val="28"/>
        </w:rPr>
      </w:pPr>
      <w:r>
        <w:rPr>
          <w:rFonts w:hint="eastAsia"/>
          <w:b w:val="0"/>
          <w:bCs w:val="0"/>
          <w:color w:val="000000" w:themeColor="text1"/>
          <w:spacing w:val="0"/>
          <w:sz w:val="28"/>
          <w:szCs w:val="28"/>
        </w:rPr>
        <w:t>广元市利州区赤化初级中学内设部门6个：办公室、工会、教务处、总务处、政教处、团队。</w:t>
      </w:r>
    </w:p>
    <w:p>
      <w:pPr>
        <w:pageBreakBefore w:val="0"/>
        <w:widowControl w:val="0"/>
        <w:kinsoku/>
        <w:wordWrap/>
        <w:overflowPunct/>
        <w:topLinePunct w:val="0"/>
        <w:autoSpaceDE/>
        <w:autoSpaceDN/>
        <w:bidi w:val="0"/>
        <w:snapToGrid w:val="0"/>
        <w:spacing w:line="540" w:lineRule="exact"/>
        <w:ind w:firstLine="560" w:firstLineChars="200"/>
        <w:jc w:val="left"/>
        <w:textAlignment w:val="auto"/>
        <w:rPr>
          <w:rFonts w:ascii="仿宋" w:hAnsi="仿宋" w:eastAsia="仿宋"/>
          <w:b w:val="0"/>
          <w:bCs w:val="0"/>
          <w:color w:val="000000" w:themeColor="text1"/>
          <w:spacing w:val="0"/>
          <w:kern w:val="0"/>
          <w:sz w:val="28"/>
          <w:szCs w:val="28"/>
        </w:rPr>
      </w:pPr>
      <w:r>
        <w:rPr>
          <w:rFonts w:ascii="仿宋" w:hAnsi="仿宋" w:eastAsia="仿宋"/>
          <w:b w:val="0"/>
          <w:bCs w:val="0"/>
          <w:color w:val="000000" w:themeColor="text1"/>
          <w:spacing w:val="0"/>
          <w:sz w:val="28"/>
          <w:szCs w:val="28"/>
        </w:rPr>
        <w:br w:type="page"/>
      </w:r>
    </w:p>
    <w:p>
      <w:pPr>
        <w:pStyle w:val="2"/>
        <w:jc w:val="center"/>
        <w:rPr>
          <w:rFonts w:hint="eastAsia" w:ascii="方正小标宋简体" w:hAnsi="方正小标宋简体" w:eastAsia="方正小标宋简体" w:cs="方正小标宋简体"/>
          <w:b w:val="0"/>
          <w:bCs w:val="0"/>
        </w:rPr>
      </w:pPr>
      <w:bookmarkStart w:id="26" w:name="_Toc19089864"/>
      <w:r>
        <w:rPr>
          <w:rFonts w:hint="eastAsia" w:ascii="方正小标宋简体" w:hAnsi="方正小标宋简体" w:eastAsia="方正小标宋简体" w:cs="方正小标宋简体"/>
          <w:b w:val="0"/>
          <w:bCs w:val="0"/>
        </w:rPr>
        <w:t>第二部分 2019年度部门决算情况说明</w:t>
      </w:r>
      <w:bookmarkEnd w:id="21"/>
      <w:bookmarkEnd w:id="26"/>
    </w:p>
    <w:p>
      <w:pPr>
        <w:pStyle w:val="23"/>
        <w:keepNext w:val="0"/>
        <w:keepLines w:val="0"/>
        <w:pageBreakBefore w:val="0"/>
        <w:widowControl w:val="0"/>
        <w:numPr>
          <w:ilvl w:val="0"/>
          <w:numId w:val="1"/>
        </w:numPr>
        <w:kinsoku/>
        <w:wordWrap/>
        <w:overflowPunct/>
        <w:topLinePunct w:val="0"/>
        <w:bidi w:val="0"/>
        <w:snapToGrid/>
        <w:spacing w:line="520" w:lineRule="exact"/>
        <w:ind w:left="0" w:firstLine="560" w:firstLineChars="200"/>
        <w:jc w:val="both"/>
        <w:textAlignment w:val="auto"/>
        <w:outlineLvl w:val="1"/>
        <w:rPr>
          <w:rStyle w:val="25"/>
          <w:rFonts w:ascii="黑体" w:hAnsi="黑体" w:eastAsia="黑体"/>
          <w:b w:val="0"/>
          <w:bCs w:val="0"/>
          <w:color w:val="000000" w:themeColor="text1"/>
          <w:sz w:val="28"/>
          <w:szCs w:val="28"/>
        </w:rPr>
      </w:pPr>
      <w:bookmarkStart w:id="27" w:name="_Toc19089865"/>
      <w:bookmarkStart w:id="28" w:name="_Toc15377205"/>
      <w:r>
        <w:rPr>
          <w:rFonts w:hint="eastAsia" w:ascii="黑体" w:hAnsi="黑体" w:eastAsia="黑体"/>
          <w:b w:val="0"/>
          <w:bCs w:val="0"/>
          <w:color w:val="000000" w:themeColor="text1"/>
          <w:sz w:val="28"/>
          <w:szCs w:val="28"/>
        </w:rPr>
        <w:t>收</w:t>
      </w:r>
      <w:r>
        <w:rPr>
          <w:rStyle w:val="25"/>
          <w:rFonts w:hint="eastAsia" w:ascii="黑体" w:hAnsi="黑体" w:eastAsia="黑体"/>
          <w:b w:val="0"/>
          <w:bCs w:val="0"/>
          <w:color w:val="000000" w:themeColor="text1"/>
          <w:sz w:val="28"/>
          <w:szCs w:val="28"/>
        </w:rPr>
        <w:t>入支出决算总体情况说明</w:t>
      </w:r>
      <w:bookmarkEnd w:id="27"/>
      <w:bookmarkEnd w:id="28"/>
    </w:p>
    <w:p>
      <w:pPr>
        <w:keepNext w:val="0"/>
        <w:keepLines w:val="0"/>
        <w:pageBreakBefore w:val="0"/>
        <w:widowControl w:val="0"/>
        <w:kinsoku/>
        <w:wordWrap/>
        <w:overflowPunct/>
        <w:topLinePunct w:val="0"/>
        <w:bidi w:val="0"/>
        <w:snapToGrid/>
        <w:ind w:left="0" w:firstLine="560" w:firstLineChars="200"/>
        <w:jc w:val="both"/>
        <w:textAlignment w:val="auto"/>
        <w:rPr>
          <w:rFonts w:ascii="仿宋_GB2312" w:hAnsi="仿宋" w:eastAsia="仿宋_GB2312"/>
          <w:b w:val="0"/>
          <w:bCs w:val="0"/>
          <w:color w:val="000000" w:themeColor="text1"/>
          <w:sz w:val="28"/>
          <w:szCs w:val="28"/>
        </w:rPr>
      </w:pPr>
      <w:r>
        <w:rPr>
          <w:rFonts w:hint="eastAsia" w:ascii="仿宋" w:hAnsi="仿宋" w:eastAsia="仿宋"/>
          <w:b w:val="0"/>
          <w:bCs w:val="0"/>
          <w:color w:val="000000" w:themeColor="text1"/>
          <w:sz w:val="28"/>
          <w:szCs w:val="28"/>
        </w:rPr>
        <w:t>2019年度广元市利州区赤化初级中学收入总计761.20万元，与2018年相比（</w:t>
      </w:r>
      <w:r>
        <w:rPr>
          <w:rFonts w:ascii="仿宋" w:hAnsi="仿宋" w:eastAsia="仿宋"/>
          <w:b w:val="0"/>
          <w:bCs w:val="0"/>
          <w:color w:val="000000" w:themeColor="text1"/>
          <w:sz w:val="28"/>
          <w:szCs w:val="28"/>
        </w:rPr>
        <w:t>958</w:t>
      </w:r>
      <w:r>
        <w:rPr>
          <w:rFonts w:hint="eastAsia" w:ascii="仿宋" w:hAnsi="仿宋" w:eastAsia="仿宋"/>
          <w:b w:val="0"/>
          <w:bCs w:val="0"/>
          <w:color w:val="000000" w:themeColor="text1"/>
          <w:sz w:val="28"/>
          <w:szCs w:val="28"/>
        </w:rPr>
        <w:t>.89万元），收入总计减少197.69万元，减少20.6%。收入主要变动原因</w:t>
      </w:r>
      <w:r>
        <w:rPr>
          <w:rFonts w:hint="eastAsia" w:ascii="仿宋_GB2312" w:hAnsi="仿宋" w:eastAsia="仿宋_GB2312"/>
          <w:b w:val="0"/>
          <w:bCs w:val="0"/>
          <w:color w:val="000000" w:themeColor="text1"/>
          <w:sz w:val="28"/>
          <w:szCs w:val="28"/>
        </w:rPr>
        <w:t>主要为2019年与2018年相比减少薄改项目收入100万元，教师周转房改造80万元，改善办学条件10万元，营养餐改善计划补助4万元以及人员经费3.69万元。</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2019年度支出合计939.12万元，与2018年相比（776.06万元），支出增加163.06万元，增加21.01%。支出主要变动原因教师周转房建设项目及运动场改造2019年度开始实施，支出总额达182.39万元，在2019年支出总数中占比19.42%；</w:t>
      </w:r>
      <w:r>
        <w:rPr>
          <w:rFonts w:hint="eastAsia" w:ascii="仿宋_GB2312" w:eastAsia="仿宋_GB2312"/>
          <w:b w:val="0"/>
          <w:bCs w:val="0"/>
          <w:color w:val="000000" w:themeColor="text1"/>
          <w:kern w:val="0"/>
          <w:sz w:val="28"/>
          <w:szCs w:val="28"/>
        </w:rPr>
        <w:t>二是人员工资支出增长和教职工人数增加，</w:t>
      </w:r>
      <w:r>
        <w:rPr>
          <w:rFonts w:hint="eastAsia" w:ascii="仿宋" w:hAnsi="仿宋" w:eastAsia="仿宋"/>
          <w:b w:val="0"/>
          <w:bCs w:val="0"/>
          <w:color w:val="000000" w:themeColor="text1"/>
          <w:sz w:val="28"/>
          <w:szCs w:val="28"/>
        </w:rPr>
        <w:t>人员经费支出相比2018年增涨63.80万元，增幅8.43%</w:t>
      </w:r>
      <w:r>
        <w:rPr>
          <w:rFonts w:hint="eastAsia" w:ascii="仿宋_GB2312" w:eastAsia="仿宋_GB2312"/>
          <w:b w:val="0"/>
          <w:bCs w:val="0"/>
          <w:color w:val="000000" w:themeColor="text1"/>
          <w:kern w:val="0"/>
          <w:sz w:val="28"/>
          <w:szCs w:val="28"/>
        </w:rPr>
        <w:t>。</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drawing>
          <wp:anchor distT="0" distB="0" distL="114300" distR="114300" simplePos="0" relativeHeight="251659264" behindDoc="1" locked="0" layoutInCell="1" allowOverlap="1">
            <wp:simplePos x="0" y="0"/>
            <wp:positionH relativeFrom="column">
              <wp:posOffset>142875</wp:posOffset>
            </wp:positionH>
            <wp:positionV relativeFrom="paragraph">
              <wp:posOffset>558800</wp:posOffset>
            </wp:positionV>
            <wp:extent cx="5115560" cy="2428875"/>
            <wp:effectExtent l="19050" t="0" r="27940" b="0"/>
            <wp:wrapTight wrapText="bothSides">
              <wp:wrapPolygon>
                <wp:start x="-80" y="0"/>
                <wp:lineTo x="-80" y="21515"/>
                <wp:lineTo x="21718" y="21515"/>
                <wp:lineTo x="21718" y="0"/>
                <wp:lineTo x="-8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b w:val="0"/>
          <w:bCs w:val="0"/>
          <w:color w:val="000000" w:themeColor="text1"/>
          <w:sz w:val="28"/>
          <w:szCs w:val="28"/>
        </w:rPr>
        <w:t>（图</w:t>
      </w:r>
      <w:r>
        <w:rPr>
          <w:rFonts w:ascii="仿宋" w:hAnsi="仿宋" w:eastAsia="仿宋"/>
          <w:b w:val="0"/>
          <w:bCs w:val="0"/>
          <w:color w:val="000000" w:themeColor="text1"/>
          <w:sz w:val="28"/>
          <w:szCs w:val="28"/>
        </w:rPr>
        <w:t>1</w:t>
      </w:r>
      <w:r>
        <w:rPr>
          <w:rFonts w:hint="eastAsia" w:ascii="仿宋" w:hAnsi="仿宋" w:eastAsia="仿宋"/>
          <w:b w:val="0"/>
          <w:bCs w:val="0"/>
          <w:color w:val="000000" w:themeColor="text1"/>
          <w:sz w:val="28"/>
          <w:szCs w:val="28"/>
        </w:rPr>
        <w:t>：收、支决算总计变动情况图）（柱状图）</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Style w:val="25"/>
          <w:rFonts w:ascii="黑体" w:hAnsi="黑体" w:eastAsia="黑体"/>
          <w:b w:val="0"/>
          <w:bCs w:val="0"/>
          <w:color w:val="000000" w:themeColor="text1"/>
          <w:sz w:val="28"/>
          <w:szCs w:val="28"/>
        </w:rPr>
      </w:pPr>
      <w:bookmarkStart w:id="29" w:name="_Toc15377206"/>
      <w:r>
        <w:rPr>
          <w:rFonts w:hint="eastAsia" w:ascii="黑体" w:hAnsi="黑体" w:eastAsia="黑体"/>
          <w:b w:val="0"/>
          <w:bCs w:val="0"/>
          <w:color w:val="000000" w:themeColor="text1"/>
          <w:sz w:val="28"/>
          <w:szCs w:val="28"/>
        </w:rPr>
        <w:t>二、收</w:t>
      </w:r>
      <w:r>
        <w:rPr>
          <w:rStyle w:val="25"/>
          <w:rFonts w:hint="eastAsia" w:ascii="黑体" w:hAnsi="黑体" w:eastAsia="黑体"/>
          <w:b w:val="0"/>
          <w:bCs w:val="0"/>
          <w:color w:val="000000" w:themeColor="text1"/>
          <w:sz w:val="28"/>
          <w:szCs w:val="28"/>
        </w:rPr>
        <w:t>入决算情况说明</w:t>
      </w:r>
      <w:bookmarkEnd w:id="29"/>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1"/>
        <w:rPr>
          <w:rFonts w:ascii="仿宋" w:hAnsi="仿宋" w:eastAsia="仿宋"/>
          <w:b w:val="0"/>
          <w:bCs w:val="0"/>
          <w:color w:val="000000" w:themeColor="text1"/>
          <w:sz w:val="28"/>
          <w:szCs w:val="28"/>
        </w:rPr>
      </w:pPr>
      <w:bookmarkStart w:id="30" w:name="_Toc19089866"/>
      <w:r>
        <w:rPr>
          <w:rFonts w:ascii="仿宋" w:hAnsi="仿宋" w:eastAsia="仿宋"/>
          <w:b w:val="0"/>
          <w:bCs w:val="0"/>
          <w:color w:val="000000" w:themeColor="text1"/>
          <w:sz w:val="28"/>
          <w:szCs w:val="28"/>
        </w:rPr>
        <w:t>201</w:t>
      </w:r>
      <w:r>
        <w:rPr>
          <w:rFonts w:hint="eastAsia" w:ascii="仿宋" w:hAnsi="仿宋" w:eastAsia="仿宋"/>
          <w:b w:val="0"/>
          <w:bCs w:val="0"/>
          <w:color w:val="000000" w:themeColor="text1"/>
          <w:sz w:val="28"/>
          <w:szCs w:val="28"/>
        </w:rPr>
        <w:t>9年本年收入合计761.20万元，其中：一般公共预算财政拨款收入755.99万元，占比99.32%；政府性基金预算财政拨款收入0.00万元，占比0.00%；国有资本经营预算财政拨款收入0.00万元，占比0.00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；事业收入0.00万元，占0.00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；经营收入0.00万元，占0.00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；附属单位上缴收入0.00万元，占0.00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；其他收入5.21万元，占比0.68%。</w:t>
      </w:r>
      <w:bookmarkEnd w:id="30"/>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（图2：收入决算结构图）（饼状图）</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_GB2312" w:eastAsia="仿宋_GB2312"/>
          <w:b w:val="0"/>
          <w:bCs w:val="0"/>
          <w:color w:val="000000" w:themeColor="text1"/>
          <w:sz w:val="28"/>
          <w:szCs w:val="28"/>
        </w:rPr>
      </w:pPr>
      <w:r>
        <w:rPr>
          <w:rFonts w:ascii="仿宋_GB2312" w:eastAsia="仿宋_GB2312"/>
          <w:b w:val="0"/>
          <w:bCs w:val="0"/>
          <w:color w:val="000000" w:themeColor="text1"/>
          <w:sz w:val="28"/>
          <w:szCs w:val="28"/>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3076575"/>
            <wp:effectExtent l="0" t="0" r="2159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1"/>
        <w:rPr>
          <w:rStyle w:val="25"/>
          <w:rFonts w:ascii="黑体" w:hAnsi="黑体" w:eastAsia="黑体"/>
          <w:b w:val="0"/>
          <w:bCs w:val="0"/>
          <w:color w:val="000000" w:themeColor="text1"/>
          <w:sz w:val="28"/>
          <w:szCs w:val="28"/>
        </w:rPr>
      </w:pPr>
      <w:bookmarkStart w:id="31" w:name="_Toc15377207"/>
      <w:bookmarkStart w:id="32" w:name="_Toc19089867"/>
      <w:r>
        <w:rPr>
          <w:rFonts w:hint="eastAsia" w:ascii="黑体" w:hAnsi="黑体" w:eastAsia="黑体"/>
          <w:b w:val="0"/>
          <w:bCs w:val="0"/>
          <w:color w:val="000000" w:themeColor="text1"/>
          <w:sz w:val="28"/>
          <w:szCs w:val="28"/>
        </w:rPr>
        <w:t>三、支</w:t>
      </w:r>
      <w:r>
        <w:rPr>
          <w:rStyle w:val="25"/>
          <w:rFonts w:hint="eastAsia" w:ascii="黑体" w:hAnsi="黑体" w:eastAsia="黑体"/>
          <w:b w:val="0"/>
          <w:bCs w:val="0"/>
          <w:color w:val="000000" w:themeColor="text1"/>
          <w:sz w:val="28"/>
          <w:szCs w:val="28"/>
        </w:rPr>
        <w:t>出决算情况说明</w:t>
      </w:r>
      <w:bookmarkEnd w:id="31"/>
      <w:bookmarkEnd w:id="32"/>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shd w:val="pct10" w:color="auto" w:fill="FFFFFF"/>
        </w:rPr>
      </w:pPr>
      <w:r>
        <w:rPr>
          <w:rFonts w:ascii="仿宋" w:hAnsi="仿宋" w:eastAsia="仿宋"/>
          <w:b w:val="0"/>
          <w:bCs w:val="0"/>
          <w:color w:val="000000" w:themeColor="text1"/>
          <w:sz w:val="28"/>
          <w:szCs w:val="28"/>
        </w:rPr>
        <w:t>201</w:t>
      </w:r>
      <w:r>
        <w:rPr>
          <w:rFonts w:hint="eastAsia" w:ascii="仿宋" w:hAnsi="仿宋" w:eastAsia="仿宋"/>
          <w:b w:val="0"/>
          <w:bCs w:val="0"/>
          <w:color w:val="000000" w:themeColor="text1"/>
          <w:sz w:val="28"/>
          <w:szCs w:val="28"/>
        </w:rPr>
        <w:t>9年本年支出合计939.12万元，其中：基本支出756.73万元，占80.58%；项目支出182.39万元，占19.42%；上缴上级支出0.00万元，占0.00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；经营支出0.00万元，占0.00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；对附属单位补助支出0.00万元，占0.00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（图3：支出决算结构图）（饼状图）</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_GB2312" w:eastAsia="仿宋_GB2312"/>
          <w:b w:val="0"/>
          <w:bCs w:val="0"/>
          <w:color w:val="000000" w:themeColor="text1"/>
          <w:sz w:val="28"/>
          <w:szCs w:val="28"/>
        </w:rPr>
      </w:pPr>
      <w:r>
        <w:rPr>
          <w:rFonts w:ascii="仿宋_GB2312" w:eastAsia="仿宋_GB2312"/>
          <w:b w:val="0"/>
          <w:bCs w:val="0"/>
          <w:color w:val="000000" w:themeColor="text1"/>
          <w:sz w:val="28"/>
          <w:szCs w:val="28"/>
        </w:rPr>
        <w:drawing>
          <wp:anchor distT="0" distB="0" distL="114300" distR="114300" simplePos="0" relativeHeight="251661312" behindDoc="0" locked="0" layoutInCell="1" allowOverlap="1">
            <wp:simplePos x="0" y="0"/>
            <wp:positionH relativeFrom="column">
              <wp:posOffset>25400</wp:posOffset>
            </wp:positionH>
            <wp:positionV relativeFrom="paragraph">
              <wp:posOffset>19685</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1"/>
        <w:rPr>
          <w:rStyle w:val="25"/>
          <w:rFonts w:ascii="黑体" w:hAnsi="黑体" w:eastAsia="黑体"/>
          <w:b w:val="0"/>
          <w:bCs w:val="0"/>
          <w:color w:val="000000" w:themeColor="text1"/>
          <w:sz w:val="28"/>
          <w:szCs w:val="28"/>
        </w:rPr>
      </w:pPr>
      <w:bookmarkStart w:id="33" w:name="_Toc19089868"/>
      <w:bookmarkStart w:id="34" w:name="_Toc15377208"/>
      <w:r>
        <w:rPr>
          <w:rFonts w:hint="eastAsia" w:ascii="黑体" w:hAnsi="黑体" w:eastAsia="黑体"/>
          <w:b w:val="0"/>
          <w:bCs w:val="0"/>
          <w:color w:val="000000" w:themeColor="text1"/>
          <w:sz w:val="28"/>
          <w:szCs w:val="28"/>
        </w:rPr>
        <w:t>四、财</w:t>
      </w:r>
      <w:r>
        <w:rPr>
          <w:rStyle w:val="25"/>
          <w:rFonts w:hint="eastAsia" w:ascii="黑体" w:hAnsi="黑体" w:eastAsia="黑体"/>
          <w:b w:val="0"/>
          <w:bCs w:val="0"/>
          <w:color w:val="000000" w:themeColor="text1"/>
          <w:sz w:val="28"/>
          <w:szCs w:val="28"/>
        </w:rPr>
        <w:t>政拨款收入支出决算总体情况说明</w:t>
      </w:r>
      <w:bookmarkEnd w:id="33"/>
      <w:bookmarkEnd w:id="34"/>
    </w:p>
    <w:p>
      <w:pPr>
        <w:keepNext w:val="0"/>
        <w:keepLines w:val="0"/>
        <w:pageBreakBefore w:val="0"/>
        <w:widowControl w:val="0"/>
        <w:kinsoku/>
        <w:wordWrap/>
        <w:overflowPunct/>
        <w:topLinePunct w:val="0"/>
        <w:bidi w:val="0"/>
        <w:snapToGrid/>
        <w:ind w:left="0" w:firstLine="560" w:firstLineChars="200"/>
        <w:jc w:val="both"/>
        <w:textAlignment w:val="auto"/>
        <w:rPr>
          <w:rFonts w:ascii="仿宋_GB2312" w:hAnsi="仿宋" w:eastAsia="仿宋_GB2312"/>
          <w:b w:val="0"/>
          <w:bCs w:val="0"/>
          <w:color w:val="000000" w:themeColor="text1"/>
          <w:sz w:val="28"/>
          <w:szCs w:val="28"/>
        </w:rPr>
      </w:pPr>
      <w:r>
        <w:rPr>
          <w:rFonts w:hint="eastAsia" w:ascii="仿宋" w:hAnsi="仿宋" w:eastAsia="仿宋"/>
          <w:b w:val="0"/>
          <w:bCs w:val="0"/>
          <w:color w:val="000000" w:themeColor="text1"/>
          <w:sz w:val="28"/>
          <w:szCs w:val="28"/>
        </w:rPr>
        <w:t>2019年财政拨款收入总计755.99万元。与2018年相比（951.29万元），财政拨款收入总计减少195.3万元，减少20.53%。</w:t>
      </w:r>
      <w:r>
        <w:rPr>
          <w:rFonts w:hint="eastAsia" w:ascii="仿宋_GB2312" w:eastAsia="仿宋_GB2312"/>
          <w:b w:val="0"/>
          <w:bCs w:val="0"/>
          <w:color w:val="000000" w:themeColor="text1"/>
          <w:kern w:val="0"/>
          <w:sz w:val="28"/>
          <w:szCs w:val="28"/>
        </w:rPr>
        <w:t>主要变动原因</w:t>
      </w:r>
      <w:r>
        <w:rPr>
          <w:rFonts w:hint="eastAsia" w:ascii="仿宋" w:hAnsi="仿宋" w:eastAsia="仿宋"/>
          <w:b w:val="0"/>
          <w:bCs w:val="0"/>
          <w:color w:val="000000" w:themeColor="text1"/>
          <w:sz w:val="28"/>
          <w:szCs w:val="28"/>
        </w:rPr>
        <w:t>一是2019年</w:t>
      </w:r>
      <w:r>
        <w:rPr>
          <w:rFonts w:hint="eastAsia" w:ascii="仿宋_GB2312" w:hAnsi="仿宋" w:eastAsia="仿宋_GB2312"/>
          <w:b w:val="0"/>
          <w:bCs w:val="0"/>
          <w:color w:val="000000" w:themeColor="text1"/>
          <w:sz w:val="28"/>
          <w:szCs w:val="28"/>
        </w:rPr>
        <w:t>与2018年相比减少薄改项目收入100万元，教师周转房改造80万元，改善办学条件10万元，营养餐改善计划补助4万元以及人员经费3.69万元。</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_GB2312" w:eastAsia="仿宋_GB2312"/>
          <w:b w:val="0"/>
          <w:bCs w:val="0"/>
          <w:color w:val="000000" w:themeColor="text1"/>
          <w:kern w:val="0"/>
          <w:sz w:val="28"/>
          <w:szCs w:val="28"/>
        </w:rPr>
      </w:pPr>
      <w:r>
        <w:rPr>
          <w:rFonts w:hint="eastAsia" w:ascii="仿宋" w:hAnsi="仿宋" w:eastAsia="仿宋"/>
          <w:b w:val="0"/>
          <w:bCs w:val="0"/>
          <w:color w:val="000000" w:themeColor="text1"/>
          <w:sz w:val="28"/>
          <w:szCs w:val="28"/>
        </w:rPr>
        <w:t>2019年财政拨款支出总计933.91万元。与2018年相比（768.47万元），财政拨款支出总计增加165.44万元，增涨17.71%。</w:t>
      </w:r>
      <w:r>
        <w:rPr>
          <w:rFonts w:hint="eastAsia" w:ascii="仿宋_GB2312" w:eastAsia="仿宋_GB2312"/>
          <w:b w:val="0"/>
          <w:bCs w:val="0"/>
          <w:color w:val="000000" w:themeColor="text1"/>
          <w:kern w:val="0"/>
          <w:sz w:val="28"/>
          <w:szCs w:val="28"/>
        </w:rPr>
        <w:t>主要变动原因</w:t>
      </w:r>
      <w:r>
        <w:rPr>
          <w:rFonts w:hint="eastAsia" w:ascii="仿宋" w:hAnsi="仿宋" w:eastAsia="仿宋"/>
          <w:b w:val="0"/>
          <w:bCs w:val="0"/>
          <w:color w:val="000000" w:themeColor="text1"/>
          <w:sz w:val="28"/>
          <w:szCs w:val="28"/>
        </w:rPr>
        <w:t>教师周转房建设项目及运动场改造2019年度开始实施，支出总额达182.39万元，在2019年支出总数中占比19.52%；</w:t>
      </w:r>
      <w:r>
        <w:rPr>
          <w:rFonts w:hint="eastAsia" w:ascii="仿宋_GB2312" w:eastAsia="仿宋_GB2312"/>
          <w:b w:val="0"/>
          <w:bCs w:val="0"/>
          <w:color w:val="000000" w:themeColor="text1"/>
          <w:kern w:val="0"/>
          <w:sz w:val="28"/>
          <w:szCs w:val="28"/>
        </w:rPr>
        <w:t>二是人员工资支出增长和教职工人数增加，</w:t>
      </w:r>
      <w:r>
        <w:rPr>
          <w:rFonts w:hint="eastAsia" w:ascii="仿宋" w:hAnsi="仿宋" w:eastAsia="仿宋"/>
          <w:b w:val="0"/>
          <w:bCs w:val="0"/>
          <w:color w:val="000000" w:themeColor="text1"/>
          <w:sz w:val="28"/>
          <w:szCs w:val="28"/>
        </w:rPr>
        <w:t>人员经费支出相比2018年增涨63.80万元，增幅6.83%</w:t>
      </w:r>
      <w:r>
        <w:rPr>
          <w:rFonts w:hint="eastAsia" w:ascii="仿宋_GB2312" w:eastAsia="仿宋_GB2312"/>
          <w:b w:val="0"/>
          <w:bCs w:val="0"/>
          <w:color w:val="000000" w:themeColor="text1"/>
          <w:kern w:val="0"/>
          <w:sz w:val="28"/>
          <w:szCs w:val="28"/>
        </w:rPr>
        <w:t>。</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（图4：财政拨款收、支决算总计变动情况）（柱状图）</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19050" t="0" r="2159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（除国有资本经营预算外，数据来源于财决</w:t>
      </w:r>
      <w:r>
        <w:rPr>
          <w:rFonts w:ascii="仿宋" w:hAnsi="仿宋" w:eastAsia="仿宋"/>
          <w:b w:val="0"/>
          <w:bCs w:val="0"/>
          <w:color w:val="000000" w:themeColor="text1"/>
          <w:sz w:val="28"/>
          <w:szCs w:val="28"/>
        </w:rPr>
        <w:t>Z01-1</w:t>
      </w:r>
      <w:r>
        <w:rPr>
          <w:rFonts w:hint="eastAsia" w:ascii="仿宋" w:hAnsi="仿宋" w:eastAsia="仿宋"/>
          <w:b w:val="0"/>
          <w:bCs w:val="0"/>
          <w:color w:val="000000" w:themeColor="text1"/>
          <w:sz w:val="28"/>
          <w:szCs w:val="28"/>
        </w:rPr>
        <w:t>表，口径为“总计”数+国有资本经营预算）</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1"/>
        <w:rPr>
          <w:rStyle w:val="25"/>
          <w:rFonts w:ascii="黑体" w:hAnsi="黑体" w:eastAsia="黑体"/>
          <w:b w:val="0"/>
          <w:bCs w:val="0"/>
          <w:color w:val="000000" w:themeColor="text1"/>
          <w:sz w:val="28"/>
          <w:szCs w:val="28"/>
        </w:rPr>
      </w:pPr>
      <w:bookmarkStart w:id="35" w:name="_Toc15377209"/>
      <w:bookmarkStart w:id="36" w:name="_Toc19089869"/>
      <w:r>
        <w:rPr>
          <w:rFonts w:hint="eastAsia" w:ascii="黑体" w:hAnsi="黑体" w:eastAsia="黑体"/>
          <w:b w:val="0"/>
          <w:bCs w:val="0"/>
          <w:color w:val="000000" w:themeColor="text1"/>
          <w:sz w:val="28"/>
          <w:szCs w:val="28"/>
        </w:rPr>
        <w:t>五、</w:t>
      </w:r>
      <w:r>
        <w:rPr>
          <w:rFonts w:hint="eastAsia" w:ascii="黑体" w:hAnsi="黑体" w:eastAsia="黑体"/>
          <w:b w:val="0"/>
          <w:bCs w:val="0"/>
          <w:color w:val="000000" w:themeColor="text1"/>
          <w:sz w:val="28"/>
          <w:szCs w:val="28"/>
        </w:rPr>
        <w:t>一</w:t>
      </w:r>
      <w:r>
        <w:rPr>
          <w:rStyle w:val="25"/>
          <w:rFonts w:hint="eastAsia" w:ascii="黑体" w:hAnsi="黑体" w:eastAsia="黑体"/>
          <w:b w:val="0"/>
          <w:bCs w:val="0"/>
          <w:color w:val="000000" w:themeColor="text1"/>
          <w:sz w:val="28"/>
          <w:szCs w:val="28"/>
        </w:rPr>
        <w:t>般公共预算财政拨款支出决算情况说明</w:t>
      </w:r>
      <w:bookmarkEnd w:id="35"/>
      <w:bookmarkEnd w:id="36"/>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2"/>
        <w:rPr>
          <w:rFonts w:hint="eastAsia" w:ascii="楷体" w:hAnsi="楷体" w:eastAsia="楷体" w:cs="楷体"/>
          <w:b w:val="0"/>
          <w:bCs w:val="0"/>
          <w:color w:val="000000" w:themeColor="text1"/>
          <w:sz w:val="28"/>
          <w:szCs w:val="28"/>
        </w:rPr>
      </w:pPr>
      <w:bookmarkStart w:id="37" w:name="_Toc15377210"/>
      <w:r>
        <w:rPr>
          <w:rFonts w:hint="eastAsia" w:ascii="楷体" w:hAnsi="楷体" w:eastAsia="楷体" w:cs="楷体"/>
          <w:b w:val="0"/>
          <w:bCs w:val="0"/>
          <w:color w:val="000000" w:themeColor="text1"/>
          <w:sz w:val="28"/>
          <w:szCs w:val="28"/>
        </w:rPr>
        <w:t>（一）一般公共预算财政拨款支出决算总体情况</w:t>
      </w:r>
      <w:bookmarkEnd w:id="37"/>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rPr>
      </w:pPr>
      <w:r>
        <w:rPr>
          <w:rFonts w:ascii="仿宋" w:hAnsi="仿宋" w:eastAsia="仿宋"/>
          <w:b w:val="0"/>
          <w:bCs w:val="0"/>
          <w:color w:val="000000" w:themeColor="text1"/>
          <w:sz w:val="28"/>
          <w:szCs w:val="28"/>
        </w:rPr>
        <w:t>201</w:t>
      </w:r>
      <w:r>
        <w:rPr>
          <w:rFonts w:hint="eastAsia" w:ascii="仿宋" w:hAnsi="仿宋" w:eastAsia="仿宋"/>
          <w:b w:val="0"/>
          <w:bCs w:val="0"/>
          <w:color w:val="000000" w:themeColor="text1"/>
          <w:sz w:val="28"/>
          <w:szCs w:val="28"/>
        </w:rPr>
        <w:t>9年一般公共预算财政拨款支出933.91万元，占本年支出合计（933.91</w:t>
      </w:r>
      <w:r>
        <w:rPr>
          <w:rFonts w:ascii="仿宋" w:hAnsi="仿宋" w:eastAsia="仿宋"/>
          <w:b w:val="0"/>
          <w:bCs w:val="0"/>
          <w:color w:val="000000" w:themeColor="text1"/>
          <w:sz w:val="28"/>
          <w:szCs w:val="28"/>
        </w:rPr>
        <w:t>万元</w:t>
      </w:r>
      <w:r>
        <w:rPr>
          <w:rFonts w:hint="eastAsia" w:ascii="仿宋" w:hAnsi="仿宋" w:eastAsia="仿宋"/>
          <w:b w:val="0"/>
          <w:bCs w:val="0"/>
          <w:color w:val="000000" w:themeColor="text1"/>
          <w:sz w:val="28"/>
          <w:szCs w:val="28"/>
        </w:rPr>
        <w:t>）的100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。与</w:t>
      </w:r>
      <w:r>
        <w:rPr>
          <w:rFonts w:ascii="仿宋" w:hAnsi="仿宋" w:eastAsia="仿宋"/>
          <w:b w:val="0"/>
          <w:bCs w:val="0"/>
          <w:color w:val="000000" w:themeColor="text1"/>
          <w:sz w:val="28"/>
          <w:szCs w:val="28"/>
        </w:rPr>
        <w:t>201</w:t>
      </w:r>
      <w:r>
        <w:rPr>
          <w:rFonts w:hint="eastAsia" w:ascii="仿宋" w:hAnsi="仿宋" w:eastAsia="仿宋"/>
          <w:b w:val="0"/>
          <w:bCs w:val="0"/>
          <w:color w:val="000000" w:themeColor="text1"/>
          <w:sz w:val="28"/>
          <w:szCs w:val="28"/>
        </w:rPr>
        <w:t>8年相比（768.47万元），一般公共预算财政拨款支出增加165.44万元，增长17.71</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w:t>
      </w:r>
      <w:r>
        <w:rPr>
          <w:rFonts w:hint="eastAsia" w:ascii="仿宋_GB2312" w:eastAsia="仿宋_GB2312"/>
          <w:b w:val="0"/>
          <w:bCs w:val="0"/>
          <w:color w:val="000000" w:themeColor="text1"/>
          <w:kern w:val="0"/>
          <w:sz w:val="28"/>
          <w:szCs w:val="28"/>
        </w:rPr>
        <w:t>主要变动原因</w:t>
      </w:r>
      <w:r>
        <w:rPr>
          <w:rFonts w:hint="eastAsia" w:ascii="仿宋" w:hAnsi="仿宋" w:eastAsia="仿宋"/>
          <w:b w:val="0"/>
          <w:bCs w:val="0"/>
          <w:color w:val="000000" w:themeColor="text1"/>
          <w:sz w:val="28"/>
          <w:szCs w:val="28"/>
        </w:rPr>
        <w:t>教师周转房建设项目及运动场改造2019年度开始实施，支出总额达182.39万元，在2019年支出总数中占比19.52%；</w:t>
      </w:r>
      <w:r>
        <w:rPr>
          <w:rFonts w:hint="eastAsia" w:ascii="仿宋_GB2312" w:eastAsia="仿宋_GB2312"/>
          <w:b w:val="0"/>
          <w:bCs w:val="0"/>
          <w:color w:val="000000" w:themeColor="text1"/>
          <w:kern w:val="0"/>
          <w:sz w:val="28"/>
          <w:szCs w:val="28"/>
        </w:rPr>
        <w:t>二是人员工资支出增长和教职工人数增加，</w:t>
      </w:r>
      <w:r>
        <w:rPr>
          <w:rFonts w:hint="eastAsia" w:ascii="仿宋" w:hAnsi="仿宋" w:eastAsia="仿宋"/>
          <w:b w:val="0"/>
          <w:bCs w:val="0"/>
          <w:color w:val="000000" w:themeColor="text1"/>
          <w:sz w:val="28"/>
          <w:szCs w:val="28"/>
        </w:rPr>
        <w:t>人员经费支出相比2018年增涨63.80万元，增幅6.83%</w:t>
      </w:r>
      <w:r>
        <w:rPr>
          <w:rFonts w:hint="eastAsia" w:ascii="仿宋_GB2312" w:eastAsia="仿宋_GB2312"/>
          <w:b w:val="0"/>
          <w:bCs w:val="0"/>
          <w:color w:val="000000" w:themeColor="text1"/>
          <w:kern w:val="0"/>
          <w:sz w:val="28"/>
          <w:szCs w:val="28"/>
        </w:rPr>
        <w:t>。</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（图5：一般公共预算财政拨款支出决算变动情况）（柱状图）</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2"/>
        <w:rPr>
          <w:rFonts w:hint="eastAsia" w:ascii="楷体" w:hAnsi="楷体" w:eastAsia="楷体" w:cs="楷体"/>
          <w:b w:val="0"/>
          <w:bCs w:val="0"/>
          <w:color w:val="000000" w:themeColor="text1"/>
          <w:sz w:val="28"/>
          <w:szCs w:val="28"/>
        </w:rPr>
      </w:pPr>
      <w:bookmarkStart w:id="38" w:name="_Toc15377211"/>
      <w:r>
        <w:rPr>
          <w:rFonts w:hint="eastAsia" w:ascii="楷体" w:hAnsi="楷体" w:eastAsia="楷体" w:cs="楷体"/>
          <w:b w:val="0"/>
          <w:bCs w:val="0"/>
          <w:color w:val="000000" w:themeColor="text1"/>
          <w:sz w:val="28"/>
          <w:szCs w:val="28"/>
        </w:rPr>
        <w:drawing>
          <wp:anchor distT="0" distB="0" distL="114300" distR="114300" simplePos="0" relativeHeight="251672576"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楷体" w:hAnsi="楷体" w:eastAsia="楷体" w:cs="楷体"/>
          <w:b w:val="0"/>
          <w:bCs w:val="0"/>
          <w:color w:val="000000" w:themeColor="text1"/>
          <w:sz w:val="28"/>
          <w:szCs w:val="28"/>
        </w:rPr>
        <w:t>（二）一般公共预算财政拨款支出决算结构情况</w:t>
      </w:r>
      <w:bookmarkEnd w:id="38"/>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rPr>
      </w:pPr>
      <w:r>
        <w:rPr>
          <w:rFonts w:ascii="仿宋" w:hAnsi="仿宋" w:eastAsia="仿宋"/>
          <w:b w:val="0"/>
          <w:bCs w:val="0"/>
          <w:color w:val="000000" w:themeColor="text1"/>
          <w:sz w:val="28"/>
          <w:szCs w:val="28"/>
        </w:rPr>
        <w:t>201</w:t>
      </w:r>
      <w:r>
        <w:rPr>
          <w:rFonts w:hint="eastAsia" w:ascii="仿宋" w:hAnsi="仿宋" w:eastAsia="仿宋"/>
          <w:b w:val="0"/>
          <w:bCs w:val="0"/>
          <w:color w:val="000000" w:themeColor="text1"/>
          <w:sz w:val="28"/>
          <w:szCs w:val="28"/>
        </w:rPr>
        <w:t>9年一般公共预算财政拨款支出933.91万元，主要用于以下方面</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一般公共服务（类）</w:t>
      </w:r>
      <w:r>
        <w:rPr>
          <w:rFonts w:hint="eastAsia" w:ascii="仿宋" w:hAnsi="仿宋" w:eastAsia="仿宋"/>
          <w:b w:val="0"/>
          <w:bCs w:val="0"/>
          <w:color w:val="000000" w:themeColor="text1"/>
          <w:sz w:val="28"/>
          <w:szCs w:val="28"/>
        </w:rPr>
        <w:t>支出0.00万元，占0.00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教育支出（类）</w:t>
      </w:r>
      <w:r>
        <w:rPr>
          <w:rFonts w:hint="eastAsia" w:ascii="仿宋" w:hAnsi="仿宋" w:eastAsia="仿宋"/>
          <w:b w:val="0"/>
          <w:bCs w:val="0"/>
          <w:color w:val="000000" w:themeColor="text1"/>
          <w:sz w:val="28"/>
          <w:szCs w:val="28"/>
        </w:rPr>
        <w:t>812.83万元，占87.04%；</w:t>
      </w:r>
      <w:r>
        <w:rPr>
          <w:rFonts w:hint="eastAsia" w:ascii="仿宋" w:hAnsi="仿宋" w:eastAsia="仿宋"/>
          <w:b w:val="0"/>
          <w:bCs w:val="0"/>
          <w:color w:val="000000" w:themeColor="text1"/>
          <w:sz w:val="28"/>
          <w:szCs w:val="28"/>
        </w:rPr>
        <w:t>科学技术（类）</w:t>
      </w:r>
      <w:r>
        <w:rPr>
          <w:rFonts w:hint="eastAsia" w:ascii="仿宋" w:hAnsi="仿宋" w:eastAsia="仿宋"/>
          <w:b w:val="0"/>
          <w:bCs w:val="0"/>
          <w:color w:val="000000" w:themeColor="text1"/>
          <w:sz w:val="28"/>
          <w:szCs w:val="28"/>
        </w:rPr>
        <w:t>支出0.00万元，占0.00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社会保障和就业（类）</w:t>
      </w:r>
      <w:r>
        <w:rPr>
          <w:rFonts w:hint="eastAsia" w:ascii="仿宋" w:hAnsi="仿宋" w:eastAsia="仿宋"/>
          <w:b w:val="0"/>
          <w:bCs w:val="0"/>
          <w:color w:val="000000" w:themeColor="text1"/>
          <w:sz w:val="28"/>
          <w:szCs w:val="28"/>
        </w:rPr>
        <w:t>支出93.35万元，占10.00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卫生健康（类）</w:t>
      </w:r>
      <w:r>
        <w:rPr>
          <w:rFonts w:hint="eastAsia" w:ascii="仿宋" w:hAnsi="仿宋" w:eastAsia="仿宋"/>
          <w:b w:val="0"/>
          <w:bCs w:val="0"/>
          <w:color w:val="000000" w:themeColor="text1"/>
          <w:sz w:val="28"/>
          <w:szCs w:val="28"/>
        </w:rPr>
        <w:t>支出26.60万元，占2.85%；</w:t>
      </w:r>
      <w:r>
        <w:rPr>
          <w:rFonts w:hint="eastAsia" w:ascii="仿宋" w:hAnsi="仿宋" w:eastAsia="仿宋"/>
          <w:b w:val="0"/>
          <w:bCs w:val="0"/>
          <w:color w:val="000000" w:themeColor="text1"/>
          <w:sz w:val="28"/>
          <w:szCs w:val="28"/>
        </w:rPr>
        <w:t>农林水（类）</w:t>
      </w:r>
      <w:r>
        <w:rPr>
          <w:rFonts w:hint="eastAsia" w:ascii="仿宋" w:hAnsi="仿宋" w:eastAsia="仿宋"/>
          <w:b w:val="0"/>
          <w:bCs w:val="0"/>
          <w:color w:val="000000" w:themeColor="text1"/>
          <w:sz w:val="28"/>
          <w:szCs w:val="28"/>
        </w:rPr>
        <w:t>支出0.00万元，占0.00%；</w:t>
      </w:r>
      <w:r>
        <w:rPr>
          <w:rFonts w:hint="eastAsia" w:ascii="仿宋" w:hAnsi="仿宋" w:eastAsia="仿宋"/>
          <w:b w:val="0"/>
          <w:bCs w:val="0"/>
          <w:color w:val="000000" w:themeColor="text1"/>
          <w:sz w:val="28"/>
          <w:szCs w:val="28"/>
        </w:rPr>
        <w:t>住房保障(类)</w:t>
      </w:r>
      <w:r>
        <w:rPr>
          <w:rFonts w:hint="eastAsia" w:ascii="仿宋" w:hAnsi="仿宋" w:eastAsia="仿宋"/>
          <w:b w:val="0"/>
          <w:bCs w:val="0"/>
          <w:color w:val="000000" w:themeColor="text1"/>
          <w:sz w:val="28"/>
          <w:szCs w:val="28"/>
        </w:rPr>
        <w:t>支出1.13万元，占0.12</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其它支出（类）</w:t>
      </w:r>
      <w:r>
        <w:rPr>
          <w:rFonts w:hint="eastAsia" w:ascii="仿宋" w:hAnsi="仿宋" w:eastAsia="仿宋"/>
          <w:b w:val="0"/>
          <w:bCs w:val="0"/>
          <w:color w:val="000000" w:themeColor="text1"/>
          <w:sz w:val="28"/>
          <w:szCs w:val="28"/>
        </w:rPr>
        <w:t>支出0.00万元，占0.00%。</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rPr>
      </w:pPr>
      <w:r>
        <w:rPr>
          <w:rFonts w:ascii="仿宋" w:hAnsi="仿宋" w:eastAsia="仿宋"/>
          <w:b w:val="0"/>
          <w:bCs w:val="0"/>
          <w:color w:val="000000" w:themeColor="text1"/>
          <w:sz w:val="28"/>
          <w:szCs w:val="28"/>
        </w:rPr>
        <w:drawing>
          <wp:anchor distT="0" distB="0" distL="114300" distR="114300" simplePos="0" relativeHeight="251664384" behindDoc="0" locked="0" layoutInCell="1" allowOverlap="1">
            <wp:simplePos x="0" y="0"/>
            <wp:positionH relativeFrom="column">
              <wp:posOffset>-158750</wp:posOffset>
            </wp:positionH>
            <wp:positionV relativeFrom="paragraph">
              <wp:posOffset>527050</wp:posOffset>
            </wp:positionV>
            <wp:extent cx="5496560" cy="3015615"/>
            <wp:effectExtent l="19050" t="0" r="2794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b w:val="0"/>
          <w:bCs w:val="0"/>
          <w:color w:val="000000" w:themeColor="text1"/>
          <w:sz w:val="28"/>
          <w:szCs w:val="28"/>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outlineLvl w:val="2"/>
        <w:rPr>
          <w:rFonts w:hint="eastAsia" w:ascii="楷体" w:hAnsi="楷体" w:eastAsia="楷体" w:cs="楷体"/>
          <w:b w:val="0"/>
          <w:bCs w:val="0"/>
          <w:color w:val="000000" w:themeColor="text1"/>
          <w:sz w:val="28"/>
          <w:szCs w:val="28"/>
        </w:rPr>
      </w:pPr>
      <w:bookmarkStart w:id="39" w:name="_Toc15377212"/>
      <w:r>
        <w:rPr>
          <w:rFonts w:hint="eastAsia" w:ascii="楷体" w:hAnsi="楷体" w:eastAsia="楷体" w:cs="楷体"/>
          <w:b w:val="0"/>
          <w:bCs w:val="0"/>
          <w:color w:val="000000" w:themeColor="text1"/>
          <w:sz w:val="28"/>
          <w:szCs w:val="28"/>
        </w:rPr>
        <w:t>（三）一般公共预算财政拨款支出决算具体情况</w:t>
      </w:r>
      <w:bookmarkEnd w:id="39"/>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outlineLvl w:val="2"/>
        <w:rPr>
          <w:rFonts w:ascii="仿宋" w:hAnsi="仿宋" w:eastAsia="仿宋"/>
          <w:b w:val="0"/>
          <w:bCs w:val="0"/>
          <w:color w:val="000000" w:themeColor="text1"/>
          <w:sz w:val="28"/>
          <w:szCs w:val="28"/>
        </w:rPr>
      </w:pPr>
      <w:bookmarkStart w:id="40" w:name="_Toc15377213"/>
      <w:bookmarkStart w:id="41" w:name="_Toc15377444"/>
      <w:bookmarkStart w:id="42" w:name="_Toc15378460"/>
      <w:r>
        <w:rPr>
          <w:rFonts w:hint="eastAsia" w:ascii="仿宋" w:hAnsi="仿宋" w:eastAsia="仿宋"/>
          <w:b w:val="0"/>
          <w:bCs w:val="0"/>
          <w:color w:val="000000" w:themeColor="text1"/>
          <w:sz w:val="28"/>
          <w:szCs w:val="28"/>
        </w:rPr>
        <w:t>2019年一般公共预算支出决算数为933.91万元</w:t>
      </w:r>
      <w:r>
        <w:rPr>
          <w:rFonts w:hint="eastAsia"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完成预算91.53</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，未完成部分为人员经费结转。其中：</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b w:val="0"/>
          <w:bCs w:val="0"/>
          <w:color w:val="000000" w:themeColor="text1"/>
          <w:sz w:val="28"/>
          <w:szCs w:val="28"/>
        </w:rPr>
      </w:pPr>
      <w:r>
        <w:rPr>
          <w:rStyle w:val="14"/>
          <w:rFonts w:ascii="仿宋" w:hAnsi="仿宋" w:eastAsia="仿宋"/>
          <w:b w:val="0"/>
          <w:bCs w:val="0"/>
          <w:color w:val="000000" w:themeColor="text1"/>
          <w:sz w:val="28"/>
          <w:szCs w:val="28"/>
        </w:rPr>
        <w:t>1.</w:t>
      </w:r>
      <w:r>
        <w:rPr>
          <w:rStyle w:val="14"/>
          <w:rFonts w:hint="eastAsia" w:ascii="仿宋" w:hAnsi="仿宋" w:eastAsia="仿宋"/>
          <w:b w:val="0"/>
          <w:bCs w:val="0"/>
          <w:color w:val="000000" w:themeColor="text1"/>
          <w:sz w:val="28"/>
          <w:szCs w:val="28"/>
        </w:rPr>
        <w:t xml:space="preserve"> </w:t>
      </w:r>
      <w:r>
        <w:rPr>
          <w:rStyle w:val="14"/>
          <w:rFonts w:ascii="仿宋" w:hAnsi="仿宋" w:eastAsia="仿宋"/>
          <w:b w:val="0"/>
          <w:bCs w:val="0"/>
          <w:color w:val="000000" w:themeColor="text1"/>
          <w:sz w:val="28"/>
          <w:szCs w:val="28"/>
        </w:rPr>
        <w:t>教育支出</w:t>
      </w:r>
      <w:r>
        <w:rPr>
          <w:rStyle w:val="14"/>
          <w:rFonts w:hint="eastAsia" w:ascii="仿宋" w:hAnsi="仿宋" w:eastAsia="仿宋"/>
          <w:b w:val="0"/>
          <w:bCs w:val="0"/>
          <w:color w:val="000000" w:themeColor="text1"/>
          <w:sz w:val="28"/>
          <w:szCs w:val="28"/>
        </w:rPr>
        <w:t>（类）普通教育（款）学前教育（项）</w:t>
      </w:r>
      <w:r>
        <w:rPr>
          <w:rStyle w:val="14"/>
          <w:rFonts w:ascii="仿宋" w:hAnsi="仿宋" w:eastAsia="仿宋"/>
          <w:b w:val="0"/>
          <w:bCs w:val="0"/>
          <w:color w:val="000000" w:themeColor="text1"/>
          <w:sz w:val="28"/>
          <w:szCs w:val="28"/>
        </w:rPr>
        <w:t>:</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支出决算数为17.47万元，完成预算100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，决算数大于预算数的主要原因是完成上年结转学前教育奖补资金10万元。</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b w:val="0"/>
          <w:bCs w:val="0"/>
          <w:color w:val="000000" w:themeColor="text1"/>
          <w:sz w:val="28"/>
          <w:szCs w:val="28"/>
        </w:rPr>
      </w:pPr>
      <w:r>
        <w:rPr>
          <w:rStyle w:val="14"/>
          <w:rFonts w:hint="eastAsia" w:ascii="仿宋" w:hAnsi="仿宋" w:eastAsia="仿宋"/>
          <w:b w:val="0"/>
          <w:bCs w:val="0"/>
          <w:color w:val="000000" w:themeColor="text1"/>
          <w:sz w:val="28"/>
          <w:szCs w:val="28"/>
        </w:rPr>
        <w:t>2</w:t>
      </w:r>
      <w:r>
        <w:rPr>
          <w:rStyle w:val="14"/>
          <w:rFonts w:ascii="仿宋" w:hAnsi="仿宋" w:eastAsia="仿宋"/>
          <w:b w:val="0"/>
          <w:bCs w:val="0"/>
          <w:color w:val="000000" w:themeColor="text1"/>
          <w:sz w:val="28"/>
          <w:szCs w:val="28"/>
        </w:rPr>
        <w:t>.</w:t>
      </w:r>
      <w:r>
        <w:rPr>
          <w:rFonts w:ascii="仿宋" w:hAnsi="仿宋" w:eastAsia="仿宋"/>
          <w:b w:val="0"/>
          <w:bCs w:val="0"/>
          <w:color w:val="000000" w:themeColor="text1"/>
          <w:sz w:val="28"/>
          <w:szCs w:val="28"/>
        </w:rPr>
        <w:t xml:space="preserve"> </w:t>
      </w:r>
      <w:r>
        <w:rPr>
          <w:rStyle w:val="14"/>
          <w:rFonts w:ascii="仿宋" w:hAnsi="仿宋" w:eastAsia="仿宋"/>
          <w:b w:val="0"/>
          <w:bCs w:val="0"/>
          <w:color w:val="000000" w:themeColor="text1"/>
          <w:sz w:val="28"/>
          <w:szCs w:val="28"/>
        </w:rPr>
        <w:t>教育支出</w:t>
      </w:r>
      <w:r>
        <w:rPr>
          <w:rStyle w:val="14"/>
          <w:rFonts w:hint="eastAsia" w:ascii="仿宋" w:hAnsi="仿宋" w:eastAsia="仿宋"/>
          <w:b w:val="0"/>
          <w:bCs w:val="0"/>
          <w:color w:val="000000" w:themeColor="text1"/>
          <w:sz w:val="28"/>
          <w:szCs w:val="28"/>
        </w:rPr>
        <w:t>（类）普通教育（款）小学教育（项）</w:t>
      </w:r>
      <w:r>
        <w:rPr>
          <w:rStyle w:val="14"/>
          <w:rFonts w:ascii="仿宋" w:hAnsi="仿宋" w:eastAsia="仿宋"/>
          <w:b w:val="0"/>
          <w:bCs w:val="0"/>
          <w:color w:val="000000" w:themeColor="text1"/>
          <w:sz w:val="28"/>
          <w:szCs w:val="28"/>
        </w:rPr>
        <w:t>:</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支出决算数为316.54万元，完成预算100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。决算数大于预算数的主要原因是完成上年基本支出结转经费。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b w:val="0"/>
          <w:bCs w:val="0"/>
          <w:color w:val="000000" w:themeColor="text1"/>
          <w:sz w:val="28"/>
          <w:szCs w:val="28"/>
        </w:rPr>
      </w:pPr>
      <w:r>
        <w:rPr>
          <w:rStyle w:val="14"/>
          <w:rFonts w:hint="eastAsia" w:ascii="仿宋" w:hAnsi="仿宋" w:eastAsia="仿宋"/>
          <w:b w:val="0"/>
          <w:bCs w:val="0"/>
          <w:color w:val="000000" w:themeColor="text1"/>
          <w:sz w:val="28"/>
          <w:szCs w:val="28"/>
        </w:rPr>
        <w:t>3</w:t>
      </w:r>
      <w:r>
        <w:rPr>
          <w:rStyle w:val="14"/>
          <w:rFonts w:ascii="仿宋" w:hAnsi="仿宋" w:eastAsia="仿宋"/>
          <w:b w:val="0"/>
          <w:bCs w:val="0"/>
          <w:color w:val="000000" w:themeColor="text1"/>
          <w:sz w:val="28"/>
          <w:szCs w:val="28"/>
        </w:rPr>
        <w:t>.</w:t>
      </w:r>
      <w:r>
        <w:rPr>
          <w:rFonts w:ascii="仿宋" w:hAnsi="仿宋" w:eastAsia="仿宋"/>
          <w:b w:val="0"/>
          <w:bCs w:val="0"/>
          <w:color w:val="000000" w:themeColor="text1"/>
          <w:sz w:val="28"/>
          <w:szCs w:val="28"/>
        </w:rPr>
        <w:t xml:space="preserve"> </w:t>
      </w:r>
      <w:r>
        <w:rPr>
          <w:rStyle w:val="14"/>
          <w:rFonts w:ascii="仿宋" w:hAnsi="仿宋" w:eastAsia="仿宋"/>
          <w:b w:val="0"/>
          <w:bCs w:val="0"/>
          <w:color w:val="000000" w:themeColor="text1"/>
          <w:sz w:val="28"/>
          <w:szCs w:val="28"/>
        </w:rPr>
        <w:t>教育支出</w:t>
      </w:r>
      <w:r>
        <w:rPr>
          <w:rStyle w:val="14"/>
          <w:rFonts w:hint="eastAsia" w:ascii="仿宋" w:hAnsi="仿宋" w:eastAsia="仿宋"/>
          <w:b w:val="0"/>
          <w:bCs w:val="0"/>
          <w:color w:val="000000" w:themeColor="text1"/>
          <w:sz w:val="28"/>
          <w:szCs w:val="28"/>
        </w:rPr>
        <w:t>（类）普通教育（款）初中教育（项）</w:t>
      </w:r>
      <w:r>
        <w:rPr>
          <w:rStyle w:val="14"/>
          <w:rFonts w:ascii="仿宋" w:hAnsi="仿宋" w:eastAsia="仿宋"/>
          <w:b w:val="0"/>
          <w:bCs w:val="0"/>
          <w:color w:val="000000" w:themeColor="text1"/>
          <w:sz w:val="28"/>
          <w:szCs w:val="28"/>
        </w:rPr>
        <w:t>:</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支出决算数为471.53万元，完成预算100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，决算数大于预算数的主要原因是完成上年基本支出结转经费。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b w:val="0"/>
          <w:bCs w:val="0"/>
          <w:color w:val="000000" w:themeColor="text1"/>
          <w:sz w:val="28"/>
          <w:szCs w:val="28"/>
        </w:rPr>
      </w:pPr>
      <w:r>
        <w:rPr>
          <w:rStyle w:val="14"/>
          <w:rFonts w:hint="eastAsia" w:ascii="仿宋" w:hAnsi="仿宋" w:eastAsia="仿宋"/>
          <w:b w:val="0"/>
          <w:bCs w:val="0"/>
          <w:color w:val="000000" w:themeColor="text1"/>
          <w:sz w:val="28"/>
          <w:szCs w:val="28"/>
        </w:rPr>
        <w:t>4</w:t>
      </w:r>
      <w:r>
        <w:rPr>
          <w:rStyle w:val="14"/>
          <w:rFonts w:ascii="仿宋" w:hAnsi="仿宋" w:eastAsia="仿宋"/>
          <w:b w:val="0"/>
          <w:bCs w:val="0"/>
          <w:color w:val="000000" w:themeColor="text1"/>
          <w:sz w:val="28"/>
          <w:szCs w:val="28"/>
        </w:rPr>
        <w:t>.教育支出</w:t>
      </w:r>
      <w:r>
        <w:rPr>
          <w:rStyle w:val="14"/>
          <w:rFonts w:hint="eastAsia" w:ascii="仿宋" w:hAnsi="仿宋" w:eastAsia="仿宋"/>
          <w:b w:val="0"/>
          <w:bCs w:val="0"/>
          <w:color w:val="000000" w:themeColor="text1"/>
          <w:sz w:val="28"/>
          <w:szCs w:val="28"/>
        </w:rPr>
        <w:t>（类）普通教育（款）其它普通教育（项）</w:t>
      </w:r>
      <w:r>
        <w:rPr>
          <w:rStyle w:val="14"/>
          <w:rFonts w:ascii="仿宋" w:hAnsi="仿宋" w:eastAsia="仿宋"/>
          <w:b w:val="0"/>
          <w:bCs w:val="0"/>
          <w:color w:val="000000" w:themeColor="text1"/>
          <w:sz w:val="28"/>
          <w:szCs w:val="28"/>
        </w:rPr>
        <w:t>:</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支出决算数为12.50万元，完成预算100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。决算数大于预算数的主要原因是完成上年结转项目经费6万元。</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Style w:val="14"/>
          <w:rFonts w:ascii="仿宋" w:hAnsi="仿宋" w:eastAsia="仿宋"/>
          <w:b w:val="0"/>
          <w:bCs w:val="0"/>
          <w:color w:val="000000" w:themeColor="text1"/>
          <w:sz w:val="28"/>
          <w:szCs w:val="28"/>
        </w:rPr>
      </w:pPr>
      <w:r>
        <w:rPr>
          <w:rStyle w:val="14"/>
          <w:rFonts w:hint="eastAsia" w:ascii="仿宋" w:hAnsi="仿宋" w:eastAsia="仿宋"/>
          <w:b w:val="0"/>
          <w:bCs w:val="0"/>
          <w:color w:val="000000" w:themeColor="text1"/>
          <w:sz w:val="28"/>
          <w:szCs w:val="28"/>
        </w:rPr>
        <w:t>5</w:t>
      </w:r>
      <w:r>
        <w:rPr>
          <w:rStyle w:val="14"/>
          <w:rFonts w:ascii="仿宋" w:hAnsi="仿宋" w:eastAsia="仿宋"/>
          <w:b w:val="0"/>
          <w:bCs w:val="0"/>
          <w:color w:val="000000" w:themeColor="text1"/>
          <w:sz w:val="28"/>
          <w:szCs w:val="28"/>
        </w:rPr>
        <w:t>.</w:t>
      </w:r>
      <w:r>
        <w:rPr>
          <w:rFonts w:ascii="仿宋" w:hAnsi="仿宋" w:eastAsia="仿宋"/>
          <w:b w:val="0"/>
          <w:bCs w:val="0"/>
          <w:color w:val="000000" w:themeColor="text1"/>
          <w:sz w:val="28"/>
          <w:szCs w:val="28"/>
        </w:rPr>
        <w:t>社会保障和就业支出</w:t>
      </w:r>
      <w:r>
        <w:rPr>
          <w:rStyle w:val="14"/>
          <w:rFonts w:hint="eastAsia" w:ascii="仿宋" w:hAnsi="仿宋" w:eastAsia="仿宋"/>
          <w:b w:val="0"/>
          <w:bCs w:val="0"/>
          <w:color w:val="000000" w:themeColor="text1"/>
          <w:sz w:val="28"/>
          <w:szCs w:val="28"/>
        </w:rPr>
        <w:t>（类）行政事业单位离退休（款）机关事业单位基本养老保险缴费支出（项）</w:t>
      </w:r>
      <w:r>
        <w:rPr>
          <w:rStyle w:val="14"/>
          <w:rFonts w:ascii="仿宋" w:hAnsi="仿宋" w:eastAsia="仿宋"/>
          <w:b w:val="0"/>
          <w:bCs w:val="0"/>
          <w:color w:val="000000" w:themeColor="text1"/>
          <w:sz w:val="28"/>
          <w:szCs w:val="28"/>
        </w:rPr>
        <w:t>:</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支出决算为70.39万元，完成预算100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。决算数大于预算数的主要原因是完成上年基本支出结转经费。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Style w:val="14"/>
          <w:rFonts w:ascii="仿宋" w:hAnsi="仿宋" w:eastAsia="仿宋"/>
          <w:b w:val="0"/>
          <w:bCs w:val="0"/>
          <w:color w:val="000000" w:themeColor="text1"/>
          <w:sz w:val="28"/>
          <w:szCs w:val="28"/>
        </w:rPr>
      </w:pPr>
      <w:r>
        <w:rPr>
          <w:rStyle w:val="14"/>
          <w:rFonts w:hint="eastAsia" w:ascii="仿宋" w:hAnsi="仿宋" w:eastAsia="仿宋"/>
          <w:b w:val="0"/>
          <w:bCs w:val="0"/>
          <w:color w:val="000000" w:themeColor="text1"/>
          <w:sz w:val="28"/>
          <w:szCs w:val="28"/>
        </w:rPr>
        <w:t>6</w:t>
      </w:r>
      <w:r>
        <w:rPr>
          <w:rStyle w:val="14"/>
          <w:rFonts w:ascii="仿宋" w:hAnsi="仿宋" w:eastAsia="仿宋"/>
          <w:b w:val="0"/>
          <w:bCs w:val="0"/>
          <w:color w:val="000000" w:themeColor="text1"/>
          <w:sz w:val="28"/>
          <w:szCs w:val="28"/>
        </w:rPr>
        <w:t>.</w:t>
      </w:r>
      <w:r>
        <w:rPr>
          <w:rFonts w:ascii="仿宋" w:hAnsi="仿宋" w:eastAsia="仿宋"/>
          <w:b w:val="0"/>
          <w:bCs w:val="0"/>
          <w:color w:val="000000" w:themeColor="text1"/>
          <w:sz w:val="28"/>
          <w:szCs w:val="28"/>
        </w:rPr>
        <w:t xml:space="preserve"> </w:t>
      </w:r>
      <w:r>
        <w:rPr>
          <w:rFonts w:ascii="仿宋" w:hAnsi="仿宋" w:eastAsia="仿宋"/>
          <w:b w:val="0"/>
          <w:bCs w:val="0"/>
          <w:color w:val="000000" w:themeColor="text1"/>
          <w:sz w:val="28"/>
          <w:szCs w:val="28"/>
        </w:rPr>
        <w:t>社会保障和就业支出</w:t>
      </w:r>
      <w:r>
        <w:rPr>
          <w:rStyle w:val="14"/>
          <w:rFonts w:hint="eastAsia" w:ascii="仿宋" w:hAnsi="仿宋" w:eastAsia="仿宋"/>
          <w:b w:val="0"/>
          <w:bCs w:val="0"/>
          <w:color w:val="000000" w:themeColor="text1"/>
          <w:sz w:val="28"/>
          <w:szCs w:val="28"/>
        </w:rPr>
        <w:t>（类）行政事业单位离退休（款）机关事业单位职业年金缴费支出（项）</w:t>
      </w:r>
      <w:r>
        <w:rPr>
          <w:rStyle w:val="14"/>
          <w:rFonts w:ascii="仿宋" w:hAnsi="仿宋" w:eastAsia="仿宋"/>
          <w:b w:val="0"/>
          <w:bCs w:val="0"/>
          <w:color w:val="000000" w:themeColor="text1"/>
          <w:sz w:val="28"/>
          <w:szCs w:val="28"/>
        </w:rPr>
        <w:t>:</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支出决算为12.06万元，完成预算100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Style w:val="14"/>
          <w:rFonts w:ascii="仿宋" w:hAnsi="仿宋" w:eastAsia="仿宋"/>
          <w:b w:val="0"/>
          <w:bCs w:val="0"/>
          <w:color w:val="000000" w:themeColor="text1"/>
          <w:sz w:val="28"/>
          <w:szCs w:val="28"/>
        </w:rPr>
      </w:pPr>
      <w:r>
        <w:rPr>
          <w:rStyle w:val="14"/>
          <w:rFonts w:hint="eastAsia" w:ascii="仿宋" w:hAnsi="仿宋" w:eastAsia="仿宋"/>
          <w:b w:val="0"/>
          <w:bCs w:val="0"/>
          <w:color w:val="000000" w:themeColor="text1"/>
          <w:sz w:val="28"/>
          <w:szCs w:val="28"/>
        </w:rPr>
        <w:t>7</w:t>
      </w:r>
      <w:r>
        <w:rPr>
          <w:rStyle w:val="14"/>
          <w:rFonts w:ascii="仿宋" w:hAnsi="仿宋" w:eastAsia="仿宋"/>
          <w:b w:val="0"/>
          <w:bCs w:val="0"/>
          <w:color w:val="000000" w:themeColor="text1"/>
          <w:sz w:val="28"/>
          <w:szCs w:val="28"/>
        </w:rPr>
        <w:t>.</w:t>
      </w:r>
      <w:r>
        <w:rPr>
          <w:rFonts w:ascii="仿宋" w:hAnsi="仿宋" w:eastAsia="仿宋"/>
          <w:b w:val="0"/>
          <w:bCs w:val="0"/>
          <w:color w:val="000000" w:themeColor="text1"/>
          <w:sz w:val="28"/>
          <w:szCs w:val="28"/>
        </w:rPr>
        <w:t xml:space="preserve"> </w:t>
      </w:r>
      <w:r>
        <w:rPr>
          <w:rFonts w:ascii="仿宋" w:hAnsi="仿宋" w:eastAsia="仿宋"/>
          <w:b w:val="0"/>
          <w:bCs w:val="0"/>
          <w:color w:val="000000" w:themeColor="text1"/>
          <w:sz w:val="28"/>
          <w:szCs w:val="28"/>
        </w:rPr>
        <w:t>社会保障和就业支出</w:t>
      </w:r>
      <w:r>
        <w:rPr>
          <w:rStyle w:val="14"/>
          <w:rFonts w:hint="eastAsia" w:ascii="仿宋" w:hAnsi="仿宋" w:eastAsia="仿宋"/>
          <w:b w:val="0"/>
          <w:bCs w:val="0"/>
          <w:color w:val="000000" w:themeColor="text1"/>
          <w:sz w:val="28"/>
          <w:szCs w:val="28"/>
        </w:rPr>
        <w:t>（类）抚恤（款）死亡抚恤（项）</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支出决算为5.64万元，完成预算100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Style w:val="14"/>
          <w:rFonts w:ascii="仿宋" w:hAnsi="仿宋" w:eastAsia="仿宋"/>
          <w:b w:val="0"/>
          <w:bCs w:val="0"/>
          <w:color w:val="000000" w:themeColor="text1"/>
          <w:sz w:val="28"/>
          <w:szCs w:val="28"/>
        </w:rPr>
      </w:pPr>
      <w:r>
        <w:rPr>
          <w:rStyle w:val="14"/>
          <w:rFonts w:hint="eastAsia" w:ascii="仿宋" w:hAnsi="仿宋" w:eastAsia="仿宋"/>
          <w:b w:val="0"/>
          <w:bCs w:val="0"/>
          <w:color w:val="000000" w:themeColor="text1"/>
          <w:sz w:val="28"/>
          <w:szCs w:val="28"/>
        </w:rPr>
        <w:t>8</w:t>
      </w:r>
      <w:r>
        <w:rPr>
          <w:rStyle w:val="14"/>
          <w:rFonts w:ascii="仿宋" w:hAnsi="仿宋" w:eastAsia="仿宋"/>
          <w:b w:val="0"/>
          <w:bCs w:val="0"/>
          <w:color w:val="000000" w:themeColor="text1"/>
          <w:sz w:val="28"/>
          <w:szCs w:val="28"/>
        </w:rPr>
        <w:t>.</w:t>
      </w:r>
      <w:r>
        <w:rPr>
          <w:rFonts w:ascii="仿宋" w:hAnsi="仿宋" w:eastAsia="仿宋"/>
          <w:b w:val="0"/>
          <w:bCs w:val="0"/>
          <w:color w:val="000000" w:themeColor="text1"/>
          <w:sz w:val="28"/>
          <w:szCs w:val="28"/>
        </w:rPr>
        <w:t xml:space="preserve"> </w:t>
      </w:r>
      <w:r>
        <w:rPr>
          <w:rFonts w:ascii="仿宋" w:hAnsi="仿宋" w:eastAsia="仿宋"/>
          <w:b w:val="0"/>
          <w:bCs w:val="0"/>
          <w:color w:val="000000" w:themeColor="text1"/>
          <w:sz w:val="28"/>
          <w:szCs w:val="28"/>
        </w:rPr>
        <w:t>社会保障和就业支出</w:t>
      </w:r>
      <w:r>
        <w:rPr>
          <w:rStyle w:val="14"/>
          <w:rFonts w:hint="eastAsia" w:ascii="仿宋" w:hAnsi="仿宋" w:eastAsia="仿宋"/>
          <w:b w:val="0"/>
          <w:bCs w:val="0"/>
          <w:color w:val="000000" w:themeColor="text1"/>
          <w:sz w:val="28"/>
          <w:szCs w:val="28"/>
        </w:rPr>
        <w:t>（类）其它社会保障和就业支出（款）其它社会保障和就业支出（项）</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支出决算为5.26万元，完成预算100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Style w:val="14"/>
          <w:rFonts w:ascii="仿宋" w:hAnsi="仿宋" w:eastAsia="仿宋"/>
          <w:b w:val="0"/>
          <w:bCs w:val="0"/>
          <w:color w:val="000000" w:themeColor="text1"/>
          <w:sz w:val="28"/>
          <w:szCs w:val="28"/>
        </w:rPr>
      </w:pPr>
      <w:r>
        <w:rPr>
          <w:rStyle w:val="14"/>
          <w:rFonts w:hint="eastAsia" w:ascii="仿宋" w:hAnsi="仿宋" w:eastAsia="仿宋"/>
          <w:b w:val="0"/>
          <w:bCs w:val="0"/>
          <w:color w:val="000000" w:themeColor="text1"/>
          <w:sz w:val="28"/>
          <w:szCs w:val="28"/>
        </w:rPr>
        <w:t>9</w:t>
      </w:r>
      <w:r>
        <w:rPr>
          <w:rStyle w:val="14"/>
          <w:rFonts w:ascii="仿宋" w:hAnsi="仿宋" w:eastAsia="仿宋"/>
          <w:b w:val="0"/>
          <w:bCs w:val="0"/>
          <w:color w:val="000000" w:themeColor="text1"/>
          <w:sz w:val="28"/>
          <w:szCs w:val="28"/>
        </w:rPr>
        <w:t>.</w:t>
      </w:r>
      <w:r>
        <w:rPr>
          <w:rFonts w:ascii="仿宋" w:hAnsi="仿宋" w:eastAsia="仿宋"/>
          <w:b w:val="0"/>
          <w:bCs w:val="0"/>
          <w:color w:val="000000" w:themeColor="text1"/>
          <w:sz w:val="28"/>
          <w:szCs w:val="28"/>
        </w:rPr>
        <w:t xml:space="preserve"> </w:t>
      </w:r>
      <w:r>
        <w:rPr>
          <w:rFonts w:hint="eastAsia" w:ascii="仿宋" w:hAnsi="仿宋" w:eastAsia="仿宋"/>
          <w:b w:val="0"/>
          <w:bCs w:val="0"/>
          <w:color w:val="000000" w:themeColor="text1"/>
          <w:sz w:val="28"/>
          <w:szCs w:val="28"/>
        </w:rPr>
        <w:t>卫生健康支出</w:t>
      </w:r>
      <w:r>
        <w:rPr>
          <w:rStyle w:val="14"/>
          <w:rFonts w:hint="eastAsia" w:ascii="仿宋" w:hAnsi="仿宋" w:eastAsia="仿宋"/>
          <w:b w:val="0"/>
          <w:bCs w:val="0"/>
          <w:color w:val="000000" w:themeColor="text1"/>
          <w:sz w:val="28"/>
          <w:szCs w:val="28"/>
        </w:rPr>
        <w:t>（类）行政事业单位医疗（款）事业单位医疗（项）</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支出决算为26.60万元，完成预算100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b w:val="0"/>
          <w:bCs w:val="0"/>
          <w:color w:val="000000" w:themeColor="text1"/>
          <w:sz w:val="28"/>
          <w:szCs w:val="28"/>
        </w:rPr>
      </w:pPr>
      <w:r>
        <w:rPr>
          <w:rStyle w:val="14"/>
          <w:rFonts w:hint="eastAsia" w:ascii="仿宋" w:hAnsi="仿宋" w:eastAsia="仿宋"/>
          <w:b w:val="0"/>
          <w:bCs w:val="0"/>
          <w:color w:val="000000" w:themeColor="text1"/>
          <w:sz w:val="28"/>
          <w:szCs w:val="28"/>
        </w:rPr>
        <w:t>10</w:t>
      </w:r>
      <w:r>
        <w:rPr>
          <w:rStyle w:val="14"/>
          <w:rFonts w:ascii="仿宋" w:hAnsi="仿宋" w:eastAsia="仿宋"/>
          <w:b w:val="0"/>
          <w:bCs w:val="0"/>
          <w:color w:val="000000" w:themeColor="text1"/>
          <w:sz w:val="28"/>
          <w:szCs w:val="28"/>
        </w:rPr>
        <w:t>.</w:t>
      </w:r>
      <w:r>
        <w:rPr>
          <w:rFonts w:ascii="仿宋" w:hAnsi="仿宋" w:eastAsia="仿宋"/>
          <w:b w:val="0"/>
          <w:bCs w:val="0"/>
          <w:color w:val="000000" w:themeColor="text1"/>
          <w:sz w:val="28"/>
          <w:szCs w:val="28"/>
        </w:rPr>
        <w:t xml:space="preserve"> </w:t>
      </w:r>
      <w:r>
        <w:rPr>
          <w:rFonts w:ascii="仿宋" w:hAnsi="仿宋" w:eastAsia="仿宋"/>
          <w:b w:val="0"/>
          <w:bCs w:val="0"/>
          <w:color w:val="000000" w:themeColor="text1"/>
          <w:sz w:val="28"/>
          <w:szCs w:val="28"/>
        </w:rPr>
        <w:t>住房保障支出</w:t>
      </w:r>
      <w:r>
        <w:rPr>
          <w:rStyle w:val="14"/>
          <w:rFonts w:hint="eastAsia" w:ascii="仿宋" w:hAnsi="仿宋" w:eastAsia="仿宋"/>
          <w:b w:val="0"/>
          <w:bCs w:val="0"/>
          <w:color w:val="000000" w:themeColor="text1"/>
          <w:sz w:val="28"/>
          <w:szCs w:val="28"/>
        </w:rPr>
        <w:t>（类）住房改革支出（款）住房公积金（项）</w:t>
      </w:r>
      <w:r>
        <w:rPr>
          <w:rStyle w:val="14"/>
          <w:rFonts w:ascii="仿宋" w:hAnsi="仿宋" w:eastAsia="仿宋"/>
          <w:b w:val="0"/>
          <w:bCs w:val="0"/>
          <w:color w:val="000000" w:themeColor="text1"/>
          <w:sz w:val="28"/>
          <w:szCs w:val="28"/>
        </w:rPr>
        <w:t>:</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支出决算为1.13万元，完成预算100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。决算数大于预算数的主要原因是完成上年基本支出结转经费。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（数据来源财决</w:t>
      </w:r>
      <w:r>
        <w:rPr>
          <w:rFonts w:ascii="仿宋" w:hAnsi="仿宋" w:eastAsia="仿宋"/>
          <w:b w:val="0"/>
          <w:bCs w:val="0"/>
          <w:color w:val="000000" w:themeColor="text1"/>
          <w:sz w:val="28"/>
          <w:szCs w:val="28"/>
        </w:rPr>
        <w:t>08</w:t>
      </w:r>
      <w:r>
        <w:rPr>
          <w:rFonts w:hint="eastAsia" w:ascii="仿宋" w:hAnsi="仿宋" w:eastAsia="仿宋"/>
          <w:b w:val="0"/>
          <w:bCs w:val="0"/>
          <w:color w:val="000000" w:themeColor="text1"/>
          <w:sz w:val="28"/>
          <w:szCs w:val="28"/>
        </w:rPr>
        <w:t>表，罗列全部功能分类科目至项级。上述“预算”口径为调整预算数。增减变动原因为决算数</w:t>
      </w:r>
      <w:r>
        <w:rPr>
          <w:rFonts w:ascii="仿宋" w:hAnsi="仿宋" w:eastAsia="仿宋"/>
          <w:b w:val="0"/>
          <w:bCs w:val="0"/>
          <w:color w:val="000000" w:themeColor="text1"/>
          <w:sz w:val="28"/>
          <w:szCs w:val="28"/>
        </w:rPr>
        <w:t>&lt;</w:t>
      </w:r>
      <w:r>
        <w:rPr>
          <w:rFonts w:hint="eastAsia" w:ascii="仿宋" w:hAnsi="仿宋" w:eastAsia="仿宋"/>
          <w:b w:val="0"/>
          <w:bCs w:val="0"/>
          <w:color w:val="000000" w:themeColor="text1"/>
          <w:sz w:val="28"/>
          <w:szCs w:val="28"/>
        </w:rPr>
        <w:t>项级</w:t>
      </w:r>
      <w:r>
        <w:rPr>
          <w:rFonts w:ascii="仿宋" w:hAnsi="仿宋" w:eastAsia="仿宋"/>
          <w:b w:val="0"/>
          <w:bCs w:val="0"/>
          <w:color w:val="000000" w:themeColor="text1"/>
          <w:sz w:val="28"/>
          <w:szCs w:val="28"/>
        </w:rPr>
        <w:t>&gt;</w:t>
      </w:r>
      <w:r>
        <w:rPr>
          <w:rFonts w:hint="eastAsia" w:ascii="仿宋" w:hAnsi="仿宋" w:eastAsia="仿宋"/>
          <w:b w:val="0"/>
          <w:bCs w:val="0"/>
          <w:color w:val="000000" w:themeColor="text1"/>
          <w:sz w:val="28"/>
          <w:szCs w:val="28"/>
        </w:rPr>
        <w:t>和调整预算数</w:t>
      </w:r>
      <w:r>
        <w:rPr>
          <w:rFonts w:ascii="仿宋" w:hAnsi="仿宋" w:eastAsia="仿宋"/>
          <w:b w:val="0"/>
          <w:bCs w:val="0"/>
          <w:color w:val="000000" w:themeColor="text1"/>
          <w:sz w:val="28"/>
          <w:szCs w:val="28"/>
        </w:rPr>
        <w:t>&lt;</w:t>
      </w:r>
      <w:r>
        <w:rPr>
          <w:rFonts w:hint="eastAsia" w:ascii="仿宋" w:hAnsi="仿宋" w:eastAsia="仿宋"/>
          <w:b w:val="0"/>
          <w:bCs w:val="0"/>
          <w:color w:val="000000" w:themeColor="text1"/>
          <w:sz w:val="28"/>
          <w:szCs w:val="28"/>
        </w:rPr>
        <w:t>项级</w:t>
      </w:r>
      <w:r>
        <w:rPr>
          <w:rFonts w:ascii="仿宋" w:hAnsi="仿宋" w:eastAsia="仿宋"/>
          <w:b w:val="0"/>
          <w:bCs w:val="0"/>
          <w:color w:val="000000" w:themeColor="text1"/>
          <w:sz w:val="28"/>
          <w:szCs w:val="28"/>
        </w:rPr>
        <w:t>&gt;</w:t>
      </w:r>
      <w:r>
        <w:rPr>
          <w:rFonts w:hint="eastAsia" w:ascii="仿宋" w:hAnsi="仿宋" w:eastAsia="仿宋"/>
          <w:b w:val="0"/>
          <w:bCs w:val="0"/>
          <w:color w:val="000000" w:themeColor="text1"/>
          <w:sz w:val="28"/>
          <w:szCs w:val="28"/>
        </w:rPr>
        <w:t>比较，与预算数持平可以不写原因。）</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（图7：一般公共预算财政拨款支出完成比例情况图）</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Style w:val="25"/>
          <w:b w:val="0"/>
          <w:bCs w:val="0"/>
          <w:color w:val="000000" w:themeColor="text1"/>
          <w:sz w:val="28"/>
          <w:szCs w:val="28"/>
        </w:rPr>
      </w:pPr>
      <w:r>
        <w:rPr>
          <w:rFonts w:ascii="仿宋" w:hAnsi="仿宋" w:eastAsia="仿宋"/>
          <w:b w:val="0"/>
          <w:bCs w:val="0"/>
          <w:color w:val="000000" w:themeColor="text1"/>
          <w:sz w:val="28"/>
          <w:szCs w:val="28"/>
        </w:rPr>
        <w:drawing>
          <wp:anchor distT="0" distB="0" distL="114300" distR="114300" simplePos="0" relativeHeight="251666432" behindDoc="0" locked="0" layoutInCell="1" allowOverlap="1">
            <wp:simplePos x="0" y="0"/>
            <wp:positionH relativeFrom="column">
              <wp:posOffset>-368300</wp:posOffset>
            </wp:positionH>
            <wp:positionV relativeFrom="paragraph">
              <wp:posOffset>127000</wp:posOffset>
            </wp:positionV>
            <wp:extent cx="6179185" cy="3760470"/>
            <wp:effectExtent l="4445" t="4445" r="7620" b="698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43" w:name="_Toc15377214"/>
      <w:r>
        <w:rPr>
          <w:rFonts w:hint="eastAsia" w:ascii="黑体" w:eastAsia="黑体"/>
          <w:b w:val="0"/>
          <w:bCs w:val="0"/>
          <w:color w:val="000000" w:themeColor="text1"/>
          <w:sz w:val="28"/>
          <w:szCs w:val="28"/>
        </w:rPr>
        <w:t>六</w:t>
      </w:r>
      <w:r>
        <w:rPr>
          <w:rFonts w:hint="eastAsia" w:ascii="黑体" w:eastAsia="黑体"/>
          <w:b w:val="0"/>
          <w:bCs w:val="0"/>
          <w:color w:val="000000" w:themeColor="text1"/>
          <w:sz w:val="28"/>
          <w:szCs w:val="28"/>
        </w:rPr>
        <w:t>、</w:t>
      </w:r>
      <w:r>
        <w:rPr>
          <w:rFonts w:hint="eastAsia" w:ascii="黑体" w:hAnsi="黑体" w:eastAsia="黑体"/>
          <w:b w:val="0"/>
          <w:bCs w:val="0"/>
          <w:color w:val="000000" w:themeColor="text1"/>
          <w:sz w:val="28"/>
          <w:szCs w:val="28"/>
        </w:rPr>
        <w:t>一</w:t>
      </w:r>
      <w:r>
        <w:rPr>
          <w:rStyle w:val="25"/>
          <w:rFonts w:hint="eastAsia" w:ascii="黑体" w:hAnsi="黑体" w:eastAsia="黑体"/>
          <w:b w:val="0"/>
          <w:bCs w:val="0"/>
          <w:color w:val="000000" w:themeColor="text1"/>
          <w:sz w:val="28"/>
          <w:szCs w:val="28"/>
        </w:rPr>
        <w:t>般公共预算财政拨款基本支出决算情况说明</w:t>
      </w:r>
      <w:bookmarkEnd w:id="43"/>
      <w:r>
        <w:rPr>
          <w:rStyle w:val="25"/>
          <w:rFonts w:ascii="黑体" w:hAnsi="黑体" w:eastAsia="黑体"/>
          <w:b w:val="0"/>
          <w:bCs w:val="0"/>
          <w:color w:val="000000" w:themeColor="text1"/>
          <w:sz w:val="28"/>
          <w:szCs w:val="28"/>
        </w:rPr>
        <w:tab/>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rPr>
          <w:rFonts w:ascii="仿宋" w:hAnsi="仿宋" w:eastAsia="仿宋"/>
          <w:b w:val="0"/>
          <w:bCs w:val="0"/>
          <w:color w:val="000000" w:themeColor="text1"/>
          <w:sz w:val="28"/>
          <w:szCs w:val="28"/>
        </w:rPr>
      </w:pPr>
      <w:r>
        <w:rPr>
          <w:rFonts w:ascii="仿宋" w:hAnsi="仿宋" w:eastAsia="仿宋"/>
          <w:b w:val="0"/>
          <w:bCs w:val="0"/>
          <w:color w:val="000000" w:themeColor="text1"/>
          <w:sz w:val="28"/>
          <w:szCs w:val="28"/>
        </w:rPr>
        <w:t>201</w:t>
      </w:r>
      <w:r>
        <w:rPr>
          <w:rFonts w:hint="eastAsia" w:ascii="仿宋" w:hAnsi="仿宋" w:eastAsia="仿宋"/>
          <w:b w:val="0"/>
          <w:bCs w:val="0"/>
          <w:color w:val="000000" w:themeColor="text1"/>
          <w:sz w:val="28"/>
          <w:szCs w:val="28"/>
        </w:rPr>
        <w:t>9年一般公共预算财政拨款基本支出751.50万元，其中：</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人员经费694.95万元，主要包括：基本工资235.80万元、津贴补贴40.25万元、奖金0.00万元、伙食补助费0.00万元、绩效工资99.30万元、机关事业单位基本养老保险缴费73.54万元、职业年金缴费20.37万元、职工基本医疗保险缴费42.20万元、其他社会保障缴费5.67万元、住房公积金38.59万元、其他工资福利支出109.60万元、离休费0.00万元、退休费0.00万元、抚恤金5.64万元、生活补助23.89万元、助学金0.00万元、奖励金0.10万元等。</w:t>
      </w:r>
      <w:r>
        <w:rPr>
          <w:rFonts w:ascii="仿宋" w:hAnsi="仿宋" w:eastAsia="仿宋"/>
          <w:b w:val="0"/>
          <w:bCs w:val="0"/>
          <w:color w:val="000000" w:themeColor="text1"/>
          <w:sz w:val="28"/>
          <w:szCs w:val="28"/>
        </w:rPr>
        <w:br w:type="textWrapping"/>
      </w:r>
      <w:r>
        <w:rPr>
          <w:rFonts w:hint="eastAsia" w:ascii="仿宋" w:hAnsi="仿宋" w:eastAsia="仿宋"/>
          <w:b w:val="0"/>
          <w:bCs w:val="0"/>
          <w:color w:val="000000" w:themeColor="text1"/>
          <w:sz w:val="28"/>
          <w:szCs w:val="28"/>
        </w:rPr>
        <w:t>　　公用经费56.55万元，主要包括：办公费9.18万元、印刷费0.00万元、咨询费0.00万元、手续费0.20万元、水费3.64万元、电费2.79万元、邮电费2.14万元、物业管理费0.00万元、差旅费3.18万元、因公出国（境）费用0.00万元、维修（护）费12.33万元、租赁费0.00万元、会议费0.00万元、培训费2.69万元、公务接待费0.00万元、专用材料费0.00万元、劳务费8.10万元、委托业务费0.00万元、工会经费3.01万元、福利费8.78万元、公务用车运行维护费0.00万元、其他交通费0.00万元、税金及附加费用0.00万元、其他商品和服务支出0.00万元、办公设备购置0.00万元、专用设备购置0.00万元、信息网络及软件购置更新0.00万元、其他资本性支出等。</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（数据来源财决</w:t>
      </w:r>
      <w:r>
        <w:rPr>
          <w:rFonts w:ascii="仿宋" w:hAnsi="仿宋" w:eastAsia="仿宋"/>
          <w:b w:val="0"/>
          <w:bCs w:val="0"/>
          <w:color w:val="000000" w:themeColor="text1"/>
          <w:sz w:val="28"/>
          <w:szCs w:val="28"/>
        </w:rPr>
        <w:t>0</w:t>
      </w:r>
      <w:r>
        <w:rPr>
          <w:rFonts w:hint="eastAsia" w:ascii="仿宋" w:hAnsi="仿宋" w:eastAsia="仿宋"/>
          <w:b w:val="0"/>
          <w:bCs w:val="0"/>
          <w:color w:val="000000" w:themeColor="text1"/>
          <w:sz w:val="28"/>
          <w:szCs w:val="28"/>
        </w:rPr>
        <w:t>7表，根据本部门实际支出情况罗列全部经济分类科目。）</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outlineLvl w:val="1"/>
        <w:rPr>
          <w:rStyle w:val="25"/>
          <w:rFonts w:ascii="黑体" w:hAnsi="黑体" w:eastAsia="黑体"/>
          <w:b w:val="0"/>
          <w:bCs w:val="0"/>
          <w:color w:val="000000" w:themeColor="text1"/>
          <w:sz w:val="28"/>
          <w:szCs w:val="28"/>
        </w:rPr>
      </w:pPr>
      <w:bookmarkStart w:id="44" w:name="_Toc19089870"/>
      <w:bookmarkStart w:id="45" w:name="_Toc15377215"/>
      <w:r>
        <w:rPr>
          <w:rFonts w:hint="eastAsia" w:ascii="黑体" w:eastAsia="黑体"/>
          <w:b w:val="0"/>
          <w:bCs w:val="0"/>
          <w:color w:val="000000" w:themeColor="text1"/>
          <w:sz w:val="28"/>
          <w:szCs w:val="28"/>
        </w:rPr>
        <w:t>七、</w:t>
      </w:r>
      <w:r>
        <w:rPr>
          <w:rStyle w:val="25"/>
          <w:rFonts w:hint="eastAsia" w:ascii="黑体" w:hAnsi="黑体" w:eastAsia="黑体"/>
          <w:b w:val="0"/>
          <w:bCs w:val="0"/>
          <w:color w:val="000000" w:themeColor="text1"/>
          <w:sz w:val="28"/>
          <w:szCs w:val="28"/>
        </w:rPr>
        <w:t>“</w:t>
      </w:r>
      <w:r>
        <w:rPr>
          <w:rStyle w:val="25"/>
          <w:rFonts w:hint="eastAsia" w:ascii="黑体" w:hAnsi="黑体" w:eastAsia="黑体"/>
          <w:b w:val="0"/>
          <w:bCs w:val="0"/>
          <w:color w:val="000000" w:themeColor="text1"/>
          <w:sz w:val="28"/>
          <w:szCs w:val="28"/>
        </w:rPr>
        <w:t>三公”经费财政拨款支出决算情况说明</w:t>
      </w:r>
      <w:bookmarkEnd w:id="44"/>
      <w:bookmarkEnd w:id="45"/>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2"/>
        <w:rPr>
          <w:rFonts w:hint="eastAsia" w:ascii="楷体" w:hAnsi="楷体" w:eastAsia="楷体" w:cs="楷体"/>
          <w:b w:val="0"/>
          <w:bCs w:val="0"/>
          <w:color w:val="000000" w:themeColor="text1"/>
          <w:sz w:val="28"/>
          <w:szCs w:val="28"/>
        </w:rPr>
      </w:pPr>
      <w:bookmarkStart w:id="46" w:name="_Toc15377216"/>
      <w:r>
        <w:rPr>
          <w:rFonts w:hint="eastAsia" w:ascii="楷体" w:hAnsi="楷体" w:eastAsia="楷体" w:cs="楷体"/>
          <w:b w:val="0"/>
          <w:bCs w:val="0"/>
          <w:color w:val="000000" w:themeColor="text1"/>
          <w:sz w:val="28"/>
          <w:szCs w:val="28"/>
        </w:rPr>
        <w:t>（一）“三公”经费财政拨款支出决算总体情况说明</w:t>
      </w:r>
      <w:bookmarkEnd w:id="46"/>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 w:hAnsi="仿宋" w:eastAsia="仿宋"/>
          <w:b w:val="0"/>
          <w:bCs w:val="0"/>
          <w:color w:val="000000" w:themeColor="text1"/>
          <w:sz w:val="28"/>
          <w:szCs w:val="28"/>
        </w:rPr>
      </w:pPr>
      <w:r>
        <w:rPr>
          <w:rFonts w:ascii="仿宋" w:hAnsi="仿宋" w:eastAsia="仿宋"/>
          <w:b w:val="0"/>
          <w:bCs w:val="0"/>
          <w:color w:val="000000" w:themeColor="text1"/>
          <w:sz w:val="28"/>
          <w:szCs w:val="28"/>
        </w:rPr>
        <w:t>201</w:t>
      </w:r>
      <w:r>
        <w:rPr>
          <w:rFonts w:hint="eastAsia" w:ascii="仿宋" w:hAnsi="仿宋" w:eastAsia="仿宋"/>
          <w:b w:val="0"/>
          <w:bCs w:val="0"/>
          <w:color w:val="000000" w:themeColor="text1"/>
          <w:sz w:val="28"/>
          <w:szCs w:val="28"/>
        </w:rPr>
        <w:t>9年“三公”经费财政拨款支出决算为</w:t>
      </w:r>
      <w:r>
        <w:rPr>
          <w:rFonts w:hint="eastAsia" w:ascii="仿宋_GB2312" w:hAnsi="仿宋_GB2312" w:eastAsia="仿宋_GB2312" w:cs="仿宋_GB2312"/>
          <w:b w:val="0"/>
          <w:bCs w:val="0"/>
          <w:color w:val="000000" w:themeColor="text1"/>
          <w:sz w:val="28"/>
          <w:szCs w:val="28"/>
        </w:rPr>
        <w:t>0.00万元</w:t>
      </w:r>
      <w:r>
        <w:rPr>
          <w:rFonts w:hint="eastAsia" w:ascii="仿宋" w:hAnsi="仿宋" w:eastAsia="仿宋"/>
          <w:b w:val="0"/>
          <w:bCs w:val="0"/>
          <w:color w:val="000000" w:themeColor="text1"/>
          <w:sz w:val="28"/>
          <w:szCs w:val="28"/>
        </w:rPr>
        <w:t>，完成预算</w:t>
      </w:r>
      <w:r>
        <w:rPr>
          <w:rFonts w:hint="eastAsia" w:ascii="仿宋_GB2312" w:hAnsi="仿宋_GB2312" w:eastAsia="仿宋_GB2312" w:cs="仿宋_GB2312"/>
          <w:b w:val="0"/>
          <w:bCs w:val="0"/>
          <w:color w:val="000000" w:themeColor="text1"/>
          <w:sz w:val="28"/>
          <w:szCs w:val="28"/>
        </w:rPr>
        <w:t>0.00%</w:t>
      </w:r>
      <w:r>
        <w:rPr>
          <w:rFonts w:hint="eastAsia" w:ascii="仿宋" w:hAnsi="仿宋" w:eastAsia="仿宋"/>
          <w:b w:val="0"/>
          <w:bCs w:val="0"/>
          <w:color w:val="000000" w:themeColor="text1"/>
          <w:sz w:val="28"/>
          <w:szCs w:val="28"/>
        </w:rPr>
        <w:t>，决算数与预算数持平的主要原因是合理安排预算,严格控制因公出国、出境事项和公务接待事项。</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2"/>
        <w:rPr>
          <w:rFonts w:hint="eastAsia" w:ascii="楷体" w:hAnsi="楷体" w:eastAsia="楷体" w:cs="楷体"/>
          <w:b w:val="0"/>
          <w:bCs w:val="0"/>
          <w:color w:val="000000" w:themeColor="text1"/>
          <w:sz w:val="28"/>
          <w:szCs w:val="28"/>
        </w:rPr>
      </w:pPr>
      <w:bookmarkStart w:id="47" w:name="_Toc15377217"/>
      <w:r>
        <w:rPr>
          <w:rFonts w:hint="eastAsia" w:ascii="楷体" w:hAnsi="楷体" w:eastAsia="楷体" w:cs="楷体"/>
          <w:b w:val="0"/>
          <w:bCs w:val="0"/>
          <w:color w:val="000000" w:themeColor="text1"/>
          <w:sz w:val="28"/>
          <w:szCs w:val="28"/>
        </w:rPr>
        <w:t>（二）“三公”经费财政拨款支出决算具体情况说明</w:t>
      </w:r>
      <w:bookmarkEnd w:id="47"/>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_GB2312" w:eastAsia="仿宋_GB2312"/>
          <w:b w:val="0"/>
          <w:bCs w:val="0"/>
          <w:color w:val="000000" w:themeColor="text1"/>
          <w:sz w:val="28"/>
          <w:szCs w:val="28"/>
        </w:rPr>
      </w:pPr>
      <w:r>
        <w:rPr>
          <w:rFonts w:ascii="仿宋" w:hAnsi="仿宋" w:eastAsia="仿宋"/>
          <w:b w:val="0"/>
          <w:bCs w:val="0"/>
          <w:color w:val="000000" w:themeColor="text1"/>
          <w:sz w:val="28"/>
          <w:szCs w:val="28"/>
        </w:rPr>
        <w:t>201</w:t>
      </w:r>
      <w:r>
        <w:rPr>
          <w:rFonts w:hint="eastAsia" w:ascii="仿宋" w:hAnsi="仿宋" w:eastAsia="仿宋"/>
          <w:b w:val="0"/>
          <w:bCs w:val="0"/>
          <w:color w:val="000000" w:themeColor="text1"/>
          <w:sz w:val="28"/>
          <w:szCs w:val="28"/>
        </w:rPr>
        <w:t>9年无“三公”经费财政拨款支出</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outlineLvl w:val="1"/>
        <w:rPr>
          <w:rStyle w:val="25"/>
          <w:rFonts w:ascii="黑体" w:hAnsi="黑体" w:eastAsia="黑体"/>
          <w:b w:val="0"/>
          <w:bCs w:val="0"/>
          <w:color w:val="000000" w:themeColor="text1"/>
          <w:sz w:val="28"/>
          <w:szCs w:val="28"/>
        </w:rPr>
      </w:pPr>
      <w:bookmarkStart w:id="48" w:name="_Toc15377218"/>
      <w:bookmarkStart w:id="49" w:name="_Toc19089871"/>
      <w:r>
        <w:rPr>
          <w:rFonts w:hint="eastAsia" w:ascii="黑体" w:eastAsia="黑体"/>
          <w:b w:val="0"/>
          <w:bCs w:val="0"/>
          <w:color w:val="000000" w:themeColor="text1"/>
          <w:sz w:val="28"/>
          <w:szCs w:val="28"/>
        </w:rPr>
        <w:t>八、</w:t>
      </w:r>
      <w:r>
        <w:rPr>
          <w:rStyle w:val="25"/>
          <w:rFonts w:hint="eastAsia" w:ascii="黑体" w:hAnsi="黑体" w:eastAsia="黑体"/>
          <w:b w:val="0"/>
          <w:bCs w:val="0"/>
          <w:color w:val="000000" w:themeColor="text1"/>
          <w:sz w:val="28"/>
          <w:szCs w:val="28"/>
        </w:rPr>
        <w:t>政府性基金预算支出决算情况说明</w:t>
      </w:r>
      <w:bookmarkEnd w:id="48"/>
      <w:bookmarkEnd w:id="49"/>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_GB2312" w:eastAsia="仿宋_GB2312"/>
          <w:b w:val="0"/>
          <w:bCs w:val="0"/>
          <w:color w:val="000000" w:themeColor="text1"/>
          <w:sz w:val="28"/>
          <w:szCs w:val="28"/>
        </w:rPr>
      </w:pPr>
      <w:r>
        <w:rPr>
          <w:rFonts w:ascii="仿宋_GB2312" w:eastAsia="仿宋_GB2312"/>
          <w:b w:val="0"/>
          <w:bCs w:val="0"/>
          <w:color w:val="000000" w:themeColor="text1"/>
          <w:sz w:val="28"/>
          <w:szCs w:val="28"/>
        </w:rPr>
        <w:t>201</w:t>
      </w:r>
      <w:r>
        <w:rPr>
          <w:rFonts w:hint="eastAsia" w:ascii="仿宋_GB2312" w:eastAsia="仿宋_GB2312"/>
          <w:b w:val="0"/>
          <w:bCs w:val="0"/>
          <w:color w:val="000000" w:themeColor="text1"/>
          <w:sz w:val="28"/>
          <w:szCs w:val="28"/>
        </w:rPr>
        <w:t>9年无政府性基金预算拨款支出。</w:t>
      </w:r>
    </w:p>
    <w:p>
      <w:pPr>
        <w:keepNext w:val="0"/>
        <w:keepLines w:val="0"/>
        <w:pageBreakBefore w:val="0"/>
        <w:widowControl w:val="0"/>
        <w:numPr>
          <w:ilvl w:val="0"/>
          <w:numId w:val="2"/>
        </w:numPr>
        <w:kinsoku/>
        <w:wordWrap/>
        <w:overflowPunct/>
        <w:topLinePunct w:val="0"/>
        <w:bidi w:val="0"/>
        <w:snapToGrid/>
        <w:spacing w:line="520" w:lineRule="exact"/>
        <w:ind w:left="0" w:firstLine="560" w:firstLineChars="200"/>
        <w:jc w:val="both"/>
        <w:textAlignment w:val="auto"/>
        <w:outlineLvl w:val="1"/>
        <w:rPr>
          <w:rStyle w:val="25"/>
          <w:rFonts w:ascii="黑体" w:hAnsi="黑体" w:eastAsia="黑体"/>
          <w:b w:val="0"/>
          <w:bCs w:val="0"/>
          <w:color w:val="000000" w:themeColor="text1"/>
          <w:sz w:val="28"/>
          <w:szCs w:val="28"/>
        </w:rPr>
      </w:pPr>
      <w:bookmarkStart w:id="50" w:name="_Toc15377219"/>
      <w:bookmarkStart w:id="51" w:name="_Toc19089872"/>
      <w:r>
        <w:rPr>
          <w:rStyle w:val="25"/>
          <w:rFonts w:hint="eastAsia" w:ascii="黑体" w:hAnsi="黑体" w:eastAsia="黑体"/>
          <w:b w:val="0"/>
          <w:bCs w:val="0"/>
          <w:color w:val="000000" w:themeColor="text1"/>
          <w:sz w:val="28"/>
          <w:szCs w:val="28"/>
        </w:rPr>
        <w:t>国有资本经营预算支出决算情况说明</w:t>
      </w:r>
      <w:bookmarkEnd w:id="50"/>
      <w:bookmarkEnd w:id="51"/>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_GB2312" w:eastAsia="仿宋_GB2312"/>
          <w:b w:val="0"/>
          <w:bCs w:val="0"/>
          <w:color w:val="000000" w:themeColor="text1"/>
          <w:sz w:val="28"/>
          <w:szCs w:val="28"/>
        </w:rPr>
      </w:pPr>
      <w:r>
        <w:rPr>
          <w:rFonts w:ascii="仿宋_GB2312" w:eastAsia="仿宋_GB2312"/>
          <w:b w:val="0"/>
          <w:bCs w:val="0"/>
          <w:color w:val="000000" w:themeColor="text1"/>
          <w:sz w:val="28"/>
          <w:szCs w:val="28"/>
        </w:rPr>
        <w:t>201</w:t>
      </w:r>
      <w:r>
        <w:rPr>
          <w:rFonts w:hint="eastAsia" w:ascii="仿宋_GB2312" w:eastAsia="仿宋_GB2312"/>
          <w:b w:val="0"/>
          <w:bCs w:val="0"/>
          <w:color w:val="000000" w:themeColor="text1"/>
          <w:sz w:val="28"/>
          <w:szCs w:val="28"/>
        </w:rPr>
        <w:t>9年无国有资本经营预算拨款支出。</w:t>
      </w:r>
    </w:p>
    <w:p>
      <w:pPr>
        <w:pStyle w:val="23"/>
        <w:keepNext w:val="0"/>
        <w:keepLines w:val="0"/>
        <w:pageBreakBefore w:val="0"/>
        <w:widowControl w:val="0"/>
        <w:numPr>
          <w:ilvl w:val="0"/>
          <w:numId w:val="3"/>
        </w:numPr>
        <w:kinsoku/>
        <w:wordWrap/>
        <w:overflowPunct/>
        <w:topLinePunct w:val="0"/>
        <w:bidi w:val="0"/>
        <w:snapToGrid/>
        <w:spacing w:line="520" w:lineRule="exact"/>
        <w:ind w:left="0" w:firstLine="560" w:firstLineChars="200"/>
        <w:jc w:val="both"/>
        <w:textAlignment w:val="auto"/>
        <w:rPr>
          <w:rStyle w:val="25"/>
          <w:rFonts w:ascii="黑体" w:hAnsi="黑体" w:eastAsia="黑体"/>
          <w:b w:val="0"/>
          <w:bCs w:val="0"/>
          <w:color w:val="000000" w:themeColor="text1"/>
          <w:sz w:val="28"/>
          <w:szCs w:val="28"/>
        </w:rPr>
      </w:pPr>
      <w:bookmarkStart w:id="52" w:name="_Toc19089873"/>
      <w:r>
        <w:rPr>
          <w:rStyle w:val="25"/>
          <w:rFonts w:hint="eastAsia" w:ascii="黑体" w:hAnsi="黑体" w:eastAsia="黑体"/>
          <w:b w:val="0"/>
          <w:bCs w:val="0"/>
          <w:color w:val="000000" w:themeColor="text1"/>
          <w:sz w:val="28"/>
          <w:szCs w:val="28"/>
        </w:rPr>
        <w:t>预算绩效情况说明</w:t>
      </w:r>
      <w:bookmarkEnd w:id="52"/>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2"/>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lang w:eastAsia="zh-CN"/>
        </w:rPr>
        <w:t>（一）</w:t>
      </w:r>
      <w:r>
        <w:rPr>
          <w:rFonts w:hint="eastAsia" w:ascii="楷体" w:hAnsi="楷体" w:eastAsia="楷体" w:cs="楷体"/>
          <w:b w:val="0"/>
          <w:bCs w:val="0"/>
          <w:color w:val="000000" w:themeColor="text1"/>
          <w:sz w:val="28"/>
          <w:szCs w:val="28"/>
        </w:rPr>
        <w:t>预算绩效管理工作开展情况</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根据预算绩效管理要求，本单位在年初预算编制阶段，组织对建档立卡贫困学生资助、学生营养改善计划等项目开展了预算事前绩效评估，编制了绩效目标，预算执行过程中，开展绩效监控，年终执行完毕后，开展了绩效目标完成情况梳理填报。</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本单位按要求对2019年部门整体支出开展绩效自评，从评价情况来看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华文仿宋" w:hAnsi="华文仿宋" w:eastAsia="华文仿宋"/>
          <w:b w:val="0"/>
          <w:bCs w:val="0"/>
          <w:color w:val="000000" w:themeColor="text1"/>
          <w:sz w:val="28"/>
          <w:szCs w:val="28"/>
        </w:rPr>
      </w:pPr>
      <w:r>
        <w:rPr>
          <w:rFonts w:hint="eastAsia" w:ascii="仿宋_GB2312" w:eastAsia="仿宋_GB2312"/>
          <w:b w:val="0"/>
          <w:bCs w:val="0"/>
          <w:color w:val="000000" w:themeColor="text1"/>
          <w:sz w:val="28"/>
          <w:szCs w:val="28"/>
        </w:rPr>
        <w:t>存在的问题：</w:t>
      </w:r>
      <w:r>
        <w:rPr>
          <w:rFonts w:hint="eastAsia" w:ascii="仿宋_GB2312" w:hAnsi="宋体" w:eastAsia="仿宋_GB2312" w:cs="仿宋_GB2312"/>
          <w:b w:val="0"/>
          <w:bCs w:val="0"/>
          <w:color w:val="000000" w:themeColor="text1"/>
          <w:sz w:val="28"/>
          <w:szCs w:val="28"/>
        </w:rPr>
        <w:t>一是绩效评价管理工作制度建设有待进一步加强，绩效管理缺乏系统性；二是缺乏绩效评价专业人才，系统现有评价工作人员的知识体系和业务技能还需进一步提高，以适应绩效评价工作相关要求。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华文仿宋" w:hAnsi="华文仿宋" w:eastAsia="华文仿宋"/>
          <w:b w:val="0"/>
          <w:bCs w:val="0"/>
          <w:color w:val="000000" w:themeColor="text1"/>
          <w:sz w:val="28"/>
          <w:szCs w:val="28"/>
        </w:rPr>
      </w:pPr>
      <w:r>
        <w:rPr>
          <w:rFonts w:hint="eastAsia" w:ascii="仿宋_GB2312" w:eastAsia="仿宋_GB2312"/>
          <w:b w:val="0"/>
          <w:bCs w:val="0"/>
          <w:color w:val="000000" w:themeColor="text1"/>
          <w:sz w:val="28"/>
          <w:szCs w:val="28"/>
        </w:rPr>
        <w:t>下一步改进措施：一是</w:t>
      </w:r>
      <w:r>
        <w:rPr>
          <w:rFonts w:hint="eastAsia" w:ascii="仿宋_GB2312" w:hAnsi="宋体" w:eastAsia="仿宋_GB2312" w:cs="仿宋_GB2312"/>
          <w:b w:val="0"/>
          <w:bCs w:val="0"/>
          <w:color w:val="000000" w:themeColor="text1"/>
          <w:sz w:val="28"/>
          <w:szCs w:val="28"/>
        </w:rPr>
        <w:t>进一步加强绩效评价管理制度建设；二是建立有效的绩效管理体系；三是强化绩效管理数据分析，强化绩效管理数据运用；四是强化绩效评价专业技能的培训；五是探索与预算编制相结合的财政绩效管理，将绩效评价逐步从事后评价延伸至事前、事中评价。</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2"/>
        <w:rPr>
          <w:rFonts w:ascii="仿宋_GB2312" w:hAnsi="仿宋_GB2312" w:eastAsia="仿宋_GB2312" w:cs="仿宋_GB2312"/>
          <w:b w:val="0"/>
          <w:bCs w:val="0"/>
          <w:color w:val="000000" w:themeColor="text1"/>
          <w:sz w:val="28"/>
          <w:szCs w:val="28"/>
        </w:rPr>
      </w:pPr>
      <w:r>
        <w:rPr>
          <w:rFonts w:hint="eastAsia" w:ascii="楷体" w:hAnsi="楷体" w:eastAsia="楷体" w:cs="楷体"/>
          <w:b w:val="0"/>
          <w:bCs w:val="0"/>
          <w:color w:val="000000" w:themeColor="text1"/>
          <w:sz w:val="28"/>
          <w:szCs w:val="28"/>
          <w:lang w:eastAsia="zh-CN"/>
        </w:rPr>
        <w:t>（二）</w:t>
      </w:r>
      <w:r>
        <w:rPr>
          <w:rFonts w:hint="eastAsia" w:ascii="楷体" w:hAnsi="楷体" w:eastAsia="楷体" w:cs="楷体"/>
          <w:b w:val="0"/>
          <w:bCs w:val="0"/>
          <w:color w:val="000000" w:themeColor="text1"/>
          <w:sz w:val="28"/>
          <w:szCs w:val="28"/>
        </w:rPr>
        <w:t>项目绩效目标完成情况</w:t>
      </w:r>
      <w:r>
        <w:rPr>
          <w:rFonts w:hint="eastAsia" w:ascii="楷体" w:hAnsi="楷体" w:eastAsia="楷体" w:cs="楷体"/>
          <w:b w:val="0"/>
          <w:bCs w:val="0"/>
          <w:color w:val="000000" w:themeColor="text1"/>
          <w:sz w:val="28"/>
          <w:szCs w:val="28"/>
        </w:rPr>
        <w:br w:type="textWrapping"/>
      </w:r>
      <w:r>
        <w:rPr>
          <w:rFonts w:hint="eastAsia" w:ascii="仿宋_GB2312" w:hAnsi="仿宋_GB2312" w:eastAsia="仿宋_GB2312" w:cs="仿宋_GB2312"/>
          <w:b w:val="0"/>
          <w:bCs w:val="0"/>
          <w:color w:val="000000" w:themeColor="text1"/>
          <w:sz w:val="28"/>
          <w:szCs w:val="28"/>
        </w:rPr>
        <w:t xml:space="preserve">    本单位在2019年度部门决算中反映绩效目标实际完成情况。</w:t>
      </w:r>
    </w:p>
    <w:p>
      <w:pPr>
        <w:keepNext w:val="0"/>
        <w:keepLines w:val="0"/>
        <w:pageBreakBefore w:val="0"/>
        <w:widowControl w:val="0"/>
        <w:tabs>
          <w:tab w:val="left" w:pos="312"/>
        </w:tabs>
        <w:kinsoku/>
        <w:wordWrap/>
        <w:overflowPunct/>
        <w:topLinePunct w:val="0"/>
        <w:bidi w:val="0"/>
        <w:snapToGrid/>
        <w:spacing w:line="520" w:lineRule="exact"/>
        <w:ind w:left="0" w:firstLine="560" w:firstLineChars="200"/>
        <w:jc w:val="both"/>
        <w:textAlignment w:val="auto"/>
        <w:rPr>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1.建档立卡贫困学生资助和生活费补助项目绩效目标完成情况综述。通过项目实施，贯彻落实了建档立卡贫困户学生生活费补助资助政策，实现了建档立卡贫困学生受助全覆盖，进一步减轻了贫困家庭子女教育的经济负担。发现的主要问题：政策知晓率不够，学生受助账户信息不完整。下一步改进措施：进一步加强政策宣传，力争政策知晓率达到100%。学生受助账户统一使用学生本人社保卡发放。</w:t>
      </w:r>
    </w:p>
    <w:p>
      <w:pPr>
        <w:keepNext w:val="0"/>
        <w:keepLines w:val="0"/>
        <w:pageBreakBefore w:val="0"/>
        <w:widowControl w:val="0"/>
        <w:tabs>
          <w:tab w:val="left" w:pos="312"/>
        </w:tabs>
        <w:kinsoku/>
        <w:wordWrap/>
        <w:overflowPunct/>
        <w:topLinePunct w:val="0"/>
        <w:bidi w:val="0"/>
        <w:snapToGrid/>
        <w:spacing w:line="520" w:lineRule="exact"/>
        <w:ind w:left="0" w:firstLine="560" w:firstLineChars="200"/>
        <w:jc w:val="both"/>
        <w:textAlignment w:val="auto"/>
        <w:rPr>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2.学生营养改善计划项目绩效目标完成情况综述。通过项目实施，规范</w:t>
      </w:r>
      <w:r>
        <w:rPr>
          <w:rFonts w:hint="eastAsia" w:ascii="仿宋_GB2312" w:hAnsi="仿宋_GB2312" w:eastAsia="仿宋_GB2312" w:cs="仿宋_GB2312"/>
          <w:b w:val="0"/>
          <w:bCs w:val="0"/>
          <w:color w:val="000000" w:themeColor="text1"/>
          <w:spacing w:val="-6"/>
          <w:sz w:val="28"/>
          <w:szCs w:val="28"/>
        </w:rPr>
        <w:t>了学校营养改善计划食堂管理、改善了学生营养状况，逐步提高了师生健康水平，确保了学校正常免费供应营养餐，保障了营养改善计划落到实处</w:t>
      </w:r>
      <w:r>
        <w:rPr>
          <w:rFonts w:hint="eastAsia" w:ascii="仿宋_GB2312" w:hAnsi="仿宋_GB2312" w:eastAsia="仿宋_GB2312" w:cs="仿宋_GB2312"/>
          <w:b w:val="0"/>
          <w:bCs w:val="0"/>
          <w:color w:val="000000" w:themeColor="text1"/>
          <w:sz w:val="28"/>
          <w:szCs w:val="28"/>
        </w:rPr>
        <w:t>。</w:t>
      </w:r>
    </w:p>
    <w:p>
      <w:pPr>
        <w:keepNext w:val="0"/>
        <w:keepLines w:val="0"/>
        <w:pageBreakBefore w:val="0"/>
        <w:widowControl w:val="0"/>
        <w:kinsoku/>
        <w:wordWrap/>
        <w:overflowPunct/>
        <w:topLinePunct w:val="0"/>
        <w:bidi w:val="0"/>
        <w:snapToGrid/>
        <w:spacing w:line="600" w:lineRule="exact"/>
        <w:ind w:left="0" w:firstLine="560" w:firstLineChars="200"/>
        <w:jc w:val="both"/>
        <w:textAlignment w:val="auto"/>
        <w:outlineLvl w:val="2"/>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lang w:eastAsia="zh-CN"/>
        </w:rPr>
        <w:t>（三）</w:t>
      </w:r>
      <w:r>
        <w:rPr>
          <w:rFonts w:hint="eastAsia" w:ascii="楷体" w:hAnsi="楷体" w:eastAsia="楷体" w:cs="楷体"/>
          <w:b w:val="0"/>
          <w:bCs w:val="0"/>
          <w:color w:val="000000" w:themeColor="text1"/>
          <w:sz w:val="28"/>
          <w:szCs w:val="28"/>
        </w:rPr>
        <w:t>开展绩效评价结果。</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本单位按要求对2019年部门整体支出绩效评价情况开展自评。</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本单位自行组织对建档立卡贫困学生特别资助项目、学生营养改善计划项目开展了绩效评价。</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outlineLvl w:val="1"/>
        <w:rPr>
          <w:rStyle w:val="25"/>
          <w:rFonts w:ascii="黑体" w:hAnsi="黑体" w:eastAsia="黑体"/>
          <w:b w:val="0"/>
          <w:bCs w:val="0"/>
          <w:color w:val="000000" w:themeColor="text1"/>
          <w:sz w:val="28"/>
          <w:szCs w:val="28"/>
        </w:rPr>
      </w:pPr>
      <w:bookmarkStart w:id="53" w:name="_Toc15377221"/>
      <w:bookmarkStart w:id="54" w:name="_Toc19089874"/>
      <w:r>
        <w:rPr>
          <w:rFonts w:hint="eastAsia" w:ascii="黑体" w:hAnsi="黑体" w:eastAsia="黑体"/>
          <w:b w:val="0"/>
          <w:bCs w:val="0"/>
          <w:color w:val="000000" w:themeColor="text1"/>
          <w:sz w:val="28"/>
          <w:szCs w:val="28"/>
        </w:rPr>
        <w:t>十</w:t>
      </w:r>
      <w:r>
        <w:rPr>
          <w:rStyle w:val="25"/>
          <w:rFonts w:hint="eastAsia" w:ascii="黑体" w:hAnsi="黑体" w:eastAsia="黑体"/>
          <w:b w:val="0"/>
          <w:bCs w:val="0"/>
          <w:color w:val="000000" w:themeColor="text1"/>
          <w:sz w:val="28"/>
          <w:szCs w:val="28"/>
        </w:rPr>
        <w:t>一、</w:t>
      </w:r>
      <w:r>
        <w:rPr>
          <w:rStyle w:val="25"/>
          <w:rFonts w:hint="eastAsia" w:ascii="黑体" w:hAnsi="黑体" w:eastAsia="黑体"/>
          <w:b w:val="0"/>
          <w:bCs w:val="0"/>
          <w:color w:val="000000" w:themeColor="text1"/>
          <w:sz w:val="28"/>
          <w:szCs w:val="28"/>
        </w:rPr>
        <w:t>其他重要事项的情况说明</w:t>
      </w:r>
      <w:bookmarkEnd w:id="53"/>
      <w:bookmarkEnd w:id="54"/>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outlineLvl w:val="2"/>
        <w:rPr>
          <w:rFonts w:hint="eastAsia" w:ascii="楷体" w:hAnsi="楷体" w:eastAsia="楷体" w:cs="楷体"/>
          <w:b w:val="0"/>
          <w:bCs w:val="0"/>
          <w:color w:val="000000" w:themeColor="text1"/>
          <w:sz w:val="28"/>
          <w:szCs w:val="28"/>
        </w:rPr>
      </w:pPr>
      <w:bookmarkStart w:id="55" w:name="_Toc15377222"/>
      <w:r>
        <w:rPr>
          <w:rFonts w:hint="eastAsia" w:ascii="楷体" w:hAnsi="楷体" w:eastAsia="楷体" w:cs="楷体"/>
          <w:b w:val="0"/>
          <w:bCs w:val="0"/>
          <w:color w:val="000000" w:themeColor="text1"/>
          <w:sz w:val="28"/>
          <w:szCs w:val="28"/>
        </w:rPr>
        <w:t>（一）</w:t>
      </w:r>
      <w:bookmarkEnd w:id="55"/>
      <w:bookmarkStart w:id="56" w:name="_Toc15377223"/>
      <w:r>
        <w:rPr>
          <w:rFonts w:hint="eastAsia" w:ascii="楷体" w:hAnsi="楷体" w:eastAsia="楷体" w:cs="楷体"/>
          <w:b w:val="0"/>
          <w:bCs w:val="0"/>
          <w:color w:val="000000" w:themeColor="text1"/>
          <w:sz w:val="28"/>
          <w:szCs w:val="28"/>
        </w:rPr>
        <w:t>政府采购支出情况</w:t>
      </w:r>
      <w:bookmarkEnd w:id="56"/>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rPr>
          <w:rFonts w:ascii="仿宋_GB2312" w:eastAsia="仿宋_GB2312"/>
          <w:b w:val="0"/>
          <w:bCs w:val="0"/>
          <w:color w:val="000000" w:themeColor="text1"/>
          <w:sz w:val="28"/>
          <w:szCs w:val="28"/>
        </w:rPr>
      </w:pPr>
      <w:r>
        <w:rPr>
          <w:rFonts w:ascii="仿宋_GB2312" w:eastAsia="仿宋_GB2312"/>
          <w:b w:val="0"/>
          <w:bCs w:val="0"/>
          <w:color w:val="000000" w:themeColor="text1"/>
          <w:sz w:val="28"/>
          <w:szCs w:val="28"/>
        </w:rPr>
        <w:t>201</w:t>
      </w:r>
      <w:r>
        <w:rPr>
          <w:rFonts w:hint="eastAsia" w:ascii="仿宋_GB2312" w:eastAsia="仿宋_GB2312"/>
          <w:b w:val="0"/>
          <w:bCs w:val="0"/>
          <w:color w:val="000000" w:themeColor="text1"/>
          <w:sz w:val="28"/>
          <w:szCs w:val="28"/>
        </w:rPr>
        <w:t>9年，赤化初级中学政府采购支出总额0.00万元，其中：政府采购货物支出0.00万元、政府采购工程支出0.00万元、政府采购服务支出0.00万元。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560" w:firstLineChars="200"/>
        <w:jc w:val="both"/>
        <w:textAlignment w:val="auto"/>
        <w:outlineLvl w:val="2"/>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（数据来源财决</w:t>
      </w:r>
      <w:r>
        <w:rPr>
          <w:rFonts w:ascii="仿宋" w:hAnsi="仿宋" w:eastAsia="仿宋"/>
          <w:b w:val="0"/>
          <w:bCs w:val="0"/>
          <w:color w:val="000000" w:themeColor="text1"/>
          <w:sz w:val="28"/>
          <w:szCs w:val="28"/>
        </w:rPr>
        <w:t>CS06</w:t>
      </w:r>
      <w:r>
        <w:rPr>
          <w:rFonts w:hint="eastAsia" w:ascii="仿宋" w:hAnsi="仿宋" w:eastAsia="仿宋"/>
          <w:b w:val="0"/>
          <w:bCs w:val="0"/>
          <w:color w:val="000000" w:themeColor="text1"/>
          <w:sz w:val="28"/>
          <w:szCs w:val="28"/>
        </w:rPr>
        <w:t>表）</w:t>
      </w:r>
    </w:p>
    <w:p>
      <w:pPr>
        <w:keepNext w:val="0"/>
        <w:keepLines w:val="0"/>
        <w:pageBreakBefore w:val="0"/>
        <w:widowControl w:val="0"/>
        <w:kinsoku/>
        <w:wordWrap/>
        <w:overflowPunct/>
        <w:topLinePunct w:val="0"/>
        <w:bidi w:val="0"/>
        <w:snapToGrid/>
        <w:spacing w:line="520" w:lineRule="exact"/>
        <w:ind w:left="0" w:firstLine="560" w:firstLineChars="200"/>
        <w:jc w:val="both"/>
        <w:textAlignment w:val="auto"/>
        <w:outlineLvl w:val="2"/>
        <w:rPr>
          <w:rFonts w:hint="eastAsia" w:ascii="楷体" w:hAnsi="楷体" w:eastAsia="楷体" w:cs="楷体"/>
          <w:b w:val="0"/>
          <w:bCs w:val="0"/>
          <w:color w:val="000000" w:themeColor="text1"/>
          <w:sz w:val="28"/>
          <w:szCs w:val="28"/>
        </w:rPr>
      </w:pPr>
      <w:bookmarkStart w:id="57" w:name="_Toc15377224"/>
      <w:r>
        <w:rPr>
          <w:rFonts w:hint="eastAsia" w:ascii="楷体" w:hAnsi="楷体" w:eastAsia="楷体" w:cs="楷体"/>
          <w:b w:val="0"/>
          <w:bCs w:val="0"/>
          <w:color w:val="000000" w:themeColor="text1"/>
          <w:sz w:val="28"/>
          <w:szCs w:val="28"/>
        </w:rPr>
        <w:t>（二）国有资产占有使用情况</w:t>
      </w:r>
      <w:bookmarkEnd w:id="57"/>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560" w:firstLineChars="200"/>
        <w:jc w:val="both"/>
        <w:textAlignment w:val="auto"/>
        <w:rPr>
          <w:rFonts w:ascii="仿宋_GB2312" w:eastAsia="仿宋_GB2312"/>
          <w:b w:val="0"/>
          <w:bCs w:val="0"/>
          <w:color w:val="000000" w:themeColor="text1"/>
          <w:sz w:val="28"/>
          <w:szCs w:val="28"/>
        </w:rPr>
      </w:pPr>
      <w:r>
        <w:rPr>
          <w:rFonts w:hint="eastAsia" w:ascii="仿宋_GB2312" w:eastAsia="仿宋_GB2312"/>
          <w:b w:val="0"/>
          <w:bCs w:val="0"/>
          <w:color w:val="000000" w:themeColor="text1"/>
          <w:sz w:val="28"/>
          <w:szCs w:val="28"/>
        </w:rPr>
        <w:t>截至</w:t>
      </w:r>
      <w:r>
        <w:rPr>
          <w:rFonts w:ascii="仿宋_GB2312" w:eastAsia="仿宋_GB2312"/>
          <w:b w:val="0"/>
          <w:bCs w:val="0"/>
          <w:color w:val="000000" w:themeColor="text1"/>
          <w:sz w:val="28"/>
          <w:szCs w:val="28"/>
        </w:rPr>
        <w:t>201</w:t>
      </w:r>
      <w:r>
        <w:rPr>
          <w:rFonts w:hint="eastAsia" w:ascii="仿宋_GB2312" w:eastAsia="仿宋_GB2312"/>
          <w:b w:val="0"/>
          <w:bCs w:val="0"/>
          <w:color w:val="000000" w:themeColor="text1"/>
          <w:sz w:val="28"/>
          <w:szCs w:val="28"/>
        </w:rPr>
        <w:t>9年</w:t>
      </w:r>
      <w:r>
        <w:rPr>
          <w:rFonts w:ascii="仿宋_GB2312" w:eastAsia="仿宋_GB2312"/>
          <w:b w:val="0"/>
          <w:bCs w:val="0"/>
          <w:color w:val="000000" w:themeColor="text1"/>
          <w:sz w:val="28"/>
          <w:szCs w:val="28"/>
        </w:rPr>
        <w:t>12</w:t>
      </w:r>
      <w:r>
        <w:rPr>
          <w:rFonts w:hint="eastAsia" w:ascii="仿宋_GB2312" w:eastAsia="仿宋_GB2312"/>
          <w:b w:val="0"/>
          <w:bCs w:val="0"/>
          <w:color w:val="000000" w:themeColor="text1"/>
          <w:sz w:val="28"/>
          <w:szCs w:val="28"/>
        </w:rPr>
        <w:t>月</w:t>
      </w:r>
      <w:r>
        <w:rPr>
          <w:rFonts w:ascii="仿宋_GB2312" w:eastAsia="仿宋_GB2312"/>
          <w:b w:val="0"/>
          <w:bCs w:val="0"/>
          <w:color w:val="000000" w:themeColor="text1"/>
          <w:sz w:val="28"/>
          <w:szCs w:val="28"/>
        </w:rPr>
        <w:t>31</w:t>
      </w:r>
      <w:r>
        <w:rPr>
          <w:rFonts w:hint="eastAsia" w:ascii="仿宋_GB2312" w:eastAsia="仿宋_GB2312"/>
          <w:b w:val="0"/>
          <w:bCs w:val="0"/>
          <w:color w:val="000000" w:themeColor="text1"/>
          <w:sz w:val="28"/>
          <w:szCs w:val="28"/>
        </w:rPr>
        <w:t>日，赤化初级中学共有车辆0辆，单价</w:t>
      </w:r>
      <w:r>
        <w:rPr>
          <w:rFonts w:ascii="仿宋_GB2312" w:eastAsia="仿宋_GB2312"/>
          <w:b w:val="0"/>
          <w:bCs w:val="0"/>
          <w:color w:val="000000" w:themeColor="text1"/>
          <w:sz w:val="28"/>
          <w:szCs w:val="28"/>
        </w:rPr>
        <w:t>50</w:t>
      </w:r>
      <w:r>
        <w:rPr>
          <w:rFonts w:hint="eastAsia" w:ascii="仿宋_GB2312" w:eastAsia="仿宋_GB2312"/>
          <w:b w:val="0"/>
          <w:bCs w:val="0"/>
          <w:color w:val="000000" w:themeColor="text1"/>
          <w:sz w:val="28"/>
          <w:szCs w:val="28"/>
        </w:rPr>
        <w:t>万元以上通用设备0台（套），单价</w:t>
      </w:r>
      <w:r>
        <w:rPr>
          <w:rFonts w:ascii="仿宋_GB2312" w:eastAsia="仿宋_GB2312"/>
          <w:b w:val="0"/>
          <w:bCs w:val="0"/>
          <w:color w:val="000000" w:themeColor="text1"/>
          <w:sz w:val="28"/>
          <w:szCs w:val="28"/>
        </w:rPr>
        <w:t>100</w:t>
      </w:r>
      <w:r>
        <w:rPr>
          <w:rFonts w:hint="eastAsia" w:ascii="仿宋_GB2312" w:eastAsia="仿宋_GB2312"/>
          <w:b w:val="0"/>
          <w:bCs w:val="0"/>
          <w:color w:val="000000" w:themeColor="text1"/>
          <w:sz w:val="28"/>
          <w:szCs w:val="28"/>
        </w:rPr>
        <w:t>万元以上专用设备0台（套）。</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560" w:firstLineChars="200"/>
        <w:jc w:val="both"/>
        <w:textAlignment w:val="auto"/>
        <w:outlineLvl w:val="2"/>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（数据来源财决</w:t>
      </w:r>
      <w:r>
        <w:rPr>
          <w:rFonts w:ascii="仿宋" w:hAnsi="仿宋" w:eastAsia="仿宋"/>
          <w:b w:val="0"/>
          <w:bCs w:val="0"/>
          <w:color w:val="000000" w:themeColor="text1"/>
          <w:sz w:val="28"/>
          <w:szCs w:val="28"/>
        </w:rPr>
        <w:t>CS05</w:t>
      </w:r>
      <w:r>
        <w:rPr>
          <w:rFonts w:hint="eastAsia" w:ascii="仿宋" w:hAnsi="仿宋" w:eastAsia="仿宋"/>
          <w:b w:val="0"/>
          <w:bCs w:val="0"/>
          <w:color w:val="000000" w:themeColor="text1"/>
          <w:sz w:val="28"/>
          <w:szCs w:val="28"/>
        </w:rPr>
        <w:t>表，按部门决算报表填报数据罗列车辆情况。）</w:t>
      </w:r>
    </w:p>
    <w:p>
      <w:pPr>
        <w:widowControl/>
        <w:jc w:val="left"/>
        <w:rPr>
          <w:rFonts w:ascii="仿宋" w:hAnsi="仿宋" w:eastAsia="仿宋"/>
          <w:b w:val="0"/>
          <w:bCs w:val="0"/>
          <w:sz w:val="32"/>
          <w:szCs w:val="32"/>
        </w:rPr>
      </w:pPr>
      <w:r>
        <w:rPr>
          <w:rFonts w:ascii="仿宋" w:hAnsi="仿宋" w:eastAsia="仿宋"/>
          <w:b w:val="0"/>
          <w:bCs w:val="0"/>
          <w:sz w:val="32"/>
          <w:szCs w:val="32"/>
        </w:rPr>
        <w:br w:type="page"/>
      </w:r>
    </w:p>
    <w:p>
      <w:pPr>
        <w:pStyle w:val="2"/>
        <w:jc w:val="center"/>
        <w:rPr>
          <w:rFonts w:hint="eastAsia" w:ascii="方正小标宋简体" w:hAnsi="方正小标宋简体" w:eastAsia="方正小标宋简体" w:cs="方正小标宋简体"/>
          <w:b w:val="0"/>
          <w:bCs w:val="0"/>
        </w:rPr>
      </w:pPr>
      <w:bookmarkStart w:id="58" w:name="_Toc19089875"/>
      <w:bookmarkStart w:id="59" w:name="_Toc15377225"/>
      <w:r>
        <w:rPr>
          <w:rFonts w:hint="eastAsia" w:ascii="方正小标宋简体" w:hAnsi="方正小标宋简体" w:eastAsia="方正小标宋简体" w:cs="方正小标宋简体"/>
          <w:b w:val="0"/>
          <w:bCs w:val="0"/>
          <w:lang w:eastAsia="zh-CN"/>
        </w:rPr>
        <w:t>第三部分</w:t>
      </w:r>
      <w:r>
        <w:rPr>
          <w:rFonts w:hint="eastAsia" w:ascii="方正小标宋简体" w:hAnsi="方正小标宋简体" w:eastAsia="方正小标宋简体" w:cs="方正小标宋简体"/>
          <w:b w:val="0"/>
          <w:bCs w:val="0"/>
          <w:lang w:val="en-US" w:eastAsia="zh-CN"/>
        </w:rPr>
        <w:t xml:space="preserve">  </w:t>
      </w:r>
      <w:r>
        <w:rPr>
          <w:rFonts w:hint="eastAsia" w:ascii="方正小标宋简体" w:hAnsi="方正小标宋简体" w:eastAsia="方正小标宋简体" w:cs="方正小标宋简体"/>
          <w:b w:val="0"/>
          <w:bCs w:val="0"/>
        </w:rPr>
        <w:t>名词解释</w:t>
      </w:r>
      <w:bookmarkEnd w:id="58"/>
      <w:bookmarkEnd w:id="59"/>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1.财政拨款收入：指单位从同级财政部门取得的财政预算资金。</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2.事业收入：指事业单位开展专业业务活动及辅助活动取得的收入。</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3.经营收入：指事业单位在专业业务活动及其辅助活动之外开展非独立核算经营活动取得的收入。</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4.其他收入：指单位取得的除上述收入以外的各项收入。主要是学前教育保育教育费收入、银行存款利息收入等。 </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6.年初结转和结余：指以前年度尚未完成、结转到本年按有关规定继续使用的资金。 </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7.结余分配：指事业单位按照事业单位会计制度的规定从非财政补助结余中分配的事业基金和职工福利基金等。</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8.年末结转和结余：指单位按有关规定结转到下年或以后年度继续使用的资金。</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9.教育支出（类）教育管理事务（款）行政运行（项）:反映教育行政单位（包括实行公务员管理的事业单位）的基本支出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10. 教育支出（类）教育管理事务（款）一般行政管理事务（项）:反映行政单位（包括实行公务员管理的事业单位）未单独设置项级科目的其它项目支出。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11. 教育支出（类）教育管理事务（款）其它教育管理事务支出（项）:反映除上述项目以外其它用户教育管理事务方面的支出。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12. 教育支出（类）普通教育（款）学前教育（项）:反映各部门举办的学前教育支出。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13. 教育支出（类）普通教育（款）小学教育（项）:反映各部门举办的小学教育支出。政府各部门对社会中介组织等举办的小学的资助，如各类捐赠、补贴等，也在本科目中反映。</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14. 教育支出（类）普通教育（款）初中教育（项）: 反映各部门举办的初中教育支出。政府各部门对社会中介组织等举办的初中教育的资助，如捐赠、补贴等，也在本科目中反映。</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16. 教育支出（类）普通教育（款）其它普通教育（项）: 反映除上述项目以外其他用于普通教育方面的支出。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17. 教育支出（类）职业教育（款）职业高中教育（项）: 反映各部门举办的职业中学、农业中学（含普通高中改制的）、半工（农）半读中学的支出或补助费</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18. 教育支出（类）职业教育（款）高等职业教育（项）:反映经国家批准设立的高等职业大学、专科职业教育等方面的支出。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19. 教育支出（类）特殊教育（款）特殊学校教育（项）: 指各部门举办的盲童学校、聋哑学校、智力落后儿童学校、其它生理缺陷儿童学校的支出。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20. 教育支出（类）特殊教育（款）工读学校教育（项）:指各部门举办的工读学校的支出。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21. 教育支出（类）教育附加费安排的支出（款）农村中小学校舍建设（项）:反映教育附加费安排用于农村中小学校舍新建、改建、修缮和维护的支出。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22. 教育支出（类）教育附加费安排的支出（款）城市中小学校舍建设（项）: 反映教育附加费安排用于城市中小学校舍新建、改建、修缮和维护的支出。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23. 教育支出（类）教育附加费安排的支出（款）其它教育附加费安排的支出（项）: 指除上述项目以外的教育附加费支出。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24. 教育支出（类）其它教育支出（款）其他教育支出（项）: 指上述项目以外其他用于教育方面的支出。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26. 社会保障和就业支出（类）行政事业单位离退休（款）机关事业单位职业年金缴费支出（项）: 指机关事业单位实施养老保险制度由单位实际缴纳的职业年金支出。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27. 社会保障和就业支出（类）抚恤（款）死亡抚恤（项）: 指按规定用于烈士和牺牲、病故人员家属的一次性和定期抚恤金以及丧葬补助费。</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30. 农林水支出（类）扶贫（款）其它扶贫支出（项）: 指除上述项目以外其他用于扶贫方面的支出。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32. 其他支出（类）其他支出（款）其他支出（项）: 指上述项目以外其他不能划分到具体功能科目中的支出项目。</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33.基本支出：指为保障机构正常运转、完成日常工作任务而发生的人员支出和公用支出。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34.项目支出：指在基本支出之外为完成特定行政任务和事业发展目标所发生的支出。 </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35.经营支出：指事业单位在专业业务活动及其辅助活动之外开展非独立核算经营活动发生的支出。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val="0"/>
        <w:spacing w:line="50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（名词解释部分请根据各部门实际列支情况罗列，并根据本部门职责职能增减名词解释内容。）</w:t>
      </w:r>
    </w:p>
    <w:p>
      <w:pPr>
        <w:spacing w:line="600" w:lineRule="exact"/>
        <w:jc w:val="center"/>
        <w:outlineLvl w:val="0"/>
        <w:rPr>
          <w:rFonts w:ascii="黑体" w:hAnsi="黑体" w:eastAsia="黑体"/>
          <w:b w:val="0"/>
          <w:bCs w:val="0"/>
          <w:sz w:val="44"/>
          <w:szCs w:val="44"/>
        </w:rPr>
      </w:pPr>
      <w:bookmarkStart w:id="60" w:name="_Toc19089876"/>
      <w:bookmarkStart w:id="61" w:name="_Toc15377226"/>
    </w:p>
    <w:p>
      <w:pPr>
        <w:spacing w:line="600" w:lineRule="exact"/>
        <w:jc w:val="center"/>
        <w:outlineLvl w:val="0"/>
        <w:rPr>
          <w:rFonts w:ascii="黑体" w:hAnsi="黑体" w:eastAsia="黑体"/>
          <w:b w:val="0"/>
          <w:bCs w:val="0"/>
          <w:sz w:val="44"/>
          <w:szCs w:val="44"/>
        </w:rPr>
      </w:pP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spacing w:line="600" w:lineRule="exact"/>
        <w:jc w:val="center"/>
        <w:outlineLvl w:val="0"/>
        <w:rPr>
          <w:rStyle w:val="24"/>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z w:val="44"/>
          <w:szCs w:val="44"/>
        </w:rPr>
        <w:t>第</w:t>
      </w:r>
      <w:r>
        <w:rPr>
          <w:rStyle w:val="24"/>
          <w:rFonts w:hint="eastAsia" w:ascii="方正小标宋简体" w:hAnsi="方正小标宋简体" w:eastAsia="方正小标宋简体" w:cs="方正小标宋简体"/>
          <w:b w:val="0"/>
          <w:bCs w:val="0"/>
        </w:rPr>
        <w:t>四部分 附件</w:t>
      </w:r>
      <w:bookmarkEnd w:id="60"/>
    </w:p>
    <w:p>
      <w:pPr>
        <w:widowControl/>
        <w:jc w:val="left"/>
        <w:rPr>
          <w:rFonts w:ascii="仿宋" w:hAnsi="仿宋" w:eastAsia="仿宋"/>
          <w:b w:val="0"/>
          <w:bCs w:val="0"/>
          <w:kern w:val="44"/>
          <w:sz w:val="28"/>
          <w:szCs w:val="28"/>
        </w:rPr>
      </w:pPr>
      <w:bookmarkStart w:id="62" w:name="_Toc19089877"/>
      <w:r>
        <w:rPr>
          <w:rFonts w:hint="eastAsia" w:ascii="仿宋" w:hAnsi="仿宋" w:eastAsia="仿宋"/>
          <w:b w:val="0"/>
          <w:bCs w:val="0"/>
          <w:kern w:val="44"/>
          <w:sz w:val="28"/>
          <w:szCs w:val="28"/>
        </w:rPr>
        <w:t>附件1</w:t>
      </w:r>
      <w:bookmarkEnd w:id="62"/>
    </w:p>
    <w:p>
      <w:pPr>
        <w:spacing w:line="600" w:lineRule="exact"/>
        <w:jc w:val="center"/>
        <w:outlineLvl w:val="0"/>
        <w:rPr>
          <w:rFonts w:hint="eastAsia" w:ascii="方正小标宋简体" w:hAnsi="方正小标宋简体" w:eastAsia="方正小标宋简体" w:cs="方正小标宋简体"/>
          <w:b w:val="0"/>
          <w:bCs w:val="0"/>
          <w:sz w:val="36"/>
          <w:szCs w:val="36"/>
        </w:rPr>
      </w:pPr>
      <w:bookmarkStart w:id="63" w:name="_Toc19089878"/>
      <w:bookmarkStart w:id="64" w:name="_Toc15396616"/>
      <w:r>
        <w:rPr>
          <w:rFonts w:hint="eastAsia" w:ascii="方正小标宋简体" w:hAnsi="方正小标宋简体" w:eastAsia="方正小标宋简体" w:cs="方正小标宋简体"/>
          <w:b w:val="0"/>
          <w:bCs w:val="0"/>
          <w:sz w:val="36"/>
          <w:szCs w:val="36"/>
        </w:rPr>
        <w:t>广元市利州区赤化初级中学</w:t>
      </w:r>
    </w:p>
    <w:p>
      <w:pPr>
        <w:spacing w:line="600" w:lineRule="exact"/>
        <w:jc w:val="center"/>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2019年部门整体支出</w:t>
      </w:r>
      <w:bookmarkEnd w:id="63"/>
      <w:bookmarkStart w:id="65" w:name="_Toc19089879"/>
      <w:r>
        <w:rPr>
          <w:rFonts w:hint="eastAsia" w:ascii="方正小标宋简体" w:hAnsi="方正小标宋简体" w:eastAsia="方正小标宋简体" w:cs="方正小标宋简体"/>
          <w:b w:val="0"/>
          <w:bCs w:val="0"/>
          <w:sz w:val="36"/>
          <w:szCs w:val="36"/>
        </w:rPr>
        <w:t>绩效评价报告</w:t>
      </w:r>
      <w:bookmarkEnd w:id="64"/>
      <w:bookmarkEnd w:id="65"/>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黑体" w:hAnsi="黑体" w:eastAsia="黑体" w:cs="黑体"/>
          <w:b w:val="0"/>
          <w:bCs w:val="0"/>
          <w:color w:val="000000" w:themeColor="text1"/>
          <w:sz w:val="28"/>
          <w:szCs w:val="28"/>
        </w:rPr>
      </w:pP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黑体" w:hAnsi="黑体" w:eastAsia="黑体" w:cs="黑体"/>
          <w:b w:val="0"/>
          <w:bCs w:val="0"/>
          <w:color w:val="000000" w:themeColor="text1"/>
          <w:sz w:val="28"/>
          <w:szCs w:val="28"/>
        </w:rPr>
      </w:pPr>
      <w:r>
        <w:rPr>
          <w:rFonts w:hint="eastAsia" w:ascii="黑体" w:hAnsi="黑体" w:eastAsia="黑体" w:cs="黑体"/>
          <w:b w:val="0"/>
          <w:bCs w:val="0"/>
          <w:color w:val="000000" w:themeColor="text1"/>
          <w:sz w:val="28"/>
          <w:szCs w:val="28"/>
        </w:rPr>
        <w:t>一、部门（单位）概况</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（一）机构组成</w:t>
      </w:r>
    </w:p>
    <w:p>
      <w:pPr>
        <w:pStyle w:val="5"/>
        <w:keepNext w:val="0"/>
        <w:keepLines w:val="0"/>
        <w:pageBreakBefore w:val="0"/>
        <w:widowControl w:val="0"/>
        <w:kinsoku/>
        <w:wordWrap/>
        <w:overflowPunct/>
        <w:topLinePunct w:val="0"/>
        <w:autoSpaceDE/>
        <w:autoSpaceDN/>
        <w:bidi w:val="0"/>
        <w:adjustRightInd w:val="0"/>
        <w:snapToGrid w:val="0"/>
        <w:spacing w:beforeLines="0" w:line="500" w:lineRule="exact"/>
        <w:ind w:firstLine="588" w:firstLineChars="210"/>
        <w:textAlignment w:val="auto"/>
        <w:rPr>
          <w:rFonts w:ascii="仿宋" w:hAnsi="仿宋" w:eastAsia="仿宋"/>
          <w:b w:val="0"/>
          <w:bCs w:val="0"/>
          <w:color w:val="000000" w:themeColor="text1"/>
          <w:sz w:val="28"/>
          <w:szCs w:val="28"/>
        </w:rPr>
      </w:pPr>
      <w:r>
        <w:rPr>
          <w:rFonts w:hint="eastAsia"/>
          <w:b w:val="0"/>
          <w:bCs w:val="0"/>
          <w:color w:val="000000" w:themeColor="text1"/>
          <w:sz w:val="28"/>
          <w:szCs w:val="28"/>
        </w:rPr>
        <w:t>广元市利州区赤化初级中学内设部门6个：办公室、工会、教务处、总务处、政教处、团队。</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（二）机构职能</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1．贯彻执行党和国家关于教育改革和发展的各项方针、政策，拟订学校教育事业发展规划和有关教育的规范性文件并组织实施；指导协调学校的教育、教学体制改革。</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2．负责学校教育经费的统筹管理，参与拟订筹措教育经费、教育拨款、教育基建投资办法和方案；监督教育经费的筹措和使用；宣传贯彻执行国家和省市有关学生资助工作方针和政策，统筹管理学校贫困家庭学生资助工作。</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3．负责推进义务教育均衡发展和促进教育公平，负责义务教育的宏观指导与协调；全面实施素质教育；督促检查学校的办学标准、教学基本要求、教学基本条件的落实情况。</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 xml:space="preserve">4．指导学校的教育督导工作；组织指导对基础教育发展水平、质量的监测工作。 </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5．统筹管理和协调学校社会力量办学的教育工作。</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 xml:space="preserve">6．指导学校的依法治校、安全、综合治理、档案、保密工作。 </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 xml:space="preserve">7．统筹管理和协调学校体育、卫生与艺术教育工作。 </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8．指导学校人事制度改革工作，推行和实施校长、教师聘任制。</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 xml:space="preserve">9．学校教师工作；组织实施教师资格证书制度；统筹规划教师和管理人员队伍建设；负责学校校长、教师的继续教育和课程改革新教材的培训工作；会同有关部门负责学校教师专业技术职务评审工作；指导学校人才队伍建设。 </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 xml:space="preserve">10．组织指导教育方面的对外交流与合作、对外宣传。 </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11．指导、协调学校后勤保障、信息化建设以及教学仪器设备和图书资料装备工作；指导、管理教育信息统计、分析和发布。</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12．贯彻执行国家语言文字工作的方针、政策，编制语言文字工作中长期规划；组织协调语言文字的规范和标准的监督检查；指导和组织推广普通话、推行规范汉字；开展普通话培训和测试工作。</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（三）人员概况</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广元市利州区赤化初级中学共有编制45名，其中行政编制0人，全额财政补助事业编制45人。截至2018年末，实有在职人员45人，离休人员0人，未归口管理的退休人员24人，学校实有学生179人。</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黑体" w:hAnsi="黑体" w:eastAsia="黑体" w:cs="黑体"/>
          <w:b w:val="0"/>
          <w:bCs w:val="0"/>
          <w:color w:val="000000" w:themeColor="text1"/>
          <w:sz w:val="28"/>
          <w:szCs w:val="28"/>
        </w:rPr>
      </w:pPr>
      <w:r>
        <w:rPr>
          <w:rFonts w:ascii="黑体" w:hAnsi="黑体" w:eastAsia="黑体" w:cs="黑体"/>
          <w:b w:val="0"/>
          <w:bCs w:val="0"/>
          <w:color w:val="000000" w:themeColor="text1"/>
          <w:sz w:val="28"/>
          <w:szCs w:val="28"/>
        </w:rPr>
        <w:t>二、部门财政资金收支情况</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（一）部门财政资金收入情况</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2019年财政拨款收入总计755.99万元。与2018年相比（951.29万元），财政拨款收入总计减少195.30万元，减少20.53%。</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（二）部门财政资金支出情况</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2019年财政拨款支出总计939.12万元。与2018年相比（768.47万元），财政拨款支出总计增加170.65万元，增长18.17%。</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黑体" w:hAnsi="黑体" w:eastAsia="黑体" w:cs="黑体"/>
          <w:b w:val="0"/>
          <w:bCs w:val="0"/>
          <w:color w:val="000000" w:themeColor="text1"/>
          <w:sz w:val="28"/>
          <w:szCs w:val="28"/>
        </w:rPr>
      </w:pPr>
      <w:r>
        <w:rPr>
          <w:rFonts w:ascii="黑体" w:hAnsi="黑体" w:eastAsia="黑体" w:cs="黑体"/>
          <w:b w:val="0"/>
          <w:bCs w:val="0"/>
          <w:color w:val="000000" w:themeColor="text1"/>
          <w:sz w:val="28"/>
          <w:szCs w:val="28"/>
        </w:rPr>
        <w:t>三、部门整体预算绩效管理情况（根据适用指标体系进行调整）</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（一）部门预算管理</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1.</w:t>
      </w:r>
      <w:r>
        <w:rPr>
          <w:rFonts w:ascii="仿宋" w:hAnsi="仿宋" w:eastAsia="仿宋" w:cs="仿宋_GB2312"/>
          <w:b w:val="0"/>
          <w:bCs w:val="0"/>
          <w:color w:val="000000" w:themeColor="text1"/>
          <w:sz w:val="28"/>
          <w:szCs w:val="28"/>
        </w:rPr>
        <w:t>部门绩效目标制定</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（4）绩效目标相关指标设定与预算安排金额相对应，未超预算安排资金。</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2.</w:t>
      </w:r>
      <w:r>
        <w:rPr>
          <w:rFonts w:ascii="仿宋" w:hAnsi="仿宋" w:eastAsia="仿宋" w:cs="仿宋_GB2312"/>
          <w:b w:val="0"/>
          <w:bCs w:val="0"/>
          <w:color w:val="000000" w:themeColor="text1"/>
          <w:sz w:val="28"/>
          <w:szCs w:val="28"/>
        </w:rPr>
        <w:t>预算编制</w:t>
      </w:r>
      <w:r>
        <w:rPr>
          <w:rFonts w:hint="eastAsia" w:ascii="仿宋" w:hAnsi="仿宋" w:eastAsia="仿宋" w:cs="仿宋_GB2312"/>
          <w:b w:val="0"/>
          <w:bCs w:val="0"/>
          <w:color w:val="000000" w:themeColor="text1"/>
          <w:sz w:val="28"/>
          <w:szCs w:val="28"/>
        </w:rPr>
        <w:t>和执行</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（二）专项预算管理。</w:t>
      </w:r>
    </w:p>
    <w:p>
      <w:pPr>
        <w:keepNext w:val="0"/>
        <w:keepLines w:val="0"/>
        <w:pageBreakBefore w:val="0"/>
        <w:widowControl w:val="0"/>
        <w:kinsoku/>
        <w:wordWrap/>
        <w:overflowPunct/>
        <w:topLinePunct w:val="0"/>
        <w:autoSpaceDE/>
        <w:autoSpaceDN/>
        <w:bidi w:val="0"/>
        <w:snapToGrid w:val="0"/>
        <w:spacing w:line="500" w:lineRule="exact"/>
        <w:ind w:firstLine="560" w:firstLineChars="200"/>
        <w:jc w:val="left"/>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1.专项预算编制情况</w:t>
      </w:r>
    </w:p>
    <w:p>
      <w:pPr>
        <w:keepNext w:val="0"/>
        <w:keepLines w:val="0"/>
        <w:pageBreakBefore w:val="0"/>
        <w:widowControl w:val="0"/>
        <w:kinsoku/>
        <w:wordWrap/>
        <w:overflowPunct/>
        <w:topLinePunct w:val="0"/>
        <w:autoSpaceDE/>
        <w:autoSpaceDN/>
        <w:bidi w:val="0"/>
        <w:snapToGrid w:val="0"/>
        <w:spacing w:line="500" w:lineRule="exact"/>
        <w:ind w:firstLine="560" w:firstLineChars="200"/>
        <w:jc w:val="left"/>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各项专项预算的编制严格按照“二上二下”的程序，先由学校根据年度工作目标提出当年的专项预算项目建议方案，经分管领导审核后汇总编制上报区教育局财务股。根据区财政下达的年度各类专项资金年度预算指标，进一步完善专项预算方案。</w:t>
      </w:r>
    </w:p>
    <w:p>
      <w:pPr>
        <w:keepNext w:val="0"/>
        <w:keepLines w:val="0"/>
        <w:pageBreakBefore w:val="0"/>
        <w:widowControl w:val="0"/>
        <w:kinsoku/>
        <w:wordWrap/>
        <w:overflowPunct/>
        <w:topLinePunct w:val="0"/>
        <w:autoSpaceDE/>
        <w:autoSpaceDN/>
        <w:bidi w:val="0"/>
        <w:snapToGrid w:val="0"/>
        <w:spacing w:line="500" w:lineRule="exact"/>
        <w:ind w:firstLine="560" w:firstLineChars="200"/>
        <w:jc w:val="left"/>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2.专项预算执行</w:t>
      </w:r>
    </w:p>
    <w:p>
      <w:pPr>
        <w:keepNext w:val="0"/>
        <w:keepLines w:val="0"/>
        <w:pageBreakBefore w:val="0"/>
        <w:widowControl w:val="0"/>
        <w:kinsoku/>
        <w:wordWrap/>
        <w:overflowPunct/>
        <w:topLinePunct w:val="0"/>
        <w:autoSpaceDE/>
        <w:autoSpaceDN/>
        <w:bidi w:val="0"/>
        <w:snapToGrid w:val="0"/>
        <w:spacing w:line="500" w:lineRule="exact"/>
        <w:ind w:firstLine="560" w:firstLineChars="200"/>
        <w:jc w:val="left"/>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对于上级或区本级下达的各类专项预算支出，严格按照预算批复的开支范围和标准执行，不准擅自调项、扩项、缩项，更不准拆借、挪用、挤占和</w:t>
      </w:r>
      <w:r>
        <w:rPr>
          <w:rFonts w:hint="eastAsia" w:ascii="仿宋" w:hAnsi="仿宋" w:eastAsia="仿宋" w:cs="仿宋_GB2312"/>
          <w:b w:val="0"/>
          <w:bCs w:val="0"/>
          <w:color w:val="000000" w:themeColor="text1"/>
          <w:spacing w:val="-6"/>
          <w:sz w:val="28"/>
          <w:szCs w:val="28"/>
        </w:rPr>
        <w:t>随意扣压；资金拨付动向，按不同专项资金的要求执行，不准任意改变</w:t>
      </w:r>
      <w:r>
        <w:rPr>
          <w:rFonts w:hint="eastAsia" w:ascii="仿宋" w:hAnsi="仿宋" w:eastAsia="仿宋" w:cs="仿宋_GB2312"/>
          <w:b w:val="0"/>
          <w:bCs w:val="0"/>
          <w:color w:val="000000" w:themeColor="text1"/>
          <w:sz w:val="28"/>
          <w:szCs w:val="28"/>
        </w:rPr>
        <w:t>；</w:t>
      </w:r>
    </w:p>
    <w:p>
      <w:pPr>
        <w:keepNext w:val="0"/>
        <w:keepLines w:val="0"/>
        <w:pageBreakBefore w:val="0"/>
        <w:widowControl w:val="0"/>
        <w:kinsoku/>
        <w:wordWrap/>
        <w:overflowPunct/>
        <w:topLinePunct w:val="0"/>
        <w:autoSpaceDE/>
        <w:autoSpaceDN/>
        <w:bidi w:val="0"/>
        <w:snapToGrid w:val="0"/>
        <w:spacing w:line="500" w:lineRule="exact"/>
        <w:ind w:firstLine="560" w:firstLineChars="200"/>
        <w:jc w:val="left"/>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3.专项预算绩效目标完成情况</w:t>
      </w:r>
    </w:p>
    <w:p>
      <w:pPr>
        <w:keepNext w:val="0"/>
        <w:keepLines w:val="0"/>
        <w:pageBreakBefore w:val="0"/>
        <w:widowControl w:val="0"/>
        <w:kinsoku/>
        <w:wordWrap/>
        <w:overflowPunct/>
        <w:topLinePunct w:val="0"/>
        <w:autoSpaceDE/>
        <w:autoSpaceDN/>
        <w:bidi w:val="0"/>
        <w:snapToGrid w:val="0"/>
        <w:spacing w:line="500" w:lineRule="exact"/>
        <w:ind w:firstLine="560" w:firstLineChars="200"/>
        <w:jc w:val="left"/>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2019年学校财政专项预算支出共182.39万元，一般公共预算完成率达到100%以上。</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黑体" w:hAnsi="黑体" w:eastAsia="黑体" w:cs="黑体"/>
          <w:b w:val="0"/>
          <w:bCs w:val="0"/>
          <w:color w:val="000000" w:themeColor="text1"/>
          <w:sz w:val="28"/>
          <w:szCs w:val="28"/>
        </w:rPr>
      </w:pPr>
      <w:r>
        <w:rPr>
          <w:rFonts w:ascii="黑体" w:hAnsi="黑体" w:eastAsia="黑体" w:cs="黑体"/>
          <w:b w:val="0"/>
          <w:bCs w:val="0"/>
          <w:color w:val="000000" w:themeColor="text1"/>
          <w:sz w:val="28"/>
          <w:szCs w:val="28"/>
        </w:rPr>
        <w:t>四、评价结论及建议</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（一）评价结论</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（二）存在问题</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预算追加经费数额大，下达时间比较晚，个别大型的项目资金执行时间比较长，造成预算执行率偏差。</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（三）改进建议</w:t>
      </w:r>
      <w:bookmarkStart w:id="80" w:name="_GoBack"/>
      <w:bookmarkEnd w:id="80"/>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2.落实预算执行分析，及时了解预算执行差异，合理调整、纠正预算执行偏差，切实提高部门预算收支管理水平。</w:t>
      </w:r>
    </w:p>
    <w:p>
      <w:pPr>
        <w:widowControl/>
        <w:jc w:val="left"/>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br w:type="page"/>
      </w:r>
    </w:p>
    <w:p>
      <w:pPr>
        <w:spacing w:line="600" w:lineRule="exact"/>
        <w:jc w:val="center"/>
        <w:outlineLvl w:val="0"/>
        <w:rPr>
          <w:rStyle w:val="24"/>
          <w:rFonts w:hint="eastAsia" w:ascii="方正小标宋简体" w:hAnsi="方正小标宋简体" w:eastAsia="方正小标宋简体" w:cs="方正小标宋简体"/>
          <w:b w:val="0"/>
          <w:bCs w:val="0"/>
        </w:rPr>
      </w:pPr>
      <w:bookmarkStart w:id="66" w:name="_Toc19089885"/>
      <w:r>
        <w:rPr>
          <w:rFonts w:hint="eastAsia" w:ascii="方正小标宋简体" w:hAnsi="方正小标宋简体" w:eastAsia="方正小标宋简体" w:cs="方正小标宋简体"/>
          <w:b w:val="0"/>
          <w:bCs w:val="0"/>
          <w:sz w:val="44"/>
          <w:szCs w:val="44"/>
        </w:rPr>
        <w:t>第</w:t>
      </w:r>
      <w:r>
        <w:rPr>
          <w:rStyle w:val="24"/>
          <w:rFonts w:hint="eastAsia" w:ascii="方正小标宋简体" w:hAnsi="方正小标宋简体" w:eastAsia="方正小标宋简体" w:cs="方正小标宋简体"/>
          <w:b w:val="0"/>
          <w:bCs w:val="0"/>
        </w:rPr>
        <w:t>五部分 附表</w:t>
      </w:r>
      <w:bookmarkEnd w:id="61"/>
      <w:bookmarkEnd w:id="66"/>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hint="eastAsia" w:ascii="仿宋" w:hAnsi="仿宋" w:eastAsia="仿宋"/>
          <w:b w:val="0"/>
          <w:bCs w:val="0"/>
          <w:sz w:val="28"/>
          <w:szCs w:val="28"/>
        </w:rPr>
      </w:pPr>
      <w:bookmarkStart w:id="67" w:name="_Toc19089886"/>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一、收</w:t>
      </w:r>
      <w:r>
        <w:rPr>
          <w:rStyle w:val="25"/>
          <w:rFonts w:hint="eastAsia" w:ascii="仿宋" w:hAnsi="仿宋" w:eastAsia="仿宋"/>
          <w:b w:val="0"/>
          <w:bCs w:val="0"/>
          <w:sz w:val="28"/>
          <w:szCs w:val="28"/>
        </w:rPr>
        <w:t>入支出决算总表</w:t>
      </w:r>
      <w:bookmarkEnd w:id="67"/>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68" w:name="_Toc19089887"/>
      <w:r>
        <w:rPr>
          <w:rFonts w:hint="eastAsia" w:ascii="仿宋" w:hAnsi="仿宋" w:eastAsia="仿宋"/>
          <w:b w:val="0"/>
          <w:bCs w:val="0"/>
          <w:sz w:val="28"/>
          <w:szCs w:val="28"/>
        </w:rPr>
        <w:t>二、收</w:t>
      </w:r>
      <w:r>
        <w:rPr>
          <w:rStyle w:val="25"/>
          <w:rFonts w:hint="eastAsia" w:ascii="仿宋" w:hAnsi="仿宋" w:eastAsia="仿宋"/>
          <w:b w:val="0"/>
          <w:bCs w:val="0"/>
          <w:sz w:val="28"/>
          <w:szCs w:val="28"/>
        </w:rPr>
        <w:t>入总表</w:t>
      </w:r>
      <w:bookmarkEnd w:id="68"/>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69" w:name="_Toc19089888"/>
      <w:r>
        <w:rPr>
          <w:rStyle w:val="25"/>
          <w:rFonts w:hint="eastAsia" w:ascii="仿宋" w:hAnsi="仿宋" w:eastAsia="仿宋"/>
          <w:b w:val="0"/>
          <w:bCs w:val="0"/>
          <w:sz w:val="28"/>
          <w:szCs w:val="28"/>
        </w:rPr>
        <w:t>三、</w:t>
      </w:r>
      <w:r>
        <w:rPr>
          <w:rFonts w:hint="eastAsia" w:ascii="仿宋" w:hAnsi="仿宋" w:eastAsia="仿宋"/>
          <w:b w:val="0"/>
          <w:bCs w:val="0"/>
          <w:sz w:val="28"/>
          <w:szCs w:val="28"/>
        </w:rPr>
        <w:t>支</w:t>
      </w:r>
      <w:r>
        <w:rPr>
          <w:rStyle w:val="25"/>
          <w:rFonts w:hint="eastAsia" w:ascii="仿宋" w:hAnsi="仿宋" w:eastAsia="仿宋"/>
          <w:b w:val="0"/>
          <w:bCs w:val="0"/>
          <w:sz w:val="28"/>
          <w:szCs w:val="28"/>
        </w:rPr>
        <w:t>出总表</w:t>
      </w:r>
      <w:bookmarkEnd w:id="69"/>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0" w:name="_Toc19089889"/>
      <w:r>
        <w:rPr>
          <w:rStyle w:val="25"/>
          <w:rFonts w:hint="eastAsia" w:ascii="仿宋" w:hAnsi="仿宋" w:eastAsia="仿宋"/>
          <w:b w:val="0"/>
          <w:bCs w:val="0"/>
          <w:sz w:val="28"/>
          <w:szCs w:val="28"/>
        </w:rPr>
        <w:t>四、</w:t>
      </w:r>
      <w:r>
        <w:rPr>
          <w:rFonts w:hint="eastAsia" w:ascii="仿宋" w:hAnsi="仿宋" w:eastAsia="仿宋"/>
          <w:b w:val="0"/>
          <w:bCs w:val="0"/>
          <w:sz w:val="28"/>
          <w:szCs w:val="28"/>
        </w:rPr>
        <w:t>财</w:t>
      </w:r>
      <w:r>
        <w:rPr>
          <w:rStyle w:val="25"/>
          <w:rFonts w:hint="eastAsia" w:ascii="仿宋" w:hAnsi="仿宋" w:eastAsia="仿宋"/>
          <w:b w:val="0"/>
          <w:bCs w:val="0"/>
          <w:sz w:val="28"/>
          <w:szCs w:val="28"/>
        </w:rPr>
        <w:t>政拨款收入支出决算总表</w:t>
      </w:r>
      <w:bookmarkEnd w:id="70"/>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1" w:name="_Toc19089890"/>
      <w:r>
        <w:rPr>
          <w:rStyle w:val="25"/>
          <w:rFonts w:hint="eastAsia" w:ascii="仿宋" w:hAnsi="仿宋" w:eastAsia="仿宋"/>
          <w:b w:val="0"/>
          <w:bCs w:val="0"/>
          <w:sz w:val="28"/>
          <w:szCs w:val="28"/>
        </w:rPr>
        <w:t>五、</w:t>
      </w:r>
      <w:r>
        <w:rPr>
          <w:rFonts w:hint="eastAsia" w:ascii="仿宋" w:hAnsi="仿宋" w:eastAsia="仿宋"/>
          <w:b w:val="0"/>
          <w:bCs w:val="0"/>
          <w:sz w:val="28"/>
          <w:szCs w:val="28"/>
        </w:rPr>
        <w:t>财</w:t>
      </w:r>
      <w:r>
        <w:rPr>
          <w:rStyle w:val="25"/>
          <w:rFonts w:hint="eastAsia" w:ascii="仿宋" w:hAnsi="仿宋" w:eastAsia="仿宋"/>
          <w:b w:val="0"/>
          <w:bCs w:val="0"/>
          <w:sz w:val="28"/>
          <w:szCs w:val="28"/>
        </w:rPr>
        <w:t>政拨款支出决算明细表（政府经济分类科目）</w:t>
      </w:r>
      <w:bookmarkEnd w:id="71"/>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2" w:name="_Toc19089891"/>
      <w:r>
        <w:rPr>
          <w:rStyle w:val="25"/>
          <w:rFonts w:hint="eastAsia" w:ascii="仿宋" w:hAnsi="仿宋" w:eastAsia="仿宋"/>
          <w:b w:val="0"/>
          <w:bCs w:val="0"/>
          <w:sz w:val="28"/>
          <w:szCs w:val="28"/>
        </w:rPr>
        <w:t>六、</w:t>
      </w:r>
      <w:r>
        <w:rPr>
          <w:rFonts w:hint="eastAsia" w:ascii="仿宋" w:hAnsi="仿宋" w:eastAsia="仿宋"/>
          <w:b w:val="0"/>
          <w:bCs w:val="0"/>
          <w:sz w:val="28"/>
          <w:szCs w:val="28"/>
        </w:rPr>
        <w:t>一</w:t>
      </w:r>
      <w:r>
        <w:rPr>
          <w:rStyle w:val="25"/>
          <w:rFonts w:hint="eastAsia" w:ascii="仿宋" w:hAnsi="仿宋" w:eastAsia="仿宋"/>
          <w:b w:val="0"/>
          <w:bCs w:val="0"/>
          <w:sz w:val="28"/>
          <w:szCs w:val="28"/>
        </w:rPr>
        <w:t>般公共预算财政拨款支出决算表</w:t>
      </w:r>
      <w:bookmarkEnd w:id="72"/>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3" w:name="_Toc19089892"/>
      <w:r>
        <w:rPr>
          <w:rStyle w:val="25"/>
          <w:rFonts w:hint="eastAsia" w:ascii="仿宋" w:hAnsi="仿宋" w:eastAsia="仿宋"/>
          <w:b w:val="0"/>
          <w:bCs w:val="0"/>
          <w:sz w:val="28"/>
          <w:szCs w:val="28"/>
        </w:rPr>
        <w:t>七、</w:t>
      </w:r>
      <w:r>
        <w:rPr>
          <w:rFonts w:hint="eastAsia" w:ascii="仿宋" w:hAnsi="仿宋" w:eastAsia="仿宋"/>
          <w:b w:val="0"/>
          <w:bCs w:val="0"/>
          <w:sz w:val="28"/>
          <w:szCs w:val="28"/>
        </w:rPr>
        <w:t>一</w:t>
      </w:r>
      <w:r>
        <w:rPr>
          <w:rStyle w:val="25"/>
          <w:rFonts w:hint="eastAsia" w:ascii="仿宋" w:hAnsi="仿宋" w:eastAsia="仿宋"/>
          <w:b w:val="0"/>
          <w:bCs w:val="0"/>
          <w:sz w:val="28"/>
          <w:szCs w:val="28"/>
        </w:rPr>
        <w:t>般公共预算财政拨款支出决算明细表</w:t>
      </w:r>
      <w:bookmarkEnd w:id="73"/>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4" w:name="_Toc19089893"/>
      <w:r>
        <w:rPr>
          <w:rStyle w:val="25"/>
          <w:rFonts w:hint="eastAsia" w:ascii="仿宋" w:hAnsi="仿宋" w:eastAsia="仿宋"/>
          <w:b w:val="0"/>
          <w:bCs w:val="0"/>
          <w:sz w:val="28"/>
          <w:szCs w:val="28"/>
        </w:rPr>
        <w:t>八、</w:t>
      </w:r>
      <w:r>
        <w:rPr>
          <w:rFonts w:hint="eastAsia" w:ascii="仿宋" w:hAnsi="仿宋" w:eastAsia="仿宋"/>
          <w:b w:val="0"/>
          <w:bCs w:val="0"/>
          <w:sz w:val="28"/>
          <w:szCs w:val="28"/>
        </w:rPr>
        <w:t>一</w:t>
      </w:r>
      <w:r>
        <w:rPr>
          <w:rStyle w:val="25"/>
          <w:rFonts w:hint="eastAsia" w:ascii="仿宋" w:hAnsi="仿宋" w:eastAsia="仿宋"/>
          <w:b w:val="0"/>
          <w:bCs w:val="0"/>
          <w:sz w:val="28"/>
          <w:szCs w:val="28"/>
        </w:rPr>
        <w:t>般公共预算财政拨款基本支出决算表</w:t>
      </w:r>
      <w:bookmarkEnd w:id="74"/>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5" w:name="_Toc19089894"/>
      <w:r>
        <w:rPr>
          <w:rStyle w:val="25"/>
          <w:rFonts w:hint="eastAsia" w:ascii="仿宋" w:hAnsi="仿宋" w:eastAsia="仿宋"/>
          <w:b w:val="0"/>
          <w:bCs w:val="0"/>
          <w:sz w:val="28"/>
          <w:szCs w:val="28"/>
        </w:rPr>
        <w:t>九、</w:t>
      </w:r>
      <w:r>
        <w:rPr>
          <w:rFonts w:hint="eastAsia" w:ascii="仿宋" w:hAnsi="仿宋" w:eastAsia="仿宋"/>
          <w:b w:val="0"/>
          <w:bCs w:val="0"/>
          <w:sz w:val="28"/>
          <w:szCs w:val="28"/>
        </w:rPr>
        <w:t>一</w:t>
      </w:r>
      <w:r>
        <w:rPr>
          <w:rStyle w:val="25"/>
          <w:rFonts w:hint="eastAsia" w:ascii="仿宋" w:hAnsi="仿宋" w:eastAsia="仿宋"/>
          <w:b w:val="0"/>
          <w:bCs w:val="0"/>
          <w:sz w:val="28"/>
          <w:szCs w:val="28"/>
        </w:rPr>
        <w:t>般公共预算财政拨款项目支出决算表</w:t>
      </w:r>
      <w:bookmarkEnd w:id="75"/>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6" w:name="_Toc19089895"/>
      <w:r>
        <w:rPr>
          <w:rStyle w:val="25"/>
          <w:rFonts w:hint="eastAsia" w:ascii="仿宋" w:hAnsi="仿宋" w:eastAsia="仿宋"/>
          <w:b w:val="0"/>
          <w:bCs w:val="0"/>
          <w:sz w:val="28"/>
          <w:szCs w:val="28"/>
        </w:rPr>
        <w:t>十、</w:t>
      </w:r>
      <w:r>
        <w:rPr>
          <w:rFonts w:hint="eastAsia" w:ascii="仿宋" w:hAnsi="仿宋" w:eastAsia="仿宋"/>
          <w:b w:val="0"/>
          <w:bCs w:val="0"/>
          <w:sz w:val="28"/>
          <w:szCs w:val="28"/>
        </w:rPr>
        <w:t>一</w:t>
      </w:r>
      <w:r>
        <w:rPr>
          <w:rStyle w:val="25"/>
          <w:rFonts w:hint="eastAsia" w:ascii="仿宋" w:hAnsi="仿宋" w:eastAsia="仿宋"/>
          <w:b w:val="0"/>
          <w:bCs w:val="0"/>
          <w:sz w:val="28"/>
          <w:szCs w:val="28"/>
        </w:rPr>
        <w:t>般公共预算财政拨款“三公”经费支出决算表</w:t>
      </w:r>
      <w:bookmarkEnd w:id="76"/>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7" w:name="_Toc19089896"/>
      <w:r>
        <w:rPr>
          <w:rStyle w:val="25"/>
          <w:rFonts w:hint="eastAsia" w:ascii="仿宋" w:hAnsi="仿宋" w:eastAsia="仿宋"/>
          <w:b w:val="0"/>
          <w:bCs w:val="0"/>
          <w:sz w:val="28"/>
          <w:szCs w:val="28"/>
        </w:rPr>
        <w:t>十一、</w:t>
      </w:r>
      <w:r>
        <w:rPr>
          <w:rFonts w:hint="eastAsia" w:ascii="仿宋" w:hAnsi="仿宋" w:eastAsia="仿宋"/>
          <w:b w:val="0"/>
          <w:bCs w:val="0"/>
          <w:sz w:val="28"/>
          <w:szCs w:val="28"/>
        </w:rPr>
        <w:t>政</w:t>
      </w:r>
      <w:r>
        <w:rPr>
          <w:rStyle w:val="25"/>
          <w:rFonts w:hint="eastAsia" w:ascii="仿宋" w:hAnsi="仿宋" w:eastAsia="仿宋"/>
          <w:b w:val="0"/>
          <w:bCs w:val="0"/>
          <w:sz w:val="28"/>
          <w:szCs w:val="28"/>
        </w:rPr>
        <w:t>府性基金预算财政拨款收入支出决算表</w:t>
      </w:r>
      <w:bookmarkEnd w:id="77"/>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8" w:name="_Toc19089897"/>
      <w:r>
        <w:rPr>
          <w:rStyle w:val="25"/>
          <w:rFonts w:hint="eastAsia" w:ascii="仿宋" w:hAnsi="仿宋" w:eastAsia="仿宋"/>
          <w:b w:val="0"/>
          <w:bCs w:val="0"/>
          <w:sz w:val="28"/>
          <w:szCs w:val="28"/>
        </w:rPr>
        <w:t>十二、</w:t>
      </w:r>
      <w:r>
        <w:rPr>
          <w:rFonts w:hint="eastAsia" w:ascii="仿宋" w:hAnsi="仿宋" w:eastAsia="仿宋"/>
          <w:b w:val="0"/>
          <w:bCs w:val="0"/>
          <w:sz w:val="28"/>
          <w:szCs w:val="28"/>
        </w:rPr>
        <w:t>政</w:t>
      </w:r>
      <w:r>
        <w:rPr>
          <w:rStyle w:val="25"/>
          <w:rFonts w:hint="eastAsia" w:ascii="仿宋" w:hAnsi="仿宋" w:eastAsia="仿宋"/>
          <w:b w:val="0"/>
          <w:bCs w:val="0"/>
          <w:sz w:val="28"/>
          <w:szCs w:val="28"/>
        </w:rPr>
        <w:t>府性基金预算财政拨款“三公”经费支出决算表</w:t>
      </w:r>
      <w:bookmarkEnd w:id="78"/>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9" w:name="_Toc19089898"/>
      <w:r>
        <w:rPr>
          <w:rStyle w:val="25"/>
          <w:rFonts w:hint="eastAsia" w:ascii="仿宋" w:hAnsi="仿宋" w:eastAsia="仿宋"/>
          <w:b w:val="0"/>
          <w:bCs w:val="0"/>
          <w:sz w:val="28"/>
          <w:szCs w:val="28"/>
        </w:rPr>
        <w:t>十三、</w:t>
      </w:r>
      <w:r>
        <w:rPr>
          <w:rFonts w:hint="eastAsia" w:ascii="仿宋" w:hAnsi="仿宋" w:eastAsia="仿宋"/>
          <w:b w:val="0"/>
          <w:bCs w:val="0"/>
          <w:sz w:val="28"/>
          <w:szCs w:val="28"/>
        </w:rPr>
        <w:t>国</w:t>
      </w:r>
      <w:r>
        <w:rPr>
          <w:rStyle w:val="25"/>
          <w:rFonts w:hint="eastAsia" w:ascii="仿宋" w:hAnsi="仿宋" w:eastAsia="仿宋"/>
          <w:b w:val="0"/>
          <w:bCs w:val="0"/>
          <w:sz w:val="28"/>
          <w:szCs w:val="28"/>
        </w:rPr>
        <w:t>有资本经营预算支出决算表</w:t>
      </w:r>
      <w:bookmarkEnd w:id="79"/>
    </w:p>
    <w:sectPr>
      <w:footerReference r:id="rId5"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Theme="minorEastAsia" w:hAnsiTheme="minorEastAsia" w:eastAsiaTheme="minorEastAsia" w:cstheme="minorEastAsia"/>
        <w:sz w:val="24"/>
        <w:szCs w:val="24"/>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Theme="minorEastAsia" w:hAnsiTheme="minorEastAsia" w:eastAsiaTheme="minorEastAsia" w:cstheme="minorEastAsia"/>
        <w:sz w:val="24"/>
        <w:szCs w:val="24"/>
      </w:rPr>
    </w:pPr>
    <w:r>
      <w:rPr>
        <w:sz w:val="24"/>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4</w:t>
                    </w:r>
                    <w:r>
                      <w:rPr>
                        <w:rFonts w:hint="eastAsia" w:asciiTheme="minorEastAsia" w:hAnsiTheme="minorEastAsia" w:eastAsiaTheme="minorEastAsia" w:cstheme="minorEastAsia"/>
                        <w:sz w:val="24"/>
                        <w:szCs w:val="24"/>
                        <w:lang w:val="zh-CN"/>
                      </w:rPr>
                      <w:fldChar w:fldCharType="end"/>
                    </w:r>
                  </w:p>
                </w:sdtContent>
              </w:sdt>
              <w:p>
                <w:pPr>
                  <w:rPr>
                    <w:rFonts w:hint="eastAsia" w:asciiTheme="minorEastAsia" w:hAnsiTheme="minorEastAsia" w:eastAsiaTheme="minorEastAsia" w:cstheme="minorEastAsia"/>
                    <w:sz w:val="24"/>
                    <w:szCs w:val="24"/>
                  </w:rPr>
                </w:pP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0FE5"/>
    <w:rsid w:val="00021219"/>
    <w:rsid w:val="000222C6"/>
    <w:rsid w:val="0002549F"/>
    <w:rsid w:val="000277F7"/>
    <w:rsid w:val="00042F9B"/>
    <w:rsid w:val="0006487A"/>
    <w:rsid w:val="00065F8F"/>
    <w:rsid w:val="000722DE"/>
    <w:rsid w:val="00073FC2"/>
    <w:rsid w:val="000768F2"/>
    <w:rsid w:val="000777D0"/>
    <w:rsid w:val="00081C2A"/>
    <w:rsid w:val="0009184B"/>
    <w:rsid w:val="00091D6F"/>
    <w:rsid w:val="00094044"/>
    <w:rsid w:val="0009593C"/>
    <w:rsid w:val="00097625"/>
    <w:rsid w:val="000A2232"/>
    <w:rsid w:val="000A24D9"/>
    <w:rsid w:val="000B047F"/>
    <w:rsid w:val="000B30C6"/>
    <w:rsid w:val="000B48C7"/>
    <w:rsid w:val="000B5923"/>
    <w:rsid w:val="000B5A48"/>
    <w:rsid w:val="000B6FF3"/>
    <w:rsid w:val="000C3467"/>
    <w:rsid w:val="000C3CA6"/>
    <w:rsid w:val="000D1267"/>
    <w:rsid w:val="000D1D50"/>
    <w:rsid w:val="000D5782"/>
    <w:rsid w:val="000E6613"/>
    <w:rsid w:val="000E7119"/>
    <w:rsid w:val="00112100"/>
    <w:rsid w:val="00114E9B"/>
    <w:rsid w:val="00121CD9"/>
    <w:rsid w:val="00122585"/>
    <w:rsid w:val="00122819"/>
    <w:rsid w:val="0013116F"/>
    <w:rsid w:val="001456B7"/>
    <w:rsid w:val="0014729F"/>
    <w:rsid w:val="00157BAB"/>
    <w:rsid w:val="001614F6"/>
    <w:rsid w:val="001654D1"/>
    <w:rsid w:val="001701C2"/>
    <w:rsid w:val="0017371E"/>
    <w:rsid w:val="0018106D"/>
    <w:rsid w:val="001877A7"/>
    <w:rsid w:val="00191536"/>
    <w:rsid w:val="00196687"/>
    <w:rsid w:val="001B73A2"/>
    <w:rsid w:val="001C0962"/>
    <w:rsid w:val="001D7531"/>
    <w:rsid w:val="001E5AC6"/>
    <w:rsid w:val="001E6A95"/>
    <w:rsid w:val="001E737D"/>
    <w:rsid w:val="001F0592"/>
    <w:rsid w:val="001F2889"/>
    <w:rsid w:val="001F7506"/>
    <w:rsid w:val="002006CD"/>
    <w:rsid w:val="00202B36"/>
    <w:rsid w:val="00204B7A"/>
    <w:rsid w:val="0021101A"/>
    <w:rsid w:val="00220536"/>
    <w:rsid w:val="002265C3"/>
    <w:rsid w:val="00235629"/>
    <w:rsid w:val="00237DD8"/>
    <w:rsid w:val="00240CCE"/>
    <w:rsid w:val="002502A9"/>
    <w:rsid w:val="00260C38"/>
    <w:rsid w:val="002616C0"/>
    <w:rsid w:val="002662AA"/>
    <w:rsid w:val="0027781D"/>
    <w:rsid w:val="00280496"/>
    <w:rsid w:val="0028128C"/>
    <w:rsid w:val="00291F1C"/>
    <w:rsid w:val="00295495"/>
    <w:rsid w:val="002A0914"/>
    <w:rsid w:val="002A32FA"/>
    <w:rsid w:val="002A6307"/>
    <w:rsid w:val="002B2613"/>
    <w:rsid w:val="002D5234"/>
    <w:rsid w:val="002E1C32"/>
    <w:rsid w:val="002F1818"/>
    <w:rsid w:val="002F567B"/>
    <w:rsid w:val="00303037"/>
    <w:rsid w:val="003216A9"/>
    <w:rsid w:val="00324C77"/>
    <w:rsid w:val="00333687"/>
    <w:rsid w:val="003363E1"/>
    <w:rsid w:val="00357C32"/>
    <w:rsid w:val="00366274"/>
    <w:rsid w:val="0037013F"/>
    <w:rsid w:val="00372D8B"/>
    <w:rsid w:val="00380C92"/>
    <w:rsid w:val="003815B8"/>
    <w:rsid w:val="00397B2C"/>
    <w:rsid w:val="003A484F"/>
    <w:rsid w:val="003B0BE0"/>
    <w:rsid w:val="003B0C1B"/>
    <w:rsid w:val="003B0ED3"/>
    <w:rsid w:val="003B688C"/>
    <w:rsid w:val="003C0291"/>
    <w:rsid w:val="003C39AE"/>
    <w:rsid w:val="003C7B60"/>
    <w:rsid w:val="003D1FB2"/>
    <w:rsid w:val="003D66DA"/>
    <w:rsid w:val="003E1310"/>
    <w:rsid w:val="003E6F55"/>
    <w:rsid w:val="00400855"/>
    <w:rsid w:val="00400D97"/>
    <w:rsid w:val="004036BA"/>
    <w:rsid w:val="004048FD"/>
    <w:rsid w:val="00405DC8"/>
    <w:rsid w:val="00406254"/>
    <w:rsid w:val="0042175A"/>
    <w:rsid w:val="004223DE"/>
    <w:rsid w:val="0042570F"/>
    <w:rsid w:val="00430DD9"/>
    <w:rsid w:val="00434489"/>
    <w:rsid w:val="00437085"/>
    <w:rsid w:val="00443880"/>
    <w:rsid w:val="004464F4"/>
    <w:rsid w:val="00471401"/>
    <w:rsid w:val="0047387D"/>
    <w:rsid w:val="00473F31"/>
    <w:rsid w:val="0048263A"/>
    <w:rsid w:val="00487E5D"/>
    <w:rsid w:val="004A55C6"/>
    <w:rsid w:val="004A711F"/>
    <w:rsid w:val="004B199D"/>
    <w:rsid w:val="004B4690"/>
    <w:rsid w:val="004B4A85"/>
    <w:rsid w:val="004B51A6"/>
    <w:rsid w:val="004D0B0E"/>
    <w:rsid w:val="004E0A2D"/>
    <w:rsid w:val="004E206B"/>
    <w:rsid w:val="004E453E"/>
    <w:rsid w:val="004E6DF7"/>
    <w:rsid w:val="004F0FBD"/>
    <w:rsid w:val="00505A47"/>
    <w:rsid w:val="00512FDA"/>
    <w:rsid w:val="00513469"/>
    <w:rsid w:val="00520DA0"/>
    <w:rsid w:val="00541725"/>
    <w:rsid w:val="0055785D"/>
    <w:rsid w:val="005664BB"/>
    <w:rsid w:val="00570AAF"/>
    <w:rsid w:val="0057481D"/>
    <w:rsid w:val="00575648"/>
    <w:rsid w:val="0058486E"/>
    <w:rsid w:val="0059629B"/>
    <w:rsid w:val="005B1ECE"/>
    <w:rsid w:val="005B4522"/>
    <w:rsid w:val="005D1C8B"/>
    <w:rsid w:val="005D55F1"/>
    <w:rsid w:val="005D5CED"/>
    <w:rsid w:val="005E7F36"/>
    <w:rsid w:val="005F1A4C"/>
    <w:rsid w:val="005F4E6B"/>
    <w:rsid w:val="00605688"/>
    <w:rsid w:val="006070AF"/>
    <w:rsid w:val="00607E6C"/>
    <w:rsid w:val="006101B1"/>
    <w:rsid w:val="006132DB"/>
    <w:rsid w:val="00614E44"/>
    <w:rsid w:val="00622830"/>
    <w:rsid w:val="00630AEF"/>
    <w:rsid w:val="006325F8"/>
    <w:rsid w:val="00633021"/>
    <w:rsid w:val="00633ABF"/>
    <w:rsid w:val="00634C9A"/>
    <w:rsid w:val="00643707"/>
    <w:rsid w:val="006440E4"/>
    <w:rsid w:val="006563C7"/>
    <w:rsid w:val="0066343B"/>
    <w:rsid w:val="00664777"/>
    <w:rsid w:val="00671CD5"/>
    <w:rsid w:val="00672797"/>
    <w:rsid w:val="006748A4"/>
    <w:rsid w:val="00683E73"/>
    <w:rsid w:val="006A3141"/>
    <w:rsid w:val="006A5E34"/>
    <w:rsid w:val="006B06A0"/>
    <w:rsid w:val="006B2422"/>
    <w:rsid w:val="006B2B9A"/>
    <w:rsid w:val="006B51DE"/>
    <w:rsid w:val="006C1937"/>
    <w:rsid w:val="006C2699"/>
    <w:rsid w:val="006D58F3"/>
    <w:rsid w:val="006F020C"/>
    <w:rsid w:val="007105B1"/>
    <w:rsid w:val="007127B7"/>
    <w:rsid w:val="00723002"/>
    <w:rsid w:val="007245EF"/>
    <w:rsid w:val="007416B6"/>
    <w:rsid w:val="00746F48"/>
    <w:rsid w:val="0075404D"/>
    <w:rsid w:val="0076182A"/>
    <w:rsid w:val="0076670D"/>
    <w:rsid w:val="00767B7E"/>
    <w:rsid w:val="007770C3"/>
    <w:rsid w:val="00784D24"/>
    <w:rsid w:val="00785FBA"/>
    <w:rsid w:val="00786E4A"/>
    <w:rsid w:val="007875EB"/>
    <w:rsid w:val="00792109"/>
    <w:rsid w:val="0079426B"/>
    <w:rsid w:val="007B50A9"/>
    <w:rsid w:val="007D312A"/>
    <w:rsid w:val="007D3F19"/>
    <w:rsid w:val="007D70C8"/>
    <w:rsid w:val="007E23B0"/>
    <w:rsid w:val="007E4CFC"/>
    <w:rsid w:val="007F1991"/>
    <w:rsid w:val="007F2C2F"/>
    <w:rsid w:val="007F55FC"/>
    <w:rsid w:val="007F5665"/>
    <w:rsid w:val="007F6CA0"/>
    <w:rsid w:val="00800112"/>
    <w:rsid w:val="00820C6D"/>
    <w:rsid w:val="008253BB"/>
    <w:rsid w:val="00826C84"/>
    <w:rsid w:val="008304C5"/>
    <w:rsid w:val="00832183"/>
    <w:rsid w:val="0083706E"/>
    <w:rsid w:val="008423A5"/>
    <w:rsid w:val="008428B3"/>
    <w:rsid w:val="008433B4"/>
    <w:rsid w:val="00850625"/>
    <w:rsid w:val="00853718"/>
    <w:rsid w:val="00855221"/>
    <w:rsid w:val="0085778F"/>
    <w:rsid w:val="00860645"/>
    <w:rsid w:val="00871F71"/>
    <w:rsid w:val="00876C2C"/>
    <w:rsid w:val="008770E7"/>
    <w:rsid w:val="008832DF"/>
    <w:rsid w:val="00883FD9"/>
    <w:rsid w:val="00885AF4"/>
    <w:rsid w:val="0089274D"/>
    <w:rsid w:val="008939CD"/>
    <w:rsid w:val="008B768C"/>
    <w:rsid w:val="008C4B62"/>
    <w:rsid w:val="008C4DB1"/>
    <w:rsid w:val="008C4EAF"/>
    <w:rsid w:val="008C5176"/>
    <w:rsid w:val="008C7FD0"/>
    <w:rsid w:val="008D105F"/>
    <w:rsid w:val="008E1DE7"/>
    <w:rsid w:val="008E449C"/>
    <w:rsid w:val="008E707C"/>
    <w:rsid w:val="008F4458"/>
    <w:rsid w:val="00900B08"/>
    <w:rsid w:val="00902155"/>
    <w:rsid w:val="00902FA3"/>
    <w:rsid w:val="00920912"/>
    <w:rsid w:val="0092174E"/>
    <w:rsid w:val="00923564"/>
    <w:rsid w:val="0092392E"/>
    <w:rsid w:val="009315F9"/>
    <w:rsid w:val="00943E15"/>
    <w:rsid w:val="00945D43"/>
    <w:rsid w:val="00946945"/>
    <w:rsid w:val="00951248"/>
    <w:rsid w:val="0095152F"/>
    <w:rsid w:val="00954C49"/>
    <w:rsid w:val="0097099F"/>
    <w:rsid w:val="00971997"/>
    <w:rsid w:val="00971FFC"/>
    <w:rsid w:val="0098660A"/>
    <w:rsid w:val="009931C3"/>
    <w:rsid w:val="009A7D3B"/>
    <w:rsid w:val="009B2C43"/>
    <w:rsid w:val="009B2FCC"/>
    <w:rsid w:val="009B40D6"/>
    <w:rsid w:val="009B4605"/>
    <w:rsid w:val="009B4EAE"/>
    <w:rsid w:val="009B5DD9"/>
    <w:rsid w:val="009B7573"/>
    <w:rsid w:val="009C22F4"/>
    <w:rsid w:val="009C2E98"/>
    <w:rsid w:val="009C5640"/>
    <w:rsid w:val="009D261E"/>
    <w:rsid w:val="009D3447"/>
    <w:rsid w:val="009D4711"/>
    <w:rsid w:val="009F1185"/>
    <w:rsid w:val="009F18CD"/>
    <w:rsid w:val="009F2A13"/>
    <w:rsid w:val="009F706A"/>
    <w:rsid w:val="00A005F1"/>
    <w:rsid w:val="00A041B0"/>
    <w:rsid w:val="00A0499B"/>
    <w:rsid w:val="00A04EB0"/>
    <w:rsid w:val="00A11484"/>
    <w:rsid w:val="00A13CC1"/>
    <w:rsid w:val="00A16847"/>
    <w:rsid w:val="00A237D8"/>
    <w:rsid w:val="00A268C4"/>
    <w:rsid w:val="00A27A52"/>
    <w:rsid w:val="00A307CD"/>
    <w:rsid w:val="00A32C8C"/>
    <w:rsid w:val="00A40A00"/>
    <w:rsid w:val="00A411B0"/>
    <w:rsid w:val="00A4142F"/>
    <w:rsid w:val="00A417B6"/>
    <w:rsid w:val="00A4617A"/>
    <w:rsid w:val="00A46AE9"/>
    <w:rsid w:val="00A52375"/>
    <w:rsid w:val="00A56DF2"/>
    <w:rsid w:val="00A665B4"/>
    <w:rsid w:val="00A67AB5"/>
    <w:rsid w:val="00A91760"/>
    <w:rsid w:val="00A924DE"/>
    <w:rsid w:val="00A93B00"/>
    <w:rsid w:val="00A93C21"/>
    <w:rsid w:val="00AA186F"/>
    <w:rsid w:val="00AA4B2D"/>
    <w:rsid w:val="00AB0CE4"/>
    <w:rsid w:val="00AB434E"/>
    <w:rsid w:val="00AC3C6A"/>
    <w:rsid w:val="00AD482B"/>
    <w:rsid w:val="00AD5620"/>
    <w:rsid w:val="00AD7C1B"/>
    <w:rsid w:val="00AE16BA"/>
    <w:rsid w:val="00AE1EBE"/>
    <w:rsid w:val="00B03C9D"/>
    <w:rsid w:val="00B060AE"/>
    <w:rsid w:val="00B10517"/>
    <w:rsid w:val="00B12584"/>
    <w:rsid w:val="00B14E76"/>
    <w:rsid w:val="00B161B8"/>
    <w:rsid w:val="00B2048C"/>
    <w:rsid w:val="00B27A76"/>
    <w:rsid w:val="00B3090B"/>
    <w:rsid w:val="00B310B9"/>
    <w:rsid w:val="00B35F3F"/>
    <w:rsid w:val="00B36CBB"/>
    <w:rsid w:val="00B425E0"/>
    <w:rsid w:val="00B440AA"/>
    <w:rsid w:val="00B44B70"/>
    <w:rsid w:val="00B53C56"/>
    <w:rsid w:val="00B61EE0"/>
    <w:rsid w:val="00B742C2"/>
    <w:rsid w:val="00B77CDE"/>
    <w:rsid w:val="00B77EA6"/>
    <w:rsid w:val="00B81598"/>
    <w:rsid w:val="00B841F1"/>
    <w:rsid w:val="00B85716"/>
    <w:rsid w:val="00B944D6"/>
    <w:rsid w:val="00B96E89"/>
    <w:rsid w:val="00BB4DF0"/>
    <w:rsid w:val="00BC289F"/>
    <w:rsid w:val="00BC5361"/>
    <w:rsid w:val="00BC5460"/>
    <w:rsid w:val="00BC6B50"/>
    <w:rsid w:val="00BD0E25"/>
    <w:rsid w:val="00BF5BD6"/>
    <w:rsid w:val="00C03A2C"/>
    <w:rsid w:val="00C03E31"/>
    <w:rsid w:val="00C20E45"/>
    <w:rsid w:val="00C3358F"/>
    <w:rsid w:val="00C33E72"/>
    <w:rsid w:val="00C3445D"/>
    <w:rsid w:val="00C354B2"/>
    <w:rsid w:val="00C35554"/>
    <w:rsid w:val="00C42709"/>
    <w:rsid w:val="00C46CEF"/>
    <w:rsid w:val="00C533CC"/>
    <w:rsid w:val="00C5751C"/>
    <w:rsid w:val="00C61BFC"/>
    <w:rsid w:val="00C62B85"/>
    <w:rsid w:val="00C63F80"/>
    <w:rsid w:val="00C65438"/>
    <w:rsid w:val="00C67786"/>
    <w:rsid w:val="00C7404D"/>
    <w:rsid w:val="00C751FE"/>
    <w:rsid w:val="00C91CBB"/>
    <w:rsid w:val="00C9703F"/>
    <w:rsid w:val="00CA7A98"/>
    <w:rsid w:val="00CC09B6"/>
    <w:rsid w:val="00CC176E"/>
    <w:rsid w:val="00CC666F"/>
    <w:rsid w:val="00CD1E3F"/>
    <w:rsid w:val="00CD6498"/>
    <w:rsid w:val="00CE3D74"/>
    <w:rsid w:val="00CE44F6"/>
    <w:rsid w:val="00CE49DA"/>
    <w:rsid w:val="00CE7B61"/>
    <w:rsid w:val="00CF1CAC"/>
    <w:rsid w:val="00D00095"/>
    <w:rsid w:val="00D20620"/>
    <w:rsid w:val="00D26091"/>
    <w:rsid w:val="00D34E7C"/>
    <w:rsid w:val="00D35489"/>
    <w:rsid w:val="00D421C7"/>
    <w:rsid w:val="00D506F3"/>
    <w:rsid w:val="00D51276"/>
    <w:rsid w:val="00D6333E"/>
    <w:rsid w:val="00D65988"/>
    <w:rsid w:val="00D7035F"/>
    <w:rsid w:val="00DA5916"/>
    <w:rsid w:val="00DA65AC"/>
    <w:rsid w:val="00DB1913"/>
    <w:rsid w:val="00DB2CC1"/>
    <w:rsid w:val="00DB78D7"/>
    <w:rsid w:val="00DC410D"/>
    <w:rsid w:val="00DC68CA"/>
    <w:rsid w:val="00DC7CBA"/>
    <w:rsid w:val="00DD4C3D"/>
    <w:rsid w:val="00DD73B7"/>
    <w:rsid w:val="00DF007D"/>
    <w:rsid w:val="00DF28BC"/>
    <w:rsid w:val="00DF2E67"/>
    <w:rsid w:val="00DF34B9"/>
    <w:rsid w:val="00E009B4"/>
    <w:rsid w:val="00E01053"/>
    <w:rsid w:val="00E07ACF"/>
    <w:rsid w:val="00E114FD"/>
    <w:rsid w:val="00E331A1"/>
    <w:rsid w:val="00E33202"/>
    <w:rsid w:val="00E336A9"/>
    <w:rsid w:val="00E50624"/>
    <w:rsid w:val="00E5537A"/>
    <w:rsid w:val="00E568DF"/>
    <w:rsid w:val="00E56E47"/>
    <w:rsid w:val="00E64269"/>
    <w:rsid w:val="00E70E37"/>
    <w:rsid w:val="00E738EC"/>
    <w:rsid w:val="00E75836"/>
    <w:rsid w:val="00E82267"/>
    <w:rsid w:val="00EA010F"/>
    <w:rsid w:val="00EA1DBA"/>
    <w:rsid w:val="00EA64CC"/>
    <w:rsid w:val="00EC1381"/>
    <w:rsid w:val="00ED1B63"/>
    <w:rsid w:val="00ED3C1F"/>
    <w:rsid w:val="00ED4085"/>
    <w:rsid w:val="00ED420E"/>
    <w:rsid w:val="00ED7024"/>
    <w:rsid w:val="00EE2F57"/>
    <w:rsid w:val="00EE34D4"/>
    <w:rsid w:val="00EF4C34"/>
    <w:rsid w:val="00EF77C6"/>
    <w:rsid w:val="00F02237"/>
    <w:rsid w:val="00F05438"/>
    <w:rsid w:val="00F1361C"/>
    <w:rsid w:val="00F160C7"/>
    <w:rsid w:val="00F22056"/>
    <w:rsid w:val="00F222A1"/>
    <w:rsid w:val="00F2274F"/>
    <w:rsid w:val="00F268E5"/>
    <w:rsid w:val="00F32E9D"/>
    <w:rsid w:val="00F36D8F"/>
    <w:rsid w:val="00F417B1"/>
    <w:rsid w:val="00F46ABD"/>
    <w:rsid w:val="00F602DF"/>
    <w:rsid w:val="00F70D92"/>
    <w:rsid w:val="00F81FD9"/>
    <w:rsid w:val="00F841AA"/>
    <w:rsid w:val="00FA23E8"/>
    <w:rsid w:val="00FA5EF8"/>
    <w:rsid w:val="00FB79CC"/>
    <w:rsid w:val="00FC0D7B"/>
    <w:rsid w:val="00FD3CC1"/>
    <w:rsid w:val="00FD4A6A"/>
    <w:rsid w:val="00FD5C85"/>
    <w:rsid w:val="00FE7A3A"/>
    <w:rsid w:val="00FF1E02"/>
    <w:rsid w:val="00FF30B4"/>
    <w:rsid w:val="00FF32A7"/>
    <w:rsid w:val="09DE214E"/>
    <w:rsid w:val="10C055FF"/>
    <w:rsid w:val="161B1805"/>
    <w:rsid w:val="16BB723D"/>
    <w:rsid w:val="1BF15163"/>
    <w:rsid w:val="1E147BE1"/>
    <w:rsid w:val="20A57FE2"/>
    <w:rsid w:val="240371BF"/>
    <w:rsid w:val="29FD04D3"/>
    <w:rsid w:val="319F7F4E"/>
    <w:rsid w:val="39233B37"/>
    <w:rsid w:val="409501C5"/>
    <w:rsid w:val="431D16B7"/>
    <w:rsid w:val="43856191"/>
    <w:rsid w:val="44A91768"/>
    <w:rsid w:val="48384D73"/>
    <w:rsid w:val="53C52CC6"/>
    <w:rsid w:val="778154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4"/>
          <c:h val="0.847475195631507"/>
        </c:manualLayout>
      </c:layout>
      <c:barChart>
        <c:barDir val="col"/>
        <c:grouping val="clustered"/>
        <c:varyColors val="0"/>
        <c:ser>
          <c:idx val="0"/>
          <c:order val="0"/>
          <c:tx>
            <c:strRef>
              <c:f>Sheet1!$B$1</c:f>
              <c:strCache>
                <c:ptCount val="1"/>
                <c:pt idx="0">
                  <c:v>总收入</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958.89</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761.20</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958.89</c:v>
                </c:pt>
                <c:pt idx="1">
                  <c:v>761.2</c:v>
                </c:pt>
              </c:numCache>
            </c:numRef>
          </c:val>
        </c:ser>
        <c:ser>
          <c:idx val="1"/>
          <c:order val="1"/>
          <c:tx>
            <c:strRef>
              <c:f>Sheet1!$C$1</c:f>
              <c:strCache>
                <c:ptCount val="1"/>
                <c:pt idx="0">
                  <c:v>总支出</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776.06</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939.12</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776.06</c:v>
                </c:pt>
                <c:pt idx="1">
                  <c:v>939.12</c:v>
                </c:pt>
              </c:numCache>
            </c:numRef>
          </c:val>
        </c:ser>
        <c:dLbls>
          <c:showLegendKey val="0"/>
          <c:showVal val="0"/>
          <c:showCatName val="0"/>
          <c:showSerName val="0"/>
          <c:showPercent val="0"/>
          <c:showBubbleSize val="0"/>
        </c:dLbls>
        <c:gapWidth val="150"/>
        <c:axId val="18456960"/>
        <c:axId val="18459648"/>
      </c:barChart>
      <c:catAx>
        <c:axId val="1845696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59648"/>
        <c:crosses val="autoZero"/>
        <c:auto val="1"/>
        <c:lblAlgn val="ctr"/>
        <c:lblOffset val="100"/>
        <c:noMultiLvlLbl val="0"/>
      </c:catAx>
      <c:valAx>
        <c:axId val="184596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569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5"/>
                  <c:y val="-0.052658360566915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562773790240408"/>
                  <c:y val="-0.11904442782548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0.016948330838810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755.99</c:v>
                </c:pt>
                <c:pt idx="1">
                  <c:v>0</c:v>
                </c:pt>
                <c:pt idx="2">
                  <c:v>0</c:v>
                </c:pt>
                <c:pt idx="3">
                  <c:v>0</c:v>
                </c:pt>
                <c:pt idx="4">
                  <c:v>0</c:v>
                </c:pt>
                <c:pt idx="6">
                  <c:v>5.21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69821120903519"/>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6"/>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756.73</c:v>
                </c:pt>
                <c:pt idx="1">
                  <c:v>182.39</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6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951.29</c:v>
                </c:pt>
                <c:pt idx="1">
                  <c:v>755.99</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财政拨款支出, 933.9</a:t>
                    </a:r>
                    <a:r>
                      <a:rPr lang="en-US" altLang="en-US"/>
                      <a:t>1</a:t>
                    </a:r>
                    <a:endParaRPr altLang="en-US"/>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768.47</c:v>
                </c:pt>
                <c:pt idx="1">
                  <c:v>933.91</c:v>
                </c:pt>
              </c:numCache>
            </c:numRef>
          </c:val>
        </c:ser>
        <c:dLbls>
          <c:showLegendKey val="0"/>
          <c:showVal val="0"/>
          <c:showCatName val="0"/>
          <c:showSerName val="0"/>
          <c:showPercent val="0"/>
          <c:showBubbleSize val="0"/>
        </c:dLbls>
        <c:gapWidth val="150"/>
        <c:axId val="291286400"/>
        <c:axId val="18932864"/>
      </c:barChart>
      <c:catAx>
        <c:axId val="29128640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32864"/>
        <c:crosses val="autoZero"/>
        <c:auto val="1"/>
        <c:lblAlgn val="ctr"/>
        <c:lblOffset val="100"/>
        <c:noMultiLvlLbl val="0"/>
      </c:catAx>
      <c:valAx>
        <c:axId val="189328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128640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4"/>
          <c:w val="0.800284188614354"/>
          <c:h val="0.788862092238471"/>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2018年</c:v>
                </c:pt>
                <c:pt idx="1">
                  <c:v>2019年</c:v>
                </c:pt>
              </c:strCache>
            </c:strRef>
          </c:cat>
          <c:val>
            <c:numRef>
              <c:f>Sheet1!$B$2:$B$3</c:f>
              <c:numCache>
                <c:formatCode>General</c:formatCode>
                <c:ptCount val="2"/>
                <c:pt idx="0">
                  <c:v>768.47</c:v>
                </c:pt>
                <c:pt idx="1">
                  <c:v>933.91</c:v>
                </c:pt>
              </c:numCache>
            </c:numRef>
          </c:val>
        </c:ser>
        <c:dLbls>
          <c:showLegendKey val="0"/>
          <c:showVal val="0"/>
          <c:showCatName val="0"/>
          <c:showSerName val="0"/>
          <c:showPercent val="0"/>
          <c:showBubbleSize val="0"/>
        </c:dLbls>
        <c:gapWidth val="150"/>
        <c:axId val="19031552"/>
        <c:axId val="19033088"/>
      </c:barChart>
      <c:catAx>
        <c:axId val="190315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3088"/>
        <c:crosses val="autoZero"/>
        <c:auto val="1"/>
        <c:lblAlgn val="ctr"/>
        <c:lblOffset val="100"/>
        <c:noMultiLvlLbl val="0"/>
      </c:catAx>
      <c:valAx>
        <c:axId val="190330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1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0.054845707300156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73964454443195"/>
                  <c:y val="0.030230779693805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6"/>
                  <c:y val="-0.02481660042014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7"/>
                  <c:y val="0.09536191939254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812.83</c:v>
                </c:pt>
                <c:pt idx="2">
                  <c:v>0</c:v>
                </c:pt>
                <c:pt idx="3">
                  <c:v>93.35</c:v>
                </c:pt>
                <c:pt idx="4">
                  <c:v>26.6</c:v>
                </c:pt>
                <c:pt idx="5">
                  <c:v>0</c:v>
                </c:pt>
                <c:pt idx="6">
                  <c:v>1.13</c:v>
                </c:pt>
                <c:pt idx="7">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2013659452458"/>
          <c:y val="0.187800830013115"/>
          <c:w val="0.247191516148282"/>
          <c:h val="0.76084778726727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dLbls>
            <c:delete val="1"/>
          </c:dLbls>
          <c:cat>
            <c:strRef>
              <c:f>Sheet1!$A$2:$A$7</c:f>
              <c:strCache>
                <c:ptCount val="6"/>
                <c:pt idx="0">
                  <c:v>住房保障支出（类）住房改革支出（款）住房公积金（项）</c:v>
                </c:pt>
                <c:pt idx="1">
                  <c:v>医疗卫生与计划生育支出（类）行政事业单位医疗★（款）事业单位医疗★（项）</c:v>
                </c:pt>
                <c:pt idx="2">
                  <c:v>社会保障和就业支出（类）其它社会保障和就业（款）其它社会保障和就业支出（项）</c:v>
                </c:pt>
                <c:pt idx="3">
                  <c:v>社会保障和就业支出（类）抚恤（款）死亡抚恤（项）</c:v>
                </c:pt>
                <c:pt idx="4">
                  <c:v>社会保障和就业支出（类）行政事业单位离退休（款）机关事业单位职业年金缴费支出★（项）</c:v>
                </c:pt>
                <c:pt idx="5">
                  <c:v>社会保障和就业支出（类）行政事业单位离退休（款）机关事业单位基本养老保险缴费支出★（项）</c:v>
                </c:pt>
              </c:strCache>
            </c:strRef>
          </c:cat>
          <c:val>
            <c:numRef>
              <c:f>Sheet1!$B$2:$B$7</c:f>
              <c:numCache>
                <c:formatCode>#,##0.00</c:formatCode>
                <c:ptCount val="6"/>
                <c:pt idx="0">
                  <c:v>1.13</c:v>
                </c:pt>
                <c:pt idx="1">
                  <c:v>26.6</c:v>
                </c:pt>
                <c:pt idx="2">
                  <c:v>5.26</c:v>
                </c:pt>
                <c:pt idx="3">
                  <c:v>5.64</c:v>
                </c:pt>
                <c:pt idx="4">
                  <c:v>12.06</c:v>
                </c:pt>
                <c:pt idx="5">
                  <c:v>70.39</c:v>
                </c:pt>
              </c:numCache>
            </c:numRef>
          </c:val>
        </c:ser>
        <c:ser>
          <c:idx val="1"/>
          <c:order val="1"/>
          <c:tx>
            <c:strRef>
              <c:f>Sheet1!$C$1</c:f>
              <c:strCache>
                <c:ptCount val="1"/>
                <c:pt idx="0">
                  <c:v>未完成预算额</c:v>
                </c:pt>
              </c:strCache>
            </c:strRef>
          </c:tx>
          <c:invertIfNegative val="0"/>
          <c:dLbls>
            <c:delete val="1"/>
          </c:dLbls>
          <c:cat>
            <c:strRef>
              <c:f>Sheet1!$A$2:$A$7</c:f>
              <c:strCache>
                <c:ptCount val="6"/>
                <c:pt idx="0">
                  <c:v>住房保障支出（类）住房改革支出（款）住房公积金（项）</c:v>
                </c:pt>
                <c:pt idx="1">
                  <c:v>医疗卫生与计划生育支出（类）行政事业单位医疗★（款）事业单位医疗★（项）</c:v>
                </c:pt>
                <c:pt idx="2">
                  <c:v>社会保障和就业支出（类）其它社会保障和就业（款）其它社会保障和就业支出（项）</c:v>
                </c:pt>
                <c:pt idx="3">
                  <c:v>社会保障和就业支出（类）抚恤（款）死亡抚恤（项）</c:v>
                </c:pt>
                <c:pt idx="4">
                  <c:v>社会保障和就业支出（类）行政事业单位离退休（款）机关事业单位职业年金缴费支出★（项）</c:v>
                </c:pt>
                <c:pt idx="5">
                  <c:v>社会保障和就业支出（类）行政事业单位离退休（款）机关事业单位基本养老保险缴费支出★（项）</c:v>
                </c:pt>
              </c:strCache>
            </c:strRef>
          </c:cat>
          <c:val>
            <c:numRef>
              <c:f>Sheet1!$C$2:$C$7</c:f>
              <c:numCache>
                <c:formatCode>#,##0.00_ </c:formatCode>
                <c:ptCount val="6"/>
                <c:pt idx="0">
                  <c:v>0</c:v>
                </c:pt>
                <c:pt idx="1">
                  <c:v>0</c:v>
                </c:pt>
                <c:pt idx="2">
                  <c:v>0</c:v>
                </c:pt>
                <c:pt idx="4">
                  <c:v>0</c:v>
                </c:pt>
                <c:pt idx="5">
                  <c:v>0</c:v>
                </c:pt>
              </c:numCache>
            </c:numRef>
          </c:val>
        </c:ser>
        <c:dLbls>
          <c:showLegendKey val="0"/>
          <c:showVal val="0"/>
          <c:showCatName val="0"/>
          <c:showSerName val="0"/>
          <c:showPercent val="0"/>
          <c:showBubbleSize val="0"/>
        </c:dLbls>
        <c:gapWidth val="150"/>
        <c:overlap val="100"/>
        <c:axId val="19392384"/>
        <c:axId val="19393920"/>
      </c:barChart>
      <c:catAx>
        <c:axId val="1939238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p>
        </c:txPr>
        <c:crossAx val="19393920"/>
        <c:crosses val="autoZero"/>
        <c:auto val="1"/>
        <c:lblAlgn val="l"/>
        <c:lblOffset val="100"/>
        <c:noMultiLvlLbl val="0"/>
      </c:catAx>
      <c:valAx>
        <c:axId val="19393920"/>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3923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4537B-C7C5-4CB8-98E6-AA73578ED2A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1770</Words>
  <Characters>10094</Characters>
  <Lines>84</Lines>
  <Paragraphs>23</Paragraphs>
  <TotalTime>0</TotalTime>
  <ScaleCrop>false</ScaleCrop>
  <LinksUpToDate>false</LinksUpToDate>
  <CharactersWithSpaces>11841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2020-09-14T11:20:00Z</dcterms:created>
  <dc:creator>张彬茜</dc:creator>
  <cp:lastModifiedBy>相识是缘</cp:lastModifiedBy>
  <cp:lastPrinted>2020-09-01T03:32:00Z</cp:lastPrinted>
  <dcterms:modified xsi:type="dcterms:W3CDTF">2020-09-18T02:26:09Z</dcterms:modified>
  <dc:title>四川省***</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