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N/>
        <w:bidi w:val="0"/>
        <w:snapToGrid w:val="0"/>
        <w:spacing w:before="0" w:beforeAutospacing="0" w:after="0" w:afterAutospacing="0" w:line="540" w:lineRule="exact"/>
        <w:ind w:left="0" w:leftChars="0"/>
        <w:jc w:val="center"/>
        <w:textAlignment w:val="baseline"/>
        <w:rPr>
          <w:rFonts w:hint="eastAsia" w:ascii="方正小标宋简体" w:hAnsi="方正小标宋简体" w:eastAsia="方正小标宋简体" w:cs="方正小标宋简体"/>
          <w:b w:val="0"/>
          <w:bCs/>
          <w:i w:val="0"/>
          <w:caps w:val="0"/>
          <w:color w:val="000000" w:themeColor="text1"/>
          <w:spacing w:val="0"/>
          <w:w w:val="10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100"/>
          <w:sz w:val="44"/>
          <w:szCs w:val="44"/>
          <w:lang w:eastAsia="zh-CN"/>
          <w14:textFill>
            <w14:solidFill>
              <w14:schemeClr w14:val="tx1"/>
            </w14:solidFill>
          </w14:textFill>
        </w:rPr>
        <w:t>广元市利州区三堆小学</w:t>
      </w:r>
    </w:p>
    <w:p>
      <w:pPr>
        <w:keepNext w:val="0"/>
        <w:keepLines w:val="0"/>
        <w:pageBreakBefore w:val="0"/>
        <w:widowControl w:val="0"/>
        <w:kinsoku/>
        <w:wordWrap/>
        <w:overflowPunct/>
        <w:autoSpaceDN/>
        <w:bidi w:val="0"/>
        <w:snapToGrid w:val="0"/>
        <w:spacing w:before="0" w:beforeAutospacing="0" w:after="0" w:afterAutospacing="0" w:line="540" w:lineRule="exact"/>
        <w:ind w:left="0" w:leftChars="0"/>
        <w:jc w:val="center"/>
        <w:textAlignment w:val="baseline"/>
        <w:rPr>
          <w:rFonts w:hint="eastAsia" w:ascii="方正小标宋简体" w:hAnsi="方正小标宋简体" w:eastAsia="方正小标宋简体" w:cs="方正小标宋简体"/>
          <w:b/>
          <w:i w:val="0"/>
          <w:caps w:val="0"/>
          <w:color w:val="000000" w:themeColor="text1"/>
          <w:spacing w:val="0"/>
          <w:w w:val="10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100"/>
          <w:sz w:val="44"/>
          <w:szCs w:val="44"/>
          <w14:textFill>
            <w14:solidFill>
              <w14:schemeClr w14:val="tx1"/>
            </w14:solidFill>
          </w14:textFill>
        </w:rPr>
        <w:t>2021年部门预算情况说明</w:t>
      </w:r>
    </w:p>
    <w:p>
      <w:pPr>
        <w:keepNext w:val="0"/>
        <w:keepLines w:val="0"/>
        <w:pageBreakBefore w:val="0"/>
        <w:widowControl w:val="0"/>
        <w:kinsoku/>
        <w:wordWrap/>
        <w:overflowPunct/>
        <w:autoSpaceDN/>
        <w:bidi w:val="0"/>
        <w:snapToGrid w:val="0"/>
        <w:spacing w:before="0" w:beforeAutospacing="0" w:after="0" w:afterAutospacing="0" w:line="540" w:lineRule="exact"/>
        <w:ind w:left="0" w:leftChars="0" w:firstLine="643" w:firstLineChars="200"/>
        <w:jc w:val="both"/>
        <w:textAlignment w:val="baseline"/>
        <w:rPr>
          <w:rFonts w:hint="eastAsia" w:ascii="仿宋" w:hAnsi="仿宋" w:eastAsia="仿宋" w:cs="仿宋"/>
          <w:b/>
          <w:i w:val="0"/>
          <w:caps w:val="0"/>
          <w:color w:val="000000" w:themeColor="text1"/>
          <w:spacing w:val="0"/>
          <w:w w:val="100"/>
          <w:sz w:val="32"/>
          <w:szCs w:val="32"/>
          <w14:textFill>
            <w14:solidFill>
              <w14:schemeClr w14:val="tx1"/>
            </w14:solidFill>
          </w14:textFill>
        </w:rPr>
      </w:pP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黑体" w:hAnsi="黑体" w:eastAsia="黑体" w:cs="黑体"/>
          <w:b w:val="0"/>
          <w:bCs/>
          <w:i w:val="0"/>
          <w:caps w:val="0"/>
          <w:color w:val="000000" w:themeColor="text1"/>
          <w:spacing w:val="0"/>
          <w:w w:val="100"/>
          <w:sz w:val="32"/>
          <w:szCs w:val="32"/>
          <w14:textFill>
            <w14:solidFill>
              <w14:schemeClr w14:val="tx1"/>
            </w14:solidFill>
          </w14:textFill>
        </w:rPr>
      </w:pP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一、基本情况</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编制</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64</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名，其中行政编制</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名，事业编制</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64</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名。在职人员总数</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69</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人，其中行政人员</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人，工勤人员</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人，事业人员</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66</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人，其他人员</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3</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人；</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退</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休人员</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39</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人。固定资产总额</w:t>
      </w:r>
      <w:r>
        <w:rPr>
          <w:rFonts w:hint="eastAsia" w:ascii="仿宋" w:hAnsi="仿宋" w:eastAsia="仿宋" w:cs="仿宋"/>
          <w:color w:val="000000" w:themeColor="text1"/>
          <w:sz w:val="32"/>
          <w:szCs w:val="32"/>
          <w14:textFill>
            <w14:solidFill>
              <w14:schemeClr w14:val="tx1"/>
            </w14:solidFill>
          </w14:textFill>
        </w:rPr>
        <w:t>2603.68</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万元。</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黑体" w:hAnsi="黑体" w:eastAsia="黑体" w:cs="黑体"/>
          <w:b w:val="0"/>
          <w:bCs/>
          <w:i w:val="0"/>
          <w:caps w:val="0"/>
          <w:color w:val="000000" w:themeColor="text1"/>
          <w:spacing w:val="0"/>
          <w:w w:val="100"/>
          <w:sz w:val="32"/>
          <w:szCs w:val="32"/>
          <w14:textFill>
            <w14:solidFill>
              <w14:schemeClr w14:val="tx1"/>
            </w14:solidFill>
          </w14:textFill>
        </w:rPr>
      </w:pP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二、主要职能职责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autoSpaceDN/>
        <w:bidi w:val="0"/>
        <w:snapToGrid w:val="0"/>
        <w:spacing w:before="0" w:beforeAutospacing="0" w:after="0" w:afterAutospacing="0" w:line="536" w:lineRule="exact"/>
        <w:ind w:left="0" w:leftChars="0"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我校的主要职能是：</w:t>
      </w:r>
      <w:r>
        <w:rPr>
          <w:rFonts w:hint="eastAsia" w:ascii="仿宋" w:hAnsi="仿宋" w:eastAsia="仿宋" w:cs="仿宋"/>
          <w:color w:val="000000" w:themeColor="text1"/>
          <w:sz w:val="32"/>
          <w:szCs w:val="32"/>
          <w14:textFill>
            <w14:solidFill>
              <w14:schemeClr w14:val="tx1"/>
            </w14:solidFill>
          </w14:textFill>
        </w:rPr>
        <w:t>实施小学义务教育，促进基础教育发展</w:t>
      </w:r>
    </w:p>
    <w:p>
      <w:pPr>
        <w:keepNext w:val="0"/>
        <w:keepLines w:val="0"/>
        <w:pageBreakBefore w:val="0"/>
        <w:widowControl w:val="0"/>
        <w:kinsoku/>
        <w:wordWrap/>
        <w:overflowPunct/>
        <w:autoSpaceDN/>
        <w:bidi w:val="0"/>
        <w:snapToGrid w:val="0"/>
        <w:spacing w:line="536"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负责</w:t>
      </w:r>
      <w:r>
        <w:rPr>
          <w:rFonts w:hint="eastAsia" w:ascii="仿宋" w:hAnsi="仿宋" w:eastAsia="仿宋" w:cs="仿宋"/>
          <w:color w:val="000000" w:themeColor="text1"/>
          <w:sz w:val="32"/>
          <w:szCs w:val="32"/>
          <w14:textFill>
            <w14:solidFill>
              <w14:schemeClr w14:val="tx1"/>
            </w14:solidFill>
          </w14:textFill>
        </w:rPr>
        <w:t>推进义务教育均衡发展和促进教育公平，全面实施素质教育；对基础教育发展水平、质量的监测工作。</w:t>
      </w:r>
    </w:p>
    <w:p>
      <w:pPr>
        <w:keepNext w:val="0"/>
        <w:keepLines w:val="0"/>
        <w:pageBreakBefore w:val="0"/>
        <w:widowControl w:val="0"/>
        <w:kinsoku/>
        <w:wordWrap/>
        <w:overflowPunct/>
        <w:autoSpaceDN/>
        <w:bidi w:val="0"/>
        <w:snapToGrid w:val="0"/>
        <w:spacing w:line="536"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负责配合各级人民政府依法动员、组织适龄儿童、少年入学，严格控制学生辍学，依法保证适龄儿童、少年接受九年义务教育。</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负责</w:t>
      </w:r>
      <w:r>
        <w:rPr>
          <w:rFonts w:hint="eastAsia" w:ascii="仿宋" w:hAnsi="仿宋" w:eastAsia="仿宋" w:cs="仿宋"/>
          <w:color w:val="000000" w:themeColor="text1"/>
          <w:sz w:val="32"/>
          <w:szCs w:val="32"/>
          <w14:textFill>
            <w14:solidFill>
              <w14:schemeClr w14:val="tx1"/>
            </w14:solidFill>
          </w14:textFill>
        </w:rPr>
        <w:t>依法治校、安全、综合治理、档案、保密、计划生育工作</w:t>
      </w:r>
      <w:r>
        <w:rPr>
          <w:rFonts w:hint="eastAsia" w:ascii="仿宋" w:hAnsi="仿宋" w:eastAsia="仿宋" w:cs="仿宋"/>
          <w:color w:val="000000" w:themeColor="text1"/>
          <w:sz w:val="32"/>
          <w:szCs w:val="32"/>
          <w14:textFill>
            <w14:solidFill>
              <w14:schemeClr w14:val="tx1"/>
            </w14:solidFill>
          </w14:textFill>
        </w:rPr>
        <w:t>，完成</w:t>
      </w:r>
      <w:r>
        <w:rPr>
          <w:rFonts w:hint="eastAsia" w:ascii="仿宋" w:hAnsi="仿宋" w:eastAsia="仿宋" w:cs="仿宋"/>
          <w:color w:val="000000" w:themeColor="text1"/>
          <w:sz w:val="32"/>
          <w:szCs w:val="32"/>
          <w14:textFill>
            <w14:solidFill>
              <w14:schemeClr w14:val="tx1"/>
            </w14:solidFill>
          </w14:textFill>
        </w:rPr>
        <w:t>学校体育、卫生与艺术教育工作。</w:t>
      </w:r>
    </w:p>
    <w:p>
      <w:pPr>
        <w:keepNext w:val="0"/>
        <w:keepLines w:val="0"/>
        <w:pageBreakBefore w:val="0"/>
        <w:widowControl w:val="0"/>
        <w:kinsoku/>
        <w:wordWrap/>
        <w:overflowPunct/>
        <w:autoSpaceDN/>
        <w:bidi w:val="0"/>
        <w:snapToGrid w:val="0"/>
        <w:spacing w:line="536"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统筹</w:t>
      </w:r>
      <w:r>
        <w:rPr>
          <w:rFonts w:hint="eastAsia" w:ascii="仿宋" w:hAnsi="仿宋" w:eastAsia="仿宋" w:cs="仿宋"/>
          <w:color w:val="000000" w:themeColor="text1"/>
          <w:sz w:val="32"/>
          <w:szCs w:val="32"/>
          <w14:textFill>
            <w14:solidFill>
              <w14:schemeClr w14:val="tx1"/>
            </w14:solidFill>
          </w14:textFill>
        </w:rPr>
        <w:t>安排</w:t>
      </w:r>
      <w:r>
        <w:rPr>
          <w:rFonts w:hint="eastAsia" w:ascii="仿宋" w:hAnsi="仿宋" w:eastAsia="仿宋" w:cs="仿宋"/>
          <w:color w:val="000000" w:themeColor="text1"/>
          <w:sz w:val="32"/>
          <w:szCs w:val="32"/>
          <w14:textFill>
            <w14:solidFill>
              <w14:schemeClr w14:val="tx1"/>
            </w14:solidFill>
          </w14:textFill>
        </w:rPr>
        <w:t>学校教师和管理人员队伍建设；</w:t>
      </w:r>
      <w:r>
        <w:rPr>
          <w:rFonts w:hint="eastAsia" w:ascii="仿宋" w:hAnsi="仿宋" w:eastAsia="仿宋" w:cs="仿宋"/>
          <w:color w:val="000000" w:themeColor="text1"/>
          <w:sz w:val="32"/>
          <w:szCs w:val="32"/>
          <w14:textFill>
            <w14:solidFill>
              <w14:schemeClr w14:val="tx1"/>
            </w14:solidFill>
          </w14:textFill>
        </w:rPr>
        <w:t>完成</w:t>
      </w:r>
      <w:r>
        <w:rPr>
          <w:rFonts w:hint="eastAsia" w:ascii="仿宋" w:hAnsi="仿宋" w:eastAsia="仿宋" w:cs="仿宋"/>
          <w:color w:val="000000" w:themeColor="text1"/>
          <w:sz w:val="32"/>
          <w:szCs w:val="32"/>
          <w14:textFill>
            <w14:solidFill>
              <w14:schemeClr w14:val="tx1"/>
            </w14:solidFill>
          </w14:textFill>
        </w:rPr>
        <w:t>教师的继续教育和课程改革新教材的培训工作；</w:t>
      </w:r>
      <w:r>
        <w:rPr>
          <w:rFonts w:hint="eastAsia" w:ascii="仿宋" w:hAnsi="仿宋" w:eastAsia="仿宋" w:cs="仿宋"/>
          <w:color w:val="000000" w:themeColor="text1"/>
          <w:sz w:val="32"/>
          <w:szCs w:val="32"/>
          <w14:textFill>
            <w14:solidFill>
              <w14:schemeClr w14:val="tx1"/>
            </w14:solidFill>
          </w14:textFill>
        </w:rPr>
        <w:t>加强</w:t>
      </w:r>
      <w:r>
        <w:rPr>
          <w:rFonts w:hint="eastAsia" w:ascii="仿宋" w:hAnsi="仿宋" w:eastAsia="仿宋" w:cs="仿宋"/>
          <w:color w:val="000000" w:themeColor="text1"/>
          <w:sz w:val="32"/>
          <w:szCs w:val="32"/>
          <w14:textFill>
            <w14:solidFill>
              <w14:schemeClr w14:val="tx1"/>
            </w14:solidFill>
          </w14:textFill>
        </w:rPr>
        <w:t xml:space="preserve">人才队伍建设。 </w:t>
      </w:r>
    </w:p>
    <w:p>
      <w:pPr>
        <w:keepNext w:val="0"/>
        <w:keepLines w:val="0"/>
        <w:pageBreakBefore w:val="0"/>
        <w:widowControl w:val="0"/>
        <w:kinsoku/>
        <w:wordWrap/>
        <w:overflowPunct/>
        <w:autoSpaceDN/>
        <w:bidi w:val="0"/>
        <w:snapToGrid w:val="0"/>
        <w:spacing w:line="536" w:lineRule="exact"/>
        <w:ind w:left="0" w:leftChars="0"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负责完成</w:t>
      </w:r>
      <w:r>
        <w:rPr>
          <w:rFonts w:hint="eastAsia" w:ascii="仿宋" w:hAnsi="仿宋" w:eastAsia="仿宋" w:cs="仿宋"/>
          <w:color w:val="000000" w:themeColor="text1"/>
          <w:sz w:val="32"/>
          <w:szCs w:val="32"/>
          <w14:textFill>
            <w14:solidFill>
              <w14:schemeClr w14:val="tx1"/>
            </w14:solidFill>
          </w14:textFill>
        </w:rPr>
        <w:t>教育方面的对外交流与合作、对外宣传</w:t>
      </w:r>
      <w:r>
        <w:rPr>
          <w:rFonts w:hint="eastAsia" w:ascii="仿宋" w:hAnsi="仿宋" w:eastAsia="仿宋" w:cs="仿宋"/>
          <w:color w:val="000000" w:themeColor="text1"/>
          <w:sz w:val="32"/>
          <w:szCs w:val="32"/>
          <w14:textFill>
            <w14:solidFill>
              <w14:schemeClr w14:val="tx1"/>
            </w14:solidFill>
          </w14:textFill>
        </w:rPr>
        <w:t>，完成</w:t>
      </w:r>
      <w:r>
        <w:rPr>
          <w:rFonts w:hint="eastAsia" w:ascii="仿宋" w:hAnsi="仿宋" w:eastAsia="仿宋" w:cs="仿宋"/>
          <w:color w:val="000000" w:themeColor="text1"/>
          <w:sz w:val="32"/>
          <w:szCs w:val="32"/>
          <w14:textFill>
            <w14:solidFill>
              <w14:schemeClr w14:val="tx1"/>
            </w14:solidFill>
          </w14:textFill>
        </w:rPr>
        <w:t>后勤保障、信息化建设以及教学仪器设备和图书资料装备工作</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负责按照教育主管单位发布的指导性教学计划、教学大纲，组织实施教育教学活动。</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负责依据国家教育单位有关教学计划、课程设置等方面的规定，决定和实施本校的教学计划，组织教学评比、集体评课，对学生进行统一考核、考试等。</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（八）</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承办上级交办的其他事项</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黑体" w:hAnsi="黑体" w:eastAsia="黑体" w:cs="黑体"/>
          <w:b w:val="0"/>
          <w:bCs/>
          <w:i w:val="0"/>
          <w:caps w:val="0"/>
          <w:color w:val="000000" w:themeColor="text1"/>
          <w:spacing w:val="0"/>
          <w:w w:val="100"/>
          <w:sz w:val="32"/>
          <w:szCs w:val="32"/>
          <w14:textFill>
            <w14:solidFill>
              <w14:schemeClr w14:val="tx1"/>
            </w14:solidFill>
          </w14:textFill>
        </w:rPr>
      </w:pP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三、预算收支情况说明</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2021年部门预算收入总数</w:t>
      </w:r>
      <w:r>
        <w:rPr>
          <w:rFonts w:hint="eastAsia" w:ascii="仿宋" w:hAnsi="仿宋" w:eastAsia="仿宋" w:cs="仿宋"/>
          <w:color w:val="000000" w:themeColor="text1"/>
          <w:sz w:val="32"/>
          <w:szCs w:val="32"/>
          <w:highlight w:val="none"/>
          <w14:textFill>
            <w14:solidFill>
              <w14:schemeClr w14:val="tx1"/>
            </w14:solidFill>
          </w14:textFill>
        </w:rPr>
        <w:t>920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68</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万元，较2020年部门预算收入总数</w:t>
      </w:r>
      <w:r>
        <w:rPr>
          <w:rFonts w:hint="eastAsia" w:ascii="仿宋" w:hAnsi="仿宋" w:eastAsia="仿宋" w:cs="仿宋"/>
          <w:color w:val="000000" w:themeColor="text1"/>
          <w:sz w:val="32"/>
          <w:szCs w:val="32"/>
          <w:highlight w:val="none"/>
          <w14:textFill>
            <w14:solidFill>
              <w14:schemeClr w14:val="tx1"/>
            </w14:solidFill>
          </w14:textFill>
        </w:rPr>
        <w:t>875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21</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万元增长</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5.</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20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%。2021年部门预算支出总数</w:t>
      </w:r>
      <w:r>
        <w:rPr>
          <w:rFonts w:hint="eastAsia" w:ascii="仿宋" w:hAnsi="仿宋" w:eastAsia="仿宋" w:cs="仿宋"/>
          <w:color w:val="000000" w:themeColor="text1"/>
          <w:sz w:val="32"/>
          <w:szCs w:val="32"/>
          <w:highlight w:val="none"/>
          <w14:textFill>
            <w14:solidFill>
              <w14:schemeClr w14:val="tx1"/>
            </w14:solidFill>
          </w14:textFill>
        </w:rPr>
        <w:t>920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68</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万元，较2020年部门预算支出总数</w:t>
      </w:r>
      <w:r>
        <w:rPr>
          <w:rFonts w:hint="eastAsia" w:ascii="仿宋" w:hAnsi="仿宋" w:eastAsia="仿宋" w:cs="仿宋"/>
          <w:color w:val="000000" w:themeColor="text1"/>
          <w:sz w:val="32"/>
          <w:szCs w:val="32"/>
          <w:highlight w:val="none"/>
          <w14:textFill>
            <w14:solidFill>
              <w14:schemeClr w14:val="tx1"/>
            </w14:solidFill>
          </w14:textFill>
        </w:rPr>
        <w:t>875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21</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万元增长</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5.07</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2021年部门基本支出预算总</w:t>
      </w:r>
      <w:r>
        <w:rPr>
          <w:rFonts w:hint="eastAsia" w:ascii="仿宋" w:hAnsi="仿宋" w:eastAsia="仿宋" w:cs="仿宋"/>
          <w:color w:val="000000" w:themeColor="text1"/>
          <w:sz w:val="32"/>
          <w:szCs w:val="32"/>
          <w:highlight w:val="none"/>
          <w14:textFill>
            <w14:solidFill>
              <w14:schemeClr w14:val="tx1"/>
            </w14:solidFill>
          </w14:textFill>
        </w:rPr>
        <w:t>920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68</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万元，其中人员支出</w:t>
      </w:r>
      <w:r>
        <w:rPr>
          <w:rFonts w:hint="eastAsia" w:ascii="仿宋" w:hAnsi="仿宋" w:eastAsia="仿宋" w:cs="仿宋"/>
          <w:color w:val="000000" w:themeColor="text1"/>
          <w:sz w:val="32"/>
          <w:szCs w:val="32"/>
          <w:highlight w:val="none"/>
          <w14:textFill>
            <w14:solidFill>
              <w14:schemeClr w14:val="tx1"/>
            </w14:solidFill>
          </w14:textFill>
        </w:rPr>
        <w:t>836</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52</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万元，公用支出</w:t>
      </w:r>
      <w:r>
        <w:rPr>
          <w:rFonts w:hint="eastAsia" w:ascii="仿宋" w:hAnsi="仿宋" w:eastAsia="仿宋" w:cs="仿宋"/>
          <w:color w:val="000000" w:themeColor="text1"/>
          <w:sz w:val="32"/>
          <w:szCs w:val="32"/>
          <w:highlight w:val="none"/>
          <w14:textFill>
            <w14:solidFill>
              <w14:schemeClr w14:val="tx1"/>
            </w14:solidFill>
          </w14:textFill>
        </w:rPr>
        <w:t>25</w:t>
      </w:r>
      <w:r>
        <w:rPr>
          <w:rFonts w:hint="eastAsia" w:ascii="仿宋" w:hAnsi="仿宋" w:eastAsia="仿宋" w:cs="仿宋"/>
          <w:color w:val="000000" w:themeColor="text1"/>
          <w:sz w:val="32"/>
          <w:szCs w:val="32"/>
          <w:highlight w:val="none"/>
          <w14:textFill>
            <w14:solidFill>
              <w14:schemeClr w14:val="tx1"/>
            </w14:solidFill>
          </w14:textFill>
        </w:rPr>
        <w:t>.20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万元，对家庭和个人补助支出</w:t>
      </w:r>
      <w:r>
        <w:rPr>
          <w:rFonts w:hint="eastAsia" w:ascii="仿宋" w:hAnsi="仿宋" w:eastAsia="仿宋" w:cs="仿宋"/>
          <w:color w:val="000000" w:themeColor="text1"/>
          <w:sz w:val="32"/>
          <w:szCs w:val="32"/>
          <w:highlight w:val="none"/>
          <w14:textFill>
            <w14:solidFill>
              <w14:schemeClr w14:val="tx1"/>
            </w14:solidFill>
          </w14:textFill>
        </w:rPr>
        <w:t>58</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9</w:t>
      </w:r>
      <w:r>
        <w:rPr>
          <w:rFonts w:hint="eastAsia" w:ascii="仿宋" w:hAnsi="仿宋" w:eastAsia="仿宋" w:cs="仿宋"/>
          <w:color w:val="000000" w:themeColor="text1"/>
          <w:sz w:val="32"/>
          <w:szCs w:val="32"/>
          <w:highlight w:val="none"/>
          <w14:textFill>
            <w14:solidFill>
              <w14:schemeClr w14:val="tx1"/>
            </w14:solidFill>
          </w14:textFill>
        </w:rPr>
        <w:t>7</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w:t>
      </w:r>
    </w:p>
    <w:p>
      <w:pPr>
        <w:keepNext w:val="0"/>
        <w:keepLines w:val="0"/>
        <w:pageBreakBefore w:val="0"/>
        <w:widowControl w:val="0"/>
        <w:kinsoku/>
        <w:wordWrap/>
        <w:overflowPunct/>
        <w:autoSpaceDN/>
        <w:bidi w:val="0"/>
        <w:snapToGrid w:val="0"/>
        <w:spacing w:before="0" w:beforeAutospacing="0" w:after="0" w:afterAutospacing="0" w:line="536"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2021年部门预算安排专项资金</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万元（明细项目见附表）。</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黑体" w:hAnsi="黑体" w:eastAsia="黑体" w:cs="黑体"/>
          <w:b w:val="0"/>
          <w:bCs/>
          <w:i w:val="0"/>
          <w:caps w:val="0"/>
          <w:color w:val="000000" w:themeColor="text1"/>
          <w:spacing w:val="0"/>
          <w:w w:val="100"/>
          <w:sz w:val="32"/>
          <w:szCs w:val="32"/>
          <w14:textFill>
            <w14:solidFill>
              <w14:schemeClr w14:val="tx1"/>
            </w14:solidFill>
          </w14:textFill>
        </w:rPr>
      </w:pP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 xml:space="preserve"> 四、财政拨款收支预算情况说</w:t>
      </w:r>
      <w:bookmarkStart w:id="0" w:name="_GoBack"/>
      <w:bookmarkEnd w:id="0"/>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明</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2021年部门预算财政拨款收入总数</w:t>
      </w:r>
      <w:r>
        <w:rPr>
          <w:rFonts w:hint="eastAsia" w:ascii="仿宋" w:hAnsi="仿宋" w:eastAsia="仿宋" w:cs="仿宋"/>
          <w:color w:val="000000" w:themeColor="text1"/>
          <w:sz w:val="32"/>
          <w:szCs w:val="32"/>
          <w:highlight w:val="none"/>
          <w14:textFill>
            <w14:solidFill>
              <w14:schemeClr w14:val="tx1"/>
            </w14:solidFill>
          </w14:textFill>
        </w:rPr>
        <w:t>920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68</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万元，较2020年部门预算财政拨款收入总数</w:t>
      </w:r>
      <w:r>
        <w:rPr>
          <w:rFonts w:hint="eastAsia" w:ascii="仿宋" w:hAnsi="仿宋" w:eastAsia="仿宋" w:cs="仿宋"/>
          <w:color w:val="000000" w:themeColor="text1"/>
          <w:sz w:val="32"/>
          <w:szCs w:val="32"/>
          <w:highlight w:val="none"/>
          <w14:textFill>
            <w14:solidFill>
              <w14:schemeClr w14:val="tx1"/>
            </w14:solidFill>
          </w14:textFill>
        </w:rPr>
        <w:t>875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21</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万元增长</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5.</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20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%。2021年部门预算财政拨款支出总数</w:t>
      </w:r>
      <w:r>
        <w:rPr>
          <w:rFonts w:hint="eastAsia" w:ascii="仿宋" w:hAnsi="仿宋" w:eastAsia="仿宋" w:cs="仿宋"/>
          <w:color w:val="000000" w:themeColor="text1"/>
          <w:sz w:val="32"/>
          <w:szCs w:val="32"/>
          <w:highlight w:val="none"/>
          <w14:textFill>
            <w14:solidFill>
              <w14:schemeClr w14:val="tx1"/>
            </w14:solidFill>
          </w14:textFill>
        </w:rPr>
        <w:t>920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68</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万元，较2020年部门预算财政拨款支出总数</w:t>
      </w:r>
      <w:r>
        <w:rPr>
          <w:rFonts w:hint="eastAsia" w:ascii="仿宋" w:hAnsi="仿宋" w:eastAsia="仿宋" w:cs="仿宋"/>
          <w:color w:val="000000" w:themeColor="text1"/>
          <w:sz w:val="32"/>
          <w:szCs w:val="32"/>
          <w:highlight w:val="none"/>
          <w14:textFill>
            <w14:solidFill>
              <w14:schemeClr w14:val="tx1"/>
            </w14:solidFill>
          </w14:textFill>
        </w:rPr>
        <w:t>875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21</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万元增长</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5.20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仿宋" w:hAnsi="仿宋" w:eastAsia="仿宋" w:cs="仿宋"/>
          <w:b/>
          <w:i w:val="0"/>
          <w:caps w:val="0"/>
          <w:color w:val="000000" w:themeColor="text1"/>
          <w:spacing w:val="0"/>
          <w:w w:val="100"/>
          <w:sz w:val="32"/>
          <w:szCs w:val="32"/>
          <w:highlight w:val="none"/>
          <w14:textFill>
            <w14:solidFill>
              <w14:schemeClr w14:val="tx1"/>
            </w14:solidFill>
          </w14:textFill>
        </w:rPr>
      </w:pP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五、一般公共预算当年拨款情况说明</w:t>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br w:type="textWrapping"/>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　　（一）一般公共预算当年拨款规模变化情况</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i w:val="0"/>
          <w:caps w:val="0"/>
          <w:color w:val="000000" w:themeColor="text1"/>
          <w:spacing w:val="0"/>
          <w:w w:val="100"/>
          <w:sz w:val="32"/>
          <w:szCs w:val="32"/>
          <w:highlight w:val="none"/>
          <w14:textFill>
            <w14:solidFill>
              <w14:schemeClr w14:val="tx1"/>
            </w14:solidFill>
          </w14:textFill>
        </w:rPr>
        <w:t xml:space="preserve">     </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2021年一般公共预算当年拨款</w:t>
      </w:r>
      <w:r>
        <w:rPr>
          <w:rFonts w:hint="eastAsia" w:ascii="仿宋" w:hAnsi="仿宋" w:eastAsia="仿宋" w:cs="仿宋"/>
          <w:color w:val="000000" w:themeColor="text1"/>
          <w:sz w:val="32"/>
          <w:szCs w:val="32"/>
          <w:highlight w:val="none"/>
          <w14:textFill>
            <w14:solidFill>
              <w14:schemeClr w14:val="tx1"/>
            </w14:solidFill>
          </w14:textFill>
        </w:rPr>
        <w:t>920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68</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万元，比2020年预算数增加</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45.47</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万元，主要原因是人员支出预算增加。</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　　（二）一般公共预算当年拨款结构情况</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行政运行及教育支出</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742.23</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万元，占</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79</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%；社会保障和就业支出</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79.18</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万元，占</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10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%；卫生健康支出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43.7</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5</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万元，占</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4.8</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%；住房保障支出</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55.52</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万元，占</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6.2</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i w:val="0"/>
          <w:caps w:val="0"/>
          <w:color w:val="000000" w:themeColor="text1"/>
          <w:spacing w:val="0"/>
          <w:w w:val="100"/>
          <w:sz w:val="32"/>
          <w:szCs w:val="32"/>
          <w:highlight w:val="none"/>
          <w14:textFill>
            <w14:solidFill>
              <w14:schemeClr w14:val="tx1"/>
            </w14:solidFill>
          </w14:textFill>
        </w:rPr>
        <w:t>　　（三）一般公共预算当年拨款具体使用情况</w:t>
      </w:r>
    </w:p>
    <w:p>
      <w:pPr>
        <w:keepNext w:val="0"/>
        <w:keepLines w:val="0"/>
        <w:pageBreakBefore w:val="0"/>
        <w:widowControl w:val="0"/>
        <w:kinsoku/>
        <w:wordWrap/>
        <w:overflowPunct/>
        <w:topLinePunct/>
        <w:autoSpaceDE w:val="0"/>
        <w:autoSpaceDN/>
        <w:bidi w:val="0"/>
        <w:adjustRightInd w:val="0"/>
        <w:snapToGrid w:val="0"/>
        <w:spacing w:afterAutospacing="0" w:line="536" w:lineRule="exact"/>
        <w:ind w:left="0" w:leftChars="0" w:firstLine="640" w:firstLineChars="200"/>
        <w:jc w:val="both"/>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i w:val="0"/>
          <w:caps w:val="0"/>
          <w:color w:val="000000" w:themeColor="text1"/>
          <w:spacing w:val="0"/>
          <w:w w:val="100"/>
          <w:sz w:val="32"/>
          <w:szCs w:val="32"/>
          <w:highlight w:val="none"/>
          <w14:textFill>
            <w14:solidFill>
              <w14:schemeClr w14:val="tx1"/>
            </w14:solidFill>
          </w14:textFill>
        </w:rPr>
        <w:t>1.</w:t>
      </w:r>
      <w:r>
        <w:rPr>
          <w:rFonts w:hint="eastAsia" w:ascii="仿宋" w:hAnsi="仿宋" w:eastAsia="仿宋" w:cs="仿宋"/>
          <w:b w:val="0"/>
          <w:i w:val="0"/>
          <w:caps w:val="0"/>
          <w:color w:val="000000" w:themeColor="text1"/>
          <w:spacing w:val="0"/>
          <w:w w:val="100"/>
          <w:sz w:val="32"/>
          <w:szCs w:val="32"/>
          <w14:textFill>
            <w14:solidFill>
              <w14:schemeClr w14:val="tx1"/>
            </w14:solidFill>
          </w14:textFill>
        </w:rPr>
        <w:t>一般公共服务（类）财政事务（款）行政运行（项）</w:t>
      </w:r>
      <w:r>
        <w:rPr>
          <w:rFonts w:hint="eastAsia" w:ascii="仿宋" w:hAnsi="仿宋" w:eastAsia="仿宋" w:cs="仿宋"/>
          <w:b w:val="0"/>
          <w:bCs w:val="0"/>
          <w:color w:val="000000" w:themeColor="text1"/>
          <w:sz w:val="32"/>
          <w:szCs w:val="32"/>
          <w:highlight w:val="none"/>
          <w14:textFill>
            <w14:solidFill>
              <w14:schemeClr w14:val="tx1"/>
            </w14:solidFill>
          </w14:textFill>
        </w:rPr>
        <w:t>202</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14:textFill>
            <w14:solidFill>
              <w14:schemeClr w14:val="tx1"/>
            </w14:solidFill>
          </w14:textFill>
        </w:rPr>
        <w:t>年预算数为</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742.23</w:t>
      </w:r>
      <w:r>
        <w:rPr>
          <w:rFonts w:hint="eastAsia" w:ascii="仿宋" w:hAnsi="仿宋" w:eastAsia="仿宋" w:cs="仿宋"/>
          <w:b w:val="0"/>
          <w:bCs w:val="0"/>
          <w:color w:val="000000" w:themeColor="text1"/>
          <w:sz w:val="32"/>
          <w:szCs w:val="32"/>
          <w:highlight w:val="none"/>
          <w14:textFill>
            <w14:solidFill>
              <w14:schemeClr w14:val="tx1"/>
            </w14:solidFill>
          </w14:textFill>
        </w:rPr>
        <w:t>万元，主要用于：</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部门</w:t>
      </w:r>
      <w:r>
        <w:rPr>
          <w:rFonts w:hint="eastAsia" w:ascii="仿宋" w:hAnsi="仿宋" w:eastAsia="仿宋" w:cs="仿宋"/>
          <w:b w:val="0"/>
          <w:bCs w:val="0"/>
          <w:color w:val="000000" w:themeColor="text1"/>
          <w:sz w:val="32"/>
          <w:szCs w:val="32"/>
          <w:highlight w:val="none"/>
          <w14:textFill>
            <w14:solidFill>
              <w14:schemeClr w14:val="tx1"/>
            </w14:solidFill>
          </w14:textFill>
        </w:rPr>
        <w:t>正常运转的基本支出，包括基本工资、津贴补贴、基础绩效奖等人员经费以及工会经费、福利费等日常公用经费,保障部门正常运转。</w:t>
      </w:r>
    </w:p>
    <w:p>
      <w:pPr>
        <w:keepNext w:val="0"/>
        <w:keepLines w:val="0"/>
        <w:pageBreakBefore w:val="0"/>
        <w:widowControl w:val="0"/>
        <w:kinsoku/>
        <w:wordWrap/>
        <w:overflowPunct/>
        <w:topLinePunct/>
        <w:autoSpaceDE w:val="0"/>
        <w:autoSpaceDN/>
        <w:bidi w:val="0"/>
        <w:adjustRightInd w:val="0"/>
        <w:snapToGrid w:val="0"/>
        <w:spacing w:afterAutospacing="0" w:line="536" w:lineRule="exact"/>
        <w:ind w:left="0" w:leftChars="0" w:firstLine="640" w:firstLineChars="200"/>
        <w:jc w:val="both"/>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14:textFill>
            <w14:solidFill>
              <w14:schemeClr w14:val="tx1"/>
            </w14:solidFill>
          </w14:textFill>
        </w:rPr>
        <w:t>2</w:t>
      </w:r>
      <w:r>
        <w:rPr>
          <w:rFonts w:hint="eastAsia" w:ascii="仿宋" w:hAnsi="仿宋" w:eastAsia="仿宋" w:cs="仿宋"/>
          <w:b w:val="0"/>
          <w:bCs w:val="0"/>
          <w:i w:val="0"/>
          <w:caps w:val="0"/>
          <w:color w:val="000000" w:themeColor="text1"/>
          <w:spacing w:val="0"/>
          <w:w w:val="100"/>
          <w:sz w:val="32"/>
          <w:szCs w:val="32"/>
          <w:highlight w:val="none"/>
          <w14:textFill>
            <w14:solidFill>
              <w14:schemeClr w14:val="tx1"/>
            </w14:solidFill>
          </w14:textFill>
        </w:rPr>
        <w:t>.</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社会保障和就业（类）行政事业单位离退休（款）</w:t>
      </w:r>
      <w:r>
        <w:rPr>
          <w:rFonts w:hint="eastAsia" w:ascii="仿宋" w:hAnsi="仿宋" w:eastAsia="仿宋" w:cs="仿宋"/>
          <w:b w:val="0"/>
          <w:bCs w:val="0"/>
          <w:color w:val="000000" w:themeColor="text1"/>
          <w:sz w:val="32"/>
          <w:szCs w:val="32"/>
          <w:highlight w:val="none"/>
          <w14:textFill>
            <w14:solidFill>
              <w14:schemeClr w14:val="tx1"/>
            </w14:solidFill>
          </w14:textFill>
        </w:rPr>
        <w:t>机关事业单位基本养老保险缴费支出（项）：202</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14:textFill>
            <w14:solidFill>
              <w14:schemeClr w14:val="tx1"/>
            </w14:solidFill>
          </w14:textFill>
        </w:rPr>
        <w:t>年预算数为</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74.09</w:t>
      </w:r>
      <w:r>
        <w:rPr>
          <w:rFonts w:hint="eastAsia" w:ascii="仿宋" w:hAnsi="仿宋" w:eastAsia="仿宋" w:cs="仿宋"/>
          <w:b w:val="0"/>
          <w:bCs w:val="0"/>
          <w:color w:val="000000" w:themeColor="text1"/>
          <w:sz w:val="32"/>
          <w:szCs w:val="32"/>
          <w:highlight w:val="none"/>
          <w14:textFill>
            <w14:solidFill>
              <w14:schemeClr w14:val="tx1"/>
            </w14:solidFill>
          </w14:textFill>
        </w:rPr>
        <w:t>万元，主要用于：学校基本养老保险缴费支出。</w:t>
      </w:r>
    </w:p>
    <w:p>
      <w:pPr>
        <w:keepNext w:val="0"/>
        <w:keepLines w:val="0"/>
        <w:pageBreakBefore w:val="0"/>
        <w:widowControl w:val="0"/>
        <w:kinsoku/>
        <w:wordWrap/>
        <w:overflowPunct/>
        <w:topLinePunct/>
        <w:autoSpaceDE w:val="0"/>
        <w:autoSpaceDN/>
        <w:bidi w:val="0"/>
        <w:adjustRightInd w:val="0"/>
        <w:snapToGrid w:val="0"/>
        <w:spacing w:afterAutospacing="0" w:line="536" w:lineRule="exact"/>
        <w:ind w:left="0" w:leftChars="0" w:firstLine="640" w:firstLineChars="200"/>
        <w:jc w:val="both"/>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3</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社会保障和就业支出（类）其它社会保障和就业支出（款）其它社会保障和就业支出（项）：2021年预算数为</w:t>
      </w:r>
      <w:r>
        <w:rPr>
          <w:rFonts w:hint="eastAsia" w:ascii="仿宋" w:hAnsi="仿宋" w:eastAsia="仿宋" w:cs="仿宋"/>
          <w:b w:val="0"/>
          <w:bCs w:val="0"/>
          <w:color w:val="000000" w:themeColor="text1"/>
          <w:sz w:val="32"/>
          <w:szCs w:val="32"/>
          <w:lang w:val="en-US" w:eastAsia="zh-CN"/>
          <w14:textFill>
            <w14:solidFill>
              <w14:schemeClr w14:val="tx1"/>
            </w14:solidFill>
          </w14:textFill>
        </w:rPr>
        <w:t>5.09</w:t>
      </w:r>
      <w:r>
        <w:rPr>
          <w:rFonts w:hint="eastAsia" w:ascii="仿宋" w:hAnsi="仿宋" w:eastAsia="仿宋" w:cs="仿宋"/>
          <w:b w:val="0"/>
          <w:bCs w:val="0"/>
          <w:color w:val="000000" w:themeColor="text1"/>
          <w:sz w:val="32"/>
          <w:szCs w:val="32"/>
          <w14:textFill>
            <w14:solidFill>
              <w14:schemeClr w14:val="tx1"/>
            </w14:solidFill>
          </w14:textFill>
        </w:rPr>
        <w:t>万元，主要用于：保障单位工伤、失业等社保缴费支出。</w:t>
      </w:r>
    </w:p>
    <w:p>
      <w:pPr>
        <w:keepNext w:val="0"/>
        <w:keepLines w:val="0"/>
        <w:pageBreakBefore w:val="0"/>
        <w:widowControl w:val="0"/>
        <w:kinsoku/>
        <w:wordWrap/>
        <w:overflowPunct/>
        <w:topLinePunct/>
        <w:autoSpaceDE w:val="0"/>
        <w:autoSpaceDN/>
        <w:bidi w:val="0"/>
        <w:snapToGrid w:val="0"/>
        <w:spacing w:beforeAutospacing="0" w:afterAutospacing="0" w:line="536" w:lineRule="exact"/>
        <w:ind w:left="0" w:leftChars="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xml:space="preserve">  </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 xml:space="preserve">  4</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.卫生健康支出（类）行政事业单位医疗（款）行政单位医疗（项）2021年预算数为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43.7</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5</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万元，主要用于：</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学校</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基本医疗保险缴费支出。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xml:space="preserve">    </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5</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.住房保障（类）住房改革支出（款）住房公积金（项）2021</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年预算数为</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55.52</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autoSpaceDE w:val="0"/>
        <w:autoSpaceDN/>
        <w:bidi w:val="0"/>
        <w:snapToGrid w:val="0"/>
        <w:spacing w:beforeAutospacing="0" w:afterAutospacing="0" w:line="536"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六、一般公共预算基本支出情况说明</w:t>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2021年一般公共预算基本支出</w:t>
      </w:r>
      <w:r>
        <w:rPr>
          <w:rFonts w:hint="eastAsia" w:ascii="仿宋" w:hAnsi="仿宋" w:eastAsia="仿宋" w:cs="仿宋"/>
          <w:color w:val="000000" w:themeColor="text1"/>
          <w:sz w:val="32"/>
          <w:szCs w:val="32"/>
          <w:highlight w:val="none"/>
          <w14:textFill>
            <w14:solidFill>
              <w14:schemeClr w14:val="tx1"/>
            </w14:solidFill>
          </w14:textFill>
        </w:rPr>
        <w:t>920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68</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万元，其中：人员经费</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836.52</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万元，主要包括：基本工资、津贴补贴、奖金、社会保险缴费等支出。公用经费</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25.20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万元，主要包括：办公费、水费、电费、邮电费、印刷费、差旅费、维修（护）费、物业管理费、劳务费等支出。对个人和家庭补助支出</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58.97</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　　七、“三公”经费财政拨款预算安排情况说明</w:t>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2021年财政拨款安排“三公”经费预算</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万元，较2020年部门预算收入</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万元减少</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%。其中：2021年安排公务接待费预算</w:t>
      </w: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万元，安排公车购置及运行维护费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w:t>
      </w:r>
    </w:p>
    <w:p>
      <w:pPr>
        <w:keepNext w:val="0"/>
        <w:keepLines w:val="0"/>
        <w:pageBreakBefore w:val="0"/>
        <w:widowControl w:val="0"/>
        <w:kinsoku/>
        <w:wordWrap/>
        <w:overflowPunct/>
        <w:topLinePunct/>
        <w:autoSpaceDE w:val="0"/>
        <w:autoSpaceDN/>
        <w:bidi w:val="0"/>
        <w:snapToGrid w:val="0"/>
        <w:spacing w:beforeAutospacing="0" w:afterAutospacing="0" w:line="536"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（一）公务接待费较2020年预算下降</w:t>
      </w:r>
      <w:r>
        <w:rPr>
          <w:rFonts w:hint="eastAsia" w:ascii="楷体" w:hAnsi="楷体" w:eastAsia="楷体" w:cs="楷体"/>
          <w:b w:val="0"/>
          <w:i w:val="0"/>
          <w:caps w:val="0"/>
          <w:color w:val="000000" w:themeColor="text1"/>
          <w:spacing w:val="0"/>
          <w:w w:val="100"/>
          <w:sz w:val="32"/>
          <w:szCs w:val="32"/>
          <w:highlight w:val="none"/>
          <w:lang w:val="en-US" w:eastAsia="zh-CN"/>
          <w14:textFill>
            <w14:solidFill>
              <w14:schemeClr w14:val="tx1"/>
            </w14:solidFill>
          </w14:textFill>
        </w:rPr>
        <w:t>0</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2021年公务接待</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费计划用于执行接待考察调研、检查指导等公务活动开支的交通费、住宿费、用餐费等。</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　　（二）公务用车购置及运行维护费与2021年预算增长持平。</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单位现有公务用车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0辆，其中：轿车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辆、越野车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辆、其他乘用车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辆。</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2021年未安排公务用车购置费。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2021年安排公务用车运行维护费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0</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万元。</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　　八、政府性基金预算支出情况说明</w:t>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2021年没有使用政府性基金预算拨款安排的支出。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　　九、国有资本经营预算支出情况说明</w:t>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2021年没有使用国有资本经营预算拨款安排的支出。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　　十、其他重要事项的情况说明</w:t>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br w:type="textWrapping"/>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　　（一）政府采购情况</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2021年，</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未安排政府采购预算</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黑体" w:hAnsi="黑体" w:eastAsia="黑体" w:cs="黑体"/>
          <w:b w:val="0"/>
          <w:bCs/>
          <w:i w:val="0"/>
          <w:caps w:val="0"/>
          <w:color w:val="000000" w:themeColor="text1"/>
          <w:spacing w:val="0"/>
          <w:w w:val="100"/>
          <w:sz w:val="32"/>
          <w:szCs w:val="32"/>
          <w14:textFill>
            <w14:solidFill>
              <w14:schemeClr w14:val="tx1"/>
            </w14:solidFill>
          </w14:textFill>
        </w:rPr>
      </w:pP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（二）国有资产占有使用情况</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截至2021年底，</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无车辆。</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xml:space="preserve">     2021年部门预算未安排(安排）购置车辆及单位价值20万元以上大型设备。</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　　（三）绩效目标设置情况</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绩效目标是预算编制的前提和基础，按照“费随事定”的原则，2021年</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黑体" w:hAnsi="黑体" w:eastAsia="黑体" w:cs="黑体"/>
          <w:b w:val="0"/>
          <w:bCs/>
          <w:i w:val="0"/>
          <w:caps w:val="0"/>
          <w:color w:val="000000" w:themeColor="text1"/>
          <w:spacing w:val="0"/>
          <w:w w:val="100"/>
          <w:sz w:val="32"/>
          <w:szCs w:val="32"/>
          <w14:textFill>
            <w14:solidFill>
              <w14:schemeClr w14:val="tx1"/>
            </w14:solidFill>
          </w14:textFill>
        </w:rPr>
        <w:t>　　十一、名词解释</w:t>
      </w:r>
    </w:p>
    <w:p>
      <w:pPr>
        <w:keepNext w:val="0"/>
        <w:keepLines w:val="0"/>
        <w:pageBreakBefore w:val="0"/>
        <w:widowControl w:val="0"/>
        <w:kinsoku/>
        <w:wordWrap/>
        <w:overflowPunct/>
        <w:autoSpaceDN/>
        <w:bidi w:val="0"/>
        <w:snapToGrid w:val="0"/>
        <w:spacing w:before="0" w:beforeAutospacing="0" w:after="0" w:afterAutospacing="0" w:line="536"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（一）一般公共预算拨款收入：</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指区级财政当年拨付的资金。</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（二）上年结转：</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指以前年度尚未完成，结转到本年仍按原规定</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用途继续使用的资金。</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　　（三）一般公共服务（类）财政事务（款）行政运行（项）：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部门</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及参公管理事业单位用于保障机构正常运行、开展日常工作的基本支出。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（四）社会保障和就业（类）行政事业单位离退休（款）未归口管理的行政单位离退休（项）：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部门</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离退休人员的支出。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（五）社会保障和就业（类）行政事业单位离退休（款）机关事业单位基本养老保险缴费支出（项）：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指部门实施养老保险制度由单位缴纳的养老保险费的支出。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（六）社会保障和就业（类）行政事业单位离退休（款）机关事业单位职业年金缴费支出（项）：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指部门实施养老保险制度由单位缴纳的职业年金的支出。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（七）卫生健康（类）行政事业单位医疗（款）行政单位医疗（项）：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部门</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及参公管理事业单位用于缴纳单位基本医疗保险支出。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（八）卫生健康（类）行政事业单位医疗（款）事业单位医疗（项）：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指事业单位用于缴纳单位基本医疗保险支出。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　　（九）住房保障（类）住房改革支出（款）住房公积金（项）：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指按照《住房公积金管理条例》的规定，由单位及其在职职工缴存的长期住房储金。</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（十）基本支出：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指为保证机构正常运转，完成日常工作任务而发生的人员支出和公用支出。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（十一）项目支出：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指在基本支出之外为完成特定行政任务和事</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业发展目标所发生的支出。</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　　</w:t>
      </w:r>
      <w:r>
        <w:rPr>
          <w:rFonts w:hint="eastAsia" w:ascii="楷体" w:hAnsi="楷体" w:eastAsia="楷体" w:cs="楷体"/>
          <w:b w:val="0"/>
          <w:i w:val="0"/>
          <w:caps w:val="0"/>
          <w:color w:val="000000" w:themeColor="text1"/>
          <w:spacing w:val="0"/>
          <w:w w:val="100"/>
          <w:sz w:val="32"/>
          <w:szCs w:val="32"/>
          <w:highlight w:val="none"/>
          <w14:textFill>
            <w14:solidFill>
              <w14:schemeClr w14:val="tx1"/>
            </w14:solidFill>
          </w14:textFill>
        </w:rPr>
        <w:t>（十二）“三公”经费：</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纳入</w:t>
      </w: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财政</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预算管理的“三公”经费，是指部门用财政拨款安排的因公出国（境）费、公务用车购置及运行费和公务接待费。其中，因公出国（境）</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autoSpaceDN/>
        <w:bidi w:val="0"/>
        <w:snapToGrid w:val="0"/>
        <w:spacing w:before="0" w:beforeAutospacing="0" w:after="0" w:afterAutospacing="0" w:line="540"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p>
    <w:p>
      <w:pPr>
        <w:keepNext w:val="0"/>
        <w:keepLines w:val="0"/>
        <w:pageBreakBefore w:val="0"/>
        <w:widowControl w:val="0"/>
        <w:kinsoku/>
        <w:wordWrap/>
        <w:overflowPunct/>
        <w:autoSpaceDN/>
        <w:bidi w:val="0"/>
        <w:snapToGrid w:val="0"/>
        <w:spacing w:before="0" w:beforeAutospacing="0" w:after="0" w:afterAutospacing="0" w:line="540"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p>
    <w:p>
      <w:pPr>
        <w:keepNext w:val="0"/>
        <w:keepLines w:val="0"/>
        <w:pageBreakBefore w:val="0"/>
        <w:widowControl w:val="0"/>
        <w:kinsoku/>
        <w:wordWrap/>
        <w:overflowPunct/>
        <w:autoSpaceDN/>
        <w:bidi w:val="0"/>
        <w:snapToGrid w:val="0"/>
        <w:spacing w:before="0" w:beforeAutospacing="0" w:after="0" w:afterAutospacing="0" w:line="540" w:lineRule="exact"/>
        <w:ind w:left="0" w:leftChars="0" w:firstLine="640" w:firstLineChars="200"/>
        <w:jc w:val="both"/>
        <w:textAlignment w:val="baseline"/>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pPr>
    </w:p>
    <w:p>
      <w:pPr>
        <w:keepNext w:val="0"/>
        <w:keepLines w:val="0"/>
        <w:pageBreakBefore w:val="0"/>
        <w:widowControl w:val="0"/>
        <w:kinsoku/>
        <w:wordWrap/>
        <w:overflowPunct/>
        <w:autoSpaceDN/>
        <w:bidi w:val="0"/>
        <w:snapToGrid w:val="0"/>
        <w:spacing w:before="0" w:beforeAutospacing="0" w:after="0" w:afterAutospacing="0" w:line="540" w:lineRule="exact"/>
        <w:ind w:firstLine="4480" w:firstLineChars="1400"/>
        <w:jc w:val="both"/>
        <w:textAlignment w:val="baseline"/>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highlight w:val="none"/>
          <w:lang w:eastAsia="zh-CN"/>
          <w14:textFill>
            <w14:solidFill>
              <w14:schemeClr w14:val="tx1"/>
            </w14:solidFill>
          </w14:textFill>
        </w:rPr>
        <w:t>广元市利州区三堆小学</w:t>
      </w:r>
    </w:p>
    <w:p>
      <w:pPr>
        <w:keepNext w:val="0"/>
        <w:keepLines w:val="0"/>
        <w:pageBreakBefore w:val="0"/>
        <w:widowControl w:val="0"/>
        <w:kinsoku/>
        <w:wordWrap/>
        <w:overflowPunct/>
        <w:autoSpaceDN/>
        <w:bidi w:val="0"/>
        <w:snapToGrid w:val="0"/>
        <w:spacing w:before="0" w:beforeAutospacing="0" w:after="0" w:afterAutospacing="0" w:line="540" w:lineRule="exact"/>
        <w:ind w:firstLine="4800" w:firstLineChars="1500"/>
        <w:jc w:val="both"/>
        <w:textAlignment w:val="baseline"/>
        <w:rPr>
          <w:rFonts w:hint="eastAsia" w:ascii="仿宋" w:hAnsi="仿宋" w:eastAsia="仿宋" w:cs="仿宋"/>
          <w:b w:val="0"/>
          <w:i w:val="0"/>
          <w:caps w:val="0"/>
          <w:color w:val="000000" w:themeColor="text1"/>
          <w:spacing w:val="0"/>
          <w:w w:val="100"/>
          <w:sz w:val="32"/>
          <w:szCs w:val="32"/>
          <w:highlight w:val="none"/>
          <w:shd w:val="clear" w:color="auto" w:fill="FFFFFF"/>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highlight w:val="none"/>
          <w:lang w:val="en-US" w:eastAsia="zh-CN"/>
          <w14:textFill>
            <w14:solidFill>
              <w14:schemeClr w14:val="tx1"/>
            </w14:solidFill>
          </w14:textFill>
        </w:rPr>
        <w:t>2021年3月29日</w:t>
      </w:r>
      <w:r>
        <w:rPr>
          <w:rFonts w:hint="eastAsia" w:ascii="仿宋" w:hAnsi="仿宋" w:eastAsia="仿宋" w:cs="仿宋"/>
          <w:b w:val="0"/>
          <w:i w:val="0"/>
          <w:caps w:val="0"/>
          <w:color w:val="000000" w:themeColor="text1"/>
          <w:spacing w:val="0"/>
          <w:w w:val="100"/>
          <w:sz w:val="32"/>
          <w:szCs w:val="32"/>
          <w:highlight w:val="none"/>
          <w14:textFill>
            <w14:solidFill>
              <w14:schemeClr w14:val="tx1"/>
            </w14:solidFill>
          </w14:textFill>
        </w:rPr>
        <w:br w:type="textWrapping"/>
      </w: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FkYzlmOTc4YmRhZmY2YTBjOWZhYzBiYjQyMzAifQ=="/>
  </w:docVars>
  <w:rsids>
    <w:rsidRoot w:val="004F514A"/>
    <w:rsid w:val="000234F0"/>
    <w:rsid w:val="000F7E8B"/>
    <w:rsid w:val="0012484D"/>
    <w:rsid w:val="0019321F"/>
    <w:rsid w:val="002002DA"/>
    <w:rsid w:val="0020247B"/>
    <w:rsid w:val="00204A7A"/>
    <w:rsid w:val="0022790D"/>
    <w:rsid w:val="0024385F"/>
    <w:rsid w:val="0026122B"/>
    <w:rsid w:val="002D1E95"/>
    <w:rsid w:val="00312142"/>
    <w:rsid w:val="003A690F"/>
    <w:rsid w:val="003F084C"/>
    <w:rsid w:val="004C01BC"/>
    <w:rsid w:val="004F514A"/>
    <w:rsid w:val="006669E2"/>
    <w:rsid w:val="006A476B"/>
    <w:rsid w:val="006A7B11"/>
    <w:rsid w:val="007359EB"/>
    <w:rsid w:val="007D2FDC"/>
    <w:rsid w:val="007E0D7C"/>
    <w:rsid w:val="0086021F"/>
    <w:rsid w:val="00886C02"/>
    <w:rsid w:val="009073AE"/>
    <w:rsid w:val="00A565DC"/>
    <w:rsid w:val="00A923C1"/>
    <w:rsid w:val="00AC2EAA"/>
    <w:rsid w:val="00B119AC"/>
    <w:rsid w:val="00B84337"/>
    <w:rsid w:val="00C06BFD"/>
    <w:rsid w:val="00C94ABD"/>
    <w:rsid w:val="00CD4B04"/>
    <w:rsid w:val="00CE5135"/>
    <w:rsid w:val="00D33725"/>
    <w:rsid w:val="00E14578"/>
    <w:rsid w:val="00EA4825"/>
    <w:rsid w:val="00FB1A43"/>
    <w:rsid w:val="00FD2341"/>
    <w:rsid w:val="012E766D"/>
    <w:rsid w:val="044F5BC4"/>
    <w:rsid w:val="05BF4A39"/>
    <w:rsid w:val="099A6EBD"/>
    <w:rsid w:val="0B974E68"/>
    <w:rsid w:val="0E1168EA"/>
    <w:rsid w:val="0ED54B8C"/>
    <w:rsid w:val="160776AB"/>
    <w:rsid w:val="1A4B3E10"/>
    <w:rsid w:val="1ED53AE3"/>
    <w:rsid w:val="1F746947"/>
    <w:rsid w:val="237F1682"/>
    <w:rsid w:val="24C90A2A"/>
    <w:rsid w:val="25C96B17"/>
    <w:rsid w:val="260A4F3C"/>
    <w:rsid w:val="2DBA1E53"/>
    <w:rsid w:val="30806273"/>
    <w:rsid w:val="337E75A8"/>
    <w:rsid w:val="43644D8C"/>
    <w:rsid w:val="45BE2AED"/>
    <w:rsid w:val="4A524E33"/>
    <w:rsid w:val="55860D15"/>
    <w:rsid w:val="578919DC"/>
    <w:rsid w:val="580F390D"/>
    <w:rsid w:val="590661A9"/>
    <w:rsid w:val="5DB23699"/>
    <w:rsid w:val="600105C9"/>
    <w:rsid w:val="64877CCF"/>
    <w:rsid w:val="669E44F3"/>
    <w:rsid w:val="67D245BF"/>
    <w:rsid w:val="74AB75CC"/>
    <w:rsid w:val="760F5D64"/>
    <w:rsid w:val="785F0829"/>
    <w:rsid w:val="78B02168"/>
    <w:rsid w:val="7AD965B3"/>
    <w:rsid w:val="7BD06D36"/>
    <w:rsid w:val="7FC112FE"/>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2943</Words>
  <Characters>3213</Characters>
  <Lines>28</Lines>
  <Paragraphs>8</Paragraphs>
  <TotalTime>7</TotalTime>
  <ScaleCrop>false</ScaleCrop>
  <LinksUpToDate>false</LinksUpToDate>
  <CharactersWithSpaces>3309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2022-06-14T09:51:09Z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AF2CB81C264F44179DED116A7C1C81DB</vt:lpwstr>
  </property>
</Properties>
</file>