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广元市利州区荣山</w:t>
      </w:r>
      <w:r>
        <w:rPr>
          <w:rFonts w:hint="eastAsia" w:ascii="方正小标宋简体" w:hAnsi="方正小标宋简体" w:eastAsia="方正小标宋简体" w:cs="方正小标宋简体"/>
          <w:b w:val="0"/>
          <w:bCs/>
          <w:sz w:val="44"/>
          <w:szCs w:val="44"/>
        </w:rPr>
        <w:t>初级中学</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baseline"/>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广元市利州区荣山初级中学隶属广元市利州区教育局下属二级预算单位，学校总编制85名，实有全额事业人数100人（其中特岗11人），退休人员72人，临聘人员4人，遗属补助人员19人。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实施九年一贯制教育</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广元市利州区荣山初级中学2021年部门预算收入总数1454.19万元，较2020年部门预算收入总数1140.48万元增长27.51%。2021年部门预算支出总数1454.19元，较2020年部门预算支出总数1140.48万元增长27.51%。</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广元市利州区荣山初级中学2021年部门基本支出预算总数1454.19万元，其中工资福利支出1296.45万元，日常公用支出40.91万元，对个人和家庭补助支出116.83元。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2021年部门预算安排专项资金0万元。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四、财政拨款收支预算情况说明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广元市利州区荣山初级中学2021年部门预算收入总数1454.19万元，较2020年部门预算收入总数1140.48万元增长27.51%。2021年部门预算支出总数1454.19元，较2020年部门预算支出总数1140.48万元增长27.51%。</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广元市利州区荣山初级中学2021年部门基本支出预算总数1454.19万元，其中工资福利支出1296.45万元，日常公用支出40.91万元，对个人和家庭补助支出116.83元。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楷体" w:hAnsi="楷体" w:eastAsia="楷体" w:cs="楷体"/>
          <w:b w:val="0"/>
          <w:bCs w:val="0"/>
          <w:sz w:val="32"/>
          <w:szCs w:val="32"/>
        </w:rPr>
      </w:pPr>
      <w:r>
        <w:rPr>
          <w:rFonts w:hint="eastAsia" w:ascii="黑体" w:hAnsi="黑体" w:eastAsia="黑体" w:cs="黑体"/>
          <w:b w:val="0"/>
          <w:bCs/>
          <w:sz w:val="32"/>
          <w:szCs w:val="32"/>
        </w:rPr>
        <w:t>五、一般公共预算当年拨款情况说明</w:t>
      </w:r>
      <w:r>
        <w:rPr>
          <w:rFonts w:hint="eastAsia" w:ascii="黑体" w:hAnsi="黑体" w:eastAsia="黑体" w:cs="黑体"/>
          <w:b w:val="0"/>
          <w:bCs/>
          <w:sz w:val="32"/>
          <w:szCs w:val="32"/>
        </w:rPr>
        <w:br w:type="textWrapping"/>
      </w:r>
      <w:r>
        <w:rPr>
          <w:rFonts w:hint="eastAsia" w:ascii="楷体" w:hAnsi="楷体" w:eastAsia="楷体" w:cs="楷体"/>
          <w:b w:val="0"/>
          <w:bCs w:val="0"/>
          <w:sz w:val="32"/>
          <w:szCs w:val="32"/>
        </w:rPr>
        <w:t>　　</w:t>
      </w:r>
      <w:r>
        <w:rPr>
          <w:rFonts w:hint="eastAsia" w:ascii="楷体" w:hAnsi="楷体" w:eastAsia="楷体" w:cs="楷体"/>
          <w:b w:val="0"/>
          <w:bCs w:val="0"/>
          <w:color w:val="000000"/>
          <w:sz w:val="32"/>
          <w:szCs w:val="32"/>
        </w:rPr>
        <w:t>（一）一般公共预算当年拨款规模变化情况</w:t>
      </w:r>
      <w:r>
        <w:rPr>
          <w:rStyle w:val="7"/>
          <w:rFonts w:hint="eastAsia" w:ascii="楷体" w:hAnsi="楷体" w:eastAsia="楷体" w:cs="楷体"/>
          <w:b w:val="0"/>
          <w:bCs w:val="0"/>
          <w:sz w:val="32"/>
          <w:szCs w:val="32"/>
        </w:rPr>
        <w:br w:type="textWrapping"/>
      </w:r>
      <w:r>
        <w:rPr>
          <w:rFonts w:hint="eastAsia" w:ascii="仿宋" w:hAnsi="仿宋" w:eastAsia="仿宋" w:cs="仿宋"/>
          <w:b/>
          <w:sz w:val="32"/>
          <w:szCs w:val="32"/>
        </w:rPr>
        <w:t xml:space="preserve">     </w:t>
      </w:r>
      <w:r>
        <w:rPr>
          <w:rFonts w:hint="eastAsia" w:ascii="仿宋" w:hAnsi="仿宋" w:eastAsia="仿宋" w:cs="仿宋"/>
          <w:color w:val="000000"/>
          <w:sz w:val="32"/>
          <w:szCs w:val="32"/>
        </w:rPr>
        <w:t>2021年一般公共预算当年拨款1459.32万元，比2020年预算数增加18.84元，主要原因是人员支出预算增加。</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（二）一般公共预算当年拨款结构情况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人员支出1301.58万元，占89%；日常公用支出40.91万元，占3%；对个人和家庭的补助支出116.83万元，占8%.</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1.人员支出1301.58万元,主要用于初中教育1021.83万元,机关事业单元基本养老保险缴费115.19万元,财政对失业保险基金的补助4.32万元,财政对工伤保险基金的补助3.40万元,事业单位医疗70.35万元,住房公积金96.30万元.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2.日常公用支出40.91万元.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3.对个人和家庭的补助支出116.83万元,主要用于生活补助116.26万元,奖励金0.57万元.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黑体" w:hAnsi="黑体" w:eastAsia="黑体" w:cs="黑体"/>
          <w:b w:val="0"/>
          <w:bCs/>
          <w:sz w:val="32"/>
          <w:szCs w:val="32"/>
        </w:rPr>
        <w:t>六、一般公共预算基本支出情况说明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荣山初级中学2021年一般公共预算基本支出1459.32万元，其中：人员支出1301.58万元，主要包括：基本工资、津贴补贴、奖金、绩效工资、其他工资福利支出、社会保险缴费等支出。日常公用支出40.91万元。对个人和家庭补助支出116.83万元。</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七、“三公”经费财政拨款预算安排情况说明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2021年财政拨款安排“三公”经费0万元.</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八、政府性基金预算支出情况说明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广元市利州区荣山初级中学2021年没有使用政府性基金预算拨款安排的支出。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九、国有资本经营预算支出情况说明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广元市利州区荣山初级中学2021年没有使用国有资本经营预算拨款安排的支出。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十、其他重要事项的情况说明</w:t>
      </w:r>
      <w:r>
        <w:rPr>
          <w:rFonts w:hint="eastAsia" w:ascii="黑体" w:hAnsi="黑体" w:eastAsia="黑体" w:cs="黑体"/>
          <w:b w:val="0"/>
          <w:bCs/>
          <w:sz w:val="32"/>
          <w:szCs w:val="32"/>
        </w:rPr>
        <w:br w:type="textWrapping"/>
      </w:r>
      <w:r>
        <w:rPr>
          <w:rFonts w:hint="eastAsia" w:ascii="楷体" w:hAnsi="楷体" w:eastAsia="楷体" w:cs="楷体"/>
          <w:b w:val="0"/>
          <w:bCs w:val="0"/>
          <w:color w:val="000000"/>
          <w:sz w:val="32"/>
          <w:szCs w:val="32"/>
        </w:rPr>
        <w:t>　　（一）政府采购情况</w:t>
      </w:r>
      <w:r>
        <w:rPr>
          <w:rFonts w:hint="eastAsia" w:ascii="楷体" w:hAnsi="楷体" w:eastAsia="楷体" w:cs="楷体"/>
          <w:b w:val="0"/>
          <w:bCs w:val="0"/>
          <w:color w:val="000000"/>
          <w:sz w:val="32"/>
          <w:szCs w:val="32"/>
        </w:rPr>
        <w:br w:type="textWrapping"/>
      </w:r>
      <w:r>
        <w:rPr>
          <w:rFonts w:hint="eastAsia" w:ascii="仿宋" w:hAnsi="仿宋" w:eastAsia="仿宋" w:cs="仿宋"/>
          <w:color w:val="000000"/>
          <w:sz w:val="32"/>
          <w:szCs w:val="32"/>
        </w:rPr>
        <w:t>　　2021年，荣山初级中学未安排政府采购预算</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黑体" w:hAnsi="黑体" w:eastAsia="黑体" w:cs="黑体"/>
          <w:b w:val="0"/>
          <w:bCs/>
          <w:sz w:val="32"/>
          <w:szCs w:val="32"/>
        </w:rPr>
      </w:pPr>
      <w:r>
        <w:rPr>
          <w:rFonts w:hint="eastAsia" w:ascii="楷体" w:hAnsi="楷体" w:eastAsia="楷体" w:cs="楷体"/>
          <w:b w:val="0"/>
          <w:bCs w:val="0"/>
          <w:color w:val="000000"/>
          <w:sz w:val="32"/>
          <w:szCs w:val="32"/>
        </w:rPr>
        <w:t>（二）国有资产占有使用情况</w:t>
      </w:r>
      <w:r>
        <w:rPr>
          <w:rFonts w:hint="eastAsia" w:ascii="楷体" w:hAnsi="楷体" w:eastAsia="楷体" w:cs="楷体"/>
          <w:b w:val="0"/>
          <w:bCs w:val="0"/>
          <w:color w:val="000000"/>
          <w:sz w:val="32"/>
          <w:szCs w:val="32"/>
        </w:rPr>
        <w:br w:type="textWrapping"/>
      </w:r>
      <w:r>
        <w:rPr>
          <w:rFonts w:hint="eastAsia" w:ascii="仿宋" w:hAnsi="仿宋" w:eastAsia="仿宋" w:cs="仿宋"/>
          <w:color w:val="000000"/>
          <w:sz w:val="32"/>
          <w:szCs w:val="32"/>
        </w:rPr>
        <w:t>　　 截至2021年底，荣山初级中学无车辆。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2021年部门预算未安排(安排）购置车辆及单位价值20万元以上大型设备。</w:t>
      </w:r>
      <w:r>
        <w:rPr>
          <w:rFonts w:hint="eastAsia" w:ascii="仿宋" w:hAnsi="仿宋" w:eastAsia="仿宋" w:cs="仿宋"/>
          <w:color w:val="000000"/>
          <w:sz w:val="32"/>
          <w:szCs w:val="32"/>
        </w:rPr>
        <w:br w:type="textWrapping"/>
      </w:r>
      <w:r>
        <w:rPr>
          <w:rFonts w:hint="eastAsia" w:ascii="楷体" w:hAnsi="楷体" w:eastAsia="楷体" w:cs="楷体"/>
          <w:b w:val="0"/>
          <w:bCs w:val="0"/>
          <w:color w:val="000000"/>
          <w:sz w:val="32"/>
          <w:szCs w:val="32"/>
        </w:rPr>
        <w:t>　　（三）绩效目标设置情况</w:t>
      </w:r>
      <w:r>
        <w:rPr>
          <w:rFonts w:hint="eastAsia" w:ascii="楷体" w:hAnsi="楷体" w:eastAsia="楷体" w:cs="楷体"/>
          <w:b w:val="0"/>
          <w:bCs w:val="0"/>
          <w:color w:val="000000"/>
          <w:sz w:val="32"/>
          <w:szCs w:val="32"/>
        </w:rPr>
        <w:br w:type="textWrapping"/>
      </w:r>
      <w:r>
        <w:rPr>
          <w:rFonts w:hint="eastAsia" w:ascii="仿宋" w:hAnsi="仿宋" w:eastAsia="仿宋" w:cs="仿宋"/>
          <w:color w:val="000000"/>
          <w:sz w:val="32"/>
          <w:szCs w:val="32"/>
        </w:rPr>
        <w:t>　　绩效目标是预算编制的前提和基础，按照“费随事定”的原则，2021年广元市利州区荣山初级中学机关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十一、名词解释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（一）一般公共预算拨款收入：指区级财政当年拨付的资金。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（二）上年结转：指以前年度尚未完成，结转到本年仍按原规定用途继续使用的资金。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（三）一般公共服务（类）财政事务（款）行政运行（项）：指局机关及参公管理事业单位用于保障机构正常运行、开展日常工作的基本支出。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（四）社会保障和就业（类）行政事业单位离退休（款）未归口管理的行政单位离退休（项）：指局机关离退休人员的支出。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（七）卫生健康（类）行政事业单位医疗（款）行政单位医疗（项）：指局机关及参公管理事业单位用于缴纳单位基本医疗保险支出。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（八）卫生健康（类）行政事业单位医疗（款）事业单位医疗（项）：指事业单位用于缴纳单位基本医疗保险支出。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（十）基本支出：指为保证机构正常运转，完成日常工作任务而发生的人员支出和公用支出。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（十一）项目支出：指在基本支出之外为完成特定行政任务和事业发展目标所发生的支出。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二）“三公”经费：纳入区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sz w:val="32"/>
          <w:szCs w:val="32"/>
        </w:rPr>
        <w:br w:type="textWrapping"/>
      </w:r>
    </w:p>
    <w:p>
      <w:pPr>
        <w:keepNext w:val="0"/>
        <w:keepLines w:val="0"/>
        <w:pageBreakBefore w:val="0"/>
        <w:widowControl w:val="0"/>
        <w:kinsoku/>
        <w:overflowPunct/>
        <w:topLinePunct w:val="0"/>
        <w:autoSpaceDE/>
        <w:autoSpaceDN/>
        <w:bidi w:val="0"/>
        <w:adjustRightInd/>
        <w:snapToGrid w:val="0"/>
        <w:spacing w:line="560" w:lineRule="exact"/>
        <w:ind w:firstLine="640" w:firstLineChars="200"/>
        <w:jc w:val="left"/>
        <w:textAlignment w:val="baseline"/>
        <w:rPr>
          <w:rFonts w:hint="eastAsia" w:ascii="仿宋" w:hAnsi="仿宋" w:eastAsia="仿宋" w:cs="仿宋"/>
          <w:color w:val="000000"/>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40" w:firstLineChars="200"/>
        <w:jc w:val="left"/>
        <w:textAlignment w:val="baseline"/>
        <w:rPr>
          <w:rFonts w:hint="eastAsia" w:ascii="仿宋" w:hAnsi="仿宋" w:eastAsia="仿宋" w:cs="仿宋"/>
          <w:color w:val="000000"/>
          <w:sz w:val="32"/>
          <w:szCs w:val="32"/>
        </w:rPr>
      </w:pPr>
    </w:p>
    <w:p>
      <w:pPr>
        <w:keepNext w:val="0"/>
        <w:keepLines w:val="0"/>
        <w:pageBreakBefore w:val="0"/>
        <w:widowControl w:val="0"/>
        <w:kinsoku/>
        <w:overflowPunct/>
        <w:topLinePunct w:val="0"/>
        <w:autoSpaceDE/>
        <w:autoSpaceDN/>
        <w:bidi w:val="0"/>
        <w:adjustRightInd/>
        <w:snapToGrid w:val="0"/>
        <w:spacing w:line="560" w:lineRule="exact"/>
        <w:ind w:right="1044" w:rightChars="497"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广元市利州区荣山初级中学</w:t>
      </w:r>
    </w:p>
    <w:p>
      <w:pPr>
        <w:keepNext w:val="0"/>
        <w:keepLines w:val="0"/>
        <w:pageBreakBefore w:val="0"/>
        <w:widowControl w:val="0"/>
        <w:kinsoku/>
        <w:wordWrap w:val="0"/>
        <w:overflowPunct/>
        <w:topLinePunct w:val="0"/>
        <w:autoSpaceDE/>
        <w:autoSpaceDN/>
        <w:bidi w:val="0"/>
        <w:adjustRightInd/>
        <w:snapToGrid w:val="0"/>
        <w:spacing w:line="560" w:lineRule="exact"/>
        <w:ind w:right="1283" w:rightChars="611"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 xml:space="preserve">2021年3月29日  </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baseline"/>
        <w:rPr>
          <w:rFonts w:hint="eastAsia" w:ascii="仿宋" w:hAnsi="仿宋" w:eastAsia="仿宋" w:cs="仿宋"/>
          <w:sz w:val="32"/>
          <w:szCs w:val="32"/>
          <w:shd w:val="clear" w:color="auto" w:fill="FFFFFF"/>
        </w:rPr>
      </w:pP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DAyMDQ2YjhlZjY1MzI5ZWZiZmVkODE3MGY1YTMifQ=="/>
  </w:docVars>
  <w:rsids>
    <w:rsidRoot w:val="004F514A"/>
    <w:rsid w:val="000234F0"/>
    <w:rsid w:val="00027F54"/>
    <w:rsid w:val="000B654A"/>
    <w:rsid w:val="000F7E8B"/>
    <w:rsid w:val="0012484D"/>
    <w:rsid w:val="0018630A"/>
    <w:rsid w:val="0019321F"/>
    <w:rsid w:val="002002DA"/>
    <w:rsid w:val="0020247B"/>
    <w:rsid w:val="00204A7A"/>
    <w:rsid w:val="0022790D"/>
    <w:rsid w:val="0024385F"/>
    <w:rsid w:val="0026122B"/>
    <w:rsid w:val="002A4B46"/>
    <w:rsid w:val="002D1E95"/>
    <w:rsid w:val="00312142"/>
    <w:rsid w:val="003A690F"/>
    <w:rsid w:val="003B7016"/>
    <w:rsid w:val="003F084C"/>
    <w:rsid w:val="004177B2"/>
    <w:rsid w:val="00461859"/>
    <w:rsid w:val="004C01BC"/>
    <w:rsid w:val="004E56EC"/>
    <w:rsid w:val="004F514A"/>
    <w:rsid w:val="00526C2B"/>
    <w:rsid w:val="00546E8E"/>
    <w:rsid w:val="005914FE"/>
    <w:rsid w:val="00635898"/>
    <w:rsid w:val="006669E2"/>
    <w:rsid w:val="006A476B"/>
    <w:rsid w:val="006A7B11"/>
    <w:rsid w:val="00700417"/>
    <w:rsid w:val="007359EB"/>
    <w:rsid w:val="007D2FDC"/>
    <w:rsid w:val="007E0D7C"/>
    <w:rsid w:val="0086021F"/>
    <w:rsid w:val="00886C02"/>
    <w:rsid w:val="008D313A"/>
    <w:rsid w:val="009073AE"/>
    <w:rsid w:val="00A416D4"/>
    <w:rsid w:val="00A565DC"/>
    <w:rsid w:val="00A923C1"/>
    <w:rsid w:val="00AC2EAA"/>
    <w:rsid w:val="00B119AC"/>
    <w:rsid w:val="00B84337"/>
    <w:rsid w:val="00BC509A"/>
    <w:rsid w:val="00C06BFD"/>
    <w:rsid w:val="00C94ABD"/>
    <w:rsid w:val="00CD4B04"/>
    <w:rsid w:val="00CE5135"/>
    <w:rsid w:val="00D33725"/>
    <w:rsid w:val="00D35942"/>
    <w:rsid w:val="00E07B29"/>
    <w:rsid w:val="00E14578"/>
    <w:rsid w:val="00EA4825"/>
    <w:rsid w:val="00FB1A43"/>
    <w:rsid w:val="00FD2341"/>
    <w:rsid w:val="012E766D"/>
    <w:rsid w:val="02B12A4B"/>
    <w:rsid w:val="044F5BC4"/>
    <w:rsid w:val="05871995"/>
    <w:rsid w:val="05AA02EA"/>
    <w:rsid w:val="08046B78"/>
    <w:rsid w:val="099A6EBD"/>
    <w:rsid w:val="0B974E68"/>
    <w:rsid w:val="0E1168EA"/>
    <w:rsid w:val="0ED54B8C"/>
    <w:rsid w:val="11B60016"/>
    <w:rsid w:val="160776AB"/>
    <w:rsid w:val="18175020"/>
    <w:rsid w:val="1A4B3E10"/>
    <w:rsid w:val="1ED53AE3"/>
    <w:rsid w:val="1F746947"/>
    <w:rsid w:val="237F1682"/>
    <w:rsid w:val="23EA02D8"/>
    <w:rsid w:val="24C90A2A"/>
    <w:rsid w:val="25C96B17"/>
    <w:rsid w:val="260A4F3C"/>
    <w:rsid w:val="26E33204"/>
    <w:rsid w:val="2DBA1E53"/>
    <w:rsid w:val="2E842D29"/>
    <w:rsid w:val="30806273"/>
    <w:rsid w:val="327318E0"/>
    <w:rsid w:val="34CC3529"/>
    <w:rsid w:val="38926838"/>
    <w:rsid w:val="39471461"/>
    <w:rsid w:val="43644D8C"/>
    <w:rsid w:val="450F76F2"/>
    <w:rsid w:val="45BE2AED"/>
    <w:rsid w:val="4C325F10"/>
    <w:rsid w:val="55860D15"/>
    <w:rsid w:val="578919DC"/>
    <w:rsid w:val="5A40175F"/>
    <w:rsid w:val="5A9164F8"/>
    <w:rsid w:val="600105C9"/>
    <w:rsid w:val="67D245BF"/>
    <w:rsid w:val="6B086362"/>
    <w:rsid w:val="74AB75CC"/>
    <w:rsid w:val="785F0829"/>
    <w:rsid w:val="7AB0271E"/>
    <w:rsid w:val="7AB14320"/>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377</Words>
  <Characters>2151</Characters>
  <Lines>17</Lines>
  <Paragraphs>5</Paragraphs>
  <TotalTime>3</TotalTime>
  <ScaleCrop>false</ScaleCrop>
  <LinksUpToDate>false</LinksUpToDate>
  <CharactersWithSpaces>2523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2022-06-14T10:11:51Z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89EB0BD34C7A43B58E8083D6C662E5D6</vt:lpwstr>
  </property>
</Properties>
</file>