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ED" w:rsidRDefault="003E68ED">
      <w:pPr>
        <w:spacing w:line="600" w:lineRule="exact"/>
        <w:jc w:val="center"/>
        <w:outlineLvl w:val="0"/>
        <w:rPr>
          <w:rFonts w:ascii="方正小标宋简体" w:eastAsia="方正小标宋简体" w:hAnsi="宋体"/>
          <w:sz w:val="72"/>
          <w:szCs w:val="72"/>
        </w:rPr>
      </w:pPr>
      <w:bookmarkStart w:id="0" w:name="_Toc15306267"/>
    </w:p>
    <w:p w:rsidR="003E68ED" w:rsidRDefault="003E68ED">
      <w:pPr>
        <w:spacing w:line="600" w:lineRule="exact"/>
        <w:jc w:val="center"/>
        <w:outlineLvl w:val="0"/>
        <w:rPr>
          <w:rFonts w:ascii="方正小标宋简体" w:eastAsia="方正小标宋简体" w:hAnsi="宋体"/>
          <w:sz w:val="72"/>
          <w:szCs w:val="72"/>
        </w:rPr>
      </w:pPr>
    </w:p>
    <w:p w:rsidR="003E68ED" w:rsidRDefault="003E68ED">
      <w:pPr>
        <w:spacing w:line="600" w:lineRule="exact"/>
        <w:jc w:val="center"/>
        <w:outlineLvl w:val="0"/>
        <w:rPr>
          <w:rFonts w:ascii="方正小标宋简体" w:eastAsia="方正小标宋简体" w:hAnsi="宋体"/>
          <w:sz w:val="72"/>
          <w:szCs w:val="72"/>
        </w:rPr>
      </w:pPr>
    </w:p>
    <w:p w:rsidR="003E68ED" w:rsidRDefault="003E68ED">
      <w:pPr>
        <w:spacing w:line="600" w:lineRule="exact"/>
        <w:jc w:val="center"/>
        <w:outlineLvl w:val="0"/>
        <w:rPr>
          <w:rFonts w:ascii="方正小标宋简体" w:eastAsia="方正小标宋简体" w:hAnsi="宋体"/>
          <w:sz w:val="72"/>
          <w:szCs w:val="72"/>
        </w:rPr>
      </w:pPr>
    </w:p>
    <w:p w:rsidR="003E68ED" w:rsidRDefault="00F06A97">
      <w:pPr>
        <w:adjustRightInd w:val="0"/>
        <w:snapToGrid w:val="0"/>
        <w:spacing w:line="360" w:lineRule="auto"/>
        <w:jc w:val="center"/>
        <w:outlineLvl w:val="0"/>
        <w:rPr>
          <w:rFonts w:ascii="方正小标宋简体" w:eastAsia="方正小标宋简体" w:hAnsi="宋体"/>
          <w:sz w:val="72"/>
          <w:szCs w:val="72"/>
        </w:rPr>
      </w:pPr>
      <w:bookmarkStart w:id="1" w:name="_Toc15396597"/>
      <w:bookmarkStart w:id="2" w:name="_Toc15377425"/>
      <w:bookmarkStart w:id="3" w:name="_Toc15396475"/>
      <w:bookmarkStart w:id="4" w:name="_Toc19089858"/>
      <w:bookmarkStart w:id="5" w:name="_Toc15378441"/>
      <w:bookmarkStart w:id="6" w:name="_Toc15377193"/>
      <w:bookmarkEnd w:id="0"/>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rsidR="003E68ED" w:rsidRDefault="00F06A97">
      <w:pPr>
        <w:adjustRightInd w:val="0"/>
        <w:snapToGrid w:val="0"/>
        <w:spacing w:line="360" w:lineRule="auto"/>
        <w:jc w:val="center"/>
        <w:outlineLvl w:val="0"/>
        <w:rPr>
          <w:rFonts w:ascii="方正小标宋简体" w:eastAsia="方正小标宋简体" w:hAnsi="宋体"/>
          <w:sz w:val="72"/>
          <w:szCs w:val="72"/>
        </w:rPr>
      </w:pPr>
      <w:bookmarkStart w:id="7" w:name="_Toc15378442"/>
      <w:bookmarkStart w:id="8" w:name="_Toc15377194"/>
      <w:bookmarkStart w:id="9" w:name="_Toc15377426"/>
      <w:bookmarkStart w:id="10" w:name="_Toc15306268"/>
      <w:bookmarkStart w:id="11" w:name="_Toc15396598"/>
      <w:bookmarkStart w:id="12" w:name="_Toc15396476"/>
      <w:r>
        <w:rPr>
          <w:rFonts w:ascii="方正小标宋简体" w:eastAsia="方正小标宋简体" w:hAnsi="宋体" w:hint="eastAsia"/>
          <w:sz w:val="72"/>
          <w:szCs w:val="72"/>
        </w:rPr>
        <w:t>广元市利州区回龙小学</w:t>
      </w:r>
    </w:p>
    <w:p w:rsidR="003E68ED" w:rsidRDefault="00F06A97">
      <w:pPr>
        <w:adjustRightInd w:val="0"/>
        <w:snapToGrid w:val="0"/>
        <w:spacing w:line="360" w:lineRule="auto"/>
        <w:jc w:val="center"/>
        <w:outlineLvl w:val="0"/>
        <w:rPr>
          <w:rFonts w:ascii="方正小标宋简体" w:eastAsia="方正小标宋简体" w:hAnsi="宋体"/>
          <w:sz w:val="72"/>
          <w:szCs w:val="72"/>
        </w:rPr>
      </w:pPr>
      <w:bookmarkStart w:id="13" w:name="_Toc19089860"/>
      <w:r>
        <w:rPr>
          <w:rFonts w:ascii="方正小标宋简体" w:eastAsia="方正小标宋简体" w:hAnsi="宋体" w:hint="eastAsia"/>
          <w:sz w:val="72"/>
          <w:szCs w:val="72"/>
        </w:rPr>
        <w:t>部门决算</w:t>
      </w:r>
      <w:bookmarkEnd w:id="7"/>
      <w:bookmarkEnd w:id="8"/>
      <w:bookmarkEnd w:id="9"/>
      <w:bookmarkEnd w:id="10"/>
      <w:bookmarkEnd w:id="11"/>
      <w:bookmarkEnd w:id="12"/>
      <w:bookmarkEnd w:id="13"/>
    </w:p>
    <w:p w:rsidR="003E68ED" w:rsidRDefault="00F06A97">
      <w:pPr>
        <w:widowControl/>
        <w:jc w:val="center"/>
        <w:rPr>
          <w:rFonts w:ascii="方正小标宋简体" w:eastAsia="方正小标宋简体" w:hAnsi="方正小标宋简体" w:cs="方正小标宋简体"/>
          <w:sz w:val="44"/>
          <w:szCs w:val="44"/>
        </w:rPr>
      </w:pPr>
      <w:r>
        <w:rPr>
          <w:rFonts w:ascii="方正小标宋简体" w:eastAsia="方正小标宋简体" w:hAnsi="宋体"/>
          <w:sz w:val="36"/>
          <w:szCs w:val="36"/>
        </w:rPr>
        <w:br w:type="page"/>
      </w:r>
      <w:bookmarkStart w:id="14" w:name="_Toc15377206"/>
      <w:r>
        <w:rPr>
          <w:rFonts w:ascii="方正小标宋简体" w:eastAsia="方正小标宋简体" w:hAnsi="方正小标宋简体" w:cs="方正小标宋简体" w:hint="eastAsia"/>
          <w:sz w:val="44"/>
          <w:szCs w:val="44"/>
        </w:rPr>
        <w:lastRenderedPageBreak/>
        <w:t>目     录</w:t>
      </w:r>
    </w:p>
    <w:p w:rsidR="003E68ED" w:rsidRDefault="003E68ED">
      <w:pPr>
        <w:spacing w:line="560" w:lineRule="exact"/>
        <w:ind w:firstLineChars="200" w:firstLine="560"/>
        <w:rPr>
          <w:rFonts w:ascii="黑体" w:eastAsia="黑体" w:hAnsi="黑体" w:cs="黑体"/>
          <w:sz w:val="28"/>
          <w:szCs w:val="28"/>
        </w:rPr>
      </w:pPr>
    </w:p>
    <w:p w:rsidR="003E68ED" w:rsidRDefault="00F06A97">
      <w:pPr>
        <w:snapToGrid w:val="0"/>
        <w:spacing w:line="560" w:lineRule="exact"/>
        <w:ind w:firstLineChars="200" w:firstLine="560"/>
        <w:jc w:val="distribute"/>
        <w:rPr>
          <w:rFonts w:ascii="仿宋" w:eastAsia="仿宋" w:hAnsi="仿宋" w:cs="仿宋"/>
          <w:sz w:val="28"/>
          <w:szCs w:val="28"/>
        </w:rPr>
      </w:pPr>
      <w:r>
        <w:rPr>
          <w:rFonts w:ascii="黑体" w:eastAsia="黑体" w:hAnsi="黑体" w:cs="黑体" w:hint="eastAsia"/>
          <w:sz w:val="28"/>
          <w:szCs w:val="28"/>
        </w:rPr>
        <w:t>第一部分</w:t>
      </w:r>
      <w:r>
        <w:rPr>
          <w:rFonts w:ascii="黑体" w:eastAsia="黑体" w:hAnsi="黑体" w:cs="黑体"/>
          <w:sz w:val="28"/>
          <w:szCs w:val="28"/>
        </w:rPr>
        <w:t xml:space="preserve"> </w:t>
      </w:r>
      <w:r>
        <w:rPr>
          <w:rFonts w:ascii="黑体" w:eastAsia="黑体" w:hAnsi="黑体" w:cs="黑体" w:hint="eastAsia"/>
          <w:sz w:val="28"/>
          <w:szCs w:val="28"/>
        </w:rPr>
        <w:t>部门概况</w:t>
      </w:r>
      <w:r>
        <w:rPr>
          <w:rFonts w:ascii="仿宋" w:eastAsia="仿宋" w:hAnsi="仿宋" w:cs="仿宋" w:hint="eastAsia"/>
          <w:sz w:val="28"/>
          <w:szCs w:val="28"/>
        </w:rPr>
        <w:t>……………………………………………………3</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一、基本职能及主要工作………………………………………………4</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二、机构设置…………………………………………………………5</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黑体" w:eastAsia="黑体" w:hAnsi="黑体" w:cs="黑体" w:hint="eastAsia"/>
          <w:sz w:val="28"/>
          <w:szCs w:val="28"/>
        </w:rPr>
        <w:t>第二部分</w:t>
      </w:r>
      <w:r>
        <w:rPr>
          <w:rFonts w:ascii="黑体" w:eastAsia="黑体" w:hAnsi="黑体" w:cs="黑体"/>
          <w:sz w:val="28"/>
          <w:szCs w:val="28"/>
        </w:rPr>
        <w:t xml:space="preserve"> 20</w:t>
      </w:r>
      <w:r>
        <w:rPr>
          <w:rFonts w:ascii="黑体" w:eastAsia="黑体" w:hAnsi="黑体" w:cs="黑体" w:hint="eastAsia"/>
          <w:sz w:val="28"/>
          <w:szCs w:val="28"/>
        </w:rPr>
        <w:t>20年度部门决算情况说明</w:t>
      </w:r>
      <w:r>
        <w:rPr>
          <w:rFonts w:ascii="仿宋" w:eastAsia="仿宋" w:hAnsi="仿宋" w:cs="仿宋" w:hint="eastAsia"/>
          <w:sz w:val="28"/>
          <w:szCs w:val="28"/>
        </w:rPr>
        <w:t>……………………………</w:t>
      </w:r>
      <w:r>
        <w:rPr>
          <w:rFonts w:ascii="仿宋" w:eastAsia="仿宋" w:hAnsi="仿宋" w:hint="eastAsia"/>
          <w:sz w:val="28"/>
          <w:szCs w:val="28"/>
        </w:rPr>
        <w:t>…</w:t>
      </w:r>
      <w:r>
        <w:rPr>
          <w:rFonts w:ascii="仿宋" w:eastAsia="仿宋" w:hAnsi="仿宋" w:cs="仿宋" w:hint="eastAsia"/>
          <w:sz w:val="28"/>
          <w:szCs w:val="28"/>
        </w:rPr>
        <w:t>6</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一、收入支出决算总体情况说明……………………………………6</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二、收入决算情况说明………………………………………………6</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三、支出决算情况说明………………………………………………7</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四、财政拨款收入支出决算总体情况说明…………………………7</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五、一般公共预算财政拨款支出决算情况说明……………………8</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六、一般公共预算财政拨款基本支出决算情况说明………………</w:t>
      </w:r>
      <w:r w:rsidR="00742BDF">
        <w:rPr>
          <w:rFonts w:ascii="仿宋" w:eastAsia="仿宋" w:hAnsi="仿宋" w:cs="仿宋" w:hint="eastAsia"/>
          <w:sz w:val="28"/>
          <w:szCs w:val="28"/>
        </w:rPr>
        <w:t>10</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七、“三公”经费财政拨款支出决算情况说明………………………1</w:t>
      </w:r>
      <w:r w:rsidR="00742BDF">
        <w:rPr>
          <w:rFonts w:ascii="仿宋" w:eastAsia="仿宋" w:hAnsi="仿宋" w:cs="仿宋" w:hint="eastAsia"/>
          <w:sz w:val="28"/>
          <w:szCs w:val="28"/>
        </w:rPr>
        <w:t>1</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八、政府性基金预算支出决算情况说明………………………………11</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九、</w:t>
      </w:r>
      <w:r>
        <w:rPr>
          <w:rFonts w:ascii="仿宋" w:eastAsia="仿宋" w:hAnsi="仿宋" w:cs="仿宋"/>
          <w:sz w:val="28"/>
          <w:szCs w:val="28"/>
        </w:rPr>
        <w:t xml:space="preserve"> </w:t>
      </w:r>
      <w:r>
        <w:rPr>
          <w:rFonts w:ascii="仿宋" w:eastAsia="仿宋" w:hAnsi="仿宋" w:cs="仿宋" w:hint="eastAsia"/>
          <w:sz w:val="28"/>
          <w:szCs w:val="28"/>
        </w:rPr>
        <w:t>国有资本经营预算支出决算情况说明…………………………11</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十、预算绩效情况说明………………………………………………11</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十一、其他重要事项的情况说明……………………………………12</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黑体" w:eastAsia="黑体" w:hAnsi="黑体" w:cs="黑体" w:hint="eastAsia"/>
          <w:sz w:val="28"/>
          <w:szCs w:val="28"/>
        </w:rPr>
        <w:t>第三部分</w:t>
      </w:r>
      <w:r>
        <w:rPr>
          <w:rFonts w:ascii="黑体" w:eastAsia="黑体" w:hAnsi="黑体" w:cs="黑体"/>
          <w:sz w:val="28"/>
          <w:szCs w:val="28"/>
        </w:rPr>
        <w:t xml:space="preserve"> </w:t>
      </w:r>
      <w:r>
        <w:rPr>
          <w:rFonts w:ascii="黑体" w:eastAsia="黑体" w:hAnsi="黑体" w:cs="黑体" w:hint="eastAsia"/>
          <w:sz w:val="28"/>
          <w:szCs w:val="28"/>
        </w:rPr>
        <w:t>名词解释……………………………………………………</w:t>
      </w:r>
      <w:r>
        <w:rPr>
          <w:rFonts w:ascii="仿宋" w:eastAsia="仿宋" w:hAnsi="仿宋" w:cs="仿宋" w:hint="eastAsia"/>
          <w:sz w:val="28"/>
          <w:szCs w:val="28"/>
        </w:rPr>
        <w:t>13</w:t>
      </w:r>
    </w:p>
    <w:p w:rsidR="003E68ED" w:rsidRDefault="00F06A97">
      <w:pPr>
        <w:snapToGrid w:val="0"/>
        <w:spacing w:line="560" w:lineRule="exact"/>
        <w:ind w:firstLineChars="200" w:firstLine="560"/>
        <w:jc w:val="distribute"/>
        <w:rPr>
          <w:rFonts w:ascii="仿宋" w:eastAsia="黑体" w:hAnsi="仿宋" w:cs="仿宋"/>
          <w:sz w:val="28"/>
          <w:szCs w:val="28"/>
        </w:rPr>
      </w:pPr>
      <w:r>
        <w:rPr>
          <w:rFonts w:ascii="黑体" w:eastAsia="黑体" w:hAnsi="黑体" w:cs="黑体" w:hint="eastAsia"/>
          <w:sz w:val="28"/>
          <w:szCs w:val="28"/>
        </w:rPr>
        <w:t>第四部分</w:t>
      </w:r>
      <w:r>
        <w:rPr>
          <w:rFonts w:ascii="黑体" w:eastAsia="黑体" w:hAnsi="黑体" w:cs="黑体"/>
          <w:sz w:val="28"/>
          <w:szCs w:val="28"/>
        </w:rPr>
        <w:t xml:space="preserve"> </w:t>
      </w:r>
      <w:r>
        <w:rPr>
          <w:rFonts w:ascii="黑体" w:eastAsia="黑体" w:hAnsi="黑体" w:cs="黑体" w:hint="eastAsia"/>
          <w:sz w:val="28"/>
          <w:szCs w:val="28"/>
        </w:rPr>
        <w:t>附件</w:t>
      </w:r>
      <w:r>
        <w:rPr>
          <w:rFonts w:ascii="黑体" w:eastAsia="黑体" w:hAnsi="黑体" w:hint="eastAsia"/>
          <w:sz w:val="28"/>
          <w:szCs w:val="28"/>
        </w:rPr>
        <w:t>…………………………………………………………</w:t>
      </w:r>
      <w:r>
        <w:rPr>
          <w:rFonts w:ascii="仿宋" w:eastAsia="仿宋" w:hAnsi="仿宋" w:cs="仿宋" w:hint="eastAsia"/>
          <w:sz w:val="28"/>
          <w:szCs w:val="28"/>
        </w:rPr>
        <w:t>18</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 xml:space="preserve">1 </w:t>
      </w:r>
      <w:r>
        <w:rPr>
          <w:rFonts w:ascii="仿宋" w:eastAsia="仿宋" w:hAnsi="仿宋" w:cs="仿宋" w:hint="eastAsia"/>
          <w:sz w:val="28"/>
          <w:szCs w:val="28"/>
        </w:rPr>
        <w:t>2020年部门整体支出绩效评价报告…………………………18</w:t>
      </w:r>
    </w:p>
    <w:p w:rsidR="003E68ED" w:rsidRDefault="00F06A97">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 xml:space="preserve">附件2 </w:t>
      </w:r>
      <w:r>
        <w:rPr>
          <w:rFonts w:ascii="仿宋" w:eastAsia="仿宋" w:hAnsi="仿宋" w:cs="仿宋"/>
          <w:sz w:val="28"/>
          <w:szCs w:val="28"/>
        </w:rPr>
        <w:t>20</w:t>
      </w:r>
      <w:r>
        <w:rPr>
          <w:rFonts w:ascii="仿宋" w:eastAsia="仿宋" w:hAnsi="仿宋" w:cs="仿宋" w:hint="eastAsia"/>
          <w:sz w:val="28"/>
          <w:szCs w:val="28"/>
        </w:rPr>
        <w:t>20年学生营养改善计划项目支出绩效评价报告………2</w:t>
      </w:r>
      <w:r w:rsidR="00742BDF">
        <w:rPr>
          <w:rFonts w:ascii="仿宋" w:eastAsia="仿宋" w:hAnsi="仿宋" w:cs="仿宋" w:hint="eastAsia"/>
          <w:sz w:val="28"/>
          <w:szCs w:val="28"/>
        </w:rPr>
        <w:t>2</w:t>
      </w:r>
    </w:p>
    <w:p w:rsidR="003E68ED" w:rsidRDefault="003E68ED">
      <w:pPr>
        <w:snapToGrid w:val="0"/>
        <w:spacing w:line="560" w:lineRule="exact"/>
        <w:ind w:firstLineChars="200" w:firstLine="560"/>
        <w:jc w:val="distribute"/>
        <w:rPr>
          <w:rFonts w:ascii="仿宋" w:eastAsia="仿宋" w:hAnsi="仿宋" w:cs="仿宋"/>
          <w:sz w:val="28"/>
          <w:szCs w:val="28"/>
        </w:rPr>
      </w:pPr>
    </w:p>
    <w:p w:rsidR="003E68ED" w:rsidRDefault="00F06A97">
      <w:pPr>
        <w:snapToGrid w:val="0"/>
        <w:spacing w:line="560" w:lineRule="exact"/>
        <w:ind w:firstLineChars="200" w:firstLine="560"/>
        <w:jc w:val="distribute"/>
        <w:rPr>
          <w:rFonts w:ascii="仿宋" w:eastAsia="仿宋" w:hAnsi="仿宋" w:cs="仿宋"/>
          <w:sz w:val="28"/>
          <w:szCs w:val="28"/>
        </w:rPr>
      </w:pPr>
      <w:r>
        <w:rPr>
          <w:rFonts w:ascii="黑体" w:eastAsia="黑体" w:hAnsi="黑体" w:cs="黑体" w:hint="eastAsia"/>
          <w:sz w:val="28"/>
          <w:szCs w:val="28"/>
        </w:rPr>
        <w:t>第五部分</w:t>
      </w:r>
      <w:r>
        <w:rPr>
          <w:rFonts w:ascii="黑体" w:eastAsia="黑体" w:hAnsi="黑体" w:cs="黑体"/>
          <w:sz w:val="28"/>
          <w:szCs w:val="28"/>
        </w:rPr>
        <w:t xml:space="preserve"> </w:t>
      </w:r>
      <w:r>
        <w:rPr>
          <w:rFonts w:ascii="黑体" w:eastAsia="黑体" w:hAnsi="黑体" w:cs="黑体" w:hint="eastAsia"/>
          <w:sz w:val="28"/>
          <w:szCs w:val="28"/>
        </w:rPr>
        <w:t>附表</w:t>
      </w:r>
      <w:r>
        <w:rPr>
          <w:rFonts w:ascii="仿宋" w:eastAsia="仿宋" w:hAnsi="仿宋" w:hint="eastAsia"/>
          <w:sz w:val="28"/>
          <w:szCs w:val="28"/>
        </w:rPr>
        <w:t>…………………………………………………………</w:t>
      </w:r>
      <w:r>
        <w:rPr>
          <w:rFonts w:ascii="仿宋" w:eastAsia="仿宋" w:hAnsi="仿宋" w:cs="仿宋" w:hint="eastAsia"/>
          <w:sz w:val="28"/>
          <w:szCs w:val="28"/>
        </w:rPr>
        <w:t>24</w:t>
      </w:r>
    </w:p>
    <w:p w:rsidR="0042431B" w:rsidRDefault="0042431B" w:rsidP="0042431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一、收入支出决算总表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二、收入总表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三、支出总表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四、财政拨款收入支出决算总表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五、财政拨款支出决算明细表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六、一般公共预算财政拨款支出决算表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七、一般公共预算财政拨款支出决算明细表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八、一般公共预算财政拨款基本支出决算表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九、一般公共预算财政拨款项目支出决算表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十、一般公共预算财政拨款“三公”经费支出决算表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十一、政府性基金预算财政拨款收入支出决算表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十二、政府性基金预算财政拨款“三公”经费支出决算表</w:t>
      </w:r>
    </w:p>
    <w:p w:rsidR="0042431B" w:rsidRDefault="0042431B" w:rsidP="0042431B">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十三、国有资本经营预算支出决算表</w:t>
      </w:r>
    </w:p>
    <w:p w:rsidR="0042431B" w:rsidRDefault="0042431B" w:rsidP="0042431B">
      <w:pPr>
        <w:widowControl/>
        <w:rPr>
          <w:rFonts w:ascii="黑体" w:eastAsia="黑体" w:hAnsi="黑体" w:hint="eastAsia"/>
          <w:sz w:val="28"/>
          <w:szCs w:val="28"/>
        </w:rPr>
      </w:pPr>
    </w:p>
    <w:p w:rsidR="003E68ED" w:rsidRDefault="00F06A97">
      <w:pPr>
        <w:widowControl/>
        <w:jc w:val="left"/>
        <w:rPr>
          <w:rFonts w:ascii="黑体" w:eastAsia="黑体" w:hAnsi="黑体"/>
          <w:sz w:val="48"/>
          <w:szCs w:val="48"/>
        </w:rPr>
      </w:pPr>
      <w:r>
        <w:rPr>
          <w:rFonts w:ascii="黑体" w:eastAsia="黑体" w:hAnsi="黑体"/>
          <w:sz w:val="48"/>
          <w:szCs w:val="48"/>
        </w:rPr>
        <w:br w:type="page"/>
      </w:r>
    </w:p>
    <w:p w:rsidR="003E68ED" w:rsidRDefault="00F06A97">
      <w:pPr>
        <w:pStyle w:val="1"/>
        <w:snapToGrid w:val="0"/>
        <w:spacing w:before="0" w:after="0" w:line="240" w:lineRule="auto"/>
        <w:jc w:val="center"/>
        <w:rPr>
          <w:rFonts w:ascii="方正小标宋简体" w:eastAsia="方正小标宋简体" w:hAnsi="方正小标宋简体" w:cs="方正小标宋简体"/>
        </w:rPr>
      </w:pPr>
      <w:bookmarkStart w:id="15" w:name="_Toc19089861"/>
      <w:bookmarkStart w:id="16" w:name="_Toc15377196"/>
      <w:r>
        <w:rPr>
          <w:rFonts w:ascii="方正小标宋简体" w:eastAsia="方正小标宋简体" w:hAnsi="方正小标宋简体" w:cs="方正小标宋简体" w:hint="eastAsia"/>
          <w:b w:val="0"/>
          <w:bCs w:val="0"/>
        </w:rPr>
        <w:lastRenderedPageBreak/>
        <w:t xml:space="preserve">第一部分 </w:t>
      </w:r>
      <w:r>
        <w:rPr>
          <w:rStyle w:val="10"/>
          <w:rFonts w:ascii="方正小标宋简体" w:eastAsia="方正小标宋简体" w:hAnsi="方正小标宋简体" w:cs="方正小标宋简体" w:hint="eastAsia"/>
        </w:rPr>
        <w:t>部门概况</w:t>
      </w:r>
      <w:bookmarkEnd w:id="15"/>
      <w:bookmarkEnd w:id="16"/>
    </w:p>
    <w:p w:rsidR="003E68ED" w:rsidRDefault="003E68ED">
      <w:pPr>
        <w:pStyle w:val="2"/>
        <w:snapToGrid w:val="0"/>
        <w:spacing w:before="0" w:after="0" w:line="520" w:lineRule="exact"/>
        <w:ind w:firstLineChars="200" w:firstLine="560"/>
        <w:rPr>
          <w:rFonts w:ascii="黑体" w:eastAsia="黑体" w:hAnsi="黑体" w:cs="黑体"/>
          <w:b w:val="0"/>
          <w:bCs w:val="0"/>
          <w:sz w:val="28"/>
          <w:szCs w:val="28"/>
        </w:rPr>
      </w:pPr>
      <w:bookmarkStart w:id="17" w:name="_Toc19089862"/>
      <w:bookmarkStart w:id="18" w:name="_Toc15377197"/>
    </w:p>
    <w:p w:rsidR="003E68ED" w:rsidRDefault="00F06A97">
      <w:pPr>
        <w:pStyle w:val="2"/>
        <w:snapToGrid w:val="0"/>
        <w:spacing w:before="0" w:after="0" w:line="520" w:lineRule="exact"/>
        <w:ind w:firstLineChars="200" w:firstLine="560"/>
        <w:rPr>
          <w:rStyle w:val="20"/>
          <w:rFonts w:ascii="仿宋" w:eastAsia="仿宋" w:hAnsi="仿宋" w:cs="Times New Roman"/>
          <w:sz w:val="28"/>
          <w:szCs w:val="28"/>
        </w:rPr>
      </w:pPr>
      <w:r>
        <w:rPr>
          <w:rFonts w:ascii="黑体" w:eastAsia="黑体" w:hAnsi="黑体" w:cs="黑体" w:hint="eastAsia"/>
          <w:b w:val="0"/>
          <w:bCs w:val="0"/>
          <w:sz w:val="28"/>
          <w:szCs w:val="28"/>
        </w:rPr>
        <w:t>一、基</w:t>
      </w:r>
      <w:r>
        <w:rPr>
          <w:rStyle w:val="20"/>
          <w:rFonts w:ascii="黑体" w:eastAsia="黑体" w:hAnsi="黑体" w:cs="黑体" w:hint="eastAsia"/>
          <w:sz w:val="28"/>
          <w:szCs w:val="28"/>
        </w:rPr>
        <w:t>本职能及主要工作</w:t>
      </w:r>
      <w:bookmarkEnd w:id="17"/>
      <w:bookmarkEnd w:id="18"/>
    </w:p>
    <w:p w:rsidR="003E68ED" w:rsidRDefault="00F06A97">
      <w:pPr>
        <w:snapToGrid w:val="0"/>
        <w:spacing w:line="520" w:lineRule="exact"/>
        <w:ind w:firstLineChars="200" w:firstLine="560"/>
        <w:rPr>
          <w:rFonts w:ascii="楷体" w:eastAsia="楷体" w:hAnsi="楷体" w:cs="楷体"/>
          <w:sz w:val="28"/>
          <w:szCs w:val="28"/>
        </w:rPr>
      </w:pPr>
      <w:bookmarkStart w:id="19" w:name="_Toc15378445"/>
      <w:bookmarkStart w:id="20" w:name="_Toc15377198"/>
      <w:bookmarkStart w:id="21" w:name="_Toc15377204"/>
      <w:r>
        <w:rPr>
          <w:rFonts w:ascii="楷体" w:eastAsia="楷体" w:hAnsi="楷体" w:cs="楷体" w:hint="eastAsia"/>
          <w:sz w:val="28"/>
          <w:szCs w:val="28"/>
        </w:rPr>
        <w:t>（一）主要职能</w:t>
      </w:r>
      <w:bookmarkStart w:id="22" w:name="_Toc15377199"/>
      <w:bookmarkStart w:id="23" w:name="_Toc15378446"/>
      <w:bookmarkEnd w:id="19"/>
      <w:bookmarkEnd w:id="20"/>
    </w:p>
    <w:p w:rsidR="003E68ED" w:rsidRDefault="00F06A9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1．贯彻执行党和国家关于教育改革和发展的各项方针、政策，负责实施回龙河街道办事处辖区内的小学教育，促进基础教育发展。</w:t>
      </w:r>
    </w:p>
    <w:p w:rsidR="003E68ED" w:rsidRDefault="00F06A9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2．宣传贯彻执行国家和省市区有关学生资助工作方针和政策，确保贫困家庭学生不辍学。</w:t>
      </w:r>
    </w:p>
    <w:p w:rsidR="003E68ED" w:rsidRDefault="00F06A9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3．负责推进义务教育均衡发展和促进教育公平，确保教学基本要求、教学基本条件的落实。</w:t>
      </w:r>
    </w:p>
    <w:p w:rsidR="003E68ED" w:rsidRDefault="00F06A9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4．坚持依法治校，统筹推进安全、综合治理等综合性工作。</w:t>
      </w:r>
    </w:p>
    <w:p w:rsidR="003E68ED" w:rsidRDefault="00F06A97">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（二）2020年重点工作完成情况</w:t>
      </w:r>
      <w:bookmarkEnd w:id="22"/>
      <w:bookmarkEnd w:id="23"/>
    </w:p>
    <w:p w:rsidR="003E68ED" w:rsidRDefault="00F06A97">
      <w:pPr>
        <w:snapToGrid w:val="0"/>
        <w:spacing w:line="520" w:lineRule="exact"/>
        <w:ind w:firstLineChars="200" w:firstLine="560"/>
        <w:rPr>
          <w:rFonts w:ascii="仿宋" w:eastAsia="仿宋" w:hAnsi="仿宋" w:cs="仿宋"/>
          <w:bCs/>
          <w:color w:val="333333"/>
          <w:sz w:val="28"/>
          <w:szCs w:val="28"/>
          <w:shd w:val="clear" w:color="auto" w:fill="FFFFFF"/>
        </w:rPr>
      </w:pPr>
      <w:r>
        <w:rPr>
          <w:rFonts w:ascii="仿宋" w:eastAsia="仿宋" w:hAnsi="仿宋" w:cs="仿宋" w:hint="eastAsia"/>
          <w:sz w:val="28"/>
          <w:szCs w:val="28"/>
        </w:rPr>
        <w:t>1.建机制，重德育。</w:t>
      </w:r>
      <w:r>
        <w:rPr>
          <w:rFonts w:ascii="仿宋" w:eastAsia="仿宋" w:hAnsi="仿宋" w:cs="仿宋" w:hint="eastAsia"/>
          <w:bCs/>
          <w:sz w:val="28"/>
          <w:szCs w:val="28"/>
        </w:rPr>
        <w:t>一是德育常规和良好行为习惯上下足功夫</w:t>
      </w:r>
      <w:r>
        <w:rPr>
          <w:rFonts w:ascii="仿宋" w:eastAsia="仿宋" w:hAnsi="仿宋" w:cs="仿宋" w:hint="eastAsia"/>
          <w:sz w:val="28"/>
          <w:szCs w:val="28"/>
        </w:rPr>
        <w:t>。</w:t>
      </w:r>
      <w:r>
        <w:rPr>
          <w:rFonts w:ascii="仿宋" w:eastAsia="仿宋" w:hAnsi="仿宋" w:cs="仿宋" w:hint="eastAsia"/>
          <w:bCs/>
          <w:sz w:val="28"/>
          <w:szCs w:val="28"/>
        </w:rPr>
        <w:t>二是开展“扣好人生第一粒扣子”的六大主题活动，不断培育和践行社会主义核心价值观，深化未成年人思想道德建设</w:t>
      </w:r>
      <w:r>
        <w:rPr>
          <w:rFonts w:ascii="仿宋" w:eastAsia="仿宋" w:hAnsi="仿宋" w:cs="仿宋" w:hint="eastAsia"/>
          <w:sz w:val="28"/>
          <w:szCs w:val="28"/>
        </w:rPr>
        <w:t>。</w:t>
      </w:r>
      <w:r>
        <w:rPr>
          <w:rFonts w:ascii="仿宋" w:eastAsia="仿宋" w:hAnsi="仿宋" w:cs="仿宋" w:hint="eastAsia"/>
          <w:bCs/>
          <w:sz w:val="28"/>
          <w:szCs w:val="28"/>
        </w:rPr>
        <w:t>三是建好家长学校，达成家校共识，实现家校共育</w:t>
      </w:r>
      <w:r>
        <w:rPr>
          <w:rFonts w:ascii="仿宋" w:eastAsia="仿宋" w:hAnsi="仿宋" w:cs="仿宋" w:hint="eastAsia"/>
          <w:sz w:val="28"/>
          <w:szCs w:val="28"/>
        </w:rPr>
        <w:t>。</w:t>
      </w:r>
      <w:r>
        <w:rPr>
          <w:rFonts w:ascii="仿宋" w:eastAsia="仿宋" w:hAnsi="仿宋" w:cs="仿宋" w:hint="eastAsia"/>
          <w:bCs/>
          <w:sz w:val="28"/>
          <w:szCs w:val="28"/>
        </w:rPr>
        <w:t>四是牢固树立了身心健康的教育理念</w:t>
      </w:r>
      <w:r>
        <w:rPr>
          <w:rFonts w:ascii="仿宋" w:eastAsia="仿宋" w:hAnsi="仿宋" w:cs="仿宋" w:hint="eastAsia"/>
          <w:sz w:val="28"/>
          <w:szCs w:val="28"/>
        </w:rPr>
        <w:t>。五是</w:t>
      </w:r>
      <w:r>
        <w:rPr>
          <w:rFonts w:ascii="仿宋" w:eastAsia="仿宋" w:hAnsi="仿宋" w:cs="仿宋" w:hint="eastAsia"/>
          <w:bCs/>
          <w:sz w:val="28"/>
          <w:szCs w:val="28"/>
        </w:rPr>
        <w:t>关爱特殊群体.</w:t>
      </w:r>
      <w:r>
        <w:rPr>
          <w:rFonts w:ascii="仿宋" w:eastAsia="仿宋" w:hAnsi="仿宋" w:cs="仿宋" w:hint="eastAsia"/>
          <w:color w:val="333333"/>
          <w:sz w:val="28"/>
          <w:szCs w:val="28"/>
          <w:shd w:val="clear" w:color="auto" w:fill="FFFFFF"/>
        </w:rPr>
        <w:t xml:space="preserve"> 六是</w:t>
      </w:r>
      <w:r>
        <w:rPr>
          <w:rFonts w:ascii="仿宋" w:eastAsia="仿宋" w:hAnsi="仿宋" w:cs="仿宋" w:hint="eastAsia"/>
          <w:bCs/>
          <w:color w:val="333333"/>
          <w:sz w:val="28"/>
          <w:szCs w:val="28"/>
          <w:shd w:val="clear" w:color="auto" w:fill="FFFFFF"/>
        </w:rPr>
        <w:t>德育活动成效显著。</w:t>
      </w:r>
    </w:p>
    <w:p w:rsidR="003E68ED" w:rsidRDefault="00F06A97">
      <w:pPr>
        <w:snapToGrid w:val="0"/>
        <w:spacing w:line="520" w:lineRule="exact"/>
        <w:ind w:firstLineChars="200" w:firstLine="560"/>
        <w:rPr>
          <w:rFonts w:ascii="仿宋" w:eastAsia="仿宋" w:hAnsi="仿宋" w:cs="仿宋"/>
          <w:bCs/>
          <w:sz w:val="28"/>
          <w:szCs w:val="28"/>
        </w:rPr>
      </w:pPr>
      <w:r>
        <w:rPr>
          <w:rFonts w:ascii="仿宋" w:eastAsia="仿宋" w:hAnsi="仿宋" w:cs="仿宋" w:hint="eastAsia"/>
          <w:sz w:val="28"/>
          <w:szCs w:val="28"/>
        </w:rPr>
        <w:t>2.优教学，提效益。一是</w:t>
      </w:r>
      <w:r>
        <w:rPr>
          <w:rFonts w:ascii="仿宋" w:eastAsia="仿宋" w:hAnsi="仿宋" w:cs="仿宋" w:hint="eastAsia"/>
          <w:bCs/>
          <w:sz w:val="28"/>
          <w:szCs w:val="28"/>
        </w:rPr>
        <w:t>强化过程管理</w:t>
      </w:r>
      <w:r>
        <w:rPr>
          <w:rFonts w:ascii="仿宋" w:eastAsia="仿宋" w:hAnsi="仿宋" w:cs="仿宋" w:hint="eastAsia"/>
          <w:color w:val="333333"/>
          <w:sz w:val="28"/>
          <w:szCs w:val="28"/>
          <w:shd w:val="clear" w:color="auto" w:fill="FFFFFF"/>
        </w:rPr>
        <w:t>。</w:t>
      </w:r>
      <w:r>
        <w:rPr>
          <w:rFonts w:ascii="仿宋" w:eastAsia="仿宋" w:hAnsi="仿宋" w:cs="仿宋" w:hint="eastAsia"/>
          <w:sz w:val="28"/>
          <w:szCs w:val="28"/>
        </w:rPr>
        <w:t>二是</w:t>
      </w:r>
      <w:r>
        <w:rPr>
          <w:rFonts w:ascii="仿宋" w:eastAsia="仿宋" w:hAnsi="仿宋" w:cs="仿宋" w:hint="eastAsia"/>
          <w:bCs/>
          <w:color w:val="333333"/>
          <w:sz w:val="28"/>
          <w:szCs w:val="28"/>
          <w:shd w:val="clear" w:color="auto" w:fill="FFFFFF"/>
        </w:rPr>
        <w:t>把“名师工作室”作为教师专业成长的孵化器、队伍建设的助推器、教育均衡的加速器。</w:t>
      </w:r>
      <w:r>
        <w:rPr>
          <w:rFonts w:ascii="仿宋" w:eastAsia="仿宋" w:hAnsi="仿宋" w:cs="仿宋" w:hint="eastAsia"/>
          <w:sz w:val="28"/>
          <w:szCs w:val="28"/>
        </w:rPr>
        <w:t>三是</w:t>
      </w:r>
      <w:r>
        <w:rPr>
          <w:rFonts w:ascii="仿宋" w:eastAsia="仿宋" w:hAnsi="仿宋" w:cs="仿宋" w:hint="eastAsia"/>
          <w:bCs/>
          <w:sz w:val="28"/>
          <w:szCs w:val="28"/>
        </w:rPr>
        <w:t>夯实教学研究，提高教学质量。</w:t>
      </w:r>
      <w:r>
        <w:rPr>
          <w:rFonts w:ascii="仿宋" w:eastAsia="仿宋" w:hAnsi="仿宋" w:cs="仿宋" w:hint="eastAsia"/>
          <w:sz w:val="28"/>
          <w:szCs w:val="28"/>
        </w:rPr>
        <w:t>四是</w:t>
      </w:r>
      <w:r>
        <w:rPr>
          <w:rFonts w:ascii="仿宋" w:eastAsia="仿宋" w:hAnsi="仿宋" w:cs="仿宋" w:hint="eastAsia"/>
          <w:bCs/>
          <w:sz w:val="28"/>
          <w:szCs w:val="28"/>
        </w:rPr>
        <w:t>营造浓郁特色校园文化，构建艺体科技“2+1+1”发展模式</w:t>
      </w:r>
    </w:p>
    <w:p w:rsidR="003E68ED" w:rsidRDefault="00F06A97">
      <w:pPr>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sz w:val="28"/>
          <w:szCs w:val="28"/>
        </w:rPr>
        <w:t>抓党务、添引力。</w:t>
      </w:r>
      <w:r>
        <w:rPr>
          <w:rFonts w:ascii="仿宋" w:eastAsia="仿宋" w:hAnsi="仿宋" w:cs="仿宋" w:hint="eastAsia"/>
          <w:bCs/>
          <w:sz w:val="28"/>
          <w:szCs w:val="28"/>
        </w:rPr>
        <w:t>一是抓支部班子建设，促学校管理民主化、法制化</w:t>
      </w:r>
      <w:r>
        <w:rPr>
          <w:rFonts w:ascii="仿宋" w:eastAsia="仿宋" w:hAnsi="仿宋" w:cs="仿宋" w:hint="eastAsia"/>
          <w:sz w:val="28"/>
          <w:szCs w:val="28"/>
        </w:rPr>
        <w:t>。</w:t>
      </w:r>
      <w:r>
        <w:rPr>
          <w:rFonts w:ascii="仿宋" w:eastAsia="仿宋" w:hAnsi="仿宋" w:cs="仿宋" w:hint="eastAsia"/>
          <w:bCs/>
          <w:sz w:val="28"/>
          <w:szCs w:val="28"/>
        </w:rPr>
        <w:t>二是抓“三会一课”，促进党员管理、党内生活制度化、规范化。三是抓“不忘初心、牢记使命”主题教育</w:t>
      </w:r>
      <w:r>
        <w:rPr>
          <w:rFonts w:ascii="仿宋" w:eastAsia="仿宋" w:hAnsi="仿宋" w:cs="仿宋" w:hint="eastAsia"/>
          <w:sz w:val="28"/>
          <w:szCs w:val="28"/>
        </w:rPr>
        <w:t>，</w:t>
      </w:r>
      <w:r>
        <w:rPr>
          <w:rFonts w:ascii="仿宋" w:eastAsia="仿宋" w:hAnsi="仿宋" w:cs="仿宋" w:hint="eastAsia"/>
          <w:bCs/>
          <w:sz w:val="28"/>
          <w:szCs w:val="28"/>
        </w:rPr>
        <w:t>促党员素质整体提升。四是抓服务型党组织建设，促宗旨意识进一步增强</w:t>
      </w:r>
      <w:r>
        <w:rPr>
          <w:rFonts w:ascii="仿宋" w:eastAsia="仿宋" w:hAnsi="仿宋" w:cs="仿宋" w:hint="eastAsia"/>
          <w:sz w:val="28"/>
          <w:szCs w:val="28"/>
        </w:rPr>
        <w:t>。</w:t>
      </w:r>
      <w:r>
        <w:rPr>
          <w:rFonts w:ascii="仿宋" w:eastAsia="仿宋" w:hAnsi="仿宋" w:cs="仿宋" w:hint="eastAsia"/>
          <w:bCs/>
          <w:sz w:val="28"/>
          <w:szCs w:val="28"/>
        </w:rPr>
        <w:t>五是抓党风廉政建设，促师德</w:t>
      </w:r>
      <w:r>
        <w:rPr>
          <w:rFonts w:ascii="仿宋" w:eastAsia="仿宋" w:hAnsi="仿宋" w:cs="仿宋" w:hint="eastAsia"/>
          <w:bCs/>
          <w:sz w:val="28"/>
          <w:szCs w:val="28"/>
        </w:rPr>
        <w:lastRenderedPageBreak/>
        <w:t>师风和教师队伍整体形象的转变。</w:t>
      </w:r>
    </w:p>
    <w:p w:rsidR="003E68ED" w:rsidRDefault="00F06A97">
      <w:pPr>
        <w:snapToGrid w:val="0"/>
        <w:spacing w:line="520" w:lineRule="exact"/>
        <w:ind w:firstLineChars="200" w:firstLine="560"/>
        <w:rPr>
          <w:rFonts w:ascii="仿宋" w:eastAsia="仿宋" w:hAnsi="仿宋" w:cs="仿宋"/>
          <w:bCs/>
          <w:sz w:val="28"/>
          <w:szCs w:val="28"/>
        </w:rPr>
      </w:pPr>
      <w:r>
        <w:rPr>
          <w:rFonts w:ascii="仿宋" w:eastAsia="仿宋" w:hAnsi="仿宋" w:cs="仿宋" w:hint="eastAsia"/>
          <w:sz w:val="28"/>
          <w:szCs w:val="28"/>
        </w:rPr>
        <w:t>4.守底线，尽职责。</w:t>
      </w:r>
      <w:r>
        <w:rPr>
          <w:rFonts w:ascii="仿宋" w:eastAsia="仿宋" w:hAnsi="仿宋" w:cs="仿宋" w:hint="eastAsia"/>
          <w:bCs/>
          <w:sz w:val="28"/>
          <w:szCs w:val="28"/>
        </w:rPr>
        <w:t>一是全面落实了一岗双责</w:t>
      </w:r>
      <w:r>
        <w:rPr>
          <w:rFonts w:ascii="仿宋" w:eastAsia="仿宋" w:hAnsi="仿宋" w:cs="仿宋" w:hint="eastAsia"/>
          <w:sz w:val="28"/>
          <w:szCs w:val="28"/>
        </w:rPr>
        <w:t>。</w:t>
      </w:r>
      <w:r>
        <w:rPr>
          <w:rFonts w:ascii="仿宋" w:eastAsia="仿宋" w:hAnsi="仿宋" w:cs="仿宋" w:hint="eastAsia"/>
          <w:bCs/>
          <w:sz w:val="28"/>
          <w:szCs w:val="28"/>
        </w:rPr>
        <w:t>二是制度化地进行了安全隐患排查，发现隐患及时报告并整治</w:t>
      </w:r>
      <w:r>
        <w:rPr>
          <w:rFonts w:ascii="仿宋" w:eastAsia="仿宋" w:hAnsi="仿宋" w:cs="仿宋" w:hint="eastAsia"/>
          <w:sz w:val="28"/>
          <w:szCs w:val="28"/>
        </w:rPr>
        <w:t>。</w:t>
      </w:r>
      <w:r>
        <w:rPr>
          <w:rFonts w:ascii="仿宋" w:eastAsia="仿宋" w:hAnsi="仿宋" w:cs="仿宋" w:hint="eastAsia"/>
          <w:bCs/>
          <w:sz w:val="28"/>
          <w:szCs w:val="28"/>
        </w:rPr>
        <w:t>三是加强了安全教育。四是食品安全管理</w:t>
      </w:r>
      <w:r>
        <w:rPr>
          <w:rFonts w:ascii="仿宋" w:eastAsia="仿宋" w:hAnsi="仿宋" w:cs="仿宋" w:hint="eastAsia"/>
          <w:sz w:val="28"/>
          <w:szCs w:val="28"/>
        </w:rPr>
        <w:t>。五</w:t>
      </w:r>
      <w:r>
        <w:rPr>
          <w:rFonts w:ascii="仿宋" w:eastAsia="仿宋" w:hAnsi="仿宋" w:cs="仿宋" w:hint="eastAsia"/>
          <w:bCs/>
          <w:sz w:val="28"/>
          <w:szCs w:val="28"/>
        </w:rPr>
        <w:t>是建立了双重预防机制，强化了安全风险分级管控、事故隐患排查整理工作。六是认真开展扫黑除恶专题教育活动。七是优化学校后勤服务。</w:t>
      </w:r>
    </w:p>
    <w:p w:rsidR="003E68ED" w:rsidRDefault="00F06A9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5.重宣传，强示范。学校主动与省、市、区主流媒体合作，大力宣传学校成绩和特色。利用微信、美篇、QQ等大家熟知的交流平台，及时报送了学校的工作和成绩，回应社会关切的热点、难点 、学校的亮点，今年已发表省、市级信息36条，让社会充分了解学校，从而赢得了社会和家长的最大支持、信任。</w:t>
      </w:r>
    </w:p>
    <w:p w:rsidR="003E68ED" w:rsidRDefault="00F06A9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6.学校获得荣誉：荣获“广元市学习型单位”、“广元市利州区2020年秋季中小学田径运动会体育道德风尚奖”、核心价值观示范点、2020年“书香利州 一木环保”校园公益活动中荣获优秀组织奖、2020年被评为利州区中小学学籍管理工作先进单位、荣获区教育局2019年目标考核先进集体。党支部被回龙河街道党工委评为“先进基层党组织”。</w:t>
      </w:r>
    </w:p>
    <w:p w:rsidR="003E68ED" w:rsidRDefault="00F06A97">
      <w:pPr>
        <w:pStyle w:val="2"/>
        <w:snapToGrid w:val="0"/>
        <w:spacing w:before="0" w:after="0" w:line="520" w:lineRule="exact"/>
        <w:ind w:firstLineChars="200" w:firstLine="560"/>
        <w:rPr>
          <w:rStyle w:val="20"/>
          <w:rFonts w:ascii="黑体" w:eastAsia="黑体" w:hAnsi="黑体" w:cs="黑体"/>
          <w:sz w:val="28"/>
          <w:szCs w:val="28"/>
        </w:rPr>
      </w:pPr>
      <w:bookmarkStart w:id="24" w:name="_Toc15377200"/>
      <w:bookmarkStart w:id="25" w:name="_Toc19089863"/>
      <w:r>
        <w:rPr>
          <w:rFonts w:ascii="黑体" w:eastAsia="黑体" w:hAnsi="黑体" w:cs="黑体" w:hint="eastAsia"/>
          <w:b w:val="0"/>
          <w:bCs w:val="0"/>
          <w:sz w:val="28"/>
          <w:szCs w:val="28"/>
        </w:rPr>
        <w:t>二、机</w:t>
      </w:r>
      <w:r>
        <w:rPr>
          <w:rStyle w:val="20"/>
          <w:rFonts w:ascii="黑体" w:eastAsia="黑体" w:hAnsi="黑体" w:cs="黑体" w:hint="eastAsia"/>
          <w:sz w:val="28"/>
          <w:szCs w:val="28"/>
        </w:rPr>
        <w:t>构设置</w:t>
      </w:r>
      <w:bookmarkEnd w:id="24"/>
      <w:bookmarkEnd w:id="25"/>
    </w:p>
    <w:p w:rsidR="003E68ED" w:rsidRDefault="00F06A97">
      <w:pPr>
        <w:pStyle w:val="a3"/>
        <w:adjustRightInd w:val="0"/>
        <w:snapToGrid w:val="0"/>
        <w:spacing w:beforeLines="0"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广元市利州区回龙小学是教育局下属的二级预算单位，单位内设机构有：办公室、德育处、教导处、总务处四个部门。</w:t>
      </w:r>
    </w:p>
    <w:p w:rsidR="003E68ED" w:rsidRDefault="00F06A97">
      <w:pPr>
        <w:pStyle w:val="a3"/>
        <w:adjustRightInd w:val="0"/>
        <w:snapToGrid w:val="0"/>
        <w:spacing w:beforeLines="0"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我单位是纳入利州区教育局2020年度部门决算编制范围的二级预算。</w:t>
      </w:r>
    </w:p>
    <w:p w:rsidR="003E68ED" w:rsidRDefault="00F06A97">
      <w:pPr>
        <w:rPr>
          <w:rFonts w:ascii="黑体" w:eastAsia="黑体" w:hAnsi="黑体" w:cs="黑体"/>
          <w:sz w:val="28"/>
          <w:szCs w:val="28"/>
        </w:rPr>
      </w:pPr>
      <w:bookmarkStart w:id="26" w:name="_Toc19089864"/>
      <w:r>
        <w:rPr>
          <w:rFonts w:ascii="黑体" w:eastAsia="黑体" w:hAnsi="黑体" w:cs="黑体" w:hint="eastAsia"/>
          <w:sz w:val="28"/>
          <w:szCs w:val="28"/>
        </w:rPr>
        <w:br w:type="page"/>
      </w:r>
    </w:p>
    <w:p w:rsidR="003E68ED" w:rsidRDefault="00F06A97">
      <w:pPr>
        <w:pStyle w:val="1"/>
        <w:spacing w:before="0" w:after="0" w:line="240" w:lineRule="auto"/>
        <w:jc w:val="center"/>
        <w:rPr>
          <w:rStyle w:val="10"/>
          <w:rFonts w:ascii="方正小标宋简体" w:eastAsia="方正小标宋简体" w:hAnsi="方正小标宋简体" w:cs="方正小标宋简体"/>
        </w:rPr>
      </w:pPr>
      <w:r>
        <w:rPr>
          <w:rStyle w:val="10"/>
          <w:rFonts w:ascii="方正小标宋简体" w:eastAsia="方正小标宋简体" w:hAnsi="方正小标宋简体" w:cs="方正小标宋简体" w:hint="eastAsia"/>
        </w:rPr>
        <w:lastRenderedPageBreak/>
        <w:t>第二部分  2020年度部门决算情况说明</w:t>
      </w:r>
      <w:bookmarkEnd w:id="21"/>
      <w:bookmarkEnd w:id="26"/>
    </w:p>
    <w:p w:rsidR="003E68ED" w:rsidRDefault="003E68ED" w:rsidP="00A40164">
      <w:pPr>
        <w:pStyle w:val="ad"/>
        <w:snapToGrid w:val="0"/>
        <w:spacing w:line="520" w:lineRule="exact"/>
        <w:ind w:leftChars="200" w:left="420" w:firstLineChars="0" w:firstLine="0"/>
        <w:outlineLvl w:val="1"/>
        <w:rPr>
          <w:rFonts w:ascii="黑体" w:eastAsia="黑体" w:hAnsi="黑体" w:cs="黑体"/>
          <w:sz w:val="28"/>
          <w:szCs w:val="28"/>
        </w:rPr>
      </w:pPr>
      <w:bookmarkStart w:id="27" w:name="_Toc19089865"/>
      <w:bookmarkStart w:id="28" w:name="_Toc15377205"/>
    </w:p>
    <w:p w:rsidR="003E68ED" w:rsidRDefault="00F06A97">
      <w:pPr>
        <w:pStyle w:val="ad"/>
        <w:snapToGrid w:val="0"/>
        <w:spacing w:line="560" w:lineRule="exact"/>
        <w:ind w:firstLine="560"/>
        <w:outlineLvl w:val="1"/>
        <w:rPr>
          <w:rStyle w:val="20"/>
          <w:rFonts w:ascii="黑体" w:eastAsia="黑体" w:hAnsi="黑体"/>
          <w:b w:val="0"/>
          <w:bCs w:val="0"/>
          <w:sz w:val="28"/>
          <w:szCs w:val="28"/>
        </w:rPr>
      </w:pPr>
      <w:r>
        <w:rPr>
          <w:rFonts w:ascii="黑体" w:eastAsia="黑体" w:hAnsi="黑体" w:cs="黑体" w:hint="eastAsia"/>
          <w:sz w:val="28"/>
          <w:szCs w:val="28"/>
        </w:rPr>
        <w:t>一、收</w:t>
      </w:r>
      <w:r>
        <w:rPr>
          <w:rStyle w:val="20"/>
          <w:rFonts w:ascii="黑体" w:eastAsia="黑体" w:hAnsi="黑体" w:cs="黑体" w:hint="eastAsia"/>
          <w:b w:val="0"/>
          <w:bCs w:val="0"/>
          <w:sz w:val="28"/>
          <w:szCs w:val="28"/>
        </w:rPr>
        <w:t>入支出决算总体情况说明</w:t>
      </w:r>
      <w:bookmarkEnd w:id="27"/>
      <w:bookmarkEnd w:id="28"/>
    </w:p>
    <w:p w:rsidR="003E68ED" w:rsidRDefault="00F06A97">
      <w:pPr>
        <w:snapToGrid w:val="0"/>
        <w:spacing w:line="560" w:lineRule="exact"/>
        <w:ind w:firstLineChars="200" w:firstLine="560"/>
        <w:rPr>
          <w:rFonts w:ascii="仿宋" w:eastAsia="仿宋_GB2312" w:hAnsi="仿宋"/>
          <w:sz w:val="28"/>
          <w:szCs w:val="28"/>
        </w:rPr>
      </w:pPr>
      <w:r>
        <w:rPr>
          <w:rFonts w:ascii="仿宋" w:eastAsia="仿宋" w:hAnsi="仿宋" w:cs="仿宋"/>
          <w:sz w:val="28"/>
          <w:szCs w:val="28"/>
        </w:rPr>
        <w:t>20</w:t>
      </w:r>
      <w:r>
        <w:rPr>
          <w:rFonts w:ascii="仿宋" w:eastAsia="仿宋" w:hAnsi="仿宋" w:cs="仿宋" w:hint="eastAsia"/>
          <w:sz w:val="28"/>
          <w:szCs w:val="28"/>
        </w:rPr>
        <w:t>20年度回龙小学收入总计</w:t>
      </w:r>
      <w:r>
        <w:rPr>
          <w:rFonts w:ascii="仿宋" w:eastAsia="仿宋" w:hAnsi="仿宋" w:cs="仿宋"/>
          <w:sz w:val="28"/>
          <w:szCs w:val="28"/>
        </w:rPr>
        <w:t>706.45</w:t>
      </w:r>
      <w:r>
        <w:rPr>
          <w:rFonts w:ascii="仿宋" w:eastAsia="仿宋" w:hAnsi="仿宋" w:cs="仿宋" w:hint="eastAsia"/>
          <w:sz w:val="28"/>
          <w:szCs w:val="28"/>
        </w:rPr>
        <w:t>万元，与</w:t>
      </w:r>
      <w:r>
        <w:rPr>
          <w:rFonts w:ascii="仿宋" w:eastAsia="仿宋" w:hAnsi="仿宋" w:cs="仿宋"/>
          <w:sz w:val="28"/>
          <w:szCs w:val="28"/>
        </w:rPr>
        <w:t>2019</w:t>
      </w:r>
      <w:r>
        <w:rPr>
          <w:rFonts w:ascii="仿宋" w:eastAsia="仿宋" w:hAnsi="仿宋" w:cs="仿宋" w:hint="eastAsia"/>
          <w:sz w:val="28"/>
          <w:szCs w:val="28"/>
        </w:rPr>
        <w:t>年相比（634.68万元），收入总计增加71.77万元，增长11.31</w:t>
      </w:r>
      <w:r>
        <w:rPr>
          <w:rFonts w:ascii="仿宋" w:eastAsia="仿宋" w:hAnsi="仿宋" w:cs="仿宋"/>
          <w:sz w:val="28"/>
          <w:szCs w:val="28"/>
        </w:rPr>
        <w:t>%</w:t>
      </w:r>
      <w:r>
        <w:rPr>
          <w:rFonts w:ascii="仿宋" w:eastAsia="仿宋" w:hAnsi="仿宋" w:cs="仿宋" w:hint="eastAsia"/>
          <w:sz w:val="28"/>
          <w:szCs w:val="28"/>
        </w:rPr>
        <w:t>。收入主要变动原因是项目减少，相比</w:t>
      </w:r>
      <w:r>
        <w:rPr>
          <w:rFonts w:ascii="仿宋" w:eastAsia="仿宋" w:hAnsi="仿宋" w:cs="仿宋"/>
          <w:sz w:val="28"/>
          <w:szCs w:val="28"/>
        </w:rPr>
        <w:t>20</w:t>
      </w:r>
      <w:r>
        <w:rPr>
          <w:rFonts w:ascii="仿宋" w:eastAsia="仿宋" w:hAnsi="仿宋" w:cs="仿宋" w:hint="eastAsia"/>
          <w:sz w:val="28"/>
          <w:szCs w:val="28"/>
        </w:rPr>
        <w:t>19年增加71.776万元，增长11.31</w:t>
      </w:r>
      <w:r>
        <w:rPr>
          <w:rFonts w:ascii="仿宋" w:eastAsia="仿宋" w:hAnsi="仿宋" w:cs="仿宋"/>
          <w:sz w:val="28"/>
          <w:szCs w:val="28"/>
        </w:rPr>
        <w:t>%</w:t>
      </w:r>
      <w:r>
        <w:rPr>
          <w:rFonts w:ascii="仿宋" w:eastAsia="仿宋" w:hAnsi="仿宋" w:cs="仿宋" w:hint="eastAsia"/>
          <w:sz w:val="28"/>
          <w:szCs w:val="28"/>
        </w:rPr>
        <w:t>。</w:t>
      </w:r>
    </w:p>
    <w:p w:rsidR="003E68ED" w:rsidRDefault="00F06A97">
      <w:pPr>
        <w:snapToGrid w:val="0"/>
        <w:spacing w:line="560" w:lineRule="exact"/>
        <w:ind w:firstLineChars="200" w:firstLine="560"/>
        <w:rPr>
          <w:rFonts w:ascii="仿宋" w:eastAsia="仿宋" w:hAnsi="仿宋"/>
          <w:sz w:val="28"/>
          <w:szCs w:val="28"/>
        </w:rPr>
      </w:pPr>
      <w:r>
        <w:rPr>
          <w:rFonts w:ascii="仿宋" w:eastAsia="仿宋" w:hAnsi="仿宋" w:cs="仿宋"/>
          <w:sz w:val="28"/>
          <w:szCs w:val="28"/>
        </w:rPr>
        <w:t>20</w:t>
      </w:r>
      <w:r>
        <w:rPr>
          <w:rFonts w:ascii="仿宋" w:eastAsia="仿宋" w:hAnsi="仿宋" w:cs="仿宋" w:hint="eastAsia"/>
          <w:sz w:val="28"/>
          <w:szCs w:val="28"/>
        </w:rPr>
        <w:t>20年度支出合计722.53万元，与</w:t>
      </w:r>
      <w:r>
        <w:rPr>
          <w:rFonts w:ascii="仿宋" w:eastAsia="仿宋" w:hAnsi="仿宋" w:cs="仿宋"/>
          <w:sz w:val="28"/>
          <w:szCs w:val="28"/>
        </w:rPr>
        <w:t>2019</w:t>
      </w:r>
      <w:r>
        <w:rPr>
          <w:rFonts w:ascii="仿宋" w:eastAsia="仿宋" w:hAnsi="仿宋" w:cs="仿宋" w:hint="eastAsia"/>
          <w:sz w:val="28"/>
          <w:szCs w:val="28"/>
        </w:rPr>
        <w:t>年相比（621.78万元），支出增加100.75万元，增长16.2</w:t>
      </w:r>
      <w:r>
        <w:rPr>
          <w:rFonts w:ascii="仿宋" w:eastAsia="仿宋" w:hAnsi="仿宋" w:cs="仿宋"/>
          <w:sz w:val="28"/>
          <w:szCs w:val="28"/>
        </w:rPr>
        <w:t>%</w:t>
      </w:r>
      <w:r>
        <w:rPr>
          <w:rFonts w:ascii="仿宋" w:eastAsia="仿宋" w:hAnsi="仿宋" w:cs="仿宋" w:hint="eastAsia"/>
          <w:sz w:val="28"/>
          <w:szCs w:val="28"/>
        </w:rPr>
        <w:t>。支出主要变动原因公用支出经费支出相比</w:t>
      </w:r>
      <w:r>
        <w:rPr>
          <w:rFonts w:ascii="仿宋" w:eastAsia="仿宋" w:hAnsi="仿宋" w:cs="仿宋"/>
          <w:sz w:val="28"/>
          <w:szCs w:val="28"/>
        </w:rPr>
        <w:t>201</w:t>
      </w:r>
      <w:r>
        <w:rPr>
          <w:rFonts w:ascii="仿宋" w:eastAsia="仿宋" w:hAnsi="仿宋" w:cs="仿宋" w:hint="eastAsia"/>
          <w:sz w:val="28"/>
          <w:szCs w:val="28"/>
        </w:rPr>
        <w:t>9年增加100.75万元，增长16.2</w:t>
      </w:r>
      <w:r>
        <w:rPr>
          <w:rFonts w:ascii="仿宋" w:eastAsia="仿宋" w:hAnsi="仿宋" w:cs="仿宋"/>
          <w:sz w:val="28"/>
          <w:szCs w:val="28"/>
        </w:rPr>
        <w:t>%</w:t>
      </w:r>
      <w:r>
        <w:rPr>
          <w:rFonts w:ascii="仿宋_GB2312" w:eastAsia="仿宋_GB2312" w:cs="仿宋_GB2312" w:hint="eastAsia"/>
          <w:kern w:val="0"/>
          <w:sz w:val="28"/>
          <w:szCs w:val="28"/>
        </w:rPr>
        <w:t>。</w:t>
      </w:r>
    </w:p>
    <w:p w:rsidR="003E68ED" w:rsidRDefault="00F06A97">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（图</w:t>
      </w:r>
      <w:r>
        <w:rPr>
          <w:rFonts w:ascii="仿宋" w:eastAsia="仿宋" w:hAnsi="仿宋" w:cs="仿宋"/>
          <w:sz w:val="28"/>
          <w:szCs w:val="28"/>
        </w:rPr>
        <w:t>1</w:t>
      </w:r>
      <w:r>
        <w:rPr>
          <w:rFonts w:ascii="仿宋" w:eastAsia="仿宋" w:hAnsi="仿宋" w:cs="仿宋" w:hint="eastAsia"/>
          <w:sz w:val="28"/>
          <w:szCs w:val="28"/>
        </w:rPr>
        <w:t>：收、支决算总计变动情况图）（柱状图）</w:t>
      </w:r>
      <w:bookmarkEnd w:id="14"/>
    </w:p>
    <w:p w:rsidR="003E68ED" w:rsidRDefault="00F06A97">
      <w:pPr>
        <w:snapToGrid w:val="0"/>
        <w:spacing w:line="520" w:lineRule="exact"/>
        <w:ind w:firstLineChars="200" w:firstLine="560"/>
        <w:rPr>
          <w:rFonts w:ascii="仿宋" w:eastAsia="仿宋" w:hAnsi="仿宋" w:cs="仿宋"/>
          <w:sz w:val="28"/>
          <w:szCs w:val="28"/>
        </w:rPr>
      </w:pPr>
      <w:r>
        <w:rPr>
          <w:rFonts w:ascii="黑体" w:eastAsia="黑体" w:hAnsi="黑体" w:cs="黑体" w:hint="eastAsia"/>
          <w:noProof/>
          <w:sz w:val="28"/>
          <w:szCs w:val="28"/>
        </w:rPr>
        <w:drawing>
          <wp:anchor distT="0" distB="0" distL="114300" distR="114300" simplePos="0" relativeHeight="251663360" behindDoc="0" locked="0" layoutInCell="1" allowOverlap="1">
            <wp:simplePos x="0" y="0"/>
            <wp:positionH relativeFrom="column">
              <wp:posOffset>200025</wp:posOffset>
            </wp:positionH>
            <wp:positionV relativeFrom="paragraph">
              <wp:posOffset>120650</wp:posOffset>
            </wp:positionV>
            <wp:extent cx="4941570" cy="2781300"/>
            <wp:effectExtent l="4445" t="4445" r="6985" b="14605"/>
            <wp:wrapSquare wrapText="bothSides"/>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E68ED" w:rsidRDefault="003E68ED">
      <w:pPr>
        <w:snapToGrid w:val="0"/>
        <w:spacing w:line="520" w:lineRule="exact"/>
        <w:ind w:firstLineChars="200" w:firstLine="560"/>
        <w:rPr>
          <w:rFonts w:ascii="仿宋" w:eastAsia="仿宋" w:hAnsi="仿宋" w:cs="仿宋"/>
          <w:sz w:val="28"/>
          <w:szCs w:val="28"/>
        </w:rPr>
      </w:pPr>
    </w:p>
    <w:p w:rsidR="003E68ED" w:rsidRDefault="003E68ED">
      <w:pPr>
        <w:snapToGrid w:val="0"/>
        <w:spacing w:line="520" w:lineRule="exact"/>
        <w:ind w:firstLineChars="200" w:firstLine="560"/>
        <w:rPr>
          <w:rFonts w:ascii="仿宋" w:eastAsia="仿宋" w:hAnsi="仿宋" w:cs="仿宋"/>
          <w:sz w:val="28"/>
          <w:szCs w:val="28"/>
        </w:rPr>
      </w:pPr>
    </w:p>
    <w:p w:rsidR="003E68ED" w:rsidRDefault="003E68ED">
      <w:pPr>
        <w:snapToGrid w:val="0"/>
        <w:spacing w:line="520" w:lineRule="exact"/>
        <w:ind w:firstLineChars="200" w:firstLine="560"/>
        <w:rPr>
          <w:rFonts w:ascii="仿宋" w:eastAsia="仿宋" w:hAnsi="仿宋" w:cs="仿宋"/>
          <w:sz w:val="28"/>
          <w:szCs w:val="28"/>
        </w:rPr>
      </w:pPr>
    </w:p>
    <w:p w:rsidR="003E68ED" w:rsidRDefault="003E68ED">
      <w:pPr>
        <w:snapToGrid w:val="0"/>
        <w:spacing w:line="520" w:lineRule="exact"/>
        <w:ind w:firstLineChars="200" w:firstLine="560"/>
        <w:rPr>
          <w:rFonts w:ascii="仿宋" w:eastAsia="仿宋" w:hAnsi="仿宋" w:cs="仿宋"/>
          <w:sz w:val="28"/>
          <w:szCs w:val="28"/>
        </w:rPr>
      </w:pPr>
    </w:p>
    <w:p w:rsidR="003E68ED" w:rsidRDefault="003E68ED">
      <w:pPr>
        <w:snapToGrid w:val="0"/>
        <w:spacing w:line="520" w:lineRule="exact"/>
        <w:ind w:firstLineChars="200" w:firstLine="560"/>
        <w:rPr>
          <w:rFonts w:ascii="仿宋" w:eastAsia="仿宋" w:hAnsi="仿宋" w:cs="仿宋"/>
          <w:sz w:val="28"/>
          <w:szCs w:val="28"/>
        </w:rPr>
      </w:pPr>
    </w:p>
    <w:p w:rsidR="003E68ED" w:rsidRDefault="003E68ED">
      <w:pPr>
        <w:snapToGrid w:val="0"/>
        <w:spacing w:line="520" w:lineRule="exact"/>
        <w:ind w:firstLineChars="200" w:firstLine="560"/>
        <w:rPr>
          <w:rFonts w:ascii="仿宋" w:eastAsia="仿宋" w:hAnsi="仿宋" w:cs="仿宋"/>
          <w:sz w:val="28"/>
          <w:szCs w:val="28"/>
        </w:rPr>
      </w:pPr>
    </w:p>
    <w:p w:rsidR="003E68ED" w:rsidRDefault="003E68ED">
      <w:pPr>
        <w:snapToGrid w:val="0"/>
        <w:spacing w:line="520" w:lineRule="exact"/>
        <w:ind w:firstLineChars="200" w:firstLine="560"/>
        <w:rPr>
          <w:rFonts w:ascii="仿宋" w:eastAsia="仿宋" w:hAnsi="仿宋" w:cs="仿宋"/>
          <w:sz w:val="28"/>
          <w:szCs w:val="28"/>
        </w:rPr>
      </w:pPr>
    </w:p>
    <w:p w:rsidR="003E68ED" w:rsidRDefault="003E68ED">
      <w:pPr>
        <w:snapToGrid w:val="0"/>
        <w:spacing w:line="520" w:lineRule="exact"/>
        <w:ind w:firstLineChars="200" w:firstLine="560"/>
        <w:rPr>
          <w:rFonts w:ascii="仿宋" w:eastAsia="仿宋" w:hAnsi="仿宋" w:cs="仿宋"/>
          <w:sz w:val="28"/>
          <w:szCs w:val="28"/>
        </w:rPr>
      </w:pPr>
    </w:p>
    <w:p w:rsidR="003E68ED" w:rsidRDefault="00F06A97">
      <w:pPr>
        <w:snapToGrid w:val="0"/>
        <w:spacing w:line="560" w:lineRule="exact"/>
        <w:ind w:firstLineChars="200" w:firstLine="560"/>
        <w:rPr>
          <w:rStyle w:val="20"/>
          <w:rFonts w:ascii="黑体" w:eastAsia="黑体" w:hAnsi="黑体"/>
          <w:b w:val="0"/>
          <w:bCs w:val="0"/>
          <w:sz w:val="28"/>
          <w:szCs w:val="28"/>
        </w:rPr>
      </w:pPr>
      <w:r>
        <w:rPr>
          <w:rFonts w:ascii="黑体" w:eastAsia="黑体" w:hAnsi="黑体" w:cs="黑体" w:hint="eastAsia"/>
          <w:sz w:val="28"/>
          <w:szCs w:val="28"/>
        </w:rPr>
        <w:t>二、收</w:t>
      </w:r>
      <w:r>
        <w:rPr>
          <w:rStyle w:val="20"/>
          <w:rFonts w:ascii="黑体" w:eastAsia="黑体" w:hAnsi="黑体" w:cs="黑体" w:hint="eastAsia"/>
          <w:b w:val="0"/>
          <w:bCs w:val="0"/>
          <w:sz w:val="28"/>
          <w:szCs w:val="28"/>
        </w:rPr>
        <w:t>入决算情况说明</w:t>
      </w:r>
    </w:p>
    <w:p w:rsidR="003E68ED" w:rsidRDefault="00F06A97">
      <w:pPr>
        <w:snapToGrid w:val="0"/>
        <w:spacing w:line="560" w:lineRule="exact"/>
        <w:ind w:firstLineChars="200" w:firstLine="560"/>
        <w:outlineLvl w:val="1"/>
        <w:rPr>
          <w:rFonts w:ascii="仿宋" w:eastAsia="仿宋" w:hAnsi="仿宋"/>
          <w:sz w:val="28"/>
          <w:szCs w:val="28"/>
        </w:rPr>
      </w:pPr>
      <w:bookmarkStart w:id="29" w:name="_Toc19089866"/>
      <w:r>
        <w:rPr>
          <w:rFonts w:ascii="仿宋" w:eastAsia="仿宋" w:hAnsi="仿宋" w:cs="仿宋"/>
          <w:sz w:val="28"/>
          <w:szCs w:val="28"/>
        </w:rPr>
        <w:t>20</w:t>
      </w:r>
      <w:r>
        <w:rPr>
          <w:rFonts w:ascii="仿宋" w:eastAsia="仿宋" w:hAnsi="仿宋" w:cs="仿宋" w:hint="eastAsia"/>
          <w:sz w:val="28"/>
          <w:szCs w:val="28"/>
        </w:rPr>
        <w:t>20年本年收入合计706.45万元，其中：一般公共预算财政拨款收入705.54万元，占比99.87</w:t>
      </w:r>
      <w:r>
        <w:rPr>
          <w:rFonts w:ascii="仿宋" w:eastAsia="仿宋" w:hAnsi="仿宋" w:cs="仿宋"/>
          <w:sz w:val="28"/>
          <w:szCs w:val="28"/>
        </w:rPr>
        <w:t>%</w:t>
      </w:r>
      <w:r>
        <w:rPr>
          <w:rFonts w:ascii="仿宋" w:eastAsia="仿宋" w:hAnsi="仿宋" w:cs="仿宋" w:hint="eastAsia"/>
          <w:sz w:val="28"/>
          <w:szCs w:val="28"/>
        </w:rPr>
        <w:t>；其他收入0.91万元，占比0.13</w:t>
      </w:r>
      <w:r>
        <w:rPr>
          <w:rFonts w:ascii="仿宋" w:eastAsia="仿宋" w:hAnsi="仿宋" w:cs="仿宋"/>
          <w:sz w:val="28"/>
          <w:szCs w:val="28"/>
        </w:rPr>
        <w:t>%</w:t>
      </w:r>
      <w:r>
        <w:rPr>
          <w:rFonts w:ascii="仿宋" w:eastAsia="仿宋" w:hAnsi="仿宋" w:cs="仿宋" w:hint="eastAsia"/>
          <w:sz w:val="28"/>
          <w:szCs w:val="28"/>
        </w:rPr>
        <w:t>。</w:t>
      </w:r>
      <w:bookmarkEnd w:id="29"/>
    </w:p>
    <w:p w:rsidR="003E68ED" w:rsidRDefault="00F06A97">
      <w:pPr>
        <w:snapToGrid w:val="0"/>
        <w:spacing w:line="560" w:lineRule="exact"/>
        <w:ind w:firstLineChars="200" w:firstLine="560"/>
        <w:rPr>
          <w:rFonts w:ascii="仿宋" w:eastAsia="仿宋" w:hAnsi="仿宋"/>
          <w:sz w:val="28"/>
          <w:szCs w:val="28"/>
        </w:rPr>
      </w:pPr>
      <w:r>
        <w:rPr>
          <w:rFonts w:ascii="仿宋" w:eastAsia="仿宋" w:hAnsi="仿宋" w:cs="仿宋" w:hint="eastAsia"/>
          <w:sz w:val="28"/>
          <w:szCs w:val="28"/>
        </w:rPr>
        <w:t>（图</w:t>
      </w:r>
      <w:r>
        <w:rPr>
          <w:rFonts w:ascii="仿宋" w:eastAsia="仿宋" w:hAnsi="仿宋" w:cs="仿宋"/>
          <w:sz w:val="28"/>
          <w:szCs w:val="28"/>
        </w:rPr>
        <w:t>2</w:t>
      </w:r>
      <w:r>
        <w:rPr>
          <w:rFonts w:ascii="仿宋" w:eastAsia="仿宋" w:hAnsi="仿宋" w:cs="仿宋" w:hint="eastAsia"/>
          <w:sz w:val="28"/>
          <w:szCs w:val="28"/>
        </w:rPr>
        <w:t>：收入决算结构图）（饼状图）</w:t>
      </w:r>
    </w:p>
    <w:p w:rsidR="003E68ED" w:rsidRDefault="003E68ED">
      <w:pPr>
        <w:snapToGrid w:val="0"/>
        <w:spacing w:line="520" w:lineRule="exact"/>
        <w:ind w:firstLineChars="200" w:firstLine="560"/>
        <w:rPr>
          <w:rFonts w:ascii="仿宋_GB2312" w:eastAsia="仿宋_GB2312"/>
          <w:sz w:val="28"/>
          <w:szCs w:val="28"/>
        </w:rPr>
      </w:pPr>
    </w:p>
    <w:p w:rsidR="003E68ED" w:rsidRDefault="00F06A97">
      <w:pPr>
        <w:snapToGrid w:val="0"/>
        <w:spacing w:line="520" w:lineRule="exact"/>
        <w:ind w:firstLineChars="200" w:firstLine="560"/>
        <w:rPr>
          <w:rFonts w:ascii="仿宋_GB2312" w:eastAsia="仿宋_GB2312"/>
          <w:sz w:val="28"/>
          <w:szCs w:val="28"/>
        </w:rPr>
      </w:pPr>
      <w:r>
        <w:rPr>
          <w:rFonts w:ascii="仿宋" w:eastAsia="仿宋" w:hAnsi="仿宋" w:cs="仿宋"/>
          <w:noProof/>
          <w:sz w:val="28"/>
          <w:szCs w:val="28"/>
        </w:rPr>
        <w:lastRenderedPageBreak/>
        <w:drawing>
          <wp:anchor distT="0" distB="0" distL="114300" distR="114300" simplePos="0" relativeHeight="251659264" behindDoc="0" locked="0" layoutInCell="1" allowOverlap="1">
            <wp:simplePos x="0" y="0"/>
            <wp:positionH relativeFrom="column">
              <wp:posOffset>196215</wp:posOffset>
            </wp:positionH>
            <wp:positionV relativeFrom="paragraph">
              <wp:posOffset>253365</wp:posOffset>
            </wp:positionV>
            <wp:extent cx="4629150" cy="2695575"/>
            <wp:effectExtent l="19050" t="0" r="1905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E68ED" w:rsidRDefault="003E68ED">
      <w:pPr>
        <w:snapToGrid w:val="0"/>
        <w:spacing w:line="520" w:lineRule="exact"/>
        <w:ind w:firstLineChars="200" w:firstLine="560"/>
        <w:rPr>
          <w:rFonts w:ascii="仿宋_GB2312" w:eastAsia="仿宋_GB2312"/>
          <w:sz w:val="28"/>
          <w:szCs w:val="28"/>
        </w:rPr>
      </w:pPr>
    </w:p>
    <w:p w:rsidR="003E68ED" w:rsidRDefault="003E68ED">
      <w:pPr>
        <w:snapToGrid w:val="0"/>
        <w:spacing w:line="520" w:lineRule="exact"/>
        <w:ind w:firstLineChars="200" w:firstLine="560"/>
        <w:rPr>
          <w:rFonts w:ascii="仿宋_GB2312" w:eastAsia="仿宋_GB2312"/>
          <w:sz w:val="28"/>
          <w:szCs w:val="28"/>
        </w:rPr>
      </w:pPr>
    </w:p>
    <w:p w:rsidR="003E68ED" w:rsidRDefault="003E68ED">
      <w:pPr>
        <w:snapToGrid w:val="0"/>
        <w:spacing w:line="520" w:lineRule="exact"/>
        <w:ind w:firstLineChars="200" w:firstLine="560"/>
        <w:rPr>
          <w:rFonts w:ascii="仿宋_GB2312" w:eastAsia="仿宋_GB2312"/>
          <w:sz w:val="28"/>
          <w:szCs w:val="28"/>
        </w:rPr>
      </w:pPr>
    </w:p>
    <w:p w:rsidR="003E68ED" w:rsidRDefault="003E68ED">
      <w:pPr>
        <w:snapToGrid w:val="0"/>
        <w:spacing w:line="520" w:lineRule="exact"/>
        <w:ind w:firstLineChars="200" w:firstLine="560"/>
        <w:rPr>
          <w:rFonts w:ascii="仿宋_GB2312" w:eastAsia="仿宋_GB2312"/>
          <w:sz w:val="28"/>
          <w:szCs w:val="28"/>
        </w:rPr>
      </w:pPr>
    </w:p>
    <w:p w:rsidR="003E68ED" w:rsidRDefault="003E68ED">
      <w:pPr>
        <w:snapToGrid w:val="0"/>
        <w:spacing w:line="520" w:lineRule="exact"/>
        <w:ind w:firstLineChars="200" w:firstLine="560"/>
        <w:rPr>
          <w:rFonts w:ascii="仿宋_GB2312" w:eastAsia="仿宋_GB2312"/>
          <w:sz w:val="28"/>
          <w:szCs w:val="28"/>
        </w:rPr>
      </w:pPr>
    </w:p>
    <w:p w:rsidR="003E68ED" w:rsidRDefault="003E68ED">
      <w:pPr>
        <w:snapToGrid w:val="0"/>
        <w:spacing w:line="520" w:lineRule="exact"/>
        <w:ind w:firstLineChars="200" w:firstLine="560"/>
        <w:rPr>
          <w:rFonts w:ascii="仿宋_GB2312" w:eastAsia="仿宋_GB2312"/>
          <w:sz w:val="28"/>
          <w:szCs w:val="28"/>
        </w:rPr>
      </w:pPr>
    </w:p>
    <w:p w:rsidR="003E68ED" w:rsidRDefault="003E68ED">
      <w:pPr>
        <w:snapToGrid w:val="0"/>
        <w:spacing w:line="520" w:lineRule="exact"/>
        <w:ind w:firstLineChars="200" w:firstLine="560"/>
        <w:outlineLvl w:val="1"/>
        <w:rPr>
          <w:rFonts w:ascii="黑体" w:eastAsia="黑体" w:hAnsi="黑体" w:cs="黑体"/>
          <w:sz w:val="28"/>
          <w:szCs w:val="28"/>
        </w:rPr>
      </w:pPr>
      <w:bookmarkStart w:id="30" w:name="_Toc19089867"/>
      <w:bookmarkStart w:id="31" w:name="_Toc15377207"/>
    </w:p>
    <w:p w:rsidR="003E68ED" w:rsidRDefault="003E68ED">
      <w:pPr>
        <w:snapToGrid w:val="0"/>
        <w:spacing w:line="520" w:lineRule="exact"/>
        <w:ind w:firstLineChars="200" w:firstLine="560"/>
        <w:outlineLvl w:val="1"/>
        <w:rPr>
          <w:rFonts w:ascii="黑体" w:eastAsia="黑体" w:hAnsi="黑体" w:cs="黑体"/>
          <w:sz w:val="28"/>
          <w:szCs w:val="28"/>
        </w:rPr>
      </w:pPr>
    </w:p>
    <w:p w:rsidR="003E68ED" w:rsidRDefault="00F06A97">
      <w:pPr>
        <w:snapToGrid w:val="0"/>
        <w:spacing w:line="520" w:lineRule="exact"/>
        <w:ind w:firstLineChars="200" w:firstLine="560"/>
        <w:outlineLvl w:val="1"/>
        <w:rPr>
          <w:rStyle w:val="20"/>
          <w:rFonts w:ascii="黑体" w:eastAsia="黑体" w:hAnsi="黑体" w:cs="黑体"/>
          <w:b w:val="0"/>
          <w:bCs w:val="0"/>
          <w:sz w:val="28"/>
          <w:szCs w:val="28"/>
        </w:rPr>
      </w:pPr>
      <w:r>
        <w:rPr>
          <w:rFonts w:ascii="黑体" w:eastAsia="黑体" w:hAnsi="黑体" w:cs="黑体" w:hint="eastAsia"/>
          <w:sz w:val="28"/>
          <w:szCs w:val="28"/>
        </w:rPr>
        <w:t>三、支</w:t>
      </w:r>
      <w:r>
        <w:rPr>
          <w:rStyle w:val="20"/>
          <w:rFonts w:ascii="黑体" w:eastAsia="黑体" w:hAnsi="黑体" w:cs="黑体" w:hint="eastAsia"/>
          <w:b w:val="0"/>
          <w:bCs w:val="0"/>
          <w:sz w:val="28"/>
          <w:szCs w:val="28"/>
        </w:rPr>
        <w:t>出决算情况说明</w:t>
      </w:r>
      <w:bookmarkEnd w:id="30"/>
      <w:bookmarkEnd w:id="31"/>
    </w:p>
    <w:p w:rsidR="003E68ED" w:rsidRDefault="00F06A97">
      <w:pPr>
        <w:snapToGrid w:val="0"/>
        <w:spacing w:line="520" w:lineRule="exact"/>
        <w:ind w:firstLineChars="200" w:firstLine="560"/>
        <w:rPr>
          <w:rFonts w:ascii="仿宋" w:eastAsia="仿宋" w:hAnsi="仿宋"/>
          <w:sz w:val="28"/>
          <w:szCs w:val="28"/>
          <w:shd w:val="pct10" w:color="auto" w:fill="FFFFFF"/>
        </w:rPr>
      </w:pPr>
      <w:r>
        <w:rPr>
          <w:rFonts w:ascii="仿宋" w:eastAsia="仿宋" w:hAnsi="仿宋" w:cs="仿宋"/>
          <w:sz w:val="28"/>
          <w:szCs w:val="28"/>
        </w:rPr>
        <w:t>20</w:t>
      </w:r>
      <w:r>
        <w:rPr>
          <w:rFonts w:ascii="仿宋" w:eastAsia="仿宋" w:hAnsi="仿宋" w:cs="仿宋" w:hint="eastAsia"/>
          <w:sz w:val="28"/>
          <w:szCs w:val="28"/>
        </w:rPr>
        <w:t>20年本年支出合计722.53万元，其中：基本支出713.02万元，占98.68</w:t>
      </w:r>
      <w:r>
        <w:rPr>
          <w:rFonts w:ascii="仿宋" w:eastAsia="仿宋" w:hAnsi="仿宋" w:cs="仿宋"/>
          <w:sz w:val="28"/>
          <w:szCs w:val="28"/>
        </w:rPr>
        <w:t>%</w:t>
      </w:r>
      <w:r>
        <w:rPr>
          <w:rFonts w:ascii="仿宋" w:eastAsia="仿宋" w:hAnsi="仿宋" w:cs="仿宋" w:hint="eastAsia"/>
          <w:sz w:val="28"/>
          <w:szCs w:val="28"/>
        </w:rPr>
        <w:t>；项目支出9.51万元，占1.32</w:t>
      </w:r>
      <w:r>
        <w:rPr>
          <w:rFonts w:ascii="仿宋" w:eastAsia="仿宋" w:hAnsi="仿宋" w:cs="仿宋"/>
          <w:sz w:val="28"/>
          <w:szCs w:val="28"/>
        </w:rPr>
        <w:t>%</w:t>
      </w:r>
      <w:r>
        <w:rPr>
          <w:rFonts w:ascii="仿宋" w:eastAsia="仿宋" w:hAnsi="仿宋" w:cs="仿宋" w:hint="eastAsia"/>
          <w:sz w:val="28"/>
          <w:szCs w:val="28"/>
        </w:rPr>
        <w:t>。</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（图3：支出决算结构图）（饼状图）</w:t>
      </w:r>
    </w:p>
    <w:p w:rsidR="003E68ED" w:rsidRDefault="00F06A97">
      <w:pPr>
        <w:snapToGrid w:val="0"/>
        <w:spacing w:line="520" w:lineRule="exact"/>
        <w:ind w:firstLineChars="200" w:firstLine="560"/>
        <w:rPr>
          <w:rStyle w:val="20"/>
          <w:rFonts w:ascii="黑体" w:eastAsia="黑体" w:hAnsi="黑体"/>
          <w:b w:val="0"/>
          <w:bCs w:val="0"/>
          <w:sz w:val="28"/>
          <w:szCs w:val="28"/>
        </w:rPr>
      </w:pPr>
      <w:r>
        <w:rPr>
          <w:rFonts w:ascii="仿宋_GB2312" w:eastAsia="仿宋_GB2312"/>
          <w:noProof/>
          <w:sz w:val="28"/>
          <w:szCs w:val="28"/>
        </w:rPr>
        <w:drawing>
          <wp:anchor distT="0" distB="0" distL="114300" distR="114300" simplePos="0" relativeHeight="251660288" behindDoc="0" locked="0" layoutInCell="1" allowOverlap="1">
            <wp:simplePos x="0" y="0"/>
            <wp:positionH relativeFrom="column">
              <wp:posOffset>25400</wp:posOffset>
            </wp:positionH>
            <wp:positionV relativeFrom="paragraph">
              <wp:posOffset>19685</wp:posOffset>
            </wp:positionV>
            <wp:extent cx="5274310" cy="3076575"/>
            <wp:effectExtent l="19050" t="0" r="2159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2" w:name="_Toc15377208"/>
      <w:bookmarkStart w:id="33" w:name="_Toc19089868"/>
      <w:r>
        <w:rPr>
          <w:rFonts w:ascii="黑体" w:eastAsia="黑体" w:hAnsi="黑体" w:cs="黑体" w:hint="eastAsia"/>
          <w:sz w:val="28"/>
          <w:szCs w:val="28"/>
        </w:rPr>
        <w:t>四、财</w:t>
      </w:r>
      <w:r>
        <w:rPr>
          <w:rStyle w:val="20"/>
          <w:rFonts w:ascii="黑体" w:eastAsia="黑体" w:hAnsi="黑体" w:cs="黑体" w:hint="eastAsia"/>
          <w:b w:val="0"/>
          <w:bCs w:val="0"/>
          <w:sz w:val="28"/>
          <w:szCs w:val="28"/>
        </w:rPr>
        <w:t>政拨款收入支出决算总体情况说明</w:t>
      </w:r>
      <w:bookmarkEnd w:id="32"/>
      <w:bookmarkEnd w:id="33"/>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sz w:val="28"/>
          <w:szCs w:val="28"/>
        </w:rPr>
        <w:t>20</w:t>
      </w:r>
      <w:r>
        <w:rPr>
          <w:rFonts w:ascii="仿宋" w:eastAsia="仿宋" w:hAnsi="仿宋" w:cs="仿宋" w:hint="eastAsia"/>
          <w:sz w:val="28"/>
          <w:szCs w:val="28"/>
        </w:rPr>
        <w:t>20年财政拨款收入总计705.54万元。与</w:t>
      </w:r>
      <w:r>
        <w:rPr>
          <w:rFonts w:ascii="仿宋" w:eastAsia="仿宋" w:hAnsi="仿宋" w:cs="仿宋"/>
          <w:sz w:val="28"/>
          <w:szCs w:val="28"/>
        </w:rPr>
        <w:t>201</w:t>
      </w:r>
      <w:r>
        <w:rPr>
          <w:rFonts w:ascii="仿宋" w:eastAsia="仿宋" w:hAnsi="仿宋" w:cs="仿宋" w:hint="eastAsia"/>
          <w:sz w:val="28"/>
          <w:szCs w:val="28"/>
        </w:rPr>
        <w:t>9年相比（611.12万元），财政拨款收入总计增加94.42万元，增涨15.45</w:t>
      </w:r>
      <w:r>
        <w:rPr>
          <w:rFonts w:ascii="仿宋" w:eastAsia="仿宋" w:hAnsi="仿宋" w:cs="仿宋"/>
          <w:sz w:val="28"/>
          <w:szCs w:val="28"/>
        </w:rPr>
        <w:t>%</w:t>
      </w:r>
      <w:r>
        <w:rPr>
          <w:rFonts w:ascii="仿宋" w:eastAsia="仿宋" w:hAnsi="仿宋" w:cs="仿宋" w:hint="eastAsia"/>
          <w:sz w:val="28"/>
          <w:szCs w:val="28"/>
        </w:rPr>
        <w:t>。</w:t>
      </w:r>
      <w:r>
        <w:rPr>
          <w:rFonts w:ascii="仿宋_GB2312" w:eastAsia="仿宋_GB2312" w:cs="仿宋_GB2312" w:hint="eastAsia"/>
          <w:kern w:val="0"/>
          <w:sz w:val="28"/>
          <w:szCs w:val="28"/>
        </w:rPr>
        <w:t>主要变动原因</w:t>
      </w:r>
      <w:r>
        <w:rPr>
          <w:rFonts w:ascii="仿宋" w:eastAsia="仿宋" w:hAnsi="仿宋" w:cs="仿宋" w:hint="eastAsia"/>
          <w:sz w:val="28"/>
          <w:szCs w:val="28"/>
        </w:rPr>
        <w:t>是</w:t>
      </w:r>
      <w:r>
        <w:rPr>
          <w:rFonts w:ascii="仿宋" w:eastAsia="仿宋" w:hAnsi="仿宋" w:cs="仿宋" w:hint="eastAsia"/>
          <w:sz w:val="28"/>
          <w:szCs w:val="28"/>
        </w:rPr>
        <w:lastRenderedPageBreak/>
        <w:t>因人员工资支出增涨和教职工总数增加，财政人员经费拨款收入增涨，人员经费支出相比</w:t>
      </w:r>
      <w:r>
        <w:rPr>
          <w:rFonts w:ascii="仿宋" w:eastAsia="仿宋" w:hAnsi="仿宋" w:cs="仿宋"/>
          <w:sz w:val="28"/>
          <w:szCs w:val="28"/>
        </w:rPr>
        <w:t>201</w:t>
      </w:r>
      <w:r>
        <w:rPr>
          <w:rFonts w:ascii="仿宋" w:eastAsia="仿宋" w:hAnsi="仿宋" w:cs="仿宋" w:hint="eastAsia"/>
          <w:sz w:val="28"/>
          <w:szCs w:val="28"/>
        </w:rPr>
        <w:t>9年增涨80.35万元，增幅15.31</w:t>
      </w:r>
      <w:r>
        <w:rPr>
          <w:rFonts w:ascii="仿宋" w:eastAsia="仿宋" w:hAnsi="仿宋" w:cs="仿宋"/>
          <w:sz w:val="28"/>
          <w:szCs w:val="28"/>
        </w:rPr>
        <w:t>%</w:t>
      </w:r>
      <w:r>
        <w:rPr>
          <w:rFonts w:ascii="仿宋" w:eastAsia="仿宋" w:hAnsi="仿宋" w:cs="仿宋" w:hint="eastAsia"/>
          <w:sz w:val="28"/>
          <w:szCs w:val="28"/>
        </w:rPr>
        <w:t>。</w:t>
      </w:r>
    </w:p>
    <w:p w:rsidR="003E68ED" w:rsidRDefault="00F06A97">
      <w:pPr>
        <w:snapToGrid w:val="0"/>
        <w:spacing w:line="520" w:lineRule="exact"/>
        <w:ind w:firstLineChars="200" w:firstLine="560"/>
        <w:rPr>
          <w:rFonts w:ascii="仿宋_GB2312" w:eastAsia="仿宋_GB2312"/>
          <w:color w:val="000000" w:themeColor="text1"/>
          <w:kern w:val="0"/>
          <w:sz w:val="28"/>
          <w:szCs w:val="28"/>
        </w:rPr>
      </w:pPr>
      <w:r>
        <w:rPr>
          <w:rFonts w:ascii="仿宋" w:eastAsia="仿宋" w:hAnsi="仿宋" w:cs="仿宋" w:hint="eastAsia"/>
          <w:sz w:val="28"/>
          <w:szCs w:val="28"/>
        </w:rPr>
        <w:t>2020年财政拨款支出总计721.62万元。与</w:t>
      </w:r>
      <w:r>
        <w:rPr>
          <w:rFonts w:ascii="仿宋" w:eastAsia="仿宋" w:hAnsi="仿宋" w:cs="仿宋"/>
          <w:sz w:val="28"/>
          <w:szCs w:val="28"/>
        </w:rPr>
        <w:t>201</w:t>
      </w:r>
      <w:r>
        <w:rPr>
          <w:rFonts w:ascii="仿宋" w:eastAsia="仿宋" w:hAnsi="仿宋" w:cs="仿宋" w:hint="eastAsia"/>
          <w:sz w:val="28"/>
          <w:szCs w:val="28"/>
        </w:rPr>
        <w:t>9年相比（598.28万元），财政拨款支出总计增加123.34万元，增涨20.62</w:t>
      </w:r>
      <w:r>
        <w:rPr>
          <w:rFonts w:ascii="仿宋" w:eastAsia="仿宋" w:hAnsi="仿宋" w:cs="仿宋"/>
          <w:sz w:val="28"/>
          <w:szCs w:val="28"/>
        </w:rPr>
        <w:t>%</w:t>
      </w:r>
      <w:r>
        <w:rPr>
          <w:rFonts w:ascii="仿宋" w:eastAsia="仿宋" w:hAnsi="仿宋" w:cs="仿宋" w:hint="eastAsia"/>
          <w:sz w:val="28"/>
          <w:szCs w:val="28"/>
        </w:rPr>
        <w:t>。</w:t>
      </w:r>
      <w:r>
        <w:rPr>
          <w:rFonts w:ascii="仿宋_GB2312" w:eastAsia="仿宋_GB2312" w:cs="仿宋_GB2312" w:hint="eastAsia"/>
          <w:kern w:val="0"/>
          <w:sz w:val="28"/>
          <w:szCs w:val="28"/>
        </w:rPr>
        <w:t>主要变动原因是人员工资支出增长和教职工总数增加及上年的结转资金，</w:t>
      </w:r>
      <w:r>
        <w:rPr>
          <w:rFonts w:ascii="仿宋" w:eastAsia="仿宋" w:hAnsi="仿宋" w:cs="仿宋" w:hint="eastAsia"/>
          <w:sz w:val="28"/>
          <w:szCs w:val="28"/>
        </w:rPr>
        <w:t>人员经费支出相比2019年增涨123.34万元，增幅20.62</w:t>
      </w:r>
      <w:r>
        <w:rPr>
          <w:rFonts w:ascii="仿宋" w:eastAsia="仿宋" w:hAnsi="仿宋" w:cs="仿宋"/>
          <w:sz w:val="28"/>
          <w:szCs w:val="28"/>
        </w:rPr>
        <w:t>%</w:t>
      </w:r>
      <w:r>
        <w:rPr>
          <w:rFonts w:ascii="仿宋_GB2312" w:eastAsia="仿宋_GB2312" w:cs="仿宋_GB2312" w:hint="eastAsia"/>
          <w:kern w:val="0"/>
          <w:sz w:val="28"/>
          <w:szCs w:val="28"/>
        </w:rPr>
        <w:t>。</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（图4：财政拨款收、支决算总计变动情况）（柱状图）</w:t>
      </w:r>
    </w:p>
    <w:p w:rsidR="003E68ED" w:rsidRDefault="00F06A97">
      <w:pPr>
        <w:snapToGrid w:val="0"/>
        <w:spacing w:line="520" w:lineRule="exact"/>
        <w:ind w:firstLineChars="200" w:firstLine="562"/>
        <w:rPr>
          <w:rFonts w:ascii="仿宋" w:eastAsia="仿宋" w:hAnsi="仿宋"/>
          <w:b/>
          <w:sz w:val="28"/>
          <w:szCs w:val="28"/>
        </w:rPr>
      </w:pPr>
      <w:r>
        <w:rPr>
          <w:rFonts w:ascii="仿宋" w:eastAsia="仿宋" w:hAnsi="仿宋" w:hint="eastAsia"/>
          <w:b/>
          <w:noProof/>
          <w:sz w:val="28"/>
          <w:szCs w:val="28"/>
        </w:rPr>
        <w:drawing>
          <wp:anchor distT="0" distB="0" distL="114300" distR="114300" simplePos="0" relativeHeight="251661312"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b/>
          <w:sz w:val="28"/>
          <w:szCs w:val="28"/>
        </w:rPr>
        <w:t>（除国有资本经营预算外，数据来源于财决</w:t>
      </w:r>
      <w:r>
        <w:rPr>
          <w:rFonts w:ascii="仿宋" w:eastAsia="仿宋" w:hAnsi="仿宋"/>
          <w:b/>
          <w:sz w:val="28"/>
          <w:szCs w:val="28"/>
        </w:rPr>
        <w:t>Z01-1</w:t>
      </w:r>
      <w:r>
        <w:rPr>
          <w:rFonts w:ascii="仿宋" w:eastAsia="仿宋" w:hAnsi="仿宋" w:hint="eastAsia"/>
          <w:b/>
          <w:sz w:val="28"/>
          <w:szCs w:val="28"/>
        </w:rPr>
        <w:t>表，口径为“总计”数+国有资本经营预算）</w:t>
      </w:r>
    </w:p>
    <w:p w:rsidR="003E68ED" w:rsidRDefault="00F06A97">
      <w:pPr>
        <w:snapToGrid w:val="0"/>
        <w:spacing w:line="520" w:lineRule="exact"/>
        <w:ind w:firstLineChars="200" w:firstLine="560"/>
        <w:outlineLvl w:val="1"/>
        <w:rPr>
          <w:rStyle w:val="20"/>
          <w:rFonts w:ascii="黑体" w:eastAsia="黑体" w:hAnsi="黑体"/>
          <w:b w:val="0"/>
          <w:bCs w:val="0"/>
          <w:sz w:val="28"/>
          <w:szCs w:val="28"/>
        </w:rPr>
      </w:pPr>
      <w:bookmarkStart w:id="34" w:name="_Toc15377209"/>
      <w:bookmarkStart w:id="35" w:name="_Toc19089869"/>
      <w:r>
        <w:rPr>
          <w:rFonts w:ascii="黑体" w:eastAsia="黑体" w:hAnsi="黑体" w:cs="黑体" w:hint="eastAsia"/>
          <w:sz w:val="28"/>
          <w:szCs w:val="28"/>
        </w:rPr>
        <w:t>五、一</w:t>
      </w:r>
      <w:r>
        <w:rPr>
          <w:rStyle w:val="20"/>
          <w:rFonts w:ascii="黑体" w:eastAsia="黑体" w:hAnsi="黑体" w:cs="黑体" w:hint="eastAsia"/>
          <w:b w:val="0"/>
          <w:bCs w:val="0"/>
          <w:sz w:val="28"/>
          <w:szCs w:val="28"/>
        </w:rPr>
        <w:t>般公共预算财政拨款支出决算情况说明</w:t>
      </w:r>
      <w:bookmarkEnd w:id="34"/>
      <w:bookmarkEnd w:id="35"/>
    </w:p>
    <w:p w:rsidR="003E68ED" w:rsidRDefault="00F06A97">
      <w:pPr>
        <w:snapToGrid w:val="0"/>
        <w:spacing w:line="520" w:lineRule="exact"/>
        <w:ind w:firstLineChars="200" w:firstLine="560"/>
        <w:outlineLvl w:val="2"/>
        <w:rPr>
          <w:rFonts w:ascii="楷体" w:eastAsia="楷体" w:hAnsi="楷体" w:cs="楷体"/>
          <w:sz w:val="28"/>
          <w:szCs w:val="28"/>
        </w:rPr>
      </w:pPr>
      <w:bookmarkStart w:id="36" w:name="_Toc15377210"/>
      <w:r>
        <w:rPr>
          <w:rFonts w:ascii="楷体" w:eastAsia="楷体" w:hAnsi="楷体" w:cs="楷体" w:hint="eastAsia"/>
          <w:sz w:val="28"/>
          <w:szCs w:val="28"/>
        </w:rPr>
        <w:t>（一）一般公共预算财政拨款支出决算总体情况</w:t>
      </w:r>
      <w:bookmarkEnd w:id="36"/>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sz w:val="28"/>
          <w:szCs w:val="28"/>
        </w:rPr>
        <w:t>20</w:t>
      </w:r>
      <w:r>
        <w:rPr>
          <w:rFonts w:ascii="仿宋" w:eastAsia="仿宋" w:hAnsi="仿宋" w:cs="仿宋" w:hint="eastAsia"/>
          <w:sz w:val="28"/>
          <w:szCs w:val="28"/>
        </w:rPr>
        <w:t>20年一般公共预算财政拨款支出721.62万元，占本年支出合计（722.53万元）的99.87</w:t>
      </w:r>
      <w:r>
        <w:rPr>
          <w:rFonts w:ascii="仿宋" w:eastAsia="仿宋" w:hAnsi="仿宋" w:cs="仿宋"/>
          <w:sz w:val="28"/>
          <w:szCs w:val="28"/>
        </w:rPr>
        <w:t>%</w:t>
      </w:r>
      <w:r>
        <w:rPr>
          <w:rFonts w:ascii="仿宋" w:eastAsia="仿宋" w:hAnsi="仿宋" w:cs="仿宋" w:hint="eastAsia"/>
          <w:sz w:val="28"/>
          <w:szCs w:val="28"/>
        </w:rPr>
        <w:t>。与</w:t>
      </w:r>
      <w:r>
        <w:rPr>
          <w:rFonts w:ascii="仿宋" w:eastAsia="仿宋" w:hAnsi="仿宋" w:cs="仿宋"/>
          <w:sz w:val="28"/>
          <w:szCs w:val="28"/>
        </w:rPr>
        <w:t>201</w:t>
      </w:r>
      <w:r>
        <w:rPr>
          <w:rFonts w:ascii="仿宋" w:eastAsia="仿宋" w:hAnsi="仿宋" w:cs="仿宋" w:hint="eastAsia"/>
          <w:sz w:val="28"/>
          <w:szCs w:val="28"/>
        </w:rPr>
        <w:t>9年相比（598.28万元），一般公共预算财政拨款支出增加123.34万元，增长20.62%。</w:t>
      </w:r>
      <w:r>
        <w:rPr>
          <w:rFonts w:ascii="仿宋_GB2312" w:eastAsia="仿宋_GB2312" w:cs="仿宋_GB2312" w:hint="eastAsia"/>
          <w:kern w:val="0"/>
          <w:sz w:val="28"/>
          <w:szCs w:val="28"/>
        </w:rPr>
        <w:t>主要变动原因是人员工资支出增长和教职工总数增加以上年的结转资金，</w:t>
      </w:r>
      <w:r>
        <w:rPr>
          <w:rFonts w:ascii="仿宋" w:eastAsia="仿宋" w:hAnsi="仿宋" w:cs="仿宋" w:hint="eastAsia"/>
          <w:sz w:val="28"/>
          <w:szCs w:val="28"/>
        </w:rPr>
        <w:t>相比</w:t>
      </w:r>
      <w:r>
        <w:rPr>
          <w:rFonts w:ascii="仿宋" w:eastAsia="仿宋" w:hAnsi="仿宋" w:cs="仿宋"/>
          <w:sz w:val="28"/>
          <w:szCs w:val="28"/>
        </w:rPr>
        <w:t>201</w:t>
      </w:r>
      <w:r>
        <w:rPr>
          <w:rFonts w:ascii="仿宋" w:eastAsia="仿宋" w:hAnsi="仿宋" w:cs="仿宋" w:hint="eastAsia"/>
          <w:sz w:val="28"/>
          <w:szCs w:val="28"/>
        </w:rPr>
        <w:t>9年增长123.34万元，增幅20.62</w:t>
      </w:r>
      <w:r>
        <w:rPr>
          <w:rFonts w:ascii="仿宋" w:eastAsia="仿宋" w:hAnsi="仿宋" w:cs="仿宋"/>
          <w:sz w:val="28"/>
          <w:szCs w:val="28"/>
        </w:rPr>
        <w:t>%</w:t>
      </w:r>
      <w:r>
        <w:rPr>
          <w:rFonts w:ascii="仿宋_GB2312" w:eastAsia="仿宋_GB2312" w:cs="仿宋_GB2312" w:hint="eastAsia"/>
          <w:kern w:val="0"/>
          <w:sz w:val="28"/>
          <w:szCs w:val="28"/>
        </w:rPr>
        <w:t>。</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（图5：一般公共预算财政拨款支出决算变动情况）（柱状图）</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64384" behindDoc="0" locked="0" layoutInCell="1" allowOverlap="1">
            <wp:simplePos x="0" y="0"/>
            <wp:positionH relativeFrom="column">
              <wp:posOffset>314325</wp:posOffset>
            </wp:positionH>
            <wp:positionV relativeFrom="paragraph">
              <wp:posOffset>23495</wp:posOffset>
            </wp:positionV>
            <wp:extent cx="5202555" cy="1863090"/>
            <wp:effectExtent l="19050" t="0" r="17145" b="38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E68ED" w:rsidRDefault="00F06A97">
      <w:pPr>
        <w:snapToGrid w:val="0"/>
        <w:spacing w:line="520" w:lineRule="exact"/>
        <w:ind w:firstLineChars="200" w:firstLine="560"/>
        <w:outlineLvl w:val="2"/>
        <w:rPr>
          <w:rFonts w:ascii="楷体" w:eastAsia="楷体" w:hAnsi="楷体" w:cs="楷体"/>
          <w:sz w:val="28"/>
          <w:szCs w:val="28"/>
        </w:rPr>
      </w:pPr>
      <w:r>
        <w:rPr>
          <w:rFonts w:ascii="楷体" w:eastAsia="楷体" w:hAnsi="楷体" w:cs="楷体" w:hint="eastAsia"/>
          <w:sz w:val="28"/>
          <w:szCs w:val="28"/>
        </w:rPr>
        <w:t>（二）一般公共预算财政拨款支出决算结构情况</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sz w:val="28"/>
          <w:szCs w:val="28"/>
        </w:rPr>
        <w:t>20</w:t>
      </w:r>
      <w:r>
        <w:rPr>
          <w:rFonts w:ascii="仿宋" w:eastAsia="仿宋" w:hAnsi="仿宋" w:cs="仿宋" w:hint="eastAsia"/>
          <w:sz w:val="28"/>
          <w:szCs w:val="28"/>
        </w:rPr>
        <w:t>20年一般公共预算财政拨款支出721.62万元，主要用于以下方面</w:t>
      </w:r>
      <w:r>
        <w:rPr>
          <w:rFonts w:ascii="仿宋" w:eastAsia="仿宋" w:hAnsi="仿宋" w:cs="仿宋"/>
          <w:sz w:val="28"/>
          <w:szCs w:val="28"/>
        </w:rPr>
        <w:t>:</w:t>
      </w:r>
      <w:r>
        <w:rPr>
          <w:rFonts w:ascii="仿宋" w:eastAsia="仿宋" w:hAnsi="仿宋" w:cs="仿宋" w:hint="eastAsia"/>
          <w:sz w:val="28"/>
          <w:szCs w:val="28"/>
        </w:rPr>
        <w:t>一般公共服务（类）支出</w:t>
      </w:r>
      <w:r>
        <w:rPr>
          <w:rFonts w:ascii="仿宋" w:eastAsia="仿宋" w:hAnsi="仿宋" w:cs="仿宋"/>
          <w:sz w:val="28"/>
          <w:szCs w:val="28"/>
        </w:rPr>
        <w:t>0.00</w:t>
      </w:r>
      <w:r>
        <w:rPr>
          <w:rFonts w:ascii="仿宋" w:eastAsia="仿宋" w:hAnsi="仿宋" w:cs="仿宋" w:hint="eastAsia"/>
          <w:sz w:val="28"/>
          <w:szCs w:val="28"/>
        </w:rPr>
        <w:t>万元，占</w:t>
      </w:r>
      <w:r>
        <w:rPr>
          <w:rFonts w:ascii="仿宋" w:eastAsia="仿宋" w:hAnsi="仿宋" w:cs="仿宋"/>
          <w:sz w:val="28"/>
          <w:szCs w:val="28"/>
        </w:rPr>
        <w:t>0.00%</w:t>
      </w:r>
      <w:r>
        <w:rPr>
          <w:rFonts w:ascii="仿宋" w:eastAsia="仿宋" w:hAnsi="仿宋" w:cs="仿宋" w:hint="eastAsia"/>
          <w:sz w:val="28"/>
          <w:szCs w:val="28"/>
        </w:rPr>
        <w:t>；教育支出（类）621.11万元，占86.07</w:t>
      </w:r>
      <w:r>
        <w:rPr>
          <w:rFonts w:ascii="仿宋" w:eastAsia="仿宋" w:hAnsi="仿宋" w:cs="仿宋"/>
          <w:sz w:val="28"/>
          <w:szCs w:val="28"/>
        </w:rPr>
        <w:t>%</w:t>
      </w:r>
      <w:r>
        <w:rPr>
          <w:rFonts w:ascii="仿宋" w:eastAsia="仿宋" w:hAnsi="仿宋" w:cs="仿宋" w:hint="eastAsia"/>
          <w:sz w:val="28"/>
          <w:szCs w:val="28"/>
        </w:rPr>
        <w:t>；科学技术（类）支出</w:t>
      </w:r>
      <w:r>
        <w:rPr>
          <w:rFonts w:ascii="仿宋" w:eastAsia="仿宋" w:hAnsi="仿宋" w:cs="仿宋"/>
          <w:sz w:val="28"/>
          <w:szCs w:val="28"/>
        </w:rPr>
        <w:t>0.00</w:t>
      </w:r>
      <w:r>
        <w:rPr>
          <w:rFonts w:ascii="仿宋" w:eastAsia="仿宋" w:hAnsi="仿宋" w:cs="仿宋" w:hint="eastAsia"/>
          <w:sz w:val="28"/>
          <w:szCs w:val="28"/>
        </w:rPr>
        <w:t>万元，占</w:t>
      </w:r>
      <w:r>
        <w:rPr>
          <w:rFonts w:ascii="仿宋" w:eastAsia="仿宋" w:hAnsi="仿宋" w:cs="仿宋"/>
          <w:sz w:val="28"/>
          <w:szCs w:val="28"/>
        </w:rPr>
        <w:t>0.00%</w:t>
      </w:r>
      <w:r>
        <w:rPr>
          <w:rFonts w:ascii="仿宋" w:eastAsia="仿宋" w:hAnsi="仿宋" w:cs="仿宋" w:hint="eastAsia"/>
          <w:sz w:val="28"/>
          <w:szCs w:val="28"/>
        </w:rPr>
        <w:t>；社会保障和就业（类）支出72.53万元，占10.05</w:t>
      </w:r>
      <w:r>
        <w:rPr>
          <w:rFonts w:ascii="仿宋" w:eastAsia="仿宋" w:hAnsi="仿宋" w:cs="仿宋"/>
          <w:sz w:val="28"/>
          <w:szCs w:val="28"/>
        </w:rPr>
        <w:t>%</w:t>
      </w:r>
      <w:r>
        <w:rPr>
          <w:rFonts w:ascii="仿宋" w:eastAsia="仿宋" w:hAnsi="仿宋" w:cs="仿宋" w:hint="eastAsia"/>
          <w:sz w:val="28"/>
          <w:szCs w:val="28"/>
        </w:rPr>
        <w:t>；卫生健康（类）支出27.99万元，占3.88</w:t>
      </w:r>
      <w:r>
        <w:rPr>
          <w:rFonts w:ascii="仿宋" w:eastAsia="仿宋" w:hAnsi="仿宋" w:cs="仿宋"/>
          <w:sz w:val="28"/>
          <w:szCs w:val="28"/>
        </w:rPr>
        <w:t>%</w:t>
      </w:r>
      <w:r>
        <w:rPr>
          <w:rFonts w:ascii="仿宋" w:eastAsia="仿宋" w:hAnsi="仿宋" w:cs="仿宋" w:hint="eastAsia"/>
          <w:sz w:val="28"/>
          <w:szCs w:val="28"/>
        </w:rPr>
        <w:t>；农林水（类）支出0万元，占</w:t>
      </w:r>
      <w:r>
        <w:rPr>
          <w:rFonts w:ascii="仿宋" w:eastAsia="仿宋" w:hAnsi="仿宋" w:cs="仿宋"/>
          <w:sz w:val="28"/>
          <w:szCs w:val="28"/>
        </w:rPr>
        <w:t>0.0</w:t>
      </w:r>
      <w:r>
        <w:rPr>
          <w:rFonts w:ascii="仿宋" w:eastAsia="仿宋" w:hAnsi="仿宋" w:cs="仿宋" w:hint="eastAsia"/>
          <w:sz w:val="28"/>
          <w:szCs w:val="28"/>
        </w:rPr>
        <w:t>0</w:t>
      </w:r>
      <w:r>
        <w:rPr>
          <w:rFonts w:ascii="仿宋" w:eastAsia="仿宋" w:hAnsi="仿宋" w:cs="仿宋"/>
          <w:sz w:val="28"/>
          <w:szCs w:val="28"/>
        </w:rPr>
        <w:t>%</w:t>
      </w:r>
      <w:r>
        <w:rPr>
          <w:rFonts w:ascii="仿宋" w:eastAsia="仿宋" w:hAnsi="仿宋" w:cs="仿宋" w:hint="eastAsia"/>
          <w:sz w:val="28"/>
          <w:szCs w:val="28"/>
        </w:rPr>
        <w:t>；住房保障</w:t>
      </w:r>
      <w:r>
        <w:rPr>
          <w:rFonts w:ascii="仿宋" w:eastAsia="仿宋" w:hAnsi="仿宋" w:cs="仿宋"/>
          <w:sz w:val="28"/>
          <w:szCs w:val="28"/>
        </w:rPr>
        <w:t>(</w:t>
      </w:r>
      <w:r>
        <w:rPr>
          <w:rFonts w:ascii="仿宋" w:eastAsia="仿宋" w:hAnsi="仿宋" w:cs="仿宋" w:hint="eastAsia"/>
          <w:sz w:val="28"/>
          <w:szCs w:val="28"/>
        </w:rPr>
        <w:t>类</w:t>
      </w:r>
      <w:r>
        <w:rPr>
          <w:rFonts w:ascii="仿宋" w:eastAsia="仿宋" w:hAnsi="仿宋" w:cs="仿宋"/>
          <w:sz w:val="28"/>
          <w:szCs w:val="28"/>
        </w:rPr>
        <w:t>)</w:t>
      </w:r>
      <w:r>
        <w:rPr>
          <w:rFonts w:ascii="仿宋" w:eastAsia="仿宋" w:hAnsi="仿宋" w:cs="仿宋" w:hint="eastAsia"/>
          <w:sz w:val="28"/>
          <w:szCs w:val="28"/>
        </w:rPr>
        <w:t>支出0万元，占0</w:t>
      </w:r>
      <w:r>
        <w:rPr>
          <w:rFonts w:ascii="仿宋" w:eastAsia="仿宋" w:hAnsi="仿宋" w:cs="仿宋"/>
          <w:sz w:val="28"/>
          <w:szCs w:val="28"/>
        </w:rPr>
        <w:t>%</w:t>
      </w:r>
      <w:r>
        <w:rPr>
          <w:rFonts w:ascii="仿宋" w:eastAsia="仿宋" w:hAnsi="仿宋" w:cs="仿宋" w:hint="eastAsia"/>
          <w:sz w:val="28"/>
          <w:szCs w:val="28"/>
        </w:rPr>
        <w:t>；其它支出（类）支出</w:t>
      </w:r>
      <w:r>
        <w:rPr>
          <w:rFonts w:ascii="仿宋" w:eastAsia="仿宋" w:hAnsi="仿宋" w:cs="仿宋"/>
          <w:sz w:val="28"/>
          <w:szCs w:val="28"/>
        </w:rPr>
        <w:t>0.00</w:t>
      </w:r>
      <w:r>
        <w:rPr>
          <w:rFonts w:ascii="仿宋" w:eastAsia="仿宋" w:hAnsi="仿宋" w:cs="仿宋" w:hint="eastAsia"/>
          <w:sz w:val="28"/>
          <w:szCs w:val="28"/>
        </w:rPr>
        <w:t>万元，占</w:t>
      </w:r>
      <w:r>
        <w:rPr>
          <w:rFonts w:ascii="仿宋" w:eastAsia="仿宋" w:hAnsi="仿宋" w:cs="仿宋"/>
          <w:sz w:val="28"/>
          <w:szCs w:val="28"/>
        </w:rPr>
        <w:t>0.00%</w:t>
      </w:r>
      <w:r>
        <w:rPr>
          <w:rFonts w:ascii="仿宋" w:eastAsia="仿宋" w:hAnsi="仿宋" w:cs="仿宋" w:hint="eastAsia"/>
          <w:sz w:val="28"/>
          <w:szCs w:val="28"/>
        </w:rPr>
        <w:t>。</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noProof/>
          <w:sz w:val="28"/>
          <w:szCs w:val="28"/>
        </w:rPr>
        <w:drawing>
          <wp:anchor distT="0" distB="0" distL="114300" distR="114300" simplePos="0" relativeHeight="251662336" behindDoc="0" locked="0" layoutInCell="1" allowOverlap="1">
            <wp:simplePos x="0" y="0"/>
            <wp:positionH relativeFrom="column">
              <wp:posOffset>-158750</wp:posOffset>
            </wp:positionH>
            <wp:positionV relativeFrom="paragraph">
              <wp:posOffset>527050</wp:posOffset>
            </wp:positionV>
            <wp:extent cx="5496560" cy="3015615"/>
            <wp:effectExtent l="19050" t="0" r="2794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hint="eastAsia"/>
          <w:sz w:val="28"/>
          <w:szCs w:val="28"/>
        </w:rPr>
        <w:t>（图6：一般公共预算财政拨款支出决算结构）（饼状图）</w:t>
      </w:r>
    </w:p>
    <w:p w:rsidR="003E68ED" w:rsidRDefault="00F06A97">
      <w:pPr>
        <w:snapToGrid w:val="0"/>
        <w:spacing w:line="560" w:lineRule="exact"/>
        <w:ind w:firstLineChars="200" w:firstLine="560"/>
        <w:outlineLvl w:val="2"/>
        <w:rPr>
          <w:rFonts w:ascii="楷体" w:eastAsia="楷体" w:hAnsi="楷体" w:cs="楷体"/>
          <w:sz w:val="28"/>
          <w:szCs w:val="28"/>
        </w:rPr>
      </w:pPr>
      <w:bookmarkStart w:id="37" w:name="_Toc15377212"/>
      <w:r>
        <w:rPr>
          <w:rFonts w:ascii="楷体" w:eastAsia="楷体" w:hAnsi="楷体" w:cs="楷体" w:hint="eastAsia"/>
          <w:sz w:val="28"/>
          <w:szCs w:val="28"/>
        </w:rPr>
        <w:lastRenderedPageBreak/>
        <w:t>（三）一般公共预算财政拨款支出决算具体情况</w:t>
      </w:r>
      <w:bookmarkEnd w:id="37"/>
    </w:p>
    <w:p w:rsidR="003E68ED" w:rsidRDefault="00F06A97">
      <w:pPr>
        <w:snapToGrid w:val="0"/>
        <w:spacing w:line="560" w:lineRule="exact"/>
        <w:ind w:firstLineChars="200" w:firstLine="560"/>
        <w:rPr>
          <w:rStyle w:val="ab"/>
          <w:rFonts w:ascii="仿宋" w:eastAsia="仿宋" w:hAnsi="仿宋" w:cs="仿宋"/>
          <w:b w:val="0"/>
          <w:sz w:val="28"/>
          <w:szCs w:val="28"/>
        </w:rPr>
      </w:pPr>
      <w:bookmarkStart w:id="38" w:name="_Toc15377213"/>
      <w:bookmarkStart w:id="39" w:name="_Toc15377444"/>
      <w:bookmarkStart w:id="40" w:name="_Toc15378460"/>
      <w:r>
        <w:rPr>
          <w:rStyle w:val="ab"/>
          <w:rFonts w:ascii="仿宋" w:eastAsia="仿宋" w:hAnsi="仿宋" w:cs="仿宋" w:hint="eastAsia"/>
          <w:b w:val="0"/>
          <w:sz w:val="28"/>
          <w:szCs w:val="28"/>
        </w:rPr>
        <w:t>2020年一般公共预算支出决算数为721.62万元，完成预算100%。其中：</w:t>
      </w:r>
      <w:bookmarkEnd w:id="38"/>
      <w:bookmarkEnd w:id="39"/>
      <w:bookmarkEnd w:id="40"/>
    </w:p>
    <w:p w:rsidR="003E68ED" w:rsidRDefault="00F06A97">
      <w:pPr>
        <w:snapToGrid w:val="0"/>
        <w:spacing w:line="560" w:lineRule="exact"/>
        <w:ind w:firstLineChars="200" w:firstLine="560"/>
        <w:rPr>
          <w:rFonts w:ascii="仿宋" w:eastAsia="仿宋" w:hAnsi="仿宋"/>
          <w:sz w:val="28"/>
          <w:szCs w:val="28"/>
        </w:rPr>
      </w:pPr>
      <w:r>
        <w:rPr>
          <w:rStyle w:val="ab"/>
          <w:rFonts w:ascii="仿宋" w:eastAsia="仿宋" w:hAnsi="仿宋" w:cs="仿宋" w:hint="eastAsia"/>
          <w:b w:val="0"/>
          <w:sz w:val="28"/>
          <w:szCs w:val="28"/>
        </w:rPr>
        <w:t>1.教育支出（类）普通教育（款）学前教育（项）</w:t>
      </w:r>
      <w:r>
        <w:rPr>
          <w:rStyle w:val="ab"/>
          <w:rFonts w:ascii="仿宋" w:eastAsia="仿宋" w:hAnsi="仿宋" w:cs="仿宋"/>
          <w:b w:val="0"/>
          <w:sz w:val="28"/>
          <w:szCs w:val="28"/>
        </w:rPr>
        <w:t>:</w:t>
      </w:r>
      <w:r>
        <w:rPr>
          <w:rStyle w:val="ab"/>
          <w:rFonts w:ascii="仿宋" w:eastAsia="仿宋" w:hAnsi="仿宋" w:cs="仿宋" w:hint="eastAsia"/>
          <w:b w:val="0"/>
          <w:sz w:val="28"/>
          <w:szCs w:val="28"/>
        </w:rPr>
        <w:t>支出决算数为5.89万元，完成预算100.00</w:t>
      </w:r>
      <w:r>
        <w:rPr>
          <w:rStyle w:val="ab"/>
          <w:rFonts w:ascii="仿宋" w:eastAsia="仿宋" w:hAnsi="仿宋" w:cs="仿宋"/>
          <w:b w:val="0"/>
          <w:sz w:val="28"/>
          <w:szCs w:val="28"/>
        </w:rPr>
        <w:t>%</w:t>
      </w:r>
      <w:r>
        <w:rPr>
          <w:rStyle w:val="ab"/>
          <w:rFonts w:ascii="仿宋" w:eastAsia="仿宋" w:hAnsi="仿宋" w:cs="仿宋" w:hint="eastAsia"/>
          <w:b w:val="0"/>
          <w:sz w:val="28"/>
          <w:szCs w:val="28"/>
        </w:rPr>
        <w:t>，</w:t>
      </w:r>
    </w:p>
    <w:p w:rsidR="003E68ED" w:rsidRDefault="00F06A97">
      <w:pPr>
        <w:snapToGrid w:val="0"/>
        <w:spacing w:line="560" w:lineRule="exact"/>
        <w:ind w:firstLineChars="200" w:firstLine="560"/>
        <w:rPr>
          <w:rFonts w:ascii="仿宋" w:eastAsia="仿宋" w:hAnsi="仿宋"/>
          <w:sz w:val="28"/>
          <w:szCs w:val="28"/>
        </w:rPr>
      </w:pPr>
      <w:r>
        <w:rPr>
          <w:rStyle w:val="ab"/>
          <w:rFonts w:ascii="仿宋" w:eastAsia="仿宋" w:hAnsi="仿宋" w:cs="仿宋" w:hint="eastAsia"/>
          <w:b w:val="0"/>
          <w:sz w:val="28"/>
          <w:szCs w:val="28"/>
        </w:rPr>
        <w:t>2</w:t>
      </w:r>
      <w:r>
        <w:rPr>
          <w:rStyle w:val="ab"/>
          <w:rFonts w:ascii="仿宋" w:eastAsia="仿宋" w:hAnsi="仿宋" w:cs="仿宋"/>
          <w:b w:val="0"/>
          <w:sz w:val="28"/>
          <w:szCs w:val="28"/>
        </w:rPr>
        <w:t>.</w:t>
      </w:r>
      <w:r>
        <w:rPr>
          <w:rStyle w:val="ab"/>
          <w:rFonts w:ascii="仿宋" w:eastAsia="仿宋" w:hAnsi="仿宋" w:cs="仿宋" w:hint="eastAsia"/>
          <w:b w:val="0"/>
          <w:sz w:val="28"/>
          <w:szCs w:val="28"/>
        </w:rPr>
        <w:t>教育支出（类）普通教育（款）小学教育（项）</w:t>
      </w:r>
      <w:r>
        <w:rPr>
          <w:rStyle w:val="ab"/>
          <w:rFonts w:ascii="仿宋" w:eastAsia="仿宋" w:hAnsi="仿宋" w:cs="仿宋"/>
          <w:b w:val="0"/>
          <w:sz w:val="28"/>
          <w:szCs w:val="28"/>
        </w:rPr>
        <w:t>:</w:t>
      </w:r>
      <w:r>
        <w:rPr>
          <w:rStyle w:val="ab"/>
          <w:rFonts w:ascii="仿宋" w:eastAsia="仿宋" w:hAnsi="仿宋" w:cs="仿宋" w:hint="eastAsia"/>
          <w:b w:val="0"/>
          <w:sz w:val="28"/>
          <w:szCs w:val="28"/>
        </w:rPr>
        <w:t>支出决算数为615.22万元，完成预算97.36</w:t>
      </w:r>
      <w:r>
        <w:rPr>
          <w:rStyle w:val="ab"/>
          <w:rFonts w:ascii="仿宋" w:eastAsia="仿宋" w:hAnsi="仿宋" w:cs="仿宋"/>
          <w:b w:val="0"/>
          <w:sz w:val="28"/>
          <w:szCs w:val="28"/>
        </w:rPr>
        <w:t>%</w:t>
      </w:r>
      <w:r>
        <w:rPr>
          <w:rStyle w:val="ab"/>
          <w:rFonts w:ascii="仿宋" w:eastAsia="仿宋" w:hAnsi="仿宋" w:cs="仿宋" w:hint="eastAsia"/>
          <w:b w:val="0"/>
          <w:sz w:val="28"/>
          <w:szCs w:val="28"/>
        </w:rPr>
        <w:t>。决算数小于预算数的主要原因是30%奖的励性绩效工资待年终考核后发放，资金结转下年使用。</w:t>
      </w:r>
    </w:p>
    <w:p w:rsidR="003E68ED" w:rsidRDefault="00F06A97">
      <w:pPr>
        <w:snapToGrid w:val="0"/>
        <w:spacing w:line="560" w:lineRule="exact"/>
        <w:ind w:firstLineChars="200" w:firstLine="560"/>
        <w:rPr>
          <w:rStyle w:val="ab"/>
          <w:rFonts w:ascii="仿宋" w:eastAsia="仿宋" w:hAnsi="仿宋"/>
          <w:b w:val="0"/>
          <w:sz w:val="28"/>
          <w:szCs w:val="28"/>
        </w:rPr>
      </w:pPr>
      <w:r>
        <w:rPr>
          <w:rStyle w:val="ab"/>
          <w:rFonts w:ascii="仿宋" w:eastAsia="仿宋" w:hAnsi="仿宋" w:cs="仿宋" w:hint="eastAsia"/>
          <w:b w:val="0"/>
          <w:sz w:val="28"/>
          <w:szCs w:val="28"/>
        </w:rPr>
        <w:t>3</w:t>
      </w:r>
      <w:r>
        <w:rPr>
          <w:rStyle w:val="ab"/>
          <w:rFonts w:ascii="仿宋" w:eastAsia="仿宋" w:hAnsi="仿宋" w:cs="仿宋"/>
          <w:b w:val="0"/>
          <w:sz w:val="28"/>
          <w:szCs w:val="28"/>
        </w:rPr>
        <w:t>.</w:t>
      </w:r>
      <w:r>
        <w:rPr>
          <w:rFonts w:ascii="仿宋" w:eastAsia="仿宋" w:hAnsi="仿宋" w:cs="仿宋" w:hint="eastAsia"/>
          <w:sz w:val="28"/>
          <w:szCs w:val="28"/>
        </w:rPr>
        <w:t>社会保障和就业支出</w:t>
      </w:r>
      <w:r>
        <w:rPr>
          <w:rStyle w:val="ab"/>
          <w:rFonts w:ascii="仿宋" w:eastAsia="仿宋" w:hAnsi="仿宋" w:cs="仿宋" w:hint="eastAsia"/>
          <w:b w:val="0"/>
          <w:sz w:val="28"/>
          <w:szCs w:val="28"/>
        </w:rPr>
        <w:t>（类）行政事业单位离退休（款）机关事业单位基本养老保险缴费支出（项）</w:t>
      </w:r>
      <w:r>
        <w:rPr>
          <w:rStyle w:val="ab"/>
          <w:rFonts w:ascii="仿宋" w:eastAsia="仿宋" w:hAnsi="仿宋" w:cs="仿宋"/>
          <w:b w:val="0"/>
          <w:sz w:val="28"/>
          <w:szCs w:val="28"/>
        </w:rPr>
        <w:t>:</w:t>
      </w:r>
      <w:r>
        <w:rPr>
          <w:rStyle w:val="ab"/>
          <w:rFonts w:ascii="仿宋" w:eastAsia="仿宋" w:hAnsi="仿宋" w:cs="仿宋" w:hint="eastAsia"/>
          <w:b w:val="0"/>
          <w:sz w:val="28"/>
          <w:szCs w:val="28"/>
        </w:rPr>
        <w:t>支出决算为62.83万元，完成预算100</w:t>
      </w:r>
      <w:r>
        <w:rPr>
          <w:rStyle w:val="ab"/>
          <w:rFonts w:ascii="仿宋" w:eastAsia="仿宋" w:hAnsi="仿宋" w:cs="仿宋"/>
          <w:b w:val="0"/>
          <w:sz w:val="28"/>
          <w:szCs w:val="28"/>
        </w:rPr>
        <w:t>%</w:t>
      </w:r>
      <w:r>
        <w:rPr>
          <w:rStyle w:val="ab"/>
          <w:rFonts w:ascii="仿宋" w:eastAsia="仿宋" w:hAnsi="仿宋" w:cs="仿宋" w:hint="eastAsia"/>
          <w:b w:val="0"/>
          <w:sz w:val="28"/>
          <w:szCs w:val="28"/>
        </w:rPr>
        <w:t>。</w:t>
      </w:r>
    </w:p>
    <w:p w:rsidR="003E68ED" w:rsidRDefault="00A40164">
      <w:pPr>
        <w:snapToGrid w:val="0"/>
        <w:spacing w:line="560" w:lineRule="exact"/>
        <w:ind w:firstLineChars="200" w:firstLine="560"/>
        <w:rPr>
          <w:rStyle w:val="ab"/>
          <w:rFonts w:ascii="仿宋" w:eastAsia="仿宋" w:hAnsi="仿宋"/>
          <w:b w:val="0"/>
          <w:sz w:val="28"/>
          <w:szCs w:val="28"/>
        </w:rPr>
      </w:pPr>
      <w:r>
        <w:rPr>
          <w:rStyle w:val="ab"/>
          <w:rFonts w:ascii="仿宋" w:eastAsia="仿宋" w:hAnsi="仿宋" w:cs="仿宋" w:hint="eastAsia"/>
          <w:b w:val="0"/>
          <w:sz w:val="28"/>
          <w:szCs w:val="28"/>
        </w:rPr>
        <w:t>4</w:t>
      </w:r>
      <w:r w:rsidR="00F06A97">
        <w:rPr>
          <w:rStyle w:val="ab"/>
          <w:rFonts w:ascii="仿宋" w:eastAsia="仿宋" w:hAnsi="仿宋" w:cs="仿宋"/>
          <w:b w:val="0"/>
          <w:sz w:val="28"/>
          <w:szCs w:val="28"/>
        </w:rPr>
        <w:t>.</w:t>
      </w:r>
      <w:r w:rsidR="00F06A97">
        <w:rPr>
          <w:rFonts w:ascii="仿宋" w:eastAsia="仿宋" w:hAnsi="仿宋" w:cs="仿宋" w:hint="eastAsia"/>
          <w:sz w:val="28"/>
          <w:szCs w:val="28"/>
        </w:rPr>
        <w:t>社会保障和就业支出</w:t>
      </w:r>
      <w:r w:rsidR="00F06A97">
        <w:rPr>
          <w:rStyle w:val="ab"/>
          <w:rFonts w:ascii="仿宋" w:eastAsia="仿宋" w:hAnsi="仿宋" w:cs="仿宋" w:hint="eastAsia"/>
          <w:b w:val="0"/>
          <w:sz w:val="28"/>
          <w:szCs w:val="28"/>
        </w:rPr>
        <w:t>（类）其它社会保障和就业支出（款）其它社会保障和就业支出（项）</w:t>
      </w:r>
      <w:r w:rsidR="00F06A97">
        <w:rPr>
          <w:rStyle w:val="ab"/>
          <w:rFonts w:ascii="仿宋" w:eastAsia="仿宋" w:hAnsi="仿宋" w:cs="仿宋"/>
          <w:b w:val="0"/>
          <w:sz w:val="28"/>
          <w:szCs w:val="28"/>
        </w:rPr>
        <w:t>:</w:t>
      </w:r>
      <w:r w:rsidR="00F06A97">
        <w:rPr>
          <w:rStyle w:val="ab"/>
          <w:rFonts w:ascii="仿宋" w:eastAsia="仿宋" w:hAnsi="仿宋" w:cs="仿宋" w:hint="eastAsia"/>
          <w:b w:val="0"/>
          <w:sz w:val="28"/>
          <w:szCs w:val="28"/>
        </w:rPr>
        <w:t>支出决算为4.92万元，完成预算</w:t>
      </w:r>
      <w:r w:rsidR="00F06A97">
        <w:rPr>
          <w:rStyle w:val="ab"/>
          <w:rFonts w:ascii="仿宋" w:eastAsia="仿宋" w:hAnsi="仿宋" w:cs="仿宋"/>
          <w:b w:val="0"/>
          <w:sz w:val="28"/>
          <w:szCs w:val="28"/>
        </w:rPr>
        <w:t>100%</w:t>
      </w:r>
      <w:r w:rsidR="00F06A97">
        <w:rPr>
          <w:rStyle w:val="ab"/>
          <w:rFonts w:ascii="仿宋" w:eastAsia="仿宋" w:hAnsi="仿宋" w:cs="仿宋" w:hint="eastAsia"/>
          <w:b w:val="0"/>
          <w:sz w:val="28"/>
          <w:szCs w:val="28"/>
        </w:rPr>
        <w:t>。</w:t>
      </w:r>
    </w:p>
    <w:p w:rsidR="003E68ED" w:rsidRDefault="00A40164">
      <w:pPr>
        <w:snapToGrid w:val="0"/>
        <w:spacing w:line="560" w:lineRule="exact"/>
        <w:ind w:firstLineChars="200" w:firstLine="560"/>
        <w:rPr>
          <w:rStyle w:val="ab"/>
          <w:rFonts w:ascii="仿宋" w:eastAsia="仿宋" w:hAnsi="仿宋"/>
          <w:b w:val="0"/>
          <w:sz w:val="28"/>
          <w:szCs w:val="28"/>
        </w:rPr>
      </w:pPr>
      <w:r>
        <w:rPr>
          <w:rStyle w:val="ab"/>
          <w:rFonts w:ascii="仿宋" w:eastAsia="仿宋" w:hAnsi="仿宋" w:cs="仿宋" w:hint="eastAsia"/>
          <w:b w:val="0"/>
          <w:sz w:val="28"/>
          <w:szCs w:val="28"/>
        </w:rPr>
        <w:t>5</w:t>
      </w:r>
      <w:r w:rsidR="00F06A97">
        <w:rPr>
          <w:rStyle w:val="ab"/>
          <w:rFonts w:ascii="仿宋" w:eastAsia="仿宋" w:hAnsi="仿宋" w:cs="仿宋"/>
          <w:b w:val="0"/>
          <w:sz w:val="28"/>
          <w:szCs w:val="28"/>
        </w:rPr>
        <w:t>.</w:t>
      </w:r>
      <w:r w:rsidR="00F06A97">
        <w:rPr>
          <w:rFonts w:ascii="仿宋" w:eastAsia="仿宋" w:hAnsi="仿宋" w:cs="仿宋" w:hint="eastAsia"/>
          <w:sz w:val="28"/>
          <w:szCs w:val="28"/>
        </w:rPr>
        <w:t>卫生健康支出</w:t>
      </w:r>
      <w:r w:rsidR="00F06A97">
        <w:rPr>
          <w:rStyle w:val="ab"/>
          <w:rFonts w:ascii="仿宋" w:eastAsia="仿宋" w:hAnsi="仿宋" w:cs="仿宋" w:hint="eastAsia"/>
          <w:b w:val="0"/>
          <w:sz w:val="28"/>
          <w:szCs w:val="28"/>
        </w:rPr>
        <w:t>（类）行政事业单位医疗（款）事业单位医疗（项）</w:t>
      </w:r>
      <w:r w:rsidR="00F06A97">
        <w:rPr>
          <w:rStyle w:val="ab"/>
          <w:rFonts w:ascii="仿宋" w:eastAsia="仿宋" w:hAnsi="仿宋" w:cs="仿宋"/>
          <w:b w:val="0"/>
          <w:sz w:val="28"/>
          <w:szCs w:val="28"/>
        </w:rPr>
        <w:t>:</w:t>
      </w:r>
      <w:r w:rsidR="00F06A97">
        <w:rPr>
          <w:rStyle w:val="ab"/>
          <w:rFonts w:ascii="仿宋" w:eastAsia="仿宋" w:hAnsi="仿宋" w:cs="仿宋" w:hint="eastAsia"/>
          <w:b w:val="0"/>
          <w:sz w:val="28"/>
          <w:szCs w:val="28"/>
        </w:rPr>
        <w:t>支出决算为27.99万元，完成预算</w:t>
      </w:r>
      <w:r w:rsidR="00F06A97">
        <w:rPr>
          <w:rStyle w:val="ab"/>
          <w:rFonts w:ascii="仿宋" w:eastAsia="仿宋" w:hAnsi="仿宋" w:cs="仿宋"/>
          <w:b w:val="0"/>
          <w:sz w:val="28"/>
          <w:szCs w:val="28"/>
        </w:rPr>
        <w:t>100%</w:t>
      </w:r>
      <w:r w:rsidR="00F06A97">
        <w:rPr>
          <w:rStyle w:val="ab"/>
          <w:rFonts w:ascii="仿宋" w:eastAsia="仿宋" w:hAnsi="仿宋" w:cs="仿宋" w:hint="eastAsia"/>
          <w:b w:val="0"/>
          <w:sz w:val="28"/>
          <w:szCs w:val="28"/>
        </w:rPr>
        <w:t>。</w:t>
      </w:r>
    </w:p>
    <w:p w:rsidR="003E68ED" w:rsidRDefault="00A40164">
      <w:pPr>
        <w:snapToGrid w:val="0"/>
        <w:spacing w:line="560" w:lineRule="exact"/>
        <w:ind w:firstLineChars="200" w:firstLine="560"/>
        <w:rPr>
          <w:rFonts w:ascii="仿宋" w:eastAsia="仿宋" w:hAnsi="仿宋"/>
          <w:sz w:val="28"/>
          <w:szCs w:val="28"/>
        </w:rPr>
      </w:pPr>
      <w:r>
        <w:rPr>
          <w:rStyle w:val="ab"/>
          <w:rFonts w:ascii="仿宋" w:eastAsia="仿宋" w:hAnsi="仿宋" w:cs="仿宋" w:hint="eastAsia"/>
          <w:b w:val="0"/>
          <w:sz w:val="28"/>
          <w:szCs w:val="28"/>
        </w:rPr>
        <w:t>6</w:t>
      </w:r>
      <w:r w:rsidR="00F06A97">
        <w:rPr>
          <w:rStyle w:val="ab"/>
          <w:rFonts w:ascii="仿宋" w:eastAsia="仿宋" w:hAnsi="仿宋" w:cs="仿宋"/>
          <w:b w:val="0"/>
          <w:sz w:val="28"/>
          <w:szCs w:val="28"/>
        </w:rPr>
        <w:t>.</w:t>
      </w:r>
      <w:r w:rsidR="00F06A97">
        <w:rPr>
          <w:rFonts w:ascii="仿宋" w:eastAsia="仿宋" w:hAnsi="仿宋" w:cs="仿宋" w:hint="eastAsia"/>
          <w:sz w:val="28"/>
          <w:szCs w:val="28"/>
        </w:rPr>
        <w:t xml:space="preserve"> 社会保障和就业支出</w:t>
      </w:r>
      <w:r w:rsidR="00F06A97">
        <w:rPr>
          <w:rStyle w:val="ab"/>
          <w:rFonts w:ascii="仿宋" w:eastAsia="仿宋" w:hAnsi="仿宋" w:cs="仿宋" w:hint="eastAsia"/>
          <w:b w:val="0"/>
          <w:sz w:val="28"/>
          <w:szCs w:val="28"/>
        </w:rPr>
        <w:t>（类）</w:t>
      </w:r>
      <w:r w:rsidR="00F06A97">
        <w:rPr>
          <w:rFonts w:ascii="仿宋" w:eastAsia="仿宋" w:hAnsi="仿宋" w:cs="仿宋" w:hint="eastAsia"/>
          <w:sz w:val="28"/>
          <w:szCs w:val="28"/>
        </w:rPr>
        <w:t>抚恤（款）死亡抚恤（项）</w:t>
      </w:r>
      <w:r w:rsidR="00F06A97">
        <w:rPr>
          <w:rStyle w:val="ab"/>
          <w:rFonts w:ascii="仿宋" w:eastAsia="仿宋" w:hAnsi="仿宋" w:cs="仿宋"/>
          <w:b w:val="0"/>
          <w:sz w:val="28"/>
          <w:szCs w:val="28"/>
        </w:rPr>
        <w:t>:</w:t>
      </w:r>
      <w:r w:rsidR="00F06A97">
        <w:rPr>
          <w:rStyle w:val="ab"/>
          <w:rFonts w:ascii="仿宋" w:eastAsia="仿宋" w:hAnsi="仿宋" w:cs="仿宋" w:hint="eastAsia"/>
          <w:b w:val="0"/>
          <w:sz w:val="28"/>
          <w:szCs w:val="28"/>
        </w:rPr>
        <w:t>支出决算为4.78万元，完成预算</w:t>
      </w:r>
      <w:r w:rsidR="00F06A97">
        <w:rPr>
          <w:rStyle w:val="ab"/>
          <w:rFonts w:ascii="仿宋" w:eastAsia="仿宋" w:hAnsi="仿宋" w:cs="仿宋"/>
          <w:b w:val="0"/>
          <w:sz w:val="28"/>
          <w:szCs w:val="28"/>
        </w:rPr>
        <w:t>100%</w:t>
      </w:r>
      <w:r w:rsidR="00F06A97">
        <w:rPr>
          <w:rStyle w:val="ab"/>
          <w:rFonts w:ascii="仿宋" w:eastAsia="仿宋" w:hAnsi="仿宋" w:cs="仿宋" w:hint="eastAsia"/>
          <w:b w:val="0"/>
          <w:sz w:val="28"/>
          <w:szCs w:val="28"/>
        </w:rPr>
        <w:t>。</w:t>
      </w:r>
    </w:p>
    <w:p w:rsidR="003E68ED" w:rsidRDefault="00F06A97">
      <w:pPr>
        <w:snapToGrid w:val="0"/>
        <w:spacing w:line="560" w:lineRule="exact"/>
        <w:ind w:firstLineChars="200" w:firstLine="560"/>
        <w:rPr>
          <w:rStyle w:val="20"/>
          <w:b w:val="0"/>
          <w:bCs w:val="0"/>
          <w:sz w:val="28"/>
          <w:szCs w:val="28"/>
        </w:rPr>
      </w:pPr>
      <w:bookmarkStart w:id="41" w:name="_Toc15377214"/>
      <w:r>
        <w:rPr>
          <w:rFonts w:ascii="黑体" w:eastAsia="黑体" w:cs="黑体" w:hint="eastAsia"/>
          <w:sz w:val="28"/>
          <w:szCs w:val="28"/>
        </w:rPr>
        <w:t>六、</w:t>
      </w:r>
      <w:r>
        <w:rPr>
          <w:rFonts w:ascii="黑体" w:eastAsia="黑体" w:hAnsi="黑体" w:cs="黑体" w:hint="eastAsia"/>
          <w:sz w:val="28"/>
          <w:szCs w:val="28"/>
        </w:rPr>
        <w:t>一</w:t>
      </w:r>
      <w:r>
        <w:rPr>
          <w:rStyle w:val="20"/>
          <w:rFonts w:ascii="黑体" w:eastAsia="黑体" w:hAnsi="黑体" w:cs="黑体" w:hint="eastAsia"/>
          <w:b w:val="0"/>
          <w:bCs w:val="0"/>
          <w:sz w:val="28"/>
          <w:szCs w:val="28"/>
        </w:rPr>
        <w:t>般公共预算财政拨款基本支出决算情况说明</w:t>
      </w:r>
      <w:bookmarkEnd w:id="41"/>
    </w:p>
    <w:p w:rsidR="003E68ED" w:rsidRDefault="00F06A97">
      <w:pPr>
        <w:snapToGrid w:val="0"/>
        <w:spacing w:line="560" w:lineRule="exact"/>
        <w:ind w:firstLineChars="200" w:firstLine="560"/>
        <w:rPr>
          <w:rFonts w:ascii="仿宋" w:eastAsia="仿宋" w:hAnsi="仿宋"/>
          <w:sz w:val="28"/>
          <w:szCs w:val="28"/>
        </w:rPr>
      </w:pPr>
      <w:r>
        <w:rPr>
          <w:rFonts w:ascii="仿宋" w:eastAsia="仿宋" w:hAnsi="仿宋" w:cs="仿宋"/>
          <w:sz w:val="28"/>
          <w:szCs w:val="28"/>
        </w:rPr>
        <w:t>20</w:t>
      </w:r>
      <w:r>
        <w:rPr>
          <w:rFonts w:ascii="仿宋" w:eastAsia="仿宋" w:hAnsi="仿宋" w:cs="仿宋" w:hint="eastAsia"/>
          <w:sz w:val="28"/>
          <w:szCs w:val="28"/>
        </w:rPr>
        <w:t>20年一般公共预算财政拨款基本支出721.62万元，其中：</w:t>
      </w:r>
    </w:p>
    <w:p w:rsidR="003E68ED" w:rsidRDefault="00F06A97">
      <w:pPr>
        <w:snapToGrid w:val="0"/>
        <w:spacing w:line="560" w:lineRule="exact"/>
        <w:ind w:firstLineChars="200" w:firstLine="560"/>
        <w:rPr>
          <w:rFonts w:ascii="仿宋" w:eastAsia="仿宋" w:hAnsi="仿宋"/>
          <w:sz w:val="28"/>
          <w:szCs w:val="28"/>
        </w:rPr>
      </w:pPr>
      <w:r>
        <w:rPr>
          <w:rFonts w:ascii="仿宋" w:eastAsia="仿宋" w:hAnsi="仿宋" w:cs="仿宋" w:hint="eastAsia"/>
          <w:sz w:val="28"/>
          <w:szCs w:val="28"/>
        </w:rPr>
        <w:t>人员经费605.25万元，主要包括：基本工资194.34万元、津贴补贴4.7万元、绩效工资122.73万元、机关事业单位基本养老保险缴费49.34万元、职工基本医疗保险缴费27.99万元、其他社会保障缴费9.59万元、住房公积金39.08万元、职业年金缴费8.41其他工资福利支出88.33万元、生活补助48.45万元、抚恤金4.78万元、助学金7.51万元等。</w:t>
      </w:r>
      <w:r>
        <w:rPr>
          <w:rFonts w:ascii="仿宋" w:eastAsia="仿宋" w:hAnsi="仿宋"/>
          <w:sz w:val="28"/>
          <w:szCs w:val="28"/>
        </w:rPr>
        <w:br/>
      </w:r>
      <w:r>
        <w:rPr>
          <w:rFonts w:ascii="仿宋" w:eastAsia="仿宋" w:hAnsi="仿宋" w:cs="仿宋" w:hint="eastAsia"/>
          <w:sz w:val="28"/>
          <w:szCs w:val="28"/>
        </w:rPr>
        <w:lastRenderedPageBreak/>
        <w:t xml:space="preserve">　　公用经费116.24万元，主要包括：办公费15.34万元、印刷费3.13万元、手续费0.04万元、水费14.91万元、电费0.98万元、邮电费1.42万元、物业管理费7.05万元、差旅费2.22万元、因公出国（境）费用</w:t>
      </w:r>
      <w:r>
        <w:rPr>
          <w:rFonts w:ascii="仿宋" w:eastAsia="仿宋" w:hAnsi="仿宋" w:cs="仿宋"/>
          <w:sz w:val="28"/>
          <w:szCs w:val="28"/>
        </w:rPr>
        <w:t>0.00</w:t>
      </w:r>
      <w:r>
        <w:rPr>
          <w:rFonts w:ascii="仿宋" w:eastAsia="仿宋" w:hAnsi="仿宋" w:cs="仿宋" w:hint="eastAsia"/>
          <w:sz w:val="28"/>
          <w:szCs w:val="28"/>
        </w:rPr>
        <w:t>万元、维修（护）费28.08万元、租赁费0</w:t>
      </w:r>
      <w:r>
        <w:rPr>
          <w:rFonts w:ascii="仿宋" w:eastAsia="仿宋" w:hAnsi="仿宋" w:cs="仿宋"/>
          <w:sz w:val="28"/>
          <w:szCs w:val="28"/>
        </w:rPr>
        <w:t>.00</w:t>
      </w:r>
      <w:r>
        <w:rPr>
          <w:rFonts w:ascii="仿宋" w:eastAsia="仿宋" w:hAnsi="仿宋" w:cs="仿宋" w:hint="eastAsia"/>
          <w:sz w:val="28"/>
          <w:szCs w:val="28"/>
        </w:rPr>
        <w:t>万元、会议费0万元、培训费3.44万元、公务接待费0</w:t>
      </w:r>
      <w:r>
        <w:rPr>
          <w:rFonts w:ascii="仿宋" w:eastAsia="仿宋" w:hAnsi="仿宋" w:cs="仿宋"/>
          <w:sz w:val="28"/>
          <w:szCs w:val="28"/>
        </w:rPr>
        <w:t>.</w:t>
      </w:r>
      <w:r>
        <w:rPr>
          <w:rFonts w:ascii="仿宋" w:eastAsia="仿宋" w:hAnsi="仿宋" w:cs="仿宋" w:hint="eastAsia"/>
          <w:sz w:val="28"/>
          <w:szCs w:val="28"/>
        </w:rPr>
        <w:t>0</w:t>
      </w:r>
      <w:r>
        <w:rPr>
          <w:rFonts w:ascii="仿宋" w:eastAsia="仿宋" w:hAnsi="仿宋" w:cs="仿宋"/>
          <w:sz w:val="28"/>
          <w:szCs w:val="28"/>
        </w:rPr>
        <w:t>0</w:t>
      </w:r>
      <w:r>
        <w:rPr>
          <w:rFonts w:ascii="仿宋" w:eastAsia="仿宋" w:hAnsi="仿宋" w:cs="仿宋" w:hint="eastAsia"/>
          <w:sz w:val="28"/>
          <w:szCs w:val="28"/>
        </w:rPr>
        <w:t>万元、专用材料费0</w:t>
      </w:r>
      <w:r>
        <w:rPr>
          <w:rFonts w:ascii="仿宋" w:eastAsia="仿宋" w:hAnsi="仿宋" w:cs="仿宋"/>
          <w:sz w:val="28"/>
          <w:szCs w:val="28"/>
        </w:rPr>
        <w:t>.00</w:t>
      </w:r>
      <w:r>
        <w:rPr>
          <w:rFonts w:ascii="仿宋" w:eastAsia="仿宋" w:hAnsi="仿宋" w:cs="仿宋" w:hint="eastAsia"/>
          <w:sz w:val="28"/>
          <w:szCs w:val="28"/>
        </w:rPr>
        <w:t>万元、劳务费26.55万元、委托业务费</w:t>
      </w:r>
      <w:r>
        <w:rPr>
          <w:rFonts w:ascii="仿宋" w:eastAsia="仿宋" w:hAnsi="仿宋" w:cs="仿宋"/>
          <w:sz w:val="28"/>
          <w:szCs w:val="28"/>
        </w:rPr>
        <w:t>0.00</w:t>
      </w:r>
      <w:r>
        <w:rPr>
          <w:rFonts w:ascii="仿宋" w:eastAsia="仿宋" w:hAnsi="仿宋" w:cs="仿宋" w:hint="eastAsia"/>
          <w:sz w:val="28"/>
          <w:szCs w:val="28"/>
        </w:rPr>
        <w:t>万元、工会经费4.07万元、福利费19.02万元、公务用车运行维护费</w:t>
      </w:r>
      <w:r>
        <w:rPr>
          <w:rFonts w:ascii="仿宋" w:eastAsia="仿宋" w:hAnsi="仿宋" w:cs="仿宋"/>
          <w:sz w:val="28"/>
          <w:szCs w:val="28"/>
        </w:rPr>
        <w:t>0.00</w:t>
      </w:r>
      <w:r>
        <w:rPr>
          <w:rFonts w:ascii="仿宋" w:eastAsia="仿宋" w:hAnsi="仿宋" w:cs="仿宋" w:hint="eastAsia"/>
          <w:sz w:val="28"/>
          <w:szCs w:val="28"/>
        </w:rPr>
        <w:t>万元、其他交通费0.00万元、税金及附加费用</w:t>
      </w:r>
      <w:r>
        <w:rPr>
          <w:rFonts w:ascii="仿宋" w:eastAsia="仿宋" w:hAnsi="仿宋" w:cs="仿宋"/>
          <w:sz w:val="28"/>
          <w:szCs w:val="28"/>
        </w:rPr>
        <w:t>0.00</w:t>
      </w:r>
      <w:r>
        <w:rPr>
          <w:rFonts w:ascii="仿宋" w:eastAsia="仿宋" w:hAnsi="仿宋" w:cs="仿宋" w:hint="eastAsia"/>
          <w:sz w:val="28"/>
          <w:szCs w:val="28"/>
        </w:rPr>
        <w:t>万元、其他商品和服务支出</w:t>
      </w:r>
      <w:r>
        <w:rPr>
          <w:rFonts w:ascii="仿宋" w:eastAsia="仿宋" w:hAnsi="仿宋" w:cs="仿宋"/>
          <w:sz w:val="28"/>
          <w:szCs w:val="28"/>
        </w:rPr>
        <w:t>0.00</w:t>
      </w:r>
      <w:r>
        <w:rPr>
          <w:rFonts w:ascii="仿宋" w:eastAsia="仿宋" w:hAnsi="仿宋" w:cs="仿宋" w:hint="eastAsia"/>
          <w:sz w:val="28"/>
          <w:szCs w:val="28"/>
        </w:rPr>
        <w:t>万元等。</w:t>
      </w:r>
    </w:p>
    <w:p w:rsidR="003E68ED" w:rsidRDefault="00F06A97">
      <w:pPr>
        <w:snapToGrid w:val="0"/>
        <w:spacing w:line="560" w:lineRule="exact"/>
        <w:ind w:firstLineChars="200" w:firstLine="560"/>
        <w:rPr>
          <w:rFonts w:ascii="仿宋" w:eastAsia="仿宋" w:hAnsi="仿宋"/>
          <w:bCs/>
          <w:sz w:val="28"/>
          <w:szCs w:val="28"/>
        </w:rPr>
      </w:pPr>
      <w:r>
        <w:rPr>
          <w:rFonts w:ascii="仿宋" w:eastAsia="仿宋" w:hAnsi="仿宋" w:hint="eastAsia"/>
          <w:bCs/>
          <w:sz w:val="28"/>
          <w:szCs w:val="28"/>
        </w:rPr>
        <w:t>（数据来源财决</w:t>
      </w:r>
      <w:r>
        <w:rPr>
          <w:rFonts w:ascii="仿宋" w:eastAsia="仿宋" w:hAnsi="仿宋"/>
          <w:bCs/>
          <w:sz w:val="28"/>
          <w:szCs w:val="28"/>
        </w:rPr>
        <w:t>0</w:t>
      </w:r>
      <w:r>
        <w:rPr>
          <w:rFonts w:ascii="仿宋" w:eastAsia="仿宋" w:hAnsi="仿宋" w:hint="eastAsia"/>
          <w:bCs/>
          <w:sz w:val="28"/>
          <w:szCs w:val="28"/>
        </w:rPr>
        <w:t>7表，根据本部门实际支出情况罗列全部经济分类科目。）</w:t>
      </w:r>
    </w:p>
    <w:p w:rsidR="003E68ED" w:rsidRDefault="00F06A97">
      <w:pPr>
        <w:snapToGrid w:val="0"/>
        <w:spacing w:line="560" w:lineRule="exact"/>
        <w:ind w:firstLineChars="200" w:firstLine="560"/>
        <w:outlineLvl w:val="1"/>
        <w:rPr>
          <w:rFonts w:ascii="黑体" w:eastAsia="黑体" w:hAnsi="黑体" w:cstheme="majorBidi"/>
          <w:bCs/>
          <w:sz w:val="28"/>
          <w:szCs w:val="28"/>
        </w:rPr>
      </w:pPr>
      <w:bookmarkStart w:id="42" w:name="_Toc15377215"/>
      <w:bookmarkStart w:id="43" w:name="_Toc19089870"/>
      <w:r>
        <w:rPr>
          <w:rFonts w:ascii="黑体" w:eastAsia="黑体" w:hint="eastAsia"/>
          <w:bCs/>
          <w:sz w:val="28"/>
          <w:szCs w:val="28"/>
        </w:rPr>
        <w:t>七、</w:t>
      </w:r>
      <w:r>
        <w:rPr>
          <w:rStyle w:val="20"/>
          <w:rFonts w:ascii="黑体" w:eastAsia="黑体" w:hAnsi="黑体" w:hint="eastAsia"/>
          <w:b w:val="0"/>
          <w:sz w:val="28"/>
          <w:szCs w:val="28"/>
        </w:rPr>
        <w:t>“三公”经费财政拨款支出决算情况说明</w:t>
      </w:r>
      <w:bookmarkStart w:id="44" w:name="_Toc15377218"/>
      <w:bookmarkEnd w:id="42"/>
      <w:bookmarkEnd w:id="43"/>
    </w:p>
    <w:p w:rsidR="00BC0580" w:rsidRDefault="00BC0580" w:rsidP="00BC0580">
      <w:pPr>
        <w:snapToGrid w:val="0"/>
        <w:spacing w:line="560" w:lineRule="exact"/>
        <w:ind w:firstLineChars="200" w:firstLine="640"/>
        <w:outlineLvl w:val="1"/>
        <w:rPr>
          <w:rFonts w:ascii="黑体" w:eastAsia="黑体"/>
          <w:bCs/>
          <w:sz w:val="28"/>
          <w:szCs w:val="28"/>
        </w:rPr>
      </w:pPr>
      <w:bookmarkStart w:id="45" w:name="_Toc19089871"/>
      <w:r>
        <w:rPr>
          <w:rFonts w:ascii="仿宋" w:eastAsia="仿宋" w:hAnsi="仿宋"/>
          <w:sz w:val="32"/>
          <w:szCs w:val="32"/>
        </w:rPr>
        <w:t>20</w:t>
      </w:r>
      <w:r>
        <w:rPr>
          <w:rFonts w:ascii="仿宋" w:eastAsia="仿宋" w:hAnsi="仿宋" w:hint="eastAsia"/>
          <w:sz w:val="32"/>
          <w:szCs w:val="32"/>
        </w:rPr>
        <w:t>20年“三公”经费财政拨款支出0.00万元。</w:t>
      </w:r>
    </w:p>
    <w:p w:rsidR="003E68ED" w:rsidRDefault="00F06A97">
      <w:pPr>
        <w:snapToGrid w:val="0"/>
        <w:spacing w:line="560" w:lineRule="exact"/>
        <w:ind w:firstLineChars="200" w:firstLine="560"/>
        <w:outlineLvl w:val="1"/>
        <w:rPr>
          <w:rStyle w:val="20"/>
          <w:rFonts w:ascii="黑体" w:eastAsia="黑体" w:hAnsi="黑体"/>
          <w:b w:val="0"/>
          <w:sz w:val="28"/>
          <w:szCs w:val="28"/>
        </w:rPr>
      </w:pPr>
      <w:r>
        <w:rPr>
          <w:rFonts w:ascii="黑体" w:eastAsia="黑体" w:hint="eastAsia"/>
          <w:bCs/>
          <w:sz w:val="28"/>
          <w:szCs w:val="28"/>
        </w:rPr>
        <w:t>八、</w:t>
      </w:r>
      <w:r>
        <w:rPr>
          <w:rStyle w:val="20"/>
          <w:rFonts w:ascii="黑体" w:eastAsia="黑体" w:hAnsi="黑体" w:hint="eastAsia"/>
          <w:b w:val="0"/>
          <w:sz w:val="28"/>
          <w:szCs w:val="28"/>
        </w:rPr>
        <w:t>政府性基金预算支出决算情况说明</w:t>
      </w:r>
      <w:bookmarkEnd w:id="44"/>
      <w:bookmarkEnd w:id="45"/>
    </w:p>
    <w:p w:rsidR="00BC0580" w:rsidRDefault="00BC0580" w:rsidP="00BC0580">
      <w:pPr>
        <w:snapToGrid w:val="0"/>
        <w:spacing w:line="560" w:lineRule="exact"/>
        <w:ind w:left="640"/>
        <w:outlineLvl w:val="1"/>
        <w:rPr>
          <w:rStyle w:val="20"/>
          <w:rFonts w:ascii="黑体" w:eastAsia="黑体" w:hAnsi="黑体"/>
          <w:b w:val="0"/>
          <w:sz w:val="28"/>
          <w:szCs w:val="28"/>
        </w:rPr>
      </w:pPr>
      <w:bookmarkStart w:id="46" w:name="_Toc15377219"/>
      <w:bookmarkStart w:id="47" w:name="_Toc19089872"/>
      <w:r>
        <w:rPr>
          <w:rFonts w:ascii="仿宋_GB2312" w:eastAsia="仿宋_GB2312"/>
          <w:sz w:val="32"/>
          <w:szCs w:val="32"/>
        </w:rPr>
        <w:t>20</w:t>
      </w:r>
      <w:r>
        <w:rPr>
          <w:rFonts w:ascii="仿宋_GB2312" w:eastAsia="仿宋_GB2312" w:hint="eastAsia"/>
          <w:sz w:val="32"/>
          <w:szCs w:val="32"/>
        </w:rPr>
        <w:t>20年政府性基金预算拨款支出</w:t>
      </w:r>
      <w:r w:rsidR="00A81E14">
        <w:rPr>
          <w:rFonts w:ascii="仿宋_GB2312" w:eastAsia="仿宋_GB2312" w:hint="eastAsia"/>
          <w:sz w:val="32"/>
          <w:szCs w:val="32"/>
        </w:rPr>
        <w:t>0.00</w:t>
      </w:r>
      <w:r>
        <w:rPr>
          <w:rFonts w:ascii="仿宋_GB2312" w:eastAsia="仿宋_GB2312" w:hint="eastAsia"/>
          <w:sz w:val="32"/>
          <w:szCs w:val="32"/>
        </w:rPr>
        <w:t>万元。</w:t>
      </w:r>
    </w:p>
    <w:p w:rsidR="00BC0580" w:rsidRDefault="00BC0580" w:rsidP="00BC0580">
      <w:pPr>
        <w:numPr>
          <w:ilvl w:val="0"/>
          <w:numId w:val="1"/>
        </w:numPr>
        <w:snapToGrid w:val="0"/>
        <w:spacing w:line="560" w:lineRule="exact"/>
        <w:ind w:firstLineChars="200" w:firstLine="560"/>
        <w:outlineLvl w:val="1"/>
        <w:rPr>
          <w:rStyle w:val="20"/>
          <w:rFonts w:ascii="黑体" w:eastAsia="黑体" w:hAnsi="黑体"/>
          <w:b w:val="0"/>
          <w:sz w:val="28"/>
          <w:szCs w:val="28"/>
        </w:rPr>
      </w:pPr>
      <w:r>
        <w:rPr>
          <w:rStyle w:val="20"/>
          <w:rFonts w:ascii="黑体" w:eastAsia="黑体" w:hAnsi="黑体" w:hint="eastAsia"/>
          <w:b w:val="0"/>
          <w:sz w:val="28"/>
          <w:szCs w:val="28"/>
        </w:rPr>
        <w:t>国有资本经营预算支出决算情况说明</w:t>
      </w:r>
    </w:p>
    <w:p w:rsidR="00BC0580" w:rsidRDefault="00BC0580" w:rsidP="00BC058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20年国有资本经营预算拨款支出0.00万元。</w:t>
      </w:r>
    </w:p>
    <w:p w:rsidR="003E68ED" w:rsidRPr="00A81E14" w:rsidRDefault="00BC0580" w:rsidP="0042431B">
      <w:pPr>
        <w:pStyle w:val="ad"/>
        <w:numPr>
          <w:ilvl w:val="0"/>
          <w:numId w:val="1"/>
        </w:numPr>
        <w:spacing w:line="580" w:lineRule="exact"/>
        <w:ind w:leftChars="67" w:left="141" w:firstLineChars="0"/>
        <w:rPr>
          <w:rStyle w:val="20"/>
          <w:rFonts w:ascii="黑体" w:eastAsia="黑体" w:hAnsi="黑体"/>
          <w:b w:val="0"/>
        </w:rPr>
      </w:pPr>
      <w:r>
        <w:rPr>
          <w:rStyle w:val="20"/>
          <w:rFonts w:ascii="黑体" w:eastAsia="黑体" w:hAnsi="黑体" w:hint="eastAsia"/>
          <w:b w:val="0"/>
        </w:rPr>
        <w:t>预算绩效情况说明</w:t>
      </w:r>
      <w:bookmarkEnd w:id="46"/>
      <w:bookmarkEnd w:id="47"/>
    </w:p>
    <w:p w:rsidR="003E68ED" w:rsidRDefault="00F06A97">
      <w:pPr>
        <w:snapToGrid w:val="0"/>
        <w:spacing w:line="560" w:lineRule="exact"/>
        <w:ind w:firstLineChars="200" w:firstLine="560"/>
        <w:rPr>
          <w:rFonts w:ascii="仿宋" w:eastAsia="仿宋" w:hAnsi="仿宋" w:cs="楷体_GB2312"/>
          <w:bCs/>
          <w:sz w:val="28"/>
          <w:szCs w:val="28"/>
        </w:rPr>
      </w:pPr>
      <w:r>
        <w:rPr>
          <w:rFonts w:ascii="仿宋" w:eastAsia="仿宋" w:hAnsi="仿宋" w:cs="楷体_GB2312" w:hint="eastAsia"/>
          <w:bCs/>
          <w:sz w:val="28"/>
          <w:szCs w:val="28"/>
        </w:rPr>
        <w:t>（一）预算绩效管理工作开展情况</w:t>
      </w:r>
    </w:p>
    <w:p w:rsidR="003E68ED" w:rsidRDefault="00F06A97">
      <w:pPr>
        <w:pStyle w:val="ad"/>
        <w:snapToGrid w:val="0"/>
        <w:spacing w:line="560" w:lineRule="exact"/>
        <w:ind w:firstLine="560"/>
        <w:outlineLvl w:val="1"/>
        <w:rPr>
          <w:rFonts w:ascii="仿宋_GB2312" w:eastAsia="仿宋_GB2312" w:hAnsi="仿宋_GB2312" w:cs="仿宋_GB2312"/>
          <w:bCs/>
          <w:color w:val="000000"/>
          <w:sz w:val="28"/>
          <w:szCs w:val="28"/>
        </w:rPr>
      </w:pPr>
      <w:bookmarkStart w:id="48" w:name="_Toc15377221"/>
      <w:bookmarkStart w:id="49" w:name="_Toc19089874"/>
      <w:r>
        <w:rPr>
          <w:rFonts w:ascii="仿宋_GB2312" w:eastAsia="仿宋_GB2312" w:hAnsi="仿宋_GB2312" w:cs="仿宋_GB2312" w:hint="eastAsia"/>
          <w:bCs/>
          <w:color w:val="000000"/>
          <w:sz w:val="28"/>
          <w:szCs w:val="28"/>
        </w:rPr>
        <w:t>本部门按要求对2020年部门整体支出开展绩效自评，从评价情况来看教育系统整体支出绩效评价自评结果良好，全年基本支出保障了学校的正常运行和日常教育教学工作的正常开展，项目支出保障了重点工作的开展，各项支出均达到了预期的绩效管理目标。</w:t>
      </w:r>
    </w:p>
    <w:p w:rsidR="003E68ED" w:rsidRDefault="00F06A97">
      <w:pPr>
        <w:pStyle w:val="ad"/>
        <w:snapToGrid w:val="0"/>
        <w:spacing w:line="560" w:lineRule="exact"/>
        <w:ind w:firstLine="560"/>
        <w:outlineLvl w:val="1"/>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存在的问题：一是绩效评价管理工作制度建设有待进一步加强，绩效</w:t>
      </w:r>
      <w:r>
        <w:rPr>
          <w:rFonts w:ascii="仿宋_GB2312" w:eastAsia="仿宋_GB2312" w:hAnsi="仿宋_GB2312" w:cs="仿宋_GB2312" w:hint="eastAsia"/>
          <w:bCs/>
          <w:color w:val="000000"/>
          <w:sz w:val="28"/>
          <w:szCs w:val="28"/>
        </w:rPr>
        <w:lastRenderedPageBreak/>
        <w:t>管理缺乏系统性；二是缺乏绩效评价专业人才，系统现有评价工作人员的知识体系和业务技能还需进一步提高，以适应绩效评价工作相关要求。</w:t>
      </w:r>
    </w:p>
    <w:p w:rsidR="003E68ED" w:rsidRDefault="00F06A97">
      <w:pPr>
        <w:pStyle w:val="ad"/>
        <w:snapToGrid w:val="0"/>
        <w:spacing w:line="560" w:lineRule="exact"/>
        <w:ind w:firstLine="560"/>
        <w:outlineLvl w:val="1"/>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下一步改进措施：一是进一步加强绩效评价管理制度建设；二是建立有效的绩效管理体系；三是强化绩效管理数据分析，强化绩效管理数据运用；四是强化绩效评价专业技能的培训；五是探索与预算编制相结合的财政绩效管理，奖绩效评价逐步从事后评价延伸至事前、事中评价。</w:t>
      </w:r>
    </w:p>
    <w:p w:rsidR="003E68ED" w:rsidRDefault="00F06A97" w:rsidP="00A40164">
      <w:pPr>
        <w:pStyle w:val="ad"/>
        <w:snapToGrid w:val="0"/>
        <w:spacing w:line="560" w:lineRule="exact"/>
        <w:ind w:leftChars="200" w:left="420" w:firstLineChars="0" w:firstLine="0"/>
        <w:outlineLvl w:val="1"/>
        <w:rPr>
          <w:rStyle w:val="20"/>
          <w:rFonts w:ascii="黑体" w:eastAsia="黑体" w:hAnsi="黑体" w:cs="黑体"/>
          <w:b w:val="0"/>
          <w:color w:val="000000"/>
          <w:sz w:val="28"/>
          <w:szCs w:val="28"/>
        </w:rPr>
      </w:pPr>
      <w:r>
        <w:rPr>
          <w:rFonts w:ascii="黑体" w:eastAsia="黑体" w:hAnsi="黑体" w:cs="黑体" w:hint="eastAsia"/>
          <w:bCs/>
          <w:color w:val="000000"/>
          <w:sz w:val="28"/>
          <w:szCs w:val="28"/>
        </w:rPr>
        <w:t>十</w:t>
      </w:r>
      <w:r>
        <w:rPr>
          <w:rStyle w:val="20"/>
          <w:rFonts w:ascii="黑体" w:eastAsia="黑体" w:hAnsi="黑体" w:cs="黑体" w:hint="eastAsia"/>
          <w:b w:val="0"/>
          <w:color w:val="000000"/>
          <w:sz w:val="28"/>
          <w:szCs w:val="28"/>
        </w:rPr>
        <w:t>一、其他重要事项的情况说明</w:t>
      </w:r>
      <w:bookmarkEnd w:id="48"/>
      <w:bookmarkEnd w:id="49"/>
    </w:p>
    <w:p w:rsidR="0042431B" w:rsidRPr="0042431B" w:rsidRDefault="0042431B" w:rsidP="0042431B">
      <w:pPr>
        <w:snapToGrid w:val="0"/>
        <w:spacing w:line="720" w:lineRule="exact"/>
        <w:ind w:firstLineChars="200" w:firstLine="560"/>
        <w:outlineLvl w:val="1"/>
        <w:rPr>
          <w:rFonts w:ascii="仿宋_GB2312" w:eastAsia="仿宋_GB2312" w:hAnsi="仿宋_GB2312" w:cs="仿宋_GB2312"/>
          <w:bCs/>
          <w:color w:val="000000"/>
          <w:sz w:val="28"/>
          <w:szCs w:val="28"/>
        </w:rPr>
      </w:pPr>
      <w:r w:rsidRPr="0042431B">
        <w:rPr>
          <w:rFonts w:ascii="仿宋_GB2312" w:eastAsia="仿宋_GB2312" w:hAnsi="仿宋_GB2312" w:cs="仿宋_GB2312" w:hint="eastAsia"/>
          <w:bCs/>
          <w:color w:val="000000"/>
          <w:sz w:val="28"/>
          <w:szCs w:val="28"/>
        </w:rPr>
        <w:t>（一）机关运行经费支出情况</w:t>
      </w:r>
    </w:p>
    <w:p w:rsidR="0042431B" w:rsidRPr="0042431B" w:rsidRDefault="0042431B" w:rsidP="0042431B">
      <w:pPr>
        <w:snapToGrid w:val="0"/>
        <w:spacing w:line="720" w:lineRule="exact"/>
        <w:ind w:firstLineChars="200" w:firstLine="560"/>
        <w:rPr>
          <w:rFonts w:ascii="仿宋_GB2312" w:eastAsia="仿宋_GB2312" w:hAnsi="仿宋_GB2312" w:cs="仿宋_GB2312" w:hint="eastAsia"/>
          <w:bCs/>
          <w:color w:val="000000"/>
          <w:sz w:val="28"/>
          <w:szCs w:val="28"/>
        </w:rPr>
      </w:pPr>
      <w:r w:rsidRPr="0042431B">
        <w:rPr>
          <w:rFonts w:ascii="仿宋_GB2312" w:eastAsia="仿宋_GB2312" w:hAnsi="仿宋_GB2312" w:cs="仿宋_GB2312" w:hint="eastAsia"/>
          <w:bCs/>
          <w:color w:val="000000"/>
          <w:sz w:val="28"/>
          <w:szCs w:val="28"/>
        </w:rPr>
        <w:t>2020年本单位机关运行经费支出0万元，与2019年度持平。</w:t>
      </w:r>
    </w:p>
    <w:p w:rsidR="0042431B" w:rsidRPr="0042431B" w:rsidRDefault="0042431B" w:rsidP="0042431B">
      <w:pPr>
        <w:snapToGrid w:val="0"/>
        <w:spacing w:line="720" w:lineRule="exact"/>
        <w:ind w:firstLineChars="200" w:firstLine="560"/>
        <w:rPr>
          <w:rFonts w:ascii="仿宋_GB2312" w:eastAsia="仿宋_GB2312" w:hAnsi="仿宋_GB2312" w:cs="仿宋_GB2312" w:hint="eastAsia"/>
          <w:bCs/>
          <w:color w:val="000000"/>
          <w:sz w:val="28"/>
          <w:szCs w:val="28"/>
        </w:rPr>
      </w:pPr>
      <w:r w:rsidRPr="0042431B">
        <w:rPr>
          <w:rFonts w:ascii="仿宋_GB2312" w:eastAsia="仿宋_GB2312" w:hAnsi="仿宋_GB2312" w:cs="仿宋_GB2312" w:hint="eastAsia"/>
          <w:bCs/>
          <w:color w:val="000000"/>
          <w:sz w:val="28"/>
          <w:szCs w:val="28"/>
        </w:rPr>
        <w:t>（数据来源财决CS05表）</w:t>
      </w:r>
    </w:p>
    <w:p w:rsidR="0042431B" w:rsidRPr="0042431B" w:rsidRDefault="0042431B" w:rsidP="0042431B">
      <w:pPr>
        <w:snapToGrid w:val="0"/>
        <w:spacing w:line="720" w:lineRule="exact"/>
        <w:ind w:firstLineChars="200" w:firstLine="560"/>
        <w:rPr>
          <w:rFonts w:ascii="仿宋_GB2312" w:eastAsia="仿宋_GB2312" w:hAnsi="仿宋_GB2312" w:cs="仿宋_GB2312" w:hint="eastAsia"/>
          <w:bCs/>
          <w:color w:val="000000"/>
          <w:sz w:val="28"/>
          <w:szCs w:val="28"/>
        </w:rPr>
      </w:pPr>
      <w:r w:rsidRPr="0042431B">
        <w:rPr>
          <w:rFonts w:ascii="仿宋_GB2312" w:eastAsia="仿宋_GB2312" w:hAnsi="仿宋_GB2312" w:cs="仿宋_GB2312" w:hint="eastAsia"/>
          <w:bCs/>
          <w:color w:val="000000"/>
          <w:sz w:val="28"/>
          <w:szCs w:val="28"/>
        </w:rPr>
        <w:t>（二）政府采购支出情况</w:t>
      </w:r>
    </w:p>
    <w:p w:rsidR="0042431B" w:rsidRPr="0042431B" w:rsidRDefault="0042431B" w:rsidP="0042431B">
      <w:pPr>
        <w:snapToGrid w:val="0"/>
        <w:spacing w:line="720" w:lineRule="exact"/>
        <w:ind w:firstLineChars="200" w:firstLine="560"/>
        <w:rPr>
          <w:rFonts w:ascii="仿宋_GB2312" w:eastAsia="仿宋_GB2312" w:hAnsi="仿宋_GB2312" w:cs="仿宋_GB2312" w:hint="eastAsia"/>
          <w:bCs/>
          <w:color w:val="000000"/>
          <w:sz w:val="28"/>
          <w:szCs w:val="28"/>
        </w:rPr>
      </w:pPr>
      <w:r w:rsidRPr="0042431B">
        <w:rPr>
          <w:rFonts w:ascii="仿宋_GB2312" w:eastAsia="仿宋_GB2312" w:hAnsi="仿宋_GB2312" w:cs="仿宋_GB2312" w:hint="eastAsia"/>
          <w:bCs/>
          <w:color w:val="000000"/>
          <w:sz w:val="28"/>
          <w:szCs w:val="28"/>
        </w:rPr>
        <w:t>2020年，本单位采购支出总额0.00万元，其中：政府采购货物支出0.00万元、政府采购工程支出0.00万元、政府采购服务支出0.00万元。</w:t>
      </w:r>
    </w:p>
    <w:p w:rsidR="0042431B" w:rsidRPr="0042431B" w:rsidRDefault="0042431B" w:rsidP="0042431B">
      <w:pPr>
        <w:snapToGrid w:val="0"/>
        <w:spacing w:line="720" w:lineRule="exact"/>
        <w:ind w:firstLineChars="200" w:firstLine="560"/>
        <w:rPr>
          <w:rFonts w:ascii="仿宋_GB2312" w:eastAsia="仿宋_GB2312" w:hAnsi="仿宋_GB2312" w:cs="仿宋_GB2312" w:hint="eastAsia"/>
          <w:bCs/>
          <w:color w:val="000000"/>
          <w:sz w:val="28"/>
          <w:szCs w:val="28"/>
        </w:rPr>
      </w:pPr>
      <w:r w:rsidRPr="0042431B">
        <w:rPr>
          <w:rFonts w:ascii="仿宋_GB2312" w:eastAsia="仿宋_GB2312" w:hAnsi="仿宋_GB2312" w:cs="仿宋_GB2312" w:hint="eastAsia"/>
          <w:bCs/>
          <w:color w:val="000000"/>
          <w:sz w:val="28"/>
          <w:szCs w:val="28"/>
        </w:rPr>
        <w:t>（数据来源财决CS06表）</w:t>
      </w:r>
    </w:p>
    <w:p w:rsidR="0042431B" w:rsidRPr="0042431B" w:rsidRDefault="0042431B" w:rsidP="0042431B">
      <w:pPr>
        <w:snapToGrid w:val="0"/>
        <w:spacing w:line="720" w:lineRule="exact"/>
        <w:ind w:firstLineChars="200" w:firstLine="560"/>
        <w:rPr>
          <w:rFonts w:ascii="仿宋_GB2312" w:eastAsia="仿宋_GB2312" w:hAnsi="仿宋_GB2312" w:cs="仿宋_GB2312" w:hint="eastAsia"/>
          <w:bCs/>
          <w:color w:val="000000"/>
          <w:sz w:val="28"/>
          <w:szCs w:val="28"/>
        </w:rPr>
      </w:pPr>
      <w:r w:rsidRPr="0042431B">
        <w:rPr>
          <w:rFonts w:ascii="仿宋_GB2312" w:eastAsia="仿宋_GB2312" w:hAnsi="仿宋_GB2312" w:cs="仿宋_GB2312" w:hint="eastAsia"/>
          <w:bCs/>
          <w:color w:val="000000"/>
          <w:sz w:val="28"/>
          <w:szCs w:val="28"/>
        </w:rPr>
        <w:t>（三）国有资产占有使用情况</w:t>
      </w:r>
    </w:p>
    <w:p w:rsidR="0042431B" w:rsidRPr="0042431B" w:rsidRDefault="0042431B" w:rsidP="0042431B">
      <w:pPr>
        <w:pStyle w:val="ad"/>
        <w:snapToGrid w:val="0"/>
        <w:spacing w:line="560" w:lineRule="exact"/>
        <w:ind w:leftChars="200" w:left="420" w:firstLineChars="0" w:firstLine="0"/>
        <w:outlineLvl w:val="1"/>
        <w:rPr>
          <w:rFonts w:ascii="仿宋_GB2312" w:eastAsia="仿宋_GB2312" w:hAnsi="仿宋_GB2312" w:cs="仿宋_GB2312"/>
        </w:rPr>
      </w:pPr>
      <w:r w:rsidRPr="0042431B">
        <w:rPr>
          <w:rFonts w:ascii="仿宋_GB2312" w:eastAsia="仿宋_GB2312" w:hAnsi="仿宋_GB2312" w:cs="仿宋_GB2312" w:hint="eastAsia"/>
          <w:bCs/>
          <w:color w:val="000000"/>
          <w:sz w:val="28"/>
          <w:szCs w:val="28"/>
        </w:rPr>
        <w:t>截至2020年12月31日，本单位共有车辆0辆，单价50万元以上通用设备0台（套），单价100万元以上专用设备0台（套）。</w:t>
      </w:r>
    </w:p>
    <w:p w:rsidR="0042431B" w:rsidRPr="0042431B" w:rsidRDefault="0042431B" w:rsidP="00A40164">
      <w:pPr>
        <w:pStyle w:val="ad"/>
        <w:snapToGrid w:val="0"/>
        <w:spacing w:line="560" w:lineRule="exact"/>
        <w:ind w:leftChars="200" w:left="420" w:firstLineChars="0" w:firstLine="0"/>
        <w:outlineLvl w:val="1"/>
        <w:rPr>
          <w:rFonts w:ascii="仿宋_GB2312" w:eastAsia="仿宋_GB2312" w:hAnsi="仿宋_GB2312" w:cs="仿宋_GB2312"/>
        </w:rPr>
      </w:pPr>
    </w:p>
    <w:p w:rsidR="0042431B" w:rsidRDefault="0042431B" w:rsidP="00A40164">
      <w:pPr>
        <w:pStyle w:val="ad"/>
        <w:snapToGrid w:val="0"/>
        <w:spacing w:line="560" w:lineRule="exact"/>
        <w:ind w:leftChars="200" w:left="420" w:firstLineChars="0" w:firstLine="0"/>
        <w:outlineLvl w:val="1"/>
        <w:rPr>
          <w:rStyle w:val="20"/>
          <w:rFonts w:ascii="黑体" w:eastAsia="黑体" w:hAnsi="黑体" w:cs="黑体"/>
          <w:b w:val="0"/>
          <w:color w:val="000000"/>
          <w:sz w:val="28"/>
          <w:szCs w:val="28"/>
        </w:rPr>
      </w:pPr>
    </w:p>
    <w:p w:rsidR="0042431B" w:rsidRDefault="0042431B" w:rsidP="00A40164">
      <w:pPr>
        <w:pStyle w:val="ad"/>
        <w:snapToGrid w:val="0"/>
        <w:spacing w:line="560" w:lineRule="exact"/>
        <w:ind w:leftChars="200" w:left="420" w:firstLineChars="0" w:firstLine="0"/>
        <w:outlineLvl w:val="1"/>
        <w:rPr>
          <w:rStyle w:val="20"/>
          <w:rFonts w:ascii="黑体" w:eastAsia="黑体" w:hAnsi="黑体" w:cs="黑体"/>
          <w:b w:val="0"/>
          <w:color w:val="000000"/>
          <w:sz w:val="28"/>
          <w:szCs w:val="28"/>
        </w:rPr>
      </w:pPr>
    </w:p>
    <w:p w:rsidR="0042431B" w:rsidRDefault="0042431B" w:rsidP="00A40164">
      <w:pPr>
        <w:pStyle w:val="ad"/>
        <w:snapToGrid w:val="0"/>
        <w:spacing w:line="560" w:lineRule="exact"/>
        <w:ind w:leftChars="200" w:left="420" w:firstLineChars="0" w:firstLine="0"/>
        <w:outlineLvl w:val="1"/>
        <w:rPr>
          <w:rStyle w:val="20"/>
          <w:rFonts w:ascii="黑体" w:eastAsia="黑体" w:hAnsi="黑体" w:cs="黑体" w:hint="eastAsia"/>
          <w:b w:val="0"/>
          <w:color w:val="000000"/>
          <w:sz w:val="28"/>
          <w:szCs w:val="28"/>
        </w:rPr>
      </w:pPr>
    </w:p>
    <w:p w:rsidR="003E68ED" w:rsidRDefault="00F06A97" w:rsidP="00A40164">
      <w:pPr>
        <w:numPr>
          <w:ilvl w:val="0"/>
          <w:numId w:val="4"/>
        </w:numPr>
        <w:spacing w:line="600" w:lineRule="exact"/>
        <w:ind w:firstLineChars="150" w:firstLine="663"/>
        <w:jc w:val="center"/>
        <w:outlineLvl w:val="0"/>
        <w:rPr>
          <w:rFonts w:ascii="方正小标宋简体" w:eastAsia="方正小标宋简体" w:hAnsi="方正小标宋简体" w:cs="方正小标宋简体"/>
          <w:bCs/>
          <w:kern w:val="44"/>
          <w:sz w:val="44"/>
          <w:szCs w:val="44"/>
        </w:rPr>
      </w:pPr>
      <w:bookmarkStart w:id="50" w:name="_Toc19089875"/>
      <w:bookmarkStart w:id="51" w:name="_Toc15377225"/>
      <w:r>
        <w:rPr>
          <w:rFonts w:ascii="方正小标宋简体" w:eastAsia="方正小标宋简体" w:hAnsi="方正小标宋简体" w:cs="方正小标宋简体" w:hint="eastAsia"/>
          <w:b/>
          <w:sz w:val="44"/>
          <w:szCs w:val="44"/>
        </w:rPr>
        <w:lastRenderedPageBreak/>
        <w:t>名</w:t>
      </w:r>
      <w:r>
        <w:rPr>
          <w:rStyle w:val="10"/>
          <w:rFonts w:ascii="方正小标宋简体" w:eastAsia="方正小标宋简体" w:hAnsi="方正小标宋简体" w:cs="方正小标宋简体" w:hint="eastAsia"/>
          <w:b w:val="0"/>
        </w:rPr>
        <w:t>词解释</w:t>
      </w:r>
      <w:bookmarkEnd w:id="50"/>
      <w:bookmarkEnd w:id="51"/>
    </w:p>
    <w:p w:rsidR="003E68ED" w:rsidRDefault="003E68ED">
      <w:pPr>
        <w:pStyle w:val="Default"/>
        <w:spacing w:line="560" w:lineRule="exact"/>
        <w:ind w:firstLineChars="200" w:firstLine="560"/>
        <w:rPr>
          <w:rFonts w:ascii="仿宋_GB2312" w:eastAsia="仿宋_GB2312"/>
          <w:color w:val="auto"/>
          <w:sz w:val="28"/>
          <w:szCs w:val="28"/>
        </w:rPr>
      </w:pP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1.财政拨款收入：指单位从同级财政部门取得的财政预算资金。</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2.事业收入：指事业单位开展专业业务活动及辅助活动取得的收入。</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3.经营收入：指事业单位在专业业务活动及其辅助活动之外开展非独立核算经营活动取得的收入。。</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4.其他收入：指单位取得的除上述收入以外的各项收入。主要是学前教育保育教育费收入、银行存款利息收入等。 </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6.年初结转和结余：指以前年度尚未完成、结转到本年按有关规定继续使用的资金。 </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7.结余分配：指事业单位按照事业单位会计制度的规定从非财政补助结余中分配的事业基金和职工福利基金等。</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8.年末结转和结余：指单位按有关规定结转到下年或以后年度继续使用的资金。</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9.教育支出（类）教育管理事务（款）行政运行（项）:反映教育行政单位（包括实行公务员管理的事业单位）的基本支出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10. 教育支出（类）教育管理事务（款）一般行政管理事务（项）:反映行政单位（包括实行公务员管理的事业单位）未单独设置项级科目的其它项目支出。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11. 教育支出（类）教育管理事务（款）其它教育管理事务支出（项）:反映除上述项目以外其它用户教育管理事务方面的支出。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12. 教育支出（类）普通教育（款）学前教育（项）:反映各部门举办的学前教育支出。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13. 教育支出（类）普通教育（款）小学教育（项）:反映各部门举办的小学教育支出。政府各部门对社会中介组织等举办的小学的资助，如各类捐赠、补贴等，也在本科目中反映。</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14. 教育支出（类）普通教育（款）初中教育（项）: 反映各部门举办的初中教育支出。政府各部门对社会中介组织等举办的初中教育的资助，如捐赠、补贴等，也在本科目中反映。</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15. 教育支出（类）普通教育（款）高中教育（项）: 反映各部门举办的高级中学教育支出。政府各部门对社会中介组织等举办的高级中学的资助，如捐赠、补贴等，也在本科目中反映。</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16. 教育支出（类）普通教育（款）其它普通教育（项）: 反映除上述项目以外其他用于普通教育方面的支出。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17. 教育支出（类）职业教育（款）职业高中教育（项）: 反映各部门举办的职业中学、农业中学（含普通高中改制的）、半工（农）半读中学的支出或补助费</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18. 教育支出（类）职业教育（款）高等职业教育（项）:反映经国家批准设立的高等职业大学、专科职业教育等方面的支出。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19. 教育支出（类）特殊教育（款）特殊学校教育（项）: 指各部门举办的盲童学校、聋哑学校、智力落后儿童学校、其它生理缺陷儿童学校的支出。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20. 教育支出（类）特殊教育（款）工读学校教育（项）:指各部门举办的工读学校的支出。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21. 教育支出（类）教育附加费安排的支出（款）农村中小学校舍建设（项）:反映教育附加费安排用于农村中小学校舍新建、改建、修缮和维护的支出。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22. 教育支出（类）教育附加费安排的支出（款）城市中小学校舍建设（项）: 反映教育附加费安排用于城市中小学校舍新建、改建、修缮和维护的支出。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23. 教育支出（类）教育附加费安排的支出（款）其它教育附加费安排的支出（项）: 指除上述项目以外的教育附加费支出。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24. 教育支出（类）其它教育支出（款）其他教育支出（项）: 指上述项目以外其他用于教育方面的支出。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25. 社会保障和就业支出（类）行政事业单位离退休（款）机关事业单位基本养老保险缴费支出（项）: 指机关事业单位实施养老保险制度由单位缴纳的基本养老保险费支出。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26. 社会保障和就业支出（类）行政事业单位离退休（款）机关事业单位职业年金缴费支出（项）: 指机关事业单位实施养老保险制度由单位实际缴纳的职业年金支出。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27. 社会保障和就业支出（类）抚恤（款）死亡抚恤（项）: 指按规定用于烈士和牺牲、病故人员家属的一次性和定期抚恤金以及丧葬补助费。</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w:t>
      </w:r>
      <w:r>
        <w:rPr>
          <w:rFonts w:ascii="仿宋_GB2312" w:eastAsia="仿宋_GB2312" w:hint="eastAsia"/>
          <w:color w:val="auto"/>
          <w:sz w:val="28"/>
          <w:szCs w:val="28"/>
        </w:rPr>
        <w:lastRenderedPageBreak/>
        <w:t>费，按国家规定享受离休人员、红军老战士待遇人员的医疗经费。</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30. 农林水支出（类）扶贫（款）其它扶贫支出（项）: 指除上述项目以外其他用于扶贫方面的支出。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31. 住房保障支出（类）住房改革支出（款）住房公积金（项）: 指行政事业单位按人力资源和社会保障部、财政部规定的基本工资和津贴补贴以及规定比例为职工缴纳的住房公积金。</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32. 其他支出（类）其他支出（款）其他支出（项）: 指上述项目以外其他不能划分到具体功能科目中的支出项目。</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33.基本支出：指为保障机构正常运转、完成日常工作任务而发生的人员支出和公用支出。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34.项目支出：指在基本支出之外为完成特定行政任务和事业发展目标所发生的支出。 </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35.经营支出：指事业单位在专业业务活动及其辅助活动之外开展非独立核算经营活动发生的支出。</w:t>
      </w:r>
    </w:p>
    <w:p w:rsidR="003E68ED" w:rsidRDefault="00F06A97">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w:t>
      </w:r>
      <w:r>
        <w:rPr>
          <w:rFonts w:ascii="仿宋_GB2312" w:eastAsia="仿宋_GB2312" w:hint="eastAsia"/>
          <w:color w:val="auto"/>
          <w:sz w:val="28"/>
          <w:szCs w:val="28"/>
        </w:rPr>
        <w:lastRenderedPageBreak/>
        <w:t>出；公务接待费反映单位按规定开支的各类公务接待（含外宾接待）支出。</w:t>
      </w:r>
    </w:p>
    <w:p w:rsidR="003E68ED" w:rsidRDefault="00F06A97">
      <w:pPr>
        <w:pStyle w:val="Default"/>
        <w:spacing w:line="56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E68ED" w:rsidRDefault="00F06A97">
      <w:pPr>
        <w:ind w:firstLineChars="200" w:firstLine="562"/>
        <w:rPr>
          <w:rFonts w:ascii="仿宋" w:eastAsia="仿宋" w:hAnsi="仿宋"/>
          <w:b/>
          <w:sz w:val="28"/>
          <w:szCs w:val="28"/>
        </w:rPr>
      </w:pPr>
      <w:r>
        <w:rPr>
          <w:rFonts w:ascii="仿宋" w:eastAsia="仿宋" w:hAnsi="仿宋" w:hint="eastAsia"/>
          <w:b/>
          <w:sz w:val="28"/>
          <w:szCs w:val="28"/>
        </w:rPr>
        <w:t>（名词解释部分请根据各部门实际列支情况罗列，并根据本部门职责职能增减名词解释内容。）</w:t>
      </w:r>
    </w:p>
    <w:p w:rsidR="003E68ED" w:rsidRDefault="003E68ED">
      <w:pPr>
        <w:spacing w:line="600" w:lineRule="exact"/>
        <w:jc w:val="center"/>
        <w:outlineLvl w:val="0"/>
        <w:rPr>
          <w:rFonts w:ascii="黑体" w:eastAsia="黑体" w:hAnsi="黑体"/>
          <w:sz w:val="44"/>
          <w:szCs w:val="44"/>
        </w:rPr>
      </w:pPr>
      <w:bookmarkStart w:id="52" w:name="_Toc19089876"/>
      <w:bookmarkStart w:id="53" w:name="_Toc15377226"/>
    </w:p>
    <w:p w:rsidR="003E68ED" w:rsidRDefault="00F06A97">
      <w:pPr>
        <w:rPr>
          <w:rFonts w:ascii="黑体" w:eastAsia="黑体" w:hAnsi="黑体"/>
          <w:sz w:val="44"/>
          <w:szCs w:val="44"/>
        </w:rPr>
      </w:pPr>
      <w:r>
        <w:rPr>
          <w:rFonts w:ascii="黑体" w:eastAsia="黑体" w:hAnsi="黑体" w:hint="eastAsia"/>
          <w:sz w:val="44"/>
          <w:szCs w:val="44"/>
        </w:rPr>
        <w:br w:type="page"/>
      </w:r>
    </w:p>
    <w:p w:rsidR="003E68ED" w:rsidRDefault="00F06A97">
      <w:pPr>
        <w:spacing w:line="600" w:lineRule="exact"/>
        <w:jc w:val="center"/>
        <w:outlineLvl w:val="0"/>
        <w:rPr>
          <w:rStyle w:val="10"/>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四部分 附件</w:t>
      </w:r>
      <w:bookmarkEnd w:id="52"/>
    </w:p>
    <w:p w:rsidR="003E68ED" w:rsidRDefault="00F06A97">
      <w:pPr>
        <w:widowControl/>
        <w:jc w:val="left"/>
        <w:rPr>
          <w:rFonts w:ascii="仿宋" w:eastAsia="仿宋" w:hAnsi="仿宋" w:cs="仿宋"/>
          <w:kern w:val="44"/>
          <w:sz w:val="32"/>
          <w:szCs w:val="32"/>
        </w:rPr>
      </w:pPr>
      <w:bookmarkStart w:id="54" w:name="_Toc19089877"/>
      <w:r>
        <w:rPr>
          <w:rFonts w:ascii="仿宋" w:eastAsia="仿宋" w:hAnsi="仿宋" w:cs="仿宋" w:hint="eastAsia"/>
          <w:kern w:val="44"/>
          <w:sz w:val="32"/>
          <w:szCs w:val="32"/>
        </w:rPr>
        <w:t>附件</w:t>
      </w:r>
      <w:r>
        <w:rPr>
          <w:rFonts w:ascii="仿宋" w:eastAsia="仿宋" w:hAnsi="仿宋" w:cs="仿宋"/>
          <w:kern w:val="44"/>
          <w:sz w:val="32"/>
          <w:szCs w:val="32"/>
        </w:rPr>
        <w:t>1</w:t>
      </w:r>
      <w:bookmarkEnd w:id="54"/>
    </w:p>
    <w:p w:rsidR="003E68ED" w:rsidRDefault="003E68ED">
      <w:pPr>
        <w:widowControl/>
        <w:jc w:val="left"/>
        <w:rPr>
          <w:rFonts w:ascii="仿宋" w:eastAsia="仿宋" w:hAnsi="仿宋" w:cs="仿宋"/>
          <w:kern w:val="44"/>
          <w:sz w:val="32"/>
          <w:szCs w:val="32"/>
        </w:rPr>
      </w:pPr>
    </w:p>
    <w:p w:rsidR="003E68ED" w:rsidRDefault="00F06A97">
      <w:pPr>
        <w:spacing w:line="600" w:lineRule="exact"/>
        <w:jc w:val="center"/>
        <w:outlineLvl w:val="0"/>
        <w:rPr>
          <w:rFonts w:ascii="黑体" w:eastAsia="黑体" w:hAnsi="黑体"/>
          <w:sz w:val="36"/>
          <w:szCs w:val="36"/>
        </w:rPr>
      </w:pPr>
      <w:bookmarkStart w:id="55" w:name="_Toc19089878"/>
      <w:bookmarkStart w:id="56" w:name="_Toc15396616"/>
      <w:r>
        <w:rPr>
          <w:rFonts w:ascii="黑体" w:eastAsia="黑体" w:hAnsi="黑体" w:cs="黑体" w:hint="eastAsia"/>
          <w:sz w:val="36"/>
          <w:szCs w:val="36"/>
        </w:rPr>
        <w:t>广元市利州区回龙小学</w:t>
      </w:r>
      <w:r>
        <w:rPr>
          <w:rFonts w:ascii="黑体" w:eastAsia="黑体" w:hAnsi="黑体" w:cs="黑体"/>
          <w:sz w:val="36"/>
          <w:szCs w:val="36"/>
        </w:rPr>
        <w:t>20</w:t>
      </w:r>
      <w:r>
        <w:rPr>
          <w:rFonts w:ascii="黑体" w:eastAsia="黑体" w:hAnsi="黑体" w:cs="黑体" w:hint="eastAsia"/>
          <w:sz w:val="36"/>
          <w:szCs w:val="36"/>
        </w:rPr>
        <w:t>20年部门整体支出</w:t>
      </w:r>
      <w:bookmarkEnd w:id="55"/>
    </w:p>
    <w:p w:rsidR="003E68ED" w:rsidRDefault="00F06A97">
      <w:pPr>
        <w:spacing w:line="600" w:lineRule="exact"/>
        <w:jc w:val="center"/>
        <w:outlineLvl w:val="0"/>
        <w:rPr>
          <w:rFonts w:ascii="黑体" w:eastAsia="黑体" w:hAnsi="黑体"/>
          <w:sz w:val="36"/>
          <w:szCs w:val="36"/>
        </w:rPr>
      </w:pPr>
      <w:bookmarkStart w:id="57" w:name="_Toc19089879"/>
      <w:bookmarkStart w:id="58" w:name="_GoBack"/>
      <w:bookmarkEnd w:id="58"/>
      <w:r>
        <w:rPr>
          <w:rFonts w:ascii="黑体" w:eastAsia="黑体" w:hAnsi="黑体" w:cs="黑体" w:hint="eastAsia"/>
          <w:sz w:val="36"/>
          <w:szCs w:val="36"/>
        </w:rPr>
        <w:t>绩效评价报告</w:t>
      </w:r>
      <w:bookmarkEnd w:id="56"/>
      <w:bookmarkEnd w:id="57"/>
    </w:p>
    <w:p w:rsidR="003E68ED" w:rsidRDefault="003E68ED">
      <w:pPr>
        <w:snapToGrid w:val="0"/>
        <w:spacing w:line="520" w:lineRule="exact"/>
        <w:ind w:firstLineChars="200" w:firstLine="640"/>
        <w:rPr>
          <w:rFonts w:ascii="黑体" w:eastAsia="黑体" w:hAnsi="黑体" w:cs="黑体"/>
          <w:sz w:val="32"/>
          <w:szCs w:val="32"/>
        </w:rPr>
      </w:pPr>
    </w:p>
    <w:p w:rsidR="003E68ED" w:rsidRDefault="00F06A97">
      <w:pPr>
        <w:snapToGrid w:val="0"/>
        <w:spacing w:line="520" w:lineRule="exact"/>
        <w:ind w:firstLineChars="200" w:firstLine="560"/>
        <w:rPr>
          <w:rFonts w:ascii="黑体" w:eastAsia="黑体" w:hAnsi="黑体"/>
          <w:sz w:val="28"/>
          <w:szCs w:val="28"/>
        </w:rPr>
      </w:pPr>
      <w:r>
        <w:rPr>
          <w:rFonts w:ascii="黑体" w:eastAsia="黑体" w:hAnsi="黑体" w:cs="黑体" w:hint="eastAsia"/>
          <w:sz w:val="28"/>
          <w:szCs w:val="28"/>
        </w:rPr>
        <w:t>一、部门（单位）概况</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（一）机构组成</w:t>
      </w:r>
    </w:p>
    <w:p w:rsidR="003E68ED" w:rsidRDefault="00F06A97">
      <w:pPr>
        <w:pStyle w:val="a3"/>
        <w:adjustRightInd w:val="0"/>
        <w:snapToGrid w:val="0"/>
        <w:spacing w:beforeLines="0" w:line="520" w:lineRule="exact"/>
        <w:ind w:firstLineChars="210" w:firstLine="588"/>
        <w:rPr>
          <w:color w:val="000000"/>
          <w:sz w:val="28"/>
          <w:szCs w:val="28"/>
        </w:rPr>
      </w:pPr>
      <w:r>
        <w:rPr>
          <w:rFonts w:hint="eastAsia"/>
          <w:color w:val="000000"/>
          <w:sz w:val="28"/>
          <w:szCs w:val="28"/>
        </w:rPr>
        <w:t>广元市利州区回龙小学是教育局下属的二级预算单位，单位内设机构有：办公室、德育处、教导处、总务处四个部门。</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（二）机构职能</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．贯彻执行党和国家关于教育改革和发展的各项方针、政策，负责实施河西街道办事处辖区内的小学教育，促进基础教育发展。</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．宣传贯彻执行国家和省市区有关学生资助工作方针和政策，确保贫困家庭学生不辍学。</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．负责推进义务教育均衡发展和促进教育公平，确保教学基本要求、教学基本条件的落实。</w:t>
      </w:r>
    </w:p>
    <w:p w:rsidR="003E68ED" w:rsidRDefault="00F06A97">
      <w:pPr>
        <w:snapToGrid w:val="0"/>
        <w:spacing w:line="52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．坚持依法治校，统筹推进安全、综合治理等综合性工作。</w:t>
      </w:r>
      <w:r>
        <w:rPr>
          <w:rFonts w:ascii="仿宋" w:eastAsia="仿宋" w:hAnsi="仿宋" w:cs="仿宋"/>
          <w:sz w:val="28"/>
          <w:szCs w:val="28"/>
        </w:rPr>
        <w:t xml:space="preserve"> </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（三）人员概况</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广元市利州区回龙小学共有编制49名，全额财政补助事业编制49人。截至</w:t>
      </w:r>
      <w:r>
        <w:rPr>
          <w:rFonts w:ascii="仿宋" w:eastAsia="仿宋" w:hAnsi="仿宋" w:cs="仿宋"/>
          <w:sz w:val="28"/>
          <w:szCs w:val="28"/>
        </w:rPr>
        <w:t>20</w:t>
      </w:r>
      <w:r>
        <w:rPr>
          <w:rFonts w:ascii="仿宋" w:eastAsia="仿宋" w:hAnsi="仿宋" w:cs="仿宋" w:hint="eastAsia"/>
          <w:sz w:val="28"/>
          <w:szCs w:val="28"/>
        </w:rPr>
        <w:t>20年末，实有在职人员47人，学校实有学生588人。</w:t>
      </w:r>
    </w:p>
    <w:p w:rsidR="003E68ED" w:rsidRDefault="00F06A97">
      <w:pPr>
        <w:snapToGrid w:val="0"/>
        <w:spacing w:line="520" w:lineRule="exact"/>
        <w:ind w:firstLineChars="200" w:firstLine="560"/>
        <w:rPr>
          <w:rFonts w:ascii="黑体" w:eastAsia="黑体" w:hAnsi="黑体"/>
          <w:sz w:val="28"/>
          <w:szCs w:val="28"/>
        </w:rPr>
      </w:pPr>
      <w:r>
        <w:rPr>
          <w:rFonts w:ascii="黑体" w:eastAsia="黑体" w:hAnsi="黑体" w:cs="黑体" w:hint="eastAsia"/>
          <w:sz w:val="28"/>
          <w:szCs w:val="28"/>
        </w:rPr>
        <w:t>二、部门财政资金收支情况</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（一）部门财政资金收入情况</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sz w:val="28"/>
          <w:szCs w:val="28"/>
        </w:rPr>
        <w:t>20</w:t>
      </w:r>
      <w:r>
        <w:rPr>
          <w:rFonts w:ascii="仿宋" w:eastAsia="仿宋" w:hAnsi="仿宋" w:cs="仿宋" w:hint="eastAsia"/>
          <w:sz w:val="28"/>
          <w:szCs w:val="28"/>
        </w:rPr>
        <w:t>20年财政拨款收入总计705.54万元。与</w:t>
      </w:r>
      <w:r>
        <w:rPr>
          <w:rFonts w:ascii="仿宋" w:eastAsia="仿宋" w:hAnsi="仿宋" w:cs="仿宋"/>
          <w:sz w:val="28"/>
          <w:szCs w:val="28"/>
        </w:rPr>
        <w:t>201</w:t>
      </w:r>
      <w:r>
        <w:rPr>
          <w:rFonts w:ascii="仿宋" w:eastAsia="仿宋" w:hAnsi="仿宋" w:cs="仿宋" w:hint="eastAsia"/>
          <w:sz w:val="28"/>
          <w:szCs w:val="28"/>
        </w:rPr>
        <w:t>9年相比（611.12万</w:t>
      </w:r>
      <w:r>
        <w:rPr>
          <w:rFonts w:ascii="仿宋" w:eastAsia="仿宋" w:hAnsi="仿宋" w:cs="仿宋" w:hint="eastAsia"/>
          <w:sz w:val="28"/>
          <w:szCs w:val="28"/>
        </w:rPr>
        <w:lastRenderedPageBreak/>
        <w:t>元），财政拨款收入总计增加94.42万元，增长15.45</w:t>
      </w:r>
      <w:r>
        <w:rPr>
          <w:rFonts w:ascii="仿宋" w:eastAsia="仿宋" w:hAnsi="仿宋" w:cs="仿宋"/>
          <w:sz w:val="28"/>
          <w:szCs w:val="28"/>
        </w:rPr>
        <w:t>%</w:t>
      </w:r>
      <w:r>
        <w:rPr>
          <w:rFonts w:ascii="仿宋" w:eastAsia="仿宋" w:hAnsi="仿宋" w:cs="仿宋" w:hint="eastAsia"/>
          <w:sz w:val="28"/>
          <w:szCs w:val="28"/>
        </w:rPr>
        <w:t>。</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（二）部门财政资金支出情况</w:t>
      </w:r>
    </w:p>
    <w:p w:rsidR="003E68ED" w:rsidRDefault="00F06A97">
      <w:pPr>
        <w:snapToGrid w:val="0"/>
        <w:spacing w:line="520" w:lineRule="exact"/>
        <w:ind w:firstLineChars="200" w:firstLine="560"/>
        <w:rPr>
          <w:rFonts w:ascii="仿宋" w:eastAsia="仿宋" w:hAnsi="仿宋" w:cs="仿宋"/>
          <w:sz w:val="28"/>
          <w:szCs w:val="28"/>
        </w:rPr>
      </w:pPr>
      <w:r>
        <w:rPr>
          <w:rFonts w:ascii="仿宋" w:eastAsia="仿宋" w:hAnsi="仿宋" w:cs="仿宋"/>
          <w:sz w:val="28"/>
          <w:szCs w:val="28"/>
        </w:rPr>
        <w:t>20</w:t>
      </w:r>
      <w:r>
        <w:rPr>
          <w:rFonts w:ascii="仿宋" w:eastAsia="仿宋" w:hAnsi="仿宋" w:cs="仿宋" w:hint="eastAsia"/>
          <w:sz w:val="28"/>
          <w:szCs w:val="28"/>
        </w:rPr>
        <w:t>20年财政拨款支出总计721.62万元。与</w:t>
      </w:r>
      <w:r>
        <w:rPr>
          <w:rFonts w:ascii="仿宋" w:eastAsia="仿宋" w:hAnsi="仿宋" w:cs="仿宋"/>
          <w:sz w:val="28"/>
          <w:szCs w:val="28"/>
        </w:rPr>
        <w:t>201</w:t>
      </w:r>
      <w:r>
        <w:rPr>
          <w:rFonts w:ascii="仿宋" w:eastAsia="仿宋" w:hAnsi="仿宋" w:cs="仿宋" w:hint="eastAsia"/>
          <w:sz w:val="28"/>
          <w:szCs w:val="28"/>
        </w:rPr>
        <w:t>9年相比（598.28万元），财政拨款支出总计增加123.34万元，增涨20.62</w:t>
      </w:r>
      <w:r>
        <w:rPr>
          <w:rFonts w:ascii="仿宋" w:eastAsia="仿宋" w:hAnsi="仿宋" w:cs="仿宋"/>
          <w:sz w:val="28"/>
          <w:szCs w:val="28"/>
        </w:rPr>
        <w:t>%</w:t>
      </w:r>
      <w:r>
        <w:rPr>
          <w:rFonts w:ascii="仿宋" w:eastAsia="仿宋" w:hAnsi="仿宋" w:cs="仿宋" w:hint="eastAsia"/>
          <w:sz w:val="28"/>
          <w:szCs w:val="28"/>
        </w:rPr>
        <w:t>。</w:t>
      </w:r>
    </w:p>
    <w:p w:rsidR="003E68ED" w:rsidRDefault="00F06A97">
      <w:pPr>
        <w:snapToGrid w:val="0"/>
        <w:spacing w:line="520" w:lineRule="exact"/>
        <w:ind w:firstLineChars="200" w:firstLine="560"/>
        <w:rPr>
          <w:rFonts w:ascii="黑体" w:eastAsia="黑体" w:hAnsi="黑体"/>
          <w:sz w:val="28"/>
          <w:szCs w:val="28"/>
        </w:rPr>
      </w:pPr>
      <w:r>
        <w:rPr>
          <w:rFonts w:ascii="黑体" w:eastAsia="黑体" w:hAnsi="黑体" w:cs="黑体" w:hint="eastAsia"/>
          <w:sz w:val="28"/>
          <w:szCs w:val="28"/>
        </w:rPr>
        <w:t>三、部门整体预算绩效管理情况（根据适用指标体系进行调整）</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（一）部门预算管理</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部门绩效目标制定</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）部门绩效目标充分考虑到各项资金的使用内容、范围、方向和预期效果，符合国民经济和社会发展规划，符合部门职能及事业发展规划。</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）部门绩效目标从数量、质量、成本、时效以及经济效益、社会效益、生态效益、可持续影响、满意度等方面进行了细化和定量表述，具有可衡量性。</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）绩效目标的设定经过了调查研究和科学论证，符合客观实际，能够在一定期限内如期实现。</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）绩效目标相关指标设定与预算安排金额相对应，未超预算安排资金。</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预算编制和执行</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）部门预算报送时间严格按照财政部门预算编制要求的时间及时报送部门预算。预算编制完整、准确，基础信息和科目使用准确。</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）严格执行预算，执行中一般不调整预算项目。年度预算收支平衡，人员支出按时间表进度执行，无挪用情况，完成部门经济和社会事业发展职能职责。</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）基本支出主要用于日常工作运转开支，包括人员的工资福利支出、一般商品和服务支出、对个人和家庭的补助支出、对企事业单位的补贴及其他资本性支出。人员经费的开支主要是按照区组织和人事部门审批</w:t>
      </w:r>
      <w:r>
        <w:rPr>
          <w:rFonts w:ascii="仿宋" w:eastAsia="仿宋" w:hAnsi="仿宋" w:cs="仿宋" w:hint="eastAsia"/>
          <w:sz w:val="28"/>
          <w:szCs w:val="28"/>
        </w:rPr>
        <w:lastRenderedPageBreak/>
        <w:t>执行，公用经费按照厉行节约的原则规范资金使用流程，尤其是“三公”经费严格控制在预算指标内。接待费的报销必须附有接待公函、接待申报单、接待明细及公务卡支出小票，。</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）按时送部门决算，决算数据真实准确、帐表一致，部门决算编制人员与供养人员系统一致。</w:t>
      </w:r>
    </w:p>
    <w:p w:rsidR="003E68ED" w:rsidRDefault="00F06A97">
      <w:pPr>
        <w:snapToGrid w:val="0"/>
        <w:spacing w:line="520" w:lineRule="exact"/>
        <w:ind w:firstLineChars="200" w:firstLine="560"/>
        <w:jc w:val="left"/>
        <w:rPr>
          <w:rFonts w:ascii="仿宋" w:eastAsia="仿宋" w:hAnsi="仿宋"/>
          <w:sz w:val="28"/>
          <w:szCs w:val="28"/>
        </w:rPr>
      </w:pPr>
      <w:r>
        <w:rPr>
          <w:rFonts w:ascii="仿宋" w:eastAsia="仿宋" w:hAnsi="仿宋" w:cs="仿宋" w:hint="eastAsia"/>
          <w:sz w:val="28"/>
          <w:szCs w:val="28"/>
        </w:rPr>
        <w:t>（二）专项预算管理。</w:t>
      </w:r>
    </w:p>
    <w:p w:rsidR="003E68ED" w:rsidRDefault="00F06A97">
      <w:pPr>
        <w:snapToGrid w:val="0"/>
        <w:spacing w:line="520" w:lineRule="exact"/>
        <w:ind w:firstLineChars="200" w:firstLine="560"/>
        <w:jc w:val="left"/>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专项预算编制情况</w:t>
      </w:r>
    </w:p>
    <w:p w:rsidR="003E68ED" w:rsidRDefault="00F06A97">
      <w:pPr>
        <w:snapToGrid w:val="0"/>
        <w:spacing w:line="520" w:lineRule="exact"/>
        <w:ind w:firstLineChars="200" w:firstLine="560"/>
        <w:jc w:val="left"/>
        <w:rPr>
          <w:rFonts w:ascii="仿宋" w:eastAsia="仿宋" w:hAnsi="仿宋"/>
          <w:color w:val="000000"/>
          <w:sz w:val="28"/>
          <w:szCs w:val="28"/>
        </w:rPr>
      </w:pPr>
      <w:r>
        <w:rPr>
          <w:rFonts w:ascii="仿宋" w:eastAsia="仿宋" w:hAnsi="仿宋" w:cs="仿宋" w:hint="eastAsia"/>
          <w:color w:val="000000"/>
          <w:sz w:val="28"/>
          <w:szCs w:val="28"/>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rsidR="003E68ED" w:rsidRDefault="00F06A97">
      <w:pPr>
        <w:snapToGrid w:val="0"/>
        <w:spacing w:line="520" w:lineRule="exact"/>
        <w:ind w:firstLineChars="200" w:firstLine="560"/>
        <w:jc w:val="left"/>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专项预算执行</w:t>
      </w:r>
    </w:p>
    <w:p w:rsidR="003E68ED" w:rsidRDefault="00F06A97">
      <w:pPr>
        <w:snapToGrid w:val="0"/>
        <w:spacing w:line="520" w:lineRule="exact"/>
        <w:ind w:firstLineChars="200" w:firstLine="560"/>
        <w:jc w:val="left"/>
        <w:rPr>
          <w:rFonts w:ascii="仿宋" w:eastAsia="仿宋" w:hAnsi="仿宋"/>
          <w:sz w:val="28"/>
          <w:szCs w:val="28"/>
        </w:rPr>
      </w:pPr>
      <w:r>
        <w:rPr>
          <w:rFonts w:ascii="仿宋" w:eastAsia="仿宋" w:hAnsi="仿宋" w:cs="仿宋" w:hint="eastAsia"/>
          <w:sz w:val="28"/>
          <w:szCs w:val="28"/>
        </w:rPr>
        <w:t>对于上级或区本级下达的各类专项预算支出，严格按照预算批复的开支范围和标准执行，不准擅自调项、扩项、缩项，更不准拆借、挪用、挤占和随意扣压；资金拨付动向，按不同专项资金的要求执行，不准任意改变；</w:t>
      </w:r>
    </w:p>
    <w:p w:rsidR="003E68ED" w:rsidRDefault="00F06A97">
      <w:pPr>
        <w:snapToGrid w:val="0"/>
        <w:spacing w:line="520" w:lineRule="exact"/>
        <w:ind w:firstLineChars="200" w:firstLine="560"/>
        <w:jc w:val="left"/>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专项预算绩效目标完成情况</w:t>
      </w:r>
    </w:p>
    <w:p w:rsidR="003E68ED" w:rsidRDefault="00F06A97">
      <w:pPr>
        <w:snapToGrid w:val="0"/>
        <w:spacing w:line="520" w:lineRule="exact"/>
        <w:ind w:firstLineChars="200" w:firstLine="560"/>
        <w:jc w:val="left"/>
        <w:rPr>
          <w:rFonts w:ascii="仿宋" w:eastAsia="仿宋" w:hAnsi="仿宋"/>
          <w:sz w:val="28"/>
          <w:szCs w:val="28"/>
        </w:rPr>
      </w:pPr>
      <w:r>
        <w:rPr>
          <w:rFonts w:ascii="仿宋" w:eastAsia="仿宋" w:hAnsi="仿宋" w:cs="仿宋"/>
          <w:color w:val="000000"/>
          <w:sz w:val="28"/>
          <w:szCs w:val="28"/>
        </w:rPr>
        <w:t>20</w:t>
      </w:r>
      <w:r>
        <w:rPr>
          <w:rFonts w:ascii="仿宋" w:eastAsia="仿宋" w:hAnsi="仿宋" w:cs="仿宋" w:hint="eastAsia"/>
          <w:color w:val="000000"/>
          <w:sz w:val="28"/>
          <w:szCs w:val="28"/>
        </w:rPr>
        <w:t>20年各类财政专项</w:t>
      </w:r>
      <w:r>
        <w:rPr>
          <w:rFonts w:ascii="仿宋" w:eastAsia="仿宋" w:hAnsi="仿宋" w:cs="仿宋" w:hint="eastAsia"/>
          <w:sz w:val="28"/>
          <w:szCs w:val="28"/>
        </w:rPr>
        <w:t>预算支出共9.51万元，项目预算完成率均达到100</w:t>
      </w:r>
      <w:r>
        <w:rPr>
          <w:rFonts w:ascii="仿宋" w:eastAsia="仿宋" w:hAnsi="仿宋" w:cs="仿宋"/>
          <w:sz w:val="28"/>
          <w:szCs w:val="28"/>
        </w:rPr>
        <w:t>%</w:t>
      </w:r>
      <w:r>
        <w:rPr>
          <w:rFonts w:ascii="仿宋" w:eastAsia="仿宋" w:hAnsi="仿宋" w:cs="仿宋" w:hint="eastAsia"/>
          <w:sz w:val="28"/>
          <w:szCs w:val="28"/>
        </w:rPr>
        <w:t>。</w:t>
      </w:r>
    </w:p>
    <w:p w:rsidR="003E68ED" w:rsidRDefault="00F06A97">
      <w:pPr>
        <w:snapToGrid w:val="0"/>
        <w:spacing w:line="520" w:lineRule="exact"/>
        <w:ind w:firstLineChars="200" w:firstLine="560"/>
        <w:rPr>
          <w:rFonts w:ascii="黑体" w:eastAsia="黑体" w:hAnsi="黑体"/>
          <w:sz w:val="28"/>
          <w:szCs w:val="28"/>
        </w:rPr>
      </w:pPr>
      <w:r>
        <w:rPr>
          <w:rFonts w:ascii="黑体" w:eastAsia="黑体" w:hAnsi="黑体" w:cs="黑体" w:hint="eastAsia"/>
          <w:sz w:val="28"/>
          <w:szCs w:val="28"/>
        </w:rPr>
        <w:t>四、评价结论及建议</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（一）评价结论</w:t>
      </w:r>
    </w:p>
    <w:p w:rsidR="003E68ED" w:rsidRDefault="00F06A97">
      <w:pPr>
        <w:snapToGrid w:val="0"/>
        <w:spacing w:line="520" w:lineRule="exact"/>
        <w:ind w:firstLineChars="200" w:firstLine="560"/>
        <w:rPr>
          <w:rFonts w:ascii="仿宋" w:eastAsia="仿宋" w:hAnsi="仿宋"/>
          <w:color w:val="000000"/>
          <w:sz w:val="28"/>
          <w:szCs w:val="28"/>
        </w:rPr>
      </w:pPr>
      <w:r>
        <w:rPr>
          <w:rFonts w:ascii="仿宋" w:eastAsia="仿宋" w:hAnsi="仿宋" w:cs="仿宋" w:hint="eastAsia"/>
          <w:sz w:val="28"/>
          <w:szCs w:val="28"/>
        </w:rPr>
        <w:t>从总体上看，部门整体绩效目标依据充分，整体绩效目标与部门履职</w:t>
      </w:r>
      <w:r>
        <w:rPr>
          <w:rFonts w:ascii="仿宋" w:eastAsia="仿宋" w:hAnsi="仿宋" w:cs="仿宋" w:hint="eastAsia"/>
          <w:sz w:val="28"/>
          <w:szCs w:val="28"/>
        </w:rPr>
        <w:lastRenderedPageBreak/>
        <w:t>相符，基本支出预算编制合理，项目支出预算准确；组织管理机构健全，规章制度完善，资金使用规范合理；预算执行、预算管理、资产管理、职责履行绩效评价目</w:t>
      </w:r>
      <w:r>
        <w:rPr>
          <w:rFonts w:ascii="仿宋" w:eastAsia="仿宋" w:hAnsi="仿宋" w:cs="仿宋" w:hint="eastAsia"/>
          <w:color w:val="000000"/>
          <w:sz w:val="28"/>
          <w:szCs w:val="28"/>
        </w:rPr>
        <w:t>标实现较为理想，达到预期目的。部门整体绩效评价得分77分。</w:t>
      </w:r>
    </w:p>
    <w:p w:rsidR="003E68ED" w:rsidRDefault="00F06A97">
      <w:pPr>
        <w:snapToGrid w:val="0"/>
        <w:spacing w:line="520" w:lineRule="exact"/>
        <w:ind w:firstLineChars="200" w:firstLine="560"/>
        <w:rPr>
          <w:rFonts w:ascii="仿宋" w:eastAsia="仿宋" w:hAnsi="仿宋"/>
          <w:color w:val="000000"/>
          <w:sz w:val="28"/>
          <w:szCs w:val="28"/>
        </w:rPr>
      </w:pPr>
      <w:r>
        <w:rPr>
          <w:rFonts w:ascii="仿宋" w:eastAsia="仿宋" w:hAnsi="仿宋" w:cs="仿宋" w:hint="eastAsia"/>
          <w:color w:val="000000"/>
          <w:sz w:val="28"/>
          <w:szCs w:val="28"/>
        </w:rPr>
        <w:t>（二）存在问题</w:t>
      </w:r>
    </w:p>
    <w:p w:rsidR="003E68ED" w:rsidRDefault="00F06A97">
      <w:pPr>
        <w:snapToGrid w:val="0"/>
        <w:spacing w:line="520" w:lineRule="exact"/>
        <w:ind w:firstLineChars="200" w:firstLine="560"/>
        <w:rPr>
          <w:rFonts w:ascii="仿宋" w:eastAsia="仿宋" w:hAnsi="仿宋"/>
          <w:color w:val="000000"/>
          <w:sz w:val="28"/>
          <w:szCs w:val="28"/>
        </w:rPr>
      </w:pPr>
      <w:r>
        <w:rPr>
          <w:rFonts w:ascii="仿宋" w:eastAsia="仿宋" w:hAnsi="仿宋" w:cs="仿宋" w:hint="eastAsia"/>
          <w:color w:val="000000"/>
          <w:sz w:val="28"/>
          <w:szCs w:val="28"/>
        </w:rPr>
        <w:t>预算追加经费数额大，下达时间比较晚，造成预算执行率偏差。</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hint="eastAsia"/>
          <w:sz w:val="28"/>
          <w:szCs w:val="28"/>
        </w:rPr>
        <w:t>（三）改进建议</w:t>
      </w:r>
    </w:p>
    <w:p w:rsidR="003E68ED" w:rsidRDefault="00F06A97">
      <w:pPr>
        <w:snapToGrid w:val="0"/>
        <w:spacing w:line="520" w:lineRule="exact"/>
        <w:ind w:firstLineChars="200" w:firstLine="560"/>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进一步完善各类项目支出的支出标准，严格按项目和进度执行预算，增强预算的约束力和严肃性。</w:t>
      </w:r>
    </w:p>
    <w:p w:rsidR="003E68ED" w:rsidRDefault="00F06A97">
      <w:pPr>
        <w:snapToGrid w:val="0"/>
        <w:spacing w:line="52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落实预算执行分析，及时了解预算执行差异，合理调整、纠正预算执行偏差，切实提高部门预算收支管理水平。</w:t>
      </w:r>
    </w:p>
    <w:p w:rsidR="003E68ED" w:rsidRDefault="00F06A97">
      <w:pPr>
        <w:rPr>
          <w:rFonts w:ascii="仿宋" w:eastAsia="仿宋" w:hAnsi="仿宋" w:cs="仿宋"/>
          <w:sz w:val="28"/>
          <w:szCs w:val="28"/>
        </w:rPr>
      </w:pPr>
      <w:r>
        <w:rPr>
          <w:rFonts w:ascii="仿宋" w:eastAsia="仿宋" w:hAnsi="仿宋" w:cs="仿宋" w:hint="eastAsia"/>
          <w:sz w:val="28"/>
          <w:szCs w:val="28"/>
        </w:rPr>
        <w:br w:type="page"/>
      </w:r>
    </w:p>
    <w:p w:rsidR="003E68ED" w:rsidRDefault="00F06A97">
      <w:pPr>
        <w:snapToGrid w:val="0"/>
        <w:spacing w:line="520" w:lineRule="exact"/>
        <w:rPr>
          <w:rFonts w:ascii="仿宋" w:eastAsia="仿宋" w:hAnsi="仿宋" w:cs="仿宋"/>
          <w:sz w:val="28"/>
          <w:szCs w:val="28"/>
        </w:rPr>
      </w:pPr>
      <w:r>
        <w:rPr>
          <w:rFonts w:ascii="仿宋" w:eastAsia="仿宋" w:hAnsi="仿宋" w:cs="仿宋" w:hint="eastAsia"/>
          <w:sz w:val="28"/>
          <w:szCs w:val="28"/>
        </w:rPr>
        <w:lastRenderedPageBreak/>
        <w:t>附件2</w:t>
      </w:r>
    </w:p>
    <w:p w:rsidR="003E68ED" w:rsidRDefault="003E68ED">
      <w:pPr>
        <w:snapToGrid w:val="0"/>
        <w:spacing w:line="520" w:lineRule="exact"/>
        <w:rPr>
          <w:rFonts w:ascii="仿宋" w:eastAsia="仿宋" w:hAnsi="仿宋" w:cs="仿宋"/>
          <w:sz w:val="28"/>
          <w:szCs w:val="28"/>
        </w:rPr>
      </w:pPr>
    </w:p>
    <w:p w:rsidR="003E68ED" w:rsidRDefault="00F06A97">
      <w:pPr>
        <w:widowControl/>
        <w:jc w:val="center"/>
        <w:rPr>
          <w:rFonts w:ascii="黑体" w:eastAsia="黑体" w:hAnsi="黑体"/>
          <w:kern w:val="0"/>
          <w:sz w:val="36"/>
          <w:szCs w:val="36"/>
        </w:rPr>
      </w:pPr>
      <w:r>
        <w:rPr>
          <w:rFonts w:ascii="黑体" w:eastAsia="黑体" w:hAnsi="黑体" w:cs="黑体"/>
          <w:kern w:val="0"/>
          <w:sz w:val="36"/>
          <w:szCs w:val="36"/>
        </w:rPr>
        <w:t>20</w:t>
      </w:r>
      <w:r>
        <w:rPr>
          <w:rFonts w:ascii="黑体" w:eastAsia="黑体" w:hAnsi="黑体" w:cs="黑体" w:hint="eastAsia"/>
          <w:kern w:val="0"/>
          <w:sz w:val="36"/>
          <w:szCs w:val="36"/>
        </w:rPr>
        <w:t>20年学生营养改善计划项目支出绩效目标</w:t>
      </w:r>
    </w:p>
    <w:p w:rsidR="003E68ED" w:rsidRDefault="00F06A97">
      <w:pPr>
        <w:snapToGrid w:val="0"/>
        <w:spacing w:line="520" w:lineRule="exact"/>
        <w:jc w:val="center"/>
        <w:rPr>
          <w:rFonts w:ascii="黑体" w:eastAsia="黑体" w:hAnsi="黑体" w:cs="黑体"/>
          <w:kern w:val="0"/>
          <w:sz w:val="36"/>
          <w:szCs w:val="36"/>
        </w:rPr>
      </w:pPr>
      <w:r>
        <w:rPr>
          <w:rFonts w:ascii="黑体" w:eastAsia="黑体" w:hAnsi="黑体" w:cs="黑体" w:hint="eastAsia"/>
          <w:kern w:val="0"/>
          <w:sz w:val="36"/>
          <w:szCs w:val="36"/>
        </w:rPr>
        <w:t>完成情况表</w:t>
      </w:r>
    </w:p>
    <w:p w:rsidR="003E68ED" w:rsidRDefault="00F06A97">
      <w:pPr>
        <w:snapToGrid w:val="0"/>
        <w:spacing w:line="520" w:lineRule="exact"/>
        <w:jc w:val="center"/>
        <w:rPr>
          <w:rFonts w:ascii="黑体" w:eastAsia="黑体" w:hAnsi="黑体" w:cs="黑体"/>
          <w:kern w:val="0"/>
          <w:sz w:val="30"/>
          <w:szCs w:val="30"/>
        </w:rPr>
      </w:pPr>
      <w:r>
        <w:rPr>
          <w:rFonts w:ascii="宋体" w:hAnsi="宋体" w:cs="宋体"/>
          <w:kern w:val="0"/>
          <w:sz w:val="30"/>
          <w:szCs w:val="30"/>
        </w:rPr>
        <w:t>(20</w:t>
      </w:r>
      <w:r>
        <w:rPr>
          <w:rFonts w:ascii="宋体" w:hAnsi="宋体" w:cs="宋体" w:hint="eastAsia"/>
          <w:kern w:val="0"/>
          <w:sz w:val="30"/>
          <w:szCs w:val="30"/>
        </w:rPr>
        <w:t>20年度</w:t>
      </w:r>
      <w:r>
        <w:rPr>
          <w:rFonts w:ascii="宋体" w:hAnsi="宋体" w:cs="宋体"/>
          <w:kern w:val="0"/>
          <w:sz w:val="30"/>
          <w:szCs w:val="30"/>
        </w:rPr>
        <w:t>)</w:t>
      </w:r>
    </w:p>
    <w:tbl>
      <w:tblPr>
        <w:tblW w:w="51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475"/>
        <w:gridCol w:w="857"/>
        <w:gridCol w:w="2571"/>
        <w:gridCol w:w="2257"/>
        <w:gridCol w:w="8"/>
        <w:gridCol w:w="2315"/>
      </w:tblGrid>
      <w:tr w:rsidR="003E68ED">
        <w:trPr>
          <w:trHeight w:val="413"/>
        </w:trPr>
        <w:tc>
          <w:tcPr>
            <w:tcW w:w="1203" w:type="pct"/>
            <w:gridSpan w:val="3"/>
            <w:vAlign w:val="center"/>
          </w:tcPr>
          <w:p w:rsidR="003E68ED" w:rsidRDefault="00F06A97">
            <w:pPr>
              <w:snapToGrid w:val="0"/>
              <w:jc w:val="center"/>
              <w:rPr>
                <w:rFonts w:ascii="宋体"/>
                <w:kern w:val="0"/>
                <w:sz w:val="24"/>
              </w:rPr>
            </w:pPr>
            <w:r>
              <w:rPr>
                <w:rFonts w:ascii="宋体" w:hAnsi="宋体" w:cs="宋体" w:hint="eastAsia"/>
                <w:kern w:val="0"/>
                <w:sz w:val="24"/>
              </w:rPr>
              <w:t>项目名称</w:t>
            </w:r>
          </w:p>
        </w:tc>
        <w:tc>
          <w:tcPr>
            <w:tcW w:w="3796" w:type="pct"/>
            <w:gridSpan w:val="4"/>
            <w:vAlign w:val="center"/>
          </w:tcPr>
          <w:p w:rsidR="003E68ED" w:rsidRDefault="00F06A97">
            <w:pPr>
              <w:snapToGrid w:val="0"/>
              <w:jc w:val="center"/>
              <w:rPr>
                <w:rFonts w:ascii="宋体"/>
                <w:kern w:val="0"/>
                <w:sz w:val="24"/>
              </w:rPr>
            </w:pPr>
            <w:r>
              <w:rPr>
                <w:rFonts w:ascii="宋体" w:hAnsi="宋体" w:cs="宋体" w:hint="eastAsia"/>
                <w:kern w:val="0"/>
                <w:sz w:val="24"/>
              </w:rPr>
              <w:t>2020年学生营养改善计划项目</w:t>
            </w:r>
          </w:p>
        </w:tc>
      </w:tr>
      <w:tr w:rsidR="003E68ED">
        <w:trPr>
          <w:trHeight w:val="413"/>
        </w:trPr>
        <w:tc>
          <w:tcPr>
            <w:tcW w:w="1203" w:type="pct"/>
            <w:gridSpan w:val="3"/>
            <w:vAlign w:val="center"/>
          </w:tcPr>
          <w:p w:rsidR="003E68ED" w:rsidRDefault="00F06A97">
            <w:pPr>
              <w:snapToGrid w:val="0"/>
              <w:jc w:val="center"/>
              <w:rPr>
                <w:rFonts w:ascii="宋体"/>
                <w:kern w:val="0"/>
                <w:sz w:val="24"/>
              </w:rPr>
            </w:pPr>
            <w:r>
              <w:rPr>
                <w:rFonts w:ascii="宋体" w:hAnsi="宋体" w:cs="宋体" w:hint="eastAsia"/>
                <w:kern w:val="0"/>
                <w:sz w:val="24"/>
              </w:rPr>
              <w:t>预算单位</w:t>
            </w:r>
          </w:p>
        </w:tc>
        <w:tc>
          <w:tcPr>
            <w:tcW w:w="3796" w:type="pct"/>
            <w:gridSpan w:val="4"/>
            <w:vAlign w:val="center"/>
          </w:tcPr>
          <w:p w:rsidR="003E68ED" w:rsidRDefault="00F06A97">
            <w:pPr>
              <w:snapToGrid w:val="0"/>
              <w:jc w:val="center"/>
              <w:rPr>
                <w:rFonts w:ascii="宋体"/>
                <w:kern w:val="0"/>
                <w:sz w:val="24"/>
              </w:rPr>
            </w:pPr>
            <w:r>
              <w:rPr>
                <w:rFonts w:ascii="宋体" w:hAnsi="宋体" w:cs="宋体" w:hint="eastAsia"/>
                <w:kern w:val="0"/>
                <w:sz w:val="24"/>
              </w:rPr>
              <w:t>广元市利州区教育局</w:t>
            </w:r>
          </w:p>
        </w:tc>
      </w:tr>
      <w:tr w:rsidR="003E68ED">
        <w:trPr>
          <w:trHeight w:val="413"/>
        </w:trPr>
        <w:tc>
          <w:tcPr>
            <w:tcW w:w="496" w:type="pct"/>
            <w:vMerge w:val="restar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707" w:type="pct"/>
            <w:gridSpan w:val="2"/>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1365" w:type="pc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43.57万元</w:t>
            </w:r>
          </w:p>
        </w:tc>
        <w:tc>
          <w:tcPr>
            <w:tcW w:w="1202" w:type="pct"/>
            <w:gridSpan w:val="2"/>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1228" w:type="pc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43.57万元</w:t>
            </w:r>
          </w:p>
        </w:tc>
      </w:tr>
      <w:tr w:rsidR="003E68ED">
        <w:trPr>
          <w:trHeight w:val="642"/>
        </w:trPr>
        <w:tc>
          <w:tcPr>
            <w:tcW w:w="496" w:type="pct"/>
            <w:vMerge/>
            <w:vAlign w:val="center"/>
          </w:tcPr>
          <w:p w:rsidR="003E68ED" w:rsidRDefault="003E68ED">
            <w:pPr>
              <w:snapToGrid w:val="0"/>
              <w:jc w:val="left"/>
              <w:rPr>
                <w:rFonts w:ascii="宋体"/>
                <w:color w:val="000000"/>
                <w:kern w:val="0"/>
                <w:sz w:val="24"/>
              </w:rPr>
            </w:pPr>
          </w:p>
        </w:tc>
        <w:tc>
          <w:tcPr>
            <w:tcW w:w="707" w:type="pct"/>
            <w:gridSpan w:val="2"/>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1365" w:type="pc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43.57万元</w:t>
            </w:r>
          </w:p>
        </w:tc>
        <w:tc>
          <w:tcPr>
            <w:tcW w:w="1202" w:type="pct"/>
            <w:gridSpan w:val="2"/>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1228" w:type="pc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43.57元</w:t>
            </w:r>
          </w:p>
        </w:tc>
      </w:tr>
      <w:tr w:rsidR="003E68ED">
        <w:trPr>
          <w:trHeight w:val="534"/>
        </w:trPr>
        <w:tc>
          <w:tcPr>
            <w:tcW w:w="496" w:type="pct"/>
            <w:vMerge/>
            <w:vAlign w:val="center"/>
          </w:tcPr>
          <w:p w:rsidR="003E68ED" w:rsidRDefault="003E68ED">
            <w:pPr>
              <w:snapToGrid w:val="0"/>
              <w:jc w:val="left"/>
              <w:rPr>
                <w:rFonts w:ascii="宋体"/>
                <w:color w:val="000000"/>
                <w:kern w:val="0"/>
                <w:sz w:val="24"/>
              </w:rPr>
            </w:pPr>
          </w:p>
        </w:tc>
        <w:tc>
          <w:tcPr>
            <w:tcW w:w="707" w:type="pct"/>
            <w:gridSpan w:val="2"/>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1365" w:type="pc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 xml:space="preserve">　</w:t>
            </w:r>
          </w:p>
        </w:tc>
        <w:tc>
          <w:tcPr>
            <w:tcW w:w="1202" w:type="pct"/>
            <w:gridSpan w:val="2"/>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1228" w:type="pc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 xml:space="preserve">　</w:t>
            </w:r>
          </w:p>
        </w:tc>
      </w:tr>
      <w:tr w:rsidR="003E68ED">
        <w:trPr>
          <w:trHeight w:val="413"/>
        </w:trPr>
        <w:tc>
          <w:tcPr>
            <w:tcW w:w="496" w:type="pct"/>
            <w:vMerge w:val="restar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年度目标完成情况</w:t>
            </w:r>
          </w:p>
        </w:tc>
        <w:tc>
          <w:tcPr>
            <w:tcW w:w="2072" w:type="pct"/>
            <w:gridSpan w:val="3"/>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预期目标</w:t>
            </w:r>
          </w:p>
        </w:tc>
        <w:tc>
          <w:tcPr>
            <w:tcW w:w="2430" w:type="pct"/>
            <w:gridSpan w:val="3"/>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实际完成目标</w:t>
            </w:r>
          </w:p>
        </w:tc>
      </w:tr>
      <w:tr w:rsidR="003E68ED">
        <w:trPr>
          <w:trHeight w:val="2433"/>
        </w:trPr>
        <w:tc>
          <w:tcPr>
            <w:tcW w:w="496" w:type="pct"/>
            <w:vMerge/>
            <w:vAlign w:val="center"/>
          </w:tcPr>
          <w:p w:rsidR="003E68ED" w:rsidRDefault="003E68ED">
            <w:pPr>
              <w:snapToGrid w:val="0"/>
              <w:jc w:val="left"/>
              <w:rPr>
                <w:rFonts w:ascii="宋体"/>
                <w:color w:val="000000"/>
                <w:kern w:val="0"/>
                <w:sz w:val="24"/>
              </w:rPr>
            </w:pPr>
          </w:p>
        </w:tc>
        <w:tc>
          <w:tcPr>
            <w:tcW w:w="2072" w:type="pct"/>
            <w:gridSpan w:val="3"/>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进一步贯彻落实了《国务院办公厅关于实施农村义务教育学生营养改善计划的意见》（国办发【</w:t>
            </w:r>
            <w:r>
              <w:rPr>
                <w:rFonts w:ascii="宋体" w:hAnsi="宋体" w:cs="宋体"/>
                <w:color w:val="000000"/>
                <w:kern w:val="0"/>
                <w:sz w:val="20"/>
                <w:szCs w:val="20"/>
              </w:rPr>
              <w:t>2011</w:t>
            </w:r>
            <w:r>
              <w:rPr>
                <w:rFonts w:ascii="宋体" w:hAnsi="宋体" w:cs="宋体" w:hint="eastAsia"/>
                <w:color w:val="000000"/>
                <w:kern w:val="0"/>
                <w:sz w:val="20"/>
                <w:szCs w:val="20"/>
              </w:rPr>
              <w:t>】</w:t>
            </w:r>
            <w:r>
              <w:rPr>
                <w:rFonts w:ascii="宋体" w:hAnsi="宋体" w:cs="宋体"/>
                <w:color w:val="000000"/>
                <w:kern w:val="0"/>
                <w:sz w:val="20"/>
                <w:szCs w:val="20"/>
              </w:rPr>
              <w:t>54</w:t>
            </w:r>
            <w:r>
              <w:rPr>
                <w:rFonts w:ascii="宋体" w:hAnsi="宋体" w:cs="宋体" w:hint="eastAsia"/>
                <w:color w:val="000000"/>
                <w:kern w:val="0"/>
                <w:sz w:val="20"/>
                <w:szCs w:val="20"/>
              </w:rPr>
              <w:t>号）、《四川省人民政府办公厅关于实施农村义务教育学生营养改善计划地方试点工作的通知》（川办发【</w:t>
            </w:r>
            <w:r>
              <w:rPr>
                <w:rFonts w:ascii="宋体" w:hAnsi="宋体" w:cs="宋体"/>
                <w:color w:val="000000"/>
                <w:kern w:val="0"/>
                <w:sz w:val="20"/>
                <w:szCs w:val="20"/>
              </w:rPr>
              <w:t>2012</w:t>
            </w:r>
            <w:r>
              <w:rPr>
                <w:rFonts w:ascii="宋体" w:hAnsi="宋体" w:cs="宋体" w:hint="eastAsia"/>
                <w:color w:val="000000"/>
                <w:kern w:val="0"/>
                <w:sz w:val="20"/>
                <w:szCs w:val="20"/>
              </w:rPr>
              <w:t>】</w:t>
            </w:r>
            <w:r>
              <w:rPr>
                <w:rFonts w:ascii="宋体" w:hAnsi="宋体" w:cs="宋体"/>
                <w:color w:val="000000"/>
                <w:kern w:val="0"/>
                <w:sz w:val="20"/>
                <w:szCs w:val="20"/>
              </w:rPr>
              <w:t>21</w:t>
            </w:r>
            <w:r>
              <w:rPr>
                <w:rFonts w:ascii="宋体" w:hAnsi="宋体" w:cs="宋体" w:hint="eastAsia"/>
                <w:color w:val="000000"/>
                <w:kern w:val="0"/>
                <w:sz w:val="20"/>
                <w:szCs w:val="20"/>
              </w:rPr>
              <w:t>号）和省、市相关会议精神，切实改善我区农村学生营养状况，提高农村学生健康水平。</w:t>
            </w:r>
          </w:p>
        </w:tc>
        <w:tc>
          <w:tcPr>
            <w:tcW w:w="2430" w:type="pct"/>
            <w:gridSpan w:val="3"/>
            <w:vAlign w:val="center"/>
          </w:tcPr>
          <w:p w:rsidR="003E68ED" w:rsidRDefault="00F06A97">
            <w:pPr>
              <w:snapToGrid w:val="0"/>
              <w:jc w:val="left"/>
              <w:rPr>
                <w:rFonts w:ascii="宋体"/>
                <w:color w:val="000000"/>
                <w:kern w:val="0"/>
                <w:sz w:val="20"/>
                <w:szCs w:val="20"/>
              </w:rPr>
            </w:pPr>
            <w:r>
              <w:rPr>
                <w:rFonts w:ascii="宋体" w:hAnsi="宋体" w:cs="宋体"/>
                <w:color w:val="000000"/>
                <w:kern w:val="0"/>
                <w:sz w:val="20"/>
                <w:szCs w:val="20"/>
              </w:rPr>
              <w:t>20</w:t>
            </w:r>
            <w:r>
              <w:rPr>
                <w:rFonts w:ascii="宋体" w:hAnsi="宋体" w:cs="宋体" w:hint="eastAsia"/>
                <w:color w:val="000000"/>
                <w:kern w:val="0"/>
                <w:sz w:val="20"/>
                <w:szCs w:val="20"/>
              </w:rPr>
              <w:t>20度农村义务教育阶段学校营养改善计划项目实现了农村义务教育阶段学校营养改善计划全覆盖，项目受益学生588人，补助资金43.57万元，食堂供餐率达到</w:t>
            </w:r>
            <w:r>
              <w:rPr>
                <w:rFonts w:ascii="宋体" w:hAnsi="宋体" w:cs="宋体"/>
                <w:color w:val="000000"/>
                <w:kern w:val="0"/>
                <w:sz w:val="20"/>
                <w:szCs w:val="20"/>
              </w:rPr>
              <w:t>100%</w:t>
            </w:r>
            <w:r>
              <w:rPr>
                <w:rFonts w:ascii="宋体" w:hAnsi="宋体" w:cs="宋体" w:hint="eastAsia"/>
                <w:color w:val="000000"/>
                <w:kern w:val="0"/>
                <w:sz w:val="20"/>
                <w:szCs w:val="20"/>
              </w:rPr>
              <w:t>。项目目标明确、资金到位率高、资金使用规范、组织监管体系完善，项目质量达到相关行业标准，符合经济社会发展和客观实际的要求，达到预期绩效目标要求。</w:t>
            </w:r>
          </w:p>
        </w:tc>
      </w:tr>
      <w:tr w:rsidR="003E68ED">
        <w:trPr>
          <w:trHeight w:val="1275"/>
        </w:trPr>
        <w:tc>
          <w:tcPr>
            <w:tcW w:w="496" w:type="pct"/>
            <w:vMerge w:val="restar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绩效指标完成情况</w:t>
            </w:r>
          </w:p>
        </w:tc>
        <w:tc>
          <w:tcPr>
            <w:tcW w:w="252" w:type="pc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一级指标</w:t>
            </w:r>
          </w:p>
        </w:tc>
        <w:tc>
          <w:tcPr>
            <w:tcW w:w="454" w:type="pc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二级指标</w:t>
            </w:r>
          </w:p>
        </w:tc>
        <w:tc>
          <w:tcPr>
            <w:tcW w:w="1365" w:type="pc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三级指标</w:t>
            </w:r>
          </w:p>
        </w:tc>
        <w:tc>
          <w:tcPr>
            <w:tcW w:w="1198" w:type="pct"/>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1232" w:type="pct"/>
            <w:gridSpan w:val="2"/>
            <w:vAlign w:val="center"/>
          </w:tcPr>
          <w:p w:rsidR="003E68ED" w:rsidRDefault="00F06A97">
            <w:pPr>
              <w:snapToGrid w:val="0"/>
              <w:jc w:val="center"/>
              <w:rPr>
                <w:rFonts w:ascii="宋体"/>
                <w:color w:val="000000"/>
                <w:kern w:val="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3E68ED">
        <w:trPr>
          <w:trHeight w:val="800"/>
        </w:trPr>
        <w:tc>
          <w:tcPr>
            <w:tcW w:w="496" w:type="pct"/>
            <w:vMerge/>
            <w:vAlign w:val="center"/>
          </w:tcPr>
          <w:p w:rsidR="003E68ED" w:rsidRDefault="003E68ED">
            <w:pPr>
              <w:snapToGrid w:val="0"/>
              <w:jc w:val="left"/>
              <w:rPr>
                <w:rFonts w:ascii="宋体"/>
                <w:color w:val="000000"/>
                <w:kern w:val="0"/>
                <w:sz w:val="24"/>
              </w:rPr>
            </w:pPr>
          </w:p>
        </w:tc>
        <w:tc>
          <w:tcPr>
            <w:tcW w:w="252" w:type="pct"/>
            <w:vMerge w:val="restar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项目完成</w:t>
            </w:r>
          </w:p>
        </w:tc>
        <w:tc>
          <w:tcPr>
            <w:tcW w:w="454" w:type="pct"/>
            <w:vMerge w:val="restar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数量指标</w:t>
            </w: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收益学生数</w:t>
            </w:r>
          </w:p>
        </w:tc>
        <w:tc>
          <w:tcPr>
            <w:tcW w:w="1198" w:type="pct"/>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我校补助人数：585人</w:t>
            </w:r>
          </w:p>
        </w:tc>
        <w:tc>
          <w:tcPr>
            <w:tcW w:w="1232" w:type="pct"/>
            <w:gridSpan w:val="2"/>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我校实现了农村义务教学学校营养改善计划全覆盖</w:t>
            </w:r>
          </w:p>
        </w:tc>
      </w:tr>
      <w:tr w:rsidR="003E68ED">
        <w:trPr>
          <w:trHeight w:val="536"/>
        </w:trPr>
        <w:tc>
          <w:tcPr>
            <w:tcW w:w="496" w:type="pct"/>
            <w:vMerge/>
            <w:vAlign w:val="center"/>
          </w:tcPr>
          <w:p w:rsidR="003E68ED" w:rsidRDefault="003E68ED">
            <w:pPr>
              <w:snapToGrid w:val="0"/>
              <w:jc w:val="left"/>
              <w:rPr>
                <w:rFonts w:ascii="宋体"/>
                <w:color w:val="000000"/>
                <w:kern w:val="0"/>
                <w:sz w:val="24"/>
              </w:rPr>
            </w:pPr>
          </w:p>
        </w:tc>
        <w:tc>
          <w:tcPr>
            <w:tcW w:w="252" w:type="pct"/>
            <w:vMerge/>
            <w:vAlign w:val="center"/>
          </w:tcPr>
          <w:p w:rsidR="003E68ED" w:rsidRDefault="003E68ED">
            <w:pPr>
              <w:snapToGrid w:val="0"/>
              <w:jc w:val="left"/>
              <w:rPr>
                <w:rFonts w:ascii="宋体"/>
                <w:color w:val="000000"/>
                <w:kern w:val="0"/>
                <w:sz w:val="20"/>
                <w:szCs w:val="20"/>
              </w:rPr>
            </w:pPr>
          </w:p>
        </w:tc>
        <w:tc>
          <w:tcPr>
            <w:tcW w:w="454" w:type="pct"/>
            <w:vMerge/>
            <w:vAlign w:val="center"/>
          </w:tcPr>
          <w:p w:rsidR="003E68ED" w:rsidRDefault="003E68ED">
            <w:pPr>
              <w:snapToGrid w:val="0"/>
              <w:jc w:val="left"/>
              <w:rPr>
                <w:rFonts w:ascii="宋体"/>
                <w:color w:val="000000"/>
                <w:kern w:val="0"/>
                <w:sz w:val="20"/>
                <w:szCs w:val="20"/>
              </w:rPr>
            </w:pP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收益贫困家庭学生数</w:t>
            </w:r>
          </w:p>
        </w:tc>
        <w:tc>
          <w:tcPr>
            <w:tcW w:w="1198" w:type="pct"/>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建档立卡贫困户学生补助人数：28人</w:t>
            </w:r>
          </w:p>
        </w:tc>
        <w:tc>
          <w:tcPr>
            <w:tcW w:w="1232" w:type="pct"/>
            <w:gridSpan w:val="2"/>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建档立卡贫困家庭学生受益全覆盖</w:t>
            </w:r>
          </w:p>
        </w:tc>
      </w:tr>
      <w:tr w:rsidR="003E68ED">
        <w:trPr>
          <w:trHeight w:val="800"/>
        </w:trPr>
        <w:tc>
          <w:tcPr>
            <w:tcW w:w="496" w:type="pct"/>
            <w:vMerge/>
            <w:vAlign w:val="center"/>
          </w:tcPr>
          <w:p w:rsidR="003E68ED" w:rsidRDefault="003E68ED">
            <w:pPr>
              <w:snapToGrid w:val="0"/>
              <w:jc w:val="left"/>
              <w:rPr>
                <w:rFonts w:ascii="宋体"/>
                <w:color w:val="000000"/>
                <w:kern w:val="0"/>
                <w:sz w:val="24"/>
              </w:rPr>
            </w:pPr>
          </w:p>
        </w:tc>
        <w:tc>
          <w:tcPr>
            <w:tcW w:w="252" w:type="pct"/>
            <w:vMerge/>
            <w:vAlign w:val="center"/>
          </w:tcPr>
          <w:p w:rsidR="003E68ED" w:rsidRDefault="003E68ED">
            <w:pPr>
              <w:snapToGrid w:val="0"/>
              <w:jc w:val="left"/>
              <w:rPr>
                <w:rFonts w:ascii="宋体"/>
                <w:color w:val="000000"/>
                <w:kern w:val="0"/>
                <w:sz w:val="20"/>
                <w:szCs w:val="20"/>
              </w:rPr>
            </w:pPr>
          </w:p>
        </w:tc>
        <w:tc>
          <w:tcPr>
            <w:tcW w:w="454" w:type="pct"/>
            <w:vMerge w:val="restar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质量指标</w:t>
            </w: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收益学生比率</w:t>
            </w:r>
          </w:p>
        </w:tc>
        <w:tc>
          <w:tcPr>
            <w:tcW w:w="1198" w:type="pct"/>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农村中小学阶段补助人数所占比例：</w:t>
            </w:r>
            <w:r>
              <w:rPr>
                <w:rFonts w:ascii="宋体" w:hAnsi="宋体" w:cs="宋体"/>
                <w:color w:val="000000"/>
                <w:kern w:val="0"/>
                <w:sz w:val="20"/>
                <w:szCs w:val="20"/>
              </w:rPr>
              <w:t>100%</w:t>
            </w:r>
          </w:p>
        </w:tc>
        <w:tc>
          <w:tcPr>
            <w:tcW w:w="1232" w:type="pct"/>
            <w:gridSpan w:val="2"/>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我校实现了农村义务教学学校营养改善计划全覆盖</w:t>
            </w:r>
          </w:p>
        </w:tc>
      </w:tr>
      <w:tr w:rsidR="003E68ED">
        <w:trPr>
          <w:trHeight w:val="800"/>
        </w:trPr>
        <w:tc>
          <w:tcPr>
            <w:tcW w:w="496" w:type="pct"/>
            <w:vMerge/>
            <w:vAlign w:val="center"/>
          </w:tcPr>
          <w:p w:rsidR="003E68ED" w:rsidRDefault="003E68ED">
            <w:pPr>
              <w:snapToGrid w:val="0"/>
              <w:jc w:val="left"/>
              <w:rPr>
                <w:rFonts w:ascii="宋体"/>
                <w:color w:val="000000"/>
                <w:kern w:val="0"/>
                <w:sz w:val="24"/>
              </w:rPr>
            </w:pPr>
          </w:p>
        </w:tc>
        <w:tc>
          <w:tcPr>
            <w:tcW w:w="252" w:type="pct"/>
            <w:vMerge/>
            <w:vAlign w:val="center"/>
          </w:tcPr>
          <w:p w:rsidR="003E68ED" w:rsidRDefault="003E68ED">
            <w:pPr>
              <w:snapToGrid w:val="0"/>
              <w:jc w:val="left"/>
              <w:rPr>
                <w:rFonts w:ascii="宋体"/>
                <w:color w:val="000000"/>
                <w:kern w:val="0"/>
                <w:sz w:val="20"/>
                <w:szCs w:val="20"/>
              </w:rPr>
            </w:pPr>
          </w:p>
        </w:tc>
        <w:tc>
          <w:tcPr>
            <w:tcW w:w="454" w:type="pct"/>
            <w:vMerge/>
            <w:vAlign w:val="center"/>
          </w:tcPr>
          <w:p w:rsidR="003E68ED" w:rsidRDefault="003E68ED">
            <w:pPr>
              <w:snapToGrid w:val="0"/>
              <w:jc w:val="left"/>
              <w:rPr>
                <w:rFonts w:ascii="宋体"/>
                <w:color w:val="000000"/>
                <w:kern w:val="0"/>
                <w:sz w:val="20"/>
                <w:szCs w:val="20"/>
              </w:rPr>
            </w:pP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收益建档立卡家庭学生比率</w:t>
            </w:r>
          </w:p>
        </w:tc>
        <w:tc>
          <w:tcPr>
            <w:tcW w:w="1198" w:type="pct"/>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农村中小学阶段建档立卡贫困户学生补助人数所占比例：</w:t>
            </w:r>
            <w:r>
              <w:rPr>
                <w:rFonts w:ascii="宋体" w:hAnsi="宋体" w:cs="宋体"/>
                <w:color w:val="000000"/>
                <w:kern w:val="0"/>
                <w:sz w:val="20"/>
                <w:szCs w:val="20"/>
              </w:rPr>
              <w:t>100%</w:t>
            </w:r>
          </w:p>
        </w:tc>
        <w:tc>
          <w:tcPr>
            <w:tcW w:w="1232" w:type="pct"/>
            <w:gridSpan w:val="2"/>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建档立卡贫困家庭学生受益全覆盖</w:t>
            </w:r>
          </w:p>
        </w:tc>
      </w:tr>
      <w:tr w:rsidR="003E68ED">
        <w:trPr>
          <w:trHeight w:val="1063"/>
        </w:trPr>
        <w:tc>
          <w:tcPr>
            <w:tcW w:w="496" w:type="pct"/>
            <w:vMerge/>
            <w:vAlign w:val="center"/>
          </w:tcPr>
          <w:p w:rsidR="003E68ED" w:rsidRDefault="003E68ED">
            <w:pPr>
              <w:snapToGrid w:val="0"/>
              <w:jc w:val="left"/>
              <w:rPr>
                <w:rFonts w:ascii="宋体"/>
                <w:color w:val="000000"/>
                <w:kern w:val="0"/>
                <w:sz w:val="24"/>
              </w:rPr>
            </w:pPr>
          </w:p>
        </w:tc>
        <w:tc>
          <w:tcPr>
            <w:tcW w:w="252" w:type="pct"/>
            <w:vMerge/>
            <w:vAlign w:val="center"/>
          </w:tcPr>
          <w:p w:rsidR="003E68ED" w:rsidRDefault="003E68ED">
            <w:pPr>
              <w:snapToGrid w:val="0"/>
              <w:jc w:val="left"/>
              <w:rPr>
                <w:rFonts w:ascii="宋体"/>
                <w:color w:val="000000"/>
                <w:kern w:val="0"/>
                <w:sz w:val="20"/>
                <w:szCs w:val="20"/>
              </w:rPr>
            </w:pPr>
          </w:p>
        </w:tc>
        <w:tc>
          <w:tcPr>
            <w:tcW w:w="454" w:type="pct"/>
            <w:vMerge w:val="restar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社会效益</w:t>
            </w:r>
            <w:r>
              <w:rPr>
                <w:rFonts w:ascii="宋体"/>
                <w:color w:val="000000"/>
                <w:kern w:val="0"/>
                <w:sz w:val="20"/>
                <w:szCs w:val="20"/>
              </w:rPr>
              <w:br/>
            </w:r>
            <w:r>
              <w:rPr>
                <w:rFonts w:ascii="宋体" w:hAnsi="宋体" w:cs="宋体" w:hint="eastAsia"/>
                <w:color w:val="000000"/>
                <w:kern w:val="0"/>
                <w:sz w:val="20"/>
                <w:szCs w:val="20"/>
              </w:rPr>
              <w:t>指标</w:t>
            </w: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减轻贫困学生家庭负担</w:t>
            </w:r>
          </w:p>
        </w:tc>
        <w:tc>
          <w:tcPr>
            <w:tcW w:w="1198" w:type="pct"/>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减轻贫困学生家庭负担，确保农村义务教育阶段学生入学</w:t>
            </w:r>
          </w:p>
        </w:tc>
        <w:tc>
          <w:tcPr>
            <w:tcW w:w="1232" w:type="pct"/>
            <w:gridSpan w:val="2"/>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减轻了贫困家庭的经济负担，广大群众看到了变化，有了实实在在的</w:t>
            </w:r>
            <w:r>
              <w:rPr>
                <w:rFonts w:ascii="宋体" w:hAnsi="宋体" w:cs="宋体"/>
                <w:color w:val="000000"/>
                <w:kern w:val="0"/>
                <w:sz w:val="20"/>
                <w:szCs w:val="20"/>
              </w:rPr>
              <w:t>"</w:t>
            </w:r>
            <w:r>
              <w:rPr>
                <w:rFonts w:ascii="宋体" w:hAnsi="宋体" w:cs="宋体" w:hint="eastAsia"/>
                <w:color w:val="000000"/>
                <w:kern w:val="0"/>
                <w:sz w:val="20"/>
                <w:szCs w:val="20"/>
              </w:rPr>
              <w:t>获得感</w:t>
            </w:r>
            <w:r>
              <w:rPr>
                <w:rFonts w:ascii="宋体" w:hAnsi="宋体" w:cs="宋体"/>
                <w:color w:val="000000"/>
                <w:kern w:val="0"/>
                <w:sz w:val="20"/>
                <w:szCs w:val="20"/>
              </w:rPr>
              <w:t>"</w:t>
            </w:r>
            <w:r>
              <w:rPr>
                <w:rFonts w:ascii="宋体" w:hAnsi="宋体" w:cs="宋体" w:hint="eastAsia"/>
                <w:color w:val="000000"/>
                <w:kern w:val="0"/>
                <w:sz w:val="20"/>
                <w:szCs w:val="20"/>
              </w:rPr>
              <w:t>。</w:t>
            </w:r>
          </w:p>
        </w:tc>
      </w:tr>
      <w:tr w:rsidR="003E68ED">
        <w:trPr>
          <w:trHeight w:val="2118"/>
        </w:trPr>
        <w:tc>
          <w:tcPr>
            <w:tcW w:w="496" w:type="pct"/>
            <w:vMerge/>
            <w:vAlign w:val="center"/>
          </w:tcPr>
          <w:p w:rsidR="003E68ED" w:rsidRDefault="003E68ED">
            <w:pPr>
              <w:snapToGrid w:val="0"/>
              <w:jc w:val="left"/>
              <w:rPr>
                <w:rFonts w:ascii="宋体"/>
                <w:color w:val="000000"/>
                <w:kern w:val="0"/>
                <w:sz w:val="24"/>
              </w:rPr>
            </w:pPr>
          </w:p>
        </w:tc>
        <w:tc>
          <w:tcPr>
            <w:tcW w:w="252" w:type="pct"/>
            <w:vMerge/>
            <w:vAlign w:val="center"/>
          </w:tcPr>
          <w:p w:rsidR="003E68ED" w:rsidRDefault="003E68ED">
            <w:pPr>
              <w:snapToGrid w:val="0"/>
              <w:jc w:val="left"/>
              <w:rPr>
                <w:rFonts w:ascii="宋体"/>
                <w:color w:val="000000"/>
                <w:kern w:val="0"/>
                <w:sz w:val="20"/>
                <w:szCs w:val="20"/>
              </w:rPr>
            </w:pPr>
          </w:p>
        </w:tc>
        <w:tc>
          <w:tcPr>
            <w:tcW w:w="454" w:type="pct"/>
            <w:vMerge/>
            <w:vAlign w:val="center"/>
          </w:tcPr>
          <w:p w:rsidR="003E68ED" w:rsidRDefault="003E68ED">
            <w:pPr>
              <w:snapToGrid w:val="0"/>
              <w:jc w:val="left"/>
              <w:rPr>
                <w:rFonts w:ascii="宋体"/>
                <w:color w:val="000000"/>
                <w:kern w:val="0"/>
                <w:sz w:val="20"/>
                <w:szCs w:val="20"/>
              </w:rPr>
            </w:pP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提高学生身体健康水平</w:t>
            </w:r>
          </w:p>
        </w:tc>
        <w:tc>
          <w:tcPr>
            <w:tcW w:w="1198" w:type="pct"/>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全面提高学生身体健康水平</w:t>
            </w:r>
          </w:p>
        </w:tc>
        <w:tc>
          <w:tcPr>
            <w:tcW w:w="1232" w:type="pct"/>
            <w:gridSpan w:val="2"/>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从</w:t>
            </w:r>
            <w:r>
              <w:rPr>
                <w:rFonts w:ascii="宋体" w:hAnsi="宋体" w:cs="宋体"/>
                <w:color w:val="000000"/>
                <w:kern w:val="0"/>
                <w:sz w:val="20"/>
                <w:szCs w:val="20"/>
              </w:rPr>
              <w:t>20</w:t>
            </w:r>
            <w:r>
              <w:rPr>
                <w:rFonts w:ascii="宋体" w:hAnsi="宋体" w:cs="宋体" w:hint="eastAsia"/>
                <w:color w:val="000000"/>
                <w:kern w:val="0"/>
                <w:sz w:val="20"/>
                <w:szCs w:val="20"/>
              </w:rPr>
              <w:t>20年《国家学生体质健康标准》测试和学生调查问卷结果显示，与往年同期相比，农村学生平均身高、肺活量有所增加，学生肥胖现象有所减少，学习能力有所提高。</w:t>
            </w:r>
          </w:p>
        </w:tc>
      </w:tr>
      <w:tr w:rsidR="003E68ED">
        <w:trPr>
          <w:trHeight w:val="284"/>
        </w:trPr>
        <w:tc>
          <w:tcPr>
            <w:tcW w:w="496" w:type="pct"/>
            <w:vMerge/>
            <w:vAlign w:val="center"/>
          </w:tcPr>
          <w:p w:rsidR="003E68ED" w:rsidRDefault="003E68ED">
            <w:pPr>
              <w:snapToGrid w:val="0"/>
              <w:jc w:val="left"/>
              <w:rPr>
                <w:rFonts w:ascii="宋体"/>
                <w:color w:val="000000"/>
                <w:kern w:val="0"/>
                <w:sz w:val="24"/>
              </w:rPr>
            </w:pPr>
          </w:p>
        </w:tc>
        <w:tc>
          <w:tcPr>
            <w:tcW w:w="252" w:type="pct"/>
            <w:vMerge/>
            <w:vAlign w:val="center"/>
          </w:tcPr>
          <w:p w:rsidR="003E68ED" w:rsidRDefault="003E68ED">
            <w:pPr>
              <w:snapToGrid w:val="0"/>
              <w:jc w:val="left"/>
              <w:rPr>
                <w:rFonts w:ascii="宋体"/>
                <w:color w:val="000000"/>
                <w:kern w:val="0"/>
                <w:sz w:val="20"/>
                <w:szCs w:val="20"/>
              </w:rPr>
            </w:pPr>
          </w:p>
        </w:tc>
        <w:tc>
          <w:tcPr>
            <w:tcW w:w="454" w:type="pct"/>
            <w:vMerge/>
            <w:vAlign w:val="center"/>
          </w:tcPr>
          <w:p w:rsidR="003E68ED" w:rsidRDefault="003E68ED">
            <w:pPr>
              <w:snapToGrid w:val="0"/>
              <w:jc w:val="left"/>
              <w:rPr>
                <w:rFonts w:ascii="宋体"/>
                <w:color w:val="000000"/>
                <w:kern w:val="0"/>
                <w:sz w:val="20"/>
                <w:szCs w:val="20"/>
              </w:rPr>
            </w:pP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政策知晓率</w:t>
            </w:r>
          </w:p>
        </w:tc>
        <w:tc>
          <w:tcPr>
            <w:tcW w:w="1198" w:type="pct"/>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政策知晓率：</w:t>
            </w:r>
            <w:r>
              <w:rPr>
                <w:rFonts w:ascii="宋体" w:hAnsi="宋体" w:cs="宋体"/>
                <w:color w:val="000000"/>
                <w:kern w:val="0"/>
                <w:sz w:val="20"/>
                <w:szCs w:val="20"/>
              </w:rPr>
              <w:t>95%</w:t>
            </w:r>
          </w:p>
        </w:tc>
        <w:tc>
          <w:tcPr>
            <w:tcW w:w="1232" w:type="pct"/>
            <w:gridSpan w:val="2"/>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政策知晓率达</w:t>
            </w:r>
            <w:r>
              <w:rPr>
                <w:rFonts w:ascii="宋体" w:hAnsi="宋体" w:cs="宋体"/>
                <w:color w:val="000000"/>
                <w:kern w:val="0"/>
                <w:sz w:val="20"/>
                <w:szCs w:val="20"/>
              </w:rPr>
              <w:t>98%</w:t>
            </w:r>
          </w:p>
        </w:tc>
      </w:tr>
      <w:tr w:rsidR="003E68ED">
        <w:trPr>
          <w:trHeight w:val="536"/>
        </w:trPr>
        <w:tc>
          <w:tcPr>
            <w:tcW w:w="496" w:type="pct"/>
            <w:vMerge/>
            <w:vAlign w:val="center"/>
          </w:tcPr>
          <w:p w:rsidR="003E68ED" w:rsidRDefault="003E68ED">
            <w:pPr>
              <w:snapToGrid w:val="0"/>
              <w:jc w:val="left"/>
              <w:rPr>
                <w:rFonts w:ascii="宋体"/>
                <w:color w:val="000000"/>
                <w:kern w:val="0"/>
                <w:sz w:val="24"/>
              </w:rPr>
            </w:pPr>
          </w:p>
        </w:tc>
        <w:tc>
          <w:tcPr>
            <w:tcW w:w="252" w:type="pct"/>
            <w:vMerge/>
            <w:vAlign w:val="center"/>
          </w:tcPr>
          <w:p w:rsidR="003E68ED" w:rsidRDefault="003E68ED">
            <w:pPr>
              <w:snapToGrid w:val="0"/>
              <w:jc w:val="left"/>
              <w:rPr>
                <w:rFonts w:ascii="宋体"/>
                <w:color w:val="000000"/>
                <w:kern w:val="0"/>
                <w:sz w:val="20"/>
                <w:szCs w:val="20"/>
              </w:rPr>
            </w:pPr>
          </w:p>
        </w:tc>
        <w:tc>
          <w:tcPr>
            <w:tcW w:w="454" w:type="pct"/>
            <w:vMerge w:val="restar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可持续影响</w:t>
            </w:r>
            <w:r>
              <w:rPr>
                <w:rFonts w:ascii="宋体"/>
                <w:color w:val="000000"/>
                <w:kern w:val="0"/>
                <w:sz w:val="20"/>
                <w:szCs w:val="20"/>
              </w:rPr>
              <w:br/>
            </w:r>
            <w:r>
              <w:rPr>
                <w:rFonts w:ascii="宋体" w:hAnsi="宋体" w:cs="宋体" w:hint="eastAsia"/>
                <w:color w:val="000000"/>
                <w:kern w:val="0"/>
                <w:sz w:val="20"/>
                <w:szCs w:val="20"/>
              </w:rPr>
              <w:t>指标</w:t>
            </w: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小学受助年限</w:t>
            </w:r>
          </w:p>
        </w:tc>
        <w:tc>
          <w:tcPr>
            <w:tcW w:w="1198" w:type="pct"/>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小学教育阶段学生受助年限：</w:t>
            </w:r>
            <w:r>
              <w:rPr>
                <w:rFonts w:ascii="宋体" w:hAnsi="宋体" w:cs="宋体"/>
                <w:color w:val="000000"/>
                <w:kern w:val="0"/>
                <w:sz w:val="20"/>
                <w:szCs w:val="20"/>
              </w:rPr>
              <w:t>6</w:t>
            </w:r>
            <w:r>
              <w:rPr>
                <w:rFonts w:ascii="宋体" w:hAnsi="宋体" w:cs="宋体" w:hint="eastAsia"/>
                <w:color w:val="000000"/>
                <w:kern w:val="0"/>
                <w:sz w:val="20"/>
                <w:szCs w:val="20"/>
              </w:rPr>
              <w:t>年</w:t>
            </w:r>
          </w:p>
        </w:tc>
        <w:tc>
          <w:tcPr>
            <w:tcW w:w="1232" w:type="pct"/>
            <w:gridSpan w:val="2"/>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小学教育阶段学生受助年限</w:t>
            </w:r>
            <w:r>
              <w:rPr>
                <w:rFonts w:ascii="宋体" w:hAnsi="宋体" w:cs="宋体"/>
                <w:color w:val="000000"/>
                <w:kern w:val="0"/>
                <w:sz w:val="20"/>
                <w:szCs w:val="20"/>
              </w:rPr>
              <w:t>6</w:t>
            </w:r>
            <w:r>
              <w:rPr>
                <w:rFonts w:ascii="宋体" w:hAnsi="宋体" w:cs="宋体" w:hint="eastAsia"/>
                <w:color w:val="000000"/>
                <w:kern w:val="0"/>
                <w:sz w:val="20"/>
                <w:szCs w:val="20"/>
              </w:rPr>
              <w:t>年</w:t>
            </w:r>
          </w:p>
        </w:tc>
      </w:tr>
      <w:tr w:rsidR="003E68ED">
        <w:trPr>
          <w:trHeight w:val="1854"/>
        </w:trPr>
        <w:tc>
          <w:tcPr>
            <w:tcW w:w="496" w:type="pct"/>
            <w:vMerge/>
            <w:vAlign w:val="center"/>
          </w:tcPr>
          <w:p w:rsidR="003E68ED" w:rsidRDefault="003E68ED">
            <w:pPr>
              <w:snapToGrid w:val="0"/>
              <w:jc w:val="left"/>
              <w:rPr>
                <w:rFonts w:ascii="宋体"/>
                <w:color w:val="000000"/>
                <w:kern w:val="0"/>
                <w:sz w:val="24"/>
              </w:rPr>
            </w:pPr>
          </w:p>
        </w:tc>
        <w:tc>
          <w:tcPr>
            <w:tcW w:w="252" w:type="pct"/>
            <w:vMerge/>
            <w:vAlign w:val="center"/>
          </w:tcPr>
          <w:p w:rsidR="003E68ED" w:rsidRDefault="003E68ED">
            <w:pPr>
              <w:snapToGrid w:val="0"/>
              <w:jc w:val="left"/>
              <w:rPr>
                <w:rFonts w:ascii="宋体"/>
                <w:color w:val="000000"/>
                <w:kern w:val="0"/>
                <w:sz w:val="20"/>
                <w:szCs w:val="20"/>
              </w:rPr>
            </w:pPr>
          </w:p>
        </w:tc>
        <w:tc>
          <w:tcPr>
            <w:tcW w:w="454" w:type="pct"/>
            <w:vMerge/>
            <w:vAlign w:val="center"/>
          </w:tcPr>
          <w:p w:rsidR="003E68ED" w:rsidRDefault="003E68ED">
            <w:pPr>
              <w:snapToGrid w:val="0"/>
              <w:jc w:val="left"/>
              <w:rPr>
                <w:rFonts w:ascii="宋体"/>
                <w:color w:val="000000"/>
                <w:kern w:val="0"/>
                <w:sz w:val="20"/>
                <w:szCs w:val="20"/>
              </w:rPr>
            </w:pP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对社会、经济发展的持续影响</w:t>
            </w:r>
          </w:p>
        </w:tc>
        <w:tc>
          <w:tcPr>
            <w:tcW w:w="1198" w:type="pct"/>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对社会、经济发展可持续影响：</w:t>
            </w:r>
            <w:r>
              <w:rPr>
                <w:rFonts w:ascii="宋体" w:hAnsi="宋体" w:cs="宋体"/>
                <w:color w:val="000000"/>
                <w:kern w:val="0"/>
                <w:sz w:val="20"/>
                <w:szCs w:val="20"/>
              </w:rPr>
              <w:t>100%</w:t>
            </w:r>
          </w:p>
        </w:tc>
        <w:tc>
          <w:tcPr>
            <w:tcW w:w="1232" w:type="pct"/>
            <w:gridSpan w:val="2"/>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项目的实施对加快农村教育发展，促进教育公平起了积极的作用，各农村义务教育阶段学校就读学生数明显增加，有效缓解了城区学位压力。</w:t>
            </w:r>
          </w:p>
        </w:tc>
      </w:tr>
      <w:tr w:rsidR="003E68ED">
        <w:trPr>
          <w:trHeight w:val="536"/>
        </w:trPr>
        <w:tc>
          <w:tcPr>
            <w:tcW w:w="496" w:type="pct"/>
            <w:vMerge/>
            <w:vAlign w:val="center"/>
          </w:tcPr>
          <w:p w:rsidR="003E68ED" w:rsidRDefault="003E68ED">
            <w:pPr>
              <w:snapToGrid w:val="0"/>
              <w:jc w:val="left"/>
              <w:rPr>
                <w:rFonts w:ascii="宋体"/>
                <w:color w:val="000000"/>
                <w:kern w:val="0"/>
                <w:sz w:val="24"/>
              </w:rPr>
            </w:pPr>
          </w:p>
        </w:tc>
        <w:tc>
          <w:tcPr>
            <w:tcW w:w="252" w:type="pct"/>
            <w:vMerge w:val="restar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满意度指标</w:t>
            </w:r>
          </w:p>
        </w:tc>
        <w:tc>
          <w:tcPr>
            <w:tcW w:w="454" w:type="pct"/>
            <w:vMerge w:val="restar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满意度指标</w:t>
            </w: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学生满意度</w:t>
            </w:r>
          </w:p>
        </w:tc>
        <w:tc>
          <w:tcPr>
            <w:tcW w:w="1198" w:type="pct"/>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享受营养餐学生满意度：</w:t>
            </w:r>
            <w:r>
              <w:rPr>
                <w:rFonts w:ascii="宋体" w:hAnsi="宋体" w:cs="宋体"/>
                <w:color w:val="000000"/>
                <w:kern w:val="0"/>
                <w:sz w:val="20"/>
                <w:szCs w:val="20"/>
              </w:rPr>
              <w:t>85%</w:t>
            </w:r>
          </w:p>
        </w:tc>
        <w:tc>
          <w:tcPr>
            <w:tcW w:w="1232" w:type="pct"/>
            <w:gridSpan w:val="2"/>
            <w:vAlign w:val="center"/>
          </w:tcPr>
          <w:p w:rsidR="003E68ED" w:rsidRDefault="00F06A97">
            <w:pPr>
              <w:snapToGrid w:val="0"/>
              <w:jc w:val="left"/>
              <w:rPr>
                <w:rFonts w:ascii="宋体"/>
                <w:color w:val="000000"/>
                <w:kern w:val="0"/>
                <w:sz w:val="20"/>
                <w:szCs w:val="20"/>
              </w:rPr>
            </w:pPr>
            <w:r>
              <w:rPr>
                <w:rFonts w:ascii="宋体" w:hAnsi="宋体" w:cs="宋体" w:hint="eastAsia"/>
                <w:color w:val="000000"/>
                <w:kern w:val="0"/>
                <w:sz w:val="20"/>
                <w:szCs w:val="20"/>
              </w:rPr>
              <w:t>享受营养餐学生满意度</w:t>
            </w:r>
            <w:r>
              <w:rPr>
                <w:rFonts w:ascii="宋体" w:hAnsi="宋体" w:cs="宋体"/>
                <w:color w:val="000000"/>
                <w:kern w:val="0"/>
                <w:sz w:val="20"/>
                <w:szCs w:val="20"/>
              </w:rPr>
              <w:t>97%</w:t>
            </w:r>
          </w:p>
        </w:tc>
      </w:tr>
      <w:tr w:rsidR="003E68ED">
        <w:trPr>
          <w:trHeight w:val="800"/>
        </w:trPr>
        <w:tc>
          <w:tcPr>
            <w:tcW w:w="496" w:type="pct"/>
            <w:vMerge/>
            <w:vAlign w:val="center"/>
          </w:tcPr>
          <w:p w:rsidR="003E68ED" w:rsidRDefault="003E68ED">
            <w:pPr>
              <w:snapToGrid w:val="0"/>
              <w:jc w:val="left"/>
              <w:rPr>
                <w:rFonts w:ascii="宋体"/>
                <w:color w:val="000000"/>
                <w:kern w:val="0"/>
                <w:sz w:val="24"/>
              </w:rPr>
            </w:pPr>
          </w:p>
        </w:tc>
        <w:tc>
          <w:tcPr>
            <w:tcW w:w="252" w:type="pct"/>
            <w:vMerge/>
            <w:vAlign w:val="center"/>
          </w:tcPr>
          <w:p w:rsidR="003E68ED" w:rsidRDefault="003E68ED">
            <w:pPr>
              <w:snapToGrid w:val="0"/>
              <w:jc w:val="left"/>
              <w:rPr>
                <w:rFonts w:ascii="宋体"/>
                <w:color w:val="000000"/>
                <w:kern w:val="0"/>
                <w:sz w:val="20"/>
                <w:szCs w:val="20"/>
              </w:rPr>
            </w:pPr>
          </w:p>
        </w:tc>
        <w:tc>
          <w:tcPr>
            <w:tcW w:w="454" w:type="pct"/>
            <w:vMerge/>
            <w:vAlign w:val="center"/>
          </w:tcPr>
          <w:p w:rsidR="003E68ED" w:rsidRDefault="003E68ED">
            <w:pPr>
              <w:snapToGrid w:val="0"/>
              <w:jc w:val="left"/>
              <w:rPr>
                <w:rFonts w:ascii="宋体"/>
                <w:color w:val="000000"/>
                <w:kern w:val="0"/>
                <w:sz w:val="20"/>
                <w:szCs w:val="20"/>
              </w:rPr>
            </w:pPr>
          </w:p>
        </w:tc>
        <w:tc>
          <w:tcPr>
            <w:tcW w:w="1365" w:type="pct"/>
            <w:vAlign w:val="center"/>
          </w:tcPr>
          <w:p w:rsidR="003E68ED" w:rsidRDefault="00F06A97">
            <w:pPr>
              <w:snapToGrid w:val="0"/>
              <w:jc w:val="center"/>
              <w:rPr>
                <w:rFonts w:ascii="宋体"/>
                <w:color w:val="000000"/>
                <w:kern w:val="0"/>
                <w:sz w:val="20"/>
                <w:szCs w:val="20"/>
              </w:rPr>
            </w:pPr>
            <w:r>
              <w:rPr>
                <w:rFonts w:ascii="宋体" w:hAnsi="宋体" w:cs="宋体" w:hint="eastAsia"/>
                <w:color w:val="000000"/>
                <w:kern w:val="0"/>
                <w:sz w:val="20"/>
                <w:szCs w:val="20"/>
              </w:rPr>
              <w:t>家长满意度</w:t>
            </w:r>
          </w:p>
        </w:tc>
        <w:tc>
          <w:tcPr>
            <w:tcW w:w="1198" w:type="pct"/>
            <w:noWrap/>
            <w:vAlign w:val="center"/>
          </w:tcPr>
          <w:p w:rsidR="003E68ED" w:rsidRDefault="00F06A97">
            <w:pPr>
              <w:snapToGrid w:val="0"/>
              <w:jc w:val="left"/>
              <w:rPr>
                <w:rFonts w:ascii="宋体"/>
                <w:color w:val="000000"/>
                <w:kern w:val="0"/>
                <w:sz w:val="22"/>
              </w:rPr>
            </w:pPr>
            <w:r>
              <w:rPr>
                <w:rFonts w:ascii="宋体" w:hAnsi="宋体" w:cs="宋体" w:hint="eastAsia"/>
                <w:color w:val="000000"/>
                <w:kern w:val="0"/>
                <w:sz w:val="22"/>
                <w:szCs w:val="22"/>
              </w:rPr>
              <w:t>享受营养餐学生家长满意度：</w:t>
            </w:r>
            <w:r>
              <w:rPr>
                <w:rFonts w:ascii="宋体" w:hAnsi="宋体" w:cs="宋体"/>
                <w:color w:val="000000"/>
                <w:kern w:val="0"/>
                <w:sz w:val="22"/>
                <w:szCs w:val="22"/>
              </w:rPr>
              <w:t>85%</w:t>
            </w:r>
          </w:p>
        </w:tc>
        <w:tc>
          <w:tcPr>
            <w:tcW w:w="1232" w:type="pct"/>
            <w:gridSpan w:val="2"/>
            <w:noWrap/>
            <w:vAlign w:val="center"/>
          </w:tcPr>
          <w:p w:rsidR="003E68ED" w:rsidRDefault="00F06A97">
            <w:pPr>
              <w:snapToGrid w:val="0"/>
              <w:jc w:val="left"/>
              <w:rPr>
                <w:rFonts w:ascii="宋体"/>
                <w:color w:val="000000"/>
                <w:kern w:val="0"/>
                <w:sz w:val="22"/>
              </w:rPr>
            </w:pPr>
            <w:r>
              <w:rPr>
                <w:rFonts w:ascii="宋体" w:hAnsi="宋体" w:cs="宋体" w:hint="eastAsia"/>
                <w:color w:val="000000"/>
                <w:kern w:val="0"/>
                <w:sz w:val="22"/>
                <w:szCs w:val="22"/>
              </w:rPr>
              <w:t>享受营养餐学生家长满意度</w:t>
            </w:r>
            <w:r>
              <w:rPr>
                <w:rFonts w:ascii="宋体" w:hAnsi="宋体" w:cs="宋体"/>
                <w:color w:val="000000"/>
                <w:kern w:val="0"/>
                <w:sz w:val="22"/>
                <w:szCs w:val="22"/>
              </w:rPr>
              <w:t>95%</w:t>
            </w:r>
          </w:p>
        </w:tc>
      </w:tr>
    </w:tbl>
    <w:p w:rsidR="003E68ED" w:rsidRDefault="003E68ED">
      <w:pPr>
        <w:widowControl/>
        <w:jc w:val="left"/>
        <w:rPr>
          <w:rStyle w:val="10"/>
          <w:rFonts w:ascii="仿宋" w:eastAsia="仿宋" w:hAnsi="仿宋"/>
          <w:b w:val="0"/>
          <w:bCs w:val="0"/>
          <w:sz w:val="32"/>
          <w:szCs w:val="32"/>
        </w:rPr>
      </w:pPr>
    </w:p>
    <w:p w:rsidR="003E68ED" w:rsidRDefault="00F06A97">
      <w:pPr>
        <w:spacing w:line="580" w:lineRule="exact"/>
        <w:rPr>
          <w:rFonts w:ascii="仿宋" w:eastAsia="仿宋" w:hAnsi="仿宋"/>
          <w:sz w:val="32"/>
          <w:szCs w:val="32"/>
        </w:rPr>
      </w:pPr>
      <w:r>
        <w:rPr>
          <w:rFonts w:ascii="黑体" w:eastAsia="黑体" w:hAnsi="黑体"/>
          <w:sz w:val="44"/>
          <w:szCs w:val="44"/>
        </w:rPr>
        <w:br w:type="page"/>
      </w:r>
    </w:p>
    <w:p w:rsidR="003E68ED" w:rsidRDefault="00F06A97">
      <w:pPr>
        <w:spacing w:line="600" w:lineRule="exact"/>
        <w:jc w:val="center"/>
        <w:outlineLvl w:val="0"/>
        <w:rPr>
          <w:rStyle w:val="10"/>
          <w:rFonts w:ascii="方正小标宋简体" w:eastAsia="方正小标宋简体" w:hAnsi="方正小标宋简体" w:cs="方正小标宋简体"/>
          <w:b w:val="0"/>
        </w:rPr>
      </w:pPr>
      <w:bookmarkStart w:id="59" w:name="_Toc19089885"/>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五部分 附表</w:t>
      </w:r>
      <w:bookmarkEnd w:id="53"/>
      <w:bookmarkEnd w:id="59"/>
    </w:p>
    <w:p w:rsidR="003E68ED" w:rsidRDefault="003E68ED">
      <w:pPr>
        <w:snapToGrid w:val="0"/>
        <w:spacing w:line="520" w:lineRule="exact"/>
        <w:ind w:firstLineChars="200" w:firstLine="560"/>
        <w:rPr>
          <w:rFonts w:ascii="仿宋" w:eastAsia="仿宋" w:hAnsi="仿宋" w:cs="仿宋"/>
          <w:color w:val="000000"/>
          <w:sz w:val="28"/>
          <w:szCs w:val="28"/>
        </w:rPr>
      </w:pPr>
      <w:bookmarkStart w:id="60" w:name="_Toc19089886"/>
    </w:p>
    <w:p w:rsidR="003E68ED" w:rsidRDefault="00F06A97">
      <w:pPr>
        <w:snapToGrid w:val="0"/>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一、收入支出决算总表</w:t>
      </w:r>
      <w:bookmarkEnd w:id="60"/>
    </w:p>
    <w:p w:rsidR="003E68ED" w:rsidRDefault="00F06A97">
      <w:pPr>
        <w:snapToGrid w:val="0"/>
        <w:spacing w:line="520" w:lineRule="exact"/>
        <w:ind w:firstLineChars="200" w:firstLine="560"/>
        <w:rPr>
          <w:rFonts w:ascii="仿宋" w:eastAsia="仿宋" w:hAnsi="仿宋" w:cs="仿宋"/>
          <w:color w:val="000000"/>
          <w:sz w:val="28"/>
          <w:szCs w:val="28"/>
        </w:rPr>
      </w:pPr>
      <w:bookmarkStart w:id="61" w:name="_Toc19089887"/>
      <w:r>
        <w:rPr>
          <w:rFonts w:ascii="仿宋" w:eastAsia="仿宋" w:hAnsi="仿宋" w:cs="仿宋" w:hint="eastAsia"/>
          <w:color w:val="000000"/>
          <w:sz w:val="28"/>
          <w:szCs w:val="28"/>
        </w:rPr>
        <w:t>二、收入总表</w:t>
      </w:r>
      <w:bookmarkEnd w:id="61"/>
    </w:p>
    <w:p w:rsidR="003E68ED" w:rsidRDefault="00F06A97">
      <w:pPr>
        <w:snapToGrid w:val="0"/>
        <w:spacing w:line="520" w:lineRule="exact"/>
        <w:ind w:firstLineChars="200" w:firstLine="560"/>
        <w:rPr>
          <w:rFonts w:ascii="仿宋" w:eastAsia="仿宋" w:hAnsi="仿宋" w:cs="仿宋"/>
          <w:color w:val="000000"/>
          <w:sz w:val="28"/>
          <w:szCs w:val="28"/>
        </w:rPr>
      </w:pPr>
      <w:bookmarkStart w:id="62" w:name="_Toc19089888"/>
      <w:r>
        <w:rPr>
          <w:rFonts w:ascii="仿宋" w:eastAsia="仿宋" w:hAnsi="仿宋" w:cs="仿宋" w:hint="eastAsia"/>
          <w:color w:val="000000"/>
          <w:sz w:val="28"/>
          <w:szCs w:val="28"/>
        </w:rPr>
        <w:t>三、支出总表</w:t>
      </w:r>
      <w:bookmarkEnd w:id="62"/>
    </w:p>
    <w:p w:rsidR="003E68ED" w:rsidRDefault="00F06A97">
      <w:pPr>
        <w:snapToGrid w:val="0"/>
        <w:spacing w:line="520" w:lineRule="exact"/>
        <w:ind w:firstLineChars="200" w:firstLine="560"/>
        <w:rPr>
          <w:rFonts w:ascii="仿宋" w:eastAsia="仿宋" w:hAnsi="仿宋" w:cs="仿宋"/>
          <w:color w:val="000000"/>
          <w:sz w:val="28"/>
          <w:szCs w:val="28"/>
        </w:rPr>
      </w:pPr>
      <w:bookmarkStart w:id="63" w:name="_Toc19089889"/>
      <w:r>
        <w:rPr>
          <w:rFonts w:ascii="仿宋" w:eastAsia="仿宋" w:hAnsi="仿宋" w:cs="仿宋" w:hint="eastAsia"/>
          <w:color w:val="000000"/>
          <w:sz w:val="28"/>
          <w:szCs w:val="28"/>
        </w:rPr>
        <w:t>四、财政拨款收入支出决算总表</w:t>
      </w:r>
      <w:bookmarkEnd w:id="63"/>
    </w:p>
    <w:p w:rsidR="003E68ED" w:rsidRDefault="00F06A97">
      <w:pPr>
        <w:snapToGrid w:val="0"/>
        <w:spacing w:line="520" w:lineRule="exact"/>
        <w:ind w:firstLineChars="200" w:firstLine="560"/>
        <w:rPr>
          <w:rFonts w:ascii="仿宋" w:eastAsia="仿宋" w:hAnsi="仿宋" w:cs="仿宋"/>
          <w:color w:val="000000"/>
          <w:sz w:val="28"/>
          <w:szCs w:val="28"/>
        </w:rPr>
      </w:pPr>
      <w:bookmarkStart w:id="64" w:name="_Toc19089890"/>
      <w:r>
        <w:rPr>
          <w:rFonts w:ascii="仿宋" w:eastAsia="仿宋" w:hAnsi="仿宋" w:cs="仿宋" w:hint="eastAsia"/>
          <w:color w:val="000000"/>
          <w:sz w:val="28"/>
          <w:szCs w:val="28"/>
        </w:rPr>
        <w:t>五、财政拨款支出决算明细表（政府经济分类科目）</w:t>
      </w:r>
      <w:bookmarkEnd w:id="64"/>
    </w:p>
    <w:p w:rsidR="003E68ED" w:rsidRDefault="00F06A97">
      <w:pPr>
        <w:snapToGrid w:val="0"/>
        <w:spacing w:line="520" w:lineRule="exact"/>
        <w:ind w:firstLineChars="200" w:firstLine="560"/>
        <w:rPr>
          <w:rFonts w:ascii="仿宋" w:eastAsia="仿宋" w:hAnsi="仿宋" w:cs="仿宋"/>
          <w:color w:val="000000"/>
          <w:sz w:val="28"/>
          <w:szCs w:val="28"/>
        </w:rPr>
      </w:pPr>
      <w:bookmarkStart w:id="65" w:name="_Toc19089891"/>
      <w:r>
        <w:rPr>
          <w:rFonts w:ascii="仿宋" w:eastAsia="仿宋" w:hAnsi="仿宋" w:cs="仿宋" w:hint="eastAsia"/>
          <w:color w:val="000000"/>
          <w:sz w:val="28"/>
          <w:szCs w:val="28"/>
        </w:rPr>
        <w:t>六、一般公共预算财政拨款支出决算表</w:t>
      </w:r>
      <w:bookmarkEnd w:id="65"/>
    </w:p>
    <w:p w:rsidR="003E68ED" w:rsidRDefault="00F06A97">
      <w:pPr>
        <w:snapToGrid w:val="0"/>
        <w:spacing w:line="520" w:lineRule="exact"/>
        <w:ind w:firstLineChars="200" w:firstLine="560"/>
        <w:rPr>
          <w:rFonts w:ascii="仿宋" w:eastAsia="仿宋" w:hAnsi="仿宋" w:cs="仿宋"/>
          <w:color w:val="000000"/>
          <w:sz w:val="28"/>
          <w:szCs w:val="28"/>
        </w:rPr>
      </w:pPr>
      <w:bookmarkStart w:id="66" w:name="_Toc19089892"/>
      <w:r>
        <w:rPr>
          <w:rFonts w:ascii="仿宋" w:eastAsia="仿宋" w:hAnsi="仿宋" w:cs="仿宋" w:hint="eastAsia"/>
          <w:color w:val="000000"/>
          <w:sz w:val="28"/>
          <w:szCs w:val="28"/>
        </w:rPr>
        <w:t>七、一般公共预算财政拨款支出决算明细表</w:t>
      </w:r>
      <w:bookmarkEnd w:id="66"/>
    </w:p>
    <w:p w:rsidR="003E68ED" w:rsidRDefault="00F06A97">
      <w:pPr>
        <w:snapToGrid w:val="0"/>
        <w:spacing w:line="520" w:lineRule="exact"/>
        <w:ind w:firstLineChars="200" w:firstLine="560"/>
        <w:rPr>
          <w:rFonts w:ascii="仿宋" w:eastAsia="仿宋" w:hAnsi="仿宋" w:cs="仿宋"/>
          <w:color w:val="000000"/>
          <w:sz w:val="28"/>
          <w:szCs w:val="28"/>
        </w:rPr>
      </w:pPr>
      <w:bookmarkStart w:id="67" w:name="_Toc19089893"/>
      <w:r>
        <w:rPr>
          <w:rFonts w:ascii="仿宋" w:eastAsia="仿宋" w:hAnsi="仿宋" w:cs="仿宋" w:hint="eastAsia"/>
          <w:color w:val="000000"/>
          <w:sz w:val="28"/>
          <w:szCs w:val="28"/>
        </w:rPr>
        <w:t>八、一般公共预算财政拨款基本支出决算表</w:t>
      </w:r>
      <w:bookmarkEnd w:id="67"/>
    </w:p>
    <w:p w:rsidR="003E68ED" w:rsidRDefault="00F06A97">
      <w:pPr>
        <w:snapToGrid w:val="0"/>
        <w:spacing w:line="520" w:lineRule="exact"/>
        <w:ind w:firstLineChars="200" w:firstLine="560"/>
        <w:rPr>
          <w:rFonts w:ascii="仿宋" w:eastAsia="仿宋" w:hAnsi="仿宋" w:cs="仿宋"/>
          <w:color w:val="000000"/>
          <w:sz w:val="28"/>
          <w:szCs w:val="28"/>
        </w:rPr>
      </w:pPr>
      <w:bookmarkStart w:id="68" w:name="_Toc19089894"/>
      <w:r>
        <w:rPr>
          <w:rFonts w:ascii="仿宋" w:eastAsia="仿宋" w:hAnsi="仿宋" w:cs="仿宋" w:hint="eastAsia"/>
          <w:color w:val="000000"/>
          <w:sz w:val="28"/>
          <w:szCs w:val="28"/>
        </w:rPr>
        <w:t>九、一般公共预算财政拨款项目支出决算表</w:t>
      </w:r>
      <w:bookmarkEnd w:id="68"/>
    </w:p>
    <w:p w:rsidR="003E68ED" w:rsidRDefault="00F06A97">
      <w:pPr>
        <w:snapToGrid w:val="0"/>
        <w:spacing w:line="520" w:lineRule="exact"/>
        <w:ind w:firstLineChars="200" w:firstLine="560"/>
        <w:rPr>
          <w:rFonts w:ascii="仿宋" w:eastAsia="仿宋" w:hAnsi="仿宋" w:cs="仿宋"/>
          <w:color w:val="000000"/>
          <w:sz w:val="28"/>
          <w:szCs w:val="28"/>
        </w:rPr>
      </w:pPr>
      <w:bookmarkStart w:id="69" w:name="_Toc19089895"/>
      <w:r>
        <w:rPr>
          <w:rFonts w:ascii="仿宋" w:eastAsia="仿宋" w:hAnsi="仿宋" w:cs="仿宋" w:hint="eastAsia"/>
          <w:color w:val="000000"/>
          <w:sz w:val="28"/>
          <w:szCs w:val="28"/>
        </w:rPr>
        <w:t>十、一般公共预算财政拨款“三公”经费支出决算表</w:t>
      </w:r>
      <w:bookmarkEnd w:id="69"/>
    </w:p>
    <w:p w:rsidR="003E68ED" w:rsidRDefault="00F06A97">
      <w:pPr>
        <w:snapToGrid w:val="0"/>
        <w:spacing w:line="520" w:lineRule="exact"/>
        <w:ind w:firstLineChars="200" w:firstLine="560"/>
        <w:rPr>
          <w:rFonts w:ascii="仿宋" w:eastAsia="仿宋" w:hAnsi="仿宋" w:cs="仿宋"/>
          <w:color w:val="000000"/>
          <w:sz w:val="28"/>
          <w:szCs w:val="28"/>
        </w:rPr>
      </w:pPr>
      <w:bookmarkStart w:id="70" w:name="_Toc19089896"/>
      <w:r>
        <w:rPr>
          <w:rFonts w:ascii="仿宋" w:eastAsia="仿宋" w:hAnsi="仿宋" w:cs="仿宋" w:hint="eastAsia"/>
          <w:color w:val="000000"/>
          <w:sz w:val="28"/>
          <w:szCs w:val="28"/>
        </w:rPr>
        <w:t>十一、政府性基金预算财政拨款收入支出决算表</w:t>
      </w:r>
      <w:bookmarkEnd w:id="70"/>
    </w:p>
    <w:p w:rsidR="003E68ED" w:rsidRDefault="00F06A97">
      <w:pPr>
        <w:snapToGrid w:val="0"/>
        <w:spacing w:line="520" w:lineRule="exact"/>
        <w:ind w:firstLineChars="200" w:firstLine="560"/>
        <w:rPr>
          <w:rFonts w:ascii="仿宋" w:eastAsia="仿宋" w:hAnsi="仿宋" w:cs="仿宋"/>
          <w:color w:val="000000"/>
          <w:sz w:val="28"/>
          <w:szCs w:val="28"/>
        </w:rPr>
      </w:pPr>
      <w:bookmarkStart w:id="71" w:name="_Toc19089897"/>
      <w:r>
        <w:rPr>
          <w:rFonts w:ascii="仿宋" w:eastAsia="仿宋" w:hAnsi="仿宋" w:cs="仿宋" w:hint="eastAsia"/>
          <w:color w:val="000000"/>
          <w:sz w:val="28"/>
          <w:szCs w:val="28"/>
        </w:rPr>
        <w:t>十二、政府性基金预算财政拨款“三公”经费支出决算表</w:t>
      </w:r>
      <w:bookmarkEnd w:id="71"/>
    </w:p>
    <w:p w:rsidR="003E68ED" w:rsidRDefault="00F06A97">
      <w:pPr>
        <w:snapToGrid w:val="0"/>
        <w:spacing w:line="520" w:lineRule="exact"/>
        <w:ind w:firstLineChars="200" w:firstLine="560"/>
        <w:rPr>
          <w:rFonts w:ascii="仿宋" w:eastAsia="仿宋" w:hAnsi="仿宋" w:cs="仿宋"/>
          <w:color w:val="000000"/>
          <w:sz w:val="28"/>
          <w:szCs w:val="28"/>
        </w:rPr>
      </w:pPr>
      <w:bookmarkStart w:id="72" w:name="_Toc19089898"/>
      <w:r>
        <w:rPr>
          <w:rFonts w:ascii="仿宋" w:eastAsia="仿宋" w:hAnsi="仿宋" w:cs="仿宋" w:hint="eastAsia"/>
          <w:color w:val="000000"/>
          <w:sz w:val="28"/>
          <w:szCs w:val="28"/>
        </w:rPr>
        <w:t>十三、国有资本经营预算支出决算表</w:t>
      </w:r>
      <w:bookmarkEnd w:id="72"/>
    </w:p>
    <w:sectPr w:rsidR="003E68ED">
      <w:headerReference w:type="default" r:id="rId15"/>
      <w:footerReference w:type="default" r:id="rId16"/>
      <w:pgSz w:w="11906" w:h="16838"/>
      <w:pgMar w:top="1701" w:right="1474" w:bottom="1701" w:left="158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7B6" w:rsidRDefault="004D47B6">
      <w:r>
        <w:separator/>
      </w:r>
    </w:p>
  </w:endnote>
  <w:endnote w:type="continuationSeparator" w:id="0">
    <w:p w:rsidR="004D47B6" w:rsidRDefault="004D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3E68ED" w:rsidRDefault="00F06A97">
        <w:pPr>
          <w:pStyle w:val="a7"/>
          <w:jc w:val="cente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42431B" w:rsidRPr="0042431B">
          <w:rPr>
            <w:rFonts w:ascii="宋体" w:hAnsi="宋体" w:cs="宋体"/>
            <w:noProof/>
            <w:sz w:val="24"/>
            <w:szCs w:val="24"/>
            <w:lang w:val="zh-CN"/>
          </w:rPr>
          <w:t>24</w:t>
        </w:r>
        <w:r>
          <w:rPr>
            <w:rFonts w:ascii="宋体" w:hAnsi="宋体" w:cs="宋体" w:hint="eastAsia"/>
            <w:sz w:val="24"/>
            <w:szCs w:val="24"/>
            <w:lang w:val="zh-CN"/>
          </w:rPr>
          <w:fldChar w:fldCharType="end"/>
        </w:r>
      </w:p>
    </w:sdtContent>
  </w:sdt>
  <w:p w:rsidR="003E68ED" w:rsidRDefault="003E68E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7B6" w:rsidRDefault="004D47B6">
      <w:r>
        <w:separator/>
      </w:r>
    </w:p>
  </w:footnote>
  <w:footnote w:type="continuationSeparator" w:id="0">
    <w:p w:rsidR="004D47B6" w:rsidRDefault="004D47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ED" w:rsidRDefault="003E68ED">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15:restartNumberingAfterBreak="0">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2573E"/>
    <w:rsid w:val="0014729F"/>
    <w:rsid w:val="00157BAB"/>
    <w:rsid w:val="001614F6"/>
    <w:rsid w:val="001654D1"/>
    <w:rsid w:val="0018106D"/>
    <w:rsid w:val="001877A7"/>
    <w:rsid w:val="00191536"/>
    <w:rsid w:val="00196687"/>
    <w:rsid w:val="001B436B"/>
    <w:rsid w:val="001B73A2"/>
    <w:rsid w:val="001C0962"/>
    <w:rsid w:val="001D7531"/>
    <w:rsid w:val="001E737D"/>
    <w:rsid w:val="001F0592"/>
    <w:rsid w:val="001F611E"/>
    <w:rsid w:val="001F7506"/>
    <w:rsid w:val="002006CD"/>
    <w:rsid w:val="002008E8"/>
    <w:rsid w:val="00202B36"/>
    <w:rsid w:val="00204B7A"/>
    <w:rsid w:val="0021101A"/>
    <w:rsid w:val="00220536"/>
    <w:rsid w:val="002256AE"/>
    <w:rsid w:val="00235629"/>
    <w:rsid w:val="002473EE"/>
    <w:rsid w:val="00260C38"/>
    <w:rsid w:val="002616C0"/>
    <w:rsid w:val="002662AA"/>
    <w:rsid w:val="00280496"/>
    <w:rsid w:val="0029005F"/>
    <w:rsid w:val="00295495"/>
    <w:rsid w:val="002B2613"/>
    <w:rsid w:val="002E1C32"/>
    <w:rsid w:val="002F1818"/>
    <w:rsid w:val="002F567B"/>
    <w:rsid w:val="002F57C4"/>
    <w:rsid w:val="00303037"/>
    <w:rsid w:val="003216A9"/>
    <w:rsid w:val="00324C77"/>
    <w:rsid w:val="00325CAD"/>
    <w:rsid w:val="0037013F"/>
    <w:rsid w:val="00380C92"/>
    <w:rsid w:val="003A484F"/>
    <w:rsid w:val="003B0BE0"/>
    <w:rsid w:val="003B0C1B"/>
    <w:rsid w:val="003B0ED3"/>
    <w:rsid w:val="003B688C"/>
    <w:rsid w:val="003C0291"/>
    <w:rsid w:val="003C39AE"/>
    <w:rsid w:val="003C7B60"/>
    <w:rsid w:val="003D1FB2"/>
    <w:rsid w:val="003D66DA"/>
    <w:rsid w:val="003E1310"/>
    <w:rsid w:val="003E68ED"/>
    <w:rsid w:val="003E6F55"/>
    <w:rsid w:val="00406254"/>
    <w:rsid w:val="00411822"/>
    <w:rsid w:val="00414396"/>
    <w:rsid w:val="004223DE"/>
    <w:rsid w:val="0042431B"/>
    <w:rsid w:val="00434489"/>
    <w:rsid w:val="00437085"/>
    <w:rsid w:val="00443880"/>
    <w:rsid w:val="004464F4"/>
    <w:rsid w:val="0045311B"/>
    <w:rsid w:val="00471401"/>
    <w:rsid w:val="0047387D"/>
    <w:rsid w:val="00473F31"/>
    <w:rsid w:val="0048263A"/>
    <w:rsid w:val="00487E5D"/>
    <w:rsid w:val="004A55C6"/>
    <w:rsid w:val="004A711F"/>
    <w:rsid w:val="004B199D"/>
    <w:rsid w:val="004B4690"/>
    <w:rsid w:val="004D47B6"/>
    <w:rsid w:val="004E0A2D"/>
    <w:rsid w:val="004E206B"/>
    <w:rsid w:val="004E6DF7"/>
    <w:rsid w:val="004F0FBD"/>
    <w:rsid w:val="00505A47"/>
    <w:rsid w:val="00512FDA"/>
    <w:rsid w:val="00520DA0"/>
    <w:rsid w:val="005664BB"/>
    <w:rsid w:val="0057481D"/>
    <w:rsid w:val="0058486E"/>
    <w:rsid w:val="005D1C8B"/>
    <w:rsid w:val="005D55F1"/>
    <w:rsid w:val="005D5CED"/>
    <w:rsid w:val="005E48A2"/>
    <w:rsid w:val="005E71CA"/>
    <w:rsid w:val="005F1A4C"/>
    <w:rsid w:val="005F4E6B"/>
    <w:rsid w:val="00605688"/>
    <w:rsid w:val="006070AF"/>
    <w:rsid w:val="00607E6C"/>
    <w:rsid w:val="006101B1"/>
    <w:rsid w:val="00614E44"/>
    <w:rsid w:val="00622830"/>
    <w:rsid w:val="00630AEF"/>
    <w:rsid w:val="006325F8"/>
    <w:rsid w:val="00634C9A"/>
    <w:rsid w:val="006440E4"/>
    <w:rsid w:val="00650E90"/>
    <w:rsid w:val="0066343B"/>
    <w:rsid w:val="00664777"/>
    <w:rsid w:val="006748A4"/>
    <w:rsid w:val="00683E73"/>
    <w:rsid w:val="006A3141"/>
    <w:rsid w:val="006A48F2"/>
    <w:rsid w:val="006A5E34"/>
    <w:rsid w:val="006B2422"/>
    <w:rsid w:val="006B29CD"/>
    <w:rsid w:val="006B2B9A"/>
    <w:rsid w:val="006C1937"/>
    <w:rsid w:val="006C2699"/>
    <w:rsid w:val="006D3045"/>
    <w:rsid w:val="006D59A7"/>
    <w:rsid w:val="006F020C"/>
    <w:rsid w:val="007127B7"/>
    <w:rsid w:val="007416B6"/>
    <w:rsid w:val="00742BDF"/>
    <w:rsid w:val="00746F48"/>
    <w:rsid w:val="0075404D"/>
    <w:rsid w:val="0076182A"/>
    <w:rsid w:val="0076670D"/>
    <w:rsid w:val="00767B7E"/>
    <w:rsid w:val="007718F7"/>
    <w:rsid w:val="007770C3"/>
    <w:rsid w:val="00784C7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27F36"/>
    <w:rsid w:val="008358A3"/>
    <w:rsid w:val="0083706E"/>
    <w:rsid w:val="008423A5"/>
    <w:rsid w:val="00850625"/>
    <w:rsid w:val="0085120C"/>
    <w:rsid w:val="00853718"/>
    <w:rsid w:val="00855221"/>
    <w:rsid w:val="00860645"/>
    <w:rsid w:val="00867BDE"/>
    <w:rsid w:val="00871F71"/>
    <w:rsid w:val="008770E7"/>
    <w:rsid w:val="00883FD9"/>
    <w:rsid w:val="00885AF4"/>
    <w:rsid w:val="0089274D"/>
    <w:rsid w:val="008939CD"/>
    <w:rsid w:val="008976FF"/>
    <w:rsid w:val="008A53C3"/>
    <w:rsid w:val="008B6442"/>
    <w:rsid w:val="008B768C"/>
    <w:rsid w:val="008C4DB1"/>
    <w:rsid w:val="008C4EAF"/>
    <w:rsid w:val="008C5176"/>
    <w:rsid w:val="008C7FD0"/>
    <w:rsid w:val="008D105F"/>
    <w:rsid w:val="008E1DE7"/>
    <w:rsid w:val="008E707C"/>
    <w:rsid w:val="008F4458"/>
    <w:rsid w:val="00900B08"/>
    <w:rsid w:val="00902155"/>
    <w:rsid w:val="00902FA3"/>
    <w:rsid w:val="0090449B"/>
    <w:rsid w:val="00920912"/>
    <w:rsid w:val="00923564"/>
    <w:rsid w:val="0092392E"/>
    <w:rsid w:val="009315F9"/>
    <w:rsid w:val="00942691"/>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04BE"/>
    <w:rsid w:val="009F1185"/>
    <w:rsid w:val="009F18CD"/>
    <w:rsid w:val="009F2A13"/>
    <w:rsid w:val="00A0499B"/>
    <w:rsid w:val="00A04EB0"/>
    <w:rsid w:val="00A11484"/>
    <w:rsid w:val="00A13CC1"/>
    <w:rsid w:val="00A16847"/>
    <w:rsid w:val="00A237D8"/>
    <w:rsid w:val="00A268C4"/>
    <w:rsid w:val="00A307CD"/>
    <w:rsid w:val="00A40164"/>
    <w:rsid w:val="00A40A00"/>
    <w:rsid w:val="00A4142F"/>
    <w:rsid w:val="00A56DF2"/>
    <w:rsid w:val="00A67AB5"/>
    <w:rsid w:val="00A81E14"/>
    <w:rsid w:val="00A91760"/>
    <w:rsid w:val="00A93B00"/>
    <w:rsid w:val="00A93C21"/>
    <w:rsid w:val="00AA4B2D"/>
    <w:rsid w:val="00AB0CE4"/>
    <w:rsid w:val="00AB434E"/>
    <w:rsid w:val="00AC3C6A"/>
    <w:rsid w:val="00AD482B"/>
    <w:rsid w:val="00AD5620"/>
    <w:rsid w:val="00AD7C1B"/>
    <w:rsid w:val="00AE16BA"/>
    <w:rsid w:val="00AE1EBE"/>
    <w:rsid w:val="00AF3EEA"/>
    <w:rsid w:val="00B02674"/>
    <w:rsid w:val="00B03C9D"/>
    <w:rsid w:val="00B060AE"/>
    <w:rsid w:val="00B10517"/>
    <w:rsid w:val="00B14E76"/>
    <w:rsid w:val="00B161B8"/>
    <w:rsid w:val="00B2048C"/>
    <w:rsid w:val="00B310B9"/>
    <w:rsid w:val="00B35F3F"/>
    <w:rsid w:val="00B36CBB"/>
    <w:rsid w:val="00B425E0"/>
    <w:rsid w:val="00B42E62"/>
    <w:rsid w:val="00B440AA"/>
    <w:rsid w:val="00B44B70"/>
    <w:rsid w:val="00B53C56"/>
    <w:rsid w:val="00B77EA6"/>
    <w:rsid w:val="00B81598"/>
    <w:rsid w:val="00B841F1"/>
    <w:rsid w:val="00B944D6"/>
    <w:rsid w:val="00BB4DF0"/>
    <w:rsid w:val="00BC058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A591A"/>
    <w:rsid w:val="00CC09B6"/>
    <w:rsid w:val="00CC666F"/>
    <w:rsid w:val="00CD1E3F"/>
    <w:rsid w:val="00CD4210"/>
    <w:rsid w:val="00CE44F6"/>
    <w:rsid w:val="00CE49DA"/>
    <w:rsid w:val="00CE7B61"/>
    <w:rsid w:val="00D00095"/>
    <w:rsid w:val="00D20620"/>
    <w:rsid w:val="00D26091"/>
    <w:rsid w:val="00D34E7C"/>
    <w:rsid w:val="00D35489"/>
    <w:rsid w:val="00D51276"/>
    <w:rsid w:val="00D65988"/>
    <w:rsid w:val="00D7035F"/>
    <w:rsid w:val="00D801B2"/>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46DA2"/>
    <w:rsid w:val="00E50624"/>
    <w:rsid w:val="00E568DF"/>
    <w:rsid w:val="00E56E47"/>
    <w:rsid w:val="00E64269"/>
    <w:rsid w:val="00E82267"/>
    <w:rsid w:val="00E840C6"/>
    <w:rsid w:val="00E8791C"/>
    <w:rsid w:val="00EA010F"/>
    <w:rsid w:val="00EA1DBA"/>
    <w:rsid w:val="00EB57DD"/>
    <w:rsid w:val="00ED1B63"/>
    <w:rsid w:val="00ED3C1F"/>
    <w:rsid w:val="00ED4085"/>
    <w:rsid w:val="00ED420E"/>
    <w:rsid w:val="00ED7024"/>
    <w:rsid w:val="00EE2F57"/>
    <w:rsid w:val="00EE34D4"/>
    <w:rsid w:val="00EF4C34"/>
    <w:rsid w:val="00EF77C6"/>
    <w:rsid w:val="00F05438"/>
    <w:rsid w:val="00F06A97"/>
    <w:rsid w:val="00F1361C"/>
    <w:rsid w:val="00F160C7"/>
    <w:rsid w:val="00F222A1"/>
    <w:rsid w:val="00F32E9D"/>
    <w:rsid w:val="00F36D8F"/>
    <w:rsid w:val="00F417B1"/>
    <w:rsid w:val="00F45324"/>
    <w:rsid w:val="00F602DF"/>
    <w:rsid w:val="00F615A2"/>
    <w:rsid w:val="00F81FD9"/>
    <w:rsid w:val="00F841AA"/>
    <w:rsid w:val="00FA23E8"/>
    <w:rsid w:val="00FC0D7B"/>
    <w:rsid w:val="00FC4AE6"/>
    <w:rsid w:val="00FD3CC1"/>
    <w:rsid w:val="00FD4A6A"/>
    <w:rsid w:val="00FD5BE1"/>
    <w:rsid w:val="00FF1E02"/>
    <w:rsid w:val="00FF30B4"/>
    <w:rsid w:val="01907C74"/>
    <w:rsid w:val="0B851C5D"/>
    <w:rsid w:val="10C055FF"/>
    <w:rsid w:val="16BB723D"/>
    <w:rsid w:val="18725518"/>
    <w:rsid w:val="1BF15163"/>
    <w:rsid w:val="1E147BE1"/>
    <w:rsid w:val="1F3056DB"/>
    <w:rsid w:val="240371BF"/>
    <w:rsid w:val="2911714A"/>
    <w:rsid w:val="29FD04D3"/>
    <w:rsid w:val="319F7F4E"/>
    <w:rsid w:val="39233B37"/>
    <w:rsid w:val="409501C5"/>
    <w:rsid w:val="48384D73"/>
    <w:rsid w:val="53C52CC6"/>
    <w:rsid w:val="6324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10EC20D"/>
  <w15:docId w15:val="{76EF7AEC-50C5-40CA-AC9A-FAAE4F37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rPr>
      <w:rFonts w:ascii="仿宋" w:eastAsia="仿宋" w:hAnsi="仿宋"/>
      <w:sz w:val="32"/>
      <w:szCs w:val="32"/>
    </w:rPr>
  </w:style>
  <w:style w:type="character" w:styleId="ab">
    <w:name w:val="Strong"/>
    <w:basedOn w:val="a0"/>
    <w:uiPriority w:val="99"/>
    <w:qFormat/>
    <w:rPr>
      <w:b/>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5192">
      <w:bodyDiv w:val="1"/>
      <w:marLeft w:val="0"/>
      <w:marRight w:val="0"/>
      <w:marTop w:val="0"/>
      <w:marBottom w:val="0"/>
      <w:divBdr>
        <w:top w:val="none" w:sz="0" w:space="0" w:color="auto"/>
        <w:left w:val="none" w:sz="0" w:space="0" w:color="auto"/>
        <w:bottom w:val="none" w:sz="0" w:space="0" w:color="auto"/>
        <w:right w:val="none" w:sz="0" w:space="0" w:color="auto"/>
      </w:divBdr>
    </w:div>
    <w:div w:id="211656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87302604511305E-2"/>
          <c:y val="2.5190999731844702E-2"/>
          <c:w val="0.87448633091342798"/>
          <c:h val="0.84747519563150597"/>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501E-17"/>
                  <c:y val="1.6528925619834701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3F8F-4612-BFE3-C50B3452D8A9}"/>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2019年</c:v>
                </c:pt>
              </c:strCache>
            </c:strRef>
          </c:cat>
          <c:val>
            <c:numRef>
              <c:f>Sheet1!$B$2:$B$3</c:f>
              <c:numCache>
                <c:formatCode>General</c:formatCode>
                <c:ptCount val="2"/>
                <c:pt idx="0">
                  <c:v>706.45</c:v>
                </c:pt>
                <c:pt idx="1">
                  <c:v>634.67999999999995</c:v>
                </c:pt>
              </c:numCache>
            </c:numRef>
          </c:val>
          <c:extLst>
            <c:ext xmlns:c16="http://schemas.microsoft.com/office/drawing/2014/chart" uri="{C3380CC4-5D6E-409C-BE32-E72D297353CC}">
              <c16:uniqueId val="{00000001-3F8F-4612-BFE3-C50B3452D8A9}"/>
            </c:ext>
          </c:extLst>
        </c:ser>
        <c:ser>
          <c:idx val="1"/>
          <c:order val="1"/>
          <c:tx>
            <c:strRef>
              <c:f>Sheet1!$C$1</c:f>
              <c:strCache>
                <c:ptCount val="1"/>
                <c:pt idx="0">
                  <c:v>财政拨款支出</c:v>
                </c:pt>
              </c:strCache>
            </c:strRef>
          </c:tx>
          <c:invertIfNegative val="0"/>
          <c:dLbls>
            <c:dLbl>
              <c:idx val="0"/>
              <c:layout>
                <c:manualLayout>
                  <c:x val="2.8880866425992802E-2"/>
                  <c:y val="0"/>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3F8F-4612-BFE3-C50B3452D8A9}"/>
                </c:ext>
              </c:extLst>
            </c:dLbl>
            <c:dLbl>
              <c:idx val="1"/>
              <c:layout>
                <c:manualLayout>
                  <c:x val="1.9253910950661899E-2"/>
                  <c:y val="-8.2644628099173695E-3"/>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3F8F-4612-BFE3-C50B3452D8A9}"/>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2019年</c:v>
                </c:pt>
              </c:strCache>
            </c:strRef>
          </c:cat>
          <c:val>
            <c:numRef>
              <c:f>Sheet1!$C$2:$C$3</c:f>
              <c:numCache>
                <c:formatCode>General</c:formatCode>
                <c:ptCount val="2"/>
                <c:pt idx="0">
                  <c:v>722.53</c:v>
                </c:pt>
                <c:pt idx="1">
                  <c:v>621.78</c:v>
                </c:pt>
              </c:numCache>
            </c:numRef>
          </c:val>
          <c:extLst>
            <c:ext xmlns:c16="http://schemas.microsoft.com/office/drawing/2014/chart" uri="{C3380CC4-5D6E-409C-BE32-E72D297353CC}">
              <c16:uniqueId val="{00000004-3F8F-4612-BFE3-C50B3452D8A9}"/>
            </c:ext>
          </c:extLst>
        </c:ser>
        <c:dLbls>
          <c:showLegendKey val="0"/>
          <c:showVal val="0"/>
          <c:showCatName val="0"/>
          <c:showSerName val="0"/>
          <c:showPercent val="0"/>
          <c:showBubbleSize val="0"/>
        </c:dLbls>
        <c:gapWidth val="150"/>
        <c:axId val="408347776"/>
        <c:axId val="410023424"/>
      </c:barChart>
      <c:catAx>
        <c:axId val="40834777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0023424"/>
        <c:crosses val="autoZero"/>
        <c:auto val="1"/>
        <c:lblAlgn val="ctr"/>
        <c:lblOffset val="100"/>
        <c:noMultiLvlLbl val="0"/>
      </c:catAx>
      <c:valAx>
        <c:axId val="4100234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0834777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收入额（万元）</c:v>
                </c:pt>
              </c:strCache>
            </c:strRef>
          </c:tx>
          <c:dPt>
            <c:idx val="0"/>
            <c:bubble3D val="0"/>
            <c:extLst>
              <c:ext xmlns:c16="http://schemas.microsoft.com/office/drawing/2014/chart" uri="{C3380CC4-5D6E-409C-BE32-E72D297353CC}">
                <c16:uniqueId val="{00000000-7776-4179-8EE0-390D92CA5D4A}"/>
              </c:ext>
            </c:extLst>
          </c:dPt>
          <c:dPt>
            <c:idx val="1"/>
            <c:bubble3D val="0"/>
            <c:extLst>
              <c:ext xmlns:c16="http://schemas.microsoft.com/office/drawing/2014/chart" uri="{C3380CC4-5D6E-409C-BE32-E72D297353CC}">
                <c16:uniqueId val="{00000001-7776-4179-8EE0-390D92CA5D4A}"/>
              </c:ext>
            </c:extLst>
          </c:dPt>
          <c:dLbls>
            <c:dLbl>
              <c:idx val="1"/>
              <c:layout>
                <c:manualLayout>
                  <c:x val="-0.20116055894580101"/>
                  <c:y val="1.927750773087200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776-4179-8EE0-390D92CA5D4A}"/>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一般公共预算财政拨款收入</c:v>
                </c:pt>
                <c:pt idx="1">
                  <c:v>其它收入</c:v>
                </c:pt>
              </c:strCache>
            </c:strRef>
          </c:cat>
          <c:val>
            <c:numRef>
              <c:f>Sheet1!$B$2:$B$3</c:f>
              <c:numCache>
                <c:formatCode>General</c:formatCode>
                <c:ptCount val="2"/>
                <c:pt idx="0">
                  <c:v>705.54</c:v>
                </c:pt>
                <c:pt idx="1">
                  <c:v>0.91</c:v>
                </c:pt>
              </c:numCache>
            </c:numRef>
          </c:val>
          <c:extLst>
            <c:ext xmlns:c16="http://schemas.microsoft.com/office/drawing/2014/chart" uri="{C3380CC4-5D6E-409C-BE32-E72D297353CC}">
              <c16:uniqueId val="{00000002-7776-4179-8EE0-390D92CA5D4A}"/>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extLst>
              <c:ext xmlns:c16="http://schemas.microsoft.com/office/drawing/2014/chart" uri="{C3380CC4-5D6E-409C-BE32-E72D297353CC}">
                <c16:uniqueId val="{00000000-2553-40BF-80C3-B97DFB103B11}"/>
              </c:ext>
            </c:extLst>
          </c:dPt>
          <c:dPt>
            <c:idx val="1"/>
            <c:bubble3D val="0"/>
            <c:extLst>
              <c:ext xmlns:c16="http://schemas.microsoft.com/office/drawing/2014/chart" uri="{C3380CC4-5D6E-409C-BE32-E72D297353CC}">
                <c16:uniqueId val="{00000001-2553-40BF-80C3-B97DFB103B11}"/>
              </c:ext>
            </c:extLst>
          </c:dPt>
          <c:dLbls>
            <c:dLbl>
              <c:idx val="0"/>
              <c:layout>
                <c:manualLayout>
                  <c:x val="-0.16982112090352"/>
                  <c:y val="-0.1978399582412460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553-40BF-80C3-B97DFB103B11}"/>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553-40BF-80C3-B97DFB103B11}"/>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713.02</c:v>
                </c:pt>
                <c:pt idx="1">
                  <c:v>9.51</c:v>
                </c:pt>
              </c:numCache>
            </c:numRef>
          </c:val>
          <c:extLst>
            <c:ext xmlns:c16="http://schemas.microsoft.com/office/drawing/2014/chart" uri="{C3380CC4-5D6E-409C-BE32-E72D297353CC}">
              <c16:uniqueId val="{00000002-2553-40BF-80C3-B97DFB103B11}"/>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99E-17"/>
                  <c:y val="1.6528925619834701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DC35-4806-A4E6-C4C38B944DE1}"/>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2019年</c:v>
                </c:pt>
              </c:strCache>
            </c:strRef>
          </c:cat>
          <c:val>
            <c:numRef>
              <c:f>Sheet1!$B$2:$B$3</c:f>
              <c:numCache>
                <c:formatCode>General</c:formatCode>
                <c:ptCount val="2"/>
                <c:pt idx="0">
                  <c:v>705.54</c:v>
                </c:pt>
                <c:pt idx="1">
                  <c:v>611.12</c:v>
                </c:pt>
              </c:numCache>
            </c:numRef>
          </c:val>
          <c:extLst>
            <c:ext xmlns:c16="http://schemas.microsoft.com/office/drawing/2014/chart" uri="{C3380CC4-5D6E-409C-BE32-E72D297353CC}">
              <c16:uniqueId val="{00000001-DC35-4806-A4E6-C4C38B944DE1}"/>
            </c:ext>
          </c:extLst>
        </c:ser>
        <c:ser>
          <c:idx val="1"/>
          <c:order val="1"/>
          <c:tx>
            <c:strRef>
              <c:f>Sheet1!$C$1</c:f>
              <c:strCache>
                <c:ptCount val="1"/>
                <c:pt idx="0">
                  <c:v>财政拨款支出</c:v>
                </c:pt>
              </c:strCache>
            </c:strRef>
          </c:tx>
          <c:invertIfNegative val="0"/>
          <c:dLbls>
            <c:dLbl>
              <c:idx val="0"/>
              <c:layout>
                <c:manualLayout>
                  <c:x val="2.8880866425992802E-2"/>
                  <c:y val="0"/>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DC35-4806-A4E6-C4C38B944DE1}"/>
                </c:ext>
              </c:extLst>
            </c:dLbl>
            <c:dLbl>
              <c:idx val="1"/>
              <c:layout>
                <c:manualLayout>
                  <c:x val="1.9253910950661899E-2"/>
                  <c:y val="-8.2644628099173695E-3"/>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DC35-4806-A4E6-C4C38B944DE1}"/>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2019年</c:v>
                </c:pt>
              </c:strCache>
            </c:strRef>
          </c:cat>
          <c:val>
            <c:numRef>
              <c:f>Sheet1!$C$2:$C$3</c:f>
              <c:numCache>
                <c:formatCode>General</c:formatCode>
                <c:ptCount val="2"/>
                <c:pt idx="0">
                  <c:v>721.62</c:v>
                </c:pt>
                <c:pt idx="1">
                  <c:v>598.28</c:v>
                </c:pt>
              </c:numCache>
            </c:numRef>
          </c:val>
          <c:extLst>
            <c:ext xmlns:c16="http://schemas.microsoft.com/office/drawing/2014/chart" uri="{C3380CC4-5D6E-409C-BE32-E72D297353CC}">
              <c16:uniqueId val="{00000004-DC35-4806-A4E6-C4C38B944DE1}"/>
            </c:ext>
          </c:extLst>
        </c:ser>
        <c:dLbls>
          <c:showLegendKey val="0"/>
          <c:showVal val="0"/>
          <c:showCatName val="0"/>
          <c:showSerName val="0"/>
          <c:showPercent val="0"/>
          <c:showBubbleSize val="0"/>
        </c:dLbls>
        <c:gapWidth val="150"/>
        <c:axId val="451323008"/>
        <c:axId val="451324544"/>
      </c:barChart>
      <c:catAx>
        <c:axId val="4513230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51324544"/>
        <c:crosses val="autoZero"/>
        <c:auto val="1"/>
        <c:lblAlgn val="ctr"/>
        <c:lblOffset val="100"/>
        <c:noMultiLvlLbl val="0"/>
      </c:catAx>
      <c:valAx>
        <c:axId val="4513245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51323008"/>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01"/>
          <c:y val="4.0585826771653399E-2"/>
          <c:w val="0.80028418861435402"/>
          <c:h val="0.78886209223847104"/>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7.6628352490421504E-3"/>
                  <c:y val="5.1470588235294101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9F6E-40B5-A15C-5DC531977178}"/>
                </c:ext>
              </c:extLst>
            </c:dLbl>
            <c:dLbl>
              <c:idx val="1"/>
              <c:layout>
                <c:manualLayout>
                  <c:x val="0"/>
                  <c:y val="0.20588235294117599"/>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9F6E-40B5-A15C-5DC531977178}"/>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trendline>
            <c:trendlineType val="exp"/>
            <c:dispRSqr val="0"/>
            <c:dispEq val="0"/>
          </c:trendline>
          <c:cat>
            <c:strRef>
              <c:f>Sheet1!$A$2:$A$3</c:f>
              <c:strCache>
                <c:ptCount val="2"/>
                <c:pt idx="0">
                  <c:v>2020年</c:v>
                </c:pt>
                <c:pt idx="1">
                  <c:v>2019年</c:v>
                </c:pt>
              </c:strCache>
            </c:strRef>
          </c:cat>
          <c:val>
            <c:numRef>
              <c:f>Sheet1!$B$2:$B$3</c:f>
              <c:numCache>
                <c:formatCode>General</c:formatCode>
                <c:ptCount val="2"/>
                <c:pt idx="0">
                  <c:v>721.62</c:v>
                </c:pt>
                <c:pt idx="1">
                  <c:v>598.28</c:v>
                </c:pt>
              </c:numCache>
            </c:numRef>
          </c:val>
          <c:extLst>
            <c:ext xmlns:c16="http://schemas.microsoft.com/office/drawing/2014/chart" uri="{C3380CC4-5D6E-409C-BE32-E72D297353CC}">
              <c16:uniqueId val="{00000002-9F6E-40B5-A15C-5DC531977178}"/>
            </c:ext>
          </c:extLst>
        </c:ser>
        <c:dLbls>
          <c:showLegendKey val="0"/>
          <c:showVal val="0"/>
          <c:showCatName val="0"/>
          <c:showSerName val="0"/>
          <c:showPercent val="0"/>
          <c:showBubbleSize val="0"/>
        </c:dLbls>
        <c:gapWidth val="150"/>
        <c:axId val="81993088"/>
        <c:axId val="82314368"/>
      </c:barChart>
      <c:catAx>
        <c:axId val="8199308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2314368"/>
        <c:crosses val="autoZero"/>
        <c:auto val="1"/>
        <c:lblAlgn val="ctr"/>
        <c:lblOffset val="100"/>
        <c:noMultiLvlLbl val="0"/>
      </c:catAx>
      <c:valAx>
        <c:axId val="823143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1993088"/>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一般公共预算财政拨款支出（万元）</c:v>
                </c:pt>
              </c:strCache>
            </c:strRef>
          </c:tx>
          <c:dPt>
            <c:idx val="0"/>
            <c:bubble3D val="0"/>
            <c:extLst>
              <c:ext xmlns:c16="http://schemas.microsoft.com/office/drawing/2014/chart" uri="{C3380CC4-5D6E-409C-BE32-E72D297353CC}">
                <c16:uniqueId val="{00000000-A02E-4138-90E1-E73282247341}"/>
              </c:ext>
            </c:extLst>
          </c:dPt>
          <c:dPt>
            <c:idx val="1"/>
            <c:bubble3D val="0"/>
            <c:extLst>
              <c:ext xmlns:c16="http://schemas.microsoft.com/office/drawing/2014/chart" uri="{C3380CC4-5D6E-409C-BE32-E72D297353CC}">
                <c16:uniqueId val="{00000001-A02E-4138-90E1-E73282247341}"/>
              </c:ext>
            </c:extLst>
          </c:dPt>
          <c:dPt>
            <c:idx val="2"/>
            <c:bubble3D val="0"/>
            <c:extLst>
              <c:ext xmlns:c16="http://schemas.microsoft.com/office/drawing/2014/chart" uri="{C3380CC4-5D6E-409C-BE32-E72D297353CC}">
                <c16:uniqueId val="{00000002-A02E-4138-90E1-E73282247341}"/>
              </c:ext>
            </c:extLst>
          </c:dPt>
          <c:dPt>
            <c:idx val="3"/>
            <c:bubble3D val="0"/>
            <c:extLst>
              <c:ext xmlns:c16="http://schemas.microsoft.com/office/drawing/2014/chart" uri="{C3380CC4-5D6E-409C-BE32-E72D297353CC}">
                <c16:uniqueId val="{00000003-A02E-4138-90E1-E73282247341}"/>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621.11</c:v>
                </c:pt>
                <c:pt idx="1">
                  <c:v>72.53</c:v>
                </c:pt>
                <c:pt idx="2">
                  <c:v>27.99</c:v>
                </c:pt>
                <c:pt idx="3">
                  <c:v>0</c:v>
                </c:pt>
              </c:numCache>
            </c:numRef>
          </c:val>
          <c:extLst>
            <c:ext xmlns:c16="http://schemas.microsoft.com/office/drawing/2014/chart" uri="{C3380CC4-5D6E-409C-BE32-E72D297353CC}">
              <c16:uniqueId val="{00000004-A02E-4138-90E1-E73282247341}"/>
            </c:ext>
          </c:extLst>
        </c:ser>
        <c:dLbls>
          <c:showLegendKey val="0"/>
          <c:showVal val="1"/>
          <c:showCatName val="1"/>
          <c:showSerName val="0"/>
          <c:showPercent val="0"/>
          <c:showBubbleSize val="0"/>
          <c:showLeaderLines val="1"/>
        </c:dLbls>
        <c:firstSliceAng val="0"/>
      </c:pieChart>
    </c:plotArea>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1E4DB-3EF2-4892-9BC5-DEA5827A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24</Pages>
  <Words>1648</Words>
  <Characters>9400</Characters>
  <Application>Microsoft Office Word</Application>
  <DocSecurity>0</DocSecurity>
  <Lines>78</Lines>
  <Paragraphs>22</Paragraphs>
  <ScaleCrop>false</ScaleCrop>
  <Company>四川省财政厅</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43</cp:revision>
  <cp:lastPrinted>2022-06-16T14:39:00Z</cp:lastPrinted>
  <dcterms:created xsi:type="dcterms:W3CDTF">2019-09-09T00:46:00Z</dcterms:created>
  <dcterms:modified xsi:type="dcterms:W3CDTF">2022-06-16T14:46:00Z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ADF586E072644B43966237C9A5A89C4A</vt:lpwstr>
  </property>
</Properties>
</file>