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20" w:rsidRDefault="00E20120">
      <w:pPr>
        <w:spacing w:line="600" w:lineRule="exact"/>
        <w:jc w:val="center"/>
        <w:outlineLvl w:val="0"/>
        <w:rPr>
          <w:rFonts w:ascii="方正小标宋简体" w:eastAsia="方正小标宋简体" w:hAnsi="宋体"/>
          <w:sz w:val="72"/>
          <w:szCs w:val="72"/>
        </w:rPr>
      </w:pPr>
      <w:bookmarkStart w:id="0" w:name="_Toc15306267"/>
    </w:p>
    <w:p w:rsidR="00E20120" w:rsidRDefault="00E20120">
      <w:pPr>
        <w:spacing w:line="600" w:lineRule="exact"/>
        <w:jc w:val="center"/>
        <w:outlineLvl w:val="0"/>
        <w:rPr>
          <w:rFonts w:ascii="方正小标宋简体" w:eastAsia="方正小标宋简体" w:hAnsi="宋体"/>
          <w:sz w:val="72"/>
          <w:szCs w:val="72"/>
        </w:rPr>
      </w:pPr>
    </w:p>
    <w:p w:rsidR="00E20120" w:rsidRDefault="00E20120">
      <w:pPr>
        <w:spacing w:line="600" w:lineRule="exact"/>
        <w:jc w:val="center"/>
        <w:outlineLvl w:val="0"/>
        <w:rPr>
          <w:rFonts w:ascii="方正小标宋简体" w:eastAsia="方正小标宋简体" w:hAnsi="宋体"/>
          <w:sz w:val="72"/>
          <w:szCs w:val="72"/>
        </w:rPr>
      </w:pPr>
    </w:p>
    <w:p w:rsidR="00E20120" w:rsidRDefault="00E20120">
      <w:pPr>
        <w:spacing w:line="600" w:lineRule="exact"/>
        <w:jc w:val="center"/>
        <w:outlineLvl w:val="0"/>
        <w:rPr>
          <w:rFonts w:ascii="方正小标宋简体" w:eastAsia="方正小标宋简体" w:hAnsi="宋体"/>
          <w:sz w:val="72"/>
          <w:szCs w:val="72"/>
        </w:rPr>
      </w:pPr>
    </w:p>
    <w:p w:rsidR="00E20120" w:rsidRDefault="0017070C">
      <w:pPr>
        <w:adjustRightInd w:val="0"/>
        <w:snapToGrid w:val="0"/>
        <w:spacing w:line="360" w:lineRule="auto"/>
        <w:jc w:val="center"/>
        <w:outlineLvl w:val="0"/>
        <w:rPr>
          <w:rFonts w:ascii="仿宋" w:eastAsia="仿宋" w:hAnsi="仿宋"/>
          <w:sz w:val="72"/>
          <w:szCs w:val="72"/>
        </w:rPr>
      </w:pPr>
      <w:bookmarkStart w:id="1" w:name="_Toc15377193"/>
      <w:bookmarkStart w:id="2" w:name="_Toc19089858"/>
      <w:bookmarkStart w:id="3" w:name="_Toc15377425"/>
      <w:bookmarkStart w:id="4" w:name="_Toc15396597"/>
      <w:bookmarkStart w:id="5" w:name="_Toc15378441"/>
      <w:bookmarkStart w:id="6" w:name="_Toc15396475"/>
      <w:bookmarkEnd w:id="0"/>
      <w:r>
        <w:rPr>
          <w:rFonts w:ascii="仿宋" w:eastAsia="仿宋" w:hAnsi="仿宋"/>
          <w:sz w:val="72"/>
          <w:szCs w:val="72"/>
        </w:rPr>
        <w:t>20</w:t>
      </w:r>
      <w:r>
        <w:rPr>
          <w:rFonts w:ascii="仿宋" w:eastAsia="仿宋" w:hAnsi="仿宋" w:hint="eastAsia"/>
          <w:sz w:val="72"/>
          <w:szCs w:val="72"/>
        </w:rPr>
        <w:t>20年度</w:t>
      </w:r>
      <w:bookmarkEnd w:id="1"/>
      <w:bookmarkEnd w:id="2"/>
      <w:bookmarkEnd w:id="3"/>
      <w:bookmarkEnd w:id="4"/>
      <w:bookmarkEnd w:id="5"/>
      <w:bookmarkEnd w:id="6"/>
    </w:p>
    <w:p w:rsidR="00E20120" w:rsidRDefault="0017070C">
      <w:pPr>
        <w:adjustRightInd w:val="0"/>
        <w:snapToGrid w:val="0"/>
        <w:spacing w:line="360" w:lineRule="auto"/>
        <w:jc w:val="center"/>
        <w:outlineLvl w:val="0"/>
        <w:rPr>
          <w:rFonts w:ascii="仿宋" w:eastAsia="仿宋" w:hAnsi="仿宋"/>
          <w:sz w:val="72"/>
          <w:szCs w:val="72"/>
        </w:rPr>
      </w:pPr>
      <w:bookmarkStart w:id="7" w:name="_Toc19089859"/>
      <w:bookmarkStart w:id="8" w:name="_Toc15377194"/>
      <w:bookmarkStart w:id="9" w:name="_Toc15396598"/>
      <w:bookmarkStart w:id="10" w:name="_Toc15377426"/>
      <w:bookmarkStart w:id="11" w:name="_Toc15396476"/>
      <w:bookmarkStart w:id="12" w:name="_Toc15378442"/>
      <w:r>
        <w:rPr>
          <w:rFonts w:ascii="仿宋" w:eastAsia="仿宋" w:hAnsi="仿宋" w:hint="eastAsia"/>
          <w:sz w:val="72"/>
          <w:szCs w:val="72"/>
        </w:rPr>
        <w:t>四川省</w:t>
      </w:r>
      <w:bookmarkStart w:id="13" w:name="_Toc15306268"/>
      <w:r>
        <w:rPr>
          <w:rFonts w:ascii="仿宋" w:eastAsia="仿宋" w:hAnsi="仿宋" w:hint="eastAsia"/>
          <w:sz w:val="72"/>
          <w:szCs w:val="72"/>
        </w:rPr>
        <w:t>利州区</w:t>
      </w:r>
      <w:bookmarkEnd w:id="7"/>
      <w:r>
        <w:rPr>
          <w:rFonts w:ascii="仿宋" w:eastAsia="仿宋" w:hAnsi="仿宋" w:hint="eastAsia"/>
          <w:sz w:val="72"/>
          <w:szCs w:val="72"/>
        </w:rPr>
        <w:t>白朝小学</w:t>
      </w:r>
    </w:p>
    <w:p w:rsidR="00E20120" w:rsidRDefault="0017070C">
      <w:pPr>
        <w:adjustRightInd w:val="0"/>
        <w:snapToGrid w:val="0"/>
        <w:spacing w:line="360" w:lineRule="auto"/>
        <w:jc w:val="center"/>
        <w:outlineLvl w:val="0"/>
        <w:rPr>
          <w:rFonts w:ascii="仿宋" w:eastAsia="仿宋" w:hAnsi="仿宋"/>
          <w:sz w:val="72"/>
          <w:szCs w:val="72"/>
        </w:rPr>
      </w:pPr>
      <w:bookmarkStart w:id="14" w:name="_Toc19089860"/>
      <w:r>
        <w:rPr>
          <w:rFonts w:ascii="仿宋" w:eastAsia="仿宋" w:hAnsi="仿宋" w:hint="eastAsia"/>
          <w:sz w:val="72"/>
          <w:szCs w:val="72"/>
        </w:rPr>
        <w:t>部门决算</w:t>
      </w:r>
      <w:bookmarkEnd w:id="8"/>
      <w:bookmarkEnd w:id="9"/>
      <w:bookmarkEnd w:id="10"/>
      <w:bookmarkEnd w:id="11"/>
      <w:bookmarkEnd w:id="12"/>
      <w:bookmarkEnd w:id="13"/>
      <w:bookmarkEnd w:id="14"/>
      <w:r>
        <w:rPr>
          <w:rFonts w:ascii="仿宋" w:eastAsia="仿宋" w:hAnsi="仿宋" w:hint="eastAsia"/>
          <w:sz w:val="72"/>
          <w:szCs w:val="72"/>
        </w:rPr>
        <w:t>说明</w:t>
      </w:r>
    </w:p>
    <w:p w:rsidR="00E20120" w:rsidRDefault="0017070C">
      <w:pPr>
        <w:widowControl/>
        <w:jc w:val="center"/>
        <w:rPr>
          <w:rFonts w:ascii="仿宋" w:eastAsia="仿宋" w:hAnsi="仿宋" w:cs="方正小标宋简体"/>
          <w:sz w:val="48"/>
          <w:szCs w:val="48"/>
        </w:rPr>
      </w:pPr>
      <w:r>
        <w:rPr>
          <w:rFonts w:ascii="方正小标宋简体" w:eastAsia="方正小标宋简体" w:hAnsi="宋体"/>
          <w:sz w:val="36"/>
          <w:szCs w:val="36"/>
        </w:rPr>
        <w:br w:type="page"/>
      </w:r>
      <w:r>
        <w:rPr>
          <w:rFonts w:ascii="仿宋" w:eastAsia="仿宋" w:hAnsi="仿宋" w:cs="方正小标宋简体" w:hint="eastAsia"/>
          <w:sz w:val="48"/>
          <w:szCs w:val="48"/>
        </w:rPr>
        <w:lastRenderedPageBreak/>
        <w:t>目     录</w:t>
      </w:r>
    </w:p>
    <w:p w:rsidR="00E20120" w:rsidRDefault="00E20120">
      <w:pPr>
        <w:snapToGrid w:val="0"/>
        <w:spacing w:line="540" w:lineRule="exact"/>
        <w:ind w:firstLineChars="200" w:firstLine="560"/>
        <w:rPr>
          <w:rFonts w:ascii="黑体" w:eastAsia="黑体" w:hAnsi="黑体"/>
          <w:sz w:val="28"/>
          <w:szCs w:val="28"/>
        </w:rPr>
      </w:pPr>
    </w:p>
    <w:p w:rsidR="00E20120" w:rsidRDefault="0017070C">
      <w:pPr>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第一部分 部门概况</w:t>
      </w:r>
      <w:r>
        <w:rPr>
          <w:rFonts w:ascii="仿宋" w:eastAsia="仿宋" w:hAnsi="仿宋" w:hint="eastAsia"/>
          <w:sz w:val="28"/>
          <w:szCs w:val="28"/>
        </w:rPr>
        <w:t>……………………………………………………</w:t>
      </w:r>
      <w:r>
        <w:rPr>
          <w:rFonts w:ascii="仿宋" w:eastAsia="仿宋" w:hAnsi="仿宋"/>
          <w:sz w:val="28"/>
          <w:szCs w:val="28"/>
        </w:rPr>
        <w:t>4</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一、基本职能及主要工作………………………………………………</w:t>
      </w:r>
      <w:r>
        <w:rPr>
          <w:rFonts w:ascii="仿宋" w:eastAsia="仿宋" w:hAnsi="仿宋"/>
          <w:sz w:val="28"/>
          <w:szCs w:val="28"/>
        </w:rPr>
        <w:t>4</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二、机构设置…………………………………………………………</w:t>
      </w:r>
      <w:r>
        <w:rPr>
          <w:rFonts w:ascii="仿宋" w:eastAsia="仿宋" w:hAnsi="仿宋"/>
          <w:sz w:val="28"/>
          <w:szCs w:val="28"/>
        </w:rPr>
        <w:t>5</w:t>
      </w:r>
    </w:p>
    <w:p w:rsidR="00E20120" w:rsidRDefault="0017070C">
      <w:pPr>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第二部分 2020年度部门决算情况说明</w:t>
      </w:r>
      <w:r>
        <w:rPr>
          <w:rFonts w:ascii="仿宋" w:eastAsia="仿宋" w:hAnsi="仿宋" w:hint="eastAsia"/>
          <w:sz w:val="28"/>
          <w:szCs w:val="28"/>
        </w:rPr>
        <w:t>………………………………</w:t>
      </w:r>
      <w:r>
        <w:rPr>
          <w:rFonts w:ascii="仿宋" w:eastAsia="仿宋" w:hAnsi="仿宋"/>
          <w:sz w:val="28"/>
          <w:szCs w:val="28"/>
        </w:rPr>
        <w:t>6</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sz w:val="28"/>
          <w:szCs w:val="28"/>
        </w:rPr>
        <w:t>6</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sz w:val="28"/>
          <w:szCs w:val="28"/>
        </w:rPr>
        <w:t>6</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sz w:val="28"/>
          <w:szCs w:val="28"/>
        </w:rPr>
        <w:t>7</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sz w:val="28"/>
          <w:szCs w:val="28"/>
        </w:rPr>
        <w:t>8</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sz w:val="28"/>
          <w:szCs w:val="28"/>
        </w:rPr>
        <w:t>8</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六、一般公共预算财政拨款基本支出决算情况说明………………</w:t>
      </w:r>
      <w:r>
        <w:rPr>
          <w:rFonts w:ascii="仿宋" w:eastAsia="仿宋" w:hAnsi="仿宋"/>
          <w:sz w:val="28"/>
          <w:szCs w:val="28"/>
        </w:rPr>
        <w:t>13</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七、“三公”经费财政拨款支出决算情况说明……………………1</w:t>
      </w:r>
      <w:r>
        <w:rPr>
          <w:rFonts w:ascii="仿宋" w:eastAsia="仿宋" w:hAnsi="仿宋"/>
          <w:sz w:val="28"/>
          <w:szCs w:val="28"/>
        </w:rPr>
        <w:t>3</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八、政府性基金预算支出情况说明………………………………1</w:t>
      </w:r>
      <w:r>
        <w:rPr>
          <w:rFonts w:ascii="仿宋" w:eastAsia="仿宋" w:hAnsi="仿宋"/>
          <w:sz w:val="28"/>
          <w:szCs w:val="28"/>
        </w:rPr>
        <w:t>4</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九、国有资本经营预算支出决算情况说明……………………………1</w:t>
      </w:r>
      <w:r>
        <w:rPr>
          <w:rFonts w:ascii="仿宋" w:eastAsia="仿宋" w:hAnsi="仿宋"/>
          <w:sz w:val="28"/>
          <w:szCs w:val="28"/>
        </w:rPr>
        <w:t>4</w:t>
      </w:r>
    </w:p>
    <w:p w:rsidR="00E20120" w:rsidRDefault="0017070C">
      <w:pPr>
        <w:snapToGrid w:val="0"/>
        <w:spacing w:line="540" w:lineRule="exact"/>
        <w:rPr>
          <w:rFonts w:ascii="仿宋" w:eastAsia="仿宋" w:hAnsi="仿宋"/>
          <w:sz w:val="28"/>
          <w:szCs w:val="28"/>
        </w:rPr>
      </w:pPr>
      <w:r>
        <w:rPr>
          <w:rFonts w:ascii="仿宋" w:eastAsia="仿宋" w:hAnsi="仿宋" w:hint="eastAsia"/>
          <w:sz w:val="28"/>
          <w:szCs w:val="28"/>
        </w:rPr>
        <w:t xml:space="preserve">    十、预算绩效情况说明</w:t>
      </w:r>
      <w:r>
        <w:rPr>
          <w:rFonts w:ascii="仿宋" w:eastAsia="仿宋" w:hAnsi="仿宋"/>
          <w:sz w:val="28"/>
          <w:szCs w:val="28"/>
        </w:rPr>
        <w:t>………………………………………………</w:t>
      </w:r>
      <w:r>
        <w:rPr>
          <w:rFonts w:ascii="仿宋" w:eastAsia="仿宋" w:hAnsi="仿宋" w:hint="eastAsia"/>
          <w:sz w:val="28"/>
          <w:szCs w:val="28"/>
        </w:rPr>
        <w:t>.14</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十一、其他重要事项的情况说明……………………………………1</w:t>
      </w:r>
      <w:r w:rsidR="00753FD7">
        <w:rPr>
          <w:rFonts w:ascii="仿宋" w:eastAsia="仿宋" w:hAnsi="仿宋" w:hint="eastAsia"/>
          <w:sz w:val="28"/>
          <w:szCs w:val="28"/>
        </w:rPr>
        <w:t>5</w:t>
      </w:r>
    </w:p>
    <w:p w:rsidR="00E20120" w:rsidRDefault="0017070C">
      <w:pPr>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第三部分 名词解释………………………………………………</w:t>
      </w:r>
      <w:r>
        <w:rPr>
          <w:rFonts w:ascii="仿宋" w:eastAsia="仿宋" w:hAnsi="仿宋" w:hint="eastAsia"/>
          <w:sz w:val="28"/>
          <w:szCs w:val="28"/>
        </w:rPr>
        <w:t>1</w:t>
      </w:r>
      <w:r>
        <w:rPr>
          <w:rFonts w:ascii="仿宋" w:eastAsia="仿宋" w:hAnsi="仿宋"/>
          <w:sz w:val="28"/>
          <w:szCs w:val="28"/>
        </w:rPr>
        <w:t>6</w:t>
      </w:r>
    </w:p>
    <w:p w:rsidR="00E20120" w:rsidRDefault="0017070C">
      <w:pPr>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第四部分 附件……………………………………………………</w:t>
      </w:r>
      <w:r>
        <w:rPr>
          <w:rFonts w:ascii="仿宋" w:eastAsia="仿宋" w:hAnsi="仿宋" w:hint="eastAsia"/>
          <w:sz w:val="28"/>
          <w:szCs w:val="28"/>
        </w:rPr>
        <w:t>2</w:t>
      </w:r>
      <w:r>
        <w:rPr>
          <w:rFonts w:ascii="仿宋" w:eastAsia="仿宋" w:hAnsi="仿宋"/>
          <w:sz w:val="28"/>
          <w:szCs w:val="28"/>
        </w:rPr>
        <w:t>0</w:t>
      </w:r>
    </w:p>
    <w:p w:rsidR="00E20120" w:rsidRDefault="0017070C">
      <w:pPr>
        <w:snapToGrid w:val="0"/>
        <w:spacing w:line="540" w:lineRule="exact"/>
        <w:ind w:firstLineChars="200" w:firstLine="560"/>
        <w:jc w:val="distribute"/>
        <w:outlineLvl w:val="0"/>
        <w:rPr>
          <w:rFonts w:ascii="黑体" w:eastAsia="黑体" w:hAnsi="黑体" w:cs="方正小标宋简体"/>
          <w:sz w:val="28"/>
          <w:szCs w:val="28"/>
        </w:rPr>
      </w:pPr>
      <w:r>
        <w:rPr>
          <w:rFonts w:ascii="仿宋" w:eastAsia="仿宋" w:hAnsi="仿宋" w:hint="eastAsia"/>
          <w:sz w:val="28"/>
          <w:szCs w:val="28"/>
        </w:rPr>
        <w:t>附件1</w:t>
      </w:r>
      <w:r>
        <w:rPr>
          <w:rFonts w:ascii="仿宋" w:eastAsia="仿宋" w:hAnsi="仿宋" w:cs="方正小标宋简体" w:hint="eastAsia"/>
          <w:sz w:val="28"/>
          <w:szCs w:val="28"/>
        </w:rPr>
        <w:t>广元市利州区白朝小学2020年部门整体支出绩效评价报告</w:t>
      </w:r>
      <w:r>
        <w:rPr>
          <w:rFonts w:ascii="仿宋" w:eastAsia="仿宋" w:hAnsi="仿宋" w:hint="eastAsia"/>
          <w:sz w:val="28"/>
          <w:szCs w:val="28"/>
        </w:rPr>
        <w:t>2</w:t>
      </w:r>
      <w:r>
        <w:rPr>
          <w:rFonts w:ascii="仿宋" w:eastAsia="仿宋" w:hAnsi="仿宋"/>
          <w:sz w:val="28"/>
          <w:szCs w:val="28"/>
        </w:rPr>
        <w:t>0</w:t>
      </w:r>
    </w:p>
    <w:p w:rsidR="00E20120" w:rsidRDefault="0017070C">
      <w:pPr>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附件2</w:t>
      </w:r>
      <w:r>
        <w:rPr>
          <w:rFonts w:ascii="仿宋" w:eastAsia="仿宋" w:hAnsi="仿宋" w:hint="eastAsia"/>
          <w:sz w:val="28"/>
          <w:szCs w:val="28"/>
        </w:rPr>
        <w:tab/>
      </w:r>
      <w:r>
        <w:rPr>
          <w:rFonts w:ascii="仿宋" w:eastAsia="仿宋" w:hAnsi="仿宋" w:cs="宋体" w:hint="eastAsia"/>
          <w:kern w:val="0"/>
          <w:sz w:val="28"/>
          <w:szCs w:val="28"/>
        </w:rPr>
        <w:t>项目支出绩效目标完成情况表</w:t>
      </w:r>
      <w:r>
        <w:rPr>
          <w:rFonts w:ascii="仿宋" w:eastAsia="仿宋" w:hAnsi="仿宋" w:hint="eastAsia"/>
          <w:sz w:val="28"/>
          <w:szCs w:val="28"/>
        </w:rPr>
        <w:t>…………………………2</w:t>
      </w:r>
      <w:r>
        <w:rPr>
          <w:rFonts w:ascii="仿宋" w:eastAsia="仿宋" w:hAnsi="仿宋"/>
          <w:sz w:val="28"/>
          <w:szCs w:val="28"/>
        </w:rPr>
        <w:t>4</w:t>
      </w:r>
    </w:p>
    <w:p w:rsidR="00E20120" w:rsidRDefault="0017070C">
      <w:pPr>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第五部分 附表</w:t>
      </w:r>
      <w:r>
        <w:rPr>
          <w:rFonts w:ascii="仿宋" w:eastAsia="仿宋" w:hAnsi="仿宋" w:hint="eastAsia"/>
          <w:sz w:val="28"/>
          <w:szCs w:val="28"/>
        </w:rPr>
        <w:t>……………………………………………………</w:t>
      </w:r>
      <w:r>
        <w:rPr>
          <w:rFonts w:ascii="仿宋" w:eastAsia="仿宋" w:hAnsi="仿宋"/>
          <w:sz w:val="28"/>
          <w:szCs w:val="28"/>
        </w:rPr>
        <w:t>27</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一、收入支出决算总表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二、收入决算表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lastRenderedPageBreak/>
        <w:t>三、支出决算表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四、财政拨款收入支出决算总表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五、财政拨款支出决算明细表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六、一般公共预算财政拨款支出决算表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七、一般公共预算财政拨款支出决算明细表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八、一般公共预算财政拨款基本支出决算表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九、一般公共预算财政拨款项目支出决算表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十、一般公共预算财政拨款“三公”经费支出决算表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十一、政府性基金预算财政拨款收入支出决算表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十二、政府性基金预算财政拨款“三公”经费支出决算表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十三、国有资本经营预算财政拨款收入支出决算表</w:t>
      </w:r>
    </w:p>
    <w:p w:rsidR="00D670AF" w:rsidRDefault="00D670AF" w:rsidP="00D670AF">
      <w:pPr>
        <w:pStyle w:val="20"/>
        <w:adjustRightInd w:val="0"/>
        <w:snapToGrid w:val="0"/>
        <w:spacing w:line="560" w:lineRule="exact"/>
        <w:ind w:leftChars="0" w:left="0" w:firstLineChars="200" w:firstLine="560"/>
        <w:rPr>
          <w:rFonts w:cs="仿宋"/>
          <w:sz w:val="28"/>
          <w:szCs w:val="28"/>
        </w:rPr>
      </w:pPr>
      <w:r>
        <w:rPr>
          <w:rFonts w:cs="仿宋" w:hint="eastAsia"/>
          <w:sz w:val="28"/>
          <w:szCs w:val="28"/>
        </w:rPr>
        <w:t>十四、国有资本经营预算财政拨款支出决算表</w:t>
      </w:r>
    </w:p>
    <w:p w:rsidR="00E20120" w:rsidRDefault="00E20120">
      <w:pPr>
        <w:widowControl/>
        <w:jc w:val="distribute"/>
        <w:rPr>
          <w:rFonts w:ascii="黑体" w:eastAsia="黑体" w:hAnsi="黑体"/>
          <w:sz w:val="48"/>
          <w:szCs w:val="48"/>
        </w:rPr>
      </w:pPr>
    </w:p>
    <w:p w:rsidR="00E20120" w:rsidRDefault="0017070C">
      <w:pPr>
        <w:widowControl/>
        <w:jc w:val="distribute"/>
        <w:rPr>
          <w:rFonts w:ascii="黑体" w:eastAsia="黑体" w:hAnsi="黑体"/>
          <w:sz w:val="48"/>
          <w:szCs w:val="48"/>
        </w:rPr>
      </w:pPr>
      <w:r>
        <w:rPr>
          <w:rFonts w:ascii="黑体" w:eastAsia="黑体" w:hAnsi="黑体"/>
          <w:sz w:val="48"/>
          <w:szCs w:val="48"/>
        </w:rPr>
        <w:t> </w:t>
      </w:r>
    </w:p>
    <w:p w:rsidR="00E20120" w:rsidRDefault="0017070C">
      <w:pPr>
        <w:widowControl/>
        <w:jc w:val="distribute"/>
        <w:rPr>
          <w:rFonts w:ascii="黑体" w:eastAsia="黑体" w:hAnsi="黑体"/>
          <w:sz w:val="48"/>
          <w:szCs w:val="48"/>
        </w:rPr>
      </w:pPr>
      <w:r>
        <w:rPr>
          <w:rFonts w:ascii="黑体" w:eastAsia="黑体" w:hAnsi="黑体"/>
          <w:sz w:val="48"/>
          <w:szCs w:val="48"/>
        </w:rPr>
        <w:br w:type="page"/>
      </w:r>
    </w:p>
    <w:p w:rsidR="00E20120" w:rsidRDefault="0017070C">
      <w:pPr>
        <w:pStyle w:val="1"/>
        <w:jc w:val="center"/>
        <w:rPr>
          <w:rFonts w:ascii="方正小标宋简体" w:eastAsia="方正小标宋简体" w:hAnsi="方正小标宋简体" w:cs="方正小标宋简体"/>
          <w:bCs w:val="0"/>
        </w:rPr>
      </w:pPr>
      <w:bookmarkStart w:id="15" w:name="_Toc15377196"/>
      <w:bookmarkStart w:id="16" w:name="_Toc19089861"/>
      <w:r>
        <w:rPr>
          <w:rFonts w:ascii="方正小标宋简体" w:eastAsia="方正小标宋简体" w:hAnsi="方正小标宋简体" w:cs="方正小标宋简体" w:hint="eastAsia"/>
          <w:b w:val="0"/>
        </w:rPr>
        <w:lastRenderedPageBreak/>
        <w:t xml:space="preserve">第一部分 </w:t>
      </w:r>
      <w:r>
        <w:rPr>
          <w:rStyle w:val="1Char"/>
          <w:rFonts w:ascii="方正小标宋简体" w:eastAsia="方正小标宋简体" w:hAnsi="方正小标宋简体" w:cs="方正小标宋简体" w:hint="eastAsia"/>
        </w:rPr>
        <w:t>部门概况</w:t>
      </w:r>
      <w:bookmarkEnd w:id="15"/>
      <w:bookmarkEnd w:id="16"/>
    </w:p>
    <w:p w:rsidR="00E20120" w:rsidRDefault="00E20120">
      <w:pPr>
        <w:pStyle w:val="2"/>
        <w:snapToGrid w:val="0"/>
        <w:spacing w:before="0" w:after="0" w:line="540" w:lineRule="exact"/>
        <w:ind w:firstLineChars="200" w:firstLine="560"/>
        <w:rPr>
          <w:rFonts w:ascii="仿宋" w:eastAsia="仿宋" w:hAnsi="仿宋"/>
          <w:b w:val="0"/>
          <w:sz w:val="28"/>
          <w:szCs w:val="28"/>
        </w:rPr>
      </w:pPr>
      <w:bookmarkStart w:id="17" w:name="_Toc15377197"/>
      <w:bookmarkStart w:id="18" w:name="_Toc19089862"/>
    </w:p>
    <w:p w:rsidR="00E20120" w:rsidRDefault="0017070C">
      <w:pPr>
        <w:pStyle w:val="2"/>
        <w:snapToGrid w:val="0"/>
        <w:spacing w:before="0" w:after="0" w:line="540" w:lineRule="exact"/>
        <w:ind w:firstLineChars="200" w:firstLine="560"/>
        <w:rPr>
          <w:rFonts w:ascii="黑体" w:eastAsia="黑体" w:hAnsi="黑体" w:cs="黑体"/>
          <w:b w:val="0"/>
          <w:bCs w:val="0"/>
          <w:sz w:val="28"/>
          <w:szCs w:val="28"/>
        </w:rPr>
      </w:pPr>
      <w:r>
        <w:rPr>
          <w:rFonts w:ascii="黑体" w:eastAsia="黑体" w:hAnsi="黑体" w:cs="黑体" w:hint="eastAsia"/>
          <w:b w:val="0"/>
          <w:sz w:val="28"/>
          <w:szCs w:val="28"/>
        </w:rPr>
        <w:t>一、基</w:t>
      </w:r>
      <w:r>
        <w:rPr>
          <w:rStyle w:val="2Char"/>
          <w:rFonts w:ascii="黑体" w:eastAsia="黑体" w:hAnsi="黑体" w:cs="黑体" w:hint="eastAsia"/>
          <w:sz w:val="28"/>
          <w:szCs w:val="28"/>
        </w:rPr>
        <w:t>本职能及主要工作</w:t>
      </w:r>
      <w:bookmarkStart w:id="19" w:name="_Toc15377204"/>
      <w:bookmarkEnd w:id="17"/>
      <w:bookmarkEnd w:id="18"/>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bookmarkStart w:id="20" w:name="_Toc15378446"/>
      <w:bookmarkStart w:id="21" w:name="_Toc15377199"/>
      <w:r>
        <w:rPr>
          <w:rFonts w:ascii="仿宋" w:eastAsia="仿宋" w:hAnsi="仿宋" w:hint="eastAsia"/>
          <w:sz w:val="28"/>
          <w:szCs w:val="28"/>
        </w:rPr>
        <w:t>我校是一所九年一贯制农村学校，地处白朝乡场镇，主要为本乡十二个自然村适龄儿童提供就学服务。在过去的一年里，我校依据相关的法律法规，在上级主管部门和乡党委政府的指导下，按照登记的宗旨和业务范围积极规范开展业务活动。</w:t>
      </w:r>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r>
        <w:rPr>
          <w:rFonts w:ascii="仿宋" w:eastAsia="仿宋" w:hAnsi="仿宋" w:hint="eastAsia"/>
          <w:sz w:val="28"/>
          <w:szCs w:val="28"/>
        </w:rPr>
        <w:t>主要业务活动</w:t>
      </w:r>
      <w:r>
        <w:rPr>
          <w:rFonts w:ascii="仿宋" w:eastAsia="仿宋" w:hAnsi="仿宋"/>
          <w:sz w:val="28"/>
          <w:szCs w:val="28"/>
        </w:rPr>
        <w:t xml:space="preserve"> </w:t>
      </w:r>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r>
        <w:rPr>
          <w:rFonts w:ascii="仿宋" w:eastAsia="仿宋" w:hAnsi="仿宋" w:hint="eastAsia"/>
          <w:sz w:val="28"/>
          <w:szCs w:val="28"/>
        </w:rPr>
        <w:t>1.开展德育活动扎实有效。教师是人类灵魂的工程师</w:t>
      </w:r>
      <w:r>
        <w:rPr>
          <w:rFonts w:ascii="仿宋" w:eastAsia="仿宋" w:hAnsi="仿宋"/>
          <w:sz w:val="28"/>
          <w:szCs w:val="28"/>
        </w:rPr>
        <w:t>,</w:t>
      </w:r>
      <w:r>
        <w:rPr>
          <w:rFonts w:ascii="仿宋" w:eastAsia="仿宋" w:hAnsi="仿宋" w:hint="eastAsia"/>
          <w:sz w:val="28"/>
          <w:szCs w:val="28"/>
        </w:rPr>
        <w:t>是学生的引路人</w:t>
      </w:r>
      <w:r>
        <w:rPr>
          <w:rFonts w:ascii="仿宋" w:eastAsia="仿宋" w:hAnsi="仿宋"/>
          <w:sz w:val="28"/>
          <w:szCs w:val="28"/>
        </w:rPr>
        <w:t>.</w:t>
      </w:r>
      <w:r>
        <w:rPr>
          <w:rFonts w:ascii="仿宋" w:eastAsia="仿宋" w:hAnsi="仿宋" w:hint="eastAsia"/>
          <w:sz w:val="28"/>
          <w:szCs w:val="28"/>
        </w:rPr>
        <w:t>学生能否健康成长</w:t>
      </w:r>
      <w:r>
        <w:rPr>
          <w:rFonts w:ascii="仿宋" w:eastAsia="仿宋" w:hAnsi="仿宋"/>
          <w:sz w:val="28"/>
          <w:szCs w:val="28"/>
        </w:rPr>
        <w:t>,</w:t>
      </w:r>
      <w:r>
        <w:rPr>
          <w:rFonts w:ascii="仿宋" w:eastAsia="仿宋" w:hAnsi="仿宋" w:hint="eastAsia"/>
          <w:sz w:val="28"/>
          <w:szCs w:val="28"/>
        </w:rPr>
        <w:t>取决于我们教师的潜移默化</w:t>
      </w:r>
      <w:r>
        <w:rPr>
          <w:rFonts w:ascii="仿宋" w:eastAsia="仿宋" w:hAnsi="仿宋"/>
          <w:sz w:val="28"/>
          <w:szCs w:val="28"/>
        </w:rPr>
        <w:t>.</w:t>
      </w:r>
      <w:r>
        <w:rPr>
          <w:rFonts w:ascii="仿宋" w:eastAsia="仿宋" w:hAnsi="仿宋" w:hint="eastAsia"/>
          <w:sz w:val="28"/>
          <w:szCs w:val="28"/>
        </w:rPr>
        <w:t>为此</w:t>
      </w:r>
      <w:r>
        <w:rPr>
          <w:rFonts w:ascii="仿宋" w:eastAsia="仿宋" w:hAnsi="仿宋"/>
          <w:sz w:val="28"/>
          <w:szCs w:val="28"/>
        </w:rPr>
        <w:t>,</w:t>
      </w:r>
      <w:r>
        <w:rPr>
          <w:rFonts w:ascii="仿宋" w:eastAsia="仿宋" w:hAnsi="仿宋" w:hint="eastAsia"/>
          <w:sz w:val="28"/>
          <w:szCs w:val="28"/>
        </w:rPr>
        <w:t>学校不断加强教师的思想道德修养建设</w:t>
      </w:r>
      <w:r>
        <w:rPr>
          <w:rFonts w:ascii="仿宋" w:eastAsia="仿宋" w:hAnsi="仿宋"/>
          <w:sz w:val="28"/>
          <w:szCs w:val="28"/>
        </w:rPr>
        <w:t>,</w:t>
      </w:r>
      <w:r>
        <w:rPr>
          <w:rFonts w:ascii="仿宋" w:eastAsia="仿宋" w:hAnsi="仿宋" w:hint="eastAsia"/>
          <w:sz w:val="28"/>
          <w:szCs w:val="28"/>
        </w:rPr>
        <w:t>组织教师学习教育法律法规、教师职业道德修养等，使教师的思想道德得以明显提高。学校为了培养品行端正、思想健康的合格人才，利用国旗下讲话、图片展览、法制讲座、送温暖活动等对学生进行</w:t>
      </w:r>
      <w:r>
        <w:rPr>
          <w:rFonts w:ascii="仿宋" w:eastAsia="仿宋" w:hAnsi="仿宋"/>
          <w:sz w:val="28"/>
          <w:szCs w:val="28"/>
        </w:rPr>
        <w:t>“</w:t>
      </w:r>
      <w:r>
        <w:rPr>
          <w:rFonts w:ascii="仿宋" w:eastAsia="仿宋" w:hAnsi="仿宋" w:hint="eastAsia"/>
          <w:sz w:val="28"/>
          <w:szCs w:val="28"/>
        </w:rPr>
        <w:t>五爱</w:t>
      </w:r>
      <w:r>
        <w:rPr>
          <w:rFonts w:ascii="仿宋" w:eastAsia="仿宋" w:hAnsi="仿宋"/>
          <w:sz w:val="28"/>
          <w:szCs w:val="28"/>
        </w:rPr>
        <w:t>”</w:t>
      </w:r>
      <w:r>
        <w:rPr>
          <w:rFonts w:ascii="仿宋" w:eastAsia="仿宋" w:hAnsi="仿宋" w:hint="eastAsia"/>
          <w:sz w:val="28"/>
          <w:szCs w:val="28"/>
        </w:rPr>
        <w:t>、禁毒等教育。通过多种有效途径加强学生爱国主义教育和公民道德教育，强化法制、安全、心理健康教育，收到较好效果。</w:t>
      </w:r>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开展教学和教研活动。教学质量是学校的生命线，为充分调动全体教师的工作积极性和主动性，学校制定一系列激励机制，加强教学常规管理，加大了学校教学各环节的督察力度，贯彻落实减负措施，培养学生综合素质，切实开展</w:t>
      </w:r>
      <w:r>
        <w:rPr>
          <w:rFonts w:ascii="仿宋" w:eastAsia="仿宋" w:hAnsi="仿宋"/>
          <w:sz w:val="28"/>
          <w:szCs w:val="28"/>
        </w:rPr>
        <w:t>“</w:t>
      </w:r>
      <w:r>
        <w:rPr>
          <w:rFonts w:ascii="仿宋" w:eastAsia="仿宋" w:hAnsi="仿宋" w:hint="eastAsia"/>
          <w:sz w:val="28"/>
          <w:szCs w:val="28"/>
        </w:rPr>
        <w:t>阳光体育</w:t>
      </w:r>
      <w:r>
        <w:rPr>
          <w:rFonts w:ascii="仿宋" w:eastAsia="仿宋" w:hAnsi="仿宋"/>
          <w:sz w:val="28"/>
          <w:szCs w:val="28"/>
        </w:rPr>
        <w:t>”</w:t>
      </w:r>
      <w:r>
        <w:rPr>
          <w:rFonts w:ascii="仿宋" w:eastAsia="仿宋" w:hAnsi="仿宋" w:hint="eastAsia"/>
          <w:sz w:val="28"/>
          <w:szCs w:val="28"/>
        </w:rPr>
        <w:t>活动，保证学生每天的锻炼时间，增强了学生体质。重视学生艺术素质培养。加强了与学生家长的联系，得到了学生家长的理解和大力支持，深受领导和社会的好评。</w:t>
      </w:r>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.开展教育科学研究活动。积极倡导小课题深研究，组织教师对教育教学和管理中的难点和热点问题开展研究，提倡行动研究，注重研究的可</w:t>
      </w:r>
      <w:r>
        <w:rPr>
          <w:rFonts w:ascii="仿宋" w:eastAsia="仿宋" w:hAnsi="仿宋" w:hint="eastAsia"/>
          <w:sz w:val="28"/>
          <w:szCs w:val="28"/>
        </w:rPr>
        <w:lastRenderedPageBreak/>
        <w:t>操作性与实效性。有效开展听课、说课与评课活动，加强集体备课，增强校本教研实效。</w:t>
      </w:r>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.开展教师培训活动。规范教师培训制度，组织教职工开展师德培训，加强继续教育工作，根据校本培训方案认真实施校本培训工作，努力提升教师整体素质。</w:t>
      </w:r>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开展学校后勤服务活动。加强校产管理，规范校产的购入、登记、出借、报损、核查和入帐手续，做到账物相符、帐帐相符。规范财务管理，严格执行有关收费规定，及时公示收费项目和标准。改进食堂管理，实行食堂</w:t>
      </w:r>
      <w:r>
        <w:rPr>
          <w:rFonts w:ascii="仿宋" w:eastAsia="仿宋" w:hAnsi="仿宋"/>
          <w:sz w:val="28"/>
          <w:szCs w:val="28"/>
        </w:rPr>
        <w:t>“</w:t>
      </w:r>
      <w:r>
        <w:rPr>
          <w:rFonts w:ascii="仿宋" w:eastAsia="仿宋" w:hAnsi="仿宋" w:hint="eastAsia"/>
          <w:sz w:val="28"/>
          <w:szCs w:val="28"/>
        </w:rPr>
        <w:t>自主经营</w:t>
      </w:r>
      <w:r>
        <w:rPr>
          <w:rFonts w:ascii="仿宋" w:eastAsia="仿宋" w:hAnsi="仿宋"/>
          <w:sz w:val="28"/>
          <w:szCs w:val="28"/>
        </w:rPr>
        <w:t>”</w:t>
      </w:r>
      <w:r>
        <w:rPr>
          <w:rFonts w:ascii="仿宋" w:eastAsia="仿宋" w:hAnsi="仿宋" w:hint="eastAsia"/>
          <w:sz w:val="28"/>
          <w:szCs w:val="28"/>
        </w:rPr>
        <w:t>的经营模式，加强对食品采购、验收、储存、制作与加工等诸多环节的管理工作，确保饮食卫生安全。改善办学条件，不断提高教师待遇。</w:t>
      </w:r>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rsidR="00E20120" w:rsidRDefault="0017070C">
      <w:pPr>
        <w:pStyle w:val="2"/>
        <w:snapToGrid w:val="0"/>
        <w:spacing w:before="0" w:after="0" w:line="540" w:lineRule="exact"/>
        <w:ind w:firstLineChars="200" w:firstLine="560"/>
        <w:rPr>
          <w:rFonts w:ascii="黑体" w:eastAsia="黑体" w:hAnsi="黑体" w:cs="黑体"/>
          <w:b w:val="0"/>
          <w:sz w:val="28"/>
          <w:szCs w:val="28"/>
        </w:rPr>
      </w:pPr>
      <w:bookmarkStart w:id="22" w:name="_Toc19089863"/>
      <w:bookmarkStart w:id="23" w:name="_Toc15377200"/>
      <w:bookmarkEnd w:id="20"/>
      <w:bookmarkEnd w:id="21"/>
      <w:r>
        <w:rPr>
          <w:rFonts w:ascii="黑体" w:eastAsia="黑体" w:hAnsi="黑体" w:cs="黑体" w:hint="eastAsia"/>
          <w:b w:val="0"/>
          <w:sz w:val="28"/>
          <w:szCs w:val="28"/>
        </w:rPr>
        <w:t>二、机构设置</w:t>
      </w:r>
      <w:bookmarkEnd w:id="22"/>
      <w:bookmarkEnd w:id="23"/>
    </w:p>
    <w:p w:rsidR="00E20120" w:rsidRDefault="0017070C">
      <w:pPr>
        <w:pStyle w:val="2"/>
        <w:snapToGrid w:val="0"/>
        <w:spacing w:before="0" w:after="0" w:line="540" w:lineRule="exact"/>
        <w:ind w:firstLineChars="200" w:firstLine="584"/>
        <w:rPr>
          <w:rFonts w:ascii="仿宋" w:eastAsia="仿宋" w:hAnsi="仿宋" w:cs="Times New Roman"/>
          <w:b w:val="0"/>
          <w:bCs w:val="0"/>
          <w:sz w:val="28"/>
          <w:szCs w:val="28"/>
        </w:rPr>
      </w:pPr>
      <w:r>
        <w:rPr>
          <w:rFonts w:ascii="仿宋" w:eastAsia="仿宋" w:hAnsi="仿宋" w:cs="Times New Roman" w:hint="eastAsia"/>
          <w:b w:val="0"/>
          <w:spacing w:val="6"/>
          <w:sz w:val="28"/>
          <w:szCs w:val="28"/>
        </w:rPr>
        <w:t>1个机构，内设部门6个（办公室、工会、教务处、总务处、政教处、技装室）。人员情况：</w:t>
      </w:r>
      <w:r>
        <w:rPr>
          <w:rFonts w:ascii="仿宋" w:eastAsia="仿宋" w:hAnsi="仿宋" w:cs="Times New Roman" w:hint="eastAsia"/>
          <w:b w:val="0"/>
          <w:sz w:val="28"/>
          <w:szCs w:val="28"/>
        </w:rPr>
        <w:t>我校正式在职教职工年初37人，年末38人（其中：本年退休1人，调出1人，特岗6人，），借调人员6人，安保人员3人，遗嘱6人，退休教师20人。教学班10个，在校学生93人（其中：义务教育阶段82人，幼儿学前班11人）</w:t>
      </w:r>
      <w:r>
        <w:rPr>
          <w:rFonts w:ascii="仿宋" w:eastAsia="仿宋" w:hAnsi="仿宋" w:cs="Times New Roman" w:hint="eastAsia"/>
          <w:b w:val="0"/>
          <w:spacing w:val="6"/>
          <w:sz w:val="28"/>
          <w:szCs w:val="28"/>
        </w:rPr>
        <w:t>。</w:t>
      </w:r>
    </w:p>
    <w:p w:rsidR="00E20120" w:rsidRDefault="00E20120">
      <w:pPr>
        <w:pStyle w:val="a3"/>
        <w:adjustRightInd w:val="0"/>
        <w:snapToGrid w:val="0"/>
        <w:spacing w:before="93" w:line="540" w:lineRule="exact"/>
        <w:ind w:firstLineChars="200" w:firstLine="640"/>
        <w:rPr>
          <w:rFonts w:ascii="仿宋" w:eastAsia="仿宋" w:hAnsi="仿宋"/>
          <w:sz w:val="32"/>
          <w:szCs w:val="32"/>
        </w:rPr>
      </w:pPr>
    </w:p>
    <w:p w:rsidR="00E20120" w:rsidRDefault="0017070C">
      <w:pPr>
        <w:widowControl/>
        <w:jc w:val="left"/>
        <w:rPr>
          <w:rFonts w:ascii="仿宋" w:eastAsia="仿宋" w:hAnsi="仿宋"/>
          <w:kern w:val="0"/>
          <w:sz w:val="32"/>
          <w:szCs w:val="32"/>
        </w:rPr>
      </w:pPr>
      <w:r>
        <w:rPr>
          <w:rFonts w:ascii="仿宋" w:eastAsia="仿宋" w:hAnsi="仿宋"/>
          <w:sz w:val="32"/>
          <w:szCs w:val="32"/>
        </w:rPr>
        <w:br w:type="page"/>
      </w:r>
    </w:p>
    <w:p w:rsidR="00E20120" w:rsidRDefault="0017070C">
      <w:pPr>
        <w:pStyle w:val="1"/>
        <w:ind w:right="440"/>
        <w:jc w:val="right"/>
        <w:rPr>
          <w:rFonts w:ascii="方正小标宋简体" w:eastAsia="方正小标宋简体" w:hAnsi="方正小标宋简体" w:cs="方正小标宋简体"/>
          <w:b w:val="0"/>
          <w:bCs w:val="0"/>
        </w:rPr>
      </w:pPr>
      <w:bookmarkStart w:id="24" w:name="_Toc19089864"/>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Char"/>
          <w:rFonts w:ascii="方正小标宋简体" w:eastAsia="方正小标宋简体" w:hAnsi="方正小标宋简体" w:cs="方正小标宋简体" w:hint="eastAsia"/>
        </w:rPr>
        <w:t>2020年度部门决算情况说明</w:t>
      </w:r>
      <w:bookmarkEnd w:id="19"/>
      <w:bookmarkEnd w:id="24"/>
    </w:p>
    <w:p w:rsidR="00E20120" w:rsidRDefault="0017070C">
      <w:pPr>
        <w:pStyle w:val="aa"/>
        <w:numPr>
          <w:ilvl w:val="0"/>
          <w:numId w:val="1"/>
        </w:numPr>
        <w:spacing w:line="520" w:lineRule="exact"/>
        <w:ind w:firstLineChars="0"/>
        <w:outlineLvl w:val="1"/>
        <w:rPr>
          <w:rStyle w:val="2Char"/>
          <w:rFonts w:ascii="黑体" w:eastAsia="黑体" w:hAnsi="黑体" w:cs="黑体"/>
          <w:b w:val="0"/>
          <w:bCs w:val="0"/>
          <w:color w:val="000000" w:themeColor="text1"/>
          <w:sz w:val="28"/>
          <w:szCs w:val="28"/>
        </w:rPr>
      </w:pPr>
      <w:bookmarkStart w:id="25" w:name="_Toc15377205"/>
      <w:bookmarkStart w:id="26" w:name="_Toc19089865"/>
      <w:r>
        <w:rPr>
          <w:rFonts w:ascii="黑体" w:eastAsia="黑体" w:hAnsi="黑体" w:cs="黑体" w:hint="eastAsia"/>
          <w:color w:val="000000" w:themeColor="text1"/>
          <w:sz w:val="28"/>
          <w:szCs w:val="28"/>
        </w:rPr>
        <w:t>收</w:t>
      </w:r>
      <w:r>
        <w:rPr>
          <w:rStyle w:val="2Char"/>
          <w:rFonts w:ascii="黑体" w:eastAsia="黑体" w:hAnsi="黑体" w:cs="黑体" w:hint="eastAsia"/>
          <w:b w:val="0"/>
          <w:bCs w:val="0"/>
          <w:color w:val="000000" w:themeColor="text1"/>
          <w:sz w:val="28"/>
          <w:szCs w:val="28"/>
        </w:rPr>
        <w:t>入支出决算总体情况说明</w:t>
      </w:r>
      <w:bookmarkEnd w:id="25"/>
      <w:bookmarkEnd w:id="26"/>
    </w:p>
    <w:p w:rsidR="00E20120" w:rsidRDefault="0017070C">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2020年度利州区白朝小学收入总计685.29万元，与2019年相比（702.97万元），收入总计下降17.68万元，下降2.5%。收入主要变动原因是因人员工资福利支出下降。</w:t>
      </w:r>
    </w:p>
    <w:p w:rsidR="00E20120" w:rsidRDefault="0017070C">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2020年度支出合计567.37万元，与2019年相比（698.83万元），支出下降131.46万元，下降18.81%。支出主要变动原因是因人员工资福利支出下降，项目未实施。</w:t>
      </w:r>
    </w:p>
    <w:p w:rsidR="00E20120" w:rsidRDefault="0017070C">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w:t>
      </w:r>
      <w:r>
        <w:rPr>
          <w:rFonts w:ascii="仿宋" w:eastAsia="仿宋" w:hAnsi="仿宋"/>
          <w:color w:val="000000" w:themeColor="text1"/>
          <w:sz w:val="28"/>
          <w:szCs w:val="28"/>
        </w:rPr>
        <w:t>1</w:t>
      </w:r>
      <w:r>
        <w:rPr>
          <w:rFonts w:ascii="仿宋" w:eastAsia="仿宋" w:hAnsi="仿宋" w:hint="eastAsia"/>
          <w:color w:val="000000" w:themeColor="text1"/>
          <w:sz w:val="28"/>
          <w:szCs w:val="28"/>
        </w:rPr>
        <w:t>：收、支决算总计变动情况图）（柱状图）</w:t>
      </w:r>
    </w:p>
    <w:p w:rsidR="00E20120" w:rsidRDefault="0017070C">
      <w:pPr>
        <w:spacing w:line="600" w:lineRule="exact"/>
        <w:ind w:firstLineChars="200" w:firstLine="560"/>
        <w:jc w:val="left"/>
        <w:rPr>
          <w:rStyle w:val="2Char"/>
          <w:rFonts w:ascii="黑体" w:eastAsia="黑体" w:hAnsi="黑体" w:cs="黑体"/>
          <w:b w:val="0"/>
          <w:bCs w:val="0"/>
          <w:color w:val="000000" w:themeColor="text1"/>
          <w:sz w:val="28"/>
          <w:szCs w:val="28"/>
        </w:rPr>
      </w:pPr>
      <w:bookmarkStart w:id="27" w:name="_Toc15377206"/>
      <w:r>
        <w:rPr>
          <w:rFonts w:ascii="黑体" w:eastAsia="黑体" w:hAnsi="黑体" w:cs="黑体" w:hint="eastAsia"/>
          <w:noProof/>
          <w:color w:val="000000" w:themeColor="text1"/>
          <w:sz w:val="28"/>
          <w:szCs w:val="28"/>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edited="0">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黑体" w:eastAsia="黑体" w:hAnsi="黑体" w:cs="黑体" w:hint="eastAsia"/>
          <w:color w:val="000000" w:themeColor="text1"/>
          <w:sz w:val="28"/>
          <w:szCs w:val="28"/>
        </w:rPr>
        <w:t>二、收</w:t>
      </w:r>
      <w:r>
        <w:rPr>
          <w:rStyle w:val="2Char"/>
          <w:rFonts w:ascii="黑体" w:eastAsia="黑体" w:hAnsi="黑体" w:cs="黑体" w:hint="eastAsia"/>
          <w:b w:val="0"/>
          <w:bCs w:val="0"/>
          <w:color w:val="000000" w:themeColor="text1"/>
          <w:sz w:val="28"/>
          <w:szCs w:val="28"/>
        </w:rPr>
        <w:t>入决算情况说明</w:t>
      </w:r>
      <w:bookmarkEnd w:id="27"/>
    </w:p>
    <w:p w:rsidR="00E20120" w:rsidRDefault="0017070C">
      <w:pPr>
        <w:spacing w:line="600" w:lineRule="exact"/>
        <w:ind w:firstLineChars="200" w:firstLine="560"/>
        <w:outlineLvl w:val="1"/>
        <w:rPr>
          <w:rFonts w:ascii="仿宋" w:eastAsia="仿宋" w:hAnsi="仿宋"/>
          <w:color w:val="000000" w:themeColor="text1"/>
          <w:sz w:val="28"/>
          <w:szCs w:val="28"/>
        </w:rPr>
      </w:pPr>
      <w:bookmarkStart w:id="28" w:name="_Toc19089866"/>
      <w:r>
        <w:rPr>
          <w:rFonts w:ascii="仿宋" w:eastAsia="仿宋" w:hAnsi="仿宋"/>
          <w:color w:val="000000" w:themeColor="text1"/>
          <w:sz w:val="28"/>
          <w:szCs w:val="28"/>
        </w:rPr>
        <w:t>20</w:t>
      </w:r>
      <w:r>
        <w:rPr>
          <w:rFonts w:ascii="仿宋" w:eastAsia="仿宋" w:hAnsi="仿宋" w:hint="eastAsia"/>
          <w:color w:val="000000" w:themeColor="text1"/>
          <w:sz w:val="28"/>
          <w:szCs w:val="28"/>
        </w:rPr>
        <w:t>20年本年收入合计687.07万元，其中：一般公共预算财政拨款收入685.29元，占比99.74%；政府性基金预算财政拨款收入0万元，占比0%；国有资本经营预算财政拨款收入0.00万元，占比0.00</w:t>
      </w:r>
      <w:r>
        <w:rPr>
          <w:rFonts w:ascii="仿宋" w:eastAsia="仿宋" w:hAnsi="仿宋"/>
          <w:color w:val="000000" w:themeColor="text1"/>
          <w:sz w:val="28"/>
          <w:szCs w:val="28"/>
        </w:rPr>
        <w:t>%</w:t>
      </w:r>
      <w:r>
        <w:rPr>
          <w:rFonts w:ascii="仿宋" w:eastAsia="仿宋" w:hAnsi="仿宋" w:hint="eastAsia"/>
          <w:color w:val="000000" w:themeColor="text1"/>
          <w:sz w:val="28"/>
          <w:szCs w:val="28"/>
        </w:rPr>
        <w:t>；事业收入0.00万元，占0.00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；经营收入0.00万元，占0.00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；附属单位上缴收入0.00万元，占0.00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；其他收入1.78万元，占比0.26%。</w:t>
      </w:r>
      <w:bookmarkEnd w:id="28"/>
    </w:p>
    <w:p w:rsidR="00E20120" w:rsidRDefault="0017070C">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（图2：收入决算结构图）（饼状图）</w:t>
      </w:r>
    </w:p>
    <w:p w:rsidR="00E20120" w:rsidRDefault="0017070C">
      <w:pPr>
        <w:spacing w:line="600" w:lineRule="exact"/>
        <w:ind w:firstLineChars="200" w:firstLine="560"/>
        <w:rPr>
          <w:rFonts w:ascii="仿宋" w:eastAsia="仿宋" w:hAnsi="仿宋"/>
          <w:color w:val="000000" w:themeColor="text1"/>
          <w:sz w:val="28"/>
          <w:szCs w:val="28"/>
        </w:rPr>
      </w:pPr>
      <w:r>
        <w:rPr>
          <w:rFonts w:ascii="仿宋" w:eastAsia="仿宋" w:hAnsi="仿宋"/>
          <w:noProof/>
          <w:color w:val="000000" w:themeColor="text1"/>
          <w:sz w:val="28"/>
          <w:szCs w:val="28"/>
        </w:rPr>
        <w:lastRenderedPageBreak/>
        <w:drawing>
          <wp:anchor distT="0" distB="0" distL="114300" distR="114300" simplePos="0" relativeHeight="251660288" behindDoc="0" locked="0" layoutInCell="1" allowOverlap="1">
            <wp:simplePos x="0" y="0"/>
            <wp:positionH relativeFrom="column">
              <wp:posOffset>464185</wp:posOffset>
            </wp:positionH>
            <wp:positionV relativeFrom="paragraph">
              <wp:posOffset>153035</wp:posOffset>
            </wp:positionV>
            <wp:extent cx="4551045" cy="2772410"/>
            <wp:effectExtent l="4445" t="4445" r="16510"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20120" w:rsidRDefault="00E20120">
      <w:pPr>
        <w:spacing w:line="600" w:lineRule="exact"/>
        <w:ind w:firstLineChars="200" w:firstLine="560"/>
        <w:rPr>
          <w:rFonts w:ascii="仿宋" w:eastAsia="仿宋" w:hAnsi="仿宋"/>
          <w:color w:val="000000" w:themeColor="text1"/>
          <w:sz w:val="28"/>
          <w:szCs w:val="28"/>
        </w:rPr>
      </w:pPr>
    </w:p>
    <w:p w:rsidR="00E20120" w:rsidRDefault="00E20120">
      <w:pPr>
        <w:spacing w:line="600" w:lineRule="exact"/>
        <w:ind w:firstLineChars="200" w:firstLine="560"/>
        <w:rPr>
          <w:rFonts w:ascii="仿宋" w:eastAsia="仿宋" w:hAnsi="仿宋"/>
          <w:color w:val="000000" w:themeColor="text1"/>
          <w:sz w:val="28"/>
          <w:szCs w:val="28"/>
        </w:rPr>
      </w:pPr>
    </w:p>
    <w:p w:rsidR="00E20120" w:rsidRDefault="00E20120">
      <w:pPr>
        <w:spacing w:line="600" w:lineRule="exact"/>
        <w:ind w:firstLineChars="200" w:firstLine="560"/>
        <w:rPr>
          <w:rFonts w:ascii="仿宋" w:eastAsia="仿宋" w:hAnsi="仿宋"/>
          <w:color w:val="000000" w:themeColor="text1"/>
          <w:sz w:val="28"/>
          <w:szCs w:val="28"/>
        </w:rPr>
      </w:pPr>
    </w:p>
    <w:p w:rsidR="00E20120" w:rsidRDefault="00E20120">
      <w:pPr>
        <w:spacing w:line="600" w:lineRule="exact"/>
        <w:ind w:firstLineChars="200" w:firstLine="560"/>
        <w:rPr>
          <w:rFonts w:ascii="仿宋" w:eastAsia="仿宋" w:hAnsi="仿宋"/>
          <w:color w:val="000000" w:themeColor="text1"/>
          <w:sz w:val="28"/>
          <w:szCs w:val="28"/>
        </w:rPr>
      </w:pPr>
    </w:p>
    <w:p w:rsidR="00E20120" w:rsidRDefault="00E20120">
      <w:pPr>
        <w:spacing w:line="600" w:lineRule="exact"/>
        <w:ind w:firstLineChars="200" w:firstLine="560"/>
        <w:rPr>
          <w:rFonts w:ascii="仿宋" w:eastAsia="仿宋" w:hAnsi="仿宋"/>
          <w:color w:val="000000" w:themeColor="text1"/>
          <w:sz w:val="28"/>
          <w:szCs w:val="28"/>
        </w:rPr>
      </w:pPr>
    </w:p>
    <w:p w:rsidR="00E20120" w:rsidRDefault="00E20120">
      <w:pPr>
        <w:spacing w:line="600" w:lineRule="exact"/>
        <w:ind w:firstLineChars="200" w:firstLine="560"/>
        <w:rPr>
          <w:rFonts w:ascii="仿宋" w:eastAsia="仿宋" w:hAnsi="仿宋"/>
          <w:color w:val="000000" w:themeColor="text1"/>
          <w:sz w:val="28"/>
          <w:szCs w:val="28"/>
        </w:rPr>
      </w:pPr>
    </w:p>
    <w:p w:rsidR="00E20120" w:rsidRDefault="0017070C">
      <w:pPr>
        <w:spacing w:line="600" w:lineRule="exact"/>
        <w:ind w:firstLineChars="200" w:firstLine="560"/>
        <w:rPr>
          <w:rStyle w:val="2Char"/>
          <w:rFonts w:ascii="黑体" w:eastAsia="黑体" w:hAnsi="黑体" w:cs="黑体"/>
          <w:b w:val="0"/>
          <w:bCs w:val="0"/>
          <w:color w:val="000000" w:themeColor="text1"/>
          <w:sz w:val="28"/>
          <w:szCs w:val="28"/>
        </w:rPr>
      </w:pPr>
      <w:bookmarkStart w:id="29" w:name="_Toc15377207"/>
      <w:bookmarkStart w:id="30" w:name="_Toc19089867"/>
      <w:r>
        <w:rPr>
          <w:rFonts w:ascii="黑体" w:eastAsia="黑体" w:hAnsi="黑体" w:cs="黑体" w:hint="eastAsia"/>
          <w:color w:val="000000" w:themeColor="text1"/>
          <w:sz w:val="28"/>
          <w:szCs w:val="28"/>
        </w:rPr>
        <w:t>三、支</w:t>
      </w:r>
      <w:r>
        <w:rPr>
          <w:rStyle w:val="2Char"/>
          <w:rFonts w:ascii="黑体" w:eastAsia="黑体" w:hAnsi="黑体" w:cs="黑体" w:hint="eastAsia"/>
          <w:b w:val="0"/>
          <w:bCs w:val="0"/>
          <w:color w:val="000000" w:themeColor="text1"/>
          <w:sz w:val="28"/>
          <w:szCs w:val="28"/>
        </w:rPr>
        <w:t>出决算情况说明</w:t>
      </w:r>
      <w:bookmarkEnd w:id="29"/>
      <w:bookmarkEnd w:id="30"/>
    </w:p>
    <w:p w:rsidR="00E20120" w:rsidRDefault="0017070C">
      <w:pPr>
        <w:spacing w:line="600" w:lineRule="exact"/>
        <w:ind w:firstLine="640"/>
        <w:rPr>
          <w:rFonts w:ascii="仿宋" w:eastAsia="仿宋" w:hAnsi="仿宋"/>
          <w:color w:val="000000" w:themeColor="text1"/>
          <w:sz w:val="28"/>
          <w:szCs w:val="28"/>
          <w:shd w:val="pct10" w:color="auto" w:fill="FFFFFF"/>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20年本年支出合计567.37万元，其中：基本支出528.3万元，占93.11%；项目支出39.07万元，占6.89%；上缴上级支出0.00万元，占0.00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；经营支出0.00万元，占0.00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；对附属单位补助支出0.00万元，占0.00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E20120" w:rsidRDefault="0017070C">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（图3：支出决算结构图）（饼状图）</w:t>
      </w:r>
    </w:p>
    <w:p w:rsidR="00E20120" w:rsidRDefault="0017070C">
      <w:pPr>
        <w:spacing w:line="600" w:lineRule="exact"/>
        <w:ind w:firstLineChars="200" w:firstLine="560"/>
        <w:rPr>
          <w:rFonts w:ascii="仿宋" w:eastAsia="仿宋" w:hAnsi="仿宋"/>
          <w:color w:val="000000" w:themeColor="text1"/>
          <w:sz w:val="28"/>
          <w:szCs w:val="28"/>
        </w:rPr>
      </w:pPr>
      <w:r>
        <w:rPr>
          <w:rFonts w:ascii="仿宋" w:eastAsia="仿宋" w:hAnsi="仿宋"/>
          <w:noProof/>
          <w:color w:val="000000" w:themeColor="text1"/>
          <w:sz w:val="28"/>
          <w:szCs w:val="28"/>
        </w:rPr>
        <w:drawing>
          <wp:anchor distT="0" distB="0" distL="114300" distR="114300" simplePos="0" relativeHeight="251661312" behindDoc="0" locked="0" layoutInCell="1" allowOverlap="1">
            <wp:simplePos x="0" y="0"/>
            <wp:positionH relativeFrom="column">
              <wp:posOffset>254000</wp:posOffset>
            </wp:positionH>
            <wp:positionV relativeFrom="paragraph">
              <wp:posOffset>124460</wp:posOffset>
            </wp:positionV>
            <wp:extent cx="4902835" cy="2752090"/>
            <wp:effectExtent l="4445" t="4445" r="7620" b="57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20120" w:rsidRDefault="00E20120">
      <w:pPr>
        <w:spacing w:line="600" w:lineRule="exact"/>
        <w:ind w:firstLineChars="200" w:firstLine="560"/>
        <w:outlineLvl w:val="1"/>
        <w:rPr>
          <w:rFonts w:ascii="仿宋" w:eastAsia="仿宋" w:hAnsi="仿宋"/>
          <w:color w:val="000000" w:themeColor="text1"/>
          <w:sz w:val="28"/>
          <w:szCs w:val="28"/>
        </w:rPr>
      </w:pPr>
      <w:bookmarkStart w:id="31" w:name="_Toc15377208"/>
      <w:bookmarkStart w:id="32" w:name="_Toc19089868"/>
    </w:p>
    <w:p w:rsidR="00E20120" w:rsidRDefault="00E20120">
      <w:pPr>
        <w:spacing w:line="600" w:lineRule="exact"/>
        <w:ind w:firstLineChars="200" w:firstLine="560"/>
        <w:outlineLvl w:val="1"/>
        <w:rPr>
          <w:rFonts w:ascii="仿宋" w:eastAsia="仿宋" w:hAnsi="仿宋"/>
          <w:color w:val="000000" w:themeColor="text1"/>
          <w:sz w:val="28"/>
          <w:szCs w:val="28"/>
        </w:rPr>
      </w:pPr>
    </w:p>
    <w:p w:rsidR="00E20120" w:rsidRDefault="00E20120">
      <w:pPr>
        <w:spacing w:line="600" w:lineRule="exact"/>
        <w:ind w:firstLineChars="200" w:firstLine="560"/>
        <w:outlineLvl w:val="1"/>
        <w:rPr>
          <w:rFonts w:ascii="仿宋" w:eastAsia="仿宋" w:hAnsi="仿宋"/>
          <w:color w:val="000000" w:themeColor="text1"/>
          <w:sz w:val="28"/>
          <w:szCs w:val="28"/>
        </w:rPr>
      </w:pPr>
    </w:p>
    <w:p w:rsidR="00E20120" w:rsidRDefault="00E20120">
      <w:pPr>
        <w:spacing w:line="600" w:lineRule="exact"/>
        <w:ind w:firstLineChars="200" w:firstLine="560"/>
        <w:outlineLvl w:val="1"/>
        <w:rPr>
          <w:rFonts w:ascii="仿宋" w:eastAsia="仿宋" w:hAnsi="仿宋"/>
          <w:color w:val="000000" w:themeColor="text1"/>
          <w:sz w:val="28"/>
          <w:szCs w:val="28"/>
        </w:rPr>
      </w:pPr>
    </w:p>
    <w:p w:rsidR="00E20120" w:rsidRDefault="00E20120">
      <w:pPr>
        <w:spacing w:line="600" w:lineRule="exact"/>
        <w:ind w:firstLineChars="200" w:firstLine="560"/>
        <w:outlineLvl w:val="1"/>
        <w:rPr>
          <w:rFonts w:ascii="仿宋" w:eastAsia="仿宋" w:hAnsi="仿宋"/>
          <w:color w:val="000000" w:themeColor="text1"/>
          <w:sz w:val="28"/>
          <w:szCs w:val="28"/>
        </w:rPr>
      </w:pPr>
    </w:p>
    <w:p w:rsidR="00E20120" w:rsidRDefault="00E20120">
      <w:pPr>
        <w:spacing w:line="600" w:lineRule="exact"/>
        <w:ind w:firstLineChars="200" w:firstLine="560"/>
        <w:outlineLvl w:val="1"/>
        <w:rPr>
          <w:rFonts w:ascii="仿宋" w:eastAsia="仿宋" w:hAnsi="仿宋"/>
          <w:color w:val="000000" w:themeColor="text1"/>
          <w:sz w:val="28"/>
          <w:szCs w:val="28"/>
        </w:rPr>
      </w:pPr>
    </w:p>
    <w:p w:rsidR="00E20120" w:rsidRDefault="00E20120">
      <w:pPr>
        <w:spacing w:line="600" w:lineRule="exact"/>
        <w:ind w:firstLineChars="200" w:firstLine="560"/>
        <w:outlineLvl w:val="1"/>
        <w:rPr>
          <w:rFonts w:ascii="仿宋" w:eastAsia="仿宋" w:hAnsi="仿宋"/>
          <w:color w:val="000000" w:themeColor="text1"/>
          <w:sz w:val="28"/>
          <w:szCs w:val="28"/>
        </w:rPr>
      </w:pPr>
    </w:p>
    <w:p w:rsidR="00E20120" w:rsidRDefault="0017070C">
      <w:pPr>
        <w:spacing w:line="600" w:lineRule="exact"/>
        <w:ind w:firstLineChars="200" w:firstLine="560"/>
        <w:outlineLvl w:val="1"/>
        <w:rPr>
          <w:rStyle w:val="2Char"/>
          <w:rFonts w:ascii="黑体" w:eastAsia="黑体" w:hAnsi="黑体" w:cs="黑体"/>
          <w:b w:val="0"/>
          <w:bCs w:val="0"/>
          <w:color w:val="000000" w:themeColor="text1"/>
          <w:sz w:val="28"/>
          <w:szCs w:val="28"/>
        </w:rPr>
      </w:pPr>
      <w:r>
        <w:rPr>
          <w:rFonts w:ascii="黑体" w:eastAsia="黑体" w:hAnsi="黑体" w:cs="黑体" w:hint="eastAsia"/>
          <w:color w:val="000000" w:themeColor="text1"/>
          <w:sz w:val="28"/>
          <w:szCs w:val="28"/>
        </w:rPr>
        <w:lastRenderedPageBreak/>
        <w:t>四、财</w:t>
      </w:r>
      <w:r>
        <w:rPr>
          <w:rStyle w:val="2Char"/>
          <w:rFonts w:ascii="黑体" w:eastAsia="黑体" w:hAnsi="黑体" w:cs="黑体" w:hint="eastAsia"/>
          <w:b w:val="0"/>
          <w:bCs w:val="0"/>
          <w:color w:val="000000" w:themeColor="text1"/>
          <w:sz w:val="28"/>
          <w:szCs w:val="28"/>
        </w:rPr>
        <w:t>政拨款收入支出决算总体情况说明</w:t>
      </w:r>
      <w:bookmarkEnd w:id="31"/>
      <w:bookmarkEnd w:id="32"/>
    </w:p>
    <w:p w:rsidR="00E20120" w:rsidRDefault="0017070C">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2020年财政拨款收入总计685.29万元。与2019年相比（700.75万元），财政拨款收入总计下降15.46万元，下降2.2%。</w:t>
      </w:r>
      <w:r>
        <w:rPr>
          <w:rFonts w:ascii="仿宋" w:eastAsia="仿宋" w:hAnsi="仿宋" w:hint="eastAsia"/>
          <w:color w:val="000000" w:themeColor="text1"/>
          <w:kern w:val="0"/>
          <w:sz w:val="28"/>
          <w:szCs w:val="28"/>
        </w:rPr>
        <w:t>主要变动原因</w:t>
      </w:r>
      <w:r>
        <w:rPr>
          <w:rFonts w:ascii="仿宋" w:eastAsia="仿宋" w:hAnsi="仿宋" w:hint="eastAsia"/>
          <w:color w:val="000000" w:themeColor="text1"/>
          <w:sz w:val="28"/>
          <w:szCs w:val="28"/>
        </w:rPr>
        <w:t>是因人员工资福利支出下降。</w:t>
      </w:r>
    </w:p>
    <w:p w:rsidR="00E20120" w:rsidRDefault="0017070C">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2020年财政拨款支出总计565.59万元。与2019年相比（696.61万元），财政拨款支出总计下降131.02万元，下降18.81%。</w:t>
      </w:r>
      <w:r>
        <w:rPr>
          <w:rFonts w:ascii="仿宋" w:eastAsia="仿宋" w:hAnsi="仿宋" w:hint="eastAsia"/>
          <w:color w:val="000000" w:themeColor="text1"/>
          <w:kern w:val="0"/>
          <w:sz w:val="28"/>
          <w:szCs w:val="28"/>
        </w:rPr>
        <w:t>主要变动原因</w:t>
      </w:r>
      <w:r>
        <w:rPr>
          <w:rFonts w:ascii="仿宋" w:eastAsia="仿宋" w:hAnsi="仿宋" w:hint="eastAsia"/>
          <w:color w:val="000000" w:themeColor="text1"/>
          <w:sz w:val="28"/>
          <w:szCs w:val="28"/>
        </w:rPr>
        <w:t>是因人员工资支出下降，项目未实施。（图4：财政拨款收、支决算总计变动情况）（柱状图）</w:t>
      </w:r>
    </w:p>
    <w:p w:rsidR="00E20120" w:rsidRDefault="0017070C">
      <w:pPr>
        <w:spacing w:line="600" w:lineRule="exact"/>
        <w:ind w:firstLine="640"/>
        <w:rPr>
          <w:rFonts w:ascii="仿宋" w:eastAsia="仿宋" w:hAnsi="仿宋"/>
          <w:color w:val="000000" w:themeColor="text1"/>
          <w:sz w:val="28"/>
          <w:szCs w:val="28"/>
        </w:rPr>
      </w:pPr>
      <w:r>
        <w:rPr>
          <w:rFonts w:ascii="仿宋" w:eastAsia="仿宋" w:hAnsi="仿宋" w:hint="eastAsia"/>
          <w:noProof/>
          <w:color w:val="000000" w:themeColor="text1"/>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color w:val="000000" w:themeColor="text1"/>
          <w:sz w:val="28"/>
          <w:szCs w:val="28"/>
        </w:rPr>
        <w:t>（除国有资本经营预算外，数据来源于财决</w:t>
      </w:r>
      <w:r>
        <w:rPr>
          <w:rFonts w:ascii="仿宋" w:eastAsia="仿宋" w:hAnsi="仿宋"/>
          <w:color w:val="000000" w:themeColor="text1"/>
          <w:sz w:val="28"/>
          <w:szCs w:val="28"/>
        </w:rPr>
        <w:t>Z01-1</w:t>
      </w:r>
      <w:r>
        <w:rPr>
          <w:rFonts w:ascii="仿宋" w:eastAsia="仿宋" w:hAnsi="仿宋" w:hint="eastAsia"/>
          <w:color w:val="000000" w:themeColor="text1"/>
          <w:sz w:val="28"/>
          <w:szCs w:val="28"/>
        </w:rPr>
        <w:t>表，口径为“总计”数+国有资本经营预算）</w:t>
      </w:r>
    </w:p>
    <w:p w:rsidR="00E20120" w:rsidRDefault="0017070C">
      <w:pPr>
        <w:spacing w:line="600" w:lineRule="exact"/>
        <w:ind w:firstLineChars="200" w:firstLine="560"/>
        <w:outlineLvl w:val="1"/>
        <w:rPr>
          <w:rStyle w:val="2Char"/>
          <w:rFonts w:ascii="黑体" w:eastAsia="黑体" w:hAnsi="黑体" w:cs="黑体"/>
          <w:b w:val="0"/>
          <w:bCs w:val="0"/>
          <w:color w:val="000000" w:themeColor="text1"/>
          <w:sz w:val="28"/>
          <w:szCs w:val="28"/>
        </w:rPr>
      </w:pPr>
      <w:bookmarkStart w:id="33" w:name="_Toc15377209"/>
      <w:bookmarkStart w:id="34" w:name="_Toc19089869"/>
      <w:r>
        <w:rPr>
          <w:rFonts w:ascii="黑体" w:eastAsia="黑体" w:hAnsi="黑体" w:cs="黑体" w:hint="eastAsia"/>
          <w:color w:val="000000" w:themeColor="text1"/>
          <w:sz w:val="28"/>
          <w:szCs w:val="28"/>
        </w:rPr>
        <w:t>五、一</w:t>
      </w:r>
      <w:r>
        <w:rPr>
          <w:rStyle w:val="2Char"/>
          <w:rFonts w:ascii="黑体" w:eastAsia="黑体" w:hAnsi="黑体" w:cs="黑体" w:hint="eastAsia"/>
          <w:b w:val="0"/>
          <w:bCs w:val="0"/>
          <w:color w:val="000000" w:themeColor="text1"/>
          <w:sz w:val="28"/>
          <w:szCs w:val="28"/>
        </w:rPr>
        <w:t>般公共预算财政拨款支出决算情况说明</w:t>
      </w:r>
      <w:bookmarkEnd w:id="33"/>
      <w:bookmarkEnd w:id="34"/>
    </w:p>
    <w:p w:rsidR="00E20120" w:rsidRDefault="0017070C">
      <w:pPr>
        <w:spacing w:line="600" w:lineRule="exact"/>
        <w:ind w:firstLineChars="200" w:firstLine="560"/>
        <w:outlineLvl w:val="2"/>
        <w:rPr>
          <w:rFonts w:ascii="楷体" w:eastAsia="楷体" w:hAnsi="楷体" w:cs="楷体"/>
          <w:color w:val="000000" w:themeColor="text1"/>
          <w:sz w:val="28"/>
          <w:szCs w:val="28"/>
        </w:rPr>
      </w:pPr>
      <w:bookmarkStart w:id="35" w:name="_Toc15377210"/>
      <w:r>
        <w:rPr>
          <w:rFonts w:ascii="楷体" w:eastAsia="楷体" w:hAnsi="楷体" w:cs="楷体" w:hint="eastAsia"/>
          <w:color w:val="000000" w:themeColor="text1"/>
          <w:sz w:val="28"/>
          <w:szCs w:val="28"/>
        </w:rPr>
        <w:t>（一）一般公共预算财政拨款支出决算总体情况</w:t>
      </w:r>
      <w:bookmarkEnd w:id="35"/>
    </w:p>
    <w:p w:rsidR="00E20120" w:rsidRDefault="0017070C">
      <w:pPr>
        <w:spacing w:line="52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20年一般公共预算财政拨款支出565.59万元，占本年支出合计（567.37</w:t>
      </w:r>
      <w:r>
        <w:rPr>
          <w:rFonts w:ascii="仿宋" w:eastAsia="仿宋" w:hAnsi="仿宋"/>
          <w:color w:val="000000" w:themeColor="text1"/>
          <w:sz w:val="28"/>
          <w:szCs w:val="28"/>
        </w:rPr>
        <w:t>万元</w:t>
      </w:r>
      <w:r>
        <w:rPr>
          <w:rFonts w:ascii="仿宋" w:eastAsia="仿宋" w:hAnsi="仿宋" w:hint="eastAsia"/>
          <w:color w:val="000000" w:themeColor="text1"/>
          <w:sz w:val="28"/>
          <w:szCs w:val="28"/>
        </w:rPr>
        <w:t>）的99.86</w:t>
      </w:r>
      <w:r>
        <w:rPr>
          <w:rFonts w:ascii="仿宋" w:eastAsia="仿宋" w:hAnsi="仿宋"/>
          <w:color w:val="000000" w:themeColor="text1"/>
          <w:sz w:val="28"/>
          <w:szCs w:val="28"/>
        </w:rPr>
        <w:t>%</w:t>
      </w:r>
      <w:r>
        <w:rPr>
          <w:rFonts w:ascii="仿宋" w:eastAsia="仿宋" w:hAnsi="仿宋" w:hint="eastAsia"/>
          <w:color w:val="000000" w:themeColor="text1"/>
          <w:sz w:val="28"/>
          <w:szCs w:val="28"/>
        </w:rPr>
        <w:t>。与</w:t>
      </w:r>
      <w:r>
        <w:rPr>
          <w:rFonts w:ascii="仿宋" w:eastAsia="仿宋" w:hAnsi="仿宋"/>
          <w:color w:val="000000" w:themeColor="text1"/>
          <w:sz w:val="28"/>
          <w:szCs w:val="28"/>
        </w:rPr>
        <w:t>20</w:t>
      </w:r>
      <w:r>
        <w:rPr>
          <w:rFonts w:ascii="仿宋" w:eastAsia="仿宋" w:hAnsi="仿宋" w:hint="eastAsia"/>
          <w:color w:val="000000" w:themeColor="text1"/>
          <w:sz w:val="28"/>
          <w:szCs w:val="28"/>
        </w:rPr>
        <w:t>19年相比（696.61万元），一般公共预算财政拨款支出下降131.02万元，下降18.81</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r>
        <w:rPr>
          <w:rFonts w:ascii="仿宋" w:eastAsia="仿宋" w:hAnsi="仿宋" w:hint="eastAsia"/>
          <w:color w:val="000000" w:themeColor="text1"/>
          <w:kern w:val="0"/>
          <w:sz w:val="28"/>
          <w:szCs w:val="28"/>
        </w:rPr>
        <w:t>主要变动原因</w:t>
      </w:r>
      <w:r>
        <w:rPr>
          <w:rFonts w:ascii="仿宋" w:eastAsia="仿宋" w:hAnsi="仿宋" w:hint="eastAsia"/>
          <w:color w:val="000000" w:themeColor="text1"/>
          <w:sz w:val="28"/>
          <w:szCs w:val="28"/>
        </w:rPr>
        <w:t>是因人员</w:t>
      </w:r>
      <w:r>
        <w:rPr>
          <w:rFonts w:ascii="仿宋" w:eastAsia="仿宋" w:hAnsi="仿宋" w:hint="eastAsia"/>
          <w:color w:val="000000" w:themeColor="text1"/>
          <w:sz w:val="28"/>
          <w:szCs w:val="28"/>
        </w:rPr>
        <w:lastRenderedPageBreak/>
        <w:t>工资支出下降，项目未实施。</w:t>
      </w:r>
    </w:p>
    <w:p w:rsidR="00E20120" w:rsidRDefault="0017070C">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（图5：一般公共预算财政拨款支出决算变动情况）（柱状图）</w:t>
      </w:r>
    </w:p>
    <w:p w:rsidR="00E20120" w:rsidRDefault="0017070C">
      <w:pPr>
        <w:spacing w:line="600" w:lineRule="exact"/>
        <w:ind w:firstLineChars="200" w:firstLine="560"/>
        <w:outlineLvl w:val="2"/>
        <w:rPr>
          <w:rFonts w:ascii="楷体" w:eastAsia="楷体" w:hAnsi="楷体" w:cs="楷体"/>
          <w:color w:val="000000" w:themeColor="text1"/>
          <w:sz w:val="28"/>
          <w:szCs w:val="28"/>
        </w:rPr>
      </w:pPr>
      <w:bookmarkStart w:id="36" w:name="_Toc15377211"/>
      <w:r>
        <w:rPr>
          <w:rFonts w:ascii="楷体" w:eastAsia="楷体" w:hAnsi="楷体" w:cs="楷体" w:hint="eastAsia"/>
          <w:noProof/>
          <w:color w:val="000000" w:themeColor="text1"/>
          <w:sz w:val="28"/>
          <w:szCs w:val="28"/>
        </w:rPr>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楷体" w:eastAsia="楷体" w:hAnsi="楷体" w:cs="楷体" w:hint="eastAsia"/>
          <w:color w:val="000000" w:themeColor="text1"/>
          <w:sz w:val="28"/>
          <w:szCs w:val="28"/>
        </w:rPr>
        <w:t>（二）一般公共预算财政拨款支出决算结构情况</w:t>
      </w:r>
      <w:bookmarkEnd w:id="36"/>
    </w:p>
    <w:p w:rsidR="00E20120" w:rsidRDefault="0017070C">
      <w:pPr>
        <w:spacing w:line="600" w:lineRule="exact"/>
        <w:ind w:firstLine="640"/>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20年一般公共预算财政拨款支出565.59万元，主要用于以下方面</w:t>
      </w:r>
      <w:r>
        <w:rPr>
          <w:rFonts w:ascii="仿宋" w:eastAsia="仿宋" w:hAnsi="仿宋"/>
          <w:color w:val="000000" w:themeColor="text1"/>
          <w:sz w:val="28"/>
          <w:szCs w:val="28"/>
        </w:rPr>
        <w:t>:</w:t>
      </w:r>
      <w:r>
        <w:rPr>
          <w:rFonts w:ascii="仿宋" w:eastAsia="仿宋" w:hAnsi="仿宋" w:hint="eastAsia"/>
          <w:color w:val="000000" w:themeColor="text1"/>
          <w:sz w:val="28"/>
          <w:szCs w:val="28"/>
        </w:rPr>
        <w:t>一般公共服务（类）支出0.00万元，占0.00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；教育支出（类）483.91万元，占85.56%；科学技术（类）支出0.00万元，占0.00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；社会保障和就业（类）支出62.56万元，占11.06</w:t>
      </w:r>
      <w:r>
        <w:rPr>
          <w:rFonts w:ascii="仿宋" w:eastAsia="仿宋" w:hAnsi="仿宋"/>
          <w:color w:val="000000" w:themeColor="text1"/>
          <w:sz w:val="28"/>
          <w:szCs w:val="28"/>
        </w:rPr>
        <w:t>%</w:t>
      </w:r>
      <w:r>
        <w:rPr>
          <w:rFonts w:ascii="仿宋" w:eastAsia="仿宋" w:hAnsi="仿宋" w:hint="eastAsia"/>
          <w:color w:val="000000" w:themeColor="text1"/>
          <w:sz w:val="28"/>
          <w:szCs w:val="28"/>
        </w:rPr>
        <w:t>；卫生健康（类）支出19.12万元，占3.38%；农林水（类）支出16.53万元，占0.02%；住房保障(类)支出0万元，占0</w:t>
      </w:r>
      <w:r>
        <w:rPr>
          <w:rFonts w:ascii="仿宋" w:eastAsia="仿宋" w:hAnsi="仿宋"/>
          <w:color w:val="000000" w:themeColor="text1"/>
          <w:sz w:val="28"/>
          <w:szCs w:val="28"/>
        </w:rPr>
        <w:t>%</w:t>
      </w:r>
      <w:r>
        <w:rPr>
          <w:rFonts w:ascii="仿宋" w:eastAsia="仿宋" w:hAnsi="仿宋" w:hint="eastAsia"/>
          <w:color w:val="000000" w:themeColor="text1"/>
          <w:sz w:val="28"/>
          <w:szCs w:val="28"/>
        </w:rPr>
        <w:t>；其它支出（类）支出0.00万元，占0.00%。</w:t>
      </w:r>
    </w:p>
    <w:p w:rsidR="00E20120" w:rsidRDefault="0017070C">
      <w:pPr>
        <w:spacing w:line="6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（图6：一般公共预算财政拨款支出决算结构）（饼状图）</w:t>
      </w:r>
    </w:p>
    <w:p w:rsidR="00E20120" w:rsidRDefault="0017070C">
      <w:pPr>
        <w:spacing w:line="600" w:lineRule="exact"/>
        <w:ind w:firstLineChars="200" w:firstLine="560"/>
        <w:outlineLvl w:val="2"/>
        <w:rPr>
          <w:rFonts w:ascii="楷体" w:eastAsia="楷体" w:hAnsi="楷体" w:cs="楷体"/>
          <w:color w:val="000000" w:themeColor="text1"/>
          <w:sz w:val="28"/>
          <w:szCs w:val="28"/>
        </w:rPr>
      </w:pPr>
      <w:bookmarkStart w:id="37" w:name="_Toc15377212"/>
      <w:r>
        <w:rPr>
          <w:rFonts w:ascii="仿宋" w:eastAsia="仿宋" w:hAnsi="仿宋"/>
          <w:noProof/>
          <w:color w:val="000000" w:themeColor="text1"/>
          <w:sz w:val="28"/>
          <w:szCs w:val="28"/>
        </w:rPr>
        <w:drawing>
          <wp:anchor distT="0" distB="0" distL="114300" distR="114300" simplePos="0" relativeHeight="251663360" behindDoc="0" locked="0" layoutInCell="1" allowOverlap="1">
            <wp:simplePos x="0" y="0"/>
            <wp:positionH relativeFrom="column">
              <wp:posOffset>269875</wp:posOffset>
            </wp:positionH>
            <wp:positionV relativeFrom="paragraph">
              <wp:posOffset>52070</wp:posOffset>
            </wp:positionV>
            <wp:extent cx="4925695" cy="2539365"/>
            <wp:effectExtent l="4445" t="4445" r="22860"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20120" w:rsidRDefault="00E20120">
      <w:pPr>
        <w:spacing w:line="600" w:lineRule="exact"/>
        <w:ind w:firstLineChars="200" w:firstLine="560"/>
        <w:outlineLvl w:val="2"/>
        <w:rPr>
          <w:rFonts w:ascii="楷体" w:eastAsia="楷体" w:hAnsi="楷体" w:cs="楷体"/>
          <w:color w:val="000000" w:themeColor="text1"/>
          <w:sz w:val="28"/>
          <w:szCs w:val="28"/>
        </w:rPr>
      </w:pPr>
    </w:p>
    <w:p w:rsidR="00E20120" w:rsidRDefault="00E20120">
      <w:pPr>
        <w:spacing w:line="600" w:lineRule="exact"/>
        <w:ind w:firstLineChars="200" w:firstLine="560"/>
        <w:outlineLvl w:val="2"/>
        <w:rPr>
          <w:rFonts w:ascii="楷体" w:eastAsia="楷体" w:hAnsi="楷体" w:cs="楷体"/>
          <w:color w:val="000000" w:themeColor="text1"/>
          <w:sz w:val="28"/>
          <w:szCs w:val="28"/>
        </w:rPr>
      </w:pPr>
    </w:p>
    <w:p w:rsidR="00E20120" w:rsidRDefault="00E20120">
      <w:pPr>
        <w:spacing w:line="600" w:lineRule="exact"/>
        <w:ind w:firstLineChars="200" w:firstLine="560"/>
        <w:outlineLvl w:val="2"/>
        <w:rPr>
          <w:rFonts w:ascii="楷体" w:eastAsia="楷体" w:hAnsi="楷体" w:cs="楷体"/>
          <w:color w:val="000000" w:themeColor="text1"/>
          <w:sz w:val="28"/>
          <w:szCs w:val="28"/>
        </w:rPr>
      </w:pPr>
    </w:p>
    <w:p w:rsidR="00E20120" w:rsidRDefault="00E20120">
      <w:pPr>
        <w:spacing w:line="600" w:lineRule="exact"/>
        <w:ind w:firstLineChars="200" w:firstLine="560"/>
        <w:outlineLvl w:val="2"/>
        <w:rPr>
          <w:rFonts w:ascii="楷体" w:eastAsia="楷体" w:hAnsi="楷体" w:cs="楷体"/>
          <w:color w:val="000000" w:themeColor="text1"/>
          <w:sz w:val="28"/>
          <w:szCs w:val="28"/>
        </w:rPr>
      </w:pPr>
    </w:p>
    <w:p w:rsidR="00E20120" w:rsidRDefault="00E20120">
      <w:pPr>
        <w:spacing w:line="600" w:lineRule="exact"/>
        <w:ind w:firstLineChars="200" w:firstLine="560"/>
        <w:outlineLvl w:val="2"/>
        <w:rPr>
          <w:rFonts w:ascii="楷体" w:eastAsia="楷体" w:hAnsi="楷体" w:cs="楷体"/>
          <w:color w:val="000000" w:themeColor="text1"/>
          <w:sz w:val="28"/>
          <w:szCs w:val="28"/>
        </w:rPr>
      </w:pPr>
    </w:p>
    <w:p w:rsidR="00E20120" w:rsidRDefault="00E20120">
      <w:pPr>
        <w:spacing w:line="600" w:lineRule="exact"/>
        <w:ind w:firstLineChars="200" w:firstLine="560"/>
        <w:outlineLvl w:val="2"/>
        <w:rPr>
          <w:rFonts w:ascii="楷体" w:eastAsia="楷体" w:hAnsi="楷体" w:cs="楷体"/>
          <w:color w:val="000000" w:themeColor="text1"/>
          <w:sz w:val="28"/>
          <w:szCs w:val="28"/>
        </w:rPr>
      </w:pPr>
    </w:p>
    <w:p w:rsidR="00E20120" w:rsidRDefault="0017070C">
      <w:pPr>
        <w:snapToGrid w:val="0"/>
        <w:spacing w:line="500" w:lineRule="exact"/>
        <w:ind w:firstLineChars="200" w:firstLine="560"/>
        <w:outlineLvl w:val="2"/>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lastRenderedPageBreak/>
        <w:t>（三）一般公共预算财政拨款支出决算具体情况</w:t>
      </w:r>
      <w:bookmarkEnd w:id="37"/>
    </w:p>
    <w:p w:rsidR="00E20120" w:rsidRDefault="0017070C">
      <w:pPr>
        <w:snapToGrid w:val="0"/>
        <w:spacing w:line="500" w:lineRule="exact"/>
        <w:ind w:firstLineChars="200" w:firstLine="560"/>
        <w:outlineLvl w:val="2"/>
        <w:rPr>
          <w:rFonts w:ascii="仿宋" w:eastAsia="仿宋" w:hAnsi="仿宋"/>
          <w:color w:val="000000" w:themeColor="text1"/>
          <w:sz w:val="28"/>
          <w:szCs w:val="28"/>
        </w:rPr>
      </w:pPr>
      <w:bookmarkStart w:id="38" w:name="_Toc15377213"/>
      <w:bookmarkStart w:id="39" w:name="_Toc15377444"/>
      <w:bookmarkStart w:id="40" w:name="_Toc15378460"/>
      <w:r>
        <w:rPr>
          <w:rFonts w:ascii="仿宋" w:eastAsia="仿宋" w:hAnsi="仿宋" w:hint="eastAsia"/>
          <w:color w:val="000000" w:themeColor="text1"/>
          <w:sz w:val="28"/>
          <w:szCs w:val="28"/>
        </w:rPr>
        <w:t>2020年一般公共预算支出决算数为565.59万元，</w:t>
      </w:r>
      <w:r>
        <w:rPr>
          <w:rStyle w:val="a8"/>
          <w:rFonts w:ascii="仿宋" w:eastAsia="仿宋" w:hAnsi="仿宋" w:hint="eastAsia"/>
          <w:b w:val="0"/>
          <w:color w:val="000000" w:themeColor="text1"/>
          <w:sz w:val="28"/>
          <w:szCs w:val="28"/>
        </w:rPr>
        <w:t>完成预算82.53</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。其中：</w:t>
      </w:r>
      <w:bookmarkEnd w:id="38"/>
      <w:bookmarkEnd w:id="39"/>
      <w:bookmarkEnd w:id="40"/>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b w:val="0"/>
          <w:color w:val="000000" w:themeColor="text1"/>
          <w:sz w:val="28"/>
          <w:szCs w:val="28"/>
        </w:rPr>
        <w:t>1.</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（类）教育管理事务（款）行政运行（项）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b w:val="0"/>
          <w:color w:val="000000" w:themeColor="text1"/>
          <w:sz w:val="28"/>
          <w:szCs w:val="28"/>
        </w:rPr>
        <w:t>2.</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（类）教育管理事务（款）一般行政管理事务（项）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b w:val="0"/>
          <w:color w:val="000000" w:themeColor="text1"/>
          <w:sz w:val="28"/>
          <w:szCs w:val="28"/>
        </w:rPr>
        <w:t>3.</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（类）教育管理事务（款）其它教育管理事务支出（项）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b w:val="0"/>
          <w:color w:val="000000" w:themeColor="text1"/>
          <w:sz w:val="28"/>
          <w:szCs w:val="28"/>
        </w:rPr>
        <w:t>4.</w:t>
      </w:r>
      <w:r>
        <w:rPr>
          <w:rStyle w:val="a8"/>
          <w:rFonts w:ascii="仿宋" w:eastAsia="仿宋" w:hAnsi="仿宋" w:hint="eastAsia"/>
          <w:b w:val="0"/>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（类）普通教育（款）学前教育（项）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支出决算数为11.82万元，完成预算100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b w:val="0"/>
          <w:color w:val="000000" w:themeColor="text1"/>
          <w:sz w:val="28"/>
          <w:szCs w:val="28"/>
        </w:rPr>
        <w:t>5.</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（类）普通教育（款）小学教育（项）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支出决算数为290.61万元，完成预算67</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。决算数小于预算数的主要原因是项目未实施，资金结转下年使用。</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hint="eastAsia"/>
          <w:b w:val="0"/>
          <w:color w:val="000000" w:themeColor="text1"/>
          <w:sz w:val="28"/>
          <w:szCs w:val="28"/>
        </w:rPr>
        <w:t>6</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（类）普通教育（款）初中教育（项）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支出决算数为171.98万元，完成预算106.18</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。决算数大于预算数的主要原因是历年项目已实施完成。</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7</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（类）普通教育（款）高中教育（项）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hint="eastAsia"/>
          <w:b w:val="0"/>
          <w:color w:val="000000" w:themeColor="text1"/>
          <w:sz w:val="28"/>
          <w:szCs w:val="28"/>
        </w:rPr>
        <w:t>8</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（类）普通教育（款）其它普通教育（项）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支出决算数为9.5万元，完成预算142</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。决算数大于预算数的主要原因是营养餐工作人员补助资金项目已使用。</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9</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（类）职业教育（款）职业高中教育（项）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支出决算数为0万元，完成预算0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hint="eastAsia"/>
          <w:b w:val="0"/>
          <w:color w:val="000000" w:themeColor="text1"/>
          <w:sz w:val="28"/>
          <w:szCs w:val="28"/>
        </w:rPr>
        <w:t>10</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（类）职业教育（款）高等职业教育（项）</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支出决算数为0万元，完成预算0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lastRenderedPageBreak/>
        <w:t xml:space="preserve">11.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（类）特殊教育（款）特殊学校教育（项）：支出决算数为0万元，完成预算0%。</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 xml:space="preserve">12.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（类）特殊教育（款）工读学校教育（项）：支出决算数为0万元，完成预算0%。</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13.</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（类）教育附加费安排的支出（款）农村中小学校舍建设（项）</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支出决算为0万元，完成预算0.%。</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hint="eastAsia"/>
          <w:b w:val="0"/>
          <w:color w:val="000000" w:themeColor="text1"/>
          <w:sz w:val="28"/>
          <w:szCs w:val="28"/>
        </w:rPr>
        <w:t>14.</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（类）教育附加费安排的支出（款）农村中小学教学设施（项）</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支出决算为0万元，完成预算0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15.</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（类）教育附加费安排的支出（款）城市中小学教学设施（项）</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支出决算为0万元，完成预算0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16.</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（类）教育附加费安排的支出（款）其他教育附加安排的支出（项）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hint="eastAsia"/>
          <w:b w:val="0"/>
          <w:color w:val="000000" w:themeColor="text1"/>
          <w:sz w:val="28"/>
          <w:szCs w:val="28"/>
        </w:rPr>
        <w:t>17</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w:t>
      </w:r>
      <w:r>
        <w:rPr>
          <w:rStyle w:val="a8"/>
          <w:rFonts w:ascii="仿宋" w:eastAsia="仿宋" w:hAnsi="仿宋"/>
          <w:b w:val="0"/>
          <w:color w:val="000000" w:themeColor="text1"/>
          <w:sz w:val="28"/>
          <w:szCs w:val="28"/>
        </w:rPr>
        <w:t>教育支出</w:t>
      </w:r>
      <w:r>
        <w:rPr>
          <w:rStyle w:val="a8"/>
          <w:rFonts w:ascii="仿宋" w:eastAsia="仿宋" w:hAnsi="仿宋" w:hint="eastAsia"/>
          <w:b w:val="0"/>
          <w:color w:val="000000" w:themeColor="text1"/>
          <w:sz w:val="28"/>
          <w:szCs w:val="28"/>
        </w:rPr>
        <w:t>（类）其它教育支出（款）其他教育支出（项）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18</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w:t>
      </w:r>
      <w:r>
        <w:rPr>
          <w:rStyle w:val="a8"/>
          <w:rFonts w:ascii="仿宋" w:eastAsia="仿宋" w:hAnsi="仿宋" w:hint="eastAsia"/>
          <w:b w:val="0"/>
          <w:color w:val="000000" w:themeColor="text1"/>
          <w:sz w:val="28"/>
          <w:szCs w:val="28"/>
        </w:rPr>
        <w:t>文化旅游体育与传媒支出（类）体育（款）体育竞赛（项）</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支出决算为0.00万元，完成预算0.00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19</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社会保障和就业支出</w:t>
      </w:r>
      <w:r>
        <w:rPr>
          <w:rStyle w:val="a8"/>
          <w:rFonts w:ascii="仿宋" w:eastAsia="仿宋" w:hAnsi="仿宋" w:hint="eastAsia"/>
          <w:b w:val="0"/>
          <w:color w:val="000000" w:themeColor="text1"/>
          <w:sz w:val="28"/>
          <w:szCs w:val="28"/>
        </w:rPr>
        <w:t>（类）行政事业单位离退休（款）未归口管理的行政单位离退休（项）</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支出决算为13.52万元，完成预算100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20</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社会保障和就业支出</w:t>
      </w:r>
      <w:r>
        <w:rPr>
          <w:rStyle w:val="a8"/>
          <w:rFonts w:ascii="仿宋" w:eastAsia="仿宋" w:hAnsi="仿宋" w:hint="eastAsia"/>
          <w:b w:val="0"/>
          <w:color w:val="000000" w:themeColor="text1"/>
          <w:sz w:val="28"/>
          <w:szCs w:val="28"/>
        </w:rPr>
        <w:t>（类）行政事业单位离退休（款）机关事业单位基本养老保险缴费支出（项）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支出决算为35.83万元，完成预算100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21</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社会保障和就业支出</w:t>
      </w:r>
      <w:r>
        <w:rPr>
          <w:rStyle w:val="a8"/>
          <w:rFonts w:ascii="仿宋" w:eastAsia="仿宋" w:hAnsi="仿宋" w:hint="eastAsia"/>
          <w:b w:val="0"/>
          <w:color w:val="000000" w:themeColor="text1"/>
          <w:sz w:val="28"/>
          <w:szCs w:val="28"/>
        </w:rPr>
        <w:t>（类）行政事业单位离退休（款）机关事业单位职业年金缴费支出（项）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支出决算为3.5万元，完成预算100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22</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社会保障和就业支出</w:t>
      </w:r>
      <w:r>
        <w:rPr>
          <w:rStyle w:val="a8"/>
          <w:rFonts w:ascii="仿宋" w:eastAsia="仿宋" w:hAnsi="仿宋" w:hint="eastAsia"/>
          <w:b w:val="0"/>
          <w:color w:val="000000" w:themeColor="text1"/>
          <w:sz w:val="28"/>
          <w:szCs w:val="28"/>
        </w:rPr>
        <w:t>（类）抚恤（款）死亡抚恤（项）</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支出决算为6.29万元，完成预算100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23</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社会保障和就业支出</w:t>
      </w:r>
      <w:r>
        <w:rPr>
          <w:rStyle w:val="a8"/>
          <w:rFonts w:ascii="仿宋" w:eastAsia="仿宋" w:hAnsi="仿宋" w:hint="eastAsia"/>
          <w:b w:val="0"/>
          <w:color w:val="000000" w:themeColor="text1"/>
          <w:sz w:val="28"/>
          <w:szCs w:val="28"/>
        </w:rPr>
        <w:t>（类）其它社会保障和就业支出（款）其它</w:t>
      </w:r>
      <w:r>
        <w:rPr>
          <w:rStyle w:val="a8"/>
          <w:rFonts w:ascii="仿宋" w:eastAsia="仿宋" w:hAnsi="仿宋" w:hint="eastAsia"/>
          <w:b w:val="0"/>
          <w:color w:val="000000" w:themeColor="text1"/>
          <w:sz w:val="28"/>
          <w:szCs w:val="28"/>
        </w:rPr>
        <w:lastRenderedPageBreak/>
        <w:t>社会保障和就业支出（项）</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支出决算为3.42万元，完成预算100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Style w:val="a8"/>
          <w:rFonts w:ascii="仿宋" w:eastAsia="仿宋" w:hAnsi="仿宋"/>
          <w:b w:val="0"/>
          <w:color w:val="000000" w:themeColor="text1"/>
          <w:sz w:val="28"/>
          <w:szCs w:val="28"/>
        </w:rPr>
      </w:pPr>
      <w:r>
        <w:rPr>
          <w:rStyle w:val="a8"/>
          <w:rFonts w:ascii="仿宋" w:eastAsia="仿宋" w:hAnsi="仿宋" w:hint="eastAsia"/>
          <w:b w:val="0"/>
          <w:color w:val="000000" w:themeColor="text1"/>
          <w:sz w:val="28"/>
          <w:szCs w:val="28"/>
        </w:rPr>
        <w:t>24</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卫生健康支出</w:t>
      </w:r>
      <w:r>
        <w:rPr>
          <w:rStyle w:val="a8"/>
          <w:rFonts w:ascii="仿宋" w:eastAsia="仿宋" w:hAnsi="仿宋" w:hint="eastAsia"/>
          <w:b w:val="0"/>
          <w:color w:val="000000" w:themeColor="text1"/>
          <w:sz w:val="28"/>
          <w:szCs w:val="28"/>
        </w:rPr>
        <w:t>（类）行政事业单位医疗（款）行政单位医疗（项）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highlight w:val="yellow"/>
        </w:rPr>
      </w:pPr>
      <w:r>
        <w:rPr>
          <w:rStyle w:val="a8"/>
          <w:rFonts w:ascii="仿宋" w:eastAsia="仿宋" w:hAnsi="仿宋" w:hint="eastAsia"/>
          <w:b w:val="0"/>
          <w:color w:val="000000" w:themeColor="text1"/>
          <w:sz w:val="28"/>
          <w:szCs w:val="28"/>
        </w:rPr>
        <w:t>25</w:t>
      </w:r>
      <w:r>
        <w:rPr>
          <w:rStyle w:val="a8"/>
          <w:rFonts w:ascii="仿宋" w:eastAsia="仿宋" w:hAnsi="仿宋"/>
          <w:b w:val="0"/>
          <w:color w:val="000000" w:themeColor="text1"/>
          <w:sz w:val="28"/>
          <w:szCs w:val="28"/>
        </w:rPr>
        <w:t>.</w:t>
      </w:r>
      <w:r>
        <w:rPr>
          <w:rFonts w:ascii="仿宋" w:eastAsia="仿宋" w:hAnsi="仿宋"/>
          <w:color w:val="000000" w:themeColor="text1"/>
          <w:sz w:val="28"/>
          <w:szCs w:val="28"/>
        </w:rPr>
        <w:t xml:space="preserve"> 医疗卫生与计划生育</w:t>
      </w:r>
      <w:r>
        <w:rPr>
          <w:rStyle w:val="a8"/>
          <w:rFonts w:ascii="仿宋" w:eastAsia="仿宋" w:hAnsi="仿宋" w:hint="eastAsia"/>
          <w:b w:val="0"/>
          <w:color w:val="000000" w:themeColor="text1"/>
          <w:sz w:val="28"/>
          <w:szCs w:val="28"/>
        </w:rPr>
        <w:t>（类）行政事业单位医疗（款）事业单位医疗（项）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支出决算为19.12万元，完成预算100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b w:val="0"/>
          <w:color w:val="000000" w:themeColor="text1"/>
          <w:sz w:val="28"/>
          <w:szCs w:val="28"/>
        </w:rPr>
        <w:t>26.</w:t>
      </w:r>
      <w:r>
        <w:rPr>
          <w:rFonts w:ascii="仿宋" w:eastAsia="仿宋" w:hAnsi="仿宋"/>
          <w:color w:val="000000" w:themeColor="text1"/>
          <w:sz w:val="28"/>
          <w:szCs w:val="28"/>
        </w:rPr>
        <w:t xml:space="preserve"> 农林水支出</w:t>
      </w:r>
      <w:r>
        <w:rPr>
          <w:rStyle w:val="a8"/>
          <w:rFonts w:ascii="仿宋" w:eastAsia="仿宋" w:hAnsi="仿宋" w:hint="eastAsia"/>
          <w:b w:val="0"/>
          <w:color w:val="000000" w:themeColor="text1"/>
          <w:sz w:val="28"/>
          <w:szCs w:val="28"/>
        </w:rPr>
        <w:t>（类）扶贫（款）其它扶贫支出（项）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Chars="200" w:firstLine="560"/>
        <w:rPr>
          <w:rFonts w:ascii="仿宋" w:eastAsia="仿宋" w:hAnsi="仿宋"/>
          <w:color w:val="000000" w:themeColor="text1"/>
          <w:sz w:val="28"/>
          <w:szCs w:val="28"/>
        </w:rPr>
      </w:pPr>
      <w:r>
        <w:rPr>
          <w:rStyle w:val="a8"/>
          <w:rFonts w:ascii="仿宋" w:eastAsia="仿宋" w:hAnsi="仿宋" w:hint="eastAsia"/>
          <w:b w:val="0"/>
          <w:color w:val="000000" w:themeColor="text1"/>
          <w:sz w:val="28"/>
          <w:szCs w:val="28"/>
        </w:rPr>
        <w:t>2</w:t>
      </w:r>
      <w:r>
        <w:rPr>
          <w:rStyle w:val="a8"/>
          <w:rFonts w:ascii="仿宋" w:eastAsia="仿宋" w:hAnsi="仿宋"/>
          <w:b w:val="0"/>
          <w:color w:val="000000" w:themeColor="text1"/>
          <w:sz w:val="28"/>
          <w:szCs w:val="28"/>
        </w:rPr>
        <w:t>7.</w:t>
      </w:r>
      <w:r>
        <w:rPr>
          <w:rFonts w:ascii="仿宋" w:eastAsia="仿宋" w:hAnsi="仿宋"/>
          <w:color w:val="000000" w:themeColor="text1"/>
          <w:sz w:val="28"/>
          <w:szCs w:val="28"/>
        </w:rPr>
        <w:t xml:space="preserve"> 住房保障支出</w:t>
      </w:r>
      <w:r>
        <w:rPr>
          <w:rStyle w:val="a8"/>
          <w:rFonts w:ascii="仿宋" w:eastAsia="仿宋" w:hAnsi="仿宋" w:hint="eastAsia"/>
          <w:b w:val="0"/>
          <w:color w:val="000000" w:themeColor="text1"/>
          <w:sz w:val="28"/>
          <w:szCs w:val="28"/>
        </w:rPr>
        <w:t>（类）住房改革支出（款）住房公积金（项）</w:t>
      </w:r>
      <w:r>
        <w:rPr>
          <w:rStyle w:val="a8"/>
          <w:rFonts w:ascii="仿宋" w:eastAsia="仿宋" w:hAnsi="仿宋"/>
          <w:b w:val="0"/>
          <w:color w:val="000000" w:themeColor="text1"/>
          <w:sz w:val="28"/>
          <w:szCs w:val="28"/>
        </w:rPr>
        <w:t xml:space="preserve">: </w:t>
      </w:r>
      <w:r>
        <w:rPr>
          <w:rStyle w:val="a8"/>
          <w:rFonts w:ascii="仿宋" w:eastAsia="仿宋" w:hAnsi="仿宋" w:hint="eastAsia"/>
          <w:b w:val="0"/>
          <w:color w:val="000000" w:themeColor="text1"/>
          <w:sz w:val="28"/>
          <w:szCs w:val="28"/>
        </w:rPr>
        <w:t>支出决算为0万元，完成预算0</w:t>
      </w:r>
      <w:r>
        <w:rPr>
          <w:rStyle w:val="a8"/>
          <w:rFonts w:ascii="仿宋" w:eastAsia="仿宋" w:hAnsi="仿宋"/>
          <w:b w:val="0"/>
          <w:color w:val="000000" w:themeColor="text1"/>
          <w:sz w:val="28"/>
          <w:szCs w:val="28"/>
        </w:rPr>
        <w:t>%</w:t>
      </w:r>
      <w:r>
        <w:rPr>
          <w:rStyle w:val="a8"/>
          <w:rFonts w:ascii="仿宋" w:eastAsia="仿宋" w:hAnsi="仿宋" w:hint="eastAsia"/>
          <w:b w:val="0"/>
          <w:color w:val="000000" w:themeColor="text1"/>
          <w:sz w:val="28"/>
          <w:szCs w:val="28"/>
        </w:rPr>
        <w:t>。</w:t>
      </w:r>
    </w:p>
    <w:p w:rsidR="00E20120" w:rsidRDefault="0017070C">
      <w:pPr>
        <w:snapToGrid w:val="0"/>
        <w:spacing w:line="500" w:lineRule="exact"/>
        <w:ind w:firstLine="640"/>
        <w:rPr>
          <w:rFonts w:ascii="仿宋" w:eastAsia="仿宋" w:hAnsi="仿宋"/>
          <w:color w:val="000000" w:themeColor="text1"/>
          <w:sz w:val="28"/>
          <w:szCs w:val="28"/>
        </w:rPr>
      </w:pPr>
      <w:r>
        <w:rPr>
          <w:rFonts w:ascii="仿宋" w:eastAsia="仿宋" w:hAnsi="仿宋" w:hint="eastAsia"/>
          <w:color w:val="000000" w:themeColor="text1"/>
          <w:sz w:val="28"/>
          <w:szCs w:val="28"/>
        </w:rPr>
        <w:t>（数据来源财决</w:t>
      </w:r>
      <w:r>
        <w:rPr>
          <w:rFonts w:ascii="仿宋" w:eastAsia="仿宋" w:hAnsi="仿宋"/>
          <w:color w:val="000000" w:themeColor="text1"/>
          <w:sz w:val="28"/>
          <w:szCs w:val="28"/>
        </w:rPr>
        <w:t>08</w:t>
      </w:r>
      <w:r>
        <w:rPr>
          <w:rFonts w:ascii="仿宋" w:eastAsia="仿宋" w:hAnsi="仿宋" w:hint="eastAsia"/>
          <w:color w:val="000000" w:themeColor="text1"/>
          <w:sz w:val="28"/>
          <w:szCs w:val="28"/>
        </w:rPr>
        <w:t>表，罗列全部功能分类科目至项级。上述“预算”口径为调整预算数。增减变动原因为决算数</w:t>
      </w:r>
      <w:r>
        <w:rPr>
          <w:rFonts w:ascii="仿宋" w:eastAsia="仿宋" w:hAnsi="仿宋"/>
          <w:color w:val="000000" w:themeColor="text1"/>
          <w:sz w:val="28"/>
          <w:szCs w:val="28"/>
        </w:rPr>
        <w:t>&lt;</w:t>
      </w:r>
      <w:r>
        <w:rPr>
          <w:rFonts w:ascii="仿宋" w:eastAsia="仿宋" w:hAnsi="仿宋" w:hint="eastAsia"/>
          <w:color w:val="000000" w:themeColor="text1"/>
          <w:sz w:val="28"/>
          <w:szCs w:val="28"/>
        </w:rPr>
        <w:t>项级</w:t>
      </w:r>
      <w:r>
        <w:rPr>
          <w:rFonts w:ascii="仿宋" w:eastAsia="仿宋" w:hAnsi="仿宋"/>
          <w:color w:val="000000" w:themeColor="text1"/>
          <w:sz w:val="28"/>
          <w:szCs w:val="28"/>
        </w:rPr>
        <w:t>&gt;</w:t>
      </w:r>
      <w:r>
        <w:rPr>
          <w:rFonts w:ascii="仿宋" w:eastAsia="仿宋" w:hAnsi="仿宋" w:hint="eastAsia"/>
          <w:color w:val="000000" w:themeColor="text1"/>
          <w:sz w:val="28"/>
          <w:szCs w:val="28"/>
        </w:rPr>
        <w:t>和调整预算数</w:t>
      </w:r>
      <w:r>
        <w:rPr>
          <w:rFonts w:ascii="仿宋" w:eastAsia="仿宋" w:hAnsi="仿宋"/>
          <w:color w:val="000000" w:themeColor="text1"/>
          <w:sz w:val="28"/>
          <w:szCs w:val="28"/>
        </w:rPr>
        <w:t>&lt;</w:t>
      </w:r>
      <w:r>
        <w:rPr>
          <w:rFonts w:ascii="仿宋" w:eastAsia="仿宋" w:hAnsi="仿宋" w:hint="eastAsia"/>
          <w:color w:val="000000" w:themeColor="text1"/>
          <w:sz w:val="28"/>
          <w:szCs w:val="28"/>
        </w:rPr>
        <w:t>项级</w:t>
      </w:r>
      <w:r>
        <w:rPr>
          <w:rFonts w:ascii="仿宋" w:eastAsia="仿宋" w:hAnsi="仿宋"/>
          <w:color w:val="000000" w:themeColor="text1"/>
          <w:sz w:val="28"/>
          <w:szCs w:val="28"/>
        </w:rPr>
        <w:t>&gt;</w:t>
      </w:r>
      <w:r>
        <w:rPr>
          <w:rFonts w:ascii="仿宋" w:eastAsia="仿宋" w:hAnsi="仿宋" w:hint="eastAsia"/>
          <w:color w:val="000000" w:themeColor="text1"/>
          <w:sz w:val="28"/>
          <w:szCs w:val="28"/>
        </w:rPr>
        <w:t>比较，与预算数持平可以不写原因。）</w:t>
      </w:r>
    </w:p>
    <w:p w:rsidR="00E20120" w:rsidRDefault="0017070C">
      <w:pPr>
        <w:snapToGrid w:val="0"/>
        <w:spacing w:line="500" w:lineRule="exact"/>
        <w:ind w:firstLine="640"/>
        <w:rPr>
          <w:rFonts w:ascii="仿宋" w:eastAsia="仿宋" w:hAnsi="仿宋"/>
          <w:color w:val="000000" w:themeColor="text1"/>
          <w:sz w:val="28"/>
          <w:szCs w:val="28"/>
        </w:rPr>
      </w:pPr>
      <w:r>
        <w:rPr>
          <w:rFonts w:ascii="仿宋" w:eastAsia="仿宋" w:hAnsi="仿宋" w:hint="eastAsia"/>
          <w:color w:val="000000" w:themeColor="text1"/>
          <w:sz w:val="28"/>
          <w:szCs w:val="28"/>
        </w:rPr>
        <w:t>（图7：一般公共预算财政拨款支出完成比例情况图）</w:t>
      </w:r>
    </w:p>
    <w:p w:rsidR="00E20120" w:rsidRDefault="0017070C">
      <w:pPr>
        <w:spacing w:line="600" w:lineRule="exact"/>
        <w:ind w:firstLine="640"/>
        <w:rPr>
          <w:rFonts w:ascii="黑体" w:eastAsia="黑体" w:hAnsi="黑体" w:cs="黑体"/>
          <w:color w:val="000000" w:themeColor="text1"/>
          <w:sz w:val="28"/>
          <w:szCs w:val="28"/>
        </w:rPr>
      </w:pPr>
      <w:bookmarkStart w:id="41" w:name="_Toc15377214"/>
      <w:r>
        <w:rPr>
          <w:rFonts w:ascii="仿宋" w:eastAsia="仿宋" w:hAnsi="仿宋" w:hint="eastAsia"/>
          <w:noProof/>
          <w:color w:val="000000" w:themeColor="text1"/>
          <w:sz w:val="28"/>
          <w:szCs w:val="28"/>
        </w:rPr>
        <w:drawing>
          <wp:anchor distT="0" distB="0" distL="114300" distR="114300" simplePos="0" relativeHeight="251664384" behindDoc="0" locked="0" layoutInCell="1" allowOverlap="1">
            <wp:simplePos x="0" y="0"/>
            <wp:positionH relativeFrom="column">
              <wp:posOffset>165100</wp:posOffset>
            </wp:positionH>
            <wp:positionV relativeFrom="paragraph">
              <wp:posOffset>267970</wp:posOffset>
            </wp:positionV>
            <wp:extent cx="5293360" cy="3667125"/>
            <wp:effectExtent l="4445" t="4445" r="17145" b="508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20120" w:rsidRDefault="0017070C">
      <w:pPr>
        <w:snapToGrid w:val="0"/>
        <w:spacing w:line="540" w:lineRule="exact"/>
        <w:ind w:firstLine="640"/>
        <w:rPr>
          <w:rStyle w:val="2Char"/>
          <w:rFonts w:ascii="黑体" w:eastAsia="黑体" w:hAnsi="黑体" w:cs="黑体"/>
          <w:b w:val="0"/>
          <w:bCs w:val="0"/>
          <w:color w:val="000000" w:themeColor="text1"/>
          <w:sz w:val="28"/>
          <w:szCs w:val="28"/>
        </w:rPr>
      </w:pPr>
      <w:r>
        <w:rPr>
          <w:rFonts w:ascii="黑体" w:eastAsia="黑体" w:hAnsi="黑体" w:cs="黑体" w:hint="eastAsia"/>
          <w:color w:val="000000" w:themeColor="text1"/>
          <w:sz w:val="28"/>
          <w:szCs w:val="28"/>
        </w:rPr>
        <w:lastRenderedPageBreak/>
        <w:t>六、一</w:t>
      </w:r>
      <w:r>
        <w:rPr>
          <w:rStyle w:val="2Char"/>
          <w:rFonts w:ascii="黑体" w:eastAsia="黑体" w:hAnsi="黑体" w:cs="黑体" w:hint="eastAsia"/>
          <w:b w:val="0"/>
          <w:bCs w:val="0"/>
          <w:color w:val="000000" w:themeColor="text1"/>
          <w:sz w:val="28"/>
          <w:szCs w:val="28"/>
        </w:rPr>
        <w:t>般公共预算财政拨款基本支出决算情况说明</w:t>
      </w:r>
      <w:bookmarkEnd w:id="41"/>
      <w:r>
        <w:rPr>
          <w:rStyle w:val="2Char"/>
          <w:rFonts w:ascii="黑体" w:eastAsia="黑体" w:hAnsi="黑体" w:cs="黑体" w:hint="eastAsia"/>
          <w:b w:val="0"/>
          <w:bCs w:val="0"/>
          <w:color w:val="000000" w:themeColor="text1"/>
          <w:sz w:val="28"/>
          <w:szCs w:val="28"/>
        </w:rPr>
        <w:tab/>
      </w:r>
    </w:p>
    <w:p w:rsidR="00E20120" w:rsidRDefault="0017070C">
      <w:pPr>
        <w:snapToGrid w:val="0"/>
        <w:spacing w:line="540" w:lineRule="exact"/>
        <w:ind w:firstLine="645"/>
        <w:rPr>
          <w:rFonts w:ascii="仿宋" w:eastAsia="仿宋" w:hAnsi="仿宋"/>
          <w:color w:val="000000" w:themeColor="text1"/>
          <w:sz w:val="28"/>
          <w:szCs w:val="28"/>
        </w:rPr>
      </w:pPr>
      <w:r>
        <w:rPr>
          <w:rFonts w:ascii="仿宋" w:eastAsia="仿宋" w:hAnsi="仿宋"/>
          <w:color w:val="000000" w:themeColor="text1"/>
          <w:sz w:val="28"/>
          <w:szCs w:val="28"/>
        </w:rPr>
        <w:t>2020</w:t>
      </w:r>
      <w:r>
        <w:rPr>
          <w:rFonts w:ascii="仿宋" w:eastAsia="仿宋" w:hAnsi="仿宋" w:hint="eastAsia"/>
          <w:color w:val="000000" w:themeColor="text1"/>
          <w:sz w:val="28"/>
          <w:szCs w:val="28"/>
        </w:rPr>
        <w:t>年一般公共预算财政拨款基本支出</w:t>
      </w:r>
      <w:r>
        <w:rPr>
          <w:rFonts w:ascii="仿宋" w:eastAsia="仿宋" w:hAnsi="仿宋"/>
          <w:color w:val="000000" w:themeColor="text1"/>
          <w:sz w:val="28"/>
          <w:szCs w:val="28"/>
        </w:rPr>
        <w:t>526.52</w:t>
      </w:r>
      <w:r>
        <w:rPr>
          <w:rFonts w:ascii="仿宋" w:eastAsia="仿宋" w:hAnsi="仿宋" w:hint="eastAsia"/>
          <w:color w:val="000000" w:themeColor="text1"/>
          <w:sz w:val="28"/>
          <w:szCs w:val="28"/>
        </w:rPr>
        <w:t>万元，其中：</w:t>
      </w:r>
    </w:p>
    <w:p w:rsidR="00E20120" w:rsidRDefault="0017070C">
      <w:pPr>
        <w:snapToGrid w:val="0"/>
        <w:spacing w:line="540" w:lineRule="exact"/>
        <w:ind w:firstLine="645"/>
        <w:rPr>
          <w:rFonts w:ascii="仿宋" w:eastAsia="仿宋" w:hAnsi="仿宋"/>
          <w:color w:val="000000" w:themeColor="text1"/>
          <w:sz w:val="28"/>
          <w:szCs w:val="28"/>
        </w:rPr>
      </w:pPr>
      <w:r>
        <w:rPr>
          <w:rFonts w:ascii="仿宋" w:eastAsia="仿宋" w:hAnsi="仿宋" w:hint="eastAsia"/>
          <w:color w:val="000000" w:themeColor="text1"/>
          <w:sz w:val="28"/>
          <w:szCs w:val="28"/>
        </w:rPr>
        <w:t>人员经费</w:t>
      </w:r>
      <w:r>
        <w:rPr>
          <w:rFonts w:ascii="仿宋" w:eastAsia="仿宋" w:hAnsi="仿宋"/>
          <w:color w:val="000000" w:themeColor="text1"/>
          <w:sz w:val="28"/>
          <w:szCs w:val="28"/>
        </w:rPr>
        <w:t>480.18</w:t>
      </w:r>
      <w:r>
        <w:rPr>
          <w:rFonts w:ascii="仿宋" w:eastAsia="仿宋" w:hAnsi="仿宋" w:hint="eastAsia"/>
          <w:color w:val="000000" w:themeColor="text1"/>
          <w:sz w:val="28"/>
          <w:szCs w:val="28"/>
        </w:rPr>
        <w:t>万元，主要包括：基本工资</w:t>
      </w:r>
      <w:r>
        <w:rPr>
          <w:rFonts w:ascii="仿宋" w:eastAsia="仿宋" w:hAnsi="仿宋"/>
          <w:color w:val="000000" w:themeColor="text1"/>
          <w:sz w:val="28"/>
          <w:szCs w:val="28"/>
        </w:rPr>
        <w:t>132.04</w:t>
      </w:r>
      <w:r>
        <w:rPr>
          <w:rFonts w:ascii="仿宋" w:eastAsia="仿宋" w:hAnsi="仿宋" w:hint="eastAsia"/>
          <w:color w:val="000000" w:themeColor="text1"/>
          <w:sz w:val="28"/>
          <w:szCs w:val="28"/>
        </w:rPr>
        <w:t>万元、津贴补贴</w:t>
      </w:r>
      <w:r>
        <w:rPr>
          <w:rFonts w:ascii="仿宋" w:eastAsia="仿宋" w:hAnsi="仿宋"/>
          <w:color w:val="000000" w:themeColor="text1"/>
          <w:sz w:val="28"/>
          <w:szCs w:val="28"/>
        </w:rPr>
        <w:t>35.65</w:t>
      </w:r>
      <w:r>
        <w:rPr>
          <w:rFonts w:ascii="仿宋" w:eastAsia="仿宋" w:hAnsi="仿宋" w:hint="eastAsia"/>
          <w:color w:val="000000" w:themeColor="text1"/>
          <w:sz w:val="28"/>
          <w:szCs w:val="28"/>
        </w:rPr>
        <w:t>万元、奖金0万元、伙食补助费0.00万元、绩效工资</w:t>
      </w:r>
      <w:r>
        <w:rPr>
          <w:rFonts w:ascii="仿宋" w:eastAsia="仿宋" w:hAnsi="仿宋"/>
          <w:color w:val="000000" w:themeColor="text1"/>
          <w:sz w:val="28"/>
          <w:szCs w:val="28"/>
        </w:rPr>
        <w:t>94.05</w:t>
      </w:r>
      <w:r>
        <w:rPr>
          <w:rFonts w:ascii="仿宋" w:eastAsia="仿宋" w:hAnsi="仿宋" w:hint="eastAsia"/>
          <w:color w:val="000000" w:themeColor="text1"/>
          <w:sz w:val="28"/>
          <w:szCs w:val="28"/>
        </w:rPr>
        <w:t>万元、机关事业单位基本养老保险缴费</w:t>
      </w:r>
      <w:r>
        <w:rPr>
          <w:rFonts w:ascii="仿宋" w:eastAsia="仿宋" w:hAnsi="仿宋"/>
          <w:color w:val="000000" w:themeColor="text1"/>
          <w:sz w:val="28"/>
          <w:szCs w:val="28"/>
        </w:rPr>
        <w:t>35.83</w:t>
      </w:r>
      <w:r>
        <w:rPr>
          <w:rFonts w:ascii="仿宋" w:eastAsia="仿宋" w:hAnsi="仿宋" w:hint="eastAsia"/>
          <w:color w:val="000000" w:themeColor="text1"/>
          <w:sz w:val="28"/>
          <w:szCs w:val="28"/>
        </w:rPr>
        <w:t>万元、职业年金缴费</w:t>
      </w:r>
      <w:r>
        <w:rPr>
          <w:rFonts w:ascii="仿宋" w:eastAsia="仿宋" w:hAnsi="仿宋"/>
          <w:color w:val="000000" w:themeColor="text1"/>
          <w:sz w:val="28"/>
          <w:szCs w:val="28"/>
        </w:rPr>
        <w:t>3.50</w:t>
      </w:r>
      <w:r>
        <w:rPr>
          <w:rFonts w:ascii="仿宋" w:eastAsia="仿宋" w:hAnsi="仿宋" w:hint="eastAsia"/>
          <w:color w:val="000000" w:themeColor="text1"/>
          <w:sz w:val="28"/>
          <w:szCs w:val="28"/>
        </w:rPr>
        <w:t>万元、职工基本医疗保险缴费</w:t>
      </w:r>
      <w:r>
        <w:rPr>
          <w:rFonts w:ascii="仿宋" w:eastAsia="仿宋" w:hAnsi="仿宋"/>
          <w:color w:val="000000" w:themeColor="text1"/>
          <w:sz w:val="28"/>
          <w:szCs w:val="28"/>
        </w:rPr>
        <w:t>19.12</w:t>
      </w:r>
      <w:r>
        <w:rPr>
          <w:rFonts w:ascii="仿宋" w:eastAsia="仿宋" w:hAnsi="仿宋" w:hint="eastAsia"/>
          <w:color w:val="000000" w:themeColor="text1"/>
          <w:sz w:val="28"/>
          <w:szCs w:val="28"/>
        </w:rPr>
        <w:t>万元、其他社会保障缴费</w:t>
      </w:r>
      <w:r>
        <w:rPr>
          <w:rFonts w:ascii="仿宋" w:eastAsia="仿宋" w:hAnsi="仿宋"/>
          <w:color w:val="000000" w:themeColor="text1"/>
          <w:sz w:val="28"/>
          <w:szCs w:val="28"/>
        </w:rPr>
        <w:t>3.42</w:t>
      </w:r>
      <w:r>
        <w:rPr>
          <w:rFonts w:ascii="仿宋" w:eastAsia="仿宋" w:hAnsi="仿宋" w:hint="eastAsia"/>
          <w:color w:val="000000" w:themeColor="text1"/>
          <w:sz w:val="28"/>
          <w:szCs w:val="28"/>
        </w:rPr>
        <w:t>万元、住房公积金</w:t>
      </w:r>
      <w:r>
        <w:rPr>
          <w:rFonts w:ascii="仿宋" w:eastAsia="仿宋" w:hAnsi="仿宋"/>
          <w:color w:val="000000" w:themeColor="text1"/>
          <w:sz w:val="28"/>
          <w:szCs w:val="28"/>
        </w:rPr>
        <w:t>28.84</w:t>
      </w:r>
      <w:r>
        <w:rPr>
          <w:rFonts w:ascii="仿宋" w:eastAsia="仿宋" w:hAnsi="仿宋" w:hint="eastAsia"/>
          <w:color w:val="000000" w:themeColor="text1"/>
          <w:sz w:val="28"/>
          <w:szCs w:val="28"/>
        </w:rPr>
        <w:t>万元、其他工资福利支出</w:t>
      </w:r>
      <w:r>
        <w:rPr>
          <w:rFonts w:ascii="仿宋" w:eastAsia="仿宋" w:hAnsi="仿宋"/>
          <w:color w:val="000000" w:themeColor="text1"/>
          <w:sz w:val="28"/>
          <w:szCs w:val="28"/>
        </w:rPr>
        <w:t>70.72</w:t>
      </w:r>
      <w:r>
        <w:rPr>
          <w:rFonts w:ascii="仿宋" w:eastAsia="仿宋" w:hAnsi="仿宋" w:hint="eastAsia"/>
          <w:color w:val="000000" w:themeColor="text1"/>
          <w:sz w:val="28"/>
          <w:szCs w:val="28"/>
        </w:rPr>
        <w:t>万元、离休费0万元、退休费0万元、抚恤金</w:t>
      </w:r>
      <w:r>
        <w:rPr>
          <w:rFonts w:ascii="仿宋" w:eastAsia="仿宋" w:hAnsi="仿宋"/>
          <w:color w:val="000000" w:themeColor="text1"/>
          <w:sz w:val="28"/>
          <w:szCs w:val="28"/>
        </w:rPr>
        <w:t>6.29</w:t>
      </w:r>
      <w:r>
        <w:rPr>
          <w:rFonts w:ascii="仿宋" w:eastAsia="仿宋" w:hAnsi="仿宋" w:hint="eastAsia"/>
          <w:color w:val="000000" w:themeColor="text1"/>
          <w:sz w:val="28"/>
          <w:szCs w:val="28"/>
        </w:rPr>
        <w:t>万元、生活补助</w:t>
      </w:r>
      <w:r>
        <w:rPr>
          <w:rFonts w:ascii="仿宋" w:eastAsia="仿宋" w:hAnsi="仿宋"/>
          <w:color w:val="000000" w:themeColor="text1"/>
          <w:sz w:val="28"/>
          <w:szCs w:val="28"/>
        </w:rPr>
        <w:t>50.72</w:t>
      </w:r>
      <w:r>
        <w:rPr>
          <w:rFonts w:ascii="仿宋" w:eastAsia="仿宋" w:hAnsi="仿宋" w:hint="eastAsia"/>
          <w:color w:val="000000" w:themeColor="text1"/>
          <w:sz w:val="28"/>
          <w:szCs w:val="28"/>
        </w:rPr>
        <w:t>万元、助学金0万元、奖励金0万元等。</w:t>
      </w:r>
      <w:r>
        <w:rPr>
          <w:rFonts w:ascii="仿宋" w:eastAsia="仿宋" w:hAnsi="仿宋"/>
          <w:color w:val="000000" w:themeColor="text1"/>
          <w:sz w:val="28"/>
          <w:szCs w:val="28"/>
        </w:rPr>
        <w:br/>
      </w:r>
      <w:r>
        <w:rPr>
          <w:rFonts w:ascii="仿宋" w:eastAsia="仿宋" w:hAnsi="仿宋" w:hint="eastAsia"/>
          <w:color w:val="000000" w:themeColor="text1"/>
          <w:sz w:val="28"/>
          <w:szCs w:val="28"/>
        </w:rPr>
        <w:t xml:space="preserve">　　日常公用经费</w:t>
      </w:r>
      <w:r>
        <w:rPr>
          <w:rFonts w:ascii="仿宋" w:eastAsia="仿宋" w:hAnsi="仿宋"/>
          <w:color w:val="000000" w:themeColor="text1"/>
          <w:sz w:val="28"/>
          <w:szCs w:val="28"/>
        </w:rPr>
        <w:t>46.34</w:t>
      </w:r>
      <w:r>
        <w:rPr>
          <w:rFonts w:ascii="仿宋" w:eastAsia="仿宋" w:hAnsi="仿宋" w:hint="eastAsia"/>
          <w:color w:val="000000" w:themeColor="text1"/>
          <w:sz w:val="28"/>
          <w:szCs w:val="28"/>
        </w:rPr>
        <w:t>万元，主要包括：办公费</w:t>
      </w:r>
      <w:r>
        <w:rPr>
          <w:rFonts w:ascii="仿宋" w:eastAsia="仿宋" w:hAnsi="仿宋"/>
          <w:color w:val="000000" w:themeColor="text1"/>
          <w:sz w:val="28"/>
          <w:szCs w:val="28"/>
        </w:rPr>
        <w:t>5.23</w:t>
      </w:r>
      <w:r>
        <w:rPr>
          <w:rFonts w:ascii="仿宋" w:eastAsia="仿宋" w:hAnsi="仿宋" w:hint="eastAsia"/>
          <w:color w:val="000000" w:themeColor="text1"/>
          <w:sz w:val="28"/>
          <w:szCs w:val="28"/>
        </w:rPr>
        <w:t>万元、印刷费</w:t>
      </w:r>
      <w:r>
        <w:rPr>
          <w:rFonts w:ascii="仿宋" w:eastAsia="仿宋" w:hAnsi="仿宋"/>
          <w:color w:val="000000" w:themeColor="text1"/>
          <w:sz w:val="28"/>
          <w:szCs w:val="28"/>
        </w:rPr>
        <w:t>1.65</w:t>
      </w:r>
      <w:r>
        <w:rPr>
          <w:rFonts w:ascii="仿宋" w:eastAsia="仿宋" w:hAnsi="仿宋" w:hint="eastAsia"/>
          <w:color w:val="000000" w:themeColor="text1"/>
          <w:sz w:val="28"/>
          <w:szCs w:val="28"/>
        </w:rPr>
        <w:t>万元、咨询费0万元、手续费0.1</w:t>
      </w:r>
      <w:r>
        <w:rPr>
          <w:rFonts w:ascii="仿宋" w:eastAsia="仿宋" w:hAnsi="仿宋"/>
          <w:color w:val="000000" w:themeColor="text1"/>
          <w:sz w:val="28"/>
          <w:szCs w:val="28"/>
        </w:rPr>
        <w:t>0</w:t>
      </w:r>
      <w:r>
        <w:rPr>
          <w:rFonts w:ascii="仿宋" w:eastAsia="仿宋" w:hAnsi="仿宋" w:hint="eastAsia"/>
          <w:color w:val="000000" w:themeColor="text1"/>
          <w:sz w:val="28"/>
          <w:szCs w:val="28"/>
        </w:rPr>
        <w:t>万元、水费0万元、电费</w:t>
      </w:r>
      <w:r>
        <w:rPr>
          <w:rFonts w:ascii="仿宋" w:eastAsia="仿宋" w:hAnsi="仿宋"/>
          <w:color w:val="000000" w:themeColor="text1"/>
          <w:sz w:val="28"/>
          <w:szCs w:val="28"/>
        </w:rPr>
        <w:t>3.12</w:t>
      </w:r>
      <w:r>
        <w:rPr>
          <w:rFonts w:ascii="仿宋" w:eastAsia="仿宋" w:hAnsi="仿宋" w:hint="eastAsia"/>
          <w:color w:val="000000" w:themeColor="text1"/>
          <w:sz w:val="28"/>
          <w:szCs w:val="28"/>
        </w:rPr>
        <w:t>万元、邮电费2.8</w:t>
      </w:r>
      <w:r>
        <w:rPr>
          <w:rFonts w:ascii="仿宋" w:eastAsia="仿宋" w:hAnsi="仿宋"/>
          <w:color w:val="000000" w:themeColor="text1"/>
          <w:sz w:val="28"/>
          <w:szCs w:val="28"/>
        </w:rPr>
        <w:t>3</w:t>
      </w:r>
      <w:r>
        <w:rPr>
          <w:rFonts w:ascii="仿宋" w:eastAsia="仿宋" w:hAnsi="仿宋" w:hint="eastAsia"/>
          <w:color w:val="000000" w:themeColor="text1"/>
          <w:sz w:val="28"/>
          <w:szCs w:val="28"/>
        </w:rPr>
        <w:t>万元、物业管理费0万元、差旅费</w:t>
      </w:r>
      <w:r>
        <w:rPr>
          <w:rFonts w:ascii="仿宋" w:eastAsia="仿宋" w:hAnsi="仿宋"/>
          <w:color w:val="000000" w:themeColor="text1"/>
          <w:sz w:val="28"/>
          <w:szCs w:val="28"/>
        </w:rPr>
        <w:t>6.48</w:t>
      </w:r>
      <w:r>
        <w:rPr>
          <w:rFonts w:ascii="仿宋" w:eastAsia="仿宋" w:hAnsi="仿宋" w:hint="eastAsia"/>
          <w:color w:val="000000" w:themeColor="text1"/>
          <w:sz w:val="28"/>
          <w:szCs w:val="28"/>
        </w:rPr>
        <w:t>万元、因公出国（境）费用0.00万元、维修（护）费</w:t>
      </w:r>
      <w:r>
        <w:rPr>
          <w:rFonts w:ascii="仿宋" w:eastAsia="仿宋" w:hAnsi="仿宋"/>
          <w:color w:val="000000" w:themeColor="text1"/>
          <w:sz w:val="28"/>
          <w:szCs w:val="28"/>
        </w:rPr>
        <w:t>1.21</w:t>
      </w:r>
      <w:r>
        <w:rPr>
          <w:rFonts w:ascii="仿宋" w:eastAsia="仿宋" w:hAnsi="仿宋" w:hint="eastAsia"/>
          <w:color w:val="000000" w:themeColor="text1"/>
          <w:sz w:val="28"/>
          <w:szCs w:val="28"/>
        </w:rPr>
        <w:t>万元、租赁费0万元、会议费0万元、培训费</w:t>
      </w:r>
      <w:r>
        <w:rPr>
          <w:rFonts w:ascii="仿宋" w:eastAsia="仿宋" w:hAnsi="仿宋"/>
          <w:color w:val="000000" w:themeColor="text1"/>
          <w:sz w:val="28"/>
          <w:szCs w:val="28"/>
        </w:rPr>
        <w:t>1.12</w:t>
      </w:r>
      <w:r>
        <w:rPr>
          <w:rFonts w:ascii="仿宋" w:eastAsia="仿宋" w:hAnsi="仿宋" w:hint="eastAsia"/>
          <w:color w:val="000000" w:themeColor="text1"/>
          <w:sz w:val="28"/>
          <w:szCs w:val="28"/>
        </w:rPr>
        <w:t>万元、公务接待费0万元、专用材料费0万元、劳务费</w:t>
      </w:r>
      <w:r>
        <w:rPr>
          <w:rFonts w:ascii="仿宋" w:eastAsia="仿宋" w:hAnsi="仿宋"/>
          <w:color w:val="000000" w:themeColor="text1"/>
          <w:sz w:val="28"/>
          <w:szCs w:val="28"/>
        </w:rPr>
        <w:t>16.3</w:t>
      </w:r>
      <w:r>
        <w:rPr>
          <w:rFonts w:ascii="仿宋" w:eastAsia="仿宋" w:hAnsi="仿宋" w:hint="eastAsia"/>
          <w:color w:val="000000" w:themeColor="text1"/>
          <w:sz w:val="28"/>
          <w:szCs w:val="28"/>
        </w:rPr>
        <w:t>万元、委托业务费0.00万元、工会经费</w:t>
      </w:r>
      <w:r>
        <w:rPr>
          <w:rFonts w:ascii="仿宋" w:eastAsia="仿宋" w:hAnsi="仿宋"/>
          <w:color w:val="000000" w:themeColor="text1"/>
          <w:sz w:val="28"/>
          <w:szCs w:val="28"/>
        </w:rPr>
        <w:t>2.78</w:t>
      </w:r>
      <w:r>
        <w:rPr>
          <w:rFonts w:ascii="仿宋" w:eastAsia="仿宋" w:hAnsi="仿宋" w:hint="eastAsia"/>
          <w:color w:val="000000" w:themeColor="text1"/>
          <w:sz w:val="28"/>
          <w:szCs w:val="28"/>
        </w:rPr>
        <w:t>万元、福利费</w:t>
      </w:r>
      <w:r>
        <w:rPr>
          <w:rFonts w:ascii="仿宋" w:eastAsia="仿宋" w:hAnsi="仿宋"/>
          <w:color w:val="000000" w:themeColor="text1"/>
          <w:sz w:val="28"/>
          <w:szCs w:val="28"/>
        </w:rPr>
        <w:t>5.52</w:t>
      </w:r>
      <w:r>
        <w:rPr>
          <w:rFonts w:ascii="仿宋" w:eastAsia="仿宋" w:hAnsi="仿宋" w:hint="eastAsia"/>
          <w:color w:val="000000" w:themeColor="text1"/>
          <w:sz w:val="28"/>
          <w:szCs w:val="28"/>
        </w:rPr>
        <w:t>万元、公务用车运行维护费0.00万元、其他交通费0万元、税金及附加费用0.00万元、其他商品和服务支出0.00万元、办公设备购置0万元、专用设备购置0万元、信息网络及软件购置更新0万元、其他资本性支出等。</w:t>
      </w:r>
    </w:p>
    <w:p w:rsidR="00E20120" w:rsidRDefault="0017070C">
      <w:pPr>
        <w:snapToGrid w:val="0"/>
        <w:spacing w:line="540" w:lineRule="exact"/>
        <w:ind w:firstLine="640"/>
        <w:rPr>
          <w:rFonts w:ascii="仿宋" w:eastAsia="仿宋" w:hAnsi="仿宋"/>
          <w:color w:val="000000" w:themeColor="text1"/>
          <w:sz w:val="28"/>
          <w:szCs w:val="28"/>
        </w:rPr>
      </w:pPr>
      <w:r>
        <w:rPr>
          <w:rFonts w:ascii="仿宋" w:eastAsia="仿宋" w:hAnsi="仿宋" w:hint="eastAsia"/>
          <w:color w:val="000000" w:themeColor="text1"/>
          <w:sz w:val="28"/>
          <w:szCs w:val="28"/>
        </w:rPr>
        <w:t>（数据来源财决</w:t>
      </w:r>
      <w:r>
        <w:rPr>
          <w:rFonts w:ascii="仿宋" w:eastAsia="仿宋" w:hAnsi="仿宋"/>
          <w:color w:val="000000" w:themeColor="text1"/>
          <w:sz w:val="28"/>
          <w:szCs w:val="28"/>
        </w:rPr>
        <w:t>0</w:t>
      </w:r>
      <w:r>
        <w:rPr>
          <w:rFonts w:ascii="仿宋" w:eastAsia="仿宋" w:hAnsi="仿宋" w:hint="eastAsia"/>
          <w:color w:val="000000" w:themeColor="text1"/>
          <w:sz w:val="28"/>
          <w:szCs w:val="28"/>
        </w:rPr>
        <w:t>7表，根据本部门实际支出情况罗列全部经济分类科目。）</w:t>
      </w:r>
    </w:p>
    <w:p w:rsidR="00E20120" w:rsidRDefault="0017070C">
      <w:pPr>
        <w:snapToGrid w:val="0"/>
        <w:spacing w:line="540" w:lineRule="exact"/>
        <w:ind w:firstLine="640"/>
        <w:outlineLvl w:val="1"/>
        <w:rPr>
          <w:rStyle w:val="2Char"/>
          <w:rFonts w:ascii="黑体" w:eastAsia="黑体" w:hAnsi="黑体" w:cs="黑体"/>
          <w:b w:val="0"/>
          <w:bCs w:val="0"/>
          <w:color w:val="000000" w:themeColor="text1"/>
          <w:sz w:val="28"/>
          <w:szCs w:val="28"/>
        </w:rPr>
      </w:pPr>
      <w:bookmarkStart w:id="42" w:name="_Toc15377215"/>
      <w:bookmarkStart w:id="43" w:name="_Toc19089870"/>
      <w:r>
        <w:rPr>
          <w:rFonts w:ascii="黑体" w:eastAsia="黑体" w:hAnsi="黑体" w:cs="黑体" w:hint="eastAsia"/>
          <w:color w:val="000000" w:themeColor="text1"/>
          <w:sz w:val="28"/>
          <w:szCs w:val="28"/>
        </w:rPr>
        <w:t>七、</w:t>
      </w:r>
      <w:r>
        <w:rPr>
          <w:rStyle w:val="2Char"/>
          <w:rFonts w:ascii="黑体" w:eastAsia="黑体" w:hAnsi="黑体" w:cs="黑体" w:hint="eastAsia"/>
          <w:b w:val="0"/>
          <w:bCs w:val="0"/>
          <w:color w:val="000000" w:themeColor="text1"/>
          <w:sz w:val="28"/>
          <w:szCs w:val="28"/>
        </w:rPr>
        <w:t>“三公”经费财政拨款支出决算情况说明</w:t>
      </w:r>
      <w:bookmarkEnd w:id="42"/>
      <w:bookmarkEnd w:id="43"/>
    </w:p>
    <w:p w:rsidR="00E20120" w:rsidRDefault="0017070C">
      <w:pPr>
        <w:snapToGrid w:val="0"/>
        <w:spacing w:line="540" w:lineRule="exact"/>
        <w:ind w:firstLineChars="200" w:firstLine="560"/>
        <w:rPr>
          <w:rFonts w:ascii="楷体" w:eastAsia="楷体" w:hAnsi="楷体" w:cs="楷体"/>
          <w:color w:val="000000" w:themeColor="text1"/>
          <w:sz w:val="28"/>
          <w:szCs w:val="28"/>
        </w:rPr>
      </w:pPr>
      <w:bookmarkStart w:id="44" w:name="_Toc15377216"/>
      <w:r>
        <w:rPr>
          <w:rFonts w:ascii="楷体" w:eastAsia="楷体" w:hAnsi="楷体" w:cs="楷体" w:hint="eastAsia"/>
          <w:color w:val="000000" w:themeColor="text1"/>
          <w:sz w:val="28"/>
          <w:szCs w:val="28"/>
        </w:rPr>
        <w:t>（一）“三公”经费财政拨款支出决算总体情况说明</w:t>
      </w:r>
      <w:bookmarkEnd w:id="44"/>
    </w:p>
    <w:p w:rsidR="00E20120" w:rsidRDefault="0017070C">
      <w:pPr>
        <w:snapToGrid w:val="0"/>
        <w:spacing w:line="540" w:lineRule="exact"/>
        <w:ind w:firstLine="640"/>
        <w:rPr>
          <w:rFonts w:ascii="仿宋" w:eastAsia="仿宋" w:hAnsi="仿宋"/>
          <w:color w:val="000000" w:themeColor="text1"/>
          <w:sz w:val="28"/>
          <w:szCs w:val="28"/>
        </w:rPr>
      </w:pPr>
      <w:r>
        <w:rPr>
          <w:rFonts w:ascii="仿宋" w:eastAsia="仿宋" w:hAnsi="仿宋"/>
          <w:color w:val="000000" w:themeColor="text1"/>
          <w:sz w:val="28"/>
          <w:szCs w:val="28"/>
        </w:rPr>
        <w:t>20</w:t>
      </w:r>
      <w:r>
        <w:rPr>
          <w:rFonts w:ascii="仿宋" w:eastAsia="仿宋" w:hAnsi="仿宋" w:hint="eastAsia"/>
          <w:color w:val="000000" w:themeColor="text1"/>
          <w:sz w:val="28"/>
          <w:szCs w:val="28"/>
        </w:rPr>
        <w:t>20年“三公”经费财政拨款支出决算0</w:t>
      </w:r>
      <w:r>
        <w:rPr>
          <w:rFonts w:ascii="仿宋" w:eastAsia="仿宋" w:hAnsi="仿宋" w:cs="仿宋_GB2312" w:hint="eastAsia"/>
          <w:color w:val="000000" w:themeColor="text1"/>
          <w:sz w:val="28"/>
          <w:szCs w:val="28"/>
        </w:rPr>
        <w:t>元</w:t>
      </w:r>
      <w:r>
        <w:rPr>
          <w:rFonts w:ascii="仿宋" w:eastAsia="仿宋" w:hAnsi="仿宋" w:hint="eastAsia"/>
          <w:color w:val="000000" w:themeColor="text1"/>
          <w:sz w:val="28"/>
          <w:szCs w:val="28"/>
        </w:rPr>
        <w:t>，完成预算</w:t>
      </w:r>
      <w:r>
        <w:rPr>
          <w:rFonts w:ascii="仿宋" w:eastAsia="仿宋" w:hAnsi="仿宋" w:cs="仿宋_GB2312" w:hint="eastAsia"/>
          <w:color w:val="000000" w:themeColor="text1"/>
          <w:sz w:val="28"/>
          <w:szCs w:val="28"/>
        </w:rPr>
        <w:t>0%</w:t>
      </w:r>
      <w:r>
        <w:rPr>
          <w:rFonts w:ascii="仿宋" w:eastAsia="仿宋" w:hAnsi="仿宋" w:hint="eastAsia"/>
          <w:color w:val="000000" w:themeColor="text1"/>
          <w:sz w:val="28"/>
          <w:szCs w:val="28"/>
        </w:rPr>
        <w:t>。</w:t>
      </w:r>
    </w:p>
    <w:p w:rsidR="00E20120" w:rsidRDefault="0017070C">
      <w:pPr>
        <w:snapToGrid w:val="0"/>
        <w:spacing w:line="540" w:lineRule="exact"/>
        <w:ind w:firstLineChars="200" w:firstLine="560"/>
        <w:rPr>
          <w:rFonts w:ascii="楷体" w:eastAsia="楷体" w:hAnsi="楷体" w:cs="楷体"/>
          <w:color w:val="000000" w:themeColor="text1"/>
          <w:sz w:val="28"/>
          <w:szCs w:val="28"/>
        </w:rPr>
      </w:pPr>
      <w:bookmarkStart w:id="45" w:name="_Toc15377217"/>
      <w:r>
        <w:rPr>
          <w:rFonts w:ascii="楷体" w:eastAsia="楷体" w:hAnsi="楷体" w:cs="楷体" w:hint="eastAsia"/>
          <w:color w:val="000000" w:themeColor="text1"/>
          <w:sz w:val="28"/>
          <w:szCs w:val="28"/>
        </w:rPr>
        <w:t>（二）“三公”经费财政拨款支出决算具体情况说明</w:t>
      </w:r>
      <w:bookmarkEnd w:id="45"/>
    </w:p>
    <w:p w:rsidR="00E20120" w:rsidRDefault="0017070C">
      <w:pPr>
        <w:snapToGrid w:val="0"/>
        <w:spacing w:line="540" w:lineRule="exact"/>
        <w:ind w:firstLine="640"/>
        <w:rPr>
          <w:rFonts w:ascii="仿宋" w:eastAsia="仿宋" w:hAnsi="仿宋"/>
          <w:color w:val="000000" w:themeColor="text1"/>
          <w:sz w:val="28"/>
          <w:szCs w:val="28"/>
        </w:rPr>
      </w:pPr>
      <w:r>
        <w:rPr>
          <w:rFonts w:ascii="仿宋" w:eastAsia="仿宋" w:hAnsi="仿宋"/>
          <w:color w:val="000000" w:themeColor="text1"/>
          <w:sz w:val="28"/>
          <w:szCs w:val="28"/>
        </w:rPr>
        <w:lastRenderedPageBreak/>
        <w:t>20</w:t>
      </w:r>
      <w:r>
        <w:rPr>
          <w:rFonts w:ascii="仿宋" w:eastAsia="仿宋" w:hAnsi="仿宋" w:hint="eastAsia"/>
          <w:color w:val="000000" w:themeColor="text1"/>
          <w:sz w:val="28"/>
          <w:szCs w:val="28"/>
        </w:rPr>
        <w:t>20年“三公”经费财政拨款支出决算中，因公出国（境）费支出决算</w:t>
      </w:r>
      <w:r>
        <w:rPr>
          <w:rFonts w:ascii="仿宋" w:eastAsia="仿宋" w:hAnsi="仿宋" w:cs="仿宋_GB2312" w:hint="eastAsia"/>
          <w:color w:val="000000" w:themeColor="text1"/>
          <w:sz w:val="28"/>
          <w:szCs w:val="28"/>
        </w:rPr>
        <w:t>0</w:t>
      </w:r>
      <w:r>
        <w:rPr>
          <w:rFonts w:ascii="仿宋" w:eastAsia="仿宋" w:hAnsi="仿宋" w:hint="eastAsia"/>
          <w:color w:val="000000" w:themeColor="text1"/>
          <w:sz w:val="28"/>
          <w:szCs w:val="28"/>
        </w:rPr>
        <w:t>万元，占</w:t>
      </w:r>
      <w:r>
        <w:rPr>
          <w:rFonts w:ascii="仿宋" w:eastAsia="仿宋" w:hAnsi="仿宋" w:cs="仿宋_GB2312" w:hint="eastAsia"/>
          <w:color w:val="000000" w:themeColor="text1"/>
          <w:sz w:val="28"/>
          <w:szCs w:val="28"/>
        </w:rPr>
        <w:t>0%</w:t>
      </w:r>
      <w:r>
        <w:rPr>
          <w:rFonts w:ascii="仿宋" w:eastAsia="仿宋" w:hAnsi="仿宋" w:hint="eastAsia"/>
          <w:color w:val="000000" w:themeColor="text1"/>
          <w:sz w:val="28"/>
          <w:szCs w:val="28"/>
        </w:rPr>
        <w:t>；公务用车购置及运行维护费支出决算0.00万元，占0.00</w:t>
      </w:r>
      <w:r>
        <w:rPr>
          <w:rFonts w:ascii="仿宋" w:eastAsia="仿宋" w:hAnsi="仿宋"/>
          <w:color w:val="000000" w:themeColor="text1"/>
          <w:sz w:val="28"/>
          <w:szCs w:val="28"/>
        </w:rPr>
        <w:t>%</w:t>
      </w:r>
      <w:r>
        <w:rPr>
          <w:rFonts w:ascii="仿宋" w:eastAsia="仿宋" w:hAnsi="仿宋" w:hint="eastAsia"/>
          <w:color w:val="000000" w:themeColor="text1"/>
          <w:sz w:val="28"/>
          <w:szCs w:val="28"/>
        </w:rPr>
        <w:t>；公务接待费支出决算</w:t>
      </w:r>
      <w:r>
        <w:rPr>
          <w:rFonts w:ascii="仿宋" w:eastAsia="仿宋" w:hAnsi="仿宋" w:cs="仿宋_GB2312" w:hint="eastAsia"/>
          <w:color w:val="000000" w:themeColor="text1"/>
          <w:sz w:val="28"/>
          <w:szCs w:val="28"/>
        </w:rPr>
        <w:t>0万元</w:t>
      </w:r>
      <w:r>
        <w:rPr>
          <w:rFonts w:ascii="仿宋" w:eastAsia="仿宋" w:hAnsi="仿宋" w:hint="eastAsia"/>
          <w:color w:val="000000" w:themeColor="text1"/>
          <w:sz w:val="28"/>
          <w:szCs w:val="28"/>
        </w:rPr>
        <w:t>，占</w:t>
      </w:r>
      <w:r>
        <w:rPr>
          <w:rFonts w:ascii="仿宋" w:eastAsia="仿宋" w:hAnsi="仿宋" w:cs="仿宋_GB2312" w:hint="eastAsia"/>
          <w:color w:val="000000" w:themeColor="text1"/>
          <w:sz w:val="28"/>
          <w:szCs w:val="28"/>
        </w:rPr>
        <w:t>0%</w:t>
      </w:r>
      <w:r>
        <w:rPr>
          <w:rFonts w:ascii="仿宋" w:eastAsia="仿宋" w:hAnsi="仿宋" w:hint="eastAsia"/>
          <w:color w:val="000000" w:themeColor="text1"/>
          <w:sz w:val="28"/>
          <w:szCs w:val="28"/>
        </w:rPr>
        <w:t>。具体情况如下：</w:t>
      </w:r>
    </w:p>
    <w:p w:rsidR="00E20120" w:rsidRDefault="0017070C">
      <w:pPr>
        <w:snapToGrid w:val="0"/>
        <w:spacing w:line="540" w:lineRule="exact"/>
        <w:ind w:firstLine="64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因公出国（境）经费支出</w:t>
      </w:r>
      <w:r>
        <w:rPr>
          <w:rFonts w:ascii="仿宋" w:eastAsia="仿宋" w:hAnsi="仿宋" w:cs="仿宋_GB2312" w:hint="eastAsia"/>
          <w:color w:val="000000" w:themeColor="text1"/>
          <w:sz w:val="28"/>
          <w:szCs w:val="28"/>
        </w:rPr>
        <w:t>0万元</w:t>
      </w:r>
      <w:r>
        <w:rPr>
          <w:rFonts w:ascii="仿宋" w:eastAsia="仿宋" w:hAnsi="仿宋" w:hint="eastAsia"/>
          <w:color w:val="000000" w:themeColor="text1"/>
          <w:sz w:val="28"/>
          <w:szCs w:val="28"/>
        </w:rPr>
        <w:t>，</w:t>
      </w:r>
      <w:r>
        <w:rPr>
          <w:rStyle w:val="a8"/>
          <w:rFonts w:ascii="仿宋" w:eastAsia="仿宋" w:hAnsi="仿宋" w:hint="eastAsia"/>
          <w:b w:val="0"/>
          <w:color w:val="000000" w:themeColor="text1"/>
          <w:sz w:val="28"/>
          <w:szCs w:val="28"/>
        </w:rPr>
        <w:t>完成预算</w:t>
      </w:r>
      <w:r>
        <w:rPr>
          <w:rFonts w:ascii="仿宋" w:eastAsia="仿宋" w:hAnsi="仿宋" w:cs="仿宋_GB2312" w:hint="eastAsia"/>
          <w:color w:val="000000" w:themeColor="text1"/>
          <w:sz w:val="28"/>
          <w:szCs w:val="28"/>
        </w:rPr>
        <w:t>0%</w:t>
      </w:r>
      <w:r>
        <w:rPr>
          <w:rStyle w:val="a8"/>
          <w:rFonts w:ascii="仿宋" w:eastAsia="仿宋" w:hAnsi="仿宋" w:hint="eastAsia"/>
          <w:b w:val="0"/>
          <w:color w:val="000000" w:themeColor="text1"/>
          <w:sz w:val="28"/>
          <w:szCs w:val="28"/>
        </w:rPr>
        <w:t>。</w:t>
      </w:r>
    </w:p>
    <w:p w:rsidR="00E20120" w:rsidRDefault="0017070C">
      <w:pPr>
        <w:snapToGrid w:val="0"/>
        <w:spacing w:line="540" w:lineRule="exact"/>
        <w:ind w:firstLine="64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公务用车购置及运行维护费支出</w:t>
      </w:r>
    </w:p>
    <w:p w:rsidR="00E20120" w:rsidRDefault="0017070C">
      <w:pPr>
        <w:snapToGrid w:val="0"/>
        <w:spacing w:line="540" w:lineRule="exact"/>
        <w:ind w:firstLine="640"/>
        <w:rPr>
          <w:rFonts w:ascii="仿宋" w:eastAsia="仿宋" w:hAnsi="仿宋"/>
          <w:color w:val="000000" w:themeColor="text1"/>
          <w:sz w:val="28"/>
          <w:szCs w:val="28"/>
        </w:rPr>
      </w:pPr>
      <w:r>
        <w:rPr>
          <w:rFonts w:ascii="仿宋" w:eastAsia="仿宋" w:hAnsi="仿宋" w:hint="eastAsia"/>
          <w:color w:val="000000" w:themeColor="text1"/>
          <w:sz w:val="28"/>
          <w:szCs w:val="28"/>
        </w:rPr>
        <w:t>2020年度无公务用车购置及运行维护费开支。</w:t>
      </w:r>
    </w:p>
    <w:p w:rsidR="00E20120" w:rsidRDefault="0017070C">
      <w:pPr>
        <w:snapToGrid w:val="0"/>
        <w:spacing w:line="540" w:lineRule="exact"/>
        <w:ind w:firstLine="64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公务接待费支出0万元，</w:t>
      </w:r>
      <w:r>
        <w:rPr>
          <w:rStyle w:val="a8"/>
          <w:rFonts w:ascii="仿宋" w:eastAsia="仿宋" w:hAnsi="仿宋" w:hint="eastAsia"/>
          <w:b w:val="0"/>
          <w:color w:val="000000" w:themeColor="text1"/>
          <w:sz w:val="28"/>
          <w:szCs w:val="28"/>
        </w:rPr>
        <w:t>完成预算0</w:t>
      </w:r>
      <w:r>
        <w:rPr>
          <w:rFonts w:ascii="仿宋" w:eastAsia="仿宋" w:hAnsi="仿宋" w:cs="仿宋_GB2312" w:hint="eastAsia"/>
          <w:color w:val="000000" w:themeColor="text1"/>
          <w:sz w:val="28"/>
          <w:szCs w:val="28"/>
        </w:rPr>
        <w:t>%</w:t>
      </w:r>
      <w:r>
        <w:rPr>
          <w:rStyle w:val="a8"/>
          <w:rFonts w:ascii="仿宋" w:eastAsia="仿宋" w:hAnsi="仿宋" w:hint="eastAsia"/>
          <w:b w:val="0"/>
          <w:color w:val="000000" w:themeColor="text1"/>
          <w:sz w:val="28"/>
          <w:szCs w:val="28"/>
        </w:rPr>
        <w:t>。</w:t>
      </w:r>
      <w:bookmarkStart w:id="46" w:name="_Toc15377218"/>
    </w:p>
    <w:p w:rsidR="00E20120" w:rsidRDefault="0017070C">
      <w:pPr>
        <w:snapToGrid w:val="0"/>
        <w:spacing w:line="540" w:lineRule="exact"/>
        <w:ind w:firstLine="640"/>
        <w:outlineLvl w:val="1"/>
        <w:rPr>
          <w:rStyle w:val="2Char"/>
          <w:rFonts w:ascii="黑体" w:eastAsia="黑体" w:hAnsi="黑体"/>
          <w:b w:val="0"/>
          <w:bCs w:val="0"/>
          <w:color w:val="000000" w:themeColor="text1"/>
          <w:sz w:val="28"/>
          <w:szCs w:val="28"/>
        </w:rPr>
      </w:pPr>
      <w:bookmarkStart w:id="47" w:name="_Toc19089873"/>
      <w:bookmarkEnd w:id="46"/>
      <w:r>
        <w:rPr>
          <w:rFonts w:ascii="黑体" w:eastAsia="黑体" w:hint="eastAsia"/>
          <w:color w:val="000000" w:themeColor="text1"/>
          <w:sz w:val="28"/>
          <w:szCs w:val="28"/>
        </w:rPr>
        <w:t>八、</w:t>
      </w:r>
      <w:r>
        <w:rPr>
          <w:rStyle w:val="2Char"/>
          <w:rFonts w:ascii="黑体" w:eastAsia="黑体" w:hAnsi="黑体" w:hint="eastAsia"/>
          <w:b w:val="0"/>
          <w:bCs w:val="0"/>
          <w:color w:val="000000" w:themeColor="text1"/>
          <w:sz w:val="28"/>
          <w:szCs w:val="28"/>
        </w:rPr>
        <w:t>政府性基金预算支出决算情况说明</w:t>
      </w:r>
    </w:p>
    <w:p w:rsidR="00E20120" w:rsidRDefault="0017070C">
      <w:pPr>
        <w:snapToGrid w:val="0"/>
        <w:spacing w:line="540" w:lineRule="exact"/>
        <w:ind w:firstLine="640"/>
        <w:rPr>
          <w:rFonts w:ascii="仿宋_GB2312" w:eastAsia="仿宋_GB2312"/>
          <w:color w:val="000000" w:themeColor="text1"/>
          <w:sz w:val="28"/>
          <w:szCs w:val="28"/>
        </w:rPr>
      </w:pPr>
      <w:r>
        <w:rPr>
          <w:rFonts w:ascii="仿宋_GB2312" w:eastAsia="仿宋_GB2312"/>
          <w:color w:val="000000" w:themeColor="text1"/>
          <w:sz w:val="28"/>
          <w:szCs w:val="28"/>
        </w:rPr>
        <w:t>2020</w:t>
      </w:r>
      <w:r>
        <w:rPr>
          <w:rFonts w:ascii="仿宋_GB2312" w:eastAsia="仿宋_GB2312" w:hint="eastAsia"/>
          <w:color w:val="000000" w:themeColor="text1"/>
          <w:sz w:val="28"/>
          <w:szCs w:val="28"/>
        </w:rPr>
        <w:t>年政府性基金预算拨款支出0万元。</w:t>
      </w:r>
    </w:p>
    <w:p w:rsidR="00E20120" w:rsidRDefault="0017070C">
      <w:pPr>
        <w:numPr>
          <w:ilvl w:val="0"/>
          <w:numId w:val="2"/>
        </w:numPr>
        <w:snapToGrid w:val="0"/>
        <w:spacing w:line="540" w:lineRule="exact"/>
        <w:ind w:firstLine="640"/>
        <w:outlineLvl w:val="1"/>
        <w:rPr>
          <w:rStyle w:val="2Char"/>
          <w:rFonts w:ascii="黑体" w:eastAsia="黑体" w:hAnsi="黑体"/>
          <w:b w:val="0"/>
          <w:bCs w:val="0"/>
          <w:color w:val="000000" w:themeColor="text1"/>
          <w:sz w:val="28"/>
          <w:szCs w:val="28"/>
        </w:rPr>
      </w:pPr>
      <w:bookmarkStart w:id="48" w:name="_Toc15377219"/>
      <w:bookmarkStart w:id="49" w:name="_Toc15396611"/>
      <w:r>
        <w:rPr>
          <w:rStyle w:val="2Char"/>
          <w:rFonts w:ascii="黑体" w:eastAsia="黑体" w:hAnsi="黑体" w:hint="eastAsia"/>
          <w:b w:val="0"/>
          <w:bCs w:val="0"/>
          <w:color w:val="000000" w:themeColor="text1"/>
          <w:sz w:val="28"/>
          <w:szCs w:val="28"/>
        </w:rPr>
        <w:t>有资本经营预算支出决算情况说明</w:t>
      </w:r>
      <w:bookmarkEnd w:id="48"/>
      <w:bookmarkEnd w:id="49"/>
    </w:p>
    <w:p w:rsidR="00E20120" w:rsidRDefault="0017070C">
      <w:pPr>
        <w:snapToGrid w:val="0"/>
        <w:spacing w:line="540" w:lineRule="exact"/>
        <w:ind w:firstLine="640"/>
        <w:rPr>
          <w:rFonts w:ascii="仿宋_GB2312" w:eastAsia="仿宋_GB2312"/>
          <w:color w:val="000000" w:themeColor="text1"/>
          <w:sz w:val="28"/>
          <w:szCs w:val="28"/>
        </w:rPr>
      </w:pPr>
      <w:r>
        <w:rPr>
          <w:rFonts w:ascii="仿宋_GB2312" w:eastAsia="仿宋_GB2312"/>
          <w:color w:val="000000" w:themeColor="text1"/>
          <w:sz w:val="28"/>
          <w:szCs w:val="28"/>
        </w:rPr>
        <w:t>2020</w:t>
      </w:r>
      <w:r>
        <w:rPr>
          <w:rFonts w:ascii="仿宋_GB2312" w:eastAsia="仿宋_GB2312" w:hint="eastAsia"/>
          <w:color w:val="000000" w:themeColor="text1"/>
          <w:sz w:val="28"/>
          <w:szCs w:val="28"/>
        </w:rPr>
        <w:t>年</w:t>
      </w:r>
      <w:r>
        <w:rPr>
          <w:rStyle w:val="2Char"/>
          <w:rFonts w:ascii="黑体" w:eastAsia="黑体" w:hAnsi="黑体" w:hint="eastAsia"/>
          <w:b w:val="0"/>
          <w:bCs w:val="0"/>
          <w:color w:val="000000" w:themeColor="text1"/>
          <w:sz w:val="28"/>
          <w:szCs w:val="28"/>
        </w:rPr>
        <w:t>国</w:t>
      </w:r>
      <w:r>
        <w:rPr>
          <w:rFonts w:ascii="仿宋_GB2312" w:eastAsia="仿宋_GB2312" w:hint="eastAsia"/>
          <w:color w:val="000000" w:themeColor="text1"/>
          <w:sz w:val="28"/>
          <w:szCs w:val="28"/>
        </w:rPr>
        <w:t>国有资本经营预算拨款支出0万元。</w:t>
      </w:r>
    </w:p>
    <w:p w:rsidR="00E20120" w:rsidRDefault="0017070C">
      <w:pPr>
        <w:snapToGrid w:val="0"/>
        <w:spacing w:line="540" w:lineRule="exact"/>
        <w:ind w:firstLineChars="250" w:firstLine="700"/>
        <w:rPr>
          <w:rFonts w:ascii="黑体" w:eastAsia="黑体" w:hAnsi="黑体" w:cs="楷体"/>
          <w:color w:val="000000" w:themeColor="text1"/>
          <w:sz w:val="28"/>
          <w:szCs w:val="28"/>
        </w:rPr>
      </w:pPr>
      <w:bookmarkStart w:id="50" w:name="_Toc15396612"/>
      <w:r>
        <w:rPr>
          <w:rFonts w:ascii="黑体" w:eastAsia="黑体" w:hAnsi="黑体" w:cs="楷体" w:hint="eastAsia"/>
          <w:color w:val="000000" w:themeColor="text1"/>
          <w:sz w:val="28"/>
          <w:szCs w:val="28"/>
        </w:rPr>
        <w:t>十、</w:t>
      </w:r>
      <w:r>
        <w:rPr>
          <w:rStyle w:val="2Char"/>
          <w:rFonts w:ascii="黑体" w:eastAsia="黑体" w:hAnsi="黑体" w:cs="楷体" w:hint="eastAsia"/>
          <w:b w:val="0"/>
          <w:bCs w:val="0"/>
          <w:color w:val="000000" w:themeColor="text1"/>
          <w:sz w:val="28"/>
          <w:szCs w:val="28"/>
        </w:rPr>
        <w:t>预算绩效情况说明</w:t>
      </w:r>
    </w:p>
    <w:p w:rsidR="00E20120" w:rsidRDefault="0017070C">
      <w:pPr>
        <w:snapToGrid w:val="0"/>
        <w:spacing w:line="540" w:lineRule="exact"/>
        <w:ind w:firstLineChars="200" w:firstLine="560"/>
        <w:rPr>
          <w:rFonts w:ascii="仿宋_GB2312" w:eastAsia="仿宋_GB2312" w:hAnsi="仿宋_GB2312" w:cs="仿宋_GB2312"/>
          <w:color w:val="000000" w:themeColor="text1"/>
          <w:sz w:val="28"/>
          <w:szCs w:val="28"/>
        </w:rPr>
      </w:pPr>
      <w:r>
        <w:rPr>
          <w:rFonts w:ascii="仿宋" w:eastAsia="仿宋" w:hAnsi="仿宋" w:cs="仿宋_GB2312" w:hint="eastAsia"/>
          <w:color w:val="000000" w:themeColor="text1"/>
          <w:sz w:val="28"/>
          <w:szCs w:val="28"/>
        </w:rPr>
        <w:t>根据预算绩效管理要求，本单位在年初预算编制阶段，开展了预算事前绩效评估，按</w:t>
      </w:r>
      <w:r>
        <w:rPr>
          <w:rFonts w:ascii="仿宋_GB2312" w:eastAsia="仿宋_GB2312" w:hAnsi="仿宋_GB2312" w:cs="仿宋_GB2312" w:hint="eastAsia"/>
          <w:color w:val="000000" w:themeColor="text1"/>
          <w:sz w:val="28"/>
          <w:szCs w:val="28"/>
        </w:rPr>
        <w:t>要求对2020年本单位整体支出开展绩效自评，从评价情况来看教育系统整体支出绩效评价自评结果良好，全年基本支出保障了部分的正常运行和日常工作的正常开展，项目支出保障了重点工作的开展，各项支出均达到了预期的绩效管理目标。本单位未开展项目支出绩效评价，因本单位无专项预算项目。</w:t>
      </w:r>
    </w:p>
    <w:p w:rsidR="00753FD7" w:rsidRDefault="00753FD7">
      <w:pPr>
        <w:snapToGrid w:val="0"/>
        <w:spacing w:line="540" w:lineRule="exact"/>
        <w:ind w:firstLineChars="250" w:firstLine="700"/>
        <w:outlineLvl w:val="1"/>
        <w:rPr>
          <w:rFonts w:ascii="黑体" w:eastAsia="黑体" w:hAnsi="黑体"/>
          <w:color w:val="000000" w:themeColor="text1"/>
          <w:sz w:val="28"/>
          <w:szCs w:val="28"/>
        </w:rPr>
      </w:pPr>
    </w:p>
    <w:p w:rsidR="00753FD7" w:rsidRDefault="00753FD7">
      <w:pPr>
        <w:snapToGrid w:val="0"/>
        <w:spacing w:line="540" w:lineRule="exact"/>
        <w:ind w:firstLineChars="250" w:firstLine="700"/>
        <w:outlineLvl w:val="1"/>
        <w:rPr>
          <w:rFonts w:ascii="黑体" w:eastAsia="黑体" w:hAnsi="黑体"/>
          <w:color w:val="000000" w:themeColor="text1"/>
          <w:sz w:val="28"/>
          <w:szCs w:val="28"/>
        </w:rPr>
      </w:pPr>
    </w:p>
    <w:p w:rsidR="00753FD7" w:rsidRDefault="00753FD7">
      <w:pPr>
        <w:snapToGrid w:val="0"/>
        <w:spacing w:line="540" w:lineRule="exact"/>
        <w:ind w:firstLineChars="250" w:firstLine="700"/>
        <w:outlineLvl w:val="1"/>
        <w:rPr>
          <w:rFonts w:ascii="黑体" w:eastAsia="黑体" w:hAnsi="黑体"/>
          <w:color w:val="000000" w:themeColor="text1"/>
          <w:sz w:val="28"/>
          <w:szCs w:val="28"/>
        </w:rPr>
      </w:pPr>
    </w:p>
    <w:p w:rsidR="00753FD7" w:rsidRDefault="00753FD7">
      <w:pPr>
        <w:snapToGrid w:val="0"/>
        <w:spacing w:line="540" w:lineRule="exact"/>
        <w:ind w:firstLineChars="250" w:firstLine="700"/>
        <w:outlineLvl w:val="1"/>
        <w:rPr>
          <w:rFonts w:ascii="黑体" w:eastAsia="黑体" w:hAnsi="黑体"/>
          <w:color w:val="000000" w:themeColor="text1"/>
          <w:sz w:val="28"/>
          <w:szCs w:val="28"/>
        </w:rPr>
      </w:pPr>
    </w:p>
    <w:p w:rsidR="00753FD7" w:rsidRDefault="00753FD7">
      <w:pPr>
        <w:snapToGrid w:val="0"/>
        <w:spacing w:line="540" w:lineRule="exact"/>
        <w:ind w:firstLineChars="250" w:firstLine="700"/>
        <w:outlineLvl w:val="1"/>
        <w:rPr>
          <w:rFonts w:ascii="黑体" w:eastAsia="黑体" w:hAnsi="黑体"/>
          <w:color w:val="000000" w:themeColor="text1"/>
          <w:sz w:val="28"/>
          <w:szCs w:val="28"/>
        </w:rPr>
      </w:pPr>
    </w:p>
    <w:p w:rsidR="00753FD7" w:rsidRDefault="00753FD7">
      <w:pPr>
        <w:snapToGrid w:val="0"/>
        <w:spacing w:line="540" w:lineRule="exact"/>
        <w:ind w:firstLineChars="250" w:firstLine="700"/>
        <w:outlineLvl w:val="1"/>
        <w:rPr>
          <w:rFonts w:ascii="黑体" w:eastAsia="黑体" w:hAnsi="黑体"/>
          <w:color w:val="000000" w:themeColor="text1"/>
          <w:sz w:val="28"/>
          <w:szCs w:val="28"/>
        </w:rPr>
      </w:pPr>
    </w:p>
    <w:p w:rsidR="00E20120" w:rsidRDefault="0017070C">
      <w:pPr>
        <w:snapToGrid w:val="0"/>
        <w:spacing w:line="540" w:lineRule="exact"/>
        <w:ind w:firstLineChars="250" w:firstLine="700"/>
        <w:outlineLvl w:val="1"/>
        <w:rPr>
          <w:rStyle w:val="2Char"/>
          <w:rFonts w:ascii="黑体" w:eastAsia="黑体" w:hAnsi="黑体"/>
          <w:b w:val="0"/>
          <w:bCs w:val="0"/>
          <w:color w:val="000000" w:themeColor="text1"/>
          <w:sz w:val="28"/>
          <w:szCs w:val="28"/>
        </w:rPr>
      </w:pPr>
      <w:bookmarkStart w:id="51" w:name="_GoBack"/>
      <w:r>
        <w:rPr>
          <w:rFonts w:ascii="黑体" w:eastAsia="黑体" w:hAnsi="黑体" w:hint="eastAsia"/>
          <w:color w:val="000000" w:themeColor="text1"/>
          <w:sz w:val="28"/>
          <w:szCs w:val="28"/>
        </w:rPr>
        <w:lastRenderedPageBreak/>
        <w:t>十一</w:t>
      </w:r>
      <w:r>
        <w:rPr>
          <w:rStyle w:val="2Char"/>
          <w:rFonts w:ascii="黑体" w:eastAsia="黑体" w:hAnsi="黑体" w:hint="eastAsia"/>
          <w:b w:val="0"/>
          <w:bCs w:val="0"/>
          <w:color w:val="000000" w:themeColor="text1"/>
          <w:sz w:val="28"/>
          <w:szCs w:val="28"/>
        </w:rPr>
        <w:t>、其他重要事项的情况说明</w:t>
      </w:r>
      <w:bookmarkEnd w:id="50"/>
    </w:p>
    <w:bookmarkEnd w:id="47"/>
    <w:p w:rsidR="00753FD7" w:rsidRDefault="00753FD7">
      <w:pPr>
        <w:snapToGrid w:val="0"/>
        <w:spacing w:line="540" w:lineRule="exact"/>
        <w:ind w:leftChars="100" w:left="210" w:firstLineChars="200" w:firstLine="560"/>
        <w:rPr>
          <w:rFonts w:ascii="仿宋" w:eastAsia="仿宋" w:hAnsi="仿宋"/>
          <w:sz w:val="28"/>
          <w:szCs w:val="28"/>
        </w:rPr>
      </w:pPr>
      <w:r w:rsidRPr="00313755">
        <w:rPr>
          <w:rFonts w:ascii="仿宋" w:eastAsia="仿宋" w:hAnsi="仿宋"/>
          <w:sz w:val="28"/>
          <w:szCs w:val="28"/>
        </w:rPr>
        <w:t>（一）机关运行经费支出情况</w:t>
      </w:r>
      <w:r w:rsidRPr="00313755">
        <w:rPr>
          <w:rFonts w:ascii="仿宋" w:eastAsia="仿宋" w:hAnsi="仿宋"/>
          <w:sz w:val="28"/>
          <w:szCs w:val="28"/>
        </w:rPr>
        <w:br/>
        <w:t>2020年本单位机关运行经费支出0万元，与2019年度持平。</w:t>
      </w:r>
      <w:r w:rsidRPr="00313755">
        <w:rPr>
          <w:rFonts w:ascii="仿宋" w:eastAsia="仿宋" w:hAnsi="仿宋"/>
          <w:sz w:val="28"/>
          <w:szCs w:val="28"/>
        </w:rPr>
        <w:br/>
        <w:t>（数据来源财决CS05表）</w:t>
      </w:r>
      <w:r w:rsidRPr="00313755">
        <w:rPr>
          <w:rFonts w:ascii="仿宋" w:eastAsia="仿宋" w:hAnsi="仿宋"/>
          <w:sz w:val="28"/>
          <w:szCs w:val="28"/>
        </w:rPr>
        <w:br/>
        <w:t>（二）政府采购支出情况</w:t>
      </w:r>
      <w:r w:rsidRPr="00313755">
        <w:rPr>
          <w:rFonts w:ascii="仿宋" w:eastAsia="仿宋" w:hAnsi="仿宋"/>
          <w:sz w:val="28"/>
          <w:szCs w:val="28"/>
        </w:rPr>
        <w:br/>
        <w:t>2020年，本单位采购支出总额0.00万元，其中：政府采购货物支出0.00万元、政府采购工程支出0.00万元、政府采购服务支出0.00万元。</w:t>
      </w:r>
      <w:r w:rsidRPr="00313755">
        <w:rPr>
          <w:rFonts w:ascii="仿宋" w:eastAsia="仿宋" w:hAnsi="仿宋"/>
          <w:sz w:val="28"/>
          <w:szCs w:val="28"/>
        </w:rPr>
        <w:br/>
        <w:t>（数据来源财决CS06表）</w:t>
      </w:r>
      <w:r w:rsidRPr="00313755">
        <w:rPr>
          <w:rFonts w:ascii="仿宋" w:eastAsia="仿宋" w:hAnsi="仿宋"/>
          <w:sz w:val="28"/>
          <w:szCs w:val="28"/>
        </w:rPr>
        <w:br/>
        <w:t>（三）国有资产占有使用情况</w:t>
      </w:r>
      <w:r w:rsidRPr="00313755">
        <w:rPr>
          <w:rFonts w:ascii="仿宋" w:eastAsia="仿宋" w:hAnsi="仿宋"/>
          <w:sz w:val="28"/>
          <w:szCs w:val="28"/>
        </w:rPr>
        <w:br/>
        <w:t>截至2020年12月31日，本单位共有车辆0辆，单价50万元以上通用设备0台（套），单价100万元以上专用设备0台（套）。</w:t>
      </w:r>
      <w:r w:rsidRPr="00313755">
        <w:rPr>
          <w:rFonts w:ascii="仿宋" w:eastAsia="仿宋" w:hAnsi="仿宋"/>
          <w:sz w:val="28"/>
          <w:szCs w:val="28"/>
        </w:rPr>
        <w:br/>
        <w:t>（数据来源财决CS05表，按部门决算报表填报数据罗列车辆情况。）</w:t>
      </w:r>
      <w:bookmarkEnd w:id="51"/>
    </w:p>
    <w:p w:rsidR="00E20120" w:rsidRDefault="0017070C" w:rsidP="00254036">
      <w:pPr>
        <w:tabs>
          <w:tab w:val="left" w:pos="3285"/>
        </w:tabs>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       </w:t>
      </w:r>
      <w:r w:rsidR="00254036">
        <w:rPr>
          <w:rFonts w:ascii="仿宋" w:eastAsia="仿宋" w:hAnsi="仿宋"/>
          <w:b/>
          <w:color w:val="000000" w:themeColor="text1"/>
          <w:sz w:val="32"/>
          <w:szCs w:val="32"/>
        </w:rPr>
        <w:tab/>
      </w:r>
    </w:p>
    <w:p w:rsidR="00E20120" w:rsidRDefault="0017070C">
      <w:pPr>
        <w:rPr>
          <w:rFonts w:ascii="仿宋" w:eastAsia="仿宋" w:hAnsi="仿宋"/>
          <w:b/>
          <w:color w:val="000000" w:themeColor="text1"/>
          <w:sz w:val="32"/>
          <w:szCs w:val="32"/>
        </w:rPr>
      </w:pPr>
      <w:r>
        <w:rPr>
          <w:rFonts w:ascii="仿宋" w:eastAsia="仿宋" w:hAnsi="仿宋" w:hint="eastAsia"/>
          <w:b/>
          <w:color w:val="000000" w:themeColor="text1"/>
          <w:sz w:val="32"/>
          <w:szCs w:val="32"/>
        </w:rPr>
        <w:br w:type="page"/>
      </w:r>
    </w:p>
    <w:p w:rsidR="00E20120" w:rsidRDefault="0017070C">
      <w:pPr>
        <w:numPr>
          <w:ilvl w:val="0"/>
          <w:numId w:val="3"/>
        </w:numPr>
        <w:spacing w:line="600" w:lineRule="exact"/>
        <w:ind w:firstLineChars="150" w:firstLine="660"/>
        <w:jc w:val="center"/>
        <w:outlineLvl w:val="0"/>
        <w:rPr>
          <w:rFonts w:ascii="方正小标宋简体" w:eastAsia="方正小标宋简体" w:hAnsi="方正小标宋简体" w:cs="方正小标宋简体"/>
          <w:bCs/>
          <w:kern w:val="44"/>
          <w:sz w:val="44"/>
          <w:szCs w:val="44"/>
        </w:rPr>
      </w:pPr>
      <w:bookmarkStart w:id="52" w:name="_Toc19089875"/>
      <w:bookmarkStart w:id="53" w:name="_Toc15377225"/>
      <w:r>
        <w:rPr>
          <w:rFonts w:ascii="方正小标宋简体" w:eastAsia="方正小标宋简体" w:hAnsi="方正小标宋简体" w:cs="方正小标宋简体" w:hint="eastAsia"/>
          <w:bCs/>
          <w:sz w:val="44"/>
          <w:szCs w:val="44"/>
        </w:rPr>
        <w:lastRenderedPageBreak/>
        <w:t>名</w:t>
      </w:r>
      <w:r>
        <w:rPr>
          <w:rStyle w:val="1Char"/>
          <w:rFonts w:ascii="方正小标宋简体" w:eastAsia="方正小标宋简体" w:hAnsi="方正小标宋简体" w:cs="方正小标宋简体" w:hint="eastAsia"/>
          <w:b w:val="0"/>
        </w:rPr>
        <w:t>词解释</w:t>
      </w:r>
      <w:bookmarkEnd w:id="52"/>
      <w:bookmarkEnd w:id="53"/>
    </w:p>
    <w:p w:rsidR="00E20120" w:rsidRDefault="00E20120">
      <w:pPr>
        <w:pStyle w:val="Default"/>
        <w:spacing w:line="560" w:lineRule="exact"/>
        <w:ind w:firstLineChars="200" w:firstLine="640"/>
        <w:rPr>
          <w:rFonts w:ascii="仿宋_GB2312" w:eastAsia="仿宋_GB2312"/>
          <w:color w:val="auto"/>
          <w:sz w:val="32"/>
          <w:szCs w:val="32"/>
        </w:rPr>
      </w:pP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1.财政拨款收入：指单位从同级财政部门取得的财政预算资金。</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3.经营收入：指事业单位在专业业务活动及其辅助活动之外开展非独立核算经营活动取得的收入。。</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4.其他收入：指单位取得的除上述收入以外的各项收入。主要是学前教育保育教育费收入、银行存款利息收入等。 </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6.年初结转和结余：指以前年度尚未完成、结转到本年按有关规定继续使用的资金。 </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7.结余分配：指事业单位按照事业单位会计制度的规定从非财政补助结余中分配的事业基金和职工福利基金等。</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8.年末结转和结余：指单位按有关规定结转到下年或以后年度继续使用的资金。</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9.教育支出（类）教育管理事务（款）行政运行（项）:反映教育行政单位（包括实行公务员管理的事业单位）的基本支出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10. 教育支出（类）教育管理事务（款）一般行政管理事务（项）:反映行政单位（包括实行公务员管理的事业单位）未单独设置项级科目的其它项目支出。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11. 教育支出（类）教育管理事务（款）其它教育管理事务支出（项）:反映除上述项目以外其它用户教育管理事务方面的支出。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12. 教育支出（类）普通教育（款）学前教育（项）:反映各部门举办的学前教育支出。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13. 教育支出（类）普通教育（款）小学教育（项）:反映各部门举办的小学教育支出。政府各部门对社会中介组织等举办的小学的资助，如各类捐赠、补贴等，也在本科目中反映。</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14. 教育支出（类）普通教育（款）初中教育（项）: 反映各部门举办的初中教育支出。政府各部门对社会中介组织等举办的初中教育的资助，如捐赠、补贴等，也在本科目中反映。</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15. 教育支出（类）普通教育（款）高中教育（项）: 反映各部门举办的高级中学教育支出。政府各部门对社会中介组织等举办的高级中学的资助，如捐赠、补贴等，也在本科目中反映。</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16. 教育支出（类）普通教育（款）其它普通教育（项）: 反映除上述项目以外其他用于普通教育方面的支出。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17. 教育支出（类）职业教育（款）职业高中教育（项）: 反映各部门举办的职业中学、农业中学（含普通高中改制的）、半工（农）半读中学的支出或补助费</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18. 教育支出（类）职业教育（款）高等职业教育（项）:反映经国家批准设立的高等职业大学、专科职业教育等方面的支出。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19. 教育支出（类）特殊教育（款）特殊学校教育（项）: 指各部门举办的盲童学校、聋哑学校、智力落后儿童学校、其它生理缺陷儿童学校的支出。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20. 教育支出（类）特殊教育（款）工读学校教育（项）:指各部门举办的工读学校的支出。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21. 教育支出（类）教育附加费安排的支出（款）农村中小学校舍建设（项）:反映教育附加费安排用于农村中小学校舍新建、改建、修缮和</w:t>
      </w:r>
      <w:r>
        <w:rPr>
          <w:rFonts w:ascii="仿宋_GB2312" w:eastAsia="仿宋_GB2312" w:hint="eastAsia"/>
          <w:color w:val="auto"/>
          <w:sz w:val="28"/>
          <w:szCs w:val="28"/>
        </w:rPr>
        <w:lastRenderedPageBreak/>
        <w:t>维护的支出。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22. 教育支出（类）教育附加费安排的支出（款）城市中小学校舍建设（项）: 反映教育附加费安排用于城市中小学校舍新建、改建、修缮和维护的支出。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23. 教育支出（类）教育附加费安排的支出（款）其它教育附加费安排的支出（项）: 指除上述项目以外的教育附加费支出。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24. 教育支出（类）其它教育支出（款）其他教育支出（项）: 指上述项目以外其他用于教育方面的支出。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25. 社会保障和就业支出（类）行政事业单位离退休（款）机关事业单位基本养老保险缴费支出（项）: 指机关事业单位实施养老保险制度由单位缴纳的基本养老保险费支出。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26. 社会保障和就业支出（类）行政事业单位离退休（款）机关事业单位职业年金缴费支出（项）: 指机关事业单位实施养老保险制度由单位实际缴纳的职业年金支出。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27. 社会保障和就业支出（类）抚恤（款）死亡抚恤（项）: 指按规定用于烈士和牺牲、病故人员家属的一次性和定期抚恤金以及丧葬补助费。</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30. 农林水支出（类）扶贫（款）其它扶贫支出（项）: 指除上述项</w:t>
      </w:r>
      <w:r>
        <w:rPr>
          <w:rFonts w:ascii="仿宋_GB2312" w:eastAsia="仿宋_GB2312" w:hint="eastAsia"/>
          <w:color w:val="auto"/>
          <w:sz w:val="28"/>
          <w:szCs w:val="28"/>
        </w:rPr>
        <w:lastRenderedPageBreak/>
        <w:t>目以外其他用于扶贫方面的支出。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31. 住房保障支出（类）住房改革支出（款）住房公积金（项）: 指行政事业单位按人力资源和社会保障部、财政部规定的基本工资和津贴补贴以及规定比例为职工缴纳的住房公积金。</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32. 其他支出（类）其他支出（款）其他支出（项）: 指上述项目以外其他不能划分到具体功能科目中的支出项目。</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33.基本支出：指为保障机构正常运转、完成日常工作任务而发生的人员支出和公用支出。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34.项目支出：指在基本支出之外为完成特定行政任务和事业发展目标所发生的支出。 </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35.经营支出：指事业单位在专业业务活动及其辅助活动之外开展非独立核算经营活动发生的支出。</w:t>
      </w:r>
    </w:p>
    <w:p w:rsidR="00E20120" w:rsidRDefault="0017070C">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20120" w:rsidRDefault="0017070C">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20120" w:rsidRDefault="0017070C">
      <w:pPr>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（名词解释部分请根据各部门实际列支情况罗列，并根据本部门职责职能增减名词解释内容。）</w:t>
      </w:r>
    </w:p>
    <w:p w:rsidR="00E20120" w:rsidRDefault="00E20120">
      <w:pPr>
        <w:rPr>
          <w:rFonts w:ascii="黑体" w:eastAsia="黑体" w:hAnsi="黑体"/>
          <w:sz w:val="44"/>
          <w:szCs w:val="44"/>
        </w:rPr>
      </w:pPr>
      <w:bookmarkStart w:id="54" w:name="_Toc19089876"/>
      <w:bookmarkStart w:id="55" w:name="_Toc15377226"/>
    </w:p>
    <w:p w:rsidR="00E20120" w:rsidRDefault="0017070C">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t>第</w:t>
      </w:r>
      <w:r>
        <w:rPr>
          <w:rStyle w:val="1Char"/>
          <w:rFonts w:ascii="方正小标宋简体" w:eastAsia="方正小标宋简体" w:hAnsi="方正小标宋简体" w:cs="方正小标宋简体" w:hint="eastAsia"/>
          <w:b w:val="0"/>
        </w:rPr>
        <w:t>四部分 附件</w:t>
      </w:r>
      <w:bookmarkEnd w:id="54"/>
    </w:p>
    <w:p w:rsidR="00E20120" w:rsidRDefault="0017070C">
      <w:pPr>
        <w:widowControl/>
        <w:jc w:val="left"/>
        <w:rPr>
          <w:rFonts w:ascii="黑体" w:eastAsia="黑体" w:hAnsi="黑体"/>
          <w:bCs/>
          <w:kern w:val="44"/>
          <w:sz w:val="44"/>
          <w:szCs w:val="44"/>
        </w:rPr>
      </w:pPr>
      <w:bookmarkStart w:id="56" w:name="_Toc19089877"/>
      <w:r>
        <w:rPr>
          <w:rFonts w:ascii="仿宋" w:eastAsia="仿宋" w:hAnsi="仿宋" w:hint="eastAsia"/>
          <w:kern w:val="44"/>
          <w:sz w:val="32"/>
          <w:szCs w:val="32"/>
        </w:rPr>
        <w:t>附件1</w:t>
      </w:r>
      <w:bookmarkEnd w:id="56"/>
    </w:p>
    <w:p w:rsidR="00E20120" w:rsidRDefault="0017070C">
      <w:pPr>
        <w:spacing w:line="600" w:lineRule="exact"/>
        <w:jc w:val="center"/>
        <w:outlineLvl w:val="0"/>
        <w:rPr>
          <w:rFonts w:ascii="黑体" w:eastAsia="黑体" w:hAnsi="黑体" w:cs="方正小标宋简体"/>
          <w:sz w:val="36"/>
          <w:szCs w:val="36"/>
        </w:rPr>
      </w:pPr>
      <w:bookmarkStart w:id="57" w:name="_Toc19089878"/>
      <w:bookmarkStart w:id="58" w:name="_Toc15396616"/>
      <w:r>
        <w:rPr>
          <w:rFonts w:ascii="黑体" w:eastAsia="黑体" w:hAnsi="黑体" w:cs="方正小标宋简体" w:hint="eastAsia"/>
          <w:sz w:val="36"/>
          <w:szCs w:val="36"/>
        </w:rPr>
        <w:t>广元市利州区白朝小学</w:t>
      </w:r>
    </w:p>
    <w:p w:rsidR="00E20120" w:rsidRDefault="0017070C">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2020年部门整体支出</w:t>
      </w:r>
      <w:bookmarkStart w:id="59" w:name="_Toc19089879"/>
      <w:bookmarkEnd w:id="57"/>
      <w:r>
        <w:rPr>
          <w:rFonts w:ascii="黑体" w:eastAsia="黑体" w:hAnsi="黑体" w:cs="方正小标宋简体" w:hint="eastAsia"/>
          <w:sz w:val="36"/>
          <w:szCs w:val="36"/>
        </w:rPr>
        <w:t>绩效评价报告</w:t>
      </w:r>
      <w:bookmarkEnd w:id="58"/>
      <w:bookmarkEnd w:id="59"/>
    </w:p>
    <w:p w:rsidR="00E20120" w:rsidRDefault="00E20120">
      <w:pPr>
        <w:spacing w:line="580" w:lineRule="exact"/>
        <w:ind w:firstLineChars="200" w:firstLine="640"/>
        <w:rPr>
          <w:rFonts w:ascii="黑体" w:eastAsia="黑体" w:hAnsi="黑体" w:cs="黑体"/>
          <w:sz w:val="32"/>
          <w:szCs w:val="32"/>
        </w:rPr>
      </w:pPr>
    </w:p>
    <w:p w:rsidR="00E20120" w:rsidRDefault="0017070C">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一、单位概况</w:t>
      </w:r>
    </w:p>
    <w:p w:rsidR="00E20120" w:rsidRDefault="0017070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E20120" w:rsidRDefault="0017070C">
      <w:pPr>
        <w:pStyle w:val="2"/>
        <w:snapToGrid w:val="0"/>
        <w:spacing w:before="0" w:after="0" w:line="540" w:lineRule="exact"/>
        <w:ind w:firstLineChars="200" w:firstLine="584"/>
        <w:rPr>
          <w:rFonts w:ascii="仿宋" w:eastAsia="仿宋" w:hAnsi="仿宋" w:cs="Times New Roman"/>
          <w:b w:val="0"/>
          <w:bCs w:val="0"/>
          <w:sz w:val="28"/>
          <w:szCs w:val="28"/>
        </w:rPr>
      </w:pPr>
      <w:r>
        <w:rPr>
          <w:rFonts w:ascii="仿宋" w:eastAsia="仿宋" w:hAnsi="仿宋" w:cs="Times New Roman" w:hint="eastAsia"/>
          <w:b w:val="0"/>
          <w:spacing w:val="6"/>
          <w:sz w:val="28"/>
          <w:szCs w:val="28"/>
        </w:rPr>
        <w:t>1个机构，内设部门6个（办公室、工会、教务处、总务处、政教处、技装室）。</w:t>
      </w:r>
    </w:p>
    <w:p w:rsidR="00E20120" w:rsidRDefault="0017070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E20120" w:rsidRDefault="0017070C">
      <w:pPr>
        <w:pStyle w:val="a3"/>
        <w:adjustRightInd w:val="0"/>
        <w:snapToGrid w:val="0"/>
        <w:spacing w:beforeLines="0" w:line="540" w:lineRule="exact"/>
        <w:ind w:firstLineChars="200" w:firstLine="560"/>
        <w:outlineLvl w:val="2"/>
        <w:rPr>
          <w:rFonts w:ascii="仿宋" w:eastAsia="仿宋" w:hAnsi="仿宋"/>
          <w:sz w:val="28"/>
          <w:szCs w:val="28"/>
        </w:rPr>
      </w:pPr>
      <w:r>
        <w:rPr>
          <w:rFonts w:ascii="仿宋" w:eastAsia="仿宋" w:hAnsi="仿宋" w:hint="eastAsia"/>
          <w:sz w:val="28"/>
          <w:szCs w:val="28"/>
        </w:rPr>
        <w:t>我校是一所九年一贯制农村学校，地处白朝乡场镇，主要为本乡十二个自然村适龄儿童提供就学服务。在过去的一年里，我校依据相关的法律法规，在上级主管部门和乡党委政府的指导下，按照登记的宗旨和业务范围积极规范开展业务活动。</w:t>
      </w:r>
    </w:p>
    <w:p w:rsidR="00E20120" w:rsidRDefault="0017070C">
      <w:pPr>
        <w:snapToGrid w:val="0"/>
        <w:spacing w:line="540" w:lineRule="exact"/>
        <w:ind w:firstLineChars="200" w:firstLine="560"/>
        <w:rPr>
          <w:rFonts w:ascii="仿宋" w:eastAsia="仿宋" w:hAnsi="仿宋" w:cs="仿宋_GB2312"/>
          <w:sz w:val="28"/>
          <w:szCs w:val="28"/>
        </w:rPr>
      </w:pPr>
      <w:r>
        <w:rPr>
          <w:rFonts w:ascii="仿宋" w:eastAsia="仿宋" w:hAnsi="仿宋"/>
          <w:sz w:val="28"/>
          <w:szCs w:val="28"/>
        </w:rPr>
        <w:t xml:space="preserve"> </w:t>
      </w:r>
      <w:r>
        <w:rPr>
          <w:rFonts w:ascii="仿宋" w:eastAsia="仿宋" w:hAnsi="仿宋" w:hint="eastAsia"/>
          <w:sz w:val="28"/>
          <w:szCs w:val="28"/>
        </w:rPr>
        <w:t>主要业务活动</w:t>
      </w:r>
      <w:r>
        <w:rPr>
          <w:rFonts w:ascii="仿宋" w:eastAsia="仿宋" w:hAnsi="仿宋"/>
          <w:sz w:val="28"/>
          <w:szCs w:val="28"/>
        </w:rPr>
        <w:t xml:space="preserve"> 1</w:t>
      </w:r>
      <w:r>
        <w:rPr>
          <w:rFonts w:ascii="仿宋" w:eastAsia="仿宋" w:hAnsi="仿宋" w:hint="eastAsia"/>
          <w:sz w:val="28"/>
          <w:szCs w:val="28"/>
        </w:rPr>
        <w:t>、开展德育活动扎实有效。教师是人类灵魂的工程师</w:t>
      </w:r>
      <w:r>
        <w:rPr>
          <w:rFonts w:ascii="仿宋" w:eastAsia="仿宋" w:hAnsi="仿宋"/>
          <w:sz w:val="28"/>
          <w:szCs w:val="28"/>
        </w:rPr>
        <w:t>,</w:t>
      </w:r>
      <w:r>
        <w:rPr>
          <w:rFonts w:ascii="仿宋" w:eastAsia="仿宋" w:hAnsi="仿宋" w:hint="eastAsia"/>
          <w:sz w:val="28"/>
          <w:szCs w:val="28"/>
        </w:rPr>
        <w:t>是学生的引路人</w:t>
      </w:r>
      <w:r>
        <w:rPr>
          <w:rFonts w:ascii="仿宋" w:eastAsia="仿宋" w:hAnsi="仿宋"/>
          <w:sz w:val="28"/>
          <w:szCs w:val="28"/>
        </w:rPr>
        <w:t>.</w:t>
      </w:r>
      <w:r>
        <w:rPr>
          <w:rFonts w:ascii="仿宋" w:eastAsia="仿宋" w:hAnsi="仿宋" w:hint="eastAsia"/>
          <w:sz w:val="28"/>
          <w:szCs w:val="28"/>
        </w:rPr>
        <w:t>学生能否健康成长</w:t>
      </w:r>
      <w:r>
        <w:rPr>
          <w:rFonts w:ascii="仿宋" w:eastAsia="仿宋" w:hAnsi="仿宋"/>
          <w:sz w:val="28"/>
          <w:szCs w:val="28"/>
        </w:rPr>
        <w:t>,</w:t>
      </w:r>
      <w:r>
        <w:rPr>
          <w:rFonts w:ascii="仿宋" w:eastAsia="仿宋" w:hAnsi="仿宋" w:hint="eastAsia"/>
          <w:sz w:val="28"/>
          <w:szCs w:val="28"/>
        </w:rPr>
        <w:t>取决于我们教师的潜移默化</w:t>
      </w:r>
      <w:r>
        <w:rPr>
          <w:rFonts w:ascii="仿宋" w:eastAsia="仿宋" w:hAnsi="仿宋"/>
          <w:sz w:val="28"/>
          <w:szCs w:val="28"/>
        </w:rPr>
        <w:t>.</w:t>
      </w:r>
      <w:r>
        <w:rPr>
          <w:rFonts w:ascii="仿宋" w:eastAsia="仿宋" w:hAnsi="仿宋" w:hint="eastAsia"/>
          <w:sz w:val="28"/>
          <w:szCs w:val="28"/>
        </w:rPr>
        <w:t>为此</w:t>
      </w:r>
      <w:r>
        <w:rPr>
          <w:rFonts w:ascii="仿宋" w:eastAsia="仿宋" w:hAnsi="仿宋"/>
          <w:sz w:val="28"/>
          <w:szCs w:val="28"/>
        </w:rPr>
        <w:t>,</w:t>
      </w:r>
      <w:r>
        <w:rPr>
          <w:rFonts w:ascii="仿宋" w:eastAsia="仿宋" w:hAnsi="仿宋" w:hint="eastAsia"/>
          <w:sz w:val="28"/>
          <w:szCs w:val="28"/>
        </w:rPr>
        <w:t>学校不断加强教师的思想道德修养建设</w:t>
      </w:r>
      <w:r>
        <w:rPr>
          <w:rFonts w:ascii="仿宋" w:eastAsia="仿宋" w:hAnsi="仿宋"/>
          <w:sz w:val="28"/>
          <w:szCs w:val="28"/>
        </w:rPr>
        <w:t>,</w:t>
      </w:r>
      <w:r>
        <w:rPr>
          <w:rFonts w:ascii="仿宋" w:eastAsia="仿宋" w:hAnsi="仿宋" w:hint="eastAsia"/>
          <w:sz w:val="28"/>
          <w:szCs w:val="28"/>
        </w:rPr>
        <w:t>组织教师学习教育法律法规、教师职业道德修养等，使教师的思想道德得以明显提高。学校为了培养品行端正、思想健康的合格人才，利用国旗下讲话、图片展览、法制讲座、送温暖活动等对学生进行</w:t>
      </w:r>
      <w:r>
        <w:rPr>
          <w:rFonts w:ascii="仿宋" w:eastAsia="仿宋" w:hAnsi="仿宋"/>
          <w:sz w:val="28"/>
          <w:szCs w:val="28"/>
        </w:rPr>
        <w:t>“</w:t>
      </w:r>
      <w:r>
        <w:rPr>
          <w:rFonts w:ascii="仿宋" w:eastAsia="仿宋" w:hAnsi="仿宋" w:hint="eastAsia"/>
          <w:sz w:val="28"/>
          <w:szCs w:val="28"/>
        </w:rPr>
        <w:t>五爱</w:t>
      </w:r>
      <w:r>
        <w:rPr>
          <w:rFonts w:ascii="仿宋" w:eastAsia="仿宋" w:hAnsi="仿宋"/>
          <w:sz w:val="28"/>
          <w:szCs w:val="28"/>
        </w:rPr>
        <w:t>”</w:t>
      </w:r>
      <w:r>
        <w:rPr>
          <w:rFonts w:ascii="仿宋" w:eastAsia="仿宋" w:hAnsi="仿宋" w:hint="eastAsia"/>
          <w:sz w:val="28"/>
          <w:szCs w:val="28"/>
        </w:rPr>
        <w:t>、禁毒等教育。通过多种有效途径加强学生爱国主义教育和公民道德教育，强化法制、安全、心理健康教育，收到较好效果。</w:t>
      </w:r>
      <w:r>
        <w:rPr>
          <w:rFonts w:ascii="仿宋" w:eastAsia="仿宋" w:hAnsi="仿宋"/>
          <w:sz w:val="28"/>
          <w:szCs w:val="28"/>
        </w:rPr>
        <w:t xml:space="preserve"> 2</w:t>
      </w:r>
      <w:r>
        <w:rPr>
          <w:rFonts w:ascii="仿宋" w:eastAsia="仿宋" w:hAnsi="仿宋" w:hint="eastAsia"/>
          <w:sz w:val="28"/>
          <w:szCs w:val="28"/>
        </w:rPr>
        <w:t>、开展教学和教研活动。教学质量是学校的生命线，为充分调动全体教师的工作积极性和主动性，学校制定一系列激励机制，加强</w:t>
      </w:r>
      <w:r>
        <w:rPr>
          <w:rFonts w:ascii="仿宋" w:eastAsia="仿宋" w:hAnsi="仿宋" w:hint="eastAsia"/>
          <w:sz w:val="28"/>
          <w:szCs w:val="28"/>
        </w:rPr>
        <w:lastRenderedPageBreak/>
        <w:t>教学常规管理，加大了学校教学各环节的督察力度，贯彻落实减负措施，培养学生综合素质，切实开展</w:t>
      </w:r>
      <w:r>
        <w:rPr>
          <w:rFonts w:ascii="仿宋" w:eastAsia="仿宋" w:hAnsi="仿宋"/>
          <w:sz w:val="28"/>
          <w:szCs w:val="28"/>
        </w:rPr>
        <w:t>“</w:t>
      </w:r>
      <w:r>
        <w:rPr>
          <w:rFonts w:ascii="仿宋" w:eastAsia="仿宋" w:hAnsi="仿宋" w:hint="eastAsia"/>
          <w:sz w:val="28"/>
          <w:szCs w:val="28"/>
        </w:rPr>
        <w:t>阳光体育</w:t>
      </w:r>
      <w:r>
        <w:rPr>
          <w:rFonts w:ascii="仿宋" w:eastAsia="仿宋" w:hAnsi="仿宋"/>
          <w:sz w:val="28"/>
          <w:szCs w:val="28"/>
        </w:rPr>
        <w:t>”</w:t>
      </w:r>
      <w:r>
        <w:rPr>
          <w:rFonts w:ascii="仿宋" w:eastAsia="仿宋" w:hAnsi="仿宋" w:hint="eastAsia"/>
          <w:sz w:val="28"/>
          <w:szCs w:val="28"/>
        </w:rPr>
        <w:t>活动，保证学生每天的锻炼时间，增强了学生体质。重视学生艺术素质培养。加强了与学生家长的联系，得到了学生家长的理解和大力支持，深受领导和社会的好评。</w:t>
      </w:r>
      <w:r>
        <w:rPr>
          <w:rFonts w:ascii="仿宋" w:eastAsia="仿宋" w:hAnsi="仿宋"/>
          <w:sz w:val="28"/>
          <w:szCs w:val="28"/>
        </w:rPr>
        <w:t xml:space="preserve"> 3</w:t>
      </w:r>
      <w:r>
        <w:rPr>
          <w:rFonts w:ascii="仿宋" w:eastAsia="仿宋" w:hAnsi="仿宋" w:hint="eastAsia"/>
          <w:sz w:val="28"/>
          <w:szCs w:val="28"/>
        </w:rPr>
        <w:t>、开展教育科学研究活动。积极倡导小课题深研究，组织教师对教育教学和管理中的难点和热点问题开展研究，提倡行动研究，注重研究的可操作性与实效性。有效开展听课、说课与评课活动，加强集体备课，增强校本教研实效。</w:t>
      </w:r>
      <w:r>
        <w:rPr>
          <w:rFonts w:ascii="仿宋" w:eastAsia="仿宋" w:hAnsi="仿宋"/>
          <w:sz w:val="28"/>
          <w:szCs w:val="28"/>
        </w:rPr>
        <w:t xml:space="preserve"> 4</w:t>
      </w:r>
      <w:r>
        <w:rPr>
          <w:rFonts w:ascii="仿宋" w:eastAsia="仿宋" w:hAnsi="仿宋" w:hint="eastAsia"/>
          <w:sz w:val="28"/>
          <w:szCs w:val="28"/>
        </w:rPr>
        <w:t>、开展教师培训活动。规范教师培训制度，组织教职工开展师德培训，加强继续教育工作，根据校本培训方案认真实施校本培训工作，努力提升教师整体素质。</w:t>
      </w:r>
      <w:r>
        <w:rPr>
          <w:rFonts w:ascii="仿宋" w:eastAsia="仿宋" w:hAnsi="仿宋"/>
          <w:sz w:val="28"/>
          <w:szCs w:val="28"/>
        </w:rPr>
        <w:t xml:space="preserve"> 5</w:t>
      </w:r>
      <w:r>
        <w:rPr>
          <w:rFonts w:ascii="仿宋" w:eastAsia="仿宋" w:hAnsi="仿宋" w:hint="eastAsia"/>
          <w:sz w:val="28"/>
          <w:szCs w:val="28"/>
        </w:rPr>
        <w:t>、开展学校后勤服务活动。加强校产管理，规范校产的购入、登记、出借、报损、核查和入帐手续，做到账物相符、帐帐相符。规范财务管理，严格执行有关收费规定，及时公示收费项目和标准。改进食堂管理，实行食堂</w:t>
      </w:r>
      <w:r>
        <w:rPr>
          <w:rFonts w:ascii="仿宋" w:eastAsia="仿宋" w:hAnsi="仿宋"/>
          <w:sz w:val="28"/>
          <w:szCs w:val="28"/>
        </w:rPr>
        <w:t>“</w:t>
      </w:r>
      <w:r>
        <w:rPr>
          <w:rFonts w:ascii="仿宋" w:eastAsia="仿宋" w:hAnsi="仿宋" w:hint="eastAsia"/>
          <w:sz w:val="28"/>
          <w:szCs w:val="28"/>
        </w:rPr>
        <w:t>自主经营</w:t>
      </w:r>
      <w:r>
        <w:rPr>
          <w:rFonts w:ascii="仿宋" w:eastAsia="仿宋" w:hAnsi="仿宋"/>
          <w:sz w:val="28"/>
          <w:szCs w:val="28"/>
        </w:rPr>
        <w:t>”</w:t>
      </w:r>
      <w:r>
        <w:rPr>
          <w:rFonts w:ascii="仿宋" w:eastAsia="仿宋" w:hAnsi="仿宋" w:hint="eastAsia"/>
          <w:sz w:val="28"/>
          <w:szCs w:val="28"/>
        </w:rPr>
        <w:t>的经营模式，加强对食品采购、验收、储存、制作与加工等诸多环节的管理工作，确保饮食卫生安全。改善办学条件，不断提高教师待遇。</w:t>
      </w:r>
      <w:r>
        <w:rPr>
          <w:rFonts w:ascii="仿宋" w:eastAsia="仿宋" w:hAnsi="仿宋"/>
          <w:sz w:val="28"/>
          <w:szCs w:val="28"/>
        </w:rPr>
        <w:t xml:space="preserve"> 6</w:t>
      </w:r>
      <w:r>
        <w:rPr>
          <w:rFonts w:ascii="仿宋" w:eastAsia="仿宋" w:hAnsi="仿宋" w:hint="eastAsia"/>
          <w:sz w:val="28"/>
          <w:szCs w:val="28"/>
        </w:rPr>
        <w:t>、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r>
        <w:rPr>
          <w:rFonts w:ascii="仿宋" w:eastAsia="仿宋" w:hAnsi="仿宋" w:cs="仿宋_GB2312"/>
          <w:sz w:val="28"/>
          <w:szCs w:val="28"/>
        </w:rPr>
        <w:t>（三）人员概况</w:t>
      </w:r>
    </w:p>
    <w:p w:rsidR="00E20120" w:rsidRDefault="0017070C">
      <w:pPr>
        <w:snapToGrid w:val="0"/>
        <w:spacing w:line="540" w:lineRule="exact"/>
        <w:ind w:firstLineChars="200" w:firstLine="584"/>
        <w:rPr>
          <w:rFonts w:ascii="仿宋" w:eastAsia="仿宋" w:hAnsi="仿宋"/>
          <w:spacing w:val="6"/>
          <w:sz w:val="28"/>
          <w:szCs w:val="28"/>
        </w:rPr>
      </w:pPr>
      <w:r>
        <w:rPr>
          <w:rFonts w:ascii="仿宋" w:eastAsia="仿宋" w:hAnsi="仿宋" w:hint="eastAsia"/>
          <w:spacing w:val="6"/>
          <w:sz w:val="28"/>
          <w:szCs w:val="28"/>
        </w:rPr>
        <w:t>人员情况：</w:t>
      </w:r>
      <w:r>
        <w:rPr>
          <w:rFonts w:ascii="仿宋" w:eastAsia="仿宋" w:hAnsi="仿宋" w:hint="eastAsia"/>
          <w:sz w:val="28"/>
          <w:szCs w:val="28"/>
        </w:rPr>
        <w:t>我校正式在职教职工年初37人，年末38人（其中：本年退休1人，调出1人，特岗6人），借调人员6人，安保人员3人，遗嘱6人，退休教师20人。教学班10个，在校学生93人（其中：义务教育阶段82人，幼儿学前班11人）</w:t>
      </w:r>
      <w:r>
        <w:rPr>
          <w:rFonts w:ascii="仿宋" w:eastAsia="仿宋" w:hAnsi="仿宋" w:hint="eastAsia"/>
          <w:spacing w:val="6"/>
          <w:sz w:val="28"/>
          <w:szCs w:val="28"/>
        </w:rPr>
        <w:t>。</w:t>
      </w:r>
    </w:p>
    <w:p w:rsidR="00E20120" w:rsidRDefault="0017070C">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t>二、单位资金收支情况</w:t>
      </w:r>
    </w:p>
    <w:p w:rsidR="00E20120" w:rsidRDefault="0017070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（一）单位资金收入情况</w:t>
      </w:r>
    </w:p>
    <w:p w:rsidR="00E20120" w:rsidRDefault="0017070C">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2020年度利州区白朝小学收入总计685.29万元，与2019年相比（702.97万元），收入总计下降17.68万元，下降2.5%。收入主要变动原因是因人员工资福利支出下降。</w:t>
      </w:r>
    </w:p>
    <w:p w:rsidR="00E20120" w:rsidRDefault="0017070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（二）单位资金支出情况</w:t>
      </w:r>
    </w:p>
    <w:p w:rsidR="00E20120" w:rsidRDefault="0017070C">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 xml:space="preserve">2020年度支出合计567.37万元，与2019年相比（698.83万元），支出下降131.46万元，下降18.81%。支出主要变动原因是因人员工资福利支出下降，项目未实施。 </w:t>
      </w:r>
    </w:p>
    <w:p w:rsidR="00E20120" w:rsidRDefault="0017070C">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二、单位整体预算绩效管理情况</w:t>
      </w:r>
    </w:p>
    <w:p w:rsidR="00E20120" w:rsidRDefault="0017070C">
      <w:pPr>
        <w:pStyle w:val="aa"/>
        <w:snapToGrid w:val="0"/>
        <w:spacing w:line="540" w:lineRule="exact"/>
        <w:ind w:firstLine="560"/>
        <w:rPr>
          <w:rFonts w:ascii="仿宋_GB2312" w:eastAsia="仿宋_GB2312" w:hAnsi="仿宋_GB2312" w:cs="仿宋_GB2312"/>
          <w:sz w:val="28"/>
          <w:szCs w:val="28"/>
        </w:rPr>
      </w:pPr>
      <w:r>
        <w:rPr>
          <w:rFonts w:ascii="仿宋" w:eastAsia="仿宋" w:hAnsi="仿宋" w:cs="仿宋_GB2312" w:hint="eastAsia"/>
          <w:sz w:val="28"/>
          <w:szCs w:val="28"/>
        </w:rPr>
        <w:t>根据预算绩效管理要求，本单位在年初预算编制阶段，开展了预算事前绩效评估，按</w:t>
      </w:r>
      <w:r>
        <w:rPr>
          <w:rFonts w:ascii="仿宋_GB2312" w:eastAsia="仿宋_GB2312" w:hAnsi="仿宋_GB2312" w:cs="仿宋_GB2312" w:hint="eastAsia"/>
          <w:color w:val="000000" w:themeColor="text1"/>
          <w:sz w:val="28"/>
          <w:szCs w:val="28"/>
        </w:rPr>
        <w:t>要求对20</w:t>
      </w:r>
      <w:r>
        <w:rPr>
          <w:rFonts w:ascii="仿宋_GB2312" w:eastAsia="仿宋_GB2312" w:hAnsi="仿宋_GB2312" w:cs="仿宋_GB2312" w:hint="eastAsia"/>
          <w:sz w:val="28"/>
          <w:szCs w:val="28"/>
        </w:rPr>
        <w:t>20年本单位整体支出开展绩效自评，从评价情况来看教育系统整体支出绩效评价自评结果良好，全年基本支出保障了部分的正常运行和日常工作的正常开展，项目支出保障了重点工作的开展，各项支出均达到了预期的绩效管理目标。本单位未开展项目支出绩效评价，因本单位无专项预算项目。</w:t>
      </w:r>
    </w:p>
    <w:p w:rsidR="00E20120" w:rsidRDefault="0017070C">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三、部门开展绩效评价结果。</w:t>
      </w:r>
    </w:p>
    <w:p w:rsidR="00E20120" w:rsidRDefault="0017070C">
      <w:pPr>
        <w:snapToGrid w:val="0"/>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本部门按要求对2020年部门整体支出绩效评价情况开展自评，《广元市利州区白朝小学2020年部门整体支出绩效评价报告》见附件。</w:t>
      </w:r>
    </w:p>
    <w:p w:rsidR="00E20120" w:rsidRDefault="0017070C">
      <w:pPr>
        <w:snapToGrid w:val="0"/>
        <w:spacing w:line="54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E20120" w:rsidRDefault="0017070C">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E20120" w:rsidRDefault="0017070C">
      <w:pPr>
        <w:snapToGrid w:val="0"/>
        <w:spacing w:line="540" w:lineRule="exact"/>
        <w:ind w:firstLineChars="200" w:firstLine="560"/>
        <w:rPr>
          <w:rFonts w:ascii="仿宋" w:eastAsia="仿宋" w:hAnsi="仿宋" w:cs="仿宋_GB2312"/>
          <w:color w:val="000000" w:themeColor="text1"/>
          <w:sz w:val="28"/>
          <w:szCs w:val="28"/>
        </w:rPr>
      </w:pPr>
      <w:r>
        <w:rPr>
          <w:rFonts w:ascii="仿宋" w:eastAsia="仿宋" w:hAnsi="仿宋" w:cs="仿宋_GB2312" w:hint="eastAsia"/>
          <w:sz w:val="28"/>
          <w:szCs w:val="28"/>
        </w:rPr>
        <w:t>从总体上看，单位整体绩效目标依据充分，整体绩效目标与部门履职相符，基本支出预算编制合理，项目支出预算准确；组织管理机构健全，规章制度完善，资金使用规范合理；预算执行、预算管理、资产管理、职责履行绩效评价目</w:t>
      </w:r>
      <w:r>
        <w:rPr>
          <w:rFonts w:ascii="仿宋" w:eastAsia="仿宋" w:hAnsi="仿宋" w:cs="仿宋_GB2312" w:hint="eastAsia"/>
          <w:color w:val="000000" w:themeColor="text1"/>
          <w:sz w:val="28"/>
          <w:szCs w:val="28"/>
        </w:rPr>
        <w:t>标实现较为理想，达到预期目的。单位整体绩效评价得</w:t>
      </w:r>
      <w:r>
        <w:rPr>
          <w:rFonts w:ascii="仿宋" w:eastAsia="仿宋" w:hAnsi="仿宋" w:cs="仿宋_GB2312" w:hint="eastAsia"/>
          <w:color w:val="000000" w:themeColor="text1"/>
          <w:sz w:val="28"/>
          <w:szCs w:val="28"/>
        </w:rPr>
        <w:lastRenderedPageBreak/>
        <w:t>分69.5分。</w:t>
      </w:r>
    </w:p>
    <w:p w:rsidR="00E20120" w:rsidRDefault="0017070C">
      <w:pPr>
        <w:snapToGrid w:val="0"/>
        <w:spacing w:line="540" w:lineRule="exact"/>
        <w:ind w:firstLineChars="200" w:firstLine="560"/>
        <w:rPr>
          <w:rFonts w:ascii="仿宋" w:eastAsia="仿宋" w:hAnsi="仿宋"/>
          <w:color w:val="000000" w:themeColor="text1"/>
          <w:sz w:val="28"/>
          <w:szCs w:val="28"/>
        </w:rPr>
      </w:pPr>
      <w:r>
        <w:rPr>
          <w:rFonts w:ascii="楷体" w:eastAsia="楷体" w:hAnsi="楷体" w:cs="楷体" w:hint="eastAsia"/>
          <w:sz w:val="28"/>
          <w:szCs w:val="28"/>
        </w:rPr>
        <w:t>（二）存在的问题：</w:t>
      </w:r>
      <w:r>
        <w:rPr>
          <w:rFonts w:ascii="仿宋_GB2312" w:eastAsia="仿宋_GB2312" w:hAnsi="宋体" w:cs="仿宋_GB2312" w:hint="eastAsia"/>
          <w:color w:val="000000" w:themeColor="text1"/>
          <w:sz w:val="28"/>
          <w:szCs w:val="28"/>
        </w:rPr>
        <w:t>一是绩效评价管理工作制度建设有待进一步加强，绩效管理缺乏系统性；二是</w:t>
      </w:r>
      <w:r>
        <w:rPr>
          <w:rFonts w:ascii="华文仿宋" w:eastAsia="华文仿宋" w:hAnsi="华文仿宋" w:hint="eastAsia"/>
          <w:color w:val="000000" w:themeColor="text1"/>
          <w:sz w:val="28"/>
          <w:szCs w:val="28"/>
        </w:rPr>
        <w:t>缺乏绩效评价专业</w:t>
      </w:r>
      <w:r>
        <w:rPr>
          <w:rFonts w:ascii="仿宋" w:eastAsia="仿宋" w:hAnsi="仿宋" w:hint="eastAsia"/>
          <w:color w:val="000000" w:themeColor="text1"/>
          <w:sz w:val="28"/>
          <w:szCs w:val="28"/>
        </w:rPr>
        <w:t>人才，系统现有评价工作人员的知识体系和业务技能还需进一步提高，以适应绩效评价工作相关要求。</w:t>
      </w:r>
    </w:p>
    <w:p w:rsidR="00E20120" w:rsidRDefault="0017070C">
      <w:pPr>
        <w:snapToGrid w:val="0"/>
        <w:spacing w:line="540" w:lineRule="exact"/>
        <w:ind w:firstLineChars="200" w:firstLine="560"/>
        <w:rPr>
          <w:rFonts w:ascii="华文仿宋" w:eastAsia="华文仿宋" w:hAnsi="华文仿宋"/>
          <w:sz w:val="28"/>
          <w:szCs w:val="28"/>
        </w:rPr>
      </w:pPr>
      <w:r>
        <w:rPr>
          <w:rFonts w:ascii="楷体" w:eastAsia="楷体" w:hAnsi="楷体" w:cs="楷体" w:hint="eastAsia"/>
          <w:sz w:val="28"/>
          <w:szCs w:val="28"/>
        </w:rPr>
        <w:t>下一步改进措施：</w:t>
      </w:r>
      <w:r>
        <w:rPr>
          <w:rStyle w:val="a8"/>
          <w:rFonts w:ascii="仿宋" w:eastAsia="仿宋" w:hAnsi="仿宋" w:cs="仿宋_GB2312" w:hint="eastAsia"/>
          <w:sz w:val="28"/>
          <w:szCs w:val="28"/>
        </w:rPr>
        <w:t>一</w:t>
      </w:r>
      <w:r>
        <w:rPr>
          <w:rStyle w:val="a8"/>
          <w:rFonts w:ascii="仿宋" w:eastAsia="仿宋" w:hAnsi="仿宋" w:cs="仿宋_GB2312" w:hint="eastAsia"/>
          <w:b w:val="0"/>
          <w:sz w:val="28"/>
          <w:szCs w:val="28"/>
        </w:rPr>
        <w:t>是</w:t>
      </w:r>
      <w:r>
        <w:rPr>
          <w:rFonts w:ascii="仿宋" w:eastAsia="仿宋" w:hAnsi="仿宋" w:cs="仿宋_GB2312" w:hint="eastAsia"/>
          <w:sz w:val="28"/>
          <w:szCs w:val="28"/>
        </w:rPr>
        <w:t>进一步加强绩效评价管理制度建设；二是建立有效的绩效管理体系；</w:t>
      </w:r>
      <w:r>
        <w:rPr>
          <w:rStyle w:val="a8"/>
          <w:rFonts w:ascii="仿宋" w:eastAsia="仿宋" w:hAnsi="仿宋" w:cs="仿宋_GB2312" w:hint="eastAsia"/>
          <w:sz w:val="28"/>
          <w:szCs w:val="28"/>
        </w:rPr>
        <w:t>三</w:t>
      </w:r>
      <w:r>
        <w:rPr>
          <w:rStyle w:val="a8"/>
          <w:rFonts w:ascii="仿宋" w:eastAsia="仿宋" w:hAnsi="仿宋" w:cs="仿宋_GB2312" w:hint="eastAsia"/>
          <w:b w:val="0"/>
          <w:sz w:val="28"/>
          <w:szCs w:val="28"/>
        </w:rPr>
        <w:t>是</w:t>
      </w:r>
      <w:r>
        <w:rPr>
          <w:rFonts w:ascii="仿宋" w:eastAsia="仿宋" w:hAnsi="仿宋" w:cs="仿宋_GB2312" w:hint="eastAsia"/>
          <w:sz w:val="28"/>
          <w:szCs w:val="28"/>
        </w:rPr>
        <w:t>强化绩效管理数据分析，强化绩效管理数据运用；四是强化绩效评价专业技能的培训；</w:t>
      </w:r>
      <w:r>
        <w:rPr>
          <w:rFonts w:ascii="仿宋" w:eastAsia="仿宋" w:hAnsi="仿宋" w:hint="eastAsia"/>
          <w:sz w:val="28"/>
          <w:szCs w:val="28"/>
        </w:rPr>
        <w:t>五是探索与预算编制相结合的财政绩效管</w:t>
      </w:r>
      <w:r>
        <w:rPr>
          <w:rFonts w:ascii="华文仿宋" w:eastAsia="华文仿宋" w:hAnsi="华文仿宋" w:hint="eastAsia"/>
          <w:sz w:val="28"/>
          <w:szCs w:val="28"/>
        </w:rPr>
        <w:t>理，奖绩效评价逐步从事后评价延伸至事前、事中评价。</w:t>
      </w:r>
    </w:p>
    <w:p w:rsidR="00E20120" w:rsidRDefault="0017070C">
      <w:pPr>
        <w:snapToGrid w:val="0"/>
        <w:spacing w:line="540" w:lineRule="exact"/>
        <w:ind w:firstLineChars="200" w:firstLine="560"/>
        <w:jc w:val="left"/>
        <w:rPr>
          <w:rFonts w:asciiTheme="minorHAnsi" w:eastAsia="仿宋_GB2312" w:hAnsiTheme="minorHAnsi" w:cs="仿宋_GB2312"/>
          <w:sz w:val="28"/>
          <w:szCs w:val="28"/>
        </w:rPr>
      </w:pPr>
      <w:r>
        <w:rPr>
          <w:rFonts w:asciiTheme="minorHAnsi" w:eastAsia="仿宋_GB2312" w:hAnsiTheme="minorHAnsi" w:cs="仿宋_GB2312"/>
          <w:sz w:val="28"/>
          <w:szCs w:val="28"/>
        </w:rPr>
        <w:t xml:space="preserve">    </w:t>
      </w:r>
    </w:p>
    <w:p w:rsidR="00E20120" w:rsidRDefault="00E20120">
      <w:pPr>
        <w:widowControl/>
        <w:jc w:val="left"/>
        <w:rPr>
          <w:rStyle w:val="1Char"/>
          <w:rFonts w:ascii="黑体" w:eastAsia="黑体" w:hAnsi="黑体"/>
          <w:b w:val="0"/>
        </w:rPr>
      </w:pPr>
      <w:bookmarkStart w:id="60" w:name="_Toc19089883"/>
    </w:p>
    <w:p w:rsidR="00E20120" w:rsidRDefault="00E20120">
      <w:pPr>
        <w:pStyle w:val="2"/>
        <w:rPr>
          <w:rStyle w:val="1Char"/>
          <w:rFonts w:ascii="仿宋" w:eastAsia="仿宋" w:hAnsi="仿宋"/>
          <w:sz w:val="32"/>
        </w:rPr>
      </w:pPr>
    </w:p>
    <w:bookmarkEnd w:id="60"/>
    <w:p w:rsidR="00E20120" w:rsidRDefault="0017070C">
      <w:pPr>
        <w:widowControl/>
        <w:jc w:val="left"/>
        <w:rPr>
          <w:rFonts w:ascii="黑体" w:eastAsia="黑体" w:hAnsi="黑体"/>
          <w:sz w:val="44"/>
          <w:szCs w:val="44"/>
        </w:rPr>
      </w:pPr>
      <w:r>
        <w:rPr>
          <w:rFonts w:ascii="黑体" w:eastAsia="黑体" w:hAnsi="黑体"/>
          <w:sz w:val="44"/>
          <w:szCs w:val="44"/>
        </w:rPr>
        <w:br w:type="page"/>
      </w:r>
    </w:p>
    <w:p w:rsidR="00E20120" w:rsidRDefault="0017070C">
      <w:pPr>
        <w:spacing w:line="580" w:lineRule="exact"/>
        <w:rPr>
          <w:rFonts w:ascii="仿宋_GB2312" w:eastAsia="仿宋_GB2312" w:hAnsi="仿宋_GB2312" w:cs="仿宋_GB2312"/>
          <w:sz w:val="32"/>
          <w:szCs w:val="32"/>
        </w:rPr>
      </w:pPr>
      <w:bookmarkStart w:id="61" w:name="_Toc19089885"/>
      <w:r>
        <w:rPr>
          <w:rFonts w:ascii="黑体" w:eastAsia="黑体" w:hAnsi="黑体" w:cs="黑体" w:hint="eastAsia"/>
          <w:sz w:val="32"/>
          <w:szCs w:val="32"/>
        </w:rPr>
        <w:lastRenderedPageBreak/>
        <w:t>附件</w:t>
      </w:r>
      <w:r>
        <w:rPr>
          <w:rFonts w:ascii="黑体" w:eastAsia="黑体" w:hAnsi="黑体" w:cs="黑体"/>
          <w:sz w:val="32"/>
          <w:szCs w:val="32"/>
        </w:rPr>
        <w:t>2</w:t>
      </w:r>
    </w:p>
    <w:p w:rsidR="00E20120" w:rsidRDefault="00E20120">
      <w:pPr>
        <w:spacing w:line="580" w:lineRule="exact"/>
        <w:ind w:firstLineChars="200" w:firstLine="640"/>
        <w:rPr>
          <w:rFonts w:ascii="仿宋_GB2312" w:eastAsia="仿宋_GB2312" w:hAnsi="仿宋_GB2312" w:cs="仿宋_GB2312"/>
          <w:sz w:val="32"/>
          <w:szCs w:val="32"/>
        </w:rPr>
      </w:pPr>
    </w:p>
    <w:p w:rsidR="00E20120" w:rsidRDefault="0017070C">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白朝小学</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E20120" w:rsidRDefault="0017070C">
      <w:pPr>
        <w:spacing w:line="600" w:lineRule="exact"/>
        <w:jc w:val="center"/>
        <w:rPr>
          <w:rFonts w:ascii="宋体"/>
          <w:sz w:val="32"/>
          <w:szCs w:val="32"/>
          <w:lang w:val="zh-CN"/>
        </w:rPr>
      </w:pPr>
      <w:r>
        <w:rPr>
          <w:rFonts w:ascii="宋体" w:hint="eastAsia"/>
          <w:sz w:val="32"/>
          <w:szCs w:val="32"/>
          <w:lang w:val="zh-CN"/>
        </w:rPr>
        <w:t>（未开展绩效评价）</w:t>
      </w:r>
    </w:p>
    <w:p w:rsidR="00E20120" w:rsidRDefault="00E20120">
      <w:pPr>
        <w:adjustRightInd w:val="0"/>
        <w:snapToGrid w:val="0"/>
        <w:spacing w:line="600" w:lineRule="exact"/>
        <w:ind w:firstLine="720"/>
        <w:rPr>
          <w:rFonts w:ascii="黑体" w:eastAsia="黑体" w:hAnsi="宋体"/>
          <w:sz w:val="32"/>
          <w:szCs w:val="32"/>
        </w:rPr>
      </w:pPr>
    </w:p>
    <w:p w:rsidR="00E20120" w:rsidRDefault="0017070C">
      <w:pPr>
        <w:adjustRightInd w:val="0"/>
        <w:snapToGrid w:val="0"/>
        <w:spacing w:line="520" w:lineRule="exact"/>
        <w:ind w:firstLineChars="200" w:firstLine="560"/>
        <w:rPr>
          <w:rFonts w:ascii="黑体" w:eastAsia="黑体" w:hAnsi="宋体"/>
          <w:sz w:val="28"/>
          <w:szCs w:val="28"/>
          <w:lang w:val="zh-CN"/>
        </w:rPr>
      </w:pPr>
      <w:r>
        <w:rPr>
          <w:rFonts w:ascii="黑体" w:eastAsia="黑体" w:hAnsi="宋体" w:hint="eastAsia"/>
          <w:sz w:val="28"/>
          <w:szCs w:val="28"/>
        </w:rPr>
        <w:t>一、</w:t>
      </w:r>
      <w:r>
        <w:rPr>
          <w:rFonts w:ascii="黑体" w:eastAsia="黑体" w:hAnsi="宋体" w:hint="eastAsia"/>
          <w:sz w:val="28"/>
          <w:szCs w:val="28"/>
          <w:lang w:val="zh-CN"/>
        </w:rPr>
        <w:t>项目概况</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（一）项目基本情况。</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1</w:t>
      </w:r>
      <w:r>
        <w:rPr>
          <w:rFonts w:ascii="仿宋_GB2312" w:eastAsia="仿宋_GB2312" w:hAnsi="宋体" w:hint="eastAsia"/>
          <w:sz w:val="28"/>
          <w:szCs w:val="28"/>
          <w:lang w:val="zh-CN"/>
        </w:rPr>
        <w:t>．说明项目主管部门（单位）在该项目管理中的职能。</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2</w:t>
      </w:r>
      <w:r>
        <w:rPr>
          <w:rFonts w:ascii="仿宋_GB2312" w:eastAsia="仿宋_GB2312" w:hAnsi="宋体" w:hint="eastAsia"/>
          <w:sz w:val="28"/>
          <w:szCs w:val="28"/>
          <w:lang w:val="zh-CN"/>
        </w:rPr>
        <w:t>．项目立项、资金申报的依据。</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3</w:t>
      </w:r>
      <w:r>
        <w:rPr>
          <w:rFonts w:ascii="仿宋_GB2312" w:eastAsia="仿宋_GB2312" w:hAnsi="宋体" w:hint="eastAsia"/>
          <w:sz w:val="28"/>
          <w:szCs w:val="28"/>
          <w:lang w:val="zh-CN"/>
        </w:rPr>
        <w:t>．资金管理办法制定情况，资金支持具体项目的条件、范围与支持方式概况。</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4</w:t>
      </w:r>
      <w:r>
        <w:rPr>
          <w:rFonts w:ascii="仿宋_GB2312" w:eastAsia="仿宋_GB2312" w:hAnsi="宋体" w:hint="eastAsia"/>
          <w:sz w:val="28"/>
          <w:szCs w:val="28"/>
          <w:lang w:val="zh-CN"/>
        </w:rPr>
        <w:t>．资金分配的原则及考虑因素。</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（二）项目绩效目标。</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1</w:t>
      </w:r>
      <w:r>
        <w:rPr>
          <w:rFonts w:ascii="仿宋_GB2312" w:eastAsia="仿宋_GB2312" w:hAnsi="宋体" w:hint="eastAsia"/>
          <w:sz w:val="28"/>
          <w:szCs w:val="28"/>
          <w:lang w:val="zh-CN"/>
        </w:rPr>
        <w:t>．项目主要内容。</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2</w:t>
      </w:r>
      <w:r>
        <w:rPr>
          <w:rFonts w:ascii="仿宋_GB2312" w:eastAsia="仿宋_GB2312" w:hAnsi="宋体" w:hint="eastAsia"/>
          <w:sz w:val="28"/>
          <w:szCs w:val="28"/>
          <w:lang w:val="zh-CN"/>
        </w:rPr>
        <w:t>．项目应实现的具体绩效目标，包括目标的量化、细化情况以及项目实施进度计划等。</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sz w:val="28"/>
          <w:szCs w:val="28"/>
          <w:lang w:val="zh-CN"/>
        </w:rPr>
        <w:t>3</w:t>
      </w:r>
      <w:r>
        <w:rPr>
          <w:rFonts w:ascii="仿宋_GB2312" w:eastAsia="仿宋_GB2312" w:hAnsi="宋体" w:hint="eastAsia"/>
          <w:sz w:val="28"/>
          <w:szCs w:val="28"/>
          <w:lang w:val="zh-CN"/>
        </w:rPr>
        <w:t>．分析评价申报内容是否与实际相符，申报目标是否合理可行。</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（三）项目自评步骤及方法。</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说明项目绩效自评采用的组织实施步骤及方法。</w:t>
      </w:r>
    </w:p>
    <w:p w:rsidR="00E20120" w:rsidRDefault="0017070C">
      <w:pPr>
        <w:adjustRightInd w:val="0"/>
        <w:snapToGrid w:val="0"/>
        <w:spacing w:line="520" w:lineRule="exact"/>
        <w:ind w:firstLineChars="200" w:firstLine="560"/>
        <w:rPr>
          <w:rFonts w:ascii="黑体" w:eastAsia="黑体" w:hAnsi="宋体"/>
          <w:sz w:val="28"/>
          <w:szCs w:val="28"/>
        </w:rPr>
      </w:pPr>
      <w:r>
        <w:rPr>
          <w:rFonts w:ascii="黑体" w:eastAsia="黑体" w:hAnsi="宋体" w:hint="eastAsia"/>
          <w:sz w:val="28"/>
          <w:szCs w:val="28"/>
        </w:rPr>
        <w:t>二、项目资金申报及使用情况</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（一）项目资金申报及批复情况。</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说明项目资金申报、批复及预算调整等程序的相关情况。</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楷体_GB2312" w:eastAsia="楷体_GB2312" w:hAnsi="宋体" w:hint="eastAsia"/>
          <w:sz w:val="28"/>
          <w:szCs w:val="28"/>
          <w:lang w:val="zh-CN"/>
        </w:rPr>
        <w:t>（二）资金计划、到位及使用情况（可用表格形式反映）。</w:t>
      </w:r>
    </w:p>
    <w:p w:rsidR="00E20120" w:rsidRDefault="0017070C">
      <w:pPr>
        <w:adjustRightInd w:val="0"/>
        <w:snapToGrid w:val="0"/>
        <w:spacing w:line="520" w:lineRule="exact"/>
        <w:ind w:firstLineChars="200" w:firstLine="562"/>
        <w:rPr>
          <w:rFonts w:ascii="仿宋_GB2312" w:eastAsia="仿宋_GB2312" w:hAnsi="宋体"/>
          <w:sz w:val="28"/>
          <w:szCs w:val="28"/>
          <w:lang w:val="zh-CN"/>
        </w:rPr>
      </w:pPr>
      <w:r>
        <w:rPr>
          <w:rFonts w:ascii="仿宋_GB2312" w:eastAsia="仿宋_GB2312" w:hAnsi="宋体" w:hint="eastAsia"/>
          <w:b/>
          <w:bCs/>
          <w:sz w:val="28"/>
          <w:szCs w:val="28"/>
          <w:lang w:val="zh-CN"/>
        </w:rPr>
        <w:t>1．资金计划。</w:t>
      </w:r>
      <w:r>
        <w:rPr>
          <w:rFonts w:ascii="仿宋_GB2312" w:eastAsia="仿宋_GB2312" w:hAnsi="宋体" w:hint="eastAsia"/>
          <w:sz w:val="28"/>
          <w:szCs w:val="28"/>
          <w:lang w:val="zh-CN"/>
        </w:rPr>
        <w:t>在说明该项目全省资金计划的基础上，分项目大类或市（州）分别说明各类资金计划情况，包括中央、省、市（州）、县（市、</w:t>
      </w:r>
      <w:r>
        <w:rPr>
          <w:rFonts w:ascii="仿宋_GB2312" w:eastAsia="仿宋_GB2312" w:hAnsi="宋体" w:hint="eastAsia"/>
          <w:sz w:val="28"/>
          <w:szCs w:val="28"/>
          <w:lang w:val="zh-CN"/>
        </w:rPr>
        <w:lastRenderedPageBreak/>
        <w:t>区）财政资金、项目单位自筹、其他渠道资金（包括银行贷款及其他资金等）。</w:t>
      </w:r>
    </w:p>
    <w:p w:rsidR="00E20120" w:rsidRDefault="0017070C">
      <w:pPr>
        <w:adjustRightInd w:val="0"/>
        <w:snapToGrid w:val="0"/>
        <w:spacing w:line="520" w:lineRule="exact"/>
        <w:ind w:firstLineChars="200" w:firstLine="562"/>
        <w:rPr>
          <w:rFonts w:ascii="仿宋_GB2312" w:eastAsia="仿宋_GB2312" w:hAnsi="宋体"/>
          <w:sz w:val="28"/>
          <w:szCs w:val="28"/>
          <w:lang w:val="zh-CN"/>
        </w:rPr>
      </w:pPr>
      <w:r>
        <w:rPr>
          <w:rFonts w:ascii="仿宋_GB2312" w:eastAsia="仿宋_GB2312" w:hAnsi="宋体" w:hint="eastAsia"/>
          <w:b/>
          <w:bCs/>
          <w:sz w:val="28"/>
          <w:szCs w:val="28"/>
          <w:lang w:val="zh-CN"/>
        </w:rPr>
        <w:t>2．资金到位。</w:t>
      </w:r>
      <w:r>
        <w:rPr>
          <w:rFonts w:ascii="仿宋_GB2312" w:eastAsia="仿宋_GB2312" w:hAnsi="宋体" w:hint="eastAsia"/>
          <w:sz w:val="28"/>
          <w:szCs w:val="28"/>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E20120" w:rsidRDefault="0017070C">
      <w:pPr>
        <w:adjustRightInd w:val="0"/>
        <w:snapToGrid w:val="0"/>
        <w:spacing w:line="520" w:lineRule="exact"/>
        <w:ind w:firstLineChars="200" w:firstLine="562"/>
        <w:rPr>
          <w:rFonts w:ascii="仿宋_GB2312" w:eastAsia="仿宋_GB2312" w:hAnsi="宋体"/>
          <w:sz w:val="28"/>
          <w:szCs w:val="28"/>
          <w:lang w:val="zh-CN"/>
        </w:rPr>
      </w:pPr>
      <w:r>
        <w:rPr>
          <w:rFonts w:ascii="仿宋_GB2312" w:eastAsia="仿宋_GB2312" w:hAnsi="宋体" w:hint="eastAsia"/>
          <w:b/>
          <w:bCs/>
          <w:sz w:val="28"/>
          <w:szCs w:val="28"/>
          <w:lang w:val="zh-CN"/>
        </w:rPr>
        <w:t>3．资金使用。</w:t>
      </w:r>
      <w:r>
        <w:rPr>
          <w:rFonts w:ascii="仿宋_GB2312" w:eastAsia="仿宋_GB2312" w:hAnsi="宋体" w:hint="eastAsia"/>
          <w:sz w:val="28"/>
          <w:szCs w:val="28"/>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（三）项目财务管理情况。</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总体评价各项目实施单位财务管理制度是否健全，是否严格执行财务管理制度，账务处理是否及时，会计核算是否规范等。</w:t>
      </w:r>
    </w:p>
    <w:p w:rsidR="00E20120" w:rsidRDefault="0017070C">
      <w:pPr>
        <w:adjustRightInd w:val="0"/>
        <w:snapToGrid w:val="0"/>
        <w:spacing w:line="520" w:lineRule="exact"/>
        <w:ind w:firstLineChars="200" w:firstLine="560"/>
        <w:rPr>
          <w:rFonts w:ascii="黑体" w:eastAsia="黑体" w:hAnsi="宋体"/>
          <w:sz w:val="28"/>
          <w:szCs w:val="28"/>
        </w:rPr>
      </w:pPr>
      <w:r>
        <w:rPr>
          <w:rFonts w:ascii="黑体" w:eastAsia="黑体" w:hAnsi="宋体" w:hint="eastAsia"/>
          <w:sz w:val="28"/>
          <w:szCs w:val="28"/>
        </w:rPr>
        <w:t>三、项目实施及管理情况</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结合项目组织实施管理办法，重点围绕以下内容进行分析评价，并对自评中发现的问题分析说明。</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（一）项目组织架构及实施流程。</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楷体_GB2312" w:eastAsia="楷体_GB2312" w:hAnsi="宋体" w:hint="eastAsia"/>
          <w:sz w:val="28"/>
          <w:szCs w:val="28"/>
          <w:lang w:val="zh-CN"/>
        </w:rPr>
        <w:t>（二）项目管理情况。</w:t>
      </w:r>
      <w:r>
        <w:rPr>
          <w:rFonts w:ascii="仿宋_GB2312" w:eastAsia="仿宋_GB2312" w:hAnsi="宋体" w:hint="eastAsia"/>
          <w:sz w:val="28"/>
          <w:szCs w:val="28"/>
          <w:lang w:val="zh-CN"/>
        </w:rPr>
        <w:t>结合项目特点，总体评价各项目实施单位执行相关法律法规及项目管理制度等情况，如招投标、政府采购、项目公示制等相关规定。</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楷体_GB2312" w:eastAsia="楷体_GB2312" w:hAnsi="宋体" w:hint="eastAsia"/>
          <w:sz w:val="28"/>
          <w:szCs w:val="28"/>
          <w:lang w:val="zh-CN"/>
        </w:rPr>
        <w:t>（三）项目监管情况。</w:t>
      </w:r>
      <w:r>
        <w:rPr>
          <w:rFonts w:ascii="仿宋_GB2312" w:eastAsia="仿宋_GB2312" w:hAnsi="宋体" w:hint="eastAsia"/>
          <w:sz w:val="28"/>
          <w:szCs w:val="28"/>
          <w:lang w:val="zh-CN"/>
        </w:rPr>
        <w:t>说明项目主管部门为加强项目管理所采取的监管手段、监管程序、监管工作开展情况及实现的效果等。</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黑体" w:eastAsia="黑体" w:hAnsi="宋体" w:hint="eastAsia"/>
          <w:sz w:val="28"/>
          <w:szCs w:val="28"/>
        </w:rPr>
        <w:lastRenderedPageBreak/>
        <w:t>四、项目绩效情况</w:t>
      </w:r>
      <w:r>
        <w:rPr>
          <w:rFonts w:ascii="仿宋_GB2312" w:eastAsia="仿宋_GB2312" w:hAnsi="宋体"/>
          <w:sz w:val="28"/>
          <w:szCs w:val="28"/>
          <w:lang w:val="zh-CN"/>
        </w:rPr>
        <w:tab/>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（一）项目完成情况。</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仿宋_GB2312" w:eastAsia="仿宋_GB2312" w:hAnsi="宋体" w:hint="eastAsia"/>
          <w:sz w:val="28"/>
          <w:szCs w:val="28"/>
          <w:lang w:val="zh-CN"/>
        </w:rPr>
        <w:t>包括项目完成数量、质量、时效、成本等情况，对照项目计划完成目标，对截止评价时点的任务量完成、质量标准、进度计划、成本控制目标的实现程度进行评价，并进行分析说明。</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（二）项目效益情况。</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从项目经济效益、社会效益、生态效益、可持续效益以及服务对象满意度等方面对项目效益进行全面分析评价。</w:t>
      </w:r>
    </w:p>
    <w:p w:rsidR="00E20120" w:rsidRDefault="0017070C">
      <w:pPr>
        <w:adjustRightInd w:val="0"/>
        <w:snapToGrid w:val="0"/>
        <w:spacing w:line="520" w:lineRule="exact"/>
        <w:ind w:firstLineChars="200" w:firstLine="560"/>
        <w:rPr>
          <w:rFonts w:ascii="黑体" w:eastAsia="黑体" w:hAnsi="宋体"/>
          <w:sz w:val="28"/>
          <w:szCs w:val="28"/>
        </w:rPr>
      </w:pPr>
      <w:r>
        <w:rPr>
          <w:rFonts w:ascii="黑体" w:eastAsia="黑体" w:hAnsi="宋体" w:hint="eastAsia"/>
          <w:sz w:val="28"/>
          <w:szCs w:val="28"/>
        </w:rPr>
        <w:t>五、评价结论及建议</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（一）评价结论。</w:t>
      </w:r>
    </w:p>
    <w:p w:rsidR="00E20120" w:rsidRDefault="0017070C">
      <w:pPr>
        <w:adjustRightInd w:val="0"/>
        <w:snapToGrid w:val="0"/>
        <w:spacing w:line="520" w:lineRule="exact"/>
        <w:ind w:firstLineChars="200" w:firstLine="560"/>
        <w:rPr>
          <w:rFonts w:ascii="仿宋_GB2312" w:eastAsia="仿宋_GB2312" w:hAnsi="宋体"/>
          <w:sz w:val="28"/>
          <w:szCs w:val="28"/>
          <w:bdr w:val="single" w:sz="4" w:space="0" w:color="auto"/>
          <w:lang w:val="zh-CN"/>
        </w:rPr>
      </w:pPr>
      <w:r>
        <w:rPr>
          <w:rFonts w:ascii="仿宋_GB2312" w:eastAsia="仿宋_GB2312" w:hAnsi="宋体" w:hint="eastAsia"/>
          <w:sz w:val="28"/>
          <w:szCs w:val="28"/>
          <w:lang w:val="zh-CN"/>
        </w:rPr>
        <w:t>结合项目自身特点、评价重点及管理办法等要求，围绕专项项目支出绩效评价指标体系对项目进行总体评价。</w:t>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（二）存在的问题。</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结合自评情况，分析存在的问题及原因。</w:t>
      </w:r>
      <w:r>
        <w:rPr>
          <w:rFonts w:ascii="仿宋_GB2312" w:eastAsia="仿宋_GB2312" w:hAnsi="宋体"/>
          <w:sz w:val="28"/>
          <w:szCs w:val="28"/>
          <w:lang w:val="zh-CN"/>
        </w:rPr>
        <w:tab/>
      </w:r>
    </w:p>
    <w:p w:rsidR="00E20120" w:rsidRDefault="0017070C">
      <w:pPr>
        <w:adjustRightInd w:val="0"/>
        <w:snapToGrid w:val="0"/>
        <w:spacing w:line="520" w:lineRule="exact"/>
        <w:ind w:firstLineChars="200" w:firstLine="560"/>
        <w:rPr>
          <w:rFonts w:ascii="楷体_GB2312" w:eastAsia="楷体_GB2312" w:hAnsi="宋体"/>
          <w:sz w:val="28"/>
          <w:szCs w:val="28"/>
          <w:lang w:val="zh-CN"/>
        </w:rPr>
      </w:pPr>
      <w:r>
        <w:rPr>
          <w:rFonts w:ascii="楷体_GB2312" w:eastAsia="楷体_GB2312" w:hAnsi="宋体" w:hint="eastAsia"/>
          <w:sz w:val="28"/>
          <w:szCs w:val="28"/>
          <w:lang w:val="zh-CN"/>
        </w:rPr>
        <w:t>（三）相关建议。</w:t>
      </w:r>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针对项目自评中发现的问题，提出下一步改进完善的意见及有关政策性建议。</w:t>
      </w:r>
    </w:p>
    <w:p w:rsidR="00E20120" w:rsidRDefault="0017070C">
      <w:pPr>
        <w:spacing w:line="600" w:lineRule="exact"/>
        <w:jc w:val="center"/>
        <w:outlineLvl w:val="0"/>
        <w:rPr>
          <w:rFonts w:ascii="黑体" w:eastAsia="黑体" w:hAnsi="黑体"/>
          <w:sz w:val="44"/>
          <w:szCs w:val="44"/>
        </w:rPr>
      </w:pPr>
      <w:r>
        <w:rPr>
          <w:rFonts w:ascii="黑体" w:eastAsia="黑体" w:hAnsi="黑体" w:hint="eastAsia"/>
          <w:sz w:val="44"/>
          <w:szCs w:val="44"/>
        </w:rPr>
        <w:t xml:space="preserve"> </w:t>
      </w:r>
    </w:p>
    <w:p w:rsidR="00E20120" w:rsidRDefault="0017070C">
      <w:pPr>
        <w:rPr>
          <w:rFonts w:ascii="黑体" w:eastAsia="黑体" w:hAnsi="黑体"/>
          <w:sz w:val="44"/>
          <w:szCs w:val="44"/>
        </w:rPr>
      </w:pPr>
      <w:r>
        <w:rPr>
          <w:rFonts w:ascii="黑体" w:eastAsia="黑体" w:hAnsi="黑体" w:hint="eastAsia"/>
          <w:sz w:val="44"/>
          <w:szCs w:val="44"/>
        </w:rPr>
        <w:br w:type="page"/>
      </w:r>
    </w:p>
    <w:p w:rsidR="00E20120" w:rsidRDefault="0017070C">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Char"/>
          <w:rFonts w:ascii="方正小标宋简体" w:eastAsia="方正小标宋简体" w:hAnsi="方正小标宋简体" w:cs="方正小标宋简体" w:hint="eastAsia"/>
          <w:b w:val="0"/>
        </w:rPr>
        <w:t>五部分 附表</w:t>
      </w:r>
      <w:bookmarkEnd w:id="55"/>
      <w:bookmarkEnd w:id="61"/>
    </w:p>
    <w:p w:rsidR="00E20120" w:rsidRDefault="00E20120">
      <w:pPr>
        <w:adjustRightInd w:val="0"/>
        <w:snapToGrid w:val="0"/>
        <w:spacing w:line="520" w:lineRule="exact"/>
        <w:ind w:firstLineChars="200" w:firstLine="560"/>
        <w:rPr>
          <w:rFonts w:ascii="仿宋_GB2312" w:eastAsia="仿宋_GB2312" w:hAnsi="宋体"/>
          <w:sz w:val="28"/>
          <w:szCs w:val="28"/>
          <w:lang w:val="zh-CN"/>
        </w:rPr>
      </w:pPr>
      <w:bookmarkStart w:id="62" w:name="_Toc19089886"/>
    </w:p>
    <w:p w:rsidR="00E20120" w:rsidRDefault="0017070C">
      <w:pPr>
        <w:adjustRightInd w:val="0"/>
        <w:snapToGrid w:val="0"/>
        <w:spacing w:line="520" w:lineRule="exact"/>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一、收入支出决算总表</w:t>
      </w:r>
      <w:bookmarkEnd w:id="62"/>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63" w:name="_Toc19089887"/>
      <w:r>
        <w:rPr>
          <w:rFonts w:ascii="仿宋_GB2312" w:eastAsia="仿宋_GB2312" w:hAnsi="宋体" w:hint="eastAsia"/>
          <w:sz w:val="28"/>
          <w:szCs w:val="28"/>
          <w:lang w:val="zh-CN"/>
        </w:rPr>
        <w:t>二、收入总表</w:t>
      </w:r>
      <w:bookmarkEnd w:id="63"/>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64" w:name="_Toc19089888"/>
      <w:r>
        <w:rPr>
          <w:rFonts w:ascii="仿宋_GB2312" w:eastAsia="仿宋_GB2312" w:hAnsi="宋体" w:hint="eastAsia"/>
          <w:sz w:val="28"/>
          <w:szCs w:val="28"/>
          <w:lang w:val="zh-CN"/>
        </w:rPr>
        <w:t>三、支出总表</w:t>
      </w:r>
      <w:bookmarkEnd w:id="64"/>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65" w:name="_Toc19089889"/>
      <w:r>
        <w:rPr>
          <w:rFonts w:ascii="仿宋_GB2312" w:eastAsia="仿宋_GB2312" w:hAnsi="宋体" w:hint="eastAsia"/>
          <w:sz w:val="28"/>
          <w:szCs w:val="28"/>
          <w:lang w:val="zh-CN"/>
        </w:rPr>
        <w:t>四、财政拨款收入支出决算总表</w:t>
      </w:r>
      <w:bookmarkEnd w:id="65"/>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66" w:name="_Toc19089890"/>
      <w:r>
        <w:rPr>
          <w:rFonts w:ascii="仿宋_GB2312" w:eastAsia="仿宋_GB2312" w:hAnsi="宋体" w:hint="eastAsia"/>
          <w:sz w:val="28"/>
          <w:szCs w:val="28"/>
          <w:lang w:val="zh-CN"/>
        </w:rPr>
        <w:t>五、财政拨款支出决算明细表（政府经济分类科目）</w:t>
      </w:r>
      <w:bookmarkEnd w:id="66"/>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67" w:name="_Toc19089891"/>
      <w:r>
        <w:rPr>
          <w:rFonts w:ascii="仿宋_GB2312" w:eastAsia="仿宋_GB2312" w:hAnsi="宋体" w:hint="eastAsia"/>
          <w:sz w:val="28"/>
          <w:szCs w:val="28"/>
          <w:lang w:val="zh-CN"/>
        </w:rPr>
        <w:t>六、一般公共预算财政拨款支出决算表</w:t>
      </w:r>
      <w:bookmarkEnd w:id="67"/>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68" w:name="_Toc19089892"/>
      <w:r>
        <w:rPr>
          <w:rFonts w:ascii="仿宋_GB2312" w:eastAsia="仿宋_GB2312" w:hAnsi="宋体" w:hint="eastAsia"/>
          <w:sz w:val="28"/>
          <w:szCs w:val="28"/>
          <w:lang w:val="zh-CN"/>
        </w:rPr>
        <w:t>七、一般公共预算财政拨款支出决算明细表</w:t>
      </w:r>
      <w:bookmarkEnd w:id="68"/>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69" w:name="_Toc19089893"/>
      <w:r>
        <w:rPr>
          <w:rFonts w:ascii="仿宋_GB2312" w:eastAsia="仿宋_GB2312" w:hAnsi="宋体" w:hint="eastAsia"/>
          <w:sz w:val="28"/>
          <w:szCs w:val="28"/>
          <w:lang w:val="zh-CN"/>
        </w:rPr>
        <w:t>八、一般公共预算财政拨款基本支出决算表</w:t>
      </w:r>
      <w:bookmarkEnd w:id="69"/>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70" w:name="_Toc19089894"/>
      <w:r>
        <w:rPr>
          <w:rFonts w:ascii="仿宋_GB2312" w:eastAsia="仿宋_GB2312" w:hAnsi="宋体" w:hint="eastAsia"/>
          <w:sz w:val="28"/>
          <w:szCs w:val="28"/>
          <w:lang w:val="zh-CN"/>
        </w:rPr>
        <w:t>九、一般公共预算财政拨款项目支出决算表</w:t>
      </w:r>
      <w:bookmarkEnd w:id="70"/>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71" w:name="_Toc19089895"/>
      <w:r>
        <w:rPr>
          <w:rFonts w:ascii="仿宋_GB2312" w:eastAsia="仿宋_GB2312" w:hAnsi="宋体" w:hint="eastAsia"/>
          <w:sz w:val="28"/>
          <w:szCs w:val="28"/>
          <w:lang w:val="zh-CN"/>
        </w:rPr>
        <w:t>十、一般公共预算财政拨款“三公”经费支出决算表</w:t>
      </w:r>
      <w:bookmarkEnd w:id="71"/>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72" w:name="_Toc19089896"/>
      <w:r>
        <w:rPr>
          <w:rFonts w:ascii="仿宋_GB2312" w:eastAsia="仿宋_GB2312" w:hAnsi="宋体" w:hint="eastAsia"/>
          <w:sz w:val="28"/>
          <w:szCs w:val="28"/>
          <w:lang w:val="zh-CN"/>
        </w:rPr>
        <w:t>十一、政府性基金预算财政拨款收入支出决算表</w:t>
      </w:r>
      <w:bookmarkEnd w:id="72"/>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73" w:name="_Toc19089897"/>
      <w:r>
        <w:rPr>
          <w:rFonts w:ascii="仿宋_GB2312" w:eastAsia="仿宋_GB2312" w:hAnsi="宋体" w:hint="eastAsia"/>
          <w:sz w:val="28"/>
          <w:szCs w:val="28"/>
          <w:lang w:val="zh-CN"/>
        </w:rPr>
        <w:t>十二、政府性基金预算财政拨款“三公”经费支出决算表</w:t>
      </w:r>
      <w:bookmarkEnd w:id="73"/>
    </w:p>
    <w:p w:rsidR="00E20120" w:rsidRDefault="0017070C">
      <w:pPr>
        <w:adjustRightInd w:val="0"/>
        <w:snapToGrid w:val="0"/>
        <w:spacing w:line="520" w:lineRule="exact"/>
        <w:ind w:firstLineChars="200" w:firstLine="560"/>
        <w:rPr>
          <w:rFonts w:ascii="仿宋_GB2312" w:eastAsia="仿宋_GB2312" w:hAnsi="宋体"/>
          <w:sz w:val="28"/>
          <w:szCs w:val="28"/>
          <w:lang w:val="zh-CN"/>
        </w:rPr>
      </w:pPr>
      <w:bookmarkStart w:id="74" w:name="_Toc19089898"/>
      <w:r>
        <w:rPr>
          <w:rFonts w:ascii="仿宋_GB2312" w:eastAsia="仿宋_GB2312" w:hAnsi="宋体" w:hint="eastAsia"/>
          <w:sz w:val="28"/>
          <w:szCs w:val="28"/>
          <w:lang w:val="zh-CN"/>
        </w:rPr>
        <w:t>十三、国有资本经营预算支出决算表</w:t>
      </w:r>
      <w:bookmarkEnd w:id="74"/>
    </w:p>
    <w:sectPr w:rsidR="00E20120">
      <w:headerReference w:type="default" r:id="rId16"/>
      <w:footerReference w:type="default" r:id="rId17"/>
      <w:pgSz w:w="11906" w:h="16838"/>
      <w:pgMar w:top="1701" w:right="1474" w:bottom="1701"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8F" w:rsidRDefault="000D2F8F">
      <w:r>
        <w:separator/>
      </w:r>
    </w:p>
  </w:endnote>
  <w:endnote w:type="continuationSeparator" w:id="0">
    <w:p w:rsidR="000D2F8F" w:rsidRDefault="000D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Malgun Gothic Semilight"/>
    <w:charset w:val="86"/>
    <w:family w:val="auto"/>
    <w:pitch w:val="default"/>
    <w:sig w:usb0="00000000"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rPr>
        <w:rFonts w:ascii="宋体" w:hAnsi="宋体" w:cs="宋体" w:hint="eastAsia"/>
        <w:sz w:val="24"/>
        <w:szCs w:val="24"/>
      </w:rPr>
    </w:sdtEndPr>
    <w:sdtContent>
      <w:p w:rsidR="00E20120" w:rsidRDefault="0017070C">
        <w:pPr>
          <w:pStyle w:val="a5"/>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254036" w:rsidRPr="00254036">
          <w:rPr>
            <w:rFonts w:ascii="宋体" w:hAnsi="宋体" w:cs="宋体"/>
            <w:noProof/>
            <w:sz w:val="24"/>
            <w:szCs w:val="24"/>
            <w:lang w:val="zh-CN"/>
          </w:rPr>
          <w:t>15</w:t>
        </w:r>
        <w:r>
          <w:rPr>
            <w:rFonts w:ascii="宋体" w:hAnsi="宋体" w:cs="宋体" w:hint="eastAsia"/>
            <w:sz w:val="24"/>
            <w:szCs w:val="24"/>
            <w:lang w:val="zh-CN"/>
          </w:rPr>
          <w:fldChar w:fldCharType="end"/>
        </w:r>
      </w:p>
    </w:sdtContent>
  </w:sdt>
  <w:p w:rsidR="00E20120" w:rsidRDefault="00E20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8F" w:rsidRDefault="000D2F8F">
      <w:r>
        <w:separator/>
      </w:r>
    </w:p>
  </w:footnote>
  <w:footnote w:type="continuationSeparator" w:id="0">
    <w:p w:rsidR="000D2F8F" w:rsidRDefault="000D2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120" w:rsidRDefault="00E2012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lZWQ2OTE4YjEyYzU0MGJjZjEzZmIwYzNiZjM3YjIifQ=="/>
  </w:docVars>
  <w:rsids>
    <w:rsidRoot w:val="00F1361C"/>
    <w:rsid w:val="000222C6"/>
    <w:rsid w:val="0002549F"/>
    <w:rsid w:val="0006487A"/>
    <w:rsid w:val="00065F8F"/>
    <w:rsid w:val="000768F2"/>
    <w:rsid w:val="000904AE"/>
    <w:rsid w:val="0009184B"/>
    <w:rsid w:val="00094044"/>
    <w:rsid w:val="0009593C"/>
    <w:rsid w:val="000B047F"/>
    <w:rsid w:val="000B30C6"/>
    <w:rsid w:val="000B48C7"/>
    <w:rsid w:val="000B5923"/>
    <w:rsid w:val="000B5A48"/>
    <w:rsid w:val="000B6FF3"/>
    <w:rsid w:val="000C3467"/>
    <w:rsid w:val="000C3CA6"/>
    <w:rsid w:val="000C5EE2"/>
    <w:rsid w:val="000C7384"/>
    <w:rsid w:val="000D1267"/>
    <w:rsid w:val="000D1D50"/>
    <w:rsid w:val="000D2F8F"/>
    <w:rsid w:val="000D5782"/>
    <w:rsid w:val="000E6613"/>
    <w:rsid w:val="000E7119"/>
    <w:rsid w:val="000F4388"/>
    <w:rsid w:val="000F5E4A"/>
    <w:rsid w:val="00114E9B"/>
    <w:rsid w:val="00131A72"/>
    <w:rsid w:val="0014729F"/>
    <w:rsid w:val="00157BAB"/>
    <w:rsid w:val="001614F6"/>
    <w:rsid w:val="001654D1"/>
    <w:rsid w:val="001705E5"/>
    <w:rsid w:val="0017070C"/>
    <w:rsid w:val="0018106D"/>
    <w:rsid w:val="001877A7"/>
    <w:rsid w:val="00187ECD"/>
    <w:rsid w:val="00191536"/>
    <w:rsid w:val="00196687"/>
    <w:rsid w:val="001B1B4C"/>
    <w:rsid w:val="001B73A2"/>
    <w:rsid w:val="001C0962"/>
    <w:rsid w:val="001D7531"/>
    <w:rsid w:val="001E6B16"/>
    <w:rsid w:val="001E737D"/>
    <w:rsid w:val="001F0592"/>
    <w:rsid w:val="001F7506"/>
    <w:rsid w:val="002006CD"/>
    <w:rsid w:val="00200C7F"/>
    <w:rsid w:val="00202B36"/>
    <w:rsid w:val="00204B7A"/>
    <w:rsid w:val="0021101A"/>
    <w:rsid w:val="00220536"/>
    <w:rsid w:val="00235629"/>
    <w:rsid w:val="0024442B"/>
    <w:rsid w:val="00254036"/>
    <w:rsid w:val="00257BFB"/>
    <w:rsid w:val="00260C38"/>
    <w:rsid w:val="002616C0"/>
    <w:rsid w:val="002662AA"/>
    <w:rsid w:val="00280496"/>
    <w:rsid w:val="00285D9E"/>
    <w:rsid w:val="002947D9"/>
    <w:rsid w:val="00295495"/>
    <w:rsid w:val="002B2613"/>
    <w:rsid w:val="002E1C32"/>
    <w:rsid w:val="002F1818"/>
    <w:rsid w:val="002F567B"/>
    <w:rsid w:val="0030268C"/>
    <w:rsid w:val="00303037"/>
    <w:rsid w:val="003216A9"/>
    <w:rsid w:val="00324C77"/>
    <w:rsid w:val="00325177"/>
    <w:rsid w:val="0033703B"/>
    <w:rsid w:val="0037013F"/>
    <w:rsid w:val="00380C92"/>
    <w:rsid w:val="003824A9"/>
    <w:rsid w:val="00393FDC"/>
    <w:rsid w:val="003A484F"/>
    <w:rsid w:val="003A7617"/>
    <w:rsid w:val="003B0BE0"/>
    <w:rsid w:val="003B0C1B"/>
    <w:rsid w:val="003B0ED3"/>
    <w:rsid w:val="003B2075"/>
    <w:rsid w:val="003B42A8"/>
    <w:rsid w:val="003B688C"/>
    <w:rsid w:val="003C0291"/>
    <w:rsid w:val="003C39AE"/>
    <w:rsid w:val="003C7B60"/>
    <w:rsid w:val="003D1FB2"/>
    <w:rsid w:val="003D66DA"/>
    <w:rsid w:val="003E1310"/>
    <w:rsid w:val="003E6F55"/>
    <w:rsid w:val="004025A1"/>
    <w:rsid w:val="00406254"/>
    <w:rsid w:val="004223DE"/>
    <w:rsid w:val="0042453B"/>
    <w:rsid w:val="00430073"/>
    <w:rsid w:val="00434489"/>
    <w:rsid w:val="004351CD"/>
    <w:rsid w:val="00437085"/>
    <w:rsid w:val="00443880"/>
    <w:rsid w:val="004464F4"/>
    <w:rsid w:val="00461007"/>
    <w:rsid w:val="00471401"/>
    <w:rsid w:val="0047387D"/>
    <w:rsid w:val="00473F31"/>
    <w:rsid w:val="0048263A"/>
    <w:rsid w:val="00487E5D"/>
    <w:rsid w:val="00493342"/>
    <w:rsid w:val="00496AA1"/>
    <w:rsid w:val="004A55C6"/>
    <w:rsid w:val="004A711F"/>
    <w:rsid w:val="004B0034"/>
    <w:rsid w:val="004B199D"/>
    <w:rsid w:val="004B4572"/>
    <w:rsid w:val="004B4690"/>
    <w:rsid w:val="004D3155"/>
    <w:rsid w:val="004E0A2D"/>
    <w:rsid w:val="004E206B"/>
    <w:rsid w:val="004E6DF7"/>
    <w:rsid w:val="004F0FBD"/>
    <w:rsid w:val="00505A47"/>
    <w:rsid w:val="00512FDA"/>
    <w:rsid w:val="00520DA0"/>
    <w:rsid w:val="005664BB"/>
    <w:rsid w:val="0057481D"/>
    <w:rsid w:val="0058486E"/>
    <w:rsid w:val="005A7B78"/>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34DE7"/>
    <w:rsid w:val="006440E4"/>
    <w:rsid w:val="006542C0"/>
    <w:rsid w:val="0066343B"/>
    <w:rsid w:val="00664777"/>
    <w:rsid w:val="00670608"/>
    <w:rsid w:val="006748A4"/>
    <w:rsid w:val="00683E73"/>
    <w:rsid w:val="00684A83"/>
    <w:rsid w:val="006A1DFA"/>
    <w:rsid w:val="006A3141"/>
    <w:rsid w:val="006A5E34"/>
    <w:rsid w:val="006B2422"/>
    <w:rsid w:val="006B2B9A"/>
    <w:rsid w:val="006B3728"/>
    <w:rsid w:val="006B419B"/>
    <w:rsid w:val="006C1937"/>
    <w:rsid w:val="006C2699"/>
    <w:rsid w:val="006F020C"/>
    <w:rsid w:val="007127B7"/>
    <w:rsid w:val="00733C69"/>
    <w:rsid w:val="007416B6"/>
    <w:rsid w:val="00746C2B"/>
    <w:rsid w:val="00746F48"/>
    <w:rsid w:val="00753FD7"/>
    <w:rsid w:val="0075404D"/>
    <w:rsid w:val="007551C3"/>
    <w:rsid w:val="0076182A"/>
    <w:rsid w:val="0076670D"/>
    <w:rsid w:val="00767B7E"/>
    <w:rsid w:val="00771948"/>
    <w:rsid w:val="007770C3"/>
    <w:rsid w:val="007810E4"/>
    <w:rsid w:val="00784D24"/>
    <w:rsid w:val="00785FBA"/>
    <w:rsid w:val="00786E4A"/>
    <w:rsid w:val="007875EB"/>
    <w:rsid w:val="0079426B"/>
    <w:rsid w:val="007A4E18"/>
    <w:rsid w:val="007C3E95"/>
    <w:rsid w:val="007C5C45"/>
    <w:rsid w:val="007C7625"/>
    <w:rsid w:val="007D312A"/>
    <w:rsid w:val="007D3F19"/>
    <w:rsid w:val="007E23B0"/>
    <w:rsid w:val="007E241C"/>
    <w:rsid w:val="007E4CFC"/>
    <w:rsid w:val="007F1991"/>
    <w:rsid w:val="007F2C2F"/>
    <w:rsid w:val="007F55FC"/>
    <w:rsid w:val="007F5665"/>
    <w:rsid w:val="00800112"/>
    <w:rsid w:val="00813387"/>
    <w:rsid w:val="008253BB"/>
    <w:rsid w:val="0083706E"/>
    <w:rsid w:val="008423A5"/>
    <w:rsid w:val="00850625"/>
    <w:rsid w:val="00853718"/>
    <w:rsid w:val="00855221"/>
    <w:rsid w:val="00855CE4"/>
    <w:rsid w:val="00860645"/>
    <w:rsid w:val="00871F71"/>
    <w:rsid w:val="008770E7"/>
    <w:rsid w:val="00883FD9"/>
    <w:rsid w:val="00885839"/>
    <w:rsid w:val="00885AF4"/>
    <w:rsid w:val="0089274D"/>
    <w:rsid w:val="008939CD"/>
    <w:rsid w:val="008962CC"/>
    <w:rsid w:val="008B768C"/>
    <w:rsid w:val="008C4DB1"/>
    <w:rsid w:val="008C4EAF"/>
    <w:rsid w:val="008C5176"/>
    <w:rsid w:val="008C7FD0"/>
    <w:rsid w:val="008D105F"/>
    <w:rsid w:val="008E1DE7"/>
    <w:rsid w:val="008E6D92"/>
    <w:rsid w:val="008E707C"/>
    <w:rsid w:val="008F4458"/>
    <w:rsid w:val="008F68A2"/>
    <w:rsid w:val="00900B08"/>
    <w:rsid w:val="00902155"/>
    <w:rsid w:val="00902FA3"/>
    <w:rsid w:val="00920912"/>
    <w:rsid w:val="00923564"/>
    <w:rsid w:val="0092392E"/>
    <w:rsid w:val="009303A2"/>
    <w:rsid w:val="009315F9"/>
    <w:rsid w:val="00943E15"/>
    <w:rsid w:val="00946945"/>
    <w:rsid w:val="00951248"/>
    <w:rsid w:val="0095152F"/>
    <w:rsid w:val="00954A86"/>
    <w:rsid w:val="00954C49"/>
    <w:rsid w:val="00960EA2"/>
    <w:rsid w:val="0097099F"/>
    <w:rsid w:val="00971997"/>
    <w:rsid w:val="00971AF8"/>
    <w:rsid w:val="00971FFC"/>
    <w:rsid w:val="0098660A"/>
    <w:rsid w:val="00990BBA"/>
    <w:rsid w:val="009931C3"/>
    <w:rsid w:val="009B2C43"/>
    <w:rsid w:val="009B4605"/>
    <w:rsid w:val="009B4EAE"/>
    <w:rsid w:val="009B7573"/>
    <w:rsid w:val="009C22F4"/>
    <w:rsid w:val="009C2E98"/>
    <w:rsid w:val="009D1DA6"/>
    <w:rsid w:val="009D3447"/>
    <w:rsid w:val="009D4711"/>
    <w:rsid w:val="009D5E91"/>
    <w:rsid w:val="009F1185"/>
    <w:rsid w:val="009F18CD"/>
    <w:rsid w:val="009F2A13"/>
    <w:rsid w:val="00A0499B"/>
    <w:rsid w:val="00A04EB0"/>
    <w:rsid w:val="00A11484"/>
    <w:rsid w:val="00A13CC1"/>
    <w:rsid w:val="00A16847"/>
    <w:rsid w:val="00A21BF8"/>
    <w:rsid w:val="00A237D8"/>
    <w:rsid w:val="00A24772"/>
    <w:rsid w:val="00A268C4"/>
    <w:rsid w:val="00A307CD"/>
    <w:rsid w:val="00A33CEF"/>
    <w:rsid w:val="00A40A00"/>
    <w:rsid w:val="00A4142F"/>
    <w:rsid w:val="00A44A26"/>
    <w:rsid w:val="00A516E4"/>
    <w:rsid w:val="00A56DF2"/>
    <w:rsid w:val="00A67AB5"/>
    <w:rsid w:val="00A74B2D"/>
    <w:rsid w:val="00A91760"/>
    <w:rsid w:val="00A92FB2"/>
    <w:rsid w:val="00A93B00"/>
    <w:rsid w:val="00A93C21"/>
    <w:rsid w:val="00AA4B2D"/>
    <w:rsid w:val="00AB0CE4"/>
    <w:rsid w:val="00AB434E"/>
    <w:rsid w:val="00AC3C6A"/>
    <w:rsid w:val="00AD482B"/>
    <w:rsid w:val="00AD5620"/>
    <w:rsid w:val="00AD7C1B"/>
    <w:rsid w:val="00AE16BA"/>
    <w:rsid w:val="00AE1EBE"/>
    <w:rsid w:val="00B00B1E"/>
    <w:rsid w:val="00B01A08"/>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A3716"/>
    <w:rsid w:val="00BB4DF0"/>
    <w:rsid w:val="00BC289F"/>
    <w:rsid w:val="00BC5361"/>
    <w:rsid w:val="00BC5460"/>
    <w:rsid w:val="00BC6B50"/>
    <w:rsid w:val="00BD0E25"/>
    <w:rsid w:val="00BE7B3A"/>
    <w:rsid w:val="00BF5BD6"/>
    <w:rsid w:val="00C03E31"/>
    <w:rsid w:val="00C20EB0"/>
    <w:rsid w:val="00C33E72"/>
    <w:rsid w:val="00C3445D"/>
    <w:rsid w:val="00C354B2"/>
    <w:rsid w:val="00C35554"/>
    <w:rsid w:val="00C42709"/>
    <w:rsid w:val="00C533CC"/>
    <w:rsid w:val="00C5751C"/>
    <w:rsid w:val="00C61BFC"/>
    <w:rsid w:val="00C62B85"/>
    <w:rsid w:val="00C65438"/>
    <w:rsid w:val="00C82DAE"/>
    <w:rsid w:val="00C83DD1"/>
    <w:rsid w:val="00C91CBB"/>
    <w:rsid w:val="00CB0BBC"/>
    <w:rsid w:val="00CC09B6"/>
    <w:rsid w:val="00CC666F"/>
    <w:rsid w:val="00CD1E3F"/>
    <w:rsid w:val="00CD5946"/>
    <w:rsid w:val="00CD78FB"/>
    <w:rsid w:val="00CE44F6"/>
    <w:rsid w:val="00CE46D5"/>
    <w:rsid w:val="00CE49DA"/>
    <w:rsid w:val="00CE6403"/>
    <w:rsid w:val="00CE7B61"/>
    <w:rsid w:val="00D00095"/>
    <w:rsid w:val="00D20620"/>
    <w:rsid w:val="00D26091"/>
    <w:rsid w:val="00D34E7C"/>
    <w:rsid w:val="00D35489"/>
    <w:rsid w:val="00D41D55"/>
    <w:rsid w:val="00D47D67"/>
    <w:rsid w:val="00D51276"/>
    <w:rsid w:val="00D56087"/>
    <w:rsid w:val="00D61E27"/>
    <w:rsid w:val="00D65988"/>
    <w:rsid w:val="00D670AF"/>
    <w:rsid w:val="00D7035F"/>
    <w:rsid w:val="00D7678B"/>
    <w:rsid w:val="00DA5916"/>
    <w:rsid w:val="00DA65AC"/>
    <w:rsid w:val="00DB0ADA"/>
    <w:rsid w:val="00DB1913"/>
    <w:rsid w:val="00DC0886"/>
    <w:rsid w:val="00DC410D"/>
    <w:rsid w:val="00DC68CA"/>
    <w:rsid w:val="00DC7CBA"/>
    <w:rsid w:val="00DD73B7"/>
    <w:rsid w:val="00DE1505"/>
    <w:rsid w:val="00DF007D"/>
    <w:rsid w:val="00DF28BC"/>
    <w:rsid w:val="00DF2E67"/>
    <w:rsid w:val="00DF34B9"/>
    <w:rsid w:val="00E01053"/>
    <w:rsid w:val="00E06825"/>
    <w:rsid w:val="00E07ACF"/>
    <w:rsid w:val="00E114FD"/>
    <w:rsid w:val="00E20120"/>
    <w:rsid w:val="00E26E8C"/>
    <w:rsid w:val="00E30A60"/>
    <w:rsid w:val="00E331A1"/>
    <w:rsid w:val="00E33202"/>
    <w:rsid w:val="00E336A9"/>
    <w:rsid w:val="00E50624"/>
    <w:rsid w:val="00E568DF"/>
    <w:rsid w:val="00E56E47"/>
    <w:rsid w:val="00E64269"/>
    <w:rsid w:val="00E76645"/>
    <w:rsid w:val="00E82267"/>
    <w:rsid w:val="00E967A8"/>
    <w:rsid w:val="00EA010F"/>
    <w:rsid w:val="00EA1DBA"/>
    <w:rsid w:val="00EC6FF8"/>
    <w:rsid w:val="00ED1B63"/>
    <w:rsid w:val="00ED3C1F"/>
    <w:rsid w:val="00ED4085"/>
    <w:rsid w:val="00ED420E"/>
    <w:rsid w:val="00ED7024"/>
    <w:rsid w:val="00EE2F57"/>
    <w:rsid w:val="00EE3373"/>
    <w:rsid w:val="00EE34D4"/>
    <w:rsid w:val="00EF4C34"/>
    <w:rsid w:val="00EF77C6"/>
    <w:rsid w:val="00F01B91"/>
    <w:rsid w:val="00F04538"/>
    <w:rsid w:val="00F05438"/>
    <w:rsid w:val="00F1361C"/>
    <w:rsid w:val="00F160C7"/>
    <w:rsid w:val="00F222A1"/>
    <w:rsid w:val="00F273F9"/>
    <w:rsid w:val="00F32E9D"/>
    <w:rsid w:val="00F36D8F"/>
    <w:rsid w:val="00F417B1"/>
    <w:rsid w:val="00F602DF"/>
    <w:rsid w:val="00F6156F"/>
    <w:rsid w:val="00F74A19"/>
    <w:rsid w:val="00F81FD9"/>
    <w:rsid w:val="00F82B91"/>
    <w:rsid w:val="00F841AA"/>
    <w:rsid w:val="00FA23E8"/>
    <w:rsid w:val="00FC0D7B"/>
    <w:rsid w:val="00FD3CC1"/>
    <w:rsid w:val="00FD4A6A"/>
    <w:rsid w:val="00FD62C8"/>
    <w:rsid w:val="00FE0E41"/>
    <w:rsid w:val="00FF1E02"/>
    <w:rsid w:val="00FF30B4"/>
    <w:rsid w:val="00FF3313"/>
    <w:rsid w:val="00FF5226"/>
    <w:rsid w:val="10C055FF"/>
    <w:rsid w:val="1293503B"/>
    <w:rsid w:val="16BB723D"/>
    <w:rsid w:val="1BF15163"/>
    <w:rsid w:val="1E147BE1"/>
    <w:rsid w:val="1E8877B8"/>
    <w:rsid w:val="240371BF"/>
    <w:rsid w:val="29FD04D3"/>
    <w:rsid w:val="2CA85504"/>
    <w:rsid w:val="319F7F4E"/>
    <w:rsid w:val="39233B37"/>
    <w:rsid w:val="409501C5"/>
    <w:rsid w:val="412D0590"/>
    <w:rsid w:val="48384D73"/>
    <w:rsid w:val="4CEF4778"/>
    <w:rsid w:val="51330921"/>
    <w:rsid w:val="53C52CC6"/>
    <w:rsid w:val="5B2D58A4"/>
    <w:rsid w:val="5EDE3720"/>
    <w:rsid w:val="75E80259"/>
    <w:rsid w:val="7847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Strong"/>
    <w:basedOn w:val="a0"/>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1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171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197"/>
          <c:h val="0.84747519563150697"/>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702.97</c:v>
                </c:pt>
                <c:pt idx="1">
                  <c:v>685.29000000000099</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698.82999999999902</c:v>
                </c:pt>
                <c:pt idx="1">
                  <c:v>567.37</c:v>
                </c:pt>
              </c:numCache>
            </c:numRef>
          </c:val>
        </c:ser>
        <c:dLbls>
          <c:showLegendKey val="0"/>
          <c:showVal val="1"/>
          <c:showCatName val="0"/>
          <c:showSerName val="0"/>
          <c:showPercent val="0"/>
          <c:showBubbleSize val="0"/>
        </c:dLbls>
        <c:gapWidth val="150"/>
        <c:axId val="170054016"/>
        <c:axId val="221248512"/>
      </c:barChart>
      <c:catAx>
        <c:axId val="1700540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1248512"/>
        <c:crosses val="autoZero"/>
        <c:auto val="1"/>
        <c:lblAlgn val="ctr"/>
        <c:lblOffset val="100"/>
        <c:noMultiLvlLbl val="0"/>
      </c:catAx>
      <c:valAx>
        <c:axId val="221248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005401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1.6948330838810501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685.29</c:v>
                </c:pt>
                <c:pt idx="1">
                  <c:v>0</c:v>
                </c:pt>
                <c:pt idx="2">
                  <c:v>0</c:v>
                </c:pt>
                <c:pt idx="3">
                  <c:v>0</c:v>
                </c:pt>
                <c:pt idx="4">
                  <c:v>0</c:v>
                </c:pt>
                <c:pt idx="6">
                  <c:v>1.78</c:v>
                </c:pt>
              </c:numCache>
            </c:numRef>
          </c:val>
        </c:ser>
        <c:dLbls>
          <c:showLegendKey val="0"/>
          <c:showVal val="1"/>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dPt>
          <c:dPt>
            <c:idx val="1"/>
            <c:bubble3D val="0"/>
          </c:dPt>
          <c:dPt>
            <c:idx val="2"/>
            <c:bubble3D val="0"/>
          </c:dPt>
          <c:dPt>
            <c:idx val="3"/>
            <c:bubble3D val="0"/>
          </c:dPt>
          <c:dPt>
            <c:idx val="4"/>
            <c:bubble3D val="0"/>
          </c:dPt>
          <c:dLbls>
            <c:dLbl>
              <c:idx val="0"/>
              <c:layout>
                <c:manualLayout>
                  <c:x val="-0.169821120903519"/>
                  <c:y val="-0.197839958241246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099"/>
                  <c:y val="7.0392367397925704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499"/>
                  <c:y val="2.67342843882355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01"/>
                  <c:y val="-6.5173748942539203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528.29999999999995</c:v>
                </c:pt>
                <c:pt idx="1">
                  <c:v>39.07</c:v>
                </c:pt>
                <c:pt idx="2">
                  <c:v>0</c:v>
                </c:pt>
                <c:pt idx="3">
                  <c:v>0</c:v>
                </c:pt>
                <c:pt idx="4">
                  <c:v>0</c:v>
                </c:pt>
              </c:numCache>
            </c:numRef>
          </c:val>
        </c:ser>
        <c:dLbls>
          <c:showLegendKey val="0"/>
          <c:showVal val="1"/>
          <c:showCatName val="1"/>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8E-17"/>
                  <c:y val="1.65289256198348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700.75</c:v>
                </c:pt>
                <c:pt idx="1">
                  <c:v>685.29</c:v>
                </c:pt>
              </c:numCache>
            </c:numRef>
          </c:val>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1.9253910950661899E-2"/>
                  <c:y val="-8.2644628099173695E-3"/>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696.61</c:v>
                </c:pt>
                <c:pt idx="1">
                  <c:v>565.59</c:v>
                </c:pt>
              </c:numCache>
            </c:numRef>
          </c:val>
        </c:ser>
        <c:dLbls>
          <c:showLegendKey val="0"/>
          <c:showVal val="1"/>
          <c:showCatName val="0"/>
          <c:showSerName val="1"/>
          <c:showPercent val="0"/>
          <c:showBubbleSize val="0"/>
        </c:dLbls>
        <c:gapWidth val="150"/>
        <c:axId val="330653696"/>
        <c:axId val="330655232"/>
      </c:barChart>
      <c:catAx>
        <c:axId val="3306536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0655232"/>
        <c:crosses val="autoZero"/>
        <c:auto val="1"/>
        <c:lblAlgn val="ctr"/>
        <c:lblOffset val="100"/>
        <c:noMultiLvlLbl val="0"/>
      </c:catAx>
      <c:valAx>
        <c:axId val="330655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065369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01"/>
          <c:y val="4.0585826771653399E-2"/>
          <c:w val="0.80028418861435402"/>
          <c:h val="0.78886209223847303"/>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599"/>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696.61</c:v>
                </c:pt>
                <c:pt idx="1">
                  <c:v>565.59</c:v>
                </c:pt>
              </c:numCache>
            </c:numRef>
          </c:val>
        </c:ser>
        <c:dLbls>
          <c:showLegendKey val="0"/>
          <c:showVal val="1"/>
          <c:showCatName val="0"/>
          <c:showSerName val="1"/>
          <c:showPercent val="0"/>
          <c:showBubbleSize val="0"/>
        </c:dLbls>
        <c:gapWidth val="150"/>
        <c:axId val="171825024"/>
        <c:axId val="171826560"/>
      </c:barChart>
      <c:catAx>
        <c:axId val="1718250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826560"/>
        <c:crosses val="autoZero"/>
        <c:auto val="1"/>
        <c:lblAlgn val="ctr"/>
        <c:lblOffset val="100"/>
        <c:noMultiLvlLbl val="0"/>
      </c:catAx>
      <c:valAx>
        <c:axId val="1718265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825024"/>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6.2846580406654307E-2"/>
                  <c:y val="-0.233603411492970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099"/>
                  <c:y val="9.9326519859524204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5.48457073001566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1.7396445444319501E-2"/>
                  <c:y val="3.02307796938052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596"/>
                  <c:y val="-2.48166004201491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696"/>
                  <c:y val="9.5361919392543307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483.91</c:v>
                </c:pt>
                <c:pt idx="2">
                  <c:v>0</c:v>
                </c:pt>
                <c:pt idx="3">
                  <c:v>62.56</c:v>
                </c:pt>
                <c:pt idx="4">
                  <c:v>19.12</c:v>
                </c:pt>
                <c:pt idx="5">
                  <c:v>0</c:v>
                </c:pt>
                <c:pt idx="6">
                  <c:v>0</c:v>
                </c:pt>
                <c:pt idx="7">
                  <c:v>0</c:v>
                </c:pt>
              </c:numCache>
            </c:numRef>
          </c:val>
        </c:ser>
        <c:dLbls>
          <c:showLegendKey val="0"/>
          <c:showVal val="1"/>
          <c:showCatName val="1"/>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0</c:v>
                </c:pt>
                <c:pt idx="2">
                  <c:v>0</c:v>
                </c:pt>
                <c:pt idx="3">
                  <c:v>19.12</c:v>
                </c:pt>
                <c:pt idx="4">
                  <c:v>0</c:v>
                </c:pt>
                <c:pt idx="5">
                  <c:v>3.42</c:v>
                </c:pt>
                <c:pt idx="6">
                  <c:v>6.29</c:v>
                </c:pt>
                <c:pt idx="7">
                  <c:v>3.5</c:v>
                </c:pt>
                <c:pt idx="8">
                  <c:v>35.83</c:v>
                </c:pt>
                <c:pt idx="9">
                  <c:v>13.52</c:v>
                </c:pt>
                <c:pt idx="10">
                  <c:v>0</c:v>
                </c:pt>
                <c:pt idx="11">
                  <c:v>0</c:v>
                </c:pt>
                <c:pt idx="12">
                  <c:v>0</c:v>
                </c:pt>
                <c:pt idx="13">
                  <c:v>0</c:v>
                </c:pt>
                <c:pt idx="14">
                  <c:v>0</c:v>
                </c:pt>
                <c:pt idx="15">
                  <c:v>0</c:v>
                </c:pt>
                <c:pt idx="16">
                  <c:v>0</c:v>
                </c:pt>
                <c:pt idx="17">
                  <c:v>0</c:v>
                </c:pt>
                <c:pt idx="18">
                  <c:v>0</c:v>
                </c:pt>
                <c:pt idx="19">
                  <c:v>0</c:v>
                </c:pt>
                <c:pt idx="20">
                  <c:v>9.5</c:v>
                </c:pt>
                <c:pt idx="21">
                  <c:v>0</c:v>
                </c:pt>
                <c:pt idx="22">
                  <c:v>171.98</c:v>
                </c:pt>
                <c:pt idx="23">
                  <c:v>290.61</c:v>
                </c:pt>
                <c:pt idx="24">
                  <c:v>11.82</c:v>
                </c:pt>
                <c:pt idx="25">
                  <c:v>0</c:v>
                </c:pt>
              </c:numCache>
            </c:numRef>
          </c:val>
        </c:ser>
        <c:ser>
          <c:idx val="1"/>
          <c:order val="1"/>
          <c:tx>
            <c:strRef>
              <c:f>Sheet1!$C$1</c:f>
              <c:strCache>
                <c:ptCount val="1"/>
                <c:pt idx="0">
                  <c:v>未完成预算额</c:v>
                </c:pt>
              </c:strCache>
            </c:strRef>
          </c:tx>
          <c:invertIfNegative val="0"/>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142.69</c:v>
                </c:pt>
                <c:pt idx="24">
                  <c:v>0</c:v>
                </c:pt>
                <c:pt idx="25">
                  <c:v>0</c:v>
                </c:pt>
                <c:pt idx="27">
                  <c:v>0</c:v>
                </c:pt>
              </c:numCache>
            </c:numRef>
          </c:val>
        </c:ser>
        <c:dLbls>
          <c:showLegendKey val="0"/>
          <c:showVal val="0"/>
          <c:showCatName val="0"/>
          <c:showSerName val="0"/>
          <c:showPercent val="0"/>
          <c:showBubbleSize val="0"/>
        </c:dLbls>
        <c:gapWidth val="150"/>
        <c:overlap val="100"/>
        <c:axId val="330570752"/>
        <c:axId val="330695424"/>
      </c:barChart>
      <c:catAx>
        <c:axId val="33057075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endParaRPr lang="zh-CN"/>
          </a:p>
        </c:txPr>
        <c:crossAx val="330695424"/>
        <c:crosses val="autoZero"/>
        <c:auto val="1"/>
        <c:lblAlgn val="l"/>
        <c:lblOffset val="100"/>
        <c:noMultiLvlLbl val="0"/>
      </c:catAx>
      <c:valAx>
        <c:axId val="330695424"/>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057075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6CF5-8306-4342-980F-76C18222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1914</Words>
  <Characters>10910</Characters>
  <Application>Microsoft Office Word</Application>
  <DocSecurity>0</DocSecurity>
  <Lines>90</Lines>
  <Paragraphs>25</Paragraphs>
  <ScaleCrop>false</ScaleCrop>
  <Company>四川省财政厅</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xb21cn</cp:lastModifiedBy>
  <cp:revision>46</cp:revision>
  <cp:lastPrinted>2022-06-15T15:48:00Z</cp:lastPrinted>
  <dcterms:created xsi:type="dcterms:W3CDTF">2019-09-09T00:46:00Z</dcterms:created>
  <dcterms:modified xsi:type="dcterms:W3CDTF">2022-06-16T17:13:00Z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CEAAEDFB6EEA4E41B295247B44522213</vt:lpwstr>
  </property>
</Properties>
</file>