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96475"/>
      <w:bookmarkStart w:id="3" w:name="_Toc15378441"/>
      <w:bookmarkStart w:id="4" w:name="_Toc15377425"/>
      <w:bookmarkStart w:id="5" w:name="_Toc15377193"/>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476"/>
      <w:bookmarkStart w:id="7" w:name="_Toc15377426"/>
      <w:bookmarkStart w:id="8" w:name="_Toc15377194"/>
      <w:bookmarkStart w:id="9" w:name="_Toc15378442"/>
      <w:bookmarkStart w:id="10" w:name="_Toc15306268"/>
      <w:bookmarkStart w:id="11" w:name="_Toc15396598"/>
      <w:r>
        <w:rPr>
          <w:rFonts w:hint="eastAsia" w:ascii="方正小标宋简体" w:hAnsi="方正小标宋简体" w:eastAsia="方正小标宋简体" w:cs="方正小标宋简体"/>
          <w:color w:val="auto"/>
          <w:sz w:val="56"/>
          <w:szCs w:val="56"/>
          <w:highlight w:val="none"/>
          <w:lang w:eastAsia="zh-CN"/>
        </w:rPr>
        <w:t>广元市利州区七一宝轮小学</w:t>
      </w:r>
      <w:r>
        <w:rPr>
          <w:rFonts w:hint="eastAsia" w:ascii="方正小标宋简体" w:hAnsi="方正小标宋简体" w:eastAsia="方正小标宋简体" w:cs="方正小标宋简体"/>
          <w:color w:val="auto"/>
          <w:sz w:val="56"/>
          <w:szCs w:val="56"/>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hint="eastAsia" w:ascii="黑体" w:hAnsi="黑体" w:eastAsia="黑体"/>
          <w:sz w:val="48"/>
          <w:szCs w:val="48"/>
        </w:rPr>
      </w:pPr>
      <w:r>
        <w:rPr>
          <w:rFonts w:ascii="方正小标宋简体" w:hAnsi="宋体" w:eastAsia="方正小标宋简体"/>
          <w:color w:val="auto"/>
          <w:sz w:val="36"/>
          <w:szCs w:val="36"/>
          <w:highlight w:val="none"/>
        </w:rPr>
        <w:br w:type="page"/>
      </w: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pStyle w:val="2"/>
        <w:jc w:val="center"/>
        <w:rPr>
          <w:rFonts w:hint="eastAsia"/>
          <w:color w:val="auto"/>
          <w:highlight w:val="none"/>
        </w:rPr>
      </w:pPr>
      <w:bookmarkStart w:id="67" w:name="_GoBack"/>
      <w:bookmarkEnd w:id="67"/>
    </w:p>
    <w:p>
      <w:pPr>
        <w:pStyle w:val="2"/>
        <w:jc w:val="cente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widowControl/>
        <w:jc w:val="both"/>
        <w:rPr>
          <w:rFonts w:hint="eastAsia" w:ascii="黑体" w:hAnsi="黑体" w:eastAsia="黑体"/>
          <w:sz w:val="32"/>
          <w:szCs w:val="32"/>
        </w:rPr>
      </w:pPr>
    </w:p>
    <w:p>
      <w:pPr>
        <w:widowControl/>
        <w:jc w:val="both"/>
        <w:rPr>
          <w:rFonts w:hint="eastAsia" w:ascii="仿宋" w:hAnsi="仿宋" w:eastAsia="仿宋"/>
          <w:sz w:val="32"/>
          <w:szCs w:val="32"/>
          <w:lang w:eastAsia="zh-CN"/>
        </w:rPr>
      </w:pPr>
      <w:r>
        <w:rPr>
          <w:rFonts w:hint="eastAsia" w:ascii="黑体" w:hAnsi="黑体" w:eastAsia="黑体"/>
          <w:sz w:val="32"/>
          <w:szCs w:val="32"/>
        </w:rPr>
        <w:t xml:space="preserve">第一部分 </w:t>
      </w:r>
      <w:r>
        <w:rPr>
          <w:rFonts w:hint="eastAsia" w:ascii="黑体" w:hAnsi="黑体" w:eastAsia="黑体"/>
          <w:sz w:val="32"/>
          <w:szCs w:val="32"/>
          <w:lang w:eastAsia="zh-CN"/>
        </w:rPr>
        <w:t>单位</w:t>
      </w:r>
      <w:r>
        <w:rPr>
          <w:rFonts w:hint="eastAsia" w:ascii="黑体" w:hAnsi="黑体" w:eastAsia="黑体"/>
          <w:sz w:val="32"/>
          <w:szCs w:val="32"/>
        </w:rPr>
        <w:t>概况</w:t>
      </w:r>
    </w:p>
    <w:p>
      <w:pPr>
        <w:widowControl/>
        <w:ind w:firstLine="640" w:firstLineChars="200"/>
        <w:rPr>
          <w:rFonts w:hint="eastAsia" w:ascii="仿宋" w:hAnsi="仿宋" w:eastAsia="仿宋"/>
          <w:sz w:val="32"/>
          <w:szCs w:val="32"/>
          <w:lang w:val="en-US" w:eastAsia="zh-CN"/>
        </w:rPr>
      </w:pPr>
      <w:r>
        <w:rPr>
          <w:rFonts w:hint="eastAsia" w:ascii="仿宋" w:hAnsi="仿宋" w:eastAsia="仿宋"/>
          <w:sz w:val="32"/>
          <w:szCs w:val="32"/>
        </w:rPr>
        <w:t>一、</w:t>
      </w:r>
      <w:r>
        <w:rPr>
          <w:rFonts w:hint="eastAsia" w:ascii="仿宋" w:hAnsi="仿宋" w:eastAsia="仿宋"/>
          <w:sz w:val="32"/>
          <w:szCs w:val="32"/>
          <w:lang w:eastAsia="zh-CN"/>
        </w:rPr>
        <w:t>主要职责</w:t>
      </w:r>
    </w:p>
    <w:p>
      <w:pPr>
        <w:widowControl/>
        <w:ind w:firstLine="640" w:firstLineChars="200"/>
        <w:jc w:val="both"/>
        <w:rPr>
          <w:rFonts w:hint="eastAsia"/>
          <w:lang w:val="en-US" w:eastAsia="zh-CN"/>
        </w:rPr>
      </w:pPr>
      <w:r>
        <w:rPr>
          <w:rFonts w:hint="eastAsia" w:ascii="仿宋" w:hAnsi="仿宋" w:eastAsia="仿宋"/>
          <w:sz w:val="32"/>
          <w:szCs w:val="32"/>
        </w:rPr>
        <w:t>二、机构设置</w:t>
      </w:r>
    </w:p>
    <w:p>
      <w:pPr>
        <w:widowControl/>
        <w:jc w:val="left"/>
        <w:rPr>
          <w:rFonts w:hint="eastAsia" w:ascii="仿宋" w:hAnsi="仿宋" w:eastAsia="仿宋"/>
          <w:sz w:val="32"/>
          <w:szCs w:val="32"/>
          <w:lang w:eastAsia="zh-CN"/>
        </w:rPr>
      </w:pPr>
      <w:r>
        <w:rPr>
          <w:rFonts w:hint="eastAsia" w:ascii="黑体" w:hAnsi="黑体" w:eastAsia="黑体"/>
          <w:sz w:val="32"/>
          <w:szCs w:val="32"/>
        </w:rPr>
        <w:t>第二部分 202</w:t>
      </w:r>
      <w:r>
        <w:rPr>
          <w:rFonts w:hint="eastAsia" w:ascii="黑体" w:hAnsi="黑体" w:eastAsia="黑体"/>
          <w:sz w:val="32"/>
          <w:szCs w:val="32"/>
          <w:lang w:val="en-US" w:eastAsia="zh-CN"/>
        </w:rPr>
        <w:t>2</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决算情况说明</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一、收入支出决算总体情况说明</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二、收入决算情况说明</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三、支出决算情况说明</w:t>
      </w:r>
    </w:p>
    <w:p>
      <w:pPr>
        <w:widowControl/>
        <w:ind w:firstLine="640" w:firstLineChars="200"/>
        <w:jc w:val="left"/>
        <w:rPr>
          <w:rFonts w:hint="default" w:ascii="仿宋" w:hAnsi="仿宋" w:eastAsia="仿宋"/>
          <w:sz w:val="32"/>
          <w:szCs w:val="32"/>
          <w:lang w:val="en-US"/>
        </w:rPr>
      </w:pPr>
      <w:r>
        <w:rPr>
          <w:rFonts w:hint="eastAsia" w:ascii="仿宋" w:hAnsi="仿宋" w:eastAsia="仿宋"/>
          <w:sz w:val="32"/>
          <w:szCs w:val="32"/>
        </w:rPr>
        <w:t>四、财政拨款收入支出决算总体情况说明</w:t>
      </w:r>
    </w:p>
    <w:p>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五、一般公共预算财政拨款支出决算情况说明</w:t>
      </w:r>
    </w:p>
    <w:p>
      <w:pPr>
        <w:widowControl/>
        <w:ind w:left="638" w:leftChars="304" w:firstLine="0" w:firstLineChars="0"/>
        <w:jc w:val="left"/>
        <w:rPr>
          <w:rFonts w:hint="eastAsia" w:ascii="仿宋" w:hAnsi="仿宋" w:eastAsia="仿宋"/>
          <w:sz w:val="32"/>
          <w:szCs w:val="32"/>
          <w:lang w:val="en-US" w:eastAsia="zh-CN"/>
        </w:rPr>
      </w:pPr>
      <w:r>
        <w:rPr>
          <w:rFonts w:hint="eastAsia" w:ascii="仿宋" w:hAnsi="仿宋" w:eastAsia="仿宋"/>
          <w:sz w:val="32"/>
          <w:szCs w:val="32"/>
        </w:rPr>
        <w:t>六、一般公共预算财政拨款基本支出决算情况说明</w:t>
      </w:r>
      <w:r>
        <w:rPr>
          <w:rFonts w:hint="eastAsia" w:ascii="仿宋" w:hAnsi="仿宋" w:eastAsia="仿宋"/>
          <w:sz w:val="32"/>
          <w:szCs w:val="32"/>
          <w:lang w:val="en-US" w:eastAsia="zh-CN"/>
        </w:rPr>
        <w:t xml:space="preserve"> </w:t>
      </w:r>
    </w:p>
    <w:p>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七、“三公”经费财政拨款支出决算情况说明</w:t>
      </w:r>
    </w:p>
    <w:p>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八、政府性基金预算支出决算情况说明</w:t>
      </w:r>
    </w:p>
    <w:p>
      <w:pPr>
        <w:widowControl/>
        <w:ind w:left="638" w:leftChars="304" w:firstLine="0" w:firstLineChars="0"/>
        <w:jc w:val="left"/>
        <w:rPr>
          <w:rFonts w:hint="default" w:ascii="仿宋" w:hAnsi="仿宋" w:eastAsia="仿宋"/>
          <w:sz w:val="32"/>
          <w:szCs w:val="32"/>
          <w:lang w:val="en-US" w:eastAsia="zh-CN"/>
        </w:rPr>
      </w:pPr>
      <w:r>
        <w:rPr>
          <w:rFonts w:hint="eastAsia" w:ascii="仿宋" w:hAnsi="仿宋" w:eastAsia="仿宋"/>
          <w:sz w:val="32"/>
          <w:szCs w:val="32"/>
        </w:rPr>
        <w:t>九、国有资本经营预算支出决算情况说明</w:t>
      </w:r>
    </w:p>
    <w:p>
      <w:pPr>
        <w:widowControl/>
        <w:ind w:firstLine="640" w:firstLineChars="200"/>
        <w:jc w:val="left"/>
        <w:rPr>
          <w:rFonts w:hint="default" w:ascii="仿宋" w:hAnsi="仿宋" w:eastAsia="仿宋"/>
          <w:sz w:val="32"/>
          <w:szCs w:val="32"/>
          <w:lang w:val="en-US"/>
        </w:rPr>
      </w:pPr>
      <w:r>
        <w:rPr>
          <w:rFonts w:hint="eastAsia" w:ascii="仿宋" w:hAnsi="仿宋" w:eastAsia="仿宋"/>
          <w:sz w:val="32"/>
          <w:szCs w:val="32"/>
        </w:rPr>
        <w:t>十、其他重要事项的情况说明</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第三部分 名词解释</w:t>
      </w:r>
    </w:p>
    <w:p>
      <w:pPr>
        <w:widowControl/>
        <w:jc w:val="left"/>
        <w:rPr>
          <w:rFonts w:hint="eastAsia" w:ascii="黑体" w:hAnsi="黑体" w:eastAsia="黑体"/>
          <w:sz w:val="32"/>
          <w:szCs w:val="32"/>
        </w:rPr>
      </w:pPr>
      <w:r>
        <w:rPr>
          <w:rFonts w:hint="eastAsia" w:ascii="黑体" w:hAnsi="黑体" w:eastAsia="黑体"/>
          <w:sz w:val="32"/>
          <w:szCs w:val="32"/>
        </w:rPr>
        <w:t>第四部分 附件</w:t>
      </w:r>
    </w:p>
    <w:p>
      <w:pPr>
        <w:pStyle w:val="2"/>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详见部门预算项目支出绩效自评表（2022年度）</w:t>
      </w:r>
    </w:p>
    <w:p>
      <w:pPr>
        <w:widowControl/>
        <w:jc w:val="left"/>
        <w:rPr>
          <w:rFonts w:hint="eastAsia" w:ascii="黑体" w:hAnsi="黑体" w:eastAsia="黑体"/>
          <w:sz w:val="32"/>
          <w:szCs w:val="32"/>
          <w:lang w:eastAsia="zh-CN"/>
        </w:rPr>
      </w:pPr>
    </w:p>
    <w:p>
      <w:pPr>
        <w:widowControl/>
        <w:jc w:val="left"/>
        <w:rPr>
          <w:rFonts w:hint="eastAsia" w:ascii="仿宋" w:hAnsi="仿宋" w:eastAsia="仿宋"/>
          <w:sz w:val="32"/>
          <w:szCs w:val="32"/>
          <w:lang w:val="en-US" w:eastAsia="zh-CN"/>
        </w:rPr>
      </w:pPr>
      <w:r>
        <w:rPr>
          <w:rFonts w:hint="eastAsia" w:ascii="黑体" w:hAnsi="黑体" w:eastAsia="黑体"/>
          <w:sz w:val="32"/>
          <w:szCs w:val="32"/>
          <w:lang w:eastAsia="zh-CN"/>
        </w:rPr>
        <w:t>第五部分</w:t>
      </w:r>
      <w:r>
        <w:rPr>
          <w:rFonts w:hint="eastAsia" w:ascii="黑体" w:hAnsi="黑体" w:eastAsia="黑体"/>
          <w:sz w:val="32"/>
          <w:szCs w:val="32"/>
          <w:lang w:val="en-US" w:eastAsia="zh-CN"/>
        </w:rPr>
        <w:t xml:space="preserve">  </w:t>
      </w:r>
      <w:r>
        <w:rPr>
          <w:rFonts w:hint="eastAsia" w:ascii="黑体" w:hAnsi="黑体" w:eastAsia="黑体"/>
          <w:sz w:val="32"/>
          <w:szCs w:val="32"/>
        </w:rPr>
        <w:t>附表</w:t>
      </w:r>
      <w:r>
        <w:rPr>
          <w:rFonts w:hint="eastAsia" w:ascii="黑体" w:hAnsi="黑体" w:eastAsia="黑体"/>
          <w:sz w:val="32"/>
          <w:szCs w:val="32"/>
        </w:rPr>
        <w:tab/>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一、收入支出决算总表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二、收入总表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三、支出总表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四、财政拨款收入支出决算总表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五、财政拨款支出决算明细表（政府经济分类科目）</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六、一般公共预算财政拨款支出决算表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七、一般公共预算财政拨款支出决算明细表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八、一般公共预算财政拨款基本支出决算表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九、一般公共预算财政拨款项目支出决算表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十、一般公共预算财政拨款“三公”经费支出决算表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十一、政府性基金预算财政拨款收入支出决算表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十二、政府性基金预算财政拨款“三公”经费支出决算表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十三、国有资本经营预算支出决算表</w:t>
      </w:r>
    </w:p>
    <w:p>
      <w:pPr>
        <w:pStyle w:val="2"/>
        <w:rPr>
          <w:rFonts w:hint="eastAsia" w:ascii="黑体" w:hAnsi="黑体" w:eastAsia="黑体"/>
          <w:b w:val="0"/>
          <w:color w:val="auto"/>
          <w:highlight w:val="none"/>
        </w:rPr>
      </w:pPr>
      <w:r>
        <w:rPr>
          <w:rFonts w:hint="eastAsia" w:ascii="仿宋_GB2312" w:hAnsi="仿宋_GB2312" w:eastAsia="仿宋_GB2312" w:cs="仿宋_GB2312"/>
          <w:b w:val="0"/>
          <w:bCs w:val="0"/>
          <w:color w:val="auto"/>
          <w:kern w:val="2"/>
          <w:sz w:val="28"/>
          <w:szCs w:val="28"/>
          <w:highlight w:val="none"/>
          <w:lang w:val="en-US" w:eastAsia="zh-CN" w:bidi="ar-SA"/>
        </w:rPr>
        <w:t>（详见2022年部门决算报表）</w:t>
      </w:r>
      <w:bookmarkStart w:id="12" w:name="_Toc15396599"/>
      <w:bookmarkStart w:id="13" w:name="_Toc15377196"/>
    </w:p>
    <w:p>
      <w:pPr>
        <w:pStyle w:val="3"/>
        <w:jc w:val="center"/>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rPr>
          <w:rFonts w:hint="eastAsia"/>
        </w:rPr>
      </w:pP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77197"/>
      <w:bookmarkStart w:id="15" w:name="_Toc15396600"/>
      <w:r>
        <w:rPr>
          <w:rStyle w:val="25"/>
          <w:rFonts w:hint="eastAsia" w:ascii="黑体" w:hAnsi="黑体" w:eastAsia="黑体"/>
          <w:b w:val="0"/>
          <w:bCs w:val="0"/>
          <w:color w:val="auto"/>
          <w:highlight w:val="none"/>
          <w:lang w:eastAsia="zh-CN"/>
        </w:rPr>
        <w:t>主要职责</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sz w:val="28"/>
          <w:szCs w:val="28"/>
        </w:rPr>
      </w:pPr>
      <w:bookmarkStart w:id="16" w:name="_Toc15377198"/>
      <w:bookmarkStart w:id="17" w:name="_Toc15378445"/>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3．负责推进义务教育均衡发展和促进教育公平，负责义务教育的宏</w:t>
      </w:r>
      <w:r>
        <w:rPr>
          <w:rFonts w:hint="eastAsia" w:ascii="仿宋" w:hAnsi="仿宋" w:eastAsia="仿宋" w:cs="仿宋"/>
          <w:color w:val="000000" w:themeColor="text1"/>
          <w:sz w:val="28"/>
          <w:szCs w:val="28"/>
          <w14:textFill>
            <w14:solidFill>
              <w14:schemeClr w14:val="tx1"/>
            </w14:solidFill>
          </w14:textFill>
        </w:rPr>
        <w:t>观指导与协调；指导学校全面实施素质教育；督促检查学校各类学校的办学标准、教学基本要求、教学基本条件的落实情况。</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4.促进基础教育发展，教育学生成长为德学兼备、思想端正的学生，让学生获得基本的基础知识，尽可能培养其自学能力。</w:t>
      </w:r>
    </w:p>
    <w:bookmarkEnd w:id="16"/>
    <w:bookmarkEnd w:id="17"/>
    <w:p>
      <w:pPr>
        <w:pStyle w:val="4"/>
        <w:numPr>
          <w:ilvl w:val="0"/>
          <w:numId w:val="1"/>
        </w:numPr>
        <w:ind w:left="0" w:leftChars="0" w:firstLine="0" w:firstLineChars="0"/>
        <w:rPr>
          <w:rFonts w:hint="eastAsia"/>
          <w:lang w:val="en-US" w:eastAsia="zh-CN"/>
        </w:rPr>
      </w:pPr>
      <w:r>
        <w:rPr>
          <w:rFonts w:hint="eastAsia" w:ascii="黑体" w:hAnsi="黑体" w:eastAsia="黑体"/>
          <w:b w:val="0"/>
          <w:color w:val="auto"/>
          <w:highlight w:val="none"/>
          <w:lang w:val="en-US" w:eastAsia="zh-CN"/>
        </w:rPr>
        <w:t>机构设置</w:t>
      </w:r>
    </w:p>
    <w:bookmarkEnd w:id="14"/>
    <w:bookmarkEnd w:id="15"/>
    <w:p>
      <w:pPr>
        <w:widowControl/>
        <w:ind w:firstLine="560" w:firstLineChars="200"/>
        <w:jc w:val="left"/>
        <w:rPr>
          <w:rFonts w:ascii="仿宋" w:hAnsi="仿宋" w:eastAsia="仿宋"/>
          <w:color w:val="auto"/>
          <w:kern w:val="0"/>
          <w:sz w:val="32"/>
          <w:szCs w:val="32"/>
          <w:highlight w:val="none"/>
        </w:rPr>
      </w:pPr>
      <w:r>
        <w:rPr>
          <w:rFonts w:hint="eastAsia" w:ascii="宋体" w:hAnsi="宋体" w:cs="宋体"/>
          <w:color w:val="333333"/>
          <w:kern w:val="0"/>
          <w:sz w:val="28"/>
          <w:szCs w:val="28"/>
          <w:shd w:val="clear" w:color="auto" w:fill="FFFFFF"/>
          <w:lang w:eastAsia="zh-CN" w:bidi="ar"/>
        </w:rPr>
        <w:t>广元市利州区七一宝轮小学</w:t>
      </w:r>
      <w:r>
        <w:rPr>
          <w:rFonts w:hint="eastAsia" w:ascii="仿宋" w:hAnsi="仿宋" w:eastAsia="仿宋" w:cs="仿宋"/>
          <w:color w:val="000000"/>
          <w:sz w:val="32"/>
          <w:szCs w:val="32"/>
        </w:rPr>
        <w:t>隶属广元市利州区教育局下属二级预算单位，学校编制1</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名，其中事业编制1</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名。其中行政单位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个，参照公务员法管理的事业单位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个，其他事业单位</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个。</w:t>
      </w: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8" w:name="_Toc15396602"/>
      <w:bookmarkStart w:id="19"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8"/>
      <w:bookmarkEnd w:id="19"/>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5"/>
      <w:bookmarkStart w:id="21"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0"/>
      <w:bookmarkEnd w:id="21"/>
    </w:p>
    <w:p>
      <w:pPr>
        <w:spacing w:line="600" w:lineRule="exact"/>
        <w:ind w:firstLine="560" w:firstLineChars="200"/>
        <w:rPr>
          <w:rFonts w:hint="eastAsia" w:ascii="仿宋" w:hAnsi="仿宋" w:eastAsia="仿宋" w:cs="仿宋"/>
          <w:color w:val="000000" w:themeColor="text1"/>
          <w:kern w:val="2"/>
          <w:sz w:val="28"/>
          <w:szCs w:val="28"/>
          <w:lang w:val="en-US" w:eastAsia="zh-CN" w:bidi="ar"/>
          <w14:textFill>
            <w14:solidFill>
              <w14:schemeClr w14:val="tx1"/>
            </w14:solidFill>
          </w14:textFill>
        </w:rPr>
      </w:pPr>
      <w:r>
        <w:rPr>
          <w:rFonts w:hint="eastAsia" w:ascii="仿宋" w:hAnsi="仿宋" w:eastAsia="仿宋" w:cs="仿宋"/>
          <w:color w:val="000000" w:themeColor="text1"/>
          <w:kern w:val="2"/>
          <w:sz w:val="28"/>
          <w:szCs w:val="28"/>
          <w:lang w:val="en-US" w:eastAsia="zh-CN" w:bidi="ar"/>
          <w14:textFill>
            <w14:solidFill>
              <w14:schemeClr w14:val="tx1"/>
            </w14:solidFill>
          </w14:textFill>
        </w:rPr>
        <w:t>2022年度收、支总计2365.13万元。与2021年收、支总计2376.26万元相比，收入总计减少11.13万元，下降0.47%。主要变动原因：下半年由于新冠疫情，财政预算学生营养餐资金减少。</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_GB2312" w:eastAsia="仿宋_GB2312"/>
          <w:color w:val="auto"/>
          <w:sz w:val="32"/>
          <w:szCs w:val="32"/>
          <w:highlight w:val="none"/>
        </w:rPr>
      </w:pPr>
      <w:r>
        <w:rPr>
          <w:rFonts w:hint="eastAsia" w:ascii="仿宋" w:hAnsi="仿宋" w:eastAsia="仿宋"/>
          <w:color w:val="000000" w:themeColor="text1"/>
          <w:sz w:val="28"/>
          <w:szCs w:val="28"/>
          <w14:textFill>
            <w14:solidFill>
              <w14:schemeClr w14:val="tx1"/>
            </w14:solidFill>
          </w14:textFill>
        </w:rPr>
        <w:t>（图</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：收、支决算总计变动情况图）（柱状图）</w:t>
      </w: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173355</wp:posOffset>
            </wp:positionV>
            <wp:extent cx="5118100" cy="2514600"/>
            <wp:effectExtent l="4445" t="4445" r="20955" b="14605"/>
            <wp:wrapTight wrapText="bothSides">
              <wp:wrapPolygon>
                <wp:start x="-19" y="-38"/>
                <wp:lineTo x="-19" y="21562"/>
                <wp:lineTo x="21528" y="21562"/>
                <wp:lineTo x="21528" y="-38"/>
                <wp:lineTo x="-19" y="-38"/>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4"/>
      <w:bookmarkStart w:id="23"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2"/>
      <w:bookmarkEnd w:id="23"/>
    </w:p>
    <w:p>
      <w:pPr>
        <w:spacing w:line="600" w:lineRule="exact"/>
        <w:ind w:firstLine="560" w:firstLineChars="200"/>
        <w:outlineLvl w:val="1"/>
        <w:rPr>
          <w:rFonts w:hint="eastAsia" w:ascii="仿宋" w:hAnsi="仿宋" w:eastAsia="仿宋"/>
          <w:color w:val="auto"/>
          <w:sz w:val="32"/>
          <w:szCs w:val="32"/>
          <w:highlight w:val="none"/>
        </w:rPr>
      </w:pPr>
      <w:bookmarkStart w:id="24" w:name="_Toc19089866"/>
      <w:r>
        <w:rPr>
          <w:rFonts w:ascii="仿宋" w:hAnsi="仿宋" w:eastAsia="仿宋"/>
          <w:sz w:val="28"/>
          <w:szCs w:val="28"/>
        </w:rPr>
        <w:t>2</w:t>
      </w:r>
      <w:r>
        <w:rPr>
          <w:rFonts w:hint="eastAsia"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年收入合计</w:t>
      </w:r>
      <w:r>
        <w:rPr>
          <w:rFonts w:hint="eastAsia" w:ascii="仿宋" w:hAnsi="仿宋" w:eastAsia="仿宋"/>
          <w:color w:val="auto"/>
          <w:sz w:val="32"/>
          <w:szCs w:val="32"/>
          <w:highlight w:val="none"/>
          <w:lang w:val="en-US" w:eastAsia="zh-CN"/>
        </w:rPr>
        <w:t>2282.33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2281.7</w:t>
      </w:r>
      <w:r>
        <w:rPr>
          <w:rFonts w:hint="eastAsia" w:ascii="仿宋" w:hAnsi="仿宋" w:eastAsia="仿宋"/>
          <w:color w:val="auto"/>
          <w:sz w:val="32"/>
          <w:szCs w:val="32"/>
          <w:highlight w:val="none"/>
        </w:rPr>
        <w:t>万元，占比9</w:t>
      </w:r>
      <w:r>
        <w:rPr>
          <w:rFonts w:hint="eastAsia" w:ascii="仿宋" w:hAnsi="仿宋" w:eastAsia="仿宋"/>
          <w:color w:val="auto"/>
          <w:sz w:val="32"/>
          <w:szCs w:val="32"/>
          <w:highlight w:val="none"/>
          <w:lang w:val="en-US" w:eastAsia="zh-CN"/>
        </w:rPr>
        <w:t>9.97</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0.63</w:t>
      </w:r>
      <w:r>
        <w:rPr>
          <w:rFonts w:hint="eastAsia" w:ascii="仿宋" w:hAnsi="仿宋" w:eastAsia="仿宋"/>
          <w:color w:val="auto"/>
          <w:sz w:val="32"/>
          <w:szCs w:val="32"/>
          <w:highlight w:val="none"/>
        </w:rPr>
        <w:t>万元，占比</w:t>
      </w:r>
      <w:r>
        <w:rPr>
          <w:rFonts w:hint="eastAsia" w:ascii="仿宋" w:hAnsi="仿宋" w:eastAsia="仿宋"/>
          <w:color w:val="auto"/>
          <w:sz w:val="32"/>
          <w:szCs w:val="32"/>
          <w:highlight w:val="none"/>
          <w:lang w:val="en-US" w:eastAsia="zh-CN"/>
        </w:rPr>
        <w:t>0.03</w:t>
      </w:r>
      <w:r>
        <w:rPr>
          <w:rFonts w:hint="eastAsia" w:ascii="仿宋" w:hAnsi="仿宋" w:eastAsia="仿宋"/>
          <w:color w:val="auto"/>
          <w:sz w:val="32"/>
          <w:szCs w:val="32"/>
          <w:highlight w:val="none"/>
        </w:rPr>
        <w:t>%。</w:t>
      </w:r>
      <w:bookmarkEnd w:id="24"/>
    </w:p>
    <w:p>
      <w:pPr>
        <w:spacing w:line="600" w:lineRule="exact"/>
        <w:ind w:firstLine="560" w:firstLineChars="200"/>
        <w:outlineLvl w:val="1"/>
        <w:rPr>
          <w:rFonts w:hint="eastAsia" w:ascii="仿宋" w:hAnsi="仿宋" w:eastAsia="仿宋"/>
          <w:color w:val="auto"/>
          <w:sz w:val="28"/>
          <w:szCs w:val="28"/>
        </w:rPr>
      </w:pPr>
    </w:p>
    <w:p>
      <w:pPr>
        <w:spacing w:line="600" w:lineRule="exact"/>
        <w:ind w:firstLine="560" w:firstLineChars="200"/>
        <w:outlineLvl w:val="1"/>
        <w:rPr>
          <w:rFonts w:hint="eastAsia" w:ascii="仿宋" w:hAnsi="仿宋" w:eastAsia="仿宋"/>
          <w:color w:val="auto"/>
          <w:sz w:val="28"/>
          <w:szCs w:val="28"/>
        </w:rPr>
      </w:pPr>
    </w:p>
    <w:p>
      <w:pPr>
        <w:spacing w:line="600" w:lineRule="exact"/>
        <w:ind w:firstLine="560" w:firstLineChars="200"/>
        <w:outlineLvl w:val="1"/>
        <w:rPr>
          <w:rFonts w:hint="eastAsia" w:ascii="仿宋" w:hAnsi="仿宋" w:eastAsia="仿宋"/>
          <w:color w:val="auto"/>
          <w:sz w:val="28"/>
          <w:szCs w:val="28"/>
        </w:rPr>
      </w:pPr>
    </w:p>
    <w:p>
      <w:pPr>
        <w:spacing w:line="600" w:lineRule="exact"/>
        <w:ind w:firstLine="560" w:firstLineChars="200"/>
        <w:outlineLvl w:val="1"/>
        <w:rPr>
          <w:rFonts w:hint="eastAsia" w:ascii="黑体" w:hAnsi="黑体" w:eastAsia="黑体"/>
          <w:color w:val="auto"/>
          <w:sz w:val="28"/>
          <w:szCs w:val="28"/>
        </w:rPr>
      </w:pPr>
      <w:r>
        <w:rPr>
          <w:rFonts w:ascii="仿宋_GB2312" w:eastAsia="仿宋_GB2312"/>
          <w:color w:val="auto"/>
          <w:sz w:val="28"/>
          <w:szCs w:val="28"/>
        </w:rPr>
        <w:drawing>
          <wp:anchor distT="0" distB="0" distL="114300" distR="114300" simplePos="0" relativeHeight="251660288" behindDoc="0" locked="0" layoutInCell="1" allowOverlap="1">
            <wp:simplePos x="0" y="0"/>
            <wp:positionH relativeFrom="column">
              <wp:posOffset>13335</wp:posOffset>
            </wp:positionH>
            <wp:positionV relativeFrom="paragraph">
              <wp:posOffset>125730</wp:posOffset>
            </wp:positionV>
            <wp:extent cx="5274310" cy="2876550"/>
            <wp:effectExtent l="4445" t="4445" r="1714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28"/>
          <w:szCs w:val="28"/>
        </w:rPr>
        <w:t>（图2：收入决算结构图）（饼状图）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Style w:val="25"/>
          <w:rFonts w:ascii="黑体" w:hAnsi="黑体" w:eastAsia="黑体"/>
          <w:b w:val="0"/>
          <w:color w:val="auto"/>
          <w:sz w:val="28"/>
          <w:szCs w:val="28"/>
        </w:rPr>
      </w:pPr>
      <w:bookmarkStart w:id="25" w:name="_Toc15377207"/>
      <w:bookmarkStart w:id="26" w:name="_Toc19089867"/>
      <w:r>
        <w:rPr>
          <w:rFonts w:hint="eastAsia" w:ascii="黑体" w:hAnsi="黑体" w:eastAsia="黑体"/>
          <w:color w:val="auto"/>
          <w:sz w:val="28"/>
          <w:szCs w:val="28"/>
        </w:rPr>
        <w:t>三、支</w:t>
      </w:r>
      <w:r>
        <w:rPr>
          <w:rStyle w:val="25"/>
          <w:rFonts w:hint="eastAsia" w:ascii="黑体" w:hAnsi="黑体" w:eastAsia="黑体"/>
          <w:b w:val="0"/>
          <w:color w:val="auto"/>
          <w:sz w:val="28"/>
          <w:szCs w:val="28"/>
        </w:rPr>
        <w:t>出决算情况说明</w:t>
      </w:r>
      <w:bookmarkEnd w:id="25"/>
      <w:bookmarkEnd w:id="26"/>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olor w:val="auto"/>
          <w:sz w:val="28"/>
          <w:szCs w:val="28"/>
        </w:rPr>
      </w:pPr>
      <w:r>
        <w:rPr>
          <w:rFonts w:ascii="仿宋" w:hAnsi="仿宋" w:eastAsia="仿宋"/>
          <w:color w:val="auto"/>
          <w:sz w:val="28"/>
          <w:szCs w:val="28"/>
        </w:rPr>
        <w:t>20</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年支出合计</w:t>
      </w:r>
      <w:r>
        <w:rPr>
          <w:rFonts w:hint="eastAsia" w:ascii="仿宋_GB2312" w:hAnsi="Microsoft YaHei UI" w:eastAsia="仿宋_GB2312"/>
          <w:color w:val="auto"/>
          <w:spacing w:val="6"/>
          <w:sz w:val="32"/>
          <w:szCs w:val="32"/>
          <w:lang w:val="en-US" w:eastAsia="zh-CN"/>
        </w:rPr>
        <w:t>2365.13</w:t>
      </w:r>
      <w:r>
        <w:rPr>
          <w:rFonts w:hint="eastAsia" w:ascii="仿宋" w:hAnsi="仿宋" w:eastAsia="仿宋"/>
          <w:color w:val="auto"/>
          <w:sz w:val="28"/>
          <w:szCs w:val="28"/>
        </w:rPr>
        <w:t>万元，其中：基本支出</w:t>
      </w:r>
      <w:r>
        <w:rPr>
          <w:rFonts w:hint="eastAsia" w:ascii="仿宋" w:hAnsi="仿宋" w:eastAsia="仿宋"/>
          <w:color w:val="auto"/>
          <w:sz w:val="28"/>
          <w:szCs w:val="28"/>
          <w:lang w:val="en-US" w:eastAsia="zh-CN"/>
        </w:rPr>
        <w:t>2112.48</w:t>
      </w:r>
      <w:r>
        <w:rPr>
          <w:rFonts w:hint="eastAsia" w:ascii="仿宋" w:hAnsi="仿宋" w:eastAsia="仿宋"/>
          <w:color w:val="auto"/>
          <w:sz w:val="28"/>
          <w:szCs w:val="28"/>
        </w:rPr>
        <w:t>万元，占</w:t>
      </w:r>
      <w:r>
        <w:rPr>
          <w:rFonts w:hint="eastAsia" w:ascii="仿宋" w:hAnsi="仿宋" w:eastAsia="仿宋"/>
          <w:color w:val="auto"/>
          <w:sz w:val="28"/>
          <w:szCs w:val="28"/>
          <w:lang w:val="en-US" w:eastAsia="zh-CN"/>
        </w:rPr>
        <w:t>89.32</w:t>
      </w:r>
      <w:r>
        <w:rPr>
          <w:rFonts w:hint="eastAsia" w:ascii="仿宋" w:hAnsi="仿宋" w:eastAsia="仿宋"/>
          <w:color w:val="auto"/>
          <w:sz w:val="28"/>
          <w:szCs w:val="28"/>
        </w:rPr>
        <w:t>%；项目支出</w:t>
      </w:r>
      <w:r>
        <w:rPr>
          <w:rFonts w:hint="eastAsia" w:ascii="仿宋" w:hAnsi="仿宋" w:eastAsia="仿宋"/>
          <w:color w:val="auto"/>
          <w:sz w:val="28"/>
          <w:szCs w:val="28"/>
          <w:lang w:val="en-US" w:eastAsia="zh-CN"/>
        </w:rPr>
        <w:t>252.65</w:t>
      </w:r>
      <w:r>
        <w:rPr>
          <w:rFonts w:hint="eastAsia" w:ascii="仿宋" w:hAnsi="仿宋" w:eastAsia="仿宋"/>
          <w:color w:val="auto"/>
          <w:sz w:val="28"/>
          <w:szCs w:val="28"/>
        </w:rPr>
        <w:t>万元，占</w:t>
      </w:r>
      <w:r>
        <w:rPr>
          <w:rFonts w:hint="eastAsia" w:ascii="仿宋" w:hAnsi="仿宋" w:eastAsia="仿宋"/>
          <w:color w:val="auto"/>
          <w:sz w:val="28"/>
          <w:szCs w:val="28"/>
          <w:lang w:val="en-US" w:eastAsia="zh-CN"/>
        </w:rPr>
        <w:t>10.68</w:t>
      </w:r>
      <w:r>
        <w:rPr>
          <w:rFonts w:hint="eastAsia" w:ascii="仿宋" w:hAnsi="仿宋" w:eastAsia="仿宋"/>
          <w:color w:val="auto"/>
          <w:sz w:val="28"/>
          <w:szCs w:val="28"/>
        </w:rPr>
        <w:t>%。</w:t>
      </w:r>
    </w:p>
    <w:p>
      <w:pPr>
        <w:spacing w:line="600" w:lineRule="exact"/>
        <w:ind w:firstLine="560" w:firstLineChars="200"/>
        <w:rPr>
          <w:rFonts w:hint="eastAsia" w:ascii="仿宋" w:hAnsi="仿宋" w:eastAsia="仿宋"/>
          <w:color w:val="auto"/>
          <w:sz w:val="28"/>
          <w:szCs w:val="28"/>
        </w:rPr>
      </w:pPr>
      <w:r>
        <w:rPr>
          <w:rFonts w:ascii="仿宋_GB2312" w:eastAsia="仿宋_GB2312"/>
          <w:color w:val="auto"/>
          <w:sz w:val="28"/>
          <w:szCs w:val="28"/>
        </w:rPr>
        <w:drawing>
          <wp:anchor distT="0" distB="0" distL="114300" distR="114300" simplePos="0" relativeHeight="251661312" behindDoc="0" locked="0" layoutInCell="1" allowOverlap="1">
            <wp:simplePos x="0" y="0"/>
            <wp:positionH relativeFrom="column">
              <wp:posOffset>254000</wp:posOffset>
            </wp:positionH>
            <wp:positionV relativeFrom="paragraph">
              <wp:posOffset>143510</wp:posOffset>
            </wp:positionV>
            <wp:extent cx="4808220" cy="2620010"/>
            <wp:effectExtent l="4445" t="4445" r="698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（图3：支出决算结构图）（饼状图）</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outlineLvl w:val="1"/>
        <w:rPr>
          <w:rStyle w:val="25"/>
          <w:rFonts w:ascii="黑体" w:hAnsi="黑体" w:eastAsia="黑体"/>
          <w:b w:val="0"/>
          <w:color w:val="000000" w:themeColor="text1"/>
          <w:sz w:val="28"/>
          <w:szCs w:val="28"/>
          <w14:textFill>
            <w14:solidFill>
              <w14:schemeClr w14:val="tx1"/>
            </w14:solidFill>
          </w14:textFill>
        </w:rPr>
      </w:pPr>
      <w:bookmarkStart w:id="27" w:name="_Toc15377208"/>
      <w:bookmarkStart w:id="28" w:name="_Toc19089868"/>
      <w:r>
        <w:rPr>
          <w:rFonts w:hint="eastAsia" w:ascii="黑体" w:hAnsi="黑体" w:eastAsia="黑体"/>
          <w:color w:val="000000" w:themeColor="text1"/>
          <w:sz w:val="28"/>
          <w:szCs w:val="28"/>
          <w14:textFill>
            <w14:solidFill>
              <w14:schemeClr w14:val="tx1"/>
            </w14:solidFill>
          </w14:textFill>
        </w:rPr>
        <w:t>四、财</w:t>
      </w:r>
      <w:r>
        <w:rPr>
          <w:rStyle w:val="25"/>
          <w:rFonts w:hint="eastAsia" w:ascii="黑体" w:hAnsi="黑体" w:eastAsia="黑体"/>
          <w:b w:val="0"/>
          <w:color w:val="000000" w:themeColor="text1"/>
          <w:sz w:val="28"/>
          <w:szCs w:val="28"/>
          <w14:textFill>
            <w14:solidFill>
              <w14:schemeClr w14:val="tx1"/>
            </w14:solidFill>
          </w14:textFill>
        </w:rPr>
        <w:t>政拨款收入支出决算总体情况说明</w:t>
      </w:r>
      <w:bookmarkEnd w:id="27"/>
      <w:bookmarkEnd w:id="28"/>
    </w:p>
    <w:p>
      <w:pPr>
        <w:spacing w:line="600" w:lineRule="exact"/>
        <w:ind w:firstLine="960" w:firstLineChars="300"/>
        <w:rPr>
          <w:rFonts w:ascii="仿宋" w:hAnsi="仿宋" w:eastAsia="仿宋"/>
          <w:b/>
          <w:color w:val="auto"/>
          <w:sz w:val="32"/>
          <w:szCs w:val="32"/>
          <w:highlight w:val="none"/>
        </w:rPr>
      </w:pPr>
      <w:r>
        <w:rPr>
          <w:rFonts w:hint="eastAsia" w:ascii="仿宋" w:hAnsi="仿宋" w:eastAsia="仿宋"/>
          <w:color w:val="000000" w:themeColor="text1"/>
          <w:sz w:val="32"/>
          <w:szCs w:val="32"/>
          <w:highlight w:val="none"/>
          <w:lang w:val="en-US" w:eastAsia="zh-CN"/>
          <w14:textFill>
            <w14:solidFill>
              <w14:schemeClr w14:val="tx1"/>
            </w14:solidFill>
          </w14:textFill>
        </w:rPr>
        <w:t>2022年财政拨款收入总计2364.5万元。与2021年相比（</w:t>
      </w:r>
      <w:r>
        <w:rPr>
          <w:rFonts w:hint="eastAsia" w:ascii="仿宋" w:hAnsi="仿宋" w:eastAsia="仿宋"/>
          <w:color w:val="000000" w:themeColor="text1"/>
          <w:sz w:val="32"/>
          <w:szCs w:val="32"/>
          <w:highlight w:val="none"/>
          <w:lang w:val="en-US" w:eastAsia="zh-CN"/>
          <w14:textFill>
            <w14:solidFill>
              <w14:schemeClr w14:val="tx1"/>
            </w14:solidFill>
          </w14:textFill>
        </w:rPr>
        <w:tab/>
      </w:r>
      <w:r>
        <w:rPr>
          <w:rFonts w:hint="eastAsia" w:ascii="仿宋" w:hAnsi="仿宋" w:eastAsia="仿宋"/>
          <w:color w:val="000000" w:themeColor="text1"/>
          <w:sz w:val="32"/>
          <w:szCs w:val="32"/>
          <w:highlight w:val="none"/>
          <w:lang w:val="en-US" w:eastAsia="zh-CN"/>
          <w14:textFill>
            <w14:solidFill>
              <w14:schemeClr w14:val="tx1"/>
            </w14:solidFill>
          </w14:textFill>
        </w:rPr>
        <w:t>2376.26万元），财政拨款收入总计减少11.76万元，下降0.5%。主要变动原因：下半年由于新冠疫情，财政预算学生营养餐资金减少。</w:t>
      </w:r>
    </w:p>
    <w:p>
      <w:pPr>
        <w:spacing w:line="600" w:lineRule="exact"/>
        <w:ind w:firstLine="640"/>
        <w:rPr>
          <w:rFonts w:ascii="仿宋" w:hAnsi="仿宋" w:eastAsia="仿宋"/>
          <w:b/>
          <w:color w:val="auto"/>
          <w:sz w:val="32"/>
          <w:szCs w:val="32"/>
          <w:highlight w:val="none"/>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59690</wp:posOffset>
            </wp:positionH>
            <wp:positionV relativeFrom="paragraph">
              <wp:posOffset>66040</wp:posOffset>
            </wp:positionV>
            <wp:extent cx="4882515" cy="2430780"/>
            <wp:effectExtent l="4445" t="4445" r="46990" b="60325"/>
            <wp:wrapTight wrapText="bothSides">
              <wp:wrapPolygon>
                <wp:start x="-20" y="-39"/>
                <wp:lineTo x="-20" y="21459"/>
                <wp:lineTo x="21555" y="21459"/>
                <wp:lineTo x="21555" y="-39"/>
                <wp:lineTo x="-20" y="-39"/>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sz w:val="32"/>
          <w:szCs w:val="32"/>
          <w:lang w:val="en-US" w:eastAsia="zh-CN"/>
        </w:rPr>
        <w:t xml:space="preserve">    </w:t>
      </w:r>
      <w:r>
        <w:rPr>
          <w:rFonts w:hint="eastAsia" w:ascii="仿宋" w:hAnsi="仿宋" w:eastAsia="仿宋"/>
          <w:color w:val="000000" w:themeColor="text1"/>
          <w:sz w:val="28"/>
          <w:szCs w:val="28"/>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color w:val="auto"/>
          <w:highlight w:val="none"/>
        </w:rPr>
      </w:pPr>
      <w:bookmarkStart w:id="29" w:name="_Toc15377209"/>
      <w:bookmarkStart w:id="30"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9"/>
      <w:bookmarkEnd w:id="30"/>
    </w:p>
    <w:p>
      <w:pPr>
        <w:spacing w:line="600" w:lineRule="exact"/>
        <w:ind w:firstLine="643" w:firstLineChars="200"/>
        <w:outlineLvl w:val="2"/>
        <w:rPr>
          <w:rFonts w:ascii="仿宋" w:hAnsi="仿宋" w:eastAsia="仿宋"/>
          <w:b/>
          <w:color w:val="auto"/>
          <w:sz w:val="32"/>
          <w:szCs w:val="32"/>
          <w:highlight w:val="none"/>
        </w:rPr>
      </w:pPr>
      <w:bookmarkStart w:id="31" w:name="_Toc15377210"/>
      <w:r>
        <w:rPr>
          <w:rFonts w:hint="eastAsia" w:ascii="仿宋" w:hAnsi="仿宋" w:eastAsia="仿宋"/>
          <w:b/>
          <w:color w:val="auto"/>
          <w:sz w:val="32"/>
          <w:szCs w:val="32"/>
          <w:highlight w:val="none"/>
        </w:rPr>
        <w:t>（一）一般公共预算财政拨款支出决算总体情况</w:t>
      </w:r>
      <w:bookmarkEnd w:id="31"/>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22</w:t>
      </w:r>
      <w:r>
        <w:rPr>
          <w:rFonts w:hint="eastAsia" w:ascii="仿宋" w:hAnsi="仿宋" w:eastAsia="仿宋"/>
          <w:color w:val="000000" w:themeColor="text1"/>
          <w:sz w:val="28"/>
          <w:szCs w:val="28"/>
          <w14:textFill>
            <w14:solidFill>
              <w14:schemeClr w14:val="tx1"/>
            </w14:solidFill>
          </w14:textFill>
        </w:rPr>
        <w:t>年一般公共预算财政拨款支出</w:t>
      </w:r>
      <w:r>
        <w:rPr>
          <w:rFonts w:hint="eastAsia" w:ascii="仿宋" w:hAnsi="仿宋" w:eastAsia="仿宋"/>
          <w:sz w:val="28"/>
          <w:szCs w:val="28"/>
        </w:rPr>
        <w:t>合计</w:t>
      </w:r>
      <w:r>
        <w:rPr>
          <w:rFonts w:hint="eastAsia" w:ascii="仿宋_GB2312" w:hAnsi="Microsoft YaHei UI" w:eastAsia="仿宋_GB2312"/>
          <w:color w:val="333333"/>
          <w:spacing w:val="6"/>
          <w:sz w:val="32"/>
          <w:szCs w:val="32"/>
          <w:lang w:val="en-US" w:eastAsia="zh-CN"/>
        </w:rPr>
        <w:t>2364.5</w:t>
      </w:r>
      <w:r>
        <w:rPr>
          <w:rFonts w:hint="eastAsia" w:ascii="仿宋" w:hAnsi="仿宋" w:eastAsia="仿宋"/>
          <w:color w:val="auto"/>
          <w:sz w:val="28"/>
          <w:szCs w:val="28"/>
        </w:rPr>
        <w:t>万元</w:t>
      </w:r>
      <w:r>
        <w:rPr>
          <w:rFonts w:hint="eastAsia" w:ascii="仿宋" w:hAnsi="仿宋" w:eastAsia="仿宋"/>
          <w:sz w:val="28"/>
          <w:szCs w:val="28"/>
        </w:rPr>
        <w:t>，</w:t>
      </w:r>
      <w:r>
        <w:rPr>
          <w:rFonts w:hint="eastAsia" w:ascii="仿宋" w:hAnsi="仿宋" w:eastAsia="仿宋"/>
          <w:color w:val="000000" w:themeColor="text1"/>
          <w:sz w:val="28"/>
          <w:szCs w:val="28"/>
          <w14:textFill>
            <w14:solidFill>
              <w14:schemeClr w14:val="tx1"/>
            </w14:solidFill>
          </w14:textFill>
        </w:rPr>
        <w:t>占本年支出合计</w:t>
      </w:r>
      <w:r>
        <w:rPr>
          <w:rFonts w:hint="eastAsia" w:ascii="仿宋" w:hAnsi="仿宋" w:eastAsia="仿宋"/>
          <w:b w:val="0"/>
          <w:bCs w:val="0"/>
          <w:color w:val="000000" w:themeColor="text1"/>
          <w:sz w:val="28"/>
          <w:szCs w:val="28"/>
          <w14:textFill>
            <w14:solidFill>
              <w14:schemeClr w14:val="tx1"/>
            </w14:solidFill>
          </w14:textFill>
        </w:rPr>
        <w:t>的</w:t>
      </w:r>
      <w:r>
        <w:rPr>
          <w:rFonts w:hint="eastAsia" w:ascii="仿宋" w:hAnsi="仿宋" w:eastAsia="仿宋"/>
          <w:b w:val="0"/>
          <w:bCs w:val="0"/>
          <w:color w:val="000000" w:themeColor="text1"/>
          <w:sz w:val="28"/>
          <w:szCs w:val="28"/>
          <w:lang w:val="en-US" w:eastAsia="zh-CN"/>
          <w14:textFill>
            <w14:solidFill>
              <w14:schemeClr w14:val="tx1"/>
            </w14:solidFill>
          </w14:textFill>
        </w:rPr>
        <w:t>100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。与</w:t>
      </w:r>
      <w:r>
        <w:rPr>
          <w:rFonts w:ascii="仿宋" w:hAnsi="仿宋" w:eastAsia="仿宋"/>
          <w:b w:val="0"/>
          <w:bCs w:val="0"/>
          <w:color w:val="000000" w:themeColor="text1"/>
          <w:sz w:val="28"/>
          <w:szCs w:val="28"/>
          <w14:textFill>
            <w14:solidFill>
              <w14:schemeClr w14:val="tx1"/>
            </w14:solidFill>
          </w14:textFill>
        </w:rPr>
        <w:t>20</w:t>
      </w:r>
      <w:r>
        <w:rPr>
          <w:rFonts w:hint="eastAsia" w:ascii="仿宋" w:hAnsi="仿宋" w:eastAsia="仿宋"/>
          <w:b w:val="0"/>
          <w:bCs w:val="0"/>
          <w:color w:val="000000" w:themeColor="text1"/>
          <w:sz w:val="28"/>
          <w:szCs w:val="28"/>
          <w:lang w:val="en-US" w:eastAsia="zh-CN"/>
          <w14:textFill>
            <w14:solidFill>
              <w14:schemeClr w14:val="tx1"/>
            </w14:solidFill>
          </w14:textFill>
        </w:rPr>
        <w:t>21</w:t>
      </w:r>
      <w:r>
        <w:rPr>
          <w:rFonts w:hint="eastAsia" w:ascii="仿宋" w:hAnsi="仿宋" w:eastAsia="仿宋"/>
          <w:b w:val="0"/>
          <w:bCs w:val="0"/>
          <w:color w:val="000000" w:themeColor="text1"/>
          <w:sz w:val="28"/>
          <w:szCs w:val="28"/>
          <w14:textFill>
            <w14:solidFill>
              <w14:schemeClr w14:val="tx1"/>
            </w14:solidFill>
          </w14:textFill>
        </w:rPr>
        <w:t>年相比（</w:t>
      </w:r>
      <w:r>
        <w:rPr>
          <w:rFonts w:hint="eastAsia" w:ascii="仿宋_GB2312" w:hAnsi="Microsoft YaHei UI" w:eastAsia="仿宋_GB2312"/>
          <w:color w:val="333333"/>
          <w:spacing w:val="6"/>
          <w:sz w:val="32"/>
          <w:szCs w:val="32"/>
          <w:lang w:val="en-US" w:eastAsia="zh-CN"/>
        </w:rPr>
        <w:t>2293.46</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一般公共预算财政拨款支出增加</w:t>
      </w:r>
      <w:r>
        <w:rPr>
          <w:rFonts w:hint="eastAsia" w:ascii="仿宋" w:hAnsi="仿宋" w:eastAsia="仿宋"/>
          <w:color w:val="000000" w:themeColor="text1"/>
          <w:sz w:val="28"/>
          <w:szCs w:val="28"/>
          <w14:textFill>
            <w14:solidFill>
              <w14:schemeClr w14:val="tx1"/>
            </w14:solidFill>
          </w14:textFill>
        </w:rPr>
        <w:t>财政拨款收入总计</w:t>
      </w:r>
      <w:r>
        <w:rPr>
          <w:rFonts w:hint="eastAsia" w:ascii="仿宋" w:hAnsi="仿宋" w:eastAsia="仿宋"/>
          <w:color w:val="000000" w:themeColor="text1"/>
          <w:sz w:val="28"/>
          <w:szCs w:val="28"/>
          <w:lang w:eastAsia="zh-CN"/>
          <w14:textFill>
            <w14:solidFill>
              <w14:schemeClr w14:val="tx1"/>
            </w14:solidFill>
          </w14:textFill>
        </w:rPr>
        <w:t>增加</w:t>
      </w:r>
      <w:r>
        <w:rPr>
          <w:rFonts w:hint="eastAsia" w:ascii="仿宋" w:hAnsi="仿宋" w:eastAsia="仿宋" w:cs="仿宋"/>
          <w:color w:val="000000" w:themeColor="text1"/>
          <w:kern w:val="2"/>
          <w:sz w:val="28"/>
          <w:szCs w:val="28"/>
          <w:lang w:val="en-US" w:eastAsia="zh-CN" w:bidi="ar"/>
          <w14:textFill>
            <w14:solidFill>
              <w14:schemeClr w14:val="tx1"/>
            </w14:solidFill>
          </w14:textFill>
        </w:rPr>
        <w:t>71.04万元，</w:t>
      </w:r>
      <w:r>
        <w:rPr>
          <w:rFonts w:hint="eastAsia" w:ascii="仿宋" w:hAnsi="仿宋" w:eastAsia="仿宋"/>
          <w:color w:val="auto"/>
          <w:sz w:val="32"/>
          <w:szCs w:val="32"/>
          <w:highlight w:val="none"/>
        </w:rPr>
        <w:t>增长</w:t>
      </w:r>
      <w:r>
        <w:rPr>
          <w:rFonts w:hint="eastAsia" w:ascii="仿宋" w:hAnsi="仿宋" w:eastAsia="仿宋" w:cs="仿宋"/>
          <w:color w:val="000000" w:themeColor="text1"/>
          <w:kern w:val="2"/>
          <w:sz w:val="28"/>
          <w:szCs w:val="28"/>
          <w:lang w:val="en-US" w:eastAsia="zh-CN" w:bidi="ar"/>
          <w14:textFill>
            <w14:solidFill>
              <w14:schemeClr w14:val="tx1"/>
            </w14:solidFill>
          </w14:textFill>
        </w:rPr>
        <w:t>3.1%。主要变动原因：</w:t>
      </w:r>
      <w:r>
        <w:rPr>
          <w:rFonts w:hint="eastAsia" w:ascii="仿宋" w:hAnsi="仿宋" w:eastAsia="仿宋"/>
          <w:color w:val="000000" w:themeColor="text1"/>
          <w:sz w:val="32"/>
          <w:szCs w:val="32"/>
          <w:highlight w:val="none"/>
          <w:lang w:val="en-US" w:eastAsia="zh-CN"/>
          <w14:textFill>
            <w14:solidFill>
              <w14:schemeClr w14:val="tx1"/>
            </w14:solidFill>
          </w14:textFill>
        </w:rPr>
        <w:t>教职工工资收入年度正常增长</w:t>
      </w:r>
      <w:r>
        <w:rPr>
          <w:rFonts w:hint="eastAsia" w:ascii="仿宋" w:hAnsi="仿宋" w:eastAsia="仿宋" w:cs="仿宋"/>
          <w:color w:val="000000" w:themeColor="text1"/>
          <w:kern w:val="2"/>
          <w:sz w:val="28"/>
          <w:szCs w:val="28"/>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drawing>
          <wp:anchor distT="0" distB="0" distL="114300" distR="114300" simplePos="0" relativeHeight="251664384" behindDoc="0" locked="0" layoutInCell="1" allowOverlap="1">
            <wp:simplePos x="0" y="0"/>
            <wp:positionH relativeFrom="column">
              <wp:posOffset>180975</wp:posOffset>
            </wp:positionH>
            <wp:positionV relativeFrom="paragraph">
              <wp:posOffset>144145</wp:posOffset>
            </wp:positionV>
            <wp:extent cx="4736465" cy="1748790"/>
            <wp:effectExtent l="4445" t="4445" r="2159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val="0"/>
          <w:bCs w:val="0"/>
          <w:color w:val="000000" w:themeColor="text1"/>
          <w:sz w:val="28"/>
          <w:szCs w:val="28"/>
          <w14:textFill>
            <w14:solidFill>
              <w14:schemeClr w14:val="tx1"/>
            </w14:solidFill>
          </w14:textFill>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2" w:name="_Toc15377211"/>
      <w:r>
        <w:rPr>
          <w:rFonts w:hint="eastAsia" w:ascii="楷体" w:hAnsi="楷体" w:eastAsia="楷体" w:cs="楷体"/>
          <w:b w:val="0"/>
          <w:bCs/>
          <w:color w:val="000000" w:themeColor="text1"/>
          <w:sz w:val="28"/>
          <w:szCs w:val="28"/>
          <w14:textFill>
            <w14:solidFill>
              <w14:schemeClr w14:val="tx1"/>
            </w14:solidFill>
          </w14:textFill>
        </w:rPr>
        <w:t>（二）一般公共预算财政拨款支出决算结构情况</w:t>
      </w:r>
      <w:bookmarkEnd w:id="32"/>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w:t>
      </w:r>
      <w:r>
        <w:rPr>
          <w:rFonts w:hint="eastAsia" w:ascii="仿宋" w:hAnsi="仿宋" w:eastAsia="仿宋"/>
          <w:b w:val="0"/>
          <w:bCs/>
          <w:color w:val="000000" w:themeColor="text1"/>
          <w:sz w:val="28"/>
          <w:szCs w:val="28"/>
          <w:lang w:val="en-US" w:eastAsia="zh-CN"/>
          <w14:textFill>
            <w14:solidFill>
              <w14:schemeClr w14:val="tx1"/>
            </w14:solidFill>
          </w14:textFill>
        </w:rPr>
        <w:t>22</w:t>
      </w:r>
      <w:r>
        <w:rPr>
          <w:rFonts w:hint="eastAsia" w:ascii="仿宋" w:hAnsi="仿宋" w:eastAsia="仿宋"/>
          <w:b w:val="0"/>
          <w:bCs/>
          <w:color w:val="000000" w:themeColor="text1"/>
          <w:sz w:val="28"/>
          <w:szCs w:val="28"/>
          <w14:textFill>
            <w14:solidFill>
              <w14:schemeClr w14:val="tx1"/>
            </w14:solidFill>
          </w14:textFill>
        </w:rPr>
        <w:t>年一般公共预算财政拨款支出</w:t>
      </w:r>
      <w:r>
        <w:rPr>
          <w:rFonts w:hint="eastAsia" w:ascii="仿宋" w:hAnsi="仿宋" w:eastAsia="仿宋"/>
          <w:b w:val="0"/>
          <w:bCs/>
          <w:color w:val="000000" w:themeColor="text1"/>
          <w:sz w:val="28"/>
          <w:szCs w:val="28"/>
          <w:lang w:val="en-US" w:eastAsia="zh-CN"/>
          <w14:textFill>
            <w14:solidFill>
              <w14:schemeClr w14:val="tx1"/>
            </w14:solidFill>
          </w14:textFill>
        </w:rPr>
        <w:t>2364.5</w:t>
      </w:r>
      <w:r>
        <w:rPr>
          <w:rFonts w:hint="eastAsia" w:ascii="仿宋" w:hAnsi="仿宋" w:eastAsia="仿宋"/>
          <w:b w:val="0"/>
          <w:bCs/>
          <w:color w:val="000000" w:themeColor="text1"/>
          <w:sz w:val="28"/>
          <w:szCs w:val="28"/>
          <w14:textFill>
            <w14:solidFill>
              <w14:schemeClr w14:val="tx1"/>
            </w14:solidFill>
          </w14:textFill>
        </w:rPr>
        <w:t>万元，主要用于以下方面</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教育支出（类）</w:t>
      </w:r>
      <w:r>
        <w:rPr>
          <w:rFonts w:hint="eastAsia" w:ascii="仿宋" w:hAnsi="仿宋" w:eastAsia="仿宋"/>
          <w:b w:val="0"/>
          <w:bCs/>
          <w:color w:val="000000" w:themeColor="text1"/>
          <w:sz w:val="28"/>
          <w:szCs w:val="28"/>
          <w:lang w:val="en-US" w:eastAsia="zh-CN"/>
          <w14:textFill>
            <w14:solidFill>
              <w14:schemeClr w14:val="tx1"/>
            </w14:solidFill>
          </w14:textFill>
        </w:rPr>
        <w:t>2167.7</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91.68</w:t>
      </w:r>
      <w:r>
        <w:rPr>
          <w:rFonts w:hint="eastAsia" w:ascii="仿宋" w:hAnsi="仿宋" w:eastAsia="仿宋"/>
          <w:b w:val="0"/>
          <w:bCs/>
          <w:color w:val="000000" w:themeColor="text1"/>
          <w:sz w:val="28"/>
          <w:szCs w:val="28"/>
          <w14:textFill>
            <w14:solidFill>
              <w14:schemeClr w14:val="tx1"/>
            </w14:solidFill>
          </w14:textFill>
        </w:rPr>
        <w:t>%；社会保障和就业（类）支出</w:t>
      </w:r>
      <w:r>
        <w:rPr>
          <w:rFonts w:hint="eastAsia" w:ascii="仿宋" w:hAnsi="仿宋" w:eastAsia="仿宋"/>
          <w:b w:val="0"/>
          <w:bCs/>
          <w:color w:val="000000" w:themeColor="text1"/>
          <w:sz w:val="28"/>
          <w:szCs w:val="28"/>
          <w:lang w:val="en-US" w:eastAsia="zh-CN"/>
          <w14:textFill>
            <w14:solidFill>
              <w14:schemeClr w14:val="tx1"/>
            </w14:solidFill>
          </w14:textFill>
        </w:rPr>
        <w:t>27.99</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1.18</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；卫生健康（类）支出</w:t>
      </w:r>
      <w:r>
        <w:rPr>
          <w:rFonts w:hint="eastAsia" w:ascii="仿宋" w:hAnsi="仿宋" w:eastAsia="仿宋"/>
          <w:b w:val="0"/>
          <w:bCs/>
          <w:color w:val="000000" w:themeColor="text1"/>
          <w:sz w:val="28"/>
          <w:szCs w:val="28"/>
          <w:lang w:val="en-US" w:eastAsia="zh-CN"/>
          <w14:textFill>
            <w14:solidFill>
              <w14:schemeClr w14:val="tx1"/>
            </w14:solidFill>
          </w14:textFill>
        </w:rPr>
        <w:t>69.8</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2.95</w:t>
      </w:r>
      <w:r>
        <w:rPr>
          <w:rFonts w:hint="eastAsia" w:ascii="仿宋" w:hAnsi="仿宋" w:eastAsia="仿宋"/>
          <w:b w:val="0"/>
          <w:bCs/>
          <w:color w:val="000000" w:themeColor="text1"/>
          <w:sz w:val="28"/>
          <w:szCs w:val="28"/>
          <w14:textFill>
            <w14:solidFill>
              <w14:schemeClr w14:val="tx1"/>
            </w14:solidFill>
          </w14:textFill>
        </w:rPr>
        <w:t>%；住房保障(类)支出</w:t>
      </w:r>
      <w:r>
        <w:rPr>
          <w:rFonts w:hint="eastAsia" w:ascii="仿宋" w:hAnsi="仿宋" w:eastAsia="仿宋"/>
          <w:b w:val="0"/>
          <w:bCs/>
          <w:color w:val="000000" w:themeColor="text1"/>
          <w:sz w:val="28"/>
          <w:szCs w:val="28"/>
          <w:lang w:val="en-US" w:eastAsia="zh-CN"/>
          <w14:textFill>
            <w14:solidFill>
              <w14:schemeClr w14:val="tx1"/>
            </w14:solidFill>
          </w14:textFill>
        </w:rPr>
        <w:t>99.01</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4.19</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drawing>
          <wp:anchor distT="0" distB="0" distL="114300" distR="114300" simplePos="0" relativeHeight="251663360" behindDoc="0" locked="0" layoutInCell="1" allowOverlap="1">
            <wp:simplePos x="0" y="0"/>
            <wp:positionH relativeFrom="column">
              <wp:posOffset>-101600</wp:posOffset>
            </wp:positionH>
            <wp:positionV relativeFrom="paragraph">
              <wp:posOffset>203200</wp:posOffset>
            </wp:positionV>
            <wp:extent cx="5496560" cy="2682240"/>
            <wp:effectExtent l="4445" t="4445" r="23495" b="184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outlineLvl w:val="2"/>
        <w:rPr>
          <w:rFonts w:hint="eastAsia" w:ascii="楷体" w:hAnsi="楷体" w:eastAsia="楷体" w:cs="楷体"/>
          <w:b w:val="0"/>
          <w:bCs/>
          <w:color w:val="auto"/>
          <w:sz w:val="28"/>
          <w:szCs w:val="28"/>
        </w:rPr>
      </w:pPr>
      <w:bookmarkStart w:id="33" w:name="_Toc15377212"/>
      <w:r>
        <w:rPr>
          <w:rFonts w:hint="eastAsia" w:ascii="楷体" w:hAnsi="楷体" w:eastAsia="楷体" w:cs="楷体"/>
          <w:b w:val="0"/>
          <w:bCs/>
          <w:color w:val="auto"/>
          <w:sz w:val="28"/>
          <w:szCs w:val="28"/>
        </w:rPr>
        <w:t>（三）一般公共预算财政拨款支出决算具体情况</w:t>
      </w:r>
      <w:bookmarkEnd w:id="33"/>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outlineLvl w:val="2"/>
        <w:rPr>
          <w:rFonts w:ascii="仿宋" w:hAnsi="仿宋" w:eastAsia="仿宋"/>
          <w:b w:val="0"/>
          <w:bCs/>
          <w:color w:val="auto"/>
          <w:sz w:val="28"/>
          <w:szCs w:val="28"/>
        </w:rPr>
      </w:pPr>
      <w:bookmarkStart w:id="34" w:name="_Toc15377213"/>
      <w:bookmarkStart w:id="35" w:name="_Toc15377444"/>
      <w:bookmarkStart w:id="36" w:name="_Toc15378460"/>
      <w:r>
        <w:rPr>
          <w:rFonts w:hint="eastAsia" w:ascii="仿宋" w:hAnsi="仿宋" w:eastAsia="仿宋"/>
          <w:b w:val="0"/>
          <w:bCs/>
          <w:color w:val="auto"/>
          <w:sz w:val="28"/>
          <w:szCs w:val="28"/>
        </w:rPr>
        <w:t>20</w:t>
      </w:r>
      <w:r>
        <w:rPr>
          <w:rFonts w:hint="eastAsia" w:ascii="仿宋" w:hAnsi="仿宋" w:eastAsia="仿宋"/>
          <w:b w:val="0"/>
          <w:bCs/>
          <w:color w:val="auto"/>
          <w:sz w:val="28"/>
          <w:szCs w:val="28"/>
          <w:lang w:val="en-US" w:eastAsia="zh-CN"/>
        </w:rPr>
        <w:t>22</w:t>
      </w:r>
      <w:r>
        <w:rPr>
          <w:rFonts w:hint="eastAsia" w:ascii="仿宋" w:hAnsi="仿宋" w:eastAsia="仿宋"/>
          <w:b w:val="0"/>
          <w:bCs/>
          <w:color w:val="auto"/>
          <w:sz w:val="28"/>
          <w:szCs w:val="28"/>
        </w:rPr>
        <w:t>年一般公共预算支出决算数为</w:t>
      </w:r>
      <w:r>
        <w:rPr>
          <w:rFonts w:hint="eastAsia" w:ascii="仿宋" w:hAnsi="仿宋" w:eastAsia="仿宋"/>
          <w:b w:val="0"/>
          <w:bCs/>
          <w:color w:val="000000" w:themeColor="text1"/>
          <w:sz w:val="28"/>
          <w:szCs w:val="28"/>
          <w:lang w:val="en-US" w:eastAsia="zh-CN"/>
          <w14:textFill>
            <w14:solidFill>
              <w14:schemeClr w14:val="tx1"/>
            </w14:solidFill>
          </w14:textFill>
        </w:rPr>
        <w:t>2364.5</w:t>
      </w:r>
      <w:r>
        <w:rPr>
          <w:rFonts w:hint="eastAsia" w:ascii="仿宋" w:hAnsi="仿宋" w:eastAsia="仿宋"/>
          <w:b w:val="0"/>
          <w:bCs/>
          <w:color w:val="auto"/>
          <w:sz w:val="28"/>
          <w:szCs w:val="28"/>
        </w:rPr>
        <w:t>万元，</w:t>
      </w:r>
      <w:r>
        <w:rPr>
          <w:rStyle w:val="14"/>
          <w:rFonts w:hint="eastAsia" w:ascii="仿宋" w:hAnsi="仿宋" w:eastAsia="仿宋"/>
          <w:b w:val="0"/>
          <w:bCs/>
          <w:color w:val="auto"/>
          <w:sz w:val="28"/>
          <w:szCs w:val="28"/>
        </w:rPr>
        <w:t>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。其中：</w:t>
      </w:r>
      <w:bookmarkEnd w:id="34"/>
      <w:bookmarkEnd w:id="35"/>
      <w:bookmarkEnd w:id="36"/>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hint="eastAsia"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1</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w:t>
      </w:r>
      <w:r>
        <w:rPr>
          <w:rStyle w:val="14"/>
          <w:rFonts w:ascii="仿宋" w:hAnsi="仿宋" w:eastAsia="仿宋"/>
          <w:b w:val="0"/>
          <w:bCs/>
          <w:color w:val="auto"/>
          <w:sz w:val="28"/>
          <w:szCs w:val="28"/>
        </w:rPr>
        <w:t>教育支出</w:t>
      </w:r>
      <w:r>
        <w:rPr>
          <w:rStyle w:val="14"/>
          <w:rFonts w:hint="eastAsia" w:ascii="仿宋" w:hAnsi="仿宋" w:eastAsia="仿宋"/>
          <w:b w:val="0"/>
          <w:bCs/>
          <w:color w:val="auto"/>
          <w:sz w:val="28"/>
          <w:szCs w:val="28"/>
        </w:rPr>
        <w:t>（类）普通教育（款）小学教育（项）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支出决算数为</w:t>
      </w:r>
      <w:r>
        <w:rPr>
          <w:rFonts w:hint="eastAsia" w:ascii="仿宋" w:hAnsi="仿宋" w:eastAsia="仿宋"/>
          <w:b w:val="0"/>
          <w:bCs/>
          <w:color w:val="000000" w:themeColor="text1"/>
          <w:sz w:val="28"/>
          <w:szCs w:val="28"/>
          <w:lang w:val="en-US" w:eastAsia="zh-CN"/>
          <w14:textFill>
            <w14:solidFill>
              <w14:schemeClr w14:val="tx1"/>
            </w14:solidFill>
          </w14:textFill>
        </w:rPr>
        <w:t>2165.7</w:t>
      </w:r>
      <w:r>
        <w:rPr>
          <w:rStyle w:val="14"/>
          <w:rFonts w:hint="eastAsia" w:ascii="仿宋" w:hAnsi="仿宋" w:eastAsia="仿宋"/>
          <w:b w:val="0"/>
          <w:bCs/>
          <w:color w:val="auto"/>
          <w:sz w:val="28"/>
          <w:szCs w:val="28"/>
        </w:rPr>
        <w:t>万元，完成预算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hint="eastAsia" w:ascii="仿宋" w:hAnsi="仿宋" w:eastAsia="仿宋"/>
          <w:b w:val="0"/>
          <w:bCs/>
          <w:color w:val="auto"/>
          <w:sz w:val="28"/>
          <w:szCs w:val="28"/>
          <w:lang w:val="en-US" w:eastAsia="zh-CN"/>
        </w:rPr>
      </w:pPr>
      <w:r>
        <w:rPr>
          <w:rStyle w:val="14"/>
          <w:rFonts w:hint="eastAsia" w:ascii="仿宋" w:hAnsi="仿宋" w:eastAsia="仿宋"/>
          <w:b w:val="0"/>
          <w:bCs/>
          <w:color w:val="auto"/>
          <w:sz w:val="28"/>
          <w:szCs w:val="28"/>
          <w:lang w:val="en-US" w:eastAsia="zh-CN"/>
        </w:rPr>
        <w:t>2.</w:t>
      </w:r>
      <w:r>
        <w:rPr>
          <w:rFonts w:ascii="仿宋" w:hAnsi="仿宋" w:eastAsia="仿宋"/>
          <w:b w:val="0"/>
          <w:bCs/>
          <w:color w:val="auto"/>
          <w:sz w:val="28"/>
          <w:szCs w:val="28"/>
        </w:rPr>
        <w:t xml:space="preserve"> </w:t>
      </w:r>
      <w:r>
        <w:rPr>
          <w:rStyle w:val="14"/>
          <w:rFonts w:ascii="仿宋" w:hAnsi="仿宋" w:eastAsia="仿宋"/>
          <w:b w:val="0"/>
          <w:bCs/>
          <w:color w:val="auto"/>
          <w:sz w:val="28"/>
          <w:szCs w:val="28"/>
        </w:rPr>
        <w:t>教育支出</w:t>
      </w:r>
      <w:r>
        <w:rPr>
          <w:rStyle w:val="14"/>
          <w:rFonts w:hint="eastAsia" w:ascii="仿宋" w:hAnsi="仿宋" w:eastAsia="仿宋"/>
          <w:b w:val="0"/>
          <w:bCs/>
          <w:color w:val="auto"/>
          <w:sz w:val="28"/>
          <w:szCs w:val="28"/>
        </w:rPr>
        <w:t>（类）普通教育（款）其它普通教育（项）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支出决算数为</w:t>
      </w:r>
      <w:r>
        <w:rPr>
          <w:rStyle w:val="14"/>
          <w:rFonts w:hint="eastAsia" w:ascii="仿宋" w:hAnsi="仿宋" w:eastAsia="仿宋"/>
          <w:b w:val="0"/>
          <w:bCs/>
          <w:color w:val="auto"/>
          <w:sz w:val="28"/>
          <w:szCs w:val="28"/>
          <w:lang w:val="en-US" w:eastAsia="zh-CN"/>
        </w:rPr>
        <w:t>2</w:t>
      </w:r>
      <w:r>
        <w:rPr>
          <w:rStyle w:val="14"/>
          <w:rFonts w:hint="eastAsia" w:ascii="仿宋" w:hAnsi="仿宋" w:eastAsia="仿宋"/>
          <w:b w:val="0"/>
          <w:bCs/>
          <w:color w:val="auto"/>
          <w:sz w:val="28"/>
          <w:szCs w:val="28"/>
        </w:rPr>
        <w:t>万元</w:t>
      </w:r>
      <w:r>
        <w:rPr>
          <w:rStyle w:val="14"/>
          <w:rFonts w:hint="eastAsia" w:ascii="仿宋" w:hAnsi="仿宋" w:eastAsia="仿宋"/>
          <w:b w:val="0"/>
          <w:bCs/>
          <w:color w:val="auto"/>
          <w:sz w:val="28"/>
          <w:szCs w:val="28"/>
          <w:lang w:val="en-US" w:eastAsia="zh-CN"/>
        </w:rPr>
        <w:t>.</w:t>
      </w:r>
      <w:r>
        <w:rPr>
          <w:rStyle w:val="14"/>
          <w:rFonts w:hint="eastAsia" w:ascii="仿宋" w:hAnsi="仿宋" w:eastAsia="仿宋"/>
          <w:b w:val="0"/>
          <w:bCs/>
          <w:color w:val="auto"/>
          <w:sz w:val="28"/>
          <w:szCs w:val="28"/>
        </w:rPr>
        <w:t>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3</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社会保障和就业支出</w:t>
      </w:r>
      <w:r>
        <w:rPr>
          <w:rStyle w:val="14"/>
          <w:rFonts w:hint="eastAsia" w:ascii="仿宋" w:hAnsi="仿宋" w:eastAsia="仿宋"/>
          <w:b w:val="0"/>
          <w:bCs/>
          <w:color w:val="auto"/>
          <w:sz w:val="28"/>
          <w:szCs w:val="28"/>
        </w:rPr>
        <w:t>（类）行政事业单位离退休（款）机关事业单位基本养老保险缴费支出（项）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Fonts w:hint="eastAsia" w:ascii="仿宋" w:hAnsi="仿宋" w:eastAsia="仿宋"/>
          <w:b w:val="0"/>
          <w:bCs/>
          <w:color w:val="000000" w:themeColor="text1"/>
          <w:sz w:val="28"/>
          <w:szCs w:val="28"/>
          <w:lang w:val="en-US" w:eastAsia="zh-CN"/>
          <w14:textFill>
            <w14:solidFill>
              <w14:schemeClr w14:val="tx1"/>
            </w14:solidFill>
          </w14:textFill>
        </w:rPr>
        <w:t>27.99</w:t>
      </w:r>
      <w:r>
        <w:rPr>
          <w:rStyle w:val="14"/>
          <w:rFonts w:hint="eastAsia" w:ascii="仿宋" w:hAnsi="仿宋" w:eastAsia="仿宋"/>
          <w:b w:val="0"/>
          <w:bCs/>
          <w:color w:val="auto"/>
          <w:sz w:val="28"/>
          <w:szCs w:val="28"/>
        </w:rPr>
        <w:t>万元，完成预算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4</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医疗卫生与计划生育</w:t>
      </w:r>
      <w:r>
        <w:rPr>
          <w:rStyle w:val="14"/>
          <w:rFonts w:hint="eastAsia" w:ascii="仿宋" w:hAnsi="仿宋" w:eastAsia="仿宋"/>
          <w:b w:val="0"/>
          <w:bCs/>
          <w:color w:val="auto"/>
          <w:sz w:val="28"/>
          <w:szCs w:val="28"/>
        </w:rPr>
        <w:t>（类）行政事业单位医疗（款）事业单位医疗（项）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Style w:val="14"/>
          <w:rFonts w:hint="eastAsia" w:ascii="仿宋" w:hAnsi="仿宋" w:eastAsia="仿宋"/>
          <w:b w:val="0"/>
          <w:bCs/>
          <w:color w:val="auto"/>
          <w:sz w:val="28"/>
          <w:szCs w:val="28"/>
          <w:lang w:val="en-US" w:eastAsia="zh-CN"/>
        </w:rPr>
        <w:t>69.8</w:t>
      </w:r>
      <w:r>
        <w:rPr>
          <w:rStyle w:val="14"/>
          <w:rFonts w:hint="eastAsia" w:ascii="仿宋" w:hAnsi="仿宋" w:eastAsia="仿宋"/>
          <w:b w:val="0"/>
          <w:bCs/>
          <w:color w:val="auto"/>
          <w:sz w:val="28"/>
          <w:szCs w:val="28"/>
        </w:rPr>
        <w:t>万元，完成预算100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5</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住房保障支出</w:t>
      </w:r>
      <w:r>
        <w:rPr>
          <w:rStyle w:val="14"/>
          <w:rFonts w:hint="eastAsia" w:ascii="仿宋" w:hAnsi="仿宋" w:eastAsia="仿宋"/>
          <w:b w:val="0"/>
          <w:bCs/>
          <w:color w:val="auto"/>
          <w:sz w:val="28"/>
          <w:szCs w:val="28"/>
        </w:rPr>
        <w:t>（类）住房改革支出（款）住房公积金（项）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Style w:val="14"/>
          <w:rFonts w:hint="eastAsia" w:ascii="仿宋" w:hAnsi="仿宋" w:eastAsia="仿宋"/>
          <w:b w:val="0"/>
          <w:bCs/>
          <w:color w:val="auto"/>
          <w:sz w:val="28"/>
          <w:szCs w:val="28"/>
          <w:lang w:val="en-US" w:eastAsia="zh-CN"/>
        </w:rPr>
        <w:t>99.01</w:t>
      </w:r>
      <w:r>
        <w:rPr>
          <w:rStyle w:val="14"/>
          <w:rFonts w:hint="eastAsia" w:ascii="仿宋" w:hAnsi="仿宋" w:eastAsia="仿宋"/>
          <w:b w:val="0"/>
          <w:bCs/>
          <w:color w:val="auto"/>
          <w:sz w:val="28"/>
          <w:szCs w:val="28"/>
        </w:rPr>
        <w:t>万</w:t>
      </w:r>
      <w:r>
        <w:rPr>
          <w:rFonts w:hint="eastAsia" w:ascii="仿宋" w:hAnsi="仿宋" w:eastAsia="仿宋"/>
          <w:b w:val="0"/>
          <w:bCs/>
          <w:color w:val="auto"/>
          <w:sz w:val="28"/>
          <w:szCs w:val="28"/>
        </w:rPr>
        <w:t>元</w:t>
      </w:r>
      <w:r>
        <w:rPr>
          <w:rStyle w:val="14"/>
          <w:rFonts w:hint="eastAsia" w:ascii="仿宋" w:hAnsi="仿宋" w:eastAsia="仿宋"/>
          <w:b w:val="0"/>
          <w:bCs/>
          <w:color w:val="auto"/>
          <w:sz w:val="28"/>
          <w:szCs w:val="28"/>
        </w:rPr>
        <w:t>，完成预算100</w:t>
      </w:r>
      <w:r>
        <w:rPr>
          <w:rStyle w:val="14"/>
          <w:rFonts w:ascii="仿宋" w:hAnsi="仿宋" w:eastAsia="仿宋"/>
          <w:b w:val="0"/>
          <w:bCs/>
          <w:color w:val="auto"/>
          <w:sz w:val="28"/>
          <w:szCs w:val="28"/>
        </w:rPr>
        <w:t>%</w:t>
      </w:r>
      <w:r>
        <w:rPr>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黑体" w:hAnsi="黑体" w:eastAsia="黑体" w:cs="黑体"/>
          <w:b w:val="0"/>
          <w:bCs/>
          <w:color w:val="auto"/>
          <w:sz w:val="28"/>
          <w:szCs w:val="28"/>
          <w:highlight w:val="none"/>
          <w:lang w:val="en-US" w:eastAsia="zh-CN"/>
        </w:rPr>
      </w:pPr>
      <w:bookmarkStart w:id="37" w:name="_Toc15377214"/>
      <w:r>
        <w:rPr>
          <w:rFonts w:hint="eastAsia" w:ascii="黑体" w:hAnsi="黑体" w:eastAsia="黑体" w:cs="黑体"/>
          <w:b w:val="0"/>
          <w:bCs/>
          <w:color w:val="auto"/>
          <w:sz w:val="28"/>
          <w:szCs w:val="28"/>
          <w:highlight w:val="none"/>
          <w:lang w:val="en-US" w:eastAsia="zh-CN"/>
        </w:rPr>
        <w:t>六、一般公共预算财政拨款基本支出决算情况说明</w:t>
      </w:r>
      <w:bookmarkEnd w:id="37"/>
      <w:r>
        <w:rPr>
          <w:rFonts w:hint="eastAsia" w:ascii="黑体" w:hAnsi="黑体" w:eastAsia="黑体" w:cs="黑体"/>
          <w:b w:val="0"/>
          <w:bCs/>
          <w:color w:val="auto"/>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ascii="仿宋" w:hAnsi="仿宋" w:eastAsia="仿宋"/>
          <w:b w:val="0"/>
          <w:bCs/>
          <w:color w:val="auto"/>
          <w:sz w:val="28"/>
          <w:szCs w:val="28"/>
        </w:rPr>
      </w:pPr>
      <w:r>
        <w:rPr>
          <w:rFonts w:ascii="仿宋" w:hAnsi="仿宋" w:eastAsia="仿宋"/>
          <w:b w:val="0"/>
          <w:bCs/>
          <w:color w:val="auto"/>
          <w:sz w:val="28"/>
          <w:szCs w:val="28"/>
          <w:highlight w:val="none"/>
        </w:rPr>
        <w:t>20</w:t>
      </w:r>
      <w:r>
        <w:rPr>
          <w:rFonts w:hint="eastAsia" w:ascii="仿宋" w:hAnsi="仿宋" w:eastAsia="仿宋"/>
          <w:b w:val="0"/>
          <w:bCs/>
          <w:color w:val="auto"/>
          <w:sz w:val="28"/>
          <w:szCs w:val="28"/>
          <w:highlight w:val="none"/>
          <w:lang w:val="en-US" w:eastAsia="zh-CN"/>
        </w:rPr>
        <w:t>22</w:t>
      </w:r>
      <w:r>
        <w:rPr>
          <w:rFonts w:hint="eastAsia" w:ascii="仿宋" w:hAnsi="仿宋" w:eastAsia="仿宋"/>
          <w:b w:val="0"/>
          <w:bCs/>
          <w:color w:val="auto"/>
          <w:sz w:val="28"/>
          <w:szCs w:val="28"/>
        </w:rPr>
        <w:t>年一般公共预算财政拨款基本支出</w:t>
      </w:r>
      <w:r>
        <w:rPr>
          <w:rFonts w:hint="eastAsia" w:ascii="仿宋" w:hAnsi="仿宋" w:eastAsia="仿宋"/>
          <w:b w:val="0"/>
          <w:bCs/>
          <w:color w:val="auto"/>
          <w:sz w:val="28"/>
          <w:szCs w:val="28"/>
          <w:lang w:val="en-US" w:eastAsia="zh-CN"/>
        </w:rPr>
        <w:t>21111.84</w:t>
      </w:r>
      <w:r>
        <w:rPr>
          <w:rFonts w:hint="eastAsia" w:ascii="仿宋" w:hAnsi="仿宋" w:eastAsia="仿宋"/>
          <w:b w:val="0"/>
          <w:bCs/>
          <w:color w:val="auto"/>
          <w:sz w:val="28"/>
          <w:szCs w:val="28"/>
        </w:rPr>
        <w:t>万元，其中：</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lang w:eastAsia="zh-CN"/>
        </w:rPr>
      </w:pPr>
      <w:r>
        <w:rPr>
          <w:rFonts w:hint="eastAsia" w:ascii="仿宋" w:hAnsi="仿宋" w:eastAsia="仿宋"/>
          <w:b w:val="0"/>
          <w:bCs/>
          <w:color w:val="auto"/>
          <w:sz w:val="28"/>
          <w:szCs w:val="28"/>
        </w:rPr>
        <w:t>人员经费</w:t>
      </w:r>
      <w:r>
        <w:rPr>
          <w:rFonts w:hint="eastAsia" w:ascii="仿宋" w:hAnsi="仿宋" w:eastAsia="仿宋"/>
          <w:b w:val="0"/>
          <w:bCs/>
          <w:color w:val="auto"/>
          <w:sz w:val="28"/>
          <w:szCs w:val="28"/>
          <w:lang w:val="en-US" w:eastAsia="zh-CN"/>
        </w:rPr>
        <w:t>1891.64</w:t>
      </w:r>
      <w:r>
        <w:rPr>
          <w:rFonts w:hint="eastAsia" w:ascii="仿宋" w:hAnsi="仿宋" w:eastAsia="仿宋"/>
          <w:b w:val="0"/>
          <w:bCs/>
          <w:color w:val="auto"/>
          <w:sz w:val="28"/>
          <w:szCs w:val="28"/>
        </w:rPr>
        <w:t>万元，主要包括：基本工资、津贴补贴、绩效工资、机关事业单位基本养老保险缴费、职业年金缴费、职工基本医疗保险缴费、其他社会保障缴费、住房公积金、其他工资福利支出、</w:t>
      </w:r>
      <w:r>
        <w:rPr>
          <w:rFonts w:hint="eastAsia" w:ascii="仿宋" w:hAnsi="仿宋" w:eastAsia="仿宋"/>
          <w:b w:val="0"/>
          <w:bCs/>
          <w:color w:val="auto"/>
          <w:sz w:val="28"/>
          <w:szCs w:val="28"/>
          <w:lang w:eastAsia="zh-CN"/>
        </w:rPr>
        <w:t>抚恤金、</w:t>
      </w:r>
      <w:r>
        <w:rPr>
          <w:rFonts w:hint="eastAsia" w:ascii="仿宋" w:hAnsi="仿宋" w:eastAsia="仿宋"/>
          <w:b w:val="0"/>
          <w:bCs/>
          <w:color w:val="auto"/>
          <w:sz w:val="28"/>
          <w:szCs w:val="28"/>
        </w:rPr>
        <w:t>生活补助、奖励金等。</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 w:hAnsi="仿宋" w:eastAsia="仿宋"/>
          <w:b w:val="0"/>
          <w:bCs/>
          <w:color w:val="auto"/>
          <w:sz w:val="28"/>
          <w:szCs w:val="28"/>
        </w:rPr>
      </w:pPr>
      <w:r>
        <w:rPr>
          <w:rFonts w:hint="eastAsia" w:ascii="仿宋" w:hAnsi="仿宋" w:eastAsia="仿宋"/>
          <w:b w:val="0"/>
          <w:bCs/>
          <w:color w:val="auto"/>
          <w:sz w:val="28"/>
          <w:szCs w:val="28"/>
        </w:rPr>
        <w:t>公用经费</w:t>
      </w:r>
      <w:r>
        <w:rPr>
          <w:rFonts w:hint="eastAsia" w:ascii="仿宋" w:hAnsi="仿宋" w:eastAsia="仿宋"/>
          <w:b w:val="0"/>
          <w:bCs/>
          <w:color w:val="auto"/>
          <w:sz w:val="28"/>
          <w:szCs w:val="28"/>
          <w:lang w:val="en-US" w:eastAsia="zh-CN"/>
        </w:rPr>
        <w:t>220.2</w:t>
      </w:r>
      <w:r>
        <w:rPr>
          <w:rFonts w:hint="eastAsia" w:ascii="仿宋" w:hAnsi="仿宋" w:eastAsia="仿宋"/>
          <w:b w:val="0"/>
          <w:bCs/>
          <w:color w:val="auto"/>
          <w:sz w:val="28"/>
          <w:szCs w:val="28"/>
        </w:rPr>
        <w:t>万元，</w:t>
      </w:r>
      <w:r>
        <w:rPr>
          <w:rFonts w:hint="eastAsia" w:ascii="仿宋" w:hAnsi="仿宋" w:eastAsia="仿宋"/>
          <w:color w:val="auto"/>
          <w:sz w:val="32"/>
          <w:szCs w:val="32"/>
          <w:highlight w:val="none"/>
        </w:rPr>
        <w:t>主要包括：办公费、印刷费、咨询费、手续费、水费、电费、邮电费、物业管理费、差旅费、维修（护）费、培训费、</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rPr>
        <w:t>、劳务费、工会经费、福利费等。</w:t>
      </w:r>
    </w:p>
    <w:p>
      <w:pPr>
        <w:keepNext w:val="0"/>
        <w:keepLines w:val="0"/>
        <w:pageBreakBefore w:val="0"/>
        <w:widowControl w:val="0"/>
        <w:numPr>
          <w:ilvl w:val="0"/>
          <w:numId w:val="3"/>
        </w:numPr>
        <w:kinsoku/>
        <w:wordWrap/>
        <w:overflowPunct/>
        <w:topLinePunct w:val="0"/>
        <w:bidi w:val="0"/>
        <w:snapToGrid w:val="0"/>
        <w:spacing w:line="540" w:lineRule="exact"/>
        <w:ind w:left="0" w:firstLine="560" w:firstLineChars="200"/>
        <w:textAlignment w:val="auto"/>
        <w:rPr>
          <w:rStyle w:val="25"/>
          <w:rFonts w:hint="eastAsia" w:ascii="黑体" w:hAnsi="黑体" w:eastAsia="黑体"/>
          <w:b w:val="0"/>
          <w:bCs/>
          <w:color w:val="000000" w:themeColor="text1"/>
          <w:sz w:val="28"/>
          <w:szCs w:val="28"/>
          <w:lang w:eastAsia="zh-CN"/>
          <w14:textFill>
            <w14:solidFill>
              <w14:schemeClr w14:val="tx1"/>
            </w14:solidFill>
          </w14:textFill>
        </w:rPr>
      </w:pPr>
      <w:bookmarkStart w:id="38" w:name="_Toc15377215"/>
      <w:bookmarkStart w:id="39" w:name="_Toc19089870"/>
      <w:r>
        <w:rPr>
          <w:rStyle w:val="25"/>
          <w:rFonts w:hint="eastAsia" w:ascii="黑体" w:hAnsi="黑体" w:eastAsia="黑体"/>
          <w:b w:val="0"/>
          <w:bCs/>
          <w:color w:val="000000" w:themeColor="text1"/>
          <w:sz w:val="28"/>
          <w:szCs w:val="28"/>
          <w14:textFill>
            <w14:solidFill>
              <w14:schemeClr w14:val="tx1"/>
            </w14:solidFill>
          </w14:textFill>
        </w:rPr>
        <w:t>财政拨款“三公”经费支出决算</w:t>
      </w:r>
      <w:bookmarkEnd w:id="38"/>
      <w:bookmarkEnd w:id="39"/>
      <w:bookmarkStart w:id="40" w:name="_Toc15377218"/>
      <w:r>
        <w:rPr>
          <w:rStyle w:val="25"/>
          <w:rFonts w:hint="eastAsia" w:ascii="黑体" w:hAnsi="黑体" w:eastAsia="黑体"/>
          <w:b w:val="0"/>
          <w:bCs/>
          <w:color w:val="000000" w:themeColor="text1"/>
          <w:sz w:val="28"/>
          <w:szCs w:val="28"/>
          <w:lang w:eastAsia="zh-CN"/>
          <w14:textFill>
            <w14:solidFill>
              <w14:schemeClr w14:val="tx1"/>
            </w14:solidFill>
          </w14:textFill>
        </w:rPr>
        <w:t>情况说明</w:t>
      </w:r>
    </w:p>
    <w:p>
      <w:pPr>
        <w:spacing w:line="600" w:lineRule="exact"/>
        <w:ind w:firstLine="640"/>
        <w:outlineLvl w:val="2"/>
        <w:rPr>
          <w:rFonts w:ascii="仿宋" w:hAnsi="仿宋" w:eastAsia="仿宋"/>
          <w:b/>
          <w:sz w:val="32"/>
          <w:szCs w:val="32"/>
        </w:rPr>
      </w:pPr>
      <w:bookmarkStart w:id="41" w:name="_Toc15377216"/>
      <w:r>
        <w:rPr>
          <w:rFonts w:hint="eastAsia" w:ascii="仿宋" w:hAnsi="仿宋" w:eastAsia="仿宋"/>
          <w:b/>
          <w:sz w:val="32"/>
          <w:szCs w:val="32"/>
        </w:rPr>
        <w:t>（一）“三公”经费财政拨款支出决算总体情况说明</w:t>
      </w:r>
      <w:bookmarkEnd w:id="41"/>
    </w:p>
    <w:p>
      <w:pPr>
        <w:keepNext w:val="0"/>
        <w:keepLines w:val="0"/>
        <w:pageBreakBefore w:val="0"/>
        <w:widowControl w:val="0"/>
        <w:kinsoku/>
        <w:wordWrap/>
        <w:overflowPunct/>
        <w:topLinePunct w:val="0"/>
        <w:bidi w:val="0"/>
        <w:snapToGrid w:val="0"/>
        <w:spacing w:line="540" w:lineRule="exact"/>
        <w:ind w:left="0" w:firstLine="640" w:firstLineChars="200"/>
        <w:textAlignment w:val="auto"/>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outlineLvl w:val="2"/>
        <w:rPr>
          <w:rFonts w:ascii="仿宋" w:hAnsi="仿宋" w:eastAsia="仿宋"/>
          <w:b/>
          <w:sz w:val="32"/>
          <w:szCs w:val="32"/>
        </w:rPr>
      </w:pPr>
      <w:bookmarkStart w:id="42" w:name="_Toc15377217"/>
      <w:r>
        <w:rPr>
          <w:rFonts w:hint="eastAsia" w:ascii="仿宋" w:hAnsi="仿宋" w:eastAsia="仿宋"/>
          <w:b/>
          <w:sz w:val="32"/>
          <w:szCs w:val="32"/>
        </w:rPr>
        <w:t>（二）“三公”经费财政拨款支出决算具体情况说明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.00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p>
    <w:p>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年度无公务用车购置及运行维护费开支。</w:t>
      </w:r>
    </w:p>
    <w:p>
      <w:pPr>
        <w:keepNext w:val="0"/>
        <w:keepLines w:val="0"/>
        <w:pageBreakBefore w:val="0"/>
        <w:widowControl w:val="0"/>
        <w:kinsoku/>
        <w:wordWrap/>
        <w:overflowPunct/>
        <w:topLinePunct w:val="0"/>
        <w:bidi w:val="0"/>
        <w:snapToGrid w:val="0"/>
        <w:spacing w:line="540" w:lineRule="exact"/>
        <w:ind w:left="0" w:firstLine="643" w:firstLineChars="200"/>
        <w:textAlignment w:val="auto"/>
        <w:rPr>
          <w:rFonts w:hint="eastAsia" w:ascii="仿宋" w:hAnsi="仿宋" w:eastAsia="仿宋"/>
          <w:sz w:val="32"/>
          <w:szCs w:val="32"/>
          <w:lang w:val="en-US"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3" w:name="_Toc19089871"/>
      <w:r>
        <w:rPr>
          <w:rFonts w:hint="eastAsia" w:ascii="黑体" w:eastAsia="黑体"/>
          <w:b w:val="0"/>
          <w:bCs/>
          <w:color w:val="000000" w:themeColor="text1"/>
          <w:sz w:val="28"/>
          <w:szCs w:val="28"/>
          <w14:textFill>
            <w14:solidFill>
              <w14:schemeClr w14:val="tx1"/>
            </w14:solidFill>
          </w14:textFill>
        </w:rPr>
        <w:t>八、</w:t>
      </w:r>
      <w:r>
        <w:rPr>
          <w:rStyle w:val="25"/>
          <w:rFonts w:hint="eastAsia" w:ascii="黑体" w:hAnsi="黑体" w:eastAsia="黑体"/>
          <w:b w:val="0"/>
          <w:bCs/>
          <w:color w:val="000000" w:themeColor="text1"/>
          <w:sz w:val="28"/>
          <w:szCs w:val="28"/>
          <w14:textFill>
            <w14:solidFill>
              <w14:schemeClr w14:val="tx1"/>
            </w14:solidFill>
          </w14:textFill>
        </w:rPr>
        <w:t>政府性基金预算支出决算情况说明</w:t>
      </w:r>
      <w:bookmarkEnd w:id="40"/>
      <w:bookmarkEnd w:id="43"/>
    </w:p>
    <w:p>
      <w:pPr>
        <w:spacing w:line="600" w:lineRule="exact"/>
        <w:ind w:firstLine="640"/>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w:t>
      </w:r>
      <w:r>
        <w:rPr>
          <w:rFonts w:hint="eastAsia" w:ascii="仿宋_GB2312" w:eastAsia="仿宋_GB2312"/>
          <w:b w:val="0"/>
          <w:bCs/>
          <w:color w:val="000000" w:themeColor="text1"/>
          <w:sz w:val="28"/>
          <w:szCs w:val="28"/>
          <w:lang w:val="en-US" w:eastAsia="zh-CN"/>
          <w14:textFill>
            <w14:solidFill>
              <w14:schemeClr w14:val="tx1"/>
            </w14:solidFill>
          </w14:textFill>
        </w:rPr>
        <w:t>22</w:t>
      </w:r>
      <w:r>
        <w:rPr>
          <w:rFonts w:hint="eastAsia" w:ascii="仿宋_GB2312" w:eastAsia="仿宋_GB2312"/>
          <w:b w:val="0"/>
          <w:bCs/>
          <w:color w:val="000000" w:themeColor="text1"/>
          <w:sz w:val="28"/>
          <w:szCs w:val="28"/>
          <w14:textFill>
            <w14:solidFill>
              <w14:schemeClr w14:val="tx1"/>
            </w14:solidFill>
          </w14:textFill>
        </w:rPr>
        <w:t>年政府性基金预算拨款支出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r>
        <w:rPr>
          <w:rFonts w:hint="eastAsia" w:ascii="仿宋_GB2312" w:eastAsia="仿宋_GB2312"/>
          <w:sz w:val="32"/>
          <w:szCs w:val="32"/>
        </w:rPr>
        <w:t>。</w:t>
      </w:r>
    </w:p>
    <w:p>
      <w:pPr>
        <w:keepNext w:val="0"/>
        <w:keepLines w:val="0"/>
        <w:pageBreakBefore w:val="0"/>
        <w:widowControl w:val="0"/>
        <w:numPr>
          <w:ilvl w:val="0"/>
          <w:numId w:val="4"/>
        </w:numPr>
        <w:kinsoku/>
        <w:wordWrap/>
        <w:overflowPunct/>
        <w:topLinePunct w:val="0"/>
        <w:bidi w:val="0"/>
        <w:snapToGrid w:val="0"/>
        <w:spacing w:line="540" w:lineRule="exact"/>
        <w:ind w:lef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4" w:name="_Toc19089872"/>
      <w:bookmarkStart w:id="45" w:name="_Toc15377219"/>
      <w:r>
        <w:rPr>
          <w:rStyle w:val="25"/>
          <w:rFonts w:hint="eastAsia" w:ascii="黑体" w:hAnsi="黑体" w:eastAsia="黑体"/>
          <w:b w:val="0"/>
          <w:bCs/>
          <w:color w:val="000000" w:themeColor="text1"/>
          <w:sz w:val="28"/>
          <w:szCs w:val="28"/>
          <w14:textFill>
            <w14:solidFill>
              <w14:schemeClr w14:val="tx1"/>
            </w14:solidFill>
          </w14:textFill>
        </w:rPr>
        <w:t>国有资本经营预算支出决算情况说明</w:t>
      </w:r>
      <w:bookmarkEnd w:id="44"/>
      <w:bookmarkEnd w:id="45"/>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w:t>
      </w:r>
      <w:r>
        <w:rPr>
          <w:rFonts w:hint="eastAsia" w:ascii="仿宋_GB2312" w:eastAsia="仿宋_GB2312"/>
          <w:b w:val="0"/>
          <w:bCs/>
          <w:color w:val="000000" w:themeColor="text1"/>
          <w:sz w:val="28"/>
          <w:szCs w:val="28"/>
          <w:lang w:val="en-US" w:eastAsia="zh-CN"/>
          <w14:textFill>
            <w14:solidFill>
              <w14:schemeClr w14:val="tx1"/>
            </w14:solidFill>
          </w14:textFill>
        </w:rPr>
        <w:t>22</w:t>
      </w:r>
      <w:r>
        <w:rPr>
          <w:rFonts w:hint="eastAsia" w:ascii="仿宋_GB2312" w:eastAsia="仿宋_GB2312"/>
          <w:b w:val="0"/>
          <w:bCs/>
          <w:color w:val="000000" w:themeColor="text1"/>
          <w:sz w:val="28"/>
          <w:szCs w:val="28"/>
          <w14:textFill>
            <w14:solidFill>
              <w14:schemeClr w14:val="tx1"/>
            </w14:solidFill>
          </w14:textFill>
        </w:rPr>
        <w:t>年国有资本经营预算拨款支出0.00万元。</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6" w:name="_Toc19089873"/>
      <w:r>
        <w:rPr>
          <w:rStyle w:val="25"/>
          <w:rFonts w:hint="eastAsia" w:ascii="黑体" w:hAnsi="黑体" w:eastAsia="黑体"/>
          <w:b w:val="0"/>
          <w:bCs/>
          <w:color w:val="auto"/>
          <w:sz w:val="28"/>
          <w:szCs w:val="28"/>
          <w:lang w:eastAsia="zh-CN"/>
        </w:rPr>
        <w:t>十、</w:t>
      </w:r>
      <w:r>
        <w:rPr>
          <w:rStyle w:val="25"/>
          <w:rFonts w:hint="eastAsia" w:ascii="黑体" w:hAnsi="黑体" w:eastAsia="黑体"/>
          <w:b w:val="0"/>
          <w:bCs/>
          <w:color w:val="000000" w:themeColor="text1"/>
          <w:sz w:val="28"/>
          <w:szCs w:val="28"/>
          <w14:textFill>
            <w14:solidFill>
              <w14:schemeClr w14:val="tx1"/>
            </w14:solidFill>
          </w14:textFill>
        </w:rPr>
        <w:t>其他重要事项的情况说明</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2"/>
        <w:rPr>
          <w:rFonts w:ascii="仿宋" w:hAnsi="仿宋" w:eastAsia="仿宋"/>
          <w:b w:val="0"/>
          <w:bCs/>
          <w:color w:val="000000" w:themeColor="text1"/>
          <w:sz w:val="28"/>
          <w:szCs w:val="28"/>
          <w14:textFill>
            <w14:solidFill>
              <w14:schemeClr w14:val="tx1"/>
            </w14:solidFill>
          </w14:textFill>
        </w:rPr>
      </w:pPr>
      <w:bookmarkStart w:id="47" w:name="_Toc15377222"/>
      <w:r>
        <w:rPr>
          <w:rFonts w:hint="eastAsia" w:ascii="仿宋" w:hAnsi="仿宋" w:eastAsia="仿宋"/>
          <w:b w:val="0"/>
          <w:bCs/>
          <w:color w:val="000000" w:themeColor="text1"/>
          <w:sz w:val="28"/>
          <w:szCs w:val="28"/>
          <w14:textFill>
            <w14:solidFill>
              <w14:schemeClr w14:val="tx1"/>
            </w14:solidFill>
          </w14:textFill>
        </w:rPr>
        <w:t>（一）机关运行经费支出情况</w:t>
      </w:r>
      <w:bookmarkEnd w:id="47"/>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hint="eastAsia" w:ascii="仿宋_GB2312" w:eastAsia="仿宋_GB2312"/>
          <w:b w:val="0"/>
          <w:bCs/>
          <w:color w:val="000000" w:themeColor="text1"/>
          <w:sz w:val="28"/>
          <w:szCs w:val="28"/>
          <w:lang w:val="en-US" w:eastAsia="zh-CN"/>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202</w:t>
      </w:r>
      <w:r>
        <w:rPr>
          <w:rFonts w:hint="eastAsia" w:ascii="仿宋_GB2312" w:eastAsia="仿宋_GB2312"/>
          <w:b w:val="0"/>
          <w:bCs/>
          <w:color w:val="000000" w:themeColor="text1"/>
          <w:sz w:val="28"/>
          <w:szCs w:val="28"/>
          <w:lang w:val="en-US" w:eastAsia="zh-CN"/>
          <w14:textFill>
            <w14:solidFill>
              <w14:schemeClr w14:val="tx1"/>
            </w14:solidFill>
          </w14:textFill>
        </w:rPr>
        <w:t>2</w:t>
      </w:r>
      <w:r>
        <w:rPr>
          <w:rFonts w:hint="eastAsia" w:ascii="仿宋_GB2312" w:eastAsia="仿宋_GB2312"/>
          <w:b w:val="0"/>
          <w:bCs/>
          <w:color w:val="000000" w:themeColor="text1"/>
          <w:sz w:val="28"/>
          <w:szCs w:val="28"/>
          <w14:textFill>
            <w14:solidFill>
              <w14:schemeClr w14:val="tx1"/>
            </w14:solidFill>
          </w14:textFill>
        </w:rPr>
        <w:t>年，机关运行经费支出</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r>
        <w:rPr>
          <w:rFonts w:hint="eastAsia" w:ascii="仿宋_GB2312" w:eastAsia="仿宋_GB2312"/>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（二）政府采购支出情况</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202</w:t>
      </w:r>
      <w:r>
        <w:rPr>
          <w:rFonts w:hint="eastAsia" w:ascii="仿宋_GB2312" w:eastAsia="仿宋_GB2312"/>
          <w:b w:val="0"/>
          <w:bCs/>
          <w:color w:val="000000" w:themeColor="text1"/>
          <w:sz w:val="28"/>
          <w:szCs w:val="28"/>
          <w:lang w:val="en-US" w:eastAsia="zh-CN"/>
          <w14:textFill>
            <w14:solidFill>
              <w14:schemeClr w14:val="tx1"/>
            </w14:solidFill>
          </w14:textFill>
        </w:rPr>
        <w:t>2</w:t>
      </w:r>
      <w:r>
        <w:rPr>
          <w:rFonts w:hint="eastAsia" w:ascii="仿宋_GB2312" w:eastAsia="仿宋_GB2312"/>
          <w:b w:val="0"/>
          <w:bCs/>
          <w:color w:val="000000" w:themeColor="text1"/>
          <w:sz w:val="28"/>
          <w:szCs w:val="28"/>
          <w14:textFill>
            <w14:solidFill>
              <w14:schemeClr w14:val="tx1"/>
            </w14:solidFill>
          </w14:textFill>
        </w:rPr>
        <w:t>年，政府采购支出总额</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p>
    <w:p>
      <w:pPr>
        <w:keepNext w:val="0"/>
        <w:keepLines w:val="0"/>
        <w:pageBreakBefore w:val="0"/>
        <w:widowControl w:val="0"/>
        <w:numPr>
          <w:ilvl w:val="0"/>
          <w:numId w:val="5"/>
        </w:numPr>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国有资产占有使用情况</w:t>
      </w:r>
    </w:p>
    <w:p>
      <w:pPr>
        <w:pStyle w:val="2"/>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color w:val="auto"/>
          <w:sz w:val="32"/>
          <w:szCs w:val="32"/>
          <w:highlight w:val="none"/>
          <w:lang w:val="en-US" w:eastAsia="zh-CN"/>
        </w:rPr>
        <w:t>0</w:t>
      </w:r>
      <w:r>
        <w:rPr>
          <w:rFonts w:hint="eastAsia" w:ascii="仿宋_GB2312" w:eastAsia="仿宋_GB2312"/>
          <w:color w:val="auto"/>
          <w:sz w:val="32"/>
          <w:szCs w:val="32"/>
          <w:highlight w:val="none"/>
        </w:rPr>
        <w:t>台（套）。</w:t>
      </w:r>
    </w:p>
    <w:p>
      <w:pPr>
        <w:pStyle w:val="2"/>
        <w:ind w:firstLine="643" w:firstLineChars="200"/>
        <w:rPr>
          <w:rFonts w:ascii="仿宋" w:hAnsi="仿宋" w:eastAsia="仿宋"/>
          <w:b w:val="0"/>
          <w:bCs/>
          <w:color w:val="0000FF"/>
          <w:sz w:val="28"/>
          <w:szCs w:val="28"/>
        </w:rPr>
      </w:pPr>
      <w:r>
        <w:rPr>
          <w:rFonts w:hint="eastAsia" w:ascii="仿宋" w:hAnsi="仿宋" w:eastAsia="仿宋"/>
          <w:b/>
          <w:color w:val="auto"/>
          <w:sz w:val="32"/>
          <w:szCs w:val="32"/>
          <w:highlight w:val="none"/>
          <w:lang w:eastAsia="zh-CN"/>
        </w:rPr>
        <w:t>（四）</w:t>
      </w:r>
      <w:r>
        <w:rPr>
          <w:rFonts w:hint="eastAsia" w:ascii="仿宋" w:hAnsi="仿宋" w:eastAsia="仿宋"/>
          <w:b/>
          <w:color w:val="auto"/>
          <w:sz w:val="32"/>
          <w:szCs w:val="32"/>
          <w:highlight w:val="none"/>
        </w:rPr>
        <w:t>预算绩效管理情况。</w:t>
      </w:r>
    </w:p>
    <w:p>
      <w:pPr>
        <w:pStyle w:val="2"/>
        <w:numPr>
          <w:ilvl w:val="0"/>
          <w:numId w:val="0"/>
        </w:numPr>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lang w:eastAsia="zh-CN"/>
        </w:rPr>
        <w:t>根据预算绩效管理要求，本部门在</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lang w:eastAsia="zh-CN"/>
        </w:rPr>
        <w:t>预算编制阶段，组织对免作业本费项目等</w:t>
      </w:r>
      <w:r>
        <w:rPr>
          <w:rFonts w:hint="eastAsia" w:ascii="仿宋_GB2312" w:hAnsi="仿宋_GB2312" w:eastAsia="仿宋_GB2312" w:cs="仿宋_GB2312"/>
          <w:color w:val="auto"/>
          <w:sz w:val="32"/>
          <w:szCs w:val="32"/>
          <w:highlight w:val="none"/>
          <w:lang w:val="en-US" w:eastAsia="zh-CN"/>
        </w:rPr>
        <w:t>24个项目</w:t>
      </w:r>
      <w:r>
        <w:rPr>
          <w:rFonts w:hint="eastAsia" w:ascii="仿宋_GB2312" w:hAnsi="仿宋_GB2312" w:eastAsia="仿宋_GB2312" w:cs="仿宋_GB2312"/>
          <w:color w:val="auto"/>
          <w:sz w:val="32"/>
          <w:szCs w:val="32"/>
          <w:highlight w:val="none"/>
          <w:lang w:eastAsia="zh-CN"/>
        </w:rPr>
        <w:t>开展了预算事前绩效评估，对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个项目编制了绩效目标，预算执行过程中，选取</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eastAsia="zh-CN"/>
        </w:rPr>
        <w:t>个项目开展绩效监控，年终执行完毕后，对</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eastAsia="zh-CN"/>
        </w:rPr>
        <w:t>个项目开展了绩效自评。同时，本部门对20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eastAsia="zh-CN"/>
        </w:rPr>
        <w:t>年部门整体开展绩效自评，《202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年广元市利州区七一宝轮小学</w:t>
      </w:r>
      <w:r>
        <w:rPr>
          <w:rFonts w:hint="eastAsia" w:ascii="仿宋_GB2312" w:hAnsi="仿宋_GB2312" w:eastAsia="仿宋_GB2312" w:cs="仿宋_GB2312"/>
          <w:color w:val="auto"/>
          <w:sz w:val="32"/>
          <w:szCs w:val="32"/>
          <w:highlight w:val="none"/>
        </w:rPr>
        <w:t>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bookmarkEnd w:id="46"/>
      <w:r>
        <w:rPr>
          <w:rFonts w:ascii="仿宋_GB2312" w:eastAsia="仿宋_GB2312"/>
          <w:b/>
          <w:color w:val="auto"/>
          <w:sz w:val="32"/>
          <w:szCs w:val="32"/>
          <w:highlight w:val="none"/>
        </w:rPr>
        <w:br w:type="page"/>
      </w:r>
    </w:p>
    <w:p>
      <w:pPr>
        <w:numPr>
          <w:ilvl w:val="0"/>
          <w:numId w:val="6"/>
        </w:numPr>
        <w:spacing w:line="600" w:lineRule="exact"/>
        <w:ind w:left="0" w:leftChars="0" w:firstLine="0" w:firstLineChars="0"/>
        <w:jc w:val="center"/>
        <w:outlineLvl w:val="0"/>
        <w:rPr>
          <w:rStyle w:val="24"/>
          <w:rFonts w:hint="eastAsia" w:ascii="方正小标宋简体" w:hAnsi="方正小标宋简体" w:eastAsia="方正小标宋简体" w:cs="方正小标宋简体"/>
          <w:b w:val="0"/>
        </w:rPr>
      </w:pPr>
      <w:bookmarkStart w:id="48" w:name="_Toc15396613"/>
      <w:bookmarkStart w:id="49" w:name="_Toc19089876"/>
      <w:bookmarkStart w:id="50" w:name="_Toc15377226"/>
      <w:r>
        <w:rPr>
          <w:rFonts w:hint="eastAsia" w:ascii="方正小标宋简体" w:hAnsi="方正小标宋简体" w:eastAsia="方正小标宋简体" w:cs="方正小标宋简体"/>
          <w:color w:val="000000"/>
          <w:sz w:val="44"/>
          <w:szCs w:val="44"/>
        </w:rPr>
        <w:t>名</w:t>
      </w:r>
      <w:r>
        <w:rPr>
          <w:rStyle w:val="24"/>
          <w:rFonts w:hint="eastAsia" w:ascii="方正小标宋简体" w:hAnsi="方正小标宋简体" w:eastAsia="方正小标宋简体" w:cs="方正小标宋简体"/>
          <w:b w:val="0"/>
        </w:rPr>
        <w:t>词解释</w:t>
      </w:r>
      <w:bookmarkEnd w:id="48"/>
    </w:p>
    <w:p>
      <w:pPr>
        <w:spacing w:line="600" w:lineRule="exact"/>
        <w:jc w:val="left"/>
        <w:rPr>
          <w:rFonts w:ascii="宋体"/>
          <w:b/>
          <w:color w:val="000000"/>
          <w:sz w:val="44"/>
          <w:szCs w:val="44"/>
        </w:rPr>
      </w:pP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2.事业收入：指事业单位开展专业业务活动及辅助活动取得的收入。</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.其他收入：指单位取得的除上述收入以外的各项收入。</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.教育支出（类）教育管理事务（款）行政运行（项）:反映教育行政单位（包括实行公务员管理的事业单位）的基本支出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 教育支出（类）教育管理事务（款）一般行政管理事务（项）:反映行政单位（包括实行公务员管理的事业单位）未单独设置项级科目的其它项目支出。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 教育支出（类）教育管理事务（款）其它教育管理事务支出（项）:反映除上述项目以外其它用户教育管理事务方面的支出。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 教育支出（类）普通教育（款）学前教育（项）:反映各部门举办的学前教育支出。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 教育支出（类）特殊教育（款）工读学校教育（项）:指各部门举办的工读学校的支出。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 教育支出（类）教育附加费安排的支出（款）农村中小学校舍建设（项）:反映教育附加费安排用于农村中小学校舍新建、改建、修缮和维护的支出。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教育支出（类）教育附加费安排的支出（款）其它教育附加费安排的支出（项）: 指除上述项目以外的教育附加费支出。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教育支出（类）其它教育支出（款）其他教育支出（项）: 指上述项目以外其他用于教育方面的支出。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 其他支出（类）其他支出（款）其他支出（项）: 指上述项目以外其他不能划分到具体功能科目中的支出项目。</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 基本支出：指为保障机构正常运转、完成日常工作任务而发生的人员支出和公用支出。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 xml:space="preserve">. 项目支出：指在基本支出之外为完成特定行政任务和事业发展目标所发生的支出。 </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rPr>
          <w:rFonts w:hint="eastAsia" w:ascii="黑体" w:hAnsi="黑体" w:eastAsia="黑体"/>
          <w:color w:val="auto"/>
          <w:sz w:val="44"/>
          <w:szCs w:val="44"/>
        </w:rPr>
      </w:pPr>
    </w:p>
    <w:p>
      <w:pPr>
        <w:spacing w:line="600" w:lineRule="exact"/>
        <w:jc w:val="center"/>
        <w:outlineLvl w:val="0"/>
        <w:rPr>
          <w:rStyle w:val="24"/>
          <w:rFonts w:hint="eastAsia" w:ascii="方正小标宋简体" w:hAnsi="方正小标宋简体" w:eastAsia="方正小标宋简体" w:cs="方正小标宋简体"/>
          <w:b w:val="0"/>
          <w:color w:val="auto"/>
        </w:rPr>
      </w:pPr>
      <w:r>
        <w:rPr>
          <w:rFonts w:hint="eastAsia" w:ascii="方正小标宋简体" w:hAnsi="方正小标宋简体" w:eastAsia="方正小标宋简体" w:cs="方正小标宋简体"/>
          <w:color w:val="auto"/>
          <w:sz w:val="44"/>
          <w:szCs w:val="44"/>
        </w:rPr>
        <w:t>第</w:t>
      </w:r>
      <w:r>
        <w:rPr>
          <w:rStyle w:val="24"/>
          <w:rFonts w:hint="eastAsia" w:ascii="方正小标宋简体" w:hAnsi="方正小标宋简体" w:eastAsia="方正小标宋简体" w:cs="方正小标宋简体"/>
          <w:b w:val="0"/>
          <w:color w:val="auto"/>
        </w:rPr>
        <w:t>四部分 附件</w:t>
      </w:r>
      <w:bookmarkEnd w:id="49"/>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bookmarkStart w:id="51" w:name="_Toc19089878"/>
      <w:bookmarkStart w:id="52" w:name="_Toc15396616"/>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cs="宋体"/>
          <w:color w:val="auto"/>
          <w:kern w:val="0"/>
          <w:sz w:val="32"/>
          <w:szCs w:val="32"/>
          <w:highlight w:val="none"/>
          <w:lang w:val="en-US" w:eastAsia="zh-CN" w:bidi="ar-SA"/>
        </w:rPr>
        <w:t>详见</w:t>
      </w:r>
      <w:r>
        <w:rPr>
          <w:rFonts w:hint="eastAsia" w:ascii="宋体" w:hAnsi="宋体" w:eastAsia="宋体" w:cs="宋体"/>
          <w:color w:val="auto"/>
          <w:kern w:val="0"/>
          <w:sz w:val="32"/>
          <w:szCs w:val="32"/>
          <w:highlight w:val="none"/>
          <w:lang w:val="en-US" w:eastAsia="zh-CN" w:bidi="ar-SA"/>
        </w:rPr>
        <w:t>部门</w:t>
      </w:r>
      <w:r>
        <w:rPr>
          <w:rFonts w:hint="eastAsia" w:ascii="宋体" w:hAnsi="宋体" w:cs="宋体"/>
          <w:color w:val="auto"/>
          <w:kern w:val="0"/>
          <w:sz w:val="32"/>
          <w:szCs w:val="32"/>
          <w:highlight w:val="none"/>
          <w:lang w:val="en-US" w:eastAsia="zh-CN" w:bidi="ar-SA"/>
        </w:rPr>
        <w:t>预算</w:t>
      </w:r>
      <w:r>
        <w:rPr>
          <w:rFonts w:hint="eastAsia" w:ascii="宋体" w:hAnsi="宋体" w:eastAsia="宋体" w:cs="宋体"/>
          <w:color w:val="auto"/>
          <w:kern w:val="0"/>
          <w:sz w:val="32"/>
          <w:szCs w:val="32"/>
          <w:highlight w:val="none"/>
          <w:lang w:val="en-US" w:eastAsia="zh-CN" w:bidi="ar-SA"/>
        </w:rPr>
        <w:t>项目支出绩效目标表（2022年度）</w:t>
      </w:r>
    </w:p>
    <w:p>
      <w:pPr>
        <w:spacing w:line="600" w:lineRule="exact"/>
        <w:jc w:val="center"/>
        <w:rPr>
          <w:rFonts w:hint="eastAsia" w:ascii="黑体" w:hAnsi="黑体" w:eastAsia="黑体" w:cs="黑体"/>
          <w:color w:val="000000"/>
          <w:kern w:val="0"/>
          <w:sz w:val="40"/>
          <w:szCs w:val="40"/>
        </w:rPr>
      </w:pPr>
    </w:p>
    <w:bookmarkEnd w:id="51"/>
    <w:bookmarkEnd w:id="52"/>
    <w:p>
      <w:pPr>
        <w:spacing w:line="600" w:lineRule="exact"/>
        <w:jc w:val="center"/>
        <w:outlineLvl w:val="0"/>
        <w:rPr>
          <w:rFonts w:hint="eastAsia" w:ascii="方正小标宋简体" w:hAnsi="方正小标宋简体" w:eastAsia="方正小标宋简体" w:cs="方正小标宋简体"/>
          <w:color w:val="auto"/>
          <w:sz w:val="44"/>
          <w:szCs w:val="44"/>
        </w:rPr>
      </w:pPr>
      <w:bookmarkStart w:id="53" w:name="_Toc19089885"/>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Fonts w:hint="eastAsia" w:ascii="方正小标宋简体" w:hAnsi="方正小标宋简体" w:eastAsia="方正小标宋简体" w:cs="方正小标宋简体"/>
          <w:color w:val="auto"/>
          <w:sz w:val="44"/>
          <w:szCs w:val="44"/>
        </w:rPr>
      </w:pPr>
    </w:p>
    <w:p>
      <w:pPr>
        <w:spacing w:line="600" w:lineRule="exact"/>
        <w:jc w:val="center"/>
        <w:outlineLvl w:val="0"/>
        <w:rPr>
          <w:rStyle w:val="24"/>
          <w:rFonts w:hint="eastAsia" w:ascii="方正小标宋简体" w:hAnsi="方正小标宋简体" w:eastAsia="方正小标宋简体" w:cs="方正小标宋简体"/>
          <w:b w:val="0"/>
          <w:color w:val="auto"/>
        </w:rPr>
      </w:pPr>
      <w:r>
        <w:rPr>
          <w:rFonts w:hint="eastAsia" w:ascii="方正小标宋简体" w:hAnsi="方正小标宋简体" w:eastAsia="方正小标宋简体" w:cs="方正小标宋简体"/>
          <w:color w:val="auto"/>
          <w:sz w:val="44"/>
          <w:szCs w:val="44"/>
        </w:rPr>
        <w:t>第</w:t>
      </w:r>
      <w:r>
        <w:rPr>
          <w:rStyle w:val="24"/>
          <w:rFonts w:hint="eastAsia" w:ascii="方正小标宋简体" w:hAnsi="方正小标宋简体" w:eastAsia="方正小标宋简体" w:cs="方正小标宋简体"/>
          <w:b w:val="0"/>
          <w:color w:val="auto"/>
        </w:rPr>
        <w:t>五部分 附表</w:t>
      </w:r>
      <w:bookmarkEnd w:id="50"/>
      <w:bookmarkEnd w:id="53"/>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4" w:name="_Toc19089886"/>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一、收入支出决算总表</w:t>
      </w:r>
      <w:bookmarkEnd w:id="54"/>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5" w:name="_Toc19089887"/>
      <w:r>
        <w:rPr>
          <w:rFonts w:hint="eastAsia" w:ascii="仿宋_GB2312" w:hAnsi="仿宋_GB2312" w:eastAsia="仿宋_GB2312" w:cs="仿宋_GB2312"/>
          <w:b w:val="0"/>
          <w:bCs w:val="0"/>
          <w:color w:val="auto"/>
          <w:kern w:val="2"/>
          <w:sz w:val="28"/>
          <w:szCs w:val="28"/>
          <w:highlight w:val="none"/>
          <w:lang w:val="en-US" w:eastAsia="zh-CN" w:bidi="ar-SA"/>
        </w:rPr>
        <w:t>二、收入总表</w:t>
      </w:r>
      <w:bookmarkEnd w:id="55"/>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6" w:name="_Toc19089888"/>
      <w:r>
        <w:rPr>
          <w:rFonts w:hint="eastAsia" w:ascii="仿宋_GB2312" w:hAnsi="仿宋_GB2312" w:eastAsia="仿宋_GB2312" w:cs="仿宋_GB2312"/>
          <w:b w:val="0"/>
          <w:bCs w:val="0"/>
          <w:color w:val="auto"/>
          <w:kern w:val="2"/>
          <w:sz w:val="28"/>
          <w:szCs w:val="28"/>
          <w:highlight w:val="none"/>
          <w:lang w:val="en-US" w:eastAsia="zh-CN" w:bidi="ar-SA"/>
        </w:rPr>
        <w:t>三、支出总表</w:t>
      </w:r>
      <w:bookmarkEnd w:id="56"/>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7" w:name="_Toc19089889"/>
      <w:r>
        <w:rPr>
          <w:rFonts w:hint="eastAsia" w:ascii="仿宋_GB2312" w:hAnsi="仿宋_GB2312" w:eastAsia="仿宋_GB2312" w:cs="仿宋_GB2312"/>
          <w:b w:val="0"/>
          <w:bCs w:val="0"/>
          <w:color w:val="auto"/>
          <w:kern w:val="2"/>
          <w:sz w:val="28"/>
          <w:szCs w:val="28"/>
          <w:highlight w:val="none"/>
          <w:lang w:val="en-US" w:eastAsia="zh-CN" w:bidi="ar-SA"/>
        </w:rPr>
        <w:t>四、财政拨款收入支出决算总表</w:t>
      </w:r>
      <w:bookmarkEnd w:id="57"/>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8" w:name="_Toc19089890"/>
      <w:r>
        <w:rPr>
          <w:rFonts w:hint="eastAsia" w:ascii="仿宋_GB2312" w:hAnsi="仿宋_GB2312" w:eastAsia="仿宋_GB2312" w:cs="仿宋_GB2312"/>
          <w:b w:val="0"/>
          <w:bCs w:val="0"/>
          <w:color w:val="auto"/>
          <w:kern w:val="2"/>
          <w:sz w:val="28"/>
          <w:szCs w:val="28"/>
          <w:highlight w:val="none"/>
          <w:lang w:val="en-US" w:eastAsia="zh-CN" w:bidi="ar-SA"/>
        </w:rPr>
        <w:t>五、财政拨款支出决算明细表（政府经济分类科目）</w:t>
      </w:r>
      <w:bookmarkEnd w:id="58"/>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9" w:name="_Toc19089891"/>
      <w:r>
        <w:rPr>
          <w:rFonts w:hint="eastAsia" w:ascii="仿宋_GB2312" w:hAnsi="仿宋_GB2312" w:eastAsia="仿宋_GB2312" w:cs="仿宋_GB2312"/>
          <w:b w:val="0"/>
          <w:bCs w:val="0"/>
          <w:color w:val="auto"/>
          <w:kern w:val="2"/>
          <w:sz w:val="28"/>
          <w:szCs w:val="28"/>
          <w:highlight w:val="none"/>
          <w:lang w:val="en-US" w:eastAsia="zh-CN" w:bidi="ar-SA"/>
        </w:rPr>
        <w:t>六、一般公共预算财政拨款支出决算表</w:t>
      </w:r>
      <w:bookmarkEnd w:id="59"/>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0" w:name="_Toc19089892"/>
      <w:r>
        <w:rPr>
          <w:rFonts w:hint="eastAsia" w:ascii="仿宋_GB2312" w:hAnsi="仿宋_GB2312" w:eastAsia="仿宋_GB2312" w:cs="仿宋_GB2312"/>
          <w:b w:val="0"/>
          <w:bCs w:val="0"/>
          <w:color w:val="auto"/>
          <w:kern w:val="2"/>
          <w:sz w:val="28"/>
          <w:szCs w:val="28"/>
          <w:highlight w:val="none"/>
          <w:lang w:val="en-US" w:eastAsia="zh-CN" w:bidi="ar-SA"/>
        </w:rPr>
        <w:t>七、一般公共预算财政拨款支出决算明细表</w:t>
      </w:r>
      <w:bookmarkEnd w:id="60"/>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1" w:name="_Toc19089893"/>
      <w:r>
        <w:rPr>
          <w:rFonts w:hint="eastAsia" w:ascii="仿宋_GB2312" w:hAnsi="仿宋_GB2312" w:eastAsia="仿宋_GB2312" w:cs="仿宋_GB2312"/>
          <w:b w:val="0"/>
          <w:bCs w:val="0"/>
          <w:color w:val="auto"/>
          <w:kern w:val="2"/>
          <w:sz w:val="28"/>
          <w:szCs w:val="28"/>
          <w:highlight w:val="none"/>
          <w:lang w:val="en-US" w:eastAsia="zh-CN" w:bidi="ar-SA"/>
        </w:rPr>
        <w:t>八、一般公共预算财政拨款基本支出决算表</w:t>
      </w:r>
      <w:bookmarkEnd w:id="61"/>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2" w:name="_Toc19089894"/>
      <w:r>
        <w:rPr>
          <w:rFonts w:hint="eastAsia" w:ascii="仿宋_GB2312" w:hAnsi="仿宋_GB2312" w:eastAsia="仿宋_GB2312" w:cs="仿宋_GB2312"/>
          <w:b w:val="0"/>
          <w:bCs w:val="0"/>
          <w:color w:val="auto"/>
          <w:kern w:val="2"/>
          <w:sz w:val="28"/>
          <w:szCs w:val="28"/>
          <w:highlight w:val="none"/>
          <w:lang w:val="en-US" w:eastAsia="zh-CN" w:bidi="ar-SA"/>
        </w:rPr>
        <w:t>九、一般公共预算财政拨款项目支出决算表</w:t>
      </w:r>
      <w:bookmarkEnd w:id="62"/>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3" w:name="_Toc19089895"/>
      <w:r>
        <w:rPr>
          <w:rFonts w:hint="eastAsia" w:ascii="仿宋_GB2312" w:hAnsi="仿宋_GB2312" w:eastAsia="仿宋_GB2312" w:cs="仿宋_GB2312"/>
          <w:b w:val="0"/>
          <w:bCs w:val="0"/>
          <w:color w:val="auto"/>
          <w:kern w:val="2"/>
          <w:sz w:val="28"/>
          <w:szCs w:val="28"/>
          <w:highlight w:val="none"/>
          <w:lang w:val="en-US" w:eastAsia="zh-CN" w:bidi="ar-SA"/>
        </w:rPr>
        <w:t>十、一般公共预算财政拨款“三公”经费支出决算表</w:t>
      </w:r>
      <w:bookmarkEnd w:id="63"/>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4" w:name="_Toc19089896"/>
      <w:r>
        <w:rPr>
          <w:rFonts w:hint="eastAsia" w:ascii="仿宋_GB2312" w:hAnsi="仿宋_GB2312" w:eastAsia="仿宋_GB2312" w:cs="仿宋_GB2312"/>
          <w:b w:val="0"/>
          <w:bCs w:val="0"/>
          <w:color w:val="auto"/>
          <w:kern w:val="2"/>
          <w:sz w:val="28"/>
          <w:szCs w:val="28"/>
          <w:highlight w:val="none"/>
          <w:lang w:val="en-US" w:eastAsia="zh-CN" w:bidi="ar-SA"/>
        </w:rPr>
        <w:t>十一、政府性基金预算财政拨款收入支出决算表</w:t>
      </w:r>
      <w:bookmarkEnd w:id="64"/>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5" w:name="_Toc19089897"/>
      <w:r>
        <w:rPr>
          <w:rFonts w:hint="eastAsia" w:ascii="仿宋_GB2312" w:hAnsi="仿宋_GB2312" w:eastAsia="仿宋_GB2312" w:cs="仿宋_GB2312"/>
          <w:b w:val="0"/>
          <w:bCs w:val="0"/>
          <w:color w:val="auto"/>
          <w:kern w:val="2"/>
          <w:sz w:val="28"/>
          <w:szCs w:val="28"/>
          <w:highlight w:val="none"/>
          <w:lang w:val="en-US" w:eastAsia="zh-CN" w:bidi="ar-SA"/>
        </w:rPr>
        <w:t>十二、政府性基金预算财政拨款“三公”经费支出决算表</w:t>
      </w:r>
      <w:bookmarkEnd w:id="65"/>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6" w:name="_Toc19089898"/>
      <w:r>
        <w:rPr>
          <w:rFonts w:hint="eastAsia" w:ascii="仿宋_GB2312" w:hAnsi="仿宋_GB2312" w:eastAsia="仿宋_GB2312" w:cs="仿宋_GB2312"/>
          <w:b w:val="0"/>
          <w:bCs w:val="0"/>
          <w:color w:val="auto"/>
          <w:kern w:val="2"/>
          <w:sz w:val="28"/>
          <w:szCs w:val="28"/>
          <w:highlight w:val="none"/>
          <w:lang w:val="en-US" w:eastAsia="zh-CN" w:bidi="ar-SA"/>
        </w:rPr>
        <w:t>十三、国有资本经营预算支出决算表</w:t>
      </w:r>
      <w:bookmarkEnd w:id="66"/>
    </w:p>
    <w:p>
      <w:pPr>
        <w:ind w:left="0" w:leftChars="0" w:firstLine="638" w:firstLineChars="228"/>
        <w:jc w:val="left"/>
        <w:rPr>
          <w:rFonts w:hint="eastAsia"/>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（详见2022年部门决算报表）</w:t>
      </w:r>
    </w:p>
    <w:p>
      <w:pPr>
        <w:pStyle w:val="4"/>
        <w:rPr>
          <w:rFonts w:hint="eastAsia" w:eastAsia="仿宋"/>
          <w:color w:val="auto"/>
          <w:highlight w:val="none"/>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4C96E48F"/>
    <w:multiLevelType w:val="singleLevel"/>
    <w:tmpl w:val="4C96E48F"/>
    <w:lvl w:ilvl="0" w:tentative="0">
      <w:start w:val="3"/>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2U2YmU0MmY3YmU1OWFkYTNkODE0NjcwNWY1Mz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65119AD"/>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4E22174"/>
    <w:rsid w:val="383D272C"/>
    <w:rsid w:val="39AE70AB"/>
    <w:rsid w:val="3B173F5F"/>
    <w:rsid w:val="3C0C0783"/>
    <w:rsid w:val="3F4900B0"/>
    <w:rsid w:val="3F9F3A96"/>
    <w:rsid w:val="48BF60AB"/>
    <w:rsid w:val="493C27E9"/>
    <w:rsid w:val="496F39ED"/>
    <w:rsid w:val="49FF41D3"/>
    <w:rsid w:val="4BE068DB"/>
    <w:rsid w:val="4BF6002B"/>
    <w:rsid w:val="4ECE2238"/>
    <w:rsid w:val="51DB4B86"/>
    <w:rsid w:val="543C3030"/>
    <w:rsid w:val="55333C3E"/>
    <w:rsid w:val="64CA39A1"/>
    <w:rsid w:val="69630ADE"/>
    <w:rsid w:val="6C4A05C8"/>
    <w:rsid w:val="6D3B1A89"/>
    <w:rsid w:val="71BF4EC2"/>
    <w:rsid w:val="72734D90"/>
    <w:rsid w:val="7412278C"/>
    <w:rsid w:val="79E7B28D"/>
    <w:rsid w:val="7F192494"/>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2376.26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2365.13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2376.26</c:v>
                </c:pt>
                <c:pt idx="1">
                  <c:v>2365.13</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915012406947891"/>
          <c:y val="0.0671717171717172"/>
          <c:w val="0.0571960297766749"/>
          <c:h val="0.829797979797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spPr/>
          <c:explosion val="0"/>
          <c:dPt>
            <c:idx val="0"/>
            <c:bubble3D val="0"/>
            <c:spPr>
              <a:solidFill>
                <a:schemeClr val="accent1"/>
              </a:solidFill>
              <a:ln>
                <a:noFill/>
              </a:ln>
              <a:effectLst/>
            </c:spPr>
          </c:dPt>
          <c:dPt>
            <c:idx val="1"/>
            <c:bubble3D val="0"/>
            <c:spPr>
              <a:solidFill>
                <a:schemeClr val="accent3"/>
              </a:solidFill>
              <a:ln>
                <a:noFill/>
              </a:ln>
              <a:effectLst/>
            </c:spPr>
          </c:dPt>
          <c:dLbls>
            <c:dLbl>
              <c:idx val="0"/>
              <c:layout>
                <c:manualLayout>
                  <c:x val="0.178667797182626"/>
                  <c:y val="-0.1710816777041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altLang="en-US"/>
                      <a:t>一般公共预算财政拨款收入</a:t>
                    </a:r>
                    <a:r>
                      <a:rPr lang="en-US" altLang="zh-CN"/>
                      <a:t>2282.23</a:t>
                    </a:r>
                    <a:r>
                      <a:rPr altLang="en-US"/>
                      <a:t>万元，占比</a:t>
                    </a:r>
                    <a:r>
                      <a:rPr lang="en-US" altLang="zh-CN"/>
                      <a:t>99.97%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201160558945801"/>
                  <c:y val="0.01927750773087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altLang="en-US"/>
                      <a:t>其他收入</a:t>
                    </a:r>
                    <a:r>
                      <a:rPr lang="en-US" altLang="zh-CN"/>
                      <a:t>0.63</a:t>
                    </a:r>
                    <a:r>
                      <a:rPr altLang="en-US"/>
                      <a:t>万元，占比</a:t>
                    </a:r>
                    <a:r>
                      <a:rPr lang="en-US" altLang="zh-CN"/>
                      <a:t>0.03%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一般公共预算财政拨款收入</c:v>
                </c:pt>
                <c:pt idx="1">
                  <c:v>其它收入</c:v>
                </c:pt>
              </c:strCache>
            </c:strRef>
          </c:cat>
          <c:val>
            <c:numRef>
              <c:f>Sheet1!$B$2:$B$3</c:f>
              <c:numCache>
                <c:formatCode>General</c:formatCode>
                <c:ptCount val="2"/>
                <c:pt idx="0">
                  <c:v>2376.26</c:v>
                </c:pt>
                <c:pt idx="1">
                  <c:v>1.04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0671803515531"/>
          <c:y val="0.0590116153196646"/>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208949461861863"/>
                  <c:y val="-0.17795359460488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a:t>
                    </a:r>
                    <a:r>
                      <a:rPr lang="en-US" altLang="zh-CN"/>
                      <a:t>2112.48</a:t>
                    </a:r>
                    <a:endParaRPr lang="en-US" altLang="zh-CN"/>
                  </a:p>
                  <a:p>
                    <a:pPr defTabSz="914400">
                      <a:defRPr lang="zh-CN" sz="1000" b="0" i="0" u="none" strike="noStrike" kern="1200" baseline="0">
                        <a:solidFill>
                          <a:schemeClr val="tx1"/>
                        </a:solidFill>
                        <a:latin typeface="+mn-lt"/>
                        <a:ea typeface="+mn-ea"/>
                        <a:cs typeface="+mn-cs"/>
                      </a:defRPr>
                    </a:pPr>
                    <a:r>
                      <a:rPr lang="en-US" altLang="zh-CN"/>
                      <a:t>89.32</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953252077998639"/>
                  <c:y val="0.039830143013750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a:t>
                    </a:r>
                    <a:r>
                      <a:rPr lang="en-US" altLang="zh-CN"/>
                      <a:t>252.65</a:t>
                    </a:r>
                    <a:endParaRPr lang="en-US" altLang="zh-CN"/>
                  </a:p>
                  <a:p>
                    <a:pPr defTabSz="914400">
                      <a:defRPr lang="zh-CN" sz="1000" b="0" i="0" u="none" strike="noStrike" kern="1200" baseline="0">
                        <a:solidFill>
                          <a:schemeClr val="tx1"/>
                        </a:solidFill>
                        <a:latin typeface="+mn-lt"/>
                        <a:ea typeface="+mn-ea"/>
                        <a:cs typeface="+mn-cs"/>
                      </a:defRPr>
                    </a:pPr>
                    <a:r>
                      <a:rPr lang="en-US" altLang="zh-CN"/>
                      <a:t>10.68</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2112.48</c:v>
                </c:pt>
                <c:pt idx="1">
                  <c:v>252.65</c:v>
                </c:pt>
              </c:numCache>
            </c:numRef>
          </c:val>
        </c:ser>
        <c:ser>
          <c:idx val="1"/>
          <c:order val="1"/>
          <c:tx>
            <c:strRef>
              <c:f>Sheet1!$C$1</c:f>
              <c:strCache>
                <c:ptCount val="1"/>
                <c:pt idx="0">
                  <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2376.26</c:v>
                </c:pt>
                <c:pt idx="1">
                  <c:v>2364.5</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108347660898654"/>
          <c:y val="0.0444422124977909"/>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 2293.46万元</a:t>
                    </a:r>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 2364.5万元</a:t>
                    </a:r>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2021年</c:v>
                </c:pt>
                <c:pt idx="1">
                  <c:v>2022年</c:v>
                </c:pt>
              </c:strCache>
            </c:strRef>
          </c:cat>
          <c:val>
            <c:numRef>
              <c:f>Sheet1!$B$2:$B$3</c:f>
              <c:numCache>
                <c:formatCode>General</c:formatCode>
                <c:ptCount val="2"/>
                <c:pt idx="0">
                  <c:v>2293.46</c:v>
                </c:pt>
                <c:pt idx="1">
                  <c:v>2364.5</c:v>
                </c:pt>
              </c:numCache>
            </c:numRef>
          </c:val>
        </c:ser>
        <c:dLbls>
          <c:showLegendKey val="0"/>
          <c:showVal val="0"/>
          <c:showCatName val="0"/>
          <c:showSerName val="0"/>
          <c:showPercent val="0"/>
          <c:showBubbleSize val="0"/>
        </c:dLbls>
        <c:gapWidth val="150"/>
        <c:axId val="534898928"/>
        <c:axId val="534899320"/>
      </c:barChart>
      <c:catAx>
        <c:axId val="53489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9320"/>
        <c:crosses val="autoZero"/>
        <c:auto val="1"/>
        <c:lblAlgn val="ctr"/>
        <c:lblOffset val="100"/>
        <c:noMultiLvlLbl val="0"/>
      </c:catAx>
      <c:valAx>
        <c:axId val="534899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9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6913123844732"/>
          <c:y val="0.0434167360592661"/>
        </c:manualLayout>
      </c:layout>
      <c:overlay val="0"/>
      <c:txPr>
        <a:bodyPr rot="0" spcFirstLastPara="0" vertOverflow="ellipsis" vert="horz" wrap="square" anchor="ctr" anchorCtr="1"/>
        <a:lstStyle/>
        <a:p>
          <a:pPr>
            <a:defRPr lang="zh-CN" sz="144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Lbls>
            <c:dLbl>
              <c:idx val="0"/>
              <c:delete val="1"/>
            </c:dLbl>
            <c:dLbl>
              <c:idx val="1"/>
              <c:layout>
                <c:manualLayout>
                  <c:x val="0.0102818853974123"/>
                  <c:y val="-0.217978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2167.7</c:v>
                </c:pt>
                <c:pt idx="1">
                  <c:v>27.99</c:v>
                </c:pt>
                <c:pt idx="2">
                  <c:v>69.8</c:v>
                </c:pt>
                <c:pt idx="3">
                  <c:v>99.01</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Entry>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1200"/>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32</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心静</cp:lastModifiedBy>
  <cp:lastPrinted>2023-07-31T02:35:00Z</cp:lastPrinted>
  <dcterms:modified xsi:type="dcterms:W3CDTF">2023-10-14T01:59:07Z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B332C4CAC1CD4AD6B660F4D6DACD57D0_13</vt:lpwstr>
  </property>
</Properties>
</file>