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193"/>
      <w:bookmarkStart w:id="1" w:name="_Toc15396597"/>
      <w:bookmarkStart w:id="2" w:name="_Toc15396475"/>
      <w:bookmarkStart w:id="3" w:name="_Toc15377425"/>
      <w:bookmarkStart w:id="4" w:name="_Toc15378441"/>
      <w:bookmarkStart w:id="5"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77426"/>
      <w:bookmarkStart w:id="7" w:name="_Toc15396598"/>
      <w:bookmarkStart w:id="8" w:name="_Toc15378442"/>
      <w:bookmarkStart w:id="9" w:name="_Toc15377194"/>
      <w:bookmarkStart w:id="10" w:name="_Toc15306268"/>
      <w:bookmarkStart w:id="11" w:name="_Toc15396476"/>
      <w:r>
        <w:rPr>
          <w:rFonts w:hint="eastAsia" w:ascii="方正小标宋简体" w:hAnsi="方正小标宋简体" w:eastAsia="方正小标宋简体" w:cs="方正小标宋简体"/>
          <w:color w:val="auto"/>
          <w:sz w:val="72"/>
          <w:szCs w:val="72"/>
          <w:highlight w:val="none"/>
          <w:lang w:val="en-US" w:eastAsia="zh-CN"/>
        </w:rPr>
        <w:t>广元市利州区三堆初级中学</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keepNext w:val="0"/>
        <w:keepLines w:val="0"/>
        <w:pageBreakBefore w:val="0"/>
        <w:kinsoku/>
        <w:wordWrap/>
        <w:overflowPunct/>
        <w:topLinePunct w:val="0"/>
        <w:autoSpaceDE/>
        <w:autoSpaceDN/>
        <w:bidi w:val="0"/>
        <w:spacing w:line="480" w:lineRule="auto"/>
        <w:textAlignment w:val="auto"/>
        <w:rPr>
          <w:rFonts w:ascii="方正小标宋简体" w:hAnsi="宋体" w:eastAsia="方正小标宋简体"/>
          <w:color w:val="auto"/>
          <w:sz w:val="36"/>
          <w:szCs w:val="36"/>
          <w:highlight w:val="none"/>
        </w:rPr>
      </w:pPr>
      <w:r>
        <w:rPr>
          <w:rFonts w:ascii="方正小标宋简体" w:hAnsi="宋体" w:eastAsia="方正小标宋简体"/>
          <w:color w:val="auto"/>
          <w:sz w:val="36"/>
          <w:szCs w:val="36"/>
          <w:highlight w:val="none"/>
        </w:rPr>
        <w:br w:type="page"/>
      </w:r>
      <w:bookmarkStart w:id="12" w:name="_Toc15396599"/>
      <w:bookmarkStart w:id="13" w:name="_Toc15377196"/>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 xml:space="preserve"> 10</w:t>
      </w:r>
      <w:r>
        <w:rPr>
          <w:rFonts w:hint="eastAsia"/>
          <w:color w:val="auto"/>
          <w:highlight w:val="none"/>
        </w:rPr>
        <w:t>月</w:t>
      </w:r>
      <w:r>
        <w:rPr>
          <w:rFonts w:hint="eastAsia"/>
          <w:color w:val="auto"/>
          <w:highlight w:val="none"/>
          <w:lang w:val="en-US" w:eastAsia="zh-CN"/>
        </w:rPr>
        <w:t xml:space="preserve"> 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2"/>
        <w:ind w:firstLine="480" w:firstLineChars="200"/>
      </w:pPr>
      <w:r>
        <w:rPr>
          <w:rFonts w:hint="eastAsia" w:ascii="Times New Roman" w:hAnsi="Times New Roman" w:eastAsia="宋体" w:cs="Times New Roman"/>
          <w:color w:val="auto"/>
          <w:kern w:val="2"/>
          <w:sz w:val="24"/>
          <w:szCs w:val="24"/>
          <w:highlight w:val="none"/>
          <w:lang w:val="en-US" w:eastAsia="zh-CN" w:bidi="ar-SA"/>
        </w:rPr>
        <w:t>部门预算项目支出绩效自评表</w:t>
      </w:r>
      <w:bookmarkStart w:id="61" w:name="_GoBack"/>
      <w:bookmarkEnd w:id="61"/>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keepNext w:val="0"/>
        <w:keepLines w:val="0"/>
        <w:pageBreakBefore w:val="0"/>
        <w:kinsoku/>
        <w:wordWrap/>
        <w:overflowPunct/>
        <w:topLinePunct w:val="0"/>
        <w:autoSpaceDE/>
        <w:autoSpaceDN/>
        <w:bidi w:val="0"/>
        <w:spacing w:line="480" w:lineRule="auto"/>
        <w:textAlignment w:val="auto"/>
        <w:rPr>
          <w:rFonts w:ascii="方正小标宋简体" w:hAnsi="宋体" w:eastAsia="方正小标宋简体"/>
          <w:color w:val="auto"/>
          <w:sz w:val="36"/>
          <w:szCs w:val="36"/>
          <w:highlight w:val="none"/>
        </w:rPr>
      </w:pPr>
    </w:p>
    <w:p>
      <w:pPr>
        <w:keepNext w:val="0"/>
        <w:keepLines w:val="0"/>
        <w:pageBreakBefore w:val="0"/>
        <w:kinsoku/>
        <w:wordWrap/>
        <w:overflowPunct/>
        <w:topLinePunct w:val="0"/>
        <w:autoSpaceDE/>
        <w:autoSpaceDN/>
        <w:bidi w:val="0"/>
        <w:spacing w:line="480" w:lineRule="auto"/>
        <w:textAlignment w:val="auto"/>
        <w:rPr>
          <w:rFonts w:hint="eastAsia"/>
        </w:rPr>
        <w:sectPr>
          <w:footerReference r:id="rId4" w:type="first"/>
          <w:footerReference r:id="rId3" w:type="default"/>
          <w:pgSz w:w="11906" w:h="16838"/>
          <w:pgMar w:top="1701" w:right="1474" w:bottom="1701" w:left="1587" w:header="851" w:footer="1304" w:gutter="0"/>
          <w:pgNumType w:fmt="decimal"/>
          <w:cols w:space="0" w:num="1"/>
          <w:rtlGutter w:val="0"/>
          <w:docGrid w:type="lines" w:linePitch="312" w:charSpace="0"/>
        </w:sectPr>
      </w:pPr>
      <w:r>
        <w:rPr>
          <w:sz w:val="21"/>
        </w:rPr>
        <mc:AlternateContent>
          <mc:Choice Requires="wps">
            <w:drawing>
              <wp:anchor distT="0" distB="0" distL="114300" distR="114300" simplePos="0" relativeHeight="251665408" behindDoc="0" locked="0" layoutInCell="1" allowOverlap="1">
                <wp:simplePos x="0" y="0"/>
                <wp:positionH relativeFrom="column">
                  <wp:posOffset>-73660</wp:posOffset>
                </wp:positionH>
                <wp:positionV relativeFrom="paragraph">
                  <wp:posOffset>8608060</wp:posOffset>
                </wp:positionV>
                <wp:extent cx="828675" cy="333375"/>
                <wp:effectExtent l="12700" t="12700" r="15875" b="15875"/>
                <wp:wrapNone/>
                <wp:docPr id="12" name="矩形 12"/>
                <wp:cNvGraphicFramePr/>
                <a:graphic xmlns:a="http://schemas.openxmlformats.org/drawingml/2006/main">
                  <a:graphicData uri="http://schemas.microsoft.com/office/word/2010/wordprocessingShape">
                    <wps:wsp>
                      <wps:cNvSpPr/>
                      <wps:spPr>
                        <a:xfrm>
                          <a:off x="934085" y="9688195"/>
                          <a:ext cx="828675"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pt;margin-top:677.8pt;height:26.25pt;width:65.25pt;z-index:251665408;v-text-anchor:middle;mso-width-relative:page;mso-height-relative:page;" fillcolor="#FFFFFF [3212]" filled="t" stroked="t" coordsize="21600,21600" o:gfxdata="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78IPP2wAAAA0BAAAPAAAAAAAAAAEAIAAAACIAAABkcnMvZG93bnJldi54&#10;bWxQSwECFAAUAAAACACHTuJAIfne6GkCAADpBAAADgAAAAAAAAABACAAAAAqAQAAZHJzL2Uyb0Rv&#10;Yy54bWxQSwUGAAAAAAYABgBZAQAABQYAAAAA&#10;">
                <v:fill on="t" focussize="0,0"/>
                <v:stroke weight="2pt" color="#FFFFFF [3212]" joinstyle="round"/>
                <v:imagedata o:title=""/>
                <o:lock v:ext="edit" aspectratio="f"/>
              </v:rect>
            </w:pict>
          </mc:Fallback>
        </mc:AlternateContent>
      </w:r>
    </w:p>
    <w:p>
      <w:pPr>
        <w:pStyle w:val="3"/>
        <w:ind w:firstLine="2200" w:firstLineChars="500"/>
        <w:jc w:val="both"/>
        <w:rPr>
          <w:rFonts w:ascii="黑体" w:hAnsi="黑体" w:eastAsia="黑体"/>
          <w:bCs w:val="0"/>
        </w:rPr>
      </w:pPr>
      <w:bookmarkStart w:id="14" w:name="_Toc19089861"/>
      <w:r>
        <w:rPr>
          <w:rFonts w:hint="eastAsia" w:ascii="黑体" w:hAnsi="黑体" w:eastAsia="黑体"/>
          <w:b w:val="0"/>
        </w:rPr>
        <w:t xml:space="preserve">第一部分 </w:t>
      </w:r>
      <w:r>
        <w:rPr>
          <w:rFonts w:hint="eastAsia" w:ascii="黑体" w:hAnsi="黑体" w:eastAsia="黑体"/>
          <w:b w:val="0"/>
          <w:lang w:val="en-US" w:eastAsia="zh-CN"/>
        </w:rPr>
        <w:t xml:space="preserve">  </w:t>
      </w:r>
      <w:r>
        <w:rPr>
          <w:rFonts w:hint="eastAsia" w:ascii="黑体" w:hAnsi="黑体" w:eastAsia="黑体"/>
          <w:b w:val="0"/>
          <w:lang w:eastAsia="zh-CN"/>
        </w:rPr>
        <w:t>单位</w:t>
      </w:r>
      <w:r>
        <w:rPr>
          <w:rStyle w:val="35"/>
          <w:rFonts w:hint="eastAsia" w:ascii="黑体" w:hAnsi="黑体" w:eastAsia="黑体"/>
          <w:b w:val="0"/>
          <w:bCs w:val="0"/>
        </w:rPr>
        <w:t>概况</w:t>
      </w:r>
      <w:bookmarkEnd w:id="14"/>
    </w:p>
    <w:p>
      <w:pPr>
        <w:pStyle w:val="4"/>
        <w:rPr>
          <w:rFonts w:hint="eastAsia" w:ascii="黑体" w:hAnsi="黑体" w:eastAsia="黑体"/>
          <w:b w:val="0"/>
        </w:rPr>
      </w:pPr>
      <w:bookmarkStart w:id="15" w:name="_Toc19089862"/>
    </w:p>
    <w:p>
      <w:pPr>
        <w:pStyle w:val="4"/>
        <w:rPr>
          <w:rStyle w:val="36"/>
          <w:rFonts w:ascii="仿宋" w:hAnsi="仿宋" w:eastAsia="仿宋"/>
          <w:b w:val="0"/>
          <w:bCs w:val="0"/>
        </w:rPr>
      </w:pPr>
      <w:r>
        <w:rPr>
          <w:rFonts w:hint="eastAsia" w:ascii="黑体" w:hAnsi="黑体" w:eastAsia="黑体"/>
          <w:b w:val="0"/>
        </w:rPr>
        <w:t>一、</w:t>
      </w:r>
      <w:bookmarkEnd w:id="15"/>
      <w:r>
        <w:rPr>
          <w:rStyle w:val="29"/>
          <w:rFonts w:hint="eastAsia" w:ascii="黑体" w:hAnsi="黑体" w:eastAsia="黑体"/>
          <w:b w:val="0"/>
          <w:bCs w:val="0"/>
          <w:color w:val="auto"/>
          <w:highlight w:val="none"/>
          <w:lang w:eastAsia="zh-CN"/>
        </w:rPr>
        <w:t>主要职责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广元市利州区三堆初级中学</w:t>
      </w:r>
      <w:r>
        <w:rPr>
          <w:rFonts w:hint="eastAsia" w:ascii="仿宋" w:hAnsi="仿宋" w:eastAsia="仿宋"/>
          <w:sz w:val="32"/>
          <w:szCs w:val="32"/>
        </w:rPr>
        <w:t>是经利州区编制委员会批准成立的，在</w:t>
      </w:r>
      <w:r>
        <w:rPr>
          <w:rFonts w:hint="eastAsia" w:ascii="仿宋" w:hAnsi="仿宋" w:eastAsia="仿宋"/>
          <w:sz w:val="32"/>
          <w:szCs w:val="32"/>
          <w:lang w:eastAsia="zh-CN"/>
        </w:rPr>
        <w:t>广元市利州</w:t>
      </w:r>
      <w:r>
        <w:rPr>
          <w:rFonts w:hint="eastAsia" w:ascii="仿宋" w:hAnsi="仿宋" w:eastAsia="仿宋"/>
          <w:sz w:val="32"/>
          <w:szCs w:val="32"/>
        </w:rPr>
        <w:t>区教育局领导下的一所乡镇</w:t>
      </w:r>
      <w:r>
        <w:rPr>
          <w:rFonts w:hint="eastAsia" w:ascii="仿宋" w:hAnsi="仿宋" w:eastAsia="仿宋"/>
          <w:sz w:val="32"/>
          <w:szCs w:val="32"/>
          <w:lang w:eastAsia="zh-CN"/>
        </w:rPr>
        <w:t>初中</w:t>
      </w:r>
      <w:r>
        <w:rPr>
          <w:rFonts w:hint="eastAsia" w:ascii="仿宋" w:hAnsi="仿宋" w:eastAsia="仿宋"/>
          <w:sz w:val="32"/>
          <w:szCs w:val="32"/>
        </w:rPr>
        <w:t>学校。我校的主要职能是：实施</w:t>
      </w:r>
      <w:r>
        <w:rPr>
          <w:rFonts w:hint="eastAsia" w:ascii="仿宋" w:hAnsi="仿宋" w:eastAsia="仿宋"/>
          <w:sz w:val="32"/>
          <w:szCs w:val="32"/>
          <w:lang w:eastAsia="zh-CN"/>
        </w:rPr>
        <w:t>初中</w:t>
      </w:r>
      <w:r>
        <w:rPr>
          <w:rFonts w:hint="eastAsia" w:ascii="仿宋" w:hAnsi="仿宋" w:eastAsia="仿宋"/>
          <w:sz w:val="32"/>
          <w:szCs w:val="32"/>
        </w:rPr>
        <w:t>义务教育，</w:t>
      </w:r>
      <w:r>
        <w:rPr>
          <w:rFonts w:hint="eastAsia" w:ascii="仿宋" w:hAnsi="仿宋" w:eastAsia="仿宋"/>
          <w:sz w:val="32"/>
          <w:szCs w:val="32"/>
          <w:lang w:eastAsia="zh-CN"/>
        </w:rPr>
        <w:t>初中</w:t>
      </w:r>
      <w:r>
        <w:rPr>
          <w:rFonts w:hint="eastAsia" w:ascii="仿宋" w:hAnsi="仿宋" w:eastAsia="仿宋"/>
          <w:sz w:val="32"/>
          <w:szCs w:val="32"/>
        </w:rPr>
        <w:t>学历教育。</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 全面实施素质教育；对基础教育发展水平、质量的监测工作。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ascii="仿宋" w:hAnsi="仿宋" w:eastAsia="仿宋"/>
          <w:sz w:val="32"/>
          <w:szCs w:val="32"/>
        </w:rPr>
        <w:t>3. 负责配合各级人民政府依法动员、组织适龄儿童、少年入学，严格控制学生辍学，依法保证适龄儿童、少年接受九年义务教育。</w:t>
      </w:r>
      <w:r>
        <w:br w:type="textWrapping"/>
      </w:r>
      <w:r>
        <w:rPr>
          <w:rFonts w:hint="eastAsia" w:ascii="仿宋" w:hAnsi="仿宋" w:eastAsia="仿宋"/>
          <w:sz w:val="32"/>
          <w:szCs w:val="32"/>
        </w:rPr>
        <w:t xml:space="preserve"> </w:t>
      </w:r>
      <w:r>
        <w:rPr>
          <w:rFonts w:ascii="仿宋" w:hAnsi="仿宋" w:eastAsia="仿宋"/>
          <w:sz w:val="32"/>
          <w:szCs w:val="32"/>
        </w:rPr>
        <w:t xml:space="preserve">   4</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负责</w:t>
      </w:r>
      <w:r>
        <w:rPr>
          <w:rFonts w:ascii="仿宋" w:hAnsi="仿宋" w:eastAsia="仿宋"/>
          <w:sz w:val="32"/>
          <w:szCs w:val="32"/>
        </w:rPr>
        <w:t>依法治校、安全、综合治理、档案、保密工作</w:t>
      </w:r>
      <w:r>
        <w:rPr>
          <w:rFonts w:hint="eastAsia" w:ascii="仿宋" w:hAnsi="仿宋" w:eastAsia="仿宋"/>
          <w:sz w:val="32"/>
          <w:szCs w:val="32"/>
        </w:rPr>
        <w:t>，完成</w:t>
      </w:r>
      <w:r>
        <w:rPr>
          <w:rFonts w:ascii="仿宋" w:hAnsi="仿宋" w:eastAsia="仿宋"/>
          <w:sz w:val="32"/>
          <w:szCs w:val="32"/>
        </w:rPr>
        <w:t>学校体育、卫生与艺术教育工作。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ascii="仿宋" w:hAnsi="仿宋" w:eastAsia="仿宋"/>
          <w:sz w:val="32"/>
          <w:szCs w:val="32"/>
        </w:rPr>
        <w:t xml:space="preserve"> 统筹</w:t>
      </w:r>
      <w:r>
        <w:rPr>
          <w:rFonts w:hint="eastAsia" w:ascii="仿宋" w:hAnsi="仿宋" w:eastAsia="仿宋"/>
          <w:sz w:val="32"/>
          <w:szCs w:val="32"/>
        </w:rPr>
        <w:t>安排</w:t>
      </w:r>
      <w:r>
        <w:rPr>
          <w:rFonts w:ascii="仿宋" w:hAnsi="仿宋" w:eastAsia="仿宋"/>
          <w:sz w:val="32"/>
          <w:szCs w:val="32"/>
        </w:rPr>
        <w:t>学校教师队伍建设；</w:t>
      </w:r>
      <w:r>
        <w:rPr>
          <w:rFonts w:hint="eastAsia" w:ascii="仿宋" w:hAnsi="仿宋" w:eastAsia="仿宋"/>
          <w:sz w:val="32"/>
          <w:szCs w:val="32"/>
        </w:rPr>
        <w:t>完成</w:t>
      </w:r>
      <w:r>
        <w:rPr>
          <w:rFonts w:ascii="仿宋" w:hAnsi="仿宋" w:eastAsia="仿宋"/>
          <w:sz w:val="32"/>
          <w:szCs w:val="32"/>
        </w:rPr>
        <w:t>教师的继续教育和课程改革新教材的培训工作；</w:t>
      </w:r>
      <w:r>
        <w:rPr>
          <w:rFonts w:hint="eastAsia" w:ascii="仿宋" w:hAnsi="仿宋" w:eastAsia="仿宋"/>
          <w:sz w:val="32"/>
          <w:szCs w:val="32"/>
        </w:rPr>
        <w:t>加强</w:t>
      </w:r>
      <w:r>
        <w:rPr>
          <w:rFonts w:ascii="仿宋" w:hAnsi="仿宋" w:eastAsia="仿宋"/>
          <w:sz w:val="32"/>
          <w:szCs w:val="32"/>
        </w:rPr>
        <w:t xml:space="preserve">人才队伍建设。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.负责完成</w:t>
      </w:r>
      <w:r>
        <w:rPr>
          <w:rFonts w:ascii="仿宋" w:hAnsi="仿宋" w:eastAsia="仿宋"/>
          <w:sz w:val="32"/>
          <w:szCs w:val="32"/>
        </w:rPr>
        <w:t>教育方面的对外交流与合作、对外宣传</w:t>
      </w:r>
      <w:r>
        <w:rPr>
          <w:rFonts w:hint="eastAsia" w:ascii="仿宋" w:hAnsi="仿宋" w:eastAsia="仿宋"/>
          <w:sz w:val="32"/>
          <w:szCs w:val="32"/>
        </w:rPr>
        <w:t>，完成</w:t>
      </w:r>
      <w:r>
        <w:rPr>
          <w:rFonts w:ascii="仿宋" w:hAnsi="仿宋" w:eastAsia="仿宋"/>
          <w:sz w:val="32"/>
          <w:szCs w:val="32"/>
        </w:rPr>
        <w:t>后勤保障、信息化建设以及教学仪器设备和图书资料装备工作</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7</w:t>
      </w:r>
      <w:r>
        <w:rPr>
          <w:rFonts w:ascii="仿宋" w:hAnsi="仿宋" w:eastAsia="仿宋"/>
          <w:sz w:val="32"/>
          <w:szCs w:val="32"/>
        </w:rPr>
        <w:t>、负责按照教育主管单位发布的指导性教学计划、教学大纲，组织实施教育教学活动。</w:t>
      </w:r>
      <w:r>
        <w:rPr>
          <w:rFonts w:ascii="仿宋" w:hAnsi="仿宋" w:eastAsia="仿宋"/>
          <w:sz w:val="32"/>
          <w:szCs w:val="32"/>
        </w:rPr>
        <w:br w:type="textWrapping"/>
      </w:r>
      <w:r>
        <w:rPr>
          <w:rFonts w:hint="eastAsia" w:ascii="仿宋" w:hAnsi="仿宋" w:eastAsia="仿宋"/>
          <w:sz w:val="32"/>
          <w:szCs w:val="32"/>
        </w:rPr>
        <w:t xml:space="preserve">   </w:t>
      </w:r>
      <w:r>
        <w:rPr>
          <w:rFonts w:hint="eastAsia" w:ascii="仿宋" w:hAnsi="仿宋" w:eastAsia="仿宋"/>
          <w:sz w:val="32"/>
          <w:szCs w:val="32"/>
          <w:lang w:val="en-US" w:eastAsia="zh-CN"/>
        </w:rPr>
        <w:t>8</w:t>
      </w:r>
      <w:r>
        <w:rPr>
          <w:rFonts w:ascii="仿宋" w:hAnsi="仿宋" w:eastAsia="仿宋"/>
          <w:sz w:val="32"/>
          <w:szCs w:val="32"/>
        </w:rPr>
        <w:t>、负责依据国家教育单位有关教学计划、课程设置等方面的规定，决定和实施本校的教学计划，组织教学评比、集体评课，对学生进行统一考核、考试等。</w:t>
      </w:r>
    </w:p>
    <w:p>
      <w:pPr>
        <w:pStyle w:val="4"/>
        <w:pageBreakBefore w:val="0"/>
        <w:widowControl w:val="0"/>
        <w:kinsoku/>
        <w:wordWrap/>
        <w:overflowPunct/>
        <w:topLinePunct w:val="0"/>
        <w:autoSpaceDE/>
        <w:autoSpaceDN/>
        <w:bidi w:val="0"/>
        <w:spacing w:line="500" w:lineRule="exact"/>
        <w:ind w:firstLine="640" w:firstLineChars="200"/>
        <w:textAlignment w:val="auto"/>
        <w:rPr>
          <w:rFonts w:hint="eastAsia" w:ascii="黑体" w:eastAsia="黑体"/>
          <w:b w:val="0"/>
        </w:rPr>
      </w:pPr>
      <w:bookmarkStart w:id="16" w:name="_Toc19089863"/>
    </w:p>
    <w:p>
      <w:pPr>
        <w:pStyle w:val="4"/>
        <w:pageBreakBefore w:val="0"/>
        <w:widowControl w:val="0"/>
        <w:kinsoku/>
        <w:wordWrap/>
        <w:overflowPunct/>
        <w:topLinePunct w:val="0"/>
        <w:autoSpaceDE/>
        <w:autoSpaceDN/>
        <w:bidi w:val="0"/>
        <w:spacing w:line="500" w:lineRule="exact"/>
        <w:ind w:firstLine="640" w:firstLineChars="200"/>
        <w:textAlignment w:val="auto"/>
        <w:rPr>
          <w:rStyle w:val="36"/>
          <w:b w:val="0"/>
          <w:bCs w:val="0"/>
        </w:rPr>
      </w:pPr>
      <w:r>
        <w:rPr>
          <w:rFonts w:hint="eastAsia" w:ascii="黑体" w:eastAsia="黑体"/>
          <w:b w:val="0"/>
        </w:rPr>
        <w:t>二、</w:t>
      </w:r>
      <w:r>
        <w:rPr>
          <w:rFonts w:hint="eastAsia" w:ascii="黑体" w:hAnsi="黑体" w:eastAsia="黑体"/>
          <w:b w:val="0"/>
        </w:rPr>
        <w:t>机</w:t>
      </w:r>
      <w:r>
        <w:rPr>
          <w:rStyle w:val="36"/>
          <w:rFonts w:hint="eastAsia" w:ascii="黑体" w:hAnsi="黑体" w:eastAsia="黑体"/>
          <w:b w:val="0"/>
          <w:bCs w:val="0"/>
        </w:rPr>
        <w:t>构设置</w:t>
      </w:r>
      <w:bookmarkEnd w:id="16"/>
    </w:p>
    <w:p>
      <w:pPr>
        <w:pStyle w:val="2"/>
        <w:keepNext w:val="0"/>
        <w:keepLines w:val="0"/>
        <w:pageBreakBefore w:val="0"/>
        <w:widowControl w:val="0"/>
        <w:kinsoku/>
        <w:wordWrap/>
        <w:overflowPunct/>
        <w:topLinePunct w:val="0"/>
        <w:autoSpaceDE/>
        <w:autoSpaceDN/>
        <w:bidi w:val="0"/>
        <w:adjustRightInd w:val="0"/>
        <w:snapToGrid w:val="0"/>
        <w:spacing w:before="93" w:line="600" w:lineRule="exact"/>
        <w:ind w:firstLine="672" w:firstLineChars="210"/>
        <w:textAlignment w:val="auto"/>
        <w:rPr>
          <w:rFonts w:ascii="仿宋" w:hAnsi="仿宋" w:eastAsia="仿宋"/>
          <w:sz w:val="32"/>
          <w:szCs w:val="32"/>
        </w:rPr>
      </w:pPr>
      <w:r>
        <w:rPr>
          <w:rFonts w:hint="eastAsia" w:ascii="仿宋" w:hAnsi="仿宋" w:eastAsia="仿宋"/>
          <w:sz w:val="32"/>
          <w:szCs w:val="32"/>
        </w:rPr>
        <w:t>广元市利州区</w:t>
      </w:r>
      <w:r>
        <w:rPr>
          <w:rFonts w:hint="eastAsia" w:ascii="仿宋" w:hAnsi="仿宋" w:eastAsia="仿宋"/>
          <w:sz w:val="32"/>
          <w:szCs w:val="32"/>
          <w:lang w:eastAsia="zh-CN"/>
        </w:rPr>
        <w:t>三堆初级中学</w:t>
      </w:r>
      <w:r>
        <w:rPr>
          <w:rFonts w:hint="eastAsia" w:ascii="仿宋" w:hAnsi="仿宋" w:eastAsia="仿宋"/>
          <w:sz w:val="32"/>
          <w:szCs w:val="32"/>
        </w:rPr>
        <w:t>属于二级预算单位，</w:t>
      </w:r>
      <w:r>
        <w:rPr>
          <w:rFonts w:ascii="仿宋" w:hAnsi="仿宋" w:eastAsia="仿宋"/>
          <w:sz w:val="32"/>
          <w:szCs w:val="32"/>
        </w:rPr>
        <w:t xml:space="preserve"> </w:t>
      </w:r>
      <w:r>
        <w:rPr>
          <w:rFonts w:hint="eastAsia" w:ascii="仿宋" w:hAnsi="仿宋" w:eastAsia="仿宋"/>
          <w:sz w:val="32"/>
          <w:szCs w:val="32"/>
        </w:rPr>
        <w:t>下设廉勤委，学校工会，教导处，总务处，</w:t>
      </w:r>
      <w:r>
        <w:rPr>
          <w:rFonts w:hint="eastAsia" w:ascii="仿宋" w:hAnsi="仿宋" w:eastAsia="仿宋"/>
          <w:sz w:val="32"/>
          <w:szCs w:val="32"/>
          <w:lang w:eastAsia="zh-CN"/>
        </w:rPr>
        <w:t>政教</w:t>
      </w:r>
      <w:r>
        <w:rPr>
          <w:rFonts w:hint="eastAsia" w:ascii="仿宋" w:hAnsi="仿宋" w:eastAsia="仿宋"/>
          <w:sz w:val="32"/>
          <w:szCs w:val="32"/>
        </w:rPr>
        <w:t>处，安全办，办公室</w:t>
      </w:r>
      <w:r>
        <w:rPr>
          <w:rFonts w:hint="eastAsia" w:ascii="仿宋" w:hAnsi="仿宋" w:eastAsia="仿宋"/>
          <w:sz w:val="32"/>
          <w:szCs w:val="32"/>
          <w:lang w:eastAsia="zh-CN"/>
        </w:rPr>
        <w:t>等</w:t>
      </w:r>
      <w:r>
        <w:rPr>
          <w:rFonts w:hint="eastAsia" w:ascii="仿宋" w:hAnsi="仿宋" w:eastAsia="仿宋"/>
          <w:sz w:val="32"/>
          <w:szCs w:val="32"/>
          <w:lang w:val="en-US" w:eastAsia="zh-CN"/>
        </w:rPr>
        <w:t>7</w:t>
      </w:r>
      <w:r>
        <w:rPr>
          <w:rFonts w:hint="eastAsia" w:ascii="仿宋" w:hAnsi="仿宋" w:eastAsia="仿宋"/>
          <w:sz w:val="32"/>
          <w:szCs w:val="32"/>
        </w:rPr>
        <w:t>个部门。</w:t>
      </w:r>
    </w:p>
    <w:p>
      <w:pPr>
        <w:pStyle w:val="2"/>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color w:val="000000" w:themeColor="text1"/>
          <w:sz w:val="32"/>
          <w:szCs w:val="32"/>
          <w14:textFill>
            <w14:solidFill>
              <w14:schemeClr w14:val="tx1"/>
            </w14:solidFill>
          </w14:textFill>
        </w:rPr>
      </w:pPr>
    </w:p>
    <w:p>
      <w:pPr>
        <w:pStyle w:val="2"/>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color w:val="000000" w:themeColor="text1"/>
          <w:sz w:val="32"/>
          <w:szCs w:val="32"/>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bookmarkStart w:id="17" w:name="_Toc19089864"/>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jc w:val="both"/>
        <w:textAlignment w:val="auto"/>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jc w:val="both"/>
        <w:textAlignment w:val="auto"/>
        <w:rPr>
          <w:rFonts w:hint="eastAsia" w:ascii="黑体" w:hAnsi="黑体" w:eastAsia="黑体"/>
          <w:b w:val="0"/>
          <w:color w:val="000000" w:themeColor="text1"/>
          <w14:textFill>
            <w14:solidFill>
              <w14:schemeClr w14:val="tx1"/>
            </w14:solidFill>
          </w14:textFill>
        </w:rPr>
      </w:pPr>
    </w:p>
    <w:p>
      <w:pPr>
        <w:pStyle w:val="2"/>
        <w:rPr>
          <w:rFonts w:hint="eastAsia" w:ascii="黑体" w:hAnsi="黑体" w:eastAsia="黑体"/>
          <w:b w:val="0"/>
          <w:color w:val="000000" w:themeColor="text1"/>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val="0"/>
        <w:spacing w:before="0" w:after="0" w:line="240" w:lineRule="auto"/>
        <w:ind w:firstLine="440" w:firstLineChars="100"/>
        <w:jc w:val="both"/>
        <w:textAlignment w:val="auto"/>
        <w:rPr>
          <w:rStyle w:val="28"/>
          <w:rFonts w:hint="eastAsia" w:ascii="黑体" w:hAnsi="黑体" w:eastAsia="黑体"/>
          <w:b w:val="0"/>
          <w:bCs/>
          <w:color w:val="auto"/>
          <w:highlight w:val="none"/>
        </w:rPr>
      </w:pPr>
      <w:r>
        <w:rPr>
          <w:rFonts w:hint="eastAsia" w:ascii="黑体" w:hAnsi="黑体" w:eastAsia="黑体"/>
          <w:b w:val="0"/>
          <w:color w:val="000000" w:themeColor="text1"/>
          <w14:textFill>
            <w14:solidFill>
              <w14:schemeClr w14:val="tx1"/>
            </w14:solidFill>
          </w14:textFill>
        </w:rPr>
        <w:t>第二部分</w:t>
      </w:r>
      <w:r>
        <w:rPr>
          <w:rFonts w:hint="eastAsia" w:ascii="黑体" w:hAnsi="黑体" w:eastAsia="黑体"/>
          <w:color w:val="000000" w:themeColor="text1"/>
          <w14:textFill>
            <w14:solidFill>
              <w14:schemeClr w14:val="tx1"/>
            </w14:solidFill>
          </w14:textFill>
        </w:rPr>
        <w:t xml:space="preserve"> </w:t>
      </w:r>
      <w:r>
        <w:rPr>
          <w:rStyle w:val="35"/>
          <w:rFonts w:ascii="黑体" w:hAnsi="黑体" w:eastAsia="黑体"/>
          <w:b w:val="0"/>
          <w:bCs w:val="0"/>
          <w:color w:val="000000" w:themeColor="text1"/>
          <w14:textFill>
            <w14:solidFill>
              <w14:schemeClr w14:val="tx1"/>
            </w14:solidFill>
          </w14:textFill>
        </w:rPr>
        <w:t>202</w:t>
      </w:r>
      <w:r>
        <w:rPr>
          <w:rStyle w:val="35"/>
          <w:rFonts w:hint="eastAsia" w:ascii="黑体" w:hAnsi="黑体" w:eastAsia="黑体"/>
          <w:b w:val="0"/>
          <w:bCs w:val="0"/>
          <w:color w:val="000000" w:themeColor="text1"/>
          <w:lang w:val="en-US" w:eastAsia="zh-CN"/>
          <w14:textFill>
            <w14:solidFill>
              <w14:schemeClr w14:val="tx1"/>
            </w14:solidFill>
          </w14:textFill>
        </w:rPr>
        <w:t>2</w:t>
      </w:r>
      <w:r>
        <w:rPr>
          <w:rStyle w:val="35"/>
          <w:rFonts w:hint="eastAsia" w:ascii="黑体" w:hAnsi="黑体" w:eastAsia="黑体"/>
          <w:b w:val="0"/>
          <w:bCs w:val="0"/>
          <w:color w:val="000000" w:themeColor="text1"/>
          <w14:textFill>
            <w14:solidFill>
              <w14:schemeClr w14:val="tx1"/>
            </w14:solidFill>
          </w14:textFill>
        </w:rPr>
        <w:t>年度</w:t>
      </w:r>
      <w:r>
        <w:rPr>
          <w:rStyle w:val="35"/>
          <w:rFonts w:hint="eastAsia" w:ascii="黑体" w:hAnsi="黑体" w:eastAsia="黑体"/>
          <w:b w:val="0"/>
          <w:bCs w:val="0"/>
          <w:color w:val="000000" w:themeColor="text1"/>
          <w:lang w:eastAsia="zh-CN"/>
          <w14:textFill>
            <w14:solidFill>
              <w14:schemeClr w14:val="tx1"/>
            </w14:solidFill>
          </w14:textFill>
        </w:rPr>
        <w:t>单位</w:t>
      </w:r>
      <w:r>
        <w:rPr>
          <w:rStyle w:val="35"/>
          <w:rFonts w:hint="eastAsia" w:ascii="黑体" w:hAnsi="黑体" w:eastAsia="黑体"/>
          <w:b w:val="0"/>
          <w:bCs w:val="0"/>
          <w:color w:val="000000" w:themeColor="text1"/>
          <w14:textFill>
            <w14:solidFill>
              <w14:schemeClr w14:val="tx1"/>
            </w14:solidFill>
          </w14:textFill>
        </w:rPr>
        <w:t>决算情况说明</w:t>
      </w:r>
      <w:bookmarkEnd w:id="12"/>
      <w:bookmarkEnd w:id="13"/>
      <w:bookmarkEnd w:id="17"/>
      <w:bookmarkStart w:id="18" w:name="_Toc15377204"/>
      <w:bookmarkStart w:id="19" w:name="_Toc15396602"/>
    </w:p>
    <w:bookmarkEnd w:id="18"/>
    <w:bookmarkEnd w:id="19"/>
    <w:p>
      <w:pPr>
        <w:pStyle w:val="27"/>
        <w:numPr>
          <w:ilvl w:val="0"/>
          <w:numId w:val="0"/>
        </w:numPr>
        <w:spacing w:line="600" w:lineRule="exact"/>
        <w:outlineLvl w:val="1"/>
        <w:rPr>
          <w:rFonts w:hint="eastAsia" w:ascii="黑体" w:hAnsi="黑体" w:eastAsia="黑体"/>
          <w:color w:val="auto"/>
          <w:sz w:val="32"/>
          <w:szCs w:val="32"/>
          <w:highlight w:val="none"/>
        </w:rPr>
      </w:pPr>
      <w:bookmarkStart w:id="20" w:name="_Toc15396603"/>
      <w:bookmarkStart w:id="21" w:name="_Toc15377205"/>
    </w:p>
    <w:p>
      <w:pPr>
        <w:pStyle w:val="27"/>
        <w:numPr>
          <w:ilvl w:val="0"/>
          <w:numId w:val="0"/>
        </w:num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入支出决算总体情况说明</w:t>
      </w:r>
      <w:bookmarkEnd w:id="20"/>
      <w:bookmarkEnd w:id="21"/>
    </w:p>
    <w:p>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938.93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w:t>
      </w:r>
      <w:r>
        <w:rPr>
          <w:rFonts w:hint="eastAsia" w:ascii="仿宋" w:hAnsi="仿宋" w:eastAsia="仿宋"/>
          <w:color w:val="000000"/>
          <w:sz w:val="32"/>
          <w:szCs w:val="32"/>
          <w:lang w:eastAsia="zh-CN"/>
        </w:rPr>
        <w:t>（</w:t>
      </w:r>
      <w:r>
        <w:rPr>
          <w:rFonts w:hint="eastAsia" w:ascii="仿宋" w:hAnsi="仿宋" w:eastAsia="仿宋"/>
          <w:color w:val="auto"/>
          <w:sz w:val="32"/>
          <w:szCs w:val="32"/>
          <w:highlight w:val="none"/>
        </w:rPr>
        <w:t>1156.</w:t>
      </w:r>
      <w:r>
        <w:rPr>
          <w:rFonts w:hint="eastAsia" w:ascii="仿宋" w:hAnsi="仿宋" w:eastAsia="仿宋"/>
          <w:color w:val="auto"/>
          <w:sz w:val="32"/>
          <w:szCs w:val="32"/>
          <w:highlight w:val="none"/>
          <w:lang w:val="en-US" w:eastAsia="zh-CN"/>
        </w:rPr>
        <w:t>34</w:t>
      </w:r>
      <w:r>
        <w:rPr>
          <w:rFonts w:hint="eastAsia" w:ascii="仿宋" w:hAnsi="仿宋" w:eastAsia="仿宋"/>
          <w:color w:val="auto"/>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217.41</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18.80%</w:t>
      </w:r>
      <w:r>
        <w:rPr>
          <w:rFonts w:hint="eastAsia" w:ascii="仿宋" w:hAnsi="仿宋" w:eastAsia="仿宋"/>
          <w:color w:val="auto"/>
          <w:sz w:val="32"/>
          <w:szCs w:val="32"/>
          <w:highlight w:val="none"/>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教职工人员减少和项目支出减少。</w:t>
      </w:r>
    </w:p>
    <w:p>
      <w:pPr>
        <w:pStyle w:val="2"/>
        <w:ind w:firstLine="640" w:firstLineChars="200"/>
        <w:rPr>
          <w:rFonts w:hint="eastAsia" w:ascii="仿宋" w:hAnsi="仿宋" w:eastAsia="仿宋"/>
          <w:color w:val="auto"/>
          <w:sz w:val="32"/>
          <w:szCs w:val="32"/>
          <w:highlight w:val="none"/>
        </w:rPr>
      </w:pPr>
    </w:p>
    <w:p>
      <w:pPr>
        <w:pStyle w:val="2"/>
        <w:ind w:firstLine="640" w:firstLineChars="200"/>
        <w:rPr>
          <w:rFonts w:ascii="仿宋_GB2312" w:eastAsia="仿宋_GB2312"/>
          <w:color w:val="auto"/>
          <w:sz w:val="32"/>
          <w:szCs w:val="32"/>
          <w:highlight w:val="none"/>
        </w:rPr>
      </w:pPr>
      <w:r>
        <w:rPr>
          <w:rFonts w:ascii="仿宋_GB2312" w:eastAsia="仿宋_GB2312"/>
          <w:sz w:val="32"/>
          <w:szCs w:val="32"/>
        </w:rPr>
        <w:drawing>
          <wp:anchor distT="0" distB="0" distL="114300" distR="114300" simplePos="0" relativeHeight="251666432" behindDoc="1" locked="0" layoutInCell="1" allowOverlap="1">
            <wp:simplePos x="0" y="0"/>
            <wp:positionH relativeFrom="column">
              <wp:posOffset>104775</wp:posOffset>
            </wp:positionH>
            <wp:positionV relativeFrom="paragraph">
              <wp:posOffset>327025</wp:posOffset>
            </wp:positionV>
            <wp:extent cx="5100955" cy="2514600"/>
            <wp:effectExtent l="4445" t="4445" r="19050" b="14605"/>
            <wp:wrapTight wrapText="bothSides">
              <wp:wrapPolygon>
                <wp:start x="-19" y="-38"/>
                <wp:lineTo x="-19" y="21562"/>
                <wp:lineTo x="21519" y="21562"/>
                <wp:lineTo x="21519" y="21398"/>
                <wp:lineTo x="17002" y="20907"/>
                <wp:lineTo x="19180" y="19435"/>
                <wp:lineTo x="19180" y="18289"/>
                <wp:lineTo x="21116" y="15671"/>
                <wp:lineTo x="20793" y="13053"/>
                <wp:lineTo x="20955" y="5035"/>
                <wp:lineTo x="20551" y="4380"/>
                <wp:lineTo x="19099" y="2580"/>
                <wp:lineTo x="21519" y="125"/>
                <wp:lineTo x="21519" y="-38"/>
                <wp:lineTo x="-19"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7"/>
        <w:numPr>
          <w:ilvl w:val="0"/>
          <w:numId w:val="0"/>
        </w:numPr>
        <w:spacing w:line="600" w:lineRule="exact"/>
        <w:ind w:left="640" w:leftChars="0"/>
        <w:outlineLvl w:val="1"/>
        <w:rPr>
          <w:rFonts w:hint="eastAsia" w:ascii="黑体" w:hAnsi="黑体" w:eastAsia="黑体"/>
          <w:color w:val="auto"/>
          <w:sz w:val="32"/>
          <w:szCs w:val="32"/>
          <w:highlight w:val="none"/>
          <w:lang w:eastAsia="zh-CN"/>
        </w:rPr>
      </w:pPr>
      <w:bookmarkStart w:id="22" w:name="_Toc15377206"/>
      <w:bookmarkStart w:id="23" w:name="_Toc15396604"/>
    </w:p>
    <w:p>
      <w:pPr>
        <w:pStyle w:val="27"/>
        <w:numPr>
          <w:ilvl w:val="0"/>
          <w:numId w:val="0"/>
        </w:numPr>
        <w:spacing w:line="600" w:lineRule="exact"/>
        <w:ind w:left="640" w:leftChars="0"/>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29"/>
          <w:rFonts w:hint="eastAsia" w:ascii="黑体" w:hAnsi="黑体" w:eastAsia="黑体"/>
          <w:b w:val="0"/>
          <w:color w:val="auto"/>
          <w:highlight w:val="none"/>
        </w:rPr>
        <w:t>入决算情况说明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938.93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938.61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eastAsia="zh-CN"/>
        </w:rPr>
        <w:t>（利息收入）</w:t>
      </w:r>
      <w:r>
        <w:rPr>
          <w:rFonts w:hint="eastAsia" w:ascii="仿宋" w:hAnsi="仿宋" w:eastAsia="仿宋"/>
          <w:color w:val="auto"/>
          <w:sz w:val="32"/>
          <w:szCs w:val="32"/>
          <w:highlight w:val="none"/>
          <w:lang w:val="en-US" w:eastAsia="zh-CN"/>
        </w:rPr>
        <w:t>0.33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jc w:val="center"/>
        <w:rPr>
          <w:rFonts w:hint="eastAsia"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320675</wp:posOffset>
            </wp:positionH>
            <wp:positionV relativeFrom="paragraph">
              <wp:posOffset>192405</wp:posOffset>
            </wp:positionV>
            <wp:extent cx="5144770" cy="2150745"/>
            <wp:effectExtent l="36830" t="4445" r="76200" b="11176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24" w:name="_Toc15377207"/>
      <w:bookmarkStart w:id="25" w:name="_Toc15396605"/>
      <w:r>
        <w:rPr>
          <w:rFonts w:hint="eastAsia" w:ascii="仿宋" w:hAnsi="仿宋" w:eastAsia="仿宋"/>
          <w:color w:val="auto"/>
          <w:sz w:val="32"/>
          <w:szCs w:val="32"/>
          <w:highlight w:val="none"/>
        </w:rPr>
        <w:t>（图2：收入决算结构图）（饼状图）</w:t>
      </w:r>
    </w:p>
    <w:p>
      <w:pPr>
        <w:pStyle w:val="27"/>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pPr>
        <w:pStyle w:val="27"/>
        <w:numPr>
          <w:ilvl w:val="0"/>
          <w:numId w:val="0"/>
        </w:numPr>
        <w:spacing w:line="600" w:lineRule="exact"/>
        <w:ind w:left="640" w:leftChars="0"/>
        <w:outlineLvl w:val="1"/>
        <w:rPr>
          <w:rStyle w:val="29"/>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29"/>
          <w:rFonts w:hint="eastAsia" w:ascii="黑体" w:hAnsi="黑体" w:eastAsia="黑体"/>
          <w:b w:val="0"/>
          <w:color w:val="auto"/>
          <w:highlight w:val="none"/>
        </w:rPr>
        <w:t>出决算情况说明</w:t>
      </w:r>
      <w:bookmarkEnd w:id="24"/>
      <w:bookmarkEnd w:id="25"/>
      <w:r>
        <w:rPr>
          <w:rStyle w:val="29"/>
          <w:rFonts w:hint="eastAsia" w:ascii="黑体" w:hAnsi="黑体" w:eastAsia="黑体"/>
          <w:b w:val="0"/>
          <w:color w:val="auto"/>
          <w:highlight w:val="none"/>
          <w:lang w:val="en-US" w:eastAsia="zh-CN"/>
        </w:rPr>
        <w:t xml:space="preserve"> </w:t>
      </w:r>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938.93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887.94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94.57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51.00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1"/>
        <w:rPr>
          <w:rFonts w:ascii="仿宋" w:hAnsi="仿宋" w:eastAsia="仿宋"/>
          <w:color w:val="auto"/>
          <w:sz w:val="32"/>
          <w:szCs w:val="32"/>
          <w:highlight w:val="none"/>
        </w:rPr>
      </w:pPr>
    </w:p>
    <w:p>
      <w:pPr>
        <w:spacing w:line="600" w:lineRule="exact"/>
        <w:ind w:left="0" w:leftChars="0" w:firstLine="0" w:firstLineChars="0"/>
        <w:jc w:val="center"/>
        <w:rPr>
          <w:rFonts w:hint="eastAsia"/>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245110</wp:posOffset>
            </wp:positionH>
            <wp:positionV relativeFrom="paragraph">
              <wp:posOffset>58420</wp:posOffset>
            </wp:positionV>
            <wp:extent cx="5298440" cy="1892935"/>
            <wp:effectExtent l="4445" t="4445" r="12065" b="762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bookmarkStart w:id="26" w:name="_Toc15396606"/>
      <w:bookmarkStart w:id="27" w:name="_Toc15377208"/>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四、财</w:t>
      </w:r>
      <w:r>
        <w:rPr>
          <w:rStyle w:val="29"/>
          <w:rFonts w:hint="eastAsia" w:ascii="黑体" w:hAnsi="黑体" w:eastAsia="黑体"/>
          <w:b w:val="0"/>
          <w:color w:val="auto"/>
          <w:highlight w:val="none"/>
        </w:rPr>
        <w:t>政拨款收入支出决算总体情况说明</w:t>
      </w:r>
      <w:bookmarkEnd w:id="26"/>
      <w:bookmarkEnd w:id="27"/>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938.61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w:t>
      </w:r>
      <w:r>
        <w:rPr>
          <w:rFonts w:hint="eastAsia" w:ascii="仿宋" w:hAnsi="仿宋" w:eastAsia="仿宋"/>
          <w:color w:val="000000" w:themeColor="text1"/>
          <w:sz w:val="32"/>
          <w:szCs w:val="32"/>
          <w:highlight w:val="none"/>
          <w14:textFill>
            <w14:solidFill>
              <w14:schemeClr w14:val="tx1"/>
            </w14:solidFill>
          </w14:textFill>
        </w:rPr>
        <w:t>支总计各</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u w:val="none"/>
          <w:lang w:val="en-US" w:eastAsia="zh-CN"/>
          <w14:textFill>
            <w14:solidFill>
              <w14:schemeClr w14:val="tx1"/>
            </w14:solidFill>
          </w14:textFill>
        </w:rPr>
        <w:t>217.66</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减少</w:t>
      </w:r>
      <w:r>
        <w:rPr>
          <w:rFonts w:hint="eastAsia" w:ascii="仿宋" w:hAnsi="仿宋" w:eastAsia="仿宋"/>
          <w:color w:val="000000" w:themeColor="text1"/>
          <w:sz w:val="32"/>
          <w:szCs w:val="32"/>
          <w:highlight w:val="none"/>
          <w:lang w:val="en-US" w:eastAsia="zh-CN"/>
          <w14:textFill>
            <w14:solidFill>
              <w14:schemeClr w14:val="tx1"/>
            </w14:solidFill>
          </w14:textFill>
        </w:rPr>
        <w:t>18.82</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。主要变动原因</w:t>
      </w:r>
      <w:r>
        <w:rPr>
          <w:rFonts w:hint="eastAsia" w:ascii="仿宋" w:hAnsi="仿宋" w:eastAsia="仿宋"/>
          <w:color w:val="000000" w:themeColor="text1"/>
          <w:sz w:val="32"/>
          <w:szCs w:val="32"/>
          <w:highlight w:val="none"/>
          <w:lang w:val="en-US" w:eastAsia="zh-CN"/>
          <w14:textFill>
            <w14:solidFill>
              <w14:schemeClr w14:val="tx1"/>
            </w14:solidFill>
          </w14:textFill>
        </w:rPr>
        <w:t>教职工人员减少和项目支出减少。</w:t>
      </w:r>
    </w:p>
    <w:p>
      <w:pPr>
        <w:spacing w:line="600" w:lineRule="exact"/>
        <w:ind w:firstLine="640"/>
        <w:rPr>
          <w:rFonts w:ascii="仿宋" w:hAnsi="仿宋" w:eastAsia="仿宋"/>
          <w:b/>
          <w:color w:val="auto"/>
          <w:sz w:val="32"/>
          <w:szCs w:val="32"/>
          <w:highlight w:val="none"/>
        </w:rPr>
      </w:pPr>
    </w:p>
    <w:p>
      <w:pPr>
        <w:spacing w:line="600" w:lineRule="exact"/>
        <w:ind w:firstLine="1280" w:firstLineChars="400"/>
        <w:rPr>
          <w:rFonts w:hint="eastAsia" w:ascii="黑体" w:hAnsi="黑体" w:eastAsia="黑体"/>
          <w:color w:val="auto"/>
          <w:sz w:val="32"/>
          <w:szCs w:val="32"/>
          <w:highlight w:val="none"/>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421005</wp:posOffset>
            </wp:positionH>
            <wp:positionV relativeFrom="paragraph">
              <wp:posOffset>88265</wp:posOffset>
            </wp:positionV>
            <wp:extent cx="5377815" cy="2782570"/>
            <wp:effectExtent l="4445" t="4445" r="8890" b="51435"/>
            <wp:wrapTight wrapText="bothSides">
              <wp:wrapPolygon>
                <wp:start x="-18" y="-35"/>
                <wp:lineTo x="-18" y="21556"/>
                <wp:lineTo x="21559" y="21556"/>
                <wp:lineTo x="21559" y="-35"/>
                <wp:lineTo x="-18" y="-35"/>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（图4：财政拨款收、支决算总计变动情况）（柱状图）</w:t>
      </w:r>
      <w:bookmarkStart w:id="28" w:name="_Toc15396607"/>
      <w:bookmarkStart w:id="29" w:name="_Toc15377209"/>
    </w:p>
    <w:p>
      <w:pPr>
        <w:spacing w:line="600" w:lineRule="exact"/>
        <w:ind w:firstLine="640" w:firstLineChars="200"/>
        <w:outlineLvl w:val="1"/>
        <w:rPr>
          <w:rStyle w:val="29"/>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9"/>
          <w:rFonts w:hint="eastAsia" w:ascii="黑体" w:hAnsi="黑体" w:eastAsia="黑体"/>
          <w:b w:val="0"/>
          <w:color w:val="auto"/>
          <w:highlight w:val="none"/>
        </w:rPr>
        <w:t>般公共预算财政拨款支出决算情况说明</w:t>
      </w:r>
      <w:bookmarkEnd w:id="28"/>
      <w:bookmarkEnd w:id="29"/>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0" w:name="_Toc15377210"/>
      <w:r>
        <w:rPr>
          <w:rFonts w:hint="eastAsia" w:ascii="楷体" w:hAnsi="楷体" w:eastAsia="楷体" w:cs="楷体"/>
          <w:b w:val="0"/>
          <w:bCs/>
          <w:color w:val="auto"/>
          <w:sz w:val="32"/>
          <w:szCs w:val="32"/>
          <w:highlight w:val="none"/>
        </w:rPr>
        <w:t>（一）一般公共预算财政拨款支出决算总体情况</w:t>
      </w:r>
      <w:bookmarkEnd w:id="30"/>
    </w:p>
    <w:p>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938.61</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支出减少</w:t>
      </w:r>
      <w:r>
        <w:rPr>
          <w:rFonts w:hint="eastAsia" w:ascii="仿宋" w:hAnsi="仿宋" w:eastAsia="仿宋"/>
          <w:color w:val="auto"/>
          <w:sz w:val="32"/>
          <w:szCs w:val="32"/>
          <w:highlight w:val="none"/>
          <w:lang w:val="en-US" w:eastAsia="zh-CN"/>
        </w:rPr>
        <w:t>217.66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18.82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是</w:t>
      </w:r>
      <w:r>
        <w:rPr>
          <w:rFonts w:hint="eastAsia" w:ascii="仿宋" w:hAnsi="仿宋" w:eastAsia="仿宋"/>
          <w:color w:val="000000" w:themeColor="text1"/>
          <w:sz w:val="32"/>
          <w:szCs w:val="32"/>
          <w:highlight w:val="none"/>
          <w:lang w:val="en-US" w:eastAsia="zh-CN"/>
          <w14:textFill>
            <w14:solidFill>
              <w14:schemeClr w14:val="tx1"/>
            </w14:solidFill>
          </w14:textFill>
        </w:rPr>
        <w:t>教职工人员较少和项目支出减少。</w:t>
      </w:r>
    </w:p>
    <w:p>
      <w:pPr>
        <w:spacing w:line="600" w:lineRule="exact"/>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1" locked="0" layoutInCell="1" allowOverlap="1">
            <wp:simplePos x="0" y="0"/>
            <wp:positionH relativeFrom="column">
              <wp:posOffset>420370</wp:posOffset>
            </wp:positionH>
            <wp:positionV relativeFrom="paragraph">
              <wp:posOffset>31750</wp:posOffset>
            </wp:positionV>
            <wp:extent cx="5309235" cy="2411730"/>
            <wp:effectExtent l="4445" t="4445" r="20320" b="22225"/>
            <wp:wrapTight wrapText="bothSides">
              <wp:wrapPolygon>
                <wp:start x="-18" y="-40"/>
                <wp:lineTo x="-18" y="21458"/>
                <wp:lineTo x="21528" y="21458"/>
                <wp:lineTo x="21528" y="-40"/>
                <wp:lineTo x="-18" y="-40"/>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（图5：一般公共预算财政拨款支出决算变动情况）（柱状图）</w:t>
      </w:r>
    </w:p>
    <w:p>
      <w:pPr>
        <w:spacing w:line="600" w:lineRule="exact"/>
        <w:ind w:firstLine="640" w:firstLineChars="200"/>
        <w:outlineLvl w:val="2"/>
        <w:rPr>
          <w:rFonts w:hint="eastAsia" w:ascii="楷体" w:hAnsi="楷体" w:eastAsia="楷体" w:cs="楷体"/>
          <w:b w:val="0"/>
          <w:bCs/>
          <w:color w:val="auto"/>
          <w:sz w:val="32"/>
          <w:szCs w:val="32"/>
          <w:highlight w:val="none"/>
        </w:rPr>
      </w:pPr>
      <w:bookmarkStart w:id="31" w:name="_Toc15377211"/>
      <w:r>
        <w:rPr>
          <w:rFonts w:hint="eastAsia" w:ascii="楷体" w:hAnsi="楷体" w:eastAsia="楷体" w:cs="楷体"/>
          <w:b w:val="0"/>
          <w:bCs/>
          <w:color w:val="auto"/>
          <w:sz w:val="32"/>
          <w:szCs w:val="32"/>
          <w:highlight w:val="none"/>
        </w:rPr>
        <w:t>（二）一般公共预算财政拨款支出决算结构情况</w:t>
      </w:r>
      <w:bookmarkEnd w:id="31"/>
    </w:p>
    <w:p>
      <w:pPr>
        <w:spacing w:line="600" w:lineRule="exact"/>
        <w:ind w:firstLine="640"/>
        <w:rPr>
          <w:rFonts w:hint="eastAsia"/>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938.61</w:t>
      </w:r>
      <w:r>
        <w:rPr>
          <w:rFonts w:hint="eastAsia" w:ascii="仿宋" w:hAnsi="仿宋" w:eastAsia="仿宋"/>
          <w:color w:val="auto"/>
          <w:sz w:val="32"/>
          <w:szCs w:val="32"/>
          <w:highlight w:val="none"/>
        </w:rPr>
        <w:t>万元，主要用于以下方面:教育支出（类）</w:t>
      </w:r>
      <w:r>
        <w:rPr>
          <w:rFonts w:hint="eastAsia" w:ascii="仿宋" w:hAnsi="仿宋" w:eastAsia="仿宋"/>
          <w:color w:val="auto"/>
          <w:sz w:val="32"/>
          <w:szCs w:val="32"/>
          <w:highlight w:val="none"/>
          <w:lang w:val="en-US" w:eastAsia="zh-CN"/>
        </w:rPr>
        <w:t>826.97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88.11</w:t>
      </w:r>
      <w:r>
        <w:rPr>
          <w:rFonts w:hint="eastAsia" w:ascii="仿宋" w:hAnsi="仿宋" w:eastAsia="仿宋"/>
          <w:color w:val="auto"/>
          <w:sz w:val="32"/>
          <w:szCs w:val="32"/>
          <w:highlight w:val="none"/>
        </w:rPr>
        <w:t>%；社会保障和就业（类）支出</w:t>
      </w:r>
      <w:r>
        <w:rPr>
          <w:rFonts w:hint="eastAsia" w:ascii="仿宋" w:hAnsi="仿宋" w:eastAsia="仿宋"/>
          <w:color w:val="auto"/>
          <w:sz w:val="32"/>
          <w:szCs w:val="32"/>
          <w:highlight w:val="none"/>
          <w:lang w:val="en-US" w:eastAsia="zh-CN"/>
        </w:rPr>
        <w:t>61.12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6.51</w:t>
      </w:r>
      <w:r>
        <w:rPr>
          <w:rFonts w:hint="eastAsia" w:ascii="仿宋" w:hAnsi="仿宋" w:eastAsia="仿宋"/>
          <w:color w:val="auto"/>
          <w:sz w:val="32"/>
          <w:szCs w:val="32"/>
          <w:highlight w:val="none"/>
        </w:rPr>
        <w:t>%；</w:t>
      </w:r>
      <w:r>
        <w:rPr>
          <w:rFonts w:hint="eastAsia" w:ascii="仿宋" w:hAnsi="仿宋" w:eastAsia="仿宋"/>
          <w:sz w:val="32"/>
          <w:szCs w:val="32"/>
        </w:rPr>
        <w:t>住房保障支出</w:t>
      </w:r>
      <w:r>
        <w:rPr>
          <w:rFonts w:hint="eastAsia" w:ascii="仿宋" w:hAnsi="仿宋" w:eastAsia="仿宋"/>
          <w:sz w:val="32"/>
          <w:szCs w:val="32"/>
          <w:lang w:val="en-US" w:eastAsia="zh-CN"/>
        </w:rPr>
        <w:t>50.52</w:t>
      </w:r>
      <w:r>
        <w:rPr>
          <w:rFonts w:hint="eastAsia" w:ascii="仿宋" w:hAnsi="仿宋" w:eastAsia="仿宋"/>
          <w:sz w:val="32"/>
          <w:szCs w:val="32"/>
        </w:rPr>
        <w:t>万元，占</w:t>
      </w:r>
      <w:r>
        <w:rPr>
          <w:rFonts w:hint="eastAsia" w:ascii="仿宋" w:hAnsi="仿宋" w:eastAsia="仿宋"/>
          <w:sz w:val="32"/>
          <w:szCs w:val="32"/>
          <w:lang w:val="en-US" w:eastAsia="zh-CN"/>
        </w:rPr>
        <w:t>5.38</w:t>
      </w:r>
      <w:r>
        <w:rPr>
          <w:rFonts w:ascii="仿宋" w:hAnsi="仿宋" w:eastAsia="仿宋"/>
          <w:sz w:val="32"/>
          <w:szCs w:val="32"/>
        </w:rPr>
        <w:t>%</w:t>
      </w:r>
      <w:r>
        <w:rPr>
          <w:rFonts w:hint="eastAsia" w:ascii="仿宋" w:hAnsi="仿宋" w:eastAsia="仿宋"/>
          <w:sz w:val="32"/>
          <w:szCs w:val="32"/>
        </w:rPr>
        <w:t>。</w:t>
      </w:r>
    </w:p>
    <w:p>
      <w:pPr>
        <w:pStyle w:val="2"/>
        <w:rPr>
          <w:rFonts w:hint="eastAsia"/>
        </w:rPr>
      </w:pPr>
      <w:r>
        <w:rPr>
          <w:color w:val="FF0000"/>
          <w:sz w:val="32"/>
          <w:szCs w:val="32"/>
        </w:rPr>
        <w:drawing>
          <wp:anchor distT="0" distB="0" distL="114300" distR="114300" simplePos="0" relativeHeight="251667456" behindDoc="0" locked="0" layoutInCell="1" allowOverlap="1">
            <wp:simplePos x="0" y="0"/>
            <wp:positionH relativeFrom="column">
              <wp:posOffset>244475</wp:posOffset>
            </wp:positionH>
            <wp:positionV relativeFrom="paragraph">
              <wp:posOffset>229235</wp:posOffset>
            </wp:positionV>
            <wp:extent cx="5298440" cy="2101215"/>
            <wp:effectExtent l="4445" t="4445" r="12065" b="8890"/>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32" w:name="_Toc15377212"/>
      <w:r>
        <w:rPr>
          <w:rFonts w:hint="eastAsia" w:ascii="楷体" w:hAnsi="楷体" w:eastAsia="楷体" w:cs="楷体"/>
          <w:b w:val="0"/>
          <w:bCs/>
          <w:color w:val="auto"/>
          <w:sz w:val="32"/>
          <w:szCs w:val="32"/>
          <w:highlight w:val="none"/>
        </w:rPr>
        <w:t>（三）一般公共预算财政拨款支出决算具体情况</w:t>
      </w:r>
      <w:bookmarkEnd w:id="32"/>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2"/>
        <w:rPr>
          <w:rStyle w:val="17"/>
          <w:rFonts w:hint="default" w:ascii="仿宋" w:hAnsi="仿宋" w:eastAsia="仿宋"/>
          <w:bCs/>
          <w:color w:val="000000" w:themeColor="text1"/>
          <w:sz w:val="32"/>
          <w:szCs w:val="32"/>
          <w:highlight w:val="none"/>
          <w:lang w:val="en-US" w:eastAsia="zh-CN"/>
          <w14:textFill>
            <w14:solidFill>
              <w14:schemeClr w14:val="tx1"/>
            </w14:solidFill>
          </w14:textFill>
        </w:rPr>
      </w:pPr>
      <w:bookmarkStart w:id="33" w:name="_Toc15377213"/>
      <w:bookmarkStart w:id="34" w:name="_Toc15377444"/>
      <w:bookmarkStart w:id="35"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938.61万元</w:t>
      </w:r>
      <w:r>
        <w:rPr>
          <w:rFonts w:hint="eastAsia" w:ascii="仿宋" w:hAnsi="仿宋" w:eastAsia="仿宋"/>
          <w:color w:val="auto"/>
          <w:sz w:val="32"/>
          <w:szCs w:val="32"/>
          <w:highlight w:val="none"/>
        </w:rPr>
        <w:t>，</w:t>
      </w:r>
      <w:r>
        <w:rPr>
          <w:rStyle w:val="17"/>
          <w:rFonts w:hint="eastAsia" w:ascii="仿宋" w:hAnsi="仿宋" w:eastAsia="仿宋"/>
          <w:bCs/>
          <w:color w:val="auto"/>
          <w:sz w:val="32"/>
          <w:szCs w:val="32"/>
          <w:highlight w:val="none"/>
        </w:rPr>
        <w:t>完成预算</w:t>
      </w:r>
      <w:r>
        <w:rPr>
          <w:rStyle w:val="17"/>
          <w:rFonts w:hint="eastAsia" w:ascii="仿宋" w:hAnsi="仿宋" w:eastAsia="仿宋"/>
          <w:bCs/>
          <w:color w:val="auto"/>
          <w:sz w:val="32"/>
          <w:szCs w:val="32"/>
          <w:highlight w:val="none"/>
          <w:lang w:val="en-US" w:eastAsia="zh-CN"/>
        </w:rPr>
        <w:t>100</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。其中：</w:t>
      </w:r>
      <w:bookmarkEnd w:id="33"/>
      <w:bookmarkEnd w:id="34"/>
      <w:bookmarkEnd w:id="35"/>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Style w:val="17"/>
          <w:rFonts w:hint="default" w:ascii="仿宋" w:hAnsi="仿宋" w:eastAsia="仿宋"/>
          <w:bCs/>
          <w:color w:val="000000" w:themeColor="text1"/>
          <w:sz w:val="32"/>
          <w:szCs w:val="32"/>
          <w:highlight w:val="none"/>
          <w:lang w:val="en-US" w:eastAsia="zh-CN"/>
          <w14:textFill>
            <w14:solidFill>
              <w14:schemeClr w14:val="tx1"/>
            </w14:solidFill>
          </w14:textFill>
        </w:rPr>
      </w:pPr>
      <w:r>
        <w:rPr>
          <w:rStyle w:val="17"/>
          <w:rFonts w:hint="eastAsia" w:ascii="仿宋" w:hAnsi="仿宋" w:eastAsia="仿宋" w:cstheme="minorBidi"/>
          <w:bCs/>
          <w:color w:val="auto"/>
          <w:kern w:val="2"/>
          <w:sz w:val="32"/>
          <w:szCs w:val="32"/>
          <w:highlight w:val="none"/>
          <w:lang w:val="en-US" w:eastAsia="zh-CN" w:bidi="ar-SA"/>
        </w:rPr>
        <w:t>1</w:t>
      </w:r>
      <w:r>
        <w:rPr>
          <w:rStyle w:val="17"/>
          <w:rFonts w:ascii="仿宋" w:hAnsi="仿宋" w:eastAsia="仿宋" w:cstheme="minorBidi"/>
          <w:bCs/>
          <w:color w:val="auto"/>
          <w:kern w:val="2"/>
          <w:sz w:val="32"/>
          <w:szCs w:val="32"/>
          <w:highlight w:val="none"/>
          <w:lang w:val="en-US" w:eastAsia="zh-CN" w:bidi="ar-SA"/>
        </w:rPr>
        <w:t>.</w:t>
      </w:r>
      <w:r>
        <w:rPr>
          <w:rStyle w:val="17"/>
          <w:rFonts w:hint="eastAsia" w:ascii="仿宋" w:hAnsi="仿宋" w:eastAsia="仿宋" w:cstheme="minorBidi"/>
          <w:bCs/>
          <w:color w:val="auto"/>
          <w:kern w:val="2"/>
          <w:sz w:val="32"/>
          <w:szCs w:val="32"/>
          <w:highlight w:val="none"/>
          <w:lang w:val="en-US" w:eastAsia="zh-CN" w:bidi="ar-SA"/>
        </w:rPr>
        <w:t>教育支出（类）普通教育（款）初中教育（项）</w:t>
      </w:r>
      <w:r>
        <w:rPr>
          <w:rStyle w:val="17"/>
          <w:rFonts w:ascii="仿宋" w:hAnsi="仿宋" w:eastAsia="仿宋" w:cstheme="minorBidi"/>
          <w:bCs/>
          <w:color w:val="auto"/>
          <w:kern w:val="2"/>
          <w:sz w:val="32"/>
          <w:szCs w:val="32"/>
          <w:highlight w:val="none"/>
          <w:lang w:val="en-US" w:eastAsia="zh-CN" w:bidi="ar-SA"/>
        </w:rPr>
        <w:t>:</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826.97</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Style w:val="17"/>
          <w:rFonts w:ascii="仿宋" w:hAnsi="仿宋" w:eastAsia="仿宋"/>
          <w:bCs/>
          <w:color w:val="000000" w:themeColor="text1"/>
          <w:sz w:val="32"/>
          <w:szCs w:val="32"/>
          <w:highlight w:val="none"/>
          <w14:textFill>
            <w14:solidFill>
              <w14:schemeClr w14:val="tx1"/>
            </w14:solidFill>
          </w14:textFill>
        </w:rPr>
      </w:pPr>
      <w:r>
        <w:rPr>
          <w:rStyle w:val="17"/>
          <w:rFonts w:hint="eastAsia" w:ascii="仿宋" w:hAnsi="仿宋" w:eastAsia="仿宋"/>
          <w:bCs/>
          <w:color w:val="auto"/>
          <w:sz w:val="32"/>
          <w:szCs w:val="32"/>
          <w:highlight w:val="none"/>
          <w:lang w:val="en-US" w:eastAsia="zh-CN"/>
        </w:rPr>
        <w:t>2</w:t>
      </w:r>
      <w:r>
        <w:rPr>
          <w:rStyle w:val="17"/>
          <w:rFonts w:ascii="仿宋" w:hAnsi="仿宋" w:eastAsia="仿宋"/>
          <w:bCs/>
          <w:color w:val="auto"/>
          <w:sz w:val="32"/>
          <w:szCs w:val="32"/>
          <w:highlight w:val="none"/>
        </w:rPr>
        <w:t>.</w:t>
      </w:r>
      <w:r>
        <w:rPr>
          <w:rStyle w:val="17"/>
          <w:rFonts w:hint="eastAsia" w:ascii="仿宋" w:hAnsi="仿宋" w:eastAsia="仿宋"/>
          <w:bCs/>
          <w:color w:val="auto"/>
          <w:sz w:val="32"/>
          <w:szCs w:val="32"/>
          <w:highlight w:val="none"/>
        </w:rPr>
        <w:t>社会保障和就业（类）</w:t>
      </w:r>
      <w:r>
        <w:rPr>
          <w:rStyle w:val="17"/>
          <w:rFonts w:hint="eastAsia" w:ascii="仿宋" w:hAnsi="仿宋" w:eastAsia="仿宋"/>
          <w:bCs/>
          <w:color w:val="auto"/>
          <w:sz w:val="32"/>
          <w:szCs w:val="32"/>
          <w:highlight w:val="none"/>
          <w:lang w:val="en-US" w:eastAsia="zh-CN"/>
        </w:rPr>
        <w:t>行政事业单位养老支出</w:t>
      </w:r>
      <w:r>
        <w:rPr>
          <w:rStyle w:val="17"/>
          <w:rFonts w:hint="eastAsia" w:ascii="仿宋" w:hAnsi="仿宋" w:eastAsia="仿宋"/>
          <w:bCs/>
          <w:color w:val="auto"/>
          <w:sz w:val="32"/>
          <w:szCs w:val="32"/>
          <w:highlight w:val="none"/>
        </w:rPr>
        <w:t>（款）</w:t>
      </w:r>
      <w:r>
        <w:rPr>
          <w:rStyle w:val="17"/>
          <w:rFonts w:hint="eastAsia" w:ascii="仿宋" w:hAnsi="仿宋" w:eastAsia="仿宋"/>
          <w:bCs/>
          <w:color w:val="auto"/>
          <w:sz w:val="32"/>
          <w:szCs w:val="32"/>
          <w:highlight w:val="none"/>
          <w:lang w:val="en-US" w:eastAsia="zh-CN"/>
        </w:rPr>
        <w:t>机关事业单位基本养老保险缴费支出</w:t>
      </w:r>
      <w:r>
        <w:rPr>
          <w:rStyle w:val="17"/>
          <w:rFonts w:hint="eastAsia" w:ascii="仿宋" w:hAnsi="仿宋" w:eastAsia="仿宋"/>
          <w:bCs/>
          <w:color w:val="auto"/>
          <w:sz w:val="32"/>
          <w:szCs w:val="32"/>
          <w:highlight w:val="none"/>
        </w:rPr>
        <w:t>（项）</w:t>
      </w:r>
      <w:r>
        <w:rPr>
          <w:rStyle w:val="17"/>
          <w:rFonts w:ascii="仿宋" w:hAnsi="仿宋" w:eastAsia="仿宋"/>
          <w:bCs/>
          <w:color w:val="auto"/>
          <w:sz w:val="32"/>
          <w:szCs w:val="32"/>
          <w:highlight w:val="none"/>
        </w:rPr>
        <w:t>:</w:t>
      </w:r>
      <w:r>
        <w:rPr>
          <w:rStyle w:val="17"/>
          <w:rFonts w:ascii="仿宋" w:hAnsi="仿宋" w:eastAsia="仿宋"/>
          <w:b w:val="0"/>
          <w:bCs/>
          <w:color w:val="auto"/>
          <w:sz w:val="32"/>
          <w:szCs w:val="32"/>
          <w:highlight w:val="none"/>
        </w:rPr>
        <w:t xml:space="preserve"> </w:t>
      </w:r>
      <w:r>
        <w:rPr>
          <w:rStyle w:val="17"/>
          <w:rFonts w:hint="eastAsia" w:ascii="仿宋" w:hAnsi="仿宋" w:eastAsia="仿宋"/>
          <w:b w:val="0"/>
          <w:bCs/>
          <w:color w:val="auto"/>
          <w:sz w:val="32"/>
          <w:szCs w:val="32"/>
          <w:highlight w:val="none"/>
        </w:rPr>
        <w:t>支出决算为</w:t>
      </w:r>
      <w:r>
        <w:rPr>
          <w:rStyle w:val="17"/>
          <w:rFonts w:hint="eastAsia" w:ascii="仿宋" w:hAnsi="仿宋" w:eastAsia="仿宋"/>
          <w:b w:val="0"/>
          <w:bCs/>
          <w:color w:val="auto"/>
          <w:sz w:val="32"/>
          <w:szCs w:val="32"/>
          <w:highlight w:val="none"/>
          <w:lang w:val="en-US" w:eastAsia="zh-CN"/>
        </w:rPr>
        <w:t>61.12</w:t>
      </w:r>
      <w:r>
        <w:rPr>
          <w:rStyle w:val="17"/>
          <w:rFonts w:hint="eastAsia" w:ascii="仿宋" w:hAnsi="仿宋" w:eastAsia="仿宋"/>
          <w:b w:val="0"/>
          <w:bCs/>
          <w:color w:val="auto"/>
          <w:sz w:val="32"/>
          <w:szCs w:val="32"/>
          <w:highlight w:val="none"/>
        </w:rPr>
        <w:t>万元，完成预算</w:t>
      </w:r>
      <w:r>
        <w:rPr>
          <w:rStyle w:val="17"/>
          <w:rFonts w:hint="eastAsia" w:ascii="仿宋" w:hAnsi="仿宋" w:eastAsia="仿宋"/>
          <w:b w:val="0"/>
          <w:bCs/>
          <w:color w:val="auto"/>
          <w:sz w:val="32"/>
          <w:szCs w:val="32"/>
          <w:highlight w:val="none"/>
          <w:lang w:val="en-US" w:eastAsia="zh-CN"/>
        </w:rPr>
        <w:t>100.00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，决算数等于预算数的主要原因是</w:t>
      </w:r>
      <w:r>
        <w:rPr>
          <w:rStyle w:val="17"/>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7"/>
          <w:rFonts w:hint="eastAsia" w:ascii="仿宋" w:hAnsi="仿宋" w:eastAsia="仿宋"/>
          <w:b w:val="0"/>
          <w:bCs/>
          <w:color w:val="000000" w:themeColor="text1"/>
          <w:sz w:val="32"/>
          <w:szCs w:val="32"/>
          <w:highlight w:val="none"/>
          <w:lang w:val="en-US" w:eastAsia="zh-CN"/>
          <w14:textFill>
            <w14:solidFill>
              <w14:schemeClr w14:val="tx1"/>
            </w14:solidFill>
          </w14:textFill>
        </w:rPr>
        <w:t>预算执行中根据实际支出情况调整预算。</w:t>
      </w:r>
    </w:p>
    <w:p>
      <w:pPr>
        <w:keepNext w:val="0"/>
        <w:keepLines w:val="0"/>
        <w:pageBreakBefore w:val="0"/>
        <w:widowControl w:val="0"/>
        <w:tabs>
          <w:tab w:val="right" w:pos="8306"/>
        </w:tabs>
        <w:kinsoku/>
        <w:wordWrap/>
        <w:overflowPunct/>
        <w:topLinePunct w:val="0"/>
        <w:autoSpaceDE/>
        <w:autoSpaceDN/>
        <w:bidi w:val="0"/>
        <w:adjustRightInd/>
        <w:snapToGrid w:val="0"/>
        <w:spacing w:line="560" w:lineRule="exact"/>
        <w:ind w:firstLine="640"/>
        <w:textAlignment w:val="auto"/>
        <w:outlineLvl w:val="1"/>
        <w:rPr>
          <w:rFonts w:hint="eastAsia" w:ascii="黑体" w:eastAsia="黑体"/>
          <w:color w:val="auto"/>
          <w:sz w:val="32"/>
          <w:szCs w:val="32"/>
          <w:highlight w:val="none"/>
        </w:rPr>
      </w:pPr>
      <w:bookmarkStart w:id="36" w:name="_Toc15396608"/>
      <w:bookmarkStart w:id="37" w:name="_Toc15377214"/>
      <w:r>
        <w:rPr>
          <w:rStyle w:val="17"/>
          <w:rFonts w:hint="eastAsia" w:ascii="仿宋" w:hAnsi="仿宋" w:eastAsia="仿宋"/>
          <w:bCs/>
          <w:color w:val="auto"/>
          <w:sz w:val="32"/>
          <w:szCs w:val="32"/>
          <w:highlight w:val="none"/>
          <w:lang w:val="en-US" w:eastAsia="zh-CN"/>
        </w:rPr>
        <w:t>3</w:t>
      </w:r>
      <w:r>
        <w:rPr>
          <w:rStyle w:val="17"/>
          <w:rFonts w:ascii="仿宋" w:hAnsi="仿宋" w:eastAsia="仿宋"/>
          <w:bCs/>
          <w:color w:val="auto"/>
          <w:sz w:val="32"/>
          <w:szCs w:val="32"/>
          <w:highlight w:val="none"/>
        </w:rPr>
        <w:t>.</w:t>
      </w:r>
      <w:r>
        <w:rPr>
          <w:rFonts w:hint="eastAsia" w:ascii="仿宋" w:hAnsi="仿宋" w:eastAsia="仿宋"/>
          <w:b/>
          <w:bCs/>
          <w:sz w:val="32"/>
          <w:szCs w:val="32"/>
        </w:rPr>
        <w:t>住房保障支出</w:t>
      </w:r>
      <w:r>
        <w:rPr>
          <w:rStyle w:val="17"/>
          <w:rFonts w:hint="eastAsia" w:ascii="仿宋" w:hAnsi="仿宋" w:eastAsia="仿宋"/>
          <w:bCs/>
          <w:sz w:val="32"/>
          <w:szCs w:val="32"/>
        </w:rPr>
        <w:t>（类）</w:t>
      </w:r>
      <w:r>
        <w:rPr>
          <w:rFonts w:hint="eastAsia" w:ascii="仿宋" w:hAnsi="仿宋" w:eastAsia="仿宋"/>
          <w:b/>
          <w:bCs/>
          <w:sz w:val="32"/>
          <w:szCs w:val="32"/>
        </w:rPr>
        <w:t>住房改革支出</w:t>
      </w:r>
      <w:r>
        <w:rPr>
          <w:rStyle w:val="17"/>
          <w:rFonts w:hint="eastAsia" w:ascii="仿宋" w:hAnsi="仿宋" w:eastAsia="仿宋"/>
          <w:bCs/>
          <w:sz w:val="32"/>
          <w:szCs w:val="32"/>
        </w:rPr>
        <w:t>（款）住房公积金（项）</w:t>
      </w:r>
      <w:r>
        <w:rPr>
          <w:rStyle w:val="17"/>
          <w:rFonts w:ascii="仿宋" w:hAnsi="仿宋" w:eastAsia="仿宋"/>
          <w:bCs/>
          <w:sz w:val="32"/>
          <w:szCs w:val="32"/>
        </w:rPr>
        <w:t>:</w:t>
      </w:r>
      <w:r>
        <w:rPr>
          <w:rStyle w:val="17"/>
          <w:rFonts w:hint="eastAsia" w:ascii="仿宋" w:hAnsi="仿宋" w:eastAsia="仿宋"/>
          <w:b w:val="0"/>
          <w:bCs/>
          <w:color w:val="auto"/>
          <w:sz w:val="32"/>
          <w:szCs w:val="32"/>
          <w:highlight w:val="none"/>
        </w:rPr>
        <w:t>支出决算为</w:t>
      </w:r>
      <w:r>
        <w:rPr>
          <w:rFonts w:hint="eastAsia" w:ascii="仿宋" w:hAnsi="仿宋" w:eastAsia="仿宋"/>
          <w:color w:val="auto"/>
          <w:sz w:val="32"/>
          <w:szCs w:val="32"/>
          <w:highlight w:val="none"/>
          <w:lang w:val="en-US" w:eastAsia="zh-CN"/>
        </w:rPr>
        <w:t>50.52</w:t>
      </w:r>
      <w:r>
        <w:rPr>
          <w:rFonts w:hint="eastAsia" w:ascii="仿宋" w:hAnsi="仿宋" w:eastAsia="仿宋"/>
          <w:color w:val="auto"/>
          <w:sz w:val="32"/>
          <w:szCs w:val="32"/>
          <w:highlight w:val="none"/>
        </w:rPr>
        <w:t>万元，</w:t>
      </w:r>
      <w:r>
        <w:rPr>
          <w:rStyle w:val="17"/>
          <w:rFonts w:hint="eastAsia" w:ascii="仿宋" w:hAnsi="仿宋" w:eastAsia="仿宋"/>
          <w:b w:val="0"/>
          <w:bCs/>
          <w:color w:val="auto"/>
          <w:sz w:val="32"/>
          <w:szCs w:val="32"/>
          <w:highlight w:val="none"/>
        </w:rPr>
        <w:t>完成预算</w:t>
      </w:r>
      <w:r>
        <w:rPr>
          <w:rStyle w:val="17"/>
          <w:rFonts w:hint="eastAsia" w:ascii="仿宋" w:hAnsi="仿宋" w:eastAsia="仿宋"/>
          <w:b w:val="0"/>
          <w:bCs/>
          <w:color w:val="auto"/>
          <w:sz w:val="32"/>
          <w:szCs w:val="32"/>
          <w:highlight w:val="none"/>
          <w:lang w:val="en-US" w:eastAsia="zh-CN"/>
        </w:rPr>
        <w:t>100</w:t>
      </w:r>
      <w:r>
        <w:rPr>
          <w:rStyle w:val="17"/>
          <w:rFonts w:ascii="仿宋" w:hAnsi="仿宋" w:eastAsia="仿宋"/>
          <w:b w:val="0"/>
          <w:bCs/>
          <w:color w:val="auto"/>
          <w:sz w:val="32"/>
          <w:szCs w:val="32"/>
          <w:highlight w:val="none"/>
        </w:rPr>
        <w:t>%</w:t>
      </w:r>
      <w:r>
        <w:rPr>
          <w:rStyle w:val="17"/>
          <w:rFonts w:hint="eastAsia" w:ascii="仿宋" w:hAnsi="仿宋" w:eastAsia="仿宋"/>
          <w:b w:val="0"/>
          <w:bCs/>
          <w:color w:val="auto"/>
          <w:sz w:val="32"/>
          <w:szCs w:val="32"/>
          <w:highlight w:val="none"/>
        </w:rPr>
        <w:t>，决算数等于预算数。</w:t>
      </w:r>
    </w:p>
    <w:p>
      <w:pPr>
        <w:keepNext w:val="0"/>
        <w:keepLines w:val="0"/>
        <w:pageBreakBefore w:val="0"/>
        <w:widowControl w:val="0"/>
        <w:tabs>
          <w:tab w:val="right" w:pos="8306"/>
        </w:tabs>
        <w:kinsoku/>
        <w:wordWrap/>
        <w:overflowPunct/>
        <w:topLinePunct w:val="0"/>
        <w:autoSpaceDE/>
        <w:autoSpaceDN/>
        <w:bidi w:val="0"/>
        <w:adjustRightInd/>
        <w:snapToGrid w:val="0"/>
        <w:spacing w:line="560" w:lineRule="exact"/>
        <w:ind w:firstLine="640"/>
        <w:textAlignment w:val="auto"/>
        <w:outlineLvl w:val="1"/>
        <w:rPr>
          <w:rStyle w:val="29"/>
          <w:color w:val="auto"/>
          <w:sz w:val="32"/>
          <w:szCs w:val="32"/>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9"/>
          <w:rFonts w:hint="eastAsia" w:ascii="黑体" w:hAnsi="黑体" w:eastAsia="黑体"/>
          <w:b w:val="0"/>
          <w:color w:val="auto"/>
          <w:sz w:val="32"/>
          <w:szCs w:val="32"/>
          <w:highlight w:val="none"/>
        </w:rPr>
        <w:t>般公共预算财政拨款基本支出决算情况说明</w:t>
      </w:r>
      <w:bookmarkEnd w:id="36"/>
      <w:bookmarkEnd w:id="37"/>
      <w:r>
        <w:rPr>
          <w:rStyle w:val="29"/>
          <w:rFonts w:ascii="黑体" w:hAnsi="黑体" w:eastAsia="黑体"/>
          <w:b w:val="0"/>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 w:hAnsi="仿宋" w:eastAsia="仿宋"/>
          <w:color w:val="auto"/>
          <w:spacing w:val="-6"/>
          <w:sz w:val="32"/>
          <w:szCs w:val="32"/>
          <w:highlight w:val="none"/>
        </w:rPr>
      </w:pPr>
      <w:r>
        <w:rPr>
          <w:rFonts w:ascii="仿宋" w:hAnsi="仿宋" w:eastAsia="仿宋"/>
          <w:color w:val="auto"/>
          <w:sz w:val="32"/>
          <w:szCs w:val="32"/>
          <w:highlight w:val="none"/>
        </w:rPr>
        <w:t>2</w:t>
      </w:r>
      <w:r>
        <w:rPr>
          <w:rFonts w:ascii="仿宋" w:hAnsi="仿宋" w:eastAsia="仿宋"/>
          <w:color w:val="auto"/>
          <w:spacing w:val="-6"/>
          <w:sz w:val="32"/>
          <w:szCs w:val="32"/>
          <w:highlight w:val="none"/>
        </w:rPr>
        <w:t>0</w:t>
      </w:r>
      <w:r>
        <w:rPr>
          <w:rFonts w:hint="eastAsia" w:ascii="仿宋" w:hAnsi="仿宋" w:eastAsia="仿宋"/>
          <w:color w:val="auto"/>
          <w:spacing w:val="-6"/>
          <w:sz w:val="32"/>
          <w:szCs w:val="32"/>
          <w:highlight w:val="none"/>
          <w:lang w:val="en-US" w:eastAsia="zh-CN"/>
        </w:rPr>
        <w:t>22</w:t>
      </w:r>
      <w:r>
        <w:rPr>
          <w:rFonts w:hint="eastAsia" w:ascii="仿宋" w:hAnsi="仿宋" w:eastAsia="仿宋"/>
          <w:color w:val="auto"/>
          <w:spacing w:val="-6"/>
          <w:sz w:val="32"/>
          <w:szCs w:val="32"/>
          <w:highlight w:val="none"/>
        </w:rPr>
        <w:t>年一般公共预算财政拨款基本支出</w:t>
      </w:r>
      <w:r>
        <w:rPr>
          <w:rFonts w:hint="eastAsia" w:ascii="仿宋" w:hAnsi="仿宋" w:eastAsia="仿宋"/>
          <w:color w:val="auto"/>
          <w:spacing w:val="-6"/>
          <w:sz w:val="32"/>
          <w:szCs w:val="32"/>
          <w:highlight w:val="none"/>
          <w:lang w:val="en-US" w:eastAsia="zh-CN"/>
        </w:rPr>
        <w:t>887.61</w:t>
      </w:r>
      <w:r>
        <w:rPr>
          <w:rFonts w:hint="eastAsia" w:ascii="仿宋" w:hAnsi="仿宋" w:eastAsia="仿宋"/>
          <w:color w:val="auto"/>
          <w:spacing w:val="-6"/>
          <w:sz w:val="32"/>
          <w:szCs w:val="32"/>
          <w:highlight w:val="none"/>
        </w:rPr>
        <w:t>万元，其中：</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818.71</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246.96</w:t>
      </w:r>
      <w:r>
        <w:rPr>
          <w:rFonts w:hint="eastAsia" w:ascii="仿宋" w:hAnsi="仿宋" w:eastAsia="仿宋"/>
          <w:color w:val="auto"/>
          <w:sz w:val="32"/>
          <w:szCs w:val="32"/>
          <w:highlight w:val="none"/>
        </w:rPr>
        <w:t>万元、津贴补贴</w:t>
      </w:r>
      <w:r>
        <w:rPr>
          <w:rFonts w:hint="eastAsia" w:ascii="仿宋" w:hAnsi="仿宋" w:eastAsia="仿宋"/>
          <w:color w:val="auto"/>
          <w:sz w:val="32"/>
          <w:szCs w:val="32"/>
          <w:highlight w:val="none"/>
          <w:lang w:val="en-US" w:eastAsia="zh-CN"/>
        </w:rPr>
        <w:t>89.39</w:t>
      </w:r>
      <w:r>
        <w:rPr>
          <w:rFonts w:hint="eastAsia" w:ascii="仿宋" w:hAnsi="仿宋" w:eastAsia="仿宋"/>
          <w:color w:val="auto"/>
          <w:sz w:val="32"/>
          <w:szCs w:val="32"/>
          <w:highlight w:val="none"/>
        </w:rPr>
        <w:t>万元、绩效工资</w:t>
      </w:r>
      <w:r>
        <w:rPr>
          <w:rFonts w:hint="eastAsia" w:ascii="仿宋" w:hAnsi="仿宋" w:eastAsia="仿宋"/>
          <w:color w:val="auto"/>
          <w:sz w:val="32"/>
          <w:szCs w:val="32"/>
          <w:highlight w:val="none"/>
          <w:lang w:val="en-US" w:eastAsia="zh-CN"/>
        </w:rPr>
        <w:t>194.36</w:t>
      </w:r>
      <w:r>
        <w:rPr>
          <w:rFonts w:hint="eastAsia" w:ascii="仿宋" w:hAnsi="仿宋" w:eastAsia="仿宋"/>
          <w:color w:val="auto"/>
          <w:sz w:val="32"/>
          <w:szCs w:val="32"/>
          <w:highlight w:val="none"/>
        </w:rPr>
        <w:t>万元、机关事业单位基本养老保险缴费</w:t>
      </w:r>
      <w:r>
        <w:rPr>
          <w:rFonts w:hint="eastAsia" w:ascii="仿宋" w:hAnsi="仿宋" w:eastAsia="仿宋"/>
          <w:color w:val="auto"/>
          <w:sz w:val="32"/>
          <w:szCs w:val="32"/>
          <w:highlight w:val="none"/>
          <w:lang w:val="en-US" w:eastAsia="zh-CN"/>
        </w:rPr>
        <w:t>61.12</w:t>
      </w:r>
      <w:r>
        <w:rPr>
          <w:rFonts w:hint="eastAsia" w:ascii="仿宋" w:hAnsi="仿宋" w:eastAsia="仿宋"/>
          <w:color w:val="auto"/>
          <w:sz w:val="32"/>
          <w:szCs w:val="32"/>
          <w:highlight w:val="none"/>
        </w:rPr>
        <w:t>万元、其他社会保障缴费1</w:t>
      </w:r>
      <w:r>
        <w:rPr>
          <w:rFonts w:hint="eastAsia" w:ascii="仿宋" w:hAnsi="仿宋" w:eastAsia="仿宋"/>
          <w:color w:val="auto"/>
          <w:sz w:val="32"/>
          <w:szCs w:val="32"/>
          <w:highlight w:val="none"/>
          <w:lang w:val="en-US" w:eastAsia="zh-CN"/>
        </w:rPr>
        <w:t>0.66</w:t>
      </w:r>
      <w:r>
        <w:rPr>
          <w:rFonts w:hint="eastAsia" w:ascii="仿宋" w:hAnsi="仿宋" w:eastAsia="仿宋"/>
          <w:color w:val="auto"/>
          <w:sz w:val="32"/>
          <w:szCs w:val="32"/>
          <w:highlight w:val="none"/>
        </w:rPr>
        <w:t>万元、其他工资福利支出</w:t>
      </w:r>
      <w:r>
        <w:rPr>
          <w:rFonts w:hint="eastAsia" w:ascii="仿宋" w:hAnsi="仿宋" w:eastAsia="仿宋"/>
          <w:color w:val="auto"/>
          <w:sz w:val="32"/>
          <w:szCs w:val="32"/>
          <w:highlight w:val="none"/>
          <w:lang w:val="en-US" w:eastAsia="zh-CN"/>
        </w:rPr>
        <w:t>83.93</w:t>
      </w:r>
      <w:r>
        <w:rPr>
          <w:rFonts w:hint="eastAsia" w:ascii="仿宋" w:hAnsi="仿宋" w:eastAsia="仿宋"/>
          <w:color w:val="auto"/>
          <w:sz w:val="32"/>
          <w:szCs w:val="32"/>
          <w:highlight w:val="none"/>
        </w:rPr>
        <w:t>万元、生活补助</w:t>
      </w:r>
      <w:r>
        <w:rPr>
          <w:rFonts w:hint="eastAsia" w:ascii="仿宋" w:hAnsi="仿宋" w:eastAsia="仿宋"/>
          <w:color w:val="auto"/>
          <w:sz w:val="32"/>
          <w:szCs w:val="32"/>
          <w:highlight w:val="none"/>
          <w:lang w:val="en-US" w:eastAsia="zh-CN"/>
        </w:rPr>
        <w:t>46.95</w:t>
      </w:r>
      <w:r>
        <w:rPr>
          <w:rFonts w:hint="eastAsia" w:ascii="仿宋" w:hAnsi="仿宋" w:eastAsia="仿宋"/>
          <w:color w:val="auto"/>
          <w:sz w:val="32"/>
          <w:szCs w:val="32"/>
          <w:highlight w:val="none"/>
        </w:rPr>
        <w:t>万元、医疗</w:t>
      </w:r>
      <w:r>
        <w:rPr>
          <w:rFonts w:hint="eastAsia" w:ascii="仿宋" w:hAnsi="仿宋" w:eastAsia="仿宋"/>
          <w:color w:val="auto"/>
          <w:sz w:val="32"/>
          <w:szCs w:val="32"/>
          <w:highlight w:val="none"/>
          <w:lang w:eastAsia="zh-CN"/>
        </w:rPr>
        <w:t>保险</w:t>
      </w:r>
      <w:r>
        <w:rPr>
          <w:rFonts w:hint="eastAsia" w:ascii="仿宋" w:hAnsi="仿宋" w:eastAsia="仿宋"/>
          <w:color w:val="auto"/>
          <w:sz w:val="32"/>
          <w:szCs w:val="32"/>
          <w:highlight w:val="none"/>
        </w:rPr>
        <w:t>33.</w:t>
      </w: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rPr>
        <w:t>万元、奖励金</w:t>
      </w:r>
      <w:r>
        <w:rPr>
          <w:rFonts w:hint="eastAsia" w:ascii="仿宋" w:hAnsi="仿宋" w:eastAsia="仿宋"/>
          <w:color w:val="auto"/>
          <w:sz w:val="32"/>
          <w:szCs w:val="32"/>
          <w:highlight w:val="none"/>
          <w:lang w:val="en-US" w:eastAsia="zh-CN"/>
        </w:rPr>
        <w:t>1.70万元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50.52</w:t>
      </w:r>
      <w:r>
        <w:rPr>
          <w:rFonts w:hint="eastAsia" w:ascii="仿宋" w:hAnsi="仿宋" w:eastAsia="仿宋"/>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68.90</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11.03</w:t>
      </w:r>
      <w:r>
        <w:rPr>
          <w:rFonts w:hint="eastAsia" w:ascii="仿宋" w:hAnsi="仿宋" w:eastAsia="仿宋"/>
          <w:color w:val="auto"/>
          <w:sz w:val="32"/>
          <w:szCs w:val="32"/>
          <w:highlight w:val="none"/>
        </w:rPr>
        <w:t>万元、印刷费</w:t>
      </w:r>
      <w:r>
        <w:rPr>
          <w:rFonts w:hint="eastAsia" w:ascii="仿宋" w:hAnsi="仿宋" w:eastAsia="仿宋"/>
          <w:color w:val="auto"/>
          <w:sz w:val="32"/>
          <w:szCs w:val="32"/>
          <w:highlight w:val="none"/>
          <w:lang w:val="en-US" w:eastAsia="zh-CN"/>
        </w:rPr>
        <w:t>1.29</w:t>
      </w:r>
      <w:r>
        <w:rPr>
          <w:rFonts w:hint="eastAsia" w:ascii="仿宋" w:hAnsi="仿宋" w:eastAsia="仿宋"/>
          <w:color w:val="auto"/>
          <w:sz w:val="32"/>
          <w:szCs w:val="32"/>
          <w:highlight w:val="none"/>
        </w:rPr>
        <w:t>万元、手续费0.1</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万元、水费</w:t>
      </w:r>
      <w:r>
        <w:rPr>
          <w:rFonts w:hint="eastAsia" w:ascii="仿宋" w:hAnsi="仿宋" w:eastAsia="仿宋"/>
          <w:color w:val="auto"/>
          <w:sz w:val="32"/>
          <w:szCs w:val="32"/>
          <w:highlight w:val="none"/>
          <w:lang w:val="en-US" w:eastAsia="zh-CN"/>
        </w:rPr>
        <w:t>3.34</w:t>
      </w:r>
      <w:r>
        <w:rPr>
          <w:rFonts w:hint="eastAsia" w:ascii="仿宋" w:hAnsi="仿宋" w:eastAsia="仿宋"/>
          <w:color w:val="auto"/>
          <w:sz w:val="32"/>
          <w:szCs w:val="32"/>
          <w:highlight w:val="none"/>
        </w:rPr>
        <w:t>万元、电费</w:t>
      </w:r>
      <w:r>
        <w:rPr>
          <w:rFonts w:hint="eastAsia" w:ascii="仿宋" w:hAnsi="仿宋" w:eastAsia="仿宋"/>
          <w:color w:val="auto"/>
          <w:sz w:val="32"/>
          <w:szCs w:val="32"/>
          <w:highlight w:val="none"/>
          <w:lang w:val="en-US" w:eastAsia="zh-CN"/>
        </w:rPr>
        <w:t>4.09</w:t>
      </w:r>
      <w:r>
        <w:rPr>
          <w:rFonts w:hint="eastAsia" w:ascii="仿宋" w:hAnsi="仿宋" w:eastAsia="仿宋"/>
          <w:color w:val="auto"/>
          <w:sz w:val="32"/>
          <w:szCs w:val="32"/>
          <w:highlight w:val="none"/>
        </w:rPr>
        <w:t>万元、邮电费</w:t>
      </w:r>
      <w:r>
        <w:rPr>
          <w:rFonts w:hint="eastAsia" w:ascii="仿宋" w:hAnsi="仿宋" w:eastAsia="仿宋"/>
          <w:color w:val="auto"/>
          <w:sz w:val="32"/>
          <w:szCs w:val="32"/>
          <w:highlight w:val="none"/>
          <w:lang w:val="en-US" w:eastAsia="zh-CN"/>
        </w:rPr>
        <w:t>2.80</w:t>
      </w:r>
      <w:r>
        <w:rPr>
          <w:rFonts w:hint="eastAsia" w:ascii="仿宋" w:hAnsi="仿宋" w:eastAsia="仿宋"/>
          <w:color w:val="auto"/>
          <w:sz w:val="32"/>
          <w:szCs w:val="32"/>
          <w:highlight w:val="none"/>
        </w:rPr>
        <w:t>万元、差旅费</w:t>
      </w:r>
      <w:r>
        <w:rPr>
          <w:rFonts w:hint="eastAsia" w:ascii="仿宋" w:hAnsi="仿宋" w:eastAsia="仿宋"/>
          <w:color w:val="auto"/>
          <w:sz w:val="32"/>
          <w:szCs w:val="32"/>
          <w:highlight w:val="none"/>
          <w:lang w:val="en-US" w:eastAsia="zh-CN"/>
        </w:rPr>
        <w:t>6.97</w:t>
      </w:r>
      <w:r>
        <w:rPr>
          <w:rFonts w:hint="eastAsia" w:ascii="仿宋" w:hAnsi="仿宋" w:eastAsia="仿宋"/>
          <w:color w:val="auto"/>
          <w:sz w:val="32"/>
          <w:szCs w:val="32"/>
          <w:highlight w:val="none"/>
        </w:rPr>
        <w:t>万元、维修（护）费</w:t>
      </w:r>
      <w:r>
        <w:rPr>
          <w:rFonts w:hint="eastAsia" w:ascii="仿宋" w:hAnsi="仿宋" w:eastAsia="仿宋"/>
          <w:color w:val="auto"/>
          <w:sz w:val="32"/>
          <w:szCs w:val="32"/>
          <w:highlight w:val="none"/>
          <w:lang w:val="en-US" w:eastAsia="zh-CN"/>
        </w:rPr>
        <w:t>5.02</w:t>
      </w:r>
      <w:r>
        <w:rPr>
          <w:rFonts w:hint="eastAsia" w:ascii="仿宋" w:hAnsi="仿宋" w:eastAsia="仿宋"/>
          <w:color w:val="auto"/>
          <w:sz w:val="32"/>
          <w:szCs w:val="32"/>
          <w:highlight w:val="none"/>
        </w:rPr>
        <w:t>万元、培训费</w:t>
      </w:r>
      <w:r>
        <w:rPr>
          <w:rFonts w:hint="eastAsia" w:ascii="仿宋" w:hAnsi="仿宋" w:eastAsia="仿宋"/>
          <w:color w:val="auto"/>
          <w:sz w:val="32"/>
          <w:szCs w:val="32"/>
          <w:highlight w:val="none"/>
          <w:lang w:val="en-US" w:eastAsia="zh-CN"/>
        </w:rPr>
        <w:t>0.8</w:t>
      </w:r>
      <w:r>
        <w:rPr>
          <w:rFonts w:hint="eastAsia" w:ascii="仿宋" w:hAnsi="仿宋" w:eastAsia="仿宋"/>
          <w:color w:val="auto"/>
          <w:sz w:val="32"/>
          <w:szCs w:val="32"/>
          <w:highlight w:val="none"/>
        </w:rPr>
        <w:t>4万元、劳务费</w:t>
      </w:r>
      <w:r>
        <w:rPr>
          <w:rFonts w:hint="eastAsia" w:ascii="仿宋" w:hAnsi="仿宋" w:eastAsia="仿宋"/>
          <w:color w:val="auto"/>
          <w:sz w:val="32"/>
          <w:szCs w:val="32"/>
          <w:highlight w:val="none"/>
          <w:lang w:val="en-US" w:eastAsia="zh-CN"/>
        </w:rPr>
        <w:t>23.86</w:t>
      </w:r>
      <w:r>
        <w:rPr>
          <w:rFonts w:hint="eastAsia" w:ascii="仿宋" w:hAnsi="仿宋" w:eastAsia="仿宋"/>
          <w:color w:val="auto"/>
          <w:sz w:val="32"/>
          <w:szCs w:val="32"/>
          <w:highlight w:val="none"/>
        </w:rPr>
        <w:t>万元、工会经费</w:t>
      </w:r>
      <w:r>
        <w:rPr>
          <w:rFonts w:hint="eastAsia" w:ascii="仿宋" w:hAnsi="仿宋" w:eastAsia="仿宋"/>
          <w:color w:val="auto"/>
          <w:sz w:val="32"/>
          <w:szCs w:val="32"/>
          <w:highlight w:val="none"/>
          <w:lang w:val="en-US" w:eastAsia="zh-CN"/>
        </w:rPr>
        <w:t>3.9</w:t>
      </w:r>
      <w:r>
        <w:rPr>
          <w:rFonts w:hint="eastAsia" w:ascii="仿宋" w:hAnsi="仿宋" w:eastAsia="仿宋"/>
          <w:color w:val="auto"/>
          <w:sz w:val="32"/>
          <w:szCs w:val="32"/>
          <w:highlight w:val="none"/>
        </w:rPr>
        <w:t>8万元、福利费</w:t>
      </w:r>
      <w:r>
        <w:rPr>
          <w:rFonts w:hint="eastAsia" w:ascii="仿宋" w:hAnsi="仿宋" w:eastAsia="仿宋"/>
          <w:color w:val="auto"/>
          <w:sz w:val="32"/>
          <w:szCs w:val="32"/>
          <w:highlight w:val="none"/>
          <w:lang w:val="en-US" w:eastAsia="zh-CN"/>
        </w:rPr>
        <w:t>5.56</w:t>
      </w:r>
      <w:r>
        <w:rPr>
          <w:rFonts w:hint="eastAsia" w:ascii="仿宋" w:hAnsi="仿宋" w:eastAsia="仿宋"/>
          <w:color w:val="auto"/>
          <w:sz w:val="32"/>
          <w:szCs w:val="32"/>
          <w:highlight w:val="none"/>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5"/>
        <w:textAlignment w:val="auto"/>
        <w:rPr>
          <w:rFonts w:hint="eastAsia" w:ascii="仿宋" w:hAnsi="仿宋" w:eastAsia="仿宋"/>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1"/>
        <w:rPr>
          <w:rFonts w:hint="eastAsia" w:ascii="黑体" w:eastAsia="黑体"/>
          <w:color w:val="auto"/>
          <w:sz w:val="32"/>
          <w:szCs w:val="32"/>
          <w:highlight w:val="none"/>
        </w:rPr>
      </w:pPr>
      <w:bookmarkStart w:id="38" w:name="_Toc15396609"/>
      <w:bookmarkStart w:id="39" w:name="_Toc15377215"/>
    </w:p>
    <w:p>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1"/>
        <w:rPr>
          <w:rStyle w:val="29"/>
          <w:rFonts w:ascii="黑体" w:hAnsi="黑体" w:eastAsia="黑体"/>
          <w:b w:val="0"/>
          <w:color w:val="auto"/>
          <w:sz w:val="32"/>
          <w:szCs w:val="32"/>
          <w:highlight w:val="none"/>
        </w:rPr>
      </w:pPr>
      <w:r>
        <w:rPr>
          <w:rFonts w:hint="eastAsia" w:ascii="黑体" w:eastAsia="黑体"/>
          <w:color w:val="auto"/>
          <w:sz w:val="32"/>
          <w:szCs w:val="32"/>
          <w:highlight w:val="none"/>
        </w:rPr>
        <w:t>七、</w:t>
      </w:r>
      <w:r>
        <w:rPr>
          <w:rStyle w:val="29"/>
          <w:rFonts w:hint="eastAsia" w:ascii="黑体" w:hAnsi="黑体" w:eastAsia="黑体"/>
          <w:b w:val="0"/>
          <w:color w:val="auto"/>
          <w:sz w:val="32"/>
          <w:szCs w:val="32"/>
          <w:highlight w:val="none"/>
        </w:rPr>
        <w:t>财政拨款</w:t>
      </w:r>
      <w:r>
        <w:rPr>
          <w:rStyle w:val="29"/>
          <w:rFonts w:hint="eastAsia" w:ascii="黑体" w:hAnsi="黑体" w:eastAsia="黑体"/>
          <w:color w:val="auto"/>
          <w:sz w:val="32"/>
          <w:szCs w:val="32"/>
          <w:highlight w:val="none"/>
        </w:rPr>
        <w:t>“</w:t>
      </w:r>
      <w:r>
        <w:rPr>
          <w:rStyle w:val="29"/>
          <w:rFonts w:hint="eastAsia" w:ascii="黑体" w:hAnsi="黑体" w:eastAsia="黑体"/>
          <w:b w:val="0"/>
          <w:color w:val="auto"/>
          <w:sz w:val="32"/>
          <w:szCs w:val="32"/>
          <w:highlight w:val="none"/>
        </w:rPr>
        <w:t>三公”经费支出决算情况说明</w:t>
      </w:r>
      <w:bookmarkEnd w:id="38"/>
      <w:bookmarkEnd w:id="39"/>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0" w:name="_Toc15377216"/>
      <w:r>
        <w:rPr>
          <w:rFonts w:hint="eastAsia" w:ascii="楷体" w:hAnsi="楷体" w:eastAsia="楷体" w:cs="楷体"/>
          <w:b w:val="0"/>
          <w:bCs/>
          <w:color w:val="auto"/>
          <w:sz w:val="32"/>
          <w:szCs w:val="32"/>
          <w:highlight w:val="none"/>
        </w:rPr>
        <w:t>（一）“三公”经费财政拨款支出决算总体情况说明</w:t>
      </w:r>
      <w:bookmarkEnd w:id="40"/>
    </w:p>
    <w:p>
      <w:pPr>
        <w:spacing w:line="600" w:lineRule="exact"/>
        <w:ind w:firstLine="640"/>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较上年持平</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与预算数持平的主要原因是</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“三公”经费财政拨款支出</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1" w:name="_Toc15377217"/>
      <w:r>
        <w:rPr>
          <w:rFonts w:hint="eastAsia" w:ascii="楷体" w:hAnsi="楷体" w:eastAsia="楷体" w:cs="楷体"/>
          <w:b w:val="0"/>
          <w:bCs/>
          <w:color w:val="auto"/>
          <w:sz w:val="32"/>
          <w:szCs w:val="32"/>
          <w:highlight w:val="none"/>
        </w:rPr>
        <w:t>（二）“三公”经费财政拨款支出决算具体情况说明</w:t>
      </w:r>
      <w:bookmarkEnd w:id="4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0.00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万元。具体情况如下：</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ascii="仿宋_GB2312" w:eastAsia="仿宋_GB2312"/>
          <w:b/>
          <w:color w:val="000000" w:themeColor="text1"/>
          <w:sz w:val="32"/>
          <w:szCs w:val="32"/>
          <w:highlight w:val="none"/>
          <w14:textFill>
            <w14:solidFill>
              <w14:schemeClr w14:val="tx1"/>
            </w14:solidFill>
          </w14:textFill>
        </w:rPr>
      </w:pPr>
      <w:bookmarkStart w:id="42" w:name="_Toc15396610"/>
      <w:bookmarkStart w:id="43" w:name="_Toc15377218"/>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w:t>
      </w:r>
      <w:r>
        <w:rPr>
          <w:rFonts w:hint="eastAsia" w:ascii="仿宋_GB2312" w:eastAsia="仿宋_GB2312"/>
          <w:color w:val="auto"/>
          <w:sz w:val="32"/>
          <w:szCs w:val="32"/>
          <w:highlight w:val="none"/>
        </w:rPr>
        <w:t>原因</w:t>
      </w:r>
      <w:r>
        <w:rPr>
          <w:rFonts w:hint="eastAsia" w:ascii="仿宋_GB2312" w:eastAsia="仿宋_GB2312"/>
          <w:color w:val="auto"/>
          <w:sz w:val="32"/>
          <w:szCs w:val="32"/>
          <w:highlight w:val="none"/>
          <w:lang w:eastAsia="zh-CN"/>
        </w:rPr>
        <w:t>是</w:t>
      </w:r>
      <w:r>
        <w:rPr>
          <w:rStyle w:val="17"/>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2022年未安排因公出国（境）经费支出预算。</w:t>
      </w:r>
    </w:p>
    <w:p>
      <w:pPr>
        <w:keepNext w:val="0"/>
        <w:keepLines w:val="0"/>
        <w:pageBreakBefore w:val="0"/>
        <w:widowControl w:val="0"/>
        <w:kinsoku/>
        <w:wordWrap/>
        <w:overflowPunct/>
        <w:topLinePunct w:val="0"/>
        <w:bidi w:val="0"/>
        <w:snapToGrid/>
        <w:spacing w:line="560" w:lineRule="exact"/>
        <w:ind w:firstLine="640"/>
        <w:textAlignment w:val="auto"/>
        <w:rPr>
          <w:rStyle w:val="17"/>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w:t>
      </w:r>
      <w:r>
        <w:rPr>
          <w:rFonts w:hint="eastAsia" w:ascii="仿宋_GB2312" w:eastAsia="仿宋_GB2312"/>
          <w:color w:val="auto"/>
          <w:sz w:val="32"/>
          <w:szCs w:val="32"/>
          <w:highlight w:val="none"/>
        </w:rPr>
        <w:t>原因</w:t>
      </w:r>
      <w:r>
        <w:rPr>
          <w:rFonts w:hint="eastAsia" w:ascii="仿宋_GB2312" w:eastAsia="仿宋_GB2312"/>
          <w:color w:val="auto"/>
          <w:sz w:val="32"/>
          <w:szCs w:val="32"/>
          <w:highlight w:val="none"/>
          <w:lang w:eastAsia="zh-CN"/>
        </w:rPr>
        <w:t>是</w:t>
      </w:r>
      <w:r>
        <w:rPr>
          <w:rStyle w:val="17"/>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2022年未安排公务用车购置及运行维护费预算。</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b/>
          <w:color w:val="auto"/>
          <w:sz w:val="32"/>
          <w:szCs w:val="32"/>
          <w:highlight w:val="none"/>
          <w:lang w:val="en-US" w:eastAsia="zh-CN"/>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公务接待费支出决算</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lang w:eastAsia="zh-CN"/>
        </w:rPr>
        <w:t>持平</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主要</w:t>
      </w:r>
      <w:r>
        <w:rPr>
          <w:rFonts w:hint="eastAsia" w:ascii="仿宋_GB2312" w:eastAsia="仿宋_GB2312"/>
          <w:color w:val="auto"/>
          <w:sz w:val="32"/>
          <w:szCs w:val="32"/>
          <w:highlight w:val="none"/>
        </w:rPr>
        <w:t>原因</w:t>
      </w:r>
      <w:r>
        <w:rPr>
          <w:rFonts w:hint="eastAsia" w:ascii="仿宋_GB2312" w:eastAsia="仿宋_GB2312"/>
          <w:color w:val="auto"/>
          <w:sz w:val="32"/>
          <w:szCs w:val="32"/>
          <w:highlight w:val="none"/>
          <w:lang w:eastAsia="zh-CN"/>
        </w:rPr>
        <w:t>是</w:t>
      </w:r>
      <w:r>
        <w:rPr>
          <w:rStyle w:val="17"/>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2022年未安排公务接待费支出预算</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bidi w:val="0"/>
        <w:snapToGrid/>
        <w:spacing w:line="560" w:lineRule="exact"/>
        <w:ind w:firstLine="640"/>
        <w:textAlignment w:val="auto"/>
        <w:outlineLvl w:val="1"/>
        <w:rPr>
          <w:rFonts w:hint="eastAsia" w:ascii="黑体" w:eastAsia="黑体"/>
          <w:color w:val="auto"/>
          <w:sz w:val="32"/>
          <w:szCs w:val="32"/>
          <w:highlight w:val="none"/>
        </w:rPr>
      </w:pPr>
    </w:p>
    <w:p>
      <w:pPr>
        <w:keepNext w:val="0"/>
        <w:keepLines w:val="0"/>
        <w:pageBreakBefore w:val="0"/>
        <w:widowControl w:val="0"/>
        <w:kinsoku/>
        <w:wordWrap/>
        <w:overflowPunct/>
        <w:topLinePunct w:val="0"/>
        <w:bidi w:val="0"/>
        <w:snapToGrid/>
        <w:spacing w:line="560" w:lineRule="exact"/>
        <w:ind w:firstLine="640"/>
        <w:textAlignment w:val="auto"/>
        <w:outlineLvl w:val="1"/>
        <w:rPr>
          <w:rStyle w:val="29"/>
          <w:rFonts w:ascii="黑体" w:hAnsi="黑体" w:eastAsia="黑体"/>
          <w:color w:val="auto"/>
          <w:sz w:val="32"/>
          <w:szCs w:val="32"/>
          <w:highlight w:val="none"/>
        </w:rPr>
      </w:pPr>
      <w:r>
        <w:rPr>
          <w:rFonts w:hint="eastAsia" w:ascii="黑体" w:eastAsia="黑体"/>
          <w:color w:val="auto"/>
          <w:sz w:val="32"/>
          <w:szCs w:val="32"/>
          <w:highlight w:val="none"/>
        </w:rPr>
        <w:t>八、</w:t>
      </w:r>
      <w:r>
        <w:rPr>
          <w:rStyle w:val="29"/>
          <w:rFonts w:hint="eastAsia" w:ascii="黑体" w:hAnsi="黑体" w:eastAsia="黑体"/>
          <w:b w:val="0"/>
          <w:color w:val="auto"/>
          <w:sz w:val="32"/>
          <w:szCs w:val="32"/>
          <w:highlight w:val="none"/>
        </w:rPr>
        <w:t>政府性基金预算支出决算情况说明</w:t>
      </w:r>
      <w:bookmarkEnd w:id="42"/>
      <w:bookmarkEnd w:id="43"/>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pStyle w:val="2"/>
      </w:pPr>
    </w:p>
    <w:p>
      <w:pPr>
        <w:keepNext w:val="0"/>
        <w:keepLines w:val="0"/>
        <w:pageBreakBefore w:val="0"/>
        <w:widowControl w:val="0"/>
        <w:numPr>
          <w:ilvl w:val="0"/>
          <w:numId w:val="1"/>
        </w:numPr>
        <w:kinsoku/>
        <w:wordWrap/>
        <w:overflowPunct/>
        <w:topLinePunct w:val="0"/>
        <w:bidi w:val="0"/>
        <w:snapToGrid/>
        <w:spacing w:line="560" w:lineRule="exact"/>
        <w:ind w:left="-10" w:leftChars="0" w:firstLine="640" w:firstLineChars="0"/>
        <w:textAlignment w:val="auto"/>
        <w:outlineLvl w:val="1"/>
        <w:rPr>
          <w:rStyle w:val="29"/>
          <w:rFonts w:ascii="黑体" w:hAnsi="黑体" w:eastAsia="黑体"/>
          <w:b w:val="0"/>
          <w:color w:val="auto"/>
          <w:sz w:val="32"/>
          <w:szCs w:val="32"/>
          <w:highlight w:val="none"/>
        </w:rPr>
      </w:pPr>
      <w:bookmarkStart w:id="44" w:name="_Toc15377219"/>
      <w:bookmarkStart w:id="45" w:name="_Toc15396611"/>
      <w:r>
        <w:rPr>
          <w:rStyle w:val="29"/>
          <w:rFonts w:hint="eastAsia" w:ascii="黑体" w:hAnsi="黑体" w:eastAsia="黑体"/>
          <w:b w:val="0"/>
          <w:color w:val="auto"/>
          <w:sz w:val="32"/>
          <w:szCs w:val="32"/>
          <w:highlight w:val="none"/>
        </w:rPr>
        <w:t>国有资本经营预算支出决算情况说明</w:t>
      </w:r>
      <w:bookmarkEnd w:id="44"/>
      <w:bookmarkEnd w:id="45"/>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pPr>
        <w:pStyle w:val="2"/>
      </w:pPr>
    </w:p>
    <w:p>
      <w:pPr>
        <w:keepNext w:val="0"/>
        <w:keepLines w:val="0"/>
        <w:pageBreakBefore w:val="0"/>
        <w:widowControl w:val="0"/>
        <w:numPr>
          <w:ilvl w:val="0"/>
          <w:numId w:val="1"/>
        </w:numPr>
        <w:kinsoku/>
        <w:wordWrap/>
        <w:overflowPunct/>
        <w:topLinePunct w:val="0"/>
        <w:bidi w:val="0"/>
        <w:snapToGrid/>
        <w:spacing w:line="560" w:lineRule="exact"/>
        <w:ind w:left="-10" w:leftChars="0" w:firstLine="640" w:firstLineChars="0"/>
        <w:textAlignment w:val="auto"/>
        <w:outlineLvl w:val="1"/>
        <w:rPr>
          <w:rStyle w:val="29"/>
          <w:rFonts w:hint="eastAsia" w:ascii="黑体" w:hAnsi="黑体" w:eastAsia="黑体"/>
          <w:b w:val="0"/>
          <w:color w:val="auto"/>
          <w:sz w:val="32"/>
          <w:szCs w:val="32"/>
          <w:highlight w:val="none"/>
        </w:rPr>
      </w:pPr>
      <w:bookmarkStart w:id="46" w:name="_Toc15396612"/>
      <w:bookmarkStart w:id="47" w:name="_Toc15377221"/>
      <w:r>
        <w:rPr>
          <w:rStyle w:val="29"/>
          <w:rFonts w:hint="eastAsia" w:ascii="黑体" w:hAnsi="黑体" w:eastAsia="黑体"/>
          <w:b w:val="0"/>
          <w:color w:val="auto"/>
          <w:sz w:val="32"/>
          <w:szCs w:val="32"/>
          <w:highlight w:val="none"/>
        </w:rPr>
        <w:t>其他重要事项的情况说明</w:t>
      </w:r>
      <w:bookmarkEnd w:id="46"/>
      <w:bookmarkEnd w:id="4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8" w:name="_Toc15377222"/>
      <w:r>
        <w:rPr>
          <w:rFonts w:hint="eastAsia" w:ascii="楷体" w:hAnsi="楷体" w:eastAsia="楷体" w:cs="楷体"/>
          <w:b w:val="0"/>
          <w:bCs/>
          <w:color w:val="auto"/>
          <w:sz w:val="32"/>
          <w:szCs w:val="32"/>
          <w:highlight w:val="none"/>
        </w:rPr>
        <w:t>（一）机关运行经费支出情况</w:t>
      </w:r>
      <w:bookmarkEnd w:id="48"/>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ascii="仿宋" w:hAnsi="仿宋" w:eastAsia="仿宋"/>
          <w:b/>
          <w:color w:val="000000" w:themeColor="text1"/>
          <w:sz w:val="32"/>
          <w:szCs w:val="32"/>
          <w:highlight w:val="gree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000000"/>
          <w:sz w:val="32"/>
          <w:szCs w:val="32"/>
          <w:highlight w:val="none"/>
          <w:lang w:eastAsia="zh-CN"/>
        </w:rPr>
        <w:t>广元市利州区三堆初级中学</w:t>
      </w:r>
      <w:r>
        <w:rPr>
          <w:rFonts w:hint="eastAsia" w:ascii="仿宋_GB2312" w:eastAsia="仿宋_GB2312"/>
          <w:color w:val="auto"/>
          <w:sz w:val="32"/>
          <w:szCs w:val="32"/>
          <w:highlight w:val="none"/>
        </w:rPr>
        <w:t>机关运行经费支出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_GB2312" w:eastAsia="仿宋_GB2312"/>
          <w:color w:val="auto"/>
          <w:sz w:val="32"/>
          <w:szCs w:val="32"/>
          <w:highlight w:val="none"/>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主要原因是</w:t>
      </w:r>
      <w:r>
        <w:rPr>
          <w:rStyle w:val="17"/>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2022年未安排机关运行支出预算。</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9" w:name="_Toc15377223"/>
      <w:r>
        <w:rPr>
          <w:rFonts w:hint="eastAsia" w:ascii="楷体" w:hAnsi="楷体" w:eastAsia="楷体" w:cs="楷体"/>
          <w:b w:val="0"/>
          <w:bCs/>
          <w:color w:val="auto"/>
          <w:sz w:val="32"/>
          <w:szCs w:val="32"/>
          <w:highlight w:val="none"/>
        </w:rPr>
        <w:t>政府采购支出情况</w:t>
      </w:r>
      <w:bookmarkEnd w:id="49"/>
    </w:p>
    <w:p>
      <w:pPr>
        <w:spacing w:line="600" w:lineRule="exact"/>
        <w:ind w:firstLine="420" w:firstLineChars="200"/>
        <w:rPr>
          <w:rFonts w:ascii="仿宋_GB2312" w:eastAsia="仿宋_GB2312"/>
          <w:sz w:val="32"/>
          <w:szCs w:val="32"/>
        </w:rPr>
      </w:pPr>
      <w:r>
        <w:rPr>
          <w:rFonts w:hint="eastAsia"/>
          <w:lang w:val="en-US" w:eastAsia="zh-CN"/>
        </w:rPr>
        <w:t xml:space="preserve">     </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广元市利州区三堆初级中学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其中会议室</w:t>
      </w:r>
      <w:r>
        <w:rPr>
          <w:rFonts w:hint="eastAsia" w:ascii="仿宋_GB2312" w:eastAsia="仿宋_GB2312"/>
          <w:color w:val="000000"/>
          <w:sz w:val="32"/>
          <w:szCs w:val="32"/>
          <w:lang w:val="en-US" w:eastAsia="zh-CN"/>
        </w:rPr>
        <w:t>LED显示屏1个</w:t>
      </w:r>
      <w:r>
        <w:rPr>
          <w:rFonts w:hint="eastAsia" w:ascii="仿宋_GB2312" w:eastAsia="仿宋_GB2312"/>
          <w:color w:val="000000"/>
          <w:sz w:val="32"/>
          <w:szCs w:val="32"/>
        </w:rPr>
        <w:t>。授予小微企业合同金额</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0" w:name="_Toc15377224"/>
      <w:r>
        <w:rPr>
          <w:rFonts w:hint="eastAsia" w:ascii="楷体" w:hAnsi="楷体" w:eastAsia="楷体" w:cs="楷体"/>
          <w:b w:val="0"/>
          <w:bCs/>
          <w:color w:val="auto"/>
          <w:sz w:val="32"/>
          <w:szCs w:val="32"/>
          <w:highlight w:val="none"/>
        </w:rPr>
        <w:t>（三）国有资产占有使用情况</w:t>
      </w:r>
      <w:bookmarkEnd w:id="50"/>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广元市利州区三堆初级中学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根据预算绩效管理要求，本单位在2022年度预算编制阶段，组织对营养餐资金项目（项目名称）等</w:t>
      </w:r>
      <w:r>
        <w:rPr>
          <w:rFonts w:hint="eastAsia" w:cs="Times New Roman"/>
          <w:color w:val="auto"/>
          <w:kern w:val="2"/>
          <w:sz w:val="32"/>
          <w:szCs w:val="32"/>
          <w:highlight w:val="none"/>
          <w:lang w:val="en-US" w:eastAsia="zh-CN" w:bidi="ar-SA"/>
        </w:rPr>
        <w:t>24</w:t>
      </w:r>
      <w:r>
        <w:rPr>
          <w:rFonts w:hint="eastAsia" w:ascii="仿宋_GB2312" w:hAnsi="Times New Roman" w:eastAsia="仿宋_GB2312" w:cs="Times New Roman"/>
          <w:color w:val="auto"/>
          <w:kern w:val="2"/>
          <w:sz w:val="32"/>
          <w:szCs w:val="32"/>
          <w:highlight w:val="none"/>
          <w:lang w:val="en-US" w:eastAsia="zh-CN" w:bidi="ar-SA"/>
        </w:rPr>
        <w:t>个项目开展了预算事前绩效评估，对</w:t>
      </w:r>
      <w:r>
        <w:rPr>
          <w:rFonts w:hint="eastAsia" w:cs="Times New Roman"/>
          <w:color w:val="auto"/>
          <w:kern w:val="2"/>
          <w:sz w:val="32"/>
          <w:szCs w:val="32"/>
          <w:highlight w:val="none"/>
          <w:lang w:val="en-US" w:eastAsia="zh-CN" w:bidi="ar-SA"/>
        </w:rPr>
        <w:t>24</w:t>
      </w:r>
      <w:r>
        <w:rPr>
          <w:rFonts w:hint="eastAsia" w:ascii="仿宋_GB2312" w:hAnsi="Times New Roman" w:eastAsia="仿宋_GB2312" w:cs="Times New Roman"/>
          <w:color w:val="auto"/>
          <w:kern w:val="2"/>
          <w:sz w:val="32"/>
          <w:szCs w:val="32"/>
          <w:highlight w:val="none"/>
          <w:lang w:val="en-US" w:eastAsia="zh-CN" w:bidi="ar-SA"/>
        </w:rPr>
        <w:t>个项目编制了绩效目标，预算执行过程中，选取</w:t>
      </w:r>
      <w:r>
        <w:rPr>
          <w:rFonts w:hint="eastAsia" w:cs="Times New Roman"/>
          <w:color w:val="auto"/>
          <w:kern w:val="2"/>
          <w:sz w:val="32"/>
          <w:szCs w:val="32"/>
          <w:highlight w:val="none"/>
          <w:lang w:val="en-US" w:eastAsia="zh-CN" w:bidi="ar-SA"/>
        </w:rPr>
        <w:t>24</w:t>
      </w:r>
      <w:r>
        <w:rPr>
          <w:rFonts w:hint="eastAsia" w:ascii="仿宋_GB2312" w:hAnsi="Times New Roman" w:eastAsia="仿宋_GB2312" w:cs="Times New Roman"/>
          <w:color w:val="auto"/>
          <w:kern w:val="2"/>
          <w:sz w:val="32"/>
          <w:szCs w:val="32"/>
          <w:highlight w:val="none"/>
          <w:lang w:val="en-US" w:eastAsia="zh-CN" w:bidi="ar-SA"/>
        </w:rPr>
        <w:t>个项目开展绩效监控，组织对</w:t>
      </w:r>
      <w:r>
        <w:rPr>
          <w:rFonts w:hint="eastAsia" w:cs="Times New Roman"/>
          <w:color w:val="auto"/>
          <w:kern w:val="2"/>
          <w:sz w:val="32"/>
          <w:szCs w:val="32"/>
          <w:highlight w:val="none"/>
          <w:lang w:val="en-US" w:eastAsia="zh-CN" w:bidi="ar-SA"/>
        </w:rPr>
        <w:t>24</w:t>
      </w:r>
      <w:r>
        <w:rPr>
          <w:rFonts w:hint="eastAsia" w:ascii="仿宋_GB2312" w:hAnsi="Times New Roman" w:eastAsia="仿宋_GB2312" w:cs="Times New Roman"/>
          <w:color w:val="auto"/>
          <w:kern w:val="2"/>
          <w:sz w:val="32"/>
          <w:szCs w:val="32"/>
          <w:highlight w:val="none"/>
          <w:lang w:val="en-US" w:eastAsia="zh-CN" w:bidi="ar-SA"/>
        </w:rPr>
        <w:t>个项目开展绩效自评，绩效自评表详见第四部分附件。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8"/>
          <w:rFonts w:ascii="黑体" w:hAnsi="黑体" w:eastAsia="黑体"/>
          <w:b w:val="0"/>
          <w:color w:val="auto"/>
          <w:highlight w:val="none"/>
        </w:rPr>
      </w:pPr>
      <w:bookmarkStart w:id="51" w:name="_Toc15377225"/>
      <w:bookmarkStart w:id="52" w:name="_Toc15396613"/>
      <w:bookmarkStart w:id="53" w:name="_Toc32389"/>
      <w:r>
        <w:rPr>
          <w:rFonts w:hint="eastAsia" w:ascii="黑体" w:hAnsi="黑体" w:eastAsia="黑体"/>
          <w:color w:val="auto"/>
          <w:sz w:val="44"/>
          <w:szCs w:val="44"/>
          <w:highlight w:val="none"/>
        </w:rPr>
        <w:t>名</w:t>
      </w:r>
      <w:r>
        <w:rPr>
          <w:rStyle w:val="28"/>
          <w:rFonts w:hint="eastAsia" w:ascii="黑体" w:hAnsi="黑体" w:eastAsia="黑体"/>
          <w:b w:val="0"/>
          <w:color w:val="auto"/>
          <w:highlight w:val="none"/>
        </w:rPr>
        <w:t>词解释</w:t>
      </w:r>
      <w:bookmarkEnd w:id="51"/>
      <w:bookmarkEnd w:id="52"/>
      <w:bookmarkEnd w:id="53"/>
    </w:p>
    <w:p>
      <w:pPr>
        <w:keepNext w:val="0"/>
        <w:keepLines w:val="0"/>
        <w:pageBreakBefore w:val="0"/>
        <w:widowControl w:val="0"/>
        <w:kinsoku/>
        <w:wordWrap/>
        <w:overflowPunct/>
        <w:topLinePunct w:val="0"/>
        <w:bidi w:val="0"/>
        <w:snapToGrid w:val="0"/>
        <w:spacing w:line="560" w:lineRule="exact"/>
        <w:jc w:val="left"/>
        <w:textAlignment w:val="auto"/>
        <w:outlineLvl w:val="9"/>
        <w:rPr>
          <w:rFonts w:ascii="宋体"/>
          <w:b/>
          <w:color w:val="auto"/>
          <w:sz w:val="44"/>
          <w:szCs w:val="44"/>
          <w:highlight w:val="none"/>
        </w:rPr>
      </w:pP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54" w:name="_Toc15680"/>
      <w:r>
        <w:rPr>
          <w:rFonts w:hint="eastAsia" w:ascii="仿宋_GB2312" w:eastAsia="仿宋_GB2312"/>
          <w:color w:val="auto"/>
          <w:sz w:val="32"/>
          <w:szCs w:val="32"/>
        </w:rPr>
        <w:t>1.财</w:t>
      </w:r>
      <w:r>
        <w:rPr>
          <w:rFonts w:hint="eastAsia" w:ascii="仿宋_GB2312" w:eastAsia="仿宋_GB2312"/>
          <w:color w:val="auto"/>
          <w:spacing w:val="-6"/>
          <w:sz w:val="32"/>
          <w:szCs w:val="32"/>
        </w:rPr>
        <w:t>政拨款收入：指单位从同级财政部门取得的财政预算资金</w:t>
      </w:r>
      <w:r>
        <w:rPr>
          <w:rFonts w:hint="eastAsia" w:ascii="仿宋_GB2312" w:eastAsia="仿宋_GB2312"/>
          <w:color w:val="auto"/>
          <w:sz w:val="32"/>
          <w:szCs w:val="32"/>
        </w:rPr>
        <w:t>。</w:t>
      </w:r>
      <w:bookmarkEnd w:id="54"/>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 xml:space="preserve">4.其他收入：指单位取得的除上述收入以外的各项收入。主要是学前教育保育教育费收入、银行存款利息收入等。  </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1"/>
        <w:rPr>
          <w:rFonts w:ascii="仿宋_GB2312" w:eastAsia="仿宋_GB2312"/>
          <w:color w:val="auto"/>
          <w:sz w:val="32"/>
          <w:szCs w:val="32"/>
        </w:rPr>
      </w:pPr>
      <w:bookmarkStart w:id="55" w:name="_Toc20496"/>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.年初结转和结余：指以前年度尚未完成、结转到本年按有关规定继续使用的资金。</w:t>
      </w:r>
      <w:bookmarkEnd w:id="55"/>
      <w:r>
        <w:rPr>
          <w:rFonts w:hint="eastAsia" w:ascii="仿宋_GB2312" w:eastAsia="仿宋_GB2312"/>
          <w:color w:val="auto"/>
          <w:sz w:val="32"/>
          <w:szCs w:val="32"/>
        </w:rPr>
        <w:t xml:space="preserve"> </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rPr>
        <w:t>4. 教育支出（类）普通教育（款）初中教育（项）: 反映各部门举办的初中教育支出。政府各部门对社会中介组织等举办的初中教育的资助，如捐赠、补贴等，也在本科目中反映。</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 住房保障支出（类）住房改革支出（款）住房公积金（项）: 指行政事业单位按人力资源和社会保障部、财政部规定的基本工资和津贴补贴以及规定比例为职工缴纳的住房公积金。</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 其他支出（类）其他支出（款）其他支出（项）: 指上述项目以外其他不能划分到具体功能科目中的支出项目。</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基本支出：指为保障机构正常运转、完成日常工作任务而发生的人员支出和公用支出。</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项目支出：指在基本支出之外为完成特定行政任务和事业发展目标所发生的支出。 </w:t>
      </w:r>
    </w:p>
    <w:p>
      <w:pPr>
        <w:pStyle w:val="26"/>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bidi w:val="0"/>
        <w:snapToGrid w:val="0"/>
        <w:spacing w:line="560" w:lineRule="exact"/>
        <w:ind w:firstLine="640" w:firstLineChars="200"/>
        <w:textAlignment w:val="auto"/>
        <w:outlineLvl w:val="2"/>
        <w:rPr>
          <w:rFonts w:ascii="仿宋_GB2312" w:eastAsia="仿宋_GB2312"/>
          <w:color w:val="auto"/>
          <w:sz w:val="32"/>
          <w:szCs w:val="32"/>
          <w:highlight w:val="none"/>
        </w:rPr>
      </w:pPr>
      <w:r>
        <w:rPr>
          <w:rFonts w:hint="eastAsia" w:ascii="仿宋_GB2312" w:eastAsia="仿宋_GB2312"/>
          <w:color w:val="auto"/>
          <w:sz w:val="32"/>
          <w:szCs w:val="32"/>
          <w:lang w:val="en-US" w:eastAsia="zh-CN"/>
        </w:rPr>
        <w:t>11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3"/>
        </w:numPr>
        <w:spacing w:line="600" w:lineRule="exact"/>
        <w:ind w:left="0" w:leftChars="0" w:firstLine="0" w:firstLineChars="0"/>
        <w:jc w:val="center"/>
        <w:outlineLvl w:val="0"/>
        <w:rPr>
          <w:rStyle w:val="28"/>
          <w:rFonts w:hint="eastAsia" w:ascii="黑体" w:hAnsi="黑体" w:eastAsia="黑体"/>
          <w:b w:val="0"/>
          <w:color w:val="auto"/>
          <w:highlight w:val="none"/>
        </w:rPr>
      </w:pPr>
      <w:bookmarkStart w:id="56" w:name="_Toc15377226"/>
      <w:r>
        <w:rPr>
          <w:rFonts w:ascii="宋体"/>
          <w:b/>
          <w:color w:val="auto"/>
          <w:sz w:val="44"/>
          <w:szCs w:val="44"/>
          <w:highlight w:val="none"/>
        </w:rPr>
        <w:br w:type="page"/>
      </w:r>
      <w:bookmarkStart w:id="57" w:name="_Toc15396614"/>
      <w:bookmarkStart w:id="58" w:name="_Toc24843"/>
      <w:r>
        <w:rPr>
          <w:rStyle w:val="28"/>
          <w:rFonts w:hint="eastAsia" w:ascii="黑体" w:hAnsi="黑体" w:eastAsia="黑体"/>
          <w:b w:val="0"/>
          <w:color w:val="auto"/>
          <w:highlight w:val="none"/>
        </w:rPr>
        <w:t>附件</w:t>
      </w:r>
      <w:bookmarkEnd w:id="57"/>
      <w:bookmarkEnd w:id="58"/>
    </w:p>
    <w:p>
      <w:pPr>
        <w:pStyle w:val="2"/>
        <w:ind w:firstLine="600" w:firstLineChars="200"/>
        <w:rPr>
          <w:rFonts w:hint="eastAsia"/>
          <w:lang w:val="en-US" w:eastAsia="zh-CN"/>
        </w:rPr>
      </w:pPr>
    </w:p>
    <w:p>
      <w:pPr>
        <w:pStyle w:val="2"/>
        <w:ind w:firstLine="600" w:firstLineChars="200"/>
        <w:rPr>
          <w:rFonts w:hint="default" w:eastAsia="仿宋_GB2312"/>
          <w:lang w:val="en-US" w:eastAsia="zh-CN"/>
        </w:rPr>
      </w:pPr>
      <w:r>
        <w:rPr>
          <w:rFonts w:hint="eastAsia"/>
          <w:lang w:val="en-US" w:eastAsia="zh-CN"/>
        </w:rPr>
        <w:t>附件：广元市利州区三堆初级中学2022年度部门预算项目支出绩效自评表</w:t>
      </w:r>
    </w:p>
    <w:p>
      <w:pPr>
        <w:spacing w:line="600" w:lineRule="exact"/>
        <w:jc w:val="both"/>
        <w:outlineLvl w:val="0"/>
        <w:rPr>
          <w:rFonts w:hint="eastAsia" w:ascii="黑体" w:hAnsi="黑体" w:eastAsia="黑体"/>
          <w:color w:val="auto"/>
          <w:sz w:val="44"/>
          <w:szCs w:val="44"/>
          <w:highlight w:val="none"/>
        </w:rPr>
      </w:pPr>
      <w:bookmarkStart w:id="59" w:name="_Toc25694"/>
      <w:bookmarkStart w:id="60" w:name="_Toc15396618"/>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bookmarkEnd w:id="56"/>
    <w:bookmarkEnd w:id="59"/>
    <w:bookmarkEnd w:id="60"/>
    <w:p>
      <w:pPr>
        <w:pageBreakBefore w:val="0"/>
        <w:widowControl w:val="0"/>
        <w:numPr>
          <w:ilvl w:val="0"/>
          <w:numId w:val="0"/>
        </w:numPr>
        <w:kinsoku/>
        <w:wordWrap/>
        <w:overflowPunct/>
        <w:topLinePunct w:val="0"/>
        <w:autoSpaceDE/>
        <w:autoSpaceDN/>
        <w:bidi w:val="0"/>
        <w:adjustRightInd/>
        <w:snapToGrid w:val="0"/>
        <w:spacing w:line="360" w:lineRule="auto"/>
        <w:ind w:leftChars="0" w:firstLine="1760" w:firstLineChars="400"/>
        <w:textAlignment w:val="auto"/>
        <w:rPr>
          <w:rStyle w:val="28"/>
          <w:rFonts w:hint="eastAsia" w:ascii="黑体" w:hAnsi="黑体" w:eastAsia="黑体"/>
          <w:b w:val="0"/>
          <w:color w:val="auto"/>
          <w:highlight w:val="none"/>
        </w:rPr>
      </w:pPr>
      <w:r>
        <w:rPr>
          <w:rStyle w:val="28"/>
          <w:rFonts w:hint="eastAsia" w:ascii="黑体" w:hAnsi="黑体" w:eastAsia="黑体"/>
          <w:b w:val="0"/>
          <w:color w:val="auto"/>
          <w:highlight w:val="none"/>
          <w:lang w:val="en-US" w:eastAsia="zh-CN"/>
        </w:rPr>
        <w:t xml:space="preserve">     第五部分    </w:t>
      </w:r>
      <w:r>
        <w:rPr>
          <w:rStyle w:val="28"/>
          <w:rFonts w:hint="eastAsia" w:ascii="黑体" w:hAnsi="黑体" w:eastAsia="黑体"/>
          <w:b w:val="0"/>
          <w:color w:val="auto"/>
          <w:highlight w:val="none"/>
        </w:rPr>
        <w:t>附表</w:t>
      </w:r>
    </w:p>
    <w:p>
      <w:pPr>
        <w:pStyle w:val="2"/>
        <w:numPr>
          <w:ilvl w:val="0"/>
          <w:numId w:val="0"/>
        </w:numPr>
        <w:ind w:leftChars="0"/>
        <w:rPr>
          <w:rFonts w:hint="default"/>
          <w:lang w:val="en-US" w:eastAsia="zh-CN"/>
        </w:rPr>
      </w:pPr>
      <w:r>
        <w:rPr>
          <w:rFonts w:hint="default"/>
          <w:lang w:val="en-US" w:eastAsia="zh-CN"/>
        </w:rPr>
        <w:t>一、收入支出决算总表</w:t>
      </w:r>
    </w:p>
    <w:p>
      <w:pPr>
        <w:pStyle w:val="2"/>
        <w:numPr>
          <w:ilvl w:val="0"/>
          <w:numId w:val="0"/>
        </w:numPr>
        <w:ind w:leftChars="0"/>
        <w:rPr>
          <w:rFonts w:hint="default"/>
          <w:lang w:val="en-US" w:eastAsia="zh-CN"/>
        </w:rPr>
      </w:pPr>
      <w:r>
        <w:rPr>
          <w:rFonts w:hint="default"/>
          <w:lang w:val="en-US" w:eastAsia="zh-CN"/>
        </w:rPr>
        <w:t>二、收入决算表</w:t>
      </w:r>
    </w:p>
    <w:p>
      <w:pPr>
        <w:pStyle w:val="2"/>
        <w:numPr>
          <w:ilvl w:val="0"/>
          <w:numId w:val="0"/>
        </w:numPr>
        <w:ind w:leftChars="0"/>
        <w:rPr>
          <w:rFonts w:hint="default"/>
          <w:lang w:val="en-US" w:eastAsia="zh-CN"/>
        </w:rPr>
      </w:pPr>
      <w:r>
        <w:rPr>
          <w:rFonts w:hint="default"/>
          <w:lang w:val="en-US" w:eastAsia="zh-CN"/>
        </w:rPr>
        <w:t>三、支出决算表</w:t>
      </w:r>
    </w:p>
    <w:p>
      <w:pPr>
        <w:pStyle w:val="2"/>
        <w:numPr>
          <w:ilvl w:val="0"/>
          <w:numId w:val="0"/>
        </w:numPr>
        <w:ind w:leftChars="0"/>
        <w:rPr>
          <w:rFonts w:hint="default"/>
          <w:lang w:val="en-US" w:eastAsia="zh-CN"/>
        </w:rPr>
      </w:pPr>
      <w:r>
        <w:rPr>
          <w:rFonts w:hint="default"/>
          <w:lang w:val="en-US" w:eastAsia="zh-CN"/>
        </w:rPr>
        <w:t>四、财政拨款收入支出决算总表</w:t>
      </w:r>
    </w:p>
    <w:p>
      <w:pPr>
        <w:pStyle w:val="2"/>
        <w:numPr>
          <w:ilvl w:val="0"/>
          <w:numId w:val="0"/>
        </w:numPr>
        <w:ind w:leftChars="0"/>
        <w:rPr>
          <w:rFonts w:hint="default"/>
          <w:lang w:val="en-US" w:eastAsia="zh-CN"/>
        </w:rPr>
      </w:pPr>
      <w:r>
        <w:rPr>
          <w:rFonts w:hint="default"/>
          <w:lang w:val="en-US" w:eastAsia="zh-CN"/>
        </w:rPr>
        <w:t>五、财政拨款支出决算明细表</w:t>
      </w:r>
    </w:p>
    <w:p>
      <w:pPr>
        <w:pStyle w:val="2"/>
        <w:numPr>
          <w:ilvl w:val="0"/>
          <w:numId w:val="0"/>
        </w:numPr>
        <w:ind w:leftChars="0"/>
        <w:rPr>
          <w:rFonts w:hint="default"/>
          <w:lang w:val="en-US" w:eastAsia="zh-CN"/>
        </w:rPr>
      </w:pPr>
      <w:r>
        <w:rPr>
          <w:rFonts w:hint="default"/>
          <w:lang w:val="en-US" w:eastAsia="zh-CN"/>
        </w:rPr>
        <w:t>六、一般公共预算财政拨款支出决算表</w:t>
      </w:r>
    </w:p>
    <w:p>
      <w:pPr>
        <w:pStyle w:val="2"/>
        <w:numPr>
          <w:ilvl w:val="0"/>
          <w:numId w:val="0"/>
        </w:numPr>
        <w:ind w:leftChars="0"/>
        <w:rPr>
          <w:rFonts w:hint="default"/>
          <w:lang w:val="en-US" w:eastAsia="zh-CN"/>
        </w:rPr>
      </w:pPr>
      <w:r>
        <w:rPr>
          <w:rFonts w:hint="default"/>
          <w:lang w:val="en-US" w:eastAsia="zh-CN"/>
        </w:rPr>
        <w:t>七、一般公共预算财政拨款支出决算明细表</w:t>
      </w:r>
    </w:p>
    <w:p>
      <w:pPr>
        <w:pStyle w:val="2"/>
        <w:numPr>
          <w:ilvl w:val="0"/>
          <w:numId w:val="0"/>
        </w:numPr>
        <w:ind w:leftChars="0"/>
        <w:rPr>
          <w:rFonts w:hint="default"/>
          <w:lang w:val="en-US" w:eastAsia="zh-CN"/>
        </w:rPr>
      </w:pPr>
      <w:r>
        <w:rPr>
          <w:rFonts w:hint="default"/>
          <w:lang w:val="en-US" w:eastAsia="zh-CN"/>
        </w:rPr>
        <w:t>八、一般公共预算财政拨款基本支出决算表</w:t>
      </w:r>
    </w:p>
    <w:p>
      <w:pPr>
        <w:pStyle w:val="2"/>
        <w:numPr>
          <w:ilvl w:val="0"/>
          <w:numId w:val="0"/>
        </w:numPr>
        <w:ind w:leftChars="0"/>
        <w:rPr>
          <w:rFonts w:hint="default"/>
          <w:lang w:val="en-US" w:eastAsia="zh-CN"/>
        </w:rPr>
      </w:pPr>
      <w:r>
        <w:rPr>
          <w:rFonts w:hint="default"/>
          <w:lang w:val="en-US" w:eastAsia="zh-CN"/>
        </w:rPr>
        <w:t>九、一般公共预算财政拨款项目支出决算表</w:t>
      </w:r>
    </w:p>
    <w:p>
      <w:pPr>
        <w:pStyle w:val="2"/>
        <w:numPr>
          <w:ilvl w:val="0"/>
          <w:numId w:val="0"/>
        </w:numPr>
        <w:ind w:leftChars="0"/>
        <w:rPr>
          <w:rFonts w:hint="default"/>
          <w:lang w:val="en-US" w:eastAsia="zh-CN"/>
        </w:rPr>
      </w:pPr>
      <w:r>
        <w:rPr>
          <w:rFonts w:hint="default"/>
          <w:lang w:val="en-US" w:eastAsia="zh-CN"/>
        </w:rPr>
        <w:t>十、政府性基金预算财政拨款收入支出决算表</w:t>
      </w:r>
    </w:p>
    <w:p>
      <w:pPr>
        <w:pStyle w:val="2"/>
        <w:numPr>
          <w:ilvl w:val="0"/>
          <w:numId w:val="0"/>
        </w:numPr>
        <w:ind w:leftChars="0"/>
        <w:rPr>
          <w:rFonts w:hint="default"/>
          <w:lang w:val="en-US" w:eastAsia="zh-CN"/>
        </w:rPr>
      </w:pPr>
      <w:r>
        <w:rPr>
          <w:rFonts w:hint="default"/>
          <w:lang w:val="en-US" w:eastAsia="zh-CN"/>
        </w:rPr>
        <w:t>十一、国有资本经营预算财政拨款收入支出决算表</w:t>
      </w:r>
    </w:p>
    <w:p>
      <w:pPr>
        <w:pStyle w:val="2"/>
        <w:numPr>
          <w:ilvl w:val="0"/>
          <w:numId w:val="0"/>
        </w:numPr>
        <w:ind w:leftChars="0"/>
        <w:rPr>
          <w:rFonts w:hint="default"/>
          <w:lang w:val="en-US" w:eastAsia="zh-CN"/>
        </w:rPr>
      </w:pPr>
      <w:r>
        <w:rPr>
          <w:rFonts w:hint="default"/>
          <w:lang w:val="en-US" w:eastAsia="zh-CN"/>
        </w:rPr>
        <w:t>十二、国有资本经营预算财政拨款支出决算表</w:t>
      </w:r>
    </w:p>
    <w:p>
      <w:pPr>
        <w:pStyle w:val="2"/>
        <w:numPr>
          <w:ilvl w:val="0"/>
          <w:numId w:val="0"/>
        </w:numPr>
        <w:ind w:leftChars="0"/>
        <w:rPr>
          <w:rFonts w:hint="default"/>
          <w:lang w:val="en-US" w:eastAsia="zh-CN"/>
        </w:rPr>
      </w:pPr>
      <w:r>
        <w:rPr>
          <w:rFonts w:hint="default"/>
          <w:lang w:val="en-US" w:eastAsia="zh-CN"/>
        </w:rPr>
        <w:t>十三、财政拨款“三公”经费支出决算表</w:t>
      </w:r>
    </w:p>
    <w:sectPr>
      <w:footerReference r:id="rId7" w:type="first"/>
      <w:headerReference r:id="rId5" w:type="default"/>
      <w:footerReference r:id="rId6" w:type="default"/>
      <w:pgSz w:w="11906" w:h="16838"/>
      <w:pgMar w:top="1701" w:right="1474" w:bottom="1701" w:left="1587" w:header="851"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6C83EA7F"/>
    <w:multiLevelType w:val="singleLevel"/>
    <w:tmpl w:val="6C83EA7F"/>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wZjE2MDM5MWVmMzBhZGFmZGYwOTEzZDZiYWIyZmI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5C3F"/>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16C3"/>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4B58"/>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B7A64"/>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05D5C"/>
    <w:rsid w:val="0127274C"/>
    <w:rsid w:val="014D3F6A"/>
    <w:rsid w:val="018B1BD0"/>
    <w:rsid w:val="01B841E6"/>
    <w:rsid w:val="01C61522"/>
    <w:rsid w:val="01CC7C92"/>
    <w:rsid w:val="01CE61FB"/>
    <w:rsid w:val="01DE1773"/>
    <w:rsid w:val="01FB2325"/>
    <w:rsid w:val="02695643"/>
    <w:rsid w:val="02737565"/>
    <w:rsid w:val="02873BB9"/>
    <w:rsid w:val="02992709"/>
    <w:rsid w:val="029C7664"/>
    <w:rsid w:val="02B349AE"/>
    <w:rsid w:val="02D068A2"/>
    <w:rsid w:val="02EC346F"/>
    <w:rsid w:val="03A02A00"/>
    <w:rsid w:val="03A10351"/>
    <w:rsid w:val="03B91543"/>
    <w:rsid w:val="03B94C79"/>
    <w:rsid w:val="03BE7026"/>
    <w:rsid w:val="0414147C"/>
    <w:rsid w:val="043A7D8C"/>
    <w:rsid w:val="04450D22"/>
    <w:rsid w:val="04A16744"/>
    <w:rsid w:val="04E14207"/>
    <w:rsid w:val="04E92909"/>
    <w:rsid w:val="050D4849"/>
    <w:rsid w:val="053822B7"/>
    <w:rsid w:val="054B711F"/>
    <w:rsid w:val="056C1C4E"/>
    <w:rsid w:val="05C173E2"/>
    <w:rsid w:val="066E0107"/>
    <w:rsid w:val="0676557C"/>
    <w:rsid w:val="06877C8F"/>
    <w:rsid w:val="06E2628E"/>
    <w:rsid w:val="073E558F"/>
    <w:rsid w:val="07594177"/>
    <w:rsid w:val="07731DFE"/>
    <w:rsid w:val="078E5B96"/>
    <w:rsid w:val="07996F6E"/>
    <w:rsid w:val="07B14002"/>
    <w:rsid w:val="07C02047"/>
    <w:rsid w:val="08512C9F"/>
    <w:rsid w:val="08567772"/>
    <w:rsid w:val="087442CB"/>
    <w:rsid w:val="08802D81"/>
    <w:rsid w:val="088D438A"/>
    <w:rsid w:val="089F7EAE"/>
    <w:rsid w:val="08C47D6B"/>
    <w:rsid w:val="08CE42EF"/>
    <w:rsid w:val="09267C87"/>
    <w:rsid w:val="09423C0D"/>
    <w:rsid w:val="09645055"/>
    <w:rsid w:val="09D750A5"/>
    <w:rsid w:val="0A2032A3"/>
    <w:rsid w:val="0A553073"/>
    <w:rsid w:val="0A5627EE"/>
    <w:rsid w:val="0A950AD4"/>
    <w:rsid w:val="0B5A6710"/>
    <w:rsid w:val="0B76502B"/>
    <w:rsid w:val="0B8D2240"/>
    <w:rsid w:val="0BA07CA0"/>
    <w:rsid w:val="0BCA5242"/>
    <w:rsid w:val="0BCB0FBA"/>
    <w:rsid w:val="0BD10805"/>
    <w:rsid w:val="0C0A1AE2"/>
    <w:rsid w:val="0C305D4D"/>
    <w:rsid w:val="0C48085D"/>
    <w:rsid w:val="0C992E66"/>
    <w:rsid w:val="0C9C64B3"/>
    <w:rsid w:val="0CAA0BCF"/>
    <w:rsid w:val="0D162709"/>
    <w:rsid w:val="0D445B34"/>
    <w:rsid w:val="0D5D26D2"/>
    <w:rsid w:val="0D6F130D"/>
    <w:rsid w:val="0D815DD4"/>
    <w:rsid w:val="0DDE3227"/>
    <w:rsid w:val="0E286250"/>
    <w:rsid w:val="0E476FDA"/>
    <w:rsid w:val="0E5D3032"/>
    <w:rsid w:val="0E753204"/>
    <w:rsid w:val="0F087E2F"/>
    <w:rsid w:val="0F1210E4"/>
    <w:rsid w:val="0F152C78"/>
    <w:rsid w:val="0F225395"/>
    <w:rsid w:val="0F7D6A6F"/>
    <w:rsid w:val="0F985657"/>
    <w:rsid w:val="101860EC"/>
    <w:rsid w:val="10507BA5"/>
    <w:rsid w:val="10C055FF"/>
    <w:rsid w:val="10EC7A09"/>
    <w:rsid w:val="10F845FF"/>
    <w:rsid w:val="115F642C"/>
    <w:rsid w:val="117777DA"/>
    <w:rsid w:val="118107EC"/>
    <w:rsid w:val="11AD363C"/>
    <w:rsid w:val="12003FCC"/>
    <w:rsid w:val="126B3663"/>
    <w:rsid w:val="1299771C"/>
    <w:rsid w:val="12DE2674"/>
    <w:rsid w:val="12F0390F"/>
    <w:rsid w:val="13462454"/>
    <w:rsid w:val="13547AE7"/>
    <w:rsid w:val="13B1623C"/>
    <w:rsid w:val="13D50BC4"/>
    <w:rsid w:val="13F07810"/>
    <w:rsid w:val="14504752"/>
    <w:rsid w:val="14593607"/>
    <w:rsid w:val="14B67A0F"/>
    <w:rsid w:val="14F11A91"/>
    <w:rsid w:val="152D239E"/>
    <w:rsid w:val="15B23E81"/>
    <w:rsid w:val="166B11EC"/>
    <w:rsid w:val="167C2927"/>
    <w:rsid w:val="16BB723D"/>
    <w:rsid w:val="16D91F8B"/>
    <w:rsid w:val="16FE00D3"/>
    <w:rsid w:val="1711641B"/>
    <w:rsid w:val="171E4694"/>
    <w:rsid w:val="172872C1"/>
    <w:rsid w:val="174573BC"/>
    <w:rsid w:val="177D1ABE"/>
    <w:rsid w:val="17B40AB3"/>
    <w:rsid w:val="17B62B1E"/>
    <w:rsid w:val="18001FEB"/>
    <w:rsid w:val="18500CCF"/>
    <w:rsid w:val="18AF1DBC"/>
    <w:rsid w:val="196D545F"/>
    <w:rsid w:val="19782A34"/>
    <w:rsid w:val="198729C4"/>
    <w:rsid w:val="198825D5"/>
    <w:rsid w:val="198D78AF"/>
    <w:rsid w:val="1A310558"/>
    <w:rsid w:val="1A424B3D"/>
    <w:rsid w:val="1A797D7E"/>
    <w:rsid w:val="1AF04599"/>
    <w:rsid w:val="1AFF658A"/>
    <w:rsid w:val="1B0D24AC"/>
    <w:rsid w:val="1B3426D8"/>
    <w:rsid w:val="1B495A57"/>
    <w:rsid w:val="1B4D7C4C"/>
    <w:rsid w:val="1B574618"/>
    <w:rsid w:val="1B662AAD"/>
    <w:rsid w:val="1BB70FCA"/>
    <w:rsid w:val="1BC31CAE"/>
    <w:rsid w:val="1BE35EAC"/>
    <w:rsid w:val="1BE37C5A"/>
    <w:rsid w:val="1BE8440E"/>
    <w:rsid w:val="1BEC5A5B"/>
    <w:rsid w:val="1C0753B3"/>
    <w:rsid w:val="1C3C3AD1"/>
    <w:rsid w:val="1C6D2469"/>
    <w:rsid w:val="1C783EFF"/>
    <w:rsid w:val="1C7F5BD5"/>
    <w:rsid w:val="1CB15B1E"/>
    <w:rsid w:val="1CB735C0"/>
    <w:rsid w:val="1CC41839"/>
    <w:rsid w:val="1CE53D0D"/>
    <w:rsid w:val="1D155CEE"/>
    <w:rsid w:val="1E8079E2"/>
    <w:rsid w:val="1FF22B62"/>
    <w:rsid w:val="203D202F"/>
    <w:rsid w:val="20B41BC5"/>
    <w:rsid w:val="20C62425"/>
    <w:rsid w:val="21075E26"/>
    <w:rsid w:val="215F2BBF"/>
    <w:rsid w:val="21CD1190"/>
    <w:rsid w:val="21D96D92"/>
    <w:rsid w:val="21DE514B"/>
    <w:rsid w:val="2208666C"/>
    <w:rsid w:val="221C2118"/>
    <w:rsid w:val="22285154"/>
    <w:rsid w:val="225C42C2"/>
    <w:rsid w:val="22603DB2"/>
    <w:rsid w:val="22620497"/>
    <w:rsid w:val="22941CAE"/>
    <w:rsid w:val="229C26D0"/>
    <w:rsid w:val="22C96B90"/>
    <w:rsid w:val="22DA2638"/>
    <w:rsid w:val="234F59A0"/>
    <w:rsid w:val="23860B96"/>
    <w:rsid w:val="23D902C0"/>
    <w:rsid w:val="23ED3D6C"/>
    <w:rsid w:val="240371BF"/>
    <w:rsid w:val="24217571"/>
    <w:rsid w:val="242E2808"/>
    <w:rsid w:val="246D6C5B"/>
    <w:rsid w:val="249D12EE"/>
    <w:rsid w:val="24A11032"/>
    <w:rsid w:val="24E26528"/>
    <w:rsid w:val="25520CCD"/>
    <w:rsid w:val="263E3CE7"/>
    <w:rsid w:val="26A86299"/>
    <w:rsid w:val="26BB5754"/>
    <w:rsid w:val="26E060BA"/>
    <w:rsid w:val="270F7B55"/>
    <w:rsid w:val="272C0BB1"/>
    <w:rsid w:val="272D1B2C"/>
    <w:rsid w:val="27614E56"/>
    <w:rsid w:val="276F5C71"/>
    <w:rsid w:val="27C22E19"/>
    <w:rsid w:val="27DD50AC"/>
    <w:rsid w:val="28594C54"/>
    <w:rsid w:val="286640ED"/>
    <w:rsid w:val="28902F18"/>
    <w:rsid w:val="289E3477"/>
    <w:rsid w:val="28DD039D"/>
    <w:rsid w:val="28F87987"/>
    <w:rsid w:val="29130D62"/>
    <w:rsid w:val="29406703"/>
    <w:rsid w:val="295A7D6B"/>
    <w:rsid w:val="295D234A"/>
    <w:rsid w:val="29A529F3"/>
    <w:rsid w:val="29AC5F55"/>
    <w:rsid w:val="29C0669A"/>
    <w:rsid w:val="29D5748C"/>
    <w:rsid w:val="29DB5991"/>
    <w:rsid w:val="29FD04D3"/>
    <w:rsid w:val="2A0E0598"/>
    <w:rsid w:val="2A4F5310"/>
    <w:rsid w:val="2A6428AE"/>
    <w:rsid w:val="2AEC056E"/>
    <w:rsid w:val="2AF552B4"/>
    <w:rsid w:val="2BE70FF2"/>
    <w:rsid w:val="2BF51A0F"/>
    <w:rsid w:val="2BF84935"/>
    <w:rsid w:val="2C8A61B5"/>
    <w:rsid w:val="2CB35AB3"/>
    <w:rsid w:val="2D026950"/>
    <w:rsid w:val="2D5E2C34"/>
    <w:rsid w:val="2D8C5126"/>
    <w:rsid w:val="2D940467"/>
    <w:rsid w:val="2DB15AF7"/>
    <w:rsid w:val="2DD76FD9"/>
    <w:rsid w:val="2DF04E50"/>
    <w:rsid w:val="2E6C1D31"/>
    <w:rsid w:val="2E7023A8"/>
    <w:rsid w:val="2EC851B9"/>
    <w:rsid w:val="2ECD27D0"/>
    <w:rsid w:val="2F0B779C"/>
    <w:rsid w:val="2F6F7D2B"/>
    <w:rsid w:val="2FAA1469"/>
    <w:rsid w:val="2FD858D0"/>
    <w:rsid w:val="30201025"/>
    <w:rsid w:val="30770D96"/>
    <w:rsid w:val="30A457B2"/>
    <w:rsid w:val="311E13C4"/>
    <w:rsid w:val="318C4454"/>
    <w:rsid w:val="319F7F4E"/>
    <w:rsid w:val="31BB1005"/>
    <w:rsid w:val="31C84ADC"/>
    <w:rsid w:val="321714F4"/>
    <w:rsid w:val="32755A59"/>
    <w:rsid w:val="327C1D9B"/>
    <w:rsid w:val="328C3175"/>
    <w:rsid w:val="32D35E20"/>
    <w:rsid w:val="33834516"/>
    <w:rsid w:val="33DF1459"/>
    <w:rsid w:val="33EB1517"/>
    <w:rsid w:val="340547BA"/>
    <w:rsid w:val="34243E48"/>
    <w:rsid w:val="3434509F"/>
    <w:rsid w:val="344C23E9"/>
    <w:rsid w:val="348057C6"/>
    <w:rsid w:val="35301D0A"/>
    <w:rsid w:val="35A82E7B"/>
    <w:rsid w:val="35DE69A5"/>
    <w:rsid w:val="36716136"/>
    <w:rsid w:val="36AA5135"/>
    <w:rsid w:val="374675C3"/>
    <w:rsid w:val="37E16F03"/>
    <w:rsid w:val="380E4447"/>
    <w:rsid w:val="381E22EE"/>
    <w:rsid w:val="381F5317"/>
    <w:rsid w:val="384855BD"/>
    <w:rsid w:val="385A1EB6"/>
    <w:rsid w:val="389F21D3"/>
    <w:rsid w:val="39037E27"/>
    <w:rsid w:val="390908A8"/>
    <w:rsid w:val="392B6631"/>
    <w:rsid w:val="392E6561"/>
    <w:rsid w:val="3A850402"/>
    <w:rsid w:val="3A956BF7"/>
    <w:rsid w:val="3AC90E4C"/>
    <w:rsid w:val="3AE55345"/>
    <w:rsid w:val="3B23087F"/>
    <w:rsid w:val="3B392F9B"/>
    <w:rsid w:val="3C5B565E"/>
    <w:rsid w:val="3C881096"/>
    <w:rsid w:val="3CA97EC6"/>
    <w:rsid w:val="3CBF04D3"/>
    <w:rsid w:val="3CD15B81"/>
    <w:rsid w:val="3D420661"/>
    <w:rsid w:val="3D7B5ED0"/>
    <w:rsid w:val="3D7E4240"/>
    <w:rsid w:val="3D884816"/>
    <w:rsid w:val="3D8B48E2"/>
    <w:rsid w:val="3D98207C"/>
    <w:rsid w:val="3DC52B1B"/>
    <w:rsid w:val="3DDD2303"/>
    <w:rsid w:val="3E1C107E"/>
    <w:rsid w:val="3E82591A"/>
    <w:rsid w:val="3E837424"/>
    <w:rsid w:val="3F0F7414"/>
    <w:rsid w:val="3FD220B0"/>
    <w:rsid w:val="40251D40"/>
    <w:rsid w:val="40297588"/>
    <w:rsid w:val="40A85825"/>
    <w:rsid w:val="40F91765"/>
    <w:rsid w:val="41110C42"/>
    <w:rsid w:val="41A01FC6"/>
    <w:rsid w:val="41DB0ACE"/>
    <w:rsid w:val="422402E7"/>
    <w:rsid w:val="42666500"/>
    <w:rsid w:val="4308764E"/>
    <w:rsid w:val="433B01F8"/>
    <w:rsid w:val="439112E6"/>
    <w:rsid w:val="43AE1B86"/>
    <w:rsid w:val="43C401ED"/>
    <w:rsid w:val="44D66F02"/>
    <w:rsid w:val="44E268DA"/>
    <w:rsid w:val="45C11563"/>
    <w:rsid w:val="45C67B21"/>
    <w:rsid w:val="45E16709"/>
    <w:rsid w:val="45EF3AFB"/>
    <w:rsid w:val="470A754C"/>
    <w:rsid w:val="475A49C5"/>
    <w:rsid w:val="4767050A"/>
    <w:rsid w:val="478F1EA0"/>
    <w:rsid w:val="479E6FA7"/>
    <w:rsid w:val="47E535DB"/>
    <w:rsid w:val="47E744AA"/>
    <w:rsid w:val="47F955E1"/>
    <w:rsid w:val="48236FF1"/>
    <w:rsid w:val="48305F12"/>
    <w:rsid w:val="484A356B"/>
    <w:rsid w:val="485F65D5"/>
    <w:rsid w:val="48600BBC"/>
    <w:rsid w:val="48DA71B2"/>
    <w:rsid w:val="493C6254"/>
    <w:rsid w:val="49845BAB"/>
    <w:rsid w:val="49882A9E"/>
    <w:rsid w:val="49930C38"/>
    <w:rsid w:val="4A53156A"/>
    <w:rsid w:val="4A627F82"/>
    <w:rsid w:val="4A6D4A0F"/>
    <w:rsid w:val="4AF62C56"/>
    <w:rsid w:val="4B2439D6"/>
    <w:rsid w:val="4B4F25DA"/>
    <w:rsid w:val="4B512DBE"/>
    <w:rsid w:val="4B69167A"/>
    <w:rsid w:val="4B993E51"/>
    <w:rsid w:val="4BDA4326"/>
    <w:rsid w:val="4BE068DB"/>
    <w:rsid w:val="4C187005"/>
    <w:rsid w:val="4C2537F3"/>
    <w:rsid w:val="4C4023DB"/>
    <w:rsid w:val="4C6C0C46"/>
    <w:rsid w:val="4C84481B"/>
    <w:rsid w:val="4C880BA8"/>
    <w:rsid w:val="4C886F4B"/>
    <w:rsid w:val="4D322BAA"/>
    <w:rsid w:val="4D577224"/>
    <w:rsid w:val="4D9C7AE5"/>
    <w:rsid w:val="4DAC20D0"/>
    <w:rsid w:val="4DD64B36"/>
    <w:rsid w:val="4DEB6377"/>
    <w:rsid w:val="4E0336C0"/>
    <w:rsid w:val="4EAB630A"/>
    <w:rsid w:val="4ECE2238"/>
    <w:rsid w:val="4EF13E61"/>
    <w:rsid w:val="4F193292"/>
    <w:rsid w:val="500B0F52"/>
    <w:rsid w:val="50285660"/>
    <w:rsid w:val="50722DD5"/>
    <w:rsid w:val="50D37CC2"/>
    <w:rsid w:val="514847F9"/>
    <w:rsid w:val="51572E19"/>
    <w:rsid w:val="51644DBE"/>
    <w:rsid w:val="51932FAD"/>
    <w:rsid w:val="51CE66DB"/>
    <w:rsid w:val="525210BA"/>
    <w:rsid w:val="525D4778"/>
    <w:rsid w:val="52A82A88"/>
    <w:rsid w:val="52E77FC6"/>
    <w:rsid w:val="52F201A7"/>
    <w:rsid w:val="53065F86"/>
    <w:rsid w:val="532C36B9"/>
    <w:rsid w:val="533D37AB"/>
    <w:rsid w:val="539B7A64"/>
    <w:rsid w:val="53B8319F"/>
    <w:rsid w:val="54146358"/>
    <w:rsid w:val="54456900"/>
    <w:rsid w:val="551408A9"/>
    <w:rsid w:val="5588094F"/>
    <w:rsid w:val="55E22755"/>
    <w:rsid w:val="56505911"/>
    <w:rsid w:val="565B374D"/>
    <w:rsid w:val="56777341"/>
    <w:rsid w:val="567C5707"/>
    <w:rsid w:val="56A86DBC"/>
    <w:rsid w:val="57461EAB"/>
    <w:rsid w:val="574E0E1A"/>
    <w:rsid w:val="575575BD"/>
    <w:rsid w:val="57996E43"/>
    <w:rsid w:val="581322AD"/>
    <w:rsid w:val="583B67FB"/>
    <w:rsid w:val="584B2834"/>
    <w:rsid w:val="585531E3"/>
    <w:rsid w:val="58555460"/>
    <w:rsid w:val="58906498"/>
    <w:rsid w:val="58957568"/>
    <w:rsid w:val="58C63EC3"/>
    <w:rsid w:val="58D2352D"/>
    <w:rsid w:val="58DC5148"/>
    <w:rsid w:val="594A7670"/>
    <w:rsid w:val="59AA1BBD"/>
    <w:rsid w:val="59B83C19"/>
    <w:rsid w:val="5A291356"/>
    <w:rsid w:val="5A2D08DD"/>
    <w:rsid w:val="5A700784"/>
    <w:rsid w:val="5A9B7B35"/>
    <w:rsid w:val="5A9C7A09"/>
    <w:rsid w:val="5AF80325"/>
    <w:rsid w:val="5AF92295"/>
    <w:rsid w:val="5B301566"/>
    <w:rsid w:val="5B317840"/>
    <w:rsid w:val="5B5D41FD"/>
    <w:rsid w:val="5BCE7A03"/>
    <w:rsid w:val="5C8400C2"/>
    <w:rsid w:val="5CD71FC4"/>
    <w:rsid w:val="5D755C5D"/>
    <w:rsid w:val="5DB96187"/>
    <w:rsid w:val="5DCB3A72"/>
    <w:rsid w:val="5DDA7C6F"/>
    <w:rsid w:val="5E28595B"/>
    <w:rsid w:val="5E6068E2"/>
    <w:rsid w:val="5EC90529"/>
    <w:rsid w:val="5EEB4220"/>
    <w:rsid w:val="5EFE443C"/>
    <w:rsid w:val="5F111E37"/>
    <w:rsid w:val="5F117C07"/>
    <w:rsid w:val="5F74228F"/>
    <w:rsid w:val="5F86009A"/>
    <w:rsid w:val="5FBD47EC"/>
    <w:rsid w:val="6031230F"/>
    <w:rsid w:val="605C79BC"/>
    <w:rsid w:val="60844B35"/>
    <w:rsid w:val="60C34F31"/>
    <w:rsid w:val="60E2194E"/>
    <w:rsid w:val="6106379C"/>
    <w:rsid w:val="61096DE8"/>
    <w:rsid w:val="613227E3"/>
    <w:rsid w:val="61593F42"/>
    <w:rsid w:val="61730705"/>
    <w:rsid w:val="6189657C"/>
    <w:rsid w:val="618A66A4"/>
    <w:rsid w:val="61907509"/>
    <w:rsid w:val="619454E5"/>
    <w:rsid w:val="61BA6334"/>
    <w:rsid w:val="61BE4076"/>
    <w:rsid w:val="61CC6C27"/>
    <w:rsid w:val="621506DE"/>
    <w:rsid w:val="623C748A"/>
    <w:rsid w:val="629F0EE6"/>
    <w:rsid w:val="62C53A30"/>
    <w:rsid w:val="630E6AA9"/>
    <w:rsid w:val="63176E57"/>
    <w:rsid w:val="63522FBE"/>
    <w:rsid w:val="636429FB"/>
    <w:rsid w:val="63765739"/>
    <w:rsid w:val="63EA73A4"/>
    <w:rsid w:val="6477050C"/>
    <w:rsid w:val="64CE09BD"/>
    <w:rsid w:val="64E3560A"/>
    <w:rsid w:val="64E44CDB"/>
    <w:rsid w:val="6526661E"/>
    <w:rsid w:val="65420B1A"/>
    <w:rsid w:val="65444C94"/>
    <w:rsid w:val="656A1E1F"/>
    <w:rsid w:val="65EA6D06"/>
    <w:rsid w:val="66430FEE"/>
    <w:rsid w:val="6646463A"/>
    <w:rsid w:val="66B4655D"/>
    <w:rsid w:val="67000C8D"/>
    <w:rsid w:val="670D5784"/>
    <w:rsid w:val="671541AA"/>
    <w:rsid w:val="67362973"/>
    <w:rsid w:val="67455ACF"/>
    <w:rsid w:val="674E359E"/>
    <w:rsid w:val="68663E99"/>
    <w:rsid w:val="68AB2779"/>
    <w:rsid w:val="68AB69D7"/>
    <w:rsid w:val="68C74F83"/>
    <w:rsid w:val="68E12409"/>
    <w:rsid w:val="68FD36D6"/>
    <w:rsid w:val="690069D6"/>
    <w:rsid w:val="6923233A"/>
    <w:rsid w:val="69320EA6"/>
    <w:rsid w:val="69735746"/>
    <w:rsid w:val="69892AD1"/>
    <w:rsid w:val="698E1A22"/>
    <w:rsid w:val="69931944"/>
    <w:rsid w:val="699658D9"/>
    <w:rsid w:val="6AA10091"/>
    <w:rsid w:val="6AE306AA"/>
    <w:rsid w:val="6B272C8C"/>
    <w:rsid w:val="6B2D7B77"/>
    <w:rsid w:val="6B2F0FDF"/>
    <w:rsid w:val="6B5C07C8"/>
    <w:rsid w:val="6B6C069F"/>
    <w:rsid w:val="6BDB75D3"/>
    <w:rsid w:val="6C2C3EA4"/>
    <w:rsid w:val="6C4A05C8"/>
    <w:rsid w:val="6CA65E33"/>
    <w:rsid w:val="6CEA3862"/>
    <w:rsid w:val="6D2C27DC"/>
    <w:rsid w:val="6D526B82"/>
    <w:rsid w:val="6D7E290C"/>
    <w:rsid w:val="6D9640F9"/>
    <w:rsid w:val="6DF321B1"/>
    <w:rsid w:val="6E77478C"/>
    <w:rsid w:val="6E7D04EE"/>
    <w:rsid w:val="6E7E3605"/>
    <w:rsid w:val="6E9E14B7"/>
    <w:rsid w:val="6EE10381"/>
    <w:rsid w:val="6F23376B"/>
    <w:rsid w:val="6F627049"/>
    <w:rsid w:val="6FF5CC65"/>
    <w:rsid w:val="70115CB9"/>
    <w:rsid w:val="70A307BA"/>
    <w:rsid w:val="70BF74C3"/>
    <w:rsid w:val="70D70CB1"/>
    <w:rsid w:val="71105F71"/>
    <w:rsid w:val="71145A61"/>
    <w:rsid w:val="7128128D"/>
    <w:rsid w:val="712E4862"/>
    <w:rsid w:val="71550BFC"/>
    <w:rsid w:val="715C0E4B"/>
    <w:rsid w:val="717910B4"/>
    <w:rsid w:val="719806E0"/>
    <w:rsid w:val="72015611"/>
    <w:rsid w:val="72734820"/>
    <w:rsid w:val="72734D90"/>
    <w:rsid w:val="72897DA7"/>
    <w:rsid w:val="729D1E87"/>
    <w:rsid w:val="72F73214"/>
    <w:rsid w:val="73416116"/>
    <w:rsid w:val="737E18B7"/>
    <w:rsid w:val="73AA08C9"/>
    <w:rsid w:val="73AD73D5"/>
    <w:rsid w:val="73B6EB34"/>
    <w:rsid w:val="73CD1C73"/>
    <w:rsid w:val="740677A4"/>
    <w:rsid w:val="74A76BEC"/>
    <w:rsid w:val="75055A94"/>
    <w:rsid w:val="750E0A19"/>
    <w:rsid w:val="751A3CC1"/>
    <w:rsid w:val="75265D63"/>
    <w:rsid w:val="755A1EB0"/>
    <w:rsid w:val="75E17EDC"/>
    <w:rsid w:val="76016846"/>
    <w:rsid w:val="760E2BA6"/>
    <w:rsid w:val="76212B1C"/>
    <w:rsid w:val="76903FBE"/>
    <w:rsid w:val="76C70E7F"/>
    <w:rsid w:val="76E063E5"/>
    <w:rsid w:val="77113772"/>
    <w:rsid w:val="77753773"/>
    <w:rsid w:val="7789082B"/>
    <w:rsid w:val="78267843"/>
    <w:rsid w:val="784964F1"/>
    <w:rsid w:val="784B0FCF"/>
    <w:rsid w:val="78886D34"/>
    <w:rsid w:val="78A376CA"/>
    <w:rsid w:val="78D83818"/>
    <w:rsid w:val="79033C91"/>
    <w:rsid w:val="794744F9"/>
    <w:rsid w:val="795F1331"/>
    <w:rsid w:val="797A48CF"/>
    <w:rsid w:val="79B3393D"/>
    <w:rsid w:val="79EE5BA4"/>
    <w:rsid w:val="7A853931"/>
    <w:rsid w:val="7A894339"/>
    <w:rsid w:val="7AF4605B"/>
    <w:rsid w:val="7B8419D9"/>
    <w:rsid w:val="7B9635A4"/>
    <w:rsid w:val="7BDA413E"/>
    <w:rsid w:val="7BE353F9"/>
    <w:rsid w:val="7C431BF7"/>
    <w:rsid w:val="7C431F62"/>
    <w:rsid w:val="7CC61BD9"/>
    <w:rsid w:val="7CE0713F"/>
    <w:rsid w:val="7D31799A"/>
    <w:rsid w:val="7D772E18"/>
    <w:rsid w:val="7D831878"/>
    <w:rsid w:val="7D8349B7"/>
    <w:rsid w:val="7D9F2E48"/>
    <w:rsid w:val="7DC358EB"/>
    <w:rsid w:val="7DD2505C"/>
    <w:rsid w:val="7E070AE2"/>
    <w:rsid w:val="7E3E0194"/>
    <w:rsid w:val="7E543940"/>
    <w:rsid w:val="7E68397F"/>
    <w:rsid w:val="7EEF11D3"/>
    <w:rsid w:val="7F050969"/>
    <w:rsid w:val="7F0618E6"/>
    <w:rsid w:val="7F174041"/>
    <w:rsid w:val="7F2D7CEE"/>
    <w:rsid w:val="7FA30C79"/>
    <w:rsid w:val="7FAA5EAA"/>
    <w:rsid w:val="7FC96657"/>
    <w:rsid w:val="7FCE2989"/>
    <w:rsid w:val="7FF52F01"/>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1"/>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2"/>
    <w:basedOn w:val="1"/>
    <w:unhideWhenUsed/>
    <w:qFormat/>
    <w:uiPriority w:val="0"/>
    <w:pPr>
      <w:spacing w:before="120" w:after="120"/>
      <w:ind w:firstLine="640"/>
      <w:jc w:val="center"/>
    </w:pPr>
    <w:rPr>
      <w:rFonts w:ascii="宋体" w:hAnsi="宋体" w:eastAsia="方正仿宋简体"/>
      <w:szCs w:val="20"/>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page number"/>
    <w:basedOn w:val="16"/>
    <w:qFormat/>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7"/>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Times New Roman"/>
      <w:color w:val="000000"/>
      <w:kern w:val="0"/>
      <w:sz w:val="28"/>
      <w:szCs w:val="21"/>
    </w:rPr>
  </w:style>
  <w:style w:type="character" w:customStyle="1" w:styleId="35">
    <w:name w:val="标题 1 字符"/>
    <w:basedOn w:val="16"/>
    <w:link w:val="3"/>
    <w:qFormat/>
    <w:uiPriority w:val="9"/>
    <w:rPr>
      <w:rFonts w:ascii="Times New Roman" w:hAnsi="Times New Roman"/>
      <w:b/>
      <w:bCs/>
      <w:kern w:val="44"/>
      <w:sz w:val="44"/>
      <w:szCs w:val="44"/>
    </w:rPr>
  </w:style>
  <w:style w:type="character" w:customStyle="1" w:styleId="36">
    <w:name w:val="标题 2 字符"/>
    <w:basedOn w:val="16"/>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1156.34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1156.34</c:v>
                </c:pt>
                <c:pt idx="1">
                  <c:v>938.93</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spPr>
        <a:solidFill>
          <a:schemeClr val="bg1"/>
        </a:solidFill>
      </c:spPr>
    </c:plotArea>
    <c:legend>
      <c:legendPos val="r"/>
      <c:layout>
        <c:manualLayout>
          <c:xMode val="edge"/>
          <c:yMode val="edge"/>
          <c:x val="0.915012406947891"/>
          <c:y val="0.0671717171717172"/>
          <c:w val="0.0571960297766749"/>
          <c:h val="0.8297979797979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160413506683068"/>
                  <c:y val="-0.012666350396388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一般公共预算财政拨款收入, </a:t>
                    </a:r>
                    <a:r>
                      <a:rPr lang="en-US" altLang="zh-CN"/>
                      <a:t>938.61</a:t>
                    </a:r>
                    <a:r>
                      <a:t>万元, </a:t>
                    </a:r>
                    <a:r>
                      <a:rPr lang="en-US" altLang="zh-CN"/>
                      <a:t>99.97</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dLbl>
              <c:idx val="3"/>
              <c:delete val="1"/>
            </c:dLbl>
            <c:dLbl>
              <c:idx val="4"/>
              <c:delete val="1"/>
            </c:dLbl>
            <c:dLbl>
              <c:idx val="5"/>
              <c:delete val="1"/>
            </c:dLbl>
            <c:dLbl>
              <c:idx val="6"/>
              <c:layout>
                <c:manualLayout>
                  <c:x val="-0.0466355944100989"/>
                  <c:y val="0.005605776397710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其它收入, </a:t>
                    </a:r>
                    <a:r>
                      <a:rPr lang="en-US" altLang="zh-CN"/>
                      <a:t>0.33</a:t>
                    </a:r>
                    <a:r>
                      <a:t>万元, </a:t>
                    </a:r>
                    <a:r>
                      <a:rPr lang="en-US" altLang="zh-CN"/>
                      <a:t>0.03</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188471982226611"/>
                      <c:h val="0.219368172423974"/>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938.61</c:v>
                </c:pt>
                <c:pt idx="1">
                  <c:v>0</c:v>
                </c:pt>
                <c:pt idx="2">
                  <c:v>0</c:v>
                </c:pt>
                <c:pt idx="3">
                  <c:v>0</c:v>
                </c:pt>
                <c:pt idx="4">
                  <c:v>0</c:v>
                </c:pt>
                <c:pt idx="5">
                  <c:v>0</c:v>
                </c:pt>
                <c:pt idx="6">
                  <c:v>0.32</c:v>
                </c:pt>
              </c:numCache>
            </c:numRef>
          </c:val>
        </c:ser>
        <c:dLbls>
          <c:showLegendKey val="0"/>
          <c:showVal val="0"/>
          <c:showCatName val="0"/>
          <c:showSerName val="0"/>
          <c:showPercent val="0"/>
          <c:showBubbleSize val="0"/>
          <c:showLeaderLines val="1"/>
        </c:dLbls>
        <c:firstSliceAng val="307"/>
      </c:pieChart>
    </c:plotArea>
    <c:legend>
      <c:legendPos val="r"/>
      <c:legendEntry>
        <c:idx val="1"/>
        <c:delete val="1"/>
      </c:legendEntry>
      <c:legendEntry>
        <c:idx val="2"/>
        <c:delete val="1"/>
      </c:legendEntry>
      <c:legendEntry>
        <c:idx val="3"/>
        <c:delete val="1"/>
      </c:legendEntry>
      <c:legendEntry>
        <c:idx val="4"/>
        <c:delete val="1"/>
      </c:legendEntry>
      <c:legendEntry>
        <c:idx val="5"/>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effectLst>
      <a:outerShdw blurRad="50800" dist="50800" dir="4680000" algn="ctr" rotWithShape="0">
        <a:srgbClr val="000000">
          <a:alpha val="43000"/>
        </a:srgbClr>
      </a:outerShdw>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solidFill>
                <a:schemeClr val="accent2">
                  <a:lumMod val="60000"/>
                  <a:lumOff val="40000"/>
                </a:schemeClr>
              </a:solidFill>
            </c:spPr>
          </c:dPt>
          <c:dPt>
            <c:idx val="1"/>
            <c:bubble3D val="0"/>
            <c:spPr>
              <a:solidFill>
                <a:schemeClr val="accent3">
                  <a:lumMod val="40000"/>
                  <a:lumOff val="60000"/>
                </a:schemeClr>
              </a:solidFill>
            </c:spPr>
          </c:dPt>
          <c:dPt>
            <c:idx val="2"/>
            <c:bubble3D val="0"/>
          </c:dPt>
          <c:dPt>
            <c:idx val="3"/>
            <c:bubble3D val="0"/>
          </c:dPt>
          <c:dPt>
            <c:idx val="4"/>
            <c:bubble3D val="0"/>
          </c:dPt>
          <c:dLbls>
            <c:dLbl>
              <c:idx val="0"/>
              <c:layout>
                <c:manualLayout>
                  <c:x val="-0.133950720063878"/>
                  <c:y val="-0.207551957022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a:t>
                    </a:r>
                    <a:r>
                      <a:rPr lang="en-US" altLang="zh-CN"/>
                      <a:t>887.94</a:t>
                    </a:r>
                    <a:r>
                      <a:t>万元, </a:t>
                    </a:r>
                    <a:r>
                      <a:rPr lang="en-US" altLang="zh-CN"/>
                      <a:t>94.57</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624475608724967"/>
                  <c:y val="0.07068515920455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a:t>
                    </a:r>
                    <a:r>
                      <a:rPr lang="en-US" altLang="zh-CN"/>
                      <a:t>51.00</a:t>
                    </a:r>
                    <a:r>
                      <a:t>万元, </a:t>
                    </a:r>
                    <a:r>
                      <a:rPr lang="en-US" altLang="zh-CN"/>
                      <a:t>5.43</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887.94</c:v>
                </c:pt>
                <c:pt idx="1">
                  <c:v>50.99</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egendEntry>
        <c:idx val="4"/>
        <c:delete val="1"/>
      </c:legendEntry>
      <c:layout>
        <c:manualLayout>
          <c:xMode val="edge"/>
          <c:yMode val="edge"/>
          <c:x val="0.708267498988244"/>
          <c:y val="0.2683814757949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1156.27</c:v>
                </c:pt>
                <c:pt idx="1">
                  <c:v>938.61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940.52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2021年</c:v>
                </c:pt>
                <c:pt idx="1">
                  <c:v>2022年</c:v>
                </c:pt>
              </c:strCache>
            </c:strRef>
          </c:cat>
          <c:val>
            <c:numRef>
              <c:f>Sheet1!$B$2:$B$3</c:f>
              <c:numCache>
                <c:formatCode>General</c:formatCode>
                <c:ptCount val="2"/>
                <c:pt idx="0">
                  <c:v>1156.27</c:v>
                </c:pt>
                <c:pt idx="1">
                  <c:v>938.61</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2021年</c:v>
                      </c:pt>
                      <c:pt idx="1">
                        <c:v>2022年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894629828967827"/>
          <c:y val="0.0165319617927994"/>
          <c:w val="0.0978351871785672"/>
          <c:h val="0.90411462160176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292066155321189"/>
                      <c:h val="0.238742822605017"/>
                    </c:manualLayout>
                  </c15:layout>
                </c:ext>
              </c:extLst>
            </c:dLbl>
            <c:dLbl>
              <c:idx val="2"/>
              <c:layout>
                <c:manualLayout>
                  <c:x val="0.222830440741944"/>
                  <c:y val="0"/>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卫生健康支出</a:t>
                    </a:r>
                    <a:r>
                      <a:rPr lang="en-US" altLang="zh-CN"/>
                      <a:t>, 39.15,0.60%</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manualLayout>
                      <c:w val="0.350910834132311"/>
                      <c:h val="0.119975823511635"/>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教育支出</c:v>
                </c:pt>
                <c:pt idx="1">
                  <c:v>社会保障和就业支出</c:v>
                </c:pt>
                <c:pt idx="2">
                  <c:v>住房保障支出</c:v>
                </c:pt>
              </c:strCache>
            </c:strRef>
          </c:cat>
          <c:val>
            <c:numRef>
              <c:f>Sheet1!$B$2:$B$4</c:f>
              <c:numCache>
                <c:formatCode>General</c:formatCode>
                <c:ptCount val="3"/>
                <c:pt idx="0">
                  <c:v>826.97</c:v>
                </c:pt>
                <c:pt idx="1">
                  <c:v>61.12</c:v>
                </c:pt>
                <c:pt idx="2">
                  <c:v>50.52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3903</Words>
  <Characters>4314</Characters>
  <Lines>1</Lines>
  <Paragraphs>1</Paragraphs>
  <TotalTime>0</TotalTime>
  <ScaleCrop>false</ScaleCrop>
  <LinksUpToDate>false</LinksUpToDate>
  <CharactersWithSpaces>4376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lzjyj</cp:lastModifiedBy>
  <cp:lastPrinted>2022-09-27T12:55:00Z</cp:lastPrinted>
  <dcterms:modified xsi:type="dcterms:W3CDTF">2023-10-15T06:00:11Z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F8EC8C083A8449708CF3BFAC7EDA1A21</vt:lpwstr>
  </property>
</Properties>
</file>