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9"/>
      <w:bookmarkStart w:id="1" w:name="_Toc15377196"/>
    </w:p>
    <w:p>
      <w:pPr>
        <w:pStyle w:val="5"/>
        <w:spacing w:before="93"/>
        <w:rPr>
          <w:rFonts w:ascii="方正小标宋简体" w:hAnsi="宋体" w:eastAsia="方正小标宋简体"/>
          <w:sz w:val="72"/>
          <w:szCs w:val="72"/>
        </w:rPr>
      </w:pPr>
    </w:p>
    <w:p>
      <w:pPr>
        <w:pStyle w:val="5"/>
        <w:spacing w:before="93"/>
        <w:rPr>
          <w:rFonts w:ascii="方正小标宋简体" w:hAnsi="宋体" w:eastAsia="方正小标宋简体"/>
          <w:sz w:val="40"/>
          <w:szCs w:val="40"/>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56"/>
          <w:szCs w:val="70"/>
        </w:rPr>
      </w:pPr>
      <w:bookmarkStart w:id="2" w:name="_Toc15378441"/>
      <w:bookmarkStart w:id="3" w:name="_Toc15377425"/>
      <w:bookmarkStart w:id="4" w:name="_Toc15377193"/>
      <w:bookmarkStart w:id="5" w:name="_Toc15396475"/>
      <w:bookmarkStart w:id="6" w:name="_Toc15396597"/>
      <w:r>
        <w:rPr>
          <w:rFonts w:hint="eastAsia" w:ascii="方正小标宋简体" w:hAnsi="方正小标宋简体" w:eastAsia="方正小标宋简体" w:cs="方正小标宋简体"/>
          <w:sz w:val="56"/>
          <w:szCs w:val="70"/>
        </w:rPr>
        <w:t>2022年度</w:t>
      </w:r>
      <w:bookmarkEnd w:id="2"/>
      <w:bookmarkEnd w:id="3"/>
      <w:bookmarkEnd w:id="4"/>
      <w:bookmarkEnd w:id="5"/>
      <w:bookmarkEnd w:id="6"/>
    </w:p>
    <w:p>
      <w:pPr>
        <w:adjustRightInd w:val="0"/>
        <w:snapToGrid w:val="0"/>
        <w:spacing w:line="360" w:lineRule="auto"/>
        <w:ind w:left="3080" w:hanging="3080" w:hangingChars="550"/>
        <w:jc w:val="center"/>
        <w:outlineLvl w:val="0"/>
        <w:rPr>
          <w:rFonts w:ascii="方正小标宋简体" w:hAnsi="方正小标宋简体" w:eastAsia="方正小标宋简体" w:cs="方正小标宋简体"/>
          <w:sz w:val="56"/>
          <w:szCs w:val="70"/>
        </w:rPr>
      </w:pPr>
      <w:r>
        <w:rPr>
          <w:rFonts w:hint="eastAsia" w:ascii="方正小标宋简体" w:hAnsi="方正小标宋简体" w:eastAsia="方正小标宋简体" w:cs="方正小标宋简体"/>
          <w:sz w:val="56"/>
          <w:szCs w:val="70"/>
        </w:rPr>
        <w:t>四川省广元市利州区金洞小学</w:t>
      </w:r>
    </w:p>
    <w:p>
      <w:pPr>
        <w:adjustRightInd w:val="0"/>
        <w:snapToGrid w:val="0"/>
        <w:spacing w:line="360" w:lineRule="auto"/>
        <w:ind w:left="3080" w:hanging="3080" w:hangingChars="550"/>
        <w:jc w:val="center"/>
        <w:outlineLvl w:val="0"/>
        <w:rPr>
          <w:rFonts w:ascii="方正小标宋简体" w:hAnsi="方正小标宋简体" w:eastAsia="方正小标宋简体" w:cs="方正小标宋简体"/>
          <w:sz w:val="56"/>
          <w:szCs w:val="70"/>
        </w:rPr>
      </w:pPr>
      <w:r>
        <w:rPr>
          <w:rFonts w:hint="eastAsia" w:ascii="方正小标宋简体" w:hAnsi="方正小标宋简体" w:eastAsia="方正小标宋简体" w:cs="方正小标宋简体"/>
          <w:sz w:val="56"/>
          <w:szCs w:val="70"/>
        </w:rPr>
        <w:t>部门决算</w:t>
      </w:r>
    </w:p>
    <w:p>
      <w:pPr>
        <w:pStyle w:val="5"/>
        <w:spacing w:before="93"/>
        <w:rPr>
          <w:rFonts w:ascii="方正小标宋简体" w:hAnsi="方正小标宋简体" w:eastAsia="方正小标宋简体" w:cs="方正小标宋简体"/>
          <w:sz w:val="56"/>
          <w:szCs w:val="70"/>
        </w:rPr>
      </w:pPr>
    </w:p>
    <w:p>
      <w:pPr>
        <w:pStyle w:val="5"/>
        <w:spacing w:before="93"/>
        <w:rPr>
          <w:rFonts w:ascii="方正小标宋简体" w:hAnsi="方正小标宋简体" w:eastAsia="方正小标宋简体" w:cs="方正小标宋简体"/>
          <w:sz w:val="56"/>
          <w:szCs w:val="70"/>
        </w:rPr>
      </w:pPr>
    </w:p>
    <w:p>
      <w:pPr>
        <w:pStyle w:val="5"/>
        <w:spacing w:before="93"/>
        <w:rPr>
          <w:rFonts w:ascii="方正小标宋简体" w:hAnsi="方正小标宋简体" w:eastAsia="方正小标宋简体" w:cs="方正小标宋简体"/>
          <w:sz w:val="56"/>
          <w:szCs w:val="70"/>
        </w:rPr>
      </w:pPr>
    </w:p>
    <w:p>
      <w:pPr>
        <w:pStyle w:val="5"/>
        <w:spacing w:before="93"/>
        <w:rPr>
          <w:rFonts w:ascii="方正小标宋简体" w:hAnsi="方正小标宋简体" w:eastAsia="方正小标宋简体" w:cs="方正小标宋简体"/>
          <w:sz w:val="56"/>
          <w:szCs w:val="70"/>
        </w:rPr>
      </w:pPr>
    </w:p>
    <w:p>
      <w:pPr>
        <w:pStyle w:val="5"/>
        <w:spacing w:before="93"/>
        <w:rPr>
          <w:rFonts w:ascii="方正小标宋简体" w:hAnsi="方正小标宋简体" w:eastAsia="方正小标宋简体" w:cs="方正小标宋简体"/>
          <w:sz w:val="56"/>
          <w:szCs w:val="70"/>
        </w:rPr>
      </w:pPr>
    </w:p>
    <w:p>
      <w:pPr>
        <w:pStyle w:val="5"/>
        <w:spacing w:before="93"/>
        <w:rPr>
          <w:rFonts w:ascii="方正小标宋简体" w:hAnsi="方正小标宋简体" w:eastAsia="方正小标宋简体" w:cs="方正小标宋简体"/>
          <w:sz w:val="56"/>
          <w:szCs w:val="70"/>
        </w:rPr>
      </w:pPr>
    </w:p>
    <w:p>
      <w:pPr>
        <w:pStyle w:val="5"/>
        <w:spacing w:before="93"/>
        <w:rPr>
          <w:rFonts w:ascii="方正小标宋简体" w:hAnsi="方正小标宋简体" w:eastAsia="方正小标宋简体" w:cs="方正小标宋简体"/>
          <w:sz w:val="56"/>
          <w:szCs w:val="70"/>
        </w:rPr>
      </w:pPr>
    </w:p>
    <w:p>
      <w:pPr>
        <w:pStyle w:val="5"/>
        <w:spacing w:before="93"/>
        <w:ind w:firstLine="1960" w:firstLineChars="700"/>
        <w:jc w:val="left"/>
        <w:rPr>
          <w:rFonts w:ascii="方正小标宋简体" w:hAnsi="方正小标宋简体" w:eastAsia="方正小标宋简体" w:cs="方正小标宋简体"/>
          <w:sz w:val="28"/>
          <w:szCs w:val="32"/>
        </w:rPr>
      </w:pPr>
    </w:p>
    <w:sdt>
      <w:sdtPr>
        <w:rPr>
          <w:rFonts w:ascii="宋体" w:hAnsi="宋体"/>
        </w:rPr>
        <w:id w:val="147467499"/>
        <w:docPartObj>
          <w:docPartGallery w:val="Table of Contents"/>
          <w:docPartUnique/>
        </w:docPartObj>
      </w:sdtPr>
      <w:sdtEndPr>
        <w:rPr>
          <w:rFonts w:ascii="宋体" w:hAnsi="宋体"/>
          <w:b/>
        </w:rPr>
      </w:sdtEndPr>
      <w:sdtContent>
        <w:p>
          <w:pPr>
            <w:jc w:val="center"/>
            <w:rPr>
              <w:rFonts w:ascii="方正小标宋简体" w:hAnsi="方正小标宋简体" w:eastAsia="方正小标宋简体" w:cs="方正小标宋简体"/>
              <w:sz w:val="44"/>
              <w:szCs w:val="44"/>
            </w:rPr>
          </w:pPr>
          <w:bookmarkStart w:id="7" w:name="_Hlk146033325"/>
          <w:r>
            <w:rPr>
              <w:rFonts w:hint="eastAsia" w:ascii="方正小标宋简体" w:hAnsi="方正小标宋简体" w:eastAsia="方正小标宋简体" w:cs="方正小标宋简体"/>
              <w:sz w:val="44"/>
              <w:szCs w:val="44"/>
            </w:rPr>
            <w:t>目      录</w:t>
          </w:r>
        </w:p>
        <w:p>
          <w:pPr>
            <w:pStyle w:val="10"/>
          </w:pPr>
          <w:r>
            <w:rPr>
              <w:rFonts w:hint="eastAsia"/>
            </w:rPr>
            <w:t>公开时间：2023年10月 15日</w:t>
          </w:r>
        </w:p>
        <w:p>
          <w:pPr>
            <w:pStyle w:val="33"/>
            <w:widowControl w:val="0"/>
            <w:tabs>
              <w:tab w:val="right" w:leader="dot" w:pos="8845"/>
            </w:tabs>
            <w:snapToGrid w:val="0"/>
            <w:spacing w:line="540" w:lineRule="exact"/>
            <w:rPr>
              <w:rFonts w:ascii="仿宋" w:hAnsi="仿宋" w:eastAsia="仿宋" w:cs="仿宋"/>
              <w:b/>
              <w:sz w:val="32"/>
              <w:szCs w:val="32"/>
            </w:rPr>
          </w:pPr>
          <w:r>
            <w:fldChar w:fldCharType="begin"/>
          </w:r>
          <w:r>
            <w:instrText xml:space="preserve">TOC \o "1-2" \h \u </w:instrText>
          </w:r>
          <w:r>
            <w:fldChar w:fldCharType="separate"/>
          </w:r>
          <w:r>
            <w:fldChar w:fldCharType="begin"/>
          </w:r>
          <w:r>
            <w:instrText xml:space="preserve"> HYPERLINK \l "_Toc10883" </w:instrText>
          </w:r>
          <w:r>
            <w:fldChar w:fldCharType="separate"/>
          </w:r>
          <w:r>
            <w:rPr>
              <w:rFonts w:hint="eastAsia" w:ascii="黑体" w:hAnsi="黑体" w:eastAsia="黑体" w:cs="黑体"/>
              <w:bCs/>
              <w:sz w:val="32"/>
              <w:szCs w:val="32"/>
            </w:rPr>
            <w:t>第一部分 单位概况</w:t>
          </w:r>
          <w:r>
            <w:rPr>
              <w:rFonts w:hint="eastAsia" w:ascii="黑体" w:hAnsi="黑体" w:eastAsia="黑体" w:cs="黑体"/>
              <w:bCs/>
              <w:sz w:val="32"/>
              <w:szCs w:val="32"/>
            </w:rPr>
            <w:fldChar w:fldCharType="end"/>
          </w:r>
        </w:p>
        <w:p>
          <w:pPr>
            <w:pStyle w:val="34"/>
            <w:widowControl w:val="0"/>
            <w:tabs>
              <w:tab w:val="right" w:leader="dot" w:pos="8845"/>
            </w:tabs>
            <w:snapToGrid w:val="0"/>
            <w:spacing w:line="540" w:lineRule="exact"/>
            <w:ind w:left="420" w:firstLine="200" w:firstLineChars="100"/>
            <w:rPr>
              <w:rFonts w:ascii="仿宋" w:hAnsi="仿宋" w:eastAsia="仿宋" w:cs="仿宋"/>
              <w:sz w:val="32"/>
              <w:szCs w:val="32"/>
            </w:rPr>
          </w:pPr>
          <w:r>
            <w:fldChar w:fldCharType="begin"/>
          </w:r>
          <w:r>
            <w:instrText xml:space="preserve"> HYPERLINK \l "_Toc25654" </w:instrText>
          </w:r>
          <w:r>
            <w:fldChar w:fldCharType="separate"/>
          </w:r>
          <w:r>
            <w:rPr>
              <w:rFonts w:hint="eastAsia" w:ascii="仿宋" w:hAnsi="仿宋" w:eastAsia="仿宋" w:cs="仿宋"/>
              <w:sz w:val="32"/>
              <w:szCs w:val="32"/>
            </w:rPr>
            <w:t>一、</w:t>
          </w:r>
          <w:r>
            <w:rPr>
              <w:rFonts w:hint="eastAsia" w:ascii="仿宋" w:hAnsi="仿宋" w:eastAsia="仿宋"/>
              <w:bCs/>
              <w:sz w:val="32"/>
              <w:szCs w:val="32"/>
            </w:rPr>
            <w:t>主要职责</w:t>
          </w:r>
          <w:r>
            <w:rPr>
              <w:rFonts w:hint="eastAsia" w:ascii="仿宋" w:hAnsi="仿宋" w:eastAsia="仿宋"/>
              <w:bCs/>
              <w:sz w:val="32"/>
              <w:szCs w:val="32"/>
            </w:rPr>
            <w:fldChar w:fldCharType="end"/>
          </w:r>
        </w:p>
        <w:p>
          <w:pPr>
            <w:pStyle w:val="4"/>
            <w:snapToGrid w:val="0"/>
            <w:spacing w:before="0" w:after="0" w:line="560" w:lineRule="exact"/>
            <w:ind w:firstLine="640" w:firstLineChars="200"/>
            <w:rPr>
              <w:rFonts w:hint="eastAsia" w:ascii="仿宋" w:hAnsi="仿宋" w:eastAsia="仿宋" w:cstheme="minorBidi"/>
              <w:b w:val="0"/>
              <w:bCs/>
              <w:sz w:val="32"/>
              <w:szCs w:val="32"/>
              <w:lang w:val="en-US" w:eastAsia="zh-CN" w:bidi="ar-SA"/>
            </w:rPr>
          </w:pPr>
          <w:r>
            <w:rPr>
              <w:rFonts w:hint="eastAsia" w:ascii="仿宋" w:hAnsi="仿宋" w:eastAsia="仿宋" w:cstheme="minorBidi"/>
              <w:b w:val="0"/>
              <w:bCs/>
              <w:sz w:val="32"/>
              <w:szCs w:val="32"/>
              <w:lang w:val="en-US" w:eastAsia="zh-CN" w:bidi="ar-SA"/>
            </w:rPr>
            <w:fldChar w:fldCharType="begin"/>
          </w:r>
          <w:r>
            <w:rPr>
              <w:rFonts w:hint="eastAsia" w:ascii="仿宋" w:hAnsi="仿宋" w:eastAsia="仿宋" w:cstheme="minorBidi"/>
              <w:b w:val="0"/>
              <w:bCs/>
              <w:sz w:val="32"/>
              <w:szCs w:val="32"/>
              <w:lang w:val="en-US" w:eastAsia="zh-CN" w:bidi="ar-SA"/>
            </w:rPr>
            <w:instrText xml:space="preserve"> HYPERLINK \l "_Toc16074" </w:instrText>
          </w:r>
          <w:r>
            <w:rPr>
              <w:rFonts w:hint="eastAsia" w:ascii="仿宋" w:hAnsi="仿宋" w:eastAsia="仿宋" w:cstheme="minorBidi"/>
              <w:b w:val="0"/>
              <w:bCs/>
              <w:sz w:val="32"/>
              <w:szCs w:val="32"/>
              <w:lang w:val="en-US" w:eastAsia="zh-CN" w:bidi="ar-SA"/>
            </w:rPr>
            <w:fldChar w:fldCharType="separate"/>
          </w:r>
          <w:r>
            <w:rPr>
              <w:rFonts w:hint="eastAsia" w:ascii="仿宋" w:hAnsi="仿宋" w:eastAsia="仿宋" w:cstheme="minorBidi"/>
              <w:b w:val="0"/>
              <w:bCs/>
              <w:sz w:val="32"/>
              <w:szCs w:val="32"/>
              <w:lang w:val="en-US" w:eastAsia="zh-CN" w:bidi="ar-SA"/>
            </w:rPr>
            <w:t>二、</w:t>
          </w:r>
          <w:r>
            <w:rPr>
              <w:rFonts w:hint="eastAsia" w:ascii="仿宋" w:hAnsi="仿宋" w:eastAsia="仿宋" w:cstheme="minorBidi"/>
              <w:b w:val="0"/>
              <w:bCs/>
              <w:sz w:val="32"/>
              <w:szCs w:val="32"/>
              <w:lang w:val="en-US" w:eastAsia="zh-CN" w:bidi="ar-SA"/>
            </w:rPr>
            <w:fldChar w:fldCharType="end"/>
          </w:r>
          <w:r>
            <w:rPr>
              <w:rFonts w:hint="eastAsia" w:ascii="仿宋" w:hAnsi="仿宋" w:eastAsia="仿宋" w:cstheme="minorBidi"/>
              <w:b w:val="0"/>
              <w:bCs/>
              <w:sz w:val="32"/>
              <w:szCs w:val="32"/>
              <w:lang w:val="en-US" w:eastAsia="zh-CN" w:bidi="ar-SA"/>
            </w:rPr>
            <w:t>机构设置</w:t>
          </w:r>
        </w:p>
        <w:p>
          <w:pPr>
            <w:pStyle w:val="33"/>
            <w:widowControl w:val="0"/>
            <w:tabs>
              <w:tab w:val="right" w:leader="dot" w:pos="8845"/>
            </w:tabs>
            <w:snapToGrid w:val="0"/>
            <w:spacing w:line="540" w:lineRule="exact"/>
            <w:rPr>
              <w:rFonts w:ascii="仿宋" w:hAnsi="仿宋" w:eastAsia="仿宋" w:cs="仿宋"/>
              <w:b/>
              <w:sz w:val="32"/>
              <w:szCs w:val="32"/>
            </w:rPr>
          </w:pPr>
          <w:r>
            <w:fldChar w:fldCharType="begin"/>
          </w:r>
          <w:r>
            <w:instrText xml:space="preserve"> HYPERLINK \l "_Toc9138" </w:instrText>
          </w:r>
          <w:r>
            <w:fldChar w:fldCharType="separate"/>
          </w:r>
          <w:r>
            <w:rPr>
              <w:rFonts w:hint="eastAsia" w:ascii="黑体" w:hAnsi="黑体" w:eastAsia="黑体" w:cs="黑体"/>
              <w:bCs/>
              <w:sz w:val="32"/>
              <w:szCs w:val="32"/>
            </w:rPr>
            <w:t>第二部分 2022年度单位决算情况说明</w:t>
          </w:r>
          <w:r>
            <w:rPr>
              <w:rFonts w:hint="eastAsia" w:ascii="黑体" w:hAnsi="黑体" w:eastAsia="黑体" w:cs="黑体"/>
              <w:bCs/>
              <w:sz w:val="32"/>
              <w:szCs w:val="32"/>
            </w:rPr>
            <w:fldChar w:fldCharType="end"/>
          </w:r>
        </w:p>
        <w:p>
          <w:pPr>
            <w:widowControl/>
            <w:tabs>
              <w:tab w:val="left" w:pos="8025"/>
            </w:tabs>
            <w:ind w:firstLine="640" w:firstLineChars="200"/>
            <w:jc w:val="left"/>
            <w:rPr>
              <w:rFonts w:ascii="仿宋" w:hAnsi="仿宋" w:eastAsia="仿宋"/>
              <w:sz w:val="32"/>
              <w:szCs w:val="32"/>
            </w:rPr>
          </w:pPr>
          <w:r>
            <w:rPr>
              <w:rFonts w:hint="eastAsia" w:ascii="仿宋" w:hAnsi="仿宋" w:eastAsia="仿宋"/>
              <w:sz w:val="32"/>
              <w:szCs w:val="32"/>
            </w:rPr>
            <w:t>一、收入支出决算总体情况说明</w:t>
          </w:r>
        </w:p>
        <w:p>
          <w:pPr>
            <w:widowControl/>
            <w:ind w:firstLine="640" w:firstLineChars="200"/>
            <w:jc w:val="left"/>
            <w:rPr>
              <w:rFonts w:ascii="仿宋" w:hAnsi="仿宋" w:eastAsia="仿宋"/>
              <w:sz w:val="32"/>
              <w:szCs w:val="32"/>
            </w:rPr>
          </w:pPr>
          <w:r>
            <w:rPr>
              <w:rFonts w:hint="eastAsia" w:ascii="仿宋" w:hAnsi="仿宋" w:eastAsia="仿宋"/>
              <w:sz w:val="32"/>
              <w:szCs w:val="32"/>
            </w:rPr>
            <w:t>二、收入决算情况说明</w:t>
          </w:r>
        </w:p>
        <w:p>
          <w:pPr>
            <w:widowControl/>
            <w:ind w:firstLine="640" w:firstLineChars="200"/>
            <w:jc w:val="left"/>
            <w:rPr>
              <w:rFonts w:ascii="仿宋" w:hAnsi="仿宋" w:eastAsia="仿宋"/>
              <w:sz w:val="32"/>
              <w:szCs w:val="32"/>
            </w:rPr>
          </w:pPr>
          <w:r>
            <w:rPr>
              <w:rFonts w:hint="eastAsia" w:ascii="仿宋" w:hAnsi="仿宋" w:eastAsia="仿宋"/>
              <w:sz w:val="32"/>
              <w:szCs w:val="32"/>
            </w:rPr>
            <w:t>三、支出决算情况说明</w:t>
          </w:r>
        </w:p>
        <w:p>
          <w:pPr>
            <w:widowControl/>
            <w:ind w:firstLine="640" w:firstLineChars="200"/>
            <w:jc w:val="left"/>
            <w:rPr>
              <w:rFonts w:ascii="仿宋" w:hAnsi="仿宋" w:eastAsia="仿宋"/>
              <w:sz w:val="32"/>
              <w:szCs w:val="32"/>
            </w:rPr>
          </w:pPr>
          <w:r>
            <w:rPr>
              <w:rFonts w:hint="eastAsia" w:ascii="仿宋" w:hAnsi="仿宋" w:eastAsia="仿宋"/>
              <w:sz w:val="32"/>
              <w:szCs w:val="32"/>
            </w:rPr>
            <w:t>四、财政拨款收入支出决算总体情况明</w:t>
          </w:r>
        </w:p>
        <w:p>
          <w:pPr>
            <w:widowControl/>
            <w:ind w:firstLine="640" w:firstLineChars="200"/>
            <w:jc w:val="left"/>
            <w:rPr>
              <w:rFonts w:ascii="仿宋" w:hAnsi="仿宋" w:eastAsia="仿宋"/>
              <w:sz w:val="32"/>
              <w:szCs w:val="32"/>
            </w:rPr>
          </w:pPr>
          <w:r>
            <w:rPr>
              <w:rFonts w:hint="eastAsia" w:ascii="仿宋" w:hAnsi="仿宋" w:eastAsia="仿宋"/>
              <w:sz w:val="32"/>
              <w:szCs w:val="32"/>
            </w:rPr>
            <w:t>五、一般公共预算财政拨款支出决算情况说明</w:t>
          </w:r>
        </w:p>
        <w:p>
          <w:pPr>
            <w:widowControl/>
            <w:ind w:firstLine="640" w:firstLineChars="200"/>
            <w:jc w:val="left"/>
            <w:rPr>
              <w:rFonts w:ascii="仿宋" w:hAnsi="仿宋" w:eastAsia="仿宋"/>
              <w:sz w:val="32"/>
              <w:szCs w:val="32"/>
            </w:rPr>
          </w:pPr>
          <w:r>
            <w:rPr>
              <w:rFonts w:hint="eastAsia" w:ascii="仿宋" w:hAnsi="仿宋" w:eastAsia="仿宋"/>
              <w:sz w:val="32"/>
              <w:szCs w:val="32"/>
            </w:rPr>
            <w:t>六、一般公共预算财政拨款基本支出决算情况明</w:t>
          </w:r>
        </w:p>
        <w:p>
          <w:pPr>
            <w:widowControl/>
            <w:ind w:firstLine="640" w:firstLineChars="200"/>
            <w:jc w:val="left"/>
            <w:rPr>
              <w:rFonts w:ascii="仿宋" w:hAnsi="仿宋" w:eastAsia="仿宋"/>
              <w:sz w:val="32"/>
              <w:szCs w:val="32"/>
            </w:rPr>
          </w:pPr>
          <w:r>
            <w:rPr>
              <w:rFonts w:hint="eastAsia" w:ascii="仿宋" w:hAnsi="仿宋" w:eastAsia="仿宋"/>
              <w:sz w:val="32"/>
              <w:szCs w:val="32"/>
            </w:rPr>
            <w:t>七、“三公”经费财政拨款支出决算情况明</w:t>
          </w:r>
        </w:p>
        <w:p>
          <w:pPr>
            <w:widowControl/>
            <w:ind w:firstLine="640" w:firstLineChars="200"/>
            <w:jc w:val="left"/>
            <w:rPr>
              <w:rFonts w:ascii="仿宋" w:hAnsi="仿宋" w:eastAsia="仿宋"/>
              <w:sz w:val="32"/>
              <w:szCs w:val="32"/>
            </w:rPr>
          </w:pPr>
          <w:r>
            <w:rPr>
              <w:rFonts w:hint="eastAsia" w:ascii="仿宋" w:hAnsi="仿宋" w:eastAsia="仿宋"/>
              <w:sz w:val="32"/>
              <w:szCs w:val="32"/>
            </w:rPr>
            <w:t>八、政府性基金预算支出决算情况明</w:t>
          </w:r>
        </w:p>
        <w:p>
          <w:pPr>
            <w:widowControl/>
            <w:ind w:firstLine="640" w:firstLineChars="200"/>
            <w:jc w:val="left"/>
            <w:rPr>
              <w:rFonts w:ascii="仿宋" w:hAnsi="仿宋" w:eastAsia="仿宋"/>
              <w:sz w:val="32"/>
              <w:szCs w:val="32"/>
            </w:rPr>
          </w:pPr>
          <w:r>
            <w:rPr>
              <w:rFonts w:hint="eastAsia" w:ascii="仿宋" w:hAnsi="仿宋" w:eastAsia="仿宋"/>
              <w:sz w:val="32"/>
              <w:szCs w:val="32"/>
            </w:rPr>
            <w:t>九、国有资本经营预算支出决算情况明</w:t>
          </w:r>
        </w:p>
        <w:p>
          <w:pPr>
            <w:widowControl/>
            <w:ind w:firstLine="640" w:firstLineChars="200"/>
            <w:jc w:val="left"/>
            <w:rPr>
              <w:rFonts w:ascii="仿宋" w:hAnsi="仿宋" w:eastAsia="仿宋"/>
              <w:sz w:val="32"/>
              <w:szCs w:val="32"/>
            </w:rPr>
          </w:pPr>
          <w:r>
            <w:rPr>
              <w:rFonts w:hint="eastAsia" w:ascii="仿宋" w:hAnsi="仿宋" w:eastAsia="仿宋"/>
              <w:sz w:val="32"/>
              <w:szCs w:val="32"/>
            </w:rPr>
            <w:t>十、其他重要事项的情况明</w:t>
          </w:r>
        </w:p>
        <w:p>
          <w:pPr>
            <w:widowControl/>
            <w:jc w:val="left"/>
            <w:rPr>
              <w:rFonts w:ascii="仿宋" w:hAnsi="仿宋" w:eastAsia="仿宋"/>
              <w:sz w:val="32"/>
              <w:szCs w:val="32"/>
            </w:rPr>
          </w:pPr>
          <w:r>
            <w:rPr>
              <w:rFonts w:hint="eastAsia" w:ascii="黑体" w:hAnsi="黑体" w:eastAsia="黑体"/>
              <w:sz w:val="32"/>
              <w:szCs w:val="32"/>
            </w:rPr>
            <w:t>第三部分 名词解释</w:t>
          </w:r>
        </w:p>
        <w:p>
          <w:pPr>
            <w:widowControl/>
            <w:jc w:val="left"/>
            <w:rPr>
              <w:rFonts w:hint="eastAsia" w:ascii="黑体" w:hAnsi="黑体" w:eastAsia="黑体"/>
              <w:sz w:val="32"/>
              <w:szCs w:val="32"/>
            </w:rPr>
          </w:pPr>
          <w:r>
            <w:rPr>
              <w:rFonts w:hint="eastAsia" w:ascii="黑体" w:hAnsi="黑体" w:eastAsia="黑体"/>
              <w:sz w:val="32"/>
              <w:szCs w:val="32"/>
            </w:rPr>
            <w:t>第四部分 附件</w:t>
          </w:r>
        </w:p>
        <w:p>
          <w:pPr>
            <w:widowControl/>
            <w:ind w:firstLine="640" w:firstLineChars="200"/>
            <w:jc w:val="left"/>
            <w:rPr>
              <w:rFonts w:hint="eastAsia" w:ascii="仿宋" w:hAnsi="仿宋" w:eastAsia="仿宋"/>
              <w:sz w:val="32"/>
              <w:szCs w:val="32"/>
              <w:lang w:val="en-US" w:eastAsia="zh-CN"/>
            </w:rPr>
          </w:pPr>
          <w:bookmarkStart w:id="80" w:name="_GoBack"/>
          <w:r>
            <w:rPr>
              <w:rFonts w:hint="eastAsia" w:ascii="仿宋" w:hAnsi="仿宋" w:eastAsia="仿宋"/>
              <w:sz w:val="32"/>
              <w:szCs w:val="32"/>
              <w:lang w:val="en-US" w:eastAsia="zh-CN"/>
            </w:rPr>
            <w:t>部门预算项目支出绩效自评表</w:t>
          </w:r>
        </w:p>
        <w:bookmarkEnd w:id="80"/>
        <w:p>
          <w:pPr>
            <w:spacing w:line="600" w:lineRule="exact"/>
            <w:jc w:val="center"/>
            <w:outlineLvl w:val="0"/>
            <w:rPr>
              <w:rFonts w:ascii="黑体" w:hAnsi="黑体" w:eastAsia="黑体"/>
              <w:sz w:val="44"/>
              <w:szCs w:val="44"/>
            </w:rPr>
          </w:pPr>
        </w:p>
        <w:p>
          <w:pPr>
            <w:widowControl/>
            <w:jc w:val="left"/>
            <w:rPr>
              <w:rFonts w:hint="eastAsia" w:ascii="黑体" w:hAnsi="黑体" w:eastAsia="黑体"/>
              <w:sz w:val="32"/>
              <w:szCs w:val="32"/>
            </w:rPr>
          </w:pPr>
        </w:p>
        <w:p>
          <w:pPr>
            <w:pStyle w:val="5"/>
            <w:spacing w:before="93"/>
            <w:rPr>
              <w:rFonts w:ascii="黑体" w:hAnsi="黑体" w:eastAsia="黑体" w:cs="黑体"/>
              <w:bCs/>
              <w:sz w:val="32"/>
              <w:szCs w:val="32"/>
            </w:rPr>
          </w:pPr>
          <w:r>
            <w:rPr>
              <w:rFonts w:hint="eastAsia" w:ascii="黑体" w:hAnsi="黑体" w:eastAsia="黑体" w:cs="黑体"/>
              <w:bCs/>
              <w:sz w:val="32"/>
              <w:szCs w:val="32"/>
            </w:rPr>
            <w:t>第五部分 附表</w:t>
          </w:r>
        </w:p>
        <w:p>
          <w:pPr>
            <w:pStyle w:val="3"/>
            <w:snapToGrid w:val="0"/>
            <w:spacing w:before="0" w:after="0" w:line="360" w:lineRule="auto"/>
            <w:ind w:firstLine="640" w:firstLineChars="200"/>
            <w:rPr>
              <w:rFonts w:ascii="仿宋" w:hAnsi="仿宋" w:eastAsia="仿宋"/>
            </w:rPr>
          </w:pPr>
          <w:r>
            <w:rPr>
              <w:rFonts w:hint="eastAsia" w:ascii="仿宋" w:hAnsi="仿宋" w:eastAsia="仿宋"/>
              <w:b w:val="0"/>
            </w:rPr>
            <w:t>一、收</w:t>
          </w:r>
          <w:r>
            <w:rPr>
              <w:rStyle w:val="37"/>
              <w:rFonts w:hint="eastAsia" w:ascii="仿宋" w:hAnsi="仿宋" w:eastAsia="仿宋"/>
              <w:b w:val="0"/>
              <w:bCs w:val="0"/>
            </w:rPr>
            <w:t>入支出决算总表</w:t>
          </w:r>
        </w:p>
        <w:p>
          <w:pPr>
            <w:pStyle w:val="3"/>
            <w:snapToGrid w:val="0"/>
            <w:spacing w:before="0" w:after="0" w:line="360" w:lineRule="auto"/>
            <w:ind w:firstLine="640" w:firstLineChars="200"/>
            <w:rPr>
              <w:rFonts w:ascii="仿宋" w:hAnsi="仿宋" w:eastAsia="仿宋"/>
            </w:rPr>
          </w:pPr>
          <w:bookmarkStart w:id="8" w:name="_Toc15396620"/>
          <w:r>
            <w:rPr>
              <w:rFonts w:hint="eastAsia" w:ascii="仿宋" w:hAnsi="仿宋" w:eastAsia="仿宋"/>
              <w:b w:val="0"/>
            </w:rPr>
            <w:t>二、收</w:t>
          </w:r>
          <w:r>
            <w:rPr>
              <w:rStyle w:val="37"/>
              <w:rFonts w:hint="eastAsia" w:ascii="仿宋" w:hAnsi="仿宋" w:eastAsia="仿宋"/>
              <w:b w:val="0"/>
              <w:bCs w:val="0"/>
            </w:rPr>
            <w:t>入决算表</w:t>
          </w:r>
          <w:bookmarkEnd w:id="8"/>
        </w:p>
        <w:p>
          <w:pPr>
            <w:pStyle w:val="3"/>
            <w:snapToGrid w:val="0"/>
            <w:spacing w:before="0" w:after="0" w:line="360" w:lineRule="auto"/>
            <w:ind w:firstLine="640" w:firstLineChars="200"/>
            <w:rPr>
              <w:rFonts w:ascii="仿宋" w:hAnsi="仿宋" w:eastAsia="仿宋"/>
            </w:rPr>
          </w:pPr>
          <w:bookmarkStart w:id="9" w:name="_Toc15396621"/>
          <w:r>
            <w:rPr>
              <w:rStyle w:val="37"/>
              <w:rFonts w:hint="eastAsia" w:ascii="仿宋" w:hAnsi="仿宋" w:eastAsia="仿宋"/>
              <w:b w:val="0"/>
              <w:bCs w:val="0"/>
            </w:rPr>
            <w:t>三、</w:t>
          </w:r>
          <w:r>
            <w:rPr>
              <w:rFonts w:hint="eastAsia" w:ascii="仿宋" w:hAnsi="仿宋" w:eastAsia="仿宋"/>
              <w:b w:val="0"/>
            </w:rPr>
            <w:t>支</w:t>
          </w:r>
          <w:r>
            <w:rPr>
              <w:rStyle w:val="37"/>
              <w:rFonts w:hint="eastAsia" w:ascii="仿宋" w:hAnsi="仿宋" w:eastAsia="仿宋"/>
              <w:b w:val="0"/>
              <w:bCs w:val="0"/>
            </w:rPr>
            <w:t>出决算表</w:t>
          </w:r>
          <w:bookmarkEnd w:id="9"/>
        </w:p>
        <w:p>
          <w:pPr>
            <w:pStyle w:val="3"/>
            <w:snapToGrid w:val="0"/>
            <w:spacing w:before="0" w:after="0" w:line="360" w:lineRule="auto"/>
            <w:ind w:firstLine="640" w:firstLineChars="200"/>
            <w:rPr>
              <w:rFonts w:ascii="仿宋" w:hAnsi="仿宋" w:eastAsia="仿宋"/>
              <w:b w:val="0"/>
            </w:rPr>
          </w:pPr>
          <w:bookmarkStart w:id="10" w:name="_Toc15396622"/>
          <w:r>
            <w:rPr>
              <w:rStyle w:val="37"/>
              <w:rFonts w:hint="eastAsia" w:ascii="仿宋" w:hAnsi="仿宋" w:eastAsia="仿宋"/>
              <w:b w:val="0"/>
              <w:bCs w:val="0"/>
            </w:rPr>
            <w:t>四、</w:t>
          </w:r>
          <w:r>
            <w:rPr>
              <w:rFonts w:hint="eastAsia" w:ascii="仿宋" w:hAnsi="仿宋" w:eastAsia="仿宋"/>
              <w:b w:val="0"/>
            </w:rPr>
            <w:t>财</w:t>
          </w:r>
          <w:r>
            <w:rPr>
              <w:rStyle w:val="37"/>
              <w:rFonts w:hint="eastAsia" w:ascii="仿宋" w:hAnsi="仿宋" w:eastAsia="仿宋"/>
              <w:b w:val="0"/>
              <w:bCs w:val="0"/>
            </w:rPr>
            <w:t>政拨款收入支出决算总表</w:t>
          </w:r>
          <w:bookmarkEnd w:id="10"/>
        </w:p>
        <w:p>
          <w:pPr>
            <w:pStyle w:val="3"/>
            <w:snapToGrid w:val="0"/>
            <w:spacing w:before="0" w:after="0" w:line="360" w:lineRule="auto"/>
            <w:ind w:firstLine="640" w:firstLineChars="200"/>
            <w:rPr>
              <w:rStyle w:val="37"/>
              <w:rFonts w:ascii="仿宋" w:hAnsi="仿宋" w:eastAsia="仿宋"/>
              <w:b w:val="0"/>
              <w:bCs w:val="0"/>
            </w:rPr>
          </w:pPr>
          <w:bookmarkStart w:id="11" w:name="_Toc15396623"/>
          <w:r>
            <w:rPr>
              <w:rStyle w:val="37"/>
              <w:rFonts w:hint="eastAsia" w:ascii="仿宋" w:hAnsi="仿宋" w:eastAsia="仿宋"/>
              <w:b w:val="0"/>
              <w:bCs w:val="0"/>
            </w:rPr>
            <w:t>五、</w:t>
          </w:r>
          <w:r>
            <w:rPr>
              <w:rFonts w:hint="eastAsia" w:ascii="仿宋" w:hAnsi="仿宋" w:eastAsia="仿宋"/>
              <w:b w:val="0"/>
            </w:rPr>
            <w:t>财</w:t>
          </w:r>
          <w:r>
            <w:rPr>
              <w:rStyle w:val="37"/>
              <w:rFonts w:hint="eastAsia" w:ascii="仿宋" w:hAnsi="仿宋" w:eastAsia="仿宋"/>
              <w:b w:val="0"/>
              <w:bCs w:val="0"/>
            </w:rPr>
            <w:t>政拨款支出决算明细表</w:t>
          </w:r>
          <w:bookmarkEnd w:id="11"/>
          <w:bookmarkStart w:id="12" w:name="_Toc15396624"/>
        </w:p>
        <w:p>
          <w:pPr>
            <w:pStyle w:val="3"/>
            <w:snapToGrid w:val="0"/>
            <w:spacing w:before="0" w:after="0" w:line="360" w:lineRule="auto"/>
            <w:ind w:firstLine="640" w:firstLineChars="200"/>
            <w:rPr>
              <w:rFonts w:ascii="仿宋" w:hAnsi="仿宋" w:eastAsia="仿宋"/>
            </w:rPr>
          </w:pPr>
          <w:r>
            <w:rPr>
              <w:rStyle w:val="37"/>
              <w:rFonts w:hint="eastAsia" w:ascii="仿宋" w:hAnsi="仿宋" w:eastAsia="仿宋"/>
              <w:b w:val="0"/>
              <w:bCs w:val="0"/>
            </w:rPr>
            <w:t>六、</w:t>
          </w:r>
          <w:r>
            <w:rPr>
              <w:rFonts w:hint="eastAsia" w:ascii="仿宋" w:hAnsi="仿宋" w:eastAsia="仿宋"/>
              <w:b w:val="0"/>
            </w:rPr>
            <w:t>一</w:t>
          </w:r>
          <w:r>
            <w:rPr>
              <w:rStyle w:val="37"/>
              <w:rFonts w:hint="eastAsia" w:ascii="仿宋" w:hAnsi="仿宋" w:eastAsia="仿宋"/>
              <w:b w:val="0"/>
              <w:bCs w:val="0"/>
            </w:rPr>
            <w:t>般公共预算财政拨款支出决算表</w:t>
          </w:r>
          <w:bookmarkEnd w:id="12"/>
        </w:p>
        <w:p>
          <w:pPr>
            <w:pStyle w:val="3"/>
            <w:snapToGrid w:val="0"/>
            <w:spacing w:before="0" w:after="0" w:line="360" w:lineRule="auto"/>
            <w:ind w:firstLine="640" w:firstLineChars="200"/>
            <w:rPr>
              <w:rFonts w:ascii="仿宋" w:hAnsi="仿宋" w:eastAsia="仿宋"/>
            </w:rPr>
          </w:pPr>
          <w:bookmarkStart w:id="13" w:name="_Toc15396625"/>
          <w:r>
            <w:rPr>
              <w:rStyle w:val="37"/>
              <w:rFonts w:hint="eastAsia" w:ascii="仿宋" w:hAnsi="仿宋" w:eastAsia="仿宋"/>
              <w:b w:val="0"/>
              <w:bCs w:val="0"/>
            </w:rPr>
            <w:t>七、</w:t>
          </w:r>
          <w:r>
            <w:rPr>
              <w:rFonts w:hint="eastAsia" w:ascii="仿宋" w:hAnsi="仿宋" w:eastAsia="仿宋"/>
              <w:b w:val="0"/>
            </w:rPr>
            <w:t>一</w:t>
          </w:r>
          <w:r>
            <w:rPr>
              <w:rStyle w:val="37"/>
              <w:rFonts w:hint="eastAsia" w:ascii="仿宋" w:hAnsi="仿宋" w:eastAsia="仿宋"/>
              <w:b w:val="0"/>
              <w:bCs w:val="0"/>
            </w:rPr>
            <w:t>般公共预算财政拨款支出决算明细表</w:t>
          </w:r>
          <w:bookmarkEnd w:id="13"/>
        </w:p>
        <w:p>
          <w:pPr>
            <w:pStyle w:val="3"/>
            <w:snapToGrid w:val="0"/>
            <w:spacing w:before="0" w:after="0" w:line="360" w:lineRule="auto"/>
            <w:ind w:firstLine="640" w:firstLineChars="200"/>
            <w:rPr>
              <w:rFonts w:ascii="仿宋" w:hAnsi="仿宋" w:eastAsia="仿宋"/>
            </w:rPr>
          </w:pPr>
          <w:bookmarkStart w:id="14" w:name="_Toc15396626"/>
          <w:r>
            <w:rPr>
              <w:rStyle w:val="37"/>
              <w:rFonts w:hint="eastAsia" w:ascii="仿宋" w:hAnsi="仿宋" w:eastAsia="仿宋"/>
              <w:b w:val="0"/>
              <w:bCs w:val="0"/>
            </w:rPr>
            <w:t>八、</w:t>
          </w:r>
          <w:r>
            <w:rPr>
              <w:rFonts w:hint="eastAsia" w:ascii="仿宋" w:hAnsi="仿宋" w:eastAsia="仿宋"/>
              <w:b w:val="0"/>
            </w:rPr>
            <w:t>一</w:t>
          </w:r>
          <w:r>
            <w:rPr>
              <w:rStyle w:val="37"/>
              <w:rFonts w:hint="eastAsia" w:ascii="仿宋" w:hAnsi="仿宋" w:eastAsia="仿宋"/>
              <w:b w:val="0"/>
              <w:bCs w:val="0"/>
            </w:rPr>
            <w:t>般公共预算财政拨款基本支出决算明细表</w:t>
          </w:r>
          <w:bookmarkEnd w:id="14"/>
        </w:p>
        <w:p>
          <w:pPr>
            <w:pStyle w:val="3"/>
            <w:snapToGrid w:val="0"/>
            <w:spacing w:before="0" w:after="0" w:line="360" w:lineRule="auto"/>
            <w:ind w:firstLine="640" w:firstLineChars="200"/>
            <w:rPr>
              <w:rFonts w:ascii="仿宋" w:hAnsi="仿宋" w:eastAsia="仿宋"/>
            </w:rPr>
          </w:pPr>
          <w:bookmarkStart w:id="15" w:name="_Toc15396627"/>
          <w:r>
            <w:rPr>
              <w:rStyle w:val="37"/>
              <w:rFonts w:hint="eastAsia" w:ascii="仿宋" w:hAnsi="仿宋" w:eastAsia="仿宋"/>
              <w:b w:val="0"/>
              <w:bCs w:val="0"/>
            </w:rPr>
            <w:t>九、</w:t>
          </w:r>
          <w:r>
            <w:rPr>
              <w:rFonts w:hint="eastAsia" w:ascii="仿宋" w:hAnsi="仿宋" w:eastAsia="仿宋"/>
              <w:b w:val="0"/>
            </w:rPr>
            <w:t>一</w:t>
          </w:r>
          <w:r>
            <w:rPr>
              <w:rStyle w:val="37"/>
              <w:rFonts w:hint="eastAsia" w:ascii="仿宋" w:hAnsi="仿宋" w:eastAsia="仿宋"/>
              <w:b w:val="0"/>
              <w:bCs w:val="0"/>
            </w:rPr>
            <w:t>般公共预算财政拨款项目支出决算表</w:t>
          </w:r>
          <w:bookmarkEnd w:id="15"/>
        </w:p>
        <w:p>
          <w:pPr>
            <w:pStyle w:val="3"/>
            <w:snapToGrid w:val="0"/>
            <w:spacing w:before="0" w:after="0" w:line="360" w:lineRule="auto"/>
            <w:ind w:firstLine="640" w:firstLineChars="200"/>
            <w:rPr>
              <w:rFonts w:ascii="仿宋" w:hAnsi="仿宋" w:eastAsia="仿宋"/>
              <w:b w:val="0"/>
            </w:rPr>
          </w:pPr>
          <w:bookmarkStart w:id="16" w:name="_Toc15396628"/>
          <w:r>
            <w:rPr>
              <w:rStyle w:val="37"/>
              <w:rFonts w:hint="eastAsia" w:ascii="仿宋" w:hAnsi="仿宋" w:eastAsia="仿宋"/>
              <w:b w:val="0"/>
              <w:bCs w:val="0"/>
            </w:rPr>
            <w:t>十、</w:t>
          </w:r>
          <w:bookmarkEnd w:id="16"/>
          <w:bookmarkStart w:id="17" w:name="_Toc15396629"/>
          <w:r>
            <w:rPr>
              <w:rFonts w:hint="eastAsia" w:ascii="仿宋" w:hAnsi="仿宋" w:eastAsia="仿宋"/>
              <w:b w:val="0"/>
            </w:rPr>
            <w:t>政</w:t>
          </w:r>
          <w:r>
            <w:rPr>
              <w:rStyle w:val="37"/>
              <w:rFonts w:hint="eastAsia" w:ascii="仿宋" w:hAnsi="仿宋" w:eastAsia="仿宋"/>
              <w:b w:val="0"/>
              <w:bCs w:val="0"/>
            </w:rPr>
            <w:t>府性基金预算财政拨款收入支出决算表</w:t>
          </w:r>
        </w:p>
        <w:p>
          <w:pPr>
            <w:pStyle w:val="3"/>
            <w:snapToGrid w:val="0"/>
            <w:spacing w:before="0" w:after="0" w:line="360" w:lineRule="auto"/>
            <w:ind w:firstLine="640" w:firstLineChars="200"/>
            <w:rPr>
              <w:rStyle w:val="37"/>
              <w:rFonts w:ascii="仿宋" w:hAnsi="仿宋" w:eastAsia="仿宋"/>
              <w:b w:val="0"/>
              <w:bCs w:val="0"/>
            </w:rPr>
          </w:pPr>
          <w:r>
            <w:rPr>
              <w:rStyle w:val="37"/>
              <w:rFonts w:hint="eastAsia" w:ascii="仿宋" w:hAnsi="仿宋" w:eastAsia="仿宋"/>
              <w:b w:val="0"/>
              <w:bCs w:val="0"/>
            </w:rPr>
            <w:t>十一、</w:t>
          </w:r>
          <w:r>
            <w:rPr>
              <w:rFonts w:hint="eastAsia" w:ascii="仿宋" w:hAnsi="仿宋" w:eastAsia="仿宋"/>
              <w:b w:val="0"/>
            </w:rPr>
            <w:t>国</w:t>
          </w:r>
          <w:r>
            <w:rPr>
              <w:rStyle w:val="37"/>
              <w:rFonts w:hint="eastAsia" w:ascii="仿宋" w:hAnsi="仿宋" w:eastAsia="仿宋"/>
              <w:b w:val="0"/>
              <w:bCs w:val="0"/>
            </w:rPr>
            <w:t>有资本经营预算财政拨款收入支出决算表</w:t>
          </w:r>
        </w:p>
        <w:bookmarkEnd w:id="17"/>
        <w:p>
          <w:pPr>
            <w:pStyle w:val="3"/>
            <w:snapToGrid w:val="0"/>
            <w:spacing w:before="0" w:after="0" w:line="360" w:lineRule="auto"/>
            <w:ind w:firstLine="640" w:firstLineChars="200"/>
            <w:rPr>
              <w:rStyle w:val="37"/>
              <w:rFonts w:ascii="仿宋" w:hAnsi="仿宋" w:eastAsia="仿宋"/>
              <w:b w:val="0"/>
              <w:bCs w:val="0"/>
            </w:rPr>
          </w:pPr>
          <w:bookmarkStart w:id="18" w:name="_Toc15396630"/>
          <w:r>
            <w:rPr>
              <w:rStyle w:val="37"/>
              <w:rFonts w:hint="eastAsia" w:ascii="仿宋" w:hAnsi="仿宋" w:eastAsia="仿宋"/>
              <w:b w:val="0"/>
              <w:bCs w:val="0"/>
            </w:rPr>
            <w:t>十二、</w:t>
          </w:r>
          <w:r>
            <w:rPr>
              <w:rFonts w:hint="eastAsia" w:ascii="仿宋" w:hAnsi="仿宋" w:eastAsia="仿宋"/>
              <w:b w:val="0"/>
            </w:rPr>
            <w:t>国</w:t>
          </w:r>
          <w:r>
            <w:rPr>
              <w:rStyle w:val="37"/>
              <w:rFonts w:hint="eastAsia" w:ascii="仿宋" w:hAnsi="仿宋" w:eastAsia="仿宋"/>
              <w:b w:val="0"/>
              <w:bCs w:val="0"/>
            </w:rPr>
            <w:t>有资本经营预算财政拨款收入支出决算表</w:t>
          </w:r>
        </w:p>
        <w:bookmarkEnd w:id="18"/>
        <w:p>
          <w:pPr>
            <w:pStyle w:val="3"/>
            <w:snapToGrid w:val="0"/>
            <w:spacing w:before="0" w:after="0" w:line="360" w:lineRule="auto"/>
            <w:ind w:firstLine="640" w:firstLineChars="200"/>
            <w:rPr>
              <w:rStyle w:val="37"/>
              <w:rFonts w:ascii="仿宋" w:hAnsi="仿宋" w:eastAsia="仿宋"/>
              <w:b w:val="0"/>
              <w:bCs w:val="0"/>
            </w:rPr>
          </w:pPr>
          <w:bookmarkStart w:id="19" w:name="_Toc15396631"/>
          <w:r>
            <w:rPr>
              <w:rStyle w:val="37"/>
              <w:rFonts w:hint="eastAsia" w:ascii="仿宋" w:hAnsi="仿宋" w:eastAsia="仿宋"/>
              <w:b w:val="0"/>
              <w:bCs w:val="0"/>
            </w:rPr>
            <w:t>十三、财政拨款“三公”经费支出决算表</w:t>
          </w:r>
        </w:p>
        <w:bookmarkEnd w:id="19"/>
        <w:p>
          <w:pPr>
            <w:pStyle w:val="5"/>
            <w:spacing w:before="93"/>
            <w:rPr>
              <w:b/>
            </w:rPr>
          </w:pPr>
        </w:p>
        <w:p>
          <w:pPr>
            <w:widowControl/>
            <w:shd w:val="clear" w:color="auto" w:fill="FFFFFF"/>
            <w:spacing w:line="580" w:lineRule="atLeast"/>
            <w:ind w:firstLine="1280" w:firstLineChars="400"/>
            <w:rPr>
              <w:rFonts w:ascii="仿宋" w:hAnsi="仿宋" w:eastAsia="仿宋"/>
              <w:sz w:val="32"/>
              <w:szCs w:val="32"/>
            </w:rPr>
          </w:pPr>
        </w:p>
        <w:p>
          <w:r>
            <w:rPr>
              <w:b/>
            </w:rPr>
            <w:fldChar w:fldCharType="end"/>
          </w:r>
        </w:p>
      </w:sdtContent>
    </w:sdt>
    <w:bookmarkEnd w:id="7"/>
    <w:p>
      <w:pPr>
        <w:pStyle w:val="11"/>
        <w:adjustRightInd w:val="0"/>
        <w:snapToGrid w:val="0"/>
        <w:spacing w:line="520" w:lineRule="exact"/>
        <w:ind w:firstLine="723" w:firstLineChars="300"/>
        <w:jc w:val="left"/>
        <w:rPr>
          <w:rFonts w:ascii="仿宋" w:hAnsi="仿宋" w:eastAsia="仿宋"/>
          <w:b/>
          <w:sz w:val="24"/>
        </w:rPr>
      </w:pPr>
      <w:r>
        <w:rPr>
          <w:rFonts w:ascii="仿宋" w:hAnsi="仿宋" w:eastAsia="仿宋"/>
          <w:b/>
          <w:sz w:val="24"/>
        </w:rPr>
        <w:br w:type="page"/>
      </w:r>
    </w:p>
    <w:p>
      <w:pPr>
        <w:pStyle w:val="5"/>
        <w:spacing w:before="93"/>
        <w:sectPr>
          <w:headerReference r:id="rId3" w:type="default"/>
          <w:footerReference r:id="rId4" w:type="default"/>
          <w:pgSz w:w="11906" w:h="16838"/>
          <w:pgMar w:top="1701" w:right="1474" w:bottom="1701" w:left="1587" w:header="851" w:footer="1304" w:gutter="0"/>
          <w:pgNumType w:start="1"/>
          <w:cols w:space="0" w:num="1"/>
          <w:docGrid w:type="lines" w:linePitch="312" w:charSpace="0"/>
        </w:sectPr>
      </w:pPr>
    </w:p>
    <w:p>
      <w:pPr>
        <w:pStyle w:val="2"/>
        <w:jc w:val="center"/>
        <w:rPr>
          <w:rStyle w:val="26"/>
          <w:rFonts w:ascii="黑体" w:hAnsi="黑体" w:eastAsia="黑体"/>
          <w:b/>
          <w:bCs w:val="0"/>
        </w:rPr>
      </w:pPr>
      <w:bookmarkStart w:id="20" w:name="_Toc10883"/>
      <w:r>
        <w:rPr>
          <w:rFonts w:hint="eastAsia" w:ascii="黑体" w:hAnsi="黑体" w:eastAsia="黑体"/>
          <w:b w:val="0"/>
        </w:rPr>
        <w:t>第一部分 单位</w:t>
      </w:r>
      <w:r>
        <w:rPr>
          <w:rStyle w:val="26"/>
          <w:rFonts w:hint="eastAsia" w:ascii="黑体" w:hAnsi="黑体" w:eastAsia="黑体"/>
          <w:b w:val="0"/>
          <w:bCs w:val="0"/>
        </w:rPr>
        <w:t>概况</w:t>
      </w:r>
      <w:bookmarkEnd w:id="0"/>
      <w:bookmarkEnd w:id="1"/>
      <w:bookmarkEnd w:id="20"/>
    </w:p>
    <w:p>
      <w:pPr>
        <w:pStyle w:val="4"/>
        <w:snapToGrid w:val="0"/>
        <w:spacing w:before="0" w:after="0" w:line="560" w:lineRule="exact"/>
        <w:ind w:firstLine="640" w:firstLineChars="200"/>
        <w:rPr>
          <w:rFonts w:ascii="仿宋" w:hAnsi="仿宋" w:eastAsia="仿宋"/>
          <w:bCs w:val="0"/>
        </w:rPr>
      </w:pPr>
      <w:bookmarkStart w:id="21" w:name="_Toc15377197"/>
      <w:bookmarkStart w:id="22" w:name="_Toc15396600"/>
      <w:bookmarkStart w:id="23" w:name="_Toc25654"/>
      <w:bookmarkStart w:id="24" w:name="_Hlk146033435"/>
      <w:r>
        <w:rPr>
          <w:rStyle w:val="27"/>
          <w:rFonts w:hint="eastAsia" w:ascii="黑体" w:hAnsi="黑体" w:eastAsia="黑体"/>
          <w:b w:val="0"/>
          <w:bCs w:val="0"/>
        </w:rPr>
        <w:t>一、</w:t>
      </w:r>
      <w:bookmarkEnd w:id="21"/>
      <w:bookmarkEnd w:id="22"/>
      <w:bookmarkEnd w:id="23"/>
      <w:bookmarkStart w:id="25" w:name="_Toc15377198"/>
      <w:bookmarkStart w:id="26" w:name="_Toc15378445"/>
      <w:r>
        <w:rPr>
          <w:rFonts w:hint="eastAsia" w:ascii="仿宋" w:hAnsi="仿宋" w:eastAsia="仿宋"/>
        </w:rPr>
        <w:t>主要</w:t>
      </w:r>
      <w:bookmarkEnd w:id="25"/>
      <w:bookmarkEnd w:id="26"/>
      <w:bookmarkStart w:id="27" w:name="_Toc15377199"/>
      <w:bookmarkStart w:id="28" w:name="_Toc15378446"/>
      <w:r>
        <w:rPr>
          <w:rFonts w:hint="eastAsia" w:ascii="仿宋" w:hAnsi="仿宋" w:eastAsia="仿宋"/>
        </w:rPr>
        <w:t>职责</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1．金洞小学是经利州区编制委员会批准成立的，在区教育局领导下的一所乡镇小学校。我校的主要职能是：实施小学义务教育，小学学历教育。</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2.负责</w:t>
      </w:r>
      <w:r>
        <w:rPr>
          <w:rFonts w:ascii="仿宋" w:hAnsi="仿宋" w:eastAsia="仿宋"/>
          <w:sz w:val="32"/>
          <w:szCs w:val="32"/>
        </w:rPr>
        <w:t>推进义务教育均衡发展和促进教育公平，全面实施素质教育；对基础教育发展水平、质量的监测工作。</w:t>
      </w:r>
    </w:p>
    <w:p>
      <w:pPr>
        <w:snapToGrid w:val="0"/>
        <w:spacing w:line="576" w:lineRule="exact"/>
        <w:ind w:firstLine="640" w:firstLineChars="200"/>
      </w:pPr>
      <w:r>
        <w:rPr>
          <w:rFonts w:ascii="仿宋" w:hAnsi="仿宋" w:eastAsia="仿宋"/>
          <w:sz w:val="32"/>
          <w:szCs w:val="32"/>
        </w:rPr>
        <w:t>3.负责配合各级人民政府依法动员、组织适龄儿童、少年入学，严格控制学生辍学，依法保证适龄儿童、少年接受九年义务教育。</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.负责</w:t>
      </w:r>
      <w:r>
        <w:rPr>
          <w:rFonts w:ascii="仿宋" w:hAnsi="仿宋" w:eastAsia="仿宋"/>
          <w:sz w:val="32"/>
          <w:szCs w:val="32"/>
        </w:rPr>
        <w:t>依法治校、安全、综合治理、档案、保密、计划生育工作</w:t>
      </w:r>
      <w:r>
        <w:rPr>
          <w:rFonts w:hint="eastAsia" w:ascii="仿宋" w:hAnsi="仿宋" w:eastAsia="仿宋"/>
          <w:sz w:val="32"/>
          <w:szCs w:val="32"/>
        </w:rPr>
        <w:t>，完成</w:t>
      </w:r>
      <w:r>
        <w:rPr>
          <w:rFonts w:ascii="仿宋" w:hAnsi="仿宋" w:eastAsia="仿宋"/>
          <w:sz w:val="32"/>
          <w:szCs w:val="32"/>
        </w:rPr>
        <w:t>学校体育、卫生与艺术教育工作。</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.负责</w:t>
      </w:r>
      <w:r>
        <w:rPr>
          <w:rFonts w:ascii="仿宋" w:hAnsi="仿宋" w:eastAsia="仿宋"/>
          <w:sz w:val="32"/>
          <w:szCs w:val="32"/>
        </w:rPr>
        <w:t>组织实施各级各类教师资格证书制度；统筹</w:t>
      </w:r>
      <w:r>
        <w:rPr>
          <w:rFonts w:hint="eastAsia" w:ascii="仿宋" w:hAnsi="仿宋" w:eastAsia="仿宋"/>
          <w:sz w:val="32"/>
          <w:szCs w:val="32"/>
        </w:rPr>
        <w:t>安排</w:t>
      </w:r>
      <w:r>
        <w:rPr>
          <w:rFonts w:ascii="仿宋" w:hAnsi="仿宋" w:eastAsia="仿宋"/>
          <w:sz w:val="32"/>
          <w:szCs w:val="32"/>
        </w:rPr>
        <w:t>学校教师和管理人员队伍建设；</w:t>
      </w:r>
      <w:r>
        <w:rPr>
          <w:rFonts w:hint="eastAsia" w:ascii="仿宋" w:hAnsi="仿宋" w:eastAsia="仿宋"/>
          <w:sz w:val="32"/>
          <w:szCs w:val="32"/>
        </w:rPr>
        <w:t>完成</w:t>
      </w:r>
      <w:r>
        <w:rPr>
          <w:rFonts w:ascii="仿宋" w:hAnsi="仿宋" w:eastAsia="仿宋"/>
          <w:sz w:val="32"/>
          <w:szCs w:val="32"/>
        </w:rPr>
        <w:t>教师的继续教育和课程改革新教材的培训工作；</w:t>
      </w:r>
      <w:r>
        <w:rPr>
          <w:rFonts w:hint="eastAsia" w:ascii="仿宋" w:hAnsi="仿宋" w:eastAsia="仿宋"/>
          <w:sz w:val="32"/>
          <w:szCs w:val="32"/>
        </w:rPr>
        <w:t>加强</w:t>
      </w:r>
      <w:r>
        <w:rPr>
          <w:rFonts w:ascii="仿宋" w:hAnsi="仿宋" w:eastAsia="仿宋"/>
          <w:sz w:val="32"/>
          <w:szCs w:val="32"/>
        </w:rPr>
        <w:t>人才队伍建设。</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.负责完成</w:t>
      </w:r>
      <w:r>
        <w:rPr>
          <w:rFonts w:ascii="仿宋" w:hAnsi="仿宋" w:eastAsia="仿宋"/>
          <w:sz w:val="32"/>
          <w:szCs w:val="32"/>
        </w:rPr>
        <w:t>教育方面的对外交流与合作、对外宣传</w:t>
      </w:r>
      <w:r>
        <w:rPr>
          <w:rFonts w:hint="eastAsia" w:ascii="仿宋" w:hAnsi="仿宋" w:eastAsia="仿宋"/>
          <w:sz w:val="32"/>
          <w:szCs w:val="32"/>
        </w:rPr>
        <w:t>，完成</w:t>
      </w:r>
      <w:r>
        <w:rPr>
          <w:rFonts w:ascii="仿宋" w:hAnsi="仿宋" w:eastAsia="仿宋"/>
          <w:sz w:val="32"/>
          <w:szCs w:val="32"/>
        </w:rPr>
        <w:t>后勤保障、信息化建设以及教学仪器设备和图书资料装备工作</w:t>
      </w:r>
      <w:r>
        <w:rPr>
          <w:rFonts w:hint="eastAsia" w:ascii="仿宋" w:hAnsi="仿宋" w:eastAsia="仿宋"/>
          <w:sz w:val="32"/>
          <w:szCs w:val="32"/>
        </w:rPr>
        <w:t>。</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负责按照教育主管单位发布的指导性教学计划、教学大纲，组织实施教育教学活动。</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负责依据国家教育单位有关教学计划、课程设置等方面的规定，决定和实施本校的教学计划，组织教学评比、集体评课，对学生进行统一考核、考试等。</w:t>
      </w:r>
    </w:p>
    <w:p>
      <w:pPr>
        <w:pStyle w:val="3"/>
        <w:ind w:firstLine="320" w:firstLineChars="100"/>
        <w:rPr>
          <w:rStyle w:val="35"/>
          <w:rFonts w:ascii="仿宋" w:hAnsi="仿宋" w:eastAsia="仿宋" w:cs="黑体"/>
          <w:b/>
          <w:bCs/>
        </w:rPr>
      </w:pPr>
      <w:r>
        <w:rPr>
          <w:rFonts w:hint="eastAsia" w:ascii="仿宋" w:hAnsi="仿宋" w:eastAsia="仿宋" w:cs="黑体"/>
          <w:b w:val="0"/>
          <w:bCs w:val="0"/>
          <w:color w:val="333333"/>
          <w:kern w:val="0"/>
          <w:shd w:val="clear" w:color="auto" w:fill="FFFFFF"/>
        </w:rPr>
        <w:t>（二）机构设置</w:t>
      </w:r>
    </w:p>
    <w:p>
      <w:pPr>
        <w:pStyle w:val="5"/>
        <w:adjustRightInd w:val="0"/>
        <w:snapToGrid w:val="0"/>
        <w:spacing w:before="93" w:line="600" w:lineRule="exact"/>
        <w:ind w:firstLine="640" w:firstLineChars="200"/>
        <w:rPr>
          <w:rFonts w:ascii="仿宋" w:hAnsi="仿宋" w:eastAsia="仿宋"/>
          <w:sz w:val="32"/>
          <w:szCs w:val="32"/>
        </w:rPr>
      </w:pPr>
      <w:r>
        <w:rPr>
          <w:rFonts w:hint="eastAsia" w:ascii="仿宋" w:hAnsi="仿宋" w:eastAsia="仿宋"/>
          <w:sz w:val="32"/>
          <w:szCs w:val="32"/>
        </w:rPr>
        <w:t>广元市利州区金洞小学属于二级预算单位，下设廉勤委，学校工会，教导处，总务处，德育处，安全办，办公室6个部门。</w:t>
      </w:r>
    </w:p>
    <w:bookmarkEnd w:id="24"/>
    <w:bookmarkEnd w:id="27"/>
    <w:bookmarkEnd w:id="28"/>
    <w:p>
      <w:pPr>
        <w:pStyle w:val="2"/>
        <w:ind w:right="440"/>
        <w:jc w:val="center"/>
        <w:rPr>
          <w:rStyle w:val="26"/>
          <w:rFonts w:ascii="黑体" w:hAnsi="黑体" w:eastAsia="黑体"/>
          <w:b w:val="0"/>
          <w:bCs/>
        </w:rPr>
      </w:pPr>
      <w:bookmarkStart w:id="29" w:name="_Toc15377204"/>
      <w:bookmarkStart w:id="30" w:name="_Toc9138"/>
      <w:bookmarkStart w:id="31" w:name="_Toc15396602"/>
      <w:r>
        <w:rPr>
          <w:rFonts w:hint="eastAsia" w:ascii="黑体" w:hAnsi="黑体" w:eastAsia="黑体"/>
          <w:b w:val="0"/>
        </w:rPr>
        <w:t>第二部分 2022年度</w:t>
      </w:r>
      <w:r>
        <w:rPr>
          <w:rStyle w:val="26"/>
          <w:rFonts w:hint="eastAsia" w:ascii="黑体" w:hAnsi="黑体" w:eastAsia="黑体"/>
          <w:b w:val="0"/>
          <w:bCs/>
        </w:rPr>
        <w:t>单位决算情况说明</w:t>
      </w:r>
      <w:bookmarkEnd w:id="29"/>
      <w:bookmarkEnd w:id="30"/>
      <w:bookmarkEnd w:id="31"/>
    </w:p>
    <w:p>
      <w:pPr>
        <w:pStyle w:val="25"/>
        <w:spacing w:line="600" w:lineRule="exact"/>
        <w:ind w:firstLine="0" w:firstLineChars="0"/>
        <w:outlineLvl w:val="1"/>
        <w:rPr>
          <w:rStyle w:val="27"/>
          <w:rFonts w:ascii="黑体" w:hAnsi="黑体" w:eastAsia="黑体"/>
          <w:b w:val="0"/>
        </w:rPr>
      </w:pPr>
      <w:bookmarkStart w:id="32" w:name="_Toc15377205"/>
      <w:bookmarkStart w:id="33" w:name="_Toc15396603"/>
      <w:bookmarkStart w:id="34" w:name="_Toc13314"/>
      <w:r>
        <w:rPr>
          <w:rFonts w:hint="eastAsia" w:ascii="黑体" w:hAnsi="黑体" w:eastAsia="黑体"/>
          <w:sz w:val="32"/>
          <w:szCs w:val="32"/>
        </w:rPr>
        <w:t>一、收</w:t>
      </w:r>
      <w:r>
        <w:rPr>
          <w:rStyle w:val="27"/>
          <w:rFonts w:hint="eastAsia" w:ascii="黑体" w:hAnsi="黑体" w:eastAsia="黑体"/>
          <w:b w:val="0"/>
        </w:rPr>
        <w:t>入支出决算总体情况说明</w:t>
      </w:r>
      <w:bookmarkEnd w:id="32"/>
      <w:bookmarkEnd w:id="33"/>
      <w:bookmarkEnd w:id="34"/>
    </w:p>
    <w:p>
      <w:pPr>
        <w:spacing w:line="600" w:lineRule="exact"/>
        <w:ind w:firstLine="640" w:firstLineChars="200"/>
        <w:outlineLvl w:val="2"/>
        <w:rPr>
          <w:rFonts w:ascii="仿宋" w:hAnsi="仿宋" w:eastAsia="仿宋"/>
          <w:color w:val="000000" w:themeColor="text1"/>
          <w:sz w:val="32"/>
          <w:szCs w:val="32"/>
        </w:rPr>
      </w:pPr>
      <w:r>
        <w:rPr>
          <w:rFonts w:hint="eastAsia" w:ascii="仿宋" w:hAnsi="仿宋" w:eastAsia="仿宋"/>
          <w:sz w:val="32"/>
          <w:szCs w:val="32"/>
        </w:rPr>
        <w:t>2022年度收、支总计</w:t>
      </w:r>
      <w:r>
        <w:rPr>
          <w:rFonts w:hint="eastAsia" w:ascii="仿宋" w:hAnsi="仿宋" w:eastAsia="仿宋"/>
          <w:color w:val="000000" w:themeColor="text1"/>
          <w:sz w:val="32"/>
          <w:szCs w:val="32"/>
        </w:rPr>
        <w:t>346.47</w:t>
      </w:r>
      <w:r>
        <w:rPr>
          <w:rFonts w:hint="eastAsia" w:ascii="仿宋" w:hAnsi="仿宋" w:eastAsia="仿宋"/>
          <w:sz w:val="32"/>
          <w:szCs w:val="32"/>
        </w:rPr>
        <w:t>万元。与2021年相比，收、支总计（363.9万元）减少17.43万元，减少9.5</w:t>
      </w:r>
      <w:r>
        <w:rPr>
          <w:rFonts w:ascii="仿宋" w:hAnsi="仿宋" w:eastAsia="仿宋"/>
          <w:sz w:val="32"/>
          <w:szCs w:val="32"/>
        </w:rPr>
        <w:t>%</w:t>
      </w:r>
      <w:r>
        <w:rPr>
          <w:rFonts w:hint="eastAsia" w:ascii="仿宋" w:hAnsi="仿宋" w:eastAsia="仿宋"/>
          <w:sz w:val="32"/>
          <w:szCs w:val="32"/>
        </w:rPr>
        <w:t>。主要变动原因一</w:t>
      </w:r>
      <w:r>
        <w:rPr>
          <w:rStyle w:val="16"/>
          <w:rFonts w:hint="eastAsia" w:ascii="仿宋" w:hAnsi="仿宋" w:eastAsia="仿宋" w:cstheme="minorBidi"/>
          <w:b w:val="0"/>
          <w:bCs/>
          <w:color w:val="000000" w:themeColor="text1"/>
          <w:sz w:val="32"/>
          <w:szCs w:val="32"/>
        </w:rPr>
        <w:t>是人员减少、学生减少。</w:t>
      </w:r>
    </w:p>
    <w:p>
      <w:pPr>
        <w:pStyle w:val="5"/>
        <w:spacing w:before="93"/>
      </w:pPr>
      <w:r>
        <w:rPr>
          <w:rFonts w:hint="eastAsia"/>
        </w:rPr>
        <w:drawing>
          <wp:inline distT="0" distB="0" distL="0" distR="0">
            <wp:extent cx="5172075" cy="1876425"/>
            <wp:effectExtent l="0" t="0" r="0" b="0"/>
            <wp:docPr id="201979405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2"/>
        <w:rPr>
          <w:rFonts w:ascii="仿宋" w:hAnsi="仿宋" w:eastAsia="仿宋"/>
          <w:sz w:val="32"/>
          <w:szCs w:val="32"/>
        </w:rPr>
      </w:pPr>
      <w:bookmarkStart w:id="35" w:name="_Toc15377206"/>
      <w:bookmarkStart w:id="36" w:name="_Toc15396604"/>
      <w:bookmarkStart w:id="37" w:name="_Toc12072"/>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outlineLvl w:val="1"/>
        <w:rPr>
          <w:rStyle w:val="27"/>
          <w:rFonts w:ascii="黑体" w:hAnsi="黑体" w:eastAsia="黑体"/>
          <w:b w:val="0"/>
        </w:rPr>
      </w:pPr>
      <w:r>
        <w:rPr>
          <w:rFonts w:hint="eastAsia" w:ascii="黑体" w:hAnsi="黑体" w:eastAsia="黑体"/>
          <w:sz w:val="32"/>
          <w:szCs w:val="32"/>
        </w:rPr>
        <w:t>二、收</w:t>
      </w:r>
      <w:r>
        <w:rPr>
          <w:rStyle w:val="27"/>
          <w:rFonts w:hint="eastAsia" w:ascii="黑体" w:hAnsi="黑体" w:eastAsia="黑体"/>
          <w:b w:val="0"/>
        </w:rPr>
        <w:t>入决算情况说明</w:t>
      </w:r>
      <w:bookmarkEnd w:id="35"/>
      <w:bookmarkEnd w:id="36"/>
      <w:bookmarkEnd w:id="37"/>
    </w:p>
    <w:p>
      <w:pPr>
        <w:spacing w:line="600" w:lineRule="exact"/>
        <w:ind w:firstLine="640" w:firstLineChars="200"/>
        <w:outlineLvl w:val="2"/>
        <w:rPr>
          <w:rFonts w:ascii="仿宋" w:hAnsi="仿宋" w:eastAsia="仿宋"/>
          <w:sz w:val="32"/>
          <w:szCs w:val="32"/>
        </w:rPr>
      </w:pPr>
      <w:bookmarkStart w:id="38" w:name="_Hlk146033857"/>
      <w:r>
        <w:rPr>
          <w:rFonts w:ascii="仿宋" w:hAnsi="仿宋" w:eastAsia="仿宋"/>
          <w:sz w:val="32"/>
          <w:szCs w:val="32"/>
        </w:rPr>
        <w:t>20</w:t>
      </w:r>
      <w:r>
        <w:rPr>
          <w:rFonts w:hint="eastAsia" w:ascii="仿宋" w:hAnsi="仿宋" w:eastAsia="仿宋"/>
          <w:sz w:val="32"/>
          <w:szCs w:val="32"/>
        </w:rPr>
        <w:t>22年本年收入合计300.02万元，其中：一般公共预算财政拨款收入299.53万元，占99.84</w:t>
      </w:r>
      <w:r>
        <w:rPr>
          <w:rFonts w:ascii="仿宋" w:hAnsi="仿宋" w:eastAsia="仿宋"/>
          <w:sz w:val="32"/>
          <w:szCs w:val="32"/>
        </w:rPr>
        <w:t>%</w:t>
      </w:r>
      <w:r>
        <w:rPr>
          <w:rFonts w:hint="eastAsia" w:ascii="仿宋" w:hAnsi="仿宋" w:eastAsia="仿宋"/>
          <w:sz w:val="32"/>
          <w:szCs w:val="32"/>
        </w:rPr>
        <w:t>；事业收入0.28万元，占0.09</w:t>
      </w:r>
      <w:r>
        <w:rPr>
          <w:rFonts w:ascii="仿宋" w:hAnsi="仿宋" w:eastAsia="仿宋"/>
          <w:sz w:val="32"/>
          <w:szCs w:val="32"/>
        </w:rPr>
        <w:t>%</w:t>
      </w:r>
      <w:r>
        <w:rPr>
          <w:rFonts w:hint="eastAsia" w:ascii="仿宋" w:hAnsi="仿宋" w:eastAsia="仿宋"/>
          <w:sz w:val="32"/>
          <w:szCs w:val="32"/>
        </w:rPr>
        <w:t>；其他收入0.21万元，占0.07</w:t>
      </w:r>
      <w:r>
        <w:rPr>
          <w:rFonts w:ascii="仿宋" w:hAnsi="仿宋" w:eastAsia="仿宋"/>
          <w:sz w:val="32"/>
          <w:szCs w:val="32"/>
        </w:rPr>
        <w:t>%</w:t>
      </w:r>
      <w:r>
        <w:rPr>
          <w:rFonts w:hint="eastAsia" w:ascii="仿宋" w:hAnsi="仿宋" w:eastAsia="仿宋"/>
          <w:sz w:val="32"/>
          <w:szCs w:val="32"/>
        </w:rPr>
        <w:t>。</w:t>
      </w:r>
    </w:p>
    <w:bookmarkEnd w:id="38"/>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drawing>
          <wp:anchor distT="0" distB="0" distL="114300" distR="114300" simplePos="0" relativeHeight="251659264" behindDoc="0" locked="0" layoutInCell="1" allowOverlap="1">
            <wp:simplePos x="0" y="0"/>
            <wp:positionH relativeFrom="column">
              <wp:posOffset>30480</wp:posOffset>
            </wp:positionH>
            <wp:positionV relativeFrom="paragraph">
              <wp:posOffset>386715</wp:posOffset>
            </wp:positionV>
            <wp:extent cx="5274310" cy="3152775"/>
            <wp:effectExtent l="19050" t="0" r="2159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jc w:val="center"/>
        <w:outlineLvl w:val="2"/>
        <w:rPr>
          <w:rFonts w:ascii="仿宋" w:hAnsi="仿宋" w:eastAsia="仿宋"/>
          <w:sz w:val="32"/>
          <w:szCs w:val="32"/>
        </w:rPr>
      </w:pPr>
      <w:r>
        <w:rPr>
          <w:rFonts w:hint="eastAsia" w:ascii="仿宋" w:hAnsi="仿宋" w:eastAsia="仿宋"/>
          <w:sz w:val="32"/>
          <w:szCs w:val="32"/>
        </w:rPr>
        <w:t>（图2收入决算结构图）（饼状图）</w:t>
      </w:r>
    </w:p>
    <w:p>
      <w:pPr>
        <w:pStyle w:val="25"/>
        <w:spacing w:line="600" w:lineRule="exact"/>
        <w:ind w:left="640" w:firstLine="0" w:firstLineChars="0"/>
        <w:outlineLvl w:val="1"/>
        <w:rPr>
          <w:rStyle w:val="27"/>
          <w:rFonts w:ascii="黑体" w:hAnsi="黑体" w:eastAsia="黑体"/>
          <w:b w:val="0"/>
        </w:rPr>
      </w:pPr>
      <w:bookmarkStart w:id="39" w:name="_Toc15377207"/>
      <w:bookmarkStart w:id="40" w:name="_Toc15396605"/>
      <w:bookmarkStart w:id="41" w:name="_Toc15842"/>
      <w:r>
        <w:rPr>
          <w:rFonts w:hint="eastAsia" w:ascii="黑体" w:hAnsi="黑体" w:eastAsia="黑体"/>
          <w:sz w:val="32"/>
          <w:szCs w:val="32"/>
        </w:rPr>
        <w:t>三、支</w:t>
      </w:r>
      <w:r>
        <w:rPr>
          <w:rStyle w:val="27"/>
          <w:rFonts w:hint="eastAsia" w:ascii="黑体" w:hAnsi="黑体" w:eastAsia="黑体"/>
          <w:b w:val="0"/>
        </w:rPr>
        <w:t>出决算情况说明</w:t>
      </w:r>
      <w:bookmarkEnd w:id="39"/>
      <w:bookmarkEnd w:id="40"/>
      <w:bookmarkEnd w:id="41"/>
    </w:p>
    <w:p>
      <w:pPr>
        <w:spacing w:line="600" w:lineRule="exact"/>
        <w:ind w:firstLine="640" w:firstLineChars="200"/>
        <w:outlineLvl w:val="2"/>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22年本年支出合计346.47万元，其中：基本支出297.4万元，占85.8</w:t>
      </w:r>
      <w:r>
        <w:rPr>
          <w:rFonts w:ascii="仿宋" w:hAnsi="仿宋" w:eastAsia="仿宋"/>
          <w:sz w:val="32"/>
          <w:szCs w:val="32"/>
        </w:rPr>
        <w:t>%</w:t>
      </w:r>
      <w:r>
        <w:rPr>
          <w:rFonts w:hint="eastAsia" w:ascii="仿宋" w:hAnsi="仿宋" w:eastAsia="仿宋"/>
          <w:sz w:val="32"/>
          <w:szCs w:val="32"/>
        </w:rPr>
        <w:t>；项目支出49.07万元，占14.2</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1905</wp:posOffset>
            </wp:positionH>
            <wp:positionV relativeFrom="paragraph">
              <wp:posOffset>177165</wp:posOffset>
            </wp:positionV>
            <wp:extent cx="5298440" cy="2647950"/>
            <wp:effectExtent l="19050" t="0" r="1651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（图3：支出决算结构图）（饼状图）</w:t>
      </w:r>
    </w:p>
    <w:p>
      <w:pPr>
        <w:spacing w:line="600" w:lineRule="exact"/>
        <w:ind w:firstLine="640" w:firstLineChars="200"/>
        <w:outlineLvl w:val="1"/>
        <w:rPr>
          <w:rStyle w:val="27"/>
          <w:rFonts w:ascii="黑体" w:hAnsi="黑体" w:eastAsia="黑体"/>
          <w:b w:val="0"/>
        </w:rPr>
      </w:pPr>
      <w:bookmarkStart w:id="42" w:name="_Toc15396606"/>
      <w:bookmarkStart w:id="43" w:name="_Toc17374"/>
      <w:bookmarkStart w:id="44" w:name="_Toc15377208"/>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42"/>
      <w:bookmarkEnd w:id="43"/>
      <w:bookmarkEnd w:id="44"/>
    </w:p>
    <w:p>
      <w:pPr>
        <w:spacing w:line="600" w:lineRule="exact"/>
        <w:ind w:firstLine="64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22年财政拨款收、支总计345.98万元(</w:t>
      </w:r>
      <w:r>
        <w:rPr>
          <w:rFonts w:hint="eastAsia" w:ascii="仿宋" w:hAnsi="仿宋" w:eastAsia="仿宋" w:cs="仿宋"/>
          <w:sz w:val="32"/>
          <w:szCs w:val="32"/>
        </w:rPr>
        <w:t>含上年结转46.45万元</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21年（362.84万元）相比，财政拨款收、支总计减少16.86万元，下降 4.64</w:t>
      </w:r>
      <w:r>
        <w:rPr>
          <w:rFonts w:ascii="仿宋" w:hAnsi="仿宋" w:eastAsia="仿宋"/>
          <w:sz w:val="32"/>
          <w:szCs w:val="32"/>
        </w:rPr>
        <w:t>%</w:t>
      </w:r>
      <w:r>
        <w:rPr>
          <w:rFonts w:hint="eastAsia" w:ascii="仿宋" w:hAnsi="仿宋" w:eastAsia="仿宋"/>
          <w:sz w:val="32"/>
          <w:szCs w:val="32"/>
        </w:rPr>
        <w:t>。主要变动原因是</w:t>
      </w:r>
      <w:r>
        <w:rPr>
          <w:rStyle w:val="16"/>
          <w:rFonts w:hint="eastAsia" w:ascii="仿宋" w:hAnsi="仿宋" w:eastAsia="仿宋" w:cstheme="minorBidi"/>
          <w:b w:val="0"/>
          <w:bCs/>
          <w:color w:val="000000" w:themeColor="text1"/>
          <w:sz w:val="32"/>
          <w:szCs w:val="32"/>
        </w:rPr>
        <w:t>人员减少。</w:t>
      </w:r>
    </w:p>
    <w:p>
      <w:pPr>
        <w:pStyle w:val="5"/>
        <w:spacing w:before="93"/>
        <w:outlineLvl w:val="2"/>
        <w:rPr>
          <w:sz w:val="32"/>
          <w:szCs w:val="32"/>
        </w:rPr>
      </w:pPr>
      <w:r>
        <w:rPr>
          <w:sz w:val="32"/>
          <w:szCs w:val="32"/>
        </w:rPr>
        <w:drawing>
          <wp:inline distT="0" distB="0" distL="0" distR="0">
            <wp:extent cx="4733925" cy="2028825"/>
            <wp:effectExtent l="19050" t="0" r="9525" b="0"/>
            <wp:docPr id="132687778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5"/>
        <w:spacing w:before="93"/>
        <w:outlineLvl w:val="2"/>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7"/>
          <w:rFonts w:ascii="黑体" w:hAnsi="黑体" w:eastAsia="黑体"/>
          <w:b w:val="0"/>
        </w:rPr>
      </w:pPr>
      <w:bookmarkStart w:id="45" w:name="_Toc15377209"/>
      <w:bookmarkStart w:id="46" w:name="_Toc15396607"/>
      <w:bookmarkStart w:id="47" w:name="_Toc17246"/>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45"/>
      <w:bookmarkEnd w:id="46"/>
      <w:bookmarkEnd w:id="47"/>
    </w:p>
    <w:p>
      <w:pPr>
        <w:spacing w:line="600" w:lineRule="exact"/>
        <w:ind w:firstLine="640" w:firstLineChars="200"/>
        <w:outlineLvl w:val="2"/>
        <w:rPr>
          <w:rFonts w:ascii="楷体" w:hAnsi="楷体" w:eastAsia="楷体" w:cs="楷体"/>
          <w:bCs/>
          <w:sz w:val="32"/>
          <w:szCs w:val="32"/>
        </w:rPr>
      </w:pPr>
      <w:bookmarkStart w:id="48" w:name="_Toc15377210"/>
      <w:r>
        <w:rPr>
          <w:rFonts w:hint="eastAsia" w:ascii="楷体" w:hAnsi="楷体" w:eastAsia="楷体" w:cs="楷体"/>
          <w:bCs/>
          <w:sz w:val="32"/>
          <w:szCs w:val="32"/>
        </w:rPr>
        <w:t>（一）一般公共预算财政拨款支出决算总体情况</w:t>
      </w:r>
      <w:bookmarkEnd w:id="48"/>
    </w:p>
    <w:p>
      <w:pPr>
        <w:spacing w:line="600" w:lineRule="exact"/>
        <w:ind w:firstLine="640" w:firstLineChars="200"/>
        <w:outlineLvl w:val="2"/>
        <w:rPr>
          <w:rFonts w:ascii="仿宋" w:hAnsi="仿宋" w:eastAsia="仿宋"/>
          <w:color w:val="000000" w:themeColor="text1"/>
          <w:sz w:val="32"/>
          <w:szCs w:val="32"/>
        </w:rPr>
      </w:pPr>
      <w:r>
        <w:rPr>
          <w:rFonts w:ascii="仿宋" w:hAnsi="仿宋" w:eastAsia="仿宋"/>
          <w:sz w:val="32"/>
          <w:szCs w:val="32"/>
        </w:rPr>
        <w:t>20</w:t>
      </w:r>
      <w:r>
        <w:rPr>
          <w:rFonts w:hint="eastAsia" w:ascii="仿宋" w:hAnsi="仿宋" w:eastAsia="仿宋"/>
          <w:sz w:val="32"/>
          <w:szCs w:val="32"/>
        </w:rPr>
        <w:t>22年一般公共预算财政拨款支出345.98万元，占本年支出合计的100.00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21年（316.38万元）相比，一般公共预算财政拨款支出增加29.6万元，增加9.4</w:t>
      </w:r>
      <w:r>
        <w:rPr>
          <w:rFonts w:ascii="仿宋" w:hAnsi="仿宋" w:eastAsia="仿宋"/>
          <w:sz w:val="32"/>
          <w:szCs w:val="32"/>
        </w:rPr>
        <w:t>%</w:t>
      </w:r>
      <w:r>
        <w:rPr>
          <w:rFonts w:hint="eastAsia" w:ascii="仿宋" w:hAnsi="仿宋" w:eastAsia="仿宋"/>
          <w:sz w:val="32"/>
          <w:szCs w:val="32"/>
        </w:rPr>
        <w:t>。主要变动原因是</w:t>
      </w:r>
      <w:r>
        <w:rPr>
          <w:rStyle w:val="16"/>
          <w:rFonts w:hint="eastAsia" w:ascii="仿宋" w:hAnsi="仿宋" w:eastAsia="仿宋" w:cstheme="minorBidi"/>
          <w:b w:val="0"/>
          <w:bCs/>
          <w:color w:val="000000" w:themeColor="text1"/>
          <w:sz w:val="32"/>
          <w:szCs w:val="32"/>
        </w:rPr>
        <w:t>人员工资增加</w:t>
      </w:r>
      <w:r>
        <w:rPr>
          <w:rFonts w:hint="eastAsia" w:ascii="仿宋" w:hAnsi="仿宋" w:eastAsia="仿宋"/>
          <w:color w:val="000000" w:themeColor="text1"/>
          <w:sz w:val="32"/>
          <w:szCs w:val="32"/>
        </w:rPr>
        <w:t>。</w:t>
      </w:r>
    </w:p>
    <w:p>
      <w:pPr>
        <w:pStyle w:val="5"/>
        <w:spacing w:before="93"/>
      </w:pPr>
      <w:r>
        <w:drawing>
          <wp:inline distT="0" distB="0" distL="0" distR="0">
            <wp:extent cx="5106035" cy="2524760"/>
            <wp:effectExtent l="4445" t="4445" r="13970" b="23495"/>
            <wp:docPr id="185449183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outlineLvl w:val="2"/>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outlineLvl w:val="2"/>
        <w:rPr>
          <w:rFonts w:ascii="楷体" w:hAnsi="楷体" w:eastAsia="楷体" w:cs="楷体"/>
          <w:bCs/>
          <w:sz w:val="32"/>
          <w:szCs w:val="32"/>
        </w:rPr>
      </w:pPr>
      <w:bookmarkStart w:id="49" w:name="_Toc15377211"/>
      <w:r>
        <w:rPr>
          <w:rFonts w:hint="eastAsia" w:ascii="楷体" w:hAnsi="楷体" w:eastAsia="楷体" w:cs="楷体"/>
          <w:bCs/>
          <w:sz w:val="32"/>
          <w:szCs w:val="32"/>
        </w:rPr>
        <w:t>（二）一般公共预算财政拨款支出决算结构情况</w:t>
      </w:r>
      <w:bookmarkEnd w:id="49"/>
    </w:p>
    <w:p>
      <w:pPr>
        <w:spacing w:line="600" w:lineRule="exact"/>
        <w:ind w:firstLine="640"/>
        <w:outlineLvl w:val="2"/>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22年一般公共预算财政拨款支出345.98万元，主要用于以下方面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309.8万元，占89.54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支出16.13万元，占4.66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8.51万元，占2.46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住房保障支出</w:t>
      </w:r>
      <w:r>
        <w:rPr>
          <w:rFonts w:hint="eastAsia" w:ascii="仿宋" w:hAnsi="仿宋" w:eastAsia="仿宋"/>
          <w:sz w:val="32"/>
          <w:szCs w:val="32"/>
        </w:rPr>
        <w:t>11.55万元，占3.33</w:t>
      </w:r>
      <w:r>
        <w:rPr>
          <w:rFonts w:ascii="仿宋" w:hAnsi="仿宋" w:eastAsia="仿宋"/>
          <w:sz w:val="32"/>
          <w:szCs w:val="32"/>
        </w:rPr>
        <w:t>%</w:t>
      </w:r>
      <w:r>
        <w:rPr>
          <w:rFonts w:hint="eastAsia" w:ascii="仿宋" w:hAnsi="仿宋" w:eastAsia="仿宋"/>
          <w:color w:val="000000" w:themeColor="text1"/>
          <w:sz w:val="32"/>
          <w:szCs w:val="32"/>
        </w:rPr>
        <w:t>。</w:t>
      </w:r>
    </w:p>
    <w:p>
      <w:pPr>
        <w:spacing w:line="600" w:lineRule="exact"/>
        <w:ind w:firstLine="640" w:firstLineChars="200"/>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40640</wp:posOffset>
            </wp:positionH>
            <wp:positionV relativeFrom="paragraph">
              <wp:posOffset>54610</wp:posOffset>
            </wp:positionV>
            <wp:extent cx="5298440" cy="2101215"/>
            <wp:effectExtent l="19050" t="0" r="16510" b="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（图6：一般公共预算财政拨款支出决算结构）（饼状图）</w:t>
      </w:r>
    </w:p>
    <w:p>
      <w:pPr>
        <w:snapToGrid w:val="0"/>
        <w:spacing w:line="550" w:lineRule="exact"/>
        <w:ind w:firstLine="640" w:firstLineChars="200"/>
        <w:outlineLvl w:val="2"/>
        <w:rPr>
          <w:rFonts w:ascii="楷体" w:hAnsi="楷体" w:eastAsia="楷体" w:cs="楷体"/>
          <w:bCs/>
          <w:sz w:val="32"/>
          <w:szCs w:val="32"/>
        </w:rPr>
      </w:pPr>
      <w:bookmarkStart w:id="50" w:name="_Toc15377212"/>
      <w:r>
        <w:rPr>
          <w:rFonts w:hint="eastAsia" w:ascii="楷体" w:hAnsi="楷体" w:eastAsia="楷体" w:cs="楷体"/>
          <w:bCs/>
          <w:sz w:val="32"/>
          <w:szCs w:val="32"/>
        </w:rPr>
        <w:t>（三）一般公共预算财政拨款支出决算具体情况</w:t>
      </w:r>
      <w:bookmarkEnd w:id="50"/>
    </w:p>
    <w:p>
      <w:pPr>
        <w:snapToGrid w:val="0"/>
        <w:spacing w:line="550" w:lineRule="exact"/>
        <w:ind w:firstLine="643" w:firstLineChars="200"/>
        <w:outlineLvl w:val="2"/>
        <w:rPr>
          <w:rFonts w:ascii="仿宋" w:hAnsi="仿宋" w:eastAsia="仿宋"/>
          <w:sz w:val="32"/>
          <w:szCs w:val="32"/>
        </w:rPr>
      </w:pPr>
      <w:bookmarkStart w:id="51" w:name="_Toc15377213"/>
      <w:bookmarkStart w:id="52" w:name="_Toc15377444"/>
      <w:bookmarkStart w:id="53" w:name="_Toc15378460"/>
      <w:r>
        <w:rPr>
          <w:rFonts w:hint="eastAsia" w:ascii="仿宋" w:hAnsi="仿宋" w:eastAsia="仿宋"/>
          <w:b/>
          <w:sz w:val="32"/>
          <w:szCs w:val="32"/>
        </w:rPr>
        <w:t>2022年一般公共预算支出决算数为345.98万元</w:t>
      </w:r>
      <w:r>
        <w:rPr>
          <w:rFonts w:hint="eastAsia" w:ascii="仿宋" w:hAnsi="仿宋" w:eastAsia="仿宋"/>
          <w:sz w:val="32"/>
          <w:szCs w:val="32"/>
        </w:rPr>
        <w:t>，</w:t>
      </w:r>
      <w:r>
        <w:rPr>
          <w:rStyle w:val="16"/>
          <w:rFonts w:hint="eastAsia" w:ascii="仿宋" w:hAnsi="仿宋" w:eastAsia="仿宋"/>
          <w:bCs/>
          <w:sz w:val="32"/>
          <w:szCs w:val="32"/>
        </w:rPr>
        <w:t>完成预算100</w:t>
      </w:r>
      <w:r>
        <w:rPr>
          <w:rStyle w:val="16"/>
          <w:rFonts w:ascii="仿宋" w:hAnsi="仿宋" w:eastAsia="仿宋"/>
          <w:bCs/>
          <w:sz w:val="32"/>
          <w:szCs w:val="32"/>
        </w:rPr>
        <w:t>%</w:t>
      </w:r>
      <w:r>
        <w:rPr>
          <w:rStyle w:val="16"/>
          <w:rFonts w:hint="eastAsia" w:ascii="仿宋" w:hAnsi="仿宋" w:eastAsia="仿宋"/>
          <w:bCs/>
          <w:sz w:val="32"/>
          <w:szCs w:val="32"/>
        </w:rPr>
        <w:t>。其中：</w:t>
      </w:r>
      <w:bookmarkEnd w:id="51"/>
      <w:bookmarkEnd w:id="52"/>
      <w:bookmarkEnd w:id="53"/>
    </w:p>
    <w:p>
      <w:pPr>
        <w:pStyle w:val="5"/>
        <w:snapToGrid w:val="0"/>
        <w:spacing w:beforeLines="0" w:line="550" w:lineRule="exact"/>
        <w:ind w:firstLine="643" w:firstLineChars="200"/>
        <w:outlineLvl w:val="2"/>
        <w:rPr>
          <w:rStyle w:val="16"/>
          <w:rFonts w:ascii="仿宋" w:hAnsi="仿宋" w:eastAsia="仿宋"/>
          <w:b w:val="0"/>
          <w:bCs/>
          <w:color w:val="000000" w:themeColor="text1"/>
          <w:sz w:val="32"/>
          <w:szCs w:val="32"/>
        </w:rPr>
      </w:pPr>
      <w:r>
        <w:rPr>
          <w:rStyle w:val="16"/>
          <w:rFonts w:ascii="仿宋" w:hAnsi="仿宋" w:eastAsia="仿宋" w:cstheme="minorBidi"/>
          <w:bCs/>
          <w:kern w:val="2"/>
          <w:sz w:val="32"/>
          <w:szCs w:val="32"/>
        </w:rPr>
        <w:t>1.</w:t>
      </w:r>
      <w:r>
        <w:rPr>
          <w:rStyle w:val="16"/>
          <w:rFonts w:hint="eastAsia" w:ascii="仿宋" w:hAnsi="仿宋" w:eastAsia="仿宋" w:cstheme="minorBidi"/>
          <w:bCs/>
          <w:kern w:val="2"/>
          <w:sz w:val="32"/>
          <w:szCs w:val="32"/>
        </w:rPr>
        <w:t>教育支出（类）普通教育（款）学前教育（项）</w:t>
      </w:r>
      <w:r>
        <w:rPr>
          <w:rStyle w:val="16"/>
          <w:rFonts w:ascii="仿宋" w:hAnsi="仿宋" w:eastAsia="仿宋" w:cstheme="minorBidi"/>
          <w:bCs/>
          <w:kern w:val="2"/>
          <w:sz w:val="32"/>
          <w:szCs w:val="32"/>
        </w:rPr>
        <w:t>:</w:t>
      </w:r>
      <w:r>
        <w:rPr>
          <w:rStyle w:val="16"/>
          <w:rFonts w:hint="eastAsia" w:ascii="仿宋" w:hAnsi="仿宋" w:eastAsia="仿宋"/>
          <w:b w:val="0"/>
          <w:bCs/>
          <w:sz w:val="32"/>
          <w:szCs w:val="32"/>
        </w:rPr>
        <w:t>支出决算为1.94万元，完成预算100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，决算数等于预算数的主要原因是按照预算支出</w:t>
      </w:r>
      <w:r>
        <w:rPr>
          <w:rStyle w:val="16"/>
          <w:rFonts w:hint="eastAsia" w:ascii="仿宋" w:hAnsi="仿宋" w:eastAsia="仿宋"/>
          <w:b w:val="0"/>
          <w:bCs/>
          <w:color w:val="000000" w:themeColor="text1"/>
          <w:sz w:val="32"/>
          <w:szCs w:val="32"/>
        </w:rPr>
        <w:t>。</w:t>
      </w:r>
    </w:p>
    <w:p>
      <w:pPr>
        <w:pStyle w:val="5"/>
        <w:snapToGrid w:val="0"/>
        <w:spacing w:beforeLines="0" w:line="550" w:lineRule="exact"/>
        <w:ind w:firstLine="643" w:firstLineChars="200"/>
        <w:outlineLvl w:val="2"/>
        <w:rPr>
          <w:rFonts w:ascii="仿宋" w:hAnsi="仿宋" w:eastAsia="仿宋"/>
          <w:b/>
          <w:sz w:val="32"/>
          <w:szCs w:val="32"/>
        </w:rPr>
      </w:pPr>
      <w:r>
        <w:rPr>
          <w:rStyle w:val="16"/>
          <w:rFonts w:ascii="仿宋" w:hAnsi="仿宋" w:eastAsia="仿宋"/>
          <w:bCs/>
          <w:sz w:val="32"/>
          <w:szCs w:val="32"/>
        </w:rPr>
        <w:t>2.</w:t>
      </w:r>
      <w:r>
        <w:rPr>
          <w:rStyle w:val="16"/>
          <w:rFonts w:hint="eastAsia" w:ascii="仿宋" w:hAnsi="仿宋" w:eastAsia="仿宋" w:cstheme="minorBidi"/>
          <w:bCs/>
          <w:kern w:val="2"/>
          <w:sz w:val="32"/>
          <w:szCs w:val="32"/>
        </w:rPr>
        <w:t>教育支出（类）普通教育（款）小学教育（项）</w:t>
      </w:r>
      <w:r>
        <w:rPr>
          <w:rStyle w:val="16"/>
          <w:rFonts w:ascii="仿宋" w:hAnsi="仿宋" w:eastAsia="仿宋" w:cstheme="minorBidi"/>
          <w:bCs/>
          <w:kern w:val="2"/>
          <w:sz w:val="32"/>
          <w:szCs w:val="32"/>
        </w:rPr>
        <w:t>:</w:t>
      </w:r>
      <w:r>
        <w:rPr>
          <w:rStyle w:val="16"/>
          <w:rFonts w:hint="eastAsia" w:ascii="仿宋" w:hAnsi="仿宋" w:eastAsia="仿宋"/>
          <w:b w:val="0"/>
          <w:bCs/>
          <w:sz w:val="32"/>
          <w:szCs w:val="32"/>
        </w:rPr>
        <w:t>支出决算为306.86万元，完成预算100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，决算数等于预算数的主要原因是按照预算支出。</w:t>
      </w:r>
    </w:p>
    <w:p>
      <w:pPr>
        <w:pStyle w:val="5"/>
        <w:snapToGrid w:val="0"/>
        <w:spacing w:beforeLines="0" w:line="550" w:lineRule="exact"/>
        <w:ind w:firstLine="643" w:firstLineChars="200"/>
        <w:outlineLvl w:val="2"/>
        <w:rPr>
          <w:rFonts w:ascii="仿宋" w:hAnsi="仿宋" w:eastAsia="仿宋"/>
          <w:b/>
          <w:sz w:val="32"/>
          <w:szCs w:val="32"/>
        </w:rPr>
      </w:pPr>
      <w:r>
        <w:rPr>
          <w:rStyle w:val="16"/>
          <w:rFonts w:ascii="仿宋" w:hAnsi="仿宋" w:eastAsia="仿宋"/>
          <w:bCs/>
          <w:sz w:val="32"/>
          <w:szCs w:val="32"/>
        </w:rPr>
        <w:t>3.</w:t>
      </w:r>
      <w:r>
        <w:rPr>
          <w:rStyle w:val="16"/>
          <w:rFonts w:hint="eastAsia" w:ascii="仿宋" w:hAnsi="仿宋" w:eastAsia="仿宋" w:cstheme="minorBidi"/>
          <w:bCs/>
          <w:sz w:val="32"/>
          <w:szCs w:val="32"/>
        </w:rPr>
        <w:t>教育支出（类）其他教育支出（款）其他教育支出（项）</w:t>
      </w:r>
      <w:r>
        <w:rPr>
          <w:rStyle w:val="16"/>
          <w:rFonts w:ascii="仿宋" w:hAnsi="仿宋" w:eastAsia="仿宋" w:cstheme="minorBidi"/>
          <w:bCs/>
          <w:sz w:val="32"/>
          <w:szCs w:val="32"/>
        </w:rPr>
        <w:t>:</w:t>
      </w:r>
      <w:r>
        <w:rPr>
          <w:rStyle w:val="16"/>
          <w:rFonts w:hint="eastAsia" w:ascii="仿宋" w:hAnsi="仿宋" w:eastAsia="仿宋"/>
          <w:b w:val="0"/>
          <w:bCs/>
          <w:sz w:val="32"/>
          <w:szCs w:val="32"/>
        </w:rPr>
        <w:t>支出决算为1.00万元，完成预算100.00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，决算数等于预算数的主要原因是按照预算支出。</w:t>
      </w:r>
    </w:p>
    <w:p>
      <w:pPr>
        <w:pStyle w:val="5"/>
        <w:snapToGrid w:val="0"/>
        <w:spacing w:beforeLines="0" w:line="550" w:lineRule="exact"/>
        <w:ind w:firstLine="643" w:firstLineChars="200"/>
        <w:outlineLvl w:val="2"/>
        <w:rPr>
          <w:rFonts w:ascii="仿宋" w:hAnsi="仿宋" w:eastAsia="仿宋"/>
          <w:b/>
          <w:bCs/>
          <w:sz w:val="32"/>
          <w:szCs w:val="32"/>
        </w:rPr>
      </w:pPr>
      <w:r>
        <w:rPr>
          <w:rStyle w:val="16"/>
          <w:rFonts w:ascii="仿宋" w:hAnsi="仿宋" w:eastAsia="仿宋"/>
          <w:bCs/>
          <w:sz w:val="32"/>
          <w:szCs w:val="32"/>
        </w:rPr>
        <w:t>4.</w:t>
      </w:r>
      <w:r>
        <w:rPr>
          <w:rStyle w:val="16"/>
          <w:rFonts w:hint="eastAsia" w:ascii="仿宋" w:hAnsi="仿宋" w:eastAsia="仿宋"/>
          <w:bCs/>
          <w:sz w:val="32"/>
          <w:szCs w:val="32"/>
        </w:rPr>
        <w:t>社会保障和就业（类）行政事业单位养老支出（款）机关事业单位基本养老保险缴费支出（项）</w:t>
      </w:r>
      <w:r>
        <w:rPr>
          <w:rStyle w:val="16"/>
          <w:rFonts w:ascii="仿宋" w:hAnsi="仿宋" w:eastAsia="仿宋"/>
          <w:bCs/>
          <w:sz w:val="32"/>
          <w:szCs w:val="32"/>
        </w:rPr>
        <w:t>:</w:t>
      </w:r>
      <w:r>
        <w:rPr>
          <w:rStyle w:val="16"/>
          <w:rFonts w:hint="eastAsia" w:ascii="仿宋" w:hAnsi="仿宋" w:eastAsia="仿宋"/>
          <w:b w:val="0"/>
          <w:bCs/>
          <w:sz w:val="32"/>
          <w:szCs w:val="32"/>
        </w:rPr>
        <w:t>支出决算为16.13万元，完成预算100.00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，决算数等于预算数的主要原因是按照预算支出。</w:t>
      </w:r>
    </w:p>
    <w:p>
      <w:pPr>
        <w:pStyle w:val="5"/>
        <w:snapToGrid w:val="0"/>
        <w:spacing w:beforeLines="0" w:line="550" w:lineRule="exact"/>
        <w:ind w:firstLine="643" w:firstLineChars="200"/>
        <w:outlineLvl w:val="2"/>
        <w:rPr>
          <w:rStyle w:val="16"/>
          <w:rFonts w:ascii="仿宋" w:hAnsi="仿宋" w:eastAsia="仿宋"/>
          <w:b w:val="0"/>
          <w:bCs/>
          <w:color w:val="000000" w:themeColor="text1"/>
          <w:sz w:val="32"/>
          <w:szCs w:val="32"/>
        </w:rPr>
      </w:pPr>
      <w:r>
        <w:rPr>
          <w:rStyle w:val="16"/>
          <w:rFonts w:hint="eastAsia" w:ascii="仿宋" w:hAnsi="仿宋" w:eastAsia="仿宋"/>
          <w:bCs/>
          <w:sz w:val="32"/>
          <w:szCs w:val="32"/>
        </w:rPr>
        <w:t>5</w:t>
      </w:r>
      <w:r>
        <w:rPr>
          <w:rStyle w:val="16"/>
          <w:rFonts w:ascii="仿宋" w:hAnsi="仿宋" w:eastAsia="仿宋"/>
          <w:bCs/>
          <w:sz w:val="32"/>
          <w:szCs w:val="32"/>
        </w:rPr>
        <w:t>.</w:t>
      </w:r>
      <w:r>
        <w:rPr>
          <w:rFonts w:hint="eastAsia" w:ascii="仿宋" w:hAnsi="仿宋" w:eastAsia="仿宋"/>
          <w:b/>
          <w:bCs/>
          <w:sz w:val="32"/>
          <w:szCs w:val="32"/>
        </w:rPr>
        <w:t>卫生健康</w:t>
      </w:r>
      <w:r>
        <w:rPr>
          <w:rStyle w:val="16"/>
          <w:rFonts w:hint="eastAsia" w:ascii="仿宋" w:hAnsi="仿宋" w:eastAsia="仿宋"/>
          <w:bCs/>
          <w:sz w:val="32"/>
          <w:szCs w:val="32"/>
        </w:rPr>
        <w:t>（类）行政事业单位医疗（款）事业单位医疗（项）</w:t>
      </w:r>
      <w:r>
        <w:rPr>
          <w:rStyle w:val="16"/>
          <w:rFonts w:ascii="仿宋" w:hAnsi="仿宋" w:eastAsia="仿宋"/>
          <w:bCs/>
          <w:sz w:val="32"/>
          <w:szCs w:val="32"/>
        </w:rPr>
        <w:t>:</w:t>
      </w:r>
      <w:r>
        <w:rPr>
          <w:rStyle w:val="16"/>
          <w:rFonts w:hint="eastAsia" w:ascii="仿宋" w:hAnsi="仿宋" w:eastAsia="仿宋"/>
          <w:b w:val="0"/>
          <w:bCs/>
          <w:sz w:val="32"/>
          <w:szCs w:val="32"/>
        </w:rPr>
        <w:t>支出决算为8.51万元，完成预算100.00，决算数等于预算数的主要原因是</w:t>
      </w:r>
      <w:r>
        <w:rPr>
          <w:rStyle w:val="16"/>
          <w:rFonts w:hint="eastAsia" w:ascii="仿宋" w:hAnsi="仿宋" w:eastAsia="仿宋" w:cstheme="minorBidi"/>
          <w:b w:val="0"/>
          <w:bCs/>
          <w:color w:val="000000" w:themeColor="text1"/>
          <w:sz w:val="32"/>
          <w:szCs w:val="32"/>
        </w:rPr>
        <w:t>年初预算根据实际编列，</w:t>
      </w:r>
      <w:r>
        <w:rPr>
          <w:rStyle w:val="16"/>
          <w:rFonts w:hint="eastAsia" w:ascii="仿宋" w:hAnsi="仿宋" w:eastAsia="仿宋"/>
          <w:b w:val="0"/>
          <w:bCs/>
          <w:color w:val="000000" w:themeColor="text1"/>
          <w:sz w:val="32"/>
          <w:szCs w:val="32"/>
        </w:rPr>
        <w:t>项目实施中及时根据支出情况调整预算。</w:t>
      </w:r>
    </w:p>
    <w:p>
      <w:pPr>
        <w:pStyle w:val="5"/>
        <w:snapToGrid w:val="0"/>
        <w:spacing w:beforeLines="0" w:line="550" w:lineRule="exact"/>
        <w:ind w:firstLine="643" w:firstLineChars="200"/>
        <w:outlineLvl w:val="2"/>
        <w:rPr>
          <w:rStyle w:val="16"/>
          <w:rFonts w:ascii="仿宋" w:hAnsi="仿宋" w:eastAsia="仿宋"/>
          <w:bCs/>
          <w:color w:val="000000" w:themeColor="text1"/>
          <w:sz w:val="32"/>
          <w:szCs w:val="32"/>
        </w:rPr>
      </w:pPr>
      <w:r>
        <w:rPr>
          <w:rStyle w:val="16"/>
          <w:rFonts w:hint="eastAsia" w:ascii="仿宋" w:hAnsi="仿宋" w:eastAsia="仿宋"/>
          <w:bCs/>
          <w:color w:val="000000" w:themeColor="text1"/>
          <w:sz w:val="32"/>
          <w:szCs w:val="32"/>
        </w:rPr>
        <w:t>6.住房保障（类）住房改革支出（款）住房公积金（项）：</w:t>
      </w:r>
    </w:p>
    <w:p>
      <w:pPr>
        <w:pStyle w:val="5"/>
        <w:snapToGrid w:val="0"/>
        <w:spacing w:beforeLines="0" w:line="550" w:lineRule="exact"/>
        <w:ind w:firstLine="640" w:firstLineChars="200"/>
        <w:outlineLvl w:val="2"/>
        <w:rPr>
          <w:rFonts w:ascii="仿宋" w:hAnsi="仿宋" w:eastAsia="仿宋"/>
          <w:b/>
          <w:sz w:val="32"/>
          <w:szCs w:val="32"/>
        </w:rPr>
      </w:pPr>
      <w:r>
        <w:rPr>
          <w:rStyle w:val="16"/>
          <w:rFonts w:hint="eastAsia" w:ascii="仿宋" w:hAnsi="仿宋" w:eastAsia="仿宋"/>
          <w:b w:val="0"/>
          <w:bCs/>
          <w:sz w:val="32"/>
          <w:szCs w:val="32"/>
        </w:rPr>
        <w:t>支出决算为11.55万元，完成预算100.00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，决算数等于预算数的主要原因是按照预算支出。</w:t>
      </w:r>
    </w:p>
    <w:p>
      <w:pPr>
        <w:tabs>
          <w:tab w:val="right" w:pos="8306"/>
        </w:tabs>
        <w:snapToGrid w:val="0"/>
        <w:spacing w:line="550" w:lineRule="exact"/>
        <w:ind w:firstLine="640"/>
        <w:outlineLvl w:val="1"/>
        <w:rPr>
          <w:rStyle w:val="27"/>
        </w:rPr>
      </w:pPr>
      <w:bookmarkStart w:id="54" w:name="_Toc22707"/>
      <w:bookmarkStart w:id="55" w:name="_Toc15377214"/>
      <w:bookmarkStart w:id="56"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54"/>
      <w:bookmarkEnd w:id="55"/>
      <w:bookmarkEnd w:id="56"/>
      <w:r>
        <w:rPr>
          <w:rStyle w:val="27"/>
          <w:rFonts w:ascii="黑体" w:hAnsi="黑体" w:eastAsia="黑体"/>
          <w:b w:val="0"/>
        </w:rPr>
        <w:tab/>
      </w:r>
    </w:p>
    <w:p>
      <w:pPr>
        <w:snapToGrid w:val="0"/>
        <w:spacing w:line="550" w:lineRule="exact"/>
        <w:ind w:firstLine="645"/>
        <w:outlineLvl w:val="2"/>
        <w:rPr>
          <w:rFonts w:ascii="仿宋" w:hAnsi="仿宋" w:eastAsia="仿宋"/>
          <w:sz w:val="32"/>
          <w:szCs w:val="32"/>
        </w:rPr>
      </w:pPr>
      <w:r>
        <w:rPr>
          <w:rFonts w:ascii="仿宋" w:hAnsi="仿宋" w:eastAsia="仿宋"/>
          <w:sz w:val="32"/>
          <w:szCs w:val="32"/>
        </w:rPr>
        <w:t>2</w:t>
      </w:r>
      <w:r>
        <w:rPr>
          <w:rFonts w:ascii="仿宋" w:hAnsi="仿宋" w:eastAsia="仿宋"/>
          <w:spacing w:val="-6"/>
          <w:sz w:val="32"/>
          <w:szCs w:val="32"/>
        </w:rPr>
        <w:t>0</w:t>
      </w:r>
      <w:r>
        <w:rPr>
          <w:rFonts w:hint="eastAsia" w:ascii="仿宋" w:hAnsi="仿宋" w:eastAsia="仿宋"/>
          <w:spacing w:val="-6"/>
          <w:sz w:val="32"/>
          <w:szCs w:val="32"/>
        </w:rPr>
        <w:t>22年一般公共预算财政拨款基本支出296.91万元，其中：</w:t>
      </w:r>
    </w:p>
    <w:p>
      <w:pPr>
        <w:snapToGrid w:val="0"/>
        <w:spacing w:line="550" w:lineRule="exact"/>
        <w:ind w:firstLine="645"/>
        <w:outlineLvl w:val="2"/>
        <w:rPr>
          <w:rFonts w:ascii="仿宋" w:hAnsi="仿宋" w:eastAsia="仿宋"/>
          <w:sz w:val="32"/>
          <w:szCs w:val="32"/>
        </w:rPr>
      </w:pPr>
      <w:r>
        <w:rPr>
          <w:rFonts w:hint="eastAsia" w:ascii="仿宋" w:hAnsi="仿宋" w:eastAsia="仿宋"/>
          <w:sz w:val="32"/>
          <w:szCs w:val="32"/>
        </w:rPr>
        <w:t>人员经费268.57万元，主要包括：基本工资69.73万元、津贴补贴13.13万元、绩效工资38.82万元、机关事业单位基本养老保险缴费15.4万元、职工基本医疗保险缴费8.51万元、其他社会保障缴费0.73万元、其他工资福利支出63.23万元、生活补助47.48万元、住房公积金11.55万元。</w:t>
      </w:r>
    </w:p>
    <w:p>
      <w:pPr>
        <w:snapToGrid w:val="0"/>
        <w:spacing w:line="550" w:lineRule="exact"/>
        <w:ind w:firstLine="645"/>
        <w:outlineLvl w:val="2"/>
        <w:rPr>
          <w:rFonts w:ascii="仿宋" w:hAnsi="仿宋" w:eastAsia="仿宋"/>
          <w:b/>
          <w:sz w:val="32"/>
          <w:szCs w:val="32"/>
        </w:rPr>
      </w:pPr>
      <w:r>
        <w:rPr>
          <w:rFonts w:hint="eastAsia" w:ascii="仿宋" w:hAnsi="仿宋" w:eastAsia="仿宋"/>
          <w:sz w:val="32"/>
          <w:szCs w:val="32"/>
        </w:rPr>
        <w:t>公用经费28.34万元，主要包括：办公费3.56万元、印刷费0.35万元、水费0.49万元、电费0.99万元、邮电费1.14万元、物业管理费0.08、差旅费3.51万元、维修（护）费2.16万元、租赁费0.00万元、培训费0.15万元、劳务费8.41万元、工会经费1.40万元、福利费5.24万元、办公设备购置0.87万元。</w:t>
      </w:r>
    </w:p>
    <w:p>
      <w:pPr>
        <w:snapToGrid w:val="0"/>
        <w:spacing w:line="550" w:lineRule="exact"/>
        <w:ind w:firstLine="640"/>
        <w:outlineLvl w:val="1"/>
        <w:rPr>
          <w:rStyle w:val="27"/>
          <w:rFonts w:ascii="黑体" w:hAnsi="黑体" w:eastAsia="黑体"/>
          <w:b w:val="0"/>
        </w:rPr>
      </w:pPr>
      <w:bookmarkStart w:id="57" w:name="_Toc15396609"/>
      <w:bookmarkStart w:id="58" w:name="_Toc15377215"/>
      <w:bookmarkStart w:id="59" w:name="_Toc17578"/>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57"/>
      <w:bookmarkEnd w:id="58"/>
      <w:bookmarkEnd w:id="59"/>
    </w:p>
    <w:p>
      <w:pPr>
        <w:snapToGrid w:val="0"/>
        <w:spacing w:line="550" w:lineRule="exact"/>
        <w:ind w:firstLine="640"/>
        <w:outlineLvl w:val="2"/>
        <w:rPr>
          <w:rFonts w:ascii="楷体" w:hAnsi="楷体" w:eastAsia="楷体" w:cs="楷体"/>
          <w:bCs/>
          <w:sz w:val="32"/>
          <w:szCs w:val="32"/>
        </w:rPr>
      </w:pPr>
      <w:bookmarkStart w:id="60" w:name="_Toc15377216"/>
      <w:r>
        <w:rPr>
          <w:rFonts w:hint="eastAsia" w:ascii="楷体" w:hAnsi="楷体" w:eastAsia="楷体" w:cs="楷体"/>
          <w:bCs/>
          <w:sz w:val="32"/>
          <w:szCs w:val="32"/>
        </w:rPr>
        <w:t>（一）“三公”经费财政拨款支出决算总体情况说明</w:t>
      </w:r>
      <w:bookmarkEnd w:id="60"/>
    </w:p>
    <w:p>
      <w:pPr>
        <w:snapToGrid w:val="0"/>
        <w:spacing w:line="550" w:lineRule="exact"/>
        <w:ind w:firstLine="640"/>
        <w:outlineLvl w:val="2"/>
        <w:rPr>
          <w:rFonts w:hint="eastAsia" w:ascii="仿宋_GB2312" w:eastAsia="仿宋_GB2312"/>
          <w:sz w:val="32"/>
          <w:szCs w:val="32"/>
          <w:lang w:val="en-US" w:eastAsia="zh-CN"/>
        </w:rPr>
      </w:pPr>
      <w:r>
        <w:rPr>
          <w:rFonts w:ascii="仿宋" w:hAnsi="仿宋" w:eastAsia="仿宋"/>
          <w:sz w:val="32"/>
          <w:szCs w:val="32"/>
        </w:rPr>
        <w:t>20</w:t>
      </w:r>
      <w:r>
        <w:rPr>
          <w:rFonts w:hint="eastAsia" w:ascii="仿宋" w:hAnsi="仿宋" w:eastAsia="仿宋"/>
          <w:sz w:val="32"/>
          <w:szCs w:val="32"/>
        </w:rPr>
        <w:t>22年“三公”经费财政拨款支出决算为0.00万元，完成预算0.00</w:t>
      </w:r>
      <w:r>
        <w:rPr>
          <w:rFonts w:ascii="仿宋" w:hAnsi="仿宋" w:eastAsia="仿宋"/>
          <w:sz w:val="32"/>
          <w:szCs w:val="32"/>
        </w:rPr>
        <w:t>%</w:t>
      </w:r>
      <w:r>
        <w:rPr>
          <w:rFonts w:hint="eastAsia" w:ascii="仿宋" w:hAnsi="仿宋" w:eastAsia="仿宋"/>
          <w:color w:val="000000" w:themeColor="text1"/>
          <w:sz w:val="32"/>
          <w:szCs w:val="32"/>
        </w:rPr>
        <w:t>。</w:t>
      </w:r>
      <w:r>
        <w:rPr>
          <w:rFonts w:hint="eastAsia" w:ascii="仿宋" w:hAnsi="仿宋" w:eastAsia="仿宋"/>
          <w:sz w:val="32"/>
          <w:szCs w:val="32"/>
        </w:rPr>
        <w:t>三公”经费</w:t>
      </w:r>
      <w:r>
        <w:rPr>
          <w:rFonts w:hint="eastAsia" w:ascii="仿宋_GB2312" w:eastAsia="仿宋_GB2312"/>
          <w:sz w:val="32"/>
          <w:szCs w:val="32"/>
        </w:rPr>
        <w:t>支出决算比</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无变动，</w:t>
      </w:r>
      <w:bookmarkStart w:id="61" w:name="_Toc15377217"/>
      <w:r>
        <w:rPr>
          <w:rFonts w:hint="eastAsia" w:ascii="仿宋_GB2312" w:eastAsia="仿宋_GB2312"/>
          <w:sz w:val="32"/>
          <w:szCs w:val="32"/>
          <w:lang w:val="en-US" w:eastAsia="zh-CN"/>
        </w:rPr>
        <w:t>与2021年决算数持平。</w:t>
      </w:r>
    </w:p>
    <w:p>
      <w:pPr>
        <w:snapToGrid w:val="0"/>
        <w:spacing w:line="550" w:lineRule="exact"/>
        <w:ind w:firstLine="640"/>
        <w:outlineLvl w:val="2"/>
        <w:rPr>
          <w:rFonts w:ascii="楷体" w:hAnsi="楷体" w:eastAsia="楷体" w:cs="楷体"/>
          <w:bCs/>
          <w:sz w:val="32"/>
          <w:szCs w:val="32"/>
        </w:rPr>
      </w:pPr>
      <w:r>
        <w:rPr>
          <w:rFonts w:hint="eastAsia" w:ascii="楷体" w:hAnsi="楷体" w:eastAsia="楷体" w:cs="楷体"/>
          <w:bCs/>
          <w:sz w:val="32"/>
          <w:szCs w:val="32"/>
        </w:rPr>
        <w:t>（二）“三公”经费财政拨款支出决算具体情况说明</w:t>
      </w:r>
      <w:bookmarkEnd w:id="61"/>
    </w:p>
    <w:p>
      <w:pPr>
        <w:snapToGrid w:val="0"/>
        <w:spacing w:line="550" w:lineRule="exact"/>
        <w:ind w:firstLine="64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22年“三公”经费财政拨款支出决算中，因公出国（境）费支出决算0.00万元，占0.00</w:t>
      </w:r>
      <w:r>
        <w:rPr>
          <w:rFonts w:ascii="仿宋" w:hAnsi="仿宋" w:eastAsia="仿宋"/>
          <w:sz w:val="32"/>
          <w:szCs w:val="32"/>
        </w:rPr>
        <w:t>%</w:t>
      </w:r>
      <w:r>
        <w:rPr>
          <w:rFonts w:hint="eastAsia" w:ascii="仿宋" w:hAnsi="仿宋" w:eastAsia="仿宋"/>
          <w:sz w:val="32"/>
          <w:szCs w:val="32"/>
        </w:rPr>
        <w:t>；公务用车购置及运行维护费支出决算0.00万元，占0.00</w:t>
      </w:r>
      <w:r>
        <w:rPr>
          <w:rFonts w:ascii="仿宋" w:hAnsi="仿宋" w:eastAsia="仿宋"/>
          <w:sz w:val="32"/>
          <w:szCs w:val="32"/>
        </w:rPr>
        <w:t>%</w:t>
      </w:r>
      <w:r>
        <w:rPr>
          <w:rFonts w:hint="eastAsia" w:ascii="仿宋" w:hAnsi="仿宋" w:eastAsia="仿宋"/>
          <w:sz w:val="32"/>
          <w:szCs w:val="32"/>
        </w:rPr>
        <w:t>；公务接待费支出决算0.00万元，占100.00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ascii="仿宋" w:hAnsi="仿宋" w:eastAsia="仿宋"/>
          <w:sz w:val="32"/>
          <w:szCs w:val="32"/>
        </w:rPr>
        <w:drawing>
          <wp:anchor distT="0" distB="0" distL="114300" distR="114300" simplePos="0" relativeHeight="251662336" behindDoc="0" locked="0" layoutInCell="1" allowOverlap="1">
            <wp:simplePos x="0" y="0"/>
            <wp:positionH relativeFrom="column">
              <wp:posOffset>881380</wp:posOffset>
            </wp:positionH>
            <wp:positionV relativeFrom="paragraph">
              <wp:posOffset>67945</wp:posOffset>
            </wp:positionV>
            <wp:extent cx="2816860" cy="1369060"/>
            <wp:effectExtent l="4445" t="4445" r="17145" b="1714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napToGrid w:val="0"/>
        <w:spacing w:line="500" w:lineRule="exact"/>
        <w:jc w:val="center"/>
        <w:outlineLvl w:val="1"/>
        <w:rPr>
          <w:rFonts w:ascii="仿宋" w:hAnsi="仿宋" w:eastAsia="仿宋"/>
          <w:sz w:val="32"/>
          <w:szCs w:val="32"/>
        </w:rPr>
      </w:pPr>
      <w:bookmarkStart w:id="62" w:name="_Toc1682"/>
      <w:r>
        <w:rPr>
          <w:rFonts w:hint="eastAsia" w:ascii="仿宋" w:hAnsi="仿宋" w:eastAsia="仿宋"/>
          <w:sz w:val="32"/>
          <w:szCs w:val="32"/>
        </w:rPr>
        <w:t>（图7：“三公”经费财政拨款支出结构）（饼状图）</w:t>
      </w:r>
      <w:bookmarkEnd w:id="62"/>
    </w:p>
    <w:p>
      <w:pPr>
        <w:widowControl/>
        <w:numPr>
          <w:ilvl w:val="0"/>
          <w:numId w:val="1"/>
        </w:numPr>
        <w:shd w:val="clear" w:color="auto" w:fill="FFFFFF"/>
        <w:spacing w:line="580" w:lineRule="atLeast"/>
        <w:ind w:firstLine="668"/>
        <w:rPr>
          <w:rFonts w:ascii="黑体" w:hAnsi="黑体" w:eastAsia="黑体" w:cs="黑体"/>
          <w:b/>
          <w:sz w:val="32"/>
          <w:szCs w:val="32"/>
        </w:rPr>
      </w:pPr>
      <w:r>
        <w:rPr>
          <w:rFonts w:hint="eastAsia" w:ascii="黑体" w:hAnsi="黑体" w:eastAsia="黑体" w:cs="黑体"/>
          <w:color w:val="333333"/>
          <w:kern w:val="0"/>
          <w:sz w:val="32"/>
          <w:szCs w:val="32"/>
          <w:shd w:val="clear" w:color="auto" w:fill="FFFFFF"/>
        </w:rPr>
        <w:t>因公出国（境）经费</w:t>
      </w:r>
    </w:p>
    <w:p>
      <w:pPr>
        <w:spacing w:line="560" w:lineRule="exact"/>
        <w:ind w:firstLine="640"/>
        <w:outlineLvl w:val="2"/>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6"/>
          <w:rFonts w:hint="eastAsia" w:ascii="仿宋" w:hAnsi="仿宋" w:eastAsia="仿宋"/>
          <w:b w:val="0"/>
          <w:bCs/>
          <w:sz w:val="32"/>
          <w:szCs w:val="32"/>
        </w:rPr>
        <w:t>完成预算</w:t>
      </w:r>
      <w:r>
        <w:rPr>
          <w:rFonts w:hint="eastAsia" w:ascii="仿宋_GB2312" w:eastAsia="仿宋_GB2312"/>
          <w:sz w:val="32"/>
          <w:szCs w:val="32"/>
        </w:rPr>
        <w:t>0.00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减少0.00万元，增长</w:t>
      </w:r>
      <w:r>
        <w:rPr>
          <w:rFonts w:ascii="仿宋_GB2312" w:eastAsia="仿宋_GB2312"/>
          <w:sz w:val="32"/>
          <w:szCs w:val="32"/>
        </w:rPr>
        <w:t>/</w:t>
      </w:r>
      <w:r>
        <w:rPr>
          <w:rFonts w:hint="eastAsia" w:ascii="仿宋_GB2312" w:eastAsia="仿宋_GB2312"/>
          <w:sz w:val="32"/>
          <w:szCs w:val="32"/>
        </w:rPr>
        <w:t>下降0.00</w:t>
      </w:r>
      <w:r>
        <w:rPr>
          <w:rFonts w:ascii="仿宋_GB2312" w:eastAsia="仿宋_GB2312"/>
          <w:sz w:val="32"/>
          <w:szCs w:val="32"/>
        </w:rPr>
        <w:t>%</w:t>
      </w:r>
      <w:r>
        <w:rPr>
          <w:rFonts w:hint="eastAsia" w:ascii="仿宋_GB2312" w:eastAsia="仿宋_GB2312"/>
          <w:sz w:val="32"/>
          <w:szCs w:val="32"/>
        </w:rPr>
        <w:t>。主要原因是当年未安排因公出国（境）支出预算，无因公出国（境）支出。</w:t>
      </w:r>
    </w:p>
    <w:p>
      <w:pPr>
        <w:spacing w:line="560" w:lineRule="exact"/>
        <w:ind w:firstLine="640"/>
        <w:outlineLvl w:val="2"/>
        <w:rPr>
          <w:rFonts w:ascii="仿宋_GB2312" w:eastAsia="仿宋_GB2312"/>
          <w:sz w:val="32"/>
          <w:szCs w:val="32"/>
        </w:rPr>
      </w:pPr>
      <w:r>
        <w:rPr>
          <w:rFonts w:hint="eastAsia" w:ascii="仿宋_GB2312" w:eastAsia="仿宋_GB2312"/>
          <w:sz w:val="32"/>
          <w:szCs w:val="32"/>
        </w:rPr>
        <w:t>开支内容包括：本年度未安排因公出国。</w:t>
      </w:r>
    </w:p>
    <w:p>
      <w:pPr>
        <w:spacing w:line="560" w:lineRule="exact"/>
        <w:ind w:firstLine="640"/>
        <w:outlineLvl w:val="2"/>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0.00万元,</w:t>
      </w:r>
      <w:r>
        <w:rPr>
          <w:rStyle w:val="16"/>
          <w:rFonts w:hint="eastAsia" w:ascii="仿宋" w:hAnsi="仿宋" w:eastAsia="仿宋"/>
          <w:b w:val="0"/>
          <w:bCs/>
          <w:sz w:val="32"/>
          <w:szCs w:val="32"/>
        </w:rPr>
        <w:t>完成预算0.00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减少0.00万元，增长</w:t>
      </w:r>
      <w:r>
        <w:rPr>
          <w:rFonts w:ascii="仿宋_GB2312" w:eastAsia="仿宋_GB2312"/>
          <w:sz w:val="32"/>
          <w:szCs w:val="32"/>
        </w:rPr>
        <w:t>/</w:t>
      </w:r>
      <w:r>
        <w:rPr>
          <w:rFonts w:hint="eastAsia" w:ascii="仿宋_GB2312" w:eastAsia="仿宋_GB2312"/>
          <w:sz w:val="32"/>
          <w:szCs w:val="32"/>
        </w:rPr>
        <w:t>下降0.00</w:t>
      </w:r>
      <w:r>
        <w:rPr>
          <w:rFonts w:ascii="仿宋_GB2312" w:eastAsia="仿宋_GB2312"/>
          <w:sz w:val="32"/>
          <w:szCs w:val="32"/>
        </w:rPr>
        <w:t>%</w:t>
      </w:r>
      <w:r>
        <w:rPr>
          <w:rFonts w:hint="eastAsia" w:ascii="仿宋_GB2312" w:eastAsia="仿宋_GB2312"/>
          <w:sz w:val="32"/>
          <w:szCs w:val="32"/>
        </w:rPr>
        <w:t>。主要原因是我校无公务用车，2022年未安排公务用车购置及运行维护费支出预算，无公务用车购置及运行维护费支出。</w:t>
      </w:r>
    </w:p>
    <w:p>
      <w:pPr>
        <w:spacing w:line="560" w:lineRule="exact"/>
        <w:ind w:firstLine="640"/>
        <w:outlineLvl w:val="2"/>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0.00万元。主要用于公务用车燃料费、维修费、过路过桥费、保险费等支出。</w:t>
      </w:r>
    </w:p>
    <w:p>
      <w:pPr>
        <w:spacing w:line="560" w:lineRule="exact"/>
        <w:ind w:firstLine="640"/>
        <w:outlineLvl w:val="2"/>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0.00万元，</w:t>
      </w:r>
      <w:r>
        <w:rPr>
          <w:rStyle w:val="16"/>
          <w:rFonts w:hint="eastAsia" w:ascii="仿宋" w:hAnsi="仿宋" w:eastAsia="仿宋"/>
          <w:b w:val="0"/>
          <w:bCs/>
          <w:sz w:val="32"/>
          <w:szCs w:val="32"/>
        </w:rPr>
        <w:t>完成预算0.00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560" w:lineRule="exact"/>
        <w:ind w:firstLine="640"/>
        <w:outlineLvl w:val="2"/>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0.00</w:t>
      </w:r>
      <w:r>
        <w:rPr>
          <w:rFonts w:hint="eastAsia" w:ascii="仿宋_GB2312" w:eastAsia="仿宋_GB2312"/>
          <w:sz w:val="32"/>
          <w:szCs w:val="32"/>
        </w:rPr>
        <w:t>万元，</w:t>
      </w:r>
    </w:p>
    <w:p>
      <w:pPr>
        <w:spacing w:line="560" w:lineRule="exact"/>
        <w:ind w:firstLine="643" w:firstLineChars="200"/>
        <w:outlineLvl w:val="2"/>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0.00</w:t>
      </w:r>
      <w:r>
        <w:rPr>
          <w:rFonts w:hint="eastAsia" w:ascii="仿宋_GB2312" w:eastAsia="仿宋_GB2312"/>
          <w:sz w:val="32"/>
          <w:szCs w:val="32"/>
        </w:rPr>
        <w:t>万元，外事接待0批次，0人，共计支出0.00万元。</w:t>
      </w:r>
    </w:p>
    <w:p>
      <w:pPr>
        <w:spacing w:line="560" w:lineRule="exact"/>
        <w:ind w:firstLine="640"/>
        <w:outlineLvl w:val="1"/>
        <w:rPr>
          <w:rStyle w:val="27"/>
          <w:rFonts w:ascii="黑体" w:hAnsi="黑体" w:eastAsia="黑体"/>
        </w:rPr>
      </w:pPr>
      <w:bookmarkStart w:id="63" w:name="_Toc15396610"/>
      <w:bookmarkStart w:id="64" w:name="_Toc21094"/>
      <w:bookmarkStart w:id="65" w:name="_Toc15377218"/>
      <w:r>
        <w:rPr>
          <w:rFonts w:hint="eastAsia" w:ascii="黑体" w:eastAsia="黑体"/>
          <w:sz w:val="32"/>
          <w:szCs w:val="32"/>
        </w:rPr>
        <w:t>八、</w:t>
      </w:r>
      <w:r>
        <w:rPr>
          <w:rStyle w:val="27"/>
          <w:rFonts w:hint="eastAsia" w:ascii="黑体" w:hAnsi="黑体" w:eastAsia="黑体"/>
          <w:b w:val="0"/>
        </w:rPr>
        <w:t>政府性基金预算支出决算情况说明</w:t>
      </w:r>
      <w:bookmarkEnd w:id="63"/>
      <w:bookmarkEnd w:id="64"/>
      <w:bookmarkEnd w:id="65"/>
    </w:p>
    <w:p>
      <w:pPr>
        <w:spacing w:line="560" w:lineRule="exact"/>
        <w:ind w:firstLine="640"/>
        <w:outlineLvl w:val="2"/>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22年政府性基金预算财政拨款支出0.00万元。</w:t>
      </w:r>
    </w:p>
    <w:p>
      <w:pPr>
        <w:numPr>
          <w:ilvl w:val="0"/>
          <w:numId w:val="2"/>
        </w:numPr>
        <w:spacing w:line="560" w:lineRule="exact"/>
        <w:ind w:firstLine="640"/>
        <w:outlineLvl w:val="1"/>
        <w:rPr>
          <w:rStyle w:val="27"/>
          <w:rFonts w:ascii="黑体" w:hAnsi="黑体" w:eastAsia="黑体"/>
          <w:b w:val="0"/>
        </w:rPr>
      </w:pPr>
      <w:bookmarkStart w:id="66" w:name="_Toc15396611"/>
      <w:bookmarkStart w:id="67" w:name="_Toc15377219"/>
      <w:bookmarkStart w:id="68" w:name="_Toc4469"/>
      <w:r>
        <w:rPr>
          <w:rStyle w:val="27"/>
          <w:rFonts w:hint="eastAsia" w:ascii="黑体" w:hAnsi="黑体" w:eastAsia="黑体"/>
          <w:b w:val="0"/>
        </w:rPr>
        <w:t>国有资本经营预算支出决算情况说明</w:t>
      </w:r>
      <w:bookmarkEnd w:id="66"/>
      <w:bookmarkEnd w:id="67"/>
      <w:bookmarkEnd w:id="68"/>
    </w:p>
    <w:p>
      <w:pPr>
        <w:spacing w:line="560" w:lineRule="exact"/>
        <w:ind w:firstLine="640"/>
        <w:outlineLvl w:val="2"/>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22年国有资本经营预算财政拨款支出0.00万元。</w:t>
      </w:r>
    </w:p>
    <w:p>
      <w:pPr>
        <w:numPr>
          <w:ilvl w:val="0"/>
          <w:numId w:val="2"/>
        </w:numPr>
        <w:spacing w:line="560" w:lineRule="exact"/>
        <w:ind w:firstLine="640"/>
        <w:outlineLvl w:val="1"/>
        <w:rPr>
          <w:rStyle w:val="27"/>
          <w:rFonts w:ascii="黑体" w:hAnsi="黑体" w:eastAsia="黑体"/>
          <w:b w:val="0"/>
        </w:rPr>
      </w:pPr>
      <w:bookmarkStart w:id="69" w:name="_Toc15396612"/>
      <w:bookmarkStart w:id="70" w:name="_Toc15377221"/>
      <w:bookmarkStart w:id="71" w:name="_Toc10003"/>
      <w:r>
        <w:rPr>
          <w:rStyle w:val="27"/>
          <w:rFonts w:hint="eastAsia" w:ascii="黑体" w:hAnsi="黑体" w:eastAsia="黑体"/>
          <w:b w:val="0"/>
        </w:rPr>
        <w:t>其他重要事项的情况说明</w:t>
      </w:r>
      <w:bookmarkEnd w:id="69"/>
      <w:bookmarkEnd w:id="70"/>
      <w:bookmarkEnd w:id="71"/>
    </w:p>
    <w:p>
      <w:pPr>
        <w:spacing w:line="560" w:lineRule="exact"/>
        <w:ind w:firstLine="640" w:firstLineChars="200"/>
        <w:outlineLvl w:val="2"/>
        <w:rPr>
          <w:rFonts w:ascii="楷体" w:hAnsi="楷体" w:eastAsia="楷体" w:cs="楷体"/>
          <w:bCs/>
          <w:sz w:val="32"/>
          <w:szCs w:val="32"/>
        </w:rPr>
      </w:pPr>
      <w:bookmarkStart w:id="72" w:name="_Toc15377222"/>
      <w:bookmarkStart w:id="73" w:name="_Hlk146034226"/>
      <w:r>
        <w:rPr>
          <w:rFonts w:hint="eastAsia" w:ascii="楷体" w:hAnsi="楷体" w:eastAsia="楷体" w:cs="楷体"/>
          <w:bCs/>
          <w:sz w:val="32"/>
          <w:szCs w:val="32"/>
        </w:rPr>
        <w:t>（一）机关运行经费支出情况</w:t>
      </w:r>
      <w:bookmarkEnd w:id="72"/>
    </w:p>
    <w:p>
      <w:pPr>
        <w:spacing w:line="560" w:lineRule="exact"/>
        <w:ind w:firstLine="640" w:firstLineChars="200"/>
        <w:outlineLvl w:val="2"/>
        <w:rPr>
          <w:rFonts w:ascii="仿宋_GB2312" w:eastAsia="仿宋_GB2312"/>
          <w:color w:val="000000" w:themeColor="text1"/>
          <w:sz w:val="32"/>
          <w:szCs w:val="32"/>
        </w:rPr>
      </w:pPr>
      <w:r>
        <w:rPr>
          <w:rFonts w:ascii="仿宋_GB2312" w:eastAsia="仿宋_GB2312"/>
          <w:sz w:val="32"/>
          <w:szCs w:val="32"/>
        </w:rPr>
        <w:t>20</w:t>
      </w:r>
      <w:r>
        <w:rPr>
          <w:rFonts w:hint="eastAsia" w:ascii="仿宋_GB2312" w:eastAsia="仿宋_GB2312"/>
          <w:sz w:val="32"/>
          <w:szCs w:val="32"/>
        </w:rPr>
        <w:t>22年，金洞小学运行经费支出0.00万元。</w:t>
      </w:r>
    </w:p>
    <w:p>
      <w:pPr>
        <w:spacing w:line="560" w:lineRule="exact"/>
        <w:ind w:firstLine="640" w:firstLineChars="200"/>
        <w:outlineLvl w:val="2"/>
        <w:rPr>
          <w:rFonts w:ascii="楷体" w:hAnsi="楷体" w:eastAsia="楷体" w:cs="楷体"/>
          <w:bCs/>
          <w:sz w:val="32"/>
          <w:szCs w:val="32"/>
        </w:rPr>
      </w:pPr>
      <w:bookmarkStart w:id="74" w:name="_Toc15377223"/>
      <w:r>
        <w:rPr>
          <w:rFonts w:hint="eastAsia" w:ascii="楷体" w:hAnsi="楷体" w:eastAsia="楷体" w:cs="楷体"/>
          <w:bCs/>
          <w:sz w:val="32"/>
          <w:szCs w:val="32"/>
        </w:rPr>
        <w:t>（二）政府采购支出情况</w:t>
      </w:r>
      <w:bookmarkEnd w:id="74"/>
    </w:p>
    <w:p>
      <w:pPr>
        <w:spacing w:line="560" w:lineRule="exact"/>
        <w:ind w:firstLine="640" w:firstLineChars="200"/>
        <w:outlineLvl w:val="2"/>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22年，金洞小学政府采购支出总额0.00万元，其中：政府采购货物支出0.00万元、政府采购工程支出0.00万元、政府采购服务支出0.00万元。授予中小企业合同金额0.00万元，占政府采购支出总额的0.00</w:t>
      </w:r>
      <w:r>
        <w:rPr>
          <w:rFonts w:ascii="仿宋_GB2312" w:eastAsia="仿宋_GB2312"/>
          <w:sz w:val="32"/>
          <w:szCs w:val="32"/>
        </w:rPr>
        <w:t>%</w:t>
      </w:r>
      <w:r>
        <w:rPr>
          <w:rFonts w:hint="eastAsia" w:ascii="仿宋_GB2312" w:eastAsia="仿宋_GB2312"/>
          <w:sz w:val="32"/>
          <w:szCs w:val="32"/>
        </w:rPr>
        <w:t>，其中：授予小微企业合同金额0.00万元，占政府采购支出总额的0.00</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outlineLvl w:val="2"/>
        <w:rPr>
          <w:rFonts w:ascii="楷体" w:hAnsi="楷体" w:eastAsia="楷体" w:cs="楷体"/>
          <w:bCs/>
          <w:sz w:val="32"/>
          <w:szCs w:val="32"/>
        </w:rPr>
      </w:pPr>
      <w:bookmarkStart w:id="75" w:name="_Toc15377224"/>
      <w:r>
        <w:rPr>
          <w:rFonts w:hint="eastAsia" w:ascii="楷体" w:hAnsi="楷体" w:eastAsia="楷体" w:cs="楷体"/>
          <w:bCs/>
          <w:sz w:val="32"/>
          <w:szCs w:val="32"/>
        </w:rPr>
        <w:t>（三）国有资产占有使用情况</w:t>
      </w:r>
      <w:bookmarkEnd w:id="75"/>
    </w:p>
    <w:p>
      <w:pPr>
        <w:autoSpaceDE w:val="0"/>
        <w:autoSpaceDN w:val="0"/>
        <w:adjustRightInd w:val="0"/>
        <w:spacing w:line="560" w:lineRule="exact"/>
        <w:ind w:firstLine="640" w:firstLineChars="200"/>
        <w:jc w:val="left"/>
        <w:outlineLvl w:val="2"/>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日，利州区金洞小学共有车辆0辆，其中：主要领导干部用车0辆、机要通信用车0辆、应急保障用车0辆、其他用车0辆,单价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bookmarkEnd w:id="73"/>
    <w:p>
      <w:pPr>
        <w:spacing w:line="560" w:lineRule="exact"/>
        <w:ind w:firstLine="640" w:firstLineChars="200"/>
        <w:outlineLvl w:val="2"/>
        <w:rPr>
          <w:rFonts w:ascii="楷体" w:hAnsi="楷体" w:eastAsia="楷体" w:cs="楷体"/>
          <w:bCs/>
          <w:sz w:val="32"/>
          <w:szCs w:val="32"/>
        </w:rPr>
      </w:pPr>
      <w:r>
        <w:rPr>
          <w:rFonts w:hint="eastAsia" w:ascii="楷体" w:hAnsi="楷体" w:eastAsia="楷体" w:cs="楷体"/>
          <w:bCs/>
          <w:sz w:val="32"/>
          <w:szCs w:val="32"/>
        </w:rPr>
        <w:t>（四）预算绩效管理情况</w:t>
      </w:r>
    </w:p>
    <w:p>
      <w:pPr>
        <w:spacing w:line="580" w:lineRule="exact"/>
        <w:ind w:firstLine="640" w:firstLineChars="200"/>
        <w:rPr>
          <w:rFonts w:ascii="仿宋_GB2312" w:hAnsi="仿宋_GB2312" w:eastAsia="仿宋_GB2312" w:cs="仿宋_GB2312"/>
          <w:sz w:val="32"/>
          <w:szCs w:val="32"/>
        </w:rPr>
      </w:pPr>
      <w:bookmarkStart w:id="76" w:name="_Hlk51156877"/>
      <w:r>
        <w:rPr>
          <w:rFonts w:hint="eastAsia" w:ascii="仿宋_GB2312" w:hAnsi="仿宋_GB2312" w:eastAsia="仿宋_GB2312" w:cs="仿宋_GB2312"/>
          <w:sz w:val="32"/>
          <w:szCs w:val="32"/>
        </w:rPr>
        <w:t>根据预算绩效管理要求，本部门（单位）在年初预算编制阶段，组织对各项目开展了预算事前绩效评估，年终执行完毕后，对该项目开展了绩效目标完成情况梳理填报。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eastAsia="仿宋_GB2312"/>
          <w:sz w:val="32"/>
          <w:szCs w:val="32"/>
        </w:rPr>
        <w:t>202</w:t>
      </w:r>
      <w:r>
        <w:rPr>
          <w:rFonts w:hint="eastAsia" w:ascii="仿宋_GB2312" w:eastAsia="仿宋_GB2312"/>
          <w:sz w:val="32"/>
          <w:szCs w:val="32"/>
        </w:rPr>
        <w:t>2</w:t>
      </w:r>
      <w:r>
        <w:rPr>
          <w:rFonts w:hint="eastAsia" w:ascii="仿宋_GB2312" w:hAnsi="仿宋_GB2312" w:eastAsia="仿宋_GB2312" w:cs="仿宋_GB2312"/>
          <w:sz w:val="32"/>
          <w:szCs w:val="32"/>
        </w:rPr>
        <w:t>年部门整体支出开展绩效自评，从评价情况来看学校整体支出绩效评价自评结果良好，单位预算执行意识增强，预算执行进度更趋合理、规范。根据部门预算执行要求，对单位收付结算业务严格按照部门预算及有关财务制度规定和标准办理资金结算。从收支结余情况分析，学校预算执行情况好，财务状况较好。工资福利支出、商品与服务支出和补助支出都在预算控制的范围内。</w:t>
      </w:r>
    </w:p>
    <w:p>
      <w:pPr>
        <w:spacing w:line="580" w:lineRule="exact"/>
        <w:ind w:firstLine="800" w:firstLineChars="250"/>
        <w:rPr>
          <w:rFonts w:ascii="仿宋_GB2312" w:hAnsi="宋体" w:eastAsia="仿宋_GB2312" w:cs="仿宋_GB2312"/>
          <w:sz w:val="32"/>
          <w:szCs w:val="32"/>
        </w:rPr>
      </w:pPr>
      <w:r>
        <w:rPr>
          <w:rFonts w:hint="eastAsia" w:ascii="仿宋_GB2312" w:eastAsia="仿宋_GB2312"/>
          <w:sz w:val="32"/>
          <w:szCs w:val="32"/>
        </w:rPr>
        <w:t>存在的问题：</w:t>
      </w:r>
      <w:r>
        <w:rPr>
          <w:rFonts w:hint="eastAsia" w:ascii="仿宋_GB2312" w:hAnsi="宋体" w:eastAsia="仿宋_GB2312" w:cs="仿宋_GB2312"/>
          <w:sz w:val="32"/>
          <w:szCs w:val="32"/>
        </w:rPr>
        <w:t>一是绩效评价管理工作制度建设有待进一步加强，绩效管理缺乏系统性；二是缺乏绩效评价专业人才，系统现有评价工作人员的知识体系和业务技能还需进一步提高，以适应绩效评价工作相关要求。</w:t>
      </w:r>
    </w:p>
    <w:p>
      <w:pPr>
        <w:spacing w:line="540" w:lineRule="exact"/>
        <w:ind w:firstLine="640" w:firstLineChars="200"/>
        <w:rPr>
          <w:rFonts w:ascii="仿宋_GB2312" w:hAnsi="宋体" w:eastAsia="仿宋_GB2312" w:cs="仿宋_GB2312"/>
          <w:sz w:val="32"/>
          <w:szCs w:val="32"/>
        </w:rPr>
      </w:pPr>
      <w:r>
        <w:rPr>
          <w:rFonts w:hint="eastAsia" w:ascii="仿宋_GB2312" w:eastAsia="仿宋_GB2312"/>
          <w:sz w:val="32"/>
          <w:szCs w:val="32"/>
        </w:rPr>
        <w:t>下一步改进措施：</w:t>
      </w:r>
      <w:r>
        <w:rPr>
          <w:rStyle w:val="16"/>
          <w:rFonts w:hint="eastAsia" w:ascii="仿宋_GB2312" w:hAnsi="宋体" w:eastAsia="仿宋_GB2312" w:cs="仿宋_GB2312"/>
          <w:sz w:val="32"/>
          <w:szCs w:val="32"/>
        </w:rPr>
        <w:t>一是</w:t>
      </w:r>
      <w:r>
        <w:rPr>
          <w:rFonts w:hint="eastAsia" w:ascii="仿宋_GB2312" w:hAnsi="宋体" w:eastAsia="仿宋_GB2312" w:cs="仿宋_GB2312"/>
          <w:sz w:val="32"/>
          <w:szCs w:val="32"/>
        </w:rPr>
        <w:t>进一步加强绩效评价管理制度建设；</w:t>
      </w:r>
      <w:r>
        <w:rPr>
          <w:rFonts w:hint="eastAsia" w:ascii="仿宋_GB2312" w:hAnsi="宋体" w:eastAsia="仿宋_GB2312" w:cs="仿宋_GB2312"/>
          <w:b/>
          <w:sz w:val="32"/>
          <w:szCs w:val="32"/>
        </w:rPr>
        <w:t>二是</w:t>
      </w:r>
      <w:r>
        <w:rPr>
          <w:rFonts w:hint="eastAsia" w:ascii="仿宋_GB2312" w:hAnsi="宋体" w:eastAsia="仿宋_GB2312" w:cs="仿宋_GB2312"/>
          <w:sz w:val="32"/>
          <w:szCs w:val="32"/>
        </w:rPr>
        <w:t>建立有效的绩效管理体系；</w:t>
      </w:r>
      <w:r>
        <w:rPr>
          <w:rStyle w:val="16"/>
          <w:rFonts w:hint="eastAsia" w:ascii="仿宋_GB2312" w:hAnsi="宋体" w:eastAsia="仿宋_GB2312" w:cs="仿宋_GB2312"/>
          <w:sz w:val="32"/>
          <w:szCs w:val="32"/>
        </w:rPr>
        <w:t>三是</w:t>
      </w:r>
      <w:r>
        <w:rPr>
          <w:rFonts w:hint="eastAsia" w:ascii="仿宋_GB2312" w:hAnsi="宋体" w:eastAsia="仿宋_GB2312" w:cs="仿宋_GB2312"/>
          <w:sz w:val="32"/>
          <w:szCs w:val="32"/>
        </w:rPr>
        <w:t>强化绩效管理数据分析，强化绩效管理数据运用；四是强化绩效评价专业技能的培训；五是探索与预算编制相结合的财政绩效管理，奖绩效评价逐步从事后评价延伸至事前、事中评价。</w:t>
      </w:r>
    </w:p>
    <w:p>
      <w:pPr>
        <w:spacing w:line="54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（二）部门开展绩效评价结果。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2年部门整体支出绩效评价情况开展了绩效评价</w:t>
      </w:r>
      <w:bookmarkEnd w:id="76"/>
      <w:r>
        <w:rPr>
          <w:rFonts w:hint="eastAsia" w:ascii="仿宋_GB2312" w:hAnsi="仿宋_GB2312" w:eastAsia="仿宋_GB2312" w:cs="仿宋_GB2312"/>
          <w:sz w:val="32"/>
          <w:szCs w:val="32"/>
        </w:rPr>
        <w:t>，详见第四部分附件1.</w:t>
      </w:r>
    </w:p>
    <w:p>
      <w:pPr>
        <w:widowControl/>
        <w:jc w:val="left"/>
        <w:rPr>
          <w:rFonts w:ascii="仿宋" w:hAnsi="仿宋" w:eastAsia="仿宋" w:cs="仿宋"/>
          <w:b/>
          <w:sz w:val="44"/>
          <w:szCs w:val="44"/>
        </w:rPr>
      </w:pPr>
      <w:bookmarkStart w:id="77" w:name="_Toc19089875"/>
      <w:bookmarkStart w:id="78" w:name="_Toc15377225"/>
    </w:p>
    <w:p>
      <w:pPr>
        <w:widowControl/>
        <w:ind w:firstLine="2209" w:firstLineChars="500"/>
        <w:jc w:val="left"/>
        <w:rPr>
          <w:rFonts w:ascii="仿宋" w:hAnsi="仿宋" w:eastAsia="仿宋" w:cs="仿宋"/>
          <w:bCs/>
          <w:kern w:val="44"/>
          <w:sz w:val="44"/>
          <w:szCs w:val="44"/>
        </w:rPr>
      </w:pPr>
      <w:r>
        <w:rPr>
          <w:rFonts w:hint="eastAsia" w:ascii="仿宋" w:hAnsi="仿宋" w:eastAsia="仿宋" w:cs="仿宋"/>
          <w:b/>
          <w:sz w:val="44"/>
          <w:szCs w:val="44"/>
        </w:rPr>
        <w:t>第三部分  名</w:t>
      </w:r>
      <w:r>
        <w:rPr>
          <w:rStyle w:val="36"/>
          <w:rFonts w:hint="eastAsia" w:ascii="仿宋" w:hAnsi="仿宋" w:eastAsia="仿宋" w:cs="仿宋"/>
          <w:b w:val="0"/>
        </w:rPr>
        <w:t>词解释</w:t>
      </w:r>
      <w:bookmarkEnd w:id="77"/>
      <w:bookmarkEnd w:id="78"/>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1.财政拨款收入：指单位从同级财政部门取得的财政预算资金。</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2.事业收入：指事业单位开展专业业务活动及辅助活动取得的收入。</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 xml:space="preserve">.其他收入：指单位取得的除上述收入以外的各项收入。主要是学前教育保育教育费收入、银行存款利息收入等。 </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.教育支出（类）教育管理事务（款）行政运行（项）:反映教育行政单位（包括实行公务员管理的事业单位）的基本支出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.教育支出（类）教育管理事务（款）一般行政管理事务（项）:反映行政单位（包括实行公务员管理的事业单位）未单独设置项级科目的其它项目支出。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.教育支出（类）教育管理事务（款）其它教育管理事务支出（项）:反映除上述项目以外其它用户教育管理事务方面的支出。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.教育支出（类）普通教育（款）学前教育（项）:反映各部门举办的学前教育支出。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.教育支出（类）普通教育（款）小学教育（项）:反映各部门举办的小学教育支出。政府各部门对社会中介组织等举办的小学的资助，如各类捐赠、补贴等，也在本科目中反映。</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.教育支出（类）普通教育（款）其它普通教育（项）:反映除上述项目以外其他用于普通教育方面的支出。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.教育支出（类）教育附加费安排的支出（款）农村中小学校舍建设（项）:反映教育附加费安排用于农村中小学校舍新建、改建、修缮和维护的支出。</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.教育支出（类）教育附加费安排的支出（款）其它教育附加费安排的支出（项）:指除上述项目以外的教育附加费支出。</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.教育支出（类）其它教育支出（款）其他教育支出（项）:指上述项目以外其他用于教育方面的支出。</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.社会保障和就业支出（类）行政事业单位离退休（款）机关事业单位基本养老保险缴费支出（项）: 指机关事业单位实施养老保险制度由单位缴纳的基本养老保险费支出。</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.社会保障和就业支出（类）行政事业单位离退休（款）机关事业单位职业年金缴费支出（项）: 指机关事业单位实施养老保险制度由单位实际缴纳的职业年金支出。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hint="eastAsia" w:ascii="仿宋_GB2312" w:eastAsia="仿宋_GB2312"/>
          <w:color w:val="auto"/>
          <w:sz w:val="32"/>
          <w:szCs w:val="32"/>
        </w:rPr>
        <w:t>.社会保障和就业支出（类）抚恤（款）死亡抚恤（项）:指按规定用于烈士和牺牲、病故人员家属的一次性和定期抚恤金以及丧葬补助费。</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16</w:t>
      </w:r>
      <w:r>
        <w:rPr>
          <w:rFonts w:hint="eastAsia" w:ascii="仿宋_GB2312" w:eastAsia="仿宋_GB2312"/>
          <w:color w:val="auto"/>
          <w:sz w:val="32"/>
          <w:szCs w:val="32"/>
        </w:rPr>
        <w:t>.医疗卫生与计划生育（类）行政事业单位医疗（款）事业单位医疗（项）: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hint="eastAsia" w:ascii="仿宋_GB2312" w:eastAsia="仿宋_GB2312"/>
          <w:color w:val="auto"/>
          <w:sz w:val="32"/>
          <w:szCs w:val="32"/>
        </w:rPr>
        <w:t>.住房保障支出（类）住房改革支出（款）住房公积金（项）:指行政事业单位按人力资源和社会保障部、财政部规定的基本工资和津贴补贴以及规定比例为职工缴纳的住房公积金。</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hint="eastAsia" w:ascii="仿宋_GB2312" w:eastAsia="仿宋_GB2312"/>
          <w:color w:val="auto"/>
          <w:sz w:val="32"/>
          <w:szCs w:val="32"/>
        </w:rPr>
        <w:t>.其他支出（类）其他支出（款）其他支出（项）: 指上述项目以外其他不能划分到具体功能科目中的支出项目。</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19</w:t>
      </w:r>
      <w:r>
        <w:rPr>
          <w:rFonts w:hint="eastAsia" w:ascii="仿宋_GB2312" w:eastAsia="仿宋_GB2312"/>
          <w:color w:val="auto"/>
          <w:sz w:val="32"/>
          <w:szCs w:val="32"/>
        </w:rPr>
        <w:t>.基本支出：指为保障机构正常运转、完成日常工作任务而发生的人员支出和公用支出。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20</w:t>
      </w:r>
      <w:r>
        <w:rPr>
          <w:rFonts w:hint="eastAsia" w:ascii="仿宋_GB2312" w:eastAsia="仿宋_GB2312"/>
          <w:color w:val="auto"/>
          <w:sz w:val="32"/>
          <w:szCs w:val="32"/>
        </w:rPr>
        <w:t xml:space="preserve">.项目支出：指在基本支出之外为完成特定行政任务和事业发展目标所发生的支出。 </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3" w:firstLineChars="200"/>
        <w:rPr>
          <w:rFonts w:ascii="仿宋" w:hAnsi="仿宋" w:eastAsia="仿宋"/>
          <w:b/>
          <w:sz w:val="32"/>
          <w:szCs w:val="32"/>
        </w:rPr>
      </w:pPr>
    </w:p>
    <w:p>
      <w:pPr>
        <w:spacing w:line="600" w:lineRule="exact"/>
        <w:outlineLvl w:val="0"/>
        <w:rPr>
          <w:rFonts w:hint="eastAsia" w:ascii="仿宋" w:hAnsi="仿宋" w:eastAsia="仿宋" w:cs="仿宋"/>
          <w:b/>
          <w:bCs/>
          <w:sz w:val="44"/>
          <w:szCs w:val="44"/>
          <w:lang w:eastAsia="zh-CN"/>
        </w:rPr>
      </w:pPr>
    </w:p>
    <w:p>
      <w:pPr>
        <w:spacing w:line="600" w:lineRule="exact"/>
        <w:outlineLvl w:val="0"/>
        <w:rPr>
          <w:rFonts w:hint="eastAsia" w:ascii="仿宋" w:hAnsi="仿宋" w:eastAsia="仿宋" w:cs="仿宋"/>
          <w:b/>
          <w:bCs/>
          <w:sz w:val="44"/>
          <w:szCs w:val="44"/>
          <w:lang w:eastAsia="zh-CN"/>
        </w:rPr>
      </w:pPr>
    </w:p>
    <w:p>
      <w:pPr>
        <w:spacing w:line="600" w:lineRule="exact"/>
        <w:outlineLvl w:val="0"/>
        <w:rPr>
          <w:rFonts w:hint="eastAsia" w:ascii="仿宋" w:hAnsi="仿宋" w:eastAsia="仿宋" w:cs="仿宋"/>
          <w:b/>
          <w:bCs/>
          <w:sz w:val="44"/>
          <w:szCs w:val="44"/>
          <w:lang w:eastAsia="zh-CN"/>
        </w:rPr>
      </w:pPr>
    </w:p>
    <w:p>
      <w:pPr>
        <w:spacing w:line="600" w:lineRule="exact"/>
        <w:outlineLvl w:val="0"/>
        <w:rPr>
          <w:rFonts w:hint="eastAsia" w:ascii="仿宋" w:hAnsi="仿宋" w:eastAsia="仿宋" w:cs="仿宋"/>
          <w:b/>
          <w:bCs/>
          <w:sz w:val="44"/>
          <w:szCs w:val="44"/>
          <w:lang w:eastAsia="zh-CN"/>
        </w:rPr>
      </w:pPr>
    </w:p>
    <w:p>
      <w:pPr>
        <w:spacing w:line="600" w:lineRule="exact"/>
        <w:outlineLvl w:val="0"/>
        <w:rPr>
          <w:rFonts w:hint="eastAsia" w:ascii="仿宋" w:hAnsi="仿宋" w:eastAsia="仿宋" w:cs="仿宋"/>
          <w:b/>
          <w:bCs/>
          <w:sz w:val="44"/>
          <w:szCs w:val="44"/>
          <w:lang w:eastAsia="zh-CN"/>
        </w:rPr>
      </w:pPr>
    </w:p>
    <w:p>
      <w:pPr>
        <w:spacing w:line="600" w:lineRule="exact"/>
        <w:outlineLvl w:val="0"/>
        <w:rPr>
          <w:rFonts w:hint="eastAsia" w:ascii="仿宋" w:hAnsi="仿宋" w:eastAsia="仿宋" w:cs="仿宋"/>
          <w:b/>
          <w:bCs/>
          <w:sz w:val="44"/>
          <w:szCs w:val="44"/>
          <w:lang w:eastAsia="zh-CN"/>
        </w:rPr>
      </w:pPr>
    </w:p>
    <w:p>
      <w:pPr>
        <w:spacing w:line="600" w:lineRule="exact"/>
        <w:outlineLvl w:val="0"/>
        <w:rPr>
          <w:rFonts w:hint="eastAsia" w:ascii="仿宋" w:hAnsi="仿宋" w:eastAsia="仿宋" w:cs="仿宋"/>
          <w:b/>
          <w:bCs/>
          <w:sz w:val="44"/>
          <w:szCs w:val="44"/>
          <w:lang w:eastAsia="zh-CN"/>
        </w:rPr>
      </w:pPr>
    </w:p>
    <w:p>
      <w:pPr>
        <w:spacing w:line="600" w:lineRule="exact"/>
        <w:outlineLvl w:val="0"/>
        <w:rPr>
          <w:rFonts w:hint="eastAsia" w:ascii="仿宋" w:hAnsi="仿宋" w:eastAsia="仿宋" w:cs="仿宋"/>
          <w:b/>
          <w:bCs/>
          <w:sz w:val="44"/>
          <w:szCs w:val="44"/>
          <w:lang w:eastAsia="zh-CN"/>
        </w:rPr>
      </w:pPr>
    </w:p>
    <w:p>
      <w:pPr>
        <w:spacing w:line="600" w:lineRule="exact"/>
        <w:outlineLvl w:val="0"/>
        <w:rPr>
          <w:rFonts w:hint="eastAsia" w:ascii="仿宋" w:hAnsi="仿宋" w:eastAsia="仿宋" w:cs="仿宋"/>
          <w:b/>
          <w:bCs/>
          <w:sz w:val="44"/>
          <w:szCs w:val="44"/>
          <w:lang w:eastAsia="zh-CN"/>
        </w:rPr>
      </w:pPr>
    </w:p>
    <w:p>
      <w:pPr>
        <w:spacing w:line="600" w:lineRule="exact"/>
        <w:outlineLvl w:val="0"/>
        <w:rPr>
          <w:rFonts w:hint="eastAsia" w:ascii="仿宋" w:hAnsi="仿宋" w:eastAsia="仿宋" w:cs="仿宋"/>
          <w:b/>
          <w:bCs/>
          <w:sz w:val="44"/>
          <w:szCs w:val="44"/>
          <w:lang w:eastAsia="zh-CN"/>
        </w:rPr>
      </w:pPr>
    </w:p>
    <w:p>
      <w:pPr>
        <w:spacing w:line="600" w:lineRule="exact"/>
        <w:outlineLvl w:val="0"/>
        <w:rPr>
          <w:rFonts w:hint="eastAsia" w:ascii="仿宋" w:hAnsi="仿宋" w:eastAsia="仿宋" w:cs="仿宋"/>
          <w:b/>
          <w:bCs/>
          <w:sz w:val="44"/>
          <w:szCs w:val="44"/>
          <w:lang w:eastAsia="zh-CN"/>
        </w:rPr>
      </w:pPr>
    </w:p>
    <w:p>
      <w:pPr>
        <w:spacing w:line="600" w:lineRule="exact"/>
        <w:outlineLvl w:val="0"/>
        <w:rPr>
          <w:rFonts w:hint="eastAsia" w:ascii="仿宋" w:hAnsi="仿宋" w:eastAsia="仿宋" w:cs="仿宋"/>
          <w:b/>
          <w:bCs/>
          <w:sz w:val="44"/>
          <w:szCs w:val="44"/>
          <w:lang w:eastAsia="zh-CN"/>
        </w:rPr>
      </w:pPr>
    </w:p>
    <w:p>
      <w:pPr>
        <w:spacing w:line="600" w:lineRule="exact"/>
        <w:outlineLvl w:val="0"/>
        <w:rPr>
          <w:rFonts w:hint="eastAsia" w:ascii="仿宋" w:hAnsi="仿宋" w:eastAsia="仿宋" w:cs="仿宋"/>
          <w:b/>
          <w:bCs/>
          <w:sz w:val="44"/>
          <w:szCs w:val="44"/>
          <w:lang w:eastAsia="zh-CN"/>
        </w:rPr>
      </w:pPr>
    </w:p>
    <w:p>
      <w:pPr>
        <w:spacing w:line="600" w:lineRule="exact"/>
        <w:outlineLvl w:val="0"/>
        <w:rPr>
          <w:rFonts w:hint="eastAsia" w:ascii="仿宋" w:hAnsi="仿宋" w:eastAsia="仿宋" w:cs="仿宋"/>
          <w:b/>
          <w:bCs/>
          <w:sz w:val="44"/>
          <w:szCs w:val="44"/>
          <w:lang w:eastAsia="zh-CN"/>
        </w:rPr>
      </w:pPr>
    </w:p>
    <w:p>
      <w:pPr>
        <w:spacing w:line="600" w:lineRule="exact"/>
        <w:outlineLvl w:val="0"/>
        <w:rPr>
          <w:rFonts w:hint="eastAsia" w:ascii="仿宋" w:hAnsi="仿宋" w:eastAsia="仿宋" w:cs="仿宋"/>
          <w:b/>
          <w:bCs/>
          <w:sz w:val="44"/>
          <w:szCs w:val="44"/>
          <w:lang w:eastAsia="zh-CN"/>
        </w:rPr>
      </w:pPr>
    </w:p>
    <w:p>
      <w:pPr>
        <w:spacing w:line="600" w:lineRule="exact"/>
        <w:outlineLvl w:val="0"/>
        <w:rPr>
          <w:rFonts w:hint="eastAsia" w:ascii="仿宋" w:hAnsi="仿宋" w:eastAsia="仿宋" w:cs="仿宋"/>
          <w:b/>
          <w:bCs/>
          <w:sz w:val="44"/>
          <w:szCs w:val="44"/>
          <w:lang w:eastAsia="zh-CN"/>
        </w:rPr>
      </w:pPr>
    </w:p>
    <w:p>
      <w:pPr>
        <w:spacing w:line="600" w:lineRule="exact"/>
        <w:outlineLvl w:val="0"/>
        <w:rPr>
          <w:rFonts w:hint="eastAsia" w:ascii="仿宋" w:hAnsi="仿宋" w:eastAsia="仿宋" w:cs="仿宋"/>
          <w:b/>
          <w:bCs/>
          <w:sz w:val="44"/>
          <w:szCs w:val="44"/>
          <w:lang w:eastAsia="zh-CN"/>
        </w:rPr>
      </w:pPr>
    </w:p>
    <w:p>
      <w:pPr>
        <w:spacing w:line="600" w:lineRule="exact"/>
        <w:outlineLvl w:val="0"/>
        <w:rPr>
          <w:rFonts w:hint="eastAsia" w:ascii="仿宋" w:hAnsi="仿宋" w:eastAsia="仿宋" w:cs="仿宋"/>
          <w:b/>
          <w:bCs/>
          <w:sz w:val="44"/>
          <w:szCs w:val="44"/>
          <w:lang w:eastAsia="zh-CN"/>
        </w:rPr>
      </w:pPr>
    </w:p>
    <w:p>
      <w:pPr>
        <w:spacing w:line="600" w:lineRule="exact"/>
        <w:jc w:val="center"/>
        <w:outlineLvl w:val="0"/>
        <w:rPr>
          <w:rFonts w:hint="eastAsia" w:ascii="黑体" w:hAnsi="黑体" w:eastAsia="黑体"/>
          <w:sz w:val="44"/>
          <w:szCs w:val="44"/>
        </w:rPr>
      </w:pPr>
      <w:r>
        <w:rPr>
          <w:rFonts w:hint="eastAsia" w:ascii="黑体" w:hAnsi="黑体" w:eastAsia="黑体"/>
          <w:sz w:val="44"/>
          <w:szCs w:val="44"/>
        </w:rPr>
        <w:t>第四部分  附件</w:t>
      </w:r>
    </w:p>
    <w:p>
      <w:pPr>
        <w:spacing w:line="600" w:lineRule="exact"/>
        <w:jc w:val="center"/>
        <w:outlineLvl w:val="0"/>
        <w:rPr>
          <w:rFonts w:ascii="黑体" w:hAnsi="黑体" w:eastAsia="黑体"/>
          <w:sz w:val="44"/>
          <w:szCs w:val="44"/>
        </w:rPr>
      </w:pPr>
    </w:p>
    <w:p>
      <w:pPr>
        <w:spacing w:line="600" w:lineRule="exact"/>
        <w:ind w:firstLine="640" w:firstLineChars="200"/>
        <w:jc w:val="left"/>
        <w:outlineLvl w:val="0"/>
        <w:rPr>
          <w:rFonts w:hint="eastAsia" w:ascii="宋体" w:hAnsi="宋体" w:eastAsia="宋体" w:cs="宋体"/>
          <w:color w:val="auto"/>
          <w:kern w:val="0"/>
          <w:sz w:val="32"/>
          <w:szCs w:val="32"/>
          <w:highlight w:val="none"/>
          <w:lang w:val="en-US" w:eastAsia="zh-CN" w:bidi="ar-SA"/>
        </w:rPr>
      </w:pPr>
      <w:r>
        <w:rPr>
          <w:rFonts w:hint="eastAsia" w:ascii="宋体" w:hAnsi="宋体" w:cs="宋体"/>
          <w:color w:val="auto"/>
          <w:kern w:val="0"/>
          <w:sz w:val="32"/>
          <w:szCs w:val="32"/>
          <w:highlight w:val="none"/>
          <w:lang w:val="en-US" w:eastAsia="zh-CN" w:bidi="ar-SA"/>
        </w:rPr>
        <w:t>附件：广元市利州区金洞小学</w:t>
      </w:r>
      <w:r>
        <w:rPr>
          <w:rFonts w:hint="eastAsia" w:ascii="宋体" w:hAnsi="宋体" w:eastAsia="宋体" w:cs="宋体"/>
          <w:color w:val="auto"/>
          <w:kern w:val="0"/>
          <w:sz w:val="32"/>
          <w:szCs w:val="32"/>
          <w:highlight w:val="none"/>
          <w:lang w:val="en-US" w:eastAsia="zh-CN" w:bidi="ar-SA"/>
        </w:rPr>
        <w:t>2022年度部门预算项目支出绩效自评表</w:t>
      </w: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numPr>
          <w:ilvl w:val="0"/>
          <w:numId w:val="3"/>
        </w:numPr>
        <w:spacing w:line="240" w:lineRule="auto"/>
        <w:jc w:val="center"/>
        <w:outlineLvl w:val="0"/>
        <w:rPr>
          <w:rStyle w:val="26"/>
          <w:rFonts w:hint="eastAsia" w:ascii="黑体" w:hAnsi="黑体" w:eastAsia="黑体"/>
          <w:b w:val="0"/>
        </w:rPr>
      </w:pPr>
      <w:r>
        <w:rPr>
          <w:rStyle w:val="26"/>
          <w:rFonts w:hint="eastAsia" w:ascii="黑体" w:hAnsi="黑体" w:eastAsia="黑体"/>
          <w:b w:val="0"/>
        </w:rPr>
        <w:t>附表</w:t>
      </w:r>
      <w:bookmarkStart w:id="79" w:name="_Toc15396619"/>
    </w:p>
    <w:p>
      <w:pPr>
        <w:pStyle w:val="3"/>
        <w:spacing w:before="0" w:after="0" w:line="240" w:lineRule="auto"/>
        <w:rPr>
          <w:rFonts w:hint="eastAsia" w:ascii="仿宋" w:hAnsi="仿宋" w:eastAsia="仿宋"/>
          <w:b w:val="0"/>
        </w:rPr>
      </w:pPr>
      <w:r>
        <w:rPr>
          <w:rFonts w:hint="eastAsia" w:ascii="仿宋" w:hAnsi="仿宋" w:eastAsia="仿宋"/>
          <w:b w:val="0"/>
        </w:rPr>
        <w:t>一、收入支出决算总表</w:t>
      </w:r>
      <w:bookmarkEnd w:id="79"/>
    </w:p>
    <w:p>
      <w:pPr>
        <w:pStyle w:val="3"/>
        <w:rPr>
          <w:rFonts w:ascii="仿宋" w:hAnsi="仿宋" w:eastAsia="仿宋"/>
        </w:rPr>
      </w:pPr>
      <w:r>
        <w:rPr>
          <w:rFonts w:hint="eastAsia" w:ascii="仿宋" w:hAnsi="仿宋" w:eastAsia="仿宋"/>
          <w:b w:val="0"/>
        </w:rPr>
        <w:t>二、收</w:t>
      </w:r>
      <w:r>
        <w:rPr>
          <w:rStyle w:val="27"/>
          <w:rFonts w:hint="eastAsia" w:ascii="仿宋" w:hAnsi="仿宋" w:eastAsia="仿宋"/>
          <w:b w:val="0"/>
          <w:bCs w:val="0"/>
        </w:rPr>
        <w:t>入决算表</w:t>
      </w:r>
    </w:p>
    <w:p>
      <w:pPr>
        <w:pStyle w:val="3"/>
        <w:rPr>
          <w:rFonts w:ascii="仿宋" w:hAnsi="仿宋" w:eastAsia="仿宋"/>
        </w:rPr>
      </w:pPr>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p>
    <w:p>
      <w:pPr>
        <w:pStyle w:val="3"/>
        <w:rPr>
          <w:rFonts w:ascii="仿宋" w:hAnsi="仿宋" w:eastAsia="仿宋"/>
          <w:b w:val="0"/>
        </w:rPr>
      </w:pPr>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p>
    <w:p>
      <w:pPr>
        <w:pStyle w:val="3"/>
        <w:rPr>
          <w:rStyle w:val="27"/>
          <w:rFonts w:ascii="仿宋" w:hAnsi="仿宋" w:eastAsia="仿宋"/>
          <w:b w:val="0"/>
          <w:bCs w:val="0"/>
        </w:rPr>
      </w:pPr>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p>
    <w:p>
      <w:pPr>
        <w:pStyle w:val="3"/>
        <w:rPr>
          <w:rFonts w:ascii="仿宋" w:hAnsi="仿宋" w:eastAsia="仿宋"/>
        </w:rPr>
      </w:pPr>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p>
    <w:p>
      <w:pPr>
        <w:pStyle w:val="3"/>
        <w:rPr>
          <w:rFonts w:ascii="仿宋" w:hAnsi="仿宋" w:eastAsia="仿宋"/>
        </w:rPr>
      </w:pPr>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p>
    <w:p>
      <w:pPr>
        <w:pStyle w:val="3"/>
        <w:rPr>
          <w:rFonts w:ascii="仿宋" w:hAnsi="仿宋" w:eastAsia="仿宋"/>
        </w:rPr>
      </w:pPr>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p>
    <w:p>
      <w:pPr>
        <w:pStyle w:val="3"/>
        <w:rPr>
          <w:rFonts w:ascii="仿宋" w:hAnsi="仿宋" w:eastAsia="仿宋"/>
        </w:rPr>
      </w:pPr>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p>
    <w:p>
      <w:pPr>
        <w:pStyle w:val="3"/>
        <w:rPr>
          <w:rFonts w:ascii="仿宋" w:hAnsi="仿宋" w:eastAsia="仿宋"/>
        </w:rPr>
      </w:pPr>
      <w:r>
        <w:rPr>
          <w:rStyle w:val="27"/>
          <w:rFonts w:hint="eastAsia" w:ascii="仿宋" w:hAnsi="仿宋" w:eastAsia="仿宋"/>
          <w:b w:val="0"/>
          <w:bCs w:val="0"/>
        </w:rPr>
        <w:t>十、</w:t>
      </w:r>
      <w:r>
        <w:rPr>
          <w:rFonts w:hint="eastAsia" w:ascii="仿宋" w:hAnsi="仿宋" w:eastAsia="仿宋"/>
          <w:b w:val="0"/>
        </w:rPr>
        <w:t>政</w:t>
      </w:r>
      <w:r>
        <w:rPr>
          <w:rStyle w:val="27"/>
          <w:rFonts w:hint="eastAsia" w:ascii="仿宋" w:hAnsi="仿宋" w:eastAsia="仿宋"/>
          <w:b w:val="0"/>
          <w:bCs w:val="0"/>
        </w:rPr>
        <w:t>府性基金预算财政拨款收入支出决算表</w:t>
      </w:r>
    </w:p>
    <w:p>
      <w:pPr>
        <w:pStyle w:val="3"/>
        <w:rPr>
          <w:rFonts w:ascii="仿宋" w:hAnsi="仿宋" w:eastAsia="仿宋"/>
        </w:rPr>
      </w:pPr>
      <w:r>
        <w:rPr>
          <w:rStyle w:val="27"/>
          <w:rFonts w:hint="eastAsia" w:ascii="仿宋" w:hAnsi="仿宋" w:eastAsia="仿宋"/>
          <w:b w:val="0"/>
          <w:bCs w:val="0"/>
        </w:rPr>
        <w:t>十一、</w:t>
      </w:r>
      <w:r>
        <w:rPr>
          <w:rFonts w:hint="eastAsia" w:ascii="仿宋" w:hAnsi="仿宋" w:eastAsia="仿宋"/>
          <w:b w:val="0"/>
        </w:rPr>
        <w:t>国</w:t>
      </w:r>
      <w:r>
        <w:rPr>
          <w:rStyle w:val="27"/>
          <w:rFonts w:hint="eastAsia" w:ascii="仿宋" w:hAnsi="仿宋" w:eastAsia="仿宋"/>
          <w:b w:val="0"/>
          <w:bCs w:val="0"/>
        </w:rPr>
        <w:t>有资本经营预算财政拨款收入支出决算表</w:t>
      </w:r>
    </w:p>
    <w:p>
      <w:pPr>
        <w:pStyle w:val="3"/>
        <w:rPr>
          <w:rFonts w:ascii="仿宋" w:hAnsi="仿宋" w:eastAsia="仿宋"/>
        </w:rPr>
      </w:pPr>
      <w:r>
        <w:rPr>
          <w:rStyle w:val="27"/>
          <w:rFonts w:hint="eastAsia" w:ascii="仿宋" w:hAnsi="仿宋" w:eastAsia="仿宋"/>
          <w:b w:val="0"/>
          <w:bCs w:val="0"/>
        </w:rPr>
        <w:t>十二、国有资本经营预算财政拨款支出决算表</w:t>
      </w:r>
    </w:p>
    <w:p>
      <w:pPr>
        <w:pStyle w:val="3"/>
        <w:rPr>
          <w:rFonts w:eastAsia="仿宋"/>
        </w:rPr>
      </w:pPr>
      <w:r>
        <w:rPr>
          <w:rStyle w:val="27"/>
          <w:rFonts w:hint="eastAsia" w:ascii="仿宋" w:hAnsi="仿宋" w:eastAsia="仿宋"/>
          <w:b w:val="0"/>
          <w:bCs w:val="0"/>
        </w:rPr>
        <w:t>十三、财政拨款“三公”经费支出决算表</w:t>
      </w:r>
    </w:p>
    <w:p>
      <w:pPr>
        <w:pStyle w:val="5"/>
        <w:spacing w:before="93"/>
        <w:rPr>
          <w:lang w:val="zh-CN"/>
        </w:rPr>
      </w:pPr>
    </w:p>
    <w:sectPr>
      <w:footerReference r:id="rId5" w:type="default"/>
      <w:pgSz w:w="11906" w:h="16838"/>
      <w:pgMar w:top="1701" w:right="1474" w:bottom="1701" w:left="1587" w:header="851" w:footer="130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1025" o:spid="_x0000_s1025" o:spt="202" type="#_x0000_t202" style="position:absolute;left:0pt;margin-top:0pt;height:18pt;width:144pt;mso-position-horizontal:center;mso-position-horizontal-relative:margin;mso-wrap-style:none;z-index:251663360;mso-width-relative:page;mso-height-relative:page;" filled="f" stroked="f" coordsize="21600,21600">
          <v:path/>
          <v:fill on="f" focussize="0,0"/>
          <v:stroke on="f" weight="0.5pt" joinstyle="miter"/>
          <v:imagedata o:title=""/>
          <o:lock v:ext="edit"/>
          <v:textbox inset="0mm,0mm,0mm,0mm">
            <w:txbxContent>
              <w:sdt>
                <w:sdtPr>
                  <w:rPr>
                    <w:rFonts w:hint="eastAsia" w:ascii="宋体" w:hAnsi="宋体" w:cs="宋体"/>
                    <w:sz w:val="24"/>
                    <w:szCs w:val="24"/>
                  </w:rPr>
                  <w:id w:val="-1994781956"/>
                </w:sdtPr>
                <w:sdtEndPr>
                  <w:rPr>
                    <w:rFonts w:hint="eastAsia" w:ascii="宋体" w:hAnsi="宋体" w:cs="宋体"/>
                    <w:sz w:val="24"/>
                    <w:szCs w:val="24"/>
                  </w:rPr>
                </w:sdtEndPr>
                <w:sdtContent>
                  <w:p>
                    <w:pPr>
                      <w:pStyle w:val="8"/>
                      <w:jc w:val="cente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PAGE   \* MERGEFORMAT</w:instrText>
                    </w:r>
                    <w:r>
                      <w:rPr>
                        <w:rFonts w:hint="eastAsia" w:ascii="宋体" w:hAnsi="宋体" w:cs="宋体"/>
                        <w:sz w:val="24"/>
                        <w:szCs w:val="24"/>
                      </w:rPr>
                      <w:fldChar w:fldCharType="separate"/>
                    </w:r>
                    <w:r>
                      <w:rPr>
                        <w:rFonts w:ascii="宋体" w:hAnsi="宋体" w:cs="宋体"/>
                        <w:sz w:val="24"/>
                        <w:szCs w:val="24"/>
                        <w:lang w:val="zh-CN"/>
                      </w:rPr>
                      <w:t>3</w:t>
                    </w:r>
                    <w:r>
                      <w:rPr>
                        <w:rFonts w:hint="eastAsia" w:ascii="宋体" w:hAnsi="宋体" w:cs="宋体"/>
                        <w:sz w:val="24"/>
                        <w:szCs w:val="24"/>
                      </w:rPr>
                      <w:fldChar w:fldCharType="end"/>
                    </w:r>
                    <w:r>
                      <w:rPr>
                        <w:rFonts w:hint="eastAsia" w:ascii="宋体" w:hAnsi="宋体" w:cs="宋体"/>
                        <w:sz w:val="24"/>
                        <w:szCs w:val="24"/>
                      </w:rPr>
                      <w:t xml:space="preserve"> —</w:t>
                    </w:r>
                  </w:p>
                </w:sdtContent>
              </w:sdt>
              <w:p>
                <w:pPr>
                  <w:pStyle w:val="5"/>
                  <w:spacing w:before="72"/>
                  <w:rPr>
                    <w:rFonts w:ascii="宋体" w:hAnsi="宋体" w:eastAsia="宋体" w:cs="宋体"/>
                    <w:sz w:val="24"/>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09D0E260"/>
    <w:multiLevelType w:val="singleLevel"/>
    <w:tmpl w:val="09D0E260"/>
    <w:lvl w:ilvl="0" w:tentative="0">
      <w:start w:val="5"/>
      <w:numFmt w:val="chineseCounting"/>
      <w:suff w:val="space"/>
      <w:lvlText w:val="第%1部分"/>
      <w:lvlJc w:val="left"/>
      <w:rPr>
        <w:rFonts w:hint="eastAsia"/>
      </w:rPr>
    </w:lvl>
  </w:abstractNum>
  <w:abstractNum w:abstractNumId="2">
    <w:nsid w:val="64B15A45"/>
    <w:multiLevelType w:val="singleLevel"/>
    <w:tmpl w:val="64B15A4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gwZjE2MDM5MWVmMzBhZGFmZGYwOTEzZDZiYWIyZmIifQ=="/>
  </w:docVars>
  <w:rsids>
    <w:rsidRoot w:val="00F1361C"/>
    <w:rsid w:val="00011098"/>
    <w:rsid w:val="000222C6"/>
    <w:rsid w:val="0002295B"/>
    <w:rsid w:val="00022CFD"/>
    <w:rsid w:val="0002549F"/>
    <w:rsid w:val="000468DB"/>
    <w:rsid w:val="00054096"/>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455"/>
    <w:rsid w:val="00114E9B"/>
    <w:rsid w:val="001320E9"/>
    <w:rsid w:val="00142216"/>
    <w:rsid w:val="00144D6A"/>
    <w:rsid w:val="0014729F"/>
    <w:rsid w:val="00157BAB"/>
    <w:rsid w:val="001654D1"/>
    <w:rsid w:val="00174518"/>
    <w:rsid w:val="00174C5B"/>
    <w:rsid w:val="00175F7A"/>
    <w:rsid w:val="0018106D"/>
    <w:rsid w:val="001877A7"/>
    <w:rsid w:val="00191536"/>
    <w:rsid w:val="00192069"/>
    <w:rsid w:val="00196687"/>
    <w:rsid w:val="001C0962"/>
    <w:rsid w:val="001D7531"/>
    <w:rsid w:val="001E737D"/>
    <w:rsid w:val="001F0592"/>
    <w:rsid w:val="001F7506"/>
    <w:rsid w:val="002006CD"/>
    <w:rsid w:val="00202B36"/>
    <w:rsid w:val="00204B7A"/>
    <w:rsid w:val="00204CDE"/>
    <w:rsid w:val="0021101A"/>
    <w:rsid w:val="00220536"/>
    <w:rsid w:val="00235629"/>
    <w:rsid w:val="00240700"/>
    <w:rsid w:val="00240A49"/>
    <w:rsid w:val="002418E5"/>
    <w:rsid w:val="00260C38"/>
    <w:rsid w:val="002616C0"/>
    <w:rsid w:val="00262291"/>
    <w:rsid w:val="00265372"/>
    <w:rsid w:val="002662AA"/>
    <w:rsid w:val="00280496"/>
    <w:rsid w:val="00294DC9"/>
    <w:rsid w:val="00295447"/>
    <w:rsid w:val="00295495"/>
    <w:rsid w:val="002A31DE"/>
    <w:rsid w:val="002B2613"/>
    <w:rsid w:val="002D6D05"/>
    <w:rsid w:val="002F0903"/>
    <w:rsid w:val="002F1818"/>
    <w:rsid w:val="002F567B"/>
    <w:rsid w:val="003216A9"/>
    <w:rsid w:val="00332E90"/>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A4B"/>
    <w:rsid w:val="003E6F55"/>
    <w:rsid w:val="00406254"/>
    <w:rsid w:val="004223DE"/>
    <w:rsid w:val="00434489"/>
    <w:rsid w:val="00437085"/>
    <w:rsid w:val="00443880"/>
    <w:rsid w:val="004464F4"/>
    <w:rsid w:val="00471401"/>
    <w:rsid w:val="00473F31"/>
    <w:rsid w:val="00480947"/>
    <w:rsid w:val="0048263A"/>
    <w:rsid w:val="00487E5D"/>
    <w:rsid w:val="004A711F"/>
    <w:rsid w:val="004B199D"/>
    <w:rsid w:val="004B4690"/>
    <w:rsid w:val="004E0A2D"/>
    <w:rsid w:val="004E206B"/>
    <w:rsid w:val="004E6DF7"/>
    <w:rsid w:val="004F0FBD"/>
    <w:rsid w:val="00505A47"/>
    <w:rsid w:val="00510DC7"/>
    <w:rsid w:val="00512FDA"/>
    <w:rsid w:val="00520DA0"/>
    <w:rsid w:val="005664BB"/>
    <w:rsid w:val="00566FFA"/>
    <w:rsid w:val="0057481D"/>
    <w:rsid w:val="0058486E"/>
    <w:rsid w:val="00585B33"/>
    <w:rsid w:val="0059014D"/>
    <w:rsid w:val="005A3649"/>
    <w:rsid w:val="005B5C64"/>
    <w:rsid w:val="005C072C"/>
    <w:rsid w:val="005C5337"/>
    <w:rsid w:val="005C6BD0"/>
    <w:rsid w:val="005D1C8B"/>
    <w:rsid w:val="005D468D"/>
    <w:rsid w:val="005D5CED"/>
    <w:rsid w:val="005F1A4C"/>
    <w:rsid w:val="005F1EAB"/>
    <w:rsid w:val="00600623"/>
    <w:rsid w:val="00605688"/>
    <w:rsid w:val="006070AF"/>
    <w:rsid w:val="00607E6C"/>
    <w:rsid w:val="006101B1"/>
    <w:rsid w:val="00614E44"/>
    <w:rsid w:val="00615485"/>
    <w:rsid w:val="0061571E"/>
    <w:rsid w:val="0062270A"/>
    <w:rsid w:val="00622830"/>
    <w:rsid w:val="00623DA0"/>
    <w:rsid w:val="00630AEF"/>
    <w:rsid w:val="006325F8"/>
    <w:rsid w:val="00633463"/>
    <w:rsid w:val="00634C9A"/>
    <w:rsid w:val="006440E4"/>
    <w:rsid w:val="00652DD4"/>
    <w:rsid w:val="0066343B"/>
    <w:rsid w:val="00664777"/>
    <w:rsid w:val="006704A1"/>
    <w:rsid w:val="006748A4"/>
    <w:rsid w:val="00681A31"/>
    <w:rsid w:val="00683E73"/>
    <w:rsid w:val="006A3141"/>
    <w:rsid w:val="006A5E34"/>
    <w:rsid w:val="006B2422"/>
    <w:rsid w:val="006B2B9A"/>
    <w:rsid w:val="006C1937"/>
    <w:rsid w:val="006C2D89"/>
    <w:rsid w:val="006C458E"/>
    <w:rsid w:val="006F020C"/>
    <w:rsid w:val="007127B7"/>
    <w:rsid w:val="0071798E"/>
    <w:rsid w:val="00730D41"/>
    <w:rsid w:val="007416B6"/>
    <w:rsid w:val="00746F48"/>
    <w:rsid w:val="0075404D"/>
    <w:rsid w:val="0076182A"/>
    <w:rsid w:val="0076710A"/>
    <w:rsid w:val="00767B7E"/>
    <w:rsid w:val="007770C3"/>
    <w:rsid w:val="00784D24"/>
    <w:rsid w:val="00785FBA"/>
    <w:rsid w:val="00786E4A"/>
    <w:rsid w:val="007875EB"/>
    <w:rsid w:val="0079426B"/>
    <w:rsid w:val="007C4E39"/>
    <w:rsid w:val="007C5790"/>
    <w:rsid w:val="007D1682"/>
    <w:rsid w:val="007D312A"/>
    <w:rsid w:val="007D3F19"/>
    <w:rsid w:val="007E23B0"/>
    <w:rsid w:val="007E23E5"/>
    <w:rsid w:val="007E3F09"/>
    <w:rsid w:val="007F0D56"/>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1C52"/>
    <w:rsid w:val="008B768C"/>
    <w:rsid w:val="008C4DB1"/>
    <w:rsid w:val="008C4EAF"/>
    <w:rsid w:val="008C5176"/>
    <w:rsid w:val="008C7FD0"/>
    <w:rsid w:val="008E1DE7"/>
    <w:rsid w:val="008E707C"/>
    <w:rsid w:val="008F3F0C"/>
    <w:rsid w:val="00900B08"/>
    <w:rsid w:val="00902155"/>
    <w:rsid w:val="00902FA3"/>
    <w:rsid w:val="009050A7"/>
    <w:rsid w:val="00923564"/>
    <w:rsid w:val="0092392E"/>
    <w:rsid w:val="009315F9"/>
    <w:rsid w:val="00933499"/>
    <w:rsid w:val="00935C98"/>
    <w:rsid w:val="00943FC3"/>
    <w:rsid w:val="00946945"/>
    <w:rsid w:val="009500EA"/>
    <w:rsid w:val="00951248"/>
    <w:rsid w:val="0095152F"/>
    <w:rsid w:val="00954C49"/>
    <w:rsid w:val="00955E37"/>
    <w:rsid w:val="0097099F"/>
    <w:rsid w:val="00971997"/>
    <w:rsid w:val="00971FFC"/>
    <w:rsid w:val="0098660A"/>
    <w:rsid w:val="009931C3"/>
    <w:rsid w:val="009B2C43"/>
    <w:rsid w:val="009B4EAE"/>
    <w:rsid w:val="009B7573"/>
    <w:rsid w:val="009C0C4A"/>
    <w:rsid w:val="009C22F4"/>
    <w:rsid w:val="009C2A4B"/>
    <w:rsid w:val="009C2E98"/>
    <w:rsid w:val="009D3447"/>
    <w:rsid w:val="009D4711"/>
    <w:rsid w:val="009E2E19"/>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01B2"/>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15D"/>
    <w:rsid w:val="00B425E0"/>
    <w:rsid w:val="00B440AA"/>
    <w:rsid w:val="00B44B70"/>
    <w:rsid w:val="00B53C56"/>
    <w:rsid w:val="00B57DAF"/>
    <w:rsid w:val="00B74088"/>
    <w:rsid w:val="00B77EA6"/>
    <w:rsid w:val="00B81598"/>
    <w:rsid w:val="00B841F1"/>
    <w:rsid w:val="00B944D6"/>
    <w:rsid w:val="00BB4DF0"/>
    <w:rsid w:val="00BC289F"/>
    <w:rsid w:val="00BC2D50"/>
    <w:rsid w:val="00BC5361"/>
    <w:rsid w:val="00BC5460"/>
    <w:rsid w:val="00BC6B50"/>
    <w:rsid w:val="00BD0E25"/>
    <w:rsid w:val="00BF010E"/>
    <w:rsid w:val="00BF5BD6"/>
    <w:rsid w:val="00C000DE"/>
    <w:rsid w:val="00C03E31"/>
    <w:rsid w:val="00C160D2"/>
    <w:rsid w:val="00C33E72"/>
    <w:rsid w:val="00C354B2"/>
    <w:rsid w:val="00C35554"/>
    <w:rsid w:val="00C42709"/>
    <w:rsid w:val="00C533CC"/>
    <w:rsid w:val="00C5751C"/>
    <w:rsid w:val="00C6013A"/>
    <w:rsid w:val="00C61BFC"/>
    <w:rsid w:val="00C62B85"/>
    <w:rsid w:val="00C65438"/>
    <w:rsid w:val="00C82D81"/>
    <w:rsid w:val="00C83063"/>
    <w:rsid w:val="00C87FD8"/>
    <w:rsid w:val="00C91381"/>
    <w:rsid w:val="00C91CBB"/>
    <w:rsid w:val="00CB15FD"/>
    <w:rsid w:val="00CB1B79"/>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4E72"/>
    <w:rsid w:val="00D7035F"/>
    <w:rsid w:val="00DA5F98"/>
    <w:rsid w:val="00DA634F"/>
    <w:rsid w:val="00DA65AC"/>
    <w:rsid w:val="00DB01A2"/>
    <w:rsid w:val="00DB1913"/>
    <w:rsid w:val="00DB2824"/>
    <w:rsid w:val="00DB3C20"/>
    <w:rsid w:val="00DB604F"/>
    <w:rsid w:val="00DC410D"/>
    <w:rsid w:val="00DC5A81"/>
    <w:rsid w:val="00DC68CA"/>
    <w:rsid w:val="00DC7CBA"/>
    <w:rsid w:val="00DD73B7"/>
    <w:rsid w:val="00DE66B3"/>
    <w:rsid w:val="00DF28BC"/>
    <w:rsid w:val="00DF34B9"/>
    <w:rsid w:val="00E00538"/>
    <w:rsid w:val="00E01053"/>
    <w:rsid w:val="00E07ACF"/>
    <w:rsid w:val="00E24549"/>
    <w:rsid w:val="00E331A1"/>
    <w:rsid w:val="00E33202"/>
    <w:rsid w:val="00E336A9"/>
    <w:rsid w:val="00E3579B"/>
    <w:rsid w:val="00E472B1"/>
    <w:rsid w:val="00E50624"/>
    <w:rsid w:val="00E568DF"/>
    <w:rsid w:val="00E61F0B"/>
    <w:rsid w:val="00E64269"/>
    <w:rsid w:val="00E82267"/>
    <w:rsid w:val="00E853CE"/>
    <w:rsid w:val="00E85E21"/>
    <w:rsid w:val="00E867B6"/>
    <w:rsid w:val="00EA010F"/>
    <w:rsid w:val="00EA1041"/>
    <w:rsid w:val="00EC1DDE"/>
    <w:rsid w:val="00ED1B63"/>
    <w:rsid w:val="00ED3C1F"/>
    <w:rsid w:val="00ED4085"/>
    <w:rsid w:val="00ED420E"/>
    <w:rsid w:val="00ED6FBE"/>
    <w:rsid w:val="00EE232E"/>
    <w:rsid w:val="00EE2F57"/>
    <w:rsid w:val="00EE7D5A"/>
    <w:rsid w:val="00EF4C34"/>
    <w:rsid w:val="00EF77C6"/>
    <w:rsid w:val="00F05438"/>
    <w:rsid w:val="00F1361C"/>
    <w:rsid w:val="00F156F0"/>
    <w:rsid w:val="00F160C7"/>
    <w:rsid w:val="00F23131"/>
    <w:rsid w:val="00F2408F"/>
    <w:rsid w:val="00F240E9"/>
    <w:rsid w:val="00F36D8F"/>
    <w:rsid w:val="00F417B1"/>
    <w:rsid w:val="00F45853"/>
    <w:rsid w:val="00F602DF"/>
    <w:rsid w:val="00F754A1"/>
    <w:rsid w:val="00F81FD9"/>
    <w:rsid w:val="00F841AA"/>
    <w:rsid w:val="00F84A94"/>
    <w:rsid w:val="00F87E96"/>
    <w:rsid w:val="00FA23E8"/>
    <w:rsid w:val="00FA64E9"/>
    <w:rsid w:val="00FA70D3"/>
    <w:rsid w:val="00FD3CC1"/>
    <w:rsid w:val="00FD58C4"/>
    <w:rsid w:val="00FF1E02"/>
    <w:rsid w:val="00FF20CF"/>
    <w:rsid w:val="00FF30B4"/>
    <w:rsid w:val="00FF7200"/>
    <w:rsid w:val="010E34BC"/>
    <w:rsid w:val="02D16390"/>
    <w:rsid w:val="03AC55EF"/>
    <w:rsid w:val="061D6D0E"/>
    <w:rsid w:val="0A2032A3"/>
    <w:rsid w:val="0A393F15"/>
    <w:rsid w:val="0B8A37D8"/>
    <w:rsid w:val="0C6904DC"/>
    <w:rsid w:val="10C055FF"/>
    <w:rsid w:val="118107EC"/>
    <w:rsid w:val="11DD6519"/>
    <w:rsid w:val="14C96399"/>
    <w:rsid w:val="168E4293"/>
    <w:rsid w:val="16BB723D"/>
    <w:rsid w:val="171419D3"/>
    <w:rsid w:val="17C05B4C"/>
    <w:rsid w:val="18015F3F"/>
    <w:rsid w:val="18275905"/>
    <w:rsid w:val="1A3312F4"/>
    <w:rsid w:val="1B041CD2"/>
    <w:rsid w:val="1BE8440E"/>
    <w:rsid w:val="1D155CEE"/>
    <w:rsid w:val="1E2B14E5"/>
    <w:rsid w:val="20F57F95"/>
    <w:rsid w:val="21944F55"/>
    <w:rsid w:val="21A60C8E"/>
    <w:rsid w:val="21BD0168"/>
    <w:rsid w:val="22D507CE"/>
    <w:rsid w:val="23D700A4"/>
    <w:rsid w:val="23EF26A8"/>
    <w:rsid w:val="240371BF"/>
    <w:rsid w:val="25B83F05"/>
    <w:rsid w:val="25C741E6"/>
    <w:rsid w:val="277F41E4"/>
    <w:rsid w:val="27842671"/>
    <w:rsid w:val="27950575"/>
    <w:rsid w:val="27DD7DE7"/>
    <w:rsid w:val="28724840"/>
    <w:rsid w:val="29FD04D3"/>
    <w:rsid w:val="2A097C66"/>
    <w:rsid w:val="2A8F792B"/>
    <w:rsid w:val="2ABE7A3E"/>
    <w:rsid w:val="2C33078A"/>
    <w:rsid w:val="2C89076E"/>
    <w:rsid w:val="2DF74509"/>
    <w:rsid w:val="2EFA178C"/>
    <w:rsid w:val="30B46D73"/>
    <w:rsid w:val="31456F95"/>
    <w:rsid w:val="319F7F4E"/>
    <w:rsid w:val="324C7EAF"/>
    <w:rsid w:val="3466001A"/>
    <w:rsid w:val="34EE6F87"/>
    <w:rsid w:val="351367B3"/>
    <w:rsid w:val="3997458B"/>
    <w:rsid w:val="39AE70AB"/>
    <w:rsid w:val="39E60773"/>
    <w:rsid w:val="3C0C0783"/>
    <w:rsid w:val="3E6A2D2C"/>
    <w:rsid w:val="3E9C3F6D"/>
    <w:rsid w:val="3F9F3A96"/>
    <w:rsid w:val="41DB1250"/>
    <w:rsid w:val="420B38E3"/>
    <w:rsid w:val="45353093"/>
    <w:rsid w:val="47207D1E"/>
    <w:rsid w:val="47C71016"/>
    <w:rsid w:val="493C27E9"/>
    <w:rsid w:val="496F39ED"/>
    <w:rsid w:val="499B199C"/>
    <w:rsid w:val="49FF41D3"/>
    <w:rsid w:val="4BE068DB"/>
    <w:rsid w:val="4BF6002B"/>
    <w:rsid w:val="4CFA50FC"/>
    <w:rsid w:val="4D3E7CBD"/>
    <w:rsid w:val="4E8C4626"/>
    <w:rsid w:val="4E9E13F5"/>
    <w:rsid w:val="4ECE2238"/>
    <w:rsid w:val="4EDD5E1C"/>
    <w:rsid w:val="4F686676"/>
    <w:rsid w:val="517C7493"/>
    <w:rsid w:val="51B356E0"/>
    <w:rsid w:val="51DB4B86"/>
    <w:rsid w:val="538227E8"/>
    <w:rsid w:val="53F1045F"/>
    <w:rsid w:val="54122FDB"/>
    <w:rsid w:val="55333C3E"/>
    <w:rsid w:val="563A62EE"/>
    <w:rsid w:val="56FB4F43"/>
    <w:rsid w:val="57390294"/>
    <w:rsid w:val="57EB3E30"/>
    <w:rsid w:val="5850359A"/>
    <w:rsid w:val="593364A0"/>
    <w:rsid w:val="595E20F3"/>
    <w:rsid w:val="59A9272A"/>
    <w:rsid w:val="5C8E0D1B"/>
    <w:rsid w:val="5CB35466"/>
    <w:rsid w:val="60B56544"/>
    <w:rsid w:val="62150E68"/>
    <w:rsid w:val="639E6324"/>
    <w:rsid w:val="63AE18DE"/>
    <w:rsid w:val="647A4C53"/>
    <w:rsid w:val="64CA39A1"/>
    <w:rsid w:val="64E16127"/>
    <w:rsid w:val="6A1C2E07"/>
    <w:rsid w:val="6A2565B6"/>
    <w:rsid w:val="6AB41C2B"/>
    <w:rsid w:val="6C4A05C8"/>
    <w:rsid w:val="6E005A16"/>
    <w:rsid w:val="6ECD649B"/>
    <w:rsid w:val="6F871F4B"/>
    <w:rsid w:val="72734D90"/>
    <w:rsid w:val="737D6457"/>
    <w:rsid w:val="76BD6253"/>
    <w:rsid w:val="773C72BE"/>
    <w:rsid w:val="77EE068E"/>
    <w:rsid w:val="79E7B28D"/>
    <w:rsid w:val="79EE7E65"/>
    <w:rsid w:val="7BD227A0"/>
    <w:rsid w:val="7F392B36"/>
    <w:rsid w:val="7F9F20EE"/>
    <w:rsid w:val="7FAA0336"/>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0"/>
    <w:pPr>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7"/>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paragraph" w:customStyle="1" w:styleId="3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2">
    <w:name w:val="四号正文"/>
    <w:basedOn w:val="1"/>
    <w:qFormat/>
    <w:uiPriority w:val="0"/>
    <w:pPr>
      <w:spacing w:line="360" w:lineRule="auto"/>
    </w:pPr>
    <w:rPr>
      <w:rFonts w:ascii="??" w:hAnsi="??" w:eastAsia="Times New Roman"/>
      <w:color w:val="000000"/>
      <w:kern w:val="0"/>
      <w:sz w:val="28"/>
      <w:szCs w:val="21"/>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5">
    <w:name w:val="标题 2 Char1"/>
    <w:basedOn w:val="15"/>
    <w:link w:val="3"/>
    <w:qFormat/>
    <w:uiPriority w:val="9"/>
    <w:rPr>
      <w:rFonts w:asciiTheme="majorHAnsi" w:hAnsiTheme="majorHAnsi" w:eastAsiaTheme="majorEastAsia" w:cstheme="majorBidi"/>
      <w:b/>
      <w:bCs/>
      <w:kern w:val="2"/>
      <w:sz w:val="32"/>
      <w:szCs w:val="32"/>
    </w:rPr>
  </w:style>
  <w:style w:type="character" w:customStyle="1" w:styleId="36">
    <w:name w:val="标题 1 Char1"/>
    <w:basedOn w:val="15"/>
    <w:link w:val="2"/>
    <w:qFormat/>
    <w:uiPriority w:val="9"/>
    <w:rPr>
      <w:rFonts w:ascii="Times New Roman" w:hAnsi="Times New Roman"/>
      <w:b/>
      <w:bCs/>
      <w:kern w:val="44"/>
      <w:sz w:val="44"/>
      <w:szCs w:val="44"/>
    </w:rPr>
  </w:style>
  <w:style w:type="character" w:customStyle="1" w:styleId="37">
    <w:name w:val="标题 2 字符1"/>
    <w:qFormat/>
    <w:uiPriority w:val="9"/>
    <w:rPr>
      <w:rFonts w:ascii="Cambria" w:hAnsi="Cambria" w:eastAsia="宋体" w:cs="Times New Roman"/>
      <w:b/>
      <w:bCs/>
      <w:sz w:val="32"/>
      <w:szCs w:val="32"/>
    </w:rPr>
  </w:style>
  <w:style w:type="paragraph" w:customStyle="1" w:styleId="38">
    <w:name w:val="_Style 37"/>
    <w:basedOn w:val="1"/>
    <w:next w:val="25"/>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收、支决算总计</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363.9</c:v>
                </c:pt>
                <c:pt idx="1">
                  <c:v>346.47</c:v>
                </c:pt>
              </c:numCache>
            </c:numRef>
          </c:val>
        </c:ser>
        <c:dLbls>
          <c:showLegendKey val="0"/>
          <c:showVal val="1"/>
          <c:showCatName val="0"/>
          <c:showSerName val="0"/>
          <c:showPercent val="0"/>
          <c:showBubbleSize val="0"/>
        </c:dLbls>
        <c:gapWidth val="100"/>
        <c:axId val="77851648"/>
        <c:axId val="77853824"/>
      </c:barChart>
      <c:catAx>
        <c:axId val="778516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53824"/>
        <c:crosses val="autoZero"/>
        <c:auto val="1"/>
        <c:lblAlgn val="ctr"/>
        <c:lblOffset val="100"/>
        <c:noMultiLvlLbl val="0"/>
      </c:catAx>
      <c:valAx>
        <c:axId val="7785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516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收入额（万元）</c:v>
                </c:pt>
              </c:strCache>
            </c:strRef>
          </c:tx>
          <c:explosion val="0"/>
          <c:dPt>
            <c:idx val="0"/>
            <c:bubble3D val="0"/>
          </c:dPt>
          <c:dPt>
            <c:idx val="1"/>
            <c:bubble3D val="0"/>
          </c:dPt>
          <c:dPt>
            <c:idx val="2"/>
            <c:bubble3D val="0"/>
          </c:dPt>
          <c:dLbls>
            <c:dLbl>
              <c:idx val="0"/>
              <c:layout>
                <c:manualLayout>
                  <c:x val="0.0192631832410306"/>
                  <c:y val="-0.2376636455186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一般公共预算财政拨款收入
</a:t>
                    </a:r>
                    <a:r>
                      <a:rPr lang="en-US" altLang="zh-CN"/>
                      <a:t>299.53
99.84%</a:t>
                    </a:r>
                    <a:endParaRPr lang="en-US" altLang="zh-CN"/>
                  </a:p>
                </c:rich>
              </c:tx>
              <c:dLblPos val="outEnd"/>
              <c:showLegendKey val="0"/>
              <c:showVal val="1"/>
              <c:showCatName val="1"/>
              <c:showSerName val="0"/>
              <c:showPercent val="1"/>
              <c:showBubbleSize val="0"/>
              <c:extLst>
                <c:ext xmlns:c15="http://schemas.microsoft.com/office/drawing/2012/chart" uri="{CE6537A1-D6FC-4f65-9D91-7224C49458BB}">
                  <c15:layout/>
                </c:ext>
              </c:extLst>
            </c:dLbl>
            <c:dLbl>
              <c:idx val="1"/>
              <c:delete val="1"/>
            </c:dLbl>
            <c:dLbl>
              <c:idx val="2"/>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其它收入</c:v>
                </c:pt>
              </c:strCache>
            </c:strRef>
          </c:cat>
          <c:val>
            <c:numRef>
              <c:f>Sheet1!$B$2:$B$4</c:f>
              <c:numCache>
                <c:formatCode>General</c:formatCode>
                <c:ptCount val="3"/>
                <c:pt idx="0">
                  <c:v>299.53</c:v>
                </c:pt>
                <c:pt idx="1">
                  <c:v>0.28</c:v>
                </c:pt>
                <c:pt idx="2">
                  <c:v>0.21</c:v>
                </c:pt>
              </c:numCache>
            </c:numRef>
          </c:val>
        </c:ser>
        <c:ser>
          <c:idx val="1"/>
          <c:order val="1"/>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val>
            <c:numRef>
              <c:f>{1}</c:f>
              <c:numCache>
                <c:formatCode>General</c:formatCode>
                <c:ptCount val="1"/>
                <c:pt idx="0">
                  <c:v>1</c:v>
                </c:pt>
              </c:numCache>
            </c:numRef>
          </c:val>
        </c:ser>
        <c:dLbls>
          <c:showLegendKey val="0"/>
          <c:showVal val="1"/>
          <c:showCatName val="1"/>
          <c:showSerName val="0"/>
          <c:showPercent val="1"/>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0347932599029148"/>
                  <c:y val="-0.13321245089150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altLang="en-US"/>
                      <a:t>基本支出
</a:t>
                    </a:r>
                    <a:r>
                      <a:rPr lang="en-US" altLang="en-US"/>
                      <a:t>297.4</a:t>
                    </a:r>
                    <a:r>
                      <a:rPr altLang="en-US"/>
                      <a:t>
</a:t>
                    </a:r>
                    <a:r>
                      <a:rPr lang="en-US" altLang="en-US"/>
                      <a:t>85.8</a:t>
                    </a:r>
                    <a:r>
                      <a:rPr altLang="en-US"/>
                      <a:t>%</a:t>
                    </a:r>
                    <a:endParaRPr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390775398041688"/>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altLang="en-US"/>
                      <a:t>项目支出
</a:t>
                    </a:r>
                    <a:r>
                      <a:rPr lang="en-US" altLang="en-US"/>
                      <a:t>49.07</a:t>
                    </a:r>
                    <a:r>
                      <a:rPr altLang="en-US"/>
                      <a:t>
</a:t>
                    </a:r>
                    <a:r>
                      <a:rPr lang="en-US" altLang="en-US"/>
                      <a:t>14.2</a:t>
                    </a:r>
                    <a:r>
                      <a:rPr altLang="en-US"/>
                      <a:t>%</a:t>
                    </a:r>
                    <a:endParaRPr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304.09</c:v>
                </c:pt>
                <c:pt idx="1">
                  <c:v>13.36</c:v>
                </c:pt>
              </c:numCache>
            </c:numRef>
          </c:val>
        </c:ser>
        <c:dLbls>
          <c:showLegendKey val="0"/>
          <c:showVal val="1"/>
          <c:showCatName val="1"/>
          <c:showSerName val="0"/>
          <c:showPercent val="1"/>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2021</c:v>
                </c:pt>
                <c:pt idx="1">
                  <c:v>2022</c:v>
                </c:pt>
              </c:numCache>
            </c:numRef>
          </c:cat>
          <c:val>
            <c:numRef>
              <c:f>Sheet1!$B$2:$B$3</c:f>
              <c:numCache>
                <c:formatCode>General</c:formatCode>
                <c:ptCount val="2"/>
                <c:pt idx="0">
                  <c:v>362.84</c:v>
                </c:pt>
                <c:pt idx="1">
                  <c:v>345.98</c:v>
                </c:pt>
              </c:numCache>
            </c:numRef>
          </c:val>
        </c:ser>
        <c:dLbls>
          <c:showLegendKey val="0"/>
          <c:showVal val="1"/>
          <c:showCatName val="0"/>
          <c:showSerName val="0"/>
          <c:showPercent val="0"/>
          <c:showBubbleSize val="0"/>
        </c:dLbls>
        <c:gapWidth val="219"/>
        <c:overlap val="-27"/>
        <c:axId val="79224192"/>
        <c:axId val="79103104"/>
      </c:barChart>
      <c:catAx>
        <c:axId val="7922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103104"/>
        <c:crosses val="autoZero"/>
        <c:auto val="1"/>
        <c:lblAlgn val="ctr"/>
        <c:lblOffset val="100"/>
        <c:noMultiLvlLbl val="0"/>
      </c:catAx>
      <c:valAx>
        <c:axId val="791031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2241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一般公共预算（万元)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2021</c:v>
                </c:pt>
                <c:pt idx="1">
                  <c:v>2022</c:v>
                </c:pt>
              </c:numCache>
            </c:numRef>
          </c:cat>
          <c:val>
            <c:numRef>
              <c:f>Sheet1!$B$2:$B$3</c:f>
              <c:numCache>
                <c:formatCode>General</c:formatCode>
                <c:ptCount val="2"/>
                <c:pt idx="0">
                  <c:v>316.38</c:v>
                </c:pt>
                <c:pt idx="1">
                  <c:v>345.38</c:v>
                </c:pt>
              </c:numCache>
            </c:numRef>
          </c:val>
        </c:ser>
        <c:dLbls>
          <c:showLegendKey val="0"/>
          <c:showVal val="1"/>
          <c:showCatName val="0"/>
          <c:showSerName val="0"/>
          <c:showPercent val="0"/>
          <c:showBubbleSize val="0"/>
        </c:dLbls>
        <c:gapWidth val="219"/>
        <c:overlap val="100"/>
        <c:axId val="80155776"/>
        <c:axId val="80157312"/>
      </c:barChart>
      <c:catAx>
        <c:axId val="8015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157312"/>
        <c:crosses val="autoZero"/>
        <c:auto val="1"/>
        <c:lblAlgn val="ctr"/>
        <c:lblOffset val="100"/>
        <c:noMultiLvlLbl val="0"/>
      </c:catAx>
      <c:valAx>
        <c:axId val="801573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155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Lbls>
            <c:dLbl>
              <c:idx val="0"/>
              <c:layout>
                <c:manualLayout>
                  <c:x val="-0.0455417066155322"/>
                  <c:y val="-0.23572076155938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altLang="en-US"/>
                      <a:t>教育支出
309.8
89.</a:t>
                    </a:r>
                    <a:r>
                      <a:rPr lang="en-US" altLang="en-US"/>
                      <a:t>54</a:t>
                    </a:r>
                    <a:r>
                      <a:rPr altLang="en-US"/>
                      <a:t>%</a:t>
                    </a:r>
                    <a:endParaRPr altLang="en-US"/>
                  </a:p>
                </c:rich>
              </c:tx>
              <c:dLblPos val="outEnd"/>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239693192713327"/>
                  <c:y val="0.18736778482925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altLang="en-US"/>
                      <a:t>社会保障和就业支出
16.13
4.6</a:t>
                    </a:r>
                    <a:r>
                      <a:rPr lang="en-US" altLang="en-US"/>
                      <a:t>6</a:t>
                    </a:r>
                    <a:r>
                      <a:rPr altLang="en-US"/>
                      <a:t>%</a:t>
                    </a:r>
                    <a:endParaRPr altLang="en-US"/>
                  </a:p>
                </c:rich>
              </c:tx>
              <c:dLblPos val="outEnd"/>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814956855225312"/>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卫生健康支出</a:t>
                    </a:r>
                    <a:r>
                      <a:rPr lang="en-US" altLang="zh-CN"/>
                      <a:t>, 8.51</a:t>
                    </a:r>
                    <a:endParaRPr lang="en-US" altLang="zh-CN"/>
                  </a:p>
                  <a:p>
                    <a:pPr>
                      <a:defRPr lang="zh-CN" sz="1000" b="0" i="0" u="none" strike="noStrike" kern="1200" baseline="0">
                        <a:solidFill>
                          <a:schemeClr val="tx1"/>
                        </a:solidFill>
                        <a:latin typeface="+mn-lt"/>
                        <a:ea typeface="+mn-ea"/>
                        <a:cs typeface="+mn-cs"/>
                      </a:defRPr>
                    </a:pPr>
                    <a:r>
                      <a:rPr lang="en-US" altLang="zh-CN"/>
                      <a:t>2.46%</a:t>
                    </a:r>
                    <a:endParaRPr lang="en-US" altLang="zh-CN"/>
                  </a:p>
                </c:rich>
              </c:tx>
              <c:dLblPos val="outEnd"/>
              <c:showLegendKey val="0"/>
              <c:showVal val="1"/>
              <c:showCatName val="1"/>
              <c:showSerName val="0"/>
              <c:showPercent val="0"/>
              <c:showBubbleSize val="0"/>
              <c:extLst>
                <c:ext xmlns:c15="http://schemas.microsoft.com/office/drawing/2012/chart" uri="{CE6537A1-D6FC-4f65-9D91-7224C49458BB}">
                  <c15:layout>
                    <c:manualLayout>
                      <c:w val="0.350910834132311"/>
                      <c:h val="0.119975823511635"/>
                    </c:manualLayout>
                  </c15:layout>
                </c:ext>
              </c:extLst>
            </c:dLbl>
            <c:dLbl>
              <c:idx val="3"/>
              <c:layout>
                <c:manualLayout>
                  <c:x val="0.174976030680729"/>
                  <c:y val="0.060441220912662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altLang="en-US"/>
                      <a:t>住房保障支出
11.55
3.3</a:t>
                    </a:r>
                    <a:r>
                      <a:rPr lang="en-US" altLang="en-US"/>
                      <a:t>3</a:t>
                    </a:r>
                    <a:r>
                      <a:rPr altLang="en-US"/>
                      <a:t>%</a:t>
                    </a:r>
                    <a:endParaRPr altLang="en-US"/>
                  </a:p>
                </c:rich>
              </c:tx>
              <c:dLblPos val="outEnd"/>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309.8</c:v>
                </c:pt>
                <c:pt idx="1">
                  <c:v>16.13</c:v>
                </c:pt>
                <c:pt idx="2">
                  <c:v>8.51</c:v>
                </c:pt>
                <c:pt idx="3">
                  <c:v>11.55</c:v>
                </c:pt>
              </c:numCache>
            </c:numRef>
          </c:val>
        </c:ser>
        <c:dLbls>
          <c:showLegendKey val="0"/>
          <c:showVal val="1"/>
          <c:showCatName val="1"/>
          <c:showSerName val="0"/>
          <c:showPercent val="1"/>
          <c:showBubbleSize val="0"/>
        </c:dLbls>
      </c:pie3DChart>
    </c:plotArea>
    <c:legend>
      <c:legendPos val="r"/>
      <c:layout>
        <c:manualLayout>
          <c:xMode val="edge"/>
          <c:yMode val="edge"/>
          <c:x val="0.66644106567216"/>
          <c:y val="0.0785959551973501"/>
          <c:w val="0.24205294388537"/>
          <c:h val="0.72679806683276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“三公”经费财政拨款支出（万元）</c:v>
                </c:pt>
              </c:strCache>
            </c:strRef>
          </c:tx>
          <c:spPr/>
          <c:explosion val="0"/>
          <c:dPt>
            <c:idx val="0"/>
            <c:bubble3D val="0"/>
            <c:spPr>
              <a:solidFill>
                <a:schemeClr val="accent1"/>
              </a:solidFill>
              <a:ln>
                <a:noFill/>
              </a:ln>
              <a:effectLst>
                <a:innerShdw blurRad="114300">
                  <a:schemeClr val="accent1"/>
                </a:innerShdw>
              </a:effectLst>
            </c:spPr>
          </c:dPt>
          <c:dPt>
            <c:idx val="1"/>
            <c:bubble3D val="0"/>
            <c:spPr>
              <a:solidFill>
                <a:schemeClr val="accent2"/>
              </a:solidFill>
              <a:ln>
                <a:noFill/>
              </a:ln>
              <a:effectLst>
                <a:innerShdw blurRad="114300">
                  <a:schemeClr val="accent2"/>
                </a:innerShdw>
              </a:effectLst>
            </c:spPr>
          </c:dPt>
          <c:dPt>
            <c:idx val="2"/>
            <c:bubble3D val="0"/>
            <c:spPr>
              <a:solidFill>
                <a:schemeClr val="accent3"/>
              </a:solidFill>
              <a:ln>
                <a:noFill/>
              </a:ln>
              <a:effectLst>
                <a:innerShdw blurRad="114300">
                  <a:schemeClr val="accent3"/>
                </a:innerShdw>
              </a:effectLst>
            </c:spPr>
          </c:dPt>
          <c:dLbls>
            <c:dLbl>
              <c:idx val="0"/>
              <c:layout>
                <c:manualLayout>
                  <c:x val="-0.34956195244055"/>
                  <c:y val="-0.014698795180723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360450563204006"/>
                  <c:y val="0.097590361445783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0"/>
          <c:showVal val="1"/>
          <c:showCatName val="1"/>
          <c:showSerName val="0"/>
          <c:showPercent val="1"/>
          <c:showBubbleSize val="0"/>
          <c:showLeaderLines val="1"/>
        </c:dLbls>
        <c:firstSliceAng val="0"/>
      </c:pieChart>
      <c:spPr>
        <a:noFill/>
        <a:ln>
          <a:solidFill>
            <a:schemeClr val="tx2"/>
          </a:solidFill>
          <a:bevel/>
        </a:ln>
        <a:effectLst/>
      </c:spPr>
    </c:plotArea>
    <c:legend>
      <c:legendPos val="l"/>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2">
          <a:lumMod val="60000"/>
          <a:lumOff val="40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5415</Words>
  <Characters>5979</Characters>
  <Lines>69</Lines>
  <Paragraphs>19</Paragraphs>
  <TotalTime>1</TotalTime>
  <ScaleCrop>false</ScaleCrop>
  <LinksUpToDate>false</LinksUpToDate>
  <CharactersWithSpaces>6005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2023-10-10T02:32:00Z</dcterms:created>
  <dc:creator>曹颖</dc:creator>
  <cp:lastModifiedBy>lzjyj</cp:lastModifiedBy>
  <cp:lastPrinted>2022-08-06T02:23:00Z</cp:lastPrinted>
  <dcterms:modified xsi:type="dcterms:W3CDTF">2023-10-15T06:15:01Z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55D1BFA2631347558348437CB6302DC4</vt:lpwstr>
  </property>
</Properties>
</file>