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8441"/>
      <w:bookmarkStart w:id="3" w:name="_Toc15377425"/>
      <w:bookmarkStart w:id="4" w:name="_Toc15396597"/>
      <w:bookmarkStart w:id="5" w:name="_Toc1539647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476"/>
      <w:bookmarkStart w:id="8" w:name="_Toc15396598"/>
      <w:bookmarkStart w:id="9" w:name="_Toc15378442"/>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万缘第一幼儿园</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10"/>
        <w:jc w:val="center"/>
        <w:rPr>
          <w:rFonts w:hint="eastAsia"/>
        </w:rPr>
      </w:pPr>
      <w:r>
        <w:rPr>
          <w:rFonts w:hint="eastAsia"/>
        </w:rPr>
        <w:t>公开时间：2023年 10月 15日</w:t>
      </w:r>
    </w:p>
    <w:p>
      <w:pPr>
        <w:pStyle w:val="10"/>
        <w:jc w:val="both"/>
        <w:rPr>
          <w:rFonts w:cstheme="minorBidi"/>
          <w:sz w:val="24"/>
          <w:szCs w:val="24"/>
        </w:rPr>
      </w:pPr>
      <w:r>
        <w:rPr>
          <w:rFonts w:hint="eastAsia"/>
          <w:sz w:val="24"/>
        </w:rPr>
        <w:t>第一部分</w:t>
      </w:r>
      <w:r>
        <w:rPr>
          <w:sz w:val="24"/>
        </w:rPr>
        <w:t xml:space="preserve"> </w:t>
      </w:r>
      <w:r>
        <w:rPr>
          <w:rFonts w:hint="eastAsia"/>
          <w:sz w:val="24"/>
        </w:rPr>
        <w:t>单位概况</w:t>
      </w:r>
    </w:p>
    <w:p>
      <w:pPr>
        <w:pStyle w:val="11"/>
        <w:adjustRightInd w:val="0"/>
        <w:snapToGrid w:val="0"/>
        <w:spacing w:line="440" w:lineRule="exact"/>
        <w:jc w:val="left"/>
        <w:rPr>
          <w:sz w:val="24"/>
        </w:rPr>
      </w:pPr>
      <w:r>
        <w:rPr>
          <w:rFonts w:hint="eastAsia"/>
          <w:sz w:val="24"/>
        </w:rPr>
        <w:t>一、主要职责</w:t>
      </w:r>
    </w:p>
    <w:p>
      <w:pPr>
        <w:pStyle w:val="11"/>
        <w:adjustRightInd w:val="0"/>
        <w:snapToGrid w:val="0"/>
        <w:spacing w:line="440" w:lineRule="exact"/>
        <w:jc w:val="left"/>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 2022年度单位决算情况说明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jc w:val="left"/>
        <w:rPr>
          <w:sz w:val="24"/>
        </w:rPr>
      </w:pPr>
      <w:r>
        <w:rPr>
          <w:rFonts w:hint="eastAsia"/>
          <w:sz w:val="24"/>
        </w:rPr>
        <w:t>九、国有资本经营预算支出决算情况说明</w:t>
      </w:r>
    </w:p>
    <w:p>
      <w:pPr>
        <w:pStyle w:val="11"/>
        <w:adjustRightInd w:val="0"/>
        <w:snapToGrid w:val="0"/>
        <w:spacing w:line="440" w:lineRule="exact"/>
        <w:jc w:val="left"/>
        <w:rPr>
          <w:sz w:val="24"/>
        </w:rPr>
      </w:pPr>
      <w:r>
        <w:rPr>
          <w:rFonts w:hint="eastAsia"/>
          <w:sz w:val="24"/>
        </w:rPr>
        <w:t>十、其他重要事项的情况说明</w:t>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sz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hint="eastAsia"/>
          <w:sz w:val="24"/>
          <w:lang w:val="en-US" w:eastAsia="zh-CN"/>
        </w:rPr>
      </w:pPr>
      <w:r>
        <w:rPr>
          <w:rFonts w:hint="eastAsia"/>
          <w:sz w:val="24"/>
          <w:lang w:val="en-US" w:eastAsia="zh-CN"/>
        </w:rPr>
        <w:t>部门预算项目支出绩效自评表（2022年度）</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八、一般公共预算财政拨款基本支出决算明细表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sz w:val="24"/>
        </w:rPr>
      </w:pPr>
      <w:r>
        <w:rPr>
          <w:rFonts w:hint="eastAsia"/>
          <w:sz w:val="24"/>
        </w:rPr>
        <w:t>十、政府性基金预算财政拨款收入支出决算表</w:t>
      </w:r>
    </w:p>
    <w:p>
      <w:pPr>
        <w:pStyle w:val="11"/>
        <w:adjustRightInd w:val="0"/>
        <w:snapToGrid w:val="0"/>
        <w:spacing w:line="440" w:lineRule="exact"/>
        <w:jc w:val="left"/>
        <w:rPr>
          <w:sz w:val="24"/>
        </w:rPr>
      </w:pPr>
      <w:r>
        <w:rPr>
          <w:rFonts w:hint="eastAsia"/>
          <w:sz w:val="24"/>
        </w:rPr>
        <w:t>十一、国有资本经营预算财政拨款收入支出决算表</w:t>
      </w:r>
    </w:p>
    <w:p>
      <w:pPr>
        <w:pStyle w:val="11"/>
        <w:adjustRightInd w:val="0"/>
        <w:snapToGrid w:val="0"/>
        <w:spacing w:line="440" w:lineRule="exact"/>
        <w:jc w:val="left"/>
        <w:rPr>
          <w:sz w:val="24"/>
        </w:rPr>
      </w:pPr>
      <w:r>
        <w:rPr>
          <w:rFonts w:hint="eastAsia"/>
          <w:sz w:val="24"/>
        </w:rPr>
        <w:t>十二、国有资本经营预算财政拨款支出决算表</w:t>
      </w:r>
    </w:p>
    <w:p>
      <w:pPr>
        <w:pStyle w:val="11"/>
        <w:adjustRightInd w:val="0"/>
        <w:snapToGrid w:val="0"/>
        <w:spacing w:line="440" w:lineRule="exact"/>
        <w:jc w:val="left"/>
        <w:rPr>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jc w:val="left"/>
        <w:rPr>
          <w:rFonts w:ascii="黑体" w:eastAsia="黑体"/>
          <w:sz w:val="32"/>
          <w:szCs w:val="32"/>
        </w:rPr>
      </w:pPr>
    </w:p>
    <w:p>
      <w:pPr>
        <w:rPr>
          <w:rFonts w:eastAsia="黑体"/>
        </w:rPr>
      </w:pPr>
      <w:bookmarkStart w:id="14" w:name="_Toc15396600"/>
      <w:bookmarkStart w:id="15" w:name="_Toc15377197"/>
      <w:r>
        <w:rPr>
          <w:rStyle w:val="24"/>
          <w:rFonts w:hint="eastAsia" w:ascii="黑体" w:hAnsi="黑体" w:eastAsia="黑体"/>
          <w:b w:val="0"/>
          <w:bCs w:val="0"/>
          <w:sz w:val="32"/>
          <w:szCs w:val="32"/>
        </w:rPr>
        <w:t>一、职能简介</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5"/>
        <w:spacing w:before="72"/>
        <w:ind w:firstLine="640" w:firstLineChars="200"/>
        <w:rPr>
          <w:rFonts w:ascii="仿宋" w:hAnsi="仿宋" w:eastAsia="仿宋"/>
          <w:kern w:val="2"/>
          <w:sz w:val="32"/>
          <w:szCs w:val="32"/>
          <w:lang w:val="zh-CN"/>
        </w:rPr>
      </w:pPr>
      <w:r>
        <w:rPr>
          <w:rFonts w:hint="eastAsia" w:ascii="仿宋" w:hAnsi="仿宋" w:eastAsia="仿宋"/>
          <w:kern w:val="2"/>
          <w:sz w:val="32"/>
          <w:szCs w:val="32"/>
        </w:rPr>
        <w:t>我单位为广元市利州区教育局所属二级预算单位，内设部门4个（办公室、财务室、园务室、后勤处）。</w:t>
      </w:r>
    </w:p>
    <w:p>
      <w:pPr>
        <w:widowControl/>
        <w:numPr>
          <w:ilvl w:val="0"/>
          <w:numId w:val="1"/>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1.贯彻执行党和国家有关幼儿教育的方针、政策以及教育法规、规章，坚持正确的办园方向。</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2.执行上级的指示和决议；贯彻执行《幼儿教育纲要》和《幼儿园工作规程》，深化改革，强化管理，使各项工作程序化，规范化，制度化，不断提高保教水平。</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3.严格执行上级部门关于教育经费、教育拨款、教育基建的办法和方案；贯彻执行上级部门有关学生资助工作方针和政策，落实本园贫困家庭幼儿的资助工作。</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4.实行保育和教育相结合的原则，对幼儿实施体、智、德、美等方面全面发展的教育，促进其身心和谐发展。为家长解除后顾之忧，热忱为家长服务。</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5.严格执行幼儿园教师资格证书制度；统筹规划幼儿园教师和管理人员队伍建设；负责幼儿园全体教师的继续教育和培训工作，加强幼儿园人才队伍建设。</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6.严格执行幼儿园安全、卫生保健制度，保证幼儿身心健康和生命安全。充分利用幼儿和社区的资源优势，面向家长开展多种形式的早期教育宣传、指导等服务，促进家庭教育质量的不断提高。</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7.以《幼儿园教育指导纲要》、《幼儿园工作规程》、《3-6岁儿童学习与发展指南》为依据，结合幼儿的年龄特点、发展经验和需要制定适合幼儿身心健康发展的教育活动。</w:t>
      </w:r>
    </w:p>
    <w:p>
      <w:pPr>
        <w:widowControl/>
        <w:adjustRightInd w:val="0"/>
        <w:snapToGrid w:val="0"/>
        <w:spacing w:line="500" w:lineRule="exact"/>
        <w:ind w:firstLine="640" w:firstLineChars="200"/>
        <w:contextualSpacing/>
        <w:rPr>
          <w:rFonts w:ascii="仿宋" w:hAnsi="仿宋" w:eastAsia="仿宋"/>
          <w:sz w:val="32"/>
          <w:szCs w:val="32"/>
        </w:rPr>
      </w:pPr>
      <w:r>
        <w:rPr>
          <w:rFonts w:hint="eastAsia" w:ascii="仿宋" w:hAnsi="仿宋" w:eastAsia="仿宋"/>
          <w:sz w:val="32"/>
          <w:szCs w:val="32"/>
        </w:rPr>
        <w:t>8.尊重幼儿的人格尊严和基本权利，尊重幼儿身心发展的特点和规律，为幼儿提供健康、丰富的生活和活动环境。合理组织幼儿一日生活活动和其它活动，促进幼儿体智德美等和谐发展，全面实施素质教育。</w:t>
      </w:r>
    </w:p>
    <w:p>
      <w:pPr>
        <w:widowControl/>
        <w:adjustRightInd w:val="0"/>
        <w:snapToGrid w:val="0"/>
        <w:spacing w:line="500" w:lineRule="exact"/>
        <w:ind w:firstLine="640" w:firstLineChars="200"/>
        <w:contextualSpacing/>
        <w:rPr>
          <w:lang w:val="zh-CN"/>
        </w:rPr>
      </w:pPr>
      <w:r>
        <w:rPr>
          <w:rFonts w:hint="eastAsia" w:ascii="仿宋" w:hAnsi="仿宋" w:eastAsia="仿宋"/>
          <w:sz w:val="32"/>
          <w:szCs w:val="32"/>
        </w:rPr>
        <w:t>9.贯彻幼儿教育法规、传播科学教育理念、开展教育科学研究、培训师资，推动万缘片区学前教育的良性发展。</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pStyle w:val="5"/>
        <w:spacing w:before="72"/>
        <w:ind w:firstLine="640" w:firstLineChars="200"/>
        <w:rPr>
          <w:rFonts w:ascii="仿宋" w:hAnsi="仿宋" w:eastAsia="仿宋"/>
          <w:sz w:val="32"/>
          <w:szCs w:val="32"/>
        </w:rPr>
      </w:pPr>
      <w:r>
        <w:rPr>
          <w:rFonts w:hint="eastAsia" w:ascii="仿宋" w:hAnsi="仿宋" w:eastAsia="仿宋"/>
          <w:sz w:val="32"/>
          <w:szCs w:val="32"/>
        </w:rPr>
        <w:t xml:space="preserve">广元市利州区万缘第一幼儿园共有编制11名，其中行政编制0人，全额财政补助事业编制10人。截至2022年末，实有在职人员10人，临聘教职工33人，安保人员2人。 </w:t>
      </w:r>
    </w:p>
    <w:p>
      <w:pPr>
        <w:pStyle w:val="3"/>
      </w:pPr>
      <w:r>
        <w:rPr>
          <w:rFonts w:hint="eastAsia" w:ascii="黑体" w:hAnsi="黑体" w:eastAsia="黑体"/>
          <w:b w:val="0"/>
        </w:rPr>
        <w:t>二、2022年重点工作完成情况</w:t>
      </w:r>
    </w:p>
    <w:p>
      <w:pPr>
        <w:pStyle w:val="5"/>
        <w:adjustRightInd w:val="0"/>
        <w:snapToGrid w:val="0"/>
        <w:spacing w:before="72" w:line="600" w:lineRule="exact"/>
        <w:ind w:firstLine="560" w:firstLineChars="200"/>
        <w:outlineLvl w:val="2"/>
        <w:rPr>
          <w:rFonts w:ascii="仿宋" w:hAnsi="仿宋" w:eastAsia="仿宋"/>
          <w:bCs/>
          <w:color w:val="000000"/>
          <w:sz w:val="32"/>
          <w:szCs w:val="32"/>
        </w:rPr>
      </w:pPr>
      <w:r>
        <w:rPr>
          <w:rFonts w:hint="eastAsia" w:ascii="宋体" w:hAnsi="宋体"/>
          <w:sz w:val="28"/>
          <w:szCs w:val="28"/>
        </w:rPr>
        <w:t>严格执行收支两条线、以收定支的财务管理制度，做到收支明晰、合理、合规；严把开支关，精打细算，杜绝浪费；按规定做好年度预算、决算，事业年报、人事年报、工资年报、调资调标，高质量报送各类报表，财务资料规范整齐，归档及时。认真并及时为教职工办好医疗、养老、失业、工伤、生育保险、住房公积金的上报工作，解决教职工的后顾之忧。</w:t>
      </w:r>
    </w:p>
    <w:p>
      <w:pPr>
        <w:pStyle w:val="3"/>
        <w:rPr>
          <w:rStyle w:val="25"/>
          <w:rFonts w:ascii="黑体" w:hAnsi="黑体" w:eastAsia="黑体"/>
          <w:b w:val="0"/>
          <w:bCs w:val="0"/>
        </w:rPr>
      </w:pPr>
    </w:p>
    <w:p>
      <w:pPr>
        <w:pStyle w:val="3"/>
        <w:rPr>
          <w:rFonts w:ascii="黑体" w:hAnsi="黑体" w:eastAsia="黑体"/>
          <w:b w:val="0"/>
        </w:rPr>
      </w:pP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center"/>
      </w:pPr>
      <w:bookmarkStart w:id="16" w:name="_Toc15377204"/>
      <w:bookmarkStart w:id="17" w:name="_Toc15396602"/>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Pr>
        <w:pStyle w:val="23"/>
        <w:numPr>
          <w:ilvl w:val="0"/>
          <w:numId w:val="2"/>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2022年度收、支总计401.27万元（包含年初结转结余167.58万元）。与2021年相比，收、支总计各增加了31.45万元，增长8</w:t>
      </w:r>
      <w:r>
        <w:rPr>
          <w:rFonts w:ascii="仿宋" w:hAnsi="仿宋" w:eastAsia="仿宋"/>
          <w:sz w:val="32"/>
          <w:szCs w:val="32"/>
        </w:rPr>
        <w:t>%</w:t>
      </w:r>
      <w:r>
        <w:rPr>
          <w:rFonts w:hint="eastAsia" w:ascii="仿宋" w:hAnsi="仿宋" w:eastAsia="仿宋"/>
          <w:sz w:val="32"/>
          <w:szCs w:val="32"/>
        </w:rPr>
        <w:t>。主要变动原因是本年度财政拨款收入增加，教育支出增加了。</w:t>
      </w:r>
    </w:p>
    <w:p>
      <w:pPr>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r>
        <w:rPr>
          <w:rFonts w:hint="eastAsia" w:ascii="仿宋" w:hAnsi="仿宋" w:eastAsia="仿宋"/>
          <w:sz w:val="32"/>
          <w:szCs w:val="32"/>
        </w:rPr>
        <w:drawing>
          <wp:inline distT="0" distB="0" distL="114300" distR="114300">
            <wp:extent cx="4810125" cy="2705100"/>
            <wp:effectExtent l="0" t="0" r="9525" b="0"/>
            <wp:docPr id="3" name="图片 3" descr="收支情况柱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收支情况柱状图"/>
                    <pic:cNvPicPr>
                      <a:picLocks noChangeAspect="1"/>
                    </pic:cNvPicPr>
                  </pic:nvPicPr>
                  <pic:blipFill>
                    <a:blip r:embed="rId5"/>
                    <a:stretch>
                      <a:fillRect/>
                    </a:stretch>
                  </pic:blipFill>
                  <pic:spPr>
                    <a:xfrm>
                      <a:off x="0" y="0"/>
                      <a:ext cx="4810125" cy="2705100"/>
                    </a:xfrm>
                    <a:prstGeom prst="rect">
                      <a:avLst/>
                    </a:prstGeom>
                  </pic:spPr>
                </pic:pic>
              </a:graphicData>
            </a:graphic>
          </wp:inline>
        </w:drawing>
      </w:r>
    </w:p>
    <w:p>
      <w:pPr>
        <w:spacing w:line="600" w:lineRule="exact"/>
        <w:ind w:firstLine="640" w:firstLineChars="200"/>
        <w:jc w:val="left"/>
        <w:rPr>
          <w:rFonts w:ascii="仿宋_GB2312" w:eastAsia="仿宋_GB2312"/>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sz w:val="32"/>
          <w:szCs w:val="32"/>
        </w:rPr>
        <w:t>20</w:t>
      </w:r>
      <w:r>
        <w:rPr>
          <w:rFonts w:hint="eastAsia" w:ascii="仿宋" w:hAnsi="仿宋" w:eastAsia="仿宋"/>
          <w:sz w:val="32"/>
          <w:szCs w:val="32"/>
        </w:rPr>
        <w:t>22年本年收入合计233.69万元，与2021年相比较，</w:t>
      </w:r>
      <w:r>
        <w:rPr>
          <w:rFonts w:hint="eastAsia" w:ascii="仿宋" w:hAnsi="仿宋" w:eastAsia="仿宋"/>
          <w:sz w:val="32"/>
          <w:szCs w:val="32"/>
          <w:lang w:val="en-US" w:eastAsia="zh-CN"/>
        </w:rPr>
        <w:t>减少64.58</w:t>
      </w:r>
      <w:r>
        <w:rPr>
          <w:rFonts w:hint="eastAsia" w:ascii="仿宋" w:hAnsi="仿宋" w:eastAsia="仿宋"/>
          <w:sz w:val="32"/>
          <w:szCs w:val="32"/>
        </w:rPr>
        <w:t>万元。其中：一般公共预算财政拨款收入159.92万元，占68</w:t>
      </w:r>
      <w:r>
        <w:rPr>
          <w:rFonts w:ascii="仿宋" w:hAnsi="仿宋" w:eastAsia="仿宋"/>
          <w:sz w:val="32"/>
          <w:szCs w:val="32"/>
        </w:rPr>
        <w:t>%</w:t>
      </w:r>
      <w:r>
        <w:rPr>
          <w:rFonts w:hint="eastAsia" w:ascii="仿宋" w:hAnsi="仿宋" w:eastAsia="仿宋"/>
          <w:sz w:val="32"/>
          <w:szCs w:val="32"/>
        </w:rPr>
        <w:t>；事业收入70.01万元，占31</w:t>
      </w:r>
      <w:r>
        <w:rPr>
          <w:rFonts w:ascii="仿宋" w:hAnsi="仿宋" w:eastAsia="仿宋"/>
          <w:sz w:val="32"/>
          <w:szCs w:val="32"/>
        </w:rPr>
        <w:t>%</w:t>
      </w:r>
      <w:r>
        <w:rPr>
          <w:rFonts w:hint="eastAsia" w:ascii="仿宋" w:hAnsi="仿宋" w:eastAsia="仿宋"/>
          <w:sz w:val="32"/>
          <w:szCs w:val="32"/>
        </w:rPr>
        <w:t>；其他收入3.76万元，占1</w:t>
      </w:r>
      <w:r>
        <w:rPr>
          <w:rFonts w:ascii="仿宋" w:hAnsi="仿宋" w:eastAsia="仿宋"/>
          <w:sz w:val="32"/>
          <w:szCs w:val="32"/>
        </w:rPr>
        <w:t>%</w:t>
      </w:r>
      <w:r>
        <w:rPr>
          <w:rFonts w:hint="eastAsia" w:ascii="仿宋" w:hAnsi="仿宋" w:eastAsia="仿宋"/>
          <w:sz w:val="32"/>
          <w:szCs w:val="32"/>
        </w:rPr>
        <w:t>。收入主要变动原因是财政人员经费、学校公用经费和项目支出收入增加。</w:t>
      </w: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（图2：收入决算结构图）（饼状图）</w:t>
      </w:r>
      <w:r>
        <w:rPr>
          <w:rFonts w:hint="eastAsia" w:ascii="仿宋" w:hAnsi="仿宋" w:eastAsia="仿宋"/>
          <w:sz w:val="32"/>
          <w:szCs w:val="32"/>
        </w:rPr>
        <w:drawing>
          <wp:inline distT="0" distB="0" distL="114300" distR="114300">
            <wp:extent cx="4848225" cy="2762250"/>
            <wp:effectExtent l="0" t="0" r="9525" b="0"/>
            <wp:docPr id="4" name="图片 4" descr="饼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饼状图"/>
                    <pic:cNvPicPr>
                      <a:picLocks noChangeAspect="1"/>
                    </pic:cNvPicPr>
                  </pic:nvPicPr>
                  <pic:blipFill>
                    <a:blip r:embed="rId6"/>
                    <a:stretch>
                      <a:fillRect/>
                    </a:stretch>
                  </pic:blipFill>
                  <pic:spPr>
                    <a:xfrm>
                      <a:off x="0" y="0"/>
                      <a:ext cx="4848225" cy="2762250"/>
                    </a:xfrm>
                    <a:prstGeom prst="rect">
                      <a:avLst/>
                    </a:prstGeom>
                  </pic:spPr>
                </pic:pic>
              </a:graphicData>
            </a:graphic>
          </wp:inline>
        </w:drawing>
      </w:r>
    </w:p>
    <w:p>
      <w:pPr>
        <w:spacing w:line="600" w:lineRule="exact"/>
        <w:ind w:firstLine="640" w:firstLineChars="200"/>
        <w:rPr>
          <w:rFonts w:ascii="仿宋_GB2312" w:eastAsia="仿宋_GB2312"/>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22年本年支出合计401.27万元，其中：基本支出227.97万元，占57</w:t>
      </w:r>
      <w:r>
        <w:rPr>
          <w:rFonts w:ascii="仿宋" w:hAnsi="仿宋" w:eastAsia="仿宋"/>
          <w:sz w:val="32"/>
          <w:szCs w:val="32"/>
        </w:rPr>
        <w:t>%</w:t>
      </w:r>
      <w:r>
        <w:rPr>
          <w:rFonts w:hint="eastAsia" w:ascii="仿宋" w:hAnsi="仿宋" w:eastAsia="仿宋"/>
          <w:sz w:val="32"/>
          <w:szCs w:val="32"/>
        </w:rPr>
        <w:t>；项目支出173.3万元，占43</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（图3：支出决算结构图）（饼状图）</w:t>
      </w:r>
      <w:r>
        <w:rPr>
          <w:rFonts w:hint="eastAsia" w:ascii="仿宋" w:hAnsi="仿宋" w:eastAsia="仿宋"/>
          <w:sz w:val="32"/>
          <w:szCs w:val="32"/>
        </w:rPr>
        <w:drawing>
          <wp:inline distT="0" distB="0" distL="114300" distR="114300">
            <wp:extent cx="4867275" cy="2571750"/>
            <wp:effectExtent l="0" t="0" r="9525" b="0"/>
            <wp:docPr id="5" name="图片 5" descr="饼图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饼图支出"/>
                    <pic:cNvPicPr>
                      <a:picLocks noChangeAspect="1"/>
                    </pic:cNvPicPr>
                  </pic:nvPicPr>
                  <pic:blipFill>
                    <a:blip r:embed="rId7"/>
                    <a:stretch>
                      <a:fillRect/>
                    </a:stretch>
                  </pic:blipFill>
                  <pic:spPr>
                    <a:xfrm>
                      <a:off x="0" y="0"/>
                      <a:ext cx="4867275" cy="2571750"/>
                    </a:xfrm>
                    <a:prstGeom prst="rect">
                      <a:avLst/>
                    </a:prstGeom>
                  </pic:spPr>
                </pic:pic>
              </a:graphicData>
            </a:graphic>
          </wp:inline>
        </w:drawing>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22年财政拨款收、支总计327.50万元。与</w:t>
      </w:r>
      <w:r>
        <w:rPr>
          <w:rFonts w:ascii="仿宋" w:hAnsi="仿宋" w:eastAsia="仿宋"/>
          <w:sz w:val="32"/>
          <w:szCs w:val="32"/>
        </w:rPr>
        <w:t>20</w:t>
      </w:r>
      <w:r>
        <w:rPr>
          <w:rFonts w:hint="eastAsia" w:ascii="仿宋" w:hAnsi="仿宋" w:eastAsia="仿宋"/>
          <w:sz w:val="32"/>
          <w:szCs w:val="32"/>
        </w:rPr>
        <w:t>21年相比，财政拨款收、支总计各增加29.23万元，增长9</w:t>
      </w:r>
      <w:r>
        <w:rPr>
          <w:rFonts w:ascii="仿宋" w:hAnsi="仿宋" w:eastAsia="仿宋"/>
          <w:sz w:val="32"/>
          <w:szCs w:val="32"/>
        </w:rPr>
        <w:t>%</w:t>
      </w:r>
      <w:r>
        <w:rPr>
          <w:rFonts w:hint="eastAsia" w:ascii="仿宋" w:hAnsi="仿宋" w:eastAsia="仿宋"/>
          <w:sz w:val="32"/>
          <w:szCs w:val="32"/>
        </w:rPr>
        <w:t>。主要变动原因是预算支出增加。</w:t>
      </w:r>
    </w:p>
    <w:p>
      <w:pPr>
        <w:spacing w:line="600" w:lineRule="exact"/>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r>
        <w:rPr>
          <w:rFonts w:hint="eastAsia" w:ascii="仿宋" w:hAnsi="仿宋" w:eastAsia="仿宋"/>
          <w:sz w:val="32"/>
          <w:szCs w:val="32"/>
        </w:rPr>
        <w:drawing>
          <wp:inline distT="0" distB="0" distL="114300" distR="114300">
            <wp:extent cx="4483100" cy="2619375"/>
            <wp:effectExtent l="0" t="0" r="12700" b="9525"/>
            <wp:docPr id="6" name="图片 6" descr="图表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4"/>
                    <pic:cNvPicPr>
                      <a:picLocks noChangeAspect="1"/>
                    </pic:cNvPicPr>
                  </pic:nvPicPr>
                  <pic:blipFill>
                    <a:blip r:embed="rId8"/>
                    <a:stretch>
                      <a:fillRect/>
                    </a:stretch>
                  </pic:blipFill>
                  <pic:spPr>
                    <a:xfrm>
                      <a:off x="0" y="0"/>
                      <a:ext cx="4483100" cy="2619375"/>
                    </a:xfrm>
                    <a:prstGeom prst="rect">
                      <a:avLst/>
                    </a:prstGeom>
                  </pic:spPr>
                </pic:pic>
              </a:graphicData>
            </a:graphic>
          </wp:inline>
        </w:drawing>
      </w:r>
    </w:p>
    <w:p>
      <w:pPr>
        <w:spacing w:line="600" w:lineRule="exact"/>
        <w:ind w:firstLine="640"/>
        <w:rPr>
          <w:rFonts w:ascii="仿宋" w:hAnsi="仿宋" w:eastAsia="仿宋"/>
          <w:b/>
          <w:sz w:val="32"/>
          <w:szCs w:val="32"/>
        </w:rPr>
      </w:pPr>
    </w:p>
    <w:p>
      <w:pPr>
        <w:spacing w:line="600" w:lineRule="exact"/>
        <w:ind w:firstLine="640" w:firstLineChars="200"/>
        <w:outlineLvl w:val="1"/>
        <w:rPr>
          <w:rStyle w:val="25"/>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22年一般公共预算财政拨款支出327.5万元，占本年支出合计的82</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21年相比，一般公共预算财政拨款支出增加19.55万元，增长150</w:t>
      </w:r>
      <w:r>
        <w:rPr>
          <w:rFonts w:ascii="仿宋" w:hAnsi="仿宋" w:eastAsia="仿宋"/>
          <w:sz w:val="32"/>
          <w:szCs w:val="32"/>
        </w:rPr>
        <w:t>%</w:t>
      </w:r>
      <w:r>
        <w:rPr>
          <w:rFonts w:hint="eastAsia" w:ascii="仿宋" w:hAnsi="仿宋" w:eastAsia="仿宋"/>
          <w:sz w:val="32"/>
          <w:szCs w:val="32"/>
        </w:rPr>
        <w:t>。主要变动原因是基本支出和项目支出增加。</w:t>
      </w:r>
    </w:p>
    <w:p>
      <w:pPr>
        <w:spacing w:line="600" w:lineRule="exact"/>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r>
        <w:rPr>
          <w:rFonts w:hint="eastAsia" w:ascii="仿宋" w:hAnsi="仿宋" w:eastAsia="仿宋"/>
          <w:sz w:val="32"/>
          <w:szCs w:val="32"/>
        </w:rPr>
        <w:drawing>
          <wp:inline distT="0" distB="0" distL="114300" distR="114300">
            <wp:extent cx="4895850" cy="2628900"/>
            <wp:effectExtent l="0" t="0" r="0" b="0"/>
            <wp:docPr id="7" name="图片 7" descr="一般财政拨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一般财政拨款"/>
                    <pic:cNvPicPr>
                      <a:picLocks noChangeAspect="1"/>
                    </pic:cNvPicPr>
                  </pic:nvPicPr>
                  <pic:blipFill>
                    <a:blip r:embed="rId9"/>
                    <a:stretch>
                      <a:fillRect/>
                    </a:stretch>
                  </pic:blipFill>
                  <pic:spPr>
                    <a:xfrm>
                      <a:off x="0" y="0"/>
                      <a:ext cx="4895850" cy="2628900"/>
                    </a:xfrm>
                    <a:prstGeom prst="rect">
                      <a:avLst/>
                    </a:prstGeom>
                  </pic:spPr>
                </pic:pic>
              </a:graphicData>
            </a:graphic>
          </wp:inline>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22年一般公共预算财政拨款支出327.5万元，主要用于以下方面</w:t>
      </w:r>
      <w:r>
        <w:rPr>
          <w:rFonts w:ascii="仿宋" w:hAnsi="仿宋" w:eastAsia="仿宋"/>
          <w:sz w:val="32"/>
          <w:szCs w:val="32"/>
        </w:rPr>
        <w:t>:</w:t>
      </w:r>
      <w:r>
        <w:rPr>
          <w:rFonts w:hint="eastAsia" w:ascii="仿宋" w:hAnsi="仿宋" w:eastAsia="仿宋"/>
          <w:b/>
          <w:sz w:val="32"/>
          <w:szCs w:val="32"/>
        </w:rPr>
        <w:t>教育支出305.64</w:t>
      </w:r>
      <w:r>
        <w:rPr>
          <w:rFonts w:hint="eastAsia" w:ascii="仿宋" w:hAnsi="仿宋" w:eastAsia="仿宋"/>
          <w:sz w:val="32"/>
          <w:szCs w:val="32"/>
        </w:rPr>
        <w:t>万元，占93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支出9.97</w:t>
      </w:r>
      <w:r>
        <w:rPr>
          <w:rFonts w:hint="eastAsia" w:ascii="仿宋" w:hAnsi="仿宋" w:eastAsia="仿宋"/>
          <w:sz w:val="32"/>
          <w:szCs w:val="32"/>
        </w:rPr>
        <w:t>万元，占3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卫生健康支出4.76</w:t>
      </w:r>
      <w:r>
        <w:rPr>
          <w:rFonts w:hint="eastAsia" w:ascii="仿宋" w:hAnsi="仿宋" w:eastAsia="仿宋"/>
          <w:sz w:val="32"/>
          <w:szCs w:val="32"/>
        </w:rPr>
        <w:t>万元，占1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住房保障支出7.14</w:t>
      </w:r>
      <w:r>
        <w:rPr>
          <w:rFonts w:hint="eastAsia" w:ascii="仿宋" w:hAnsi="仿宋" w:eastAsia="仿宋"/>
          <w:sz w:val="32"/>
          <w:szCs w:val="32"/>
        </w:rPr>
        <w:t>万元，占2</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r>
        <w:rPr>
          <w:rFonts w:hint="eastAsia" w:ascii="仿宋" w:hAnsi="仿宋" w:eastAsia="仿宋"/>
          <w:sz w:val="32"/>
          <w:szCs w:val="32"/>
        </w:rPr>
        <w:drawing>
          <wp:inline distT="0" distB="0" distL="114300" distR="114300">
            <wp:extent cx="4848225" cy="2771775"/>
            <wp:effectExtent l="0" t="0" r="9525" b="9525"/>
            <wp:docPr id="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
                    <pic:cNvPicPr>
                      <a:picLocks noChangeAspect="1"/>
                    </pic:cNvPicPr>
                  </pic:nvPicPr>
                  <pic:blipFill>
                    <a:blip r:embed="rId10"/>
                    <a:stretch>
                      <a:fillRect/>
                    </a:stretch>
                  </pic:blipFill>
                  <pic:spPr>
                    <a:xfrm>
                      <a:off x="0" y="0"/>
                      <a:ext cx="4848225" cy="2771775"/>
                    </a:xfrm>
                    <a:prstGeom prst="rect">
                      <a:avLst/>
                    </a:prstGeom>
                  </pic:spPr>
                </pic:pic>
              </a:graphicData>
            </a:graphic>
          </wp:inline>
        </w:drawing>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2022年一般公共预算支出决算数为327.5</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1</w:t>
      </w:r>
      <w:r>
        <w:rPr>
          <w:rStyle w:val="14"/>
          <w:rFonts w:ascii="仿宋" w:hAnsi="仿宋" w:eastAsia="仿宋"/>
          <w:bCs/>
          <w:sz w:val="32"/>
          <w:szCs w:val="32"/>
        </w:rPr>
        <w:t>.</w:t>
      </w:r>
      <w:r>
        <w:rPr>
          <w:rStyle w:val="14"/>
          <w:rFonts w:hint="eastAsia" w:ascii="仿宋" w:hAnsi="仿宋" w:eastAsia="仿宋" w:cs="宋体"/>
          <w:bCs/>
          <w:sz w:val="32"/>
          <w:szCs w:val="32"/>
        </w:rPr>
        <w:t>教育支出（类）普通教育（款）学前教育（项）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支出决算为305.64万元，完成预算11</w:t>
      </w:r>
      <w:r>
        <w:rPr>
          <w:rStyle w:val="14"/>
          <w:rFonts w:ascii="仿宋" w:hAnsi="仿宋" w:eastAsia="仿宋"/>
          <w:b w:val="0"/>
          <w:bCs/>
          <w:sz w:val="32"/>
          <w:szCs w:val="32"/>
        </w:rPr>
        <w:t>%</w:t>
      </w:r>
      <w:r>
        <w:rPr>
          <w:rStyle w:val="14"/>
          <w:rFonts w:hint="eastAsia" w:ascii="仿宋" w:hAnsi="仿宋" w:eastAsia="仿宋"/>
          <w:b w:val="0"/>
          <w:bCs/>
          <w:sz w:val="32"/>
          <w:szCs w:val="32"/>
        </w:rPr>
        <w:t>，决算数大于预算数的主要原因是本年度基本支出和项目支出减少。</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2</w:t>
      </w:r>
      <w:r>
        <w:rPr>
          <w:rStyle w:val="14"/>
          <w:rFonts w:ascii="仿宋" w:hAnsi="仿宋" w:eastAsia="仿宋"/>
          <w:bCs/>
          <w:sz w:val="32"/>
          <w:szCs w:val="32"/>
        </w:rPr>
        <w:t>.</w:t>
      </w:r>
      <w:r>
        <w:rPr>
          <w:rStyle w:val="14"/>
          <w:rFonts w:hint="eastAsia" w:ascii="仿宋" w:hAnsi="仿宋" w:eastAsia="仿宋"/>
          <w:bCs/>
          <w:sz w:val="32"/>
          <w:szCs w:val="32"/>
        </w:rPr>
        <w:t>社会保障和就业（类）行政事业单位养老支出（款）机关事业单位基本养老保险缴费支出（项）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支出决算为9.97万元，完成预算100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支出决算为4.76万元，完成预算100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4</w:t>
      </w:r>
      <w:r>
        <w:rPr>
          <w:rStyle w:val="14"/>
          <w:rFonts w:ascii="仿宋" w:hAnsi="仿宋" w:eastAsia="仿宋"/>
          <w:bCs/>
          <w:sz w:val="32"/>
          <w:szCs w:val="32"/>
        </w:rPr>
        <w:t>.</w:t>
      </w:r>
      <w:r>
        <w:rPr>
          <w:rFonts w:hint="eastAsia" w:ascii="仿宋" w:hAnsi="仿宋" w:eastAsia="仿宋"/>
          <w:b/>
          <w:bCs/>
          <w:sz w:val="32"/>
          <w:szCs w:val="32"/>
        </w:rPr>
        <w:t>住房保障支出</w:t>
      </w:r>
      <w:r>
        <w:rPr>
          <w:rStyle w:val="14"/>
          <w:rFonts w:hint="eastAsia" w:ascii="仿宋" w:hAnsi="仿宋" w:eastAsia="仿宋"/>
          <w:bCs/>
          <w:sz w:val="32"/>
          <w:szCs w:val="32"/>
        </w:rPr>
        <w:t>（类）住房改革支出（款）住房公积金（项）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支出决算为7.14万元，完成预算100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22年一般公共预算财政拨款基本支出154.21万元，其中：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人员经费130.33万元，主要包括：</w:t>
      </w:r>
      <w:r>
        <w:rPr>
          <w:rFonts w:hint="eastAsia" w:ascii="仿宋" w:hAnsi="仿宋" w:eastAsia="仿宋"/>
          <w:color w:val="auto"/>
          <w:sz w:val="32"/>
          <w:szCs w:val="32"/>
          <w:highlight w:val="none"/>
        </w:rPr>
        <w:t>基本工资、津贴补贴、奖金、绩效工资、机关事业单位基本养老保险缴费、职业年金缴费、其他社会保障缴费、其他工资福利支出、抚恤金、生活补助、奖励金、住房公积金、其他对个人和家庭的补助支出等</w:t>
      </w:r>
      <w:r>
        <w:rPr>
          <w:rFonts w:hint="eastAsia" w:ascii="仿宋" w:hAnsi="仿宋" w:eastAsia="仿宋"/>
          <w:sz w:val="32"/>
          <w:szCs w:val="32"/>
        </w:rPr>
        <w:t>。</w:t>
      </w:r>
    </w:p>
    <w:p>
      <w:pPr>
        <w:spacing w:line="600" w:lineRule="exact"/>
        <w:ind w:firstLine="645"/>
        <w:rPr>
          <w:rFonts w:ascii="仿宋" w:hAnsi="仿宋" w:eastAsia="仿宋"/>
          <w:b/>
          <w:sz w:val="32"/>
          <w:szCs w:val="32"/>
        </w:rPr>
      </w:pPr>
      <w:r>
        <w:rPr>
          <w:rFonts w:hint="eastAsia" w:ascii="仿宋" w:hAnsi="仿宋" w:eastAsia="仿宋"/>
          <w:sz w:val="32"/>
          <w:szCs w:val="32"/>
        </w:rPr>
        <w:t>公用经费23.88万元，主要包括：</w:t>
      </w:r>
      <w:r>
        <w:rPr>
          <w:rFonts w:hint="eastAsia" w:ascii="仿宋" w:hAnsi="仿宋" w:eastAsia="仿宋"/>
          <w:color w:val="auto"/>
          <w:sz w:val="32"/>
          <w:szCs w:val="32"/>
          <w:highlight w:val="none"/>
        </w:rPr>
        <w:t>办公费、印刷费、咨询费、手续费、水费、电费、邮电费、取暖费、差旅费、维修（护）费、租赁费、会议费、培训费、劳务费、工会经费、福利费、其他交通费、其他商品和服务支出、办公设备购置、专用设备购置、信息网络及软件购置更新、其他资本性支出等</w:t>
      </w:r>
      <w:r>
        <w:rPr>
          <w:rFonts w:hint="eastAsia" w:ascii="仿宋" w:hAnsi="仿宋" w:eastAsia="仿宋"/>
          <w:sz w:val="32"/>
          <w:szCs w:val="32"/>
        </w:rPr>
        <w:t>。</w:t>
      </w:r>
    </w:p>
    <w:p>
      <w:pPr>
        <w:snapToGrid w:val="0"/>
        <w:spacing w:line="550" w:lineRule="exact"/>
        <w:ind w:firstLine="640"/>
        <w:outlineLvl w:val="1"/>
        <w:rPr>
          <w:rStyle w:val="30"/>
          <w:rFonts w:ascii="黑体" w:hAnsi="黑体" w:eastAsia="黑体"/>
          <w:b w:val="0"/>
        </w:rPr>
      </w:pPr>
      <w:bookmarkStart w:id="36" w:name="_Toc15377215"/>
      <w:bookmarkStart w:id="37" w:name="_Toc15396609"/>
      <w:bookmarkStart w:id="38" w:name="_Toc17578"/>
      <w:bookmarkStart w:id="39" w:name="_Toc15377216"/>
      <w:r>
        <w:rPr>
          <w:rFonts w:hint="eastAsia" w:ascii="黑体" w:eastAsia="黑体"/>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36"/>
      <w:bookmarkEnd w:id="37"/>
      <w:bookmarkEnd w:id="38"/>
    </w:p>
    <w:p>
      <w:pPr>
        <w:snapToGrid w:val="0"/>
        <w:spacing w:line="550" w:lineRule="exact"/>
        <w:ind w:firstLine="640"/>
        <w:outlineLvl w:val="2"/>
        <w:rPr>
          <w:rFonts w:ascii="楷体" w:hAnsi="楷体" w:eastAsia="楷体" w:cs="楷体"/>
          <w:bCs/>
          <w:sz w:val="32"/>
          <w:szCs w:val="32"/>
        </w:rPr>
      </w:pPr>
      <w:r>
        <w:rPr>
          <w:rFonts w:hint="eastAsia" w:ascii="楷体" w:hAnsi="楷体" w:eastAsia="楷体" w:cs="楷体"/>
          <w:bCs/>
          <w:sz w:val="32"/>
          <w:szCs w:val="32"/>
        </w:rPr>
        <w:t>（一）“三公”经费财政拨款支出决算总体情况说明</w:t>
      </w:r>
      <w:bookmarkEnd w:id="39"/>
    </w:p>
    <w:p>
      <w:pPr>
        <w:snapToGrid w:val="0"/>
        <w:spacing w:line="550" w:lineRule="exact"/>
        <w:ind w:firstLine="640"/>
        <w:outlineLvl w:val="2"/>
        <w:rPr>
          <w:rFonts w:ascii="仿宋" w:hAnsi="仿宋" w:eastAsia="仿宋"/>
          <w:color w:val="000000" w:themeColor="text1"/>
          <w:sz w:val="32"/>
          <w:szCs w:val="32"/>
          <w14:textFill>
            <w14:solidFill>
              <w14:schemeClr w14:val="tx1"/>
            </w14:solidFill>
          </w14:textFill>
        </w:rPr>
      </w:pPr>
      <w:r>
        <w:rPr>
          <w:rFonts w:ascii="仿宋" w:hAnsi="仿宋" w:eastAsia="仿宋"/>
          <w:sz w:val="32"/>
          <w:szCs w:val="32"/>
        </w:rPr>
        <w:t>20</w:t>
      </w:r>
      <w:r>
        <w:rPr>
          <w:rFonts w:hint="eastAsia" w:ascii="仿宋" w:hAnsi="仿宋" w:eastAsia="仿宋"/>
          <w:sz w:val="32"/>
          <w:szCs w:val="32"/>
        </w:rPr>
        <w:t>22年“三公”经费财政拨款支出决算为</w:t>
      </w:r>
      <w:r>
        <w:rPr>
          <w:rFonts w:ascii="仿宋" w:hAnsi="仿宋" w:eastAsia="仿宋"/>
          <w:sz w:val="32"/>
          <w:szCs w:val="32"/>
        </w:rPr>
        <w:t>0</w:t>
      </w:r>
      <w:r>
        <w:rPr>
          <w:rFonts w:hint="eastAsia" w:ascii="仿宋" w:hAnsi="仿宋" w:eastAsia="仿宋"/>
          <w:sz w:val="32"/>
          <w:szCs w:val="32"/>
        </w:rPr>
        <w:t>万元，完成预算</w:t>
      </w:r>
      <w:r>
        <w:rPr>
          <w:rFonts w:ascii="仿宋" w:hAnsi="仿宋" w:eastAsia="仿宋"/>
          <w:sz w:val="32"/>
          <w:szCs w:val="32"/>
        </w:rPr>
        <w:t>0%</w:t>
      </w:r>
      <w:r>
        <w:rPr>
          <w:rFonts w:hint="eastAsia" w:ascii="仿宋" w:hAnsi="仿宋" w:eastAsia="仿宋"/>
          <w:sz w:val="32"/>
          <w:szCs w:val="32"/>
        </w:rPr>
        <w:t>，决算数等于预算数，无公务接待</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“三公”经费财政拨款支出与2021年无变化。</w:t>
      </w:r>
    </w:p>
    <w:p>
      <w:pPr>
        <w:snapToGrid w:val="0"/>
        <w:spacing w:line="550" w:lineRule="exact"/>
        <w:ind w:firstLine="640"/>
        <w:outlineLvl w:val="2"/>
        <w:rPr>
          <w:rFonts w:ascii="楷体" w:hAnsi="楷体" w:eastAsia="楷体" w:cs="楷体"/>
          <w:bCs/>
          <w:sz w:val="32"/>
          <w:szCs w:val="32"/>
        </w:rPr>
      </w:pPr>
      <w:bookmarkStart w:id="40" w:name="_Toc15377217"/>
      <w:r>
        <w:rPr>
          <w:rFonts w:hint="eastAsia" w:ascii="楷体" w:hAnsi="楷体" w:eastAsia="楷体" w:cs="楷体"/>
          <w:bCs/>
          <w:sz w:val="32"/>
          <w:szCs w:val="32"/>
        </w:rPr>
        <w:t>（二）“三公”经费财政拨款支出决算具体情况说明</w:t>
      </w:r>
      <w:bookmarkEnd w:id="40"/>
    </w:p>
    <w:p>
      <w:pPr>
        <w:snapToGrid w:val="0"/>
        <w:spacing w:line="550" w:lineRule="exact"/>
        <w:ind w:firstLine="64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22年“三公”经费财政拨款支出决算中，因公出国（境）费支出决算0.00万元，占0.00</w:t>
      </w:r>
      <w:r>
        <w:rPr>
          <w:rFonts w:ascii="仿宋" w:hAnsi="仿宋" w:eastAsia="仿宋"/>
          <w:sz w:val="32"/>
          <w:szCs w:val="32"/>
        </w:rPr>
        <w:t>%</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167005</wp:posOffset>
            </wp:positionH>
            <wp:positionV relativeFrom="paragraph">
              <wp:posOffset>115570</wp:posOffset>
            </wp:positionV>
            <wp:extent cx="5073650" cy="2635250"/>
            <wp:effectExtent l="4445" t="4445" r="8255" b="825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napToGrid w:val="0"/>
        <w:spacing w:line="500" w:lineRule="exact"/>
        <w:jc w:val="center"/>
        <w:outlineLvl w:val="1"/>
        <w:rPr>
          <w:rFonts w:ascii="仿宋" w:hAnsi="仿宋" w:eastAsia="仿宋"/>
          <w:sz w:val="32"/>
          <w:szCs w:val="32"/>
        </w:rPr>
      </w:pPr>
      <w:bookmarkStart w:id="41" w:name="_Toc1682"/>
      <w:r>
        <w:rPr>
          <w:rFonts w:hint="eastAsia" w:ascii="仿宋" w:hAnsi="仿宋" w:eastAsia="仿宋"/>
          <w:sz w:val="32"/>
          <w:szCs w:val="32"/>
        </w:rPr>
        <w:t>（图7：“三公”经费财政拨款支出结构）</w:t>
      </w:r>
      <w:bookmarkEnd w:id="41"/>
    </w:p>
    <w:p>
      <w:pPr>
        <w:snapToGrid w:val="0"/>
        <w:spacing w:line="540" w:lineRule="exact"/>
        <w:ind w:firstLine="643" w:firstLineChars="200"/>
        <w:rPr>
          <w:rFonts w:ascii="仿宋_GB2312" w:eastAsia="仿宋_GB2312"/>
          <w:bCs/>
          <w:color w:val="000000" w:themeColor="text1"/>
          <w:sz w:val="28"/>
          <w:szCs w:val="28"/>
          <w14:textFill>
            <w14:solidFill>
              <w14:schemeClr w14:val="tx1"/>
            </w14:solidFill>
          </w14:textFill>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4"/>
          <w:rFonts w:hint="eastAsia" w:ascii="仿宋" w:hAnsi="仿宋" w:eastAsia="仿宋"/>
          <w:b w:val="0"/>
          <w:bCs/>
          <w:sz w:val="32"/>
          <w:szCs w:val="32"/>
        </w:rPr>
        <w:t>完成预算</w:t>
      </w:r>
      <w:r>
        <w:rPr>
          <w:rFonts w:hint="eastAsia" w:ascii="仿宋_GB2312" w:eastAsia="仿宋_GB2312"/>
          <w:sz w:val="32"/>
          <w:szCs w:val="32"/>
        </w:rPr>
        <w:t>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w:t>
      </w:r>
      <w:r>
        <w:rPr>
          <w:rFonts w:hint="eastAsia" w:ascii="仿宋" w:hAnsi="仿宋" w:eastAsia="仿宋"/>
          <w:sz w:val="32"/>
          <w:szCs w:val="32"/>
        </w:rPr>
        <w:t>因公出国（境）支出财政拨款支出与2021年无变化。</w:t>
      </w:r>
    </w:p>
    <w:p>
      <w:pPr>
        <w:snapToGrid w:val="0"/>
        <w:spacing w:line="540" w:lineRule="exact"/>
        <w:ind w:firstLine="643" w:firstLineChars="200"/>
        <w:rPr>
          <w:rFonts w:ascii="仿宋_GB2312" w:eastAsia="仿宋"/>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14"/>
          <w:rFonts w:hint="eastAsia" w:ascii="仿宋" w:hAnsi="仿宋" w:eastAsia="仿宋"/>
          <w:b w:val="0"/>
          <w:bCs/>
          <w:sz w:val="32"/>
          <w:szCs w:val="32"/>
        </w:rPr>
        <w:t>完成预算0.00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2022年度无公务用车购置费用及运行维护费开支，与2021年无变化。</w:t>
      </w:r>
    </w:p>
    <w:p>
      <w:pPr>
        <w:spacing w:line="560" w:lineRule="exact"/>
        <w:ind w:firstLine="640" w:firstLineChars="200"/>
        <w:outlineLvl w:val="2"/>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0.00万元。全年按规定更新购置公务用车0辆。截至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w:t>
      </w:r>
    </w:p>
    <w:p>
      <w:pPr>
        <w:spacing w:line="560" w:lineRule="exact"/>
        <w:ind w:firstLine="640"/>
        <w:outlineLvl w:val="2"/>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ascii="仿宋" w:hAnsi="仿宋" w:eastAsia="仿宋"/>
          <w:b w:val="0"/>
          <w:bCs/>
          <w:sz w:val="32"/>
          <w:szCs w:val="32"/>
        </w:rPr>
        <w:t>0%</w:t>
      </w:r>
      <w:r>
        <w:rPr>
          <w:rStyle w:val="14"/>
          <w:rFonts w:hint="eastAsia" w:ascii="仿宋" w:hAnsi="仿宋" w:eastAsia="仿宋"/>
          <w:b w:val="0"/>
          <w:bCs/>
          <w:sz w:val="32"/>
          <w:szCs w:val="32"/>
        </w:rPr>
        <w:t>。2022年无公务接待费支出，与2021无变化。</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万元。国内公务接待0批次，0人次（不包括陪同人员），共计支出0万元。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pPr>
        <w:spacing w:line="600" w:lineRule="exact"/>
        <w:rPr>
          <w:rFonts w:ascii="黑体" w:eastAsia="黑体"/>
          <w:sz w:val="32"/>
          <w:szCs w:val="32"/>
        </w:rPr>
      </w:pPr>
      <w:r>
        <w:rPr>
          <w:rFonts w:hint="eastAsia" w:ascii="仿宋" w:hAnsi="仿宋" w:eastAsia="仿宋"/>
          <w:sz w:val="32"/>
          <w:szCs w:val="32"/>
        </w:rPr>
        <w:t xml:space="preserve"> </w:t>
      </w:r>
      <w:bookmarkStart w:id="42" w:name="_Toc15396610"/>
      <w:bookmarkStart w:id="43" w:name="_Toc15377218"/>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3"/>
        </w:numPr>
        <w:spacing w:line="600" w:lineRule="exact"/>
        <w:ind w:firstLine="640"/>
        <w:outlineLvl w:val="1"/>
        <w:rPr>
          <w:rStyle w:val="25"/>
          <w:rFonts w:ascii="黑体" w:hAnsi="黑体" w:eastAsia="黑体"/>
          <w:b w:val="0"/>
        </w:rPr>
      </w:pPr>
      <w:bookmarkStart w:id="44" w:name="_Toc15377219"/>
      <w:bookmarkStart w:id="45" w:name="_Toc15396611"/>
      <w:r>
        <w:rPr>
          <w:rStyle w:val="25"/>
          <w:rFonts w:hint="eastAsia" w:ascii="黑体" w:hAnsi="黑体" w:eastAsia="黑体"/>
          <w:b w:val="0"/>
        </w:rPr>
        <w:t>国有资本经营预算支出决算情况说明</w:t>
      </w:r>
      <w:bookmarkEnd w:id="44"/>
      <w:bookmarkEnd w:id="45"/>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3"/>
        </w:numPr>
        <w:spacing w:line="600" w:lineRule="exact"/>
        <w:ind w:firstLine="640"/>
        <w:outlineLvl w:val="1"/>
        <w:rPr>
          <w:rStyle w:val="25"/>
          <w:rFonts w:ascii="黑体" w:hAnsi="黑体" w:eastAsia="黑体"/>
          <w:b w:val="0"/>
        </w:rPr>
      </w:pPr>
      <w:bookmarkStart w:id="46" w:name="_Toc15396612"/>
      <w:bookmarkStart w:id="47" w:name="_Toc15377221"/>
      <w:r>
        <w:rPr>
          <w:rStyle w:val="25"/>
          <w:rFonts w:hint="eastAsia" w:ascii="黑体" w:hAnsi="黑体" w:eastAsia="黑体"/>
          <w:b w:val="0"/>
        </w:rPr>
        <w:t>其他重要事项的情况说明</w:t>
      </w:r>
      <w:bookmarkEnd w:id="46"/>
      <w:bookmarkEnd w:id="47"/>
    </w:p>
    <w:p>
      <w:pPr>
        <w:spacing w:line="600" w:lineRule="exact"/>
        <w:ind w:firstLine="643"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pPr>
        <w:spacing w:line="600" w:lineRule="exact"/>
        <w:ind w:firstLine="640" w:firstLineChars="200"/>
        <w:rPr>
          <w:rFonts w:ascii="仿宋" w:hAnsi="仿宋" w:eastAsia="仿宋_GB2312"/>
          <w:b/>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olor w:val="auto"/>
          <w:sz w:val="32"/>
          <w:szCs w:val="32"/>
          <w:highlight w:val="none"/>
          <w:lang w:eastAsia="zh-CN"/>
        </w:rPr>
        <w:t>广元市利州区</w:t>
      </w:r>
      <w:r>
        <w:rPr>
          <w:rFonts w:hint="eastAsia" w:ascii="仿宋_GB2312" w:eastAsia="仿宋_GB2312"/>
          <w:color w:val="auto"/>
          <w:sz w:val="32"/>
          <w:szCs w:val="32"/>
          <w:highlight w:val="none"/>
          <w:lang w:val="en-US" w:eastAsia="zh-CN"/>
        </w:rPr>
        <w:t>万缘第一幼儿园</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sz w:val="32"/>
          <w:szCs w:val="32"/>
          <w:lang w:eastAsia="zh-CN"/>
        </w:rPr>
        <w:t>，</w:t>
      </w:r>
      <w:r>
        <w:rPr>
          <w:rFonts w:hint="eastAsia" w:ascii="仿宋_GB2312" w:eastAsia="仿宋_GB2312"/>
          <w:color w:val="auto"/>
          <w:sz w:val="32"/>
          <w:szCs w:val="32"/>
          <w:highlight w:val="none"/>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广元市利州区</w:t>
      </w:r>
      <w:r>
        <w:rPr>
          <w:rFonts w:hint="eastAsia" w:ascii="仿宋_GB2312" w:eastAsia="仿宋_GB2312"/>
          <w:color w:val="auto"/>
          <w:sz w:val="32"/>
          <w:szCs w:val="32"/>
          <w:highlight w:val="none"/>
          <w:lang w:val="en-US" w:eastAsia="zh-CN"/>
        </w:rPr>
        <w:t>万缘第一幼儿园</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pPr>
        <w:autoSpaceDE w:val="0"/>
        <w:autoSpaceDN w:val="0"/>
        <w:adjustRightInd w:val="0"/>
        <w:spacing w:line="600" w:lineRule="exact"/>
        <w:ind w:firstLine="640" w:firstLineChars="200"/>
        <w:jc w:val="left"/>
        <w:outlineLvl w:val="2"/>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万缘第一幼儿园</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2022年度预算编制阶段，组织对保教费项目等2个项目开展了预算事前绩效评估，对2个项目编制了绩效目标，预算执行过程中，选取2个项目开展绩效监控，年终执行完毕后，对2个项目开展了绩效自评，2022年特定目标类部门预算项目绩效目标自评表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51" w:name="_Toc15396613"/>
      <w:bookmarkStart w:id="52" w:name="_Toc15377225"/>
      <w:r>
        <w:rPr>
          <w:rFonts w:hint="eastAsia" w:ascii="黑体" w:hAnsi="黑体" w:eastAsia="黑体"/>
          <w:sz w:val="44"/>
          <w:szCs w:val="44"/>
        </w:rPr>
        <w:t>名</w:t>
      </w:r>
      <w:r>
        <w:rPr>
          <w:rStyle w:val="24"/>
          <w:rFonts w:hint="eastAsia" w:ascii="黑体" w:hAnsi="黑体" w:eastAsia="黑体"/>
          <w:b w:val="0"/>
        </w:rPr>
        <w:t>词解释</w:t>
      </w:r>
      <w:bookmarkEnd w:id="51"/>
      <w:bookmarkEnd w:id="52"/>
    </w:p>
    <w:p>
      <w:pPr>
        <w:spacing w:line="600" w:lineRule="exact"/>
        <w:jc w:val="left"/>
        <w:rPr>
          <w:rFonts w:ascii="宋体"/>
          <w:b/>
          <w:sz w:val="44"/>
          <w:szCs w:val="44"/>
        </w:rPr>
      </w:pPr>
    </w:p>
    <w:p>
      <w:pPr>
        <w:pStyle w:val="22"/>
        <w:snapToGrid w:val="0"/>
        <w:spacing w:line="560" w:lineRule="exact"/>
        <w:ind w:firstLine="640" w:firstLineChars="200"/>
        <w:outlineLvl w:val="1"/>
        <w:rPr>
          <w:rFonts w:ascii="仿宋_GB2312" w:eastAsia="仿宋_GB2312"/>
          <w:color w:val="auto"/>
          <w:sz w:val="32"/>
          <w:szCs w:val="32"/>
        </w:rPr>
      </w:pPr>
      <w:bookmarkStart w:id="53" w:name="_Toc15680"/>
      <w:r>
        <w:rPr>
          <w:rFonts w:hint="eastAsia" w:ascii="仿宋_GB2312" w:eastAsia="仿宋_GB2312"/>
          <w:color w:val="auto"/>
          <w:sz w:val="32"/>
          <w:szCs w:val="32"/>
        </w:rPr>
        <w:t>1.财</w:t>
      </w:r>
      <w:r>
        <w:rPr>
          <w:rFonts w:hint="eastAsia" w:ascii="仿宋_GB2312" w:eastAsia="仿宋_GB2312"/>
          <w:color w:val="auto"/>
          <w:spacing w:val="-6"/>
          <w:sz w:val="32"/>
          <w:szCs w:val="32"/>
        </w:rPr>
        <w:t>政拨款收入：指单位从同级财政部门取得的财政预算资金</w:t>
      </w:r>
      <w:r>
        <w:rPr>
          <w:rFonts w:hint="eastAsia" w:ascii="仿宋_GB2312" w:eastAsia="仿宋_GB2312"/>
          <w:color w:val="auto"/>
          <w:sz w:val="32"/>
          <w:szCs w:val="32"/>
        </w:rPr>
        <w:t>。</w:t>
      </w:r>
      <w:bookmarkEnd w:id="53"/>
    </w:p>
    <w:p>
      <w:pPr>
        <w:pStyle w:val="22"/>
        <w:snapToGrid w:val="0"/>
        <w:spacing w:line="560" w:lineRule="exact"/>
        <w:ind w:firstLine="640" w:firstLineChars="200"/>
        <w:outlineLvl w:val="1"/>
        <w:rPr>
          <w:rFonts w:ascii="仿宋_GB2312" w:eastAsia="仿宋_GB2312"/>
          <w:color w:val="auto"/>
          <w:sz w:val="32"/>
          <w:szCs w:val="32"/>
        </w:rPr>
      </w:pPr>
      <w:bookmarkStart w:id="54" w:name="_Toc18447"/>
      <w:r>
        <w:rPr>
          <w:rFonts w:hint="eastAsia" w:ascii="仿宋_GB2312" w:eastAsia="仿宋_GB2312"/>
          <w:color w:val="auto"/>
          <w:sz w:val="32"/>
          <w:szCs w:val="32"/>
        </w:rPr>
        <w:t>2.事业收入：指事业单位开展专业业务活动及辅助活动取得的收入。</w:t>
      </w:r>
      <w:bookmarkEnd w:id="54"/>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 xml:space="preserve">4.其他收入：指单位取得的除上述收入以外的各项收入。主要是学前教育保育教育费收入、银行存款利息收入等。  </w:t>
      </w:r>
    </w:p>
    <w:p>
      <w:pPr>
        <w:pStyle w:val="22"/>
        <w:snapToGrid w:val="0"/>
        <w:spacing w:line="560" w:lineRule="exact"/>
        <w:ind w:firstLine="640" w:firstLineChars="200"/>
        <w:outlineLvl w:val="1"/>
        <w:rPr>
          <w:rFonts w:ascii="仿宋_GB2312" w:eastAsia="仿宋_GB2312"/>
          <w:color w:val="auto"/>
          <w:sz w:val="32"/>
          <w:szCs w:val="32"/>
        </w:rPr>
      </w:pPr>
      <w:bookmarkStart w:id="55" w:name="_Toc20496"/>
      <w:r>
        <w:rPr>
          <w:rFonts w:hint="eastAsia" w:ascii="仿宋_GB2312" w:eastAsia="仿宋_GB2312"/>
          <w:color w:val="auto"/>
          <w:sz w:val="32"/>
          <w:szCs w:val="32"/>
        </w:rPr>
        <w:t>5.年初结转和结余：指以前年度尚未完成、结转到本年按有关规定继续使用的资金。</w:t>
      </w:r>
      <w:bookmarkEnd w:id="55"/>
      <w:r>
        <w:rPr>
          <w:rFonts w:hint="eastAsia" w:ascii="仿宋_GB2312" w:eastAsia="仿宋_GB2312"/>
          <w:color w:val="auto"/>
          <w:sz w:val="32"/>
          <w:szCs w:val="32"/>
        </w:rPr>
        <w:t xml:space="preserve"> </w:t>
      </w:r>
    </w:p>
    <w:p>
      <w:pPr>
        <w:pStyle w:val="22"/>
        <w:snapToGrid w:val="0"/>
        <w:spacing w:line="560" w:lineRule="exact"/>
        <w:ind w:firstLine="640" w:firstLineChars="200"/>
        <w:outlineLvl w:val="1"/>
        <w:rPr>
          <w:rFonts w:ascii="仿宋_GB2312" w:eastAsia="仿宋_GB2312"/>
          <w:color w:val="auto"/>
          <w:sz w:val="32"/>
          <w:szCs w:val="32"/>
        </w:rPr>
      </w:pPr>
      <w:bookmarkStart w:id="56" w:name="_Toc1650"/>
      <w:r>
        <w:rPr>
          <w:rFonts w:hint="eastAsia" w:ascii="仿宋_GB2312" w:eastAsia="仿宋_GB2312"/>
          <w:color w:val="auto"/>
          <w:sz w:val="32"/>
          <w:szCs w:val="32"/>
        </w:rPr>
        <w:t>6.年末结转和结余：指单位按有关规定结转到下年或以后年度继续使用的资金。</w:t>
      </w:r>
      <w:bookmarkEnd w:id="56"/>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7.教育支出（类）教育管理事务（款）行政运行（项）:反映教育行政单位（包括实行公务员管理的事业单位）的基本支出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8. 教育支出（类）教育管理事务（款）一般行政管理事务（项）:反映行政单位（包括实行公务员管理的事业单位）未单独设置项级科目的其它项目支出。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9. 教育支出（类）教育管理事务（款）其它教育管理事务支出（项）:反映除上述项目以外其它用户教育管理事务方面的支出。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10. 教育支出（类）普通教育（款）学前教育（项）:反映各部门举办的学前教育支出。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11. 教育支出（类）普通教育（款）小学教育（项）:反映各部门举办的小学教育支出。政府各部门对社会中介组织等举办的小学的资助，如各类捐赠、补贴等，也在本科目中反映。</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12. 教育支出（类）普通教育（款）初中教育（项）: 反映各部门举办的初中教育支出。政府各部门对社会中介组织等举办的初中教育的资助，如捐赠、补贴等，也在本科目中反映。</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13. 教育支出（类）普通教育（款）高中教育（项）: 反映各部门举办的高级中学教育支出。政府各部门对社会中介组织等举办的高级中学的资助，如捐赠、补贴等，也在本科目中反映。</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14. 教育支出（类）普通教育（款）其它普通教育（项）: 反映除上述项目以外其他用于普通教育方面的支出。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15. 社会保障和就业支出（类）行政事业单位离退休（款）机关事业单位基本养老保险缴费支出（项）: 指机关事业单位实施养老保险制度由单位缴纳的基本养老保险费支出。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16. 社会保障和就业支出（类）行政事业单位离退休（款）机关事业单位职业年金缴费支出（项）: 指机关事业单位实施养老保险制度由单位实际缴纳的职业年金支出。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17. 社会保障和就业支出（类）抚恤（款）死亡抚恤（项）: 指按规定用于烈士和牺牲、病故人员家属的一次性和定期抚恤金以及丧葬补助费。</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20. 住房保障支出（类）住房改革支出（款）住房公积金（项）: 指行政事业单位按人力资源和社会保障部、财政部规定的基本工资和津贴补贴以及规定比例为职工缴纳的住房公积金。</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21. 其他支出（类）其他支出（款）其他支出（项）: 指上述项目以外其他不能划分到具体功能科目中的支出项目。</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22. 基本支出：指为保障机构正常运转、完成日常工作任务而发生的人员支出和公用支出。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 xml:space="preserve">23. 项目支出：指在基本支出之外为完成特定行政任务和事业发展目标所发生的支出。 </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24. 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25.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ascii="仿宋_GB2312" w:eastAsia="仿宋_GB2312"/>
          <w:sz w:val="32"/>
          <w:szCs w:val="32"/>
        </w:rPr>
      </w:pP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 </w:t>
      </w:r>
    </w:p>
    <w:p>
      <w:pPr>
        <w:pStyle w:val="22"/>
        <w:spacing w:line="560" w:lineRule="exact"/>
        <w:ind w:firstLine="640" w:firstLineChars="200"/>
        <w:rPr>
          <w:rFonts w:ascii="仿宋_GB2312" w:eastAsia="仿宋_GB2312" w:cs="黑体"/>
          <w:color w:val="auto"/>
          <w:sz w:val="32"/>
          <w:szCs w:val="32"/>
        </w:rPr>
      </w:pPr>
    </w:p>
    <w:p>
      <w:pPr>
        <w:spacing w:line="600" w:lineRule="exact"/>
        <w:jc w:val="center"/>
        <w:outlineLvl w:val="0"/>
        <w:rPr>
          <w:rFonts w:ascii="仿宋_GB2312" w:hAnsi="Calibri" w:eastAsia="仿宋_GB2312" w:cs="仿宋"/>
          <w:kern w:val="0"/>
          <w:sz w:val="32"/>
          <w:szCs w:val="32"/>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4"/>
          <w:rFonts w:hint="eastAsia" w:ascii="黑体" w:hAnsi="黑体" w:eastAsia="黑体"/>
          <w:b w:val="0"/>
        </w:rPr>
        <w:t>四部分 附件</w:t>
      </w:r>
      <w:bookmarkEnd w:id="58"/>
      <w:bookmarkStart w:id="59" w:name="_Toc15396618"/>
    </w:p>
    <w:p>
      <w:pPr>
        <w:spacing w:line="600" w:lineRule="exact"/>
        <w:jc w:val="center"/>
        <w:outlineLvl w:val="0"/>
        <w:rPr>
          <w:rFonts w:hint="eastAsia" w:ascii="黑体" w:hAnsi="黑体" w:eastAsia="黑体"/>
          <w:sz w:val="44"/>
          <w:szCs w:val="44"/>
        </w:rPr>
      </w:pPr>
      <w:r>
        <w:rPr>
          <w:rStyle w:val="25"/>
          <w:rFonts w:hint="eastAsia" w:ascii="仿宋" w:hAnsi="仿宋" w:eastAsia="仿宋"/>
          <w:b w:val="0"/>
          <w:bCs w:val="0"/>
          <w:color w:val="auto"/>
          <w:highlight w:val="none"/>
          <w:lang w:val="en-US" w:eastAsia="zh-CN" w:bidi="ar-SA"/>
        </w:rPr>
        <w:t>部门预算项目支出绩效自评表（2022年度）</w:t>
      </w: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bookmarkStart w:id="73" w:name="_GoBack"/>
      <w:bookmarkEnd w:id="73"/>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7"/>
      <w:bookmarkEnd w:id="59"/>
      <w:bookmarkStart w:id="60" w:name="_Toc15396619"/>
    </w:p>
    <w:p>
      <w:pPr>
        <w:pStyle w:val="3"/>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60"/>
    </w:p>
    <w:p>
      <w:pPr>
        <w:pStyle w:val="3"/>
        <w:rPr>
          <w:rFonts w:ascii="仿宋" w:hAnsi="仿宋" w:eastAsia="仿宋"/>
        </w:rPr>
      </w:pPr>
      <w:bookmarkStart w:id="61" w:name="_Toc15396620"/>
      <w:r>
        <w:rPr>
          <w:rFonts w:hint="eastAsia" w:ascii="仿宋" w:hAnsi="仿宋" w:eastAsia="仿宋"/>
          <w:b w:val="0"/>
        </w:rPr>
        <w:t>二、收</w:t>
      </w:r>
      <w:r>
        <w:rPr>
          <w:rStyle w:val="25"/>
          <w:rFonts w:hint="eastAsia" w:ascii="仿宋" w:hAnsi="仿宋" w:eastAsia="仿宋"/>
          <w:b w:val="0"/>
          <w:bCs w:val="0"/>
        </w:rPr>
        <w:t>入决算表</w:t>
      </w:r>
      <w:bookmarkEnd w:id="61"/>
    </w:p>
    <w:p>
      <w:pPr>
        <w:pStyle w:val="3"/>
        <w:rPr>
          <w:rFonts w:ascii="仿宋" w:hAnsi="仿宋" w:eastAsia="仿宋"/>
        </w:rPr>
      </w:pPr>
      <w:bookmarkStart w:id="62"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62"/>
    </w:p>
    <w:p>
      <w:pPr>
        <w:pStyle w:val="3"/>
        <w:rPr>
          <w:rFonts w:ascii="仿宋" w:hAnsi="仿宋" w:eastAsia="仿宋"/>
          <w:b w:val="0"/>
        </w:rPr>
      </w:pPr>
      <w:bookmarkStart w:id="63"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rPr>
      </w:pPr>
      <w:bookmarkStart w:id="66"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rPr>
      </w:pPr>
      <w:bookmarkStart w:id="67"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rPr>
      </w:pPr>
      <w:bookmarkStart w:id="68"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rPr>
      </w:pPr>
      <w:bookmarkStart w:id="69" w:name="_Toc15396628"/>
      <w:r>
        <w:rPr>
          <w:rStyle w:val="25"/>
          <w:rFonts w:hint="eastAsia" w:ascii="仿宋" w:hAnsi="仿宋" w:eastAsia="仿宋"/>
          <w:b w:val="0"/>
          <w:bCs w:val="0"/>
        </w:rPr>
        <w:t>十、</w:t>
      </w:r>
      <w:bookmarkEnd w:id="69"/>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3"/>
        <w:rPr>
          <w:rFonts w:ascii="仿宋" w:hAnsi="仿宋" w:eastAsia="仿宋"/>
        </w:rPr>
      </w:pPr>
      <w:bookmarkStart w:id="70" w:name="_Toc15396629"/>
      <w:r>
        <w:rPr>
          <w:rStyle w:val="25"/>
          <w:rFonts w:hint="eastAsia" w:ascii="仿宋" w:hAnsi="仿宋" w:eastAsia="仿宋"/>
          <w:b w:val="0"/>
          <w:bCs w:val="0"/>
        </w:rPr>
        <w:t>十一、</w:t>
      </w:r>
      <w:bookmarkEnd w:id="70"/>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3"/>
        <w:rPr>
          <w:rFonts w:ascii="仿宋" w:hAnsi="仿宋" w:eastAsia="仿宋"/>
        </w:rPr>
      </w:pPr>
      <w:bookmarkStart w:id="71" w:name="_Toc15396630"/>
      <w:r>
        <w:rPr>
          <w:rStyle w:val="25"/>
          <w:rFonts w:hint="eastAsia" w:ascii="仿宋" w:hAnsi="仿宋" w:eastAsia="仿宋"/>
          <w:b w:val="0"/>
          <w:bCs w:val="0"/>
        </w:rPr>
        <w:t>十二、</w:t>
      </w:r>
      <w:bookmarkEnd w:id="71"/>
      <w:r>
        <w:rPr>
          <w:rStyle w:val="25"/>
          <w:rFonts w:hint="eastAsia" w:ascii="仿宋" w:hAnsi="仿宋" w:eastAsia="仿宋"/>
          <w:b w:val="0"/>
          <w:bCs w:val="0"/>
        </w:rPr>
        <w:t>国有资本经营预算财政拨款支出决算表</w:t>
      </w:r>
    </w:p>
    <w:p>
      <w:pPr>
        <w:pStyle w:val="3"/>
        <w:rPr>
          <w:rStyle w:val="25"/>
          <w:rFonts w:ascii="仿宋" w:hAnsi="仿宋" w:eastAsia="仿宋"/>
          <w:b w:val="0"/>
          <w:bCs w:val="0"/>
        </w:rPr>
      </w:pPr>
      <w:bookmarkStart w:id="72" w:name="_Toc15396631"/>
      <w:r>
        <w:rPr>
          <w:rStyle w:val="25"/>
          <w:rFonts w:hint="eastAsia" w:ascii="仿宋" w:hAnsi="仿宋" w:eastAsia="仿宋"/>
          <w:b w:val="0"/>
          <w:bCs w:val="0"/>
        </w:rPr>
        <w:t>十三、</w:t>
      </w:r>
      <w:bookmarkEnd w:id="72"/>
      <w:r>
        <w:rPr>
          <w:rStyle w:val="25"/>
          <w:rFonts w:hint="eastAsia" w:ascii="仿宋" w:hAnsi="仿宋" w:eastAsia="仿宋"/>
          <w:b w:val="0"/>
          <w:bCs w:val="0"/>
        </w:rPr>
        <w:t>财政拨款“三公”经费支出决算表</w:t>
      </w:r>
    </w:p>
    <w:p>
      <w:r>
        <w:rPr>
          <w:rStyle w:val="25"/>
          <w:rFonts w:hint="eastAsia" w:ascii="仿宋" w:hAnsi="仿宋" w:eastAsia="仿宋"/>
          <w:b w:val="0"/>
          <w:bCs w:val="0"/>
        </w:rPr>
        <w:t xml:space="preserve"> </w:t>
      </w:r>
    </w:p>
    <w:sectPr>
      <w:head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黑体简体">
    <w:altName w:val="Arial Unicode MS"/>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A327DF2"/>
    <w:multiLevelType w:val="singleLevel"/>
    <w:tmpl w:val="DA327DF2"/>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B0B9D"/>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57547"/>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546C9B"/>
    <w:rsid w:val="044E51D8"/>
    <w:rsid w:val="053A62B5"/>
    <w:rsid w:val="0A2032A3"/>
    <w:rsid w:val="0B8A37D8"/>
    <w:rsid w:val="10C055FF"/>
    <w:rsid w:val="118107EC"/>
    <w:rsid w:val="11DD6519"/>
    <w:rsid w:val="132B04D3"/>
    <w:rsid w:val="13B37129"/>
    <w:rsid w:val="140F57D7"/>
    <w:rsid w:val="16BB723D"/>
    <w:rsid w:val="17481711"/>
    <w:rsid w:val="175C3D98"/>
    <w:rsid w:val="18015F3F"/>
    <w:rsid w:val="1BE8440E"/>
    <w:rsid w:val="1D155CEE"/>
    <w:rsid w:val="20F57F95"/>
    <w:rsid w:val="21983295"/>
    <w:rsid w:val="23391DA6"/>
    <w:rsid w:val="23530AF9"/>
    <w:rsid w:val="240371BF"/>
    <w:rsid w:val="25711CC6"/>
    <w:rsid w:val="25C741E6"/>
    <w:rsid w:val="25F34291"/>
    <w:rsid w:val="27842671"/>
    <w:rsid w:val="29FD04D3"/>
    <w:rsid w:val="2ABE7A3E"/>
    <w:rsid w:val="2CA234A8"/>
    <w:rsid w:val="2EFA178C"/>
    <w:rsid w:val="30B46D73"/>
    <w:rsid w:val="319F7F4E"/>
    <w:rsid w:val="383D272C"/>
    <w:rsid w:val="39AE70AB"/>
    <w:rsid w:val="3ABC496A"/>
    <w:rsid w:val="3C0C0783"/>
    <w:rsid w:val="3F8D0AAB"/>
    <w:rsid w:val="3F9F3A96"/>
    <w:rsid w:val="45776F5E"/>
    <w:rsid w:val="48BF60AB"/>
    <w:rsid w:val="493C27E9"/>
    <w:rsid w:val="496F39ED"/>
    <w:rsid w:val="49FF41D3"/>
    <w:rsid w:val="4B2A6077"/>
    <w:rsid w:val="4BE068DB"/>
    <w:rsid w:val="4BF6002B"/>
    <w:rsid w:val="4CE90CC5"/>
    <w:rsid w:val="4ECE2238"/>
    <w:rsid w:val="51DB4B86"/>
    <w:rsid w:val="52567F7D"/>
    <w:rsid w:val="55333C3E"/>
    <w:rsid w:val="598076A1"/>
    <w:rsid w:val="623A2C74"/>
    <w:rsid w:val="64CA39A1"/>
    <w:rsid w:val="69630ADE"/>
    <w:rsid w:val="6A327D69"/>
    <w:rsid w:val="6C4A05C8"/>
    <w:rsid w:val="6D3B1A89"/>
    <w:rsid w:val="6E0460A4"/>
    <w:rsid w:val="709162DC"/>
    <w:rsid w:val="71BF4EC2"/>
    <w:rsid w:val="72734D90"/>
    <w:rsid w:val="7412278C"/>
    <w:rsid w:val="74F6722B"/>
    <w:rsid w:val="77366A55"/>
    <w:rsid w:val="79E7B28D"/>
    <w:rsid w:val="7DD40F2B"/>
    <w:rsid w:val="7DEC0065"/>
    <w:rsid w:val="7F321CEA"/>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标题 2 字符"/>
    <w:basedOn w:val="1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1.xml"/><Relationship Id="rId10" Type="http://schemas.openxmlformats.org/officeDocument/2006/relationships/image" Target="media/image6.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“三公”经费财政拨款支出（万元）</c:v>
                </c:pt>
              </c:strCache>
            </c:strRef>
          </c:tx>
          <c:spPr>
            <a:pattFill prst="pct30">
              <a:fgClr>
                <a:srgbClr val="FF0000"/>
              </a:fgClr>
              <a:bgClr>
                <a:schemeClr val="accent1">
                  <a:lumMod val="20000"/>
                  <a:lumOff val="80000"/>
                </a:schemeClr>
              </a:bgClr>
            </a:pattFill>
          </c:spPr>
          <c:explosion val="0"/>
          <c:dPt>
            <c:idx val="0"/>
            <c:bubble3D val="0"/>
            <c:spPr>
              <a:pattFill prst="pct30">
                <a:fgClr>
                  <a:srgbClr val="FF0000"/>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pct30">
                <a:fgClr>
                  <a:srgbClr val="FF0000"/>
                </a:fgClr>
                <a:bgClr>
                  <a:schemeClr val="accent1">
                    <a:lumMod val="20000"/>
                    <a:lumOff val="80000"/>
                  </a:schemeClr>
                </a:bgClr>
              </a:pattFill>
              <a:ln w="19050">
                <a:solidFill>
                  <a:schemeClr val="lt1"/>
                </a:solidFill>
              </a:ln>
              <a:effectLst>
                <a:innerShdw blurRad="114300">
                  <a:schemeClr val="accent2"/>
                </a:innerShdw>
              </a:effectLst>
            </c:spPr>
          </c:dPt>
          <c:dPt>
            <c:idx val="2"/>
            <c:bubble3D val="0"/>
            <c:spPr>
              <a:solidFill>
                <a:schemeClr val="accent4">
                  <a:lumMod val="60000"/>
                  <a:lumOff val="40000"/>
                </a:schemeClr>
              </a:solidFill>
              <a:ln w="19050">
                <a:solidFill>
                  <a:schemeClr val="lt1"/>
                </a:solidFill>
              </a:ln>
              <a:effectLst>
                <a:innerShdw blurRad="114300">
                  <a:schemeClr val="accent3"/>
                </a:innerShdw>
              </a:effectLst>
            </c:spPr>
          </c:dPt>
          <c:dLbls>
            <c:dLbl>
              <c:idx val="0"/>
              <c:layout>
                <c:manualLayout>
                  <c:x val="-0.34956195244055"/>
                  <c:y val="-0.014698795180723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360450563204004"/>
                  <c:y val="0.097590361445783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72540675844806"/>
          <c:y val="0.675903614457831"/>
          <c:w val="0.261576971214018"/>
          <c:h val="0.3098795180722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25</Pages>
  <Words>9982</Words>
  <Characters>10472</Characters>
  <Lines>8</Lines>
  <Paragraphs>22</Paragraphs>
  <TotalTime>1</TotalTime>
  <ScaleCrop>false</ScaleCrop>
  <LinksUpToDate>false</LinksUpToDate>
  <CharactersWithSpaces>10651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凝望</cp:lastModifiedBy>
  <cp:lastPrinted>2023-10-11T08:06:00Z</cp:lastPrinted>
  <dcterms:modified xsi:type="dcterms:W3CDTF">2023-10-15T06:14:18Z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5CA0D9D9E9DE462FBFA5A62A59AB3A32_13</vt:lpwstr>
  </property>
</Properties>
</file>